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5AA" w:rsidRPr="00E72D0C" w:rsidRDefault="00F505AA" w:rsidP="00F505AA">
      <w:pPr>
        <w:tabs>
          <w:tab w:val="left" w:pos="-1440"/>
          <w:tab w:val="left" w:pos="-720"/>
          <w:tab w:val="left" w:pos="0"/>
        </w:tabs>
        <w:jc w:val="center"/>
      </w:pPr>
      <w:r w:rsidRPr="00E72D0C">
        <w:rPr>
          <w:b/>
          <w:bCs/>
        </w:rPr>
        <w:t>ΠΕΡΙΛΗΨΗ ΧΑΡΑΚΤΗΡΙΣΤΙΚΩΝ ΤΟΥ ΠΡΟΪΟΝΤΟΣ</w:t>
      </w:r>
    </w:p>
    <w:p w:rsidR="00F505AA" w:rsidRPr="00E72D0C" w:rsidRDefault="00F505AA" w:rsidP="00F505AA">
      <w:pPr>
        <w:suppressAutoHyphens/>
        <w:jc w:val="both"/>
      </w:pPr>
    </w:p>
    <w:p w:rsidR="00F505AA" w:rsidRPr="00E72D0C" w:rsidRDefault="00F505AA" w:rsidP="00F505AA">
      <w:pPr>
        <w:jc w:val="both"/>
        <w:rPr>
          <w:b/>
          <w:u w:val="single"/>
        </w:rPr>
      </w:pPr>
    </w:p>
    <w:p w:rsidR="00F505AA" w:rsidRPr="00E72D0C" w:rsidRDefault="00F505AA" w:rsidP="00F505AA">
      <w:pPr>
        <w:tabs>
          <w:tab w:val="left" w:pos="600"/>
        </w:tabs>
        <w:jc w:val="both"/>
        <w:rPr>
          <w:b/>
          <w:bCs/>
          <w:u w:val="single"/>
        </w:rPr>
      </w:pPr>
      <w:r w:rsidRPr="00E72D0C">
        <w:rPr>
          <w:b/>
          <w:bCs/>
        </w:rPr>
        <w:t>1.</w:t>
      </w:r>
      <w:r w:rsidRPr="00E72D0C">
        <w:rPr>
          <w:b/>
          <w:bCs/>
        </w:rPr>
        <w:tab/>
        <w:t>ΟΝΟΜΑΣΙΑ ΤΟΥ ΦΑΡΜΑΚΕΥΤΙΚΟΥ ΠΡΟΪΟΝΤΟΣ</w:t>
      </w:r>
    </w:p>
    <w:p w:rsidR="00F505AA" w:rsidRPr="00E72D0C" w:rsidRDefault="00F505AA" w:rsidP="00F505AA">
      <w:pPr>
        <w:jc w:val="both"/>
      </w:pPr>
    </w:p>
    <w:p w:rsidR="00F505AA" w:rsidRPr="00E72D0C" w:rsidRDefault="00F505AA" w:rsidP="00F505AA">
      <w:pPr>
        <w:ind w:left="600"/>
        <w:jc w:val="both"/>
      </w:pPr>
      <w:r w:rsidRPr="00E72D0C">
        <w:rPr>
          <w:lang w:val="es-ES"/>
        </w:rPr>
        <w:t>Serosmine</w:t>
      </w:r>
      <w:r w:rsidRPr="001A5CC0">
        <w:t xml:space="preserve"> 37,5 </w:t>
      </w:r>
      <w:r w:rsidRPr="00E72D0C">
        <w:rPr>
          <w:lang w:val="es-ES"/>
        </w:rPr>
        <w:t>mg</w:t>
      </w:r>
      <w:r w:rsidRPr="001A5CC0">
        <w:t xml:space="preserve"> </w:t>
      </w:r>
      <w:r w:rsidRPr="00E72D0C">
        <w:t>δισκία παρατεταμένης αποδέσμευσης</w:t>
      </w:r>
    </w:p>
    <w:p w:rsidR="00F505AA" w:rsidRPr="00E72D0C" w:rsidRDefault="00F505AA" w:rsidP="00F505AA">
      <w:pPr>
        <w:ind w:left="600"/>
        <w:jc w:val="both"/>
      </w:pPr>
      <w:r w:rsidRPr="00E72D0C">
        <w:rPr>
          <w:lang w:val="es-ES"/>
        </w:rPr>
        <w:t>Serosmine</w:t>
      </w:r>
      <w:r w:rsidRPr="00E72D0C">
        <w:t xml:space="preserve"> 75</w:t>
      </w:r>
      <w:r w:rsidR="00E657E6" w:rsidRPr="00EB4B63">
        <w:t xml:space="preserve"> </w:t>
      </w:r>
      <w:r w:rsidRPr="00E72D0C">
        <w:t>mg δισκία παρατεταμένης αποδέσμευσης</w:t>
      </w:r>
    </w:p>
    <w:p w:rsidR="00F505AA" w:rsidRPr="00E72D0C" w:rsidRDefault="00F505AA" w:rsidP="00F505AA">
      <w:pPr>
        <w:ind w:left="600"/>
        <w:jc w:val="both"/>
      </w:pPr>
      <w:r w:rsidRPr="00E72D0C">
        <w:rPr>
          <w:lang w:val="es-ES"/>
        </w:rPr>
        <w:t>Serosmine</w:t>
      </w:r>
      <w:r w:rsidR="00E657E6">
        <w:t xml:space="preserve"> 150</w:t>
      </w:r>
      <w:r w:rsidR="00E657E6" w:rsidRPr="00EB4B63">
        <w:t xml:space="preserve"> </w:t>
      </w:r>
      <w:r w:rsidRPr="00E72D0C">
        <w:t>mg δισκία παρατεταμένης αποδέσμευσης</w:t>
      </w:r>
    </w:p>
    <w:p w:rsidR="00F505AA" w:rsidRPr="00E72D0C" w:rsidRDefault="00F505AA" w:rsidP="00F505AA">
      <w:pPr>
        <w:ind w:left="600"/>
        <w:jc w:val="both"/>
      </w:pPr>
      <w:r w:rsidRPr="00E72D0C">
        <w:rPr>
          <w:lang w:val="es-ES"/>
        </w:rPr>
        <w:t>Serosmine</w:t>
      </w:r>
      <w:r w:rsidR="00E657E6">
        <w:t xml:space="preserve"> 225</w:t>
      </w:r>
      <w:r w:rsidR="00E657E6" w:rsidRPr="00EB4B63">
        <w:t xml:space="preserve"> </w:t>
      </w:r>
      <w:r w:rsidRPr="00E72D0C">
        <w:t>mg δισκία παρατεταμένης αποδέσμευσης</w:t>
      </w:r>
    </w:p>
    <w:p w:rsidR="00F505AA" w:rsidRPr="00E72D0C" w:rsidRDefault="00F505AA" w:rsidP="00F505AA">
      <w:pPr>
        <w:jc w:val="both"/>
      </w:pPr>
    </w:p>
    <w:p w:rsidR="00F505AA" w:rsidRPr="00E72D0C" w:rsidRDefault="00F505AA" w:rsidP="00F505AA">
      <w:pPr>
        <w:jc w:val="both"/>
      </w:pPr>
    </w:p>
    <w:p w:rsidR="00F505AA" w:rsidRPr="00E72D0C" w:rsidRDefault="00F505AA" w:rsidP="00F505AA">
      <w:pPr>
        <w:tabs>
          <w:tab w:val="left" w:pos="600"/>
        </w:tabs>
        <w:jc w:val="both"/>
        <w:rPr>
          <w:b/>
          <w:bCs/>
        </w:rPr>
      </w:pPr>
      <w:r w:rsidRPr="00E72D0C">
        <w:rPr>
          <w:b/>
          <w:bCs/>
        </w:rPr>
        <w:t>2.</w:t>
      </w:r>
      <w:r w:rsidRPr="00E72D0C">
        <w:rPr>
          <w:b/>
          <w:bCs/>
        </w:rPr>
        <w:tab/>
        <w:t>ΠΟΙΟΤΙΚΗ ΚΑΙ ΠΟΣΟΤΙΚΗ ΣΥΝΘΕΣΗ</w:t>
      </w:r>
    </w:p>
    <w:p w:rsidR="00F505AA" w:rsidRPr="00E72D0C" w:rsidRDefault="00F505AA" w:rsidP="00F505AA">
      <w:pPr>
        <w:tabs>
          <w:tab w:val="left" w:pos="0"/>
          <w:tab w:val="left" w:pos="851"/>
        </w:tabs>
        <w:ind w:left="600"/>
        <w:jc w:val="both"/>
      </w:pPr>
      <w:r w:rsidRPr="00E72D0C">
        <w:rPr>
          <w:lang w:val="en-US"/>
        </w:rPr>
        <w:t>Serosmine</w:t>
      </w:r>
      <w:r w:rsidRPr="001A5CC0">
        <w:t xml:space="preserve"> 37,5 </w:t>
      </w:r>
      <w:r w:rsidRPr="00E72D0C">
        <w:rPr>
          <w:lang w:val="en-US"/>
        </w:rPr>
        <w:t>mg</w:t>
      </w:r>
      <w:r w:rsidRPr="001A5CC0">
        <w:t xml:space="preserve"> </w:t>
      </w:r>
      <w:r w:rsidRPr="00E72D0C">
        <w:t>δισκία παρατεταμένης αποδέσμευσης</w:t>
      </w:r>
    </w:p>
    <w:p w:rsidR="00F505AA" w:rsidRPr="00E72D0C" w:rsidRDefault="00F505AA" w:rsidP="00F505AA">
      <w:pPr>
        <w:tabs>
          <w:tab w:val="left" w:pos="0"/>
          <w:tab w:val="left" w:pos="851"/>
        </w:tabs>
        <w:ind w:left="600"/>
        <w:jc w:val="both"/>
      </w:pPr>
      <w:r w:rsidRPr="00E72D0C">
        <w:t>Κάθε δισκίο παρατεταμένης αποδέσμευσης περιέχει 37,5 mg βενλαφαξίνη (ως υδροχλωρική).</w:t>
      </w:r>
    </w:p>
    <w:p w:rsidR="00F505AA" w:rsidRPr="00E72D0C" w:rsidRDefault="00F505AA" w:rsidP="00F505AA">
      <w:pPr>
        <w:tabs>
          <w:tab w:val="left" w:pos="0"/>
          <w:tab w:val="left" w:pos="851"/>
        </w:tabs>
        <w:ind w:left="600"/>
        <w:jc w:val="both"/>
      </w:pPr>
    </w:p>
    <w:p w:rsidR="00F505AA" w:rsidRPr="00E72D0C" w:rsidRDefault="00F505AA" w:rsidP="00F505AA">
      <w:pPr>
        <w:tabs>
          <w:tab w:val="left" w:pos="0"/>
          <w:tab w:val="left" w:pos="851"/>
        </w:tabs>
        <w:ind w:left="600"/>
        <w:jc w:val="both"/>
      </w:pPr>
      <w:r w:rsidRPr="00E72D0C">
        <w:rPr>
          <w:lang w:val="en-US"/>
        </w:rPr>
        <w:t>Serosmine </w:t>
      </w:r>
      <w:r w:rsidRPr="00E72D0C">
        <w:t>75</w:t>
      </w:r>
      <w:r w:rsidRPr="00E72D0C">
        <w:rPr>
          <w:lang w:val="en-US"/>
        </w:rPr>
        <w:t>mg</w:t>
      </w:r>
      <w:r w:rsidRPr="00E72D0C">
        <w:t xml:space="preserve"> δισκία παρατεταμένης αποδέσμευσης</w:t>
      </w:r>
    </w:p>
    <w:p w:rsidR="00F505AA" w:rsidRPr="00E72D0C" w:rsidRDefault="00F505AA" w:rsidP="00F505AA">
      <w:pPr>
        <w:tabs>
          <w:tab w:val="left" w:pos="0"/>
          <w:tab w:val="left" w:pos="851"/>
        </w:tabs>
        <w:ind w:left="600"/>
        <w:jc w:val="both"/>
      </w:pPr>
      <w:r w:rsidRPr="00E72D0C">
        <w:t>Κάθε δισκίο παρατεταμένης αποδέσμευσης περιέχει 75 </w:t>
      </w:r>
      <w:r w:rsidRPr="00E72D0C">
        <w:rPr>
          <w:lang w:val="en-US"/>
        </w:rPr>
        <w:t>mg</w:t>
      </w:r>
      <w:r w:rsidRPr="00E72D0C">
        <w:t xml:space="preserve"> βενλαφαξίνη (ως υδροχλωρική).</w:t>
      </w:r>
    </w:p>
    <w:p w:rsidR="00F505AA" w:rsidRPr="00E72D0C" w:rsidRDefault="00F505AA" w:rsidP="00F505AA">
      <w:pPr>
        <w:tabs>
          <w:tab w:val="left" w:pos="0"/>
          <w:tab w:val="left" w:pos="851"/>
        </w:tabs>
        <w:ind w:left="600"/>
        <w:jc w:val="both"/>
      </w:pPr>
    </w:p>
    <w:p w:rsidR="00F505AA" w:rsidRPr="00E72D0C" w:rsidRDefault="00F505AA" w:rsidP="00F505AA">
      <w:pPr>
        <w:tabs>
          <w:tab w:val="left" w:pos="0"/>
          <w:tab w:val="left" w:pos="851"/>
        </w:tabs>
        <w:ind w:left="600"/>
        <w:jc w:val="both"/>
      </w:pPr>
      <w:r w:rsidRPr="00E72D0C">
        <w:rPr>
          <w:lang w:val="en-US"/>
        </w:rPr>
        <w:t>Serosmine </w:t>
      </w:r>
      <w:r w:rsidRPr="00E72D0C">
        <w:t>150</w:t>
      </w:r>
      <w:r w:rsidRPr="00E72D0C">
        <w:rPr>
          <w:lang w:val="en-US"/>
        </w:rPr>
        <w:t>mg</w:t>
      </w:r>
      <w:r w:rsidRPr="00E72D0C">
        <w:t xml:space="preserve"> δισκία παρατεταμένης αποδέσμευσης</w:t>
      </w:r>
    </w:p>
    <w:p w:rsidR="00F505AA" w:rsidRPr="00E72D0C" w:rsidRDefault="00F505AA" w:rsidP="00F505AA">
      <w:pPr>
        <w:tabs>
          <w:tab w:val="left" w:pos="0"/>
          <w:tab w:val="left" w:pos="851"/>
        </w:tabs>
        <w:ind w:left="600"/>
        <w:jc w:val="both"/>
      </w:pPr>
      <w:r w:rsidRPr="00E72D0C">
        <w:t>Κάθε δισκίο παρατεταμένης αποδέσμευσης περιέχει 150 </w:t>
      </w:r>
      <w:r w:rsidRPr="00E72D0C">
        <w:rPr>
          <w:lang w:val="en-US"/>
        </w:rPr>
        <w:t>mg</w:t>
      </w:r>
      <w:r w:rsidRPr="00E72D0C">
        <w:t xml:space="preserve"> βενλαφαξίνη (ως υδροχλωρική).</w:t>
      </w:r>
    </w:p>
    <w:p w:rsidR="00F505AA" w:rsidRPr="00E72D0C" w:rsidRDefault="00F505AA" w:rsidP="00F505AA">
      <w:pPr>
        <w:tabs>
          <w:tab w:val="left" w:pos="0"/>
          <w:tab w:val="left" w:pos="851"/>
        </w:tabs>
        <w:ind w:left="600"/>
        <w:jc w:val="both"/>
      </w:pPr>
    </w:p>
    <w:p w:rsidR="00F505AA" w:rsidRPr="00E72D0C" w:rsidRDefault="00F505AA" w:rsidP="00F505AA">
      <w:pPr>
        <w:tabs>
          <w:tab w:val="left" w:pos="0"/>
          <w:tab w:val="left" w:pos="851"/>
        </w:tabs>
        <w:ind w:left="600"/>
        <w:jc w:val="both"/>
      </w:pPr>
      <w:r w:rsidRPr="00E72D0C">
        <w:rPr>
          <w:lang w:val="en-US"/>
        </w:rPr>
        <w:t>Serosmine </w:t>
      </w:r>
      <w:r w:rsidRPr="00E72D0C">
        <w:t>225</w:t>
      </w:r>
      <w:r w:rsidRPr="00E72D0C">
        <w:rPr>
          <w:lang w:val="en-US"/>
        </w:rPr>
        <w:t>mg</w:t>
      </w:r>
      <w:r w:rsidRPr="00E72D0C">
        <w:t xml:space="preserve"> δισκία παρατεταμένης αποδέσμευσης</w:t>
      </w:r>
    </w:p>
    <w:p w:rsidR="00F505AA" w:rsidRPr="00E72D0C" w:rsidRDefault="00F505AA" w:rsidP="00F505AA">
      <w:pPr>
        <w:tabs>
          <w:tab w:val="left" w:pos="0"/>
          <w:tab w:val="left" w:pos="851"/>
        </w:tabs>
        <w:ind w:left="600"/>
        <w:jc w:val="both"/>
      </w:pPr>
      <w:r w:rsidRPr="00E72D0C">
        <w:t>Κάθε δισκίο παρατεταμένης αποδέσμευσης περιέχει 225 </w:t>
      </w:r>
      <w:r w:rsidRPr="00E72D0C">
        <w:rPr>
          <w:lang w:val="en-US"/>
        </w:rPr>
        <w:t>mg</w:t>
      </w:r>
      <w:r w:rsidRPr="00E72D0C">
        <w:t xml:space="preserve"> βενλαφαξίνη (ως υδροχλωρική).</w:t>
      </w:r>
    </w:p>
    <w:p w:rsidR="00F505AA" w:rsidRPr="00E72D0C" w:rsidRDefault="00F505AA" w:rsidP="00F505AA">
      <w:pPr>
        <w:tabs>
          <w:tab w:val="left" w:pos="0"/>
          <w:tab w:val="left" w:pos="851"/>
        </w:tabs>
        <w:ind w:left="600"/>
        <w:jc w:val="both"/>
      </w:pPr>
    </w:p>
    <w:p w:rsidR="00F505AA" w:rsidRPr="00E72D0C" w:rsidRDefault="00F505AA" w:rsidP="00F505AA">
      <w:pPr>
        <w:tabs>
          <w:tab w:val="left" w:pos="0"/>
          <w:tab w:val="left" w:pos="851"/>
        </w:tabs>
        <w:ind w:left="600"/>
        <w:jc w:val="both"/>
        <w:rPr>
          <w:bCs/>
        </w:rPr>
      </w:pPr>
      <w:r w:rsidRPr="00E72D0C">
        <w:rPr>
          <w:bCs/>
        </w:rPr>
        <w:t>Έκδοχο</w:t>
      </w:r>
      <w:r w:rsidR="00E657E6">
        <w:rPr>
          <w:bCs/>
        </w:rPr>
        <w:t>: λακτόζη 3,0 / 3,4 / 5,7 / 6,5</w:t>
      </w:r>
      <w:r w:rsidR="00E657E6" w:rsidRPr="00EB4B63">
        <w:rPr>
          <w:bCs/>
        </w:rPr>
        <w:t xml:space="preserve"> </w:t>
      </w:r>
      <w:r w:rsidRPr="00E72D0C">
        <w:rPr>
          <w:bCs/>
        </w:rPr>
        <w:t>mg</w:t>
      </w:r>
    </w:p>
    <w:p w:rsidR="00E657E6" w:rsidRPr="00EB4B63" w:rsidRDefault="00E657E6" w:rsidP="00F505AA">
      <w:pPr>
        <w:tabs>
          <w:tab w:val="left" w:pos="0"/>
          <w:tab w:val="left" w:pos="851"/>
        </w:tabs>
        <w:ind w:left="600"/>
        <w:jc w:val="both"/>
      </w:pPr>
    </w:p>
    <w:p w:rsidR="00F505AA" w:rsidRPr="00E72D0C" w:rsidRDefault="00F505AA" w:rsidP="00F505AA">
      <w:pPr>
        <w:tabs>
          <w:tab w:val="left" w:pos="0"/>
          <w:tab w:val="left" w:pos="851"/>
        </w:tabs>
        <w:ind w:left="600"/>
        <w:jc w:val="both"/>
      </w:pPr>
      <w:r w:rsidRPr="00E72D0C">
        <w:t>Για τον πλήρη κατάλογο των εκδόχων, βλ. παράγραφο 6.1.</w:t>
      </w:r>
    </w:p>
    <w:p w:rsidR="00F505AA" w:rsidRPr="00E72D0C" w:rsidRDefault="00F505AA" w:rsidP="00F505AA">
      <w:pPr>
        <w:jc w:val="both"/>
      </w:pPr>
    </w:p>
    <w:p w:rsidR="00F505AA" w:rsidRPr="00E72D0C" w:rsidRDefault="00F505AA" w:rsidP="00F505AA">
      <w:pPr>
        <w:jc w:val="both"/>
      </w:pPr>
    </w:p>
    <w:p w:rsidR="00F505AA" w:rsidRPr="00E72D0C" w:rsidRDefault="00F505AA" w:rsidP="00F505AA">
      <w:pPr>
        <w:tabs>
          <w:tab w:val="left" w:pos="600"/>
        </w:tabs>
        <w:jc w:val="both"/>
        <w:rPr>
          <w:b/>
          <w:bCs/>
        </w:rPr>
      </w:pPr>
      <w:r w:rsidRPr="00E72D0C">
        <w:rPr>
          <w:b/>
          <w:bCs/>
        </w:rPr>
        <w:t xml:space="preserve">3. </w:t>
      </w:r>
      <w:r w:rsidRPr="00E72D0C">
        <w:rPr>
          <w:b/>
          <w:bCs/>
        </w:rPr>
        <w:tab/>
        <w:t>ΦΑΡΜΑΚΟΤΕΧΝΙΚΗ ΜΟΡΦΗ</w:t>
      </w:r>
    </w:p>
    <w:p w:rsidR="00F505AA" w:rsidRPr="00E72D0C" w:rsidRDefault="00F505AA" w:rsidP="00F505AA">
      <w:pPr>
        <w:jc w:val="both"/>
      </w:pPr>
    </w:p>
    <w:p w:rsidR="00F505AA" w:rsidRPr="00E72D0C" w:rsidRDefault="00F505AA" w:rsidP="00F505AA">
      <w:pPr>
        <w:ind w:left="600"/>
        <w:jc w:val="both"/>
        <w:rPr>
          <w:rStyle w:val="tw4winMark"/>
          <w:vanish w:val="0"/>
        </w:rPr>
      </w:pPr>
      <w:r w:rsidRPr="00E72D0C">
        <w:t>Δισκίο παρατεταμένης αποδέσμευσης.</w:t>
      </w:r>
    </w:p>
    <w:p w:rsidR="00F505AA" w:rsidRPr="00E72D0C" w:rsidRDefault="00F505AA" w:rsidP="00F505AA">
      <w:pPr>
        <w:ind w:left="600"/>
        <w:jc w:val="both"/>
      </w:pPr>
      <w:r w:rsidRPr="00E72D0C">
        <w:t>Κυκλικά, αμφίκυρτα, λευκά δισκία.</w:t>
      </w:r>
    </w:p>
    <w:p w:rsidR="00F505AA" w:rsidRPr="00E72D0C" w:rsidRDefault="00F505AA" w:rsidP="00F505AA">
      <w:pPr>
        <w:jc w:val="both"/>
      </w:pPr>
    </w:p>
    <w:p w:rsidR="00F505AA" w:rsidRPr="00E72D0C" w:rsidRDefault="00F505AA" w:rsidP="00F505AA">
      <w:pPr>
        <w:jc w:val="both"/>
      </w:pPr>
    </w:p>
    <w:p w:rsidR="00F505AA" w:rsidRPr="00E72D0C" w:rsidRDefault="00F505AA" w:rsidP="00F505AA">
      <w:pPr>
        <w:tabs>
          <w:tab w:val="left" w:pos="600"/>
        </w:tabs>
        <w:jc w:val="both"/>
        <w:rPr>
          <w:b/>
          <w:bCs/>
        </w:rPr>
      </w:pPr>
      <w:r w:rsidRPr="00E72D0C">
        <w:rPr>
          <w:b/>
          <w:bCs/>
        </w:rPr>
        <w:t xml:space="preserve">4. </w:t>
      </w:r>
      <w:r w:rsidRPr="00E72D0C">
        <w:rPr>
          <w:b/>
          <w:bCs/>
        </w:rPr>
        <w:tab/>
        <w:t>ΚΛΙΝΙΚΕΣ ΠΛΗΡΟΦΟΡΙΕΣ</w:t>
      </w:r>
    </w:p>
    <w:p w:rsidR="00F505AA" w:rsidRPr="00E72D0C" w:rsidRDefault="00F505AA" w:rsidP="00F505AA">
      <w:pPr>
        <w:jc w:val="both"/>
        <w:rPr>
          <w:b/>
        </w:rPr>
      </w:pPr>
    </w:p>
    <w:p w:rsidR="00F505AA" w:rsidRPr="00E72D0C" w:rsidRDefault="00F505AA" w:rsidP="00F505AA">
      <w:pPr>
        <w:tabs>
          <w:tab w:val="left" w:pos="-1440"/>
          <w:tab w:val="left" w:pos="-720"/>
          <w:tab w:val="left" w:pos="0"/>
        </w:tabs>
        <w:ind w:left="600" w:hanging="600"/>
        <w:rPr>
          <w:b/>
          <w:bCs/>
        </w:rPr>
      </w:pPr>
      <w:r w:rsidRPr="00E72D0C">
        <w:rPr>
          <w:b/>
          <w:bCs/>
        </w:rPr>
        <w:t>4.1</w:t>
      </w:r>
      <w:r w:rsidRPr="00E72D0C">
        <w:rPr>
          <w:b/>
          <w:bCs/>
        </w:rPr>
        <w:tab/>
        <w:t>Θεραπευτικές ενδείξεις</w:t>
      </w:r>
    </w:p>
    <w:p w:rsidR="00F505AA" w:rsidRPr="00E72D0C" w:rsidRDefault="00F505AA" w:rsidP="00F505AA">
      <w:pPr>
        <w:tabs>
          <w:tab w:val="left" w:pos="-1440"/>
          <w:tab w:val="left" w:pos="-720"/>
        </w:tabs>
      </w:pPr>
    </w:p>
    <w:p w:rsidR="00F505AA" w:rsidRPr="00E72D0C" w:rsidRDefault="00F505AA" w:rsidP="00F505AA">
      <w:pPr>
        <w:autoSpaceDE w:val="0"/>
        <w:autoSpaceDN w:val="0"/>
        <w:adjustRightInd w:val="0"/>
        <w:ind w:firstLine="600"/>
        <w:rPr>
          <w:lang w:eastAsia="el-GR"/>
        </w:rPr>
      </w:pPr>
      <w:r w:rsidRPr="00E72D0C">
        <w:rPr>
          <w:lang w:eastAsia="el-GR"/>
        </w:rPr>
        <w:t>Θεραπεία των μειζόνων καταθλιπτικών επεισοδίων.</w:t>
      </w:r>
    </w:p>
    <w:p w:rsidR="00F505AA" w:rsidRPr="00E72D0C" w:rsidRDefault="00F505AA" w:rsidP="00F505AA">
      <w:pPr>
        <w:tabs>
          <w:tab w:val="left" w:pos="-1440"/>
          <w:tab w:val="left" w:pos="-720"/>
        </w:tabs>
        <w:ind w:left="600"/>
        <w:jc w:val="both"/>
      </w:pPr>
      <w:r w:rsidRPr="00E72D0C">
        <w:rPr>
          <w:lang w:eastAsia="el-GR"/>
        </w:rPr>
        <w:t>Για την πρόληψη της επανεμφάνισης νέων επεισοδίων μείζονος κατάθλιψης.</w:t>
      </w:r>
    </w:p>
    <w:p w:rsidR="00F505AA" w:rsidRPr="00E72D0C" w:rsidRDefault="00F505AA" w:rsidP="00F505AA">
      <w:pPr>
        <w:tabs>
          <w:tab w:val="left" w:pos="-1440"/>
          <w:tab w:val="left" w:pos="-720"/>
        </w:tabs>
        <w:ind w:left="600"/>
        <w:jc w:val="both"/>
      </w:pPr>
    </w:p>
    <w:p w:rsidR="00F505AA" w:rsidRPr="00E72D0C" w:rsidRDefault="00F505AA" w:rsidP="00F505AA">
      <w:pPr>
        <w:jc w:val="both"/>
      </w:pPr>
    </w:p>
    <w:p w:rsidR="00F505AA" w:rsidRPr="00E72D0C" w:rsidRDefault="00F505AA" w:rsidP="00F505AA">
      <w:pPr>
        <w:tabs>
          <w:tab w:val="left" w:pos="-1440"/>
          <w:tab w:val="left" w:pos="-720"/>
          <w:tab w:val="left" w:pos="0"/>
        </w:tabs>
        <w:ind w:left="600" w:hanging="600"/>
        <w:rPr>
          <w:b/>
          <w:bCs/>
        </w:rPr>
      </w:pPr>
      <w:r w:rsidRPr="00E72D0C">
        <w:rPr>
          <w:b/>
          <w:bCs/>
        </w:rPr>
        <w:t>4.2</w:t>
      </w:r>
      <w:r w:rsidRPr="00E72D0C">
        <w:rPr>
          <w:b/>
          <w:bCs/>
        </w:rPr>
        <w:tab/>
        <w:t>Δοσολογία και τρόπος χορήγησης</w:t>
      </w:r>
    </w:p>
    <w:p w:rsidR="00F505AA" w:rsidRPr="00E72D0C" w:rsidRDefault="00F505AA" w:rsidP="00F505AA">
      <w:pPr>
        <w:tabs>
          <w:tab w:val="left" w:pos="-1440"/>
          <w:tab w:val="left" w:pos="-720"/>
          <w:tab w:val="left" w:pos="0"/>
        </w:tabs>
        <w:ind w:left="600" w:hanging="600"/>
        <w:rPr>
          <w:b/>
        </w:rPr>
      </w:pPr>
    </w:p>
    <w:p w:rsidR="00F505AA" w:rsidRPr="00E72D0C" w:rsidRDefault="00F505AA" w:rsidP="00F505AA">
      <w:pPr>
        <w:autoSpaceDE w:val="0"/>
        <w:autoSpaceDN w:val="0"/>
        <w:adjustRightInd w:val="0"/>
        <w:rPr>
          <w:lang w:eastAsia="el-GR"/>
        </w:rPr>
      </w:pPr>
      <w:r w:rsidRPr="00E72D0C">
        <w:rPr>
          <w:lang w:eastAsia="el-GR"/>
        </w:rPr>
        <w:t>Η συνιστώμενη δόση έναρξης της βενλαφαξίνης παρατεταμένης αποδέσμευσης είναι 75 mg χορηγούμενα μια φορά την ημέρα. Οι ασθενείς που δεν ανταποκρίνονται στην αρχική δόση των 75 mg/ημέρα, μπορεί να ωφεληθούν από αυξήσεις στη δόση μέχρι τη μέγιστη δόση των 375 mg/ημέρα. Οι αυξήσεις της δόσης μπορεί να γίνονται ανά διαστήματα 2 εβδομάδων ή περισσότερο. Εάν η σοβαρότητα του συμπτώματος το δικαιολογεί κλινικά, αυξήσεις της δόσης μπορεί να γίνουν σε πιο συχνά διαστήματα, που δεν είναι μικρότερα των 4 ημερών.</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lang w:eastAsia="el-GR"/>
        </w:rPr>
      </w:pPr>
      <w:r w:rsidRPr="00E72D0C">
        <w:rPr>
          <w:lang w:eastAsia="el-GR"/>
        </w:rPr>
        <w:t>Εξαιτίας του κινδύνου των ανεπιθύμητων ενεργειών που συνδέονται με τη δόση, οι αυξήσεις της δόσης πρέπει να γίνονται μόνο μετά από κλινική αξιολόγηση (βλ. παράγραφο 4.4). Πρέπει να διατηρείται η ελάχιστη αποτελεσματική δόση.</w:t>
      </w:r>
    </w:p>
    <w:p w:rsidR="00F505AA" w:rsidRPr="00E72D0C" w:rsidRDefault="00F505AA" w:rsidP="00F505AA">
      <w:pPr>
        <w:autoSpaceDE w:val="0"/>
        <w:autoSpaceDN w:val="0"/>
        <w:adjustRightInd w:val="0"/>
        <w:rPr>
          <w:lang w:eastAsia="el-GR"/>
        </w:rPr>
      </w:pPr>
      <w:r w:rsidRPr="00E72D0C">
        <w:rPr>
          <w:lang w:eastAsia="el-GR"/>
        </w:rPr>
        <w:t xml:space="preserve"> </w:t>
      </w:r>
    </w:p>
    <w:p w:rsidR="00F505AA" w:rsidRPr="00E72D0C" w:rsidRDefault="00F505AA" w:rsidP="00F505AA">
      <w:pPr>
        <w:autoSpaceDE w:val="0"/>
        <w:autoSpaceDN w:val="0"/>
        <w:adjustRightInd w:val="0"/>
        <w:rPr>
          <w:lang w:eastAsia="el-GR"/>
        </w:rPr>
      </w:pPr>
      <w:r w:rsidRPr="00E72D0C">
        <w:rPr>
          <w:lang w:eastAsia="el-GR"/>
        </w:rPr>
        <w:t xml:space="preserve">Οι ασθενείς πρέπει να υποβάλλονται σε θεραπεία για αρκετό χρονικό διάστημα, συνήθως αρκετούς </w:t>
      </w:r>
      <w:r w:rsidRPr="00E72D0C">
        <w:rPr>
          <w:lang w:eastAsia="el-GR"/>
        </w:rPr>
        <w:lastRenderedPageBreak/>
        <w:t>μήνες ή περισσότερο. Η θεραπεία πρέπει να επαναξιολογείται τακτικά και εξατομικευμένα. Μπορεί να είναι κατάλληλη η μακροχρόνια θεραπεία για την πρόληψη της επανεμφάνισης των επεισοδίων μείζονος κατάθλιψης (MDE). Στις περισσότερες περιπτώσεις, η συνιστώμενη δόση για την πρόληψη της επανεμφάνισης των επεισοδίων μείζονος κατάθλιψης είναι η ίδια με αυτή που χορηγήθηκε κατά τη διάρκεια του υπάρχοντος επεισοδίου.</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lang w:eastAsia="el-GR"/>
        </w:rPr>
      </w:pPr>
      <w:r w:rsidRPr="00E72D0C">
        <w:rPr>
          <w:lang w:eastAsia="el-GR"/>
        </w:rPr>
        <w:t>Τα αντικαταθλιπτικά φαρμακευτικά προϊόντα πρέπει να συνεχιστούν για τουλάχιστον 6 μήνες μετά από την υποχώρηση συμπτωμάτων.</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b/>
          <w:lang w:eastAsia="el-GR"/>
        </w:rPr>
      </w:pPr>
      <w:r w:rsidRPr="00E72D0C">
        <w:rPr>
          <w:b/>
          <w:lang w:eastAsia="el-GR"/>
        </w:rPr>
        <w:t>Χορήγηση σε ηλικιωμένους ασθενείς</w:t>
      </w:r>
    </w:p>
    <w:p w:rsidR="00F505AA" w:rsidRPr="00E72D0C" w:rsidRDefault="00F505AA" w:rsidP="00F505AA">
      <w:pPr>
        <w:autoSpaceDE w:val="0"/>
        <w:autoSpaceDN w:val="0"/>
        <w:adjustRightInd w:val="0"/>
        <w:rPr>
          <w:lang w:eastAsia="el-GR"/>
        </w:rPr>
      </w:pPr>
      <w:r w:rsidRPr="00E72D0C">
        <w:rPr>
          <w:lang w:eastAsia="el-GR"/>
        </w:rPr>
        <w:t>Δεν συνιστάται καμία προσαρμογή στη δόση της βενλαφαξίνης για τους υπερήλικες εξαιτίας της ηλικίας τους μόνο. Ωστόσο, απαιτείται προσοχή κατά την αντιμετώπιση των ηλικιωμένων (π.χ. εξαιτίας της πιθανότητας νεφρικής ανεπάρκειας, η δυνατότητα μεταβολών της ευαισθησίας και συγγένειας του νευροδιαβιβαστή που επέρχεται με την ηλικία). Πρέπει πάντοτε να χορηγείται η ελάχιστη αποτελεσματική δόση και οι ασθενείς πρέπει να παρακολουθούνται προσεκτικά όταν απαιτείται αύξηση της δόσης.</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b/>
          <w:lang w:eastAsia="el-GR"/>
        </w:rPr>
      </w:pPr>
      <w:r w:rsidRPr="00E72D0C">
        <w:rPr>
          <w:b/>
          <w:lang w:eastAsia="el-GR"/>
        </w:rPr>
        <w:t>Χορήγηση σε παιδιά και εφήβους κάτω των 18 ετών</w:t>
      </w:r>
    </w:p>
    <w:p w:rsidR="00F505AA" w:rsidRPr="00E72D0C" w:rsidRDefault="00F505AA" w:rsidP="00F505AA">
      <w:pPr>
        <w:autoSpaceDE w:val="0"/>
        <w:autoSpaceDN w:val="0"/>
        <w:adjustRightInd w:val="0"/>
        <w:rPr>
          <w:lang w:eastAsia="el-GR"/>
        </w:rPr>
      </w:pPr>
      <w:r w:rsidRPr="00E72D0C">
        <w:rPr>
          <w:lang w:eastAsia="el-GR"/>
        </w:rPr>
        <w:t>Δεν συνιστάται η χορήγηση της βενλαφαξίνης σε παιδιά και εφήβους.</w:t>
      </w:r>
    </w:p>
    <w:p w:rsidR="00F505AA" w:rsidRPr="00E72D0C" w:rsidRDefault="00F505AA" w:rsidP="00F505AA">
      <w:pPr>
        <w:autoSpaceDE w:val="0"/>
        <w:autoSpaceDN w:val="0"/>
        <w:adjustRightInd w:val="0"/>
        <w:rPr>
          <w:lang w:eastAsia="el-GR"/>
        </w:rPr>
      </w:pPr>
      <w:r w:rsidRPr="00E72D0C">
        <w:rPr>
          <w:lang w:eastAsia="el-GR"/>
        </w:rPr>
        <w:t>Ελεγχόμενες κλινικές μελέτες σε παιδιά και εφήβους με μείζονα καταθλιπτική διαταραχή απέτυχαν να αποδείξουν αποτελεσματικότητα και δεν υποστηρίζουν τη χρήση της βενλαφαξίνης σε αυτούς τους ασθενείς (βλ. παραγράφους 4.4 και 4.8).</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lang w:eastAsia="el-GR"/>
        </w:rPr>
      </w:pPr>
      <w:r w:rsidRPr="00E72D0C">
        <w:rPr>
          <w:lang w:eastAsia="el-GR"/>
        </w:rPr>
        <w:t>Η αποτελεσματικότητα και η ασφάλεια της βενλαφαξίνης για άλλες ενδείξεις σε παιδιά και εφήβους κάτω των 18 ετών δεν έχει τεκμηριωθεί.</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b/>
          <w:lang w:eastAsia="el-GR"/>
        </w:rPr>
      </w:pPr>
      <w:r w:rsidRPr="00E72D0C">
        <w:rPr>
          <w:b/>
          <w:lang w:eastAsia="el-GR"/>
        </w:rPr>
        <w:t>Χορήγηση σε ασθενείς με ηπατική ανεπάρκεια</w:t>
      </w:r>
    </w:p>
    <w:p w:rsidR="00F505AA" w:rsidRPr="00E72D0C" w:rsidRDefault="00F505AA" w:rsidP="00F505AA">
      <w:pPr>
        <w:autoSpaceDE w:val="0"/>
        <w:autoSpaceDN w:val="0"/>
        <w:adjustRightInd w:val="0"/>
        <w:rPr>
          <w:lang w:eastAsia="el-GR"/>
        </w:rPr>
      </w:pPr>
      <w:r w:rsidRPr="00E72D0C">
        <w:rPr>
          <w:lang w:eastAsia="el-GR"/>
        </w:rPr>
        <w:t>Σε ασθενείς με ήπια έως μέτρια ηπατική ανεπάρκεια, γενικώς η δόση πρέπει να μειωθεί κατά 50%. Ωστόσο, λόγω της διακύμανσης της κάθαρσης σε διαφορετικά άτομα μπορεί να είναι επιθυμητή η εξατομίκευση της δοσολογίας.</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lang w:eastAsia="el-GR"/>
        </w:rPr>
      </w:pPr>
      <w:r w:rsidRPr="00E72D0C">
        <w:rPr>
          <w:lang w:eastAsia="el-GR"/>
        </w:rPr>
        <w:t xml:space="preserve">Υπάρχουν περιορισμένα στοιχεία για ασθενείς με σοβαρή ηπατική ανεπάρκεια. Συνιστάται προσοχή και μείωση της δόσης σε ποσοστό μεγαλύτερο του 50%. Το ενδεχόμενο όφελος πρέπει να υπολογίζεται έναντι του κινδύνου στη θεραπεία ασθενών με σοβαρή ηπατική ανεπάρκεια. </w:t>
      </w:r>
    </w:p>
    <w:p w:rsidR="00F505AA" w:rsidRPr="00E72D0C" w:rsidRDefault="00F505AA" w:rsidP="00F505AA">
      <w:pPr>
        <w:autoSpaceDE w:val="0"/>
        <w:autoSpaceDN w:val="0"/>
        <w:adjustRightInd w:val="0"/>
        <w:rPr>
          <w:b/>
          <w:lang w:eastAsia="el-GR"/>
        </w:rPr>
      </w:pPr>
    </w:p>
    <w:p w:rsidR="00F505AA" w:rsidRPr="00E72D0C" w:rsidRDefault="00F505AA" w:rsidP="00F505AA">
      <w:pPr>
        <w:autoSpaceDE w:val="0"/>
        <w:autoSpaceDN w:val="0"/>
        <w:adjustRightInd w:val="0"/>
        <w:rPr>
          <w:b/>
          <w:lang w:eastAsia="el-GR"/>
        </w:rPr>
      </w:pPr>
      <w:r w:rsidRPr="00E72D0C">
        <w:rPr>
          <w:b/>
          <w:lang w:eastAsia="el-GR"/>
        </w:rPr>
        <w:t>Χορήγηση σε ασθενείς με νεφρική ανεπάρκεια</w:t>
      </w:r>
    </w:p>
    <w:p w:rsidR="00F505AA" w:rsidRPr="00E72D0C" w:rsidRDefault="00F505AA" w:rsidP="00F505AA">
      <w:pPr>
        <w:autoSpaceDE w:val="0"/>
        <w:autoSpaceDN w:val="0"/>
        <w:adjustRightInd w:val="0"/>
        <w:rPr>
          <w:lang w:eastAsia="el-GR"/>
        </w:rPr>
      </w:pPr>
      <w:r w:rsidRPr="00E72D0C">
        <w:rPr>
          <w:lang w:eastAsia="el-GR"/>
        </w:rPr>
        <w:t>Αν και δεν χρειάζεται προσαρμογή της δόσης σε ασθενείς με ρυθμό σπειραματικής διήθησης (GFR)</w:t>
      </w:r>
    </w:p>
    <w:p w:rsidR="00F505AA" w:rsidRPr="00E72D0C" w:rsidRDefault="00F505AA" w:rsidP="00F505AA">
      <w:pPr>
        <w:autoSpaceDE w:val="0"/>
        <w:autoSpaceDN w:val="0"/>
        <w:adjustRightInd w:val="0"/>
        <w:rPr>
          <w:lang w:eastAsia="el-GR"/>
        </w:rPr>
      </w:pPr>
      <w:r w:rsidRPr="00E72D0C">
        <w:rPr>
          <w:lang w:eastAsia="el-GR"/>
        </w:rPr>
        <w:t>μεταξύ 30-70 ml/min, συνιστάται προσοχή. Σε ασθενείς που χρειάζονται αιμοκάθαρση και σε</w:t>
      </w:r>
    </w:p>
    <w:p w:rsidR="00F505AA" w:rsidRPr="00E72D0C" w:rsidRDefault="00F505AA" w:rsidP="00F505AA">
      <w:pPr>
        <w:autoSpaceDE w:val="0"/>
        <w:autoSpaceDN w:val="0"/>
        <w:adjustRightInd w:val="0"/>
        <w:rPr>
          <w:lang w:eastAsia="el-GR"/>
        </w:rPr>
      </w:pPr>
      <w:r w:rsidRPr="00E72D0C">
        <w:rPr>
          <w:lang w:eastAsia="el-GR"/>
        </w:rPr>
        <w:t>ασθενείς με σοβαρή νεφρική ανεπάρκεια (GFR &lt; 30 ml/min), η δόση πρέπει να μειωθεί κατά 50%.</w:t>
      </w:r>
    </w:p>
    <w:p w:rsidR="00F505AA" w:rsidRPr="00E72D0C" w:rsidRDefault="00F505AA" w:rsidP="00F505AA">
      <w:pPr>
        <w:autoSpaceDE w:val="0"/>
        <w:autoSpaceDN w:val="0"/>
        <w:adjustRightInd w:val="0"/>
        <w:rPr>
          <w:lang w:eastAsia="el-GR"/>
        </w:rPr>
      </w:pPr>
      <w:r w:rsidRPr="00E72D0C">
        <w:rPr>
          <w:lang w:eastAsia="el-GR"/>
        </w:rPr>
        <w:t>Εξαιτίας της διακύμανσης της κάθαρσης σε διαφορετικά άτομα, μπορεί να είναι επιθυμητή η</w:t>
      </w:r>
    </w:p>
    <w:p w:rsidR="00F505AA" w:rsidRPr="00E72D0C" w:rsidRDefault="00F505AA" w:rsidP="00F505AA">
      <w:pPr>
        <w:autoSpaceDE w:val="0"/>
        <w:autoSpaceDN w:val="0"/>
        <w:adjustRightInd w:val="0"/>
        <w:rPr>
          <w:lang w:eastAsia="el-GR"/>
        </w:rPr>
      </w:pPr>
      <w:r w:rsidRPr="00E72D0C">
        <w:rPr>
          <w:lang w:eastAsia="el-GR"/>
        </w:rPr>
        <w:t>εξατομίκευση της δοσολογίας.</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b/>
          <w:lang w:eastAsia="el-GR"/>
        </w:rPr>
      </w:pPr>
      <w:r w:rsidRPr="00E72D0C">
        <w:rPr>
          <w:b/>
          <w:lang w:eastAsia="el-GR"/>
        </w:rPr>
        <w:t>Σύνδρομο στέρησης που εμφανίζεται με τη διακοπή της βενλαφαξίνης</w:t>
      </w:r>
    </w:p>
    <w:p w:rsidR="00F505AA" w:rsidRPr="00E72D0C" w:rsidRDefault="00F505AA" w:rsidP="00F505AA">
      <w:pPr>
        <w:autoSpaceDE w:val="0"/>
        <w:autoSpaceDN w:val="0"/>
        <w:adjustRightInd w:val="0"/>
        <w:rPr>
          <w:lang w:eastAsia="el-GR"/>
        </w:rPr>
      </w:pPr>
      <w:r w:rsidRPr="00E72D0C">
        <w:rPr>
          <w:lang w:eastAsia="el-GR"/>
        </w:rPr>
        <w:t>Η απότομη διακοπή πρέπει να αποφεύγεται. Όταν διακόπτεται η θεραπεία με βενλαφαξίνη, η δόση πρέπει να μειώνεται βαθμιαία για μια περίοδο τουλάχιστον μια</w:t>
      </w:r>
      <w:r>
        <w:rPr>
          <w:lang w:eastAsia="el-GR"/>
        </w:rPr>
        <w:t>ς</w:t>
      </w:r>
      <w:r w:rsidRPr="00E72D0C">
        <w:rPr>
          <w:lang w:eastAsia="el-GR"/>
        </w:rPr>
        <w:t xml:space="preserve"> με δύο εβδομάδων ώστε να μειωθεί ο κίνδυνος των συμπτωμάτων εκ διακοπής (βλ. παραγράφους 4.4 και 4.8). Εάν εμφανισθούν μη ανεκτά συμπτώματα ως επακόλουθο της μείωσης της δόσης ή της διακοπής της θεραπείας, μπορεί να επαναληφθεί η προηγουμένως συνταγογραφούμενη δόση. Επομένως, ο γιατρός μπορεί να συνεχίζει τη βαθμιαία μείωση της δόσης αλλά με διαφορετικό ρυθμό.</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lang w:eastAsia="el-GR"/>
        </w:rPr>
      </w:pPr>
      <w:r w:rsidRPr="00E72D0C">
        <w:rPr>
          <w:lang w:eastAsia="el-GR"/>
        </w:rPr>
        <w:t>Από του στόματος χρήση.</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lang w:eastAsia="el-GR"/>
        </w:rPr>
      </w:pPr>
      <w:r w:rsidRPr="00E72D0C">
        <w:rPr>
          <w:lang w:eastAsia="el-GR"/>
        </w:rPr>
        <w:t>Συνιστάται η λήψη των δισκίων παρατεταμένης αποδέσμευσης βενλαφαξίνης με τροφή, περίπου την ίδια ώρα κάθε ημέρα. Τα δισκία πρέπει να καταπίνονται ολόκληρα με υγρό και να μην διαχωρίζονται, συνθλίβονται, μασώνται ή διαλύονται.</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lang w:eastAsia="el-GR"/>
        </w:rPr>
      </w:pPr>
      <w:r w:rsidRPr="00E72D0C">
        <w:rPr>
          <w:lang w:eastAsia="el-GR"/>
        </w:rPr>
        <w:t xml:space="preserve">Οι ασθενείς που λαμβάνουν θεραπεία με δισκία άμεσης αποδέσμευσης βενλαφαξίνης μπορούν να </w:t>
      </w:r>
      <w:r w:rsidRPr="00E72D0C">
        <w:rPr>
          <w:lang w:eastAsia="el-GR"/>
        </w:rPr>
        <w:lastRenderedPageBreak/>
        <w:t>αλλάξουν σε δισκία παρατεταμένης αποδέσμευσης βενλαφαξίνης στην πλησιέστερη ισοδύναμη ημερήσια δόση. Για παράδειγμα, τα δισκία βενλαφαξίνης άμεσης αποδέσμευσης 37,5 mg δύο φορές ημερησίως μπορούν να αλλάξουν σε δισκία βενλαφαξίνης παρατεταμένης αποδέσμευσης 75 mg μία φορά ημερησίως. Μπορεί να απαιτηθούν εξατομικεύσεις στη ρύθμιση της δοσολογίας.</w:t>
      </w:r>
    </w:p>
    <w:p w:rsidR="00F505AA" w:rsidRPr="00745DBD" w:rsidRDefault="00F505AA" w:rsidP="00F505AA">
      <w:pPr>
        <w:tabs>
          <w:tab w:val="left" w:pos="-1440"/>
          <w:tab w:val="left" w:pos="-720"/>
        </w:tabs>
        <w:jc w:val="both"/>
        <w:rPr>
          <w:lang w:eastAsia="el-GR"/>
        </w:rPr>
      </w:pPr>
    </w:p>
    <w:p w:rsidR="00F505AA" w:rsidRPr="00745DBD" w:rsidRDefault="00F505AA" w:rsidP="00F505AA">
      <w:pPr>
        <w:tabs>
          <w:tab w:val="left" w:pos="-1440"/>
          <w:tab w:val="left" w:pos="-720"/>
        </w:tabs>
        <w:jc w:val="both"/>
      </w:pPr>
      <w:r w:rsidRPr="00745DBD">
        <w:t>Τα δισκία παρατεταμένης αποδέσμευσης διατηρούν το σχήμα τους σε όλη τη διάρκεια της πέψης απελευθερώνοντας τη δραστική ουσία και αποβάλλονται ανέπαφα στα κόπρανα.</w:t>
      </w:r>
    </w:p>
    <w:p w:rsidR="00F505AA" w:rsidRPr="00E72D0C" w:rsidRDefault="00F505AA" w:rsidP="00F505AA">
      <w:pPr>
        <w:tabs>
          <w:tab w:val="left" w:pos="-1440"/>
          <w:tab w:val="left" w:pos="-720"/>
          <w:tab w:val="left" w:pos="600"/>
        </w:tabs>
        <w:rPr>
          <w:b/>
          <w:bCs/>
        </w:rPr>
      </w:pPr>
    </w:p>
    <w:p w:rsidR="00F505AA" w:rsidRPr="00E72D0C" w:rsidRDefault="00F505AA" w:rsidP="00F505AA">
      <w:pPr>
        <w:tabs>
          <w:tab w:val="left" w:pos="-1440"/>
          <w:tab w:val="left" w:pos="-720"/>
          <w:tab w:val="left" w:pos="600"/>
        </w:tabs>
        <w:rPr>
          <w:b/>
          <w:bCs/>
        </w:rPr>
      </w:pPr>
      <w:r w:rsidRPr="00E72D0C">
        <w:rPr>
          <w:b/>
          <w:bCs/>
        </w:rPr>
        <w:t>4.3</w:t>
      </w:r>
      <w:r w:rsidRPr="00E72D0C">
        <w:rPr>
          <w:b/>
          <w:bCs/>
        </w:rPr>
        <w:tab/>
        <w:t>Αντενδείξεις</w:t>
      </w:r>
    </w:p>
    <w:p w:rsidR="00F505AA" w:rsidRPr="00E72D0C" w:rsidRDefault="00F505AA" w:rsidP="00F505AA">
      <w:pPr>
        <w:jc w:val="both"/>
      </w:pPr>
    </w:p>
    <w:p w:rsidR="00F505AA" w:rsidRPr="00E72D0C" w:rsidRDefault="00F505AA" w:rsidP="00F505AA">
      <w:pPr>
        <w:autoSpaceDE w:val="0"/>
        <w:autoSpaceDN w:val="0"/>
        <w:adjustRightInd w:val="0"/>
        <w:rPr>
          <w:lang w:eastAsia="el-GR"/>
        </w:rPr>
      </w:pPr>
      <w:r w:rsidRPr="00E72D0C">
        <w:rPr>
          <w:lang w:eastAsia="el-GR"/>
        </w:rPr>
        <w:t>Υπερευαισθησία στη δραστική ουσία ή σε οποιοδήποτε από τα έκδοχα.</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lang w:eastAsia="el-GR"/>
        </w:rPr>
      </w:pPr>
      <w:r w:rsidRPr="00E72D0C">
        <w:rPr>
          <w:lang w:eastAsia="el-GR"/>
        </w:rPr>
        <w:t>Η συγχορήγηση με μη αναστρέψιμους αναστολείς της μονοαμινοξειδάσης (ΜΑΟ) αντενδείκνυται λόγω του κινδύνου εμφάνισης του συνδρόμου σεροτονίνης με συμπτώματα όπως διέγερση, τρόμος και υπερθερμία. Η βενλαφαξίνη δεν πρέπει να ξεκινήσει μέχρι να παρέλθουν τουλάχιστον 14 ημέρες μετά τη διακοπή της θεραπείας με έναν μη αναστρέψιμο αναστολέα της ΜΑΟ.</w:t>
      </w:r>
    </w:p>
    <w:p w:rsidR="00F505AA" w:rsidRPr="00E72D0C" w:rsidRDefault="00F505AA" w:rsidP="00F505AA">
      <w:pPr>
        <w:autoSpaceDE w:val="0"/>
        <w:autoSpaceDN w:val="0"/>
        <w:adjustRightInd w:val="0"/>
        <w:rPr>
          <w:lang w:eastAsia="el-GR"/>
        </w:rPr>
      </w:pPr>
      <w:r w:rsidRPr="00E72D0C">
        <w:rPr>
          <w:lang w:eastAsia="el-GR"/>
        </w:rPr>
        <w:t>Η βενλαφαξίνη πρέπει να διακόπτεται για τουλάχιστον 7 ημέρες πριν την έναρξη της θεραπείας με μη αναστρέψιμο αναστολέα ΜΑΟ (βλ. παραγράφους 4.4 και 4.5).</w:t>
      </w:r>
    </w:p>
    <w:p w:rsidR="00F505AA" w:rsidRPr="00E72D0C" w:rsidRDefault="00F505AA" w:rsidP="00F505AA">
      <w:pPr>
        <w:tabs>
          <w:tab w:val="left" w:pos="-1440"/>
          <w:tab w:val="left" w:pos="-720"/>
        </w:tabs>
        <w:ind w:left="240"/>
        <w:jc w:val="both"/>
      </w:pPr>
    </w:p>
    <w:p w:rsidR="00F505AA" w:rsidRPr="00E72D0C" w:rsidRDefault="00F505AA" w:rsidP="00F505AA">
      <w:pPr>
        <w:tabs>
          <w:tab w:val="left" w:pos="-1440"/>
          <w:tab w:val="left" w:pos="-720"/>
          <w:tab w:val="left" w:pos="0"/>
        </w:tabs>
        <w:ind w:left="600" w:hanging="600"/>
        <w:rPr>
          <w:b/>
          <w:bCs/>
        </w:rPr>
      </w:pPr>
      <w:bookmarkStart w:id="0" w:name="CLINICAL_PRECAUTIONS"/>
      <w:r w:rsidRPr="00E72D0C">
        <w:rPr>
          <w:b/>
          <w:bCs/>
        </w:rPr>
        <w:t>4.4</w:t>
      </w:r>
      <w:r w:rsidRPr="00E72D0C">
        <w:rPr>
          <w:b/>
          <w:bCs/>
        </w:rPr>
        <w:tab/>
        <w:t>Ειδικές προειδοποιήσεις και προφυλάξεις κατά τη χρήση</w:t>
      </w:r>
    </w:p>
    <w:bookmarkEnd w:id="0"/>
    <w:p w:rsidR="00F505AA" w:rsidRPr="00E72D0C" w:rsidRDefault="00F505AA" w:rsidP="00F505AA">
      <w:pPr>
        <w:autoSpaceDE w:val="0"/>
        <w:autoSpaceDN w:val="0"/>
        <w:adjustRightInd w:val="0"/>
        <w:ind w:left="600"/>
        <w:jc w:val="both"/>
        <w:rPr>
          <w:b/>
        </w:rPr>
      </w:pPr>
    </w:p>
    <w:p w:rsidR="00F505AA" w:rsidRPr="00E72D0C" w:rsidRDefault="00F505AA" w:rsidP="00F505AA">
      <w:pPr>
        <w:autoSpaceDE w:val="0"/>
        <w:autoSpaceDN w:val="0"/>
        <w:adjustRightInd w:val="0"/>
        <w:rPr>
          <w:b/>
          <w:lang w:eastAsia="el-GR"/>
        </w:rPr>
      </w:pPr>
      <w:r w:rsidRPr="00E72D0C">
        <w:rPr>
          <w:b/>
          <w:lang w:eastAsia="el-GR"/>
        </w:rPr>
        <w:t>Αυτοκτονία/σκέψεις αυτοκτονίας ή κλινική επιδείνωση</w:t>
      </w:r>
    </w:p>
    <w:p w:rsidR="00F505AA" w:rsidRPr="00E72D0C" w:rsidRDefault="00F505AA" w:rsidP="00F505AA">
      <w:pPr>
        <w:autoSpaceDE w:val="0"/>
        <w:autoSpaceDN w:val="0"/>
        <w:adjustRightInd w:val="0"/>
        <w:rPr>
          <w:lang w:eastAsia="el-GR"/>
        </w:rPr>
      </w:pPr>
      <w:r w:rsidRPr="00E72D0C">
        <w:rPr>
          <w:lang w:eastAsia="el-GR"/>
        </w:rPr>
        <w:t>Η κατάθλιψη σχετίζεται με αυξημένο κίνδυνο αυτοκτονικών σκέψεων, αυτοτραυματισμού και αυτοκτονίας (επεισόδια σχετιζόμενα με αυτοκτονία). Ο κίνδυνος αυτός παραμένει έως ότου επιτευχθεί σημαντική ύφεση. Καθώς μπορεί να μη σημειωθεί βελτίωση κατά τη διάρκεια των πρώτων λίγων εβδομάδων θεραπείας ή περισσότερων, οι ασθενείς θα πρέπει να παρακολουθούνται στενά έως ότου επιτευχθεί τέτοια βελτίωση. Κατά τη γενική κλινική εμπειρία, ο κίνδυνος αυτοκτονίας μπορεί να αυξηθεί κατά τα πρώιμα στάδια ανάρρωσης.</w:t>
      </w:r>
    </w:p>
    <w:p w:rsidR="00F505AA" w:rsidRPr="00E72D0C" w:rsidRDefault="00F505AA" w:rsidP="00F505AA">
      <w:pPr>
        <w:autoSpaceDE w:val="0"/>
        <w:autoSpaceDN w:val="0"/>
        <w:adjustRightInd w:val="0"/>
        <w:rPr>
          <w:lang w:eastAsia="el-GR"/>
        </w:rPr>
      </w:pPr>
      <w:r w:rsidRPr="00E72D0C">
        <w:rPr>
          <w:lang w:eastAsia="el-GR"/>
        </w:rPr>
        <w:t>Άλλες ψυχιατρικές καταστάσεις για τις οποίες η βενλαφαξίνη συνταγογραφείται μπορεί επίσης να σχετίζονται με αυξημένο κίνδυνο επεισοδίων σχετιζόμενων με αυτοκτονία. Επιπρόσθετα, αυτές οι καταστάσεις μπορεί να συνυπάρχουν με μείζονα καταθλιπτική διαταραχή. Για το λόγο αυτό, οι ίδιες προφυλάξεις που λαμβάνονται κατά τη θεραπεία ασθενών με μείζονα καταθλιπτική διαταραχή, θα πρέπει να λαμβάνονται και κατά τη θεραπεία ασθενών με άλλες ψυχιατρικές διαταραχές.</w:t>
      </w:r>
    </w:p>
    <w:p w:rsidR="00F505AA" w:rsidRPr="00E72D0C" w:rsidRDefault="00F505AA" w:rsidP="00F505AA">
      <w:pPr>
        <w:autoSpaceDE w:val="0"/>
        <w:autoSpaceDN w:val="0"/>
        <w:adjustRightInd w:val="0"/>
        <w:rPr>
          <w:lang w:eastAsia="el-GR"/>
        </w:rPr>
      </w:pPr>
      <w:r w:rsidRPr="00E72D0C">
        <w:rPr>
          <w:lang w:eastAsia="el-GR"/>
        </w:rPr>
        <w:t>Ασθενείς με ιστορικό επεισοδίων σχετιζόμενων με αυτοκτονία ή εκείνοι που παρουσιάζουν σημαντικού βαθμού αυτοκτονικό ιδεασμό πριν από την έναρξη της θεραπείας, είναι γνωστό ότι διατρέχουν μεγαλύτερο κίνδυνο αυτοκτονικών σκέψεων ή αποπειρών αυτοκτονίας και γι’ αυτό θα πρέπει να παρακολουθούνται προσεκτικά κατά τη διάρκεια της θεραπείας. Μία μετα-ανάλυση ελεγχόμενων με εικονικό φάρμακο κλινικών δοκιμών με αντικαταθλιπτικά φάρμακα σε ενήλικες ασθενείς με ψυχιατρικές διαταραχές έδειξε αυξημένο κίνδυνο αυτοκτονικής συμπεριφοράς με αντικαταθλιπτικά σε σύγκριση με το εικονικό φάρμακο σε ασθενείς ηλικίας κάτω των 25 ετών.</w:t>
      </w:r>
    </w:p>
    <w:p w:rsidR="00F505AA" w:rsidRPr="00E72D0C" w:rsidRDefault="00F505AA" w:rsidP="00F505AA">
      <w:pPr>
        <w:autoSpaceDE w:val="0"/>
        <w:autoSpaceDN w:val="0"/>
        <w:adjustRightInd w:val="0"/>
        <w:rPr>
          <w:lang w:eastAsia="el-GR"/>
        </w:rPr>
      </w:pPr>
      <w:r w:rsidRPr="00E72D0C">
        <w:rPr>
          <w:lang w:eastAsia="el-GR"/>
        </w:rPr>
        <w:t>Στενή παρακολούθηση των ασθενών, και ιδιαίτερα αυτών που διατρέχουν υψηλό κίνδυνο, θα πρέπει να συνδυάζεται με τη φαρμακευτική αγωγή, ιδιαίτερα στην αρχή της θεραπείας και μετά από αλλαγές στη δοσολογία. Οι ασθενείς (και αυτοί που φροντίζουν τους ασθενείς) θα πρέπει να είναι σε επαγρύπνηση σχετικά με την ανάγκη παρακολούθησης για οποιαδήποτε κλινική επιδείνωση, αυτοκτονική συμπεριφορά ή σκέψεις και οποιεσδήποτε ασυνήθιστες αλλαγές στη συμπεριφορά και να αναζητήσουν ιατρική συμβουλή άμεσα εάν εμφανιστούν αυτά τα συμπτώματα.</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b/>
          <w:lang w:eastAsia="el-GR"/>
        </w:rPr>
      </w:pPr>
      <w:r w:rsidRPr="00E72D0C">
        <w:rPr>
          <w:b/>
          <w:lang w:eastAsia="el-GR"/>
        </w:rPr>
        <w:t>Χορήγηση σε παιδιά και εφήβους κάτω των 18 ετών</w:t>
      </w:r>
    </w:p>
    <w:p w:rsidR="00F505AA" w:rsidRPr="00E72D0C" w:rsidRDefault="00F505AA" w:rsidP="00F505AA">
      <w:pPr>
        <w:autoSpaceDE w:val="0"/>
        <w:autoSpaceDN w:val="0"/>
        <w:adjustRightInd w:val="0"/>
        <w:rPr>
          <w:lang w:eastAsia="el-GR"/>
        </w:rPr>
      </w:pPr>
      <w:r w:rsidRPr="00E72D0C">
        <w:rPr>
          <w:lang w:eastAsia="el-GR"/>
        </w:rPr>
        <w:t xml:space="preserve">Το </w:t>
      </w:r>
      <w:r w:rsidRPr="00E72D0C">
        <w:rPr>
          <w:lang w:val="en-US" w:eastAsia="el-GR"/>
        </w:rPr>
        <w:t>Serosmine</w:t>
      </w:r>
      <w:r w:rsidRPr="00E72D0C">
        <w:rPr>
          <w:lang w:eastAsia="el-GR"/>
        </w:rPr>
        <w:t xml:space="preserve"> δεν πρέπει να χορηγείται για τη θεραπεία παιδιών και εφήβων κάτω των 18 ετών. Η εμφάνιση αυτοκτονικής συμπεριφοράς (απόπειρες αυτοκτονίας και σκέψεις αυτοκτονίας), καθώς και η εμφάνιση εχθρικής συμπεριφοράς (κυρίως επιθετικότητα, εναντιωτική συμπεριφορά και θυμός) παρατηρήθηκαν με μεγαλύτερη συχνότητα σε κλινικές δοκιμές με παιδιά και εφήβους που λάμβαναν αντικαταθλιπτικά σε σύγκριση με εκείνους που λάμβαναν εικονικό φάρμακο. Εάν, εντούτοις, αποφασιστεί να χορηγηθεί σχετική αγωγή, λόγω κλινικής ανάγκης, ο ασθενής πρέπει να παρακολουθείται με προσοχή για την πιθανότητα εμφάνισης αυτοκτονικών συμπτωμάτων. Επιπλέον, δεν υπάρχουν μεγάλης χρονικής διάρκειας στοιχεία ασφάλειας σε παιδιά και εφήβους όσον αφορά τη σωματική τους ανάπτυξη, την ωρίμανση, τη διανοητική ανάπτυξη και την ανάπτυξη της </w:t>
      </w:r>
      <w:r w:rsidRPr="00E72D0C">
        <w:rPr>
          <w:lang w:eastAsia="el-GR"/>
        </w:rPr>
        <w:lastRenderedPageBreak/>
        <w:t>συμπεριφοράς.</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b/>
          <w:lang w:eastAsia="el-GR"/>
        </w:rPr>
      </w:pPr>
      <w:r w:rsidRPr="00E72D0C">
        <w:rPr>
          <w:b/>
          <w:lang w:eastAsia="el-GR"/>
        </w:rPr>
        <w:t>Σύνδρομο σεροτονίνης</w:t>
      </w:r>
    </w:p>
    <w:p w:rsidR="00F505AA" w:rsidRPr="00EB4B63" w:rsidRDefault="00F505AA" w:rsidP="00F505AA">
      <w:pPr>
        <w:autoSpaceDE w:val="0"/>
        <w:autoSpaceDN w:val="0"/>
        <w:adjustRightInd w:val="0"/>
        <w:rPr>
          <w:lang w:eastAsia="el-GR"/>
        </w:rPr>
      </w:pPr>
      <w:r w:rsidRPr="00E72D0C">
        <w:rPr>
          <w:lang w:eastAsia="el-GR"/>
        </w:rPr>
        <w:t>Όπως και με άλλους σεροτονινεργικούς παράγοντες, το σύνδρομο σεροτονίνης, μια κατάσταση πιθανώς απειλητική για τη ζωή, μπορεί να παρατηρηθεί με τη θεραπεία με βενλαφαξίνη, ειδικά κατά την ταυτόχρονη χρήση άλλων παραγόντων, όπως αναστολείς MAO, που μπορεί να επιδρούν στα συστήματα σεροτονινεργικών νευροδιαβιβαστών (βλ. παραγράφους 4.3 και 4.5).</w:t>
      </w:r>
    </w:p>
    <w:p w:rsidR="00F505AA" w:rsidRPr="00E72D0C" w:rsidRDefault="00F505AA" w:rsidP="00F505AA">
      <w:pPr>
        <w:autoSpaceDE w:val="0"/>
        <w:autoSpaceDN w:val="0"/>
        <w:adjustRightInd w:val="0"/>
        <w:rPr>
          <w:lang w:eastAsia="el-GR"/>
        </w:rPr>
      </w:pPr>
      <w:r w:rsidRPr="00E72D0C">
        <w:rPr>
          <w:lang w:eastAsia="el-GR"/>
        </w:rPr>
        <w:t>Τα συμπτώματα του συνδρόμου σεροτονίνης μπορεί να περιλαμβάνουν αλλαγές στην νοητική κατάσταση (π.χ. διέγερση, ψευδαισθήσεις, κώμα), αστάθεια από το αυτόνομο (π.χ. ταχυκαρδία, ασταθή πίεση αίματος, υπερθερμία), διαταραχές της νευρομυϊκής λειτουργίας (π.χ. αύξηση αντανακλαστικών, έλλειψη συντονισμού) και/ή γαστρεντερικά συμπτώματα (ναυτία, έμετος, διάρροια).</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b/>
          <w:lang w:eastAsia="el-GR"/>
        </w:rPr>
      </w:pPr>
      <w:r w:rsidRPr="00E72D0C">
        <w:rPr>
          <w:b/>
          <w:lang w:eastAsia="el-GR"/>
        </w:rPr>
        <w:t>Γλαύκωμα κλειστής γωνίας</w:t>
      </w:r>
    </w:p>
    <w:p w:rsidR="00F505AA" w:rsidRPr="00E72D0C" w:rsidRDefault="00F505AA" w:rsidP="00F505AA">
      <w:pPr>
        <w:autoSpaceDE w:val="0"/>
        <w:autoSpaceDN w:val="0"/>
        <w:adjustRightInd w:val="0"/>
        <w:rPr>
          <w:lang w:eastAsia="el-GR"/>
        </w:rPr>
      </w:pPr>
      <w:r w:rsidRPr="00E72D0C">
        <w:rPr>
          <w:lang w:eastAsia="el-GR"/>
        </w:rPr>
        <w:t>Μπορεί να παρατηρηθεί μυδρίαση, που σχετίζεται με τη βενλαφαξίνη. Συνιστάται να παρακολουθούνται στενά οι ασθενείς με αυξημένη ενδοφθάλμια πίεση ή ασθενείς σε κίνδυνο για γλαύκωμα κλειστής γωνίας.</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b/>
          <w:lang w:eastAsia="el-GR"/>
        </w:rPr>
      </w:pPr>
      <w:r w:rsidRPr="00E72D0C">
        <w:rPr>
          <w:b/>
          <w:lang w:eastAsia="el-GR"/>
        </w:rPr>
        <w:t>Αρτηριακή πίεση</w:t>
      </w:r>
    </w:p>
    <w:p w:rsidR="00F505AA" w:rsidRPr="00E72D0C" w:rsidRDefault="00F505AA" w:rsidP="00F505AA">
      <w:pPr>
        <w:autoSpaceDE w:val="0"/>
        <w:autoSpaceDN w:val="0"/>
        <w:adjustRightInd w:val="0"/>
        <w:rPr>
          <w:lang w:eastAsia="el-GR"/>
        </w:rPr>
      </w:pPr>
      <w:r w:rsidRPr="00E72D0C">
        <w:rPr>
          <w:lang w:eastAsia="el-GR"/>
        </w:rPr>
        <w:t>Δοσοεξαρτώμενες αυξήσεις της αρτηριακής πίεσης έχουν αναφερθεί συχνά με βενλαφαξίνη. Σε μερικές περιπτώσεις, σοβαρή αύξηση της αρτηριακής πίεσης χρήζουσας άμεσης αντιμετώπισης έχει αναφερθεί από την εμπειρία μετά την κυκλοφορία του φαρμάκου. Όλοι οι ασθενείς πρέπει να παρακολουθούνται για υψηλή αρτηριακή πίεση και προϋπάρχουσα υπέρταση θα πρέπει να ελέγχεται πριν την έναρξη της θεραπείας. Η αρτηριακή πίεση πρέπει να ελέγχεται περιοδικά μετά την έναρξη της θεραπείας και μετά από αυξήσεις της δόσης. Χρειάζεται προσοχή σε ασθενείς με συνυπάρχοντα νοσήματα, τα οποία μπορεί να επιδεινωθούν από αυξήσεις της αρτηριακής πίεσης, π.χ. σε αυτούς με διαταραχή της καρδιακής λειτουργίας.</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b/>
          <w:lang w:eastAsia="el-GR"/>
        </w:rPr>
      </w:pPr>
      <w:r w:rsidRPr="00E72D0C">
        <w:rPr>
          <w:b/>
          <w:lang w:eastAsia="el-GR"/>
        </w:rPr>
        <w:t>Καρδιακή συχνότητα</w:t>
      </w:r>
    </w:p>
    <w:p w:rsidR="00F505AA" w:rsidRPr="00E72D0C" w:rsidRDefault="00F505AA" w:rsidP="00F505AA">
      <w:pPr>
        <w:autoSpaceDE w:val="0"/>
        <w:autoSpaceDN w:val="0"/>
        <w:adjustRightInd w:val="0"/>
        <w:rPr>
          <w:lang w:eastAsia="el-GR"/>
        </w:rPr>
      </w:pPr>
      <w:r w:rsidRPr="00E72D0C">
        <w:rPr>
          <w:lang w:eastAsia="el-GR"/>
        </w:rPr>
        <w:t>Μπορεί να συμβούν αυξήσεις της καρδιακής συχνότητας, ιδιαίτερα με υψηλότερες δόσεις. Χρειάζεται προσοχή σε ασθενείς με συνυπάρχοντα νοσήματα που μπορεί να επιδεινωθούν από αυξήσεις της καρδιακής συχνότητας.</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b/>
          <w:lang w:eastAsia="el-GR"/>
        </w:rPr>
      </w:pPr>
      <w:r w:rsidRPr="00E72D0C">
        <w:rPr>
          <w:b/>
          <w:lang w:eastAsia="el-GR"/>
        </w:rPr>
        <w:t>Καρδιοπάθεια και κίνδυνος αρρυθμίας</w:t>
      </w:r>
    </w:p>
    <w:p w:rsidR="00F505AA" w:rsidRPr="00E72D0C" w:rsidRDefault="00F505AA" w:rsidP="00F505AA">
      <w:pPr>
        <w:autoSpaceDE w:val="0"/>
        <w:autoSpaceDN w:val="0"/>
        <w:adjustRightInd w:val="0"/>
        <w:rPr>
          <w:lang w:eastAsia="el-GR"/>
        </w:rPr>
      </w:pPr>
      <w:r w:rsidRPr="00E72D0C">
        <w:rPr>
          <w:lang w:eastAsia="el-GR"/>
        </w:rPr>
        <w:t>Η βενλαφαξίνη δεν έχει αξιολογηθεί σε ασθενείς με πρόσφατο ιστορικό εμφράγματος του μυοκαρδίου ή ασταθούς καρδιοπάθειας. Ως εκ τούτου θα πρέπει να χρησιμοποιείται με προσοχή σε αυτούς τους ασθενείς.</w:t>
      </w:r>
    </w:p>
    <w:p w:rsidR="00F505AA" w:rsidRPr="00E72D0C" w:rsidRDefault="00F505AA" w:rsidP="00F505AA">
      <w:pPr>
        <w:autoSpaceDE w:val="0"/>
        <w:autoSpaceDN w:val="0"/>
        <w:adjustRightInd w:val="0"/>
        <w:rPr>
          <w:lang w:eastAsia="el-GR"/>
        </w:rPr>
      </w:pPr>
      <w:r w:rsidRPr="00E72D0C">
        <w:rPr>
          <w:lang w:eastAsia="el-GR"/>
        </w:rPr>
        <w:t>Σύμφωνα με την αποκτηθείσα εμπειρία μετά την κυκλοφορία του φαρμάκου, θανατηφόρες καρδιακές αρρυθμίες έχουν αναφερθεί με τη χρήση βενλαφαξίνης ιδιαίτερα σε υπερδοσολογία. Πρέπει να λαμβάνεται υπόψη το ισοζύγιο κινδύνου και οφέλους πριν την συνταγογράφηση της βενλαφαξίνης σε ασθενείς με αυξημένο κίνδυνο σοβαρής καρδιακής αρρυθμίας.</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b/>
          <w:lang w:eastAsia="el-GR"/>
        </w:rPr>
      </w:pPr>
      <w:r w:rsidRPr="00E72D0C">
        <w:rPr>
          <w:b/>
          <w:lang w:eastAsia="el-GR"/>
        </w:rPr>
        <w:t>Σπασμοί</w:t>
      </w:r>
    </w:p>
    <w:p w:rsidR="00F505AA" w:rsidRPr="00E72D0C" w:rsidRDefault="00F505AA" w:rsidP="00F505AA">
      <w:pPr>
        <w:autoSpaceDE w:val="0"/>
        <w:autoSpaceDN w:val="0"/>
        <w:adjustRightInd w:val="0"/>
        <w:rPr>
          <w:lang w:eastAsia="el-GR"/>
        </w:rPr>
      </w:pPr>
      <w:r w:rsidRPr="00E72D0C">
        <w:rPr>
          <w:lang w:eastAsia="el-GR"/>
        </w:rPr>
        <w:t>Μπορεί να παρατηρηθούν σπασμοί με τη θεραπεία βενλαφαξίνης. Όπως και όλα τα αντικαταθλιπτικά, η βενλαφαξίνη θα πρέπει να χορηγείται με προσοχή σε ασθενείς με ιστορικό σπασμών, και οι ενδιαφερόμενοι ασθενείς πρέπει να παρακολουθούνται στενά. Η θεραπεία πρέπει να διακόπτεται σε κάθε ασθενή που εμφανίζει σπασμούς.</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b/>
          <w:lang w:eastAsia="el-GR"/>
        </w:rPr>
      </w:pPr>
      <w:r w:rsidRPr="00E72D0C">
        <w:rPr>
          <w:b/>
          <w:lang w:eastAsia="el-GR"/>
        </w:rPr>
        <w:t>Υπονατριαιμία</w:t>
      </w:r>
    </w:p>
    <w:p w:rsidR="00F505AA" w:rsidRPr="00E72D0C" w:rsidRDefault="00F505AA" w:rsidP="00F505AA">
      <w:pPr>
        <w:autoSpaceDE w:val="0"/>
        <w:autoSpaceDN w:val="0"/>
        <w:adjustRightInd w:val="0"/>
        <w:rPr>
          <w:lang w:eastAsia="el-GR"/>
        </w:rPr>
      </w:pPr>
      <w:r w:rsidRPr="00E72D0C">
        <w:rPr>
          <w:lang w:eastAsia="el-GR"/>
        </w:rPr>
        <w:t>Με τη βενλαφαξίνη μπορεί να παρατηρηθεί υπονατριαιμία και/ή σύνδρομο απρόσφορης έκκρισης αντιδιουρητικής ορμόνης (</w:t>
      </w:r>
      <w:r w:rsidRPr="00E72D0C">
        <w:rPr>
          <w:lang w:val="en-US" w:eastAsia="el-GR"/>
        </w:rPr>
        <w:t>Syndrome</w:t>
      </w:r>
      <w:r w:rsidRPr="00E72D0C">
        <w:rPr>
          <w:lang w:eastAsia="el-GR"/>
        </w:rPr>
        <w:t xml:space="preserve"> </w:t>
      </w:r>
      <w:r w:rsidRPr="00E72D0C">
        <w:rPr>
          <w:lang w:val="en-US" w:eastAsia="el-GR"/>
        </w:rPr>
        <w:t>of</w:t>
      </w:r>
      <w:r w:rsidRPr="00E72D0C">
        <w:rPr>
          <w:lang w:eastAsia="el-GR"/>
        </w:rPr>
        <w:t xml:space="preserve"> </w:t>
      </w:r>
      <w:r w:rsidRPr="00E72D0C">
        <w:rPr>
          <w:lang w:val="en-US" w:eastAsia="el-GR"/>
        </w:rPr>
        <w:t>Inappropriate</w:t>
      </w:r>
      <w:r w:rsidRPr="00E72D0C">
        <w:rPr>
          <w:lang w:eastAsia="el-GR"/>
        </w:rPr>
        <w:t xml:space="preserve"> </w:t>
      </w:r>
      <w:r w:rsidRPr="00E72D0C">
        <w:rPr>
          <w:lang w:val="en-US" w:eastAsia="el-GR"/>
        </w:rPr>
        <w:t>Antidiuretic</w:t>
      </w:r>
      <w:r w:rsidRPr="00E72D0C">
        <w:rPr>
          <w:lang w:eastAsia="el-GR"/>
        </w:rPr>
        <w:t xml:space="preserve"> </w:t>
      </w:r>
      <w:r w:rsidRPr="00E72D0C">
        <w:rPr>
          <w:lang w:val="en-US" w:eastAsia="el-GR"/>
        </w:rPr>
        <w:t>Hormone</w:t>
      </w:r>
      <w:r w:rsidRPr="00E72D0C">
        <w:rPr>
          <w:lang w:eastAsia="el-GR"/>
        </w:rPr>
        <w:t xml:space="preserve"> </w:t>
      </w:r>
      <w:r w:rsidRPr="00E72D0C">
        <w:rPr>
          <w:lang w:val="en-US" w:eastAsia="el-GR"/>
        </w:rPr>
        <w:t>secretion</w:t>
      </w:r>
      <w:r w:rsidRPr="00E72D0C">
        <w:rPr>
          <w:lang w:eastAsia="el-GR"/>
        </w:rPr>
        <w:t xml:space="preserve">, </w:t>
      </w:r>
      <w:r w:rsidRPr="00E72D0C">
        <w:rPr>
          <w:lang w:val="en-US" w:eastAsia="el-GR"/>
        </w:rPr>
        <w:t>SIADH</w:t>
      </w:r>
      <w:r w:rsidRPr="00E72D0C">
        <w:rPr>
          <w:lang w:eastAsia="el-GR"/>
        </w:rPr>
        <w:t>). Αυτό παρατηρείται πιο συχνά σε ασθενείς με υποογκαιμία ή αφυδατωμένους ασθενείς. Ηλικιωμένοι ασθενείς, ασθενείς που λαμβάνουν διουρητικά και ασθενείς με υποογκαιμία μπορεί να είναι σε μεγαλύτερο κίνδυνο για αυτό το γεγονός.</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b/>
          <w:lang w:eastAsia="el-GR"/>
        </w:rPr>
      </w:pPr>
      <w:r w:rsidRPr="00E72D0C">
        <w:rPr>
          <w:b/>
          <w:lang w:eastAsia="el-GR"/>
        </w:rPr>
        <w:t>Μη φυσιολογικές αιμορραγικές εκδηλώσεις</w:t>
      </w:r>
    </w:p>
    <w:p w:rsidR="00F505AA" w:rsidRPr="00E72D0C" w:rsidRDefault="00F505AA" w:rsidP="00F505AA">
      <w:pPr>
        <w:autoSpaceDE w:val="0"/>
        <w:autoSpaceDN w:val="0"/>
        <w:adjustRightInd w:val="0"/>
        <w:rPr>
          <w:lang w:eastAsia="el-GR"/>
        </w:rPr>
      </w:pPr>
      <w:r w:rsidRPr="00E72D0C">
        <w:rPr>
          <w:lang w:eastAsia="el-GR"/>
        </w:rPr>
        <w:t xml:space="preserve">Φάρμακα που αναστέλλουν την πρόσληψη σεροτονίνης μπορεί να οδηγήσουν σε διαταραχές της </w:t>
      </w:r>
      <w:r w:rsidRPr="00E72D0C">
        <w:rPr>
          <w:lang w:eastAsia="el-GR"/>
        </w:rPr>
        <w:lastRenderedPageBreak/>
        <w:t>συσσώρευσης των αιμοπεταλίων. Ο κίνδυνος αιμορραγίας του δέρματος και των βλεννογόνων συμπεριλαμβανομένης την γαστρεντερικής αιμορραγίας μπορεί να αυξηθεί στους ασθενείς που λαμβάνουν βενλαφαξίνη. Όπως και με άλλους αναστολείς επαναπρόσληψης της σεροτονίνης, η βενλαφαξίνη πρέπει να χρησιμοποιείται με προσοχή σε ασθενείς με αιμορραγική προδιάθεση, συμπεριλαμβάνοντας τους ασθενείς που λαμβάνουν αντιπηκτικά φάρμακα και αναστολείς αιμοπεταλίων.</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b/>
          <w:lang w:eastAsia="el-GR"/>
        </w:rPr>
      </w:pPr>
      <w:r w:rsidRPr="00E72D0C">
        <w:rPr>
          <w:b/>
          <w:lang w:eastAsia="el-GR"/>
        </w:rPr>
        <w:t>Χοληστερόλη στον ορό</w:t>
      </w:r>
    </w:p>
    <w:p w:rsidR="00F505AA" w:rsidRPr="00E72D0C" w:rsidRDefault="00F505AA" w:rsidP="00F505AA">
      <w:pPr>
        <w:autoSpaceDE w:val="0"/>
        <w:autoSpaceDN w:val="0"/>
        <w:adjustRightInd w:val="0"/>
        <w:rPr>
          <w:lang w:eastAsia="el-GR"/>
        </w:rPr>
      </w:pPr>
      <w:r w:rsidRPr="00E72D0C">
        <w:rPr>
          <w:lang w:eastAsia="el-GR"/>
        </w:rPr>
        <w:t>Σε κλινικές μελέτες ελεγχόμενες με εικονικό φάρμακο (placebo) και διάρκειας τουλάχιστον 3 μηνών, αναφέρθηκαν κλινικώς σημαντικές αυξήσεις στην χοληστερόλη του ορού σε 5,3% των ασθενών στους οποίους χορηγήθηκε βενλαφαξίνη και σε 0,0% των ασθενών στους οποίους χορηγήθηκε εικονικό φάρμακο (placebo). Κατά τη διάρκεια μακρόχρονης θεραπείας, πρέπει να εξετάζεται το ενδεχόμενο παρακολούθησης των επιπέδων χοληστερόλης.</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b/>
          <w:lang w:eastAsia="el-GR"/>
        </w:rPr>
      </w:pPr>
      <w:r w:rsidRPr="00E72D0C">
        <w:rPr>
          <w:b/>
          <w:lang w:eastAsia="el-GR"/>
        </w:rPr>
        <w:t>Συγχορήγηση με φάρμακα κατά της παχυσαρκίας</w:t>
      </w:r>
    </w:p>
    <w:p w:rsidR="00F505AA" w:rsidRPr="00E72D0C" w:rsidRDefault="00F505AA" w:rsidP="00F505AA">
      <w:pPr>
        <w:autoSpaceDE w:val="0"/>
        <w:autoSpaceDN w:val="0"/>
        <w:adjustRightInd w:val="0"/>
        <w:rPr>
          <w:lang w:eastAsia="el-GR"/>
        </w:rPr>
      </w:pPr>
      <w:r w:rsidRPr="00E72D0C">
        <w:rPr>
          <w:lang w:eastAsia="el-GR"/>
        </w:rPr>
        <w:t>Δεν έχει τεκμηριωθεί η ασφάλεια και η αποτελεσματικότητα της θεραπείας με βενλαφαξίνη όταν χορηγείται σε συνδυασμό με φάρμακα κατά της παχυσαρκίας, συμπεριλαμβανομένης της φαιντερμίνης. Η συγχορήγηση βενλαφαξίνης και φαρμάκων κατά της παχυσαρκίας δεν συνιστάται. Η βενλαφαξίνη δεν ενδείκνυται για μείωση σωματικού βάρους είτε από μόνη της είτε σε συνδυασμό με άλλα προϊόντα.</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b/>
          <w:lang w:eastAsia="el-GR"/>
        </w:rPr>
      </w:pPr>
      <w:r w:rsidRPr="00E72D0C">
        <w:rPr>
          <w:b/>
          <w:lang w:eastAsia="el-GR"/>
        </w:rPr>
        <w:t>Μανία/υπομανία</w:t>
      </w:r>
    </w:p>
    <w:p w:rsidR="00F505AA" w:rsidRPr="00E72D0C" w:rsidRDefault="00F505AA" w:rsidP="00F505AA">
      <w:pPr>
        <w:autoSpaceDE w:val="0"/>
        <w:autoSpaceDN w:val="0"/>
        <w:adjustRightInd w:val="0"/>
        <w:rPr>
          <w:lang w:eastAsia="el-GR"/>
        </w:rPr>
      </w:pPr>
      <w:r w:rsidRPr="00E72D0C">
        <w:rPr>
          <w:lang w:eastAsia="el-GR"/>
        </w:rPr>
        <w:t>Μανία/υπομανία μπορεί να εκδηλωθεί σε μικρό ποσοστό ασθενών με διαταραχές διάθεσης οι οποίοι λάμβαναν αντικαταθλιπτικά, συμπεριλαμβανομένης της βενλαφαξίνης. Όπως με άλλα αντικαταθλιπτικά, η βενλαφαξίνη πρέπει να χρησιμοποιείται με προσοχή σε ασθενείς με ιστορικό ή οικογενειακό ιστορικό διπολικής διαταραχής.</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b/>
          <w:lang w:eastAsia="el-GR"/>
        </w:rPr>
      </w:pPr>
      <w:r w:rsidRPr="00E72D0C">
        <w:rPr>
          <w:b/>
          <w:lang w:eastAsia="el-GR"/>
        </w:rPr>
        <w:t>Επιθετικότητα</w:t>
      </w:r>
    </w:p>
    <w:p w:rsidR="00F505AA" w:rsidRPr="00E72D0C" w:rsidRDefault="00F505AA" w:rsidP="00F505AA">
      <w:pPr>
        <w:autoSpaceDE w:val="0"/>
        <w:autoSpaceDN w:val="0"/>
        <w:adjustRightInd w:val="0"/>
        <w:rPr>
          <w:lang w:eastAsia="el-GR"/>
        </w:rPr>
      </w:pPr>
      <w:r w:rsidRPr="00E72D0C">
        <w:rPr>
          <w:lang w:eastAsia="el-GR"/>
        </w:rPr>
        <w:t>Επιθετικότητα μπορεί να εκδηλωθεί σε μικρό αριθμό ασθενών στους οποίους χορηγήθηκαν αντικαταθλιπτικά, συμπεριλαμβανομένης της βενλαφαξίνης. Αυτό αναφέρθηκε στην έναρξη, στις αλλαγές στη δόση και στη διακοπή της θεραπείας.</w:t>
      </w:r>
    </w:p>
    <w:p w:rsidR="00F505AA" w:rsidRPr="00E72D0C" w:rsidRDefault="00F505AA" w:rsidP="00F505AA">
      <w:pPr>
        <w:autoSpaceDE w:val="0"/>
        <w:autoSpaceDN w:val="0"/>
        <w:adjustRightInd w:val="0"/>
        <w:rPr>
          <w:lang w:eastAsia="el-GR"/>
        </w:rPr>
      </w:pPr>
      <w:r w:rsidRPr="00E72D0C">
        <w:rPr>
          <w:lang w:eastAsia="el-GR"/>
        </w:rPr>
        <w:t>Όπως και με άλλα αντικαταθλιπτικά, η βενλαφαξίνη θα πρέπει να χορηγείται με προσοχή σε ασθενείς με ιστορικό επιθετικότητας.</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b/>
          <w:lang w:eastAsia="el-GR"/>
        </w:rPr>
      </w:pPr>
      <w:r w:rsidRPr="00E72D0C">
        <w:rPr>
          <w:b/>
          <w:lang w:eastAsia="el-GR"/>
        </w:rPr>
        <w:t>Διακοπή της θεραπείας</w:t>
      </w:r>
    </w:p>
    <w:p w:rsidR="00F505AA" w:rsidRPr="00E72D0C" w:rsidRDefault="00F505AA" w:rsidP="00F505AA">
      <w:pPr>
        <w:autoSpaceDE w:val="0"/>
        <w:autoSpaceDN w:val="0"/>
        <w:adjustRightInd w:val="0"/>
        <w:rPr>
          <w:lang w:eastAsia="el-GR"/>
        </w:rPr>
      </w:pPr>
      <w:r w:rsidRPr="00E72D0C">
        <w:rPr>
          <w:lang w:eastAsia="el-GR"/>
        </w:rPr>
        <w:t>Όταν η θεραπεία διακόπτεται παρατηρούνται συχνά τα συμπτώματα στέρησης, ειδικά εάν η διακοπή είναι απότομη (βλ. παράγραφο 4.8). Σε κλινικές μελέτες, οι ανεπιθύμητες ενέργειες που</w:t>
      </w:r>
      <w:r w:rsidRPr="00E72D0C">
        <w:rPr>
          <w:sz w:val="16"/>
          <w:szCs w:val="16"/>
          <w:lang w:eastAsia="el-GR"/>
        </w:rPr>
        <w:t xml:space="preserve"> </w:t>
      </w:r>
      <w:r w:rsidRPr="00E72D0C">
        <w:rPr>
          <w:lang w:eastAsia="el-GR"/>
        </w:rPr>
        <w:t>παρουσιάζονται στη διακοπή της θεραπείας (σταδιακή μείωση και μετά την σταδιακή μείωση) εμφανίζονται περίπου στο 31% των ασθενών στους οποίους χορηγείται βενλαφαξίνη και στο 17% των ασθενών που λαμβάνουν εικονικό φάρμακο (placebo).</w:t>
      </w:r>
    </w:p>
    <w:p w:rsidR="00F505AA" w:rsidRPr="00E72D0C" w:rsidRDefault="00F505AA" w:rsidP="00F505AA">
      <w:pPr>
        <w:autoSpaceDE w:val="0"/>
        <w:autoSpaceDN w:val="0"/>
        <w:adjustRightInd w:val="0"/>
        <w:rPr>
          <w:lang w:eastAsia="el-GR"/>
        </w:rPr>
      </w:pPr>
      <w:r w:rsidRPr="00E72D0C">
        <w:rPr>
          <w:lang w:eastAsia="el-GR"/>
        </w:rPr>
        <w:t>Ο κίνδυνος των συμπτωμάτων στέρησης μπορεί να εξαρτάται από διάφορους παράγοντες, συμπεριλαμβανομένης της διάρκειας και της δόσης της θεραπείας καθώς και του ρυθμού μείωσης της δόσης. Οι πιο συνηθισμένες αντιδράσεις που αναφέρονται είναι η ζάλη, διαταραχές αισθητικότητας (συμπεριλαμβανομένης της παραισθησίας), διαταραχές ύπνου (συμπεριλαμβανομένης αϋπνίας και έντονα όνειρα), διέγερση ή άγχος, ναυτία και/ή έμετος, τρόμος και κεφαλαλγία. Γενικά, αυτά τα συμπτώματα είναι ήπια έως μέτρια, ωστόσο σε μερικούς ασθενείς μπορεί η ένταση να είναι σε μεγαλύτερο βαθμό. Αυτά συνήθως εκδηλώνονται μέσα στις πρώτες μερικές ημέρες από τη διακοπή της θεραπείας, αλλά υπάρχουν πολύ σπάνιες αναφορές αυτών των συμπτωμάτων σε ασθενείς που έχουν χάσει ακούσια μια δόση. Γενικά, αυτά τα συμπτώματα είναι αυτοπεριοριζόμενα και συνήθως υποχωρούν μέσα σε 2 εβδομάδες, αν και σε μερικούς ασθενείς τα συμπτώματα αυτά μπορεί να παραταθούν (2-3 μήνες ή περισσότερο). Επομένως, συνιστάται η βενλαφαξίνη να μειώνεται βαθμιαία όταν διακόπτεται η θεραπεία πάνω από</w:t>
      </w:r>
      <w:r w:rsidRPr="00E72D0C">
        <w:rPr>
          <w:sz w:val="20"/>
          <w:lang w:eastAsia="el-GR"/>
        </w:rPr>
        <w:t xml:space="preserve"> </w:t>
      </w:r>
      <w:r w:rsidRPr="00E72D0C">
        <w:rPr>
          <w:lang w:eastAsia="el-GR"/>
        </w:rPr>
        <w:t>μια περίοδο αρκετών εβδομάδων ή μηνών, σύμφωνα με τις ανάγκες του ασθενή (βλ. παράγραφο 4.2).</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b/>
          <w:color w:val="000000"/>
          <w:lang w:eastAsia="el-GR"/>
        </w:rPr>
      </w:pPr>
      <w:r w:rsidRPr="00E72D0C">
        <w:rPr>
          <w:b/>
          <w:color w:val="000000"/>
          <w:lang w:eastAsia="el-GR"/>
        </w:rPr>
        <w:t>Ακαθησία/ψυχοκινητική ανησυχία</w:t>
      </w:r>
    </w:p>
    <w:p w:rsidR="00F505AA" w:rsidRPr="00E72D0C" w:rsidRDefault="00F505AA" w:rsidP="00F505AA">
      <w:pPr>
        <w:autoSpaceDE w:val="0"/>
        <w:autoSpaceDN w:val="0"/>
        <w:adjustRightInd w:val="0"/>
        <w:rPr>
          <w:lang w:eastAsia="el-GR"/>
        </w:rPr>
      </w:pPr>
      <w:r w:rsidRPr="00E72D0C">
        <w:rPr>
          <w:lang w:eastAsia="el-GR"/>
        </w:rPr>
        <w:t xml:space="preserve">Η χρήση βενλαφαξίνης έχει συνδεθεί με την εμφάνιση ακαθησίας, χαρακτηριζόμενη από υποκειμενική δυσάρεστη ή δυσχερή ανησυχία και την ανάγκη για συχνή κίνηση, συνοδευόμενη από </w:t>
      </w:r>
      <w:r w:rsidRPr="00E72D0C">
        <w:rPr>
          <w:lang w:eastAsia="el-GR"/>
        </w:rPr>
        <w:lastRenderedPageBreak/>
        <w:t>ανικανότητα να καθίσετε ή να σταθείτε ακίνητοι. Αυτό πιθανόν να συμβεί μέσα στις πρώτες εβδομάδες της θεραπείας. Σε ασθενείς που παρουσιάζουν αυτά τα συμπτώματα η αύξηση της δόσης μπορεί να είναι επιβλαβής.</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b/>
          <w:lang w:eastAsia="el-GR"/>
        </w:rPr>
      </w:pPr>
      <w:r w:rsidRPr="00E72D0C">
        <w:rPr>
          <w:b/>
          <w:lang w:eastAsia="el-GR"/>
        </w:rPr>
        <w:t>Ξηροστομία</w:t>
      </w:r>
    </w:p>
    <w:p w:rsidR="00F505AA" w:rsidRPr="00E72D0C" w:rsidRDefault="00F505AA" w:rsidP="00F505AA">
      <w:pPr>
        <w:autoSpaceDE w:val="0"/>
        <w:autoSpaceDN w:val="0"/>
        <w:adjustRightInd w:val="0"/>
        <w:rPr>
          <w:lang w:eastAsia="el-GR"/>
        </w:rPr>
      </w:pPr>
      <w:r w:rsidRPr="00E72D0C">
        <w:rPr>
          <w:lang w:eastAsia="el-GR"/>
        </w:rPr>
        <w:t>Ξηροστομία αναφέρεται στο 10% των ασθενών που λαμβάνουν βενλαφαξίνη. Αυτό μπορεί να αυξήσει τον κίνδυνο της τερηδόνας και οι ασθενείς πρέπει να ενημερώνονται για την σημασία της υγιεινής των δοντιών.</w:t>
      </w:r>
    </w:p>
    <w:p w:rsidR="009660E4" w:rsidRPr="00EB4B63" w:rsidRDefault="009660E4" w:rsidP="00F505AA">
      <w:pPr>
        <w:autoSpaceDE w:val="0"/>
        <w:autoSpaceDN w:val="0"/>
        <w:adjustRightInd w:val="0"/>
        <w:rPr>
          <w:b/>
          <w:color w:val="000000"/>
          <w:lang w:eastAsia="el-GR"/>
        </w:rPr>
      </w:pPr>
    </w:p>
    <w:p w:rsidR="009660E4" w:rsidRPr="009660E4" w:rsidRDefault="009660E4" w:rsidP="00F505AA">
      <w:pPr>
        <w:autoSpaceDE w:val="0"/>
        <w:autoSpaceDN w:val="0"/>
        <w:adjustRightInd w:val="0"/>
        <w:rPr>
          <w:b/>
          <w:color w:val="000000"/>
          <w:u w:val="single"/>
          <w:lang w:eastAsia="el-GR"/>
        </w:rPr>
      </w:pPr>
      <w:r w:rsidRPr="009660E4">
        <w:rPr>
          <w:b/>
          <w:color w:val="000000"/>
          <w:u w:val="single"/>
          <w:lang w:eastAsia="el-GR"/>
        </w:rPr>
        <w:t>Διαβήτης</w:t>
      </w:r>
    </w:p>
    <w:p w:rsidR="009660E4" w:rsidRDefault="009660E4" w:rsidP="009660E4">
      <w:pPr>
        <w:autoSpaceDE w:val="0"/>
        <w:autoSpaceDN w:val="0"/>
        <w:adjustRightInd w:val="0"/>
        <w:rPr>
          <w:color w:val="000000"/>
          <w:lang w:eastAsia="el-GR"/>
        </w:rPr>
      </w:pPr>
      <w:r w:rsidRPr="009660E4">
        <w:rPr>
          <w:color w:val="000000"/>
          <w:lang w:eastAsia="el-GR"/>
        </w:rPr>
        <w:t xml:space="preserve">Για ασθενείς που πάσχουν από διαβήτη, η θεραπεία με </w:t>
      </w:r>
      <w:r>
        <w:rPr>
          <w:color w:val="000000"/>
          <w:lang w:val="en-US" w:eastAsia="el-GR"/>
        </w:rPr>
        <w:t>SSRI</w:t>
      </w:r>
      <w:r w:rsidRPr="00EB4B63">
        <w:rPr>
          <w:color w:val="000000"/>
          <w:lang w:eastAsia="el-GR"/>
        </w:rPr>
        <w:t xml:space="preserve"> </w:t>
      </w:r>
      <w:r>
        <w:rPr>
          <w:color w:val="000000"/>
          <w:lang w:eastAsia="el-GR"/>
        </w:rPr>
        <w:t>ή βενλαφαξίνη</w:t>
      </w:r>
      <w:r w:rsidRPr="009660E4">
        <w:rPr>
          <w:color w:val="000000"/>
          <w:lang w:eastAsia="el-GR"/>
        </w:rPr>
        <w:t xml:space="preserve"> μπορεί</w:t>
      </w:r>
      <w:r>
        <w:rPr>
          <w:color w:val="000000"/>
          <w:lang w:eastAsia="el-GR"/>
        </w:rPr>
        <w:t xml:space="preserve"> </w:t>
      </w:r>
      <w:r w:rsidRPr="009660E4">
        <w:rPr>
          <w:color w:val="000000"/>
          <w:lang w:eastAsia="el-GR"/>
        </w:rPr>
        <w:t xml:space="preserve">να επηρεάσει τον έλεγχο </w:t>
      </w:r>
      <w:r>
        <w:rPr>
          <w:color w:val="000000"/>
          <w:lang w:eastAsia="el-GR"/>
        </w:rPr>
        <w:t xml:space="preserve">της </w:t>
      </w:r>
      <w:r w:rsidRPr="009660E4">
        <w:rPr>
          <w:color w:val="000000"/>
          <w:lang w:eastAsia="el-GR"/>
        </w:rPr>
        <w:t>γλυκόζης.</w:t>
      </w:r>
      <w:r>
        <w:rPr>
          <w:color w:val="000000"/>
          <w:lang w:eastAsia="el-GR"/>
        </w:rPr>
        <w:t xml:space="preserve"> Η δόση της ινσουλίνης και/ ή των</w:t>
      </w:r>
      <w:r w:rsidRPr="009660E4">
        <w:rPr>
          <w:color w:val="000000"/>
          <w:lang w:eastAsia="el-GR"/>
        </w:rPr>
        <w:t xml:space="preserve"> από του στόματος</w:t>
      </w:r>
      <w:r>
        <w:rPr>
          <w:color w:val="000000"/>
          <w:lang w:eastAsia="el-GR"/>
        </w:rPr>
        <w:t xml:space="preserve"> αντιδιαβητικών</w:t>
      </w:r>
      <w:r w:rsidR="0012459C" w:rsidRPr="00EB4B63">
        <w:rPr>
          <w:color w:val="000000"/>
          <w:lang w:eastAsia="el-GR"/>
        </w:rPr>
        <w:t xml:space="preserve"> </w:t>
      </w:r>
      <w:r w:rsidR="0012459C">
        <w:rPr>
          <w:color w:val="000000"/>
          <w:lang w:eastAsia="el-GR"/>
        </w:rPr>
        <w:t>φαρμάκων</w:t>
      </w:r>
      <w:r>
        <w:rPr>
          <w:color w:val="000000"/>
          <w:lang w:eastAsia="el-GR"/>
        </w:rPr>
        <w:t xml:space="preserve"> </w:t>
      </w:r>
      <w:r w:rsidRPr="009660E4">
        <w:rPr>
          <w:color w:val="000000"/>
          <w:lang w:eastAsia="el-GR"/>
        </w:rPr>
        <w:t>ενδεχομένως να απαιτήσουν ρύθμιση.</w:t>
      </w:r>
    </w:p>
    <w:p w:rsidR="001F06DC" w:rsidRPr="001F06DC" w:rsidRDefault="001F06DC" w:rsidP="009660E4">
      <w:pPr>
        <w:autoSpaceDE w:val="0"/>
        <w:autoSpaceDN w:val="0"/>
        <w:adjustRightInd w:val="0"/>
        <w:rPr>
          <w:color w:val="000000"/>
          <w:lang w:eastAsia="el-GR"/>
        </w:rPr>
      </w:pPr>
    </w:p>
    <w:p w:rsidR="00F505AA" w:rsidRPr="002B1E9A" w:rsidRDefault="00F505AA" w:rsidP="00F505AA">
      <w:pPr>
        <w:autoSpaceDE w:val="0"/>
        <w:autoSpaceDN w:val="0"/>
        <w:adjustRightInd w:val="0"/>
        <w:rPr>
          <w:b/>
          <w:color w:val="000000"/>
          <w:lang w:eastAsia="el-GR"/>
        </w:rPr>
      </w:pPr>
      <w:r w:rsidRPr="002B1E9A">
        <w:rPr>
          <w:b/>
          <w:color w:val="000000"/>
          <w:lang w:eastAsia="el-GR"/>
        </w:rPr>
        <w:t>Πιθανότητα γαστρεντερικής απόφραξης</w:t>
      </w:r>
    </w:p>
    <w:p w:rsidR="00F505AA" w:rsidRPr="002B1E9A" w:rsidRDefault="00F505AA" w:rsidP="00F505AA">
      <w:pPr>
        <w:autoSpaceDE w:val="0"/>
        <w:autoSpaceDN w:val="0"/>
        <w:adjustRightInd w:val="0"/>
        <w:rPr>
          <w:color w:val="000000"/>
          <w:lang w:eastAsia="el-GR"/>
        </w:rPr>
      </w:pPr>
      <w:r w:rsidRPr="002B1E9A">
        <w:rPr>
          <w:color w:val="000000"/>
          <w:lang w:eastAsia="el-GR"/>
        </w:rPr>
        <w:t xml:space="preserve">Επειδή το παρατεταμένης αποδέσμευσης δισκίο </w:t>
      </w:r>
      <w:r w:rsidR="002D47A0" w:rsidRPr="002B1E9A">
        <w:rPr>
          <w:color w:val="000000"/>
          <w:lang w:val="en-US" w:eastAsia="el-GR"/>
        </w:rPr>
        <w:t>Serosmine</w:t>
      </w:r>
      <w:r w:rsidR="002D47A0" w:rsidRPr="002B1E9A">
        <w:rPr>
          <w:color w:val="000000"/>
          <w:lang w:eastAsia="el-GR"/>
        </w:rPr>
        <w:t xml:space="preserve"> </w:t>
      </w:r>
      <w:r w:rsidRPr="002B1E9A">
        <w:rPr>
          <w:color w:val="000000"/>
          <w:lang w:eastAsia="el-GR"/>
        </w:rPr>
        <w:t>δεν χάνει το σχήμα του και δεν αλλάζει το σχήμα του περιβλήματος του μέσα στο γαστρεντερικό σωλήνα, κανονικά δεν πρέπει να χορηγείται σε ασθενείς με προϋπάρχουσα, σοβαρή στένωση του γαστρεντερικού (παθολογική ή ιατρογενής) ή σε ασθενείς με δυσφαγία ή σημαντική δυσκολία κατάποσης δισκίων. Υπήρξαν σπάνιες αναφορές συμπτωμάτων απόφραξης σε ασθενείς με γνωστή στένωση σε σχέση με την πέψη φαρμάκων σε μορφές παρατεταμένης αποδέσμευσης που δεν χάνουν το σχήμα του περιβλήματος τους.</w:t>
      </w:r>
    </w:p>
    <w:p w:rsidR="00F505AA" w:rsidRPr="002B1E9A" w:rsidRDefault="00F505AA" w:rsidP="00F505AA">
      <w:pPr>
        <w:autoSpaceDE w:val="0"/>
        <w:autoSpaceDN w:val="0"/>
        <w:adjustRightInd w:val="0"/>
        <w:rPr>
          <w:lang w:eastAsia="el-GR"/>
        </w:rPr>
      </w:pPr>
      <w:r w:rsidRPr="002B1E9A">
        <w:rPr>
          <w:color w:val="000000"/>
          <w:lang w:eastAsia="el-GR"/>
        </w:rPr>
        <w:t xml:space="preserve">Λόγω του σχεδιασμού του δισκίου παρατεταμένης αποδέσμευσης του </w:t>
      </w:r>
      <w:r w:rsidRPr="002B1E9A">
        <w:rPr>
          <w:color w:val="000000"/>
          <w:lang w:val="en-US" w:eastAsia="el-GR"/>
        </w:rPr>
        <w:t>Serosmine</w:t>
      </w:r>
      <w:r w:rsidRPr="002B1E9A">
        <w:rPr>
          <w:color w:val="000000"/>
          <w:lang w:eastAsia="el-GR"/>
        </w:rPr>
        <w:t xml:space="preserve"> θα πρέπει να χρησιμοποιείται μόνο από ασθενείς που μπορούν να καταπιούν το δισκίο ολόκληρο (βλ.</w:t>
      </w:r>
      <w:r w:rsidR="002B1E9A" w:rsidRPr="00EB4B63">
        <w:rPr>
          <w:color w:val="000000"/>
          <w:lang w:eastAsia="el-GR"/>
        </w:rPr>
        <w:t xml:space="preserve"> </w:t>
      </w:r>
      <w:r w:rsidR="002B1E9A">
        <w:rPr>
          <w:color w:val="000000"/>
          <w:lang w:eastAsia="el-GR"/>
        </w:rPr>
        <w:t>παράγραφο</w:t>
      </w:r>
      <w:r w:rsidR="002B1E9A" w:rsidRPr="00EB4B63">
        <w:rPr>
          <w:color w:val="000000"/>
          <w:lang w:eastAsia="el-GR"/>
        </w:rPr>
        <w:t xml:space="preserve"> </w:t>
      </w:r>
      <w:r w:rsidRPr="002B1E9A">
        <w:rPr>
          <w:lang w:eastAsia="el-GR"/>
        </w:rPr>
        <w:t>4.2).</w:t>
      </w:r>
    </w:p>
    <w:p w:rsidR="00F505AA" w:rsidRPr="002B1E9A" w:rsidRDefault="00F505AA" w:rsidP="00F505AA">
      <w:pPr>
        <w:tabs>
          <w:tab w:val="left" w:pos="6096"/>
        </w:tabs>
        <w:autoSpaceDE w:val="0"/>
        <w:autoSpaceDN w:val="0"/>
        <w:adjustRightInd w:val="0"/>
        <w:jc w:val="both"/>
        <w:rPr>
          <w:lang w:eastAsia="el-GR"/>
        </w:rPr>
      </w:pPr>
    </w:p>
    <w:p w:rsidR="00F505AA" w:rsidRPr="002B1E9A" w:rsidRDefault="00F505AA" w:rsidP="00F505AA">
      <w:pPr>
        <w:tabs>
          <w:tab w:val="left" w:pos="6096"/>
        </w:tabs>
        <w:autoSpaceDE w:val="0"/>
        <w:autoSpaceDN w:val="0"/>
        <w:adjustRightInd w:val="0"/>
        <w:jc w:val="both"/>
      </w:pPr>
      <w:r w:rsidRPr="002B1E9A">
        <w:t>Τ</w:t>
      </w:r>
      <w:r w:rsidR="00B85C43" w:rsidRPr="002B1E9A">
        <w:t>α</w:t>
      </w:r>
      <w:r w:rsidRPr="002B1E9A">
        <w:t xml:space="preserve"> δισκία παρατεταμένης αποδέσμευσης </w:t>
      </w:r>
      <w:r w:rsidR="00B85C43" w:rsidRPr="002B1E9A">
        <w:rPr>
          <w:lang w:val="es-ES"/>
        </w:rPr>
        <w:t>Serosmine</w:t>
      </w:r>
      <w:r w:rsidR="00B85C43" w:rsidRPr="002B1E9A">
        <w:t xml:space="preserve"> </w:t>
      </w:r>
      <w:r w:rsidRPr="002B1E9A">
        <w:t>περιέχ</w:t>
      </w:r>
      <w:r w:rsidR="00B85C43" w:rsidRPr="002B1E9A">
        <w:t>ουν</w:t>
      </w:r>
      <w:r w:rsidRPr="002B1E9A">
        <w:t xml:space="preserve"> λακτόζη.</w:t>
      </w:r>
    </w:p>
    <w:p w:rsidR="00F505AA" w:rsidRPr="00E72D0C" w:rsidRDefault="00F505AA" w:rsidP="00F505AA">
      <w:pPr>
        <w:jc w:val="both"/>
      </w:pPr>
      <w:r w:rsidRPr="002B1E9A">
        <w:t>Οι ασθενείς με σπάνια κληρονομικά προβλήματα δυσανεξίας στη γαλακτόζη, ανεπάρκειας της λακτάσης Lapp ή δυσαπορρόφησης της γλυκόζης-γαλακτόζης δεν θα πρέπει να λαμβάνουν αυτό το προϊόν.</w:t>
      </w:r>
    </w:p>
    <w:p w:rsidR="00F505AA" w:rsidRPr="00E72D0C" w:rsidRDefault="00F505AA" w:rsidP="00F505AA">
      <w:pPr>
        <w:ind w:left="600"/>
        <w:jc w:val="both"/>
      </w:pPr>
    </w:p>
    <w:p w:rsidR="00F505AA" w:rsidRPr="00E72D0C" w:rsidRDefault="00F505AA" w:rsidP="00F505AA">
      <w:pPr>
        <w:tabs>
          <w:tab w:val="left" w:pos="-1440"/>
          <w:tab w:val="left" w:pos="-720"/>
          <w:tab w:val="left" w:pos="0"/>
        </w:tabs>
        <w:ind w:left="600" w:hanging="600"/>
        <w:rPr>
          <w:b/>
          <w:bCs/>
        </w:rPr>
      </w:pPr>
      <w:bookmarkStart w:id="1" w:name="INTERACTIONS"/>
      <w:r w:rsidRPr="00E72D0C">
        <w:rPr>
          <w:b/>
          <w:bCs/>
        </w:rPr>
        <w:t>4.5</w:t>
      </w:r>
      <w:r w:rsidRPr="00E72D0C">
        <w:rPr>
          <w:b/>
          <w:bCs/>
        </w:rPr>
        <w:tab/>
        <w:t>Αλληλεπιδράσεις με άλλα φαρμακευτικά προϊόντα και άλλες μορφές αλληλεπίδρασης</w:t>
      </w:r>
    </w:p>
    <w:bookmarkEnd w:id="1"/>
    <w:p w:rsidR="00F505AA" w:rsidRPr="00E72D0C" w:rsidRDefault="00F505AA" w:rsidP="00F505AA">
      <w:pPr>
        <w:jc w:val="both"/>
      </w:pPr>
    </w:p>
    <w:p w:rsidR="00F505AA" w:rsidRPr="00E72D0C" w:rsidRDefault="00F505AA" w:rsidP="00F505AA">
      <w:pPr>
        <w:autoSpaceDE w:val="0"/>
        <w:autoSpaceDN w:val="0"/>
        <w:adjustRightInd w:val="0"/>
        <w:rPr>
          <w:b/>
          <w:lang w:eastAsia="el-GR"/>
        </w:rPr>
      </w:pPr>
      <w:bookmarkStart w:id="2" w:name="PREGNANCY"/>
      <w:r w:rsidRPr="00E72D0C">
        <w:rPr>
          <w:b/>
          <w:lang w:eastAsia="el-GR"/>
        </w:rPr>
        <w:t>Αναστολείς της ΜΑΟ</w:t>
      </w:r>
    </w:p>
    <w:p w:rsidR="00F505AA" w:rsidRPr="00E72D0C" w:rsidRDefault="00F505AA" w:rsidP="001F06DC">
      <w:pPr>
        <w:autoSpaceDE w:val="0"/>
        <w:autoSpaceDN w:val="0"/>
        <w:adjustRightInd w:val="0"/>
        <w:ind w:left="284" w:hanging="142"/>
        <w:rPr>
          <w:b/>
          <w:iCs/>
          <w:lang w:eastAsia="el-GR"/>
        </w:rPr>
      </w:pPr>
      <w:r w:rsidRPr="00E72D0C">
        <w:rPr>
          <w:b/>
          <w:iCs/>
          <w:lang w:eastAsia="el-GR"/>
        </w:rPr>
        <w:t>-</w:t>
      </w:r>
      <w:r>
        <w:rPr>
          <w:b/>
          <w:iCs/>
          <w:lang w:eastAsia="el-GR"/>
        </w:rPr>
        <w:t xml:space="preserve"> </w:t>
      </w:r>
      <w:r w:rsidRPr="00E72D0C">
        <w:rPr>
          <w:b/>
          <w:iCs/>
          <w:lang w:eastAsia="el-GR"/>
        </w:rPr>
        <w:t>Μη αναστρέψιμοι, μη εκλεκτικοί αναστολείς της ΜΑΟ</w:t>
      </w:r>
    </w:p>
    <w:p w:rsidR="00F505AA" w:rsidRPr="00E72D0C" w:rsidRDefault="00F505AA" w:rsidP="001F06DC">
      <w:pPr>
        <w:autoSpaceDE w:val="0"/>
        <w:autoSpaceDN w:val="0"/>
        <w:adjustRightInd w:val="0"/>
        <w:ind w:left="284"/>
        <w:rPr>
          <w:lang w:eastAsia="el-GR"/>
        </w:rPr>
      </w:pPr>
      <w:r w:rsidRPr="00E72D0C">
        <w:rPr>
          <w:lang w:eastAsia="el-GR"/>
        </w:rPr>
        <w:t>Η βενλαφαξίνη δεν πρέπει να χρησιμοποιείται σε συνδυασμό με μη αναστρέψιμους, μη εκλεκτικούς αναστολείς της ΜΑΟ. Η βενλαφαξίνη δεν πρέπει να ξεκινήσει για τουλάχιστον 14 ημέρες μετά τη διακοπή της θεραπείας με έναν μη αναστρέψιμο μη εκλεκτικό αναστολέα της ΜΑΟ. Η βενλαφαξίνη πρέπει να διακοπεί για τουλάχιστον 7 ημέρες πριν ξεκινήσει η θεραπεία με έναν μη αναστρέψιμο μη εκλεκτικό αναστολέα της ΜΑΟ (βλ. παραγράφους 4.3 και 4.4).</w:t>
      </w:r>
    </w:p>
    <w:p w:rsidR="00F505AA" w:rsidRPr="00E72D0C" w:rsidRDefault="00F505AA" w:rsidP="001F06DC">
      <w:pPr>
        <w:autoSpaceDE w:val="0"/>
        <w:autoSpaceDN w:val="0"/>
        <w:adjustRightInd w:val="0"/>
        <w:ind w:left="284" w:hanging="142"/>
        <w:rPr>
          <w:b/>
          <w:iCs/>
          <w:lang w:eastAsia="el-GR"/>
        </w:rPr>
      </w:pPr>
      <w:r>
        <w:rPr>
          <w:b/>
          <w:iCs/>
          <w:lang w:eastAsia="el-GR"/>
        </w:rPr>
        <w:t xml:space="preserve">- </w:t>
      </w:r>
      <w:r w:rsidRPr="00E72D0C">
        <w:rPr>
          <w:b/>
          <w:iCs/>
          <w:lang w:eastAsia="el-GR"/>
        </w:rPr>
        <w:t>Αναστρέψιμος, εκλεκτικός αναστολέας της ΜΑΟ-Α (μοκλοβεμίδη)</w:t>
      </w:r>
    </w:p>
    <w:p w:rsidR="00F505AA" w:rsidRPr="00E72D0C" w:rsidRDefault="00F505AA" w:rsidP="001F06DC">
      <w:pPr>
        <w:autoSpaceDE w:val="0"/>
        <w:autoSpaceDN w:val="0"/>
        <w:adjustRightInd w:val="0"/>
        <w:ind w:left="284"/>
        <w:rPr>
          <w:lang w:eastAsia="el-GR"/>
        </w:rPr>
      </w:pPr>
      <w:r w:rsidRPr="00E72D0C">
        <w:rPr>
          <w:lang w:eastAsia="el-GR"/>
        </w:rPr>
        <w:t>Δεν συνιστάται ο συνδυασμός βενλαφαξίνης με έναν αναστρέψιμο και εκλεκτικό αναστολέα της ΜΑΟ όπως είναι η μοκλοβεμίδη λόγω του κινδύνου συνδρόμου σεροτονίνης. Μετά τη θεραπεία με έναν αναστρέψιμο αναστολέα της ΜΑΟ, μια περίοδος απόσυρσης του φαρμάκου μικρότερη των 14 ημερών μπορεί να χρησιμοποιηθεί πριν την έναρξη της θεραπείας με βενλαφαξίνη. Η χορήγηση βενλαφαξίνης πρέπει να διακοπεί για τουλάχιστον 7 ημέρες πριν την έναρξη της θεραπείας με έναν αναστρέψιμο αναστολέα της ΜΑΟ (βλ. παράγραφο 4.4).</w:t>
      </w:r>
    </w:p>
    <w:p w:rsidR="00F505AA" w:rsidRPr="00E72D0C" w:rsidRDefault="00F505AA" w:rsidP="001F06DC">
      <w:pPr>
        <w:autoSpaceDE w:val="0"/>
        <w:autoSpaceDN w:val="0"/>
        <w:adjustRightInd w:val="0"/>
        <w:ind w:left="284" w:hanging="142"/>
        <w:rPr>
          <w:b/>
          <w:iCs/>
          <w:lang w:eastAsia="el-GR"/>
        </w:rPr>
      </w:pPr>
      <w:r>
        <w:rPr>
          <w:b/>
          <w:iCs/>
          <w:lang w:eastAsia="el-GR"/>
        </w:rPr>
        <w:t xml:space="preserve">- </w:t>
      </w:r>
      <w:r w:rsidRPr="00E72D0C">
        <w:rPr>
          <w:b/>
          <w:iCs/>
          <w:lang w:eastAsia="el-GR"/>
        </w:rPr>
        <w:t>Αναστρέψιμος, μη εκλεκτικός αναστολέας της ΜΑΟ (λινεζολίδη)</w:t>
      </w:r>
    </w:p>
    <w:p w:rsidR="00F505AA" w:rsidRPr="00E72D0C" w:rsidRDefault="00F505AA" w:rsidP="001F06DC">
      <w:pPr>
        <w:autoSpaceDE w:val="0"/>
        <w:autoSpaceDN w:val="0"/>
        <w:adjustRightInd w:val="0"/>
        <w:ind w:left="284"/>
        <w:rPr>
          <w:lang w:eastAsia="el-GR"/>
        </w:rPr>
      </w:pPr>
      <w:r w:rsidRPr="00E72D0C">
        <w:rPr>
          <w:lang w:eastAsia="el-GR"/>
        </w:rPr>
        <w:t>Το αντιβιοτικό λινεζολίδη είναι ένας ασθενής αναστρέψιμος μη εκλεκτικός αναστολέας της ΜΑΟ και δεν πρέπει να δίνεται σε ασθενείς που υπεβλήθησαν σε θεραπεία με βενλαφαξίνη (βλ. παράγραφο 4.4).</w:t>
      </w:r>
    </w:p>
    <w:p w:rsidR="00F505AA" w:rsidRPr="00E72D0C" w:rsidRDefault="00F505AA" w:rsidP="00F505AA">
      <w:pPr>
        <w:autoSpaceDE w:val="0"/>
        <w:autoSpaceDN w:val="0"/>
        <w:adjustRightInd w:val="0"/>
        <w:rPr>
          <w:lang w:eastAsia="el-GR"/>
        </w:rPr>
      </w:pPr>
      <w:r w:rsidRPr="00E72D0C">
        <w:rPr>
          <w:lang w:eastAsia="el-GR"/>
        </w:rPr>
        <w:t xml:space="preserve">Σε ασθενείς οι οποίοι πρόσφατα διέκοψαν τη χρήση ενός αναστολέα της ΜΑΟ και </w:t>
      </w:r>
      <w:r>
        <w:rPr>
          <w:lang w:eastAsia="el-GR"/>
        </w:rPr>
        <w:t>ξεκίνησαν τη χρήση βενλαφαξίνης</w:t>
      </w:r>
      <w:r w:rsidRPr="00E72D0C">
        <w:rPr>
          <w:lang w:eastAsia="el-GR"/>
        </w:rPr>
        <w:t xml:space="preserve"> ή που πρόσφατα διέκοψαν τη θεραπεία με βενλαφαξίνη πριν την έναρξη της λήψης αναστολέα της ΜΑΟ έχουν αναφερθεί σοβαρές ανεπιθύμητες αντιδράσεις. Οι αντιδράσεις αυτές περιελάμβαναν τρόμο, μυοκλονία, εφίδρωση, ναυτία, έμετο, εξάψεις, ζάλη και υπερθερμία, με χαρακτηριστικά που προσομοιάζουν με το κακόηθες νευροληπτικό σύνδρομο, σπασμούς και θάνατο. </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b/>
          <w:lang w:eastAsia="el-GR"/>
        </w:rPr>
      </w:pPr>
      <w:r w:rsidRPr="00E72D0C">
        <w:rPr>
          <w:b/>
          <w:lang w:eastAsia="el-GR"/>
        </w:rPr>
        <w:t xml:space="preserve">Σύνδρομο </w:t>
      </w:r>
      <w:r>
        <w:rPr>
          <w:b/>
          <w:lang w:eastAsia="el-GR"/>
        </w:rPr>
        <w:t>σ</w:t>
      </w:r>
      <w:r w:rsidRPr="00E72D0C">
        <w:rPr>
          <w:b/>
          <w:lang w:eastAsia="el-GR"/>
        </w:rPr>
        <w:t>εροτονίνης</w:t>
      </w:r>
    </w:p>
    <w:p w:rsidR="00F505AA" w:rsidRPr="00E72D0C" w:rsidRDefault="00F505AA" w:rsidP="00F505AA">
      <w:pPr>
        <w:autoSpaceDE w:val="0"/>
        <w:autoSpaceDN w:val="0"/>
        <w:adjustRightInd w:val="0"/>
        <w:rPr>
          <w:lang w:eastAsia="el-GR"/>
        </w:rPr>
      </w:pPr>
      <w:r w:rsidRPr="00E72D0C">
        <w:rPr>
          <w:lang w:eastAsia="el-GR"/>
        </w:rPr>
        <w:lastRenderedPageBreak/>
        <w:t>Όπως και με άλλους σεροτονινεργικούς παράγοντες, κατά τη θεραπεία με βενλαφαξίνη μπορεί να παρατηρηθεί σύνδρομο σεροτονίνης, ιδιαίτερα με την ταυτόχρονη χρήση άλλων παραγόντων, που μπορεί να επηρεάζουν το σύστημα σεροτονινεργικής νευροδιαβίβασης (που περιλαμβάνουν τις τριπτάνες, τους SSRIs, τους SNRIs, το λίθιο, την σιμπουτραμίνη, την τραμαδόλη ή το βαλσαμόχορτο (St. John's Wort [</w:t>
      </w:r>
      <w:r w:rsidRPr="00E72D0C">
        <w:rPr>
          <w:i/>
          <w:lang w:eastAsia="el-GR"/>
        </w:rPr>
        <w:t>Hypericum perforatum</w:t>
      </w:r>
      <w:r w:rsidRPr="00E72D0C">
        <w:rPr>
          <w:lang w:eastAsia="el-GR"/>
        </w:rPr>
        <w:t>]), με φάρμακα, τα οποία επηρεάζουν το μεταβολισμό της σεροτονίνης (συμπεριλαμβανομένων των αναστολέων ΜΑΟ) ή με πρόδρομες ουσίες της σεροτονίνης (όπως τα συμπληρώματα τρυπτοφάνης). Αν απαιτείται κλινικά η θεραπεία με βενλαφαξίνη ταυτόχρονα με έναν SSRI, έναν SNRI ή έναν αγωνιστή του υποδοχέα της σεροτονίνης (τριπτάνη), συνιστάται η προσεκτική παρακολούθηση του ασθενούς, ιδιαίτερα κατά την έναρξη της θεραπείας και τις αυξήσεις της δόσης. Η ταυτόχρονη χρήση της βενλαφαξίνης με πρόδρομες ουσίες της σεροτονίνης (όπως συμπληρώματα τρυπτοφάνης) δεν συνιστάται (βλ. παράγραφο 4.4).</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b/>
          <w:lang w:eastAsia="el-GR"/>
        </w:rPr>
      </w:pPr>
      <w:r w:rsidRPr="00E72D0C">
        <w:rPr>
          <w:b/>
          <w:lang w:eastAsia="el-GR"/>
        </w:rPr>
        <w:t>Ουσίες που δρουν στο ΚΝΣ</w:t>
      </w:r>
    </w:p>
    <w:p w:rsidR="00F505AA" w:rsidRPr="00E72D0C" w:rsidRDefault="00F505AA" w:rsidP="00F505AA">
      <w:pPr>
        <w:autoSpaceDE w:val="0"/>
        <w:autoSpaceDN w:val="0"/>
        <w:adjustRightInd w:val="0"/>
        <w:rPr>
          <w:lang w:eastAsia="el-GR"/>
        </w:rPr>
      </w:pPr>
      <w:r w:rsidRPr="00E72D0C">
        <w:rPr>
          <w:lang w:eastAsia="el-GR"/>
        </w:rPr>
        <w:t>Ο κίνδυνος της χρήσης της βενλαφαξίνης σε συνδυασμό με άλλες ουσίες που δρουν στο ΚΝΣ δεν έχει εκτιμηθεί συστηματικά. Επομένως, συνιστάται προσοχή όταν συγχορηγείται βενλαφαξίνη με ουσίες που δρουν στο ΚΝΣ.</w:t>
      </w:r>
    </w:p>
    <w:p w:rsidR="00F505AA" w:rsidRPr="00E72D0C" w:rsidRDefault="00F505AA" w:rsidP="00F505AA">
      <w:pPr>
        <w:autoSpaceDE w:val="0"/>
        <w:autoSpaceDN w:val="0"/>
        <w:adjustRightInd w:val="0"/>
        <w:rPr>
          <w:b/>
          <w:lang w:eastAsia="el-GR"/>
        </w:rPr>
      </w:pPr>
    </w:p>
    <w:p w:rsidR="00F505AA" w:rsidRPr="00E72D0C" w:rsidRDefault="00F505AA" w:rsidP="00F505AA">
      <w:pPr>
        <w:autoSpaceDE w:val="0"/>
        <w:autoSpaceDN w:val="0"/>
        <w:adjustRightInd w:val="0"/>
        <w:rPr>
          <w:b/>
          <w:lang w:eastAsia="el-GR"/>
        </w:rPr>
      </w:pPr>
      <w:r w:rsidRPr="00E72D0C">
        <w:rPr>
          <w:b/>
          <w:lang w:eastAsia="el-GR"/>
        </w:rPr>
        <w:t>Αιθανόλη</w:t>
      </w:r>
    </w:p>
    <w:p w:rsidR="00F505AA" w:rsidRPr="00E72D0C" w:rsidRDefault="00F505AA" w:rsidP="00F505AA">
      <w:pPr>
        <w:autoSpaceDE w:val="0"/>
        <w:autoSpaceDN w:val="0"/>
        <w:adjustRightInd w:val="0"/>
        <w:rPr>
          <w:lang w:eastAsia="el-GR"/>
        </w:rPr>
      </w:pPr>
      <w:r w:rsidRPr="00E72D0C">
        <w:rPr>
          <w:lang w:eastAsia="el-GR"/>
        </w:rPr>
        <w:t>Η χορήγηση βενλαφαξίνης δεν ενίσχυσε τα ψυχοκινητικά και ψυχομετρικά αποτελέσματα που προκαλούσε η αιθανόλη. Παρόλα αυτά, όπως με όλες τις ουσίες που επενεργούν στο ΚΝΣ, συνιστάται στους ασθενείς να μη γίνεται κατανάλωση.</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b/>
          <w:u w:val="single"/>
          <w:lang w:eastAsia="el-GR"/>
        </w:rPr>
      </w:pPr>
      <w:r w:rsidRPr="00E72D0C">
        <w:rPr>
          <w:b/>
          <w:u w:val="single"/>
          <w:lang w:eastAsia="el-GR"/>
        </w:rPr>
        <w:t>Επίδραση άλλων φαρμάκων στη βενλαφαξίνη</w:t>
      </w:r>
    </w:p>
    <w:p w:rsidR="00F505AA" w:rsidRPr="00E72D0C" w:rsidRDefault="00F505AA" w:rsidP="00F505AA">
      <w:pPr>
        <w:autoSpaceDE w:val="0"/>
        <w:autoSpaceDN w:val="0"/>
        <w:adjustRightInd w:val="0"/>
        <w:rPr>
          <w:i/>
          <w:iCs/>
          <w:lang w:eastAsia="el-GR"/>
        </w:rPr>
      </w:pPr>
    </w:p>
    <w:p w:rsidR="00F505AA" w:rsidRPr="00E72D0C" w:rsidRDefault="00F505AA" w:rsidP="00F505AA">
      <w:pPr>
        <w:autoSpaceDE w:val="0"/>
        <w:autoSpaceDN w:val="0"/>
        <w:adjustRightInd w:val="0"/>
        <w:rPr>
          <w:b/>
          <w:iCs/>
          <w:lang w:eastAsia="el-GR"/>
        </w:rPr>
      </w:pPr>
      <w:r w:rsidRPr="00E72D0C">
        <w:rPr>
          <w:b/>
          <w:iCs/>
          <w:lang w:eastAsia="el-GR"/>
        </w:rPr>
        <w:t>Κετοκοναζόλη (αναστολέας του CYP3A4)</w:t>
      </w:r>
    </w:p>
    <w:p w:rsidR="00F505AA" w:rsidRPr="00E72D0C" w:rsidRDefault="00F505AA" w:rsidP="00F505AA">
      <w:pPr>
        <w:autoSpaceDE w:val="0"/>
        <w:autoSpaceDN w:val="0"/>
        <w:adjustRightInd w:val="0"/>
        <w:rPr>
          <w:lang w:eastAsia="el-GR"/>
        </w:rPr>
      </w:pPr>
      <w:r w:rsidRPr="00E72D0C">
        <w:rPr>
          <w:lang w:eastAsia="el-GR"/>
        </w:rPr>
        <w:t>Μία φαρμακοκινητική μελέτη με κετοκοναζόλη σε άτομα με εκτεταμένο (EM) και περιορισμένο (PM) δια του CYP2D6 μεταβολισμό, κατέδειξε υψηλότερη AUC (επιφάνεια κάτω από την καμπύλη) βενλαφαξίνης (70% και 21% του CYP2D6 σε άτομα με PM και EM, αντίστοιχα) και Ο-δυσμεθυλβενλαφαξίνης (μέχρι 33% και 23% του CYP2D6 σε άτομα με PM και EM, αντίστοιχα ) μετά τη χορήγηση της κετοκοναζόλης. Η ταυτόχρονη χορήγηση των αναστολέων του CYP3A4 (π.χ. αταζαναβίρη, κλαριθρομυκίνη, ινδιναβίρη, ιτρακοναζόλη, βορικοναζόλη, ποσακοναζόλη, κετοκοναζόλη, νελφιναβίρη, ριτοναβίρη, σακουϊναβίρη, τελιθρομυκίνη) και της βενλαφαξίνης μπορεί να οδηγήσει σε αύξηση των επιπέδων της βενλαφαξίνης και της Ο-δυσμεθυλβενλαφαξίνης.</w:t>
      </w:r>
      <w:r>
        <w:rPr>
          <w:lang w:eastAsia="el-GR"/>
        </w:rPr>
        <w:t xml:space="preserve"> </w:t>
      </w:r>
      <w:r w:rsidRPr="00E72D0C">
        <w:rPr>
          <w:lang w:eastAsia="el-GR"/>
        </w:rPr>
        <w:t>Επομένως, απαιτείται προσοχή αν η θεραπεία του ασθενή περιλαμβάνει συγχορήγηση ενός αναστολέα του CYP3A4 και της βενλαφαξίνης.</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b/>
          <w:u w:val="single"/>
          <w:lang w:eastAsia="el-GR"/>
        </w:rPr>
      </w:pPr>
      <w:r w:rsidRPr="00E72D0C">
        <w:rPr>
          <w:b/>
          <w:u w:val="single"/>
          <w:lang w:eastAsia="el-GR"/>
        </w:rPr>
        <w:t>Επίδραση της βενλαφαξίνης σε άλλα φάρμακα</w:t>
      </w:r>
    </w:p>
    <w:p w:rsidR="00F505AA" w:rsidRPr="00E72D0C" w:rsidRDefault="00F505AA" w:rsidP="00F505AA">
      <w:pPr>
        <w:autoSpaceDE w:val="0"/>
        <w:autoSpaceDN w:val="0"/>
        <w:adjustRightInd w:val="0"/>
        <w:rPr>
          <w:i/>
          <w:iCs/>
          <w:lang w:eastAsia="el-GR"/>
        </w:rPr>
      </w:pPr>
    </w:p>
    <w:p w:rsidR="00F505AA" w:rsidRPr="00E72D0C" w:rsidRDefault="00F505AA" w:rsidP="00F505AA">
      <w:pPr>
        <w:autoSpaceDE w:val="0"/>
        <w:autoSpaceDN w:val="0"/>
        <w:adjustRightInd w:val="0"/>
        <w:rPr>
          <w:b/>
          <w:iCs/>
          <w:lang w:eastAsia="el-GR"/>
        </w:rPr>
      </w:pPr>
      <w:r w:rsidRPr="00E72D0C">
        <w:rPr>
          <w:b/>
          <w:iCs/>
          <w:lang w:eastAsia="el-GR"/>
        </w:rPr>
        <w:t>Λίθιο</w:t>
      </w:r>
    </w:p>
    <w:p w:rsidR="00F505AA" w:rsidRPr="00E72D0C" w:rsidRDefault="00F505AA" w:rsidP="00F505AA">
      <w:pPr>
        <w:autoSpaceDE w:val="0"/>
        <w:autoSpaceDN w:val="0"/>
        <w:adjustRightInd w:val="0"/>
        <w:rPr>
          <w:lang w:eastAsia="el-GR"/>
        </w:rPr>
      </w:pPr>
      <w:r w:rsidRPr="00E72D0C">
        <w:rPr>
          <w:lang w:eastAsia="el-GR"/>
        </w:rPr>
        <w:t xml:space="preserve">Κατά τη συγχορήγηση της βενλαφαξίνης με λίθιο μπορεί να παρατηρηθεί σύνδρομο σεροτονίνης (βλ. Σύνδρομο </w:t>
      </w:r>
      <w:r>
        <w:rPr>
          <w:lang w:eastAsia="el-GR"/>
        </w:rPr>
        <w:t>σ</w:t>
      </w:r>
      <w:r w:rsidRPr="00E72D0C">
        <w:rPr>
          <w:lang w:eastAsia="el-GR"/>
        </w:rPr>
        <w:t>εροτονίνης).</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b/>
          <w:iCs/>
          <w:lang w:eastAsia="el-GR"/>
        </w:rPr>
      </w:pPr>
      <w:r w:rsidRPr="00E72D0C">
        <w:rPr>
          <w:b/>
          <w:iCs/>
          <w:lang w:eastAsia="el-GR"/>
        </w:rPr>
        <w:t>Διαζεπάμη</w:t>
      </w:r>
    </w:p>
    <w:p w:rsidR="00F505AA" w:rsidRPr="00E72D0C" w:rsidRDefault="00F505AA" w:rsidP="00F505AA">
      <w:pPr>
        <w:autoSpaceDE w:val="0"/>
        <w:autoSpaceDN w:val="0"/>
        <w:adjustRightInd w:val="0"/>
        <w:rPr>
          <w:lang w:eastAsia="el-GR"/>
        </w:rPr>
      </w:pPr>
      <w:r w:rsidRPr="00E72D0C">
        <w:rPr>
          <w:lang w:eastAsia="el-GR"/>
        </w:rPr>
        <w:t>Η βενλαφαξίνη δεν είχε καμία επίδραση στη φαρμακοκινητική και φαρμακοδυναμική της διαζεπάμης και του ενεργού μεταβολίτη της, της δυσμεθυλδιαζεπάμης. Η διαζεπάμη δεν φαίνεται να επιδρά στη φαρμακοκινητική είτε της βενλαφαξίνης είτε της Ο-δυσμεθυλβενλαφαξίνης. Είναι άγνωστο εάν υπάρχει φαρμακοκινητική και/ή φαρμακοδυναμική αλληλεπίδραση με άλλες βενζοδιαζεπίνες.</w:t>
      </w:r>
    </w:p>
    <w:p w:rsidR="00F505AA" w:rsidRPr="00E72D0C" w:rsidRDefault="00F505AA" w:rsidP="00F505AA">
      <w:pPr>
        <w:autoSpaceDE w:val="0"/>
        <w:autoSpaceDN w:val="0"/>
        <w:adjustRightInd w:val="0"/>
        <w:rPr>
          <w:b/>
          <w:i/>
          <w:iCs/>
          <w:lang w:eastAsia="el-GR"/>
        </w:rPr>
      </w:pPr>
    </w:p>
    <w:p w:rsidR="00F505AA" w:rsidRPr="00E72D0C" w:rsidRDefault="00F505AA" w:rsidP="00F505AA">
      <w:pPr>
        <w:autoSpaceDE w:val="0"/>
        <w:autoSpaceDN w:val="0"/>
        <w:adjustRightInd w:val="0"/>
        <w:rPr>
          <w:b/>
          <w:iCs/>
          <w:lang w:eastAsia="el-GR"/>
        </w:rPr>
      </w:pPr>
      <w:r w:rsidRPr="00E72D0C">
        <w:rPr>
          <w:b/>
          <w:iCs/>
          <w:lang w:eastAsia="el-GR"/>
        </w:rPr>
        <w:t>Ιμιπραμίνη</w:t>
      </w:r>
    </w:p>
    <w:p w:rsidR="00F505AA" w:rsidRPr="00E72D0C" w:rsidRDefault="00F505AA" w:rsidP="00F505AA">
      <w:pPr>
        <w:autoSpaceDE w:val="0"/>
        <w:autoSpaceDN w:val="0"/>
        <w:adjustRightInd w:val="0"/>
        <w:rPr>
          <w:lang w:eastAsia="el-GR"/>
        </w:rPr>
      </w:pPr>
      <w:r w:rsidRPr="00E72D0C">
        <w:rPr>
          <w:lang w:eastAsia="el-GR"/>
        </w:rPr>
        <w:t>Η βενλαφαξίνη δεν επηρέασε τη φαρμακοκινητική της ιμιπραμίνης και της 2-ΟΗ-ιμιπραμίνης. Υπήρξε μια δοσοεξαρτώμενη αύξηση της AUC της 2-ΟΗ-δεσιπραμίνης από 2,5 έως 4,5 φορές όταν η βενλαφαξίνη χορηγήθηκε από 75mg έως 150mg ημερησίως. Η ιμιπραμίνη δεν επηρέασε τη φαρμακοκινητική της βενλαφαξίνης και της Ο-δυσμεθυλβενλαφαξίνης. Η κλινική σημασία αυτής της αλληλεπίδρασης δεν είναι γνωστή. Απαιτείται προσοχή κατά τη συγχορήγηση της βενλαφαξίνης με την ιμιπραμίνη.</w:t>
      </w:r>
    </w:p>
    <w:p w:rsidR="00F505AA" w:rsidRPr="00E72D0C" w:rsidRDefault="00F505AA" w:rsidP="00F505AA">
      <w:pPr>
        <w:autoSpaceDE w:val="0"/>
        <w:autoSpaceDN w:val="0"/>
        <w:adjustRightInd w:val="0"/>
        <w:rPr>
          <w:b/>
          <w:i/>
          <w:iCs/>
          <w:lang w:eastAsia="el-GR"/>
        </w:rPr>
      </w:pPr>
    </w:p>
    <w:p w:rsidR="00F505AA" w:rsidRPr="00E72D0C" w:rsidRDefault="00F505AA" w:rsidP="00F505AA">
      <w:pPr>
        <w:autoSpaceDE w:val="0"/>
        <w:autoSpaceDN w:val="0"/>
        <w:adjustRightInd w:val="0"/>
        <w:rPr>
          <w:b/>
          <w:iCs/>
          <w:lang w:eastAsia="el-GR"/>
        </w:rPr>
      </w:pPr>
      <w:r w:rsidRPr="00E72D0C">
        <w:rPr>
          <w:b/>
          <w:iCs/>
          <w:lang w:eastAsia="el-GR"/>
        </w:rPr>
        <w:t>Αλοπεριδόλη</w:t>
      </w:r>
    </w:p>
    <w:p w:rsidR="00F505AA" w:rsidRPr="00E72D0C" w:rsidRDefault="00F505AA" w:rsidP="00F505AA">
      <w:pPr>
        <w:autoSpaceDE w:val="0"/>
        <w:autoSpaceDN w:val="0"/>
        <w:adjustRightInd w:val="0"/>
        <w:rPr>
          <w:lang w:eastAsia="el-GR"/>
        </w:rPr>
      </w:pPr>
      <w:r w:rsidRPr="00E72D0C">
        <w:rPr>
          <w:lang w:eastAsia="el-GR"/>
        </w:rPr>
        <w:lastRenderedPageBreak/>
        <w:t>Μια φαρμακοκινητική μελέτη με την αλοπεριδόλη έδειξε ότι η αλοπεριδόλη μειώνει: κατά 42% την ολική κάθαρση της από του στόματος χορήγησης, αυξάνει κατά 70% την AUC, αυξάνει κατά 88% τη C</w:t>
      </w:r>
      <w:r w:rsidRPr="00E72D0C">
        <w:rPr>
          <w:sz w:val="14"/>
          <w:szCs w:val="14"/>
          <w:lang w:eastAsia="el-GR"/>
        </w:rPr>
        <w:t>max</w:t>
      </w:r>
      <w:r w:rsidRPr="00E72D0C">
        <w:rPr>
          <w:lang w:eastAsia="el-GR"/>
        </w:rPr>
        <w:t>, αλλά δεν προκαλεί καμία μεταβολή στον χρόνο ημιζωής της. Τα παραπάνω θα πρέπει να λαμβάνονται υπόψη σε ασθενείς που λαμβάνουν ταυτόχρονη θεραπεία αλοπεριδόλης και βενλαφαξίνης. Η κλινική σημασία αυτής της αλληλεπίδρασης δεν είναι γνωστή.</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b/>
          <w:iCs/>
          <w:lang w:eastAsia="el-GR"/>
        </w:rPr>
      </w:pPr>
      <w:r w:rsidRPr="00E72D0C">
        <w:rPr>
          <w:b/>
          <w:iCs/>
          <w:lang w:eastAsia="el-GR"/>
        </w:rPr>
        <w:t>Ρισπεριδόνη</w:t>
      </w:r>
    </w:p>
    <w:p w:rsidR="00F505AA" w:rsidRPr="00E72D0C" w:rsidRDefault="00F505AA" w:rsidP="00F505AA">
      <w:pPr>
        <w:autoSpaceDE w:val="0"/>
        <w:autoSpaceDN w:val="0"/>
        <w:adjustRightInd w:val="0"/>
        <w:rPr>
          <w:lang w:eastAsia="el-GR"/>
        </w:rPr>
      </w:pPr>
      <w:r w:rsidRPr="00E72D0C">
        <w:rPr>
          <w:lang w:eastAsia="el-GR"/>
        </w:rPr>
        <w:t>H βενλαφαξίνη προκάλεσε αύξηση της AUC της ρισπεριδόνης κατά 50% αλλά δεν προκάλεσε σημαντική μεταβολή στο φαρμακοκινητικό προφίλ της ολικής δραστικής ουσίας (ρισπεριδόνη και 9-υδροξυρισπεριδόνη). Η κλινική σημασία αυτής της αλληλεπίδρασης δεν είναι γνωστή.</w:t>
      </w:r>
    </w:p>
    <w:p w:rsidR="00F505AA" w:rsidRPr="00E72D0C" w:rsidRDefault="00F505AA" w:rsidP="00F505AA">
      <w:pPr>
        <w:autoSpaceDE w:val="0"/>
        <w:autoSpaceDN w:val="0"/>
        <w:adjustRightInd w:val="0"/>
        <w:rPr>
          <w:b/>
          <w:i/>
          <w:iCs/>
          <w:lang w:eastAsia="el-GR"/>
        </w:rPr>
      </w:pPr>
    </w:p>
    <w:p w:rsidR="00F505AA" w:rsidRPr="00E72D0C" w:rsidRDefault="00F505AA" w:rsidP="00F505AA">
      <w:pPr>
        <w:autoSpaceDE w:val="0"/>
        <w:autoSpaceDN w:val="0"/>
        <w:adjustRightInd w:val="0"/>
        <w:rPr>
          <w:b/>
          <w:iCs/>
          <w:lang w:eastAsia="el-GR"/>
        </w:rPr>
      </w:pPr>
      <w:r w:rsidRPr="00E72D0C">
        <w:rPr>
          <w:b/>
          <w:iCs/>
          <w:lang w:eastAsia="el-GR"/>
        </w:rPr>
        <w:t>Μετοπρολόλη</w:t>
      </w:r>
    </w:p>
    <w:p w:rsidR="00F505AA" w:rsidRPr="00E72D0C" w:rsidRDefault="00F505AA" w:rsidP="00F505AA">
      <w:pPr>
        <w:autoSpaceDE w:val="0"/>
        <w:autoSpaceDN w:val="0"/>
        <w:adjustRightInd w:val="0"/>
        <w:rPr>
          <w:lang w:eastAsia="el-GR"/>
        </w:rPr>
      </w:pPr>
      <w:r w:rsidRPr="00E72D0C">
        <w:rPr>
          <w:lang w:eastAsia="el-GR"/>
        </w:rPr>
        <w:t>Η ταυτόχρονη χορήγηση της βενλαφαξίνης και της μετοπρολόλης σε υγιείς εθελοντές σε μια φαρμακοκινητική μελέτη αλληλεπίδρασης και για τα δύο φάρμακα, οδήγησε σε αύξηση των συγκεντρώσεων μετοπρολόλης στο πλάσμα κατά 30-40% περίπου χωρίς να μεταβληθούν οι συγκεντρώσεις του ενεργού μεταβολίτη της, της α-υδροξυμετοπρολόλης, στο πλάσμα. Η κλινική σημασία του ευρήματος αυτού σε υπερτασικούς ασθενείς δεν είναι γνωστή. Η μετοπρολόλη δεν άλλαξε το φαρμακοκινητικό προφίλ της βενλαφαξίνης ή του ενεργού της μεταβολίτη, Ο-δυσμεθυλοβενλαφαξίνη. Απαιτείται προσοχή κατά τη συγχορήγηση της βενλαφαξίνης με τη μετοπρολόλη.</w:t>
      </w:r>
    </w:p>
    <w:p w:rsidR="00F505AA" w:rsidRPr="00E72D0C" w:rsidRDefault="00F505AA" w:rsidP="00F505AA">
      <w:pPr>
        <w:autoSpaceDE w:val="0"/>
        <w:autoSpaceDN w:val="0"/>
        <w:adjustRightInd w:val="0"/>
        <w:rPr>
          <w:b/>
          <w:i/>
          <w:iCs/>
          <w:lang w:eastAsia="el-GR"/>
        </w:rPr>
      </w:pPr>
    </w:p>
    <w:p w:rsidR="00F505AA" w:rsidRPr="00E72D0C" w:rsidRDefault="00F505AA" w:rsidP="00F505AA">
      <w:pPr>
        <w:autoSpaceDE w:val="0"/>
        <w:autoSpaceDN w:val="0"/>
        <w:adjustRightInd w:val="0"/>
        <w:rPr>
          <w:b/>
          <w:iCs/>
          <w:lang w:eastAsia="el-GR"/>
        </w:rPr>
      </w:pPr>
      <w:r w:rsidRPr="00E72D0C">
        <w:rPr>
          <w:b/>
          <w:iCs/>
          <w:lang w:eastAsia="el-GR"/>
        </w:rPr>
        <w:t>Ινδιναβίρη</w:t>
      </w:r>
    </w:p>
    <w:p w:rsidR="00F505AA" w:rsidRPr="00E72D0C" w:rsidRDefault="00F505AA" w:rsidP="00F505AA">
      <w:pPr>
        <w:autoSpaceDE w:val="0"/>
        <w:autoSpaceDN w:val="0"/>
        <w:adjustRightInd w:val="0"/>
        <w:rPr>
          <w:lang w:eastAsia="el-GR"/>
        </w:rPr>
      </w:pPr>
      <w:r w:rsidRPr="00E72D0C">
        <w:rPr>
          <w:lang w:eastAsia="el-GR"/>
        </w:rPr>
        <w:t>Μια φαρμακοκινητική μελέτη με ινδιναβίρη έδειξε 28% μείωση της AUC και 36% μείωση της C</w:t>
      </w:r>
      <w:r w:rsidRPr="00E72D0C">
        <w:rPr>
          <w:sz w:val="14"/>
          <w:szCs w:val="14"/>
          <w:lang w:eastAsia="el-GR"/>
        </w:rPr>
        <w:t xml:space="preserve">max </w:t>
      </w:r>
      <w:r w:rsidRPr="00E72D0C">
        <w:rPr>
          <w:lang w:eastAsia="el-GR"/>
        </w:rPr>
        <w:t>για την ινδιναβίρη. Η ινδιναβίρη δεν επηρέασε τη φαρμακοκινητική της βενλαφαξίνης και της Ο-δυσμεθυλβενλαφαξίνης. Η κλινική σημασία αυτής της αλληλεπίδρασης δεν είναι γνωστή.</w:t>
      </w:r>
    </w:p>
    <w:bookmarkEnd w:id="2"/>
    <w:p w:rsidR="00F505AA" w:rsidRPr="001A5CC0" w:rsidRDefault="00F505AA" w:rsidP="00F505AA">
      <w:pPr>
        <w:tabs>
          <w:tab w:val="left" w:pos="-1440"/>
          <w:tab w:val="left" w:pos="-720"/>
          <w:tab w:val="left" w:pos="0"/>
        </w:tabs>
        <w:ind w:left="600"/>
      </w:pPr>
    </w:p>
    <w:p w:rsidR="00F505AA" w:rsidRPr="00E72D0C" w:rsidRDefault="00F505AA" w:rsidP="00F505AA">
      <w:pPr>
        <w:tabs>
          <w:tab w:val="left" w:pos="-1440"/>
          <w:tab w:val="left" w:pos="-720"/>
          <w:tab w:val="left" w:pos="0"/>
        </w:tabs>
        <w:ind w:left="600" w:hanging="600"/>
        <w:rPr>
          <w:b/>
          <w:bCs/>
        </w:rPr>
      </w:pPr>
      <w:r w:rsidRPr="00E72D0C">
        <w:rPr>
          <w:b/>
          <w:bCs/>
        </w:rPr>
        <w:t>4.6</w:t>
      </w:r>
      <w:r w:rsidRPr="00E72D0C">
        <w:rPr>
          <w:b/>
          <w:bCs/>
        </w:rPr>
        <w:tab/>
      </w:r>
      <w:r w:rsidR="001F06DC">
        <w:rPr>
          <w:b/>
          <w:bCs/>
        </w:rPr>
        <w:t>Γονιμότητα, κ</w:t>
      </w:r>
      <w:r w:rsidRPr="00E72D0C">
        <w:rPr>
          <w:b/>
          <w:bCs/>
        </w:rPr>
        <w:t>ύηση και γαλουχία</w:t>
      </w:r>
    </w:p>
    <w:p w:rsidR="00F505AA" w:rsidRPr="00E72D0C" w:rsidRDefault="00F505AA" w:rsidP="00F505AA">
      <w:pPr>
        <w:jc w:val="both"/>
      </w:pPr>
    </w:p>
    <w:p w:rsidR="00F505AA" w:rsidRPr="00E72D0C" w:rsidRDefault="00F505AA" w:rsidP="00F505AA">
      <w:pPr>
        <w:autoSpaceDE w:val="0"/>
        <w:autoSpaceDN w:val="0"/>
        <w:adjustRightInd w:val="0"/>
        <w:rPr>
          <w:b/>
          <w:lang w:eastAsia="el-GR"/>
        </w:rPr>
      </w:pPr>
      <w:r w:rsidRPr="00E72D0C">
        <w:rPr>
          <w:b/>
          <w:lang w:eastAsia="el-GR"/>
        </w:rPr>
        <w:t>Κύηση</w:t>
      </w:r>
    </w:p>
    <w:p w:rsidR="00F505AA" w:rsidRPr="00E72D0C" w:rsidRDefault="00F505AA" w:rsidP="00F505AA">
      <w:pPr>
        <w:autoSpaceDE w:val="0"/>
        <w:autoSpaceDN w:val="0"/>
        <w:adjustRightInd w:val="0"/>
        <w:rPr>
          <w:sz w:val="16"/>
          <w:szCs w:val="16"/>
          <w:lang w:eastAsia="el-GR"/>
        </w:rPr>
      </w:pPr>
      <w:r w:rsidRPr="00E72D0C">
        <w:rPr>
          <w:lang w:eastAsia="el-GR"/>
        </w:rPr>
        <w:t xml:space="preserve">Δεν υπάρχουν επαρκή δεδομένα από τη χρήση της βενλαφαξίνης σε </w:t>
      </w:r>
      <w:r w:rsidR="001F06DC">
        <w:rPr>
          <w:lang w:eastAsia="el-GR"/>
        </w:rPr>
        <w:t>έγκυες</w:t>
      </w:r>
      <w:r w:rsidR="001F06DC" w:rsidRPr="00E72D0C">
        <w:rPr>
          <w:lang w:eastAsia="el-GR"/>
        </w:rPr>
        <w:t xml:space="preserve"> </w:t>
      </w:r>
      <w:r w:rsidRPr="00E72D0C">
        <w:rPr>
          <w:lang w:eastAsia="el-GR"/>
        </w:rPr>
        <w:t>γυναίκες.</w:t>
      </w:r>
      <w:r w:rsidRPr="00E72D0C">
        <w:rPr>
          <w:sz w:val="16"/>
          <w:szCs w:val="16"/>
          <w:lang w:eastAsia="el-GR"/>
        </w:rPr>
        <w:t xml:space="preserve"> </w:t>
      </w:r>
    </w:p>
    <w:p w:rsidR="00F505AA" w:rsidRPr="00E72D0C" w:rsidRDefault="00F505AA" w:rsidP="00F505AA">
      <w:pPr>
        <w:autoSpaceDE w:val="0"/>
        <w:autoSpaceDN w:val="0"/>
        <w:adjustRightInd w:val="0"/>
        <w:rPr>
          <w:lang w:eastAsia="el-GR"/>
        </w:rPr>
      </w:pPr>
      <w:r w:rsidRPr="00E72D0C">
        <w:rPr>
          <w:lang w:eastAsia="el-GR"/>
        </w:rPr>
        <w:t xml:space="preserve">Μελέτες σε πειραματόζωα κατέδειξαν τοξικότητα κατά την αναπαραγωγή (βλ. παράγραφο 5.3). Ο πιθανός κίνδυνος για τον άνθρωπο δεν είναι γνωστός. Η βενλαφαξίνη πρέπει να χορηγείται σε </w:t>
      </w:r>
      <w:r w:rsidR="001F06DC">
        <w:rPr>
          <w:lang w:eastAsia="el-GR"/>
        </w:rPr>
        <w:t>έγκυες</w:t>
      </w:r>
      <w:r w:rsidR="001F06DC" w:rsidRPr="00E72D0C">
        <w:rPr>
          <w:lang w:eastAsia="el-GR"/>
        </w:rPr>
        <w:t xml:space="preserve"> </w:t>
      </w:r>
      <w:r w:rsidRPr="00E72D0C">
        <w:rPr>
          <w:lang w:eastAsia="el-GR"/>
        </w:rPr>
        <w:t xml:space="preserve">γυναίκες μόνο αν τα αναμενόμενα οφέλη αντισταθμίζουν τους πιθανούς κινδύνους. </w:t>
      </w:r>
    </w:p>
    <w:p w:rsidR="00F505AA" w:rsidRPr="00E72D0C" w:rsidRDefault="00F505AA" w:rsidP="00F505AA">
      <w:pPr>
        <w:autoSpaceDE w:val="0"/>
        <w:autoSpaceDN w:val="0"/>
        <w:adjustRightInd w:val="0"/>
        <w:rPr>
          <w:lang w:eastAsia="el-GR"/>
        </w:rPr>
      </w:pPr>
      <w:r w:rsidRPr="00E72D0C">
        <w:rPr>
          <w:lang w:eastAsia="el-GR"/>
        </w:rPr>
        <w:t>Όπως και με άλλους αναστολείς της επαναπρόσληψης σεροτονίνης (SSRIs/SNRIs), αν η βενλαφαξίνη χρησιμοποιηθεί μέχρι τη γέννηση ή για διάστημα μέχρι λίγο πριν τη γέννηση μπορεί να παρατηρηθούν σε νεογνά, συμπτώματα από τη διακοπή. Ορισμένα νεογνά που εκτέθηκαν στη βενλαφαξίνη κατά το τέλος του τρίτου τριμήνου ανέπτυξαν επιπλοκές, για τις οποίες απαιτήθηκε η παρεντερική σίτιση, η αναπνευστική υποστήριξη ή η παρατεταμένη νοσηλεία σε νοσοκομείο. Οι επιπλοκές αυτές μπορούν να προκύψουν αμέσως μετά τον τοκετό.</w:t>
      </w:r>
    </w:p>
    <w:p w:rsidR="00F505AA" w:rsidRPr="00E72D0C" w:rsidRDefault="00F505AA" w:rsidP="00F505AA">
      <w:pPr>
        <w:autoSpaceDE w:val="0"/>
        <w:autoSpaceDN w:val="0"/>
        <w:adjustRightInd w:val="0"/>
        <w:rPr>
          <w:lang w:eastAsia="el-GR"/>
        </w:rPr>
      </w:pPr>
      <w:r w:rsidRPr="00E72D0C">
        <w:rPr>
          <w:lang w:eastAsia="el-GR"/>
        </w:rPr>
        <w:t xml:space="preserve">Τα ακόλουθα συμπτώματα μπορεί να παρατηρηθούν σε νεογέννητα εάν η μητέρα λάμβανε έναν SSRI/SNRI στο τέλος της κύησης: ευερεθιστότητα, τρόμος, υποτονία, επίμονο κλάμα και δυσκολία στο θηλασμό ή στον ύπνο. </w:t>
      </w:r>
    </w:p>
    <w:p w:rsidR="00F505AA" w:rsidRPr="00E72D0C" w:rsidRDefault="00F505AA" w:rsidP="00F505AA">
      <w:pPr>
        <w:autoSpaceDE w:val="0"/>
        <w:autoSpaceDN w:val="0"/>
        <w:adjustRightInd w:val="0"/>
        <w:rPr>
          <w:lang w:eastAsia="el-GR"/>
        </w:rPr>
      </w:pPr>
      <w:r w:rsidRPr="00E72D0C">
        <w:rPr>
          <w:lang w:eastAsia="el-GR"/>
        </w:rPr>
        <w:t>Αυτά τα συμπτώματα μπορεί να είναι είτε λόγω σεροτονινεργικών επιδράσεων είτε συμπτώματα έκθεσης. Στην πλειοψηφία των περιπτώσεων, αυτές οι επιπλοκές παρατηρούνται αμέσως ή μέσα σε 24 ώρες μετά τον τοκετό.</w:t>
      </w:r>
    </w:p>
    <w:p w:rsidR="00F505AA" w:rsidRPr="00EB4B63" w:rsidRDefault="00F505AA" w:rsidP="00F505AA">
      <w:pPr>
        <w:autoSpaceDE w:val="0"/>
        <w:autoSpaceDN w:val="0"/>
        <w:adjustRightInd w:val="0"/>
        <w:rPr>
          <w:lang w:eastAsia="el-GR"/>
        </w:rPr>
      </w:pPr>
    </w:p>
    <w:p w:rsidR="0053722F" w:rsidRPr="00EB4B63" w:rsidRDefault="00B415AD" w:rsidP="00F505AA">
      <w:pPr>
        <w:autoSpaceDE w:val="0"/>
        <w:autoSpaceDN w:val="0"/>
        <w:adjustRightInd w:val="0"/>
        <w:rPr>
          <w:lang w:eastAsia="el-GR"/>
        </w:rPr>
      </w:pPr>
      <w:r>
        <w:t xml:space="preserve">Επιδημιολογικά δεδομένα </w:t>
      </w:r>
      <w:r w:rsidR="00AF29FD">
        <w:t>υποδεικνύουν</w:t>
      </w:r>
      <w:r>
        <w:t xml:space="preserve"> ότι η χρήση των </w:t>
      </w:r>
      <w:r>
        <w:rPr>
          <w:lang w:val="en-US"/>
        </w:rPr>
        <w:t>SSRIs</w:t>
      </w:r>
      <w:r>
        <w:t xml:space="preserve"> στην εγκυμοσύνη, ιδιαίτερα στην προχωρημένη εγκυμοσύνη, μπορεί να αυξήσει τον κίνδυνο </w:t>
      </w:r>
      <w:r w:rsidR="00AF29FD">
        <w:t>επιμένουσας</w:t>
      </w:r>
      <w:r>
        <w:t xml:space="preserve"> πνευμονικής υπέρτασης </w:t>
      </w:r>
      <w:r w:rsidR="00AF29FD">
        <w:t>των νεογνών</w:t>
      </w:r>
      <w:r>
        <w:t xml:space="preserve"> (</w:t>
      </w:r>
      <w:r w:rsidR="00AF29FD">
        <w:t>Ε</w:t>
      </w:r>
      <w:r>
        <w:t xml:space="preserve">ΠΥΝ). Παρόλο που δεν υπάρχουν μελέτες που να συσχετίζουν την </w:t>
      </w:r>
      <w:r w:rsidR="00AF29FD">
        <w:t>Ε</w:t>
      </w:r>
      <w:r w:rsidR="00173BD4">
        <w:t>ΠΥΝ</w:t>
      </w:r>
      <w:r>
        <w:t xml:space="preserve"> με τη θεραπεία με </w:t>
      </w:r>
      <w:r>
        <w:rPr>
          <w:lang w:val="en-US"/>
        </w:rPr>
        <w:t>SNRI</w:t>
      </w:r>
      <w:r w:rsidRPr="00EB4B63">
        <w:t xml:space="preserve">, </w:t>
      </w:r>
      <w:r>
        <w:t>ο πιθανός κίνδυνος με βενλαφαξίνη</w:t>
      </w:r>
      <w:r w:rsidRPr="00EB4B63">
        <w:t xml:space="preserve"> </w:t>
      </w:r>
      <w:r>
        <w:t>δεν μπορεί να αποκλειστεί λαμβάνοντας υπόψη το</w:t>
      </w:r>
      <w:r w:rsidR="00AF29FD">
        <w:t>ν</w:t>
      </w:r>
      <w:r>
        <w:t xml:space="preserve"> σχετικό μηχανισμό δράσης (αναστολή </w:t>
      </w:r>
      <w:r w:rsidR="00AF29FD">
        <w:t xml:space="preserve">της </w:t>
      </w:r>
      <w:r>
        <w:t>επαναπρόσληψης της σεροτονίνης).</w:t>
      </w:r>
    </w:p>
    <w:p w:rsidR="0053722F" w:rsidRPr="00EB4B63" w:rsidRDefault="0053722F" w:rsidP="00F505AA">
      <w:pPr>
        <w:autoSpaceDE w:val="0"/>
        <w:autoSpaceDN w:val="0"/>
        <w:adjustRightInd w:val="0"/>
        <w:rPr>
          <w:lang w:eastAsia="el-GR"/>
        </w:rPr>
      </w:pPr>
    </w:p>
    <w:p w:rsidR="00F505AA" w:rsidRPr="00E72D0C" w:rsidRDefault="00F505AA" w:rsidP="00F505AA">
      <w:pPr>
        <w:autoSpaceDE w:val="0"/>
        <w:autoSpaceDN w:val="0"/>
        <w:adjustRightInd w:val="0"/>
        <w:rPr>
          <w:b/>
          <w:lang w:eastAsia="el-GR"/>
        </w:rPr>
      </w:pPr>
      <w:r w:rsidRPr="00E72D0C">
        <w:rPr>
          <w:b/>
          <w:lang w:eastAsia="el-GR"/>
        </w:rPr>
        <w:t>Γαλουχία</w:t>
      </w:r>
    </w:p>
    <w:p w:rsidR="00F505AA" w:rsidRPr="00E72D0C" w:rsidRDefault="00F505AA" w:rsidP="00F505AA">
      <w:pPr>
        <w:autoSpaceDE w:val="0"/>
        <w:autoSpaceDN w:val="0"/>
        <w:adjustRightInd w:val="0"/>
        <w:rPr>
          <w:lang w:eastAsia="el-GR"/>
        </w:rPr>
      </w:pPr>
      <w:r w:rsidRPr="00E72D0C">
        <w:rPr>
          <w:lang w:eastAsia="el-GR"/>
        </w:rPr>
        <w:t xml:space="preserve">Η βενλαφαξίνη και ο ενεργός μεταβολίτης της, Ο-δυσμεθυλοβενλαφαξίνη, απεκκρίνονται στο μητρικό γάλα. </w:t>
      </w:r>
      <w:r w:rsidR="001F06DC">
        <w:rPr>
          <w:lang w:eastAsia="el-GR"/>
        </w:rPr>
        <w:t xml:space="preserve">Υπάρχουν αναφορές μετά την κυκλοφορία του προϊόντος στην αγορά </w:t>
      </w:r>
      <w:r w:rsidR="004B57AA">
        <w:rPr>
          <w:lang w:eastAsia="el-GR"/>
        </w:rPr>
        <w:t>για θηλάζοντα βρέφη</w:t>
      </w:r>
      <w:r w:rsidR="00B81155">
        <w:rPr>
          <w:lang w:eastAsia="el-GR"/>
        </w:rPr>
        <w:t xml:space="preserve"> στα οποία παρατηρήθηκαν κλάμα, ευερεθιστότητα και </w:t>
      </w:r>
      <w:r w:rsidR="004B57AA">
        <w:rPr>
          <w:lang w:eastAsia="el-GR"/>
        </w:rPr>
        <w:t>μη φυσιολογικό</w:t>
      </w:r>
      <w:r w:rsidR="002D3F31">
        <w:rPr>
          <w:lang w:eastAsia="el-GR"/>
        </w:rPr>
        <w:t>ς</w:t>
      </w:r>
      <w:r w:rsidR="00B81155">
        <w:rPr>
          <w:lang w:eastAsia="el-GR"/>
        </w:rPr>
        <w:t xml:space="preserve"> ύπνο</w:t>
      </w:r>
      <w:r w:rsidR="002D3F31">
        <w:rPr>
          <w:lang w:eastAsia="el-GR"/>
        </w:rPr>
        <w:t>ς</w:t>
      </w:r>
      <w:r w:rsidR="00B81155">
        <w:rPr>
          <w:lang w:eastAsia="el-GR"/>
        </w:rPr>
        <w:t>. Τα συμπτώματα που παρατηρούνται με τη</w:t>
      </w:r>
      <w:r w:rsidR="004B57AA" w:rsidRPr="00EB4B63">
        <w:rPr>
          <w:lang w:eastAsia="el-GR"/>
        </w:rPr>
        <w:t xml:space="preserve"> </w:t>
      </w:r>
      <w:r w:rsidR="004B57AA">
        <w:rPr>
          <w:lang w:eastAsia="el-GR"/>
        </w:rPr>
        <w:t xml:space="preserve">διακοπή </w:t>
      </w:r>
      <w:r w:rsidR="00B81155">
        <w:rPr>
          <w:lang w:eastAsia="el-GR"/>
        </w:rPr>
        <w:t xml:space="preserve">της βενλαφαξίνης έχουν αναφερθεί μετά τη διακοπή </w:t>
      </w:r>
      <w:r w:rsidR="00B81155">
        <w:rPr>
          <w:lang w:eastAsia="el-GR"/>
        </w:rPr>
        <w:lastRenderedPageBreak/>
        <w:t xml:space="preserve">του θηλασμού. </w:t>
      </w:r>
      <w:r w:rsidRPr="00E72D0C">
        <w:rPr>
          <w:lang w:eastAsia="el-GR"/>
        </w:rPr>
        <w:t xml:space="preserve">Δεν μπορεί να αποκλεισθεί ο κίνδυνος για τα μωρά που θηλάζουν. Ωστόσο, πρέπει να αποφασίζεται αν θα συνεχισθεί/σταματήσει ο θηλασμός, ή θα συνεχισθεί/διακοπεί η θεραπεία με το </w:t>
      </w:r>
      <w:r w:rsidRPr="00E72D0C">
        <w:rPr>
          <w:lang w:val="en-US" w:eastAsia="el-GR"/>
        </w:rPr>
        <w:t>Serosmine</w:t>
      </w:r>
      <w:r w:rsidRPr="00E72D0C">
        <w:rPr>
          <w:lang w:eastAsia="el-GR"/>
        </w:rPr>
        <w:t xml:space="preserve">, λαμβάνοντας υπόψη τα οφέλη του παιδιού από το θηλασμό και τα οφέλη από τη θεραπεία με το </w:t>
      </w:r>
      <w:r w:rsidRPr="00E72D0C">
        <w:rPr>
          <w:lang w:val="en-US" w:eastAsia="el-GR"/>
        </w:rPr>
        <w:t>Serosmine</w:t>
      </w:r>
      <w:r w:rsidRPr="00E72D0C">
        <w:rPr>
          <w:lang w:eastAsia="el-GR"/>
        </w:rPr>
        <w:t xml:space="preserve"> για τη γυναίκα.</w:t>
      </w:r>
    </w:p>
    <w:p w:rsidR="00F505AA" w:rsidRPr="00E72D0C" w:rsidRDefault="00F505AA" w:rsidP="00F505AA">
      <w:pPr>
        <w:ind w:left="600"/>
        <w:jc w:val="both"/>
      </w:pPr>
    </w:p>
    <w:p w:rsidR="00F505AA" w:rsidRPr="00E72D0C" w:rsidRDefault="00F505AA" w:rsidP="00F505AA">
      <w:pPr>
        <w:tabs>
          <w:tab w:val="left" w:pos="-1440"/>
          <w:tab w:val="left" w:pos="-720"/>
          <w:tab w:val="left" w:pos="0"/>
        </w:tabs>
        <w:ind w:left="600" w:hanging="600"/>
        <w:rPr>
          <w:b/>
          <w:bCs/>
        </w:rPr>
      </w:pPr>
      <w:bookmarkStart w:id="3" w:name="MACHINEOPS"/>
      <w:r w:rsidRPr="00E72D0C">
        <w:rPr>
          <w:b/>
          <w:bCs/>
        </w:rPr>
        <w:t>4.7</w:t>
      </w:r>
      <w:r w:rsidRPr="00E72D0C">
        <w:rPr>
          <w:b/>
          <w:bCs/>
        </w:rPr>
        <w:tab/>
        <w:t>Επιδράσεις στην ικανότητα οδήγησης και χειρισμού μηχανών</w:t>
      </w:r>
    </w:p>
    <w:bookmarkEnd w:id="3"/>
    <w:p w:rsidR="00F505AA" w:rsidRPr="00E72D0C" w:rsidRDefault="00F505AA" w:rsidP="00F505AA">
      <w:pPr>
        <w:jc w:val="both"/>
      </w:pPr>
    </w:p>
    <w:p w:rsidR="00F505AA" w:rsidRPr="00E72D0C" w:rsidRDefault="00F505AA" w:rsidP="00F505AA">
      <w:pPr>
        <w:autoSpaceDE w:val="0"/>
        <w:autoSpaceDN w:val="0"/>
        <w:adjustRightInd w:val="0"/>
        <w:rPr>
          <w:lang w:eastAsia="el-GR"/>
        </w:rPr>
      </w:pPr>
      <w:r w:rsidRPr="00E72D0C">
        <w:rPr>
          <w:lang w:eastAsia="el-GR"/>
        </w:rPr>
        <w:t>Οποιοδήποτε ψυχοφάρμακο μπορεί να βλάψει την κρίση, τη σκέψη και την κινητική δεξιότητα. Ωστόσο κάθε ασθενής που λαμβάνει βενλαφαξίνη πρέπει να είναι προσεκτικός όσον αφορά την ικανότητα του για οδήγηση ή χειρισμό επικίνδυνων μηχανημάτων.</w:t>
      </w:r>
    </w:p>
    <w:p w:rsidR="00F505AA" w:rsidRPr="00E72D0C" w:rsidRDefault="00F505AA" w:rsidP="00F505AA">
      <w:pPr>
        <w:jc w:val="both"/>
      </w:pPr>
    </w:p>
    <w:p w:rsidR="00F505AA" w:rsidRPr="00E72D0C" w:rsidRDefault="00F505AA" w:rsidP="00F505AA">
      <w:pPr>
        <w:tabs>
          <w:tab w:val="left" w:pos="-1440"/>
          <w:tab w:val="left" w:pos="-720"/>
          <w:tab w:val="left" w:pos="0"/>
        </w:tabs>
        <w:ind w:left="600" w:hanging="600"/>
        <w:rPr>
          <w:b/>
          <w:bCs/>
        </w:rPr>
      </w:pPr>
      <w:bookmarkStart w:id="4" w:name="UNDESIRABLE_EFFECTS"/>
      <w:r w:rsidRPr="00E72D0C">
        <w:rPr>
          <w:b/>
          <w:bCs/>
        </w:rPr>
        <w:t>4.8</w:t>
      </w:r>
      <w:r w:rsidRPr="00E72D0C">
        <w:rPr>
          <w:b/>
          <w:bCs/>
        </w:rPr>
        <w:tab/>
        <w:t>Ανεπιθύμητες ενέργειες</w:t>
      </w:r>
    </w:p>
    <w:bookmarkEnd w:id="4"/>
    <w:p w:rsidR="00F505AA" w:rsidRPr="00E72D0C" w:rsidRDefault="00F505AA" w:rsidP="00F505AA">
      <w:pPr>
        <w:tabs>
          <w:tab w:val="left" w:pos="1548"/>
        </w:tabs>
        <w:jc w:val="both"/>
        <w:rPr>
          <w:noProof/>
        </w:rPr>
      </w:pPr>
      <w:r w:rsidRPr="00E72D0C">
        <w:rPr>
          <w:lang w:eastAsia="es-ES"/>
        </w:rPr>
        <w:tab/>
      </w:r>
    </w:p>
    <w:p w:rsidR="00F505AA" w:rsidRPr="00E72D0C" w:rsidRDefault="00F505AA" w:rsidP="00F505AA">
      <w:pPr>
        <w:autoSpaceDE w:val="0"/>
        <w:autoSpaceDN w:val="0"/>
        <w:adjustRightInd w:val="0"/>
        <w:rPr>
          <w:lang w:eastAsia="el-GR"/>
        </w:rPr>
      </w:pPr>
      <w:r w:rsidRPr="00E72D0C">
        <w:rPr>
          <w:lang w:eastAsia="el-GR"/>
        </w:rPr>
        <w:t>Οι πιο συχνά (</w:t>
      </w:r>
      <w:r>
        <w:rPr>
          <w:lang w:eastAsia="el-GR"/>
        </w:rPr>
        <w:t>&gt;</w:t>
      </w:r>
      <w:r w:rsidRPr="00E72D0C">
        <w:rPr>
          <w:lang w:eastAsia="el-GR"/>
        </w:rPr>
        <w:t>1/10) αναφερόμενες ανεπιθύμητες ενέργειες σε κλινικές μελέτες ήταν ναυτία, ξηροστομία, κεφαλαλγία και εφίδρωση (περιλαμβανομένων και των νυκτερινών εφιδρώσεων). Οι ανεπιθύμητες ενέργειες του φαρμάκου ταξινομούνται στον κάτωθι πίνακα ανά σύστημα του οργανισμού και συχνότητα.</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lang w:eastAsia="el-GR"/>
        </w:rPr>
      </w:pPr>
      <w:r w:rsidRPr="00E72D0C">
        <w:rPr>
          <w:lang w:eastAsia="el-GR"/>
        </w:rPr>
        <w:t>Οι συχνότητες ορίζονται ως εξής: πολύ συχνές (</w:t>
      </w:r>
      <w:r w:rsidRPr="00E72D0C">
        <w:rPr>
          <w:lang w:eastAsia="el-GR"/>
        </w:rPr>
        <w:sym w:font="Symbol" w:char="F0B3"/>
      </w:r>
      <w:r w:rsidRPr="00E72D0C">
        <w:rPr>
          <w:lang w:eastAsia="el-GR"/>
        </w:rPr>
        <w:t>1/10), συχνές (</w:t>
      </w:r>
      <w:r w:rsidRPr="00E72D0C">
        <w:rPr>
          <w:lang w:eastAsia="el-GR"/>
        </w:rPr>
        <w:sym w:font="Symbol" w:char="F0B3"/>
      </w:r>
      <w:r w:rsidRPr="00E72D0C">
        <w:rPr>
          <w:lang w:eastAsia="el-GR"/>
        </w:rPr>
        <w:t>1/100 έως &lt;1/10), όχι συχνές (</w:t>
      </w:r>
      <w:r w:rsidRPr="00E72D0C">
        <w:rPr>
          <w:lang w:eastAsia="el-GR"/>
        </w:rPr>
        <w:sym w:font="Symbol" w:char="F0B3"/>
      </w:r>
      <w:r w:rsidRPr="00E72D0C">
        <w:rPr>
          <w:lang w:eastAsia="el-GR"/>
        </w:rPr>
        <w:t>1/1.000 έως &lt;1/100), σπάνιες (</w:t>
      </w:r>
      <w:r w:rsidRPr="00E72D0C">
        <w:rPr>
          <w:lang w:eastAsia="el-GR"/>
        </w:rPr>
        <w:sym w:font="Symbol" w:char="F0B3"/>
      </w:r>
      <w:r w:rsidRPr="00E72D0C">
        <w:rPr>
          <w:lang w:eastAsia="el-GR"/>
        </w:rPr>
        <w:t>1/10.000 έως &lt;1/1.000), μη γνωστές (δεν μπορούν να εκτιμηθούν με βάση τα διαθέσιμα δεδομένα).</w:t>
      </w:r>
    </w:p>
    <w:p w:rsidR="00F505AA" w:rsidRPr="00E72D0C" w:rsidRDefault="00F505AA" w:rsidP="00F505AA">
      <w:pPr>
        <w:autoSpaceDE w:val="0"/>
        <w:autoSpaceDN w:val="0"/>
        <w:adjustRightInd w:val="0"/>
        <w:ind w:right="-930"/>
        <w:rPr>
          <w:lang w:eastAsia="el-G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0"/>
        <w:gridCol w:w="1670"/>
        <w:gridCol w:w="1846"/>
        <w:gridCol w:w="1497"/>
        <w:gridCol w:w="1229"/>
        <w:gridCol w:w="1918"/>
      </w:tblGrid>
      <w:tr w:rsidR="00F505AA" w:rsidRPr="00E72D0C" w:rsidTr="00CC3A5D">
        <w:tc>
          <w:tcPr>
            <w:tcW w:w="1808" w:type="dxa"/>
          </w:tcPr>
          <w:p w:rsidR="00F505AA" w:rsidRPr="00E72D0C" w:rsidRDefault="00F505AA" w:rsidP="00CC3A5D">
            <w:pPr>
              <w:autoSpaceDE w:val="0"/>
              <w:autoSpaceDN w:val="0"/>
              <w:adjustRightInd w:val="0"/>
              <w:rPr>
                <w:b/>
                <w:sz w:val="18"/>
                <w:szCs w:val="18"/>
                <w:lang w:eastAsia="el-GR"/>
              </w:rPr>
            </w:pPr>
            <w:r w:rsidRPr="00E72D0C">
              <w:rPr>
                <w:b/>
                <w:sz w:val="18"/>
                <w:szCs w:val="18"/>
                <w:lang w:eastAsia="el-GR"/>
              </w:rPr>
              <w:t>Σύστημα Οργανισμού</w:t>
            </w:r>
          </w:p>
        </w:tc>
        <w:tc>
          <w:tcPr>
            <w:tcW w:w="1700" w:type="dxa"/>
          </w:tcPr>
          <w:p w:rsidR="00F505AA" w:rsidRPr="00E72D0C" w:rsidRDefault="00F505AA" w:rsidP="00CC3A5D">
            <w:pPr>
              <w:autoSpaceDE w:val="0"/>
              <w:autoSpaceDN w:val="0"/>
              <w:adjustRightInd w:val="0"/>
              <w:rPr>
                <w:b/>
                <w:sz w:val="18"/>
                <w:szCs w:val="18"/>
                <w:lang w:eastAsia="el-GR"/>
              </w:rPr>
            </w:pPr>
            <w:r w:rsidRPr="00E72D0C">
              <w:rPr>
                <w:b/>
                <w:sz w:val="18"/>
                <w:szCs w:val="18"/>
                <w:lang w:eastAsia="el-GR"/>
              </w:rPr>
              <w:t>Πολύ συχνές</w:t>
            </w:r>
          </w:p>
        </w:tc>
        <w:tc>
          <w:tcPr>
            <w:tcW w:w="1600" w:type="dxa"/>
          </w:tcPr>
          <w:p w:rsidR="00F505AA" w:rsidRPr="00E72D0C" w:rsidRDefault="00F505AA" w:rsidP="00CC3A5D">
            <w:pPr>
              <w:autoSpaceDE w:val="0"/>
              <w:autoSpaceDN w:val="0"/>
              <w:adjustRightInd w:val="0"/>
              <w:rPr>
                <w:b/>
                <w:sz w:val="18"/>
                <w:szCs w:val="18"/>
                <w:lang w:eastAsia="el-GR"/>
              </w:rPr>
            </w:pPr>
            <w:r w:rsidRPr="00E72D0C">
              <w:rPr>
                <w:b/>
                <w:sz w:val="18"/>
                <w:szCs w:val="18"/>
                <w:lang w:eastAsia="el-GR"/>
              </w:rPr>
              <w:t>Συχνές</w:t>
            </w:r>
          </w:p>
        </w:tc>
        <w:tc>
          <w:tcPr>
            <w:tcW w:w="1500" w:type="dxa"/>
          </w:tcPr>
          <w:p w:rsidR="00F505AA" w:rsidRPr="00E72D0C" w:rsidRDefault="00F505AA" w:rsidP="00CC3A5D">
            <w:pPr>
              <w:autoSpaceDE w:val="0"/>
              <w:autoSpaceDN w:val="0"/>
              <w:adjustRightInd w:val="0"/>
              <w:rPr>
                <w:b/>
                <w:sz w:val="18"/>
                <w:szCs w:val="18"/>
                <w:lang w:eastAsia="el-GR"/>
              </w:rPr>
            </w:pPr>
            <w:r w:rsidRPr="00E72D0C">
              <w:rPr>
                <w:b/>
                <w:sz w:val="18"/>
                <w:szCs w:val="18"/>
                <w:lang w:eastAsia="el-GR"/>
              </w:rPr>
              <w:t>Όχι συχνές</w:t>
            </w:r>
          </w:p>
        </w:tc>
        <w:tc>
          <w:tcPr>
            <w:tcW w:w="1300" w:type="dxa"/>
          </w:tcPr>
          <w:p w:rsidR="00F505AA" w:rsidRPr="00E72D0C" w:rsidRDefault="00F505AA" w:rsidP="00CC3A5D">
            <w:pPr>
              <w:autoSpaceDE w:val="0"/>
              <w:autoSpaceDN w:val="0"/>
              <w:adjustRightInd w:val="0"/>
              <w:rPr>
                <w:b/>
                <w:sz w:val="18"/>
                <w:szCs w:val="18"/>
                <w:lang w:eastAsia="el-GR"/>
              </w:rPr>
            </w:pPr>
            <w:r w:rsidRPr="00E72D0C">
              <w:rPr>
                <w:b/>
                <w:sz w:val="18"/>
                <w:szCs w:val="18"/>
                <w:lang w:eastAsia="el-GR"/>
              </w:rPr>
              <w:t>Σπάνιες</w:t>
            </w:r>
          </w:p>
        </w:tc>
        <w:tc>
          <w:tcPr>
            <w:tcW w:w="2100" w:type="dxa"/>
          </w:tcPr>
          <w:p w:rsidR="00F505AA" w:rsidRPr="00E72D0C" w:rsidRDefault="00F505AA" w:rsidP="00CC3A5D">
            <w:pPr>
              <w:autoSpaceDE w:val="0"/>
              <w:autoSpaceDN w:val="0"/>
              <w:adjustRightInd w:val="0"/>
              <w:rPr>
                <w:b/>
                <w:sz w:val="18"/>
                <w:szCs w:val="18"/>
                <w:lang w:eastAsia="el-GR"/>
              </w:rPr>
            </w:pPr>
            <w:r w:rsidRPr="00E72D0C">
              <w:rPr>
                <w:b/>
                <w:sz w:val="18"/>
                <w:szCs w:val="18"/>
                <w:lang w:eastAsia="el-GR"/>
              </w:rPr>
              <w:t>Μη γνωστές</w:t>
            </w:r>
          </w:p>
        </w:tc>
      </w:tr>
      <w:tr w:rsidR="00F505AA" w:rsidRPr="00E72D0C" w:rsidTr="00CC3A5D">
        <w:tc>
          <w:tcPr>
            <w:tcW w:w="1808" w:type="dxa"/>
          </w:tcPr>
          <w:p w:rsidR="00F505AA" w:rsidRPr="00E72D0C" w:rsidRDefault="00F505AA" w:rsidP="00CC3A5D">
            <w:pPr>
              <w:autoSpaceDE w:val="0"/>
              <w:autoSpaceDN w:val="0"/>
              <w:adjustRightInd w:val="0"/>
              <w:rPr>
                <w:sz w:val="18"/>
                <w:szCs w:val="18"/>
                <w:lang w:eastAsia="el-GR"/>
              </w:rPr>
            </w:pPr>
            <w:r w:rsidRPr="00E72D0C">
              <w:rPr>
                <w:sz w:val="18"/>
                <w:szCs w:val="18"/>
                <w:lang w:eastAsia="el-GR"/>
              </w:rPr>
              <w:t>Αίμα/Λεμφικό</w:t>
            </w:r>
          </w:p>
        </w:tc>
        <w:tc>
          <w:tcPr>
            <w:tcW w:w="1700" w:type="dxa"/>
          </w:tcPr>
          <w:p w:rsidR="00F505AA" w:rsidRPr="00E72D0C" w:rsidRDefault="00F505AA" w:rsidP="00CC3A5D">
            <w:pPr>
              <w:autoSpaceDE w:val="0"/>
              <w:autoSpaceDN w:val="0"/>
              <w:adjustRightInd w:val="0"/>
              <w:rPr>
                <w:sz w:val="18"/>
                <w:szCs w:val="18"/>
                <w:lang w:eastAsia="el-GR"/>
              </w:rPr>
            </w:pPr>
          </w:p>
        </w:tc>
        <w:tc>
          <w:tcPr>
            <w:tcW w:w="1600" w:type="dxa"/>
          </w:tcPr>
          <w:p w:rsidR="00F505AA" w:rsidRPr="00E72D0C" w:rsidRDefault="00F505AA" w:rsidP="00CC3A5D">
            <w:pPr>
              <w:autoSpaceDE w:val="0"/>
              <w:autoSpaceDN w:val="0"/>
              <w:adjustRightInd w:val="0"/>
              <w:rPr>
                <w:sz w:val="18"/>
                <w:szCs w:val="18"/>
                <w:lang w:eastAsia="el-GR"/>
              </w:rPr>
            </w:pPr>
          </w:p>
        </w:tc>
        <w:tc>
          <w:tcPr>
            <w:tcW w:w="1500" w:type="dxa"/>
          </w:tcPr>
          <w:p w:rsidR="00F505AA" w:rsidRPr="00E72D0C" w:rsidRDefault="00F505AA" w:rsidP="00CC3A5D">
            <w:pPr>
              <w:autoSpaceDE w:val="0"/>
              <w:autoSpaceDN w:val="0"/>
              <w:adjustRightInd w:val="0"/>
              <w:rPr>
                <w:sz w:val="18"/>
                <w:szCs w:val="18"/>
                <w:lang w:eastAsia="el-GR"/>
              </w:rPr>
            </w:pPr>
            <w:r w:rsidRPr="00E72D0C">
              <w:rPr>
                <w:sz w:val="18"/>
                <w:szCs w:val="18"/>
                <w:lang w:eastAsia="el-GR"/>
              </w:rPr>
              <w:t>Εκχύμωση, αιμορραγία του γαστρεντερικού συστήματος</w:t>
            </w:r>
          </w:p>
        </w:tc>
        <w:tc>
          <w:tcPr>
            <w:tcW w:w="1300" w:type="dxa"/>
          </w:tcPr>
          <w:p w:rsidR="00F505AA" w:rsidRPr="00E72D0C" w:rsidRDefault="00F505AA" w:rsidP="00CC3A5D">
            <w:pPr>
              <w:autoSpaceDE w:val="0"/>
              <w:autoSpaceDN w:val="0"/>
              <w:adjustRightInd w:val="0"/>
              <w:rPr>
                <w:sz w:val="18"/>
                <w:szCs w:val="18"/>
                <w:lang w:eastAsia="el-GR"/>
              </w:rPr>
            </w:pPr>
          </w:p>
        </w:tc>
        <w:tc>
          <w:tcPr>
            <w:tcW w:w="2100" w:type="dxa"/>
          </w:tcPr>
          <w:p w:rsidR="00F505AA" w:rsidRPr="00E72D0C" w:rsidRDefault="00F505AA" w:rsidP="00CC3A5D">
            <w:pPr>
              <w:autoSpaceDE w:val="0"/>
              <w:autoSpaceDN w:val="0"/>
              <w:adjustRightInd w:val="0"/>
              <w:rPr>
                <w:sz w:val="18"/>
                <w:szCs w:val="18"/>
                <w:lang w:eastAsia="el-GR"/>
              </w:rPr>
            </w:pPr>
            <w:r w:rsidRPr="00E72D0C">
              <w:rPr>
                <w:sz w:val="18"/>
                <w:szCs w:val="18"/>
                <w:lang w:eastAsia="el-GR"/>
              </w:rPr>
              <w:t>Αιμορραγία των βλεννογόνων, παρατεταμένος χρόνος ροής αίματος, θρομβοκυττοπενία, δυσκρασίες αίματος (περιλαμβάνονται ακοκκιοκυττάρωση, απλαστική αναιμία, ουδετεροπενία και πανκυττοπενία)</w:t>
            </w:r>
          </w:p>
        </w:tc>
      </w:tr>
      <w:tr w:rsidR="00F505AA" w:rsidRPr="00E72D0C" w:rsidTr="00CC3A5D">
        <w:tc>
          <w:tcPr>
            <w:tcW w:w="1808" w:type="dxa"/>
          </w:tcPr>
          <w:p w:rsidR="00F505AA" w:rsidRPr="00E72D0C" w:rsidRDefault="00F505AA" w:rsidP="00CC3A5D">
            <w:pPr>
              <w:autoSpaceDE w:val="0"/>
              <w:autoSpaceDN w:val="0"/>
              <w:adjustRightInd w:val="0"/>
              <w:rPr>
                <w:sz w:val="18"/>
                <w:szCs w:val="18"/>
                <w:lang w:eastAsia="el-GR"/>
              </w:rPr>
            </w:pPr>
            <w:r w:rsidRPr="00E72D0C">
              <w:rPr>
                <w:sz w:val="18"/>
                <w:szCs w:val="18"/>
                <w:lang w:eastAsia="el-GR"/>
              </w:rPr>
              <w:t>Μεταβολισμός/Διατροφή</w:t>
            </w:r>
          </w:p>
        </w:tc>
        <w:tc>
          <w:tcPr>
            <w:tcW w:w="1700" w:type="dxa"/>
          </w:tcPr>
          <w:p w:rsidR="00F505AA" w:rsidRPr="00E72D0C" w:rsidRDefault="00F505AA" w:rsidP="00CC3A5D">
            <w:pPr>
              <w:autoSpaceDE w:val="0"/>
              <w:autoSpaceDN w:val="0"/>
              <w:adjustRightInd w:val="0"/>
              <w:rPr>
                <w:sz w:val="18"/>
                <w:szCs w:val="18"/>
                <w:lang w:eastAsia="el-GR"/>
              </w:rPr>
            </w:pPr>
          </w:p>
        </w:tc>
        <w:tc>
          <w:tcPr>
            <w:tcW w:w="1600" w:type="dxa"/>
          </w:tcPr>
          <w:p w:rsidR="00F505AA" w:rsidRPr="00E72D0C" w:rsidRDefault="00F505AA" w:rsidP="00CC3A5D">
            <w:pPr>
              <w:autoSpaceDE w:val="0"/>
              <w:autoSpaceDN w:val="0"/>
              <w:adjustRightInd w:val="0"/>
              <w:rPr>
                <w:sz w:val="18"/>
                <w:szCs w:val="18"/>
                <w:lang w:eastAsia="el-GR"/>
              </w:rPr>
            </w:pPr>
            <w:r w:rsidRPr="00E72D0C">
              <w:rPr>
                <w:sz w:val="18"/>
                <w:szCs w:val="18"/>
                <w:lang w:eastAsia="el-GR"/>
              </w:rPr>
              <w:t>Υπερχοληστεριναιμία, απώλεια σωματικού βάρους</w:t>
            </w:r>
          </w:p>
        </w:tc>
        <w:tc>
          <w:tcPr>
            <w:tcW w:w="1500" w:type="dxa"/>
          </w:tcPr>
          <w:p w:rsidR="00F505AA" w:rsidRPr="00E72D0C" w:rsidRDefault="00F505AA" w:rsidP="00CC3A5D">
            <w:pPr>
              <w:autoSpaceDE w:val="0"/>
              <w:autoSpaceDN w:val="0"/>
              <w:adjustRightInd w:val="0"/>
              <w:rPr>
                <w:sz w:val="18"/>
                <w:szCs w:val="18"/>
                <w:lang w:eastAsia="el-GR"/>
              </w:rPr>
            </w:pPr>
            <w:r w:rsidRPr="00E72D0C">
              <w:rPr>
                <w:sz w:val="18"/>
                <w:szCs w:val="18"/>
                <w:lang w:eastAsia="el-GR"/>
              </w:rPr>
              <w:t>Αύξηση βάρους</w:t>
            </w:r>
          </w:p>
        </w:tc>
        <w:tc>
          <w:tcPr>
            <w:tcW w:w="1300" w:type="dxa"/>
          </w:tcPr>
          <w:p w:rsidR="00F505AA" w:rsidRPr="00E72D0C" w:rsidRDefault="00F505AA" w:rsidP="00CC3A5D">
            <w:pPr>
              <w:autoSpaceDE w:val="0"/>
              <w:autoSpaceDN w:val="0"/>
              <w:adjustRightInd w:val="0"/>
              <w:rPr>
                <w:sz w:val="18"/>
                <w:szCs w:val="18"/>
                <w:lang w:eastAsia="el-GR"/>
              </w:rPr>
            </w:pPr>
          </w:p>
        </w:tc>
        <w:tc>
          <w:tcPr>
            <w:tcW w:w="2100" w:type="dxa"/>
          </w:tcPr>
          <w:p w:rsidR="00F505AA" w:rsidRPr="00E72D0C" w:rsidRDefault="00F505AA" w:rsidP="00CC3A5D">
            <w:pPr>
              <w:autoSpaceDE w:val="0"/>
              <w:autoSpaceDN w:val="0"/>
              <w:adjustRightInd w:val="0"/>
              <w:rPr>
                <w:sz w:val="18"/>
                <w:szCs w:val="18"/>
                <w:lang w:eastAsia="el-GR"/>
              </w:rPr>
            </w:pPr>
            <w:r w:rsidRPr="00E72D0C">
              <w:rPr>
                <w:sz w:val="18"/>
                <w:szCs w:val="18"/>
                <w:lang w:eastAsia="el-GR"/>
              </w:rPr>
              <w:t>Μη φυσιολογικές δοκιμασίες ηπατικής λειτουργίας, υπονατριαιμία, ηπατίτιδα, σύνδρομο απρόσφορης έκκρισης  αντιδιουρητικής ορμόνης (</w:t>
            </w:r>
            <w:r w:rsidRPr="00E72D0C">
              <w:rPr>
                <w:sz w:val="18"/>
                <w:szCs w:val="18"/>
                <w:lang w:val="en-US" w:eastAsia="el-GR"/>
              </w:rPr>
              <w:t>SIADH</w:t>
            </w:r>
            <w:r w:rsidRPr="00E72D0C">
              <w:rPr>
                <w:sz w:val="18"/>
                <w:szCs w:val="18"/>
                <w:lang w:eastAsia="el-GR"/>
              </w:rPr>
              <w:t>), αύξηση προλακτίνης</w:t>
            </w:r>
          </w:p>
        </w:tc>
      </w:tr>
      <w:tr w:rsidR="00F505AA" w:rsidRPr="00E72D0C" w:rsidTr="00CC3A5D">
        <w:tc>
          <w:tcPr>
            <w:tcW w:w="1808" w:type="dxa"/>
          </w:tcPr>
          <w:p w:rsidR="00F505AA" w:rsidRPr="00E72D0C" w:rsidRDefault="00F505AA" w:rsidP="00CC3A5D">
            <w:pPr>
              <w:autoSpaceDE w:val="0"/>
              <w:autoSpaceDN w:val="0"/>
              <w:adjustRightInd w:val="0"/>
              <w:rPr>
                <w:sz w:val="18"/>
                <w:szCs w:val="18"/>
                <w:lang w:eastAsia="el-GR"/>
              </w:rPr>
            </w:pPr>
            <w:r w:rsidRPr="00E72D0C">
              <w:rPr>
                <w:sz w:val="18"/>
                <w:szCs w:val="18"/>
                <w:lang w:eastAsia="el-GR"/>
              </w:rPr>
              <w:t>Νευρικό</w:t>
            </w:r>
          </w:p>
        </w:tc>
        <w:tc>
          <w:tcPr>
            <w:tcW w:w="1700" w:type="dxa"/>
          </w:tcPr>
          <w:p w:rsidR="00F505AA" w:rsidRPr="00E72D0C" w:rsidRDefault="00F505AA" w:rsidP="00CC3A5D">
            <w:pPr>
              <w:autoSpaceDE w:val="0"/>
              <w:autoSpaceDN w:val="0"/>
              <w:adjustRightInd w:val="0"/>
              <w:rPr>
                <w:sz w:val="18"/>
                <w:szCs w:val="18"/>
                <w:lang w:eastAsia="el-GR"/>
              </w:rPr>
            </w:pPr>
            <w:r w:rsidRPr="00E72D0C">
              <w:rPr>
                <w:sz w:val="18"/>
                <w:szCs w:val="18"/>
                <w:lang w:eastAsia="el-GR"/>
              </w:rPr>
              <w:t>Ξηροστομία (10,0%), κεφαλαλγία (30,3%)</w:t>
            </w:r>
            <w:r w:rsidRPr="00E72D0C">
              <w:rPr>
                <w:sz w:val="18"/>
                <w:szCs w:val="18"/>
                <w:lang w:eastAsia="el-GR"/>
              </w:rPr>
              <w:sym w:font="Symbol" w:char="F02A"/>
            </w:r>
          </w:p>
        </w:tc>
        <w:tc>
          <w:tcPr>
            <w:tcW w:w="1600" w:type="dxa"/>
          </w:tcPr>
          <w:p w:rsidR="00F505AA" w:rsidRPr="00E72D0C" w:rsidRDefault="00F505AA" w:rsidP="00CC3A5D">
            <w:pPr>
              <w:autoSpaceDE w:val="0"/>
              <w:autoSpaceDN w:val="0"/>
              <w:adjustRightInd w:val="0"/>
              <w:rPr>
                <w:sz w:val="18"/>
                <w:szCs w:val="18"/>
                <w:lang w:eastAsia="el-GR"/>
              </w:rPr>
            </w:pPr>
            <w:r w:rsidRPr="00E72D0C">
              <w:rPr>
                <w:sz w:val="18"/>
                <w:szCs w:val="18"/>
                <w:lang w:eastAsia="el-GR"/>
              </w:rPr>
              <w:t>Μη φυσιολογικά όνειρα, μειωμένη λίμπιντο, ζάλη, αυξημένος μυϊκός τόνος (υπερτονία), αϋπνία, νευρικότητα, παραισθησία, καταστολή, τρόμος, σύγχυση, αποπροσωποποίηση</w:t>
            </w:r>
          </w:p>
        </w:tc>
        <w:tc>
          <w:tcPr>
            <w:tcW w:w="1500" w:type="dxa"/>
          </w:tcPr>
          <w:p w:rsidR="00F505AA" w:rsidRPr="00E72D0C" w:rsidRDefault="00F505AA" w:rsidP="00CC3A5D">
            <w:pPr>
              <w:autoSpaceDE w:val="0"/>
              <w:autoSpaceDN w:val="0"/>
              <w:adjustRightInd w:val="0"/>
              <w:rPr>
                <w:sz w:val="18"/>
                <w:szCs w:val="18"/>
                <w:lang w:eastAsia="el-GR"/>
              </w:rPr>
            </w:pPr>
            <w:r w:rsidRPr="00E72D0C">
              <w:rPr>
                <w:sz w:val="18"/>
                <w:szCs w:val="18"/>
                <w:lang w:eastAsia="el-GR"/>
              </w:rPr>
              <w:t>Απάθεια, ψευδαισθήσεις, μυοκλονία, διέγερση, μείωση του συντονισμού και της ισορροπίας</w:t>
            </w:r>
          </w:p>
        </w:tc>
        <w:tc>
          <w:tcPr>
            <w:tcW w:w="1300" w:type="dxa"/>
          </w:tcPr>
          <w:p w:rsidR="00F505AA" w:rsidRPr="00E72D0C" w:rsidRDefault="00F505AA" w:rsidP="00CC3A5D">
            <w:pPr>
              <w:autoSpaceDE w:val="0"/>
              <w:autoSpaceDN w:val="0"/>
              <w:adjustRightInd w:val="0"/>
              <w:rPr>
                <w:sz w:val="18"/>
                <w:szCs w:val="18"/>
                <w:lang w:eastAsia="el-GR"/>
              </w:rPr>
            </w:pPr>
            <w:r w:rsidRPr="00E72D0C">
              <w:rPr>
                <w:sz w:val="18"/>
                <w:szCs w:val="18"/>
                <w:lang w:eastAsia="el-GR"/>
              </w:rPr>
              <w:t>Ακαθ</w:t>
            </w:r>
            <w:r>
              <w:rPr>
                <w:sz w:val="18"/>
                <w:szCs w:val="18"/>
                <w:lang w:eastAsia="el-GR"/>
              </w:rPr>
              <w:t>η</w:t>
            </w:r>
            <w:r w:rsidRPr="00E72D0C">
              <w:rPr>
                <w:sz w:val="18"/>
                <w:szCs w:val="18"/>
                <w:lang w:eastAsia="el-GR"/>
              </w:rPr>
              <w:t>σία/</w:t>
            </w:r>
          </w:p>
          <w:p w:rsidR="00F505AA" w:rsidRPr="00E72D0C" w:rsidRDefault="00F505AA" w:rsidP="00CC3A5D">
            <w:pPr>
              <w:autoSpaceDE w:val="0"/>
              <w:autoSpaceDN w:val="0"/>
              <w:adjustRightInd w:val="0"/>
              <w:rPr>
                <w:sz w:val="18"/>
                <w:szCs w:val="18"/>
                <w:lang w:eastAsia="el-GR"/>
              </w:rPr>
            </w:pPr>
            <w:r w:rsidRPr="00E72D0C">
              <w:rPr>
                <w:sz w:val="18"/>
                <w:szCs w:val="18"/>
                <w:lang w:eastAsia="el-GR"/>
              </w:rPr>
              <w:t>Ψυχοκινητική ανησυχία, σπασμοί, μανιακή αντίδραση</w:t>
            </w:r>
          </w:p>
        </w:tc>
        <w:tc>
          <w:tcPr>
            <w:tcW w:w="2100" w:type="dxa"/>
          </w:tcPr>
          <w:p w:rsidR="002D3F31" w:rsidRPr="00E72D0C" w:rsidRDefault="00F505AA" w:rsidP="002D3F31">
            <w:pPr>
              <w:autoSpaceDE w:val="0"/>
              <w:autoSpaceDN w:val="0"/>
              <w:adjustRightInd w:val="0"/>
              <w:rPr>
                <w:sz w:val="18"/>
                <w:szCs w:val="18"/>
                <w:lang w:eastAsia="el-GR"/>
              </w:rPr>
            </w:pPr>
            <w:r w:rsidRPr="00E72D0C">
              <w:rPr>
                <w:sz w:val="18"/>
                <w:szCs w:val="18"/>
                <w:lang w:eastAsia="el-GR"/>
              </w:rPr>
              <w:t>Κακόηθες νευροληπτικό σύνδρομο (</w:t>
            </w:r>
            <w:r w:rsidRPr="00E72D0C">
              <w:rPr>
                <w:sz w:val="18"/>
                <w:szCs w:val="18"/>
                <w:lang w:val="en-US" w:eastAsia="el-GR"/>
              </w:rPr>
              <w:t>NMS</w:t>
            </w:r>
            <w:r w:rsidRPr="00E72D0C">
              <w:rPr>
                <w:sz w:val="18"/>
                <w:szCs w:val="18"/>
                <w:lang w:eastAsia="el-GR"/>
              </w:rPr>
              <w:t>), σύνδρομο</w:t>
            </w:r>
            <w:r>
              <w:rPr>
                <w:sz w:val="18"/>
                <w:szCs w:val="18"/>
                <w:lang w:eastAsia="el-GR"/>
              </w:rPr>
              <w:t xml:space="preserve"> σεροτονίνης</w:t>
            </w:r>
            <w:r w:rsidRPr="00E72D0C">
              <w:rPr>
                <w:sz w:val="18"/>
                <w:szCs w:val="18"/>
                <w:lang w:eastAsia="el-GR"/>
              </w:rPr>
              <w:t>, παραλήρημα, εξωπυραμιδικές αντιδράσεις (συμπεριλαμβανομένης της δυστονίας και της δυσκινησίας), βραδυκινησία, αυτοκτονικός ιδεασμός και αυτοκτονική συμπεριφορά</w:t>
            </w:r>
            <w:r w:rsidRPr="00E72D0C">
              <w:rPr>
                <w:sz w:val="18"/>
                <w:szCs w:val="18"/>
                <w:lang w:eastAsia="el-GR"/>
              </w:rPr>
              <w:sym w:font="Symbol" w:char="F02A"/>
            </w:r>
            <w:r w:rsidRPr="00E72D0C">
              <w:rPr>
                <w:sz w:val="18"/>
                <w:szCs w:val="18"/>
                <w:lang w:eastAsia="el-GR"/>
              </w:rPr>
              <w:sym w:font="Symbol" w:char="F02A"/>
            </w:r>
            <w:r w:rsidR="002D3F31">
              <w:rPr>
                <w:sz w:val="18"/>
                <w:szCs w:val="18"/>
                <w:lang w:eastAsia="el-GR"/>
              </w:rPr>
              <w:t>, Ίλιγγος, Επιθετικότητα***</w:t>
            </w:r>
          </w:p>
        </w:tc>
      </w:tr>
      <w:tr w:rsidR="00F505AA" w:rsidRPr="00E72D0C" w:rsidTr="00CC3A5D">
        <w:tc>
          <w:tcPr>
            <w:tcW w:w="1808" w:type="dxa"/>
          </w:tcPr>
          <w:p w:rsidR="00F505AA" w:rsidRPr="00E72D0C" w:rsidRDefault="00F505AA" w:rsidP="00CC3A5D">
            <w:pPr>
              <w:autoSpaceDE w:val="0"/>
              <w:autoSpaceDN w:val="0"/>
              <w:adjustRightInd w:val="0"/>
              <w:rPr>
                <w:sz w:val="18"/>
                <w:szCs w:val="18"/>
                <w:lang w:eastAsia="el-GR"/>
              </w:rPr>
            </w:pPr>
            <w:r w:rsidRPr="00E72D0C">
              <w:rPr>
                <w:sz w:val="18"/>
                <w:szCs w:val="18"/>
                <w:lang w:eastAsia="el-GR"/>
              </w:rPr>
              <w:t>Ειδικές αισθήσεις</w:t>
            </w:r>
          </w:p>
        </w:tc>
        <w:tc>
          <w:tcPr>
            <w:tcW w:w="1700" w:type="dxa"/>
          </w:tcPr>
          <w:p w:rsidR="00F505AA" w:rsidRPr="00E72D0C" w:rsidRDefault="00F505AA" w:rsidP="00CC3A5D">
            <w:pPr>
              <w:autoSpaceDE w:val="0"/>
              <w:autoSpaceDN w:val="0"/>
              <w:adjustRightInd w:val="0"/>
              <w:rPr>
                <w:sz w:val="18"/>
                <w:szCs w:val="18"/>
                <w:lang w:eastAsia="el-GR"/>
              </w:rPr>
            </w:pPr>
          </w:p>
        </w:tc>
        <w:tc>
          <w:tcPr>
            <w:tcW w:w="1600" w:type="dxa"/>
          </w:tcPr>
          <w:p w:rsidR="00F505AA" w:rsidRPr="00E72D0C" w:rsidRDefault="00F505AA" w:rsidP="00CC3A5D">
            <w:pPr>
              <w:autoSpaceDE w:val="0"/>
              <w:autoSpaceDN w:val="0"/>
              <w:adjustRightInd w:val="0"/>
              <w:rPr>
                <w:sz w:val="18"/>
                <w:szCs w:val="18"/>
                <w:lang w:eastAsia="el-GR"/>
              </w:rPr>
            </w:pPr>
            <w:r w:rsidRPr="00E72D0C">
              <w:rPr>
                <w:sz w:val="18"/>
                <w:szCs w:val="18"/>
                <w:lang w:eastAsia="el-GR"/>
              </w:rPr>
              <w:t>Διαταραχή στην προσαρμογή, μυδρίαση, διαταραχές όρασης</w:t>
            </w:r>
          </w:p>
        </w:tc>
        <w:tc>
          <w:tcPr>
            <w:tcW w:w="1500" w:type="dxa"/>
          </w:tcPr>
          <w:p w:rsidR="00F505AA" w:rsidRPr="00E72D0C" w:rsidRDefault="00F505AA" w:rsidP="00CC3A5D">
            <w:pPr>
              <w:autoSpaceDE w:val="0"/>
              <w:autoSpaceDN w:val="0"/>
              <w:adjustRightInd w:val="0"/>
              <w:rPr>
                <w:sz w:val="18"/>
                <w:szCs w:val="18"/>
                <w:lang w:eastAsia="el-GR"/>
              </w:rPr>
            </w:pPr>
            <w:r w:rsidRPr="00E72D0C">
              <w:rPr>
                <w:sz w:val="18"/>
                <w:szCs w:val="18"/>
                <w:lang w:eastAsia="el-GR"/>
              </w:rPr>
              <w:t>Διαταραχές γεύσης, εμβοές</w:t>
            </w:r>
          </w:p>
        </w:tc>
        <w:tc>
          <w:tcPr>
            <w:tcW w:w="1300" w:type="dxa"/>
          </w:tcPr>
          <w:p w:rsidR="00F505AA" w:rsidRPr="00E72D0C" w:rsidRDefault="00F505AA" w:rsidP="00CC3A5D">
            <w:pPr>
              <w:autoSpaceDE w:val="0"/>
              <w:autoSpaceDN w:val="0"/>
              <w:adjustRightInd w:val="0"/>
              <w:rPr>
                <w:sz w:val="18"/>
                <w:szCs w:val="18"/>
                <w:lang w:eastAsia="el-GR"/>
              </w:rPr>
            </w:pPr>
          </w:p>
        </w:tc>
        <w:tc>
          <w:tcPr>
            <w:tcW w:w="2100" w:type="dxa"/>
          </w:tcPr>
          <w:p w:rsidR="00F505AA" w:rsidRPr="00E72D0C" w:rsidRDefault="00F505AA" w:rsidP="00CC3A5D">
            <w:pPr>
              <w:autoSpaceDE w:val="0"/>
              <w:autoSpaceDN w:val="0"/>
              <w:adjustRightInd w:val="0"/>
              <w:rPr>
                <w:sz w:val="18"/>
                <w:szCs w:val="18"/>
                <w:lang w:eastAsia="el-GR"/>
              </w:rPr>
            </w:pPr>
            <w:r w:rsidRPr="00E72D0C">
              <w:rPr>
                <w:sz w:val="18"/>
                <w:szCs w:val="18"/>
                <w:lang w:eastAsia="el-GR"/>
              </w:rPr>
              <w:t>Γλαύκωμα κλειστής γωνίας</w:t>
            </w:r>
          </w:p>
        </w:tc>
      </w:tr>
      <w:tr w:rsidR="00F505AA" w:rsidRPr="00E72D0C" w:rsidTr="00CC3A5D">
        <w:tc>
          <w:tcPr>
            <w:tcW w:w="1808" w:type="dxa"/>
          </w:tcPr>
          <w:p w:rsidR="00F505AA" w:rsidRPr="00E72D0C" w:rsidRDefault="00F505AA" w:rsidP="00CC3A5D">
            <w:pPr>
              <w:autoSpaceDE w:val="0"/>
              <w:autoSpaceDN w:val="0"/>
              <w:adjustRightInd w:val="0"/>
              <w:rPr>
                <w:sz w:val="18"/>
                <w:szCs w:val="18"/>
                <w:lang w:eastAsia="el-GR"/>
              </w:rPr>
            </w:pPr>
            <w:r w:rsidRPr="00E72D0C">
              <w:rPr>
                <w:sz w:val="18"/>
                <w:szCs w:val="18"/>
                <w:lang w:eastAsia="el-GR"/>
              </w:rPr>
              <w:t>Καρδιαγγειακό</w:t>
            </w:r>
          </w:p>
        </w:tc>
        <w:tc>
          <w:tcPr>
            <w:tcW w:w="1700" w:type="dxa"/>
          </w:tcPr>
          <w:p w:rsidR="00F505AA" w:rsidRPr="00E72D0C" w:rsidRDefault="00F505AA" w:rsidP="00CC3A5D">
            <w:pPr>
              <w:autoSpaceDE w:val="0"/>
              <w:autoSpaceDN w:val="0"/>
              <w:adjustRightInd w:val="0"/>
              <w:rPr>
                <w:sz w:val="18"/>
                <w:szCs w:val="18"/>
                <w:lang w:eastAsia="el-GR"/>
              </w:rPr>
            </w:pPr>
          </w:p>
        </w:tc>
        <w:tc>
          <w:tcPr>
            <w:tcW w:w="1600" w:type="dxa"/>
          </w:tcPr>
          <w:p w:rsidR="00F505AA" w:rsidRPr="00E72D0C" w:rsidRDefault="00F505AA" w:rsidP="00CC3A5D">
            <w:pPr>
              <w:autoSpaceDE w:val="0"/>
              <w:autoSpaceDN w:val="0"/>
              <w:adjustRightInd w:val="0"/>
              <w:rPr>
                <w:sz w:val="18"/>
                <w:szCs w:val="18"/>
                <w:lang w:eastAsia="el-GR"/>
              </w:rPr>
            </w:pPr>
            <w:r w:rsidRPr="00E72D0C">
              <w:rPr>
                <w:sz w:val="18"/>
                <w:szCs w:val="18"/>
                <w:lang w:eastAsia="el-GR"/>
              </w:rPr>
              <w:t xml:space="preserve">Υπέρταση, </w:t>
            </w:r>
            <w:r w:rsidRPr="00E72D0C">
              <w:rPr>
                <w:sz w:val="18"/>
                <w:szCs w:val="18"/>
                <w:lang w:eastAsia="el-GR"/>
              </w:rPr>
              <w:lastRenderedPageBreak/>
              <w:t>αγγειοδιαστολή (κυρίως εξάψεις), αίσθημα παλμών</w:t>
            </w:r>
          </w:p>
        </w:tc>
        <w:tc>
          <w:tcPr>
            <w:tcW w:w="1500" w:type="dxa"/>
          </w:tcPr>
          <w:p w:rsidR="00F505AA" w:rsidRPr="00E72D0C" w:rsidRDefault="00F505AA" w:rsidP="00CC3A5D">
            <w:pPr>
              <w:autoSpaceDE w:val="0"/>
              <w:autoSpaceDN w:val="0"/>
              <w:adjustRightInd w:val="0"/>
              <w:rPr>
                <w:sz w:val="18"/>
                <w:szCs w:val="18"/>
                <w:lang w:eastAsia="el-GR"/>
              </w:rPr>
            </w:pPr>
            <w:r w:rsidRPr="00E72D0C">
              <w:rPr>
                <w:sz w:val="18"/>
                <w:szCs w:val="18"/>
                <w:lang w:eastAsia="el-GR"/>
              </w:rPr>
              <w:lastRenderedPageBreak/>
              <w:t xml:space="preserve">Ορθοστατική </w:t>
            </w:r>
            <w:r w:rsidRPr="00E72D0C">
              <w:rPr>
                <w:sz w:val="18"/>
                <w:szCs w:val="18"/>
                <w:lang w:eastAsia="el-GR"/>
              </w:rPr>
              <w:lastRenderedPageBreak/>
              <w:t>υπόταση, συγκοπή, ταχυκαρδία</w:t>
            </w:r>
          </w:p>
        </w:tc>
        <w:tc>
          <w:tcPr>
            <w:tcW w:w="1300" w:type="dxa"/>
          </w:tcPr>
          <w:p w:rsidR="00F505AA" w:rsidRPr="00E72D0C" w:rsidRDefault="00F505AA" w:rsidP="00CC3A5D">
            <w:pPr>
              <w:autoSpaceDE w:val="0"/>
              <w:autoSpaceDN w:val="0"/>
              <w:adjustRightInd w:val="0"/>
              <w:rPr>
                <w:sz w:val="18"/>
                <w:szCs w:val="18"/>
                <w:lang w:eastAsia="el-GR"/>
              </w:rPr>
            </w:pPr>
          </w:p>
        </w:tc>
        <w:tc>
          <w:tcPr>
            <w:tcW w:w="2100" w:type="dxa"/>
          </w:tcPr>
          <w:p w:rsidR="00F505AA" w:rsidRPr="00E72D0C" w:rsidRDefault="00F505AA" w:rsidP="00CC3A5D">
            <w:pPr>
              <w:autoSpaceDE w:val="0"/>
              <w:autoSpaceDN w:val="0"/>
              <w:adjustRightInd w:val="0"/>
              <w:rPr>
                <w:sz w:val="18"/>
                <w:szCs w:val="18"/>
                <w:lang w:eastAsia="el-GR"/>
              </w:rPr>
            </w:pPr>
            <w:r w:rsidRPr="00E72D0C">
              <w:rPr>
                <w:sz w:val="18"/>
                <w:szCs w:val="18"/>
                <w:lang w:eastAsia="el-GR"/>
              </w:rPr>
              <w:t xml:space="preserve">Υπόταση, επιμήκυνση </w:t>
            </w:r>
            <w:r w:rsidRPr="00E72D0C">
              <w:rPr>
                <w:sz w:val="18"/>
                <w:szCs w:val="18"/>
                <w:lang w:eastAsia="el-GR"/>
              </w:rPr>
              <w:lastRenderedPageBreak/>
              <w:t xml:space="preserve">του διαστήματος </w:t>
            </w:r>
            <w:r w:rsidRPr="00E72D0C">
              <w:rPr>
                <w:sz w:val="18"/>
                <w:szCs w:val="18"/>
                <w:lang w:val="en-US" w:eastAsia="el-GR"/>
              </w:rPr>
              <w:t>QT</w:t>
            </w:r>
            <w:r w:rsidRPr="00E72D0C">
              <w:rPr>
                <w:sz w:val="18"/>
                <w:szCs w:val="18"/>
                <w:lang w:eastAsia="el-GR"/>
              </w:rPr>
              <w:t>, κοιλιακή μαρμαρυγή, κοιλιακή ταχυκαρδία (συμπεριλαμβανομένης της κοιλιακής ταχυκαρδίας δίκην ριπιδίου)</w:t>
            </w:r>
          </w:p>
        </w:tc>
      </w:tr>
      <w:tr w:rsidR="00F505AA" w:rsidRPr="00E72D0C" w:rsidTr="00CC3A5D">
        <w:tc>
          <w:tcPr>
            <w:tcW w:w="1808" w:type="dxa"/>
          </w:tcPr>
          <w:p w:rsidR="00F505AA" w:rsidRPr="00E72D0C" w:rsidRDefault="00F505AA" w:rsidP="00CC3A5D">
            <w:pPr>
              <w:autoSpaceDE w:val="0"/>
              <w:autoSpaceDN w:val="0"/>
              <w:adjustRightInd w:val="0"/>
              <w:rPr>
                <w:sz w:val="18"/>
                <w:szCs w:val="18"/>
                <w:lang w:eastAsia="el-GR"/>
              </w:rPr>
            </w:pPr>
            <w:r w:rsidRPr="00E72D0C">
              <w:rPr>
                <w:sz w:val="18"/>
                <w:szCs w:val="18"/>
                <w:lang w:eastAsia="el-GR"/>
              </w:rPr>
              <w:lastRenderedPageBreak/>
              <w:t>Αναπνευστικό</w:t>
            </w:r>
          </w:p>
        </w:tc>
        <w:tc>
          <w:tcPr>
            <w:tcW w:w="1700" w:type="dxa"/>
          </w:tcPr>
          <w:p w:rsidR="00F505AA" w:rsidRPr="00E72D0C" w:rsidRDefault="00F505AA" w:rsidP="00CC3A5D">
            <w:pPr>
              <w:autoSpaceDE w:val="0"/>
              <w:autoSpaceDN w:val="0"/>
              <w:adjustRightInd w:val="0"/>
              <w:rPr>
                <w:sz w:val="18"/>
                <w:szCs w:val="18"/>
                <w:lang w:eastAsia="el-GR"/>
              </w:rPr>
            </w:pPr>
          </w:p>
        </w:tc>
        <w:tc>
          <w:tcPr>
            <w:tcW w:w="1600" w:type="dxa"/>
          </w:tcPr>
          <w:p w:rsidR="00F505AA" w:rsidRPr="00E72D0C" w:rsidRDefault="00F505AA" w:rsidP="00CC3A5D">
            <w:pPr>
              <w:autoSpaceDE w:val="0"/>
              <w:autoSpaceDN w:val="0"/>
              <w:adjustRightInd w:val="0"/>
              <w:rPr>
                <w:sz w:val="18"/>
                <w:szCs w:val="18"/>
                <w:lang w:eastAsia="el-GR"/>
              </w:rPr>
            </w:pPr>
            <w:r w:rsidRPr="00E72D0C">
              <w:rPr>
                <w:sz w:val="18"/>
                <w:szCs w:val="18"/>
                <w:lang w:eastAsia="el-GR"/>
              </w:rPr>
              <w:t>Χασμουρητό</w:t>
            </w:r>
          </w:p>
        </w:tc>
        <w:tc>
          <w:tcPr>
            <w:tcW w:w="1500" w:type="dxa"/>
          </w:tcPr>
          <w:p w:rsidR="00F505AA" w:rsidRPr="00E72D0C" w:rsidRDefault="00F505AA" w:rsidP="00CC3A5D">
            <w:pPr>
              <w:autoSpaceDE w:val="0"/>
              <w:autoSpaceDN w:val="0"/>
              <w:adjustRightInd w:val="0"/>
              <w:rPr>
                <w:sz w:val="18"/>
                <w:szCs w:val="18"/>
                <w:lang w:eastAsia="el-GR"/>
              </w:rPr>
            </w:pPr>
          </w:p>
        </w:tc>
        <w:tc>
          <w:tcPr>
            <w:tcW w:w="1300" w:type="dxa"/>
          </w:tcPr>
          <w:p w:rsidR="00F505AA" w:rsidRPr="00E72D0C" w:rsidRDefault="00F505AA" w:rsidP="00CC3A5D">
            <w:pPr>
              <w:autoSpaceDE w:val="0"/>
              <w:autoSpaceDN w:val="0"/>
              <w:adjustRightInd w:val="0"/>
              <w:rPr>
                <w:sz w:val="18"/>
                <w:szCs w:val="18"/>
                <w:lang w:eastAsia="el-GR"/>
              </w:rPr>
            </w:pPr>
          </w:p>
        </w:tc>
        <w:tc>
          <w:tcPr>
            <w:tcW w:w="2100" w:type="dxa"/>
          </w:tcPr>
          <w:p w:rsidR="00F505AA" w:rsidRPr="00E72D0C" w:rsidRDefault="00F505AA" w:rsidP="00CC3A5D">
            <w:pPr>
              <w:autoSpaceDE w:val="0"/>
              <w:autoSpaceDN w:val="0"/>
              <w:adjustRightInd w:val="0"/>
              <w:rPr>
                <w:sz w:val="18"/>
                <w:szCs w:val="18"/>
                <w:lang w:eastAsia="el-GR"/>
              </w:rPr>
            </w:pPr>
            <w:r w:rsidRPr="00E72D0C">
              <w:rPr>
                <w:sz w:val="18"/>
                <w:szCs w:val="18"/>
                <w:lang w:eastAsia="el-GR"/>
              </w:rPr>
              <w:t>Πνευμονική ηωσινοφιλία</w:t>
            </w:r>
          </w:p>
        </w:tc>
      </w:tr>
      <w:tr w:rsidR="00F505AA" w:rsidRPr="00E72D0C" w:rsidTr="00CC3A5D">
        <w:tc>
          <w:tcPr>
            <w:tcW w:w="1808" w:type="dxa"/>
          </w:tcPr>
          <w:p w:rsidR="00F505AA" w:rsidRPr="00E72D0C" w:rsidRDefault="00F505AA" w:rsidP="00CC3A5D">
            <w:pPr>
              <w:autoSpaceDE w:val="0"/>
              <w:autoSpaceDN w:val="0"/>
              <w:adjustRightInd w:val="0"/>
              <w:rPr>
                <w:sz w:val="18"/>
                <w:szCs w:val="18"/>
                <w:lang w:eastAsia="el-GR"/>
              </w:rPr>
            </w:pPr>
            <w:r w:rsidRPr="00E72D0C">
              <w:rPr>
                <w:sz w:val="18"/>
                <w:szCs w:val="18"/>
                <w:lang w:eastAsia="el-GR"/>
              </w:rPr>
              <w:t>Πεπτικό</w:t>
            </w:r>
          </w:p>
        </w:tc>
        <w:tc>
          <w:tcPr>
            <w:tcW w:w="1700" w:type="dxa"/>
          </w:tcPr>
          <w:p w:rsidR="00F505AA" w:rsidRPr="00E72D0C" w:rsidRDefault="00F505AA" w:rsidP="00CC3A5D">
            <w:pPr>
              <w:autoSpaceDE w:val="0"/>
              <w:autoSpaceDN w:val="0"/>
              <w:adjustRightInd w:val="0"/>
              <w:rPr>
                <w:sz w:val="18"/>
                <w:szCs w:val="18"/>
                <w:lang w:eastAsia="el-GR"/>
              </w:rPr>
            </w:pPr>
            <w:r w:rsidRPr="00E72D0C">
              <w:rPr>
                <w:sz w:val="18"/>
                <w:szCs w:val="18"/>
                <w:lang w:eastAsia="el-GR"/>
              </w:rPr>
              <w:t>Ναυτία (20,0%)</w:t>
            </w:r>
          </w:p>
        </w:tc>
        <w:tc>
          <w:tcPr>
            <w:tcW w:w="1600" w:type="dxa"/>
          </w:tcPr>
          <w:p w:rsidR="00F505AA" w:rsidRPr="00E72D0C" w:rsidRDefault="00F505AA" w:rsidP="00CC3A5D">
            <w:pPr>
              <w:autoSpaceDE w:val="0"/>
              <w:autoSpaceDN w:val="0"/>
              <w:adjustRightInd w:val="0"/>
              <w:rPr>
                <w:sz w:val="18"/>
                <w:szCs w:val="18"/>
                <w:lang w:eastAsia="el-GR"/>
              </w:rPr>
            </w:pPr>
            <w:r w:rsidRPr="00E72D0C">
              <w:rPr>
                <w:sz w:val="18"/>
                <w:szCs w:val="18"/>
                <w:lang w:eastAsia="el-GR"/>
              </w:rPr>
              <w:t>Μειωμένη όρεξη (ανορεξία), δυσκοιλιότητα, έμετος</w:t>
            </w:r>
          </w:p>
        </w:tc>
        <w:tc>
          <w:tcPr>
            <w:tcW w:w="1500" w:type="dxa"/>
          </w:tcPr>
          <w:p w:rsidR="00F505AA" w:rsidRPr="00E72D0C" w:rsidRDefault="00F505AA" w:rsidP="00CC3A5D">
            <w:pPr>
              <w:autoSpaceDE w:val="0"/>
              <w:autoSpaceDN w:val="0"/>
              <w:adjustRightInd w:val="0"/>
              <w:rPr>
                <w:sz w:val="18"/>
                <w:szCs w:val="18"/>
                <w:lang w:eastAsia="el-GR"/>
              </w:rPr>
            </w:pPr>
            <w:r w:rsidRPr="00E72D0C">
              <w:rPr>
                <w:sz w:val="18"/>
                <w:szCs w:val="18"/>
                <w:lang w:eastAsia="el-GR"/>
              </w:rPr>
              <w:t>Τριγμός των δοντιών, διάρροια</w:t>
            </w:r>
          </w:p>
        </w:tc>
        <w:tc>
          <w:tcPr>
            <w:tcW w:w="1300" w:type="dxa"/>
          </w:tcPr>
          <w:p w:rsidR="00F505AA" w:rsidRPr="00E72D0C" w:rsidRDefault="00F505AA" w:rsidP="00CC3A5D">
            <w:pPr>
              <w:autoSpaceDE w:val="0"/>
              <w:autoSpaceDN w:val="0"/>
              <w:adjustRightInd w:val="0"/>
              <w:rPr>
                <w:sz w:val="18"/>
                <w:szCs w:val="18"/>
                <w:lang w:eastAsia="el-GR"/>
              </w:rPr>
            </w:pPr>
          </w:p>
        </w:tc>
        <w:tc>
          <w:tcPr>
            <w:tcW w:w="2100" w:type="dxa"/>
          </w:tcPr>
          <w:p w:rsidR="00F505AA" w:rsidRPr="00E72D0C" w:rsidRDefault="00F505AA" w:rsidP="00CC3A5D">
            <w:pPr>
              <w:autoSpaceDE w:val="0"/>
              <w:autoSpaceDN w:val="0"/>
              <w:adjustRightInd w:val="0"/>
              <w:rPr>
                <w:sz w:val="18"/>
                <w:szCs w:val="18"/>
                <w:lang w:eastAsia="el-GR"/>
              </w:rPr>
            </w:pPr>
            <w:r w:rsidRPr="00E72D0C">
              <w:rPr>
                <w:sz w:val="18"/>
                <w:szCs w:val="18"/>
                <w:lang w:eastAsia="el-GR"/>
              </w:rPr>
              <w:t>Παγκρεατίτιδα</w:t>
            </w:r>
          </w:p>
        </w:tc>
      </w:tr>
      <w:tr w:rsidR="00F505AA" w:rsidRPr="00E72D0C" w:rsidTr="00CC3A5D">
        <w:tc>
          <w:tcPr>
            <w:tcW w:w="1808" w:type="dxa"/>
          </w:tcPr>
          <w:p w:rsidR="00F505AA" w:rsidRPr="00E72D0C" w:rsidRDefault="00F505AA" w:rsidP="00CC3A5D">
            <w:pPr>
              <w:autoSpaceDE w:val="0"/>
              <w:autoSpaceDN w:val="0"/>
              <w:adjustRightInd w:val="0"/>
              <w:rPr>
                <w:sz w:val="18"/>
                <w:szCs w:val="18"/>
                <w:lang w:eastAsia="el-GR"/>
              </w:rPr>
            </w:pPr>
            <w:r w:rsidRPr="00E72D0C">
              <w:rPr>
                <w:sz w:val="18"/>
                <w:szCs w:val="18"/>
                <w:lang w:eastAsia="el-GR"/>
              </w:rPr>
              <w:t>Δέρμα</w:t>
            </w:r>
          </w:p>
        </w:tc>
        <w:tc>
          <w:tcPr>
            <w:tcW w:w="1700" w:type="dxa"/>
          </w:tcPr>
          <w:p w:rsidR="00F505AA" w:rsidRPr="00E72D0C" w:rsidRDefault="00F505AA" w:rsidP="00CC3A5D">
            <w:pPr>
              <w:autoSpaceDE w:val="0"/>
              <w:autoSpaceDN w:val="0"/>
              <w:adjustRightInd w:val="0"/>
              <w:rPr>
                <w:sz w:val="18"/>
                <w:szCs w:val="18"/>
                <w:lang w:eastAsia="el-GR"/>
              </w:rPr>
            </w:pPr>
            <w:r w:rsidRPr="00E72D0C">
              <w:rPr>
                <w:sz w:val="18"/>
                <w:szCs w:val="18"/>
                <w:lang w:eastAsia="el-GR"/>
              </w:rPr>
              <w:t>Εφίδρωση (περιλαμβανόμενων των νυχτερινών εφιδρώσεων) [12,2%]</w:t>
            </w:r>
          </w:p>
        </w:tc>
        <w:tc>
          <w:tcPr>
            <w:tcW w:w="1600" w:type="dxa"/>
          </w:tcPr>
          <w:p w:rsidR="00F505AA" w:rsidRPr="00E72D0C" w:rsidRDefault="00F505AA" w:rsidP="00CC3A5D">
            <w:pPr>
              <w:autoSpaceDE w:val="0"/>
              <w:autoSpaceDN w:val="0"/>
              <w:adjustRightInd w:val="0"/>
              <w:rPr>
                <w:sz w:val="18"/>
                <w:szCs w:val="18"/>
                <w:lang w:eastAsia="el-GR"/>
              </w:rPr>
            </w:pPr>
          </w:p>
        </w:tc>
        <w:tc>
          <w:tcPr>
            <w:tcW w:w="1500" w:type="dxa"/>
          </w:tcPr>
          <w:p w:rsidR="00F505AA" w:rsidRPr="00E72D0C" w:rsidRDefault="00F505AA" w:rsidP="00CC3A5D">
            <w:pPr>
              <w:autoSpaceDE w:val="0"/>
              <w:autoSpaceDN w:val="0"/>
              <w:adjustRightInd w:val="0"/>
              <w:rPr>
                <w:sz w:val="18"/>
                <w:szCs w:val="18"/>
                <w:lang w:eastAsia="el-GR"/>
              </w:rPr>
            </w:pPr>
            <w:r w:rsidRPr="00E72D0C">
              <w:rPr>
                <w:sz w:val="18"/>
                <w:szCs w:val="18"/>
                <w:lang w:eastAsia="el-GR"/>
              </w:rPr>
              <w:t>Εξάνθημα, Αλωπεκία</w:t>
            </w:r>
          </w:p>
        </w:tc>
        <w:tc>
          <w:tcPr>
            <w:tcW w:w="1300" w:type="dxa"/>
          </w:tcPr>
          <w:p w:rsidR="00F505AA" w:rsidRPr="00E72D0C" w:rsidRDefault="00F505AA" w:rsidP="00CC3A5D">
            <w:pPr>
              <w:autoSpaceDE w:val="0"/>
              <w:autoSpaceDN w:val="0"/>
              <w:adjustRightInd w:val="0"/>
              <w:rPr>
                <w:sz w:val="18"/>
                <w:szCs w:val="18"/>
                <w:lang w:eastAsia="el-GR"/>
              </w:rPr>
            </w:pPr>
          </w:p>
        </w:tc>
        <w:tc>
          <w:tcPr>
            <w:tcW w:w="2100" w:type="dxa"/>
          </w:tcPr>
          <w:p w:rsidR="00F505AA" w:rsidRPr="00E72D0C" w:rsidRDefault="00F505AA" w:rsidP="00CC3A5D">
            <w:pPr>
              <w:autoSpaceDE w:val="0"/>
              <w:autoSpaceDN w:val="0"/>
              <w:adjustRightInd w:val="0"/>
              <w:rPr>
                <w:sz w:val="18"/>
                <w:szCs w:val="18"/>
                <w:lang w:eastAsia="el-GR"/>
              </w:rPr>
            </w:pPr>
            <w:r w:rsidRPr="00E72D0C">
              <w:rPr>
                <w:sz w:val="18"/>
                <w:szCs w:val="18"/>
                <w:lang w:eastAsia="el-GR"/>
              </w:rPr>
              <w:t xml:space="preserve">Πολύμορφο ερύθημα, Τοξική επιδερμική νεκρόλυση, σύνδρομο </w:t>
            </w:r>
            <w:r w:rsidRPr="00E72D0C">
              <w:rPr>
                <w:sz w:val="18"/>
                <w:szCs w:val="18"/>
                <w:lang w:val="en-US" w:eastAsia="el-GR"/>
              </w:rPr>
              <w:t>Stevens</w:t>
            </w:r>
            <w:r w:rsidRPr="00E72D0C">
              <w:rPr>
                <w:sz w:val="18"/>
                <w:szCs w:val="18"/>
                <w:lang w:eastAsia="el-GR"/>
              </w:rPr>
              <w:t>-</w:t>
            </w:r>
            <w:r w:rsidRPr="00E72D0C">
              <w:rPr>
                <w:sz w:val="18"/>
                <w:szCs w:val="18"/>
                <w:lang w:val="en-US" w:eastAsia="el-GR"/>
              </w:rPr>
              <w:t>Johnson</w:t>
            </w:r>
            <w:r w:rsidRPr="00E72D0C">
              <w:rPr>
                <w:sz w:val="18"/>
                <w:szCs w:val="18"/>
                <w:lang w:eastAsia="el-GR"/>
              </w:rPr>
              <w:t>, κνησμός, κνίδωση</w:t>
            </w:r>
          </w:p>
        </w:tc>
      </w:tr>
      <w:tr w:rsidR="00F505AA" w:rsidRPr="00E72D0C" w:rsidTr="00CC3A5D">
        <w:tc>
          <w:tcPr>
            <w:tcW w:w="1808" w:type="dxa"/>
          </w:tcPr>
          <w:p w:rsidR="00F505AA" w:rsidRPr="00E72D0C" w:rsidRDefault="00F505AA" w:rsidP="00CC3A5D">
            <w:pPr>
              <w:autoSpaceDE w:val="0"/>
              <w:autoSpaceDN w:val="0"/>
              <w:adjustRightInd w:val="0"/>
              <w:rPr>
                <w:sz w:val="18"/>
                <w:szCs w:val="18"/>
                <w:lang w:eastAsia="el-GR"/>
              </w:rPr>
            </w:pPr>
            <w:r w:rsidRPr="00E72D0C">
              <w:rPr>
                <w:sz w:val="18"/>
                <w:szCs w:val="18"/>
                <w:lang w:eastAsia="el-GR"/>
              </w:rPr>
              <w:t>Μυοσκελετικό</w:t>
            </w:r>
          </w:p>
        </w:tc>
        <w:tc>
          <w:tcPr>
            <w:tcW w:w="1700" w:type="dxa"/>
          </w:tcPr>
          <w:p w:rsidR="00F505AA" w:rsidRPr="00E72D0C" w:rsidRDefault="00F505AA" w:rsidP="00CC3A5D">
            <w:pPr>
              <w:autoSpaceDE w:val="0"/>
              <w:autoSpaceDN w:val="0"/>
              <w:adjustRightInd w:val="0"/>
              <w:rPr>
                <w:sz w:val="18"/>
                <w:szCs w:val="18"/>
                <w:lang w:eastAsia="el-GR"/>
              </w:rPr>
            </w:pPr>
          </w:p>
        </w:tc>
        <w:tc>
          <w:tcPr>
            <w:tcW w:w="1600" w:type="dxa"/>
          </w:tcPr>
          <w:p w:rsidR="00F505AA" w:rsidRPr="00E72D0C" w:rsidRDefault="00F505AA" w:rsidP="00CC3A5D">
            <w:pPr>
              <w:autoSpaceDE w:val="0"/>
              <w:autoSpaceDN w:val="0"/>
              <w:adjustRightInd w:val="0"/>
              <w:rPr>
                <w:sz w:val="18"/>
                <w:szCs w:val="18"/>
                <w:lang w:eastAsia="el-GR"/>
              </w:rPr>
            </w:pPr>
          </w:p>
        </w:tc>
        <w:tc>
          <w:tcPr>
            <w:tcW w:w="1500" w:type="dxa"/>
          </w:tcPr>
          <w:p w:rsidR="00F505AA" w:rsidRPr="00E72D0C" w:rsidRDefault="00F505AA" w:rsidP="00CC3A5D">
            <w:pPr>
              <w:autoSpaceDE w:val="0"/>
              <w:autoSpaceDN w:val="0"/>
              <w:adjustRightInd w:val="0"/>
              <w:rPr>
                <w:sz w:val="18"/>
                <w:szCs w:val="18"/>
                <w:lang w:eastAsia="el-GR"/>
              </w:rPr>
            </w:pPr>
          </w:p>
        </w:tc>
        <w:tc>
          <w:tcPr>
            <w:tcW w:w="1300" w:type="dxa"/>
          </w:tcPr>
          <w:p w:rsidR="00F505AA" w:rsidRPr="00E72D0C" w:rsidRDefault="00F505AA" w:rsidP="00CC3A5D">
            <w:pPr>
              <w:autoSpaceDE w:val="0"/>
              <w:autoSpaceDN w:val="0"/>
              <w:adjustRightInd w:val="0"/>
              <w:rPr>
                <w:sz w:val="18"/>
                <w:szCs w:val="18"/>
                <w:lang w:eastAsia="el-GR"/>
              </w:rPr>
            </w:pPr>
          </w:p>
        </w:tc>
        <w:tc>
          <w:tcPr>
            <w:tcW w:w="2100" w:type="dxa"/>
          </w:tcPr>
          <w:p w:rsidR="00F505AA" w:rsidRPr="00E72D0C" w:rsidRDefault="00F505AA" w:rsidP="00CC3A5D">
            <w:pPr>
              <w:autoSpaceDE w:val="0"/>
              <w:autoSpaceDN w:val="0"/>
              <w:adjustRightInd w:val="0"/>
              <w:rPr>
                <w:sz w:val="18"/>
                <w:szCs w:val="18"/>
                <w:lang w:eastAsia="el-GR"/>
              </w:rPr>
            </w:pPr>
            <w:r w:rsidRPr="00E72D0C">
              <w:rPr>
                <w:sz w:val="18"/>
                <w:szCs w:val="18"/>
                <w:lang w:eastAsia="el-GR"/>
              </w:rPr>
              <w:t>Ραβδομυόλυση</w:t>
            </w:r>
          </w:p>
        </w:tc>
      </w:tr>
      <w:tr w:rsidR="00F505AA" w:rsidRPr="00E72D0C" w:rsidTr="00CC3A5D">
        <w:tc>
          <w:tcPr>
            <w:tcW w:w="1808" w:type="dxa"/>
          </w:tcPr>
          <w:p w:rsidR="00F505AA" w:rsidRPr="00E72D0C" w:rsidRDefault="00F505AA" w:rsidP="00CC3A5D">
            <w:pPr>
              <w:autoSpaceDE w:val="0"/>
              <w:autoSpaceDN w:val="0"/>
              <w:adjustRightInd w:val="0"/>
              <w:rPr>
                <w:sz w:val="18"/>
                <w:szCs w:val="18"/>
                <w:lang w:eastAsia="el-GR"/>
              </w:rPr>
            </w:pPr>
            <w:r w:rsidRPr="00E72D0C">
              <w:rPr>
                <w:sz w:val="18"/>
                <w:szCs w:val="18"/>
                <w:lang w:eastAsia="el-GR"/>
              </w:rPr>
              <w:t>Ουρογεννητικό</w:t>
            </w:r>
          </w:p>
        </w:tc>
        <w:tc>
          <w:tcPr>
            <w:tcW w:w="1700" w:type="dxa"/>
          </w:tcPr>
          <w:p w:rsidR="00F505AA" w:rsidRPr="00E72D0C" w:rsidRDefault="00F505AA" w:rsidP="00CC3A5D">
            <w:pPr>
              <w:autoSpaceDE w:val="0"/>
              <w:autoSpaceDN w:val="0"/>
              <w:adjustRightInd w:val="0"/>
              <w:rPr>
                <w:sz w:val="18"/>
                <w:szCs w:val="18"/>
                <w:lang w:eastAsia="el-GR"/>
              </w:rPr>
            </w:pPr>
          </w:p>
        </w:tc>
        <w:tc>
          <w:tcPr>
            <w:tcW w:w="1600" w:type="dxa"/>
          </w:tcPr>
          <w:p w:rsidR="00F505AA" w:rsidRPr="00EB4B63" w:rsidRDefault="00F505AA" w:rsidP="00BE6950">
            <w:pPr>
              <w:autoSpaceDE w:val="0"/>
              <w:autoSpaceDN w:val="0"/>
              <w:adjustRightInd w:val="0"/>
              <w:rPr>
                <w:sz w:val="18"/>
                <w:szCs w:val="18"/>
                <w:lang w:eastAsia="el-GR"/>
              </w:rPr>
            </w:pPr>
            <w:r w:rsidRPr="00E72D0C">
              <w:rPr>
                <w:sz w:val="18"/>
                <w:szCs w:val="18"/>
                <w:lang w:eastAsia="el-GR"/>
              </w:rPr>
              <w:t>Μη φυσιολογική εκσπερμάτωση</w:t>
            </w:r>
            <w:r w:rsidR="00BE6950" w:rsidRPr="00EB4B63">
              <w:rPr>
                <w:sz w:val="18"/>
                <w:szCs w:val="18"/>
                <w:lang w:eastAsia="el-GR"/>
              </w:rPr>
              <w:t xml:space="preserve">/ </w:t>
            </w:r>
            <w:r w:rsidRPr="00E72D0C">
              <w:rPr>
                <w:sz w:val="18"/>
                <w:szCs w:val="18"/>
                <w:lang w:eastAsia="el-GR"/>
              </w:rPr>
              <w:t>οργασμός (άνδρες), Ανοργασμία, διαταραχή της στύσης (ανικανότητα), διαταραχή της ούρησης (κυρίως διστακτικότητα), Διαταραχές εμμήνου ρύσης που συνοδεύονται από αυξημένη αιμορραγία ή αυξημένη μη κανονική αιμορραγία (π.χ. μηνορραγία, μηνομητρορραγία), αυξημένη συχνότητα ούρησης</w:t>
            </w:r>
          </w:p>
        </w:tc>
        <w:tc>
          <w:tcPr>
            <w:tcW w:w="1500" w:type="dxa"/>
          </w:tcPr>
          <w:p w:rsidR="00F505AA" w:rsidRPr="00E72D0C" w:rsidRDefault="00F505AA" w:rsidP="00CC3A5D">
            <w:pPr>
              <w:autoSpaceDE w:val="0"/>
              <w:autoSpaceDN w:val="0"/>
              <w:adjustRightInd w:val="0"/>
              <w:rPr>
                <w:sz w:val="18"/>
                <w:szCs w:val="18"/>
                <w:lang w:eastAsia="el-GR"/>
              </w:rPr>
            </w:pPr>
            <w:r w:rsidRPr="00E72D0C">
              <w:rPr>
                <w:sz w:val="18"/>
                <w:szCs w:val="18"/>
                <w:lang w:eastAsia="el-GR"/>
              </w:rPr>
              <w:t>Μη φυσιολογικός οργασμός (γυναίκες), κατακράτηση ούρων</w:t>
            </w:r>
          </w:p>
        </w:tc>
        <w:tc>
          <w:tcPr>
            <w:tcW w:w="1300" w:type="dxa"/>
          </w:tcPr>
          <w:p w:rsidR="00F505AA" w:rsidRPr="00E72D0C" w:rsidRDefault="002D3F31" w:rsidP="00CC3A5D">
            <w:pPr>
              <w:autoSpaceDE w:val="0"/>
              <w:autoSpaceDN w:val="0"/>
              <w:adjustRightInd w:val="0"/>
              <w:rPr>
                <w:sz w:val="18"/>
                <w:szCs w:val="18"/>
                <w:lang w:eastAsia="el-GR"/>
              </w:rPr>
            </w:pPr>
            <w:r>
              <w:rPr>
                <w:sz w:val="18"/>
                <w:szCs w:val="18"/>
                <w:lang w:eastAsia="el-GR"/>
              </w:rPr>
              <w:t>Ακράτεια ούρων</w:t>
            </w:r>
          </w:p>
        </w:tc>
        <w:tc>
          <w:tcPr>
            <w:tcW w:w="2100" w:type="dxa"/>
          </w:tcPr>
          <w:p w:rsidR="00F505AA" w:rsidRPr="00E72D0C" w:rsidRDefault="00F505AA" w:rsidP="00CC3A5D">
            <w:pPr>
              <w:autoSpaceDE w:val="0"/>
              <w:autoSpaceDN w:val="0"/>
              <w:adjustRightInd w:val="0"/>
              <w:rPr>
                <w:sz w:val="18"/>
                <w:szCs w:val="18"/>
                <w:lang w:eastAsia="el-GR"/>
              </w:rPr>
            </w:pPr>
          </w:p>
        </w:tc>
      </w:tr>
      <w:tr w:rsidR="00F505AA" w:rsidRPr="00E72D0C" w:rsidTr="00CC3A5D">
        <w:tc>
          <w:tcPr>
            <w:tcW w:w="1808" w:type="dxa"/>
          </w:tcPr>
          <w:p w:rsidR="00F505AA" w:rsidRPr="00E72D0C" w:rsidRDefault="00F505AA" w:rsidP="00CC3A5D">
            <w:pPr>
              <w:autoSpaceDE w:val="0"/>
              <w:autoSpaceDN w:val="0"/>
              <w:adjustRightInd w:val="0"/>
              <w:rPr>
                <w:sz w:val="18"/>
                <w:szCs w:val="18"/>
                <w:lang w:eastAsia="el-GR"/>
              </w:rPr>
            </w:pPr>
            <w:r w:rsidRPr="00E72D0C">
              <w:rPr>
                <w:sz w:val="18"/>
                <w:szCs w:val="18"/>
                <w:lang w:eastAsia="el-GR"/>
              </w:rPr>
              <w:t>Σώμα ως σύνολο</w:t>
            </w:r>
          </w:p>
        </w:tc>
        <w:tc>
          <w:tcPr>
            <w:tcW w:w="1700" w:type="dxa"/>
          </w:tcPr>
          <w:p w:rsidR="00F505AA" w:rsidRPr="00E72D0C" w:rsidRDefault="00F505AA" w:rsidP="00CC3A5D">
            <w:pPr>
              <w:autoSpaceDE w:val="0"/>
              <w:autoSpaceDN w:val="0"/>
              <w:adjustRightInd w:val="0"/>
              <w:rPr>
                <w:sz w:val="18"/>
                <w:szCs w:val="18"/>
                <w:lang w:eastAsia="el-GR"/>
              </w:rPr>
            </w:pPr>
          </w:p>
        </w:tc>
        <w:tc>
          <w:tcPr>
            <w:tcW w:w="1600" w:type="dxa"/>
          </w:tcPr>
          <w:p w:rsidR="00F505AA" w:rsidRPr="00E72D0C" w:rsidRDefault="00F505AA" w:rsidP="00CC3A5D">
            <w:pPr>
              <w:autoSpaceDE w:val="0"/>
              <w:autoSpaceDN w:val="0"/>
              <w:adjustRightInd w:val="0"/>
              <w:rPr>
                <w:sz w:val="18"/>
                <w:szCs w:val="18"/>
                <w:lang w:eastAsia="el-GR"/>
              </w:rPr>
            </w:pPr>
            <w:r w:rsidRPr="00E72D0C">
              <w:rPr>
                <w:sz w:val="18"/>
                <w:szCs w:val="18"/>
                <w:lang w:eastAsia="el-GR"/>
              </w:rPr>
              <w:t>Αίσθημα αδυναμίας (κόπωση), ρίγη</w:t>
            </w:r>
          </w:p>
        </w:tc>
        <w:tc>
          <w:tcPr>
            <w:tcW w:w="1500" w:type="dxa"/>
          </w:tcPr>
          <w:p w:rsidR="00F505AA" w:rsidRPr="00E72D0C" w:rsidRDefault="002D3F31" w:rsidP="00CC3A5D">
            <w:pPr>
              <w:autoSpaceDE w:val="0"/>
              <w:autoSpaceDN w:val="0"/>
              <w:adjustRightInd w:val="0"/>
              <w:rPr>
                <w:sz w:val="18"/>
                <w:szCs w:val="18"/>
                <w:lang w:eastAsia="el-GR"/>
              </w:rPr>
            </w:pPr>
            <w:r w:rsidRPr="002D3F31">
              <w:rPr>
                <w:sz w:val="18"/>
                <w:szCs w:val="18"/>
                <w:lang w:eastAsia="el-GR"/>
              </w:rPr>
              <w:t>Αγγειοοίδημα</w:t>
            </w:r>
            <w:r>
              <w:rPr>
                <w:sz w:val="18"/>
                <w:szCs w:val="18"/>
                <w:lang w:eastAsia="el-GR"/>
              </w:rPr>
              <w:t>,</w:t>
            </w:r>
            <w:r w:rsidRPr="002D3F31">
              <w:rPr>
                <w:sz w:val="18"/>
                <w:szCs w:val="18"/>
                <w:lang w:eastAsia="el-GR"/>
              </w:rPr>
              <w:t xml:space="preserve"> </w:t>
            </w:r>
            <w:r w:rsidR="00F505AA" w:rsidRPr="00E72D0C">
              <w:rPr>
                <w:sz w:val="18"/>
                <w:szCs w:val="18"/>
                <w:lang w:eastAsia="el-GR"/>
              </w:rPr>
              <w:t>Αντίδραση φωτοευαισθησίας</w:t>
            </w:r>
          </w:p>
        </w:tc>
        <w:tc>
          <w:tcPr>
            <w:tcW w:w="1300" w:type="dxa"/>
          </w:tcPr>
          <w:p w:rsidR="00F505AA" w:rsidRPr="00E72D0C" w:rsidRDefault="00F505AA" w:rsidP="00CC3A5D">
            <w:pPr>
              <w:autoSpaceDE w:val="0"/>
              <w:autoSpaceDN w:val="0"/>
              <w:adjustRightInd w:val="0"/>
              <w:rPr>
                <w:sz w:val="18"/>
                <w:szCs w:val="18"/>
                <w:lang w:eastAsia="el-GR"/>
              </w:rPr>
            </w:pPr>
          </w:p>
        </w:tc>
        <w:tc>
          <w:tcPr>
            <w:tcW w:w="2100" w:type="dxa"/>
          </w:tcPr>
          <w:p w:rsidR="00F505AA" w:rsidRPr="00E72D0C" w:rsidRDefault="00F505AA" w:rsidP="00CC3A5D">
            <w:pPr>
              <w:autoSpaceDE w:val="0"/>
              <w:autoSpaceDN w:val="0"/>
              <w:adjustRightInd w:val="0"/>
              <w:rPr>
                <w:sz w:val="18"/>
                <w:szCs w:val="18"/>
                <w:lang w:eastAsia="el-GR"/>
              </w:rPr>
            </w:pPr>
            <w:r w:rsidRPr="00E72D0C">
              <w:rPr>
                <w:sz w:val="18"/>
                <w:szCs w:val="18"/>
                <w:lang w:eastAsia="el-GR"/>
              </w:rPr>
              <w:t>Αναφυλαξία</w:t>
            </w:r>
          </w:p>
        </w:tc>
      </w:tr>
    </w:tbl>
    <w:p w:rsidR="00F505AA" w:rsidRPr="00E72D0C" w:rsidRDefault="00F505AA" w:rsidP="00F505AA">
      <w:pPr>
        <w:autoSpaceDE w:val="0"/>
        <w:autoSpaceDN w:val="0"/>
        <w:adjustRightInd w:val="0"/>
        <w:rPr>
          <w:sz w:val="16"/>
          <w:szCs w:val="16"/>
          <w:lang w:eastAsia="el-GR"/>
        </w:rPr>
      </w:pPr>
      <w:r w:rsidRPr="00E72D0C">
        <w:rPr>
          <w:sz w:val="16"/>
          <w:szCs w:val="16"/>
          <w:lang w:eastAsia="el-GR"/>
        </w:rPr>
        <w:t>* Σε συγκεντρωτικές κλινικές μελέτες, η πιθανότητα κεφαλαλγίας ήταν 30,3% με βενλαφαξίνη έναντι 31,3% με εικονικό φάρμακο (placebo).</w:t>
      </w:r>
    </w:p>
    <w:p w:rsidR="00F505AA" w:rsidRDefault="00F505AA" w:rsidP="00F505AA">
      <w:pPr>
        <w:autoSpaceDE w:val="0"/>
        <w:autoSpaceDN w:val="0"/>
        <w:adjustRightInd w:val="0"/>
        <w:rPr>
          <w:sz w:val="16"/>
          <w:szCs w:val="16"/>
          <w:lang w:eastAsia="el-GR"/>
        </w:rPr>
      </w:pPr>
      <w:r w:rsidRPr="00E72D0C">
        <w:rPr>
          <w:sz w:val="16"/>
          <w:szCs w:val="16"/>
          <w:lang w:eastAsia="el-GR"/>
        </w:rPr>
        <w:t>** Περιστατικά αυτοκτονικού ιδεασμού και αυτοκτονικών συμπεριφορών έχουν αναφερθεί κατά τη διάρκεια της θεραπείας με βενλαφαξίνη ή λίγο μετά τη διακοπή της θεραπείας (βλ. παράγραφο 4.4).</w:t>
      </w:r>
    </w:p>
    <w:p w:rsidR="002D3F31" w:rsidRPr="00E72D0C" w:rsidRDefault="002D3F31" w:rsidP="00F505AA">
      <w:pPr>
        <w:autoSpaceDE w:val="0"/>
        <w:autoSpaceDN w:val="0"/>
        <w:adjustRightInd w:val="0"/>
        <w:rPr>
          <w:sz w:val="16"/>
          <w:szCs w:val="16"/>
          <w:lang w:eastAsia="el-GR"/>
        </w:rPr>
      </w:pPr>
      <w:r>
        <w:rPr>
          <w:sz w:val="16"/>
          <w:szCs w:val="16"/>
          <w:lang w:eastAsia="el-GR"/>
        </w:rPr>
        <w:t>***Βλ. παράγραφο 4.4.</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lang w:eastAsia="el-GR"/>
        </w:rPr>
      </w:pPr>
      <w:r w:rsidRPr="00E72D0C">
        <w:rPr>
          <w:lang w:eastAsia="el-GR"/>
        </w:rPr>
        <w:t xml:space="preserve">Η διακοπή της βενλαφαξίνης (ειδικά όταν είναι αιφνίδια) συνήθως οδηγεί σε συμπτώματα στέρησης. Ζάλη, διαταραχές αισθητικότητας (περιλαμβανομένης της παραισθησίας), διαταραχές ύπνου (περιλαμβανομένης της αϋπνίας και έντονων ονείρων), διέγερση ή ανησυχία, ναυτία και/ή έμετος, τρόμος, </w:t>
      </w:r>
      <w:r w:rsidR="002D3F31">
        <w:rPr>
          <w:lang w:eastAsia="el-GR"/>
        </w:rPr>
        <w:t xml:space="preserve">ίλιγγος, </w:t>
      </w:r>
      <w:r w:rsidRPr="00E72D0C">
        <w:rPr>
          <w:lang w:eastAsia="el-GR"/>
        </w:rPr>
        <w:t>κεφαλαλγία, σύνδρομο γρίπης, είναι η πιο συνήθεις αντιδράσεις που αναφέρονται. Γενικά, αυτά τα συμπτώματα είναι ήπια έως μέτρια και αυτοπεριοριζόμενα, ωστόσο, σε μερικούς ασθενείς μπορεί να είναι σοβαρά και/ή παρατεταμένα. Επομένως, συνιστάται βαθμιαία μείωση και διακοπή της δόσης όταν η θεραπεία με βενλαφαξίνη δεν απαιτείται (βλ. παραγράφους 4.2 και 4.4).</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b/>
          <w:lang w:eastAsia="el-GR"/>
        </w:rPr>
      </w:pPr>
      <w:r w:rsidRPr="00E72D0C">
        <w:rPr>
          <w:b/>
          <w:lang w:eastAsia="el-GR"/>
        </w:rPr>
        <w:t>Παιδιατρικοί ασθενείς</w:t>
      </w:r>
    </w:p>
    <w:p w:rsidR="00F505AA" w:rsidRPr="00E72D0C" w:rsidRDefault="00F505AA" w:rsidP="00F505AA">
      <w:pPr>
        <w:autoSpaceDE w:val="0"/>
        <w:autoSpaceDN w:val="0"/>
        <w:adjustRightInd w:val="0"/>
        <w:rPr>
          <w:lang w:eastAsia="el-GR"/>
        </w:rPr>
      </w:pPr>
      <w:r w:rsidRPr="00E72D0C">
        <w:rPr>
          <w:lang w:eastAsia="el-GR"/>
        </w:rPr>
        <w:t>Γενικά, το προφίλ ανεπιθύμητων αντιδράσεων της βενλαφαξίνης (σε ελεγχόμενες με εικονικό φάρμακο (placebo) κλινικές δοκιμές) σε παιδιά και εφήβους (ηλικίας 6 έως 17 ετών) ήταν παρόμοιο με εκείνο που παρατηρήθηκε στους ενήλικες. Όπως και με τους ενήλικες, παρατηρήθηκαν μειωμένη όρεξη, απώλεια βάρους, αυξημένη αρτηριακή πίεση και αυξημένη χοληστερόλη ορού (βλ. παράγραφο 4.4).</w:t>
      </w:r>
    </w:p>
    <w:p w:rsidR="00F505AA" w:rsidRPr="00E72D0C" w:rsidRDefault="00F505AA" w:rsidP="00F505AA">
      <w:pPr>
        <w:autoSpaceDE w:val="0"/>
        <w:autoSpaceDN w:val="0"/>
        <w:adjustRightInd w:val="0"/>
        <w:rPr>
          <w:lang w:eastAsia="el-GR"/>
        </w:rPr>
      </w:pPr>
      <w:r w:rsidRPr="00E72D0C">
        <w:rPr>
          <w:lang w:eastAsia="el-GR"/>
        </w:rPr>
        <w:t>Σε παιδιατρικές κλινικές δοκιμές αναφέρθηκαν ανεπιθύμητες ενέργειες, που σχετίζονταν με τον αυτοκτονικό ιδεασμό. Υπήρξαν, επίσης, αυξημένες αναφορές εχθρικής συμπεριφοράς και ιδιαίτερα σε άτομα με μείζονα καταθλιπτική διαταραχή, αναφορές αυτοτραυματισμού.</w:t>
      </w:r>
    </w:p>
    <w:p w:rsidR="00F505AA" w:rsidRPr="00E72D0C" w:rsidRDefault="00F505AA" w:rsidP="00F505AA">
      <w:pPr>
        <w:autoSpaceDE w:val="0"/>
        <w:autoSpaceDN w:val="0"/>
        <w:adjustRightInd w:val="0"/>
        <w:rPr>
          <w:lang w:eastAsia="el-GR"/>
        </w:rPr>
      </w:pPr>
      <w:r w:rsidRPr="00E72D0C">
        <w:rPr>
          <w:lang w:eastAsia="el-GR"/>
        </w:rPr>
        <w:t>Επιπλέον, οι παρακάτω ανεπιθύμητες αντιδράσεις παρατηρήθηκαν σε παιδιατρικούς ασθενείς: κοιλιακός πόνος, διέγερση, δυσπεψία, εκχύμωση, επίσταξη και μυαλγία.</w:t>
      </w:r>
    </w:p>
    <w:p w:rsidR="00F505AA" w:rsidRPr="00E72D0C" w:rsidRDefault="00F505AA" w:rsidP="00F505AA">
      <w:pPr>
        <w:autoSpaceDE w:val="0"/>
        <w:autoSpaceDN w:val="0"/>
        <w:adjustRightInd w:val="0"/>
        <w:jc w:val="right"/>
      </w:pPr>
    </w:p>
    <w:p w:rsidR="00F505AA" w:rsidRPr="00E72D0C" w:rsidRDefault="00F505AA" w:rsidP="00F505AA">
      <w:pPr>
        <w:autoSpaceDE w:val="0"/>
        <w:autoSpaceDN w:val="0"/>
        <w:adjustRightInd w:val="0"/>
        <w:ind w:left="600"/>
        <w:jc w:val="both"/>
      </w:pPr>
    </w:p>
    <w:p w:rsidR="00F505AA" w:rsidRPr="00E72D0C" w:rsidRDefault="00F505AA" w:rsidP="00F505AA">
      <w:pPr>
        <w:tabs>
          <w:tab w:val="left" w:pos="-1440"/>
          <w:tab w:val="left" w:pos="-720"/>
          <w:tab w:val="left" w:pos="0"/>
        </w:tabs>
        <w:ind w:left="600" w:hanging="600"/>
        <w:rPr>
          <w:b/>
          <w:bCs/>
        </w:rPr>
      </w:pPr>
      <w:r w:rsidRPr="00E72D0C">
        <w:rPr>
          <w:b/>
          <w:bCs/>
        </w:rPr>
        <w:t>4.9</w:t>
      </w:r>
      <w:r w:rsidRPr="00E72D0C">
        <w:rPr>
          <w:b/>
          <w:bCs/>
        </w:rPr>
        <w:tab/>
        <w:t>Υπερδοσολογία</w:t>
      </w:r>
    </w:p>
    <w:p w:rsidR="00F505AA" w:rsidRPr="00E72D0C" w:rsidRDefault="00F505AA" w:rsidP="00F505AA">
      <w:pPr>
        <w:ind w:left="600"/>
        <w:jc w:val="both"/>
        <w:rPr>
          <w:b/>
          <w:bCs/>
        </w:rPr>
      </w:pPr>
    </w:p>
    <w:p w:rsidR="00F505AA" w:rsidRPr="00E72D0C" w:rsidRDefault="00F505AA" w:rsidP="00F505AA">
      <w:pPr>
        <w:autoSpaceDE w:val="0"/>
        <w:autoSpaceDN w:val="0"/>
        <w:adjustRightInd w:val="0"/>
        <w:rPr>
          <w:lang w:eastAsia="el-GR"/>
        </w:rPr>
      </w:pPr>
      <w:r w:rsidRPr="00E72D0C">
        <w:rPr>
          <w:lang w:eastAsia="el-GR"/>
        </w:rPr>
        <w:t>Σύμφωνα με την αποκτηθείσα εμπειρία μετά την κυκλοφορία του φαρμάκου, υπερδοσολογία βενλαφαξίνης αναφέρθηκε κυρίως σε συγχορήγηση με αλκοόλ ή/και άλλα φαρμακευτικά προϊόντα. Οι συχνότερα αναφερόμενες ενέργειες όσον αφορά την υπερδοσολογία, περιλαμβάνουν ταχυκαρδία, αλλαγές στο επίπεδο της συνείδησης (που κυμαίνονται από υπνηλία σε κώμα), μυδρίαση, σπασμούς και έμετο. Αναφέρθηκαν δε και άλλες ενέργειες, που περιλαμβάνουν αλλαγές στο ηλεκτροκαρδιογράφημα (π.χ. επιμήκυνση του διαστήματος QT, ημισκελικός αποκλεισμός, επιμήκυνση του διαστήματος QRS), κοιλιακή ταχυκαρδία, βραδυκαρδία, υπόταση, ίλιγγος και θάνατος.</w:t>
      </w:r>
    </w:p>
    <w:p w:rsidR="00F505AA" w:rsidRPr="00E72D0C" w:rsidRDefault="00F505AA" w:rsidP="00F505AA">
      <w:pPr>
        <w:autoSpaceDE w:val="0"/>
        <w:autoSpaceDN w:val="0"/>
        <w:adjustRightInd w:val="0"/>
        <w:rPr>
          <w:lang w:eastAsia="el-GR"/>
        </w:rPr>
      </w:pPr>
      <w:r w:rsidRPr="00E72D0C">
        <w:rPr>
          <w:lang w:eastAsia="el-GR"/>
        </w:rPr>
        <w:t>Δημοσιευμένες αναδρομικές μελέτες αναφέρουν ότι η λήψη βενλαφαξίνης σε υπερδοσολογία μπορεί να συσχετίζεται με αυξημένο κίνδυνο θανατηφόρων εκβάσεων, σε σύγκριση με εκείνες που παρατηρούνται με τα αντικαταθλιπτικά σκευάσματα με SSRI, αλλά μικρότερο από εκείνων των τρικυκλικών αντικαταθλιπτικών. Επιδημιολογικές μελέτες έδειξαν ότι οι ασθενείς που υποβλήθηκαν σε θεραπεία με βενλαφαξίνη έχουν υψηλότερη επιβάρυνση από παράγοντες κινδύνου για αυτοκτονία σε σχέση με τους ασθενείς που λαμβάνουν SSRI. Ο βαθμός στον οποίο το εύρημα αυτό του αυξημένου κινδύνου για θανατηφόρες εκβάσεις μπορεί να αποδοθεί στην τοξικότητα της βενλαφαξίνης όταν λαμβάνεται σε υπερδοσολογία, σε συνάρτηση με ορισμένα χαρακτηριστικά των ασθενών που υποβάλλονται σε θεραπεία με βενλαφαξίνη, δεν είναι γνωστός. Η βενλαφαξίνη πρέπει να συνταγογραφείται στη μικρότερη ποσότητα του φαρμάκου που αντιστοιχεί στην καλή θεραπευτική αντιμετώπιση του ασθενούς προκειμένου να μειωθεί ο κίνδυνος υπερδοσολογίας.</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b/>
          <w:lang w:eastAsia="el-GR"/>
        </w:rPr>
      </w:pPr>
      <w:r w:rsidRPr="00E72D0C">
        <w:rPr>
          <w:b/>
          <w:lang w:eastAsia="el-GR"/>
        </w:rPr>
        <w:t>Συνιστώμενη θεραπεία</w:t>
      </w:r>
    </w:p>
    <w:p w:rsidR="00F505AA" w:rsidRPr="00E72D0C" w:rsidRDefault="00F505AA" w:rsidP="00F505AA">
      <w:pPr>
        <w:autoSpaceDE w:val="0"/>
        <w:autoSpaceDN w:val="0"/>
        <w:adjustRightInd w:val="0"/>
        <w:rPr>
          <w:b/>
          <w:bCs/>
        </w:rPr>
      </w:pPr>
      <w:r w:rsidRPr="00E72D0C">
        <w:rPr>
          <w:lang w:eastAsia="el-GR"/>
        </w:rPr>
        <w:t>Συνιστώνται γενικά υποστηρικτικά και συμπτωματικά μέτρα, ενώ πρέπει να παρακολουθούνται ο καρδιακός ρυθμός και τα ζωτικά σημεία. Δεν συνιστάται η πρόκληση εμέτου όταν υφίσταται κίνδυνος εισρόφησης. Πρέπει να εξετάζεται το ενδεχόμενο πλύσης στομάχου, εάν μπορεί να γίνει σύντομα μετά τη λήψη του φαρμάκου ή σε συμπτωματικούς ασθενείς. Η χορήγηση ενεργού άνθρακα μπορεί να περιορίσει την απορρόφηση της δραστικής ουσίας. Δεν είναι πιθανό να υπάρξει όφελος από την πρόκληση διούρησης, την αιμοκάθαρση, την αιμοπροσρόφηση και την αφαιμαξομετάγγιση. Δεν είναι γνωστά ειδικά αντίδοτα για τη βενλαφαξί</w:t>
      </w:r>
      <w:r w:rsidRPr="00E72D0C">
        <w:rPr>
          <w:sz w:val="20"/>
          <w:lang w:eastAsia="el-GR"/>
        </w:rPr>
        <w:t>νη.</w:t>
      </w:r>
    </w:p>
    <w:p w:rsidR="00F505AA" w:rsidRDefault="00F505AA" w:rsidP="00F505AA">
      <w:pPr>
        <w:tabs>
          <w:tab w:val="left" w:pos="-1440"/>
          <w:tab w:val="left" w:pos="-720"/>
          <w:tab w:val="left" w:pos="0"/>
        </w:tabs>
        <w:ind w:left="600" w:hanging="600"/>
        <w:rPr>
          <w:b/>
        </w:rPr>
      </w:pPr>
    </w:p>
    <w:p w:rsidR="002D3F31" w:rsidRPr="00E72D0C" w:rsidRDefault="002D3F31" w:rsidP="00F505AA">
      <w:pPr>
        <w:tabs>
          <w:tab w:val="left" w:pos="-1440"/>
          <w:tab w:val="left" w:pos="-720"/>
          <w:tab w:val="left" w:pos="0"/>
        </w:tabs>
        <w:ind w:left="600" w:hanging="600"/>
        <w:rPr>
          <w:b/>
        </w:rPr>
      </w:pPr>
    </w:p>
    <w:p w:rsidR="00F505AA" w:rsidRPr="00E72D0C" w:rsidRDefault="00F505AA" w:rsidP="00F505AA">
      <w:pPr>
        <w:tabs>
          <w:tab w:val="left" w:pos="-1440"/>
          <w:tab w:val="left" w:pos="-720"/>
          <w:tab w:val="left" w:pos="0"/>
        </w:tabs>
        <w:ind w:left="600" w:hanging="600"/>
        <w:rPr>
          <w:b/>
          <w:bCs/>
        </w:rPr>
      </w:pPr>
      <w:r w:rsidRPr="00E72D0C">
        <w:rPr>
          <w:b/>
          <w:bCs/>
        </w:rPr>
        <w:t>5.</w:t>
      </w:r>
      <w:r w:rsidRPr="00E72D0C">
        <w:rPr>
          <w:b/>
          <w:bCs/>
        </w:rPr>
        <w:tab/>
        <w:t>ΦΑΡΜΑΚΟΛΟΓΙΚΕΣ ΙΔΙΟΤΗΤΕΣ</w:t>
      </w:r>
    </w:p>
    <w:p w:rsidR="00F505AA" w:rsidRPr="00E72D0C" w:rsidRDefault="00F505AA" w:rsidP="00F505AA">
      <w:pPr>
        <w:tabs>
          <w:tab w:val="left" w:pos="-1440"/>
          <w:tab w:val="left" w:pos="-720"/>
          <w:tab w:val="left" w:pos="0"/>
        </w:tabs>
        <w:ind w:left="720" w:hanging="720"/>
        <w:rPr>
          <w:b/>
        </w:rPr>
      </w:pPr>
    </w:p>
    <w:p w:rsidR="00F505AA" w:rsidRPr="00E72D0C" w:rsidRDefault="00F505AA" w:rsidP="00F505AA">
      <w:pPr>
        <w:tabs>
          <w:tab w:val="left" w:pos="-1440"/>
          <w:tab w:val="left" w:pos="-720"/>
          <w:tab w:val="left" w:pos="0"/>
        </w:tabs>
        <w:ind w:left="600" w:hanging="600"/>
        <w:rPr>
          <w:b/>
          <w:bCs/>
        </w:rPr>
      </w:pPr>
      <w:r w:rsidRPr="00E72D0C">
        <w:rPr>
          <w:b/>
          <w:bCs/>
        </w:rPr>
        <w:t>5.1</w:t>
      </w:r>
      <w:r w:rsidRPr="00E72D0C">
        <w:rPr>
          <w:b/>
          <w:bCs/>
        </w:rPr>
        <w:tab/>
        <w:t>Φαρμακοδυναμικές ιδιότητες</w:t>
      </w:r>
    </w:p>
    <w:p w:rsidR="00F505AA" w:rsidRPr="00E72D0C" w:rsidRDefault="00F505AA" w:rsidP="00F505AA">
      <w:pPr>
        <w:tabs>
          <w:tab w:val="left" w:pos="-1440"/>
          <w:tab w:val="left" w:pos="-720"/>
        </w:tabs>
        <w:ind w:left="720"/>
      </w:pPr>
    </w:p>
    <w:p w:rsidR="00F505AA" w:rsidRPr="00E72D0C" w:rsidRDefault="00F505AA" w:rsidP="00F505AA">
      <w:pPr>
        <w:autoSpaceDE w:val="0"/>
        <w:autoSpaceDN w:val="0"/>
        <w:adjustRightInd w:val="0"/>
        <w:rPr>
          <w:lang w:eastAsia="el-GR"/>
        </w:rPr>
      </w:pPr>
      <w:r w:rsidRPr="00E72D0C">
        <w:rPr>
          <w:lang w:eastAsia="el-GR"/>
        </w:rPr>
        <w:t xml:space="preserve">Φαρμακοθεραπευτική κατηγορία: Άλλα αντικαταθλιπτικά </w:t>
      </w:r>
    </w:p>
    <w:p w:rsidR="00F505AA" w:rsidRPr="00E72D0C" w:rsidRDefault="00F505AA" w:rsidP="00F505AA">
      <w:pPr>
        <w:autoSpaceDE w:val="0"/>
        <w:autoSpaceDN w:val="0"/>
        <w:adjustRightInd w:val="0"/>
        <w:rPr>
          <w:lang w:eastAsia="el-GR"/>
        </w:rPr>
      </w:pPr>
      <w:r w:rsidRPr="00E72D0C">
        <w:rPr>
          <w:lang w:eastAsia="el-GR"/>
        </w:rPr>
        <w:t>Κωδικός ATC: NO6A X16</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lang w:eastAsia="el-GR"/>
        </w:rPr>
      </w:pPr>
      <w:r w:rsidRPr="00E72D0C">
        <w:rPr>
          <w:lang w:eastAsia="el-GR"/>
        </w:rPr>
        <w:t>Ο μηχανισμός αντικαταθλιπτικής δράσης της βενλαφαξίνης στους ανθρώπους πιστεύεται ότι συνδέεται με την ενίσχυση της νευροδιαβιβαστικής δραστηριότητας στο κεντρικό νευρικό σύστημα. Προκλινικές μελέτες έδειξαν ότι η βενλαφαξίνη και ο βασικός μεταβολίτης της, Ο-δυσμεθυλβενλαφαξίνη (ODV), είναι αναστολείς της επαναπρόσληψης σεροτονίνης και νοραδρεναλίνης. Η βενλαφαξίνη είναι επίσης ασθενής αναστολέας της επαναπρόσληψης ντοπαμίνης. Η βενλαφαξίνη και ο βασικός μεταβολίτης της μειώνουν την β-αδρενεργική διεγερσιμότητα μετά την εφάπαξ (απλή δόση) και τη χρόνια χορήγηση αμφότερα. H βενλαφαξίνη και η ODV είναι ισοδύναμες ως προς τη συνολική δράση στην επαναπρόσληψη των νευροδιαβιβαστών και στη σύνδεση του υποδοχέα.</w:t>
      </w:r>
    </w:p>
    <w:p w:rsidR="00F505AA" w:rsidRDefault="00F505AA" w:rsidP="00F505AA">
      <w:pPr>
        <w:autoSpaceDE w:val="0"/>
        <w:autoSpaceDN w:val="0"/>
        <w:adjustRightInd w:val="0"/>
        <w:rPr>
          <w:lang w:eastAsia="el-GR"/>
        </w:rPr>
      </w:pPr>
      <w:r w:rsidRPr="00E72D0C">
        <w:rPr>
          <w:lang w:eastAsia="el-GR"/>
        </w:rPr>
        <w:t xml:space="preserve">Η βενλαφαξίνη </w:t>
      </w:r>
      <w:r w:rsidRPr="00E72D0C">
        <w:rPr>
          <w:i/>
          <w:iCs/>
          <w:lang w:eastAsia="el-GR"/>
        </w:rPr>
        <w:t xml:space="preserve">in vitro </w:t>
      </w:r>
      <w:r w:rsidRPr="00E72D0C">
        <w:rPr>
          <w:lang w:eastAsia="el-GR"/>
        </w:rPr>
        <w:t xml:space="preserve">δεν έχει πρακτικά συγγένεια με τους μουσκαρινικούς, </w:t>
      </w:r>
      <w:r>
        <w:rPr>
          <w:lang w:eastAsia="el-GR"/>
        </w:rPr>
        <w:t>χολι</w:t>
      </w:r>
      <w:r w:rsidRPr="00E72D0C">
        <w:rPr>
          <w:lang w:eastAsia="el-GR"/>
        </w:rPr>
        <w:t>νεργικούς, Η</w:t>
      </w:r>
      <w:r w:rsidRPr="00FA3FED">
        <w:rPr>
          <w:szCs w:val="14"/>
          <w:lang w:eastAsia="el-GR"/>
        </w:rPr>
        <w:t>1</w:t>
      </w:r>
      <w:r w:rsidRPr="00E72D0C">
        <w:rPr>
          <w:lang w:eastAsia="el-GR"/>
        </w:rPr>
        <w:t>-ισταμινεργικούς ή α</w:t>
      </w:r>
      <w:r w:rsidRPr="00E72D0C">
        <w:rPr>
          <w:szCs w:val="14"/>
          <w:lang w:eastAsia="el-GR"/>
        </w:rPr>
        <w:t>1</w:t>
      </w:r>
      <w:r w:rsidRPr="00E72D0C">
        <w:rPr>
          <w:lang w:eastAsia="el-GR"/>
        </w:rPr>
        <w:t xml:space="preserve">-αδρενεργικούς υποδοχείς του εγκεφάλου του αρουραίου. Η φαρμακολογική δραστηριότητα σε αυτούς τους υποδοχείς μπορεί να συνδέεται με διάφορες ανεπιθύμητες ενέργειες όπως αντιχολινεργικές, ηρεμιστικές και καρδιαγγειακές ανεπιθύμητες ενέργειες που εμφανίζονται με άλλα αντικαταθλιπτικά φαρμακευτικά προϊόντα. </w:t>
      </w:r>
    </w:p>
    <w:p w:rsidR="00F505AA" w:rsidRPr="00E72D0C" w:rsidRDefault="00F505AA" w:rsidP="00F505AA">
      <w:pPr>
        <w:autoSpaceDE w:val="0"/>
        <w:autoSpaceDN w:val="0"/>
        <w:adjustRightInd w:val="0"/>
        <w:rPr>
          <w:lang w:eastAsia="el-GR"/>
        </w:rPr>
      </w:pPr>
      <w:r w:rsidRPr="00E72D0C">
        <w:rPr>
          <w:lang w:eastAsia="el-GR"/>
        </w:rPr>
        <w:t>Η βενλαφαξίνη δεν αναστέλλει τη δράση της μονο</w:t>
      </w:r>
      <w:r>
        <w:rPr>
          <w:lang w:eastAsia="el-GR"/>
        </w:rPr>
        <w:t>α</w:t>
      </w:r>
      <w:r w:rsidRPr="00E72D0C">
        <w:rPr>
          <w:lang w:eastAsia="el-GR"/>
        </w:rPr>
        <w:t xml:space="preserve">μινοξειδάσης (ΜΑΟ). </w:t>
      </w:r>
    </w:p>
    <w:p w:rsidR="00F505AA" w:rsidRPr="00E72D0C" w:rsidRDefault="00F505AA" w:rsidP="00F505AA">
      <w:pPr>
        <w:autoSpaceDE w:val="0"/>
        <w:autoSpaceDN w:val="0"/>
        <w:adjustRightInd w:val="0"/>
        <w:rPr>
          <w:lang w:eastAsia="el-GR"/>
        </w:rPr>
      </w:pPr>
      <w:r w:rsidRPr="00E72D0C">
        <w:rPr>
          <w:lang w:eastAsia="el-GR"/>
        </w:rPr>
        <w:t xml:space="preserve">Μελέτες </w:t>
      </w:r>
      <w:r w:rsidRPr="00E72D0C">
        <w:rPr>
          <w:i/>
          <w:iCs/>
          <w:lang w:eastAsia="el-GR"/>
        </w:rPr>
        <w:t xml:space="preserve">in vitro </w:t>
      </w:r>
      <w:r w:rsidRPr="00E72D0C">
        <w:rPr>
          <w:lang w:eastAsia="el-GR"/>
        </w:rPr>
        <w:t xml:space="preserve">αποκάλυψαν ότι η βενλαφαξίνη δεν έχει πρακτικά συγγένεια με τους ευαίσθητους </w:t>
      </w:r>
      <w:r w:rsidRPr="00E72D0C">
        <w:rPr>
          <w:lang w:eastAsia="el-GR"/>
        </w:rPr>
        <w:lastRenderedPageBreak/>
        <w:t>υποδοχείς οπίου ή βενζοδιαζεπίνης</w:t>
      </w:r>
      <w:r>
        <w:rPr>
          <w:lang w:eastAsia="el-GR"/>
        </w:rPr>
        <w:t>.</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b/>
          <w:lang w:eastAsia="el-GR"/>
        </w:rPr>
      </w:pPr>
      <w:r w:rsidRPr="00E72D0C">
        <w:rPr>
          <w:b/>
          <w:lang w:eastAsia="el-GR"/>
        </w:rPr>
        <w:t>Επεισόδια Μείζονος κατάθλιψης</w:t>
      </w:r>
    </w:p>
    <w:p w:rsidR="00F505AA" w:rsidRPr="00E72D0C" w:rsidRDefault="00F505AA" w:rsidP="00F505AA">
      <w:pPr>
        <w:autoSpaceDE w:val="0"/>
        <w:autoSpaceDN w:val="0"/>
        <w:adjustRightInd w:val="0"/>
        <w:rPr>
          <w:lang w:eastAsia="el-GR"/>
        </w:rPr>
      </w:pPr>
      <w:r w:rsidRPr="00E72D0C">
        <w:rPr>
          <w:lang w:eastAsia="el-GR"/>
        </w:rPr>
        <w:t xml:space="preserve">Η αποτελεσματικότητα της βενλαφαξίνης άμεσης αποδέσμευσης για τη θεραπεία της μείζονος κατάθλιψης τεκμηριώθηκε με πέντε τυχαιοποιημένες, διπλά τυφλές, ελεγχόμενες με εικονικό φάρμακο (placebo), μικρής διάρκειας μελέτες από 4 έως 6-εβδομάδων, για δόσεις έως 375 mg/ημέρα. Η αποτελεσματικότητα της παρατεταμένης αποδέσμευσης βενλαφαξίνης ως θεραπεία για τα επεισόδια μείζονος κατάθλιψης αποδείχθηκε σε δύο ελεγχόμενες με εικονικό φάρμακο (placebo), μικρής διάρκειας μελέτες για 8 και 12 εβδομάδες, που κυμαίνονται από 75 έως 225 mg/ημέρα. </w:t>
      </w:r>
    </w:p>
    <w:p w:rsidR="00F505AA" w:rsidRPr="00E72D0C" w:rsidRDefault="00F505AA" w:rsidP="00F505AA">
      <w:pPr>
        <w:autoSpaceDE w:val="0"/>
        <w:autoSpaceDN w:val="0"/>
        <w:adjustRightInd w:val="0"/>
        <w:rPr>
          <w:lang w:eastAsia="el-GR"/>
        </w:rPr>
      </w:pPr>
      <w:r w:rsidRPr="00E72D0C">
        <w:rPr>
          <w:lang w:eastAsia="el-GR"/>
        </w:rPr>
        <w:t>Σε μια μελέτη μεγαλύτερης χρονικής διάρκειας, ενήλικες εξωνοσοκομειακοί ασθενείς, οι οποίοι είχαν ανταποκριθεί κατά την ανοικτή κλινική δοκιμή με την βενλαφαξίνη παρατεταμένης αποδέσμευσης (75, 150 ή 225 mg) διάρκειας 8 εβδομάδων, τυχαιοποιήθηκαν για να συνεχίσουν να λαμβάνουν την ίδια δόση βενλαφαξίνης παρατεταμένης αποδέσμευσης ή εικονικού φαρμάκου (placebo), για παρακολούθηση μέχρι 26 εβδομάδες, για τυχόν εκδήλωση υποτροπής.</w:t>
      </w:r>
    </w:p>
    <w:p w:rsidR="00F505AA" w:rsidRPr="00E72D0C" w:rsidRDefault="00F505AA" w:rsidP="00F505AA">
      <w:pPr>
        <w:autoSpaceDE w:val="0"/>
        <w:autoSpaceDN w:val="0"/>
        <w:adjustRightInd w:val="0"/>
        <w:rPr>
          <w:lang w:eastAsia="el-GR"/>
        </w:rPr>
      </w:pPr>
      <w:r w:rsidRPr="00E72D0C">
        <w:rPr>
          <w:lang w:eastAsia="el-GR"/>
        </w:rPr>
        <w:t>Σε μια δεύτερη μελέτη μεγαλύτερης χρονικής διάρκειας η αποτελεσματικότητα της βενλαφαξίνης στην πρόληψη της επανεμφάνισης νέων επεισοδίων κατάθλιψης, διάρκειας 12 μηνών αποδείχθηκε σε μια ελεγχόμενη με εικονικό φάρμακο (placebo), διπλά τυφλή μελέτη σε ενήλικες εξωνοσοκομειακούς ασθενείς με μείζονα κατάθλιψη, του υποτροπιάζοντος τύπου, οι οποίοι είχαν ανταποκριθεί στη θεραπεία της βενλαφαξίνης, (100 έως 200 mg/ημέρα, σε σχήμα b.i.d.) κατά το τελευταίο επεισόδιο κατάθλιψης.</w:t>
      </w:r>
    </w:p>
    <w:p w:rsidR="00F505AA" w:rsidRPr="00E72D0C" w:rsidRDefault="00F505AA" w:rsidP="00F505AA">
      <w:pPr>
        <w:tabs>
          <w:tab w:val="left" w:pos="-1440"/>
          <w:tab w:val="left" w:pos="-720"/>
          <w:tab w:val="left" w:pos="0"/>
        </w:tabs>
        <w:ind w:left="600" w:hanging="600"/>
        <w:rPr>
          <w:b/>
        </w:rPr>
      </w:pPr>
    </w:p>
    <w:p w:rsidR="00F505AA" w:rsidRPr="00E72D0C" w:rsidRDefault="00F505AA" w:rsidP="00F505AA">
      <w:pPr>
        <w:tabs>
          <w:tab w:val="left" w:pos="-1440"/>
          <w:tab w:val="left" w:pos="-720"/>
          <w:tab w:val="left" w:pos="0"/>
        </w:tabs>
        <w:ind w:left="600" w:hanging="600"/>
        <w:rPr>
          <w:b/>
          <w:bCs/>
        </w:rPr>
      </w:pPr>
      <w:r w:rsidRPr="00E72D0C">
        <w:rPr>
          <w:b/>
          <w:bCs/>
        </w:rPr>
        <w:t>5.2</w:t>
      </w:r>
      <w:r w:rsidRPr="00E72D0C">
        <w:rPr>
          <w:b/>
          <w:bCs/>
        </w:rPr>
        <w:tab/>
        <w:t>Φαρμακοκινητικές ιδιότητες</w:t>
      </w:r>
    </w:p>
    <w:p w:rsidR="00F505AA" w:rsidRPr="00E72D0C" w:rsidRDefault="00F505AA" w:rsidP="00F505AA">
      <w:pPr>
        <w:tabs>
          <w:tab w:val="left" w:pos="0"/>
        </w:tabs>
        <w:jc w:val="both"/>
      </w:pPr>
    </w:p>
    <w:p w:rsidR="00F505AA" w:rsidRPr="00E72D0C" w:rsidRDefault="00F505AA" w:rsidP="00F505AA">
      <w:pPr>
        <w:autoSpaceDE w:val="0"/>
        <w:autoSpaceDN w:val="0"/>
        <w:adjustRightInd w:val="0"/>
        <w:rPr>
          <w:lang w:eastAsia="el-GR"/>
        </w:rPr>
      </w:pPr>
      <w:r w:rsidRPr="00E72D0C">
        <w:rPr>
          <w:lang w:eastAsia="el-GR"/>
        </w:rPr>
        <w:t>Η βενλαφαξίνη μεταβολίζεται εκτεταμένα, κυρίως στον ενεργό της μεταβολίτη Ο-δυσμεθυλβενλαφαξίνη (ODV). Ο χρόνος ημιζωής (μέσος όρος ±</w:t>
      </w:r>
      <w:r>
        <w:rPr>
          <w:lang w:eastAsia="el-GR"/>
        </w:rPr>
        <w:t xml:space="preserve"> </w:t>
      </w:r>
      <w:r w:rsidRPr="00E72D0C">
        <w:rPr>
          <w:lang w:eastAsia="el-GR"/>
        </w:rPr>
        <w:t>SD) της βενλαφαξίνης και της ODV στο πλάσμα είναι 5±2 ώρες και 11±2 ώρες, αντίστοιχα. Οι συγκεντρώσεις σταθεροποιημένης κατάστασης της βενλαφαξίνης και της ODV επιτυγχάνονται εντός 3 ημερών από την θεραπεία με πολλαπλές χορηγούμενες δόσεις από το στόμα. Η βενλαφαξίνη και η O</w:t>
      </w:r>
      <w:r w:rsidRPr="00E72D0C">
        <w:rPr>
          <w:lang w:val="en-US" w:eastAsia="el-GR"/>
        </w:rPr>
        <w:t>D</w:t>
      </w:r>
      <w:r w:rsidRPr="00E72D0C">
        <w:rPr>
          <w:lang w:eastAsia="el-GR"/>
        </w:rPr>
        <w:t xml:space="preserve">V διαθέτουν γραμμική κινητική σε </w:t>
      </w:r>
      <w:r w:rsidR="002D2E54">
        <w:rPr>
          <w:lang w:eastAsia="el-GR"/>
        </w:rPr>
        <w:t>δοσολογικό</w:t>
      </w:r>
      <w:r w:rsidRPr="00E72D0C">
        <w:rPr>
          <w:lang w:eastAsia="el-GR"/>
        </w:rPr>
        <w:t xml:space="preserve"> εύρος 75 mg έως 450 mg/ημέρα.</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b/>
          <w:lang w:eastAsia="el-GR"/>
        </w:rPr>
      </w:pPr>
      <w:r w:rsidRPr="00E72D0C">
        <w:rPr>
          <w:b/>
          <w:lang w:eastAsia="el-GR"/>
        </w:rPr>
        <w:t>Απορρόφηση</w:t>
      </w:r>
    </w:p>
    <w:p w:rsidR="00F505AA" w:rsidRPr="00E72D0C" w:rsidRDefault="00F505AA" w:rsidP="00F505AA">
      <w:pPr>
        <w:autoSpaceDE w:val="0"/>
        <w:autoSpaceDN w:val="0"/>
        <w:adjustRightInd w:val="0"/>
        <w:rPr>
          <w:lang w:eastAsia="el-GR"/>
        </w:rPr>
      </w:pPr>
      <w:r w:rsidRPr="00E72D0C">
        <w:rPr>
          <w:lang w:eastAsia="el-GR"/>
        </w:rPr>
        <w:t>Τουλάχιστον το 92% μιας απλής δόσης βενλαφαξίνης άμεσης αποδέσμευσης απορροφάται. Η απόλυτη βιοδιαθεσιμότητα είναι 40% με 45% εξαιτίας του προσυστηματικού μεταβολισμού. Μετά τη χορήγηση βενλαφαξίνης άμεσης αποδέσμευσης, οι μέγιστες συγκεντρώσεις στο πλάσμα της βενλαφαξίνης και της ODV στο πλάσμα παρατηρούνται σε 2 και 3 ώρες, αντιστοίχως . Μετά τη χορήγηση της βενλαφαξίνης σε καψάκια παρατεταμένης αποδέσμευσης, η μέγιστη συγκέντρωση στο πλάσμα της βενλαφαξίνης και της ODV επιτυγχάνονται στις 5,5 και στις 9 ώρες αντίστοιχα. Όταν χορηγούνται ισοδύναμες ημερήσιες δόσεις βενλαφαξίνης είτε ως δισκία άμεσης αποδέσμευσης ή σε μορφή παρατεταμένης αποδέσμευσης, η μορφή παρατεταμένης αποδέσμευσης παρέχει βραδύτερο ρυθμό απορρόφησης, αλλά τον ίδιο βαθμό απορρόφησης σε σύγκριση με τη μορφή άμεσης αποδέσμευσης. Η τροφή δεν επηρεάζει τη βιοδιαθεσιμότητα της βενλαφαξίνης και της ODV.</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b/>
          <w:lang w:eastAsia="el-GR"/>
        </w:rPr>
      </w:pPr>
      <w:r w:rsidRPr="00E72D0C">
        <w:rPr>
          <w:b/>
          <w:lang w:eastAsia="el-GR"/>
        </w:rPr>
        <w:t>Κατανομή</w:t>
      </w:r>
    </w:p>
    <w:p w:rsidR="00F505AA" w:rsidRPr="00E72D0C" w:rsidRDefault="00F505AA" w:rsidP="00F505AA">
      <w:pPr>
        <w:autoSpaceDE w:val="0"/>
        <w:autoSpaceDN w:val="0"/>
        <w:adjustRightInd w:val="0"/>
        <w:rPr>
          <w:lang w:eastAsia="el-GR"/>
        </w:rPr>
      </w:pPr>
      <w:r w:rsidRPr="00E72D0C">
        <w:rPr>
          <w:lang w:eastAsia="el-GR"/>
        </w:rPr>
        <w:t xml:space="preserve">Η βενλαφαξίνη και η ODV συνδέονται σε ελάχιστο βαθμό σε θεραπευτικές συγκεντρώσεις με τις πρωτεΐνες του ανθρωπίνου πλάσματος (27% και 30%, αντιστοίχως). Ο όγκος κατανομής της βενλαφαξίνης σε σταθεροποιημένη κατάσταση είναι 4,4±1,6 L/kg μετά την ενδοφλέβια χορήγηση. </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rPr>
          <w:b/>
          <w:lang w:eastAsia="el-GR"/>
        </w:rPr>
      </w:pPr>
      <w:r w:rsidRPr="00E72D0C">
        <w:rPr>
          <w:b/>
          <w:lang w:eastAsia="el-GR"/>
        </w:rPr>
        <w:t>Μεταβολισμός</w:t>
      </w:r>
    </w:p>
    <w:p w:rsidR="00F505AA" w:rsidRPr="00E72D0C" w:rsidRDefault="00F505AA" w:rsidP="00F505AA">
      <w:pPr>
        <w:autoSpaceDE w:val="0"/>
        <w:autoSpaceDN w:val="0"/>
        <w:adjustRightInd w:val="0"/>
        <w:rPr>
          <w:lang w:eastAsia="el-GR"/>
        </w:rPr>
      </w:pPr>
      <w:r w:rsidRPr="00E72D0C">
        <w:rPr>
          <w:lang w:eastAsia="el-GR"/>
        </w:rPr>
        <w:t xml:space="preserve">Η βενλαφαξίνη υφίσταται εκτεταμένο μεταβολισμό στο ήπαρ. Σε μελέτες </w:t>
      </w:r>
      <w:r w:rsidRPr="00E72D0C">
        <w:rPr>
          <w:i/>
          <w:iCs/>
          <w:lang w:eastAsia="el-GR"/>
        </w:rPr>
        <w:t xml:space="preserve">in vitro </w:t>
      </w:r>
      <w:r w:rsidRPr="00E72D0C">
        <w:rPr>
          <w:lang w:eastAsia="el-GR"/>
        </w:rPr>
        <w:t xml:space="preserve">και </w:t>
      </w:r>
      <w:r w:rsidRPr="00E72D0C">
        <w:rPr>
          <w:i/>
          <w:iCs/>
          <w:lang w:eastAsia="el-GR"/>
        </w:rPr>
        <w:t xml:space="preserve">in vivo </w:t>
      </w:r>
      <w:r w:rsidRPr="00E72D0C">
        <w:rPr>
          <w:lang w:eastAsia="el-GR"/>
        </w:rPr>
        <w:t xml:space="preserve">φαίνεται ότι η βενλαφαξίνη βιομετατρέπεται στον κύριο ενεργό της μεταβολίτη, την ODV, από το CYP2D6 . Σε μελέτες </w:t>
      </w:r>
      <w:r w:rsidRPr="00E72D0C">
        <w:rPr>
          <w:i/>
          <w:iCs/>
          <w:lang w:eastAsia="el-GR"/>
        </w:rPr>
        <w:t xml:space="preserve">in vitro </w:t>
      </w:r>
      <w:r w:rsidRPr="00E72D0C">
        <w:rPr>
          <w:lang w:eastAsia="el-GR"/>
        </w:rPr>
        <w:t xml:space="preserve">και </w:t>
      </w:r>
      <w:r w:rsidRPr="00E72D0C">
        <w:rPr>
          <w:i/>
          <w:iCs/>
          <w:lang w:eastAsia="el-GR"/>
        </w:rPr>
        <w:t xml:space="preserve">in vivo </w:t>
      </w:r>
      <w:r w:rsidRPr="00E72D0C">
        <w:rPr>
          <w:lang w:eastAsia="el-GR"/>
        </w:rPr>
        <w:t xml:space="preserve">φαίνεται ότι η βενλαφαξίνη μεταβολίζεται σε έναν δευτερεύοντα, λιγότερο ενεργό μεταβολίτη, την N-δυσμεθυλβενλαφαξίνη, από το CYP3A4. Σε μελέτες </w:t>
      </w:r>
      <w:r w:rsidRPr="00E72D0C">
        <w:rPr>
          <w:i/>
          <w:iCs/>
          <w:lang w:eastAsia="el-GR"/>
        </w:rPr>
        <w:t xml:space="preserve">in vitro </w:t>
      </w:r>
      <w:r w:rsidRPr="00E72D0C">
        <w:rPr>
          <w:lang w:eastAsia="el-GR"/>
        </w:rPr>
        <w:t xml:space="preserve">και </w:t>
      </w:r>
      <w:r w:rsidRPr="00E72D0C">
        <w:rPr>
          <w:i/>
          <w:iCs/>
          <w:lang w:eastAsia="el-GR"/>
        </w:rPr>
        <w:t xml:space="preserve">in vivo </w:t>
      </w:r>
      <w:r w:rsidRPr="00E72D0C">
        <w:rPr>
          <w:lang w:eastAsia="el-GR"/>
        </w:rPr>
        <w:t>φαίνεται ότι η βενλαφαξίνη είναι ασθενής αναστολέας του CYP2D6. Η βενλαφαξίνη δεν αναστέλλει τα CYP1A2, CYP2C9 ή CYP3A4.</w:t>
      </w:r>
    </w:p>
    <w:p w:rsidR="00F505AA" w:rsidRPr="00E72D0C" w:rsidRDefault="00F505AA" w:rsidP="00F505AA">
      <w:pPr>
        <w:autoSpaceDE w:val="0"/>
        <w:autoSpaceDN w:val="0"/>
        <w:adjustRightInd w:val="0"/>
        <w:rPr>
          <w:b/>
          <w:lang w:eastAsia="el-GR"/>
        </w:rPr>
      </w:pPr>
    </w:p>
    <w:p w:rsidR="00F505AA" w:rsidRPr="00E72D0C" w:rsidRDefault="00F505AA" w:rsidP="00F505AA">
      <w:pPr>
        <w:autoSpaceDE w:val="0"/>
        <w:autoSpaceDN w:val="0"/>
        <w:adjustRightInd w:val="0"/>
        <w:rPr>
          <w:b/>
          <w:lang w:eastAsia="el-GR"/>
        </w:rPr>
      </w:pPr>
      <w:r w:rsidRPr="00E72D0C">
        <w:rPr>
          <w:b/>
          <w:lang w:eastAsia="el-GR"/>
        </w:rPr>
        <w:t>Απέκκριση</w:t>
      </w:r>
    </w:p>
    <w:p w:rsidR="00F505AA" w:rsidRPr="00E72D0C" w:rsidRDefault="00F505AA" w:rsidP="00F505AA">
      <w:pPr>
        <w:autoSpaceDE w:val="0"/>
        <w:autoSpaceDN w:val="0"/>
        <w:adjustRightInd w:val="0"/>
        <w:rPr>
          <w:lang w:eastAsia="el-GR"/>
        </w:rPr>
      </w:pPr>
      <w:r w:rsidRPr="00E72D0C">
        <w:rPr>
          <w:lang w:eastAsia="el-GR"/>
        </w:rPr>
        <w:t xml:space="preserve">Η βενλαφαξίνη και οι μεταβολίτες της απεκκρίνονται κυρίως μέσω των νεφρών. Περίπου το 87% μιας </w:t>
      </w:r>
      <w:r w:rsidRPr="00E72D0C">
        <w:rPr>
          <w:lang w:eastAsia="el-GR"/>
        </w:rPr>
        <w:lastRenderedPageBreak/>
        <w:t>δόσης βενλαφαξίνης εμφανίζεται στα ούρα σε 48 ώρες είτε ως αμετάβλητη βενλαφαξίνη (5%), είτε ως μη συζευγμένη ODV (29%), είτε ως συζευγμένη ODV (26%), ή με τη μορφή άλλων αδρανών μεταβολιτών μικρής σημασίας (27%). Η μέση τιμή ± SD της κάθαρση της βενλαφαξίνης και της ODV στο πλάσμα σε σταθεροποιημένη κατάσταση είναι 1,3±0,6 L/h/kg και 0,4±0,2 L/h/kg, αντιστοίχως.</w:t>
      </w:r>
    </w:p>
    <w:p w:rsidR="00F505AA" w:rsidRPr="00E72D0C" w:rsidRDefault="00F505AA" w:rsidP="00F505AA">
      <w:pPr>
        <w:autoSpaceDE w:val="0"/>
        <w:autoSpaceDN w:val="0"/>
        <w:adjustRightInd w:val="0"/>
        <w:rPr>
          <w:b/>
          <w:lang w:eastAsia="el-GR"/>
        </w:rPr>
      </w:pPr>
    </w:p>
    <w:p w:rsidR="00F505AA" w:rsidRPr="00E72D0C" w:rsidRDefault="00F505AA" w:rsidP="00F505AA">
      <w:pPr>
        <w:autoSpaceDE w:val="0"/>
        <w:autoSpaceDN w:val="0"/>
        <w:adjustRightInd w:val="0"/>
        <w:rPr>
          <w:b/>
          <w:u w:val="single"/>
          <w:lang w:eastAsia="el-GR"/>
        </w:rPr>
      </w:pPr>
      <w:r w:rsidRPr="00E72D0C">
        <w:rPr>
          <w:b/>
          <w:u w:val="single"/>
          <w:lang w:eastAsia="el-GR"/>
        </w:rPr>
        <w:t>Ειδικοί Πληθυσμοί</w:t>
      </w:r>
    </w:p>
    <w:p w:rsidR="00F505AA" w:rsidRPr="00E72D0C" w:rsidRDefault="00F505AA" w:rsidP="00F505AA">
      <w:pPr>
        <w:autoSpaceDE w:val="0"/>
        <w:autoSpaceDN w:val="0"/>
        <w:adjustRightInd w:val="0"/>
        <w:rPr>
          <w:i/>
          <w:iCs/>
          <w:lang w:eastAsia="el-GR"/>
        </w:rPr>
      </w:pPr>
    </w:p>
    <w:p w:rsidR="00F505AA" w:rsidRPr="00E72D0C" w:rsidRDefault="00F505AA" w:rsidP="00F505AA">
      <w:pPr>
        <w:autoSpaceDE w:val="0"/>
        <w:autoSpaceDN w:val="0"/>
        <w:adjustRightInd w:val="0"/>
        <w:rPr>
          <w:b/>
          <w:iCs/>
          <w:lang w:eastAsia="el-GR"/>
        </w:rPr>
      </w:pPr>
      <w:r w:rsidRPr="00E72D0C">
        <w:rPr>
          <w:b/>
          <w:iCs/>
          <w:lang w:eastAsia="el-GR"/>
        </w:rPr>
        <w:t>Ηλικία και Φύλο</w:t>
      </w:r>
    </w:p>
    <w:p w:rsidR="00F505AA" w:rsidRPr="00E72D0C" w:rsidRDefault="00F505AA" w:rsidP="00F505AA">
      <w:pPr>
        <w:autoSpaceDE w:val="0"/>
        <w:autoSpaceDN w:val="0"/>
        <w:adjustRightInd w:val="0"/>
        <w:rPr>
          <w:lang w:eastAsia="el-GR"/>
        </w:rPr>
      </w:pPr>
      <w:r w:rsidRPr="00E72D0C">
        <w:rPr>
          <w:lang w:eastAsia="el-GR"/>
        </w:rPr>
        <w:t>Η ηλικία και το φύλο των ασθενών δεν επηρεάζουν σημαντικά την φαρμακοκινητική της βενλαφαξίνης και της ODV.</w:t>
      </w:r>
    </w:p>
    <w:p w:rsidR="00F505AA" w:rsidRPr="00E72D0C" w:rsidRDefault="00F505AA" w:rsidP="00F505AA">
      <w:pPr>
        <w:autoSpaceDE w:val="0"/>
        <w:autoSpaceDN w:val="0"/>
        <w:adjustRightInd w:val="0"/>
        <w:rPr>
          <w:i/>
          <w:iCs/>
          <w:lang w:eastAsia="el-GR"/>
        </w:rPr>
      </w:pPr>
    </w:p>
    <w:p w:rsidR="00F505AA" w:rsidRPr="00E72D0C" w:rsidRDefault="00F505AA" w:rsidP="00F505AA">
      <w:pPr>
        <w:autoSpaceDE w:val="0"/>
        <w:autoSpaceDN w:val="0"/>
        <w:adjustRightInd w:val="0"/>
        <w:rPr>
          <w:b/>
          <w:iCs/>
          <w:lang w:eastAsia="el-GR"/>
        </w:rPr>
      </w:pPr>
      <w:r w:rsidRPr="00E72D0C">
        <w:rPr>
          <w:b/>
          <w:iCs/>
          <w:lang w:eastAsia="el-GR"/>
        </w:rPr>
        <w:t>Άτομα με έντονη/μειωμένη μεταβολική ικανότητα του CYP2D6</w:t>
      </w:r>
    </w:p>
    <w:p w:rsidR="00F505AA" w:rsidRPr="00E72D0C" w:rsidRDefault="00F505AA" w:rsidP="00F505AA">
      <w:pPr>
        <w:autoSpaceDE w:val="0"/>
        <w:autoSpaceDN w:val="0"/>
        <w:adjustRightInd w:val="0"/>
        <w:rPr>
          <w:lang w:eastAsia="el-GR"/>
        </w:rPr>
      </w:pPr>
      <w:r w:rsidRPr="00E72D0C">
        <w:rPr>
          <w:lang w:eastAsia="el-GR"/>
        </w:rPr>
        <w:t>Οι συγκεντρώσεις της βενλαφαξίνης στο πλάσμα είναι υψηλότερες σε άτομα με μειωμένη μεταβολική ικανότητα του CYP2D6 απ' ότι σε άτομα με έντονη μεταβολική ικανότητα. Καθώς η συνολική έκθεση (AUC) της βενλαφαξίνης και της ODV είναι παρόμοια σε άτομα τόσο με μειωμένη όσο και με έντονη μεταβολική ικανότητα, δεν απαιτείται να χορηγηθούν διαφορετικά δοσολογικά σχήματα βενλαφαξίνης στις δύο αυτές ομάδες.</w:t>
      </w:r>
    </w:p>
    <w:p w:rsidR="00F505AA" w:rsidRPr="00E72D0C" w:rsidRDefault="00F505AA" w:rsidP="00F505AA">
      <w:pPr>
        <w:autoSpaceDE w:val="0"/>
        <w:autoSpaceDN w:val="0"/>
        <w:adjustRightInd w:val="0"/>
        <w:rPr>
          <w:i/>
          <w:iCs/>
          <w:lang w:eastAsia="el-GR"/>
        </w:rPr>
      </w:pPr>
    </w:p>
    <w:p w:rsidR="00F505AA" w:rsidRPr="00E72D0C" w:rsidRDefault="00F505AA" w:rsidP="00F505AA">
      <w:pPr>
        <w:autoSpaceDE w:val="0"/>
        <w:autoSpaceDN w:val="0"/>
        <w:adjustRightInd w:val="0"/>
        <w:rPr>
          <w:b/>
          <w:iCs/>
          <w:lang w:eastAsia="el-GR"/>
        </w:rPr>
      </w:pPr>
      <w:r w:rsidRPr="00E72D0C">
        <w:rPr>
          <w:b/>
          <w:iCs/>
          <w:lang w:eastAsia="el-GR"/>
        </w:rPr>
        <w:t>Ασθενείς με ηπατική ανεπάρκεια</w:t>
      </w:r>
    </w:p>
    <w:p w:rsidR="00F505AA" w:rsidRPr="00E72D0C" w:rsidRDefault="00F505AA" w:rsidP="00F505AA">
      <w:pPr>
        <w:autoSpaceDE w:val="0"/>
        <w:autoSpaceDN w:val="0"/>
        <w:adjustRightInd w:val="0"/>
        <w:rPr>
          <w:lang w:eastAsia="el-GR"/>
        </w:rPr>
      </w:pPr>
      <w:r w:rsidRPr="00E72D0C">
        <w:rPr>
          <w:lang w:eastAsia="el-GR"/>
        </w:rPr>
        <w:t>Σε άτομα με Child-Pugh A (ήπια ηπατική ανεπάρκεια ) και Child-Pugh Β ( μετρίου βαθμού ηπατική ανεπάρκεια), οι χρόνοι ημιζωής της βενλαφαξίνης και της ODV παρατάθηκαν σε σύγκριση με τα υγιή άτομα. Η κάθαρση της από του στόματος χορηγούμενης βενλαφαξίνης και ODV μειώθηκε</w:t>
      </w:r>
      <w:r w:rsidR="00F579AE">
        <w:rPr>
          <w:lang w:eastAsia="el-GR"/>
        </w:rPr>
        <w:t>.</w:t>
      </w:r>
      <w:r w:rsidRPr="00E72D0C">
        <w:rPr>
          <w:lang w:eastAsia="el-GR"/>
        </w:rPr>
        <w:t xml:space="preserve"> Παρατηρήθηκε σημαντικός βαθμός διακύμανσης μεταξύ των ατόμων. Υπάρχουν περιορισμένα δεδομένα σε ασθενείς με σοβαρή ηπατική ανεπάρκεια (βλ. παράγραφο 4.2).</w:t>
      </w:r>
    </w:p>
    <w:p w:rsidR="00F505AA" w:rsidRPr="00E72D0C" w:rsidRDefault="00F505AA" w:rsidP="00F505AA">
      <w:pPr>
        <w:autoSpaceDE w:val="0"/>
        <w:autoSpaceDN w:val="0"/>
        <w:adjustRightInd w:val="0"/>
        <w:rPr>
          <w:i/>
          <w:iCs/>
          <w:lang w:eastAsia="el-GR"/>
        </w:rPr>
      </w:pPr>
    </w:p>
    <w:p w:rsidR="00F505AA" w:rsidRPr="00E72D0C" w:rsidRDefault="00F505AA" w:rsidP="00F505AA">
      <w:pPr>
        <w:autoSpaceDE w:val="0"/>
        <w:autoSpaceDN w:val="0"/>
        <w:adjustRightInd w:val="0"/>
        <w:rPr>
          <w:b/>
          <w:iCs/>
          <w:lang w:eastAsia="el-GR"/>
        </w:rPr>
      </w:pPr>
      <w:r w:rsidRPr="00E72D0C">
        <w:rPr>
          <w:b/>
          <w:iCs/>
          <w:lang w:eastAsia="el-GR"/>
        </w:rPr>
        <w:t>Ασθενείς με νεφρική ανεπάρκεια</w:t>
      </w:r>
    </w:p>
    <w:p w:rsidR="00F505AA" w:rsidRPr="00E72D0C" w:rsidRDefault="00F505AA" w:rsidP="00F505AA">
      <w:pPr>
        <w:autoSpaceDE w:val="0"/>
        <w:autoSpaceDN w:val="0"/>
        <w:adjustRightInd w:val="0"/>
        <w:rPr>
          <w:lang w:eastAsia="el-GR"/>
        </w:rPr>
      </w:pPr>
      <w:r w:rsidRPr="00E72D0C">
        <w:rPr>
          <w:lang w:eastAsia="el-GR"/>
        </w:rPr>
        <w:t>Σε ασθενείς που υφίστανται αιμοκάθαρση, ο χρόνος ημιζωής της βενλαφαξίνης επιμηκύνθηκε κατά 180% και η κάθαρση μειώθηκε κατά 57% σε σύγκριση με υγιή άτομα</w:t>
      </w:r>
      <w:r>
        <w:rPr>
          <w:lang w:eastAsia="el-GR"/>
        </w:rPr>
        <w:t>,</w:t>
      </w:r>
      <w:r w:rsidRPr="00E72D0C">
        <w:rPr>
          <w:lang w:eastAsia="el-GR"/>
        </w:rPr>
        <w:t xml:space="preserve"> ενώ για την ODV ο χρόνος ημιζωής επιμηκύνθηκε κατά 142% και η κάθαρση μειώθηκε κατά 56%. Απαιτείται προσαρμογή της δόσης στους ασθενείς με σοβαρή νεφρική ανεπάρκεια και σε ασθενείς που υφίστανται αιμοκάθαρση (βλ. παράγραφο 4.2).</w:t>
      </w:r>
    </w:p>
    <w:p w:rsidR="00F505AA" w:rsidRPr="00E72D0C" w:rsidRDefault="00F505AA" w:rsidP="00F505AA">
      <w:pPr>
        <w:autoSpaceDE w:val="0"/>
        <w:autoSpaceDN w:val="0"/>
        <w:adjustRightInd w:val="0"/>
        <w:rPr>
          <w:lang w:eastAsia="el-GR"/>
        </w:rPr>
      </w:pPr>
    </w:p>
    <w:p w:rsidR="00F505AA" w:rsidRPr="00E72D0C" w:rsidRDefault="00F505AA" w:rsidP="00F505AA">
      <w:pPr>
        <w:autoSpaceDE w:val="0"/>
        <w:autoSpaceDN w:val="0"/>
        <w:adjustRightInd w:val="0"/>
      </w:pPr>
    </w:p>
    <w:p w:rsidR="00F505AA" w:rsidRPr="00E72D0C" w:rsidRDefault="00F505AA" w:rsidP="00F505AA">
      <w:pPr>
        <w:tabs>
          <w:tab w:val="left" w:pos="-1440"/>
          <w:tab w:val="left" w:pos="-720"/>
          <w:tab w:val="left" w:pos="0"/>
        </w:tabs>
        <w:ind w:left="600" w:hanging="600"/>
        <w:rPr>
          <w:b/>
          <w:bCs/>
        </w:rPr>
      </w:pPr>
      <w:r w:rsidRPr="00E72D0C">
        <w:rPr>
          <w:b/>
          <w:bCs/>
        </w:rPr>
        <w:t>5.3</w:t>
      </w:r>
      <w:r w:rsidRPr="00E72D0C">
        <w:rPr>
          <w:b/>
          <w:bCs/>
        </w:rPr>
        <w:tab/>
        <w:t>Προκλινικά δεδομένα για την ασφάλεια</w:t>
      </w:r>
    </w:p>
    <w:p w:rsidR="00F505AA" w:rsidRPr="00E72D0C" w:rsidRDefault="00F505AA" w:rsidP="00F505AA">
      <w:pPr>
        <w:jc w:val="both"/>
      </w:pPr>
    </w:p>
    <w:p w:rsidR="00F505AA" w:rsidRPr="00E72D0C" w:rsidRDefault="00F505AA" w:rsidP="00F505AA">
      <w:pPr>
        <w:autoSpaceDE w:val="0"/>
        <w:autoSpaceDN w:val="0"/>
        <w:adjustRightInd w:val="0"/>
        <w:rPr>
          <w:lang w:eastAsia="el-GR"/>
        </w:rPr>
      </w:pPr>
      <w:r w:rsidRPr="00E72D0C">
        <w:rPr>
          <w:lang w:eastAsia="el-GR"/>
        </w:rPr>
        <w:t xml:space="preserve">Μελέτες με βενλαφαξίνη σε αρουραίους και ποντίκια δεν έδειξαν στοιχεία καρκινογένεσης. Η βενλαφαξίνη δεν ήταν μεταλλαξιογόνος σε ένα ευρύ φάσμα </w:t>
      </w:r>
      <w:r w:rsidRPr="00E72D0C">
        <w:rPr>
          <w:i/>
          <w:iCs/>
          <w:lang w:eastAsia="el-GR"/>
        </w:rPr>
        <w:t xml:space="preserve">in vitro </w:t>
      </w:r>
      <w:r w:rsidRPr="00E72D0C">
        <w:rPr>
          <w:lang w:eastAsia="el-GR"/>
        </w:rPr>
        <w:t xml:space="preserve">και </w:t>
      </w:r>
      <w:r w:rsidRPr="00E72D0C">
        <w:rPr>
          <w:i/>
          <w:iCs/>
          <w:lang w:eastAsia="el-GR"/>
        </w:rPr>
        <w:t xml:space="preserve">in vivo </w:t>
      </w:r>
      <w:r w:rsidRPr="00E72D0C">
        <w:rPr>
          <w:lang w:eastAsia="el-GR"/>
        </w:rPr>
        <w:t xml:space="preserve">δοκιμών. </w:t>
      </w:r>
    </w:p>
    <w:p w:rsidR="00F505AA" w:rsidRPr="00E72D0C" w:rsidRDefault="00F505AA" w:rsidP="00F505AA">
      <w:pPr>
        <w:autoSpaceDE w:val="0"/>
        <w:autoSpaceDN w:val="0"/>
        <w:adjustRightInd w:val="0"/>
        <w:rPr>
          <w:lang w:eastAsia="el-GR"/>
        </w:rPr>
      </w:pPr>
    </w:p>
    <w:p w:rsidR="00F579AE" w:rsidRDefault="00F505AA" w:rsidP="00F505AA">
      <w:pPr>
        <w:autoSpaceDE w:val="0"/>
        <w:autoSpaceDN w:val="0"/>
        <w:adjustRightInd w:val="0"/>
        <w:rPr>
          <w:lang w:eastAsia="el-GR"/>
        </w:rPr>
      </w:pPr>
      <w:r w:rsidRPr="00E72D0C">
        <w:rPr>
          <w:lang w:eastAsia="el-GR"/>
        </w:rPr>
        <w:t xml:space="preserve">Σε μελέτες τοξικότητας σε πειραματόζωα κατά την αναπαραγωγή, παρατηρήθηκε μείωση του βάρους των απογόνων των αρουραίων, αύξηση του αριθμού των θνησιγενών νεογνών και αύξηση στους θανάτους των νεογνών τις 5 πρώτες ημέρες της γαλουχίας. Το αίτιο των θανάτων δεν είναι γνωστό. Οι ενέργειες αυτές παρατηρήθηκαν στα 30 mg/kg/ημέρα, 4 φορές την ανθρώπινη ημερήσια δόση των 375 mg βενλαφαξίνης (βασισμένη σε mg/kg). Η μη αποτελεσματική δόση για αυτά τα ευρήματα ήταν 1,3 φορές την ανθρώπινη δόση. Ο ενδεχόμενος κίνδυνος για τους ανθρώπους δεν είναι γνωστός. </w:t>
      </w:r>
    </w:p>
    <w:p w:rsidR="00F579AE" w:rsidRDefault="00F579AE" w:rsidP="00F505AA">
      <w:pPr>
        <w:autoSpaceDE w:val="0"/>
        <w:autoSpaceDN w:val="0"/>
        <w:adjustRightInd w:val="0"/>
        <w:rPr>
          <w:lang w:eastAsia="el-GR"/>
        </w:rPr>
      </w:pPr>
    </w:p>
    <w:p w:rsidR="00F505AA" w:rsidRPr="00E72D0C" w:rsidRDefault="00F505AA" w:rsidP="00F505AA">
      <w:pPr>
        <w:autoSpaceDE w:val="0"/>
        <w:autoSpaceDN w:val="0"/>
        <w:adjustRightInd w:val="0"/>
        <w:rPr>
          <w:lang w:eastAsia="el-GR"/>
        </w:rPr>
      </w:pPr>
      <w:r w:rsidRPr="00E72D0C">
        <w:rPr>
          <w:lang w:eastAsia="el-GR"/>
        </w:rPr>
        <w:t xml:space="preserve">Μειωμένη γονιμότητα παρατηρήθηκε σε μια μελέτη κατά την οποία τόσο </w:t>
      </w:r>
      <w:r w:rsidR="00F579AE" w:rsidRPr="00E72D0C">
        <w:rPr>
          <w:lang w:eastAsia="el-GR"/>
        </w:rPr>
        <w:t xml:space="preserve">αρσενικοί </w:t>
      </w:r>
      <w:r w:rsidRPr="00E72D0C">
        <w:rPr>
          <w:lang w:eastAsia="el-GR"/>
        </w:rPr>
        <w:t xml:space="preserve">όσο και </w:t>
      </w:r>
      <w:r w:rsidR="00F579AE" w:rsidRPr="00E72D0C">
        <w:rPr>
          <w:lang w:eastAsia="el-GR"/>
        </w:rPr>
        <w:t xml:space="preserve">θηλυκοί </w:t>
      </w:r>
      <w:r w:rsidRPr="00E72D0C">
        <w:rPr>
          <w:lang w:eastAsia="el-GR"/>
        </w:rPr>
        <w:t>αρουραίοι εκτέθηκαν στην ODV. Η έκθεση αυτή ήταν περίπου 1 έως 2 φορές μεγαλύτερη της ανθρώπινης δόσης των 375 mg ανά ημέρα. Η σημασία αυτού του ευρήματος για τον άνθρωπο δεν είναι γνωστή.</w:t>
      </w:r>
    </w:p>
    <w:p w:rsidR="00F505AA" w:rsidRPr="00E72D0C" w:rsidRDefault="00F505AA" w:rsidP="00F505AA">
      <w:pPr>
        <w:autoSpaceDE w:val="0"/>
        <w:autoSpaceDN w:val="0"/>
        <w:adjustRightInd w:val="0"/>
        <w:ind w:left="600"/>
        <w:jc w:val="both"/>
      </w:pPr>
    </w:p>
    <w:p w:rsidR="00F505AA" w:rsidRPr="00E72D0C" w:rsidRDefault="00F505AA" w:rsidP="00F505AA">
      <w:pPr>
        <w:tabs>
          <w:tab w:val="left" w:pos="-1440"/>
          <w:tab w:val="left" w:pos="-720"/>
          <w:tab w:val="left" w:pos="0"/>
        </w:tabs>
        <w:ind w:left="600" w:hanging="600"/>
        <w:rPr>
          <w:b/>
          <w:bCs/>
        </w:rPr>
      </w:pPr>
      <w:bookmarkStart w:id="5" w:name="PHARMACEUTICAL_PARTS"/>
      <w:r w:rsidRPr="00E72D0C">
        <w:rPr>
          <w:b/>
          <w:bCs/>
        </w:rPr>
        <w:t>6.</w:t>
      </w:r>
      <w:r w:rsidRPr="00E72D0C">
        <w:rPr>
          <w:b/>
          <w:bCs/>
        </w:rPr>
        <w:tab/>
        <w:t>ΦΑΡΜΑΚΕΥΤΙΚΕΣ ΠΛΗΡΟΦΟΡΙΕΣ</w:t>
      </w:r>
    </w:p>
    <w:bookmarkEnd w:id="5"/>
    <w:p w:rsidR="00F505AA" w:rsidRPr="00E72D0C" w:rsidRDefault="00F505AA" w:rsidP="00F505AA">
      <w:pPr>
        <w:tabs>
          <w:tab w:val="left" w:pos="-1440"/>
          <w:tab w:val="left" w:pos="-720"/>
        </w:tabs>
        <w:rPr>
          <w:b/>
        </w:rPr>
      </w:pPr>
    </w:p>
    <w:p w:rsidR="00F505AA" w:rsidRPr="00E72D0C" w:rsidRDefault="00F505AA" w:rsidP="00F505AA">
      <w:pPr>
        <w:tabs>
          <w:tab w:val="left" w:pos="-1440"/>
          <w:tab w:val="left" w:pos="-720"/>
          <w:tab w:val="left" w:pos="0"/>
        </w:tabs>
        <w:ind w:left="600" w:hanging="600"/>
        <w:rPr>
          <w:b/>
          <w:bCs/>
        </w:rPr>
      </w:pPr>
      <w:r w:rsidRPr="00E72D0C">
        <w:rPr>
          <w:b/>
          <w:bCs/>
        </w:rPr>
        <w:t>6.1</w:t>
      </w:r>
      <w:r w:rsidRPr="00E72D0C">
        <w:rPr>
          <w:b/>
          <w:bCs/>
        </w:rPr>
        <w:tab/>
        <w:t>Κατάλογος εκδόχων</w:t>
      </w:r>
    </w:p>
    <w:p w:rsidR="00F505AA" w:rsidRPr="00E72D0C" w:rsidRDefault="00F505AA" w:rsidP="00F505AA">
      <w:pPr>
        <w:tabs>
          <w:tab w:val="left" w:pos="-1440"/>
          <w:tab w:val="left" w:pos="-720"/>
          <w:tab w:val="left" w:pos="0"/>
        </w:tabs>
        <w:ind w:left="600" w:hanging="600"/>
      </w:pPr>
    </w:p>
    <w:p w:rsidR="00F505AA" w:rsidRPr="00E72D0C" w:rsidRDefault="00F505AA" w:rsidP="00F505AA">
      <w:pPr>
        <w:tabs>
          <w:tab w:val="left" w:pos="-1440"/>
          <w:tab w:val="left" w:pos="-720"/>
          <w:tab w:val="left" w:pos="0"/>
        </w:tabs>
        <w:ind w:left="600"/>
        <w:rPr>
          <w:i/>
          <w:iCs/>
        </w:rPr>
      </w:pPr>
      <w:r w:rsidRPr="00E72D0C">
        <w:rPr>
          <w:i/>
          <w:iCs/>
        </w:rPr>
        <w:t>Πυρήνας:</w:t>
      </w:r>
    </w:p>
    <w:p w:rsidR="00F505AA" w:rsidRPr="00E72D0C" w:rsidRDefault="00F505AA" w:rsidP="00F505AA">
      <w:pPr>
        <w:tabs>
          <w:tab w:val="left" w:pos="-1440"/>
          <w:tab w:val="left" w:pos="-720"/>
          <w:tab w:val="left" w:pos="0"/>
        </w:tabs>
        <w:ind w:left="600"/>
      </w:pPr>
      <w:r w:rsidRPr="00E72D0C">
        <w:t>Μαννιτόλη (Ε421)</w:t>
      </w:r>
    </w:p>
    <w:p w:rsidR="00F505AA" w:rsidRPr="00E72D0C" w:rsidRDefault="00F505AA" w:rsidP="00F505AA">
      <w:pPr>
        <w:tabs>
          <w:tab w:val="left" w:pos="-1440"/>
          <w:tab w:val="left" w:pos="-720"/>
          <w:tab w:val="left" w:pos="0"/>
        </w:tabs>
        <w:ind w:left="600"/>
      </w:pPr>
      <w:r w:rsidRPr="00E72D0C">
        <w:t>Ποβιδόνη Κ-90</w:t>
      </w:r>
    </w:p>
    <w:p w:rsidR="00F505AA" w:rsidRPr="00E72D0C" w:rsidRDefault="00F505AA" w:rsidP="00F505AA">
      <w:pPr>
        <w:tabs>
          <w:tab w:val="left" w:pos="-1440"/>
          <w:tab w:val="left" w:pos="-720"/>
          <w:tab w:val="left" w:pos="0"/>
        </w:tabs>
        <w:ind w:left="600"/>
      </w:pPr>
      <w:r w:rsidRPr="00E72D0C">
        <w:lastRenderedPageBreak/>
        <w:t>Πολυαιθυλενογλυκόλη 400</w:t>
      </w:r>
    </w:p>
    <w:p w:rsidR="00F505AA" w:rsidRPr="00E72D0C" w:rsidRDefault="00F505AA" w:rsidP="00F505AA">
      <w:pPr>
        <w:tabs>
          <w:tab w:val="left" w:pos="-1440"/>
          <w:tab w:val="left" w:pos="-720"/>
          <w:tab w:val="left" w:pos="0"/>
        </w:tabs>
        <w:ind w:left="600"/>
      </w:pPr>
      <w:r w:rsidRPr="00E72D0C">
        <w:t>Μικροκρυσταλλική κυτταρίνη</w:t>
      </w:r>
    </w:p>
    <w:p w:rsidR="00F505AA" w:rsidRPr="00E72D0C" w:rsidRDefault="00F505AA" w:rsidP="00F505AA">
      <w:pPr>
        <w:tabs>
          <w:tab w:val="left" w:pos="-1440"/>
          <w:tab w:val="left" w:pos="-720"/>
          <w:tab w:val="left" w:pos="0"/>
        </w:tabs>
        <w:ind w:left="600"/>
      </w:pPr>
      <w:r w:rsidRPr="00E72D0C">
        <w:t>Πυριτικός ανυδρίτης (κολλοειδές)</w:t>
      </w:r>
    </w:p>
    <w:p w:rsidR="00F505AA" w:rsidRPr="00E72D0C" w:rsidRDefault="00F505AA" w:rsidP="00F505AA">
      <w:pPr>
        <w:tabs>
          <w:tab w:val="left" w:pos="-1440"/>
          <w:tab w:val="left" w:pos="-720"/>
          <w:tab w:val="left" w:pos="0"/>
        </w:tabs>
        <w:ind w:left="600"/>
        <w:rPr>
          <w:rStyle w:val="tw4winMark"/>
          <w:vanish w:val="0"/>
        </w:rPr>
      </w:pPr>
      <w:r w:rsidRPr="00E72D0C">
        <w:t>Στεατικό μαγνήσιο</w:t>
      </w:r>
    </w:p>
    <w:p w:rsidR="00F505AA" w:rsidRPr="00E72D0C" w:rsidRDefault="00F505AA" w:rsidP="00F505AA">
      <w:pPr>
        <w:tabs>
          <w:tab w:val="left" w:pos="-1440"/>
          <w:tab w:val="left" w:pos="-720"/>
          <w:tab w:val="left" w:pos="0"/>
        </w:tabs>
        <w:ind w:left="600"/>
        <w:rPr>
          <w:i/>
          <w:iCs/>
        </w:rPr>
      </w:pPr>
    </w:p>
    <w:p w:rsidR="00F505AA" w:rsidRPr="00E72D0C" w:rsidRDefault="00F505AA" w:rsidP="00F505AA">
      <w:pPr>
        <w:tabs>
          <w:tab w:val="left" w:pos="-1440"/>
          <w:tab w:val="left" w:pos="-720"/>
          <w:tab w:val="left" w:pos="0"/>
        </w:tabs>
        <w:ind w:left="600"/>
        <w:rPr>
          <w:i/>
          <w:iCs/>
        </w:rPr>
      </w:pPr>
      <w:r w:rsidRPr="00E72D0C">
        <w:rPr>
          <w:i/>
          <w:iCs/>
        </w:rPr>
        <w:t>Επικάλυψη:</w:t>
      </w:r>
    </w:p>
    <w:p w:rsidR="00F505AA" w:rsidRPr="00E72D0C" w:rsidRDefault="00F505AA" w:rsidP="00F505AA">
      <w:pPr>
        <w:tabs>
          <w:tab w:val="left" w:pos="-1440"/>
          <w:tab w:val="left" w:pos="-720"/>
          <w:tab w:val="left" w:pos="0"/>
        </w:tabs>
        <w:ind w:left="600"/>
      </w:pPr>
      <w:r w:rsidRPr="00E72D0C">
        <w:t xml:space="preserve">Οξική κυτταρίνη </w:t>
      </w:r>
    </w:p>
    <w:p w:rsidR="00F505AA" w:rsidRPr="00E72D0C" w:rsidRDefault="00F505AA" w:rsidP="00F505AA">
      <w:pPr>
        <w:tabs>
          <w:tab w:val="left" w:pos="-1440"/>
          <w:tab w:val="left" w:pos="-720"/>
          <w:tab w:val="left" w:pos="0"/>
        </w:tabs>
        <w:ind w:left="600"/>
      </w:pPr>
      <w:r w:rsidRPr="00E72D0C">
        <w:t>Πολυαιθυλενογλυκόλη 400</w:t>
      </w:r>
    </w:p>
    <w:p w:rsidR="00F505AA" w:rsidRPr="00E72D0C" w:rsidRDefault="00F505AA" w:rsidP="00F505AA">
      <w:pPr>
        <w:tabs>
          <w:tab w:val="left" w:pos="-1440"/>
          <w:tab w:val="left" w:pos="-720"/>
          <w:tab w:val="left" w:pos="0"/>
        </w:tabs>
        <w:ind w:left="600"/>
        <w:jc w:val="both"/>
      </w:pPr>
      <w:r w:rsidRPr="00E72D0C">
        <w:t>Opadry Y 30 18037 (μίγμα υπρομελλόζης, μονοϋδρικής λακτόζης, διοξειδίου του τιτανίου (E172) και τριακετίνης)</w:t>
      </w:r>
    </w:p>
    <w:p w:rsidR="00F505AA" w:rsidRPr="00E72D0C" w:rsidRDefault="00F505AA" w:rsidP="00F505AA">
      <w:pPr>
        <w:tabs>
          <w:tab w:val="left" w:pos="-1440"/>
          <w:tab w:val="left" w:pos="-720"/>
          <w:tab w:val="left" w:pos="0"/>
        </w:tabs>
        <w:ind w:left="600"/>
      </w:pPr>
    </w:p>
    <w:p w:rsidR="00F505AA" w:rsidRPr="00E72D0C" w:rsidRDefault="00F505AA" w:rsidP="00F505AA">
      <w:pPr>
        <w:tabs>
          <w:tab w:val="left" w:pos="-1440"/>
          <w:tab w:val="left" w:pos="-720"/>
          <w:tab w:val="left" w:pos="0"/>
        </w:tabs>
        <w:ind w:left="600" w:hanging="600"/>
        <w:rPr>
          <w:b/>
          <w:bCs/>
        </w:rPr>
      </w:pPr>
      <w:r w:rsidRPr="00E72D0C">
        <w:rPr>
          <w:b/>
          <w:bCs/>
        </w:rPr>
        <w:t>6.2</w:t>
      </w:r>
      <w:r w:rsidRPr="00E72D0C">
        <w:rPr>
          <w:b/>
          <w:bCs/>
        </w:rPr>
        <w:tab/>
        <w:t>Ασυμβατότητες</w:t>
      </w:r>
    </w:p>
    <w:p w:rsidR="00F505AA" w:rsidRPr="00E72D0C" w:rsidRDefault="00F505AA" w:rsidP="00F505AA">
      <w:pPr>
        <w:autoSpaceDE w:val="0"/>
        <w:autoSpaceDN w:val="0"/>
        <w:adjustRightInd w:val="0"/>
        <w:ind w:left="600"/>
        <w:jc w:val="both"/>
      </w:pPr>
    </w:p>
    <w:p w:rsidR="00F505AA" w:rsidRPr="00E72D0C" w:rsidRDefault="00F505AA" w:rsidP="00F505AA">
      <w:pPr>
        <w:autoSpaceDE w:val="0"/>
        <w:autoSpaceDN w:val="0"/>
        <w:adjustRightInd w:val="0"/>
        <w:ind w:left="600"/>
        <w:jc w:val="both"/>
      </w:pPr>
      <w:r w:rsidRPr="00E72D0C">
        <w:t>Δεν εφαρμόζεται</w:t>
      </w:r>
    </w:p>
    <w:p w:rsidR="00F505AA" w:rsidRPr="00E72D0C" w:rsidRDefault="00F505AA" w:rsidP="00F505AA">
      <w:pPr>
        <w:tabs>
          <w:tab w:val="left" w:pos="-1440"/>
          <w:tab w:val="left" w:pos="-720"/>
          <w:tab w:val="left" w:pos="0"/>
        </w:tabs>
        <w:ind w:left="600" w:hanging="600"/>
      </w:pPr>
    </w:p>
    <w:p w:rsidR="00F505AA" w:rsidRPr="00E72D0C" w:rsidRDefault="00F505AA" w:rsidP="00F505AA">
      <w:pPr>
        <w:tabs>
          <w:tab w:val="left" w:pos="-1440"/>
          <w:tab w:val="left" w:pos="-720"/>
          <w:tab w:val="left" w:pos="0"/>
        </w:tabs>
        <w:ind w:left="600" w:hanging="600"/>
        <w:rPr>
          <w:b/>
          <w:bCs/>
        </w:rPr>
      </w:pPr>
      <w:r w:rsidRPr="00E72D0C">
        <w:rPr>
          <w:b/>
          <w:bCs/>
        </w:rPr>
        <w:t>6.3</w:t>
      </w:r>
      <w:r w:rsidRPr="00E72D0C">
        <w:rPr>
          <w:b/>
          <w:bCs/>
        </w:rPr>
        <w:tab/>
        <w:t>Διάρκεια ζωής</w:t>
      </w:r>
    </w:p>
    <w:p w:rsidR="00F505AA" w:rsidRPr="00E72D0C" w:rsidRDefault="00F505AA" w:rsidP="00F505AA">
      <w:pPr>
        <w:tabs>
          <w:tab w:val="left" w:pos="-1440"/>
          <w:tab w:val="left" w:pos="-720"/>
          <w:tab w:val="left" w:pos="0"/>
        </w:tabs>
        <w:ind w:left="600" w:hanging="600"/>
      </w:pPr>
    </w:p>
    <w:p w:rsidR="00F505AA" w:rsidRPr="00E72D0C" w:rsidRDefault="00F505AA" w:rsidP="00F505AA">
      <w:pPr>
        <w:tabs>
          <w:tab w:val="left" w:pos="-1440"/>
          <w:tab w:val="left" w:pos="-720"/>
          <w:tab w:val="left" w:pos="0"/>
        </w:tabs>
        <w:ind w:left="600"/>
      </w:pPr>
      <w:r w:rsidRPr="00E72D0C">
        <w:t>3 χρόνια.</w:t>
      </w:r>
    </w:p>
    <w:p w:rsidR="00F505AA" w:rsidRPr="00E72D0C" w:rsidRDefault="00F505AA" w:rsidP="00F505AA">
      <w:pPr>
        <w:tabs>
          <w:tab w:val="left" w:pos="-1440"/>
          <w:tab w:val="left" w:pos="-720"/>
          <w:tab w:val="left" w:pos="0"/>
        </w:tabs>
        <w:ind w:left="600"/>
      </w:pPr>
    </w:p>
    <w:p w:rsidR="00F505AA" w:rsidRPr="00E72D0C" w:rsidRDefault="00F505AA" w:rsidP="00F505AA">
      <w:pPr>
        <w:tabs>
          <w:tab w:val="left" w:pos="-1440"/>
          <w:tab w:val="left" w:pos="-720"/>
          <w:tab w:val="left" w:pos="0"/>
        </w:tabs>
        <w:ind w:left="600" w:hanging="600"/>
        <w:rPr>
          <w:b/>
          <w:bCs/>
          <w:u w:val="single"/>
        </w:rPr>
      </w:pPr>
      <w:r w:rsidRPr="00E72D0C">
        <w:rPr>
          <w:b/>
          <w:bCs/>
        </w:rPr>
        <w:t>6.4</w:t>
      </w:r>
      <w:r w:rsidRPr="00E72D0C">
        <w:rPr>
          <w:b/>
          <w:bCs/>
        </w:rPr>
        <w:tab/>
        <w:t>Ιδιαίτερες προφυλάξεις κατά τη φύλαξη του προϊόντος</w:t>
      </w:r>
    </w:p>
    <w:p w:rsidR="00F505AA" w:rsidRPr="00E72D0C" w:rsidRDefault="00F505AA" w:rsidP="00F505AA">
      <w:pPr>
        <w:pStyle w:val="3"/>
        <w:spacing w:after="0"/>
        <w:ind w:left="600" w:hanging="600"/>
        <w:rPr>
          <w:sz w:val="22"/>
          <w:szCs w:val="22"/>
          <w:lang w:val="el-GR"/>
        </w:rPr>
      </w:pPr>
    </w:p>
    <w:p w:rsidR="00F505AA" w:rsidRPr="00E72D0C" w:rsidRDefault="00F505AA" w:rsidP="00F505AA">
      <w:pPr>
        <w:pStyle w:val="3"/>
        <w:spacing w:after="0"/>
        <w:ind w:left="600"/>
        <w:rPr>
          <w:sz w:val="22"/>
          <w:szCs w:val="22"/>
          <w:lang w:val="el-GR"/>
        </w:rPr>
      </w:pPr>
      <w:r w:rsidRPr="00E72D0C">
        <w:rPr>
          <w:rFonts w:eastAsia="Times New Roman"/>
          <w:sz w:val="22"/>
          <w:szCs w:val="22"/>
          <w:lang w:val="el-GR"/>
        </w:rPr>
        <w:t xml:space="preserve">Κυψέλη PVC- Polychlorotrifluoroethylene/Αλουμινίου: </w:t>
      </w:r>
      <w:r w:rsidR="00173BD4" w:rsidRPr="00E72D0C">
        <w:rPr>
          <w:rFonts w:eastAsia="Times New Roman"/>
          <w:sz w:val="22"/>
          <w:szCs w:val="22"/>
          <w:lang w:val="el-GR"/>
        </w:rPr>
        <w:t>Φυλάσσετ</w:t>
      </w:r>
      <w:r w:rsidR="00173BD4">
        <w:rPr>
          <w:rFonts w:eastAsia="Times New Roman"/>
          <w:sz w:val="22"/>
          <w:szCs w:val="22"/>
          <w:lang w:val="el-GR"/>
        </w:rPr>
        <w:t>ε</w:t>
      </w:r>
      <w:r w:rsidR="00173BD4" w:rsidRPr="00E72D0C">
        <w:rPr>
          <w:rFonts w:eastAsia="Times New Roman"/>
          <w:sz w:val="22"/>
          <w:szCs w:val="22"/>
          <w:lang w:val="el-GR"/>
        </w:rPr>
        <w:t xml:space="preserve"> </w:t>
      </w:r>
      <w:r w:rsidRPr="00E72D0C">
        <w:rPr>
          <w:rFonts w:eastAsia="Times New Roman"/>
          <w:sz w:val="22"/>
          <w:szCs w:val="22"/>
          <w:lang w:val="el-GR"/>
        </w:rPr>
        <w:t>σε θερμοκρασία μικρότερη των 30</w:t>
      </w:r>
      <w:r w:rsidRPr="00E72D0C">
        <w:rPr>
          <w:rFonts w:eastAsia="Times New Roman"/>
          <w:sz w:val="22"/>
          <w:szCs w:val="22"/>
          <w:vertAlign w:val="superscript"/>
          <w:lang w:val="el-GR"/>
        </w:rPr>
        <w:t>ο</w:t>
      </w:r>
      <w:r w:rsidRPr="00E72D0C">
        <w:rPr>
          <w:rFonts w:eastAsia="Times New Roman"/>
          <w:sz w:val="22"/>
          <w:szCs w:val="22"/>
          <w:lang w:val="el-GR"/>
        </w:rPr>
        <w:t xml:space="preserve">C. </w:t>
      </w:r>
      <w:r w:rsidR="00563B26" w:rsidRPr="00E72D0C">
        <w:rPr>
          <w:rFonts w:eastAsia="Times New Roman"/>
          <w:sz w:val="22"/>
          <w:szCs w:val="22"/>
          <w:lang w:val="el-GR"/>
        </w:rPr>
        <w:t>Φυλάσσετ</w:t>
      </w:r>
      <w:r w:rsidR="00563B26">
        <w:rPr>
          <w:rFonts w:eastAsia="Times New Roman"/>
          <w:sz w:val="22"/>
          <w:szCs w:val="22"/>
          <w:lang w:val="el-GR"/>
        </w:rPr>
        <w:t>ε</w:t>
      </w:r>
      <w:r w:rsidR="00563B26" w:rsidRPr="00E72D0C">
        <w:rPr>
          <w:rFonts w:eastAsia="Times New Roman"/>
          <w:sz w:val="22"/>
          <w:szCs w:val="22"/>
          <w:lang w:val="el-GR"/>
        </w:rPr>
        <w:t xml:space="preserve"> </w:t>
      </w:r>
      <w:r w:rsidRPr="00E72D0C">
        <w:rPr>
          <w:rFonts w:eastAsia="Times New Roman"/>
          <w:sz w:val="22"/>
          <w:szCs w:val="22"/>
          <w:lang w:val="el-GR"/>
        </w:rPr>
        <w:t xml:space="preserve">στην αρχική συσκευασία για να προστατεύεται από την υγρασία. </w:t>
      </w:r>
    </w:p>
    <w:p w:rsidR="00F505AA" w:rsidRPr="00E72D0C" w:rsidRDefault="00F505AA" w:rsidP="00F505AA">
      <w:pPr>
        <w:pStyle w:val="3"/>
        <w:spacing w:after="0"/>
        <w:ind w:left="600"/>
        <w:rPr>
          <w:rFonts w:eastAsia="Times New Roman"/>
          <w:sz w:val="22"/>
          <w:szCs w:val="22"/>
          <w:lang w:val="el-GR"/>
        </w:rPr>
      </w:pPr>
      <w:r w:rsidRPr="00E72D0C">
        <w:rPr>
          <w:sz w:val="22"/>
          <w:szCs w:val="22"/>
          <w:lang w:val="el-GR"/>
        </w:rPr>
        <w:t xml:space="preserve">Φιάλη HDPE: </w:t>
      </w:r>
      <w:r w:rsidR="00563B26" w:rsidRPr="00E72D0C">
        <w:rPr>
          <w:sz w:val="22"/>
          <w:szCs w:val="22"/>
          <w:lang w:val="el-GR"/>
        </w:rPr>
        <w:t>Φυλάσσετ</w:t>
      </w:r>
      <w:r w:rsidR="00563B26">
        <w:rPr>
          <w:sz w:val="22"/>
          <w:szCs w:val="22"/>
          <w:lang w:val="el-GR"/>
        </w:rPr>
        <w:t>ε</w:t>
      </w:r>
      <w:r w:rsidR="00563B26" w:rsidRPr="00E72D0C">
        <w:rPr>
          <w:sz w:val="22"/>
          <w:szCs w:val="22"/>
          <w:lang w:val="el-GR"/>
        </w:rPr>
        <w:t xml:space="preserve"> </w:t>
      </w:r>
      <w:r w:rsidRPr="00E72D0C">
        <w:rPr>
          <w:sz w:val="22"/>
          <w:szCs w:val="22"/>
          <w:lang w:val="el-GR"/>
        </w:rPr>
        <w:t>σε θερμοκρασία μικρότερη των 30</w:t>
      </w:r>
      <w:r w:rsidRPr="00E72D0C">
        <w:rPr>
          <w:sz w:val="22"/>
          <w:szCs w:val="22"/>
          <w:vertAlign w:val="superscript"/>
          <w:lang w:val="el-GR"/>
        </w:rPr>
        <w:t>ο</w:t>
      </w:r>
      <w:r w:rsidRPr="00E72D0C">
        <w:rPr>
          <w:sz w:val="22"/>
          <w:szCs w:val="22"/>
          <w:lang w:val="el-GR"/>
        </w:rPr>
        <w:t xml:space="preserve">C. </w:t>
      </w:r>
      <w:r w:rsidRPr="00E72D0C">
        <w:rPr>
          <w:rFonts w:eastAsia="Times New Roman"/>
          <w:sz w:val="22"/>
          <w:szCs w:val="22"/>
          <w:lang w:val="el-GR"/>
        </w:rPr>
        <w:t xml:space="preserve">Διατηρείτε τη φιάλη καλά κλεισμένη για να προστατεύεται από την υγρασία. </w:t>
      </w:r>
    </w:p>
    <w:p w:rsidR="00F505AA" w:rsidRPr="00E72D0C" w:rsidRDefault="00F505AA" w:rsidP="00F505AA">
      <w:pPr>
        <w:pStyle w:val="3"/>
        <w:spacing w:after="0"/>
        <w:ind w:left="600"/>
        <w:rPr>
          <w:sz w:val="22"/>
          <w:szCs w:val="22"/>
          <w:lang w:val="el-GR"/>
        </w:rPr>
      </w:pPr>
    </w:p>
    <w:p w:rsidR="00F505AA" w:rsidRPr="00E72D0C" w:rsidRDefault="00F505AA" w:rsidP="00F505AA">
      <w:pPr>
        <w:tabs>
          <w:tab w:val="left" w:pos="-1440"/>
          <w:tab w:val="left" w:pos="-720"/>
          <w:tab w:val="left" w:pos="0"/>
        </w:tabs>
        <w:ind w:left="600" w:hanging="600"/>
        <w:rPr>
          <w:b/>
          <w:bCs/>
        </w:rPr>
      </w:pPr>
      <w:r w:rsidRPr="00E72D0C">
        <w:rPr>
          <w:b/>
          <w:bCs/>
        </w:rPr>
        <w:t>6.5</w:t>
      </w:r>
      <w:r w:rsidRPr="00E72D0C">
        <w:rPr>
          <w:b/>
          <w:bCs/>
        </w:rPr>
        <w:tab/>
        <w:t>Φύση και συστατικά του περιέκτη</w:t>
      </w:r>
    </w:p>
    <w:p w:rsidR="00F505AA" w:rsidRPr="00E72D0C" w:rsidRDefault="00F505AA" w:rsidP="00F505AA">
      <w:pPr>
        <w:tabs>
          <w:tab w:val="left" w:pos="-1440"/>
          <w:tab w:val="left" w:pos="-720"/>
        </w:tabs>
        <w:ind w:left="600" w:hanging="600"/>
        <w:rPr>
          <w:u w:val="single"/>
        </w:rPr>
      </w:pPr>
    </w:p>
    <w:p w:rsidR="00F505AA" w:rsidRPr="00E72D0C" w:rsidRDefault="00F505AA" w:rsidP="00F505AA">
      <w:pPr>
        <w:pStyle w:val="3"/>
        <w:spacing w:after="0"/>
        <w:ind w:left="600"/>
        <w:jc w:val="both"/>
        <w:rPr>
          <w:rFonts w:eastAsia="Times New Roman"/>
          <w:sz w:val="22"/>
          <w:szCs w:val="22"/>
          <w:lang w:val="el-GR"/>
        </w:rPr>
      </w:pPr>
      <w:r w:rsidRPr="00E72D0C">
        <w:rPr>
          <w:rFonts w:eastAsia="Times New Roman"/>
          <w:sz w:val="22"/>
          <w:szCs w:val="22"/>
          <w:lang w:val="el-GR"/>
        </w:rPr>
        <w:t>Κυψέλη PVC- Polychlorotrifluoroethylene/Αλουμινίου: Μεγέθη συσκευασίας: 10, 14, 20, 28, 30, 50, 56, 60, 100 και 500 (μόνο για νοσοκομειακή χρήση)</w:t>
      </w:r>
      <w:r w:rsidRPr="00E72D0C">
        <w:rPr>
          <w:rFonts w:eastAsia="Times New Roman"/>
          <w:b/>
          <w:bCs/>
          <w:i/>
          <w:iCs/>
          <w:sz w:val="22"/>
          <w:szCs w:val="22"/>
          <w:lang w:val="el-GR"/>
        </w:rPr>
        <w:t xml:space="preserve"> </w:t>
      </w:r>
      <w:r w:rsidRPr="00E72D0C">
        <w:rPr>
          <w:rFonts w:eastAsia="Times New Roman"/>
          <w:sz w:val="22"/>
          <w:szCs w:val="22"/>
          <w:lang w:val="el-GR"/>
        </w:rPr>
        <w:t>δισκία παρατεταμένης αποδέσμευσης.</w:t>
      </w:r>
    </w:p>
    <w:p w:rsidR="00F505AA" w:rsidRPr="00E72D0C" w:rsidRDefault="00F505AA" w:rsidP="00F505AA">
      <w:pPr>
        <w:pStyle w:val="3"/>
        <w:spacing w:after="0"/>
        <w:ind w:left="600"/>
        <w:jc w:val="both"/>
        <w:rPr>
          <w:rFonts w:eastAsia="Times New Roman"/>
          <w:sz w:val="22"/>
          <w:szCs w:val="22"/>
          <w:lang w:val="el-GR"/>
        </w:rPr>
      </w:pPr>
      <w:r w:rsidRPr="00E72D0C">
        <w:rPr>
          <w:rFonts w:eastAsia="Times New Roman"/>
          <w:sz w:val="22"/>
          <w:szCs w:val="22"/>
          <w:lang w:val="el-GR"/>
        </w:rPr>
        <w:t>Φιάλη HDPE με αποξηραντικό από πήγμα οξειδίου του πυριτίου που περιλαμβάνεται στο πώμα: Μεγέθη συσκευασίας: 10, 14, 20, 28, 30, 50, 56, 60, 100 και 500 (μόνο για νοσοκομειακή χρήση)</w:t>
      </w:r>
      <w:r w:rsidRPr="00E72D0C">
        <w:rPr>
          <w:rFonts w:eastAsia="Times New Roman"/>
          <w:b/>
          <w:bCs/>
          <w:i/>
          <w:iCs/>
          <w:sz w:val="22"/>
          <w:szCs w:val="22"/>
          <w:lang w:val="el-GR"/>
        </w:rPr>
        <w:t xml:space="preserve"> </w:t>
      </w:r>
      <w:r w:rsidRPr="00E72D0C">
        <w:rPr>
          <w:rFonts w:eastAsia="Times New Roman"/>
          <w:sz w:val="22"/>
          <w:szCs w:val="22"/>
          <w:lang w:val="el-GR"/>
        </w:rPr>
        <w:t>δισκία παρατεταμένης αποδέσμευσης.</w:t>
      </w:r>
    </w:p>
    <w:p w:rsidR="00F505AA" w:rsidRPr="00E72D0C" w:rsidRDefault="00F505AA" w:rsidP="00F505AA">
      <w:pPr>
        <w:tabs>
          <w:tab w:val="left" w:pos="-1440"/>
          <w:tab w:val="left" w:pos="-720"/>
        </w:tabs>
        <w:ind w:left="600"/>
      </w:pPr>
    </w:p>
    <w:p w:rsidR="00F505AA" w:rsidRPr="00E72D0C" w:rsidRDefault="00F505AA" w:rsidP="00F505AA">
      <w:pPr>
        <w:tabs>
          <w:tab w:val="left" w:pos="-1440"/>
          <w:tab w:val="left" w:pos="-720"/>
        </w:tabs>
        <w:ind w:left="600"/>
      </w:pPr>
      <w:r w:rsidRPr="00E72D0C">
        <w:t>Μπορεί να μην κυκλοφορούν όλες οι συσκευασίες.</w:t>
      </w:r>
    </w:p>
    <w:p w:rsidR="00F505AA" w:rsidRPr="00E72D0C" w:rsidRDefault="00F505AA" w:rsidP="00F505AA">
      <w:pPr>
        <w:tabs>
          <w:tab w:val="left" w:pos="-1440"/>
          <w:tab w:val="left" w:pos="-720"/>
        </w:tabs>
        <w:ind w:left="600" w:hanging="600"/>
      </w:pPr>
    </w:p>
    <w:p w:rsidR="00F505AA" w:rsidRPr="00E72D0C" w:rsidRDefault="00F505AA" w:rsidP="00F505AA">
      <w:pPr>
        <w:tabs>
          <w:tab w:val="left" w:pos="-1440"/>
          <w:tab w:val="left" w:pos="-720"/>
          <w:tab w:val="left" w:pos="0"/>
        </w:tabs>
        <w:ind w:left="600" w:hanging="600"/>
        <w:rPr>
          <w:b/>
          <w:bCs/>
        </w:rPr>
      </w:pPr>
      <w:r w:rsidRPr="00E72D0C">
        <w:rPr>
          <w:b/>
          <w:bCs/>
        </w:rPr>
        <w:t>6.6</w:t>
      </w:r>
      <w:r w:rsidRPr="00E72D0C">
        <w:rPr>
          <w:b/>
          <w:bCs/>
        </w:rPr>
        <w:tab/>
        <w:t>Ειδικές προφυλάξεις απόρριψης και άλλος χειρισμός</w:t>
      </w:r>
    </w:p>
    <w:p w:rsidR="00F505AA" w:rsidRPr="00E72D0C" w:rsidRDefault="00F505AA" w:rsidP="00F505AA">
      <w:pPr>
        <w:tabs>
          <w:tab w:val="left" w:pos="-1440"/>
          <w:tab w:val="left" w:pos="-720"/>
        </w:tabs>
        <w:ind w:left="600" w:hanging="600"/>
      </w:pPr>
    </w:p>
    <w:p w:rsidR="00F505AA" w:rsidRPr="00E72D0C" w:rsidRDefault="00F505AA" w:rsidP="00F505AA">
      <w:pPr>
        <w:tabs>
          <w:tab w:val="left" w:pos="-1440"/>
          <w:tab w:val="left" w:pos="-720"/>
        </w:tabs>
        <w:ind w:left="600" w:hanging="600"/>
      </w:pPr>
      <w:r w:rsidRPr="00E72D0C">
        <w:tab/>
        <w:t>Καμία ειδική απαίτηση.</w:t>
      </w:r>
    </w:p>
    <w:p w:rsidR="00F505AA" w:rsidRPr="00E72D0C" w:rsidRDefault="00F505AA" w:rsidP="00F505AA">
      <w:pPr>
        <w:tabs>
          <w:tab w:val="left" w:pos="-1440"/>
          <w:tab w:val="left" w:pos="-720"/>
        </w:tabs>
        <w:ind w:left="600" w:hanging="600"/>
      </w:pPr>
    </w:p>
    <w:p w:rsidR="00F505AA" w:rsidRPr="00E72D0C" w:rsidRDefault="00F505AA" w:rsidP="00F505AA">
      <w:pPr>
        <w:tabs>
          <w:tab w:val="left" w:pos="-1440"/>
          <w:tab w:val="left" w:pos="-720"/>
        </w:tabs>
        <w:ind w:left="600" w:hanging="600"/>
      </w:pPr>
    </w:p>
    <w:p w:rsidR="00F505AA" w:rsidRPr="00E72D0C" w:rsidRDefault="00F505AA" w:rsidP="00F505AA">
      <w:pPr>
        <w:tabs>
          <w:tab w:val="left" w:pos="-1440"/>
          <w:tab w:val="left" w:pos="-720"/>
          <w:tab w:val="left" w:pos="0"/>
        </w:tabs>
        <w:ind w:left="600" w:hanging="600"/>
        <w:rPr>
          <w:b/>
          <w:bCs/>
        </w:rPr>
      </w:pPr>
      <w:r w:rsidRPr="00E72D0C">
        <w:rPr>
          <w:b/>
          <w:bCs/>
        </w:rPr>
        <w:t>7.</w:t>
      </w:r>
      <w:r w:rsidRPr="00E72D0C">
        <w:rPr>
          <w:b/>
          <w:bCs/>
        </w:rPr>
        <w:tab/>
        <w:t>ΚΑΤΟΧΟΣ ΤΗΣ ΑΔΕΙΑΣ ΚΥΚΛΟΦΟΡΙΑΣ</w:t>
      </w:r>
    </w:p>
    <w:p w:rsidR="00F505AA" w:rsidRPr="00E72D0C" w:rsidRDefault="00F505AA" w:rsidP="00F505AA">
      <w:pPr>
        <w:tabs>
          <w:tab w:val="left" w:pos="-1440"/>
          <w:tab w:val="left" w:pos="-720"/>
        </w:tabs>
        <w:ind w:left="600" w:hanging="600"/>
        <w:rPr>
          <w:strike/>
        </w:rPr>
      </w:pPr>
    </w:p>
    <w:p w:rsidR="00F505AA" w:rsidRPr="00E72D0C" w:rsidRDefault="00F505AA" w:rsidP="00F505AA">
      <w:pPr>
        <w:tabs>
          <w:tab w:val="left" w:pos="-1440"/>
          <w:tab w:val="left" w:pos="-720"/>
        </w:tabs>
        <w:ind w:left="567"/>
        <w:jc w:val="both"/>
      </w:pPr>
      <w:r w:rsidRPr="00E72D0C">
        <w:rPr>
          <w:lang w:val="es-ES"/>
        </w:rPr>
        <w:t>ITF</w:t>
      </w:r>
      <w:r w:rsidRPr="001A5CC0">
        <w:t xml:space="preserve"> </w:t>
      </w:r>
      <w:r w:rsidRPr="00E72D0C">
        <w:rPr>
          <w:lang w:val="es-ES"/>
        </w:rPr>
        <w:t>HELLAS</w:t>
      </w:r>
      <w:r w:rsidRPr="001A5CC0">
        <w:t xml:space="preserve"> </w:t>
      </w:r>
      <w:r w:rsidRPr="00E72D0C">
        <w:t>Α.Ε.</w:t>
      </w:r>
    </w:p>
    <w:p w:rsidR="00F505AA" w:rsidRPr="00E72D0C" w:rsidRDefault="00F505AA" w:rsidP="00F505AA">
      <w:pPr>
        <w:tabs>
          <w:tab w:val="left" w:pos="-1440"/>
          <w:tab w:val="left" w:pos="-720"/>
        </w:tabs>
        <w:ind w:left="567"/>
        <w:jc w:val="both"/>
      </w:pPr>
      <w:r w:rsidRPr="00E72D0C">
        <w:t>Άρεως 103 &amp; Αγίας Τριάδος 36, 175</w:t>
      </w:r>
      <w:r>
        <w:t xml:space="preserve"> </w:t>
      </w:r>
      <w:r w:rsidRPr="00E72D0C">
        <w:t xml:space="preserve">62 Παλαιό Φάληρο </w:t>
      </w:r>
    </w:p>
    <w:p w:rsidR="00F505AA" w:rsidRPr="00E72D0C" w:rsidRDefault="00F505AA" w:rsidP="00F505AA">
      <w:pPr>
        <w:tabs>
          <w:tab w:val="left" w:pos="-1440"/>
          <w:tab w:val="left" w:pos="-720"/>
        </w:tabs>
        <w:ind w:left="567"/>
        <w:jc w:val="both"/>
      </w:pPr>
      <w:r w:rsidRPr="00E72D0C">
        <w:t>Τηλ.: 210-9373330</w:t>
      </w:r>
    </w:p>
    <w:p w:rsidR="00F505AA" w:rsidRPr="00E72D0C" w:rsidRDefault="00F505AA" w:rsidP="00F505AA">
      <w:pPr>
        <w:tabs>
          <w:tab w:val="left" w:pos="-1440"/>
          <w:tab w:val="left" w:pos="-720"/>
        </w:tabs>
        <w:ind w:left="567"/>
        <w:jc w:val="both"/>
      </w:pPr>
      <w:r w:rsidRPr="00E72D0C">
        <w:rPr>
          <w:lang w:val="en-US"/>
        </w:rPr>
        <w:t>Fax</w:t>
      </w:r>
      <w:r w:rsidRPr="00E72D0C">
        <w:t>: 210-9373339</w:t>
      </w:r>
    </w:p>
    <w:p w:rsidR="00F505AA" w:rsidRPr="00E72D0C" w:rsidRDefault="00F505AA" w:rsidP="00F505AA">
      <w:pPr>
        <w:tabs>
          <w:tab w:val="left" w:pos="-1440"/>
          <w:tab w:val="left" w:pos="-720"/>
        </w:tabs>
        <w:rPr>
          <w:strike/>
        </w:rPr>
      </w:pPr>
    </w:p>
    <w:p w:rsidR="00F505AA" w:rsidRPr="00E72D0C" w:rsidRDefault="00F505AA" w:rsidP="00F505AA">
      <w:pPr>
        <w:tabs>
          <w:tab w:val="left" w:pos="-1440"/>
          <w:tab w:val="left" w:pos="-720"/>
        </w:tabs>
        <w:ind w:left="600" w:hanging="600"/>
        <w:rPr>
          <w:strike/>
        </w:rPr>
      </w:pPr>
    </w:p>
    <w:p w:rsidR="00F505AA" w:rsidRPr="00E72D0C" w:rsidRDefault="00F505AA" w:rsidP="00F505AA">
      <w:pPr>
        <w:tabs>
          <w:tab w:val="left" w:pos="-1440"/>
          <w:tab w:val="left" w:pos="-720"/>
          <w:tab w:val="left" w:pos="0"/>
        </w:tabs>
        <w:ind w:left="600" w:hanging="600"/>
        <w:rPr>
          <w:b/>
          <w:bCs/>
        </w:rPr>
      </w:pPr>
      <w:r w:rsidRPr="00E72D0C">
        <w:rPr>
          <w:b/>
          <w:bCs/>
        </w:rPr>
        <w:t>8.</w:t>
      </w:r>
      <w:r w:rsidRPr="00E72D0C">
        <w:rPr>
          <w:b/>
          <w:bCs/>
        </w:rPr>
        <w:tab/>
        <w:t>ΑΡΙΘΜΟΣ ΑΔΕΙΑΣ ΚΥΚΛΟΦΟΡΙΑΣ</w:t>
      </w:r>
    </w:p>
    <w:p w:rsidR="00F505AA" w:rsidRPr="00EB4B63" w:rsidRDefault="00F505AA" w:rsidP="00F505AA">
      <w:pPr>
        <w:tabs>
          <w:tab w:val="left" w:pos="-1440"/>
          <w:tab w:val="left" w:pos="-720"/>
        </w:tabs>
        <w:ind w:left="600" w:hanging="600"/>
      </w:pPr>
    </w:p>
    <w:p w:rsidR="00BE6950" w:rsidRPr="00EB4B63" w:rsidRDefault="00E51AB2" w:rsidP="00F505AA">
      <w:pPr>
        <w:tabs>
          <w:tab w:val="left" w:pos="-1440"/>
          <w:tab w:val="left" w:pos="-720"/>
        </w:tabs>
        <w:ind w:left="600" w:hanging="600"/>
      </w:pPr>
      <w:r w:rsidRPr="00EB4B63">
        <w:tab/>
        <w:t>29680/20-04-11</w:t>
      </w:r>
    </w:p>
    <w:p w:rsidR="00F505AA" w:rsidRPr="00E72D0C" w:rsidRDefault="00F505AA" w:rsidP="00F505AA">
      <w:pPr>
        <w:tabs>
          <w:tab w:val="left" w:pos="-1440"/>
          <w:tab w:val="left" w:pos="-720"/>
        </w:tabs>
        <w:ind w:left="600" w:hanging="600"/>
      </w:pPr>
    </w:p>
    <w:p w:rsidR="00F505AA" w:rsidRPr="00E72D0C" w:rsidRDefault="00F505AA" w:rsidP="00F505AA">
      <w:pPr>
        <w:tabs>
          <w:tab w:val="left" w:pos="-1440"/>
          <w:tab w:val="left" w:pos="-720"/>
        </w:tabs>
        <w:ind w:left="600" w:hanging="600"/>
      </w:pPr>
    </w:p>
    <w:p w:rsidR="00F505AA" w:rsidRPr="00E72D0C" w:rsidRDefault="00E51AB2" w:rsidP="00F505AA">
      <w:pPr>
        <w:tabs>
          <w:tab w:val="left" w:pos="-1440"/>
          <w:tab w:val="left" w:pos="-720"/>
        </w:tabs>
        <w:ind w:left="600" w:hanging="600"/>
        <w:rPr>
          <w:b/>
          <w:bCs/>
        </w:rPr>
      </w:pPr>
      <w:r>
        <w:rPr>
          <w:b/>
          <w:bCs/>
        </w:rPr>
        <w:t>9.</w:t>
      </w:r>
      <w:r w:rsidR="00F505AA" w:rsidRPr="00E72D0C">
        <w:rPr>
          <w:b/>
          <w:bCs/>
        </w:rPr>
        <w:tab/>
        <w:t>ΗΜΕΡΟΜΗΝΙΑ ΠΡΩΤΗΣ ΕΓΚΡΙΣΗΣ / ΑΝΑΝΕΩΣΗΣ ΤΗΣ ΑΔΕΙΑΣ</w:t>
      </w:r>
    </w:p>
    <w:p w:rsidR="00F505AA" w:rsidRPr="00E72D0C" w:rsidRDefault="00F505AA" w:rsidP="00F505AA">
      <w:pPr>
        <w:tabs>
          <w:tab w:val="left" w:pos="-1440"/>
          <w:tab w:val="left" w:pos="-720"/>
        </w:tabs>
        <w:ind w:left="600" w:hanging="600"/>
      </w:pPr>
    </w:p>
    <w:p w:rsidR="00F505AA" w:rsidRDefault="00563B26" w:rsidP="00F505AA">
      <w:pPr>
        <w:tabs>
          <w:tab w:val="left" w:pos="-1440"/>
          <w:tab w:val="left" w:pos="-720"/>
        </w:tabs>
        <w:ind w:left="600" w:hanging="600"/>
      </w:pPr>
      <w:r>
        <w:tab/>
      </w:r>
      <w:r w:rsidRPr="00563B26">
        <w:t>9-3-2009</w:t>
      </w:r>
    </w:p>
    <w:p w:rsidR="00137690" w:rsidRPr="00563B26" w:rsidRDefault="00137690" w:rsidP="00F505AA">
      <w:pPr>
        <w:tabs>
          <w:tab w:val="left" w:pos="-1440"/>
          <w:tab w:val="left" w:pos="-720"/>
        </w:tabs>
        <w:ind w:left="600" w:hanging="600"/>
      </w:pPr>
    </w:p>
    <w:p w:rsidR="00F505AA" w:rsidRPr="00E72D0C" w:rsidRDefault="00F505AA" w:rsidP="00F505AA">
      <w:pPr>
        <w:tabs>
          <w:tab w:val="left" w:pos="-1440"/>
          <w:tab w:val="left" w:pos="-720"/>
        </w:tabs>
        <w:ind w:left="600" w:hanging="600"/>
      </w:pPr>
    </w:p>
    <w:p w:rsidR="00F505AA" w:rsidRPr="00E72D0C" w:rsidRDefault="00F505AA" w:rsidP="00F505AA">
      <w:pPr>
        <w:tabs>
          <w:tab w:val="left" w:pos="-1440"/>
          <w:tab w:val="left" w:pos="-720"/>
        </w:tabs>
        <w:ind w:left="600" w:hanging="600"/>
        <w:rPr>
          <w:b/>
          <w:bCs/>
        </w:rPr>
      </w:pPr>
      <w:r w:rsidRPr="00E72D0C">
        <w:rPr>
          <w:b/>
          <w:bCs/>
        </w:rPr>
        <w:t>10.</w:t>
      </w:r>
      <w:r w:rsidRPr="00E72D0C">
        <w:rPr>
          <w:b/>
          <w:bCs/>
        </w:rPr>
        <w:tab/>
        <w:t xml:space="preserve">ΗΜΕΡΟΜΗΝΙΑ ΑΝΑΘΕΩΡΗΣΗΣ ΤΟΥ ΚΕΙΜΕΝΟΥ </w:t>
      </w:r>
    </w:p>
    <w:p w:rsidR="00F505AA" w:rsidRPr="00E72D0C" w:rsidRDefault="00F505AA" w:rsidP="00F505AA"/>
    <w:p w:rsidR="00F505AA" w:rsidRPr="00E51AB2" w:rsidRDefault="00184BAC" w:rsidP="009F1F16">
      <w:pPr>
        <w:tabs>
          <w:tab w:val="left" w:pos="567"/>
        </w:tabs>
        <w:jc w:val="both"/>
        <w:rPr>
          <w:bCs/>
          <w:noProof/>
          <w:lang w:val="en-US"/>
        </w:rPr>
      </w:pPr>
      <w:r>
        <w:rPr>
          <w:bCs/>
          <w:noProof/>
        </w:rPr>
        <w:tab/>
      </w:r>
    </w:p>
    <w:p w:rsidR="00F505AA" w:rsidRDefault="00F505AA" w:rsidP="00F505AA">
      <w:pPr>
        <w:jc w:val="both"/>
        <w:rPr>
          <w:bCs/>
          <w:noProof/>
        </w:rPr>
      </w:pPr>
    </w:p>
    <w:p w:rsidR="00525097" w:rsidRPr="009D2F61" w:rsidRDefault="00525097" w:rsidP="00F505AA">
      <w:pPr>
        <w:jc w:val="center"/>
        <w:rPr>
          <w:b/>
          <w:noProof/>
          <w:lang w:val="en-US"/>
        </w:rPr>
      </w:pPr>
    </w:p>
    <w:sectPr w:rsidR="00525097" w:rsidRPr="009D2F61" w:rsidSect="001C4C5D">
      <w:footerReference w:type="default" r:id="rId7"/>
      <w:footerReference w:type="first" r:id="rId8"/>
      <w:endnotePr>
        <w:numFmt w:val="decimal"/>
      </w:endnotePr>
      <w:pgSz w:w="11896" w:h="16834" w:code="9"/>
      <w:pgMar w:top="1134" w:right="1418" w:bottom="1134" w:left="1418" w:header="737"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0ED" w:rsidRDefault="00B320ED">
      <w:r>
        <w:separator/>
      </w:r>
    </w:p>
  </w:endnote>
  <w:endnote w:type="continuationSeparator" w:id="0">
    <w:p w:rsidR="00B320ED" w:rsidRDefault="00B320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Helvetica">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F31" w:rsidRDefault="001C4C5D">
    <w:pPr>
      <w:pStyle w:val="a4"/>
      <w:tabs>
        <w:tab w:val="clear" w:pos="4153"/>
        <w:tab w:val="clear" w:pos="8306"/>
        <w:tab w:val="center" w:pos="4536"/>
        <w:tab w:val="center" w:pos="8930"/>
      </w:tabs>
      <w:jc w:val="center"/>
      <w:rPr>
        <w:rFonts w:ascii="Helvetica" w:hAnsi="Helvetica"/>
        <w:sz w:val="16"/>
        <w:lang w:val="fr-FR"/>
      </w:rPr>
    </w:pPr>
    <w:r>
      <w:rPr>
        <w:rFonts w:ascii="Helvetica" w:hAnsi="Helvetica"/>
        <w:sz w:val="16"/>
        <w:lang w:val="fr-FR"/>
      </w:rPr>
      <w:fldChar w:fldCharType="begin"/>
    </w:r>
    <w:r w:rsidR="002D3F31">
      <w:rPr>
        <w:rFonts w:ascii="Helvetica" w:hAnsi="Helvetica"/>
        <w:sz w:val="16"/>
        <w:lang w:val="fr-FR"/>
      </w:rPr>
      <w:instrText xml:space="preserve">PAGE  </w:instrText>
    </w:r>
    <w:r>
      <w:rPr>
        <w:rFonts w:ascii="Helvetica" w:hAnsi="Helvetica"/>
        <w:sz w:val="16"/>
        <w:lang w:val="fr-FR"/>
      </w:rPr>
      <w:fldChar w:fldCharType="separate"/>
    </w:r>
    <w:r w:rsidR="007E25F6">
      <w:rPr>
        <w:rFonts w:ascii="Helvetica" w:hAnsi="Helvetica"/>
        <w:noProof/>
        <w:sz w:val="16"/>
        <w:lang w:val="fr-FR"/>
      </w:rPr>
      <w:t>15</w:t>
    </w:r>
    <w:r>
      <w:rPr>
        <w:rFonts w:ascii="Helvetica" w:hAnsi="Helvetica"/>
        <w:sz w:val="16"/>
        <w:lang w:val="fr-F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F31" w:rsidRDefault="001C4C5D">
    <w:pPr>
      <w:pStyle w:val="a4"/>
      <w:tabs>
        <w:tab w:val="clear" w:pos="4153"/>
        <w:tab w:val="clear" w:pos="8306"/>
        <w:tab w:val="center" w:pos="4536"/>
        <w:tab w:val="center" w:pos="8930"/>
      </w:tabs>
      <w:jc w:val="center"/>
      <w:rPr>
        <w:rFonts w:ascii="Helvetica" w:hAnsi="Helvetica"/>
        <w:sz w:val="16"/>
        <w:lang w:val="fr-FR"/>
      </w:rPr>
    </w:pPr>
    <w:r>
      <w:rPr>
        <w:rFonts w:ascii="Helvetica" w:hAnsi="Helvetica"/>
        <w:sz w:val="16"/>
        <w:lang w:val="fr-FR"/>
      </w:rPr>
      <w:fldChar w:fldCharType="begin"/>
    </w:r>
    <w:r w:rsidR="002D3F31">
      <w:rPr>
        <w:rFonts w:ascii="Helvetica" w:hAnsi="Helvetica"/>
        <w:sz w:val="16"/>
        <w:lang w:val="fr-FR"/>
      </w:rPr>
      <w:instrText xml:space="preserve">PAGE  </w:instrText>
    </w:r>
    <w:r>
      <w:rPr>
        <w:rFonts w:ascii="Helvetica" w:hAnsi="Helvetica"/>
        <w:sz w:val="16"/>
        <w:lang w:val="fr-FR"/>
      </w:rPr>
      <w:fldChar w:fldCharType="separate"/>
    </w:r>
    <w:r w:rsidR="007E25F6">
      <w:rPr>
        <w:rFonts w:ascii="Helvetica" w:hAnsi="Helvetica"/>
        <w:noProof/>
        <w:sz w:val="16"/>
        <w:lang w:val="fr-FR"/>
      </w:rPr>
      <w:t>1</w:t>
    </w:r>
    <w:r>
      <w:rPr>
        <w:rFonts w:ascii="Helvetica" w:hAnsi="Helvetica"/>
        <w:sz w:val="16"/>
        <w:lang w:val="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0ED" w:rsidRDefault="00B320ED">
      <w:r>
        <w:separator/>
      </w:r>
    </w:p>
  </w:footnote>
  <w:footnote w:type="continuationSeparator" w:id="0">
    <w:p w:rsidR="00B320ED" w:rsidRDefault="00B320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203A"/>
    <w:multiLevelType w:val="hybridMultilevel"/>
    <w:tmpl w:val="B83691AE"/>
    <w:lvl w:ilvl="0" w:tplc="DAE2987A">
      <w:start w:val="1"/>
      <w:numFmt w:val="bullet"/>
      <w:lvlText w:val=""/>
      <w:lvlJc w:val="left"/>
      <w:pPr>
        <w:tabs>
          <w:tab w:val="num" w:pos="1416"/>
        </w:tabs>
        <w:ind w:left="1416" w:hanging="707"/>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41362612">
      <w:numFmt w:val="bullet"/>
      <w:lvlText w:val="-"/>
      <w:lvlJc w:val="left"/>
      <w:pPr>
        <w:tabs>
          <w:tab w:val="num" w:pos="2160"/>
        </w:tabs>
        <w:ind w:left="2160" w:hanging="360"/>
      </w:pPr>
      <w:rPr>
        <w:rFonts w:ascii="Times New Roman" w:eastAsia="Times New Roman" w:hAnsi="Times New Roman"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B69650B"/>
    <w:multiLevelType w:val="multilevel"/>
    <w:tmpl w:val="2DF2F504"/>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C497905"/>
    <w:multiLevelType w:val="hybridMultilevel"/>
    <w:tmpl w:val="492C8CD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190425F"/>
    <w:multiLevelType w:val="hybridMultilevel"/>
    <w:tmpl w:val="AFCCCE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AA64E37"/>
    <w:multiLevelType w:val="hybridMultilevel"/>
    <w:tmpl w:val="8E4EC9A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3E06736"/>
    <w:multiLevelType w:val="hybridMultilevel"/>
    <w:tmpl w:val="06A662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86C2176"/>
    <w:multiLevelType w:val="multilevel"/>
    <w:tmpl w:val="C102256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56250DA2"/>
    <w:multiLevelType w:val="hybridMultilevel"/>
    <w:tmpl w:val="B81CB7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5EE6746D"/>
    <w:multiLevelType w:val="hybridMultilevel"/>
    <w:tmpl w:val="F612AC2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650B31CA"/>
    <w:multiLevelType w:val="hybridMultilevel"/>
    <w:tmpl w:val="7EA4C0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74D14F35"/>
    <w:multiLevelType w:val="hybridMultilevel"/>
    <w:tmpl w:val="F802F48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7C0527DB"/>
    <w:multiLevelType w:val="hybridMultilevel"/>
    <w:tmpl w:val="83E4372A"/>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8"/>
  </w:num>
  <w:num w:numId="6">
    <w:abstractNumId w:val="0"/>
  </w:num>
  <w:num w:numId="7">
    <w:abstractNumId w:val="4"/>
  </w:num>
  <w:num w:numId="8">
    <w:abstractNumId w:val="3"/>
  </w:num>
  <w:num w:numId="9">
    <w:abstractNumId w:val="13"/>
  </w:num>
  <w:num w:numId="10">
    <w:abstractNumId w:val="10"/>
  </w:num>
  <w:num w:numId="11">
    <w:abstractNumId w:val="12"/>
  </w:num>
  <w:num w:numId="12">
    <w:abstractNumId w:val="9"/>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numFmt w:val="decimal"/>
    <w:endnote w:id="-1"/>
    <w:endnote w:id="0"/>
  </w:endnotePr>
  <w:compat/>
  <w:rsids>
    <w:rsidRoot w:val="00F505AA"/>
    <w:rsid w:val="00005962"/>
    <w:rsid w:val="000718DE"/>
    <w:rsid w:val="00096D8C"/>
    <w:rsid w:val="00122D29"/>
    <w:rsid w:val="0012459C"/>
    <w:rsid w:val="00137690"/>
    <w:rsid w:val="00145F7D"/>
    <w:rsid w:val="00173BD4"/>
    <w:rsid w:val="00184BAC"/>
    <w:rsid w:val="001A5CC0"/>
    <w:rsid w:val="001B6699"/>
    <w:rsid w:val="001B73CC"/>
    <w:rsid w:val="001C4C5D"/>
    <w:rsid w:val="001E1527"/>
    <w:rsid w:val="001F06DC"/>
    <w:rsid w:val="002B1E9A"/>
    <w:rsid w:val="002D2E54"/>
    <w:rsid w:val="002D3F31"/>
    <w:rsid w:val="002D47A0"/>
    <w:rsid w:val="00391FE2"/>
    <w:rsid w:val="003B082D"/>
    <w:rsid w:val="0042287E"/>
    <w:rsid w:val="0042636D"/>
    <w:rsid w:val="004B381B"/>
    <w:rsid w:val="004B57AA"/>
    <w:rsid w:val="00525097"/>
    <w:rsid w:val="0053722F"/>
    <w:rsid w:val="00563B26"/>
    <w:rsid w:val="005860BC"/>
    <w:rsid w:val="005B11FC"/>
    <w:rsid w:val="005B75B6"/>
    <w:rsid w:val="00605A77"/>
    <w:rsid w:val="00670211"/>
    <w:rsid w:val="00696700"/>
    <w:rsid w:val="006F6CD6"/>
    <w:rsid w:val="007360F1"/>
    <w:rsid w:val="00745DBD"/>
    <w:rsid w:val="00751EE1"/>
    <w:rsid w:val="007E25F6"/>
    <w:rsid w:val="00842B6B"/>
    <w:rsid w:val="00863644"/>
    <w:rsid w:val="00963070"/>
    <w:rsid w:val="009660E4"/>
    <w:rsid w:val="009D2D9F"/>
    <w:rsid w:val="009D2F61"/>
    <w:rsid w:val="009F1F16"/>
    <w:rsid w:val="00AB4E1C"/>
    <w:rsid w:val="00AC6A54"/>
    <w:rsid w:val="00AF29FD"/>
    <w:rsid w:val="00B320ED"/>
    <w:rsid w:val="00B415AD"/>
    <w:rsid w:val="00B67E74"/>
    <w:rsid w:val="00B81155"/>
    <w:rsid w:val="00B85C43"/>
    <w:rsid w:val="00B87D0A"/>
    <w:rsid w:val="00BE3222"/>
    <w:rsid w:val="00BE6950"/>
    <w:rsid w:val="00CB1410"/>
    <w:rsid w:val="00CC3A5D"/>
    <w:rsid w:val="00DB28AA"/>
    <w:rsid w:val="00DF78BA"/>
    <w:rsid w:val="00E21D0F"/>
    <w:rsid w:val="00E51AB2"/>
    <w:rsid w:val="00E657E6"/>
    <w:rsid w:val="00EB2D85"/>
    <w:rsid w:val="00EB4B63"/>
    <w:rsid w:val="00EB5ECB"/>
    <w:rsid w:val="00F505AA"/>
    <w:rsid w:val="00F579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5AA"/>
    <w:pPr>
      <w:widowControl w:val="0"/>
    </w:pPr>
    <w:rPr>
      <w:rFonts w:ascii="Times New Roman" w:eastAsia="Times New Roman" w:hAnsi="Times New Roman"/>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505AA"/>
    <w:pPr>
      <w:tabs>
        <w:tab w:val="center" w:pos="4153"/>
        <w:tab w:val="right" w:pos="8306"/>
      </w:tabs>
    </w:pPr>
  </w:style>
  <w:style w:type="character" w:customStyle="1" w:styleId="Char">
    <w:name w:val="Κεφαλίδα Char"/>
    <w:basedOn w:val="a0"/>
    <w:link w:val="a3"/>
    <w:rsid w:val="00F505AA"/>
    <w:rPr>
      <w:rFonts w:ascii="Times New Roman" w:eastAsia="Times New Roman" w:hAnsi="Times New Roman" w:cs="Times New Roman"/>
      <w:szCs w:val="20"/>
    </w:rPr>
  </w:style>
  <w:style w:type="paragraph" w:styleId="a4">
    <w:name w:val="footer"/>
    <w:basedOn w:val="a"/>
    <w:link w:val="Char0"/>
    <w:rsid w:val="00F505AA"/>
    <w:pPr>
      <w:tabs>
        <w:tab w:val="center" w:pos="4153"/>
        <w:tab w:val="right" w:pos="8306"/>
      </w:tabs>
    </w:pPr>
  </w:style>
  <w:style w:type="character" w:customStyle="1" w:styleId="Char0">
    <w:name w:val="Υποσέλιδο Char"/>
    <w:basedOn w:val="a0"/>
    <w:link w:val="a4"/>
    <w:rsid w:val="00F505AA"/>
    <w:rPr>
      <w:rFonts w:ascii="Times New Roman" w:eastAsia="Times New Roman" w:hAnsi="Times New Roman" w:cs="Times New Roman"/>
      <w:szCs w:val="20"/>
    </w:rPr>
  </w:style>
  <w:style w:type="paragraph" w:styleId="a5">
    <w:name w:val="Body Text"/>
    <w:basedOn w:val="a"/>
    <w:link w:val="Char1"/>
    <w:rsid w:val="00F505AA"/>
    <w:pPr>
      <w:widowControl/>
      <w:jc w:val="both"/>
    </w:pPr>
    <w:rPr>
      <w:sz w:val="24"/>
      <w:lang w:val="en-GB" w:eastAsia="it-IT"/>
    </w:rPr>
  </w:style>
  <w:style w:type="character" w:customStyle="1" w:styleId="Char1">
    <w:name w:val="Σώμα κειμένου Char"/>
    <w:basedOn w:val="a0"/>
    <w:link w:val="a5"/>
    <w:rsid w:val="00F505AA"/>
    <w:rPr>
      <w:rFonts w:ascii="Times New Roman" w:eastAsia="Times New Roman" w:hAnsi="Times New Roman" w:cs="Times New Roman"/>
      <w:sz w:val="24"/>
      <w:szCs w:val="20"/>
      <w:lang w:val="en-GB" w:eastAsia="it-IT"/>
    </w:rPr>
  </w:style>
  <w:style w:type="paragraph" w:styleId="3">
    <w:name w:val="Body Text Indent 3"/>
    <w:basedOn w:val="a"/>
    <w:link w:val="3Char"/>
    <w:rsid w:val="00F505AA"/>
    <w:pPr>
      <w:widowControl/>
      <w:spacing w:after="120"/>
      <w:ind w:left="283"/>
    </w:pPr>
    <w:rPr>
      <w:rFonts w:eastAsia="SimSun"/>
      <w:spacing w:val="-3"/>
      <w:sz w:val="16"/>
      <w:szCs w:val="16"/>
      <w:lang w:val="en-GB" w:eastAsia="zh-CN"/>
    </w:rPr>
  </w:style>
  <w:style w:type="character" w:customStyle="1" w:styleId="3Char">
    <w:name w:val="Σώμα κείμενου με εσοχή 3 Char"/>
    <w:basedOn w:val="a0"/>
    <w:link w:val="3"/>
    <w:rsid w:val="00F505AA"/>
    <w:rPr>
      <w:rFonts w:ascii="Times New Roman" w:eastAsia="SimSun" w:hAnsi="Times New Roman" w:cs="Times New Roman"/>
      <w:spacing w:val="-3"/>
      <w:sz w:val="16"/>
      <w:szCs w:val="16"/>
      <w:lang w:val="en-GB" w:eastAsia="zh-CN"/>
    </w:rPr>
  </w:style>
  <w:style w:type="character" w:customStyle="1" w:styleId="tw4winMark">
    <w:name w:val="tw4winMark"/>
    <w:rsid w:val="00F505AA"/>
    <w:rPr>
      <w:rFonts w:ascii="Courier New" w:hAnsi="Courier New" w:cs="Courier New"/>
      <w:vanish/>
      <w:color w:val="800080"/>
      <w:vertAlign w:val="subscript"/>
    </w:rPr>
  </w:style>
  <w:style w:type="paragraph" w:styleId="a6">
    <w:name w:val="Balloon Text"/>
    <w:basedOn w:val="a"/>
    <w:link w:val="Char2"/>
    <w:uiPriority w:val="99"/>
    <w:semiHidden/>
    <w:unhideWhenUsed/>
    <w:rsid w:val="00F505AA"/>
    <w:rPr>
      <w:rFonts w:ascii="Tahoma" w:hAnsi="Tahoma" w:cs="Tahoma"/>
      <w:sz w:val="16"/>
      <w:szCs w:val="16"/>
    </w:rPr>
  </w:style>
  <w:style w:type="character" w:customStyle="1" w:styleId="Char2">
    <w:name w:val="Κείμενο πλαισίου Char"/>
    <w:basedOn w:val="a0"/>
    <w:link w:val="a6"/>
    <w:uiPriority w:val="99"/>
    <w:semiHidden/>
    <w:rsid w:val="00F505AA"/>
    <w:rPr>
      <w:rFonts w:ascii="Tahoma" w:eastAsia="Times New Roman" w:hAnsi="Tahoma" w:cs="Tahoma"/>
      <w:sz w:val="16"/>
      <w:szCs w:val="16"/>
    </w:rPr>
  </w:style>
  <w:style w:type="paragraph" w:styleId="a7">
    <w:name w:val="Title"/>
    <w:basedOn w:val="a"/>
    <w:link w:val="Char3"/>
    <w:qFormat/>
    <w:rsid w:val="00F505AA"/>
    <w:pPr>
      <w:widowControl/>
      <w:tabs>
        <w:tab w:val="center" w:pos="4513"/>
      </w:tabs>
      <w:jc w:val="center"/>
    </w:pPr>
    <w:rPr>
      <w:rFonts w:ascii="Univers" w:hAnsi="Univers"/>
      <w:b/>
      <w:sz w:val="20"/>
      <w:lang w:val="nl-NL" w:eastAsia="es-ES"/>
    </w:rPr>
  </w:style>
  <w:style w:type="character" w:customStyle="1" w:styleId="Char3">
    <w:name w:val="Τίτλος Char"/>
    <w:basedOn w:val="a0"/>
    <w:link w:val="a7"/>
    <w:rsid w:val="00F505AA"/>
    <w:rPr>
      <w:rFonts w:ascii="Univers" w:eastAsia="Times New Roman" w:hAnsi="Univers" w:cs="Times New Roman"/>
      <w:b/>
      <w:sz w:val="20"/>
      <w:szCs w:val="20"/>
      <w:lang w:val="nl-NL" w:eastAsia="es-ES"/>
    </w:rPr>
  </w:style>
  <w:style w:type="paragraph" w:customStyle="1" w:styleId="WfxFaxNum">
    <w:name w:val="WfxFaxNum"/>
    <w:basedOn w:val="a"/>
    <w:rsid w:val="00F505AA"/>
    <w:pPr>
      <w:widowControl/>
    </w:pPr>
    <w:rPr>
      <w:sz w:val="20"/>
      <w:lang w:val="es-ES_tradnl"/>
    </w:rPr>
  </w:style>
  <w:style w:type="paragraph" w:customStyle="1" w:styleId="Style1">
    <w:name w:val="Style 1"/>
    <w:basedOn w:val="a"/>
    <w:rsid w:val="00F505AA"/>
    <w:pPr>
      <w:autoSpaceDE w:val="0"/>
      <w:autoSpaceDN w:val="0"/>
      <w:adjustRightInd w:val="0"/>
    </w:pPr>
    <w:rPr>
      <w:sz w:val="20"/>
      <w:lang w:val="en-US" w:eastAsia="da-DK"/>
    </w:rPr>
  </w:style>
  <w:style w:type="paragraph" w:customStyle="1" w:styleId="Default">
    <w:name w:val="Default"/>
    <w:rsid w:val="00F505AA"/>
    <w:pPr>
      <w:autoSpaceDE w:val="0"/>
      <w:autoSpaceDN w:val="0"/>
      <w:adjustRightInd w:val="0"/>
    </w:pPr>
    <w:rPr>
      <w:rFonts w:ascii="Times New Roman" w:eastAsia="SimSun" w:hAnsi="Times New Roman"/>
      <w:color w:val="000000"/>
      <w:sz w:val="24"/>
      <w:szCs w:val="24"/>
      <w:lang w:val="de-DE" w:eastAsia="de-DE"/>
    </w:rPr>
  </w:style>
  <w:style w:type="character" w:styleId="a8">
    <w:name w:val="annotation reference"/>
    <w:basedOn w:val="a0"/>
    <w:uiPriority w:val="99"/>
    <w:semiHidden/>
    <w:unhideWhenUsed/>
    <w:rsid w:val="00173BD4"/>
    <w:rPr>
      <w:sz w:val="16"/>
      <w:szCs w:val="16"/>
    </w:rPr>
  </w:style>
  <w:style w:type="paragraph" w:styleId="a9">
    <w:name w:val="annotation text"/>
    <w:basedOn w:val="a"/>
    <w:link w:val="Char4"/>
    <w:uiPriority w:val="99"/>
    <w:semiHidden/>
    <w:unhideWhenUsed/>
    <w:rsid w:val="00173BD4"/>
    <w:rPr>
      <w:sz w:val="20"/>
    </w:rPr>
  </w:style>
  <w:style w:type="character" w:customStyle="1" w:styleId="Char4">
    <w:name w:val="Κείμενο σχολίου Char"/>
    <w:basedOn w:val="a0"/>
    <w:link w:val="a9"/>
    <w:uiPriority w:val="99"/>
    <w:semiHidden/>
    <w:rsid w:val="00173BD4"/>
    <w:rPr>
      <w:rFonts w:ascii="Times New Roman" w:eastAsia="Times New Roman" w:hAnsi="Times New Roman"/>
      <w:lang w:eastAsia="en-US"/>
    </w:rPr>
  </w:style>
  <w:style w:type="paragraph" w:styleId="aa">
    <w:name w:val="annotation subject"/>
    <w:basedOn w:val="a9"/>
    <w:next w:val="a9"/>
    <w:link w:val="Char5"/>
    <w:uiPriority w:val="99"/>
    <w:semiHidden/>
    <w:unhideWhenUsed/>
    <w:rsid w:val="00173BD4"/>
    <w:rPr>
      <w:b/>
      <w:bCs/>
    </w:rPr>
  </w:style>
  <w:style w:type="character" w:customStyle="1" w:styleId="Char5">
    <w:name w:val="Θέμα σχολίου Char"/>
    <w:basedOn w:val="Char4"/>
    <w:link w:val="aa"/>
    <w:uiPriority w:val="99"/>
    <w:semiHidden/>
    <w:rsid w:val="00173BD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7009</Words>
  <Characters>37853</Characters>
  <Application>Microsoft Office Word</Application>
  <DocSecurity>0</DocSecurity>
  <Lines>315</Lines>
  <Paragraphs>89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vestaki</dc:creator>
  <cp:lastModifiedBy>user146</cp:lastModifiedBy>
  <cp:revision>3</cp:revision>
  <dcterms:created xsi:type="dcterms:W3CDTF">2013-01-08T12:06:00Z</dcterms:created>
  <dcterms:modified xsi:type="dcterms:W3CDTF">2013-01-23T11:29:00Z</dcterms:modified>
</cp:coreProperties>
</file>