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2A" w:rsidRDefault="00AF0E2A" w:rsidP="006718E7">
      <w:pPr>
        <w:jc w:val="both"/>
        <w:rPr>
          <w:b/>
          <w:noProof/>
        </w:rPr>
      </w:pPr>
    </w:p>
    <w:p w:rsidR="003A51E5" w:rsidRPr="00E9496F" w:rsidRDefault="00AF0E2A" w:rsidP="003A51E5">
      <w:pPr>
        <w:jc w:val="center"/>
        <w:rPr>
          <w:b/>
          <w:noProof/>
        </w:rPr>
      </w:pPr>
      <w:r>
        <w:rPr>
          <w:b/>
          <w:noProof/>
        </w:rPr>
        <w:t>ΠΕΡΙΛΗΨΗ ΤΩΝ ΧΑΡΑΚΤΗΡΙΣΤΙΚΩΝ ΤΟΥ ΠΡΟΪΟΝΤΟΣ</w:t>
      </w:r>
    </w:p>
    <w:p w:rsidR="003A51E5" w:rsidRPr="00E9496F" w:rsidRDefault="003A51E5" w:rsidP="003A51E5">
      <w:pPr>
        <w:jc w:val="center"/>
        <w:rPr>
          <w:b/>
          <w:noProof/>
        </w:rPr>
      </w:pPr>
    </w:p>
    <w:p w:rsidR="00AF0E2A" w:rsidRDefault="00AF0E2A" w:rsidP="008365DC">
      <w:pPr>
        <w:jc w:val="both"/>
        <w:rPr>
          <w:noProof/>
        </w:rPr>
      </w:pPr>
      <w:r>
        <w:rPr>
          <w:b/>
          <w:noProof/>
        </w:rPr>
        <w:t>1.</w:t>
      </w:r>
      <w:r>
        <w:rPr>
          <w:b/>
          <w:noProof/>
        </w:rPr>
        <w:tab/>
        <w:t>ΟΝΟΜΑΣΙΑ ΤΟΥ ΦΑΡΜΑΚΕΥΤΙΚΟΥ ΠΡΟΪΟΝΤΟΣ</w:t>
      </w:r>
    </w:p>
    <w:p w:rsidR="00AF0E2A" w:rsidRDefault="00AF0E2A" w:rsidP="008365DC">
      <w:pPr>
        <w:jc w:val="both"/>
        <w:rPr>
          <w:noProof/>
        </w:rPr>
      </w:pPr>
    </w:p>
    <w:p w:rsidR="003802C9" w:rsidRPr="003D2E6A" w:rsidRDefault="003802C9" w:rsidP="003802C9">
      <w:pPr>
        <w:jc w:val="both"/>
      </w:pPr>
      <w:proofErr w:type="gramStart"/>
      <w:r>
        <w:rPr>
          <w:lang w:val="en-GB"/>
        </w:rPr>
        <w:t>Ceftriaxone</w:t>
      </w:r>
      <w:r w:rsidRPr="003D2E6A">
        <w:t xml:space="preserve"> </w:t>
      </w:r>
      <w:r>
        <w:rPr>
          <w:lang w:val="en-GB"/>
        </w:rPr>
        <w:t>Kabi</w:t>
      </w:r>
      <w:r>
        <w:t xml:space="preserve"> 2</w:t>
      </w:r>
      <w:r>
        <w:rPr>
          <w:lang w:val="en-GB"/>
        </w:rPr>
        <w:t> g</w:t>
      </w:r>
      <w:r w:rsidRPr="003D2E6A">
        <w:t xml:space="preserve"> </w:t>
      </w:r>
      <w:r>
        <w:t>σκόνη για την παρασκευή διαλύματος για έγχυση.</w:t>
      </w:r>
      <w:proofErr w:type="gramEnd"/>
    </w:p>
    <w:p w:rsidR="00AF0E2A" w:rsidRPr="00E9496F" w:rsidRDefault="00AF0E2A" w:rsidP="008365DC">
      <w:pPr>
        <w:jc w:val="both"/>
        <w:rPr>
          <w:noProof/>
        </w:rPr>
      </w:pPr>
    </w:p>
    <w:p w:rsidR="00AF0E2A" w:rsidRPr="003D2E6A" w:rsidRDefault="00AF0E2A" w:rsidP="008365DC">
      <w:pPr>
        <w:jc w:val="both"/>
        <w:rPr>
          <w:noProof/>
        </w:rPr>
      </w:pPr>
    </w:p>
    <w:p w:rsidR="00AF0E2A" w:rsidRDefault="00AF0E2A" w:rsidP="008365DC">
      <w:pPr>
        <w:jc w:val="both"/>
        <w:rPr>
          <w:noProof/>
        </w:rPr>
      </w:pPr>
      <w:r>
        <w:rPr>
          <w:b/>
          <w:noProof/>
        </w:rPr>
        <w:t>2.</w:t>
      </w:r>
      <w:r>
        <w:rPr>
          <w:b/>
          <w:noProof/>
        </w:rPr>
        <w:tab/>
        <w:t>ΠΟΙΟΤΙΚΗ ΚΑΙ ΠΟΣΟΤΙΚΗ ΣΥΝΘΕΣΗ</w:t>
      </w:r>
    </w:p>
    <w:p w:rsidR="00AF0E2A" w:rsidRPr="00AF0E2A" w:rsidRDefault="00AF0E2A" w:rsidP="008365DC">
      <w:pPr>
        <w:jc w:val="both"/>
        <w:rPr>
          <w:noProof/>
        </w:rPr>
      </w:pPr>
    </w:p>
    <w:p w:rsidR="003802C9" w:rsidRPr="005B377E" w:rsidRDefault="003802C9" w:rsidP="003802C9">
      <w:pPr>
        <w:spacing w:line="260" w:lineRule="auto"/>
        <w:jc w:val="both"/>
      </w:pPr>
      <w:r>
        <w:t>Κάθε</w:t>
      </w:r>
      <w:r w:rsidRPr="003D2E6A">
        <w:t xml:space="preserve"> </w:t>
      </w:r>
      <w:r>
        <w:t>φιαλίδιο</w:t>
      </w:r>
      <w:r w:rsidRPr="003D2E6A">
        <w:t xml:space="preserve"> </w:t>
      </w:r>
      <w:r>
        <w:t>σκόνης</w:t>
      </w:r>
      <w:r w:rsidRPr="003D2E6A">
        <w:t xml:space="preserve"> </w:t>
      </w:r>
      <w:r>
        <w:t>για</w:t>
      </w:r>
      <w:r w:rsidRPr="003D2E6A">
        <w:t xml:space="preserve"> </w:t>
      </w:r>
      <w:r>
        <w:t>την</w:t>
      </w:r>
      <w:r w:rsidRPr="003D2E6A">
        <w:t xml:space="preserve"> </w:t>
      </w:r>
      <w:r>
        <w:t>παρασκευή</w:t>
      </w:r>
      <w:r w:rsidRPr="003D2E6A">
        <w:t xml:space="preserve"> </w:t>
      </w:r>
      <w:r>
        <w:t>διαλύματος</w:t>
      </w:r>
      <w:r w:rsidRPr="003D2E6A">
        <w:t xml:space="preserve"> </w:t>
      </w:r>
      <w:r>
        <w:t>για έγχυση περιέχει</w:t>
      </w:r>
      <w:r w:rsidRPr="003D2E6A">
        <w:t xml:space="preserve"> </w:t>
      </w:r>
      <w:r>
        <w:rPr>
          <w:lang w:val="en-GB"/>
        </w:rPr>
        <w:t>ceftriaxone</w:t>
      </w:r>
      <w:r w:rsidRPr="003D2E6A">
        <w:t xml:space="preserve"> </w:t>
      </w:r>
      <w:r>
        <w:rPr>
          <w:lang w:val="en-GB"/>
        </w:rPr>
        <w:t>sodium</w:t>
      </w:r>
      <w:r w:rsidRPr="003D2E6A">
        <w:t xml:space="preserve"> </w:t>
      </w:r>
      <w:r>
        <w:t>ισοδύναμο</w:t>
      </w:r>
      <w:r w:rsidRPr="003D2E6A">
        <w:t xml:space="preserve"> </w:t>
      </w:r>
      <w:r>
        <w:t>με 2</w:t>
      </w:r>
      <w:r>
        <w:rPr>
          <w:lang w:val="en-GB"/>
        </w:rPr>
        <w:t> g</w:t>
      </w:r>
      <w:r w:rsidRPr="003D2E6A">
        <w:t xml:space="preserve"> </w:t>
      </w:r>
      <w:r>
        <w:t>κεφτριαξόνης</w:t>
      </w:r>
      <w:r w:rsidRPr="005B377E">
        <w:t>.</w:t>
      </w:r>
    </w:p>
    <w:p w:rsidR="003D2E6A" w:rsidRPr="00E9496F" w:rsidRDefault="003802C9" w:rsidP="008365DC">
      <w:pPr>
        <w:spacing w:line="260" w:lineRule="auto"/>
        <w:jc w:val="both"/>
      </w:pPr>
      <w:r>
        <w:t xml:space="preserve">Περιεκτικότητα σε νάτριο: </w:t>
      </w:r>
      <w:r w:rsidRPr="00225529">
        <w:rPr>
          <w:szCs w:val="22"/>
        </w:rPr>
        <w:t xml:space="preserve">166 </w:t>
      </w:r>
      <w:r>
        <w:rPr>
          <w:lang w:val="en-US"/>
        </w:rPr>
        <w:t>mg</w:t>
      </w:r>
      <w:r>
        <w:t xml:space="preserve"> (ισοδύναμο με </w:t>
      </w:r>
      <w:r w:rsidRPr="00225529">
        <w:rPr>
          <w:szCs w:val="22"/>
        </w:rPr>
        <w:t xml:space="preserve">7.2 </w:t>
      </w:r>
      <w:r>
        <w:rPr>
          <w:lang w:val="en-US"/>
        </w:rPr>
        <w:t>mmol</w:t>
      </w:r>
      <w:r w:rsidRPr="003D2E6A">
        <w:t>).</w:t>
      </w:r>
    </w:p>
    <w:p w:rsidR="003802C9" w:rsidRPr="00E9496F" w:rsidRDefault="003802C9" w:rsidP="008365DC">
      <w:pPr>
        <w:spacing w:line="260" w:lineRule="auto"/>
        <w:jc w:val="both"/>
      </w:pPr>
    </w:p>
    <w:p w:rsidR="003D2E6A" w:rsidRDefault="003D2E6A" w:rsidP="008365DC">
      <w:pPr>
        <w:spacing w:line="260" w:lineRule="auto"/>
        <w:jc w:val="both"/>
      </w:pPr>
      <w:r>
        <w:t xml:space="preserve">Τα προϊόντα δεν περιέχουν έκδοχα ή συντηρητικά. </w:t>
      </w:r>
    </w:p>
    <w:p w:rsidR="00AF0E2A" w:rsidRPr="009430CD" w:rsidRDefault="00AF0E2A" w:rsidP="008365DC">
      <w:pPr>
        <w:jc w:val="both"/>
        <w:rPr>
          <w:noProof/>
        </w:rPr>
      </w:pPr>
    </w:p>
    <w:p w:rsidR="00AF0E2A" w:rsidRPr="00AF4466" w:rsidRDefault="00AF0E2A" w:rsidP="008365DC">
      <w:pPr>
        <w:jc w:val="both"/>
        <w:rPr>
          <w:noProof/>
        </w:rPr>
      </w:pPr>
      <w:r w:rsidRPr="00AF4466">
        <w:rPr>
          <w:b/>
          <w:noProof/>
        </w:rPr>
        <w:t>3.</w:t>
      </w:r>
      <w:r w:rsidRPr="00AF4466">
        <w:rPr>
          <w:b/>
          <w:noProof/>
        </w:rPr>
        <w:tab/>
      </w:r>
      <w:r>
        <w:rPr>
          <w:b/>
          <w:noProof/>
        </w:rPr>
        <w:t>ΦΑΡΜΑΚΟΤΕΧΝΙΚΗ</w:t>
      </w:r>
      <w:r w:rsidRPr="00AF4466">
        <w:rPr>
          <w:b/>
          <w:noProof/>
        </w:rPr>
        <w:t xml:space="preserve"> </w:t>
      </w:r>
      <w:r>
        <w:rPr>
          <w:b/>
          <w:noProof/>
        </w:rPr>
        <w:t>ΜΟΡΦΗ</w:t>
      </w:r>
    </w:p>
    <w:p w:rsidR="00AF0E2A" w:rsidRPr="00AF4466" w:rsidRDefault="00AF0E2A" w:rsidP="008365DC">
      <w:pPr>
        <w:jc w:val="both"/>
        <w:rPr>
          <w:noProof/>
        </w:rPr>
      </w:pPr>
    </w:p>
    <w:p w:rsidR="003D2E6A" w:rsidRDefault="003D2E6A" w:rsidP="008365DC">
      <w:pPr>
        <w:jc w:val="both"/>
      </w:pPr>
      <w:r>
        <w:t>Σκόνη</w:t>
      </w:r>
      <w:r w:rsidRPr="00AF4466">
        <w:t xml:space="preserve"> </w:t>
      </w:r>
      <w:r>
        <w:t>για</w:t>
      </w:r>
      <w:r w:rsidRPr="00AF4466">
        <w:t xml:space="preserve"> </w:t>
      </w:r>
      <w:r>
        <w:t>την</w:t>
      </w:r>
      <w:r w:rsidRPr="00AF4466">
        <w:t xml:space="preserve"> </w:t>
      </w:r>
      <w:r>
        <w:t>παρασκευή</w:t>
      </w:r>
      <w:r w:rsidRPr="00AF4466">
        <w:t xml:space="preserve"> </w:t>
      </w:r>
      <w:r w:rsidR="003802C9">
        <w:t>διαλύματος για έγχυση.</w:t>
      </w:r>
      <w:r w:rsidRPr="00AF4466">
        <w:t xml:space="preserve">  </w:t>
      </w:r>
    </w:p>
    <w:p w:rsidR="003D2E6A" w:rsidRPr="003D2E6A" w:rsidRDefault="003D2E6A" w:rsidP="008365DC">
      <w:pPr>
        <w:jc w:val="both"/>
      </w:pPr>
    </w:p>
    <w:p w:rsidR="003D2E6A" w:rsidRPr="003D2E6A" w:rsidRDefault="003D2E6A" w:rsidP="008365DC">
      <w:pPr>
        <w:jc w:val="both"/>
      </w:pPr>
      <w:r>
        <w:t>Τα</w:t>
      </w:r>
      <w:r w:rsidRPr="003D2E6A">
        <w:t xml:space="preserve"> </w:t>
      </w:r>
      <w:r>
        <w:t>φιαλίδια</w:t>
      </w:r>
      <w:r w:rsidRPr="003D2E6A">
        <w:t xml:space="preserve"> </w:t>
      </w:r>
      <w:r>
        <w:t>περιέχουν</w:t>
      </w:r>
      <w:r w:rsidRPr="003D2E6A">
        <w:t xml:space="preserve"> </w:t>
      </w:r>
      <w:r w:rsidR="009430CD">
        <w:t xml:space="preserve">μια </w:t>
      </w:r>
      <w:r>
        <w:t>άσπρη</w:t>
      </w:r>
      <w:r w:rsidRPr="003D2E6A">
        <w:t xml:space="preserve"> </w:t>
      </w:r>
      <w:r>
        <w:t xml:space="preserve">έως υποκίτρινη σκόνη. </w:t>
      </w:r>
    </w:p>
    <w:p w:rsidR="00AF0E2A" w:rsidRPr="00E9496F" w:rsidRDefault="00AF0E2A" w:rsidP="008365DC">
      <w:pPr>
        <w:jc w:val="both"/>
        <w:rPr>
          <w:noProof/>
        </w:rPr>
      </w:pPr>
    </w:p>
    <w:p w:rsidR="00AF0E2A" w:rsidRDefault="00AF0E2A" w:rsidP="006718E7">
      <w:pPr>
        <w:rPr>
          <w:noProof/>
        </w:rPr>
      </w:pPr>
      <w:r>
        <w:rPr>
          <w:b/>
          <w:noProof/>
        </w:rPr>
        <w:t>4.</w:t>
      </w:r>
      <w:r>
        <w:rPr>
          <w:b/>
          <w:noProof/>
        </w:rPr>
        <w:tab/>
        <w:t>ΚΛΙΝΙΚΕΣ ΠΛΗΡΟΦΟΡΙΕΣ</w:t>
      </w:r>
    </w:p>
    <w:p w:rsidR="00AF0E2A" w:rsidRDefault="00AF0E2A" w:rsidP="006718E7">
      <w:pPr>
        <w:rPr>
          <w:noProof/>
        </w:rPr>
      </w:pPr>
    </w:p>
    <w:p w:rsidR="00AF0E2A" w:rsidRDefault="00AF0E2A" w:rsidP="006718E7">
      <w:pPr>
        <w:rPr>
          <w:noProof/>
        </w:rPr>
      </w:pPr>
      <w:r>
        <w:rPr>
          <w:b/>
          <w:noProof/>
        </w:rPr>
        <w:t>4.1</w:t>
      </w:r>
      <w:r>
        <w:rPr>
          <w:b/>
          <w:noProof/>
        </w:rPr>
        <w:tab/>
        <w:t>Θεραπευτικές ενδείξεις</w:t>
      </w:r>
    </w:p>
    <w:p w:rsidR="00AF0E2A" w:rsidRDefault="00AF0E2A" w:rsidP="006718E7">
      <w:pPr>
        <w:rPr>
          <w:noProof/>
        </w:rPr>
      </w:pPr>
    </w:p>
    <w:p w:rsidR="009430CD" w:rsidRPr="009430CD" w:rsidRDefault="00E03721" w:rsidP="008365DC">
      <w:pPr>
        <w:widowControl/>
        <w:spacing w:line="260" w:lineRule="auto"/>
        <w:jc w:val="both"/>
      </w:pPr>
      <w:r>
        <w:rPr>
          <w:szCs w:val="22"/>
          <w:lang w:val="en-US"/>
        </w:rPr>
        <w:t>H</w:t>
      </w:r>
      <w:r w:rsidRPr="00E03721">
        <w:rPr>
          <w:szCs w:val="22"/>
        </w:rPr>
        <w:t xml:space="preserve"> </w:t>
      </w:r>
      <w:r>
        <w:rPr>
          <w:szCs w:val="22"/>
        </w:rPr>
        <w:t>κεφτριαξόνη</w:t>
      </w:r>
      <w:r w:rsidR="009430CD" w:rsidRPr="009430CD">
        <w:rPr>
          <w:szCs w:val="22"/>
        </w:rPr>
        <w:t xml:space="preserve"> </w:t>
      </w:r>
      <w:r w:rsidR="009430CD">
        <w:rPr>
          <w:szCs w:val="22"/>
        </w:rPr>
        <w:t>ενδείκνυται</w:t>
      </w:r>
      <w:r w:rsidR="009430CD" w:rsidRPr="009430CD">
        <w:rPr>
          <w:szCs w:val="22"/>
        </w:rPr>
        <w:t xml:space="preserve"> </w:t>
      </w:r>
      <w:r w:rsidR="009430CD">
        <w:rPr>
          <w:szCs w:val="22"/>
        </w:rPr>
        <w:t>για</w:t>
      </w:r>
      <w:r w:rsidR="009430CD" w:rsidRPr="009430CD">
        <w:rPr>
          <w:szCs w:val="22"/>
        </w:rPr>
        <w:t xml:space="preserve"> </w:t>
      </w:r>
      <w:r w:rsidR="009430CD">
        <w:rPr>
          <w:szCs w:val="22"/>
        </w:rPr>
        <w:t>την</w:t>
      </w:r>
      <w:r w:rsidR="009430CD" w:rsidRPr="009430CD">
        <w:rPr>
          <w:szCs w:val="22"/>
        </w:rPr>
        <w:t xml:space="preserve"> </w:t>
      </w:r>
      <w:r w:rsidR="009430CD">
        <w:rPr>
          <w:szCs w:val="22"/>
        </w:rPr>
        <w:t>θεραπεία</w:t>
      </w:r>
      <w:r w:rsidR="009430CD" w:rsidRPr="009430CD">
        <w:rPr>
          <w:szCs w:val="22"/>
        </w:rPr>
        <w:t xml:space="preserve"> </w:t>
      </w:r>
      <w:r w:rsidR="009430CD">
        <w:rPr>
          <w:szCs w:val="22"/>
        </w:rPr>
        <w:t>των</w:t>
      </w:r>
      <w:r w:rsidR="009430CD" w:rsidRPr="009430CD">
        <w:rPr>
          <w:szCs w:val="22"/>
        </w:rPr>
        <w:t xml:space="preserve"> </w:t>
      </w:r>
      <w:r w:rsidR="009430CD">
        <w:rPr>
          <w:szCs w:val="22"/>
        </w:rPr>
        <w:t>παρακάτω</w:t>
      </w:r>
      <w:r w:rsidR="009430CD" w:rsidRPr="009430CD">
        <w:rPr>
          <w:szCs w:val="22"/>
        </w:rPr>
        <w:t xml:space="preserve"> </w:t>
      </w:r>
      <w:r w:rsidR="009430CD">
        <w:rPr>
          <w:szCs w:val="22"/>
        </w:rPr>
        <w:t>λοιμώξεων</w:t>
      </w:r>
      <w:r w:rsidR="009430CD" w:rsidRPr="009430CD">
        <w:rPr>
          <w:szCs w:val="22"/>
        </w:rPr>
        <w:t xml:space="preserve"> </w:t>
      </w:r>
      <w:r w:rsidR="009430CD">
        <w:rPr>
          <w:szCs w:val="22"/>
        </w:rPr>
        <w:t>που</w:t>
      </w:r>
      <w:r w:rsidR="009430CD" w:rsidRPr="009430CD">
        <w:rPr>
          <w:szCs w:val="22"/>
        </w:rPr>
        <w:t xml:space="preserve"> </w:t>
      </w:r>
      <w:r w:rsidR="009430CD">
        <w:rPr>
          <w:szCs w:val="22"/>
        </w:rPr>
        <w:t>προκαλούνται</w:t>
      </w:r>
      <w:r w:rsidR="009430CD" w:rsidRPr="009430CD">
        <w:rPr>
          <w:szCs w:val="22"/>
        </w:rPr>
        <w:t xml:space="preserve"> </w:t>
      </w:r>
      <w:r w:rsidR="009430CD">
        <w:rPr>
          <w:szCs w:val="22"/>
        </w:rPr>
        <w:t xml:space="preserve">από μικροοργανισμούς ευαίσθητους στην κεφτριαξόνη (δείτε το λήμμα 5.1) και στην περίπτωση που η παρεντερική θεραπεία είναι απαραίτητη: </w:t>
      </w:r>
    </w:p>
    <w:p w:rsidR="003D2E6A" w:rsidRPr="009430CD" w:rsidRDefault="003D2E6A" w:rsidP="008365DC">
      <w:pPr>
        <w:widowControl/>
        <w:numPr>
          <w:ilvl w:val="0"/>
          <w:numId w:val="2"/>
        </w:numPr>
        <w:tabs>
          <w:tab w:val="num" w:pos="360"/>
        </w:tabs>
        <w:spacing w:line="260" w:lineRule="auto"/>
        <w:jc w:val="both"/>
      </w:pPr>
      <w:r>
        <w:t>Λοιμώξεις</w:t>
      </w:r>
      <w:r w:rsidRPr="009430CD">
        <w:t xml:space="preserve"> </w:t>
      </w:r>
      <w:r>
        <w:t>των</w:t>
      </w:r>
      <w:r w:rsidRPr="009430CD">
        <w:t xml:space="preserve"> </w:t>
      </w:r>
      <w:r w:rsidRPr="003D2E6A">
        <w:t>οφθαλμών</w:t>
      </w:r>
      <w:r w:rsidRPr="009430CD">
        <w:t xml:space="preserve">, </w:t>
      </w:r>
      <w:r w:rsidRPr="003D2E6A">
        <w:t>ρινός</w:t>
      </w:r>
      <w:r w:rsidRPr="009430CD">
        <w:t xml:space="preserve"> </w:t>
      </w:r>
      <w:r w:rsidRPr="003D2E6A">
        <w:t>και</w:t>
      </w:r>
      <w:r w:rsidRPr="009430CD">
        <w:t xml:space="preserve"> </w:t>
      </w:r>
      <w:r w:rsidRPr="003D2E6A">
        <w:t>λαιμού</w:t>
      </w:r>
    </w:p>
    <w:p w:rsidR="003D2E6A" w:rsidRPr="001D1D93" w:rsidRDefault="003D2E6A" w:rsidP="008365DC">
      <w:pPr>
        <w:widowControl/>
        <w:numPr>
          <w:ilvl w:val="0"/>
          <w:numId w:val="2"/>
        </w:numPr>
        <w:tabs>
          <w:tab w:val="num" w:pos="360"/>
        </w:tabs>
        <w:spacing w:line="260" w:lineRule="auto"/>
        <w:jc w:val="both"/>
        <w:rPr>
          <w:lang w:val="en-GB"/>
        </w:rPr>
      </w:pPr>
      <w:r>
        <w:t>Λοιμώξεις</w:t>
      </w:r>
      <w:r w:rsidRPr="003D2E6A">
        <w:rPr>
          <w:lang w:val="en-US"/>
        </w:rPr>
        <w:t xml:space="preserve"> </w:t>
      </w:r>
      <w:r w:rsidR="00C41AC2">
        <w:t>του κατώτερου αναπνευστικού συστήματος</w:t>
      </w:r>
    </w:p>
    <w:p w:rsidR="003D2E6A" w:rsidRPr="00C41AC2" w:rsidRDefault="00C41AC2" w:rsidP="008365DC">
      <w:pPr>
        <w:widowControl/>
        <w:numPr>
          <w:ilvl w:val="0"/>
          <w:numId w:val="2"/>
        </w:numPr>
        <w:tabs>
          <w:tab w:val="num" w:pos="360"/>
        </w:tabs>
        <w:spacing w:line="260" w:lineRule="auto"/>
        <w:jc w:val="both"/>
      </w:pPr>
      <w:r>
        <w:t>Λοιμώξεις</w:t>
      </w:r>
      <w:r w:rsidRPr="00C41AC2">
        <w:t xml:space="preserve"> </w:t>
      </w:r>
      <w:r>
        <w:t>του</w:t>
      </w:r>
      <w:r w:rsidRPr="00C41AC2">
        <w:t xml:space="preserve"> </w:t>
      </w:r>
      <w:r>
        <w:t>νεφρού</w:t>
      </w:r>
      <w:r w:rsidRPr="00C41AC2">
        <w:t xml:space="preserve"> </w:t>
      </w:r>
      <w:r>
        <w:t>και</w:t>
      </w:r>
      <w:r w:rsidRPr="00C41AC2">
        <w:t xml:space="preserve"> </w:t>
      </w:r>
      <w:r>
        <w:t>των</w:t>
      </w:r>
      <w:r w:rsidRPr="00C41AC2">
        <w:t xml:space="preserve"> </w:t>
      </w:r>
      <w:r>
        <w:t>ουροφόρων</w:t>
      </w:r>
      <w:r w:rsidRPr="00C41AC2">
        <w:t xml:space="preserve"> </w:t>
      </w:r>
      <w:r>
        <w:t>οδών</w:t>
      </w:r>
      <w:r w:rsidR="003D2E6A" w:rsidRPr="00C41AC2">
        <w:t xml:space="preserve"> </w:t>
      </w:r>
    </w:p>
    <w:p w:rsidR="003D2E6A" w:rsidRPr="00C41AC2" w:rsidRDefault="00C41AC2" w:rsidP="008365DC">
      <w:pPr>
        <w:widowControl/>
        <w:numPr>
          <w:ilvl w:val="0"/>
          <w:numId w:val="2"/>
        </w:numPr>
        <w:tabs>
          <w:tab w:val="num" w:pos="360"/>
        </w:tabs>
        <w:spacing w:line="260" w:lineRule="auto"/>
        <w:jc w:val="both"/>
      </w:pPr>
      <w:r>
        <w:t>Λοιμώξεις</w:t>
      </w:r>
      <w:r w:rsidRPr="00C41AC2">
        <w:t xml:space="preserve"> </w:t>
      </w:r>
      <w:r>
        <w:t>του</w:t>
      </w:r>
      <w:r w:rsidRPr="00C41AC2">
        <w:t xml:space="preserve"> </w:t>
      </w:r>
      <w:r>
        <w:t>δέρματος</w:t>
      </w:r>
      <w:r w:rsidRPr="00C41AC2">
        <w:t xml:space="preserve"> </w:t>
      </w:r>
      <w:r>
        <w:t>και</w:t>
      </w:r>
      <w:r w:rsidRPr="00C41AC2">
        <w:t xml:space="preserve"> </w:t>
      </w:r>
      <w:r>
        <w:t>των</w:t>
      </w:r>
      <w:r w:rsidRPr="00C41AC2">
        <w:t xml:space="preserve"> </w:t>
      </w:r>
      <w:r>
        <w:t>μαλακών μορίων συμπεριλαμβανομένων και των λοιμώξεων των τραυμάτων</w:t>
      </w:r>
    </w:p>
    <w:p w:rsidR="003D2E6A" w:rsidRPr="00C41AC2" w:rsidRDefault="00C41AC2" w:rsidP="008365DC">
      <w:pPr>
        <w:widowControl/>
        <w:numPr>
          <w:ilvl w:val="0"/>
          <w:numId w:val="2"/>
        </w:numPr>
        <w:tabs>
          <w:tab w:val="num" w:pos="360"/>
        </w:tabs>
        <w:spacing w:line="260" w:lineRule="auto"/>
        <w:jc w:val="both"/>
      </w:pPr>
      <w:r>
        <w:t>Λοιμώξεις</w:t>
      </w:r>
      <w:r w:rsidRPr="00C41AC2">
        <w:t xml:space="preserve"> </w:t>
      </w:r>
      <w:r>
        <w:t>των</w:t>
      </w:r>
      <w:r w:rsidRPr="00C41AC2">
        <w:t xml:space="preserve"> </w:t>
      </w:r>
      <w:r>
        <w:t>γεννητικών οργάνων, συμπεριλαμβανομένης της γονόρροιας</w:t>
      </w:r>
    </w:p>
    <w:p w:rsidR="003D2E6A" w:rsidRPr="00C41AC2" w:rsidRDefault="00C41AC2" w:rsidP="008365DC">
      <w:pPr>
        <w:widowControl/>
        <w:numPr>
          <w:ilvl w:val="0"/>
          <w:numId w:val="2"/>
        </w:numPr>
        <w:tabs>
          <w:tab w:val="num" w:pos="360"/>
        </w:tabs>
        <w:spacing w:line="260" w:lineRule="auto"/>
        <w:jc w:val="both"/>
      </w:pPr>
      <w:r>
        <w:t xml:space="preserve">Κοιλιακές λοιμώξεις (περιτονίτιδα) </w:t>
      </w:r>
    </w:p>
    <w:p w:rsidR="003D2E6A" w:rsidRPr="00C41AC2" w:rsidRDefault="00C41AC2" w:rsidP="008365DC">
      <w:pPr>
        <w:widowControl/>
        <w:numPr>
          <w:ilvl w:val="0"/>
          <w:numId w:val="2"/>
        </w:numPr>
        <w:tabs>
          <w:tab w:val="num" w:pos="360"/>
        </w:tabs>
        <w:spacing w:line="260" w:lineRule="auto"/>
        <w:jc w:val="both"/>
      </w:pPr>
      <w:r>
        <w:t xml:space="preserve">Λοιμώξεις των οστών και των αρθρώσεων </w:t>
      </w:r>
    </w:p>
    <w:p w:rsidR="003D2E6A" w:rsidRPr="001D1D93" w:rsidRDefault="00C41AC2" w:rsidP="008365DC">
      <w:pPr>
        <w:widowControl/>
        <w:numPr>
          <w:ilvl w:val="0"/>
          <w:numId w:val="3"/>
        </w:numPr>
        <w:tabs>
          <w:tab w:val="num" w:pos="360"/>
        </w:tabs>
        <w:spacing w:line="260" w:lineRule="auto"/>
        <w:jc w:val="both"/>
        <w:rPr>
          <w:lang w:val="en-GB"/>
        </w:rPr>
      </w:pPr>
      <w:r w:rsidRPr="00C41AC2">
        <w:rPr>
          <w:lang w:val="en-GB"/>
        </w:rPr>
        <w:t>Σηψαιμικ</w:t>
      </w:r>
      <w:r>
        <w:t xml:space="preserve">ές λοιμώξεις </w:t>
      </w:r>
    </w:p>
    <w:p w:rsidR="003D2E6A" w:rsidRPr="001D1D93" w:rsidRDefault="00C41AC2" w:rsidP="008365DC">
      <w:pPr>
        <w:widowControl/>
        <w:numPr>
          <w:ilvl w:val="0"/>
          <w:numId w:val="3"/>
        </w:numPr>
        <w:tabs>
          <w:tab w:val="num" w:pos="360"/>
        </w:tabs>
        <w:spacing w:line="260" w:lineRule="auto"/>
        <w:jc w:val="both"/>
        <w:rPr>
          <w:lang w:val="en-GB"/>
        </w:rPr>
      </w:pPr>
      <w:r>
        <w:t>Μηνιγγίτιδα</w:t>
      </w:r>
    </w:p>
    <w:p w:rsidR="003D2E6A" w:rsidRPr="00C41AC2" w:rsidRDefault="00C41AC2" w:rsidP="008365DC">
      <w:pPr>
        <w:widowControl/>
        <w:numPr>
          <w:ilvl w:val="0"/>
          <w:numId w:val="3"/>
        </w:numPr>
        <w:tabs>
          <w:tab w:val="num" w:pos="360"/>
        </w:tabs>
        <w:spacing w:line="260" w:lineRule="auto"/>
        <w:jc w:val="both"/>
      </w:pPr>
      <w:r>
        <w:t>Περιεγχειρητική</w:t>
      </w:r>
      <w:r w:rsidRPr="00C41AC2">
        <w:t xml:space="preserve"> </w:t>
      </w:r>
      <w:r>
        <w:t>προφύλαξη</w:t>
      </w:r>
      <w:r w:rsidRPr="00C41AC2">
        <w:t xml:space="preserve"> </w:t>
      </w:r>
      <w:r>
        <w:t>στους</w:t>
      </w:r>
      <w:r w:rsidRPr="00C41AC2">
        <w:t xml:space="preserve"> </w:t>
      </w:r>
      <w:r>
        <w:t>ασθενείς</w:t>
      </w:r>
      <w:r w:rsidRPr="00C41AC2">
        <w:t xml:space="preserve"> </w:t>
      </w:r>
      <w:r>
        <w:t>σε</w:t>
      </w:r>
      <w:r w:rsidRPr="00C41AC2">
        <w:t xml:space="preserve"> </w:t>
      </w:r>
      <w:r>
        <w:t>αυξημένο</w:t>
      </w:r>
      <w:r w:rsidRPr="00C41AC2">
        <w:t xml:space="preserve"> </w:t>
      </w:r>
      <w:r>
        <w:t>κίνδυνο</w:t>
      </w:r>
      <w:r w:rsidRPr="00C41AC2">
        <w:t xml:space="preserve"> </w:t>
      </w:r>
      <w:r>
        <w:t>λοιμώξεων</w:t>
      </w:r>
    </w:p>
    <w:p w:rsidR="003D2E6A" w:rsidRPr="001D1D93" w:rsidRDefault="00C41AC2" w:rsidP="008365DC">
      <w:pPr>
        <w:widowControl/>
        <w:numPr>
          <w:ilvl w:val="0"/>
          <w:numId w:val="3"/>
        </w:numPr>
        <w:tabs>
          <w:tab w:val="num" w:pos="360"/>
        </w:tabs>
        <w:spacing w:line="260" w:lineRule="auto"/>
        <w:jc w:val="both"/>
        <w:rPr>
          <w:lang w:val="da-DK"/>
        </w:rPr>
      </w:pPr>
      <w:r w:rsidRPr="00C41AC2">
        <w:t xml:space="preserve">Μπορρελίωση </w:t>
      </w:r>
      <w:r>
        <w:t xml:space="preserve">της νόσου </w:t>
      </w:r>
      <w:r w:rsidR="003D2E6A" w:rsidRPr="001D1D93">
        <w:rPr>
          <w:lang w:val="en-GB"/>
        </w:rPr>
        <w:t>Lyme</w:t>
      </w:r>
      <w:r w:rsidR="003D2E6A" w:rsidRPr="00C41AC2">
        <w:t xml:space="preserve"> (</w:t>
      </w:r>
      <w:r>
        <w:t>στάδια</w:t>
      </w:r>
      <w:r w:rsidR="003D2E6A" w:rsidRPr="00C41AC2">
        <w:t xml:space="preserve"> </w:t>
      </w:r>
      <w:r w:rsidR="003D2E6A" w:rsidRPr="001D1D93">
        <w:rPr>
          <w:lang w:val="en-GB"/>
        </w:rPr>
        <w:t>II</w:t>
      </w:r>
      <w:r w:rsidR="003D2E6A" w:rsidRPr="00C41AC2">
        <w:t xml:space="preserve"> </w:t>
      </w:r>
      <w:r>
        <w:t>και</w:t>
      </w:r>
      <w:r w:rsidR="003D2E6A" w:rsidRPr="00C41AC2">
        <w:t xml:space="preserve"> </w:t>
      </w:r>
      <w:r w:rsidR="003D2E6A" w:rsidRPr="001D1D93">
        <w:rPr>
          <w:lang w:val="en-GB"/>
        </w:rPr>
        <w:t>III</w:t>
      </w:r>
      <w:r w:rsidR="003D2E6A" w:rsidRPr="00C41AC2">
        <w:t>)</w:t>
      </w:r>
    </w:p>
    <w:p w:rsidR="003D2E6A" w:rsidRPr="00C41AC2" w:rsidRDefault="00C41AC2" w:rsidP="008365DC">
      <w:pPr>
        <w:widowControl/>
        <w:numPr>
          <w:ilvl w:val="0"/>
          <w:numId w:val="3"/>
        </w:numPr>
        <w:tabs>
          <w:tab w:val="num" w:pos="360"/>
        </w:tabs>
        <w:spacing w:line="260" w:lineRule="auto"/>
        <w:jc w:val="both"/>
        <w:rPr>
          <w:lang w:val="da-DK"/>
        </w:rPr>
      </w:pPr>
      <w:r>
        <w:t>Θεραπεία</w:t>
      </w:r>
      <w:r w:rsidRPr="00C41AC2">
        <w:rPr>
          <w:lang w:val="da-DK"/>
        </w:rPr>
        <w:t xml:space="preserve"> </w:t>
      </w:r>
      <w:r>
        <w:t>του</w:t>
      </w:r>
      <w:r w:rsidRPr="00C41AC2">
        <w:rPr>
          <w:lang w:val="da-DK"/>
        </w:rPr>
        <w:t xml:space="preserve"> </w:t>
      </w:r>
      <w:r>
        <w:t>ο</w:t>
      </w:r>
      <w:r w:rsidRPr="00C41AC2">
        <w:t>υδετεροπενικ</w:t>
      </w:r>
      <w:r>
        <w:t>ού</w:t>
      </w:r>
      <w:r w:rsidRPr="00C41AC2">
        <w:rPr>
          <w:lang w:val="da-DK"/>
        </w:rPr>
        <w:t xml:space="preserve"> </w:t>
      </w:r>
      <w:r>
        <w:t>πυρετού</w:t>
      </w:r>
      <w:r w:rsidRPr="00C41AC2">
        <w:rPr>
          <w:lang w:val="da-DK"/>
        </w:rPr>
        <w:t xml:space="preserve"> </w:t>
      </w:r>
      <w:r w:rsidR="003D2E6A" w:rsidRPr="00C41AC2">
        <w:rPr>
          <w:lang w:val="da-DK"/>
        </w:rPr>
        <w:t xml:space="preserve"> </w:t>
      </w:r>
    </w:p>
    <w:p w:rsidR="003D2E6A" w:rsidRPr="00C41AC2" w:rsidRDefault="003D2E6A" w:rsidP="008365DC">
      <w:pPr>
        <w:spacing w:line="260" w:lineRule="auto"/>
        <w:jc w:val="both"/>
        <w:rPr>
          <w:lang w:val="da-DK"/>
        </w:rPr>
      </w:pPr>
    </w:p>
    <w:p w:rsidR="00AF0E2A" w:rsidRPr="009430CD" w:rsidRDefault="009430CD" w:rsidP="008365DC">
      <w:pPr>
        <w:jc w:val="both"/>
        <w:rPr>
          <w:noProof/>
        </w:rPr>
      </w:pPr>
      <w:r>
        <w:rPr>
          <w:noProof/>
        </w:rPr>
        <w:t>Πρέπει να λαμβάν</w:t>
      </w:r>
      <w:r w:rsidR="00DB46E8">
        <w:rPr>
          <w:noProof/>
        </w:rPr>
        <w:t>ον</w:t>
      </w:r>
      <w:r>
        <w:rPr>
          <w:noProof/>
        </w:rPr>
        <w:t>ται υπ’όψη οι επίσημες τοπικές οδηγίες για την κατάλληλη χρήση των αντιμικροβιακών παραγόντων.</w:t>
      </w:r>
    </w:p>
    <w:p w:rsidR="00AF0E2A" w:rsidRPr="00E9496F" w:rsidRDefault="00AF0E2A" w:rsidP="006718E7">
      <w:pPr>
        <w:rPr>
          <w:noProof/>
        </w:rPr>
      </w:pPr>
    </w:p>
    <w:p w:rsidR="00AF4466" w:rsidRPr="00E9496F" w:rsidRDefault="00AF4466" w:rsidP="006718E7">
      <w:pPr>
        <w:rPr>
          <w:noProof/>
        </w:rPr>
      </w:pPr>
    </w:p>
    <w:p w:rsidR="00AF4466" w:rsidRPr="00E9496F" w:rsidRDefault="00AF4466" w:rsidP="006718E7">
      <w:pPr>
        <w:rPr>
          <w:noProof/>
        </w:rPr>
      </w:pPr>
    </w:p>
    <w:p w:rsidR="00AF0E2A" w:rsidRDefault="00AF0E2A" w:rsidP="006718E7">
      <w:pPr>
        <w:numPr>
          <w:ilvl w:val="1"/>
          <w:numId w:val="1"/>
        </w:numPr>
        <w:rPr>
          <w:b/>
          <w:noProof/>
        </w:rPr>
      </w:pPr>
      <w:r>
        <w:rPr>
          <w:b/>
          <w:noProof/>
        </w:rPr>
        <w:t>Δοσολογία και τρόπος χορήγησης</w:t>
      </w:r>
    </w:p>
    <w:p w:rsidR="009430CD" w:rsidRDefault="009430CD" w:rsidP="00DB46E8">
      <w:pPr>
        <w:autoSpaceDE w:val="0"/>
        <w:autoSpaceDN w:val="0"/>
        <w:adjustRightInd w:val="0"/>
        <w:rPr>
          <w:szCs w:val="22"/>
        </w:rPr>
      </w:pPr>
    </w:p>
    <w:p w:rsidR="00C41AC2" w:rsidRPr="00C41AC2" w:rsidRDefault="00C41AC2" w:rsidP="008365DC">
      <w:pPr>
        <w:autoSpaceDE w:val="0"/>
        <w:autoSpaceDN w:val="0"/>
        <w:adjustRightInd w:val="0"/>
        <w:jc w:val="both"/>
        <w:rPr>
          <w:rFonts w:cs="Arial"/>
        </w:rPr>
      </w:pPr>
      <w:r>
        <w:rPr>
          <w:rFonts w:cs="Arial"/>
        </w:rPr>
        <w:t xml:space="preserve">Το </w:t>
      </w:r>
      <w:r w:rsidRPr="009B0EBB">
        <w:rPr>
          <w:rFonts w:cs="Arial"/>
          <w:lang w:val="en-GB"/>
        </w:rPr>
        <w:t>Ceftriaxone</w:t>
      </w:r>
      <w:r w:rsidRPr="00C41AC2">
        <w:rPr>
          <w:rFonts w:cs="Arial"/>
        </w:rPr>
        <w:t xml:space="preserve"> </w:t>
      </w:r>
      <w:r w:rsidRPr="009B0EBB">
        <w:rPr>
          <w:rFonts w:cs="Arial"/>
          <w:lang w:val="en-GB"/>
        </w:rPr>
        <w:t>Kabi</w:t>
      </w:r>
      <w:r w:rsidRPr="00C41AC2">
        <w:rPr>
          <w:rFonts w:cs="Arial"/>
        </w:rPr>
        <w:t xml:space="preserve"> </w:t>
      </w:r>
      <w:r w:rsidR="00E03721">
        <w:rPr>
          <w:rFonts w:cs="Arial"/>
        </w:rPr>
        <w:t>2</w:t>
      </w:r>
      <w:r w:rsidR="00E03721" w:rsidRPr="009B0EBB">
        <w:rPr>
          <w:rFonts w:cs="Arial"/>
          <w:lang w:val="en-GB"/>
        </w:rPr>
        <w:t>g</w:t>
      </w:r>
      <w:r w:rsidR="00E03721">
        <w:rPr>
          <w:rFonts w:cs="Arial"/>
        </w:rPr>
        <w:t xml:space="preserve"> </w:t>
      </w:r>
      <w:r>
        <w:rPr>
          <w:rFonts w:cs="Arial"/>
        </w:rPr>
        <w:t>σκόνη για παρασκευή ενέσιμου διαλύματος μπορεί να χορηγηθεί με αργή ενδοφλέβια εφάπαξ ένεση ή με βαθιά ενδομυϊκή ένεση μετά από την ανασύσταση του διαλύματος σύμφωνα με τις οδηγίες που δίδονται παρακάτω (δείτε το λήμμα</w:t>
      </w:r>
      <w:r w:rsidR="009430CD">
        <w:rPr>
          <w:rFonts w:cs="Arial"/>
        </w:rPr>
        <w:t xml:space="preserve"> </w:t>
      </w:r>
      <w:r>
        <w:rPr>
          <w:rFonts w:cs="Arial"/>
        </w:rPr>
        <w:t>6.6).</w:t>
      </w:r>
    </w:p>
    <w:p w:rsidR="00C41AC2" w:rsidRDefault="00C41AC2" w:rsidP="008365DC">
      <w:pPr>
        <w:autoSpaceDE w:val="0"/>
        <w:autoSpaceDN w:val="0"/>
        <w:adjustRightInd w:val="0"/>
        <w:jc w:val="both"/>
        <w:rPr>
          <w:rFonts w:cs="Arial"/>
        </w:rPr>
      </w:pPr>
    </w:p>
    <w:p w:rsidR="00C41AC2" w:rsidRDefault="00C41AC2" w:rsidP="008365DC">
      <w:pPr>
        <w:autoSpaceDE w:val="0"/>
        <w:autoSpaceDN w:val="0"/>
        <w:adjustRightInd w:val="0"/>
        <w:jc w:val="both"/>
        <w:rPr>
          <w:rFonts w:cs="Arial"/>
        </w:rPr>
      </w:pPr>
      <w:r>
        <w:rPr>
          <w:rFonts w:cs="Arial"/>
        </w:rPr>
        <w:t xml:space="preserve">Η δοσολογία και ο τρόπος χορήγησης πρέπει να καθορίζονται </w:t>
      </w:r>
      <w:r w:rsidR="00AF4466">
        <w:rPr>
          <w:rFonts w:cs="Arial"/>
        </w:rPr>
        <w:t>σύμφωνα με</w:t>
      </w:r>
      <w:r>
        <w:rPr>
          <w:rFonts w:cs="Arial"/>
        </w:rPr>
        <w:t xml:space="preserve"> την σοβαρότητα</w:t>
      </w:r>
      <w:r w:rsidR="009430CD">
        <w:rPr>
          <w:rFonts w:cs="Arial"/>
        </w:rPr>
        <w:t xml:space="preserve"> και το σημείο της λοίμωξης, την</w:t>
      </w:r>
      <w:r>
        <w:rPr>
          <w:rFonts w:cs="Arial"/>
        </w:rPr>
        <w:t xml:space="preserve"> ευαισθησία του μικροοργανισμού που την προκάλεσε και την ηλικία και κατάσταση του ασθενή.</w:t>
      </w:r>
    </w:p>
    <w:p w:rsidR="009430CD" w:rsidRDefault="009430CD" w:rsidP="008365DC">
      <w:pPr>
        <w:autoSpaceDE w:val="0"/>
        <w:autoSpaceDN w:val="0"/>
        <w:adjustRightInd w:val="0"/>
        <w:jc w:val="both"/>
        <w:rPr>
          <w:rFonts w:cs="Arial"/>
        </w:rPr>
      </w:pPr>
    </w:p>
    <w:p w:rsidR="009430CD" w:rsidRPr="00E9496F" w:rsidRDefault="009430CD" w:rsidP="008365DC">
      <w:pPr>
        <w:autoSpaceDE w:val="0"/>
        <w:autoSpaceDN w:val="0"/>
        <w:adjustRightInd w:val="0"/>
        <w:jc w:val="both"/>
        <w:rPr>
          <w:szCs w:val="22"/>
          <w:u w:val="single"/>
        </w:rPr>
      </w:pPr>
      <w:r w:rsidRPr="009430CD">
        <w:rPr>
          <w:szCs w:val="22"/>
          <w:u w:val="single"/>
        </w:rPr>
        <w:t>Συνήθης</w:t>
      </w:r>
      <w:r w:rsidRPr="00E9496F">
        <w:rPr>
          <w:szCs w:val="22"/>
          <w:u w:val="single"/>
        </w:rPr>
        <w:t xml:space="preserve"> </w:t>
      </w:r>
      <w:r w:rsidRPr="009430CD">
        <w:rPr>
          <w:szCs w:val="22"/>
          <w:u w:val="single"/>
        </w:rPr>
        <w:t>δοσολογία</w:t>
      </w:r>
    </w:p>
    <w:p w:rsidR="009430CD" w:rsidRPr="00E9496F" w:rsidRDefault="009430CD" w:rsidP="008365DC">
      <w:pPr>
        <w:autoSpaceDE w:val="0"/>
        <w:autoSpaceDN w:val="0"/>
        <w:adjustRightInd w:val="0"/>
        <w:jc w:val="both"/>
        <w:rPr>
          <w:szCs w:val="22"/>
        </w:rPr>
      </w:pPr>
    </w:p>
    <w:p w:rsidR="009430CD" w:rsidRPr="009430CD" w:rsidRDefault="009430CD" w:rsidP="00E112FB">
      <w:pPr>
        <w:autoSpaceDE w:val="0"/>
        <w:autoSpaceDN w:val="0"/>
        <w:adjustRightInd w:val="0"/>
        <w:jc w:val="both"/>
        <w:rPr>
          <w:szCs w:val="22"/>
        </w:rPr>
      </w:pPr>
      <w:r>
        <w:rPr>
          <w:i/>
          <w:iCs/>
          <w:szCs w:val="22"/>
        </w:rPr>
        <w:t>Ενήλικες</w:t>
      </w:r>
      <w:r w:rsidRPr="009430CD">
        <w:rPr>
          <w:i/>
          <w:iCs/>
          <w:szCs w:val="22"/>
        </w:rPr>
        <w:t xml:space="preserve"> </w:t>
      </w:r>
      <w:r>
        <w:rPr>
          <w:i/>
          <w:iCs/>
          <w:szCs w:val="22"/>
        </w:rPr>
        <w:t>και</w:t>
      </w:r>
      <w:r w:rsidRPr="009430CD">
        <w:rPr>
          <w:i/>
          <w:iCs/>
          <w:szCs w:val="22"/>
        </w:rPr>
        <w:t xml:space="preserve"> </w:t>
      </w:r>
      <w:r>
        <w:rPr>
          <w:i/>
          <w:iCs/>
          <w:szCs w:val="22"/>
        </w:rPr>
        <w:t>έφηβοι</w:t>
      </w:r>
      <w:r w:rsidRPr="009430CD">
        <w:rPr>
          <w:i/>
          <w:iCs/>
          <w:szCs w:val="22"/>
        </w:rPr>
        <w:t xml:space="preserve"> </w:t>
      </w:r>
      <w:r>
        <w:rPr>
          <w:i/>
          <w:iCs/>
          <w:szCs w:val="22"/>
        </w:rPr>
        <w:t>ηλικίας</w:t>
      </w:r>
      <w:r w:rsidRPr="009430CD">
        <w:rPr>
          <w:i/>
          <w:iCs/>
          <w:szCs w:val="22"/>
        </w:rPr>
        <w:t xml:space="preserve"> </w:t>
      </w:r>
      <w:r>
        <w:rPr>
          <w:i/>
          <w:iCs/>
          <w:szCs w:val="22"/>
        </w:rPr>
        <w:t>άνω</w:t>
      </w:r>
      <w:r w:rsidRPr="009430CD">
        <w:rPr>
          <w:i/>
          <w:iCs/>
          <w:szCs w:val="22"/>
        </w:rPr>
        <w:t xml:space="preserve"> </w:t>
      </w:r>
      <w:r>
        <w:rPr>
          <w:i/>
          <w:iCs/>
          <w:szCs w:val="22"/>
        </w:rPr>
        <w:t>των</w:t>
      </w:r>
      <w:r w:rsidRPr="009430CD">
        <w:rPr>
          <w:i/>
          <w:iCs/>
          <w:szCs w:val="22"/>
        </w:rPr>
        <w:t xml:space="preserve"> 12 </w:t>
      </w:r>
      <w:r>
        <w:rPr>
          <w:i/>
          <w:iCs/>
          <w:szCs w:val="22"/>
        </w:rPr>
        <w:t>ετών</w:t>
      </w:r>
      <w:r w:rsidRPr="009430CD">
        <w:rPr>
          <w:i/>
          <w:iCs/>
          <w:szCs w:val="22"/>
        </w:rPr>
        <w:t xml:space="preserve"> </w:t>
      </w:r>
      <w:r>
        <w:rPr>
          <w:i/>
          <w:iCs/>
          <w:szCs w:val="22"/>
        </w:rPr>
        <w:t>με</w:t>
      </w:r>
      <w:r w:rsidRPr="009430CD">
        <w:rPr>
          <w:i/>
          <w:iCs/>
          <w:szCs w:val="22"/>
        </w:rPr>
        <w:t xml:space="preserve"> </w:t>
      </w:r>
      <w:r>
        <w:rPr>
          <w:i/>
          <w:iCs/>
          <w:szCs w:val="22"/>
        </w:rPr>
        <w:t>βάρος</w:t>
      </w:r>
      <w:r w:rsidRPr="009430CD">
        <w:rPr>
          <w:i/>
          <w:iCs/>
          <w:szCs w:val="22"/>
        </w:rPr>
        <w:t xml:space="preserve"> </w:t>
      </w:r>
      <w:r>
        <w:rPr>
          <w:i/>
          <w:iCs/>
          <w:szCs w:val="22"/>
        </w:rPr>
        <w:t>σώματος</w:t>
      </w:r>
      <w:r w:rsidRPr="009430CD">
        <w:rPr>
          <w:i/>
          <w:iCs/>
          <w:szCs w:val="22"/>
        </w:rPr>
        <w:t xml:space="preserve"> </w:t>
      </w:r>
      <w:r w:rsidRPr="009430CD">
        <w:rPr>
          <w:szCs w:val="22"/>
        </w:rPr>
        <w:t xml:space="preserve">≥ </w:t>
      </w:r>
      <w:r w:rsidRPr="009430CD">
        <w:rPr>
          <w:i/>
          <w:iCs/>
          <w:szCs w:val="22"/>
        </w:rPr>
        <w:t xml:space="preserve">50 </w:t>
      </w:r>
      <w:r w:rsidRPr="001C039E">
        <w:rPr>
          <w:i/>
          <w:iCs/>
          <w:szCs w:val="22"/>
          <w:lang w:val="en-GB"/>
        </w:rPr>
        <w:t>kg</w:t>
      </w:r>
      <w:r w:rsidRPr="009430CD">
        <w:rPr>
          <w:i/>
          <w:iCs/>
          <w:szCs w:val="22"/>
        </w:rPr>
        <w:t>:</w:t>
      </w:r>
    </w:p>
    <w:p w:rsidR="009430CD" w:rsidRDefault="009430CD" w:rsidP="00E112FB">
      <w:pPr>
        <w:autoSpaceDE w:val="0"/>
        <w:autoSpaceDN w:val="0"/>
        <w:adjustRightInd w:val="0"/>
        <w:jc w:val="both"/>
        <w:rPr>
          <w:szCs w:val="22"/>
        </w:rPr>
      </w:pPr>
      <w:r>
        <w:rPr>
          <w:szCs w:val="22"/>
        </w:rPr>
        <w:t>Η</w:t>
      </w:r>
      <w:r w:rsidRPr="009430CD">
        <w:rPr>
          <w:szCs w:val="22"/>
        </w:rPr>
        <w:t xml:space="preserve"> </w:t>
      </w:r>
      <w:r>
        <w:rPr>
          <w:szCs w:val="22"/>
        </w:rPr>
        <w:t>συνήθης</w:t>
      </w:r>
      <w:r w:rsidRPr="009430CD">
        <w:rPr>
          <w:szCs w:val="22"/>
        </w:rPr>
        <w:t xml:space="preserve"> </w:t>
      </w:r>
      <w:r>
        <w:rPr>
          <w:szCs w:val="22"/>
        </w:rPr>
        <w:t>δοσολογία</w:t>
      </w:r>
      <w:r w:rsidRPr="009430CD">
        <w:rPr>
          <w:szCs w:val="22"/>
        </w:rPr>
        <w:t xml:space="preserve"> </w:t>
      </w:r>
      <w:r>
        <w:rPr>
          <w:szCs w:val="22"/>
        </w:rPr>
        <w:t>είναι</w:t>
      </w:r>
      <w:r w:rsidRPr="009430CD">
        <w:rPr>
          <w:szCs w:val="22"/>
        </w:rPr>
        <w:t xml:space="preserve"> 1 </w:t>
      </w:r>
      <w:r>
        <w:rPr>
          <w:szCs w:val="22"/>
        </w:rPr>
        <w:t>με</w:t>
      </w:r>
      <w:r w:rsidRPr="009430CD">
        <w:rPr>
          <w:szCs w:val="22"/>
        </w:rPr>
        <w:t xml:space="preserve"> 2 </w:t>
      </w:r>
      <w:r>
        <w:rPr>
          <w:szCs w:val="22"/>
          <w:lang w:val="en-US"/>
        </w:rPr>
        <w:t>g</w:t>
      </w:r>
      <w:r w:rsidRPr="009430CD">
        <w:rPr>
          <w:szCs w:val="22"/>
        </w:rPr>
        <w:t xml:space="preserve"> </w:t>
      </w:r>
      <w:r>
        <w:rPr>
          <w:szCs w:val="22"/>
        </w:rPr>
        <w:t>κεφτριαξόνης</w:t>
      </w:r>
      <w:r w:rsidRPr="009430CD">
        <w:rPr>
          <w:szCs w:val="22"/>
        </w:rPr>
        <w:t xml:space="preserve">, </w:t>
      </w:r>
      <w:r>
        <w:rPr>
          <w:szCs w:val="22"/>
        </w:rPr>
        <w:t>χορηγούμενη μια φορά την ημέρα (κάθε 24 ώρες). Σε</w:t>
      </w:r>
      <w:r w:rsidRPr="009430CD">
        <w:rPr>
          <w:szCs w:val="22"/>
        </w:rPr>
        <w:t xml:space="preserve"> </w:t>
      </w:r>
      <w:r>
        <w:rPr>
          <w:szCs w:val="22"/>
        </w:rPr>
        <w:t>σοβαρές</w:t>
      </w:r>
      <w:r w:rsidRPr="009430CD">
        <w:rPr>
          <w:szCs w:val="22"/>
        </w:rPr>
        <w:t xml:space="preserve"> </w:t>
      </w:r>
      <w:r>
        <w:rPr>
          <w:szCs w:val="22"/>
        </w:rPr>
        <w:t>λοιμώξεις</w:t>
      </w:r>
      <w:r w:rsidRPr="009430CD">
        <w:rPr>
          <w:szCs w:val="22"/>
        </w:rPr>
        <w:t xml:space="preserve"> </w:t>
      </w:r>
      <w:r>
        <w:rPr>
          <w:szCs w:val="22"/>
        </w:rPr>
        <w:t>ή</w:t>
      </w:r>
      <w:r w:rsidRPr="009430CD">
        <w:rPr>
          <w:szCs w:val="22"/>
        </w:rPr>
        <w:t xml:space="preserve"> </w:t>
      </w:r>
      <w:r>
        <w:rPr>
          <w:szCs w:val="22"/>
        </w:rPr>
        <w:t>λοιμώξεις</w:t>
      </w:r>
      <w:r w:rsidRPr="009430CD">
        <w:rPr>
          <w:szCs w:val="22"/>
        </w:rPr>
        <w:t xml:space="preserve"> </w:t>
      </w:r>
      <w:r>
        <w:rPr>
          <w:szCs w:val="22"/>
        </w:rPr>
        <w:t>που</w:t>
      </w:r>
      <w:r w:rsidRPr="009430CD">
        <w:rPr>
          <w:szCs w:val="22"/>
        </w:rPr>
        <w:t xml:space="preserve"> </w:t>
      </w:r>
      <w:r>
        <w:rPr>
          <w:szCs w:val="22"/>
        </w:rPr>
        <w:t>προκλήθηκαν</w:t>
      </w:r>
      <w:r w:rsidRPr="009430CD">
        <w:rPr>
          <w:szCs w:val="22"/>
        </w:rPr>
        <w:t xml:space="preserve"> </w:t>
      </w:r>
      <w:r>
        <w:rPr>
          <w:szCs w:val="22"/>
        </w:rPr>
        <w:t>από</w:t>
      </w:r>
      <w:r w:rsidRPr="009430CD">
        <w:rPr>
          <w:szCs w:val="22"/>
        </w:rPr>
        <w:t xml:space="preserve"> </w:t>
      </w:r>
      <w:r>
        <w:rPr>
          <w:szCs w:val="22"/>
        </w:rPr>
        <w:t xml:space="preserve">μέτρια ευαίσθητους μικρο-οργανισμούς </w:t>
      </w:r>
      <w:r w:rsidRPr="009430CD">
        <w:rPr>
          <w:szCs w:val="22"/>
        </w:rPr>
        <w:t xml:space="preserve"> </w:t>
      </w:r>
      <w:r>
        <w:rPr>
          <w:szCs w:val="22"/>
        </w:rPr>
        <w:t xml:space="preserve">η δόση μπορεί να αυξηθεί στα 4 </w:t>
      </w:r>
      <w:r>
        <w:rPr>
          <w:szCs w:val="22"/>
          <w:lang w:val="en-US"/>
        </w:rPr>
        <w:t>g</w:t>
      </w:r>
      <w:r w:rsidRPr="009430CD">
        <w:rPr>
          <w:szCs w:val="22"/>
        </w:rPr>
        <w:t xml:space="preserve">, </w:t>
      </w:r>
      <w:r>
        <w:rPr>
          <w:szCs w:val="22"/>
        </w:rPr>
        <w:t xml:space="preserve">χορηγούμενα μια φορά την ημέρα ενδοφλέβια. </w:t>
      </w:r>
    </w:p>
    <w:p w:rsidR="009430CD" w:rsidRDefault="009430CD" w:rsidP="00E112FB">
      <w:pPr>
        <w:autoSpaceDE w:val="0"/>
        <w:autoSpaceDN w:val="0"/>
        <w:adjustRightInd w:val="0"/>
        <w:jc w:val="both"/>
        <w:rPr>
          <w:szCs w:val="22"/>
        </w:rPr>
      </w:pPr>
    </w:p>
    <w:p w:rsidR="009430CD" w:rsidRPr="009430CD" w:rsidRDefault="009430CD" w:rsidP="00E112FB">
      <w:pPr>
        <w:autoSpaceDE w:val="0"/>
        <w:autoSpaceDN w:val="0"/>
        <w:adjustRightInd w:val="0"/>
        <w:jc w:val="both"/>
        <w:rPr>
          <w:szCs w:val="22"/>
        </w:rPr>
      </w:pPr>
      <w:r>
        <w:rPr>
          <w:i/>
          <w:iCs/>
          <w:szCs w:val="22"/>
        </w:rPr>
        <w:t>Νεογέννητα βρέφη</w:t>
      </w:r>
      <w:r w:rsidRPr="009430CD">
        <w:rPr>
          <w:i/>
          <w:iCs/>
          <w:szCs w:val="22"/>
        </w:rPr>
        <w:t xml:space="preserve"> (</w:t>
      </w:r>
      <w:r>
        <w:rPr>
          <w:i/>
          <w:iCs/>
          <w:szCs w:val="22"/>
        </w:rPr>
        <w:t xml:space="preserve">ηλικίας από </w:t>
      </w:r>
      <w:r w:rsidRPr="009430CD">
        <w:rPr>
          <w:i/>
          <w:iCs/>
          <w:szCs w:val="22"/>
        </w:rPr>
        <w:t xml:space="preserve"> 0 – 14 </w:t>
      </w:r>
      <w:r>
        <w:rPr>
          <w:i/>
          <w:iCs/>
          <w:szCs w:val="22"/>
        </w:rPr>
        <w:t>ημερών</w:t>
      </w:r>
      <w:r w:rsidRPr="009430CD">
        <w:rPr>
          <w:i/>
          <w:iCs/>
          <w:szCs w:val="22"/>
        </w:rPr>
        <w:t>):</w:t>
      </w:r>
    </w:p>
    <w:p w:rsidR="009430CD" w:rsidRPr="009430CD" w:rsidRDefault="009430CD" w:rsidP="00E112FB">
      <w:pPr>
        <w:autoSpaceDE w:val="0"/>
        <w:autoSpaceDN w:val="0"/>
        <w:adjustRightInd w:val="0"/>
        <w:jc w:val="both"/>
        <w:rPr>
          <w:szCs w:val="22"/>
        </w:rPr>
      </w:pPr>
      <w:r w:rsidRPr="009430CD">
        <w:rPr>
          <w:szCs w:val="22"/>
        </w:rPr>
        <w:t xml:space="preserve">20 – 50 </w:t>
      </w:r>
      <w:r w:rsidRPr="001C039E">
        <w:rPr>
          <w:szCs w:val="22"/>
          <w:lang w:val="en-GB"/>
        </w:rPr>
        <w:t>mg</w:t>
      </w:r>
      <w:r w:rsidRPr="009430CD">
        <w:rPr>
          <w:szCs w:val="22"/>
        </w:rPr>
        <w:t xml:space="preserve"> </w:t>
      </w:r>
      <w:r>
        <w:rPr>
          <w:szCs w:val="22"/>
        </w:rPr>
        <w:t>ανά</w:t>
      </w:r>
      <w:r w:rsidRPr="009430CD">
        <w:rPr>
          <w:szCs w:val="22"/>
        </w:rPr>
        <w:t xml:space="preserve"> </w:t>
      </w:r>
      <w:r w:rsidRPr="001C039E">
        <w:rPr>
          <w:szCs w:val="22"/>
          <w:lang w:val="en-GB"/>
        </w:rPr>
        <w:t>kg</w:t>
      </w:r>
      <w:r w:rsidRPr="009430CD">
        <w:rPr>
          <w:szCs w:val="22"/>
        </w:rPr>
        <w:t xml:space="preserve"> </w:t>
      </w:r>
      <w:r>
        <w:rPr>
          <w:szCs w:val="22"/>
        </w:rPr>
        <w:t>βάρους</w:t>
      </w:r>
      <w:r w:rsidRPr="009430CD">
        <w:rPr>
          <w:szCs w:val="22"/>
        </w:rPr>
        <w:t xml:space="preserve"> </w:t>
      </w:r>
      <w:r>
        <w:rPr>
          <w:szCs w:val="22"/>
        </w:rPr>
        <w:t>σώματος</w:t>
      </w:r>
      <w:r w:rsidRPr="009430CD">
        <w:rPr>
          <w:szCs w:val="22"/>
        </w:rPr>
        <w:t xml:space="preserve"> </w:t>
      </w:r>
      <w:r>
        <w:rPr>
          <w:szCs w:val="22"/>
        </w:rPr>
        <w:t>μια</w:t>
      </w:r>
      <w:r w:rsidRPr="009430CD">
        <w:rPr>
          <w:szCs w:val="22"/>
        </w:rPr>
        <w:t xml:space="preserve"> </w:t>
      </w:r>
      <w:r>
        <w:rPr>
          <w:szCs w:val="22"/>
        </w:rPr>
        <w:t xml:space="preserve">φορά την ημέρα (24ωρο ενδιάμεσο διάστημα). </w:t>
      </w:r>
    </w:p>
    <w:p w:rsidR="009430CD" w:rsidRPr="009430CD" w:rsidRDefault="009430CD" w:rsidP="00E112FB">
      <w:pPr>
        <w:autoSpaceDE w:val="0"/>
        <w:autoSpaceDN w:val="0"/>
        <w:adjustRightInd w:val="0"/>
        <w:jc w:val="both"/>
        <w:rPr>
          <w:szCs w:val="22"/>
        </w:rPr>
      </w:pPr>
      <w:r>
        <w:rPr>
          <w:szCs w:val="22"/>
        </w:rPr>
        <w:t>Ακόμη</w:t>
      </w:r>
      <w:r w:rsidRPr="009430CD">
        <w:rPr>
          <w:szCs w:val="22"/>
        </w:rPr>
        <w:t xml:space="preserve"> </w:t>
      </w:r>
      <w:r>
        <w:rPr>
          <w:szCs w:val="22"/>
        </w:rPr>
        <w:t>και</w:t>
      </w:r>
      <w:r w:rsidRPr="009430CD">
        <w:rPr>
          <w:szCs w:val="22"/>
        </w:rPr>
        <w:t xml:space="preserve"> </w:t>
      </w:r>
      <w:r>
        <w:rPr>
          <w:szCs w:val="22"/>
        </w:rPr>
        <w:t>σε</w:t>
      </w:r>
      <w:r w:rsidRPr="009430CD">
        <w:rPr>
          <w:szCs w:val="22"/>
        </w:rPr>
        <w:t xml:space="preserve"> </w:t>
      </w:r>
      <w:r>
        <w:rPr>
          <w:szCs w:val="22"/>
        </w:rPr>
        <w:t>σοβαρές</w:t>
      </w:r>
      <w:r w:rsidRPr="009430CD">
        <w:rPr>
          <w:szCs w:val="22"/>
        </w:rPr>
        <w:t xml:space="preserve"> </w:t>
      </w:r>
      <w:r>
        <w:rPr>
          <w:szCs w:val="22"/>
        </w:rPr>
        <w:t>λοιμώξεις</w:t>
      </w:r>
      <w:r w:rsidRPr="009430CD">
        <w:rPr>
          <w:szCs w:val="22"/>
        </w:rPr>
        <w:t xml:space="preserve"> </w:t>
      </w:r>
      <w:r>
        <w:rPr>
          <w:szCs w:val="22"/>
        </w:rPr>
        <w:t>η</w:t>
      </w:r>
      <w:r w:rsidRPr="009430CD">
        <w:rPr>
          <w:szCs w:val="22"/>
        </w:rPr>
        <w:t xml:space="preserve"> </w:t>
      </w:r>
      <w:r>
        <w:rPr>
          <w:szCs w:val="22"/>
        </w:rPr>
        <w:t>ημερήσια</w:t>
      </w:r>
      <w:r w:rsidRPr="009430CD">
        <w:rPr>
          <w:szCs w:val="22"/>
        </w:rPr>
        <w:t xml:space="preserve"> </w:t>
      </w:r>
      <w:r>
        <w:rPr>
          <w:szCs w:val="22"/>
        </w:rPr>
        <w:t>δόση</w:t>
      </w:r>
      <w:r w:rsidRPr="009430CD">
        <w:rPr>
          <w:szCs w:val="22"/>
        </w:rPr>
        <w:t xml:space="preserve"> </w:t>
      </w:r>
      <w:r>
        <w:rPr>
          <w:szCs w:val="22"/>
        </w:rPr>
        <w:t>των</w:t>
      </w:r>
      <w:r w:rsidRPr="009430CD">
        <w:rPr>
          <w:szCs w:val="22"/>
        </w:rPr>
        <w:t xml:space="preserve"> 50</w:t>
      </w:r>
      <w:r>
        <w:rPr>
          <w:szCs w:val="22"/>
          <w:lang w:val="en-US"/>
        </w:rPr>
        <w:t>mg</w:t>
      </w:r>
      <w:r w:rsidRPr="009430CD">
        <w:rPr>
          <w:szCs w:val="22"/>
        </w:rPr>
        <w:t xml:space="preserve"> </w:t>
      </w:r>
      <w:r>
        <w:rPr>
          <w:szCs w:val="22"/>
        </w:rPr>
        <w:t>ανά</w:t>
      </w:r>
      <w:r w:rsidRPr="009430CD">
        <w:rPr>
          <w:szCs w:val="22"/>
        </w:rPr>
        <w:t xml:space="preserve"> </w:t>
      </w:r>
      <w:r>
        <w:rPr>
          <w:szCs w:val="22"/>
          <w:lang w:val="en-US"/>
        </w:rPr>
        <w:t>kg</w:t>
      </w:r>
      <w:r w:rsidRPr="009430CD">
        <w:rPr>
          <w:szCs w:val="22"/>
        </w:rPr>
        <w:t xml:space="preserve"> </w:t>
      </w:r>
      <w:r w:rsidR="00755534">
        <w:rPr>
          <w:szCs w:val="22"/>
        </w:rPr>
        <w:t>βάρους σώματος</w:t>
      </w:r>
      <w:r w:rsidR="00755534" w:rsidRPr="00755534">
        <w:rPr>
          <w:szCs w:val="22"/>
        </w:rPr>
        <w:t xml:space="preserve"> </w:t>
      </w:r>
      <w:r>
        <w:rPr>
          <w:szCs w:val="22"/>
        </w:rPr>
        <w:t xml:space="preserve">δεν πρέπει να υπερβεί. </w:t>
      </w:r>
    </w:p>
    <w:p w:rsidR="009430CD" w:rsidRPr="009430CD" w:rsidRDefault="009430CD" w:rsidP="00E112FB">
      <w:pPr>
        <w:autoSpaceDE w:val="0"/>
        <w:autoSpaceDN w:val="0"/>
        <w:adjustRightInd w:val="0"/>
        <w:jc w:val="both"/>
        <w:rPr>
          <w:szCs w:val="22"/>
        </w:rPr>
      </w:pPr>
    </w:p>
    <w:p w:rsidR="009430CD" w:rsidRPr="009430CD" w:rsidRDefault="009430CD" w:rsidP="00E112FB">
      <w:pPr>
        <w:autoSpaceDE w:val="0"/>
        <w:autoSpaceDN w:val="0"/>
        <w:adjustRightInd w:val="0"/>
        <w:jc w:val="both"/>
        <w:rPr>
          <w:szCs w:val="22"/>
        </w:rPr>
      </w:pPr>
      <w:r>
        <w:rPr>
          <w:i/>
          <w:iCs/>
          <w:szCs w:val="22"/>
        </w:rPr>
        <w:t>Παιδιά</w:t>
      </w:r>
      <w:r w:rsidRPr="009430CD">
        <w:rPr>
          <w:i/>
          <w:iCs/>
          <w:szCs w:val="22"/>
        </w:rPr>
        <w:t xml:space="preserve"> </w:t>
      </w:r>
      <w:r>
        <w:rPr>
          <w:i/>
          <w:iCs/>
          <w:szCs w:val="22"/>
        </w:rPr>
        <w:t>ηλικίας</w:t>
      </w:r>
      <w:r w:rsidRPr="009430CD">
        <w:rPr>
          <w:i/>
          <w:iCs/>
          <w:szCs w:val="22"/>
        </w:rPr>
        <w:t xml:space="preserve"> 15 </w:t>
      </w:r>
      <w:r>
        <w:rPr>
          <w:i/>
          <w:iCs/>
          <w:szCs w:val="22"/>
        </w:rPr>
        <w:t>ημερών</w:t>
      </w:r>
      <w:r w:rsidRPr="009430CD">
        <w:rPr>
          <w:i/>
          <w:iCs/>
          <w:szCs w:val="22"/>
        </w:rPr>
        <w:t xml:space="preserve"> – 12 </w:t>
      </w:r>
      <w:r>
        <w:rPr>
          <w:i/>
          <w:iCs/>
          <w:szCs w:val="22"/>
        </w:rPr>
        <w:t>ετών</w:t>
      </w:r>
      <w:r w:rsidRPr="009430CD">
        <w:rPr>
          <w:i/>
          <w:iCs/>
          <w:szCs w:val="22"/>
        </w:rPr>
        <w:t xml:space="preserve"> </w:t>
      </w:r>
      <w:r>
        <w:rPr>
          <w:i/>
          <w:iCs/>
          <w:szCs w:val="22"/>
        </w:rPr>
        <w:t>με</w:t>
      </w:r>
      <w:r w:rsidRPr="009430CD">
        <w:rPr>
          <w:i/>
          <w:iCs/>
          <w:szCs w:val="22"/>
        </w:rPr>
        <w:t xml:space="preserve"> </w:t>
      </w:r>
      <w:r>
        <w:rPr>
          <w:i/>
          <w:iCs/>
          <w:szCs w:val="22"/>
        </w:rPr>
        <w:t>βάρος</w:t>
      </w:r>
      <w:r w:rsidRPr="009430CD">
        <w:rPr>
          <w:i/>
          <w:iCs/>
          <w:szCs w:val="22"/>
        </w:rPr>
        <w:t xml:space="preserve"> </w:t>
      </w:r>
      <w:r>
        <w:rPr>
          <w:i/>
          <w:iCs/>
          <w:szCs w:val="22"/>
        </w:rPr>
        <w:t xml:space="preserve">σώματος </w:t>
      </w:r>
      <w:r w:rsidRPr="009430CD">
        <w:rPr>
          <w:i/>
          <w:iCs/>
          <w:szCs w:val="22"/>
        </w:rPr>
        <w:t xml:space="preserve">&lt; 50 </w:t>
      </w:r>
      <w:r w:rsidRPr="001C039E">
        <w:rPr>
          <w:i/>
          <w:iCs/>
          <w:szCs w:val="22"/>
          <w:lang w:val="en-GB"/>
        </w:rPr>
        <w:t>kg</w:t>
      </w:r>
      <w:r w:rsidRPr="009430CD">
        <w:rPr>
          <w:i/>
          <w:iCs/>
          <w:szCs w:val="22"/>
        </w:rPr>
        <w:t>:</w:t>
      </w:r>
    </w:p>
    <w:p w:rsidR="009430CD" w:rsidRPr="009430CD" w:rsidRDefault="009430CD" w:rsidP="00E112FB">
      <w:pPr>
        <w:autoSpaceDE w:val="0"/>
        <w:autoSpaceDN w:val="0"/>
        <w:adjustRightInd w:val="0"/>
        <w:jc w:val="both"/>
        <w:rPr>
          <w:szCs w:val="22"/>
        </w:rPr>
      </w:pPr>
      <w:r w:rsidRPr="009430CD">
        <w:rPr>
          <w:szCs w:val="22"/>
        </w:rPr>
        <w:t xml:space="preserve">20-80 </w:t>
      </w:r>
      <w:r w:rsidRPr="001C039E">
        <w:rPr>
          <w:szCs w:val="22"/>
          <w:lang w:val="en-GB"/>
        </w:rPr>
        <w:t>mg</w:t>
      </w:r>
      <w:r w:rsidRPr="009430CD">
        <w:rPr>
          <w:szCs w:val="22"/>
        </w:rPr>
        <w:t xml:space="preserve"> </w:t>
      </w:r>
      <w:r>
        <w:rPr>
          <w:szCs w:val="22"/>
        </w:rPr>
        <w:t>ανά</w:t>
      </w:r>
      <w:r w:rsidRPr="009430CD">
        <w:rPr>
          <w:szCs w:val="22"/>
        </w:rPr>
        <w:t xml:space="preserve"> </w:t>
      </w:r>
      <w:r w:rsidRPr="001C039E">
        <w:rPr>
          <w:szCs w:val="22"/>
          <w:lang w:val="en-GB"/>
        </w:rPr>
        <w:t>kg</w:t>
      </w:r>
      <w:r w:rsidRPr="009430CD">
        <w:rPr>
          <w:szCs w:val="22"/>
        </w:rPr>
        <w:t xml:space="preserve"> </w:t>
      </w:r>
      <w:r>
        <w:rPr>
          <w:szCs w:val="22"/>
        </w:rPr>
        <w:t>βάρους</w:t>
      </w:r>
      <w:r w:rsidRPr="009430CD">
        <w:rPr>
          <w:szCs w:val="22"/>
        </w:rPr>
        <w:t xml:space="preserve"> </w:t>
      </w:r>
      <w:r>
        <w:rPr>
          <w:szCs w:val="22"/>
        </w:rPr>
        <w:t>σώματος</w:t>
      </w:r>
      <w:r w:rsidRPr="009430CD">
        <w:rPr>
          <w:szCs w:val="22"/>
        </w:rPr>
        <w:t xml:space="preserve"> </w:t>
      </w:r>
      <w:r w:rsidR="00AF4466">
        <w:rPr>
          <w:szCs w:val="22"/>
        </w:rPr>
        <w:t xml:space="preserve">ενδοφλεβίως </w:t>
      </w:r>
      <w:r>
        <w:rPr>
          <w:szCs w:val="22"/>
        </w:rPr>
        <w:t>μια</w:t>
      </w:r>
      <w:r w:rsidRPr="009430CD">
        <w:rPr>
          <w:szCs w:val="22"/>
        </w:rPr>
        <w:t xml:space="preserve"> </w:t>
      </w:r>
      <w:r>
        <w:rPr>
          <w:szCs w:val="22"/>
        </w:rPr>
        <w:t xml:space="preserve">φορά την ημέρα (24ωρο ενδιάμεσο διάστημα). </w:t>
      </w:r>
    </w:p>
    <w:p w:rsidR="009430CD" w:rsidRDefault="009430CD" w:rsidP="00E112FB">
      <w:pPr>
        <w:autoSpaceDE w:val="0"/>
        <w:autoSpaceDN w:val="0"/>
        <w:adjustRightInd w:val="0"/>
        <w:jc w:val="both"/>
        <w:rPr>
          <w:szCs w:val="22"/>
        </w:rPr>
      </w:pPr>
      <w:r>
        <w:rPr>
          <w:szCs w:val="22"/>
        </w:rPr>
        <w:t>Σε</w:t>
      </w:r>
      <w:r w:rsidRPr="009430CD">
        <w:rPr>
          <w:szCs w:val="22"/>
        </w:rPr>
        <w:t xml:space="preserve"> </w:t>
      </w:r>
      <w:r>
        <w:rPr>
          <w:szCs w:val="22"/>
        </w:rPr>
        <w:t>σοβαρές</w:t>
      </w:r>
      <w:r w:rsidRPr="009430CD">
        <w:rPr>
          <w:szCs w:val="22"/>
        </w:rPr>
        <w:t xml:space="preserve"> </w:t>
      </w:r>
      <w:r>
        <w:rPr>
          <w:szCs w:val="22"/>
        </w:rPr>
        <w:t>λοιμώξεις</w:t>
      </w:r>
      <w:r w:rsidRPr="009430CD">
        <w:rPr>
          <w:szCs w:val="22"/>
        </w:rPr>
        <w:t xml:space="preserve"> </w:t>
      </w:r>
      <w:r>
        <w:rPr>
          <w:szCs w:val="22"/>
        </w:rPr>
        <w:t>η</w:t>
      </w:r>
      <w:r w:rsidRPr="009430CD">
        <w:rPr>
          <w:szCs w:val="22"/>
        </w:rPr>
        <w:t xml:space="preserve"> </w:t>
      </w:r>
      <w:r>
        <w:rPr>
          <w:szCs w:val="22"/>
        </w:rPr>
        <w:t>ημερήσια</w:t>
      </w:r>
      <w:r w:rsidRPr="009430CD">
        <w:rPr>
          <w:szCs w:val="22"/>
        </w:rPr>
        <w:t xml:space="preserve"> </w:t>
      </w:r>
      <w:r>
        <w:rPr>
          <w:szCs w:val="22"/>
        </w:rPr>
        <w:t>δοσολογία</w:t>
      </w:r>
      <w:r w:rsidRPr="009430CD">
        <w:rPr>
          <w:szCs w:val="22"/>
        </w:rPr>
        <w:t xml:space="preserve"> </w:t>
      </w:r>
      <w:r>
        <w:rPr>
          <w:szCs w:val="22"/>
        </w:rPr>
        <w:t>των</w:t>
      </w:r>
      <w:r w:rsidRPr="009430CD">
        <w:rPr>
          <w:szCs w:val="22"/>
        </w:rPr>
        <w:t xml:space="preserve"> 80</w:t>
      </w:r>
      <w:r>
        <w:rPr>
          <w:szCs w:val="22"/>
          <w:lang w:val="en-US"/>
        </w:rPr>
        <w:t>mg</w:t>
      </w:r>
      <w:r w:rsidRPr="009430CD">
        <w:rPr>
          <w:szCs w:val="22"/>
        </w:rPr>
        <w:t xml:space="preserve"> </w:t>
      </w:r>
      <w:r>
        <w:rPr>
          <w:szCs w:val="22"/>
        </w:rPr>
        <w:t>ανά</w:t>
      </w:r>
      <w:r w:rsidRPr="009430CD">
        <w:rPr>
          <w:szCs w:val="22"/>
        </w:rPr>
        <w:t xml:space="preserve"> </w:t>
      </w:r>
      <w:r>
        <w:rPr>
          <w:szCs w:val="22"/>
          <w:lang w:val="en-US"/>
        </w:rPr>
        <w:t>kg</w:t>
      </w:r>
      <w:r w:rsidRPr="009430CD">
        <w:rPr>
          <w:szCs w:val="22"/>
        </w:rPr>
        <w:t xml:space="preserve"> </w:t>
      </w:r>
      <w:r>
        <w:rPr>
          <w:szCs w:val="22"/>
        </w:rPr>
        <w:t>βάρους</w:t>
      </w:r>
      <w:r w:rsidRPr="009430CD">
        <w:rPr>
          <w:szCs w:val="22"/>
        </w:rPr>
        <w:t xml:space="preserve"> </w:t>
      </w:r>
      <w:r>
        <w:rPr>
          <w:szCs w:val="22"/>
        </w:rPr>
        <w:t xml:space="preserve">σώματος δεν πρέπει να υπερβεί, εκτός από την περίπτωση της μινιγγίτιδας (δείτε: Ιδιαίτερες δοσολογικές οδηγίες). </w:t>
      </w:r>
    </w:p>
    <w:p w:rsidR="009430CD" w:rsidRPr="009430CD" w:rsidRDefault="009430CD" w:rsidP="00E112FB">
      <w:pPr>
        <w:autoSpaceDE w:val="0"/>
        <w:autoSpaceDN w:val="0"/>
        <w:adjustRightInd w:val="0"/>
        <w:jc w:val="both"/>
        <w:rPr>
          <w:szCs w:val="22"/>
        </w:rPr>
      </w:pPr>
    </w:p>
    <w:p w:rsidR="009430CD" w:rsidRPr="009430CD" w:rsidRDefault="009430CD" w:rsidP="00E112FB">
      <w:pPr>
        <w:autoSpaceDE w:val="0"/>
        <w:autoSpaceDN w:val="0"/>
        <w:adjustRightInd w:val="0"/>
        <w:jc w:val="both"/>
        <w:rPr>
          <w:szCs w:val="22"/>
        </w:rPr>
      </w:pPr>
      <w:r>
        <w:rPr>
          <w:szCs w:val="22"/>
        </w:rPr>
        <w:t>Παιδιά</w:t>
      </w:r>
      <w:r w:rsidRPr="009430CD">
        <w:rPr>
          <w:szCs w:val="22"/>
        </w:rPr>
        <w:t xml:space="preserve"> </w:t>
      </w:r>
      <w:r>
        <w:rPr>
          <w:szCs w:val="22"/>
        </w:rPr>
        <w:t>με</w:t>
      </w:r>
      <w:r w:rsidRPr="009430CD">
        <w:rPr>
          <w:szCs w:val="22"/>
        </w:rPr>
        <w:t xml:space="preserve"> </w:t>
      </w:r>
      <w:r>
        <w:rPr>
          <w:szCs w:val="22"/>
        </w:rPr>
        <w:t>βάρος</w:t>
      </w:r>
      <w:r w:rsidRPr="009430CD">
        <w:rPr>
          <w:szCs w:val="22"/>
        </w:rPr>
        <w:t xml:space="preserve"> </w:t>
      </w:r>
      <w:r>
        <w:rPr>
          <w:szCs w:val="22"/>
        </w:rPr>
        <w:t>σώματος</w:t>
      </w:r>
      <w:r w:rsidRPr="009430CD">
        <w:rPr>
          <w:szCs w:val="22"/>
        </w:rPr>
        <w:t xml:space="preserve"> 50</w:t>
      </w:r>
      <w:r>
        <w:rPr>
          <w:szCs w:val="22"/>
          <w:lang w:val="en-US"/>
        </w:rPr>
        <w:t>kg</w:t>
      </w:r>
      <w:r w:rsidRPr="009430CD">
        <w:rPr>
          <w:szCs w:val="22"/>
        </w:rPr>
        <w:t xml:space="preserve"> </w:t>
      </w:r>
      <w:r>
        <w:rPr>
          <w:szCs w:val="22"/>
        </w:rPr>
        <w:t>ή</w:t>
      </w:r>
      <w:r w:rsidRPr="009430CD">
        <w:rPr>
          <w:szCs w:val="22"/>
        </w:rPr>
        <w:t xml:space="preserve"> </w:t>
      </w:r>
      <w:r>
        <w:rPr>
          <w:szCs w:val="22"/>
        </w:rPr>
        <w:t>περισσότερο</w:t>
      </w:r>
      <w:r w:rsidRPr="009430CD">
        <w:rPr>
          <w:szCs w:val="22"/>
        </w:rPr>
        <w:t xml:space="preserve"> </w:t>
      </w:r>
      <w:r>
        <w:rPr>
          <w:szCs w:val="22"/>
        </w:rPr>
        <w:t>λαμβάνουν</w:t>
      </w:r>
      <w:r w:rsidRPr="009430CD">
        <w:rPr>
          <w:szCs w:val="22"/>
        </w:rPr>
        <w:t xml:space="preserve"> </w:t>
      </w:r>
      <w:r>
        <w:rPr>
          <w:szCs w:val="22"/>
        </w:rPr>
        <w:t>την</w:t>
      </w:r>
      <w:r w:rsidRPr="009430CD">
        <w:rPr>
          <w:szCs w:val="22"/>
        </w:rPr>
        <w:t xml:space="preserve"> </w:t>
      </w:r>
      <w:r>
        <w:rPr>
          <w:szCs w:val="22"/>
        </w:rPr>
        <w:t>συνήθη</w:t>
      </w:r>
      <w:r w:rsidRPr="009430CD">
        <w:rPr>
          <w:szCs w:val="22"/>
        </w:rPr>
        <w:t xml:space="preserve"> </w:t>
      </w:r>
      <w:r>
        <w:rPr>
          <w:szCs w:val="22"/>
        </w:rPr>
        <w:t>δοσολογία</w:t>
      </w:r>
      <w:r w:rsidRPr="009430CD">
        <w:rPr>
          <w:szCs w:val="22"/>
        </w:rPr>
        <w:t xml:space="preserve"> </w:t>
      </w:r>
      <w:r>
        <w:rPr>
          <w:szCs w:val="22"/>
        </w:rPr>
        <w:t>των</w:t>
      </w:r>
      <w:r w:rsidRPr="009430CD">
        <w:rPr>
          <w:szCs w:val="22"/>
        </w:rPr>
        <w:t xml:space="preserve"> </w:t>
      </w:r>
      <w:r>
        <w:rPr>
          <w:szCs w:val="22"/>
        </w:rPr>
        <w:t>ενηλίκων</w:t>
      </w:r>
      <w:r w:rsidRPr="009430CD">
        <w:rPr>
          <w:szCs w:val="22"/>
        </w:rPr>
        <w:t xml:space="preserve"> </w:t>
      </w:r>
      <w:r>
        <w:rPr>
          <w:szCs w:val="22"/>
        </w:rPr>
        <w:t>μια</w:t>
      </w:r>
      <w:r w:rsidRPr="009430CD">
        <w:rPr>
          <w:szCs w:val="22"/>
        </w:rPr>
        <w:t xml:space="preserve"> </w:t>
      </w:r>
      <w:r>
        <w:rPr>
          <w:szCs w:val="22"/>
        </w:rPr>
        <w:t>φορά</w:t>
      </w:r>
      <w:r w:rsidRPr="009430CD">
        <w:rPr>
          <w:szCs w:val="22"/>
        </w:rPr>
        <w:t xml:space="preserve"> </w:t>
      </w:r>
      <w:r>
        <w:rPr>
          <w:szCs w:val="22"/>
        </w:rPr>
        <w:t>την</w:t>
      </w:r>
      <w:r w:rsidRPr="009430CD">
        <w:rPr>
          <w:szCs w:val="22"/>
        </w:rPr>
        <w:t xml:space="preserve"> </w:t>
      </w:r>
      <w:r>
        <w:rPr>
          <w:szCs w:val="22"/>
        </w:rPr>
        <w:t>ημέρα</w:t>
      </w:r>
      <w:r w:rsidRPr="009430CD">
        <w:rPr>
          <w:szCs w:val="22"/>
        </w:rPr>
        <w:t xml:space="preserve"> (</w:t>
      </w:r>
      <w:r>
        <w:rPr>
          <w:szCs w:val="22"/>
        </w:rPr>
        <w:t>δείτε</w:t>
      </w:r>
      <w:r w:rsidRPr="009430CD">
        <w:rPr>
          <w:szCs w:val="22"/>
        </w:rPr>
        <w:t xml:space="preserve"> </w:t>
      </w:r>
      <w:r>
        <w:rPr>
          <w:szCs w:val="22"/>
        </w:rPr>
        <w:t xml:space="preserve">παραπάνω). </w:t>
      </w:r>
    </w:p>
    <w:p w:rsidR="009430CD" w:rsidRDefault="009430CD" w:rsidP="00E112FB">
      <w:pPr>
        <w:autoSpaceDE w:val="0"/>
        <w:autoSpaceDN w:val="0"/>
        <w:adjustRightInd w:val="0"/>
        <w:jc w:val="both"/>
        <w:rPr>
          <w:i/>
          <w:iCs/>
          <w:szCs w:val="22"/>
        </w:rPr>
      </w:pPr>
    </w:p>
    <w:p w:rsidR="009430CD" w:rsidRPr="00E9496F" w:rsidRDefault="009430CD" w:rsidP="006718E7">
      <w:pPr>
        <w:autoSpaceDE w:val="0"/>
        <w:autoSpaceDN w:val="0"/>
        <w:adjustRightInd w:val="0"/>
        <w:rPr>
          <w:szCs w:val="22"/>
        </w:rPr>
      </w:pPr>
      <w:r>
        <w:rPr>
          <w:i/>
          <w:iCs/>
          <w:szCs w:val="22"/>
        </w:rPr>
        <w:t>Ηλικιωμένοι</w:t>
      </w:r>
      <w:r w:rsidRPr="00E9496F">
        <w:rPr>
          <w:i/>
          <w:iCs/>
          <w:szCs w:val="22"/>
        </w:rPr>
        <w:t>:</w:t>
      </w:r>
    </w:p>
    <w:p w:rsidR="009430CD" w:rsidRDefault="009430CD" w:rsidP="00FF2134">
      <w:pPr>
        <w:autoSpaceDE w:val="0"/>
        <w:autoSpaceDN w:val="0"/>
        <w:adjustRightInd w:val="0"/>
        <w:jc w:val="both"/>
        <w:rPr>
          <w:szCs w:val="22"/>
        </w:rPr>
      </w:pPr>
      <w:r>
        <w:rPr>
          <w:szCs w:val="22"/>
        </w:rPr>
        <w:t>Στους</w:t>
      </w:r>
      <w:r w:rsidRPr="009430CD">
        <w:rPr>
          <w:szCs w:val="22"/>
        </w:rPr>
        <w:t xml:space="preserve"> </w:t>
      </w:r>
      <w:r>
        <w:rPr>
          <w:szCs w:val="22"/>
        </w:rPr>
        <w:t>ηλικιωμένους</w:t>
      </w:r>
      <w:r w:rsidRPr="009430CD">
        <w:rPr>
          <w:szCs w:val="22"/>
        </w:rPr>
        <w:t xml:space="preserve"> </w:t>
      </w:r>
      <w:r>
        <w:rPr>
          <w:szCs w:val="22"/>
        </w:rPr>
        <w:t>ασθενείς</w:t>
      </w:r>
      <w:r w:rsidRPr="009430CD">
        <w:rPr>
          <w:szCs w:val="22"/>
        </w:rPr>
        <w:t xml:space="preserve"> </w:t>
      </w:r>
      <w:r>
        <w:rPr>
          <w:szCs w:val="22"/>
        </w:rPr>
        <w:t>οι</w:t>
      </w:r>
      <w:r w:rsidRPr="009430CD">
        <w:rPr>
          <w:szCs w:val="22"/>
        </w:rPr>
        <w:t xml:space="preserve"> </w:t>
      </w:r>
      <w:r>
        <w:rPr>
          <w:szCs w:val="22"/>
        </w:rPr>
        <w:t>συνιστώμενες</w:t>
      </w:r>
      <w:r w:rsidRPr="009430CD">
        <w:rPr>
          <w:szCs w:val="22"/>
        </w:rPr>
        <w:t xml:space="preserve"> </w:t>
      </w:r>
      <w:r>
        <w:rPr>
          <w:szCs w:val="22"/>
        </w:rPr>
        <w:t>δοσολογίες</w:t>
      </w:r>
      <w:r w:rsidRPr="009430CD">
        <w:rPr>
          <w:szCs w:val="22"/>
        </w:rPr>
        <w:t xml:space="preserve"> </w:t>
      </w:r>
      <w:r>
        <w:rPr>
          <w:szCs w:val="22"/>
        </w:rPr>
        <w:t>είναι</w:t>
      </w:r>
      <w:r w:rsidRPr="009430CD">
        <w:rPr>
          <w:szCs w:val="22"/>
        </w:rPr>
        <w:t xml:space="preserve"> </w:t>
      </w:r>
      <w:r>
        <w:rPr>
          <w:szCs w:val="22"/>
        </w:rPr>
        <w:t>οι</w:t>
      </w:r>
      <w:r w:rsidRPr="009430CD">
        <w:rPr>
          <w:szCs w:val="22"/>
        </w:rPr>
        <w:t xml:space="preserve"> </w:t>
      </w:r>
      <w:r>
        <w:rPr>
          <w:szCs w:val="22"/>
        </w:rPr>
        <w:t>ίδιες</w:t>
      </w:r>
      <w:r w:rsidRPr="009430CD">
        <w:rPr>
          <w:szCs w:val="22"/>
        </w:rPr>
        <w:t xml:space="preserve"> </w:t>
      </w:r>
      <w:r>
        <w:rPr>
          <w:szCs w:val="22"/>
        </w:rPr>
        <w:t>με</w:t>
      </w:r>
      <w:r w:rsidRPr="009430CD">
        <w:rPr>
          <w:szCs w:val="22"/>
        </w:rPr>
        <w:t xml:space="preserve"> </w:t>
      </w:r>
      <w:r>
        <w:rPr>
          <w:szCs w:val="22"/>
        </w:rPr>
        <w:t>των</w:t>
      </w:r>
      <w:r w:rsidRPr="009430CD">
        <w:rPr>
          <w:szCs w:val="22"/>
        </w:rPr>
        <w:t xml:space="preserve"> </w:t>
      </w:r>
      <w:r>
        <w:rPr>
          <w:szCs w:val="22"/>
        </w:rPr>
        <w:t>ενηλίκων</w:t>
      </w:r>
      <w:r w:rsidRPr="009430CD">
        <w:rPr>
          <w:szCs w:val="22"/>
        </w:rPr>
        <w:t xml:space="preserve"> – </w:t>
      </w:r>
      <w:r>
        <w:rPr>
          <w:szCs w:val="22"/>
        </w:rPr>
        <w:t>χωρίς</w:t>
      </w:r>
      <w:r w:rsidRPr="009430CD">
        <w:rPr>
          <w:szCs w:val="22"/>
        </w:rPr>
        <w:t xml:space="preserve">  </w:t>
      </w:r>
      <w:r>
        <w:rPr>
          <w:szCs w:val="22"/>
        </w:rPr>
        <w:t xml:space="preserve">διαφοροποιήσεις. </w:t>
      </w:r>
    </w:p>
    <w:p w:rsidR="009430CD" w:rsidRPr="00E9496F" w:rsidRDefault="009430CD" w:rsidP="006718E7">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2842"/>
        <w:gridCol w:w="2833"/>
      </w:tblGrid>
      <w:tr w:rsidR="009430CD" w:rsidRPr="007F0213" w:rsidTr="007F0213">
        <w:tc>
          <w:tcPr>
            <w:tcW w:w="2854" w:type="dxa"/>
            <w:shd w:val="clear" w:color="auto" w:fill="auto"/>
          </w:tcPr>
          <w:p w:rsidR="009430CD" w:rsidRPr="007F0213" w:rsidRDefault="009430CD" w:rsidP="007F0213">
            <w:pPr>
              <w:autoSpaceDE w:val="0"/>
              <w:autoSpaceDN w:val="0"/>
              <w:adjustRightInd w:val="0"/>
              <w:rPr>
                <w:szCs w:val="22"/>
              </w:rPr>
            </w:pPr>
            <w:r w:rsidRPr="007F0213">
              <w:rPr>
                <w:szCs w:val="22"/>
              </w:rPr>
              <w:t>Ηλικιακή ομάδα</w:t>
            </w:r>
          </w:p>
        </w:tc>
        <w:tc>
          <w:tcPr>
            <w:tcW w:w="2842" w:type="dxa"/>
            <w:shd w:val="clear" w:color="auto" w:fill="auto"/>
          </w:tcPr>
          <w:p w:rsidR="009430CD" w:rsidRPr="007F0213" w:rsidRDefault="009430CD" w:rsidP="007F0213">
            <w:pPr>
              <w:autoSpaceDE w:val="0"/>
              <w:autoSpaceDN w:val="0"/>
              <w:adjustRightInd w:val="0"/>
              <w:rPr>
                <w:szCs w:val="22"/>
              </w:rPr>
            </w:pPr>
            <w:r w:rsidRPr="007F0213">
              <w:rPr>
                <w:szCs w:val="22"/>
              </w:rPr>
              <w:t>Συνήθης δοσολογία</w:t>
            </w:r>
          </w:p>
        </w:tc>
        <w:tc>
          <w:tcPr>
            <w:tcW w:w="2833" w:type="dxa"/>
            <w:shd w:val="clear" w:color="auto" w:fill="auto"/>
          </w:tcPr>
          <w:p w:rsidR="009430CD" w:rsidRPr="007F0213" w:rsidRDefault="009430CD" w:rsidP="007F0213">
            <w:pPr>
              <w:autoSpaceDE w:val="0"/>
              <w:autoSpaceDN w:val="0"/>
              <w:adjustRightInd w:val="0"/>
              <w:rPr>
                <w:szCs w:val="22"/>
              </w:rPr>
            </w:pPr>
            <w:r w:rsidRPr="007F0213">
              <w:rPr>
                <w:szCs w:val="22"/>
              </w:rPr>
              <w:t>Συχνότητα</w:t>
            </w:r>
          </w:p>
        </w:tc>
      </w:tr>
      <w:tr w:rsidR="009430CD" w:rsidRPr="007F0213" w:rsidTr="007F0213">
        <w:tc>
          <w:tcPr>
            <w:tcW w:w="2854" w:type="dxa"/>
            <w:shd w:val="clear" w:color="auto" w:fill="auto"/>
          </w:tcPr>
          <w:p w:rsidR="009430CD" w:rsidRPr="007F0213" w:rsidRDefault="009430CD" w:rsidP="007F0213">
            <w:pPr>
              <w:autoSpaceDE w:val="0"/>
              <w:autoSpaceDN w:val="0"/>
              <w:adjustRightInd w:val="0"/>
              <w:rPr>
                <w:szCs w:val="22"/>
                <w:lang w:val="en-GB"/>
              </w:rPr>
            </w:pPr>
            <w:r w:rsidRPr="007F0213">
              <w:rPr>
                <w:szCs w:val="22"/>
              </w:rPr>
              <w:t>Νεογέννητα βρέφη</w:t>
            </w:r>
            <w:r w:rsidRPr="007F0213">
              <w:rPr>
                <w:szCs w:val="22"/>
                <w:lang w:val="en-GB"/>
              </w:rPr>
              <w:t xml:space="preserve"> (</w:t>
            </w:r>
            <w:r w:rsidRPr="007F0213">
              <w:rPr>
                <w:szCs w:val="22"/>
              </w:rPr>
              <w:t>ηλικία</w:t>
            </w:r>
            <w:r w:rsidRPr="007F0213">
              <w:rPr>
                <w:szCs w:val="22"/>
                <w:lang w:val="en-GB"/>
              </w:rPr>
              <w:t xml:space="preserve"> 0</w:t>
            </w:r>
          </w:p>
          <w:p w:rsidR="009430CD" w:rsidRPr="007F0213" w:rsidRDefault="009430CD" w:rsidP="007F0213">
            <w:pPr>
              <w:autoSpaceDE w:val="0"/>
              <w:autoSpaceDN w:val="0"/>
              <w:adjustRightInd w:val="0"/>
              <w:rPr>
                <w:szCs w:val="22"/>
                <w:lang w:val="en-GB"/>
              </w:rPr>
            </w:pPr>
            <w:r w:rsidRPr="007F0213">
              <w:rPr>
                <w:szCs w:val="22"/>
                <w:lang w:val="en-GB"/>
              </w:rPr>
              <w:t xml:space="preserve">– 14 </w:t>
            </w:r>
            <w:r w:rsidRPr="007F0213">
              <w:rPr>
                <w:szCs w:val="22"/>
              </w:rPr>
              <w:t>ημερών</w:t>
            </w:r>
            <w:r w:rsidRPr="007F0213">
              <w:rPr>
                <w:szCs w:val="22"/>
                <w:lang w:val="en-GB"/>
              </w:rPr>
              <w:t>)</w:t>
            </w:r>
          </w:p>
        </w:tc>
        <w:tc>
          <w:tcPr>
            <w:tcW w:w="2842" w:type="dxa"/>
            <w:shd w:val="clear" w:color="auto" w:fill="auto"/>
          </w:tcPr>
          <w:p w:rsidR="009430CD" w:rsidRPr="007F0213" w:rsidRDefault="009430CD" w:rsidP="007F0213">
            <w:pPr>
              <w:autoSpaceDE w:val="0"/>
              <w:autoSpaceDN w:val="0"/>
              <w:adjustRightInd w:val="0"/>
              <w:rPr>
                <w:szCs w:val="22"/>
                <w:lang w:val="de-DE"/>
              </w:rPr>
            </w:pPr>
            <w:r w:rsidRPr="007F0213">
              <w:rPr>
                <w:szCs w:val="22"/>
                <w:lang w:val="de-DE"/>
              </w:rPr>
              <w:t>20 – 50 mg/kg</w:t>
            </w:r>
          </w:p>
          <w:p w:rsidR="009430CD" w:rsidRPr="007F0213" w:rsidRDefault="009430CD" w:rsidP="007F0213">
            <w:pPr>
              <w:autoSpaceDE w:val="0"/>
              <w:autoSpaceDN w:val="0"/>
              <w:adjustRightInd w:val="0"/>
              <w:rPr>
                <w:szCs w:val="22"/>
                <w:lang w:val="de-DE"/>
              </w:rPr>
            </w:pPr>
            <w:r w:rsidRPr="007F0213">
              <w:rPr>
                <w:szCs w:val="22"/>
              </w:rPr>
              <w:t>μέγιστη</w:t>
            </w:r>
            <w:r w:rsidRPr="007F0213">
              <w:rPr>
                <w:szCs w:val="22"/>
                <w:lang w:val="de-DE"/>
              </w:rPr>
              <w:t>: 50 mg/kg</w:t>
            </w:r>
          </w:p>
        </w:tc>
        <w:tc>
          <w:tcPr>
            <w:tcW w:w="2833" w:type="dxa"/>
            <w:shd w:val="clear" w:color="auto" w:fill="auto"/>
          </w:tcPr>
          <w:p w:rsidR="009430CD" w:rsidRPr="007F0213" w:rsidRDefault="009430CD" w:rsidP="007F0213">
            <w:pPr>
              <w:autoSpaceDE w:val="0"/>
              <w:autoSpaceDN w:val="0"/>
              <w:adjustRightInd w:val="0"/>
              <w:jc w:val="both"/>
              <w:rPr>
                <w:rFonts w:cs="Arial"/>
              </w:rPr>
            </w:pPr>
            <w:r w:rsidRPr="007F0213">
              <w:rPr>
                <w:rFonts w:cs="Arial"/>
              </w:rPr>
              <w:t>Άπαξ ημερησίως</w:t>
            </w:r>
          </w:p>
        </w:tc>
      </w:tr>
      <w:tr w:rsidR="009430CD" w:rsidRPr="007F0213" w:rsidTr="007F0213">
        <w:tc>
          <w:tcPr>
            <w:tcW w:w="2854" w:type="dxa"/>
            <w:shd w:val="clear" w:color="auto" w:fill="auto"/>
          </w:tcPr>
          <w:p w:rsidR="009430CD" w:rsidRPr="007F0213" w:rsidRDefault="009430CD" w:rsidP="007F0213">
            <w:pPr>
              <w:autoSpaceDE w:val="0"/>
              <w:autoSpaceDN w:val="0"/>
              <w:adjustRightInd w:val="0"/>
              <w:rPr>
                <w:szCs w:val="22"/>
                <w:lang w:val="en-GB"/>
              </w:rPr>
            </w:pPr>
            <w:r w:rsidRPr="007F0213">
              <w:rPr>
                <w:szCs w:val="22"/>
              </w:rPr>
              <w:t>Παιδιά</w:t>
            </w:r>
            <w:r w:rsidRPr="007F0213">
              <w:rPr>
                <w:szCs w:val="22"/>
                <w:lang w:val="en-GB"/>
              </w:rPr>
              <w:t xml:space="preserve"> (15 </w:t>
            </w:r>
            <w:r w:rsidRPr="007F0213">
              <w:rPr>
                <w:szCs w:val="22"/>
              </w:rPr>
              <w:t>ημερών</w:t>
            </w:r>
            <w:r w:rsidRPr="007F0213">
              <w:rPr>
                <w:szCs w:val="22"/>
                <w:lang w:val="en-GB"/>
              </w:rPr>
              <w:t xml:space="preserve"> - 12</w:t>
            </w:r>
          </w:p>
          <w:p w:rsidR="009430CD" w:rsidRPr="007F0213" w:rsidRDefault="009430CD" w:rsidP="007F0213">
            <w:pPr>
              <w:autoSpaceDE w:val="0"/>
              <w:autoSpaceDN w:val="0"/>
              <w:adjustRightInd w:val="0"/>
              <w:rPr>
                <w:szCs w:val="22"/>
                <w:lang w:val="en-GB"/>
              </w:rPr>
            </w:pPr>
            <w:r w:rsidRPr="007F0213">
              <w:rPr>
                <w:szCs w:val="22"/>
              </w:rPr>
              <w:t>ετών</w:t>
            </w:r>
            <w:r w:rsidRPr="007F0213">
              <w:rPr>
                <w:szCs w:val="22"/>
                <w:lang w:val="en-GB"/>
              </w:rPr>
              <w:t>), &lt; 50 kg)</w:t>
            </w:r>
          </w:p>
        </w:tc>
        <w:tc>
          <w:tcPr>
            <w:tcW w:w="2842" w:type="dxa"/>
            <w:shd w:val="clear" w:color="auto" w:fill="auto"/>
          </w:tcPr>
          <w:p w:rsidR="009430CD" w:rsidRPr="007F0213" w:rsidRDefault="009430CD" w:rsidP="007F0213">
            <w:pPr>
              <w:autoSpaceDE w:val="0"/>
              <w:autoSpaceDN w:val="0"/>
              <w:adjustRightInd w:val="0"/>
              <w:rPr>
                <w:szCs w:val="22"/>
                <w:lang w:val="nl-NL"/>
              </w:rPr>
            </w:pPr>
            <w:r w:rsidRPr="007F0213">
              <w:rPr>
                <w:szCs w:val="22"/>
                <w:lang w:val="nl-NL"/>
              </w:rPr>
              <w:t xml:space="preserve">20 - 80 mg/kg </w:t>
            </w:r>
          </w:p>
          <w:p w:rsidR="009430CD" w:rsidRPr="007F0213" w:rsidRDefault="009430CD" w:rsidP="007F0213">
            <w:pPr>
              <w:autoSpaceDE w:val="0"/>
              <w:autoSpaceDN w:val="0"/>
              <w:adjustRightInd w:val="0"/>
              <w:rPr>
                <w:szCs w:val="22"/>
                <w:lang w:val="nl-NL"/>
              </w:rPr>
            </w:pPr>
            <w:r w:rsidRPr="007F0213">
              <w:rPr>
                <w:szCs w:val="22"/>
              </w:rPr>
              <w:t>μέγιστη</w:t>
            </w:r>
            <w:r w:rsidRPr="007F0213">
              <w:rPr>
                <w:szCs w:val="22"/>
                <w:lang w:val="nl-NL"/>
              </w:rPr>
              <w:t>: 80 mg/kg</w:t>
            </w:r>
          </w:p>
          <w:p w:rsidR="009430CD" w:rsidRPr="007F0213" w:rsidRDefault="009430CD" w:rsidP="007F0213">
            <w:pPr>
              <w:autoSpaceDE w:val="0"/>
              <w:autoSpaceDN w:val="0"/>
              <w:adjustRightInd w:val="0"/>
              <w:rPr>
                <w:szCs w:val="22"/>
                <w:lang w:val="nl-NL"/>
              </w:rPr>
            </w:pPr>
            <w:r w:rsidRPr="007F0213">
              <w:rPr>
                <w:szCs w:val="22"/>
                <w:lang w:val="nl-NL"/>
              </w:rPr>
              <w:t xml:space="preserve">(- 100 mg/kg </w:t>
            </w:r>
            <w:r w:rsidRPr="007F0213">
              <w:rPr>
                <w:szCs w:val="22"/>
              </w:rPr>
              <w:t>στην</w:t>
            </w:r>
            <w:r w:rsidRPr="00E9496F">
              <w:rPr>
                <w:szCs w:val="22"/>
                <w:lang w:val="en-GB"/>
              </w:rPr>
              <w:t xml:space="preserve"> </w:t>
            </w:r>
            <w:r w:rsidRPr="007F0213">
              <w:rPr>
                <w:szCs w:val="22"/>
              </w:rPr>
              <w:t>μινιγγίτιδα</w:t>
            </w:r>
            <w:r w:rsidRPr="007F0213">
              <w:rPr>
                <w:szCs w:val="22"/>
                <w:lang w:val="nl-NL"/>
              </w:rPr>
              <w:t>)</w:t>
            </w:r>
          </w:p>
        </w:tc>
        <w:tc>
          <w:tcPr>
            <w:tcW w:w="2833" w:type="dxa"/>
            <w:shd w:val="clear" w:color="auto" w:fill="auto"/>
          </w:tcPr>
          <w:p w:rsidR="009430CD" w:rsidRPr="007F0213" w:rsidRDefault="009430CD" w:rsidP="007F0213">
            <w:pPr>
              <w:autoSpaceDE w:val="0"/>
              <w:autoSpaceDN w:val="0"/>
              <w:adjustRightInd w:val="0"/>
              <w:jc w:val="both"/>
              <w:rPr>
                <w:rFonts w:cs="Arial"/>
              </w:rPr>
            </w:pPr>
            <w:r w:rsidRPr="007F0213">
              <w:rPr>
                <w:rFonts w:cs="Arial"/>
              </w:rPr>
              <w:t>Άπαξ ημερησίως</w:t>
            </w:r>
          </w:p>
        </w:tc>
      </w:tr>
      <w:tr w:rsidR="009430CD" w:rsidRPr="007F0213" w:rsidTr="007F0213">
        <w:tc>
          <w:tcPr>
            <w:tcW w:w="2854" w:type="dxa"/>
            <w:shd w:val="clear" w:color="auto" w:fill="auto"/>
          </w:tcPr>
          <w:p w:rsidR="009430CD" w:rsidRPr="007F0213" w:rsidRDefault="009430CD" w:rsidP="007F0213">
            <w:pPr>
              <w:autoSpaceDE w:val="0"/>
              <w:autoSpaceDN w:val="0"/>
              <w:adjustRightInd w:val="0"/>
              <w:rPr>
                <w:szCs w:val="22"/>
                <w:lang w:val="en-GB"/>
              </w:rPr>
            </w:pPr>
            <w:r w:rsidRPr="007F0213">
              <w:rPr>
                <w:szCs w:val="22"/>
              </w:rPr>
              <w:t>Έφηβοι</w:t>
            </w:r>
            <w:r w:rsidRPr="007F0213">
              <w:rPr>
                <w:szCs w:val="22"/>
                <w:lang w:val="en-GB"/>
              </w:rPr>
              <w:t xml:space="preserve"> (12 - 17 </w:t>
            </w:r>
            <w:r w:rsidRPr="007F0213">
              <w:rPr>
                <w:szCs w:val="22"/>
              </w:rPr>
              <w:t>ετών</w:t>
            </w:r>
            <w:r w:rsidRPr="007F0213">
              <w:rPr>
                <w:szCs w:val="22"/>
                <w:lang w:val="en-GB"/>
              </w:rPr>
              <w:t>,</w:t>
            </w:r>
          </w:p>
          <w:p w:rsidR="009430CD" w:rsidRPr="007F0213" w:rsidRDefault="009430CD" w:rsidP="007F0213">
            <w:pPr>
              <w:autoSpaceDE w:val="0"/>
              <w:autoSpaceDN w:val="0"/>
              <w:adjustRightInd w:val="0"/>
              <w:rPr>
                <w:szCs w:val="22"/>
                <w:lang w:val="en-GB"/>
              </w:rPr>
            </w:pPr>
            <w:r w:rsidRPr="007F0213">
              <w:rPr>
                <w:szCs w:val="22"/>
                <w:lang w:val="en-GB"/>
              </w:rPr>
              <w:t>&gt;50 kg)</w:t>
            </w:r>
          </w:p>
        </w:tc>
        <w:tc>
          <w:tcPr>
            <w:tcW w:w="2842" w:type="dxa"/>
            <w:shd w:val="clear" w:color="auto" w:fill="auto"/>
          </w:tcPr>
          <w:p w:rsidR="009430CD" w:rsidRPr="007F0213" w:rsidRDefault="009430CD" w:rsidP="007F0213">
            <w:pPr>
              <w:autoSpaceDE w:val="0"/>
              <w:autoSpaceDN w:val="0"/>
              <w:adjustRightInd w:val="0"/>
              <w:rPr>
                <w:szCs w:val="22"/>
                <w:lang w:val="en-GB"/>
              </w:rPr>
            </w:pPr>
            <w:r w:rsidRPr="007F0213">
              <w:rPr>
                <w:szCs w:val="22"/>
                <w:lang w:val="en-GB"/>
              </w:rPr>
              <w:t>1 - 2 g</w:t>
            </w:r>
          </w:p>
          <w:p w:rsidR="009430CD" w:rsidRPr="007F0213" w:rsidRDefault="009430CD" w:rsidP="007F0213">
            <w:pPr>
              <w:autoSpaceDE w:val="0"/>
              <w:autoSpaceDN w:val="0"/>
              <w:adjustRightInd w:val="0"/>
              <w:rPr>
                <w:szCs w:val="22"/>
                <w:lang w:val="en-GB"/>
              </w:rPr>
            </w:pPr>
            <w:r w:rsidRPr="007F0213">
              <w:rPr>
                <w:szCs w:val="22"/>
              </w:rPr>
              <w:t>μέγιστη</w:t>
            </w:r>
            <w:r w:rsidRPr="007F0213">
              <w:rPr>
                <w:szCs w:val="22"/>
                <w:lang w:val="en-GB"/>
              </w:rPr>
              <w:t>: 4 g</w:t>
            </w:r>
          </w:p>
        </w:tc>
        <w:tc>
          <w:tcPr>
            <w:tcW w:w="2833" w:type="dxa"/>
            <w:shd w:val="clear" w:color="auto" w:fill="auto"/>
          </w:tcPr>
          <w:p w:rsidR="009430CD" w:rsidRPr="007F0213" w:rsidRDefault="009430CD" w:rsidP="007F0213">
            <w:pPr>
              <w:autoSpaceDE w:val="0"/>
              <w:autoSpaceDN w:val="0"/>
              <w:adjustRightInd w:val="0"/>
              <w:jc w:val="both"/>
              <w:rPr>
                <w:rFonts w:cs="Arial"/>
              </w:rPr>
            </w:pPr>
            <w:r w:rsidRPr="007F0213">
              <w:rPr>
                <w:rFonts w:cs="Arial"/>
              </w:rPr>
              <w:t>Άπαξ ημερησίως</w:t>
            </w:r>
          </w:p>
        </w:tc>
      </w:tr>
      <w:tr w:rsidR="009430CD" w:rsidRPr="007F0213" w:rsidTr="007F0213">
        <w:tc>
          <w:tcPr>
            <w:tcW w:w="2854" w:type="dxa"/>
            <w:shd w:val="clear" w:color="auto" w:fill="auto"/>
          </w:tcPr>
          <w:p w:rsidR="009430CD" w:rsidRPr="007F0213" w:rsidRDefault="009430CD" w:rsidP="007F0213">
            <w:pPr>
              <w:autoSpaceDE w:val="0"/>
              <w:autoSpaceDN w:val="0"/>
              <w:adjustRightInd w:val="0"/>
              <w:rPr>
                <w:szCs w:val="22"/>
                <w:lang w:val="en-GB"/>
              </w:rPr>
            </w:pPr>
            <w:r w:rsidRPr="007F0213">
              <w:rPr>
                <w:szCs w:val="22"/>
              </w:rPr>
              <w:t>Ενήλικες</w:t>
            </w:r>
            <w:r w:rsidRPr="007F0213">
              <w:rPr>
                <w:szCs w:val="22"/>
                <w:lang w:val="en-GB"/>
              </w:rPr>
              <w:t xml:space="preserve"> (&gt;</w:t>
            </w:r>
            <w:r w:rsidRPr="007F0213">
              <w:rPr>
                <w:szCs w:val="22"/>
              </w:rPr>
              <w:t xml:space="preserve"> </w:t>
            </w:r>
            <w:r w:rsidRPr="007F0213">
              <w:rPr>
                <w:szCs w:val="22"/>
                <w:lang w:val="en-GB"/>
              </w:rPr>
              <w:t xml:space="preserve">17 </w:t>
            </w:r>
            <w:r w:rsidRPr="007F0213">
              <w:rPr>
                <w:szCs w:val="22"/>
              </w:rPr>
              <w:t>ετών</w:t>
            </w:r>
            <w:r w:rsidRPr="007F0213">
              <w:rPr>
                <w:szCs w:val="22"/>
                <w:lang w:val="en-GB"/>
              </w:rPr>
              <w:t>)</w:t>
            </w:r>
          </w:p>
        </w:tc>
        <w:tc>
          <w:tcPr>
            <w:tcW w:w="2842" w:type="dxa"/>
            <w:shd w:val="clear" w:color="auto" w:fill="auto"/>
          </w:tcPr>
          <w:p w:rsidR="009430CD" w:rsidRPr="007F0213" w:rsidRDefault="009430CD" w:rsidP="007F0213">
            <w:pPr>
              <w:autoSpaceDE w:val="0"/>
              <w:autoSpaceDN w:val="0"/>
              <w:adjustRightInd w:val="0"/>
              <w:rPr>
                <w:szCs w:val="22"/>
                <w:lang w:val="en-GB"/>
              </w:rPr>
            </w:pPr>
            <w:r w:rsidRPr="007F0213">
              <w:rPr>
                <w:szCs w:val="22"/>
                <w:lang w:val="en-GB"/>
              </w:rPr>
              <w:t>1 - 2 g</w:t>
            </w:r>
          </w:p>
          <w:p w:rsidR="009430CD" w:rsidRPr="007F0213" w:rsidRDefault="009430CD" w:rsidP="007F0213">
            <w:pPr>
              <w:autoSpaceDE w:val="0"/>
              <w:autoSpaceDN w:val="0"/>
              <w:adjustRightInd w:val="0"/>
              <w:rPr>
                <w:szCs w:val="22"/>
                <w:lang w:val="en-GB"/>
              </w:rPr>
            </w:pPr>
            <w:r w:rsidRPr="007F0213">
              <w:rPr>
                <w:szCs w:val="22"/>
              </w:rPr>
              <w:t>μέγιστη</w:t>
            </w:r>
            <w:r w:rsidRPr="007F0213">
              <w:rPr>
                <w:szCs w:val="22"/>
                <w:lang w:val="en-GB"/>
              </w:rPr>
              <w:t>: 4 g</w:t>
            </w:r>
          </w:p>
        </w:tc>
        <w:tc>
          <w:tcPr>
            <w:tcW w:w="2833" w:type="dxa"/>
            <w:shd w:val="clear" w:color="auto" w:fill="auto"/>
          </w:tcPr>
          <w:p w:rsidR="009430CD" w:rsidRPr="007F0213" w:rsidRDefault="009430CD" w:rsidP="007F0213">
            <w:pPr>
              <w:autoSpaceDE w:val="0"/>
              <w:autoSpaceDN w:val="0"/>
              <w:adjustRightInd w:val="0"/>
              <w:jc w:val="both"/>
              <w:rPr>
                <w:rFonts w:cs="Arial"/>
              </w:rPr>
            </w:pPr>
            <w:r w:rsidRPr="007F0213">
              <w:rPr>
                <w:rFonts w:cs="Arial"/>
              </w:rPr>
              <w:t>Άπαξ ημερησίως</w:t>
            </w:r>
          </w:p>
        </w:tc>
      </w:tr>
      <w:tr w:rsidR="009430CD" w:rsidRPr="007F0213" w:rsidTr="007F0213">
        <w:tc>
          <w:tcPr>
            <w:tcW w:w="2854" w:type="dxa"/>
            <w:shd w:val="clear" w:color="auto" w:fill="auto"/>
          </w:tcPr>
          <w:p w:rsidR="009430CD" w:rsidRPr="007F0213" w:rsidRDefault="009430CD" w:rsidP="007F0213">
            <w:pPr>
              <w:autoSpaceDE w:val="0"/>
              <w:autoSpaceDN w:val="0"/>
              <w:adjustRightInd w:val="0"/>
              <w:rPr>
                <w:szCs w:val="22"/>
              </w:rPr>
            </w:pPr>
            <w:r w:rsidRPr="007F0213">
              <w:rPr>
                <w:szCs w:val="22"/>
              </w:rPr>
              <w:t>Ηλικιωμένοι</w:t>
            </w:r>
          </w:p>
        </w:tc>
        <w:tc>
          <w:tcPr>
            <w:tcW w:w="2842" w:type="dxa"/>
            <w:shd w:val="clear" w:color="auto" w:fill="auto"/>
          </w:tcPr>
          <w:p w:rsidR="009430CD" w:rsidRPr="007F0213" w:rsidRDefault="009430CD" w:rsidP="007F0213">
            <w:pPr>
              <w:autoSpaceDE w:val="0"/>
              <w:autoSpaceDN w:val="0"/>
              <w:adjustRightInd w:val="0"/>
              <w:rPr>
                <w:szCs w:val="22"/>
                <w:lang w:val="en-GB"/>
              </w:rPr>
            </w:pPr>
            <w:r w:rsidRPr="007F0213">
              <w:rPr>
                <w:szCs w:val="22"/>
                <w:lang w:val="en-GB"/>
              </w:rPr>
              <w:t>1 - 2 g</w:t>
            </w:r>
          </w:p>
          <w:p w:rsidR="009430CD" w:rsidRPr="007F0213" w:rsidRDefault="009430CD" w:rsidP="007F0213">
            <w:pPr>
              <w:autoSpaceDE w:val="0"/>
              <w:autoSpaceDN w:val="0"/>
              <w:adjustRightInd w:val="0"/>
              <w:rPr>
                <w:szCs w:val="22"/>
                <w:lang w:val="en-GB"/>
              </w:rPr>
            </w:pPr>
            <w:r w:rsidRPr="007F0213">
              <w:rPr>
                <w:szCs w:val="22"/>
              </w:rPr>
              <w:t>μέγιστη</w:t>
            </w:r>
            <w:r w:rsidRPr="007F0213">
              <w:rPr>
                <w:szCs w:val="22"/>
                <w:lang w:val="en-GB"/>
              </w:rPr>
              <w:t>: 4 g</w:t>
            </w:r>
          </w:p>
        </w:tc>
        <w:tc>
          <w:tcPr>
            <w:tcW w:w="2833" w:type="dxa"/>
            <w:shd w:val="clear" w:color="auto" w:fill="auto"/>
          </w:tcPr>
          <w:p w:rsidR="009430CD" w:rsidRPr="007F0213" w:rsidRDefault="009430CD" w:rsidP="007F0213">
            <w:pPr>
              <w:autoSpaceDE w:val="0"/>
              <w:autoSpaceDN w:val="0"/>
              <w:adjustRightInd w:val="0"/>
              <w:jc w:val="both"/>
              <w:rPr>
                <w:rFonts w:cs="Arial"/>
              </w:rPr>
            </w:pPr>
            <w:r w:rsidRPr="007F0213">
              <w:rPr>
                <w:rFonts w:cs="Arial"/>
              </w:rPr>
              <w:t>Άπαξ ημερησίως</w:t>
            </w:r>
          </w:p>
        </w:tc>
      </w:tr>
    </w:tbl>
    <w:p w:rsidR="009430CD" w:rsidRPr="001C039E" w:rsidRDefault="009430CD" w:rsidP="006718E7">
      <w:pPr>
        <w:autoSpaceDE w:val="0"/>
        <w:autoSpaceDN w:val="0"/>
        <w:adjustRightInd w:val="0"/>
        <w:rPr>
          <w:szCs w:val="22"/>
          <w:lang w:val="en-GB"/>
        </w:rPr>
      </w:pPr>
    </w:p>
    <w:p w:rsidR="00C41AC2" w:rsidRPr="00C41AC2" w:rsidRDefault="00C41AC2" w:rsidP="00DB46E8">
      <w:pPr>
        <w:autoSpaceDE w:val="0"/>
        <w:autoSpaceDN w:val="0"/>
        <w:adjustRightInd w:val="0"/>
        <w:rPr>
          <w:rFonts w:cs="Arial"/>
          <w:u w:val="single"/>
        </w:rPr>
      </w:pPr>
      <w:r>
        <w:rPr>
          <w:rFonts w:cs="Arial"/>
          <w:u w:val="single"/>
        </w:rPr>
        <w:t>Ιδιαίτερες δοσολογικές οδηγίες</w:t>
      </w:r>
    </w:p>
    <w:p w:rsidR="00C41AC2" w:rsidRPr="009B0EBB" w:rsidRDefault="00C41AC2" w:rsidP="00DB46E8">
      <w:pPr>
        <w:autoSpaceDE w:val="0"/>
        <w:autoSpaceDN w:val="0"/>
        <w:adjustRightInd w:val="0"/>
        <w:rPr>
          <w:rFonts w:cs="Arial"/>
          <w:b/>
          <w:u w:val="single"/>
          <w:lang w:val="en-GB"/>
        </w:rPr>
      </w:pPr>
    </w:p>
    <w:p w:rsidR="00C41AC2" w:rsidRPr="009B0EBB" w:rsidRDefault="00C41AC2" w:rsidP="00DB46E8">
      <w:pPr>
        <w:autoSpaceDE w:val="0"/>
        <w:autoSpaceDN w:val="0"/>
        <w:adjustRightInd w:val="0"/>
        <w:rPr>
          <w:rFonts w:cs="Arial"/>
          <w:lang w:val="en-GB"/>
        </w:rPr>
      </w:pPr>
      <w:r>
        <w:rPr>
          <w:rFonts w:cs="Arial"/>
          <w:i/>
          <w:iCs/>
        </w:rPr>
        <w:t>Μηνιγγίτιδα</w:t>
      </w:r>
      <w:r w:rsidRPr="009B0EBB">
        <w:rPr>
          <w:rFonts w:cs="Arial"/>
          <w:i/>
          <w:iCs/>
          <w:lang w:val="en-GB"/>
        </w:rPr>
        <w:t>:</w:t>
      </w:r>
    </w:p>
    <w:p w:rsidR="009430CD" w:rsidRDefault="00075EC8" w:rsidP="00A50CE9">
      <w:pPr>
        <w:autoSpaceDE w:val="0"/>
        <w:autoSpaceDN w:val="0"/>
        <w:adjustRightInd w:val="0"/>
        <w:jc w:val="both"/>
        <w:rPr>
          <w:rFonts w:cs="Arial"/>
        </w:rPr>
      </w:pPr>
      <w:r>
        <w:rPr>
          <w:rFonts w:cs="Arial"/>
        </w:rPr>
        <w:t xml:space="preserve">Η </w:t>
      </w:r>
      <w:r w:rsidR="00C41AC2">
        <w:rPr>
          <w:rFonts w:cs="Arial"/>
        </w:rPr>
        <w:t>θεραπεία</w:t>
      </w:r>
      <w:r w:rsidR="00C41AC2" w:rsidRPr="00075EC8">
        <w:rPr>
          <w:rFonts w:cs="Arial"/>
        </w:rPr>
        <w:t xml:space="preserve"> </w:t>
      </w:r>
      <w:r>
        <w:rPr>
          <w:rFonts w:cs="Arial"/>
        </w:rPr>
        <w:t xml:space="preserve">ξεκινά </w:t>
      </w:r>
      <w:r w:rsidR="00C41AC2">
        <w:rPr>
          <w:rFonts w:cs="Arial"/>
        </w:rPr>
        <w:t>με</w:t>
      </w:r>
      <w:r w:rsidR="00C41AC2" w:rsidRPr="00075EC8">
        <w:rPr>
          <w:rFonts w:cs="Arial"/>
        </w:rPr>
        <w:t xml:space="preserve"> 100</w:t>
      </w:r>
      <w:r w:rsidR="00C41AC2">
        <w:rPr>
          <w:rFonts w:cs="Arial"/>
          <w:lang w:val="en-US"/>
        </w:rPr>
        <w:t>mg</w:t>
      </w:r>
      <w:r w:rsidR="00C41AC2" w:rsidRPr="00075EC8">
        <w:rPr>
          <w:rFonts w:cs="Arial"/>
        </w:rPr>
        <w:t xml:space="preserve"> </w:t>
      </w:r>
      <w:r w:rsidR="00C41AC2">
        <w:rPr>
          <w:rFonts w:cs="Arial"/>
        </w:rPr>
        <w:t>ανά</w:t>
      </w:r>
      <w:r w:rsidR="00C41AC2" w:rsidRPr="00075EC8">
        <w:rPr>
          <w:rFonts w:cs="Arial"/>
        </w:rPr>
        <w:t xml:space="preserve"> </w:t>
      </w:r>
      <w:r w:rsidR="00C41AC2">
        <w:rPr>
          <w:rFonts w:cs="Arial"/>
          <w:lang w:val="en-US"/>
        </w:rPr>
        <w:t>kg</w:t>
      </w:r>
      <w:r w:rsidR="009430CD">
        <w:rPr>
          <w:rFonts w:cs="Arial"/>
        </w:rPr>
        <w:t xml:space="preserve"> </w:t>
      </w:r>
      <w:r w:rsidR="00C41AC2">
        <w:rPr>
          <w:rFonts w:cs="Arial"/>
        </w:rPr>
        <w:t>βάρους</w:t>
      </w:r>
      <w:r w:rsidR="00C41AC2" w:rsidRPr="00075EC8">
        <w:rPr>
          <w:rFonts w:cs="Arial"/>
        </w:rPr>
        <w:t xml:space="preserve"> </w:t>
      </w:r>
      <w:r w:rsidR="00C41AC2">
        <w:rPr>
          <w:rFonts w:cs="Arial"/>
        </w:rPr>
        <w:t>σώματος</w:t>
      </w:r>
      <w:r w:rsidR="00C41AC2" w:rsidRPr="00075EC8">
        <w:rPr>
          <w:rFonts w:cs="Arial"/>
        </w:rPr>
        <w:t xml:space="preserve"> </w:t>
      </w:r>
      <w:r w:rsidR="00C41AC2">
        <w:rPr>
          <w:rFonts w:cs="Arial"/>
        </w:rPr>
        <w:t>μία</w:t>
      </w:r>
      <w:r w:rsidR="00C41AC2" w:rsidRPr="00075EC8">
        <w:rPr>
          <w:rFonts w:cs="Arial"/>
        </w:rPr>
        <w:t xml:space="preserve"> </w:t>
      </w:r>
      <w:r w:rsidR="00C41AC2">
        <w:rPr>
          <w:rFonts w:cs="Arial"/>
        </w:rPr>
        <w:t>φορά</w:t>
      </w:r>
      <w:r w:rsidR="00C41AC2" w:rsidRPr="00075EC8">
        <w:rPr>
          <w:rFonts w:cs="Arial"/>
        </w:rPr>
        <w:t xml:space="preserve"> </w:t>
      </w:r>
      <w:r w:rsidR="00C41AC2">
        <w:rPr>
          <w:rFonts w:cs="Arial"/>
        </w:rPr>
        <w:t>την</w:t>
      </w:r>
      <w:r w:rsidR="00C41AC2" w:rsidRPr="00075EC8">
        <w:rPr>
          <w:rFonts w:cs="Arial"/>
        </w:rPr>
        <w:t xml:space="preserve"> </w:t>
      </w:r>
      <w:r w:rsidR="00C41AC2">
        <w:rPr>
          <w:rFonts w:cs="Arial"/>
        </w:rPr>
        <w:t>ημέρα</w:t>
      </w:r>
      <w:r w:rsidR="00C41AC2" w:rsidRPr="00075EC8">
        <w:rPr>
          <w:rFonts w:cs="Arial"/>
        </w:rPr>
        <w:t xml:space="preserve"> –</w:t>
      </w:r>
      <w:r w:rsidR="00C41AC2">
        <w:rPr>
          <w:rFonts w:cs="Arial"/>
        </w:rPr>
        <w:t>μην</w:t>
      </w:r>
      <w:r w:rsidR="00C41AC2" w:rsidRPr="00075EC8">
        <w:rPr>
          <w:rFonts w:cs="Arial"/>
        </w:rPr>
        <w:t xml:space="preserve"> </w:t>
      </w:r>
      <w:r w:rsidR="00C41AC2">
        <w:rPr>
          <w:rFonts w:cs="Arial"/>
        </w:rPr>
        <w:t>υπερβαίν</w:t>
      </w:r>
      <w:r w:rsidR="009430CD">
        <w:rPr>
          <w:rFonts w:cs="Arial"/>
        </w:rPr>
        <w:t>οντας</w:t>
      </w:r>
      <w:r w:rsidR="00C41AC2" w:rsidRPr="00075EC8">
        <w:rPr>
          <w:rFonts w:cs="Arial"/>
        </w:rPr>
        <w:t xml:space="preserve"> </w:t>
      </w:r>
      <w:r w:rsidR="00C41AC2">
        <w:rPr>
          <w:rFonts w:cs="Arial"/>
        </w:rPr>
        <w:t>τα</w:t>
      </w:r>
      <w:r w:rsidR="00C41AC2" w:rsidRPr="00075EC8">
        <w:rPr>
          <w:rFonts w:cs="Arial"/>
        </w:rPr>
        <w:t xml:space="preserve"> 4</w:t>
      </w:r>
      <w:r w:rsidR="00C41AC2">
        <w:rPr>
          <w:rFonts w:cs="Arial"/>
          <w:lang w:val="en-US"/>
        </w:rPr>
        <w:t>g</w:t>
      </w:r>
      <w:r w:rsidR="00C41AC2" w:rsidRPr="00075EC8">
        <w:rPr>
          <w:rFonts w:cs="Arial"/>
        </w:rPr>
        <w:t xml:space="preserve"> </w:t>
      </w:r>
      <w:r w:rsidR="00C41AC2">
        <w:rPr>
          <w:rFonts w:cs="Arial"/>
        </w:rPr>
        <w:t>την</w:t>
      </w:r>
      <w:r w:rsidR="00C41AC2" w:rsidRPr="00075EC8">
        <w:rPr>
          <w:rFonts w:cs="Arial"/>
        </w:rPr>
        <w:t xml:space="preserve"> </w:t>
      </w:r>
      <w:r w:rsidR="00C41AC2">
        <w:rPr>
          <w:rFonts w:cs="Arial"/>
        </w:rPr>
        <w:t>ημέρα</w:t>
      </w:r>
      <w:r w:rsidR="00C41AC2" w:rsidRPr="00075EC8">
        <w:rPr>
          <w:rFonts w:cs="Arial"/>
        </w:rPr>
        <w:t xml:space="preserve">. </w:t>
      </w:r>
      <w:r w:rsidR="00C41AC2">
        <w:rPr>
          <w:rFonts w:cs="Arial"/>
        </w:rPr>
        <w:t>Αφού καθοριστεί η ευαισθησία του παθογόνου η δόση μπορεί να μειωθεί ανάλογα.</w:t>
      </w:r>
      <w:r>
        <w:rPr>
          <w:rFonts w:cs="Arial"/>
        </w:rPr>
        <w:t xml:space="preserve"> </w:t>
      </w:r>
    </w:p>
    <w:p w:rsidR="00C41AC2" w:rsidRDefault="00075EC8" w:rsidP="00A50CE9">
      <w:pPr>
        <w:autoSpaceDE w:val="0"/>
        <w:autoSpaceDN w:val="0"/>
        <w:adjustRightInd w:val="0"/>
        <w:jc w:val="both"/>
        <w:rPr>
          <w:rFonts w:cs="Arial"/>
        </w:rPr>
      </w:pPr>
      <w:r>
        <w:rPr>
          <w:rFonts w:cs="Arial"/>
        </w:rPr>
        <w:t xml:space="preserve">Στα νεογνά </w:t>
      </w:r>
      <w:r w:rsidR="009430CD">
        <w:rPr>
          <w:rFonts w:cs="Arial"/>
        </w:rPr>
        <w:t xml:space="preserve">ηλικίας </w:t>
      </w:r>
      <w:r>
        <w:rPr>
          <w:rFonts w:cs="Arial"/>
        </w:rPr>
        <w:t xml:space="preserve">0 – 14 ημερών η δόση δεν πρέπει να υπερβεί τα </w:t>
      </w:r>
      <w:r w:rsidRPr="00075EC8">
        <w:rPr>
          <w:rFonts w:cs="Arial"/>
        </w:rPr>
        <w:t xml:space="preserve">50 </w:t>
      </w:r>
      <w:r w:rsidRPr="009B0EBB">
        <w:rPr>
          <w:rFonts w:cs="Arial"/>
          <w:lang w:val="en-GB"/>
        </w:rPr>
        <w:t>mg</w:t>
      </w:r>
      <w:r w:rsidRPr="00075EC8">
        <w:rPr>
          <w:rFonts w:cs="Arial"/>
        </w:rPr>
        <w:t>/</w:t>
      </w:r>
      <w:r w:rsidRPr="009B0EBB">
        <w:rPr>
          <w:rFonts w:cs="Arial"/>
          <w:lang w:val="en-GB"/>
        </w:rPr>
        <w:t>kg</w:t>
      </w:r>
      <w:r w:rsidRPr="00075EC8">
        <w:rPr>
          <w:rFonts w:cs="Arial"/>
        </w:rPr>
        <w:t xml:space="preserve">/24 </w:t>
      </w:r>
      <w:r w:rsidRPr="009B0EBB">
        <w:rPr>
          <w:rFonts w:cs="Arial"/>
          <w:lang w:val="en-GB"/>
        </w:rPr>
        <w:t>h</w:t>
      </w:r>
      <w:r>
        <w:rPr>
          <w:rFonts w:cs="Arial"/>
        </w:rPr>
        <w:t>.</w:t>
      </w:r>
    </w:p>
    <w:p w:rsidR="00C41AC2" w:rsidRPr="00E9496F" w:rsidRDefault="00C41AC2" w:rsidP="00A50CE9">
      <w:pPr>
        <w:autoSpaceDE w:val="0"/>
        <w:autoSpaceDN w:val="0"/>
        <w:adjustRightInd w:val="0"/>
        <w:jc w:val="both"/>
        <w:rPr>
          <w:rFonts w:cs="Arial"/>
        </w:rPr>
      </w:pPr>
    </w:p>
    <w:p w:rsidR="00075EC8" w:rsidRPr="00075EC8" w:rsidRDefault="00075EC8" w:rsidP="00A50CE9">
      <w:pPr>
        <w:autoSpaceDE w:val="0"/>
        <w:autoSpaceDN w:val="0"/>
        <w:adjustRightInd w:val="0"/>
        <w:jc w:val="both"/>
        <w:rPr>
          <w:rFonts w:cs="Arial"/>
          <w:i/>
          <w:iCs/>
        </w:rPr>
      </w:pPr>
      <w:r w:rsidRPr="00075EC8">
        <w:rPr>
          <w:rFonts w:cs="Arial"/>
          <w:i/>
          <w:iCs/>
        </w:rPr>
        <w:lastRenderedPageBreak/>
        <w:t>Π</w:t>
      </w:r>
      <w:r w:rsidR="00AF4466">
        <w:rPr>
          <w:rFonts w:cs="Arial"/>
          <w:i/>
          <w:iCs/>
        </w:rPr>
        <w:t>ε</w:t>
      </w:r>
      <w:r w:rsidRPr="00075EC8">
        <w:rPr>
          <w:rFonts w:cs="Arial"/>
          <w:i/>
          <w:iCs/>
        </w:rPr>
        <w:t>ρ</w:t>
      </w:r>
      <w:r w:rsidR="00AF4466">
        <w:rPr>
          <w:rFonts w:cs="Arial"/>
          <w:i/>
          <w:iCs/>
        </w:rPr>
        <w:t>ι</w:t>
      </w:r>
      <w:r w:rsidRPr="00075EC8">
        <w:rPr>
          <w:rFonts w:cs="Arial"/>
          <w:i/>
          <w:iCs/>
        </w:rPr>
        <w:t>εγχειρητική προφύλαξη:</w:t>
      </w:r>
    </w:p>
    <w:p w:rsidR="00075EC8" w:rsidRPr="00075EC8" w:rsidRDefault="009430CD" w:rsidP="00A50CE9">
      <w:pPr>
        <w:autoSpaceDE w:val="0"/>
        <w:autoSpaceDN w:val="0"/>
        <w:adjustRightInd w:val="0"/>
        <w:jc w:val="both"/>
        <w:rPr>
          <w:rFonts w:cs="Arial"/>
        </w:rPr>
      </w:pPr>
      <w:r>
        <w:rPr>
          <w:rFonts w:cs="Arial"/>
        </w:rPr>
        <w:t>Η συνήθης ημερήσια δο</w:t>
      </w:r>
      <w:r w:rsidR="00075EC8">
        <w:rPr>
          <w:rFonts w:cs="Arial"/>
        </w:rPr>
        <w:t xml:space="preserve">σολογία της κεφτριαξόνης πρέπει να χορηγηθεί </w:t>
      </w:r>
      <w:r>
        <w:rPr>
          <w:rFonts w:cs="Arial"/>
        </w:rPr>
        <w:t xml:space="preserve">30-90 λεπτά </w:t>
      </w:r>
      <w:r w:rsidR="00075EC8">
        <w:rPr>
          <w:rFonts w:cs="Arial"/>
        </w:rPr>
        <w:t xml:space="preserve">πριν την επέμβαση. Μια </w:t>
      </w:r>
      <w:r w:rsidR="00AF4466">
        <w:rPr>
          <w:rFonts w:cs="Arial"/>
        </w:rPr>
        <w:t>μεμονωμένη</w:t>
      </w:r>
      <w:r w:rsidR="00075EC8">
        <w:rPr>
          <w:rFonts w:cs="Arial"/>
        </w:rPr>
        <w:t xml:space="preserve"> χορήγηση είναι συνήθως αρκετή.</w:t>
      </w:r>
    </w:p>
    <w:p w:rsidR="00C41AC2" w:rsidRDefault="00C41AC2" w:rsidP="00A50CE9">
      <w:pPr>
        <w:autoSpaceDE w:val="0"/>
        <w:autoSpaceDN w:val="0"/>
        <w:adjustRightInd w:val="0"/>
        <w:jc w:val="both"/>
        <w:rPr>
          <w:rFonts w:cs="Arial"/>
        </w:rPr>
      </w:pPr>
    </w:p>
    <w:p w:rsidR="00075EC8" w:rsidRPr="00075EC8" w:rsidRDefault="00075EC8" w:rsidP="00A50CE9">
      <w:pPr>
        <w:autoSpaceDE w:val="0"/>
        <w:autoSpaceDN w:val="0"/>
        <w:adjustRightInd w:val="0"/>
        <w:jc w:val="both"/>
        <w:rPr>
          <w:rFonts w:cs="Arial"/>
          <w:i/>
          <w:iCs/>
        </w:rPr>
      </w:pPr>
      <w:r w:rsidRPr="00075EC8">
        <w:rPr>
          <w:rFonts w:cs="Arial"/>
          <w:i/>
          <w:iCs/>
        </w:rPr>
        <w:t>Γονόρροια:</w:t>
      </w:r>
    </w:p>
    <w:p w:rsidR="00075EC8" w:rsidRDefault="009430CD" w:rsidP="00A50CE9">
      <w:pPr>
        <w:autoSpaceDE w:val="0"/>
        <w:autoSpaceDN w:val="0"/>
        <w:adjustRightInd w:val="0"/>
        <w:jc w:val="both"/>
        <w:rPr>
          <w:rFonts w:cs="Arial"/>
        </w:rPr>
      </w:pPr>
      <w:r>
        <w:rPr>
          <w:rFonts w:cs="Arial"/>
        </w:rPr>
        <w:t>Στην</w:t>
      </w:r>
      <w:r w:rsidR="00075EC8">
        <w:rPr>
          <w:rFonts w:cs="Arial"/>
        </w:rPr>
        <w:t xml:space="preserve"> </w:t>
      </w:r>
      <w:r w:rsidR="00D534B1">
        <w:rPr>
          <w:rFonts w:cs="Arial"/>
        </w:rPr>
        <w:t xml:space="preserve">μη </w:t>
      </w:r>
      <w:r w:rsidR="00075EC8">
        <w:rPr>
          <w:rFonts w:cs="Arial"/>
        </w:rPr>
        <w:t xml:space="preserve">επιπλεγμένη γονόρροια </w:t>
      </w:r>
      <w:r w:rsidR="00AF4466">
        <w:rPr>
          <w:rFonts w:cs="Arial"/>
        </w:rPr>
        <w:t>ενηλίκων</w:t>
      </w:r>
      <w:r w:rsidR="00075EC8">
        <w:rPr>
          <w:rFonts w:cs="Arial"/>
        </w:rPr>
        <w:t xml:space="preserve"> και εφήβ</w:t>
      </w:r>
      <w:r w:rsidR="00AF4466">
        <w:rPr>
          <w:rFonts w:cs="Arial"/>
        </w:rPr>
        <w:t>ων</w:t>
      </w:r>
      <w:r w:rsidR="00075EC8">
        <w:rPr>
          <w:rFonts w:cs="Arial"/>
        </w:rPr>
        <w:t xml:space="preserve"> άνω των 12 ετών ή </w:t>
      </w:r>
      <w:r w:rsidR="00AF4466">
        <w:rPr>
          <w:rFonts w:cs="Arial"/>
        </w:rPr>
        <w:t>στους έχοντες</w:t>
      </w:r>
      <w:r w:rsidR="00075EC8">
        <w:rPr>
          <w:rFonts w:cs="Arial"/>
        </w:rPr>
        <w:t xml:space="preserve"> βάρος </w:t>
      </w:r>
      <w:r w:rsidR="00AF4466">
        <w:rPr>
          <w:rFonts w:cs="Arial"/>
        </w:rPr>
        <w:t xml:space="preserve">σώματος </w:t>
      </w:r>
      <w:r w:rsidR="00075EC8">
        <w:rPr>
          <w:rFonts w:cs="Arial"/>
        </w:rPr>
        <w:t xml:space="preserve">άνω των 50 </w:t>
      </w:r>
      <w:r w:rsidR="00075EC8">
        <w:rPr>
          <w:rFonts w:cs="Arial"/>
          <w:lang w:val="en-US"/>
        </w:rPr>
        <w:t>kg</w:t>
      </w:r>
      <w:r w:rsidR="00AF4466">
        <w:rPr>
          <w:rFonts w:cs="Arial"/>
        </w:rPr>
        <w:t>,</w:t>
      </w:r>
      <w:r w:rsidR="00075EC8">
        <w:rPr>
          <w:rFonts w:cs="Arial"/>
        </w:rPr>
        <w:t xml:space="preserve"> </w:t>
      </w:r>
      <w:r>
        <w:rPr>
          <w:rFonts w:cs="Arial"/>
        </w:rPr>
        <w:t xml:space="preserve">πρέπει να </w:t>
      </w:r>
      <w:r w:rsidR="00075EC8">
        <w:rPr>
          <w:rFonts w:cs="Arial"/>
        </w:rPr>
        <w:t>χορηγ</w:t>
      </w:r>
      <w:r>
        <w:rPr>
          <w:rFonts w:cs="Arial"/>
        </w:rPr>
        <w:t>ηθεί</w:t>
      </w:r>
      <w:r w:rsidR="00075EC8">
        <w:rPr>
          <w:rFonts w:cs="Arial"/>
        </w:rPr>
        <w:t xml:space="preserve"> ενδομυϊκά μια </w:t>
      </w:r>
      <w:r w:rsidR="00AF4466">
        <w:rPr>
          <w:rFonts w:cs="Arial"/>
        </w:rPr>
        <w:t>μεμονωμένη</w:t>
      </w:r>
      <w:r w:rsidR="00075EC8">
        <w:rPr>
          <w:rFonts w:cs="Arial"/>
        </w:rPr>
        <w:t xml:space="preserve"> δόση κεφτριαξόνης των 250 </w:t>
      </w:r>
      <w:r w:rsidR="00075EC8">
        <w:rPr>
          <w:rFonts w:cs="Arial"/>
          <w:lang w:val="en-US"/>
        </w:rPr>
        <w:t>mg</w:t>
      </w:r>
      <w:r w:rsidR="00075EC8">
        <w:rPr>
          <w:rFonts w:cs="Arial"/>
        </w:rPr>
        <w:t>. Μπορεί να είναι απαραίτητο να αυξηθεί η δόση στην περίπτωση λιγότερο ευαίσθ</w:t>
      </w:r>
      <w:r>
        <w:rPr>
          <w:rFonts w:cs="Arial"/>
        </w:rPr>
        <w:t>η</w:t>
      </w:r>
      <w:r w:rsidR="00075EC8">
        <w:rPr>
          <w:rFonts w:cs="Arial"/>
        </w:rPr>
        <w:t xml:space="preserve">των μικρο-οργανισμών. </w:t>
      </w:r>
      <w:r>
        <w:rPr>
          <w:rFonts w:cs="Arial"/>
        </w:rPr>
        <w:t xml:space="preserve">Για αυτήν την δοσολογική σύσταση υπάρχουν διαθέσιμες άλλες δοσολογικές μορφές. </w:t>
      </w:r>
    </w:p>
    <w:p w:rsidR="009430CD" w:rsidRPr="009430CD" w:rsidRDefault="009430CD" w:rsidP="00A50CE9">
      <w:pPr>
        <w:autoSpaceDE w:val="0"/>
        <w:autoSpaceDN w:val="0"/>
        <w:adjustRightInd w:val="0"/>
        <w:jc w:val="both"/>
        <w:rPr>
          <w:rFonts w:cs="Arial"/>
        </w:rPr>
      </w:pPr>
      <w:r>
        <w:rPr>
          <w:rFonts w:cs="Arial"/>
        </w:rPr>
        <w:t xml:space="preserve">Συνυπάρχουσα λοίμωξη από </w:t>
      </w:r>
      <w:r w:rsidRPr="001C039E">
        <w:rPr>
          <w:i/>
          <w:szCs w:val="22"/>
          <w:lang w:val="en-GB"/>
        </w:rPr>
        <w:t>Treponema</w:t>
      </w:r>
      <w:r w:rsidRPr="009430CD">
        <w:rPr>
          <w:i/>
          <w:szCs w:val="22"/>
        </w:rPr>
        <w:t xml:space="preserve"> </w:t>
      </w:r>
      <w:r w:rsidRPr="001C039E">
        <w:rPr>
          <w:i/>
          <w:szCs w:val="22"/>
          <w:lang w:val="en-GB"/>
        </w:rPr>
        <w:t>pallidum</w:t>
      </w:r>
      <w:r w:rsidRPr="009430CD">
        <w:rPr>
          <w:i/>
          <w:szCs w:val="22"/>
        </w:rPr>
        <w:t xml:space="preserve"> </w:t>
      </w:r>
      <w:r w:rsidRPr="009430CD">
        <w:rPr>
          <w:szCs w:val="22"/>
        </w:rPr>
        <w:t>(</w:t>
      </w:r>
      <w:r w:rsidR="00F42A3E">
        <w:rPr>
          <w:szCs w:val="22"/>
        </w:rPr>
        <w:t>σύφιλη</w:t>
      </w:r>
      <w:r w:rsidRPr="009430CD">
        <w:rPr>
          <w:szCs w:val="22"/>
        </w:rPr>
        <w:t>)</w:t>
      </w:r>
      <w:r>
        <w:rPr>
          <w:szCs w:val="22"/>
        </w:rPr>
        <w:t xml:space="preserve"> πρέπει να αποκλειστεί πριν την έναρξη θεραπείας με κεφτριαξόνη. </w:t>
      </w:r>
    </w:p>
    <w:p w:rsidR="00C41AC2" w:rsidRPr="00F42A3E" w:rsidRDefault="00C41AC2" w:rsidP="00A50CE9">
      <w:pPr>
        <w:spacing w:line="260" w:lineRule="auto"/>
        <w:jc w:val="both"/>
      </w:pPr>
    </w:p>
    <w:p w:rsidR="00C41AC2" w:rsidRPr="00075EC8" w:rsidRDefault="00075EC8" w:rsidP="00814B6D">
      <w:pPr>
        <w:jc w:val="both"/>
        <w:rPr>
          <w:i/>
          <w:iCs/>
        </w:rPr>
      </w:pPr>
      <w:r w:rsidRPr="00075EC8">
        <w:rPr>
          <w:i/>
          <w:iCs/>
        </w:rPr>
        <w:t xml:space="preserve">Μπορρελίωση της νόσου </w:t>
      </w:r>
      <w:r w:rsidRPr="00075EC8">
        <w:rPr>
          <w:i/>
          <w:iCs/>
          <w:lang w:val="en-GB"/>
        </w:rPr>
        <w:t>Lyme</w:t>
      </w:r>
      <w:r w:rsidRPr="00075EC8">
        <w:rPr>
          <w:i/>
          <w:iCs/>
        </w:rPr>
        <w:t xml:space="preserve"> (στάδια </w:t>
      </w:r>
      <w:r w:rsidRPr="00075EC8">
        <w:rPr>
          <w:i/>
          <w:iCs/>
          <w:lang w:val="en-GB"/>
        </w:rPr>
        <w:t>II</w:t>
      </w:r>
      <w:r w:rsidRPr="00075EC8">
        <w:rPr>
          <w:i/>
          <w:iCs/>
        </w:rPr>
        <w:t xml:space="preserve"> και </w:t>
      </w:r>
      <w:r w:rsidRPr="00075EC8">
        <w:rPr>
          <w:i/>
          <w:iCs/>
          <w:lang w:val="en-GB"/>
        </w:rPr>
        <w:t>III</w:t>
      </w:r>
      <w:r w:rsidRPr="00075EC8">
        <w:rPr>
          <w:i/>
          <w:iCs/>
        </w:rPr>
        <w:t>)</w:t>
      </w:r>
      <w:r w:rsidR="00C41AC2" w:rsidRPr="00075EC8">
        <w:rPr>
          <w:i/>
          <w:iCs/>
        </w:rPr>
        <w:t>:</w:t>
      </w:r>
    </w:p>
    <w:p w:rsidR="00075EC8" w:rsidRDefault="00AF4466" w:rsidP="00814B6D">
      <w:pPr>
        <w:spacing w:line="260" w:lineRule="auto"/>
        <w:jc w:val="both"/>
      </w:pPr>
      <w:r>
        <w:t>Σε</w:t>
      </w:r>
      <w:r w:rsidR="00075EC8">
        <w:t xml:space="preserve"> ενήλικες και εφήβους ηλικίας άνω των 12 ετών η θεραπευτική δόση είναι 2</w:t>
      </w:r>
      <w:r w:rsidR="00075EC8">
        <w:rPr>
          <w:lang w:val="en-US"/>
        </w:rPr>
        <w:t>g</w:t>
      </w:r>
      <w:r w:rsidR="00075EC8" w:rsidRPr="00075EC8">
        <w:t>/</w:t>
      </w:r>
      <w:r w:rsidR="00075EC8">
        <w:t xml:space="preserve">ημέρα κεφτριαξόνη </w:t>
      </w:r>
      <w:r w:rsidR="009430CD">
        <w:t xml:space="preserve">και </w:t>
      </w:r>
      <w:r w:rsidR="00075EC8">
        <w:t>η θεραπεία πρέπει να διαρκέσει τουλάχιστον 14 ημέρες. Σε σοβαρές</w:t>
      </w:r>
      <w:r w:rsidR="00D534B1">
        <w:t xml:space="preserve"> περιπτώσεις</w:t>
      </w:r>
      <w:r w:rsidR="00075EC8">
        <w:t>, υπάρχουν αναφορές δοσολογιών έως 4</w:t>
      </w:r>
      <w:r w:rsidR="00075EC8">
        <w:rPr>
          <w:lang w:val="en-US"/>
        </w:rPr>
        <w:t>g</w:t>
      </w:r>
      <w:r w:rsidR="00075EC8" w:rsidRPr="00075EC8">
        <w:t xml:space="preserve"> </w:t>
      </w:r>
      <w:r w:rsidR="00075EC8">
        <w:t>την ημέρα.</w:t>
      </w:r>
    </w:p>
    <w:p w:rsidR="00075EC8" w:rsidRPr="00075EC8" w:rsidRDefault="00AF4466" w:rsidP="00814B6D">
      <w:pPr>
        <w:spacing w:line="260" w:lineRule="auto"/>
        <w:jc w:val="both"/>
      </w:pPr>
      <w:r>
        <w:t>Σε</w:t>
      </w:r>
      <w:r w:rsidR="00075EC8" w:rsidRPr="00075EC8">
        <w:t xml:space="preserve"> </w:t>
      </w:r>
      <w:r w:rsidR="00075EC8">
        <w:t>παιδιά</w:t>
      </w:r>
      <w:r w:rsidR="00075EC8" w:rsidRPr="00075EC8">
        <w:t xml:space="preserve"> </w:t>
      </w:r>
      <w:r w:rsidR="00075EC8">
        <w:t>ηλικίας έως 12 ετών, η δοσολογία είναι 50 με 100</w:t>
      </w:r>
      <w:r w:rsidR="00075EC8" w:rsidRPr="00075EC8">
        <w:t xml:space="preserve"> </w:t>
      </w:r>
      <w:r w:rsidR="00075EC8">
        <w:rPr>
          <w:lang w:val="en-US"/>
        </w:rPr>
        <w:t>mg</w:t>
      </w:r>
      <w:r w:rsidR="00075EC8" w:rsidRPr="00075EC8">
        <w:t>/</w:t>
      </w:r>
      <w:r w:rsidR="00075EC8">
        <w:rPr>
          <w:lang w:val="en-US"/>
        </w:rPr>
        <w:t>kg</w:t>
      </w:r>
      <w:r w:rsidR="00075EC8">
        <w:t xml:space="preserve"> βάρους σώματος μια φορά την ημέρα μέχρι την μέγιστη δόση των 2</w:t>
      </w:r>
      <w:r w:rsidR="00075EC8">
        <w:rPr>
          <w:lang w:val="en-US"/>
        </w:rPr>
        <w:t>g</w:t>
      </w:r>
      <w:r w:rsidR="00075EC8">
        <w:t xml:space="preserve">, </w:t>
      </w:r>
      <w:r w:rsidR="009430CD">
        <w:t>για</w:t>
      </w:r>
      <w:r w:rsidR="00075EC8">
        <w:t xml:space="preserve"> τουλάχιστον 14 ημέρες.</w:t>
      </w:r>
    </w:p>
    <w:p w:rsidR="00C41AC2" w:rsidRPr="00AF4466" w:rsidRDefault="00C41AC2" w:rsidP="00814B6D">
      <w:pPr>
        <w:autoSpaceDE w:val="0"/>
        <w:autoSpaceDN w:val="0"/>
        <w:adjustRightInd w:val="0"/>
        <w:jc w:val="both"/>
        <w:rPr>
          <w:rFonts w:cs="Arial"/>
        </w:rPr>
      </w:pPr>
    </w:p>
    <w:p w:rsidR="00075EC8" w:rsidRPr="00075EC8" w:rsidRDefault="00075EC8" w:rsidP="00814B6D">
      <w:pPr>
        <w:autoSpaceDE w:val="0"/>
        <w:autoSpaceDN w:val="0"/>
        <w:adjustRightInd w:val="0"/>
        <w:jc w:val="both"/>
        <w:rPr>
          <w:rFonts w:cs="Arial"/>
          <w:i/>
          <w:iCs/>
        </w:rPr>
      </w:pPr>
      <w:r w:rsidRPr="00075EC8">
        <w:rPr>
          <w:rFonts w:cs="Arial"/>
          <w:i/>
          <w:iCs/>
        </w:rPr>
        <w:t>Νεφρική ανεπάρκεια:</w:t>
      </w:r>
    </w:p>
    <w:p w:rsidR="00075EC8" w:rsidRDefault="00075EC8" w:rsidP="00814B6D">
      <w:pPr>
        <w:autoSpaceDE w:val="0"/>
        <w:autoSpaceDN w:val="0"/>
        <w:adjustRightInd w:val="0"/>
        <w:jc w:val="both"/>
        <w:rPr>
          <w:rFonts w:cs="Arial"/>
        </w:rPr>
      </w:pPr>
      <w:r>
        <w:rPr>
          <w:rFonts w:cs="Arial"/>
        </w:rPr>
        <w:t>Στους ασθενείς με νεφρική ανεπάρκεια</w:t>
      </w:r>
      <w:r w:rsidR="009430CD">
        <w:rPr>
          <w:rFonts w:cs="Arial"/>
        </w:rPr>
        <w:t xml:space="preserve"> και κάθαρση κρεατινίνης </w:t>
      </w:r>
      <w:r w:rsidR="009430CD" w:rsidRPr="009430CD">
        <w:rPr>
          <w:szCs w:val="22"/>
        </w:rPr>
        <w:t xml:space="preserve">&gt;10 </w:t>
      </w:r>
      <w:r w:rsidR="009430CD" w:rsidRPr="001C039E">
        <w:rPr>
          <w:szCs w:val="22"/>
          <w:lang w:val="en-GB"/>
        </w:rPr>
        <w:t>ml</w:t>
      </w:r>
      <w:r w:rsidR="009430CD" w:rsidRPr="009430CD">
        <w:rPr>
          <w:szCs w:val="22"/>
        </w:rPr>
        <w:t>/</w:t>
      </w:r>
      <w:r w:rsidR="009430CD" w:rsidRPr="001C039E">
        <w:rPr>
          <w:szCs w:val="22"/>
          <w:lang w:val="en-GB"/>
        </w:rPr>
        <w:t>min</w:t>
      </w:r>
      <w:r>
        <w:rPr>
          <w:rFonts w:cs="Arial"/>
        </w:rPr>
        <w:t xml:space="preserve">, δεν είναι απαραίτητη η προσαρμογή της δοσολογίας της κεφτριαξόνης </w:t>
      </w:r>
      <w:r w:rsidR="009430CD">
        <w:rPr>
          <w:rFonts w:cs="Arial"/>
        </w:rPr>
        <w:t>υπο την προϋπόθεση ότι</w:t>
      </w:r>
      <w:r>
        <w:rPr>
          <w:rFonts w:cs="Arial"/>
        </w:rPr>
        <w:t xml:space="preserve"> η ηπατική λειτουργία είναι φυσιολογική. Στην </w:t>
      </w:r>
      <w:r w:rsidR="00AF4466">
        <w:rPr>
          <w:rFonts w:cs="Arial"/>
        </w:rPr>
        <w:t xml:space="preserve">περίπτωση </w:t>
      </w:r>
      <w:r>
        <w:rPr>
          <w:rFonts w:cs="Arial"/>
        </w:rPr>
        <w:t>νεφρική</w:t>
      </w:r>
      <w:r w:rsidR="00AF4466">
        <w:rPr>
          <w:rFonts w:cs="Arial"/>
        </w:rPr>
        <w:t>ς</w:t>
      </w:r>
      <w:r>
        <w:rPr>
          <w:rFonts w:cs="Arial"/>
        </w:rPr>
        <w:t xml:space="preserve"> ανεπάρκεια</w:t>
      </w:r>
      <w:r w:rsidR="00AF4466">
        <w:rPr>
          <w:rFonts w:cs="Arial"/>
        </w:rPr>
        <w:t>ς</w:t>
      </w:r>
      <w:r>
        <w:rPr>
          <w:rFonts w:cs="Arial"/>
        </w:rPr>
        <w:t xml:space="preserve"> με κάθαρση κρεατινίνης </w:t>
      </w:r>
      <w:r w:rsidR="009430CD" w:rsidRPr="009430CD">
        <w:rPr>
          <w:szCs w:val="22"/>
        </w:rPr>
        <w:t>≤</w:t>
      </w:r>
      <w:r w:rsidRPr="00075EC8">
        <w:rPr>
          <w:rFonts w:cs="Arial"/>
        </w:rPr>
        <w:t xml:space="preserve"> 10 </w:t>
      </w:r>
      <w:r w:rsidRPr="009B0EBB">
        <w:rPr>
          <w:rFonts w:cs="Arial"/>
          <w:lang w:val="en-GB"/>
        </w:rPr>
        <w:t>ml</w:t>
      </w:r>
      <w:r w:rsidRPr="00075EC8">
        <w:rPr>
          <w:rFonts w:cs="Arial"/>
        </w:rPr>
        <w:t>/</w:t>
      </w:r>
      <w:r w:rsidRPr="009B0EBB">
        <w:rPr>
          <w:rFonts w:cs="Arial"/>
          <w:lang w:val="en-GB"/>
        </w:rPr>
        <w:t>min</w:t>
      </w:r>
      <w:r>
        <w:rPr>
          <w:rFonts w:cs="Arial"/>
        </w:rPr>
        <w:t xml:space="preserve"> η ημερήσια δοσολογία κεφτριαξόνης δεν πρέπει να υπερβαίνει τα 2</w:t>
      </w:r>
      <w:r>
        <w:rPr>
          <w:rFonts w:cs="Arial"/>
          <w:lang w:val="en-US"/>
        </w:rPr>
        <w:t>g</w:t>
      </w:r>
      <w:r w:rsidRPr="00075EC8">
        <w:rPr>
          <w:rFonts w:cs="Arial"/>
        </w:rPr>
        <w:t xml:space="preserve"> </w:t>
      </w:r>
      <w:r>
        <w:rPr>
          <w:rFonts w:cs="Arial"/>
        </w:rPr>
        <w:t>στους ενήλικες ασθενείς.</w:t>
      </w:r>
    </w:p>
    <w:p w:rsidR="00075EC8" w:rsidRPr="00AF4466" w:rsidRDefault="00075EC8" w:rsidP="00814B6D">
      <w:pPr>
        <w:autoSpaceDE w:val="0"/>
        <w:autoSpaceDN w:val="0"/>
        <w:adjustRightInd w:val="0"/>
        <w:jc w:val="both"/>
        <w:rPr>
          <w:rFonts w:cs="Arial"/>
        </w:rPr>
      </w:pPr>
    </w:p>
    <w:p w:rsidR="00C41AC2" w:rsidRDefault="00075EC8" w:rsidP="00814B6D">
      <w:pPr>
        <w:autoSpaceDE w:val="0"/>
        <w:autoSpaceDN w:val="0"/>
        <w:adjustRightInd w:val="0"/>
        <w:jc w:val="both"/>
        <w:rPr>
          <w:rFonts w:cs="Arial"/>
          <w:i/>
          <w:iCs/>
        </w:rPr>
      </w:pPr>
      <w:r>
        <w:rPr>
          <w:rFonts w:cs="Arial"/>
          <w:i/>
          <w:iCs/>
        </w:rPr>
        <w:t>Ηπατική ανεπάρκεια:</w:t>
      </w:r>
    </w:p>
    <w:p w:rsidR="00075EC8" w:rsidRDefault="009430CD" w:rsidP="00814B6D">
      <w:pPr>
        <w:autoSpaceDE w:val="0"/>
        <w:autoSpaceDN w:val="0"/>
        <w:adjustRightInd w:val="0"/>
        <w:jc w:val="both"/>
        <w:rPr>
          <w:rFonts w:cs="Arial"/>
        </w:rPr>
      </w:pPr>
      <w:r>
        <w:rPr>
          <w:rFonts w:cs="Arial"/>
        </w:rPr>
        <w:t>Στους ασθενείς με ηπατική νόσο η</w:t>
      </w:r>
      <w:r w:rsidR="00075EC8" w:rsidRPr="00075EC8">
        <w:rPr>
          <w:rFonts w:cs="Arial"/>
        </w:rPr>
        <w:t xml:space="preserve"> </w:t>
      </w:r>
      <w:r>
        <w:rPr>
          <w:rFonts w:cs="Arial"/>
        </w:rPr>
        <w:t xml:space="preserve">ημερήσια </w:t>
      </w:r>
      <w:r w:rsidR="00075EC8" w:rsidRPr="00075EC8">
        <w:rPr>
          <w:rFonts w:cs="Arial"/>
        </w:rPr>
        <w:t xml:space="preserve">δοσολογία </w:t>
      </w:r>
      <w:r>
        <w:rPr>
          <w:rFonts w:cs="Arial"/>
        </w:rPr>
        <w:t xml:space="preserve">κεφτριαξόνης </w:t>
      </w:r>
      <w:r w:rsidR="00075EC8">
        <w:rPr>
          <w:rFonts w:cs="Arial"/>
        </w:rPr>
        <w:t xml:space="preserve">δεν </w:t>
      </w:r>
      <w:r>
        <w:rPr>
          <w:rFonts w:cs="Arial"/>
        </w:rPr>
        <w:t>πρέπει</w:t>
      </w:r>
      <w:r w:rsidR="00075EC8">
        <w:rPr>
          <w:rFonts w:cs="Arial"/>
        </w:rPr>
        <w:t xml:space="preserve"> να διαφοροποιηθεί υπο την προϋπόθεση ότι η νεφρική λειτουργία είναι φυσιολογική (δείτε το λήμμα 4.8).</w:t>
      </w:r>
    </w:p>
    <w:p w:rsidR="00075EC8" w:rsidRDefault="00075EC8" w:rsidP="00DB46E8">
      <w:pPr>
        <w:autoSpaceDE w:val="0"/>
        <w:autoSpaceDN w:val="0"/>
        <w:adjustRightInd w:val="0"/>
        <w:rPr>
          <w:rFonts w:cs="Arial"/>
        </w:rPr>
      </w:pPr>
    </w:p>
    <w:p w:rsidR="009430CD" w:rsidRPr="000D7820" w:rsidRDefault="009430CD" w:rsidP="00DB46E8">
      <w:pPr>
        <w:autoSpaceDE w:val="0"/>
        <w:autoSpaceDN w:val="0"/>
        <w:adjustRightInd w:val="0"/>
        <w:rPr>
          <w:i/>
          <w:szCs w:val="22"/>
        </w:rPr>
      </w:pPr>
      <w:r w:rsidRPr="000D7820">
        <w:rPr>
          <w:i/>
          <w:szCs w:val="22"/>
        </w:rPr>
        <w:t>Νεφρική και ηπατική ανεπάρκεια</w:t>
      </w:r>
    </w:p>
    <w:p w:rsidR="009430CD" w:rsidRDefault="009430CD" w:rsidP="00814B6D">
      <w:pPr>
        <w:autoSpaceDE w:val="0"/>
        <w:autoSpaceDN w:val="0"/>
        <w:adjustRightInd w:val="0"/>
        <w:jc w:val="both"/>
        <w:rPr>
          <w:szCs w:val="22"/>
        </w:rPr>
      </w:pPr>
      <w:r w:rsidRPr="000D7820">
        <w:rPr>
          <w:szCs w:val="22"/>
        </w:rPr>
        <w:t xml:space="preserve">Στην περίπτωση ταυτόχρονης νεφρικής και ηπατικής ανεπάρκειας θα πρέπει </w:t>
      </w:r>
      <w:r w:rsidR="000D7820" w:rsidRPr="000D7820">
        <w:rPr>
          <w:szCs w:val="22"/>
        </w:rPr>
        <w:t xml:space="preserve">σε τακτά χρονικά διαστήματα </w:t>
      </w:r>
      <w:r w:rsidRPr="000D7820">
        <w:rPr>
          <w:szCs w:val="22"/>
        </w:rPr>
        <w:t xml:space="preserve">να παρακολουθούνται οι συγκεντρώσεις της κεφτριαξόνης στον ορό και να προσαρμόζεται ανάλογα η δοσολογία </w:t>
      </w:r>
      <w:r w:rsidR="00AF4466">
        <w:rPr>
          <w:szCs w:val="22"/>
        </w:rPr>
        <w:t>στα</w:t>
      </w:r>
      <w:r w:rsidRPr="000D7820">
        <w:rPr>
          <w:szCs w:val="22"/>
        </w:rPr>
        <w:t xml:space="preserve"> παιδιά και </w:t>
      </w:r>
      <w:r w:rsidR="00AF4466">
        <w:rPr>
          <w:szCs w:val="22"/>
        </w:rPr>
        <w:t xml:space="preserve">τους </w:t>
      </w:r>
      <w:r w:rsidRPr="000D7820">
        <w:rPr>
          <w:szCs w:val="22"/>
        </w:rPr>
        <w:t>ενήλικες (δείτε λήμματα 4.4 και 5.2).</w:t>
      </w:r>
    </w:p>
    <w:p w:rsidR="009430CD" w:rsidRPr="00AF4466" w:rsidRDefault="009430CD" w:rsidP="00DB46E8">
      <w:pPr>
        <w:autoSpaceDE w:val="0"/>
        <w:autoSpaceDN w:val="0"/>
        <w:adjustRightInd w:val="0"/>
        <w:rPr>
          <w:rFonts w:cs="Arial"/>
        </w:rPr>
      </w:pPr>
    </w:p>
    <w:p w:rsidR="00C41AC2" w:rsidRPr="00075EC8" w:rsidRDefault="00075EC8" w:rsidP="00DB46E8">
      <w:pPr>
        <w:autoSpaceDE w:val="0"/>
        <w:autoSpaceDN w:val="0"/>
        <w:adjustRightInd w:val="0"/>
        <w:rPr>
          <w:rFonts w:cs="Arial"/>
          <w:i/>
          <w:iCs/>
        </w:rPr>
      </w:pPr>
      <w:r w:rsidRPr="00075EC8">
        <w:rPr>
          <w:rFonts w:cs="Arial"/>
          <w:i/>
          <w:iCs/>
        </w:rPr>
        <w:t>Αιμοδιύλιση και Περιτοναιοδιύλιση:</w:t>
      </w:r>
    </w:p>
    <w:p w:rsidR="00075EC8" w:rsidRDefault="00075EC8" w:rsidP="001E1BE2">
      <w:pPr>
        <w:autoSpaceDE w:val="0"/>
        <w:autoSpaceDN w:val="0"/>
        <w:adjustRightInd w:val="0"/>
        <w:jc w:val="both"/>
        <w:rPr>
          <w:rFonts w:cs="Arial"/>
        </w:rPr>
      </w:pPr>
      <w:r>
        <w:rPr>
          <w:rFonts w:cs="Arial"/>
        </w:rPr>
        <w:t xml:space="preserve">Καθώς η κεφτριαξόνη διυλίζεται μόνον σε ένα πολύ μικρό </w:t>
      </w:r>
      <w:r w:rsidR="00AF4466">
        <w:rPr>
          <w:rFonts w:cs="Arial"/>
        </w:rPr>
        <w:t>βαθμό</w:t>
      </w:r>
      <w:r>
        <w:rPr>
          <w:rFonts w:cs="Arial"/>
        </w:rPr>
        <w:t xml:space="preserve">, δεν υπάρχει η ανάγκη για χορήγηση επιπλέον δόσης </w:t>
      </w:r>
      <w:r w:rsidR="00AF4466">
        <w:rPr>
          <w:rFonts w:cs="Arial"/>
        </w:rPr>
        <w:t xml:space="preserve">κεφτριαξόνης </w:t>
      </w:r>
      <w:r>
        <w:rPr>
          <w:rFonts w:cs="Arial"/>
        </w:rPr>
        <w:t xml:space="preserve">μετά </w:t>
      </w:r>
      <w:r w:rsidR="00AF4466">
        <w:rPr>
          <w:rFonts w:cs="Arial"/>
        </w:rPr>
        <w:t xml:space="preserve">την </w:t>
      </w:r>
      <w:r w:rsidRPr="00075EC8">
        <w:rPr>
          <w:rFonts w:cs="Arial"/>
        </w:rPr>
        <w:t>διύλιση</w:t>
      </w:r>
      <w:r>
        <w:rPr>
          <w:rFonts w:cs="Arial"/>
        </w:rPr>
        <w:t xml:space="preserve">. </w:t>
      </w:r>
      <w:r w:rsidR="000D7820">
        <w:rPr>
          <w:rFonts w:cs="Arial"/>
        </w:rPr>
        <w:t>Ο</w:t>
      </w:r>
      <w:r>
        <w:rPr>
          <w:rFonts w:cs="Arial"/>
        </w:rPr>
        <w:t xml:space="preserve">ι συγκεντρώσεις στον ορό πρέπει </w:t>
      </w:r>
      <w:r w:rsidR="000D7820">
        <w:rPr>
          <w:rFonts w:cs="Arial"/>
        </w:rPr>
        <w:t xml:space="preserve">ωστόσο </w:t>
      </w:r>
      <w:r>
        <w:rPr>
          <w:rFonts w:cs="Arial"/>
        </w:rPr>
        <w:t xml:space="preserve">να παρακολουθούνται, για να διαπιστωθεί αν </w:t>
      </w:r>
      <w:r w:rsidR="00AF4466">
        <w:rPr>
          <w:rFonts w:cs="Arial"/>
        </w:rPr>
        <w:t xml:space="preserve">προσαρμογές της δοσολογίας </w:t>
      </w:r>
      <w:r>
        <w:rPr>
          <w:rFonts w:cs="Arial"/>
        </w:rPr>
        <w:t xml:space="preserve">είναι απαραίτητες, καθώς ο ρυθμός απέκκρισης </w:t>
      </w:r>
      <w:r w:rsidR="00AF4466">
        <w:rPr>
          <w:rFonts w:cs="Arial"/>
        </w:rPr>
        <w:t xml:space="preserve">σε </w:t>
      </w:r>
      <w:r>
        <w:rPr>
          <w:rFonts w:cs="Arial"/>
        </w:rPr>
        <w:t xml:space="preserve"> </w:t>
      </w:r>
      <w:r w:rsidR="00AF4466">
        <w:rPr>
          <w:rFonts w:cs="Arial"/>
        </w:rPr>
        <w:t xml:space="preserve">αυτούς τους </w:t>
      </w:r>
      <w:r>
        <w:rPr>
          <w:rFonts w:cs="Arial"/>
        </w:rPr>
        <w:t xml:space="preserve">ασθενείς </w:t>
      </w:r>
      <w:r w:rsidR="000D7820">
        <w:rPr>
          <w:rFonts w:cs="Arial"/>
        </w:rPr>
        <w:t xml:space="preserve">μπορεί να </w:t>
      </w:r>
      <w:r>
        <w:rPr>
          <w:rFonts w:cs="Arial"/>
        </w:rPr>
        <w:t>είναι μειωμένος.</w:t>
      </w:r>
    </w:p>
    <w:p w:rsidR="00075EC8" w:rsidRDefault="00075EC8" w:rsidP="001E1BE2">
      <w:pPr>
        <w:autoSpaceDE w:val="0"/>
        <w:autoSpaceDN w:val="0"/>
        <w:adjustRightInd w:val="0"/>
        <w:jc w:val="both"/>
        <w:rPr>
          <w:rFonts w:cs="Arial"/>
        </w:rPr>
      </w:pPr>
      <w:r>
        <w:rPr>
          <w:rFonts w:cs="Arial"/>
        </w:rPr>
        <w:t>Σ</w:t>
      </w:r>
      <w:r w:rsidR="00AF4466">
        <w:rPr>
          <w:rFonts w:cs="Arial"/>
        </w:rPr>
        <w:t>τους ασθενείς υπό συνεχή περιπατη</w:t>
      </w:r>
      <w:r>
        <w:rPr>
          <w:rFonts w:cs="Arial"/>
        </w:rPr>
        <w:t>τική περιτοναϊκή διύλιση (</w:t>
      </w:r>
      <w:r>
        <w:rPr>
          <w:rFonts w:cs="Arial"/>
          <w:lang w:val="en-US"/>
        </w:rPr>
        <w:t>CAPD</w:t>
      </w:r>
      <w:r w:rsidRPr="00075EC8">
        <w:rPr>
          <w:rFonts w:cs="Arial"/>
        </w:rPr>
        <w:t xml:space="preserve">), </w:t>
      </w:r>
      <w:r>
        <w:rPr>
          <w:rFonts w:cs="Arial"/>
        </w:rPr>
        <w:t xml:space="preserve">η κεφτριαξόνη μπορεί να χορηγηθεί είτε </w:t>
      </w:r>
      <w:r w:rsidR="00AF4466">
        <w:rPr>
          <w:rFonts w:cs="Arial"/>
        </w:rPr>
        <w:t>ενδοφλεβίως</w:t>
      </w:r>
      <w:r>
        <w:rPr>
          <w:rFonts w:cs="Arial"/>
        </w:rPr>
        <w:t xml:space="preserve"> ή στην περίπτωση των σχετιζόμενων με </w:t>
      </w:r>
      <w:r>
        <w:rPr>
          <w:rFonts w:cs="Arial"/>
          <w:lang w:val="en-US"/>
        </w:rPr>
        <w:t>CAPD</w:t>
      </w:r>
      <w:r>
        <w:rPr>
          <w:rFonts w:cs="Arial"/>
        </w:rPr>
        <w:t xml:space="preserve"> λοιμώξεων μπορεί να προστεθεί </w:t>
      </w:r>
      <w:r w:rsidR="00AF4466">
        <w:rPr>
          <w:rFonts w:cs="Arial"/>
        </w:rPr>
        <w:t xml:space="preserve">απευθείας </w:t>
      </w:r>
      <w:r>
        <w:rPr>
          <w:rFonts w:cs="Arial"/>
        </w:rPr>
        <w:t xml:space="preserve">στο διάλυμα της διύλισης (π.χ. 1 – 2 </w:t>
      </w:r>
      <w:r>
        <w:rPr>
          <w:rFonts w:cs="Arial"/>
          <w:lang w:val="en-US"/>
        </w:rPr>
        <w:t>g</w:t>
      </w:r>
      <w:r w:rsidRPr="00075EC8">
        <w:rPr>
          <w:rFonts w:cs="Arial"/>
        </w:rPr>
        <w:t xml:space="preserve"> </w:t>
      </w:r>
      <w:r>
        <w:rPr>
          <w:rFonts w:cs="Arial"/>
        </w:rPr>
        <w:t>κεφτριαξ</w:t>
      </w:r>
      <w:r w:rsidR="00AF4466">
        <w:rPr>
          <w:rFonts w:cs="Arial"/>
        </w:rPr>
        <w:t>όνη στο πρώτο διάλυμα διύλισης της</w:t>
      </w:r>
      <w:r w:rsidR="000D7820">
        <w:rPr>
          <w:rFonts w:cs="Arial"/>
        </w:rPr>
        <w:t xml:space="preserve"> </w:t>
      </w:r>
      <w:r w:rsidR="00AF4466">
        <w:rPr>
          <w:rFonts w:cs="Arial"/>
        </w:rPr>
        <w:t xml:space="preserve">αντίστοιχης ημέρας </w:t>
      </w:r>
      <w:r w:rsidR="000D7820">
        <w:rPr>
          <w:rFonts w:cs="Arial"/>
        </w:rPr>
        <w:t>θεραπεία</w:t>
      </w:r>
      <w:r w:rsidR="00AF4466">
        <w:rPr>
          <w:rFonts w:cs="Arial"/>
        </w:rPr>
        <w:t>ς</w:t>
      </w:r>
      <w:r>
        <w:rPr>
          <w:rFonts w:cs="Arial"/>
        </w:rPr>
        <w:t xml:space="preserve">) </w:t>
      </w:r>
      <w:r w:rsidR="000D7820">
        <w:rPr>
          <w:rFonts w:cs="Arial"/>
        </w:rPr>
        <w:t>(</w:t>
      </w:r>
      <w:r>
        <w:rPr>
          <w:rFonts w:cs="Arial"/>
        </w:rPr>
        <w:t>δείτε το λήμμα 6.6).</w:t>
      </w:r>
    </w:p>
    <w:p w:rsidR="00075EC8" w:rsidRPr="00AF4466" w:rsidRDefault="00075EC8" w:rsidP="00DB46E8">
      <w:pPr>
        <w:autoSpaceDE w:val="0"/>
        <w:autoSpaceDN w:val="0"/>
        <w:adjustRightInd w:val="0"/>
        <w:rPr>
          <w:rFonts w:cs="Arial"/>
        </w:rPr>
      </w:pPr>
    </w:p>
    <w:p w:rsidR="00C41AC2" w:rsidRPr="00075EC8" w:rsidRDefault="00075EC8" w:rsidP="00DB46E8">
      <w:pPr>
        <w:autoSpaceDE w:val="0"/>
        <w:autoSpaceDN w:val="0"/>
        <w:adjustRightInd w:val="0"/>
        <w:rPr>
          <w:rFonts w:cs="Arial"/>
          <w:u w:val="single"/>
        </w:rPr>
      </w:pPr>
      <w:r w:rsidRPr="00075EC8">
        <w:rPr>
          <w:rFonts w:cs="Arial"/>
          <w:u w:val="single"/>
        </w:rPr>
        <w:t>Μέθοδος χορήγησης</w:t>
      </w:r>
    </w:p>
    <w:p w:rsidR="00CF7E87" w:rsidRDefault="00E9647F" w:rsidP="00DB46E8">
      <w:pPr>
        <w:autoSpaceDE w:val="0"/>
        <w:autoSpaceDN w:val="0"/>
        <w:adjustRightInd w:val="0"/>
        <w:rPr>
          <w:szCs w:val="22"/>
        </w:rPr>
      </w:pPr>
      <w:r>
        <w:rPr>
          <w:szCs w:val="22"/>
        </w:rPr>
        <w:t xml:space="preserve">Διαλύτες που περιέχουν ασβέστιο (π.χ. διάλυμα </w:t>
      </w:r>
      <w:r w:rsidRPr="00CF7E87">
        <w:rPr>
          <w:szCs w:val="22"/>
          <w:lang w:val="en-GB"/>
        </w:rPr>
        <w:t>Ringer</w:t>
      </w:r>
      <w:r w:rsidRPr="00E9647F">
        <w:rPr>
          <w:szCs w:val="22"/>
        </w:rPr>
        <w:t>’</w:t>
      </w:r>
      <w:r w:rsidRPr="00CF7E87">
        <w:rPr>
          <w:szCs w:val="22"/>
          <w:lang w:val="en-GB"/>
        </w:rPr>
        <w:t>s</w:t>
      </w:r>
      <w:r>
        <w:rPr>
          <w:szCs w:val="22"/>
        </w:rPr>
        <w:t xml:space="preserve"> ή </w:t>
      </w:r>
      <w:r w:rsidRPr="00CF7E87">
        <w:rPr>
          <w:szCs w:val="22"/>
          <w:lang w:val="en-GB"/>
        </w:rPr>
        <w:t>Hartmann</w:t>
      </w:r>
      <w:r w:rsidRPr="00E9647F">
        <w:rPr>
          <w:szCs w:val="22"/>
        </w:rPr>
        <w:t>’</w:t>
      </w:r>
      <w:r w:rsidRPr="00CF7E87">
        <w:rPr>
          <w:szCs w:val="22"/>
          <w:lang w:val="en-GB"/>
        </w:rPr>
        <w:t>s</w:t>
      </w:r>
      <w:r>
        <w:rPr>
          <w:szCs w:val="22"/>
        </w:rPr>
        <w:t xml:space="preserve">) δεν πρέπει να χρησιμοποιούνται στην ανασύσταση των φιαλιδίων κεφτριαξόνης ή στην περαιτέρω αραίωση του ανασυσταμένου φιαλιδίου για ενδοφλέβια χορήγηση επειδή μπορεί να δημιουργηθεί </w:t>
      </w:r>
      <w:r>
        <w:rPr>
          <w:szCs w:val="22"/>
        </w:rPr>
        <w:lastRenderedPageBreak/>
        <w:t>ίζημα. Η καθίζηση της ασβεστούχου κεφτριαξόνης μπορεί επίσης να παρουσιαστεί όταν η κεφτριαξόνη αναμιγνύεται με διαλύματα που περιέχουν ασβέστιο στην ίδια γραμμή ενδοφλέβιας χορήγησης. Για το λόγο αυτ</w:t>
      </w:r>
      <w:r w:rsidR="00485CC3">
        <w:rPr>
          <w:szCs w:val="22"/>
        </w:rPr>
        <w:t xml:space="preserve">ό, η κεφτριαξόνη και τα διαλύματα που περιέχουν ασβέστιο δεν πρέπει να αναμιγνύονται ή να χορηγούνται ταυτόχρονα (βλ. παράγραφο </w:t>
      </w:r>
      <w:r w:rsidR="00485CC3" w:rsidRPr="00485CC3">
        <w:rPr>
          <w:szCs w:val="22"/>
        </w:rPr>
        <w:t xml:space="preserve">4.3, 4.4 </w:t>
      </w:r>
      <w:r w:rsidR="00485CC3">
        <w:rPr>
          <w:szCs w:val="22"/>
        </w:rPr>
        <w:t>και</w:t>
      </w:r>
      <w:r w:rsidR="00485CC3" w:rsidRPr="00485CC3">
        <w:rPr>
          <w:szCs w:val="22"/>
        </w:rPr>
        <w:t xml:space="preserve"> 6.2).</w:t>
      </w:r>
    </w:p>
    <w:p w:rsidR="002E4882" w:rsidRDefault="002E4882" w:rsidP="00DB46E8">
      <w:pPr>
        <w:autoSpaceDE w:val="0"/>
        <w:autoSpaceDN w:val="0"/>
        <w:adjustRightInd w:val="0"/>
        <w:rPr>
          <w:szCs w:val="22"/>
        </w:rPr>
      </w:pPr>
    </w:p>
    <w:p w:rsidR="002E4882" w:rsidRDefault="002E4882" w:rsidP="00DB46E8">
      <w:pPr>
        <w:autoSpaceDE w:val="0"/>
        <w:autoSpaceDN w:val="0"/>
        <w:adjustRightInd w:val="0"/>
        <w:rPr>
          <w:szCs w:val="22"/>
        </w:rPr>
      </w:pPr>
      <w:r>
        <w:rPr>
          <w:szCs w:val="22"/>
        </w:rPr>
        <w:t xml:space="preserve">Για χορήγηση με σύντομη έγχυση, το </w:t>
      </w:r>
      <w:r>
        <w:rPr>
          <w:szCs w:val="22"/>
          <w:lang w:val="en-US"/>
        </w:rPr>
        <w:t>Ceftriaxone</w:t>
      </w:r>
      <w:r w:rsidRPr="002E4882">
        <w:rPr>
          <w:szCs w:val="22"/>
        </w:rPr>
        <w:t xml:space="preserve"> </w:t>
      </w:r>
      <w:r>
        <w:rPr>
          <w:szCs w:val="22"/>
          <w:lang w:val="en-US"/>
        </w:rPr>
        <w:t>Kabi</w:t>
      </w:r>
      <w:r w:rsidRPr="002E4882">
        <w:rPr>
          <w:szCs w:val="22"/>
        </w:rPr>
        <w:t xml:space="preserve"> 2</w:t>
      </w:r>
      <w:r>
        <w:rPr>
          <w:szCs w:val="22"/>
          <w:lang w:val="en-US"/>
        </w:rPr>
        <w:t>g</w:t>
      </w:r>
      <w:r w:rsidRPr="002E4882">
        <w:rPr>
          <w:szCs w:val="22"/>
        </w:rPr>
        <w:t xml:space="preserve"> </w:t>
      </w:r>
      <w:r>
        <w:rPr>
          <w:szCs w:val="22"/>
        </w:rPr>
        <w:t>θα πρέπει να διαλυθεί σε 40-50</w:t>
      </w:r>
      <w:r>
        <w:rPr>
          <w:szCs w:val="22"/>
          <w:lang w:val="en-US"/>
        </w:rPr>
        <w:t>ml</w:t>
      </w:r>
      <w:r w:rsidRPr="002E4882">
        <w:rPr>
          <w:szCs w:val="22"/>
        </w:rPr>
        <w:t xml:space="preserve"> </w:t>
      </w:r>
      <w:r>
        <w:rPr>
          <w:szCs w:val="22"/>
        </w:rPr>
        <w:t>διαλύματος έγχυσης χλωριούχου νατρίου 0,9% ή σε διάλυμα έγχυσης γλυκόζης 5%. Για πληροφορίες σχετικά με την ασυμβατότητα άλλων διαλυμάτων για έγχυση δείτε το λήμμα 6.2. Η έγχυση πρέπει να γίνει σε χρόνο διαρκείας τουλάχιστον 30 λεπτά.</w:t>
      </w:r>
    </w:p>
    <w:p w:rsidR="002E4882" w:rsidRDefault="002E4882" w:rsidP="00DB46E8">
      <w:pPr>
        <w:autoSpaceDE w:val="0"/>
        <w:autoSpaceDN w:val="0"/>
        <w:adjustRightInd w:val="0"/>
        <w:rPr>
          <w:szCs w:val="22"/>
        </w:rPr>
      </w:pPr>
    </w:p>
    <w:p w:rsidR="002E4882" w:rsidRDefault="002E4882" w:rsidP="00DB46E8">
      <w:pPr>
        <w:autoSpaceDE w:val="0"/>
        <w:autoSpaceDN w:val="0"/>
        <w:adjustRightInd w:val="0"/>
        <w:rPr>
          <w:szCs w:val="22"/>
        </w:rPr>
      </w:pPr>
      <w:r>
        <w:rPr>
          <w:szCs w:val="22"/>
        </w:rPr>
        <w:t xml:space="preserve">Τα ανασυστάμενα διαλύματα θα πρέπει να ελέγχονται οπτικά. Μόνο διαυγή διαλύματα ελεύθερα εμφανών σωματιδίων πρέπει να χρησιμοποιούνται. </w:t>
      </w:r>
    </w:p>
    <w:p w:rsidR="002E4882" w:rsidRPr="002E4882" w:rsidRDefault="002E4882" w:rsidP="00DB46E8">
      <w:pPr>
        <w:autoSpaceDE w:val="0"/>
        <w:autoSpaceDN w:val="0"/>
        <w:adjustRightInd w:val="0"/>
        <w:rPr>
          <w:szCs w:val="22"/>
        </w:rPr>
      </w:pPr>
      <w:r>
        <w:rPr>
          <w:szCs w:val="22"/>
        </w:rPr>
        <w:t>Το ανασυσταμένο προϊόν είναι για μια μόνο χορήγηση και οποιοδήποτε μη χρησιμοποιημένο διάλυμα πρέπει να απορρίπτεται.</w:t>
      </w:r>
    </w:p>
    <w:p w:rsidR="00485CC3" w:rsidRDefault="00485CC3" w:rsidP="001E1BE2">
      <w:pPr>
        <w:autoSpaceDE w:val="0"/>
        <w:autoSpaceDN w:val="0"/>
        <w:adjustRightInd w:val="0"/>
        <w:jc w:val="both"/>
        <w:rPr>
          <w:szCs w:val="22"/>
        </w:rPr>
      </w:pPr>
    </w:p>
    <w:p w:rsidR="001C6AE1" w:rsidRDefault="001C6AE1" w:rsidP="006718E7">
      <w:pPr>
        <w:autoSpaceDE w:val="0"/>
        <w:autoSpaceDN w:val="0"/>
        <w:adjustRightInd w:val="0"/>
        <w:jc w:val="both"/>
        <w:rPr>
          <w:rFonts w:cs="Arial"/>
          <w:u w:val="single"/>
        </w:rPr>
      </w:pPr>
      <w:r>
        <w:rPr>
          <w:rFonts w:cs="Arial"/>
          <w:u w:val="single"/>
        </w:rPr>
        <w:t>Διάρκεια της θεραπείας</w:t>
      </w:r>
    </w:p>
    <w:p w:rsidR="001C6AE1" w:rsidRDefault="001C6AE1" w:rsidP="006718E7">
      <w:pPr>
        <w:autoSpaceDE w:val="0"/>
        <w:autoSpaceDN w:val="0"/>
        <w:adjustRightInd w:val="0"/>
        <w:jc w:val="both"/>
        <w:rPr>
          <w:rFonts w:cs="Arial"/>
          <w:u w:val="single"/>
        </w:rPr>
      </w:pPr>
    </w:p>
    <w:p w:rsidR="001C6AE1" w:rsidRDefault="001C6AE1" w:rsidP="00AF4466">
      <w:pPr>
        <w:autoSpaceDE w:val="0"/>
        <w:autoSpaceDN w:val="0"/>
        <w:adjustRightInd w:val="0"/>
        <w:jc w:val="both"/>
        <w:rPr>
          <w:rFonts w:cs="Arial"/>
        </w:rPr>
      </w:pPr>
      <w:r w:rsidRPr="001C6AE1">
        <w:rPr>
          <w:rFonts w:cs="Arial"/>
        </w:rPr>
        <w:t xml:space="preserve">Η </w:t>
      </w:r>
      <w:r w:rsidR="00AF4466">
        <w:rPr>
          <w:rFonts w:cs="Arial"/>
        </w:rPr>
        <w:t>συνήθης</w:t>
      </w:r>
      <w:r w:rsidRPr="001C6AE1">
        <w:rPr>
          <w:rFonts w:cs="Arial"/>
        </w:rPr>
        <w:t xml:space="preserve"> </w:t>
      </w:r>
      <w:r>
        <w:rPr>
          <w:rFonts w:cs="Arial"/>
        </w:rPr>
        <w:t xml:space="preserve">διάρκεια θεραπείας εξαρτάται από τα χαρακτηριστικά της λοίμωξης. Γενικά η χορήγηση της κεφτριαξόνης πρέπει να συνεχίζεται για τουλάχιστον 48 με 72 ώρες μετά την σταθεροποίηση στα φυσιολογικά επίπεδα της θερμοκρασίας του σώματος και αφού έχουν ληφθεί ενδείξεις εκμηδενισμού των βακτηρίων. Οι συνιστώμενες δοσολογίες για ιδιαίτερες </w:t>
      </w:r>
      <w:r w:rsidR="00AF4466">
        <w:rPr>
          <w:rFonts w:cs="Arial"/>
        </w:rPr>
        <w:t>ενδείξεις</w:t>
      </w:r>
      <w:r>
        <w:rPr>
          <w:rFonts w:cs="Arial"/>
        </w:rPr>
        <w:t xml:space="preserve"> πρέπει να λαμβάνονται </w:t>
      </w:r>
      <w:r w:rsidR="002E4882">
        <w:rPr>
          <w:rFonts w:cs="Arial"/>
        </w:rPr>
        <w:t>υπόψη</w:t>
      </w:r>
      <w:r>
        <w:rPr>
          <w:rFonts w:cs="Arial"/>
        </w:rPr>
        <w:t>.</w:t>
      </w:r>
    </w:p>
    <w:p w:rsidR="001C6AE1" w:rsidRPr="00AF4466" w:rsidRDefault="001C6AE1" w:rsidP="006718E7">
      <w:pPr>
        <w:autoSpaceDE w:val="0"/>
        <w:autoSpaceDN w:val="0"/>
        <w:adjustRightInd w:val="0"/>
        <w:jc w:val="both"/>
        <w:rPr>
          <w:rFonts w:cs="Arial"/>
        </w:rPr>
      </w:pPr>
    </w:p>
    <w:p w:rsidR="00AF0E2A" w:rsidRPr="00AF4466" w:rsidRDefault="00AF0E2A" w:rsidP="006718E7">
      <w:pPr>
        <w:rPr>
          <w:noProof/>
        </w:rPr>
      </w:pPr>
    </w:p>
    <w:p w:rsidR="00AF0E2A" w:rsidRPr="002E4882" w:rsidRDefault="00AF0E2A" w:rsidP="006718E7">
      <w:pPr>
        <w:rPr>
          <w:noProof/>
        </w:rPr>
      </w:pPr>
      <w:r w:rsidRPr="002E4882">
        <w:rPr>
          <w:b/>
          <w:noProof/>
        </w:rPr>
        <w:t>4.3</w:t>
      </w:r>
      <w:r w:rsidRPr="002E4882">
        <w:rPr>
          <w:b/>
          <w:noProof/>
        </w:rPr>
        <w:tab/>
      </w:r>
      <w:r>
        <w:rPr>
          <w:b/>
          <w:noProof/>
        </w:rPr>
        <w:t>Αντενδείξεις</w:t>
      </w:r>
    </w:p>
    <w:p w:rsidR="00AF0E2A" w:rsidRPr="002E4882" w:rsidRDefault="00AF0E2A" w:rsidP="006718E7">
      <w:pPr>
        <w:rPr>
          <w:noProof/>
        </w:rPr>
      </w:pPr>
    </w:p>
    <w:p w:rsidR="001C6AE1" w:rsidRDefault="001C6AE1" w:rsidP="00E158F5">
      <w:pPr>
        <w:autoSpaceDE w:val="0"/>
        <w:autoSpaceDN w:val="0"/>
        <w:adjustRightInd w:val="0"/>
        <w:jc w:val="both"/>
        <w:rPr>
          <w:rFonts w:cs="Arial"/>
        </w:rPr>
      </w:pPr>
      <w:r>
        <w:rPr>
          <w:rFonts w:cs="Arial"/>
        </w:rPr>
        <w:t xml:space="preserve">Υπερευαισθησία στην </w:t>
      </w:r>
      <w:r w:rsidR="00682239">
        <w:rPr>
          <w:rFonts w:cs="Arial"/>
        </w:rPr>
        <w:t>κεφτριαξόνη</w:t>
      </w:r>
      <w:r>
        <w:rPr>
          <w:rFonts w:cs="Arial"/>
        </w:rPr>
        <w:t xml:space="preserve">, </w:t>
      </w:r>
      <w:r w:rsidR="00A11DD3">
        <w:rPr>
          <w:rFonts w:cs="Arial"/>
        </w:rPr>
        <w:t xml:space="preserve">την δραστική ουσία </w:t>
      </w:r>
      <w:r w:rsidR="00682239">
        <w:rPr>
          <w:rFonts w:cs="Arial"/>
        </w:rPr>
        <w:t xml:space="preserve">ή </w:t>
      </w:r>
      <w:r>
        <w:rPr>
          <w:rFonts w:cs="Arial"/>
        </w:rPr>
        <w:t>σε άλλες κεφαλοσπορίνες.</w:t>
      </w:r>
    </w:p>
    <w:p w:rsidR="001C6AE1" w:rsidRDefault="001C6AE1" w:rsidP="00E158F5">
      <w:pPr>
        <w:autoSpaceDE w:val="0"/>
        <w:autoSpaceDN w:val="0"/>
        <w:adjustRightInd w:val="0"/>
        <w:jc w:val="both"/>
        <w:rPr>
          <w:rFonts w:cs="Arial"/>
        </w:rPr>
      </w:pPr>
    </w:p>
    <w:p w:rsidR="001C6AE1" w:rsidRDefault="001C6AE1" w:rsidP="00E158F5">
      <w:pPr>
        <w:autoSpaceDE w:val="0"/>
        <w:autoSpaceDN w:val="0"/>
        <w:adjustRightInd w:val="0"/>
        <w:jc w:val="both"/>
        <w:rPr>
          <w:rFonts w:cs="Arial"/>
        </w:rPr>
      </w:pPr>
      <w:r>
        <w:rPr>
          <w:rFonts w:cs="Arial"/>
        </w:rPr>
        <w:t xml:space="preserve">Προηγούμενη άμεση και/ή σοβαρή </w:t>
      </w:r>
      <w:r w:rsidR="000D7820">
        <w:rPr>
          <w:rFonts w:cs="Arial"/>
        </w:rPr>
        <w:t xml:space="preserve">αντίδραση </w:t>
      </w:r>
      <w:r>
        <w:rPr>
          <w:rFonts w:cs="Arial"/>
        </w:rPr>
        <w:t>υπερευαισθησία</w:t>
      </w:r>
      <w:r w:rsidR="000D7820">
        <w:rPr>
          <w:rFonts w:cs="Arial"/>
        </w:rPr>
        <w:t>ς σε μια</w:t>
      </w:r>
      <w:r>
        <w:rPr>
          <w:rFonts w:cs="Arial"/>
        </w:rPr>
        <w:t xml:space="preserve"> </w:t>
      </w:r>
      <w:r w:rsidR="00A11DD3">
        <w:rPr>
          <w:rFonts w:cs="Arial"/>
        </w:rPr>
        <w:t>πενικιλίνη</w:t>
      </w:r>
      <w:r>
        <w:rPr>
          <w:rFonts w:cs="Arial"/>
        </w:rPr>
        <w:t xml:space="preserve"> ή σε οποιαδήπ</w:t>
      </w:r>
      <w:r w:rsidR="00D55C05">
        <w:rPr>
          <w:rFonts w:cs="Arial"/>
          <w:lang w:val="en-US"/>
        </w:rPr>
        <w:t>o</w:t>
      </w:r>
      <w:r>
        <w:rPr>
          <w:rFonts w:cs="Arial"/>
        </w:rPr>
        <w:t xml:space="preserve">τε </w:t>
      </w:r>
      <w:r w:rsidR="000D7820">
        <w:rPr>
          <w:rFonts w:cs="Arial"/>
        </w:rPr>
        <w:t xml:space="preserve">από τα άλλα </w:t>
      </w:r>
      <w:r>
        <w:rPr>
          <w:rFonts w:cs="Arial"/>
        </w:rPr>
        <w:t>προϊόντα των β-λακταμασών (δείτε το λήμμα 4.4).</w:t>
      </w:r>
    </w:p>
    <w:p w:rsidR="001C6AE1" w:rsidRDefault="001C6AE1" w:rsidP="00E158F5">
      <w:pPr>
        <w:autoSpaceDE w:val="0"/>
        <w:autoSpaceDN w:val="0"/>
        <w:adjustRightInd w:val="0"/>
        <w:jc w:val="both"/>
        <w:rPr>
          <w:rFonts w:cs="Arial"/>
        </w:rPr>
      </w:pPr>
    </w:p>
    <w:p w:rsidR="00682239" w:rsidRPr="002E4882" w:rsidRDefault="00682239" w:rsidP="00682239">
      <w:pPr>
        <w:autoSpaceDE w:val="0"/>
        <w:autoSpaceDN w:val="0"/>
        <w:adjustRightInd w:val="0"/>
        <w:rPr>
          <w:szCs w:val="22"/>
        </w:rPr>
      </w:pPr>
      <w:r>
        <w:rPr>
          <w:szCs w:val="22"/>
        </w:rPr>
        <w:t>Η</w:t>
      </w:r>
      <w:r w:rsidRPr="002E4882">
        <w:rPr>
          <w:szCs w:val="22"/>
        </w:rPr>
        <w:t xml:space="preserve"> </w:t>
      </w:r>
      <w:r>
        <w:rPr>
          <w:szCs w:val="22"/>
        </w:rPr>
        <w:t>κεφτριαξόνη</w:t>
      </w:r>
      <w:r w:rsidRPr="002E4882">
        <w:rPr>
          <w:szCs w:val="22"/>
        </w:rPr>
        <w:t xml:space="preserve"> </w:t>
      </w:r>
      <w:r>
        <w:rPr>
          <w:szCs w:val="22"/>
        </w:rPr>
        <w:t>αντενδείκνυται</w:t>
      </w:r>
      <w:r w:rsidR="00142DEB" w:rsidRPr="002E4882">
        <w:rPr>
          <w:szCs w:val="22"/>
        </w:rPr>
        <w:t xml:space="preserve"> </w:t>
      </w:r>
      <w:r w:rsidR="00142DEB">
        <w:rPr>
          <w:szCs w:val="22"/>
        </w:rPr>
        <w:t>σε</w:t>
      </w:r>
      <w:r w:rsidRPr="002E4882">
        <w:rPr>
          <w:szCs w:val="22"/>
        </w:rPr>
        <w:t xml:space="preserve">: </w:t>
      </w:r>
    </w:p>
    <w:p w:rsidR="00682239" w:rsidRPr="00142DEB" w:rsidRDefault="00682239" w:rsidP="00682239">
      <w:pPr>
        <w:autoSpaceDE w:val="0"/>
        <w:autoSpaceDN w:val="0"/>
        <w:adjustRightInd w:val="0"/>
        <w:rPr>
          <w:szCs w:val="22"/>
        </w:rPr>
      </w:pPr>
      <w:r w:rsidRPr="00142DEB">
        <w:rPr>
          <w:szCs w:val="22"/>
        </w:rPr>
        <w:t xml:space="preserve">• </w:t>
      </w:r>
      <w:r w:rsidR="00142DEB">
        <w:rPr>
          <w:szCs w:val="22"/>
        </w:rPr>
        <w:t>πρόωρα</w:t>
      </w:r>
      <w:r w:rsidR="00142DEB" w:rsidRPr="00142DEB">
        <w:rPr>
          <w:szCs w:val="22"/>
        </w:rPr>
        <w:t xml:space="preserve"> </w:t>
      </w:r>
      <w:r w:rsidR="00142DEB">
        <w:rPr>
          <w:szCs w:val="22"/>
        </w:rPr>
        <w:t>νεογνά</w:t>
      </w:r>
      <w:r w:rsidR="00142DEB" w:rsidRPr="00142DEB">
        <w:rPr>
          <w:szCs w:val="22"/>
        </w:rPr>
        <w:t xml:space="preserve"> </w:t>
      </w:r>
      <w:r w:rsidR="00142DEB">
        <w:rPr>
          <w:szCs w:val="22"/>
        </w:rPr>
        <w:t>έως</w:t>
      </w:r>
      <w:r w:rsidR="00142DEB" w:rsidRPr="00142DEB">
        <w:rPr>
          <w:szCs w:val="22"/>
        </w:rPr>
        <w:t xml:space="preserve"> </w:t>
      </w:r>
      <w:r w:rsidR="00142DEB">
        <w:rPr>
          <w:szCs w:val="22"/>
        </w:rPr>
        <w:t>την</w:t>
      </w:r>
      <w:r w:rsidR="00142DEB" w:rsidRPr="00142DEB">
        <w:rPr>
          <w:szCs w:val="22"/>
        </w:rPr>
        <w:t xml:space="preserve"> </w:t>
      </w:r>
      <w:r w:rsidR="00142DEB">
        <w:rPr>
          <w:szCs w:val="22"/>
        </w:rPr>
        <w:t>διορθωμένη</w:t>
      </w:r>
      <w:r w:rsidR="00142DEB" w:rsidRPr="00142DEB">
        <w:rPr>
          <w:szCs w:val="22"/>
        </w:rPr>
        <w:t xml:space="preserve"> </w:t>
      </w:r>
      <w:r w:rsidR="00142DEB">
        <w:rPr>
          <w:szCs w:val="22"/>
        </w:rPr>
        <w:t>ηλικία</w:t>
      </w:r>
      <w:r w:rsidR="00142DEB" w:rsidRPr="00142DEB">
        <w:rPr>
          <w:szCs w:val="22"/>
        </w:rPr>
        <w:t xml:space="preserve"> </w:t>
      </w:r>
      <w:r w:rsidR="00142DEB">
        <w:rPr>
          <w:szCs w:val="22"/>
        </w:rPr>
        <w:t>των</w:t>
      </w:r>
      <w:r w:rsidR="00142DEB" w:rsidRPr="00142DEB">
        <w:rPr>
          <w:szCs w:val="22"/>
        </w:rPr>
        <w:t xml:space="preserve"> 41 </w:t>
      </w:r>
      <w:r w:rsidR="00142DEB">
        <w:rPr>
          <w:szCs w:val="22"/>
        </w:rPr>
        <w:t>εβδομάδων</w:t>
      </w:r>
      <w:r w:rsidR="00142DEB" w:rsidRPr="00142DEB">
        <w:rPr>
          <w:szCs w:val="22"/>
        </w:rPr>
        <w:t xml:space="preserve"> (</w:t>
      </w:r>
      <w:r w:rsidR="00142DEB">
        <w:rPr>
          <w:szCs w:val="22"/>
        </w:rPr>
        <w:t>εβδομάδες</w:t>
      </w:r>
      <w:r w:rsidR="00142DEB" w:rsidRPr="00142DEB">
        <w:rPr>
          <w:szCs w:val="22"/>
        </w:rPr>
        <w:t xml:space="preserve"> </w:t>
      </w:r>
      <w:r w:rsidR="00142DEB">
        <w:rPr>
          <w:szCs w:val="22"/>
        </w:rPr>
        <w:t>κύησης</w:t>
      </w:r>
      <w:r w:rsidR="00142DEB" w:rsidRPr="00142DEB">
        <w:rPr>
          <w:szCs w:val="22"/>
        </w:rPr>
        <w:t xml:space="preserve"> + </w:t>
      </w:r>
      <w:r w:rsidR="00142DEB">
        <w:rPr>
          <w:szCs w:val="22"/>
        </w:rPr>
        <w:t>εβδομάδες</w:t>
      </w:r>
      <w:r w:rsidR="00142DEB" w:rsidRPr="00142DEB">
        <w:rPr>
          <w:szCs w:val="22"/>
        </w:rPr>
        <w:t xml:space="preserve"> </w:t>
      </w:r>
      <w:r w:rsidR="00142DEB">
        <w:rPr>
          <w:szCs w:val="22"/>
        </w:rPr>
        <w:t>ζωής),</w:t>
      </w:r>
    </w:p>
    <w:p w:rsidR="00682239" w:rsidRPr="00AF44C1" w:rsidRDefault="00682239" w:rsidP="00682239">
      <w:pPr>
        <w:autoSpaceDE w:val="0"/>
        <w:autoSpaceDN w:val="0"/>
        <w:adjustRightInd w:val="0"/>
        <w:rPr>
          <w:szCs w:val="22"/>
        </w:rPr>
      </w:pPr>
      <w:r w:rsidRPr="00AF44C1">
        <w:rPr>
          <w:szCs w:val="22"/>
        </w:rPr>
        <w:t xml:space="preserve">• </w:t>
      </w:r>
      <w:r w:rsidR="00AF44C1">
        <w:rPr>
          <w:szCs w:val="22"/>
        </w:rPr>
        <w:t>τελειόμηνα</w:t>
      </w:r>
      <w:r w:rsidR="00AF44C1" w:rsidRPr="00AF44C1">
        <w:rPr>
          <w:szCs w:val="22"/>
        </w:rPr>
        <w:t xml:space="preserve"> </w:t>
      </w:r>
      <w:r w:rsidR="00AF44C1">
        <w:rPr>
          <w:szCs w:val="22"/>
        </w:rPr>
        <w:t>νεογνά</w:t>
      </w:r>
      <w:r w:rsidR="00AF44C1" w:rsidRPr="00AF44C1">
        <w:rPr>
          <w:szCs w:val="22"/>
        </w:rPr>
        <w:t xml:space="preserve"> (</w:t>
      </w:r>
      <w:r w:rsidR="00AF44C1">
        <w:rPr>
          <w:szCs w:val="22"/>
        </w:rPr>
        <w:t>ηλικίας</w:t>
      </w:r>
      <w:r w:rsidR="00AF44C1" w:rsidRPr="00AF44C1">
        <w:rPr>
          <w:szCs w:val="22"/>
        </w:rPr>
        <w:t xml:space="preserve"> </w:t>
      </w:r>
      <w:r w:rsidR="00AF44C1">
        <w:rPr>
          <w:szCs w:val="22"/>
        </w:rPr>
        <w:t>έως</w:t>
      </w:r>
      <w:r w:rsidR="00AF44C1" w:rsidRPr="00AF44C1">
        <w:rPr>
          <w:szCs w:val="22"/>
        </w:rPr>
        <w:t xml:space="preserve"> 28 </w:t>
      </w:r>
      <w:r w:rsidR="00AF44C1">
        <w:rPr>
          <w:szCs w:val="22"/>
        </w:rPr>
        <w:t>ημερών)</w:t>
      </w:r>
    </w:p>
    <w:p w:rsidR="00682239" w:rsidRPr="00AF44C1" w:rsidRDefault="00682239" w:rsidP="00682239">
      <w:pPr>
        <w:autoSpaceDE w:val="0"/>
        <w:autoSpaceDN w:val="0"/>
        <w:adjustRightInd w:val="0"/>
        <w:rPr>
          <w:szCs w:val="22"/>
        </w:rPr>
      </w:pPr>
    </w:p>
    <w:p w:rsidR="00682239" w:rsidRPr="005D054F" w:rsidRDefault="00682239" w:rsidP="005D054F">
      <w:pPr>
        <w:autoSpaceDE w:val="0"/>
        <w:autoSpaceDN w:val="0"/>
        <w:adjustRightInd w:val="0"/>
        <w:ind w:left="880"/>
        <w:rPr>
          <w:szCs w:val="22"/>
        </w:rPr>
      </w:pPr>
      <w:r w:rsidRPr="00682239">
        <w:rPr>
          <w:szCs w:val="22"/>
        </w:rPr>
        <w:sym w:font="Symbol" w:char="F0B7"/>
      </w:r>
      <w:r w:rsidR="005D054F">
        <w:rPr>
          <w:szCs w:val="22"/>
        </w:rPr>
        <w:t xml:space="preserve"> με </w:t>
      </w:r>
      <w:r w:rsidR="00AF44C1">
        <w:rPr>
          <w:szCs w:val="22"/>
        </w:rPr>
        <w:t>ίκτερο</w:t>
      </w:r>
      <w:r w:rsidR="00AF44C1" w:rsidRPr="005D054F">
        <w:rPr>
          <w:szCs w:val="22"/>
        </w:rPr>
        <w:t xml:space="preserve">, </w:t>
      </w:r>
      <w:r w:rsidR="00AF44C1">
        <w:rPr>
          <w:szCs w:val="22"/>
        </w:rPr>
        <w:t>είτε</w:t>
      </w:r>
      <w:r w:rsidR="00AF44C1" w:rsidRPr="005D054F">
        <w:rPr>
          <w:szCs w:val="22"/>
        </w:rPr>
        <w:t xml:space="preserve"> </w:t>
      </w:r>
      <w:r w:rsidR="005D054F">
        <w:rPr>
          <w:szCs w:val="22"/>
        </w:rPr>
        <w:t>έχουν</w:t>
      </w:r>
      <w:r w:rsidR="00AF44C1" w:rsidRPr="005D054F">
        <w:rPr>
          <w:szCs w:val="22"/>
        </w:rPr>
        <w:t xml:space="preserve"> </w:t>
      </w:r>
      <w:r w:rsidR="005D054F">
        <w:rPr>
          <w:szCs w:val="22"/>
        </w:rPr>
        <w:t>υποχολερυθριναιμία</w:t>
      </w:r>
      <w:r w:rsidR="00AF44C1" w:rsidRPr="005D054F">
        <w:rPr>
          <w:szCs w:val="22"/>
        </w:rPr>
        <w:t xml:space="preserve"> </w:t>
      </w:r>
      <w:r w:rsidR="00AF44C1">
        <w:rPr>
          <w:szCs w:val="22"/>
        </w:rPr>
        <w:t>ή</w:t>
      </w:r>
      <w:r w:rsidR="00AF44C1" w:rsidRPr="005D054F">
        <w:rPr>
          <w:szCs w:val="22"/>
        </w:rPr>
        <w:t xml:space="preserve">  </w:t>
      </w:r>
      <w:r w:rsidR="005D054F">
        <w:rPr>
          <w:szCs w:val="22"/>
        </w:rPr>
        <w:t>είναι οξειδωτικά καθώς αυτές είναι καταστάσεις κατά τις οποίες η δέσμευση της χολερυθρίνης είναι πιθανό να είναι ανεπαρκής</w:t>
      </w:r>
    </w:p>
    <w:p w:rsidR="000D7820" w:rsidRPr="00682239" w:rsidRDefault="00682239" w:rsidP="005D054F">
      <w:pPr>
        <w:ind w:left="880"/>
      </w:pPr>
      <w:r w:rsidRPr="00682239">
        <w:sym w:font="Symbol" w:char="F0B7"/>
      </w:r>
      <w:r w:rsidR="005D054F" w:rsidRPr="005D054F">
        <w:t xml:space="preserve"> </w:t>
      </w:r>
      <w:r w:rsidR="005D054F">
        <w:t>εάν</w:t>
      </w:r>
      <w:r w:rsidR="005D054F" w:rsidRPr="005D054F">
        <w:t xml:space="preserve"> </w:t>
      </w:r>
      <w:r w:rsidR="005D054F">
        <w:t>χρειάζονται</w:t>
      </w:r>
      <w:r w:rsidR="005D054F" w:rsidRPr="005D054F">
        <w:t xml:space="preserve"> (</w:t>
      </w:r>
      <w:r w:rsidR="005D054F">
        <w:t>ή</w:t>
      </w:r>
      <w:r w:rsidR="005D054F" w:rsidRPr="005D054F">
        <w:t xml:space="preserve"> </w:t>
      </w:r>
      <w:r w:rsidR="005D054F">
        <w:t>αναμένεται</w:t>
      </w:r>
      <w:r w:rsidR="005D054F" w:rsidRPr="005D054F">
        <w:t xml:space="preserve"> </w:t>
      </w:r>
      <w:r w:rsidR="005D054F">
        <w:t>να</w:t>
      </w:r>
      <w:r w:rsidR="005D054F" w:rsidRPr="005D054F">
        <w:t xml:space="preserve"> </w:t>
      </w:r>
      <w:r w:rsidR="005D054F">
        <w:t>χρειαστούν</w:t>
      </w:r>
      <w:r w:rsidR="005D054F" w:rsidRPr="005D054F">
        <w:t xml:space="preserve">) </w:t>
      </w:r>
      <w:r w:rsidR="005D054F">
        <w:t>ενδοφλέβια</w:t>
      </w:r>
      <w:r w:rsidR="005D054F" w:rsidRPr="005D054F">
        <w:t xml:space="preserve"> </w:t>
      </w:r>
      <w:r w:rsidR="005D054F">
        <w:t xml:space="preserve">θεραπεία με διαλύματα που περιέχουν ασβέστιο λόγω του κινδύνου ιζηματοποίησης της ασβεστούχου κεφτριαξόνης (δείτε τα λήμματα </w:t>
      </w:r>
      <w:r w:rsidRPr="005D054F">
        <w:t xml:space="preserve">4.4, 4.8 </w:t>
      </w:r>
      <w:r w:rsidR="005D054F">
        <w:t>και</w:t>
      </w:r>
      <w:r w:rsidRPr="005D054F">
        <w:t xml:space="preserve"> 6.2).</w:t>
      </w:r>
      <w:r w:rsidR="000D7820" w:rsidRPr="00682239">
        <w:t xml:space="preserve"> </w:t>
      </w:r>
    </w:p>
    <w:p w:rsidR="000D7820" w:rsidRPr="000D7820" w:rsidRDefault="000D7820" w:rsidP="00E158F5">
      <w:pPr>
        <w:pStyle w:val="knZulassung02"/>
        <w:spacing w:line="240" w:lineRule="exact"/>
        <w:ind w:left="709" w:right="-1" w:hanging="705"/>
        <w:jc w:val="both"/>
        <w:rPr>
          <w:rFonts w:ascii="Times New Roman" w:hAnsi="Times New Roman"/>
          <w:sz w:val="22"/>
          <w:szCs w:val="22"/>
          <w:lang w:val="el-GR"/>
        </w:rPr>
      </w:pPr>
    </w:p>
    <w:p w:rsidR="00AF0E2A" w:rsidRPr="00AE5A60" w:rsidRDefault="00AF0E2A" w:rsidP="006718E7">
      <w:pPr>
        <w:rPr>
          <w:noProof/>
        </w:rPr>
      </w:pPr>
    </w:p>
    <w:p w:rsidR="00AF0E2A" w:rsidRDefault="00AF0E2A" w:rsidP="006718E7">
      <w:pPr>
        <w:rPr>
          <w:noProof/>
        </w:rPr>
      </w:pPr>
      <w:r>
        <w:rPr>
          <w:b/>
          <w:noProof/>
        </w:rPr>
        <w:t>4.4</w:t>
      </w:r>
      <w:r>
        <w:rPr>
          <w:b/>
          <w:noProof/>
        </w:rPr>
        <w:tab/>
        <w:t>Ειδικές προειδοποιήσεις και προφυλάξεις κατά τη χρήση</w:t>
      </w:r>
    </w:p>
    <w:p w:rsidR="00F84F7F" w:rsidRPr="00E9496F" w:rsidRDefault="00F84F7F" w:rsidP="006718E7">
      <w:pPr>
        <w:autoSpaceDE w:val="0"/>
        <w:autoSpaceDN w:val="0"/>
        <w:adjustRightInd w:val="0"/>
        <w:jc w:val="both"/>
        <w:rPr>
          <w:rFonts w:cs="Arial"/>
        </w:rPr>
      </w:pPr>
    </w:p>
    <w:p w:rsidR="00DB3087" w:rsidRPr="00DB3087" w:rsidRDefault="00DB3087" w:rsidP="006718E7">
      <w:pPr>
        <w:autoSpaceDE w:val="0"/>
        <w:autoSpaceDN w:val="0"/>
        <w:adjustRightInd w:val="0"/>
        <w:jc w:val="both"/>
        <w:rPr>
          <w:rFonts w:cs="Arial"/>
          <w:b/>
        </w:rPr>
      </w:pPr>
      <w:r w:rsidRPr="00DB3087">
        <w:rPr>
          <w:rFonts w:cs="Arial"/>
          <w:b/>
        </w:rPr>
        <w:t>Αντιδράσεις υπερευαισθησίας/αναφύλαξία</w:t>
      </w:r>
    </w:p>
    <w:p w:rsidR="000D7820" w:rsidRPr="000D7820" w:rsidRDefault="000D7820" w:rsidP="00E158F5">
      <w:pPr>
        <w:autoSpaceDE w:val="0"/>
        <w:autoSpaceDN w:val="0"/>
        <w:adjustRightInd w:val="0"/>
        <w:jc w:val="both"/>
        <w:rPr>
          <w:szCs w:val="22"/>
        </w:rPr>
      </w:pPr>
      <w:r>
        <w:rPr>
          <w:szCs w:val="22"/>
        </w:rPr>
        <w:t>Αντιδράσεις</w:t>
      </w:r>
      <w:r w:rsidRPr="000D7820">
        <w:rPr>
          <w:szCs w:val="22"/>
        </w:rPr>
        <w:t xml:space="preserve"> </w:t>
      </w:r>
      <w:r>
        <w:rPr>
          <w:szCs w:val="22"/>
        </w:rPr>
        <w:t>υπερευαισθησίας</w:t>
      </w:r>
      <w:r w:rsidRPr="000D7820">
        <w:rPr>
          <w:szCs w:val="22"/>
        </w:rPr>
        <w:t xml:space="preserve"> </w:t>
      </w:r>
      <w:r>
        <w:rPr>
          <w:szCs w:val="22"/>
        </w:rPr>
        <w:t>μπορεί</w:t>
      </w:r>
      <w:r w:rsidRPr="000D7820">
        <w:rPr>
          <w:szCs w:val="22"/>
        </w:rPr>
        <w:t xml:space="preserve"> </w:t>
      </w:r>
      <w:r>
        <w:rPr>
          <w:szCs w:val="22"/>
        </w:rPr>
        <w:t>να</w:t>
      </w:r>
      <w:r w:rsidRPr="000D7820">
        <w:rPr>
          <w:szCs w:val="22"/>
        </w:rPr>
        <w:t xml:space="preserve"> </w:t>
      </w:r>
      <w:r>
        <w:rPr>
          <w:szCs w:val="22"/>
        </w:rPr>
        <w:t>παρουσιαστούν</w:t>
      </w:r>
      <w:r w:rsidRPr="000D7820">
        <w:rPr>
          <w:szCs w:val="22"/>
        </w:rPr>
        <w:t xml:space="preserve"> </w:t>
      </w:r>
      <w:r>
        <w:rPr>
          <w:szCs w:val="22"/>
        </w:rPr>
        <w:t>σε</w:t>
      </w:r>
      <w:r w:rsidRPr="000D7820">
        <w:rPr>
          <w:szCs w:val="22"/>
        </w:rPr>
        <w:t xml:space="preserve"> </w:t>
      </w:r>
      <w:r>
        <w:rPr>
          <w:szCs w:val="22"/>
        </w:rPr>
        <w:t>όλους</w:t>
      </w:r>
      <w:r w:rsidRPr="000D7820">
        <w:rPr>
          <w:szCs w:val="22"/>
        </w:rPr>
        <w:t xml:space="preserve"> </w:t>
      </w:r>
      <w:r>
        <w:rPr>
          <w:szCs w:val="22"/>
        </w:rPr>
        <w:t>τους</w:t>
      </w:r>
      <w:r w:rsidRPr="000D7820">
        <w:rPr>
          <w:szCs w:val="22"/>
        </w:rPr>
        <w:t xml:space="preserve"> </w:t>
      </w:r>
      <w:r>
        <w:rPr>
          <w:szCs w:val="22"/>
        </w:rPr>
        <w:t>βαθμούς</w:t>
      </w:r>
      <w:r w:rsidRPr="000D7820">
        <w:rPr>
          <w:szCs w:val="22"/>
        </w:rPr>
        <w:t xml:space="preserve"> </w:t>
      </w:r>
      <w:r>
        <w:rPr>
          <w:szCs w:val="22"/>
        </w:rPr>
        <w:t>σοβαρότητας</w:t>
      </w:r>
      <w:r w:rsidRPr="000D7820">
        <w:rPr>
          <w:szCs w:val="22"/>
        </w:rPr>
        <w:t xml:space="preserve"> </w:t>
      </w:r>
      <w:r>
        <w:rPr>
          <w:szCs w:val="22"/>
        </w:rPr>
        <w:t xml:space="preserve">έως και της αναφυλακτικής καταπληξίας (δείτε το λήμμα 4.8). </w:t>
      </w:r>
    </w:p>
    <w:p w:rsidR="000D7820" w:rsidRDefault="000D7820" w:rsidP="00E158F5">
      <w:pPr>
        <w:autoSpaceDE w:val="0"/>
        <w:autoSpaceDN w:val="0"/>
        <w:adjustRightInd w:val="0"/>
        <w:jc w:val="both"/>
        <w:rPr>
          <w:szCs w:val="22"/>
        </w:rPr>
      </w:pPr>
      <w:r>
        <w:rPr>
          <w:szCs w:val="22"/>
        </w:rPr>
        <w:t xml:space="preserve">Χρειάζεται ιδιαίτερη προσοχή για να προσδιοριστούν οποιαδήποτε άλλα είδη προηγούμενων αντιδράσεων υπερευαισθησίας στην πενικιλλίνη ή σε άλλα φαρμακευτικά προϊόντα των β-λακταμασών </w:t>
      </w:r>
      <w:r w:rsidR="00D16759">
        <w:rPr>
          <w:szCs w:val="22"/>
        </w:rPr>
        <w:t>λόγω</w:t>
      </w:r>
      <w:r>
        <w:rPr>
          <w:szCs w:val="22"/>
        </w:rPr>
        <w:t xml:space="preserve"> πιθανή</w:t>
      </w:r>
      <w:r w:rsidR="00D16759">
        <w:rPr>
          <w:szCs w:val="22"/>
        </w:rPr>
        <w:t>ς</w:t>
      </w:r>
      <w:r>
        <w:rPr>
          <w:szCs w:val="22"/>
        </w:rPr>
        <w:t xml:space="preserve"> διασταυρούμενη</w:t>
      </w:r>
      <w:r w:rsidR="00D16759">
        <w:rPr>
          <w:szCs w:val="22"/>
        </w:rPr>
        <w:t>ς</w:t>
      </w:r>
      <w:r>
        <w:rPr>
          <w:szCs w:val="22"/>
        </w:rPr>
        <w:t xml:space="preserve"> αλλεργία</w:t>
      </w:r>
      <w:r w:rsidR="00D16759">
        <w:rPr>
          <w:szCs w:val="22"/>
        </w:rPr>
        <w:t>ς</w:t>
      </w:r>
      <w:r>
        <w:rPr>
          <w:szCs w:val="22"/>
        </w:rPr>
        <w:t>.</w:t>
      </w:r>
    </w:p>
    <w:p w:rsidR="000D7820" w:rsidRDefault="000D7820" w:rsidP="00E158F5">
      <w:pPr>
        <w:autoSpaceDE w:val="0"/>
        <w:autoSpaceDN w:val="0"/>
        <w:adjustRightInd w:val="0"/>
        <w:jc w:val="both"/>
        <w:rPr>
          <w:szCs w:val="22"/>
        </w:rPr>
      </w:pPr>
      <w:r>
        <w:rPr>
          <w:szCs w:val="22"/>
        </w:rPr>
        <w:t>Οι αντιδράσεις υπερευαισθησίας ενάντια στην κεφτριαξόνη είναι πιο πιθανές σε ασθενείς με οποιουδήποτε άλλου είδους αντίδραση υπερευαισθησίας ή βρογχικό άσθμα.</w:t>
      </w:r>
    </w:p>
    <w:p w:rsidR="000D7820" w:rsidRDefault="000D7820" w:rsidP="00E158F5">
      <w:pPr>
        <w:autoSpaceDE w:val="0"/>
        <w:autoSpaceDN w:val="0"/>
        <w:adjustRightInd w:val="0"/>
        <w:jc w:val="both"/>
        <w:rPr>
          <w:szCs w:val="22"/>
        </w:rPr>
      </w:pPr>
      <w:r>
        <w:rPr>
          <w:szCs w:val="22"/>
        </w:rPr>
        <w:lastRenderedPageBreak/>
        <w:t>Οι ενέσεις με κεφτριαξόνη πρέπει να γίνονται με ιδιαίτερη προσοχή σε ασθενεί</w:t>
      </w:r>
      <w:r w:rsidR="00885734">
        <w:rPr>
          <w:szCs w:val="22"/>
        </w:rPr>
        <w:t>ς με αλλεργική προδιάθεση, καθώς</w:t>
      </w:r>
      <w:r>
        <w:rPr>
          <w:szCs w:val="22"/>
        </w:rPr>
        <w:t xml:space="preserve"> οι αντιδράσεις υπερευαισθησίας εμφανίζονται γρηγορότερα και εξελίσσονται πιο σοβαρά μετά από ενδοφλέβια ένεση (δείτε το λήμμα 4.8).</w:t>
      </w:r>
    </w:p>
    <w:p w:rsidR="000D7820" w:rsidRDefault="000D7820" w:rsidP="006718E7">
      <w:pPr>
        <w:autoSpaceDE w:val="0"/>
        <w:autoSpaceDN w:val="0"/>
        <w:adjustRightInd w:val="0"/>
        <w:rPr>
          <w:szCs w:val="22"/>
        </w:rPr>
      </w:pPr>
    </w:p>
    <w:p w:rsidR="000D7820" w:rsidRDefault="00885734" w:rsidP="00E158F5">
      <w:pPr>
        <w:autoSpaceDE w:val="0"/>
        <w:autoSpaceDN w:val="0"/>
        <w:adjustRightInd w:val="0"/>
        <w:jc w:val="both"/>
        <w:rPr>
          <w:szCs w:val="22"/>
        </w:rPr>
      </w:pPr>
      <w:r>
        <w:rPr>
          <w:szCs w:val="22"/>
        </w:rPr>
        <w:t>Οι</w:t>
      </w:r>
      <w:r w:rsidRPr="00885734">
        <w:rPr>
          <w:szCs w:val="22"/>
        </w:rPr>
        <w:t xml:space="preserve"> </w:t>
      </w:r>
      <w:r>
        <w:rPr>
          <w:szCs w:val="22"/>
        </w:rPr>
        <w:t>σοβαρές</w:t>
      </w:r>
      <w:r w:rsidRPr="00885734">
        <w:rPr>
          <w:szCs w:val="22"/>
        </w:rPr>
        <w:t xml:space="preserve"> </w:t>
      </w:r>
      <w:r>
        <w:rPr>
          <w:szCs w:val="22"/>
        </w:rPr>
        <w:t>οξείες</w:t>
      </w:r>
      <w:r w:rsidRPr="00885734">
        <w:rPr>
          <w:szCs w:val="22"/>
        </w:rPr>
        <w:t xml:space="preserve"> </w:t>
      </w:r>
      <w:r>
        <w:rPr>
          <w:szCs w:val="22"/>
        </w:rPr>
        <w:t>αντιδράσεις</w:t>
      </w:r>
      <w:r w:rsidRPr="00885734">
        <w:rPr>
          <w:szCs w:val="22"/>
        </w:rPr>
        <w:t xml:space="preserve"> </w:t>
      </w:r>
      <w:r>
        <w:rPr>
          <w:szCs w:val="22"/>
        </w:rPr>
        <w:t>υπερευαισθησίας</w:t>
      </w:r>
      <w:r w:rsidRPr="00885734">
        <w:rPr>
          <w:szCs w:val="22"/>
        </w:rPr>
        <w:t xml:space="preserve"> </w:t>
      </w:r>
      <w:r>
        <w:rPr>
          <w:szCs w:val="22"/>
        </w:rPr>
        <w:t>και</w:t>
      </w:r>
      <w:r w:rsidRPr="00885734">
        <w:rPr>
          <w:szCs w:val="22"/>
        </w:rPr>
        <w:t xml:space="preserve"> </w:t>
      </w:r>
      <w:r>
        <w:rPr>
          <w:szCs w:val="22"/>
        </w:rPr>
        <w:t>αναφυλακτικής</w:t>
      </w:r>
      <w:r w:rsidRPr="00885734">
        <w:rPr>
          <w:szCs w:val="22"/>
        </w:rPr>
        <w:t xml:space="preserve"> </w:t>
      </w:r>
      <w:r>
        <w:rPr>
          <w:szCs w:val="22"/>
        </w:rPr>
        <w:t>καταπληξίας απαιτούν άμεση διακοπή της χορήγησης κεφτριαξόνης και την έναρξη λήψης κατάλληλων μέτρων έκτακτης ανάγκης.</w:t>
      </w:r>
    </w:p>
    <w:p w:rsidR="00885734" w:rsidRDefault="00885734" w:rsidP="00E158F5">
      <w:pPr>
        <w:autoSpaceDE w:val="0"/>
        <w:autoSpaceDN w:val="0"/>
        <w:adjustRightInd w:val="0"/>
        <w:jc w:val="both"/>
        <w:rPr>
          <w:szCs w:val="22"/>
        </w:rPr>
      </w:pPr>
    </w:p>
    <w:p w:rsidR="00885734" w:rsidRDefault="00885734" w:rsidP="00E158F5">
      <w:pPr>
        <w:autoSpaceDE w:val="0"/>
        <w:autoSpaceDN w:val="0"/>
        <w:adjustRightInd w:val="0"/>
        <w:jc w:val="both"/>
        <w:rPr>
          <w:szCs w:val="22"/>
        </w:rPr>
      </w:pPr>
      <w:r>
        <w:rPr>
          <w:szCs w:val="22"/>
        </w:rPr>
        <w:t>Στην περίπτωση σοβαρής νεφρικής ανεπάρκειας που συνοδεύεται από ηπατική ανεπάρκεια, απαιτείται μείωση της δοσολογίας όπως περιγράφεται στο λήμμα 4.2.</w:t>
      </w:r>
    </w:p>
    <w:p w:rsidR="00885734" w:rsidRPr="00885734" w:rsidRDefault="00885734" w:rsidP="00E158F5">
      <w:pPr>
        <w:autoSpaceDE w:val="0"/>
        <w:autoSpaceDN w:val="0"/>
        <w:adjustRightInd w:val="0"/>
        <w:jc w:val="both"/>
        <w:rPr>
          <w:szCs w:val="22"/>
        </w:rPr>
      </w:pPr>
      <w:r>
        <w:rPr>
          <w:szCs w:val="22"/>
        </w:rPr>
        <w:t>Στην περίπτωση ταυτόχρονης νεφρικής και ηπατικής ανεπάρκειας, τα επίπεδα της κεφτριαξόνης στον ορό πρέπει να παρακολουθούνται σε τακτά χρονικά διαστήματα.</w:t>
      </w:r>
    </w:p>
    <w:p w:rsidR="000D7820" w:rsidRPr="00885734" w:rsidRDefault="000D7820" w:rsidP="00E158F5">
      <w:pPr>
        <w:autoSpaceDE w:val="0"/>
        <w:autoSpaceDN w:val="0"/>
        <w:adjustRightInd w:val="0"/>
        <w:jc w:val="both"/>
        <w:rPr>
          <w:szCs w:val="22"/>
        </w:rPr>
      </w:pPr>
    </w:p>
    <w:p w:rsidR="000D7820" w:rsidRDefault="00885734" w:rsidP="00E158F5">
      <w:pPr>
        <w:autoSpaceDE w:val="0"/>
        <w:autoSpaceDN w:val="0"/>
        <w:adjustRightInd w:val="0"/>
        <w:jc w:val="both"/>
        <w:rPr>
          <w:szCs w:val="22"/>
        </w:rPr>
      </w:pPr>
      <w:r>
        <w:rPr>
          <w:szCs w:val="22"/>
        </w:rPr>
        <w:t xml:space="preserve">Κάθε χορήγηση αντιβιοτικών μπορεί να οδηγήσει στον πολλαπλασιασμό των παθογόνων που είναι ανθεκτικοί στην χρησιμοποιούμενη δραστική ουσία. Ενδείξεις επακόλουθων δευτερευόντων λοιμώξεων με τέτοια παθογόνα (συμπεριλαμβανομένων των </w:t>
      </w:r>
      <w:r>
        <w:rPr>
          <w:szCs w:val="22"/>
          <w:lang w:val="en-US"/>
        </w:rPr>
        <w:t>candida</w:t>
      </w:r>
      <w:r w:rsidRPr="00885734">
        <w:rPr>
          <w:szCs w:val="22"/>
        </w:rPr>
        <w:t xml:space="preserve"> </w:t>
      </w:r>
      <w:r>
        <w:rPr>
          <w:szCs w:val="22"/>
        </w:rPr>
        <w:t xml:space="preserve">και </w:t>
      </w:r>
      <w:r>
        <w:rPr>
          <w:szCs w:val="22"/>
          <w:lang w:val="en-US"/>
        </w:rPr>
        <w:t>fungi</w:t>
      </w:r>
      <w:r w:rsidRPr="00885734">
        <w:rPr>
          <w:szCs w:val="22"/>
        </w:rPr>
        <w:t>)</w:t>
      </w:r>
      <w:r>
        <w:rPr>
          <w:szCs w:val="22"/>
        </w:rPr>
        <w:t xml:space="preserve"> πρέπει να </w:t>
      </w:r>
      <w:r w:rsidR="00D16759">
        <w:rPr>
          <w:szCs w:val="22"/>
        </w:rPr>
        <w:t>παρατηρούνται προσεκτικά</w:t>
      </w:r>
      <w:r>
        <w:rPr>
          <w:szCs w:val="22"/>
        </w:rPr>
        <w:t>. Οι δευτερεύουσες λοιμώξεις πρέπει να θεραπεύονται κατάλληλα (δείτε επίσης το λήμμα 5.1).</w:t>
      </w:r>
    </w:p>
    <w:p w:rsidR="00885734" w:rsidRDefault="00885734" w:rsidP="00E158F5">
      <w:pPr>
        <w:autoSpaceDE w:val="0"/>
        <w:autoSpaceDN w:val="0"/>
        <w:adjustRightInd w:val="0"/>
        <w:jc w:val="both"/>
        <w:rPr>
          <w:iCs/>
          <w:szCs w:val="22"/>
        </w:rPr>
      </w:pPr>
      <w:r>
        <w:rPr>
          <w:szCs w:val="22"/>
        </w:rPr>
        <w:t xml:space="preserve">Η ψευδομεμβρανώδης κολίτιδα που προκαλείται κυρίως από το </w:t>
      </w:r>
      <w:r w:rsidRPr="001C039E">
        <w:rPr>
          <w:i/>
          <w:szCs w:val="22"/>
          <w:lang w:val="en-GB"/>
        </w:rPr>
        <w:t>clostridium</w:t>
      </w:r>
      <w:r w:rsidRPr="00885734">
        <w:rPr>
          <w:i/>
          <w:szCs w:val="22"/>
        </w:rPr>
        <w:t xml:space="preserve"> </w:t>
      </w:r>
      <w:r w:rsidRPr="001C039E">
        <w:rPr>
          <w:i/>
          <w:szCs w:val="22"/>
          <w:lang w:val="en-GB"/>
        </w:rPr>
        <w:t>difficile</w:t>
      </w:r>
      <w:r>
        <w:rPr>
          <w:i/>
          <w:szCs w:val="22"/>
        </w:rPr>
        <w:t xml:space="preserve">, </w:t>
      </w:r>
      <w:r>
        <w:rPr>
          <w:iCs/>
          <w:szCs w:val="22"/>
        </w:rPr>
        <w:t>μια δυνητικά απειλητική για τη ζωή επιπλοκή θα πρέπει να λαμβάνεται υπ’όψη στους ασθενείς που εμφανίζουν σοβαρή και επίμονη</w:t>
      </w:r>
      <w:r w:rsidR="00D16759">
        <w:rPr>
          <w:iCs/>
          <w:szCs w:val="22"/>
        </w:rPr>
        <w:t>, καθώς και αιμορραγική</w:t>
      </w:r>
      <w:r>
        <w:rPr>
          <w:iCs/>
          <w:szCs w:val="22"/>
        </w:rPr>
        <w:t xml:space="preserve"> διάρροια κατά την διάρκεια ή μετά την θεραπεία με κεφτριαξόνη (δείτε επίσης το λήμμα 4.8). </w:t>
      </w:r>
    </w:p>
    <w:p w:rsidR="00885734" w:rsidRPr="00885734" w:rsidRDefault="00885734" w:rsidP="00E158F5">
      <w:pPr>
        <w:autoSpaceDE w:val="0"/>
        <w:autoSpaceDN w:val="0"/>
        <w:adjustRightInd w:val="0"/>
        <w:jc w:val="both"/>
        <w:rPr>
          <w:iCs/>
          <w:szCs w:val="22"/>
        </w:rPr>
      </w:pPr>
      <w:r>
        <w:rPr>
          <w:iCs/>
          <w:szCs w:val="22"/>
        </w:rPr>
        <w:t>Διακοπή της θεραπείας με κεφτριαξόνη θα πρέπει να ληφθεί υπ’όψη σε σχέση με την υποκείμενη ένδειξη και θα πρέπει να ληφθούν κατάλληλα θεραπευτικά μέτρα, χορήγηση συγκεκριμένων αντιβιοτικών / χημειοθεραπευτικά με αποδεδειγμένη κλινική αποτελεσματικότητα. Τα αντιπερισταλτικά αντενδείκνυνται.</w:t>
      </w:r>
    </w:p>
    <w:p w:rsidR="000D7820" w:rsidRPr="00885734" w:rsidRDefault="000D7820" w:rsidP="006718E7">
      <w:pPr>
        <w:autoSpaceDE w:val="0"/>
        <w:autoSpaceDN w:val="0"/>
        <w:adjustRightInd w:val="0"/>
        <w:rPr>
          <w:szCs w:val="22"/>
        </w:rPr>
      </w:pPr>
    </w:p>
    <w:p w:rsidR="00A735FA" w:rsidRPr="005E22CD" w:rsidRDefault="002B2773" w:rsidP="00A735FA">
      <w:pPr>
        <w:autoSpaceDE w:val="0"/>
        <w:autoSpaceDN w:val="0"/>
        <w:adjustRightInd w:val="0"/>
        <w:rPr>
          <w:b/>
          <w:bCs/>
          <w:i/>
          <w:iCs/>
          <w:szCs w:val="22"/>
          <w:u w:val="single"/>
        </w:rPr>
      </w:pPr>
      <w:r w:rsidRPr="002B2773">
        <w:rPr>
          <w:b/>
          <w:i/>
          <w:szCs w:val="22"/>
          <w:u w:val="single"/>
        </w:rPr>
        <w:t>Αλληλεπιδράσεις με προϊόντα που περιέχουν ασβέστιο</w:t>
      </w:r>
    </w:p>
    <w:p w:rsidR="00A735FA" w:rsidRPr="00CE397C" w:rsidRDefault="002B2773" w:rsidP="00A735FA">
      <w:pPr>
        <w:autoSpaceDE w:val="0"/>
        <w:autoSpaceDN w:val="0"/>
        <w:adjustRightInd w:val="0"/>
        <w:rPr>
          <w:szCs w:val="22"/>
        </w:rPr>
      </w:pPr>
      <w:r>
        <w:rPr>
          <w:szCs w:val="22"/>
        </w:rPr>
        <w:t>Έχουν</w:t>
      </w:r>
      <w:r w:rsidRPr="002B2773">
        <w:rPr>
          <w:szCs w:val="22"/>
        </w:rPr>
        <w:t xml:space="preserve"> </w:t>
      </w:r>
      <w:r>
        <w:rPr>
          <w:szCs w:val="22"/>
        </w:rPr>
        <w:t>περιγραφεί</w:t>
      </w:r>
      <w:r w:rsidRPr="002B2773">
        <w:rPr>
          <w:szCs w:val="22"/>
        </w:rPr>
        <w:t xml:space="preserve"> </w:t>
      </w:r>
      <w:r>
        <w:rPr>
          <w:szCs w:val="22"/>
        </w:rPr>
        <w:t>περιστατικά</w:t>
      </w:r>
      <w:r w:rsidRPr="002B2773">
        <w:rPr>
          <w:szCs w:val="22"/>
        </w:rPr>
        <w:t xml:space="preserve"> </w:t>
      </w:r>
      <w:r>
        <w:rPr>
          <w:szCs w:val="22"/>
        </w:rPr>
        <w:t>θανατηφόρων</w:t>
      </w:r>
      <w:r w:rsidRPr="002B2773">
        <w:rPr>
          <w:szCs w:val="22"/>
        </w:rPr>
        <w:t xml:space="preserve"> </w:t>
      </w:r>
      <w:r>
        <w:rPr>
          <w:szCs w:val="22"/>
        </w:rPr>
        <w:t>αντιδράσεων</w:t>
      </w:r>
      <w:r w:rsidRPr="002B2773">
        <w:rPr>
          <w:szCs w:val="22"/>
        </w:rPr>
        <w:t xml:space="preserve"> </w:t>
      </w:r>
      <w:r>
        <w:rPr>
          <w:szCs w:val="22"/>
        </w:rPr>
        <w:t>με</w:t>
      </w:r>
      <w:r w:rsidRPr="002B2773">
        <w:rPr>
          <w:szCs w:val="22"/>
        </w:rPr>
        <w:t xml:space="preserve"> </w:t>
      </w:r>
      <w:r>
        <w:rPr>
          <w:szCs w:val="22"/>
        </w:rPr>
        <w:t>ασβεστούχα</w:t>
      </w:r>
      <w:r w:rsidRPr="002B2773">
        <w:rPr>
          <w:szCs w:val="22"/>
        </w:rPr>
        <w:t xml:space="preserve"> </w:t>
      </w:r>
      <w:r>
        <w:rPr>
          <w:szCs w:val="22"/>
        </w:rPr>
        <w:t>ιζήματα</w:t>
      </w:r>
      <w:r w:rsidRPr="002B2773">
        <w:rPr>
          <w:szCs w:val="22"/>
        </w:rPr>
        <w:t xml:space="preserve"> </w:t>
      </w:r>
      <w:r>
        <w:rPr>
          <w:szCs w:val="22"/>
        </w:rPr>
        <w:t>κεφτριαξόνης</w:t>
      </w:r>
      <w:r w:rsidRPr="002B2773">
        <w:rPr>
          <w:szCs w:val="22"/>
        </w:rPr>
        <w:t xml:space="preserve"> </w:t>
      </w:r>
      <w:r>
        <w:rPr>
          <w:szCs w:val="22"/>
        </w:rPr>
        <w:t>στους</w:t>
      </w:r>
      <w:r w:rsidRPr="002B2773">
        <w:rPr>
          <w:szCs w:val="22"/>
        </w:rPr>
        <w:t xml:space="preserve"> </w:t>
      </w:r>
      <w:r>
        <w:rPr>
          <w:szCs w:val="22"/>
        </w:rPr>
        <w:t>πνεύμονες</w:t>
      </w:r>
      <w:r w:rsidRPr="002B2773">
        <w:rPr>
          <w:szCs w:val="22"/>
        </w:rPr>
        <w:t xml:space="preserve"> </w:t>
      </w:r>
      <w:r>
        <w:rPr>
          <w:szCs w:val="22"/>
        </w:rPr>
        <w:t>και</w:t>
      </w:r>
      <w:r w:rsidRPr="002B2773">
        <w:rPr>
          <w:szCs w:val="22"/>
        </w:rPr>
        <w:t xml:space="preserve"> </w:t>
      </w:r>
      <w:r>
        <w:rPr>
          <w:szCs w:val="22"/>
        </w:rPr>
        <w:t>τους</w:t>
      </w:r>
      <w:r w:rsidRPr="002B2773">
        <w:rPr>
          <w:szCs w:val="22"/>
        </w:rPr>
        <w:t xml:space="preserve"> </w:t>
      </w:r>
      <w:r>
        <w:rPr>
          <w:szCs w:val="22"/>
        </w:rPr>
        <w:t>νεφρούς</w:t>
      </w:r>
      <w:r w:rsidRPr="002B2773">
        <w:rPr>
          <w:szCs w:val="22"/>
        </w:rPr>
        <w:t xml:space="preserve"> </w:t>
      </w:r>
      <w:r>
        <w:rPr>
          <w:szCs w:val="22"/>
        </w:rPr>
        <w:t>σε</w:t>
      </w:r>
      <w:r w:rsidRPr="002B2773">
        <w:rPr>
          <w:szCs w:val="22"/>
        </w:rPr>
        <w:t xml:space="preserve"> </w:t>
      </w:r>
      <w:r>
        <w:rPr>
          <w:szCs w:val="22"/>
        </w:rPr>
        <w:t>πρόωρα</w:t>
      </w:r>
      <w:r w:rsidRPr="002B2773">
        <w:rPr>
          <w:szCs w:val="22"/>
        </w:rPr>
        <w:t xml:space="preserve"> </w:t>
      </w:r>
      <w:r>
        <w:rPr>
          <w:szCs w:val="22"/>
        </w:rPr>
        <w:t>και</w:t>
      </w:r>
      <w:r w:rsidRPr="002B2773">
        <w:rPr>
          <w:szCs w:val="22"/>
        </w:rPr>
        <w:t xml:space="preserve"> </w:t>
      </w:r>
      <w:r>
        <w:rPr>
          <w:szCs w:val="22"/>
        </w:rPr>
        <w:t>τελειόμηνα</w:t>
      </w:r>
      <w:r w:rsidRPr="002B2773">
        <w:rPr>
          <w:szCs w:val="22"/>
        </w:rPr>
        <w:t xml:space="preserve"> </w:t>
      </w:r>
      <w:r>
        <w:rPr>
          <w:szCs w:val="22"/>
        </w:rPr>
        <w:t>νεογνά</w:t>
      </w:r>
      <w:r w:rsidRPr="002B2773">
        <w:rPr>
          <w:szCs w:val="22"/>
        </w:rPr>
        <w:t xml:space="preserve"> </w:t>
      </w:r>
      <w:r>
        <w:rPr>
          <w:szCs w:val="22"/>
        </w:rPr>
        <w:t>ηλικίας</w:t>
      </w:r>
      <w:r w:rsidRPr="002B2773">
        <w:rPr>
          <w:szCs w:val="22"/>
        </w:rPr>
        <w:t xml:space="preserve"> </w:t>
      </w:r>
      <w:r>
        <w:rPr>
          <w:szCs w:val="22"/>
        </w:rPr>
        <w:t>κάτω</w:t>
      </w:r>
      <w:r w:rsidRPr="002B2773">
        <w:rPr>
          <w:szCs w:val="22"/>
        </w:rPr>
        <w:t xml:space="preserve"> </w:t>
      </w:r>
      <w:r>
        <w:rPr>
          <w:szCs w:val="22"/>
        </w:rPr>
        <w:t>του</w:t>
      </w:r>
      <w:r w:rsidRPr="002B2773">
        <w:rPr>
          <w:szCs w:val="22"/>
        </w:rPr>
        <w:t xml:space="preserve"> </w:t>
      </w:r>
      <w:r>
        <w:rPr>
          <w:szCs w:val="22"/>
        </w:rPr>
        <w:t>ενός</w:t>
      </w:r>
      <w:r w:rsidRPr="002B2773">
        <w:rPr>
          <w:szCs w:val="22"/>
        </w:rPr>
        <w:t xml:space="preserve"> </w:t>
      </w:r>
      <w:r>
        <w:rPr>
          <w:szCs w:val="22"/>
        </w:rPr>
        <w:t>μηνός. Τουλάχιστον</w:t>
      </w:r>
      <w:r w:rsidRPr="002B2773">
        <w:rPr>
          <w:szCs w:val="22"/>
        </w:rPr>
        <w:t xml:space="preserve"> </w:t>
      </w:r>
      <w:r>
        <w:rPr>
          <w:szCs w:val="22"/>
        </w:rPr>
        <w:t>ένα</w:t>
      </w:r>
      <w:r w:rsidRPr="002B2773">
        <w:rPr>
          <w:szCs w:val="22"/>
        </w:rPr>
        <w:t xml:space="preserve"> </w:t>
      </w:r>
      <w:r>
        <w:rPr>
          <w:szCs w:val="22"/>
        </w:rPr>
        <w:t>από</w:t>
      </w:r>
      <w:r w:rsidRPr="002B2773">
        <w:rPr>
          <w:szCs w:val="22"/>
        </w:rPr>
        <w:t xml:space="preserve"> </w:t>
      </w:r>
      <w:r>
        <w:rPr>
          <w:szCs w:val="22"/>
        </w:rPr>
        <w:t>αυτά</w:t>
      </w:r>
      <w:r w:rsidRPr="002B2773">
        <w:rPr>
          <w:szCs w:val="22"/>
        </w:rPr>
        <w:t xml:space="preserve"> </w:t>
      </w:r>
      <w:r>
        <w:rPr>
          <w:szCs w:val="22"/>
        </w:rPr>
        <w:t>είχε</w:t>
      </w:r>
      <w:r w:rsidRPr="002B2773">
        <w:rPr>
          <w:szCs w:val="22"/>
        </w:rPr>
        <w:t xml:space="preserve"> </w:t>
      </w:r>
      <w:r>
        <w:rPr>
          <w:szCs w:val="22"/>
        </w:rPr>
        <w:t>λάβει</w:t>
      </w:r>
      <w:r w:rsidRPr="002B2773">
        <w:rPr>
          <w:szCs w:val="22"/>
        </w:rPr>
        <w:t xml:space="preserve"> </w:t>
      </w:r>
      <w:r>
        <w:rPr>
          <w:szCs w:val="22"/>
        </w:rPr>
        <w:t>κεφτριαξόνη</w:t>
      </w:r>
      <w:r w:rsidRPr="002B2773">
        <w:rPr>
          <w:szCs w:val="22"/>
        </w:rPr>
        <w:t xml:space="preserve"> </w:t>
      </w:r>
      <w:r>
        <w:rPr>
          <w:szCs w:val="22"/>
        </w:rPr>
        <w:t>και</w:t>
      </w:r>
      <w:r w:rsidRPr="002B2773">
        <w:rPr>
          <w:szCs w:val="22"/>
        </w:rPr>
        <w:t xml:space="preserve"> </w:t>
      </w:r>
      <w:r>
        <w:rPr>
          <w:szCs w:val="22"/>
        </w:rPr>
        <w:t>ασβέστιο σε διαφορετικούς χρόνους και από διαφορετικές γραμμές ενδοφλέβιας χορήγησης. Στα</w:t>
      </w:r>
      <w:r w:rsidRPr="002B2773">
        <w:rPr>
          <w:szCs w:val="22"/>
        </w:rPr>
        <w:t xml:space="preserve"> </w:t>
      </w:r>
      <w:r>
        <w:rPr>
          <w:szCs w:val="22"/>
        </w:rPr>
        <w:t>διαθέσιμα</w:t>
      </w:r>
      <w:r w:rsidRPr="002B2773">
        <w:rPr>
          <w:szCs w:val="22"/>
        </w:rPr>
        <w:t xml:space="preserve"> </w:t>
      </w:r>
      <w:r>
        <w:rPr>
          <w:szCs w:val="22"/>
        </w:rPr>
        <w:t>δεδομένα</w:t>
      </w:r>
      <w:r w:rsidRPr="002B2773">
        <w:rPr>
          <w:szCs w:val="22"/>
        </w:rPr>
        <w:t xml:space="preserve">, </w:t>
      </w:r>
      <w:r>
        <w:rPr>
          <w:szCs w:val="22"/>
        </w:rPr>
        <w:t>δεν</w:t>
      </w:r>
      <w:r w:rsidRPr="002B2773">
        <w:rPr>
          <w:szCs w:val="22"/>
        </w:rPr>
        <w:t xml:space="preserve"> </w:t>
      </w:r>
      <w:r>
        <w:rPr>
          <w:szCs w:val="22"/>
        </w:rPr>
        <w:t>υπάρχουν</w:t>
      </w:r>
      <w:r w:rsidRPr="002B2773">
        <w:rPr>
          <w:szCs w:val="22"/>
        </w:rPr>
        <w:t xml:space="preserve"> </w:t>
      </w:r>
      <w:r>
        <w:rPr>
          <w:szCs w:val="22"/>
        </w:rPr>
        <w:t>αναφορές</w:t>
      </w:r>
      <w:r w:rsidRPr="002B2773">
        <w:rPr>
          <w:szCs w:val="22"/>
        </w:rPr>
        <w:t xml:space="preserve"> </w:t>
      </w:r>
      <w:r>
        <w:rPr>
          <w:szCs w:val="22"/>
        </w:rPr>
        <w:t>επιβεβαιωμένων καθιζήσεων σε ασθενείς άλλους από νεογνά</w:t>
      </w:r>
      <w:r w:rsidR="00CE397C">
        <w:rPr>
          <w:szCs w:val="22"/>
        </w:rPr>
        <w:t>, που έλαβαν θεραπεία με κεφτριαξόνη και διαλύματα που περιέχουν ασβέστιο ή οποιαδήποτε άλλα προϊόντα που περιέχουν ασβέστιο. Μελέτες</w:t>
      </w:r>
      <w:r w:rsidR="00CE397C" w:rsidRPr="00CE397C">
        <w:rPr>
          <w:szCs w:val="22"/>
        </w:rPr>
        <w:t xml:space="preserve"> </w:t>
      </w:r>
      <w:r w:rsidR="00CE397C">
        <w:rPr>
          <w:szCs w:val="22"/>
          <w:lang w:val="en-US"/>
        </w:rPr>
        <w:t>i</w:t>
      </w:r>
      <w:r w:rsidR="00A735FA" w:rsidRPr="00A735FA">
        <w:rPr>
          <w:szCs w:val="22"/>
          <w:lang w:val="en-GB"/>
        </w:rPr>
        <w:t>n</w:t>
      </w:r>
      <w:r w:rsidR="00A735FA" w:rsidRPr="00CE397C">
        <w:rPr>
          <w:szCs w:val="22"/>
        </w:rPr>
        <w:t xml:space="preserve"> </w:t>
      </w:r>
      <w:r w:rsidR="00A735FA" w:rsidRPr="00A735FA">
        <w:rPr>
          <w:szCs w:val="22"/>
          <w:lang w:val="en-GB"/>
        </w:rPr>
        <w:t>vitro</w:t>
      </w:r>
      <w:r w:rsidR="00A735FA" w:rsidRPr="00CE397C">
        <w:rPr>
          <w:szCs w:val="22"/>
        </w:rPr>
        <w:t xml:space="preserve"> </w:t>
      </w:r>
      <w:r w:rsidR="00CE397C">
        <w:rPr>
          <w:szCs w:val="22"/>
        </w:rPr>
        <w:t>έδειξαν</w:t>
      </w:r>
      <w:r w:rsidR="00CE397C" w:rsidRPr="00CE397C">
        <w:rPr>
          <w:szCs w:val="22"/>
        </w:rPr>
        <w:t xml:space="preserve"> </w:t>
      </w:r>
      <w:r w:rsidR="00CE397C">
        <w:rPr>
          <w:szCs w:val="22"/>
        </w:rPr>
        <w:t>ότι</w:t>
      </w:r>
      <w:r w:rsidR="00CE397C" w:rsidRPr="00CE397C">
        <w:rPr>
          <w:szCs w:val="22"/>
        </w:rPr>
        <w:t xml:space="preserve"> </w:t>
      </w:r>
      <w:r w:rsidR="00CE397C">
        <w:rPr>
          <w:szCs w:val="22"/>
        </w:rPr>
        <w:t>τα</w:t>
      </w:r>
      <w:r w:rsidR="00CE397C" w:rsidRPr="00CE397C">
        <w:rPr>
          <w:szCs w:val="22"/>
        </w:rPr>
        <w:t xml:space="preserve"> </w:t>
      </w:r>
      <w:r w:rsidR="00CE397C">
        <w:rPr>
          <w:szCs w:val="22"/>
        </w:rPr>
        <w:t>νεογνά</w:t>
      </w:r>
      <w:r w:rsidR="00CE397C" w:rsidRPr="00CE397C">
        <w:rPr>
          <w:szCs w:val="22"/>
        </w:rPr>
        <w:t xml:space="preserve"> </w:t>
      </w:r>
      <w:r w:rsidR="00CE397C">
        <w:rPr>
          <w:szCs w:val="22"/>
        </w:rPr>
        <w:t>διατρέχουν</w:t>
      </w:r>
      <w:r w:rsidR="00CE397C" w:rsidRPr="00CE397C">
        <w:rPr>
          <w:szCs w:val="22"/>
        </w:rPr>
        <w:t xml:space="preserve"> </w:t>
      </w:r>
      <w:r w:rsidR="00CE397C">
        <w:rPr>
          <w:szCs w:val="22"/>
        </w:rPr>
        <w:t>αυξημένο</w:t>
      </w:r>
      <w:r w:rsidR="00CE397C" w:rsidRPr="00CE397C">
        <w:rPr>
          <w:szCs w:val="22"/>
        </w:rPr>
        <w:t xml:space="preserve"> </w:t>
      </w:r>
      <w:r w:rsidR="00CE397C">
        <w:rPr>
          <w:szCs w:val="22"/>
        </w:rPr>
        <w:t>κίνδυνο καθίζησης της ασβεστούχου κεφτριαξόνης σε σύγκριση με άλλες ηλικιακές ομάδες.</w:t>
      </w:r>
    </w:p>
    <w:p w:rsidR="00402FF4" w:rsidRPr="00297CFA" w:rsidRDefault="00FF4065" w:rsidP="00FF4065">
      <w:pPr>
        <w:autoSpaceDE w:val="0"/>
        <w:autoSpaceDN w:val="0"/>
        <w:adjustRightInd w:val="0"/>
        <w:rPr>
          <w:szCs w:val="22"/>
        </w:rPr>
      </w:pPr>
      <w:r>
        <w:rPr>
          <w:szCs w:val="22"/>
        </w:rPr>
        <w:t>Σε</w:t>
      </w:r>
      <w:r w:rsidRPr="00FF4065">
        <w:rPr>
          <w:szCs w:val="22"/>
        </w:rPr>
        <w:t xml:space="preserve"> </w:t>
      </w:r>
      <w:r>
        <w:rPr>
          <w:szCs w:val="22"/>
        </w:rPr>
        <w:t>ασθενείς</w:t>
      </w:r>
      <w:r w:rsidRPr="00FF4065">
        <w:rPr>
          <w:szCs w:val="22"/>
        </w:rPr>
        <w:t xml:space="preserve"> </w:t>
      </w:r>
      <w:r>
        <w:rPr>
          <w:szCs w:val="22"/>
        </w:rPr>
        <w:t>οποιασδήποτε</w:t>
      </w:r>
      <w:r w:rsidRPr="00FF4065">
        <w:rPr>
          <w:szCs w:val="22"/>
        </w:rPr>
        <w:t xml:space="preserve"> </w:t>
      </w:r>
      <w:r>
        <w:rPr>
          <w:szCs w:val="22"/>
        </w:rPr>
        <w:t>ηλικιακής</w:t>
      </w:r>
      <w:r w:rsidRPr="00FF4065">
        <w:rPr>
          <w:szCs w:val="22"/>
        </w:rPr>
        <w:t xml:space="preserve"> </w:t>
      </w:r>
      <w:r>
        <w:rPr>
          <w:szCs w:val="22"/>
        </w:rPr>
        <w:t>ομάδας</w:t>
      </w:r>
      <w:r w:rsidRPr="00FF4065">
        <w:rPr>
          <w:szCs w:val="22"/>
        </w:rPr>
        <w:t xml:space="preserve"> </w:t>
      </w:r>
      <w:r>
        <w:rPr>
          <w:szCs w:val="22"/>
        </w:rPr>
        <w:t>η</w:t>
      </w:r>
      <w:r w:rsidRPr="00FF4065">
        <w:rPr>
          <w:szCs w:val="22"/>
        </w:rPr>
        <w:t xml:space="preserve"> </w:t>
      </w:r>
      <w:r>
        <w:rPr>
          <w:szCs w:val="22"/>
        </w:rPr>
        <w:t>κεφτριαξόνη δεν πρέπει να αναμιχθεί ή να χορηγηθεί ταυτόχρονα με οποιαδήποτε ενδοφλέβια διαλύματα που περιέχουν ασβέστιο, ακόμη και μέσω διαφορετικών γραμμών έγχυση ή σε διαφορετικά σημεία έγχυσης. Ωστόσο</w:t>
      </w:r>
      <w:r w:rsidRPr="00FF4065">
        <w:rPr>
          <w:szCs w:val="22"/>
        </w:rPr>
        <w:t xml:space="preserve">, </w:t>
      </w:r>
      <w:r>
        <w:rPr>
          <w:szCs w:val="22"/>
        </w:rPr>
        <w:t>σε</w:t>
      </w:r>
      <w:r w:rsidRPr="00FF4065">
        <w:rPr>
          <w:szCs w:val="22"/>
        </w:rPr>
        <w:t xml:space="preserve"> </w:t>
      </w:r>
      <w:r>
        <w:rPr>
          <w:szCs w:val="22"/>
        </w:rPr>
        <w:t>ασθενείς</w:t>
      </w:r>
      <w:r w:rsidRPr="00FF4065">
        <w:rPr>
          <w:szCs w:val="22"/>
        </w:rPr>
        <w:t xml:space="preserve"> </w:t>
      </w:r>
      <w:r>
        <w:rPr>
          <w:szCs w:val="22"/>
        </w:rPr>
        <w:t>ηλικίας</w:t>
      </w:r>
      <w:r w:rsidRPr="00FF4065">
        <w:rPr>
          <w:szCs w:val="22"/>
        </w:rPr>
        <w:t xml:space="preserve"> </w:t>
      </w:r>
      <w:r>
        <w:rPr>
          <w:szCs w:val="22"/>
        </w:rPr>
        <w:t>μεγαλύτερης</w:t>
      </w:r>
      <w:r w:rsidRPr="00FF4065">
        <w:rPr>
          <w:szCs w:val="22"/>
        </w:rPr>
        <w:t xml:space="preserve"> </w:t>
      </w:r>
      <w:r>
        <w:rPr>
          <w:szCs w:val="22"/>
        </w:rPr>
        <w:t>των</w:t>
      </w:r>
      <w:r w:rsidRPr="00FF4065">
        <w:rPr>
          <w:szCs w:val="22"/>
        </w:rPr>
        <w:t xml:space="preserve"> 28 </w:t>
      </w:r>
      <w:r>
        <w:rPr>
          <w:szCs w:val="22"/>
        </w:rPr>
        <w:t>ημερών</w:t>
      </w:r>
      <w:r w:rsidRPr="00FF4065">
        <w:rPr>
          <w:szCs w:val="22"/>
        </w:rPr>
        <w:t xml:space="preserve"> </w:t>
      </w:r>
      <w:r>
        <w:rPr>
          <w:szCs w:val="22"/>
        </w:rPr>
        <w:t>η</w:t>
      </w:r>
      <w:r w:rsidRPr="00FF4065">
        <w:rPr>
          <w:szCs w:val="22"/>
        </w:rPr>
        <w:t xml:space="preserve"> </w:t>
      </w:r>
      <w:r>
        <w:rPr>
          <w:szCs w:val="22"/>
        </w:rPr>
        <w:t>κεφτριαξόνη</w:t>
      </w:r>
      <w:r w:rsidRPr="00FF4065">
        <w:rPr>
          <w:szCs w:val="22"/>
        </w:rPr>
        <w:t xml:space="preserve"> </w:t>
      </w:r>
      <w:r>
        <w:rPr>
          <w:szCs w:val="22"/>
        </w:rPr>
        <w:t>και</w:t>
      </w:r>
      <w:r w:rsidRPr="00FF4065">
        <w:rPr>
          <w:szCs w:val="22"/>
        </w:rPr>
        <w:t xml:space="preserve"> </w:t>
      </w:r>
      <w:r>
        <w:rPr>
          <w:szCs w:val="22"/>
        </w:rPr>
        <w:t>τα</w:t>
      </w:r>
      <w:r w:rsidRPr="00FF4065">
        <w:rPr>
          <w:szCs w:val="22"/>
        </w:rPr>
        <w:t xml:space="preserve"> </w:t>
      </w:r>
      <w:r>
        <w:rPr>
          <w:szCs w:val="22"/>
        </w:rPr>
        <w:t>διαλύματα</w:t>
      </w:r>
      <w:r w:rsidRPr="00FF4065">
        <w:rPr>
          <w:szCs w:val="22"/>
        </w:rPr>
        <w:t xml:space="preserve"> </w:t>
      </w:r>
      <w:r>
        <w:rPr>
          <w:szCs w:val="22"/>
        </w:rPr>
        <w:t>που</w:t>
      </w:r>
      <w:r w:rsidRPr="00FF4065">
        <w:rPr>
          <w:szCs w:val="22"/>
        </w:rPr>
        <w:t xml:space="preserve"> </w:t>
      </w:r>
      <w:r>
        <w:rPr>
          <w:szCs w:val="22"/>
        </w:rPr>
        <w:t>περιέχουν</w:t>
      </w:r>
      <w:r w:rsidRPr="00FF4065">
        <w:rPr>
          <w:szCs w:val="22"/>
        </w:rPr>
        <w:t xml:space="preserve"> </w:t>
      </w:r>
      <w:r>
        <w:rPr>
          <w:szCs w:val="22"/>
        </w:rPr>
        <w:t>ασβέστιο</w:t>
      </w:r>
      <w:r w:rsidRPr="00FF4065">
        <w:rPr>
          <w:szCs w:val="22"/>
        </w:rPr>
        <w:t xml:space="preserve"> </w:t>
      </w:r>
      <w:r>
        <w:rPr>
          <w:szCs w:val="22"/>
        </w:rPr>
        <w:t>μπορούν</w:t>
      </w:r>
      <w:r w:rsidRPr="00FF4065">
        <w:rPr>
          <w:szCs w:val="22"/>
        </w:rPr>
        <w:t xml:space="preserve"> </w:t>
      </w:r>
      <w:r>
        <w:rPr>
          <w:szCs w:val="22"/>
        </w:rPr>
        <w:t>να</w:t>
      </w:r>
      <w:r w:rsidRPr="00FF4065">
        <w:rPr>
          <w:szCs w:val="22"/>
        </w:rPr>
        <w:t xml:space="preserve"> </w:t>
      </w:r>
      <w:r>
        <w:rPr>
          <w:szCs w:val="22"/>
        </w:rPr>
        <w:t>χορηγηθούν</w:t>
      </w:r>
      <w:r w:rsidRPr="00FF4065">
        <w:rPr>
          <w:szCs w:val="22"/>
        </w:rPr>
        <w:t xml:space="preserve"> </w:t>
      </w:r>
      <w:r>
        <w:rPr>
          <w:szCs w:val="22"/>
        </w:rPr>
        <w:t>διαδοχικά το ένα μετά το άλλο εάν χρησιμοποιούνται γραμμές έγχυσης σε διαφορετικά σημεία ή εάν οι γραμμές έγχυσης αντικατασταθούν ή ξεπλυθούν σχολαστικά μεταξύ των εγχύσεων με φυσιολογικό αλατούχο διάλυμα για την αποφυγή καθίζησης</w:t>
      </w:r>
      <w:r w:rsidR="00A735FA" w:rsidRPr="00FF4065">
        <w:rPr>
          <w:szCs w:val="22"/>
        </w:rPr>
        <w:t xml:space="preserve">. </w:t>
      </w:r>
      <w:r>
        <w:rPr>
          <w:szCs w:val="22"/>
        </w:rPr>
        <w:t>Σε</w:t>
      </w:r>
      <w:r w:rsidRPr="00FF4065">
        <w:rPr>
          <w:szCs w:val="22"/>
        </w:rPr>
        <w:t xml:space="preserve"> </w:t>
      </w:r>
      <w:r>
        <w:rPr>
          <w:szCs w:val="22"/>
        </w:rPr>
        <w:t>ασθενείς</w:t>
      </w:r>
      <w:r w:rsidRPr="00FF4065">
        <w:rPr>
          <w:szCs w:val="22"/>
        </w:rPr>
        <w:t xml:space="preserve"> </w:t>
      </w:r>
      <w:r>
        <w:rPr>
          <w:szCs w:val="22"/>
        </w:rPr>
        <w:t>που</w:t>
      </w:r>
      <w:r w:rsidRPr="00FF4065">
        <w:rPr>
          <w:szCs w:val="22"/>
        </w:rPr>
        <w:t xml:space="preserve"> </w:t>
      </w:r>
      <w:r>
        <w:rPr>
          <w:szCs w:val="22"/>
        </w:rPr>
        <w:t>χρειάζονται</w:t>
      </w:r>
      <w:r w:rsidRPr="00FF4065">
        <w:rPr>
          <w:szCs w:val="22"/>
        </w:rPr>
        <w:t xml:space="preserve"> </w:t>
      </w:r>
      <w:r>
        <w:rPr>
          <w:szCs w:val="22"/>
        </w:rPr>
        <w:t>συνεχή</w:t>
      </w:r>
      <w:r w:rsidRPr="00FF4065">
        <w:rPr>
          <w:szCs w:val="22"/>
        </w:rPr>
        <w:t xml:space="preserve"> </w:t>
      </w:r>
      <w:r>
        <w:rPr>
          <w:szCs w:val="22"/>
        </w:rPr>
        <w:t>έγχυση</w:t>
      </w:r>
      <w:r w:rsidRPr="00FF4065">
        <w:rPr>
          <w:szCs w:val="22"/>
        </w:rPr>
        <w:t xml:space="preserve"> </w:t>
      </w:r>
      <w:r>
        <w:rPr>
          <w:szCs w:val="22"/>
        </w:rPr>
        <w:t>με</w:t>
      </w:r>
      <w:r w:rsidRPr="00FF4065">
        <w:rPr>
          <w:szCs w:val="22"/>
        </w:rPr>
        <w:t xml:space="preserve"> </w:t>
      </w:r>
      <w:r>
        <w:rPr>
          <w:szCs w:val="22"/>
        </w:rPr>
        <w:t>διαλύματα</w:t>
      </w:r>
      <w:r w:rsidRPr="00FF4065">
        <w:rPr>
          <w:szCs w:val="22"/>
        </w:rPr>
        <w:t xml:space="preserve"> </w:t>
      </w:r>
      <w:r>
        <w:rPr>
          <w:szCs w:val="22"/>
        </w:rPr>
        <w:t xml:space="preserve">Ολικής Παρεντερικής Διατροφής </w:t>
      </w:r>
      <w:r w:rsidRPr="00FF4065">
        <w:rPr>
          <w:szCs w:val="22"/>
        </w:rPr>
        <w:t>(</w:t>
      </w:r>
      <w:r>
        <w:rPr>
          <w:szCs w:val="22"/>
          <w:lang w:val="en-US"/>
        </w:rPr>
        <w:t>TPN</w:t>
      </w:r>
      <w:r w:rsidRPr="00FF4065">
        <w:rPr>
          <w:szCs w:val="22"/>
        </w:rPr>
        <w:t xml:space="preserve">) </w:t>
      </w:r>
      <w:r>
        <w:rPr>
          <w:szCs w:val="22"/>
        </w:rPr>
        <w:t xml:space="preserve">που περιέχουν ασβέστιο, </w:t>
      </w:r>
      <w:r w:rsidR="009F6913">
        <w:rPr>
          <w:szCs w:val="22"/>
        </w:rPr>
        <w:t>οι επαγγελματίες της υγείας θα μπορούσαν να εξετάσουν την χρήση εναλλακτικών αντιβιοτικών θεραπειών, οι οποίες δεν φέρουν παρόμοιο κίνδυνο καθίζησης. Εάν</w:t>
      </w:r>
      <w:r w:rsidR="009F6913" w:rsidRPr="009F6913">
        <w:rPr>
          <w:szCs w:val="22"/>
        </w:rPr>
        <w:t xml:space="preserve"> </w:t>
      </w:r>
      <w:r w:rsidR="009F6913">
        <w:rPr>
          <w:szCs w:val="22"/>
        </w:rPr>
        <w:t>η</w:t>
      </w:r>
      <w:r w:rsidR="009F6913" w:rsidRPr="009F6913">
        <w:rPr>
          <w:szCs w:val="22"/>
        </w:rPr>
        <w:t xml:space="preserve"> </w:t>
      </w:r>
      <w:r w:rsidR="009F6913">
        <w:rPr>
          <w:szCs w:val="22"/>
        </w:rPr>
        <w:t>χρήση</w:t>
      </w:r>
      <w:r w:rsidR="009F6913" w:rsidRPr="009F6913">
        <w:rPr>
          <w:szCs w:val="22"/>
        </w:rPr>
        <w:t xml:space="preserve"> </w:t>
      </w:r>
      <w:r w:rsidR="009F6913">
        <w:rPr>
          <w:szCs w:val="22"/>
        </w:rPr>
        <w:t>της</w:t>
      </w:r>
      <w:r w:rsidR="009F6913" w:rsidRPr="009F6913">
        <w:rPr>
          <w:szCs w:val="22"/>
        </w:rPr>
        <w:t xml:space="preserve"> </w:t>
      </w:r>
      <w:r w:rsidR="009F6913">
        <w:rPr>
          <w:szCs w:val="22"/>
        </w:rPr>
        <w:t>κεφτριαξόνης</w:t>
      </w:r>
      <w:r w:rsidR="009F6913" w:rsidRPr="009F6913">
        <w:rPr>
          <w:szCs w:val="22"/>
        </w:rPr>
        <w:t xml:space="preserve"> </w:t>
      </w:r>
      <w:r w:rsidR="009F6913">
        <w:rPr>
          <w:szCs w:val="22"/>
        </w:rPr>
        <w:t xml:space="preserve">θεωρείται </w:t>
      </w:r>
      <w:r w:rsidR="005D517F">
        <w:rPr>
          <w:szCs w:val="22"/>
        </w:rPr>
        <w:t>απαραίτητη</w:t>
      </w:r>
      <w:r w:rsidR="009F6913">
        <w:rPr>
          <w:szCs w:val="22"/>
        </w:rPr>
        <w:t xml:space="preserve"> σε ασθενε</w:t>
      </w:r>
      <w:r w:rsidR="00297CFA">
        <w:rPr>
          <w:szCs w:val="22"/>
        </w:rPr>
        <w:t>ίς πο</w:t>
      </w:r>
      <w:r w:rsidR="009F6913">
        <w:rPr>
          <w:szCs w:val="22"/>
        </w:rPr>
        <w:t>υ χρειάζονται συνεχή διατροφή, τα διαλύματα Ολικής Παρεντερικής Διατροφής και η κεφτριαξόνη μπορούν να χορηγηθούν ταυτόχρονα από διαφορετικές γραμμές έγχυσης και από διαφορετικά σημεία.  Εναλλακτικά</w:t>
      </w:r>
      <w:r w:rsidR="009F6913" w:rsidRPr="00654E0C">
        <w:rPr>
          <w:szCs w:val="22"/>
        </w:rPr>
        <w:t xml:space="preserve">, </w:t>
      </w:r>
      <w:r w:rsidR="00654E0C">
        <w:rPr>
          <w:szCs w:val="22"/>
        </w:rPr>
        <w:t>η</w:t>
      </w:r>
      <w:r w:rsidR="00654E0C" w:rsidRPr="00654E0C">
        <w:rPr>
          <w:szCs w:val="22"/>
        </w:rPr>
        <w:t xml:space="preserve"> </w:t>
      </w:r>
      <w:r w:rsidR="00654E0C">
        <w:rPr>
          <w:szCs w:val="22"/>
        </w:rPr>
        <w:t>έγχυση</w:t>
      </w:r>
      <w:r w:rsidR="00654E0C" w:rsidRPr="00654E0C">
        <w:rPr>
          <w:szCs w:val="22"/>
        </w:rPr>
        <w:t xml:space="preserve"> </w:t>
      </w:r>
      <w:r w:rsidR="00654E0C">
        <w:rPr>
          <w:szCs w:val="22"/>
        </w:rPr>
        <w:t>της</w:t>
      </w:r>
      <w:r w:rsidR="00654E0C" w:rsidRPr="00654E0C">
        <w:rPr>
          <w:szCs w:val="22"/>
        </w:rPr>
        <w:t xml:space="preserve"> </w:t>
      </w:r>
      <w:r w:rsidR="00654E0C">
        <w:rPr>
          <w:szCs w:val="22"/>
        </w:rPr>
        <w:t>Ολικής</w:t>
      </w:r>
      <w:r w:rsidR="00654E0C" w:rsidRPr="00654E0C">
        <w:rPr>
          <w:szCs w:val="22"/>
        </w:rPr>
        <w:t xml:space="preserve"> </w:t>
      </w:r>
      <w:r w:rsidR="00654E0C">
        <w:rPr>
          <w:szCs w:val="22"/>
        </w:rPr>
        <w:t>Παρεντερικής</w:t>
      </w:r>
      <w:r w:rsidR="00654E0C" w:rsidRPr="00654E0C">
        <w:rPr>
          <w:szCs w:val="22"/>
        </w:rPr>
        <w:t xml:space="preserve"> </w:t>
      </w:r>
      <w:r w:rsidR="00654E0C">
        <w:rPr>
          <w:szCs w:val="22"/>
        </w:rPr>
        <w:t xml:space="preserve">Διατροφής θα μπορούσε να διακοπεί για την περίοδο της έγχυσης κεφτριαξόνης, λαμβάνοντας υπόψη τις συμβουλές για έκπλυση των γραμμών έγχυσης μετά των διαλυμάτων. </w:t>
      </w:r>
      <w:r w:rsidR="00654E0C" w:rsidRPr="00297CFA">
        <w:rPr>
          <w:szCs w:val="22"/>
        </w:rPr>
        <w:t>(</w:t>
      </w:r>
      <w:r w:rsidR="00654E0C">
        <w:rPr>
          <w:szCs w:val="22"/>
        </w:rPr>
        <w:t>δείτε</w:t>
      </w:r>
      <w:r w:rsidR="00654E0C" w:rsidRPr="00297CFA">
        <w:rPr>
          <w:szCs w:val="22"/>
        </w:rPr>
        <w:t xml:space="preserve"> </w:t>
      </w:r>
      <w:r w:rsidR="00654E0C">
        <w:rPr>
          <w:szCs w:val="22"/>
        </w:rPr>
        <w:t>τα</w:t>
      </w:r>
      <w:r w:rsidR="00654E0C" w:rsidRPr="00297CFA">
        <w:rPr>
          <w:szCs w:val="22"/>
        </w:rPr>
        <w:t xml:space="preserve"> </w:t>
      </w:r>
      <w:r w:rsidR="00654E0C">
        <w:rPr>
          <w:szCs w:val="22"/>
        </w:rPr>
        <w:t xml:space="preserve">λήμματα </w:t>
      </w:r>
      <w:r w:rsidR="00A735FA" w:rsidRPr="00297CFA">
        <w:rPr>
          <w:szCs w:val="22"/>
        </w:rPr>
        <w:t xml:space="preserve">4.3, 4.8, 5.2 </w:t>
      </w:r>
      <w:r w:rsidR="00654E0C">
        <w:rPr>
          <w:szCs w:val="22"/>
        </w:rPr>
        <w:t>και</w:t>
      </w:r>
      <w:r w:rsidR="00A735FA" w:rsidRPr="00297CFA">
        <w:rPr>
          <w:szCs w:val="22"/>
        </w:rPr>
        <w:t xml:space="preserve"> 6.2).</w:t>
      </w:r>
    </w:p>
    <w:p w:rsidR="000D7820" w:rsidRPr="00885734" w:rsidRDefault="00885734" w:rsidP="00E158F5">
      <w:pPr>
        <w:pStyle w:val="knZulassung02"/>
        <w:ind w:left="0"/>
        <w:jc w:val="both"/>
        <w:rPr>
          <w:rFonts w:ascii="Times New Roman" w:hAnsi="Times New Roman"/>
          <w:sz w:val="22"/>
          <w:szCs w:val="22"/>
          <w:lang w:val="el-GR"/>
        </w:rPr>
      </w:pPr>
      <w:r>
        <w:rPr>
          <w:rFonts w:ascii="Times New Roman" w:hAnsi="Times New Roman"/>
          <w:sz w:val="22"/>
          <w:szCs w:val="22"/>
          <w:lang w:val="el-GR"/>
        </w:rPr>
        <w:lastRenderedPageBreak/>
        <w:t xml:space="preserve">Λόγω του κινδύνου φυσικών και χημικών ασυμβατοτήτων το </w:t>
      </w:r>
      <w:r w:rsidRPr="00885734">
        <w:rPr>
          <w:rFonts w:ascii="Times New Roman" w:hAnsi="Times New Roman"/>
          <w:sz w:val="22"/>
          <w:szCs w:val="22"/>
          <w:lang w:val="en-GB"/>
        </w:rPr>
        <w:t>Ceftriaxone</w:t>
      </w:r>
      <w:r w:rsidRPr="00885734">
        <w:rPr>
          <w:rFonts w:ascii="Times New Roman" w:hAnsi="Times New Roman"/>
          <w:sz w:val="22"/>
          <w:szCs w:val="22"/>
          <w:lang w:val="el-GR"/>
        </w:rPr>
        <w:t xml:space="preserve"> </w:t>
      </w:r>
      <w:r w:rsidRPr="00885734">
        <w:rPr>
          <w:rFonts w:ascii="Times New Roman" w:hAnsi="Times New Roman"/>
          <w:sz w:val="22"/>
          <w:szCs w:val="22"/>
          <w:lang w:val="en-GB"/>
        </w:rPr>
        <w:t>Kabi</w:t>
      </w:r>
      <w:r w:rsidRPr="00885734">
        <w:rPr>
          <w:rFonts w:ascii="Times New Roman" w:hAnsi="Times New Roman"/>
          <w:sz w:val="22"/>
          <w:szCs w:val="22"/>
          <w:lang w:val="el-GR"/>
        </w:rPr>
        <w:t xml:space="preserve"> 1 </w:t>
      </w:r>
      <w:r w:rsidRPr="00885734">
        <w:rPr>
          <w:rFonts w:ascii="Times New Roman" w:hAnsi="Times New Roman"/>
          <w:sz w:val="22"/>
          <w:szCs w:val="22"/>
          <w:lang w:val="en-GB"/>
        </w:rPr>
        <w:t>g</w:t>
      </w:r>
      <w:r>
        <w:rPr>
          <w:rFonts w:ascii="Times New Roman" w:hAnsi="Times New Roman"/>
          <w:sz w:val="22"/>
          <w:szCs w:val="22"/>
          <w:lang w:val="el-GR"/>
        </w:rPr>
        <w:t xml:space="preserve"> πρέπει να ανασυστάται και να αναμυγνύεται μόνον με τα διαλύματα και </w:t>
      </w:r>
      <w:r w:rsidR="00B4445F">
        <w:rPr>
          <w:rFonts w:ascii="Times New Roman" w:hAnsi="Times New Roman"/>
          <w:sz w:val="22"/>
          <w:szCs w:val="22"/>
          <w:lang w:val="el-GR"/>
        </w:rPr>
        <w:t xml:space="preserve">τα </w:t>
      </w:r>
      <w:r>
        <w:rPr>
          <w:rFonts w:ascii="Times New Roman" w:hAnsi="Times New Roman"/>
          <w:sz w:val="22"/>
          <w:szCs w:val="22"/>
          <w:lang w:val="el-GR"/>
        </w:rPr>
        <w:t>φαρμακευτικά προϊόντα που αναφέρονται στο λήμμα 4.2.</w:t>
      </w:r>
    </w:p>
    <w:p w:rsidR="000D7820" w:rsidRPr="00885734" w:rsidRDefault="000D7820" w:rsidP="00E158F5">
      <w:pPr>
        <w:autoSpaceDE w:val="0"/>
        <w:autoSpaceDN w:val="0"/>
        <w:adjustRightInd w:val="0"/>
        <w:jc w:val="both"/>
        <w:rPr>
          <w:szCs w:val="22"/>
        </w:rPr>
      </w:pPr>
    </w:p>
    <w:p w:rsidR="000D7820" w:rsidRDefault="00885734" w:rsidP="00E158F5">
      <w:pPr>
        <w:autoSpaceDE w:val="0"/>
        <w:autoSpaceDN w:val="0"/>
        <w:adjustRightInd w:val="0"/>
        <w:jc w:val="both"/>
        <w:rPr>
          <w:szCs w:val="22"/>
        </w:rPr>
      </w:pPr>
      <w:r>
        <w:rPr>
          <w:szCs w:val="22"/>
        </w:rPr>
        <w:t xml:space="preserve">Η κεφτριαξόνη μπορεί να ιζηματοποιηθεί στην </w:t>
      </w:r>
      <w:r w:rsidRPr="00885734">
        <w:rPr>
          <w:szCs w:val="22"/>
        </w:rPr>
        <w:t>χοληδό</w:t>
      </w:r>
      <w:r>
        <w:rPr>
          <w:szCs w:val="22"/>
        </w:rPr>
        <w:t>χο</w:t>
      </w:r>
      <w:r w:rsidRPr="00885734">
        <w:rPr>
          <w:szCs w:val="22"/>
        </w:rPr>
        <w:t xml:space="preserve"> κύστη</w:t>
      </w:r>
      <w:r>
        <w:rPr>
          <w:szCs w:val="22"/>
        </w:rPr>
        <w:t xml:space="preserve"> και στους νεφρο</w:t>
      </w:r>
      <w:r w:rsidR="00B4445F">
        <w:rPr>
          <w:szCs w:val="22"/>
        </w:rPr>
        <w:t>ύς και έπειτα να ανιχνεύ</w:t>
      </w:r>
      <w:r w:rsidR="00DD70C8">
        <w:rPr>
          <w:szCs w:val="22"/>
        </w:rPr>
        <w:t>εται</w:t>
      </w:r>
      <w:r>
        <w:rPr>
          <w:szCs w:val="22"/>
        </w:rPr>
        <w:t xml:space="preserve"> ως σκιές στο υπερηχογράφημα (δείτε το λήμμα 4.8). Αυτό μπορεί να συμβεί σε ασθενείς οποιασδήποτε ηλικίας, αλλά είναι πιο πιθανό </w:t>
      </w:r>
      <w:r w:rsidR="00DD70C8">
        <w:rPr>
          <w:szCs w:val="22"/>
        </w:rPr>
        <w:t xml:space="preserve">να συμβεί </w:t>
      </w:r>
      <w:r>
        <w:rPr>
          <w:szCs w:val="22"/>
        </w:rPr>
        <w:t xml:space="preserve">σε βρέφη και μικρά παιδιά που τους δίνεται συνήθως μεγαλύτερη δόση κεφτριαξόνης με βάση το βάρος σώματος. </w:t>
      </w:r>
    </w:p>
    <w:p w:rsidR="00885734" w:rsidRPr="00B3786A" w:rsidRDefault="00885734" w:rsidP="00E158F5">
      <w:pPr>
        <w:autoSpaceDE w:val="0"/>
        <w:autoSpaceDN w:val="0"/>
        <w:adjustRightInd w:val="0"/>
        <w:jc w:val="both"/>
        <w:rPr>
          <w:szCs w:val="22"/>
        </w:rPr>
      </w:pPr>
      <w:r>
        <w:rPr>
          <w:szCs w:val="22"/>
        </w:rPr>
        <w:t xml:space="preserve">Σε παιδιά δοσολογίες μεγαλύτερες από </w:t>
      </w:r>
      <w:r w:rsidRPr="00885734">
        <w:rPr>
          <w:szCs w:val="22"/>
        </w:rPr>
        <w:t>80</w:t>
      </w:r>
      <w:r w:rsidR="00F33630">
        <w:rPr>
          <w:szCs w:val="22"/>
        </w:rPr>
        <w:t xml:space="preserve"> </w:t>
      </w:r>
      <w:r w:rsidRPr="001C039E">
        <w:rPr>
          <w:szCs w:val="22"/>
          <w:lang w:val="en-GB"/>
        </w:rPr>
        <w:t>mg</w:t>
      </w:r>
      <w:r w:rsidRPr="00885734">
        <w:rPr>
          <w:szCs w:val="22"/>
        </w:rPr>
        <w:t>/</w:t>
      </w:r>
      <w:r w:rsidRPr="001C039E">
        <w:rPr>
          <w:szCs w:val="22"/>
          <w:lang w:val="en-GB"/>
        </w:rPr>
        <w:t>kg</w:t>
      </w:r>
      <w:r>
        <w:rPr>
          <w:szCs w:val="22"/>
        </w:rPr>
        <w:t xml:space="preserve"> βάρους σώματος πρέπει να αποφεύγονται – εκτός </w:t>
      </w:r>
      <w:r w:rsidR="00B3786A">
        <w:rPr>
          <w:szCs w:val="22"/>
        </w:rPr>
        <w:t>α</w:t>
      </w:r>
      <w:r>
        <w:rPr>
          <w:szCs w:val="22"/>
        </w:rPr>
        <w:t xml:space="preserve">πό την μηνιγγίτιδα – λόγω του αυξημένου κινδύνου ιζημάτων στις χοληφόρους. </w:t>
      </w:r>
      <w:r w:rsidR="00B3786A">
        <w:rPr>
          <w:szCs w:val="22"/>
        </w:rPr>
        <w:t>Δεν υπάρχει καθαρή απόδειξη ανάπτυξης χολόλιθων ή οξείας χ</w:t>
      </w:r>
      <w:r w:rsidR="00B3786A" w:rsidRPr="00B3786A">
        <w:rPr>
          <w:szCs w:val="22"/>
        </w:rPr>
        <w:t>ολοκυστίτιδα</w:t>
      </w:r>
      <w:r w:rsidR="00B3786A">
        <w:rPr>
          <w:szCs w:val="22"/>
        </w:rPr>
        <w:t xml:space="preserve">ς σε παιδιά ή βρέφη που έλαβαν θεραπεία με κεφτριαξόνη, ενδείκνυται η συντηρητική </w:t>
      </w:r>
      <w:r w:rsidR="005D517F">
        <w:rPr>
          <w:szCs w:val="22"/>
        </w:rPr>
        <w:t>διαχείριση</w:t>
      </w:r>
      <w:r w:rsidR="00B3786A">
        <w:rPr>
          <w:szCs w:val="22"/>
        </w:rPr>
        <w:t xml:space="preserve"> των ιζημάτων της κεφτριαξόνης στην χοληδόχο κύστη</w:t>
      </w:r>
      <w:r w:rsidR="00DD70C8">
        <w:rPr>
          <w:szCs w:val="22"/>
        </w:rPr>
        <w:t xml:space="preserve"> </w:t>
      </w:r>
      <w:r w:rsidR="00B3786A">
        <w:rPr>
          <w:szCs w:val="22"/>
        </w:rPr>
        <w:t>(δείτε επίσης το λήμμα 4.8).</w:t>
      </w:r>
    </w:p>
    <w:p w:rsidR="000D7820" w:rsidRPr="00885734" w:rsidRDefault="000D7820" w:rsidP="006718E7">
      <w:pPr>
        <w:autoSpaceDE w:val="0"/>
        <w:autoSpaceDN w:val="0"/>
        <w:adjustRightInd w:val="0"/>
        <w:rPr>
          <w:szCs w:val="22"/>
        </w:rPr>
      </w:pPr>
    </w:p>
    <w:p w:rsidR="000D7820" w:rsidRPr="00B3786A" w:rsidRDefault="00B3786A" w:rsidP="00E158F5">
      <w:pPr>
        <w:autoSpaceDE w:val="0"/>
        <w:autoSpaceDN w:val="0"/>
        <w:adjustRightInd w:val="0"/>
        <w:jc w:val="both"/>
        <w:rPr>
          <w:szCs w:val="22"/>
        </w:rPr>
      </w:pPr>
      <w:r>
        <w:rPr>
          <w:szCs w:val="22"/>
        </w:rPr>
        <w:t xml:space="preserve">Οι ασθενείς με κίνδυνο για χολόσταση / </w:t>
      </w:r>
      <w:r w:rsidRPr="00B3786A">
        <w:rPr>
          <w:szCs w:val="22"/>
        </w:rPr>
        <w:t>ίζημα</w:t>
      </w:r>
      <w:r>
        <w:rPr>
          <w:szCs w:val="22"/>
        </w:rPr>
        <w:t xml:space="preserve">, π.χ. που προηγείται μιας μεγάλης θεραπείας, σοβαρής ασθένειας και ολικής παρεντερικής διατροφής, έχουν αυξημένο κίνδυνο παγκρεατίτιδας (δείτε επίσης το λήμμα 4.8). </w:t>
      </w:r>
      <w:r>
        <w:rPr>
          <w:rFonts w:cs="Arial"/>
        </w:rPr>
        <w:t xml:space="preserve">Ο ρόλος της σχετιζόμενης με την κεφτριαξόνη ιζηματοποίηση στις χοληφόρους οδούς </w:t>
      </w:r>
      <w:r>
        <w:rPr>
          <w:szCs w:val="22"/>
        </w:rPr>
        <w:t xml:space="preserve">δεν μπορεί να αποκλεισθεί. </w:t>
      </w:r>
    </w:p>
    <w:p w:rsidR="000D7820" w:rsidRPr="0066025D" w:rsidRDefault="000D7820" w:rsidP="00E158F5">
      <w:pPr>
        <w:autoSpaceDE w:val="0"/>
        <w:autoSpaceDN w:val="0"/>
        <w:adjustRightInd w:val="0"/>
        <w:jc w:val="both"/>
        <w:rPr>
          <w:szCs w:val="22"/>
        </w:rPr>
      </w:pPr>
    </w:p>
    <w:p w:rsidR="000D7820" w:rsidRPr="003E6305" w:rsidRDefault="00B3786A" w:rsidP="00E158F5">
      <w:pPr>
        <w:autoSpaceDE w:val="0"/>
        <w:autoSpaceDN w:val="0"/>
        <w:adjustRightInd w:val="0"/>
        <w:jc w:val="both"/>
        <w:rPr>
          <w:szCs w:val="22"/>
        </w:rPr>
      </w:pPr>
      <w:r>
        <w:rPr>
          <w:rFonts w:cs="Arial"/>
        </w:rPr>
        <w:t xml:space="preserve">Οι κεφαλοσπορίνες ως κατηγορία τείνουν να </w:t>
      </w:r>
      <w:r w:rsidR="0066025D">
        <w:rPr>
          <w:rFonts w:cs="Arial"/>
        </w:rPr>
        <w:t>απορροφώνται</w:t>
      </w:r>
      <w:r>
        <w:rPr>
          <w:rFonts w:cs="Arial"/>
        </w:rPr>
        <w:t xml:space="preserve"> στην επιφάνεια των μεμβρανών των αιμοπεταλίων και να αντιδρούν με τα αντισώματα </w:t>
      </w:r>
      <w:r w:rsidR="00DD70C8">
        <w:rPr>
          <w:rFonts w:cs="Arial"/>
        </w:rPr>
        <w:t>τα οποία</w:t>
      </w:r>
      <w:r>
        <w:rPr>
          <w:rFonts w:cs="Arial"/>
        </w:rPr>
        <w:t xml:space="preserve"> κατευθύν</w:t>
      </w:r>
      <w:r w:rsidR="00DD70C8">
        <w:rPr>
          <w:rFonts w:cs="Arial"/>
        </w:rPr>
        <w:t>ο</w:t>
      </w:r>
      <w:r w:rsidR="00D55C05">
        <w:rPr>
          <w:rFonts w:cs="Arial"/>
        </w:rPr>
        <w:t>ν</w:t>
      </w:r>
      <w:r>
        <w:rPr>
          <w:rFonts w:cs="Arial"/>
        </w:rPr>
        <w:t xml:space="preserve">ται ενάντια του φαρμακευτικού προϊόντος για να δώσουν θετικά αποτελέσματα της δοκιμασίας κατά </w:t>
      </w:r>
      <w:r>
        <w:rPr>
          <w:rFonts w:cs="Arial"/>
          <w:lang w:val="en-US"/>
        </w:rPr>
        <w:t>Coombs</w:t>
      </w:r>
      <w:r>
        <w:rPr>
          <w:rFonts w:cs="Arial"/>
        </w:rPr>
        <w:t xml:space="preserve"> και περιστασιακά μια μάλλον ήπια αιμολυτική αναιμία. Από</w:t>
      </w:r>
      <w:r w:rsidRPr="003E6305">
        <w:rPr>
          <w:rFonts w:cs="Arial"/>
        </w:rPr>
        <w:t xml:space="preserve"> </w:t>
      </w:r>
      <w:r>
        <w:rPr>
          <w:rFonts w:cs="Arial"/>
        </w:rPr>
        <w:t>αυτήν</w:t>
      </w:r>
      <w:r w:rsidRPr="003E6305">
        <w:rPr>
          <w:rFonts w:cs="Arial"/>
        </w:rPr>
        <w:t xml:space="preserve"> </w:t>
      </w:r>
      <w:r>
        <w:rPr>
          <w:rFonts w:cs="Arial"/>
        </w:rPr>
        <w:t>την</w:t>
      </w:r>
      <w:r w:rsidRPr="003E6305">
        <w:rPr>
          <w:rFonts w:cs="Arial"/>
        </w:rPr>
        <w:t xml:space="preserve"> </w:t>
      </w:r>
      <w:r>
        <w:rPr>
          <w:rFonts w:cs="Arial"/>
        </w:rPr>
        <w:t>άποψη</w:t>
      </w:r>
      <w:r w:rsidRPr="003E6305">
        <w:rPr>
          <w:rFonts w:cs="Arial"/>
        </w:rPr>
        <w:t xml:space="preserve"> </w:t>
      </w:r>
      <w:r>
        <w:rPr>
          <w:rFonts w:cs="Arial"/>
        </w:rPr>
        <w:t>μπορεί</w:t>
      </w:r>
      <w:r w:rsidRPr="003E6305">
        <w:rPr>
          <w:rFonts w:cs="Arial"/>
        </w:rPr>
        <w:t xml:space="preserve"> </w:t>
      </w:r>
      <w:r>
        <w:rPr>
          <w:rFonts w:cs="Arial"/>
        </w:rPr>
        <w:t>να</w:t>
      </w:r>
      <w:r w:rsidRPr="003E6305">
        <w:rPr>
          <w:rFonts w:cs="Arial"/>
        </w:rPr>
        <w:t xml:space="preserve"> </w:t>
      </w:r>
      <w:r>
        <w:rPr>
          <w:rFonts w:cs="Arial"/>
        </w:rPr>
        <w:t>υπάρξουν</w:t>
      </w:r>
      <w:r w:rsidRPr="003E6305">
        <w:rPr>
          <w:rFonts w:cs="Arial"/>
        </w:rPr>
        <w:t xml:space="preserve"> </w:t>
      </w:r>
      <w:r>
        <w:rPr>
          <w:rFonts w:cs="Arial"/>
        </w:rPr>
        <w:t>διασταυρούμ</w:t>
      </w:r>
      <w:r w:rsidR="003E6305">
        <w:rPr>
          <w:rFonts w:cs="Arial"/>
        </w:rPr>
        <w:t>ε</w:t>
      </w:r>
      <w:r>
        <w:rPr>
          <w:rFonts w:cs="Arial"/>
        </w:rPr>
        <w:t>νες</w:t>
      </w:r>
      <w:r w:rsidRPr="003E6305">
        <w:rPr>
          <w:rFonts w:cs="Arial"/>
        </w:rPr>
        <w:t xml:space="preserve"> </w:t>
      </w:r>
      <w:r>
        <w:rPr>
          <w:rFonts w:cs="Arial"/>
        </w:rPr>
        <w:t>αντιδράσεις</w:t>
      </w:r>
      <w:r w:rsidRPr="003E6305">
        <w:rPr>
          <w:rFonts w:cs="Arial"/>
        </w:rPr>
        <w:t xml:space="preserve"> </w:t>
      </w:r>
      <w:r>
        <w:rPr>
          <w:rFonts w:cs="Arial"/>
        </w:rPr>
        <w:t>με</w:t>
      </w:r>
      <w:r w:rsidRPr="003E6305">
        <w:rPr>
          <w:rFonts w:cs="Arial"/>
        </w:rPr>
        <w:t xml:space="preserve"> </w:t>
      </w:r>
      <w:r>
        <w:rPr>
          <w:rFonts w:cs="Arial"/>
        </w:rPr>
        <w:t>τις</w:t>
      </w:r>
      <w:r w:rsidRPr="003E6305">
        <w:rPr>
          <w:rFonts w:cs="Arial"/>
        </w:rPr>
        <w:t xml:space="preserve"> </w:t>
      </w:r>
      <w:r w:rsidR="0066025D">
        <w:rPr>
          <w:rFonts w:cs="Arial"/>
        </w:rPr>
        <w:t>πενικιλίνες</w:t>
      </w:r>
      <w:r w:rsidRPr="003E6305">
        <w:rPr>
          <w:rFonts w:cs="Arial"/>
        </w:rPr>
        <w:t>.</w:t>
      </w:r>
    </w:p>
    <w:p w:rsidR="000D7820" w:rsidRPr="003E6305" w:rsidRDefault="000D7820" w:rsidP="00E158F5">
      <w:pPr>
        <w:autoSpaceDE w:val="0"/>
        <w:autoSpaceDN w:val="0"/>
        <w:adjustRightInd w:val="0"/>
        <w:jc w:val="both"/>
        <w:rPr>
          <w:szCs w:val="22"/>
        </w:rPr>
      </w:pPr>
    </w:p>
    <w:p w:rsidR="00B3786A" w:rsidRPr="00B3786A" w:rsidRDefault="00B3786A" w:rsidP="00E158F5">
      <w:pPr>
        <w:autoSpaceDE w:val="0"/>
        <w:autoSpaceDN w:val="0"/>
        <w:adjustRightInd w:val="0"/>
        <w:jc w:val="both"/>
        <w:rPr>
          <w:szCs w:val="22"/>
        </w:rPr>
      </w:pPr>
      <w:r>
        <w:rPr>
          <w:szCs w:val="22"/>
        </w:rPr>
        <w:t xml:space="preserve">Σε ύποπτες ή αποδεδειγμένες λοιμώξεις από </w:t>
      </w:r>
      <w:r w:rsidRPr="003E6305">
        <w:rPr>
          <w:i/>
          <w:iCs/>
          <w:szCs w:val="22"/>
          <w:lang w:val="en-GB"/>
        </w:rPr>
        <w:t>Pseudomonas</w:t>
      </w:r>
      <w:r w:rsidRPr="003E6305">
        <w:rPr>
          <w:i/>
          <w:iCs/>
          <w:szCs w:val="22"/>
        </w:rPr>
        <w:t xml:space="preserve"> </w:t>
      </w:r>
      <w:r w:rsidRPr="003E6305">
        <w:rPr>
          <w:i/>
          <w:iCs/>
          <w:szCs w:val="22"/>
          <w:lang w:val="en-GB"/>
        </w:rPr>
        <w:t>aeruginosa</w:t>
      </w:r>
      <w:r>
        <w:rPr>
          <w:szCs w:val="22"/>
        </w:rPr>
        <w:t xml:space="preserve">, τα υψηλά ποσοστά ανθεκτικότητας </w:t>
      </w:r>
      <w:r w:rsidRPr="00B3786A">
        <w:rPr>
          <w:szCs w:val="22"/>
        </w:rPr>
        <w:t>(&gt; 60 %</w:t>
      </w:r>
      <w:r>
        <w:rPr>
          <w:szCs w:val="22"/>
        </w:rPr>
        <w:t xml:space="preserve">) για την κεφτριαξόνη σε τουλάχιστον μερικές Ευρωπαϊκές χώρες πρέπει να λαμβάνονται </w:t>
      </w:r>
      <w:r w:rsidR="0066025D">
        <w:rPr>
          <w:szCs w:val="22"/>
        </w:rPr>
        <w:t>υπόψη</w:t>
      </w:r>
      <w:r>
        <w:rPr>
          <w:szCs w:val="22"/>
        </w:rPr>
        <w:t xml:space="preserve"> (δείτε το λήμμα 5.1). Σε λοιμώξεις που προκαλούνται από </w:t>
      </w:r>
      <w:r w:rsidRPr="003E6305">
        <w:rPr>
          <w:i/>
          <w:iCs/>
          <w:szCs w:val="22"/>
          <w:lang w:val="en-GB"/>
        </w:rPr>
        <w:t>Pseudomonas</w:t>
      </w:r>
      <w:r w:rsidRPr="003E6305">
        <w:rPr>
          <w:i/>
          <w:iCs/>
          <w:szCs w:val="22"/>
        </w:rPr>
        <w:t xml:space="preserve"> </w:t>
      </w:r>
      <w:r w:rsidRPr="003E6305">
        <w:rPr>
          <w:i/>
          <w:iCs/>
          <w:szCs w:val="22"/>
          <w:lang w:val="en-GB"/>
        </w:rPr>
        <w:t>aeruginosa</w:t>
      </w:r>
      <w:r>
        <w:rPr>
          <w:szCs w:val="22"/>
        </w:rPr>
        <w:t xml:space="preserve"> με αποδεδειγμένη ευαισθησία στην κεφτριαξόνη ένας συνδυασμός με αμινογλυκοσίδες είναι εγγυημένος για να αποφευχθεί η δευτερεύουσα ανθεκτικότητα. Σε λοιμώξεις που προκαλούνται από άλλα βακτήρια σε ασθενείς με ουδετεροπενικό πυρετό η παρεμβατική θεραπεία με κεφτριαξόνη πρέπει να συνδυάζεται με μια αμινογλυκοσίδη.</w:t>
      </w:r>
    </w:p>
    <w:p w:rsidR="000D7820" w:rsidRDefault="000D7820" w:rsidP="00E158F5">
      <w:pPr>
        <w:autoSpaceDE w:val="0"/>
        <w:autoSpaceDN w:val="0"/>
        <w:adjustRightInd w:val="0"/>
        <w:jc w:val="both"/>
        <w:rPr>
          <w:szCs w:val="22"/>
        </w:rPr>
      </w:pPr>
    </w:p>
    <w:p w:rsidR="00B3786A" w:rsidRDefault="00B3786A" w:rsidP="00E158F5">
      <w:pPr>
        <w:autoSpaceDE w:val="0"/>
        <w:autoSpaceDN w:val="0"/>
        <w:adjustRightInd w:val="0"/>
        <w:jc w:val="both"/>
        <w:rPr>
          <w:szCs w:val="22"/>
        </w:rPr>
      </w:pPr>
      <w:r>
        <w:rPr>
          <w:szCs w:val="22"/>
        </w:rPr>
        <w:t xml:space="preserve">Στην περίπτωση ταυτόχρονης χορήγησης κεφαλοσπορινών και αμινογλυκοσίδων η φυσική και χημική ασυμβατότητα και ο αυξημένος κίνδυνος τοξικότητας των ότων και των νεφρών πρέπει να λαμβάνεται </w:t>
      </w:r>
      <w:r w:rsidR="0066025D">
        <w:rPr>
          <w:szCs w:val="22"/>
        </w:rPr>
        <w:t>υπόψη</w:t>
      </w:r>
      <w:r>
        <w:rPr>
          <w:szCs w:val="22"/>
        </w:rPr>
        <w:t>.</w:t>
      </w:r>
    </w:p>
    <w:p w:rsidR="00B3786A" w:rsidRPr="00B3786A" w:rsidRDefault="00B3786A" w:rsidP="00E158F5">
      <w:pPr>
        <w:autoSpaceDE w:val="0"/>
        <w:autoSpaceDN w:val="0"/>
        <w:adjustRightInd w:val="0"/>
        <w:jc w:val="both"/>
        <w:rPr>
          <w:szCs w:val="22"/>
        </w:rPr>
      </w:pPr>
    </w:p>
    <w:p w:rsidR="000D7820" w:rsidRPr="00B3786A" w:rsidRDefault="00B3786A" w:rsidP="00E158F5">
      <w:pPr>
        <w:autoSpaceDE w:val="0"/>
        <w:autoSpaceDN w:val="0"/>
        <w:adjustRightInd w:val="0"/>
        <w:jc w:val="both"/>
        <w:rPr>
          <w:szCs w:val="22"/>
        </w:rPr>
      </w:pPr>
      <w:r>
        <w:rPr>
          <w:szCs w:val="22"/>
        </w:rPr>
        <w:t>Η παρακολούθηση την νεφρικής και ηπατικής λειτουργίας και οι αιματολογικοί παράμετροι σε τακτικά χρονικά μεσοδιαστήματα ενδείκνυνται κατά την μακρόχρονη θεραπεία (δείτε το λήμμα 4.8).</w:t>
      </w:r>
    </w:p>
    <w:p w:rsidR="000D7820" w:rsidRPr="00B3786A" w:rsidRDefault="000D7820" w:rsidP="00E158F5">
      <w:pPr>
        <w:autoSpaceDE w:val="0"/>
        <w:autoSpaceDN w:val="0"/>
        <w:adjustRightInd w:val="0"/>
        <w:jc w:val="both"/>
        <w:rPr>
          <w:szCs w:val="22"/>
        </w:rPr>
      </w:pPr>
    </w:p>
    <w:p w:rsidR="000D7820" w:rsidRPr="00B3786A" w:rsidRDefault="00B3786A" w:rsidP="00E158F5">
      <w:pPr>
        <w:autoSpaceDE w:val="0"/>
        <w:autoSpaceDN w:val="0"/>
        <w:adjustRightInd w:val="0"/>
        <w:jc w:val="both"/>
        <w:rPr>
          <w:szCs w:val="22"/>
        </w:rPr>
      </w:pPr>
      <w:r>
        <w:rPr>
          <w:szCs w:val="22"/>
        </w:rPr>
        <w:t xml:space="preserve">Αυτό το φαρμακευτικό προϊόν περιέχει </w:t>
      </w:r>
      <w:r w:rsidR="00284DD7">
        <w:rPr>
          <w:szCs w:val="22"/>
        </w:rPr>
        <w:t>7.2</w:t>
      </w:r>
      <w:r w:rsidRPr="00B3786A">
        <w:rPr>
          <w:szCs w:val="22"/>
        </w:rPr>
        <w:t xml:space="preserve"> </w:t>
      </w:r>
      <w:r w:rsidRPr="001C039E">
        <w:rPr>
          <w:szCs w:val="22"/>
          <w:lang w:val="en-GB"/>
        </w:rPr>
        <w:t>mmol</w:t>
      </w:r>
      <w:r w:rsidRPr="00B3786A">
        <w:rPr>
          <w:szCs w:val="22"/>
        </w:rPr>
        <w:t xml:space="preserve"> (</w:t>
      </w:r>
      <w:r>
        <w:rPr>
          <w:szCs w:val="22"/>
        </w:rPr>
        <w:t>ή</w:t>
      </w:r>
      <w:r w:rsidRPr="00B3786A">
        <w:rPr>
          <w:szCs w:val="22"/>
        </w:rPr>
        <w:t xml:space="preserve"> </w:t>
      </w:r>
      <w:r w:rsidR="00284DD7">
        <w:rPr>
          <w:szCs w:val="22"/>
        </w:rPr>
        <w:t>166</w:t>
      </w:r>
      <w:r w:rsidR="00284DD7" w:rsidRPr="00B3786A">
        <w:rPr>
          <w:szCs w:val="22"/>
        </w:rPr>
        <w:t xml:space="preserve"> </w:t>
      </w:r>
      <w:r w:rsidRPr="001C039E">
        <w:rPr>
          <w:szCs w:val="22"/>
          <w:lang w:val="en-GB"/>
        </w:rPr>
        <w:t>mg</w:t>
      </w:r>
      <w:r w:rsidRPr="00B3786A">
        <w:rPr>
          <w:szCs w:val="22"/>
        </w:rPr>
        <w:t>)</w:t>
      </w:r>
      <w:r>
        <w:rPr>
          <w:szCs w:val="22"/>
        </w:rPr>
        <w:t xml:space="preserve"> νάτριο ανά δόση το οποίο θα πρέπει να λαμβάνεται </w:t>
      </w:r>
      <w:r w:rsidR="00284DD7">
        <w:rPr>
          <w:szCs w:val="22"/>
        </w:rPr>
        <w:t>υπόψη</w:t>
      </w:r>
      <w:r>
        <w:rPr>
          <w:szCs w:val="22"/>
        </w:rPr>
        <w:t xml:space="preserve"> για τους ασθενείς υπο ελεγχόμενη σε νάτριο δίαιτα.</w:t>
      </w:r>
    </w:p>
    <w:p w:rsidR="000D7820" w:rsidRPr="00B3786A" w:rsidRDefault="000D7820" w:rsidP="00E158F5">
      <w:pPr>
        <w:autoSpaceDE w:val="0"/>
        <w:autoSpaceDN w:val="0"/>
        <w:adjustRightInd w:val="0"/>
        <w:jc w:val="both"/>
        <w:rPr>
          <w:szCs w:val="22"/>
        </w:rPr>
      </w:pPr>
    </w:p>
    <w:p w:rsidR="000D7820" w:rsidRPr="00B3786A" w:rsidRDefault="00B3786A" w:rsidP="00E158F5">
      <w:pPr>
        <w:autoSpaceDE w:val="0"/>
        <w:autoSpaceDN w:val="0"/>
        <w:adjustRightInd w:val="0"/>
        <w:jc w:val="both"/>
        <w:rPr>
          <w:szCs w:val="22"/>
        </w:rPr>
      </w:pPr>
      <w:r>
        <w:rPr>
          <w:szCs w:val="22"/>
        </w:rPr>
        <w:t xml:space="preserve">Στην περίπτωση ενδομυϊκής χορήγησης της κεφτριαξόνης η περίληψη χαρακτηριστικών του </w:t>
      </w:r>
      <w:r w:rsidR="00DD70C8">
        <w:rPr>
          <w:szCs w:val="22"/>
        </w:rPr>
        <w:t xml:space="preserve">επιλεγμένου </w:t>
      </w:r>
      <w:r>
        <w:rPr>
          <w:szCs w:val="22"/>
        </w:rPr>
        <w:t>προϊόντος λιδοκαΐνη</w:t>
      </w:r>
      <w:r w:rsidR="00DD70C8">
        <w:rPr>
          <w:szCs w:val="22"/>
        </w:rPr>
        <w:t>ς</w:t>
      </w:r>
      <w:r>
        <w:rPr>
          <w:szCs w:val="22"/>
        </w:rPr>
        <w:t xml:space="preserve"> για την ανασύσταση πρέπει να λαμβάνεται </w:t>
      </w:r>
      <w:r w:rsidR="00284DD7">
        <w:rPr>
          <w:szCs w:val="22"/>
        </w:rPr>
        <w:t>υπόψη</w:t>
      </w:r>
      <w:r>
        <w:rPr>
          <w:szCs w:val="22"/>
        </w:rPr>
        <w:t>.</w:t>
      </w:r>
    </w:p>
    <w:p w:rsidR="000D7820" w:rsidRPr="00B3786A" w:rsidRDefault="000D7820" w:rsidP="006718E7">
      <w:pPr>
        <w:spacing w:line="260" w:lineRule="auto"/>
        <w:rPr>
          <w:szCs w:val="22"/>
        </w:rPr>
      </w:pPr>
    </w:p>
    <w:p w:rsidR="00AF0E2A" w:rsidRPr="00DD70C8" w:rsidRDefault="00AF0E2A" w:rsidP="006718E7">
      <w:pPr>
        <w:rPr>
          <w:noProof/>
        </w:rPr>
      </w:pPr>
    </w:p>
    <w:p w:rsidR="00AF0E2A" w:rsidRDefault="00AF0E2A" w:rsidP="00E158F5">
      <w:pPr>
        <w:jc w:val="both"/>
        <w:rPr>
          <w:noProof/>
        </w:rPr>
      </w:pPr>
      <w:r>
        <w:rPr>
          <w:b/>
          <w:noProof/>
        </w:rPr>
        <w:t>4.5</w:t>
      </w:r>
      <w:r>
        <w:rPr>
          <w:b/>
          <w:noProof/>
        </w:rPr>
        <w:tab/>
        <w:t>Αλληλεπιδράσεις με άλλα φαρμακευτικά προϊόντα και άλλες μορφές αλληλεπίδρασης</w:t>
      </w:r>
    </w:p>
    <w:p w:rsidR="00AF0E2A" w:rsidRPr="00AF0E2A" w:rsidRDefault="00AF0E2A" w:rsidP="006718E7">
      <w:pPr>
        <w:rPr>
          <w:noProof/>
        </w:rPr>
      </w:pPr>
    </w:p>
    <w:p w:rsidR="00B3786A" w:rsidRPr="00B3786A" w:rsidRDefault="00B3786A" w:rsidP="00E158F5">
      <w:pPr>
        <w:autoSpaceDE w:val="0"/>
        <w:autoSpaceDN w:val="0"/>
        <w:adjustRightInd w:val="0"/>
        <w:jc w:val="both"/>
        <w:rPr>
          <w:szCs w:val="22"/>
          <w:u w:val="single"/>
        </w:rPr>
      </w:pPr>
      <w:r>
        <w:rPr>
          <w:szCs w:val="22"/>
          <w:u w:val="single"/>
        </w:rPr>
        <w:t>Βακτηριοστατικά αντιβιοτικά</w:t>
      </w:r>
    </w:p>
    <w:p w:rsidR="00B3786A" w:rsidRDefault="00B3786A" w:rsidP="00E158F5">
      <w:pPr>
        <w:autoSpaceDE w:val="0"/>
        <w:autoSpaceDN w:val="0"/>
        <w:adjustRightInd w:val="0"/>
        <w:jc w:val="both"/>
        <w:rPr>
          <w:szCs w:val="22"/>
        </w:rPr>
      </w:pPr>
      <w:r>
        <w:rPr>
          <w:szCs w:val="22"/>
        </w:rPr>
        <w:t>Τα</w:t>
      </w:r>
      <w:r w:rsidRPr="00B3786A">
        <w:rPr>
          <w:szCs w:val="22"/>
        </w:rPr>
        <w:t xml:space="preserve"> </w:t>
      </w:r>
      <w:r>
        <w:rPr>
          <w:szCs w:val="22"/>
        </w:rPr>
        <w:t>βακτηριοστατικά</w:t>
      </w:r>
      <w:r w:rsidRPr="00B3786A">
        <w:rPr>
          <w:szCs w:val="22"/>
        </w:rPr>
        <w:t xml:space="preserve"> </w:t>
      </w:r>
      <w:r>
        <w:rPr>
          <w:szCs w:val="22"/>
        </w:rPr>
        <w:t>αντιβιοτικά</w:t>
      </w:r>
      <w:r w:rsidRPr="00B3786A">
        <w:rPr>
          <w:szCs w:val="22"/>
        </w:rPr>
        <w:t xml:space="preserve">, </w:t>
      </w:r>
      <w:r>
        <w:rPr>
          <w:szCs w:val="22"/>
        </w:rPr>
        <w:t>όπως</w:t>
      </w:r>
      <w:r w:rsidRPr="00B3786A">
        <w:rPr>
          <w:szCs w:val="22"/>
        </w:rPr>
        <w:t xml:space="preserve"> </w:t>
      </w:r>
      <w:r>
        <w:rPr>
          <w:szCs w:val="22"/>
        </w:rPr>
        <w:t>η</w:t>
      </w:r>
      <w:r w:rsidRPr="00B3786A">
        <w:rPr>
          <w:szCs w:val="22"/>
        </w:rPr>
        <w:t xml:space="preserve"> </w:t>
      </w:r>
      <w:r w:rsidR="00EA003F" w:rsidRPr="00EA003F">
        <w:rPr>
          <w:szCs w:val="22"/>
        </w:rPr>
        <w:t>χλωραμφαινικόλη</w:t>
      </w:r>
      <w:r w:rsidRPr="00B3786A">
        <w:rPr>
          <w:szCs w:val="22"/>
        </w:rPr>
        <w:t xml:space="preserve"> </w:t>
      </w:r>
      <w:r w:rsidR="00DD70C8">
        <w:rPr>
          <w:szCs w:val="22"/>
        </w:rPr>
        <w:t>και η τετρακυκλινη, μπορεί</w:t>
      </w:r>
      <w:r>
        <w:rPr>
          <w:szCs w:val="22"/>
        </w:rPr>
        <w:t xml:space="preserve"> να ανταγωνιστούν την δράση των βακτηριοκτόνων αντιβιοτικών όπως η κεφτριαξόνη, ιδιαίτερα στις οξείες λοιμώξεις που συνοδεύονται με ταχύ πολλαπλασιασμό των μικρο-οργανισμών. </w:t>
      </w:r>
    </w:p>
    <w:p w:rsidR="00B3786A" w:rsidRDefault="00B3786A" w:rsidP="00E158F5">
      <w:pPr>
        <w:autoSpaceDE w:val="0"/>
        <w:autoSpaceDN w:val="0"/>
        <w:adjustRightInd w:val="0"/>
        <w:jc w:val="both"/>
        <w:rPr>
          <w:szCs w:val="22"/>
        </w:rPr>
      </w:pPr>
      <w:r>
        <w:rPr>
          <w:szCs w:val="22"/>
        </w:rPr>
        <w:lastRenderedPageBreak/>
        <w:t>Για το λόγο αυτό η ταυτόχρονη χορήγηση κεφτριαξόνης και βακτηριοστατικών αντιβιοτικών δεν συνιστάται.</w:t>
      </w:r>
    </w:p>
    <w:p w:rsidR="00B3786A" w:rsidRPr="00284DD7" w:rsidRDefault="00B3786A" w:rsidP="00E158F5">
      <w:pPr>
        <w:autoSpaceDE w:val="0"/>
        <w:autoSpaceDN w:val="0"/>
        <w:adjustRightInd w:val="0"/>
        <w:jc w:val="both"/>
        <w:rPr>
          <w:szCs w:val="22"/>
        </w:rPr>
      </w:pPr>
    </w:p>
    <w:p w:rsidR="00B3786A" w:rsidRPr="00284DD7" w:rsidRDefault="00B3786A" w:rsidP="00E158F5">
      <w:pPr>
        <w:autoSpaceDE w:val="0"/>
        <w:autoSpaceDN w:val="0"/>
        <w:adjustRightInd w:val="0"/>
        <w:jc w:val="both"/>
        <w:rPr>
          <w:rFonts w:cs="Arial"/>
          <w:u w:val="single"/>
        </w:rPr>
      </w:pPr>
      <w:r w:rsidRPr="00CF0EBA">
        <w:rPr>
          <w:rFonts w:cs="Arial"/>
          <w:u w:val="single"/>
        </w:rPr>
        <w:t>Κεφτριαξόνη</w:t>
      </w:r>
      <w:r w:rsidRPr="00284DD7">
        <w:rPr>
          <w:rFonts w:cs="Arial"/>
          <w:u w:val="single"/>
        </w:rPr>
        <w:t>/</w:t>
      </w:r>
      <w:r w:rsidRPr="00CF0EBA">
        <w:rPr>
          <w:rFonts w:cs="Arial"/>
          <w:u w:val="single"/>
        </w:rPr>
        <w:t>προβενεκίδη</w:t>
      </w:r>
      <w:r w:rsidRPr="00284DD7">
        <w:rPr>
          <w:rFonts w:cs="Arial"/>
          <w:u w:val="single"/>
        </w:rPr>
        <w:t>:</w:t>
      </w:r>
    </w:p>
    <w:p w:rsidR="00B3786A" w:rsidRDefault="00B3786A" w:rsidP="00E158F5">
      <w:pPr>
        <w:autoSpaceDE w:val="0"/>
        <w:autoSpaceDN w:val="0"/>
        <w:adjustRightInd w:val="0"/>
        <w:jc w:val="both"/>
        <w:rPr>
          <w:rFonts w:cs="Arial"/>
        </w:rPr>
      </w:pPr>
      <w:r>
        <w:rPr>
          <w:rFonts w:cs="Arial"/>
        </w:rPr>
        <w:t>Αντίθετα με τις άλλες κεφαλοσπορίνες η προβενεκίδη δεν εμποδίζει την σωληναριακή απέκκριση της κεφτριαξόνης.</w:t>
      </w:r>
    </w:p>
    <w:p w:rsidR="00B3786A" w:rsidRPr="00B3786A" w:rsidRDefault="00B3786A" w:rsidP="00E158F5">
      <w:pPr>
        <w:autoSpaceDE w:val="0"/>
        <w:autoSpaceDN w:val="0"/>
        <w:adjustRightInd w:val="0"/>
        <w:jc w:val="both"/>
        <w:rPr>
          <w:szCs w:val="22"/>
        </w:rPr>
      </w:pPr>
    </w:p>
    <w:p w:rsidR="00B3786A" w:rsidRDefault="00B3786A" w:rsidP="00E158F5">
      <w:pPr>
        <w:autoSpaceDE w:val="0"/>
        <w:autoSpaceDN w:val="0"/>
        <w:adjustRightInd w:val="0"/>
        <w:jc w:val="both"/>
        <w:rPr>
          <w:rFonts w:cs="Arial"/>
          <w:u w:val="single"/>
        </w:rPr>
      </w:pPr>
      <w:r>
        <w:rPr>
          <w:rFonts w:cs="Arial"/>
          <w:u w:val="single"/>
        </w:rPr>
        <w:t>Από του στόματος χορηγούμενα αντισυλληπτικά:</w:t>
      </w:r>
    </w:p>
    <w:p w:rsidR="00B3786A" w:rsidRPr="00CF0EBA" w:rsidRDefault="00DD70C8" w:rsidP="00E158F5">
      <w:pPr>
        <w:autoSpaceDE w:val="0"/>
        <w:autoSpaceDN w:val="0"/>
        <w:adjustRightInd w:val="0"/>
        <w:jc w:val="both"/>
        <w:rPr>
          <w:rFonts w:cs="Arial"/>
        </w:rPr>
      </w:pPr>
      <w:r>
        <w:rPr>
          <w:rFonts w:cs="Arial"/>
        </w:rPr>
        <w:t>Η κεφτριαξόνη μπορεί να επη</w:t>
      </w:r>
      <w:r w:rsidR="00B3786A">
        <w:rPr>
          <w:rFonts w:cs="Arial"/>
        </w:rPr>
        <w:t>ρεάσει αντίστροφα την αποτελεσματικότητα των ορμονικών αντισυλληπτικών. Συνεπώς συνιστάται να χρησιμοποιούνται συμπληρωματικά μη-ορμονικά μέτρα αντισύλληψης.</w:t>
      </w:r>
    </w:p>
    <w:p w:rsidR="00B3786A" w:rsidRPr="00B3786A" w:rsidRDefault="00B3786A" w:rsidP="006718E7">
      <w:pPr>
        <w:autoSpaceDE w:val="0"/>
        <w:autoSpaceDN w:val="0"/>
        <w:adjustRightInd w:val="0"/>
        <w:rPr>
          <w:szCs w:val="22"/>
        </w:rPr>
      </w:pPr>
    </w:p>
    <w:p w:rsidR="00B3786A" w:rsidRDefault="00B3786A" w:rsidP="006718E7">
      <w:pPr>
        <w:autoSpaceDE w:val="0"/>
        <w:autoSpaceDN w:val="0"/>
        <w:adjustRightInd w:val="0"/>
        <w:jc w:val="both"/>
        <w:rPr>
          <w:rFonts w:cs="Arial"/>
          <w:u w:val="single"/>
        </w:rPr>
      </w:pPr>
      <w:r>
        <w:rPr>
          <w:rFonts w:cs="Arial"/>
          <w:u w:val="single"/>
        </w:rPr>
        <w:t>Άλλα:</w:t>
      </w:r>
    </w:p>
    <w:p w:rsidR="00B3786A" w:rsidRDefault="00B3786A" w:rsidP="006718E7">
      <w:pPr>
        <w:autoSpaceDE w:val="0"/>
        <w:autoSpaceDN w:val="0"/>
        <w:adjustRightInd w:val="0"/>
        <w:jc w:val="both"/>
        <w:rPr>
          <w:rFonts w:cs="Arial"/>
        </w:rPr>
      </w:pPr>
    </w:p>
    <w:p w:rsidR="00B3786A" w:rsidRPr="003208BE" w:rsidRDefault="00B3786A" w:rsidP="00E158F5">
      <w:pPr>
        <w:autoSpaceDE w:val="0"/>
        <w:autoSpaceDN w:val="0"/>
        <w:adjustRightInd w:val="0"/>
        <w:jc w:val="both"/>
        <w:rPr>
          <w:rFonts w:cs="Arial"/>
          <w:i/>
          <w:iCs/>
        </w:rPr>
      </w:pPr>
      <w:r w:rsidRPr="003208BE">
        <w:rPr>
          <w:rFonts w:cs="Arial"/>
          <w:i/>
          <w:iCs/>
        </w:rPr>
        <w:t xml:space="preserve">Εργαστηριακές – διαγνωστικές </w:t>
      </w:r>
      <w:r>
        <w:rPr>
          <w:rFonts w:cs="Arial"/>
          <w:i/>
          <w:iCs/>
        </w:rPr>
        <w:t>δοκιμασίες</w:t>
      </w:r>
    </w:p>
    <w:p w:rsidR="00B3786A" w:rsidRDefault="00B3786A" w:rsidP="00E158F5">
      <w:pPr>
        <w:autoSpaceDE w:val="0"/>
        <w:autoSpaceDN w:val="0"/>
        <w:adjustRightInd w:val="0"/>
        <w:jc w:val="both"/>
        <w:rPr>
          <w:rFonts w:cs="Arial"/>
        </w:rPr>
      </w:pPr>
      <w:r>
        <w:rPr>
          <w:rFonts w:cs="Arial"/>
        </w:rPr>
        <w:t xml:space="preserve">Η δοκιμασία κατά </w:t>
      </w:r>
      <w:r w:rsidRPr="00E43CBC">
        <w:rPr>
          <w:rFonts w:cs="Arial"/>
          <w:lang w:val="en-GB"/>
        </w:rPr>
        <w:t>Coombs</w:t>
      </w:r>
      <w:r>
        <w:rPr>
          <w:rFonts w:cs="Arial"/>
        </w:rPr>
        <w:t xml:space="preserve"> μπορεί να δώσει ψευδο-θετικά αποτελέσματα κατά την διάρκεια της θεραπείας με κεφτριαξόνη (δείτε το λήμμα 4.4).</w:t>
      </w:r>
    </w:p>
    <w:p w:rsidR="00B3786A" w:rsidRDefault="00B3786A" w:rsidP="00E158F5">
      <w:pPr>
        <w:autoSpaceDE w:val="0"/>
        <w:autoSpaceDN w:val="0"/>
        <w:adjustRightInd w:val="0"/>
        <w:jc w:val="both"/>
        <w:rPr>
          <w:szCs w:val="22"/>
          <w:u w:val="single"/>
        </w:rPr>
      </w:pPr>
    </w:p>
    <w:p w:rsidR="00B3786A" w:rsidRPr="003208BE" w:rsidRDefault="00B3786A" w:rsidP="00E158F5">
      <w:pPr>
        <w:autoSpaceDE w:val="0"/>
        <w:autoSpaceDN w:val="0"/>
        <w:adjustRightInd w:val="0"/>
        <w:jc w:val="both"/>
        <w:rPr>
          <w:rFonts w:cs="Arial"/>
        </w:rPr>
      </w:pPr>
      <w:r>
        <w:rPr>
          <w:rFonts w:cs="Arial"/>
        </w:rPr>
        <w:t>Μη – ενζυματικές μέθοδοι για τον προσδιορισμό της περιεκτικότητας της γλυκόζης στα ούρα μπορεί να δώσει ψευδο-θετικά αποτελέσματα. Για το λόγο αυτό, ο προσδιορισμός στα ούρα της γλυκόζης κατά την διάρκεια της θεραπείας με κεφτριαξόνη πρέπει να πραγματοποείται ενζυματικά</w:t>
      </w:r>
    </w:p>
    <w:p w:rsidR="00B3786A" w:rsidRPr="00CF0EBA" w:rsidRDefault="00B3786A" w:rsidP="00E158F5">
      <w:pPr>
        <w:autoSpaceDE w:val="0"/>
        <w:autoSpaceDN w:val="0"/>
        <w:adjustRightInd w:val="0"/>
        <w:jc w:val="both"/>
        <w:rPr>
          <w:rFonts w:cs="Arial"/>
        </w:rPr>
      </w:pPr>
    </w:p>
    <w:p w:rsidR="00B3786A" w:rsidRPr="00431DE0" w:rsidRDefault="00B3786A" w:rsidP="00E158F5">
      <w:pPr>
        <w:autoSpaceDE w:val="0"/>
        <w:autoSpaceDN w:val="0"/>
        <w:adjustRightInd w:val="0"/>
        <w:jc w:val="both"/>
        <w:rPr>
          <w:rFonts w:cs="Arial"/>
        </w:rPr>
      </w:pPr>
      <w:r>
        <w:rPr>
          <w:rFonts w:cs="Arial"/>
        </w:rPr>
        <w:t xml:space="preserve">Η κεφτριαξόνη μπορεί να δώσει ψευδο-θετικά αποτελέσματα προσδιορισμού της </w:t>
      </w:r>
      <w:r w:rsidRPr="00431DE0">
        <w:rPr>
          <w:rFonts w:cs="Arial"/>
        </w:rPr>
        <w:t>γαλακτόζη</w:t>
      </w:r>
      <w:r>
        <w:rPr>
          <w:rFonts w:cs="Arial"/>
        </w:rPr>
        <w:t>ς στο αίμα.</w:t>
      </w:r>
    </w:p>
    <w:p w:rsidR="00431DE0" w:rsidRPr="00B3786A" w:rsidRDefault="00431DE0" w:rsidP="00E158F5">
      <w:pPr>
        <w:jc w:val="both"/>
        <w:rPr>
          <w:rFonts w:cs="Arial"/>
        </w:rPr>
      </w:pPr>
    </w:p>
    <w:p w:rsidR="00AF0E2A" w:rsidRPr="00284DD7" w:rsidRDefault="00AF0E2A" w:rsidP="00E158F5">
      <w:pPr>
        <w:jc w:val="both"/>
        <w:rPr>
          <w:noProof/>
        </w:rPr>
      </w:pPr>
      <w:r w:rsidRPr="00284DD7">
        <w:rPr>
          <w:b/>
          <w:noProof/>
        </w:rPr>
        <w:t>4.6</w:t>
      </w:r>
      <w:r w:rsidRPr="00284DD7">
        <w:rPr>
          <w:b/>
          <w:noProof/>
        </w:rPr>
        <w:tab/>
      </w:r>
      <w:r w:rsidRPr="006F16E7">
        <w:rPr>
          <w:b/>
          <w:noProof/>
          <w:lang w:val="en-US"/>
        </w:rPr>
        <w:t>K</w:t>
      </w:r>
      <w:r w:rsidRPr="006F16E7">
        <w:rPr>
          <w:b/>
          <w:noProof/>
        </w:rPr>
        <w:t>ύηση</w:t>
      </w:r>
      <w:r w:rsidRPr="00284DD7">
        <w:rPr>
          <w:b/>
          <w:noProof/>
        </w:rPr>
        <w:t xml:space="preserve"> </w:t>
      </w:r>
      <w:r w:rsidRPr="006F16E7">
        <w:rPr>
          <w:b/>
          <w:noProof/>
        </w:rPr>
        <w:t>και</w:t>
      </w:r>
      <w:r w:rsidRPr="00284DD7">
        <w:rPr>
          <w:b/>
          <w:noProof/>
        </w:rPr>
        <w:t xml:space="preserve"> </w:t>
      </w:r>
      <w:r w:rsidRPr="006F16E7">
        <w:rPr>
          <w:b/>
          <w:noProof/>
        </w:rPr>
        <w:t>γαλουχία</w:t>
      </w:r>
    </w:p>
    <w:p w:rsidR="00431DE0" w:rsidRDefault="00431DE0" w:rsidP="006718E7">
      <w:pPr>
        <w:autoSpaceDE w:val="0"/>
        <w:autoSpaceDN w:val="0"/>
        <w:adjustRightInd w:val="0"/>
        <w:jc w:val="both"/>
        <w:rPr>
          <w:rFonts w:cs="Arial"/>
        </w:rPr>
      </w:pPr>
    </w:p>
    <w:p w:rsidR="00647D40" w:rsidRDefault="00647D40" w:rsidP="006718E7">
      <w:pPr>
        <w:autoSpaceDE w:val="0"/>
        <w:autoSpaceDN w:val="0"/>
        <w:adjustRightInd w:val="0"/>
        <w:jc w:val="both"/>
        <w:rPr>
          <w:rFonts w:cs="Arial"/>
          <w:u w:val="single"/>
        </w:rPr>
      </w:pPr>
      <w:r w:rsidRPr="00647D40">
        <w:rPr>
          <w:rFonts w:cs="Arial"/>
          <w:u w:val="single"/>
        </w:rPr>
        <w:t>Κύηση</w:t>
      </w:r>
    </w:p>
    <w:p w:rsidR="00647D40" w:rsidRDefault="00647D40" w:rsidP="006718E7">
      <w:pPr>
        <w:autoSpaceDE w:val="0"/>
        <w:autoSpaceDN w:val="0"/>
        <w:adjustRightInd w:val="0"/>
        <w:jc w:val="both"/>
        <w:rPr>
          <w:rFonts w:cs="Arial"/>
        </w:rPr>
      </w:pPr>
      <w:r>
        <w:rPr>
          <w:rFonts w:cs="Arial"/>
        </w:rPr>
        <w:t>Για την κεφτριαξόνη, υπάρχουν περιορισμένα κλινικά δεδομένα για τις εκτιθέμενες εγκυμοσύνες .Η κεφτριαξόνη διασχίζει τον φραγμό του πλακούντα. Οι μελέτες στα ζώα δεν δείχνουν αναπαραγωγική τοξικότητα. Επειδή η ασφάλεια για τις ανθρώπινες εγκυμοσύνες δεν έχει καθιερωθεί η κεφτριαξόνη θα πρέπει να χρησιμοποιείται μόνο αν ενδείκνυται σαφώς.</w:t>
      </w:r>
    </w:p>
    <w:p w:rsidR="00647D40" w:rsidRDefault="00647D40" w:rsidP="006718E7">
      <w:pPr>
        <w:autoSpaceDE w:val="0"/>
        <w:autoSpaceDN w:val="0"/>
        <w:adjustRightInd w:val="0"/>
        <w:jc w:val="both"/>
        <w:rPr>
          <w:rFonts w:cs="Arial"/>
        </w:rPr>
      </w:pPr>
    </w:p>
    <w:p w:rsidR="00647D40" w:rsidRPr="0043491D" w:rsidRDefault="00647D40" w:rsidP="006718E7">
      <w:pPr>
        <w:autoSpaceDE w:val="0"/>
        <w:autoSpaceDN w:val="0"/>
        <w:adjustRightInd w:val="0"/>
        <w:jc w:val="both"/>
        <w:rPr>
          <w:rFonts w:cs="Arial"/>
        </w:rPr>
      </w:pPr>
      <w:r w:rsidRPr="0043491D">
        <w:rPr>
          <w:rFonts w:cs="Arial"/>
        </w:rPr>
        <w:t>Γαλουχία</w:t>
      </w:r>
    </w:p>
    <w:p w:rsidR="00647D40" w:rsidRDefault="0036327E" w:rsidP="006718E7">
      <w:pPr>
        <w:autoSpaceDE w:val="0"/>
        <w:autoSpaceDN w:val="0"/>
        <w:adjustRightInd w:val="0"/>
        <w:jc w:val="both"/>
        <w:rPr>
          <w:rFonts w:cs="Arial"/>
        </w:rPr>
      </w:pPr>
      <w:r>
        <w:rPr>
          <w:rFonts w:cs="Arial"/>
        </w:rPr>
        <w:t>Η κεφτριαξόνη  αποβάλλεται  στο μητρικό γάλα σε μικρές συγκεντρώσεις. Διάρροια και μυκητιάσεις των βλεννωδών μεμβρανών θα μπορούσε να συμβεί στο βρέφος</w:t>
      </w:r>
      <w:r w:rsidR="00FB1175">
        <w:rPr>
          <w:rFonts w:cs="Arial"/>
        </w:rPr>
        <w:t xml:space="preserve"> που θηλάζει</w:t>
      </w:r>
      <w:r>
        <w:rPr>
          <w:rFonts w:cs="Arial"/>
        </w:rPr>
        <w:t xml:space="preserve">, έτσι ώστε η γαλουχία </w:t>
      </w:r>
      <w:r w:rsidR="00FB1175">
        <w:rPr>
          <w:rFonts w:cs="Arial"/>
        </w:rPr>
        <w:t>μπορεί να</w:t>
      </w:r>
      <w:r>
        <w:rPr>
          <w:rFonts w:cs="Arial"/>
        </w:rPr>
        <w:t xml:space="preserve"> πρέπει να διακοπεί</w:t>
      </w:r>
      <w:r w:rsidR="0043491D">
        <w:rPr>
          <w:rFonts w:cs="Arial"/>
        </w:rPr>
        <w:t>. Η πιθανότητα ευαισθησίας θα πρέπει να λαμβάνεται υπόψη. Η κεφτριαξόνη θα πρέπει μόνο να χρησιμοποιείται κατά τη διάρκεια της γαλουχίας ύστερα από μια προσεκτική αξιολόγηση οφέλους/κινδύνου από τον ιατρό.</w:t>
      </w:r>
    </w:p>
    <w:p w:rsidR="0043491D" w:rsidRDefault="0043491D" w:rsidP="006718E7">
      <w:pPr>
        <w:autoSpaceDE w:val="0"/>
        <w:autoSpaceDN w:val="0"/>
        <w:adjustRightInd w:val="0"/>
        <w:jc w:val="both"/>
        <w:rPr>
          <w:rFonts w:cs="Arial"/>
        </w:rPr>
      </w:pPr>
    </w:p>
    <w:p w:rsidR="0043491D" w:rsidRDefault="0043491D" w:rsidP="006718E7">
      <w:pPr>
        <w:autoSpaceDE w:val="0"/>
        <w:autoSpaceDN w:val="0"/>
        <w:adjustRightInd w:val="0"/>
        <w:jc w:val="both"/>
        <w:rPr>
          <w:rFonts w:cs="Arial"/>
          <w:u w:val="single"/>
        </w:rPr>
      </w:pPr>
      <w:r w:rsidRPr="0043491D">
        <w:rPr>
          <w:rFonts w:cs="Arial"/>
          <w:u w:val="single"/>
        </w:rPr>
        <w:t>Γονιμότητα</w:t>
      </w:r>
    </w:p>
    <w:p w:rsidR="0043491D" w:rsidRDefault="0043491D" w:rsidP="006718E7">
      <w:pPr>
        <w:autoSpaceDE w:val="0"/>
        <w:autoSpaceDN w:val="0"/>
        <w:adjustRightInd w:val="0"/>
        <w:jc w:val="both"/>
        <w:rPr>
          <w:rFonts w:cs="Arial"/>
          <w:u w:val="single"/>
        </w:rPr>
      </w:pPr>
      <w:r>
        <w:rPr>
          <w:rFonts w:cs="Arial"/>
          <w:u w:val="single"/>
        </w:rPr>
        <w:t>Σε μια μη κλινική μελέτη, μια μείωση του σπέρματος παρατηρήθηκε. Η κλινική σχέση αυτού του ευρήματος είναι άγνωστη,</w:t>
      </w:r>
    </w:p>
    <w:p w:rsidR="0043491D" w:rsidRPr="0043491D" w:rsidRDefault="0043491D" w:rsidP="006718E7">
      <w:pPr>
        <w:autoSpaceDE w:val="0"/>
        <w:autoSpaceDN w:val="0"/>
        <w:adjustRightInd w:val="0"/>
        <w:jc w:val="both"/>
        <w:rPr>
          <w:rFonts w:cs="Arial"/>
          <w:u w:val="single"/>
        </w:rPr>
      </w:pPr>
    </w:p>
    <w:p w:rsidR="00AF0E2A" w:rsidRPr="00DD70C8" w:rsidRDefault="00284DD7" w:rsidP="006718E7">
      <w:pPr>
        <w:rPr>
          <w:noProof/>
        </w:rPr>
      </w:pPr>
      <w:r>
        <w:rPr>
          <w:color w:val="000000"/>
          <w:szCs w:val="22"/>
        </w:rPr>
        <w:t xml:space="preserve"> </w:t>
      </w:r>
    </w:p>
    <w:p w:rsidR="00AF0E2A" w:rsidRDefault="00AF0E2A" w:rsidP="004D5F79">
      <w:pPr>
        <w:jc w:val="both"/>
        <w:rPr>
          <w:noProof/>
        </w:rPr>
      </w:pPr>
      <w:r>
        <w:rPr>
          <w:b/>
          <w:noProof/>
        </w:rPr>
        <w:t>4.7</w:t>
      </w:r>
      <w:r>
        <w:rPr>
          <w:b/>
          <w:noProof/>
        </w:rPr>
        <w:tab/>
        <w:t>Επιδράσεις στην ικανότητα οδήγησης και χειρισμού μηχανών</w:t>
      </w:r>
    </w:p>
    <w:p w:rsidR="006766EA" w:rsidRDefault="006766EA" w:rsidP="004D5F79">
      <w:pPr>
        <w:autoSpaceDE w:val="0"/>
        <w:autoSpaceDN w:val="0"/>
        <w:adjustRightInd w:val="0"/>
        <w:jc w:val="both"/>
        <w:rPr>
          <w:rFonts w:cs="Arial"/>
        </w:rPr>
      </w:pPr>
    </w:p>
    <w:p w:rsidR="00AF0E2A" w:rsidRPr="006766EA" w:rsidRDefault="006766EA" w:rsidP="004D5F79">
      <w:pPr>
        <w:jc w:val="both"/>
        <w:rPr>
          <w:noProof/>
        </w:rPr>
      </w:pPr>
      <w:r>
        <w:rPr>
          <w:noProof/>
        </w:rPr>
        <w:t xml:space="preserve">Η κεφτριαξόνη </w:t>
      </w:r>
      <w:r w:rsidR="00AF0E2A">
        <w:rPr>
          <w:noProof/>
        </w:rPr>
        <w:t>δεν έχει καμία</w:t>
      </w:r>
      <w:r>
        <w:rPr>
          <w:noProof/>
        </w:rPr>
        <w:t xml:space="preserve"> </w:t>
      </w:r>
      <w:r w:rsidR="00AF0E2A">
        <w:rPr>
          <w:noProof/>
        </w:rPr>
        <w:t xml:space="preserve"> ή </w:t>
      </w:r>
      <w:r>
        <w:rPr>
          <w:noProof/>
        </w:rPr>
        <w:t xml:space="preserve">έχει </w:t>
      </w:r>
      <w:r w:rsidR="00AF0E2A">
        <w:rPr>
          <w:noProof/>
        </w:rPr>
        <w:t xml:space="preserve">ασήμαντη επίδραση στην ικανότητα </w:t>
      </w:r>
      <w:r>
        <w:rPr>
          <w:noProof/>
        </w:rPr>
        <w:t xml:space="preserve">οδήγησης και χειρισμού μηχανών. Ωστόσο, ανεπιθύμητες ενέργειες όπως υπόταση ή </w:t>
      </w:r>
      <w:r w:rsidR="00EA003F">
        <w:rPr>
          <w:noProof/>
        </w:rPr>
        <w:t xml:space="preserve">ο </w:t>
      </w:r>
      <w:r>
        <w:rPr>
          <w:noProof/>
        </w:rPr>
        <w:t xml:space="preserve">ίλιγγος </w:t>
      </w:r>
      <w:r w:rsidR="00DD70C8">
        <w:rPr>
          <w:noProof/>
        </w:rPr>
        <w:t xml:space="preserve">(δείτε το λήμμα 4.8) </w:t>
      </w:r>
      <w:r>
        <w:rPr>
          <w:noProof/>
        </w:rPr>
        <w:t>πρέπει να λαμβάνονται υπ’όψιν.</w:t>
      </w:r>
    </w:p>
    <w:p w:rsidR="00AF0E2A" w:rsidRPr="00DD70C8" w:rsidRDefault="00AF0E2A" w:rsidP="004D5F79">
      <w:pPr>
        <w:jc w:val="both"/>
        <w:rPr>
          <w:noProof/>
        </w:rPr>
      </w:pPr>
    </w:p>
    <w:p w:rsidR="00AF0E2A" w:rsidRPr="00112A6B" w:rsidRDefault="00AF0E2A" w:rsidP="004D5F79">
      <w:pPr>
        <w:jc w:val="both"/>
        <w:rPr>
          <w:noProof/>
        </w:rPr>
      </w:pPr>
      <w:r w:rsidRPr="00112A6B">
        <w:rPr>
          <w:b/>
          <w:noProof/>
        </w:rPr>
        <w:t>4.8</w:t>
      </w:r>
      <w:r w:rsidRPr="00112A6B">
        <w:rPr>
          <w:b/>
          <w:noProof/>
        </w:rPr>
        <w:tab/>
      </w:r>
      <w:r>
        <w:rPr>
          <w:b/>
          <w:noProof/>
        </w:rPr>
        <w:t>Ανεπιθύμητες</w:t>
      </w:r>
      <w:r w:rsidRPr="00112A6B">
        <w:rPr>
          <w:b/>
          <w:noProof/>
        </w:rPr>
        <w:t xml:space="preserve"> </w:t>
      </w:r>
      <w:r>
        <w:rPr>
          <w:b/>
          <w:noProof/>
        </w:rPr>
        <w:t>ενέργειες</w:t>
      </w:r>
    </w:p>
    <w:p w:rsidR="00EA003F" w:rsidRDefault="00EA003F" w:rsidP="004D5F79">
      <w:pPr>
        <w:autoSpaceDE w:val="0"/>
        <w:autoSpaceDN w:val="0"/>
        <w:adjustRightInd w:val="0"/>
        <w:jc w:val="both"/>
        <w:rPr>
          <w:rFonts w:cs="Arial"/>
          <w:i/>
          <w:iCs/>
        </w:rPr>
      </w:pPr>
    </w:p>
    <w:p w:rsidR="00EA003F" w:rsidRPr="00297CFA" w:rsidRDefault="00297CFA" w:rsidP="00DD70C8">
      <w:pPr>
        <w:autoSpaceDE w:val="0"/>
        <w:autoSpaceDN w:val="0"/>
        <w:adjustRightInd w:val="0"/>
        <w:jc w:val="both"/>
        <w:rPr>
          <w:rFonts w:cs="Arial"/>
          <w:szCs w:val="22"/>
        </w:rPr>
      </w:pPr>
      <w:r w:rsidRPr="00297CFA">
        <w:rPr>
          <w:szCs w:val="22"/>
        </w:rPr>
        <w:t xml:space="preserve"> </w:t>
      </w:r>
      <w:r>
        <w:rPr>
          <w:szCs w:val="22"/>
        </w:rPr>
        <w:t>Σε</w:t>
      </w:r>
      <w:r w:rsidRPr="00297CFA">
        <w:rPr>
          <w:szCs w:val="22"/>
        </w:rPr>
        <w:t xml:space="preserve"> </w:t>
      </w:r>
      <w:r>
        <w:rPr>
          <w:szCs w:val="22"/>
        </w:rPr>
        <w:t>σπάνιες</w:t>
      </w:r>
      <w:r w:rsidRPr="00297CFA">
        <w:rPr>
          <w:szCs w:val="22"/>
        </w:rPr>
        <w:t xml:space="preserve"> </w:t>
      </w:r>
      <w:r>
        <w:rPr>
          <w:szCs w:val="22"/>
        </w:rPr>
        <w:t>περιπτώσεις</w:t>
      </w:r>
      <w:r w:rsidRPr="00297CFA">
        <w:rPr>
          <w:szCs w:val="22"/>
        </w:rPr>
        <w:t xml:space="preserve">, </w:t>
      </w:r>
      <w:r>
        <w:rPr>
          <w:szCs w:val="22"/>
        </w:rPr>
        <w:t>έχουν αναφερθεί σοβαρές</w:t>
      </w:r>
      <w:r w:rsidRPr="00297CFA">
        <w:rPr>
          <w:szCs w:val="22"/>
        </w:rPr>
        <w:t xml:space="preserve"> </w:t>
      </w:r>
      <w:r>
        <w:rPr>
          <w:szCs w:val="22"/>
        </w:rPr>
        <w:t>και</w:t>
      </w:r>
      <w:r w:rsidRPr="00297CFA">
        <w:rPr>
          <w:szCs w:val="22"/>
        </w:rPr>
        <w:t xml:space="preserve"> </w:t>
      </w:r>
      <w:r>
        <w:rPr>
          <w:szCs w:val="22"/>
        </w:rPr>
        <w:t>μερικές</w:t>
      </w:r>
      <w:r w:rsidRPr="00297CFA">
        <w:rPr>
          <w:szCs w:val="22"/>
        </w:rPr>
        <w:t xml:space="preserve"> </w:t>
      </w:r>
      <w:r>
        <w:rPr>
          <w:szCs w:val="22"/>
        </w:rPr>
        <w:t>φορές</w:t>
      </w:r>
      <w:r w:rsidRPr="00297CFA">
        <w:rPr>
          <w:szCs w:val="22"/>
        </w:rPr>
        <w:t xml:space="preserve"> </w:t>
      </w:r>
      <w:r>
        <w:rPr>
          <w:szCs w:val="22"/>
        </w:rPr>
        <w:t xml:space="preserve">θανατηφόρες </w:t>
      </w:r>
      <w:r>
        <w:rPr>
          <w:szCs w:val="22"/>
        </w:rPr>
        <w:lastRenderedPageBreak/>
        <w:t xml:space="preserve">ανεπιθύμητες ενέργειες σε πρόωρα και τελειόμηνα νεογνά (ηλικίας &lt;28 ημερών) που </w:t>
      </w:r>
      <w:r w:rsidR="004B7036">
        <w:rPr>
          <w:szCs w:val="22"/>
        </w:rPr>
        <w:t>έλαβαν</w:t>
      </w:r>
      <w:r>
        <w:rPr>
          <w:szCs w:val="22"/>
        </w:rPr>
        <w:t xml:space="preserve"> θεραπεία με ενδοφλέβια κεφτριαξόνη και ασβέστιο. Ιζήματα</w:t>
      </w:r>
      <w:r w:rsidRPr="00297CFA">
        <w:rPr>
          <w:szCs w:val="22"/>
        </w:rPr>
        <w:t xml:space="preserve"> </w:t>
      </w:r>
      <w:r>
        <w:rPr>
          <w:szCs w:val="22"/>
        </w:rPr>
        <w:t>άλατος</w:t>
      </w:r>
      <w:r w:rsidRPr="00297CFA">
        <w:rPr>
          <w:szCs w:val="22"/>
        </w:rPr>
        <w:t xml:space="preserve"> </w:t>
      </w:r>
      <w:r>
        <w:rPr>
          <w:szCs w:val="22"/>
        </w:rPr>
        <w:t>ασβεστούχου</w:t>
      </w:r>
      <w:r w:rsidRPr="00297CFA">
        <w:rPr>
          <w:szCs w:val="22"/>
        </w:rPr>
        <w:t xml:space="preserve"> </w:t>
      </w:r>
      <w:r>
        <w:rPr>
          <w:szCs w:val="22"/>
        </w:rPr>
        <w:t>κεφτριαξόνης</w:t>
      </w:r>
      <w:r w:rsidRPr="00297CFA">
        <w:rPr>
          <w:szCs w:val="22"/>
        </w:rPr>
        <w:t xml:space="preserve"> </w:t>
      </w:r>
      <w:r>
        <w:rPr>
          <w:szCs w:val="22"/>
        </w:rPr>
        <w:t>έχουν</w:t>
      </w:r>
      <w:r w:rsidRPr="00297CFA">
        <w:rPr>
          <w:szCs w:val="22"/>
        </w:rPr>
        <w:t xml:space="preserve"> </w:t>
      </w:r>
      <w:r>
        <w:rPr>
          <w:szCs w:val="22"/>
        </w:rPr>
        <w:t>παρατηρηθεί</w:t>
      </w:r>
      <w:r w:rsidRPr="00297CFA">
        <w:rPr>
          <w:szCs w:val="22"/>
        </w:rPr>
        <w:t xml:space="preserve"> </w:t>
      </w:r>
      <w:r>
        <w:rPr>
          <w:szCs w:val="22"/>
        </w:rPr>
        <w:t>στους</w:t>
      </w:r>
      <w:r w:rsidRPr="00297CFA">
        <w:rPr>
          <w:szCs w:val="22"/>
        </w:rPr>
        <w:t xml:space="preserve"> </w:t>
      </w:r>
      <w:r>
        <w:rPr>
          <w:szCs w:val="22"/>
        </w:rPr>
        <w:t>πνεύμονες και τους νεφρούς μετά θάνατο. Ο</w:t>
      </w:r>
      <w:r w:rsidRPr="00297CFA">
        <w:rPr>
          <w:szCs w:val="22"/>
        </w:rPr>
        <w:t xml:space="preserve"> </w:t>
      </w:r>
      <w:r w:rsidR="004B7036">
        <w:rPr>
          <w:szCs w:val="22"/>
        </w:rPr>
        <w:t>υψηλό</w:t>
      </w:r>
      <w:r>
        <w:rPr>
          <w:szCs w:val="22"/>
        </w:rPr>
        <w:t>ς</w:t>
      </w:r>
      <w:r w:rsidRPr="00297CFA">
        <w:rPr>
          <w:szCs w:val="22"/>
        </w:rPr>
        <w:t xml:space="preserve"> </w:t>
      </w:r>
      <w:r>
        <w:rPr>
          <w:szCs w:val="22"/>
        </w:rPr>
        <w:t>κίνδυνος</w:t>
      </w:r>
      <w:r w:rsidRPr="00297CFA">
        <w:rPr>
          <w:szCs w:val="22"/>
        </w:rPr>
        <w:t xml:space="preserve"> </w:t>
      </w:r>
      <w:r>
        <w:rPr>
          <w:szCs w:val="22"/>
        </w:rPr>
        <w:t>ιζηματοποίησης</w:t>
      </w:r>
      <w:r w:rsidRPr="00297CFA">
        <w:rPr>
          <w:szCs w:val="22"/>
        </w:rPr>
        <w:t xml:space="preserve"> </w:t>
      </w:r>
      <w:r>
        <w:rPr>
          <w:szCs w:val="22"/>
        </w:rPr>
        <w:t>στα</w:t>
      </w:r>
      <w:r w:rsidRPr="00297CFA">
        <w:rPr>
          <w:szCs w:val="22"/>
        </w:rPr>
        <w:t xml:space="preserve"> </w:t>
      </w:r>
      <w:r>
        <w:rPr>
          <w:szCs w:val="22"/>
        </w:rPr>
        <w:t>νεογνά</w:t>
      </w:r>
      <w:r w:rsidRPr="00297CFA">
        <w:rPr>
          <w:szCs w:val="22"/>
        </w:rPr>
        <w:t xml:space="preserve"> </w:t>
      </w:r>
      <w:r>
        <w:rPr>
          <w:szCs w:val="22"/>
        </w:rPr>
        <w:t>οφείλεται</w:t>
      </w:r>
      <w:r w:rsidRPr="00297CFA">
        <w:rPr>
          <w:szCs w:val="22"/>
        </w:rPr>
        <w:t xml:space="preserve"> </w:t>
      </w:r>
      <w:r>
        <w:rPr>
          <w:szCs w:val="22"/>
        </w:rPr>
        <w:t>στον</w:t>
      </w:r>
      <w:r w:rsidRPr="00297CFA">
        <w:rPr>
          <w:szCs w:val="22"/>
        </w:rPr>
        <w:t xml:space="preserve"> </w:t>
      </w:r>
      <w:r>
        <w:rPr>
          <w:szCs w:val="22"/>
        </w:rPr>
        <w:t>χαμηλό</w:t>
      </w:r>
      <w:r w:rsidRPr="00297CFA">
        <w:rPr>
          <w:szCs w:val="22"/>
        </w:rPr>
        <w:t xml:space="preserve"> </w:t>
      </w:r>
      <w:r>
        <w:rPr>
          <w:szCs w:val="22"/>
        </w:rPr>
        <w:t xml:space="preserve">όγκο αίματος και τον παρατεταμένο χρόνο ημιζωής </w:t>
      </w:r>
      <w:r w:rsidR="004B7036">
        <w:rPr>
          <w:szCs w:val="22"/>
        </w:rPr>
        <w:t>συγκριτικά</w:t>
      </w:r>
      <w:r>
        <w:rPr>
          <w:szCs w:val="22"/>
        </w:rPr>
        <w:t xml:space="preserve"> με τους ενήλικες (δείτε παράγραφο 4.3, 4.4 και 5.2).</w:t>
      </w:r>
      <w:r w:rsidRPr="00297CFA">
        <w:rPr>
          <w:szCs w:val="22"/>
        </w:rPr>
        <w:t xml:space="preserve"> </w:t>
      </w:r>
    </w:p>
    <w:p w:rsidR="006766EA" w:rsidRPr="00297CFA" w:rsidRDefault="006766EA" w:rsidP="006718E7">
      <w:pPr>
        <w:autoSpaceDE w:val="0"/>
        <w:autoSpaceDN w:val="0"/>
        <w:adjustRightInd w:val="0"/>
        <w:jc w:val="both"/>
        <w:rPr>
          <w:rFonts w:cs="Arial"/>
        </w:rPr>
      </w:pPr>
    </w:p>
    <w:p w:rsidR="00DF4A42" w:rsidRDefault="00BD5E57" w:rsidP="006718E7">
      <w:pPr>
        <w:autoSpaceDE w:val="0"/>
        <w:autoSpaceDN w:val="0"/>
        <w:adjustRightInd w:val="0"/>
        <w:jc w:val="both"/>
        <w:rPr>
          <w:rFonts w:cs="Arial"/>
        </w:rPr>
      </w:pPr>
      <w:r>
        <w:rPr>
          <w:rFonts w:cs="Arial"/>
        </w:rPr>
        <w:t>Οι ανεπιθύμητες ενέργειες, παρατηρηθ</w:t>
      </w:r>
      <w:r w:rsidR="00DF4A42">
        <w:rPr>
          <w:rFonts w:cs="Arial"/>
        </w:rPr>
        <w:t>ήκαν</w:t>
      </w:r>
      <w:r>
        <w:rPr>
          <w:rFonts w:cs="Arial"/>
        </w:rPr>
        <w:t xml:space="preserve"> σε σχέση με την χορήγηση κεφτριαξόνης</w:t>
      </w:r>
      <w:r w:rsidR="00DF4A42">
        <w:rPr>
          <w:rFonts w:cs="Arial"/>
        </w:rPr>
        <w:t xml:space="preserve"> που ταξινομήθηκε κατά κατηγορίες των συχνοτήτων που είναι καταχωρημένες παρακάτω.</w:t>
      </w:r>
    </w:p>
    <w:p w:rsidR="006766EA" w:rsidRPr="00BD5E57" w:rsidRDefault="006766EA" w:rsidP="006718E7">
      <w:pPr>
        <w:autoSpaceDE w:val="0"/>
        <w:autoSpaceDN w:val="0"/>
        <w:adjustRightInd w:val="0"/>
        <w:jc w:val="both"/>
        <w:rPr>
          <w:rFonts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417"/>
        <w:gridCol w:w="1559"/>
        <w:gridCol w:w="1701"/>
        <w:gridCol w:w="1560"/>
      </w:tblGrid>
      <w:tr w:rsidR="00DF4A42" w:rsidRPr="00DF4A42" w:rsidTr="00112A6B">
        <w:tc>
          <w:tcPr>
            <w:tcW w:w="1560" w:type="dxa"/>
            <w:shd w:val="clear" w:color="auto" w:fill="auto"/>
          </w:tcPr>
          <w:p w:rsidR="00DF4A42" w:rsidRPr="00DF4A42" w:rsidRDefault="00DF4A42" w:rsidP="00DF4A42">
            <w:pPr>
              <w:widowControl/>
              <w:jc w:val="both"/>
              <w:rPr>
                <w:iCs/>
                <w:sz w:val="20"/>
                <w:lang w:eastAsia="de-DE"/>
              </w:rPr>
            </w:pPr>
            <w:r>
              <w:rPr>
                <w:b/>
                <w:bCs/>
                <w:sz w:val="20"/>
                <w:lang w:eastAsia="pt-PT"/>
              </w:rPr>
              <w:t>Κατηγορία Συστήματος Οργάνων</w:t>
            </w:r>
          </w:p>
        </w:tc>
        <w:tc>
          <w:tcPr>
            <w:tcW w:w="1276" w:type="dxa"/>
            <w:shd w:val="clear" w:color="auto" w:fill="auto"/>
          </w:tcPr>
          <w:p w:rsidR="00DF4A42" w:rsidRPr="00DF4A42" w:rsidRDefault="00DF4A42" w:rsidP="00DF4A42">
            <w:pPr>
              <w:widowControl/>
              <w:rPr>
                <w:iCs/>
                <w:sz w:val="20"/>
                <w:lang w:val="en-GB" w:eastAsia="de-DE"/>
              </w:rPr>
            </w:pPr>
            <w:r>
              <w:rPr>
                <w:iCs/>
                <w:sz w:val="20"/>
                <w:lang w:eastAsia="de-DE"/>
              </w:rPr>
              <w:t>Πολύ συχνές</w:t>
            </w:r>
            <w:r w:rsidRPr="00DF4A42">
              <w:rPr>
                <w:iCs/>
                <w:sz w:val="20"/>
                <w:lang w:val="en-GB" w:eastAsia="de-DE"/>
              </w:rPr>
              <w:t xml:space="preserve"> </w:t>
            </w:r>
            <w:r w:rsidRPr="00DF4A42">
              <w:rPr>
                <w:iCs/>
                <w:sz w:val="20"/>
                <w:lang w:val="en-GB" w:eastAsia="de-DE"/>
              </w:rPr>
              <w:sym w:font="Symbol" w:char="F0B3"/>
            </w:r>
            <w:r w:rsidRPr="00DF4A42">
              <w:rPr>
                <w:iCs/>
                <w:sz w:val="20"/>
                <w:lang w:val="en-GB" w:eastAsia="de-DE"/>
              </w:rPr>
              <w:t>1/10</w:t>
            </w:r>
          </w:p>
          <w:p w:rsidR="00DF4A42" w:rsidRPr="00DF4A42" w:rsidRDefault="00DF4A42" w:rsidP="00DF4A42">
            <w:pPr>
              <w:widowControl/>
              <w:jc w:val="both"/>
              <w:rPr>
                <w:iCs/>
                <w:sz w:val="20"/>
                <w:lang w:val="en-GB" w:eastAsia="de-DE"/>
              </w:rPr>
            </w:pPr>
          </w:p>
        </w:tc>
        <w:tc>
          <w:tcPr>
            <w:tcW w:w="1417" w:type="dxa"/>
            <w:shd w:val="clear" w:color="auto" w:fill="auto"/>
          </w:tcPr>
          <w:p w:rsidR="00DF4A42" w:rsidRDefault="00DF4A42" w:rsidP="00DF4A42">
            <w:pPr>
              <w:widowControl/>
              <w:rPr>
                <w:iCs/>
                <w:sz w:val="20"/>
                <w:lang w:eastAsia="de-DE"/>
              </w:rPr>
            </w:pPr>
            <w:r>
              <w:rPr>
                <w:iCs/>
                <w:sz w:val="20"/>
                <w:lang w:eastAsia="de-DE"/>
              </w:rPr>
              <w:t>Συχνές</w:t>
            </w:r>
          </w:p>
          <w:p w:rsidR="00DF4A42" w:rsidRPr="00DF4A42" w:rsidRDefault="00DF4A42" w:rsidP="00DF4A42">
            <w:pPr>
              <w:widowControl/>
              <w:rPr>
                <w:iCs/>
                <w:sz w:val="20"/>
                <w:lang w:val="en-GB" w:eastAsia="de-DE"/>
              </w:rPr>
            </w:pPr>
            <w:r w:rsidRPr="00DF4A42">
              <w:rPr>
                <w:iCs/>
                <w:sz w:val="20"/>
                <w:lang w:val="en-GB" w:eastAsia="de-DE"/>
              </w:rPr>
              <w:sym w:font="Symbol" w:char="F0B3"/>
            </w:r>
            <w:r w:rsidRPr="00DF4A42">
              <w:rPr>
                <w:iCs/>
                <w:sz w:val="20"/>
                <w:lang w:val="en-GB" w:eastAsia="de-DE"/>
              </w:rPr>
              <w:t>1/100 to &lt;1/10</w:t>
            </w:r>
          </w:p>
          <w:p w:rsidR="00DF4A42" w:rsidRPr="00DF4A42" w:rsidRDefault="00DF4A42" w:rsidP="00DF4A42">
            <w:pPr>
              <w:widowControl/>
              <w:jc w:val="both"/>
              <w:rPr>
                <w:iCs/>
                <w:sz w:val="20"/>
                <w:lang w:val="en-GB" w:eastAsia="de-DE"/>
              </w:rPr>
            </w:pPr>
          </w:p>
        </w:tc>
        <w:tc>
          <w:tcPr>
            <w:tcW w:w="1559" w:type="dxa"/>
            <w:shd w:val="clear" w:color="auto" w:fill="auto"/>
          </w:tcPr>
          <w:p w:rsidR="00DF4A42" w:rsidRDefault="00DF4A42" w:rsidP="00DF4A42">
            <w:pPr>
              <w:widowControl/>
              <w:rPr>
                <w:iCs/>
                <w:sz w:val="20"/>
                <w:lang w:eastAsia="de-DE"/>
              </w:rPr>
            </w:pPr>
            <w:r>
              <w:rPr>
                <w:iCs/>
                <w:sz w:val="20"/>
                <w:lang w:eastAsia="de-DE"/>
              </w:rPr>
              <w:t>Μη συχνές</w:t>
            </w:r>
          </w:p>
          <w:p w:rsidR="00DF4A42" w:rsidRPr="00DF4A42" w:rsidRDefault="00DF4A42" w:rsidP="00DF4A42">
            <w:pPr>
              <w:widowControl/>
              <w:rPr>
                <w:iCs/>
                <w:sz w:val="20"/>
                <w:lang w:val="en-GB" w:eastAsia="de-DE"/>
              </w:rPr>
            </w:pPr>
            <w:r w:rsidRPr="00DF4A42">
              <w:rPr>
                <w:iCs/>
                <w:sz w:val="20"/>
                <w:lang w:val="en-GB" w:eastAsia="de-DE"/>
              </w:rPr>
              <w:sym w:font="Symbol" w:char="F0B3"/>
            </w:r>
            <w:r w:rsidRPr="00DF4A42">
              <w:rPr>
                <w:iCs/>
                <w:sz w:val="20"/>
                <w:lang w:val="en-GB" w:eastAsia="de-DE"/>
              </w:rPr>
              <w:t>1/1,000 to &lt;1/100</w:t>
            </w:r>
          </w:p>
          <w:p w:rsidR="00DF4A42" w:rsidRPr="00DF4A42" w:rsidRDefault="00DF4A42" w:rsidP="00DF4A42">
            <w:pPr>
              <w:widowControl/>
              <w:jc w:val="both"/>
              <w:rPr>
                <w:iCs/>
                <w:sz w:val="20"/>
                <w:lang w:val="en-GB" w:eastAsia="de-DE"/>
              </w:rPr>
            </w:pPr>
          </w:p>
        </w:tc>
        <w:tc>
          <w:tcPr>
            <w:tcW w:w="1701" w:type="dxa"/>
            <w:shd w:val="clear" w:color="auto" w:fill="auto"/>
          </w:tcPr>
          <w:p w:rsidR="00DF4A42" w:rsidRPr="00DF4A42" w:rsidRDefault="00DF4A42" w:rsidP="00DF4A42">
            <w:pPr>
              <w:widowControl/>
              <w:rPr>
                <w:iCs/>
                <w:sz w:val="20"/>
                <w:lang w:val="en-GB" w:eastAsia="de-DE"/>
              </w:rPr>
            </w:pPr>
            <w:r>
              <w:rPr>
                <w:iCs/>
                <w:sz w:val="20"/>
                <w:lang w:eastAsia="de-DE"/>
              </w:rPr>
              <w:t>Σπάνιες</w:t>
            </w:r>
            <w:r w:rsidRPr="00DF4A42">
              <w:rPr>
                <w:iCs/>
                <w:sz w:val="20"/>
                <w:lang w:val="en-GB" w:eastAsia="de-DE"/>
              </w:rPr>
              <w:t xml:space="preserve"> </w:t>
            </w:r>
            <w:r w:rsidRPr="00DF4A42">
              <w:rPr>
                <w:iCs/>
                <w:sz w:val="20"/>
                <w:lang w:val="en-GB" w:eastAsia="de-DE"/>
              </w:rPr>
              <w:sym w:font="Symbol" w:char="F0B3"/>
            </w:r>
            <w:r w:rsidRPr="00DF4A42">
              <w:rPr>
                <w:iCs/>
                <w:sz w:val="20"/>
                <w:lang w:val="en-GB" w:eastAsia="de-DE"/>
              </w:rPr>
              <w:t>1/10,000 to &lt;1/1,000</w:t>
            </w:r>
          </w:p>
          <w:p w:rsidR="00DF4A42" w:rsidRPr="00DF4A42" w:rsidRDefault="00DF4A42" w:rsidP="00DF4A42">
            <w:pPr>
              <w:widowControl/>
              <w:jc w:val="both"/>
              <w:rPr>
                <w:iCs/>
                <w:sz w:val="20"/>
                <w:lang w:val="en-GB" w:eastAsia="de-DE"/>
              </w:rPr>
            </w:pPr>
          </w:p>
        </w:tc>
        <w:tc>
          <w:tcPr>
            <w:tcW w:w="1560" w:type="dxa"/>
            <w:shd w:val="clear" w:color="auto" w:fill="auto"/>
          </w:tcPr>
          <w:p w:rsidR="00DF4A42" w:rsidRPr="00DF4A42" w:rsidRDefault="00DF4A42" w:rsidP="00DF4A42">
            <w:pPr>
              <w:widowControl/>
              <w:rPr>
                <w:iCs/>
                <w:sz w:val="20"/>
                <w:lang w:val="en-GB" w:eastAsia="de-DE"/>
              </w:rPr>
            </w:pPr>
            <w:r>
              <w:rPr>
                <w:iCs/>
                <w:sz w:val="20"/>
                <w:lang w:eastAsia="de-DE"/>
              </w:rPr>
              <w:t>Πολύ σπάνιες</w:t>
            </w:r>
            <w:r w:rsidRPr="00DF4A42">
              <w:rPr>
                <w:iCs/>
                <w:sz w:val="20"/>
                <w:lang w:val="en-GB" w:eastAsia="de-DE"/>
              </w:rPr>
              <w:t xml:space="preserve"> &lt;1/10,000</w:t>
            </w:r>
          </w:p>
        </w:tc>
      </w:tr>
      <w:tr w:rsidR="00DF4A42" w:rsidRPr="00B17678" w:rsidTr="00112A6B">
        <w:tc>
          <w:tcPr>
            <w:tcW w:w="1560" w:type="dxa"/>
            <w:shd w:val="clear" w:color="auto" w:fill="auto"/>
          </w:tcPr>
          <w:p w:rsidR="00DF4A42" w:rsidRPr="007521E0" w:rsidRDefault="007521E0" w:rsidP="00DF4A42">
            <w:pPr>
              <w:widowControl/>
              <w:rPr>
                <w:iCs/>
                <w:sz w:val="20"/>
                <w:lang w:eastAsia="de-DE"/>
              </w:rPr>
            </w:pPr>
            <w:r>
              <w:rPr>
                <w:sz w:val="20"/>
                <w:lang w:eastAsia="de-DE"/>
              </w:rPr>
              <w:t>Διαταραχές του αιμοποιητικού και του λεμφικού συστήματος</w:t>
            </w:r>
          </w:p>
        </w:tc>
        <w:tc>
          <w:tcPr>
            <w:tcW w:w="1276" w:type="dxa"/>
            <w:shd w:val="clear" w:color="auto" w:fill="auto"/>
          </w:tcPr>
          <w:p w:rsidR="00DF4A42" w:rsidRPr="007521E0" w:rsidRDefault="00DF4A42" w:rsidP="00DF4A42">
            <w:pPr>
              <w:widowControl/>
              <w:rPr>
                <w:iCs/>
                <w:sz w:val="20"/>
                <w:lang w:eastAsia="de-DE"/>
              </w:rPr>
            </w:pPr>
          </w:p>
        </w:tc>
        <w:tc>
          <w:tcPr>
            <w:tcW w:w="1417" w:type="dxa"/>
            <w:shd w:val="clear" w:color="auto" w:fill="auto"/>
          </w:tcPr>
          <w:p w:rsidR="00DF4A42" w:rsidRPr="007521E0" w:rsidRDefault="00DF4A42" w:rsidP="00DF4A42">
            <w:pPr>
              <w:widowControl/>
              <w:rPr>
                <w:iCs/>
                <w:sz w:val="20"/>
                <w:lang w:eastAsia="de-DE"/>
              </w:rPr>
            </w:pPr>
          </w:p>
        </w:tc>
        <w:tc>
          <w:tcPr>
            <w:tcW w:w="1559" w:type="dxa"/>
            <w:shd w:val="clear" w:color="auto" w:fill="auto"/>
          </w:tcPr>
          <w:p w:rsidR="00DF4A42" w:rsidRPr="007521E0" w:rsidRDefault="00DF4A42" w:rsidP="00DF4A42">
            <w:pPr>
              <w:widowControl/>
              <w:rPr>
                <w:iCs/>
                <w:sz w:val="20"/>
                <w:lang w:eastAsia="de-DE"/>
              </w:rPr>
            </w:pPr>
          </w:p>
        </w:tc>
        <w:tc>
          <w:tcPr>
            <w:tcW w:w="1701" w:type="dxa"/>
            <w:shd w:val="clear" w:color="auto" w:fill="auto"/>
          </w:tcPr>
          <w:p w:rsidR="00DF4A42" w:rsidRPr="004E1E89" w:rsidRDefault="007521E0" w:rsidP="004E1E89">
            <w:pPr>
              <w:widowControl/>
              <w:rPr>
                <w:iCs/>
                <w:sz w:val="20"/>
                <w:lang w:eastAsia="de-DE"/>
              </w:rPr>
            </w:pPr>
            <w:r>
              <w:rPr>
                <w:sz w:val="20"/>
                <w:lang w:eastAsia="de-DE"/>
              </w:rPr>
              <w:t>Ηωσινοφιλία</w:t>
            </w:r>
            <w:r w:rsidR="00DF4A42" w:rsidRPr="00DF4A42">
              <w:rPr>
                <w:sz w:val="20"/>
                <w:lang w:val="en-GB" w:eastAsia="de-DE"/>
              </w:rPr>
              <w:t xml:space="preserve">, </w:t>
            </w:r>
            <w:r w:rsidR="004E1E89">
              <w:rPr>
                <w:sz w:val="20"/>
                <w:lang w:eastAsia="de-DE"/>
              </w:rPr>
              <w:t>λευκοπενία</w:t>
            </w:r>
            <w:r w:rsidR="00DF4A42" w:rsidRPr="00DF4A42">
              <w:rPr>
                <w:sz w:val="20"/>
                <w:lang w:val="en-GB" w:eastAsia="de-DE"/>
              </w:rPr>
              <w:t xml:space="preserve">, </w:t>
            </w:r>
            <w:r w:rsidR="004E1E89">
              <w:rPr>
                <w:sz w:val="20"/>
                <w:lang w:eastAsia="de-DE"/>
              </w:rPr>
              <w:t>κοκκιοκυτταροπενία</w:t>
            </w:r>
          </w:p>
        </w:tc>
        <w:tc>
          <w:tcPr>
            <w:tcW w:w="1560" w:type="dxa"/>
            <w:shd w:val="clear" w:color="auto" w:fill="auto"/>
          </w:tcPr>
          <w:p w:rsidR="00DF4A42" w:rsidRPr="00B17678" w:rsidRDefault="00B17678" w:rsidP="00B17678">
            <w:pPr>
              <w:widowControl/>
              <w:autoSpaceDE w:val="0"/>
              <w:autoSpaceDN w:val="0"/>
              <w:adjustRightInd w:val="0"/>
              <w:ind w:left="-12" w:hanging="12"/>
              <w:rPr>
                <w:sz w:val="20"/>
                <w:lang w:eastAsia="de-DE"/>
              </w:rPr>
            </w:pPr>
            <w:r>
              <w:rPr>
                <w:sz w:val="20"/>
                <w:lang w:eastAsia="de-DE"/>
              </w:rPr>
              <w:t>Ακοκκιοκυτταραιμία</w:t>
            </w:r>
            <w:r w:rsidR="00DF4A42" w:rsidRPr="00B17678">
              <w:rPr>
                <w:sz w:val="20"/>
                <w:lang w:eastAsia="de-DE"/>
              </w:rPr>
              <w:t xml:space="preserve"> (&lt;500/</w:t>
            </w:r>
            <w:r w:rsidR="00DF4A42" w:rsidRPr="00DF4A42">
              <w:rPr>
                <w:sz w:val="20"/>
                <w:lang w:val="en-GB" w:eastAsia="de-DE"/>
              </w:rPr>
              <w:t>mm</w:t>
            </w:r>
            <w:r w:rsidR="00DF4A42" w:rsidRPr="00B17678">
              <w:rPr>
                <w:sz w:val="20"/>
                <w:vertAlign w:val="superscript"/>
                <w:lang w:eastAsia="de-DE"/>
              </w:rPr>
              <w:t>3</w:t>
            </w:r>
            <w:r w:rsidR="00DF4A42" w:rsidRPr="00B17678">
              <w:rPr>
                <w:sz w:val="20"/>
                <w:lang w:eastAsia="de-DE"/>
              </w:rPr>
              <w:t xml:space="preserve">), </w:t>
            </w:r>
            <w:r>
              <w:rPr>
                <w:sz w:val="20"/>
                <w:lang w:eastAsia="de-DE"/>
              </w:rPr>
              <w:t>κυρίως</w:t>
            </w:r>
            <w:r w:rsidRPr="00B17678">
              <w:rPr>
                <w:sz w:val="20"/>
                <w:lang w:eastAsia="de-DE"/>
              </w:rPr>
              <w:t xml:space="preserve"> </w:t>
            </w:r>
            <w:r>
              <w:rPr>
                <w:sz w:val="20"/>
                <w:lang w:eastAsia="de-DE"/>
              </w:rPr>
              <w:t>μετά</w:t>
            </w:r>
            <w:r w:rsidRPr="00B17678">
              <w:rPr>
                <w:sz w:val="20"/>
                <w:lang w:eastAsia="de-DE"/>
              </w:rPr>
              <w:t xml:space="preserve"> </w:t>
            </w:r>
            <w:r>
              <w:rPr>
                <w:sz w:val="20"/>
                <w:lang w:eastAsia="de-DE"/>
              </w:rPr>
              <w:t>από</w:t>
            </w:r>
            <w:r w:rsidRPr="00B17678">
              <w:rPr>
                <w:sz w:val="20"/>
                <w:lang w:eastAsia="de-DE"/>
              </w:rPr>
              <w:t xml:space="preserve"> </w:t>
            </w:r>
            <w:r>
              <w:rPr>
                <w:sz w:val="20"/>
                <w:lang w:eastAsia="de-DE"/>
              </w:rPr>
              <w:t>θεραπεία</w:t>
            </w:r>
            <w:r w:rsidRPr="00B17678">
              <w:rPr>
                <w:sz w:val="20"/>
                <w:lang w:eastAsia="de-DE"/>
              </w:rPr>
              <w:t xml:space="preserve"> 10-</w:t>
            </w:r>
            <w:r>
              <w:rPr>
                <w:sz w:val="20"/>
                <w:lang w:eastAsia="de-DE"/>
              </w:rPr>
              <w:t xml:space="preserve">ημερών και μια ολική δόση </w:t>
            </w:r>
            <w:r w:rsidR="00DF4A42" w:rsidRPr="00B17678">
              <w:rPr>
                <w:sz w:val="20"/>
                <w:lang w:eastAsia="de-DE"/>
              </w:rPr>
              <w:t xml:space="preserve">20 </w:t>
            </w:r>
            <w:r w:rsidR="00DF4A42" w:rsidRPr="00DF4A42">
              <w:rPr>
                <w:sz w:val="20"/>
                <w:lang w:val="en-GB" w:eastAsia="de-DE"/>
              </w:rPr>
              <w:t>g</w:t>
            </w:r>
            <w:r w:rsidR="00DF4A42" w:rsidRPr="00B17678">
              <w:rPr>
                <w:sz w:val="20"/>
                <w:lang w:eastAsia="de-DE"/>
              </w:rPr>
              <w:t xml:space="preserve"> </w:t>
            </w:r>
            <w:r>
              <w:rPr>
                <w:sz w:val="20"/>
                <w:lang w:eastAsia="de-DE"/>
              </w:rPr>
              <w:t>κεφτριαξόνη και  περισσότερο κεφτριαξόνη και διαταραχές πήξης του αίματος, θρομβοκυτταροπενία, Μικρή επιμήκυνση στο χρόνο της προθρομβίνης.</w:t>
            </w:r>
            <w:r w:rsidR="00DF4A42" w:rsidRPr="00B17678">
              <w:rPr>
                <w:sz w:val="20"/>
                <w:lang w:eastAsia="de-DE"/>
              </w:rPr>
              <w:t>.</w:t>
            </w:r>
          </w:p>
          <w:p w:rsidR="00DF4A42" w:rsidRPr="00B17678" w:rsidRDefault="00B17678" w:rsidP="00B17678">
            <w:pPr>
              <w:widowControl/>
              <w:autoSpaceDE w:val="0"/>
              <w:autoSpaceDN w:val="0"/>
              <w:adjustRightInd w:val="0"/>
              <w:ind w:left="-12" w:hanging="12"/>
              <w:rPr>
                <w:rFonts w:ascii="Arial" w:hAnsi="Arial"/>
                <w:sz w:val="20"/>
                <w:lang w:eastAsia="de-DE"/>
              </w:rPr>
            </w:pPr>
            <w:r>
              <w:rPr>
                <w:sz w:val="20"/>
                <w:lang w:eastAsia="de-DE"/>
              </w:rPr>
              <w:t xml:space="preserve">Αναιμία (συμπεριλαμβανομένου αιμολυτικής αναιμίας). </w:t>
            </w:r>
          </w:p>
        </w:tc>
      </w:tr>
      <w:tr w:rsidR="00DF4A42" w:rsidRPr="00B17678" w:rsidTr="00112A6B">
        <w:tc>
          <w:tcPr>
            <w:tcW w:w="1560" w:type="dxa"/>
            <w:shd w:val="clear" w:color="auto" w:fill="auto"/>
          </w:tcPr>
          <w:p w:rsidR="00DF4A42" w:rsidRPr="00B17678" w:rsidRDefault="00B17678" w:rsidP="00DF4A42">
            <w:pPr>
              <w:widowControl/>
              <w:rPr>
                <w:iCs/>
                <w:sz w:val="20"/>
                <w:lang w:eastAsia="de-DE"/>
              </w:rPr>
            </w:pPr>
            <w:r>
              <w:rPr>
                <w:sz w:val="20"/>
                <w:u w:val="single"/>
                <w:lang w:eastAsia="de-DE"/>
              </w:rPr>
              <w:t>Διαταραχές του νευρικού συστήματος</w:t>
            </w:r>
          </w:p>
        </w:tc>
        <w:tc>
          <w:tcPr>
            <w:tcW w:w="1276" w:type="dxa"/>
            <w:shd w:val="clear" w:color="auto" w:fill="auto"/>
          </w:tcPr>
          <w:p w:rsidR="00DF4A42" w:rsidRPr="00B17678" w:rsidRDefault="00DF4A42" w:rsidP="00DF4A42">
            <w:pPr>
              <w:widowControl/>
              <w:rPr>
                <w:iCs/>
                <w:sz w:val="20"/>
                <w:lang w:eastAsia="de-DE"/>
              </w:rPr>
            </w:pPr>
          </w:p>
        </w:tc>
        <w:tc>
          <w:tcPr>
            <w:tcW w:w="1417" w:type="dxa"/>
            <w:shd w:val="clear" w:color="auto" w:fill="auto"/>
          </w:tcPr>
          <w:p w:rsidR="00DF4A42" w:rsidRPr="00B17678" w:rsidRDefault="00DF4A42" w:rsidP="00DF4A42">
            <w:pPr>
              <w:widowControl/>
              <w:rPr>
                <w:iCs/>
                <w:sz w:val="20"/>
                <w:lang w:eastAsia="de-DE"/>
              </w:rPr>
            </w:pPr>
          </w:p>
        </w:tc>
        <w:tc>
          <w:tcPr>
            <w:tcW w:w="1559" w:type="dxa"/>
            <w:shd w:val="clear" w:color="auto" w:fill="auto"/>
          </w:tcPr>
          <w:p w:rsidR="00DF4A42" w:rsidRPr="00B17678" w:rsidRDefault="00B17678" w:rsidP="00B17678">
            <w:pPr>
              <w:widowControl/>
              <w:rPr>
                <w:iCs/>
                <w:sz w:val="20"/>
                <w:lang w:eastAsia="de-DE"/>
              </w:rPr>
            </w:pPr>
            <w:r>
              <w:rPr>
                <w:sz w:val="20"/>
                <w:lang w:eastAsia="de-DE"/>
              </w:rPr>
              <w:t xml:space="preserve">Πονοκέφαλος, ζάλη, ίλλιγγος </w:t>
            </w:r>
          </w:p>
        </w:tc>
        <w:tc>
          <w:tcPr>
            <w:tcW w:w="1701" w:type="dxa"/>
            <w:shd w:val="clear" w:color="auto" w:fill="auto"/>
          </w:tcPr>
          <w:p w:rsidR="00DF4A42" w:rsidRPr="00B17678" w:rsidRDefault="00DF4A42" w:rsidP="00DF4A42">
            <w:pPr>
              <w:widowControl/>
              <w:rPr>
                <w:iCs/>
                <w:sz w:val="20"/>
                <w:lang w:eastAsia="de-DE"/>
              </w:rPr>
            </w:pPr>
          </w:p>
        </w:tc>
        <w:tc>
          <w:tcPr>
            <w:tcW w:w="1560" w:type="dxa"/>
            <w:shd w:val="clear" w:color="auto" w:fill="auto"/>
          </w:tcPr>
          <w:p w:rsidR="00DF4A42" w:rsidRPr="00B17678" w:rsidRDefault="00DF4A42" w:rsidP="00DF4A42">
            <w:pPr>
              <w:widowControl/>
              <w:rPr>
                <w:iCs/>
                <w:sz w:val="20"/>
                <w:lang w:eastAsia="de-DE"/>
              </w:rPr>
            </w:pPr>
          </w:p>
        </w:tc>
      </w:tr>
      <w:tr w:rsidR="00DF4A42" w:rsidRPr="00493F20" w:rsidTr="00112A6B">
        <w:tc>
          <w:tcPr>
            <w:tcW w:w="1560" w:type="dxa"/>
            <w:shd w:val="clear" w:color="auto" w:fill="auto"/>
          </w:tcPr>
          <w:p w:rsidR="00DF4A42" w:rsidRPr="00B17678" w:rsidRDefault="00B17678" w:rsidP="00DF4A42">
            <w:pPr>
              <w:widowControl/>
              <w:rPr>
                <w:iCs/>
                <w:sz w:val="20"/>
                <w:lang w:eastAsia="de-DE"/>
              </w:rPr>
            </w:pPr>
            <w:r>
              <w:rPr>
                <w:sz w:val="20"/>
                <w:u w:val="single"/>
                <w:lang w:eastAsia="de-DE"/>
              </w:rPr>
              <w:t>Διαταραχές του γαστρεντερικού συστήματος</w:t>
            </w:r>
          </w:p>
        </w:tc>
        <w:tc>
          <w:tcPr>
            <w:tcW w:w="1276" w:type="dxa"/>
            <w:shd w:val="clear" w:color="auto" w:fill="auto"/>
          </w:tcPr>
          <w:p w:rsidR="00DF4A42" w:rsidRPr="00B17678" w:rsidRDefault="00DF4A42" w:rsidP="00DF4A42">
            <w:pPr>
              <w:widowControl/>
              <w:rPr>
                <w:iCs/>
                <w:sz w:val="20"/>
                <w:lang w:eastAsia="de-DE"/>
              </w:rPr>
            </w:pPr>
          </w:p>
        </w:tc>
        <w:tc>
          <w:tcPr>
            <w:tcW w:w="1417" w:type="dxa"/>
            <w:shd w:val="clear" w:color="auto" w:fill="auto"/>
          </w:tcPr>
          <w:p w:rsidR="00DF4A42" w:rsidRPr="00B17678" w:rsidRDefault="00DF4A42" w:rsidP="00DF4A42">
            <w:pPr>
              <w:widowControl/>
              <w:rPr>
                <w:iCs/>
                <w:sz w:val="20"/>
                <w:lang w:eastAsia="de-DE"/>
              </w:rPr>
            </w:pPr>
          </w:p>
        </w:tc>
        <w:tc>
          <w:tcPr>
            <w:tcW w:w="1559" w:type="dxa"/>
            <w:shd w:val="clear" w:color="auto" w:fill="auto"/>
          </w:tcPr>
          <w:p w:rsidR="00DF4A42" w:rsidRPr="00493F20" w:rsidRDefault="00B17678" w:rsidP="00493F20">
            <w:pPr>
              <w:widowControl/>
              <w:rPr>
                <w:iCs/>
                <w:sz w:val="20"/>
                <w:lang w:eastAsia="de-DE"/>
              </w:rPr>
            </w:pPr>
            <w:r>
              <w:rPr>
                <w:sz w:val="20"/>
                <w:lang w:eastAsia="de-DE"/>
              </w:rPr>
              <w:t>Στοματίτιδα</w:t>
            </w:r>
            <w:r w:rsidRPr="00B17678">
              <w:rPr>
                <w:sz w:val="20"/>
                <w:lang w:eastAsia="de-DE"/>
              </w:rPr>
              <w:t xml:space="preserve">, </w:t>
            </w:r>
            <w:r>
              <w:rPr>
                <w:sz w:val="20"/>
                <w:lang w:eastAsia="de-DE"/>
              </w:rPr>
              <w:t>γλωσσίτιδα</w:t>
            </w:r>
            <w:r w:rsidRPr="00B17678">
              <w:rPr>
                <w:sz w:val="20"/>
                <w:lang w:eastAsia="de-DE"/>
              </w:rPr>
              <w:t xml:space="preserve">, </w:t>
            </w:r>
            <w:r>
              <w:rPr>
                <w:sz w:val="20"/>
                <w:lang w:eastAsia="de-DE"/>
              </w:rPr>
              <w:t>ανορεξία</w:t>
            </w:r>
            <w:r w:rsidRPr="00B17678">
              <w:rPr>
                <w:sz w:val="20"/>
                <w:lang w:eastAsia="de-DE"/>
              </w:rPr>
              <w:t xml:space="preserve">, </w:t>
            </w:r>
            <w:r>
              <w:rPr>
                <w:sz w:val="20"/>
                <w:lang w:eastAsia="de-DE"/>
              </w:rPr>
              <w:t>ναυτία</w:t>
            </w:r>
            <w:r w:rsidRPr="00B17678">
              <w:rPr>
                <w:sz w:val="20"/>
                <w:lang w:eastAsia="de-DE"/>
              </w:rPr>
              <w:t xml:space="preserve">, </w:t>
            </w:r>
            <w:r>
              <w:rPr>
                <w:sz w:val="20"/>
                <w:lang w:eastAsia="de-DE"/>
              </w:rPr>
              <w:t xml:space="preserve">εμετός, </w:t>
            </w:r>
            <w:r w:rsidR="00493F20">
              <w:rPr>
                <w:sz w:val="20"/>
                <w:lang w:eastAsia="de-DE"/>
              </w:rPr>
              <w:t>κοιλιακό άλγος, υδαρά κόπρανα ή διάρροια.</w:t>
            </w:r>
            <w:r w:rsidR="00DF4A42" w:rsidRPr="00493F20">
              <w:rPr>
                <w:sz w:val="20"/>
                <w:vertAlign w:val="superscript"/>
                <w:lang w:eastAsia="de-DE"/>
              </w:rPr>
              <w:t>1</w:t>
            </w:r>
          </w:p>
        </w:tc>
        <w:tc>
          <w:tcPr>
            <w:tcW w:w="1701" w:type="dxa"/>
            <w:shd w:val="clear" w:color="auto" w:fill="auto"/>
          </w:tcPr>
          <w:p w:rsidR="00DF4A42" w:rsidRPr="00493F20" w:rsidRDefault="00DF4A42" w:rsidP="00DF4A42">
            <w:pPr>
              <w:widowControl/>
              <w:rPr>
                <w:iCs/>
                <w:sz w:val="20"/>
                <w:lang w:eastAsia="de-DE"/>
              </w:rPr>
            </w:pPr>
          </w:p>
        </w:tc>
        <w:tc>
          <w:tcPr>
            <w:tcW w:w="1560" w:type="dxa"/>
            <w:shd w:val="clear" w:color="auto" w:fill="auto"/>
          </w:tcPr>
          <w:p w:rsidR="00DF4A42" w:rsidRPr="00493F20" w:rsidRDefault="00493F20" w:rsidP="00DF4A42">
            <w:pPr>
              <w:widowControl/>
              <w:autoSpaceDE w:val="0"/>
              <w:autoSpaceDN w:val="0"/>
              <w:adjustRightInd w:val="0"/>
              <w:rPr>
                <w:sz w:val="20"/>
                <w:lang w:eastAsia="de-DE"/>
              </w:rPr>
            </w:pPr>
            <w:r>
              <w:rPr>
                <w:sz w:val="20"/>
                <w:lang w:eastAsia="de-DE"/>
              </w:rPr>
              <w:t xml:space="preserve">Ψευδομεμβρανώδης εντεροκολίτιδα </w:t>
            </w:r>
            <w:r w:rsidR="00DF4A42" w:rsidRPr="00493F20">
              <w:rPr>
                <w:sz w:val="20"/>
                <w:vertAlign w:val="superscript"/>
                <w:lang w:eastAsia="de-DE"/>
              </w:rPr>
              <w:t>2</w:t>
            </w:r>
          </w:p>
          <w:p w:rsidR="00DF4A42" w:rsidRPr="00493F20" w:rsidRDefault="00DF4A42" w:rsidP="00DF4A42">
            <w:pPr>
              <w:widowControl/>
              <w:rPr>
                <w:iCs/>
                <w:sz w:val="20"/>
                <w:lang w:eastAsia="de-DE"/>
              </w:rPr>
            </w:pPr>
          </w:p>
        </w:tc>
      </w:tr>
      <w:tr w:rsidR="00DF4A42" w:rsidRPr="00DF4A42" w:rsidTr="00112A6B">
        <w:tc>
          <w:tcPr>
            <w:tcW w:w="1560" w:type="dxa"/>
            <w:shd w:val="clear" w:color="auto" w:fill="auto"/>
          </w:tcPr>
          <w:p w:rsidR="00DF4A42" w:rsidRPr="00493F20" w:rsidRDefault="00493F20" w:rsidP="00493F20">
            <w:pPr>
              <w:widowControl/>
              <w:rPr>
                <w:sz w:val="20"/>
                <w:u w:val="single"/>
                <w:lang w:eastAsia="de-DE"/>
              </w:rPr>
            </w:pPr>
            <w:r>
              <w:rPr>
                <w:sz w:val="20"/>
                <w:u w:val="single"/>
                <w:lang w:eastAsia="de-DE"/>
              </w:rPr>
              <w:t xml:space="preserve">Διαταραχές των νεφρών και των ουροφόρων οδών </w:t>
            </w:r>
          </w:p>
        </w:tc>
        <w:tc>
          <w:tcPr>
            <w:tcW w:w="1276" w:type="dxa"/>
            <w:shd w:val="clear" w:color="auto" w:fill="auto"/>
          </w:tcPr>
          <w:p w:rsidR="00DF4A42" w:rsidRPr="00493F20" w:rsidRDefault="00DF4A42" w:rsidP="00DF4A42">
            <w:pPr>
              <w:widowControl/>
              <w:rPr>
                <w:iCs/>
                <w:sz w:val="20"/>
                <w:lang w:eastAsia="de-DE"/>
              </w:rPr>
            </w:pPr>
          </w:p>
        </w:tc>
        <w:tc>
          <w:tcPr>
            <w:tcW w:w="1417" w:type="dxa"/>
            <w:shd w:val="clear" w:color="auto" w:fill="auto"/>
          </w:tcPr>
          <w:p w:rsidR="00DF4A42" w:rsidRPr="00493F20" w:rsidRDefault="00DF4A42" w:rsidP="00DF4A42">
            <w:pPr>
              <w:widowControl/>
              <w:rPr>
                <w:iCs/>
                <w:sz w:val="20"/>
                <w:lang w:eastAsia="de-DE"/>
              </w:rPr>
            </w:pPr>
          </w:p>
        </w:tc>
        <w:tc>
          <w:tcPr>
            <w:tcW w:w="1559" w:type="dxa"/>
            <w:shd w:val="clear" w:color="auto" w:fill="auto"/>
          </w:tcPr>
          <w:p w:rsidR="00DF4A42" w:rsidRPr="0088754F" w:rsidRDefault="00493F20" w:rsidP="00493F20">
            <w:pPr>
              <w:widowControl/>
              <w:rPr>
                <w:sz w:val="20"/>
                <w:lang w:eastAsia="de-DE"/>
              </w:rPr>
            </w:pPr>
            <w:r>
              <w:rPr>
                <w:sz w:val="20"/>
                <w:lang w:eastAsia="de-DE"/>
              </w:rPr>
              <w:t>Ολιγουρία</w:t>
            </w:r>
            <w:r w:rsidRPr="00493F20">
              <w:rPr>
                <w:sz w:val="20"/>
                <w:lang w:eastAsia="de-DE"/>
              </w:rPr>
              <w:t xml:space="preserve">, </w:t>
            </w:r>
            <w:r>
              <w:rPr>
                <w:sz w:val="20"/>
                <w:lang w:eastAsia="de-DE"/>
              </w:rPr>
              <w:t>αύξηση</w:t>
            </w:r>
            <w:r w:rsidRPr="00493F20">
              <w:rPr>
                <w:sz w:val="20"/>
                <w:lang w:eastAsia="de-DE"/>
              </w:rPr>
              <w:t xml:space="preserve"> </w:t>
            </w:r>
            <w:r>
              <w:rPr>
                <w:sz w:val="20"/>
                <w:lang w:eastAsia="de-DE"/>
              </w:rPr>
              <w:t>της</w:t>
            </w:r>
            <w:r w:rsidRPr="00493F20">
              <w:rPr>
                <w:sz w:val="20"/>
                <w:lang w:eastAsia="de-DE"/>
              </w:rPr>
              <w:t xml:space="preserve"> </w:t>
            </w:r>
            <w:r>
              <w:rPr>
                <w:sz w:val="20"/>
                <w:lang w:eastAsia="de-DE"/>
              </w:rPr>
              <w:t xml:space="preserve">κρεατινίνης στον ορό. </w:t>
            </w:r>
          </w:p>
        </w:tc>
        <w:tc>
          <w:tcPr>
            <w:tcW w:w="1701" w:type="dxa"/>
            <w:shd w:val="clear" w:color="auto" w:fill="auto"/>
          </w:tcPr>
          <w:p w:rsidR="00DF4A42" w:rsidRPr="00DF4A42" w:rsidRDefault="00493F20" w:rsidP="00493F20">
            <w:pPr>
              <w:widowControl/>
              <w:rPr>
                <w:iCs/>
                <w:sz w:val="20"/>
                <w:lang w:val="en-GB" w:eastAsia="de-DE"/>
              </w:rPr>
            </w:pPr>
            <w:r>
              <w:rPr>
                <w:sz w:val="20"/>
                <w:lang w:eastAsia="de-DE"/>
              </w:rPr>
              <w:t>Ιζήματα</w:t>
            </w:r>
            <w:r w:rsidRPr="00493F20">
              <w:rPr>
                <w:sz w:val="20"/>
                <w:lang w:eastAsia="de-DE"/>
              </w:rPr>
              <w:t xml:space="preserve"> </w:t>
            </w:r>
            <w:r>
              <w:rPr>
                <w:sz w:val="20"/>
                <w:lang w:eastAsia="de-DE"/>
              </w:rPr>
              <w:t>της</w:t>
            </w:r>
            <w:r w:rsidRPr="00493F20">
              <w:rPr>
                <w:sz w:val="20"/>
                <w:lang w:eastAsia="de-DE"/>
              </w:rPr>
              <w:t xml:space="preserve"> </w:t>
            </w:r>
            <w:r>
              <w:rPr>
                <w:sz w:val="20"/>
                <w:lang w:eastAsia="de-DE"/>
              </w:rPr>
              <w:t>κεφτριαξόνης</w:t>
            </w:r>
            <w:r w:rsidRPr="00493F20">
              <w:rPr>
                <w:sz w:val="20"/>
                <w:lang w:eastAsia="de-DE"/>
              </w:rPr>
              <w:t xml:space="preserve"> </w:t>
            </w:r>
            <w:r>
              <w:rPr>
                <w:sz w:val="20"/>
                <w:lang w:eastAsia="de-DE"/>
              </w:rPr>
              <w:t>στα</w:t>
            </w:r>
            <w:r w:rsidRPr="00493F20">
              <w:rPr>
                <w:sz w:val="20"/>
                <w:lang w:eastAsia="de-DE"/>
              </w:rPr>
              <w:t xml:space="preserve"> </w:t>
            </w:r>
            <w:r>
              <w:rPr>
                <w:sz w:val="20"/>
                <w:lang w:eastAsia="de-DE"/>
              </w:rPr>
              <w:t>νεφρά</w:t>
            </w:r>
            <w:r w:rsidRPr="00493F20">
              <w:rPr>
                <w:sz w:val="20"/>
                <w:lang w:eastAsia="de-DE"/>
              </w:rPr>
              <w:t xml:space="preserve"> </w:t>
            </w:r>
            <w:r>
              <w:rPr>
                <w:sz w:val="20"/>
                <w:lang w:eastAsia="de-DE"/>
              </w:rPr>
              <w:t>σε</w:t>
            </w:r>
            <w:r w:rsidRPr="00493F20">
              <w:rPr>
                <w:sz w:val="20"/>
                <w:lang w:eastAsia="de-DE"/>
              </w:rPr>
              <w:t xml:space="preserve"> </w:t>
            </w:r>
            <w:r>
              <w:rPr>
                <w:sz w:val="20"/>
                <w:lang w:eastAsia="de-DE"/>
              </w:rPr>
              <w:t>παιδιά</w:t>
            </w:r>
            <w:r w:rsidRPr="00493F20">
              <w:rPr>
                <w:sz w:val="20"/>
                <w:lang w:eastAsia="de-DE"/>
              </w:rPr>
              <w:t xml:space="preserve"> </w:t>
            </w:r>
            <w:r>
              <w:rPr>
                <w:sz w:val="20"/>
                <w:lang w:eastAsia="de-DE"/>
              </w:rPr>
              <w:t>μεγαλύτερα</w:t>
            </w:r>
            <w:r w:rsidRPr="00493F20">
              <w:rPr>
                <w:sz w:val="20"/>
                <w:lang w:eastAsia="de-DE"/>
              </w:rPr>
              <w:t xml:space="preserve"> </w:t>
            </w:r>
            <w:r>
              <w:rPr>
                <w:sz w:val="20"/>
                <w:lang w:eastAsia="de-DE"/>
              </w:rPr>
              <w:t>από</w:t>
            </w:r>
            <w:r w:rsidRPr="00493F20">
              <w:rPr>
                <w:sz w:val="20"/>
                <w:lang w:eastAsia="de-DE"/>
              </w:rPr>
              <w:t xml:space="preserve"> 3 </w:t>
            </w:r>
            <w:r>
              <w:rPr>
                <w:sz w:val="20"/>
                <w:lang w:eastAsia="de-DE"/>
              </w:rPr>
              <w:t xml:space="preserve">ετών. </w:t>
            </w:r>
            <w:r w:rsidR="00DF4A42" w:rsidRPr="00DF4A42">
              <w:rPr>
                <w:sz w:val="20"/>
                <w:vertAlign w:val="superscript"/>
                <w:lang w:val="en-GB" w:eastAsia="de-DE"/>
              </w:rPr>
              <w:t>3</w:t>
            </w:r>
          </w:p>
        </w:tc>
        <w:tc>
          <w:tcPr>
            <w:tcW w:w="1560" w:type="dxa"/>
            <w:shd w:val="clear" w:color="auto" w:fill="auto"/>
          </w:tcPr>
          <w:p w:rsidR="00DF4A42" w:rsidRPr="00DF4A42" w:rsidRDefault="00DF4A42" w:rsidP="00DF4A42">
            <w:pPr>
              <w:widowControl/>
              <w:autoSpaceDE w:val="0"/>
              <w:autoSpaceDN w:val="0"/>
              <w:adjustRightInd w:val="0"/>
              <w:rPr>
                <w:sz w:val="20"/>
                <w:lang w:val="en-GB" w:eastAsia="de-DE"/>
              </w:rPr>
            </w:pPr>
          </w:p>
        </w:tc>
      </w:tr>
      <w:tr w:rsidR="00DF4A42" w:rsidRPr="0088754F" w:rsidTr="00112A6B">
        <w:tc>
          <w:tcPr>
            <w:tcW w:w="1560" w:type="dxa"/>
            <w:shd w:val="clear" w:color="auto" w:fill="auto"/>
          </w:tcPr>
          <w:p w:rsidR="00DF4A42" w:rsidRPr="0015735E" w:rsidRDefault="0015735E" w:rsidP="00DF4A42">
            <w:pPr>
              <w:widowControl/>
              <w:autoSpaceDE w:val="0"/>
              <w:autoSpaceDN w:val="0"/>
              <w:adjustRightInd w:val="0"/>
              <w:rPr>
                <w:sz w:val="20"/>
                <w:u w:val="single"/>
                <w:lang w:eastAsia="de-DE"/>
              </w:rPr>
            </w:pPr>
            <w:r>
              <w:rPr>
                <w:sz w:val="20"/>
                <w:u w:val="single"/>
                <w:lang w:eastAsia="de-DE"/>
              </w:rPr>
              <w:t>Λοιμώξεις και παρασιτώσεις</w:t>
            </w:r>
          </w:p>
          <w:p w:rsidR="00DF4A42" w:rsidRPr="00DF4A42" w:rsidRDefault="00DF4A42" w:rsidP="00DF4A42">
            <w:pPr>
              <w:widowControl/>
              <w:rPr>
                <w:sz w:val="20"/>
                <w:u w:val="single"/>
                <w:lang w:val="en-GB" w:eastAsia="de-DE"/>
              </w:rPr>
            </w:pPr>
          </w:p>
        </w:tc>
        <w:tc>
          <w:tcPr>
            <w:tcW w:w="1276" w:type="dxa"/>
            <w:shd w:val="clear" w:color="auto" w:fill="auto"/>
          </w:tcPr>
          <w:p w:rsidR="00DF4A42" w:rsidRPr="00DF4A42" w:rsidRDefault="00DF4A42" w:rsidP="00DF4A42">
            <w:pPr>
              <w:widowControl/>
              <w:rPr>
                <w:iCs/>
                <w:sz w:val="20"/>
                <w:lang w:val="en-GB" w:eastAsia="de-DE"/>
              </w:rPr>
            </w:pPr>
          </w:p>
        </w:tc>
        <w:tc>
          <w:tcPr>
            <w:tcW w:w="1417" w:type="dxa"/>
            <w:shd w:val="clear" w:color="auto" w:fill="auto"/>
          </w:tcPr>
          <w:p w:rsidR="00DF4A42" w:rsidRPr="00DF4A42" w:rsidRDefault="00DF4A42" w:rsidP="00DF4A42">
            <w:pPr>
              <w:widowControl/>
              <w:rPr>
                <w:iCs/>
                <w:sz w:val="20"/>
                <w:lang w:val="en-GB" w:eastAsia="de-DE"/>
              </w:rPr>
            </w:pPr>
          </w:p>
        </w:tc>
        <w:tc>
          <w:tcPr>
            <w:tcW w:w="1559" w:type="dxa"/>
            <w:shd w:val="clear" w:color="auto" w:fill="auto"/>
          </w:tcPr>
          <w:p w:rsidR="00DF4A42" w:rsidRPr="0088754F" w:rsidRDefault="0015735E" w:rsidP="0015735E">
            <w:pPr>
              <w:widowControl/>
              <w:autoSpaceDE w:val="0"/>
              <w:autoSpaceDN w:val="0"/>
              <w:adjustRightInd w:val="0"/>
              <w:rPr>
                <w:sz w:val="20"/>
                <w:lang w:eastAsia="de-DE"/>
              </w:rPr>
            </w:pPr>
            <w:r>
              <w:rPr>
                <w:sz w:val="20"/>
                <w:lang w:eastAsia="de-DE"/>
              </w:rPr>
              <w:t>Μυκητιάσεις</w:t>
            </w:r>
            <w:r w:rsidRPr="0088754F">
              <w:rPr>
                <w:sz w:val="20"/>
                <w:lang w:eastAsia="de-DE"/>
              </w:rPr>
              <w:t xml:space="preserve"> </w:t>
            </w:r>
            <w:r>
              <w:rPr>
                <w:sz w:val="20"/>
                <w:lang w:eastAsia="de-DE"/>
              </w:rPr>
              <w:t>γεννητικών</w:t>
            </w:r>
            <w:r w:rsidRPr="0088754F">
              <w:rPr>
                <w:sz w:val="20"/>
                <w:lang w:eastAsia="de-DE"/>
              </w:rPr>
              <w:t xml:space="preserve"> </w:t>
            </w:r>
            <w:r>
              <w:rPr>
                <w:sz w:val="20"/>
                <w:lang w:eastAsia="de-DE"/>
              </w:rPr>
              <w:t>οργάνων</w:t>
            </w:r>
            <w:r w:rsidRPr="0088754F">
              <w:rPr>
                <w:sz w:val="20"/>
                <w:lang w:eastAsia="de-DE"/>
              </w:rPr>
              <w:t xml:space="preserve">, </w:t>
            </w:r>
            <w:r>
              <w:rPr>
                <w:sz w:val="20"/>
                <w:lang w:eastAsia="de-DE"/>
              </w:rPr>
              <w:t>Υπερλοιμώξεις</w:t>
            </w:r>
            <w:r w:rsidRPr="0088754F">
              <w:rPr>
                <w:sz w:val="20"/>
                <w:lang w:eastAsia="de-DE"/>
              </w:rPr>
              <w:t xml:space="preserve"> </w:t>
            </w:r>
            <w:r>
              <w:rPr>
                <w:sz w:val="20"/>
                <w:lang w:eastAsia="de-DE"/>
              </w:rPr>
              <w:t>με</w:t>
            </w:r>
            <w:r w:rsidRPr="0088754F">
              <w:rPr>
                <w:sz w:val="20"/>
                <w:lang w:eastAsia="de-DE"/>
              </w:rPr>
              <w:t xml:space="preserve"> </w:t>
            </w:r>
            <w:r>
              <w:rPr>
                <w:sz w:val="20"/>
                <w:lang w:eastAsia="de-DE"/>
              </w:rPr>
              <w:t>μη</w:t>
            </w:r>
            <w:r w:rsidRPr="0088754F">
              <w:rPr>
                <w:sz w:val="20"/>
                <w:lang w:eastAsia="de-DE"/>
              </w:rPr>
              <w:t xml:space="preserve"> </w:t>
            </w:r>
            <w:r>
              <w:rPr>
                <w:sz w:val="20"/>
                <w:lang w:eastAsia="de-DE"/>
              </w:rPr>
              <w:t>ευαίσθητους</w:t>
            </w:r>
            <w:r w:rsidRPr="0088754F">
              <w:rPr>
                <w:sz w:val="20"/>
                <w:lang w:eastAsia="de-DE"/>
              </w:rPr>
              <w:t xml:space="preserve"> </w:t>
            </w:r>
            <w:r>
              <w:rPr>
                <w:sz w:val="20"/>
                <w:lang w:eastAsia="de-DE"/>
              </w:rPr>
              <w:t>μικροοργανισμο</w:t>
            </w:r>
            <w:r>
              <w:rPr>
                <w:sz w:val="20"/>
                <w:lang w:eastAsia="de-DE"/>
              </w:rPr>
              <w:lastRenderedPageBreak/>
              <w:t>ύς</w:t>
            </w:r>
            <w:r w:rsidRPr="0088754F">
              <w:rPr>
                <w:sz w:val="20"/>
                <w:lang w:eastAsia="de-DE"/>
              </w:rPr>
              <w:t xml:space="preserve">. </w:t>
            </w:r>
          </w:p>
        </w:tc>
        <w:tc>
          <w:tcPr>
            <w:tcW w:w="1701" w:type="dxa"/>
            <w:shd w:val="clear" w:color="auto" w:fill="auto"/>
          </w:tcPr>
          <w:p w:rsidR="00DF4A42" w:rsidRPr="0088754F" w:rsidRDefault="00DF4A42" w:rsidP="00DF4A42">
            <w:pPr>
              <w:widowControl/>
              <w:rPr>
                <w:iCs/>
                <w:sz w:val="20"/>
                <w:lang w:eastAsia="de-DE"/>
              </w:rPr>
            </w:pPr>
          </w:p>
        </w:tc>
        <w:tc>
          <w:tcPr>
            <w:tcW w:w="1560" w:type="dxa"/>
            <w:shd w:val="clear" w:color="auto" w:fill="auto"/>
          </w:tcPr>
          <w:p w:rsidR="00DF4A42" w:rsidRPr="0088754F" w:rsidRDefault="00DF4A42" w:rsidP="00DF4A42">
            <w:pPr>
              <w:widowControl/>
              <w:autoSpaceDE w:val="0"/>
              <w:autoSpaceDN w:val="0"/>
              <w:adjustRightInd w:val="0"/>
              <w:rPr>
                <w:sz w:val="20"/>
                <w:lang w:eastAsia="de-DE"/>
              </w:rPr>
            </w:pPr>
          </w:p>
        </w:tc>
      </w:tr>
      <w:tr w:rsidR="00DF4A42" w:rsidRPr="0088754F" w:rsidTr="00112A6B">
        <w:tc>
          <w:tcPr>
            <w:tcW w:w="1560" w:type="dxa"/>
            <w:shd w:val="clear" w:color="auto" w:fill="auto"/>
          </w:tcPr>
          <w:p w:rsidR="00DF4A42" w:rsidRPr="0015735E" w:rsidRDefault="0015735E" w:rsidP="00DF4A42">
            <w:pPr>
              <w:widowControl/>
              <w:rPr>
                <w:sz w:val="20"/>
                <w:u w:val="single"/>
                <w:lang w:eastAsia="de-DE"/>
              </w:rPr>
            </w:pPr>
            <w:r w:rsidRPr="0015735E">
              <w:rPr>
                <w:sz w:val="20"/>
                <w:u w:val="single"/>
                <w:lang w:eastAsia="de-DE"/>
              </w:rPr>
              <w:lastRenderedPageBreak/>
              <w:t>Γενικές διαταραχές και καταστάσεις της οδού χορήγησης</w:t>
            </w:r>
          </w:p>
        </w:tc>
        <w:tc>
          <w:tcPr>
            <w:tcW w:w="1276" w:type="dxa"/>
            <w:shd w:val="clear" w:color="auto" w:fill="auto"/>
          </w:tcPr>
          <w:p w:rsidR="00DF4A42" w:rsidRPr="0015735E" w:rsidRDefault="00DF4A42" w:rsidP="00DF4A42">
            <w:pPr>
              <w:widowControl/>
              <w:autoSpaceDE w:val="0"/>
              <w:autoSpaceDN w:val="0"/>
              <w:adjustRightInd w:val="0"/>
              <w:rPr>
                <w:sz w:val="20"/>
                <w:lang w:eastAsia="de-DE"/>
              </w:rPr>
            </w:pPr>
          </w:p>
        </w:tc>
        <w:tc>
          <w:tcPr>
            <w:tcW w:w="1417" w:type="dxa"/>
            <w:shd w:val="clear" w:color="auto" w:fill="auto"/>
          </w:tcPr>
          <w:p w:rsidR="00DF4A42" w:rsidRPr="0088754F" w:rsidRDefault="0015735E" w:rsidP="0088754F">
            <w:pPr>
              <w:widowControl/>
              <w:autoSpaceDE w:val="0"/>
              <w:autoSpaceDN w:val="0"/>
              <w:adjustRightInd w:val="0"/>
              <w:rPr>
                <w:rFonts w:ascii="Arial" w:hAnsi="Arial"/>
                <w:sz w:val="20"/>
                <w:lang w:eastAsia="de-DE"/>
              </w:rPr>
            </w:pPr>
            <w:r>
              <w:rPr>
                <w:sz w:val="20"/>
                <w:lang w:eastAsia="de-DE"/>
              </w:rPr>
              <w:t>Φλεβίτιδα</w:t>
            </w:r>
            <w:r w:rsidRPr="0015735E">
              <w:rPr>
                <w:sz w:val="20"/>
                <w:lang w:eastAsia="de-DE"/>
              </w:rPr>
              <w:t xml:space="preserve"> </w:t>
            </w:r>
            <w:r>
              <w:rPr>
                <w:sz w:val="20"/>
                <w:lang w:eastAsia="de-DE"/>
              </w:rPr>
              <w:t>η</w:t>
            </w:r>
            <w:r w:rsidRPr="0015735E">
              <w:rPr>
                <w:sz w:val="20"/>
                <w:lang w:eastAsia="de-DE"/>
              </w:rPr>
              <w:t xml:space="preserve"> </w:t>
            </w:r>
            <w:r>
              <w:rPr>
                <w:sz w:val="20"/>
                <w:lang w:eastAsia="de-DE"/>
              </w:rPr>
              <w:t>οποία</w:t>
            </w:r>
            <w:r w:rsidRPr="0015735E">
              <w:rPr>
                <w:sz w:val="20"/>
                <w:lang w:eastAsia="de-DE"/>
              </w:rPr>
              <w:t xml:space="preserve"> </w:t>
            </w:r>
            <w:r>
              <w:rPr>
                <w:sz w:val="20"/>
                <w:lang w:eastAsia="de-DE"/>
              </w:rPr>
              <w:t>ακολουθεί</w:t>
            </w:r>
            <w:r w:rsidRPr="0015735E">
              <w:rPr>
                <w:sz w:val="20"/>
                <w:lang w:eastAsia="de-DE"/>
              </w:rPr>
              <w:t xml:space="preserve"> </w:t>
            </w:r>
            <w:r>
              <w:rPr>
                <w:sz w:val="20"/>
                <w:lang w:eastAsia="de-DE"/>
              </w:rPr>
              <w:t>την</w:t>
            </w:r>
            <w:r w:rsidRPr="0015735E">
              <w:rPr>
                <w:sz w:val="20"/>
                <w:lang w:eastAsia="de-DE"/>
              </w:rPr>
              <w:t xml:space="preserve"> </w:t>
            </w:r>
            <w:r>
              <w:rPr>
                <w:sz w:val="20"/>
                <w:lang w:eastAsia="de-DE"/>
              </w:rPr>
              <w:t>ενδοφλέβια</w:t>
            </w:r>
            <w:r w:rsidRPr="0015735E">
              <w:rPr>
                <w:sz w:val="20"/>
                <w:lang w:eastAsia="de-DE"/>
              </w:rPr>
              <w:t xml:space="preserve"> </w:t>
            </w:r>
            <w:r>
              <w:rPr>
                <w:sz w:val="20"/>
                <w:lang w:eastAsia="de-DE"/>
              </w:rPr>
              <w:t>χορήγηση</w:t>
            </w:r>
            <w:r w:rsidRPr="0015735E">
              <w:rPr>
                <w:sz w:val="20"/>
                <w:lang w:eastAsia="de-DE"/>
              </w:rPr>
              <w:t xml:space="preserve"> </w:t>
            </w:r>
            <w:r>
              <w:rPr>
                <w:sz w:val="20"/>
                <w:lang w:eastAsia="de-DE"/>
              </w:rPr>
              <w:t>η</w:t>
            </w:r>
            <w:r w:rsidRPr="0015735E">
              <w:rPr>
                <w:sz w:val="20"/>
                <w:lang w:eastAsia="de-DE"/>
              </w:rPr>
              <w:t xml:space="preserve"> </w:t>
            </w:r>
            <w:r>
              <w:rPr>
                <w:sz w:val="20"/>
                <w:lang w:eastAsia="de-DE"/>
              </w:rPr>
              <w:t>οποία</w:t>
            </w:r>
            <w:r w:rsidRPr="0015735E">
              <w:rPr>
                <w:sz w:val="20"/>
                <w:lang w:eastAsia="de-DE"/>
              </w:rPr>
              <w:t xml:space="preserve"> </w:t>
            </w:r>
            <w:r>
              <w:rPr>
                <w:sz w:val="20"/>
                <w:lang w:eastAsia="de-DE"/>
              </w:rPr>
              <w:t>μπορεί</w:t>
            </w:r>
            <w:r w:rsidRPr="0015735E">
              <w:rPr>
                <w:sz w:val="20"/>
                <w:lang w:eastAsia="de-DE"/>
              </w:rPr>
              <w:t xml:space="preserve"> </w:t>
            </w:r>
            <w:r>
              <w:rPr>
                <w:sz w:val="20"/>
                <w:lang w:eastAsia="de-DE"/>
              </w:rPr>
              <w:t>να</w:t>
            </w:r>
            <w:r w:rsidRPr="0015735E">
              <w:rPr>
                <w:sz w:val="20"/>
                <w:lang w:eastAsia="de-DE"/>
              </w:rPr>
              <w:t xml:space="preserve"> </w:t>
            </w:r>
            <w:r w:rsidR="0088754F">
              <w:rPr>
                <w:sz w:val="20"/>
                <w:lang w:eastAsia="de-DE"/>
              </w:rPr>
              <w:t>ελαττωθεί με αργή</w:t>
            </w:r>
            <w:r>
              <w:rPr>
                <w:sz w:val="20"/>
                <w:lang w:eastAsia="de-DE"/>
              </w:rPr>
              <w:t xml:space="preserve"> ένεση (περισσότερο από 2-4 λεπτά). Πόνος</w:t>
            </w:r>
            <w:r w:rsidRPr="0088754F">
              <w:rPr>
                <w:sz w:val="20"/>
                <w:lang w:eastAsia="de-DE"/>
              </w:rPr>
              <w:t xml:space="preserve"> </w:t>
            </w:r>
            <w:r w:rsidR="009949C4">
              <w:rPr>
                <w:sz w:val="20"/>
                <w:lang w:eastAsia="de-DE"/>
              </w:rPr>
              <w:t>στο</w:t>
            </w:r>
            <w:r w:rsidR="009949C4" w:rsidRPr="0088754F">
              <w:rPr>
                <w:sz w:val="20"/>
                <w:lang w:eastAsia="de-DE"/>
              </w:rPr>
              <w:t xml:space="preserve"> </w:t>
            </w:r>
            <w:r w:rsidR="009949C4">
              <w:rPr>
                <w:sz w:val="20"/>
                <w:lang w:eastAsia="de-DE"/>
              </w:rPr>
              <w:t>σημείο</w:t>
            </w:r>
            <w:r w:rsidR="009949C4" w:rsidRPr="0088754F">
              <w:rPr>
                <w:sz w:val="20"/>
                <w:lang w:eastAsia="de-DE"/>
              </w:rPr>
              <w:t xml:space="preserve"> </w:t>
            </w:r>
            <w:r w:rsidR="009949C4">
              <w:rPr>
                <w:sz w:val="20"/>
                <w:lang w:eastAsia="de-DE"/>
              </w:rPr>
              <w:t>χορήγησης</w:t>
            </w:r>
            <w:r w:rsidR="009949C4" w:rsidRPr="0088754F">
              <w:rPr>
                <w:sz w:val="20"/>
                <w:lang w:eastAsia="de-DE"/>
              </w:rPr>
              <w:t xml:space="preserve">. </w:t>
            </w:r>
            <w:r w:rsidR="0088754F" w:rsidRPr="0088754F">
              <w:rPr>
                <w:sz w:val="20"/>
                <w:vertAlign w:val="superscript"/>
                <w:lang w:eastAsia="de-DE"/>
              </w:rPr>
              <w:t>4</w:t>
            </w:r>
          </w:p>
        </w:tc>
        <w:tc>
          <w:tcPr>
            <w:tcW w:w="1559" w:type="dxa"/>
            <w:shd w:val="clear" w:color="auto" w:fill="auto"/>
          </w:tcPr>
          <w:p w:rsidR="00DF4A42" w:rsidRPr="0088754F" w:rsidRDefault="00DF4A42" w:rsidP="00DF4A42">
            <w:pPr>
              <w:widowControl/>
              <w:rPr>
                <w:sz w:val="20"/>
                <w:lang w:eastAsia="de-DE"/>
              </w:rPr>
            </w:pPr>
          </w:p>
        </w:tc>
        <w:tc>
          <w:tcPr>
            <w:tcW w:w="1701" w:type="dxa"/>
            <w:shd w:val="clear" w:color="auto" w:fill="auto"/>
          </w:tcPr>
          <w:p w:rsidR="00DF4A42" w:rsidRPr="0088754F" w:rsidRDefault="00DF4A42" w:rsidP="00DF4A42">
            <w:pPr>
              <w:widowControl/>
              <w:rPr>
                <w:iCs/>
                <w:sz w:val="20"/>
                <w:lang w:eastAsia="de-DE"/>
              </w:rPr>
            </w:pPr>
          </w:p>
        </w:tc>
        <w:tc>
          <w:tcPr>
            <w:tcW w:w="1560" w:type="dxa"/>
            <w:shd w:val="clear" w:color="auto" w:fill="auto"/>
          </w:tcPr>
          <w:p w:rsidR="00DF4A42" w:rsidRPr="0088754F" w:rsidRDefault="00DF4A42" w:rsidP="00DF4A42">
            <w:pPr>
              <w:widowControl/>
              <w:autoSpaceDE w:val="0"/>
              <w:autoSpaceDN w:val="0"/>
              <w:adjustRightInd w:val="0"/>
              <w:rPr>
                <w:sz w:val="20"/>
                <w:lang w:eastAsia="de-DE"/>
              </w:rPr>
            </w:pPr>
          </w:p>
        </w:tc>
      </w:tr>
      <w:tr w:rsidR="00DF4A42" w:rsidRPr="0088754F" w:rsidTr="00112A6B">
        <w:tc>
          <w:tcPr>
            <w:tcW w:w="1560" w:type="dxa"/>
            <w:shd w:val="clear" w:color="auto" w:fill="auto"/>
          </w:tcPr>
          <w:p w:rsidR="00DF4A42" w:rsidRPr="00DF4A42" w:rsidRDefault="00445926" w:rsidP="00DF4A42">
            <w:pPr>
              <w:widowControl/>
              <w:rPr>
                <w:sz w:val="20"/>
                <w:u w:val="single"/>
                <w:lang w:val="en-GB" w:eastAsia="de-DE"/>
              </w:rPr>
            </w:pPr>
            <w:r w:rsidRPr="00445926">
              <w:rPr>
                <w:sz w:val="20"/>
                <w:u w:val="single"/>
                <w:lang w:val="en-GB" w:eastAsia="de-DE"/>
              </w:rPr>
              <w:t>Διαταραχές του ανοσοποιητικού συστήματος</w:t>
            </w:r>
          </w:p>
        </w:tc>
        <w:tc>
          <w:tcPr>
            <w:tcW w:w="1276" w:type="dxa"/>
            <w:shd w:val="clear" w:color="auto" w:fill="auto"/>
          </w:tcPr>
          <w:p w:rsidR="00DF4A42" w:rsidRPr="00D36B98" w:rsidRDefault="00DF4A42" w:rsidP="00DF4A42">
            <w:pPr>
              <w:widowControl/>
              <w:autoSpaceDE w:val="0"/>
              <w:autoSpaceDN w:val="0"/>
              <w:adjustRightInd w:val="0"/>
              <w:rPr>
                <w:sz w:val="20"/>
                <w:lang w:eastAsia="de-DE"/>
              </w:rPr>
            </w:pPr>
          </w:p>
        </w:tc>
        <w:tc>
          <w:tcPr>
            <w:tcW w:w="1417" w:type="dxa"/>
            <w:shd w:val="clear" w:color="auto" w:fill="auto"/>
          </w:tcPr>
          <w:p w:rsidR="00DF4A42" w:rsidRPr="000A01A5" w:rsidRDefault="00D36B98" w:rsidP="00DF4A42">
            <w:pPr>
              <w:widowControl/>
              <w:autoSpaceDE w:val="0"/>
              <w:autoSpaceDN w:val="0"/>
              <w:adjustRightInd w:val="0"/>
              <w:rPr>
                <w:sz w:val="20"/>
                <w:lang w:eastAsia="de-DE"/>
              </w:rPr>
            </w:pPr>
            <w:r>
              <w:rPr>
                <w:sz w:val="20"/>
                <w:lang w:eastAsia="de-DE"/>
              </w:rPr>
              <w:t>Αλλεργικές</w:t>
            </w:r>
            <w:r w:rsidRPr="00A325CE">
              <w:rPr>
                <w:sz w:val="20"/>
                <w:lang w:eastAsia="de-DE"/>
              </w:rPr>
              <w:t xml:space="preserve"> </w:t>
            </w:r>
            <w:r>
              <w:rPr>
                <w:sz w:val="20"/>
                <w:lang w:eastAsia="de-DE"/>
              </w:rPr>
              <w:t>αντιδράσεις</w:t>
            </w:r>
            <w:r w:rsidRPr="00A325CE">
              <w:rPr>
                <w:sz w:val="20"/>
                <w:lang w:eastAsia="de-DE"/>
              </w:rPr>
              <w:t xml:space="preserve"> (</w:t>
            </w:r>
            <w:r>
              <w:rPr>
                <w:sz w:val="20"/>
                <w:lang w:eastAsia="de-DE"/>
              </w:rPr>
              <w:t>π</w:t>
            </w:r>
            <w:r w:rsidRPr="00A325CE">
              <w:rPr>
                <w:sz w:val="20"/>
                <w:lang w:eastAsia="de-DE"/>
              </w:rPr>
              <w:t>.</w:t>
            </w:r>
            <w:r>
              <w:rPr>
                <w:sz w:val="20"/>
                <w:lang w:eastAsia="de-DE"/>
              </w:rPr>
              <w:t>χ</w:t>
            </w:r>
            <w:r w:rsidRPr="00A325CE">
              <w:rPr>
                <w:sz w:val="20"/>
                <w:lang w:eastAsia="de-DE"/>
              </w:rPr>
              <w:t xml:space="preserve"> </w:t>
            </w:r>
            <w:r>
              <w:rPr>
                <w:sz w:val="20"/>
                <w:lang w:eastAsia="de-DE"/>
              </w:rPr>
              <w:t>δερματίτιδα</w:t>
            </w:r>
            <w:r w:rsidRPr="00A325CE">
              <w:rPr>
                <w:sz w:val="20"/>
                <w:lang w:eastAsia="de-DE"/>
              </w:rPr>
              <w:t xml:space="preserve">, </w:t>
            </w:r>
            <w:r w:rsidR="00A325CE" w:rsidRPr="00A325CE">
              <w:rPr>
                <w:sz w:val="20"/>
                <w:lang w:eastAsia="de-DE"/>
              </w:rPr>
              <w:t>,</w:t>
            </w:r>
            <w:r w:rsidR="00A325CE">
              <w:rPr>
                <w:sz w:val="20"/>
                <w:lang w:eastAsia="de-DE"/>
              </w:rPr>
              <w:t>κνίδωση, εξάνθημα), κνησμός, οιδηματώδης πρήξιμο του δέρματος και των αρθρώσεων.</w:t>
            </w:r>
            <w:r w:rsidR="00A325CE" w:rsidRPr="00A325CE">
              <w:rPr>
                <w:sz w:val="20"/>
                <w:vertAlign w:val="superscript"/>
                <w:lang w:eastAsia="de-DE"/>
              </w:rPr>
              <w:t xml:space="preserve"> </w:t>
            </w:r>
            <w:r w:rsidR="00DF4A42" w:rsidRPr="000A01A5">
              <w:rPr>
                <w:sz w:val="20"/>
                <w:vertAlign w:val="superscript"/>
                <w:lang w:eastAsia="de-DE"/>
              </w:rPr>
              <w:t>5</w:t>
            </w:r>
          </w:p>
          <w:p w:rsidR="00DF4A42" w:rsidRPr="000A01A5" w:rsidRDefault="00A325CE" w:rsidP="00DF4A42">
            <w:pPr>
              <w:widowControl/>
              <w:autoSpaceDE w:val="0"/>
              <w:autoSpaceDN w:val="0"/>
              <w:adjustRightInd w:val="0"/>
              <w:rPr>
                <w:sz w:val="20"/>
                <w:lang w:eastAsia="de-DE"/>
              </w:rPr>
            </w:pPr>
            <w:r>
              <w:rPr>
                <w:iCs/>
                <w:color w:val="000000"/>
                <w:sz w:val="20"/>
                <w:lang w:eastAsia="de-DE"/>
              </w:rPr>
              <w:t>Φαρμακευτικός πυρετός, ρίγη</w:t>
            </w:r>
          </w:p>
        </w:tc>
        <w:tc>
          <w:tcPr>
            <w:tcW w:w="1559" w:type="dxa"/>
            <w:shd w:val="clear" w:color="auto" w:fill="auto"/>
          </w:tcPr>
          <w:p w:rsidR="00DF4A42" w:rsidRPr="00DF4A42" w:rsidRDefault="00DF4A42" w:rsidP="00DF4A42">
            <w:pPr>
              <w:widowControl/>
              <w:rPr>
                <w:sz w:val="20"/>
                <w:lang w:val="en-GB" w:eastAsia="de-DE"/>
              </w:rPr>
            </w:pPr>
          </w:p>
        </w:tc>
        <w:tc>
          <w:tcPr>
            <w:tcW w:w="1701" w:type="dxa"/>
            <w:shd w:val="clear" w:color="auto" w:fill="auto"/>
          </w:tcPr>
          <w:p w:rsidR="00495818" w:rsidRDefault="00495818" w:rsidP="00DF4A42">
            <w:pPr>
              <w:widowControl/>
              <w:autoSpaceDE w:val="0"/>
              <w:autoSpaceDN w:val="0"/>
              <w:adjustRightInd w:val="0"/>
              <w:rPr>
                <w:sz w:val="20"/>
                <w:lang w:eastAsia="de-DE"/>
              </w:rPr>
            </w:pPr>
            <w:r>
              <w:rPr>
                <w:sz w:val="20"/>
                <w:lang w:eastAsia="de-DE"/>
              </w:rPr>
              <w:t>Σοβαρές</w:t>
            </w:r>
            <w:r w:rsidRPr="00495818">
              <w:rPr>
                <w:sz w:val="20"/>
                <w:lang w:eastAsia="de-DE"/>
              </w:rPr>
              <w:t xml:space="preserve"> </w:t>
            </w:r>
            <w:r>
              <w:rPr>
                <w:sz w:val="20"/>
                <w:lang w:eastAsia="de-DE"/>
              </w:rPr>
              <w:t>οξείες</w:t>
            </w:r>
            <w:r w:rsidRPr="00495818">
              <w:rPr>
                <w:sz w:val="20"/>
                <w:lang w:eastAsia="de-DE"/>
              </w:rPr>
              <w:t xml:space="preserve"> </w:t>
            </w:r>
            <w:r>
              <w:rPr>
                <w:sz w:val="20"/>
                <w:lang w:eastAsia="de-DE"/>
              </w:rPr>
              <w:t>αντιδράσεις</w:t>
            </w:r>
            <w:r w:rsidRPr="00495818">
              <w:rPr>
                <w:sz w:val="20"/>
                <w:lang w:eastAsia="de-DE"/>
              </w:rPr>
              <w:t xml:space="preserve"> </w:t>
            </w:r>
            <w:r>
              <w:rPr>
                <w:sz w:val="20"/>
                <w:lang w:eastAsia="de-DE"/>
              </w:rPr>
              <w:t>υπερευαισθησίας</w:t>
            </w:r>
            <w:r w:rsidRPr="00495818">
              <w:rPr>
                <w:sz w:val="20"/>
                <w:lang w:eastAsia="de-DE"/>
              </w:rPr>
              <w:t xml:space="preserve"> </w:t>
            </w:r>
            <w:r>
              <w:rPr>
                <w:sz w:val="20"/>
                <w:lang w:eastAsia="de-DE"/>
              </w:rPr>
              <w:t>εως</w:t>
            </w:r>
            <w:r w:rsidRPr="00495818">
              <w:rPr>
                <w:sz w:val="20"/>
                <w:lang w:eastAsia="de-DE"/>
              </w:rPr>
              <w:t xml:space="preserve"> </w:t>
            </w:r>
            <w:r>
              <w:rPr>
                <w:sz w:val="20"/>
                <w:lang w:eastAsia="de-DE"/>
              </w:rPr>
              <w:t>και</w:t>
            </w:r>
            <w:r w:rsidRPr="00495818">
              <w:rPr>
                <w:sz w:val="20"/>
                <w:lang w:eastAsia="de-DE"/>
              </w:rPr>
              <w:t xml:space="preserve"> </w:t>
            </w:r>
            <w:r>
              <w:rPr>
                <w:sz w:val="20"/>
                <w:lang w:eastAsia="de-DE"/>
              </w:rPr>
              <w:t xml:space="preserve">αναφυλακτικό σοκ </w:t>
            </w:r>
          </w:p>
          <w:p w:rsidR="00DF4A42" w:rsidRPr="0088754F" w:rsidRDefault="00495818" w:rsidP="00DF4A42">
            <w:pPr>
              <w:widowControl/>
              <w:autoSpaceDE w:val="0"/>
              <w:autoSpaceDN w:val="0"/>
              <w:adjustRightInd w:val="0"/>
              <w:rPr>
                <w:sz w:val="20"/>
                <w:lang w:eastAsia="de-DE"/>
              </w:rPr>
            </w:pPr>
            <w:r>
              <w:rPr>
                <w:sz w:val="20"/>
                <w:lang w:eastAsia="de-DE"/>
              </w:rPr>
              <w:t>Σύνδρομο</w:t>
            </w:r>
            <w:r w:rsidRPr="0088754F">
              <w:rPr>
                <w:sz w:val="20"/>
                <w:lang w:eastAsia="de-DE"/>
              </w:rPr>
              <w:t xml:space="preserve"> </w:t>
            </w:r>
          </w:p>
          <w:p w:rsidR="00DF4A42" w:rsidRPr="0088754F" w:rsidRDefault="00DF4A42" w:rsidP="00DF4A42">
            <w:pPr>
              <w:widowControl/>
              <w:rPr>
                <w:sz w:val="20"/>
                <w:lang w:eastAsia="de-DE"/>
              </w:rPr>
            </w:pPr>
            <w:r w:rsidRPr="00DF4A42">
              <w:rPr>
                <w:sz w:val="20"/>
                <w:lang w:val="en-GB" w:eastAsia="de-DE"/>
              </w:rPr>
              <w:t>Lyell</w:t>
            </w:r>
            <w:r w:rsidRPr="0088754F">
              <w:rPr>
                <w:b/>
                <w:sz w:val="24"/>
                <w:szCs w:val="24"/>
                <w:lang w:eastAsia="de-DE"/>
              </w:rPr>
              <w:t xml:space="preserve"> /</w:t>
            </w:r>
            <w:r w:rsidR="00495818" w:rsidRPr="0088754F">
              <w:rPr>
                <w:b/>
                <w:sz w:val="20"/>
                <w:lang w:eastAsia="de-DE"/>
              </w:rPr>
              <w:t xml:space="preserve"> </w:t>
            </w:r>
            <w:r w:rsidR="00495818" w:rsidRPr="000A01A5">
              <w:rPr>
                <w:sz w:val="20"/>
                <w:lang w:eastAsia="de-DE"/>
              </w:rPr>
              <w:t>τοξική</w:t>
            </w:r>
            <w:r w:rsidR="00495818" w:rsidRPr="0088754F">
              <w:rPr>
                <w:sz w:val="20"/>
                <w:lang w:eastAsia="de-DE"/>
              </w:rPr>
              <w:t xml:space="preserve"> </w:t>
            </w:r>
            <w:r w:rsidR="00495818" w:rsidRPr="000A01A5">
              <w:rPr>
                <w:sz w:val="20"/>
                <w:lang w:eastAsia="de-DE"/>
              </w:rPr>
              <w:t>επιδερμόλυση</w:t>
            </w:r>
            <w:r w:rsidRPr="0088754F">
              <w:rPr>
                <w:b/>
                <w:sz w:val="24"/>
                <w:szCs w:val="24"/>
                <w:lang w:eastAsia="de-DE"/>
              </w:rPr>
              <w:t xml:space="preserve"> </w:t>
            </w:r>
            <w:r w:rsidR="00495818" w:rsidRPr="0088754F">
              <w:rPr>
                <w:b/>
                <w:sz w:val="24"/>
                <w:szCs w:val="24"/>
                <w:lang w:eastAsia="de-DE"/>
              </w:rPr>
              <w:t xml:space="preserve"> </w:t>
            </w:r>
            <w:r w:rsidRPr="00DF4A42">
              <w:rPr>
                <w:sz w:val="20"/>
                <w:lang w:val="en-GB" w:eastAsia="de-DE"/>
              </w:rPr>
              <w:t>Stevens</w:t>
            </w:r>
            <w:r w:rsidRPr="0088754F">
              <w:rPr>
                <w:sz w:val="20"/>
                <w:lang w:eastAsia="de-DE"/>
              </w:rPr>
              <w:t>-</w:t>
            </w:r>
            <w:r w:rsidRPr="00DF4A42">
              <w:rPr>
                <w:sz w:val="20"/>
                <w:lang w:val="en-GB" w:eastAsia="de-DE"/>
              </w:rPr>
              <w:t>Johnson</w:t>
            </w:r>
            <w:r w:rsidRPr="0088754F">
              <w:rPr>
                <w:sz w:val="20"/>
                <w:lang w:eastAsia="de-DE"/>
              </w:rPr>
              <w:t xml:space="preserve"> </w:t>
            </w:r>
            <w:r w:rsidR="00495818">
              <w:rPr>
                <w:sz w:val="20"/>
                <w:lang w:eastAsia="de-DE"/>
              </w:rPr>
              <w:t>σύνδρομο</w:t>
            </w:r>
            <w:r w:rsidR="00495818" w:rsidRPr="0088754F">
              <w:rPr>
                <w:sz w:val="20"/>
                <w:lang w:eastAsia="de-DE"/>
              </w:rPr>
              <w:t xml:space="preserve"> </w:t>
            </w:r>
            <w:r w:rsidR="00495818">
              <w:rPr>
                <w:sz w:val="20"/>
                <w:lang w:eastAsia="de-DE"/>
              </w:rPr>
              <w:t>ή</w:t>
            </w:r>
            <w:r w:rsidR="00495818" w:rsidRPr="0088754F">
              <w:rPr>
                <w:sz w:val="20"/>
                <w:lang w:eastAsia="de-DE"/>
              </w:rPr>
              <w:t xml:space="preserve"> </w:t>
            </w:r>
            <w:r w:rsidR="00495818">
              <w:rPr>
                <w:sz w:val="20"/>
                <w:lang w:eastAsia="de-DE"/>
              </w:rPr>
              <w:t>πολύμορφο</w:t>
            </w:r>
            <w:r w:rsidR="00495818" w:rsidRPr="0088754F">
              <w:rPr>
                <w:sz w:val="20"/>
                <w:lang w:eastAsia="de-DE"/>
              </w:rPr>
              <w:t xml:space="preserve"> </w:t>
            </w:r>
            <w:r w:rsidR="00495818">
              <w:rPr>
                <w:sz w:val="20"/>
                <w:lang w:eastAsia="de-DE"/>
              </w:rPr>
              <w:t>Ερύθημα</w:t>
            </w:r>
            <w:r w:rsidR="00495818" w:rsidRPr="0088754F">
              <w:rPr>
                <w:sz w:val="20"/>
                <w:lang w:eastAsia="de-DE"/>
              </w:rPr>
              <w:t xml:space="preserve"> </w:t>
            </w:r>
          </w:p>
          <w:p w:rsidR="00DF4A42" w:rsidRPr="0088754F" w:rsidRDefault="00DF4A42" w:rsidP="00495818">
            <w:pPr>
              <w:widowControl/>
              <w:rPr>
                <w:iCs/>
                <w:sz w:val="20"/>
                <w:lang w:eastAsia="de-DE"/>
              </w:rPr>
            </w:pPr>
            <w:r w:rsidRPr="000A01A5">
              <w:rPr>
                <w:sz w:val="20"/>
                <w:lang w:eastAsia="de-DE"/>
              </w:rPr>
              <w:t>(</w:t>
            </w:r>
            <w:r w:rsidR="00495818">
              <w:rPr>
                <w:sz w:val="20"/>
                <w:lang w:eastAsia="de-DE"/>
              </w:rPr>
              <w:t>Για</w:t>
            </w:r>
            <w:r w:rsidR="00495818" w:rsidRPr="00495818">
              <w:rPr>
                <w:sz w:val="20"/>
                <w:lang w:eastAsia="de-DE"/>
              </w:rPr>
              <w:t xml:space="preserve"> </w:t>
            </w:r>
            <w:r w:rsidR="00495818">
              <w:rPr>
                <w:sz w:val="20"/>
                <w:lang w:eastAsia="de-DE"/>
              </w:rPr>
              <w:t>επείγοντα</w:t>
            </w:r>
            <w:r w:rsidR="00495818" w:rsidRPr="00495818">
              <w:rPr>
                <w:sz w:val="20"/>
                <w:lang w:eastAsia="de-DE"/>
              </w:rPr>
              <w:t xml:space="preserve"> </w:t>
            </w:r>
            <w:r w:rsidR="00495818">
              <w:rPr>
                <w:sz w:val="20"/>
                <w:lang w:eastAsia="de-DE"/>
              </w:rPr>
              <w:t>μέτρα</w:t>
            </w:r>
            <w:r w:rsidR="00495818" w:rsidRPr="00495818">
              <w:rPr>
                <w:sz w:val="20"/>
                <w:lang w:eastAsia="de-DE"/>
              </w:rPr>
              <w:t xml:space="preserve"> </w:t>
            </w:r>
            <w:r w:rsidR="00495818">
              <w:rPr>
                <w:sz w:val="20"/>
                <w:lang w:eastAsia="de-DE"/>
              </w:rPr>
              <w:t>δείτε</w:t>
            </w:r>
            <w:r w:rsidR="00495818" w:rsidRPr="00495818">
              <w:rPr>
                <w:sz w:val="20"/>
                <w:lang w:eastAsia="de-DE"/>
              </w:rPr>
              <w:t xml:space="preserve"> </w:t>
            </w:r>
            <w:r w:rsidR="00495818">
              <w:rPr>
                <w:sz w:val="20"/>
                <w:lang w:eastAsia="de-DE"/>
              </w:rPr>
              <w:t>την</w:t>
            </w:r>
            <w:r w:rsidR="00495818" w:rsidRPr="00495818">
              <w:rPr>
                <w:sz w:val="20"/>
                <w:lang w:eastAsia="de-DE"/>
              </w:rPr>
              <w:t xml:space="preserve"> </w:t>
            </w:r>
            <w:r w:rsidR="00495818">
              <w:rPr>
                <w:sz w:val="20"/>
                <w:lang w:eastAsia="de-DE"/>
              </w:rPr>
              <w:t xml:space="preserve">ενότητα 4.4). </w:t>
            </w:r>
          </w:p>
        </w:tc>
        <w:tc>
          <w:tcPr>
            <w:tcW w:w="1560" w:type="dxa"/>
            <w:shd w:val="clear" w:color="auto" w:fill="auto"/>
          </w:tcPr>
          <w:p w:rsidR="00DF4A42" w:rsidRPr="0088754F" w:rsidRDefault="00DF4A42" w:rsidP="00DF4A42">
            <w:pPr>
              <w:widowControl/>
              <w:autoSpaceDE w:val="0"/>
              <w:autoSpaceDN w:val="0"/>
              <w:adjustRightInd w:val="0"/>
              <w:rPr>
                <w:sz w:val="20"/>
                <w:lang w:eastAsia="de-DE"/>
              </w:rPr>
            </w:pPr>
          </w:p>
        </w:tc>
      </w:tr>
      <w:tr w:rsidR="00DF4A42" w:rsidRPr="00DF4A42" w:rsidTr="00112A6B">
        <w:tc>
          <w:tcPr>
            <w:tcW w:w="1560" w:type="dxa"/>
            <w:shd w:val="clear" w:color="auto" w:fill="auto"/>
          </w:tcPr>
          <w:p w:rsidR="00DF4A42" w:rsidRPr="000A01A5" w:rsidRDefault="000A01A5" w:rsidP="00DF4A42">
            <w:pPr>
              <w:widowControl/>
              <w:autoSpaceDE w:val="0"/>
              <w:autoSpaceDN w:val="0"/>
              <w:adjustRightInd w:val="0"/>
              <w:rPr>
                <w:sz w:val="20"/>
                <w:u w:val="single"/>
                <w:lang w:eastAsia="de-DE"/>
              </w:rPr>
            </w:pPr>
            <w:r>
              <w:rPr>
                <w:sz w:val="20"/>
                <w:u w:val="single"/>
                <w:lang w:eastAsia="de-DE"/>
              </w:rPr>
              <w:t>Διαταραχές του ήπατος και των χοληφόρων</w:t>
            </w:r>
          </w:p>
          <w:p w:rsidR="00DF4A42" w:rsidRPr="000A01A5" w:rsidRDefault="00DF4A42" w:rsidP="00DF4A42">
            <w:pPr>
              <w:widowControl/>
              <w:rPr>
                <w:sz w:val="20"/>
                <w:u w:val="single"/>
                <w:lang w:eastAsia="de-DE"/>
              </w:rPr>
            </w:pPr>
          </w:p>
        </w:tc>
        <w:tc>
          <w:tcPr>
            <w:tcW w:w="1276" w:type="dxa"/>
            <w:shd w:val="clear" w:color="auto" w:fill="auto"/>
          </w:tcPr>
          <w:p w:rsidR="00DF4A42" w:rsidRPr="00405569" w:rsidRDefault="000A01A5" w:rsidP="00405569">
            <w:pPr>
              <w:widowControl/>
              <w:autoSpaceDE w:val="0"/>
              <w:autoSpaceDN w:val="0"/>
              <w:adjustRightInd w:val="0"/>
              <w:rPr>
                <w:sz w:val="20"/>
                <w:lang w:eastAsia="de-DE"/>
              </w:rPr>
            </w:pPr>
            <w:r>
              <w:rPr>
                <w:sz w:val="20"/>
                <w:lang w:eastAsia="de-DE"/>
              </w:rPr>
              <w:t>Ίζηματοποίηση</w:t>
            </w:r>
            <w:r w:rsidRPr="00405569">
              <w:rPr>
                <w:sz w:val="20"/>
                <w:lang w:eastAsia="de-DE"/>
              </w:rPr>
              <w:t xml:space="preserve"> </w:t>
            </w:r>
            <w:r>
              <w:rPr>
                <w:sz w:val="20"/>
                <w:lang w:eastAsia="de-DE"/>
              </w:rPr>
              <w:t>του</w:t>
            </w:r>
            <w:r w:rsidRPr="00405569">
              <w:rPr>
                <w:sz w:val="20"/>
                <w:lang w:eastAsia="de-DE"/>
              </w:rPr>
              <w:t xml:space="preserve"> </w:t>
            </w:r>
            <w:r>
              <w:rPr>
                <w:sz w:val="20"/>
                <w:lang w:eastAsia="de-DE"/>
              </w:rPr>
              <w:t>άλατος</w:t>
            </w:r>
            <w:r w:rsidRPr="00405569">
              <w:rPr>
                <w:sz w:val="20"/>
                <w:lang w:eastAsia="de-DE"/>
              </w:rPr>
              <w:t xml:space="preserve"> </w:t>
            </w:r>
            <w:r>
              <w:rPr>
                <w:sz w:val="20"/>
                <w:lang w:eastAsia="de-DE"/>
              </w:rPr>
              <w:t>τ</w:t>
            </w:r>
            <w:r w:rsidR="00405569">
              <w:rPr>
                <w:sz w:val="20"/>
                <w:lang w:eastAsia="de-DE"/>
              </w:rPr>
              <w:t>ης</w:t>
            </w:r>
            <w:r w:rsidR="00405569" w:rsidRPr="00405569">
              <w:rPr>
                <w:sz w:val="20"/>
                <w:lang w:eastAsia="de-DE"/>
              </w:rPr>
              <w:t xml:space="preserve"> </w:t>
            </w:r>
            <w:r w:rsidR="00405569">
              <w:rPr>
                <w:sz w:val="20"/>
                <w:lang w:eastAsia="de-DE"/>
              </w:rPr>
              <w:t>ασβεστιούχου</w:t>
            </w:r>
            <w:r w:rsidR="00405569" w:rsidRPr="00405569">
              <w:rPr>
                <w:sz w:val="20"/>
                <w:lang w:eastAsia="de-DE"/>
              </w:rPr>
              <w:t xml:space="preserve"> </w:t>
            </w:r>
            <w:r w:rsidR="00405569">
              <w:rPr>
                <w:sz w:val="20"/>
                <w:lang w:eastAsia="de-DE"/>
              </w:rPr>
              <w:t>κεφτριαξόνης</w:t>
            </w:r>
            <w:r w:rsidR="00405569" w:rsidRPr="00405569">
              <w:rPr>
                <w:sz w:val="20"/>
                <w:lang w:eastAsia="de-DE"/>
              </w:rPr>
              <w:t xml:space="preserve"> </w:t>
            </w:r>
            <w:r w:rsidR="00405569">
              <w:rPr>
                <w:sz w:val="20"/>
                <w:lang w:eastAsia="de-DE"/>
              </w:rPr>
              <w:t xml:space="preserve"> στην χοληδόχο κύστη των παιδιών</w:t>
            </w:r>
            <w:r w:rsidR="00DF4A42" w:rsidRPr="00405569">
              <w:rPr>
                <w:sz w:val="20"/>
                <w:lang w:eastAsia="de-DE"/>
              </w:rPr>
              <w:t xml:space="preserve">. </w:t>
            </w:r>
            <w:r w:rsidR="00405569">
              <w:rPr>
                <w:sz w:val="20"/>
                <w:lang w:eastAsia="de-DE"/>
              </w:rPr>
              <w:t xml:space="preserve">Αυτή η διαταραχή είναι σπάνια στους ενηλίκους </w:t>
            </w:r>
            <w:r w:rsidR="00DF4A42" w:rsidRPr="00405569">
              <w:rPr>
                <w:sz w:val="20"/>
                <w:lang w:eastAsia="de-DE"/>
              </w:rPr>
              <w:t>*</w:t>
            </w:r>
          </w:p>
        </w:tc>
        <w:tc>
          <w:tcPr>
            <w:tcW w:w="1417" w:type="dxa"/>
            <w:shd w:val="clear" w:color="auto" w:fill="auto"/>
          </w:tcPr>
          <w:p w:rsidR="00DF4A42" w:rsidRPr="00405569" w:rsidRDefault="00405569" w:rsidP="00DF4A42">
            <w:pPr>
              <w:widowControl/>
              <w:autoSpaceDE w:val="0"/>
              <w:autoSpaceDN w:val="0"/>
              <w:adjustRightInd w:val="0"/>
              <w:rPr>
                <w:sz w:val="20"/>
                <w:lang w:eastAsia="de-DE"/>
              </w:rPr>
            </w:pPr>
            <w:r>
              <w:rPr>
                <w:sz w:val="20"/>
                <w:lang w:eastAsia="de-DE"/>
              </w:rPr>
              <w:t>Αυξημένα</w:t>
            </w:r>
            <w:r w:rsidRPr="00405569">
              <w:rPr>
                <w:sz w:val="20"/>
                <w:lang w:eastAsia="de-DE"/>
              </w:rPr>
              <w:t xml:space="preserve"> </w:t>
            </w:r>
            <w:r>
              <w:rPr>
                <w:sz w:val="20"/>
                <w:lang w:eastAsia="de-DE"/>
              </w:rPr>
              <w:t>ένζυμα</w:t>
            </w:r>
            <w:r w:rsidRPr="00405569">
              <w:rPr>
                <w:sz w:val="20"/>
                <w:lang w:eastAsia="de-DE"/>
              </w:rPr>
              <w:t xml:space="preserve"> </w:t>
            </w:r>
            <w:r>
              <w:rPr>
                <w:sz w:val="20"/>
                <w:lang w:eastAsia="de-DE"/>
              </w:rPr>
              <w:t>ήπατος</w:t>
            </w:r>
            <w:r w:rsidRPr="00405569">
              <w:rPr>
                <w:sz w:val="20"/>
                <w:lang w:eastAsia="de-DE"/>
              </w:rPr>
              <w:t xml:space="preserve"> </w:t>
            </w:r>
            <w:r>
              <w:rPr>
                <w:sz w:val="20"/>
                <w:lang w:eastAsia="de-DE"/>
              </w:rPr>
              <w:t>στον</w:t>
            </w:r>
            <w:r w:rsidRPr="00405569">
              <w:rPr>
                <w:sz w:val="20"/>
                <w:lang w:eastAsia="de-DE"/>
              </w:rPr>
              <w:t xml:space="preserve"> </w:t>
            </w:r>
            <w:r>
              <w:rPr>
                <w:sz w:val="20"/>
                <w:lang w:eastAsia="de-DE"/>
              </w:rPr>
              <w:t>ορό</w:t>
            </w:r>
            <w:r w:rsidRPr="00405569">
              <w:rPr>
                <w:sz w:val="20"/>
                <w:lang w:eastAsia="de-DE"/>
              </w:rPr>
              <w:t xml:space="preserve"> (</w:t>
            </w:r>
            <w:r w:rsidR="00DF4A42" w:rsidRPr="00DF4A42">
              <w:rPr>
                <w:sz w:val="20"/>
                <w:lang w:val="en-GB" w:eastAsia="de-DE"/>
              </w:rPr>
              <w:t>AST</w:t>
            </w:r>
            <w:r w:rsidR="00DF4A42" w:rsidRPr="00405569">
              <w:rPr>
                <w:sz w:val="20"/>
                <w:lang w:eastAsia="de-DE"/>
              </w:rPr>
              <w:t xml:space="preserve">, </w:t>
            </w:r>
            <w:r w:rsidR="00DF4A42" w:rsidRPr="00DF4A42">
              <w:rPr>
                <w:sz w:val="20"/>
                <w:lang w:val="en-GB" w:eastAsia="de-DE"/>
              </w:rPr>
              <w:t>ALT</w:t>
            </w:r>
            <w:r w:rsidR="00DF4A42" w:rsidRPr="00405569">
              <w:rPr>
                <w:sz w:val="20"/>
                <w:lang w:eastAsia="de-DE"/>
              </w:rPr>
              <w:t xml:space="preserve">, </w:t>
            </w:r>
            <w:r>
              <w:rPr>
                <w:sz w:val="20"/>
                <w:lang w:eastAsia="de-DE"/>
              </w:rPr>
              <w:t>αλκαλική φωσφατάση</w:t>
            </w:r>
            <w:r w:rsidR="00DF4A42" w:rsidRPr="00405569">
              <w:rPr>
                <w:sz w:val="20"/>
                <w:lang w:eastAsia="de-DE"/>
              </w:rPr>
              <w:t>).</w:t>
            </w:r>
          </w:p>
          <w:p w:rsidR="00DF4A42" w:rsidRPr="00405569" w:rsidRDefault="00DF4A42" w:rsidP="00DF4A42">
            <w:pPr>
              <w:widowControl/>
              <w:autoSpaceDE w:val="0"/>
              <w:autoSpaceDN w:val="0"/>
              <w:adjustRightInd w:val="0"/>
              <w:rPr>
                <w:sz w:val="20"/>
                <w:lang w:eastAsia="de-DE"/>
              </w:rPr>
            </w:pPr>
          </w:p>
        </w:tc>
        <w:tc>
          <w:tcPr>
            <w:tcW w:w="1559" w:type="dxa"/>
            <w:shd w:val="clear" w:color="auto" w:fill="auto"/>
          </w:tcPr>
          <w:p w:rsidR="00DF4A42" w:rsidRPr="00405569" w:rsidRDefault="00DF4A42" w:rsidP="00DF4A42">
            <w:pPr>
              <w:widowControl/>
              <w:rPr>
                <w:sz w:val="20"/>
                <w:lang w:eastAsia="de-DE"/>
              </w:rPr>
            </w:pPr>
          </w:p>
        </w:tc>
        <w:tc>
          <w:tcPr>
            <w:tcW w:w="1701" w:type="dxa"/>
            <w:shd w:val="clear" w:color="auto" w:fill="auto"/>
          </w:tcPr>
          <w:p w:rsidR="00DF4A42" w:rsidRPr="00405569" w:rsidRDefault="00405569" w:rsidP="00DF4A42">
            <w:pPr>
              <w:widowControl/>
              <w:rPr>
                <w:iCs/>
                <w:sz w:val="20"/>
                <w:lang w:eastAsia="de-DE"/>
              </w:rPr>
            </w:pPr>
            <w:r>
              <w:rPr>
                <w:sz w:val="20"/>
                <w:lang w:eastAsia="de-DE"/>
              </w:rPr>
              <w:t>Πανγκρεατίτιδα</w:t>
            </w:r>
          </w:p>
        </w:tc>
        <w:tc>
          <w:tcPr>
            <w:tcW w:w="1560" w:type="dxa"/>
            <w:shd w:val="clear" w:color="auto" w:fill="auto"/>
          </w:tcPr>
          <w:p w:rsidR="00DF4A42" w:rsidRPr="00DF4A42" w:rsidRDefault="00DF4A42" w:rsidP="00DF4A42">
            <w:pPr>
              <w:widowControl/>
              <w:autoSpaceDE w:val="0"/>
              <w:autoSpaceDN w:val="0"/>
              <w:adjustRightInd w:val="0"/>
              <w:rPr>
                <w:sz w:val="20"/>
                <w:lang w:val="en-GB" w:eastAsia="de-DE"/>
              </w:rPr>
            </w:pPr>
          </w:p>
        </w:tc>
      </w:tr>
    </w:tbl>
    <w:p w:rsidR="00DF4A42" w:rsidRDefault="00875F33" w:rsidP="0037530F">
      <w:pPr>
        <w:rPr>
          <w:noProof/>
          <w:szCs w:val="22"/>
        </w:rPr>
      </w:pPr>
      <w:r w:rsidRPr="00FB0946">
        <w:rPr>
          <w:noProof/>
          <w:szCs w:val="22"/>
          <w:vertAlign w:val="superscript"/>
        </w:rPr>
        <w:t>1</w:t>
      </w:r>
      <w:r>
        <w:rPr>
          <w:noProof/>
          <w:szCs w:val="22"/>
        </w:rPr>
        <w:t>Αυτές οι ανεπιθύμητες ενέργειες είναι κυρίως ήπιες και συχνά υποχωρούν κατά τη διάρκεια, μετά την διακοπή της θεραπείας.</w:t>
      </w:r>
    </w:p>
    <w:p w:rsidR="00875F33" w:rsidRDefault="00875F33" w:rsidP="0037530F">
      <w:pPr>
        <w:rPr>
          <w:noProof/>
          <w:szCs w:val="22"/>
        </w:rPr>
      </w:pPr>
      <w:r w:rsidRPr="00FB0946">
        <w:rPr>
          <w:noProof/>
          <w:szCs w:val="22"/>
          <w:vertAlign w:val="superscript"/>
        </w:rPr>
        <w:t>2</w:t>
      </w:r>
      <w:r>
        <w:rPr>
          <w:noProof/>
          <w:szCs w:val="22"/>
        </w:rPr>
        <w:t xml:space="preserve"> Εάν σοβαρή, επιμένουσα διάρροια συμβεί κατά τη διάρκεια ή μετά την θεραπεία, η ψευδομεμβρανώδης κολίτιδα θα πρέπει να ληφθεί υπ’όψιν η οποία είναι μια σοβαρή, ακόμα και θανατηφόρα επιπλοκή που συχνα προκαλείται από το </w:t>
      </w:r>
      <w:r w:rsidRPr="00875F33">
        <w:rPr>
          <w:i/>
          <w:noProof/>
          <w:szCs w:val="22"/>
          <w:lang w:val="en-US"/>
        </w:rPr>
        <w:t>Clostridium</w:t>
      </w:r>
      <w:r w:rsidRPr="00875F33">
        <w:rPr>
          <w:i/>
          <w:noProof/>
          <w:szCs w:val="22"/>
        </w:rPr>
        <w:t xml:space="preserve"> </w:t>
      </w:r>
      <w:r w:rsidRPr="00875F33">
        <w:rPr>
          <w:i/>
          <w:noProof/>
          <w:szCs w:val="22"/>
          <w:lang w:val="en-US"/>
        </w:rPr>
        <w:t>difficile</w:t>
      </w:r>
      <w:r w:rsidRPr="00875F33">
        <w:rPr>
          <w:i/>
          <w:noProof/>
          <w:szCs w:val="22"/>
        </w:rPr>
        <w:t xml:space="preserve"> </w:t>
      </w:r>
      <w:r w:rsidRPr="00875F33">
        <w:rPr>
          <w:noProof/>
          <w:szCs w:val="22"/>
        </w:rPr>
        <w:t>(</w:t>
      </w:r>
      <w:r>
        <w:rPr>
          <w:noProof/>
          <w:szCs w:val="22"/>
        </w:rPr>
        <w:t>δείτε επίσης ενότητα 4.4).</w:t>
      </w:r>
    </w:p>
    <w:p w:rsidR="00875F33" w:rsidRDefault="00875F33" w:rsidP="0037530F">
      <w:pPr>
        <w:rPr>
          <w:noProof/>
          <w:szCs w:val="22"/>
        </w:rPr>
      </w:pPr>
      <w:r w:rsidRPr="00FB0946">
        <w:rPr>
          <w:noProof/>
          <w:szCs w:val="22"/>
          <w:vertAlign w:val="superscript"/>
        </w:rPr>
        <w:t>3</w:t>
      </w:r>
      <w:r>
        <w:rPr>
          <w:noProof/>
          <w:szCs w:val="22"/>
        </w:rPr>
        <w:t xml:space="preserve"> Αυτές οι ανεπιθύμητες ενέργειες σύμβαίνουν όταν χορηγηθούν είτε υψηλές δόσεις (π.χ 80</w:t>
      </w:r>
      <w:r>
        <w:rPr>
          <w:noProof/>
          <w:szCs w:val="22"/>
          <w:lang w:val="en-US"/>
        </w:rPr>
        <w:t>mg</w:t>
      </w:r>
      <w:r w:rsidRPr="00875F33">
        <w:rPr>
          <w:noProof/>
          <w:szCs w:val="22"/>
        </w:rPr>
        <w:t>/</w:t>
      </w:r>
      <w:r>
        <w:rPr>
          <w:noProof/>
          <w:szCs w:val="22"/>
          <w:lang w:val="en-US"/>
        </w:rPr>
        <w:t>kg</w:t>
      </w:r>
      <w:r w:rsidRPr="00875F33">
        <w:rPr>
          <w:noProof/>
          <w:szCs w:val="22"/>
        </w:rPr>
        <w:t xml:space="preserve"> </w:t>
      </w:r>
      <w:r>
        <w:rPr>
          <w:noProof/>
          <w:szCs w:val="22"/>
        </w:rPr>
        <w:t>ΒΣ ανά ημέρα και περισσότερο)</w:t>
      </w:r>
      <w:r w:rsidR="0080643D">
        <w:rPr>
          <w:noProof/>
          <w:szCs w:val="22"/>
        </w:rPr>
        <w:t xml:space="preserve"> ή με ολικές δόσεις πάνω από 10</w:t>
      </w:r>
      <w:r w:rsidR="0080643D">
        <w:rPr>
          <w:noProof/>
          <w:szCs w:val="22"/>
          <w:lang w:val="en-US"/>
        </w:rPr>
        <w:t>g</w:t>
      </w:r>
      <w:r w:rsidR="0080643D" w:rsidRPr="0080643D">
        <w:rPr>
          <w:noProof/>
          <w:szCs w:val="22"/>
        </w:rPr>
        <w:t xml:space="preserve"> </w:t>
      </w:r>
      <w:r w:rsidR="0080643D">
        <w:rPr>
          <w:noProof/>
          <w:szCs w:val="22"/>
        </w:rPr>
        <w:t>κεφτριαξόνης (η οποία είναι πάνω από την μέγιστη ημερήσια δόση των 4</w:t>
      </w:r>
      <w:r w:rsidR="0080643D">
        <w:rPr>
          <w:noProof/>
          <w:szCs w:val="22"/>
          <w:lang w:val="en-US"/>
        </w:rPr>
        <w:t>g</w:t>
      </w:r>
      <w:r w:rsidR="0080643D" w:rsidRPr="0080643D">
        <w:rPr>
          <w:noProof/>
          <w:szCs w:val="22"/>
        </w:rPr>
        <w:t xml:space="preserve">) </w:t>
      </w:r>
      <w:r w:rsidR="0080643D">
        <w:rPr>
          <w:noProof/>
          <w:szCs w:val="22"/>
        </w:rPr>
        <w:t>και που παρουσιάζουν διάφορους παράγοντες κινδύνου (π.χ περιορισμένη προμήθεια υγρών). Ώστόσο αυτό το σύμπτωμα είναι αναστρέψιμο μετά την διακοπή της κεφτριαξόνης.</w:t>
      </w:r>
    </w:p>
    <w:p w:rsidR="0080643D" w:rsidRDefault="0080643D" w:rsidP="0037530F">
      <w:pPr>
        <w:rPr>
          <w:noProof/>
          <w:szCs w:val="22"/>
        </w:rPr>
      </w:pPr>
      <w:r w:rsidRPr="00FB0946">
        <w:rPr>
          <w:noProof/>
          <w:szCs w:val="22"/>
          <w:vertAlign w:val="superscript"/>
        </w:rPr>
        <w:t>4</w:t>
      </w:r>
      <w:r>
        <w:rPr>
          <w:noProof/>
          <w:szCs w:val="22"/>
        </w:rPr>
        <w:t xml:space="preserve"> Σε ταχείες</w:t>
      </w:r>
      <w:r w:rsidR="00FB0946">
        <w:rPr>
          <w:noProof/>
          <w:szCs w:val="22"/>
        </w:rPr>
        <w:t xml:space="preserve"> </w:t>
      </w:r>
      <w:r>
        <w:rPr>
          <w:noProof/>
          <w:szCs w:val="22"/>
        </w:rPr>
        <w:t>αντιδράσεις ασυμβατότητας ενδοφλέβιας ένεσης όπως αίσθημα ζέστης ή ναυτία μπορεί να συμβούν τα οποία μπορεί να αποφευχθούν με την αργή ένεση (2-4 λεπτά).</w:t>
      </w:r>
    </w:p>
    <w:p w:rsidR="0080643D" w:rsidRPr="00FB0946" w:rsidRDefault="0080643D" w:rsidP="0080643D">
      <w:pPr>
        <w:rPr>
          <w:noProof/>
          <w:szCs w:val="22"/>
        </w:rPr>
      </w:pPr>
      <w:r w:rsidRPr="00FB0946">
        <w:rPr>
          <w:noProof/>
          <w:szCs w:val="22"/>
          <w:vertAlign w:val="superscript"/>
        </w:rPr>
        <w:lastRenderedPageBreak/>
        <w:t>5</w:t>
      </w:r>
      <w:r>
        <w:rPr>
          <w:noProof/>
          <w:szCs w:val="22"/>
        </w:rPr>
        <w:t xml:space="preserve">Θεραπεία της σπειροχείτωσης όπως της μπορρελίωσης κατά </w:t>
      </w:r>
      <w:r>
        <w:rPr>
          <w:noProof/>
          <w:szCs w:val="22"/>
          <w:lang w:val="en-US"/>
        </w:rPr>
        <w:t>lyme</w:t>
      </w:r>
      <w:r w:rsidRPr="0080643D">
        <w:rPr>
          <w:noProof/>
          <w:szCs w:val="22"/>
        </w:rPr>
        <w:t xml:space="preserve"> </w:t>
      </w:r>
      <w:r>
        <w:rPr>
          <w:noProof/>
          <w:szCs w:val="22"/>
        </w:rPr>
        <w:t xml:space="preserve">μπορεί να οδηγήσει σε «αντιδράσεις </w:t>
      </w:r>
      <w:r>
        <w:rPr>
          <w:noProof/>
          <w:szCs w:val="22"/>
          <w:lang w:val="en-US"/>
        </w:rPr>
        <w:t>Herxheimer</w:t>
      </w:r>
      <w:r>
        <w:rPr>
          <w:noProof/>
          <w:szCs w:val="22"/>
        </w:rPr>
        <w:t xml:space="preserve">» όπως πυρετός, ρίγη, πονοκέφαλος και πόνος αρθρώσεων. Αυτό είναι ένα επακόλουθο του βακτηριοκτόνου αποτελέσματος της κεφτριαξόνης στο </w:t>
      </w:r>
      <w:r>
        <w:rPr>
          <w:noProof/>
          <w:szCs w:val="22"/>
          <w:lang w:val="en-US"/>
        </w:rPr>
        <w:t>Borrelia</w:t>
      </w:r>
      <w:r w:rsidRPr="0080643D">
        <w:rPr>
          <w:noProof/>
          <w:szCs w:val="22"/>
        </w:rPr>
        <w:t xml:space="preserve"> </w:t>
      </w:r>
      <w:r>
        <w:rPr>
          <w:noProof/>
          <w:szCs w:val="22"/>
          <w:lang w:val="en-US"/>
        </w:rPr>
        <w:t>burgdorferi</w:t>
      </w:r>
      <w:r w:rsidRPr="0080643D">
        <w:rPr>
          <w:noProof/>
          <w:szCs w:val="22"/>
        </w:rPr>
        <w:t xml:space="preserve">. </w:t>
      </w:r>
      <w:r>
        <w:rPr>
          <w:noProof/>
          <w:szCs w:val="22"/>
        </w:rPr>
        <w:t xml:space="preserve">Οι ασθενείς ενημερώνονται ότι είναι ένα συχνό αποτέλεσμα, το οποίο είναι συνήθως αυτόπεριοριζόμενο της αντιβιοτικής θεραπείας της μπορρελίωσης κατά </w:t>
      </w:r>
      <w:r>
        <w:rPr>
          <w:noProof/>
          <w:szCs w:val="22"/>
          <w:lang w:val="en-US"/>
        </w:rPr>
        <w:t>Lyme</w:t>
      </w:r>
      <w:r w:rsidRPr="0080643D">
        <w:rPr>
          <w:noProof/>
          <w:szCs w:val="22"/>
        </w:rPr>
        <w:t>.</w:t>
      </w:r>
    </w:p>
    <w:p w:rsidR="00DE2D05" w:rsidRPr="002F5873" w:rsidRDefault="00DE2D05" w:rsidP="0080643D">
      <w:pPr>
        <w:rPr>
          <w:noProof/>
          <w:szCs w:val="22"/>
        </w:rPr>
      </w:pPr>
      <w:r>
        <w:rPr>
          <w:noProof/>
          <w:szCs w:val="22"/>
        </w:rPr>
        <w:t xml:space="preserve">Συμπτώματα όπως οι δερματικές αντιδράσεις, </w:t>
      </w:r>
      <w:r w:rsidR="002F5873">
        <w:rPr>
          <w:noProof/>
          <w:szCs w:val="22"/>
        </w:rPr>
        <w:t xml:space="preserve">κνησμός, πυρετός, λευκοπενία, αύξηση στα ένζυμα του ήπατος, αναπνευστικές διαταραχές και πόνος στις αρθρώσεις έχουν περιγραφεί συχνά μετά την παρατεταμένη θεραπεία της μπορρελίωσης κατά </w:t>
      </w:r>
      <w:r w:rsidR="002F5873">
        <w:rPr>
          <w:noProof/>
          <w:szCs w:val="22"/>
          <w:lang w:val="en-US"/>
        </w:rPr>
        <w:t>lyme</w:t>
      </w:r>
      <w:r w:rsidR="002F5873" w:rsidRPr="002F5873">
        <w:rPr>
          <w:noProof/>
          <w:szCs w:val="22"/>
        </w:rPr>
        <w:t xml:space="preserve"> </w:t>
      </w:r>
      <w:r w:rsidR="002F5873">
        <w:rPr>
          <w:noProof/>
          <w:szCs w:val="22"/>
        </w:rPr>
        <w:t xml:space="preserve">με την κεφτριαξόνη. Εν μέρει αυτές οι διαταραχές ανταποκρίνονται στα συμπτώματα της μπορρελίωσης κατά </w:t>
      </w:r>
      <w:r w:rsidR="002F5873">
        <w:rPr>
          <w:noProof/>
          <w:szCs w:val="22"/>
          <w:lang w:val="en-US"/>
        </w:rPr>
        <w:t>lyme</w:t>
      </w:r>
      <w:r w:rsidR="002F5873" w:rsidRPr="002F5873">
        <w:rPr>
          <w:noProof/>
          <w:szCs w:val="22"/>
        </w:rPr>
        <w:t>.</w:t>
      </w:r>
    </w:p>
    <w:p w:rsidR="0080643D" w:rsidRDefault="00734B8F" w:rsidP="00734B8F">
      <w:pPr>
        <w:rPr>
          <w:noProof/>
          <w:szCs w:val="22"/>
        </w:rPr>
      </w:pPr>
      <w:r w:rsidRPr="00734B8F">
        <w:rPr>
          <w:noProof/>
          <w:szCs w:val="22"/>
        </w:rPr>
        <w:t xml:space="preserve">* </w:t>
      </w:r>
      <w:r>
        <w:rPr>
          <w:noProof/>
          <w:szCs w:val="22"/>
        </w:rPr>
        <w:t>Έχουν υπάρξει αναφορές από υπερηχογραφικές ανωμαλίες στην χοληδόχο κύστη των ασθενών που τους χορηγείται κεφτριαξόνη, κάποιοι ασθενείς έχουν συμπτώματα ασθένειας της χοληδόχου κύστης. Αυτές οι ανωμαλίες εμφανίζονται στα υπερηχογραφήματα ως μια ηχώ χωρίς ακουστική σκιά ή σαν ηχώ με ακουστική  σκιά  που υπενίσσεται ένα εναιώρημα στερεών σε υγρο το οποίο μπορεί να ερμηνευθεί ως πέτρες στη χοληδόχο κύστη. Η χυμική φύση της ύλης που ανιχνεύεται με υπέρχηχογράφημα έχει καθορισθεί κυρίως σαν άλας του ασβεστίου και της κεφτριαξόνης. Η κατάσταση φαίνεται να είναι παροδική  και αναστρέψιμη  μετά την διακοπή της κεφτριαξόνης και σύσταση συντηρητικής διαχείρισης.</w:t>
      </w:r>
    </w:p>
    <w:p w:rsidR="00734B8F" w:rsidRPr="00734B8F" w:rsidRDefault="00734B8F" w:rsidP="00734B8F">
      <w:pPr>
        <w:rPr>
          <w:noProof/>
          <w:szCs w:val="22"/>
        </w:rPr>
      </w:pPr>
    </w:p>
    <w:p w:rsidR="00A6526F" w:rsidRDefault="00A6526F" w:rsidP="003E2A03">
      <w:pPr>
        <w:pStyle w:val="a7"/>
        <w:tabs>
          <w:tab w:val="left" w:pos="567"/>
        </w:tabs>
        <w:jc w:val="both"/>
        <w:rPr>
          <w:rFonts w:ascii="Times New Roman" w:hAnsi="Times New Roman" w:cs="Times New Roman"/>
          <w:sz w:val="22"/>
          <w:szCs w:val="22"/>
          <w:lang w:val="el-GR"/>
        </w:rPr>
      </w:pPr>
      <w:r>
        <w:rPr>
          <w:rFonts w:ascii="Times New Roman" w:hAnsi="Times New Roman" w:cs="Times New Roman"/>
          <w:sz w:val="22"/>
          <w:szCs w:val="22"/>
          <w:lang w:val="el-GR"/>
        </w:rPr>
        <w:t>.</w:t>
      </w:r>
    </w:p>
    <w:p w:rsidR="006766EA" w:rsidRPr="00F6248F" w:rsidRDefault="006766EA" w:rsidP="006718E7">
      <w:pPr>
        <w:autoSpaceDE w:val="0"/>
        <w:autoSpaceDN w:val="0"/>
        <w:adjustRightInd w:val="0"/>
        <w:jc w:val="both"/>
        <w:rPr>
          <w:rFonts w:cs="Arial"/>
        </w:rPr>
      </w:pPr>
    </w:p>
    <w:p w:rsidR="006766EA" w:rsidRPr="00D03312" w:rsidRDefault="006766EA" w:rsidP="006718E7">
      <w:pPr>
        <w:autoSpaceDE w:val="0"/>
        <w:autoSpaceDN w:val="0"/>
        <w:adjustRightInd w:val="0"/>
        <w:jc w:val="both"/>
        <w:rPr>
          <w:rFonts w:cs="Arial"/>
        </w:rPr>
      </w:pPr>
    </w:p>
    <w:p w:rsidR="00AF0E2A" w:rsidRPr="006F16E7" w:rsidRDefault="00AF0E2A" w:rsidP="006718E7">
      <w:pPr>
        <w:rPr>
          <w:noProof/>
        </w:rPr>
      </w:pPr>
      <w:r w:rsidRPr="006F16E7">
        <w:rPr>
          <w:b/>
          <w:noProof/>
        </w:rPr>
        <w:t>4.9</w:t>
      </w:r>
      <w:r w:rsidRPr="006F16E7">
        <w:rPr>
          <w:b/>
          <w:noProof/>
        </w:rPr>
        <w:tab/>
        <w:t>Υπερδοσολογία</w:t>
      </w:r>
    </w:p>
    <w:p w:rsidR="00AF0E2A" w:rsidRPr="006F16E7" w:rsidRDefault="00AF0E2A" w:rsidP="006718E7">
      <w:pPr>
        <w:rPr>
          <w:noProof/>
        </w:rPr>
      </w:pPr>
    </w:p>
    <w:p w:rsidR="00D03312" w:rsidRPr="006F16E7" w:rsidRDefault="006F16E7" w:rsidP="006718E7">
      <w:pPr>
        <w:autoSpaceDE w:val="0"/>
        <w:autoSpaceDN w:val="0"/>
        <w:adjustRightInd w:val="0"/>
        <w:jc w:val="both"/>
        <w:rPr>
          <w:rFonts w:cs="Arial"/>
        </w:rPr>
      </w:pPr>
      <w:r w:rsidRPr="006F16E7">
        <w:rPr>
          <w:rFonts w:cs="Arial"/>
        </w:rPr>
        <w:t xml:space="preserve">Δεν έχει αναφερθεί περίπτωση υπερδοσολογίας. </w:t>
      </w:r>
    </w:p>
    <w:p w:rsidR="00D03312" w:rsidRPr="006F16E7" w:rsidRDefault="00D03312" w:rsidP="006718E7">
      <w:pPr>
        <w:autoSpaceDE w:val="0"/>
        <w:autoSpaceDN w:val="0"/>
        <w:adjustRightInd w:val="0"/>
        <w:jc w:val="both"/>
        <w:rPr>
          <w:rFonts w:cs="Arial"/>
        </w:rPr>
      </w:pPr>
    </w:p>
    <w:p w:rsidR="00D03312" w:rsidRPr="006F16E7" w:rsidRDefault="006F16E7" w:rsidP="006718E7">
      <w:pPr>
        <w:autoSpaceDE w:val="0"/>
        <w:autoSpaceDN w:val="0"/>
        <w:adjustRightInd w:val="0"/>
        <w:jc w:val="both"/>
        <w:rPr>
          <w:rFonts w:cs="Arial"/>
          <w:u w:val="single"/>
        </w:rPr>
      </w:pPr>
      <w:r>
        <w:rPr>
          <w:rFonts w:cs="Arial"/>
          <w:u w:val="single"/>
        </w:rPr>
        <w:t>Συμπτώματα δηλητηρίασης</w:t>
      </w:r>
    </w:p>
    <w:p w:rsidR="00D03312" w:rsidRPr="006F16E7" w:rsidRDefault="00D03312" w:rsidP="006718E7">
      <w:pPr>
        <w:autoSpaceDE w:val="0"/>
        <w:autoSpaceDN w:val="0"/>
        <w:adjustRightInd w:val="0"/>
        <w:jc w:val="both"/>
        <w:rPr>
          <w:rFonts w:cs="Arial"/>
          <w:u w:val="single"/>
        </w:rPr>
      </w:pPr>
    </w:p>
    <w:p w:rsidR="00D03312" w:rsidRDefault="00D03312" w:rsidP="006718E7">
      <w:pPr>
        <w:autoSpaceDE w:val="0"/>
        <w:autoSpaceDN w:val="0"/>
        <w:adjustRightInd w:val="0"/>
        <w:jc w:val="both"/>
        <w:rPr>
          <w:rFonts w:cs="Arial"/>
        </w:rPr>
      </w:pPr>
      <w:r>
        <w:rPr>
          <w:rFonts w:cs="Arial"/>
        </w:rPr>
        <w:t>Τυπικές ενδείξεις υπερδοσολογίας μπορεί να αναμένε</w:t>
      </w:r>
      <w:r w:rsidR="006F16E7">
        <w:rPr>
          <w:rFonts w:cs="Arial"/>
        </w:rPr>
        <w:t>ται να ανταποκρίνονται στο προφί</w:t>
      </w:r>
      <w:r>
        <w:rPr>
          <w:rFonts w:cs="Arial"/>
        </w:rPr>
        <w:t>λ των ανεπιθύμητων ενεργειών.</w:t>
      </w:r>
    </w:p>
    <w:p w:rsidR="00D03312" w:rsidRDefault="00D03312" w:rsidP="006718E7">
      <w:pPr>
        <w:autoSpaceDE w:val="0"/>
        <w:autoSpaceDN w:val="0"/>
        <w:adjustRightInd w:val="0"/>
        <w:jc w:val="both"/>
        <w:rPr>
          <w:rFonts w:cs="Arial"/>
        </w:rPr>
      </w:pPr>
      <w:r>
        <w:rPr>
          <w:rFonts w:cs="Arial"/>
        </w:rPr>
        <w:t>Κολικοί εμφανίζονται πολύ σπάνια παρουσία νεφροπάθειας ή χολολιθίασης όταν χρησιμοποιούνται υψηλές δόσεις χορηγούμενες πιο συχνά και πιο γρήγορα από ότι συνιστάται.</w:t>
      </w:r>
    </w:p>
    <w:p w:rsidR="00D03312" w:rsidRPr="00823C1F" w:rsidRDefault="00D03312" w:rsidP="006718E7">
      <w:pPr>
        <w:autoSpaceDE w:val="0"/>
        <w:autoSpaceDN w:val="0"/>
        <w:adjustRightInd w:val="0"/>
        <w:jc w:val="both"/>
        <w:rPr>
          <w:rFonts w:cs="Arial"/>
        </w:rPr>
      </w:pPr>
    </w:p>
    <w:p w:rsidR="00D03312" w:rsidRDefault="00D03312" w:rsidP="006718E7">
      <w:pPr>
        <w:autoSpaceDE w:val="0"/>
        <w:autoSpaceDN w:val="0"/>
        <w:adjustRightInd w:val="0"/>
        <w:jc w:val="both"/>
        <w:rPr>
          <w:rFonts w:cs="Arial"/>
          <w:u w:val="single"/>
        </w:rPr>
      </w:pPr>
      <w:r>
        <w:rPr>
          <w:rFonts w:cs="Arial"/>
          <w:u w:val="single"/>
        </w:rPr>
        <w:t>Θεραπεία δηλητηρίασης</w:t>
      </w:r>
    </w:p>
    <w:p w:rsidR="00D03312" w:rsidRDefault="00D03312" w:rsidP="006718E7">
      <w:pPr>
        <w:autoSpaceDE w:val="0"/>
        <w:autoSpaceDN w:val="0"/>
        <w:adjustRightInd w:val="0"/>
        <w:jc w:val="both"/>
        <w:rPr>
          <w:rFonts w:cs="Arial"/>
        </w:rPr>
      </w:pPr>
      <w:r>
        <w:rPr>
          <w:rFonts w:cs="Arial"/>
        </w:rPr>
        <w:t>Η πλεονάζουσα συγκέντρωση της κεφτριαξόνης δεν μπορεί να μειωθεί με αιμοδυΐλιση ή περιτοναϊκή δυΐλιση. Δεν υπάρχει συγκεκριμένο αντίδοτο. Συνιστώνται συμπτωματικά θεραπευτικά μέτρα.</w:t>
      </w:r>
    </w:p>
    <w:p w:rsidR="00D03312" w:rsidRPr="00823C1F" w:rsidRDefault="00D03312" w:rsidP="006718E7">
      <w:pPr>
        <w:autoSpaceDE w:val="0"/>
        <w:autoSpaceDN w:val="0"/>
        <w:adjustRightInd w:val="0"/>
        <w:jc w:val="both"/>
        <w:rPr>
          <w:rFonts w:cs="Arial"/>
        </w:rPr>
      </w:pPr>
    </w:p>
    <w:p w:rsidR="00AF0E2A" w:rsidRPr="00823C1F" w:rsidRDefault="00AF0E2A" w:rsidP="006718E7">
      <w:pPr>
        <w:rPr>
          <w:noProof/>
        </w:rPr>
      </w:pPr>
    </w:p>
    <w:p w:rsidR="00AF0E2A" w:rsidRDefault="00AF0E2A" w:rsidP="006718E7">
      <w:pPr>
        <w:rPr>
          <w:noProof/>
        </w:rPr>
      </w:pPr>
      <w:r>
        <w:rPr>
          <w:b/>
          <w:noProof/>
        </w:rPr>
        <w:t>5.</w:t>
      </w:r>
      <w:r>
        <w:rPr>
          <w:b/>
          <w:noProof/>
        </w:rPr>
        <w:tab/>
        <w:t>ΦΑΡΜΑΚΟΛΟΓΙΚΕΣ ΙΔΙΟΤΗΤΕΣ</w:t>
      </w:r>
    </w:p>
    <w:p w:rsidR="00AF0E2A" w:rsidRDefault="00AF0E2A" w:rsidP="006718E7">
      <w:pPr>
        <w:rPr>
          <w:noProof/>
        </w:rPr>
      </w:pPr>
    </w:p>
    <w:p w:rsidR="00AF0E2A" w:rsidRDefault="00AF0E2A" w:rsidP="006718E7">
      <w:pPr>
        <w:rPr>
          <w:noProof/>
        </w:rPr>
      </w:pPr>
      <w:r>
        <w:rPr>
          <w:b/>
          <w:noProof/>
        </w:rPr>
        <w:t>5.1</w:t>
      </w:r>
      <w:r>
        <w:rPr>
          <w:b/>
          <w:noProof/>
        </w:rPr>
        <w:tab/>
        <w:t>Φαρμακοδυναμικές ιδιότητες</w:t>
      </w:r>
    </w:p>
    <w:p w:rsidR="00AF0E2A" w:rsidRDefault="00AF0E2A" w:rsidP="006718E7">
      <w:pPr>
        <w:rPr>
          <w:noProof/>
        </w:rPr>
      </w:pPr>
    </w:p>
    <w:p w:rsidR="006F16E7" w:rsidRPr="00823C1F" w:rsidRDefault="006F16E7" w:rsidP="003E2A03">
      <w:pPr>
        <w:jc w:val="both"/>
        <w:rPr>
          <w:bCs/>
          <w:szCs w:val="22"/>
        </w:rPr>
      </w:pPr>
      <w:r>
        <w:rPr>
          <w:bCs/>
          <w:szCs w:val="22"/>
        </w:rPr>
        <w:t>Η</w:t>
      </w:r>
      <w:r w:rsidRPr="006F16E7">
        <w:rPr>
          <w:bCs/>
          <w:szCs w:val="22"/>
        </w:rPr>
        <w:t xml:space="preserve"> </w:t>
      </w:r>
      <w:r>
        <w:rPr>
          <w:bCs/>
          <w:szCs w:val="22"/>
        </w:rPr>
        <w:t>κεφτριαξόνη</w:t>
      </w:r>
      <w:r w:rsidRPr="006F16E7">
        <w:rPr>
          <w:bCs/>
          <w:szCs w:val="22"/>
        </w:rPr>
        <w:t xml:space="preserve"> </w:t>
      </w:r>
      <w:r>
        <w:rPr>
          <w:bCs/>
          <w:szCs w:val="22"/>
        </w:rPr>
        <w:t>είναι</w:t>
      </w:r>
      <w:r w:rsidRPr="006F16E7">
        <w:rPr>
          <w:bCs/>
          <w:szCs w:val="22"/>
        </w:rPr>
        <w:t xml:space="preserve"> </w:t>
      </w:r>
      <w:r>
        <w:rPr>
          <w:bCs/>
          <w:szCs w:val="22"/>
        </w:rPr>
        <w:t xml:space="preserve">ένα ενδοφλέβια χορηγούμενο αντιβιοτικό των β-λακταμασών με βακτηριοκτόνο δράση της φαρμακοθεραπευτικής κατηγορίας των Κεφαλοσπορινών. </w:t>
      </w:r>
    </w:p>
    <w:p w:rsidR="006F16E7" w:rsidRPr="00823C1F" w:rsidRDefault="006F16E7" w:rsidP="003E2A03">
      <w:pPr>
        <w:jc w:val="both"/>
        <w:rPr>
          <w:noProof/>
        </w:rPr>
      </w:pPr>
    </w:p>
    <w:p w:rsidR="00AF0E2A" w:rsidRPr="00823C1F" w:rsidRDefault="00AF0E2A" w:rsidP="003E2A03">
      <w:pPr>
        <w:jc w:val="both"/>
        <w:rPr>
          <w:noProof/>
        </w:rPr>
      </w:pPr>
      <w:r>
        <w:rPr>
          <w:noProof/>
        </w:rPr>
        <w:t>κωδικός</w:t>
      </w:r>
      <w:r w:rsidRPr="00823C1F">
        <w:rPr>
          <w:noProof/>
        </w:rPr>
        <w:t xml:space="preserve"> </w:t>
      </w:r>
      <w:r w:rsidRPr="00D03312">
        <w:rPr>
          <w:noProof/>
          <w:lang w:val="en-US"/>
        </w:rPr>
        <w:t>ATC</w:t>
      </w:r>
      <w:r w:rsidRPr="00823C1F">
        <w:rPr>
          <w:noProof/>
        </w:rPr>
        <w:t xml:space="preserve">: </w:t>
      </w:r>
      <w:r w:rsidR="00D03312">
        <w:rPr>
          <w:lang w:val="en-GB"/>
        </w:rPr>
        <w:t>J</w:t>
      </w:r>
      <w:r w:rsidR="00D03312" w:rsidRPr="00823C1F">
        <w:t>01</w:t>
      </w:r>
      <w:r w:rsidR="00D03312">
        <w:rPr>
          <w:lang w:val="en-GB"/>
        </w:rPr>
        <w:t>DD</w:t>
      </w:r>
      <w:r w:rsidR="00D03312" w:rsidRPr="00823C1F">
        <w:t>04</w:t>
      </w:r>
    </w:p>
    <w:p w:rsidR="00AF0E2A" w:rsidRPr="00823C1F" w:rsidRDefault="00AF0E2A" w:rsidP="003E2A03">
      <w:pPr>
        <w:jc w:val="both"/>
        <w:rPr>
          <w:noProof/>
        </w:rPr>
      </w:pPr>
    </w:p>
    <w:p w:rsidR="00D03312" w:rsidRPr="006F16E7" w:rsidRDefault="00D03312" w:rsidP="003E2A03">
      <w:pPr>
        <w:ind w:left="567" w:hanging="567"/>
        <w:jc w:val="both"/>
      </w:pPr>
      <w:r w:rsidRPr="006F16E7">
        <w:t>Τρόπος δράσης:</w:t>
      </w:r>
    </w:p>
    <w:p w:rsidR="00D03312" w:rsidRPr="00FD129A" w:rsidRDefault="006F16E7" w:rsidP="003E2A03">
      <w:pPr>
        <w:numPr>
          <w:ilvl w:val="12"/>
          <w:numId w:val="0"/>
        </w:numPr>
        <w:jc w:val="both"/>
        <w:rPr>
          <w:rFonts w:cs="Arial"/>
          <w:iCs/>
          <w:color w:val="000000"/>
        </w:rPr>
      </w:pPr>
      <w:r>
        <w:rPr>
          <w:rFonts w:cs="Arial"/>
          <w:iCs/>
          <w:color w:val="000000"/>
        </w:rPr>
        <w:t>Η βακτηριοκτόνος δράση της κεφτριαξόνης είναι</w:t>
      </w:r>
      <w:r w:rsidR="00D03312">
        <w:rPr>
          <w:rFonts w:cs="Arial"/>
          <w:iCs/>
          <w:color w:val="000000"/>
        </w:rPr>
        <w:t xml:space="preserve"> αποτέλεσμα της αναστολής της σύνθεσης του βακτηριακού κυτταρικού τ</w:t>
      </w:r>
      <w:r w:rsidR="00FD129A">
        <w:rPr>
          <w:rFonts w:cs="Arial"/>
          <w:iCs/>
          <w:color w:val="000000"/>
        </w:rPr>
        <w:t>ο</w:t>
      </w:r>
      <w:r w:rsidR="00D03312">
        <w:rPr>
          <w:rFonts w:cs="Arial"/>
          <w:iCs/>
          <w:color w:val="000000"/>
        </w:rPr>
        <w:t>ιχώματος</w:t>
      </w:r>
      <w:r>
        <w:rPr>
          <w:rFonts w:cs="Arial"/>
          <w:iCs/>
          <w:color w:val="000000"/>
        </w:rPr>
        <w:t xml:space="preserve"> (κατά την διάρκεια της ανάπτυξης) που προκαλείται από την αναστολή των πρωτεινών που δεσμεύονται με την Πενικιλλίνη (</w:t>
      </w:r>
      <w:r>
        <w:rPr>
          <w:rFonts w:cs="Arial"/>
          <w:iCs/>
          <w:color w:val="000000"/>
          <w:lang w:val="en-US"/>
        </w:rPr>
        <w:t>PBPs</w:t>
      </w:r>
      <w:r w:rsidRPr="006F16E7">
        <w:rPr>
          <w:rFonts w:cs="Arial"/>
          <w:iCs/>
          <w:color w:val="000000"/>
        </w:rPr>
        <w:t xml:space="preserve">) </w:t>
      </w:r>
      <w:r>
        <w:rPr>
          <w:rFonts w:cs="Arial"/>
          <w:iCs/>
          <w:color w:val="000000"/>
        </w:rPr>
        <w:t>όπως οι τρανσπεπτιδάσες.</w:t>
      </w:r>
    </w:p>
    <w:p w:rsidR="006F16E7" w:rsidRDefault="006F16E7" w:rsidP="003E2A03">
      <w:pPr>
        <w:jc w:val="both"/>
        <w:rPr>
          <w:bCs/>
          <w:szCs w:val="22"/>
        </w:rPr>
      </w:pPr>
    </w:p>
    <w:p w:rsidR="006F16E7" w:rsidRDefault="00257A6D" w:rsidP="003E2A03">
      <w:pPr>
        <w:jc w:val="both"/>
        <w:rPr>
          <w:bCs/>
          <w:szCs w:val="22"/>
        </w:rPr>
      </w:pPr>
      <w:r>
        <w:rPr>
          <w:bCs/>
          <w:szCs w:val="22"/>
          <w:lang w:val="en-US"/>
        </w:rPr>
        <w:lastRenderedPageBreak/>
        <w:t>PK</w:t>
      </w:r>
      <w:r w:rsidRPr="00823C1F">
        <w:rPr>
          <w:bCs/>
          <w:szCs w:val="22"/>
        </w:rPr>
        <w:t>-</w:t>
      </w:r>
      <w:r>
        <w:rPr>
          <w:bCs/>
          <w:szCs w:val="22"/>
          <w:lang w:val="en-US"/>
        </w:rPr>
        <w:t>PD</w:t>
      </w:r>
      <w:r w:rsidRPr="00823C1F">
        <w:rPr>
          <w:bCs/>
          <w:szCs w:val="22"/>
        </w:rPr>
        <w:t xml:space="preserve"> </w:t>
      </w:r>
      <w:r>
        <w:rPr>
          <w:bCs/>
          <w:szCs w:val="22"/>
        </w:rPr>
        <w:t xml:space="preserve">αναλογία </w:t>
      </w:r>
    </w:p>
    <w:p w:rsidR="006F16E7" w:rsidRPr="006F16E7" w:rsidRDefault="006F16E7" w:rsidP="003E2A03">
      <w:pPr>
        <w:jc w:val="both"/>
        <w:rPr>
          <w:bCs/>
          <w:szCs w:val="22"/>
        </w:rPr>
      </w:pPr>
    </w:p>
    <w:p w:rsidR="006F16E7" w:rsidRPr="00823C1F" w:rsidRDefault="006F16E7" w:rsidP="003E2A03">
      <w:pPr>
        <w:jc w:val="both"/>
        <w:rPr>
          <w:bCs/>
          <w:szCs w:val="22"/>
        </w:rPr>
      </w:pPr>
      <w:r>
        <w:rPr>
          <w:bCs/>
          <w:szCs w:val="22"/>
        </w:rPr>
        <w:t>Το</w:t>
      </w:r>
      <w:r w:rsidRPr="006F16E7">
        <w:rPr>
          <w:bCs/>
          <w:szCs w:val="22"/>
        </w:rPr>
        <w:t xml:space="preserve"> </w:t>
      </w:r>
      <w:r>
        <w:rPr>
          <w:bCs/>
          <w:szCs w:val="22"/>
        </w:rPr>
        <w:t>εύρος</w:t>
      </w:r>
      <w:r w:rsidRPr="006F16E7">
        <w:rPr>
          <w:bCs/>
          <w:szCs w:val="22"/>
        </w:rPr>
        <w:t xml:space="preserve"> </w:t>
      </w:r>
      <w:r>
        <w:rPr>
          <w:bCs/>
          <w:szCs w:val="22"/>
        </w:rPr>
        <w:t>της</w:t>
      </w:r>
      <w:r w:rsidRPr="006F16E7">
        <w:rPr>
          <w:bCs/>
          <w:szCs w:val="22"/>
        </w:rPr>
        <w:t xml:space="preserve"> </w:t>
      </w:r>
      <w:r>
        <w:rPr>
          <w:bCs/>
          <w:szCs w:val="22"/>
        </w:rPr>
        <w:t>βακτηριοκτόνου</w:t>
      </w:r>
      <w:r w:rsidRPr="006F16E7">
        <w:rPr>
          <w:bCs/>
          <w:szCs w:val="22"/>
        </w:rPr>
        <w:t xml:space="preserve"> </w:t>
      </w:r>
      <w:r>
        <w:rPr>
          <w:bCs/>
          <w:szCs w:val="22"/>
        </w:rPr>
        <w:t>δράσης</w:t>
      </w:r>
      <w:r w:rsidRPr="006F16E7">
        <w:rPr>
          <w:bCs/>
          <w:szCs w:val="22"/>
        </w:rPr>
        <w:t xml:space="preserve"> </w:t>
      </w:r>
      <w:r>
        <w:rPr>
          <w:bCs/>
          <w:szCs w:val="22"/>
        </w:rPr>
        <w:t>εξαρτάται</w:t>
      </w:r>
      <w:r w:rsidRPr="006F16E7">
        <w:rPr>
          <w:bCs/>
          <w:szCs w:val="22"/>
        </w:rPr>
        <w:t xml:space="preserve"> </w:t>
      </w:r>
      <w:r>
        <w:rPr>
          <w:bCs/>
          <w:szCs w:val="22"/>
        </w:rPr>
        <w:t>από</w:t>
      </w:r>
      <w:r w:rsidRPr="006F16E7">
        <w:rPr>
          <w:bCs/>
          <w:szCs w:val="22"/>
        </w:rPr>
        <w:t xml:space="preserve"> </w:t>
      </w:r>
      <w:r>
        <w:rPr>
          <w:bCs/>
          <w:szCs w:val="22"/>
        </w:rPr>
        <w:t>την</w:t>
      </w:r>
      <w:r w:rsidRPr="006F16E7">
        <w:rPr>
          <w:bCs/>
          <w:szCs w:val="22"/>
        </w:rPr>
        <w:t xml:space="preserve"> </w:t>
      </w:r>
      <w:r>
        <w:rPr>
          <w:bCs/>
          <w:szCs w:val="22"/>
        </w:rPr>
        <w:t>χρονική</w:t>
      </w:r>
      <w:r w:rsidRPr="006F16E7">
        <w:rPr>
          <w:bCs/>
          <w:szCs w:val="22"/>
        </w:rPr>
        <w:t xml:space="preserve"> </w:t>
      </w:r>
      <w:r>
        <w:rPr>
          <w:bCs/>
          <w:szCs w:val="22"/>
        </w:rPr>
        <w:t>περίοδο</w:t>
      </w:r>
      <w:r w:rsidRPr="006F16E7">
        <w:rPr>
          <w:bCs/>
          <w:szCs w:val="22"/>
        </w:rPr>
        <w:t xml:space="preserve"> </w:t>
      </w:r>
      <w:r>
        <w:rPr>
          <w:bCs/>
          <w:szCs w:val="22"/>
        </w:rPr>
        <w:t>κατά την οποία τα επίπεδα στον ορό υπερβαίνουν την ελάχιστη συγκέντρωση αναστολής (</w:t>
      </w:r>
      <w:r>
        <w:rPr>
          <w:bCs/>
          <w:szCs w:val="22"/>
          <w:lang w:val="en-US"/>
        </w:rPr>
        <w:t>MIC</w:t>
      </w:r>
      <w:r w:rsidRPr="006F16E7">
        <w:rPr>
          <w:bCs/>
          <w:szCs w:val="22"/>
        </w:rPr>
        <w:t>)</w:t>
      </w:r>
      <w:r>
        <w:rPr>
          <w:bCs/>
          <w:szCs w:val="22"/>
        </w:rPr>
        <w:t xml:space="preserve"> του παθογόνου. </w:t>
      </w:r>
    </w:p>
    <w:p w:rsidR="00D03312" w:rsidRPr="00823C1F" w:rsidRDefault="00D03312" w:rsidP="003E2A03">
      <w:pPr>
        <w:numPr>
          <w:ilvl w:val="12"/>
          <w:numId w:val="0"/>
        </w:numPr>
        <w:jc w:val="both"/>
        <w:rPr>
          <w:rFonts w:cs="Arial"/>
          <w:iCs/>
          <w:color w:val="000000"/>
        </w:rPr>
      </w:pPr>
    </w:p>
    <w:p w:rsidR="00D03312" w:rsidRPr="006F16E7" w:rsidRDefault="00FD129A" w:rsidP="003E2A03">
      <w:pPr>
        <w:ind w:left="567" w:hanging="567"/>
        <w:jc w:val="both"/>
      </w:pPr>
      <w:r w:rsidRPr="006F16E7">
        <w:t>Μηχαν</w:t>
      </w:r>
      <w:r w:rsidR="009A3A0E">
        <w:t>ι</w:t>
      </w:r>
      <w:r w:rsidRPr="006F16E7">
        <w:t>σμός αντίστασης</w:t>
      </w:r>
      <w:r w:rsidR="00D03312" w:rsidRPr="006F16E7">
        <w:t>:</w:t>
      </w:r>
    </w:p>
    <w:p w:rsidR="006F16E7" w:rsidRDefault="006F16E7" w:rsidP="003E2A03">
      <w:pPr>
        <w:tabs>
          <w:tab w:val="left" w:pos="480"/>
        </w:tabs>
        <w:ind w:left="480" w:hanging="480"/>
        <w:jc w:val="both"/>
        <w:rPr>
          <w:bCs/>
          <w:szCs w:val="22"/>
        </w:rPr>
      </w:pPr>
      <w:r w:rsidRPr="00823C1F">
        <w:rPr>
          <w:bCs/>
          <w:szCs w:val="22"/>
        </w:rPr>
        <w:t>-</w:t>
      </w:r>
      <w:r w:rsidRPr="00823C1F">
        <w:rPr>
          <w:bCs/>
          <w:szCs w:val="22"/>
        </w:rPr>
        <w:tab/>
      </w:r>
      <w:r>
        <w:rPr>
          <w:bCs/>
          <w:szCs w:val="22"/>
        </w:rPr>
        <w:t>αδρανοποίηση</w:t>
      </w:r>
      <w:r w:rsidRPr="00823C1F">
        <w:rPr>
          <w:bCs/>
          <w:szCs w:val="22"/>
        </w:rPr>
        <w:t xml:space="preserve"> </w:t>
      </w:r>
      <w:r>
        <w:rPr>
          <w:bCs/>
          <w:szCs w:val="22"/>
        </w:rPr>
        <w:t>από</w:t>
      </w:r>
      <w:r w:rsidRPr="00823C1F">
        <w:rPr>
          <w:bCs/>
          <w:szCs w:val="22"/>
        </w:rPr>
        <w:t xml:space="preserve"> </w:t>
      </w:r>
      <w:r>
        <w:rPr>
          <w:bCs/>
          <w:szCs w:val="22"/>
        </w:rPr>
        <w:t>β</w:t>
      </w:r>
      <w:r w:rsidRPr="00823C1F">
        <w:rPr>
          <w:bCs/>
          <w:szCs w:val="22"/>
        </w:rPr>
        <w:t>-</w:t>
      </w:r>
      <w:r>
        <w:rPr>
          <w:bCs/>
          <w:szCs w:val="22"/>
        </w:rPr>
        <w:t>λακταμάσες</w:t>
      </w:r>
      <w:r w:rsidRPr="00823C1F">
        <w:rPr>
          <w:bCs/>
          <w:szCs w:val="22"/>
        </w:rPr>
        <w:t xml:space="preserve">. </w:t>
      </w:r>
      <w:r>
        <w:rPr>
          <w:bCs/>
          <w:szCs w:val="22"/>
        </w:rPr>
        <w:t>Η</w:t>
      </w:r>
      <w:r w:rsidRPr="00323DFE">
        <w:rPr>
          <w:bCs/>
          <w:szCs w:val="22"/>
        </w:rPr>
        <w:t xml:space="preserve"> </w:t>
      </w:r>
      <w:r>
        <w:rPr>
          <w:bCs/>
          <w:szCs w:val="22"/>
        </w:rPr>
        <w:t>κεφτριαξόνη</w:t>
      </w:r>
      <w:r w:rsidRPr="00323DFE">
        <w:rPr>
          <w:bCs/>
          <w:szCs w:val="22"/>
        </w:rPr>
        <w:t xml:space="preserve"> </w:t>
      </w:r>
      <w:r>
        <w:rPr>
          <w:bCs/>
          <w:szCs w:val="22"/>
        </w:rPr>
        <w:t>μπορεί</w:t>
      </w:r>
      <w:r w:rsidRPr="00323DFE">
        <w:rPr>
          <w:bCs/>
          <w:szCs w:val="22"/>
        </w:rPr>
        <w:t xml:space="preserve"> </w:t>
      </w:r>
      <w:r>
        <w:rPr>
          <w:bCs/>
          <w:szCs w:val="22"/>
        </w:rPr>
        <w:t>να</w:t>
      </w:r>
      <w:r w:rsidRPr="00323DFE">
        <w:rPr>
          <w:bCs/>
          <w:szCs w:val="22"/>
        </w:rPr>
        <w:t xml:space="preserve"> </w:t>
      </w:r>
      <w:r>
        <w:rPr>
          <w:bCs/>
          <w:szCs w:val="22"/>
        </w:rPr>
        <w:t>υδρολυθεί</w:t>
      </w:r>
      <w:r w:rsidRPr="00323DFE">
        <w:rPr>
          <w:bCs/>
          <w:szCs w:val="22"/>
        </w:rPr>
        <w:t xml:space="preserve"> </w:t>
      </w:r>
      <w:r>
        <w:rPr>
          <w:bCs/>
          <w:szCs w:val="22"/>
        </w:rPr>
        <w:t>από</w:t>
      </w:r>
      <w:r w:rsidRPr="00323DFE">
        <w:rPr>
          <w:bCs/>
          <w:szCs w:val="22"/>
        </w:rPr>
        <w:t xml:space="preserve"> </w:t>
      </w:r>
      <w:r>
        <w:rPr>
          <w:bCs/>
          <w:szCs w:val="22"/>
        </w:rPr>
        <w:t>κάποιες</w:t>
      </w:r>
      <w:r w:rsidRPr="00323DFE">
        <w:rPr>
          <w:bCs/>
          <w:szCs w:val="22"/>
        </w:rPr>
        <w:t xml:space="preserve"> </w:t>
      </w:r>
      <w:r>
        <w:rPr>
          <w:bCs/>
          <w:szCs w:val="22"/>
        </w:rPr>
        <w:t>β</w:t>
      </w:r>
      <w:r w:rsidRPr="00323DFE">
        <w:rPr>
          <w:bCs/>
          <w:szCs w:val="22"/>
        </w:rPr>
        <w:t>-</w:t>
      </w:r>
      <w:r>
        <w:rPr>
          <w:bCs/>
          <w:szCs w:val="22"/>
        </w:rPr>
        <w:t>λακταμάσες</w:t>
      </w:r>
      <w:r w:rsidRPr="00323DFE">
        <w:rPr>
          <w:bCs/>
          <w:szCs w:val="22"/>
        </w:rPr>
        <w:t xml:space="preserve">, </w:t>
      </w:r>
      <w:r>
        <w:rPr>
          <w:bCs/>
          <w:szCs w:val="22"/>
        </w:rPr>
        <w:t>ιδιαίτερα</w:t>
      </w:r>
      <w:r w:rsidRPr="00323DFE">
        <w:rPr>
          <w:bCs/>
          <w:szCs w:val="22"/>
        </w:rPr>
        <w:t xml:space="preserve"> </w:t>
      </w:r>
      <w:r>
        <w:rPr>
          <w:bCs/>
          <w:szCs w:val="22"/>
        </w:rPr>
        <w:t>από</w:t>
      </w:r>
      <w:r w:rsidRPr="00323DFE">
        <w:rPr>
          <w:bCs/>
          <w:szCs w:val="22"/>
        </w:rPr>
        <w:t xml:space="preserve"> </w:t>
      </w:r>
      <w:r>
        <w:rPr>
          <w:bCs/>
          <w:szCs w:val="22"/>
        </w:rPr>
        <w:t>τις</w:t>
      </w:r>
      <w:r w:rsidRPr="00323DFE">
        <w:rPr>
          <w:bCs/>
          <w:szCs w:val="22"/>
        </w:rPr>
        <w:t xml:space="preserve"> </w:t>
      </w:r>
      <w:r>
        <w:rPr>
          <w:bCs/>
          <w:szCs w:val="22"/>
        </w:rPr>
        <w:t>β</w:t>
      </w:r>
      <w:r w:rsidRPr="00323DFE">
        <w:rPr>
          <w:bCs/>
          <w:szCs w:val="22"/>
        </w:rPr>
        <w:t>-</w:t>
      </w:r>
      <w:r>
        <w:rPr>
          <w:bCs/>
          <w:szCs w:val="22"/>
        </w:rPr>
        <w:t>λακταμάσες</w:t>
      </w:r>
      <w:r w:rsidRPr="00323DFE">
        <w:rPr>
          <w:bCs/>
          <w:szCs w:val="22"/>
        </w:rPr>
        <w:t xml:space="preserve"> </w:t>
      </w:r>
      <w:r>
        <w:rPr>
          <w:bCs/>
          <w:szCs w:val="22"/>
        </w:rPr>
        <w:t>διευρημένου</w:t>
      </w:r>
      <w:r w:rsidRPr="00323DFE">
        <w:rPr>
          <w:bCs/>
          <w:szCs w:val="22"/>
        </w:rPr>
        <w:t xml:space="preserve"> </w:t>
      </w:r>
      <w:r>
        <w:rPr>
          <w:bCs/>
          <w:szCs w:val="22"/>
        </w:rPr>
        <w:t>φάσματος</w:t>
      </w:r>
      <w:r w:rsidRPr="00323DFE">
        <w:rPr>
          <w:bCs/>
          <w:szCs w:val="22"/>
        </w:rPr>
        <w:t xml:space="preserve"> (</w:t>
      </w:r>
      <w:r w:rsidRPr="001C039E">
        <w:rPr>
          <w:bCs/>
          <w:szCs w:val="22"/>
          <w:lang w:val="en-GB"/>
        </w:rPr>
        <w:t>extended</w:t>
      </w:r>
      <w:r w:rsidRPr="00323DFE">
        <w:rPr>
          <w:bCs/>
          <w:szCs w:val="22"/>
        </w:rPr>
        <w:t>-</w:t>
      </w:r>
      <w:r w:rsidRPr="001C039E">
        <w:rPr>
          <w:bCs/>
          <w:szCs w:val="22"/>
          <w:lang w:val="en-GB"/>
        </w:rPr>
        <w:t>spectrum</w:t>
      </w:r>
      <w:r w:rsidRPr="00323DFE">
        <w:rPr>
          <w:bCs/>
          <w:szCs w:val="22"/>
        </w:rPr>
        <w:t xml:space="preserve"> β-</w:t>
      </w:r>
      <w:r w:rsidRPr="001C039E">
        <w:rPr>
          <w:bCs/>
          <w:szCs w:val="22"/>
          <w:lang w:val="en-GB"/>
        </w:rPr>
        <w:t>lactamases</w:t>
      </w:r>
      <w:r w:rsidRPr="00323DFE">
        <w:rPr>
          <w:bCs/>
          <w:szCs w:val="22"/>
        </w:rPr>
        <w:t>-</w:t>
      </w:r>
      <w:r>
        <w:rPr>
          <w:bCs/>
          <w:szCs w:val="22"/>
          <w:lang w:val="en-US"/>
        </w:rPr>
        <w:t>ESBLs</w:t>
      </w:r>
      <w:r w:rsidRPr="00323DFE">
        <w:rPr>
          <w:bCs/>
          <w:szCs w:val="22"/>
        </w:rPr>
        <w:t xml:space="preserve">) </w:t>
      </w:r>
      <w:r>
        <w:rPr>
          <w:bCs/>
          <w:szCs w:val="22"/>
        </w:rPr>
        <w:t>οι</w:t>
      </w:r>
      <w:r w:rsidRPr="00323DFE">
        <w:rPr>
          <w:bCs/>
          <w:szCs w:val="22"/>
        </w:rPr>
        <w:t xml:space="preserve"> </w:t>
      </w:r>
      <w:r>
        <w:rPr>
          <w:bCs/>
          <w:szCs w:val="22"/>
        </w:rPr>
        <w:t>οποίες</w:t>
      </w:r>
      <w:r w:rsidRPr="00323DFE">
        <w:rPr>
          <w:bCs/>
          <w:szCs w:val="22"/>
        </w:rPr>
        <w:t xml:space="preserve"> </w:t>
      </w:r>
      <w:r>
        <w:rPr>
          <w:bCs/>
          <w:szCs w:val="22"/>
        </w:rPr>
        <w:t>μπορούν</w:t>
      </w:r>
      <w:r w:rsidRPr="00323DFE">
        <w:rPr>
          <w:bCs/>
          <w:szCs w:val="22"/>
        </w:rPr>
        <w:t xml:space="preserve"> </w:t>
      </w:r>
      <w:r>
        <w:rPr>
          <w:bCs/>
          <w:szCs w:val="22"/>
        </w:rPr>
        <w:t>να</w:t>
      </w:r>
      <w:r w:rsidRPr="00323DFE">
        <w:rPr>
          <w:bCs/>
          <w:szCs w:val="22"/>
        </w:rPr>
        <w:t xml:space="preserve"> </w:t>
      </w:r>
      <w:r>
        <w:rPr>
          <w:bCs/>
          <w:szCs w:val="22"/>
        </w:rPr>
        <w:t>βρεθούν</w:t>
      </w:r>
      <w:r w:rsidRPr="00323DFE">
        <w:rPr>
          <w:bCs/>
          <w:szCs w:val="22"/>
        </w:rPr>
        <w:t xml:space="preserve"> </w:t>
      </w:r>
      <w:r>
        <w:rPr>
          <w:bCs/>
          <w:szCs w:val="22"/>
        </w:rPr>
        <w:t>σε</w:t>
      </w:r>
      <w:r w:rsidRPr="00323DFE">
        <w:rPr>
          <w:bCs/>
          <w:szCs w:val="22"/>
        </w:rPr>
        <w:t xml:space="preserve"> </w:t>
      </w:r>
      <w:r>
        <w:rPr>
          <w:bCs/>
          <w:szCs w:val="22"/>
        </w:rPr>
        <w:t>είδη</w:t>
      </w:r>
      <w:r w:rsidRPr="00323DFE">
        <w:rPr>
          <w:bCs/>
          <w:szCs w:val="22"/>
        </w:rPr>
        <w:t xml:space="preserve"> </w:t>
      </w:r>
      <w:r>
        <w:rPr>
          <w:bCs/>
          <w:szCs w:val="22"/>
        </w:rPr>
        <w:t>των</w:t>
      </w:r>
      <w:r w:rsidRPr="00323DFE">
        <w:rPr>
          <w:bCs/>
          <w:szCs w:val="22"/>
        </w:rPr>
        <w:t xml:space="preserve"> </w:t>
      </w:r>
      <w:r w:rsidRPr="001C039E">
        <w:rPr>
          <w:bCs/>
          <w:i/>
          <w:szCs w:val="22"/>
          <w:lang w:val="en-GB"/>
        </w:rPr>
        <w:t>Escherichia</w:t>
      </w:r>
      <w:r w:rsidRPr="00323DFE">
        <w:rPr>
          <w:bCs/>
          <w:i/>
          <w:szCs w:val="22"/>
        </w:rPr>
        <w:t xml:space="preserve"> </w:t>
      </w:r>
      <w:r w:rsidRPr="001C039E">
        <w:rPr>
          <w:bCs/>
          <w:i/>
          <w:szCs w:val="22"/>
          <w:lang w:val="en-GB"/>
        </w:rPr>
        <w:t>coli</w:t>
      </w:r>
      <w:r w:rsidRPr="00323DFE">
        <w:rPr>
          <w:bCs/>
          <w:szCs w:val="22"/>
        </w:rPr>
        <w:t xml:space="preserve"> </w:t>
      </w:r>
      <w:r>
        <w:rPr>
          <w:bCs/>
          <w:szCs w:val="22"/>
        </w:rPr>
        <w:t>ή</w:t>
      </w:r>
      <w:r w:rsidRPr="00323DFE">
        <w:rPr>
          <w:bCs/>
          <w:szCs w:val="22"/>
        </w:rPr>
        <w:t xml:space="preserve"> </w:t>
      </w:r>
      <w:r>
        <w:rPr>
          <w:bCs/>
          <w:szCs w:val="22"/>
        </w:rPr>
        <w:t>των</w:t>
      </w:r>
      <w:r w:rsidRPr="00323DFE">
        <w:rPr>
          <w:bCs/>
          <w:szCs w:val="22"/>
        </w:rPr>
        <w:t xml:space="preserve"> </w:t>
      </w:r>
      <w:r w:rsidRPr="001C039E">
        <w:rPr>
          <w:bCs/>
          <w:i/>
          <w:szCs w:val="22"/>
          <w:lang w:val="en-GB"/>
        </w:rPr>
        <w:t>Klebsiella</w:t>
      </w:r>
      <w:r w:rsidRPr="00323DFE">
        <w:rPr>
          <w:bCs/>
          <w:i/>
          <w:szCs w:val="22"/>
        </w:rPr>
        <w:t xml:space="preserve"> </w:t>
      </w:r>
      <w:r w:rsidRPr="001C039E">
        <w:rPr>
          <w:bCs/>
          <w:i/>
          <w:szCs w:val="22"/>
          <w:lang w:val="en-GB"/>
        </w:rPr>
        <w:t>pneumoniae</w:t>
      </w:r>
      <w:r w:rsidRPr="00323DFE">
        <w:rPr>
          <w:bCs/>
          <w:szCs w:val="22"/>
        </w:rPr>
        <w:t xml:space="preserve">, </w:t>
      </w:r>
      <w:r>
        <w:rPr>
          <w:bCs/>
          <w:szCs w:val="22"/>
        </w:rPr>
        <w:t>ή</w:t>
      </w:r>
      <w:r w:rsidRPr="00323DFE">
        <w:rPr>
          <w:bCs/>
          <w:szCs w:val="22"/>
        </w:rPr>
        <w:t xml:space="preserve"> </w:t>
      </w:r>
      <w:r w:rsidR="00303BAB">
        <w:rPr>
          <w:bCs/>
          <w:szCs w:val="22"/>
        </w:rPr>
        <w:t xml:space="preserve">από </w:t>
      </w:r>
      <w:r w:rsidR="00323DFE">
        <w:rPr>
          <w:bCs/>
          <w:szCs w:val="22"/>
        </w:rPr>
        <w:t>χρωμοσωμικά</w:t>
      </w:r>
      <w:r w:rsidR="00323DFE" w:rsidRPr="00323DFE">
        <w:rPr>
          <w:bCs/>
          <w:szCs w:val="22"/>
        </w:rPr>
        <w:t xml:space="preserve"> </w:t>
      </w:r>
      <w:r w:rsidR="00323DFE">
        <w:rPr>
          <w:bCs/>
          <w:szCs w:val="22"/>
        </w:rPr>
        <w:t>κωδικοποιημένες</w:t>
      </w:r>
      <w:r w:rsidR="00323DFE" w:rsidRPr="00323DFE">
        <w:rPr>
          <w:bCs/>
          <w:szCs w:val="22"/>
        </w:rPr>
        <w:t xml:space="preserve"> </w:t>
      </w:r>
      <w:r w:rsidR="00323DFE">
        <w:rPr>
          <w:bCs/>
          <w:szCs w:val="22"/>
        </w:rPr>
        <w:t>ή</w:t>
      </w:r>
      <w:r w:rsidR="00323DFE" w:rsidRPr="00323DFE">
        <w:rPr>
          <w:bCs/>
          <w:szCs w:val="22"/>
        </w:rPr>
        <w:t xml:space="preserve"> </w:t>
      </w:r>
      <w:r w:rsidR="00323DFE">
        <w:rPr>
          <w:bCs/>
          <w:szCs w:val="22"/>
        </w:rPr>
        <w:t>δομικές</w:t>
      </w:r>
      <w:r w:rsidR="00323DFE" w:rsidRPr="00323DFE">
        <w:rPr>
          <w:bCs/>
          <w:szCs w:val="22"/>
        </w:rPr>
        <w:t xml:space="preserve"> </w:t>
      </w:r>
      <w:r w:rsidR="00323DFE">
        <w:rPr>
          <w:bCs/>
          <w:szCs w:val="22"/>
        </w:rPr>
        <w:t>β</w:t>
      </w:r>
      <w:r w:rsidR="00323DFE" w:rsidRPr="00323DFE">
        <w:rPr>
          <w:bCs/>
          <w:szCs w:val="22"/>
        </w:rPr>
        <w:t>-</w:t>
      </w:r>
      <w:r w:rsidR="00323DFE">
        <w:rPr>
          <w:bCs/>
          <w:szCs w:val="22"/>
        </w:rPr>
        <w:t>λακταμάσες</w:t>
      </w:r>
      <w:r w:rsidR="00323DFE" w:rsidRPr="00323DFE">
        <w:rPr>
          <w:bCs/>
          <w:szCs w:val="22"/>
        </w:rPr>
        <w:t xml:space="preserve"> </w:t>
      </w:r>
      <w:r w:rsidR="00323DFE">
        <w:rPr>
          <w:bCs/>
          <w:szCs w:val="22"/>
        </w:rPr>
        <w:t>του</w:t>
      </w:r>
      <w:r w:rsidR="00323DFE" w:rsidRPr="00323DFE">
        <w:rPr>
          <w:bCs/>
          <w:szCs w:val="22"/>
        </w:rPr>
        <w:t xml:space="preserve"> </w:t>
      </w:r>
      <w:r w:rsidR="00323DFE">
        <w:rPr>
          <w:bCs/>
          <w:szCs w:val="22"/>
        </w:rPr>
        <w:t>τύπου</w:t>
      </w:r>
      <w:r w:rsidR="00323DFE" w:rsidRPr="00323DFE">
        <w:rPr>
          <w:bCs/>
          <w:szCs w:val="22"/>
        </w:rPr>
        <w:t xml:space="preserve"> </w:t>
      </w:r>
      <w:r w:rsidR="00323DFE" w:rsidRPr="001C039E">
        <w:rPr>
          <w:bCs/>
          <w:szCs w:val="22"/>
          <w:lang w:val="en-GB"/>
        </w:rPr>
        <w:t>AmpC</w:t>
      </w:r>
      <w:r w:rsidR="00323DFE" w:rsidRPr="00323DFE">
        <w:rPr>
          <w:bCs/>
          <w:szCs w:val="22"/>
        </w:rPr>
        <w:t xml:space="preserve"> </w:t>
      </w:r>
      <w:r w:rsidR="00323DFE">
        <w:rPr>
          <w:bCs/>
          <w:szCs w:val="22"/>
        </w:rPr>
        <w:t>οι</w:t>
      </w:r>
      <w:r w:rsidR="00323DFE" w:rsidRPr="00323DFE">
        <w:rPr>
          <w:bCs/>
          <w:szCs w:val="22"/>
        </w:rPr>
        <w:t xml:space="preserve"> </w:t>
      </w:r>
      <w:r w:rsidR="00323DFE">
        <w:rPr>
          <w:bCs/>
          <w:szCs w:val="22"/>
        </w:rPr>
        <w:t>οποίες</w:t>
      </w:r>
      <w:r w:rsidR="00323DFE" w:rsidRPr="00323DFE">
        <w:rPr>
          <w:bCs/>
          <w:szCs w:val="22"/>
        </w:rPr>
        <w:t xml:space="preserve"> </w:t>
      </w:r>
      <w:r w:rsidR="00323DFE">
        <w:rPr>
          <w:bCs/>
          <w:szCs w:val="22"/>
        </w:rPr>
        <w:t>μπορούν</w:t>
      </w:r>
      <w:r w:rsidR="00323DFE" w:rsidRPr="00323DFE">
        <w:rPr>
          <w:bCs/>
          <w:szCs w:val="22"/>
        </w:rPr>
        <w:t xml:space="preserve"> </w:t>
      </w:r>
      <w:r w:rsidR="00323DFE">
        <w:rPr>
          <w:bCs/>
          <w:szCs w:val="22"/>
        </w:rPr>
        <w:t>να</w:t>
      </w:r>
      <w:r w:rsidR="00323DFE" w:rsidRPr="00323DFE">
        <w:rPr>
          <w:bCs/>
          <w:szCs w:val="22"/>
        </w:rPr>
        <w:t xml:space="preserve"> </w:t>
      </w:r>
      <w:r w:rsidR="00323DFE">
        <w:rPr>
          <w:bCs/>
          <w:szCs w:val="22"/>
        </w:rPr>
        <w:t>ανιχνευθούν</w:t>
      </w:r>
      <w:r w:rsidR="00323DFE" w:rsidRPr="00323DFE">
        <w:rPr>
          <w:bCs/>
          <w:szCs w:val="22"/>
        </w:rPr>
        <w:t xml:space="preserve"> </w:t>
      </w:r>
      <w:r w:rsidR="00323DFE">
        <w:rPr>
          <w:bCs/>
          <w:szCs w:val="22"/>
        </w:rPr>
        <w:t>στο</w:t>
      </w:r>
      <w:r w:rsidR="00323DFE" w:rsidRPr="00323DFE">
        <w:rPr>
          <w:bCs/>
          <w:szCs w:val="22"/>
        </w:rPr>
        <w:t xml:space="preserve"> </w:t>
      </w:r>
      <w:r w:rsidR="00323DFE" w:rsidRPr="001C039E">
        <w:rPr>
          <w:bCs/>
          <w:i/>
          <w:szCs w:val="22"/>
          <w:lang w:val="en-GB"/>
        </w:rPr>
        <w:t>Enterobacter</w:t>
      </w:r>
      <w:r w:rsidR="00323DFE" w:rsidRPr="00323DFE">
        <w:rPr>
          <w:bCs/>
          <w:i/>
          <w:szCs w:val="22"/>
        </w:rPr>
        <w:t xml:space="preserve"> </w:t>
      </w:r>
      <w:r w:rsidR="00323DFE" w:rsidRPr="001C039E">
        <w:rPr>
          <w:bCs/>
          <w:i/>
          <w:szCs w:val="22"/>
          <w:lang w:val="en-GB"/>
        </w:rPr>
        <w:t>cloacae</w:t>
      </w:r>
      <w:r w:rsidR="00323DFE">
        <w:rPr>
          <w:bCs/>
          <w:i/>
          <w:szCs w:val="22"/>
        </w:rPr>
        <w:t xml:space="preserve">. </w:t>
      </w:r>
      <w:r w:rsidR="00323DFE">
        <w:rPr>
          <w:bCs/>
          <w:iCs/>
          <w:szCs w:val="22"/>
        </w:rPr>
        <w:t>Για</w:t>
      </w:r>
      <w:r w:rsidR="00323DFE" w:rsidRPr="00323DFE">
        <w:rPr>
          <w:bCs/>
          <w:iCs/>
          <w:szCs w:val="22"/>
        </w:rPr>
        <w:t xml:space="preserve"> </w:t>
      </w:r>
      <w:r w:rsidR="00323DFE">
        <w:rPr>
          <w:bCs/>
          <w:iCs/>
          <w:szCs w:val="22"/>
        </w:rPr>
        <w:t>το</w:t>
      </w:r>
      <w:r w:rsidR="00323DFE" w:rsidRPr="00323DFE">
        <w:rPr>
          <w:bCs/>
          <w:iCs/>
          <w:szCs w:val="22"/>
        </w:rPr>
        <w:t xml:space="preserve"> </w:t>
      </w:r>
      <w:r w:rsidR="00323DFE">
        <w:rPr>
          <w:bCs/>
          <w:iCs/>
          <w:szCs w:val="22"/>
        </w:rPr>
        <w:t>λόγο</w:t>
      </w:r>
      <w:r w:rsidR="00323DFE" w:rsidRPr="00323DFE">
        <w:rPr>
          <w:bCs/>
          <w:iCs/>
          <w:szCs w:val="22"/>
        </w:rPr>
        <w:t xml:space="preserve"> </w:t>
      </w:r>
      <w:r w:rsidR="00323DFE">
        <w:rPr>
          <w:bCs/>
          <w:iCs/>
          <w:szCs w:val="22"/>
        </w:rPr>
        <w:t>αυτό</w:t>
      </w:r>
      <w:r w:rsidR="00323DFE" w:rsidRPr="00323DFE">
        <w:rPr>
          <w:bCs/>
          <w:iCs/>
          <w:szCs w:val="22"/>
        </w:rPr>
        <w:t xml:space="preserve"> </w:t>
      </w:r>
      <w:r w:rsidR="00323DFE">
        <w:rPr>
          <w:bCs/>
          <w:iCs/>
          <w:szCs w:val="22"/>
        </w:rPr>
        <w:t>λοιμώξεις</w:t>
      </w:r>
      <w:r w:rsidR="00323DFE" w:rsidRPr="00323DFE">
        <w:rPr>
          <w:bCs/>
          <w:iCs/>
          <w:szCs w:val="22"/>
        </w:rPr>
        <w:t xml:space="preserve"> </w:t>
      </w:r>
      <w:r w:rsidR="00323DFE">
        <w:rPr>
          <w:bCs/>
          <w:iCs/>
          <w:szCs w:val="22"/>
        </w:rPr>
        <w:t>που</w:t>
      </w:r>
      <w:r w:rsidR="00323DFE" w:rsidRPr="00323DFE">
        <w:rPr>
          <w:bCs/>
          <w:iCs/>
          <w:szCs w:val="22"/>
        </w:rPr>
        <w:t xml:space="preserve"> </w:t>
      </w:r>
      <w:r w:rsidR="00323DFE">
        <w:rPr>
          <w:bCs/>
          <w:iCs/>
          <w:szCs w:val="22"/>
        </w:rPr>
        <w:t>προκαλούνται</w:t>
      </w:r>
      <w:r w:rsidR="00323DFE" w:rsidRPr="00323DFE">
        <w:rPr>
          <w:bCs/>
          <w:iCs/>
          <w:szCs w:val="22"/>
        </w:rPr>
        <w:t xml:space="preserve"> </w:t>
      </w:r>
      <w:r w:rsidR="00323DFE">
        <w:rPr>
          <w:bCs/>
          <w:szCs w:val="22"/>
        </w:rPr>
        <w:t>από</w:t>
      </w:r>
      <w:r w:rsidR="00323DFE" w:rsidRPr="00323DFE">
        <w:rPr>
          <w:bCs/>
          <w:szCs w:val="22"/>
        </w:rPr>
        <w:t xml:space="preserve"> </w:t>
      </w:r>
      <w:r w:rsidR="00323DFE">
        <w:rPr>
          <w:bCs/>
          <w:szCs w:val="22"/>
        </w:rPr>
        <w:t>παθογόνα</w:t>
      </w:r>
      <w:r w:rsidR="00323DFE" w:rsidRPr="00323DFE">
        <w:rPr>
          <w:bCs/>
          <w:szCs w:val="22"/>
        </w:rPr>
        <w:t xml:space="preserve"> </w:t>
      </w:r>
      <w:r w:rsidR="00323DFE">
        <w:rPr>
          <w:bCs/>
          <w:szCs w:val="22"/>
        </w:rPr>
        <w:t>με</w:t>
      </w:r>
      <w:r w:rsidR="00323DFE" w:rsidRPr="00323DFE">
        <w:rPr>
          <w:bCs/>
          <w:szCs w:val="22"/>
        </w:rPr>
        <w:t xml:space="preserve"> </w:t>
      </w:r>
      <w:r w:rsidR="00323DFE">
        <w:rPr>
          <w:bCs/>
          <w:szCs w:val="22"/>
        </w:rPr>
        <w:t>επαγώγιμες</w:t>
      </w:r>
      <w:r w:rsidR="00323DFE" w:rsidRPr="00323DFE">
        <w:rPr>
          <w:bCs/>
          <w:szCs w:val="22"/>
        </w:rPr>
        <w:t xml:space="preserve">, </w:t>
      </w:r>
      <w:r w:rsidR="00323DFE">
        <w:rPr>
          <w:bCs/>
          <w:szCs w:val="22"/>
        </w:rPr>
        <w:t>χρωμοσωμικά</w:t>
      </w:r>
      <w:r w:rsidR="00323DFE" w:rsidRPr="00323DFE">
        <w:rPr>
          <w:bCs/>
          <w:szCs w:val="22"/>
        </w:rPr>
        <w:t xml:space="preserve"> </w:t>
      </w:r>
      <w:r w:rsidR="00323DFE">
        <w:rPr>
          <w:bCs/>
          <w:szCs w:val="22"/>
        </w:rPr>
        <w:t xml:space="preserve">κωδικοποιημένες </w:t>
      </w:r>
      <w:r w:rsidR="00323DFE" w:rsidRPr="001C039E">
        <w:rPr>
          <w:bCs/>
          <w:szCs w:val="22"/>
          <w:lang w:val="en-GB"/>
        </w:rPr>
        <w:t>AmpC</w:t>
      </w:r>
      <w:r w:rsidR="00323DFE" w:rsidRPr="00323DFE">
        <w:rPr>
          <w:bCs/>
          <w:szCs w:val="22"/>
        </w:rPr>
        <w:t>- β-</w:t>
      </w:r>
      <w:r w:rsidR="00323DFE">
        <w:rPr>
          <w:bCs/>
          <w:szCs w:val="22"/>
        </w:rPr>
        <w:t xml:space="preserve">λακταμάσες δεν πρέπει να θεραπευθούν με κεφτριαξόνη: </w:t>
      </w:r>
      <w:r w:rsidR="00323DFE" w:rsidRPr="00323DFE">
        <w:rPr>
          <w:bCs/>
          <w:i/>
          <w:iCs/>
          <w:szCs w:val="22"/>
        </w:rPr>
        <w:t xml:space="preserve">ακόμη και στις περιπτώσεις αποδεδειγμένης </w:t>
      </w:r>
      <w:r w:rsidR="00323DFE" w:rsidRPr="00323DFE">
        <w:rPr>
          <w:bCs/>
          <w:i/>
          <w:iCs/>
          <w:szCs w:val="22"/>
          <w:lang w:val="en-GB"/>
        </w:rPr>
        <w:t>in</w:t>
      </w:r>
      <w:r w:rsidR="00323DFE" w:rsidRPr="00323DFE">
        <w:rPr>
          <w:bCs/>
          <w:i/>
          <w:iCs/>
          <w:szCs w:val="22"/>
        </w:rPr>
        <w:t>-</w:t>
      </w:r>
      <w:r w:rsidR="00323DFE" w:rsidRPr="00323DFE">
        <w:rPr>
          <w:bCs/>
          <w:i/>
          <w:iCs/>
          <w:szCs w:val="22"/>
          <w:lang w:val="en-GB"/>
        </w:rPr>
        <w:t>vitro</w:t>
      </w:r>
      <w:r w:rsidR="00323DFE" w:rsidRPr="00323DFE">
        <w:rPr>
          <w:bCs/>
          <w:i/>
          <w:iCs/>
          <w:szCs w:val="22"/>
        </w:rPr>
        <w:t xml:space="preserve"> ευαισθησίας </w:t>
      </w:r>
      <w:r w:rsidR="00323DFE">
        <w:rPr>
          <w:bCs/>
          <w:szCs w:val="22"/>
        </w:rPr>
        <w:t xml:space="preserve">λόγω του κινδύνου επιλογής μεταλλαγμένων με συντεταγμένη έκφραση αποπιεσμένων </w:t>
      </w:r>
      <w:r w:rsidR="00323DFE" w:rsidRPr="001C039E">
        <w:rPr>
          <w:bCs/>
          <w:szCs w:val="22"/>
          <w:lang w:val="en-GB"/>
        </w:rPr>
        <w:t>AmpC</w:t>
      </w:r>
      <w:r w:rsidR="00323DFE" w:rsidRPr="00323DFE">
        <w:rPr>
          <w:bCs/>
          <w:szCs w:val="22"/>
        </w:rPr>
        <w:t>- β-</w:t>
      </w:r>
      <w:r w:rsidR="00323DFE">
        <w:rPr>
          <w:bCs/>
          <w:szCs w:val="22"/>
        </w:rPr>
        <w:t xml:space="preserve">λακταμασών. </w:t>
      </w:r>
    </w:p>
    <w:p w:rsidR="00303BAB" w:rsidRDefault="00303BAB" w:rsidP="003E2A03">
      <w:pPr>
        <w:tabs>
          <w:tab w:val="left" w:pos="480"/>
        </w:tabs>
        <w:ind w:left="480" w:hanging="480"/>
        <w:jc w:val="both"/>
        <w:rPr>
          <w:bCs/>
          <w:szCs w:val="22"/>
        </w:rPr>
      </w:pPr>
    </w:p>
    <w:p w:rsidR="00323DFE" w:rsidRDefault="00323DFE" w:rsidP="003E2A03">
      <w:pPr>
        <w:tabs>
          <w:tab w:val="left" w:pos="480"/>
        </w:tabs>
        <w:ind w:left="480" w:hanging="480"/>
        <w:jc w:val="both"/>
        <w:rPr>
          <w:bCs/>
          <w:szCs w:val="22"/>
        </w:rPr>
      </w:pPr>
      <w:r w:rsidRPr="00323DFE">
        <w:rPr>
          <w:bCs/>
          <w:szCs w:val="22"/>
        </w:rPr>
        <w:t>-</w:t>
      </w:r>
      <w:r w:rsidRPr="00323DFE">
        <w:rPr>
          <w:bCs/>
          <w:szCs w:val="22"/>
        </w:rPr>
        <w:tab/>
      </w:r>
      <w:r w:rsidR="00032E9F">
        <w:rPr>
          <w:bCs/>
          <w:szCs w:val="22"/>
        </w:rPr>
        <w:t>μ</w:t>
      </w:r>
      <w:r>
        <w:rPr>
          <w:bCs/>
          <w:szCs w:val="22"/>
        </w:rPr>
        <w:t>ειωμένη</w:t>
      </w:r>
      <w:r w:rsidRPr="00323DFE">
        <w:rPr>
          <w:bCs/>
          <w:szCs w:val="22"/>
        </w:rPr>
        <w:t xml:space="preserve"> </w:t>
      </w:r>
      <w:r>
        <w:rPr>
          <w:bCs/>
          <w:szCs w:val="22"/>
        </w:rPr>
        <w:t>τάση</w:t>
      </w:r>
      <w:r w:rsidRPr="00323DFE">
        <w:rPr>
          <w:bCs/>
          <w:szCs w:val="22"/>
        </w:rPr>
        <w:t xml:space="preserve"> </w:t>
      </w:r>
      <w:r>
        <w:rPr>
          <w:bCs/>
          <w:szCs w:val="22"/>
        </w:rPr>
        <w:t xml:space="preserve">δημιουργίας δεσμών των </w:t>
      </w:r>
      <w:r w:rsidRPr="001C039E">
        <w:rPr>
          <w:bCs/>
          <w:szCs w:val="22"/>
          <w:lang w:val="en-GB"/>
        </w:rPr>
        <w:t>PBPs</w:t>
      </w:r>
      <w:r w:rsidRPr="00323DFE">
        <w:rPr>
          <w:bCs/>
          <w:szCs w:val="22"/>
        </w:rPr>
        <w:t xml:space="preserve"> </w:t>
      </w:r>
      <w:r>
        <w:rPr>
          <w:bCs/>
          <w:szCs w:val="22"/>
        </w:rPr>
        <w:t xml:space="preserve">με την κεφτριαξόνη. Η επίκτητη αντίσταση του </w:t>
      </w:r>
      <w:r w:rsidRPr="001C039E">
        <w:rPr>
          <w:bCs/>
          <w:i/>
          <w:szCs w:val="22"/>
          <w:lang w:val="en-GB"/>
        </w:rPr>
        <w:t>Pneumococcus</w:t>
      </w:r>
      <w:r w:rsidRPr="00323DFE">
        <w:rPr>
          <w:bCs/>
          <w:szCs w:val="22"/>
        </w:rPr>
        <w:t xml:space="preserve"> </w:t>
      </w:r>
      <w:r>
        <w:rPr>
          <w:bCs/>
          <w:szCs w:val="22"/>
        </w:rPr>
        <w:t xml:space="preserve">και άλλων </w:t>
      </w:r>
      <w:r w:rsidRPr="001C039E">
        <w:rPr>
          <w:bCs/>
          <w:i/>
          <w:szCs w:val="22"/>
          <w:lang w:val="en-GB"/>
        </w:rPr>
        <w:t>Streptococcus</w:t>
      </w:r>
      <w:r w:rsidRPr="00323DFE">
        <w:rPr>
          <w:bCs/>
          <w:szCs w:val="22"/>
        </w:rPr>
        <w:t xml:space="preserve"> </w:t>
      </w:r>
      <w:r>
        <w:rPr>
          <w:bCs/>
          <w:szCs w:val="22"/>
        </w:rPr>
        <w:t xml:space="preserve">προκαλείται από τις αλλαγές των ήδη υπαρχόντων </w:t>
      </w:r>
      <w:r w:rsidRPr="001C039E">
        <w:rPr>
          <w:bCs/>
          <w:szCs w:val="22"/>
          <w:lang w:val="en-GB"/>
        </w:rPr>
        <w:t>PBPs</w:t>
      </w:r>
      <w:r w:rsidRPr="00323DFE">
        <w:rPr>
          <w:bCs/>
          <w:szCs w:val="22"/>
        </w:rPr>
        <w:t xml:space="preserve"> </w:t>
      </w:r>
      <w:r>
        <w:rPr>
          <w:bCs/>
          <w:szCs w:val="22"/>
        </w:rPr>
        <w:t xml:space="preserve">ως αποτέλεσμα την διαδικασίας της μετάλλαξης. Αντίθετα με αυτό σχετικά με τον ανθεκτικό στην Μεθικιλλίνη-(Οξακιλλίνη)- </w:t>
      </w:r>
      <w:r w:rsidRPr="001C039E">
        <w:rPr>
          <w:bCs/>
          <w:i/>
          <w:szCs w:val="22"/>
          <w:lang w:val="en-GB"/>
        </w:rPr>
        <w:t>Staphylococcus</w:t>
      </w:r>
      <w:r>
        <w:rPr>
          <w:bCs/>
          <w:szCs w:val="22"/>
        </w:rPr>
        <w:t xml:space="preserve">, η δημιουργία επιπλέον </w:t>
      </w:r>
      <w:r w:rsidRPr="001C039E">
        <w:rPr>
          <w:bCs/>
          <w:szCs w:val="22"/>
          <w:lang w:val="en-GB"/>
        </w:rPr>
        <w:t>PBP</w:t>
      </w:r>
      <w:r w:rsidRPr="00323DFE">
        <w:rPr>
          <w:bCs/>
          <w:szCs w:val="22"/>
        </w:rPr>
        <w:t xml:space="preserve"> </w:t>
      </w:r>
      <w:r>
        <w:rPr>
          <w:bCs/>
          <w:szCs w:val="22"/>
        </w:rPr>
        <w:t xml:space="preserve">με μειωμενη τάση δημιουργίας δεσμών με την κεφτριαξόνη ευθύνεται για την ανθεκτικότητα. </w:t>
      </w:r>
    </w:p>
    <w:p w:rsidR="00323DFE" w:rsidRPr="00823C1F" w:rsidRDefault="00323DFE" w:rsidP="003E2A03">
      <w:pPr>
        <w:tabs>
          <w:tab w:val="left" w:pos="480"/>
        </w:tabs>
        <w:jc w:val="both"/>
        <w:rPr>
          <w:bCs/>
          <w:szCs w:val="22"/>
        </w:rPr>
      </w:pPr>
    </w:p>
    <w:p w:rsidR="00323DFE" w:rsidRPr="00823C1F" w:rsidRDefault="00323DFE" w:rsidP="003E2A03">
      <w:pPr>
        <w:tabs>
          <w:tab w:val="left" w:pos="480"/>
        </w:tabs>
        <w:ind w:left="480" w:hanging="480"/>
        <w:jc w:val="both"/>
        <w:rPr>
          <w:bCs/>
          <w:szCs w:val="22"/>
        </w:rPr>
      </w:pPr>
      <w:r w:rsidRPr="00823C1F">
        <w:rPr>
          <w:bCs/>
          <w:szCs w:val="22"/>
        </w:rPr>
        <w:t>-</w:t>
      </w:r>
      <w:r w:rsidRPr="00823C1F">
        <w:rPr>
          <w:bCs/>
          <w:szCs w:val="22"/>
        </w:rPr>
        <w:tab/>
      </w:r>
      <w:r>
        <w:rPr>
          <w:bCs/>
          <w:szCs w:val="22"/>
        </w:rPr>
        <w:t>ανεπαρκής</w:t>
      </w:r>
      <w:r w:rsidRPr="00823C1F">
        <w:rPr>
          <w:bCs/>
          <w:szCs w:val="22"/>
        </w:rPr>
        <w:t xml:space="preserve"> </w:t>
      </w:r>
      <w:r>
        <w:rPr>
          <w:bCs/>
          <w:szCs w:val="22"/>
        </w:rPr>
        <w:t>διείσδυση</w:t>
      </w:r>
      <w:r w:rsidRPr="00823C1F">
        <w:rPr>
          <w:bCs/>
          <w:szCs w:val="22"/>
        </w:rPr>
        <w:t xml:space="preserve"> </w:t>
      </w:r>
      <w:r>
        <w:rPr>
          <w:bCs/>
          <w:szCs w:val="22"/>
        </w:rPr>
        <w:t>της</w:t>
      </w:r>
      <w:r w:rsidRPr="00823C1F">
        <w:rPr>
          <w:bCs/>
          <w:szCs w:val="22"/>
        </w:rPr>
        <w:t xml:space="preserve"> </w:t>
      </w:r>
      <w:r>
        <w:rPr>
          <w:bCs/>
          <w:szCs w:val="22"/>
        </w:rPr>
        <w:t>κεφτριαξόνης</w:t>
      </w:r>
      <w:r w:rsidRPr="00823C1F">
        <w:rPr>
          <w:bCs/>
          <w:szCs w:val="22"/>
        </w:rPr>
        <w:t xml:space="preserve"> </w:t>
      </w:r>
      <w:r>
        <w:rPr>
          <w:bCs/>
          <w:szCs w:val="22"/>
        </w:rPr>
        <w:t>διαμέσου</w:t>
      </w:r>
      <w:r w:rsidRPr="00823C1F">
        <w:rPr>
          <w:bCs/>
          <w:szCs w:val="22"/>
        </w:rPr>
        <w:t xml:space="preserve"> </w:t>
      </w:r>
      <w:r>
        <w:rPr>
          <w:bCs/>
          <w:szCs w:val="22"/>
        </w:rPr>
        <w:t>της</w:t>
      </w:r>
      <w:r w:rsidRPr="00823C1F">
        <w:rPr>
          <w:bCs/>
          <w:szCs w:val="22"/>
        </w:rPr>
        <w:t xml:space="preserve"> </w:t>
      </w:r>
      <w:r>
        <w:rPr>
          <w:bCs/>
          <w:szCs w:val="22"/>
        </w:rPr>
        <w:t>εξωτερικής</w:t>
      </w:r>
      <w:r w:rsidRPr="00823C1F">
        <w:rPr>
          <w:bCs/>
          <w:szCs w:val="22"/>
        </w:rPr>
        <w:t xml:space="preserve"> </w:t>
      </w:r>
      <w:r>
        <w:rPr>
          <w:bCs/>
          <w:szCs w:val="22"/>
        </w:rPr>
        <w:t>μεμβράνης</w:t>
      </w:r>
      <w:r w:rsidRPr="00823C1F">
        <w:rPr>
          <w:bCs/>
          <w:szCs w:val="22"/>
        </w:rPr>
        <w:t xml:space="preserve"> </w:t>
      </w:r>
      <w:r>
        <w:rPr>
          <w:bCs/>
          <w:szCs w:val="22"/>
        </w:rPr>
        <w:t>των</w:t>
      </w:r>
      <w:r w:rsidRPr="00823C1F">
        <w:rPr>
          <w:bCs/>
          <w:szCs w:val="22"/>
        </w:rPr>
        <w:t xml:space="preserve"> </w:t>
      </w:r>
      <w:r>
        <w:rPr>
          <w:bCs/>
          <w:szCs w:val="22"/>
        </w:rPr>
        <w:t>αρνητικών</w:t>
      </w:r>
      <w:r w:rsidRPr="00823C1F">
        <w:rPr>
          <w:bCs/>
          <w:szCs w:val="22"/>
        </w:rPr>
        <w:t xml:space="preserve"> </w:t>
      </w:r>
      <w:r>
        <w:rPr>
          <w:bCs/>
          <w:szCs w:val="22"/>
        </w:rPr>
        <w:t>κατά</w:t>
      </w:r>
      <w:r w:rsidRPr="00823C1F">
        <w:rPr>
          <w:bCs/>
          <w:szCs w:val="22"/>
        </w:rPr>
        <w:t xml:space="preserve"> </w:t>
      </w:r>
      <w:r>
        <w:rPr>
          <w:bCs/>
          <w:szCs w:val="22"/>
          <w:lang w:val="en-US"/>
        </w:rPr>
        <w:t>gram</w:t>
      </w:r>
      <w:r w:rsidRPr="00823C1F">
        <w:rPr>
          <w:bCs/>
          <w:szCs w:val="22"/>
        </w:rPr>
        <w:t xml:space="preserve"> </w:t>
      </w:r>
      <w:r>
        <w:rPr>
          <w:bCs/>
          <w:szCs w:val="22"/>
        </w:rPr>
        <w:t>βακτηρίων</w:t>
      </w:r>
      <w:r w:rsidRPr="00823C1F">
        <w:rPr>
          <w:bCs/>
          <w:szCs w:val="22"/>
        </w:rPr>
        <w:t xml:space="preserve"> </w:t>
      </w:r>
      <w:r>
        <w:rPr>
          <w:bCs/>
          <w:szCs w:val="22"/>
        </w:rPr>
        <w:t>έτσι</w:t>
      </w:r>
      <w:r w:rsidRPr="00823C1F">
        <w:rPr>
          <w:bCs/>
          <w:szCs w:val="22"/>
        </w:rPr>
        <w:t xml:space="preserve"> </w:t>
      </w:r>
      <w:r>
        <w:rPr>
          <w:bCs/>
          <w:szCs w:val="22"/>
        </w:rPr>
        <w:t>ώστε</w:t>
      </w:r>
      <w:r w:rsidRPr="00823C1F">
        <w:rPr>
          <w:bCs/>
          <w:szCs w:val="22"/>
        </w:rPr>
        <w:t xml:space="preserve"> </w:t>
      </w:r>
      <w:r>
        <w:rPr>
          <w:bCs/>
          <w:szCs w:val="22"/>
        </w:rPr>
        <w:t>η</w:t>
      </w:r>
      <w:r w:rsidRPr="00823C1F">
        <w:rPr>
          <w:bCs/>
          <w:szCs w:val="22"/>
        </w:rPr>
        <w:t xml:space="preserve"> </w:t>
      </w:r>
      <w:r>
        <w:rPr>
          <w:bCs/>
          <w:szCs w:val="22"/>
        </w:rPr>
        <w:t>αναστολή</w:t>
      </w:r>
      <w:r w:rsidRPr="00823C1F">
        <w:rPr>
          <w:bCs/>
          <w:szCs w:val="22"/>
        </w:rPr>
        <w:t xml:space="preserve"> </w:t>
      </w:r>
      <w:r>
        <w:rPr>
          <w:bCs/>
          <w:szCs w:val="22"/>
        </w:rPr>
        <w:t>των</w:t>
      </w:r>
      <w:r w:rsidRPr="00823C1F">
        <w:rPr>
          <w:bCs/>
          <w:szCs w:val="22"/>
        </w:rPr>
        <w:t xml:space="preserve"> </w:t>
      </w:r>
      <w:r w:rsidRPr="001C039E">
        <w:rPr>
          <w:bCs/>
          <w:szCs w:val="22"/>
          <w:lang w:val="en-GB"/>
        </w:rPr>
        <w:t>PBPs</w:t>
      </w:r>
      <w:r w:rsidRPr="00823C1F">
        <w:rPr>
          <w:bCs/>
          <w:szCs w:val="22"/>
        </w:rPr>
        <w:t xml:space="preserve"> </w:t>
      </w:r>
      <w:r>
        <w:rPr>
          <w:bCs/>
          <w:szCs w:val="22"/>
        </w:rPr>
        <w:t>να</w:t>
      </w:r>
      <w:r w:rsidRPr="00823C1F">
        <w:rPr>
          <w:bCs/>
          <w:szCs w:val="22"/>
        </w:rPr>
        <w:t xml:space="preserve"> </w:t>
      </w:r>
      <w:r>
        <w:rPr>
          <w:bCs/>
          <w:szCs w:val="22"/>
        </w:rPr>
        <w:t>είναι</w:t>
      </w:r>
      <w:r w:rsidRPr="00823C1F">
        <w:rPr>
          <w:bCs/>
          <w:szCs w:val="22"/>
        </w:rPr>
        <w:t xml:space="preserve"> </w:t>
      </w:r>
      <w:r>
        <w:rPr>
          <w:bCs/>
          <w:szCs w:val="22"/>
        </w:rPr>
        <w:t>ανεπαρκής</w:t>
      </w:r>
      <w:r w:rsidRPr="00823C1F">
        <w:rPr>
          <w:bCs/>
          <w:szCs w:val="22"/>
        </w:rPr>
        <w:t>.</w:t>
      </w:r>
    </w:p>
    <w:p w:rsidR="00323DFE" w:rsidRPr="00823C1F" w:rsidRDefault="00323DFE" w:rsidP="003E2A03">
      <w:pPr>
        <w:tabs>
          <w:tab w:val="left" w:pos="480"/>
        </w:tabs>
        <w:ind w:left="480" w:hanging="480"/>
        <w:jc w:val="both"/>
        <w:rPr>
          <w:bCs/>
          <w:szCs w:val="22"/>
        </w:rPr>
      </w:pPr>
    </w:p>
    <w:p w:rsidR="00323DFE" w:rsidRPr="00823C1F" w:rsidRDefault="00323DFE" w:rsidP="003E2A03">
      <w:pPr>
        <w:tabs>
          <w:tab w:val="left" w:pos="480"/>
        </w:tabs>
        <w:ind w:left="480" w:hanging="480"/>
        <w:jc w:val="both"/>
        <w:rPr>
          <w:bCs/>
          <w:szCs w:val="22"/>
        </w:rPr>
      </w:pPr>
      <w:r w:rsidRPr="00823C1F">
        <w:rPr>
          <w:bCs/>
          <w:szCs w:val="22"/>
        </w:rPr>
        <w:t>-</w:t>
      </w:r>
      <w:r w:rsidRPr="00823C1F">
        <w:rPr>
          <w:bCs/>
          <w:szCs w:val="22"/>
        </w:rPr>
        <w:tab/>
      </w:r>
      <w:r>
        <w:rPr>
          <w:bCs/>
          <w:szCs w:val="22"/>
        </w:rPr>
        <w:t>η</w:t>
      </w:r>
      <w:r w:rsidRPr="00823C1F">
        <w:rPr>
          <w:bCs/>
          <w:szCs w:val="22"/>
        </w:rPr>
        <w:t xml:space="preserve"> </w:t>
      </w:r>
      <w:r>
        <w:rPr>
          <w:bCs/>
          <w:szCs w:val="22"/>
        </w:rPr>
        <w:t>παρουσία</w:t>
      </w:r>
      <w:r w:rsidRPr="00823C1F">
        <w:rPr>
          <w:bCs/>
          <w:szCs w:val="22"/>
        </w:rPr>
        <w:t xml:space="preserve"> </w:t>
      </w:r>
      <w:r>
        <w:rPr>
          <w:bCs/>
          <w:szCs w:val="22"/>
        </w:rPr>
        <w:t>του</w:t>
      </w:r>
      <w:r w:rsidRPr="00823C1F">
        <w:rPr>
          <w:bCs/>
          <w:szCs w:val="22"/>
        </w:rPr>
        <w:t xml:space="preserve"> </w:t>
      </w:r>
      <w:r>
        <w:rPr>
          <w:bCs/>
          <w:szCs w:val="22"/>
        </w:rPr>
        <w:t>μηχανισμού</w:t>
      </w:r>
      <w:r w:rsidRPr="00823C1F">
        <w:rPr>
          <w:bCs/>
          <w:szCs w:val="22"/>
        </w:rPr>
        <w:t xml:space="preserve"> </w:t>
      </w:r>
      <w:r>
        <w:rPr>
          <w:bCs/>
          <w:szCs w:val="22"/>
        </w:rPr>
        <w:t>μεταφοράς</w:t>
      </w:r>
      <w:r w:rsidRPr="00823C1F">
        <w:rPr>
          <w:bCs/>
          <w:szCs w:val="22"/>
        </w:rPr>
        <w:t xml:space="preserve"> (</w:t>
      </w:r>
      <w:r>
        <w:rPr>
          <w:bCs/>
          <w:szCs w:val="22"/>
        </w:rPr>
        <w:t>αντλίες</w:t>
      </w:r>
      <w:r w:rsidRPr="00823C1F">
        <w:rPr>
          <w:bCs/>
          <w:szCs w:val="22"/>
        </w:rPr>
        <w:t xml:space="preserve"> </w:t>
      </w:r>
      <w:r>
        <w:rPr>
          <w:bCs/>
          <w:szCs w:val="22"/>
        </w:rPr>
        <w:t>εκροής</w:t>
      </w:r>
      <w:r w:rsidRPr="00823C1F">
        <w:rPr>
          <w:bCs/>
          <w:szCs w:val="22"/>
        </w:rPr>
        <w:t xml:space="preserve">) </w:t>
      </w:r>
      <w:r>
        <w:rPr>
          <w:bCs/>
          <w:szCs w:val="22"/>
        </w:rPr>
        <w:t>με</w:t>
      </w:r>
      <w:r w:rsidRPr="00823C1F">
        <w:rPr>
          <w:bCs/>
          <w:szCs w:val="22"/>
        </w:rPr>
        <w:t xml:space="preserve"> </w:t>
      </w:r>
      <w:r>
        <w:rPr>
          <w:bCs/>
          <w:szCs w:val="22"/>
        </w:rPr>
        <w:t>την</w:t>
      </w:r>
      <w:r w:rsidRPr="00823C1F">
        <w:rPr>
          <w:bCs/>
          <w:szCs w:val="22"/>
        </w:rPr>
        <w:t xml:space="preserve"> </w:t>
      </w:r>
      <w:r>
        <w:rPr>
          <w:bCs/>
          <w:szCs w:val="22"/>
        </w:rPr>
        <w:t>ικανότητα</w:t>
      </w:r>
      <w:r w:rsidRPr="00823C1F">
        <w:rPr>
          <w:bCs/>
          <w:szCs w:val="22"/>
        </w:rPr>
        <w:t xml:space="preserve"> </w:t>
      </w:r>
      <w:r>
        <w:rPr>
          <w:bCs/>
          <w:szCs w:val="22"/>
        </w:rPr>
        <w:t>να</w:t>
      </w:r>
      <w:r w:rsidRPr="00823C1F">
        <w:rPr>
          <w:bCs/>
          <w:szCs w:val="22"/>
        </w:rPr>
        <w:t xml:space="preserve"> </w:t>
      </w:r>
      <w:r>
        <w:rPr>
          <w:bCs/>
          <w:szCs w:val="22"/>
        </w:rPr>
        <w:t>μεταφέρουν</w:t>
      </w:r>
      <w:r w:rsidRPr="00823C1F">
        <w:rPr>
          <w:bCs/>
          <w:szCs w:val="22"/>
        </w:rPr>
        <w:t xml:space="preserve"> </w:t>
      </w:r>
      <w:r>
        <w:rPr>
          <w:bCs/>
          <w:szCs w:val="22"/>
        </w:rPr>
        <w:t>την</w:t>
      </w:r>
      <w:r w:rsidRPr="00823C1F">
        <w:rPr>
          <w:bCs/>
          <w:szCs w:val="22"/>
        </w:rPr>
        <w:t xml:space="preserve"> </w:t>
      </w:r>
      <w:r>
        <w:rPr>
          <w:bCs/>
          <w:szCs w:val="22"/>
        </w:rPr>
        <w:t>κεφτριαξόνη</w:t>
      </w:r>
      <w:r w:rsidRPr="00823C1F">
        <w:rPr>
          <w:bCs/>
          <w:szCs w:val="22"/>
        </w:rPr>
        <w:t xml:space="preserve"> </w:t>
      </w:r>
      <w:r>
        <w:rPr>
          <w:bCs/>
          <w:szCs w:val="22"/>
        </w:rPr>
        <w:t>έξω</w:t>
      </w:r>
      <w:r w:rsidRPr="00823C1F">
        <w:rPr>
          <w:bCs/>
          <w:szCs w:val="22"/>
        </w:rPr>
        <w:t xml:space="preserve"> </w:t>
      </w:r>
      <w:r>
        <w:rPr>
          <w:bCs/>
          <w:szCs w:val="22"/>
        </w:rPr>
        <w:t>από</w:t>
      </w:r>
      <w:r w:rsidRPr="00823C1F">
        <w:rPr>
          <w:bCs/>
          <w:szCs w:val="22"/>
        </w:rPr>
        <w:t xml:space="preserve"> </w:t>
      </w:r>
      <w:r>
        <w:rPr>
          <w:bCs/>
          <w:szCs w:val="22"/>
        </w:rPr>
        <w:t>το</w:t>
      </w:r>
      <w:r w:rsidRPr="00823C1F">
        <w:rPr>
          <w:bCs/>
          <w:szCs w:val="22"/>
        </w:rPr>
        <w:t xml:space="preserve"> </w:t>
      </w:r>
      <w:r>
        <w:rPr>
          <w:bCs/>
          <w:szCs w:val="22"/>
        </w:rPr>
        <w:t>κύτταρο</w:t>
      </w:r>
      <w:r w:rsidRPr="00823C1F">
        <w:rPr>
          <w:bCs/>
          <w:szCs w:val="22"/>
        </w:rPr>
        <w:t xml:space="preserve">. </w:t>
      </w:r>
    </w:p>
    <w:p w:rsidR="00323DFE" w:rsidRPr="00823C1F" w:rsidRDefault="00323DFE" w:rsidP="003E2A03">
      <w:pPr>
        <w:tabs>
          <w:tab w:val="left" w:pos="480"/>
        </w:tabs>
        <w:ind w:left="480" w:hanging="480"/>
        <w:jc w:val="both"/>
        <w:rPr>
          <w:bCs/>
          <w:szCs w:val="22"/>
        </w:rPr>
      </w:pPr>
    </w:p>
    <w:p w:rsidR="00323DFE" w:rsidRPr="00823C1F" w:rsidRDefault="00323DFE" w:rsidP="003E2A03">
      <w:pPr>
        <w:tabs>
          <w:tab w:val="left" w:pos="480"/>
        </w:tabs>
        <w:jc w:val="both"/>
        <w:rPr>
          <w:bCs/>
          <w:szCs w:val="22"/>
        </w:rPr>
      </w:pPr>
      <w:r>
        <w:rPr>
          <w:bCs/>
          <w:szCs w:val="22"/>
        </w:rPr>
        <w:t>Περισσότεροι</w:t>
      </w:r>
      <w:r w:rsidRPr="00323DFE">
        <w:rPr>
          <w:bCs/>
          <w:szCs w:val="22"/>
        </w:rPr>
        <w:t xml:space="preserve"> </w:t>
      </w:r>
      <w:r>
        <w:rPr>
          <w:bCs/>
          <w:szCs w:val="22"/>
        </w:rPr>
        <w:t>από</w:t>
      </w:r>
      <w:r w:rsidRPr="00323DFE">
        <w:rPr>
          <w:bCs/>
          <w:szCs w:val="22"/>
        </w:rPr>
        <w:t xml:space="preserve"> </w:t>
      </w:r>
      <w:r>
        <w:rPr>
          <w:bCs/>
          <w:szCs w:val="22"/>
        </w:rPr>
        <w:t>έναν</w:t>
      </w:r>
      <w:r w:rsidRPr="00323DFE">
        <w:rPr>
          <w:bCs/>
          <w:szCs w:val="22"/>
        </w:rPr>
        <w:t xml:space="preserve"> </w:t>
      </w:r>
      <w:r>
        <w:rPr>
          <w:bCs/>
          <w:szCs w:val="22"/>
        </w:rPr>
        <w:t>από</w:t>
      </w:r>
      <w:r w:rsidRPr="00323DFE">
        <w:rPr>
          <w:bCs/>
          <w:szCs w:val="22"/>
        </w:rPr>
        <w:t xml:space="preserve"> </w:t>
      </w:r>
      <w:r>
        <w:rPr>
          <w:bCs/>
          <w:szCs w:val="22"/>
        </w:rPr>
        <w:t>τους</w:t>
      </w:r>
      <w:r w:rsidRPr="00323DFE">
        <w:rPr>
          <w:bCs/>
          <w:szCs w:val="22"/>
        </w:rPr>
        <w:t xml:space="preserve"> </w:t>
      </w:r>
      <w:r>
        <w:rPr>
          <w:bCs/>
          <w:szCs w:val="22"/>
        </w:rPr>
        <w:t>παραπάνω</w:t>
      </w:r>
      <w:r w:rsidRPr="00323DFE">
        <w:rPr>
          <w:bCs/>
          <w:szCs w:val="22"/>
        </w:rPr>
        <w:t xml:space="preserve"> </w:t>
      </w:r>
      <w:r>
        <w:rPr>
          <w:bCs/>
          <w:szCs w:val="22"/>
        </w:rPr>
        <w:t>μηχανισμούς</w:t>
      </w:r>
      <w:r w:rsidRPr="00323DFE">
        <w:rPr>
          <w:bCs/>
          <w:szCs w:val="22"/>
        </w:rPr>
        <w:t xml:space="preserve"> </w:t>
      </w:r>
      <w:r>
        <w:rPr>
          <w:bCs/>
          <w:szCs w:val="22"/>
        </w:rPr>
        <w:t>μπορούν</w:t>
      </w:r>
      <w:r w:rsidRPr="00323DFE">
        <w:rPr>
          <w:bCs/>
          <w:szCs w:val="22"/>
        </w:rPr>
        <w:t xml:space="preserve"> </w:t>
      </w:r>
      <w:r>
        <w:rPr>
          <w:bCs/>
          <w:szCs w:val="22"/>
        </w:rPr>
        <w:t>να</w:t>
      </w:r>
      <w:r w:rsidRPr="00323DFE">
        <w:rPr>
          <w:bCs/>
          <w:szCs w:val="22"/>
        </w:rPr>
        <w:t xml:space="preserve"> </w:t>
      </w:r>
      <w:r>
        <w:rPr>
          <w:bCs/>
          <w:szCs w:val="22"/>
        </w:rPr>
        <w:t>παρουσιαστούν</w:t>
      </w:r>
      <w:r w:rsidRPr="00323DFE">
        <w:rPr>
          <w:bCs/>
          <w:szCs w:val="22"/>
        </w:rPr>
        <w:t xml:space="preserve"> </w:t>
      </w:r>
      <w:r>
        <w:rPr>
          <w:bCs/>
          <w:szCs w:val="22"/>
        </w:rPr>
        <w:t>σε</w:t>
      </w:r>
      <w:r w:rsidRPr="00323DFE">
        <w:rPr>
          <w:bCs/>
          <w:szCs w:val="22"/>
        </w:rPr>
        <w:t xml:space="preserve"> </w:t>
      </w:r>
      <w:r>
        <w:rPr>
          <w:bCs/>
          <w:szCs w:val="22"/>
        </w:rPr>
        <w:t>ένα</w:t>
      </w:r>
      <w:r w:rsidRPr="00323DFE">
        <w:rPr>
          <w:bCs/>
          <w:szCs w:val="22"/>
        </w:rPr>
        <w:t xml:space="preserve"> </w:t>
      </w:r>
      <w:r>
        <w:rPr>
          <w:bCs/>
          <w:szCs w:val="22"/>
        </w:rPr>
        <w:t>κύτταρο</w:t>
      </w:r>
      <w:r w:rsidRPr="00323DFE">
        <w:rPr>
          <w:bCs/>
          <w:szCs w:val="22"/>
        </w:rPr>
        <w:t xml:space="preserve"> </w:t>
      </w:r>
      <w:r>
        <w:rPr>
          <w:bCs/>
          <w:szCs w:val="22"/>
        </w:rPr>
        <w:t>την</w:t>
      </w:r>
      <w:r w:rsidRPr="00323DFE">
        <w:rPr>
          <w:bCs/>
          <w:szCs w:val="22"/>
        </w:rPr>
        <w:t xml:space="preserve"> </w:t>
      </w:r>
      <w:r>
        <w:rPr>
          <w:bCs/>
          <w:szCs w:val="22"/>
        </w:rPr>
        <w:t>ίδια</w:t>
      </w:r>
      <w:r w:rsidRPr="00323DFE">
        <w:rPr>
          <w:bCs/>
          <w:szCs w:val="22"/>
        </w:rPr>
        <w:t xml:space="preserve"> </w:t>
      </w:r>
      <w:r>
        <w:rPr>
          <w:bCs/>
          <w:szCs w:val="22"/>
        </w:rPr>
        <w:t xml:space="preserve">στιγμή. </w:t>
      </w:r>
    </w:p>
    <w:p w:rsidR="00323DFE" w:rsidRPr="00823C1F" w:rsidRDefault="00323DFE" w:rsidP="003E2A03">
      <w:pPr>
        <w:tabs>
          <w:tab w:val="left" w:pos="480"/>
        </w:tabs>
        <w:jc w:val="both"/>
        <w:rPr>
          <w:bCs/>
          <w:szCs w:val="22"/>
        </w:rPr>
      </w:pPr>
    </w:p>
    <w:p w:rsidR="00323DFE" w:rsidRPr="00823C1F" w:rsidRDefault="00323DFE" w:rsidP="003E2A03">
      <w:pPr>
        <w:tabs>
          <w:tab w:val="left" w:pos="480"/>
        </w:tabs>
        <w:jc w:val="both"/>
        <w:rPr>
          <w:bCs/>
          <w:szCs w:val="22"/>
        </w:rPr>
      </w:pPr>
      <w:r>
        <w:rPr>
          <w:bCs/>
          <w:szCs w:val="22"/>
        </w:rPr>
        <w:t>Μια</w:t>
      </w:r>
      <w:r w:rsidRPr="00323DFE">
        <w:rPr>
          <w:bCs/>
          <w:szCs w:val="22"/>
        </w:rPr>
        <w:t xml:space="preserve"> </w:t>
      </w:r>
      <w:r>
        <w:rPr>
          <w:bCs/>
          <w:szCs w:val="22"/>
        </w:rPr>
        <w:t>μερική</w:t>
      </w:r>
      <w:r w:rsidRPr="00323DFE">
        <w:rPr>
          <w:bCs/>
          <w:szCs w:val="22"/>
        </w:rPr>
        <w:t xml:space="preserve"> </w:t>
      </w:r>
      <w:r>
        <w:rPr>
          <w:bCs/>
          <w:szCs w:val="22"/>
        </w:rPr>
        <w:t>ή</w:t>
      </w:r>
      <w:r w:rsidRPr="00323DFE">
        <w:rPr>
          <w:bCs/>
          <w:szCs w:val="22"/>
        </w:rPr>
        <w:t xml:space="preserve"> </w:t>
      </w:r>
      <w:r>
        <w:rPr>
          <w:bCs/>
          <w:szCs w:val="22"/>
        </w:rPr>
        <w:t>πλήρης</w:t>
      </w:r>
      <w:r w:rsidRPr="00323DFE">
        <w:rPr>
          <w:bCs/>
          <w:szCs w:val="22"/>
        </w:rPr>
        <w:t xml:space="preserve"> </w:t>
      </w:r>
      <w:r>
        <w:rPr>
          <w:bCs/>
          <w:szCs w:val="22"/>
        </w:rPr>
        <w:t>διασταυρούμενη</w:t>
      </w:r>
      <w:r w:rsidRPr="00323DFE">
        <w:rPr>
          <w:bCs/>
          <w:szCs w:val="22"/>
        </w:rPr>
        <w:t xml:space="preserve"> </w:t>
      </w:r>
      <w:r>
        <w:rPr>
          <w:bCs/>
          <w:szCs w:val="22"/>
        </w:rPr>
        <w:t>ανθεκτικότητα</w:t>
      </w:r>
      <w:r w:rsidRPr="00323DFE">
        <w:rPr>
          <w:bCs/>
          <w:szCs w:val="22"/>
        </w:rPr>
        <w:t xml:space="preserve"> </w:t>
      </w:r>
      <w:r>
        <w:rPr>
          <w:bCs/>
          <w:szCs w:val="22"/>
        </w:rPr>
        <w:t>στην</w:t>
      </w:r>
      <w:r w:rsidRPr="00323DFE">
        <w:rPr>
          <w:bCs/>
          <w:szCs w:val="22"/>
        </w:rPr>
        <w:t xml:space="preserve"> </w:t>
      </w:r>
      <w:r>
        <w:rPr>
          <w:bCs/>
          <w:szCs w:val="22"/>
        </w:rPr>
        <w:t>κεφτριαξόνη</w:t>
      </w:r>
      <w:r w:rsidRPr="00323DFE">
        <w:rPr>
          <w:bCs/>
          <w:szCs w:val="22"/>
        </w:rPr>
        <w:t xml:space="preserve"> </w:t>
      </w:r>
      <w:r>
        <w:rPr>
          <w:bCs/>
          <w:szCs w:val="22"/>
        </w:rPr>
        <w:t>παρουσιάζεται</w:t>
      </w:r>
      <w:r w:rsidRPr="00323DFE">
        <w:rPr>
          <w:bCs/>
          <w:szCs w:val="22"/>
        </w:rPr>
        <w:t xml:space="preserve"> </w:t>
      </w:r>
      <w:r>
        <w:rPr>
          <w:bCs/>
          <w:szCs w:val="22"/>
        </w:rPr>
        <w:t>με</w:t>
      </w:r>
      <w:r w:rsidRPr="00323DFE">
        <w:rPr>
          <w:bCs/>
          <w:szCs w:val="22"/>
        </w:rPr>
        <w:t xml:space="preserve"> </w:t>
      </w:r>
      <w:r>
        <w:rPr>
          <w:bCs/>
          <w:szCs w:val="22"/>
        </w:rPr>
        <w:t>άλλες</w:t>
      </w:r>
      <w:r w:rsidRPr="00323DFE">
        <w:rPr>
          <w:bCs/>
          <w:szCs w:val="22"/>
        </w:rPr>
        <w:t xml:space="preserve"> </w:t>
      </w:r>
      <w:r>
        <w:rPr>
          <w:bCs/>
          <w:szCs w:val="22"/>
        </w:rPr>
        <w:t>κεφαλοσπορίνες</w:t>
      </w:r>
      <w:r w:rsidRPr="00323DFE">
        <w:rPr>
          <w:bCs/>
          <w:szCs w:val="22"/>
        </w:rPr>
        <w:t xml:space="preserve"> </w:t>
      </w:r>
      <w:r>
        <w:rPr>
          <w:bCs/>
          <w:szCs w:val="22"/>
        </w:rPr>
        <w:t>όπως</w:t>
      </w:r>
      <w:r w:rsidRPr="00323DFE">
        <w:rPr>
          <w:bCs/>
          <w:szCs w:val="22"/>
        </w:rPr>
        <w:t xml:space="preserve"> </w:t>
      </w:r>
      <w:r>
        <w:rPr>
          <w:bCs/>
          <w:szCs w:val="22"/>
        </w:rPr>
        <w:t>η</w:t>
      </w:r>
      <w:r w:rsidRPr="00323DFE">
        <w:rPr>
          <w:bCs/>
          <w:szCs w:val="22"/>
        </w:rPr>
        <w:t xml:space="preserve"> </w:t>
      </w:r>
      <w:r>
        <w:rPr>
          <w:bCs/>
          <w:szCs w:val="22"/>
        </w:rPr>
        <w:t>κεφοταξίμη</w:t>
      </w:r>
      <w:r w:rsidRPr="00323DFE">
        <w:rPr>
          <w:bCs/>
          <w:szCs w:val="22"/>
        </w:rPr>
        <w:t xml:space="preserve"> </w:t>
      </w:r>
      <w:r>
        <w:rPr>
          <w:bCs/>
          <w:szCs w:val="22"/>
        </w:rPr>
        <w:t>ή</w:t>
      </w:r>
      <w:r w:rsidRPr="00323DFE">
        <w:rPr>
          <w:bCs/>
          <w:szCs w:val="22"/>
        </w:rPr>
        <w:t xml:space="preserve"> </w:t>
      </w:r>
      <w:r>
        <w:rPr>
          <w:bCs/>
          <w:szCs w:val="22"/>
        </w:rPr>
        <w:t>η</w:t>
      </w:r>
      <w:r w:rsidRPr="00323DFE">
        <w:rPr>
          <w:bCs/>
          <w:szCs w:val="22"/>
        </w:rPr>
        <w:t xml:space="preserve"> </w:t>
      </w:r>
      <w:r>
        <w:rPr>
          <w:bCs/>
          <w:szCs w:val="22"/>
        </w:rPr>
        <w:t xml:space="preserve">κεφταζιντίμη. </w:t>
      </w:r>
      <w:r w:rsidRPr="00323DFE">
        <w:rPr>
          <w:bCs/>
          <w:szCs w:val="22"/>
        </w:rPr>
        <w:t xml:space="preserve"> </w:t>
      </w:r>
    </w:p>
    <w:p w:rsidR="00323DFE" w:rsidRPr="00823C1F" w:rsidRDefault="00323DFE" w:rsidP="003E2A03">
      <w:pPr>
        <w:tabs>
          <w:tab w:val="left" w:pos="480"/>
        </w:tabs>
        <w:jc w:val="both"/>
        <w:rPr>
          <w:bCs/>
          <w:szCs w:val="22"/>
        </w:rPr>
      </w:pPr>
    </w:p>
    <w:p w:rsidR="00323DFE" w:rsidRPr="00823C1F" w:rsidRDefault="005C3A20" w:rsidP="003E2A03">
      <w:pPr>
        <w:tabs>
          <w:tab w:val="left" w:pos="480"/>
        </w:tabs>
        <w:jc w:val="both"/>
        <w:rPr>
          <w:bCs/>
          <w:szCs w:val="22"/>
        </w:rPr>
      </w:pPr>
      <w:r w:rsidRPr="005C3A20">
        <w:rPr>
          <w:bCs/>
          <w:szCs w:val="22"/>
          <w:u w:val="single"/>
        </w:rPr>
        <w:t>Όρια αναστολής</w:t>
      </w:r>
    </w:p>
    <w:p w:rsidR="00323DFE" w:rsidRPr="00823C1F" w:rsidRDefault="00323DFE" w:rsidP="003E2A03">
      <w:pPr>
        <w:tabs>
          <w:tab w:val="left" w:pos="480"/>
        </w:tabs>
        <w:jc w:val="both"/>
        <w:rPr>
          <w:bCs/>
          <w:szCs w:val="22"/>
        </w:rPr>
      </w:pPr>
    </w:p>
    <w:p w:rsidR="00323DFE" w:rsidRPr="00414B0D" w:rsidRDefault="00323DFE" w:rsidP="003E2A03">
      <w:pPr>
        <w:tabs>
          <w:tab w:val="left" w:pos="480"/>
        </w:tabs>
        <w:jc w:val="both"/>
        <w:rPr>
          <w:bCs/>
          <w:szCs w:val="22"/>
        </w:rPr>
      </w:pPr>
      <w:r>
        <w:rPr>
          <w:bCs/>
          <w:szCs w:val="22"/>
        </w:rPr>
        <w:t>Οι</w:t>
      </w:r>
      <w:r w:rsidRPr="00323DFE">
        <w:rPr>
          <w:bCs/>
          <w:szCs w:val="22"/>
        </w:rPr>
        <w:t xml:space="preserve"> </w:t>
      </w:r>
      <w:r w:rsidR="00F17411">
        <w:rPr>
          <w:bCs/>
          <w:szCs w:val="22"/>
        </w:rPr>
        <w:t>συνηθισμένες</w:t>
      </w:r>
      <w:r w:rsidR="00F17411" w:rsidRPr="00323DFE">
        <w:rPr>
          <w:bCs/>
          <w:szCs w:val="22"/>
        </w:rPr>
        <w:t xml:space="preserve"> </w:t>
      </w:r>
      <w:r>
        <w:rPr>
          <w:bCs/>
          <w:szCs w:val="22"/>
        </w:rPr>
        <w:t>σειρές</w:t>
      </w:r>
      <w:r w:rsidRPr="00323DFE">
        <w:rPr>
          <w:bCs/>
          <w:szCs w:val="22"/>
        </w:rPr>
        <w:t xml:space="preserve"> </w:t>
      </w:r>
      <w:r>
        <w:rPr>
          <w:bCs/>
          <w:szCs w:val="22"/>
        </w:rPr>
        <w:t>αραίωσης</w:t>
      </w:r>
      <w:r w:rsidRPr="00323DFE">
        <w:rPr>
          <w:bCs/>
          <w:szCs w:val="22"/>
        </w:rPr>
        <w:t xml:space="preserve"> </w:t>
      </w:r>
      <w:r>
        <w:rPr>
          <w:bCs/>
          <w:szCs w:val="22"/>
        </w:rPr>
        <w:t>χρησιμοποιούνται</w:t>
      </w:r>
      <w:r w:rsidRPr="00323DFE">
        <w:rPr>
          <w:bCs/>
          <w:szCs w:val="22"/>
        </w:rPr>
        <w:t xml:space="preserve"> </w:t>
      </w:r>
      <w:r>
        <w:rPr>
          <w:bCs/>
          <w:szCs w:val="22"/>
        </w:rPr>
        <w:t>για</w:t>
      </w:r>
      <w:r w:rsidRPr="00323DFE">
        <w:rPr>
          <w:bCs/>
          <w:szCs w:val="22"/>
        </w:rPr>
        <w:t xml:space="preserve"> </w:t>
      </w:r>
      <w:r>
        <w:rPr>
          <w:bCs/>
          <w:szCs w:val="22"/>
        </w:rPr>
        <w:t>την</w:t>
      </w:r>
      <w:r w:rsidRPr="00323DFE">
        <w:rPr>
          <w:bCs/>
          <w:szCs w:val="22"/>
        </w:rPr>
        <w:t xml:space="preserve"> </w:t>
      </w:r>
      <w:r>
        <w:rPr>
          <w:bCs/>
          <w:szCs w:val="22"/>
        </w:rPr>
        <w:t>ανάλυση</w:t>
      </w:r>
      <w:r w:rsidRPr="00323DFE">
        <w:rPr>
          <w:bCs/>
          <w:szCs w:val="22"/>
        </w:rPr>
        <w:t xml:space="preserve"> </w:t>
      </w:r>
      <w:r>
        <w:rPr>
          <w:bCs/>
          <w:szCs w:val="22"/>
        </w:rPr>
        <w:t>της</w:t>
      </w:r>
      <w:r w:rsidRPr="00323DFE">
        <w:rPr>
          <w:bCs/>
          <w:szCs w:val="22"/>
        </w:rPr>
        <w:t xml:space="preserve"> </w:t>
      </w:r>
      <w:r>
        <w:rPr>
          <w:bCs/>
          <w:szCs w:val="22"/>
        </w:rPr>
        <w:t>κεφτριαξόνης. Οι</w:t>
      </w:r>
      <w:r w:rsidRPr="00323DFE">
        <w:rPr>
          <w:bCs/>
          <w:szCs w:val="22"/>
        </w:rPr>
        <w:t xml:space="preserve"> </w:t>
      </w:r>
      <w:r>
        <w:rPr>
          <w:bCs/>
          <w:szCs w:val="22"/>
        </w:rPr>
        <w:t>παρακάτω</w:t>
      </w:r>
      <w:r w:rsidRPr="00323DFE">
        <w:rPr>
          <w:bCs/>
          <w:szCs w:val="22"/>
        </w:rPr>
        <w:t xml:space="preserve"> </w:t>
      </w:r>
      <w:r>
        <w:rPr>
          <w:bCs/>
          <w:szCs w:val="22"/>
        </w:rPr>
        <w:t>ελάχιστες</w:t>
      </w:r>
      <w:r w:rsidRPr="00323DFE">
        <w:rPr>
          <w:bCs/>
          <w:szCs w:val="22"/>
        </w:rPr>
        <w:t xml:space="preserve"> </w:t>
      </w:r>
      <w:r>
        <w:rPr>
          <w:bCs/>
          <w:szCs w:val="22"/>
        </w:rPr>
        <w:t xml:space="preserve">συγκεντρώσεις αναστολής έχουν προσδιοριστεί για τα ευαίσθητα και ανθεκτικά μικρόβια: </w:t>
      </w:r>
    </w:p>
    <w:p w:rsidR="00323DFE" w:rsidRPr="00414B0D" w:rsidRDefault="00323DFE" w:rsidP="003E2A03">
      <w:pPr>
        <w:tabs>
          <w:tab w:val="left" w:pos="480"/>
        </w:tabs>
        <w:jc w:val="both"/>
        <w:rPr>
          <w:bCs/>
          <w:szCs w:val="22"/>
        </w:rPr>
      </w:pPr>
    </w:p>
    <w:p w:rsidR="00323DFE" w:rsidRPr="00323DFE" w:rsidRDefault="00323DFE" w:rsidP="003E2A03">
      <w:pPr>
        <w:pStyle w:val="3"/>
        <w:ind w:left="0"/>
        <w:jc w:val="both"/>
        <w:rPr>
          <w:i/>
          <w:iCs/>
          <w:sz w:val="22"/>
          <w:szCs w:val="22"/>
        </w:rPr>
      </w:pPr>
      <w:r w:rsidRPr="00323DFE">
        <w:rPr>
          <w:sz w:val="22"/>
          <w:szCs w:val="22"/>
          <w:lang w:val="en-US"/>
        </w:rPr>
        <w:t>EUCAST</w:t>
      </w:r>
      <w:r w:rsidRPr="00323DFE">
        <w:rPr>
          <w:sz w:val="22"/>
          <w:szCs w:val="22"/>
        </w:rPr>
        <w:t xml:space="preserve"> (</w:t>
      </w:r>
      <w:r>
        <w:rPr>
          <w:sz w:val="22"/>
          <w:szCs w:val="22"/>
        </w:rPr>
        <w:t>Ευρωπαϊκή</w:t>
      </w:r>
      <w:r w:rsidRPr="00323DFE">
        <w:rPr>
          <w:sz w:val="22"/>
          <w:szCs w:val="22"/>
        </w:rPr>
        <w:t xml:space="preserve"> </w:t>
      </w:r>
      <w:r>
        <w:rPr>
          <w:sz w:val="22"/>
          <w:szCs w:val="22"/>
        </w:rPr>
        <w:t>Επιτροπή</w:t>
      </w:r>
      <w:r w:rsidRPr="00323DFE">
        <w:rPr>
          <w:sz w:val="22"/>
          <w:szCs w:val="22"/>
        </w:rPr>
        <w:t xml:space="preserve"> </w:t>
      </w:r>
      <w:r>
        <w:rPr>
          <w:sz w:val="22"/>
          <w:szCs w:val="22"/>
        </w:rPr>
        <w:t>για</w:t>
      </w:r>
      <w:r w:rsidRPr="00323DFE">
        <w:rPr>
          <w:sz w:val="22"/>
          <w:szCs w:val="22"/>
        </w:rPr>
        <w:t xml:space="preserve"> </w:t>
      </w:r>
      <w:r>
        <w:rPr>
          <w:sz w:val="22"/>
          <w:szCs w:val="22"/>
        </w:rPr>
        <w:t>τον</w:t>
      </w:r>
      <w:r w:rsidRPr="00323DFE">
        <w:rPr>
          <w:sz w:val="22"/>
          <w:szCs w:val="22"/>
        </w:rPr>
        <w:t xml:space="preserve"> </w:t>
      </w:r>
      <w:r>
        <w:rPr>
          <w:sz w:val="22"/>
          <w:szCs w:val="22"/>
        </w:rPr>
        <w:t>έλεγχο</w:t>
      </w:r>
      <w:r w:rsidRPr="00323DFE">
        <w:rPr>
          <w:sz w:val="22"/>
          <w:szCs w:val="22"/>
        </w:rPr>
        <w:t xml:space="preserve"> </w:t>
      </w:r>
      <w:r>
        <w:rPr>
          <w:sz w:val="22"/>
          <w:szCs w:val="22"/>
        </w:rPr>
        <w:t>Αντιμικροβιακής</w:t>
      </w:r>
      <w:r w:rsidRPr="00323DFE">
        <w:rPr>
          <w:sz w:val="22"/>
          <w:szCs w:val="22"/>
        </w:rPr>
        <w:t xml:space="preserve"> </w:t>
      </w:r>
      <w:r>
        <w:rPr>
          <w:sz w:val="22"/>
          <w:szCs w:val="22"/>
        </w:rPr>
        <w:t>Ευαισθησίας</w:t>
      </w:r>
      <w:r w:rsidRPr="00323DFE">
        <w:rPr>
          <w:sz w:val="22"/>
          <w:szCs w:val="22"/>
        </w:rPr>
        <w:t xml:space="preserve">) </w:t>
      </w:r>
      <w:r>
        <w:rPr>
          <w:sz w:val="22"/>
          <w:szCs w:val="22"/>
        </w:rPr>
        <w:t>οριακά σημεία</w:t>
      </w:r>
      <w:r w:rsidRPr="00323DFE">
        <w:rPr>
          <w:sz w:val="22"/>
          <w:szCs w:val="22"/>
        </w:rPr>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2498"/>
        <w:gridCol w:w="2662"/>
      </w:tblGrid>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323DFE" w:rsidRDefault="00323DFE" w:rsidP="006718E7">
            <w:pPr>
              <w:rPr>
                <w:szCs w:val="22"/>
              </w:rPr>
            </w:pPr>
            <w:r>
              <w:rPr>
                <w:szCs w:val="22"/>
              </w:rPr>
              <w:t>Παθογόνο</w:t>
            </w:r>
          </w:p>
        </w:tc>
        <w:tc>
          <w:tcPr>
            <w:tcW w:w="2498" w:type="dxa"/>
            <w:tcBorders>
              <w:top w:val="single" w:sz="4" w:space="0" w:color="auto"/>
              <w:left w:val="single" w:sz="4" w:space="0" w:color="auto"/>
              <w:bottom w:val="single" w:sz="4" w:space="0" w:color="auto"/>
              <w:right w:val="single" w:sz="4" w:space="0" w:color="auto"/>
            </w:tcBorders>
          </w:tcPr>
          <w:p w:rsidR="00323DFE" w:rsidRPr="00323DFE" w:rsidRDefault="00DD70C8" w:rsidP="006718E7">
            <w:pPr>
              <w:tabs>
                <w:tab w:val="left" w:pos="540"/>
              </w:tabs>
              <w:rPr>
                <w:szCs w:val="22"/>
              </w:rPr>
            </w:pPr>
            <w:r>
              <w:rPr>
                <w:szCs w:val="22"/>
              </w:rPr>
              <w:t>Ευαίσθητος</w:t>
            </w:r>
          </w:p>
        </w:tc>
        <w:tc>
          <w:tcPr>
            <w:tcW w:w="2662" w:type="dxa"/>
            <w:tcBorders>
              <w:top w:val="single" w:sz="4" w:space="0" w:color="auto"/>
              <w:left w:val="single" w:sz="4" w:space="0" w:color="auto"/>
              <w:bottom w:val="single" w:sz="4" w:space="0" w:color="auto"/>
              <w:right w:val="single" w:sz="4" w:space="0" w:color="auto"/>
            </w:tcBorders>
          </w:tcPr>
          <w:p w:rsidR="00323DFE" w:rsidRPr="00323DFE" w:rsidRDefault="00DD70C8" w:rsidP="006718E7">
            <w:pPr>
              <w:tabs>
                <w:tab w:val="left" w:pos="540"/>
              </w:tabs>
              <w:rPr>
                <w:szCs w:val="22"/>
              </w:rPr>
            </w:pPr>
            <w:r>
              <w:rPr>
                <w:szCs w:val="22"/>
              </w:rPr>
              <w:t>Ανθεκτικός</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sz w:val="22"/>
                <w:szCs w:val="22"/>
                <w:lang w:val="en-GB"/>
              </w:rPr>
            </w:pPr>
            <w:r w:rsidRPr="001C039E">
              <w:rPr>
                <w:rFonts w:ascii="Times New Roman" w:hAnsi="Times New Roman"/>
                <w:b w:val="0"/>
                <w:i/>
                <w:sz w:val="22"/>
                <w:szCs w:val="22"/>
                <w:lang w:val="en-GB"/>
              </w:rPr>
              <w:lastRenderedPageBreak/>
              <w:t>Enterobacteriaceae</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lang w:val="en-GB"/>
              </w:rPr>
            </w:pPr>
            <w:r w:rsidRPr="001C039E">
              <w:rPr>
                <w:szCs w:val="22"/>
              </w:rPr>
              <w:sym w:font="Symbol" w:char="F0A3"/>
            </w:r>
            <w:r w:rsidRPr="001C039E">
              <w:rPr>
                <w:szCs w:val="22"/>
                <w:lang w:val="en-GB"/>
              </w:rPr>
              <w:t xml:space="preserve"> 1 mg/l</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lang w:val="en-GB"/>
              </w:rPr>
            </w:pPr>
            <w:r w:rsidRPr="001C039E">
              <w:rPr>
                <w:szCs w:val="22"/>
                <w:lang w:val="en-GB"/>
              </w:rPr>
              <w:t>&gt; 2 mg/l</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iCs/>
                <w:sz w:val="22"/>
                <w:szCs w:val="22"/>
                <w:lang w:val="en-GB"/>
              </w:rPr>
            </w:pPr>
            <w:proofErr w:type="gramStart"/>
            <w:r w:rsidRPr="001C039E">
              <w:rPr>
                <w:rFonts w:ascii="Times New Roman" w:hAnsi="Times New Roman"/>
                <w:b w:val="0"/>
                <w:i/>
                <w:sz w:val="22"/>
                <w:szCs w:val="22"/>
                <w:lang w:val="en-GB"/>
              </w:rPr>
              <w:t>Staphylococcus</w:t>
            </w:r>
            <w:r w:rsidRPr="001C039E">
              <w:rPr>
                <w:rFonts w:ascii="Times New Roman" w:hAnsi="Times New Roman"/>
                <w:b w:val="0"/>
                <w:i/>
                <w:iCs/>
                <w:sz w:val="22"/>
                <w:szCs w:val="22"/>
                <w:lang w:val="en-GB"/>
              </w:rPr>
              <w:t xml:space="preserve"> spp.</w:t>
            </w:r>
            <w:proofErr w:type="gramEnd"/>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lang w:val="en-GB"/>
              </w:rPr>
            </w:pPr>
            <w:r w:rsidRPr="001C039E">
              <w:rPr>
                <w:szCs w:val="22"/>
                <w:lang w:val="en-GB"/>
              </w:rPr>
              <w:t>--*</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lang w:val="en-GB"/>
              </w:rPr>
            </w:pPr>
            <w:r w:rsidRPr="001C039E">
              <w:rPr>
                <w:szCs w:val="22"/>
                <w:lang w:val="en-GB"/>
              </w:rPr>
              <w:t>--*</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iCs/>
                <w:sz w:val="22"/>
                <w:szCs w:val="22"/>
                <w:lang w:val="fr-FR"/>
              </w:rPr>
            </w:pPr>
            <w:proofErr w:type="gramStart"/>
            <w:r w:rsidRPr="001C039E">
              <w:rPr>
                <w:rFonts w:ascii="Times New Roman" w:hAnsi="Times New Roman"/>
                <w:b w:val="0"/>
                <w:i/>
                <w:sz w:val="22"/>
                <w:szCs w:val="22"/>
                <w:lang w:val="en-GB"/>
              </w:rPr>
              <w:t>Streptococcus</w:t>
            </w:r>
            <w:r w:rsidRPr="001C039E">
              <w:rPr>
                <w:rFonts w:ascii="Times New Roman" w:hAnsi="Times New Roman"/>
                <w:b w:val="0"/>
                <w:i/>
                <w:iCs/>
                <w:sz w:val="22"/>
                <w:szCs w:val="22"/>
                <w:lang w:val="en-GB"/>
              </w:rPr>
              <w:t xml:space="preserve"> (serolog.</w:t>
            </w:r>
            <w:proofErr w:type="gramEnd"/>
            <w:r w:rsidRPr="001C039E">
              <w:rPr>
                <w:rFonts w:ascii="Times New Roman" w:hAnsi="Times New Roman"/>
                <w:b w:val="0"/>
                <w:i/>
                <w:iCs/>
                <w:sz w:val="22"/>
                <w:szCs w:val="22"/>
                <w:lang w:val="en-GB"/>
              </w:rPr>
              <w:t xml:space="preserve"> </w:t>
            </w:r>
            <w:r w:rsidRPr="001C039E">
              <w:rPr>
                <w:rFonts w:ascii="Times New Roman" w:hAnsi="Times New Roman"/>
                <w:b w:val="0"/>
                <w:i/>
                <w:iCs/>
                <w:sz w:val="22"/>
                <w:szCs w:val="22"/>
                <w:lang w:val="fr-FR"/>
              </w:rPr>
              <w:t>Gr. A, B, C, G)</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5C3A20" w:rsidP="006718E7">
            <w:pPr>
              <w:tabs>
                <w:tab w:val="left" w:pos="540"/>
              </w:tabs>
              <w:rPr>
                <w:szCs w:val="22"/>
              </w:rPr>
            </w:pPr>
            <w:r>
              <w:rPr>
                <w:szCs w:val="22"/>
              </w:rPr>
              <w:t>--**</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5C3A20" w:rsidP="006718E7">
            <w:pPr>
              <w:tabs>
                <w:tab w:val="left" w:pos="540"/>
              </w:tabs>
              <w:rPr>
                <w:szCs w:val="22"/>
              </w:rPr>
            </w:pPr>
            <w:r>
              <w:rPr>
                <w:szCs w:val="22"/>
              </w:rPr>
              <w:t>--**</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iCs/>
                <w:sz w:val="22"/>
                <w:szCs w:val="22"/>
              </w:rPr>
            </w:pPr>
            <w:r w:rsidRPr="001C039E">
              <w:rPr>
                <w:rFonts w:ascii="Times New Roman" w:hAnsi="Times New Roman"/>
                <w:b w:val="0"/>
                <w:i/>
                <w:sz w:val="22"/>
                <w:szCs w:val="22"/>
              </w:rPr>
              <w:t>Streptococcus pneumoniae</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sym w:font="Symbol" w:char="F0A3"/>
            </w:r>
            <w:r w:rsidRPr="001C039E">
              <w:rPr>
                <w:szCs w:val="22"/>
              </w:rPr>
              <w:t xml:space="preserve"> 0</w:t>
            </w:r>
            <w:r>
              <w:rPr>
                <w:szCs w:val="22"/>
              </w:rPr>
              <w:t>.</w:t>
            </w:r>
            <w:r w:rsidRPr="001C039E">
              <w:rPr>
                <w:szCs w:val="22"/>
              </w:rPr>
              <w:t>5 mg/l</w:t>
            </w:r>
            <w:r w:rsidR="005C3A20">
              <w:rPr>
                <w:szCs w:val="22"/>
              </w:rPr>
              <w:t>***</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t>&gt; 2 mg/l</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sz w:val="22"/>
                <w:szCs w:val="22"/>
              </w:rPr>
            </w:pPr>
            <w:r w:rsidRPr="001C039E">
              <w:rPr>
                <w:rFonts w:ascii="Times New Roman" w:hAnsi="Times New Roman"/>
                <w:b w:val="0"/>
                <w:i/>
                <w:sz w:val="22"/>
                <w:szCs w:val="22"/>
              </w:rPr>
              <w:t>Haemophilus influenzae</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sym w:font="Symbol" w:char="F0A3"/>
            </w:r>
            <w:r w:rsidRPr="001C039E">
              <w:rPr>
                <w:szCs w:val="22"/>
              </w:rPr>
              <w:t xml:space="preserve"> 0</w:t>
            </w:r>
            <w:r>
              <w:rPr>
                <w:szCs w:val="22"/>
              </w:rPr>
              <w:t>.</w:t>
            </w:r>
            <w:r w:rsidRPr="001C039E">
              <w:rPr>
                <w:szCs w:val="22"/>
              </w:rPr>
              <w:t>12 mg/l</w:t>
            </w:r>
            <w:r w:rsidR="005C3A20">
              <w:rPr>
                <w:szCs w:val="22"/>
              </w:rPr>
              <w:t>***</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t>&gt; 0</w:t>
            </w:r>
            <w:r>
              <w:rPr>
                <w:szCs w:val="22"/>
              </w:rPr>
              <w:t>.</w:t>
            </w:r>
            <w:r w:rsidRPr="001C039E">
              <w:rPr>
                <w:szCs w:val="22"/>
              </w:rPr>
              <w:t>12 mg/l</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sz w:val="22"/>
                <w:szCs w:val="22"/>
              </w:rPr>
            </w:pPr>
            <w:r w:rsidRPr="001C039E">
              <w:rPr>
                <w:rFonts w:ascii="Times New Roman" w:hAnsi="Times New Roman"/>
                <w:b w:val="0"/>
                <w:i/>
                <w:sz w:val="22"/>
                <w:szCs w:val="22"/>
              </w:rPr>
              <w:t>Moraxella catarrhalis</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lang w:val="it-IT"/>
              </w:rPr>
            </w:pPr>
            <w:r w:rsidRPr="001C039E">
              <w:rPr>
                <w:szCs w:val="22"/>
              </w:rPr>
              <w:sym w:font="Symbol" w:char="F0A3"/>
            </w:r>
            <w:r w:rsidRPr="001C039E">
              <w:rPr>
                <w:szCs w:val="22"/>
                <w:lang w:val="it-IT"/>
              </w:rPr>
              <w:t xml:space="preserve"> </w:t>
            </w:r>
            <w:r>
              <w:rPr>
                <w:szCs w:val="22"/>
                <w:lang w:val="it-IT"/>
              </w:rPr>
              <w:t>.</w:t>
            </w:r>
            <w:r w:rsidRPr="001C039E">
              <w:rPr>
                <w:szCs w:val="22"/>
                <w:lang w:val="it-IT"/>
              </w:rPr>
              <w:t>1 mg/l</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lang w:val="it-IT"/>
              </w:rPr>
            </w:pPr>
            <w:r w:rsidRPr="001C039E">
              <w:rPr>
                <w:szCs w:val="22"/>
                <w:lang w:val="it-IT"/>
              </w:rPr>
              <w:t>&gt; 2 mg/l</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sz w:val="22"/>
                <w:szCs w:val="22"/>
              </w:rPr>
            </w:pPr>
            <w:r w:rsidRPr="001C039E">
              <w:rPr>
                <w:rFonts w:ascii="Times New Roman" w:hAnsi="Times New Roman"/>
                <w:b w:val="0"/>
                <w:i/>
                <w:sz w:val="22"/>
                <w:szCs w:val="22"/>
              </w:rPr>
              <w:t>Neisseria gonorrhoeae</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sym w:font="Symbol" w:char="F0A3"/>
            </w:r>
            <w:r w:rsidRPr="001C039E">
              <w:rPr>
                <w:szCs w:val="22"/>
              </w:rPr>
              <w:t xml:space="preserve"> 0</w:t>
            </w:r>
            <w:r>
              <w:rPr>
                <w:szCs w:val="22"/>
              </w:rPr>
              <w:t>.</w:t>
            </w:r>
            <w:r w:rsidRPr="001C039E">
              <w:rPr>
                <w:szCs w:val="22"/>
              </w:rPr>
              <w:t>12 mg/l</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t>&gt; 0</w:t>
            </w:r>
            <w:r>
              <w:rPr>
                <w:szCs w:val="22"/>
              </w:rPr>
              <w:t>.</w:t>
            </w:r>
            <w:r w:rsidRPr="001C039E">
              <w:rPr>
                <w:szCs w:val="22"/>
              </w:rPr>
              <w:t>12 mg/l</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pStyle w:val="1"/>
              <w:ind w:left="0" w:firstLine="0"/>
              <w:jc w:val="left"/>
              <w:rPr>
                <w:rFonts w:ascii="Times New Roman" w:hAnsi="Times New Roman"/>
                <w:b w:val="0"/>
                <w:i/>
                <w:sz w:val="22"/>
                <w:szCs w:val="22"/>
              </w:rPr>
            </w:pPr>
            <w:r w:rsidRPr="001C039E">
              <w:rPr>
                <w:rFonts w:ascii="Times New Roman" w:hAnsi="Times New Roman"/>
                <w:b w:val="0"/>
                <w:i/>
                <w:sz w:val="22"/>
                <w:szCs w:val="22"/>
              </w:rPr>
              <w:t>Neisseria meningitidis</w:t>
            </w:r>
          </w:p>
        </w:tc>
        <w:tc>
          <w:tcPr>
            <w:tcW w:w="2498" w:type="dxa"/>
            <w:tcBorders>
              <w:top w:val="single" w:sz="4" w:space="0" w:color="auto"/>
              <w:left w:val="single" w:sz="4" w:space="0" w:color="auto"/>
              <w:bottom w:val="single" w:sz="4" w:space="0" w:color="auto"/>
              <w:right w:val="single" w:sz="4" w:space="0" w:color="auto"/>
            </w:tcBorders>
          </w:tcPr>
          <w:p w:rsidR="00323DFE" w:rsidRPr="005C3A20" w:rsidRDefault="00323DFE" w:rsidP="006718E7">
            <w:pPr>
              <w:tabs>
                <w:tab w:val="left" w:pos="540"/>
              </w:tabs>
              <w:rPr>
                <w:szCs w:val="22"/>
              </w:rPr>
            </w:pPr>
            <w:r w:rsidRPr="001C039E">
              <w:rPr>
                <w:szCs w:val="22"/>
              </w:rPr>
              <w:sym w:font="Symbol" w:char="F0A3"/>
            </w:r>
            <w:r w:rsidRPr="001C039E">
              <w:rPr>
                <w:szCs w:val="22"/>
                <w:lang w:val="it-IT"/>
              </w:rPr>
              <w:t xml:space="preserve"> 0</w:t>
            </w:r>
            <w:r>
              <w:rPr>
                <w:szCs w:val="22"/>
                <w:lang w:val="it-IT"/>
              </w:rPr>
              <w:t>.</w:t>
            </w:r>
            <w:r w:rsidRPr="001C039E">
              <w:rPr>
                <w:szCs w:val="22"/>
                <w:lang w:val="it-IT"/>
              </w:rPr>
              <w:t>12 mg/l</w:t>
            </w:r>
            <w:r w:rsidR="005C3A20">
              <w:rPr>
                <w:szCs w:val="22"/>
              </w:rPr>
              <w:t>***</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t>&gt; 0</w:t>
            </w:r>
            <w:r>
              <w:rPr>
                <w:szCs w:val="22"/>
              </w:rPr>
              <w:t>.</w:t>
            </w:r>
            <w:r w:rsidRPr="001C039E">
              <w:rPr>
                <w:szCs w:val="22"/>
              </w:rPr>
              <w:t>12 mg/l</w:t>
            </w:r>
          </w:p>
        </w:tc>
      </w:tr>
      <w:tr w:rsidR="00323DFE" w:rsidRPr="001C039E">
        <w:tblPrEx>
          <w:tblCellMar>
            <w:top w:w="0" w:type="dxa"/>
            <w:bottom w:w="0" w:type="dxa"/>
          </w:tblCellMar>
        </w:tblPrEx>
        <w:tc>
          <w:tcPr>
            <w:tcW w:w="3360" w:type="dxa"/>
            <w:tcBorders>
              <w:top w:val="single" w:sz="4" w:space="0" w:color="auto"/>
              <w:left w:val="single" w:sz="4" w:space="0" w:color="auto"/>
              <w:bottom w:val="single" w:sz="4" w:space="0" w:color="auto"/>
              <w:right w:val="single" w:sz="4" w:space="0" w:color="auto"/>
            </w:tcBorders>
          </w:tcPr>
          <w:p w:rsidR="00323DFE" w:rsidRPr="005C3A20" w:rsidRDefault="00323DFE" w:rsidP="006718E7">
            <w:pPr>
              <w:pStyle w:val="1"/>
              <w:ind w:left="0" w:firstLine="0"/>
              <w:jc w:val="left"/>
              <w:rPr>
                <w:rFonts w:ascii="Times New Roman" w:hAnsi="Times New Roman"/>
                <w:b w:val="0"/>
                <w:i/>
                <w:iCs/>
                <w:sz w:val="22"/>
                <w:szCs w:val="22"/>
                <w:lang w:val="en-US"/>
              </w:rPr>
            </w:pPr>
            <w:r w:rsidRPr="001C039E">
              <w:rPr>
                <w:rFonts w:ascii="Times New Roman" w:hAnsi="Times New Roman"/>
                <w:b w:val="0"/>
                <w:iCs/>
                <w:sz w:val="22"/>
                <w:szCs w:val="22"/>
                <w:lang w:val="en-GB"/>
              </w:rPr>
              <w:t>Not species-specific break points</w:t>
            </w:r>
            <w:r w:rsidRPr="001C039E">
              <w:rPr>
                <w:rFonts w:ascii="Times New Roman" w:hAnsi="Times New Roman"/>
                <w:b w:val="0"/>
                <w:i/>
                <w:iCs/>
                <w:sz w:val="22"/>
                <w:szCs w:val="22"/>
                <w:lang w:val="en-GB"/>
              </w:rPr>
              <w:t>**</w:t>
            </w:r>
            <w:r w:rsidR="005C3A20" w:rsidRPr="005C3A20">
              <w:rPr>
                <w:rFonts w:ascii="Times New Roman" w:hAnsi="Times New Roman"/>
                <w:b w:val="0"/>
                <w:i/>
                <w:iCs/>
                <w:sz w:val="22"/>
                <w:szCs w:val="22"/>
                <w:lang w:val="en-US"/>
              </w:rPr>
              <w:t>**</w:t>
            </w:r>
          </w:p>
        </w:tc>
        <w:tc>
          <w:tcPr>
            <w:tcW w:w="2498"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sym w:font="Symbol" w:char="F0A3"/>
            </w:r>
            <w:r w:rsidRPr="001C039E">
              <w:rPr>
                <w:szCs w:val="22"/>
              </w:rPr>
              <w:t xml:space="preserve"> 1 mg/l</w:t>
            </w:r>
          </w:p>
        </w:tc>
        <w:tc>
          <w:tcPr>
            <w:tcW w:w="2662" w:type="dxa"/>
            <w:tcBorders>
              <w:top w:val="single" w:sz="4" w:space="0" w:color="auto"/>
              <w:left w:val="single" w:sz="4" w:space="0" w:color="auto"/>
              <w:bottom w:val="single" w:sz="4" w:space="0" w:color="auto"/>
              <w:right w:val="single" w:sz="4" w:space="0" w:color="auto"/>
            </w:tcBorders>
          </w:tcPr>
          <w:p w:rsidR="00323DFE" w:rsidRPr="001C039E" w:rsidRDefault="00323DFE" w:rsidP="006718E7">
            <w:pPr>
              <w:tabs>
                <w:tab w:val="left" w:pos="540"/>
              </w:tabs>
              <w:rPr>
                <w:szCs w:val="22"/>
              </w:rPr>
            </w:pPr>
            <w:r w:rsidRPr="001C039E">
              <w:rPr>
                <w:szCs w:val="22"/>
              </w:rPr>
              <w:t>&gt; 2 mg/l</w:t>
            </w:r>
          </w:p>
        </w:tc>
      </w:tr>
    </w:tbl>
    <w:p w:rsidR="00323DFE" w:rsidRPr="001C039E" w:rsidRDefault="00323DFE" w:rsidP="006718E7">
      <w:pPr>
        <w:pStyle w:val="a6"/>
        <w:tabs>
          <w:tab w:val="clear" w:pos="851"/>
          <w:tab w:val="clear" w:pos="993"/>
          <w:tab w:val="left" w:pos="709"/>
        </w:tabs>
        <w:spacing w:line="240" w:lineRule="auto"/>
        <w:ind w:left="0"/>
        <w:rPr>
          <w:rFonts w:ascii="Times New Roman" w:hAnsi="Times New Roman"/>
          <w:b w:val="0"/>
          <w:i w:val="0"/>
          <w:sz w:val="22"/>
          <w:szCs w:val="22"/>
        </w:rPr>
      </w:pPr>
    </w:p>
    <w:p w:rsidR="005C3A20" w:rsidRPr="002E5F14" w:rsidRDefault="00323DFE" w:rsidP="002F6670">
      <w:pPr>
        <w:pStyle w:val="a6"/>
        <w:tabs>
          <w:tab w:val="clear" w:pos="851"/>
          <w:tab w:val="clear" w:pos="993"/>
          <w:tab w:val="left" w:pos="709"/>
        </w:tabs>
        <w:spacing w:line="240" w:lineRule="auto"/>
        <w:ind w:left="0"/>
        <w:jc w:val="both"/>
        <w:rPr>
          <w:rFonts w:ascii="Times New Roman" w:hAnsi="Times New Roman"/>
          <w:b w:val="0"/>
          <w:i w:val="0"/>
          <w:sz w:val="22"/>
          <w:szCs w:val="22"/>
          <w:lang w:val="el-GR"/>
        </w:rPr>
      </w:pPr>
      <w:r w:rsidRPr="00323DFE">
        <w:rPr>
          <w:rFonts w:ascii="Times New Roman" w:hAnsi="Times New Roman"/>
          <w:b w:val="0"/>
          <w:i w:val="0"/>
          <w:sz w:val="22"/>
          <w:szCs w:val="22"/>
        </w:rPr>
        <w:t>*</w:t>
      </w:r>
      <w:r w:rsidR="002E5F14">
        <w:rPr>
          <w:rFonts w:ascii="Times New Roman" w:hAnsi="Times New Roman"/>
          <w:b w:val="0"/>
          <w:i w:val="0"/>
          <w:sz w:val="22"/>
          <w:szCs w:val="22"/>
          <w:lang w:val="el-GR"/>
        </w:rPr>
        <w:t>Η ευαισθησία των σταφυλόκοκκων στις κεφαλοσπορίνες έχει συναχθεί από την ευαισθήσια της κεφοξιτίνης.</w:t>
      </w:r>
    </w:p>
    <w:p w:rsidR="00BF5054" w:rsidRDefault="005C3A20" w:rsidP="00BF5054">
      <w:pPr>
        <w:pStyle w:val="a6"/>
        <w:tabs>
          <w:tab w:val="clear" w:pos="851"/>
          <w:tab w:val="clear" w:pos="993"/>
          <w:tab w:val="left" w:pos="709"/>
        </w:tabs>
        <w:spacing w:line="240" w:lineRule="auto"/>
        <w:ind w:left="0"/>
        <w:jc w:val="both"/>
        <w:rPr>
          <w:rFonts w:ascii="Times New Roman" w:hAnsi="Times New Roman"/>
          <w:b w:val="0"/>
          <w:i w:val="0"/>
          <w:iCs/>
          <w:sz w:val="22"/>
          <w:szCs w:val="22"/>
          <w:lang w:val="el-GR"/>
        </w:rPr>
      </w:pPr>
      <w:r>
        <w:rPr>
          <w:rFonts w:ascii="Times New Roman" w:hAnsi="Times New Roman"/>
          <w:b w:val="0"/>
          <w:i w:val="0"/>
          <w:sz w:val="22"/>
          <w:szCs w:val="22"/>
          <w:lang w:val="el-GR"/>
        </w:rPr>
        <w:t>**</w:t>
      </w:r>
      <w:r w:rsidR="00BF5054" w:rsidRPr="00BF5054">
        <w:rPr>
          <w:rFonts w:ascii="Times New Roman" w:hAnsi="Times New Roman"/>
          <w:b w:val="0"/>
          <w:i w:val="0"/>
          <w:iCs/>
          <w:sz w:val="22"/>
          <w:szCs w:val="22"/>
          <w:lang w:val="el-GR"/>
        </w:rPr>
        <w:t xml:space="preserve"> </w:t>
      </w:r>
      <w:r w:rsidR="00BF5054">
        <w:rPr>
          <w:rFonts w:ascii="Times New Roman" w:hAnsi="Times New Roman"/>
          <w:b w:val="0"/>
          <w:i w:val="0"/>
          <w:iCs/>
          <w:sz w:val="22"/>
          <w:szCs w:val="22"/>
          <w:lang w:val="el-GR"/>
        </w:rPr>
        <w:t xml:space="preserve">Η ευαισθησία της β-λακτάμης των βήτα-αιμολυτικών ομάδων στρεπτόκοκκων Α, Β, </w:t>
      </w:r>
      <w:r w:rsidR="00BF5054">
        <w:rPr>
          <w:rFonts w:ascii="Times New Roman" w:hAnsi="Times New Roman"/>
          <w:b w:val="0"/>
          <w:i w:val="0"/>
          <w:iCs/>
          <w:sz w:val="22"/>
          <w:szCs w:val="22"/>
          <w:lang w:val="en-US"/>
        </w:rPr>
        <w:t>C</w:t>
      </w:r>
      <w:r w:rsidR="00BF5054" w:rsidRPr="00A00DCF">
        <w:rPr>
          <w:rFonts w:ascii="Times New Roman" w:hAnsi="Times New Roman"/>
          <w:b w:val="0"/>
          <w:i w:val="0"/>
          <w:iCs/>
          <w:sz w:val="22"/>
          <w:szCs w:val="22"/>
          <w:lang w:val="el-GR"/>
        </w:rPr>
        <w:t xml:space="preserve"> </w:t>
      </w:r>
      <w:r w:rsidR="00BF5054">
        <w:rPr>
          <w:rFonts w:ascii="Times New Roman" w:hAnsi="Times New Roman"/>
          <w:b w:val="0"/>
          <w:i w:val="0"/>
          <w:iCs/>
          <w:sz w:val="22"/>
          <w:szCs w:val="22"/>
          <w:lang w:val="el-GR"/>
        </w:rPr>
        <w:t xml:space="preserve">και </w:t>
      </w:r>
      <w:r w:rsidR="00BF5054">
        <w:rPr>
          <w:rFonts w:ascii="Times New Roman" w:hAnsi="Times New Roman"/>
          <w:b w:val="0"/>
          <w:i w:val="0"/>
          <w:iCs/>
          <w:sz w:val="22"/>
          <w:szCs w:val="22"/>
          <w:lang w:val="en-US"/>
        </w:rPr>
        <w:t>G</w:t>
      </w:r>
      <w:r w:rsidR="00BF5054" w:rsidRPr="00A00DCF">
        <w:rPr>
          <w:rFonts w:ascii="Times New Roman" w:hAnsi="Times New Roman"/>
          <w:b w:val="0"/>
          <w:i w:val="0"/>
          <w:iCs/>
          <w:sz w:val="22"/>
          <w:szCs w:val="22"/>
          <w:lang w:val="el-GR"/>
        </w:rPr>
        <w:t xml:space="preserve"> </w:t>
      </w:r>
      <w:r w:rsidR="00BF5054">
        <w:rPr>
          <w:rFonts w:ascii="Times New Roman" w:hAnsi="Times New Roman"/>
          <w:b w:val="0"/>
          <w:i w:val="0"/>
          <w:iCs/>
          <w:sz w:val="22"/>
          <w:szCs w:val="22"/>
          <w:lang w:val="el-GR"/>
        </w:rPr>
        <w:t>έχει συναχθεί από την ευαισθησία της πενικιλίνης.</w:t>
      </w:r>
    </w:p>
    <w:p w:rsidR="00BF5054" w:rsidRPr="00323DFE" w:rsidRDefault="00BF5054" w:rsidP="00BF5054">
      <w:pPr>
        <w:pStyle w:val="a6"/>
        <w:tabs>
          <w:tab w:val="clear" w:pos="851"/>
          <w:tab w:val="clear" w:pos="993"/>
          <w:tab w:val="left" w:pos="709"/>
        </w:tabs>
        <w:spacing w:line="240" w:lineRule="auto"/>
        <w:ind w:left="0"/>
        <w:jc w:val="both"/>
        <w:rPr>
          <w:rFonts w:ascii="Times New Roman" w:hAnsi="Times New Roman"/>
          <w:b w:val="0"/>
          <w:i w:val="0"/>
          <w:sz w:val="22"/>
          <w:szCs w:val="22"/>
          <w:lang w:val="el-GR"/>
        </w:rPr>
      </w:pPr>
      <w:r>
        <w:rPr>
          <w:rFonts w:ascii="Times New Roman" w:hAnsi="Times New Roman"/>
          <w:b w:val="0"/>
          <w:i w:val="0"/>
          <w:iCs/>
          <w:sz w:val="22"/>
          <w:szCs w:val="22"/>
          <w:lang w:val="el-GR"/>
        </w:rPr>
        <w:t>*** Τα απομονωθέντα</w:t>
      </w:r>
      <w:r>
        <w:rPr>
          <w:rFonts w:ascii="Times New Roman" w:hAnsi="Times New Roman"/>
          <w:b w:val="0"/>
          <w:i w:val="0"/>
          <w:sz w:val="22"/>
          <w:szCs w:val="22"/>
          <w:lang w:val="el-GR"/>
        </w:rPr>
        <w:t xml:space="preserve"> με τιμές </w:t>
      </w:r>
      <w:r>
        <w:rPr>
          <w:rFonts w:ascii="Times New Roman" w:hAnsi="Times New Roman"/>
          <w:b w:val="0"/>
          <w:i w:val="0"/>
          <w:sz w:val="22"/>
          <w:szCs w:val="22"/>
          <w:lang w:val="en-US"/>
        </w:rPr>
        <w:t>MIC</w:t>
      </w:r>
      <w:r w:rsidRPr="005C6D0F">
        <w:rPr>
          <w:rFonts w:ascii="Times New Roman" w:hAnsi="Times New Roman"/>
          <w:b w:val="0"/>
          <w:i w:val="0"/>
          <w:sz w:val="22"/>
          <w:szCs w:val="22"/>
          <w:lang w:val="el-GR"/>
        </w:rPr>
        <w:t xml:space="preserve"> </w:t>
      </w:r>
      <w:r>
        <w:rPr>
          <w:rFonts w:ascii="Times New Roman" w:hAnsi="Times New Roman"/>
          <w:b w:val="0"/>
          <w:i w:val="0"/>
          <w:sz w:val="22"/>
          <w:szCs w:val="22"/>
          <w:lang w:val="el-GR"/>
        </w:rPr>
        <w:t xml:space="preserve">πάνω από την οριακή τιμή ευαισθησίας είναι πολύ σπάνιες ή δεν αναφέρονται ακόμα. Οι έλεγχοι για την ταυτοποίηση και αντιμικροβιακή ευαισθησία σε κάθε τέτοιο απομονωθέν πρέπει να επαναλαμβάνεται και εάν το αποτέλεσμα επιβεβαιωθεί το απομονωθέν θα σταλεί σε εργαστήριο αναφοράς. Μέχρι να υπάρχει απόδειξη σχετικά με την κλινική ανταπόκριση για επιβεβαιωμένα απομονωθέντα με τιμές </w:t>
      </w:r>
      <w:r>
        <w:rPr>
          <w:rFonts w:ascii="Times New Roman" w:hAnsi="Times New Roman"/>
          <w:b w:val="0"/>
          <w:i w:val="0"/>
          <w:sz w:val="22"/>
          <w:szCs w:val="22"/>
          <w:lang w:val="en-US"/>
        </w:rPr>
        <w:t>MIC</w:t>
      </w:r>
      <w:r w:rsidRPr="005C6D0F">
        <w:rPr>
          <w:rFonts w:ascii="Times New Roman" w:hAnsi="Times New Roman"/>
          <w:b w:val="0"/>
          <w:i w:val="0"/>
          <w:sz w:val="22"/>
          <w:szCs w:val="22"/>
          <w:lang w:val="el-GR"/>
        </w:rPr>
        <w:t xml:space="preserve"> </w:t>
      </w:r>
      <w:r>
        <w:rPr>
          <w:rFonts w:ascii="Times New Roman" w:hAnsi="Times New Roman"/>
          <w:b w:val="0"/>
          <w:i w:val="0"/>
          <w:sz w:val="22"/>
          <w:szCs w:val="22"/>
          <w:lang w:val="el-GR"/>
        </w:rPr>
        <w:t>πάνω από το ισχύοντα ανθεκτικό σημείο αναστολής θα πρέπει να αναφερονται σαν ανθεκτικά.</w:t>
      </w:r>
    </w:p>
    <w:p w:rsidR="00BF5054" w:rsidRDefault="00BF5054" w:rsidP="00BF5054">
      <w:pPr>
        <w:pStyle w:val="a6"/>
        <w:tabs>
          <w:tab w:val="clear" w:pos="851"/>
          <w:tab w:val="clear" w:pos="993"/>
          <w:tab w:val="left" w:pos="709"/>
        </w:tabs>
        <w:spacing w:line="240" w:lineRule="auto"/>
        <w:ind w:left="0"/>
        <w:jc w:val="both"/>
        <w:rPr>
          <w:rFonts w:ascii="Times New Roman" w:hAnsi="Times New Roman"/>
          <w:b w:val="0"/>
          <w:i w:val="0"/>
          <w:sz w:val="20"/>
          <w:lang w:val="el-GR"/>
        </w:rPr>
      </w:pPr>
      <w:r w:rsidRPr="00BF5054">
        <w:rPr>
          <w:rFonts w:ascii="Times New Roman" w:hAnsi="Times New Roman"/>
          <w:b w:val="0"/>
          <w:i w:val="0"/>
          <w:sz w:val="20"/>
        </w:rPr>
        <w:t>**** Τα σημεία αναστολής αναφέρονται σε μια ημερήσια ενδοφλέβια δόση των 1</w:t>
      </w:r>
      <w:r w:rsidRPr="00BF5054">
        <w:rPr>
          <w:rFonts w:ascii="Times New Roman" w:hAnsi="Times New Roman"/>
          <w:b w:val="0"/>
          <w:i w:val="0"/>
          <w:sz w:val="20"/>
          <w:lang w:val="en-US"/>
        </w:rPr>
        <w:t>g</w:t>
      </w:r>
      <w:r w:rsidRPr="00BF5054">
        <w:rPr>
          <w:rFonts w:ascii="Times New Roman" w:hAnsi="Times New Roman"/>
          <w:b w:val="0"/>
          <w:i w:val="0"/>
          <w:sz w:val="20"/>
        </w:rPr>
        <w:t xml:space="preserve"> </w:t>
      </w:r>
      <w:r w:rsidRPr="00BF5054">
        <w:rPr>
          <w:rFonts w:ascii="Times New Roman" w:hAnsi="Times New Roman"/>
          <w:b w:val="0"/>
          <w:i w:val="0"/>
          <w:sz w:val="20"/>
          <w:lang w:val="en-US"/>
        </w:rPr>
        <w:t>x</w:t>
      </w:r>
      <w:r w:rsidRPr="00BF5054">
        <w:rPr>
          <w:rFonts w:ascii="Times New Roman" w:hAnsi="Times New Roman"/>
          <w:b w:val="0"/>
          <w:i w:val="0"/>
          <w:sz w:val="20"/>
        </w:rPr>
        <w:t xml:space="preserve"> 1 και μια υψηλή δόση τουλάχιστον 2</w:t>
      </w:r>
      <w:r w:rsidRPr="00BF5054">
        <w:rPr>
          <w:rFonts w:ascii="Times New Roman" w:hAnsi="Times New Roman"/>
          <w:b w:val="0"/>
          <w:i w:val="0"/>
          <w:sz w:val="20"/>
          <w:lang w:val="en-US"/>
        </w:rPr>
        <w:t>g</w:t>
      </w:r>
      <w:r w:rsidRPr="00BF5054">
        <w:rPr>
          <w:rFonts w:ascii="Times New Roman" w:hAnsi="Times New Roman"/>
          <w:b w:val="0"/>
          <w:i w:val="0"/>
          <w:sz w:val="20"/>
        </w:rPr>
        <w:t xml:space="preserve"> </w:t>
      </w:r>
      <w:r w:rsidRPr="00BF5054">
        <w:rPr>
          <w:rFonts w:ascii="Times New Roman" w:hAnsi="Times New Roman"/>
          <w:b w:val="0"/>
          <w:i w:val="0"/>
          <w:sz w:val="20"/>
          <w:lang w:val="en-US"/>
        </w:rPr>
        <w:t>x</w:t>
      </w:r>
      <w:r w:rsidRPr="00BF5054">
        <w:rPr>
          <w:rFonts w:ascii="Times New Roman" w:hAnsi="Times New Roman"/>
          <w:b w:val="0"/>
          <w:i w:val="0"/>
          <w:sz w:val="20"/>
        </w:rPr>
        <w:t xml:space="preserve"> 1</w:t>
      </w:r>
    </w:p>
    <w:p w:rsidR="00323DFE" w:rsidRPr="00323DFE" w:rsidRDefault="00BF5054" w:rsidP="002F6670">
      <w:pPr>
        <w:tabs>
          <w:tab w:val="left" w:pos="540"/>
        </w:tabs>
        <w:jc w:val="both"/>
        <w:rPr>
          <w:szCs w:val="22"/>
        </w:rPr>
      </w:pPr>
      <w:r>
        <w:rPr>
          <w:b/>
          <w:i/>
          <w:sz w:val="20"/>
        </w:rPr>
        <w:t>*</w:t>
      </w:r>
      <w:r w:rsidR="002E5F14">
        <w:rPr>
          <w:b/>
          <w:i/>
          <w:iCs/>
          <w:szCs w:val="22"/>
        </w:rPr>
        <w:t xml:space="preserve">. </w:t>
      </w:r>
    </w:p>
    <w:p w:rsidR="006F16E7" w:rsidRDefault="006F16E7" w:rsidP="002F6670">
      <w:pPr>
        <w:spacing w:line="260" w:lineRule="auto"/>
        <w:jc w:val="both"/>
      </w:pPr>
    </w:p>
    <w:p w:rsidR="00323DFE" w:rsidRPr="00A81F92" w:rsidRDefault="00323DFE" w:rsidP="002F6670">
      <w:pPr>
        <w:pStyle w:val="a6"/>
        <w:spacing w:line="240" w:lineRule="auto"/>
        <w:ind w:left="0"/>
        <w:jc w:val="both"/>
        <w:rPr>
          <w:rFonts w:ascii="Times New Roman" w:hAnsi="Times New Roman"/>
          <w:b w:val="0"/>
          <w:i w:val="0"/>
          <w:sz w:val="22"/>
          <w:szCs w:val="22"/>
          <w:lang w:val="el-GR"/>
        </w:rPr>
      </w:pPr>
      <w:r>
        <w:rPr>
          <w:rFonts w:ascii="Times New Roman" w:hAnsi="Times New Roman"/>
          <w:b w:val="0"/>
          <w:i w:val="0"/>
          <w:sz w:val="22"/>
          <w:szCs w:val="22"/>
          <w:lang w:val="el-GR"/>
        </w:rPr>
        <w:t>Η υπερίσχυση της ανθεκτικότητας μπορεί να διαφορ</w:t>
      </w:r>
      <w:r w:rsidR="0081046F">
        <w:rPr>
          <w:rFonts w:ascii="Times New Roman" w:hAnsi="Times New Roman"/>
          <w:b w:val="0"/>
          <w:i w:val="0"/>
          <w:sz w:val="22"/>
          <w:szCs w:val="22"/>
          <w:lang w:val="en-US"/>
        </w:rPr>
        <w:t>o</w:t>
      </w:r>
      <w:r>
        <w:rPr>
          <w:rFonts w:ascii="Times New Roman" w:hAnsi="Times New Roman"/>
          <w:b w:val="0"/>
          <w:i w:val="0"/>
          <w:sz w:val="22"/>
          <w:szCs w:val="22"/>
          <w:lang w:val="el-GR"/>
        </w:rPr>
        <w:t xml:space="preserve">ποιείται γεωγραφικά και με το χρόνο για συγκεκριμένα είδη και </w:t>
      </w:r>
      <w:r w:rsidR="00303BAB">
        <w:rPr>
          <w:rFonts w:ascii="Times New Roman" w:hAnsi="Times New Roman"/>
          <w:b w:val="0"/>
          <w:i w:val="0"/>
          <w:sz w:val="22"/>
          <w:szCs w:val="22"/>
          <w:lang w:val="el-GR"/>
        </w:rPr>
        <w:t xml:space="preserve">οι </w:t>
      </w:r>
      <w:r>
        <w:rPr>
          <w:rFonts w:ascii="Times New Roman" w:hAnsi="Times New Roman"/>
          <w:b w:val="0"/>
          <w:i w:val="0"/>
          <w:sz w:val="22"/>
          <w:szCs w:val="22"/>
          <w:lang w:val="el-GR"/>
        </w:rPr>
        <w:t>τοπικές πληροφορίες για την ανθεκτικότητα είναι επιθυμητές, ιδιαίτερα όταν γίνεται θεραπεία για σοβαρές λοιμώξεις. Όπως απαιτείται, θα πρέπει να αναζητείται η συμβουλή ειδικού όταν η τοπική υπερίσχυση της ανθεκτικότητας είναι τέτοια ώστε η χρήση ενός παράγοντα σε τουλάχιστον κάποιου τύπου λοιμώξεις είναι υπο αμφισβήτηση. Συγκεκριμένα στην περίπτωση σοβαρών λοιμώξεων ή στην αποτυχία θεραπείας μια μικροβιολογική διάγνωση συμπεριλαμβανομένης της επιβεβαίωσης του μικροβίου και της ευαισθησίας στου πρέπει να επιδιώκεται.</w:t>
      </w:r>
    </w:p>
    <w:p w:rsidR="00323DFE" w:rsidRDefault="00323DFE" w:rsidP="002F6670">
      <w:pPr>
        <w:spacing w:line="260" w:lineRule="auto"/>
        <w:jc w:val="both"/>
      </w:pPr>
    </w:p>
    <w:p w:rsidR="00D03312" w:rsidRPr="00323DFE" w:rsidRDefault="00D03312" w:rsidP="006718E7">
      <w:pPr>
        <w:spacing w:line="260" w:lineRule="auto"/>
        <w:jc w:val="both"/>
      </w:pPr>
    </w:p>
    <w:tbl>
      <w:tblPr>
        <w:tblW w:w="7440" w:type="dxa"/>
        <w:tblLayout w:type="fixed"/>
        <w:tblCellMar>
          <w:left w:w="70" w:type="dxa"/>
          <w:right w:w="70" w:type="dxa"/>
        </w:tblCellMar>
        <w:tblLook w:val="00BF"/>
      </w:tblPr>
      <w:tblGrid>
        <w:gridCol w:w="7440"/>
      </w:tblGrid>
      <w:tr w:rsidR="00D03312">
        <w:tblPrEx>
          <w:tblCellMar>
            <w:top w:w="0" w:type="dxa"/>
            <w:bottom w:w="0" w:type="dxa"/>
          </w:tblCellMar>
        </w:tblPrEx>
        <w:trPr>
          <w:trHeight w:val="419"/>
        </w:trPr>
        <w:tc>
          <w:tcPr>
            <w:tcW w:w="7440" w:type="dxa"/>
          </w:tcPr>
          <w:p w:rsidR="00D03312" w:rsidRDefault="004C4C84" w:rsidP="006718E7">
            <w:pPr>
              <w:jc w:val="both"/>
              <w:rPr>
                <w:rFonts w:cs="Arial"/>
                <w:b/>
                <w:u w:val="single"/>
                <w:lang w:val="en-GB"/>
              </w:rPr>
            </w:pPr>
            <w:r>
              <w:rPr>
                <w:b/>
                <w:bCs/>
              </w:rPr>
              <w:t xml:space="preserve">Συνηθισμένα ευαίσθητα είδη </w:t>
            </w:r>
          </w:p>
        </w:tc>
      </w:tr>
      <w:tr w:rsidR="00D03312">
        <w:tblPrEx>
          <w:tblCellMar>
            <w:top w:w="0" w:type="dxa"/>
            <w:bottom w:w="0" w:type="dxa"/>
          </w:tblCellMar>
        </w:tblPrEx>
        <w:tc>
          <w:tcPr>
            <w:tcW w:w="7440" w:type="dxa"/>
          </w:tcPr>
          <w:p w:rsidR="00D03312" w:rsidRPr="00323DFE" w:rsidRDefault="004C4C84" w:rsidP="006718E7">
            <w:pPr>
              <w:pStyle w:val="spc-s"/>
              <w:tabs>
                <w:tab w:val="clear" w:pos="851"/>
              </w:tabs>
              <w:spacing w:before="120" w:after="120"/>
              <w:jc w:val="both"/>
              <w:rPr>
                <w:rFonts w:ascii="Times New Roman" w:hAnsi="Times New Roman"/>
                <w:bCs/>
                <w:i/>
                <w:sz w:val="22"/>
                <w:szCs w:val="22"/>
                <w:lang w:val="it-IT"/>
              </w:rPr>
            </w:pPr>
            <w:r w:rsidRPr="00323DFE">
              <w:rPr>
                <w:rFonts w:ascii="Times New Roman" w:hAnsi="Times New Roman"/>
                <w:bCs/>
                <w:sz w:val="22"/>
                <w:szCs w:val="22"/>
                <w:lang w:val="el-GR"/>
              </w:rPr>
              <w:t>Αερόβιοι θετικοί κατά</w:t>
            </w:r>
            <w:r w:rsidR="00D03312" w:rsidRPr="00323DFE">
              <w:rPr>
                <w:rFonts w:ascii="Times New Roman" w:hAnsi="Times New Roman"/>
                <w:bCs/>
                <w:sz w:val="22"/>
                <w:szCs w:val="22"/>
                <w:lang w:val="it-IT"/>
              </w:rPr>
              <w:t xml:space="preserve"> Gram</w:t>
            </w:r>
            <w:r w:rsidRPr="00323DFE">
              <w:rPr>
                <w:rFonts w:ascii="Times New Roman" w:hAnsi="Times New Roman"/>
                <w:bCs/>
                <w:sz w:val="22"/>
                <w:szCs w:val="22"/>
                <w:lang w:val="el-GR"/>
              </w:rPr>
              <w:t xml:space="preserve"> μικροοργανισμοί </w:t>
            </w:r>
          </w:p>
        </w:tc>
      </w:tr>
      <w:tr w:rsidR="00323DFE">
        <w:tblPrEx>
          <w:tblCellMar>
            <w:top w:w="0" w:type="dxa"/>
            <w:bottom w:w="0" w:type="dxa"/>
          </w:tblCellMar>
        </w:tblPrEx>
        <w:tc>
          <w:tcPr>
            <w:tcW w:w="7440" w:type="dxa"/>
          </w:tcPr>
          <w:p w:rsidR="00323DFE" w:rsidRPr="008570F9" w:rsidRDefault="00303BAB" w:rsidP="006718E7">
            <w:pPr>
              <w:rPr>
                <w:szCs w:val="22"/>
                <w:lang w:val="fr-FR"/>
              </w:rPr>
            </w:pPr>
            <w:r w:rsidRPr="008570F9">
              <w:rPr>
                <w:i/>
                <w:iCs/>
                <w:szCs w:val="22"/>
                <w:lang w:val="fr-FR"/>
              </w:rPr>
              <w:t>Staphylococcus aureus</w:t>
            </w:r>
            <w:r>
              <w:rPr>
                <w:szCs w:val="22"/>
                <w:lang w:val="fr-FR"/>
              </w:rPr>
              <w:t>*</w:t>
            </w:r>
            <w:r w:rsidRPr="008570F9">
              <w:rPr>
                <w:szCs w:val="22"/>
                <w:lang w:val="fr-FR"/>
              </w:rPr>
              <w:t>MSSA</w:t>
            </w:r>
            <w:r w:rsidRPr="00F17411">
              <w:rPr>
                <w:szCs w:val="22"/>
                <w:lang w:val="en-GB"/>
              </w:rPr>
              <w:t xml:space="preserve"> </w:t>
            </w:r>
          </w:p>
        </w:tc>
      </w:tr>
      <w:tr w:rsidR="00F17411">
        <w:tblPrEx>
          <w:tblCellMar>
            <w:top w:w="0" w:type="dxa"/>
            <w:bottom w:w="0" w:type="dxa"/>
          </w:tblCellMar>
        </w:tblPrEx>
        <w:tc>
          <w:tcPr>
            <w:tcW w:w="7440" w:type="dxa"/>
          </w:tcPr>
          <w:p w:rsidR="00F17411" w:rsidRPr="008570F9" w:rsidRDefault="00F17411" w:rsidP="006718E7">
            <w:pPr>
              <w:rPr>
                <w:i/>
                <w:iCs/>
                <w:szCs w:val="22"/>
                <w:lang w:val="fr-FR"/>
              </w:rPr>
            </w:pPr>
            <w:r w:rsidRPr="008570F9">
              <w:rPr>
                <w:i/>
                <w:iCs/>
                <w:szCs w:val="22"/>
                <w:lang w:val="fr-FR"/>
              </w:rPr>
              <w:t>Streptococcus agalactiae</w:t>
            </w:r>
          </w:p>
        </w:tc>
      </w:tr>
      <w:tr w:rsidR="00323DFE">
        <w:tblPrEx>
          <w:tblCellMar>
            <w:top w:w="0" w:type="dxa"/>
            <w:bottom w:w="0" w:type="dxa"/>
          </w:tblCellMar>
        </w:tblPrEx>
        <w:tc>
          <w:tcPr>
            <w:tcW w:w="7440" w:type="dxa"/>
          </w:tcPr>
          <w:p w:rsidR="00323DFE" w:rsidRPr="008570F9" w:rsidRDefault="00323DFE" w:rsidP="006718E7">
            <w:pPr>
              <w:rPr>
                <w:szCs w:val="22"/>
                <w:lang w:val="fr-FR"/>
              </w:rPr>
            </w:pPr>
            <w:r w:rsidRPr="008570F9">
              <w:rPr>
                <w:i/>
                <w:iCs/>
                <w:szCs w:val="22"/>
                <w:lang w:val="fr-FR"/>
              </w:rPr>
              <w:t>Streptococcus pneumoniae</w:t>
            </w:r>
            <w:r w:rsidRPr="008570F9">
              <w:rPr>
                <w:szCs w:val="22"/>
                <w:lang w:val="fr-FR"/>
              </w:rPr>
              <w:t>*</w:t>
            </w:r>
          </w:p>
        </w:tc>
      </w:tr>
      <w:tr w:rsidR="00323DFE">
        <w:tblPrEx>
          <w:tblCellMar>
            <w:top w:w="0" w:type="dxa"/>
            <w:bottom w:w="0" w:type="dxa"/>
          </w:tblCellMar>
        </w:tblPrEx>
        <w:tc>
          <w:tcPr>
            <w:tcW w:w="7440" w:type="dxa"/>
          </w:tcPr>
          <w:p w:rsidR="00323DFE" w:rsidRPr="008570F9" w:rsidRDefault="00323DFE" w:rsidP="006718E7">
            <w:pPr>
              <w:rPr>
                <w:szCs w:val="22"/>
                <w:lang w:val="fr-FR"/>
              </w:rPr>
            </w:pPr>
            <w:r w:rsidRPr="008570F9">
              <w:rPr>
                <w:i/>
                <w:iCs/>
                <w:szCs w:val="22"/>
                <w:lang w:val="fr-FR"/>
              </w:rPr>
              <w:t>Streptococcus pyogenes</w:t>
            </w:r>
            <w:r w:rsidRPr="008570F9">
              <w:rPr>
                <w:szCs w:val="22"/>
                <w:lang w:val="fr-FR"/>
              </w:rPr>
              <w:t>*</w:t>
            </w:r>
          </w:p>
        </w:tc>
      </w:tr>
      <w:tr w:rsidR="00D03312">
        <w:tblPrEx>
          <w:tblCellMar>
            <w:top w:w="0" w:type="dxa"/>
            <w:bottom w:w="0" w:type="dxa"/>
          </w:tblCellMar>
        </w:tblPrEx>
        <w:tc>
          <w:tcPr>
            <w:tcW w:w="7440" w:type="dxa"/>
          </w:tcPr>
          <w:p w:rsidR="00D03312" w:rsidRDefault="00D03312" w:rsidP="006718E7">
            <w:pPr>
              <w:jc w:val="both"/>
              <w:rPr>
                <w:rFonts w:cs="Arial"/>
                <w:i/>
                <w:lang w:val="fr-FR"/>
              </w:rPr>
            </w:pPr>
          </w:p>
        </w:tc>
      </w:tr>
      <w:tr w:rsidR="00D03312">
        <w:tblPrEx>
          <w:tblCellMar>
            <w:top w:w="0" w:type="dxa"/>
            <w:bottom w:w="0" w:type="dxa"/>
          </w:tblCellMar>
        </w:tblPrEx>
        <w:tc>
          <w:tcPr>
            <w:tcW w:w="7440" w:type="dxa"/>
          </w:tcPr>
          <w:p w:rsidR="00D03312" w:rsidRPr="004C4C84" w:rsidRDefault="004C4C84" w:rsidP="006718E7">
            <w:pPr>
              <w:spacing w:before="120" w:after="120"/>
              <w:rPr>
                <w:rFonts w:cs="Arial"/>
                <w:b/>
              </w:rPr>
            </w:pPr>
            <w:r>
              <w:rPr>
                <w:b/>
                <w:bCs/>
              </w:rPr>
              <w:t>Αερόβιοι</w:t>
            </w:r>
            <w:r w:rsidRPr="004C4C84">
              <w:rPr>
                <w:b/>
                <w:bCs/>
                <w:lang w:val="fr-FR"/>
              </w:rPr>
              <w:t xml:space="preserve"> </w:t>
            </w:r>
            <w:r>
              <w:rPr>
                <w:b/>
                <w:bCs/>
              </w:rPr>
              <w:t>αρνητικοί</w:t>
            </w:r>
            <w:r w:rsidRPr="004C4C84">
              <w:rPr>
                <w:b/>
                <w:bCs/>
                <w:lang w:val="fr-FR"/>
              </w:rPr>
              <w:t xml:space="preserve"> </w:t>
            </w:r>
            <w:r>
              <w:rPr>
                <w:b/>
                <w:bCs/>
              </w:rPr>
              <w:t>κατά</w:t>
            </w:r>
            <w:r w:rsidR="00D03312">
              <w:rPr>
                <w:b/>
                <w:bCs/>
                <w:lang w:val="it-IT"/>
              </w:rPr>
              <w:t xml:space="preserve"> Gram</w:t>
            </w:r>
            <w:r>
              <w:rPr>
                <w:b/>
                <w:bCs/>
              </w:rPr>
              <w:t xml:space="preserve"> μικροοργανισμοί</w:t>
            </w:r>
          </w:p>
        </w:tc>
      </w:tr>
      <w:tr w:rsidR="00323DFE">
        <w:tblPrEx>
          <w:tblCellMar>
            <w:top w:w="0" w:type="dxa"/>
            <w:bottom w:w="0" w:type="dxa"/>
          </w:tblCellMar>
        </w:tblPrEx>
        <w:tc>
          <w:tcPr>
            <w:tcW w:w="7440" w:type="dxa"/>
          </w:tcPr>
          <w:p w:rsidR="00323DFE" w:rsidRPr="00B445B5" w:rsidRDefault="00323DFE" w:rsidP="006718E7">
            <w:pPr>
              <w:rPr>
                <w:i/>
                <w:iCs/>
                <w:szCs w:val="22"/>
                <w:lang w:val="it-IT"/>
              </w:rPr>
            </w:pPr>
            <w:r w:rsidRPr="00B445B5">
              <w:rPr>
                <w:i/>
                <w:iCs/>
                <w:szCs w:val="22"/>
                <w:lang w:val="it-IT"/>
              </w:rPr>
              <w:t>Borrelia burgdorferi</w:t>
            </w:r>
          </w:p>
        </w:tc>
      </w:tr>
      <w:tr w:rsidR="00323DFE">
        <w:tblPrEx>
          <w:tblCellMar>
            <w:top w:w="0" w:type="dxa"/>
            <w:bottom w:w="0" w:type="dxa"/>
          </w:tblCellMar>
        </w:tblPrEx>
        <w:tc>
          <w:tcPr>
            <w:tcW w:w="7440" w:type="dxa"/>
          </w:tcPr>
          <w:p w:rsidR="00323DFE" w:rsidRPr="00B445B5" w:rsidRDefault="00323DFE" w:rsidP="006718E7">
            <w:pPr>
              <w:rPr>
                <w:szCs w:val="22"/>
                <w:lang w:val="it-IT"/>
              </w:rPr>
            </w:pPr>
          </w:p>
        </w:tc>
      </w:tr>
      <w:tr w:rsidR="00323DFE">
        <w:tblPrEx>
          <w:tblCellMar>
            <w:top w:w="0" w:type="dxa"/>
            <w:bottom w:w="0" w:type="dxa"/>
          </w:tblCellMar>
        </w:tblPrEx>
        <w:tc>
          <w:tcPr>
            <w:tcW w:w="7440" w:type="dxa"/>
          </w:tcPr>
          <w:p w:rsidR="00323DFE" w:rsidRPr="00B445B5" w:rsidRDefault="00323DFE" w:rsidP="006718E7">
            <w:pPr>
              <w:rPr>
                <w:szCs w:val="22"/>
                <w:lang w:val="it-IT"/>
              </w:rPr>
            </w:pPr>
            <w:r w:rsidRPr="00B445B5">
              <w:rPr>
                <w:i/>
                <w:iCs/>
                <w:szCs w:val="22"/>
                <w:lang w:val="it-IT"/>
              </w:rPr>
              <w:t>Haemophilus influenzae</w:t>
            </w:r>
            <w:r w:rsidRPr="00B445B5">
              <w:rPr>
                <w:szCs w:val="22"/>
                <w:lang w:val="it-IT"/>
              </w:rPr>
              <w:t>*</w:t>
            </w:r>
          </w:p>
        </w:tc>
      </w:tr>
      <w:tr w:rsidR="00323DFE">
        <w:tblPrEx>
          <w:tblCellMar>
            <w:top w:w="0" w:type="dxa"/>
            <w:bottom w:w="0" w:type="dxa"/>
          </w:tblCellMar>
        </w:tblPrEx>
        <w:tc>
          <w:tcPr>
            <w:tcW w:w="7440" w:type="dxa"/>
          </w:tcPr>
          <w:p w:rsidR="00323DFE" w:rsidRPr="00B445B5" w:rsidRDefault="00323DFE" w:rsidP="006718E7">
            <w:pPr>
              <w:rPr>
                <w:i/>
                <w:iCs/>
                <w:szCs w:val="22"/>
                <w:lang w:val="it-IT"/>
              </w:rPr>
            </w:pPr>
            <w:r w:rsidRPr="00B445B5">
              <w:rPr>
                <w:i/>
                <w:iCs/>
                <w:szCs w:val="22"/>
                <w:lang w:val="it-IT"/>
              </w:rPr>
              <w:t>Moraxella catarrhalis*</w:t>
            </w:r>
          </w:p>
        </w:tc>
      </w:tr>
      <w:tr w:rsidR="00323DFE">
        <w:tblPrEx>
          <w:tblCellMar>
            <w:top w:w="0" w:type="dxa"/>
            <w:bottom w:w="0" w:type="dxa"/>
          </w:tblCellMar>
        </w:tblPrEx>
        <w:tc>
          <w:tcPr>
            <w:tcW w:w="7440" w:type="dxa"/>
          </w:tcPr>
          <w:p w:rsidR="00323DFE" w:rsidRPr="00B445B5" w:rsidRDefault="00323DFE" w:rsidP="006718E7">
            <w:pPr>
              <w:rPr>
                <w:i/>
                <w:iCs/>
                <w:szCs w:val="22"/>
                <w:lang w:val="it-IT"/>
              </w:rPr>
            </w:pPr>
            <w:r w:rsidRPr="00B445B5">
              <w:rPr>
                <w:i/>
                <w:iCs/>
                <w:szCs w:val="22"/>
                <w:lang w:val="it-IT"/>
              </w:rPr>
              <w:t>Morganella morganii</w:t>
            </w:r>
            <w:r w:rsidRPr="00B445B5">
              <w:rPr>
                <w:i/>
                <w:iCs/>
                <w:szCs w:val="22"/>
                <w:vertAlign w:val="superscript"/>
                <w:lang w:val="it-IT"/>
              </w:rPr>
              <w:t>1</w:t>
            </w:r>
          </w:p>
        </w:tc>
      </w:tr>
      <w:tr w:rsidR="00323DFE">
        <w:tblPrEx>
          <w:tblCellMar>
            <w:top w:w="0" w:type="dxa"/>
            <w:bottom w:w="0" w:type="dxa"/>
          </w:tblCellMar>
        </w:tblPrEx>
        <w:tc>
          <w:tcPr>
            <w:tcW w:w="7440" w:type="dxa"/>
          </w:tcPr>
          <w:p w:rsidR="00323DFE" w:rsidRPr="00B445B5" w:rsidRDefault="00323DFE" w:rsidP="006718E7">
            <w:pPr>
              <w:rPr>
                <w:i/>
                <w:iCs/>
                <w:szCs w:val="22"/>
                <w:lang w:val="it-IT"/>
              </w:rPr>
            </w:pPr>
            <w:r w:rsidRPr="00B445B5">
              <w:rPr>
                <w:i/>
                <w:iCs/>
                <w:szCs w:val="22"/>
                <w:lang w:val="it-IT"/>
              </w:rPr>
              <w:t>Neisseria gonorrhoeae</w:t>
            </w:r>
          </w:p>
        </w:tc>
      </w:tr>
      <w:tr w:rsidR="00323DFE">
        <w:tblPrEx>
          <w:tblCellMar>
            <w:top w:w="0" w:type="dxa"/>
            <w:bottom w:w="0" w:type="dxa"/>
          </w:tblCellMar>
        </w:tblPrEx>
        <w:tc>
          <w:tcPr>
            <w:tcW w:w="7440" w:type="dxa"/>
          </w:tcPr>
          <w:p w:rsidR="00323DFE" w:rsidRPr="00B445B5" w:rsidRDefault="00323DFE" w:rsidP="006718E7">
            <w:pPr>
              <w:rPr>
                <w:szCs w:val="22"/>
                <w:lang w:val="it-IT"/>
              </w:rPr>
            </w:pPr>
            <w:r w:rsidRPr="00B445B5">
              <w:rPr>
                <w:i/>
                <w:iCs/>
                <w:szCs w:val="22"/>
                <w:lang w:val="it-IT"/>
              </w:rPr>
              <w:t>Neisseria meningitidis</w:t>
            </w:r>
            <w:r w:rsidRPr="00B445B5">
              <w:rPr>
                <w:szCs w:val="22"/>
                <w:lang w:val="it-IT"/>
              </w:rPr>
              <w:t>*</w:t>
            </w:r>
          </w:p>
        </w:tc>
      </w:tr>
      <w:tr w:rsidR="00323DFE">
        <w:tblPrEx>
          <w:tblCellMar>
            <w:top w:w="0" w:type="dxa"/>
            <w:bottom w:w="0" w:type="dxa"/>
          </w:tblCellMar>
        </w:tblPrEx>
        <w:tc>
          <w:tcPr>
            <w:tcW w:w="7440" w:type="dxa"/>
          </w:tcPr>
          <w:p w:rsidR="00323DFE" w:rsidRPr="00B445B5" w:rsidRDefault="00323DFE" w:rsidP="006718E7">
            <w:pPr>
              <w:rPr>
                <w:i/>
                <w:iCs/>
                <w:szCs w:val="22"/>
                <w:lang w:val="it-IT"/>
              </w:rPr>
            </w:pPr>
            <w:r w:rsidRPr="00B445B5">
              <w:rPr>
                <w:i/>
                <w:iCs/>
                <w:szCs w:val="22"/>
                <w:lang w:val="it-IT"/>
              </w:rPr>
              <w:lastRenderedPageBreak/>
              <w:t>Proteus mirabilis</w:t>
            </w:r>
            <w:r w:rsidRPr="00B445B5">
              <w:rPr>
                <w:szCs w:val="22"/>
                <w:lang w:val="it-IT"/>
              </w:rPr>
              <w:t>*</w:t>
            </w:r>
            <w:r w:rsidRPr="00B445B5">
              <w:rPr>
                <w:i/>
                <w:iCs/>
                <w:szCs w:val="22"/>
                <w:vertAlign w:val="superscript"/>
                <w:lang w:val="it-IT"/>
              </w:rPr>
              <w:t>1</w:t>
            </w:r>
          </w:p>
        </w:tc>
      </w:tr>
    </w:tbl>
    <w:p w:rsidR="00D03312" w:rsidRDefault="00D03312" w:rsidP="006718E7">
      <w:pPr>
        <w:jc w:val="both"/>
        <w:rPr>
          <w:lang w:val="en-GB"/>
        </w:rPr>
      </w:pPr>
    </w:p>
    <w:p w:rsidR="00D03312" w:rsidRDefault="00D03312" w:rsidP="006718E7">
      <w:pPr>
        <w:jc w:val="both"/>
        <w:rPr>
          <w:lang w:val="en-GB"/>
        </w:rPr>
      </w:pPr>
    </w:p>
    <w:p w:rsidR="00D03312" w:rsidRDefault="00D03312" w:rsidP="006718E7">
      <w:pPr>
        <w:jc w:val="both"/>
        <w:rPr>
          <w:lang w:val="en-GB"/>
        </w:rPr>
      </w:pPr>
    </w:p>
    <w:tbl>
      <w:tblPr>
        <w:tblW w:w="7440" w:type="dxa"/>
        <w:tblLayout w:type="fixed"/>
        <w:tblCellMar>
          <w:left w:w="70" w:type="dxa"/>
          <w:right w:w="70" w:type="dxa"/>
        </w:tblCellMar>
        <w:tblLook w:val="00BF"/>
      </w:tblPr>
      <w:tblGrid>
        <w:gridCol w:w="7440"/>
      </w:tblGrid>
      <w:tr w:rsidR="00D03312" w:rsidRPr="004C4C84">
        <w:tblPrEx>
          <w:tblCellMar>
            <w:top w:w="0" w:type="dxa"/>
            <w:bottom w:w="0" w:type="dxa"/>
          </w:tblCellMar>
        </w:tblPrEx>
        <w:trPr>
          <w:trHeight w:val="422"/>
        </w:trPr>
        <w:tc>
          <w:tcPr>
            <w:tcW w:w="7440" w:type="dxa"/>
          </w:tcPr>
          <w:p w:rsidR="00D03312" w:rsidRPr="004C4C84" w:rsidRDefault="004C4C84" w:rsidP="006718E7">
            <w:pPr>
              <w:jc w:val="both"/>
              <w:rPr>
                <w:rFonts w:cs="Arial"/>
                <w:b/>
                <w:u w:val="single"/>
              </w:rPr>
            </w:pPr>
            <w:r>
              <w:rPr>
                <w:b/>
                <w:iCs/>
                <w:szCs w:val="22"/>
              </w:rPr>
              <w:t>Είδη</w:t>
            </w:r>
            <w:r w:rsidRPr="004C4C84">
              <w:rPr>
                <w:b/>
                <w:iCs/>
                <w:szCs w:val="22"/>
              </w:rPr>
              <w:t xml:space="preserve"> </w:t>
            </w:r>
            <w:r>
              <w:rPr>
                <w:b/>
                <w:iCs/>
                <w:szCs w:val="22"/>
              </w:rPr>
              <w:t>για</w:t>
            </w:r>
            <w:r w:rsidRPr="004C4C84">
              <w:rPr>
                <w:b/>
                <w:iCs/>
                <w:szCs w:val="22"/>
              </w:rPr>
              <w:t xml:space="preserve"> </w:t>
            </w:r>
            <w:r>
              <w:rPr>
                <w:b/>
                <w:iCs/>
                <w:szCs w:val="22"/>
              </w:rPr>
              <w:t>τα</w:t>
            </w:r>
            <w:r w:rsidRPr="004C4C84">
              <w:rPr>
                <w:b/>
                <w:iCs/>
                <w:szCs w:val="22"/>
              </w:rPr>
              <w:t xml:space="preserve"> </w:t>
            </w:r>
            <w:r>
              <w:rPr>
                <w:b/>
                <w:iCs/>
                <w:szCs w:val="22"/>
              </w:rPr>
              <w:t>οποία</w:t>
            </w:r>
            <w:r w:rsidRPr="004C4C84">
              <w:rPr>
                <w:b/>
                <w:iCs/>
                <w:szCs w:val="22"/>
              </w:rPr>
              <w:t xml:space="preserve"> </w:t>
            </w:r>
            <w:r>
              <w:rPr>
                <w:b/>
                <w:iCs/>
                <w:szCs w:val="22"/>
              </w:rPr>
              <w:t>η</w:t>
            </w:r>
            <w:r w:rsidRPr="004C4C84">
              <w:rPr>
                <w:b/>
                <w:iCs/>
                <w:szCs w:val="22"/>
              </w:rPr>
              <w:t xml:space="preserve"> </w:t>
            </w:r>
            <w:r>
              <w:rPr>
                <w:b/>
                <w:iCs/>
                <w:szCs w:val="22"/>
              </w:rPr>
              <w:t>επίκτητη</w:t>
            </w:r>
            <w:r w:rsidRPr="004C4C84">
              <w:rPr>
                <w:b/>
                <w:iCs/>
                <w:szCs w:val="22"/>
              </w:rPr>
              <w:t xml:space="preserve"> </w:t>
            </w:r>
            <w:r>
              <w:rPr>
                <w:b/>
                <w:iCs/>
                <w:szCs w:val="22"/>
              </w:rPr>
              <w:t>ανθεκτικότητα</w:t>
            </w:r>
            <w:r w:rsidRPr="004C4C84">
              <w:rPr>
                <w:b/>
                <w:iCs/>
                <w:szCs w:val="22"/>
              </w:rPr>
              <w:t xml:space="preserve"> </w:t>
            </w:r>
            <w:r>
              <w:rPr>
                <w:b/>
                <w:iCs/>
                <w:szCs w:val="22"/>
              </w:rPr>
              <w:t>μπορεί</w:t>
            </w:r>
            <w:r w:rsidRPr="004C4C84">
              <w:rPr>
                <w:b/>
                <w:iCs/>
                <w:szCs w:val="22"/>
              </w:rPr>
              <w:t xml:space="preserve"> </w:t>
            </w:r>
            <w:r>
              <w:rPr>
                <w:b/>
                <w:iCs/>
                <w:szCs w:val="22"/>
              </w:rPr>
              <w:t>να</w:t>
            </w:r>
            <w:r w:rsidRPr="004C4C84">
              <w:rPr>
                <w:b/>
                <w:iCs/>
                <w:szCs w:val="22"/>
              </w:rPr>
              <w:t xml:space="preserve"> </w:t>
            </w:r>
            <w:r w:rsidR="00323DFE">
              <w:rPr>
                <w:b/>
                <w:iCs/>
                <w:szCs w:val="22"/>
              </w:rPr>
              <w:t>αποτελεί</w:t>
            </w:r>
            <w:r>
              <w:rPr>
                <w:b/>
                <w:iCs/>
                <w:szCs w:val="22"/>
              </w:rPr>
              <w:t xml:space="preserve"> πρόβλημα </w:t>
            </w:r>
          </w:p>
        </w:tc>
      </w:tr>
      <w:tr w:rsidR="00D03312">
        <w:tblPrEx>
          <w:tblCellMar>
            <w:top w:w="0" w:type="dxa"/>
            <w:bottom w:w="0" w:type="dxa"/>
          </w:tblCellMar>
        </w:tblPrEx>
        <w:tc>
          <w:tcPr>
            <w:tcW w:w="7440" w:type="dxa"/>
          </w:tcPr>
          <w:p w:rsidR="00D03312" w:rsidRPr="004C4C84" w:rsidRDefault="004C4C84" w:rsidP="006718E7">
            <w:pPr>
              <w:spacing w:before="120" w:after="120"/>
              <w:jc w:val="both"/>
              <w:rPr>
                <w:rFonts w:cs="Arial"/>
                <w:i/>
              </w:rPr>
            </w:pPr>
            <w:r>
              <w:rPr>
                <w:b/>
                <w:iCs/>
                <w:szCs w:val="22"/>
              </w:rPr>
              <w:t>Αερόβιοι</w:t>
            </w:r>
            <w:r w:rsidRPr="004C4C84">
              <w:rPr>
                <w:b/>
                <w:iCs/>
                <w:szCs w:val="22"/>
              </w:rPr>
              <w:t xml:space="preserve"> </w:t>
            </w:r>
            <w:r>
              <w:rPr>
                <w:b/>
                <w:iCs/>
                <w:szCs w:val="22"/>
              </w:rPr>
              <w:t>θετικοί</w:t>
            </w:r>
            <w:r w:rsidRPr="004C4C84">
              <w:rPr>
                <w:b/>
                <w:iCs/>
                <w:szCs w:val="22"/>
              </w:rPr>
              <w:t xml:space="preserve"> </w:t>
            </w:r>
            <w:r>
              <w:rPr>
                <w:b/>
                <w:iCs/>
                <w:szCs w:val="22"/>
              </w:rPr>
              <w:t>κατά</w:t>
            </w:r>
            <w:r w:rsidRPr="004C4C84">
              <w:rPr>
                <w:b/>
                <w:iCs/>
                <w:szCs w:val="22"/>
              </w:rPr>
              <w:t xml:space="preserve"> </w:t>
            </w:r>
            <w:r w:rsidR="00D03312">
              <w:rPr>
                <w:b/>
                <w:iCs/>
                <w:szCs w:val="22"/>
                <w:lang w:val="it-IT"/>
              </w:rPr>
              <w:t>Gram</w:t>
            </w:r>
            <w:r>
              <w:rPr>
                <w:b/>
                <w:iCs/>
                <w:szCs w:val="22"/>
              </w:rPr>
              <w:t xml:space="preserve"> μικροοργανισμοί</w:t>
            </w:r>
          </w:p>
        </w:tc>
      </w:tr>
      <w:tr w:rsidR="00323DFE">
        <w:tblPrEx>
          <w:tblCellMar>
            <w:top w:w="0" w:type="dxa"/>
            <w:bottom w:w="0" w:type="dxa"/>
          </w:tblCellMar>
        </w:tblPrEx>
        <w:tc>
          <w:tcPr>
            <w:tcW w:w="7440" w:type="dxa"/>
          </w:tcPr>
          <w:p w:rsidR="00323DFE" w:rsidRPr="00954639" w:rsidRDefault="00323DFE" w:rsidP="006718E7">
            <w:pPr>
              <w:rPr>
                <w:i/>
                <w:iCs/>
                <w:szCs w:val="22"/>
                <w:lang w:val="fr-FR"/>
              </w:rPr>
            </w:pPr>
            <w:r w:rsidRPr="00954639">
              <w:rPr>
                <w:i/>
                <w:iCs/>
                <w:szCs w:val="22"/>
                <w:lang w:val="fr-FR"/>
              </w:rPr>
              <w:t>Staphylococcus aureus</w:t>
            </w:r>
          </w:p>
        </w:tc>
      </w:tr>
      <w:tr w:rsidR="00323DFE">
        <w:tblPrEx>
          <w:tblCellMar>
            <w:top w:w="0" w:type="dxa"/>
            <w:bottom w:w="0" w:type="dxa"/>
          </w:tblCellMar>
        </w:tblPrEx>
        <w:tc>
          <w:tcPr>
            <w:tcW w:w="7440" w:type="dxa"/>
          </w:tcPr>
          <w:p w:rsidR="00323DFE" w:rsidRPr="00954639" w:rsidRDefault="00323DFE" w:rsidP="006718E7">
            <w:pPr>
              <w:rPr>
                <w:szCs w:val="22"/>
                <w:lang w:val="fr-FR"/>
              </w:rPr>
            </w:pPr>
            <w:r w:rsidRPr="00954639">
              <w:rPr>
                <w:i/>
                <w:iCs/>
                <w:szCs w:val="22"/>
                <w:lang w:val="fr-FR"/>
              </w:rPr>
              <w:t>Staphylococcus epidermidis</w:t>
            </w:r>
            <w:r w:rsidRPr="00954639">
              <w:rPr>
                <w:i/>
                <w:iCs/>
                <w:szCs w:val="22"/>
                <w:vertAlign w:val="superscript"/>
                <w:lang w:val="fr-FR"/>
              </w:rPr>
              <w:t>+</w:t>
            </w:r>
          </w:p>
        </w:tc>
      </w:tr>
      <w:tr w:rsidR="00323DFE">
        <w:tblPrEx>
          <w:tblCellMar>
            <w:top w:w="0" w:type="dxa"/>
            <w:bottom w:w="0" w:type="dxa"/>
          </w:tblCellMar>
        </w:tblPrEx>
        <w:tc>
          <w:tcPr>
            <w:tcW w:w="7440" w:type="dxa"/>
          </w:tcPr>
          <w:p w:rsidR="00323DFE" w:rsidRPr="00954639" w:rsidRDefault="00323DFE" w:rsidP="006718E7">
            <w:pPr>
              <w:rPr>
                <w:i/>
                <w:iCs/>
                <w:szCs w:val="22"/>
                <w:lang w:val="fr-FR"/>
              </w:rPr>
            </w:pPr>
            <w:r w:rsidRPr="00954639">
              <w:rPr>
                <w:i/>
                <w:iCs/>
                <w:szCs w:val="22"/>
                <w:lang w:val="fr-FR"/>
              </w:rPr>
              <w:t>Staphylococcus haemolyticus</w:t>
            </w:r>
            <w:r w:rsidRPr="00954639">
              <w:rPr>
                <w:i/>
                <w:iCs/>
                <w:szCs w:val="22"/>
                <w:vertAlign w:val="superscript"/>
                <w:lang w:val="fr-FR"/>
              </w:rPr>
              <w:t>+</w:t>
            </w:r>
          </w:p>
        </w:tc>
      </w:tr>
      <w:tr w:rsidR="00323DFE">
        <w:tblPrEx>
          <w:tblCellMar>
            <w:top w:w="0" w:type="dxa"/>
            <w:bottom w:w="0" w:type="dxa"/>
          </w:tblCellMar>
        </w:tblPrEx>
        <w:tc>
          <w:tcPr>
            <w:tcW w:w="7440" w:type="dxa"/>
          </w:tcPr>
          <w:p w:rsidR="00323DFE" w:rsidRPr="00954639" w:rsidRDefault="00323DFE" w:rsidP="006718E7">
            <w:pPr>
              <w:rPr>
                <w:szCs w:val="22"/>
                <w:lang w:val="en-GB"/>
              </w:rPr>
            </w:pPr>
            <w:r w:rsidRPr="00954639">
              <w:rPr>
                <w:i/>
                <w:iCs/>
                <w:szCs w:val="22"/>
                <w:lang w:val="en-GB"/>
              </w:rPr>
              <w:t>Staphylococcus hominis</w:t>
            </w:r>
            <w:r w:rsidRPr="00954639">
              <w:rPr>
                <w:i/>
                <w:iCs/>
                <w:szCs w:val="22"/>
                <w:vertAlign w:val="superscript"/>
                <w:lang w:val="en-GB"/>
              </w:rPr>
              <w:t>+</w:t>
            </w:r>
          </w:p>
        </w:tc>
      </w:tr>
      <w:tr w:rsidR="00D03312">
        <w:tblPrEx>
          <w:tblCellMar>
            <w:top w:w="0" w:type="dxa"/>
            <w:bottom w:w="0" w:type="dxa"/>
          </w:tblCellMar>
        </w:tblPrEx>
        <w:tc>
          <w:tcPr>
            <w:tcW w:w="7440" w:type="dxa"/>
          </w:tcPr>
          <w:p w:rsidR="00D03312" w:rsidRPr="004C4C84" w:rsidRDefault="004C4C84" w:rsidP="006718E7">
            <w:pPr>
              <w:spacing w:before="120" w:after="120"/>
              <w:rPr>
                <w:rFonts w:cs="Arial"/>
                <w:i/>
              </w:rPr>
            </w:pPr>
            <w:r>
              <w:rPr>
                <w:b/>
                <w:iCs/>
                <w:szCs w:val="22"/>
              </w:rPr>
              <w:t>Αερόβιοι</w:t>
            </w:r>
            <w:r w:rsidRPr="004C4C84">
              <w:rPr>
                <w:b/>
                <w:iCs/>
                <w:szCs w:val="22"/>
                <w:lang w:val="fr-FR"/>
              </w:rPr>
              <w:t xml:space="preserve"> </w:t>
            </w:r>
            <w:r>
              <w:rPr>
                <w:b/>
                <w:iCs/>
                <w:szCs w:val="22"/>
              </w:rPr>
              <w:t>αρνητικοί</w:t>
            </w:r>
            <w:r w:rsidRPr="004C4C84">
              <w:rPr>
                <w:b/>
                <w:iCs/>
                <w:szCs w:val="22"/>
                <w:lang w:val="fr-FR"/>
              </w:rPr>
              <w:t xml:space="preserve"> </w:t>
            </w:r>
            <w:r>
              <w:rPr>
                <w:b/>
                <w:iCs/>
                <w:szCs w:val="22"/>
              </w:rPr>
              <w:t>κατά</w:t>
            </w:r>
            <w:r w:rsidR="00D03312">
              <w:rPr>
                <w:b/>
                <w:iCs/>
                <w:szCs w:val="22"/>
                <w:lang w:val="it-IT"/>
              </w:rPr>
              <w:t xml:space="preserve"> Gram</w:t>
            </w:r>
            <w:r>
              <w:rPr>
                <w:b/>
                <w:iCs/>
                <w:szCs w:val="22"/>
              </w:rPr>
              <w:t xml:space="preserve"> μικροοργανισμοί</w:t>
            </w:r>
          </w:p>
        </w:tc>
      </w:tr>
      <w:tr w:rsidR="00323DFE">
        <w:tblPrEx>
          <w:tblCellMar>
            <w:top w:w="0" w:type="dxa"/>
            <w:bottom w:w="0" w:type="dxa"/>
          </w:tblCellMar>
        </w:tblPrEx>
        <w:tc>
          <w:tcPr>
            <w:tcW w:w="7440" w:type="dxa"/>
          </w:tcPr>
          <w:p w:rsidR="00323DFE" w:rsidRPr="00112A6B" w:rsidRDefault="00323DFE" w:rsidP="006718E7">
            <w:pPr>
              <w:rPr>
                <w:i/>
                <w:iCs/>
                <w:szCs w:val="22"/>
              </w:rPr>
            </w:pPr>
          </w:p>
        </w:tc>
      </w:tr>
      <w:tr w:rsidR="00323DFE">
        <w:tblPrEx>
          <w:tblCellMar>
            <w:top w:w="0" w:type="dxa"/>
            <w:bottom w:w="0" w:type="dxa"/>
          </w:tblCellMar>
        </w:tblPrEx>
        <w:tc>
          <w:tcPr>
            <w:tcW w:w="7440" w:type="dxa"/>
          </w:tcPr>
          <w:p w:rsidR="00323DFE" w:rsidRPr="000110A8" w:rsidRDefault="00323DFE" w:rsidP="006718E7">
            <w:pPr>
              <w:rPr>
                <w:i/>
                <w:iCs/>
                <w:szCs w:val="22"/>
                <w:lang w:val="en-GB"/>
              </w:rPr>
            </w:pPr>
            <w:r w:rsidRPr="000110A8">
              <w:rPr>
                <w:i/>
                <w:iCs/>
                <w:szCs w:val="22"/>
                <w:lang w:val="en-GB"/>
              </w:rPr>
              <w:t>Citrobacter freundii</w:t>
            </w:r>
            <w:r w:rsidRPr="000110A8">
              <w:rPr>
                <w:i/>
                <w:iCs/>
                <w:szCs w:val="22"/>
                <w:vertAlign w:val="superscript"/>
                <w:lang w:val="en-GB"/>
              </w:rPr>
              <w:t>1</w:t>
            </w:r>
          </w:p>
        </w:tc>
      </w:tr>
      <w:tr w:rsidR="00323DFE">
        <w:tblPrEx>
          <w:tblCellMar>
            <w:top w:w="0" w:type="dxa"/>
            <w:bottom w:w="0" w:type="dxa"/>
          </w:tblCellMar>
        </w:tblPrEx>
        <w:tc>
          <w:tcPr>
            <w:tcW w:w="7440" w:type="dxa"/>
          </w:tcPr>
          <w:p w:rsidR="00323DFE" w:rsidRPr="000110A8" w:rsidRDefault="00323DFE" w:rsidP="006718E7">
            <w:pPr>
              <w:rPr>
                <w:i/>
                <w:iCs/>
                <w:szCs w:val="22"/>
                <w:lang w:val="fr-FR"/>
              </w:rPr>
            </w:pPr>
            <w:r w:rsidRPr="000110A8">
              <w:rPr>
                <w:i/>
                <w:iCs/>
                <w:szCs w:val="22"/>
                <w:lang w:val="fr-FR"/>
              </w:rPr>
              <w:t>Enterobacter aerognes</w:t>
            </w:r>
          </w:p>
        </w:tc>
      </w:tr>
      <w:tr w:rsidR="00323DFE">
        <w:tblPrEx>
          <w:tblCellMar>
            <w:top w:w="0" w:type="dxa"/>
            <w:bottom w:w="0" w:type="dxa"/>
          </w:tblCellMar>
        </w:tblPrEx>
        <w:tc>
          <w:tcPr>
            <w:tcW w:w="7440" w:type="dxa"/>
          </w:tcPr>
          <w:p w:rsidR="00323DFE" w:rsidRDefault="00323DFE" w:rsidP="006718E7">
            <w:pPr>
              <w:rPr>
                <w:i/>
                <w:iCs/>
                <w:szCs w:val="22"/>
                <w:lang w:val="fr-FR"/>
              </w:rPr>
            </w:pPr>
            <w:r w:rsidRPr="000110A8">
              <w:rPr>
                <w:i/>
                <w:iCs/>
                <w:szCs w:val="22"/>
                <w:lang w:val="fr-FR"/>
              </w:rPr>
              <w:t>Enterobacter cloacae</w:t>
            </w:r>
          </w:p>
          <w:p w:rsidR="0081046F" w:rsidRPr="000110A8" w:rsidRDefault="0081046F" w:rsidP="006718E7">
            <w:pPr>
              <w:rPr>
                <w:i/>
                <w:iCs/>
                <w:szCs w:val="22"/>
                <w:lang w:val="fr-FR"/>
              </w:rPr>
            </w:pPr>
            <w:r>
              <w:rPr>
                <w:i/>
                <w:iCs/>
                <w:szCs w:val="22"/>
                <w:lang w:val="fr-FR"/>
              </w:rPr>
              <w:t>Escherichia coli*</w:t>
            </w:r>
            <w:r w:rsidRPr="0081046F">
              <w:rPr>
                <w:i/>
                <w:iCs/>
                <w:szCs w:val="22"/>
                <w:vertAlign w:val="superscript"/>
                <w:lang w:val="fr-FR"/>
              </w:rPr>
              <w:t>1</w:t>
            </w:r>
          </w:p>
        </w:tc>
      </w:tr>
      <w:tr w:rsidR="00303BAB">
        <w:tblPrEx>
          <w:tblCellMar>
            <w:top w:w="0" w:type="dxa"/>
            <w:bottom w:w="0" w:type="dxa"/>
          </w:tblCellMar>
        </w:tblPrEx>
        <w:tc>
          <w:tcPr>
            <w:tcW w:w="7440" w:type="dxa"/>
          </w:tcPr>
          <w:p w:rsidR="0081046F" w:rsidRDefault="0081046F" w:rsidP="00303BAB">
            <w:pPr>
              <w:rPr>
                <w:i/>
                <w:iCs/>
                <w:szCs w:val="22"/>
                <w:lang w:val="it-IT"/>
              </w:rPr>
            </w:pPr>
          </w:p>
          <w:p w:rsidR="00303BAB" w:rsidRPr="00303BAB" w:rsidRDefault="00303BAB" w:rsidP="00303BAB">
            <w:pPr>
              <w:rPr>
                <w:i/>
                <w:iCs/>
                <w:szCs w:val="22"/>
              </w:rPr>
            </w:pPr>
            <w:r>
              <w:rPr>
                <w:i/>
                <w:iCs/>
                <w:szCs w:val="22"/>
                <w:lang w:val="it-IT"/>
              </w:rPr>
              <w:t>Klebsiella</w:t>
            </w:r>
            <w:r>
              <w:rPr>
                <w:rFonts w:cs="Arial"/>
                <w:b/>
                <w:i/>
                <w:iCs/>
                <w:szCs w:val="22"/>
                <w:lang w:val="fr-FR"/>
              </w:rPr>
              <w:t xml:space="preserve"> </w:t>
            </w:r>
            <w:r>
              <w:rPr>
                <w:i/>
                <w:iCs/>
                <w:szCs w:val="22"/>
                <w:lang w:val="fr-FR"/>
              </w:rPr>
              <w:t>pneumoniae</w:t>
            </w:r>
            <w:r>
              <w:rPr>
                <w:b/>
                <w:i/>
                <w:iCs/>
                <w:szCs w:val="22"/>
                <w:lang w:val="fr-FR"/>
              </w:rPr>
              <w:t>*</w:t>
            </w:r>
            <w:r>
              <w:rPr>
                <w:b/>
                <w:i/>
                <w:iCs/>
                <w:szCs w:val="22"/>
                <w:vertAlign w:val="superscript"/>
                <w:lang w:val="fr-FR"/>
              </w:rPr>
              <w:t>1</w:t>
            </w:r>
          </w:p>
        </w:tc>
      </w:tr>
      <w:tr w:rsidR="00323DFE">
        <w:tblPrEx>
          <w:tblCellMar>
            <w:top w:w="0" w:type="dxa"/>
            <w:bottom w:w="0" w:type="dxa"/>
          </w:tblCellMar>
        </w:tblPrEx>
        <w:tc>
          <w:tcPr>
            <w:tcW w:w="7440" w:type="dxa"/>
          </w:tcPr>
          <w:p w:rsidR="00323DFE" w:rsidRPr="000110A8" w:rsidRDefault="00323DFE" w:rsidP="006718E7">
            <w:pPr>
              <w:rPr>
                <w:i/>
                <w:iCs/>
                <w:szCs w:val="22"/>
                <w:lang w:val="it-IT"/>
              </w:rPr>
            </w:pPr>
            <w:r w:rsidRPr="000110A8">
              <w:rPr>
                <w:i/>
                <w:iCs/>
                <w:szCs w:val="22"/>
                <w:lang w:val="it-IT"/>
              </w:rPr>
              <w:t>Klebsiella oxytoca</w:t>
            </w:r>
          </w:p>
        </w:tc>
      </w:tr>
      <w:tr w:rsidR="00323DFE">
        <w:tblPrEx>
          <w:tblCellMar>
            <w:top w:w="0" w:type="dxa"/>
            <w:bottom w:w="0" w:type="dxa"/>
          </w:tblCellMar>
        </w:tblPrEx>
        <w:tc>
          <w:tcPr>
            <w:tcW w:w="7440" w:type="dxa"/>
          </w:tcPr>
          <w:p w:rsidR="00323DFE" w:rsidRPr="000110A8" w:rsidRDefault="00323DFE" w:rsidP="006718E7">
            <w:pPr>
              <w:rPr>
                <w:i/>
                <w:iCs/>
                <w:szCs w:val="22"/>
                <w:lang w:val="it-IT"/>
              </w:rPr>
            </w:pPr>
            <w:r w:rsidRPr="000110A8">
              <w:rPr>
                <w:i/>
                <w:iCs/>
                <w:szCs w:val="22"/>
                <w:lang w:val="it-IT"/>
              </w:rPr>
              <w:t>Proteus vulgaris</w:t>
            </w:r>
          </w:p>
        </w:tc>
      </w:tr>
      <w:tr w:rsidR="00323DFE">
        <w:tblPrEx>
          <w:tblCellMar>
            <w:top w:w="0" w:type="dxa"/>
            <w:bottom w:w="0" w:type="dxa"/>
          </w:tblCellMar>
        </w:tblPrEx>
        <w:tc>
          <w:tcPr>
            <w:tcW w:w="7440" w:type="dxa"/>
          </w:tcPr>
          <w:p w:rsidR="00323DFE" w:rsidRPr="000110A8" w:rsidRDefault="00323DFE" w:rsidP="006718E7">
            <w:pPr>
              <w:rPr>
                <w:szCs w:val="22"/>
                <w:lang w:val="fr-FR"/>
              </w:rPr>
            </w:pPr>
            <w:r w:rsidRPr="000110A8">
              <w:rPr>
                <w:i/>
                <w:iCs/>
                <w:szCs w:val="22"/>
                <w:lang w:val="fr-FR"/>
              </w:rPr>
              <w:t>Serratia marcescens</w:t>
            </w:r>
          </w:p>
        </w:tc>
      </w:tr>
      <w:tr w:rsidR="00D03312">
        <w:tblPrEx>
          <w:tblCellMar>
            <w:top w:w="0" w:type="dxa"/>
            <w:bottom w:w="0" w:type="dxa"/>
          </w:tblCellMar>
        </w:tblPrEx>
        <w:tc>
          <w:tcPr>
            <w:tcW w:w="7440" w:type="dxa"/>
          </w:tcPr>
          <w:p w:rsidR="00D03312" w:rsidRPr="004C4C84" w:rsidRDefault="004C4C84" w:rsidP="006718E7">
            <w:pPr>
              <w:spacing w:before="120" w:after="120"/>
              <w:rPr>
                <w:rFonts w:cs="Arial"/>
                <w:b/>
                <w:bCs/>
              </w:rPr>
            </w:pPr>
            <w:r>
              <w:rPr>
                <w:b/>
                <w:bCs/>
              </w:rPr>
              <w:t>Αναερόβιοι</w:t>
            </w:r>
            <w:r w:rsidRPr="004C4C84">
              <w:rPr>
                <w:b/>
                <w:bCs/>
              </w:rPr>
              <w:t xml:space="preserve"> </w:t>
            </w:r>
          </w:p>
        </w:tc>
      </w:tr>
      <w:tr w:rsidR="00D03312">
        <w:tblPrEx>
          <w:tblCellMar>
            <w:top w:w="0" w:type="dxa"/>
            <w:bottom w:w="0" w:type="dxa"/>
          </w:tblCellMar>
        </w:tblPrEx>
        <w:tc>
          <w:tcPr>
            <w:tcW w:w="7440" w:type="dxa"/>
          </w:tcPr>
          <w:p w:rsidR="00D03312" w:rsidRPr="00323DFE" w:rsidRDefault="00323DFE" w:rsidP="006718E7">
            <w:pPr>
              <w:rPr>
                <w:szCs w:val="22"/>
              </w:rPr>
            </w:pPr>
            <w:r w:rsidRPr="001C039E">
              <w:rPr>
                <w:i/>
                <w:iCs/>
                <w:szCs w:val="22"/>
                <w:lang w:val="fr-FR"/>
              </w:rPr>
              <w:t>Bacteroides fragilis</w:t>
            </w:r>
          </w:p>
        </w:tc>
      </w:tr>
    </w:tbl>
    <w:p w:rsidR="00D03312" w:rsidRDefault="00D03312" w:rsidP="006718E7">
      <w:pPr>
        <w:jc w:val="both"/>
        <w:rPr>
          <w:lang w:val="en-GB"/>
        </w:rPr>
      </w:pPr>
    </w:p>
    <w:p w:rsidR="00D03312" w:rsidRDefault="00D03312" w:rsidP="006718E7">
      <w:pPr>
        <w:jc w:val="both"/>
        <w:rPr>
          <w:lang w:val="en-GB"/>
        </w:rPr>
      </w:pPr>
    </w:p>
    <w:tbl>
      <w:tblPr>
        <w:tblW w:w="7440" w:type="dxa"/>
        <w:tblLayout w:type="fixed"/>
        <w:tblCellMar>
          <w:left w:w="70" w:type="dxa"/>
          <w:right w:w="70" w:type="dxa"/>
        </w:tblCellMar>
        <w:tblLook w:val="00BF"/>
      </w:tblPr>
      <w:tblGrid>
        <w:gridCol w:w="7440"/>
      </w:tblGrid>
      <w:tr w:rsidR="00D03312" w:rsidRPr="00F42BB9">
        <w:tblPrEx>
          <w:tblCellMar>
            <w:top w:w="0" w:type="dxa"/>
            <w:bottom w:w="0" w:type="dxa"/>
          </w:tblCellMar>
        </w:tblPrEx>
        <w:trPr>
          <w:trHeight w:val="422"/>
        </w:trPr>
        <w:tc>
          <w:tcPr>
            <w:tcW w:w="7440" w:type="dxa"/>
          </w:tcPr>
          <w:p w:rsidR="00D03312" w:rsidRPr="00F42BB9" w:rsidRDefault="00F42BB9" w:rsidP="006718E7">
            <w:pPr>
              <w:jc w:val="both"/>
              <w:rPr>
                <w:rFonts w:cs="Arial"/>
                <w:b/>
              </w:rPr>
            </w:pPr>
            <w:r>
              <w:rPr>
                <w:b/>
                <w:iCs/>
                <w:szCs w:val="22"/>
              </w:rPr>
              <w:t xml:space="preserve">Ενυπάρχοντες ανθεκτικοί οργανισμοί </w:t>
            </w:r>
          </w:p>
        </w:tc>
      </w:tr>
      <w:tr w:rsidR="00D03312">
        <w:tblPrEx>
          <w:tblCellMar>
            <w:top w:w="0" w:type="dxa"/>
            <w:bottom w:w="0" w:type="dxa"/>
          </w:tblCellMar>
        </w:tblPrEx>
        <w:tc>
          <w:tcPr>
            <w:tcW w:w="7440" w:type="dxa"/>
          </w:tcPr>
          <w:p w:rsidR="00D03312" w:rsidRPr="00F42BB9" w:rsidRDefault="00F42BB9" w:rsidP="006718E7">
            <w:pPr>
              <w:spacing w:before="120" w:after="120"/>
              <w:jc w:val="both"/>
              <w:rPr>
                <w:rFonts w:cs="Arial"/>
                <w:i/>
              </w:rPr>
            </w:pPr>
            <w:r>
              <w:rPr>
                <w:b/>
                <w:iCs/>
                <w:szCs w:val="22"/>
              </w:rPr>
              <w:t>Αερό</w:t>
            </w:r>
            <w:r w:rsidR="00323DFE">
              <w:rPr>
                <w:b/>
                <w:iCs/>
                <w:szCs w:val="22"/>
              </w:rPr>
              <w:t>β</w:t>
            </w:r>
            <w:r>
              <w:rPr>
                <w:b/>
                <w:iCs/>
                <w:szCs w:val="22"/>
              </w:rPr>
              <w:t>ιοι</w:t>
            </w:r>
            <w:r w:rsidRPr="00F42BB9">
              <w:rPr>
                <w:b/>
                <w:iCs/>
                <w:szCs w:val="22"/>
              </w:rPr>
              <w:t xml:space="preserve"> </w:t>
            </w:r>
            <w:r>
              <w:rPr>
                <w:b/>
                <w:iCs/>
                <w:szCs w:val="22"/>
              </w:rPr>
              <w:t>θετικοί</w:t>
            </w:r>
            <w:r w:rsidRPr="00F42BB9">
              <w:rPr>
                <w:b/>
                <w:iCs/>
                <w:szCs w:val="22"/>
              </w:rPr>
              <w:t xml:space="preserve"> </w:t>
            </w:r>
            <w:r>
              <w:rPr>
                <w:b/>
                <w:iCs/>
                <w:szCs w:val="22"/>
              </w:rPr>
              <w:t>κατά</w:t>
            </w:r>
            <w:r w:rsidR="00D03312">
              <w:rPr>
                <w:b/>
                <w:iCs/>
                <w:szCs w:val="22"/>
                <w:lang w:val="fr-FR"/>
              </w:rPr>
              <w:t xml:space="preserve"> Gram</w:t>
            </w:r>
            <w:r w:rsidRPr="00F42BB9">
              <w:rPr>
                <w:b/>
                <w:iCs/>
                <w:szCs w:val="22"/>
              </w:rPr>
              <w:t xml:space="preserve"> </w:t>
            </w:r>
            <w:r>
              <w:rPr>
                <w:b/>
                <w:iCs/>
                <w:szCs w:val="22"/>
              </w:rPr>
              <w:t>μικροοργανισμοί</w:t>
            </w:r>
          </w:p>
        </w:tc>
      </w:tr>
      <w:tr w:rsidR="00323DFE">
        <w:tblPrEx>
          <w:tblCellMar>
            <w:top w:w="0" w:type="dxa"/>
            <w:bottom w:w="0" w:type="dxa"/>
          </w:tblCellMar>
        </w:tblPrEx>
        <w:tc>
          <w:tcPr>
            <w:tcW w:w="7440" w:type="dxa"/>
          </w:tcPr>
          <w:p w:rsidR="00323DFE" w:rsidRPr="005159DF" w:rsidRDefault="00323DFE" w:rsidP="006718E7">
            <w:pPr>
              <w:rPr>
                <w:i/>
                <w:iCs/>
                <w:szCs w:val="22"/>
                <w:lang w:val="it-IT"/>
              </w:rPr>
            </w:pPr>
            <w:r w:rsidRPr="005159DF">
              <w:rPr>
                <w:i/>
                <w:iCs/>
                <w:szCs w:val="22"/>
                <w:lang w:val="it-IT"/>
              </w:rPr>
              <w:t>Enterococcus spp.</w:t>
            </w:r>
          </w:p>
        </w:tc>
      </w:tr>
      <w:tr w:rsidR="00323DFE">
        <w:tblPrEx>
          <w:tblCellMar>
            <w:top w:w="0" w:type="dxa"/>
            <w:bottom w:w="0" w:type="dxa"/>
          </w:tblCellMar>
        </w:tblPrEx>
        <w:tc>
          <w:tcPr>
            <w:tcW w:w="7440" w:type="dxa"/>
          </w:tcPr>
          <w:p w:rsidR="00323DFE" w:rsidRPr="005159DF" w:rsidRDefault="00323DFE" w:rsidP="006718E7">
            <w:pPr>
              <w:rPr>
                <w:i/>
                <w:iCs/>
                <w:szCs w:val="22"/>
                <w:lang w:val="it-IT"/>
              </w:rPr>
            </w:pPr>
            <w:r w:rsidRPr="005159DF">
              <w:rPr>
                <w:i/>
                <w:iCs/>
                <w:szCs w:val="22"/>
                <w:lang w:val="it-IT"/>
              </w:rPr>
              <w:t>Listeria monocytogenes</w:t>
            </w:r>
          </w:p>
        </w:tc>
      </w:tr>
      <w:tr w:rsidR="00323DFE">
        <w:tblPrEx>
          <w:tblCellMar>
            <w:top w:w="0" w:type="dxa"/>
            <w:bottom w:w="0" w:type="dxa"/>
          </w:tblCellMar>
        </w:tblPrEx>
        <w:tc>
          <w:tcPr>
            <w:tcW w:w="7440" w:type="dxa"/>
          </w:tcPr>
          <w:p w:rsidR="00323DFE" w:rsidRPr="005159DF" w:rsidRDefault="00323DFE" w:rsidP="006718E7">
            <w:pPr>
              <w:rPr>
                <w:i/>
                <w:iCs/>
                <w:szCs w:val="22"/>
                <w:lang w:val="it-IT"/>
              </w:rPr>
            </w:pPr>
            <w:r w:rsidRPr="005159DF">
              <w:rPr>
                <w:i/>
                <w:iCs/>
                <w:szCs w:val="22"/>
                <w:lang w:val="it-IT"/>
              </w:rPr>
              <w:t>Staphylococcus aureus MRSA</w:t>
            </w:r>
          </w:p>
        </w:tc>
      </w:tr>
      <w:tr w:rsidR="00323DFE">
        <w:tblPrEx>
          <w:tblCellMar>
            <w:top w:w="0" w:type="dxa"/>
            <w:bottom w:w="0" w:type="dxa"/>
          </w:tblCellMar>
        </w:tblPrEx>
        <w:tc>
          <w:tcPr>
            <w:tcW w:w="7440" w:type="dxa"/>
          </w:tcPr>
          <w:p w:rsidR="00323DFE" w:rsidRPr="005159DF" w:rsidRDefault="00323DFE" w:rsidP="006718E7">
            <w:pPr>
              <w:rPr>
                <w:i/>
                <w:iCs/>
                <w:szCs w:val="22"/>
                <w:lang w:val="it-IT"/>
              </w:rPr>
            </w:pPr>
          </w:p>
        </w:tc>
      </w:tr>
      <w:tr w:rsidR="00D03312">
        <w:tblPrEx>
          <w:tblCellMar>
            <w:top w:w="0" w:type="dxa"/>
            <w:bottom w:w="0" w:type="dxa"/>
          </w:tblCellMar>
        </w:tblPrEx>
        <w:tc>
          <w:tcPr>
            <w:tcW w:w="7440" w:type="dxa"/>
          </w:tcPr>
          <w:p w:rsidR="00D03312" w:rsidRPr="00F42BB9" w:rsidRDefault="00F42BB9" w:rsidP="006718E7">
            <w:pPr>
              <w:spacing w:before="120" w:after="120"/>
              <w:jc w:val="both"/>
              <w:rPr>
                <w:rFonts w:cs="Arial"/>
                <w:b/>
              </w:rPr>
            </w:pPr>
            <w:r>
              <w:rPr>
                <w:b/>
                <w:iCs/>
                <w:szCs w:val="22"/>
              </w:rPr>
              <w:t>Αερόβιοι</w:t>
            </w:r>
            <w:r w:rsidRPr="00F42BB9">
              <w:rPr>
                <w:b/>
                <w:iCs/>
                <w:szCs w:val="22"/>
                <w:lang w:val="fr-FR"/>
              </w:rPr>
              <w:t xml:space="preserve"> </w:t>
            </w:r>
            <w:r>
              <w:rPr>
                <w:b/>
                <w:iCs/>
                <w:szCs w:val="22"/>
              </w:rPr>
              <w:t>αρνητικοί</w:t>
            </w:r>
            <w:r w:rsidRPr="00F42BB9">
              <w:rPr>
                <w:b/>
                <w:iCs/>
                <w:szCs w:val="22"/>
                <w:lang w:val="fr-FR"/>
              </w:rPr>
              <w:t xml:space="preserve"> </w:t>
            </w:r>
            <w:r>
              <w:rPr>
                <w:b/>
                <w:iCs/>
                <w:szCs w:val="22"/>
              </w:rPr>
              <w:t>κατά</w:t>
            </w:r>
            <w:r w:rsidR="00D03312">
              <w:rPr>
                <w:b/>
                <w:iCs/>
                <w:szCs w:val="22"/>
                <w:lang w:val="fr-FR"/>
              </w:rPr>
              <w:t xml:space="preserve"> Gram</w:t>
            </w:r>
            <w:r w:rsidRPr="00F42BB9">
              <w:rPr>
                <w:b/>
                <w:iCs/>
                <w:szCs w:val="22"/>
                <w:lang w:val="fr-FR"/>
              </w:rPr>
              <w:t xml:space="preserve"> </w:t>
            </w:r>
            <w:r>
              <w:rPr>
                <w:b/>
                <w:iCs/>
                <w:szCs w:val="22"/>
              </w:rPr>
              <w:t>μικροοργανισμοί</w:t>
            </w:r>
          </w:p>
        </w:tc>
      </w:tr>
      <w:tr w:rsidR="00323DFE">
        <w:tblPrEx>
          <w:tblCellMar>
            <w:top w:w="0" w:type="dxa"/>
            <w:bottom w:w="0" w:type="dxa"/>
          </w:tblCellMar>
        </w:tblPrEx>
        <w:tc>
          <w:tcPr>
            <w:tcW w:w="7440" w:type="dxa"/>
          </w:tcPr>
          <w:p w:rsidR="0081046F" w:rsidRDefault="0081046F" w:rsidP="006718E7">
            <w:pPr>
              <w:rPr>
                <w:i/>
                <w:iCs/>
                <w:szCs w:val="22"/>
                <w:lang w:val="it-IT"/>
              </w:rPr>
            </w:pPr>
            <w:r>
              <w:rPr>
                <w:i/>
                <w:iCs/>
                <w:szCs w:val="22"/>
                <w:lang w:val="it-IT"/>
              </w:rPr>
              <w:t>Acinetobacter baumannii</w:t>
            </w:r>
            <w:r w:rsidRPr="0081046F">
              <w:rPr>
                <w:i/>
                <w:iCs/>
                <w:szCs w:val="22"/>
                <w:vertAlign w:val="superscript"/>
                <w:lang w:val="it-IT"/>
              </w:rPr>
              <w:t>+</w:t>
            </w:r>
          </w:p>
          <w:p w:rsidR="00323DFE" w:rsidRPr="00AA155A" w:rsidRDefault="00323DFE" w:rsidP="006718E7">
            <w:pPr>
              <w:rPr>
                <w:i/>
                <w:iCs/>
                <w:szCs w:val="22"/>
                <w:lang w:val="it-IT"/>
              </w:rPr>
            </w:pPr>
            <w:r w:rsidRPr="00AA155A">
              <w:rPr>
                <w:i/>
                <w:iCs/>
                <w:szCs w:val="22"/>
                <w:lang w:val="it-IT"/>
              </w:rPr>
              <w:t>Pseudomonas aeruginosa</w:t>
            </w:r>
          </w:p>
        </w:tc>
      </w:tr>
      <w:tr w:rsidR="00323DFE">
        <w:tblPrEx>
          <w:tblCellMar>
            <w:top w:w="0" w:type="dxa"/>
            <w:bottom w:w="0" w:type="dxa"/>
          </w:tblCellMar>
        </w:tblPrEx>
        <w:tc>
          <w:tcPr>
            <w:tcW w:w="7440" w:type="dxa"/>
          </w:tcPr>
          <w:p w:rsidR="00323DFE" w:rsidRPr="00AA155A" w:rsidRDefault="00323DFE" w:rsidP="006718E7">
            <w:pPr>
              <w:rPr>
                <w:i/>
                <w:iCs/>
                <w:szCs w:val="22"/>
                <w:lang w:val="it-IT"/>
              </w:rPr>
            </w:pPr>
            <w:r w:rsidRPr="00AA155A">
              <w:rPr>
                <w:i/>
                <w:iCs/>
                <w:szCs w:val="22"/>
                <w:lang w:val="it-IT"/>
              </w:rPr>
              <w:t>Stenotrophomonas maltophilia</w:t>
            </w:r>
          </w:p>
        </w:tc>
      </w:tr>
      <w:tr w:rsidR="00D03312">
        <w:tblPrEx>
          <w:tblCellMar>
            <w:top w:w="0" w:type="dxa"/>
            <w:bottom w:w="0" w:type="dxa"/>
          </w:tblCellMar>
        </w:tblPrEx>
        <w:tc>
          <w:tcPr>
            <w:tcW w:w="7440" w:type="dxa"/>
          </w:tcPr>
          <w:p w:rsidR="00D03312" w:rsidRDefault="00D03312" w:rsidP="006718E7">
            <w:pPr>
              <w:jc w:val="both"/>
              <w:rPr>
                <w:rFonts w:cs="Arial"/>
                <w:i/>
              </w:rPr>
            </w:pPr>
          </w:p>
        </w:tc>
      </w:tr>
      <w:tr w:rsidR="00323DFE" w:rsidRPr="00323DFE">
        <w:tblPrEx>
          <w:tblCellMar>
            <w:top w:w="0" w:type="dxa"/>
            <w:bottom w:w="0" w:type="dxa"/>
          </w:tblCellMar>
        </w:tblPrEx>
        <w:tc>
          <w:tcPr>
            <w:tcW w:w="7440" w:type="dxa"/>
          </w:tcPr>
          <w:p w:rsidR="00323DFE" w:rsidRPr="00323DFE" w:rsidRDefault="00323DFE" w:rsidP="006718E7">
            <w:pPr>
              <w:jc w:val="both"/>
              <w:rPr>
                <w:rFonts w:cs="Arial"/>
                <w:b/>
                <w:bCs/>
                <w:iCs/>
              </w:rPr>
            </w:pPr>
            <w:r w:rsidRPr="00323DFE">
              <w:rPr>
                <w:rFonts w:cs="Arial"/>
                <w:b/>
                <w:bCs/>
                <w:iCs/>
              </w:rPr>
              <w:t>Αναερόβιοι</w:t>
            </w:r>
          </w:p>
        </w:tc>
      </w:tr>
      <w:tr w:rsidR="00323DFE" w:rsidRPr="00323DFE">
        <w:tblPrEx>
          <w:tblCellMar>
            <w:top w:w="0" w:type="dxa"/>
            <w:bottom w:w="0" w:type="dxa"/>
          </w:tblCellMar>
        </w:tblPrEx>
        <w:tc>
          <w:tcPr>
            <w:tcW w:w="7440" w:type="dxa"/>
          </w:tcPr>
          <w:p w:rsidR="00323DFE" w:rsidRPr="00323DFE" w:rsidRDefault="00323DFE" w:rsidP="006718E7">
            <w:pPr>
              <w:rPr>
                <w:i/>
                <w:iCs/>
                <w:szCs w:val="22"/>
              </w:rPr>
            </w:pPr>
            <w:r w:rsidRPr="001C039E">
              <w:rPr>
                <w:i/>
                <w:iCs/>
                <w:szCs w:val="22"/>
                <w:lang w:val="en-GB"/>
              </w:rPr>
              <w:t>Clostridium difficile</w:t>
            </w:r>
          </w:p>
        </w:tc>
      </w:tr>
      <w:tr w:rsidR="00323DFE" w:rsidRPr="00323DFE">
        <w:tblPrEx>
          <w:tblCellMar>
            <w:top w:w="0" w:type="dxa"/>
            <w:bottom w:w="0" w:type="dxa"/>
          </w:tblCellMar>
        </w:tblPrEx>
        <w:tc>
          <w:tcPr>
            <w:tcW w:w="7440" w:type="dxa"/>
          </w:tcPr>
          <w:p w:rsidR="00323DFE" w:rsidRPr="00323DFE" w:rsidRDefault="00323DFE" w:rsidP="006718E7">
            <w:pPr>
              <w:jc w:val="both"/>
              <w:rPr>
                <w:rFonts w:cs="Arial"/>
                <w:b/>
                <w:bCs/>
                <w:iCs/>
              </w:rPr>
            </w:pPr>
          </w:p>
        </w:tc>
      </w:tr>
      <w:tr w:rsidR="00D03312">
        <w:tblPrEx>
          <w:tblCellMar>
            <w:top w:w="0" w:type="dxa"/>
            <w:bottom w:w="0" w:type="dxa"/>
          </w:tblCellMar>
        </w:tblPrEx>
        <w:tc>
          <w:tcPr>
            <w:tcW w:w="7440" w:type="dxa"/>
          </w:tcPr>
          <w:p w:rsidR="00F42BB9" w:rsidRPr="00323DFE" w:rsidRDefault="00323DFE" w:rsidP="006718E7">
            <w:pPr>
              <w:spacing w:before="120" w:after="120"/>
              <w:jc w:val="both"/>
              <w:rPr>
                <w:b/>
                <w:bCs/>
              </w:rPr>
            </w:pPr>
            <w:r>
              <w:rPr>
                <w:b/>
                <w:bCs/>
              </w:rPr>
              <w:t>Άλλοι</w:t>
            </w:r>
          </w:p>
        </w:tc>
      </w:tr>
      <w:tr w:rsidR="00323DFE">
        <w:tblPrEx>
          <w:tblCellMar>
            <w:top w:w="0" w:type="dxa"/>
            <w:bottom w:w="0" w:type="dxa"/>
          </w:tblCellMar>
        </w:tblPrEx>
        <w:tc>
          <w:tcPr>
            <w:tcW w:w="7440" w:type="dxa"/>
          </w:tcPr>
          <w:p w:rsidR="00323DFE" w:rsidRPr="00267B6C" w:rsidRDefault="00323DFE" w:rsidP="006718E7">
            <w:pPr>
              <w:rPr>
                <w:i/>
                <w:iCs/>
                <w:szCs w:val="22"/>
                <w:lang w:val="en-GB"/>
              </w:rPr>
            </w:pPr>
            <w:r w:rsidRPr="00267B6C">
              <w:rPr>
                <w:i/>
                <w:iCs/>
                <w:szCs w:val="22"/>
                <w:lang w:val="en-GB"/>
              </w:rPr>
              <w:t>Chlamydia spp.</w:t>
            </w:r>
          </w:p>
        </w:tc>
      </w:tr>
      <w:tr w:rsidR="00323DFE">
        <w:tblPrEx>
          <w:tblCellMar>
            <w:top w:w="0" w:type="dxa"/>
            <w:bottom w:w="0" w:type="dxa"/>
          </w:tblCellMar>
        </w:tblPrEx>
        <w:trPr>
          <w:trHeight w:val="274"/>
        </w:trPr>
        <w:tc>
          <w:tcPr>
            <w:tcW w:w="7440" w:type="dxa"/>
          </w:tcPr>
          <w:p w:rsidR="00323DFE" w:rsidRPr="00267B6C" w:rsidRDefault="00323DFE" w:rsidP="006718E7">
            <w:pPr>
              <w:rPr>
                <w:i/>
                <w:iCs/>
                <w:szCs w:val="22"/>
                <w:lang w:val="en-GB"/>
              </w:rPr>
            </w:pPr>
            <w:r w:rsidRPr="00267B6C">
              <w:rPr>
                <w:i/>
                <w:iCs/>
                <w:szCs w:val="22"/>
                <w:lang w:val="en-GB"/>
              </w:rPr>
              <w:t>Chlamydophila spp.</w:t>
            </w:r>
          </w:p>
        </w:tc>
      </w:tr>
      <w:tr w:rsidR="00323DFE">
        <w:tblPrEx>
          <w:tblCellMar>
            <w:top w:w="0" w:type="dxa"/>
            <w:bottom w:w="0" w:type="dxa"/>
          </w:tblCellMar>
        </w:tblPrEx>
        <w:trPr>
          <w:trHeight w:val="292"/>
        </w:trPr>
        <w:tc>
          <w:tcPr>
            <w:tcW w:w="7440" w:type="dxa"/>
          </w:tcPr>
          <w:p w:rsidR="00323DFE" w:rsidRPr="00267B6C" w:rsidRDefault="00323DFE" w:rsidP="006718E7">
            <w:pPr>
              <w:rPr>
                <w:i/>
                <w:iCs/>
                <w:szCs w:val="22"/>
                <w:lang w:val="en-GB"/>
              </w:rPr>
            </w:pPr>
            <w:r w:rsidRPr="00267B6C">
              <w:rPr>
                <w:i/>
                <w:iCs/>
                <w:szCs w:val="22"/>
                <w:lang w:val="en-GB"/>
              </w:rPr>
              <w:t>Legionella pneumophila</w:t>
            </w:r>
          </w:p>
        </w:tc>
      </w:tr>
      <w:tr w:rsidR="00323DFE">
        <w:tblPrEx>
          <w:tblCellMar>
            <w:top w:w="0" w:type="dxa"/>
            <w:bottom w:w="0" w:type="dxa"/>
          </w:tblCellMar>
        </w:tblPrEx>
        <w:tc>
          <w:tcPr>
            <w:tcW w:w="7440" w:type="dxa"/>
          </w:tcPr>
          <w:p w:rsidR="00323DFE" w:rsidRPr="00267B6C" w:rsidRDefault="00323DFE" w:rsidP="006718E7">
            <w:pPr>
              <w:rPr>
                <w:i/>
                <w:iCs/>
                <w:szCs w:val="22"/>
                <w:lang w:val="it-IT"/>
              </w:rPr>
            </w:pPr>
            <w:r w:rsidRPr="00267B6C">
              <w:rPr>
                <w:i/>
                <w:iCs/>
                <w:szCs w:val="22"/>
                <w:lang w:val="it-IT"/>
              </w:rPr>
              <w:t>Mycoplasma spp.</w:t>
            </w:r>
          </w:p>
        </w:tc>
      </w:tr>
      <w:tr w:rsidR="00323DFE">
        <w:tblPrEx>
          <w:tblCellMar>
            <w:top w:w="0" w:type="dxa"/>
            <w:bottom w:w="0" w:type="dxa"/>
          </w:tblCellMar>
        </w:tblPrEx>
        <w:tc>
          <w:tcPr>
            <w:tcW w:w="7440" w:type="dxa"/>
          </w:tcPr>
          <w:p w:rsidR="00323DFE" w:rsidRPr="00267B6C" w:rsidRDefault="00323DFE" w:rsidP="006718E7">
            <w:pPr>
              <w:rPr>
                <w:b/>
                <w:bCs/>
                <w:szCs w:val="22"/>
                <w:lang w:val="it-IT"/>
              </w:rPr>
            </w:pPr>
            <w:r w:rsidRPr="00267B6C">
              <w:rPr>
                <w:i/>
                <w:iCs/>
                <w:szCs w:val="22"/>
                <w:lang w:val="it-IT"/>
              </w:rPr>
              <w:t>Treponema pallidum</w:t>
            </w:r>
          </w:p>
        </w:tc>
      </w:tr>
    </w:tbl>
    <w:p w:rsidR="00D03312" w:rsidRPr="00323DFE" w:rsidRDefault="00323DFE" w:rsidP="002F6670">
      <w:pPr>
        <w:spacing w:line="260" w:lineRule="auto"/>
        <w:jc w:val="both"/>
        <w:rPr>
          <w:szCs w:val="22"/>
        </w:rPr>
      </w:pPr>
      <w:r>
        <w:rPr>
          <w:szCs w:val="22"/>
        </w:rPr>
        <w:t>*</w:t>
      </w:r>
      <w:r w:rsidR="00F42BB9" w:rsidRPr="00323DFE">
        <w:rPr>
          <w:szCs w:val="22"/>
        </w:rPr>
        <w:t xml:space="preserve">Η κλινική αποτελεσματικότητα έχει αποδειχθεί για ευαίσθητους απομονωμένους οργανισμούς σε εγκεκριμένες κλινικές ενδείξεις. </w:t>
      </w:r>
    </w:p>
    <w:p w:rsidR="00D03312" w:rsidRPr="00323DFE" w:rsidRDefault="00323DFE" w:rsidP="002F6670">
      <w:pPr>
        <w:spacing w:line="260" w:lineRule="auto"/>
        <w:jc w:val="both"/>
        <w:rPr>
          <w:szCs w:val="22"/>
        </w:rPr>
      </w:pPr>
      <w:r w:rsidRPr="00323DFE">
        <w:rPr>
          <w:szCs w:val="22"/>
          <w:vertAlign w:val="superscript"/>
        </w:rPr>
        <w:lastRenderedPageBreak/>
        <w:t xml:space="preserve">$ </w:t>
      </w:r>
      <w:r w:rsidR="00F42BB9" w:rsidRPr="00323DFE">
        <w:rPr>
          <w:szCs w:val="22"/>
        </w:rPr>
        <w:t xml:space="preserve">Είδη </w:t>
      </w:r>
      <w:r w:rsidRPr="00323DFE">
        <w:rPr>
          <w:szCs w:val="22"/>
        </w:rPr>
        <w:t>με φυσική μέτρια ευαισθησία</w:t>
      </w:r>
      <w:r w:rsidR="00F42BB9" w:rsidRPr="00323DFE">
        <w:rPr>
          <w:szCs w:val="22"/>
        </w:rPr>
        <w:t xml:space="preserve">. </w:t>
      </w:r>
    </w:p>
    <w:p w:rsidR="00323DFE" w:rsidRDefault="00323DFE" w:rsidP="002F6670">
      <w:pPr>
        <w:jc w:val="both"/>
        <w:rPr>
          <w:szCs w:val="22"/>
        </w:rPr>
      </w:pPr>
      <w:r w:rsidRPr="001977DB">
        <w:rPr>
          <w:szCs w:val="22"/>
          <w:vertAlign w:val="superscript"/>
        </w:rPr>
        <w:t>1</w:t>
      </w:r>
      <w:r w:rsidRPr="001977DB">
        <w:rPr>
          <w:szCs w:val="22"/>
        </w:rPr>
        <w:t xml:space="preserve"> </w:t>
      </w:r>
      <w:r w:rsidRPr="00323DFE">
        <w:rPr>
          <w:szCs w:val="22"/>
        </w:rPr>
        <w:t xml:space="preserve">Κάποια είδη </w:t>
      </w:r>
      <w:r>
        <w:rPr>
          <w:szCs w:val="22"/>
        </w:rPr>
        <w:t xml:space="preserve">παράγουν παρακινούμενες μη κατασταλμένες </w:t>
      </w:r>
      <w:r w:rsidRPr="00323DFE">
        <w:rPr>
          <w:szCs w:val="22"/>
        </w:rPr>
        <w:t>χρωμοσωμικά κωδικοποιημέν</w:t>
      </w:r>
      <w:r>
        <w:rPr>
          <w:szCs w:val="22"/>
        </w:rPr>
        <w:t xml:space="preserve">ες κεφαλοσπορινάσες και </w:t>
      </w:r>
      <w:r w:rsidRPr="001C039E">
        <w:rPr>
          <w:szCs w:val="22"/>
          <w:lang w:val="en-GB"/>
        </w:rPr>
        <w:t>ESBLs</w:t>
      </w:r>
      <w:r>
        <w:rPr>
          <w:szCs w:val="22"/>
        </w:rPr>
        <w:t xml:space="preserve"> (β-λακταμάσες διευρημένου </w:t>
      </w:r>
      <w:r w:rsidR="001977DB">
        <w:rPr>
          <w:szCs w:val="22"/>
        </w:rPr>
        <w:t>φάσματος</w:t>
      </w:r>
      <w:r>
        <w:rPr>
          <w:szCs w:val="22"/>
        </w:rPr>
        <w:t>) και συνεπώς είναι κλινικά ανθεκτικά στις κεφαλοσπορίνες.</w:t>
      </w:r>
    </w:p>
    <w:p w:rsidR="00504C83" w:rsidRPr="000937EC" w:rsidRDefault="00032E9F" w:rsidP="000937EC">
      <w:pPr>
        <w:rPr>
          <w:szCs w:val="22"/>
        </w:rPr>
      </w:pPr>
      <w:r w:rsidRPr="000937EC">
        <w:rPr>
          <w:szCs w:val="22"/>
          <w:vertAlign w:val="superscript"/>
        </w:rPr>
        <w:t>+</w:t>
      </w:r>
      <w:r w:rsidRPr="000937EC">
        <w:rPr>
          <w:szCs w:val="22"/>
        </w:rPr>
        <w:t xml:space="preserve"> </w:t>
      </w:r>
      <w:r>
        <w:rPr>
          <w:szCs w:val="22"/>
        </w:rPr>
        <w:t>Είδη</w:t>
      </w:r>
      <w:r w:rsidRPr="000937EC">
        <w:rPr>
          <w:szCs w:val="22"/>
        </w:rPr>
        <w:t xml:space="preserve"> </w:t>
      </w:r>
      <w:r>
        <w:rPr>
          <w:szCs w:val="22"/>
        </w:rPr>
        <w:t>για</w:t>
      </w:r>
      <w:r w:rsidRPr="000937EC">
        <w:rPr>
          <w:szCs w:val="22"/>
        </w:rPr>
        <w:t xml:space="preserve"> </w:t>
      </w:r>
      <w:r>
        <w:rPr>
          <w:szCs w:val="22"/>
        </w:rPr>
        <w:t>τα</w:t>
      </w:r>
      <w:r w:rsidRPr="000937EC">
        <w:rPr>
          <w:szCs w:val="22"/>
        </w:rPr>
        <w:t xml:space="preserve"> </w:t>
      </w:r>
      <w:r>
        <w:rPr>
          <w:szCs w:val="22"/>
        </w:rPr>
        <w:t>οποία</w:t>
      </w:r>
      <w:r w:rsidRPr="000937EC">
        <w:rPr>
          <w:szCs w:val="22"/>
        </w:rPr>
        <w:t xml:space="preserve"> </w:t>
      </w:r>
      <w:r>
        <w:rPr>
          <w:szCs w:val="22"/>
        </w:rPr>
        <w:t>έχει</w:t>
      </w:r>
      <w:r w:rsidRPr="000937EC">
        <w:rPr>
          <w:szCs w:val="22"/>
        </w:rPr>
        <w:t xml:space="preserve"> </w:t>
      </w:r>
      <w:r>
        <w:rPr>
          <w:szCs w:val="22"/>
        </w:rPr>
        <w:t>παρατηρηθεί</w:t>
      </w:r>
      <w:r w:rsidRPr="000937EC">
        <w:rPr>
          <w:szCs w:val="22"/>
        </w:rPr>
        <w:t xml:space="preserve"> </w:t>
      </w:r>
      <w:r>
        <w:rPr>
          <w:szCs w:val="22"/>
        </w:rPr>
        <w:t>συχνότητα</w:t>
      </w:r>
      <w:r w:rsidRPr="000937EC">
        <w:rPr>
          <w:szCs w:val="22"/>
        </w:rPr>
        <w:t xml:space="preserve"> </w:t>
      </w:r>
      <w:r>
        <w:rPr>
          <w:szCs w:val="22"/>
        </w:rPr>
        <w:t>ανθεκτικότητας</w:t>
      </w:r>
      <w:r w:rsidRPr="000937EC">
        <w:rPr>
          <w:szCs w:val="22"/>
        </w:rPr>
        <w:t xml:space="preserve"> 50% </w:t>
      </w:r>
      <w:r>
        <w:rPr>
          <w:szCs w:val="22"/>
        </w:rPr>
        <w:t>σε</w:t>
      </w:r>
      <w:r w:rsidRPr="000937EC">
        <w:rPr>
          <w:szCs w:val="22"/>
        </w:rPr>
        <w:t xml:space="preserve"> </w:t>
      </w:r>
      <w:r>
        <w:rPr>
          <w:szCs w:val="22"/>
        </w:rPr>
        <w:t>μια</w:t>
      </w:r>
      <w:r w:rsidRPr="000937EC">
        <w:rPr>
          <w:szCs w:val="22"/>
        </w:rPr>
        <w:t xml:space="preserve"> </w:t>
      </w:r>
      <w:r>
        <w:rPr>
          <w:szCs w:val="22"/>
        </w:rPr>
        <w:t>η</w:t>
      </w:r>
      <w:r w:rsidRPr="000937EC">
        <w:rPr>
          <w:szCs w:val="22"/>
        </w:rPr>
        <w:t xml:space="preserve"> </w:t>
      </w:r>
      <w:r>
        <w:rPr>
          <w:szCs w:val="22"/>
        </w:rPr>
        <w:t>περισσότερες περιοχές/χώρες εντός της Ε.Ε..</w:t>
      </w:r>
    </w:p>
    <w:p w:rsidR="00504C83" w:rsidRPr="000937EC" w:rsidRDefault="00504C83" w:rsidP="002F6670">
      <w:pPr>
        <w:jc w:val="both"/>
        <w:rPr>
          <w:szCs w:val="22"/>
        </w:rPr>
      </w:pPr>
    </w:p>
    <w:p w:rsidR="00AF0E2A" w:rsidRPr="000937EC" w:rsidRDefault="00AF0E2A" w:rsidP="006718E7">
      <w:pPr>
        <w:rPr>
          <w:noProof/>
        </w:rPr>
      </w:pPr>
    </w:p>
    <w:p w:rsidR="00AF0E2A" w:rsidRPr="00BF5054" w:rsidRDefault="00AF0E2A" w:rsidP="002F6670">
      <w:pPr>
        <w:jc w:val="both"/>
        <w:rPr>
          <w:noProof/>
        </w:rPr>
      </w:pPr>
      <w:r w:rsidRPr="00BF5054">
        <w:rPr>
          <w:b/>
          <w:noProof/>
        </w:rPr>
        <w:t>5.2</w:t>
      </w:r>
      <w:r w:rsidRPr="00BF5054">
        <w:rPr>
          <w:b/>
          <w:noProof/>
        </w:rPr>
        <w:tab/>
      </w:r>
      <w:r>
        <w:rPr>
          <w:b/>
          <w:noProof/>
        </w:rPr>
        <w:t>Φαρμακοκινητικές</w:t>
      </w:r>
      <w:r w:rsidRPr="00BF5054">
        <w:rPr>
          <w:b/>
          <w:noProof/>
        </w:rPr>
        <w:t xml:space="preserve"> </w:t>
      </w:r>
      <w:r>
        <w:rPr>
          <w:b/>
          <w:noProof/>
        </w:rPr>
        <w:t>ιδιότητες</w:t>
      </w:r>
    </w:p>
    <w:p w:rsidR="00323DFE" w:rsidRDefault="00323DFE" w:rsidP="002F6670">
      <w:pPr>
        <w:jc w:val="both"/>
      </w:pPr>
    </w:p>
    <w:p w:rsidR="00323DFE" w:rsidRDefault="00323DFE" w:rsidP="002F6670">
      <w:pPr>
        <w:autoSpaceDE w:val="0"/>
        <w:autoSpaceDN w:val="0"/>
        <w:adjustRightInd w:val="0"/>
        <w:jc w:val="both"/>
        <w:rPr>
          <w:szCs w:val="22"/>
        </w:rPr>
      </w:pPr>
      <w:r>
        <w:rPr>
          <w:szCs w:val="22"/>
        </w:rPr>
        <w:t>Η</w:t>
      </w:r>
      <w:r w:rsidRPr="00323DFE">
        <w:rPr>
          <w:szCs w:val="22"/>
        </w:rPr>
        <w:t xml:space="preserve"> </w:t>
      </w:r>
      <w:r>
        <w:rPr>
          <w:szCs w:val="22"/>
        </w:rPr>
        <w:t>κεφτριαξόνη</w:t>
      </w:r>
      <w:r w:rsidRPr="00323DFE">
        <w:rPr>
          <w:szCs w:val="22"/>
        </w:rPr>
        <w:t xml:space="preserve"> </w:t>
      </w:r>
      <w:r>
        <w:rPr>
          <w:szCs w:val="22"/>
        </w:rPr>
        <w:t>είναι</w:t>
      </w:r>
      <w:r w:rsidRPr="00323DFE">
        <w:rPr>
          <w:szCs w:val="22"/>
        </w:rPr>
        <w:t xml:space="preserve"> </w:t>
      </w:r>
      <w:r>
        <w:rPr>
          <w:szCs w:val="22"/>
        </w:rPr>
        <w:t>μια</w:t>
      </w:r>
      <w:r w:rsidRPr="00323DFE">
        <w:rPr>
          <w:szCs w:val="22"/>
        </w:rPr>
        <w:t xml:space="preserve"> </w:t>
      </w:r>
      <w:r>
        <w:rPr>
          <w:szCs w:val="22"/>
        </w:rPr>
        <w:t>κεφαλοσπορίνη</w:t>
      </w:r>
      <w:r w:rsidRPr="00323DFE">
        <w:rPr>
          <w:szCs w:val="22"/>
        </w:rPr>
        <w:t xml:space="preserve"> </w:t>
      </w:r>
      <w:r>
        <w:rPr>
          <w:szCs w:val="22"/>
        </w:rPr>
        <w:t>για παρεντερική, ενδοφλέβια και ενδομυϊκή χορήγηση. Η</w:t>
      </w:r>
      <w:r w:rsidRPr="00323DFE">
        <w:rPr>
          <w:szCs w:val="22"/>
        </w:rPr>
        <w:t xml:space="preserve"> </w:t>
      </w:r>
      <w:r>
        <w:rPr>
          <w:szCs w:val="22"/>
        </w:rPr>
        <w:t>κεφτριαξόνη</w:t>
      </w:r>
      <w:r w:rsidRPr="00323DFE">
        <w:rPr>
          <w:szCs w:val="22"/>
        </w:rPr>
        <w:t xml:space="preserve"> </w:t>
      </w:r>
      <w:r>
        <w:rPr>
          <w:szCs w:val="22"/>
        </w:rPr>
        <w:t>δεν</w:t>
      </w:r>
      <w:r w:rsidRPr="00323DFE">
        <w:rPr>
          <w:szCs w:val="22"/>
        </w:rPr>
        <w:t xml:space="preserve"> </w:t>
      </w:r>
      <w:r>
        <w:rPr>
          <w:szCs w:val="22"/>
        </w:rPr>
        <w:t>απορροφάται</w:t>
      </w:r>
      <w:r w:rsidRPr="00323DFE">
        <w:rPr>
          <w:szCs w:val="22"/>
        </w:rPr>
        <w:t xml:space="preserve"> </w:t>
      </w:r>
      <w:r>
        <w:rPr>
          <w:szCs w:val="22"/>
        </w:rPr>
        <w:t>μετά</w:t>
      </w:r>
      <w:r w:rsidRPr="00323DFE">
        <w:rPr>
          <w:szCs w:val="22"/>
        </w:rPr>
        <w:t xml:space="preserve"> </w:t>
      </w:r>
      <w:r>
        <w:rPr>
          <w:szCs w:val="22"/>
        </w:rPr>
        <w:t xml:space="preserve">από χορήγηση από το στόμα. </w:t>
      </w:r>
    </w:p>
    <w:p w:rsidR="00323DFE" w:rsidRPr="00323DFE" w:rsidRDefault="00323DFE" w:rsidP="002F6670">
      <w:pPr>
        <w:autoSpaceDE w:val="0"/>
        <w:autoSpaceDN w:val="0"/>
        <w:adjustRightInd w:val="0"/>
        <w:jc w:val="both"/>
        <w:rPr>
          <w:szCs w:val="22"/>
        </w:rPr>
      </w:pPr>
      <w:r>
        <w:rPr>
          <w:szCs w:val="22"/>
        </w:rPr>
        <w:t xml:space="preserve">Μετά από δόση </w:t>
      </w:r>
      <w:r w:rsidRPr="00323DFE">
        <w:rPr>
          <w:szCs w:val="22"/>
        </w:rPr>
        <w:t xml:space="preserve">1–2 </w:t>
      </w:r>
      <w:r w:rsidRPr="001C039E">
        <w:rPr>
          <w:szCs w:val="22"/>
          <w:lang w:val="en-GB"/>
        </w:rPr>
        <w:t>g</w:t>
      </w:r>
      <w:r>
        <w:rPr>
          <w:szCs w:val="22"/>
        </w:rPr>
        <w:t xml:space="preserve">, οι συγκεντρώσεις έχουν δείξει να παραμένουν πάνω από τις τιμές </w:t>
      </w:r>
      <w:r w:rsidRPr="001C039E">
        <w:rPr>
          <w:szCs w:val="22"/>
          <w:lang w:val="en-GB"/>
        </w:rPr>
        <w:t>MIC</w:t>
      </w:r>
      <w:r>
        <w:rPr>
          <w:szCs w:val="22"/>
        </w:rPr>
        <w:t xml:space="preserve"> για τα περισσότερα παθογόνα που προκαλούν λοιμώξεις, για περισσότερες από 24 ώρες σε περισσότερους από 60 διαφορετικούς ιστούς (συμπεριλαμβανομένων των πνευμόνων, καρδιάς, χοληφόρων, ήπαρ, αμυγδαλές, μέσου ωτός, ρινική βλενογόννο, οστά) και σε πολλά σωματικά υγρά (συμπεριλαμβανομένου του εγκεφαλονωτιαίου υγρού, υπεζωκοτικού υγρού καθώς επίσης του προστατικού υγρού και του υγρού του αρθριτικού υμένα).</w:t>
      </w:r>
    </w:p>
    <w:p w:rsidR="00323DFE" w:rsidRDefault="00323DFE" w:rsidP="002F6670">
      <w:pPr>
        <w:jc w:val="both"/>
        <w:rPr>
          <w:szCs w:val="22"/>
        </w:rPr>
      </w:pPr>
    </w:p>
    <w:p w:rsidR="00323DFE" w:rsidRPr="00BF5054" w:rsidRDefault="00323DFE" w:rsidP="002F6670">
      <w:pPr>
        <w:autoSpaceDE w:val="0"/>
        <w:autoSpaceDN w:val="0"/>
        <w:adjustRightInd w:val="0"/>
        <w:jc w:val="both"/>
        <w:rPr>
          <w:b/>
          <w:i/>
          <w:szCs w:val="22"/>
        </w:rPr>
      </w:pPr>
      <w:r>
        <w:rPr>
          <w:b/>
          <w:i/>
          <w:szCs w:val="22"/>
        </w:rPr>
        <w:t>Απορρόφηση</w:t>
      </w:r>
    </w:p>
    <w:p w:rsidR="00323DFE" w:rsidRPr="00413855" w:rsidRDefault="00323DFE" w:rsidP="002F6670">
      <w:pPr>
        <w:autoSpaceDE w:val="0"/>
        <w:autoSpaceDN w:val="0"/>
        <w:adjustRightInd w:val="0"/>
        <w:jc w:val="both"/>
        <w:rPr>
          <w:szCs w:val="22"/>
        </w:rPr>
      </w:pPr>
      <w:r>
        <w:rPr>
          <w:szCs w:val="22"/>
        </w:rPr>
        <w:t>Η</w:t>
      </w:r>
      <w:r w:rsidRPr="00323DFE">
        <w:rPr>
          <w:szCs w:val="22"/>
        </w:rPr>
        <w:t xml:space="preserve"> </w:t>
      </w:r>
      <w:r>
        <w:rPr>
          <w:szCs w:val="22"/>
        </w:rPr>
        <w:t>κεφτριαξόνη</w:t>
      </w:r>
      <w:r w:rsidRPr="00323DFE">
        <w:rPr>
          <w:szCs w:val="22"/>
        </w:rPr>
        <w:t xml:space="preserve"> </w:t>
      </w:r>
      <w:r>
        <w:rPr>
          <w:szCs w:val="22"/>
        </w:rPr>
        <w:t>είναι</w:t>
      </w:r>
      <w:r w:rsidRPr="00323DFE">
        <w:rPr>
          <w:szCs w:val="22"/>
        </w:rPr>
        <w:t xml:space="preserve"> </w:t>
      </w:r>
      <w:r>
        <w:rPr>
          <w:szCs w:val="22"/>
        </w:rPr>
        <w:t>απολύτως</w:t>
      </w:r>
      <w:r w:rsidRPr="00323DFE">
        <w:rPr>
          <w:szCs w:val="22"/>
        </w:rPr>
        <w:t xml:space="preserve"> </w:t>
      </w:r>
      <w:r w:rsidR="00413855">
        <w:rPr>
          <w:szCs w:val="22"/>
        </w:rPr>
        <w:t>βιοδιαθέ</w:t>
      </w:r>
      <w:r>
        <w:rPr>
          <w:szCs w:val="22"/>
        </w:rPr>
        <w:t>σιμη</w:t>
      </w:r>
      <w:r w:rsidRPr="00323DFE">
        <w:rPr>
          <w:szCs w:val="22"/>
        </w:rPr>
        <w:t xml:space="preserve"> </w:t>
      </w:r>
      <w:r>
        <w:rPr>
          <w:szCs w:val="22"/>
        </w:rPr>
        <w:t>μετά</w:t>
      </w:r>
      <w:r w:rsidRPr="00323DFE">
        <w:rPr>
          <w:szCs w:val="22"/>
        </w:rPr>
        <w:t xml:space="preserve"> </w:t>
      </w:r>
      <w:r>
        <w:rPr>
          <w:szCs w:val="22"/>
        </w:rPr>
        <w:t>από</w:t>
      </w:r>
      <w:r w:rsidRPr="00323DFE">
        <w:rPr>
          <w:szCs w:val="22"/>
        </w:rPr>
        <w:t xml:space="preserve"> </w:t>
      </w:r>
      <w:r>
        <w:rPr>
          <w:szCs w:val="22"/>
        </w:rPr>
        <w:t>ενδομυϊκή</w:t>
      </w:r>
      <w:r w:rsidRPr="00323DFE">
        <w:rPr>
          <w:szCs w:val="22"/>
        </w:rPr>
        <w:t xml:space="preserve"> </w:t>
      </w:r>
      <w:r>
        <w:rPr>
          <w:szCs w:val="22"/>
        </w:rPr>
        <w:t>χορήγηση</w:t>
      </w:r>
      <w:r w:rsidRPr="00323DFE">
        <w:rPr>
          <w:szCs w:val="22"/>
        </w:rPr>
        <w:t xml:space="preserve"> </w:t>
      </w:r>
      <w:r>
        <w:rPr>
          <w:szCs w:val="22"/>
        </w:rPr>
        <w:t>με</w:t>
      </w:r>
      <w:r w:rsidRPr="00323DFE">
        <w:rPr>
          <w:szCs w:val="22"/>
        </w:rPr>
        <w:t xml:space="preserve"> </w:t>
      </w:r>
      <w:r w:rsidR="009625EF">
        <w:rPr>
          <w:szCs w:val="22"/>
        </w:rPr>
        <w:t>καθυστερημένη</w:t>
      </w:r>
      <w:r w:rsidR="009625EF" w:rsidRPr="00323DFE">
        <w:rPr>
          <w:szCs w:val="22"/>
        </w:rPr>
        <w:t xml:space="preserve"> </w:t>
      </w:r>
      <w:r>
        <w:rPr>
          <w:szCs w:val="22"/>
        </w:rPr>
        <w:t>κορύφωση</w:t>
      </w:r>
      <w:r w:rsidRPr="00323DFE">
        <w:rPr>
          <w:szCs w:val="22"/>
        </w:rPr>
        <w:t xml:space="preserve"> </w:t>
      </w:r>
      <w:r>
        <w:rPr>
          <w:szCs w:val="22"/>
        </w:rPr>
        <w:t>των</w:t>
      </w:r>
      <w:r w:rsidRPr="00323DFE">
        <w:rPr>
          <w:szCs w:val="22"/>
        </w:rPr>
        <w:t xml:space="preserve"> </w:t>
      </w:r>
      <w:r>
        <w:rPr>
          <w:szCs w:val="22"/>
        </w:rPr>
        <w:t>συγκεντρώσεων</w:t>
      </w:r>
      <w:r w:rsidRPr="00323DFE">
        <w:rPr>
          <w:szCs w:val="22"/>
        </w:rPr>
        <w:t xml:space="preserve"> </w:t>
      </w:r>
      <w:r>
        <w:rPr>
          <w:szCs w:val="22"/>
        </w:rPr>
        <w:t>στο</w:t>
      </w:r>
      <w:r w:rsidRPr="00323DFE">
        <w:rPr>
          <w:szCs w:val="22"/>
        </w:rPr>
        <w:t xml:space="preserve"> </w:t>
      </w:r>
      <w:r>
        <w:rPr>
          <w:szCs w:val="22"/>
        </w:rPr>
        <w:t>πλάσμα</w:t>
      </w:r>
      <w:r w:rsidRPr="00323DFE">
        <w:rPr>
          <w:szCs w:val="22"/>
        </w:rPr>
        <w:t xml:space="preserve"> (</w:t>
      </w:r>
      <w:r>
        <w:rPr>
          <w:szCs w:val="22"/>
        </w:rPr>
        <w:t>περίπου</w:t>
      </w:r>
      <w:r w:rsidRPr="00323DFE">
        <w:rPr>
          <w:szCs w:val="22"/>
        </w:rPr>
        <w:t xml:space="preserve"> 80 </w:t>
      </w:r>
      <w:r w:rsidRPr="001C039E">
        <w:rPr>
          <w:szCs w:val="22"/>
          <w:lang w:val="en-GB"/>
        </w:rPr>
        <w:t>mg</w:t>
      </w:r>
      <w:r w:rsidRPr="00323DFE">
        <w:rPr>
          <w:szCs w:val="22"/>
        </w:rPr>
        <w:t>/</w:t>
      </w:r>
      <w:r w:rsidRPr="001C039E">
        <w:rPr>
          <w:szCs w:val="22"/>
          <w:lang w:val="en-GB"/>
        </w:rPr>
        <w:t>l</w:t>
      </w:r>
      <w:r w:rsidRPr="00323DFE">
        <w:rPr>
          <w:szCs w:val="22"/>
        </w:rPr>
        <w:t xml:space="preserve">) </w:t>
      </w:r>
      <w:r>
        <w:rPr>
          <w:szCs w:val="22"/>
        </w:rPr>
        <w:t>να</w:t>
      </w:r>
      <w:r w:rsidRPr="00323DFE">
        <w:rPr>
          <w:szCs w:val="22"/>
        </w:rPr>
        <w:t xml:space="preserve"> </w:t>
      </w:r>
      <w:r>
        <w:rPr>
          <w:szCs w:val="22"/>
        </w:rPr>
        <w:t>παρουσιάζεται</w:t>
      </w:r>
      <w:r w:rsidRPr="00323DFE">
        <w:rPr>
          <w:szCs w:val="22"/>
        </w:rPr>
        <w:t xml:space="preserve"> </w:t>
      </w:r>
      <w:r>
        <w:rPr>
          <w:szCs w:val="22"/>
        </w:rPr>
        <w:t>μεταξύ</w:t>
      </w:r>
      <w:r w:rsidRPr="00323DFE">
        <w:rPr>
          <w:szCs w:val="22"/>
        </w:rPr>
        <w:t xml:space="preserve"> 2 </w:t>
      </w:r>
      <w:r>
        <w:rPr>
          <w:szCs w:val="22"/>
        </w:rPr>
        <w:t>και</w:t>
      </w:r>
      <w:r w:rsidRPr="00323DFE">
        <w:rPr>
          <w:szCs w:val="22"/>
        </w:rPr>
        <w:t xml:space="preserve"> 3 </w:t>
      </w:r>
      <w:r>
        <w:rPr>
          <w:szCs w:val="22"/>
        </w:rPr>
        <w:t>ώρες</w:t>
      </w:r>
      <w:r w:rsidRPr="00323DFE">
        <w:rPr>
          <w:szCs w:val="22"/>
        </w:rPr>
        <w:t xml:space="preserve"> </w:t>
      </w:r>
      <w:r>
        <w:rPr>
          <w:szCs w:val="22"/>
        </w:rPr>
        <w:t>μετά</w:t>
      </w:r>
      <w:r w:rsidRPr="00323DFE">
        <w:rPr>
          <w:szCs w:val="22"/>
        </w:rPr>
        <w:t xml:space="preserve"> </w:t>
      </w:r>
      <w:r>
        <w:rPr>
          <w:szCs w:val="22"/>
        </w:rPr>
        <w:t>την</w:t>
      </w:r>
      <w:r w:rsidRPr="00323DFE">
        <w:rPr>
          <w:szCs w:val="22"/>
        </w:rPr>
        <w:t xml:space="preserve"> </w:t>
      </w:r>
      <w:r>
        <w:rPr>
          <w:szCs w:val="22"/>
        </w:rPr>
        <w:t>χορήγηση</w:t>
      </w:r>
      <w:r w:rsidRPr="00323DFE">
        <w:rPr>
          <w:szCs w:val="22"/>
        </w:rPr>
        <w:t xml:space="preserve"> </w:t>
      </w:r>
      <w:r>
        <w:rPr>
          <w:szCs w:val="22"/>
        </w:rPr>
        <w:t>της</w:t>
      </w:r>
      <w:r w:rsidRPr="00323DFE">
        <w:rPr>
          <w:szCs w:val="22"/>
        </w:rPr>
        <w:t xml:space="preserve"> </w:t>
      </w:r>
      <w:r>
        <w:rPr>
          <w:szCs w:val="22"/>
        </w:rPr>
        <w:t xml:space="preserve">δόσης. </w:t>
      </w:r>
    </w:p>
    <w:p w:rsidR="00F31CA3" w:rsidRPr="00413855" w:rsidRDefault="00F31CA3" w:rsidP="002F6670">
      <w:pPr>
        <w:jc w:val="both"/>
      </w:pPr>
    </w:p>
    <w:p w:rsidR="004D1F5B" w:rsidRPr="004D1F5B" w:rsidRDefault="004D1F5B" w:rsidP="002F6670">
      <w:pPr>
        <w:jc w:val="both"/>
        <w:rPr>
          <w:b/>
          <w:bCs/>
          <w:i/>
          <w:iCs/>
        </w:rPr>
      </w:pPr>
      <w:r w:rsidRPr="004D1F5B">
        <w:rPr>
          <w:b/>
          <w:bCs/>
          <w:i/>
          <w:iCs/>
        </w:rPr>
        <w:t>Κατανομή</w:t>
      </w:r>
    </w:p>
    <w:p w:rsidR="00323DFE" w:rsidRDefault="004D1F5B" w:rsidP="002F6670">
      <w:pPr>
        <w:jc w:val="both"/>
      </w:pPr>
      <w:r>
        <w:t>Η κεφτριαξόνη κατανέμεται καλά σε διάφορα σημεία</w:t>
      </w:r>
      <w:r w:rsidR="00323DFE">
        <w:t xml:space="preserve"> και διαπερνά τον φραγμό του πλακούντα</w:t>
      </w:r>
      <w:r>
        <w:t xml:space="preserve">. </w:t>
      </w:r>
    </w:p>
    <w:p w:rsidR="00323DFE" w:rsidRPr="00323DFE" w:rsidRDefault="00323DFE" w:rsidP="002F6670">
      <w:pPr>
        <w:autoSpaceDE w:val="0"/>
        <w:autoSpaceDN w:val="0"/>
        <w:adjustRightInd w:val="0"/>
        <w:jc w:val="both"/>
        <w:rPr>
          <w:szCs w:val="22"/>
        </w:rPr>
      </w:pPr>
      <w:r>
        <w:t xml:space="preserve">Ο μέσος όγκος κατανομής σε υγιείς ενήλικες είναι </w:t>
      </w:r>
      <w:r w:rsidRPr="00323DFE">
        <w:rPr>
          <w:szCs w:val="22"/>
        </w:rPr>
        <w:t xml:space="preserve">0.13 </w:t>
      </w:r>
      <w:r w:rsidRPr="001C039E">
        <w:rPr>
          <w:szCs w:val="22"/>
          <w:lang w:val="en-GB"/>
        </w:rPr>
        <w:t>l</w:t>
      </w:r>
      <w:r w:rsidRPr="00323DFE">
        <w:rPr>
          <w:szCs w:val="22"/>
        </w:rPr>
        <w:t>/</w:t>
      </w:r>
      <w:r w:rsidRPr="001C039E">
        <w:rPr>
          <w:szCs w:val="22"/>
          <w:lang w:val="en-GB"/>
        </w:rPr>
        <w:t>kg</w:t>
      </w:r>
      <w:r w:rsidRPr="00323DFE">
        <w:rPr>
          <w:szCs w:val="22"/>
        </w:rPr>
        <w:t>.</w:t>
      </w:r>
    </w:p>
    <w:p w:rsidR="00323DFE" w:rsidRDefault="00323DFE" w:rsidP="002F6670">
      <w:pPr>
        <w:jc w:val="both"/>
      </w:pPr>
    </w:p>
    <w:p w:rsidR="00323DFE" w:rsidRPr="00323DFE" w:rsidRDefault="00323DFE" w:rsidP="002F6670">
      <w:pPr>
        <w:jc w:val="both"/>
      </w:pPr>
      <w:r>
        <w:t>Η κεφτριαξόν</w:t>
      </w:r>
      <w:r w:rsidR="00413855">
        <w:t xml:space="preserve">η αναστρέψιμα δεσμεύεται στην </w:t>
      </w:r>
      <w:r w:rsidR="00413855" w:rsidRPr="00413855">
        <w:t>λευκωματίνη</w:t>
      </w:r>
      <w:r>
        <w:t>. Η δέσμευση είναι 95% σε συγκεντρώσεις του πλάσματος μικρό</w:t>
      </w:r>
      <w:r w:rsidR="00413855">
        <w:t>τ</w:t>
      </w:r>
      <w:r>
        <w:t xml:space="preserve">ερες από </w:t>
      </w:r>
      <w:r w:rsidRPr="00323DFE">
        <w:rPr>
          <w:szCs w:val="22"/>
        </w:rPr>
        <w:t xml:space="preserve">100 </w:t>
      </w:r>
      <w:r w:rsidRPr="001C039E">
        <w:rPr>
          <w:szCs w:val="22"/>
          <w:lang w:val="en-GB"/>
        </w:rPr>
        <w:t>mg</w:t>
      </w:r>
      <w:r w:rsidRPr="00323DFE">
        <w:rPr>
          <w:szCs w:val="22"/>
        </w:rPr>
        <w:t>/</w:t>
      </w:r>
      <w:r w:rsidRPr="001C039E">
        <w:rPr>
          <w:szCs w:val="22"/>
          <w:lang w:val="en-GB"/>
        </w:rPr>
        <w:t>l</w:t>
      </w:r>
      <w:r>
        <w:rPr>
          <w:szCs w:val="22"/>
        </w:rPr>
        <w:t xml:space="preserve"> με το ποσοστό δέσμευσης να μειώνεται καθώς η συγκέντρωση αυξάνεται (στο 85% σε συγκεντρώσεις κεφτριαξόνης στο πλάσμα των 300</w:t>
      </w:r>
      <w:r w:rsidRPr="00323DFE">
        <w:rPr>
          <w:szCs w:val="22"/>
        </w:rPr>
        <w:t xml:space="preserve"> </w:t>
      </w:r>
      <w:r w:rsidRPr="001C039E">
        <w:rPr>
          <w:szCs w:val="22"/>
        </w:rPr>
        <w:t>μ</w:t>
      </w:r>
      <w:r w:rsidRPr="001C039E">
        <w:rPr>
          <w:szCs w:val="22"/>
          <w:lang w:val="en-GB"/>
        </w:rPr>
        <w:t>g</w:t>
      </w:r>
      <w:r w:rsidRPr="00323DFE">
        <w:rPr>
          <w:szCs w:val="22"/>
        </w:rPr>
        <w:t>/</w:t>
      </w:r>
      <w:r w:rsidRPr="001C039E">
        <w:rPr>
          <w:szCs w:val="22"/>
          <w:lang w:val="en-GB"/>
        </w:rPr>
        <w:t>ml</w:t>
      </w:r>
      <w:r w:rsidRPr="00323DFE">
        <w:rPr>
          <w:szCs w:val="22"/>
        </w:rPr>
        <w:t>).</w:t>
      </w:r>
    </w:p>
    <w:p w:rsidR="00F31CA3" w:rsidRDefault="00F31CA3" w:rsidP="002F6670">
      <w:pPr>
        <w:jc w:val="both"/>
      </w:pPr>
    </w:p>
    <w:p w:rsidR="00323DFE" w:rsidRPr="00BF5054" w:rsidRDefault="00323DFE" w:rsidP="002F6670">
      <w:pPr>
        <w:autoSpaceDE w:val="0"/>
        <w:autoSpaceDN w:val="0"/>
        <w:adjustRightInd w:val="0"/>
        <w:jc w:val="both"/>
        <w:rPr>
          <w:b/>
          <w:i/>
          <w:szCs w:val="22"/>
        </w:rPr>
      </w:pPr>
      <w:r>
        <w:rPr>
          <w:b/>
          <w:i/>
          <w:szCs w:val="22"/>
        </w:rPr>
        <w:t>Επίπεδα</w:t>
      </w:r>
      <w:r w:rsidRPr="00BF5054">
        <w:rPr>
          <w:b/>
          <w:i/>
          <w:szCs w:val="22"/>
        </w:rPr>
        <w:t xml:space="preserve"> </w:t>
      </w:r>
      <w:r>
        <w:rPr>
          <w:b/>
          <w:i/>
          <w:szCs w:val="22"/>
        </w:rPr>
        <w:t>στον</w:t>
      </w:r>
      <w:r w:rsidRPr="00BF5054">
        <w:rPr>
          <w:b/>
          <w:i/>
          <w:szCs w:val="22"/>
        </w:rPr>
        <w:t xml:space="preserve"> </w:t>
      </w:r>
      <w:r>
        <w:rPr>
          <w:b/>
          <w:i/>
          <w:szCs w:val="22"/>
        </w:rPr>
        <w:t>ορό</w:t>
      </w:r>
    </w:p>
    <w:p w:rsidR="00323DFE" w:rsidRPr="00323DFE" w:rsidRDefault="00323DFE" w:rsidP="002F6670">
      <w:pPr>
        <w:autoSpaceDE w:val="0"/>
        <w:autoSpaceDN w:val="0"/>
        <w:adjustRightInd w:val="0"/>
        <w:jc w:val="both"/>
        <w:rPr>
          <w:i/>
          <w:szCs w:val="22"/>
        </w:rPr>
      </w:pPr>
      <w:r>
        <w:rPr>
          <w:szCs w:val="22"/>
        </w:rPr>
        <w:t>Μετά</w:t>
      </w:r>
      <w:r w:rsidRPr="00323DFE">
        <w:rPr>
          <w:szCs w:val="22"/>
        </w:rPr>
        <w:t xml:space="preserve"> </w:t>
      </w:r>
      <w:r>
        <w:rPr>
          <w:szCs w:val="22"/>
        </w:rPr>
        <w:t>από</w:t>
      </w:r>
      <w:r w:rsidRPr="00323DFE">
        <w:rPr>
          <w:szCs w:val="22"/>
        </w:rPr>
        <w:t xml:space="preserve"> </w:t>
      </w:r>
      <w:r>
        <w:rPr>
          <w:szCs w:val="22"/>
        </w:rPr>
        <w:t>ενδοφλέβια</w:t>
      </w:r>
      <w:r w:rsidRPr="00323DFE">
        <w:rPr>
          <w:szCs w:val="22"/>
        </w:rPr>
        <w:t xml:space="preserve"> </w:t>
      </w:r>
      <w:r>
        <w:rPr>
          <w:szCs w:val="22"/>
        </w:rPr>
        <w:t>έγχυση</w:t>
      </w:r>
      <w:r w:rsidRPr="00323DFE">
        <w:rPr>
          <w:szCs w:val="22"/>
        </w:rPr>
        <w:t xml:space="preserve"> 1</w:t>
      </w:r>
      <w:r>
        <w:rPr>
          <w:szCs w:val="22"/>
          <w:lang w:val="en-US"/>
        </w:rPr>
        <w:t>g</w:t>
      </w:r>
      <w:r w:rsidRPr="00323DFE">
        <w:rPr>
          <w:szCs w:val="22"/>
        </w:rPr>
        <w:t xml:space="preserve"> </w:t>
      </w:r>
      <w:r>
        <w:rPr>
          <w:szCs w:val="22"/>
        </w:rPr>
        <w:t>κεφτριαξόνης</w:t>
      </w:r>
      <w:r w:rsidRPr="00323DFE">
        <w:rPr>
          <w:szCs w:val="22"/>
        </w:rPr>
        <w:t xml:space="preserve"> </w:t>
      </w:r>
      <w:r>
        <w:rPr>
          <w:szCs w:val="22"/>
        </w:rPr>
        <w:t>για</w:t>
      </w:r>
      <w:r w:rsidRPr="00323DFE">
        <w:rPr>
          <w:szCs w:val="22"/>
        </w:rPr>
        <w:t xml:space="preserve"> 30 </w:t>
      </w:r>
      <w:r>
        <w:rPr>
          <w:szCs w:val="22"/>
        </w:rPr>
        <w:t>λεπτά</w:t>
      </w:r>
      <w:r w:rsidRPr="00323DFE">
        <w:rPr>
          <w:szCs w:val="22"/>
        </w:rPr>
        <w:t xml:space="preserve">, </w:t>
      </w:r>
      <w:r>
        <w:rPr>
          <w:szCs w:val="22"/>
        </w:rPr>
        <w:t>τα</w:t>
      </w:r>
      <w:r w:rsidRPr="00323DFE">
        <w:rPr>
          <w:szCs w:val="22"/>
        </w:rPr>
        <w:t xml:space="preserve"> </w:t>
      </w:r>
      <w:r>
        <w:rPr>
          <w:szCs w:val="22"/>
        </w:rPr>
        <w:t>επίπεδα</w:t>
      </w:r>
      <w:r w:rsidRPr="00323DFE">
        <w:rPr>
          <w:szCs w:val="22"/>
        </w:rPr>
        <w:t xml:space="preserve"> </w:t>
      </w:r>
      <w:r>
        <w:rPr>
          <w:szCs w:val="22"/>
        </w:rPr>
        <w:t>στον</w:t>
      </w:r>
      <w:r w:rsidRPr="00323DFE">
        <w:rPr>
          <w:szCs w:val="22"/>
        </w:rPr>
        <w:t xml:space="preserve"> </w:t>
      </w:r>
      <w:r>
        <w:rPr>
          <w:szCs w:val="22"/>
        </w:rPr>
        <w:t>ορό</w:t>
      </w:r>
      <w:r w:rsidRPr="00323DFE">
        <w:rPr>
          <w:szCs w:val="22"/>
        </w:rPr>
        <w:t xml:space="preserve"> </w:t>
      </w:r>
      <w:r>
        <w:rPr>
          <w:szCs w:val="22"/>
        </w:rPr>
        <w:t>αμέσως</w:t>
      </w:r>
      <w:r w:rsidRPr="00323DFE">
        <w:rPr>
          <w:szCs w:val="22"/>
        </w:rPr>
        <w:t xml:space="preserve"> </w:t>
      </w:r>
      <w:r>
        <w:rPr>
          <w:szCs w:val="22"/>
        </w:rPr>
        <w:t>μετά</w:t>
      </w:r>
      <w:r w:rsidRPr="00323DFE">
        <w:rPr>
          <w:szCs w:val="22"/>
        </w:rPr>
        <w:t xml:space="preserve"> </w:t>
      </w:r>
      <w:r>
        <w:rPr>
          <w:szCs w:val="22"/>
        </w:rPr>
        <w:t>την</w:t>
      </w:r>
      <w:r w:rsidRPr="00323DFE">
        <w:rPr>
          <w:szCs w:val="22"/>
        </w:rPr>
        <w:t xml:space="preserve"> </w:t>
      </w:r>
      <w:r>
        <w:rPr>
          <w:szCs w:val="22"/>
        </w:rPr>
        <w:t>διακοπή</w:t>
      </w:r>
      <w:r w:rsidRPr="00323DFE">
        <w:rPr>
          <w:szCs w:val="22"/>
        </w:rPr>
        <w:t xml:space="preserve"> </w:t>
      </w:r>
      <w:r>
        <w:rPr>
          <w:szCs w:val="22"/>
        </w:rPr>
        <w:t>της</w:t>
      </w:r>
      <w:r w:rsidRPr="00323DFE">
        <w:rPr>
          <w:szCs w:val="22"/>
        </w:rPr>
        <w:t xml:space="preserve"> </w:t>
      </w:r>
      <w:r>
        <w:rPr>
          <w:szCs w:val="22"/>
        </w:rPr>
        <w:t>διαδικασίας</w:t>
      </w:r>
      <w:r w:rsidRPr="00323DFE">
        <w:rPr>
          <w:szCs w:val="22"/>
        </w:rPr>
        <w:t xml:space="preserve"> </w:t>
      </w:r>
      <w:r>
        <w:rPr>
          <w:szCs w:val="22"/>
        </w:rPr>
        <w:t>έγχυσης</w:t>
      </w:r>
      <w:r w:rsidRPr="00323DFE">
        <w:rPr>
          <w:szCs w:val="22"/>
        </w:rPr>
        <w:t xml:space="preserve"> </w:t>
      </w:r>
      <w:r>
        <w:rPr>
          <w:szCs w:val="22"/>
        </w:rPr>
        <w:t xml:space="preserve">ήταν </w:t>
      </w:r>
      <w:r w:rsidRPr="00323DFE">
        <w:rPr>
          <w:szCs w:val="22"/>
        </w:rPr>
        <w:t xml:space="preserve">123.2 </w:t>
      </w:r>
      <w:r w:rsidRPr="001C039E">
        <w:rPr>
          <w:szCs w:val="22"/>
        </w:rPr>
        <w:t>μ</w:t>
      </w:r>
      <w:r w:rsidRPr="001C039E">
        <w:rPr>
          <w:szCs w:val="22"/>
          <w:lang w:val="en-GB"/>
        </w:rPr>
        <w:t>g</w:t>
      </w:r>
      <w:r w:rsidRPr="00323DFE">
        <w:rPr>
          <w:szCs w:val="22"/>
        </w:rPr>
        <w:t>/</w:t>
      </w:r>
      <w:r w:rsidRPr="001C039E">
        <w:rPr>
          <w:szCs w:val="22"/>
          <w:lang w:val="en-GB"/>
        </w:rPr>
        <w:t>ml</w:t>
      </w:r>
      <w:r w:rsidRPr="00323DFE">
        <w:rPr>
          <w:szCs w:val="22"/>
        </w:rPr>
        <w:t>,</w:t>
      </w:r>
      <w:r>
        <w:rPr>
          <w:szCs w:val="22"/>
        </w:rPr>
        <w:t xml:space="preserve"> και στα </w:t>
      </w:r>
      <w:r w:rsidRPr="00323DFE">
        <w:rPr>
          <w:szCs w:val="22"/>
        </w:rPr>
        <w:t xml:space="preserve">94.81 </w:t>
      </w:r>
      <w:r w:rsidRPr="001C039E">
        <w:rPr>
          <w:szCs w:val="22"/>
        </w:rPr>
        <w:t>μ</w:t>
      </w:r>
      <w:r w:rsidRPr="001C039E">
        <w:rPr>
          <w:szCs w:val="22"/>
          <w:lang w:val="en-GB"/>
        </w:rPr>
        <w:t>g</w:t>
      </w:r>
      <w:r w:rsidRPr="00323DFE">
        <w:rPr>
          <w:szCs w:val="22"/>
        </w:rPr>
        <w:t>/</w:t>
      </w:r>
      <w:r w:rsidRPr="001C039E">
        <w:rPr>
          <w:szCs w:val="22"/>
          <w:lang w:val="en-GB"/>
        </w:rPr>
        <w:t>ml</w:t>
      </w:r>
      <w:r>
        <w:rPr>
          <w:szCs w:val="22"/>
        </w:rPr>
        <w:t xml:space="preserve"> σε 1,5</w:t>
      </w:r>
      <w:r>
        <w:rPr>
          <w:szCs w:val="22"/>
          <w:lang w:val="en-US"/>
        </w:rPr>
        <w:t>h</w:t>
      </w:r>
      <w:r>
        <w:rPr>
          <w:szCs w:val="22"/>
        </w:rPr>
        <w:t xml:space="preserve">, </w:t>
      </w:r>
      <w:r w:rsidRPr="00323DFE">
        <w:rPr>
          <w:szCs w:val="22"/>
        </w:rPr>
        <w:t xml:space="preserve">57.8 </w:t>
      </w:r>
      <w:r w:rsidRPr="001C039E">
        <w:rPr>
          <w:szCs w:val="22"/>
        </w:rPr>
        <w:t>μ</w:t>
      </w:r>
      <w:r w:rsidRPr="001C039E">
        <w:rPr>
          <w:szCs w:val="22"/>
          <w:lang w:val="en-GB"/>
        </w:rPr>
        <w:t>g</w:t>
      </w:r>
      <w:r w:rsidRPr="00323DFE">
        <w:rPr>
          <w:szCs w:val="22"/>
        </w:rPr>
        <w:t>/</w:t>
      </w:r>
      <w:r w:rsidRPr="001C039E">
        <w:rPr>
          <w:szCs w:val="22"/>
          <w:lang w:val="en-GB"/>
        </w:rPr>
        <w:t>ml</w:t>
      </w:r>
      <w:r w:rsidRPr="00323DFE">
        <w:rPr>
          <w:szCs w:val="22"/>
        </w:rPr>
        <w:t xml:space="preserve"> </w:t>
      </w:r>
      <w:r>
        <w:rPr>
          <w:szCs w:val="22"/>
        </w:rPr>
        <w:t xml:space="preserve">σε </w:t>
      </w:r>
      <w:r w:rsidRPr="00323DFE">
        <w:rPr>
          <w:szCs w:val="22"/>
        </w:rPr>
        <w:t xml:space="preserve">4 </w:t>
      </w:r>
      <w:r w:rsidRPr="001C039E">
        <w:rPr>
          <w:szCs w:val="22"/>
          <w:lang w:val="en-GB"/>
        </w:rPr>
        <w:t>h</w:t>
      </w:r>
      <w:r w:rsidRPr="00323DFE">
        <w:rPr>
          <w:szCs w:val="22"/>
        </w:rPr>
        <w:t>,</w:t>
      </w:r>
      <w:r>
        <w:rPr>
          <w:szCs w:val="22"/>
        </w:rPr>
        <w:t xml:space="preserve"> </w:t>
      </w:r>
      <w:r w:rsidRPr="00323DFE">
        <w:rPr>
          <w:szCs w:val="22"/>
        </w:rPr>
        <w:t xml:space="preserve">20.2 </w:t>
      </w:r>
      <w:r w:rsidRPr="001C039E">
        <w:rPr>
          <w:szCs w:val="22"/>
        </w:rPr>
        <w:t>μ</w:t>
      </w:r>
      <w:r w:rsidRPr="001C039E">
        <w:rPr>
          <w:szCs w:val="22"/>
          <w:lang w:val="en-GB"/>
        </w:rPr>
        <w:t>g</w:t>
      </w:r>
      <w:r w:rsidRPr="00323DFE">
        <w:rPr>
          <w:szCs w:val="22"/>
        </w:rPr>
        <w:t>/</w:t>
      </w:r>
      <w:r w:rsidRPr="001C039E">
        <w:rPr>
          <w:szCs w:val="22"/>
          <w:lang w:val="en-GB"/>
        </w:rPr>
        <w:t>ml</w:t>
      </w:r>
      <w:r w:rsidRPr="00323DFE" w:rsidDel="00953DC5">
        <w:rPr>
          <w:szCs w:val="22"/>
        </w:rPr>
        <w:t xml:space="preserve"> </w:t>
      </w:r>
      <w:r>
        <w:rPr>
          <w:szCs w:val="22"/>
        </w:rPr>
        <w:t xml:space="preserve">σε </w:t>
      </w:r>
      <w:r w:rsidRPr="00323DFE">
        <w:rPr>
          <w:szCs w:val="22"/>
        </w:rPr>
        <w:t xml:space="preserve">12 </w:t>
      </w:r>
      <w:r w:rsidRPr="001C039E">
        <w:rPr>
          <w:szCs w:val="22"/>
          <w:lang w:val="en-GB"/>
        </w:rPr>
        <w:t>h</w:t>
      </w:r>
      <w:r>
        <w:rPr>
          <w:szCs w:val="22"/>
        </w:rPr>
        <w:t xml:space="preserve"> και </w:t>
      </w:r>
      <w:r w:rsidRPr="00323DFE">
        <w:rPr>
          <w:szCs w:val="22"/>
        </w:rPr>
        <w:t xml:space="preserve">4.6 </w:t>
      </w:r>
      <w:r w:rsidRPr="001C039E">
        <w:rPr>
          <w:szCs w:val="22"/>
        </w:rPr>
        <w:t>μ</w:t>
      </w:r>
      <w:r w:rsidRPr="001C039E">
        <w:rPr>
          <w:szCs w:val="22"/>
          <w:lang w:val="en-GB"/>
        </w:rPr>
        <w:t>g</w:t>
      </w:r>
      <w:r w:rsidRPr="00323DFE">
        <w:rPr>
          <w:szCs w:val="22"/>
        </w:rPr>
        <w:t>/</w:t>
      </w:r>
      <w:r w:rsidRPr="001C039E">
        <w:rPr>
          <w:szCs w:val="22"/>
          <w:lang w:val="en-GB"/>
        </w:rPr>
        <w:t>ml</w:t>
      </w:r>
      <w:r w:rsidRPr="00323DFE">
        <w:rPr>
          <w:szCs w:val="22"/>
        </w:rPr>
        <w:t xml:space="preserve"> </w:t>
      </w:r>
      <w:r>
        <w:rPr>
          <w:szCs w:val="22"/>
        </w:rPr>
        <w:t xml:space="preserve">σε </w:t>
      </w:r>
      <w:r w:rsidRPr="00323DFE">
        <w:rPr>
          <w:szCs w:val="22"/>
        </w:rPr>
        <w:t xml:space="preserve">24 </w:t>
      </w:r>
      <w:r>
        <w:rPr>
          <w:szCs w:val="22"/>
        </w:rPr>
        <w:t>ώρες μετά την έναρξη της έγχυσης. Μετά από μια ενδομυϊκή ένεση 1</w:t>
      </w:r>
      <w:r>
        <w:rPr>
          <w:szCs w:val="22"/>
          <w:lang w:val="en-US"/>
        </w:rPr>
        <w:t>g</w:t>
      </w:r>
      <w:r>
        <w:rPr>
          <w:szCs w:val="22"/>
        </w:rPr>
        <w:t xml:space="preserve"> κεφτριαξόνης η συγκέντρωση ανήλθε σε </w:t>
      </w:r>
      <w:r w:rsidRPr="00323DFE">
        <w:rPr>
          <w:szCs w:val="22"/>
        </w:rPr>
        <w:t xml:space="preserve">79.2 </w:t>
      </w:r>
      <w:r w:rsidRPr="001C039E">
        <w:rPr>
          <w:szCs w:val="22"/>
        </w:rPr>
        <w:t>μ</w:t>
      </w:r>
      <w:r w:rsidRPr="001C039E">
        <w:rPr>
          <w:szCs w:val="22"/>
          <w:lang w:val="en-GB"/>
        </w:rPr>
        <w:t>g</w:t>
      </w:r>
      <w:r w:rsidRPr="00323DFE">
        <w:rPr>
          <w:szCs w:val="22"/>
        </w:rPr>
        <w:t>/</w:t>
      </w:r>
      <w:r w:rsidRPr="001C039E">
        <w:rPr>
          <w:szCs w:val="22"/>
          <w:lang w:val="en-GB"/>
        </w:rPr>
        <w:t>ml</w:t>
      </w:r>
      <w:r>
        <w:rPr>
          <w:szCs w:val="22"/>
        </w:rPr>
        <w:t xml:space="preserve"> μετά από 1,5 ώρες, και έπειτα σε </w:t>
      </w:r>
      <w:r w:rsidRPr="00323DFE">
        <w:rPr>
          <w:szCs w:val="22"/>
        </w:rPr>
        <w:t>58.2 µ</w:t>
      </w:r>
      <w:r w:rsidRPr="001C039E">
        <w:rPr>
          <w:szCs w:val="22"/>
          <w:lang w:val="en-GB"/>
        </w:rPr>
        <w:t>g</w:t>
      </w:r>
      <w:r w:rsidRPr="00323DFE">
        <w:rPr>
          <w:szCs w:val="22"/>
        </w:rPr>
        <w:t>/</w:t>
      </w:r>
      <w:r w:rsidRPr="001C039E">
        <w:rPr>
          <w:szCs w:val="22"/>
          <w:lang w:val="en-GB"/>
        </w:rPr>
        <w:t>ml</w:t>
      </w:r>
      <w:r w:rsidRPr="00323DFE">
        <w:rPr>
          <w:szCs w:val="22"/>
        </w:rPr>
        <w:t xml:space="preserve"> </w:t>
      </w:r>
      <w:r>
        <w:rPr>
          <w:szCs w:val="22"/>
        </w:rPr>
        <w:t xml:space="preserve">σε </w:t>
      </w:r>
      <w:r w:rsidRPr="00323DFE">
        <w:rPr>
          <w:szCs w:val="22"/>
        </w:rPr>
        <w:t xml:space="preserve">4 </w:t>
      </w:r>
      <w:r w:rsidRPr="001C039E">
        <w:rPr>
          <w:szCs w:val="22"/>
          <w:lang w:val="en-GB"/>
        </w:rPr>
        <w:t>h</w:t>
      </w:r>
      <w:r w:rsidRPr="00323DFE">
        <w:rPr>
          <w:szCs w:val="22"/>
        </w:rPr>
        <w:t>, 35.5 µ</w:t>
      </w:r>
      <w:r w:rsidRPr="001C039E">
        <w:rPr>
          <w:szCs w:val="22"/>
          <w:lang w:val="en-GB"/>
        </w:rPr>
        <w:t>g</w:t>
      </w:r>
      <w:r w:rsidRPr="00323DFE">
        <w:rPr>
          <w:szCs w:val="22"/>
        </w:rPr>
        <w:t>/</w:t>
      </w:r>
      <w:r w:rsidRPr="001C039E">
        <w:rPr>
          <w:szCs w:val="22"/>
          <w:lang w:val="en-GB"/>
        </w:rPr>
        <w:t>ml</w:t>
      </w:r>
      <w:r w:rsidRPr="00323DFE">
        <w:rPr>
          <w:szCs w:val="22"/>
        </w:rPr>
        <w:t xml:space="preserve"> </w:t>
      </w:r>
      <w:r>
        <w:rPr>
          <w:szCs w:val="22"/>
        </w:rPr>
        <w:t xml:space="preserve">σε </w:t>
      </w:r>
      <w:r w:rsidRPr="00323DFE">
        <w:rPr>
          <w:szCs w:val="22"/>
        </w:rPr>
        <w:t xml:space="preserve">12 </w:t>
      </w:r>
      <w:r w:rsidRPr="001C039E">
        <w:rPr>
          <w:szCs w:val="22"/>
          <w:lang w:val="en-GB"/>
        </w:rPr>
        <w:t>h</w:t>
      </w:r>
      <w:r w:rsidRPr="00323DFE">
        <w:rPr>
          <w:szCs w:val="22"/>
        </w:rPr>
        <w:t xml:space="preserve"> </w:t>
      </w:r>
      <w:r>
        <w:rPr>
          <w:szCs w:val="22"/>
        </w:rPr>
        <w:t>και</w:t>
      </w:r>
      <w:r w:rsidRPr="00323DFE">
        <w:rPr>
          <w:szCs w:val="22"/>
        </w:rPr>
        <w:t xml:space="preserve"> 7.8 </w:t>
      </w:r>
      <w:r w:rsidRPr="001C039E">
        <w:rPr>
          <w:szCs w:val="22"/>
        </w:rPr>
        <w:t>μ</w:t>
      </w:r>
      <w:r w:rsidRPr="001C039E">
        <w:rPr>
          <w:szCs w:val="22"/>
          <w:lang w:val="en-GB"/>
        </w:rPr>
        <w:t>g</w:t>
      </w:r>
      <w:r w:rsidRPr="00323DFE">
        <w:rPr>
          <w:szCs w:val="22"/>
        </w:rPr>
        <w:t>/</w:t>
      </w:r>
      <w:r w:rsidRPr="001C039E">
        <w:rPr>
          <w:szCs w:val="22"/>
          <w:lang w:val="en-GB"/>
        </w:rPr>
        <w:t>ml</w:t>
      </w:r>
      <w:r w:rsidRPr="00323DFE">
        <w:rPr>
          <w:szCs w:val="22"/>
        </w:rPr>
        <w:t xml:space="preserve"> </w:t>
      </w:r>
      <w:r>
        <w:rPr>
          <w:szCs w:val="22"/>
        </w:rPr>
        <w:t xml:space="preserve">σε </w:t>
      </w:r>
      <w:r w:rsidRPr="00323DFE">
        <w:rPr>
          <w:szCs w:val="22"/>
        </w:rPr>
        <w:t xml:space="preserve">24 </w:t>
      </w:r>
      <w:r w:rsidRPr="001C039E">
        <w:rPr>
          <w:szCs w:val="22"/>
          <w:lang w:val="en-GB"/>
        </w:rPr>
        <w:t>h</w:t>
      </w:r>
      <w:r w:rsidRPr="00323DFE">
        <w:rPr>
          <w:szCs w:val="22"/>
        </w:rPr>
        <w:t xml:space="preserve"> </w:t>
      </w:r>
      <w:r>
        <w:rPr>
          <w:szCs w:val="22"/>
        </w:rPr>
        <w:t>μετά την ένεση</w:t>
      </w:r>
      <w:r w:rsidRPr="00323DFE">
        <w:rPr>
          <w:szCs w:val="22"/>
        </w:rPr>
        <w:t xml:space="preserve">. </w:t>
      </w:r>
    </w:p>
    <w:p w:rsidR="00323DFE" w:rsidRPr="00323DFE" w:rsidRDefault="00323DFE" w:rsidP="002F6670">
      <w:pPr>
        <w:autoSpaceDE w:val="0"/>
        <w:autoSpaceDN w:val="0"/>
        <w:adjustRightInd w:val="0"/>
        <w:jc w:val="both"/>
        <w:rPr>
          <w:szCs w:val="22"/>
        </w:rPr>
      </w:pPr>
    </w:p>
    <w:p w:rsidR="00323DFE" w:rsidRPr="00D83BF6" w:rsidRDefault="00D83BF6" w:rsidP="002F6670">
      <w:pPr>
        <w:autoSpaceDE w:val="0"/>
        <w:autoSpaceDN w:val="0"/>
        <w:adjustRightInd w:val="0"/>
        <w:jc w:val="both"/>
        <w:rPr>
          <w:szCs w:val="22"/>
        </w:rPr>
      </w:pPr>
      <w:r>
        <w:rPr>
          <w:szCs w:val="22"/>
        </w:rPr>
        <w:t>Η κεφτριαξόνη διαπερνά τους φλεγμαίνοντες μήνιγγες</w:t>
      </w:r>
      <w:r w:rsidR="00413855">
        <w:rPr>
          <w:szCs w:val="22"/>
        </w:rPr>
        <w:t xml:space="preserve"> νεογνών, βρεφών και παιδιών. Στο</w:t>
      </w:r>
      <w:r>
        <w:rPr>
          <w:szCs w:val="22"/>
        </w:rPr>
        <w:t xml:space="preserve"> </w:t>
      </w:r>
      <w:r w:rsidR="00413855" w:rsidRPr="00413855">
        <w:rPr>
          <w:szCs w:val="22"/>
        </w:rPr>
        <w:t xml:space="preserve">ΕΝΥ </w:t>
      </w:r>
      <w:r>
        <w:rPr>
          <w:szCs w:val="22"/>
        </w:rPr>
        <w:t xml:space="preserve">επιτυγχάνονται ανώτατες συγκεντρώσεις των </w:t>
      </w:r>
      <w:r w:rsidRPr="00D83BF6">
        <w:rPr>
          <w:szCs w:val="22"/>
        </w:rPr>
        <w:t xml:space="preserve">18 </w:t>
      </w:r>
      <w:r w:rsidRPr="001C039E">
        <w:rPr>
          <w:szCs w:val="22"/>
          <w:lang w:val="en-GB"/>
        </w:rPr>
        <w:t>mg</w:t>
      </w:r>
      <w:r w:rsidRPr="00D83BF6">
        <w:rPr>
          <w:szCs w:val="22"/>
        </w:rPr>
        <w:t>/</w:t>
      </w:r>
      <w:r w:rsidRPr="001C039E">
        <w:rPr>
          <w:szCs w:val="22"/>
          <w:lang w:val="en-GB"/>
        </w:rPr>
        <w:t>l</w:t>
      </w:r>
      <w:r>
        <w:rPr>
          <w:szCs w:val="22"/>
        </w:rPr>
        <w:t xml:space="preserve">, μετά από ενδοφλέβια δόση των </w:t>
      </w:r>
      <w:r w:rsidRPr="00D83BF6">
        <w:rPr>
          <w:szCs w:val="22"/>
        </w:rPr>
        <w:t xml:space="preserve">50–100 </w:t>
      </w:r>
      <w:r w:rsidRPr="001C039E">
        <w:rPr>
          <w:szCs w:val="22"/>
          <w:lang w:val="en-GB"/>
        </w:rPr>
        <w:t>mg</w:t>
      </w:r>
      <w:r w:rsidRPr="00D83BF6">
        <w:rPr>
          <w:szCs w:val="22"/>
        </w:rPr>
        <w:t>/</w:t>
      </w:r>
      <w:r w:rsidRPr="001C039E">
        <w:rPr>
          <w:szCs w:val="22"/>
          <w:lang w:val="en-GB"/>
        </w:rPr>
        <w:t>kg</w:t>
      </w:r>
      <w:r>
        <w:rPr>
          <w:szCs w:val="22"/>
        </w:rPr>
        <w:t xml:space="preserve">, σε περίπου τέσσερις ώρες. Σε ενήλικες ασθενείς με μηνιγγίτιδα, οι θεραπευτικές συγκεντρώσεις επιτυγχάνονται μέσα σε 2-24 ώρες με δόση των </w:t>
      </w:r>
      <w:r w:rsidRPr="00D83BF6">
        <w:rPr>
          <w:szCs w:val="22"/>
        </w:rPr>
        <w:t xml:space="preserve">50 </w:t>
      </w:r>
      <w:r w:rsidRPr="001C039E">
        <w:rPr>
          <w:szCs w:val="22"/>
          <w:lang w:val="en-GB"/>
        </w:rPr>
        <w:t>mg</w:t>
      </w:r>
      <w:r w:rsidRPr="00D83BF6">
        <w:rPr>
          <w:szCs w:val="22"/>
        </w:rPr>
        <w:t>/</w:t>
      </w:r>
      <w:r w:rsidRPr="001C039E">
        <w:rPr>
          <w:szCs w:val="22"/>
          <w:lang w:val="en-GB"/>
        </w:rPr>
        <w:t>kg</w:t>
      </w:r>
      <w:r w:rsidRPr="00D83BF6">
        <w:rPr>
          <w:szCs w:val="22"/>
        </w:rPr>
        <w:t>.</w:t>
      </w:r>
    </w:p>
    <w:p w:rsidR="00323DFE" w:rsidRPr="00BF5054" w:rsidRDefault="00323DFE" w:rsidP="002F6670">
      <w:pPr>
        <w:autoSpaceDE w:val="0"/>
        <w:autoSpaceDN w:val="0"/>
        <w:adjustRightInd w:val="0"/>
        <w:jc w:val="both"/>
        <w:rPr>
          <w:szCs w:val="22"/>
        </w:rPr>
      </w:pPr>
    </w:p>
    <w:p w:rsidR="00323DFE" w:rsidRPr="00BF5054" w:rsidRDefault="00D83BF6" w:rsidP="002F6670">
      <w:pPr>
        <w:autoSpaceDE w:val="0"/>
        <w:autoSpaceDN w:val="0"/>
        <w:adjustRightInd w:val="0"/>
        <w:jc w:val="both"/>
        <w:rPr>
          <w:szCs w:val="22"/>
        </w:rPr>
      </w:pPr>
      <w:r>
        <w:rPr>
          <w:szCs w:val="22"/>
        </w:rPr>
        <w:t>Η</w:t>
      </w:r>
      <w:r w:rsidRPr="00D83BF6">
        <w:rPr>
          <w:szCs w:val="22"/>
        </w:rPr>
        <w:t xml:space="preserve"> </w:t>
      </w:r>
      <w:r>
        <w:rPr>
          <w:szCs w:val="22"/>
        </w:rPr>
        <w:t>κεφτριαξόνη</w:t>
      </w:r>
      <w:r w:rsidRPr="00D83BF6">
        <w:rPr>
          <w:szCs w:val="22"/>
        </w:rPr>
        <w:t xml:space="preserve"> </w:t>
      </w:r>
      <w:r>
        <w:rPr>
          <w:szCs w:val="22"/>
        </w:rPr>
        <w:t>διαπερνά</w:t>
      </w:r>
      <w:r w:rsidRPr="00D83BF6">
        <w:rPr>
          <w:szCs w:val="22"/>
        </w:rPr>
        <w:t xml:space="preserve"> </w:t>
      </w:r>
      <w:r>
        <w:rPr>
          <w:szCs w:val="22"/>
        </w:rPr>
        <w:t>τον</w:t>
      </w:r>
      <w:r w:rsidRPr="00D83BF6">
        <w:rPr>
          <w:szCs w:val="22"/>
        </w:rPr>
        <w:t xml:space="preserve"> </w:t>
      </w:r>
      <w:r>
        <w:rPr>
          <w:szCs w:val="22"/>
        </w:rPr>
        <w:t>πλακούντα</w:t>
      </w:r>
      <w:r w:rsidRPr="00D83BF6">
        <w:rPr>
          <w:szCs w:val="22"/>
        </w:rPr>
        <w:t xml:space="preserve"> </w:t>
      </w:r>
      <w:r>
        <w:rPr>
          <w:szCs w:val="22"/>
        </w:rPr>
        <w:t>και</w:t>
      </w:r>
      <w:r w:rsidRPr="00D83BF6">
        <w:rPr>
          <w:szCs w:val="22"/>
        </w:rPr>
        <w:t xml:space="preserve"> </w:t>
      </w:r>
      <w:r>
        <w:rPr>
          <w:szCs w:val="22"/>
        </w:rPr>
        <w:t>εκκρίνεται</w:t>
      </w:r>
      <w:r w:rsidRPr="00D83BF6">
        <w:rPr>
          <w:szCs w:val="22"/>
        </w:rPr>
        <w:t xml:space="preserve"> </w:t>
      </w:r>
      <w:r>
        <w:rPr>
          <w:szCs w:val="22"/>
        </w:rPr>
        <w:t>στο</w:t>
      </w:r>
      <w:r w:rsidRPr="00D83BF6">
        <w:rPr>
          <w:szCs w:val="22"/>
        </w:rPr>
        <w:t xml:space="preserve"> </w:t>
      </w:r>
      <w:r>
        <w:rPr>
          <w:szCs w:val="22"/>
        </w:rPr>
        <w:t>μητρικό</w:t>
      </w:r>
      <w:r w:rsidRPr="00D83BF6">
        <w:rPr>
          <w:szCs w:val="22"/>
        </w:rPr>
        <w:t xml:space="preserve"> </w:t>
      </w:r>
      <w:r>
        <w:rPr>
          <w:szCs w:val="22"/>
        </w:rPr>
        <w:t>γάλα</w:t>
      </w:r>
      <w:r w:rsidRPr="00D83BF6">
        <w:rPr>
          <w:szCs w:val="22"/>
        </w:rPr>
        <w:t xml:space="preserve"> </w:t>
      </w:r>
      <w:r>
        <w:rPr>
          <w:szCs w:val="22"/>
        </w:rPr>
        <w:t>σε</w:t>
      </w:r>
      <w:r w:rsidRPr="00D83BF6">
        <w:rPr>
          <w:szCs w:val="22"/>
        </w:rPr>
        <w:t xml:space="preserve"> </w:t>
      </w:r>
      <w:r>
        <w:rPr>
          <w:szCs w:val="22"/>
        </w:rPr>
        <w:t>μικρές</w:t>
      </w:r>
      <w:r w:rsidRPr="00D83BF6">
        <w:rPr>
          <w:szCs w:val="22"/>
        </w:rPr>
        <w:t xml:space="preserve"> </w:t>
      </w:r>
      <w:r>
        <w:rPr>
          <w:szCs w:val="22"/>
        </w:rPr>
        <w:t xml:space="preserve">συγκεντρώσεις. </w:t>
      </w:r>
    </w:p>
    <w:p w:rsidR="00323DFE" w:rsidRPr="00BF5054" w:rsidRDefault="00323DFE" w:rsidP="002F6670">
      <w:pPr>
        <w:jc w:val="both"/>
      </w:pPr>
    </w:p>
    <w:p w:rsidR="004D1F5B" w:rsidRPr="004D1F5B" w:rsidRDefault="004D1F5B" w:rsidP="002F6670">
      <w:pPr>
        <w:jc w:val="both"/>
        <w:rPr>
          <w:b/>
          <w:bCs/>
          <w:i/>
          <w:iCs/>
        </w:rPr>
      </w:pPr>
      <w:r w:rsidRPr="004D1F5B">
        <w:rPr>
          <w:b/>
          <w:bCs/>
          <w:i/>
          <w:iCs/>
        </w:rPr>
        <w:t>Βιομεταβολή</w:t>
      </w:r>
    </w:p>
    <w:p w:rsidR="004D1F5B" w:rsidRDefault="004D1F5B" w:rsidP="002F6670">
      <w:pPr>
        <w:jc w:val="both"/>
      </w:pPr>
      <w:r>
        <w:t xml:space="preserve">Η κεφτριαξόνη </w:t>
      </w:r>
      <w:r w:rsidR="00D83BF6">
        <w:t>δεν υφίσταται συστηματικό μεταβολισμό, όμως δισπάται στο λεπτό έντερο από βακτηριακή δράση.</w:t>
      </w:r>
    </w:p>
    <w:p w:rsidR="004D1F5B" w:rsidRPr="00BF5054" w:rsidRDefault="004D1F5B" w:rsidP="002F6670">
      <w:pPr>
        <w:jc w:val="both"/>
      </w:pPr>
    </w:p>
    <w:p w:rsidR="00F31CA3" w:rsidRPr="00BF5054" w:rsidRDefault="004D1F5B" w:rsidP="002F6670">
      <w:pPr>
        <w:spacing w:line="260" w:lineRule="auto"/>
        <w:jc w:val="both"/>
        <w:rPr>
          <w:b/>
          <w:bCs/>
          <w:i/>
          <w:iCs/>
        </w:rPr>
      </w:pPr>
      <w:r>
        <w:rPr>
          <w:b/>
          <w:bCs/>
          <w:i/>
          <w:iCs/>
        </w:rPr>
        <w:t>Απέκκριση</w:t>
      </w:r>
    </w:p>
    <w:p w:rsidR="00D83BF6" w:rsidRPr="00D83BF6" w:rsidRDefault="00D83BF6" w:rsidP="00125D4B">
      <w:pPr>
        <w:autoSpaceDE w:val="0"/>
        <w:autoSpaceDN w:val="0"/>
        <w:adjustRightInd w:val="0"/>
        <w:jc w:val="both"/>
        <w:rPr>
          <w:szCs w:val="22"/>
        </w:rPr>
      </w:pPr>
      <w:r>
        <w:rPr>
          <w:szCs w:val="22"/>
        </w:rPr>
        <w:lastRenderedPageBreak/>
        <w:t>Σε</w:t>
      </w:r>
      <w:r w:rsidRPr="00D83BF6">
        <w:rPr>
          <w:szCs w:val="22"/>
        </w:rPr>
        <w:t xml:space="preserve"> </w:t>
      </w:r>
      <w:r>
        <w:rPr>
          <w:szCs w:val="22"/>
        </w:rPr>
        <w:t>εύρος</w:t>
      </w:r>
      <w:r w:rsidRPr="00D83BF6">
        <w:rPr>
          <w:szCs w:val="22"/>
        </w:rPr>
        <w:t xml:space="preserve"> </w:t>
      </w:r>
      <w:r>
        <w:rPr>
          <w:szCs w:val="22"/>
        </w:rPr>
        <w:t xml:space="preserve">δοσολογίας των </w:t>
      </w:r>
      <w:r w:rsidRPr="00D83BF6">
        <w:rPr>
          <w:szCs w:val="22"/>
        </w:rPr>
        <w:t xml:space="preserve">0.15 </w:t>
      </w:r>
      <w:r w:rsidRPr="001C039E">
        <w:rPr>
          <w:szCs w:val="22"/>
          <w:lang w:val="en-GB"/>
        </w:rPr>
        <w:t>to</w:t>
      </w:r>
      <w:r w:rsidRPr="00D83BF6">
        <w:rPr>
          <w:szCs w:val="22"/>
        </w:rPr>
        <w:t xml:space="preserve"> 3 </w:t>
      </w:r>
      <w:r w:rsidRPr="001C039E">
        <w:rPr>
          <w:szCs w:val="22"/>
          <w:lang w:val="en-GB"/>
        </w:rPr>
        <w:t>g</w:t>
      </w:r>
      <w:r w:rsidRPr="00D83BF6">
        <w:rPr>
          <w:szCs w:val="22"/>
        </w:rPr>
        <w:t xml:space="preserve"> </w:t>
      </w:r>
      <w:r>
        <w:rPr>
          <w:szCs w:val="22"/>
        </w:rPr>
        <w:t xml:space="preserve">οι τιμές ημίσιας ζωής απέκκρισης κυμαίνονται από 6 με 9 ώρες, η ολική κάθαρση του πλάσματος από </w:t>
      </w:r>
      <w:r w:rsidRPr="00D83BF6">
        <w:rPr>
          <w:szCs w:val="22"/>
        </w:rPr>
        <w:t xml:space="preserve">0.6–1.4 </w:t>
      </w:r>
      <w:r w:rsidRPr="001C039E">
        <w:rPr>
          <w:szCs w:val="22"/>
          <w:lang w:val="en-GB"/>
        </w:rPr>
        <w:t>l</w:t>
      </w:r>
      <w:r w:rsidRPr="00D83BF6">
        <w:rPr>
          <w:szCs w:val="22"/>
        </w:rPr>
        <w:t>/</w:t>
      </w:r>
      <w:r w:rsidRPr="001C039E">
        <w:rPr>
          <w:szCs w:val="22"/>
          <w:lang w:val="en-GB"/>
        </w:rPr>
        <w:t>h</w:t>
      </w:r>
      <w:r>
        <w:rPr>
          <w:szCs w:val="22"/>
        </w:rPr>
        <w:t xml:space="preserve"> και νεφρική κάθαρση από </w:t>
      </w:r>
      <w:r w:rsidRPr="00D83BF6">
        <w:rPr>
          <w:szCs w:val="22"/>
        </w:rPr>
        <w:t xml:space="preserve">0.3–0.7 </w:t>
      </w:r>
      <w:r w:rsidRPr="001C039E">
        <w:rPr>
          <w:szCs w:val="22"/>
          <w:lang w:val="en-GB"/>
        </w:rPr>
        <w:t>l</w:t>
      </w:r>
      <w:r w:rsidRPr="00D83BF6">
        <w:rPr>
          <w:szCs w:val="22"/>
        </w:rPr>
        <w:t>/</w:t>
      </w:r>
      <w:r w:rsidRPr="001C039E">
        <w:rPr>
          <w:szCs w:val="22"/>
          <w:lang w:val="en-GB"/>
        </w:rPr>
        <w:t>h</w:t>
      </w:r>
      <w:r w:rsidRPr="00D83BF6">
        <w:rPr>
          <w:szCs w:val="22"/>
        </w:rPr>
        <w:t>.</w:t>
      </w:r>
    </w:p>
    <w:p w:rsidR="00D83BF6" w:rsidRDefault="00D83BF6" w:rsidP="00125D4B">
      <w:pPr>
        <w:autoSpaceDE w:val="0"/>
        <w:autoSpaceDN w:val="0"/>
        <w:adjustRightInd w:val="0"/>
        <w:jc w:val="both"/>
        <w:rPr>
          <w:szCs w:val="22"/>
        </w:rPr>
      </w:pPr>
      <w:r>
        <w:rPr>
          <w:szCs w:val="22"/>
        </w:rPr>
        <w:t xml:space="preserve">Το </w:t>
      </w:r>
      <w:r w:rsidRPr="00D83BF6">
        <w:rPr>
          <w:szCs w:val="22"/>
        </w:rPr>
        <w:t>50–60 %</w:t>
      </w:r>
      <w:r>
        <w:rPr>
          <w:szCs w:val="22"/>
        </w:rPr>
        <w:t xml:space="preserve"> της κεφτριαξόνης απεκκρίνεται ως αμετάβλητη δραστική ουσία στα ούρα ενώ η υπόλοιπη εκκρίνεται διαμέσου του χοληδόχου στα κόπρανα ως μικροβιολογικώς ανενεργών μεταβολιτών. Η κεφτριαξόνη συγκεντρώνεται στα ούρα. Οι συγκεντρώσεις στα ούρα είναι 5-10 φορές υψηλότερες από αυτές που ανιχνεύονται στο πλάσμα </w:t>
      </w:r>
    </w:p>
    <w:p w:rsidR="00D83BF6" w:rsidRPr="00D83BF6" w:rsidRDefault="00D83BF6" w:rsidP="00125D4B">
      <w:pPr>
        <w:autoSpaceDE w:val="0"/>
        <w:autoSpaceDN w:val="0"/>
        <w:adjustRightInd w:val="0"/>
        <w:jc w:val="both"/>
        <w:rPr>
          <w:szCs w:val="22"/>
        </w:rPr>
      </w:pPr>
      <w:r>
        <w:rPr>
          <w:szCs w:val="22"/>
        </w:rPr>
        <w:t>Η κεφτριαξόνη δεν μπορεί να απομακρυνθεί με δ</w:t>
      </w:r>
      <w:r w:rsidRPr="00D83BF6">
        <w:rPr>
          <w:szCs w:val="22"/>
        </w:rPr>
        <w:t>ιύλιση</w:t>
      </w:r>
      <w:r>
        <w:rPr>
          <w:szCs w:val="22"/>
        </w:rPr>
        <w:t>. Αυτό εφαρμόζεται τόσο στην α</w:t>
      </w:r>
      <w:r w:rsidRPr="00D83BF6">
        <w:rPr>
          <w:szCs w:val="22"/>
        </w:rPr>
        <w:t>ιμοδιύλιση</w:t>
      </w:r>
      <w:r>
        <w:rPr>
          <w:szCs w:val="22"/>
        </w:rPr>
        <w:t xml:space="preserve"> όσο και στην περιτοναϊκή </w:t>
      </w:r>
      <w:r w:rsidRPr="00D83BF6">
        <w:rPr>
          <w:szCs w:val="22"/>
        </w:rPr>
        <w:t>διύλιση</w:t>
      </w:r>
      <w:r>
        <w:rPr>
          <w:szCs w:val="22"/>
        </w:rPr>
        <w:t xml:space="preserve">. </w:t>
      </w:r>
    </w:p>
    <w:p w:rsidR="00D83BF6" w:rsidRDefault="00D83BF6" w:rsidP="00125D4B">
      <w:pPr>
        <w:autoSpaceDE w:val="0"/>
        <w:autoSpaceDN w:val="0"/>
        <w:adjustRightInd w:val="0"/>
        <w:jc w:val="both"/>
        <w:rPr>
          <w:szCs w:val="22"/>
        </w:rPr>
      </w:pPr>
    </w:p>
    <w:p w:rsidR="00D83BF6" w:rsidRPr="00D83BF6" w:rsidRDefault="00D83BF6" w:rsidP="00125D4B">
      <w:pPr>
        <w:autoSpaceDE w:val="0"/>
        <w:autoSpaceDN w:val="0"/>
        <w:adjustRightInd w:val="0"/>
        <w:jc w:val="both"/>
        <w:rPr>
          <w:szCs w:val="22"/>
        </w:rPr>
      </w:pPr>
      <w:r>
        <w:rPr>
          <w:szCs w:val="22"/>
        </w:rPr>
        <w:t xml:space="preserve">Ουρική απέκκριση γίνεται με σπειραματική διήθηση. Δεν λαμβάνει χώρα </w:t>
      </w:r>
      <w:r w:rsidRPr="00D83BF6">
        <w:rPr>
          <w:szCs w:val="22"/>
        </w:rPr>
        <w:t>σωληναριακή</w:t>
      </w:r>
      <w:r>
        <w:rPr>
          <w:szCs w:val="22"/>
        </w:rPr>
        <w:t xml:space="preserve"> απέκκριση. Για το λόγο αυτό, δεν αναμένται αύξηση στα επίπεδα του ορού κατά την ταυτόχρονη χορήγηση προβεβεκίδης και στην πράξη δεν ανιχνεύεται– ακόμη και σε υψηλότερες δόσεις π.χ. με </w:t>
      </w:r>
      <w:r w:rsidRPr="00D83BF6">
        <w:rPr>
          <w:szCs w:val="22"/>
        </w:rPr>
        <w:t xml:space="preserve">1-2 </w:t>
      </w:r>
      <w:r w:rsidRPr="001C039E">
        <w:rPr>
          <w:szCs w:val="22"/>
          <w:lang w:val="en-GB"/>
        </w:rPr>
        <w:t>g</w:t>
      </w:r>
      <w:r>
        <w:rPr>
          <w:szCs w:val="22"/>
        </w:rPr>
        <w:t xml:space="preserve"> προβενεκίδης.</w:t>
      </w:r>
    </w:p>
    <w:p w:rsidR="00D83BF6" w:rsidRPr="00D83BF6" w:rsidRDefault="00D83BF6" w:rsidP="006718E7">
      <w:pPr>
        <w:autoSpaceDE w:val="0"/>
        <w:autoSpaceDN w:val="0"/>
        <w:adjustRightInd w:val="0"/>
        <w:rPr>
          <w:szCs w:val="22"/>
        </w:rPr>
      </w:pPr>
    </w:p>
    <w:p w:rsidR="00D83BF6" w:rsidRPr="00E707E8" w:rsidRDefault="00D83BF6" w:rsidP="00125D4B">
      <w:pPr>
        <w:autoSpaceDE w:val="0"/>
        <w:autoSpaceDN w:val="0"/>
        <w:adjustRightInd w:val="0"/>
        <w:jc w:val="both"/>
        <w:rPr>
          <w:b/>
          <w:i/>
          <w:szCs w:val="22"/>
        </w:rPr>
      </w:pPr>
      <w:r>
        <w:rPr>
          <w:b/>
          <w:i/>
          <w:szCs w:val="22"/>
        </w:rPr>
        <w:t>Μη</w:t>
      </w:r>
      <w:r w:rsidRPr="00E707E8">
        <w:rPr>
          <w:b/>
          <w:i/>
          <w:szCs w:val="22"/>
        </w:rPr>
        <w:t xml:space="preserve"> </w:t>
      </w:r>
      <w:r>
        <w:rPr>
          <w:b/>
          <w:i/>
          <w:szCs w:val="22"/>
        </w:rPr>
        <w:t>γραμμικότητα</w:t>
      </w:r>
    </w:p>
    <w:p w:rsidR="00D83BF6" w:rsidRDefault="00D83BF6" w:rsidP="00125D4B">
      <w:pPr>
        <w:autoSpaceDE w:val="0"/>
        <w:autoSpaceDN w:val="0"/>
        <w:adjustRightInd w:val="0"/>
        <w:jc w:val="both"/>
        <w:rPr>
          <w:szCs w:val="22"/>
        </w:rPr>
      </w:pPr>
      <w:r>
        <w:rPr>
          <w:szCs w:val="22"/>
        </w:rPr>
        <w:t>Η</w:t>
      </w:r>
      <w:r w:rsidRPr="00D83BF6">
        <w:rPr>
          <w:szCs w:val="22"/>
        </w:rPr>
        <w:t xml:space="preserve"> </w:t>
      </w:r>
      <w:r>
        <w:rPr>
          <w:szCs w:val="22"/>
        </w:rPr>
        <w:t>φαρμακοκινητική</w:t>
      </w:r>
      <w:r w:rsidRPr="00D83BF6">
        <w:rPr>
          <w:szCs w:val="22"/>
        </w:rPr>
        <w:t xml:space="preserve"> </w:t>
      </w:r>
      <w:r>
        <w:rPr>
          <w:szCs w:val="22"/>
        </w:rPr>
        <w:t>της</w:t>
      </w:r>
      <w:r w:rsidRPr="00D83BF6">
        <w:rPr>
          <w:szCs w:val="22"/>
        </w:rPr>
        <w:t xml:space="preserve"> </w:t>
      </w:r>
      <w:r>
        <w:rPr>
          <w:szCs w:val="22"/>
        </w:rPr>
        <w:t>κεφτριαξόνης</w:t>
      </w:r>
      <w:r w:rsidRPr="00D83BF6">
        <w:rPr>
          <w:szCs w:val="22"/>
        </w:rPr>
        <w:t xml:space="preserve"> </w:t>
      </w:r>
      <w:r>
        <w:rPr>
          <w:szCs w:val="22"/>
        </w:rPr>
        <w:t>σε</w:t>
      </w:r>
      <w:r w:rsidRPr="00D83BF6">
        <w:rPr>
          <w:szCs w:val="22"/>
        </w:rPr>
        <w:t xml:space="preserve"> </w:t>
      </w:r>
      <w:r>
        <w:rPr>
          <w:szCs w:val="22"/>
        </w:rPr>
        <w:t>σχέση</w:t>
      </w:r>
      <w:r w:rsidRPr="00D83BF6">
        <w:rPr>
          <w:szCs w:val="22"/>
        </w:rPr>
        <w:t xml:space="preserve"> </w:t>
      </w:r>
      <w:r>
        <w:rPr>
          <w:szCs w:val="22"/>
        </w:rPr>
        <w:t>με</w:t>
      </w:r>
      <w:r w:rsidRPr="00D83BF6">
        <w:rPr>
          <w:szCs w:val="22"/>
        </w:rPr>
        <w:t xml:space="preserve"> </w:t>
      </w:r>
      <w:r>
        <w:rPr>
          <w:szCs w:val="22"/>
        </w:rPr>
        <w:t>την</w:t>
      </w:r>
      <w:r w:rsidRPr="00D83BF6">
        <w:rPr>
          <w:szCs w:val="22"/>
        </w:rPr>
        <w:t xml:space="preserve"> </w:t>
      </w:r>
      <w:r>
        <w:rPr>
          <w:szCs w:val="22"/>
        </w:rPr>
        <w:t>δόση είναι</w:t>
      </w:r>
      <w:r w:rsidRPr="00D83BF6">
        <w:rPr>
          <w:szCs w:val="22"/>
        </w:rPr>
        <w:t xml:space="preserve"> </w:t>
      </w:r>
      <w:r>
        <w:rPr>
          <w:szCs w:val="22"/>
        </w:rPr>
        <w:t>μη</w:t>
      </w:r>
      <w:r w:rsidRPr="00D83BF6">
        <w:rPr>
          <w:szCs w:val="22"/>
        </w:rPr>
        <w:t xml:space="preserve"> </w:t>
      </w:r>
      <w:r>
        <w:rPr>
          <w:szCs w:val="22"/>
        </w:rPr>
        <w:t xml:space="preserve">γραμμική. Αυτή η μη γραμμικότητα εξηγείται από μια μείωση των δεσμών με τις πρωτεΐνες του πλάσματος που εξαρτώνται από την συγκέντρωση η οποία οδηγεί σε μια αντίστοιχη αύξηση στην κατανομή και απέκκριση. </w:t>
      </w:r>
    </w:p>
    <w:p w:rsidR="00D83BF6" w:rsidRPr="00D83BF6" w:rsidRDefault="00D83BF6" w:rsidP="00125D4B">
      <w:pPr>
        <w:autoSpaceDE w:val="0"/>
        <w:autoSpaceDN w:val="0"/>
        <w:adjustRightInd w:val="0"/>
        <w:jc w:val="both"/>
        <w:rPr>
          <w:szCs w:val="22"/>
        </w:rPr>
      </w:pPr>
      <w:r>
        <w:rPr>
          <w:szCs w:val="22"/>
        </w:rPr>
        <w:t xml:space="preserve">Με εξαίρεση τον χρόνο ημίσιας ζωής για την απέκκριση, όλοι οι φαρμακοκινητικοί παράμετροι είναι δοσο-εξαρτώμενοι. Η χορήγηση επαναλαμβανόμενων δόσεων 0,5 με 2 </w:t>
      </w:r>
      <w:r>
        <w:rPr>
          <w:szCs w:val="22"/>
          <w:lang w:val="en-US"/>
        </w:rPr>
        <w:t>g</w:t>
      </w:r>
      <w:r>
        <w:rPr>
          <w:szCs w:val="22"/>
        </w:rPr>
        <w:t xml:space="preserve"> έχει ως αποτέλεσμα την συσσώρευση κατά 15%-36% πάνω από τις τιμές της μιας δόσης.</w:t>
      </w:r>
    </w:p>
    <w:p w:rsidR="00D83BF6" w:rsidRPr="00E707E8" w:rsidRDefault="00D83BF6" w:rsidP="00125D4B">
      <w:pPr>
        <w:spacing w:line="260" w:lineRule="auto"/>
        <w:jc w:val="both"/>
        <w:rPr>
          <w:szCs w:val="22"/>
        </w:rPr>
      </w:pPr>
    </w:p>
    <w:p w:rsidR="00D83BF6" w:rsidRPr="00D83BF6" w:rsidRDefault="00D83BF6" w:rsidP="006718E7">
      <w:pPr>
        <w:autoSpaceDE w:val="0"/>
        <w:autoSpaceDN w:val="0"/>
        <w:adjustRightInd w:val="0"/>
        <w:rPr>
          <w:b/>
          <w:i/>
          <w:szCs w:val="22"/>
        </w:rPr>
      </w:pPr>
      <w:r>
        <w:rPr>
          <w:b/>
          <w:i/>
          <w:szCs w:val="22"/>
        </w:rPr>
        <w:t>Ιδιαίτερες ομάδες ασθενών</w:t>
      </w:r>
    </w:p>
    <w:p w:rsidR="00D83BF6" w:rsidRPr="00D83BF6" w:rsidRDefault="00D83BF6" w:rsidP="006718E7">
      <w:pPr>
        <w:autoSpaceDE w:val="0"/>
        <w:autoSpaceDN w:val="0"/>
        <w:adjustRightInd w:val="0"/>
        <w:rPr>
          <w:b/>
          <w:i/>
          <w:szCs w:val="22"/>
        </w:rPr>
      </w:pPr>
    </w:p>
    <w:p w:rsidR="00D83BF6" w:rsidRPr="00D83BF6" w:rsidRDefault="00D83BF6" w:rsidP="00125D4B">
      <w:pPr>
        <w:autoSpaceDE w:val="0"/>
        <w:autoSpaceDN w:val="0"/>
        <w:adjustRightInd w:val="0"/>
        <w:jc w:val="both"/>
        <w:rPr>
          <w:i/>
          <w:iCs/>
          <w:szCs w:val="22"/>
        </w:rPr>
      </w:pPr>
      <w:r>
        <w:rPr>
          <w:i/>
          <w:iCs/>
          <w:szCs w:val="22"/>
        </w:rPr>
        <w:t>Ηλικιωμένοι άνω των 75 ετών</w:t>
      </w:r>
      <w:r w:rsidRPr="00D83BF6">
        <w:rPr>
          <w:i/>
          <w:iCs/>
          <w:szCs w:val="22"/>
        </w:rPr>
        <w:t>:</w:t>
      </w:r>
    </w:p>
    <w:p w:rsidR="00D83BF6" w:rsidRDefault="003C3E70" w:rsidP="00125D4B">
      <w:pPr>
        <w:autoSpaceDE w:val="0"/>
        <w:autoSpaceDN w:val="0"/>
        <w:adjustRightInd w:val="0"/>
        <w:jc w:val="both"/>
        <w:rPr>
          <w:szCs w:val="22"/>
        </w:rPr>
      </w:pPr>
      <w:r>
        <w:rPr>
          <w:szCs w:val="22"/>
        </w:rPr>
        <w:t>Η</w:t>
      </w:r>
      <w:r w:rsidRPr="003C3E70">
        <w:rPr>
          <w:szCs w:val="22"/>
        </w:rPr>
        <w:t xml:space="preserve"> </w:t>
      </w:r>
      <w:r w:rsidR="00AE1167">
        <w:rPr>
          <w:szCs w:val="22"/>
        </w:rPr>
        <w:t>ημίσια</w:t>
      </w:r>
      <w:r w:rsidRPr="003C3E70">
        <w:rPr>
          <w:szCs w:val="22"/>
        </w:rPr>
        <w:t xml:space="preserve"> </w:t>
      </w:r>
      <w:r w:rsidR="00AE1167">
        <w:rPr>
          <w:szCs w:val="22"/>
        </w:rPr>
        <w:t>ζωή της</w:t>
      </w:r>
      <w:r w:rsidRPr="003C3E70">
        <w:rPr>
          <w:szCs w:val="22"/>
        </w:rPr>
        <w:t xml:space="preserve"> </w:t>
      </w:r>
      <w:r>
        <w:rPr>
          <w:szCs w:val="22"/>
        </w:rPr>
        <w:t>απέκκρισης</w:t>
      </w:r>
      <w:r w:rsidRPr="003C3E70">
        <w:rPr>
          <w:szCs w:val="22"/>
        </w:rPr>
        <w:t xml:space="preserve"> </w:t>
      </w:r>
      <w:r w:rsidR="00AE1167">
        <w:rPr>
          <w:szCs w:val="22"/>
        </w:rPr>
        <w:t>της κεφτριαξόνης από το</w:t>
      </w:r>
      <w:r w:rsidRPr="003C3E70">
        <w:rPr>
          <w:szCs w:val="22"/>
        </w:rPr>
        <w:t xml:space="preserve"> </w:t>
      </w:r>
      <w:r>
        <w:rPr>
          <w:szCs w:val="22"/>
        </w:rPr>
        <w:t xml:space="preserve">πλάσμα είναι περίπου 2 -3 φορές </w:t>
      </w:r>
      <w:r w:rsidR="00AE1167">
        <w:rPr>
          <w:szCs w:val="22"/>
        </w:rPr>
        <w:t>μεγαλύτερη</w:t>
      </w:r>
      <w:r>
        <w:rPr>
          <w:szCs w:val="22"/>
        </w:rPr>
        <w:t xml:space="preserve"> σε σύγκριση με νέους ενήλικες. </w:t>
      </w:r>
    </w:p>
    <w:p w:rsidR="003C3E70" w:rsidRPr="00AE1167" w:rsidRDefault="003C3E70" w:rsidP="00125D4B">
      <w:pPr>
        <w:autoSpaceDE w:val="0"/>
        <w:autoSpaceDN w:val="0"/>
        <w:adjustRightInd w:val="0"/>
        <w:jc w:val="both"/>
        <w:rPr>
          <w:szCs w:val="22"/>
        </w:rPr>
      </w:pPr>
    </w:p>
    <w:p w:rsidR="00D83BF6" w:rsidRPr="00FC52C8" w:rsidRDefault="003C3E70" w:rsidP="00125D4B">
      <w:pPr>
        <w:autoSpaceDE w:val="0"/>
        <w:autoSpaceDN w:val="0"/>
        <w:adjustRightInd w:val="0"/>
        <w:jc w:val="both"/>
        <w:rPr>
          <w:i/>
          <w:szCs w:val="22"/>
        </w:rPr>
      </w:pPr>
      <w:r>
        <w:rPr>
          <w:i/>
          <w:szCs w:val="22"/>
        </w:rPr>
        <w:t>Νεογνά</w:t>
      </w:r>
    </w:p>
    <w:p w:rsidR="00D83BF6" w:rsidRDefault="003C3E70" w:rsidP="00125D4B">
      <w:pPr>
        <w:autoSpaceDE w:val="0"/>
        <w:autoSpaceDN w:val="0"/>
        <w:adjustRightInd w:val="0"/>
        <w:jc w:val="both"/>
        <w:rPr>
          <w:szCs w:val="22"/>
        </w:rPr>
      </w:pPr>
      <w:r>
        <w:rPr>
          <w:szCs w:val="22"/>
        </w:rPr>
        <w:t>Σε</w:t>
      </w:r>
      <w:r w:rsidRPr="003C3E70">
        <w:rPr>
          <w:szCs w:val="22"/>
        </w:rPr>
        <w:t xml:space="preserve"> </w:t>
      </w:r>
      <w:r>
        <w:rPr>
          <w:szCs w:val="22"/>
        </w:rPr>
        <w:t>νεογνά</w:t>
      </w:r>
      <w:r w:rsidRPr="003C3E70">
        <w:rPr>
          <w:szCs w:val="22"/>
        </w:rPr>
        <w:t xml:space="preserve"> </w:t>
      </w:r>
      <w:r>
        <w:rPr>
          <w:szCs w:val="22"/>
        </w:rPr>
        <w:t>ηλικίας</w:t>
      </w:r>
      <w:r w:rsidRPr="003C3E70">
        <w:rPr>
          <w:szCs w:val="22"/>
        </w:rPr>
        <w:t xml:space="preserve"> 3 </w:t>
      </w:r>
      <w:r>
        <w:rPr>
          <w:szCs w:val="22"/>
        </w:rPr>
        <w:t>ημερών</w:t>
      </w:r>
      <w:r w:rsidRPr="003C3E70">
        <w:rPr>
          <w:szCs w:val="22"/>
        </w:rPr>
        <w:t xml:space="preserve">, </w:t>
      </w:r>
      <w:r>
        <w:rPr>
          <w:szCs w:val="22"/>
        </w:rPr>
        <w:t>ο</w:t>
      </w:r>
      <w:r w:rsidRPr="003C3E70">
        <w:rPr>
          <w:szCs w:val="22"/>
        </w:rPr>
        <w:t xml:space="preserve"> </w:t>
      </w:r>
      <w:r>
        <w:rPr>
          <w:szCs w:val="22"/>
        </w:rPr>
        <w:t>χρόνος</w:t>
      </w:r>
      <w:r w:rsidRPr="003C3E70">
        <w:rPr>
          <w:szCs w:val="22"/>
        </w:rPr>
        <w:t xml:space="preserve"> </w:t>
      </w:r>
      <w:r>
        <w:rPr>
          <w:szCs w:val="22"/>
        </w:rPr>
        <w:t>ημίσιας</w:t>
      </w:r>
      <w:r w:rsidRPr="003C3E70">
        <w:rPr>
          <w:szCs w:val="22"/>
        </w:rPr>
        <w:t xml:space="preserve"> </w:t>
      </w:r>
      <w:r>
        <w:rPr>
          <w:szCs w:val="22"/>
        </w:rPr>
        <w:t>ζωής</w:t>
      </w:r>
      <w:r w:rsidRPr="003C3E70">
        <w:rPr>
          <w:szCs w:val="22"/>
        </w:rPr>
        <w:t xml:space="preserve"> </w:t>
      </w:r>
      <w:r>
        <w:rPr>
          <w:szCs w:val="22"/>
        </w:rPr>
        <w:t>της</w:t>
      </w:r>
      <w:r w:rsidRPr="003C3E70">
        <w:rPr>
          <w:szCs w:val="22"/>
        </w:rPr>
        <w:t xml:space="preserve"> </w:t>
      </w:r>
      <w:r>
        <w:rPr>
          <w:szCs w:val="22"/>
        </w:rPr>
        <w:t>κεφτριαξόνης</w:t>
      </w:r>
      <w:r w:rsidRPr="003C3E70">
        <w:rPr>
          <w:szCs w:val="22"/>
        </w:rPr>
        <w:t xml:space="preserve"> </w:t>
      </w:r>
      <w:r>
        <w:rPr>
          <w:szCs w:val="22"/>
        </w:rPr>
        <w:t>στον</w:t>
      </w:r>
      <w:r w:rsidRPr="003C3E70">
        <w:rPr>
          <w:szCs w:val="22"/>
        </w:rPr>
        <w:t xml:space="preserve"> </w:t>
      </w:r>
      <w:r>
        <w:rPr>
          <w:szCs w:val="22"/>
        </w:rPr>
        <w:t>ορό</w:t>
      </w:r>
      <w:r w:rsidRPr="003C3E70">
        <w:rPr>
          <w:szCs w:val="22"/>
        </w:rPr>
        <w:t xml:space="preserve"> </w:t>
      </w:r>
      <w:r>
        <w:rPr>
          <w:szCs w:val="22"/>
        </w:rPr>
        <w:t>είναι</w:t>
      </w:r>
      <w:r w:rsidRPr="003C3E70">
        <w:rPr>
          <w:szCs w:val="22"/>
        </w:rPr>
        <w:t xml:space="preserve"> </w:t>
      </w:r>
      <w:r>
        <w:rPr>
          <w:szCs w:val="22"/>
        </w:rPr>
        <w:t>περίπου</w:t>
      </w:r>
      <w:r w:rsidRPr="003C3E70">
        <w:rPr>
          <w:szCs w:val="22"/>
        </w:rPr>
        <w:t xml:space="preserve"> 16 </w:t>
      </w:r>
      <w:r>
        <w:rPr>
          <w:szCs w:val="22"/>
        </w:rPr>
        <w:t>ώρες</w:t>
      </w:r>
      <w:r w:rsidRPr="003C3E70">
        <w:rPr>
          <w:szCs w:val="22"/>
        </w:rPr>
        <w:t xml:space="preserve"> </w:t>
      </w:r>
      <w:r>
        <w:rPr>
          <w:szCs w:val="22"/>
        </w:rPr>
        <w:t>και</w:t>
      </w:r>
      <w:r w:rsidRPr="003C3E70">
        <w:rPr>
          <w:szCs w:val="22"/>
        </w:rPr>
        <w:t xml:space="preserve"> </w:t>
      </w:r>
      <w:r>
        <w:rPr>
          <w:szCs w:val="22"/>
        </w:rPr>
        <w:t>περίπου</w:t>
      </w:r>
      <w:r w:rsidRPr="003C3E70">
        <w:rPr>
          <w:szCs w:val="22"/>
        </w:rPr>
        <w:t xml:space="preserve"> 9 </w:t>
      </w:r>
      <w:r>
        <w:rPr>
          <w:szCs w:val="22"/>
        </w:rPr>
        <w:t>ώρες</w:t>
      </w:r>
      <w:r w:rsidRPr="003C3E70">
        <w:rPr>
          <w:szCs w:val="22"/>
        </w:rPr>
        <w:t xml:space="preserve"> </w:t>
      </w:r>
      <w:r>
        <w:rPr>
          <w:szCs w:val="22"/>
        </w:rPr>
        <w:t>σε</w:t>
      </w:r>
      <w:r w:rsidRPr="003C3E70">
        <w:rPr>
          <w:szCs w:val="22"/>
        </w:rPr>
        <w:t xml:space="preserve"> </w:t>
      </w:r>
      <w:r>
        <w:rPr>
          <w:szCs w:val="22"/>
        </w:rPr>
        <w:t>νεογνά</w:t>
      </w:r>
      <w:r w:rsidRPr="003C3E70">
        <w:rPr>
          <w:szCs w:val="22"/>
        </w:rPr>
        <w:t xml:space="preserve"> </w:t>
      </w:r>
      <w:r>
        <w:rPr>
          <w:szCs w:val="22"/>
        </w:rPr>
        <w:t>ηλικίας</w:t>
      </w:r>
      <w:r w:rsidRPr="003C3E70">
        <w:rPr>
          <w:szCs w:val="22"/>
        </w:rPr>
        <w:t xml:space="preserve"> 9 </w:t>
      </w:r>
      <w:r>
        <w:rPr>
          <w:szCs w:val="22"/>
        </w:rPr>
        <w:t>έως</w:t>
      </w:r>
      <w:r w:rsidRPr="003C3E70">
        <w:rPr>
          <w:szCs w:val="22"/>
        </w:rPr>
        <w:t xml:space="preserve"> 30 </w:t>
      </w:r>
      <w:r>
        <w:rPr>
          <w:szCs w:val="22"/>
        </w:rPr>
        <w:t xml:space="preserve">ημερών. </w:t>
      </w:r>
    </w:p>
    <w:p w:rsidR="003C3E70" w:rsidRPr="00FC52C8" w:rsidRDefault="003C3E70" w:rsidP="00125D4B">
      <w:pPr>
        <w:autoSpaceDE w:val="0"/>
        <w:autoSpaceDN w:val="0"/>
        <w:adjustRightInd w:val="0"/>
        <w:jc w:val="both"/>
        <w:rPr>
          <w:szCs w:val="22"/>
        </w:rPr>
      </w:pPr>
    </w:p>
    <w:p w:rsidR="00D83BF6" w:rsidRPr="003C3E70" w:rsidRDefault="003C3E70" w:rsidP="00125D4B">
      <w:pPr>
        <w:autoSpaceDE w:val="0"/>
        <w:autoSpaceDN w:val="0"/>
        <w:adjustRightInd w:val="0"/>
        <w:jc w:val="both"/>
        <w:rPr>
          <w:i/>
          <w:iCs/>
          <w:szCs w:val="22"/>
        </w:rPr>
      </w:pPr>
      <w:r>
        <w:rPr>
          <w:i/>
          <w:iCs/>
          <w:szCs w:val="22"/>
        </w:rPr>
        <w:t>Ασθενείς</w:t>
      </w:r>
      <w:r w:rsidRPr="003C3E70">
        <w:rPr>
          <w:i/>
          <w:iCs/>
          <w:szCs w:val="22"/>
        </w:rPr>
        <w:t xml:space="preserve"> </w:t>
      </w:r>
      <w:r>
        <w:rPr>
          <w:i/>
          <w:iCs/>
          <w:szCs w:val="22"/>
        </w:rPr>
        <w:t>με</w:t>
      </w:r>
      <w:r w:rsidRPr="003C3E70">
        <w:rPr>
          <w:i/>
          <w:iCs/>
          <w:szCs w:val="22"/>
        </w:rPr>
        <w:t xml:space="preserve"> </w:t>
      </w:r>
      <w:r>
        <w:rPr>
          <w:i/>
          <w:iCs/>
          <w:szCs w:val="22"/>
        </w:rPr>
        <w:t>νεφρική</w:t>
      </w:r>
      <w:r w:rsidRPr="003C3E70">
        <w:rPr>
          <w:i/>
          <w:iCs/>
          <w:szCs w:val="22"/>
        </w:rPr>
        <w:t xml:space="preserve"> </w:t>
      </w:r>
      <w:r>
        <w:rPr>
          <w:i/>
          <w:iCs/>
          <w:szCs w:val="22"/>
        </w:rPr>
        <w:t>και</w:t>
      </w:r>
      <w:r w:rsidRPr="003C3E70">
        <w:rPr>
          <w:i/>
          <w:iCs/>
          <w:szCs w:val="22"/>
        </w:rPr>
        <w:t>/</w:t>
      </w:r>
      <w:r>
        <w:rPr>
          <w:i/>
          <w:iCs/>
          <w:szCs w:val="22"/>
        </w:rPr>
        <w:t>ή</w:t>
      </w:r>
      <w:r w:rsidRPr="003C3E70">
        <w:rPr>
          <w:i/>
          <w:iCs/>
          <w:szCs w:val="22"/>
        </w:rPr>
        <w:t xml:space="preserve"> </w:t>
      </w:r>
      <w:r>
        <w:rPr>
          <w:i/>
          <w:iCs/>
          <w:szCs w:val="22"/>
        </w:rPr>
        <w:t>ηπατική</w:t>
      </w:r>
      <w:r w:rsidRPr="003C3E70">
        <w:rPr>
          <w:i/>
          <w:iCs/>
          <w:szCs w:val="22"/>
        </w:rPr>
        <w:t xml:space="preserve"> </w:t>
      </w:r>
      <w:r>
        <w:rPr>
          <w:i/>
          <w:iCs/>
          <w:szCs w:val="22"/>
        </w:rPr>
        <w:t>ανεπάρκεια:</w:t>
      </w:r>
    </w:p>
    <w:p w:rsidR="003C3E70" w:rsidRDefault="003C3E70" w:rsidP="00125D4B">
      <w:pPr>
        <w:autoSpaceDE w:val="0"/>
        <w:autoSpaceDN w:val="0"/>
        <w:adjustRightInd w:val="0"/>
        <w:jc w:val="both"/>
        <w:rPr>
          <w:szCs w:val="22"/>
        </w:rPr>
      </w:pPr>
      <w:r>
        <w:rPr>
          <w:szCs w:val="22"/>
        </w:rPr>
        <w:t>Ασθενείς</w:t>
      </w:r>
      <w:r w:rsidRPr="003C3E70">
        <w:rPr>
          <w:szCs w:val="22"/>
        </w:rPr>
        <w:t xml:space="preserve"> </w:t>
      </w:r>
      <w:r>
        <w:rPr>
          <w:szCs w:val="22"/>
        </w:rPr>
        <w:t>με</w:t>
      </w:r>
      <w:r w:rsidRPr="003C3E70">
        <w:rPr>
          <w:szCs w:val="22"/>
        </w:rPr>
        <w:t xml:space="preserve"> </w:t>
      </w:r>
      <w:r>
        <w:rPr>
          <w:szCs w:val="22"/>
        </w:rPr>
        <w:t>νεφρική</w:t>
      </w:r>
      <w:r w:rsidRPr="003C3E70">
        <w:rPr>
          <w:szCs w:val="22"/>
        </w:rPr>
        <w:t xml:space="preserve"> </w:t>
      </w:r>
      <w:r>
        <w:rPr>
          <w:szCs w:val="22"/>
        </w:rPr>
        <w:t>ανεπάρκεια</w:t>
      </w:r>
      <w:r w:rsidRPr="003C3E70">
        <w:rPr>
          <w:szCs w:val="22"/>
        </w:rPr>
        <w:t xml:space="preserve"> </w:t>
      </w:r>
      <w:r>
        <w:rPr>
          <w:szCs w:val="22"/>
        </w:rPr>
        <w:t>έχουν</w:t>
      </w:r>
      <w:r w:rsidRPr="003C3E70">
        <w:rPr>
          <w:szCs w:val="22"/>
        </w:rPr>
        <w:t xml:space="preserve"> </w:t>
      </w:r>
      <w:r>
        <w:rPr>
          <w:szCs w:val="22"/>
        </w:rPr>
        <w:t>αυξημένη</w:t>
      </w:r>
      <w:r w:rsidRPr="003C3E70">
        <w:rPr>
          <w:szCs w:val="22"/>
        </w:rPr>
        <w:t xml:space="preserve"> </w:t>
      </w:r>
      <w:r>
        <w:rPr>
          <w:szCs w:val="22"/>
        </w:rPr>
        <w:t>απέκκριση</w:t>
      </w:r>
      <w:r w:rsidRPr="003C3E70">
        <w:rPr>
          <w:szCs w:val="22"/>
        </w:rPr>
        <w:t xml:space="preserve"> </w:t>
      </w:r>
      <w:r>
        <w:rPr>
          <w:szCs w:val="22"/>
        </w:rPr>
        <w:t>κεφτριαξόνης στις χοληφόρους. Ασθενείς με ηπατική ανεπάρκεια έχουν αυξημένη νεφρική απέκκριση κεφτριαξόνης. Η ημίσια ζωή απέκκρισης της κεφτριαξόνης σχεδόν δεν αυξάνεται σε αυτές τις ομάδες ασθενών. Ασθενείς με ταυτόχρονη νεφρική και ηπατική ανεπάρκεια μπορεί να έχουν αυξημένη ημίσια ζωή απέκκρισης από το πλάσμα.</w:t>
      </w:r>
    </w:p>
    <w:p w:rsidR="003C3E70" w:rsidRDefault="003C3E70" w:rsidP="00125D4B">
      <w:pPr>
        <w:autoSpaceDE w:val="0"/>
        <w:autoSpaceDN w:val="0"/>
        <w:adjustRightInd w:val="0"/>
        <w:jc w:val="both"/>
        <w:rPr>
          <w:szCs w:val="22"/>
        </w:rPr>
      </w:pPr>
      <w:r>
        <w:rPr>
          <w:szCs w:val="22"/>
        </w:rPr>
        <w:t>Στην περίπτωση νεφρικής ανεπάρκειας τελικού σταδίου, η ημίσια ζωή είναι εμφανώς μεγαλύτερη και φτάνει περίπου τις 14 ώρες.</w:t>
      </w:r>
    </w:p>
    <w:p w:rsidR="004D1F5B" w:rsidRPr="004D1F5B" w:rsidRDefault="004D1F5B" w:rsidP="006718E7">
      <w:pPr>
        <w:jc w:val="both"/>
      </w:pPr>
    </w:p>
    <w:p w:rsidR="0059003A" w:rsidRPr="00FC52C8" w:rsidRDefault="0059003A" w:rsidP="0059003A">
      <w:pPr>
        <w:rPr>
          <w:b/>
          <w:i/>
          <w:szCs w:val="22"/>
        </w:rPr>
      </w:pPr>
      <w:r>
        <w:rPr>
          <w:b/>
          <w:i/>
          <w:szCs w:val="22"/>
        </w:rPr>
        <w:t>Φαρμακοκινητική</w:t>
      </w:r>
      <w:r w:rsidRPr="00FC52C8">
        <w:rPr>
          <w:b/>
          <w:i/>
          <w:szCs w:val="22"/>
        </w:rPr>
        <w:t xml:space="preserve"> </w:t>
      </w:r>
      <w:r>
        <w:rPr>
          <w:b/>
          <w:i/>
          <w:szCs w:val="22"/>
        </w:rPr>
        <w:t>σε</w:t>
      </w:r>
      <w:r w:rsidRPr="00FC52C8">
        <w:rPr>
          <w:b/>
          <w:i/>
          <w:szCs w:val="22"/>
        </w:rPr>
        <w:t xml:space="preserve"> </w:t>
      </w:r>
      <w:r>
        <w:rPr>
          <w:b/>
          <w:i/>
          <w:szCs w:val="22"/>
        </w:rPr>
        <w:t>ιδιαίτερες</w:t>
      </w:r>
      <w:r w:rsidRPr="00FC52C8">
        <w:rPr>
          <w:b/>
          <w:i/>
          <w:szCs w:val="22"/>
        </w:rPr>
        <w:t xml:space="preserve"> </w:t>
      </w:r>
      <w:r>
        <w:rPr>
          <w:b/>
          <w:i/>
          <w:szCs w:val="22"/>
        </w:rPr>
        <w:t>κλινικές</w:t>
      </w:r>
      <w:r w:rsidRPr="00FC52C8">
        <w:rPr>
          <w:b/>
          <w:i/>
          <w:szCs w:val="22"/>
        </w:rPr>
        <w:t xml:space="preserve"> </w:t>
      </w:r>
      <w:r>
        <w:rPr>
          <w:b/>
          <w:i/>
          <w:szCs w:val="22"/>
        </w:rPr>
        <w:t>καταστάσεις</w:t>
      </w:r>
    </w:p>
    <w:p w:rsidR="00AF0E2A" w:rsidRDefault="0059003A" w:rsidP="0059003A">
      <w:pPr>
        <w:rPr>
          <w:szCs w:val="22"/>
        </w:rPr>
      </w:pPr>
      <w:r>
        <w:rPr>
          <w:szCs w:val="22"/>
        </w:rPr>
        <w:t>Κατά</w:t>
      </w:r>
      <w:r w:rsidRPr="0059003A">
        <w:rPr>
          <w:szCs w:val="22"/>
        </w:rPr>
        <w:t xml:space="preserve"> </w:t>
      </w:r>
      <w:r>
        <w:rPr>
          <w:szCs w:val="22"/>
        </w:rPr>
        <w:t>την</w:t>
      </w:r>
      <w:r w:rsidRPr="0059003A">
        <w:rPr>
          <w:szCs w:val="22"/>
        </w:rPr>
        <w:t xml:space="preserve"> </w:t>
      </w:r>
      <w:r>
        <w:rPr>
          <w:szCs w:val="22"/>
        </w:rPr>
        <w:t>πρώτη</w:t>
      </w:r>
      <w:r w:rsidRPr="0059003A">
        <w:rPr>
          <w:szCs w:val="22"/>
        </w:rPr>
        <w:t xml:space="preserve"> </w:t>
      </w:r>
      <w:r>
        <w:rPr>
          <w:szCs w:val="22"/>
        </w:rPr>
        <w:t>εβδομάδα</w:t>
      </w:r>
      <w:r w:rsidRPr="0059003A">
        <w:rPr>
          <w:szCs w:val="22"/>
        </w:rPr>
        <w:t xml:space="preserve">, </w:t>
      </w:r>
      <w:r>
        <w:rPr>
          <w:szCs w:val="22"/>
        </w:rPr>
        <w:t>το</w:t>
      </w:r>
      <w:r w:rsidRPr="0059003A">
        <w:rPr>
          <w:szCs w:val="22"/>
        </w:rPr>
        <w:t xml:space="preserve"> 80% </w:t>
      </w:r>
      <w:r>
        <w:rPr>
          <w:szCs w:val="22"/>
        </w:rPr>
        <w:t>της</w:t>
      </w:r>
      <w:r w:rsidRPr="0059003A">
        <w:rPr>
          <w:szCs w:val="22"/>
        </w:rPr>
        <w:t xml:space="preserve"> </w:t>
      </w:r>
      <w:r>
        <w:rPr>
          <w:szCs w:val="22"/>
        </w:rPr>
        <w:t>δόσης</w:t>
      </w:r>
      <w:r w:rsidRPr="0059003A">
        <w:rPr>
          <w:szCs w:val="22"/>
        </w:rPr>
        <w:t xml:space="preserve"> </w:t>
      </w:r>
      <w:r>
        <w:rPr>
          <w:szCs w:val="22"/>
        </w:rPr>
        <w:t>απεκκρίνεται</w:t>
      </w:r>
      <w:r w:rsidRPr="0059003A">
        <w:rPr>
          <w:szCs w:val="22"/>
        </w:rPr>
        <w:t xml:space="preserve"> </w:t>
      </w:r>
      <w:r>
        <w:rPr>
          <w:szCs w:val="22"/>
        </w:rPr>
        <w:t>στα</w:t>
      </w:r>
      <w:r w:rsidRPr="0059003A">
        <w:rPr>
          <w:szCs w:val="22"/>
        </w:rPr>
        <w:t xml:space="preserve"> </w:t>
      </w:r>
      <w:r>
        <w:rPr>
          <w:szCs w:val="22"/>
        </w:rPr>
        <w:t>ούρα. Μετά</w:t>
      </w:r>
      <w:r w:rsidRPr="0059003A">
        <w:rPr>
          <w:szCs w:val="22"/>
        </w:rPr>
        <w:t xml:space="preserve"> </w:t>
      </w:r>
      <w:r>
        <w:rPr>
          <w:szCs w:val="22"/>
        </w:rPr>
        <w:t>την</w:t>
      </w:r>
      <w:r w:rsidRPr="0059003A">
        <w:rPr>
          <w:szCs w:val="22"/>
        </w:rPr>
        <w:t xml:space="preserve"> </w:t>
      </w:r>
      <w:r>
        <w:rPr>
          <w:szCs w:val="22"/>
        </w:rPr>
        <w:t>πάροδο</w:t>
      </w:r>
      <w:r w:rsidRPr="0059003A">
        <w:rPr>
          <w:szCs w:val="22"/>
        </w:rPr>
        <w:t xml:space="preserve"> </w:t>
      </w:r>
      <w:r>
        <w:rPr>
          <w:szCs w:val="22"/>
        </w:rPr>
        <w:t>ενός</w:t>
      </w:r>
      <w:r w:rsidRPr="0059003A">
        <w:rPr>
          <w:szCs w:val="22"/>
        </w:rPr>
        <w:t xml:space="preserve"> </w:t>
      </w:r>
      <w:r>
        <w:rPr>
          <w:szCs w:val="22"/>
        </w:rPr>
        <w:t>μηνός</w:t>
      </w:r>
      <w:r w:rsidRPr="0059003A">
        <w:rPr>
          <w:szCs w:val="22"/>
        </w:rPr>
        <w:t xml:space="preserve"> </w:t>
      </w:r>
      <w:r>
        <w:rPr>
          <w:szCs w:val="22"/>
        </w:rPr>
        <w:t>αυτό</w:t>
      </w:r>
      <w:r w:rsidRPr="0059003A">
        <w:rPr>
          <w:szCs w:val="22"/>
        </w:rPr>
        <w:t xml:space="preserve"> </w:t>
      </w:r>
      <w:r>
        <w:rPr>
          <w:szCs w:val="22"/>
        </w:rPr>
        <w:t>μειώνεται</w:t>
      </w:r>
      <w:r w:rsidRPr="0059003A">
        <w:rPr>
          <w:szCs w:val="22"/>
        </w:rPr>
        <w:t xml:space="preserve"> </w:t>
      </w:r>
      <w:r>
        <w:rPr>
          <w:szCs w:val="22"/>
        </w:rPr>
        <w:t>σε</w:t>
      </w:r>
      <w:r w:rsidRPr="0059003A">
        <w:rPr>
          <w:szCs w:val="22"/>
        </w:rPr>
        <w:t xml:space="preserve"> </w:t>
      </w:r>
      <w:r>
        <w:rPr>
          <w:szCs w:val="22"/>
        </w:rPr>
        <w:t>επίπεδα</w:t>
      </w:r>
      <w:r w:rsidRPr="0059003A">
        <w:rPr>
          <w:szCs w:val="22"/>
        </w:rPr>
        <w:t xml:space="preserve"> </w:t>
      </w:r>
      <w:r>
        <w:rPr>
          <w:szCs w:val="22"/>
        </w:rPr>
        <w:t>παρόμοια</w:t>
      </w:r>
      <w:r w:rsidRPr="0059003A">
        <w:rPr>
          <w:szCs w:val="22"/>
        </w:rPr>
        <w:t xml:space="preserve"> </w:t>
      </w:r>
      <w:r>
        <w:rPr>
          <w:szCs w:val="22"/>
        </w:rPr>
        <w:t>με</w:t>
      </w:r>
      <w:r w:rsidRPr="0059003A">
        <w:rPr>
          <w:szCs w:val="22"/>
        </w:rPr>
        <w:t xml:space="preserve"> </w:t>
      </w:r>
      <w:r>
        <w:rPr>
          <w:szCs w:val="22"/>
        </w:rPr>
        <w:t>εκείνα</w:t>
      </w:r>
      <w:r w:rsidRPr="0059003A">
        <w:rPr>
          <w:szCs w:val="22"/>
        </w:rPr>
        <w:t xml:space="preserve"> </w:t>
      </w:r>
      <w:r w:rsidR="0016420F">
        <w:rPr>
          <w:szCs w:val="22"/>
        </w:rPr>
        <w:t>ενός</w:t>
      </w:r>
      <w:r>
        <w:rPr>
          <w:szCs w:val="22"/>
        </w:rPr>
        <w:t xml:space="preserve"> ενήλικα. Σε</w:t>
      </w:r>
      <w:r w:rsidRPr="0059003A">
        <w:rPr>
          <w:szCs w:val="22"/>
        </w:rPr>
        <w:t xml:space="preserve"> </w:t>
      </w:r>
      <w:r>
        <w:rPr>
          <w:szCs w:val="22"/>
        </w:rPr>
        <w:t>παιδιά</w:t>
      </w:r>
      <w:r w:rsidRPr="0059003A">
        <w:rPr>
          <w:szCs w:val="22"/>
        </w:rPr>
        <w:t xml:space="preserve"> </w:t>
      </w:r>
      <w:r>
        <w:rPr>
          <w:szCs w:val="22"/>
        </w:rPr>
        <w:t>ηλικίας</w:t>
      </w:r>
      <w:r w:rsidRPr="0059003A">
        <w:rPr>
          <w:szCs w:val="22"/>
        </w:rPr>
        <w:t xml:space="preserve"> </w:t>
      </w:r>
      <w:r>
        <w:rPr>
          <w:szCs w:val="22"/>
        </w:rPr>
        <w:t>μικρότερης</w:t>
      </w:r>
      <w:r w:rsidRPr="0059003A">
        <w:rPr>
          <w:szCs w:val="22"/>
        </w:rPr>
        <w:t xml:space="preserve"> </w:t>
      </w:r>
      <w:r>
        <w:rPr>
          <w:szCs w:val="22"/>
        </w:rPr>
        <w:t>των</w:t>
      </w:r>
      <w:r w:rsidRPr="0059003A">
        <w:rPr>
          <w:szCs w:val="22"/>
        </w:rPr>
        <w:t xml:space="preserve"> 8 </w:t>
      </w:r>
      <w:r>
        <w:rPr>
          <w:szCs w:val="22"/>
        </w:rPr>
        <w:t>ημερών</w:t>
      </w:r>
      <w:r w:rsidRPr="0059003A">
        <w:rPr>
          <w:szCs w:val="22"/>
        </w:rPr>
        <w:t xml:space="preserve"> </w:t>
      </w:r>
      <w:r>
        <w:rPr>
          <w:szCs w:val="22"/>
        </w:rPr>
        <w:t>ο</w:t>
      </w:r>
      <w:r w:rsidRPr="0059003A">
        <w:rPr>
          <w:szCs w:val="22"/>
        </w:rPr>
        <w:t xml:space="preserve"> </w:t>
      </w:r>
      <w:r>
        <w:rPr>
          <w:szCs w:val="22"/>
        </w:rPr>
        <w:t>μέσος</w:t>
      </w:r>
      <w:r w:rsidRPr="0059003A">
        <w:rPr>
          <w:szCs w:val="22"/>
        </w:rPr>
        <w:t xml:space="preserve"> </w:t>
      </w:r>
      <w:r>
        <w:rPr>
          <w:szCs w:val="22"/>
        </w:rPr>
        <w:t>όρος</w:t>
      </w:r>
      <w:r w:rsidRPr="0059003A">
        <w:rPr>
          <w:szCs w:val="22"/>
        </w:rPr>
        <w:t xml:space="preserve"> </w:t>
      </w:r>
      <w:r w:rsidR="0016420F">
        <w:rPr>
          <w:szCs w:val="22"/>
        </w:rPr>
        <w:t xml:space="preserve">του χρόνου </w:t>
      </w:r>
      <w:r>
        <w:rPr>
          <w:szCs w:val="22"/>
        </w:rPr>
        <w:t>ημιζωής</w:t>
      </w:r>
      <w:r w:rsidRPr="0059003A">
        <w:rPr>
          <w:szCs w:val="22"/>
        </w:rPr>
        <w:t xml:space="preserve"> </w:t>
      </w:r>
      <w:r>
        <w:rPr>
          <w:szCs w:val="22"/>
        </w:rPr>
        <w:t>για</w:t>
      </w:r>
      <w:r w:rsidRPr="0059003A">
        <w:rPr>
          <w:szCs w:val="22"/>
        </w:rPr>
        <w:t xml:space="preserve"> </w:t>
      </w:r>
      <w:r>
        <w:rPr>
          <w:szCs w:val="22"/>
        </w:rPr>
        <w:t>την</w:t>
      </w:r>
      <w:r w:rsidRPr="0059003A">
        <w:rPr>
          <w:szCs w:val="22"/>
        </w:rPr>
        <w:t xml:space="preserve"> </w:t>
      </w:r>
      <w:r>
        <w:rPr>
          <w:szCs w:val="22"/>
        </w:rPr>
        <w:t>απέκκριση</w:t>
      </w:r>
      <w:r w:rsidRPr="0059003A">
        <w:rPr>
          <w:szCs w:val="22"/>
        </w:rPr>
        <w:t xml:space="preserve"> </w:t>
      </w:r>
      <w:r>
        <w:rPr>
          <w:szCs w:val="22"/>
        </w:rPr>
        <w:t xml:space="preserve">είναι συνήθως δύο με τρεις φορές μεγαλύτερος από εκείνον στους νέους ενήλικες. </w:t>
      </w:r>
    </w:p>
    <w:p w:rsidR="00B7270C" w:rsidRPr="0016420F" w:rsidRDefault="00B7270C" w:rsidP="0059003A">
      <w:pPr>
        <w:rPr>
          <w:noProof/>
          <w:szCs w:val="22"/>
        </w:rPr>
      </w:pPr>
    </w:p>
    <w:p w:rsidR="00AF0E2A" w:rsidRDefault="00AF0E2A" w:rsidP="006718E7">
      <w:pPr>
        <w:rPr>
          <w:noProof/>
        </w:rPr>
      </w:pPr>
      <w:r>
        <w:rPr>
          <w:b/>
          <w:noProof/>
        </w:rPr>
        <w:t>5.3</w:t>
      </w:r>
      <w:r>
        <w:rPr>
          <w:b/>
          <w:noProof/>
        </w:rPr>
        <w:tab/>
        <w:t>Προκλινικά δεδομένα για την ασφάλεια</w:t>
      </w:r>
    </w:p>
    <w:p w:rsidR="004D1F5B" w:rsidRDefault="004D1F5B" w:rsidP="006718E7">
      <w:pPr>
        <w:rPr>
          <w:noProof/>
        </w:rPr>
      </w:pPr>
    </w:p>
    <w:p w:rsidR="0071502A" w:rsidRDefault="0071502A" w:rsidP="006718E7">
      <w:pPr>
        <w:rPr>
          <w:noProof/>
        </w:rPr>
      </w:pPr>
      <w:r>
        <w:rPr>
          <w:noProof/>
        </w:rPr>
        <w:t xml:space="preserve">Τα προκλινικά δεδομένα  που στηρίζονται σε συμβατικές μέλετες στην οξεία τοξικότητα και γενοτοξικότητα δεν απέδειξαν άλλο ειδικό κίνδυνο για ανθρώπους από αυτούς </w:t>
      </w:r>
      <w:r w:rsidR="00B02FB3">
        <w:rPr>
          <w:noProof/>
        </w:rPr>
        <w:t>π</w:t>
      </w:r>
      <w:r>
        <w:rPr>
          <w:noProof/>
        </w:rPr>
        <w:t xml:space="preserve">ου ήδη έχουν θεωρηθεί σε άλλες ενότητες </w:t>
      </w:r>
      <w:r w:rsidR="00B02FB3">
        <w:rPr>
          <w:noProof/>
        </w:rPr>
        <w:t>της ΠΧΠ.</w:t>
      </w:r>
    </w:p>
    <w:p w:rsidR="00B02FB3" w:rsidRPr="00B02FB3" w:rsidRDefault="00B02FB3" w:rsidP="006718E7">
      <w:pPr>
        <w:rPr>
          <w:noProof/>
        </w:rPr>
      </w:pPr>
      <w:r>
        <w:rPr>
          <w:noProof/>
        </w:rPr>
        <w:t xml:space="preserve">Μια ελάτωση στην συγκέντρωση του σπέρματος, όγκου και κινητικότητας παρατηρήθηκε σε </w:t>
      </w:r>
      <w:r>
        <w:rPr>
          <w:noProof/>
        </w:rPr>
        <w:lastRenderedPageBreak/>
        <w:t xml:space="preserve">αρουραίους σε μια δόση συγκρίσιμη ή χαμηλότερη από την ανθρώπινη δόση σε </w:t>
      </w:r>
      <w:r>
        <w:rPr>
          <w:noProof/>
          <w:lang w:val="en-US"/>
        </w:rPr>
        <w:t>mg</w:t>
      </w:r>
      <w:r w:rsidRPr="00B02FB3">
        <w:rPr>
          <w:noProof/>
        </w:rPr>
        <w:t>/</w:t>
      </w:r>
      <w:r>
        <w:rPr>
          <w:noProof/>
          <w:lang w:val="en-US"/>
        </w:rPr>
        <w:t>kg</w:t>
      </w:r>
      <w:r w:rsidRPr="00B02FB3">
        <w:rPr>
          <w:noProof/>
        </w:rPr>
        <w:t xml:space="preserve">. </w:t>
      </w:r>
      <w:r>
        <w:rPr>
          <w:noProof/>
        </w:rPr>
        <w:t>Δεν παρατηρήθηκε καμία επίδραση στην γονιμότητα ή στην αναπαραγωγική ικανότητα σε αρουραίους σε μια δόση περίπου 20 φορές την ανθρώπινη δόση. Δεν παρατηρήθηκε τοξικότητα του εμβρύου ή τερατογένεση σε ποντίκια, αρουραίους και  πρωτεύοντα θηλαστικά σε δόσεις 20, 20</w:t>
      </w:r>
      <w:r>
        <w:rPr>
          <w:szCs w:val="22"/>
        </w:rPr>
        <w:t xml:space="preserve"> και 3 φορές την ανθρώπινη δόση.</w:t>
      </w:r>
    </w:p>
    <w:p w:rsidR="006718E7" w:rsidRDefault="006718E7" w:rsidP="006718E7">
      <w:pPr>
        <w:autoSpaceDE w:val="0"/>
        <w:autoSpaceDN w:val="0"/>
        <w:adjustRightInd w:val="0"/>
        <w:rPr>
          <w:szCs w:val="22"/>
        </w:rPr>
      </w:pPr>
    </w:p>
    <w:p w:rsidR="003C3E70" w:rsidRPr="0071502A" w:rsidRDefault="003C3E70" w:rsidP="006718E7">
      <w:pPr>
        <w:rPr>
          <w:noProof/>
        </w:rPr>
      </w:pPr>
    </w:p>
    <w:p w:rsidR="00AF0E2A" w:rsidRPr="0071502A" w:rsidRDefault="00AF0E2A" w:rsidP="006718E7">
      <w:pPr>
        <w:pStyle w:val="a3"/>
        <w:tabs>
          <w:tab w:val="clear" w:pos="4153"/>
          <w:tab w:val="clear" w:pos="8306"/>
        </w:tabs>
        <w:rPr>
          <w:noProof/>
        </w:rPr>
      </w:pPr>
    </w:p>
    <w:p w:rsidR="00AF0E2A" w:rsidRDefault="00AF0E2A" w:rsidP="006718E7">
      <w:pPr>
        <w:rPr>
          <w:noProof/>
        </w:rPr>
      </w:pPr>
      <w:r>
        <w:rPr>
          <w:b/>
          <w:noProof/>
        </w:rPr>
        <w:t>6.</w:t>
      </w:r>
      <w:r>
        <w:rPr>
          <w:b/>
          <w:noProof/>
        </w:rPr>
        <w:tab/>
        <w:t>ΦΑΡΜΑΚΕΥΤΙΚΕΣ ΠΛΗΡΟΦΟΡΙΕΣ</w:t>
      </w:r>
    </w:p>
    <w:p w:rsidR="00AF0E2A" w:rsidRDefault="00AF0E2A" w:rsidP="006718E7">
      <w:pPr>
        <w:rPr>
          <w:noProof/>
        </w:rPr>
      </w:pPr>
    </w:p>
    <w:p w:rsidR="00AF0E2A" w:rsidRDefault="00AF0E2A" w:rsidP="006718E7">
      <w:pPr>
        <w:rPr>
          <w:noProof/>
        </w:rPr>
      </w:pPr>
      <w:r>
        <w:rPr>
          <w:b/>
          <w:noProof/>
        </w:rPr>
        <w:t>6.1</w:t>
      </w:r>
      <w:r>
        <w:rPr>
          <w:b/>
          <w:noProof/>
        </w:rPr>
        <w:tab/>
        <w:t>Κατάλογος εκδόχων</w:t>
      </w:r>
    </w:p>
    <w:p w:rsidR="006718E7" w:rsidRDefault="006718E7" w:rsidP="006718E7">
      <w:pPr>
        <w:jc w:val="both"/>
      </w:pPr>
    </w:p>
    <w:p w:rsidR="004D1F5B" w:rsidRDefault="004D1F5B" w:rsidP="005B63B5">
      <w:pPr>
        <w:jc w:val="both"/>
      </w:pPr>
      <w:r>
        <w:t xml:space="preserve">Το </w:t>
      </w:r>
      <w:r>
        <w:rPr>
          <w:lang w:val="en-GB"/>
        </w:rPr>
        <w:t>Ceftriaxone</w:t>
      </w:r>
      <w:r w:rsidRPr="004D1F5B">
        <w:t xml:space="preserve"> </w:t>
      </w:r>
      <w:r>
        <w:rPr>
          <w:lang w:val="en-GB"/>
        </w:rPr>
        <w:t>Kabi</w:t>
      </w:r>
      <w:r>
        <w:t xml:space="preserve"> </w:t>
      </w:r>
      <w:r w:rsidR="00FC52C8">
        <w:t>2</w:t>
      </w:r>
      <w:r w:rsidR="00FC52C8">
        <w:rPr>
          <w:lang w:val="en-US"/>
        </w:rPr>
        <w:t>g</w:t>
      </w:r>
      <w:r w:rsidR="00FC52C8" w:rsidRPr="006718E7">
        <w:t xml:space="preserve"> </w:t>
      </w:r>
      <w:r>
        <w:t xml:space="preserve">δεν περιέχει </w:t>
      </w:r>
      <w:r w:rsidR="00303BAB">
        <w:t xml:space="preserve">οποιαδήποτε </w:t>
      </w:r>
      <w:r>
        <w:t>έκδοχα ή συντηρητικά..</w:t>
      </w:r>
    </w:p>
    <w:p w:rsidR="004D1F5B" w:rsidRPr="004D1F5B" w:rsidRDefault="004D1F5B" w:rsidP="005B63B5">
      <w:pPr>
        <w:jc w:val="both"/>
      </w:pPr>
    </w:p>
    <w:p w:rsidR="00AF0E2A" w:rsidRPr="00FC52C8" w:rsidRDefault="00AF0E2A" w:rsidP="005B63B5">
      <w:pPr>
        <w:jc w:val="both"/>
        <w:rPr>
          <w:noProof/>
        </w:rPr>
      </w:pPr>
      <w:r w:rsidRPr="00FC52C8">
        <w:rPr>
          <w:b/>
          <w:noProof/>
        </w:rPr>
        <w:t>6.2</w:t>
      </w:r>
      <w:r w:rsidRPr="00FC52C8">
        <w:rPr>
          <w:b/>
          <w:noProof/>
        </w:rPr>
        <w:tab/>
      </w:r>
      <w:r>
        <w:rPr>
          <w:b/>
          <w:noProof/>
        </w:rPr>
        <w:t>Ασυμβατότητες</w:t>
      </w:r>
    </w:p>
    <w:p w:rsidR="00AF0E2A" w:rsidRDefault="00AF0E2A" w:rsidP="005B63B5">
      <w:pPr>
        <w:jc w:val="both"/>
        <w:rPr>
          <w:noProof/>
        </w:rPr>
      </w:pPr>
    </w:p>
    <w:p w:rsidR="00303BAB" w:rsidRDefault="00303BAB" w:rsidP="005B63B5">
      <w:pPr>
        <w:jc w:val="both"/>
        <w:rPr>
          <w:noProof/>
        </w:rPr>
      </w:pPr>
      <w:r>
        <w:rPr>
          <w:noProof/>
        </w:rPr>
        <w:t xml:space="preserve">Το φαρμακευτικό προϊόν </w:t>
      </w:r>
      <w:r>
        <w:rPr>
          <w:noProof/>
          <w:lang w:val="en-US"/>
        </w:rPr>
        <w:t>Ceftriaxone</w:t>
      </w:r>
      <w:r w:rsidRPr="00303BAB">
        <w:rPr>
          <w:noProof/>
        </w:rPr>
        <w:t xml:space="preserve"> </w:t>
      </w:r>
      <w:r>
        <w:rPr>
          <w:noProof/>
          <w:lang w:val="en-US"/>
        </w:rPr>
        <w:t>Kabi</w:t>
      </w:r>
      <w:r w:rsidRPr="00303BAB">
        <w:rPr>
          <w:noProof/>
        </w:rPr>
        <w:t xml:space="preserve"> </w:t>
      </w:r>
      <w:r w:rsidR="00FC52C8">
        <w:rPr>
          <w:noProof/>
        </w:rPr>
        <w:t xml:space="preserve">2 </w:t>
      </w:r>
      <w:r>
        <w:rPr>
          <w:noProof/>
          <w:lang w:val="en-US"/>
        </w:rPr>
        <w:t>g</w:t>
      </w:r>
      <w:r w:rsidRPr="00303BAB">
        <w:rPr>
          <w:noProof/>
        </w:rPr>
        <w:t xml:space="preserve"> </w:t>
      </w:r>
      <w:r>
        <w:rPr>
          <w:noProof/>
        </w:rPr>
        <w:t>δεν πρέπει να ανασυστάται με άλλα διαλύματα ανασύστασης εκτός από εκείνα που αναφέρονται στο λήμμα 6.6.</w:t>
      </w:r>
    </w:p>
    <w:p w:rsidR="00303BAB" w:rsidRDefault="00303BAB" w:rsidP="005B63B5">
      <w:pPr>
        <w:jc w:val="both"/>
        <w:rPr>
          <w:noProof/>
        </w:rPr>
      </w:pPr>
      <w:r>
        <w:rPr>
          <w:noProof/>
        </w:rPr>
        <w:t>Το ανασυσταθέν διάλυμα δεν πρέπει να προστίθεται σε δι</w:t>
      </w:r>
      <w:r w:rsidR="00E94CF3">
        <w:rPr>
          <w:noProof/>
        </w:rPr>
        <w:t>α</w:t>
      </w:r>
      <w:r>
        <w:rPr>
          <w:noProof/>
        </w:rPr>
        <w:t>λύματα έγχυσης (διαμέσου των σωλήνων μιας συσκευής έγχυσης) εκτός από εκείνα που αναφέρονται στο λήμμα 4.2!</w:t>
      </w:r>
    </w:p>
    <w:p w:rsidR="00303BAB" w:rsidRPr="00B7270C" w:rsidRDefault="00303BAB" w:rsidP="005B63B5">
      <w:pPr>
        <w:jc w:val="both"/>
        <w:rPr>
          <w:noProof/>
          <w:szCs w:val="22"/>
        </w:rPr>
      </w:pPr>
    </w:p>
    <w:p w:rsidR="00B7270C" w:rsidRPr="00222AC0" w:rsidRDefault="00B7270C" w:rsidP="005B63B5">
      <w:pPr>
        <w:jc w:val="both"/>
        <w:rPr>
          <w:szCs w:val="22"/>
        </w:rPr>
      </w:pPr>
      <w:r>
        <w:rPr>
          <w:szCs w:val="22"/>
        </w:rPr>
        <w:t>Τα</w:t>
      </w:r>
      <w:r w:rsidRPr="00B7270C">
        <w:rPr>
          <w:szCs w:val="22"/>
        </w:rPr>
        <w:t xml:space="preserve"> </w:t>
      </w:r>
      <w:r>
        <w:rPr>
          <w:szCs w:val="22"/>
        </w:rPr>
        <w:t>διαλύματα</w:t>
      </w:r>
      <w:r w:rsidRPr="00B7270C">
        <w:rPr>
          <w:szCs w:val="22"/>
        </w:rPr>
        <w:t xml:space="preserve"> </w:t>
      </w:r>
      <w:r>
        <w:rPr>
          <w:szCs w:val="22"/>
        </w:rPr>
        <w:t>που</w:t>
      </w:r>
      <w:r w:rsidRPr="00B7270C">
        <w:rPr>
          <w:szCs w:val="22"/>
        </w:rPr>
        <w:t xml:space="preserve"> </w:t>
      </w:r>
      <w:r>
        <w:rPr>
          <w:szCs w:val="22"/>
        </w:rPr>
        <w:t>περιέχουν</w:t>
      </w:r>
      <w:r w:rsidRPr="00B7270C">
        <w:rPr>
          <w:szCs w:val="22"/>
        </w:rPr>
        <w:t xml:space="preserve"> </w:t>
      </w:r>
      <w:r>
        <w:rPr>
          <w:szCs w:val="22"/>
        </w:rPr>
        <w:t>κεφτριαξόνη</w:t>
      </w:r>
      <w:r w:rsidRPr="00B7270C">
        <w:rPr>
          <w:szCs w:val="22"/>
        </w:rPr>
        <w:t xml:space="preserve"> </w:t>
      </w:r>
      <w:r>
        <w:rPr>
          <w:szCs w:val="22"/>
        </w:rPr>
        <w:t>δεν</w:t>
      </w:r>
      <w:r w:rsidRPr="00B7270C">
        <w:rPr>
          <w:szCs w:val="22"/>
        </w:rPr>
        <w:t xml:space="preserve"> </w:t>
      </w:r>
      <w:r>
        <w:rPr>
          <w:szCs w:val="22"/>
        </w:rPr>
        <w:t>πρέπει</w:t>
      </w:r>
      <w:r w:rsidRPr="00B7270C">
        <w:rPr>
          <w:szCs w:val="22"/>
        </w:rPr>
        <w:t xml:space="preserve"> </w:t>
      </w:r>
      <w:r>
        <w:rPr>
          <w:szCs w:val="22"/>
        </w:rPr>
        <w:t>να</w:t>
      </w:r>
      <w:r w:rsidRPr="00B7270C">
        <w:rPr>
          <w:szCs w:val="22"/>
        </w:rPr>
        <w:t xml:space="preserve"> </w:t>
      </w:r>
      <w:r>
        <w:rPr>
          <w:szCs w:val="22"/>
        </w:rPr>
        <w:t>αναμιγνύονται</w:t>
      </w:r>
      <w:r w:rsidRPr="00B7270C">
        <w:rPr>
          <w:szCs w:val="22"/>
        </w:rPr>
        <w:t xml:space="preserve"> </w:t>
      </w:r>
      <w:r>
        <w:rPr>
          <w:szCs w:val="22"/>
        </w:rPr>
        <w:t>με</w:t>
      </w:r>
      <w:r w:rsidRPr="00B7270C">
        <w:rPr>
          <w:szCs w:val="22"/>
        </w:rPr>
        <w:t xml:space="preserve"> </w:t>
      </w:r>
      <w:r>
        <w:rPr>
          <w:szCs w:val="22"/>
        </w:rPr>
        <w:t>ή να προστίθενται σε άλλους παράγοντες. Συγκεκριμένα</w:t>
      </w:r>
      <w:r w:rsidRPr="00B7270C">
        <w:rPr>
          <w:szCs w:val="22"/>
        </w:rPr>
        <w:t xml:space="preserve">, </w:t>
      </w:r>
      <w:r w:rsidR="00CD0123">
        <w:rPr>
          <w:szCs w:val="22"/>
        </w:rPr>
        <w:t xml:space="preserve">δεν πρέπει να χρησιμοποιούνται </w:t>
      </w:r>
      <w:r>
        <w:rPr>
          <w:szCs w:val="22"/>
        </w:rPr>
        <w:t>διαλύτες</w:t>
      </w:r>
      <w:r w:rsidRPr="00B7270C">
        <w:rPr>
          <w:szCs w:val="22"/>
        </w:rPr>
        <w:t xml:space="preserve"> </w:t>
      </w:r>
      <w:r>
        <w:rPr>
          <w:szCs w:val="22"/>
        </w:rPr>
        <w:t>που</w:t>
      </w:r>
      <w:r w:rsidRPr="00B7270C">
        <w:rPr>
          <w:szCs w:val="22"/>
        </w:rPr>
        <w:t xml:space="preserve"> </w:t>
      </w:r>
      <w:r>
        <w:rPr>
          <w:szCs w:val="22"/>
        </w:rPr>
        <w:t>περιέχουν</w:t>
      </w:r>
      <w:r w:rsidRPr="00B7270C">
        <w:rPr>
          <w:szCs w:val="22"/>
        </w:rPr>
        <w:t xml:space="preserve"> </w:t>
      </w:r>
      <w:r>
        <w:rPr>
          <w:szCs w:val="22"/>
        </w:rPr>
        <w:t>ασβέστιο</w:t>
      </w:r>
      <w:r w:rsidRPr="00B7270C">
        <w:rPr>
          <w:szCs w:val="22"/>
        </w:rPr>
        <w:t xml:space="preserve"> (</w:t>
      </w:r>
      <w:r>
        <w:rPr>
          <w:szCs w:val="22"/>
        </w:rPr>
        <w:t>π</w:t>
      </w:r>
      <w:r w:rsidRPr="00B7270C">
        <w:rPr>
          <w:szCs w:val="22"/>
        </w:rPr>
        <w:t>.</w:t>
      </w:r>
      <w:r>
        <w:rPr>
          <w:szCs w:val="22"/>
        </w:rPr>
        <w:t>χ</w:t>
      </w:r>
      <w:r w:rsidRPr="00B7270C">
        <w:rPr>
          <w:szCs w:val="22"/>
        </w:rPr>
        <w:t xml:space="preserve">. </w:t>
      </w:r>
      <w:r>
        <w:rPr>
          <w:szCs w:val="22"/>
        </w:rPr>
        <w:t xml:space="preserve">διάλυμα </w:t>
      </w:r>
      <w:r w:rsidRPr="00B7270C">
        <w:rPr>
          <w:szCs w:val="22"/>
          <w:lang w:val="en-GB"/>
        </w:rPr>
        <w:t>Ringer</w:t>
      </w:r>
      <w:r w:rsidRPr="00B7270C">
        <w:rPr>
          <w:szCs w:val="22"/>
        </w:rPr>
        <w:t>’</w:t>
      </w:r>
      <w:r w:rsidRPr="00B7270C">
        <w:rPr>
          <w:szCs w:val="22"/>
          <w:lang w:val="en-GB"/>
        </w:rPr>
        <w:t>s</w:t>
      </w:r>
      <w:r w:rsidRPr="00B7270C">
        <w:rPr>
          <w:szCs w:val="22"/>
        </w:rPr>
        <w:t xml:space="preserve">, </w:t>
      </w:r>
      <w:r>
        <w:rPr>
          <w:szCs w:val="22"/>
        </w:rPr>
        <w:t xml:space="preserve">διάλυμα </w:t>
      </w:r>
      <w:r w:rsidRPr="00B7270C">
        <w:rPr>
          <w:szCs w:val="22"/>
          <w:lang w:val="en-GB"/>
        </w:rPr>
        <w:t>Hartmann</w:t>
      </w:r>
      <w:r w:rsidRPr="00B7270C">
        <w:rPr>
          <w:szCs w:val="22"/>
        </w:rPr>
        <w:t>’</w:t>
      </w:r>
      <w:r w:rsidRPr="00B7270C">
        <w:rPr>
          <w:szCs w:val="22"/>
          <w:lang w:val="en-GB"/>
        </w:rPr>
        <w:t>s</w:t>
      </w:r>
      <w:r w:rsidRPr="00B7270C">
        <w:rPr>
          <w:szCs w:val="22"/>
        </w:rPr>
        <w:t xml:space="preserve">) </w:t>
      </w:r>
      <w:r>
        <w:rPr>
          <w:szCs w:val="22"/>
        </w:rPr>
        <w:t xml:space="preserve">για την ανασύσταση των φιαλιδίων κεφτριαξόνης ή για την περαιτέρω αραίωση ενός ανασυσταμένου φιαλιδίου για ενδοφλέβια χορήγηση καθώς μπορεί να δημιουργηθεί ίζημα. </w:t>
      </w:r>
      <w:r w:rsidR="00222AC0">
        <w:rPr>
          <w:szCs w:val="22"/>
        </w:rPr>
        <w:t>Η</w:t>
      </w:r>
      <w:r w:rsidR="00222AC0" w:rsidRPr="00222AC0">
        <w:rPr>
          <w:szCs w:val="22"/>
        </w:rPr>
        <w:t xml:space="preserve"> </w:t>
      </w:r>
      <w:r w:rsidR="00222AC0">
        <w:rPr>
          <w:szCs w:val="22"/>
        </w:rPr>
        <w:t>κεφτριαξόνη</w:t>
      </w:r>
      <w:r w:rsidR="00222AC0" w:rsidRPr="00222AC0">
        <w:rPr>
          <w:szCs w:val="22"/>
        </w:rPr>
        <w:t xml:space="preserve"> </w:t>
      </w:r>
      <w:r w:rsidR="00222AC0">
        <w:rPr>
          <w:szCs w:val="22"/>
        </w:rPr>
        <w:t>δεν</w:t>
      </w:r>
      <w:r w:rsidR="00222AC0" w:rsidRPr="00222AC0">
        <w:rPr>
          <w:szCs w:val="22"/>
        </w:rPr>
        <w:t xml:space="preserve"> </w:t>
      </w:r>
      <w:r w:rsidR="00222AC0">
        <w:rPr>
          <w:szCs w:val="22"/>
        </w:rPr>
        <w:t>πρέπει</w:t>
      </w:r>
      <w:r w:rsidR="00222AC0" w:rsidRPr="00222AC0">
        <w:rPr>
          <w:szCs w:val="22"/>
        </w:rPr>
        <w:t xml:space="preserve"> </w:t>
      </w:r>
      <w:r w:rsidR="00222AC0">
        <w:rPr>
          <w:szCs w:val="22"/>
        </w:rPr>
        <w:t>να</w:t>
      </w:r>
      <w:r w:rsidR="00222AC0" w:rsidRPr="00222AC0">
        <w:rPr>
          <w:szCs w:val="22"/>
        </w:rPr>
        <w:t xml:space="preserve"> </w:t>
      </w:r>
      <w:r w:rsidR="00222AC0">
        <w:rPr>
          <w:szCs w:val="22"/>
        </w:rPr>
        <w:t>αναμιχθεί</w:t>
      </w:r>
      <w:r w:rsidR="00222AC0" w:rsidRPr="00222AC0">
        <w:rPr>
          <w:szCs w:val="22"/>
        </w:rPr>
        <w:t xml:space="preserve"> </w:t>
      </w:r>
      <w:r w:rsidR="00222AC0">
        <w:rPr>
          <w:szCs w:val="22"/>
        </w:rPr>
        <w:t>ή</w:t>
      </w:r>
      <w:r w:rsidR="00222AC0" w:rsidRPr="00222AC0">
        <w:rPr>
          <w:szCs w:val="22"/>
        </w:rPr>
        <w:t xml:space="preserve"> </w:t>
      </w:r>
      <w:r w:rsidR="00222AC0">
        <w:rPr>
          <w:szCs w:val="22"/>
        </w:rPr>
        <w:t>να</w:t>
      </w:r>
      <w:r w:rsidR="00222AC0" w:rsidRPr="00222AC0">
        <w:rPr>
          <w:szCs w:val="22"/>
        </w:rPr>
        <w:t xml:space="preserve"> </w:t>
      </w:r>
      <w:r w:rsidR="00222AC0">
        <w:rPr>
          <w:szCs w:val="22"/>
        </w:rPr>
        <w:t>χορηγηθεί</w:t>
      </w:r>
      <w:r w:rsidR="00222AC0" w:rsidRPr="00222AC0">
        <w:rPr>
          <w:szCs w:val="22"/>
        </w:rPr>
        <w:t xml:space="preserve"> </w:t>
      </w:r>
      <w:r w:rsidR="00222AC0">
        <w:rPr>
          <w:szCs w:val="22"/>
        </w:rPr>
        <w:t xml:space="preserve">ταυτόχρονα με διαλύματα που περιέχουν ασβέστιο (βλ. </w:t>
      </w:r>
      <w:r w:rsidR="00CD0123">
        <w:rPr>
          <w:szCs w:val="22"/>
        </w:rPr>
        <w:t>παράγραφο</w:t>
      </w:r>
      <w:r w:rsidR="00222AC0" w:rsidRPr="00CD0123">
        <w:rPr>
          <w:szCs w:val="22"/>
        </w:rPr>
        <w:t xml:space="preserve"> 4.2, 4.3, 4.4 </w:t>
      </w:r>
      <w:r w:rsidR="00222AC0">
        <w:rPr>
          <w:szCs w:val="22"/>
        </w:rPr>
        <w:t>και</w:t>
      </w:r>
      <w:r w:rsidR="00222AC0" w:rsidRPr="00CD0123">
        <w:rPr>
          <w:szCs w:val="22"/>
        </w:rPr>
        <w:t xml:space="preserve"> 4.8).</w:t>
      </w:r>
    </w:p>
    <w:p w:rsidR="00B7270C" w:rsidRPr="00B7270C" w:rsidRDefault="00B7270C" w:rsidP="005B63B5">
      <w:pPr>
        <w:jc w:val="both"/>
        <w:rPr>
          <w:noProof/>
          <w:szCs w:val="22"/>
        </w:rPr>
      </w:pPr>
    </w:p>
    <w:p w:rsidR="004D1F5B" w:rsidRPr="004D1F5B" w:rsidRDefault="00FC52C8" w:rsidP="005B63B5">
      <w:pPr>
        <w:spacing w:line="260" w:lineRule="auto"/>
        <w:jc w:val="both"/>
      </w:pPr>
      <w:r>
        <w:t>Το ανασυσταθέν διάλυμα δεν πρέπει να αναμιγνύεται και δεν πρέπει να συγχορηγείται με τα παρακάτω φαρμακευτικά προιόντα λόγω ασυμβατότητας</w:t>
      </w:r>
    </w:p>
    <w:p w:rsidR="004D1F5B" w:rsidRPr="004D1F5B" w:rsidRDefault="004D1F5B" w:rsidP="005B63B5">
      <w:pPr>
        <w:widowControl/>
        <w:numPr>
          <w:ilvl w:val="0"/>
          <w:numId w:val="4"/>
        </w:numPr>
        <w:jc w:val="both"/>
      </w:pPr>
      <w:r>
        <w:t>Αμινογλυκοσίδες</w:t>
      </w:r>
      <w:r w:rsidRPr="00FC52C8">
        <w:t xml:space="preserve">. </w:t>
      </w:r>
      <w:r>
        <w:t>Λόγω</w:t>
      </w:r>
      <w:r w:rsidRPr="004D1F5B">
        <w:t xml:space="preserve"> </w:t>
      </w:r>
      <w:r>
        <w:t>φυσικοχημικής</w:t>
      </w:r>
      <w:r w:rsidRPr="004D1F5B">
        <w:t xml:space="preserve"> </w:t>
      </w:r>
      <w:r>
        <w:t>ασυμβατότητας</w:t>
      </w:r>
      <w:r w:rsidRPr="004D1F5B">
        <w:t xml:space="preserve"> </w:t>
      </w:r>
      <w:r>
        <w:t>με</w:t>
      </w:r>
      <w:r w:rsidRPr="004D1F5B">
        <w:t xml:space="preserve"> </w:t>
      </w:r>
      <w:r>
        <w:t>όλες</w:t>
      </w:r>
      <w:r w:rsidRPr="004D1F5B">
        <w:t xml:space="preserve"> </w:t>
      </w:r>
      <w:r>
        <w:t>τις</w:t>
      </w:r>
      <w:r w:rsidRPr="004D1F5B">
        <w:t xml:space="preserve"> </w:t>
      </w:r>
      <w:r>
        <w:t>αμινογλυκοσίδες</w:t>
      </w:r>
      <w:r w:rsidRPr="004D1F5B">
        <w:t xml:space="preserve">, </w:t>
      </w:r>
      <w:r>
        <w:t>η</w:t>
      </w:r>
      <w:r w:rsidRPr="004D1F5B">
        <w:t xml:space="preserve"> </w:t>
      </w:r>
      <w:r>
        <w:t>κεφτριαξόνη</w:t>
      </w:r>
      <w:r w:rsidRPr="004D1F5B">
        <w:t xml:space="preserve"> </w:t>
      </w:r>
      <w:r>
        <w:t>δεν</w:t>
      </w:r>
      <w:r w:rsidRPr="004D1F5B">
        <w:t xml:space="preserve"> </w:t>
      </w:r>
      <w:r>
        <w:t>πρέπει</w:t>
      </w:r>
      <w:r w:rsidRPr="004D1F5B">
        <w:t xml:space="preserve"> </w:t>
      </w:r>
      <w:r>
        <w:t>να</w:t>
      </w:r>
      <w:r w:rsidRPr="004D1F5B">
        <w:t xml:space="preserve"> </w:t>
      </w:r>
      <w:r>
        <w:t>χορηγείται</w:t>
      </w:r>
      <w:r w:rsidRPr="004D1F5B">
        <w:t xml:space="preserve"> </w:t>
      </w:r>
      <w:r>
        <w:t>σε</w:t>
      </w:r>
      <w:r w:rsidRPr="004D1F5B">
        <w:t xml:space="preserve"> </w:t>
      </w:r>
      <w:r>
        <w:t>μία</w:t>
      </w:r>
      <w:r w:rsidRPr="004D1F5B">
        <w:t xml:space="preserve"> </w:t>
      </w:r>
      <w:r>
        <w:t>σύριγγα</w:t>
      </w:r>
      <w:r w:rsidRPr="004D1F5B">
        <w:t xml:space="preserve"> </w:t>
      </w:r>
      <w:r>
        <w:t>ή</w:t>
      </w:r>
      <w:r w:rsidRPr="004D1F5B">
        <w:t xml:space="preserve"> </w:t>
      </w:r>
      <w:r>
        <w:t>διάλυμα</w:t>
      </w:r>
      <w:r w:rsidRPr="004D1F5B">
        <w:t xml:space="preserve"> </w:t>
      </w:r>
      <w:r>
        <w:t>για</w:t>
      </w:r>
      <w:r w:rsidRPr="004D1F5B">
        <w:t xml:space="preserve"> </w:t>
      </w:r>
      <w:r>
        <w:t>έγχυση</w:t>
      </w:r>
      <w:r w:rsidRPr="004D1F5B">
        <w:t xml:space="preserve"> </w:t>
      </w:r>
      <w:r>
        <w:t>μαζί</w:t>
      </w:r>
      <w:r w:rsidRPr="004D1F5B">
        <w:t xml:space="preserve"> </w:t>
      </w:r>
      <w:r>
        <w:t>με</w:t>
      </w:r>
      <w:r w:rsidRPr="004D1F5B">
        <w:t xml:space="preserve"> </w:t>
      </w:r>
      <w:r>
        <w:t>αμινογλυκοσίδες. Τα</w:t>
      </w:r>
      <w:r w:rsidRPr="004D1F5B">
        <w:t xml:space="preserve"> </w:t>
      </w:r>
      <w:r>
        <w:t>δύο</w:t>
      </w:r>
      <w:r w:rsidRPr="004D1F5B">
        <w:t xml:space="preserve"> </w:t>
      </w:r>
      <w:r>
        <w:t>αντιβιοτικά</w:t>
      </w:r>
      <w:r w:rsidRPr="004D1F5B">
        <w:t xml:space="preserve"> </w:t>
      </w:r>
      <w:r>
        <w:t>πρέπει</w:t>
      </w:r>
      <w:r w:rsidRPr="004D1F5B">
        <w:t xml:space="preserve"> </w:t>
      </w:r>
      <w:r>
        <w:t>να</w:t>
      </w:r>
      <w:r w:rsidRPr="004D1F5B">
        <w:t xml:space="preserve"> </w:t>
      </w:r>
      <w:r>
        <w:t>ενεθούν</w:t>
      </w:r>
      <w:r w:rsidRPr="004D1F5B">
        <w:t xml:space="preserve"> </w:t>
      </w:r>
      <w:r>
        <w:t>σε</w:t>
      </w:r>
      <w:r w:rsidRPr="004D1F5B">
        <w:t xml:space="preserve"> </w:t>
      </w:r>
      <w:r>
        <w:t>διαφορετικά</w:t>
      </w:r>
      <w:r w:rsidRPr="004D1F5B">
        <w:t xml:space="preserve"> </w:t>
      </w:r>
      <w:r>
        <w:t>σημεία χρησιμοποιώντας ξεχωριστές συσκευές χορήγησης</w:t>
      </w:r>
      <w:r w:rsidRPr="004D1F5B">
        <w:t>.</w:t>
      </w:r>
    </w:p>
    <w:p w:rsidR="004D1F5B" w:rsidRPr="004D1F5B" w:rsidRDefault="004D1F5B" w:rsidP="005B63B5">
      <w:pPr>
        <w:widowControl/>
        <w:numPr>
          <w:ilvl w:val="0"/>
          <w:numId w:val="4"/>
        </w:numPr>
        <w:jc w:val="both"/>
      </w:pPr>
      <w:r>
        <w:t>Διαλύματα</w:t>
      </w:r>
      <w:r w:rsidRPr="004D1F5B">
        <w:t xml:space="preserve"> </w:t>
      </w:r>
      <w:r>
        <w:t>που</w:t>
      </w:r>
      <w:r w:rsidRPr="004D1F5B">
        <w:t xml:space="preserve"> </w:t>
      </w:r>
      <w:r>
        <w:t>περιέχουν</w:t>
      </w:r>
      <w:r w:rsidRPr="004D1F5B">
        <w:t xml:space="preserve"> </w:t>
      </w:r>
      <w:r>
        <w:t>άλλους</w:t>
      </w:r>
      <w:r w:rsidRPr="004D1F5B">
        <w:t xml:space="preserve"> </w:t>
      </w:r>
      <w:r>
        <w:t>αντιμικροβιακούς</w:t>
      </w:r>
      <w:r w:rsidRPr="004D1F5B">
        <w:t xml:space="preserve"> </w:t>
      </w:r>
      <w:r>
        <w:t>παράγοντες. Αν</w:t>
      </w:r>
      <w:r w:rsidRPr="004D1F5B">
        <w:t xml:space="preserve"> </w:t>
      </w:r>
      <w:r>
        <w:t>χρησιμοποιηθούν</w:t>
      </w:r>
      <w:r w:rsidRPr="004D1F5B">
        <w:t xml:space="preserve"> </w:t>
      </w:r>
      <w:r>
        <w:t>ταυτόχρονα</w:t>
      </w:r>
      <w:r w:rsidRPr="004D1F5B">
        <w:t xml:space="preserve">, </w:t>
      </w:r>
      <w:r>
        <w:t>αυτά</w:t>
      </w:r>
      <w:r w:rsidRPr="004D1F5B">
        <w:t xml:space="preserve"> </w:t>
      </w:r>
      <w:r>
        <w:t>τα</w:t>
      </w:r>
      <w:r w:rsidRPr="004D1F5B">
        <w:t xml:space="preserve"> </w:t>
      </w:r>
      <w:r>
        <w:t>προϊόντα</w:t>
      </w:r>
      <w:r w:rsidRPr="004D1F5B">
        <w:t xml:space="preserve"> </w:t>
      </w:r>
      <w:r>
        <w:t>πρέπει ν</w:t>
      </w:r>
      <w:r w:rsidR="006718E7">
        <w:t>α</w:t>
      </w:r>
      <w:r>
        <w:t xml:space="preserve"> χορηγηθούν ξεχωριστά. Υπάρχουν</w:t>
      </w:r>
      <w:r w:rsidRPr="004D1F5B">
        <w:t xml:space="preserve"> </w:t>
      </w:r>
      <w:r>
        <w:t>αναφορές</w:t>
      </w:r>
      <w:r w:rsidRPr="004D1F5B">
        <w:t xml:space="preserve"> </w:t>
      </w:r>
      <w:r>
        <w:t>ασυμβατότητας</w:t>
      </w:r>
      <w:r w:rsidRPr="004D1F5B">
        <w:t xml:space="preserve"> </w:t>
      </w:r>
      <w:r>
        <w:t>της</w:t>
      </w:r>
      <w:r w:rsidRPr="004D1F5B">
        <w:t xml:space="preserve"> </w:t>
      </w:r>
      <w:r>
        <w:t>κεφτριαξόνης</w:t>
      </w:r>
      <w:r w:rsidRPr="004D1F5B">
        <w:t xml:space="preserve"> </w:t>
      </w:r>
      <w:r>
        <w:t>με</w:t>
      </w:r>
      <w:r w:rsidRPr="004D1F5B">
        <w:t xml:space="preserve"> </w:t>
      </w:r>
      <w:r>
        <w:t>την</w:t>
      </w:r>
      <w:r w:rsidRPr="004D1F5B">
        <w:t xml:space="preserve"> </w:t>
      </w:r>
      <w:r>
        <w:t>αμσακρίνη</w:t>
      </w:r>
      <w:r w:rsidRPr="004D1F5B">
        <w:t xml:space="preserve">, </w:t>
      </w:r>
      <w:r>
        <w:t>βανκομυκίνη</w:t>
      </w:r>
      <w:r w:rsidRPr="004D1F5B">
        <w:t xml:space="preserve"> </w:t>
      </w:r>
      <w:r>
        <w:t>και</w:t>
      </w:r>
      <w:r w:rsidRPr="004D1F5B">
        <w:t xml:space="preserve"> </w:t>
      </w:r>
      <w:r>
        <w:t>φλουκοναζόλη</w:t>
      </w:r>
      <w:r w:rsidRPr="004D1F5B">
        <w:t>.</w:t>
      </w:r>
    </w:p>
    <w:p w:rsidR="00AF0E2A" w:rsidRPr="004D1F5B" w:rsidRDefault="00AF0E2A" w:rsidP="005B63B5">
      <w:pPr>
        <w:jc w:val="both"/>
        <w:rPr>
          <w:noProof/>
        </w:rPr>
      </w:pPr>
    </w:p>
    <w:p w:rsidR="00AF0E2A" w:rsidRDefault="00AF0E2A" w:rsidP="006718E7">
      <w:pPr>
        <w:rPr>
          <w:noProof/>
        </w:rPr>
      </w:pPr>
      <w:r>
        <w:rPr>
          <w:b/>
          <w:noProof/>
        </w:rPr>
        <w:t>6.3</w:t>
      </w:r>
      <w:r>
        <w:rPr>
          <w:b/>
          <w:noProof/>
        </w:rPr>
        <w:tab/>
        <w:t>Διάρκεια ζωής</w:t>
      </w:r>
    </w:p>
    <w:p w:rsidR="00AF0E2A" w:rsidRDefault="00AF0E2A" w:rsidP="005B63B5">
      <w:pPr>
        <w:jc w:val="both"/>
        <w:rPr>
          <w:noProof/>
        </w:rPr>
      </w:pPr>
    </w:p>
    <w:p w:rsidR="00AF0E2A" w:rsidRDefault="00303BAB" w:rsidP="005B63B5">
      <w:pPr>
        <w:jc w:val="both"/>
        <w:rPr>
          <w:noProof/>
        </w:rPr>
      </w:pPr>
      <w:r>
        <w:rPr>
          <w:noProof/>
        </w:rPr>
        <w:t>3 χρόνια</w:t>
      </w:r>
    </w:p>
    <w:p w:rsidR="00303BAB" w:rsidRDefault="00303BAB" w:rsidP="005B63B5">
      <w:pPr>
        <w:jc w:val="both"/>
        <w:rPr>
          <w:noProof/>
        </w:rPr>
      </w:pPr>
    </w:p>
    <w:p w:rsidR="00303BAB" w:rsidRDefault="00303BAB" w:rsidP="005B63B5">
      <w:pPr>
        <w:jc w:val="both"/>
        <w:rPr>
          <w:noProof/>
        </w:rPr>
      </w:pPr>
      <w:r>
        <w:rPr>
          <w:noProof/>
        </w:rPr>
        <w:t>Ανασυσταθέν διάλυμα:</w:t>
      </w:r>
    </w:p>
    <w:p w:rsidR="00303BAB" w:rsidRDefault="00303BAB" w:rsidP="005B63B5">
      <w:pPr>
        <w:jc w:val="both"/>
        <w:rPr>
          <w:szCs w:val="22"/>
        </w:rPr>
      </w:pPr>
      <w:r>
        <w:rPr>
          <w:noProof/>
        </w:rPr>
        <w:t>Η χημική και φυσική σταθερότητα έχει αποδειχθεί για 12 ώρες στους 25</w:t>
      </w:r>
      <w:r>
        <w:rPr>
          <w:rFonts w:ascii="Tahoma" w:hAnsi="Tahoma" w:cs="Tahoma"/>
          <w:noProof/>
        </w:rPr>
        <w:t>°</w:t>
      </w:r>
      <w:r>
        <w:rPr>
          <w:noProof/>
        </w:rPr>
        <w:t>C και για 2 ημέρες στους 2</w:t>
      </w:r>
      <w:r w:rsidRPr="00303BAB">
        <w:rPr>
          <w:szCs w:val="22"/>
        </w:rPr>
        <w:t>°</w:t>
      </w:r>
      <w:r>
        <w:rPr>
          <w:szCs w:val="22"/>
          <w:lang w:val="en-GB"/>
        </w:rPr>
        <w:t>C</w:t>
      </w:r>
      <w:r w:rsidRPr="00303BAB">
        <w:rPr>
          <w:szCs w:val="22"/>
        </w:rPr>
        <w:t xml:space="preserve"> </w:t>
      </w:r>
      <w:r>
        <w:rPr>
          <w:szCs w:val="22"/>
        </w:rPr>
        <w:t>με</w:t>
      </w:r>
      <w:r w:rsidRPr="00303BAB">
        <w:rPr>
          <w:szCs w:val="22"/>
        </w:rPr>
        <w:t xml:space="preserve"> 8 °</w:t>
      </w:r>
      <w:r>
        <w:rPr>
          <w:szCs w:val="22"/>
          <w:lang w:val="en-GB"/>
        </w:rPr>
        <w:t>C</w:t>
      </w:r>
      <w:r w:rsidRPr="00303BAB">
        <w:rPr>
          <w:szCs w:val="22"/>
        </w:rPr>
        <w:t>.</w:t>
      </w:r>
      <w:r>
        <w:rPr>
          <w:szCs w:val="22"/>
        </w:rPr>
        <w:t xml:space="preserve"> Από μικροβιολογικής άποψης το προϊόν πρέπει να χρησιμοποιείται αμέσως. Αν δεν χρησιμοποιηθεί αμέσως τα κατά την χρήση χρονικά διαστήματα και οι συνθήκες είναι ευθύνη του χρήστη και συνήθως δεν είναι περισσότερο από 24 ώρες στους </w:t>
      </w:r>
      <w:r>
        <w:rPr>
          <w:noProof/>
        </w:rPr>
        <w:t>2</w:t>
      </w:r>
      <w:r w:rsidRPr="00303BAB">
        <w:rPr>
          <w:szCs w:val="22"/>
        </w:rPr>
        <w:t>°</w:t>
      </w:r>
      <w:r>
        <w:rPr>
          <w:szCs w:val="22"/>
          <w:lang w:val="en-GB"/>
        </w:rPr>
        <w:t>C</w:t>
      </w:r>
      <w:r w:rsidRPr="00303BAB">
        <w:rPr>
          <w:szCs w:val="22"/>
        </w:rPr>
        <w:t xml:space="preserve"> </w:t>
      </w:r>
      <w:r>
        <w:rPr>
          <w:szCs w:val="22"/>
        </w:rPr>
        <w:t>με</w:t>
      </w:r>
      <w:r w:rsidRPr="00303BAB">
        <w:rPr>
          <w:szCs w:val="22"/>
        </w:rPr>
        <w:t xml:space="preserve"> 8 °</w:t>
      </w:r>
      <w:r>
        <w:rPr>
          <w:szCs w:val="22"/>
          <w:lang w:val="en-GB"/>
        </w:rPr>
        <w:t>C</w:t>
      </w:r>
      <w:r>
        <w:rPr>
          <w:szCs w:val="22"/>
        </w:rPr>
        <w:t>, εκτός αν η ανασύσταση έχει πραγματοποιηθεί υπό ελεγχόμενες και εγκεκριμένες άσηπτες συνθήκες.</w:t>
      </w:r>
    </w:p>
    <w:p w:rsidR="00303BAB" w:rsidRPr="00303BAB" w:rsidRDefault="00303BAB" w:rsidP="00303BAB">
      <w:pPr>
        <w:rPr>
          <w:noProof/>
        </w:rPr>
      </w:pPr>
    </w:p>
    <w:p w:rsidR="00AF0E2A" w:rsidRDefault="00AF0E2A" w:rsidP="006718E7">
      <w:pPr>
        <w:rPr>
          <w:noProof/>
        </w:rPr>
      </w:pPr>
      <w:r>
        <w:rPr>
          <w:b/>
          <w:noProof/>
        </w:rPr>
        <w:t>6.4</w:t>
      </w:r>
      <w:r>
        <w:rPr>
          <w:b/>
          <w:noProof/>
        </w:rPr>
        <w:tab/>
        <w:t>Ιδιαίτερες προφυλάξεις κατά την φύλαξη του προϊόντος</w:t>
      </w:r>
    </w:p>
    <w:p w:rsidR="006718E7" w:rsidRDefault="006718E7" w:rsidP="006718E7">
      <w:pPr>
        <w:jc w:val="both"/>
        <w:rPr>
          <w:noProof/>
        </w:rPr>
      </w:pPr>
    </w:p>
    <w:p w:rsidR="004D1F5B" w:rsidRDefault="004D1F5B" w:rsidP="005B63B5">
      <w:pPr>
        <w:jc w:val="both"/>
      </w:pPr>
      <w:r>
        <w:rPr>
          <w:noProof/>
        </w:rPr>
        <w:lastRenderedPageBreak/>
        <w:t>Φυλάσσετε τον φιαλίδιο στο εξωτερικό κουτί</w:t>
      </w:r>
      <w:r w:rsidRPr="004D1F5B">
        <w:rPr>
          <w:noProof/>
        </w:rPr>
        <w:t xml:space="preserve"> </w:t>
      </w:r>
      <w:r>
        <w:rPr>
          <w:noProof/>
        </w:rPr>
        <w:t>για να προστατεύεται από το φως.</w:t>
      </w:r>
      <w:r w:rsidR="00303BAB">
        <w:rPr>
          <w:noProof/>
        </w:rPr>
        <w:t xml:space="preserve"> Για τις συνθήκες φύλαξης του ανασυσταμένου προϊόντος, δείτε το λήμ</w:t>
      </w:r>
      <w:r w:rsidR="00E94CF3">
        <w:rPr>
          <w:noProof/>
        </w:rPr>
        <w:t>μ</w:t>
      </w:r>
      <w:r w:rsidR="00303BAB">
        <w:rPr>
          <w:noProof/>
        </w:rPr>
        <w:t xml:space="preserve">α 6.3. </w:t>
      </w:r>
    </w:p>
    <w:p w:rsidR="00AF0E2A" w:rsidRDefault="00AF0E2A" w:rsidP="005B63B5">
      <w:pPr>
        <w:jc w:val="both"/>
        <w:rPr>
          <w:noProof/>
        </w:rPr>
      </w:pPr>
    </w:p>
    <w:p w:rsidR="00AF0E2A" w:rsidRDefault="00AF0E2A" w:rsidP="005B63B5">
      <w:pPr>
        <w:jc w:val="both"/>
        <w:rPr>
          <w:noProof/>
        </w:rPr>
      </w:pPr>
      <w:r>
        <w:rPr>
          <w:b/>
          <w:noProof/>
        </w:rPr>
        <w:t>6.5</w:t>
      </w:r>
      <w:r>
        <w:rPr>
          <w:b/>
          <w:noProof/>
        </w:rPr>
        <w:tab/>
        <w:t>Φύση και συστατικά του περιέκτη</w:t>
      </w:r>
    </w:p>
    <w:p w:rsidR="00AF0E2A" w:rsidRDefault="00AF0E2A" w:rsidP="005B63B5">
      <w:pPr>
        <w:jc w:val="both"/>
        <w:rPr>
          <w:noProof/>
        </w:rPr>
      </w:pPr>
    </w:p>
    <w:p w:rsidR="00262D48" w:rsidRPr="00262D48" w:rsidRDefault="00303BAB" w:rsidP="005B63B5">
      <w:pPr>
        <w:jc w:val="both"/>
        <w:rPr>
          <w:szCs w:val="22"/>
        </w:rPr>
      </w:pPr>
      <w:r>
        <w:rPr>
          <w:szCs w:val="22"/>
        </w:rPr>
        <w:t>Γυάλινο</w:t>
      </w:r>
      <w:r w:rsidRPr="00262D48">
        <w:rPr>
          <w:szCs w:val="22"/>
        </w:rPr>
        <w:t xml:space="preserve"> </w:t>
      </w:r>
      <w:r>
        <w:rPr>
          <w:szCs w:val="22"/>
        </w:rPr>
        <w:t>φιαλίδιο των</w:t>
      </w:r>
      <w:r w:rsidRPr="00262D48">
        <w:rPr>
          <w:szCs w:val="22"/>
        </w:rPr>
        <w:t xml:space="preserve"> </w:t>
      </w:r>
      <w:r w:rsidR="00FC52C8">
        <w:rPr>
          <w:szCs w:val="22"/>
        </w:rPr>
        <w:t>50</w:t>
      </w:r>
      <w:r w:rsidR="00FC52C8" w:rsidRPr="001C039E">
        <w:rPr>
          <w:szCs w:val="22"/>
          <w:lang w:val="en-GB"/>
        </w:rPr>
        <w:t>ml</w:t>
      </w:r>
      <w:r w:rsidR="00FC52C8" w:rsidRPr="00262D48">
        <w:rPr>
          <w:szCs w:val="22"/>
        </w:rPr>
        <w:t xml:space="preserve"> </w:t>
      </w:r>
      <w:r w:rsidR="00262D48">
        <w:rPr>
          <w:szCs w:val="22"/>
        </w:rPr>
        <w:t xml:space="preserve">υδρολυτικής κατηγορίας </w:t>
      </w:r>
      <w:r w:rsidR="00262D48" w:rsidRPr="00262D48">
        <w:rPr>
          <w:szCs w:val="22"/>
        </w:rPr>
        <w:t xml:space="preserve">2 </w:t>
      </w:r>
      <w:r w:rsidR="00262D48">
        <w:rPr>
          <w:szCs w:val="22"/>
        </w:rPr>
        <w:t>ή</w:t>
      </w:r>
      <w:r w:rsidR="00262D48" w:rsidRPr="00262D48">
        <w:rPr>
          <w:szCs w:val="22"/>
        </w:rPr>
        <w:t xml:space="preserve"> 3 (</w:t>
      </w:r>
      <w:r w:rsidR="00262D48" w:rsidRPr="001C039E">
        <w:rPr>
          <w:szCs w:val="22"/>
          <w:lang w:val="en-GB"/>
        </w:rPr>
        <w:t>Ph</w:t>
      </w:r>
      <w:r w:rsidR="00262D48" w:rsidRPr="00262D48">
        <w:rPr>
          <w:szCs w:val="22"/>
        </w:rPr>
        <w:t xml:space="preserve">. </w:t>
      </w:r>
      <w:proofErr w:type="gramStart"/>
      <w:r w:rsidR="00262D48" w:rsidRPr="001C039E">
        <w:rPr>
          <w:szCs w:val="22"/>
          <w:lang w:val="en-GB"/>
        </w:rPr>
        <w:t>Eur</w:t>
      </w:r>
      <w:r w:rsidR="00262D48" w:rsidRPr="00262D48">
        <w:rPr>
          <w:szCs w:val="22"/>
        </w:rPr>
        <w:t xml:space="preserve">.), </w:t>
      </w:r>
      <w:r w:rsidR="00262D48">
        <w:rPr>
          <w:szCs w:val="22"/>
        </w:rPr>
        <w:t>πώμα από πλαστικό βουτυλίου με επίπωμα αλουμινίου</w:t>
      </w:r>
      <w:r w:rsidR="00262D48" w:rsidRPr="00262D48">
        <w:rPr>
          <w:szCs w:val="22"/>
        </w:rPr>
        <w:t>.</w:t>
      </w:r>
      <w:proofErr w:type="gramEnd"/>
    </w:p>
    <w:p w:rsidR="006D36EE" w:rsidRDefault="00303BAB" w:rsidP="006718E7">
      <w:pPr>
        <w:jc w:val="both"/>
      </w:pPr>
      <w:r>
        <w:t>μεγέθη συσκευασίας:</w:t>
      </w:r>
      <w:r w:rsidRPr="00CD0123">
        <w:t xml:space="preserve"> </w:t>
      </w:r>
      <w:r w:rsidR="006D36EE" w:rsidRPr="00CD0123">
        <w:t xml:space="preserve">5, </w:t>
      </w:r>
      <w:r w:rsidR="00FC52C8">
        <w:t>7,</w:t>
      </w:r>
      <w:r w:rsidR="006D36EE" w:rsidRPr="00CD0123">
        <w:t xml:space="preserve">10 </w:t>
      </w:r>
      <w:r w:rsidR="006D36EE">
        <w:t>φιαλίδια</w:t>
      </w:r>
    </w:p>
    <w:p w:rsidR="009C4606" w:rsidRDefault="009C4606" w:rsidP="006718E7">
      <w:pPr>
        <w:jc w:val="both"/>
      </w:pPr>
    </w:p>
    <w:p w:rsidR="009C4606" w:rsidRPr="009C4606" w:rsidRDefault="009C4606" w:rsidP="006718E7">
      <w:pPr>
        <w:jc w:val="both"/>
        <w:rPr>
          <w:b/>
        </w:rPr>
      </w:pPr>
      <w:r w:rsidRPr="009C4606">
        <w:rPr>
          <w:b/>
        </w:rPr>
        <w:t>ΣΥΣΚΕΥΑΣΙΕΣ</w:t>
      </w:r>
    </w:p>
    <w:p w:rsidR="009C4606" w:rsidRDefault="009C4606" w:rsidP="006718E7">
      <w:pPr>
        <w:jc w:val="both"/>
      </w:pPr>
    </w:p>
    <w:p w:rsidR="009C4606" w:rsidRPr="009C4606" w:rsidRDefault="009C4606" w:rsidP="006718E7">
      <w:pPr>
        <w:jc w:val="both"/>
        <w:rPr>
          <w:b/>
        </w:rPr>
      </w:pPr>
      <w:r w:rsidRPr="009C4606">
        <w:rPr>
          <w:b/>
        </w:rPr>
        <w:t>1. Συσκευασίες που εγκρίθηκαν με την αμοιβαία/αποκεντρωμένη διαδικασία:</w:t>
      </w:r>
    </w:p>
    <w:p w:rsidR="009C4606" w:rsidRPr="00262D48" w:rsidRDefault="009C4606" w:rsidP="009C4606">
      <w:pPr>
        <w:jc w:val="both"/>
        <w:rPr>
          <w:szCs w:val="22"/>
        </w:rPr>
      </w:pPr>
      <w:r>
        <w:rPr>
          <w:szCs w:val="22"/>
        </w:rPr>
        <w:t>Γυάλινο</w:t>
      </w:r>
      <w:r w:rsidRPr="00262D48">
        <w:rPr>
          <w:szCs w:val="22"/>
        </w:rPr>
        <w:t xml:space="preserve"> </w:t>
      </w:r>
      <w:r>
        <w:rPr>
          <w:szCs w:val="22"/>
        </w:rPr>
        <w:t>φιαλίδιο των</w:t>
      </w:r>
      <w:r w:rsidRPr="00262D48">
        <w:rPr>
          <w:szCs w:val="22"/>
        </w:rPr>
        <w:t xml:space="preserve"> </w:t>
      </w:r>
      <w:r w:rsidR="00FC52C8">
        <w:rPr>
          <w:szCs w:val="22"/>
        </w:rPr>
        <w:t>50</w:t>
      </w:r>
      <w:r w:rsidR="00FC52C8" w:rsidRPr="001C039E">
        <w:rPr>
          <w:szCs w:val="22"/>
          <w:lang w:val="en-GB"/>
        </w:rPr>
        <w:t>ml</w:t>
      </w:r>
      <w:r w:rsidR="00FC52C8" w:rsidRPr="00262D48">
        <w:rPr>
          <w:szCs w:val="22"/>
        </w:rPr>
        <w:t xml:space="preserve"> </w:t>
      </w:r>
      <w:r>
        <w:rPr>
          <w:szCs w:val="22"/>
        </w:rPr>
        <w:t xml:space="preserve">υδρολυτικής κατηγορίας </w:t>
      </w:r>
      <w:r w:rsidRPr="00262D48">
        <w:rPr>
          <w:szCs w:val="22"/>
        </w:rPr>
        <w:t xml:space="preserve">2 </w:t>
      </w:r>
      <w:r>
        <w:rPr>
          <w:szCs w:val="22"/>
        </w:rPr>
        <w:t>ή</w:t>
      </w:r>
      <w:r w:rsidRPr="00262D48">
        <w:rPr>
          <w:szCs w:val="22"/>
        </w:rPr>
        <w:t xml:space="preserve"> 3 (</w:t>
      </w:r>
      <w:r w:rsidRPr="001C039E">
        <w:rPr>
          <w:szCs w:val="22"/>
          <w:lang w:val="en-GB"/>
        </w:rPr>
        <w:t>Ph</w:t>
      </w:r>
      <w:r w:rsidRPr="00262D48">
        <w:rPr>
          <w:szCs w:val="22"/>
        </w:rPr>
        <w:t xml:space="preserve">. </w:t>
      </w:r>
      <w:proofErr w:type="gramStart"/>
      <w:r w:rsidRPr="001C039E">
        <w:rPr>
          <w:szCs w:val="22"/>
          <w:lang w:val="en-GB"/>
        </w:rPr>
        <w:t>Eur</w:t>
      </w:r>
      <w:r w:rsidRPr="00262D48">
        <w:rPr>
          <w:szCs w:val="22"/>
        </w:rPr>
        <w:t xml:space="preserve">.), </w:t>
      </w:r>
      <w:r>
        <w:rPr>
          <w:szCs w:val="22"/>
        </w:rPr>
        <w:t>πώμα από πλαστικό βουτυλίου με επίπωμα αλουμινίου</w:t>
      </w:r>
      <w:r w:rsidRPr="00262D48">
        <w:rPr>
          <w:szCs w:val="22"/>
        </w:rPr>
        <w:t>.</w:t>
      </w:r>
      <w:proofErr w:type="gramEnd"/>
    </w:p>
    <w:p w:rsidR="009C4606" w:rsidRDefault="009C4606" w:rsidP="009C4606">
      <w:pPr>
        <w:jc w:val="both"/>
      </w:pPr>
      <w:r>
        <w:t>μεγέθη συσκευασίας:</w:t>
      </w:r>
      <w:r w:rsidRPr="00CD0123">
        <w:t xml:space="preserve"> 5, 10 </w:t>
      </w:r>
      <w:r>
        <w:t>φιαλίδια</w:t>
      </w:r>
    </w:p>
    <w:p w:rsidR="009C4606" w:rsidRDefault="009C4606" w:rsidP="009C4606">
      <w:pPr>
        <w:jc w:val="both"/>
      </w:pPr>
    </w:p>
    <w:p w:rsidR="009C4606" w:rsidRPr="009C4606" w:rsidRDefault="009C4606" w:rsidP="009C4606">
      <w:pPr>
        <w:jc w:val="both"/>
        <w:rPr>
          <w:b/>
        </w:rPr>
      </w:pPr>
      <w:r w:rsidRPr="009C4606">
        <w:rPr>
          <w:b/>
        </w:rPr>
        <w:t>2. Συσκευασίες που κυκλοφορούν στην Ελληνική αγορά.</w:t>
      </w:r>
    </w:p>
    <w:p w:rsidR="009C4606" w:rsidRDefault="009C4606" w:rsidP="009C4606">
      <w:pPr>
        <w:jc w:val="both"/>
      </w:pPr>
      <w:r>
        <w:rPr>
          <w:szCs w:val="22"/>
        </w:rPr>
        <w:t>Γυάλινο</w:t>
      </w:r>
      <w:r w:rsidRPr="00262D48">
        <w:rPr>
          <w:szCs w:val="22"/>
        </w:rPr>
        <w:t xml:space="preserve"> </w:t>
      </w:r>
      <w:r>
        <w:rPr>
          <w:szCs w:val="22"/>
        </w:rPr>
        <w:t>φιαλίδιο των</w:t>
      </w:r>
      <w:r w:rsidRPr="00262D48">
        <w:rPr>
          <w:szCs w:val="22"/>
        </w:rPr>
        <w:t xml:space="preserve"> </w:t>
      </w:r>
      <w:r w:rsidR="00FC52C8">
        <w:rPr>
          <w:szCs w:val="22"/>
        </w:rPr>
        <w:t>50</w:t>
      </w:r>
      <w:r w:rsidR="00FC52C8" w:rsidRPr="001C039E">
        <w:rPr>
          <w:szCs w:val="22"/>
          <w:lang w:val="en-GB"/>
        </w:rPr>
        <w:t>ml</w:t>
      </w:r>
      <w:r w:rsidR="00FC52C8" w:rsidRPr="00262D48">
        <w:rPr>
          <w:szCs w:val="22"/>
        </w:rPr>
        <w:t xml:space="preserve"> </w:t>
      </w:r>
      <w:r>
        <w:rPr>
          <w:szCs w:val="22"/>
        </w:rPr>
        <w:t xml:space="preserve">υδρολυτικής κατηγορίας </w:t>
      </w:r>
      <w:r w:rsidRPr="00262D48">
        <w:rPr>
          <w:szCs w:val="22"/>
        </w:rPr>
        <w:t xml:space="preserve">2 </w:t>
      </w:r>
      <w:r>
        <w:rPr>
          <w:szCs w:val="22"/>
        </w:rPr>
        <w:t>ή</w:t>
      </w:r>
      <w:r w:rsidRPr="00262D48">
        <w:rPr>
          <w:szCs w:val="22"/>
        </w:rPr>
        <w:t xml:space="preserve"> 3 (</w:t>
      </w:r>
      <w:r w:rsidRPr="001C039E">
        <w:rPr>
          <w:szCs w:val="22"/>
          <w:lang w:val="en-GB"/>
        </w:rPr>
        <w:t>Ph</w:t>
      </w:r>
      <w:r w:rsidRPr="00262D48">
        <w:rPr>
          <w:szCs w:val="22"/>
        </w:rPr>
        <w:t xml:space="preserve">. </w:t>
      </w:r>
      <w:r w:rsidRPr="001C039E">
        <w:rPr>
          <w:szCs w:val="22"/>
          <w:lang w:val="en-GB"/>
        </w:rPr>
        <w:t>Eur</w:t>
      </w:r>
      <w:r w:rsidRPr="00262D48">
        <w:rPr>
          <w:szCs w:val="22"/>
        </w:rPr>
        <w:t xml:space="preserve">.), </w:t>
      </w:r>
      <w:r>
        <w:rPr>
          <w:szCs w:val="22"/>
        </w:rPr>
        <w:t>πώμα από πλαστικό βουτυλίου με επίπωμα αλουμινίου</w:t>
      </w:r>
    </w:p>
    <w:p w:rsidR="009C4606" w:rsidRPr="00CD0123" w:rsidRDefault="009C4606" w:rsidP="006718E7">
      <w:pPr>
        <w:jc w:val="both"/>
      </w:pPr>
      <w:r w:rsidRPr="00CD0123">
        <w:t xml:space="preserve">10 </w:t>
      </w:r>
      <w:r>
        <w:t>φιαλίδια</w:t>
      </w:r>
    </w:p>
    <w:p w:rsidR="00AF0E2A" w:rsidRPr="00CD0123" w:rsidRDefault="00AF0E2A" w:rsidP="006718E7">
      <w:pPr>
        <w:rPr>
          <w:b/>
          <w:noProof/>
        </w:rPr>
      </w:pPr>
    </w:p>
    <w:p w:rsidR="00AF0E2A" w:rsidRPr="00CD0123" w:rsidRDefault="00AF0E2A" w:rsidP="006718E7">
      <w:pPr>
        <w:rPr>
          <w:noProof/>
        </w:rPr>
      </w:pPr>
      <w:r w:rsidRPr="00CD0123">
        <w:rPr>
          <w:b/>
          <w:noProof/>
        </w:rPr>
        <w:t>6.6</w:t>
      </w:r>
      <w:r w:rsidRPr="00CD0123">
        <w:rPr>
          <w:b/>
          <w:noProof/>
        </w:rPr>
        <w:tab/>
      </w:r>
      <w:r>
        <w:rPr>
          <w:b/>
          <w:noProof/>
        </w:rPr>
        <w:t>Ιδιαίτερες</w:t>
      </w:r>
      <w:r w:rsidRPr="00CD0123">
        <w:rPr>
          <w:b/>
          <w:noProof/>
        </w:rPr>
        <w:t xml:space="preserve"> </w:t>
      </w:r>
      <w:r>
        <w:rPr>
          <w:b/>
          <w:noProof/>
        </w:rPr>
        <w:t>προφυλάξεις</w:t>
      </w:r>
      <w:r w:rsidRPr="00CD0123">
        <w:rPr>
          <w:b/>
          <w:noProof/>
        </w:rPr>
        <w:t xml:space="preserve"> </w:t>
      </w:r>
      <w:r>
        <w:rPr>
          <w:b/>
          <w:noProof/>
        </w:rPr>
        <w:t>απόρριψης</w:t>
      </w:r>
      <w:r w:rsidR="00CD0123">
        <w:rPr>
          <w:b/>
          <w:noProof/>
        </w:rPr>
        <w:t xml:space="preserve"> και άλλος χειρισμός</w:t>
      </w:r>
    </w:p>
    <w:p w:rsidR="00AF0E2A" w:rsidRPr="00CD0123" w:rsidRDefault="00AF0E2A" w:rsidP="006718E7">
      <w:pPr>
        <w:rPr>
          <w:noProof/>
        </w:rPr>
      </w:pPr>
    </w:p>
    <w:p w:rsidR="00DB31BB" w:rsidRPr="00DB31BB" w:rsidRDefault="00DB31BB" w:rsidP="005B63B5">
      <w:pPr>
        <w:jc w:val="both"/>
      </w:pPr>
    </w:p>
    <w:p w:rsidR="006D36EE" w:rsidRPr="00DB31BB" w:rsidRDefault="00DB31BB" w:rsidP="005B63B5">
      <w:pPr>
        <w:jc w:val="both"/>
        <w:rPr>
          <w:rFonts w:cs="Arial"/>
        </w:rPr>
      </w:pPr>
      <w:r>
        <w:t>Το ανασυσταθέν διάλυμα πρέπει να ανακινηθεί για 60 δευτερόλεπτα ώστε να διασφαλιστεί η πλήρης διάλυση της κεφτριαξόνης</w:t>
      </w:r>
    </w:p>
    <w:p w:rsidR="006D36EE" w:rsidRPr="00DB31BB" w:rsidRDefault="006D36EE" w:rsidP="005B63B5">
      <w:pPr>
        <w:jc w:val="both"/>
        <w:rPr>
          <w:rFonts w:cs="Arial"/>
        </w:rPr>
      </w:pPr>
    </w:p>
    <w:p w:rsidR="006D36EE" w:rsidRDefault="006D36EE" w:rsidP="005B63B5">
      <w:pPr>
        <w:jc w:val="both"/>
        <w:rPr>
          <w:rFonts w:cs="Arial"/>
          <w:i/>
          <w:iCs/>
        </w:rPr>
      </w:pPr>
    </w:p>
    <w:p w:rsidR="00DB31BB" w:rsidRDefault="00DB31BB" w:rsidP="005B63B5">
      <w:pPr>
        <w:jc w:val="both"/>
        <w:rPr>
          <w:rFonts w:cs="Arial"/>
          <w:i/>
          <w:iCs/>
        </w:rPr>
      </w:pPr>
      <w:r>
        <w:rPr>
          <w:rFonts w:cs="Arial"/>
          <w:i/>
          <w:iCs/>
        </w:rPr>
        <w:t>Ενδοφλέβια ένεση:</w:t>
      </w:r>
    </w:p>
    <w:p w:rsidR="0038125A" w:rsidRDefault="0038125A" w:rsidP="00FC52C8">
      <w:pPr>
        <w:jc w:val="both"/>
        <w:rPr>
          <w:rFonts w:cs="Arial"/>
        </w:rPr>
      </w:pPr>
      <w:r>
        <w:rPr>
          <w:rFonts w:cs="Arial"/>
        </w:rPr>
        <w:t xml:space="preserve">Το </w:t>
      </w:r>
      <w:r w:rsidRPr="002F780B">
        <w:rPr>
          <w:rFonts w:cs="Arial"/>
          <w:lang w:val="en-GB"/>
        </w:rPr>
        <w:t>Ceftriaxon</w:t>
      </w:r>
      <w:r w:rsidR="00004A17">
        <w:rPr>
          <w:rFonts w:cs="Arial"/>
          <w:lang w:val="en-GB"/>
        </w:rPr>
        <w:t>e</w:t>
      </w:r>
      <w:r w:rsidRPr="00DB31BB">
        <w:rPr>
          <w:rFonts w:cs="Arial"/>
        </w:rPr>
        <w:t xml:space="preserve"> </w:t>
      </w:r>
      <w:r w:rsidRPr="002F780B">
        <w:rPr>
          <w:rFonts w:cs="Arial"/>
          <w:lang w:val="en-GB"/>
        </w:rPr>
        <w:t>Kabi</w:t>
      </w:r>
      <w:r w:rsidRPr="00DB31BB">
        <w:rPr>
          <w:rFonts w:cs="Arial"/>
        </w:rPr>
        <w:t xml:space="preserve"> </w:t>
      </w:r>
      <w:r w:rsidR="00FC52C8">
        <w:rPr>
          <w:rFonts w:cs="Arial"/>
        </w:rPr>
        <w:t>2</w:t>
      </w:r>
      <w:r w:rsidR="00FC52C8" w:rsidRPr="002F780B">
        <w:rPr>
          <w:rFonts w:cs="Arial"/>
          <w:lang w:val="en-GB"/>
        </w:rPr>
        <w:t> </w:t>
      </w:r>
      <w:r w:rsidRPr="002F780B">
        <w:rPr>
          <w:rFonts w:cs="Arial"/>
          <w:lang w:val="en-GB"/>
        </w:rPr>
        <w:t>g</w:t>
      </w:r>
      <w:r>
        <w:rPr>
          <w:rFonts w:cs="Arial"/>
        </w:rPr>
        <w:t xml:space="preserve"> διαλύεται σε </w:t>
      </w:r>
      <w:r w:rsidR="00FC52C8">
        <w:rPr>
          <w:rFonts w:cs="Arial"/>
        </w:rPr>
        <w:t>4</w:t>
      </w:r>
      <w:r w:rsidR="00FC52C8" w:rsidRPr="0038125A">
        <w:rPr>
          <w:rFonts w:cs="Arial"/>
        </w:rPr>
        <w:t>0</w:t>
      </w:r>
      <w:r w:rsidR="00FC52C8">
        <w:rPr>
          <w:rFonts w:cs="Arial"/>
        </w:rPr>
        <w:t>-50</w:t>
      </w:r>
      <w:r w:rsidR="00FC52C8">
        <w:rPr>
          <w:rFonts w:cs="Arial"/>
          <w:lang w:val="en-US"/>
        </w:rPr>
        <w:t>ml</w:t>
      </w:r>
      <w:r w:rsidR="00FC52C8">
        <w:rPr>
          <w:rFonts w:cs="Arial"/>
        </w:rPr>
        <w:t xml:space="preserve"> διαλύματος χλωριούχου νατρίου 0.9% ή διαλύματος γλυκόζης 5%.</w:t>
      </w:r>
      <w:r>
        <w:rPr>
          <w:rFonts w:cs="Arial"/>
        </w:rPr>
        <w:t xml:space="preserve">. </w:t>
      </w:r>
      <w:r w:rsidR="00FC52C8">
        <w:rPr>
          <w:rFonts w:cs="Arial"/>
        </w:rPr>
        <w:t>Για πληροφορίες σχετικά με την ασυμβατότητα με άλλα διαλύματα προς έγχυση δείτε το λήμμα 6.2. Η έγχυση πρέπει να πραγματοποιηθεί σε διάρκεια 30 λεπτών</w:t>
      </w:r>
      <w:r w:rsidRPr="0038125A">
        <w:rPr>
          <w:rFonts w:cs="Arial"/>
        </w:rPr>
        <w:t>.</w:t>
      </w:r>
    </w:p>
    <w:p w:rsidR="0038125A" w:rsidRDefault="0038125A" w:rsidP="005B63B5">
      <w:pPr>
        <w:jc w:val="both"/>
        <w:rPr>
          <w:rFonts w:cs="Arial"/>
        </w:rPr>
      </w:pPr>
      <w:r>
        <w:rPr>
          <w:rFonts w:cs="Arial"/>
        </w:rPr>
        <w:t xml:space="preserve">Τα ανασυσταμένα διαλύματα πρέπει να ελέγχονται οπτικά. Μόνον διαυγή διαλύματα ελεύθερα σωματιδίων πρέπει να χρησιμοποιούνται. Το ανασυσταμένο προϊόν είναι για μια μόνον </w:t>
      </w:r>
      <w:r w:rsidR="00262D48">
        <w:rPr>
          <w:rFonts w:cs="Arial"/>
        </w:rPr>
        <w:t>χορήγηση</w:t>
      </w:r>
      <w:r>
        <w:rPr>
          <w:rFonts w:cs="Arial"/>
        </w:rPr>
        <w:t xml:space="preserve"> και κάθε διάλυμα που παραμένει πρέπει να απορρίπτεται.</w:t>
      </w:r>
    </w:p>
    <w:p w:rsidR="0038125A" w:rsidRPr="0038125A" w:rsidRDefault="0038125A" w:rsidP="00303BAB">
      <w:pPr>
        <w:rPr>
          <w:rFonts w:cs="Arial"/>
        </w:rPr>
      </w:pPr>
    </w:p>
    <w:p w:rsidR="00CD0123" w:rsidRDefault="00CD0123" w:rsidP="00303BAB">
      <w:pPr>
        <w:rPr>
          <w:noProof/>
        </w:rPr>
      </w:pPr>
      <w:r>
        <w:rPr>
          <w:noProof/>
        </w:rPr>
        <w:t>Κάθε μη χρησιμοποιηθέν προϊόν ή υλικό απόρριψης πρέπει να απορριφθεί σύμφωνα με τις κατά τόπους ισχύουσες σχετικές διατάξεις.</w:t>
      </w:r>
    </w:p>
    <w:p w:rsidR="00CD0123" w:rsidRPr="00CD0123" w:rsidRDefault="00CD0123" w:rsidP="00303BAB">
      <w:pPr>
        <w:rPr>
          <w:noProof/>
          <w:szCs w:val="22"/>
        </w:rPr>
      </w:pPr>
    </w:p>
    <w:p w:rsidR="00AF0E2A" w:rsidRDefault="00AF0E2A" w:rsidP="006718E7">
      <w:pPr>
        <w:rPr>
          <w:noProof/>
        </w:rPr>
      </w:pPr>
      <w:r>
        <w:rPr>
          <w:b/>
          <w:noProof/>
        </w:rPr>
        <w:t>7.</w:t>
      </w:r>
      <w:r>
        <w:rPr>
          <w:b/>
          <w:noProof/>
        </w:rPr>
        <w:tab/>
        <w:t>ΚΑΤΟΧΟΣ ΤΗΣ ΑΔΕΙΑΣ ΚΥΚΛΟΦΟΡΙΑΣ</w:t>
      </w:r>
    </w:p>
    <w:p w:rsidR="00AF0E2A" w:rsidRDefault="00AF0E2A" w:rsidP="006718E7">
      <w:pPr>
        <w:rPr>
          <w:noProof/>
        </w:rPr>
      </w:pPr>
    </w:p>
    <w:p w:rsidR="00AF0E2A" w:rsidRPr="0026504A" w:rsidRDefault="0026504A" w:rsidP="006718E7">
      <w:pPr>
        <w:rPr>
          <w:noProof/>
        </w:rPr>
      </w:pPr>
      <w:r>
        <w:rPr>
          <w:noProof/>
          <w:lang w:val="en-US"/>
        </w:rPr>
        <w:t>Fresenius</w:t>
      </w:r>
      <w:r w:rsidRPr="0026504A">
        <w:rPr>
          <w:noProof/>
        </w:rPr>
        <w:t xml:space="preserve"> </w:t>
      </w:r>
      <w:r>
        <w:rPr>
          <w:noProof/>
          <w:lang w:val="en-US"/>
        </w:rPr>
        <w:t>Kabi</w:t>
      </w:r>
      <w:r w:rsidRPr="0026504A">
        <w:rPr>
          <w:noProof/>
        </w:rPr>
        <w:t xml:space="preserve"> </w:t>
      </w:r>
      <w:r>
        <w:rPr>
          <w:noProof/>
          <w:lang w:val="en-US"/>
        </w:rPr>
        <w:t>Hellas</w:t>
      </w:r>
      <w:r w:rsidRPr="0026504A">
        <w:rPr>
          <w:noProof/>
        </w:rPr>
        <w:t xml:space="preserve"> </w:t>
      </w:r>
      <w:r>
        <w:rPr>
          <w:noProof/>
          <w:lang w:val="en-US"/>
        </w:rPr>
        <w:t>A</w:t>
      </w:r>
      <w:r w:rsidRPr="0026504A">
        <w:rPr>
          <w:noProof/>
        </w:rPr>
        <w:t>.</w:t>
      </w:r>
      <w:r>
        <w:rPr>
          <w:noProof/>
          <w:lang w:val="en-US"/>
        </w:rPr>
        <w:t>E</w:t>
      </w:r>
      <w:r w:rsidRPr="0026504A">
        <w:rPr>
          <w:noProof/>
        </w:rPr>
        <w:t>.</w:t>
      </w:r>
    </w:p>
    <w:p w:rsidR="0026504A" w:rsidRDefault="0026504A" w:rsidP="006718E7">
      <w:pPr>
        <w:rPr>
          <w:noProof/>
        </w:rPr>
      </w:pPr>
      <w:r>
        <w:rPr>
          <w:noProof/>
        </w:rPr>
        <w:t>Λ. Μεσογείων</w:t>
      </w:r>
      <w:r w:rsidRPr="0026504A">
        <w:rPr>
          <w:noProof/>
        </w:rPr>
        <w:t xml:space="preserve"> 354</w:t>
      </w:r>
    </w:p>
    <w:p w:rsidR="00FC52C8" w:rsidRDefault="00FC52C8" w:rsidP="006718E7">
      <w:pPr>
        <w:rPr>
          <w:noProof/>
        </w:rPr>
      </w:pPr>
      <w:r>
        <w:rPr>
          <w:noProof/>
        </w:rPr>
        <w:t>Αγία Παρασκευή, 15341,</w:t>
      </w:r>
    </w:p>
    <w:p w:rsidR="00FC52C8" w:rsidRPr="00450066" w:rsidRDefault="00FC52C8" w:rsidP="006718E7">
      <w:pPr>
        <w:rPr>
          <w:noProof/>
        </w:rPr>
      </w:pPr>
      <w:r>
        <w:rPr>
          <w:noProof/>
        </w:rPr>
        <w:t>Αττική</w:t>
      </w:r>
    </w:p>
    <w:p w:rsidR="00AF0E2A" w:rsidRDefault="009221B7" w:rsidP="006718E7">
      <w:pPr>
        <w:rPr>
          <w:noProof/>
        </w:rPr>
      </w:pPr>
      <w:r>
        <w:rPr>
          <w:noProof/>
        </w:rPr>
        <w:t xml:space="preserve">Τηλ: </w:t>
      </w:r>
      <w:r w:rsidR="0026504A">
        <w:rPr>
          <w:noProof/>
        </w:rPr>
        <w:t>+30 210 6542909</w:t>
      </w:r>
    </w:p>
    <w:p w:rsidR="00AF0E2A" w:rsidRDefault="009221B7" w:rsidP="006718E7">
      <w:pPr>
        <w:rPr>
          <w:noProof/>
        </w:rPr>
      </w:pPr>
      <w:r>
        <w:rPr>
          <w:noProof/>
          <w:lang w:val="en-US"/>
        </w:rPr>
        <w:t>Fax</w:t>
      </w:r>
      <w:r w:rsidRPr="00FC52C8">
        <w:rPr>
          <w:noProof/>
        </w:rPr>
        <w:t xml:space="preserve">: </w:t>
      </w:r>
      <w:r w:rsidR="0026504A">
        <w:rPr>
          <w:noProof/>
        </w:rPr>
        <w:t>+30 210 6548909</w:t>
      </w:r>
    </w:p>
    <w:p w:rsidR="00AF0E2A" w:rsidRPr="0026504A" w:rsidRDefault="0026504A" w:rsidP="006718E7">
      <w:pPr>
        <w:rPr>
          <w:noProof/>
        </w:rPr>
      </w:pPr>
      <w:r>
        <w:rPr>
          <w:noProof/>
          <w:lang w:val="en-US"/>
        </w:rPr>
        <w:t>FKHinfo</w:t>
      </w:r>
      <w:r w:rsidRPr="0026504A">
        <w:rPr>
          <w:noProof/>
        </w:rPr>
        <w:t>@</w:t>
      </w:r>
      <w:r>
        <w:rPr>
          <w:noProof/>
          <w:lang w:val="en-US"/>
        </w:rPr>
        <w:t>fresenius</w:t>
      </w:r>
      <w:r w:rsidRPr="0026504A">
        <w:rPr>
          <w:noProof/>
        </w:rPr>
        <w:t>-</w:t>
      </w:r>
      <w:r>
        <w:rPr>
          <w:noProof/>
          <w:lang w:val="en-US"/>
        </w:rPr>
        <w:t>kabi</w:t>
      </w:r>
      <w:r w:rsidRPr="0026504A">
        <w:rPr>
          <w:noProof/>
        </w:rPr>
        <w:t>.</w:t>
      </w:r>
      <w:r>
        <w:rPr>
          <w:noProof/>
          <w:lang w:val="en-US"/>
        </w:rPr>
        <w:t>com</w:t>
      </w:r>
    </w:p>
    <w:p w:rsidR="00AF0E2A" w:rsidRPr="00AF0E2A" w:rsidRDefault="00AF0E2A" w:rsidP="006718E7">
      <w:pPr>
        <w:rPr>
          <w:noProof/>
        </w:rPr>
      </w:pPr>
    </w:p>
    <w:p w:rsidR="00AF0E2A" w:rsidRPr="00AF0E2A" w:rsidRDefault="00AF0E2A" w:rsidP="006718E7">
      <w:pPr>
        <w:rPr>
          <w:noProof/>
        </w:rPr>
      </w:pPr>
    </w:p>
    <w:p w:rsidR="009104F2" w:rsidRDefault="00AF0E2A" w:rsidP="009104F2">
      <w:pPr>
        <w:numPr>
          <w:ilvl w:val="0"/>
          <w:numId w:val="9"/>
        </w:numPr>
        <w:rPr>
          <w:noProof/>
        </w:rPr>
      </w:pPr>
      <w:r>
        <w:rPr>
          <w:b/>
          <w:noProof/>
        </w:rPr>
        <w:t>ΑΡΙΘΜΟΣ(ΟΙ) ΑΔΕΙΑΣ ΚΥΚΛΟΦΟΡΙΑΣ</w:t>
      </w:r>
    </w:p>
    <w:p w:rsidR="000937EC" w:rsidRDefault="000937EC" w:rsidP="006718E7">
      <w:pPr>
        <w:rPr>
          <w:noProof/>
        </w:rPr>
      </w:pPr>
    </w:p>
    <w:p w:rsidR="009104F2" w:rsidRDefault="002571D7" w:rsidP="006718E7">
      <w:pPr>
        <w:rPr>
          <w:noProof/>
        </w:rPr>
      </w:pPr>
      <w:r>
        <w:rPr>
          <w:noProof/>
        </w:rPr>
        <w:t>52066/18-7-2011</w:t>
      </w:r>
    </w:p>
    <w:p w:rsidR="00AF0E2A" w:rsidRPr="00AF0E2A" w:rsidRDefault="00AF0E2A" w:rsidP="006718E7">
      <w:pPr>
        <w:rPr>
          <w:noProof/>
        </w:rPr>
      </w:pPr>
    </w:p>
    <w:p w:rsidR="00AF0E2A" w:rsidRDefault="00AF0E2A" w:rsidP="006718E7">
      <w:pPr>
        <w:rPr>
          <w:noProof/>
        </w:rPr>
      </w:pPr>
      <w:r>
        <w:rPr>
          <w:b/>
          <w:noProof/>
        </w:rPr>
        <w:lastRenderedPageBreak/>
        <w:t>9.</w:t>
      </w:r>
      <w:r>
        <w:rPr>
          <w:b/>
          <w:noProof/>
        </w:rPr>
        <w:tab/>
        <w:t>ΗΜΕΡΟΜΗΝΙΑ ΠΡΩΤΗΣ ΕΓΚΡΙΣΗΣ / ΑΝΑΝΕΩΣΗΣ ΤΗΣ ΑΔΕΙΑΣ</w:t>
      </w:r>
    </w:p>
    <w:p w:rsidR="00AF0E2A" w:rsidRPr="00AF0E2A" w:rsidRDefault="00AF0E2A" w:rsidP="006718E7">
      <w:pPr>
        <w:rPr>
          <w:noProof/>
        </w:rPr>
      </w:pPr>
    </w:p>
    <w:p w:rsidR="00AF0E2A" w:rsidRPr="00C1733B" w:rsidRDefault="000937EC" w:rsidP="006718E7">
      <w:pPr>
        <w:rPr>
          <w:noProof/>
        </w:rPr>
      </w:pPr>
      <w:r>
        <w:rPr>
          <w:noProof/>
        </w:rPr>
        <w:t>12-3-08</w:t>
      </w:r>
    </w:p>
    <w:p w:rsidR="00AF0E2A" w:rsidRPr="00C1733B" w:rsidRDefault="00AF0E2A" w:rsidP="006718E7">
      <w:pPr>
        <w:rPr>
          <w:noProof/>
        </w:rPr>
      </w:pPr>
    </w:p>
    <w:p w:rsidR="00AF0E2A" w:rsidRPr="00C1733B" w:rsidRDefault="00AF0E2A" w:rsidP="006718E7">
      <w:pPr>
        <w:rPr>
          <w:noProof/>
        </w:rPr>
      </w:pPr>
    </w:p>
    <w:p w:rsidR="00AF0E2A" w:rsidRDefault="00AF0E2A" w:rsidP="006718E7">
      <w:pPr>
        <w:rPr>
          <w:b/>
          <w:noProof/>
        </w:rPr>
      </w:pPr>
      <w:r>
        <w:rPr>
          <w:b/>
          <w:noProof/>
        </w:rPr>
        <w:t>10.</w:t>
      </w:r>
      <w:r>
        <w:rPr>
          <w:b/>
          <w:noProof/>
        </w:rPr>
        <w:tab/>
        <w:t>ΗΜΕΡΟΜΗΝΙΑ ΑΝΑΘΕΩΡΗΣΗΣ ΤΟΥ ΚΕΙΜΕΝΟΥ</w:t>
      </w:r>
    </w:p>
    <w:p w:rsidR="00AF0E2A" w:rsidRPr="00AF0E2A" w:rsidRDefault="00AF0E2A" w:rsidP="006718E7">
      <w:pPr>
        <w:rPr>
          <w:bCs/>
          <w:noProof/>
        </w:rPr>
      </w:pPr>
    </w:p>
    <w:p w:rsidR="00AF0E2A" w:rsidRPr="00CD0123" w:rsidRDefault="00CD0123" w:rsidP="006718E7">
      <w:pPr>
        <w:rPr>
          <w:noProof/>
        </w:rPr>
      </w:pPr>
      <w:r>
        <w:rPr>
          <w:bCs/>
          <w:noProof/>
        </w:rPr>
        <w:t>Οκτώβριος 2009</w:t>
      </w:r>
    </w:p>
    <w:p w:rsidR="00AF0E2A" w:rsidRPr="00AF0E2A" w:rsidRDefault="00AF0E2A" w:rsidP="006718E7">
      <w:pPr>
        <w:rPr>
          <w:noProof/>
        </w:rPr>
      </w:pPr>
    </w:p>
    <w:p w:rsidR="00AF0E2A" w:rsidRPr="00AF0E2A" w:rsidRDefault="00AF0E2A" w:rsidP="006718E7">
      <w:pPr>
        <w:rPr>
          <w:noProof/>
        </w:rPr>
      </w:pPr>
    </w:p>
    <w:sectPr w:rsidR="00AF0E2A" w:rsidRPr="00AF0E2A" w:rsidSect="00AF1FD5">
      <w:footerReference w:type="default" r:id="rId7"/>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72" w:rsidRDefault="00F57D72">
      <w:r>
        <w:separator/>
      </w:r>
    </w:p>
  </w:endnote>
  <w:endnote w:type="continuationSeparator" w:id="0">
    <w:p w:rsidR="00F57D72" w:rsidRDefault="00F57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D7" w:rsidRPr="00AF4466" w:rsidRDefault="00284DD7" w:rsidP="00846D11">
    <w:pPr>
      <w:pStyle w:val="a4"/>
      <w:rPr>
        <w:lang w:val="en-US"/>
      </w:rPr>
    </w:pPr>
    <w:r>
      <w:rPr>
        <w:sz w:val="16"/>
        <w:szCs w:val="16"/>
        <w:lang w:val="en-US"/>
      </w:rPr>
      <w:t>Common-spc-2g-trackchanges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72" w:rsidRDefault="00F57D72">
      <w:r>
        <w:separator/>
      </w:r>
    </w:p>
  </w:footnote>
  <w:footnote w:type="continuationSeparator" w:id="0">
    <w:p w:rsidR="00F57D72" w:rsidRDefault="00F57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5A8"/>
    <w:multiLevelType w:val="singleLevel"/>
    <w:tmpl w:val="A2F4FDB6"/>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
    <w:nsid w:val="1F8E40CF"/>
    <w:multiLevelType w:val="singleLevel"/>
    <w:tmpl w:val="3998EF06"/>
    <w:lvl w:ilvl="0">
      <w:numFmt w:val="bullet"/>
      <w:lvlText w:val="–"/>
      <w:lvlJc w:val="left"/>
      <w:pPr>
        <w:tabs>
          <w:tab w:val="num" w:pos="420"/>
        </w:tabs>
        <w:ind w:left="420" w:hanging="420"/>
      </w:pPr>
      <w:rPr>
        <w:rFonts w:hint="default"/>
      </w:rPr>
    </w:lvl>
  </w:abstractNum>
  <w:abstractNum w:abstractNumId="2">
    <w:nsid w:val="24BB60D2"/>
    <w:multiLevelType w:val="hybridMultilevel"/>
    <w:tmpl w:val="6BBEDAD8"/>
    <w:lvl w:ilvl="0" w:tplc="BE485E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1249E"/>
    <w:multiLevelType w:val="hybridMultilevel"/>
    <w:tmpl w:val="B05E72B8"/>
    <w:lvl w:ilvl="0" w:tplc="63427212">
      <w:start w:val="8"/>
      <w:numFmt w:val="decimal"/>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2812041"/>
    <w:multiLevelType w:val="singleLevel"/>
    <w:tmpl w:val="3998EF06"/>
    <w:lvl w:ilvl="0">
      <w:numFmt w:val="bullet"/>
      <w:lvlText w:val="–"/>
      <w:lvlJc w:val="left"/>
      <w:pPr>
        <w:tabs>
          <w:tab w:val="num" w:pos="420"/>
        </w:tabs>
        <w:ind w:left="420" w:hanging="420"/>
      </w:pPr>
      <w:rPr>
        <w:rFonts w:hint="default"/>
      </w:rPr>
    </w:lvl>
  </w:abstractNum>
  <w:abstractNum w:abstractNumId="6">
    <w:nsid w:val="42851AD2"/>
    <w:multiLevelType w:val="hybridMultilevel"/>
    <w:tmpl w:val="368A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A94332"/>
    <w:multiLevelType w:val="multilevel"/>
    <w:tmpl w:val="368A9F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7765D5C"/>
    <w:multiLevelType w:val="hybridMultilevel"/>
    <w:tmpl w:val="CAF0D1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F1FD5"/>
    <w:rsid w:val="0000465D"/>
    <w:rsid w:val="00004A17"/>
    <w:rsid w:val="00032E9F"/>
    <w:rsid w:val="000418AE"/>
    <w:rsid w:val="00056B8F"/>
    <w:rsid w:val="00066F7C"/>
    <w:rsid w:val="00075EC8"/>
    <w:rsid w:val="00084432"/>
    <w:rsid w:val="000937EC"/>
    <w:rsid w:val="00095BA1"/>
    <w:rsid w:val="000A01A5"/>
    <w:rsid w:val="000D7820"/>
    <w:rsid w:val="000F704D"/>
    <w:rsid w:val="00112A6B"/>
    <w:rsid w:val="001173E9"/>
    <w:rsid w:val="00125D4B"/>
    <w:rsid w:val="001325DA"/>
    <w:rsid w:val="00142DEB"/>
    <w:rsid w:val="00150BA7"/>
    <w:rsid w:val="0015735E"/>
    <w:rsid w:val="0016420F"/>
    <w:rsid w:val="001931DF"/>
    <w:rsid w:val="001977DB"/>
    <w:rsid w:val="001C6AE1"/>
    <w:rsid w:val="001E1BE2"/>
    <w:rsid w:val="00222AC0"/>
    <w:rsid w:val="00255AA6"/>
    <w:rsid w:val="002571D7"/>
    <w:rsid w:val="00257A6D"/>
    <w:rsid w:val="00262D48"/>
    <w:rsid w:val="0026504A"/>
    <w:rsid w:val="00284DD7"/>
    <w:rsid w:val="00285A84"/>
    <w:rsid w:val="00297CFA"/>
    <w:rsid w:val="002A5306"/>
    <w:rsid w:val="002B2773"/>
    <w:rsid w:val="002C6302"/>
    <w:rsid w:val="002D6B9C"/>
    <w:rsid w:val="002E4882"/>
    <w:rsid w:val="002E5F14"/>
    <w:rsid w:val="002F5873"/>
    <w:rsid w:val="002F6670"/>
    <w:rsid w:val="00300F6B"/>
    <w:rsid w:val="00303BAB"/>
    <w:rsid w:val="003208BE"/>
    <w:rsid w:val="00323DFE"/>
    <w:rsid w:val="0036327E"/>
    <w:rsid w:val="00366581"/>
    <w:rsid w:val="0037530F"/>
    <w:rsid w:val="003802C9"/>
    <w:rsid w:val="0038125A"/>
    <w:rsid w:val="003A51E5"/>
    <w:rsid w:val="003C3E70"/>
    <w:rsid w:val="003D2E6A"/>
    <w:rsid w:val="003E2A03"/>
    <w:rsid w:val="003E6305"/>
    <w:rsid w:val="003F3194"/>
    <w:rsid w:val="00402FF4"/>
    <w:rsid w:val="00405569"/>
    <w:rsid w:val="00413855"/>
    <w:rsid w:val="00414B0D"/>
    <w:rsid w:val="004215BD"/>
    <w:rsid w:val="00431DE0"/>
    <w:rsid w:val="0043491D"/>
    <w:rsid w:val="00440204"/>
    <w:rsid w:val="0044059C"/>
    <w:rsid w:val="00441FDA"/>
    <w:rsid w:val="00445926"/>
    <w:rsid w:val="00450066"/>
    <w:rsid w:val="00454058"/>
    <w:rsid w:val="00455613"/>
    <w:rsid w:val="004721FD"/>
    <w:rsid w:val="00485CC3"/>
    <w:rsid w:val="004923FC"/>
    <w:rsid w:val="00493F20"/>
    <w:rsid w:val="00495818"/>
    <w:rsid w:val="004B4048"/>
    <w:rsid w:val="004B7036"/>
    <w:rsid w:val="004B7B26"/>
    <w:rsid w:val="004C4C84"/>
    <w:rsid w:val="004C6AC6"/>
    <w:rsid w:val="004D1F5B"/>
    <w:rsid w:val="004D5F79"/>
    <w:rsid w:val="004E1E89"/>
    <w:rsid w:val="004E2B0A"/>
    <w:rsid w:val="00504C83"/>
    <w:rsid w:val="0058160D"/>
    <w:rsid w:val="005865EB"/>
    <w:rsid w:val="0059003A"/>
    <w:rsid w:val="005B58FA"/>
    <w:rsid w:val="005B63B5"/>
    <w:rsid w:val="005C3A20"/>
    <w:rsid w:val="005C6D0F"/>
    <w:rsid w:val="005D054F"/>
    <w:rsid w:val="005D517F"/>
    <w:rsid w:val="005E22CD"/>
    <w:rsid w:val="00606FC6"/>
    <w:rsid w:val="0064479F"/>
    <w:rsid w:val="00647D40"/>
    <w:rsid w:val="00654E0C"/>
    <w:rsid w:val="0066025D"/>
    <w:rsid w:val="006718E7"/>
    <w:rsid w:val="006766EA"/>
    <w:rsid w:val="00682239"/>
    <w:rsid w:val="006D36EE"/>
    <w:rsid w:val="006F16E7"/>
    <w:rsid w:val="006F1B93"/>
    <w:rsid w:val="006F7E80"/>
    <w:rsid w:val="0071502A"/>
    <w:rsid w:val="00734B8F"/>
    <w:rsid w:val="00742EB0"/>
    <w:rsid w:val="00751FD2"/>
    <w:rsid w:val="007521E0"/>
    <w:rsid w:val="00755534"/>
    <w:rsid w:val="007943EC"/>
    <w:rsid w:val="007F0213"/>
    <w:rsid w:val="0080643D"/>
    <w:rsid w:val="0081046F"/>
    <w:rsid w:val="00814B6D"/>
    <w:rsid w:val="00823C1F"/>
    <w:rsid w:val="008365DC"/>
    <w:rsid w:val="00846D11"/>
    <w:rsid w:val="00875F33"/>
    <w:rsid w:val="00885734"/>
    <w:rsid w:val="0088754F"/>
    <w:rsid w:val="008A781C"/>
    <w:rsid w:val="008C7EDB"/>
    <w:rsid w:val="009104F2"/>
    <w:rsid w:val="009221B7"/>
    <w:rsid w:val="00931073"/>
    <w:rsid w:val="009430CD"/>
    <w:rsid w:val="009625EF"/>
    <w:rsid w:val="00986625"/>
    <w:rsid w:val="009949C4"/>
    <w:rsid w:val="009A3A0E"/>
    <w:rsid w:val="009A7701"/>
    <w:rsid w:val="009C06B6"/>
    <w:rsid w:val="009C4606"/>
    <w:rsid w:val="009F30DE"/>
    <w:rsid w:val="009F6913"/>
    <w:rsid w:val="00A00DCF"/>
    <w:rsid w:val="00A07570"/>
    <w:rsid w:val="00A11DD3"/>
    <w:rsid w:val="00A325CE"/>
    <w:rsid w:val="00A50CE9"/>
    <w:rsid w:val="00A61748"/>
    <w:rsid w:val="00A6526F"/>
    <w:rsid w:val="00A735FA"/>
    <w:rsid w:val="00A774EE"/>
    <w:rsid w:val="00A81F92"/>
    <w:rsid w:val="00AE1167"/>
    <w:rsid w:val="00AE4EBC"/>
    <w:rsid w:val="00AE5A60"/>
    <w:rsid w:val="00AF0E2A"/>
    <w:rsid w:val="00AF1FD5"/>
    <w:rsid w:val="00AF4466"/>
    <w:rsid w:val="00AF44C1"/>
    <w:rsid w:val="00B02FB3"/>
    <w:rsid w:val="00B12ADC"/>
    <w:rsid w:val="00B15ABB"/>
    <w:rsid w:val="00B17678"/>
    <w:rsid w:val="00B3786A"/>
    <w:rsid w:val="00B416F8"/>
    <w:rsid w:val="00B4445F"/>
    <w:rsid w:val="00B7270C"/>
    <w:rsid w:val="00B8228F"/>
    <w:rsid w:val="00BD5E57"/>
    <w:rsid w:val="00BF5054"/>
    <w:rsid w:val="00C1733B"/>
    <w:rsid w:val="00C31C60"/>
    <w:rsid w:val="00C41AC2"/>
    <w:rsid w:val="00C66D29"/>
    <w:rsid w:val="00C83226"/>
    <w:rsid w:val="00C91685"/>
    <w:rsid w:val="00CA7920"/>
    <w:rsid w:val="00CD0123"/>
    <w:rsid w:val="00CD67D2"/>
    <w:rsid w:val="00CE397C"/>
    <w:rsid w:val="00CE64A7"/>
    <w:rsid w:val="00CF0EBA"/>
    <w:rsid w:val="00CF7D8A"/>
    <w:rsid w:val="00CF7E87"/>
    <w:rsid w:val="00D03312"/>
    <w:rsid w:val="00D16759"/>
    <w:rsid w:val="00D3585D"/>
    <w:rsid w:val="00D36B98"/>
    <w:rsid w:val="00D41E1D"/>
    <w:rsid w:val="00D534B1"/>
    <w:rsid w:val="00D55C05"/>
    <w:rsid w:val="00D71E18"/>
    <w:rsid w:val="00D83BF6"/>
    <w:rsid w:val="00D947B6"/>
    <w:rsid w:val="00DB3087"/>
    <w:rsid w:val="00DB31BB"/>
    <w:rsid w:val="00DB46E8"/>
    <w:rsid w:val="00DC6DCB"/>
    <w:rsid w:val="00DD70C8"/>
    <w:rsid w:val="00DE2D05"/>
    <w:rsid w:val="00DE506B"/>
    <w:rsid w:val="00DF4A42"/>
    <w:rsid w:val="00E020BE"/>
    <w:rsid w:val="00E03721"/>
    <w:rsid w:val="00E112FB"/>
    <w:rsid w:val="00E158F5"/>
    <w:rsid w:val="00E53E20"/>
    <w:rsid w:val="00E707E8"/>
    <w:rsid w:val="00E84AD6"/>
    <w:rsid w:val="00E9496F"/>
    <w:rsid w:val="00E94CF3"/>
    <w:rsid w:val="00E9647F"/>
    <w:rsid w:val="00EA003F"/>
    <w:rsid w:val="00F04B5D"/>
    <w:rsid w:val="00F17411"/>
    <w:rsid w:val="00F17A61"/>
    <w:rsid w:val="00F262AD"/>
    <w:rsid w:val="00F31CA3"/>
    <w:rsid w:val="00F33630"/>
    <w:rsid w:val="00F42A3E"/>
    <w:rsid w:val="00F42BB9"/>
    <w:rsid w:val="00F56DFC"/>
    <w:rsid w:val="00F57D72"/>
    <w:rsid w:val="00F6248F"/>
    <w:rsid w:val="00F84F7F"/>
    <w:rsid w:val="00F956DF"/>
    <w:rsid w:val="00FB0946"/>
    <w:rsid w:val="00FB1175"/>
    <w:rsid w:val="00FB2B60"/>
    <w:rsid w:val="00FC52C8"/>
    <w:rsid w:val="00FD129A"/>
    <w:rsid w:val="00FE3EA1"/>
    <w:rsid w:val="00FF2134"/>
    <w:rsid w:val="00FF40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E2A"/>
    <w:pPr>
      <w:widowControl w:val="0"/>
    </w:pPr>
    <w:rPr>
      <w:sz w:val="22"/>
      <w:lang w:eastAsia="en-US"/>
    </w:rPr>
  </w:style>
  <w:style w:type="paragraph" w:styleId="1">
    <w:name w:val="heading 1"/>
    <w:aliases w:val="Info rubrik 1"/>
    <w:basedOn w:val="a"/>
    <w:next w:val="a"/>
    <w:qFormat/>
    <w:rsid w:val="00323DFE"/>
    <w:pPr>
      <w:keepNext/>
      <w:widowControl/>
      <w:tabs>
        <w:tab w:val="left" w:pos="-1259"/>
        <w:tab w:val="left" w:pos="-539"/>
        <w:tab w:val="left" w:pos="181"/>
        <w:tab w:val="left" w:pos="901"/>
        <w:tab w:val="left" w:pos="126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uppressAutoHyphens/>
      <w:ind w:left="851" w:hanging="851"/>
      <w:jc w:val="both"/>
      <w:outlineLvl w:val="0"/>
    </w:pPr>
    <w:rPr>
      <w:rFonts w:ascii="Arial" w:hAnsi="Arial"/>
      <w:b/>
      <w:spacing w:val="-2"/>
      <w:sz w:val="20"/>
      <w:lang w:val="de-DE" w:eastAsia="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F0E2A"/>
    <w:pPr>
      <w:tabs>
        <w:tab w:val="center" w:pos="4153"/>
        <w:tab w:val="right" w:pos="8306"/>
      </w:tabs>
    </w:pPr>
  </w:style>
  <w:style w:type="character" w:styleId="-">
    <w:name w:val="Hyperlink"/>
    <w:rsid w:val="00AF0E2A"/>
    <w:rPr>
      <w:color w:val="0000FF"/>
      <w:u w:val="single"/>
    </w:rPr>
  </w:style>
  <w:style w:type="paragraph" w:styleId="a4">
    <w:name w:val="footer"/>
    <w:basedOn w:val="a"/>
    <w:rsid w:val="003D2E6A"/>
    <w:pPr>
      <w:tabs>
        <w:tab w:val="center" w:pos="4320"/>
        <w:tab w:val="right" w:pos="8640"/>
      </w:tabs>
    </w:pPr>
  </w:style>
  <w:style w:type="table" w:styleId="a5">
    <w:name w:val="Table Grid"/>
    <w:basedOn w:val="a1"/>
    <w:rsid w:val="00C41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c-s">
    <w:name w:val="spc-üs"/>
    <w:basedOn w:val="a"/>
    <w:rsid w:val="00D03312"/>
    <w:pPr>
      <w:widowControl/>
      <w:tabs>
        <w:tab w:val="left" w:pos="851"/>
      </w:tabs>
      <w:spacing w:before="240" w:after="200"/>
    </w:pPr>
    <w:rPr>
      <w:rFonts w:ascii="Arial" w:hAnsi="Arial"/>
      <w:b/>
      <w:sz w:val="20"/>
      <w:lang w:val="de-DE" w:eastAsia="de-DE"/>
    </w:rPr>
  </w:style>
  <w:style w:type="paragraph" w:styleId="a6">
    <w:name w:val="Body Text Indent"/>
    <w:basedOn w:val="a"/>
    <w:rsid w:val="00D03312"/>
    <w:pPr>
      <w:widowControl/>
      <w:tabs>
        <w:tab w:val="left" w:pos="851"/>
        <w:tab w:val="left" w:pos="993"/>
      </w:tabs>
      <w:spacing w:line="360" w:lineRule="auto"/>
      <w:ind w:left="851"/>
    </w:pPr>
    <w:rPr>
      <w:rFonts w:ascii="Arial" w:hAnsi="Arial"/>
      <w:b/>
      <w:i/>
      <w:sz w:val="24"/>
      <w:lang w:val="de-DE" w:eastAsia="de-DE"/>
    </w:rPr>
  </w:style>
  <w:style w:type="paragraph" w:customStyle="1" w:styleId="knZulassung02">
    <w:name w:val="knZulassung02"/>
    <w:basedOn w:val="a"/>
    <w:rsid w:val="000D7820"/>
    <w:pPr>
      <w:widowControl/>
      <w:autoSpaceDE w:val="0"/>
      <w:autoSpaceDN w:val="0"/>
      <w:ind w:left="1843" w:right="284"/>
    </w:pPr>
    <w:rPr>
      <w:rFonts w:ascii="Courier" w:hAnsi="Courier"/>
      <w:sz w:val="24"/>
      <w:szCs w:val="24"/>
      <w:lang w:val="de-DE" w:eastAsia="de-DE"/>
    </w:rPr>
  </w:style>
  <w:style w:type="paragraph" w:styleId="a7">
    <w:name w:val="Plain Text"/>
    <w:basedOn w:val="a"/>
    <w:rsid w:val="00A6526F"/>
    <w:pPr>
      <w:widowControl/>
      <w:autoSpaceDE w:val="0"/>
      <w:autoSpaceDN w:val="0"/>
    </w:pPr>
    <w:rPr>
      <w:rFonts w:ascii="Courier New" w:hAnsi="Courier New" w:cs="Courier New"/>
      <w:sz w:val="20"/>
      <w:lang w:val="en-GB"/>
    </w:rPr>
  </w:style>
  <w:style w:type="paragraph" w:styleId="3">
    <w:name w:val="Body Text Indent 3"/>
    <w:basedOn w:val="a"/>
    <w:rsid w:val="00323DFE"/>
    <w:pPr>
      <w:spacing w:after="120"/>
      <w:ind w:left="283"/>
    </w:pPr>
    <w:rPr>
      <w:sz w:val="16"/>
      <w:szCs w:val="16"/>
    </w:rPr>
  </w:style>
  <w:style w:type="paragraph" w:styleId="a8">
    <w:name w:val="Balloon Text"/>
    <w:basedOn w:val="a"/>
    <w:semiHidden/>
    <w:rsid w:val="003A51E5"/>
    <w:rPr>
      <w:rFonts w:ascii="Tahoma" w:hAnsi="Tahoma" w:cs="Tahoma"/>
      <w:sz w:val="16"/>
      <w:szCs w:val="16"/>
    </w:rPr>
  </w:style>
  <w:style w:type="paragraph" w:customStyle="1" w:styleId="s-2us">
    <w:name w:val="üs-2us"/>
    <w:basedOn w:val="a"/>
    <w:rsid w:val="00682239"/>
    <w:pPr>
      <w:widowControl/>
      <w:tabs>
        <w:tab w:val="left" w:pos="-1259"/>
        <w:tab w:val="left" w:pos="-539"/>
        <w:tab w:val="left" w:pos="851"/>
        <w:tab w:val="left" w:pos="126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uppressAutoHyphens/>
      <w:spacing w:after="120" w:line="312" w:lineRule="auto"/>
      <w:ind w:left="851" w:hanging="851"/>
    </w:pPr>
    <w:rPr>
      <w:sz w:val="24"/>
      <w:u w:val="single"/>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6399</Words>
  <Characters>34555</Characters>
  <Application>Microsoft Office Word</Application>
  <DocSecurity>0</DocSecurity>
  <Lines>287</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vt:lpstr>
      <vt:lpstr>ΠΑΡΑΡΤΗΜΑ Ι</vt:lpstr>
    </vt:vector>
  </TitlesOfParts>
  <Company>FKH</Company>
  <LinksUpToDate>false</LinksUpToDate>
  <CharactersWithSpaces>40873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dc:title>
  <dc:creator>ipetraki</dc:creator>
  <cp:lastModifiedBy>user146</cp:lastModifiedBy>
  <cp:revision>2</cp:revision>
  <cp:lastPrinted>2014-03-19T11:10:00Z</cp:lastPrinted>
  <dcterms:created xsi:type="dcterms:W3CDTF">2014-03-19T11:10:00Z</dcterms:created>
  <dcterms:modified xsi:type="dcterms:W3CDTF">2014-03-19T11:10:00Z</dcterms:modified>
</cp:coreProperties>
</file>