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A9" w:rsidRDefault="00F700A9" w:rsidP="00536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10DC5" w:rsidRDefault="00010DC5" w:rsidP="00536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F700A9" w:rsidRDefault="00F700A9" w:rsidP="00536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00A9" w:rsidRDefault="00F700A9" w:rsidP="00536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36AD7" w:rsidRPr="00DB0043" w:rsidRDefault="00536AD7" w:rsidP="00F7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AD7">
        <w:rPr>
          <w:rFonts w:ascii="Times New Roman" w:hAnsi="Times New Roman" w:cs="Times New Roman"/>
          <w:b/>
          <w:bCs/>
          <w:sz w:val="24"/>
          <w:szCs w:val="24"/>
        </w:rPr>
        <w:t>ΠΕΡΙΛΗΨΗ ΧΑΡΑΚΤΗΡΙΣΤΙΚΩΝ ΤΟΥ ΠΡΟΙΟΝΤΟΣ</w:t>
      </w:r>
    </w:p>
    <w:p w:rsidR="00F700A9" w:rsidRPr="00DB0043" w:rsidRDefault="00F700A9" w:rsidP="00F7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0A9" w:rsidRPr="00DB0043" w:rsidRDefault="00F700A9" w:rsidP="00F7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AD7" w:rsidRPr="00F700A9" w:rsidRDefault="00536AD7" w:rsidP="00F700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700A9">
        <w:rPr>
          <w:rFonts w:ascii="Times New Roman" w:hAnsi="Times New Roman" w:cs="Times New Roman"/>
          <w:b/>
          <w:bCs/>
          <w:sz w:val="24"/>
          <w:szCs w:val="24"/>
        </w:rPr>
        <w:t>ΟΝΟΜΑΣΙΑ ΤΟΥ ΦΑΡΜΑΚΕΥΤΙΚΟΥ ΠΡΟΪΟΝΤΟΣ</w:t>
      </w:r>
    </w:p>
    <w:p w:rsidR="00DB0043" w:rsidRPr="00DB0043" w:rsidRDefault="00DB0043" w:rsidP="00DB0043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00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LEPIZOR 20mg/cap </w:t>
      </w:r>
      <w:r w:rsidRPr="00DB0043">
        <w:rPr>
          <w:rFonts w:ascii="Times New Roman" w:hAnsi="Times New Roman" w:cs="Times New Roman"/>
          <w:bCs/>
          <w:sz w:val="24"/>
          <w:szCs w:val="24"/>
        </w:rPr>
        <w:t>σκληρά</w:t>
      </w:r>
      <w:r w:rsidRPr="00DB00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B0043">
        <w:rPr>
          <w:rFonts w:ascii="Times New Roman" w:hAnsi="Times New Roman" w:cs="Times New Roman"/>
          <w:bCs/>
          <w:sz w:val="24"/>
          <w:szCs w:val="24"/>
        </w:rPr>
        <w:t>καψάκια</w:t>
      </w:r>
      <w:r w:rsidRPr="00DB00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DB0043" w:rsidRPr="00DB0043" w:rsidRDefault="00DB0043" w:rsidP="00DB0043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0043">
        <w:rPr>
          <w:rFonts w:ascii="Times New Roman" w:hAnsi="Times New Roman" w:cs="Times New Roman"/>
          <w:bCs/>
          <w:sz w:val="24"/>
          <w:szCs w:val="24"/>
          <w:lang w:val="en-US"/>
        </w:rPr>
        <w:t>LEPIZOR</w:t>
      </w:r>
      <w:r w:rsidRPr="00DB0043">
        <w:rPr>
          <w:rFonts w:ascii="Times New Roman" w:hAnsi="Times New Roman" w:cs="Times New Roman"/>
          <w:bCs/>
          <w:sz w:val="24"/>
          <w:szCs w:val="24"/>
        </w:rPr>
        <w:t xml:space="preserve"> 40</w:t>
      </w:r>
      <w:r w:rsidRPr="00DB0043">
        <w:rPr>
          <w:rFonts w:ascii="Times New Roman" w:hAnsi="Times New Roman" w:cs="Times New Roman"/>
          <w:bCs/>
          <w:sz w:val="24"/>
          <w:szCs w:val="24"/>
          <w:lang w:val="en-US"/>
        </w:rPr>
        <w:t>mg</w:t>
      </w:r>
      <w:r w:rsidRPr="00DB0043">
        <w:rPr>
          <w:rFonts w:ascii="Times New Roman" w:hAnsi="Times New Roman" w:cs="Times New Roman"/>
          <w:bCs/>
          <w:sz w:val="24"/>
          <w:szCs w:val="24"/>
        </w:rPr>
        <w:t>/</w:t>
      </w:r>
      <w:r w:rsidRPr="00DB0043">
        <w:rPr>
          <w:rFonts w:ascii="Times New Roman" w:hAnsi="Times New Roman" w:cs="Times New Roman"/>
          <w:bCs/>
          <w:sz w:val="24"/>
          <w:szCs w:val="24"/>
          <w:lang w:val="en-US"/>
        </w:rPr>
        <w:t>cap</w:t>
      </w:r>
      <w:r w:rsidRPr="00DB0043">
        <w:rPr>
          <w:rFonts w:ascii="Times New Roman" w:hAnsi="Times New Roman" w:cs="Times New Roman"/>
          <w:bCs/>
          <w:sz w:val="24"/>
          <w:szCs w:val="24"/>
        </w:rPr>
        <w:t xml:space="preserve"> σκληρά καψάκια</w:t>
      </w:r>
    </w:p>
    <w:p w:rsidR="00F700A9" w:rsidRPr="00DB0043" w:rsidRDefault="00F700A9" w:rsidP="00F700A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00A9" w:rsidRPr="00DB0043" w:rsidRDefault="00F700A9" w:rsidP="00F700A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AD7" w:rsidRDefault="00536AD7" w:rsidP="00F700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00A9">
        <w:rPr>
          <w:rFonts w:ascii="Times New Roman" w:hAnsi="Times New Roman" w:cs="Times New Roman"/>
          <w:b/>
          <w:bCs/>
          <w:sz w:val="24"/>
          <w:szCs w:val="24"/>
        </w:rPr>
        <w:t>ΠΟΙΟΤΙΚΗ ΚΑΙ ΠΟΣΟΤΙΚΗ ΣΥΝΘΕΣΗ</w:t>
      </w:r>
    </w:p>
    <w:p w:rsidR="007B1959" w:rsidRPr="007B1959" w:rsidRDefault="007B1959" w:rsidP="007B195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1959">
        <w:rPr>
          <w:rFonts w:ascii="Times New Roman" w:hAnsi="Times New Roman" w:cs="Times New Roman"/>
          <w:bCs/>
          <w:sz w:val="24"/>
          <w:szCs w:val="24"/>
        </w:rPr>
        <w:t>20</w:t>
      </w:r>
      <w:r w:rsidRPr="00DB0043">
        <w:rPr>
          <w:rFonts w:ascii="Times New Roman" w:hAnsi="Times New Roman" w:cs="Times New Roman"/>
          <w:bCs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bCs/>
          <w:sz w:val="24"/>
          <w:szCs w:val="24"/>
        </w:rPr>
        <w:t xml:space="preserve">: Κάθε καψακιο περιέχει </w:t>
      </w:r>
      <w:r w:rsidRPr="007B1959">
        <w:rPr>
          <w:rFonts w:ascii="Times New Roman" w:hAnsi="Times New Roman" w:cs="Times New Roman"/>
          <w:bCs/>
          <w:sz w:val="24"/>
          <w:szCs w:val="24"/>
        </w:rPr>
        <w:t>20</w:t>
      </w:r>
      <w:r w:rsidRPr="00DB0043">
        <w:rPr>
          <w:rFonts w:ascii="Times New Roman" w:hAnsi="Times New Roman" w:cs="Times New Roman"/>
          <w:bCs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bCs/>
          <w:sz w:val="24"/>
          <w:szCs w:val="24"/>
        </w:rPr>
        <w:t xml:space="preserve"> ομεπραζόλη</w:t>
      </w:r>
    </w:p>
    <w:p w:rsidR="007B1959" w:rsidRPr="007B1959" w:rsidRDefault="007B1959" w:rsidP="007B195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7B1959">
        <w:rPr>
          <w:rFonts w:ascii="Times New Roman" w:hAnsi="Times New Roman" w:cs="Times New Roman"/>
          <w:bCs/>
          <w:sz w:val="24"/>
          <w:szCs w:val="24"/>
        </w:rPr>
        <w:t>0</w:t>
      </w:r>
      <w:r w:rsidRPr="00DB0043">
        <w:rPr>
          <w:rFonts w:ascii="Times New Roman" w:hAnsi="Times New Roman" w:cs="Times New Roman"/>
          <w:bCs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bCs/>
          <w:sz w:val="24"/>
          <w:szCs w:val="24"/>
        </w:rPr>
        <w:t>: Κάθε καψακιο περιέχει 4</w:t>
      </w:r>
      <w:r w:rsidRPr="007B1959">
        <w:rPr>
          <w:rFonts w:ascii="Times New Roman" w:hAnsi="Times New Roman" w:cs="Times New Roman"/>
          <w:bCs/>
          <w:sz w:val="24"/>
          <w:szCs w:val="24"/>
        </w:rPr>
        <w:t>0</w:t>
      </w:r>
      <w:r w:rsidRPr="00DB0043">
        <w:rPr>
          <w:rFonts w:ascii="Times New Roman" w:hAnsi="Times New Roman" w:cs="Times New Roman"/>
          <w:bCs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bCs/>
          <w:sz w:val="24"/>
          <w:szCs w:val="24"/>
        </w:rPr>
        <w:t xml:space="preserve"> ομεπραζόλη</w:t>
      </w:r>
    </w:p>
    <w:p w:rsidR="00F700A9" w:rsidRPr="00F700A9" w:rsidRDefault="00F700A9" w:rsidP="00F700A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6AD7" w:rsidRPr="00F700A9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36AD7">
        <w:rPr>
          <w:rFonts w:ascii="Times New Roman" w:eastAsia="TimesNewRomanPSMT" w:hAnsi="Times New Roman" w:cs="Times New Roman"/>
          <w:sz w:val="24"/>
          <w:szCs w:val="24"/>
        </w:rPr>
        <w:t>Για τον πλήρη κατάλογο των εκδόχων, βλ. παράγραφο 6.1.</w:t>
      </w:r>
    </w:p>
    <w:p w:rsidR="00F700A9" w:rsidRPr="00F700A9" w:rsidRDefault="00F700A9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6AD7" w:rsidRPr="00F700A9" w:rsidRDefault="00536AD7" w:rsidP="00F700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00A9">
        <w:rPr>
          <w:rFonts w:ascii="Times New Roman" w:hAnsi="Times New Roman" w:cs="Times New Roman"/>
          <w:b/>
          <w:bCs/>
          <w:sz w:val="24"/>
          <w:szCs w:val="24"/>
        </w:rPr>
        <w:t>ΦΑΡΜΑΚΟΤΕΧΝΙΚΗ ΜΟΡΦΗ</w:t>
      </w:r>
    </w:p>
    <w:p w:rsidR="00F700A9" w:rsidRPr="00F700A9" w:rsidRDefault="00F700A9" w:rsidP="00F700A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6AD7" w:rsidRDefault="00536AD7" w:rsidP="00F700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36AD7">
        <w:rPr>
          <w:rFonts w:ascii="Times New Roman" w:hAnsi="Times New Roman" w:cs="Times New Roman"/>
          <w:b/>
          <w:bCs/>
          <w:sz w:val="24"/>
          <w:szCs w:val="24"/>
        </w:rPr>
        <w:t>Γαστροανθεκτικό καψάκιο , σκληρό .</w:t>
      </w:r>
    </w:p>
    <w:p w:rsidR="00F700A9" w:rsidRPr="00F700A9" w:rsidRDefault="00F700A9" w:rsidP="00F700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36AD7" w:rsidRPr="00F700A9" w:rsidRDefault="00536AD7" w:rsidP="00F700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00A9">
        <w:rPr>
          <w:rFonts w:ascii="Times New Roman" w:hAnsi="Times New Roman" w:cs="Times New Roman"/>
          <w:b/>
          <w:bCs/>
          <w:sz w:val="24"/>
          <w:szCs w:val="24"/>
        </w:rPr>
        <w:t>ΚΛΙΝΙΚΕΣ ΠΛΗΡΟΦΟΡΙΕΣ</w:t>
      </w:r>
    </w:p>
    <w:p w:rsidR="00F700A9" w:rsidRPr="00F700A9" w:rsidRDefault="00F700A9" w:rsidP="00F700A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6AD7" w:rsidRPr="00536AD7" w:rsidRDefault="00536AD7" w:rsidP="00F700A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536AD7">
        <w:rPr>
          <w:rFonts w:ascii="Times New Roman" w:hAnsi="Times New Roman" w:cs="Times New Roman"/>
          <w:b/>
          <w:bCs/>
          <w:sz w:val="24"/>
          <w:szCs w:val="24"/>
        </w:rPr>
        <w:t>4.1 Θεραπευτικές ενδείξεις</w:t>
      </w:r>
    </w:p>
    <w:p w:rsidR="00F700A9" w:rsidRDefault="00F700A9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536AD7" w:rsidRPr="00DB0043" w:rsidRDefault="00DB0043" w:rsidP="00536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0043">
        <w:rPr>
          <w:rFonts w:ascii="Times New Roman" w:eastAsia="TimesNewRomanPSMT" w:hAnsi="Times New Roman" w:cs="Times New Roman"/>
          <w:sz w:val="24"/>
          <w:szCs w:val="24"/>
        </w:rPr>
        <w:t xml:space="preserve">Το </w:t>
      </w:r>
      <w:r w:rsidRPr="00DB0043">
        <w:rPr>
          <w:rFonts w:ascii="Times New Roman" w:hAnsi="Times New Roman" w:cs="Times New Roman"/>
          <w:b/>
          <w:bCs/>
          <w:sz w:val="24"/>
          <w:szCs w:val="24"/>
          <w:lang w:val="en-US"/>
        </w:rPr>
        <w:t>LEPIZOR</w:t>
      </w:r>
      <w:r w:rsidRPr="00DB00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AD7" w:rsidRPr="00536AD7">
        <w:rPr>
          <w:rFonts w:ascii="Times New Roman" w:eastAsia="TimesNewRomanPSMT" w:hAnsi="Times New Roman" w:cs="Times New Roman"/>
          <w:sz w:val="24"/>
          <w:szCs w:val="24"/>
        </w:rPr>
        <w:t>καψάκια ενδείκνυνται για:</w:t>
      </w:r>
    </w:p>
    <w:p w:rsidR="00F700A9" w:rsidRPr="00DB0043" w:rsidRDefault="00F700A9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6AD7" w:rsidRPr="00F700A9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F700A9">
        <w:rPr>
          <w:rFonts w:ascii="Times New Roman" w:eastAsia="TimesNewRomanPSMT" w:hAnsi="Times New Roman" w:cs="Times New Roman"/>
          <w:sz w:val="24"/>
          <w:szCs w:val="24"/>
          <w:u w:val="single"/>
        </w:rPr>
        <w:t>Ενήλικες</w:t>
      </w:r>
    </w:p>
    <w:p w:rsidR="00536AD7" w:rsidRPr="00F700A9" w:rsidRDefault="00536AD7" w:rsidP="00F700A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0A9">
        <w:rPr>
          <w:rFonts w:ascii="Times New Roman" w:eastAsia="TimesNewRomanPSMT" w:hAnsi="Times New Roman" w:cs="Times New Roman"/>
          <w:sz w:val="24"/>
          <w:szCs w:val="24"/>
        </w:rPr>
        <w:t>Θεραπεία δωδεκαδακτυλικών ελκών</w:t>
      </w:r>
    </w:p>
    <w:p w:rsidR="00536AD7" w:rsidRPr="00F700A9" w:rsidRDefault="00536AD7" w:rsidP="00F700A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0A9">
        <w:rPr>
          <w:rFonts w:ascii="Times New Roman" w:eastAsia="TimesNewRomanPSMT" w:hAnsi="Times New Roman" w:cs="Times New Roman"/>
          <w:sz w:val="24"/>
          <w:szCs w:val="24"/>
        </w:rPr>
        <w:t>Πρόληψη υποτροπής δωδεκαδακτυλικών ελκών</w:t>
      </w:r>
    </w:p>
    <w:p w:rsidR="00536AD7" w:rsidRPr="00F700A9" w:rsidRDefault="00536AD7" w:rsidP="00F700A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0A9">
        <w:rPr>
          <w:rFonts w:ascii="Times New Roman" w:eastAsia="TimesNewRomanPSMT" w:hAnsi="Times New Roman" w:cs="Times New Roman"/>
          <w:sz w:val="24"/>
          <w:szCs w:val="24"/>
        </w:rPr>
        <w:t>Θεραπεία γαστρικών ελκών</w:t>
      </w:r>
    </w:p>
    <w:p w:rsidR="00536AD7" w:rsidRPr="00F700A9" w:rsidRDefault="00536AD7" w:rsidP="00F700A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0A9">
        <w:rPr>
          <w:rFonts w:ascii="Times New Roman" w:eastAsia="TimesNewRomanPSMT" w:hAnsi="Times New Roman" w:cs="Times New Roman"/>
          <w:sz w:val="24"/>
          <w:szCs w:val="24"/>
        </w:rPr>
        <w:t>Πρόληψη υποτροπής γαστρικών ελκών</w:t>
      </w:r>
    </w:p>
    <w:p w:rsidR="00536AD7" w:rsidRPr="00F700A9" w:rsidRDefault="00536AD7" w:rsidP="00536AD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0A9">
        <w:rPr>
          <w:rFonts w:ascii="Times New Roman" w:eastAsia="TimesNewRomanPSMT" w:hAnsi="Times New Roman" w:cs="Times New Roman"/>
          <w:sz w:val="24"/>
          <w:szCs w:val="24"/>
        </w:rPr>
        <w:t>Σε συνδυασμό με κατάλληλα αντιβιοτικά, εκρίζωση του Ελικοβακτηριδίου του Πυλωρού σε</w:t>
      </w:r>
      <w:r w:rsidR="00F700A9" w:rsidRPr="00F700A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700A9">
        <w:rPr>
          <w:rFonts w:ascii="Times New Roman" w:eastAsia="TimesNewRomanPSMT" w:hAnsi="Times New Roman" w:cs="Times New Roman"/>
          <w:sz w:val="24"/>
          <w:szCs w:val="24"/>
        </w:rPr>
        <w:t>πεπτικό έλκος</w:t>
      </w:r>
    </w:p>
    <w:p w:rsidR="00536AD7" w:rsidRPr="00F700A9" w:rsidRDefault="00536AD7" w:rsidP="00F700A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0A9">
        <w:rPr>
          <w:rFonts w:ascii="Times New Roman" w:eastAsia="TimesNewRomanPSMT" w:hAnsi="Times New Roman" w:cs="Times New Roman"/>
          <w:sz w:val="24"/>
          <w:szCs w:val="24"/>
        </w:rPr>
        <w:t>Θεραπεία γαστρικών και δωδεκαδακτυλικών ελκών που σχετίζονται με ΜΣΑΦ</w:t>
      </w:r>
    </w:p>
    <w:p w:rsidR="00536AD7" w:rsidRPr="00F700A9" w:rsidRDefault="00536AD7" w:rsidP="00536AD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0A9">
        <w:rPr>
          <w:rFonts w:ascii="Times New Roman" w:eastAsia="TimesNewRomanPSMT" w:hAnsi="Times New Roman" w:cs="Times New Roman"/>
          <w:sz w:val="24"/>
          <w:szCs w:val="24"/>
        </w:rPr>
        <w:t>Πρόληψη από γαστρικά και δωδεκαδακτυλικά έλκη που σχετίζονται με ΜΣΑΦ σε ασθενείς</w:t>
      </w:r>
      <w:r w:rsidR="00F700A9" w:rsidRPr="00F700A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700A9">
        <w:rPr>
          <w:rFonts w:ascii="Times New Roman" w:eastAsia="TimesNewRomanPSMT" w:hAnsi="Times New Roman" w:cs="Times New Roman"/>
          <w:sz w:val="24"/>
          <w:szCs w:val="24"/>
        </w:rPr>
        <w:t>υψηλού κινδύνου</w:t>
      </w:r>
    </w:p>
    <w:p w:rsidR="00536AD7" w:rsidRPr="00F700A9" w:rsidRDefault="00536AD7" w:rsidP="00F700A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0A9">
        <w:rPr>
          <w:rFonts w:ascii="Times New Roman" w:eastAsia="TimesNewRomanPSMT" w:hAnsi="Times New Roman" w:cs="Times New Roman"/>
          <w:sz w:val="24"/>
          <w:szCs w:val="24"/>
        </w:rPr>
        <w:t>Θεραπεία οισοφαγίτιδας από παλινδρόμηση</w:t>
      </w:r>
    </w:p>
    <w:p w:rsidR="00536AD7" w:rsidRPr="00F700A9" w:rsidRDefault="00536AD7" w:rsidP="00F700A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0A9">
        <w:rPr>
          <w:rFonts w:ascii="Times New Roman" w:eastAsia="TimesNewRomanPSMT" w:hAnsi="Times New Roman" w:cs="Times New Roman"/>
          <w:sz w:val="24"/>
          <w:szCs w:val="24"/>
        </w:rPr>
        <w:t>Μακροχρόνια θεραπευτική αγωγή ασθενών με επουλωμένη οισοφαγίτιδα από παλινδρόμηση</w:t>
      </w:r>
    </w:p>
    <w:p w:rsidR="00536AD7" w:rsidRPr="00FA0D7F" w:rsidRDefault="00536AD7" w:rsidP="00FA0D7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A0D7F">
        <w:rPr>
          <w:rFonts w:ascii="Times New Roman" w:eastAsia="TimesNewRomanPSMT" w:hAnsi="Times New Roman" w:cs="Times New Roman"/>
          <w:sz w:val="24"/>
          <w:szCs w:val="24"/>
        </w:rPr>
        <w:t>Θεραπεία συμπτωματικής γαστροοισοφαγικής παλινδρομικής νόσου</w:t>
      </w:r>
    </w:p>
    <w:p w:rsidR="00536AD7" w:rsidRPr="00FA0D7F" w:rsidRDefault="00536AD7" w:rsidP="00FA0D7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A0D7F">
        <w:rPr>
          <w:rFonts w:ascii="Times New Roman" w:eastAsia="TimesNewRomanPSMT" w:hAnsi="Times New Roman" w:cs="Times New Roman"/>
          <w:sz w:val="24"/>
          <w:szCs w:val="24"/>
        </w:rPr>
        <w:t>Θεραπεία συνδρόμου Zollinger-Ellison</w:t>
      </w:r>
    </w:p>
    <w:p w:rsidR="00FA0D7F" w:rsidRPr="00FA0D7F" w:rsidRDefault="00FA0D7F" w:rsidP="00FA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6AD7" w:rsidRPr="00FA0D7F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FA0D7F">
        <w:rPr>
          <w:rFonts w:ascii="Times New Roman" w:eastAsia="TimesNewRomanPSMT" w:hAnsi="Times New Roman" w:cs="Times New Roman"/>
          <w:sz w:val="24"/>
          <w:szCs w:val="24"/>
          <w:u w:val="single"/>
        </w:rPr>
        <w:t>Παιδιατρική χρήση</w:t>
      </w: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536AD7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Παιδιά άνω του 1 έτους και ≥ 10 kg</w:t>
      </w:r>
    </w:p>
    <w:p w:rsidR="00536AD7" w:rsidRPr="00FA0D7F" w:rsidRDefault="00536AD7" w:rsidP="00FA0D7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A0D7F">
        <w:rPr>
          <w:rFonts w:ascii="Times New Roman" w:eastAsia="TimesNewRomanPSMT" w:hAnsi="Times New Roman" w:cs="Times New Roman"/>
          <w:sz w:val="24"/>
          <w:szCs w:val="24"/>
        </w:rPr>
        <w:t>Θεραπεία της οισοφαγίτιδας από παλινδρόμηση</w:t>
      </w:r>
    </w:p>
    <w:p w:rsidR="00536AD7" w:rsidRPr="00FA0D7F" w:rsidRDefault="00536AD7" w:rsidP="00536AD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A0D7F">
        <w:rPr>
          <w:rFonts w:ascii="Times New Roman" w:eastAsia="TimesNewRomanPSMT" w:hAnsi="Times New Roman" w:cs="Times New Roman"/>
          <w:sz w:val="24"/>
          <w:szCs w:val="24"/>
        </w:rPr>
        <w:lastRenderedPageBreak/>
        <w:t>Συμπτωματική θεραπεία του καύσου στομάχου και της αναγωγής οξέος σε γαστροοισοφαγική</w:t>
      </w:r>
      <w:r w:rsidR="00FA0D7F" w:rsidRPr="00FA0D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A0D7F">
        <w:rPr>
          <w:rFonts w:ascii="Times New Roman" w:eastAsia="TimesNewRomanPSMT" w:hAnsi="Times New Roman" w:cs="Times New Roman"/>
          <w:sz w:val="24"/>
          <w:szCs w:val="24"/>
        </w:rPr>
        <w:t>παλινδρόμηση</w:t>
      </w:r>
    </w:p>
    <w:p w:rsidR="00FA0D7F" w:rsidRPr="00DB0043" w:rsidRDefault="00FA0D7F" w:rsidP="00FA0D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A0D7F" w:rsidRPr="00DB0043" w:rsidRDefault="00FA0D7F" w:rsidP="00FA0D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A0D7F" w:rsidRPr="00DB0043" w:rsidRDefault="00FA0D7F" w:rsidP="00FA0D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A0D7F" w:rsidRPr="00DB0043" w:rsidRDefault="00FA0D7F" w:rsidP="00FA0D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A0D7F" w:rsidRPr="00DB0043" w:rsidRDefault="00FA0D7F" w:rsidP="00FA0D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A0D7F" w:rsidRPr="00DB0043" w:rsidRDefault="00FA0D7F" w:rsidP="00FA0D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536AD7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Παιδιά και έφηβοι άνω των 4 ετών</w:t>
      </w:r>
    </w:p>
    <w:p w:rsidR="00536AD7" w:rsidRPr="00FA0D7F" w:rsidRDefault="00536AD7" w:rsidP="00536AD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A0D7F">
        <w:rPr>
          <w:rFonts w:ascii="Times New Roman" w:eastAsia="TimesNewRomanPSMT" w:hAnsi="Times New Roman" w:cs="Times New Roman"/>
          <w:sz w:val="24"/>
          <w:szCs w:val="24"/>
        </w:rPr>
        <w:t>Σε συνδυασμό με αντιβιοτικά στη θεραπεία του δωδεκαδακτυλικού έλκους που προκαλείται από</w:t>
      </w:r>
      <w:r w:rsidR="00FA0D7F" w:rsidRPr="00FA0D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A0D7F">
        <w:rPr>
          <w:rFonts w:ascii="Times New Roman" w:eastAsia="TimesNewRomanPSMT" w:hAnsi="Times New Roman" w:cs="Times New Roman"/>
          <w:sz w:val="24"/>
          <w:szCs w:val="24"/>
        </w:rPr>
        <w:t>το Ελικοβακτηρίδιο του Πυλωρού.</w:t>
      </w:r>
    </w:p>
    <w:p w:rsidR="00FA0D7F" w:rsidRPr="00FA0D7F" w:rsidRDefault="00FA0D7F" w:rsidP="00FA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6AD7" w:rsidRPr="00FA0D7F" w:rsidRDefault="00536AD7" w:rsidP="00FA0D7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A0D7F">
        <w:rPr>
          <w:rFonts w:ascii="Times New Roman" w:hAnsi="Times New Roman" w:cs="Times New Roman"/>
          <w:b/>
          <w:bCs/>
          <w:sz w:val="24"/>
          <w:szCs w:val="24"/>
        </w:rPr>
        <w:t>Δοσολογία και τρόπος χορήγησης</w:t>
      </w:r>
    </w:p>
    <w:p w:rsidR="00FA0D7F" w:rsidRPr="00FA0D7F" w:rsidRDefault="00FA0D7F" w:rsidP="00FA0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  <w:lang w:val="en-US"/>
        </w:rPr>
      </w:pPr>
      <w:r w:rsidRPr="00FA0D7F">
        <w:rPr>
          <w:rFonts w:ascii="Times New Roman" w:eastAsia="TimesNewRomanPSMT" w:hAnsi="Times New Roman" w:cs="Times New Roman"/>
          <w:sz w:val="24"/>
          <w:szCs w:val="24"/>
          <w:u w:val="single"/>
        </w:rPr>
        <w:t>Δοσολογία σε ενήλικες</w:t>
      </w:r>
    </w:p>
    <w:p w:rsidR="00FA0D7F" w:rsidRPr="00FA0D7F" w:rsidRDefault="00FA0D7F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  <w:lang w:val="en-US"/>
        </w:rPr>
      </w:pP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536AD7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Θεραπεία δωδεκαδακτυλικού έλκους</w:t>
      </w:r>
    </w:p>
    <w:p w:rsidR="00621117" w:rsidRPr="00B561D9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36AD7">
        <w:rPr>
          <w:rFonts w:ascii="Times New Roman" w:eastAsia="TimesNewRomanPSMT" w:hAnsi="Times New Roman" w:cs="Times New Roman"/>
          <w:sz w:val="24"/>
          <w:szCs w:val="24"/>
        </w:rPr>
        <w:t xml:space="preserve">Η συνιστώμενη δόση σε ασθενείς με ενεργό δωδεκαδακτυλικό έλκος είναι </w:t>
      </w:r>
    </w:p>
    <w:p w:rsidR="00536AD7" w:rsidRPr="00DB0043" w:rsidRDefault="0062111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Pr="0062111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36AD7" w:rsidRPr="00536AD7">
        <w:rPr>
          <w:rFonts w:ascii="Times New Roman" w:eastAsia="TimesNewRomanPSMT" w:hAnsi="Times New Roman" w:cs="Times New Roman"/>
          <w:sz w:val="24"/>
          <w:szCs w:val="24"/>
        </w:rPr>
        <w:t>20</w:t>
      </w:r>
      <w:r w:rsidR="00FA0D7F">
        <w:rPr>
          <w:rFonts w:ascii="Times New Roman" w:eastAsia="TimesNewRomanPSMT" w:hAnsi="Times New Roman" w:cs="Times New Roman"/>
          <w:sz w:val="24"/>
          <w:szCs w:val="24"/>
        </w:rPr>
        <w:t xml:space="preserve"> mg μία φορά ημερησίως.</w:t>
      </w:r>
      <w:proofErr w:type="gramEnd"/>
      <w:r w:rsidR="00FA0D7F" w:rsidRPr="00FA0D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36AD7" w:rsidRPr="00536AD7">
        <w:rPr>
          <w:rFonts w:ascii="Times New Roman" w:eastAsia="TimesNewRomanPSMT" w:hAnsi="Times New Roman" w:cs="Times New Roman"/>
          <w:sz w:val="24"/>
          <w:szCs w:val="24"/>
        </w:rPr>
        <w:t>Στους περισσότερους ασθενείς η επούλωση επέρχεται εντός δύο εβδομά</w:t>
      </w:r>
      <w:r w:rsidR="00FA0D7F">
        <w:rPr>
          <w:rFonts w:ascii="Times New Roman" w:eastAsia="TimesNewRomanPSMT" w:hAnsi="Times New Roman" w:cs="Times New Roman"/>
          <w:sz w:val="24"/>
          <w:szCs w:val="24"/>
        </w:rPr>
        <w:t>δων. Για εκείνους τους ασθενείς</w:t>
      </w:r>
      <w:r w:rsidR="00FA0D7F" w:rsidRPr="00FA0D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36AD7" w:rsidRPr="00536AD7">
        <w:rPr>
          <w:rFonts w:ascii="Times New Roman" w:eastAsia="TimesNewRomanPSMT" w:hAnsi="Times New Roman" w:cs="Times New Roman"/>
          <w:sz w:val="24"/>
          <w:szCs w:val="24"/>
        </w:rPr>
        <w:t>που μπορεί να μην επιτεύχθηκε πλήρης επούλωση μετά από την αρχι</w:t>
      </w:r>
      <w:r w:rsidR="00FA0D7F">
        <w:rPr>
          <w:rFonts w:ascii="Times New Roman" w:eastAsia="TimesNewRomanPSMT" w:hAnsi="Times New Roman" w:cs="Times New Roman"/>
          <w:sz w:val="24"/>
          <w:szCs w:val="24"/>
        </w:rPr>
        <w:t>κή θεραπεία, η επούλωση συνήθως</w:t>
      </w:r>
      <w:r w:rsidR="00FA0D7F" w:rsidRPr="00FA0D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36AD7" w:rsidRPr="00536AD7">
        <w:rPr>
          <w:rFonts w:ascii="Times New Roman" w:eastAsia="TimesNewRomanPSMT" w:hAnsi="Times New Roman" w:cs="Times New Roman"/>
          <w:sz w:val="24"/>
          <w:szCs w:val="24"/>
        </w:rPr>
        <w:t>επέρχεται κατά τη διάρκεια μίας επιπλέον περιόδου θεραπείας δύο εβδομάδων. Σε ασθενείς με χαμηλή</w:t>
      </w:r>
      <w:r w:rsidRPr="0062111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36AD7" w:rsidRPr="00536AD7">
        <w:rPr>
          <w:rFonts w:ascii="Times New Roman" w:eastAsia="TimesNewRomanPSMT" w:hAnsi="Times New Roman" w:cs="Times New Roman"/>
          <w:sz w:val="24"/>
          <w:szCs w:val="24"/>
        </w:rPr>
        <w:t xml:space="preserve">απόκριση του </w:t>
      </w:r>
      <w:r>
        <w:rPr>
          <w:rFonts w:ascii="Times New Roman" w:eastAsia="TimesNewRomanPSMT" w:hAnsi="Times New Roman" w:cs="Times New Roman"/>
          <w:sz w:val="24"/>
          <w:szCs w:val="24"/>
        </w:rPr>
        <w:t>δωδεκαδακτυλικού έλκους συνιστά</w:t>
      </w:r>
      <w:r w:rsidR="00536AD7" w:rsidRPr="00536AD7">
        <w:rPr>
          <w:rFonts w:ascii="Times New Roman" w:eastAsia="TimesNewRomanPSMT" w:hAnsi="Times New Roman" w:cs="Times New Roman"/>
          <w:sz w:val="24"/>
          <w:szCs w:val="24"/>
        </w:rPr>
        <w:t xml:space="preserve">ται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Pr="0062111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36AD7" w:rsidRPr="00536AD7">
        <w:rPr>
          <w:rFonts w:ascii="Times New Roman" w:eastAsia="TimesNewRomanPSMT" w:hAnsi="Times New Roman" w:cs="Times New Roman"/>
          <w:sz w:val="24"/>
          <w:szCs w:val="24"/>
        </w:rPr>
        <w:t>40 mg μί</w:t>
      </w:r>
      <w:r w:rsidR="00FA0D7F">
        <w:rPr>
          <w:rFonts w:ascii="Times New Roman" w:eastAsia="TimesNewRomanPSMT" w:hAnsi="Times New Roman" w:cs="Times New Roman"/>
          <w:sz w:val="24"/>
          <w:szCs w:val="24"/>
        </w:rPr>
        <w:t>α φορά ημερησίως και η επούλωση</w:t>
      </w:r>
      <w:r w:rsidR="00FA0D7F" w:rsidRPr="00FA0D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36AD7" w:rsidRPr="00536AD7">
        <w:rPr>
          <w:rFonts w:ascii="Times New Roman" w:eastAsia="TimesNewRomanPSMT" w:hAnsi="Times New Roman" w:cs="Times New Roman"/>
          <w:sz w:val="24"/>
          <w:szCs w:val="24"/>
        </w:rPr>
        <w:t>επιτυγχάνεται συνήθως μέσα σε τέσσερις εβδομάδες.</w:t>
      </w:r>
    </w:p>
    <w:p w:rsidR="00FA0D7F" w:rsidRPr="00DB0043" w:rsidRDefault="00FA0D7F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536AD7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Πρόληψη υποτροπής δωδεκαδακτυλικών ελκών</w:t>
      </w: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36AD7">
        <w:rPr>
          <w:rFonts w:ascii="Times New Roman" w:eastAsia="TimesNewRomanPSMT" w:hAnsi="Times New Roman" w:cs="Times New Roman"/>
          <w:sz w:val="24"/>
          <w:szCs w:val="24"/>
        </w:rPr>
        <w:t>Για την πρόληψη υποτροπής του δωδεκαδακτυλικού έλκους σε αρν</w:t>
      </w:r>
      <w:r w:rsidR="00FA0D7F">
        <w:rPr>
          <w:rFonts w:ascii="Times New Roman" w:eastAsia="TimesNewRomanPSMT" w:hAnsi="Times New Roman" w:cs="Times New Roman"/>
          <w:sz w:val="24"/>
          <w:szCs w:val="24"/>
        </w:rPr>
        <w:t>ητικούς στο Ελικοβακτηρίδιο του</w:t>
      </w:r>
      <w:r w:rsidR="00FA0D7F" w:rsidRPr="00FA0D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Πυλωρού ασθενείς ή όταν το Ελικοβακτηρίδιο του Πυλωρού δ</w:t>
      </w:r>
      <w:r w:rsidR="00FA0D7F">
        <w:rPr>
          <w:rFonts w:ascii="Times New Roman" w:eastAsia="TimesNewRomanPSMT" w:hAnsi="Times New Roman" w:cs="Times New Roman"/>
          <w:sz w:val="24"/>
          <w:szCs w:val="24"/>
        </w:rPr>
        <w:t>εν είναι δυνατόν να εκριζωθεί η</w:t>
      </w:r>
      <w:r w:rsidR="00FA0D7F" w:rsidRPr="00FA0D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 xml:space="preserve">συνιστώμενη δόση είναι </w:t>
      </w:r>
      <w:r w:rsidR="00621117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621117" w:rsidRPr="0062111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20 mg μία φορά ημερησίως. Σε ορισμένο</w:t>
      </w:r>
      <w:r w:rsidR="00FA0D7F">
        <w:rPr>
          <w:rFonts w:ascii="Times New Roman" w:eastAsia="TimesNewRomanPSMT" w:hAnsi="Times New Roman" w:cs="Times New Roman"/>
          <w:sz w:val="24"/>
          <w:szCs w:val="24"/>
        </w:rPr>
        <w:t>υς ασθενείς η ημερήσια δόση των</w:t>
      </w:r>
      <w:r w:rsidR="00FA0D7F" w:rsidRPr="00FA0D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10 mg μπορεί να είναι ικανοποιητική. Σε περίπτωση αποτυχίας της θεραπείας, η δόση μπορεί να αυξηθεί</w:t>
      </w: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36AD7">
        <w:rPr>
          <w:rFonts w:ascii="Times New Roman" w:eastAsia="TimesNewRomanPSMT" w:hAnsi="Times New Roman" w:cs="Times New Roman"/>
          <w:sz w:val="24"/>
          <w:szCs w:val="24"/>
        </w:rPr>
        <w:t>στα 40 mg.</w:t>
      </w:r>
    </w:p>
    <w:p w:rsidR="00FA0D7F" w:rsidRPr="00DB0043" w:rsidRDefault="00FA0D7F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536AD7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Θεραπεία γαστρικών ελκών</w:t>
      </w: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36AD7">
        <w:rPr>
          <w:rFonts w:ascii="Times New Roman" w:eastAsia="TimesNewRomanPSMT" w:hAnsi="Times New Roman" w:cs="Times New Roman"/>
          <w:sz w:val="24"/>
          <w:szCs w:val="24"/>
        </w:rPr>
        <w:t xml:space="preserve">Η συνιστώμενη δόση είναι </w:t>
      </w:r>
      <w:r w:rsidR="00621117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621117" w:rsidRPr="0062111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20 mg μία φορά ημερησίως. Στους πε</w:t>
      </w:r>
      <w:r w:rsidR="00FA0D7F">
        <w:rPr>
          <w:rFonts w:ascii="Times New Roman" w:eastAsia="TimesNewRomanPSMT" w:hAnsi="Times New Roman" w:cs="Times New Roman"/>
          <w:sz w:val="24"/>
          <w:szCs w:val="24"/>
        </w:rPr>
        <w:t>ρισσότερους ασθενείς η επούλωση</w:t>
      </w:r>
      <w:r w:rsidR="00FA0D7F" w:rsidRPr="00FA0D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επέρχεται εντός τεσσάρων εβδομάδων. Για εκείνους τους ασθενεί</w:t>
      </w:r>
      <w:r w:rsidR="00FA0D7F">
        <w:rPr>
          <w:rFonts w:ascii="Times New Roman" w:eastAsia="TimesNewRomanPSMT" w:hAnsi="Times New Roman" w:cs="Times New Roman"/>
          <w:sz w:val="24"/>
          <w:szCs w:val="24"/>
        </w:rPr>
        <w:t>ς που μπορεί να μην επιτεύχθηκε</w:t>
      </w:r>
      <w:r w:rsidR="00FA0D7F" w:rsidRPr="00FA0D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 xml:space="preserve">πλήρης επούλωση μετά από την αρχική θεραπεία, η επούλωση συνήθως </w:t>
      </w:r>
      <w:r w:rsidR="00FA0D7F">
        <w:rPr>
          <w:rFonts w:ascii="Times New Roman" w:eastAsia="TimesNewRomanPSMT" w:hAnsi="Times New Roman" w:cs="Times New Roman"/>
          <w:sz w:val="24"/>
          <w:szCs w:val="24"/>
        </w:rPr>
        <w:t>επέρχεται κατά τη διάρκεια μίας</w:t>
      </w:r>
      <w:r w:rsidR="00FA0D7F" w:rsidRPr="00FA0D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επιπλέον περιόδου θεραπείας τεσσάρων εβδομάδων. Σε ασθενείς με φτωχή απόκριση του γαστρικού</w:t>
      </w:r>
      <w:r w:rsidR="00621117">
        <w:rPr>
          <w:rFonts w:ascii="Times New Roman" w:eastAsia="TimesNewRomanPSMT" w:hAnsi="Times New Roman" w:cs="Times New Roman"/>
          <w:sz w:val="24"/>
          <w:szCs w:val="24"/>
        </w:rPr>
        <w:t xml:space="preserve"> έλκους συνιστά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 xml:space="preserve">ται </w:t>
      </w:r>
      <w:r w:rsidR="00621117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621117" w:rsidRPr="0062111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40 mg μία φορά ημερησίως και η επούλωση επι</w:t>
      </w:r>
      <w:r w:rsidR="00FA0D7F">
        <w:rPr>
          <w:rFonts w:ascii="Times New Roman" w:eastAsia="TimesNewRomanPSMT" w:hAnsi="Times New Roman" w:cs="Times New Roman"/>
          <w:sz w:val="24"/>
          <w:szCs w:val="24"/>
        </w:rPr>
        <w:t>τυγχάνεται συνήθως μέσα σε οκτώ</w:t>
      </w:r>
      <w:r w:rsidR="00FA0D7F" w:rsidRPr="00FA0D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εβδομάδες.</w:t>
      </w:r>
    </w:p>
    <w:p w:rsidR="00FA0D7F" w:rsidRPr="00DB0043" w:rsidRDefault="00FA0D7F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536AD7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Πρόληψη υποτροπής γαστρικών ελκών</w:t>
      </w: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36AD7">
        <w:rPr>
          <w:rFonts w:ascii="Times New Roman" w:eastAsia="TimesNewRomanPSMT" w:hAnsi="Times New Roman" w:cs="Times New Roman"/>
          <w:sz w:val="24"/>
          <w:szCs w:val="24"/>
        </w:rPr>
        <w:t>Για την πρόληψη υποτροπής σε ασθενείς με χαμηλή απόκριση γαστ</w:t>
      </w:r>
      <w:r w:rsidR="00FA0D7F">
        <w:rPr>
          <w:rFonts w:ascii="Times New Roman" w:eastAsia="TimesNewRomanPSMT" w:hAnsi="Times New Roman" w:cs="Times New Roman"/>
          <w:sz w:val="24"/>
          <w:szCs w:val="24"/>
        </w:rPr>
        <w:t>ρικού έλκους η συνιστώμενη δόση</w:t>
      </w:r>
      <w:r w:rsidR="00FA0D7F" w:rsidRPr="00FA0D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 xml:space="preserve">είναι </w:t>
      </w:r>
      <w:r w:rsidR="00621117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621117" w:rsidRPr="0062111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20 mg μία φορά ημερησίως. Εάν χρειάζεται η δόση μπορ</w:t>
      </w:r>
      <w:r w:rsidR="00FA0D7F">
        <w:rPr>
          <w:rFonts w:ascii="Times New Roman" w:eastAsia="TimesNewRomanPSMT" w:hAnsi="Times New Roman" w:cs="Times New Roman"/>
          <w:sz w:val="24"/>
          <w:szCs w:val="24"/>
        </w:rPr>
        <w:t xml:space="preserve">εί να αυξηθεί σε </w:t>
      </w:r>
      <w:r w:rsidR="00621117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621117" w:rsidRPr="0062111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A0D7F">
        <w:rPr>
          <w:rFonts w:ascii="Times New Roman" w:eastAsia="TimesNewRomanPSMT" w:hAnsi="Times New Roman" w:cs="Times New Roman"/>
          <w:sz w:val="24"/>
          <w:szCs w:val="24"/>
        </w:rPr>
        <w:t>40 mg μία φορά</w:t>
      </w:r>
      <w:r w:rsidR="00FA0D7F" w:rsidRPr="00FA0D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ημερησίως.</w:t>
      </w:r>
    </w:p>
    <w:p w:rsidR="00FA0D7F" w:rsidRPr="00DB0043" w:rsidRDefault="00FA0D7F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0"/>
        </w:rPr>
      </w:pPr>
      <w:r w:rsidRPr="00536AD7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Εκρίζωση του Ελικοβακτηριδίου του Πυλωρού σε πεπτικά έλκη</w:t>
      </w: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lastRenderedPageBreak/>
        <w:t>Για την εκρίζωση του Ελικοβακτηριδίου του Πυλωρού η επιλογή των α</w:t>
      </w:r>
      <w:r w:rsidR="00FA0D7F">
        <w:rPr>
          <w:rFonts w:ascii="Times New Roman" w:eastAsia="TimesNewRomanPSMT" w:hAnsi="Times New Roman" w:cs="Times New Roman"/>
          <w:sz w:val="24"/>
          <w:szCs w:val="20"/>
        </w:rPr>
        <w:t>ντιβιοτικών πρέπει να βασίζεται</w:t>
      </w:r>
      <w:r w:rsidR="00FA0D7F" w:rsidRPr="00FA0D7F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στην ανοχή στα φάρμακα του κάθε ασθενούς, και να λαμβάνονται σ</w:t>
      </w:r>
      <w:r w:rsidR="00FA0D7F">
        <w:rPr>
          <w:rFonts w:ascii="Times New Roman" w:eastAsia="TimesNewRomanPSMT" w:hAnsi="Times New Roman" w:cs="Times New Roman"/>
          <w:sz w:val="24"/>
          <w:szCs w:val="20"/>
        </w:rPr>
        <w:t>ε συμφωνία με τα εθνικά, τοπικά</w:t>
      </w:r>
      <w:r w:rsidR="00FA0D7F" w:rsidRPr="00FA0D7F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δεδομένα ανθεκτικότητας και τις οδηγίες θεραπείας.</w:t>
      </w:r>
    </w:p>
    <w:p w:rsidR="00FA0D7F" w:rsidRPr="00DB0043" w:rsidRDefault="00FA0D7F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FA0D7F" w:rsidRPr="00DB0043" w:rsidRDefault="00FA0D7F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FA0D7F" w:rsidRPr="00DB0043" w:rsidRDefault="00FA0D7F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FA0D7F" w:rsidRPr="00DB0043" w:rsidRDefault="00FA0D7F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FA0D7F" w:rsidRDefault="00DB0043" w:rsidP="00536AD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LEPIZOR</w:t>
      </w:r>
      <w:r w:rsidR="00536AD7" w:rsidRPr="00DB0043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="00536AD7" w:rsidRPr="00FA0D7F">
        <w:rPr>
          <w:rFonts w:ascii="Times New Roman" w:eastAsia="TimesNewRomanPSMT" w:hAnsi="Times New Roman" w:cs="Times New Roman"/>
          <w:sz w:val="24"/>
          <w:szCs w:val="20"/>
        </w:rPr>
        <w:t xml:space="preserve">20 </w:t>
      </w:r>
      <w:r w:rsidR="00536AD7" w:rsidRPr="00FA0D7F">
        <w:rPr>
          <w:rFonts w:ascii="Times New Roman" w:eastAsia="TimesNewRomanPSMT" w:hAnsi="Times New Roman" w:cs="Times New Roman"/>
          <w:sz w:val="24"/>
          <w:szCs w:val="20"/>
          <w:lang w:val="en-US"/>
        </w:rPr>
        <w:t>mg</w:t>
      </w:r>
      <w:r w:rsidR="00536AD7" w:rsidRPr="00FA0D7F">
        <w:rPr>
          <w:rFonts w:ascii="Times New Roman" w:eastAsia="TimesNewRomanPSMT" w:hAnsi="Times New Roman" w:cs="Times New Roman"/>
          <w:sz w:val="24"/>
          <w:szCs w:val="20"/>
        </w:rPr>
        <w:t xml:space="preserve"> + κλαριθρομυκίνη 500 </w:t>
      </w:r>
      <w:r w:rsidR="00536AD7" w:rsidRPr="00FA0D7F">
        <w:rPr>
          <w:rFonts w:ascii="Times New Roman" w:eastAsia="TimesNewRomanPSMT" w:hAnsi="Times New Roman" w:cs="Times New Roman"/>
          <w:sz w:val="24"/>
          <w:szCs w:val="20"/>
          <w:lang w:val="en-US"/>
        </w:rPr>
        <w:t>mg</w:t>
      </w:r>
      <w:r w:rsidR="00536AD7" w:rsidRPr="00FA0D7F">
        <w:rPr>
          <w:rFonts w:ascii="Times New Roman" w:eastAsia="TimesNewRomanPSMT" w:hAnsi="Times New Roman" w:cs="Times New Roman"/>
          <w:sz w:val="24"/>
          <w:szCs w:val="20"/>
        </w:rPr>
        <w:t xml:space="preserve"> + αμοξυκιλλίνη 1000 </w:t>
      </w:r>
      <w:r w:rsidR="00536AD7" w:rsidRPr="00FA0D7F">
        <w:rPr>
          <w:rFonts w:ascii="Times New Roman" w:eastAsia="TimesNewRomanPSMT" w:hAnsi="Times New Roman" w:cs="Times New Roman"/>
          <w:sz w:val="24"/>
          <w:szCs w:val="20"/>
          <w:lang w:val="en-US"/>
        </w:rPr>
        <w:t>mg</w:t>
      </w:r>
      <w:r w:rsidR="00536AD7" w:rsidRPr="00FA0D7F">
        <w:rPr>
          <w:rFonts w:ascii="Times New Roman" w:eastAsia="TimesNewRomanPSMT" w:hAnsi="Times New Roman" w:cs="Times New Roman"/>
          <w:sz w:val="24"/>
          <w:szCs w:val="20"/>
        </w:rPr>
        <w:t>, το καθένα δύο φορές</w:t>
      </w:r>
      <w:r w:rsidR="00FA0D7F" w:rsidRPr="00FA0D7F">
        <w:rPr>
          <w:rFonts w:ascii="Times New Roman" w:eastAsia="TimesNewRomanPSMT" w:hAnsi="Times New Roman" w:cs="Times New Roman"/>
          <w:sz w:val="24"/>
          <w:szCs w:val="20"/>
        </w:rPr>
        <w:t xml:space="preserve">  </w:t>
      </w:r>
      <w:r w:rsidR="00536AD7" w:rsidRPr="00FA0D7F">
        <w:rPr>
          <w:rFonts w:ascii="Times New Roman" w:eastAsia="TimesNewRomanPSMT" w:hAnsi="Times New Roman" w:cs="Times New Roman"/>
          <w:sz w:val="24"/>
          <w:szCs w:val="20"/>
        </w:rPr>
        <w:t>ημερησίως για μία εβδομάδα, ή</w:t>
      </w:r>
    </w:p>
    <w:p w:rsidR="00536AD7" w:rsidRPr="00FA0D7F" w:rsidRDefault="00DB0043" w:rsidP="00536AD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LEPIZOR</w:t>
      </w:r>
      <w:r w:rsidR="00536AD7" w:rsidRPr="00FA0D7F">
        <w:rPr>
          <w:rFonts w:ascii="Times New Roman" w:eastAsia="TimesNewRomanPSMT" w:hAnsi="Times New Roman" w:cs="Times New Roman"/>
          <w:sz w:val="24"/>
          <w:szCs w:val="20"/>
        </w:rPr>
        <w:t xml:space="preserve"> 20 mg + κλαριθρομυκίνη 250 mg (εναλλακτικά 500 mg) + μετρονιδαζόλη 400 mg</w:t>
      </w:r>
      <w:r w:rsidR="00FA0D7F" w:rsidRPr="00FA0D7F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="00536AD7" w:rsidRPr="00FA0D7F">
        <w:rPr>
          <w:rFonts w:ascii="Times New Roman" w:eastAsia="TimesNewRomanPSMT" w:hAnsi="Times New Roman" w:cs="Times New Roman"/>
          <w:sz w:val="24"/>
          <w:szCs w:val="20"/>
        </w:rPr>
        <w:t>(ή 500 mg ή τινιδαζόλη 500 mg), το καθένα δύο φορές ημερησίως για μία εβδομάδα, ή</w:t>
      </w:r>
    </w:p>
    <w:p w:rsidR="00536AD7" w:rsidRPr="00FA0D7F" w:rsidRDefault="00DB0043" w:rsidP="00536AD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LEPIZOR</w:t>
      </w:r>
      <w:r w:rsidR="00536AD7" w:rsidRPr="00FA0D7F">
        <w:rPr>
          <w:rFonts w:ascii="Times New Roman" w:eastAsia="TimesNewRomanPSMT" w:hAnsi="Times New Roman" w:cs="Times New Roman"/>
          <w:sz w:val="24"/>
          <w:szCs w:val="20"/>
        </w:rPr>
        <w:t xml:space="preserve"> 40 mg μία φορά ημερησίως με αμοξυκιλλίνη 500 mg και μετρονιδαζόλη 400 mg (ή</w:t>
      </w:r>
      <w:r w:rsidR="00FA0D7F" w:rsidRPr="00FA0D7F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="00536AD7" w:rsidRPr="00FA0D7F">
        <w:rPr>
          <w:rFonts w:ascii="Times New Roman" w:eastAsia="TimesNewRomanPSMT" w:hAnsi="Times New Roman" w:cs="Times New Roman"/>
          <w:sz w:val="24"/>
          <w:szCs w:val="20"/>
        </w:rPr>
        <w:t>500 mg ή τινιδαζόλη 500 mg), και τα δύο τρεις φορές την ημέρα για μία εβδομάδα.</w:t>
      </w:r>
    </w:p>
    <w:p w:rsidR="00FA0D7F" w:rsidRPr="00FA0D7F" w:rsidRDefault="00FA0D7F" w:rsidP="00FA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Σε κάθε δοσολογικό σχήμα, αν ο ασθεν</w:t>
      </w:r>
      <w:r w:rsidR="00FA0D7F">
        <w:rPr>
          <w:rFonts w:ascii="Times New Roman" w:eastAsia="TimesNewRomanPSMT" w:hAnsi="Times New Roman" w:cs="Times New Roman"/>
          <w:sz w:val="24"/>
          <w:szCs w:val="20"/>
        </w:rPr>
        <w:t>ής εξακολουθεί να είναι θετικός</w:t>
      </w:r>
      <w:r w:rsidR="00FA0D7F" w:rsidRPr="00FA0D7F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="00FA0D7F">
        <w:rPr>
          <w:rFonts w:ascii="Times New Roman" w:eastAsia="TimesNewRomanPSMT" w:hAnsi="Times New Roman" w:cs="Times New Roman"/>
          <w:sz w:val="24"/>
          <w:szCs w:val="20"/>
        </w:rPr>
        <w:t>Ελικοβακτηρίδιο του Πυλωρού,</w:t>
      </w:r>
      <w:r w:rsidR="00FA0D7F" w:rsidRPr="00FA0D7F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η θεραπεία μπορεί να επαναληφθεί.</w:t>
      </w:r>
    </w:p>
    <w:p w:rsidR="00FA0D7F" w:rsidRPr="00DB0043" w:rsidRDefault="00FA0D7F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0"/>
        </w:rPr>
      </w:pPr>
      <w:r w:rsidRPr="00536AD7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Θεραπεία γαστρικών και δωδεκαδακτυλικών ελκών που σχετίζονται με ΜΣΑΦ</w:t>
      </w: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Για τη θεραπεία των γαστρικών και δωδεκαδακτυλικών ε</w:t>
      </w:r>
      <w:r w:rsidR="00FA0D7F">
        <w:rPr>
          <w:rFonts w:ascii="Times New Roman" w:eastAsia="TimesNewRomanPSMT" w:hAnsi="Times New Roman" w:cs="Times New Roman"/>
          <w:sz w:val="24"/>
          <w:szCs w:val="20"/>
        </w:rPr>
        <w:t>λκών που σχετίζονται με ΜΣΑΦ, η</w:t>
      </w:r>
      <w:r w:rsidR="00FA0D7F" w:rsidRPr="00FA0D7F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 xml:space="preserve">συνιστώμενη δόση είναι </w:t>
      </w:r>
      <w:r w:rsidR="00B22836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B22836" w:rsidRPr="0062111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20 mg μία φορά ημερησίως. Στους πε</w:t>
      </w:r>
      <w:r w:rsidR="00FA0D7F">
        <w:rPr>
          <w:rFonts w:ascii="Times New Roman" w:eastAsia="TimesNewRomanPSMT" w:hAnsi="Times New Roman" w:cs="Times New Roman"/>
          <w:sz w:val="24"/>
          <w:szCs w:val="20"/>
        </w:rPr>
        <w:t>ρισσότερους ασθενείς η επούλωση</w:t>
      </w:r>
      <w:r w:rsidR="00FA0D7F" w:rsidRPr="00FA0D7F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 xml:space="preserve">επέρχεται μέσα σε τέσσερις εβδομάδες. Για εκείνους τους ασθενείς που μπορεί να </w:t>
      </w:r>
      <w:r w:rsidR="00FA0D7F">
        <w:rPr>
          <w:rFonts w:ascii="Times New Roman" w:eastAsia="TimesNewRomanPSMT" w:hAnsi="Times New Roman" w:cs="Times New Roman"/>
          <w:sz w:val="24"/>
          <w:szCs w:val="20"/>
        </w:rPr>
        <w:t>μην επιτευχθεί</w:t>
      </w:r>
      <w:r w:rsidR="00FA0D7F" w:rsidRPr="00FA0D7F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 xml:space="preserve">πλήρης επούλωση μετά την αρχική θεραπεία, η επούλωση συνήθως </w:t>
      </w:r>
      <w:r w:rsidR="00FA0D7F">
        <w:rPr>
          <w:rFonts w:ascii="Times New Roman" w:eastAsia="TimesNewRomanPSMT" w:hAnsi="Times New Roman" w:cs="Times New Roman"/>
          <w:sz w:val="24"/>
          <w:szCs w:val="20"/>
        </w:rPr>
        <w:t>επέρχεται κατά τη διάρκεια μίας</w:t>
      </w:r>
      <w:r w:rsidR="00FA0D7F" w:rsidRPr="00FA0D7F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επιπλέον περιόδου θεραπείας τεσσάρων εβδομάδων.</w:t>
      </w:r>
    </w:p>
    <w:p w:rsidR="00FA0D7F" w:rsidRPr="00DB0043" w:rsidRDefault="00FA0D7F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i/>
          <w:iCs/>
          <w:sz w:val="24"/>
          <w:szCs w:val="20"/>
        </w:rPr>
        <w:t>Πρόληψη γαστρικών και δωδεκαδακτυλικών ελκών που σχετίζο</w:t>
      </w:r>
      <w:r w:rsidR="00FA0D7F">
        <w:rPr>
          <w:rFonts w:ascii="Times New Roman" w:eastAsia="TimesNewRomanPSMT" w:hAnsi="Times New Roman" w:cs="Times New Roman"/>
          <w:i/>
          <w:iCs/>
          <w:sz w:val="24"/>
          <w:szCs w:val="20"/>
        </w:rPr>
        <w:t>νται με ΜΣΑΦ σε ασθενείς υψηλού</w:t>
      </w:r>
      <w:r w:rsidR="00FA0D7F" w:rsidRPr="00FA0D7F">
        <w:rPr>
          <w:rFonts w:ascii="Times New Roman" w:eastAsia="TimesNewRomanPSMT" w:hAnsi="Times New Roman" w:cs="Times New Roman"/>
          <w:i/>
          <w:iCs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i/>
          <w:iCs/>
          <w:sz w:val="24"/>
          <w:szCs w:val="20"/>
        </w:rPr>
        <w:t>κινδύνου</w:t>
      </w: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Για την πρόληψη των γαστρικών ελκών ή των δωδεκαδακτυλικών ελ</w:t>
      </w:r>
      <w:r w:rsidR="00FA0D7F">
        <w:rPr>
          <w:rFonts w:ascii="Times New Roman" w:eastAsia="TimesNewRomanPSMT" w:hAnsi="Times New Roman" w:cs="Times New Roman"/>
          <w:sz w:val="24"/>
          <w:szCs w:val="20"/>
        </w:rPr>
        <w:t>κών που σχετίζονται με ΜΣΑΦ, σε</w:t>
      </w:r>
      <w:r w:rsidR="00FA0D7F" w:rsidRPr="00FA0D7F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ασθενείς υψηλού κινδύνου (ηλικία&gt;60, προηγούμενο ιστορικό</w:t>
      </w:r>
      <w:r w:rsidR="00FA0D7F">
        <w:rPr>
          <w:rFonts w:ascii="Times New Roman" w:eastAsia="TimesNewRomanPSMT" w:hAnsi="Times New Roman" w:cs="Times New Roman"/>
          <w:sz w:val="24"/>
          <w:szCs w:val="20"/>
        </w:rPr>
        <w:t xml:space="preserve"> γαστρικών και δωδεκαδακτυλικών</w:t>
      </w:r>
      <w:r w:rsidR="00FA0D7F" w:rsidRPr="00FA0D7F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 xml:space="preserve">ελκών, προηγούμενο ιστορικό αιμορραγίας του ανωτέρου πεπτικού) η συνιστώμενη δόση είναι </w:t>
      </w:r>
      <w:r w:rsidR="00B22836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B22836" w:rsidRPr="0062111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20 mg</w:t>
      </w: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μία φορά ημερησίως.</w:t>
      </w:r>
    </w:p>
    <w:p w:rsidR="00FA0D7F" w:rsidRPr="00DB0043" w:rsidRDefault="00FA0D7F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i/>
          <w:iCs/>
          <w:sz w:val="24"/>
          <w:szCs w:val="20"/>
        </w:rPr>
        <w:t>Θεραπεία οισοφαγίτιδας από παλινδρόμηση</w:t>
      </w: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 xml:space="preserve">Η συνιστώμενη δόση είναι </w:t>
      </w:r>
      <w:r w:rsidR="00B22836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B22836" w:rsidRPr="0062111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20 mg μία φορά ημερησίως. Στους πε</w:t>
      </w:r>
      <w:r w:rsidR="00FA0D7F">
        <w:rPr>
          <w:rFonts w:ascii="Times New Roman" w:eastAsia="TimesNewRomanPSMT" w:hAnsi="Times New Roman" w:cs="Times New Roman"/>
          <w:sz w:val="24"/>
          <w:szCs w:val="20"/>
        </w:rPr>
        <w:t>ρισσότερους ασθενείς η επούλωση</w:t>
      </w:r>
      <w:r w:rsidR="00FA0D7F" w:rsidRPr="00FA0D7F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επέρχεται μέσα σε τέσσερις εβδομάδες. Για εκείνους τους ασθενείς που μπορεί να μην επιτε</w:t>
      </w:r>
      <w:r w:rsidR="00FA0D7F">
        <w:rPr>
          <w:rFonts w:ascii="Times New Roman" w:eastAsia="TimesNewRomanPSMT" w:hAnsi="Times New Roman" w:cs="Times New Roman"/>
          <w:sz w:val="24"/>
          <w:szCs w:val="20"/>
        </w:rPr>
        <w:t>ύχθηκε</w:t>
      </w:r>
      <w:r w:rsidR="00FA0D7F" w:rsidRPr="00FA0D7F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 xml:space="preserve">πλήρης επούλωση μετά την αρχική θεραπεία, η επούλωση συνήθως </w:t>
      </w:r>
      <w:r w:rsidR="00FA0D7F">
        <w:rPr>
          <w:rFonts w:ascii="Times New Roman" w:eastAsia="TimesNewRomanPSMT" w:hAnsi="Times New Roman" w:cs="Times New Roman"/>
          <w:sz w:val="24"/>
          <w:szCs w:val="20"/>
        </w:rPr>
        <w:t>επέρχεται κατά τη διάρκεια μίας</w:t>
      </w:r>
      <w:r w:rsidR="00FA0D7F" w:rsidRPr="00FA0D7F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επιπλέον περιόδου θεραπείας τεσσάρων εβδομάδων.</w:t>
      </w:r>
    </w:p>
    <w:p w:rsidR="00FA0D7F" w:rsidRPr="00DB0043" w:rsidRDefault="00FA0D7F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 xml:space="preserve">Σε ασθενείς με σοβαρή οισοφαγίτιδα συνιστώνται </w:t>
      </w:r>
      <w:r w:rsidR="00995D6C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995D6C" w:rsidRPr="0062111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40 mg μί</w:t>
      </w:r>
      <w:r w:rsidR="00FA0D7F">
        <w:rPr>
          <w:rFonts w:ascii="Times New Roman" w:eastAsia="TimesNewRomanPSMT" w:hAnsi="Times New Roman" w:cs="Times New Roman"/>
          <w:sz w:val="24"/>
          <w:szCs w:val="20"/>
        </w:rPr>
        <w:t>α φορά ημερησίως και η επούλωση</w:t>
      </w:r>
      <w:r w:rsidR="00FA0D7F" w:rsidRPr="00FA0D7F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επιτυγχάνεται συνήθως μέσα σε οκτώ εβδομάδες.</w:t>
      </w:r>
    </w:p>
    <w:p w:rsidR="00FA0D7F" w:rsidRPr="00DB0043" w:rsidRDefault="00FA0D7F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i/>
          <w:iCs/>
          <w:sz w:val="24"/>
          <w:szCs w:val="20"/>
        </w:rPr>
        <w:t>Μακροχρόνια θεραπευτική αγωγή ασθενών με επουλωμένη οισοφαγίτιδα από παλινδρόμηση</w:t>
      </w: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lastRenderedPageBreak/>
        <w:t xml:space="preserve">Για μακροχρόνια θεραπευτική αγωγή ασθενών με επουλωμένη </w:t>
      </w:r>
      <w:r w:rsidR="00FA0D7F">
        <w:rPr>
          <w:rFonts w:ascii="Times New Roman" w:eastAsia="TimesNewRomanPSMT" w:hAnsi="Times New Roman" w:cs="Times New Roman"/>
          <w:sz w:val="24"/>
          <w:szCs w:val="20"/>
        </w:rPr>
        <w:t>οισοφαγίτιδα από παλινδρόμηση η</w:t>
      </w:r>
      <w:r w:rsidR="00FA0D7F" w:rsidRPr="00FA0D7F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 xml:space="preserve">συνιστώμενη δόση είναι 10 mg μία φορά ημερησίως. Εάν χρειάζεται, </w:t>
      </w:r>
      <w:r w:rsidR="00FA0D7F">
        <w:rPr>
          <w:rFonts w:ascii="Times New Roman" w:eastAsia="TimesNewRomanPSMT" w:hAnsi="Times New Roman" w:cs="Times New Roman"/>
          <w:sz w:val="24"/>
          <w:szCs w:val="20"/>
        </w:rPr>
        <w:t xml:space="preserve">η δόση μπορεί να αυξηθεί σε </w:t>
      </w:r>
      <w:r w:rsidR="00995D6C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995D6C" w:rsidRPr="0062111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A0D7F">
        <w:rPr>
          <w:rFonts w:ascii="Times New Roman" w:eastAsia="TimesNewRomanPSMT" w:hAnsi="Times New Roman" w:cs="Times New Roman"/>
          <w:sz w:val="24"/>
          <w:szCs w:val="20"/>
        </w:rPr>
        <w:t>20</w:t>
      </w:r>
      <w:r w:rsidR="00FA0D7F" w:rsidRPr="00FA0D7F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="00FA0D7F">
        <w:rPr>
          <w:rFonts w:ascii="Times New Roman" w:eastAsia="TimesNewRomanPSMT" w:hAnsi="Times New Roman" w:cs="Times New Roman"/>
          <w:sz w:val="24"/>
          <w:szCs w:val="20"/>
        </w:rPr>
        <w:t>-</w:t>
      </w:r>
      <w:r w:rsidR="00FA0D7F" w:rsidRPr="00FA0D7F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40 mg</w:t>
      </w:r>
      <w:r w:rsidR="00FA0D7F" w:rsidRPr="00FA0D7F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 xml:space="preserve"> μία φορά ημερησίως.</w:t>
      </w:r>
    </w:p>
    <w:p w:rsidR="00FA0D7F" w:rsidRPr="00DB0043" w:rsidRDefault="00FA0D7F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FA0D7F" w:rsidRPr="00DB0043" w:rsidRDefault="00FA0D7F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FA0D7F" w:rsidRPr="00DB0043" w:rsidRDefault="00FA0D7F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FA0D7F" w:rsidRPr="00DB0043" w:rsidRDefault="00FA0D7F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FA0D7F" w:rsidRPr="00DB0043" w:rsidRDefault="00FA0D7F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FA0D7F" w:rsidRPr="00DB0043" w:rsidRDefault="00FA0D7F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FA0D7F" w:rsidRPr="00DB0043" w:rsidRDefault="00FA0D7F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i/>
          <w:iCs/>
          <w:sz w:val="24"/>
          <w:szCs w:val="20"/>
        </w:rPr>
        <w:t>Θεραπεία συμπτωματικής γαστροοισοφαγικής παλινδρόμησης</w:t>
      </w: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 xml:space="preserve">Η συνιστώμενη δόση είναι </w:t>
      </w:r>
      <w:r w:rsidR="00995D6C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995D6C" w:rsidRPr="0062111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20 mg ημερησίως. Οι ασθενείς μπορεί να</w:t>
      </w:r>
      <w:r w:rsidR="00637DE0">
        <w:rPr>
          <w:rFonts w:ascii="Times New Roman" w:eastAsia="TimesNewRomanPSMT" w:hAnsi="Times New Roman" w:cs="Times New Roman"/>
          <w:sz w:val="24"/>
          <w:szCs w:val="20"/>
        </w:rPr>
        <w:t xml:space="preserve"> ανταποκριθούν ικανοποιητικά σε</w:t>
      </w:r>
      <w:r w:rsidR="00637DE0" w:rsidRPr="00637DE0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10 mg ημερησίως, και ως εκ τούτου πρέπει να εξεταστεί η ατομική προσαρμογή των δόσεων.</w:t>
      </w:r>
    </w:p>
    <w:p w:rsidR="00637DE0" w:rsidRPr="00DB0043" w:rsidRDefault="00637DE0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Εάν δεν έχει επιτευχθεί έλεγχος των συμπτωμάτων μετά από τέσσερ</w:t>
      </w:r>
      <w:r w:rsidR="00637DE0">
        <w:rPr>
          <w:rFonts w:ascii="Times New Roman" w:eastAsia="TimesNewRomanPSMT" w:hAnsi="Times New Roman" w:cs="Times New Roman"/>
          <w:sz w:val="24"/>
          <w:szCs w:val="20"/>
        </w:rPr>
        <w:t xml:space="preserve">ις εβδομάδες θεραπείας με </w:t>
      </w:r>
      <w:r w:rsidR="00995D6C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995D6C" w:rsidRPr="0062111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37DE0">
        <w:rPr>
          <w:rFonts w:ascii="Times New Roman" w:eastAsia="TimesNewRomanPSMT" w:hAnsi="Times New Roman" w:cs="Times New Roman"/>
          <w:sz w:val="24"/>
          <w:szCs w:val="20"/>
        </w:rPr>
        <w:t>20 mg</w:t>
      </w:r>
      <w:r w:rsidR="00637DE0" w:rsidRPr="00637DE0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ημερησίως, συνιστάται περαιτέρω εξέταση.</w:t>
      </w:r>
    </w:p>
    <w:p w:rsidR="00637DE0" w:rsidRPr="00DB0043" w:rsidRDefault="00637DE0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i/>
          <w:iCs/>
          <w:sz w:val="24"/>
          <w:szCs w:val="20"/>
        </w:rPr>
        <w:t>Θεραπεία συνδρόμου Zollinger-Ellison</w:t>
      </w:r>
    </w:p>
    <w:p w:rsidR="00995D6C" w:rsidRDefault="00536AD7" w:rsidP="00637D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Σε ασθενείς με σύνδρομο Zollinger-Ellison η δόση πρέπει να προσαρμό</w:t>
      </w:r>
      <w:r w:rsidR="00637DE0">
        <w:rPr>
          <w:rFonts w:ascii="Times New Roman" w:eastAsia="TimesNewRomanPSMT" w:hAnsi="Times New Roman" w:cs="Times New Roman"/>
          <w:sz w:val="24"/>
          <w:szCs w:val="20"/>
        </w:rPr>
        <w:t>ζεται ατομικά και η θεραπεία να</w:t>
      </w:r>
      <w:r w:rsidR="00637DE0" w:rsidRPr="00637DE0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συνεχίζεται σύμφωνα με τις κλινικές ενδείξεις. Η συνιστώμενη αρχ</w:t>
      </w:r>
      <w:r w:rsidR="00637DE0">
        <w:rPr>
          <w:rFonts w:ascii="Times New Roman" w:eastAsia="TimesNewRomanPSMT" w:hAnsi="Times New Roman" w:cs="Times New Roman"/>
          <w:sz w:val="24"/>
          <w:szCs w:val="20"/>
        </w:rPr>
        <w:t xml:space="preserve">ική δόση είναι </w:t>
      </w:r>
      <w:r w:rsidR="00995D6C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995D6C" w:rsidRPr="0062111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37DE0">
        <w:rPr>
          <w:rFonts w:ascii="Times New Roman" w:eastAsia="TimesNewRomanPSMT" w:hAnsi="Times New Roman" w:cs="Times New Roman"/>
          <w:sz w:val="24"/>
          <w:szCs w:val="20"/>
        </w:rPr>
        <w:t>60 mg ημερησίως.</w:t>
      </w:r>
      <w:r w:rsidR="00637DE0" w:rsidRPr="00637DE0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Όλοι οι ασθενείς με σοβαρή νόσο και μη ικανοποιητική απόκριση σε</w:t>
      </w:r>
      <w:r w:rsidR="00637DE0">
        <w:rPr>
          <w:rFonts w:ascii="Times New Roman" w:eastAsia="TimesNewRomanPSMT" w:hAnsi="Times New Roman" w:cs="Times New Roman"/>
          <w:sz w:val="24"/>
          <w:szCs w:val="20"/>
        </w:rPr>
        <w:t xml:space="preserve"> άλλες θεραπείες έχουν ελεγχθεί</w:t>
      </w:r>
      <w:r w:rsidR="00637DE0" w:rsidRPr="00637DE0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 xml:space="preserve">αποτελεσματικά και περισσότερο από 90% των ασθενών συντηρούνται με δόσεις των </w:t>
      </w:r>
    </w:p>
    <w:p w:rsidR="00D51A20" w:rsidRPr="00DB0043" w:rsidRDefault="00995D6C" w:rsidP="00637D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Pr="0062111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36AD7" w:rsidRPr="00536AD7">
        <w:rPr>
          <w:rFonts w:ascii="Times New Roman" w:eastAsia="TimesNewRomanPSMT" w:hAnsi="Times New Roman" w:cs="Times New Roman"/>
          <w:sz w:val="24"/>
          <w:szCs w:val="20"/>
        </w:rPr>
        <w:t>20-120 mg</w:t>
      </w:r>
      <w:r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="00536AD7" w:rsidRPr="00536AD7">
        <w:rPr>
          <w:rFonts w:ascii="Times New Roman" w:eastAsia="TimesNewRomanPSMT" w:hAnsi="Times New Roman" w:cs="Times New Roman"/>
          <w:sz w:val="24"/>
          <w:szCs w:val="20"/>
        </w:rPr>
        <w:t>ημερησίως.</w:t>
      </w:r>
      <w:proofErr w:type="gramEnd"/>
      <w:r w:rsidR="00536AD7" w:rsidRPr="00536AD7">
        <w:rPr>
          <w:rFonts w:ascii="Times New Roman" w:eastAsia="TimesNewRomanPSMT" w:hAnsi="Times New Roman" w:cs="Times New Roman"/>
          <w:sz w:val="24"/>
          <w:szCs w:val="20"/>
        </w:rPr>
        <w:t xml:space="preserve"> Όταν η δόση υπερβαίνει τα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Pr="0062111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36AD7" w:rsidRPr="00536AD7">
        <w:rPr>
          <w:rFonts w:ascii="Times New Roman" w:eastAsia="TimesNewRomanPSMT" w:hAnsi="Times New Roman" w:cs="Times New Roman"/>
          <w:sz w:val="24"/>
          <w:szCs w:val="20"/>
        </w:rPr>
        <w:t>80 mg ημερησίως, η δ</w:t>
      </w:r>
      <w:r w:rsidR="00637DE0">
        <w:rPr>
          <w:rFonts w:ascii="Times New Roman" w:eastAsia="TimesNewRomanPSMT" w:hAnsi="Times New Roman" w:cs="Times New Roman"/>
          <w:sz w:val="24"/>
          <w:szCs w:val="20"/>
        </w:rPr>
        <w:t>όση πρέπει να μοιράζεται και να</w:t>
      </w:r>
      <w:r w:rsidR="00637DE0" w:rsidRPr="00637DE0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="00536AD7" w:rsidRPr="00536AD7">
        <w:rPr>
          <w:rFonts w:ascii="Times New Roman" w:eastAsia="TimesNewRomanPSMT" w:hAnsi="Times New Roman" w:cs="Times New Roman"/>
          <w:sz w:val="24"/>
          <w:szCs w:val="20"/>
        </w:rPr>
        <w:t>λαμβάνεται δύο φορές ημερησίως.</w:t>
      </w:r>
    </w:p>
    <w:p w:rsidR="00637DE0" w:rsidRPr="00DB0043" w:rsidRDefault="00637DE0" w:rsidP="00637D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  <w:u w:val="single"/>
        </w:rPr>
      </w:pPr>
      <w:r w:rsidRPr="00637DE0">
        <w:rPr>
          <w:rFonts w:ascii="Times New Roman" w:eastAsia="TimesNewRomanPSMT" w:hAnsi="Times New Roman" w:cs="Times New Roman"/>
          <w:sz w:val="24"/>
          <w:szCs w:val="20"/>
          <w:u w:val="single"/>
        </w:rPr>
        <w:t>Δοσολογία σε παιδιά</w:t>
      </w:r>
    </w:p>
    <w:p w:rsidR="00637DE0" w:rsidRPr="00DB0043" w:rsidRDefault="00637DE0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  <w:u w:val="single"/>
        </w:rPr>
      </w:pPr>
    </w:p>
    <w:p w:rsidR="00536AD7" w:rsidRPr="00637DE0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0"/>
          <w:u w:val="single"/>
        </w:rPr>
      </w:pPr>
      <w:r w:rsidRPr="00637DE0">
        <w:rPr>
          <w:rFonts w:ascii="Times New Roman" w:eastAsia="TimesNewRomanPS-ItalicMT" w:hAnsi="Times New Roman" w:cs="Times New Roman"/>
          <w:i/>
          <w:iCs/>
          <w:sz w:val="24"/>
          <w:szCs w:val="20"/>
          <w:u w:val="single"/>
        </w:rPr>
        <w:t>Παιδιά άνω του 1 έτους και ≥ 10 kg</w:t>
      </w: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0"/>
        </w:rPr>
      </w:pPr>
      <w:r w:rsidRPr="00536AD7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Θεραπεία οισοφαγίτιδας από παλινδρόμηση</w:t>
      </w: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0"/>
        </w:rPr>
      </w:pPr>
      <w:r w:rsidRPr="00536AD7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Συμπτωματική θεραπεία του καύσου στομάχου και της αναγω</w:t>
      </w:r>
      <w:r w:rsidR="00637DE0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γής οξέος στην γαστροοισοφαγική</w:t>
      </w:r>
      <w:r w:rsidR="00637DE0" w:rsidRPr="00637DE0">
        <w:rPr>
          <w:rFonts w:ascii="Times New Roman" w:eastAsia="TimesNewRomanPS-ItalicMT" w:hAnsi="Times New Roman" w:cs="Times New Roman"/>
          <w:i/>
          <w:iCs/>
          <w:sz w:val="24"/>
          <w:szCs w:val="20"/>
        </w:rPr>
        <w:t xml:space="preserve"> </w:t>
      </w:r>
      <w:r w:rsidRPr="00536AD7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παλινδρόμηση</w:t>
      </w:r>
    </w:p>
    <w:p w:rsidR="00637DE0" w:rsidRPr="00DB0043" w:rsidRDefault="00637DE0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0"/>
        </w:rPr>
      </w:pP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Οι συνιστώμενες δοσολογίες είναι ως ακολούθως:</w:t>
      </w:r>
    </w:p>
    <w:tbl>
      <w:tblPr>
        <w:tblStyle w:val="a4"/>
        <w:tblW w:w="0" w:type="auto"/>
        <w:tblLook w:val="04A0"/>
      </w:tblPr>
      <w:tblGrid>
        <w:gridCol w:w="900"/>
        <w:gridCol w:w="983"/>
        <w:gridCol w:w="6639"/>
      </w:tblGrid>
      <w:tr w:rsidR="00637DE0" w:rsidTr="00637DE0">
        <w:tc>
          <w:tcPr>
            <w:tcW w:w="0" w:type="auto"/>
          </w:tcPr>
          <w:p w:rsidR="00637DE0" w:rsidRDefault="00637DE0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  <w:lang w:val="en-US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0"/>
              </w:rPr>
              <w:t>Ηλικία</w:t>
            </w:r>
          </w:p>
        </w:tc>
        <w:tc>
          <w:tcPr>
            <w:tcW w:w="0" w:type="auto"/>
          </w:tcPr>
          <w:p w:rsidR="00637DE0" w:rsidRDefault="00637DE0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  <w:lang w:val="en-US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0"/>
              </w:rPr>
              <w:t>Βάρος</w:t>
            </w:r>
          </w:p>
        </w:tc>
        <w:tc>
          <w:tcPr>
            <w:tcW w:w="0" w:type="auto"/>
          </w:tcPr>
          <w:p w:rsidR="00637DE0" w:rsidRPr="00536AD7" w:rsidRDefault="00637DE0" w:rsidP="0063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0"/>
              </w:rPr>
              <w:t>Δοσολογία</w:t>
            </w:r>
          </w:p>
          <w:p w:rsidR="00637DE0" w:rsidRDefault="00637DE0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  <w:lang w:val="en-US"/>
              </w:rPr>
            </w:pPr>
          </w:p>
        </w:tc>
      </w:tr>
      <w:tr w:rsidR="00637DE0" w:rsidRPr="00637DE0" w:rsidTr="00637DE0">
        <w:tc>
          <w:tcPr>
            <w:tcW w:w="0" w:type="auto"/>
          </w:tcPr>
          <w:p w:rsidR="00637DE0" w:rsidRPr="00536AD7" w:rsidRDefault="00637DE0" w:rsidP="0063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0"/>
              </w:rPr>
              <w:t>≥ 1</w:t>
            </w:r>
          </w:p>
          <w:p w:rsidR="00637DE0" w:rsidRPr="00536AD7" w:rsidRDefault="00637DE0" w:rsidP="0063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0"/>
              </w:rPr>
              <w:t>έτος</w:t>
            </w:r>
          </w:p>
          <w:p w:rsidR="00637DE0" w:rsidRDefault="00637DE0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637DE0" w:rsidRPr="00536AD7" w:rsidRDefault="00637DE0" w:rsidP="0063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>10-20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>k</w:t>
            </w:r>
            <w:r w:rsidRPr="00536AD7">
              <w:rPr>
                <w:rFonts w:ascii="Times New Roman" w:eastAsia="TimesNewRomanPSMT" w:hAnsi="Times New Roman" w:cs="Times New Roman"/>
                <w:sz w:val="24"/>
                <w:szCs w:val="20"/>
              </w:rPr>
              <w:t>g</w:t>
            </w:r>
          </w:p>
          <w:p w:rsidR="00637DE0" w:rsidRDefault="00637DE0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637DE0" w:rsidRPr="00536AD7" w:rsidRDefault="00637DE0" w:rsidP="0063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0"/>
              </w:rPr>
              <w:t>10 mg μία φορά ημερησίως. Η δόση μπορε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>ί να αυξηθεί στα 20 mg μία φορά</w:t>
            </w:r>
            <w:r w:rsidRPr="00637DE0"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</w:t>
            </w:r>
            <w:r w:rsidRPr="00536AD7">
              <w:rPr>
                <w:rFonts w:ascii="Times New Roman" w:eastAsia="TimesNewRomanPSMT" w:hAnsi="Times New Roman" w:cs="Times New Roman"/>
                <w:sz w:val="24"/>
                <w:szCs w:val="20"/>
              </w:rPr>
              <w:t>ημερησίως εάν χρειαστεί</w:t>
            </w:r>
          </w:p>
          <w:p w:rsidR="00637DE0" w:rsidRPr="00637DE0" w:rsidRDefault="00637DE0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</w:p>
        </w:tc>
      </w:tr>
      <w:tr w:rsidR="00637DE0" w:rsidRPr="00637DE0" w:rsidTr="00637DE0">
        <w:tc>
          <w:tcPr>
            <w:tcW w:w="0" w:type="auto"/>
          </w:tcPr>
          <w:p w:rsidR="00637DE0" w:rsidRPr="00637DE0" w:rsidRDefault="00637DE0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0"/>
              </w:rPr>
              <w:t>≥ 2 έτη</w:t>
            </w:r>
          </w:p>
        </w:tc>
        <w:tc>
          <w:tcPr>
            <w:tcW w:w="0" w:type="auto"/>
          </w:tcPr>
          <w:p w:rsidR="00637DE0" w:rsidRPr="00637DE0" w:rsidRDefault="00637DE0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0"/>
              </w:rPr>
              <w:t>&gt;20 kg</w:t>
            </w:r>
          </w:p>
        </w:tc>
        <w:tc>
          <w:tcPr>
            <w:tcW w:w="0" w:type="auto"/>
          </w:tcPr>
          <w:p w:rsidR="00637DE0" w:rsidRPr="00536AD7" w:rsidRDefault="00637DE0" w:rsidP="0063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0"/>
              </w:rPr>
              <w:t>20 mg μία φορά ημερησίως. Η δόση μπορε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>ί να αυξηθεί στα 40 mg μία φορά</w:t>
            </w:r>
            <w:r w:rsidRPr="00637DE0"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</w:t>
            </w:r>
            <w:r w:rsidRPr="00536AD7">
              <w:rPr>
                <w:rFonts w:ascii="Times New Roman" w:eastAsia="TimesNewRomanPSMT" w:hAnsi="Times New Roman" w:cs="Times New Roman"/>
                <w:sz w:val="24"/>
                <w:szCs w:val="20"/>
              </w:rPr>
              <w:t>ημερησίως εάν χρειαστεί</w:t>
            </w:r>
          </w:p>
          <w:p w:rsidR="00637DE0" w:rsidRPr="00637DE0" w:rsidRDefault="00637DE0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</w:p>
        </w:tc>
      </w:tr>
    </w:tbl>
    <w:p w:rsidR="00637DE0" w:rsidRPr="00637DE0" w:rsidRDefault="00637DE0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637DE0" w:rsidRPr="00637DE0" w:rsidRDefault="00637DE0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637DE0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-ItalicMT" w:hAnsi="Times New Roman" w:cs="Times New Roman"/>
          <w:i/>
          <w:iCs/>
          <w:sz w:val="24"/>
          <w:szCs w:val="20"/>
        </w:rPr>
        <w:t xml:space="preserve">Οισοφαγίτιδα από παλινδρόμηση: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Η διάρκεια της θεραπείας είναι 4-8 εβδομάδες.</w:t>
      </w:r>
    </w:p>
    <w:p w:rsidR="00637DE0" w:rsidRPr="00637DE0" w:rsidRDefault="00637DE0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Συμπτωματική θεραπεία του καύσου στομάχου και της αναγω</w:t>
      </w:r>
      <w:r w:rsidR="00637DE0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γής οξέος στην γαστροοισοφαγική</w:t>
      </w:r>
      <w:r w:rsidR="00637DE0" w:rsidRPr="00637DE0">
        <w:rPr>
          <w:rFonts w:ascii="Times New Roman" w:eastAsia="TimesNewRomanPS-ItalicMT" w:hAnsi="Times New Roman" w:cs="Times New Roman"/>
          <w:i/>
          <w:iCs/>
          <w:sz w:val="24"/>
          <w:szCs w:val="20"/>
        </w:rPr>
        <w:t xml:space="preserve"> </w:t>
      </w:r>
      <w:r w:rsidRPr="00536AD7">
        <w:rPr>
          <w:rFonts w:ascii="Times New Roman" w:eastAsia="TimesNewRomanPS-ItalicMT" w:hAnsi="Times New Roman" w:cs="Times New Roman"/>
          <w:i/>
          <w:iCs/>
          <w:sz w:val="24"/>
          <w:szCs w:val="20"/>
        </w:rPr>
        <w:t xml:space="preserve">παλινδρόμηση: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 xml:space="preserve">Η διάρκεια της θεραπείας είναι 2-4 εβδομάδες. Εάν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lastRenderedPageBreak/>
        <w:t>ο έλεγχος των συμπτωμάτων δεν έχει</w:t>
      </w:r>
      <w:r w:rsidR="00637DE0" w:rsidRPr="00637DE0">
        <w:rPr>
          <w:rFonts w:ascii="Times New Roman" w:eastAsia="TimesNewRomanPS-ItalicMT" w:hAnsi="Times New Roman" w:cs="Times New Roman"/>
          <w:i/>
          <w:iCs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επιτευχθεί μετά από 2-4 εβδομάδες ο ασθενής πρέπει να υποβληθεί σε περαιτέρω εξετάσεις.</w:t>
      </w:r>
    </w:p>
    <w:p w:rsidR="00637DE0" w:rsidRDefault="00637DE0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0"/>
        </w:rPr>
      </w:pPr>
    </w:p>
    <w:p w:rsidR="00995D6C" w:rsidRDefault="00995D6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0"/>
        </w:rPr>
      </w:pPr>
    </w:p>
    <w:p w:rsidR="00995D6C" w:rsidRDefault="00995D6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0"/>
        </w:rPr>
      </w:pPr>
    </w:p>
    <w:p w:rsidR="00995D6C" w:rsidRPr="00DB0043" w:rsidRDefault="00995D6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0"/>
        </w:rPr>
      </w:pPr>
    </w:p>
    <w:p w:rsidR="00536AD7" w:rsidRPr="00637DE0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0"/>
          <w:u w:val="single"/>
        </w:rPr>
      </w:pPr>
      <w:r w:rsidRPr="00637DE0">
        <w:rPr>
          <w:rFonts w:ascii="Times New Roman" w:eastAsia="TimesNewRomanPS-ItalicMT" w:hAnsi="Times New Roman" w:cs="Times New Roman"/>
          <w:i/>
          <w:iCs/>
          <w:sz w:val="24"/>
          <w:szCs w:val="20"/>
          <w:u w:val="single"/>
        </w:rPr>
        <w:t>Παιδιά και έφηβοι άνω των 4 ετών</w:t>
      </w: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0"/>
        </w:rPr>
      </w:pPr>
      <w:r w:rsidRPr="00536AD7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Θεραπεία του δωδεκαδακτυλικού έλκους που προκαλείται από το Ελικοβακτηρίδιο του Πυλωρού</w:t>
      </w: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Όταν επιλέγεται κατάλληλος συνδυασμός θεραπείας, πρέπει να λαμβάνεται υπόψη η επίσημη εθνική,</w:t>
      </w:r>
      <w:r w:rsidR="00637DE0" w:rsidRPr="00637DE0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τοπική οδηγία που αφορά την βακτηριακή ανθεκτικότητα, τη διάρκεια της θεραπείας (συνήθως 7 ημέρες</w:t>
      </w:r>
      <w:r w:rsidR="00637DE0" w:rsidRPr="00637DE0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αλλά μερικές φορές μέχρι και 14 ημέρες), και τη κατάλληλη χρήση αντιβακτηριδιακών παραγόντων.</w:t>
      </w:r>
    </w:p>
    <w:p w:rsidR="00637DE0" w:rsidRPr="00DB0043" w:rsidRDefault="00637DE0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Η θεραπεία πρέπει να επιβλέπεται από ειδικευμένο γιατρό.</w:t>
      </w:r>
    </w:p>
    <w:p w:rsidR="00637DE0" w:rsidRPr="00DB0043" w:rsidRDefault="00637DE0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Οι συνιστώμενες δοσολογίες είναι ως ακολούθως:</w:t>
      </w:r>
    </w:p>
    <w:tbl>
      <w:tblPr>
        <w:tblStyle w:val="a4"/>
        <w:tblW w:w="0" w:type="auto"/>
        <w:tblLook w:val="04A0"/>
      </w:tblPr>
      <w:tblGrid>
        <w:gridCol w:w="952"/>
        <w:gridCol w:w="7570"/>
      </w:tblGrid>
      <w:tr w:rsidR="00637DE0" w:rsidTr="00637DE0">
        <w:tc>
          <w:tcPr>
            <w:tcW w:w="0" w:type="auto"/>
          </w:tcPr>
          <w:p w:rsidR="00637DE0" w:rsidRDefault="00637DE0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  <w:lang w:val="en-US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0"/>
              </w:rPr>
              <w:t>Βάρος</w:t>
            </w:r>
          </w:p>
        </w:tc>
        <w:tc>
          <w:tcPr>
            <w:tcW w:w="0" w:type="auto"/>
          </w:tcPr>
          <w:p w:rsidR="00637DE0" w:rsidRPr="00536AD7" w:rsidRDefault="00637DE0" w:rsidP="0063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0"/>
              </w:rPr>
              <w:t>Δοσολογία</w:t>
            </w:r>
          </w:p>
          <w:p w:rsidR="00637DE0" w:rsidRDefault="00637DE0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  <w:lang w:val="en-US"/>
              </w:rPr>
            </w:pPr>
          </w:p>
        </w:tc>
      </w:tr>
      <w:tr w:rsidR="00637DE0" w:rsidRPr="00637DE0" w:rsidTr="00637DE0">
        <w:tc>
          <w:tcPr>
            <w:tcW w:w="0" w:type="auto"/>
          </w:tcPr>
          <w:p w:rsidR="00637DE0" w:rsidRDefault="00637DE0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  <w:lang w:val="en-US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0"/>
              </w:rPr>
              <w:t>15-≤30 kg</w:t>
            </w:r>
          </w:p>
        </w:tc>
        <w:tc>
          <w:tcPr>
            <w:tcW w:w="0" w:type="auto"/>
          </w:tcPr>
          <w:p w:rsidR="00637DE0" w:rsidRPr="00536AD7" w:rsidRDefault="00637DE0" w:rsidP="0063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0"/>
              </w:rPr>
              <w:t>Συνδυασμός με δύο αντιβιοτικά: Ομεπραζόλη 10 m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>g, αμοξυκιλλίνη 25 mg/kg βάρους</w:t>
            </w:r>
            <w:r w:rsidRPr="00637DE0"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</w:t>
            </w:r>
            <w:r w:rsidRPr="00536AD7">
              <w:rPr>
                <w:rFonts w:ascii="Times New Roman" w:eastAsia="TimesNewRomanPSMT" w:hAnsi="Times New Roman" w:cs="Times New Roman"/>
                <w:sz w:val="24"/>
                <w:szCs w:val="20"/>
              </w:rPr>
              <w:t>σώματος και κλαριθρομυκίνη 7,5 mg/kg βάρους σώμ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>ατος χορηγούνται ταυτόχρονα δύο</w:t>
            </w:r>
            <w:r w:rsidRPr="00637DE0"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</w:t>
            </w:r>
            <w:r w:rsidRPr="00536AD7">
              <w:rPr>
                <w:rFonts w:ascii="Times New Roman" w:eastAsia="TimesNewRomanPSMT" w:hAnsi="Times New Roman" w:cs="Times New Roman"/>
                <w:sz w:val="24"/>
                <w:szCs w:val="20"/>
              </w:rPr>
              <w:t>φορές ημερησίως για μία εβδομάδα</w:t>
            </w:r>
          </w:p>
          <w:p w:rsidR="00637DE0" w:rsidRPr="00637DE0" w:rsidRDefault="00637DE0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</w:p>
        </w:tc>
      </w:tr>
      <w:tr w:rsidR="00637DE0" w:rsidRPr="00637DE0" w:rsidTr="00637DE0">
        <w:tc>
          <w:tcPr>
            <w:tcW w:w="0" w:type="auto"/>
          </w:tcPr>
          <w:p w:rsidR="00637DE0" w:rsidRPr="00637DE0" w:rsidRDefault="00637DE0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0"/>
              </w:rPr>
              <w:t>31-≤40 kg</w:t>
            </w:r>
          </w:p>
        </w:tc>
        <w:tc>
          <w:tcPr>
            <w:tcW w:w="0" w:type="auto"/>
          </w:tcPr>
          <w:p w:rsidR="00637DE0" w:rsidRPr="00536AD7" w:rsidRDefault="00637DE0" w:rsidP="0063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0"/>
              </w:rPr>
              <w:t>Συνδυασμός με δύο αντιβιοτικά:</w:t>
            </w:r>
            <w:r w:rsidR="00DB0043" w:rsidRPr="00DB0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B00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LEPIZOR</w:t>
            </w:r>
            <w:r w:rsidR="00DB0043"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>20 mg, αμοξυκιλλίνη 750 mg και</w:t>
            </w:r>
            <w:r w:rsidRPr="00637DE0"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</w:t>
            </w:r>
            <w:r w:rsidRPr="00536AD7">
              <w:rPr>
                <w:rFonts w:ascii="Times New Roman" w:eastAsia="TimesNewRomanPSMT" w:hAnsi="Times New Roman" w:cs="Times New Roman"/>
                <w:sz w:val="24"/>
                <w:szCs w:val="20"/>
              </w:rPr>
              <w:t>κλαριθρομυκίνη 7,5 mg/kg βάρους σώματος χ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>ορηγούνται ταυτόχρονα δύο φορές</w:t>
            </w:r>
            <w:r w:rsidRPr="00637DE0"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</w:t>
            </w:r>
            <w:r w:rsidRPr="00536AD7">
              <w:rPr>
                <w:rFonts w:ascii="Times New Roman" w:eastAsia="TimesNewRomanPSMT" w:hAnsi="Times New Roman" w:cs="Times New Roman"/>
                <w:sz w:val="24"/>
                <w:szCs w:val="20"/>
              </w:rPr>
              <w:t>ημερησίως για μία εβδομάδα</w:t>
            </w:r>
          </w:p>
          <w:p w:rsidR="00637DE0" w:rsidRPr="00637DE0" w:rsidRDefault="00637DE0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</w:p>
        </w:tc>
      </w:tr>
      <w:tr w:rsidR="00637DE0" w:rsidRPr="00637DE0" w:rsidTr="00637DE0">
        <w:tc>
          <w:tcPr>
            <w:tcW w:w="0" w:type="auto"/>
          </w:tcPr>
          <w:p w:rsidR="00637DE0" w:rsidRPr="00637DE0" w:rsidRDefault="00637DE0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0"/>
              </w:rPr>
              <w:t>&gt;40 kg</w:t>
            </w:r>
          </w:p>
        </w:tc>
        <w:tc>
          <w:tcPr>
            <w:tcW w:w="0" w:type="auto"/>
          </w:tcPr>
          <w:p w:rsidR="00637DE0" w:rsidRPr="00536AD7" w:rsidRDefault="00637DE0" w:rsidP="0063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0"/>
              </w:rPr>
              <w:t>Συνδυασμός με δύο αντιβιοτικά:</w:t>
            </w:r>
            <w:r w:rsidR="00DB0043" w:rsidRPr="00DB0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B00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LEPIZOR</w:t>
            </w:r>
            <w:r w:rsidR="00DB0043" w:rsidRPr="00536AD7"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</w:t>
            </w:r>
            <w:r w:rsidRPr="00536AD7">
              <w:rPr>
                <w:rFonts w:ascii="Times New Roman" w:eastAsia="TimesNewRomanPSMT" w:hAnsi="Times New Roman" w:cs="Times New Roman"/>
                <w:sz w:val="24"/>
                <w:szCs w:val="20"/>
              </w:rPr>
              <w:t>20 mg, αμοξυκιλλίνη 1 g και</w:t>
            </w:r>
          </w:p>
          <w:p w:rsidR="00637DE0" w:rsidRPr="00536AD7" w:rsidRDefault="00637DE0" w:rsidP="0063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0"/>
              </w:rPr>
              <w:t>κλαριθρομυκίνη 500 mg χορηγούνται ταυτόχρ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>ονα δύο φορές ημερησίως για μία</w:t>
            </w:r>
            <w:r w:rsidRPr="00637DE0"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</w:t>
            </w:r>
            <w:r w:rsidRPr="00536AD7">
              <w:rPr>
                <w:rFonts w:ascii="Times New Roman" w:eastAsia="TimesNewRomanPSMT" w:hAnsi="Times New Roman" w:cs="Times New Roman"/>
                <w:sz w:val="24"/>
                <w:szCs w:val="20"/>
              </w:rPr>
              <w:t>εβδομάδα.</w:t>
            </w:r>
          </w:p>
          <w:p w:rsidR="00637DE0" w:rsidRPr="00637DE0" w:rsidRDefault="00637DE0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</w:p>
        </w:tc>
      </w:tr>
    </w:tbl>
    <w:p w:rsidR="00637DE0" w:rsidRPr="00637DE0" w:rsidRDefault="00637DE0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.</w:t>
      </w:r>
    </w:p>
    <w:p w:rsidR="00536AD7" w:rsidRPr="00637DE0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  <w:u w:val="single"/>
        </w:rPr>
      </w:pPr>
      <w:r w:rsidRPr="00637DE0">
        <w:rPr>
          <w:rFonts w:ascii="Times New Roman" w:eastAsia="TimesNewRomanPSMT" w:hAnsi="Times New Roman" w:cs="Times New Roman"/>
          <w:sz w:val="24"/>
          <w:szCs w:val="20"/>
          <w:u w:val="single"/>
        </w:rPr>
        <w:t>Ειδικοί πληθυσμοί</w:t>
      </w: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0"/>
        </w:rPr>
      </w:pPr>
      <w:r w:rsidRPr="00536AD7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Διαταραγμένη νεφρική λειτουργία</w:t>
      </w: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Δεν χρειάζεται προσαρμογή της δόσης σε ασθενείς με διαταρα</w:t>
      </w:r>
      <w:r w:rsidR="00637DE0">
        <w:rPr>
          <w:rFonts w:ascii="Times New Roman" w:eastAsia="TimesNewRomanPSMT" w:hAnsi="Times New Roman" w:cs="Times New Roman"/>
          <w:sz w:val="24"/>
          <w:szCs w:val="20"/>
        </w:rPr>
        <w:t>γμένη νεφρική λειτουργία (βλέπε</w:t>
      </w:r>
      <w:r w:rsidR="00637DE0" w:rsidRPr="00637DE0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παράγραφο 5.2).</w:t>
      </w:r>
    </w:p>
    <w:p w:rsidR="00637DE0" w:rsidRPr="00DB0043" w:rsidRDefault="00637DE0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0"/>
        </w:rPr>
      </w:pPr>
      <w:r w:rsidRPr="00536AD7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Διαταραγμένη ηπατική λειτουργία</w:t>
      </w: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Σε ασθενείς με διαταραγμένη ηπατική λειτουργία μία ημερήσια δό</w:t>
      </w:r>
      <w:r w:rsidR="00637DE0">
        <w:rPr>
          <w:rFonts w:ascii="Times New Roman" w:eastAsia="TimesNewRomanPSMT" w:hAnsi="Times New Roman" w:cs="Times New Roman"/>
          <w:sz w:val="24"/>
          <w:szCs w:val="20"/>
        </w:rPr>
        <w:t>ση των 10-20 mg μπορεί να είναι</w:t>
      </w:r>
      <w:r w:rsidR="00637DE0" w:rsidRPr="00637DE0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ικανοποιητική (βλέπε παράγραφο 5.2).</w:t>
      </w:r>
    </w:p>
    <w:p w:rsidR="00637DE0" w:rsidRPr="00DB0043" w:rsidRDefault="00637DE0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0"/>
        </w:rPr>
      </w:pPr>
      <w:r w:rsidRPr="00536AD7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Ηλικιωμένοι (&gt;65 ετών)</w:t>
      </w:r>
    </w:p>
    <w:p w:rsidR="00536AD7" w:rsidRPr="00F700A9" w:rsidRDefault="00536AD7" w:rsidP="00536AD7">
      <w:pPr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Δεν χρειάζεται προσαρμογή της δόσης σε ηλικιωμένους (βλέπε παράγραφο 5.2).</w:t>
      </w: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Μέθοδος χορήγησης</w:t>
      </w: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 xml:space="preserve">Τα καψάκια </w:t>
      </w:r>
      <w:r w:rsidR="00DB0043">
        <w:rPr>
          <w:rFonts w:ascii="Times New Roman" w:hAnsi="Times New Roman" w:cs="Times New Roman"/>
          <w:b/>
          <w:bCs/>
          <w:sz w:val="24"/>
          <w:szCs w:val="24"/>
          <w:lang w:val="en-US"/>
        </w:rPr>
        <w:t>LEPIZOR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 xml:space="preserve"> συνιστάται να λαμβάνονται το πρωί, κατ</w:t>
      </w:r>
      <w:r w:rsidR="00637DE0">
        <w:rPr>
          <w:rFonts w:ascii="Times New Roman" w:eastAsia="TimesNewRomanPSMT" w:hAnsi="Times New Roman" w:cs="Times New Roman"/>
          <w:sz w:val="24"/>
          <w:szCs w:val="20"/>
        </w:rPr>
        <w:t>ά προτίμηση χωρίς φαγητό και να</w:t>
      </w:r>
      <w:r w:rsidR="00637DE0" w:rsidRPr="00637DE0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καταπίνονται ολόκληρα με μισό ποτήρι νερό. Τα καψάκια δεν πρέπει να μασώνται ή να θρυμματίζονται.</w:t>
      </w:r>
    </w:p>
    <w:p w:rsidR="00637DE0" w:rsidRPr="00DB0043" w:rsidRDefault="00637DE0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0"/>
        </w:rPr>
      </w:pPr>
      <w:r w:rsidRPr="00536AD7">
        <w:rPr>
          <w:rFonts w:ascii="Times New Roman" w:eastAsia="TimesNewRomanPS-ItalicMT" w:hAnsi="Times New Roman" w:cs="Times New Roman"/>
          <w:i/>
          <w:iCs/>
          <w:sz w:val="24"/>
          <w:szCs w:val="20"/>
        </w:rPr>
        <w:lastRenderedPageBreak/>
        <w:t>Για ασθενείς με δυσκολίες κατάποσης και για παιδιά που μπορούν να πιούν ή να</w:t>
      </w:r>
      <w:r w:rsidR="00637DE0">
        <w:rPr>
          <w:rFonts w:ascii="Times New Roman" w:eastAsia="TimesNewRomanPS-ItalicMT" w:hAnsi="Times New Roman" w:cs="Times New Roman"/>
          <w:i/>
          <w:iCs/>
          <w:sz w:val="24"/>
          <w:szCs w:val="20"/>
        </w:rPr>
        <w:t xml:space="preserve"> καταπιούν ημίρρευστες</w:t>
      </w:r>
      <w:r w:rsidR="00637DE0" w:rsidRPr="00637DE0">
        <w:rPr>
          <w:rFonts w:ascii="Times New Roman" w:eastAsia="TimesNewRomanPS-ItalicMT" w:hAnsi="Times New Roman" w:cs="Times New Roman"/>
          <w:i/>
          <w:iCs/>
          <w:sz w:val="24"/>
          <w:szCs w:val="20"/>
        </w:rPr>
        <w:t xml:space="preserve"> </w:t>
      </w:r>
      <w:r w:rsidRPr="00536AD7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τροφές.</w:t>
      </w: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Οι ασθενείς μπορούν να ανοίξουν τα καψάκια και να καταπιούν το πε</w:t>
      </w:r>
      <w:r w:rsidR="00637DE0">
        <w:rPr>
          <w:rFonts w:ascii="Times New Roman" w:eastAsia="TimesNewRomanPSMT" w:hAnsi="Times New Roman" w:cs="Times New Roman"/>
          <w:sz w:val="24"/>
          <w:szCs w:val="20"/>
        </w:rPr>
        <w:t>ριεχόμενο με μισό ποτήρι νερό ή</w:t>
      </w:r>
      <w:r w:rsidR="00637DE0" w:rsidRPr="00637DE0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μετά από ανάμιξη του περιεχομένου με ένα ελαφρώς όξινο υγρό π.χ.</w:t>
      </w:r>
      <w:r w:rsidR="00637DE0">
        <w:rPr>
          <w:rFonts w:ascii="Times New Roman" w:eastAsia="TimesNewRomanPSMT" w:hAnsi="Times New Roman" w:cs="Times New Roman"/>
          <w:sz w:val="24"/>
          <w:szCs w:val="20"/>
        </w:rPr>
        <w:t xml:space="preserve"> χυμό φρούτου ή κομπόστα μήλου,</w:t>
      </w:r>
      <w:r w:rsidR="00637DE0" w:rsidRPr="00637DE0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ή με μη-ανθρακούχο νερό. Πρέπει να γίνει σύσταση στους ασθενείς ότ</w:t>
      </w:r>
      <w:r w:rsidR="00637DE0">
        <w:rPr>
          <w:rFonts w:ascii="Times New Roman" w:eastAsia="TimesNewRomanPSMT" w:hAnsi="Times New Roman" w:cs="Times New Roman"/>
          <w:sz w:val="24"/>
          <w:szCs w:val="20"/>
        </w:rPr>
        <w:t>ι το μίγμα πρέπει να λαμβάνεται</w:t>
      </w:r>
      <w:r w:rsidR="00637DE0" w:rsidRPr="00637DE0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αμέσως (ή μέσα σε 30 λεπτά) και πάντα να αναδεύεται ακριβώς πριν την πόση και να ξεπλένεται με</w:t>
      </w:r>
    </w:p>
    <w:p w:rsidR="00637DE0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μισό ποτήρι νερό.</w:t>
      </w:r>
    </w:p>
    <w:p w:rsidR="00637DE0" w:rsidRPr="00DB0043" w:rsidRDefault="00637DE0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  <w:lang w:val="en-US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Εναλλακτικά οι ασθενείς μπορούν να διαλύσουν το καψάκιο στο στόμα και να κατα</w:t>
      </w:r>
      <w:r w:rsidR="00637DE0">
        <w:rPr>
          <w:rFonts w:ascii="Times New Roman" w:eastAsia="TimesNewRomanPSMT" w:hAnsi="Times New Roman" w:cs="Times New Roman"/>
          <w:sz w:val="24"/>
          <w:szCs w:val="20"/>
        </w:rPr>
        <w:t>πιούν τα κοκκία με</w:t>
      </w:r>
      <w:r w:rsidR="00637DE0" w:rsidRPr="00637DE0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μισό ποτήρι νερό. Τα εντεροδιαλυτά κοκκία δεν πρέπει να μασηθούν.</w:t>
      </w:r>
    </w:p>
    <w:p w:rsidR="00B714E9" w:rsidRPr="00B714E9" w:rsidRDefault="00B714E9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  <w:lang w:val="en-US"/>
        </w:rPr>
      </w:pPr>
    </w:p>
    <w:p w:rsidR="00536AD7" w:rsidRPr="00B714E9" w:rsidRDefault="00536AD7" w:rsidP="00B714E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0"/>
          <w:lang w:val="en-US"/>
        </w:rPr>
      </w:pPr>
      <w:r w:rsidRPr="00B714E9">
        <w:rPr>
          <w:rFonts w:ascii="Times New Roman" w:eastAsia="TimesNewRomanPSMT" w:hAnsi="Times New Roman" w:cs="Times New Roman"/>
          <w:b/>
          <w:bCs/>
          <w:sz w:val="24"/>
          <w:szCs w:val="20"/>
        </w:rPr>
        <w:t>Αντενδείξεις</w:t>
      </w:r>
    </w:p>
    <w:p w:rsidR="00B714E9" w:rsidRPr="00B714E9" w:rsidRDefault="00B714E9" w:rsidP="00B714E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0"/>
          <w:lang w:val="en-US"/>
        </w:rPr>
      </w:pP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Υπερευαισθησία στην ομεπραζόλη, στα υποκατεστημένα βενζιμιδαζόλια ή σε κάποιο από τα έκδοχα.</w:t>
      </w:r>
    </w:p>
    <w:p w:rsidR="00B714E9" w:rsidRPr="00DB0043" w:rsidRDefault="00B714E9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 xml:space="preserve">Η ομεπραζόλη όπως και άλλοι αναστολείς της αντλίας πρωτονίων 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(PPIs) δεν πρέπει να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χρησιμοποιούνται ταυτόχρονα με νελφιναβίρη (βλέπε παράγραφο 4.5).</w:t>
      </w:r>
    </w:p>
    <w:p w:rsidR="00B714E9" w:rsidRPr="00DB0043" w:rsidRDefault="00B714E9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B714E9" w:rsidRDefault="00536AD7" w:rsidP="00B714E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0"/>
        </w:rPr>
      </w:pPr>
      <w:r w:rsidRPr="00B714E9">
        <w:rPr>
          <w:rFonts w:ascii="Times New Roman" w:eastAsia="TimesNewRomanPSMT" w:hAnsi="Times New Roman" w:cs="Times New Roman"/>
          <w:b/>
          <w:bCs/>
          <w:sz w:val="24"/>
          <w:szCs w:val="20"/>
        </w:rPr>
        <w:t>Ειδικές προειδοποιήσεις και προφυλάξεις κατά τη χρήση</w:t>
      </w:r>
    </w:p>
    <w:p w:rsidR="00B714E9" w:rsidRPr="00B714E9" w:rsidRDefault="00B714E9" w:rsidP="00B714E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0"/>
        </w:rPr>
      </w:pP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Παρουσία κάποιων προειδοποιητικών συμπτωμάτων (π.χ. ση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μαντική ακούσια απώλεια βάρους,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υποτροπιάζων εμετός, δυσφαγία, αιματέμεση ή μέλαινα) και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 xml:space="preserve"> όταν υπάρχει υποψία ή παρουσία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γαστρικού έλκους, πρέπει να αποκλείεται η κακοήθεια, καθώς η θε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ραπεία μπορεί να ανακουφίσει τα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συμπτώματα και να καθυστερήσει τη διάγνωση.</w:t>
      </w:r>
    </w:p>
    <w:p w:rsidR="00B714E9" w:rsidRPr="00DB0043" w:rsidRDefault="00B714E9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Δε συνιστάται η ταυτόχρονη χορήγηση αταζαναβίρης με αναστολε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ίς της αντλίας πρωτονίων (βλέπε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 xml:space="preserve">παράγραφο 4.5). Εάν ο συνδυασμός αταζαναβίρης με αναστολείς της 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αντλίας πρωτονίων δεν μπορεί να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αποφευχθεί, συνιστάται στενή κλινική παρακολούθηση (π.χ. ιικό φορ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τίο) σε συνδυασμό με αύξηση της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δόσης της αταζαναβίρης σε 400 mg με 100 mg ριτοναβίρη. Η ομεπ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ραζόλη δεν πρέπει να ξεπερνά τα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20 mg.</w:t>
      </w:r>
    </w:p>
    <w:p w:rsidR="00B714E9" w:rsidRPr="00DB0043" w:rsidRDefault="00B714E9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Η ομεπραζόλη, όπως όλα τα φάρμακα αναστολείς της αντλίας π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ρωτονίων, μπορεί να μειώσει την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απορρόφηση της βιταμίνης Β</w:t>
      </w:r>
      <w:r w:rsidRPr="00536AD7">
        <w:rPr>
          <w:rFonts w:ascii="Times New Roman" w:eastAsia="TimesNewRomanPSMT" w:hAnsi="Times New Roman" w:cs="Times New Roman"/>
          <w:sz w:val="16"/>
          <w:szCs w:val="12"/>
        </w:rPr>
        <w:t xml:space="preserve">12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(κυανοκοβαλαμίνη) λόγω της υπο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- ή αχλωρυδρίας. Αυτό πρέπει να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 xml:space="preserve">λαμβάνεται υπόψη σε ασθενείς με μειωμένες αποθήκες ή αυξημένο 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κίνδυνο για μειωμένη απορρόφηση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βιταμίνης Β</w:t>
      </w:r>
      <w:r w:rsidRPr="00536AD7">
        <w:rPr>
          <w:rFonts w:ascii="Times New Roman" w:eastAsia="TimesNewRomanPSMT" w:hAnsi="Times New Roman" w:cs="Times New Roman"/>
          <w:sz w:val="16"/>
          <w:szCs w:val="12"/>
        </w:rPr>
        <w:t xml:space="preserve">12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σε περίπτωση μακροχρόνιας θεραπείας.</w:t>
      </w:r>
    </w:p>
    <w:p w:rsidR="00B714E9" w:rsidRPr="00DB0043" w:rsidRDefault="00B714E9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Η ομεπραζόλη είναι αναστολέας του CYP2C19. Κατά την έναρξ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η ή τη διακοπή της θεραπείας με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 xml:space="preserve">ομεπραζόλη, πρέπει να εξετάζεται η ενδεχόμενη αλληλεπίδραση με 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φάρμακα που μεταβολίζονται μέσω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του CYP2C19. Αλληλεπίδραση παρατηρείται μεταξύ κλοπι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δογρέλης και ομεπραζόλης (βλέπε</w:t>
      </w:r>
      <w:r w:rsidR="00B714E9" w:rsidRPr="00DB0043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παράγραφο 4.5). Η κλινική σημασία αυτής της αλληλεπίδραση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ς είναι αμφίβολη. Προληπτικά, η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ταυτόχρονη χρήση ομεπραζόλης και κλοπιδογρέλης πρέπει να αποθαρρύνεται.</w:t>
      </w:r>
    </w:p>
    <w:p w:rsidR="00B714E9" w:rsidRPr="00DB0043" w:rsidRDefault="00B714E9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0"/>
        </w:rPr>
      </w:pPr>
      <w:r w:rsidRPr="00536AD7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Επίδραση στις εργαστηριακές εξετάσεις</w:t>
      </w: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lastRenderedPageBreak/>
        <w:t>Αυξημένα επίπεδα χρωμογρανίνης Α (CgA) μπορεί να επηρεάσουν τις εξετάσεις για</w:t>
      </w: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νευροενδοκρινικούς όγκους. Για να αποφευχθεί αυτή η επιρροή, θα πρέπει, η θερα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πεία με ομεπραζόλη,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να σταματά προσωρινά τουλάχιστον πέντε ημέρες πριν από τις CgA μετρήσεις.</w:t>
      </w:r>
    </w:p>
    <w:p w:rsidR="00B714E9" w:rsidRPr="00DB0043" w:rsidRDefault="00B714E9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Μερικά παιδιά με χρόνιες παθήσεις μπορεί να χρειαστούν μακρ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οχρόνια θεραπεία παρόλο που δεν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ενδείκνυται.</w:t>
      </w:r>
    </w:p>
    <w:p w:rsidR="00B714E9" w:rsidRPr="00DB0043" w:rsidRDefault="00B714E9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B714E9" w:rsidRPr="00DB0043" w:rsidRDefault="00B714E9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B714E9" w:rsidRPr="00DB0043" w:rsidRDefault="00B714E9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B714E9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0"/>
        </w:rPr>
      </w:pPr>
      <w:r w:rsidRPr="00536AD7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Το καψάκιο περιέχει λακτόζη. Οι ασθενείς με σπάνια κληρονο</w:t>
      </w:r>
      <w:r w:rsidR="00B714E9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μικά προβλήματα δυσανεξίας στη</w:t>
      </w:r>
      <w:r w:rsidR="00B714E9" w:rsidRPr="00B714E9">
        <w:rPr>
          <w:rFonts w:ascii="Times New Roman" w:eastAsia="TimesNewRomanPS-ItalicMT" w:hAnsi="Times New Roman" w:cs="Times New Roman"/>
          <w:i/>
          <w:iCs/>
          <w:sz w:val="24"/>
          <w:szCs w:val="20"/>
        </w:rPr>
        <w:t xml:space="preserve"> </w:t>
      </w:r>
      <w:r w:rsidRPr="00536AD7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γαλακτόζη, έλλειψη λακτάσης Lapp ή κακή απορρόφηση γλυκόζης-γαλακ</w:t>
      </w:r>
      <w:r w:rsidR="00B714E9">
        <w:rPr>
          <w:rFonts w:ascii="Times New Roman" w:eastAsia="TimesNewRomanPS-ItalicMT" w:hAnsi="Times New Roman" w:cs="Times New Roman"/>
          <w:i/>
          <w:iCs/>
          <w:sz w:val="24"/>
          <w:szCs w:val="20"/>
        </w:rPr>
        <w:t xml:space="preserve">τόζης δεν πρέπει να πάρουν </w:t>
      </w:r>
      <w:r w:rsidR="00B714E9">
        <w:rPr>
          <w:rFonts w:ascii="Times New Roman" w:eastAsia="TimesNewRomanPS-ItalicMT" w:hAnsi="Times New Roman" w:cs="Times New Roman"/>
          <w:i/>
          <w:iCs/>
          <w:sz w:val="24"/>
          <w:szCs w:val="20"/>
          <w:lang w:val="en-US"/>
        </w:rPr>
        <w:t>LEPIZOR</w:t>
      </w:r>
      <w:r w:rsidR="00B714E9" w:rsidRPr="00B714E9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.</w:t>
      </w:r>
    </w:p>
    <w:p w:rsidR="00B714E9" w:rsidRPr="00DB0043" w:rsidRDefault="00B714E9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Η θεραπεία με αναστολείς της αντλίας πρωτονίων μπορεί να οδηγή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σει σε ελαφρώς αυξημένο κίνδυνο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 xml:space="preserve">εμφάνισης γαστρεντερικών λοιμώξεων όπως από </w:t>
      </w:r>
      <w:r w:rsidRPr="00536AD7">
        <w:rPr>
          <w:rFonts w:ascii="Times New Roman" w:eastAsia="TimesNewRomanPS-ItalicMT" w:hAnsi="Times New Roman" w:cs="Times New Roman"/>
          <w:i/>
          <w:iCs/>
          <w:sz w:val="24"/>
          <w:szCs w:val="20"/>
        </w:rPr>
        <w:t xml:space="preserve">Salmonella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 xml:space="preserve">και </w:t>
      </w:r>
      <w:r w:rsidRPr="00536AD7">
        <w:rPr>
          <w:rFonts w:ascii="Times New Roman" w:eastAsia="TimesNewRomanPS-ItalicMT" w:hAnsi="Times New Roman" w:cs="Times New Roman"/>
          <w:i/>
          <w:iCs/>
          <w:sz w:val="24"/>
          <w:szCs w:val="20"/>
        </w:rPr>
        <w:t xml:space="preserve">Campylobacter 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(βλέπε παράγραφο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5.1).</w:t>
      </w:r>
    </w:p>
    <w:p w:rsidR="00B714E9" w:rsidRPr="00DB0043" w:rsidRDefault="00B714E9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Όπως σε όλες τις μακροχρόνιες θεραπείες, ειδικά όταν ξεπερνούν σε διά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ρκεια τον 1 χρόνο θεραπείας, οι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ασθενείς πρέπει να βρίσκονται υπό τακτική επίβλεψη.</w:t>
      </w:r>
    </w:p>
    <w:p w:rsidR="00B714E9" w:rsidRPr="00DB0043" w:rsidRDefault="00B714E9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B714E9" w:rsidRDefault="00536AD7" w:rsidP="00B714E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0"/>
        </w:rPr>
      </w:pPr>
      <w:r w:rsidRPr="00B714E9">
        <w:rPr>
          <w:rFonts w:ascii="Times New Roman" w:eastAsia="TimesNewRomanPSMT" w:hAnsi="Times New Roman" w:cs="Times New Roman"/>
          <w:b/>
          <w:bCs/>
          <w:sz w:val="24"/>
          <w:szCs w:val="20"/>
        </w:rPr>
        <w:t>Αλληλεπιδράσεις με άλλα φαρμακευτικά προϊόντα και άλλες μορφές αλληλεπίδρασης</w:t>
      </w:r>
    </w:p>
    <w:p w:rsidR="00B714E9" w:rsidRPr="00DB0043" w:rsidRDefault="00B714E9" w:rsidP="00B714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0"/>
        </w:rPr>
      </w:pP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  <w:u w:val="single"/>
        </w:rPr>
      </w:pPr>
      <w:r w:rsidRPr="00B714E9">
        <w:rPr>
          <w:rFonts w:ascii="Times New Roman" w:eastAsia="TimesNewRomanPSMT" w:hAnsi="Times New Roman" w:cs="Times New Roman"/>
          <w:sz w:val="24"/>
          <w:szCs w:val="20"/>
          <w:u w:val="single"/>
        </w:rPr>
        <w:t>Επιδράσεις της ομεπραζόλης στη φαρμακοκινητική άλλων δραστικών ουσιών.</w:t>
      </w:r>
    </w:p>
    <w:p w:rsidR="00B714E9" w:rsidRPr="00DB0043" w:rsidRDefault="00B714E9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  <w:u w:val="single"/>
        </w:rPr>
      </w:pPr>
    </w:p>
    <w:p w:rsidR="00536AD7" w:rsidRPr="00B714E9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0"/>
          <w:u w:val="single"/>
        </w:rPr>
      </w:pPr>
      <w:r w:rsidRPr="00B714E9">
        <w:rPr>
          <w:rFonts w:ascii="Times New Roman" w:eastAsia="TimesNewRomanPS-ItalicMT" w:hAnsi="Times New Roman" w:cs="Times New Roman"/>
          <w:i/>
          <w:iCs/>
          <w:sz w:val="24"/>
          <w:szCs w:val="20"/>
          <w:u w:val="single"/>
        </w:rPr>
        <w:t>Δραστικές ουσίες με απορρόφηση που εξαρτάται από το pH .</w:t>
      </w: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Η μειωμένη ενδογαστρική οξύτητα κατά τη διάρκεια της θεραπείας με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 xml:space="preserve"> ομεπραζόλη μπορεί να αυξήσει ή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να μειώσει την απορρόφηση των δραστικών ουσιών με απορρόφηση που εξαρτάται από το γαστρικό pH.</w:t>
      </w:r>
    </w:p>
    <w:p w:rsidR="00B714E9" w:rsidRPr="00DB0043" w:rsidRDefault="00B714E9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0"/>
        </w:rPr>
      </w:pPr>
      <w:r w:rsidRPr="00536AD7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Νελφιναβίρη αταζαναβίρη</w:t>
      </w: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Τα επίπεδα νελφιναβίρης και αταζαναβίρης στο πλάσμα μειώνοντ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αι σε περίπτωση συγχορήγησης με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ομεπραζόλη</w:t>
      </w:r>
    </w:p>
    <w:p w:rsidR="00B714E9" w:rsidRPr="00DB0043" w:rsidRDefault="00B714E9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Ταυτόχρονη χορήγηση ομεπραζόλης με νελφιναβίρη αντενδ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είκνυται (βλέπε παράγραφο 4.3).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Συγχορήγηση ομεπραζόλης (40 mg μία φορά ημερησίως) μείωσε τ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η μέση έκθεση νελφιναβίρης κατά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40% περίπου και η μέση έκθεση του φαρμακολογικά δραστικού μετ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αβολίτη M8 μειώθηκε κατά 75-90%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περίπου. Η αλληλεπίδραση μπορεί επίσης να εμπλέκει την αναστολή του CYP2C19.</w:t>
      </w:r>
    </w:p>
    <w:p w:rsidR="00B714E9" w:rsidRPr="00DB0043" w:rsidRDefault="00B714E9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Ταυτόχρονη χορήγηση ομεπραζόλης με αταζαναβίρη δε συ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νιστάται (βλέπε παράγραφο 4.4).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Συγχορήγηση ομεπραζόλης (40 mg μία φορά ημερησίως) και αταζανα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βίρης 300 mg/ριτοναβίρης 100 mg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σε υγιείς εθελοντές είχε ως αποτέλεσμα 75% μείωση της έκθεσης α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ταζναβίρης. Αύξηση της δόση της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αταζαναβίρης στα 400 mg δεν αντιστάθμισε την επίδραση της ομεπραζόλης στην έκθεση αταζαναβίρης.</w:t>
      </w: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Η συγχορήγηση ομεπραζόλης (20 mg μία φορά ημερησίως) με αταζα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ναβίρη 400 mg/ριτοναβίρη 100 mg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σε υγιείς εθελοντές είχε ως αποτέλεσμα μείωση κατά 30% περί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που στην έκθεση αταζαναβίρης σε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σύγκριση με αταζαναβίρη 300 mg/ριτοναβίρη 100 mg μία φορά ημερησίως.</w:t>
      </w:r>
    </w:p>
    <w:p w:rsidR="00B714E9" w:rsidRPr="00DB0043" w:rsidRDefault="00B714E9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0"/>
        </w:rPr>
      </w:pPr>
      <w:r w:rsidRPr="00536AD7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Διγοξίνη</w:t>
      </w: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Ταυτόχρονη θεραπεία με ομεπραζόλη (20 mg ημερησίως) και δι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γοξίνη σε υγιή άτομα αυξάνει τη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βιοδιαθεσιμότητα της διγοξίνης κατά 10%. Τοξικότητα διγοξίνης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 xml:space="preserve"> σπάνια έχει αναφερθεί. Ωστόσο,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πρέπει να δίνεται προσοχή όταν η ομεπραζόλη χορηγείται σε υψηλες δόσ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εις σε ηλικιωμένα άτομα. Στην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περίπτωση αυτή, πρέπει να ενισχύεται η θεραπευτική παρακολούθηση (TDM) της διγοξίνης.</w:t>
      </w:r>
    </w:p>
    <w:p w:rsidR="00B714E9" w:rsidRPr="00DB0043" w:rsidRDefault="00B714E9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B714E9" w:rsidRPr="00DB0043" w:rsidRDefault="00B714E9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B714E9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0"/>
        </w:rPr>
      </w:pPr>
      <w:r w:rsidRPr="00B714E9">
        <w:rPr>
          <w:rFonts w:ascii="Times New Roman" w:eastAsia="TimesNewRomanPSMT" w:hAnsi="Times New Roman" w:cs="Times New Roman"/>
          <w:i/>
          <w:sz w:val="24"/>
          <w:szCs w:val="20"/>
        </w:rPr>
        <w:t>Κλοπιδογρέλη</w:t>
      </w: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Σε μία διασταυρούμενη κλινική μελέτη, χορηγήθηκε για 5 ημέρες κ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λοπιδογρέλη (300 mg δόση εφόδου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ακολουθούμενη από 75 mg/ημέρα) μόνη ή με ομεπραζόλη (80 mg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 xml:space="preserve"> την ίδια χρονική στιγμή με την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κλοπιδογρέλη). Η έκθεση στον δραστικό μεταβολίτη της κλοπιδογρέ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λης μειώθηκε κατά 46% (Ημέρα 1)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και 42% (Ημέρα 5) όταν η κλοπιδογρέλη και η ομεπραζόλη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 xml:space="preserve"> χορηγήθηκαν ταυτόχρονα. Η μέση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αναστολή συσσώρευσης αιμοπεταλίων (IPA) μειώθηκε κατά 47% (24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 xml:space="preserve"> ώρες) και 30% (Ημέρα 5) όταν η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 xml:space="preserve">κλοπιδογρέλη και η ομεπραζόλη χορηγήθηκαν ταυτόχρονα. Σε 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μία άλλη μελέτη αποδείχθηκε ότι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χορηγώντας κλοπιδογρέλη και ομεπραζόλη σε διαφορε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τικούς χρόνους δεν αποτράπηκε η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αλληλεπίδρασή τους η οποία ενδέχεται να οφείλεται στην ανασταλτικ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ή επίδραση της ομεπραζόλης στον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CYP2C19. Έχει αναφερθεί ασυμφωνία δεδομένων επί των κλι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νικών επιπλοκών αυτής της PK/PD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αλληλεπίδρασης σε όρους μειζόνων καρδιαγγειακών συμβαμάτων από μελέτες παρατήρησης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 xml:space="preserve"> και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κλινικές μελέτες.</w:t>
      </w:r>
    </w:p>
    <w:p w:rsidR="00B714E9" w:rsidRPr="00DB0043" w:rsidRDefault="00B714E9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0"/>
        </w:rPr>
      </w:pPr>
      <w:r w:rsidRPr="00536AD7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Άλλες δραστικές ουσίες</w:t>
      </w:r>
    </w:p>
    <w:p w:rsidR="00536AD7" w:rsidRPr="00DB004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Η απορρόφηση ποσακοναζόλης, ερλοτινίμπης, κετοκοναζόλης και ιτ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ρακοναζόλης μειώνεται σημαντικά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και έτσι η κλινική αποτελεσματικότητα μπορεί να είναι επηρεασμέν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η. Για την ποσακοναζόλη και την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ερλοτινίμπη η ταυτόχρονη χρήση πρέπει να αποφεύγεται.</w:t>
      </w:r>
    </w:p>
    <w:p w:rsidR="00B714E9" w:rsidRPr="00DB0043" w:rsidRDefault="00B714E9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B714E9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0"/>
          <w:u w:val="single"/>
        </w:rPr>
      </w:pPr>
      <w:r w:rsidRPr="00B714E9">
        <w:rPr>
          <w:rFonts w:ascii="Times New Roman" w:eastAsia="TimesNewRomanPS-ItalicMT" w:hAnsi="Times New Roman" w:cs="Times New Roman"/>
          <w:i/>
          <w:iCs/>
          <w:sz w:val="24"/>
          <w:szCs w:val="20"/>
          <w:u w:val="single"/>
        </w:rPr>
        <w:t>Δραστικές ουσίε</w:t>
      </w:r>
      <w:r w:rsidR="00B714E9">
        <w:rPr>
          <w:rFonts w:ascii="Times New Roman" w:eastAsia="TimesNewRomanPS-ItalicMT" w:hAnsi="Times New Roman" w:cs="Times New Roman"/>
          <w:i/>
          <w:iCs/>
          <w:sz w:val="24"/>
          <w:szCs w:val="20"/>
          <w:u w:val="single"/>
        </w:rPr>
        <w:t>ς που μεταβολίζονται από το CYP2C</w:t>
      </w:r>
      <w:r w:rsidRPr="00B714E9">
        <w:rPr>
          <w:rFonts w:ascii="Times New Roman" w:eastAsia="TimesNewRomanPS-ItalicMT" w:hAnsi="Times New Roman" w:cs="Times New Roman"/>
          <w:i/>
          <w:iCs/>
          <w:sz w:val="24"/>
          <w:szCs w:val="20"/>
          <w:u w:val="single"/>
        </w:rPr>
        <w:t>19</w:t>
      </w: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36AD7">
        <w:rPr>
          <w:rFonts w:ascii="Times New Roman" w:eastAsia="TimesNewRomanPSMT" w:hAnsi="Times New Roman" w:cs="Times New Roman"/>
          <w:sz w:val="24"/>
          <w:szCs w:val="20"/>
        </w:rPr>
        <w:t>Η ομεπραζόλη είναι ήπιος αναστολέας του CYP2C19, το κύριο ένζυμ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ο μεταβολισμού της ομεπραζόλης.</w:t>
      </w:r>
      <w:r w:rsidRPr="00536AD7">
        <w:rPr>
          <w:rFonts w:ascii="Times New Roman" w:eastAsia="TimesNewRomanPSMT" w:hAnsi="Times New Roman" w:cs="Times New Roman"/>
          <w:sz w:val="24"/>
          <w:szCs w:val="20"/>
        </w:rPr>
        <w:t>Έτσι, ο μεταβολισμός συνεπακόλουθων δραστικών ουσιών που επίσης μεταβολίζ</w:t>
      </w:r>
      <w:r w:rsidR="00B714E9">
        <w:rPr>
          <w:rFonts w:ascii="Times New Roman" w:eastAsia="TimesNewRomanPSMT" w:hAnsi="Times New Roman" w:cs="Times New Roman"/>
          <w:sz w:val="24"/>
          <w:szCs w:val="20"/>
        </w:rPr>
        <w:t>ονται από το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CYP2C19, μπορεί να είναι μειωμένος και η συστηματική έκθεση σε αυτές τις ουσίες αυξημένη.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Παράδειγμα τέτοιων ουσιών είναι η R-βαρφαρίνη και άλλοι ανταγωνιστές της βιταμίνης Κ, η</w:t>
      </w:r>
      <w:r w:rsidR="00B714E9" w:rsidRPr="00B714E9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σιλοσταζόλη, η διαζεπάμη και η φαινυτοΐνη.</w:t>
      </w:r>
    </w:p>
    <w:p w:rsidR="008657E7" w:rsidRPr="00B714E9" w:rsidRDefault="008657E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536AD7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Σιλοσταζόλη</w:t>
      </w: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36AD7">
        <w:rPr>
          <w:rFonts w:ascii="Times New Roman" w:eastAsia="TimesNewRomanPSMT" w:hAnsi="Times New Roman" w:cs="Times New Roman"/>
          <w:sz w:val="24"/>
          <w:szCs w:val="24"/>
        </w:rPr>
        <w:t>Η ομεπραζόλη χορηγούμενη σε δόσεις των 40 mg σε υγιή άτομα σε μί</w:t>
      </w:r>
      <w:r w:rsidR="008657E7">
        <w:rPr>
          <w:rFonts w:ascii="Times New Roman" w:eastAsia="TimesNewRomanPSMT" w:hAnsi="Times New Roman" w:cs="Times New Roman"/>
          <w:sz w:val="24"/>
          <w:szCs w:val="24"/>
        </w:rPr>
        <w:t xml:space="preserve">α διασταυρούμενη μελέτη, αύξησε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το Cmax και AUC για την σιλοσταζόλη κατά 18% και 26% αντίστοιχα, κ</w:t>
      </w:r>
      <w:r w:rsidR="008657E7">
        <w:rPr>
          <w:rFonts w:ascii="Times New Roman" w:eastAsia="TimesNewRomanPSMT" w:hAnsi="Times New Roman" w:cs="Times New Roman"/>
          <w:sz w:val="24"/>
          <w:szCs w:val="24"/>
        </w:rPr>
        <w:t xml:space="preserve">αι για έναν από τους δραστικούς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μεταβολίτες της κατά 29% και 69% αντίστοιχα.</w:t>
      </w:r>
    </w:p>
    <w:p w:rsidR="008657E7" w:rsidRPr="00536AD7" w:rsidRDefault="008657E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536AD7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Φαινυτοΐνη</w:t>
      </w: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36AD7">
        <w:rPr>
          <w:rFonts w:ascii="Times New Roman" w:eastAsia="TimesNewRomanPSMT" w:hAnsi="Times New Roman" w:cs="Times New Roman"/>
          <w:sz w:val="24"/>
          <w:szCs w:val="24"/>
        </w:rPr>
        <w:t>Συνιστάται η παρακολούθηση της συγκέντρωσης φαινυτοΐνης στο πλά</w:t>
      </w:r>
      <w:r w:rsidR="008657E7">
        <w:rPr>
          <w:rFonts w:ascii="Times New Roman" w:eastAsia="TimesNewRomanPSMT" w:hAnsi="Times New Roman" w:cs="Times New Roman"/>
          <w:sz w:val="24"/>
          <w:szCs w:val="24"/>
        </w:rPr>
        <w:t xml:space="preserve">σμα κατά τη διάρκεια των πρώτων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 xml:space="preserve">δύο εβδομάδων μετά την έναρξη της θεραπείας με ομεπραζόλη και, αν </w:t>
      </w:r>
      <w:r w:rsidR="008657E7">
        <w:rPr>
          <w:rFonts w:ascii="Times New Roman" w:eastAsia="TimesNewRomanPSMT" w:hAnsi="Times New Roman" w:cs="Times New Roman"/>
          <w:sz w:val="24"/>
          <w:szCs w:val="24"/>
        </w:rPr>
        <w:t xml:space="preserve">έχει γίνει προσαρμογή της δόσης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της φαινυτοΐνης, πρέπει να λάβει χώρα παρακολούθηση και περαιτέρω προσαρμογή τη</w:t>
      </w:r>
      <w:r w:rsidR="008657E7">
        <w:rPr>
          <w:rFonts w:ascii="Times New Roman" w:eastAsia="TimesNewRomanPSMT" w:hAnsi="Times New Roman" w:cs="Times New Roman"/>
          <w:sz w:val="24"/>
          <w:szCs w:val="24"/>
        </w:rPr>
        <w:t xml:space="preserve">ς δόσης μετά το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πέρας της θεραπείας με ομεπραζόλη.</w:t>
      </w:r>
    </w:p>
    <w:p w:rsidR="008657E7" w:rsidRDefault="008657E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95D6C" w:rsidRDefault="00995D6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95D6C" w:rsidRDefault="00995D6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95D6C" w:rsidRDefault="00995D6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95D6C" w:rsidRDefault="00995D6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95D6C" w:rsidRDefault="00995D6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95D6C" w:rsidRPr="00536AD7" w:rsidRDefault="00995D6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8657E7">
        <w:rPr>
          <w:rFonts w:ascii="Times New Roman" w:eastAsia="TimesNewRomanPSMT" w:hAnsi="Times New Roman" w:cs="Times New Roman"/>
          <w:sz w:val="24"/>
          <w:szCs w:val="24"/>
          <w:u w:val="single"/>
        </w:rPr>
        <w:t>Άγνωστοι μηχανισμοί</w:t>
      </w:r>
    </w:p>
    <w:p w:rsidR="008657E7" w:rsidRPr="008657E7" w:rsidRDefault="008657E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</w:rPr>
      </w:pP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536AD7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Σακουιναβίρη</w:t>
      </w: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36AD7">
        <w:rPr>
          <w:rFonts w:ascii="Times New Roman" w:eastAsia="TimesNewRomanPSMT" w:hAnsi="Times New Roman" w:cs="Times New Roman"/>
          <w:sz w:val="24"/>
          <w:szCs w:val="24"/>
        </w:rPr>
        <w:t>Ταυτόχρονη χορήγηση ομεπραζόλης με σακουιναβίρη/ριτοναβίρ</w:t>
      </w:r>
      <w:r w:rsidR="008657E7">
        <w:rPr>
          <w:rFonts w:ascii="Times New Roman" w:eastAsia="TimesNewRomanPSMT" w:hAnsi="Times New Roman" w:cs="Times New Roman"/>
          <w:sz w:val="24"/>
          <w:szCs w:val="24"/>
        </w:rPr>
        <w:t xml:space="preserve">η είχε ως αποτέλεσμα αύξηση στα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επίπεδα του πλάσματος μέχρι και 70% περίπου για την σακουιναβίρη σε συνδυασμό με κα</w:t>
      </w:r>
      <w:r w:rsidR="008657E7">
        <w:rPr>
          <w:rFonts w:ascii="Times New Roman" w:eastAsia="TimesNewRomanPSMT" w:hAnsi="Times New Roman" w:cs="Times New Roman"/>
          <w:sz w:val="24"/>
          <w:szCs w:val="24"/>
        </w:rPr>
        <w:t xml:space="preserve">λή ανοχή σε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ασθενείς με HIV μόλυνση.</w:t>
      </w:r>
    </w:p>
    <w:p w:rsidR="008657E7" w:rsidRDefault="008657E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8657E7" w:rsidRPr="00536AD7" w:rsidRDefault="008657E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536AD7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Τακρόλιμους</w:t>
      </w: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36AD7">
        <w:rPr>
          <w:rFonts w:ascii="Times New Roman" w:eastAsia="TimesNewRomanPSMT" w:hAnsi="Times New Roman" w:cs="Times New Roman"/>
          <w:sz w:val="24"/>
          <w:szCs w:val="24"/>
        </w:rPr>
        <w:t>Ταυτόχρονη χορήγηση ομεπραζόλης έχει αναφερθεί ότι αυξάνει τα επ</w:t>
      </w:r>
      <w:r w:rsidR="008657E7">
        <w:rPr>
          <w:rFonts w:ascii="Times New Roman" w:eastAsia="TimesNewRomanPSMT" w:hAnsi="Times New Roman" w:cs="Times New Roman"/>
          <w:sz w:val="24"/>
          <w:szCs w:val="24"/>
        </w:rPr>
        <w:t xml:space="preserve">ίπεδα της τακρόλιμους στον ορό.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Θα πρέπει να εφαρμόζεται ενισχυμένη παρακολούθηση της συγκέντ</w:t>
      </w:r>
      <w:r w:rsidR="008657E7">
        <w:rPr>
          <w:rFonts w:ascii="Times New Roman" w:eastAsia="TimesNewRomanPSMT" w:hAnsi="Times New Roman" w:cs="Times New Roman"/>
          <w:sz w:val="24"/>
          <w:szCs w:val="24"/>
        </w:rPr>
        <w:t xml:space="preserve">ρωσης τακρόλιμους καθώς και της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νεφρικής λειτουργίας (κάθαρση κρεατινίνης), και να προσαρμόζεται η δόση της τακρόλιμους αν</w:t>
      </w: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36AD7">
        <w:rPr>
          <w:rFonts w:ascii="Times New Roman" w:eastAsia="TimesNewRomanPSMT" w:hAnsi="Times New Roman" w:cs="Times New Roman"/>
          <w:sz w:val="24"/>
          <w:szCs w:val="24"/>
        </w:rPr>
        <w:t>χρειάζεται.</w:t>
      </w:r>
    </w:p>
    <w:p w:rsidR="008657E7" w:rsidRPr="00536AD7" w:rsidRDefault="008657E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8657E7">
        <w:rPr>
          <w:rFonts w:ascii="Times New Roman" w:eastAsia="TimesNewRomanPSMT" w:hAnsi="Times New Roman" w:cs="Times New Roman"/>
          <w:sz w:val="24"/>
          <w:szCs w:val="24"/>
          <w:u w:val="single"/>
        </w:rPr>
        <w:t>Επιδράσεις άλλων δραστικών ουσιών στη φαρμακοκινητική της ομεπραζόλης</w:t>
      </w:r>
    </w:p>
    <w:p w:rsidR="008657E7" w:rsidRPr="008657E7" w:rsidRDefault="008657E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</w:rPr>
      </w:pPr>
    </w:p>
    <w:p w:rsidR="00536AD7" w:rsidRPr="008657E7" w:rsidRDefault="008657E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eastAsia="TimesNewRomanPS-ItalicMT" w:hAnsi="Times New Roman" w:cs="Times New Roman"/>
          <w:i/>
          <w:iCs/>
          <w:sz w:val="24"/>
          <w:szCs w:val="24"/>
          <w:u w:val="single"/>
        </w:rPr>
        <w:t>Αναστολείς του CYP2C19 και/ή του CYP3A</w:t>
      </w:r>
      <w:r w:rsidR="00536AD7" w:rsidRPr="008657E7">
        <w:rPr>
          <w:rFonts w:ascii="Times New Roman" w:eastAsia="TimesNewRomanPS-ItalicMT" w:hAnsi="Times New Roman" w:cs="Times New Roman"/>
          <w:i/>
          <w:iCs/>
          <w:sz w:val="24"/>
          <w:szCs w:val="24"/>
          <w:u w:val="single"/>
        </w:rPr>
        <w:t>4</w:t>
      </w: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36AD7">
        <w:rPr>
          <w:rFonts w:ascii="Times New Roman" w:eastAsia="TimesNewRomanPSMT" w:hAnsi="Times New Roman" w:cs="Times New Roman"/>
          <w:sz w:val="24"/>
          <w:szCs w:val="24"/>
        </w:rPr>
        <w:t>Καθώς η ομεπραζόλη μεταβολίζεται μέσω των CYP2C19 και CYP</w:t>
      </w:r>
      <w:r w:rsidR="008657E7">
        <w:rPr>
          <w:rFonts w:ascii="Times New Roman" w:eastAsia="TimesNewRomanPSMT" w:hAnsi="Times New Roman" w:cs="Times New Roman"/>
          <w:sz w:val="24"/>
          <w:szCs w:val="24"/>
        </w:rPr>
        <w:t xml:space="preserve">3A4, δραστικές ουσίες που είναι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γνωστό ότι αναστέλλουν το CYP2C19 ή το CYP3A4 (όπως η κλα</w:t>
      </w:r>
      <w:r w:rsidR="008657E7">
        <w:rPr>
          <w:rFonts w:ascii="Times New Roman" w:eastAsia="TimesNewRomanPSMT" w:hAnsi="Times New Roman" w:cs="Times New Roman"/>
          <w:sz w:val="24"/>
          <w:szCs w:val="24"/>
        </w:rPr>
        <w:t xml:space="preserve">ριθρομυκίνη και η βορικοναζόλη)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μπορεί να οδηγήσουν σε αυξημένα επίπεδα ομεπραζόλης στ</w:t>
      </w:r>
      <w:r w:rsidR="008657E7">
        <w:rPr>
          <w:rFonts w:ascii="Times New Roman" w:eastAsia="TimesNewRomanPSMT" w:hAnsi="Times New Roman" w:cs="Times New Roman"/>
          <w:sz w:val="24"/>
          <w:szCs w:val="24"/>
        </w:rPr>
        <w:t xml:space="preserve">ον ορό διότι μειώνεται ο ρυθμός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 xml:space="preserve">μεταβολισμού της ομεπραζόλης. Ταυτόχρονη θεραπεία με </w:t>
      </w:r>
      <w:r w:rsidR="008657E7">
        <w:rPr>
          <w:rFonts w:ascii="Times New Roman" w:eastAsia="TimesNewRomanPSMT" w:hAnsi="Times New Roman" w:cs="Times New Roman"/>
          <w:sz w:val="24"/>
          <w:szCs w:val="24"/>
        </w:rPr>
        <w:t xml:space="preserve">βορικοναζόλη είχε ως αποτέλεσμα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περισσότερο από διπλάσια έκθεση στην ομεπραζόλη. Καθώς υψηλές δόσεις ομεπραζόλης ήταν καλά</w:t>
      </w: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36AD7">
        <w:rPr>
          <w:rFonts w:ascii="Times New Roman" w:eastAsia="TimesNewRomanPSMT" w:hAnsi="Times New Roman" w:cs="Times New Roman"/>
          <w:sz w:val="24"/>
          <w:szCs w:val="24"/>
        </w:rPr>
        <w:t>ανεκτές, γενικώς δεν απαιτείται προσαρμογή της δόσης της ομεπραζόλ</w:t>
      </w:r>
      <w:r w:rsidR="008657E7">
        <w:rPr>
          <w:rFonts w:ascii="Times New Roman" w:eastAsia="TimesNewRomanPSMT" w:hAnsi="Times New Roman" w:cs="Times New Roman"/>
          <w:sz w:val="24"/>
          <w:szCs w:val="24"/>
        </w:rPr>
        <w:t xml:space="preserve">ης. Ωστόσο, πρέπει να εξεταστεί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η προσαρμογή της δόσης σε ασθενείς με σοβαρή ηπατική δ</w:t>
      </w:r>
      <w:r w:rsidR="008657E7">
        <w:rPr>
          <w:rFonts w:ascii="Times New Roman" w:eastAsia="TimesNewRomanPSMT" w:hAnsi="Times New Roman" w:cs="Times New Roman"/>
          <w:sz w:val="24"/>
          <w:szCs w:val="24"/>
        </w:rPr>
        <w:t xml:space="preserve">υσλειτουργία και αν ενδείκνυται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μακροχρόνια θεραπεία.</w:t>
      </w:r>
    </w:p>
    <w:p w:rsidR="008657E7" w:rsidRPr="00536AD7" w:rsidRDefault="008657E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6AD7" w:rsidRPr="008657E7" w:rsidRDefault="008657E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eastAsia="TimesNewRomanPS-ItalicMT" w:hAnsi="Times New Roman" w:cs="Times New Roman"/>
          <w:i/>
          <w:iCs/>
          <w:sz w:val="24"/>
          <w:szCs w:val="24"/>
          <w:u w:val="single"/>
        </w:rPr>
        <w:t>Επαγωγείς του CY 2C19 και/ή του CYP3A</w:t>
      </w:r>
      <w:r w:rsidR="00536AD7" w:rsidRPr="008657E7">
        <w:rPr>
          <w:rFonts w:ascii="Times New Roman" w:eastAsia="TimesNewRomanPS-ItalicMT" w:hAnsi="Times New Roman" w:cs="Times New Roman"/>
          <w:i/>
          <w:iCs/>
          <w:sz w:val="24"/>
          <w:szCs w:val="24"/>
          <w:u w:val="single"/>
        </w:rPr>
        <w:t>4</w:t>
      </w: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36AD7">
        <w:rPr>
          <w:rFonts w:ascii="Times New Roman" w:eastAsia="TimesNewRomanPSMT" w:hAnsi="Times New Roman" w:cs="Times New Roman"/>
          <w:sz w:val="24"/>
          <w:szCs w:val="24"/>
        </w:rPr>
        <w:t>Δραστικές ουσίες που είναι γνωστό ότι διεγείρουν το CYP2C19 ή</w:t>
      </w:r>
      <w:r w:rsidR="008657E7">
        <w:rPr>
          <w:rFonts w:ascii="Times New Roman" w:eastAsia="TimesNewRomanPSMT" w:hAnsi="Times New Roman" w:cs="Times New Roman"/>
          <w:sz w:val="24"/>
          <w:szCs w:val="24"/>
        </w:rPr>
        <w:t xml:space="preserve"> το CYP3A4 ή και τα δύο (όπως η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ριφαμπικίνη και το St John’s wort) μπορεί να οδηγήσουν σε μειωμέ</w:t>
      </w:r>
      <w:r w:rsidR="008657E7">
        <w:rPr>
          <w:rFonts w:ascii="Times New Roman" w:eastAsia="TimesNewRomanPSMT" w:hAnsi="Times New Roman" w:cs="Times New Roman"/>
          <w:sz w:val="24"/>
          <w:szCs w:val="24"/>
        </w:rPr>
        <w:t xml:space="preserve">να επίπεδα ομεπραζόλης στον ορό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αυξάν</w:t>
      </w:r>
      <w:r w:rsidR="008657E7">
        <w:rPr>
          <w:rFonts w:ascii="Times New Roman" w:eastAsia="TimesNewRomanPSMT" w:hAnsi="Times New Roman" w:cs="Times New Roman"/>
          <w:sz w:val="24"/>
          <w:szCs w:val="24"/>
        </w:rPr>
        <w:t xml:space="preserve">οντας το ρυθμό μεταβολισμού της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ομεπραζόλης.</w:t>
      </w:r>
    </w:p>
    <w:p w:rsidR="008657E7" w:rsidRPr="00536AD7" w:rsidRDefault="008657E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6AD7" w:rsidRPr="008657E7" w:rsidRDefault="00536AD7" w:rsidP="008657E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657E7">
        <w:rPr>
          <w:rFonts w:ascii="Times New Roman" w:eastAsia="TimesNewRomanPSMT" w:hAnsi="Times New Roman" w:cs="Times New Roman"/>
          <w:b/>
          <w:bCs/>
          <w:sz w:val="24"/>
          <w:szCs w:val="24"/>
        </w:rPr>
        <w:t>Kύηση και γαλουχία</w:t>
      </w:r>
    </w:p>
    <w:p w:rsidR="008657E7" w:rsidRPr="008657E7" w:rsidRDefault="008657E7" w:rsidP="008657E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36AD7">
        <w:rPr>
          <w:rFonts w:ascii="Times New Roman" w:eastAsia="TimesNewRomanPSMT" w:hAnsi="Times New Roman" w:cs="Times New Roman"/>
          <w:sz w:val="24"/>
          <w:szCs w:val="24"/>
        </w:rPr>
        <w:t>Αποτελέσματα από τρεις διερευνητικές επιδημιολογικές μελέτες (πε</w:t>
      </w:r>
      <w:r w:rsidR="008657E7">
        <w:rPr>
          <w:rFonts w:ascii="Times New Roman" w:eastAsia="TimesNewRomanPSMT" w:hAnsi="Times New Roman" w:cs="Times New Roman"/>
          <w:sz w:val="24"/>
          <w:szCs w:val="24"/>
        </w:rPr>
        <w:t xml:space="preserve">ρισσότερα από 1000 αποτελέσματα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έκθεσης) δεν υποδεικνύουν ανεπιθύμητες ενέργειες της ομεπραζό</w:t>
      </w:r>
      <w:r w:rsidR="008657E7">
        <w:rPr>
          <w:rFonts w:ascii="Times New Roman" w:eastAsia="TimesNewRomanPSMT" w:hAnsi="Times New Roman" w:cs="Times New Roman"/>
          <w:sz w:val="24"/>
          <w:szCs w:val="24"/>
        </w:rPr>
        <w:t xml:space="preserve">λης στην κύηση ή στην υγεία του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εμβρύου/νεογέννητου παιδιού. Η ομεπραζόλη μπορεί να χρησ</w:t>
      </w:r>
      <w:r w:rsidR="008657E7">
        <w:rPr>
          <w:rFonts w:ascii="Times New Roman" w:eastAsia="TimesNewRomanPSMT" w:hAnsi="Times New Roman" w:cs="Times New Roman"/>
          <w:sz w:val="24"/>
          <w:szCs w:val="24"/>
        </w:rPr>
        <w:t xml:space="preserve">ιμοποιηθεί κατά τη διάρκεια της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εγκυμοσύνης.</w:t>
      </w:r>
    </w:p>
    <w:p w:rsidR="008657E7" w:rsidRPr="00536AD7" w:rsidRDefault="008657E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36AD7">
        <w:rPr>
          <w:rFonts w:ascii="Times New Roman" w:eastAsia="TimesNewRomanPSMT" w:hAnsi="Times New Roman" w:cs="Times New Roman"/>
          <w:sz w:val="24"/>
          <w:szCs w:val="24"/>
        </w:rPr>
        <w:t>Η ομεπραζόλη απεκκρίνεται στο μητρικό γάλα αλλά δε φαίνεται να επηρεάζει το παιδί όταν λαμβά</w:t>
      </w:r>
      <w:r w:rsidR="008657E7">
        <w:rPr>
          <w:rFonts w:ascii="Times New Roman" w:eastAsia="TimesNewRomanPSMT" w:hAnsi="Times New Roman" w:cs="Times New Roman"/>
          <w:sz w:val="24"/>
          <w:szCs w:val="24"/>
        </w:rPr>
        <w:t xml:space="preserve">νεται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σε θεραπευτικές δόσεις.</w:t>
      </w:r>
    </w:p>
    <w:p w:rsidR="008657E7" w:rsidRDefault="008657E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95D6C" w:rsidRDefault="00995D6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95D6C" w:rsidRDefault="00995D6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95D6C" w:rsidRDefault="00995D6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95D6C" w:rsidRDefault="00995D6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95D6C" w:rsidRDefault="00995D6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95D6C" w:rsidRPr="00536AD7" w:rsidRDefault="00995D6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6AD7" w:rsidRPr="008657E7" w:rsidRDefault="00536AD7" w:rsidP="008657E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657E7">
        <w:rPr>
          <w:rFonts w:ascii="Times New Roman" w:eastAsia="TimesNewRomanPSMT" w:hAnsi="Times New Roman" w:cs="Times New Roman"/>
          <w:b/>
          <w:bCs/>
          <w:sz w:val="24"/>
          <w:szCs w:val="24"/>
        </w:rPr>
        <w:t>Επιδράσεις στην ικανότητα οδήγησης και χειρισμού μηχανών</w:t>
      </w:r>
    </w:p>
    <w:p w:rsidR="008657E7" w:rsidRPr="008657E7" w:rsidRDefault="008657E7" w:rsidP="008657E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36AD7" w:rsidRDefault="00995D6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Το</w:t>
      </w:r>
      <w:r w:rsidRPr="00995D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536AD7" w:rsidRPr="00536AD7">
        <w:rPr>
          <w:rFonts w:ascii="Times New Roman" w:eastAsia="TimesNewRomanPSMT" w:hAnsi="Times New Roman" w:cs="Times New Roman"/>
          <w:sz w:val="24"/>
          <w:szCs w:val="24"/>
        </w:rPr>
        <w:t xml:space="preserve"> δεν έχει επίδραση στην ικανότητα οδήγησης και </w:t>
      </w:r>
      <w:r w:rsidR="008657E7">
        <w:rPr>
          <w:rFonts w:ascii="Times New Roman" w:eastAsia="TimesNewRomanPSMT" w:hAnsi="Times New Roman" w:cs="Times New Roman"/>
          <w:sz w:val="24"/>
          <w:szCs w:val="24"/>
        </w:rPr>
        <w:t xml:space="preserve">χειρισμού μηχανών. Ανεπιθύμητες </w:t>
      </w:r>
      <w:r w:rsidR="00536AD7" w:rsidRPr="00536AD7">
        <w:rPr>
          <w:rFonts w:ascii="Times New Roman" w:eastAsia="TimesNewRomanPSMT" w:hAnsi="Times New Roman" w:cs="Times New Roman"/>
          <w:sz w:val="24"/>
          <w:szCs w:val="24"/>
        </w:rPr>
        <w:t xml:space="preserve">ενέργειες όπως ζάλη και οπτικές διαταραχές μπορεί να συμβούν </w:t>
      </w:r>
      <w:r w:rsidR="008657E7">
        <w:rPr>
          <w:rFonts w:ascii="Times New Roman" w:eastAsia="TimesNewRomanPSMT" w:hAnsi="Times New Roman" w:cs="Times New Roman"/>
          <w:sz w:val="24"/>
          <w:szCs w:val="24"/>
        </w:rPr>
        <w:t xml:space="preserve">(βλέπε παράγραφο 4.8). Εάν αυτό </w:t>
      </w:r>
      <w:r w:rsidR="00536AD7" w:rsidRPr="00536AD7">
        <w:rPr>
          <w:rFonts w:ascii="Times New Roman" w:eastAsia="TimesNewRomanPSMT" w:hAnsi="Times New Roman" w:cs="Times New Roman"/>
          <w:sz w:val="24"/>
          <w:szCs w:val="24"/>
        </w:rPr>
        <w:t>συμβεί, οι ασθενείς δεν πρέπει να οδηγούν ή να χειρίζονται μηχανές.</w:t>
      </w:r>
    </w:p>
    <w:p w:rsidR="008657E7" w:rsidRPr="00536AD7" w:rsidRDefault="008657E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6AD7" w:rsidRPr="008657E7" w:rsidRDefault="00536AD7" w:rsidP="008657E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657E7">
        <w:rPr>
          <w:rFonts w:ascii="Times New Roman" w:eastAsia="TimesNewRomanPSMT" w:hAnsi="Times New Roman" w:cs="Times New Roman"/>
          <w:b/>
          <w:bCs/>
          <w:sz w:val="24"/>
          <w:szCs w:val="24"/>
        </w:rPr>
        <w:t>Ανεπιθύμητες ενέργειες</w:t>
      </w:r>
    </w:p>
    <w:p w:rsidR="008657E7" w:rsidRPr="008657E7" w:rsidRDefault="008657E7" w:rsidP="008657E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36AD7">
        <w:rPr>
          <w:rFonts w:ascii="Times New Roman" w:eastAsia="TimesNewRomanPSMT" w:hAnsi="Times New Roman" w:cs="Times New Roman"/>
          <w:sz w:val="24"/>
          <w:szCs w:val="24"/>
        </w:rPr>
        <w:t>Οι πιο συχνές ανεπιθύμητες ενέργειες (1-10% των ασθενών) εί</w:t>
      </w:r>
      <w:r w:rsidR="008657E7">
        <w:rPr>
          <w:rFonts w:ascii="Times New Roman" w:eastAsia="TimesNewRomanPSMT" w:hAnsi="Times New Roman" w:cs="Times New Roman"/>
          <w:sz w:val="24"/>
          <w:szCs w:val="24"/>
        </w:rPr>
        <w:t xml:space="preserve">ναι κεφαλαλγία, κοιλιακό άλγος,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δυσκοιλιότητα, διάρροια, μετεωρισμός και ναυτία/εμετός.</w:t>
      </w:r>
    </w:p>
    <w:p w:rsidR="008657E7" w:rsidRDefault="008657E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8657E7" w:rsidRPr="00536AD7" w:rsidRDefault="008657E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36AD7">
        <w:rPr>
          <w:rFonts w:ascii="Times New Roman" w:eastAsia="TimesNewRomanPSMT" w:hAnsi="Times New Roman" w:cs="Times New Roman"/>
          <w:sz w:val="24"/>
          <w:szCs w:val="24"/>
        </w:rPr>
        <w:t>Οι ακόλουθες ανεπιθύμητες ενέργειες του φαρμάκου έχουν εξακρι</w:t>
      </w:r>
      <w:r w:rsidR="008657E7">
        <w:rPr>
          <w:rFonts w:ascii="Times New Roman" w:eastAsia="TimesNewRomanPSMT" w:hAnsi="Times New Roman" w:cs="Times New Roman"/>
          <w:sz w:val="24"/>
          <w:szCs w:val="24"/>
        </w:rPr>
        <w:t xml:space="preserve">βωθεί ή υποψιαστεί από κλινικές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μελέτες για την ομεπραζόλη και μετά την κυκλοφορία του φαρμά</w:t>
      </w:r>
      <w:r w:rsidR="008657E7">
        <w:rPr>
          <w:rFonts w:ascii="Times New Roman" w:eastAsia="TimesNewRomanPSMT" w:hAnsi="Times New Roman" w:cs="Times New Roman"/>
          <w:sz w:val="24"/>
          <w:szCs w:val="24"/>
        </w:rPr>
        <w:t xml:space="preserve">κου. Καμία από τις ανεπιθύμητες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ενέργειες δε φάνηκε να είναι δοσοεξαρτώμενη. Οι ανεπιθύμητες ε</w:t>
      </w:r>
      <w:r w:rsidR="008657E7">
        <w:rPr>
          <w:rFonts w:ascii="Times New Roman" w:eastAsia="TimesNewRomanPSMT" w:hAnsi="Times New Roman" w:cs="Times New Roman"/>
          <w:sz w:val="24"/>
          <w:szCs w:val="24"/>
        </w:rPr>
        <w:t xml:space="preserve">νέργειες που καταρτίζονται στην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παρακάτω λίστα κατηγοριοποιούνται σύμφωνα με τη συχν</w:t>
      </w:r>
      <w:r w:rsidR="008657E7">
        <w:rPr>
          <w:rFonts w:ascii="Times New Roman" w:eastAsia="TimesNewRomanPSMT" w:hAnsi="Times New Roman" w:cs="Times New Roman"/>
          <w:sz w:val="24"/>
          <w:szCs w:val="24"/>
        </w:rPr>
        <w:t xml:space="preserve">ότητα και την Κατηγορία Οργάνου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Συστήματος (ΚΟΣ). Οι κατηγορίες συχνότητας ορίζονται σύμφων</w:t>
      </w:r>
      <w:r w:rsidR="008657E7">
        <w:rPr>
          <w:rFonts w:ascii="Times New Roman" w:eastAsia="TimesNewRomanPSMT" w:hAnsi="Times New Roman" w:cs="Times New Roman"/>
          <w:sz w:val="24"/>
          <w:szCs w:val="24"/>
        </w:rPr>
        <w:t xml:space="preserve">α με την παρακάτω συνθήκη: Πολύ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συχνές (≥1/10), Συχνές (≥1/100, &lt;1/10), Όχι συχνές (≥1/1.000, &lt;1/100),</w:t>
      </w:r>
      <w:r w:rsidR="008657E7">
        <w:rPr>
          <w:rFonts w:ascii="Times New Roman" w:eastAsia="TimesNewRomanPSMT" w:hAnsi="Times New Roman" w:cs="Times New Roman"/>
          <w:sz w:val="24"/>
          <w:szCs w:val="24"/>
        </w:rPr>
        <w:t xml:space="preserve"> Σπάνιες (≥1/10.000, &lt;1/1.000),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Πολύ σπάνιες (&lt;1/10.000), Μη γνωστές (δεν μπορούν να εκτιμηθούν με βάση τα διαθέσιμα δεδομένα).</w:t>
      </w:r>
    </w:p>
    <w:p w:rsidR="008657E7" w:rsidRDefault="008657E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95D6C" w:rsidRDefault="00995D6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47EE" w:rsidRDefault="00A847EE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98"/>
        <w:gridCol w:w="6624"/>
      </w:tblGrid>
      <w:tr w:rsidR="008657E7" w:rsidTr="008657E7">
        <w:tc>
          <w:tcPr>
            <w:tcW w:w="0" w:type="auto"/>
          </w:tcPr>
          <w:p w:rsidR="008657E7" w:rsidRDefault="008657E7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ΚΟΣ/συχνότητα</w:t>
            </w:r>
          </w:p>
        </w:tc>
        <w:tc>
          <w:tcPr>
            <w:tcW w:w="0" w:type="auto"/>
          </w:tcPr>
          <w:p w:rsidR="008657E7" w:rsidRDefault="008657E7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Ανεπιθύμητη ενέργεια</w:t>
            </w:r>
          </w:p>
        </w:tc>
      </w:tr>
      <w:tr w:rsidR="008657E7" w:rsidTr="006A6CBC">
        <w:tc>
          <w:tcPr>
            <w:tcW w:w="0" w:type="auto"/>
            <w:gridSpan w:val="2"/>
          </w:tcPr>
          <w:p w:rsidR="008657E7" w:rsidRPr="008657E7" w:rsidRDefault="008657E7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Διαταραχές του αιμοποιητικού και του λεμφικού συστ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ήματος</w:t>
            </w:r>
          </w:p>
        </w:tc>
      </w:tr>
      <w:tr w:rsidR="008657E7" w:rsidTr="008657E7"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Σπάνιες:</w:t>
            </w:r>
          </w:p>
        </w:tc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Λευκοπενία, θρομβοπενία</w:t>
            </w:r>
          </w:p>
        </w:tc>
      </w:tr>
      <w:tr w:rsidR="008657E7" w:rsidTr="008657E7"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Πολύ σπάνιες:</w:t>
            </w:r>
          </w:p>
        </w:tc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Ακοκκιοκυτταραιμία, πανκυτταροπενία</w:t>
            </w:r>
          </w:p>
        </w:tc>
      </w:tr>
      <w:tr w:rsidR="00524DBD" w:rsidTr="006A6CBC">
        <w:tc>
          <w:tcPr>
            <w:tcW w:w="0" w:type="auto"/>
            <w:gridSpan w:val="2"/>
          </w:tcPr>
          <w:p w:rsidR="00524DBD" w:rsidRPr="00524DBD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Διαταραχέ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ς του ανοσοποιητικού συστήματος</w:t>
            </w:r>
          </w:p>
        </w:tc>
      </w:tr>
      <w:tr w:rsidR="008657E7" w:rsidTr="008657E7"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Σπάνιες:</w:t>
            </w:r>
          </w:p>
        </w:tc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Αντιδράσεις υπερευαισθησίας π.χ. πυρετός, αγγειοοίδημα και αναφυλακτική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αντίδραση/καταπληξία</w:t>
            </w:r>
          </w:p>
        </w:tc>
      </w:tr>
      <w:tr w:rsidR="00524DBD" w:rsidTr="006A6CBC">
        <w:tc>
          <w:tcPr>
            <w:tcW w:w="0" w:type="auto"/>
            <w:gridSpan w:val="2"/>
          </w:tcPr>
          <w:p w:rsidR="00524DBD" w:rsidRPr="00524DBD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Διαταραχές του μεταβολι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σμού και της θρέψης</w:t>
            </w:r>
          </w:p>
        </w:tc>
      </w:tr>
      <w:tr w:rsidR="008657E7" w:rsidTr="008657E7"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Σπάνιες:</w:t>
            </w:r>
          </w:p>
        </w:tc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Υπονατριαιμία</w:t>
            </w:r>
          </w:p>
        </w:tc>
      </w:tr>
      <w:tr w:rsidR="008657E7" w:rsidTr="008657E7"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Πολύ σπάνιες:</w:t>
            </w:r>
          </w:p>
        </w:tc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Υπομαγνησιαιμία</w:t>
            </w:r>
          </w:p>
        </w:tc>
      </w:tr>
      <w:tr w:rsidR="00524DBD" w:rsidTr="006A6CBC">
        <w:tc>
          <w:tcPr>
            <w:tcW w:w="0" w:type="auto"/>
            <w:gridSpan w:val="2"/>
          </w:tcPr>
          <w:p w:rsidR="00524DBD" w:rsidRPr="00524DBD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Ψυχιατρικές διαταραχές</w:t>
            </w:r>
          </w:p>
        </w:tc>
      </w:tr>
      <w:tr w:rsidR="008657E7" w:rsidTr="008657E7"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Όχι συχνές:</w:t>
            </w:r>
          </w:p>
        </w:tc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Αϋπνία</w:t>
            </w:r>
          </w:p>
        </w:tc>
      </w:tr>
      <w:tr w:rsidR="008657E7" w:rsidTr="008657E7"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Σπάνιες:</w:t>
            </w:r>
          </w:p>
        </w:tc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Διέγερση, σύγχυση, κατάθλιψη</w:t>
            </w:r>
          </w:p>
        </w:tc>
      </w:tr>
      <w:tr w:rsidR="008657E7" w:rsidTr="008657E7"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Πολύ σπάνιες:</w:t>
            </w:r>
          </w:p>
        </w:tc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Επιθετικότητα, παραισθήσεις</w:t>
            </w:r>
          </w:p>
        </w:tc>
      </w:tr>
      <w:tr w:rsidR="00524DBD" w:rsidTr="006A6CBC">
        <w:tc>
          <w:tcPr>
            <w:tcW w:w="0" w:type="auto"/>
            <w:gridSpan w:val="2"/>
          </w:tcPr>
          <w:p w:rsidR="00524DBD" w:rsidRPr="00524DBD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Δια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ταραχές του νευρικού συστήματος</w:t>
            </w:r>
          </w:p>
        </w:tc>
      </w:tr>
      <w:tr w:rsidR="008657E7" w:rsidTr="008657E7"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Συχνές:</w:t>
            </w:r>
          </w:p>
        </w:tc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Κεφαλαλγία</w:t>
            </w:r>
          </w:p>
        </w:tc>
      </w:tr>
      <w:tr w:rsidR="008657E7" w:rsidTr="008657E7"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Όχι συχνές:</w:t>
            </w:r>
          </w:p>
        </w:tc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Ζάλη, παραισθησία, υπνηλία</w:t>
            </w:r>
          </w:p>
        </w:tc>
      </w:tr>
      <w:tr w:rsidR="008657E7" w:rsidTr="008657E7"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Σπάνιες:</w:t>
            </w:r>
          </w:p>
        </w:tc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Σπάνιες:</w:t>
            </w:r>
          </w:p>
        </w:tc>
      </w:tr>
      <w:tr w:rsidR="00524DBD" w:rsidTr="006A6CBC">
        <w:tc>
          <w:tcPr>
            <w:tcW w:w="0" w:type="auto"/>
            <w:gridSpan w:val="2"/>
          </w:tcPr>
          <w:p w:rsidR="00524DBD" w:rsidRPr="00524DBD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Οφθαλμικές διαταραχές</w:t>
            </w:r>
          </w:p>
        </w:tc>
      </w:tr>
      <w:tr w:rsidR="008657E7" w:rsidTr="008657E7"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Σπάνιες:</w:t>
            </w:r>
          </w:p>
        </w:tc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Θαμπή όραση</w:t>
            </w:r>
          </w:p>
        </w:tc>
      </w:tr>
      <w:tr w:rsidR="00524DBD" w:rsidTr="006A6CBC">
        <w:tc>
          <w:tcPr>
            <w:tcW w:w="0" w:type="auto"/>
            <w:gridSpan w:val="2"/>
          </w:tcPr>
          <w:p w:rsidR="00524DBD" w:rsidRPr="00524DBD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Διαταρα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χές του ωτός και του λαβυρίνθου</w:t>
            </w:r>
          </w:p>
        </w:tc>
      </w:tr>
      <w:tr w:rsidR="008657E7" w:rsidTr="008657E7"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Όχι συχνές:</w:t>
            </w:r>
          </w:p>
        </w:tc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Ίλιγγος</w:t>
            </w:r>
          </w:p>
        </w:tc>
      </w:tr>
      <w:tr w:rsidR="00524DBD" w:rsidTr="006A6CBC">
        <w:tc>
          <w:tcPr>
            <w:tcW w:w="0" w:type="auto"/>
            <w:gridSpan w:val="2"/>
          </w:tcPr>
          <w:p w:rsidR="00524DBD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Διαταραχές του αναπνευστικού συστήματος, του θώρακα και του μεσοθωρακίου</w:t>
            </w:r>
          </w:p>
        </w:tc>
      </w:tr>
      <w:tr w:rsidR="008657E7" w:rsidTr="008657E7"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Σπάνιες:</w:t>
            </w:r>
          </w:p>
        </w:tc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Βρογχόσπασ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μος</w:t>
            </w:r>
          </w:p>
        </w:tc>
      </w:tr>
      <w:tr w:rsidR="00524DBD" w:rsidTr="006A6CBC">
        <w:tc>
          <w:tcPr>
            <w:tcW w:w="0" w:type="auto"/>
            <w:gridSpan w:val="2"/>
          </w:tcPr>
          <w:p w:rsidR="00524DBD" w:rsidRPr="00524DBD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Διαταραχές του γαστρεντερικού</w:t>
            </w:r>
          </w:p>
        </w:tc>
      </w:tr>
      <w:tr w:rsidR="008657E7" w:rsidTr="008657E7"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Συχνές:</w:t>
            </w:r>
          </w:p>
        </w:tc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Κοιλιακό άλγος, δυσκοι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λιότητα, διάρροια, μετεωρισμός, </w:t>
            </w: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ναυτία/εμετός</w:t>
            </w:r>
          </w:p>
        </w:tc>
      </w:tr>
      <w:tr w:rsidR="008657E7" w:rsidTr="008657E7"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Σπάνιες:</w:t>
            </w:r>
          </w:p>
        </w:tc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Ξηροστομία, στοματίτιδα, γαστρεντερική καντιντίαση</w:t>
            </w:r>
          </w:p>
        </w:tc>
      </w:tr>
      <w:tr w:rsidR="00524DBD" w:rsidTr="006A6CBC">
        <w:tc>
          <w:tcPr>
            <w:tcW w:w="0" w:type="auto"/>
            <w:gridSpan w:val="2"/>
          </w:tcPr>
          <w:p w:rsidR="00524DBD" w:rsidRPr="00524DBD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Διαταραχ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ές του ήπατος και των χοληφόρων</w:t>
            </w:r>
          </w:p>
        </w:tc>
      </w:tr>
      <w:tr w:rsidR="008657E7" w:rsidTr="008657E7"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Όχι συχνές:</w:t>
            </w:r>
          </w:p>
        </w:tc>
        <w:tc>
          <w:tcPr>
            <w:tcW w:w="0" w:type="auto"/>
          </w:tcPr>
          <w:p w:rsidR="008657E7" w:rsidRDefault="00524DBD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Αυξημένα ηπατικά ένζυμα</w:t>
            </w:r>
          </w:p>
        </w:tc>
      </w:tr>
      <w:tr w:rsidR="008657E7" w:rsidTr="008657E7">
        <w:tc>
          <w:tcPr>
            <w:tcW w:w="0" w:type="auto"/>
          </w:tcPr>
          <w:p w:rsidR="008657E7" w:rsidRDefault="00A847EE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Σπάνιες:</w:t>
            </w:r>
          </w:p>
        </w:tc>
        <w:tc>
          <w:tcPr>
            <w:tcW w:w="0" w:type="auto"/>
          </w:tcPr>
          <w:p w:rsidR="008657E7" w:rsidRDefault="00A847EE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Ηπατίτιδα με ή χωρίς ίκτερο</w:t>
            </w:r>
          </w:p>
        </w:tc>
      </w:tr>
      <w:tr w:rsidR="008657E7" w:rsidTr="008657E7">
        <w:tc>
          <w:tcPr>
            <w:tcW w:w="0" w:type="auto"/>
          </w:tcPr>
          <w:p w:rsidR="008657E7" w:rsidRDefault="00A847EE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Πολύ σπάνιες:</w:t>
            </w:r>
          </w:p>
        </w:tc>
        <w:tc>
          <w:tcPr>
            <w:tcW w:w="0" w:type="auto"/>
          </w:tcPr>
          <w:p w:rsidR="008657E7" w:rsidRDefault="00A847EE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Ηπατική ανεπάρκεια, εγκεφαλοπάθεια σε ασ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θενείς με προϋπάρχουσα νόσο του ήπατος</w:t>
            </w:r>
          </w:p>
        </w:tc>
      </w:tr>
      <w:tr w:rsidR="00A847EE" w:rsidTr="006A6CBC">
        <w:tc>
          <w:tcPr>
            <w:tcW w:w="0" w:type="auto"/>
            <w:gridSpan w:val="2"/>
          </w:tcPr>
          <w:p w:rsidR="00A847EE" w:rsidRPr="00A847EE" w:rsidRDefault="00A847EE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Διαταραχές του δ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έρματος και του υποδόριου ιστού</w:t>
            </w:r>
          </w:p>
        </w:tc>
      </w:tr>
      <w:tr w:rsidR="008657E7" w:rsidTr="008657E7">
        <w:tc>
          <w:tcPr>
            <w:tcW w:w="0" w:type="auto"/>
          </w:tcPr>
          <w:p w:rsidR="008657E7" w:rsidRDefault="00A847EE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Όχι συχνές:</w:t>
            </w:r>
          </w:p>
        </w:tc>
        <w:tc>
          <w:tcPr>
            <w:tcW w:w="0" w:type="auto"/>
          </w:tcPr>
          <w:p w:rsidR="008657E7" w:rsidRDefault="00A847EE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Δερματίτ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ιδα, κνησμός, εξάνθημα, κνίδωση</w:t>
            </w:r>
          </w:p>
        </w:tc>
      </w:tr>
      <w:tr w:rsidR="008657E7" w:rsidTr="008657E7">
        <w:tc>
          <w:tcPr>
            <w:tcW w:w="0" w:type="auto"/>
          </w:tcPr>
          <w:p w:rsidR="008657E7" w:rsidRDefault="00A847EE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Σπάνιες:</w:t>
            </w:r>
          </w:p>
        </w:tc>
        <w:tc>
          <w:tcPr>
            <w:tcW w:w="0" w:type="auto"/>
          </w:tcPr>
          <w:p w:rsidR="008657E7" w:rsidRDefault="00A847EE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Αλωπεκία, φωτοευαισθησία</w:t>
            </w:r>
          </w:p>
        </w:tc>
      </w:tr>
      <w:tr w:rsidR="008657E7" w:rsidTr="008657E7">
        <w:tc>
          <w:tcPr>
            <w:tcW w:w="0" w:type="auto"/>
          </w:tcPr>
          <w:p w:rsidR="008657E7" w:rsidRDefault="00A847EE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Πολύ σπάνιες:</w:t>
            </w:r>
          </w:p>
        </w:tc>
        <w:tc>
          <w:tcPr>
            <w:tcW w:w="0" w:type="auto"/>
          </w:tcPr>
          <w:p w:rsidR="008657E7" w:rsidRDefault="00A847EE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Πολύμορφο ερύθημα, σύνδρομο Stevens-Johns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on, τοξική επιδερμική νεκρόλυση</w:t>
            </w:r>
          </w:p>
        </w:tc>
      </w:tr>
      <w:tr w:rsidR="00A847EE" w:rsidTr="006A6CBC">
        <w:tc>
          <w:tcPr>
            <w:tcW w:w="0" w:type="auto"/>
            <w:gridSpan w:val="2"/>
          </w:tcPr>
          <w:p w:rsidR="00A847EE" w:rsidRPr="00A847EE" w:rsidRDefault="00A847EE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Διαταραχές του μυοσκελετικού συστ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ήματος και του συνδετικού ιστού</w:t>
            </w:r>
          </w:p>
        </w:tc>
      </w:tr>
      <w:tr w:rsidR="008657E7" w:rsidTr="008657E7">
        <w:tc>
          <w:tcPr>
            <w:tcW w:w="0" w:type="auto"/>
          </w:tcPr>
          <w:p w:rsidR="008657E7" w:rsidRDefault="00A847EE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Σπάνιες:</w:t>
            </w:r>
          </w:p>
        </w:tc>
        <w:tc>
          <w:tcPr>
            <w:tcW w:w="0" w:type="auto"/>
          </w:tcPr>
          <w:p w:rsidR="008657E7" w:rsidRDefault="00A847EE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Αρθραλγία, μυαλγία</w:t>
            </w:r>
          </w:p>
        </w:tc>
      </w:tr>
      <w:tr w:rsidR="008657E7" w:rsidTr="008657E7">
        <w:tc>
          <w:tcPr>
            <w:tcW w:w="0" w:type="auto"/>
          </w:tcPr>
          <w:p w:rsidR="008657E7" w:rsidRDefault="00A847EE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Πολύ σπάνιες:</w:t>
            </w:r>
          </w:p>
        </w:tc>
        <w:tc>
          <w:tcPr>
            <w:tcW w:w="0" w:type="auto"/>
          </w:tcPr>
          <w:p w:rsidR="008657E7" w:rsidRDefault="00A847EE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Μυϊκή αδυναμία</w:t>
            </w:r>
          </w:p>
        </w:tc>
      </w:tr>
      <w:tr w:rsidR="00A847EE" w:rsidTr="006A6CBC">
        <w:tc>
          <w:tcPr>
            <w:tcW w:w="0" w:type="auto"/>
            <w:gridSpan w:val="2"/>
          </w:tcPr>
          <w:p w:rsidR="00A847EE" w:rsidRPr="00A847EE" w:rsidRDefault="00A847EE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Διαταραχές των νεφρών κ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αι των ουροφόρων οδών</w:t>
            </w:r>
          </w:p>
        </w:tc>
      </w:tr>
      <w:tr w:rsidR="008657E7" w:rsidTr="008657E7">
        <w:tc>
          <w:tcPr>
            <w:tcW w:w="0" w:type="auto"/>
          </w:tcPr>
          <w:p w:rsidR="008657E7" w:rsidRDefault="00A847EE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Σπάνιες:</w:t>
            </w:r>
          </w:p>
        </w:tc>
        <w:tc>
          <w:tcPr>
            <w:tcW w:w="0" w:type="auto"/>
          </w:tcPr>
          <w:p w:rsidR="008657E7" w:rsidRDefault="00A847EE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Διάμεση νεφρίτιδα</w:t>
            </w:r>
          </w:p>
        </w:tc>
      </w:tr>
      <w:tr w:rsidR="00A847EE" w:rsidTr="006A6CBC">
        <w:tc>
          <w:tcPr>
            <w:tcW w:w="0" w:type="auto"/>
            <w:gridSpan w:val="2"/>
          </w:tcPr>
          <w:p w:rsidR="00A847EE" w:rsidRPr="00A847EE" w:rsidRDefault="00A847EE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Διαταραχές του αναπαραγω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γικού συστήματος και του μαστού</w:t>
            </w:r>
          </w:p>
        </w:tc>
      </w:tr>
      <w:tr w:rsidR="008657E7" w:rsidTr="008657E7">
        <w:tc>
          <w:tcPr>
            <w:tcW w:w="0" w:type="auto"/>
          </w:tcPr>
          <w:p w:rsidR="008657E7" w:rsidRDefault="00A847EE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Πολύ σπάνιες:</w:t>
            </w:r>
          </w:p>
        </w:tc>
        <w:tc>
          <w:tcPr>
            <w:tcW w:w="0" w:type="auto"/>
          </w:tcPr>
          <w:p w:rsidR="008657E7" w:rsidRDefault="00A847EE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Γυναικομαστία</w:t>
            </w:r>
          </w:p>
        </w:tc>
      </w:tr>
      <w:tr w:rsidR="00A847EE" w:rsidTr="006A6CBC">
        <w:tc>
          <w:tcPr>
            <w:tcW w:w="0" w:type="auto"/>
            <w:gridSpan w:val="2"/>
          </w:tcPr>
          <w:p w:rsidR="00A847EE" w:rsidRPr="00A847EE" w:rsidRDefault="00A847EE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Γενικές διαταραχές και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καταστάσεις της οδού χορήγησης</w:t>
            </w:r>
          </w:p>
        </w:tc>
      </w:tr>
      <w:tr w:rsidR="008657E7" w:rsidTr="008657E7">
        <w:tc>
          <w:tcPr>
            <w:tcW w:w="0" w:type="auto"/>
          </w:tcPr>
          <w:p w:rsidR="008657E7" w:rsidRDefault="00A847EE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Όχι συχνές:</w:t>
            </w:r>
          </w:p>
        </w:tc>
        <w:tc>
          <w:tcPr>
            <w:tcW w:w="0" w:type="auto"/>
          </w:tcPr>
          <w:p w:rsidR="008657E7" w:rsidRDefault="00A847EE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Αίσθημα κακουχίας, περιφερικό οίδημα</w:t>
            </w:r>
          </w:p>
        </w:tc>
      </w:tr>
      <w:tr w:rsidR="008657E7" w:rsidTr="008657E7">
        <w:tc>
          <w:tcPr>
            <w:tcW w:w="0" w:type="auto"/>
          </w:tcPr>
          <w:p w:rsidR="008657E7" w:rsidRDefault="00A847EE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Σπάνιες:</w:t>
            </w:r>
          </w:p>
        </w:tc>
        <w:tc>
          <w:tcPr>
            <w:tcW w:w="0" w:type="auto"/>
          </w:tcPr>
          <w:p w:rsidR="008657E7" w:rsidRDefault="00A847EE" w:rsidP="00536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AD7">
              <w:rPr>
                <w:rFonts w:ascii="Times New Roman" w:eastAsia="TimesNewRomanPSMT" w:hAnsi="Times New Roman" w:cs="Times New Roman"/>
                <w:sz w:val="24"/>
                <w:szCs w:val="24"/>
              </w:rPr>
              <w:t>Αυξημένη εφίδρωση</w:t>
            </w:r>
          </w:p>
        </w:tc>
      </w:tr>
    </w:tbl>
    <w:p w:rsidR="008657E7" w:rsidRPr="00536AD7" w:rsidRDefault="008657E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A847EE">
        <w:rPr>
          <w:rFonts w:ascii="Times New Roman" w:eastAsia="TimesNewRomanPSMT" w:hAnsi="Times New Roman" w:cs="Times New Roman"/>
          <w:sz w:val="24"/>
          <w:szCs w:val="24"/>
          <w:u w:val="single"/>
        </w:rPr>
        <w:t>Παιδιατρικός πληθυσμός</w:t>
      </w:r>
    </w:p>
    <w:p w:rsidR="00A847EE" w:rsidRPr="00A847EE" w:rsidRDefault="00A847EE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36AD7">
        <w:rPr>
          <w:rFonts w:ascii="Times New Roman" w:eastAsia="TimesNewRomanPSMT" w:hAnsi="Times New Roman" w:cs="Times New Roman"/>
          <w:sz w:val="24"/>
          <w:szCs w:val="24"/>
        </w:rPr>
        <w:t>Η ασφάλεια της ομεπραζόλης έχει αξιολογηθεί σε σύνολο 310 παιδιώ</w:t>
      </w:r>
      <w:r w:rsidR="00A847EE">
        <w:rPr>
          <w:rFonts w:ascii="Times New Roman" w:eastAsia="TimesNewRomanPSMT" w:hAnsi="Times New Roman" w:cs="Times New Roman"/>
          <w:sz w:val="24"/>
          <w:szCs w:val="24"/>
        </w:rPr>
        <w:t xml:space="preserve">ν ηλικίας 0 έως 16 ετών με νόσο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σχετιζόμενη με υπεροξύτητα. Υπάρχουν περιορισμένα δεδομένα ασφ</w:t>
      </w:r>
      <w:r w:rsidR="00A847EE">
        <w:rPr>
          <w:rFonts w:ascii="Times New Roman" w:eastAsia="TimesNewRomanPSMT" w:hAnsi="Times New Roman" w:cs="Times New Roman"/>
          <w:sz w:val="24"/>
          <w:szCs w:val="24"/>
        </w:rPr>
        <w:t xml:space="preserve">άλειας με παρατεταμένη θεραπεία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από 46 παιδιά τα οποία έλαβαν θεραπεία συντήρησης με ομεπραζόλη κα</w:t>
      </w:r>
      <w:r w:rsidR="00A847EE">
        <w:rPr>
          <w:rFonts w:ascii="Times New Roman" w:eastAsia="TimesNewRomanPSMT" w:hAnsi="Times New Roman" w:cs="Times New Roman"/>
          <w:sz w:val="24"/>
          <w:szCs w:val="24"/>
        </w:rPr>
        <w:t xml:space="preserve">τά τη διάρκεια κλινικής μελέτης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 xml:space="preserve">για σοβαρή διαβρωτική οισοφαγίτιδα έως και 749 ημέρες. Το προφίλ </w:t>
      </w:r>
      <w:r w:rsidR="00A847EE">
        <w:rPr>
          <w:rFonts w:ascii="Times New Roman" w:eastAsia="TimesNewRomanPSMT" w:hAnsi="Times New Roman" w:cs="Times New Roman"/>
          <w:sz w:val="24"/>
          <w:szCs w:val="24"/>
        </w:rPr>
        <w:t xml:space="preserve">των ανεπιθύμητων ενεργειών ήταν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γενικώς το ίδιο με των ενηλίκων τόσο σε βραχυπρόθεσμη όσο και</w:t>
      </w:r>
      <w:r w:rsidR="00A847EE">
        <w:rPr>
          <w:rFonts w:ascii="Times New Roman" w:eastAsia="TimesNewRomanPSMT" w:hAnsi="Times New Roman" w:cs="Times New Roman"/>
          <w:sz w:val="24"/>
          <w:szCs w:val="24"/>
        </w:rPr>
        <w:t xml:space="preserve"> σε μακροπρόθεσμη θεραπεία. Δεν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υπάρχουν μακροπρόθεσμα δεδομένα αναφορικά με τις επιδράσεις τ</w:t>
      </w:r>
      <w:r w:rsidR="00A847EE">
        <w:rPr>
          <w:rFonts w:ascii="Times New Roman" w:eastAsia="TimesNewRomanPSMT" w:hAnsi="Times New Roman" w:cs="Times New Roman"/>
          <w:sz w:val="24"/>
          <w:szCs w:val="24"/>
        </w:rPr>
        <w:t xml:space="preserve">ης θεραπείας με ομεπραζόλη στην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ήβη και την ανάπτυξη.</w:t>
      </w:r>
    </w:p>
    <w:p w:rsidR="00A847EE" w:rsidRPr="00536AD7" w:rsidRDefault="00A847EE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6AD7" w:rsidRPr="00A847EE" w:rsidRDefault="00536AD7" w:rsidP="00A847E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847EE">
        <w:rPr>
          <w:rFonts w:ascii="Times New Roman" w:eastAsia="TimesNewRomanPSMT" w:hAnsi="Times New Roman" w:cs="Times New Roman"/>
          <w:b/>
          <w:bCs/>
          <w:sz w:val="24"/>
          <w:szCs w:val="24"/>
        </w:rPr>
        <w:t>Υπερδοσολογία</w:t>
      </w:r>
    </w:p>
    <w:p w:rsidR="00A847EE" w:rsidRPr="00A847EE" w:rsidRDefault="00A847EE" w:rsidP="00A847E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36AD7">
        <w:rPr>
          <w:rFonts w:ascii="Times New Roman" w:eastAsia="TimesNewRomanPSMT" w:hAnsi="Times New Roman" w:cs="Times New Roman"/>
          <w:sz w:val="24"/>
          <w:szCs w:val="24"/>
        </w:rPr>
        <w:t>Υπάρχουν περιορισμένες πληροφορίες διαθέσιμες για την επίδραση</w:t>
      </w:r>
      <w:r w:rsidR="00A847EE">
        <w:rPr>
          <w:rFonts w:ascii="Times New Roman" w:eastAsia="TimesNewRomanPSMT" w:hAnsi="Times New Roman" w:cs="Times New Roman"/>
          <w:sz w:val="24"/>
          <w:szCs w:val="24"/>
        </w:rPr>
        <w:t xml:space="preserve"> υπερδοσολογίας της ομεπραζόλης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στους ανθρώπους. Στη βιβλιογραφία, έχουν περιγραφεί δόσει</w:t>
      </w:r>
      <w:r w:rsidR="00A847EE">
        <w:rPr>
          <w:rFonts w:ascii="Times New Roman" w:eastAsia="TimesNewRomanPSMT" w:hAnsi="Times New Roman" w:cs="Times New Roman"/>
          <w:sz w:val="24"/>
          <w:szCs w:val="24"/>
        </w:rPr>
        <w:t xml:space="preserve">ς μέχρι και 560 mg, και υπήρξαν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 xml:space="preserve">περιστασιακές αναφορές όπου εφάπαξ από του στόματος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lastRenderedPageBreak/>
        <w:t>ληφθεί</w:t>
      </w:r>
      <w:r w:rsidR="00A847EE">
        <w:rPr>
          <w:rFonts w:ascii="Times New Roman" w:eastAsia="TimesNewRomanPSMT" w:hAnsi="Times New Roman" w:cs="Times New Roman"/>
          <w:sz w:val="24"/>
          <w:szCs w:val="24"/>
        </w:rPr>
        <w:t xml:space="preserve">σες δόσεις έφτασαν μέχρι και τα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2400 mg ομεπραζόλης (120 φορές μεγαλύτερες της συνήθους κλινι</w:t>
      </w:r>
      <w:r w:rsidR="00A847EE">
        <w:rPr>
          <w:rFonts w:ascii="Times New Roman" w:eastAsia="TimesNewRomanPSMT" w:hAnsi="Times New Roman" w:cs="Times New Roman"/>
          <w:sz w:val="24"/>
          <w:szCs w:val="24"/>
        </w:rPr>
        <w:t xml:space="preserve">κά συνιστώμενης δόσης). Ναυτία,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εμετός, ζάλη, κοιλιακό άλγος, διάρροια και κεφαλαλγία έχουν αναφερ</w:t>
      </w:r>
      <w:r w:rsidR="00A847EE">
        <w:rPr>
          <w:rFonts w:ascii="Times New Roman" w:eastAsia="TimesNewRomanPSMT" w:hAnsi="Times New Roman" w:cs="Times New Roman"/>
          <w:sz w:val="24"/>
          <w:szCs w:val="24"/>
        </w:rPr>
        <w:t xml:space="preserve">θεί. Επίσης, απάθεια, κατάθλιψη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και σύγχυση έχουν περιγραφεί σε μεμονωμένες περιπτώσεις.</w:t>
      </w:r>
    </w:p>
    <w:p w:rsidR="00A847EE" w:rsidRDefault="00A847EE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36AD7">
        <w:rPr>
          <w:rFonts w:ascii="Times New Roman" w:eastAsia="TimesNewRomanPSMT" w:hAnsi="Times New Roman" w:cs="Times New Roman"/>
          <w:sz w:val="24"/>
          <w:szCs w:val="24"/>
        </w:rPr>
        <w:t>Τα συμπτώματα που περιγράφηκαν ήταν παροδικά, και δεν αναφέ</w:t>
      </w:r>
      <w:r w:rsidR="00A847EE">
        <w:rPr>
          <w:rFonts w:ascii="Times New Roman" w:eastAsia="TimesNewRomanPSMT" w:hAnsi="Times New Roman" w:cs="Times New Roman"/>
          <w:sz w:val="24"/>
          <w:szCs w:val="24"/>
        </w:rPr>
        <w:t xml:space="preserve">ρθηκε δυσμενής έκβαση. Ο ρυθμός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 xml:space="preserve">απομάκρυνσης παρέμεινε αμετάβλητος (κινητική πρώτης τάξεως) με </w:t>
      </w:r>
      <w:r w:rsidR="00A847EE">
        <w:rPr>
          <w:rFonts w:ascii="Times New Roman" w:eastAsia="TimesNewRomanPSMT" w:hAnsi="Times New Roman" w:cs="Times New Roman"/>
          <w:sz w:val="24"/>
          <w:szCs w:val="24"/>
        </w:rPr>
        <w:t xml:space="preserve">αυξανόμενες δόσεις. Η θεραπεία,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εάν χρειάζεται, είναι συμπτωματική.</w:t>
      </w:r>
    </w:p>
    <w:p w:rsidR="00A847EE" w:rsidRPr="00536AD7" w:rsidRDefault="00A847EE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6AD7" w:rsidRPr="00A847EE" w:rsidRDefault="00536AD7" w:rsidP="00A847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847EE">
        <w:rPr>
          <w:rFonts w:ascii="Times New Roman" w:eastAsia="TimesNewRomanPSMT" w:hAnsi="Times New Roman" w:cs="Times New Roman"/>
          <w:b/>
          <w:bCs/>
          <w:sz w:val="24"/>
          <w:szCs w:val="24"/>
        </w:rPr>
        <w:t>ΦΑΡΜΑΚΟΛΟΓΙΚΕΣ ΙΔΙΟΤΗΤΕΣ</w:t>
      </w:r>
    </w:p>
    <w:p w:rsidR="006A6CBC" w:rsidRDefault="006A6CBC" w:rsidP="006A6CB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36AD7" w:rsidRPr="006A6CBC" w:rsidRDefault="00536AD7" w:rsidP="006A6CB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6A6CBC">
        <w:rPr>
          <w:rFonts w:ascii="Times New Roman" w:eastAsia="TimesNewRomanPSMT" w:hAnsi="Times New Roman" w:cs="Times New Roman"/>
          <w:b/>
          <w:bCs/>
          <w:sz w:val="24"/>
          <w:szCs w:val="24"/>
        </w:rPr>
        <w:t>5.1 Φαρμακοδυναμικές ιδιότητες</w:t>
      </w:r>
    </w:p>
    <w:p w:rsidR="00A847EE" w:rsidRPr="00536AD7" w:rsidRDefault="00A847EE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A847EE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36AD7">
        <w:rPr>
          <w:rFonts w:ascii="Times New Roman" w:eastAsia="TimesNewRomanPSMT" w:hAnsi="Times New Roman" w:cs="Times New Roman"/>
          <w:sz w:val="24"/>
          <w:szCs w:val="24"/>
        </w:rPr>
        <w:t xml:space="preserve">Φαρμακοθεραπευτική κατηγορία: Αναστολείς της αντλίας πρωτονίων, </w:t>
      </w:r>
    </w:p>
    <w:p w:rsidR="00536AD7" w:rsidRDefault="00536AD7" w:rsidP="00A847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NewRomanPSMT" w:hAnsi="Times New Roman" w:cs="Times New Roman"/>
          <w:sz w:val="24"/>
          <w:szCs w:val="24"/>
        </w:rPr>
      </w:pPr>
      <w:r w:rsidRPr="00536AD7">
        <w:rPr>
          <w:rFonts w:ascii="Times New Roman" w:eastAsia="TimesNewRomanPSMT" w:hAnsi="Times New Roman" w:cs="Times New Roman"/>
          <w:sz w:val="24"/>
          <w:szCs w:val="24"/>
        </w:rPr>
        <w:t>κωδικός ATC: Α02BC01</w:t>
      </w:r>
    </w:p>
    <w:p w:rsidR="00A847EE" w:rsidRPr="00536AD7" w:rsidRDefault="00A847EE" w:rsidP="00A847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NewRomanPSMT" w:hAnsi="Times New Roman" w:cs="Times New Roman"/>
          <w:sz w:val="24"/>
          <w:szCs w:val="24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A847EE">
        <w:rPr>
          <w:rFonts w:ascii="Times New Roman" w:eastAsia="TimesNewRomanPSMT" w:hAnsi="Times New Roman" w:cs="Times New Roman"/>
          <w:sz w:val="24"/>
          <w:szCs w:val="24"/>
          <w:u w:val="single"/>
        </w:rPr>
        <w:t>Μηχανισμός δράσης</w:t>
      </w:r>
    </w:p>
    <w:p w:rsidR="00A847EE" w:rsidRPr="00A847EE" w:rsidRDefault="00A847EE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36AD7">
        <w:rPr>
          <w:rFonts w:ascii="Times New Roman" w:eastAsia="TimesNewRomanPSMT" w:hAnsi="Times New Roman" w:cs="Times New Roman"/>
          <w:sz w:val="24"/>
          <w:szCs w:val="24"/>
        </w:rPr>
        <w:t>Η ομεπραζόλη, ένα ρακεμικό μίγμα δύο εναντιομερών, μειώνει τη γ</w:t>
      </w:r>
      <w:r w:rsidR="00A847EE">
        <w:rPr>
          <w:rFonts w:ascii="Times New Roman" w:eastAsia="TimesNewRomanPSMT" w:hAnsi="Times New Roman" w:cs="Times New Roman"/>
          <w:sz w:val="24"/>
          <w:szCs w:val="24"/>
        </w:rPr>
        <w:t xml:space="preserve">αστρική έκκριση οξέος μέσω ενός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μηχανισμού δράσης υψηλής εκλεκτικότητας. Είναι ένας ειδικός αναστολέας της αντλίας πρωτονίων του</w:t>
      </w:r>
      <w:r w:rsidR="006A6CB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 xml:space="preserve">τοιχωματικού κυττάρου. Δρα ταχέως και προσφέρει έλεγχο μέσω αντιστρεπτής αναστολής </w:t>
      </w:r>
      <w:r w:rsidR="006A6CBC">
        <w:rPr>
          <w:rFonts w:ascii="Times New Roman" w:eastAsia="TimesNewRomanPSMT" w:hAnsi="Times New Roman" w:cs="Times New Roman"/>
          <w:sz w:val="24"/>
          <w:szCs w:val="24"/>
        </w:rPr>
        <w:t xml:space="preserve">της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γαστρικής έκκρισης οξέος, με μία μόνο δόση την ημέρα.</w:t>
      </w:r>
    </w:p>
    <w:p w:rsidR="006A6CBC" w:rsidRPr="00536AD7" w:rsidRDefault="006A6CB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A6CBC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36AD7">
        <w:rPr>
          <w:rFonts w:ascii="Times New Roman" w:eastAsia="TimesNewRomanPSMT" w:hAnsi="Times New Roman" w:cs="Times New Roman"/>
          <w:sz w:val="24"/>
          <w:szCs w:val="24"/>
        </w:rPr>
        <w:t>Η ομεπραζόλη είναι μία ασθενής βάση που συγκεντρώνεται και μετατ</w:t>
      </w:r>
      <w:r w:rsidR="006A6CBC">
        <w:rPr>
          <w:rFonts w:ascii="Times New Roman" w:eastAsia="TimesNewRomanPSMT" w:hAnsi="Times New Roman" w:cs="Times New Roman"/>
          <w:sz w:val="24"/>
          <w:szCs w:val="24"/>
        </w:rPr>
        <w:t xml:space="preserve">ρέπεται στη δραστική μορφή μέσα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στο ισχυρά όξινο περιβάλλον των ενδοκυτταρικών σωληνίσκων του τοιχωματικο</w:t>
      </w:r>
      <w:r w:rsidR="006A6CBC">
        <w:rPr>
          <w:rFonts w:ascii="Times New Roman" w:eastAsia="TimesNewRomanPSMT" w:hAnsi="Times New Roman" w:cs="Times New Roman"/>
          <w:sz w:val="24"/>
          <w:szCs w:val="24"/>
        </w:rPr>
        <w:t xml:space="preserve">ύ κυττάρου, όπου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 xml:space="preserve">αναστέλλει το ένζυμο </w:t>
      </w: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36AD7">
        <w:rPr>
          <w:rFonts w:ascii="Times New Roman" w:eastAsia="TimesNewRomanPSMT" w:hAnsi="Times New Roman" w:cs="Times New Roman"/>
          <w:sz w:val="24"/>
          <w:szCs w:val="24"/>
        </w:rPr>
        <w:t>H</w:t>
      </w:r>
      <w:r w:rsidRPr="006A6CBC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+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 xml:space="preserve"> K</w:t>
      </w:r>
      <w:r w:rsidRPr="006A6CBC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+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-ATPάση, την αντλία δηλαδή πρωτονίων. Αυτή η επίδραση στο τελικό</w:t>
      </w: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36AD7">
        <w:rPr>
          <w:rFonts w:ascii="Times New Roman" w:eastAsia="TimesNewRomanPSMT" w:hAnsi="Times New Roman" w:cs="Times New Roman"/>
          <w:sz w:val="24"/>
          <w:szCs w:val="24"/>
        </w:rPr>
        <w:t>στάδιο της διαδικασίας σχηματισμού του γαστρικού οξέος είναι δοσο</w:t>
      </w:r>
      <w:r w:rsidR="006A6CBC">
        <w:rPr>
          <w:rFonts w:ascii="Times New Roman" w:eastAsia="TimesNewRomanPSMT" w:hAnsi="Times New Roman" w:cs="Times New Roman"/>
          <w:sz w:val="24"/>
          <w:szCs w:val="24"/>
        </w:rPr>
        <w:t xml:space="preserve">εξαρτώμενη και παρέχει αναστολή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υψηλής απόδοσης τόσο στην βασική έκκριση οξέος όσο και σε αυτή</w:t>
      </w:r>
      <w:r w:rsidR="006A6CBC">
        <w:rPr>
          <w:rFonts w:ascii="Times New Roman" w:eastAsia="TimesNewRomanPSMT" w:hAnsi="Times New Roman" w:cs="Times New Roman"/>
          <w:sz w:val="24"/>
          <w:szCs w:val="24"/>
        </w:rPr>
        <w:t xml:space="preserve">ν μετά από διέγερση, ανεξάρτητα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από τον παράγοντα διέγερσης.</w:t>
      </w:r>
    </w:p>
    <w:p w:rsidR="006A6CBC" w:rsidRPr="00536AD7" w:rsidRDefault="006A6CB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6A6CBC">
        <w:rPr>
          <w:rFonts w:ascii="Times New Roman" w:eastAsia="TimesNewRomanPSMT" w:hAnsi="Times New Roman" w:cs="Times New Roman"/>
          <w:sz w:val="24"/>
          <w:szCs w:val="24"/>
          <w:u w:val="single"/>
        </w:rPr>
        <w:t>Φαρμακοδυναμικές επιδράσεις</w:t>
      </w:r>
    </w:p>
    <w:p w:rsidR="006A6CBC" w:rsidRPr="006A6CBC" w:rsidRDefault="006A6CB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36AD7">
        <w:rPr>
          <w:rFonts w:ascii="Times New Roman" w:eastAsia="TimesNewRomanPSMT" w:hAnsi="Times New Roman" w:cs="Times New Roman"/>
          <w:sz w:val="24"/>
          <w:szCs w:val="24"/>
        </w:rPr>
        <w:t>Όλες οι φαρμακοδυναμικές επιδράσεις που παρατηρούνται μπορού</w:t>
      </w:r>
      <w:r w:rsidR="006A6CBC">
        <w:rPr>
          <w:rFonts w:ascii="Times New Roman" w:eastAsia="TimesNewRomanPSMT" w:hAnsi="Times New Roman" w:cs="Times New Roman"/>
          <w:sz w:val="24"/>
          <w:szCs w:val="24"/>
        </w:rPr>
        <w:t xml:space="preserve">ν να εξηγηθούν από τη δράση της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>ομεπραζόλης στην έκκριση οξέος.</w:t>
      </w:r>
    </w:p>
    <w:p w:rsidR="006A6CBC" w:rsidRPr="00536AD7" w:rsidRDefault="006A6CB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6AD7" w:rsidRP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536AD7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Επίδραση στη γαστρική έκκριση οξέος</w:t>
      </w:r>
    </w:p>
    <w:p w:rsidR="00536AD7" w:rsidRPr="006A6CBC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36AD7">
        <w:rPr>
          <w:rFonts w:ascii="Times New Roman" w:eastAsia="TimesNewRomanPSMT" w:hAnsi="Times New Roman" w:cs="Times New Roman"/>
          <w:sz w:val="24"/>
          <w:szCs w:val="24"/>
        </w:rPr>
        <w:t>Η από του στόματος χορήγηση ομεπραζόλης μία φορά ημερησίως πα</w:t>
      </w:r>
      <w:r w:rsidR="006A6CBC">
        <w:rPr>
          <w:rFonts w:ascii="Times New Roman" w:eastAsia="TimesNewRomanPSMT" w:hAnsi="Times New Roman" w:cs="Times New Roman"/>
          <w:sz w:val="24"/>
          <w:szCs w:val="24"/>
        </w:rPr>
        <w:t xml:space="preserve">ρέχει ταχεία και αποτελεσματική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 xml:space="preserve">αναστολή της γαστρική έκκρισης οξέος τόσο κατά τη διάρκεια της </w:t>
      </w:r>
      <w:r w:rsidR="006A6CBC">
        <w:rPr>
          <w:rFonts w:ascii="Times New Roman" w:eastAsia="TimesNewRomanPSMT" w:hAnsi="Times New Roman" w:cs="Times New Roman"/>
          <w:sz w:val="24"/>
          <w:szCs w:val="24"/>
        </w:rPr>
        <w:t xml:space="preserve">ημέρας όσο και της νύχτας με το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 xml:space="preserve">μέγιστο της δράσης της να επιτυγχάνεται μέσα σε 4 μέρες θεραπείας. </w:t>
      </w:r>
      <w:r w:rsidR="006A6CB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6AD7">
        <w:rPr>
          <w:rFonts w:ascii="Times New Roman" w:eastAsia="TimesNewRomanPSMT" w:hAnsi="Times New Roman" w:cs="Times New Roman"/>
          <w:sz w:val="24"/>
          <w:szCs w:val="24"/>
        </w:rPr>
        <w:t xml:space="preserve">Σε ασθενείς με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δωδεκαδακτυλικό</w:t>
      </w:r>
      <w:r w:rsidR="006A6CB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έλκος, με ομεπραζόλη 20 mg η μέση ελάττωση της 24ωρης ενδογαστρικής οξύτητας διατηρείται</w:t>
      </w:r>
      <w:r w:rsidR="006A6CB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ακολούθως στο 80% τουλάχιστον, με μέση ελάττωση της μέγιστης έκκρισης οξέος μετά από διέγερση</w:t>
      </w: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t>με πενταγαστρίνη περίπου στο 70%, 24 ώρες μετά τη λήψη της δόσης.</w:t>
      </w:r>
    </w:p>
    <w:p w:rsidR="006A6CBC" w:rsidRPr="00055351" w:rsidRDefault="006A6CB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t>Η από του στόματος χορήγηση ομεπραζόλης 20 mg διατηρεί ένα</w:t>
      </w:r>
      <w:r w:rsidR="006A6CBC">
        <w:rPr>
          <w:rFonts w:ascii="Times New Roman" w:eastAsia="TimesNewRomanPSMT" w:hAnsi="Times New Roman" w:cs="Times New Roman"/>
          <w:sz w:val="24"/>
          <w:szCs w:val="20"/>
        </w:rPr>
        <w:t xml:space="preserve"> ενδογαστρικό pH≥3 για ένα μέσο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χρόνο 17 ωρών κατά τη διάρκεια του 24ώρου σε ασθενείς με δωδεκαδακτυλικό έλκος.</w:t>
      </w:r>
    </w:p>
    <w:p w:rsidR="006A6CBC" w:rsidRPr="00055351" w:rsidRDefault="006A6CB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lastRenderedPageBreak/>
        <w:t>Ως αποτέλεσμα της μειωμένης έκκρισης οξέος και ενδογ</w:t>
      </w:r>
      <w:r w:rsidR="006A6CBC">
        <w:rPr>
          <w:rFonts w:ascii="Times New Roman" w:eastAsia="TimesNewRomanPSMT" w:hAnsi="Times New Roman" w:cs="Times New Roman"/>
          <w:sz w:val="24"/>
          <w:szCs w:val="20"/>
        </w:rPr>
        <w:t xml:space="preserve">αστρικής οξύτητας, η ομεπραζόλη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μειώνει/ομαλοποιεί με δοσοεξαρτώμενο τρόπο την έκθεση του οισοφάγ</w:t>
      </w:r>
      <w:r w:rsidR="006A6CBC">
        <w:rPr>
          <w:rFonts w:ascii="Times New Roman" w:eastAsia="TimesNewRomanPSMT" w:hAnsi="Times New Roman" w:cs="Times New Roman"/>
          <w:sz w:val="24"/>
          <w:szCs w:val="20"/>
        </w:rPr>
        <w:t xml:space="preserve">ου στο γαστρικό οξύ σε ασθενείς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με γαστροοισοφαγική παλινδρομική νόσο.</w:t>
      </w:r>
    </w:p>
    <w:p w:rsidR="006A6CBC" w:rsidRPr="00055351" w:rsidRDefault="006A6CB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t>Η αναστολή της έκκριση</w:t>
      </w:r>
      <w:r w:rsidR="006A6CBC">
        <w:rPr>
          <w:rFonts w:ascii="Times New Roman" w:eastAsia="TimesNewRomanPSMT" w:hAnsi="Times New Roman" w:cs="Times New Roman"/>
          <w:sz w:val="24"/>
          <w:szCs w:val="20"/>
        </w:rPr>
        <w:t>ς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 xml:space="preserve"> του οξέος σχετίζεται με το εμβαδό κάτω α</w:t>
      </w:r>
      <w:r w:rsidR="006A6CBC">
        <w:rPr>
          <w:rFonts w:ascii="Times New Roman" w:eastAsia="TimesNewRomanPSMT" w:hAnsi="Times New Roman" w:cs="Times New Roman"/>
          <w:sz w:val="24"/>
          <w:szCs w:val="20"/>
        </w:rPr>
        <w:t xml:space="preserve">πό την καμπύλη της συγκέντρωσης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στο πλάσμα ως προς το χρόνο (AUC) της ομεπραζόλης και όχι με</w:t>
      </w:r>
      <w:r w:rsidR="006A6CBC">
        <w:rPr>
          <w:rFonts w:ascii="Times New Roman" w:eastAsia="TimesNewRomanPSMT" w:hAnsi="Times New Roman" w:cs="Times New Roman"/>
          <w:sz w:val="24"/>
          <w:szCs w:val="20"/>
        </w:rPr>
        <w:t xml:space="preserve"> την πραγματική συγκέντρωση στο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πλάσμα σε δεδομένο χρόνο.</w:t>
      </w:r>
    </w:p>
    <w:p w:rsidR="006A6CBC" w:rsidRPr="00055351" w:rsidRDefault="006A6CB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t>Δεν έχει παρατηρηθεί ταχυφυλαξία κατά τη διάρκεια θεραπείας με ομεπραζόλη.</w:t>
      </w:r>
    </w:p>
    <w:p w:rsidR="006A6CBC" w:rsidRPr="00055351" w:rsidRDefault="006A6CB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055351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0"/>
        </w:rPr>
      </w:pPr>
      <w:r w:rsidRPr="00055351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Επίδραση στο Ελικοβακτηρίδιο του Πυλωρού</w:t>
      </w:r>
    </w:p>
    <w:p w:rsidR="00536AD7" w:rsidRPr="00055351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t>Το Ελικοβακτηρίδιο του Πυλωρού σχετίζεται με τα πεπτικ</w:t>
      </w:r>
      <w:r w:rsidR="006A6CBC">
        <w:rPr>
          <w:rFonts w:ascii="Times New Roman" w:eastAsia="TimesNewRomanPSMT" w:hAnsi="Times New Roman" w:cs="Times New Roman"/>
          <w:sz w:val="24"/>
          <w:szCs w:val="20"/>
        </w:rPr>
        <w:t xml:space="preserve">ά έλκη, συμπεριλαμβανομένων του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δωδεκαδακτυλικού και γαστρικού έλκους. Το Ελικοβακτηρίδιο του Πυ</w:t>
      </w:r>
      <w:r w:rsidR="006A6CBC">
        <w:rPr>
          <w:rFonts w:ascii="Times New Roman" w:eastAsia="TimesNewRomanPSMT" w:hAnsi="Times New Roman" w:cs="Times New Roman"/>
          <w:sz w:val="24"/>
          <w:szCs w:val="20"/>
        </w:rPr>
        <w:t xml:space="preserve">λωρού είναι ο κύριος παράγοντας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ανάπτυξης γαστρίτιδας. Το Ελικοβακτηρίδιο του Πυλωρού μαζί με το γαστρικό οξύ είναι οι κύριοι</w:t>
      </w: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t>παράγοντες ανάπτυξης πεπτικού έλκους. Το Ελικοβακτηρίδιο του Πυ</w:t>
      </w:r>
      <w:r w:rsidR="006A6CBC">
        <w:rPr>
          <w:rFonts w:ascii="Times New Roman" w:eastAsia="TimesNewRomanPSMT" w:hAnsi="Times New Roman" w:cs="Times New Roman"/>
          <w:sz w:val="24"/>
          <w:szCs w:val="20"/>
        </w:rPr>
        <w:t xml:space="preserve">λωρού είναι ο κύριος παράγοντας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ανάπτυξης ατροφικής γαστρίτιδας η οποία σχετίζεται με αυξημ</w:t>
      </w:r>
      <w:r w:rsidR="006A6CBC">
        <w:rPr>
          <w:rFonts w:ascii="Times New Roman" w:eastAsia="TimesNewRomanPSMT" w:hAnsi="Times New Roman" w:cs="Times New Roman"/>
          <w:sz w:val="24"/>
          <w:szCs w:val="20"/>
        </w:rPr>
        <w:t xml:space="preserve">ένο κίνδυνο ανάπτυξης γαστρικού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καρκινώματος.</w:t>
      </w:r>
    </w:p>
    <w:p w:rsidR="006A6CBC" w:rsidRDefault="006A6CB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6A6CBC" w:rsidRDefault="006A6CB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6A6CBC" w:rsidRPr="00055351" w:rsidRDefault="006A6CB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t xml:space="preserve">Η εκρίζωση του Ελικοβακτηριδίου του Πυλωρού με ομεπραζόλη και </w:t>
      </w:r>
      <w:r w:rsidR="006A6CBC">
        <w:rPr>
          <w:rFonts w:ascii="Times New Roman" w:eastAsia="TimesNewRomanPSMT" w:hAnsi="Times New Roman" w:cs="Times New Roman"/>
          <w:sz w:val="24"/>
          <w:szCs w:val="20"/>
        </w:rPr>
        <w:t xml:space="preserve">αντιβιοτικά σχετίζεται με υψηλά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ποσοστά επούλωσης και μακροχρόνια ύφεση της νόσου των πεπτικών ελκών.</w:t>
      </w:r>
    </w:p>
    <w:p w:rsidR="006A6CBC" w:rsidRPr="00055351" w:rsidRDefault="006A6CB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t xml:space="preserve">Διπλές θεραπείες έχουν μελετηθεί και βρεθεί ότι είναι λιγότερο </w:t>
      </w:r>
      <w:r w:rsidR="006A6CBC">
        <w:rPr>
          <w:rFonts w:ascii="Times New Roman" w:eastAsia="TimesNewRomanPSMT" w:hAnsi="Times New Roman" w:cs="Times New Roman"/>
          <w:sz w:val="24"/>
          <w:szCs w:val="20"/>
        </w:rPr>
        <w:t xml:space="preserve">αποτελεσματικές από τις τριπλές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θεραπείες. Θα μπορούσαν, ωστόσο, να ληφθούν υπόψη σε περιπτώσε</w:t>
      </w:r>
      <w:r w:rsidR="006A6CBC">
        <w:rPr>
          <w:rFonts w:ascii="Times New Roman" w:eastAsia="TimesNewRomanPSMT" w:hAnsi="Times New Roman" w:cs="Times New Roman"/>
          <w:sz w:val="24"/>
          <w:szCs w:val="20"/>
        </w:rPr>
        <w:t xml:space="preserve">ις όπου γνωστές υπερευαισθησίες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αποκλείουν τη χρήση οποιουδήποτε τριπλού συνδυασμού.</w:t>
      </w:r>
    </w:p>
    <w:p w:rsidR="006A6CBC" w:rsidRPr="00055351" w:rsidRDefault="006A6CB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055351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0"/>
        </w:rPr>
      </w:pPr>
      <w:r w:rsidRPr="00055351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Άλλες επιδράσεις που σχετίζονται με την αναστολή έκκρισης του γαστρικού οξέος</w:t>
      </w: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t>Κατά τη διάρκεια της μακροπρόθεσμης θεραπείας έχει αναφερθε</w:t>
      </w:r>
      <w:r w:rsidR="006A6CBC">
        <w:rPr>
          <w:rFonts w:ascii="Times New Roman" w:eastAsia="TimesNewRomanPSMT" w:hAnsi="Times New Roman" w:cs="Times New Roman"/>
          <w:sz w:val="24"/>
          <w:szCs w:val="20"/>
        </w:rPr>
        <w:t xml:space="preserve">ί η εμφάνιση γαστρικών αδενικών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κυστών με κάποια αυξημένη συχνότητα. Οι αλλαγές αυτές είναι</w:t>
      </w:r>
      <w:r w:rsidR="006A6CBC">
        <w:rPr>
          <w:rFonts w:ascii="Times New Roman" w:eastAsia="TimesNewRomanPSMT" w:hAnsi="Times New Roman" w:cs="Times New Roman"/>
          <w:sz w:val="24"/>
          <w:szCs w:val="20"/>
        </w:rPr>
        <w:t xml:space="preserve"> ένα φυσιολογικό επακόλουθο της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έντονης αναστολής της έκκρισης οξέος, είναι καλοήθεις και φαίνεται ότι είναι αναστρέψιμες.</w:t>
      </w:r>
    </w:p>
    <w:p w:rsidR="006A6CBC" w:rsidRPr="00055351" w:rsidRDefault="006A6CB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t>Η με οποιοδήποτε τρόπο μείωση της γαστρικής οξύτητας, συ</w:t>
      </w:r>
      <w:r w:rsidR="006A6CBC">
        <w:rPr>
          <w:rFonts w:ascii="Times New Roman" w:eastAsia="TimesNewRomanPSMT" w:hAnsi="Times New Roman" w:cs="Times New Roman"/>
          <w:sz w:val="24"/>
          <w:szCs w:val="20"/>
        </w:rPr>
        <w:t xml:space="preserve">μπεριλαμβανομένης της χορήγησης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αναστολέων της αντλίας πρωτονίων, αυξάνει τον αριθμό των γαστρι</w:t>
      </w:r>
      <w:r w:rsidR="006A6CBC">
        <w:rPr>
          <w:rFonts w:ascii="Times New Roman" w:eastAsia="TimesNewRomanPSMT" w:hAnsi="Times New Roman" w:cs="Times New Roman"/>
          <w:sz w:val="24"/>
          <w:szCs w:val="20"/>
        </w:rPr>
        <w:t xml:space="preserve">κών βακτηριδίων που φυσιολογικά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υπάρχουν στο γαστρεντερικό σωλήνα. Η θεραπεία με φάρμακα που με</w:t>
      </w:r>
      <w:r w:rsidR="006A6CBC">
        <w:rPr>
          <w:rFonts w:ascii="Times New Roman" w:eastAsia="TimesNewRomanPSMT" w:hAnsi="Times New Roman" w:cs="Times New Roman"/>
          <w:sz w:val="24"/>
          <w:szCs w:val="20"/>
        </w:rPr>
        <w:t xml:space="preserve">ιώνουν την έκκριση οξέος μπορεί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 xml:space="preserve">να οδηγήσει σε ελαφρώς αυξημένο κίνδυνο εμφάνισης γαστρεντερικών λοιμώξεων π.χ. από </w:t>
      </w:r>
      <w:r w:rsidRPr="00055351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Salmonella</w:t>
      </w:r>
      <w:r w:rsidR="006A6CBC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 xml:space="preserve">και </w:t>
      </w:r>
      <w:r w:rsidRPr="00055351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Campylobacter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.</w:t>
      </w:r>
    </w:p>
    <w:p w:rsidR="006A6CBC" w:rsidRPr="00055351" w:rsidRDefault="006A6CB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t>Η χρωμογρανίνη Α (CgA) αυξάνεται επίσης λόγω της μειωμένης γαστ</w:t>
      </w:r>
      <w:r w:rsidR="006A6CBC">
        <w:rPr>
          <w:rFonts w:ascii="Times New Roman" w:eastAsia="TimesNewRomanPSMT" w:hAnsi="Times New Roman" w:cs="Times New Roman"/>
          <w:sz w:val="24"/>
          <w:szCs w:val="20"/>
        </w:rPr>
        <w:t xml:space="preserve">ρικής οξύτητας. Η τροποποιημένη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αυτή επίδραση της CgA δεν μπορεί να αποδειχθεί πέντε ημέρε</w:t>
      </w:r>
      <w:r w:rsidR="006A6CBC">
        <w:rPr>
          <w:rFonts w:ascii="Times New Roman" w:eastAsia="TimesNewRomanPSMT" w:hAnsi="Times New Roman" w:cs="Times New Roman"/>
          <w:sz w:val="24"/>
          <w:szCs w:val="20"/>
        </w:rPr>
        <w:t xml:space="preserve">ς μετά την διακοπή θεραπείας με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αναστολείς της αντλίας πρωτονίων.</w:t>
      </w:r>
    </w:p>
    <w:p w:rsidR="006A6CBC" w:rsidRPr="00055351" w:rsidRDefault="006A6CB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6A6CBC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  <w:u w:val="single"/>
        </w:rPr>
      </w:pPr>
      <w:r w:rsidRPr="006A6CBC">
        <w:rPr>
          <w:rFonts w:ascii="Times New Roman" w:eastAsia="TimesNewRomanPSMT" w:hAnsi="Times New Roman" w:cs="Times New Roman"/>
          <w:sz w:val="24"/>
          <w:szCs w:val="20"/>
          <w:u w:val="single"/>
        </w:rPr>
        <w:t>Παιδιατρική χρήση</w:t>
      </w: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t>Σε μία μη-ελεγχόμενη μελέτη σε παιδιά (ηλικίας 1 έως 16 ε</w:t>
      </w:r>
      <w:r w:rsidR="006A6CBC">
        <w:rPr>
          <w:rFonts w:ascii="Times New Roman" w:eastAsia="TimesNewRomanPSMT" w:hAnsi="Times New Roman" w:cs="Times New Roman"/>
          <w:sz w:val="24"/>
          <w:szCs w:val="20"/>
        </w:rPr>
        <w:t xml:space="preserve">τών) με σοβαρή οισοφαγίτιδα από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 xml:space="preserve">παλινδρόμηση, η ομπεραζόλη σε δόσεις από 0,7 έως 1,4 mg/kg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lastRenderedPageBreak/>
        <w:t>βελτίωσε το βαθμό της</w:t>
      </w:r>
      <w:r w:rsidR="006A6CBC">
        <w:rPr>
          <w:rFonts w:ascii="Times New Roman" w:eastAsia="TimesNewRomanPSMT" w:hAnsi="Times New Roman" w:cs="Times New Roman"/>
          <w:sz w:val="24"/>
          <w:szCs w:val="20"/>
        </w:rPr>
        <w:t xml:space="preserve"> οισοφαγίτιδας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 xml:space="preserve">στο 90% των περιπτώσεων και μείωσε σημαντικά τα συμπτώματα </w:t>
      </w:r>
      <w:r w:rsidR="006A6CBC">
        <w:rPr>
          <w:rFonts w:ascii="Times New Roman" w:eastAsia="TimesNewRomanPSMT" w:hAnsi="Times New Roman" w:cs="Times New Roman"/>
          <w:sz w:val="24"/>
          <w:szCs w:val="20"/>
        </w:rPr>
        <w:t xml:space="preserve">της παλινδρόμησης. Σε μία μονά -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τυφλή μελέτη, σε παιδιά ηλικίας 0-24 μηνών με κλινι</w:t>
      </w:r>
      <w:r w:rsidR="006A6CBC">
        <w:rPr>
          <w:rFonts w:ascii="Times New Roman" w:eastAsia="TimesNewRomanPSMT" w:hAnsi="Times New Roman" w:cs="Times New Roman"/>
          <w:sz w:val="24"/>
          <w:szCs w:val="20"/>
        </w:rPr>
        <w:t xml:space="preserve">κά διαγνωσμένη γαστροοισοφαγική παλινδρόμηση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 xml:space="preserve">χορηγήθηκαν 0,5, 0,1 ή 1,5 mg ομεπραζόλης/kg. Η συχνότητα των </w:t>
      </w:r>
      <w:r w:rsidR="006A6CBC">
        <w:rPr>
          <w:rFonts w:ascii="Times New Roman" w:eastAsia="TimesNewRomanPSMT" w:hAnsi="Times New Roman" w:cs="Times New Roman"/>
          <w:sz w:val="24"/>
          <w:szCs w:val="20"/>
        </w:rPr>
        <w:t xml:space="preserve">επεισοδίων εμετού/παλινδρόμησης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μειώθηκαν κατά 50% μετά από 8 εβδομάδες θεραπείας, ανεξάρτητα από τη δόση.</w:t>
      </w:r>
    </w:p>
    <w:p w:rsidR="006A6CBC" w:rsidRPr="00055351" w:rsidRDefault="006A6CB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055351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0"/>
        </w:rPr>
      </w:pPr>
      <w:r w:rsidRPr="00055351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Εκρίζωση του Ελικοβακτηριδίου του Πυλωρού από παιδιά</w:t>
      </w:r>
    </w:p>
    <w:p w:rsidR="00536AD7" w:rsidRPr="00055351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t>Μία τυχαιοποιημένη, διπλά τυφλή κλινική μελέτη (μελέτη Heliot) απέδειξε ότι η ομεπραζόλη</w:t>
      </w:r>
      <w:r w:rsidR="006A6CBC">
        <w:rPr>
          <w:rFonts w:ascii="Times New Roman" w:eastAsia="TimesNewRomanPSMT" w:hAnsi="Times New Roman" w:cs="Times New Roman"/>
          <w:sz w:val="24"/>
          <w:szCs w:val="20"/>
        </w:rPr>
        <w:t xml:space="preserve"> σε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 xml:space="preserve">συνδυασμό με δύο αντιβιοτικά (αμοξικυλλίνη και κλαριθρομυκίνη), </w:t>
      </w:r>
      <w:r w:rsidR="006A6CBC">
        <w:rPr>
          <w:rFonts w:ascii="Times New Roman" w:eastAsia="TimesNewRomanPSMT" w:hAnsi="Times New Roman" w:cs="Times New Roman"/>
          <w:sz w:val="24"/>
          <w:szCs w:val="20"/>
        </w:rPr>
        <w:t xml:space="preserve">ήταν ασφαλής και αποτελεσματική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στη θεραπεία λοιμώξεων από το Ελικοβακτηρίδιο του Πυλωρού σε πα</w:t>
      </w:r>
      <w:r w:rsidR="006A6CBC">
        <w:rPr>
          <w:rFonts w:ascii="Times New Roman" w:eastAsia="TimesNewRomanPSMT" w:hAnsi="Times New Roman" w:cs="Times New Roman"/>
          <w:sz w:val="24"/>
          <w:szCs w:val="20"/>
        </w:rPr>
        <w:t xml:space="preserve">ιδιά ηλικίας από 4 ετών και άνω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με γαστρίτιδα: ποσοστό εκρίζωσης του Ελικοβακτηριδίου του Πυλωρού: 74,2% (23/31 ασθενείς) με</w:t>
      </w:r>
    </w:p>
    <w:p w:rsidR="00536AD7" w:rsidRPr="00055351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t>ομεπραζόλη + αμοξικυλλίνη + κλαριθρομυκίνη έναντι 9,4% (3/32) με αμοξικυλλίνη + κλαριθρομυκίνη.</w:t>
      </w: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t>Ωστόσο, δεν παρουσιάστηκαν στοιχεία κλινικού οφέλους αναφορ</w:t>
      </w:r>
      <w:r w:rsidR="006A6CBC">
        <w:rPr>
          <w:rFonts w:ascii="Times New Roman" w:eastAsia="TimesNewRomanPSMT" w:hAnsi="Times New Roman" w:cs="Times New Roman"/>
          <w:sz w:val="24"/>
          <w:szCs w:val="20"/>
        </w:rPr>
        <w:t xml:space="preserve">ικά με τα συμπτώματα δυσπεψίας.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Αυτή η μελέτη δεν υποστηρίζει καμία πληροφορία για παιδιά ηλικίας μικρότερης από 4 ετών.</w:t>
      </w:r>
    </w:p>
    <w:p w:rsidR="00AF3C5B" w:rsidRDefault="00AF3C5B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AF3C5B" w:rsidRDefault="00AF3C5B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AF3C5B" w:rsidRDefault="00AF3C5B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AF3C5B" w:rsidRPr="00055351" w:rsidRDefault="00AF3C5B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AF3C5B" w:rsidRDefault="00536AD7" w:rsidP="00AF3C5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0"/>
        </w:rPr>
      </w:pPr>
      <w:r w:rsidRPr="00AF3C5B">
        <w:rPr>
          <w:rFonts w:ascii="Times New Roman" w:eastAsia="TimesNewRomanPSMT" w:hAnsi="Times New Roman" w:cs="Times New Roman"/>
          <w:b/>
          <w:bCs/>
          <w:sz w:val="24"/>
          <w:szCs w:val="20"/>
        </w:rPr>
        <w:t>Φαρμακοκινητικές ιδιότητες</w:t>
      </w:r>
    </w:p>
    <w:p w:rsidR="00AF3C5B" w:rsidRPr="00AF3C5B" w:rsidRDefault="00AF3C5B" w:rsidP="00AF3C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0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  <w:u w:val="single"/>
        </w:rPr>
      </w:pPr>
      <w:r w:rsidRPr="00AF3C5B">
        <w:rPr>
          <w:rFonts w:ascii="Times New Roman" w:eastAsia="TimesNewRomanPSMT" w:hAnsi="Times New Roman" w:cs="Times New Roman"/>
          <w:sz w:val="24"/>
          <w:szCs w:val="20"/>
          <w:u w:val="single"/>
        </w:rPr>
        <w:t>Απορρόφηση</w:t>
      </w:r>
    </w:p>
    <w:p w:rsidR="00AF3C5B" w:rsidRPr="00AF3C5B" w:rsidRDefault="00AF3C5B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  <w:u w:val="single"/>
        </w:rPr>
      </w:pPr>
    </w:p>
    <w:p w:rsidR="00536AD7" w:rsidRPr="00055351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t>Η ομεπραζόλη και το μετά μαγνησίου άλας της ομεπραζόλης είναι ο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ξινοευαίσθητες ουσίες και ως εκ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τούτου χορηγούνται από του στόματος ως εντεροδιαλυτά κοκκία σε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 καψάκια ή δισκία. Η απορρόφηση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της ομεπραζόλης είναι ταχεία, με τα μέγιστα επίπεδα στο πλάσμα ν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α παρατηρούνται κατά προσέγγιση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σε 1-2 ώρες μετά τη λήψη της δόσης. Η απορρόφηση της ομεπραζόλης λαμβάνει χώρα στο λεπτό έντερο</w:t>
      </w: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t>και συνήθως ολοκληρώνεται εντός 3-6 ωρών. Η ταυτόχρονη λήψη τροφής δεν έχει επίδραση σ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τη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βιοδιαθεσιμότητα. Η συστηματική διαθεσιμότητα (βιοδιαθεσιμότη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τα) από εφάπαξ δόση ομεπραζόλης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από του στόματος είναι περίπου 40%. Μετά από επαναλαμβανόμενη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 χορήγηση μια φορά ημερησίως, η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βιοδιαθεσιμότητα αυξάνεται σε περίπου 60%.</w:t>
      </w:r>
    </w:p>
    <w:p w:rsidR="00AF3C5B" w:rsidRPr="00055351" w:rsidRDefault="00AF3C5B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  <w:u w:val="single"/>
        </w:rPr>
      </w:pPr>
      <w:r w:rsidRPr="00AF3C5B">
        <w:rPr>
          <w:rFonts w:ascii="Times New Roman" w:eastAsia="TimesNewRomanPSMT" w:hAnsi="Times New Roman" w:cs="Times New Roman"/>
          <w:sz w:val="24"/>
          <w:szCs w:val="20"/>
          <w:u w:val="single"/>
        </w:rPr>
        <w:t>Κατανομή</w:t>
      </w:r>
    </w:p>
    <w:p w:rsidR="00AF3C5B" w:rsidRPr="00AF3C5B" w:rsidRDefault="00AF3C5B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  <w:u w:val="single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t>Ο φαινόμενος όγκος κατανομής σε υγιή άτομα είναι περίπου 0,31/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kg βάρους σώματος. Η ομεπραζόλη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είναι κατά 97% συνδεδεμένη σε πρωτεΐνες του πλάσματος.</w:t>
      </w:r>
    </w:p>
    <w:p w:rsidR="00AF3C5B" w:rsidRPr="00055351" w:rsidRDefault="00AF3C5B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AF3C5B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  <w:u w:val="single"/>
        </w:rPr>
      </w:pPr>
      <w:r w:rsidRPr="00AF3C5B">
        <w:rPr>
          <w:rFonts w:ascii="Times New Roman" w:eastAsia="TimesNewRomanPSMT" w:hAnsi="Times New Roman" w:cs="Times New Roman"/>
          <w:sz w:val="24"/>
          <w:szCs w:val="20"/>
          <w:u w:val="single"/>
        </w:rPr>
        <w:t>Μεταβολισμός</w:t>
      </w: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t xml:space="preserve">Η ομεπραζόλη μεταβολίζεται πλήρως από το ενζυμικό σύστημα 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του κυτοχρώματος P450 (CYP). Το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κυριότερο τμήμα του μεταβολισμού της εξαρτάται από την πολυμορφ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ικά εκφραζόμενη ειδική ισομορφή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CYP2C19, που είναι υπεύθυνη για το σχηματισμό της υδροξυομεπρα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ζόλης, τον κύριο μεταβολίτη στο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 xml:space="preserve">πλάσμα. Το εναπομείναν τμήμα εξαρτάται από μία άλλη ειδική ισομορφή, CYP3A4, υπεύθυνη 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για το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σχηματισμό της σουλφονικής ομεπραζόλης. Ως αποτέλεσμα της υψηλή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ς συγγένειας της ομεπραζόλης με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 xml:space="preserve">το CYP2C19, υπάρχει η πιθανότητα συναγωνιστικής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lastRenderedPageBreak/>
        <w:t>αναστολής κα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ι μεταβολικής αλληλεπίδρασης με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άλλα υποστρώματα του CYP2C19. Ωστόσο, λόγω της μικρής συγγένει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ας με το CYP3A4, η ομεπραζόλη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δεν έχει τη δυνατότητα να αναστείλει το μεταβολισμό άλλων υποστ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ρωμάτων του CYP3A4. Επιπλέον, η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ομεπραζόλη δεν διαθέτει ανασταλτική δράση επί των κύριων CYP ενζύμων.</w:t>
      </w:r>
    </w:p>
    <w:p w:rsidR="00AF3C5B" w:rsidRPr="00055351" w:rsidRDefault="00AF3C5B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055351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t>Περίπου το 3% του Καυκάσιου πληθυσμού και το 15-20% του Ασιατ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ικού πληθυσμού έχουν έλλειψη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του λειτουργικού ενζύμου CYP2C19 και καλούνται άτομα με περι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ορισμένο μεταβολισμό. Σε τέτοια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άτομα ο μεταβολισμός της ομεπραζόλης πιθανόν να καταλύεται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 κυρίως από το CYP3A4. Μετά από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επαναλαμβανόμενη χορήγηση 20 mg ομεπραζόλης μία φορά ημερησίως, το μέσο AUC ήταν 5 με 10</w:t>
      </w: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t>φορές υψηλότερο σε άτομα με περιορισμένο μεταβολισμό σε σχέση με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 τα άτομα που έχουν λειτουργικό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CYP2C19 ένζυμο (άτομα με εκτεταμένο μεταβολισμό). Η μέση μέγι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στη συγκέντρωση στο πλάσμα ήταν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 xml:space="preserve">επίσης υψηλότερη, κατά 3 με 5 φορές. Τα ευρήματα αυτά δεν έχουν επιπτώσεις στην δοσολογία </w:t>
      </w:r>
      <w:r w:rsidR="00995D6C">
        <w:rPr>
          <w:rFonts w:ascii="Times New Roman" w:eastAsia="TimesNewRomanPSMT" w:hAnsi="Times New Roman" w:cs="Times New Roman"/>
          <w:sz w:val="24"/>
          <w:szCs w:val="20"/>
        </w:rPr>
        <w:t xml:space="preserve">της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ομεπραζόλης.</w:t>
      </w:r>
    </w:p>
    <w:p w:rsidR="00AF3C5B" w:rsidRPr="00055351" w:rsidRDefault="00AF3C5B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AF3C5B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  <w:u w:val="single"/>
        </w:rPr>
      </w:pPr>
      <w:r w:rsidRPr="00AF3C5B">
        <w:rPr>
          <w:rFonts w:ascii="Times New Roman" w:eastAsia="TimesNewRomanPSMT" w:hAnsi="Times New Roman" w:cs="Times New Roman"/>
          <w:sz w:val="24"/>
          <w:szCs w:val="20"/>
          <w:u w:val="single"/>
        </w:rPr>
        <w:t>Απέκκριση</w:t>
      </w: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t>Ο χρόνος ημιζωής της απομάκρυνσης της ομεπραζόλης από το πλάσμα είναι συνήθως μικρότερος από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μία ώρα τόσο μετά από εφάπαξ όσο και μετά από επαναλαμβανόμενη μία φορά ημερησίως από του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στόματος χορήγηση. Η ομεπραζόλη απομακρύνεται πλήρως από το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 πλάσμα μεταξύ των δόσεων χωρίς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τάση για συσσώρευση κατά τη διάρκειας χορήγησης μια φορά ημερη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σίως. Σχεδόν το 80% της από του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στόματος δόσης της ομεπραζόλης αποβάλλεται υπό τη μορφή μεταβολ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ιτών με τα ούρα και το υπόλοιπο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ανευρίσκεται στο κόπρανα, απεκκρινόμενο πρωτίστως με τη χολή.</w:t>
      </w:r>
    </w:p>
    <w:p w:rsidR="00AF3C5B" w:rsidRPr="00055351" w:rsidRDefault="00AF3C5B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t>Το AUC της ομεπραζόλης αυξάνεται με την επαναλαμβανόμεν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η χορήγηση. Αυτή η αύξηση είναι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δοσοεξαρτώμενη και έχει ως αποτέλεσμα μία μη-γραμμική σχέση δό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σης-AUC μετά από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επαναλαμβανόμενη χορήγηση. Η χρονο- και δοσο-εξάρτηση οφείλε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ται στη μείωση του μεταβολισμού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πρώτης διόδου και της συστηματικής κάθαρσης που πιθανόν π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ροκαλείται από την αναστολή του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ενζύμου CYP2C19 από την ομεπραζόλη και/ή τους μεταβολίτες της (π.χ. τη σουλφονική).</w:t>
      </w:r>
    </w:p>
    <w:p w:rsidR="00AF3C5B" w:rsidRPr="00055351" w:rsidRDefault="00AF3C5B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t>Δεν έχει βρεθεί μεταβολίτης που να έχει επίδραση στην έκκριση του γαστρικού οξέος.</w:t>
      </w:r>
    </w:p>
    <w:p w:rsidR="00AF3C5B" w:rsidRPr="00055351" w:rsidRDefault="00AF3C5B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AF3C5B" w:rsidRPr="00A677E3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  <w:u w:val="single"/>
          <w:lang w:val="en-US"/>
        </w:rPr>
      </w:pPr>
      <w:r w:rsidRPr="00AF3C5B">
        <w:rPr>
          <w:rFonts w:ascii="Times New Roman" w:eastAsia="TimesNewRomanPSMT" w:hAnsi="Times New Roman" w:cs="Times New Roman"/>
          <w:sz w:val="24"/>
          <w:szCs w:val="20"/>
          <w:u w:val="single"/>
        </w:rPr>
        <w:t>Ειδικοί πληθυσμοί</w:t>
      </w:r>
    </w:p>
    <w:p w:rsidR="00536AD7" w:rsidRPr="00055351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0"/>
        </w:rPr>
      </w:pPr>
      <w:r w:rsidRPr="00055351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Διαταραγμένη ηπατική λειτουργία</w:t>
      </w: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t>Ο μεταβολισμός της ομεπραζόλης σε ασθενείς με ηπατική δυσλειτουργία εί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ναι εξασθενημένος, έχοντας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 xml:space="preserve">ως αποτέλεσμα αυξημένο AUC. Δεν έχει αποδειχθεί να έχει η 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ομεπραζόλη οποιαδήποτε τάση για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συσσώρευση όταν χορηγείται μία φορά ημερησίως.</w:t>
      </w:r>
    </w:p>
    <w:p w:rsidR="00AF3C5B" w:rsidRPr="00055351" w:rsidRDefault="00AF3C5B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055351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0"/>
        </w:rPr>
      </w:pPr>
      <w:r w:rsidRPr="00055351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Διαταραγμένη νεφρική λειτουργία</w:t>
      </w: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t>Οι φαρμακοκινητικές της ομεπραζόλης, συμπεριλαμβανομένης της συσ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τηματικής βιοδιαθεσιμότητας και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του ποσοστού απομάκρυνσης, είναι αμετάβλητες σε ασθενείς με μειωμένη νεφρική λειτουργία.</w:t>
      </w:r>
    </w:p>
    <w:p w:rsidR="00AF3C5B" w:rsidRPr="00055351" w:rsidRDefault="00AF3C5B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055351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0"/>
        </w:rPr>
      </w:pPr>
      <w:r w:rsidRPr="00055351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Ηλικιωμένοι</w:t>
      </w: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t xml:space="preserve">Το ποσοστό μεταβολισμού της ομεπραζόλης είναι κάπως μειωμένο σε 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ηλικιωμένα άτομα (ηλικίας 75-79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ετών).</w:t>
      </w:r>
    </w:p>
    <w:p w:rsidR="00AF3C5B" w:rsidRDefault="00AF3C5B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995D6C" w:rsidRDefault="00995D6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995D6C" w:rsidRPr="00055351" w:rsidRDefault="00995D6C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055351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0"/>
        </w:rPr>
      </w:pPr>
      <w:r w:rsidRPr="00055351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Παιδιατρικοί ασθενείς</w:t>
      </w: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t>Κατά τη διάρκεια θεραπείας με τις συνιστώμενες δόσεις σε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 παιδιά ηλικίας από 1 έτους, οι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συγκεντρώσεις στο πλάσμα που λαμβάνονται είναι παρόμοιες μ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ε αυτές των ενηλίκων. Σε παιδιά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μικρότερα από 6 μηνών, η κάθαρση της ομεπραζόλης είναι χαμηλή λόγω της μ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ικρής ικανότητας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μεταβολισμού της ομεπραζόλης.</w:t>
      </w:r>
    </w:p>
    <w:p w:rsidR="00AF3C5B" w:rsidRPr="00055351" w:rsidRDefault="00AF3C5B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Pr="00AF3C5B" w:rsidRDefault="00536AD7" w:rsidP="00AF3C5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0"/>
        </w:rPr>
      </w:pPr>
      <w:r w:rsidRPr="00AF3C5B">
        <w:rPr>
          <w:rFonts w:ascii="Times New Roman" w:eastAsia="TimesNewRomanPSMT" w:hAnsi="Times New Roman" w:cs="Times New Roman"/>
          <w:b/>
          <w:bCs/>
          <w:sz w:val="24"/>
          <w:szCs w:val="20"/>
        </w:rPr>
        <w:t>Προκλινικά δεδομένα για την ασφάλεια</w:t>
      </w:r>
    </w:p>
    <w:p w:rsidR="00AF3C5B" w:rsidRPr="00AF3C5B" w:rsidRDefault="00AF3C5B" w:rsidP="00AF3C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0"/>
        </w:rPr>
      </w:pPr>
    </w:p>
    <w:p w:rsidR="00536AD7" w:rsidRPr="00055351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t>Γαστρική ECL-κυτταρική υπερπλασία και καρκινοειδή, έχουν παρ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ατηρηθεί σε δια-βίου μελέτες σε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αρουραίους στους οποίους χορηγείται ομεπραζόλη. Αυτές οι μεταβολές είναι απο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τέλεσμα της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παρατεταμένης υπεργαστριναιμίας σαν επακόλουθο της αναστολ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ής έκκρισης του οξέος. Παρόμοια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ευρήματα έχουν υπάρξει μετά από θεραπεία με ανταγωνιστές των Η</w:t>
      </w:r>
      <w:r w:rsidRPr="00055351">
        <w:rPr>
          <w:rFonts w:ascii="Times New Roman" w:eastAsia="TimesNewRomanPSMT" w:hAnsi="Times New Roman" w:cs="Times New Roman"/>
          <w:sz w:val="16"/>
          <w:szCs w:val="12"/>
        </w:rPr>
        <w:t>2</w:t>
      </w:r>
      <w:r w:rsidR="00AF3C5B">
        <w:rPr>
          <w:rFonts w:ascii="Times New Roman" w:eastAsia="TimesNewRomanPSMT" w:hAnsi="Times New Roman" w:cs="Times New Roman"/>
          <w:sz w:val="24"/>
          <w:szCs w:val="20"/>
        </w:rPr>
        <w:t xml:space="preserve">-υποδοχέων, αναστολείς της </w:t>
      </w:r>
      <w:r w:rsidRPr="00055351">
        <w:rPr>
          <w:rFonts w:ascii="Times New Roman" w:eastAsia="TimesNewRomanPSMT" w:hAnsi="Times New Roman" w:cs="Times New Roman"/>
          <w:sz w:val="24"/>
          <w:szCs w:val="20"/>
        </w:rPr>
        <w:t>αντλίας πρωτονίων και μετά από μερική εκτομή του θόλου του στομάχου. Έτσι, αυτές οι μεταβολές δεν</w:t>
      </w: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t>οφείλονται στην άμεση δράση κάποιας συγκεκριμένης δραστικής ουσίας.</w:t>
      </w:r>
    </w:p>
    <w:p w:rsidR="00AF3C5B" w:rsidRPr="0019732A" w:rsidRDefault="00AF3C5B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  <w:lang w:val="en-US"/>
        </w:rPr>
      </w:pPr>
    </w:p>
    <w:p w:rsidR="00536AD7" w:rsidRPr="00055351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b/>
          <w:bCs/>
          <w:sz w:val="24"/>
          <w:szCs w:val="20"/>
        </w:rPr>
        <w:t>6. ΦΑΡΜΑΚΕΥΤΙΚΕΣ ΠΛΗΡΟΦΟΡΙΕΣ</w:t>
      </w: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b/>
          <w:bCs/>
          <w:sz w:val="24"/>
          <w:szCs w:val="20"/>
        </w:rPr>
        <w:t>6.1 Κατάλογος εκδόχων</w:t>
      </w:r>
    </w:p>
    <w:p w:rsidR="00D109F7" w:rsidRPr="00B561D9" w:rsidRDefault="00D565E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0"/>
        </w:rPr>
      </w:pPr>
      <w:proofErr w:type="spellStart"/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Mannitol</w:t>
      </w:r>
      <w:proofErr w:type="spellEnd"/>
      <w:r w:rsidRPr="00B561D9">
        <w:rPr>
          <w:rFonts w:ascii="Times New Roman" w:eastAsia="TimesNewRomanPSMT" w:hAnsi="Times New Roman" w:cs="Times New Roman"/>
          <w:bCs/>
          <w:sz w:val="24"/>
          <w:szCs w:val="20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Crospovidon</w:t>
      </w:r>
      <w:proofErr w:type="spellEnd"/>
      <w:r w:rsidRPr="00B561D9">
        <w:rPr>
          <w:rFonts w:ascii="Times New Roman" w:eastAsia="TimesNewRomanPSMT" w:hAnsi="Times New Roman" w:cs="Times New Roman"/>
          <w:bCs/>
          <w:sz w:val="24"/>
          <w:szCs w:val="20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Hypromellose</w:t>
      </w:r>
      <w:proofErr w:type="spellEnd"/>
      <w:r w:rsidRPr="00B561D9">
        <w:rPr>
          <w:rFonts w:ascii="Times New Roman" w:eastAsia="TimesNewRomanPSMT" w:hAnsi="Times New Roman" w:cs="Times New Roman"/>
          <w:bCs/>
          <w:sz w:val="24"/>
          <w:szCs w:val="20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Poloxamere</w:t>
      </w:r>
      <w:proofErr w:type="spellEnd"/>
      <w:r w:rsidRPr="00B561D9">
        <w:rPr>
          <w:rFonts w:ascii="Times New Roman" w:eastAsia="TimesNewRomanPSMT" w:hAnsi="Times New Roman" w:cs="Times New Roman"/>
          <w:bCs/>
          <w:sz w:val="24"/>
          <w:szCs w:val="20"/>
        </w:rPr>
        <w:t xml:space="preserve"> 407,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Meglumin</w:t>
      </w:r>
      <w:r w:rsidR="00D109F7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e</w:t>
      </w:r>
      <w:proofErr w:type="spellEnd"/>
      <w:r w:rsidRPr="00B561D9">
        <w:rPr>
          <w:rFonts w:ascii="Times New Roman" w:eastAsia="TimesNewRomanPSMT" w:hAnsi="Times New Roman" w:cs="Times New Roman"/>
          <w:bCs/>
          <w:sz w:val="24"/>
          <w:szCs w:val="20"/>
        </w:rPr>
        <w:t xml:space="preserve">, </w:t>
      </w:r>
    </w:p>
    <w:p w:rsidR="00D109F7" w:rsidRDefault="00D109F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0"/>
          <w:u w:val="single"/>
          <w:lang w:val="en-US"/>
        </w:rPr>
      </w:pPr>
      <w:r>
        <w:rPr>
          <w:rFonts w:ascii="Times New Roman" w:eastAsia="TimesNewRomanPSMT" w:hAnsi="Times New Roman" w:cs="Times New Roman"/>
          <w:bCs/>
          <w:sz w:val="24"/>
          <w:szCs w:val="20"/>
          <w:u w:val="single"/>
          <w:lang w:val="en-US"/>
        </w:rPr>
        <w:t>PVC coating</w:t>
      </w:r>
    </w:p>
    <w:p w:rsidR="00D109F7" w:rsidRDefault="00D565E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</w:pPr>
      <w:proofErr w:type="spellStart"/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Povidon</w:t>
      </w:r>
      <w:r w:rsidR="00D109F7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e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, </w:t>
      </w:r>
      <w:r w:rsidR="00D109F7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Sealant</w:t>
      </w:r>
    </w:p>
    <w:p w:rsidR="00D109F7" w:rsidRDefault="00D109F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0"/>
          <w:u w:val="single"/>
          <w:lang w:val="en-US"/>
        </w:rPr>
      </w:pPr>
      <w:r>
        <w:rPr>
          <w:rFonts w:ascii="Times New Roman" w:eastAsia="TimesNewRomanPSMT" w:hAnsi="Times New Roman" w:cs="Times New Roman"/>
          <w:bCs/>
          <w:sz w:val="24"/>
          <w:szCs w:val="20"/>
          <w:u w:val="single"/>
          <w:lang w:val="en-US"/>
        </w:rPr>
        <w:t>Enteric coating</w:t>
      </w:r>
    </w:p>
    <w:p w:rsidR="00995D6C" w:rsidRDefault="00D565E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</w:pPr>
      <w:proofErr w:type="spellStart"/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Metha</w:t>
      </w:r>
      <w:r w:rsidR="00D109F7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crylic</w:t>
      </w:r>
      <w:proofErr w:type="spellEnd"/>
      <w:r w:rsidR="00D109F7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Acid Ethyl </w:t>
      </w:r>
      <w:proofErr w:type="spellStart"/>
      <w:r w:rsidR="00D109F7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Acrylate</w:t>
      </w:r>
      <w:proofErr w:type="spellEnd"/>
      <w:r w:rsidR="00D109F7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Copolymer (1:1), </w:t>
      </w:r>
      <w:proofErr w:type="spellStart"/>
      <w:r w:rsidR="00D109F7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Triethyl</w:t>
      </w:r>
      <w:proofErr w:type="spellEnd"/>
      <w:r w:rsidR="00D109F7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Citrate, Magnesium </w:t>
      </w:r>
      <w:proofErr w:type="spellStart"/>
      <w:r w:rsidR="00D109F7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Stearate</w:t>
      </w:r>
      <w:proofErr w:type="spellEnd"/>
      <w:r w:rsidR="00D109F7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, Purifies Water, Isopropyl Alcohol</w:t>
      </w:r>
    </w:p>
    <w:p w:rsidR="00D109F7" w:rsidRPr="00D109F7" w:rsidRDefault="00D109F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</w:pPr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     </w:t>
      </w:r>
      <w:r>
        <w:rPr>
          <w:rFonts w:ascii="Times New Roman" w:eastAsia="TimesNewRomanPSMT" w:hAnsi="Times New Roman" w:cs="Times New Roman"/>
          <w:bCs/>
          <w:sz w:val="24"/>
          <w:szCs w:val="20"/>
          <w:u w:val="single"/>
        </w:rPr>
        <w:t>Σύνθεση</w:t>
      </w:r>
      <w:r w:rsidRPr="00D109F7">
        <w:rPr>
          <w:rFonts w:ascii="Times New Roman" w:eastAsia="TimesNewRomanPSMT" w:hAnsi="Times New Roman" w:cs="Times New Roman"/>
          <w:bCs/>
          <w:sz w:val="24"/>
          <w:szCs w:val="20"/>
          <w:u w:val="single"/>
          <w:lang w:val="en-US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0"/>
          <w:u w:val="single"/>
        </w:rPr>
        <w:t>κάψουλας</w:t>
      </w:r>
      <w:r w:rsidRPr="00D109F7">
        <w:rPr>
          <w:rFonts w:ascii="Times New Roman" w:eastAsia="TimesNewRomanPSMT" w:hAnsi="Times New Roman" w:cs="Times New Roman"/>
          <w:bCs/>
          <w:sz w:val="24"/>
          <w:szCs w:val="20"/>
          <w:u w:val="single"/>
          <w:lang w:val="en-US"/>
        </w:rPr>
        <w:t>:</w:t>
      </w:r>
    </w:p>
    <w:p w:rsidR="00D109F7" w:rsidRDefault="00D109F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</w:pPr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Size 2 hard gelatin </w:t>
      </w:r>
      <w:proofErr w:type="gramStart"/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capsules(</w:t>
      </w:r>
      <w:proofErr w:type="gramEnd"/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standard purple opaque cap/Light grey opaque body)</w:t>
      </w:r>
    </w:p>
    <w:p w:rsidR="00D109F7" w:rsidRDefault="00D109F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</w:pPr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Capsule cap:</w:t>
      </w:r>
    </w:p>
    <w:p w:rsidR="00D109F7" w:rsidRDefault="00D109F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</w:pPr>
      <w:proofErr w:type="spellStart"/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Erythrosin</w:t>
      </w:r>
      <w:proofErr w:type="gramStart"/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,Patent</w:t>
      </w:r>
      <w:proofErr w:type="spellEnd"/>
      <w:proofErr w:type="gramEnd"/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Blue V, Titanium dioxide, Gelatin</w:t>
      </w:r>
    </w:p>
    <w:p w:rsidR="00D109F7" w:rsidRDefault="00D109F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</w:pPr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Capsule body:</w:t>
      </w:r>
    </w:p>
    <w:p w:rsidR="00D109F7" w:rsidRDefault="00D109F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</w:pPr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Black Iron Oxide, Titanium dioxide, Gelatin</w:t>
      </w:r>
    </w:p>
    <w:p w:rsidR="00D109F7" w:rsidRDefault="00D109F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</w:pPr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The capsules are printed in black ink containing:</w:t>
      </w:r>
    </w:p>
    <w:p w:rsidR="00D109F7" w:rsidRPr="00D109F7" w:rsidRDefault="00D109F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</w:pPr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Industrial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Methylated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Spirit</w:t>
      </w:r>
      <w:proofErr w:type="gramStart"/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,Shellac</w:t>
      </w:r>
      <w:proofErr w:type="spellEnd"/>
      <w:proofErr w:type="gramEnd"/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, Soya Lecithin,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Antifroam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DC 1510, Black Iron Oxide, N-</w:t>
      </w:r>
      <w:proofErr w:type="spellStart"/>
      <w:r w:rsidR="001B1AC8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butylalcohol</w:t>
      </w:r>
      <w:proofErr w:type="spellEnd"/>
    </w:p>
    <w:p w:rsidR="00AF3C5B" w:rsidRPr="00D565E7" w:rsidRDefault="00AF3C5B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0"/>
          <w:lang w:val="en-US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b/>
          <w:bCs/>
          <w:sz w:val="24"/>
          <w:szCs w:val="20"/>
        </w:rPr>
        <w:t>6.2 Ασυμβατότητες</w:t>
      </w:r>
    </w:p>
    <w:p w:rsidR="00AF3C5B" w:rsidRPr="00055351" w:rsidRDefault="00AF3C5B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0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t>Δεν εφαρμόζεται.</w:t>
      </w:r>
    </w:p>
    <w:p w:rsidR="00AF3C5B" w:rsidRPr="00055351" w:rsidRDefault="00AF3C5B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b/>
          <w:bCs/>
          <w:sz w:val="24"/>
          <w:szCs w:val="20"/>
        </w:rPr>
        <w:t>6.3 Διάρκεια ζωής</w:t>
      </w:r>
    </w:p>
    <w:p w:rsidR="00D565E7" w:rsidRPr="00D565E7" w:rsidRDefault="00D565E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0"/>
        </w:rPr>
      </w:pPr>
      <w:r>
        <w:rPr>
          <w:rFonts w:ascii="Times New Roman" w:eastAsia="TimesNewRomanPSMT" w:hAnsi="Times New Roman" w:cs="Times New Roman"/>
          <w:bCs/>
          <w:sz w:val="24"/>
          <w:szCs w:val="20"/>
        </w:rPr>
        <w:t xml:space="preserve">    </w:t>
      </w:r>
      <w:r w:rsidR="00971404">
        <w:rPr>
          <w:rFonts w:ascii="Times New Roman" w:eastAsia="TimesNewRomanPSMT" w:hAnsi="Times New Roman" w:cs="Times New Roman"/>
          <w:bCs/>
          <w:sz w:val="24"/>
          <w:szCs w:val="20"/>
        </w:rPr>
        <w:t>Δύο</w:t>
      </w:r>
      <w:r>
        <w:rPr>
          <w:rFonts w:ascii="Times New Roman" w:eastAsia="TimesNewRomanPSMT" w:hAnsi="Times New Roman" w:cs="Times New Roman"/>
          <w:bCs/>
          <w:sz w:val="24"/>
          <w:szCs w:val="20"/>
        </w:rPr>
        <w:t xml:space="preserve"> χρόνια</w:t>
      </w:r>
    </w:p>
    <w:p w:rsidR="00AF3C5B" w:rsidRPr="00055351" w:rsidRDefault="00AF3C5B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0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b/>
          <w:bCs/>
          <w:sz w:val="24"/>
          <w:szCs w:val="20"/>
        </w:rPr>
        <w:t>6.4 Ιδιαίτερες προφυλάξεις κατά την φύλαξη του προϊόντος</w:t>
      </w:r>
    </w:p>
    <w:p w:rsidR="00D565E7" w:rsidRPr="00D565E7" w:rsidRDefault="00D565E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0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0"/>
        </w:rPr>
        <w:t xml:space="preserve">     </w:t>
      </w:r>
      <w:r>
        <w:rPr>
          <w:rFonts w:ascii="Times New Roman" w:eastAsia="TimesNewRomanPSMT" w:hAnsi="Times New Roman" w:cs="Times New Roman"/>
          <w:bCs/>
          <w:sz w:val="24"/>
          <w:szCs w:val="20"/>
        </w:rPr>
        <w:t>Μη φυλάσσεται σε θερμοκρασία μεγαλύτερη των 30</w:t>
      </w:r>
      <w:r>
        <w:rPr>
          <w:rFonts w:ascii="Calibri" w:eastAsia="TimesNewRomanPSMT" w:hAnsi="Calibri" w:cs="Times New Roman"/>
          <w:bCs/>
          <w:sz w:val="24"/>
          <w:szCs w:val="20"/>
        </w:rPr>
        <w:t>⁰</w:t>
      </w:r>
      <w:r>
        <w:rPr>
          <w:rFonts w:ascii="Times New Roman" w:eastAsia="TimesNewRomanPSMT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C</w:t>
      </w:r>
      <w:r w:rsidRPr="00D565E7">
        <w:rPr>
          <w:rFonts w:ascii="Times New Roman" w:eastAsia="TimesNewRomanPSMT" w:hAnsi="Times New Roman" w:cs="Times New Roman"/>
          <w:bCs/>
          <w:sz w:val="24"/>
          <w:szCs w:val="20"/>
        </w:rPr>
        <w:t>.</w:t>
      </w:r>
    </w:p>
    <w:p w:rsidR="00AF3C5B" w:rsidRPr="00055351" w:rsidRDefault="00AF3C5B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0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b/>
          <w:bCs/>
          <w:sz w:val="24"/>
          <w:szCs w:val="20"/>
        </w:rPr>
        <w:t>6.5 Φύση και συστατικά του περιέκτη</w:t>
      </w:r>
    </w:p>
    <w:p w:rsidR="001B1AC8" w:rsidRDefault="001B1AC8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0"/>
        </w:rPr>
      </w:pPr>
      <w:r>
        <w:rPr>
          <w:rFonts w:ascii="Times New Roman" w:eastAsia="TimesNewRomanPSMT" w:hAnsi="Times New Roman" w:cs="Times New Roman"/>
          <w:bCs/>
          <w:sz w:val="24"/>
          <w:szCs w:val="20"/>
        </w:rPr>
        <w:t xml:space="preserve">Οι κάψουλες συσκευάζονται σε φιαλίδιο από πλαστικό.Επι του φιαλιδίου επικολλάται ετικέτα, στην οποία αναγράφεται το όνομα του ιδιοσκευάσματος, του </w:t>
      </w:r>
      <w:r>
        <w:rPr>
          <w:rFonts w:ascii="Times New Roman" w:eastAsia="TimesNewRomanPSMT" w:hAnsi="Times New Roman" w:cs="Times New Roman"/>
          <w:bCs/>
          <w:sz w:val="24"/>
          <w:szCs w:val="20"/>
        </w:rPr>
        <w:lastRenderedPageBreak/>
        <w:t xml:space="preserve">δραστικού συστατικού, ο αριθμός παρτίδας και η ημερομηνία.Το φιαλίδιο κλείνεται με πώμα ασφαλείας από αλουμίνιο. </w:t>
      </w:r>
    </w:p>
    <w:p w:rsidR="00AF3C5B" w:rsidRPr="001B1AC8" w:rsidRDefault="001B1AC8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0"/>
        </w:rPr>
      </w:pPr>
      <w:r>
        <w:rPr>
          <w:rFonts w:ascii="Times New Roman" w:eastAsia="TimesNewRomanPSMT" w:hAnsi="Times New Roman" w:cs="Times New Roman"/>
          <w:bCs/>
          <w:sz w:val="24"/>
          <w:szCs w:val="20"/>
        </w:rPr>
        <w:t>Η συσκευασία αποτελείται από 14 κάψουλες(ΒΤ Χ 14) ή από 28 κάψουλες (ΒΤ Χ 28) η οποία περιέχεται σε χάρτινο λιθογραφημένο κουτί. Επί του κουτιού υπάρχει το εγκεκριμένο κείμενο, ο αριθμός παρτίδας και η ημερομηνία λήξης.</w:t>
      </w:r>
    </w:p>
    <w:p w:rsidR="00536AD7" w:rsidRPr="00055351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b/>
          <w:bCs/>
          <w:sz w:val="24"/>
          <w:szCs w:val="20"/>
        </w:rPr>
        <w:t>6.6 Ιδιαίτερες προφυλάξεις απόρριψης και άλλος χειρισμός</w:t>
      </w: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sz w:val="24"/>
          <w:szCs w:val="20"/>
        </w:rPr>
        <w:t>Καμία ειδική υποχρέωση.</w:t>
      </w:r>
    </w:p>
    <w:p w:rsidR="00AF3C5B" w:rsidRPr="00055351" w:rsidRDefault="00AF3C5B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</w:p>
    <w:p w:rsidR="00536AD7" w:rsidRDefault="00AF3C5B" w:rsidP="00AF3C5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0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0"/>
        </w:rPr>
        <w:t>7.</w:t>
      </w:r>
      <w:r w:rsidR="00536AD7" w:rsidRPr="00AF3C5B">
        <w:rPr>
          <w:rFonts w:ascii="Times New Roman" w:eastAsia="TimesNewRomanPSMT" w:hAnsi="Times New Roman" w:cs="Times New Roman"/>
          <w:b/>
          <w:bCs/>
          <w:sz w:val="24"/>
          <w:szCs w:val="20"/>
        </w:rPr>
        <w:t>ΚΑΤΟΧΟΣ ΤΗΣ ΑΔΕΙΑΣ ΚΥΚΛΟΦΟΡΙΑΣ</w:t>
      </w:r>
    </w:p>
    <w:p w:rsidR="00D565E7" w:rsidRPr="00D565E7" w:rsidRDefault="00D565E7" w:rsidP="00AF3C5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0"/>
        </w:rPr>
        <w:tab/>
      </w:r>
      <w:proofErr w:type="gramStart"/>
      <w:r w:rsidRPr="00D565E7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Zwitter Pharmaceuticals </w:t>
      </w:r>
      <w:r w:rsidRPr="00D565E7">
        <w:rPr>
          <w:rFonts w:ascii="Times New Roman" w:eastAsia="TimesNewRomanPSMT" w:hAnsi="Times New Roman" w:cs="Times New Roman"/>
          <w:bCs/>
          <w:sz w:val="24"/>
          <w:szCs w:val="20"/>
        </w:rPr>
        <w:t>Ε</w:t>
      </w:r>
      <w:r w:rsidRPr="00D565E7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.</w:t>
      </w:r>
      <w:r w:rsidRPr="00D565E7">
        <w:rPr>
          <w:rFonts w:ascii="Times New Roman" w:eastAsia="TimesNewRomanPSMT" w:hAnsi="Times New Roman" w:cs="Times New Roman"/>
          <w:bCs/>
          <w:sz w:val="24"/>
          <w:szCs w:val="20"/>
        </w:rPr>
        <w:t>Π</w:t>
      </w:r>
      <w:r w:rsidRPr="00D565E7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.</w:t>
      </w:r>
      <w:r w:rsidRPr="00D565E7">
        <w:rPr>
          <w:rFonts w:ascii="Times New Roman" w:eastAsia="TimesNewRomanPSMT" w:hAnsi="Times New Roman" w:cs="Times New Roman"/>
          <w:bCs/>
          <w:sz w:val="24"/>
          <w:szCs w:val="20"/>
        </w:rPr>
        <w:t>Ε</w:t>
      </w:r>
      <w:r w:rsidRPr="00D565E7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.</w:t>
      </w:r>
      <w:proofErr w:type="gramEnd"/>
    </w:p>
    <w:p w:rsidR="00D565E7" w:rsidRDefault="00D565E7" w:rsidP="00AF3C5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0"/>
        </w:rPr>
      </w:pPr>
      <w:r w:rsidRPr="00B561D9">
        <w:rPr>
          <w:rFonts w:ascii="Times New Roman" w:eastAsia="TimesNewRomanPSMT" w:hAnsi="Times New Roman" w:cs="Times New Roman"/>
          <w:b/>
          <w:bCs/>
          <w:sz w:val="24"/>
          <w:szCs w:val="20"/>
          <w:lang w:val="en-US"/>
        </w:rPr>
        <w:tab/>
      </w:r>
      <w:r w:rsidRPr="00D565E7">
        <w:rPr>
          <w:rFonts w:ascii="Times New Roman" w:eastAsia="TimesNewRomanPSMT" w:hAnsi="Times New Roman" w:cs="Times New Roman"/>
          <w:bCs/>
          <w:sz w:val="24"/>
          <w:szCs w:val="20"/>
        </w:rPr>
        <w:t>Λ. Πεντέλης 34-36</w:t>
      </w:r>
    </w:p>
    <w:p w:rsidR="00D565E7" w:rsidRPr="00D565E7" w:rsidRDefault="00D565E7" w:rsidP="00AF3C5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0"/>
        </w:rPr>
      </w:pPr>
      <w:r>
        <w:rPr>
          <w:rFonts w:ascii="Times New Roman" w:eastAsia="TimesNewRomanPSMT" w:hAnsi="Times New Roman" w:cs="Times New Roman"/>
          <w:bCs/>
          <w:sz w:val="24"/>
          <w:szCs w:val="20"/>
        </w:rPr>
        <w:tab/>
        <w:t>152 34 Χαλάνδρι</w:t>
      </w:r>
    </w:p>
    <w:p w:rsidR="00AF3C5B" w:rsidRPr="00B561D9" w:rsidRDefault="00AF3C5B" w:rsidP="00AF3C5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0"/>
        </w:rPr>
      </w:pPr>
    </w:p>
    <w:p w:rsidR="00AF3C5B" w:rsidRPr="00B561D9" w:rsidRDefault="00AF3C5B" w:rsidP="00AF3C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0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b/>
          <w:bCs/>
          <w:sz w:val="24"/>
          <w:szCs w:val="20"/>
        </w:rPr>
        <w:t>8. ΑΡΙΘΜΟΣ(ΟΙ) ΑΔΕΙΑΣ ΚΥΚΛΟΦΟΡΙΑΣ</w:t>
      </w:r>
    </w:p>
    <w:p w:rsidR="00AF3C5B" w:rsidRDefault="00AF3C5B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0"/>
        </w:rPr>
      </w:pPr>
    </w:p>
    <w:p w:rsidR="00AF3C5B" w:rsidRPr="00055351" w:rsidRDefault="00AF3C5B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0"/>
        </w:rPr>
      </w:pPr>
    </w:p>
    <w:p w:rsidR="00536AD7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b/>
          <w:bCs/>
          <w:sz w:val="24"/>
          <w:szCs w:val="20"/>
        </w:rPr>
        <w:t>9. ΗΜΕΡΟΜΗΝΙΑ ΠΡΩΤΗΣ ΕΓΚΡΙΣΗΣ / ΑΝΑΝΕΩΣΗΣ ΤΗΣ ΑΔΕΙΑΣ</w:t>
      </w:r>
    </w:p>
    <w:p w:rsidR="00AF3C5B" w:rsidRDefault="00AF3C5B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0"/>
        </w:rPr>
      </w:pPr>
    </w:p>
    <w:p w:rsidR="00AF3C5B" w:rsidRPr="00055351" w:rsidRDefault="00AF3C5B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0"/>
        </w:rPr>
      </w:pPr>
    </w:p>
    <w:p w:rsidR="00536AD7" w:rsidRPr="00055351" w:rsidRDefault="00536AD7" w:rsidP="00536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0"/>
        </w:rPr>
      </w:pPr>
      <w:r w:rsidRPr="00055351">
        <w:rPr>
          <w:rFonts w:ascii="Times New Roman" w:eastAsia="TimesNewRomanPSMT" w:hAnsi="Times New Roman" w:cs="Times New Roman"/>
          <w:b/>
          <w:bCs/>
          <w:sz w:val="24"/>
          <w:szCs w:val="20"/>
        </w:rPr>
        <w:t>10. ΗΜΕΡΟΜΗΝΙΑ ΑΝΑΘΕΩΡΗΣΗΣ ΤΟΥ ΚΕΙΜΕΝΟΥ</w:t>
      </w:r>
    </w:p>
    <w:p w:rsidR="00536AD7" w:rsidRPr="00B561D9" w:rsidRDefault="00D565E7" w:rsidP="000553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0"/>
        </w:rPr>
        <w:tab/>
      </w:r>
      <w:r w:rsidR="00B561D9">
        <w:rPr>
          <w:rFonts w:ascii="Times New Roman" w:eastAsia="TimesNewRomanPSMT" w:hAnsi="Times New Roman" w:cs="Times New Roman"/>
          <w:b/>
          <w:bCs/>
          <w:sz w:val="24"/>
          <w:szCs w:val="20"/>
          <w:lang w:val="en-US"/>
        </w:rPr>
        <w:t>21-7-2014</w:t>
      </w:r>
    </w:p>
    <w:sectPr w:rsidR="00536AD7" w:rsidRPr="00B561D9" w:rsidSect="002452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pecialty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455"/>
    <w:multiLevelType w:val="multilevel"/>
    <w:tmpl w:val="79BA6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BF612C5"/>
    <w:multiLevelType w:val="hybridMultilevel"/>
    <w:tmpl w:val="A8569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86D4B"/>
    <w:multiLevelType w:val="hybridMultilevel"/>
    <w:tmpl w:val="48066B7E"/>
    <w:lvl w:ilvl="0" w:tplc="2026D502">
      <w:start w:val="4"/>
      <w:numFmt w:val="bullet"/>
      <w:lvlText w:val=""/>
      <w:lvlJc w:val="left"/>
      <w:pPr>
        <w:ind w:left="720" w:hanging="360"/>
      </w:pPr>
      <w:rPr>
        <w:rFonts w:ascii="Times New Roman" w:eastAsia="MSReferenceSpecialty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F1291"/>
    <w:multiLevelType w:val="hybridMultilevel"/>
    <w:tmpl w:val="DE0CFD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E616C"/>
    <w:multiLevelType w:val="hybridMultilevel"/>
    <w:tmpl w:val="9B487F3C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40227"/>
    <w:multiLevelType w:val="hybridMultilevel"/>
    <w:tmpl w:val="6E3ECE88"/>
    <w:lvl w:ilvl="0" w:tplc="2026D502">
      <w:start w:val="4"/>
      <w:numFmt w:val="bullet"/>
      <w:lvlText w:val=""/>
      <w:lvlJc w:val="left"/>
      <w:pPr>
        <w:ind w:left="720" w:hanging="360"/>
      </w:pPr>
      <w:rPr>
        <w:rFonts w:ascii="Times New Roman" w:eastAsia="MSReferenceSpecialty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A3570"/>
    <w:multiLevelType w:val="hybridMultilevel"/>
    <w:tmpl w:val="D1123D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C449A"/>
    <w:multiLevelType w:val="hybridMultilevel"/>
    <w:tmpl w:val="F8BAB1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spelling="clean" w:grammar="clean"/>
  <w:defaultTabStop w:val="720"/>
  <w:characterSpacingControl w:val="doNotCompress"/>
  <w:compat/>
  <w:rsids>
    <w:rsidRoot w:val="00536AD7"/>
    <w:rsid w:val="00010DC5"/>
    <w:rsid w:val="00055351"/>
    <w:rsid w:val="0019732A"/>
    <w:rsid w:val="001B1AC8"/>
    <w:rsid w:val="00245245"/>
    <w:rsid w:val="00524DBD"/>
    <w:rsid w:val="00536AD7"/>
    <w:rsid w:val="006074C8"/>
    <w:rsid w:val="00621117"/>
    <w:rsid w:val="00637DE0"/>
    <w:rsid w:val="006A6CBC"/>
    <w:rsid w:val="007B1959"/>
    <w:rsid w:val="008657E7"/>
    <w:rsid w:val="00971404"/>
    <w:rsid w:val="00995D6C"/>
    <w:rsid w:val="00A677E3"/>
    <w:rsid w:val="00A847EE"/>
    <w:rsid w:val="00AF3C5B"/>
    <w:rsid w:val="00B22836"/>
    <w:rsid w:val="00B561D9"/>
    <w:rsid w:val="00B714E9"/>
    <w:rsid w:val="00D109F7"/>
    <w:rsid w:val="00D51A20"/>
    <w:rsid w:val="00D565E7"/>
    <w:rsid w:val="00DB0043"/>
    <w:rsid w:val="00DC7029"/>
    <w:rsid w:val="00F700A9"/>
    <w:rsid w:val="00FA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0A9"/>
    <w:pPr>
      <w:ind w:left="720"/>
      <w:contextualSpacing/>
    </w:pPr>
  </w:style>
  <w:style w:type="table" w:styleId="a4">
    <w:name w:val="Table Grid"/>
    <w:basedOn w:val="a1"/>
    <w:uiPriority w:val="59"/>
    <w:rsid w:val="00637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0A9"/>
    <w:pPr>
      <w:ind w:left="720"/>
      <w:contextualSpacing/>
    </w:pPr>
  </w:style>
  <w:style w:type="table" w:styleId="a4">
    <w:name w:val="Table Grid"/>
    <w:basedOn w:val="a1"/>
    <w:uiPriority w:val="59"/>
    <w:rsid w:val="0063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5551</Words>
  <Characters>29977</Characters>
  <Application>Microsoft Office Word</Application>
  <DocSecurity>0</DocSecurity>
  <Lines>249</Lines>
  <Paragraphs>70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</dc:creator>
  <cp:lastModifiedBy>user146</cp:lastModifiedBy>
  <cp:revision>8</cp:revision>
  <dcterms:created xsi:type="dcterms:W3CDTF">2016-04-15T09:17:00Z</dcterms:created>
  <dcterms:modified xsi:type="dcterms:W3CDTF">2016-04-15T09:26:00Z</dcterms:modified>
</cp:coreProperties>
</file>