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B6" w:rsidRDefault="00C1567C" w:rsidP="009D672F">
      <w:pPr>
        <w:pStyle w:val="ReportTitle"/>
        <w:spacing w:after="0"/>
        <w:jc w:val="center"/>
        <w:rPr>
          <w:sz w:val="24"/>
          <w:szCs w:val="24"/>
          <w:lang w:val="el-GR"/>
        </w:rPr>
      </w:pPr>
      <w:r w:rsidRPr="004A6DB6">
        <w:rPr>
          <w:sz w:val="24"/>
          <w:szCs w:val="24"/>
          <w:lang w:val="el-GR"/>
        </w:rPr>
        <w:t>ΠΕΡΙΛΗΨΗ ΤΩΝ ΧΑΡΑΚΤΗΡΙΣΤΙΚΩΝ ΤΟΥ ΠΡΟΪΟΝΤΟΣ</w:t>
      </w:r>
    </w:p>
    <w:p w:rsidR="009D672F" w:rsidRPr="009D672F" w:rsidRDefault="009D672F" w:rsidP="009D672F">
      <w:pPr>
        <w:pStyle w:val="Para0s"/>
        <w:spacing w:after="0"/>
        <w:rPr>
          <w:lang w:val="el-GR"/>
        </w:rPr>
      </w:pPr>
    </w:p>
    <w:p w:rsidR="00C1567C" w:rsidRPr="003B0D84" w:rsidRDefault="00C1567C" w:rsidP="009D672F">
      <w:pPr>
        <w:pStyle w:val="1"/>
        <w:spacing w:before="0" w:after="0"/>
        <w:rPr>
          <w:lang w:val="el-GR"/>
        </w:rPr>
      </w:pPr>
      <w:r w:rsidRPr="003B0D84">
        <w:rPr>
          <w:lang w:val="el-GR"/>
        </w:rPr>
        <w:t>ΟΝΟΜΑΣΙΑ ΤΟΥ ΦΑΡΜΑΚΕΥΤΙΚΟΥ ΠΡΟΪΟΝΤΟΣ</w:t>
      </w:r>
    </w:p>
    <w:p w:rsidR="00C1567C" w:rsidRDefault="00C1567C" w:rsidP="009D672F">
      <w:pPr>
        <w:pStyle w:val="Para0s"/>
        <w:spacing w:after="0"/>
        <w:rPr>
          <w:lang w:val="el-GR"/>
        </w:rPr>
      </w:pPr>
      <w:r w:rsidRPr="003B0D84">
        <w:rPr>
          <w:lang w:val="el-GR"/>
        </w:rPr>
        <w:t>Qlaira, επικ</w:t>
      </w:r>
      <w:r w:rsidR="00FF5472" w:rsidRPr="003B0D84">
        <w:rPr>
          <w:lang w:val="el-GR"/>
        </w:rPr>
        <w:t>αλυμμένα με λεπτό υμένιο δισκία</w:t>
      </w:r>
    </w:p>
    <w:p w:rsidR="009D672F" w:rsidRPr="003B0D84" w:rsidRDefault="009D672F" w:rsidP="009D672F">
      <w:pPr>
        <w:pStyle w:val="Para0s"/>
        <w:spacing w:after="0"/>
        <w:rPr>
          <w:lang w:val="el-GR"/>
        </w:rPr>
      </w:pPr>
    </w:p>
    <w:p w:rsidR="00C1567C" w:rsidRPr="003B0D84" w:rsidRDefault="00C1567C" w:rsidP="009D672F">
      <w:pPr>
        <w:pStyle w:val="1"/>
        <w:spacing w:before="0" w:after="0"/>
        <w:rPr>
          <w:lang w:val="el-GR"/>
        </w:rPr>
      </w:pPr>
      <w:r w:rsidRPr="003B0D84">
        <w:rPr>
          <w:lang w:val="el-GR"/>
        </w:rPr>
        <w:t>ΠΟΙΟΤΙΚΗ ΚΑΙ ΠΟΣΟΤΙΚΗ ΣΥΝΘΕΣΗ</w:t>
      </w:r>
    </w:p>
    <w:p w:rsidR="00E43960" w:rsidRPr="003B0D84" w:rsidRDefault="00C1567C" w:rsidP="009D672F">
      <w:pPr>
        <w:pStyle w:val="Para0s"/>
        <w:spacing w:after="0"/>
        <w:rPr>
          <w:lang w:val="el-GR"/>
        </w:rPr>
      </w:pPr>
      <w:r w:rsidRPr="003B0D84">
        <w:rPr>
          <w:lang w:val="el-GR"/>
        </w:rPr>
        <w:t xml:space="preserve">Κάθε </w:t>
      </w:r>
      <w:r w:rsidR="002045EF" w:rsidRPr="003B0D84">
        <w:rPr>
          <w:lang w:val="el-GR"/>
        </w:rPr>
        <w:t>συσκευασία</w:t>
      </w:r>
      <w:r w:rsidRPr="003B0D84">
        <w:rPr>
          <w:lang w:val="el-GR"/>
        </w:rPr>
        <w:t xml:space="preserve"> (28 επικαλυμμένα με λεπτό υμένιο δισκία) περιέχει, με την ακόλουθη σειρά:</w:t>
      </w:r>
      <w:r w:rsidRPr="003B0D84">
        <w:rPr>
          <w:noProof/>
          <w:lang w:val="el-GR"/>
        </w:rPr>
        <w:br/>
      </w:r>
      <w:r w:rsidRPr="003B0D84">
        <w:rPr>
          <w:lang w:val="el-GR"/>
        </w:rPr>
        <w:t xml:space="preserve">2 δισκία σκούρου κίτρινου χρώματος, που το καθένα περιέχει 3 mg </w:t>
      </w:r>
      <w:r w:rsidR="00D95EBC" w:rsidRPr="003B0D84">
        <w:rPr>
          <w:lang w:val="el-GR"/>
        </w:rPr>
        <w:t>estradiol valerate</w:t>
      </w:r>
      <w:r w:rsidR="00FA6460" w:rsidRPr="003B0D84">
        <w:rPr>
          <w:lang w:val="el-GR"/>
        </w:rPr>
        <w:br/>
        <w:t xml:space="preserve">5 δισκία </w:t>
      </w:r>
      <w:r w:rsidRPr="003B0D84">
        <w:rPr>
          <w:lang w:val="el-GR"/>
        </w:rPr>
        <w:t xml:space="preserve">κόκκινου χρώματος, που το καθένα περιέχει 2 mg </w:t>
      </w:r>
      <w:r w:rsidR="00D95EBC" w:rsidRPr="003B0D84">
        <w:rPr>
          <w:lang w:val="el-GR"/>
        </w:rPr>
        <w:t>estradiol valerate</w:t>
      </w:r>
      <w:r w:rsidRPr="003B0D84">
        <w:rPr>
          <w:lang w:val="el-GR"/>
        </w:rPr>
        <w:t xml:space="preserve"> και 2 mg dienogest</w:t>
      </w:r>
      <w:r w:rsidRPr="003B0D84">
        <w:rPr>
          <w:lang w:val="el-GR"/>
        </w:rPr>
        <w:br/>
        <w:t xml:space="preserve">17 δισκία ανοικτού κίτρινου χρώματος, που το καθένα περιέχει 2 mg </w:t>
      </w:r>
      <w:r w:rsidR="00D95EBC" w:rsidRPr="003B0D84">
        <w:rPr>
          <w:lang w:val="el-GR"/>
        </w:rPr>
        <w:t>estradiol valerate</w:t>
      </w:r>
      <w:r w:rsidRPr="003B0D84">
        <w:rPr>
          <w:lang w:val="el-GR"/>
        </w:rPr>
        <w:t xml:space="preserve"> και 3 mg dienogest</w:t>
      </w:r>
      <w:r w:rsidRPr="003B0D84">
        <w:rPr>
          <w:lang w:val="el-GR"/>
        </w:rPr>
        <w:br/>
        <w:t xml:space="preserve">2 δισκία σκούρου κόκκινου χρώματος, που το καθένα περιέχει 1 mg </w:t>
      </w:r>
      <w:r w:rsidR="00D95EBC" w:rsidRPr="003B0D84">
        <w:rPr>
          <w:lang w:val="el-GR"/>
        </w:rPr>
        <w:t>estradiol valerate</w:t>
      </w:r>
      <w:r w:rsidRPr="003B0D84">
        <w:rPr>
          <w:lang w:val="el-GR"/>
        </w:rPr>
        <w:t xml:space="preserve"> </w:t>
      </w:r>
      <w:r w:rsidRPr="003B0D84">
        <w:rPr>
          <w:lang w:val="el-GR"/>
        </w:rPr>
        <w:br/>
        <w:t>2 λευκά δισκία</w:t>
      </w:r>
      <w:r w:rsidR="00E43960" w:rsidRPr="003B0D84">
        <w:rPr>
          <w:lang w:val="el-GR"/>
        </w:rPr>
        <w:t xml:space="preserve"> τα οποία δεν περιέχουν δραστικές ουσίες.</w:t>
      </w:r>
    </w:p>
    <w:p w:rsidR="00C1567C" w:rsidRPr="003B0D84" w:rsidRDefault="00E43960" w:rsidP="009D672F">
      <w:pPr>
        <w:pStyle w:val="Para0s"/>
        <w:spacing w:after="0"/>
        <w:rPr>
          <w:lang w:val="el-GR"/>
        </w:rPr>
      </w:pPr>
      <w:r w:rsidRPr="003B0D84">
        <w:rPr>
          <w:lang w:val="el-GR"/>
        </w:rPr>
        <w:t xml:space="preserve">Έκδοχο: λακτόζη (όχι περισσότερο από 50 </w:t>
      </w:r>
      <w:r w:rsidRPr="003B0D84">
        <w:t>mg</w:t>
      </w:r>
      <w:r w:rsidRPr="003B0D84">
        <w:rPr>
          <w:lang w:val="el-GR"/>
        </w:rPr>
        <w:t xml:space="preserve"> ανά δισκίο).</w:t>
      </w:r>
      <w:r w:rsidR="00C1567C" w:rsidRPr="003B0D84">
        <w:rPr>
          <w:lang w:val="el-GR"/>
        </w:rPr>
        <w:t xml:space="preserve"> </w:t>
      </w:r>
    </w:p>
    <w:p w:rsidR="00C1567C" w:rsidRDefault="00C1567C" w:rsidP="009D672F">
      <w:pPr>
        <w:pStyle w:val="Para0s"/>
        <w:spacing w:after="0"/>
        <w:rPr>
          <w:lang w:val="el-GR"/>
        </w:rPr>
      </w:pPr>
      <w:r w:rsidRPr="003B0D84">
        <w:rPr>
          <w:lang w:val="el-GR"/>
        </w:rPr>
        <w:t>Για τον π</w:t>
      </w:r>
      <w:r w:rsidR="004F53B3" w:rsidRPr="003B0D84">
        <w:rPr>
          <w:lang w:val="el-GR"/>
        </w:rPr>
        <w:t>λήρη κατάλογο των εκδόχων, βλ. π</w:t>
      </w:r>
      <w:r w:rsidRPr="003B0D84">
        <w:rPr>
          <w:lang w:val="el-GR"/>
        </w:rPr>
        <w:t>αράγραφο</w:t>
      </w:r>
      <w:r w:rsidR="00FA6460" w:rsidRPr="003B0D84">
        <w:rPr>
          <w:lang w:val="el-GR"/>
        </w:rPr>
        <w:t xml:space="preserve"> 6.1 </w:t>
      </w:r>
    </w:p>
    <w:p w:rsidR="009D672F" w:rsidRPr="003B0D84" w:rsidRDefault="009D672F" w:rsidP="009D672F">
      <w:pPr>
        <w:pStyle w:val="Para0s"/>
        <w:spacing w:after="0"/>
        <w:rPr>
          <w:lang w:val="el-GR"/>
        </w:rPr>
      </w:pPr>
    </w:p>
    <w:p w:rsidR="00C1567C" w:rsidRPr="003B0D84" w:rsidRDefault="00C1567C" w:rsidP="009D672F">
      <w:pPr>
        <w:pStyle w:val="1"/>
        <w:spacing w:before="0" w:after="0"/>
        <w:rPr>
          <w:lang w:val="el-GR"/>
        </w:rPr>
      </w:pPr>
      <w:r w:rsidRPr="003B0D84">
        <w:rPr>
          <w:lang w:val="el-GR"/>
        </w:rPr>
        <w:t>ΦΑΡΜΑΚΟΤΕΧΝΙΚΗ ΜΟΡΦΗ</w:t>
      </w:r>
    </w:p>
    <w:p w:rsidR="00C1567C" w:rsidRPr="003B0D84" w:rsidRDefault="00C1567C" w:rsidP="009D672F">
      <w:pPr>
        <w:pStyle w:val="Para0s"/>
        <w:spacing w:after="0"/>
        <w:rPr>
          <w:lang w:val="el-GR"/>
        </w:rPr>
      </w:pPr>
      <w:r w:rsidRPr="003B0D84">
        <w:rPr>
          <w:lang w:val="el-GR"/>
        </w:rPr>
        <w:t>Επικαλυμμέν</w:t>
      </w:r>
      <w:r w:rsidR="00E43960" w:rsidRPr="003B0D84">
        <w:rPr>
          <w:lang w:val="el-GR"/>
        </w:rPr>
        <w:t>ο</w:t>
      </w:r>
      <w:r w:rsidRPr="003B0D84">
        <w:rPr>
          <w:lang w:val="el-GR"/>
        </w:rPr>
        <w:t xml:space="preserve"> με λεπτό υμένιο δισκί</w:t>
      </w:r>
      <w:r w:rsidR="00E43960" w:rsidRPr="003B0D84">
        <w:rPr>
          <w:lang w:val="el-GR"/>
        </w:rPr>
        <w:t>ο</w:t>
      </w:r>
      <w:r w:rsidR="00FA6460" w:rsidRPr="003B0D84">
        <w:rPr>
          <w:lang w:val="el-GR"/>
        </w:rPr>
        <w:t xml:space="preserve"> (δισκίο)</w:t>
      </w:r>
      <w:r w:rsidRPr="003B0D84">
        <w:rPr>
          <w:lang w:val="el-GR"/>
        </w:rPr>
        <w:t>.</w:t>
      </w:r>
    </w:p>
    <w:p w:rsidR="00C02B2B" w:rsidRPr="003B0D84" w:rsidRDefault="00C02B2B" w:rsidP="009D672F">
      <w:pPr>
        <w:pStyle w:val="Para0s"/>
        <w:spacing w:after="0"/>
        <w:rPr>
          <w:lang w:val="el-GR"/>
        </w:rPr>
      </w:pPr>
      <w:r w:rsidRPr="003B0D84">
        <w:rPr>
          <w:lang w:val="el-GR"/>
        </w:rPr>
        <w:t>Τα επικαλυμμένα με λεπτ</w:t>
      </w:r>
      <w:r w:rsidR="00C65F24">
        <w:rPr>
          <w:lang w:val="el-GR"/>
        </w:rPr>
        <w:t>ό υμένιο δισκία σκούρου κίτρινου</w:t>
      </w:r>
      <w:r w:rsidRPr="003B0D84">
        <w:rPr>
          <w:lang w:val="el-GR"/>
        </w:rPr>
        <w:t xml:space="preserve"> χρώματος είναι στρογγυλά, με κυρτές επιφάνειες, με ανάγλυφη την ένδειξη </w:t>
      </w:r>
      <w:r w:rsidR="00FA6460" w:rsidRPr="003B0D84">
        <w:rPr>
          <w:lang w:val="el-GR"/>
        </w:rPr>
        <w:t>“</w:t>
      </w:r>
      <w:r w:rsidRPr="003B0D84">
        <w:t>DD</w:t>
      </w:r>
      <w:r w:rsidR="00FA6460" w:rsidRPr="003B0D84">
        <w:rPr>
          <w:lang w:val="el-GR"/>
        </w:rPr>
        <w:t>”</w:t>
      </w:r>
      <w:r w:rsidRPr="003B0D84">
        <w:rPr>
          <w:lang w:val="el-GR"/>
        </w:rPr>
        <w:t xml:space="preserve"> μέσα σε κανονικό εξάγωνο στη μία πλευρά.</w:t>
      </w:r>
    </w:p>
    <w:p w:rsidR="00E33014" w:rsidRPr="003B0D84" w:rsidRDefault="00E33014" w:rsidP="009D672F">
      <w:pPr>
        <w:pStyle w:val="Para0s"/>
        <w:spacing w:after="0"/>
        <w:rPr>
          <w:lang w:val="el-GR"/>
        </w:rPr>
      </w:pPr>
      <w:r w:rsidRPr="003B0D84">
        <w:rPr>
          <w:lang w:val="el-GR"/>
        </w:rPr>
        <w:t>Τα επικαλυμμέν</w:t>
      </w:r>
      <w:r w:rsidR="00FA6460" w:rsidRPr="003B0D84">
        <w:rPr>
          <w:lang w:val="el-GR"/>
        </w:rPr>
        <w:t xml:space="preserve">α με λεπτό υμένιο δισκία </w:t>
      </w:r>
      <w:r w:rsidRPr="003B0D84">
        <w:rPr>
          <w:lang w:val="el-GR"/>
        </w:rPr>
        <w:t xml:space="preserve">κόκκινου χρώματος είναι στρογγυλά, με κυρτές επιφάνειες, με ανάγλυφη την ένδειξη </w:t>
      </w:r>
      <w:r w:rsidR="00FA6460" w:rsidRPr="003B0D84">
        <w:rPr>
          <w:lang w:val="el-GR"/>
        </w:rPr>
        <w:t>“</w:t>
      </w:r>
      <w:r w:rsidRPr="003B0D84">
        <w:t>DJ</w:t>
      </w:r>
      <w:r w:rsidR="00FA6460" w:rsidRPr="003B0D84">
        <w:rPr>
          <w:lang w:val="el-GR"/>
        </w:rPr>
        <w:t>”</w:t>
      </w:r>
      <w:r w:rsidRPr="003B0D84">
        <w:rPr>
          <w:lang w:val="el-GR"/>
        </w:rPr>
        <w:t xml:space="preserve"> μέσα σε κανονικό εξάγωνο στη μία πλευρά.</w:t>
      </w:r>
    </w:p>
    <w:p w:rsidR="00E33014" w:rsidRPr="003B0D84" w:rsidRDefault="00E33014" w:rsidP="009D672F">
      <w:pPr>
        <w:pStyle w:val="Para0s"/>
        <w:spacing w:after="0"/>
        <w:rPr>
          <w:lang w:val="el-GR"/>
        </w:rPr>
      </w:pPr>
      <w:r w:rsidRPr="003B0D84">
        <w:rPr>
          <w:lang w:val="el-GR"/>
        </w:rPr>
        <w:t>Τα επικαλυμμένα με λεπτό</w:t>
      </w:r>
      <w:r w:rsidR="00B131F9">
        <w:rPr>
          <w:lang w:val="el-GR"/>
        </w:rPr>
        <w:t xml:space="preserve"> υμένιο δισκία ανοικτού κίτρινου</w:t>
      </w:r>
      <w:r w:rsidRPr="003B0D84">
        <w:rPr>
          <w:lang w:val="el-GR"/>
        </w:rPr>
        <w:t xml:space="preserve"> χρώματος είναι στρογγυλά, με κυρτές επιφάνειες, με ανάγλυφη την ένδειξη </w:t>
      </w:r>
      <w:r w:rsidR="00FA6460" w:rsidRPr="003B0D84">
        <w:rPr>
          <w:lang w:val="el-GR"/>
        </w:rPr>
        <w:t>“</w:t>
      </w:r>
      <w:r w:rsidRPr="003B0D84">
        <w:t>D</w:t>
      </w:r>
      <w:r w:rsidRPr="003B0D84">
        <w:rPr>
          <w:lang w:val="el-GR"/>
        </w:rPr>
        <w:t>Η</w:t>
      </w:r>
      <w:r w:rsidR="00FA6460" w:rsidRPr="003B0D84">
        <w:rPr>
          <w:lang w:val="el-GR"/>
        </w:rPr>
        <w:t>”</w:t>
      </w:r>
      <w:r w:rsidRPr="003B0D84">
        <w:rPr>
          <w:lang w:val="el-GR"/>
        </w:rPr>
        <w:t xml:space="preserve"> μέσα σε κανονικό εξάγωνο στη μία πλευρά.</w:t>
      </w:r>
    </w:p>
    <w:p w:rsidR="00E33014" w:rsidRPr="003B0D84" w:rsidRDefault="00E33014" w:rsidP="009D672F">
      <w:pPr>
        <w:pStyle w:val="Para0s"/>
        <w:spacing w:after="0"/>
        <w:rPr>
          <w:lang w:val="el-GR"/>
        </w:rPr>
      </w:pPr>
      <w:r w:rsidRPr="003B0D84">
        <w:rPr>
          <w:lang w:val="el-GR"/>
        </w:rPr>
        <w:t xml:space="preserve">Τα επικαλυμμένα με λεπτό υμένιο δισκία σκούρου κόκκινου χρώματος είναι στρογγυλά, με κυρτές επιφάνειες, με ανάγλυφη την ένδειξη </w:t>
      </w:r>
      <w:r w:rsidR="00FA6460" w:rsidRPr="003B0D84">
        <w:rPr>
          <w:lang w:val="el-GR"/>
        </w:rPr>
        <w:t>“</w:t>
      </w:r>
      <w:r w:rsidRPr="003B0D84">
        <w:t>DN</w:t>
      </w:r>
      <w:r w:rsidR="00FA6460" w:rsidRPr="003B0D84">
        <w:rPr>
          <w:lang w:val="el-GR"/>
        </w:rPr>
        <w:t>”</w:t>
      </w:r>
      <w:r w:rsidRPr="003B0D84">
        <w:rPr>
          <w:lang w:val="el-GR"/>
        </w:rPr>
        <w:t xml:space="preserve"> μέσα σε κανονικό εξάγωνο στη μία πλευρά.</w:t>
      </w:r>
    </w:p>
    <w:p w:rsidR="00E33014" w:rsidRDefault="00E33014" w:rsidP="009D672F">
      <w:pPr>
        <w:pStyle w:val="Para0s"/>
        <w:spacing w:after="0"/>
        <w:rPr>
          <w:lang w:val="el-GR"/>
        </w:rPr>
      </w:pPr>
      <w:r w:rsidRPr="003B0D84">
        <w:rPr>
          <w:lang w:val="el-GR"/>
        </w:rPr>
        <w:t xml:space="preserve"> Τα επικαλυμμένα με λεπτό υμένιο δισκία λευκού χρώματος είναι στρογγυλά, με κυρτές επιφάνειες, με ανάγλυφη την ένδειξη </w:t>
      </w:r>
      <w:r w:rsidR="00FA6460" w:rsidRPr="003B0D84">
        <w:rPr>
          <w:lang w:val="el-GR"/>
        </w:rPr>
        <w:t>“</w:t>
      </w:r>
      <w:r w:rsidRPr="003B0D84">
        <w:t>D</w:t>
      </w:r>
      <w:r w:rsidRPr="003B0D84">
        <w:rPr>
          <w:lang w:val="el-GR"/>
        </w:rPr>
        <w:t>Τ</w:t>
      </w:r>
      <w:r w:rsidR="00FA6460" w:rsidRPr="003B0D84">
        <w:rPr>
          <w:lang w:val="el-GR"/>
        </w:rPr>
        <w:t>”</w:t>
      </w:r>
      <w:r w:rsidRPr="003B0D84">
        <w:rPr>
          <w:lang w:val="el-GR"/>
        </w:rPr>
        <w:t xml:space="preserve"> μέσα σε κανονικό εξάγωνο στη μία πλευρά.</w:t>
      </w:r>
    </w:p>
    <w:p w:rsidR="009D672F" w:rsidRPr="003B0D84" w:rsidRDefault="009D672F" w:rsidP="009D672F">
      <w:pPr>
        <w:pStyle w:val="Para0s"/>
        <w:spacing w:after="0"/>
        <w:rPr>
          <w:lang w:val="el-GR"/>
        </w:rPr>
      </w:pPr>
    </w:p>
    <w:p w:rsidR="00C1567C" w:rsidRPr="003B0D84" w:rsidRDefault="00C1567C" w:rsidP="009D672F">
      <w:pPr>
        <w:pStyle w:val="1"/>
        <w:spacing w:before="0" w:after="0"/>
        <w:rPr>
          <w:lang w:val="el-GR"/>
        </w:rPr>
      </w:pPr>
      <w:r w:rsidRPr="003B0D84">
        <w:rPr>
          <w:lang w:val="el-GR"/>
        </w:rPr>
        <w:t>ΚΛΙΝΙΚΕΣ ΠΛΗΡΟΦΟΡΙΕΣ</w:t>
      </w:r>
    </w:p>
    <w:p w:rsidR="00C1567C" w:rsidRPr="003B0D84" w:rsidRDefault="00C1567C" w:rsidP="009D672F">
      <w:pPr>
        <w:pStyle w:val="2"/>
        <w:spacing w:before="0" w:after="0"/>
        <w:rPr>
          <w:lang w:val="el-GR"/>
        </w:rPr>
      </w:pPr>
      <w:r w:rsidRPr="003B0D84">
        <w:rPr>
          <w:lang w:val="el-GR"/>
        </w:rPr>
        <w:t>Θεραπευτικές ενδείξεις</w:t>
      </w:r>
    </w:p>
    <w:p w:rsidR="00C1567C" w:rsidRDefault="00C1567C" w:rsidP="009D672F">
      <w:pPr>
        <w:pStyle w:val="Para0s"/>
        <w:spacing w:after="0"/>
      </w:pPr>
      <w:r w:rsidRPr="003B0D84">
        <w:rPr>
          <w:lang w:val="el-GR"/>
        </w:rPr>
        <w:t>Από του στόματος αντισύλληψη.</w:t>
      </w:r>
    </w:p>
    <w:p w:rsidR="003B5621" w:rsidRDefault="003B5621" w:rsidP="009D672F">
      <w:pPr>
        <w:pStyle w:val="Para0s"/>
        <w:spacing w:after="0"/>
        <w:rPr>
          <w:lang w:val="el-GR"/>
        </w:rPr>
      </w:pPr>
      <w:r>
        <w:rPr>
          <w:lang w:val="el-GR"/>
        </w:rPr>
        <w:t xml:space="preserve">Θεραπεία της βαριάς  εμμηνορρυσίας σε γυναίκες χωρίς οργανική παθολογία που </w:t>
      </w:r>
      <w:r w:rsidR="00CC2DA9">
        <w:rPr>
          <w:lang w:val="el-GR"/>
        </w:rPr>
        <w:t xml:space="preserve">επιθυμούν </w:t>
      </w:r>
      <w:r>
        <w:rPr>
          <w:lang w:val="el-GR"/>
        </w:rPr>
        <w:t>από του στόματος αντισύλληψη.</w:t>
      </w:r>
    </w:p>
    <w:p w:rsidR="009D672F" w:rsidRPr="00CC2DA9" w:rsidRDefault="009D672F" w:rsidP="009D672F">
      <w:pPr>
        <w:pStyle w:val="Para0s"/>
        <w:spacing w:after="0"/>
        <w:rPr>
          <w:lang w:val="el-GR"/>
        </w:rPr>
      </w:pPr>
    </w:p>
    <w:p w:rsidR="00C1567C" w:rsidRPr="003B0D84" w:rsidRDefault="00C1567C" w:rsidP="009D672F">
      <w:pPr>
        <w:pStyle w:val="2"/>
        <w:spacing w:before="0" w:after="0"/>
        <w:rPr>
          <w:lang w:val="el-GR"/>
        </w:rPr>
      </w:pPr>
      <w:bookmarkStart w:id="0" w:name="_Ref177184305"/>
      <w:r w:rsidRPr="003B0D84">
        <w:rPr>
          <w:lang w:val="el-GR"/>
        </w:rPr>
        <w:t>Δοσολογία και τρόπος χορήγησης</w:t>
      </w:r>
    </w:p>
    <w:bookmarkEnd w:id="0"/>
    <w:p w:rsidR="00C1567C" w:rsidRPr="003B0D84" w:rsidRDefault="00FA6460" w:rsidP="009D672F">
      <w:pPr>
        <w:spacing w:after="0"/>
        <w:rPr>
          <w:rFonts w:ascii="Times New Roman" w:hAnsi="Times New Roman"/>
          <w:b/>
          <w:bCs/>
          <w:sz w:val="24"/>
          <w:szCs w:val="24"/>
          <w:lang w:val="el-GR"/>
        </w:rPr>
      </w:pPr>
      <w:r w:rsidRPr="003B0D84">
        <w:rPr>
          <w:rFonts w:ascii="Times New Roman" w:hAnsi="Times New Roman"/>
          <w:b/>
          <w:bCs/>
          <w:sz w:val="24"/>
          <w:szCs w:val="24"/>
          <w:lang w:val="el-GR"/>
        </w:rPr>
        <w:t>Πώς να λαμβάνετε</w:t>
      </w:r>
      <w:r w:rsidR="00C1567C" w:rsidRPr="003B0D84">
        <w:rPr>
          <w:rFonts w:ascii="Times New Roman" w:hAnsi="Times New Roman"/>
          <w:b/>
          <w:bCs/>
          <w:sz w:val="24"/>
          <w:szCs w:val="24"/>
          <w:lang w:val="el-GR"/>
        </w:rPr>
        <w:t xml:space="preserve"> το Qlaira</w:t>
      </w:r>
    </w:p>
    <w:p w:rsidR="00C1567C" w:rsidRPr="003B0D84" w:rsidRDefault="00C1567C" w:rsidP="009D672F">
      <w:pPr>
        <w:pStyle w:val="aa"/>
        <w:rPr>
          <w:rFonts w:ascii="Times New Roman" w:hAnsi="Times New Roman" w:cs="Times New Roman"/>
          <w:sz w:val="24"/>
          <w:szCs w:val="24"/>
          <w:lang w:val="el-GR"/>
        </w:rPr>
      </w:pPr>
      <w:r w:rsidRPr="003B0D84">
        <w:rPr>
          <w:rFonts w:ascii="Times New Roman" w:hAnsi="Times New Roman" w:cs="Times New Roman"/>
          <w:sz w:val="24"/>
          <w:szCs w:val="24"/>
          <w:lang w:val="el-GR"/>
        </w:rPr>
        <w:t xml:space="preserve">Τα δισκία πρέπει να λαμβάνονται με τη σειρά που αναγράφεται στη συσκευασία, περίπου την ίδια ώρα κάθε μέρα, με λίγο υγρό εάν είναι απαραίτητο. Η λήψη των δισκίων είναι συνεχής. Πρέπει να λαμβάνεται ένα δισκίο κάθε μέρα για 28 συνεχόμενες ημέρες. Κάθε επόμενη συσκευασία ξεκινά την ημέρα μετά το τελευταίο δισκίο της προηγούμενης </w:t>
      </w:r>
      <w:r w:rsidR="002045EF" w:rsidRPr="003B0D84">
        <w:rPr>
          <w:rFonts w:ascii="Times New Roman" w:hAnsi="Times New Roman" w:cs="Times New Roman"/>
          <w:sz w:val="24"/>
          <w:szCs w:val="24"/>
          <w:lang w:val="el-GR"/>
        </w:rPr>
        <w:t>συσκευασία</w:t>
      </w:r>
      <w:r w:rsidRPr="003B0D84">
        <w:rPr>
          <w:rFonts w:ascii="Times New Roman" w:hAnsi="Times New Roman" w:cs="Times New Roman"/>
          <w:sz w:val="24"/>
          <w:szCs w:val="24"/>
          <w:lang w:val="el-GR"/>
        </w:rPr>
        <w:t xml:space="preserve">ς. Η αιμορραγία εκ διακοπής συνήθως ξεκινά κατά τη διάρκεια της λήψης των τελευταίων δισκίων μιας </w:t>
      </w:r>
      <w:r w:rsidR="002045EF" w:rsidRPr="003B0D84">
        <w:rPr>
          <w:rFonts w:ascii="Times New Roman" w:hAnsi="Times New Roman" w:cs="Times New Roman"/>
          <w:sz w:val="24"/>
          <w:szCs w:val="24"/>
          <w:lang w:val="el-GR"/>
        </w:rPr>
        <w:t>συσκευασία</w:t>
      </w:r>
      <w:r w:rsidRPr="003B0D84">
        <w:rPr>
          <w:rFonts w:ascii="Times New Roman" w:hAnsi="Times New Roman" w:cs="Times New Roman"/>
          <w:sz w:val="24"/>
          <w:szCs w:val="24"/>
          <w:lang w:val="el-GR"/>
        </w:rPr>
        <w:t xml:space="preserve">ς και μπορεί να μην έχει σταματήσει πριν την έναρξη της επόμενης </w:t>
      </w:r>
      <w:r w:rsidR="002045EF" w:rsidRPr="003B0D84">
        <w:rPr>
          <w:rFonts w:ascii="Times New Roman" w:hAnsi="Times New Roman" w:cs="Times New Roman"/>
          <w:sz w:val="24"/>
          <w:szCs w:val="24"/>
          <w:lang w:val="el-GR"/>
        </w:rPr>
        <w:t>συσκευασία</w:t>
      </w:r>
      <w:r w:rsidRPr="003B0D84">
        <w:rPr>
          <w:rFonts w:ascii="Times New Roman" w:hAnsi="Times New Roman" w:cs="Times New Roman"/>
          <w:sz w:val="24"/>
          <w:szCs w:val="24"/>
          <w:lang w:val="el-GR"/>
        </w:rPr>
        <w:t xml:space="preserve">ς. Σε ορισμένες γυναίκες, η αιμορραγία ξεκινά μετά τη λήψη των πρώτων δισκίων της νέας </w:t>
      </w:r>
      <w:r w:rsidR="002045EF" w:rsidRPr="003B0D84">
        <w:rPr>
          <w:rFonts w:ascii="Times New Roman" w:hAnsi="Times New Roman" w:cs="Times New Roman"/>
          <w:sz w:val="24"/>
          <w:szCs w:val="24"/>
          <w:lang w:val="el-GR"/>
        </w:rPr>
        <w:t>συσκευασία</w:t>
      </w:r>
      <w:r w:rsidRPr="003B0D84">
        <w:rPr>
          <w:rFonts w:ascii="Times New Roman" w:hAnsi="Times New Roman" w:cs="Times New Roman"/>
          <w:sz w:val="24"/>
          <w:szCs w:val="24"/>
          <w:lang w:val="el-GR"/>
        </w:rPr>
        <w:t>ς.</w:t>
      </w:r>
    </w:p>
    <w:p w:rsidR="00C1567C" w:rsidRPr="003B0D84" w:rsidRDefault="00C1567C" w:rsidP="009D672F">
      <w:pPr>
        <w:pStyle w:val="aa"/>
        <w:rPr>
          <w:rFonts w:ascii="Times New Roman" w:hAnsi="Times New Roman" w:cs="Times New Roman"/>
          <w:sz w:val="24"/>
          <w:szCs w:val="24"/>
          <w:lang w:val="el-GR"/>
        </w:rPr>
      </w:pPr>
    </w:p>
    <w:p w:rsidR="00C1567C" w:rsidRPr="003B0D84" w:rsidRDefault="00C1567C" w:rsidP="009D672F">
      <w:pPr>
        <w:spacing w:after="0"/>
        <w:rPr>
          <w:rFonts w:ascii="Times New Roman" w:hAnsi="Times New Roman"/>
          <w:b/>
          <w:bCs/>
          <w:sz w:val="24"/>
          <w:szCs w:val="24"/>
          <w:lang w:val="el-GR"/>
        </w:rPr>
      </w:pPr>
      <w:r w:rsidRPr="003B0D84">
        <w:rPr>
          <w:rFonts w:ascii="Times New Roman" w:hAnsi="Times New Roman"/>
          <w:b/>
          <w:bCs/>
          <w:sz w:val="24"/>
          <w:szCs w:val="24"/>
          <w:lang w:val="el-GR"/>
        </w:rPr>
        <w:t>Πώς γίνεται η έναρξη λήψης του Qlaira</w:t>
      </w:r>
    </w:p>
    <w:p w:rsidR="00C1567C" w:rsidRPr="003B0D84" w:rsidRDefault="00C1567C" w:rsidP="009D672F">
      <w:pPr>
        <w:pStyle w:val="Bullet0dKT"/>
        <w:spacing w:before="0" w:after="0"/>
        <w:rPr>
          <w:lang w:val="el-GR"/>
        </w:rPr>
      </w:pPr>
      <w:r w:rsidRPr="003B0D84">
        <w:rPr>
          <w:lang w:val="el-GR"/>
        </w:rPr>
        <w:t>Όταν δεν έχει προηγηθεί χρήση ορμονικής αντισύλληψης (κατά τον προηγούμενο μήνα)</w:t>
      </w:r>
    </w:p>
    <w:p w:rsidR="00C1567C" w:rsidRPr="003B0D84" w:rsidRDefault="00C1567C" w:rsidP="009D672F">
      <w:pPr>
        <w:pStyle w:val="Para0s"/>
        <w:spacing w:after="0"/>
        <w:rPr>
          <w:lang w:val="el-GR"/>
        </w:rPr>
      </w:pPr>
      <w:r w:rsidRPr="003B0D84">
        <w:rPr>
          <w:lang w:val="el-GR"/>
        </w:rPr>
        <w:t>Η λήψη των δισκίων πρέπει να αρχίσει την 1</w:t>
      </w:r>
      <w:r w:rsidRPr="003B0D84">
        <w:rPr>
          <w:vertAlign w:val="superscript"/>
          <w:lang w:val="el-GR"/>
        </w:rPr>
        <w:t xml:space="preserve">η </w:t>
      </w:r>
      <w:r w:rsidRPr="003B0D84">
        <w:rPr>
          <w:lang w:val="el-GR"/>
        </w:rPr>
        <w:t xml:space="preserve">ημέρα του φυσιολογικού κύκλου της γυναίκας (δηλ. την πρώτη ημέρα της </w:t>
      </w:r>
      <w:r w:rsidR="001D3D6C" w:rsidRPr="003B0D84">
        <w:rPr>
          <w:lang w:val="el-GR"/>
        </w:rPr>
        <w:t xml:space="preserve">έμμηνης ρύσης </w:t>
      </w:r>
      <w:r w:rsidRPr="003B0D84">
        <w:rPr>
          <w:lang w:val="el-GR"/>
        </w:rPr>
        <w:t>της).</w:t>
      </w:r>
    </w:p>
    <w:p w:rsidR="00C1567C" w:rsidRPr="003B0D84" w:rsidRDefault="00C1567C" w:rsidP="009D672F">
      <w:pPr>
        <w:pStyle w:val="Bullet0dKT"/>
        <w:spacing w:before="0" w:after="0"/>
        <w:ind w:left="357" w:hanging="357"/>
        <w:rPr>
          <w:lang w:val="el-GR"/>
        </w:rPr>
      </w:pPr>
      <w:r w:rsidRPr="003B0D84">
        <w:rPr>
          <w:lang w:val="el-GR"/>
        </w:rPr>
        <w:lastRenderedPageBreak/>
        <w:t xml:space="preserve">Αλλάζοντας από άλλο συνδυασμένο ορμονικό αντισυλληπτικό (συνδυασμένο από </w:t>
      </w:r>
      <w:r w:rsidR="00DF4259" w:rsidRPr="003B0D84">
        <w:rPr>
          <w:lang w:val="el-GR"/>
        </w:rPr>
        <w:t>του στόματος αντισυλληπτικό</w:t>
      </w:r>
      <w:r w:rsidR="007A67FB" w:rsidRPr="004610CB">
        <w:rPr>
          <w:lang w:val="el-GR"/>
        </w:rPr>
        <w:t>/</w:t>
      </w:r>
      <w:r w:rsidR="007A67FB">
        <w:t>COC</w:t>
      </w:r>
      <w:r w:rsidRPr="003B0D84">
        <w:rPr>
          <w:lang w:val="el-GR"/>
        </w:rPr>
        <w:t>), κολπικό δακτύλιο ή διαδερμικό έμπλαστρο</w:t>
      </w:r>
    </w:p>
    <w:p w:rsidR="00C1567C" w:rsidRPr="004610CB" w:rsidRDefault="00C1567C" w:rsidP="009D672F">
      <w:pPr>
        <w:numPr>
          <w:ilvl w:val="12"/>
          <w:numId w:val="0"/>
        </w:numPr>
        <w:spacing w:after="0"/>
        <w:rPr>
          <w:rFonts w:ascii="Times New Roman" w:hAnsi="Times New Roman"/>
          <w:b/>
          <w:bCs/>
          <w:i/>
          <w:iCs/>
          <w:sz w:val="24"/>
          <w:szCs w:val="24"/>
        </w:rPr>
      </w:pPr>
      <w:r w:rsidRPr="003B0D84">
        <w:rPr>
          <w:rFonts w:ascii="Times New Roman" w:hAnsi="Times New Roman"/>
          <w:sz w:val="24"/>
          <w:szCs w:val="24"/>
          <w:lang w:val="el-GR"/>
        </w:rPr>
        <w:t xml:space="preserve">Η γυναίκα πρέπει να ξεκινήσει το Qlaira την ημέρα μετά το τελευταίο δραστικό δισκίο (το τελευταίο δισκίο που περιέχει τις δραστικές ουσίες) του προηγούμενου </w:t>
      </w:r>
      <w:r w:rsidR="00DF4259" w:rsidRPr="003B0D84">
        <w:rPr>
          <w:rFonts w:ascii="Times New Roman" w:hAnsi="Times New Roman"/>
          <w:sz w:val="24"/>
          <w:szCs w:val="24"/>
          <w:lang w:val="el-GR"/>
        </w:rPr>
        <w:t>συνδυασμένου από του στόματος αντισυλληπτικ</w:t>
      </w:r>
      <w:r w:rsidR="00DF4259" w:rsidRPr="003B0D84">
        <w:rPr>
          <w:rFonts w:ascii="Times New Roman" w:hAnsi="Times New Roman"/>
          <w:sz w:val="24"/>
          <w:szCs w:val="24"/>
        </w:rPr>
        <w:t>o</w:t>
      </w:r>
      <w:r w:rsidR="00DF4259" w:rsidRPr="003B0D84">
        <w:rPr>
          <w:rFonts w:ascii="Times New Roman" w:hAnsi="Times New Roman"/>
          <w:sz w:val="24"/>
          <w:szCs w:val="24"/>
          <w:lang w:val="el-GR"/>
        </w:rPr>
        <w:t>ύ</w:t>
      </w:r>
      <w:r w:rsidRPr="003B0D84">
        <w:rPr>
          <w:rFonts w:ascii="Times New Roman" w:hAnsi="Times New Roman"/>
          <w:sz w:val="24"/>
          <w:szCs w:val="24"/>
          <w:lang w:val="el-GR"/>
        </w:rPr>
        <w:t>. Στ</w:t>
      </w:r>
      <w:r w:rsidR="00FA6460" w:rsidRPr="003B0D84">
        <w:rPr>
          <w:rFonts w:ascii="Times New Roman" w:hAnsi="Times New Roman"/>
          <w:sz w:val="24"/>
          <w:szCs w:val="24"/>
          <w:lang w:val="el-GR"/>
        </w:rPr>
        <w:t>ην περίπτωση που κολπικός δακτύλιος ή διαδερμικό έμπλαστρο έχει χρησιμοποιηθεί</w:t>
      </w:r>
      <w:r w:rsidRPr="003B0D84">
        <w:rPr>
          <w:rFonts w:ascii="Times New Roman" w:hAnsi="Times New Roman"/>
          <w:sz w:val="24"/>
          <w:szCs w:val="24"/>
          <w:lang w:val="el-GR"/>
        </w:rPr>
        <w:t>, η γυναίκα πρέπει να ξεκινήσει να χρησιμοποιεί το Qlaira την ημέρα της αφαίρεσής τους.</w:t>
      </w:r>
    </w:p>
    <w:p w:rsidR="00C1567C" w:rsidRPr="003B0D84" w:rsidRDefault="00C1567C" w:rsidP="009D672F">
      <w:pPr>
        <w:pStyle w:val="Bullet0dKT"/>
        <w:spacing w:before="0" w:after="0"/>
        <w:ind w:left="357" w:hanging="357"/>
        <w:rPr>
          <w:lang w:val="el-GR"/>
        </w:rPr>
      </w:pPr>
      <w:r w:rsidRPr="003B0D84">
        <w:rPr>
          <w:lang w:val="el-GR"/>
        </w:rPr>
        <w:t>Αλλάζοντας από μια μέθοδο που</w:t>
      </w:r>
      <w:r w:rsidR="00FA6460" w:rsidRPr="003B0D84">
        <w:rPr>
          <w:lang w:val="el-GR"/>
        </w:rPr>
        <w:t xml:space="preserve"> περιέχει μόνο προγεσταγόνο</w:t>
      </w:r>
      <w:r w:rsidR="00DF4259" w:rsidRPr="003B0D84">
        <w:rPr>
          <w:lang w:val="el-GR"/>
        </w:rPr>
        <w:t xml:space="preserve"> </w:t>
      </w:r>
      <w:r w:rsidRPr="003B0D84">
        <w:rPr>
          <w:lang w:val="el-GR"/>
        </w:rPr>
        <w:t>(</w:t>
      </w:r>
      <w:r w:rsidR="00F703CB" w:rsidRPr="003B0D84">
        <w:rPr>
          <w:lang w:val="el-GR"/>
        </w:rPr>
        <w:t xml:space="preserve">δισκίο </w:t>
      </w:r>
      <w:r w:rsidR="00DF4259" w:rsidRPr="003B0D84">
        <w:rPr>
          <w:lang w:val="el-GR"/>
        </w:rPr>
        <w:t xml:space="preserve"> προγεσταγόνο</w:t>
      </w:r>
      <w:r w:rsidR="007A67FB">
        <w:rPr>
          <w:lang w:val="el-GR"/>
        </w:rPr>
        <w:t>υ</w:t>
      </w:r>
      <w:r w:rsidRPr="003B0D84">
        <w:rPr>
          <w:lang w:val="el-GR"/>
        </w:rPr>
        <w:t>, ενέσιμο, εμφύτευμα) ή από ένα ενδομήτριο εξάρτημα απελευθέρωσης προγεσταγόνου (IUS)</w:t>
      </w:r>
      <w:r w:rsidRPr="003B0D84">
        <w:rPr>
          <w:vertAlign w:val="superscript"/>
          <w:lang w:val="el-GR"/>
        </w:rPr>
        <w:t xml:space="preserve"> </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Η γυναίκα μπορεί να </w:t>
      </w:r>
      <w:r w:rsidR="00A54CA5" w:rsidRPr="003B0D84">
        <w:rPr>
          <w:rFonts w:ascii="Times New Roman" w:hAnsi="Times New Roman"/>
          <w:sz w:val="24"/>
          <w:szCs w:val="24"/>
          <w:lang w:val="el-GR"/>
        </w:rPr>
        <w:t xml:space="preserve">αλλάξει </w:t>
      </w:r>
      <w:r w:rsidRPr="003B0D84">
        <w:rPr>
          <w:rFonts w:ascii="Times New Roman" w:hAnsi="Times New Roman"/>
          <w:sz w:val="24"/>
          <w:szCs w:val="24"/>
          <w:lang w:val="el-GR"/>
        </w:rPr>
        <w:t xml:space="preserve"> οποιαδήποτε ημέρα από το </w:t>
      </w:r>
      <w:r w:rsidR="00F703CB" w:rsidRPr="003B0D84">
        <w:rPr>
          <w:rFonts w:ascii="Times New Roman" w:hAnsi="Times New Roman"/>
          <w:sz w:val="24"/>
          <w:szCs w:val="24"/>
          <w:lang w:val="el-GR"/>
        </w:rPr>
        <w:t>δισκίο που περιέχει μόνο προγεστ</w:t>
      </w:r>
      <w:r w:rsidR="00DF4259" w:rsidRPr="003B0D84">
        <w:rPr>
          <w:rFonts w:ascii="Times New Roman" w:hAnsi="Times New Roman"/>
          <w:sz w:val="24"/>
          <w:szCs w:val="24"/>
          <w:lang w:val="el-GR"/>
        </w:rPr>
        <w:t>αγόνο</w:t>
      </w:r>
      <w:r w:rsidR="00125255" w:rsidRPr="003B0D84">
        <w:rPr>
          <w:rFonts w:ascii="Times New Roman" w:hAnsi="Times New Roman"/>
          <w:sz w:val="24"/>
          <w:szCs w:val="24"/>
          <w:lang w:val="el-GR"/>
        </w:rPr>
        <w:t>,</w:t>
      </w:r>
      <w:r w:rsidRPr="003B0D84">
        <w:rPr>
          <w:rFonts w:ascii="Times New Roman" w:hAnsi="Times New Roman"/>
          <w:sz w:val="24"/>
          <w:szCs w:val="24"/>
          <w:lang w:val="el-GR"/>
        </w:rPr>
        <w:t xml:space="preserve"> (από ένα εμφύτευμα ή το ενδομήτριο εξάρτημα την ημέρα της αφαίρεσής του, από ένα ενέσιμο όταν έχει προγραμματιστεί η επόμενη ένεση), αλλά σε όλες αυτές τις περιπτώσεις θα πρέπει να της δίνεται η συμβουλή να χρησιμοποιεί επιπλέον μέθοδο φραγμού κατά τις πρώτες </w:t>
      </w:r>
      <w:r w:rsidRPr="003B0D84">
        <w:rPr>
          <w:rFonts w:ascii="Times New Roman" w:hAnsi="Times New Roman"/>
          <w:b/>
          <w:bCs/>
          <w:sz w:val="24"/>
          <w:szCs w:val="24"/>
          <w:lang w:val="el-GR"/>
        </w:rPr>
        <w:t>9 ημέρες</w:t>
      </w:r>
      <w:r w:rsidRPr="003B0D84">
        <w:rPr>
          <w:rFonts w:ascii="Times New Roman" w:hAnsi="Times New Roman"/>
          <w:sz w:val="24"/>
          <w:szCs w:val="24"/>
          <w:lang w:val="el-GR"/>
        </w:rPr>
        <w:t xml:space="preserve"> λήψης των δισκίων.</w:t>
      </w:r>
    </w:p>
    <w:p w:rsidR="00C1567C" w:rsidRPr="003B0D84" w:rsidRDefault="00084CD2" w:rsidP="009D672F">
      <w:pPr>
        <w:pStyle w:val="Bullet0dKT"/>
        <w:spacing w:before="0" w:after="0"/>
        <w:ind w:left="357" w:hanging="357"/>
        <w:rPr>
          <w:lang w:val="el-GR"/>
        </w:rPr>
      </w:pPr>
      <w:r>
        <w:rPr>
          <w:lang w:val="el-GR"/>
        </w:rPr>
        <w:t>Μετά από έκτρωση πρώτου</w:t>
      </w:r>
      <w:r w:rsidR="00C1567C" w:rsidRPr="003B0D84">
        <w:rPr>
          <w:lang w:val="el-GR"/>
        </w:rPr>
        <w:t xml:space="preserve"> τριμήνου</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Η γυναίκα μπορεί να ξεκινήσει αμέσως. Στην περίπτωση αυτή, δεν χρειάζεται να λάβει επιπλέον αντισυλληπτικά μέτρα.</w:t>
      </w:r>
    </w:p>
    <w:p w:rsidR="00C1567C" w:rsidRPr="003B0D84" w:rsidRDefault="00C1567C" w:rsidP="009D672F">
      <w:pPr>
        <w:pStyle w:val="Bullet0dKT"/>
        <w:spacing w:before="0" w:after="0"/>
        <w:ind w:left="357" w:hanging="357"/>
        <w:rPr>
          <w:lang w:val="el-GR"/>
        </w:rPr>
      </w:pPr>
      <w:r w:rsidRPr="003B0D84">
        <w:rPr>
          <w:lang w:val="el-GR"/>
        </w:rPr>
        <w:t>Μετά από τοκετό ή έκτρωση δευτέρου τριμήνου</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Για τ</w:t>
      </w:r>
      <w:r w:rsidR="00FF5472" w:rsidRPr="003B0D84">
        <w:rPr>
          <w:rFonts w:ascii="Times New Roman" w:hAnsi="Times New Roman"/>
          <w:sz w:val="24"/>
          <w:szCs w:val="24"/>
          <w:lang w:val="el-GR"/>
        </w:rPr>
        <w:t>ις γαλουχούσες γυναίκες, βλ. π</w:t>
      </w:r>
      <w:r w:rsidRPr="003B0D84">
        <w:rPr>
          <w:rFonts w:ascii="Times New Roman" w:hAnsi="Times New Roman"/>
          <w:sz w:val="24"/>
          <w:szCs w:val="24"/>
          <w:lang w:val="el-GR"/>
        </w:rPr>
        <w:t>αράγραφο </w:t>
      </w:r>
      <w:fldSimple w:instr=" REF _Ref185061296 \r \h  \* MERGEFORMAT ">
        <w:r w:rsidR="00203BDC">
          <w:rPr>
            <w:rFonts w:ascii="Times New Roman" w:hAnsi="Times New Roman"/>
            <w:sz w:val="24"/>
            <w:szCs w:val="24"/>
            <w:lang w:val="el-GR"/>
          </w:rPr>
          <w:t>4.6</w:t>
        </w:r>
      </w:fldSimple>
      <w:r w:rsidRPr="003B0D84">
        <w:rPr>
          <w:rFonts w:ascii="Times New Roman" w:hAnsi="Times New Roman"/>
          <w:sz w:val="24"/>
          <w:szCs w:val="24"/>
          <w:lang w:val="el-GR"/>
        </w:rPr>
        <w:t>.</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Οι γυναίκες πρέπει να συμβουλεύονται να αρχίζουν την 21</w:t>
      </w:r>
      <w:r w:rsidRPr="003B0D84">
        <w:rPr>
          <w:rFonts w:ascii="Times New Roman" w:hAnsi="Times New Roman"/>
          <w:sz w:val="24"/>
          <w:szCs w:val="24"/>
          <w:vertAlign w:val="superscript"/>
          <w:lang w:val="el-GR"/>
        </w:rPr>
        <w:t>η</w:t>
      </w:r>
      <w:r w:rsidRPr="003B0D84">
        <w:rPr>
          <w:rFonts w:ascii="Times New Roman" w:hAnsi="Times New Roman"/>
          <w:sz w:val="24"/>
          <w:szCs w:val="24"/>
          <w:lang w:val="el-GR"/>
        </w:rPr>
        <w:t xml:space="preserve"> έως 28</w:t>
      </w:r>
      <w:r w:rsidRPr="003B0D84">
        <w:rPr>
          <w:rFonts w:ascii="Times New Roman" w:hAnsi="Times New Roman"/>
          <w:sz w:val="24"/>
          <w:szCs w:val="24"/>
          <w:vertAlign w:val="superscript"/>
          <w:lang w:val="el-GR"/>
        </w:rPr>
        <w:t>η</w:t>
      </w:r>
      <w:r w:rsidRPr="003B0D84">
        <w:rPr>
          <w:rFonts w:ascii="Times New Roman" w:hAnsi="Times New Roman"/>
          <w:sz w:val="24"/>
          <w:szCs w:val="24"/>
          <w:lang w:val="el-GR"/>
        </w:rPr>
        <w:t xml:space="preserve"> ημέρα μετά τον τοκετό ή την έκτρωση δευτέρου τριμήνου. Εάν ξεκινήσει αργότερα, πρέπει να της δίνεται η συμβουλή να χρησιμοποιεί επιπλέον </w:t>
      </w:r>
      <w:r w:rsidR="00125255" w:rsidRPr="003B0D84">
        <w:rPr>
          <w:rFonts w:ascii="Times New Roman" w:hAnsi="Times New Roman"/>
          <w:sz w:val="24"/>
          <w:szCs w:val="24"/>
          <w:lang w:val="el-GR"/>
        </w:rPr>
        <w:t xml:space="preserve">μία </w:t>
      </w:r>
      <w:r w:rsidRPr="003B0D84">
        <w:rPr>
          <w:rFonts w:ascii="Times New Roman" w:hAnsi="Times New Roman"/>
          <w:sz w:val="24"/>
          <w:szCs w:val="24"/>
          <w:lang w:val="el-GR"/>
        </w:rPr>
        <w:t xml:space="preserve">μέθοδο φραγμού κατά τις πρώτες </w:t>
      </w:r>
      <w:r w:rsidRPr="003B0D84">
        <w:rPr>
          <w:rFonts w:ascii="Times New Roman" w:hAnsi="Times New Roman"/>
          <w:b/>
          <w:bCs/>
          <w:sz w:val="24"/>
          <w:szCs w:val="24"/>
          <w:lang w:val="el-GR"/>
        </w:rPr>
        <w:t>9 ημέρες</w:t>
      </w:r>
      <w:r w:rsidRPr="003B0D84">
        <w:rPr>
          <w:rFonts w:ascii="Times New Roman" w:hAnsi="Times New Roman"/>
          <w:b/>
          <w:bCs/>
          <w:i/>
          <w:iCs/>
          <w:sz w:val="24"/>
          <w:szCs w:val="24"/>
          <w:lang w:val="el-GR"/>
        </w:rPr>
        <w:t xml:space="preserve"> </w:t>
      </w:r>
      <w:r w:rsidRPr="003B0D84">
        <w:rPr>
          <w:rFonts w:ascii="Times New Roman" w:hAnsi="Times New Roman"/>
          <w:sz w:val="24"/>
          <w:szCs w:val="24"/>
          <w:lang w:val="el-GR"/>
        </w:rPr>
        <w:t>λήψης των δισκίων. Ωστόσο, σε περίπτωση που έχει προηγηθεί σεξουαλική επαφή, θα πρέπει να αποκλειστεί η εγκυμοσύνη πριν την έναρξη χρήσης συνδυασμένου από του στόματος αντισυλληπτικού ή η γυναίκα θα πρέπει να περιμένει την πρώτη της εμμηνορρυσία.</w:t>
      </w:r>
    </w:p>
    <w:p w:rsidR="00C1567C" w:rsidRPr="003B0D84" w:rsidRDefault="00C1567C" w:rsidP="009D672F">
      <w:pPr>
        <w:spacing w:after="0"/>
        <w:rPr>
          <w:rFonts w:ascii="Times New Roman" w:hAnsi="Times New Roman"/>
          <w:sz w:val="24"/>
          <w:szCs w:val="24"/>
          <w:lang w:val="el-GR"/>
        </w:rPr>
      </w:pPr>
    </w:p>
    <w:p w:rsidR="00C1567C" w:rsidRPr="003B0D84" w:rsidRDefault="00C1567C" w:rsidP="009D672F">
      <w:pPr>
        <w:spacing w:after="0"/>
        <w:rPr>
          <w:rFonts w:ascii="Times New Roman" w:hAnsi="Times New Roman"/>
          <w:b/>
          <w:bCs/>
          <w:sz w:val="24"/>
          <w:szCs w:val="24"/>
          <w:lang w:val="el-GR"/>
        </w:rPr>
      </w:pPr>
      <w:bookmarkStart w:id="1" w:name="Management"/>
      <w:r w:rsidRPr="003B0D84">
        <w:rPr>
          <w:rFonts w:ascii="Times New Roman" w:hAnsi="Times New Roman"/>
          <w:b/>
          <w:bCs/>
          <w:sz w:val="24"/>
          <w:szCs w:val="24"/>
          <w:lang w:val="el-GR"/>
        </w:rPr>
        <w:t>Αντιμετώπιση της παράλειψης δισκίων</w:t>
      </w:r>
    </w:p>
    <w:bookmarkEnd w:id="1"/>
    <w:p w:rsidR="00C1567C" w:rsidRPr="003B0D84" w:rsidRDefault="00C1567C" w:rsidP="009D672F">
      <w:pPr>
        <w:spacing w:after="0"/>
        <w:rPr>
          <w:rFonts w:ascii="Times New Roman" w:hAnsi="Times New Roman"/>
          <w:b/>
          <w:bCs/>
          <w:i/>
          <w:iCs/>
          <w:sz w:val="24"/>
          <w:szCs w:val="24"/>
          <w:lang w:val="el-GR"/>
        </w:rPr>
      </w:pPr>
      <w:r w:rsidRPr="003B0D84">
        <w:rPr>
          <w:rFonts w:ascii="Times New Roman" w:hAnsi="Times New Roman"/>
          <w:sz w:val="24"/>
          <w:szCs w:val="24"/>
          <w:lang w:val="el-GR"/>
        </w:rPr>
        <w:t>Τα αδρανή (λευκά) δισκία που παραλείφθηκαν μπορούν να αγνοηθούν. Ωστόσο, αυτά θα πρέπει να απορριφθούν ώστε να αποφευχθεί η ακούσια παράταση του διαστήματος μεταξύ της λήψης δραστικών δισκίων.</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Οι ακόλουθες συμβουλές αναφέρονται μόνο στην παράλειψη δραστικών δισκίων:</w:t>
      </w:r>
    </w:p>
    <w:p w:rsidR="00C1567C" w:rsidRPr="003B0D84" w:rsidRDefault="00C456FD" w:rsidP="009D672F">
      <w:pPr>
        <w:spacing w:after="0"/>
        <w:rPr>
          <w:rFonts w:ascii="Times New Roman" w:hAnsi="Times New Roman"/>
          <w:sz w:val="24"/>
          <w:szCs w:val="24"/>
          <w:lang w:val="el-GR"/>
        </w:rPr>
      </w:pPr>
      <w:r w:rsidRPr="003B0D84">
        <w:rPr>
          <w:rFonts w:ascii="Times New Roman" w:hAnsi="Times New Roman"/>
          <w:sz w:val="24"/>
          <w:szCs w:val="24"/>
          <w:lang w:val="el-GR"/>
        </w:rPr>
        <w:t>Εάν η γυναίκα καθυστερήσει</w:t>
      </w:r>
      <w:r w:rsidR="00C1567C" w:rsidRPr="003B0D84">
        <w:rPr>
          <w:rFonts w:ascii="Times New Roman" w:hAnsi="Times New Roman"/>
          <w:sz w:val="24"/>
          <w:szCs w:val="24"/>
          <w:lang w:val="el-GR"/>
        </w:rPr>
        <w:t xml:space="preserve"> </w:t>
      </w:r>
      <w:r w:rsidR="00C1567C" w:rsidRPr="003B0D84">
        <w:rPr>
          <w:rFonts w:ascii="Times New Roman" w:hAnsi="Times New Roman"/>
          <w:b/>
          <w:bCs/>
          <w:sz w:val="24"/>
          <w:szCs w:val="24"/>
          <w:lang w:val="el-GR"/>
        </w:rPr>
        <w:t>λιγότερο από 12 ώρες</w:t>
      </w:r>
      <w:r w:rsidR="00C1567C" w:rsidRPr="003B0D84">
        <w:rPr>
          <w:rFonts w:ascii="Times New Roman" w:hAnsi="Times New Roman"/>
          <w:sz w:val="24"/>
          <w:szCs w:val="24"/>
          <w:lang w:val="el-GR"/>
        </w:rPr>
        <w:t xml:space="preserve"> να πάρει κάποιο δισκίο, η αντισυλληπτική προστασία δεν μειώνεται. Η γυναίκα </w:t>
      </w:r>
      <w:r w:rsidR="00FA6460" w:rsidRPr="003B0D84">
        <w:rPr>
          <w:rFonts w:ascii="Times New Roman" w:hAnsi="Times New Roman"/>
          <w:sz w:val="24"/>
          <w:szCs w:val="24"/>
          <w:lang w:val="el-GR"/>
        </w:rPr>
        <w:t xml:space="preserve">θα </w:t>
      </w:r>
      <w:r w:rsidR="00C1567C" w:rsidRPr="003B0D84">
        <w:rPr>
          <w:rFonts w:ascii="Times New Roman" w:hAnsi="Times New Roman"/>
          <w:sz w:val="24"/>
          <w:szCs w:val="24"/>
          <w:lang w:val="el-GR"/>
        </w:rPr>
        <w:t>πρέπει να πάρει το δισκίο αμέσως μόλις το θυμηθεί και θα πρέπει να πάρει τα επόμενα δισκία τη συνηθισμένη ώρα.</w:t>
      </w:r>
    </w:p>
    <w:p w:rsidR="00C1567C" w:rsidRPr="003B0D84" w:rsidRDefault="00C456FD" w:rsidP="009D672F">
      <w:pPr>
        <w:spacing w:after="0"/>
        <w:rPr>
          <w:rFonts w:ascii="Times New Roman" w:hAnsi="Times New Roman"/>
          <w:sz w:val="24"/>
          <w:szCs w:val="24"/>
          <w:lang w:val="el-GR"/>
        </w:rPr>
      </w:pPr>
      <w:r w:rsidRPr="003B0D84">
        <w:rPr>
          <w:rFonts w:ascii="Times New Roman" w:hAnsi="Times New Roman"/>
          <w:sz w:val="24"/>
          <w:szCs w:val="24"/>
          <w:lang w:val="el-GR"/>
        </w:rPr>
        <w:t>Εάν καθυστερήσει</w:t>
      </w:r>
      <w:r w:rsidR="00C1567C" w:rsidRPr="003B0D84">
        <w:rPr>
          <w:rFonts w:ascii="Times New Roman" w:hAnsi="Times New Roman"/>
          <w:sz w:val="24"/>
          <w:szCs w:val="24"/>
          <w:lang w:val="el-GR"/>
        </w:rPr>
        <w:t xml:space="preserve"> </w:t>
      </w:r>
      <w:r w:rsidR="00C1567C" w:rsidRPr="003B0D84">
        <w:rPr>
          <w:rFonts w:ascii="Times New Roman" w:hAnsi="Times New Roman"/>
          <w:b/>
          <w:bCs/>
          <w:sz w:val="24"/>
          <w:szCs w:val="24"/>
          <w:lang w:val="el-GR"/>
        </w:rPr>
        <w:t>περισσότερο από 12 ώρες</w:t>
      </w:r>
      <w:r w:rsidR="00C1567C" w:rsidRPr="003B0D84">
        <w:rPr>
          <w:rFonts w:ascii="Times New Roman" w:hAnsi="Times New Roman"/>
          <w:sz w:val="24"/>
          <w:szCs w:val="24"/>
          <w:lang w:val="el-GR"/>
        </w:rPr>
        <w:t xml:space="preserve"> να πάρει κάποιο δισκίο, η αντισυλληπτική προστασία μπορεί να </w:t>
      </w:r>
      <w:r w:rsidRPr="003B0D84">
        <w:rPr>
          <w:rFonts w:ascii="Times New Roman" w:hAnsi="Times New Roman"/>
          <w:sz w:val="24"/>
          <w:szCs w:val="24"/>
          <w:lang w:val="el-GR"/>
        </w:rPr>
        <w:t>μειωθεί</w:t>
      </w:r>
      <w:r w:rsidR="00C1567C" w:rsidRPr="003B0D84">
        <w:rPr>
          <w:rFonts w:ascii="Times New Roman" w:hAnsi="Times New Roman"/>
          <w:sz w:val="24"/>
          <w:szCs w:val="24"/>
          <w:lang w:val="el-GR"/>
        </w:rPr>
        <w:t xml:space="preserve">. Η γυναίκα </w:t>
      </w:r>
      <w:r w:rsidR="00FA6460" w:rsidRPr="003B0D84">
        <w:rPr>
          <w:rFonts w:ascii="Times New Roman" w:hAnsi="Times New Roman"/>
          <w:sz w:val="24"/>
          <w:szCs w:val="24"/>
          <w:lang w:val="el-GR"/>
        </w:rPr>
        <w:t xml:space="preserve">θα </w:t>
      </w:r>
      <w:r w:rsidR="00C1567C" w:rsidRPr="003B0D84">
        <w:rPr>
          <w:rFonts w:ascii="Times New Roman" w:hAnsi="Times New Roman"/>
          <w:sz w:val="24"/>
          <w:szCs w:val="24"/>
          <w:lang w:val="el-GR"/>
        </w:rPr>
        <w:t xml:space="preserve">πρέπει να πάρει το τελευταίο δισκίο που παρέλειψε αμέσως μόλις το θυμηθεί, </w:t>
      </w:r>
      <w:r w:rsidR="00C1567C" w:rsidRPr="003B0D84">
        <w:rPr>
          <w:rFonts w:ascii="Times New Roman" w:hAnsi="Times New Roman"/>
          <w:b/>
          <w:bCs/>
          <w:sz w:val="24"/>
          <w:szCs w:val="24"/>
          <w:lang w:val="el-GR"/>
        </w:rPr>
        <w:t>ακόμα και αν αυτό σημαίνει την ταυτόχρονη λήψη δύο δισκίων</w:t>
      </w:r>
      <w:r w:rsidR="00C1567C" w:rsidRPr="003B0D84">
        <w:rPr>
          <w:rFonts w:ascii="Times New Roman" w:hAnsi="Times New Roman"/>
          <w:sz w:val="24"/>
          <w:szCs w:val="24"/>
          <w:lang w:val="el-GR"/>
        </w:rPr>
        <w:t>. Μετά συνεχίζει να λαμβάνει τα δισκία τη συνηθισμένη ώρα.</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Ανάλογα με την ημέρα του κύκλου κατά την οποία παραλείφθηκε το δισκίο (βλ. παρακάτω διάγραμμα για λεπτομέρειες), </w:t>
      </w:r>
      <w:r w:rsidRPr="003B0D84">
        <w:rPr>
          <w:rFonts w:ascii="Times New Roman" w:hAnsi="Times New Roman"/>
          <w:b/>
          <w:bCs/>
          <w:sz w:val="24"/>
          <w:szCs w:val="24"/>
          <w:lang w:val="el-GR"/>
        </w:rPr>
        <w:t xml:space="preserve">επιπλέον αντισυλληπτικά μέτρα </w:t>
      </w:r>
      <w:r w:rsidRPr="003B0D84">
        <w:rPr>
          <w:rFonts w:ascii="Times New Roman" w:hAnsi="Times New Roman"/>
          <w:sz w:val="24"/>
          <w:szCs w:val="24"/>
          <w:lang w:val="el-GR"/>
        </w:rPr>
        <w:t>(π.χ. μια μέθοδος φραγμού, όπως προφυλακτικό) πρέπει να χρησιμοποιούνται σύμφωνα με τις ακόλουθες οδηγίες:</w:t>
      </w:r>
    </w:p>
    <w:p w:rsidR="00C1567C" w:rsidRPr="003B0D84" w:rsidRDefault="00C1567C" w:rsidP="009D672F">
      <w:pPr>
        <w:spacing w:after="0"/>
        <w:rPr>
          <w:rFonts w:ascii="Times New Roman" w:hAnsi="Times New Roman"/>
          <w:sz w:val="24"/>
          <w:szCs w:val="24"/>
          <w:lang w:val="el-G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060"/>
        <w:gridCol w:w="1920"/>
        <w:gridCol w:w="6480"/>
      </w:tblGrid>
      <w:tr w:rsidR="00C1567C" w:rsidRPr="003B0D84" w:rsidTr="00FE51EE">
        <w:tc>
          <w:tcPr>
            <w:tcW w:w="1060" w:type="dxa"/>
            <w:tcBorders>
              <w:top w:val="single" w:sz="12" w:space="0" w:color="auto"/>
              <w:left w:val="single" w:sz="12" w:space="0" w:color="auto"/>
              <w:bottom w:val="double" w:sz="4" w:space="0" w:color="auto"/>
              <w:right w:val="single" w:sz="6" w:space="0" w:color="auto"/>
            </w:tcBorders>
          </w:tcPr>
          <w:p w:rsidR="00C1567C" w:rsidRPr="003B0D84" w:rsidRDefault="00C1567C" w:rsidP="009D672F">
            <w:pPr>
              <w:pStyle w:val="Para0s"/>
              <w:spacing w:after="0"/>
              <w:rPr>
                <w:b/>
                <w:bCs/>
                <w:lang w:val="el-GR"/>
              </w:rPr>
            </w:pPr>
            <w:r w:rsidRPr="003B0D84">
              <w:rPr>
                <w:lang w:val="el-GR"/>
              </w:rPr>
              <w:br w:type="page"/>
            </w:r>
            <w:r w:rsidRPr="003B0D84">
              <w:rPr>
                <w:b/>
                <w:bCs/>
                <w:lang w:val="el-GR"/>
              </w:rPr>
              <w:t>ΗΜΕΡΑ</w:t>
            </w:r>
          </w:p>
        </w:tc>
        <w:tc>
          <w:tcPr>
            <w:tcW w:w="1920" w:type="dxa"/>
            <w:tcBorders>
              <w:top w:val="single" w:sz="12" w:space="0" w:color="auto"/>
              <w:left w:val="single" w:sz="6" w:space="0" w:color="auto"/>
              <w:bottom w:val="double" w:sz="4" w:space="0" w:color="auto"/>
              <w:right w:val="single" w:sz="6" w:space="0" w:color="auto"/>
            </w:tcBorders>
          </w:tcPr>
          <w:p w:rsidR="00C1567C" w:rsidRPr="003B0D84" w:rsidRDefault="00C1567C" w:rsidP="009D672F">
            <w:pPr>
              <w:pStyle w:val="Para0s"/>
              <w:spacing w:after="0"/>
              <w:rPr>
                <w:b/>
                <w:bCs/>
                <w:lang w:val="el-GR"/>
              </w:rPr>
            </w:pPr>
            <w:r w:rsidRPr="003B0D84">
              <w:rPr>
                <w:b/>
                <w:bCs/>
                <w:lang w:val="el-GR"/>
              </w:rPr>
              <w:t xml:space="preserve">Χρώμα </w:t>
            </w:r>
            <w:r w:rsidRPr="003B0D84">
              <w:rPr>
                <w:b/>
                <w:bCs/>
                <w:lang w:val="el-GR"/>
              </w:rPr>
              <w:br/>
            </w:r>
            <w:r w:rsidRPr="003B0D84">
              <w:rPr>
                <w:lang w:val="el-GR"/>
              </w:rPr>
              <w:t xml:space="preserve">Περιεχόμενο </w:t>
            </w:r>
            <w:r w:rsidR="00D95EBC" w:rsidRPr="003B0D84">
              <w:rPr>
                <w:lang w:val="el-GR"/>
              </w:rPr>
              <w:t>estradiol valerate</w:t>
            </w:r>
            <w:r w:rsidRPr="003B0D84">
              <w:rPr>
                <w:lang w:val="el-GR"/>
              </w:rPr>
              <w:t xml:space="preserve"> (EV)/dienogest (DNG)</w:t>
            </w:r>
          </w:p>
        </w:tc>
        <w:tc>
          <w:tcPr>
            <w:tcW w:w="6480" w:type="dxa"/>
            <w:tcBorders>
              <w:top w:val="single" w:sz="12" w:space="0" w:color="auto"/>
              <w:left w:val="single" w:sz="6" w:space="0" w:color="auto"/>
              <w:bottom w:val="double" w:sz="4" w:space="0" w:color="auto"/>
              <w:right w:val="single" w:sz="12" w:space="0" w:color="auto"/>
            </w:tcBorders>
          </w:tcPr>
          <w:p w:rsidR="00C1567C" w:rsidRPr="003B0D84" w:rsidRDefault="00C1567C" w:rsidP="009D672F">
            <w:pPr>
              <w:pStyle w:val="Para0s"/>
              <w:spacing w:after="0"/>
              <w:rPr>
                <w:b/>
                <w:bCs/>
                <w:lang w:val="el-GR"/>
              </w:rPr>
            </w:pPr>
            <w:r w:rsidRPr="003B0D84">
              <w:rPr>
                <w:b/>
                <w:bCs/>
                <w:lang w:val="el-GR"/>
              </w:rPr>
              <w:t xml:space="preserve">Οδηγίες που πρέπει να ακολουθήσετε εάν παραλείψατε </w:t>
            </w:r>
            <w:r w:rsidRPr="003B0D84">
              <w:rPr>
                <w:b/>
                <w:bCs/>
                <w:i/>
                <w:iCs/>
                <w:u w:val="single"/>
                <w:lang w:val="el-GR"/>
              </w:rPr>
              <w:t>ένα</w:t>
            </w:r>
            <w:r w:rsidRPr="003B0D84">
              <w:rPr>
                <w:b/>
                <w:bCs/>
                <w:lang w:val="el-GR"/>
              </w:rPr>
              <w:t xml:space="preserve"> δισκίο για περισσότερες από 12 ώρες:</w:t>
            </w:r>
            <w:r w:rsidRPr="003B0D84">
              <w:rPr>
                <w:b/>
                <w:bCs/>
                <w:lang w:val="el-GR"/>
              </w:rPr>
              <w:br/>
            </w:r>
          </w:p>
        </w:tc>
      </w:tr>
      <w:tr w:rsidR="00C1567C" w:rsidRPr="003B0D84" w:rsidTr="00FE51EE">
        <w:trPr>
          <w:cantSplit/>
        </w:trPr>
        <w:tc>
          <w:tcPr>
            <w:tcW w:w="1060" w:type="dxa"/>
            <w:tcBorders>
              <w:top w:val="single" w:sz="6" w:space="0" w:color="auto"/>
              <w:left w:val="single" w:sz="12" w:space="0" w:color="auto"/>
              <w:bottom w:val="single" w:sz="6" w:space="0" w:color="auto"/>
              <w:right w:val="single" w:sz="6" w:space="0" w:color="auto"/>
            </w:tcBorders>
          </w:tcPr>
          <w:p w:rsidR="00C1567C" w:rsidRPr="003B0D84" w:rsidRDefault="00C1567C" w:rsidP="009D672F">
            <w:pPr>
              <w:pStyle w:val="Para0s"/>
              <w:spacing w:after="0"/>
              <w:rPr>
                <w:lang w:val="el-GR"/>
              </w:rPr>
            </w:pPr>
            <w:r w:rsidRPr="003B0D84">
              <w:rPr>
                <w:lang w:val="el-GR"/>
              </w:rPr>
              <w:lastRenderedPageBreak/>
              <w:t>1 – 2</w:t>
            </w:r>
          </w:p>
        </w:tc>
        <w:tc>
          <w:tcPr>
            <w:tcW w:w="1920" w:type="dxa"/>
            <w:tcBorders>
              <w:top w:val="single" w:sz="6" w:space="0" w:color="auto"/>
              <w:left w:val="single" w:sz="6" w:space="0" w:color="auto"/>
              <w:bottom w:val="single" w:sz="6" w:space="0" w:color="auto"/>
              <w:right w:val="single" w:sz="6" w:space="0" w:color="auto"/>
            </w:tcBorders>
          </w:tcPr>
          <w:p w:rsidR="00C1567C" w:rsidRPr="003B0D84" w:rsidRDefault="00C1567C" w:rsidP="009D672F">
            <w:pPr>
              <w:pStyle w:val="Para0s"/>
              <w:spacing w:after="0"/>
              <w:rPr>
                <w:lang w:val="el-GR"/>
              </w:rPr>
            </w:pPr>
            <w:r w:rsidRPr="003B0D84">
              <w:rPr>
                <w:b/>
                <w:bCs/>
                <w:lang w:val="el-GR"/>
              </w:rPr>
              <w:t>Δισκία σκούρου κίτρινου χρώματος</w:t>
            </w:r>
            <w:r w:rsidRPr="003B0D84">
              <w:rPr>
                <w:lang w:val="el-GR"/>
              </w:rPr>
              <w:t xml:space="preserve"> (3,0 mg EV)</w:t>
            </w:r>
            <w:r w:rsidRPr="003B0D84">
              <w:rPr>
                <w:lang w:val="el-GR"/>
              </w:rPr>
              <w:br/>
            </w:r>
          </w:p>
        </w:tc>
        <w:tc>
          <w:tcPr>
            <w:tcW w:w="6480" w:type="dxa"/>
            <w:vMerge w:val="restart"/>
            <w:tcBorders>
              <w:top w:val="single" w:sz="6" w:space="0" w:color="auto"/>
              <w:left w:val="single" w:sz="4" w:space="0" w:color="auto"/>
              <w:bottom w:val="single" w:sz="6" w:space="0" w:color="auto"/>
              <w:right w:val="single" w:sz="12" w:space="0" w:color="auto"/>
            </w:tcBorders>
          </w:tcPr>
          <w:p w:rsidR="00C1567C" w:rsidRPr="003B0D84" w:rsidRDefault="00C1567C" w:rsidP="009D672F">
            <w:pPr>
              <w:pStyle w:val="Para0s"/>
              <w:spacing w:after="0"/>
              <w:ind w:left="360"/>
              <w:rPr>
                <w:lang w:val="el-GR"/>
              </w:rPr>
            </w:pPr>
          </w:p>
          <w:p w:rsidR="00C1567C" w:rsidRPr="003B0D84" w:rsidRDefault="00C1567C" w:rsidP="009D672F">
            <w:pPr>
              <w:pStyle w:val="Para0s"/>
              <w:numPr>
                <w:ilvl w:val="0"/>
                <w:numId w:val="3"/>
              </w:numPr>
              <w:spacing w:after="0"/>
              <w:rPr>
                <w:lang w:val="el-GR"/>
              </w:rPr>
            </w:pPr>
            <w:r w:rsidRPr="003B0D84">
              <w:rPr>
                <w:lang w:val="el-GR"/>
              </w:rPr>
              <w:t>Πάρτε το δισκίο που παραλείψατε αμέσως και το επόμενο δισκίο τη συνηθισμένη ώρα (ακόμα και αν αυτό σημαίνει ότι θα πάρετε δύο δισκία την ίδια ημέρα)</w:t>
            </w:r>
          </w:p>
          <w:p w:rsidR="00C1567C" w:rsidRPr="003B0D84" w:rsidRDefault="00C1567C" w:rsidP="009D672F">
            <w:pPr>
              <w:pStyle w:val="Para0s"/>
              <w:numPr>
                <w:ilvl w:val="0"/>
                <w:numId w:val="3"/>
              </w:numPr>
              <w:spacing w:after="0"/>
              <w:rPr>
                <w:lang w:val="el-GR"/>
              </w:rPr>
            </w:pPr>
            <w:r w:rsidRPr="003B0D84">
              <w:rPr>
                <w:lang w:val="el-GR"/>
              </w:rPr>
              <w:t>Συνεχίστε να παίρνετε τα δισκία με τον κανονικό τρόπο</w:t>
            </w:r>
          </w:p>
          <w:p w:rsidR="00C1567C" w:rsidRPr="003B0D84" w:rsidRDefault="00C1567C" w:rsidP="009D672F">
            <w:pPr>
              <w:pStyle w:val="Para0s"/>
              <w:numPr>
                <w:ilvl w:val="0"/>
                <w:numId w:val="3"/>
              </w:numPr>
              <w:spacing w:after="0"/>
              <w:rPr>
                <w:lang w:val="el-GR"/>
              </w:rPr>
            </w:pPr>
            <w:r w:rsidRPr="003B0D84">
              <w:rPr>
                <w:lang w:val="el-GR"/>
              </w:rPr>
              <w:t xml:space="preserve">Χρησιμοποιήστε </w:t>
            </w:r>
            <w:r w:rsidR="00125255" w:rsidRPr="003B0D84">
              <w:rPr>
                <w:lang w:val="el-GR"/>
              </w:rPr>
              <w:t xml:space="preserve">επιπλέον </w:t>
            </w:r>
            <w:r w:rsidRPr="003B0D84">
              <w:rPr>
                <w:lang w:val="el-GR"/>
              </w:rPr>
              <w:t xml:space="preserve">αντισύλληψη </w:t>
            </w:r>
            <w:r w:rsidRPr="003B0D84">
              <w:rPr>
                <w:b/>
                <w:bCs/>
                <w:lang w:val="el-GR"/>
              </w:rPr>
              <w:t>για τις επόμενες 9 ημέρες</w:t>
            </w:r>
          </w:p>
        </w:tc>
      </w:tr>
      <w:tr w:rsidR="00C1567C" w:rsidRPr="003B0D84" w:rsidTr="00FE51EE">
        <w:trPr>
          <w:cantSplit/>
        </w:trPr>
        <w:tc>
          <w:tcPr>
            <w:tcW w:w="1060" w:type="dxa"/>
            <w:tcBorders>
              <w:top w:val="single" w:sz="6" w:space="0" w:color="auto"/>
              <w:left w:val="single" w:sz="12" w:space="0" w:color="auto"/>
              <w:bottom w:val="single" w:sz="6" w:space="0" w:color="auto"/>
              <w:right w:val="single" w:sz="6" w:space="0" w:color="auto"/>
            </w:tcBorders>
          </w:tcPr>
          <w:p w:rsidR="00C1567C" w:rsidRPr="003B0D84" w:rsidRDefault="00C1567C" w:rsidP="009D672F">
            <w:pPr>
              <w:pStyle w:val="Para0s"/>
              <w:spacing w:after="0"/>
              <w:rPr>
                <w:lang w:val="el-GR"/>
              </w:rPr>
            </w:pPr>
            <w:r w:rsidRPr="003B0D84">
              <w:rPr>
                <w:lang w:val="el-GR"/>
              </w:rPr>
              <w:t>3 - 7</w:t>
            </w:r>
          </w:p>
        </w:tc>
        <w:tc>
          <w:tcPr>
            <w:tcW w:w="1920" w:type="dxa"/>
            <w:tcBorders>
              <w:top w:val="single" w:sz="6" w:space="0" w:color="auto"/>
              <w:left w:val="single" w:sz="6" w:space="0" w:color="auto"/>
              <w:bottom w:val="nil"/>
              <w:right w:val="single" w:sz="4" w:space="0" w:color="auto"/>
            </w:tcBorders>
          </w:tcPr>
          <w:p w:rsidR="00C1567C" w:rsidRPr="003B0D84" w:rsidRDefault="00FA6460" w:rsidP="009D672F">
            <w:pPr>
              <w:pStyle w:val="Para0s"/>
              <w:spacing w:after="0"/>
              <w:rPr>
                <w:lang w:val="el-GR"/>
              </w:rPr>
            </w:pPr>
            <w:r w:rsidRPr="003B0D84">
              <w:rPr>
                <w:b/>
                <w:bCs/>
                <w:lang w:val="el-GR"/>
              </w:rPr>
              <w:t>Δισκία</w:t>
            </w:r>
            <w:r w:rsidR="00C1567C" w:rsidRPr="003B0D84">
              <w:rPr>
                <w:b/>
                <w:bCs/>
                <w:lang w:val="el-GR"/>
              </w:rPr>
              <w:t xml:space="preserve"> κόκκινου χρώματος</w:t>
            </w:r>
            <w:r w:rsidR="00C1567C" w:rsidRPr="003B0D84">
              <w:rPr>
                <w:lang w:val="el-GR"/>
              </w:rPr>
              <w:t xml:space="preserve"> (2,0 mg EV + 2,0 mg DNG)</w:t>
            </w:r>
          </w:p>
        </w:tc>
        <w:tc>
          <w:tcPr>
            <w:tcW w:w="6480" w:type="dxa"/>
            <w:vMerge/>
            <w:tcBorders>
              <w:top w:val="single" w:sz="6" w:space="0" w:color="auto"/>
              <w:left w:val="single" w:sz="4" w:space="0" w:color="auto"/>
              <w:bottom w:val="single" w:sz="6" w:space="0" w:color="auto"/>
              <w:right w:val="single" w:sz="12" w:space="0" w:color="auto"/>
            </w:tcBorders>
            <w:vAlign w:val="center"/>
          </w:tcPr>
          <w:p w:rsidR="00C1567C" w:rsidRPr="003B0D84" w:rsidRDefault="00C1567C" w:rsidP="009D672F">
            <w:pPr>
              <w:spacing w:after="0"/>
              <w:rPr>
                <w:rFonts w:ascii="Times New Roman" w:hAnsi="Times New Roman"/>
                <w:sz w:val="24"/>
                <w:szCs w:val="24"/>
                <w:lang w:val="el-GR"/>
              </w:rPr>
            </w:pPr>
          </w:p>
        </w:tc>
      </w:tr>
      <w:tr w:rsidR="00C1567C" w:rsidRPr="003B0D84" w:rsidTr="00FE51EE">
        <w:trPr>
          <w:cantSplit/>
        </w:trPr>
        <w:tc>
          <w:tcPr>
            <w:tcW w:w="1060" w:type="dxa"/>
            <w:tcBorders>
              <w:top w:val="nil"/>
              <w:left w:val="single" w:sz="12" w:space="0" w:color="auto"/>
              <w:bottom w:val="single" w:sz="6" w:space="0" w:color="auto"/>
              <w:right w:val="single" w:sz="6" w:space="0" w:color="auto"/>
            </w:tcBorders>
          </w:tcPr>
          <w:p w:rsidR="00C1567C" w:rsidRPr="003B0D84" w:rsidRDefault="00C1567C" w:rsidP="009D672F">
            <w:pPr>
              <w:pStyle w:val="Para0s"/>
              <w:spacing w:after="0"/>
              <w:rPr>
                <w:lang w:val="el-GR"/>
              </w:rPr>
            </w:pPr>
            <w:r w:rsidRPr="003B0D84">
              <w:rPr>
                <w:lang w:val="el-GR"/>
              </w:rPr>
              <w:t>8 – 17</w:t>
            </w:r>
          </w:p>
        </w:tc>
        <w:tc>
          <w:tcPr>
            <w:tcW w:w="1920" w:type="dxa"/>
            <w:tcBorders>
              <w:top w:val="single" w:sz="6" w:space="0" w:color="auto"/>
              <w:left w:val="single" w:sz="6" w:space="0" w:color="auto"/>
              <w:bottom w:val="single" w:sz="6" w:space="0" w:color="auto"/>
              <w:right w:val="single" w:sz="4" w:space="0" w:color="auto"/>
            </w:tcBorders>
          </w:tcPr>
          <w:p w:rsidR="00C1567C" w:rsidRPr="003B0D84" w:rsidRDefault="00C1567C" w:rsidP="009D672F">
            <w:pPr>
              <w:pStyle w:val="Para0s"/>
              <w:spacing w:after="0"/>
              <w:rPr>
                <w:lang w:val="el-GR"/>
              </w:rPr>
            </w:pPr>
            <w:r w:rsidRPr="003B0D84">
              <w:rPr>
                <w:b/>
                <w:bCs/>
                <w:lang w:val="el-GR"/>
              </w:rPr>
              <w:t>Δισκία ανοικτού κίτρινου χρώματος</w:t>
            </w:r>
            <w:r w:rsidRPr="003B0D84">
              <w:rPr>
                <w:lang w:val="el-GR"/>
              </w:rPr>
              <w:t xml:space="preserve"> (2,0 mg EV + 3,0 mg DNG)</w:t>
            </w:r>
          </w:p>
        </w:tc>
        <w:tc>
          <w:tcPr>
            <w:tcW w:w="6480" w:type="dxa"/>
            <w:vMerge/>
            <w:tcBorders>
              <w:top w:val="single" w:sz="6" w:space="0" w:color="auto"/>
              <w:left w:val="single" w:sz="4" w:space="0" w:color="auto"/>
              <w:bottom w:val="single" w:sz="6" w:space="0" w:color="auto"/>
              <w:right w:val="single" w:sz="12" w:space="0" w:color="auto"/>
            </w:tcBorders>
            <w:vAlign w:val="center"/>
          </w:tcPr>
          <w:p w:rsidR="00C1567C" w:rsidRPr="003B0D84" w:rsidRDefault="00C1567C" w:rsidP="009D672F">
            <w:pPr>
              <w:spacing w:after="0"/>
              <w:rPr>
                <w:rFonts w:ascii="Times New Roman" w:hAnsi="Times New Roman"/>
                <w:sz w:val="24"/>
                <w:szCs w:val="24"/>
                <w:lang w:val="el-GR"/>
              </w:rPr>
            </w:pPr>
          </w:p>
        </w:tc>
      </w:tr>
      <w:tr w:rsidR="00C1567C" w:rsidRPr="003B0D84" w:rsidTr="00FE51EE">
        <w:trPr>
          <w:cantSplit/>
        </w:trPr>
        <w:tc>
          <w:tcPr>
            <w:tcW w:w="1060" w:type="dxa"/>
            <w:tcBorders>
              <w:top w:val="single" w:sz="6" w:space="0" w:color="auto"/>
              <w:left w:val="single" w:sz="12" w:space="0" w:color="auto"/>
              <w:bottom w:val="nil"/>
              <w:right w:val="single" w:sz="6" w:space="0" w:color="auto"/>
            </w:tcBorders>
          </w:tcPr>
          <w:p w:rsidR="00C1567C" w:rsidRPr="003B0D84" w:rsidRDefault="00C1567C" w:rsidP="009D672F">
            <w:pPr>
              <w:pStyle w:val="Para0s"/>
              <w:spacing w:after="0"/>
              <w:rPr>
                <w:lang w:val="el-GR"/>
              </w:rPr>
            </w:pPr>
            <w:r w:rsidRPr="003B0D84">
              <w:rPr>
                <w:lang w:val="el-GR"/>
              </w:rPr>
              <w:t>18 – 24</w:t>
            </w:r>
          </w:p>
        </w:tc>
        <w:tc>
          <w:tcPr>
            <w:tcW w:w="1920" w:type="dxa"/>
            <w:tcBorders>
              <w:top w:val="nil"/>
              <w:left w:val="single" w:sz="6" w:space="0" w:color="auto"/>
              <w:bottom w:val="nil"/>
              <w:right w:val="single" w:sz="6" w:space="0" w:color="auto"/>
            </w:tcBorders>
          </w:tcPr>
          <w:p w:rsidR="00C1567C" w:rsidRPr="003B0D84" w:rsidRDefault="00C1567C" w:rsidP="009D672F">
            <w:pPr>
              <w:pStyle w:val="Para0s"/>
              <w:spacing w:after="0"/>
              <w:rPr>
                <w:lang w:val="el-GR"/>
              </w:rPr>
            </w:pPr>
            <w:r w:rsidRPr="003B0D84">
              <w:rPr>
                <w:b/>
                <w:bCs/>
                <w:lang w:val="el-GR"/>
              </w:rPr>
              <w:t>Δισκία ανοικτού κίτρινου χρώματος</w:t>
            </w:r>
            <w:r w:rsidRPr="003B0D84">
              <w:rPr>
                <w:lang w:val="el-GR"/>
              </w:rPr>
              <w:t xml:space="preserve"> </w:t>
            </w:r>
            <w:r w:rsidRPr="003B0D84">
              <w:rPr>
                <w:lang w:val="el-GR"/>
              </w:rPr>
              <w:br/>
              <w:t>(2,0 mg EV + 3,0 mg DNG)</w:t>
            </w:r>
          </w:p>
        </w:tc>
        <w:tc>
          <w:tcPr>
            <w:tcW w:w="6480" w:type="dxa"/>
            <w:tcBorders>
              <w:top w:val="single" w:sz="6" w:space="0" w:color="auto"/>
              <w:left w:val="single" w:sz="6" w:space="0" w:color="auto"/>
              <w:bottom w:val="nil"/>
              <w:right w:val="single" w:sz="12" w:space="0" w:color="auto"/>
            </w:tcBorders>
          </w:tcPr>
          <w:p w:rsidR="00C1567C" w:rsidRPr="003B0D84" w:rsidRDefault="00C1567C" w:rsidP="009D672F">
            <w:pPr>
              <w:pStyle w:val="Para0s"/>
              <w:numPr>
                <w:ilvl w:val="0"/>
                <w:numId w:val="3"/>
              </w:numPr>
              <w:spacing w:after="0"/>
              <w:rPr>
                <w:lang w:val="el-GR"/>
              </w:rPr>
            </w:pPr>
            <w:r w:rsidRPr="003B0D84">
              <w:rPr>
                <w:lang w:val="el-GR"/>
              </w:rPr>
              <w:t xml:space="preserve">Πετάξτε την τρέχουσα </w:t>
            </w:r>
            <w:r w:rsidR="002045EF" w:rsidRPr="003B0D84">
              <w:rPr>
                <w:lang w:val="el-GR"/>
              </w:rPr>
              <w:t>συσκευασία</w:t>
            </w:r>
            <w:r w:rsidRPr="003B0D84">
              <w:rPr>
                <w:lang w:val="el-GR"/>
              </w:rPr>
              <w:t xml:space="preserve"> και ξεκινήστε αμέσως με το πρώτο χάπι μιας νέας </w:t>
            </w:r>
            <w:r w:rsidR="002045EF" w:rsidRPr="003B0D84">
              <w:rPr>
                <w:lang w:val="el-GR"/>
              </w:rPr>
              <w:t>συσκευασία</w:t>
            </w:r>
            <w:r w:rsidRPr="003B0D84">
              <w:rPr>
                <w:lang w:val="el-GR"/>
              </w:rPr>
              <w:t>ς</w:t>
            </w:r>
          </w:p>
          <w:p w:rsidR="00C1567C" w:rsidRPr="003B0D84" w:rsidRDefault="00C1567C" w:rsidP="009D672F">
            <w:pPr>
              <w:pStyle w:val="Para0s"/>
              <w:numPr>
                <w:ilvl w:val="0"/>
                <w:numId w:val="3"/>
              </w:numPr>
              <w:spacing w:after="0"/>
              <w:rPr>
                <w:lang w:val="el-GR"/>
              </w:rPr>
            </w:pPr>
            <w:r w:rsidRPr="003B0D84">
              <w:rPr>
                <w:lang w:val="el-GR"/>
              </w:rPr>
              <w:t>Συνεχίστε να παίρνετε τα δισκία με τον κανονικό τρόπο</w:t>
            </w:r>
          </w:p>
          <w:p w:rsidR="00C1567C" w:rsidRPr="003B0D84" w:rsidRDefault="00C1567C" w:rsidP="009D672F">
            <w:pPr>
              <w:pStyle w:val="Para0s"/>
              <w:numPr>
                <w:ilvl w:val="0"/>
                <w:numId w:val="3"/>
              </w:numPr>
              <w:spacing w:after="0"/>
              <w:rPr>
                <w:lang w:val="el-GR"/>
              </w:rPr>
            </w:pPr>
            <w:r w:rsidRPr="003B0D84">
              <w:rPr>
                <w:lang w:val="el-GR"/>
              </w:rPr>
              <w:t xml:space="preserve">Χρησιμοποιήστε </w:t>
            </w:r>
            <w:r w:rsidR="00125255" w:rsidRPr="003B0D84">
              <w:rPr>
                <w:lang w:val="el-GR"/>
              </w:rPr>
              <w:t xml:space="preserve">επιπλέον </w:t>
            </w:r>
            <w:r w:rsidRPr="003B0D84">
              <w:rPr>
                <w:lang w:val="el-GR"/>
              </w:rPr>
              <w:t xml:space="preserve">αντισύλληψη </w:t>
            </w:r>
            <w:r w:rsidRPr="003B0D84">
              <w:rPr>
                <w:b/>
                <w:bCs/>
                <w:lang w:val="el-GR"/>
              </w:rPr>
              <w:t>για τις επόμενες 9 ημέρες</w:t>
            </w:r>
          </w:p>
        </w:tc>
      </w:tr>
      <w:tr w:rsidR="00C1567C" w:rsidRPr="003B0D84" w:rsidTr="00FE51EE">
        <w:trPr>
          <w:cantSplit/>
        </w:trPr>
        <w:tc>
          <w:tcPr>
            <w:tcW w:w="1060" w:type="dxa"/>
            <w:tcBorders>
              <w:top w:val="single" w:sz="12" w:space="0" w:color="auto"/>
              <w:left w:val="single" w:sz="12" w:space="0" w:color="auto"/>
              <w:bottom w:val="single" w:sz="12" w:space="0" w:color="auto"/>
              <w:right w:val="single" w:sz="6" w:space="0" w:color="auto"/>
            </w:tcBorders>
          </w:tcPr>
          <w:p w:rsidR="00C1567C" w:rsidRPr="003B0D84" w:rsidRDefault="00C1567C" w:rsidP="009D672F">
            <w:pPr>
              <w:pStyle w:val="Para0s"/>
              <w:spacing w:after="0"/>
              <w:rPr>
                <w:lang w:val="el-GR"/>
              </w:rPr>
            </w:pPr>
            <w:r w:rsidRPr="003B0D84">
              <w:rPr>
                <w:lang w:val="el-GR"/>
              </w:rPr>
              <w:t>25 – 26</w:t>
            </w:r>
          </w:p>
        </w:tc>
        <w:tc>
          <w:tcPr>
            <w:tcW w:w="1920" w:type="dxa"/>
            <w:tcBorders>
              <w:top w:val="single" w:sz="12" w:space="0" w:color="auto"/>
              <w:left w:val="single" w:sz="6" w:space="0" w:color="auto"/>
              <w:bottom w:val="single" w:sz="12" w:space="0" w:color="auto"/>
              <w:right w:val="single" w:sz="6" w:space="0" w:color="auto"/>
            </w:tcBorders>
          </w:tcPr>
          <w:p w:rsidR="00C1567C" w:rsidRPr="003B0D84" w:rsidRDefault="00C1567C" w:rsidP="009D672F">
            <w:pPr>
              <w:pStyle w:val="Para0s"/>
              <w:spacing w:after="0"/>
              <w:rPr>
                <w:lang w:val="el-GR"/>
              </w:rPr>
            </w:pPr>
            <w:r w:rsidRPr="003B0D84">
              <w:rPr>
                <w:b/>
                <w:bCs/>
                <w:lang w:val="el-GR"/>
              </w:rPr>
              <w:t>Δισκία σκούρου κόκκινου χρώματος</w:t>
            </w:r>
            <w:r w:rsidRPr="003B0D84">
              <w:rPr>
                <w:lang w:val="el-GR"/>
              </w:rPr>
              <w:t xml:space="preserve"> </w:t>
            </w:r>
            <w:r w:rsidRPr="003B0D84">
              <w:rPr>
                <w:lang w:val="el-GR"/>
              </w:rPr>
              <w:br/>
              <w:t>(1,0 mg EV)</w:t>
            </w:r>
          </w:p>
        </w:tc>
        <w:tc>
          <w:tcPr>
            <w:tcW w:w="6480" w:type="dxa"/>
            <w:tcBorders>
              <w:top w:val="single" w:sz="12" w:space="0" w:color="auto"/>
              <w:left w:val="single" w:sz="6" w:space="0" w:color="auto"/>
              <w:bottom w:val="single" w:sz="12" w:space="0" w:color="auto"/>
              <w:right w:val="single" w:sz="12" w:space="0" w:color="auto"/>
            </w:tcBorders>
          </w:tcPr>
          <w:p w:rsidR="00C1567C" w:rsidRPr="003B0D84" w:rsidRDefault="00C1567C" w:rsidP="009D672F">
            <w:pPr>
              <w:pStyle w:val="Para0s"/>
              <w:numPr>
                <w:ilvl w:val="0"/>
                <w:numId w:val="3"/>
              </w:numPr>
              <w:spacing w:after="0"/>
              <w:rPr>
                <w:lang w:val="el-GR"/>
              </w:rPr>
            </w:pPr>
            <w:r w:rsidRPr="003B0D84">
              <w:rPr>
                <w:lang w:val="el-GR"/>
              </w:rPr>
              <w:t>Πάρτε το δισκίο που παραλείψατε αμέσως και το επόμενο δισκίο τη συνηθισμένη ώρα (ακόμα και αν αυτό σημαίνει ότι θα πάρετε δύο δισκία την ίδια ημέρα)</w:t>
            </w:r>
          </w:p>
          <w:p w:rsidR="00C1567C" w:rsidRPr="003B0D84" w:rsidRDefault="00C1567C" w:rsidP="009D672F">
            <w:pPr>
              <w:pStyle w:val="Para0s"/>
              <w:numPr>
                <w:ilvl w:val="0"/>
                <w:numId w:val="3"/>
              </w:numPr>
              <w:spacing w:after="0"/>
              <w:rPr>
                <w:lang w:val="el-GR"/>
              </w:rPr>
            </w:pPr>
            <w:r w:rsidRPr="003B0D84">
              <w:rPr>
                <w:lang w:val="el-GR"/>
              </w:rPr>
              <w:t xml:space="preserve">Δεν απαιτείται </w:t>
            </w:r>
            <w:r w:rsidR="00125255" w:rsidRPr="003B0D84">
              <w:rPr>
                <w:lang w:val="el-GR"/>
              </w:rPr>
              <w:t>επιπλέον</w:t>
            </w:r>
            <w:r w:rsidRPr="003B0D84">
              <w:rPr>
                <w:lang w:val="el-GR"/>
              </w:rPr>
              <w:t xml:space="preserve"> αντισύλληψη</w:t>
            </w:r>
          </w:p>
        </w:tc>
      </w:tr>
      <w:tr w:rsidR="00C1567C" w:rsidRPr="003B0D84" w:rsidTr="00FE51EE">
        <w:trPr>
          <w:cantSplit/>
        </w:trPr>
        <w:tc>
          <w:tcPr>
            <w:tcW w:w="1060" w:type="dxa"/>
            <w:tcBorders>
              <w:top w:val="single" w:sz="12" w:space="0" w:color="auto"/>
              <w:left w:val="single" w:sz="12" w:space="0" w:color="auto"/>
              <w:bottom w:val="single" w:sz="12" w:space="0" w:color="auto"/>
              <w:right w:val="single" w:sz="6" w:space="0" w:color="auto"/>
            </w:tcBorders>
          </w:tcPr>
          <w:p w:rsidR="00C1567C" w:rsidRPr="003B0D84" w:rsidRDefault="00C1567C" w:rsidP="009D672F">
            <w:pPr>
              <w:pStyle w:val="Para0s"/>
              <w:spacing w:after="0"/>
              <w:rPr>
                <w:lang w:val="el-GR"/>
              </w:rPr>
            </w:pPr>
            <w:r w:rsidRPr="003B0D84">
              <w:rPr>
                <w:lang w:val="el-GR"/>
              </w:rPr>
              <w:t>27-28</w:t>
            </w:r>
          </w:p>
        </w:tc>
        <w:tc>
          <w:tcPr>
            <w:tcW w:w="1920" w:type="dxa"/>
            <w:tcBorders>
              <w:top w:val="single" w:sz="12" w:space="0" w:color="auto"/>
              <w:left w:val="single" w:sz="6" w:space="0" w:color="auto"/>
              <w:bottom w:val="single" w:sz="12" w:space="0" w:color="auto"/>
              <w:right w:val="single" w:sz="6" w:space="0" w:color="auto"/>
            </w:tcBorders>
          </w:tcPr>
          <w:p w:rsidR="00C1567C" w:rsidRPr="003B0D84" w:rsidRDefault="00C1567C" w:rsidP="009D672F">
            <w:pPr>
              <w:pStyle w:val="Para0s"/>
              <w:spacing w:after="0"/>
              <w:rPr>
                <w:lang w:val="el-GR"/>
              </w:rPr>
            </w:pPr>
            <w:r w:rsidRPr="003B0D84">
              <w:rPr>
                <w:b/>
                <w:bCs/>
                <w:lang w:val="el-GR"/>
              </w:rPr>
              <w:t>Λευκά δισκία</w:t>
            </w:r>
            <w:r w:rsidRPr="003B0D84">
              <w:rPr>
                <w:lang w:val="el-GR"/>
              </w:rPr>
              <w:t xml:space="preserve"> (</w:t>
            </w:r>
            <w:r w:rsidR="00B23F85" w:rsidRPr="003B0D84">
              <w:rPr>
                <w:lang w:val="el-GR"/>
              </w:rPr>
              <w:t>εικονικό φάρμακο</w:t>
            </w:r>
            <w:r w:rsidRPr="003B0D84">
              <w:rPr>
                <w:lang w:val="el-GR"/>
              </w:rPr>
              <w:t>)</w:t>
            </w:r>
          </w:p>
        </w:tc>
        <w:tc>
          <w:tcPr>
            <w:tcW w:w="6480" w:type="dxa"/>
            <w:tcBorders>
              <w:top w:val="single" w:sz="12" w:space="0" w:color="auto"/>
              <w:left w:val="single" w:sz="6" w:space="0" w:color="auto"/>
              <w:bottom w:val="single" w:sz="12" w:space="0" w:color="auto"/>
              <w:right w:val="single" w:sz="12" w:space="0" w:color="auto"/>
            </w:tcBorders>
          </w:tcPr>
          <w:p w:rsidR="00C1567C" w:rsidRPr="003B0D84" w:rsidRDefault="00C1567C" w:rsidP="009D672F">
            <w:pPr>
              <w:pStyle w:val="Para0s"/>
              <w:numPr>
                <w:ilvl w:val="0"/>
                <w:numId w:val="3"/>
              </w:numPr>
              <w:spacing w:after="0"/>
              <w:rPr>
                <w:lang w:val="el-GR"/>
              </w:rPr>
            </w:pPr>
            <w:r w:rsidRPr="003B0D84">
              <w:rPr>
                <w:lang w:val="el-GR"/>
              </w:rPr>
              <w:t>Πετάξτε το δισκίο που παραλείψατε και συνεχίστε να παίρνετε τα δισκία με τον κανονικό τρόπο</w:t>
            </w:r>
          </w:p>
          <w:p w:rsidR="00C1567C" w:rsidRPr="003B0D84" w:rsidRDefault="00C1567C" w:rsidP="009D672F">
            <w:pPr>
              <w:pStyle w:val="Para0s"/>
              <w:numPr>
                <w:ilvl w:val="0"/>
                <w:numId w:val="3"/>
              </w:numPr>
              <w:spacing w:after="0"/>
              <w:rPr>
                <w:lang w:val="el-GR"/>
              </w:rPr>
            </w:pPr>
            <w:r w:rsidRPr="003B0D84">
              <w:rPr>
                <w:lang w:val="el-GR"/>
              </w:rPr>
              <w:t xml:space="preserve">Δεν απαιτείται </w:t>
            </w:r>
            <w:r w:rsidR="00125255" w:rsidRPr="003B0D84">
              <w:rPr>
                <w:lang w:val="el-GR"/>
              </w:rPr>
              <w:t xml:space="preserve"> επιπλέον</w:t>
            </w:r>
            <w:r w:rsidRPr="003B0D84">
              <w:rPr>
                <w:lang w:val="el-GR"/>
              </w:rPr>
              <w:t xml:space="preserve"> αντισύλληψη</w:t>
            </w:r>
          </w:p>
        </w:tc>
      </w:tr>
    </w:tbl>
    <w:p w:rsidR="00C1567C" w:rsidRPr="003B0D84" w:rsidRDefault="00C1567C" w:rsidP="009D672F">
      <w:pPr>
        <w:spacing w:after="0"/>
        <w:rPr>
          <w:rFonts w:ascii="Times New Roman" w:hAnsi="Times New Roman"/>
          <w:sz w:val="24"/>
          <w:szCs w:val="24"/>
          <w:lang w:val="el-GR"/>
        </w:rPr>
      </w:pPr>
    </w:p>
    <w:p w:rsidR="00C1567C" w:rsidRPr="003B0D84" w:rsidRDefault="00C1567C" w:rsidP="009D672F">
      <w:pPr>
        <w:pStyle w:val="1Style"/>
        <w:spacing w:after="0"/>
        <w:rPr>
          <w:lang w:val="el-GR"/>
        </w:rPr>
      </w:pPr>
      <w:r w:rsidRPr="003B0D84">
        <w:rPr>
          <w:lang w:val="el-GR"/>
        </w:rPr>
        <w:t>Δεν πρέπει να λαμβάνονται περισσότερα από δύο δισκία σε μία ημέρα.</w:t>
      </w:r>
    </w:p>
    <w:p w:rsidR="00C1567C" w:rsidRPr="003B0D84" w:rsidRDefault="00C1567C" w:rsidP="009D672F">
      <w:pPr>
        <w:pStyle w:val="1Style"/>
        <w:spacing w:after="0"/>
        <w:rPr>
          <w:u w:val="double"/>
          <w:lang w:val="el-GR"/>
        </w:rPr>
      </w:pPr>
    </w:p>
    <w:p w:rsidR="00C1567C" w:rsidRPr="003B0D84" w:rsidRDefault="00FA6460" w:rsidP="009D672F">
      <w:pPr>
        <w:pStyle w:val="Para0s"/>
        <w:spacing w:after="0"/>
        <w:rPr>
          <w:lang w:val="el-GR"/>
        </w:rPr>
      </w:pPr>
      <w:r w:rsidRPr="003B0D84">
        <w:rPr>
          <w:lang w:val="el-GR"/>
        </w:rPr>
        <w:t xml:space="preserve">Εάν η γυναίκα </w:t>
      </w:r>
      <w:r w:rsidR="00E305D9" w:rsidRPr="003B0D84">
        <w:rPr>
          <w:lang w:val="el-GR"/>
        </w:rPr>
        <w:t>παραλείψει</w:t>
      </w:r>
      <w:r w:rsidR="00C1567C" w:rsidRPr="003B0D84">
        <w:rPr>
          <w:lang w:val="el-GR"/>
        </w:rPr>
        <w:t xml:space="preserve"> να ξεκινήσει μια νέα </w:t>
      </w:r>
      <w:r w:rsidR="002045EF" w:rsidRPr="003B0D84">
        <w:rPr>
          <w:lang w:val="el-GR"/>
        </w:rPr>
        <w:t>συσκευασία</w:t>
      </w:r>
      <w:r w:rsidR="00C1567C" w:rsidRPr="003B0D84">
        <w:rPr>
          <w:lang w:val="el-GR"/>
        </w:rPr>
        <w:t xml:space="preserve"> ή εάν παρέλειψε να πάρει </w:t>
      </w:r>
      <w:r w:rsidR="00FE51EE" w:rsidRPr="003B0D84">
        <w:rPr>
          <w:lang w:val="el-GR"/>
        </w:rPr>
        <w:t xml:space="preserve">ένα ή περισσότερα </w:t>
      </w:r>
      <w:r w:rsidR="00C1567C" w:rsidRPr="003B0D84">
        <w:rPr>
          <w:lang w:val="el-GR"/>
        </w:rPr>
        <w:t xml:space="preserve">δισκία κατά τις ημέρες 3 -9 της </w:t>
      </w:r>
      <w:r w:rsidR="002045EF" w:rsidRPr="003B0D84">
        <w:rPr>
          <w:lang w:val="el-GR"/>
        </w:rPr>
        <w:t>συσκευασία</w:t>
      </w:r>
      <w:r w:rsidR="00C1567C" w:rsidRPr="003B0D84">
        <w:rPr>
          <w:lang w:val="el-GR"/>
        </w:rPr>
        <w:t>ς, μπορεί να είναι ήδη έγκυος (εφόσον είχε σεξουαλική επαφή κατά τις 7 ημέρες πριν από την παράλειψη). Όσο περισσότερα δισκία (από εκείνα με τα δύο συνδυασμένα δραστικά συστατικά κατά τις ημέρες 3 – 24) παραλειφθούν και όσο πιο κοντά συμβεί αυτό στη φάση αδρανών δισκίων, τόσο μεγαλύτερος είναι ο κίνδυνος εγκυμοσύνης.</w:t>
      </w:r>
    </w:p>
    <w:p w:rsidR="001813E6" w:rsidRDefault="00C1567C" w:rsidP="009D672F">
      <w:pPr>
        <w:pStyle w:val="Para0s"/>
        <w:spacing w:after="0"/>
        <w:rPr>
          <w:lang w:val="el-GR"/>
        </w:rPr>
      </w:pPr>
      <w:r w:rsidRPr="003B0D84">
        <w:rPr>
          <w:lang w:val="el-GR"/>
        </w:rPr>
        <w:t>Εάν η γυναίκα παρέλει</w:t>
      </w:r>
      <w:r w:rsidR="006260A3" w:rsidRPr="003B0D84">
        <w:rPr>
          <w:lang w:val="el-GR"/>
        </w:rPr>
        <w:t>ψε δισκία και στη συνέχεια δεν εμφανίσει</w:t>
      </w:r>
      <w:r w:rsidRPr="003B0D84">
        <w:rPr>
          <w:lang w:val="el-GR"/>
        </w:rPr>
        <w:t xml:space="preserve"> αιμορραγία εκ διακοπής στο τέλος της </w:t>
      </w:r>
      <w:r w:rsidR="002045EF" w:rsidRPr="003B0D84">
        <w:rPr>
          <w:lang w:val="el-GR"/>
        </w:rPr>
        <w:t>συσκευασία</w:t>
      </w:r>
      <w:r w:rsidRPr="003B0D84">
        <w:rPr>
          <w:lang w:val="el-GR"/>
        </w:rPr>
        <w:t xml:space="preserve">ς /στην έναρξη της νέας </w:t>
      </w:r>
      <w:r w:rsidR="002045EF" w:rsidRPr="003B0D84">
        <w:rPr>
          <w:lang w:val="el-GR"/>
        </w:rPr>
        <w:t>συσκευασία</w:t>
      </w:r>
      <w:r w:rsidRPr="003B0D84">
        <w:rPr>
          <w:lang w:val="el-GR"/>
        </w:rPr>
        <w:t>ς, πρέπει να ληφθεί υπόψη η πιθανότητα εγκυμοσύνης.</w:t>
      </w:r>
      <w:bookmarkStart w:id="2" w:name="Advice"/>
    </w:p>
    <w:p w:rsidR="009D672F" w:rsidRPr="003B0D84" w:rsidRDefault="009D672F" w:rsidP="009D672F">
      <w:pPr>
        <w:pStyle w:val="Para0s"/>
        <w:spacing w:after="0"/>
        <w:rPr>
          <w:lang w:val="el-GR"/>
        </w:rPr>
      </w:pPr>
    </w:p>
    <w:p w:rsidR="001813E6" w:rsidRPr="003B0D84" w:rsidRDefault="001813E6" w:rsidP="009D672F">
      <w:pPr>
        <w:spacing w:after="0"/>
        <w:rPr>
          <w:rFonts w:ascii="Times New Roman" w:hAnsi="Times New Roman"/>
          <w:b/>
          <w:bCs/>
          <w:sz w:val="24"/>
          <w:szCs w:val="24"/>
          <w:lang w:val="el-GR"/>
        </w:rPr>
      </w:pPr>
      <w:r w:rsidRPr="003B0D84">
        <w:rPr>
          <w:rFonts w:ascii="Times New Roman" w:hAnsi="Times New Roman"/>
          <w:b/>
          <w:bCs/>
          <w:sz w:val="24"/>
          <w:szCs w:val="24"/>
          <w:lang w:val="el-GR"/>
        </w:rPr>
        <w:t>Παιδιατρικοί πληθυσμοί</w:t>
      </w:r>
    </w:p>
    <w:p w:rsidR="001813E6" w:rsidRDefault="001813E6" w:rsidP="009D672F">
      <w:pPr>
        <w:spacing w:after="0"/>
        <w:rPr>
          <w:rFonts w:ascii="Times New Roman" w:hAnsi="Times New Roman"/>
          <w:bCs/>
          <w:sz w:val="24"/>
          <w:szCs w:val="24"/>
          <w:lang w:val="el-GR"/>
        </w:rPr>
      </w:pPr>
      <w:r w:rsidRPr="003B0D84">
        <w:rPr>
          <w:rFonts w:ascii="Times New Roman" w:hAnsi="Times New Roman"/>
          <w:bCs/>
          <w:sz w:val="24"/>
          <w:szCs w:val="24"/>
          <w:lang w:val="el-GR"/>
        </w:rPr>
        <w:t>Δεν υπάρχουν διαθέσιμα στοιχεία για τη χρήση σε εφήβους κάτω των 18 ετών.</w:t>
      </w:r>
    </w:p>
    <w:p w:rsidR="009D672F" w:rsidRPr="003B0D84" w:rsidRDefault="009D672F" w:rsidP="009D672F">
      <w:pPr>
        <w:spacing w:after="0"/>
        <w:rPr>
          <w:rFonts w:ascii="Times New Roman" w:hAnsi="Times New Roman"/>
          <w:bCs/>
          <w:sz w:val="24"/>
          <w:szCs w:val="24"/>
          <w:lang w:val="el-GR"/>
        </w:rPr>
      </w:pP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b/>
          <w:bCs/>
          <w:sz w:val="24"/>
          <w:szCs w:val="24"/>
          <w:lang w:val="el-GR"/>
        </w:rPr>
        <w:t xml:space="preserve">Συμβουλή σε περίπτωση γαστρεντερικών διαταραχών </w:t>
      </w:r>
    </w:p>
    <w:p w:rsidR="00C1567C" w:rsidRPr="003B0D84" w:rsidRDefault="00C1567C" w:rsidP="009D672F">
      <w:pPr>
        <w:pStyle w:val="Para0s"/>
        <w:spacing w:after="0"/>
        <w:rPr>
          <w:lang w:val="el-GR"/>
        </w:rPr>
      </w:pPr>
      <w:bookmarkStart w:id="3" w:name="_Ref177183929"/>
      <w:bookmarkEnd w:id="2"/>
      <w:r w:rsidRPr="003B0D84">
        <w:rPr>
          <w:lang w:val="el-GR"/>
        </w:rPr>
        <w:t xml:space="preserve">Σε περίπτωση </w:t>
      </w:r>
      <w:r w:rsidR="002E3F9C" w:rsidRPr="003B0D84">
        <w:rPr>
          <w:lang w:val="el-GR"/>
        </w:rPr>
        <w:t xml:space="preserve">σοβαρών </w:t>
      </w:r>
      <w:r w:rsidRPr="003B0D84">
        <w:rPr>
          <w:lang w:val="el-GR"/>
        </w:rPr>
        <w:t>γαστρεντερικών διαταραχών</w:t>
      </w:r>
      <w:r w:rsidR="002E3F9C" w:rsidRPr="003B0D84">
        <w:rPr>
          <w:lang w:val="el-GR"/>
        </w:rPr>
        <w:t xml:space="preserve"> (π.χ. έμετος ή διάρροια)</w:t>
      </w:r>
      <w:r w:rsidRPr="003B0D84">
        <w:rPr>
          <w:lang w:val="el-GR"/>
        </w:rPr>
        <w:t>, η απορρόφηση μπορεί να μην έχει ολοκληρωθεί και πρέπει να ληφθούν επιπλέον αντισυλληπτικά μέτρα.</w:t>
      </w:r>
    </w:p>
    <w:bookmarkEnd w:id="3"/>
    <w:p w:rsidR="00C1567C" w:rsidRDefault="00C1567C" w:rsidP="009D672F">
      <w:pPr>
        <w:pStyle w:val="Para0s"/>
        <w:spacing w:after="0"/>
        <w:rPr>
          <w:lang w:val="el-GR"/>
        </w:rPr>
      </w:pPr>
      <w:r w:rsidRPr="003B0D84">
        <w:rPr>
          <w:lang w:val="el-GR"/>
        </w:rPr>
        <w:t xml:space="preserve">Εάν παρουσιαστεί έμετος εντός 3-4 ωρών μετά τη λήψη δραστικού δισκίου, </w:t>
      </w:r>
      <w:r w:rsidR="0022377A" w:rsidRPr="003B0D84">
        <w:rPr>
          <w:lang w:val="el-GR"/>
        </w:rPr>
        <w:t>το επόμενο δισκίο θα πρέπει να ληφθεί το συντομότερο δυνατό. Εφόσον είναι δυνατό</w:t>
      </w:r>
      <w:r w:rsidR="00125255" w:rsidRPr="003B0D84">
        <w:rPr>
          <w:lang w:val="el-GR"/>
        </w:rPr>
        <w:t>ν</w:t>
      </w:r>
      <w:r w:rsidR="0022377A" w:rsidRPr="003B0D84">
        <w:rPr>
          <w:lang w:val="el-GR"/>
        </w:rPr>
        <w:t>, το δισκίο θα πρέπει να ληφθεί εντός 12 ωρών α</w:t>
      </w:r>
      <w:r w:rsidR="001B672A" w:rsidRPr="003B0D84">
        <w:rPr>
          <w:lang w:val="el-GR"/>
        </w:rPr>
        <w:t xml:space="preserve">πό την συνήθη ώρα λήψης. Αν έχουν παρέλθει περισσότερες από 12 ώρες, </w:t>
      </w:r>
      <w:r w:rsidR="00536DD4" w:rsidRPr="003B0D84">
        <w:rPr>
          <w:lang w:val="el-GR"/>
        </w:rPr>
        <w:t xml:space="preserve">ισχύουν </w:t>
      </w:r>
      <w:r w:rsidR="001B672A" w:rsidRPr="003B0D84">
        <w:rPr>
          <w:lang w:val="el-GR"/>
        </w:rPr>
        <w:t>οι οδηγίες που αφορούν την παράλειψη δισκίων</w:t>
      </w:r>
      <w:r w:rsidR="00125255" w:rsidRPr="003B0D84">
        <w:rPr>
          <w:lang w:val="el-GR"/>
        </w:rPr>
        <w:t>,</w:t>
      </w:r>
      <w:r w:rsidR="00536DD4" w:rsidRPr="003B0D84">
        <w:rPr>
          <w:lang w:val="el-GR"/>
        </w:rPr>
        <w:t xml:space="preserve"> </w:t>
      </w:r>
      <w:r w:rsidR="00125255" w:rsidRPr="003B0D84">
        <w:rPr>
          <w:lang w:val="el-GR"/>
        </w:rPr>
        <w:t xml:space="preserve">όπως </w:t>
      </w:r>
      <w:r w:rsidR="001B672A" w:rsidRPr="003B0D84">
        <w:rPr>
          <w:lang w:val="el-GR"/>
        </w:rPr>
        <w:t xml:space="preserve">αναφέρονται στην παράγραφο 4.2 «Αντιμετώπιση </w:t>
      </w:r>
      <w:r w:rsidR="001B672A" w:rsidRPr="003B0D84">
        <w:rPr>
          <w:lang w:val="el-GR"/>
        </w:rPr>
        <w:lastRenderedPageBreak/>
        <w:t xml:space="preserve">της παράλειψης δισκίων». </w:t>
      </w:r>
      <w:r w:rsidRPr="003B0D84">
        <w:rPr>
          <w:lang w:val="el-GR"/>
        </w:rPr>
        <w:t xml:space="preserve">Εάν η γυναίκα δεν επιθυμεί να αλλάξει το κανονικό πρόγραμμα </w:t>
      </w:r>
      <w:r w:rsidR="00536DD4" w:rsidRPr="003B0D84">
        <w:rPr>
          <w:lang w:val="el-GR"/>
        </w:rPr>
        <w:t xml:space="preserve">λήψης </w:t>
      </w:r>
      <w:r w:rsidRPr="003B0D84">
        <w:rPr>
          <w:lang w:val="el-GR"/>
        </w:rPr>
        <w:t xml:space="preserve">των δισκίων, πρέπει να πάρει </w:t>
      </w:r>
      <w:r w:rsidR="001B672A" w:rsidRPr="003B0D84">
        <w:rPr>
          <w:lang w:val="el-GR"/>
        </w:rPr>
        <w:t>το(α) αντίστοιχο(α)</w:t>
      </w:r>
      <w:r w:rsidRPr="003B0D84">
        <w:rPr>
          <w:lang w:val="el-GR"/>
        </w:rPr>
        <w:t xml:space="preserve"> δισκίο(α) από μία άλλη συσκευασία.</w:t>
      </w:r>
    </w:p>
    <w:p w:rsidR="009D672F" w:rsidRPr="003B0D84" w:rsidRDefault="009D672F" w:rsidP="009D672F">
      <w:pPr>
        <w:pStyle w:val="Para0s"/>
        <w:spacing w:after="0"/>
        <w:rPr>
          <w:lang w:val="el-GR"/>
        </w:rPr>
      </w:pPr>
    </w:p>
    <w:p w:rsidR="00C1567C" w:rsidRPr="003B0D84" w:rsidRDefault="00C1567C" w:rsidP="009D672F">
      <w:pPr>
        <w:pStyle w:val="2"/>
        <w:spacing w:before="0" w:after="0"/>
        <w:rPr>
          <w:lang w:val="el-GR"/>
        </w:rPr>
      </w:pPr>
      <w:bookmarkStart w:id="4" w:name="_Ref185061673"/>
      <w:r w:rsidRPr="003B0D84">
        <w:rPr>
          <w:lang w:val="el-GR"/>
        </w:rPr>
        <w:t>Αντενδείξεις</w:t>
      </w:r>
      <w:bookmarkEnd w:id="4"/>
    </w:p>
    <w:p w:rsidR="00960848" w:rsidRPr="003B0D84" w:rsidRDefault="00FA6460" w:rsidP="009D672F">
      <w:pPr>
        <w:pStyle w:val="Para0s"/>
        <w:spacing w:after="0"/>
        <w:rPr>
          <w:lang w:val="el-GR"/>
        </w:rPr>
      </w:pPr>
      <w:r w:rsidRPr="003B0D84">
        <w:rPr>
          <w:lang w:val="el-GR"/>
        </w:rPr>
        <w:t>Τα σ</w:t>
      </w:r>
      <w:r w:rsidR="00C1567C" w:rsidRPr="003B0D84">
        <w:rPr>
          <w:lang w:val="el-GR"/>
        </w:rPr>
        <w:t xml:space="preserve">υνδυασμένα </w:t>
      </w:r>
      <w:r w:rsidR="00CF29E4" w:rsidRPr="003B0D84">
        <w:rPr>
          <w:lang w:val="el-GR"/>
        </w:rPr>
        <w:t xml:space="preserve">από το στόματος </w:t>
      </w:r>
      <w:r w:rsidR="00C1567C" w:rsidRPr="003B0D84">
        <w:rPr>
          <w:lang w:val="el-GR"/>
        </w:rPr>
        <w:t>α</w:t>
      </w:r>
      <w:r w:rsidR="00CF29E4" w:rsidRPr="003B0D84">
        <w:rPr>
          <w:lang w:val="el-GR"/>
        </w:rPr>
        <w:t xml:space="preserve">ντισυλληπτικά </w:t>
      </w:r>
      <w:r w:rsidR="00C1567C" w:rsidRPr="003B0D84">
        <w:rPr>
          <w:lang w:val="el-GR"/>
        </w:rPr>
        <w:t>δεν πρέπει να χρη</w:t>
      </w:r>
      <w:r w:rsidRPr="003B0D84">
        <w:rPr>
          <w:lang w:val="el-GR"/>
        </w:rPr>
        <w:t>σιμοποιούνται σε περίπτωση παρουσίας</w:t>
      </w:r>
      <w:r w:rsidR="00C1567C" w:rsidRPr="003B0D84">
        <w:rPr>
          <w:lang w:val="el-GR"/>
        </w:rPr>
        <w:t xml:space="preserve"> οποια</w:t>
      </w:r>
      <w:r w:rsidRPr="003B0D84">
        <w:rPr>
          <w:lang w:val="el-GR"/>
        </w:rPr>
        <w:t>σ</w:t>
      </w:r>
      <w:r w:rsidR="00C1567C" w:rsidRPr="003B0D84">
        <w:rPr>
          <w:lang w:val="el-GR"/>
        </w:rPr>
        <w:t>δήποτε από τις καταστάσεις που περιγράφονται παρακάτω. Εάν οποιαδήποτε από τις καταστάσεις εμφανιστεί για πρώτη φορά κατά τη διάρκεια της χρήσης συνδυασμένου από του στόματος αντισυλληπτικού, η λήψη του προϊόντος πρέπει να διακόπτεται αμέσως.</w:t>
      </w:r>
    </w:p>
    <w:p w:rsidR="00C1567C" w:rsidRPr="003B0D84" w:rsidRDefault="00C1567C" w:rsidP="009D672F">
      <w:pPr>
        <w:pStyle w:val="Para0s"/>
        <w:numPr>
          <w:ilvl w:val="0"/>
          <w:numId w:val="38"/>
        </w:numPr>
        <w:spacing w:after="0"/>
        <w:rPr>
          <w:lang w:val="el-GR"/>
        </w:rPr>
      </w:pPr>
      <w:r w:rsidRPr="003B0D84">
        <w:rPr>
          <w:lang w:val="el-GR"/>
        </w:rPr>
        <w:t>Παρουσία ή ιστορικό φλεβικ</w:t>
      </w:r>
      <w:r w:rsidR="00CD31A6" w:rsidRPr="003B0D84">
        <w:rPr>
          <w:lang w:val="el-GR"/>
        </w:rPr>
        <w:t>ής</w:t>
      </w:r>
      <w:r w:rsidR="000C7EEB">
        <w:rPr>
          <w:lang w:val="el-GR"/>
        </w:rPr>
        <w:t xml:space="preserve"> </w:t>
      </w:r>
      <w:r w:rsidR="00CD31A6" w:rsidRPr="003B0D84">
        <w:rPr>
          <w:lang w:val="el-GR"/>
        </w:rPr>
        <w:t>θρόμβωσης (εν τω βάθει φλεβική θρόμβωση, πνευμονική εμβολή)</w:t>
      </w:r>
    </w:p>
    <w:p w:rsidR="00C1567C" w:rsidRPr="003B0D84" w:rsidRDefault="00C1567C" w:rsidP="009D672F">
      <w:pPr>
        <w:pStyle w:val="Para0s"/>
        <w:numPr>
          <w:ilvl w:val="0"/>
          <w:numId w:val="38"/>
        </w:numPr>
        <w:spacing w:after="0"/>
        <w:rPr>
          <w:lang w:val="el-GR"/>
        </w:rPr>
      </w:pPr>
      <w:r w:rsidRPr="003B0D84">
        <w:rPr>
          <w:lang w:val="el-GR"/>
        </w:rPr>
        <w:t xml:space="preserve">Παρουσία ή ιστορικό </w:t>
      </w:r>
      <w:r w:rsidR="00205A4F" w:rsidRPr="003B0D84">
        <w:rPr>
          <w:lang w:val="el-GR"/>
        </w:rPr>
        <w:t>α</w:t>
      </w:r>
      <w:r w:rsidR="00CD31A6" w:rsidRPr="003B0D84">
        <w:rPr>
          <w:lang w:val="el-GR"/>
        </w:rPr>
        <w:t>ρτηριακής θρόμβ</w:t>
      </w:r>
      <w:r w:rsidR="00205A4F" w:rsidRPr="003B0D84">
        <w:rPr>
          <w:lang w:val="el-GR"/>
        </w:rPr>
        <w:t>ω</w:t>
      </w:r>
      <w:r w:rsidR="00CD31A6" w:rsidRPr="003B0D84">
        <w:rPr>
          <w:lang w:val="el-GR"/>
        </w:rPr>
        <w:t>σης (π.χ. έμφραγμα του μυοκαρδίου) ή πρόδρομες καταστάσεις (π.χ. στηθάγχη και παροδικό ισχαιμικό επ</w:t>
      </w:r>
      <w:r w:rsidR="00205A4F" w:rsidRPr="003B0D84">
        <w:rPr>
          <w:lang w:val="el-GR"/>
        </w:rPr>
        <w:t>εισόδιο</w:t>
      </w:r>
      <w:r w:rsidR="00FA6460" w:rsidRPr="003B0D84">
        <w:rPr>
          <w:lang w:val="el-GR"/>
        </w:rPr>
        <w:t>)</w:t>
      </w:r>
      <w:r w:rsidR="00205A4F" w:rsidRPr="003B0D84">
        <w:rPr>
          <w:lang w:val="el-GR"/>
        </w:rPr>
        <w:t>.</w:t>
      </w:r>
    </w:p>
    <w:p w:rsidR="00205A4F" w:rsidRPr="003B0D84" w:rsidRDefault="00205A4F" w:rsidP="009D672F">
      <w:pPr>
        <w:pStyle w:val="Para0s"/>
        <w:numPr>
          <w:ilvl w:val="0"/>
          <w:numId w:val="38"/>
        </w:numPr>
        <w:spacing w:after="0"/>
        <w:rPr>
          <w:lang w:val="el-GR"/>
        </w:rPr>
      </w:pPr>
      <w:r w:rsidRPr="003B0D84">
        <w:rPr>
          <w:lang w:val="el-GR"/>
        </w:rPr>
        <w:t>Παρουσία ή ιστορικό αγγειοεγκεφαλικού επεισοδίου</w:t>
      </w:r>
    </w:p>
    <w:p w:rsidR="00C1567C" w:rsidRPr="003B0D84" w:rsidRDefault="00C1567C" w:rsidP="009D672F">
      <w:pPr>
        <w:pStyle w:val="Para0s"/>
        <w:numPr>
          <w:ilvl w:val="0"/>
          <w:numId w:val="38"/>
        </w:numPr>
        <w:spacing w:after="0"/>
        <w:rPr>
          <w:lang w:val="el-GR"/>
        </w:rPr>
      </w:pPr>
      <w:r w:rsidRPr="003B0D84">
        <w:rPr>
          <w:lang w:val="el-GR"/>
        </w:rPr>
        <w:t>Παρουσία σοβαρού(ών) ή πολλαπλού(ών) παράγοντα(ων) κινδύνου για φλεβική</w:t>
      </w:r>
      <w:r w:rsidR="00205A4F" w:rsidRPr="003B0D84">
        <w:rPr>
          <w:lang w:val="el-GR"/>
        </w:rPr>
        <w:t xml:space="preserve"> (βλ.</w:t>
      </w:r>
      <w:r w:rsidR="000C7EEB" w:rsidRPr="000C7EEB">
        <w:rPr>
          <w:lang w:val="el-GR"/>
        </w:rPr>
        <w:t xml:space="preserve"> </w:t>
      </w:r>
      <w:r w:rsidR="000C7EEB">
        <w:rPr>
          <w:lang w:val="el-GR"/>
        </w:rPr>
        <w:t xml:space="preserve">παράγραφο </w:t>
      </w:r>
      <w:r w:rsidR="00205A4F" w:rsidRPr="003B0D84">
        <w:rPr>
          <w:lang w:val="el-GR"/>
        </w:rPr>
        <w:t>4.4)</w:t>
      </w:r>
      <w:r w:rsidRPr="003B0D84">
        <w:rPr>
          <w:lang w:val="el-GR"/>
        </w:rPr>
        <w:t xml:space="preserve"> ή αρτηριακή θρόμβωση </w:t>
      </w:r>
      <w:r w:rsidR="00205A4F" w:rsidRPr="003B0D84">
        <w:rPr>
          <w:lang w:val="el-GR"/>
        </w:rPr>
        <w:t>όπως:</w:t>
      </w:r>
    </w:p>
    <w:p w:rsidR="00205A4F" w:rsidRPr="003B0D84" w:rsidRDefault="00205A4F" w:rsidP="009D672F">
      <w:pPr>
        <w:pStyle w:val="Para0s"/>
        <w:numPr>
          <w:ilvl w:val="0"/>
          <w:numId w:val="38"/>
        </w:numPr>
        <w:spacing w:after="0"/>
        <w:ind w:left="566"/>
        <w:rPr>
          <w:lang w:val="el-GR"/>
        </w:rPr>
      </w:pPr>
      <w:r w:rsidRPr="003B0D84">
        <w:rPr>
          <w:lang w:val="el-GR"/>
        </w:rPr>
        <w:t xml:space="preserve">Σακχαρώδης </w:t>
      </w:r>
      <w:r w:rsidR="00FA6460" w:rsidRPr="003B0D84">
        <w:rPr>
          <w:lang w:val="el-GR"/>
        </w:rPr>
        <w:t>διαβήτης με αγγειακά συμπτώματα</w:t>
      </w:r>
    </w:p>
    <w:p w:rsidR="00205A4F" w:rsidRPr="003B0D84" w:rsidRDefault="00205A4F" w:rsidP="009D672F">
      <w:pPr>
        <w:pStyle w:val="Para0s"/>
        <w:numPr>
          <w:ilvl w:val="0"/>
          <w:numId w:val="38"/>
        </w:numPr>
        <w:spacing w:after="0"/>
        <w:ind w:left="566"/>
        <w:rPr>
          <w:lang w:val="el-GR"/>
        </w:rPr>
      </w:pPr>
      <w:r w:rsidRPr="003B0D84">
        <w:rPr>
          <w:lang w:val="el-GR"/>
        </w:rPr>
        <w:t>Σοβαρή υπέρταση</w:t>
      </w:r>
    </w:p>
    <w:p w:rsidR="00205A4F" w:rsidRPr="003B0D84" w:rsidRDefault="00205A4F" w:rsidP="009D672F">
      <w:pPr>
        <w:pStyle w:val="Para0s"/>
        <w:numPr>
          <w:ilvl w:val="0"/>
          <w:numId w:val="38"/>
        </w:numPr>
        <w:spacing w:after="0"/>
        <w:ind w:left="566"/>
        <w:rPr>
          <w:lang w:val="el-GR"/>
        </w:rPr>
      </w:pPr>
      <w:r w:rsidRPr="003B0D84">
        <w:rPr>
          <w:lang w:val="el-GR"/>
        </w:rPr>
        <w:t>Σοβαρή δυσλιποπρωτεϊναιμία</w:t>
      </w:r>
    </w:p>
    <w:p w:rsidR="00205A4F" w:rsidRPr="003B0D84" w:rsidRDefault="00205A4F" w:rsidP="009D672F">
      <w:pPr>
        <w:pStyle w:val="Para0s"/>
        <w:numPr>
          <w:ilvl w:val="0"/>
          <w:numId w:val="38"/>
        </w:numPr>
        <w:spacing w:after="0"/>
        <w:rPr>
          <w:lang w:val="el-GR"/>
        </w:rPr>
      </w:pPr>
      <w:r w:rsidRPr="003B0D84">
        <w:rPr>
          <w:lang w:val="el-GR"/>
        </w:rPr>
        <w:t xml:space="preserve">Κληρονομική ή </w:t>
      </w:r>
      <w:r w:rsidR="00E35B86" w:rsidRPr="003B0D84">
        <w:rPr>
          <w:lang w:val="el-GR"/>
        </w:rPr>
        <w:t>επίκτητη προδιάθεση για φλεβικ</w:t>
      </w:r>
      <w:r w:rsidR="00FA6460" w:rsidRPr="003B0D84">
        <w:rPr>
          <w:lang w:val="el-GR"/>
        </w:rPr>
        <w:t xml:space="preserve">ή ή αρτηριακή θρόμβωση όπως </w:t>
      </w:r>
      <w:r w:rsidR="00E35B86" w:rsidRPr="003B0D84">
        <w:rPr>
          <w:lang w:val="el-GR"/>
        </w:rPr>
        <w:t xml:space="preserve">αντίσταση στην ενεργοποιημένη πρωτεΐνη </w:t>
      </w:r>
      <w:r w:rsidR="00E35B86" w:rsidRPr="003B0D84">
        <w:t>C</w:t>
      </w:r>
      <w:r w:rsidR="00E35B86" w:rsidRPr="003B0D84">
        <w:rPr>
          <w:lang w:val="el-GR"/>
        </w:rPr>
        <w:t xml:space="preserve"> (</w:t>
      </w:r>
      <w:r w:rsidR="00E35B86" w:rsidRPr="003B0D84">
        <w:t>APC</w:t>
      </w:r>
      <w:r w:rsidR="00FA6460" w:rsidRPr="003B0D84">
        <w:rPr>
          <w:lang w:val="el-GR"/>
        </w:rPr>
        <w:t xml:space="preserve">), έλλειψη αντιθρομβίνης-ΙΙΙ, </w:t>
      </w:r>
      <w:r w:rsidR="00E35B86" w:rsidRPr="003B0D84">
        <w:rPr>
          <w:lang w:val="el-GR"/>
        </w:rPr>
        <w:t xml:space="preserve">έλλειψη πρωτεΐνης </w:t>
      </w:r>
      <w:r w:rsidR="00E35B86" w:rsidRPr="003B0D84">
        <w:t>C</w:t>
      </w:r>
      <w:r w:rsidR="00FA6460" w:rsidRPr="003B0D84">
        <w:rPr>
          <w:lang w:val="el-GR"/>
        </w:rPr>
        <w:t xml:space="preserve">, </w:t>
      </w:r>
      <w:r w:rsidR="00E35B86" w:rsidRPr="003B0D84">
        <w:rPr>
          <w:lang w:val="el-GR"/>
        </w:rPr>
        <w:t xml:space="preserve">έλλειψη πρωτεΐνης </w:t>
      </w:r>
      <w:r w:rsidR="00E35B86" w:rsidRPr="003B0D84">
        <w:t>S</w:t>
      </w:r>
      <w:r w:rsidR="00FA6460" w:rsidRPr="003B0D84">
        <w:rPr>
          <w:lang w:val="el-GR"/>
        </w:rPr>
        <w:t xml:space="preserve">, υπερομοκυστεϊναιμία και </w:t>
      </w:r>
      <w:r w:rsidR="00125255" w:rsidRPr="003B0D84">
        <w:rPr>
          <w:lang w:val="el-GR"/>
        </w:rPr>
        <w:t>αντιφωσφολιπιδικά αντισώματα</w:t>
      </w:r>
      <w:r w:rsidR="00E35B86" w:rsidRPr="003B0D84">
        <w:rPr>
          <w:lang w:val="el-GR"/>
        </w:rPr>
        <w:t>(αντισώματ</w:t>
      </w:r>
      <w:r w:rsidR="00FA6460" w:rsidRPr="003B0D84">
        <w:rPr>
          <w:lang w:val="el-GR"/>
        </w:rPr>
        <w:t xml:space="preserve">α </w:t>
      </w:r>
      <w:r w:rsidR="00FA6705">
        <w:rPr>
          <w:lang w:val="el-GR"/>
        </w:rPr>
        <w:t>έναντι καρδιολιπίνης</w:t>
      </w:r>
      <w:r w:rsidR="00FA6460" w:rsidRPr="003B0D84">
        <w:rPr>
          <w:lang w:val="el-GR"/>
        </w:rPr>
        <w:t>, αντιπηκτικό λύκου).</w:t>
      </w:r>
    </w:p>
    <w:p w:rsidR="00C1567C" w:rsidRPr="003B0D84" w:rsidRDefault="00C1567C" w:rsidP="009D672F">
      <w:pPr>
        <w:pStyle w:val="Para0s"/>
        <w:numPr>
          <w:ilvl w:val="0"/>
          <w:numId w:val="38"/>
        </w:numPr>
        <w:spacing w:after="0"/>
        <w:rPr>
          <w:lang w:val="el-GR"/>
        </w:rPr>
      </w:pPr>
      <w:r w:rsidRPr="003B0D84">
        <w:rPr>
          <w:lang w:val="el-GR"/>
        </w:rPr>
        <w:t>Παγκρεατίτιδα ή ιστορικό αυτής, εφόσον σχετίζεται με σοβαρή υπερτριγλυκεριδαιμία.</w:t>
      </w:r>
    </w:p>
    <w:p w:rsidR="00C1567C" w:rsidRPr="003B0D84" w:rsidRDefault="00C1567C" w:rsidP="009D672F">
      <w:pPr>
        <w:pStyle w:val="Para0s"/>
        <w:numPr>
          <w:ilvl w:val="0"/>
          <w:numId w:val="38"/>
        </w:numPr>
        <w:spacing w:after="0"/>
        <w:rPr>
          <w:lang w:val="el-GR"/>
        </w:rPr>
      </w:pPr>
      <w:r w:rsidRPr="003B0D84">
        <w:rPr>
          <w:lang w:val="el-GR"/>
        </w:rPr>
        <w:t>Παρουσία ή ιστορικό σοβαρής ηπατικής νόσου, εφόσον οι τιμές της ηπατικής λειτουργίας δεν έχουν επιστρέψει στο φυσιολογικό.</w:t>
      </w:r>
    </w:p>
    <w:p w:rsidR="00C1567C" w:rsidRPr="003B0D84" w:rsidRDefault="00C1567C" w:rsidP="009D672F">
      <w:pPr>
        <w:pStyle w:val="Para0s"/>
        <w:numPr>
          <w:ilvl w:val="0"/>
          <w:numId w:val="38"/>
        </w:numPr>
        <w:spacing w:after="0"/>
        <w:rPr>
          <w:lang w:val="el-GR"/>
        </w:rPr>
      </w:pPr>
      <w:r w:rsidRPr="003B0D84">
        <w:rPr>
          <w:lang w:val="el-GR"/>
        </w:rPr>
        <w:t>Παρουσία ή ιστορικό ηπατικών όγκων (</w:t>
      </w:r>
      <w:r w:rsidR="005B2E91" w:rsidRPr="003B0D84">
        <w:rPr>
          <w:lang w:val="el-GR"/>
        </w:rPr>
        <w:t>καλοηθών</w:t>
      </w:r>
      <w:r w:rsidR="00125255" w:rsidRPr="003B0D84">
        <w:rPr>
          <w:lang w:val="el-GR"/>
        </w:rPr>
        <w:t xml:space="preserve"> ή κακοηθώ</w:t>
      </w:r>
      <w:r w:rsidRPr="003B0D84">
        <w:rPr>
          <w:lang w:val="el-GR"/>
        </w:rPr>
        <w:t>ν).</w:t>
      </w:r>
    </w:p>
    <w:p w:rsidR="00C1567C" w:rsidRPr="003B0D84" w:rsidRDefault="00125255" w:rsidP="009D672F">
      <w:pPr>
        <w:pStyle w:val="Para0s"/>
        <w:numPr>
          <w:ilvl w:val="0"/>
          <w:numId w:val="38"/>
        </w:numPr>
        <w:spacing w:after="0"/>
        <w:rPr>
          <w:lang w:val="el-GR"/>
        </w:rPr>
      </w:pPr>
      <w:r w:rsidRPr="003B0D84">
        <w:rPr>
          <w:lang w:val="el-GR"/>
        </w:rPr>
        <w:t>Γνωστές ή υποψία κακοηθώ</w:t>
      </w:r>
      <w:r w:rsidR="00C1567C" w:rsidRPr="003B0D84">
        <w:rPr>
          <w:lang w:val="el-GR"/>
        </w:rPr>
        <w:t>ν καταστάσεων (π.χ. των γεννητικών οργάνων ή των μαστών) που επηρεάζονται από στεροειδή του φύλου.</w:t>
      </w:r>
    </w:p>
    <w:p w:rsidR="00C1567C" w:rsidRPr="003B0D84" w:rsidRDefault="00C1567C" w:rsidP="009D672F">
      <w:pPr>
        <w:pStyle w:val="Para0s"/>
        <w:numPr>
          <w:ilvl w:val="0"/>
          <w:numId w:val="38"/>
        </w:numPr>
        <w:spacing w:after="0"/>
        <w:rPr>
          <w:lang w:val="el-GR"/>
        </w:rPr>
      </w:pPr>
      <w:r w:rsidRPr="003B0D84">
        <w:rPr>
          <w:lang w:val="el-GR"/>
        </w:rPr>
        <w:t>Αδιάγνωστη κολπική αιμορραγία.</w:t>
      </w:r>
    </w:p>
    <w:p w:rsidR="00B873AE" w:rsidRPr="003B0D84" w:rsidRDefault="00B873AE" w:rsidP="009D672F">
      <w:pPr>
        <w:pStyle w:val="Para0s"/>
        <w:numPr>
          <w:ilvl w:val="0"/>
          <w:numId w:val="38"/>
        </w:numPr>
        <w:spacing w:after="0"/>
        <w:rPr>
          <w:lang w:val="el-GR"/>
        </w:rPr>
      </w:pPr>
      <w:r w:rsidRPr="003B0D84">
        <w:rPr>
          <w:lang w:val="el-GR"/>
        </w:rPr>
        <w:t>Ιστορικό ημικρανίας με</w:t>
      </w:r>
      <w:r w:rsidR="00FA6460" w:rsidRPr="003B0D84">
        <w:rPr>
          <w:lang w:val="el-GR"/>
        </w:rPr>
        <w:t xml:space="preserve"> εστιακά</w:t>
      </w:r>
      <w:r w:rsidRPr="003B0D84">
        <w:rPr>
          <w:lang w:val="el-GR"/>
        </w:rPr>
        <w:t xml:space="preserve"> νευρολογικά συμπτώματα.</w:t>
      </w:r>
    </w:p>
    <w:p w:rsidR="00C1567C" w:rsidRDefault="00FA6460" w:rsidP="009D672F">
      <w:pPr>
        <w:pStyle w:val="Para0s"/>
        <w:numPr>
          <w:ilvl w:val="0"/>
          <w:numId w:val="38"/>
        </w:numPr>
        <w:spacing w:after="0"/>
        <w:rPr>
          <w:lang w:val="el-GR"/>
        </w:rPr>
      </w:pPr>
      <w:bookmarkStart w:id="5" w:name="_Ref177183805"/>
      <w:r w:rsidRPr="003B0D84">
        <w:rPr>
          <w:lang w:val="el-GR"/>
        </w:rPr>
        <w:t>Υπερευαισθησία στα δραστικά συστατικά</w:t>
      </w:r>
      <w:r w:rsidR="00C1567C" w:rsidRPr="003B0D84">
        <w:rPr>
          <w:lang w:val="el-GR"/>
        </w:rPr>
        <w:t xml:space="preserve"> ή σε κάποιο από τα έκδοχα.</w:t>
      </w:r>
    </w:p>
    <w:p w:rsidR="009D672F" w:rsidRPr="003B0D84" w:rsidRDefault="009D672F" w:rsidP="009D672F">
      <w:pPr>
        <w:pStyle w:val="Para0s"/>
        <w:spacing w:after="0"/>
        <w:ind w:left="283"/>
        <w:rPr>
          <w:lang w:val="el-GR"/>
        </w:rPr>
      </w:pPr>
    </w:p>
    <w:p w:rsidR="00C1567C" w:rsidRPr="003B0D84" w:rsidRDefault="00C1567C" w:rsidP="009D672F">
      <w:pPr>
        <w:pStyle w:val="2"/>
        <w:spacing w:before="0" w:after="0"/>
        <w:rPr>
          <w:lang w:val="el-GR"/>
        </w:rPr>
      </w:pPr>
      <w:bookmarkStart w:id="6" w:name="_Ref185061466"/>
      <w:bookmarkEnd w:id="5"/>
      <w:r w:rsidRPr="003B0D84">
        <w:rPr>
          <w:lang w:val="el-GR"/>
        </w:rPr>
        <w:t>Ειδικές προειδοποιήσεις και προφυλάξεις κατά τη χρήση</w:t>
      </w:r>
      <w:bookmarkEnd w:id="6"/>
    </w:p>
    <w:p w:rsidR="00C1567C" w:rsidRPr="003B0D84" w:rsidRDefault="00C1567C" w:rsidP="009D672F">
      <w:pPr>
        <w:spacing w:after="0"/>
        <w:rPr>
          <w:rFonts w:ascii="Times New Roman" w:hAnsi="Times New Roman"/>
          <w:b/>
          <w:bCs/>
          <w:sz w:val="24"/>
          <w:szCs w:val="24"/>
          <w:lang w:val="el-GR"/>
        </w:rPr>
      </w:pPr>
      <w:bookmarkStart w:id="7" w:name="Warnings"/>
      <w:r w:rsidRPr="003B0D84">
        <w:rPr>
          <w:rFonts w:ascii="Times New Roman" w:hAnsi="Times New Roman"/>
          <w:b/>
          <w:bCs/>
          <w:sz w:val="24"/>
          <w:szCs w:val="24"/>
          <w:lang w:val="el-GR"/>
        </w:rPr>
        <w:t>Προειδοποιήσεις</w:t>
      </w:r>
    </w:p>
    <w:bookmarkEnd w:id="7"/>
    <w:p w:rsidR="00C1567C" w:rsidRPr="003B0D84" w:rsidRDefault="00C1567C" w:rsidP="009D672F">
      <w:pPr>
        <w:pStyle w:val="Para0s"/>
        <w:spacing w:after="0"/>
        <w:rPr>
          <w:lang w:val="el-GR"/>
        </w:rPr>
      </w:pPr>
      <w:r w:rsidRPr="003B0D84">
        <w:rPr>
          <w:lang w:val="el-GR"/>
        </w:rPr>
        <w:t>Σε περίπτωση παρουσίας οποιασδήποτε κατάστασης / παράγοντα κινδύνου που αναφέρεται παρακάτω, τα οφέλη από τη χρήση ενός συνδυασμένου από του στόματος αντισυλληπτικού πρέπει να σταθμίζονται έναντι των πιθανών κινδύνων για κάθε γυναίκα χωριστά και να συζητούνται μαζί της πριν αποφασίσει να ξεκινήσει τη χρήση του. Σε περίπτωση έξαρσης, επιδείνωσης ή πρώτης εμφάνισης οποιασδήποτε από αυτές τις καταστάσεις ή οποιουδήποτε από αυτούς τους παράγον</w:t>
      </w:r>
      <w:r w:rsidR="00CB20EC" w:rsidRPr="003B0D84">
        <w:rPr>
          <w:lang w:val="el-GR"/>
        </w:rPr>
        <w:t>τ</w:t>
      </w:r>
      <w:r w:rsidRPr="003B0D84">
        <w:rPr>
          <w:lang w:val="el-GR"/>
        </w:rPr>
        <w:t>ες κινδύνου, η γυναίκα θα πρέπει να επικοινωνήσει με το γιατρό της. Ο γιατρός θα πρέπει τότε να αποφασίσει εάν θα πρέπει να διακοπεί η χρήση του συνδυασμένου από του στόματος αντισυλληπτικού.</w:t>
      </w:r>
    </w:p>
    <w:p w:rsidR="00C1567C" w:rsidRDefault="00C1567C" w:rsidP="009D672F">
      <w:pPr>
        <w:pStyle w:val="Para0s"/>
        <w:spacing w:after="0"/>
        <w:rPr>
          <w:lang w:val="el-GR"/>
        </w:rPr>
      </w:pPr>
      <w:r w:rsidRPr="003B0D84">
        <w:rPr>
          <w:lang w:val="el-GR"/>
        </w:rPr>
        <w:t>Δεν υπάρχουν επιδημιολογικές μελέτες σχετικά με τις επιδράσεις των συνδυασμένων από του στόματος αντισυλληπτ</w:t>
      </w:r>
      <w:r w:rsidR="00187020">
        <w:rPr>
          <w:lang w:val="el-GR"/>
        </w:rPr>
        <w:t>ικών που περιέχουν οιστραδιόλη/</w:t>
      </w:r>
      <w:r w:rsidR="00D95EBC" w:rsidRPr="003B0D84">
        <w:rPr>
          <w:lang w:val="el-GR"/>
        </w:rPr>
        <w:t>estradiol valerate</w:t>
      </w:r>
      <w:r w:rsidRPr="003B0D84">
        <w:rPr>
          <w:lang w:val="el-GR"/>
        </w:rPr>
        <w:t xml:space="preserve">. Όλες οι ακόλουθες προειδοποιήσεις και προφυλάξεις προέρχονται από κλινικά και επιδημιολογικά δεδομένα συνδυασμένων από του στόματος αντισυλληπτικών που περιέχουν </w:t>
      </w:r>
      <w:r w:rsidRPr="003B0D84">
        <w:rPr>
          <w:i/>
          <w:iCs/>
          <w:lang w:val="el-GR"/>
        </w:rPr>
        <w:t>αιθινυλοιστραδιόλη</w:t>
      </w:r>
      <w:r w:rsidRPr="003B0D84">
        <w:rPr>
          <w:lang w:val="el-GR"/>
        </w:rPr>
        <w:t xml:space="preserve">. Το εάν αυτές οι </w:t>
      </w:r>
      <w:r w:rsidR="00187020">
        <w:rPr>
          <w:lang w:val="el-GR"/>
        </w:rPr>
        <w:t>προειδοποιήσεις και προφυλάξεις</w:t>
      </w:r>
      <w:r w:rsidR="00125255" w:rsidRPr="003B0D84">
        <w:rPr>
          <w:lang w:val="el-GR"/>
        </w:rPr>
        <w:t xml:space="preserve"> ισχύουν για το</w:t>
      </w:r>
      <w:r w:rsidRPr="003B0D84">
        <w:rPr>
          <w:lang w:val="el-GR"/>
        </w:rPr>
        <w:t xml:space="preserve"> Qlaira δεν είναι γνωστό.</w:t>
      </w:r>
    </w:p>
    <w:p w:rsidR="009D672F" w:rsidRPr="003B0D84" w:rsidRDefault="009D672F" w:rsidP="009D672F">
      <w:pPr>
        <w:pStyle w:val="Para0s"/>
        <w:spacing w:after="0"/>
        <w:rPr>
          <w:lang w:val="el-GR"/>
        </w:rPr>
      </w:pPr>
    </w:p>
    <w:p w:rsidR="00C1567C" w:rsidRPr="003B0D84" w:rsidRDefault="00C1567C" w:rsidP="009D672F">
      <w:pPr>
        <w:pStyle w:val="Bullet0dKT"/>
        <w:spacing w:before="0" w:after="0"/>
        <w:ind w:left="357" w:hanging="357"/>
        <w:rPr>
          <w:lang w:val="el-GR"/>
        </w:rPr>
      </w:pPr>
      <w:r w:rsidRPr="003B0D84">
        <w:rPr>
          <w:lang w:val="el-GR"/>
        </w:rPr>
        <w:lastRenderedPageBreak/>
        <w:t>Κυκλοφορικές διαταραχές</w:t>
      </w:r>
    </w:p>
    <w:p w:rsidR="00B873AE" w:rsidRPr="003B0D84" w:rsidRDefault="00B873AE" w:rsidP="009D672F">
      <w:pPr>
        <w:pStyle w:val="Para0s"/>
        <w:spacing w:after="0"/>
        <w:rPr>
          <w:lang w:val="el-GR"/>
        </w:rPr>
      </w:pPr>
      <w:r w:rsidRPr="003B0D84">
        <w:rPr>
          <w:lang w:val="el-GR"/>
        </w:rPr>
        <w:t xml:space="preserve">Επιδημιολογικές μελέτες έχουν δείξει ότι </w:t>
      </w:r>
      <w:r w:rsidR="00BE558A" w:rsidRPr="003B0D84">
        <w:rPr>
          <w:lang w:val="el-GR"/>
        </w:rPr>
        <w:t>η συχνότητα φλεβικής θρομβοεμβολής (</w:t>
      </w:r>
      <w:r w:rsidR="00BE558A" w:rsidRPr="003B0D84">
        <w:t>VTE</w:t>
      </w:r>
      <w:r w:rsidR="00BE558A" w:rsidRPr="003B0D84">
        <w:rPr>
          <w:lang w:val="el-GR"/>
        </w:rPr>
        <w:t>)</w:t>
      </w:r>
      <w:r w:rsidR="003243C8" w:rsidRPr="003B0D84">
        <w:rPr>
          <w:lang w:val="el-GR"/>
        </w:rPr>
        <w:t xml:space="preserve"> </w:t>
      </w:r>
      <w:r w:rsidR="00BE558A" w:rsidRPr="003B0D84">
        <w:rPr>
          <w:lang w:val="el-GR"/>
        </w:rPr>
        <w:t>σε χρήστριες από του στόματος αντισυλληπτικών οιστρογόνου χαμηλής δόσης (&lt;50μ</w:t>
      </w:r>
      <w:r w:rsidR="00BE558A" w:rsidRPr="003B0D84">
        <w:t>g</w:t>
      </w:r>
      <w:r w:rsidR="00BE558A" w:rsidRPr="003B0D84">
        <w:rPr>
          <w:lang w:val="el-GR"/>
        </w:rPr>
        <w:t xml:space="preserve"> αιθινυλοιστραδιόλης) είναι μεταξύ 20 και 40 </w:t>
      </w:r>
      <w:r w:rsidR="0094165F" w:rsidRPr="003B0D84">
        <w:rPr>
          <w:lang w:val="el-GR"/>
        </w:rPr>
        <w:t>π</w:t>
      </w:r>
      <w:r w:rsidR="00FA6460" w:rsidRPr="003B0D84">
        <w:rPr>
          <w:lang w:val="el-GR"/>
        </w:rPr>
        <w:t>εριπτώσεων ανά 100.000 γυναίκες-</w:t>
      </w:r>
      <w:r w:rsidR="0094165F" w:rsidRPr="003B0D84">
        <w:rPr>
          <w:lang w:val="el-GR"/>
        </w:rPr>
        <w:t>χρόνια, αλλά αυτή η εκτίμηση κινδύνου ποικίλλει</w:t>
      </w:r>
      <w:r w:rsidR="003243C8" w:rsidRPr="003B0D84">
        <w:rPr>
          <w:lang w:val="el-GR"/>
        </w:rPr>
        <w:t xml:space="preserve"> ανάλογα με το προγεσταγόνο</w:t>
      </w:r>
      <w:r w:rsidR="0094165F" w:rsidRPr="003B0D84">
        <w:rPr>
          <w:lang w:val="el-GR"/>
        </w:rPr>
        <w:t>. Αυτό συγκρίνεται με 5 έως 10 π</w:t>
      </w:r>
      <w:r w:rsidR="00FA6460" w:rsidRPr="003B0D84">
        <w:rPr>
          <w:lang w:val="el-GR"/>
        </w:rPr>
        <w:t>εριστατικά ανά 100.000 γυναίκες-</w:t>
      </w:r>
      <w:r w:rsidR="0094165F" w:rsidRPr="003B0D84">
        <w:rPr>
          <w:lang w:val="el-GR"/>
        </w:rPr>
        <w:t>χρόνια για τις μη χρήστριες.</w:t>
      </w:r>
    </w:p>
    <w:p w:rsidR="00E358CA" w:rsidRPr="004610CB" w:rsidRDefault="0094165F" w:rsidP="009D672F">
      <w:pPr>
        <w:pStyle w:val="Para0s"/>
        <w:spacing w:after="0"/>
        <w:rPr>
          <w:lang w:val="el-GR"/>
        </w:rPr>
      </w:pPr>
      <w:r w:rsidRPr="003B0D84">
        <w:rPr>
          <w:lang w:val="el-GR"/>
        </w:rPr>
        <w:t>Η χρήση οποιουδήποτε συνδυασμένου από του στόματος αντισυλλη</w:t>
      </w:r>
      <w:r w:rsidR="00203E42" w:rsidRPr="003B0D84">
        <w:rPr>
          <w:lang w:val="el-GR"/>
        </w:rPr>
        <w:t xml:space="preserve">πτικού </w:t>
      </w:r>
      <w:r w:rsidR="00E358CA" w:rsidRPr="004610CB">
        <w:rPr>
          <w:lang w:val="el-GR"/>
        </w:rPr>
        <w:t>(</w:t>
      </w:r>
      <w:r w:rsidR="00E358CA">
        <w:t>COC</w:t>
      </w:r>
      <w:r w:rsidR="00E358CA" w:rsidRPr="004610CB">
        <w:rPr>
          <w:lang w:val="el-GR"/>
        </w:rPr>
        <w:t xml:space="preserve">, </w:t>
      </w:r>
      <w:r w:rsidR="00203E42" w:rsidRPr="003B0D84">
        <w:rPr>
          <w:lang w:val="el-GR"/>
        </w:rPr>
        <w:t xml:space="preserve">συμπεριλαμβανομένου </w:t>
      </w:r>
      <w:r w:rsidRPr="003B0D84">
        <w:rPr>
          <w:lang w:val="el-GR"/>
        </w:rPr>
        <w:t xml:space="preserve">του </w:t>
      </w:r>
      <w:r w:rsidRPr="003B0D84">
        <w:t>Qlaira</w:t>
      </w:r>
      <w:r w:rsidRPr="003B0D84">
        <w:rPr>
          <w:lang w:val="el-GR"/>
        </w:rPr>
        <w:t xml:space="preserve">) </w:t>
      </w:r>
      <w:r w:rsidR="00203E42" w:rsidRPr="003B0D84">
        <w:rPr>
          <w:lang w:val="el-GR"/>
        </w:rPr>
        <w:t xml:space="preserve">παρουσιάζει αυξημένο κίνδυνο </w:t>
      </w:r>
      <w:r w:rsidR="00125255" w:rsidRPr="003B0D84">
        <w:rPr>
          <w:lang w:val="el-GR"/>
        </w:rPr>
        <w:t xml:space="preserve">φλεβικής </w:t>
      </w:r>
      <w:r w:rsidR="00E819C0">
        <w:rPr>
          <w:lang w:val="el-GR"/>
        </w:rPr>
        <w:t>θρομβοεμβολ</w:t>
      </w:r>
      <w:r w:rsidR="00203E42" w:rsidRPr="003B0D84">
        <w:rPr>
          <w:lang w:val="el-GR"/>
        </w:rPr>
        <w:t xml:space="preserve">ής </w:t>
      </w:r>
      <w:r w:rsidR="00FA6460" w:rsidRPr="003B0D84">
        <w:rPr>
          <w:lang w:val="el-GR"/>
        </w:rPr>
        <w:t>(</w:t>
      </w:r>
      <w:r w:rsidR="00FA6460" w:rsidRPr="003B0D84">
        <w:t>VTE</w:t>
      </w:r>
      <w:r w:rsidR="00FA6460" w:rsidRPr="003B0D84">
        <w:rPr>
          <w:lang w:val="el-GR"/>
        </w:rPr>
        <w:t>)</w:t>
      </w:r>
      <w:r w:rsidR="00203E42" w:rsidRPr="003B0D84">
        <w:rPr>
          <w:lang w:val="el-GR"/>
        </w:rPr>
        <w:t xml:space="preserve"> σε σχέση με τη μη χρήση. </w:t>
      </w:r>
      <w:r w:rsidR="00A54CA5" w:rsidRPr="003B0D84">
        <w:rPr>
          <w:lang w:val="el-GR"/>
        </w:rPr>
        <w:t>Ο ε</w:t>
      </w:r>
      <w:r w:rsidR="00234775">
        <w:rPr>
          <w:lang w:val="el-GR"/>
        </w:rPr>
        <w:t>πιπλέον</w:t>
      </w:r>
      <w:r w:rsidR="00203E42" w:rsidRPr="003B0D84">
        <w:rPr>
          <w:lang w:val="el-GR"/>
        </w:rPr>
        <w:t xml:space="preserve"> κίνδυνος φλεβικής θ</w:t>
      </w:r>
      <w:r w:rsidR="00FA6460" w:rsidRPr="003B0D84">
        <w:rPr>
          <w:lang w:val="el-GR"/>
        </w:rPr>
        <w:t>ρομβοεμβολής είναι</w:t>
      </w:r>
      <w:r w:rsidR="004610CB" w:rsidRPr="00BD25FC">
        <w:rPr>
          <w:lang w:val="el-GR"/>
        </w:rPr>
        <w:t xml:space="preserve"> </w:t>
      </w:r>
      <w:r w:rsidR="009D50F0">
        <w:rPr>
          <w:lang w:val="el-GR"/>
        </w:rPr>
        <w:t>υψηλότερος κατά τη διάρκεια του</w:t>
      </w:r>
      <w:r w:rsidR="00FA6460" w:rsidRPr="003B0D84">
        <w:rPr>
          <w:lang w:val="el-GR"/>
        </w:rPr>
        <w:t xml:space="preserve"> </w:t>
      </w:r>
      <w:r w:rsidR="009D50F0">
        <w:rPr>
          <w:lang w:val="el-GR"/>
        </w:rPr>
        <w:t xml:space="preserve">πρώτου χρόνου που μία </w:t>
      </w:r>
      <w:r w:rsidR="00E358CA">
        <w:rPr>
          <w:lang w:val="el-GR"/>
        </w:rPr>
        <w:t xml:space="preserve">γυναίκα ξεκινά για πρώτη φορά τη χρήση ενός συνδυασμένου από του στόματος αντισυλληπτικού ή όταν ξεκινά εκ νέου </w:t>
      </w:r>
      <w:r w:rsidR="009D50F0">
        <w:rPr>
          <w:lang w:val="el-GR"/>
        </w:rPr>
        <w:t>τη χρήση ενός</w:t>
      </w:r>
      <w:r w:rsidR="00E358CA">
        <w:rPr>
          <w:lang w:val="el-GR"/>
        </w:rPr>
        <w:t xml:space="preserve"> συνδυασμένο</w:t>
      </w:r>
      <w:r w:rsidR="009D50F0">
        <w:rPr>
          <w:lang w:val="el-GR"/>
        </w:rPr>
        <w:t>υ</w:t>
      </w:r>
      <w:r w:rsidR="00E358CA">
        <w:rPr>
          <w:lang w:val="el-GR"/>
        </w:rPr>
        <w:t xml:space="preserve"> από του στόματος αντισυλληπτικ</w:t>
      </w:r>
      <w:r w:rsidR="009D50F0">
        <w:rPr>
          <w:lang w:val="el-GR"/>
        </w:rPr>
        <w:t>ού</w:t>
      </w:r>
      <w:r w:rsidR="00E358CA">
        <w:rPr>
          <w:lang w:val="el-GR"/>
        </w:rPr>
        <w:t xml:space="preserve"> μετά από ένα διάστημα χωρίς δισκία τουλάχιστον ενός μήνα. </w:t>
      </w:r>
    </w:p>
    <w:p w:rsidR="00203E42" w:rsidRPr="003B0D84" w:rsidRDefault="00203E42" w:rsidP="009D672F">
      <w:pPr>
        <w:pStyle w:val="Para0s"/>
        <w:spacing w:after="0"/>
        <w:rPr>
          <w:lang w:val="el-GR"/>
        </w:rPr>
      </w:pPr>
      <w:r w:rsidRPr="003B0D84">
        <w:rPr>
          <w:lang w:val="el-GR"/>
        </w:rPr>
        <w:t>Η συχνότητα φλεβικής θρομβοεμβολής που σχετίζεται με την κύηση εκτιμάται σε 60 περιπτώσεις ανά 100.00</w:t>
      </w:r>
      <w:r w:rsidR="00DB7F7F" w:rsidRPr="00DC523C">
        <w:rPr>
          <w:lang w:val="el-GR"/>
        </w:rPr>
        <w:t>0</w:t>
      </w:r>
      <w:r w:rsidRPr="003B0D84">
        <w:rPr>
          <w:lang w:val="el-GR"/>
        </w:rPr>
        <w:t xml:space="preserve"> κυήσεις. Η φλε</w:t>
      </w:r>
      <w:r w:rsidR="00FA6460" w:rsidRPr="003B0D84">
        <w:rPr>
          <w:lang w:val="el-GR"/>
        </w:rPr>
        <w:t>βική θρομβοεμβολή έχει μοιραία έκβαση στο</w:t>
      </w:r>
      <w:r w:rsidRPr="003B0D84">
        <w:rPr>
          <w:lang w:val="el-GR"/>
        </w:rPr>
        <w:t xml:space="preserve"> 1-2 % των περιπτώσεων.</w:t>
      </w:r>
    </w:p>
    <w:p w:rsidR="00203E42" w:rsidRPr="003B0D84" w:rsidRDefault="00203E42" w:rsidP="009D672F">
      <w:pPr>
        <w:pStyle w:val="Para0s"/>
        <w:spacing w:after="0"/>
        <w:rPr>
          <w:lang w:val="el-GR"/>
        </w:rPr>
      </w:pPr>
      <w:r w:rsidRPr="003B0D84">
        <w:rPr>
          <w:lang w:val="el-GR"/>
        </w:rPr>
        <w:t xml:space="preserve">Ο κίνδυνος φλεβικής θρομβοεμβολής κατά τη χρήση με </w:t>
      </w:r>
      <w:r w:rsidRPr="003B0D84">
        <w:t>Qlaira</w:t>
      </w:r>
      <w:r w:rsidR="005063EB" w:rsidRPr="003B0D84">
        <w:rPr>
          <w:lang w:val="el-GR"/>
        </w:rPr>
        <w:t xml:space="preserve"> είναι </w:t>
      </w:r>
      <w:r w:rsidRPr="003B0D84">
        <w:rPr>
          <w:lang w:val="el-GR"/>
        </w:rPr>
        <w:t>επί του παρόντος</w:t>
      </w:r>
      <w:r w:rsidR="005063EB" w:rsidRPr="003B0D84">
        <w:rPr>
          <w:lang w:val="el-GR"/>
        </w:rPr>
        <w:t xml:space="preserve"> άγνωστος</w:t>
      </w:r>
      <w:r w:rsidRPr="003B0D84">
        <w:rPr>
          <w:lang w:val="el-GR"/>
        </w:rPr>
        <w:t>.</w:t>
      </w:r>
    </w:p>
    <w:p w:rsidR="000F54E4" w:rsidRPr="003B0D84" w:rsidRDefault="000F54E4" w:rsidP="009D672F">
      <w:pPr>
        <w:pStyle w:val="Para0s"/>
        <w:spacing w:after="0"/>
        <w:rPr>
          <w:lang w:val="el-GR"/>
        </w:rPr>
      </w:pPr>
      <w:r w:rsidRPr="003B0D84">
        <w:rPr>
          <w:lang w:val="el-GR"/>
        </w:rPr>
        <w:t>Επιδημιολογικές μ</w:t>
      </w:r>
      <w:r w:rsidR="005063EB" w:rsidRPr="003B0D84">
        <w:rPr>
          <w:lang w:val="el-GR"/>
        </w:rPr>
        <w:t xml:space="preserve">ελέτες έχουν </w:t>
      </w:r>
      <w:r w:rsidRPr="003B0D84">
        <w:rPr>
          <w:lang w:val="el-GR"/>
        </w:rPr>
        <w:t xml:space="preserve">επίσης </w:t>
      </w:r>
      <w:r w:rsidR="005063EB" w:rsidRPr="003B0D84">
        <w:rPr>
          <w:lang w:val="el-GR"/>
        </w:rPr>
        <w:t>συσχετίσει τη χρήση</w:t>
      </w:r>
      <w:r w:rsidRPr="003B0D84">
        <w:rPr>
          <w:lang w:val="el-GR"/>
        </w:rPr>
        <w:t xml:space="preserve"> συνδυασμένων από του στόματος αντισυλληπτικών που π</w:t>
      </w:r>
      <w:r w:rsidR="00937C9A">
        <w:rPr>
          <w:lang w:val="el-GR"/>
        </w:rPr>
        <w:t>εριέχουν αιθινυλοιστραδιόλη με</w:t>
      </w:r>
      <w:r w:rsidR="005063EB" w:rsidRPr="003B0D84">
        <w:rPr>
          <w:lang w:val="el-GR"/>
        </w:rPr>
        <w:t xml:space="preserve"> αυξημένο κίνδυνο</w:t>
      </w:r>
      <w:r w:rsidRPr="003B0D84">
        <w:rPr>
          <w:lang w:val="el-GR"/>
        </w:rPr>
        <w:t xml:space="preserve"> αρτηριακής θρομβοεμβολής (έμφραγμα του μυοκαρδίου, </w:t>
      </w:r>
      <w:r w:rsidR="00A504DB" w:rsidRPr="003B0D84">
        <w:rPr>
          <w:lang w:val="el-GR"/>
        </w:rPr>
        <w:t>παροδικό ισχαιμικό</w:t>
      </w:r>
      <w:r w:rsidRPr="003B0D84">
        <w:rPr>
          <w:lang w:val="el-GR"/>
        </w:rPr>
        <w:t xml:space="preserve"> επεισόδιο</w:t>
      </w:r>
      <w:r w:rsidR="00A504DB" w:rsidRPr="003B0D84">
        <w:rPr>
          <w:lang w:val="el-GR"/>
        </w:rPr>
        <w:t>).</w:t>
      </w:r>
    </w:p>
    <w:p w:rsidR="00C1567C" w:rsidRPr="003B0D84" w:rsidRDefault="00C1567C" w:rsidP="009D672F">
      <w:pPr>
        <w:pStyle w:val="Para0s"/>
        <w:spacing w:after="0"/>
        <w:rPr>
          <w:lang w:val="el-GR"/>
        </w:rPr>
      </w:pPr>
      <w:r w:rsidRPr="003B0D84">
        <w:rPr>
          <w:lang w:val="el-GR"/>
        </w:rPr>
        <w:t>Εξαιρετικά σπάνια, σε χρήστ</w:t>
      </w:r>
      <w:r w:rsidR="00144AC3" w:rsidRPr="003B0D84">
        <w:rPr>
          <w:lang w:val="el-GR"/>
        </w:rPr>
        <w:t>ρι</w:t>
      </w:r>
      <w:r w:rsidRPr="003B0D84">
        <w:rPr>
          <w:lang w:val="el-GR"/>
        </w:rPr>
        <w:t xml:space="preserve">ες από του στόματος </w:t>
      </w:r>
      <w:r w:rsidR="005063EB" w:rsidRPr="003B0D84">
        <w:rPr>
          <w:lang w:val="el-GR"/>
        </w:rPr>
        <w:t xml:space="preserve">συνδυασμένων </w:t>
      </w:r>
      <w:r w:rsidRPr="003B0D84">
        <w:rPr>
          <w:lang w:val="el-GR"/>
        </w:rPr>
        <w:t>αντισυλληπτικών έχει αναφερθεί ανάπτυξη θρόμβωσης σε άλλα αγγεία, π.χ. ηπατικές, μεσεντέριες, νεφρικές, εγκεφαλικές ή αμφιβληστροειδικές φλέβες και αρτηρίες. Δεν υπάρχει ομοφωνία εάν η εμφάνιση αυτών των περιστατικών σχετίζεται με τη χρήση των συνδυασμένων από του στόματος αντισυλληπτικών.</w:t>
      </w:r>
    </w:p>
    <w:p w:rsidR="00A504DB" w:rsidRPr="003B0D84" w:rsidRDefault="005063EB" w:rsidP="009D672F">
      <w:pPr>
        <w:pStyle w:val="Para0s"/>
        <w:spacing w:after="0"/>
        <w:rPr>
          <w:lang w:val="el-GR"/>
        </w:rPr>
      </w:pPr>
      <w:r w:rsidRPr="003B0D84">
        <w:rPr>
          <w:lang w:val="el-GR"/>
        </w:rPr>
        <w:t>Τα σ</w:t>
      </w:r>
      <w:r w:rsidR="00A504DB" w:rsidRPr="003B0D84">
        <w:rPr>
          <w:lang w:val="el-GR"/>
        </w:rPr>
        <w:t>υμπτώματα φλεβικών ή αρτηριακών θρομβωτικών/θρομβοεμβολικών επεισοδίων ή αγγειακού εγκεφαλικού επεισοδίου μπορεί να περιλαμβάνουν:</w:t>
      </w:r>
    </w:p>
    <w:p w:rsidR="00A504DB" w:rsidRPr="003B0D84" w:rsidRDefault="002C302C" w:rsidP="009D672F">
      <w:pPr>
        <w:pStyle w:val="Para0s"/>
        <w:numPr>
          <w:ilvl w:val="0"/>
          <w:numId w:val="42"/>
        </w:numPr>
        <w:spacing w:after="0"/>
        <w:rPr>
          <w:lang w:val="el-GR"/>
        </w:rPr>
      </w:pPr>
      <w:r w:rsidRPr="003B0D84">
        <w:rPr>
          <w:lang w:val="el-GR"/>
        </w:rPr>
        <w:t>Μονό</w:t>
      </w:r>
      <w:r w:rsidR="005063EB" w:rsidRPr="003B0D84">
        <w:rPr>
          <w:lang w:val="el-GR"/>
        </w:rPr>
        <w:t>πλευρο άλγος στα κάτω άκρα και/ή</w:t>
      </w:r>
      <w:r w:rsidRPr="003B0D84">
        <w:rPr>
          <w:lang w:val="el-GR"/>
        </w:rPr>
        <w:t xml:space="preserve"> οίδημα</w:t>
      </w:r>
    </w:p>
    <w:p w:rsidR="002C302C" w:rsidRPr="003B0D84" w:rsidRDefault="002C302C" w:rsidP="009D672F">
      <w:pPr>
        <w:pStyle w:val="Para0s"/>
        <w:numPr>
          <w:ilvl w:val="0"/>
          <w:numId w:val="42"/>
        </w:numPr>
        <w:spacing w:after="0"/>
        <w:rPr>
          <w:lang w:val="el-GR"/>
        </w:rPr>
      </w:pPr>
      <w:r w:rsidRPr="003B0D84">
        <w:rPr>
          <w:lang w:val="el-GR"/>
        </w:rPr>
        <w:t xml:space="preserve">Αιφνίδιο </w:t>
      </w:r>
      <w:r w:rsidR="00125255" w:rsidRPr="003B0D84">
        <w:rPr>
          <w:lang w:val="el-GR"/>
        </w:rPr>
        <w:t xml:space="preserve">έντονο </w:t>
      </w:r>
      <w:r w:rsidRPr="003B0D84">
        <w:rPr>
          <w:lang w:val="el-GR"/>
        </w:rPr>
        <w:t>άλγος στο στήθος, το οποίο μπορεί να επεκτείνεται ή όχι στον αριστερό βραχίονα</w:t>
      </w:r>
    </w:p>
    <w:p w:rsidR="002C302C" w:rsidRPr="003B0D84" w:rsidRDefault="002C302C" w:rsidP="009D672F">
      <w:pPr>
        <w:pStyle w:val="Para0s"/>
        <w:numPr>
          <w:ilvl w:val="0"/>
          <w:numId w:val="42"/>
        </w:numPr>
        <w:spacing w:after="0"/>
        <w:rPr>
          <w:lang w:val="el-GR"/>
        </w:rPr>
      </w:pPr>
      <w:r w:rsidRPr="003B0D84">
        <w:rPr>
          <w:lang w:val="el-GR"/>
        </w:rPr>
        <w:t>Αιφνίδια δύσπνοια</w:t>
      </w:r>
    </w:p>
    <w:p w:rsidR="002C302C" w:rsidRPr="003B0D84" w:rsidRDefault="002C302C" w:rsidP="009D672F">
      <w:pPr>
        <w:pStyle w:val="Para0s"/>
        <w:numPr>
          <w:ilvl w:val="0"/>
          <w:numId w:val="42"/>
        </w:numPr>
        <w:spacing w:after="0"/>
        <w:rPr>
          <w:lang w:val="el-GR"/>
        </w:rPr>
      </w:pPr>
      <w:r w:rsidRPr="003B0D84">
        <w:rPr>
          <w:lang w:val="el-GR"/>
        </w:rPr>
        <w:t>Αιφνίδια έναρξη βήχα</w:t>
      </w:r>
    </w:p>
    <w:p w:rsidR="002C302C" w:rsidRPr="003B0D84" w:rsidRDefault="002C302C" w:rsidP="009D672F">
      <w:pPr>
        <w:pStyle w:val="Para0s"/>
        <w:numPr>
          <w:ilvl w:val="0"/>
          <w:numId w:val="42"/>
        </w:numPr>
        <w:spacing w:after="0"/>
        <w:rPr>
          <w:lang w:val="el-GR"/>
        </w:rPr>
      </w:pPr>
      <w:r w:rsidRPr="003B0D84">
        <w:rPr>
          <w:lang w:val="el-GR"/>
        </w:rPr>
        <w:t>Οποιαδήποτε ασυνήθιστη, έντονη, παρατεταμένη κεφαλαλγία</w:t>
      </w:r>
    </w:p>
    <w:p w:rsidR="002C302C" w:rsidRPr="003B0D84" w:rsidRDefault="002C302C" w:rsidP="009D672F">
      <w:pPr>
        <w:pStyle w:val="Para0s"/>
        <w:numPr>
          <w:ilvl w:val="0"/>
          <w:numId w:val="42"/>
        </w:numPr>
        <w:spacing w:after="0"/>
        <w:rPr>
          <w:lang w:val="el-GR"/>
        </w:rPr>
      </w:pPr>
      <w:r w:rsidRPr="003B0D84">
        <w:rPr>
          <w:lang w:val="el-GR"/>
        </w:rPr>
        <w:t>Αιφνίδια μερική ή ολική απώλεια όρασης</w:t>
      </w:r>
    </w:p>
    <w:p w:rsidR="002C302C" w:rsidRPr="003B0D84" w:rsidRDefault="002C302C" w:rsidP="009D672F">
      <w:pPr>
        <w:pStyle w:val="Para0s"/>
        <w:numPr>
          <w:ilvl w:val="0"/>
          <w:numId w:val="42"/>
        </w:numPr>
        <w:spacing w:after="0"/>
        <w:rPr>
          <w:lang w:val="el-GR"/>
        </w:rPr>
      </w:pPr>
      <w:r w:rsidRPr="003B0D84">
        <w:rPr>
          <w:lang w:val="el-GR"/>
        </w:rPr>
        <w:t>Διπλωπία</w:t>
      </w:r>
    </w:p>
    <w:p w:rsidR="002C302C" w:rsidRPr="003B0D84" w:rsidRDefault="00125255" w:rsidP="009D672F">
      <w:pPr>
        <w:pStyle w:val="Para0s"/>
        <w:numPr>
          <w:ilvl w:val="0"/>
          <w:numId w:val="42"/>
        </w:numPr>
        <w:spacing w:after="0"/>
        <w:rPr>
          <w:lang w:val="el-GR"/>
        </w:rPr>
      </w:pPr>
      <w:r w:rsidRPr="003B0D84">
        <w:rPr>
          <w:lang w:val="el-GR"/>
        </w:rPr>
        <w:t xml:space="preserve">Ακατάστατος λόγος </w:t>
      </w:r>
      <w:r w:rsidR="002C302C" w:rsidRPr="003B0D84">
        <w:rPr>
          <w:lang w:val="el-GR"/>
        </w:rPr>
        <w:t>ή αφασία</w:t>
      </w:r>
    </w:p>
    <w:p w:rsidR="002C302C" w:rsidRPr="003B0D84" w:rsidRDefault="005063EB" w:rsidP="009D672F">
      <w:pPr>
        <w:pStyle w:val="Para0s"/>
        <w:numPr>
          <w:ilvl w:val="0"/>
          <w:numId w:val="42"/>
        </w:numPr>
        <w:spacing w:after="0"/>
        <w:rPr>
          <w:lang w:val="el-GR"/>
        </w:rPr>
      </w:pPr>
      <w:r w:rsidRPr="003B0D84">
        <w:rPr>
          <w:lang w:val="el-GR"/>
        </w:rPr>
        <w:t>Ίλιγγο</w:t>
      </w:r>
    </w:p>
    <w:p w:rsidR="002C302C" w:rsidRPr="003B0D84" w:rsidRDefault="00125255" w:rsidP="009D672F">
      <w:pPr>
        <w:pStyle w:val="Para0s"/>
        <w:numPr>
          <w:ilvl w:val="0"/>
          <w:numId w:val="42"/>
        </w:numPr>
        <w:spacing w:after="0"/>
        <w:rPr>
          <w:lang w:val="el-GR"/>
        </w:rPr>
      </w:pPr>
      <w:r w:rsidRPr="003B0D84">
        <w:rPr>
          <w:lang w:val="el-GR"/>
        </w:rPr>
        <w:t xml:space="preserve"> Κατέρ</w:t>
      </w:r>
      <w:r w:rsidR="000C253D">
        <w:rPr>
          <w:lang w:val="el-GR"/>
        </w:rPr>
        <w:t>ρ</w:t>
      </w:r>
      <w:r w:rsidRPr="003B0D84">
        <w:rPr>
          <w:lang w:val="el-GR"/>
        </w:rPr>
        <w:t>ειψη</w:t>
      </w:r>
      <w:r w:rsidR="002C302C" w:rsidRPr="003B0D84">
        <w:rPr>
          <w:lang w:val="el-GR"/>
        </w:rPr>
        <w:t xml:space="preserve"> με ή χωρίς εστιακή επιληπτική κρίση</w:t>
      </w:r>
    </w:p>
    <w:p w:rsidR="002C302C" w:rsidRPr="003B0D84" w:rsidRDefault="002C302C" w:rsidP="009D672F">
      <w:pPr>
        <w:pStyle w:val="Para0s"/>
        <w:numPr>
          <w:ilvl w:val="0"/>
          <w:numId w:val="42"/>
        </w:numPr>
        <w:spacing w:after="0"/>
        <w:rPr>
          <w:lang w:val="el-GR"/>
        </w:rPr>
      </w:pPr>
      <w:r w:rsidRPr="003B0D84">
        <w:rPr>
          <w:lang w:val="el-GR"/>
        </w:rPr>
        <w:t>Αδυναμία ή πολύ έντον</w:t>
      </w:r>
      <w:r w:rsidR="00125255" w:rsidRPr="003B0D84">
        <w:rPr>
          <w:lang w:val="el-GR"/>
        </w:rPr>
        <w:t>η</w:t>
      </w:r>
      <w:r w:rsidRPr="003B0D84">
        <w:rPr>
          <w:lang w:val="el-GR"/>
        </w:rPr>
        <w:t xml:space="preserve"> </w:t>
      </w:r>
      <w:r w:rsidR="00125255" w:rsidRPr="003B0D84">
        <w:rPr>
          <w:lang w:val="el-GR"/>
        </w:rPr>
        <w:t xml:space="preserve">αιμωδία </w:t>
      </w:r>
      <w:r w:rsidRPr="003B0D84">
        <w:rPr>
          <w:lang w:val="el-GR"/>
        </w:rPr>
        <w:t>που προσβάλλει ξαφνικά μια πλευρά ή ένα μέρος του σώματος, κινητικές διαταραχές</w:t>
      </w:r>
    </w:p>
    <w:p w:rsidR="002C302C" w:rsidRPr="003B0D84" w:rsidRDefault="00144AC3" w:rsidP="009D672F">
      <w:pPr>
        <w:pStyle w:val="Para0s"/>
        <w:numPr>
          <w:ilvl w:val="0"/>
          <w:numId w:val="42"/>
        </w:numPr>
        <w:spacing w:after="0"/>
        <w:rPr>
          <w:lang w:val="el-GR"/>
        </w:rPr>
      </w:pPr>
      <w:r w:rsidRPr="003B0D84" w:rsidDel="00144AC3">
        <w:rPr>
          <w:lang w:val="el-GR"/>
        </w:rPr>
        <w:t xml:space="preserve"> </w:t>
      </w:r>
      <w:r w:rsidR="00D1652B">
        <w:rPr>
          <w:lang w:val="el-GR"/>
        </w:rPr>
        <w:t>«Ο</w:t>
      </w:r>
      <w:r w:rsidR="002C302C" w:rsidRPr="003B0D84">
        <w:rPr>
          <w:lang w:val="el-GR"/>
        </w:rPr>
        <w:t>ξεία» κοιλία</w:t>
      </w:r>
    </w:p>
    <w:p w:rsidR="002C302C" w:rsidRPr="003B0D84" w:rsidRDefault="002C302C" w:rsidP="009D672F">
      <w:pPr>
        <w:pStyle w:val="Para0s"/>
        <w:spacing w:after="0"/>
        <w:rPr>
          <w:lang w:val="el-GR"/>
        </w:rPr>
      </w:pPr>
      <w:r w:rsidRPr="003B0D84">
        <w:rPr>
          <w:lang w:val="el-GR"/>
        </w:rPr>
        <w:t xml:space="preserve">Ο κίνδυνος για </w:t>
      </w:r>
      <w:r w:rsidR="000C253D" w:rsidRPr="003B0D84">
        <w:rPr>
          <w:lang w:val="el-GR"/>
        </w:rPr>
        <w:t>φλεβικά</w:t>
      </w:r>
      <w:r w:rsidR="00444DDE" w:rsidRPr="003B0D84">
        <w:rPr>
          <w:lang w:val="el-GR"/>
        </w:rPr>
        <w:t xml:space="preserve"> θρομβοεμβολικ</w:t>
      </w:r>
      <w:r w:rsidR="00125255" w:rsidRPr="003B0D84">
        <w:rPr>
          <w:lang w:val="el-GR"/>
        </w:rPr>
        <w:t>ά</w:t>
      </w:r>
      <w:r w:rsidR="00444DDE" w:rsidRPr="003B0D84">
        <w:rPr>
          <w:lang w:val="el-GR"/>
        </w:rPr>
        <w:t xml:space="preserve"> </w:t>
      </w:r>
      <w:r w:rsidR="003D27A5">
        <w:rPr>
          <w:lang w:val="el-GR"/>
        </w:rPr>
        <w:t>επεισόδια</w:t>
      </w:r>
      <w:r w:rsidR="00444DDE" w:rsidRPr="003B0D84">
        <w:rPr>
          <w:lang w:val="el-GR"/>
        </w:rPr>
        <w:t xml:space="preserve"> σε χρήστριες συνδυασμένου από του στόματος αντισυλληπτικών αυξάνεται με:</w:t>
      </w:r>
    </w:p>
    <w:p w:rsidR="00444DDE" w:rsidRPr="003B0D84" w:rsidRDefault="00444DDE" w:rsidP="009D672F">
      <w:pPr>
        <w:pStyle w:val="Para0s"/>
        <w:numPr>
          <w:ilvl w:val="0"/>
          <w:numId w:val="43"/>
        </w:numPr>
        <w:tabs>
          <w:tab w:val="left" w:pos="1980"/>
        </w:tabs>
        <w:spacing w:after="0"/>
        <w:rPr>
          <w:lang w:val="el-GR"/>
        </w:rPr>
      </w:pPr>
      <w:r w:rsidRPr="003B0D84">
        <w:rPr>
          <w:lang w:val="el-GR"/>
        </w:rPr>
        <w:t xml:space="preserve">Την </w:t>
      </w:r>
      <w:r w:rsidR="005063EB" w:rsidRPr="003B0D84">
        <w:rPr>
          <w:lang w:val="el-GR"/>
        </w:rPr>
        <w:t xml:space="preserve"> </w:t>
      </w:r>
      <w:r w:rsidR="00125255" w:rsidRPr="003B0D84">
        <w:rPr>
          <w:lang w:val="el-GR"/>
        </w:rPr>
        <w:t xml:space="preserve">αύξηση της </w:t>
      </w:r>
      <w:r w:rsidRPr="003B0D84">
        <w:rPr>
          <w:lang w:val="el-GR"/>
        </w:rPr>
        <w:t>ηλικία</w:t>
      </w:r>
      <w:r w:rsidR="00125255" w:rsidRPr="003B0D84">
        <w:rPr>
          <w:lang w:val="el-GR"/>
        </w:rPr>
        <w:t>ς</w:t>
      </w:r>
    </w:p>
    <w:p w:rsidR="00444DDE" w:rsidRPr="003B0D84" w:rsidRDefault="00125255" w:rsidP="009D672F">
      <w:pPr>
        <w:pStyle w:val="Para0s"/>
        <w:numPr>
          <w:ilvl w:val="0"/>
          <w:numId w:val="43"/>
        </w:numPr>
        <w:spacing w:after="0"/>
        <w:rPr>
          <w:lang w:val="el-GR"/>
        </w:rPr>
      </w:pPr>
      <w:r w:rsidRPr="003B0D84">
        <w:rPr>
          <w:lang w:val="el-GR"/>
        </w:rPr>
        <w:t>Θ</w:t>
      </w:r>
      <w:r w:rsidR="00444DDE" w:rsidRPr="003B0D84">
        <w:rPr>
          <w:lang w:val="el-GR"/>
        </w:rPr>
        <w:t xml:space="preserve">ετικό οικογενειακό ιστορικό (φλεβική θρομβοεμβολή σε κάποιον αδελφό ή γονέα σε σχετικά νεαρή ηλικία). Εάν υπάρχει υποψία κληρονομικής προδιάθεσης η γυναίκα </w:t>
      </w:r>
      <w:r w:rsidR="005063EB" w:rsidRPr="003B0D84">
        <w:rPr>
          <w:lang w:val="el-GR"/>
        </w:rPr>
        <w:t>θα πρέπει να ζητήσει τη συμβουλή ενός ειδικού</w:t>
      </w:r>
      <w:r w:rsidR="00444DDE" w:rsidRPr="003B0D84">
        <w:rPr>
          <w:lang w:val="el-GR"/>
        </w:rPr>
        <w:t xml:space="preserve"> πριν αποφασίσει για τη χρήση οποιουδήποτε συνδυασμένου από του στ</w:t>
      </w:r>
      <w:r w:rsidR="00FB5BEA" w:rsidRPr="003B0D84">
        <w:rPr>
          <w:lang w:val="el-GR"/>
        </w:rPr>
        <w:t>όματος αντισυλληπτικού</w:t>
      </w:r>
      <w:r w:rsidR="00444DDE" w:rsidRPr="003B0D84">
        <w:rPr>
          <w:lang w:val="el-GR"/>
        </w:rPr>
        <w:t>.</w:t>
      </w:r>
    </w:p>
    <w:p w:rsidR="00444DDE" w:rsidRPr="003B0D84" w:rsidRDefault="00444DDE" w:rsidP="009D672F">
      <w:pPr>
        <w:pStyle w:val="Para0s"/>
        <w:numPr>
          <w:ilvl w:val="0"/>
          <w:numId w:val="43"/>
        </w:numPr>
        <w:spacing w:after="0"/>
        <w:rPr>
          <w:lang w:val="el-GR"/>
        </w:rPr>
      </w:pPr>
      <w:r w:rsidRPr="003B0D84">
        <w:rPr>
          <w:lang w:val="el-GR"/>
        </w:rPr>
        <w:t xml:space="preserve">Παρατεταμένη ακινητοποίηση, μείζονες χειρουργικές επεμβάσεις, οποιαδήποτε </w:t>
      </w:r>
      <w:r w:rsidR="00125255" w:rsidRPr="003B0D84">
        <w:rPr>
          <w:lang w:val="el-GR"/>
        </w:rPr>
        <w:t xml:space="preserve">χειρουργική </w:t>
      </w:r>
      <w:r w:rsidR="008D6362">
        <w:rPr>
          <w:lang w:val="el-GR"/>
        </w:rPr>
        <w:t>επέμβαση στα κάτω άκρα</w:t>
      </w:r>
      <w:r w:rsidRPr="003B0D84">
        <w:rPr>
          <w:lang w:val="el-GR"/>
        </w:rPr>
        <w:t xml:space="preserve"> ή σοβαρό τραύμα. Σε αυτές τις καταστάσεις συνιστάται </w:t>
      </w:r>
      <w:r w:rsidR="00303BA2" w:rsidRPr="003B0D84">
        <w:rPr>
          <w:lang w:val="el-GR"/>
        </w:rPr>
        <w:t xml:space="preserve">η διακοπή του από του στόματος αντισυλληπτικού (στην περίπτωση προγραμματισμένης </w:t>
      </w:r>
      <w:r w:rsidR="00125255" w:rsidRPr="003B0D84">
        <w:rPr>
          <w:lang w:val="el-GR"/>
        </w:rPr>
        <w:t xml:space="preserve">χειρουργικής </w:t>
      </w:r>
      <w:r w:rsidR="00303BA2" w:rsidRPr="003B0D84">
        <w:rPr>
          <w:lang w:val="el-GR"/>
        </w:rPr>
        <w:lastRenderedPageBreak/>
        <w:t xml:space="preserve">επέμβασης τουλάχιστον 4 εβδομάδες πριν) και η επαναχορήγησή </w:t>
      </w:r>
      <w:r w:rsidR="00CE7C13" w:rsidRPr="003B0D84">
        <w:rPr>
          <w:lang w:val="el-GR"/>
        </w:rPr>
        <w:t>του τουλάχιστον 2 εβδομάδες μετά την πλήρη επανα</w:t>
      </w:r>
      <w:r w:rsidR="00303BA2" w:rsidRPr="003B0D84">
        <w:rPr>
          <w:lang w:val="el-GR"/>
        </w:rPr>
        <w:t>κινητοποίηση.</w:t>
      </w:r>
      <w:r w:rsidR="00CE7C13" w:rsidRPr="003B0D84">
        <w:rPr>
          <w:lang w:val="el-GR"/>
        </w:rPr>
        <w:t xml:space="preserve"> Θα πρέπει να εξετάζεται η χορήγηση αντιθρομβωτικής αγωγής, εάν η χρήση των αντισυλληπτικών δισκίων δεν έχει σταματήσει εκ των προτέρων.</w:t>
      </w:r>
    </w:p>
    <w:p w:rsidR="00303BA2" w:rsidRPr="003B0D84" w:rsidRDefault="00303BA2" w:rsidP="009D672F">
      <w:pPr>
        <w:pStyle w:val="Para0s"/>
        <w:numPr>
          <w:ilvl w:val="0"/>
          <w:numId w:val="43"/>
        </w:numPr>
        <w:spacing w:after="0"/>
        <w:rPr>
          <w:lang w:val="el-GR"/>
        </w:rPr>
      </w:pPr>
      <w:r w:rsidRPr="003B0D84">
        <w:rPr>
          <w:lang w:val="el-GR"/>
        </w:rPr>
        <w:t>Παχ</w:t>
      </w:r>
      <w:r w:rsidR="00CE7C13" w:rsidRPr="003B0D84">
        <w:rPr>
          <w:lang w:val="el-GR"/>
        </w:rPr>
        <w:t xml:space="preserve">υσαρκία (δείκτης μάζας σώματος μεγαλύτερος από </w:t>
      </w:r>
      <w:r w:rsidRPr="003B0D84">
        <w:rPr>
          <w:lang w:val="el-GR"/>
        </w:rPr>
        <w:t>30</w:t>
      </w:r>
      <w:r w:rsidRPr="003B0D84">
        <w:t>kg</w:t>
      </w:r>
      <w:r w:rsidRPr="003B0D84">
        <w:rPr>
          <w:lang w:val="el-GR"/>
        </w:rPr>
        <w:t>/</w:t>
      </w:r>
      <w:r w:rsidRPr="003B0D84">
        <w:t>m</w:t>
      </w:r>
      <w:r w:rsidRPr="003B0D84">
        <w:rPr>
          <w:vertAlign w:val="superscript"/>
          <w:lang w:val="el-GR"/>
        </w:rPr>
        <w:t>2</w:t>
      </w:r>
    </w:p>
    <w:p w:rsidR="00303BA2" w:rsidRPr="003B0D84" w:rsidRDefault="00303BA2" w:rsidP="009D672F">
      <w:pPr>
        <w:pStyle w:val="Para0s"/>
        <w:spacing w:after="0"/>
        <w:rPr>
          <w:lang w:val="el-GR"/>
        </w:rPr>
      </w:pPr>
      <w:r w:rsidRPr="003B0D84">
        <w:rPr>
          <w:lang w:val="el-GR"/>
        </w:rPr>
        <w:t xml:space="preserve">Δεν υπάρχει ομοφωνία σχετικά με τον πιθανό ρόλο των φλεβικών κιρσών και της επιπολής θρομβοφλεβίτιδας κατά την έναρξη ή πρόοδο της φλεβικής </w:t>
      </w:r>
      <w:r w:rsidR="000318FE">
        <w:rPr>
          <w:lang w:val="el-GR"/>
        </w:rPr>
        <w:t>θρόμβωσης</w:t>
      </w:r>
      <w:r w:rsidRPr="003B0D84">
        <w:rPr>
          <w:lang w:val="el-GR"/>
        </w:rPr>
        <w:t>.</w:t>
      </w:r>
    </w:p>
    <w:p w:rsidR="00303BA2" w:rsidRPr="003B0D84" w:rsidRDefault="00F30367" w:rsidP="009D672F">
      <w:pPr>
        <w:pStyle w:val="Para0s"/>
        <w:spacing w:after="0"/>
        <w:rPr>
          <w:lang w:val="el-GR"/>
        </w:rPr>
      </w:pPr>
      <w:r w:rsidRPr="003B0D84">
        <w:rPr>
          <w:lang w:val="el-GR"/>
        </w:rPr>
        <w:t xml:space="preserve">Ο κίνδυνος για </w:t>
      </w:r>
      <w:r w:rsidR="000C253D" w:rsidRPr="003B0D84">
        <w:rPr>
          <w:lang w:val="el-GR"/>
        </w:rPr>
        <w:t>αρτηριακά</w:t>
      </w:r>
      <w:r w:rsidRPr="003B0D84">
        <w:rPr>
          <w:lang w:val="el-GR"/>
        </w:rPr>
        <w:t xml:space="preserve"> </w:t>
      </w:r>
      <w:r w:rsidR="00303BA2" w:rsidRPr="003B0D84">
        <w:rPr>
          <w:lang w:val="el-GR"/>
        </w:rPr>
        <w:t>θρομβοεμβολικ</w:t>
      </w:r>
      <w:r w:rsidR="00125255" w:rsidRPr="003B0D84">
        <w:rPr>
          <w:lang w:val="el-GR"/>
        </w:rPr>
        <w:t>ά</w:t>
      </w:r>
      <w:r w:rsidR="00303BA2" w:rsidRPr="003B0D84">
        <w:rPr>
          <w:lang w:val="el-GR"/>
        </w:rPr>
        <w:t xml:space="preserve"> </w:t>
      </w:r>
      <w:r w:rsidR="00125255" w:rsidRPr="003B0D84">
        <w:rPr>
          <w:lang w:val="el-GR"/>
        </w:rPr>
        <w:t xml:space="preserve">επεισόδια </w:t>
      </w:r>
      <w:r w:rsidR="00303BA2" w:rsidRPr="003B0D84">
        <w:rPr>
          <w:lang w:val="el-GR"/>
        </w:rPr>
        <w:t xml:space="preserve"> ή για αγγειοεγκεφαλικό επεισόδιο αυξάνεται με:</w:t>
      </w:r>
    </w:p>
    <w:p w:rsidR="00C1567C" w:rsidRPr="003B0D84" w:rsidRDefault="00C1567C" w:rsidP="009D672F">
      <w:pPr>
        <w:pStyle w:val="Para0s"/>
        <w:numPr>
          <w:ilvl w:val="0"/>
          <w:numId w:val="39"/>
        </w:numPr>
        <w:spacing w:after="0"/>
        <w:rPr>
          <w:lang w:val="el-GR"/>
        </w:rPr>
      </w:pPr>
      <w:r w:rsidRPr="003B0D84">
        <w:rPr>
          <w:lang w:val="el-GR"/>
        </w:rPr>
        <w:t xml:space="preserve">την </w:t>
      </w:r>
      <w:r w:rsidR="00125255" w:rsidRPr="003B0D84">
        <w:rPr>
          <w:lang w:val="el-GR"/>
        </w:rPr>
        <w:t xml:space="preserve">αύξηση της </w:t>
      </w:r>
      <w:r w:rsidRPr="003B0D84">
        <w:rPr>
          <w:lang w:val="el-GR"/>
        </w:rPr>
        <w:t>ηλικία</w:t>
      </w:r>
      <w:r w:rsidR="00125255" w:rsidRPr="003B0D84">
        <w:rPr>
          <w:lang w:val="el-GR"/>
        </w:rPr>
        <w:t>ς</w:t>
      </w:r>
      <w:r w:rsidR="00B131F9">
        <w:rPr>
          <w:lang w:val="el-GR"/>
        </w:rPr>
        <w:t>,</w:t>
      </w:r>
    </w:p>
    <w:p w:rsidR="00C1567C" w:rsidRPr="003B0D84" w:rsidRDefault="00C1567C" w:rsidP="009D672F">
      <w:pPr>
        <w:pStyle w:val="Para0s"/>
        <w:numPr>
          <w:ilvl w:val="0"/>
          <w:numId w:val="39"/>
        </w:numPr>
        <w:spacing w:after="0"/>
        <w:rPr>
          <w:lang w:val="el-GR"/>
        </w:rPr>
      </w:pPr>
      <w:r w:rsidRPr="003B0D84">
        <w:rPr>
          <w:lang w:val="el-GR"/>
        </w:rPr>
        <w:t>το κάπνισμα (γυναίκες ηλικίας άνω των 35 ετών</w:t>
      </w:r>
      <w:r w:rsidR="00303BA2" w:rsidRPr="003B0D84">
        <w:rPr>
          <w:lang w:val="el-GR"/>
        </w:rPr>
        <w:t xml:space="preserve"> θα πρέπει να συμβουλεύονται </w:t>
      </w:r>
      <w:r w:rsidR="00F30367" w:rsidRPr="003B0D84">
        <w:rPr>
          <w:lang w:val="el-GR"/>
        </w:rPr>
        <w:t xml:space="preserve">έντονα </w:t>
      </w:r>
      <w:r w:rsidR="00303BA2" w:rsidRPr="003B0D84">
        <w:rPr>
          <w:lang w:val="el-GR"/>
        </w:rPr>
        <w:t>να μην καπνίζουν εφόσον επιθυμούν να χρησιμοποιήσουν συνδυασμένο από του στόματος αντισυλληπτικό</w:t>
      </w:r>
      <w:r w:rsidRPr="003B0D84">
        <w:rPr>
          <w:lang w:val="el-GR"/>
        </w:rPr>
        <w:t>),</w:t>
      </w:r>
    </w:p>
    <w:p w:rsidR="00C1567C" w:rsidRPr="003B0D84" w:rsidRDefault="00F305A7" w:rsidP="009D672F">
      <w:pPr>
        <w:pStyle w:val="Para0s"/>
        <w:numPr>
          <w:ilvl w:val="0"/>
          <w:numId w:val="39"/>
        </w:numPr>
        <w:spacing w:after="0"/>
        <w:rPr>
          <w:lang w:val="el-GR"/>
        </w:rPr>
      </w:pPr>
      <w:r>
        <w:rPr>
          <w:lang w:val="el-GR"/>
        </w:rPr>
        <w:t>θετικό οικογενειακό ιστορικό (</w:t>
      </w:r>
      <w:r w:rsidR="00C1567C" w:rsidRPr="003B0D84">
        <w:rPr>
          <w:lang w:val="el-GR"/>
        </w:rPr>
        <w:t>αρτηριακή θρομβοεμβολή σε κάποιον αδελφό ή γονέα σε σχετικά νεαρή ηλικία). Εάν υπάρχει υποψία κληρονομικής προδιάθεσης, η γυναίκα θα</w:t>
      </w:r>
      <w:r w:rsidR="00F30367" w:rsidRPr="003B0D84">
        <w:rPr>
          <w:lang w:val="el-GR"/>
        </w:rPr>
        <w:t xml:space="preserve"> πρέπει να ζητήσει τη συμβουλή ενός ειδικού</w:t>
      </w:r>
      <w:r w:rsidR="00C1567C" w:rsidRPr="003B0D84">
        <w:rPr>
          <w:lang w:val="el-GR"/>
        </w:rPr>
        <w:t xml:space="preserve"> πριν αποφασίσει για τη χρήση οποιουδήποτε συνδυασμένου από του στόματος αντισυλληπτικού,</w:t>
      </w:r>
    </w:p>
    <w:p w:rsidR="00C1567C" w:rsidRPr="003B0D84" w:rsidRDefault="00C1567C" w:rsidP="009D672F">
      <w:pPr>
        <w:pStyle w:val="Para0s"/>
        <w:numPr>
          <w:ilvl w:val="0"/>
          <w:numId w:val="39"/>
        </w:numPr>
        <w:spacing w:after="0"/>
        <w:rPr>
          <w:lang w:val="el-GR"/>
        </w:rPr>
      </w:pPr>
      <w:r w:rsidRPr="003B0D84">
        <w:rPr>
          <w:lang w:val="el-GR"/>
        </w:rPr>
        <w:t>παχυσαρκία (δείκτης μάζας σώματος μεγαλύτερος από 30 kg/m</w:t>
      </w:r>
      <w:r w:rsidRPr="003B0D84">
        <w:rPr>
          <w:vertAlign w:val="superscript"/>
          <w:lang w:val="el-GR"/>
        </w:rPr>
        <w:t>2</w:t>
      </w:r>
      <w:r w:rsidRPr="003B0D84">
        <w:rPr>
          <w:lang w:val="el-GR"/>
        </w:rPr>
        <w:t>),</w:t>
      </w:r>
    </w:p>
    <w:p w:rsidR="00C1567C" w:rsidRPr="003B0D84" w:rsidRDefault="00C1567C" w:rsidP="009D672F">
      <w:pPr>
        <w:pStyle w:val="Para0s"/>
        <w:numPr>
          <w:ilvl w:val="0"/>
          <w:numId w:val="39"/>
        </w:numPr>
        <w:spacing w:after="0"/>
        <w:rPr>
          <w:lang w:val="el-GR"/>
        </w:rPr>
      </w:pPr>
      <w:r w:rsidRPr="003B0D84">
        <w:rPr>
          <w:lang w:val="el-GR"/>
        </w:rPr>
        <w:t>δυσλιποπρωτεϊναιμία,</w:t>
      </w:r>
    </w:p>
    <w:p w:rsidR="00C1567C" w:rsidRPr="003B0D84" w:rsidRDefault="00303BA2" w:rsidP="009D672F">
      <w:pPr>
        <w:pStyle w:val="Para0s"/>
        <w:numPr>
          <w:ilvl w:val="0"/>
          <w:numId w:val="39"/>
        </w:numPr>
        <w:spacing w:after="0"/>
        <w:rPr>
          <w:lang w:val="el-GR"/>
        </w:rPr>
      </w:pPr>
      <w:r w:rsidRPr="003B0D84">
        <w:rPr>
          <w:lang w:val="el-GR"/>
        </w:rPr>
        <w:t>υ</w:t>
      </w:r>
      <w:r w:rsidR="00C1567C" w:rsidRPr="003B0D84">
        <w:rPr>
          <w:lang w:val="el-GR"/>
        </w:rPr>
        <w:t>πέρταση,</w:t>
      </w:r>
    </w:p>
    <w:p w:rsidR="00C1567C" w:rsidRPr="003B0D84" w:rsidRDefault="00C1567C" w:rsidP="009D672F">
      <w:pPr>
        <w:pStyle w:val="Para0s"/>
        <w:numPr>
          <w:ilvl w:val="0"/>
          <w:numId w:val="39"/>
        </w:numPr>
        <w:spacing w:after="0"/>
        <w:rPr>
          <w:lang w:val="el-GR"/>
        </w:rPr>
      </w:pPr>
      <w:r w:rsidRPr="003B0D84">
        <w:rPr>
          <w:lang w:val="el-GR"/>
        </w:rPr>
        <w:t>ημικρανία,</w:t>
      </w:r>
    </w:p>
    <w:p w:rsidR="00C1567C" w:rsidRPr="003B0D84" w:rsidRDefault="00C1567C" w:rsidP="009D672F">
      <w:pPr>
        <w:pStyle w:val="Para0s"/>
        <w:numPr>
          <w:ilvl w:val="0"/>
          <w:numId w:val="39"/>
        </w:numPr>
        <w:spacing w:after="0"/>
        <w:rPr>
          <w:lang w:val="el-GR"/>
        </w:rPr>
      </w:pPr>
      <w:r w:rsidRPr="003B0D84">
        <w:rPr>
          <w:lang w:val="el-GR"/>
        </w:rPr>
        <w:t>βαλβιδοπάθεια,</w:t>
      </w:r>
    </w:p>
    <w:p w:rsidR="00C1567C" w:rsidRPr="003B0D84" w:rsidRDefault="002D5F14" w:rsidP="009D672F">
      <w:pPr>
        <w:pStyle w:val="Para0s"/>
        <w:numPr>
          <w:ilvl w:val="0"/>
          <w:numId w:val="39"/>
        </w:numPr>
        <w:spacing w:after="0"/>
        <w:rPr>
          <w:lang w:val="el-GR"/>
        </w:rPr>
      </w:pPr>
      <w:r>
        <w:rPr>
          <w:lang w:val="el-GR"/>
        </w:rPr>
        <w:t>κολπική μαρμαρυγή</w:t>
      </w:r>
    </w:p>
    <w:p w:rsidR="00F90069" w:rsidRPr="003B0D84" w:rsidRDefault="00F90069" w:rsidP="009D672F">
      <w:pPr>
        <w:pStyle w:val="Para0s"/>
        <w:spacing w:after="0"/>
        <w:rPr>
          <w:lang w:val="el-GR"/>
        </w:rPr>
      </w:pPr>
    </w:p>
    <w:p w:rsidR="00303BA2" w:rsidRPr="003B0D84" w:rsidRDefault="00257BE9" w:rsidP="009D672F">
      <w:pPr>
        <w:pStyle w:val="Para0s"/>
        <w:spacing w:after="0"/>
        <w:rPr>
          <w:lang w:val="el-GR"/>
        </w:rPr>
      </w:pPr>
      <w:r w:rsidRPr="003B0D84">
        <w:rPr>
          <w:lang w:val="el-GR"/>
        </w:rPr>
        <w:t xml:space="preserve">Η παρουσία ενός σοβαρού παράγοντα ή πολλαπλών </w:t>
      </w:r>
      <w:r w:rsidR="00F30367" w:rsidRPr="003B0D84">
        <w:rPr>
          <w:lang w:val="el-GR"/>
        </w:rPr>
        <w:t>παραγόντων κινδύνου για φλεβική ή αρτηριακή νόσο</w:t>
      </w:r>
      <w:r w:rsidRPr="003B0D84">
        <w:rPr>
          <w:lang w:val="el-GR"/>
        </w:rPr>
        <w:t>, αντίστοιχα</w:t>
      </w:r>
      <w:r w:rsidR="00963D80">
        <w:rPr>
          <w:lang w:val="el-GR"/>
        </w:rPr>
        <w:t>,</w:t>
      </w:r>
      <w:r w:rsidRPr="003B0D84">
        <w:rPr>
          <w:lang w:val="el-GR"/>
        </w:rPr>
        <w:t xml:space="preserve"> μπορεί επίσης να </w:t>
      </w:r>
      <w:r w:rsidR="00125255" w:rsidRPr="003B0D84">
        <w:rPr>
          <w:lang w:val="el-GR"/>
        </w:rPr>
        <w:t xml:space="preserve">συνιστά </w:t>
      </w:r>
      <w:r w:rsidRPr="003B0D84">
        <w:rPr>
          <w:lang w:val="el-GR"/>
        </w:rPr>
        <w:t xml:space="preserve"> αντένδειξη. </w:t>
      </w:r>
      <w:r w:rsidR="00E90E46" w:rsidRPr="003B0D84">
        <w:rPr>
          <w:lang w:val="el-GR"/>
        </w:rPr>
        <w:t>Θα πρέπει επίσης να ληφθεί υπόψη η πιθανότητα αντιπηκτικής αγωγής. Θα πρέπει να τονίζεται</w:t>
      </w:r>
      <w:r w:rsidR="00125255" w:rsidRPr="003B0D84">
        <w:rPr>
          <w:lang w:val="el-GR"/>
        </w:rPr>
        <w:t xml:space="preserve"> ιδιαιτέρως</w:t>
      </w:r>
      <w:r w:rsidR="00E90E46" w:rsidRPr="003B0D84">
        <w:rPr>
          <w:lang w:val="el-GR"/>
        </w:rPr>
        <w:t xml:space="preserve"> στις χρήστριες συνδυασμένων από του στόματος αντισυλληπτικών να έρχονται σε επικοινωνία με τον γιατρό τους σε περιπτώσεις εμφάνισης πιθανών συμπτ</w:t>
      </w:r>
      <w:r w:rsidR="00F30367" w:rsidRPr="003B0D84">
        <w:rPr>
          <w:lang w:val="el-GR"/>
        </w:rPr>
        <w:t>ωμάτων θρόμβωσης. Σε περίπτωση υποψίας ή επιβεβαιωμένης θρόμβωσης</w:t>
      </w:r>
      <w:r w:rsidR="00125255" w:rsidRPr="003B0D84">
        <w:rPr>
          <w:lang w:val="el-GR"/>
        </w:rPr>
        <w:t>, η χρήση</w:t>
      </w:r>
      <w:r w:rsidR="00F30367" w:rsidRPr="003B0D84">
        <w:rPr>
          <w:lang w:val="el-GR"/>
        </w:rPr>
        <w:t xml:space="preserve"> των συνδυασμένων από του στόματος αντισυλληπτικών θα πρέπει να διακόπτε</w:t>
      </w:r>
      <w:r w:rsidR="00E90E46" w:rsidRPr="003B0D84">
        <w:rPr>
          <w:lang w:val="el-GR"/>
        </w:rPr>
        <w:t>ται. Θα πρέπει να γίνεται έναρξη επαρκούς εναλλακτικής αντισύλληψης εξαιτίας της τερατογένεσης που προκαλείται απ</w:t>
      </w:r>
      <w:r w:rsidR="00F30367" w:rsidRPr="003B0D84">
        <w:rPr>
          <w:lang w:val="el-GR"/>
        </w:rPr>
        <w:t>ό</w:t>
      </w:r>
      <w:r w:rsidR="00125255" w:rsidRPr="003B0D84">
        <w:rPr>
          <w:lang w:val="el-GR"/>
        </w:rPr>
        <w:t xml:space="preserve"> την</w:t>
      </w:r>
      <w:r w:rsidR="00F30367" w:rsidRPr="003B0D84">
        <w:rPr>
          <w:lang w:val="el-GR"/>
        </w:rPr>
        <w:t xml:space="preserve"> αντιπηκτική αγωγή (</w:t>
      </w:r>
      <w:r w:rsidR="00125255" w:rsidRPr="003B0D84">
        <w:rPr>
          <w:lang w:val="el-GR"/>
        </w:rPr>
        <w:t>κουμαρινικά</w:t>
      </w:r>
      <w:r w:rsidR="00E90E46" w:rsidRPr="003B0D84">
        <w:rPr>
          <w:lang w:val="el-GR"/>
        </w:rPr>
        <w:t xml:space="preserve">) </w:t>
      </w:r>
    </w:p>
    <w:p w:rsidR="00C1567C" w:rsidRPr="003B0D84" w:rsidRDefault="00C1567C" w:rsidP="009D672F">
      <w:pPr>
        <w:pStyle w:val="Para0s"/>
        <w:spacing w:after="0"/>
        <w:rPr>
          <w:lang w:val="el-GR"/>
        </w:rPr>
      </w:pPr>
      <w:r w:rsidRPr="003B0D84">
        <w:rPr>
          <w:lang w:val="el-GR"/>
        </w:rPr>
        <w:t xml:space="preserve">Πρέπει να ληφθεί υπόψη ο αυξημένος κίνδυνος </w:t>
      </w:r>
      <w:r w:rsidR="00464FF4" w:rsidRPr="003B0D84">
        <w:rPr>
          <w:lang w:val="el-GR"/>
        </w:rPr>
        <w:t xml:space="preserve">φλεβικής </w:t>
      </w:r>
      <w:r w:rsidRPr="003B0D84">
        <w:rPr>
          <w:lang w:val="el-GR"/>
        </w:rPr>
        <w:t>θρομβοεμβολής στη λοχεία (για πληροφορίες σχετικά μ</w:t>
      </w:r>
      <w:r w:rsidR="00FF5472" w:rsidRPr="003B0D84">
        <w:rPr>
          <w:lang w:val="el-GR"/>
        </w:rPr>
        <w:t>ε την “Κύηση και γαλουχία” βλ. π</w:t>
      </w:r>
      <w:r w:rsidRPr="003B0D84">
        <w:rPr>
          <w:lang w:val="el-GR"/>
        </w:rPr>
        <w:t>αράγραφο </w:t>
      </w:r>
      <w:fldSimple w:instr=" REF _Ref185061296 \r \h  \* MERGEFORMAT ">
        <w:r w:rsidR="00203BDC">
          <w:rPr>
            <w:lang w:val="el-GR"/>
          </w:rPr>
          <w:t>4.6</w:t>
        </w:r>
      </w:fldSimple>
      <w:r w:rsidRPr="003B0D84">
        <w:rPr>
          <w:lang w:val="el-GR"/>
        </w:rPr>
        <w:t>).</w:t>
      </w:r>
    </w:p>
    <w:p w:rsidR="00C1567C" w:rsidRPr="003B0D84" w:rsidRDefault="00C1567C" w:rsidP="009D672F">
      <w:pPr>
        <w:pStyle w:val="Para0s"/>
        <w:spacing w:after="0"/>
        <w:rPr>
          <w:lang w:val="el-GR"/>
        </w:rPr>
      </w:pPr>
      <w:r w:rsidRPr="003B0D84">
        <w:rPr>
          <w:lang w:val="el-GR"/>
        </w:rPr>
        <w:t>Άλλες ιατρικές καταστάσεις, οι οποίες σχετίστηκαν με ανεπιθύμητες ενέργειες στο αγγειακό σύστημα</w:t>
      </w:r>
      <w:r w:rsidR="00963D80">
        <w:rPr>
          <w:lang w:val="el-GR"/>
        </w:rPr>
        <w:t>,</w:t>
      </w:r>
      <w:r w:rsidRPr="003B0D84">
        <w:rPr>
          <w:lang w:val="el-GR"/>
        </w:rPr>
        <w:t xml:space="preserve"> περιλαμβάνουν το σακχαρώδη διαβήτη, το συστηματικό ερυθηματώδη λύκο, το αιμολυτικό ουραιμικό σύνδρομο και τις χρόνιες φλεγμονώδεις νόσους του εντέρου (νόσος του Crohn ή ελκώδης κολίτιδα) και δρεπανοκυτταρική αναιμία.</w:t>
      </w:r>
    </w:p>
    <w:p w:rsidR="00C1567C" w:rsidRDefault="00C1567C" w:rsidP="009D672F">
      <w:pPr>
        <w:pStyle w:val="Para0s"/>
        <w:spacing w:after="0"/>
        <w:rPr>
          <w:lang w:val="el-GR"/>
        </w:rPr>
      </w:pPr>
      <w:r w:rsidRPr="003B0D84">
        <w:rPr>
          <w:lang w:val="el-GR"/>
        </w:rPr>
        <w:t xml:space="preserve">Η αύξηση στη συχνότητα ή </w:t>
      </w:r>
      <w:r w:rsidR="00F30367" w:rsidRPr="003B0D84">
        <w:rPr>
          <w:lang w:val="el-GR"/>
        </w:rPr>
        <w:t>σ</w:t>
      </w:r>
      <w:r w:rsidRPr="003B0D84">
        <w:rPr>
          <w:lang w:val="el-GR"/>
        </w:rPr>
        <w:t xml:space="preserve">την ένταση της ημικρανίας κατά τη διάρκεια της χρήσης του συνδυασμένου από του στόματος αντισυλληπτικού (η οποία μπορεί να είναι </w:t>
      </w:r>
      <w:r w:rsidR="00F30367" w:rsidRPr="003B0D84">
        <w:rPr>
          <w:lang w:val="el-GR"/>
        </w:rPr>
        <w:t>πρόδρομο σύμπτωμα ενός αγγειο</w:t>
      </w:r>
      <w:r w:rsidRPr="003B0D84">
        <w:rPr>
          <w:lang w:val="el-GR"/>
        </w:rPr>
        <w:t>εγκεφαλικού επεισοδίου) μπορεί να αποτελέσει αιτία άμεσης διακοπής του συνδυασμένου από του στόματος αντισυλληπτικού.</w:t>
      </w:r>
    </w:p>
    <w:p w:rsidR="009D672F" w:rsidRPr="003B0D84" w:rsidRDefault="009D672F" w:rsidP="009D672F">
      <w:pPr>
        <w:pStyle w:val="Para0s"/>
        <w:spacing w:after="0"/>
        <w:rPr>
          <w:lang w:val="el-GR"/>
        </w:rPr>
      </w:pPr>
    </w:p>
    <w:p w:rsidR="00C1567C" w:rsidRPr="003B0D84" w:rsidRDefault="00C1567C" w:rsidP="009D672F">
      <w:pPr>
        <w:pStyle w:val="Bullet0dKT"/>
        <w:spacing w:before="0" w:after="0"/>
        <w:ind w:left="357" w:hanging="357"/>
        <w:rPr>
          <w:lang w:val="el-GR"/>
        </w:rPr>
      </w:pPr>
      <w:r w:rsidRPr="003B0D84">
        <w:rPr>
          <w:lang w:val="el-GR"/>
        </w:rPr>
        <w:t>Όγκοι</w:t>
      </w:r>
    </w:p>
    <w:p w:rsidR="008D4155" w:rsidRPr="003B0D84" w:rsidRDefault="008D4155" w:rsidP="009D672F">
      <w:pPr>
        <w:pStyle w:val="Para0s"/>
        <w:spacing w:after="0"/>
        <w:rPr>
          <w:lang w:val="el-GR"/>
        </w:rPr>
      </w:pPr>
      <w:r w:rsidRPr="003B0D84">
        <w:rPr>
          <w:lang w:val="el-GR"/>
        </w:rPr>
        <w:t>Έχει αναφερθεί σε ορισμένες επιδημιολογικές μελέτες αυξημένος κίνδυνος εμφάνισης καρκίνου του τραχήλου σε μακροχρόνιες χρήστριες συνδυασμένων από του στόματος αντισυλληπτικών (&gt;5 χρόνια)</w:t>
      </w:r>
      <w:r w:rsidR="00606D5A" w:rsidRPr="003B0D84">
        <w:rPr>
          <w:lang w:val="el-GR"/>
        </w:rPr>
        <w:t xml:space="preserve">, αλλά συνεχίζει να υπάρχει ασυμφωνία σχετικά με το κατά πόσο αυτό το εύρημα μπορεί να αποδοθεί σε συνυπάρχουσες επιδράσεις σεξουαλικής συμπεριφοράς και σε άλλους παράγοντες όπως ο </w:t>
      </w:r>
      <w:r w:rsidR="00125255" w:rsidRPr="003B0D84">
        <w:rPr>
          <w:lang w:val="el-GR"/>
        </w:rPr>
        <w:t xml:space="preserve">ανθρώπινος </w:t>
      </w:r>
      <w:r w:rsidR="00606D5A" w:rsidRPr="003B0D84">
        <w:rPr>
          <w:lang w:val="el-GR"/>
        </w:rPr>
        <w:t>ιός</w:t>
      </w:r>
      <w:r w:rsidR="00125255" w:rsidRPr="003B0D84">
        <w:rPr>
          <w:lang w:val="el-GR"/>
        </w:rPr>
        <w:t xml:space="preserve"> θηλωμάτων</w:t>
      </w:r>
      <w:r w:rsidR="00606D5A" w:rsidRPr="003B0D84">
        <w:rPr>
          <w:lang w:val="el-GR"/>
        </w:rPr>
        <w:t xml:space="preserve"> (</w:t>
      </w:r>
      <w:r w:rsidR="00606D5A" w:rsidRPr="003B0D84">
        <w:t>HPV</w:t>
      </w:r>
      <w:r w:rsidR="00606D5A" w:rsidRPr="003B0D84">
        <w:rPr>
          <w:lang w:val="el-GR"/>
        </w:rPr>
        <w:t>).</w:t>
      </w:r>
      <w:r w:rsidRPr="003B0D84">
        <w:rPr>
          <w:lang w:val="el-GR"/>
        </w:rPr>
        <w:t xml:space="preserve"> </w:t>
      </w:r>
    </w:p>
    <w:p w:rsidR="00C1567C" w:rsidRPr="003B0D84" w:rsidRDefault="00C1567C" w:rsidP="009D672F">
      <w:pPr>
        <w:pStyle w:val="Para0s"/>
        <w:spacing w:after="0"/>
        <w:rPr>
          <w:lang w:val="el-GR"/>
        </w:rPr>
      </w:pPr>
      <w:r w:rsidRPr="003B0D84">
        <w:rPr>
          <w:lang w:val="el-GR"/>
        </w:rPr>
        <w:lastRenderedPageBreak/>
        <w:t xml:space="preserve">Μια μετα-ανάλυση από 54 επιδημιολογικές μελέτες ανέφερε ότι υπάρχει ελαφρά αυξημένος σχετικός κίνδυνος (RR = 1,24) διάγνωσης καρκίνου του μαστού σε γυναίκες οι οποίες </w:t>
      </w:r>
      <w:r w:rsidR="00F30367" w:rsidRPr="003B0D84">
        <w:rPr>
          <w:lang w:val="el-GR"/>
        </w:rPr>
        <w:t xml:space="preserve">επί του παρόντος </w:t>
      </w:r>
      <w:r w:rsidRPr="003B0D84">
        <w:rPr>
          <w:lang w:val="el-GR"/>
        </w:rPr>
        <w:t>χρησιμοποιούν συνδυασμένα από</w:t>
      </w:r>
      <w:r w:rsidR="00B009CE">
        <w:rPr>
          <w:lang w:val="el-GR"/>
        </w:rPr>
        <w:t xml:space="preserve"> του στόματος αντισυλληπτικά. </w:t>
      </w:r>
      <w:r w:rsidR="00125255" w:rsidRPr="003B0D84">
        <w:rPr>
          <w:lang w:val="el-GR"/>
        </w:rPr>
        <w:t xml:space="preserve">Ο αυξημένος κίνδυνος </w:t>
      </w:r>
      <w:r w:rsidRPr="003B0D84">
        <w:rPr>
          <w:lang w:val="el-GR"/>
        </w:rPr>
        <w:t xml:space="preserve">εξαλείφεται σταδιακά κατά τη διάρκεια των 10 ετών μετά τη διακοπή της χρήσης των συνδυασμένων από του στόματος αντισυλληπτικών. Επειδή ο καρκίνος του μαστού είναι σπάνιος σε γυναίκες κάτω των 40 ετών, ο επιπλέον αριθμός διαγνώσεων καρκίνου του μαστού σε γυναίκες που χρησιμοποιούν ή χρησιμοποιούσαν πρόσφατα συνδυασμένα από του στόματος αντισυλληπτικά είναι μικρός σε σχέση με το γενικό κίνδυνο καρκίνου του μαστού. Αυτές οι μελέτες δεν παρέχουν στοιχεία αιτιολογικής σχέσης. Η παρατηρούμενη αύξηση του κινδύνου μπορεί να οφείλεται στην έγκαιρη διάγνωση του καρκίνου του μαστού σε χρήστριες συνδυασμένων από του στόματος αντισυλληπτικών, στις βιολογικές επιδράσεις των συνδυασμένων από του στόματος αντισυλληπτικών ή σε συνδυασμό και των δύο. Ο καρκίνος του μαστού που διαγνώστηκε σε γυναίκες που έκαναν </w:t>
      </w:r>
      <w:r w:rsidR="00B23F85" w:rsidRPr="003B0D84">
        <w:rPr>
          <w:lang w:val="el-GR"/>
        </w:rPr>
        <w:t>σε κάποια φάση</w:t>
      </w:r>
      <w:r w:rsidRPr="003B0D84">
        <w:rPr>
          <w:lang w:val="el-GR"/>
        </w:rPr>
        <w:t xml:space="preserve"> χρήση συνδυασμένων από του στόματος αντισυλληπτικών τείνει να είναι κλινικά λιγότερο προχωρημένος από τον καρκίνο που διαγνώστηκε σε γυναίκες που δεν χρησιμοποίησαν ποτέ συ</w:t>
      </w:r>
      <w:r w:rsidR="008F165D" w:rsidRPr="003B0D84">
        <w:rPr>
          <w:lang w:val="el-GR"/>
        </w:rPr>
        <w:t>ν</w:t>
      </w:r>
      <w:r w:rsidRPr="003B0D84">
        <w:rPr>
          <w:lang w:val="el-GR"/>
        </w:rPr>
        <w:t>δυασμένα από του στόματος αντισυλληπτικά.</w:t>
      </w:r>
    </w:p>
    <w:p w:rsidR="00C1567C" w:rsidRDefault="00C1567C" w:rsidP="009D672F">
      <w:pPr>
        <w:pStyle w:val="Para0s"/>
        <w:spacing w:after="0"/>
        <w:rPr>
          <w:lang w:val="el-GR"/>
        </w:rPr>
      </w:pPr>
      <w:r w:rsidRPr="003B0D84">
        <w:rPr>
          <w:lang w:val="el-GR"/>
        </w:rPr>
        <w:t>Σε σπάνιες περιπτώσεις, έχουν αναφερθεί καλοήθεις όγκοι του ήπατος και, ακόμα σπανιότερα, κακοήθεις όγκοι του ήπατος σε χρήστριες συνδυασμένων από του στόματος αντισυλληπτικών. Σε μεμονωμένες περιπτώσεις, αυτοί οι όγκοι οδήγησαν σε απειλητικές για τη ζωή ενδοκοιλ</w:t>
      </w:r>
      <w:r w:rsidR="00F30367" w:rsidRPr="003B0D84">
        <w:rPr>
          <w:lang w:val="el-GR"/>
        </w:rPr>
        <w:t>ιακές αιμορραγίες. Ο ηπατικός όγκος</w:t>
      </w:r>
      <w:r w:rsidRPr="003B0D84">
        <w:rPr>
          <w:lang w:val="el-GR"/>
        </w:rPr>
        <w:t xml:space="preserve"> θα πρέπει να λαμβάνεται υπόψη στη διαφορική διάγνωση σε περιπτώσεις έντονου πόνου στην άνω κοιλία, διόγκωσης του ήπατος ή σημείων ενδοκοιλιακής αιμορραγίας σε γυναίκες που λαμβάνουν συνδυασμένα από του στόματος αντισυλληπτικά.</w:t>
      </w:r>
    </w:p>
    <w:p w:rsidR="009D672F" w:rsidRPr="003B0D84" w:rsidRDefault="009D672F" w:rsidP="009D672F">
      <w:pPr>
        <w:pStyle w:val="Para0s"/>
        <w:spacing w:after="0"/>
        <w:rPr>
          <w:lang w:val="el-GR"/>
        </w:rPr>
      </w:pPr>
    </w:p>
    <w:p w:rsidR="00C1567C" w:rsidRPr="003B0D84" w:rsidRDefault="00C1567C" w:rsidP="009D672F">
      <w:pPr>
        <w:pStyle w:val="Bullet0dKT"/>
        <w:spacing w:before="0" w:after="0"/>
        <w:ind w:left="357" w:hanging="357"/>
        <w:rPr>
          <w:lang w:val="el-GR"/>
        </w:rPr>
      </w:pPr>
      <w:r w:rsidRPr="003B0D84">
        <w:rPr>
          <w:lang w:val="el-GR"/>
        </w:rPr>
        <w:t>Άλλες καταστάσεις</w:t>
      </w:r>
    </w:p>
    <w:p w:rsidR="00C1567C" w:rsidRPr="003B0D84" w:rsidRDefault="00125255" w:rsidP="009D672F">
      <w:pPr>
        <w:pStyle w:val="Para0s"/>
        <w:spacing w:after="0"/>
        <w:rPr>
          <w:lang w:val="el-GR"/>
        </w:rPr>
      </w:pPr>
      <w:r w:rsidRPr="003B0D84">
        <w:rPr>
          <w:lang w:val="el-GR"/>
        </w:rPr>
        <w:t>Γ</w:t>
      </w:r>
      <w:r w:rsidR="00C1567C" w:rsidRPr="003B0D84">
        <w:rPr>
          <w:lang w:val="el-GR"/>
        </w:rPr>
        <w:t xml:space="preserve">υναίκες με υπερτριγλυκεριδαιμία ή </w:t>
      </w:r>
      <w:r w:rsidR="00F30367" w:rsidRPr="003B0D84">
        <w:rPr>
          <w:lang w:val="el-GR"/>
        </w:rPr>
        <w:t xml:space="preserve">με </w:t>
      </w:r>
      <w:r w:rsidR="00C1567C" w:rsidRPr="003B0D84">
        <w:rPr>
          <w:lang w:val="el-GR"/>
        </w:rPr>
        <w:t>σχετικό οικογενειακό ιστορικό μπορεί να διατρέχουν αυξημένο κίνδυνο παγκρεατίτιδας, όταν χρησιμοποιούν συνδυασμένα από του στόματος αντισυλληπτικά.</w:t>
      </w:r>
    </w:p>
    <w:p w:rsidR="00C1567C" w:rsidRPr="003B0D84" w:rsidRDefault="00C1567C" w:rsidP="009D672F">
      <w:pPr>
        <w:pStyle w:val="Para0s"/>
        <w:spacing w:after="0"/>
        <w:rPr>
          <w:lang w:val="el-GR"/>
        </w:rPr>
      </w:pPr>
      <w:r w:rsidRPr="003B0D84">
        <w:rPr>
          <w:lang w:val="el-GR"/>
        </w:rPr>
        <w:t>Παρόλο που έχουν αναφερθεί μικρές αυξήσεις στην αρτηριακή πίεση σε πολλές γυναίκες που λαμβάνουν συνδυασμένα από του στόματος αντ</w:t>
      </w:r>
      <w:r w:rsidR="00F30367" w:rsidRPr="003B0D84">
        <w:rPr>
          <w:lang w:val="el-GR"/>
        </w:rPr>
        <w:t>ισυλληπτικά, οι κλινικά σχετικές</w:t>
      </w:r>
      <w:r w:rsidRPr="003B0D84">
        <w:rPr>
          <w:lang w:val="el-GR"/>
        </w:rPr>
        <w:t xml:space="preserve"> αυξ</w:t>
      </w:r>
      <w:r w:rsidR="008F165D" w:rsidRPr="003B0D84">
        <w:rPr>
          <w:lang w:val="el-GR"/>
        </w:rPr>
        <w:t>ήσεις είναι</w:t>
      </w:r>
      <w:r w:rsidRPr="003B0D84">
        <w:rPr>
          <w:lang w:val="el-GR"/>
        </w:rPr>
        <w:t xml:space="preserve"> σπάνιες. Ωστόσο, εάν εκδηλωθεί επίμονη κλινικά σημαντική υπέρταση κατά τη διάρκεια της χρήσης ενός συνδυασμένου από του στόματος αντισυλληπτικού, είναι συνετό από πλευράς του γιατρού να διακόψει τη χορήγηση του συνδυασμένου από του στόματος αντισυλληπτικού και να χορηγήσει αντιϋπερτασική θεραπεία. Όπου κρίνεται κατάλληλο, η χρήση του συνδυασμένου από του στόματος αντισυλληπτικού μπορεί να ξαναρχίσει, εάν μπορούν να επιτευχθούν φυσιολογικές τιμές της αρτηριακής πίεσης με τη βοήθεια αντιϋπερτασικής αγωγής.</w:t>
      </w:r>
    </w:p>
    <w:p w:rsidR="00C1567C" w:rsidRPr="003B0D84" w:rsidRDefault="00C1567C" w:rsidP="009D672F">
      <w:pPr>
        <w:pStyle w:val="Para0s"/>
        <w:spacing w:after="0"/>
        <w:rPr>
          <w:lang w:val="el-GR"/>
        </w:rPr>
      </w:pPr>
      <w:r w:rsidRPr="003B0D84">
        <w:rPr>
          <w:lang w:val="el-GR"/>
        </w:rPr>
        <w:t xml:space="preserve">Αναφέρεται ότι οι ακόλουθες καταστάσεις παρουσιάζονται ή επιδεινώνονται και με την εγκυμοσύνη και με τη χρήση συνδυασμένων από του στόματος αντισυλληπτικών, αλλά δεν υπάρχει </w:t>
      </w:r>
      <w:r w:rsidR="00125255" w:rsidRPr="003B0D84">
        <w:rPr>
          <w:lang w:val="el-GR"/>
        </w:rPr>
        <w:t xml:space="preserve"> επαρκής</w:t>
      </w:r>
      <w:r w:rsidRPr="003B0D84">
        <w:rPr>
          <w:lang w:val="el-GR"/>
        </w:rPr>
        <w:t xml:space="preserve"> απόδειξη  συσχετισμού </w:t>
      </w:r>
      <w:r w:rsidR="00A54CA5" w:rsidRPr="003B0D84">
        <w:rPr>
          <w:lang w:val="el-GR"/>
        </w:rPr>
        <w:t xml:space="preserve">με </w:t>
      </w:r>
      <w:r w:rsidRPr="003B0D84">
        <w:rPr>
          <w:lang w:val="el-GR"/>
        </w:rPr>
        <w:t>τα συνδυασμένα από του στό</w:t>
      </w:r>
      <w:r w:rsidR="00551FDE" w:rsidRPr="003B0D84">
        <w:rPr>
          <w:lang w:val="el-GR"/>
        </w:rPr>
        <w:t xml:space="preserve">ματος αντισυλληπτικά: ίκτερος </w:t>
      </w:r>
      <w:r w:rsidRPr="003B0D84">
        <w:rPr>
          <w:lang w:val="el-GR"/>
        </w:rPr>
        <w:t>και</w:t>
      </w:r>
      <w:r w:rsidR="00551FDE" w:rsidRPr="003B0D84">
        <w:rPr>
          <w:lang w:val="el-GR"/>
        </w:rPr>
        <w:t>/ή</w:t>
      </w:r>
      <w:r w:rsidRPr="003B0D84">
        <w:rPr>
          <w:lang w:val="el-GR"/>
        </w:rPr>
        <w:t xml:space="preserve"> κνησμός σχετιζόμενος με χολόσταση, χολολιθίαση, πορφυρία, συστηματικός ερυθηματώδης λύκος, αιμολυτικό ουραιμικό σύνδρομο, χορεία του Sydenham, έρπης κυήσεως, απώλεια ακοής σχετιζόμενη με ωτοσκλήρυνση.</w:t>
      </w:r>
    </w:p>
    <w:p w:rsidR="00C1567C" w:rsidRPr="003B0D84" w:rsidRDefault="00C1567C" w:rsidP="009D672F">
      <w:pPr>
        <w:pStyle w:val="Para0s"/>
        <w:spacing w:after="0"/>
        <w:rPr>
          <w:lang w:val="el-GR"/>
        </w:rPr>
      </w:pPr>
      <w:r w:rsidRPr="003B0D84">
        <w:rPr>
          <w:lang w:val="el-GR"/>
        </w:rPr>
        <w:t>Σε γυναίκες με κληρονομικό αγγειοοίδημα, τα εξωγενή οιστρογόνα μπορεί να προκαλέσουν ή να επιδεινώσουν τα συμπτώματα του αγγειοοιδήματος.</w:t>
      </w:r>
    </w:p>
    <w:p w:rsidR="00C1567C" w:rsidRPr="003B0D84" w:rsidRDefault="00C1567C" w:rsidP="009D672F">
      <w:pPr>
        <w:pStyle w:val="Para0s"/>
        <w:spacing w:after="0"/>
        <w:rPr>
          <w:lang w:val="el-GR"/>
        </w:rPr>
      </w:pPr>
      <w:r w:rsidRPr="003B0D84">
        <w:rPr>
          <w:lang w:val="el-GR"/>
        </w:rPr>
        <w:t xml:space="preserve">Οξείες ή χρόνιες διαταραχές της ηπατικής λειτουργίας </w:t>
      </w:r>
      <w:r w:rsidR="00551FDE" w:rsidRPr="003B0D84">
        <w:rPr>
          <w:lang w:val="el-GR"/>
        </w:rPr>
        <w:t>μπορεί να απαιτήσουν</w:t>
      </w:r>
      <w:r w:rsidRPr="003B0D84">
        <w:rPr>
          <w:lang w:val="el-GR"/>
        </w:rPr>
        <w:t xml:space="preserve"> τη διακοπή της χρήσης των συνδυασμένων από του στόματος αντισυλληπτικών έως ότου οι δείκτες της ηπατικής λειτουργίας να επανέλθουν στο φυσιολογικό. Υποτροπή χολοστατικού ικτέρου που εκδηλώθηκε για πρώτη φορά κατά τη διάρκεια της εγκυμοσύνης ή προηγούμενης χρήσης στεροει</w:t>
      </w:r>
      <w:r w:rsidR="00551FDE" w:rsidRPr="003B0D84">
        <w:rPr>
          <w:lang w:val="el-GR"/>
        </w:rPr>
        <w:t>δών του φύλου απαιτεί</w:t>
      </w:r>
      <w:r w:rsidRPr="003B0D84">
        <w:rPr>
          <w:lang w:val="el-GR"/>
        </w:rPr>
        <w:t xml:space="preserve"> τη διακοπή των συνδυασμένων από του στόματος αντισυλληπτικών.</w:t>
      </w:r>
    </w:p>
    <w:p w:rsidR="00C1567C" w:rsidRPr="003B0D84" w:rsidRDefault="00C1567C" w:rsidP="009D672F">
      <w:pPr>
        <w:pStyle w:val="Para0s"/>
        <w:spacing w:after="0"/>
        <w:rPr>
          <w:lang w:val="el-GR"/>
        </w:rPr>
      </w:pPr>
      <w:r w:rsidRPr="003B0D84">
        <w:rPr>
          <w:lang w:val="el-GR"/>
        </w:rPr>
        <w:t xml:space="preserve">Παρόλο που τα συνδυασμένα από του στόματος αντισυλληπτικά μπορεί να έχουν επίδραση στην περιφερική αντίσταση στην ινσουλίνη και στην ανοχή της γλυκόζης, δεν υπάρχουν στοιχεία που να </w:t>
      </w:r>
      <w:r w:rsidRPr="003B0D84">
        <w:rPr>
          <w:lang w:val="el-GR"/>
        </w:rPr>
        <w:lastRenderedPageBreak/>
        <w:t>καθιστούν απαραίτητη την τροποποίηση της θεραπευτικής αγωγής σε διαβητικούς που χρησιμοποιούν χαμηλής δόσης συνδυασμένα από του στόματος αντισυλληπτικά (που περιέχουν &lt;0,05 mg αιθινυλοιστραδιόλης). Ωστόσο, οι διαβητικές γυναίκες πρέπει να παρακολουθούνται προσεκτικά, για όσο χρονικό διάστημα χρησιμοποιούν συνδυασμένα από του στόματος αντισυλληπτικά</w:t>
      </w:r>
      <w:r w:rsidR="00551FDE" w:rsidRPr="003B0D84">
        <w:rPr>
          <w:lang w:val="el-GR"/>
        </w:rPr>
        <w:t>, ιδιαίτερα</w:t>
      </w:r>
      <w:r w:rsidR="00606D5A" w:rsidRPr="003B0D84">
        <w:rPr>
          <w:lang w:val="el-GR"/>
        </w:rPr>
        <w:t xml:space="preserve"> κατά την έναρξη χρήσης συνδυασμένων από του στόματος αντισυλληπτικών.</w:t>
      </w:r>
    </w:p>
    <w:p w:rsidR="00C1567C" w:rsidRPr="003B0D84" w:rsidRDefault="001631CE" w:rsidP="009D672F">
      <w:pPr>
        <w:pStyle w:val="Para0s"/>
        <w:spacing w:after="0"/>
        <w:rPr>
          <w:lang w:val="el-GR"/>
        </w:rPr>
      </w:pPr>
      <w:r w:rsidRPr="003B0D84">
        <w:rPr>
          <w:lang w:val="el-GR"/>
        </w:rPr>
        <w:t>Κατά τη</w:t>
      </w:r>
      <w:r w:rsidR="00C1567C" w:rsidRPr="003B0D84">
        <w:rPr>
          <w:lang w:val="el-GR"/>
        </w:rPr>
        <w:t xml:space="preserve"> χρήση συνδυασμένων από του στόματος αντισυλληπτικών έχει </w:t>
      </w:r>
      <w:r w:rsidRPr="003B0D84">
        <w:rPr>
          <w:lang w:val="el-GR"/>
        </w:rPr>
        <w:t>αναφερθεί</w:t>
      </w:r>
      <w:r w:rsidR="008F165D" w:rsidRPr="003B0D84">
        <w:rPr>
          <w:lang w:val="el-GR"/>
        </w:rPr>
        <w:t xml:space="preserve"> </w:t>
      </w:r>
      <w:r w:rsidR="00606D5A" w:rsidRPr="003B0D84">
        <w:rPr>
          <w:lang w:val="el-GR"/>
        </w:rPr>
        <w:t xml:space="preserve">επιδείνωση της ενδογενούς κατάθλιψης, της επιληψίας, της </w:t>
      </w:r>
      <w:r w:rsidR="00C1567C" w:rsidRPr="003B0D84">
        <w:rPr>
          <w:lang w:val="el-GR"/>
        </w:rPr>
        <w:t xml:space="preserve"> νόσο</w:t>
      </w:r>
      <w:r w:rsidR="00606D5A" w:rsidRPr="003B0D84">
        <w:rPr>
          <w:lang w:val="el-GR"/>
        </w:rPr>
        <w:t>υ</w:t>
      </w:r>
      <w:r w:rsidR="00C1567C" w:rsidRPr="003B0D84">
        <w:rPr>
          <w:lang w:val="el-GR"/>
        </w:rPr>
        <w:t xml:space="preserve"> του Crohn και τη</w:t>
      </w:r>
      <w:r w:rsidR="00606D5A" w:rsidRPr="003B0D84">
        <w:rPr>
          <w:lang w:val="el-GR"/>
        </w:rPr>
        <w:t>ς</w:t>
      </w:r>
      <w:r w:rsidR="00C1567C" w:rsidRPr="003B0D84">
        <w:rPr>
          <w:lang w:val="el-GR"/>
        </w:rPr>
        <w:t xml:space="preserve"> ελκώδ</w:t>
      </w:r>
      <w:r w:rsidR="008F165D" w:rsidRPr="003B0D84">
        <w:rPr>
          <w:lang w:val="el-GR"/>
        </w:rPr>
        <w:t>ου</w:t>
      </w:r>
      <w:r w:rsidR="00606D5A" w:rsidRPr="003B0D84">
        <w:rPr>
          <w:lang w:val="el-GR"/>
        </w:rPr>
        <w:t>ς</w:t>
      </w:r>
      <w:r w:rsidR="00C1567C" w:rsidRPr="003B0D84">
        <w:rPr>
          <w:lang w:val="el-GR"/>
        </w:rPr>
        <w:t xml:space="preserve"> κολίτιδα</w:t>
      </w:r>
      <w:r w:rsidR="00606D5A" w:rsidRPr="003B0D84">
        <w:rPr>
          <w:lang w:val="el-GR"/>
        </w:rPr>
        <w:t>ς</w:t>
      </w:r>
      <w:r w:rsidR="00C1567C" w:rsidRPr="003B0D84">
        <w:rPr>
          <w:lang w:val="el-GR"/>
        </w:rPr>
        <w:t>.</w:t>
      </w:r>
    </w:p>
    <w:p w:rsidR="00C1567C" w:rsidRPr="003B0D84" w:rsidRDefault="00C1567C" w:rsidP="009D672F">
      <w:pPr>
        <w:pStyle w:val="Para0s"/>
        <w:spacing w:after="0"/>
        <w:rPr>
          <w:lang w:val="el-GR"/>
        </w:rPr>
      </w:pPr>
      <w:r w:rsidRPr="003B0D84">
        <w:rPr>
          <w:lang w:val="el-GR"/>
        </w:rPr>
        <w:t xml:space="preserve">Περιστασιακά μπορεί να εμφανιστεί χλόασμα, ιδιαίτερα σε γυναίκες με ιστορικό χλοάσματος </w:t>
      </w:r>
      <w:r w:rsidR="0054622F">
        <w:rPr>
          <w:lang w:val="el-GR"/>
        </w:rPr>
        <w:t>κύησης</w:t>
      </w:r>
      <w:r w:rsidRPr="003B0D84">
        <w:rPr>
          <w:lang w:val="el-GR"/>
        </w:rPr>
        <w:t>. Γυναίκες με προδιάθεση για χλόασμα πρέπει να αποφεύγουν την έκθεση στον ήλιο ή σε υπεριώδη ακτινοβολία ενώ λαμβάνουν συνδυασμένα από του στόματος αντισυλληπτικά.</w:t>
      </w:r>
    </w:p>
    <w:p w:rsidR="001813E6" w:rsidRPr="003B0D84" w:rsidRDefault="001813E6" w:rsidP="009D672F">
      <w:pPr>
        <w:pStyle w:val="Para0s"/>
        <w:spacing w:after="0"/>
        <w:rPr>
          <w:lang w:val="el-GR"/>
        </w:rPr>
      </w:pPr>
      <w:r w:rsidRPr="003B0D84">
        <w:rPr>
          <w:lang w:val="el-GR"/>
        </w:rPr>
        <w:t xml:space="preserve">Τα οιστρογόνα μπορεί να προκαλέσουν </w:t>
      </w:r>
      <w:r w:rsidR="00125255" w:rsidRPr="003B0D84">
        <w:rPr>
          <w:lang w:val="el-GR"/>
        </w:rPr>
        <w:t>κατακράτηση</w:t>
      </w:r>
      <w:r w:rsidRPr="003B0D84">
        <w:rPr>
          <w:lang w:val="el-GR"/>
        </w:rPr>
        <w:t xml:space="preserve"> υγρών και επομένως ασθενείς με καρδιακή ή νεφρική δυσλειτουργία θα πρέπει να παρακολουθούνται προσεκτικά. Ασθενείς με τελικού </w:t>
      </w:r>
      <w:r w:rsidR="00125255" w:rsidRPr="003B0D84">
        <w:rPr>
          <w:lang w:val="el-GR"/>
        </w:rPr>
        <w:t xml:space="preserve">σταδίου </w:t>
      </w:r>
      <w:r w:rsidRPr="003B0D84">
        <w:rPr>
          <w:lang w:val="el-GR"/>
        </w:rPr>
        <w:t>νεφρική ανεπάρκεια θα πρέπει να παρακολουθούνται στενά, αφού το επίπεδο κυκλοφορίας των οιστρο</w:t>
      </w:r>
      <w:r w:rsidR="00551FDE" w:rsidRPr="003B0D84">
        <w:rPr>
          <w:lang w:val="el-GR"/>
        </w:rPr>
        <w:t>γόνων μπορεί να αυξηθεί</w:t>
      </w:r>
      <w:r w:rsidRPr="003B0D84">
        <w:rPr>
          <w:lang w:val="el-GR"/>
        </w:rPr>
        <w:t xml:space="preserve"> μετά τη χορήγηση του </w:t>
      </w:r>
      <w:r w:rsidRPr="003B0D84">
        <w:t>Qlaira</w:t>
      </w:r>
      <w:r w:rsidRPr="003B0D84">
        <w:rPr>
          <w:lang w:val="el-GR"/>
        </w:rPr>
        <w:t>.</w:t>
      </w:r>
    </w:p>
    <w:p w:rsidR="00C1567C" w:rsidRDefault="001631CE" w:rsidP="009D672F">
      <w:pPr>
        <w:pStyle w:val="Para0s"/>
        <w:spacing w:after="0"/>
        <w:rPr>
          <w:lang w:val="el-GR"/>
        </w:rPr>
      </w:pPr>
      <w:r w:rsidRPr="003B0D84">
        <w:rPr>
          <w:lang w:val="el-GR"/>
        </w:rPr>
        <w:t>Αυτό το φαρμ</w:t>
      </w:r>
      <w:r w:rsidR="00C57AC8" w:rsidRPr="003B0D84">
        <w:rPr>
          <w:lang w:val="el-GR"/>
        </w:rPr>
        <w:t xml:space="preserve">ακευτικό προϊόν περιέχει όχι περισσότερο από 50 </w:t>
      </w:r>
      <w:r w:rsidR="00C57AC8" w:rsidRPr="003B0D84">
        <w:t>mg</w:t>
      </w:r>
      <w:r w:rsidR="00C57AC8" w:rsidRPr="003B0D84">
        <w:rPr>
          <w:lang w:val="el-GR"/>
        </w:rPr>
        <w:t xml:space="preserve"> λακτόζης ανά</w:t>
      </w:r>
      <w:r w:rsidR="008F165D" w:rsidRPr="003B0D84">
        <w:rPr>
          <w:lang w:val="el-GR"/>
        </w:rPr>
        <w:t xml:space="preserve"> δισκίο</w:t>
      </w:r>
      <w:r w:rsidR="00C57AC8" w:rsidRPr="003B0D84">
        <w:rPr>
          <w:lang w:val="el-GR"/>
        </w:rPr>
        <w:t>. Ασθενείς με σπάνια κληρονομικά π</w:t>
      </w:r>
      <w:r w:rsidR="00551FDE" w:rsidRPr="003B0D84">
        <w:rPr>
          <w:lang w:val="el-GR"/>
        </w:rPr>
        <w:t>ροβλήματα δυσανεξίας στη γαλακτόζη</w:t>
      </w:r>
      <w:r w:rsidR="00C57AC8" w:rsidRPr="003B0D84">
        <w:rPr>
          <w:lang w:val="el-GR"/>
        </w:rPr>
        <w:t xml:space="preserve">, ανεπάρκειας λακτάσης κατά </w:t>
      </w:r>
      <w:r w:rsidR="00C57AC8" w:rsidRPr="003B0D84">
        <w:t>Lapp</w:t>
      </w:r>
      <w:r w:rsidR="00C57AC8" w:rsidRPr="003B0D84">
        <w:rPr>
          <w:lang w:val="el-GR"/>
        </w:rPr>
        <w:t xml:space="preserve"> ή δυσαπορρόφησης γλυκόζης-γαλακτόζης </w:t>
      </w:r>
      <w:r w:rsidR="00CE2AA6" w:rsidRPr="003B0D84">
        <w:rPr>
          <w:lang w:val="el-GR"/>
        </w:rPr>
        <w:t xml:space="preserve">που ακολουθούν δίαιτα </w:t>
      </w:r>
      <w:r w:rsidR="00125255" w:rsidRPr="003B0D84">
        <w:rPr>
          <w:lang w:val="el-GR"/>
        </w:rPr>
        <w:t xml:space="preserve">χωρίς </w:t>
      </w:r>
      <w:r w:rsidR="00CE2AA6" w:rsidRPr="003B0D84">
        <w:rPr>
          <w:lang w:val="el-GR"/>
        </w:rPr>
        <w:t xml:space="preserve"> λακτόζη θα πρέπει να λάβουν σοβαρά υπόψη την παραπάνω δοσολογία.</w:t>
      </w:r>
    </w:p>
    <w:p w:rsidR="009D672F" w:rsidRPr="003B0D84" w:rsidRDefault="009D672F" w:rsidP="009D672F">
      <w:pPr>
        <w:pStyle w:val="Para0s"/>
        <w:spacing w:after="0"/>
        <w:rPr>
          <w:lang w:val="el-GR"/>
        </w:rPr>
      </w:pPr>
    </w:p>
    <w:p w:rsidR="00C1567C" w:rsidRPr="003B0D84" w:rsidRDefault="00C1567C" w:rsidP="009D672F">
      <w:pPr>
        <w:spacing w:after="0"/>
        <w:rPr>
          <w:rFonts w:ascii="Times New Roman" w:hAnsi="Times New Roman"/>
          <w:b/>
          <w:snapToGrid/>
          <w:sz w:val="24"/>
          <w:szCs w:val="24"/>
          <w:lang w:val="el-GR" w:eastAsia="de-DE"/>
        </w:rPr>
      </w:pPr>
      <w:r w:rsidRPr="003B0D84">
        <w:rPr>
          <w:rFonts w:ascii="Times New Roman" w:hAnsi="Times New Roman"/>
          <w:b/>
          <w:snapToGrid/>
          <w:sz w:val="24"/>
          <w:szCs w:val="24"/>
          <w:lang w:val="el-GR" w:eastAsia="de-DE"/>
        </w:rPr>
        <w:t>Ιατρική εξέταση/παρακολούθηση</w:t>
      </w:r>
    </w:p>
    <w:p w:rsidR="00C1567C" w:rsidRPr="003B0D84" w:rsidRDefault="00C1567C" w:rsidP="009D672F">
      <w:pPr>
        <w:pStyle w:val="Para0s"/>
        <w:spacing w:after="0"/>
        <w:rPr>
          <w:lang w:val="el-GR"/>
        </w:rPr>
      </w:pPr>
      <w:r w:rsidRPr="003B0D84">
        <w:rPr>
          <w:lang w:val="el-GR"/>
        </w:rPr>
        <w:t xml:space="preserve">Πριν από την έναρξη ή την επανέναρξη της χρήσης των συνδυασμένων από του στόματος αντισυλληπτικών, πρέπει να λαμβάνεται ένα πλήρες ιατρικό ιστορικό </w:t>
      </w:r>
      <w:r w:rsidR="007A2570" w:rsidRPr="003B0D84">
        <w:rPr>
          <w:lang w:val="el-GR"/>
        </w:rPr>
        <w:t>(συμπεριλαμβανομένου του οικογενειακού ιστορικού)</w:t>
      </w:r>
      <w:r w:rsidR="007E0B33" w:rsidRPr="003B0D84">
        <w:rPr>
          <w:lang w:val="el-GR"/>
        </w:rPr>
        <w:t xml:space="preserve"> </w:t>
      </w:r>
      <w:r w:rsidR="00125255" w:rsidRPr="003B0D84">
        <w:rPr>
          <w:lang w:val="el-GR"/>
        </w:rPr>
        <w:t>και να διενεργείται κλινική εξέταση</w:t>
      </w:r>
      <w:r w:rsidR="0094704A">
        <w:rPr>
          <w:lang w:val="el-GR"/>
        </w:rPr>
        <w:t>,</w:t>
      </w:r>
      <w:r w:rsidR="00125255" w:rsidRPr="003B0D84">
        <w:rPr>
          <w:lang w:val="el-GR"/>
        </w:rPr>
        <w:t xml:space="preserve"> </w:t>
      </w:r>
      <w:r w:rsidR="007A2570" w:rsidRPr="003B0D84">
        <w:rPr>
          <w:lang w:val="el-GR"/>
        </w:rPr>
        <w:t xml:space="preserve">καθώς </w:t>
      </w:r>
      <w:r w:rsidR="007E0B33" w:rsidRPr="003B0D84">
        <w:rPr>
          <w:lang w:val="el-GR"/>
        </w:rPr>
        <w:t xml:space="preserve">επίσης </w:t>
      </w:r>
      <w:r w:rsidR="00551FDE" w:rsidRPr="003B0D84">
        <w:rPr>
          <w:lang w:val="el-GR"/>
        </w:rPr>
        <w:t>και να αποκλείεται το ενδεχόμενο</w:t>
      </w:r>
      <w:r w:rsidR="007A2570" w:rsidRPr="003B0D84">
        <w:rPr>
          <w:lang w:val="el-GR"/>
        </w:rPr>
        <w:t xml:space="preserve"> κύησης. Θα πρέπει να </w:t>
      </w:r>
      <w:r w:rsidR="0094704A">
        <w:rPr>
          <w:lang w:val="el-GR"/>
        </w:rPr>
        <w:t>μετράται</w:t>
      </w:r>
      <w:r w:rsidR="007A2570" w:rsidRPr="003B0D84">
        <w:rPr>
          <w:lang w:val="el-GR"/>
        </w:rPr>
        <w:t xml:space="preserve"> η αρτηριακή πίεση και </w:t>
      </w:r>
      <w:r w:rsidRPr="003B0D84">
        <w:rPr>
          <w:lang w:val="el-GR"/>
        </w:rPr>
        <w:t xml:space="preserve">να </w:t>
      </w:r>
      <w:r w:rsidR="00125255" w:rsidRPr="003B0D84">
        <w:rPr>
          <w:lang w:val="el-GR"/>
        </w:rPr>
        <w:t xml:space="preserve"> διενεργείται</w:t>
      </w:r>
      <w:r w:rsidRPr="003B0D84">
        <w:rPr>
          <w:lang w:val="el-GR"/>
        </w:rPr>
        <w:t xml:space="preserve"> κλινική εξέταση</w:t>
      </w:r>
      <w:r w:rsidR="007A2570" w:rsidRPr="003B0D84">
        <w:rPr>
          <w:lang w:val="el-GR"/>
        </w:rPr>
        <w:t xml:space="preserve"> με</w:t>
      </w:r>
      <w:r w:rsidR="00B131F9">
        <w:rPr>
          <w:lang w:val="el-GR"/>
        </w:rPr>
        <w:t xml:space="preserve"> γνώμονα τις αντενδείξεις (βλ. π</w:t>
      </w:r>
      <w:r w:rsidR="00551FDE" w:rsidRPr="003B0D84">
        <w:rPr>
          <w:lang w:val="el-GR"/>
        </w:rPr>
        <w:t>αράγραφο</w:t>
      </w:r>
      <w:r w:rsidR="007A2570" w:rsidRPr="003B0D84">
        <w:rPr>
          <w:lang w:val="el-GR"/>
        </w:rPr>
        <w:t xml:space="preserve"> 4.3) και τις προειδοποιήσεις </w:t>
      </w:r>
      <w:r w:rsidR="00FF5472" w:rsidRPr="003B0D84">
        <w:rPr>
          <w:lang w:val="el-GR"/>
        </w:rPr>
        <w:t>(βλ. π</w:t>
      </w:r>
      <w:r w:rsidR="00551FDE" w:rsidRPr="003B0D84">
        <w:rPr>
          <w:lang w:val="el-GR"/>
        </w:rPr>
        <w:t xml:space="preserve">αράγραφο </w:t>
      </w:r>
      <w:r w:rsidR="00D82531" w:rsidRPr="003B0D84">
        <w:rPr>
          <w:lang w:val="el-GR"/>
        </w:rPr>
        <w:t xml:space="preserve">4.4). Η γυναίκα θα πρέπει </w:t>
      </w:r>
      <w:r w:rsidR="00551FDE" w:rsidRPr="003B0D84">
        <w:rPr>
          <w:lang w:val="el-GR"/>
        </w:rPr>
        <w:t xml:space="preserve">επίσης </w:t>
      </w:r>
      <w:r w:rsidR="00D82531" w:rsidRPr="003B0D84">
        <w:rPr>
          <w:lang w:val="el-GR"/>
        </w:rPr>
        <w:t xml:space="preserve">να συμβουλεύεται να διαβάσει με προσοχή το φύλλο οδηγιών </w:t>
      </w:r>
      <w:r w:rsidR="00681EC4" w:rsidRPr="003B0D84">
        <w:rPr>
          <w:lang w:val="el-GR"/>
        </w:rPr>
        <w:t xml:space="preserve">χρήσης </w:t>
      </w:r>
      <w:r w:rsidR="00D82531" w:rsidRPr="003B0D84">
        <w:rPr>
          <w:lang w:val="el-GR"/>
        </w:rPr>
        <w:t xml:space="preserve">και να </w:t>
      </w:r>
      <w:r w:rsidR="00681EC4" w:rsidRPr="003B0D84">
        <w:rPr>
          <w:lang w:val="el-GR"/>
        </w:rPr>
        <w:t xml:space="preserve">ακολουθεί πιστά </w:t>
      </w:r>
      <w:r w:rsidR="00125255" w:rsidRPr="003B0D84">
        <w:rPr>
          <w:lang w:val="el-GR"/>
        </w:rPr>
        <w:t xml:space="preserve">τις </w:t>
      </w:r>
      <w:r w:rsidR="00681EC4" w:rsidRPr="003B0D84">
        <w:rPr>
          <w:lang w:val="el-GR"/>
        </w:rPr>
        <w:t>παρεχόμενες συμβουλές</w:t>
      </w:r>
      <w:r w:rsidR="00D82531" w:rsidRPr="003B0D84">
        <w:rPr>
          <w:lang w:val="el-GR"/>
        </w:rPr>
        <w:t>. Η συχνότητα κ</w:t>
      </w:r>
      <w:r w:rsidR="00681EC4" w:rsidRPr="003B0D84">
        <w:rPr>
          <w:lang w:val="el-GR"/>
        </w:rPr>
        <w:t>αι η φύση αυτών των εξετάσεων πρέπει να βασίζε</w:t>
      </w:r>
      <w:r w:rsidR="00D82531" w:rsidRPr="003B0D84">
        <w:rPr>
          <w:lang w:val="el-GR"/>
        </w:rPr>
        <w:t>ται</w:t>
      </w:r>
      <w:r w:rsidR="00681EC4" w:rsidRPr="003B0D84">
        <w:rPr>
          <w:lang w:val="el-GR"/>
        </w:rPr>
        <w:t xml:space="preserve"> σε</w:t>
      </w:r>
      <w:r w:rsidR="00D82531" w:rsidRPr="003B0D84">
        <w:rPr>
          <w:lang w:val="el-GR"/>
        </w:rPr>
        <w:t xml:space="preserve"> καθιερωμένες κλινι</w:t>
      </w:r>
      <w:r w:rsidR="00681EC4" w:rsidRPr="003B0D84">
        <w:rPr>
          <w:lang w:val="el-GR"/>
        </w:rPr>
        <w:t>κές πρακτικές και να προσαρμόζεται σε</w:t>
      </w:r>
      <w:r w:rsidR="00D82531" w:rsidRPr="003B0D84">
        <w:rPr>
          <w:lang w:val="el-GR"/>
        </w:rPr>
        <w:t xml:space="preserve"> κάθε γυναίκα ξεχωριστά.</w:t>
      </w:r>
    </w:p>
    <w:p w:rsidR="00C1567C"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Οι γυναίκες πρέπει να συμβουλεύονται ότι τα από του στόματος αντισυλληπτικά δεν προστατεύουν από τις λοιμώξεις που οφείλονται στον ιό HIV (AIDS) και από άλλες σεξουαλικά μεταδιδόμενες ασθένειες.</w:t>
      </w:r>
    </w:p>
    <w:p w:rsidR="009D672F" w:rsidRPr="003B0D84" w:rsidRDefault="009D672F" w:rsidP="009D672F">
      <w:pPr>
        <w:spacing w:after="0"/>
        <w:rPr>
          <w:rFonts w:ascii="Times New Roman" w:hAnsi="Times New Roman"/>
          <w:sz w:val="24"/>
          <w:szCs w:val="24"/>
          <w:lang w:val="el-GR"/>
        </w:rPr>
      </w:pPr>
    </w:p>
    <w:p w:rsidR="00C1567C" w:rsidRPr="003B0D84" w:rsidRDefault="00C1567C" w:rsidP="009D672F">
      <w:pPr>
        <w:spacing w:after="0"/>
        <w:rPr>
          <w:rFonts w:ascii="Times New Roman" w:hAnsi="Times New Roman"/>
          <w:b/>
          <w:snapToGrid/>
          <w:sz w:val="24"/>
          <w:szCs w:val="24"/>
          <w:lang w:val="el-GR" w:eastAsia="de-DE"/>
        </w:rPr>
      </w:pPr>
      <w:bookmarkStart w:id="8" w:name="_Hlt177184168"/>
      <w:bookmarkStart w:id="9" w:name="_Hlt177184169"/>
      <w:bookmarkStart w:id="10" w:name="_Hlt177184224"/>
      <w:r w:rsidRPr="003B0D84">
        <w:rPr>
          <w:rFonts w:ascii="Times New Roman" w:hAnsi="Times New Roman"/>
          <w:b/>
          <w:snapToGrid/>
          <w:sz w:val="24"/>
          <w:szCs w:val="24"/>
          <w:lang w:val="el-GR" w:eastAsia="de-DE"/>
        </w:rPr>
        <w:t>Μειωμένη αποτελεσματικότητα</w:t>
      </w:r>
    </w:p>
    <w:bookmarkEnd w:id="8"/>
    <w:bookmarkEnd w:id="9"/>
    <w:bookmarkEnd w:id="10"/>
    <w:p w:rsidR="00C1567C" w:rsidRDefault="00C1567C" w:rsidP="009D672F">
      <w:pPr>
        <w:pStyle w:val="Para0s"/>
        <w:spacing w:after="0"/>
        <w:rPr>
          <w:lang w:val="el-GR"/>
        </w:rPr>
      </w:pPr>
      <w:r w:rsidRPr="003B0D84">
        <w:rPr>
          <w:lang w:val="el-GR"/>
        </w:rPr>
        <w:t>Η αποτελεσματικότητα των συνδυασμένων από του στόματος αντισυλληπτικών μπορεί να μειωθεί, για παράδειγμα, στις ακόλουθες περιπ</w:t>
      </w:r>
      <w:r w:rsidR="00FF5472" w:rsidRPr="003B0D84">
        <w:rPr>
          <w:lang w:val="el-GR"/>
        </w:rPr>
        <w:t xml:space="preserve">τώσεις: παράλειψη </w:t>
      </w:r>
      <w:r w:rsidR="00125255" w:rsidRPr="003B0D84">
        <w:rPr>
          <w:lang w:val="el-GR"/>
        </w:rPr>
        <w:t xml:space="preserve">δραστικών </w:t>
      </w:r>
      <w:r w:rsidR="00FF5472" w:rsidRPr="003B0D84">
        <w:rPr>
          <w:lang w:val="el-GR"/>
        </w:rPr>
        <w:t>δισκίων (π</w:t>
      </w:r>
      <w:r w:rsidRPr="003B0D84">
        <w:rPr>
          <w:lang w:val="el-GR"/>
        </w:rPr>
        <w:t>αράγραφο</w:t>
      </w:r>
      <w:r w:rsidR="00681EC4" w:rsidRPr="003B0D84">
        <w:rPr>
          <w:lang w:val="el-GR"/>
        </w:rPr>
        <w:t>ς</w:t>
      </w:r>
      <w:r w:rsidRPr="003B0D84">
        <w:rPr>
          <w:lang w:val="el-GR"/>
        </w:rPr>
        <w:t xml:space="preserve"> </w:t>
      </w:r>
      <w:r w:rsidR="004123AD" w:rsidRPr="003B0D84">
        <w:rPr>
          <w:lang w:val="el-GR"/>
        </w:rPr>
        <w:t>4.2</w:t>
      </w:r>
      <w:r w:rsidRPr="003B0D84">
        <w:rPr>
          <w:lang w:val="el-GR"/>
        </w:rPr>
        <w:t>),</w:t>
      </w:r>
      <w:r w:rsidR="00FF5472" w:rsidRPr="003B0D84">
        <w:rPr>
          <w:lang w:val="el-GR"/>
        </w:rPr>
        <w:t xml:space="preserve"> γαστρεντερικές διαταραχές (π</w:t>
      </w:r>
      <w:r w:rsidRPr="003B0D84">
        <w:rPr>
          <w:lang w:val="el-GR"/>
        </w:rPr>
        <w:t>αράγραφο</w:t>
      </w:r>
      <w:r w:rsidR="00681EC4" w:rsidRPr="003B0D84">
        <w:rPr>
          <w:lang w:val="el-GR"/>
        </w:rPr>
        <w:t>ς</w:t>
      </w:r>
      <w:r w:rsidRPr="003B0D84">
        <w:rPr>
          <w:lang w:val="el-GR"/>
        </w:rPr>
        <w:t xml:space="preserve"> </w:t>
      </w:r>
      <w:r w:rsidR="004123AD" w:rsidRPr="003B0D84">
        <w:rPr>
          <w:lang w:val="el-GR"/>
        </w:rPr>
        <w:t>4.2)</w:t>
      </w:r>
      <w:r w:rsidRPr="003B0D84">
        <w:rPr>
          <w:lang w:val="el-GR"/>
        </w:rPr>
        <w:t xml:space="preserve"> κατά τη διάρκ</w:t>
      </w:r>
      <w:r w:rsidR="002F2FD7">
        <w:rPr>
          <w:lang w:val="el-GR"/>
        </w:rPr>
        <w:t>εια λήψης δραστικών δισκίων</w:t>
      </w:r>
      <w:r w:rsidR="00681EC4" w:rsidRPr="003B0D84">
        <w:rPr>
          <w:lang w:val="el-GR"/>
        </w:rPr>
        <w:t xml:space="preserve"> ή ταυ</w:t>
      </w:r>
      <w:r w:rsidR="00FF5472" w:rsidRPr="003B0D84">
        <w:rPr>
          <w:lang w:val="el-GR"/>
        </w:rPr>
        <w:t>τόχρονης φαρμακευτικής αγωγής (π</w:t>
      </w:r>
      <w:r w:rsidRPr="003B0D84">
        <w:rPr>
          <w:lang w:val="el-GR"/>
        </w:rPr>
        <w:t>αράγραφο</w:t>
      </w:r>
      <w:r w:rsidR="00681EC4" w:rsidRPr="003B0D84">
        <w:rPr>
          <w:lang w:val="el-GR"/>
        </w:rPr>
        <w:t>ς</w:t>
      </w:r>
      <w:r w:rsidRPr="003B0D84">
        <w:rPr>
          <w:lang w:val="el-GR"/>
        </w:rPr>
        <w:t> </w:t>
      </w:r>
      <w:fldSimple w:instr=" REF _Ref185061721 \r \h  \* MERGEFORMAT ">
        <w:r w:rsidR="00203BDC">
          <w:rPr>
            <w:lang w:val="el-GR"/>
          </w:rPr>
          <w:t>4.5</w:t>
        </w:r>
      </w:fldSimple>
      <w:r w:rsidRPr="003B0D84">
        <w:rPr>
          <w:lang w:val="el-GR"/>
        </w:rPr>
        <w:t>).</w:t>
      </w:r>
    </w:p>
    <w:p w:rsidR="009D672F" w:rsidRPr="003B0D84" w:rsidRDefault="009D672F" w:rsidP="009D672F">
      <w:pPr>
        <w:pStyle w:val="Para0s"/>
        <w:spacing w:after="0"/>
        <w:rPr>
          <w:lang w:val="el-GR"/>
        </w:rPr>
      </w:pPr>
    </w:p>
    <w:p w:rsidR="00C1567C" w:rsidRPr="003B0D84" w:rsidRDefault="00C1567C" w:rsidP="009D672F">
      <w:pPr>
        <w:spacing w:after="0"/>
        <w:rPr>
          <w:rFonts w:ascii="Times New Roman" w:hAnsi="Times New Roman"/>
          <w:b/>
          <w:snapToGrid/>
          <w:sz w:val="24"/>
          <w:szCs w:val="24"/>
          <w:lang w:val="el-GR" w:eastAsia="de-DE"/>
        </w:rPr>
      </w:pPr>
      <w:r w:rsidRPr="003B0D84">
        <w:rPr>
          <w:rFonts w:ascii="Times New Roman" w:hAnsi="Times New Roman"/>
          <w:b/>
          <w:snapToGrid/>
          <w:sz w:val="24"/>
          <w:szCs w:val="24"/>
          <w:lang w:val="el-GR" w:eastAsia="de-DE"/>
        </w:rPr>
        <w:t>Έλεγχος του κύκλου</w:t>
      </w:r>
    </w:p>
    <w:p w:rsidR="00C1567C" w:rsidRPr="003B0D84" w:rsidRDefault="00C1567C" w:rsidP="009D672F">
      <w:pPr>
        <w:pStyle w:val="Para0s"/>
        <w:spacing w:after="0"/>
        <w:rPr>
          <w:lang w:val="el-GR"/>
        </w:rPr>
      </w:pPr>
      <w:r w:rsidRPr="003B0D84">
        <w:rPr>
          <w:lang w:val="el-GR"/>
        </w:rPr>
        <w:t>Με όλα τα συνδυασμένα από του στόματος αντισυλληπτικά, μπορεί να εμφανιστεί ακανόνιστη αιμορραγία (σταγονοειδής ή ενδιάμεση αιμορραγία), ιδίως κατά τη διάρκεια των πρώτων μηνών της χρήσης. Επομένως, η αξιολόγηση οποιασδήποτε ακανόνιστης αιμορραγίας έχει σημασία μόνο μετά από ένα διάστημα προσαρμογής περίπου 3 κύκλων.</w:t>
      </w:r>
    </w:p>
    <w:p w:rsidR="001813E6" w:rsidRPr="003B0D84" w:rsidRDefault="00681EC4" w:rsidP="009D672F">
      <w:pPr>
        <w:pStyle w:val="Para0s"/>
        <w:spacing w:after="0"/>
        <w:rPr>
          <w:lang w:val="el-GR"/>
        </w:rPr>
      </w:pPr>
      <w:r w:rsidRPr="003B0D84">
        <w:rPr>
          <w:lang w:val="el-GR"/>
        </w:rPr>
        <w:t>Με βάση τα ημερολόγια ασθενών</w:t>
      </w:r>
      <w:r w:rsidR="001813E6" w:rsidRPr="003B0D84">
        <w:rPr>
          <w:lang w:val="el-GR"/>
        </w:rPr>
        <w:t xml:space="preserve"> από μία συγκριτική κλινική μελέτη, το ποσοστό των </w:t>
      </w:r>
      <w:r w:rsidR="00A82EE9" w:rsidRPr="003B0D84">
        <w:rPr>
          <w:lang w:val="el-GR"/>
        </w:rPr>
        <w:t xml:space="preserve">γυναικών </w:t>
      </w:r>
      <w:r w:rsidRPr="003B0D84">
        <w:rPr>
          <w:lang w:val="el-GR"/>
        </w:rPr>
        <w:t xml:space="preserve">ανά κύκλο </w:t>
      </w:r>
      <w:r w:rsidR="00A82EE9" w:rsidRPr="003B0D84">
        <w:rPr>
          <w:lang w:val="el-GR"/>
        </w:rPr>
        <w:t xml:space="preserve">που παρουσίασαν </w:t>
      </w:r>
      <w:r w:rsidRPr="003B0D84">
        <w:rPr>
          <w:lang w:val="el-GR"/>
        </w:rPr>
        <w:t>αιμορραγία</w:t>
      </w:r>
      <w:r w:rsidR="00A82EE9" w:rsidRPr="003B0D84">
        <w:rPr>
          <w:lang w:val="el-GR"/>
        </w:rPr>
        <w:t xml:space="preserve"> </w:t>
      </w:r>
      <w:r w:rsidRPr="003B0D84">
        <w:rPr>
          <w:lang w:val="el-GR"/>
        </w:rPr>
        <w:t xml:space="preserve">κατά τη διάρκεια του κύκλου </w:t>
      </w:r>
      <w:r w:rsidR="00A82EE9" w:rsidRPr="003B0D84">
        <w:rPr>
          <w:lang w:val="el-GR"/>
        </w:rPr>
        <w:t xml:space="preserve">ήταν 10 – 18% για γυναίκες που </w:t>
      </w:r>
      <w:r w:rsidR="00125255" w:rsidRPr="003B0D84">
        <w:rPr>
          <w:lang w:val="el-GR"/>
        </w:rPr>
        <w:t xml:space="preserve">χρησιμοποιούσαν </w:t>
      </w:r>
      <w:r w:rsidR="00A82EE9" w:rsidRPr="003B0D84">
        <w:t>Qlaira</w:t>
      </w:r>
      <w:r w:rsidR="00A82EE9" w:rsidRPr="003B0D84">
        <w:rPr>
          <w:lang w:val="el-GR"/>
        </w:rPr>
        <w:t>.</w:t>
      </w:r>
    </w:p>
    <w:p w:rsidR="0026748F" w:rsidRPr="003B0D84" w:rsidRDefault="00E379DF" w:rsidP="009D672F">
      <w:pPr>
        <w:pStyle w:val="Para0s"/>
        <w:spacing w:after="0"/>
        <w:rPr>
          <w:lang w:val="el-GR"/>
        </w:rPr>
      </w:pPr>
      <w:r>
        <w:rPr>
          <w:lang w:val="el-GR"/>
        </w:rPr>
        <w:t>Οι</w:t>
      </w:r>
      <w:r w:rsidR="0026748F" w:rsidRPr="003B0D84">
        <w:rPr>
          <w:lang w:val="el-GR"/>
        </w:rPr>
        <w:t xml:space="preserve"> χρήστριες του </w:t>
      </w:r>
      <w:r w:rsidR="0026748F" w:rsidRPr="003B0D84">
        <w:t>Qlaira</w:t>
      </w:r>
      <w:r w:rsidR="0026748F" w:rsidRPr="003B0D84">
        <w:rPr>
          <w:lang w:val="el-GR"/>
        </w:rPr>
        <w:t xml:space="preserve"> ενδέχεται να παρουσιάσουν </w:t>
      </w:r>
      <w:r w:rsidR="00681EC4" w:rsidRPr="003B0D84">
        <w:rPr>
          <w:lang w:val="el-GR"/>
        </w:rPr>
        <w:t>αμηνόρροια παρόλο που μπορεί να μην</w:t>
      </w:r>
      <w:r w:rsidR="0026748F" w:rsidRPr="003B0D84">
        <w:rPr>
          <w:lang w:val="el-GR"/>
        </w:rPr>
        <w:t xml:space="preserve"> είναι έγκυες. </w:t>
      </w:r>
      <w:r w:rsidR="00681EC4" w:rsidRPr="003B0D84">
        <w:rPr>
          <w:lang w:val="el-GR"/>
        </w:rPr>
        <w:t>Με βάση τα ημερολόγια ασθενών</w:t>
      </w:r>
      <w:r w:rsidR="00A82EE9" w:rsidRPr="003B0D84">
        <w:rPr>
          <w:lang w:val="el-GR"/>
        </w:rPr>
        <w:t xml:space="preserve">, </w:t>
      </w:r>
      <w:r w:rsidR="00681EC4" w:rsidRPr="003B0D84">
        <w:rPr>
          <w:lang w:val="el-GR"/>
        </w:rPr>
        <w:t>ενδέχεται να παρουσιαστεί αμηνόρροια</w:t>
      </w:r>
      <w:r w:rsidR="0026748F" w:rsidRPr="003B0D84">
        <w:rPr>
          <w:lang w:val="el-GR"/>
        </w:rPr>
        <w:t xml:space="preserve"> σε περίπου</w:t>
      </w:r>
      <w:r w:rsidR="00681EC4" w:rsidRPr="003B0D84">
        <w:rPr>
          <w:lang w:val="el-GR"/>
        </w:rPr>
        <w:t xml:space="preserve"> </w:t>
      </w:r>
      <w:r w:rsidR="0026748F" w:rsidRPr="003B0D84">
        <w:rPr>
          <w:lang w:val="el-GR"/>
        </w:rPr>
        <w:t>15% των κύκλων.</w:t>
      </w:r>
    </w:p>
    <w:p w:rsidR="00C1567C" w:rsidRPr="003B0D84" w:rsidRDefault="00C1567C" w:rsidP="009D672F">
      <w:pPr>
        <w:spacing w:after="0"/>
        <w:rPr>
          <w:rFonts w:ascii="Times New Roman" w:hAnsi="Times New Roman"/>
          <w:sz w:val="24"/>
          <w:szCs w:val="24"/>
          <w:lang w:val="el-GR"/>
        </w:rPr>
      </w:pPr>
      <w:bookmarkStart w:id="11" w:name="_Ref177184285"/>
      <w:r w:rsidRPr="003B0D84">
        <w:rPr>
          <w:rFonts w:ascii="Times New Roman" w:hAnsi="Times New Roman"/>
          <w:sz w:val="24"/>
          <w:szCs w:val="24"/>
          <w:lang w:val="el-GR"/>
        </w:rPr>
        <w:lastRenderedPageBreak/>
        <w:t xml:space="preserve">Εάν το </w:t>
      </w:r>
      <w:r w:rsidR="00C803A3" w:rsidRPr="003B0D84">
        <w:rPr>
          <w:rFonts w:ascii="Times New Roman" w:hAnsi="Times New Roman"/>
          <w:sz w:val="24"/>
          <w:szCs w:val="24"/>
        </w:rPr>
        <w:t>Qlaira</w:t>
      </w:r>
      <w:r w:rsidRPr="003B0D84">
        <w:rPr>
          <w:rFonts w:ascii="Times New Roman" w:hAnsi="Times New Roman"/>
          <w:sz w:val="24"/>
          <w:szCs w:val="24"/>
          <w:lang w:val="el-GR"/>
        </w:rPr>
        <w:t xml:space="preserve"> έχει ληφθεί σύμφωνα με τις οδηγίες που περιγράφονται στην παράγραφο </w:t>
      </w:r>
      <w:fldSimple w:instr=" REF _Ref177184305 \r \h  \* MERGEFORMAT ">
        <w:r w:rsidR="00203BDC">
          <w:rPr>
            <w:rFonts w:ascii="Times New Roman" w:hAnsi="Times New Roman"/>
            <w:sz w:val="24"/>
            <w:szCs w:val="24"/>
            <w:lang w:val="el-GR"/>
          </w:rPr>
          <w:t>4.2</w:t>
        </w:r>
      </w:fldSimple>
      <w:r w:rsidRPr="003B0D84">
        <w:rPr>
          <w:rFonts w:ascii="Times New Roman" w:hAnsi="Times New Roman"/>
          <w:sz w:val="24"/>
          <w:szCs w:val="24"/>
          <w:lang w:val="el-GR"/>
        </w:rPr>
        <w:t xml:space="preserve">, είναι απίθανο η γυναίκα να είναι έγκυος. </w:t>
      </w:r>
      <w:r w:rsidR="00C803A3" w:rsidRPr="003B0D84">
        <w:rPr>
          <w:rFonts w:ascii="Times New Roman" w:hAnsi="Times New Roman"/>
          <w:sz w:val="24"/>
          <w:szCs w:val="24"/>
        </w:rPr>
        <w:t>E</w:t>
      </w:r>
      <w:r w:rsidRPr="003B0D84">
        <w:rPr>
          <w:rFonts w:ascii="Times New Roman" w:hAnsi="Times New Roman"/>
          <w:sz w:val="24"/>
          <w:szCs w:val="24"/>
          <w:lang w:val="el-GR"/>
        </w:rPr>
        <w:t xml:space="preserve">άν το </w:t>
      </w:r>
      <w:r w:rsidR="00C803A3" w:rsidRPr="003B0D84">
        <w:rPr>
          <w:rFonts w:ascii="Times New Roman" w:hAnsi="Times New Roman"/>
          <w:sz w:val="24"/>
          <w:szCs w:val="24"/>
        </w:rPr>
        <w:t>Qlaira</w:t>
      </w:r>
      <w:r w:rsidRPr="003B0D84">
        <w:rPr>
          <w:rFonts w:ascii="Times New Roman" w:hAnsi="Times New Roman"/>
          <w:sz w:val="24"/>
          <w:szCs w:val="24"/>
          <w:lang w:val="el-GR"/>
        </w:rPr>
        <w:t xml:space="preserve"> δεν έχει ληφθεί σύμφωνα με τις οδηγίες </w:t>
      </w:r>
      <w:r w:rsidR="00681EC4" w:rsidRPr="003B0D84">
        <w:rPr>
          <w:rFonts w:ascii="Times New Roman" w:hAnsi="Times New Roman"/>
          <w:sz w:val="24"/>
          <w:szCs w:val="24"/>
          <w:lang w:val="el-GR"/>
        </w:rPr>
        <w:t xml:space="preserve">αυτές </w:t>
      </w:r>
      <w:r w:rsidRPr="003B0D84">
        <w:rPr>
          <w:rFonts w:ascii="Times New Roman" w:hAnsi="Times New Roman"/>
          <w:sz w:val="24"/>
          <w:szCs w:val="24"/>
          <w:lang w:val="el-GR"/>
        </w:rPr>
        <w:t xml:space="preserve">πριν από την πρώτη απουσία αιμορραγίας εκ διακοπής ή εάν δεν εμφανιστεί </w:t>
      </w:r>
      <w:r w:rsidR="002B702C" w:rsidRPr="003B0D84">
        <w:rPr>
          <w:rFonts w:ascii="Times New Roman" w:hAnsi="Times New Roman"/>
          <w:sz w:val="24"/>
          <w:szCs w:val="24"/>
          <w:lang w:val="el-GR"/>
        </w:rPr>
        <w:t>σε δύο συνεχόμενους κύκλους</w:t>
      </w:r>
      <w:r w:rsidRPr="003B0D84">
        <w:rPr>
          <w:rFonts w:ascii="Times New Roman" w:hAnsi="Times New Roman"/>
          <w:sz w:val="24"/>
          <w:szCs w:val="24"/>
          <w:lang w:val="el-GR"/>
        </w:rPr>
        <w:t xml:space="preserve"> αιμορραγία εκ διακοπής, πρέπει να αποκλειστεί η εγκυμοσύνη πριν συνεχιστεί η χρήση του </w:t>
      </w:r>
      <w:r w:rsidR="00C803A3" w:rsidRPr="003B0D84">
        <w:rPr>
          <w:rFonts w:ascii="Times New Roman" w:hAnsi="Times New Roman"/>
          <w:sz w:val="24"/>
          <w:szCs w:val="24"/>
        </w:rPr>
        <w:t>Qlaira</w:t>
      </w:r>
      <w:r w:rsidR="00C803A3" w:rsidRPr="003B0D84">
        <w:rPr>
          <w:rFonts w:ascii="Times New Roman" w:hAnsi="Times New Roman"/>
          <w:sz w:val="24"/>
          <w:szCs w:val="24"/>
          <w:lang w:val="el-GR"/>
        </w:rPr>
        <w:t>.</w:t>
      </w:r>
    </w:p>
    <w:p w:rsidR="002B702C" w:rsidRDefault="002B702C" w:rsidP="009D672F">
      <w:pPr>
        <w:pStyle w:val="Para0s"/>
        <w:spacing w:after="0"/>
        <w:rPr>
          <w:lang w:val="el-GR"/>
        </w:rPr>
      </w:pPr>
      <w:r w:rsidRPr="003B0D84">
        <w:rPr>
          <w:lang w:val="el-GR"/>
        </w:rPr>
        <w:t>Εάν οι ανωμαλίες του κύκλου παραμένουν ή εμφανίζονται ενώ έχουν προηγηθεί κανονικοί κύκλοι, τότε πρέπει να εξετάζονται μη ορμονικές αιτίες και να λαμβάνονται επαρκή διαγνωστικά μέτρα για να αποκλειστεί η πιθανότητα κακοήθειας ή εγκυμοσύνης. Τα μέτρα αυτά μ</w:t>
      </w:r>
      <w:r w:rsidR="00555A95" w:rsidRPr="003B0D84">
        <w:rPr>
          <w:lang w:val="el-GR"/>
        </w:rPr>
        <w:t>πορεί να περιλαμβάνουν απόξεση.</w:t>
      </w:r>
    </w:p>
    <w:p w:rsidR="009D672F" w:rsidRPr="003B0D84" w:rsidRDefault="009D672F" w:rsidP="009D672F">
      <w:pPr>
        <w:pStyle w:val="Para0s"/>
        <w:spacing w:after="0"/>
        <w:rPr>
          <w:lang w:val="el-GR"/>
        </w:rPr>
      </w:pPr>
    </w:p>
    <w:p w:rsidR="00C1567C" w:rsidRPr="003B0D84" w:rsidRDefault="00C1567C" w:rsidP="009D672F">
      <w:pPr>
        <w:pStyle w:val="2"/>
        <w:spacing w:before="0" w:after="0"/>
        <w:rPr>
          <w:lang w:val="el-GR"/>
        </w:rPr>
      </w:pPr>
      <w:bookmarkStart w:id="12" w:name="_Ref185061721"/>
      <w:bookmarkEnd w:id="11"/>
      <w:r w:rsidRPr="003B0D84">
        <w:rPr>
          <w:lang w:val="el-GR"/>
        </w:rPr>
        <w:t>Αλληλεπιδράσεις με άλλα φαρμακευτικά προϊόντα και άλλες μορφές αλληλεπίδρασης</w:t>
      </w:r>
      <w:bookmarkEnd w:id="12"/>
    </w:p>
    <w:p w:rsidR="002B702C" w:rsidRPr="003B0D84" w:rsidRDefault="00681EC4" w:rsidP="009D672F">
      <w:pPr>
        <w:pStyle w:val="Para0s"/>
        <w:spacing w:after="0"/>
        <w:rPr>
          <w:lang w:val="el-GR"/>
        </w:rPr>
      </w:pPr>
      <w:r w:rsidRPr="003B0D84">
        <w:rPr>
          <w:lang w:val="el-GR"/>
        </w:rPr>
        <w:t xml:space="preserve">Σημείωση: Οι </w:t>
      </w:r>
      <w:r w:rsidR="00555A95" w:rsidRPr="003B0D84">
        <w:rPr>
          <w:lang w:val="el-GR"/>
        </w:rPr>
        <w:t xml:space="preserve">πληροφορίες </w:t>
      </w:r>
      <w:r w:rsidRPr="003B0D84">
        <w:rPr>
          <w:lang w:val="el-GR"/>
        </w:rPr>
        <w:t xml:space="preserve">συνταγογράφησης των </w:t>
      </w:r>
      <w:r w:rsidR="00555A95" w:rsidRPr="003B0D84">
        <w:rPr>
          <w:lang w:val="el-GR"/>
        </w:rPr>
        <w:t>συγχορηγούμενων φαρμάκων θα πρέπει να λαμβάνοντ</w:t>
      </w:r>
      <w:r w:rsidRPr="003B0D84">
        <w:rPr>
          <w:lang w:val="el-GR"/>
        </w:rPr>
        <w:t>αι υπόψη για να προσδιοριστούν ενδεχόμενες αλληλεπιδράσεις</w:t>
      </w:r>
      <w:r w:rsidR="00555A95" w:rsidRPr="003B0D84">
        <w:rPr>
          <w:lang w:val="el-GR"/>
        </w:rPr>
        <w:t>.</w:t>
      </w:r>
    </w:p>
    <w:p w:rsidR="00C1567C" w:rsidRDefault="00C1567C" w:rsidP="009D672F">
      <w:pPr>
        <w:pStyle w:val="Para0s"/>
        <w:spacing w:after="0"/>
        <w:rPr>
          <w:lang w:val="el-GR"/>
        </w:rPr>
      </w:pPr>
      <w:r w:rsidRPr="003B0D84">
        <w:rPr>
          <w:lang w:val="el-GR"/>
        </w:rPr>
        <w:t>Μελέτες αλληλεπιδράσεων έχουν πραγματοποιηθεί μόνο σε ενήλικες.</w:t>
      </w:r>
    </w:p>
    <w:p w:rsidR="009D672F" w:rsidRPr="003B0D84" w:rsidRDefault="009D672F" w:rsidP="009D672F">
      <w:pPr>
        <w:pStyle w:val="Para0s"/>
        <w:spacing w:after="0"/>
        <w:rPr>
          <w:lang w:val="el-GR"/>
        </w:rPr>
      </w:pPr>
    </w:p>
    <w:p w:rsidR="00C1567C" w:rsidRPr="003B0D84" w:rsidRDefault="00C1567C" w:rsidP="009D672F">
      <w:pPr>
        <w:pStyle w:val="Bullet0dKT"/>
        <w:spacing w:before="0" w:after="0"/>
        <w:ind w:left="357" w:hanging="357"/>
        <w:rPr>
          <w:b/>
          <w:bCs/>
          <w:lang w:val="el-GR"/>
        </w:rPr>
      </w:pPr>
      <w:r w:rsidRPr="003B0D84">
        <w:rPr>
          <w:b/>
          <w:bCs/>
          <w:lang w:val="el-GR"/>
        </w:rPr>
        <w:t>Αλληλεπιδράσεις άλλων φαρμακευτικών προϊόντων με το Qlaira</w:t>
      </w:r>
    </w:p>
    <w:p w:rsidR="00C1567C" w:rsidRPr="003B0D84" w:rsidRDefault="00C1567C" w:rsidP="009D672F">
      <w:pPr>
        <w:pStyle w:val="Para0s"/>
        <w:spacing w:after="0"/>
        <w:rPr>
          <w:lang w:val="el-GR"/>
        </w:rPr>
      </w:pPr>
      <w:r w:rsidRPr="003B0D84">
        <w:rPr>
          <w:lang w:val="el-GR"/>
        </w:rPr>
        <w:t>Αλληλε</w:t>
      </w:r>
      <w:r w:rsidR="0098554C" w:rsidRPr="003B0D84">
        <w:rPr>
          <w:lang w:val="el-GR"/>
        </w:rPr>
        <w:t>πιδράσεις μεταξύ των</w:t>
      </w:r>
      <w:r w:rsidRPr="003B0D84">
        <w:rPr>
          <w:lang w:val="el-GR"/>
        </w:rPr>
        <w:t xml:space="preserve"> </w:t>
      </w:r>
      <w:r w:rsidR="0098554C" w:rsidRPr="003B0D84">
        <w:rPr>
          <w:lang w:val="el-GR"/>
        </w:rPr>
        <w:t>από του στόματος αντισυλληπτικών</w:t>
      </w:r>
      <w:r w:rsidRPr="003B0D84">
        <w:rPr>
          <w:lang w:val="el-GR"/>
        </w:rPr>
        <w:t xml:space="preserve"> και άλλων φα</w:t>
      </w:r>
      <w:r w:rsidR="00F9756F" w:rsidRPr="003B0D84">
        <w:rPr>
          <w:lang w:val="el-GR"/>
        </w:rPr>
        <w:t>ρ</w:t>
      </w:r>
      <w:r w:rsidRPr="003B0D84">
        <w:rPr>
          <w:lang w:val="el-GR"/>
        </w:rPr>
        <w:t>μακευτικών προϊόντων μπορεί να οδηγήσουν σε ενδιάμεση αιμορραγ</w:t>
      </w:r>
      <w:r w:rsidR="00681EC4" w:rsidRPr="003B0D84">
        <w:rPr>
          <w:lang w:val="el-GR"/>
        </w:rPr>
        <w:t xml:space="preserve">ία </w:t>
      </w:r>
      <w:r w:rsidR="00EA52D9" w:rsidRPr="003B0D84">
        <w:rPr>
          <w:lang w:val="el-GR"/>
        </w:rPr>
        <w:t>και</w:t>
      </w:r>
      <w:r w:rsidR="00681EC4" w:rsidRPr="003B0D84">
        <w:rPr>
          <w:lang w:val="el-GR"/>
        </w:rPr>
        <w:t>/ή</w:t>
      </w:r>
      <w:r w:rsidR="00EA52D9" w:rsidRPr="003B0D84">
        <w:rPr>
          <w:lang w:val="el-GR"/>
        </w:rPr>
        <w:t xml:space="preserve"> σε αποτυχία </w:t>
      </w:r>
      <w:r w:rsidR="00125255" w:rsidRPr="003B0D84">
        <w:rPr>
          <w:lang w:val="el-GR"/>
        </w:rPr>
        <w:t>της αντισύλληψης</w:t>
      </w:r>
      <w:r w:rsidRPr="003B0D84">
        <w:rPr>
          <w:lang w:val="el-GR"/>
        </w:rPr>
        <w:t xml:space="preserve">. Οι ακόλουθες αλληλεπιδράσεις έχουν αναφερθεί στη βιβλιογραφία για τα συνδυασμένα από του στόματος αντισυλληπτικά </w:t>
      </w:r>
      <w:r w:rsidR="00681EC4" w:rsidRPr="003B0D84">
        <w:rPr>
          <w:lang w:val="el-GR"/>
        </w:rPr>
        <w:t xml:space="preserve">γενικά </w:t>
      </w:r>
      <w:r w:rsidR="00A83FCD">
        <w:rPr>
          <w:lang w:val="el-GR"/>
        </w:rPr>
        <w:t>ή</w:t>
      </w:r>
      <w:r w:rsidRPr="003B0D84">
        <w:rPr>
          <w:lang w:val="el-GR"/>
        </w:rPr>
        <w:t xml:space="preserve"> μελετήθηκαν σε κλινικές μελέτες με το Qlaira.</w:t>
      </w:r>
    </w:p>
    <w:p w:rsidR="00C50D0F" w:rsidRPr="003B0D84" w:rsidRDefault="00C50D0F" w:rsidP="009D672F">
      <w:pPr>
        <w:pStyle w:val="Para0s"/>
        <w:spacing w:after="0"/>
        <w:rPr>
          <w:lang w:val="el-GR"/>
        </w:rPr>
      </w:pPr>
      <w:r w:rsidRPr="003B0D84">
        <w:rPr>
          <w:lang w:val="el-GR"/>
        </w:rPr>
        <w:t xml:space="preserve">Το dienogest είναι ένα υπόστρωμα του κυτοχρώματος P450 (CYP) 3A4. </w:t>
      </w:r>
    </w:p>
    <w:p w:rsidR="00C1567C" w:rsidRPr="003B0D84" w:rsidRDefault="00C1567C" w:rsidP="009D672F">
      <w:pPr>
        <w:pStyle w:val="Para0s"/>
        <w:spacing w:after="0"/>
        <w:rPr>
          <w:lang w:val="el-GR"/>
        </w:rPr>
      </w:pPr>
      <w:r w:rsidRPr="003B0D84">
        <w:rPr>
          <w:lang w:val="el-GR"/>
        </w:rPr>
        <w:t>Είναι δυνατόν να εμφανιστούν αλληλεπιδράσεις με φαινυτοΐνη, βαρβιτουρικά, πριμιδόνη, καρβαμαζεπίνη, ριφαμπικίνη και, πιθανώς, οξκαρβαζεπίνη, τοπιραμάτη, φελβαμάτη,</w:t>
      </w:r>
      <w:r w:rsidR="00681EC4" w:rsidRPr="003B0D84">
        <w:rPr>
          <w:lang w:val="el-GR"/>
        </w:rPr>
        <w:t xml:space="preserve"> </w:t>
      </w:r>
      <w:r w:rsidR="00634865" w:rsidRPr="003B0D84">
        <w:rPr>
          <w:lang w:val="el-GR"/>
        </w:rPr>
        <w:t xml:space="preserve">φάρμακα </w:t>
      </w:r>
      <w:r w:rsidR="00681EC4" w:rsidRPr="003B0D84">
        <w:rPr>
          <w:lang w:val="el-GR"/>
        </w:rPr>
        <w:t xml:space="preserve">για τον ιό </w:t>
      </w:r>
      <w:r w:rsidR="00681EC4" w:rsidRPr="003B0D84">
        <w:t>HIV</w:t>
      </w:r>
      <w:r w:rsidR="00681EC4" w:rsidRPr="003B0D84">
        <w:rPr>
          <w:lang w:val="el-GR"/>
        </w:rPr>
        <w:t xml:space="preserve"> </w:t>
      </w:r>
      <w:r w:rsidR="00634865" w:rsidRPr="003B0D84">
        <w:rPr>
          <w:lang w:val="el-GR"/>
        </w:rPr>
        <w:t>(π.χ. ριτοναβίρη και/ή νεβιραπίνη)</w:t>
      </w:r>
      <w:r w:rsidR="00A83FCD">
        <w:rPr>
          <w:lang w:val="el-GR"/>
        </w:rPr>
        <w:t>,</w:t>
      </w:r>
      <w:r w:rsidRPr="003B0D84">
        <w:rPr>
          <w:lang w:val="el-GR"/>
        </w:rPr>
        <w:t xml:space="preserve"> γκριζεοφουλβίνη</w:t>
      </w:r>
      <w:r w:rsidR="00634865" w:rsidRPr="003B0D84">
        <w:rPr>
          <w:lang w:val="el-GR"/>
        </w:rPr>
        <w:t xml:space="preserve"> </w:t>
      </w:r>
      <w:r w:rsidRPr="003B0D84">
        <w:rPr>
          <w:lang w:val="el-GR"/>
        </w:rPr>
        <w:t xml:space="preserve"> και </w:t>
      </w:r>
      <w:r w:rsidR="00681EC4" w:rsidRPr="003B0D84">
        <w:rPr>
          <w:lang w:val="el-GR"/>
        </w:rPr>
        <w:t>το φυτικής προέλευσης φάρμακο</w:t>
      </w:r>
      <w:r w:rsidRPr="003B0D84">
        <w:rPr>
          <w:lang w:val="el-GR"/>
        </w:rPr>
        <w:t xml:space="preserve"> St. John’s wort (hypericum perforatum</w:t>
      </w:r>
      <w:r w:rsidR="005B757E" w:rsidRPr="003B0D84">
        <w:rPr>
          <w:lang w:val="el-GR"/>
        </w:rPr>
        <w:t>)</w:t>
      </w:r>
      <w:r w:rsidR="00CD2BC3" w:rsidRPr="003B0D84">
        <w:rPr>
          <w:lang w:val="el-GR"/>
        </w:rPr>
        <w:t>.</w:t>
      </w:r>
      <w:r w:rsidR="00634865" w:rsidRPr="003B0D84">
        <w:rPr>
          <w:lang w:val="el-GR"/>
        </w:rPr>
        <w:t xml:space="preserve"> Ο μηχανισμός αυτής</w:t>
      </w:r>
      <w:r w:rsidR="00CD2BC3" w:rsidRPr="003B0D84">
        <w:rPr>
          <w:lang w:val="el-GR"/>
        </w:rPr>
        <w:t xml:space="preserve"> της αλληλεπίδρασης φαίνεται να βασίζεται στις ιδιότητες αυτών των δραστικών ουσιών για επαγωγή των ηπατικών ενζύμων </w:t>
      </w:r>
      <w:r w:rsidRPr="003B0D84">
        <w:rPr>
          <w:lang w:val="el-GR"/>
        </w:rPr>
        <w:t xml:space="preserve">(π.χ. </w:t>
      </w:r>
      <w:r w:rsidR="005B757E" w:rsidRPr="003B0D84">
        <w:rPr>
          <w:lang w:val="el-GR"/>
        </w:rPr>
        <w:t xml:space="preserve">ένζυμα </w:t>
      </w:r>
      <w:r w:rsidR="00727165" w:rsidRPr="003B0D84">
        <w:t>CYP</w:t>
      </w:r>
      <w:r w:rsidR="00727165" w:rsidRPr="003B0D84">
        <w:rPr>
          <w:lang w:val="el-GR"/>
        </w:rPr>
        <w:t xml:space="preserve"> 3</w:t>
      </w:r>
      <w:r w:rsidR="00B57A58" w:rsidRPr="003B0D84">
        <w:t>A</w:t>
      </w:r>
      <w:r w:rsidR="00727165" w:rsidRPr="003B0D84">
        <w:rPr>
          <w:lang w:val="el-GR"/>
        </w:rPr>
        <w:t>4</w:t>
      </w:r>
      <w:r w:rsidR="00CD2BC3" w:rsidRPr="003B0D84">
        <w:rPr>
          <w:lang w:val="el-GR"/>
        </w:rPr>
        <w:t>)</w:t>
      </w:r>
      <w:r w:rsidRPr="003B0D84">
        <w:rPr>
          <w:lang w:val="el-GR"/>
        </w:rPr>
        <w:t xml:space="preserve">, προκαλώντας αυξημένη κάθαρση των ορμονών του φύλου. </w:t>
      </w:r>
    </w:p>
    <w:p w:rsidR="00BB2FB9" w:rsidRPr="003B0D84" w:rsidRDefault="00CD2BC3" w:rsidP="009D672F">
      <w:pPr>
        <w:pStyle w:val="Para0s"/>
        <w:spacing w:after="0"/>
        <w:rPr>
          <w:lang w:val="el-GR"/>
        </w:rPr>
      </w:pPr>
      <w:r w:rsidRPr="003B0D84">
        <w:rPr>
          <w:lang w:val="el-GR"/>
        </w:rPr>
        <w:t>Η μ</w:t>
      </w:r>
      <w:r w:rsidR="00BB2FB9" w:rsidRPr="003B0D84">
        <w:rPr>
          <w:lang w:val="el-GR"/>
        </w:rPr>
        <w:t xml:space="preserve">έγιστη επαγωγή </w:t>
      </w:r>
      <w:r w:rsidRPr="003B0D84">
        <w:rPr>
          <w:lang w:val="el-GR"/>
        </w:rPr>
        <w:t>των ενζύμων γενικά δεν εμφανίζεται</w:t>
      </w:r>
      <w:r w:rsidR="00BB2FB9" w:rsidRPr="003B0D84">
        <w:rPr>
          <w:lang w:val="el-GR"/>
        </w:rPr>
        <w:t xml:space="preserve"> για 2-3 εβδομάδες</w:t>
      </w:r>
      <w:r w:rsidR="004952F8">
        <w:rPr>
          <w:lang w:val="el-GR"/>
        </w:rPr>
        <w:t>,</w:t>
      </w:r>
      <w:r w:rsidR="00BB2FB9" w:rsidRPr="003B0D84">
        <w:rPr>
          <w:lang w:val="el-GR"/>
        </w:rPr>
        <w:t xml:space="preserve"> αλλά ενδέχεται μετά να διατηρηθεί για τουλάχιστον 4 εβδομ</w:t>
      </w:r>
      <w:r w:rsidRPr="003B0D84">
        <w:rPr>
          <w:lang w:val="el-GR"/>
        </w:rPr>
        <w:t>άδες μετά τη διακοπή της φαρμακευτικής αγωγής</w:t>
      </w:r>
      <w:r w:rsidR="00BB2FB9" w:rsidRPr="003B0D84">
        <w:rPr>
          <w:lang w:val="el-GR"/>
        </w:rPr>
        <w:t>.</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 </w:t>
      </w:r>
      <w:r w:rsidR="004952F8">
        <w:rPr>
          <w:rFonts w:ascii="Times New Roman" w:hAnsi="Times New Roman"/>
          <w:sz w:val="24"/>
          <w:szCs w:val="24"/>
          <w:lang w:val="el-GR"/>
        </w:rPr>
        <w:t>Σε μια κλινική μελέτη, ο</w:t>
      </w:r>
      <w:r w:rsidR="00727165" w:rsidRPr="003B0D84">
        <w:rPr>
          <w:rFonts w:ascii="Times New Roman" w:hAnsi="Times New Roman"/>
          <w:sz w:val="24"/>
          <w:szCs w:val="24"/>
          <w:lang w:val="el-GR"/>
        </w:rPr>
        <w:t xml:space="preserve"> </w:t>
      </w:r>
      <w:r w:rsidR="00125255" w:rsidRPr="003B0D84">
        <w:rPr>
          <w:rFonts w:ascii="Times New Roman" w:hAnsi="Times New Roman"/>
          <w:sz w:val="24"/>
          <w:szCs w:val="24"/>
          <w:lang w:val="el-GR"/>
        </w:rPr>
        <w:t>ισχυρός</w:t>
      </w:r>
      <w:r w:rsidRPr="003B0D84">
        <w:rPr>
          <w:rFonts w:ascii="Times New Roman" w:hAnsi="Times New Roman"/>
          <w:sz w:val="24"/>
          <w:szCs w:val="24"/>
          <w:lang w:val="el-GR"/>
        </w:rPr>
        <w:t xml:space="preserve"> </w:t>
      </w:r>
      <w:r w:rsidR="00727165" w:rsidRPr="003B0D84">
        <w:rPr>
          <w:rFonts w:ascii="Times New Roman" w:hAnsi="Times New Roman"/>
          <w:sz w:val="24"/>
          <w:szCs w:val="24"/>
          <w:lang w:val="el-GR"/>
        </w:rPr>
        <w:t>επαγωγέας</w:t>
      </w:r>
      <w:r w:rsidR="00A83FCD">
        <w:rPr>
          <w:rFonts w:ascii="Times New Roman" w:hAnsi="Times New Roman"/>
          <w:sz w:val="24"/>
          <w:szCs w:val="24"/>
          <w:lang w:val="el-GR"/>
        </w:rPr>
        <w:t xml:space="preserve"> του </w:t>
      </w:r>
      <w:r w:rsidR="00A83FCD" w:rsidRPr="003B0D84">
        <w:rPr>
          <w:rFonts w:ascii="Times New Roman" w:hAnsi="Times New Roman"/>
          <w:sz w:val="24"/>
          <w:szCs w:val="24"/>
          <w:lang w:val="el-GR"/>
        </w:rPr>
        <w:t>CYP 3A4</w:t>
      </w:r>
      <w:r w:rsidR="00DC523C" w:rsidRPr="00E379DF">
        <w:rPr>
          <w:rFonts w:ascii="Times New Roman" w:hAnsi="Times New Roman"/>
          <w:sz w:val="24"/>
          <w:szCs w:val="24"/>
          <w:lang w:val="el-GR"/>
        </w:rPr>
        <w:t>,</w:t>
      </w:r>
      <w:r w:rsidR="00727165" w:rsidRPr="003B0D84">
        <w:rPr>
          <w:rFonts w:ascii="Times New Roman" w:hAnsi="Times New Roman"/>
          <w:sz w:val="24"/>
          <w:szCs w:val="24"/>
          <w:lang w:val="el-GR"/>
        </w:rPr>
        <w:t xml:space="preserve"> </w:t>
      </w:r>
      <w:r w:rsidRPr="003B0D84">
        <w:rPr>
          <w:rFonts w:ascii="Times New Roman" w:hAnsi="Times New Roman"/>
          <w:sz w:val="24"/>
          <w:szCs w:val="24"/>
          <w:lang w:val="el-GR"/>
        </w:rPr>
        <w:t>ριφαμπικίνη</w:t>
      </w:r>
      <w:r w:rsidR="00DC523C" w:rsidRPr="00E379DF">
        <w:rPr>
          <w:rFonts w:ascii="Times New Roman" w:hAnsi="Times New Roman"/>
          <w:sz w:val="24"/>
          <w:szCs w:val="24"/>
          <w:lang w:val="el-GR"/>
        </w:rPr>
        <w:t>,</w:t>
      </w:r>
      <w:r w:rsidRPr="003B0D84">
        <w:rPr>
          <w:rFonts w:ascii="Times New Roman" w:hAnsi="Times New Roman"/>
          <w:sz w:val="24"/>
          <w:szCs w:val="24"/>
          <w:lang w:val="el-GR"/>
        </w:rPr>
        <w:t xml:space="preserve"> προκάλεσε σημαντικές μειώσεις στις συγκεντρώσεις σταθεροποιημένης κατάστασης και στις συστηματικές εκθέσεις του dienogest και της οιστραδιόλης. </w:t>
      </w:r>
      <w:r w:rsidR="00727165" w:rsidRPr="003B0D84">
        <w:rPr>
          <w:rFonts w:ascii="Times New Roman" w:hAnsi="Times New Roman"/>
          <w:sz w:val="24"/>
          <w:szCs w:val="24"/>
          <w:lang w:val="el-GR"/>
        </w:rPr>
        <w:t xml:space="preserve">Η τιμή </w:t>
      </w:r>
      <w:r w:rsidR="00CD2BC3" w:rsidRPr="003B0D84">
        <w:rPr>
          <w:rFonts w:ascii="Times New Roman" w:hAnsi="Times New Roman"/>
          <w:sz w:val="24"/>
          <w:szCs w:val="24"/>
          <w:lang w:val="el-GR"/>
        </w:rPr>
        <w:t xml:space="preserve">της </w:t>
      </w:r>
      <w:r w:rsidR="00727165" w:rsidRPr="003B0D84">
        <w:rPr>
          <w:rFonts w:ascii="Times New Roman" w:hAnsi="Times New Roman"/>
          <w:sz w:val="24"/>
          <w:szCs w:val="24"/>
        </w:rPr>
        <w:t>AUC</w:t>
      </w:r>
      <w:r w:rsidR="00727165" w:rsidRPr="003B0D84">
        <w:rPr>
          <w:rFonts w:ascii="Times New Roman" w:hAnsi="Times New Roman"/>
          <w:sz w:val="24"/>
          <w:szCs w:val="24"/>
          <w:lang w:val="el-GR"/>
        </w:rPr>
        <w:t xml:space="preserve"> </w:t>
      </w:r>
      <w:r w:rsidR="00663ADD" w:rsidRPr="003B0D84">
        <w:rPr>
          <w:rFonts w:ascii="Times New Roman" w:hAnsi="Times New Roman"/>
          <w:sz w:val="24"/>
          <w:szCs w:val="24"/>
          <w:lang w:val="el-GR"/>
        </w:rPr>
        <w:t>(0-</w:t>
      </w:r>
      <w:r w:rsidR="00727165" w:rsidRPr="003B0D84">
        <w:rPr>
          <w:rFonts w:ascii="Times New Roman" w:hAnsi="Times New Roman"/>
          <w:sz w:val="24"/>
          <w:szCs w:val="24"/>
          <w:lang w:val="el-GR"/>
        </w:rPr>
        <w:t>24 ώρες</w:t>
      </w:r>
      <w:r w:rsidR="00663ADD" w:rsidRPr="003B0D84">
        <w:rPr>
          <w:rFonts w:ascii="Times New Roman" w:hAnsi="Times New Roman"/>
          <w:sz w:val="24"/>
          <w:szCs w:val="24"/>
          <w:lang w:val="el-GR"/>
        </w:rPr>
        <w:t>)</w:t>
      </w:r>
      <w:r w:rsidRPr="003B0D84">
        <w:rPr>
          <w:rFonts w:ascii="Times New Roman" w:hAnsi="Times New Roman"/>
          <w:sz w:val="24"/>
          <w:szCs w:val="24"/>
          <w:lang w:val="el-GR"/>
        </w:rPr>
        <w:t xml:space="preserve"> του dienogest και της οιστραδιόλ</w:t>
      </w:r>
      <w:r w:rsidR="00D53284">
        <w:rPr>
          <w:rFonts w:ascii="Times New Roman" w:hAnsi="Times New Roman"/>
          <w:sz w:val="24"/>
          <w:szCs w:val="24"/>
          <w:lang w:val="el-GR"/>
        </w:rPr>
        <w:t>ης σε σταθεροποιημένη κατάσταση</w:t>
      </w:r>
      <w:r w:rsidRPr="003B0D84">
        <w:rPr>
          <w:rFonts w:ascii="Times New Roman" w:hAnsi="Times New Roman"/>
          <w:sz w:val="24"/>
          <w:szCs w:val="24"/>
          <w:lang w:val="el-GR"/>
        </w:rPr>
        <w:t xml:space="preserve"> μειώθηκε κατά 83% και 44%, αντίστοιχα.</w:t>
      </w:r>
    </w:p>
    <w:p w:rsidR="00C06E7C" w:rsidRPr="003B0D84" w:rsidRDefault="00CD2BC3" w:rsidP="009D672F">
      <w:pPr>
        <w:spacing w:after="0"/>
        <w:rPr>
          <w:rFonts w:ascii="Times New Roman" w:hAnsi="Times New Roman"/>
          <w:sz w:val="24"/>
          <w:szCs w:val="24"/>
          <w:lang w:val="el-GR"/>
        </w:rPr>
      </w:pPr>
      <w:r w:rsidRPr="003B0D84">
        <w:rPr>
          <w:rFonts w:ascii="Times New Roman" w:hAnsi="Times New Roman"/>
          <w:sz w:val="24"/>
          <w:szCs w:val="24"/>
          <w:lang w:val="el-GR"/>
        </w:rPr>
        <w:t>Γυναίκες που βρίσκονται σε βραχυχρόνια</w:t>
      </w:r>
      <w:r w:rsidR="00640014" w:rsidRPr="003B0D84">
        <w:rPr>
          <w:rFonts w:ascii="Times New Roman" w:hAnsi="Times New Roman"/>
          <w:sz w:val="24"/>
          <w:szCs w:val="24"/>
          <w:lang w:val="el-GR"/>
        </w:rPr>
        <w:t xml:space="preserve"> θεραπεία (έως μία εβδομάδα) </w:t>
      </w:r>
      <w:r w:rsidR="00C06E7C" w:rsidRPr="003B0D84">
        <w:rPr>
          <w:rFonts w:ascii="Times New Roman" w:hAnsi="Times New Roman"/>
          <w:sz w:val="24"/>
          <w:szCs w:val="24"/>
          <w:lang w:val="el-GR"/>
        </w:rPr>
        <w:t>με οποιοδήποτε από τ</w:t>
      </w:r>
      <w:r w:rsidRPr="003B0D84">
        <w:rPr>
          <w:rFonts w:ascii="Times New Roman" w:hAnsi="Times New Roman"/>
          <w:sz w:val="24"/>
          <w:szCs w:val="24"/>
          <w:lang w:val="el-GR"/>
        </w:rPr>
        <w:t>ις παραπάνω αναφερόμενες κατηγορίες</w:t>
      </w:r>
      <w:r w:rsidR="00C06E7C" w:rsidRPr="003B0D84">
        <w:rPr>
          <w:rFonts w:ascii="Times New Roman" w:hAnsi="Times New Roman"/>
          <w:sz w:val="24"/>
          <w:szCs w:val="24"/>
          <w:lang w:val="el-GR"/>
        </w:rPr>
        <w:t xml:space="preserve"> φαρμακευτικών προϊόντων ή μεμονωμένων δραστικών ουσιών</w:t>
      </w:r>
      <w:r w:rsidR="00EF158F" w:rsidRPr="003B0D84">
        <w:rPr>
          <w:rFonts w:ascii="Times New Roman" w:hAnsi="Times New Roman"/>
          <w:sz w:val="24"/>
          <w:szCs w:val="24"/>
          <w:lang w:val="el-GR"/>
        </w:rPr>
        <w:t>,</w:t>
      </w:r>
      <w:r w:rsidR="00C06E7C" w:rsidRPr="003B0D84">
        <w:rPr>
          <w:rFonts w:ascii="Times New Roman" w:hAnsi="Times New Roman"/>
          <w:sz w:val="24"/>
          <w:szCs w:val="24"/>
          <w:lang w:val="el-GR"/>
        </w:rPr>
        <w:t xml:space="preserve"> εξαιρουμένης της ριφαμπικίνης</w:t>
      </w:r>
      <w:r w:rsidRPr="003B0D84">
        <w:rPr>
          <w:rFonts w:ascii="Times New Roman" w:hAnsi="Times New Roman"/>
          <w:sz w:val="24"/>
          <w:szCs w:val="24"/>
          <w:lang w:val="el-GR"/>
        </w:rPr>
        <w:t>,</w:t>
      </w:r>
      <w:r w:rsidR="00C06E7C" w:rsidRPr="003B0D84">
        <w:rPr>
          <w:rFonts w:ascii="Times New Roman" w:hAnsi="Times New Roman"/>
          <w:sz w:val="24"/>
          <w:szCs w:val="24"/>
          <w:lang w:val="el-GR"/>
        </w:rPr>
        <w:t xml:space="preserve"> θα πρέπει προσωρινά να κάνουν χρήση μίας μεθόδου φραγμού πέραν του συνδυασμένου από του στόματος αντισυλληπτικού, δηλαδή κατά τη διάρκεια τ</w:t>
      </w:r>
      <w:r w:rsidRPr="003B0D84">
        <w:rPr>
          <w:rFonts w:ascii="Times New Roman" w:hAnsi="Times New Roman"/>
          <w:sz w:val="24"/>
          <w:szCs w:val="24"/>
          <w:lang w:val="el-GR"/>
        </w:rPr>
        <w:t>ης συγχορήγησης του φαρμακευτικού</w:t>
      </w:r>
      <w:r w:rsidR="00C06E7C" w:rsidRPr="003B0D84">
        <w:rPr>
          <w:rFonts w:ascii="Times New Roman" w:hAnsi="Times New Roman"/>
          <w:sz w:val="24"/>
          <w:szCs w:val="24"/>
          <w:lang w:val="el-GR"/>
        </w:rPr>
        <w:t xml:space="preserve"> προϊόντος και για 14 ημέρες μετά τη διακοπή του.</w:t>
      </w:r>
    </w:p>
    <w:p w:rsidR="00727165" w:rsidRPr="003B0D84" w:rsidRDefault="00CD2BC3" w:rsidP="009D672F">
      <w:pPr>
        <w:spacing w:after="0"/>
        <w:rPr>
          <w:rFonts w:ascii="Times New Roman" w:hAnsi="Times New Roman"/>
          <w:sz w:val="24"/>
          <w:szCs w:val="24"/>
          <w:lang w:val="el-GR"/>
        </w:rPr>
      </w:pPr>
      <w:r w:rsidRPr="003B0D84">
        <w:rPr>
          <w:rFonts w:ascii="Times New Roman" w:hAnsi="Times New Roman"/>
          <w:sz w:val="24"/>
          <w:szCs w:val="24"/>
          <w:lang w:val="el-GR"/>
        </w:rPr>
        <w:t>Σε γυναίκες που βρίσκονται σε</w:t>
      </w:r>
      <w:r w:rsidR="00C06E7C" w:rsidRPr="003B0D84">
        <w:rPr>
          <w:rFonts w:ascii="Times New Roman" w:hAnsi="Times New Roman"/>
          <w:sz w:val="24"/>
          <w:szCs w:val="24"/>
          <w:lang w:val="el-GR"/>
        </w:rPr>
        <w:t xml:space="preserve"> αγωγή </w:t>
      </w:r>
      <w:r w:rsidRPr="003B0D84">
        <w:rPr>
          <w:rFonts w:ascii="Times New Roman" w:hAnsi="Times New Roman"/>
          <w:sz w:val="24"/>
          <w:szCs w:val="24"/>
          <w:lang w:val="el-GR"/>
        </w:rPr>
        <w:t>με ριφαμπικίνη, μία</w:t>
      </w:r>
      <w:r w:rsidR="00C06E7C" w:rsidRPr="003B0D84">
        <w:rPr>
          <w:rFonts w:ascii="Times New Roman" w:hAnsi="Times New Roman"/>
          <w:sz w:val="24"/>
          <w:szCs w:val="24"/>
          <w:lang w:val="el-GR"/>
        </w:rPr>
        <w:t xml:space="preserve"> μέθοδος φραγμού </w:t>
      </w:r>
      <w:r w:rsidR="00125255" w:rsidRPr="003B0D84">
        <w:rPr>
          <w:rFonts w:ascii="Times New Roman" w:hAnsi="Times New Roman"/>
          <w:sz w:val="24"/>
          <w:szCs w:val="24"/>
          <w:lang w:val="el-GR"/>
        </w:rPr>
        <w:t>πέραν του</w:t>
      </w:r>
      <w:r w:rsidR="00C06E7C" w:rsidRPr="003B0D84">
        <w:rPr>
          <w:rFonts w:ascii="Times New Roman" w:hAnsi="Times New Roman"/>
          <w:sz w:val="24"/>
          <w:szCs w:val="24"/>
          <w:lang w:val="el-GR"/>
        </w:rPr>
        <w:t xml:space="preserve"> συνδυασμένο</w:t>
      </w:r>
      <w:r w:rsidR="00A54CA5" w:rsidRPr="003B0D84">
        <w:rPr>
          <w:rFonts w:ascii="Times New Roman" w:hAnsi="Times New Roman"/>
          <w:sz w:val="24"/>
          <w:szCs w:val="24"/>
          <w:lang w:val="el-GR"/>
        </w:rPr>
        <w:t>υ</w:t>
      </w:r>
      <w:r w:rsidR="00C06E7C" w:rsidRPr="003B0D84">
        <w:rPr>
          <w:rFonts w:ascii="Times New Roman" w:hAnsi="Times New Roman"/>
          <w:sz w:val="24"/>
          <w:szCs w:val="24"/>
          <w:lang w:val="el-GR"/>
        </w:rPr>
        <w:t xml:space="preserve"> από του στόματος </w:t>
      </w:r>
      <w:r w:rsidR="00F84774" w:rsidRPr="003B0D84">
        <w:rPr>
          <w:rFonts w:ascii="Times New Roman" w:hAnsi="Times New Roman"/>
          <w:sz w:val="24"/>
          <w:szCs w:val="24"/>
          <w:lang w:val="el-GR"/>
        </w:rPr>
        <w:t>αντισυλληπτικ</w:t>
      </w:r>
      <w:r w:rsidR="00EF158F" w:rsidRPr="003B0D84">
        <w:rPr>
          <w:rFonts w:ascii="Times New Roman" w:hAnsi="Times New Roman"/>
          <w:sz w:val="24"/>
          <w:szCs w:val="24"/>
          <w:lang w:val="el-GR"/>
        </w:rPr>
        <w:t>ού</w:t>
      </w:r>
      <w:r w:rsidR="00C06E7C" w:rsidRPr="003B0D84">
        <w:rPr>
          <w:rFonts w:ascii="Times New Roman" w:hAnsi="Times New Roman"/>
          <w:sz w:val="24"/>
          <w:szCs w:val="24"/>
          <w:lang w:val="el-GR"/>
        </w:rPr>
        <w:t xml:space="preserve"> θα πρέπει να χρησιμοποιείται κατά τη διάρκεια της αγωγής με ριφαμπικίνη και για 28 ημέρες μετά τη διακοπή της.</w:t>
      </w:r>
    </w:p>
    <w:p w:rsidR="001E18BD" w:rsidRPr="003B0D84" w:rsidRDefault="001E18BD" w:rsidP="009D672F">
      <w:pPr>
        <w:spacing w:after="0"/>
        <w:rPr>
          <w:rFonts w:ascii="Times New Roman" w:hAnsi="Times New Roman"/>
          <w:sz w:val="24"/>
          <w:szCs w:val="24"/>
          <w:lang w:val="el-GR"/>
        </w:rPr>
      </w:pPr>
      <w:r w:rsidRPr="003B0D84">
        <w:rPr>
          <w:rFonts w:ascii="Times New Roman" w:hAnsi="Times New Roman"/>
          <w:sz w:val="24"/>
          <w:szCs w:val="24"/>
          <w:lang w:val="el-GR"/>
        </w:rPr>
        <w:t>Σε γυν</w:t>
      </w:r>
      <w:r w:rsidR="00CD2BC3" w:rsidRPr="003B0D84">
        <w:rPr>
          <w:rFonts w:ascii="Times New Roman" w:hAnsi="Times New Roman"/>
          <w:sz w:val="24"/>
          <w:szCs w:val="24"/>
          <w:lang w:val="el-GR"/>
        </w:rPr>
        <w:t>αίκες που βρίσκονται σε</w:t>
      </w:r>
      <w:r w:rsidRPr="003B0D84">
        <w:rPr>
          <w:rFonts w:ascii="Times New Roman" w:hAnsi="Times New Roman"/>
          <w:sz w:val="24"/>
          <w:szCs w:val="24"/>
          <w:lang w:val="el-GR"/>
        </w:rPr>
        <w:t xml:space="preserve"> </w:t>
      </w:r>
      <w:r w:rsidR="00B23F85" w:rsidRPr="003B0D84">
        <w:rPr>
          <w:rFonts w:ascii="Times New Roman" w:hAnsi="Times New Roman"/>
          <w:sz w:val="24"/>
          <w:szCs w:val="24"/>
          <w:lang w:val="el-GR"/>
        </w:rPr>
        <w:t xml:space="preserve">χρόνια </w:t>
      </w:r>
      <w:r w:rsidRPr="003B0D84">
        <w:rPr>
          <w:rFonts w:ascii="Times New Roman" w:hAnsi="Times New Roman"/>
          <w:sz w:val="24"/>
          <w:szCs w:val="24"/>
          <w:lang w:val="el-GR"/>
        </w:rPr>
        <w:t>θεραπεία με δραστικές ουσίες</w:t>
      </w:r>
      <w:r w:rsidR="00B23F85" w:rsidRPr="003B0D84">
        <w:rPr>
          <w:rFonts w:ascii="Times New Roman" w:hAnsi="Times New Roman"/>
          <w:sz w:val="24"/>
          <w:szCs w:val="24"/>
          <w:lang w:val="el-GR"/>
        </w:rPr>
        <w:t xml:space="preserve"> που επάγουν τα ηπατικά ένζυμα</w:t>
      </w:r>
      <w:r w:rsidRPr="003B0D84">
        <w:rPr>
          <w:rFonts w:ascii="Times New Roman" w:hAnsi="Times New Roman"/>
          <w:sz w:val="24"/>
          <w:szCs w:val="24"/>
          <w:lang w:val="el-GR"/>
        </w:rPr>
        <w:t>, θα πρέπει να συνιστάται μία άλλη</w:t>
      </w:r>
      <w:r w:rsidR="00CD2BC3" w:rsidRPr="003B0D84">
        <w:rPr>
          <w:rFonts w:ascii="Times New Roman" w:hAnsi="Times New Roman"/>
          <w:sz w:val="24"/>
          <w:szCs w:val="24"/>
          <w:lang w:val="el-GR"/>
        </w:rPr>
        <w:t xml:space="preserve"> αξιόπιστη, μη ορμονική αντισυλληπτική μέθοδος</w:t>
      </w:r>
      <w:r w:rsidRPr="003B0D84">
        <w:rPr>
          <w:rFonts w:ascii="Times New Roman" w:hAnsi="Times New Roman"/>
          <w:sz w:val="24"/>
          <w:szCs w:val="24"/>
          <w:lang w:val="el-GR"/>
        </w:rPr>
        <w:t>.</w:t>
      </w:r>
    </w:p>
    <w:p w:rsidR="00C1567C" w:rsidRPr="003B0D84" w:rsidRDefault="00C1567C" w:rsidP="009D672F">
      <w:pPr>
        <w:pStyle w:val="aa"/>
        <w:rPr>
          <w:rFonts w:ascii="Times New Roman" w:hAnsi="Times New Roman" w:cs="Times New Roman"/>
          <w:sz w:val="24"/>
          <w:szCs w:val="24"/>
          <w:lang w:val="el-GR"/>
        </w:rPr>
      </w:pPr>
      <w:r w:rsidRPr="003B0D84">
        <w:rPr>
          <w:rFonts w:ascii="Times New Roman" w:hAnsi="Times New Roman" w:cs="Times New Roman"/>
          <w:sz w:val="24"/>
          <w:szCs w:val="24"/>
          <w:lang w:val="el-GR"/>
        </w:rPr>
        <w:t xml:space="preserve">Γνωστοί αναστολείς </w:t>
      </w:r>
      <w:r w:rsidR="00CD2BC3" w:rsidRPr="003B0D84">
        <w:rPr>
          <w:rFonts w:ascii="Times New Roman" w:hAnsi="Times New Roman" w:cs="Times New Roman"/>
          <w:sz w:val="24"/>
          <w:szCs w:val="24"/>
          <w:lang w:val="el-GR"/>
        </w:rPr>
        <w:t xml:space="preserve">του </w:t>
      </w:r>
      <w:r w:rsidR="001E18BD" w:rsidRPr="003B0D84">
        <w:rPr>
          <w:rFonts w:ascii="Times New Roman" w:hAnsi="Times New Roman" w:cs="Times New Roman"/>
          <w:sz w:val="24"/>
          <w:szCs w:val="24"/>
          <w:lang w:val="el-GR"/>
        </w:rPr>
        <w:t xml:space="preserve">ενζύμου </w:t>
      </w:r>
      <w:r w:rsidRPr="003B0D84">
        <w:rPr>
          <w:rFonts w:ascii="Times New Roman" w:hAnsi="Times New Roman" w:cs="Times New Roman"/>
          <w:sz w:val="24"/>
          <w:szCs w:val="24"/>
          <w:lang w:val="el-GR"/>
        </w:rPr>
        <w:t>CYP3A4</w:t>
      </w:r>
      <w:r w:rsidR="00CD2BC3" w:rsidRPr="003B0D84">
        <w:rPr>
          <w:rFonts w:ascii="Times New Roman" w:hAnsi="Times New Roman" w:cs="Times New Roman"/>
          <w:sz w:val="24"/>
          <w:szCs w:val="24"/>
          <w:lang w:val="el-GR"/>
        </w:rPr>
        <w:t>,</w:t>
      </w:r>
      <w:r w:rsidRPr="003B0D84">
        <w:rPr>
          <w:rFonts w:ascii="Times New Roman" w:hAnsi="Times New Roman" w:cs="Times New Roman"/>
          <w:sz w:val="24"/>
          <w:szCs w:val="24"/>
          <w:lang w:val="el-GR"/>
        </w:rPr>
        <w:t xml:space="preserve"> όπως </w:t>
      </w:r>
      <w:r w:rsidR="00CD2BC3" w:rsidRPr="003B0D84">
        <w:rPr>
          <w:rFonts w:ascii="Times New Roman" w:hAnsi="Times New Roman" w:cs="Times New Roman"/>
          <w:sz w:val="24"/>
          <w:szCs w:val="24"/>
          <w:lang w:val="el-GR"/>
        </w:rPr>
        <w:t>οι αντιμυκητιασικές αζόλε</w:t>
      </w:r>
      <w:r w:rsidRPr="003B0D84">
        <w:rPr>
          <w:rFonts w:ascii="Times New Roman" w:hAnsi="Times New Roman" w:cs="Times New Roman"/>
          <w:sz w:val="24"/>
          <w:szCs w:val="24"/>
          <w:lang w:val="el-GR"/>
        </w:rPr>
        <w:t xml:space="preserve">ς, </w:t>
      </w:r>
      <w:r w:rsidR="00CD2BC3" w:rsidRPr="003B0D84">
        <w:rPr>
          <w:rFonts w:ascii="Times New Roman" w:hAnsi="Times New Roman" w:cs="Times New Roman"/>
          <w:sz w:val="24"/>
          <w:szCs w:val="24"/>
          <w:lang w:val="el-GR"/>
        </w:rPr>
        <w:t xml:space="preserve">η </w:t>
      </w:r>
      <w:r w:rsidRPr="003B0D84">
        <w:rPr>
          <w:rFonts w:ascii="Times New Roman" w:hAnsi="Times New Roman" w:cs="Times New Roman"/>
          <w:sz w:val="24"/>
          <w:szCs w:val="24"/>
          <w:lang w:val="el-GR"/>
        </w:rPr>
        <w:t xml:space="preserve">σιμετιδίνη, </w:t>
      </w:r>
      <w:r w:rsidR="00CD2BC3" w:rsidRPr="003B0D84">
        <w:rPr>
          <w:rFonts w:ascii="Times New Roman" w:hAnsi="Times New Roman" w:cs="Times New Roman"/>
          <w:sz w:val="24"/>
          <w:szCs w:val="24"/>
          <w:lang w:val="el-GR"/>
        </w:rPr>
        <w:t xml:space="preserve">η </w:t>
      </w:r>
      <w:r w:rsidRPr="003B0D84">
        <w:rPr>
          <w:rFonts w:ascii="Times New Roman" w:hAnsi="Times New Roman" w:cs="Times New Roman"/>
          <w:sz w:val="24"/>
          <w:szCs w:val="24"/>
          <w:lang w:val="el-GR"/>
        </w:rPr>
        <w:t xml:space="preserve">βεραπαμίλη, </w:t>
      </w:r>
      <w:r w:rsidR="00CD2BC3" w:rsidRPr="003B0D84">
        <w:rPr>
          <w:rFonts w:ascii="Times New Roman" w:hAnsi="Times New Roman" w:cs="Times New Roman"/>
          <w:sz w:val="24"/>
          <w:szCs w:val="24"/>
          <w:lang w:val="el-GR"/>
        </w:rPr>
        <w:t xml:space="preserve">τα </w:t>
      </w:r>
      <w:r w:rsidRPr="003B0D84">
        <w:rPr>
          <w:rFonts w:ascii="Times New Roman" w:hAnsi="Times New Roman" w:cs="Times New Roman"/>
          <w:sz w:val="24"/>
          <w:szCs w:val="24"/>
          <w:lang w:val="el-GR"/>
        </w:rPr>
        <w:t xml:space="preserve">μακρολίδια, </w:t>
      </w:r>
      <w:r w:rsidR="00CD2BC3" w:rsidRPr="003B0D84">
        <w:rPr>
          <w:rFonts w:ascii="Times New Roman" w:hAnsi="Times New Roman" w:cs="Times New Roman"/>
          <w:sz w:val="24"/>
          <w:szCs w:val="24"/>
          <w:lang w:val="el-GR"/>
        </w:rPr>
        <w:t xml:space="preserve">η </w:t>
      </w:r>
      <w:r w:rsidRPr="003B0D84">
        <w:rPr>
          <w:rFonts w:ascii="Times New Roman" w:hAnsi="Times New Roman" w:cs="Times New Roman"/>
          <w:sz w:val="24"/>
          <w:szCs w:val="24"/>
          <w:lang w:val="el-GR"/>
        </w:rPr>
        <w:t xml:space="preserve">διλτιαζέμη, </w:t>
      </w:r>
      <w:r w:rsidR="00CD2BC3" w:rsidRPr="003B0D84">
        <w:rPr>
          <w:rFonts w:ascii="Times New Roman" w:hAnsi="Times New Roman" w:cs="Times New Roman"/>
          <w:sz w:val="24"/>
          <w:szCs w:val="24"/>
          <w:lang w:val="el-GR"/>
        </w:rPr>
        <w:t xml:space="preserve">τα </w:t>
      </w:r>
      <w:r w:rsidRPr="003B0D84">
        <w:rPr>
          <w:rFonts w:ascii="Times New Roman" w:hAnsi="Times New Roman" w:cs="Times New Roman"/>
          <w:sz w:val="24"/>
          <w:szCs w:val="24"/>
          <w:lang w:val="el-GR"/>
        </w:rPr>
        <w:t xml:space="preserve">αντικαταθλιπτικά και </w:t>
      </w:r>
      <w:r w:rsidR="00CD2BC3" w:rsidRPr="003B0D84">
        <w:rPr>
          <w:rFonts w:ascii="Times New Roman" w:hAnsi="Times New Roman" w:cs="Times New Roman"/>
          <w:sz w:val="24"/>
          <w:szCs w:val="24"/>
          <w:lang w:val="el-GR"/>
        </w:rPr>
        <w:t xml:space="preserve">ο </w:t>
      </w:r>
      <w:r w:rsidRPr="003B0D84">
        <w:rPr>
          <w:rFonts w:ascii="Times New Roman" w:hAnsi="Times New Roman" w:cs="Times New Roman"/>
          <w:sz w:val="24"/>
          <w:szCs w:val="24"/>
          <w:lang w:val="el-GR"/>
        </w:rPr>
        <w:t>χυμός γκρέιπ-φρουτ μπορεί να αυξήσουν τα επίπεδα πλάσματος του dienogest.</w:t>
      </w:r>
      <w:r w:rsidRPr="003B0D84">
        <w:rPr>
          <w:rFonts w:ascii="Times New Roman" w:hAnsi="Times New Roman" w:cs="Times New Roman"/>
          <w:b/>
          <w:bCs/>
          <w:sz w:val="24"/>
          <w:szCs w:val="24"/>
          <w:lang w:val="el-GR"/>
        </w:rPr>
        <w:t xml:space="preserve"> </w:t>
      </w:r>
    </w:p>
    <w:p w:rsidR="00C1567C" w:rsidRPr="003B0D84" w:rsidRDefault="00C1567C" w:rsidP="009D672F">
      <w:pPr>
        <w:pStyle w:val="aa"/>
        <w:rPr>
          <w:rFonts w:ascii="Times New Roman" w:hAnsi="Times New Roman" w:cs="Times New Roman"/>
          <w:b/>
          <w:bCs/>
          <w:sz w:val="24"/>
          <w:szCs w:val="24"/>
          <w:lang w:val="el-GR"/>
        </w:rPr>
      </w:pPr>
    </w:p>
    <w:p w:rsidR="00C1567C" w:rsidRPr="00CD45C5"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Σε μια </w:t>
      </w:r>
      <w:r w:rsidR="001E18BD" w:rsidRPr="003B0D84">
        <w:rPr>
          <w:rFonts w:ascii="Times New Roman" w:hAnsi="Times New Roman"/>
          <w:sz w:val="24"/>
          <w:szCs w:val="24"/>
          <w:lang w:val="el-GR"/>
        </w:rPr>
        <w:t xml:space="preserve">κλινική </w:t>
      </w:r>
      <w:r w:rsidR="005F33B9" w:rsidRPr="003B0D84">
        <w:rPr>
          <w:rFonts w:ascii="Times New Roman" w:hAnsi="Times New Roman"/>
          <w:sz w:val="24"/>
          <w:szCs w:val="24"/>
          <w:lang w:val="el-GR"/>
        </w:rPr>
        <w:t xml:space="preserve">μελέτη </w:t>
      </w:r>
      <w:r w:rsidR="00E8090D" w:rsidRPr="003B0D84">
        <w:rPr>
          <w:rFonts w:ascii="Times New Roman" w:hAnsi="Times New Roman"/>
          <w:sz w:val="24"/>
          <w:szCs w:val="24"/>
          <w:lang w:val="el-GR"/>
        </w:rPr>
        <w:t xml:space="preserve">που ερευνούσε την επίδραση των αναστολέων </w:t>
      </w:r>
      <w:r w:rsidR="00E27D3F">
        <w:rPr>
          <w:rFonts w:ascii="Times New Roman" w:hAnsi="Times New Roman"/>
          <w:sz w:val="24"/>
          <w:szCs w:val="24"/>
          <w:lang w:val="el-GR"/>
        </w:rPr>
        <w:t xml:space="preserve">του </w:t>
      </w:r>
      <w:r w:rsidR="00E8090D" w:rsidRPr="003B0D84">
        <w:rPr>
          <w:rFonts w:ascii="Times New Roman" w:hAnsi="Times New Roman"/>
          <w:sz w:val="24"/>
          <w:szCs w:val="24"/>
        </w:rPr>
        <w:t>CYP</w:t>
      </w:r>
      <w:r w:rsidR="00E8090D" w:rsidRPr="003B0D84">
        <w:rPr>
          <w:rFonts w:ascii="Times New Roman" w:hAnsi="Times New Roman"/>
          <w:sz w:val="24"/>
          <w:szCs w:val="24"/>
          <w:lang w:val="el-GR"/>
        </w:rPr>
        <w:t>3</w:t>
      </w:r>
      <w:r w:rsidR="00E8090D" w:rsidRPr="003B0D84">
        <w:rPr>
          <w:rFonts w:ascii="Times New Roman" w:hAnsi="Times New Roman"/>
          <w:sz w:val="24"/>
          <w:szCs w:val="24"/>
        </w:rPr>
        <w:t>A</w:t>
      </w:r>
      <w:r w:rsidR="00E8090D" w:rsidRPr="003B0D84">
        <w:rPr>
          <w:rFonts w:ascii="Times New Roman" w:hAnsi="Times New Roman"/>
          <w:sz w:val="24"/>
          <w:szCs w:val="24"/>
          <w:lang w:val="el-GR"/>
        </w:rPr>
        <w:t>4 (κετοκοναζόλη, ερυθρομυκίνη)</w:t>
      </w:r>
      <w:r w:rsidR="00CD45C5">
        <w:rPr>
          <w:rFonts w:ascii="Times New Roman" w:hAnsi="Times New Roman"/>
          <w:sz w:val="24"/>
          <w:szCs w:val="24"/>
          <w:lang w:val="el-GR"/>
        </w:rPr>
        <w:t>,</w:t>
      </w:r>
      <w:r w:rsidR="00E8090D" w:rsidRPr="003B0D84">
        <w:rPr>
          <w:rFonts w:ascii="Times New Roman" w:hAnsi="Times New Roman"/>
          <w:sz w:val="24"/>
          <w:szCs w:val="24"/>
          <w:lang w:val="el-GR"/>
        </w:rPr>
        <w:t xml:space="preserve"> τα επίπεδα στο πλ</w:t>
      </w:r>
      <w:r w:rsidR="00A06DA2" w:rsidRPr="003B0D84">
        <w:rPr>
          <w:rFonts w:ascii="Times New Roman" w:hAnsi="Times New Roman"/>
          <w:sz w:val="24"/>
          <w:szCs w:val="24"/>
          <w:lang w:val="el-GR"/>
        </w:rPr>
        <w:t>άσμα του</w:t>
      </w:r>
      <w:r w:rsidR="00E8090D" w:rsidRPr="003B0D84">
        <w:rPr>
          <w:rFonts w:ascii="Times New Roman" w:hAnsi="Times New Roman"/>
          <w:sz w:val="24"/>
          <w:szCs w:val="24"/>
          <w:lang w:val="el-GR"/>
        </w:rPr>
        <w:t xml:space="preserve"> </w:t>
      </w:r>
      <w:r w:rsidR="00E8090D" w:rsidRPr="003B0D84">
        <w:rPr>
          <w:rFonts w:ascii="Times New Roman" w:hAnsi="Times New Roman"/>
          <w:sz w:val="24"/>
          <w:szCs w:val="24"/>
        </w:rPr>
        <w:t>dienogest</w:t>
      </w:r>
      <w:r w:rsidR="00E8090D" w:rsidRPr="003B0D84">
        <w:rPr>
          <w:rFonts w:ascii="Times New Roman" w:hAnsi="Times New Roman"/>
          <w:sz w:val="24"/>
          <w:szCs w:val="24"/>
          <w:lang w:val="el-GR"/>
        </w:rPr>
        <w:t xml:space="preserve"> και</w:t>
      </w:r>
      <w:r w:rsidR="00A06DA2" w:rsidRPr="003B0D84">
        <w:rPr>
          <w:rFonts w:ascii="Times New Roman" w:hAnsi="Times New Roman"/>
          <w:sz w:val="24"/>
          <w:szCs w:val="24"/>
          <w:lang w:val="el-GR"/>
        </w:rPr>
        <w:t xml:space="preserve"> της</w:t>
      </w:r>
      <w:r w:rsidR="00E8090D" w:rsidRPr="003B0D84">
        <w:rPr>
          <w:rFonts w:ascii="Times New Roman" w:hAnsi="Times New Roman"/>
          <w:sz w:val="24"/>
          <w:szCs w:val="24"/>
          <w:lang w:val="el-GR"/>
        </w:rPr>
        <w:t xml:space="preserve"> οιστραδιόλης</w:t>
      </w:r>
      <w:r w:rsidR="00A06DA2" w:rsidRPr="003B0D84">
        <w:rPr>
          <w:rFonts w:ascii="Times New Roman" w:hAnsi="Times New Roman"/>
          <w:sz w:val="24"/>
          <w:szCs w:val="24"/>
          <w:lang w:val="el-GR"/>
        </w:rPr>
        <w:t xml:space="preserve"> σε σταθεροποιημένη κατάσταση</w:t>
      </w:r>
      <w:r w:rsidR="00E8090D" w:rsidRPr="003B0D84">
        <w:rPr>
          <w:rFonts w:ascii="Times New Roman" w:hAnsi="Times New Roman"/>
          <w:sz w:val="24"/>
          <w:szCs w:val="24"/>
          <w:lang w:val="el-GR"/>
        </w:rPr>
        <w:t xml:space="preserve"> αυξήθηκαν. Συγχορήγηση με </w:t>
      </w:r>
      <w:r w:rsidR="00B23F85" w:rsidRPr="003B0D84">
        <w:rPr>
          <w:rFonts w:ascii="Times New Roman" w:hAnsi="Times New Roman"/>
          <w:sz w:val="24"/>
          <w:szCs w:val="24"/>
          <w:lang w:val="el-GR"/>
        </w:rPr>
        <w:t>το</w:t>
      </w:r>
      <w:r w:rsidR="00125255" w:rsidRPr="003B0D84">
        <w:rPr>
          <w:rFonts w:ascii="Times New Roman" w:hAnsi="Times New Roman"/>
          <w:sz w:val="24"/>
          <w:szCs w:val="24"/>
          <w:lang w:val="el-GR"/>
        </w:rPr>
        <w:t>ν ισχυρό</w:t>
      </w:r>
      <w:r w:rsidR="001E18BD" w:rsidRPr="003B0D84">
        <w:rPr>
          <w:rFonts w:ascii="Times New Roman" w:hAnsi="Times New Roman"/>
          <w:sz w:val="24"/>
          <w:szCs w:val="24"/>
          <w:lang w:val="el-GR"/>
        </w:rPr>
        <w:t xml:space="preserve"> </w:t>
      </w:r>
      <w:r w:rsidR="00D32E16" w:rsidRPr="003B0D84">
        <w:rPr>
          <w:rFonts w:ascii="Times New Roman" w:hAnsi="Times New Roman"/>
          <w:sz w:val="24"/>
          <w:szCs w:val="24"/>
          <w:lang w:val="el-GR"/>
        </w:rPr>
        <w:t xml:space="preserve">αναστολέα </w:t>
      </w:r>
      <w:r w:rsidR="00CD2BC3" w:rsidRPr="003B0D84">
        <w:rPr>
          <w:rFonts w:ascii="Times New Roman" w:hAnsi="Times New Roman"/>
          <w:sz w:val="24"/>
          <w:szCs w:val="24"/>
          <w:lang w:val="el-GR"/>
        </w:rPr>
        <w:t xml:space="preserve">του </w:t>
      </w:r>
      <w:r w:rsidR="00D32E16" w:rsidRPr="003B0D84">
        <w:rPr>
          <w:rFonts w:ascii="Times New Roman" w:hAnsi="Times New Roman"/>
          <w:sz w:val="24"/>
          <w:szCs w:val="24"/>
          <w:lang w:val="el-GR"/>
        </w:rPr>
        <w:t xml:space="preserve">ενζύμου </w:t>
      </w:r>
      <w:r w:rsidR="00D32E16" w:rsidRPr="003B0D84">
        <w:rPr>
          <w:rFonts w:ascii="Times New Roman" w:hAnsi="Times New Roman"/>
          <w:sz w:val="24"/>
          <w:szCs w:val="24"/>
        </w:rPr>
        <w:t>CY</w:t>
      </w:r>
      <w:r w:rsidR="005F33B9" w:rsidRPr="003B0D84">
        <w:rPr>
          <w:rFonts w:ascii="Times New Roman" w:hAnsi="Times New Roman"/>
          <w:sz w:val="24"/>
          <w:szCs w:val="24"/>
          <w:lang w:val="el-GR"/>
        </w:rPr>
        <w:t xml:space="preserve">Ρ </w:t>
      </w:r>
      <w:r w:rsidR="00D32E16" w:rsidRPr="003B0D84">
        <w:rPr>
          <w:rFonts w:ascii="Times New Roman" w:hAnsi="Times New Roman"/>
          <w:sz w:val="24"/>
          <w:szCs w:val="24"/>
          <w:lang w:val="el-GR"/>
        </w:rPr>
        <w:t>3</w:t>
      </w:r>
      <w:r w:rsidR="00D32E16" w:rsidRPr="003B0D84">
        <w:rPr>
          <w:rFonts w:ascii="Times New Roman" w:hAnsi="Times New Roman"/>
          <w:sz w:val="24"/>
          <w:szCs w:val="24"/>
        </w:rPr>
        <w:t>A</w:t>
      </w:r>
      <w:r w:rsidR="00D32E16" w:rsidRPr="003B0D84">
        <w:rPr>
          <w:rFonts w:ascii="Times New Roman" w:hAnsi="Times New Roman"/>
          <w:sz w:val="24"/>
          <w:szCs w:val="24"/>
          <w:lang w:val="el-GR"/>
        </w:rPr>
        <w:t xml:space="preserve">4, </w:t>
      </w:r>
      <w:r w:rsidR="00D32E16" w:rsidRPr="003B0D84">
        <w:rPr>
          <w:rFonts w:ascii="Times New Roman" w:hAnsi="Times New Roman"/>
          <w:sz w:val="24"/>
          <w:szCs w:val="24"/>
          <w:lang w:val="el-GR"/>
        </w:rPr>
        <w:lastRenderedPageBreak/>
        <w:t>κετοκοναζόλη</w:t>
      </w:r>
      <w:r w:rsidR="00C27AA8">
        <w:rPr>
          <w:rFonts w:ascii="Times New Roman" w:hAnsi="Times New Roman"/>
          <w:sz w:val="24"/>
          <w:szCs w:val="24"/>
          <w:lang w:val="el-GR"/>
        </w:rPr>
        <w:t>,</w:t>
      </w:r>
      <w:r w:rsidR="00D32E16" w:rsidRPr="003B0D84">
        <w:rPr>
          <w:rFonts w:ascii="Times New Roman" w:hAnsi="Times New Roman"/>
          <w:sz w:val="24"/>
          <w:szCs w:val="24"/>
          <w:lang w:val="el-GR"/>
        </w:rPr>
        <w:t xml:space="preserve"> </w:t>
      </w:r>
      <w:r w:rsidR="00E8090D" w:rsidRPr="003B0D84">
        <w:rPr>
          <w:rFonts w:ascii="Times New Roman" w:hAnsi="Times New Roman"/>
          <w:sz w:val="24"/>
          <w:szCs w:val="24"/>
          <w:lang w:val="el-GR"/>
        </w:rPr>
        <w:t>είχε ως αποτέλεσμα</w:t>
      </w:r>
      <w:r w:rsidR="00CD45C5">
        <w:rPr>
          <w:rFonts w:ascii="Times New Roman" w:hAnsi="Times New Roman"/>
          <w:sz w:val="24"/>
          <w:szCs w:val="24"/>
          <w:lang w:val="el-GR"/>
        </w:rPr>
        <w:t xml:space="preserve"> </w:t>
      </w:r>
      <w:r w:rsidR="00D32E16" w:rsidRPr="003B0D84">
        <w:rPr>
          <w:rFonts w:ascii="Times New Roman" w:hAnsi="Times New Roman"/>
          <w:sz w:val="24"/>
          <w:szCs w:val="24"/>
          <w:lang w:val="el-GR"/>
        </w:rPr>
        <w:t xml:space="preserve">αύξηση </w:t>
      </w:r>
      <w:r w:rsidRPr="003B0D84">
        <w:rPr>
          <w:rFonts w:ascii="Times New Roman" w:hAnsi="Times New Roman"/>
          <w:sz w:val="24"/>
          <w:szCs w:val="24"/>
          <w:lang w:val="el-GR"/>
        </w:rPr>
        <w:t xml:space="preserve">186% </w:t>
      </w:r>
      <w:r w:rsidR="005F33B9" w:rsidRPr="003B0D84">
        <w:rPr>
          <w:rFonts w:ascii="Times New Roman" w:hAnsi="Times New Roman"/>
          <w:sz w:val="24"/>
          <w:szCs w:val="24"/>
          <w:lang w:val="el-GR"/>
        </w:rPr>
        <w:t>και 57%</w:t>
      </w:r>
      <w:r w:rsidR="00D32E16" w:rsidRPr="003B0D84">
        <w:rPr>
          <w:rFonts w:ascii="Times New Roman" w:hAnsi="Times New Roman"/>
          <w:sz w:val="24"/>
          <w:szCs w:val="24"/>
          <w:lang w:val="el-GR"/>
        </w:rPr>
        <w:t xml:space="preserve"> </w:t>
      </w:r>
      <w:r w:rsidRPr="003B0D84">
        <w:rPr>
          <w:rFonts w:ascii="Times New Roman" w:hAnsi="Times New Roman"/>
          <w:sz w:val="24"/>
          <w:szCs w:val="24"/>
          <w:lang w:val="el-GR"/>
        </w:rPr>
        <w:t>της τιμής AUC (0-24 ώρες) σε σταθεροποιημένη κατάσταση για το dienogest και για την οιστραδιόλη</w:t>
      </w:r>
      <w:r w:rsidR="00CD45C5">
        <w:rPr>
          <w:rFonts w:ascii="Times New Roman" w:hAnsi="Times New Roman"/>
          <w:sz w:val="24"/>
          <w:szCs w:val="24"/>
          <w:lang w:val="el-GR"/>
        </w:rPr>
        <w:t>,</w:t>
      </w:r>
      <w:r w:rsidR="00D32E16" w:rsidRPr="003B0D84">
        <w:rPr>
          <w:rFonts w:ascii="Times New Roman" w:hAnsi="Times New Roman"/>
          <w:sz w:val="24"/>
          <w:szCs w:val="24"/>
          <w:lang w:val="el-GR"/>
        </w:rPr>
        <w:t xml:space="preserve"> αντίστοιχα</w:t>
      </w:r>
      <w:r w:rsidRPr="003B0D84">
        <w:rPr>
          <w:rFonts w:ascii="Times New Roman" w:hAnsi="Times New Roman"/>
          <w:sz w:val="24"/>
          <w:szCs w:val="24"/>
          <w:lang w:val="el-GR"/>
        </w:rPr>
        <w:t xml:space="preserve">. </w:t>
      </w:r>
      <w:r w:rsidR="00F62C9E" w:rsidRPr="003B0D84">
        <w:rPr>
          <w:rFonts w:ascii="Times New Roman" w:hAnsi="Times New Roman"/>
          <w:sz w:val="24"/>
          <w:szCs w:val="24"/>
          <w:lang w:val="el-GR"/>
        </w:rPr>
        <w:t xml:space="preserve">Συγχορήγηση </w:t>
      </w:r>
      <w:r w:rsidRPr="003B0D84">
        <w:rPr>
          <w:rFonts w:ascii="Times New Roman" w:hAnsi="Times New Roman"/>
          <w:sz w:val="24"/>
          <w:szCs w:val="24"/>
          <w:lang w:val="el-GR"/>
        </w:rPr>
        <w:t xml:space="preserve">με τον μέτριο αναστολέα ερυθρομυκίνη, </w:t>
      </w:r>
      <w:r w:rsidR="00F62C9E" w:rsidRPr="003B0D84">
        <w:rPr>
          <w:rFonts w:ascii="Times New Roman" w:hAnsi="Times New Roman"/>
          <w:sz w:val="24"/>
          <w:szCs w:val="24"/>
          <w:lang w:val="el-GR"/>
        </w:rPr>
        <w:t>αύξησε τ</w:t>
      </w:r>
      <w:r w:rsidRPr="003B0D84">
        <w:rPr>
          <w:rFonts w:ascii="Times New Roman" w:hAnsi="Times New Roman"/>
          <w:sz w:val="24"/>
          <w:szCs w:val="24"/>
          <w:lang w:val="el-GR"/>
        </w:rPr>
        <w:t>η</w:t>
      </w:r>
      <w:r w:rsidR="00F62C9E" w:rsidRPr="003B0D84">
        <w:rPr>
          <w:rFonts w:ascii="Times New Roman" w:hAnsi="Times New Roman"/>
          <w:sz w:val="24"/>
          <w:szCs w:val="24"/>
          <w:lang w:val="el-GR"/>
        </w:rPr>
        <w:t>ν</w:t>
      </w:r>
      <w:r w:rsidRPr="003B0D84">
        <w:rPr>
          <w:rFonts w:ascii="Times New Roman" w:hAnsi="Times New Roman"/>
          <w:sz w:val="24"/>
          <w:szCs w:val="24"/>
          <w:lang w:val="el-GR"/>
        </w:rPr>
        <w:t xml:space="preserve"> τιμή </w:t>
      </w:r>
      <w:r w:rsidR="00CD2BC3" w:rsidRPr="003B0D84">
        <w:rPr>
          <w:rFonts w:ascii="Times New Roman" w:hAnsi="Times New Roman"/>
          <w:sz w:val="24"/>
          <w:szCs w:val="24"/>
          <w:lang w:val="el-GR"/>
        </w:rPr>
        <w:t xml:space="preserve">της </w:t>
      </w:r>
      <w:r w:rsidRPr="003B0D84">
        <w:rPr>
          <w:rFonts w:ascii="Times New Roman" w:hAnsi="Times New Roman"/>
          <w:sz w:val="24"/>
          <w:szCs w:val="24"/>
          <w:lang w:val="el-GR"/>
        </w:rPr>
        <w:t>AUC (0-24 ώρες) του dienogest και της οιστραδιόλης σε σταθεροποιημένη κατάσταση  κατά 62% και 33%, αντίστοιχα</w:t>
      </w:r>
      <w:r w:rsidRPr="003B0D84">
        <w:rPr>
          <w:rFonts w:ascii="Times New Roman" w:hAnsi="Times New Roman"/>
          <w:i/>
          <w:iCs/>
          <w:sz w:val="24"/>
          <w:szCs w:val="24"/>
          <w:lang w:val="el-GR"/>
        </w:rPr>
        <w:t>.</w:t>
      </w:r>
      <w:r w:rsidR="00F62C9E" w:rsidRPr="003B0D84">
        <w:rPr>
          <w:rFonts w:ascii="Times New Roman" w:hAnsi="Times New Roman"/>
          <w:i/>
          <w:iCs/>
          <w:sz w:val="24"/>
          <w:szCs w:val="24"/>
          <w:lang w:val="el-GR"/>
        </w:rPr>
        <w:t xml:space="preserve"> </w:t>
      </w:r>
      <w:r w:rsidR="00F62C9E" w:rsidRPr="003B0D84">
        <w:rPr>
          <w:rFonts w:ascii="Times New Roman" w:hAnsi="Times New Roman"/>
          <w:iCs/>
          <w:sz w:val="24"/>
          <w:szCs w:val="24"/>
          <w:lang w:val="el-GR"/>
        </w:rPr>
        <w:t>Η κλινική συσχέτιση αυτ</w:t>
      </w:r>
      <w:r w:rsidR="00CD2BC3" w:rsidRPr="003B0D84">
        <w:rPr>
          <w:rFonts w:ascii="Times New Roman" w:hAnsi="Times New Roman"/>
          <w:iCs/>
          <w:sz w:val="24"/>
          <w:szCs w:val="24"/>
          <w:lang w:val="el-GR"/>
        </w:rPr>
        <w:t>ών των αλληλεπιδράσεων είναι</w:t>
      </w:r>
      <w:r w:rsidR="00F62C9E" w:rsidRPr="003B0D84">
        <w:rPr>
          <w:rFonts w:ascii="Times New Roman" w:hAnsi="Times New Roman"/>
          <w:iCs/>
          <w:sz w:val="24"/>
          <w:szCs w:val="24"/>
          <w:lang w:val="el-GR"/>
        </w:rPr>
        <w:t xml:space="preserve"> άγνωστη.</w:t>
      </w:r>
    </w:p>
    <w:p w:rsidR="00C1567C" w:rsidRDefault="00A82EE9" w:rsidP="009D672F">
      <w:pPr>
        <w:pStyle w:val="Para0s"/>
        <w:spacing w:after="0"/>
        <w:rPr>
          <w:lang w:val="el-GR"/>
        </w:rPr>
      </w:pPr>
      <w:r w:rsidRPr="003B0D84">
        <w:rPr>
          <w:lang w:val="el-GR"/>
        </w:rPr>
        <w:t xml:space="preserve">Αποτυχίες αντισυλληπτικών </w:t>
      </w:r>
      <w:r w:rsidR="00125255" w:rsidRPr="003B0D84">
        <w:rPr>
          <w:lang w:val="el-GR"/>
        </w:rPr>
        <w:t xml:space="preserve">έχουν </w:t>
      </w:r>
      <w:r w:rsidRPr="003B0D84">
        <w:rPr>
          <w:lang w:val="el-GR"/>
        </w:rPr>
        <w:t xml:space="preserve">επίσης αναφερθεί με αντιβιοτικά, όπως πενικιλλίνες και τετρακυκλίνες. Ο μηχανισμός αυτού του αποτελέσματος δεν έχει διασαφηνιστεί. </w:t>
      </w:r>
    </w:p>
    <w:p w:rsidR="009D672F" w:rsidRPr="003B0D84" w:rsidRDefault="009D672F" w:rsidP="009D672F">
      <w:pPr>
        <w:pStyle w:val="Para0s"/>
        <w:spacing w:after="0"/>
        <w:rPr>
          <w:lang w:val="el-GR"/>
        </w:rPr>
      </w:pPr>
    </w:p>
    <w:p w:rsidR="00C1567C" w:rsidRPr="003B0D84" w:rsidRDefault="00C1567C" w:rsidP="009D672F">
      <w:pPr>
        <w:pStyle w:val="Bullet0dKT"/>
        <w:spacing w:before="0" w:after="0"/>
        <w:ind w:left="357" w:hanging="357"/>
        <w:rPr>
          <w:b/>
          <w:bCs/>
          <w:lang w:val="el-GR"/>
        </w:rPr>
      </w:pPr>
      <w:r w:rsidRPr="003B0D84">
        <w:rPr>
          <w:b/>
          <w:bCs/>
          <w:lang w:val="el-GR"/>
        </w:rPr>
        <w:t>Αλληλεπιδράσεις του Qlaira σε άλλα φαρμακευτικά προϊόντα</w:t>
      </w:r>
    </w:p>
    <w:p w:rsidR="00552F83" w:rsidRPr="003B0D84" w:rsidRDefault="00A906E5" w:rsidP="009D672F">
      <w:pPr>
        <w:pStyle w:val="Bullet0dKT"/>
        <w:numPr>
          <w:ilvl w:val="0"/>
          <w:numId w:val="0"/>
        </w:numPr>
        <w:spacing w:before="0" w:after="0"/>
        <w:rPr>
          <w:bCs/>
          <w:lang w:val="el-GR"/>
        </w:rPr>
      </w:pPr>
      <w:r w:rsidRPr="003B0D84">
        <w:rPr>
          <w:bCs/>
          <w:lang w:val="el-GR"/>
        </w:rPr>
        <w:t>Τα από του</w:t>
      </w:r>
      <w:r w:rsidR="00CD2BC3" w:rsidRPr="003B0D84">
        <w:rPr>
          <w:bCs/>
          <w:lang w:val="el-GR"/>
        </w:rPr>
        <w:t xml:space="preserve"> στόματος αντισυλληπτικά μπορεί</w:t>
      </w:r>
      <w:r w:rsidRPr="003B0D84">
        <w:rPr>
          <w:bCs/>
          <w:lang w:val="el-GR"/>
        </w:rPr>
        <w:t xml:space="preserve"> να επηρεάσουν τον μεταβολισμό ορισμένων άλλων δραστικών ουσιών. </w:t>
      </w:r>
      <w:r w:rsidR="00CD2BC3" w:rsidRPr="003B0D84">
        <w:rPr>
          <w:bCs/>
          <w:lang w:val="el-GR"/>
        </w:rPr>
        <w:t>Συνεπώς</w:t>
      </w:r>
      <w:r w:rsidR="009655A5" w:rsidRPr="003B0D84">
        <w:rPr>
          <w:bCs/>
          <w:lang w:val="el-GR"/>
        </w:rPr>
        <w:t>, οι συγκεντρώσεις στο πλάσμα και στους ιστούς μπορεί είτε να αυξηθούν (π.χ. κυκλοσπορίνη) είτε να μειωθούν (</w:t>
      </w:r>
      <w:r w:rsidR="00125255" w:rsidRPr="003B0D84">
        <w:rPr>
          <w:bCs/>
          <w:lang w:val="el-GR"/>
        </w:rPr>
        <w:t xml:space="preserve">π.χ. </w:t>
      </w:r>
      <w:r w:rsidR="009655A5" w:rsidRPr="003B0D84">
        <w:rPr>
          <w:bCs/>
          <w:lang w:val="el-GR"/>
        </w:rPr>
        <w:t>λαμοτριγίνη).</w:t>
      </w:r>
    </w:p>
    <w:p w:rsidR="009655A5" w:rsidRDefault="009655A5" w:rsidP="009D672F">
      <w:pPr>
        <w:pStyle w:val="Para0s"/>
        <w:spacing w:after="0"/>
        <w:rPr>
          <w:lang w:val="el-GR"/>
        </w:rPr>
      </w:pPr>
      <w:r w:rsidRPr="003B0D84">
        <w:rPr>
          <w:lang w:val="el-GR"/>
        </w:rPr>
        <w:t>Οι φαρμακοκινητικές ιδιότητες της νιφε</w:t>
      </w:r>
      <w:r w:rsidR="00B23F85" w:rsidRPr="003B0D84">
        <w:rPr>
          <w:lang w:val="el-GR"/>
        </w:rPr>
        <w:t>δ</w:t>
      </w:r>
      <w:r w:rsidRPr="003B0D84">
        <w:rPr>
          <w:lang w:val="el-GR"/>
        </w:rPr>
        <w:t xml:space="preserve">ιπίνης δεν επηρεάστηκαν από τη συχγορήγηση 2 </w:t>
      </w:r>
      <w:r w:rsidRPr="003B0D84">
        <w:t>mg</w:t>
      </w:r>
      <w:r w:rsidRPr="003B0D84">
        <w:rPr>
          <w:lang w:val="el-GR"/>
        </w:rPr>
        <w:t xml:space="preserve"> </w:t>
      </w:r>
      <w:r w:rsidRPr="003B0D84">
        <w:t>dienogest</w:t>
      </w:r>
      <w:r w:rsidRPr="003B0D84">
        <w:rPr>
          <w:lang w:val="el-GR"/>
        </w:rPr>
        <w:t xml:space="preserve"> + 0,03 </w:t>
      </w:r>
      <w:r w:rsidRPr="003B0D84">
        <w:t>mg</w:t>
      </w:r>
      <w:r w:rsidRPr="003B0D84">
        <w:rPr>
          <w:lang w:val="el-GR"/>
        </w:rPr>
        <w:t xml:space="preserve"> αιθινυλοιστραδιόλης και επομένως επιβεβαιώνονται τα αποτελέσματα μελετών </w:t>
      </w:r>
      <w:r w:rsidRPr="003B0D84">
        <w:rPr>
          <w:i/>
        </w:rPr>
        <w:t>in</w:t>
      </w:r>
      <w:r w:rsidRPr="003B0D84">
        <w:rPr>
          <w:i/>
          <w:lang w:val="el-GR"/>
        </w:rPr>
        <w:t xml:space="preserve"> </w:t>
      </w:r>
      <w:r w:rsidRPr="003B0D84">
        <w:rPr>
          <w:i/>
        </w:rPr>
        <w:t>vitro</w:t>
      </w:r>
      <w:r w:rsidR="00CD2BC3" w:rsidRPr="003B0D84">
        <w:rPr>
          <w:lang w:val="el-GR"/>
        </w:rPr>
        <w:t xml:space="preserve"> που έδειξαν ότι η</w:t>
      </w:r>
      <w:r w:rsidRPr="003B0D84">
        <w:rPr>
          <w:lang w:val="el-GR"/>
        </w:rPr>
        <w:t xml:space="preserve"> αναστολή των ενζύμων </w:t>
      </w:r>
      <w:r w:rsidRPr="003B0D84">
        <w:t>CYP</w:t>
      </w:r>
      <w:r w:rsidRPr="003B0D84">
        <w:rPr>
          <w:lang w:val="el-GR"/>
        </w:rPr>
        <w:t xml:space="preserve"> από το </w:t>
      </w:r>
      <w:r w:rsidRPr="003B0D84">
        <w:t>Qlaira</w:t>
      </w:r>
      <w:r w:rsidRPr="003B0D84">
        <w:rPr>
          <w:lang w:val="el-GR"/>
        </w:rPr>
        <w:t xml:space="preserve"> είναι απίθανη στη θεραπευτική δόση.</w:t>
      </w:r>
    </w:p>
    <w:p w:rsidR="009D672F" w:rsidRPr="003B0D84" w:rsidRDefault="009D672F" w:rsidP="009D672F">
      <w:pPr>
        <w:pStyle w:val="Para0s"/>
        <w:spacing w:after="0"/>
        <w:rPr>
          <w:lang w:val="el-GR"/>
        </w:rPr>
      </w:pPr>
    </w:p>
    <w:p w:rsidR="00C1567C" w:rsidRPr="003B0D84" w:rsidRDefault="00C1567C" w:rsidP="009D672F">
      <w:pPr>
        <w:pStyle w:val="Bullet0dKT"/>
        <w:spacing w:before="0" w:after="0"/>
        <w:ind w:left="357" w:hanging="357"/>
        <w:rPr>
          <w:lang w:val="el-GR"/>
        </w:rPr>
      </w:pPr>
      <w:r w:rsidRPr="003B0D84">
        <w:rPr>
          <w:b/>
          <w:bCs/>
          <w:lang w:val="el-GR"/>
        </w:rPr>
        <w:t xml:space="preserve">Εργαστηριακές εξετάσεις </w:t>
      </w:r>
    </w:p>
    <w:p w:rsidR="00C1567C" w:rsidRDefault="00C1567C" w:rsidP="009D672F">
      <w:pPr>
        <w:spacing w:after="0"/>
        <w:rPr>
          <w:rFonts w:ascii="Times New Roman" w:hAnsi="Times New Roman"/>
          <w:sz w:val="24"/>
          <w:szCs w:val="24"/>
          <w:lang w:val="el-GR"/>
        </w:rPr>
      </w:pPr>
      <w:bookmarkStart w:id="13" w:name="_Ref177183618"/>
      <w:r w:rsidRPr="003B0D84">
        <w:rPr>
          <w:rFonts w:ascii="Times New Roman" w:hAnsi="Times New Roman"/>
          <w:sz w:val="24"/>
          <w:szCs w:val="24"/>
          <w:lang w:val="el-GR"/>
        </w:rPr>
        <w:t xml:space="preserve">Η χρήση των στεροειδών αντισυλληπτικών μπορεί να επηρεάσει τα αποτελέσματα ορισμένων εργαστηριακών εξετάσεων, συμπεριλαμβανομένων των βιοχημικών παραμέτρων της λειτουργίας του ήπατος, του θυρεοειδούς, των επινεφριδίων και των νεφρών, των επιπέδων στο πλάσμα των (φορέων) πρωτεϊνών, π.χ. της σφαιρίνης που δεσμεύει τα κορτικοστεροειδή και των κλασμάτων λιπιδίων/λιποπρωτεϊνών, των </w:t>
      </w:r>
      <w:r w:rsidR="00766E4E" w:rsidRPr="003B0D84">
        <w:rPr>
          <w:rFonts w:ascii="Times New Roman" w:hAnsi="Times New Roman"/>
          <w:sz w:val="24"/>
          <w:szCs w:val="24"/>
          <w:lang w:val="el-GR"/>
        </w:rPr>
        <w:t>παραμέτρων</w:t>
      </w:r>
      <w:r w:rsidRPr="003B0D84">
        <w:rPr>
          <w:rFonts w:ascii="Times New Roman" w:hAnsi="Times New Roman"/>
          <w:sz w:val="24"/>
          <w:szCs w:val="24"/>
          <w:lang w:val="el-GR"/>
        </w:rPr>
        <w:t xml:space="preserve"> του μεταβολισμού των υδατανθράκων και των παράμετρων της πήξης και της ινωδόλυσης. Οι μεταβολές γενικά παραμένουν μέσα στα φυσιολογικά εργαστηριακά όρια.</w:t>
      </w:r>
    </w:p>
    <w:p w:rsidR="009D672F" w:rsidRPr="003B0D84" w:rsidRDefault="009D672F" w:rsidP="009D672F">
      <w:pPr>
        <w:spacing w:after="0"/>
        <w:rPr>
          <w:rFonts w:ascii="Times New Roman" w:hAnsi="Times New Roman"/>
          <w:sz w:val="24"/>
          <w:szCs w:val="24"/>
          <w:lang w:val="el-GR"/>
        </w:rPr>
      </w:pPr>
    </w:p>
    <w:p w:rsidR="00C1567C" w:rsidRPr="003B0D84" w:rsidRDefault="00C1567C" w:rsidP="009D672F">
      <w:pPr>
        <w:pStyle w:val="2"/>
        <w:spacing w:before="0" w:after="0"/>
        <w:rPr>
          <w:lang w:val="el-GR"/>
        </w:rPr>
      </w:pPr>
      <w:bookmarkStart w:id="14" w:name="_Ref185061296"/>
      <w:bookmarkEnd w:id="13"/>
      <w:r w:rsidRPr="003B0D84">
        <w:rPr>
          <w:lang w:val="el-GR"/>
        </w:rPr>
        <w:t>Κύηση και γαλουχία</w:t>
      </w:r>
      <w:bookmarkEnd w:id="14"/>
    </w:p>
    <w:p w:rsidR="000B6662" w:rsidRPr="003B0D84" w:rsidRDefault="00C1567C" w:rsidP="009D672F">
      <w:pPr>
        <w:pStyle w:val="Para0s"/>
        <w:spacing w:after="0"/>
        <w:rPr>
          <w:lang w:val="el-GR"/>
        </w:rPr>
      </w:pPr>
      <w:r w:rsidRPr="003B0D84">
        <w:rPr>
          <w:lang w:val="el-GR"/>
        </w:rPr>
        <w:t xml:space="preserve">Το Qlaira </w:t>
      </w:r>
      <w:r w:rsidR="009655A5" w:rsidRPr="003B0D84">
        <w:rPr>
          <w:lang w:val="el-GR"/>
        </w:rPr>
        <w:t xml:space="preserve">δεν πρέπει να χρησιμοποιείται </w:t>
      </w:r>
      <w:r w:rsidRPr="003B0D84">
        <w:rPr>
          <w:lang w:val="el-GR"/>
        </w:rPr>
        <w:t xml:space="preserve">κατά τη διάρκεια της κύησης. </w:t>
      </w:r>
    </w:p>
    <w:p w:rsidR="00C1567C" w:rsidRPr="003B0D84" w:rsidRDefault="00C1567C" w:rsidP="009D672F">
      <w:pPr>
        <w:pStyle w:val="Para0s"/>
        <w:spacing w:after="0"/>
        <w:rPr>
          <w:lang w:val="el-GR"/>
        </w:rPr>
      </w:pPr>
      <w:r w:rsidRPr="003B0D84">
        <w:rPr>
          <w:lang w:val="el-GR"/>
        </w:rPr>
        <w:t xml:space="preserve">Εάν η γυναίκα μείνει έγκυος κατά τη διάρκεια της λήψης του Qlaira, τότε απαιτείται άμεση διακοπή της χρήσης του σκευάσματος. Ωστόσο, εκτεταμένες επιδημιολογικές μελέτες </w:t>
      </w:r>
      <w:r w:rsidR="00CD2BC3" w:rsidRPr="003B0D84">
        <w:rPr>
          <w:lang w:val="el-GR"/>
        </w:rPr>
        <w:t xml:space="preserve">με </w:t>
      </w:r>
      <w:r w:rsidR="00125255" w:rsidRPr="003B0D84">
        <w:rPr>
          <w:lang w:val="el-GR"/>
        </w:rPr>
        <w:t xml:space="preserve">συνδυασμένα από του στόματος αντισυλληπτικά που περιέχουν </w:t>
      </w:r>
      <w:r w:rsidR="00CD2BC3" w:rsidRPr="003B0D84">
        <w:rPr>
          <w:lang w:val="el-GR"/>
        </w:rPr>
        <w:t xml:space="preserve">αιθινυλοιστραδιόλη </w:t>
      </w:r>
      <w:r w:rsidRPr="003B0D84">
        <w:rPr>
          <w:lang w:val="el-GR"/>
        </w:rPr>
        <w:t>δεν έχουν αναδείξει αυξημένο κίνδυνο γενετικών ανωμαλιών σε παιδιά γυναικών που έκαναν χρήση συνδυασμένων από του στόματος αντισυλληπτικών πριν την κύηση, αλλά ούτε και τερατογεννητική δράση από την ακούσια λήψη συνδυασμένων από του στόματος αντισυλληπτικών κατά τη διάρκεια της κύησης.</w:t>
      </w:r>
      <w:r w:rsidR="009655A5" w:rsidRPr="003B0D84">
        <w:rPr>
          <w:lang w:val="el-GR"/>
        </w:rPr>
        <w:t xml:space="preserve"> Μελέτες σε ζώα δεν έχουν δείξει κάποιον κίνδυνο αναπ</w:t>
      </w:r>
      <w:r w:rsidR="00FF5472" w:rsidRPr="003B0D84">
        <w:rPr>
          <w:lang w:val="el-GR"/>
        </w:rPr>
        <w:t>αραγωγικής τοξικότητας (βλ. π</w:t>
      </w:r>
      <w:r w:rsidR="00CD2BC3" w:rsidRPr="003B0D84">
        <w:rPr>
          <w:lang w:val="el-GR"/>
        </w:rPr>
        <w:t>αράγραφο 5.3</w:t>
      </w:r>
      <w:r w:rsidR="009655A5" w:rsidRPr="003B0D84">
        <w:rPr>
          <w:lang w:val="el-GR"/>
        </w:rPr>
        <w:t>)</w:t>
      </w:r>
      <w:r w:rsidR="00481ACF">
        <w:rPr>
          <w:lang w:val="el-GR"/>
        </w:rPr>
        <w:t>.</w:t>
      </w:r>
    </w:p>
    <w:p w:rsidR="00C7517F" w:rsidRDefault="00C1567C" w:rsidP="009D672F">
      <w:pPr>
        <w:pStyle w:val="Para0s"/>
        <w:spacing w:after="0"/>
        <w:rPr>
          <w:lang w:val="el-GR"/>
        </w:rPr>
      </w:pPr>
      <w:r w:rsidRPr="003B0D84">
        <w:rPr>
          <w:lang w:val="el-GR"/>
        </w:rPr>
        <w:t>Η γαλουχία μπορεί να επηρεαστεί από τα συνδυασμένα από του στόματος αντισυλληπτικά, καθώς μπορεί να μειώσουν την ποσότητα και να μεταβάλουν τη σύνθεση του μητρικού γάλακτος. Επομένως, η χρήση των συνδυασμένων από του στόματος αντισυλληπτικών γενικά δεν θα πρέπει να συνιστάται μέχρι η γαλουχούσα μητέρα να απογαλακτίσει πλήρως το παιδί της. Μικρές ποσότητες τ</w:t>
      </w:r>
      <w:r w:rsidR="00CD2BC3" w:rsidRPr="003B0D84">
        <w:rPr>
          <w:lang w:val="el-GR"/>
        </w:rPr>
        <w:t xml:space="preserve">ων αντισυλληπτικών στεροειδών </w:t>
      </w:r>
      <w:r w:rsidRPr="003B0D84">
        <w:rPr>
          <w:lang w:val="el-GR"/>
        </w:rPr>
        <w:t>και</w:t>
      </w:r>
      <w:r w:rsidR="00CD2BC3" w:rsidRPr="003B0D84">
        <w:rPr>
          <w:lang w:val="el-GR"/>
        </w:rPr>
        <w:t>/ή</w:t>
      </w:r>
      <w:r w:rsidRPr="003B0D84">
        <w:rPr>
          <w:lang w:val="el-GR"/>
        </w:rPr>
        <w:t xml:space="preserve"> των μεταβολιτών τους μπορεί να απεκκρίνονται με το γάλα κατά τη χρήση συνδυασμένων από του στόματος αντισυλληπτικών</w:t>
      </w:r>
      <w:r w:rsidR="009655A5" w:rsidRPr="003B0D84">
        <w:rPr>
          <w:lang w:val="el-GR"/>
        </w:rPr>
        <w:t>. Οι ποσότητες αυτές</w:t>
      </w:r>
      <w:r w:rsidR="00CD2BC3" w:rsidRPr="003B0D84">
        <w:rPr>
          <w:lang w:val="el-GR"/>
        </w:rPr>
        <w:t xml:space="preserve"> μπορεί να επηρεάσουν το παιδί.</w:t>
      </w:r>
    </w:p>
    <w:p w:rsidR="009D672F" w:rsidRPr="003B0D84" w:rsidRDefault="009D672F" w:rsidP="009D672F">
      <w:pPr>
        <w:pStyle w:val="Para0s"/>
        <w:spacing w:after="0"/>
        <w:rPr>
          <w:lang w:val="el-GR"/>
        </w:rPr>
      </w:pPr>
    </w:p>
    <w:p w:rsidR="00C1567C" w:rsidRPr="003B0D84" w:rsidRDefault="009655A5" w:rsidP="009D672F">
      <w:pPr>
        <w:pStyle w:val="Para0s"/>
        <w:spacing w:after="0"/>
        <w:rPr>
          <w:b/>
          <w:lang w:val="el-GR"/>
        </w:rPr>
      </w:pPr>
      <w:r w:rsidRPr="003B0D84">
        <w:rPr>
          <w:b/>
          <w:lang w:val="el-GR"/>
        </w:rPr>
        <w:t xml:space="preserve">4.7 </w:t>
      </w:r>
      <w:r w:rsidR="000415AF" w:rsidRPr="000415AF">
        <w:rPr>
          <w:b/>
          <w:lang w:val="el-GR"/>
        </w:rPr>
        <w:t xml:space="preserve">  </w:t>
      </w:r>
      <w:r w:rsidR="00C1567C" w:rsidRPr="003B0D84">
        <w:rPr>
          <w:b/>
          <w:lang w:val="el-GR"/>
        </w:rPr>
        <w:t>Επιδράσεις στην ικανότητα οδήγησης και χειρισμού μηχανών</w:t>
      </w:r>
    </w:p>
    <w:p w:rsidR="00C7517F" w:rsidRDefault="00C1567C" w:rsidP="009D672F">
      <w:pPr>
        <w:pStyle w:val="Para0s"/>
        <w:spacing w:after="0"/>
        <w:rPr>
          <w:lang w:val="el-GR"/>
        </w:rPr>
      </w:pPr>
      <w:r w:rsidRPr="003B0D84">
        <w:rPr>
          <w:lang w:val="el-GR"/>
        </w:rPr>
        <w:t>Το Qlaira δεν έχει καμία επίδραση στην ικανότητα οδήγησης ή χειρισμού μηχανών.</w:t>
      </w:r>
      <w:bookmarkStart w:id="15" w:name="Undesirable"/>
    </w:p>
    <w:p w:rsidR="009D672F" w:rsidRPr="003B0D84" w:rsidRDefault="009D672F" w:rsidP="009D672F">
      <w:pPr>
        <w:pStyle w:val="Para0s"/>
        <w:spacing w:after="0"/>
        <w:rPr>
          <w:lang w:val="el-GR"/>
        </w:rPr>
      </w:pPr>
    </w:p>
    <w:p w:rsidR="00C1567C" w:rsidRPr="003B0D84" w:rsidRDefault="007B44C9" w:rsidP="009D672F">
      <w:pPr>
        <w:pStyle w:val="Para0s"/>
        <w:spacing w:after="0"/>
        <w:rPr>
          <w:b/>
          <w:lang w:val="el-GR"/>
        </w:rPr>
      </w:pPr>
      <w:r w:rsidRPr="003B0D84">
        <w:rPr>
          <w:b/>
          <w:lang w:val="el-GR"/>
        </w:rPr>
        <w:t xml:space="preserve"> 4.8 </w:t>
      </w:r>
      <w:r w:rsidR="000415AF">
        <w:rPr>
          <w:b/>
        </w:rPr>
        <w:t xml:space="preserve">  </w:t>
      </w:r>
      <w:r w:rsidR="00C1567C" w:rsidRPr="003B0D84">
        <w:rPr>
          <w:b/>
          <w:lang w:val="el-GR"/>
        </w:rPr>
        <w:t>Ανεπιθύμητες ενέργειες</w:t>
      </w:r>
    </w:p>
    <w:bookmarkEnd w:id="15"/>
    <w:p w:rsidR="00C1567C" w:rsidRPr="003B0D84" w:rsidRDefault="00C1567C" w:rsidP="009D672F">
      <w:pPr>
        <w:pStyle w:val="Para0s"/>
        <w:spacing w:after="0"/>
        <w:rPr>
          <w:lang w:val="el-GR"/>
        </w:rPr>
      </w:pPr>
      <w:r w:rsidRPr="003B0D84">
        <w:rPr>
          <w:lang w:val="el-GR"/>
        </w:rPr>
        <w:t>Ο παρακάτω πίνακας αναφέρει τις</w:t>
      </w:r>
      <w:r w:rsidR="00CD2BC3" w:rsidRPr="003B0D84">
        <w:rPr>
          <w:lang w:val="el-GR"/>
        </w:rPr>
        <w:t xml:space="preserve"> ανεπιθύμητες αντιδράσεις </w:t>
      </w:r>
      <w:r w:rsidRPr="003B0D84">
        <w:rPr>
          <w:lang w:val="el-GR"/>
        </w:rPr>
        <w:t>σύμφωνα με το οργανικό σύστ</w:t>
      </w:r>
      <w:r w:rsidR="00CD2BC3" w:rsidRPr="003B0D84">
        <w:rPr>
          <w:lang w:val="el-GR"/>
        </w:rPr>
        <w:t xml:space="preserve">ημα κατά MedDRA (MedDRA SOCs). </w:t>
      </w:r>
      <w:r w:rsidR="00682952" w:rsidRPr="003B0D84">
        <w:rPr>
          <w:lang w:val="el-GR"/>
        </w:rPr>
        <w:t>Χρησιμοποιείται ο καταλληλότερο</w:t>
      </w:r>
      <w:r w:rsidR="00125255" w:rsidRPr="003B0D84">
        <w:rPr>
          <w:lang w:val="el-GR"/>
        </w:rPr>
        <w:t>ς</w:t>
      </w:r>
      <w:r w:rsidR="00682952" w:rsidRPr="003B0D84">
        <w:rPr>
          <w:lang w:val="el-GR"/>
        </w:rPr>
        <w:t xml:space="preserve"> όρος MedDRA (έκδοση </w:t>
      </w:r>
      <w:r w:rsidR="00B947E3" w:rsidRPr="00B947E3">
        <w:rPr>
          <w:lang w:val="el-GR"/>
        </w:rPr>
        <w:t>12</w:t>
      </w:r>
      <w:r w:rsidR="00682952" w:rsidRPr="003B0D84">
        <w:rPr>
          <w:lang w:val="el-GR"/>
        </w:rPr>
        <w:t xml:space="preserve">.0) για </w:t>
      </w:r>
      <w:r w:rsidR="00682952" w:rsidRPr="003B0D84">
        <w:rPr>
          <w:lang w:val="el-GR"/>
        </w:rPr>
        <w:lastRenderedPageBreak/>
        <w:t>την περιγραφή μιας συγκεκριμένης ανεπιθύμητης ενέργειας. Συνώνυμα ή σχετιζόμενες καταστάσεις δεν παρατίθενται, αλλά θα πρέπει να λαμβάνονται επίσης υπόψη.</w:t>
      </w:r>
      <w:r w:rsidR="00CD2BC3" w:rsidRPr="003B0D84">
        <w:rPr>
          <w:lang w:val="el-GR"/>
        </w:rPr>
        <w:t xml:space="preserve"> </w:t>
      </w:r>
      <w:r w:rsidRPr="003B0D84">
        <w:rPr>
          <w:lang w:val="el-GR"/>
        </w:rPr>
        <w:t xml:space="preserve">Οι συχνότητες βασίζονται στα δεδομένα των κλινικών μελετών. Οι ανεπιθύμητες ενέργειες καταγράφηκαν σε </w:t>
      </w:r>
      <w:r w:rsidR="00CC2DA9">
        <w:rPr>
          <w:lang w:val="el-GR"/>
        </w:rPr>
        <w:t>5</w:t>
      </w:r>
      <w:r w:rsidRPr="003B0D84">
        <w:rPr>
          <w:lang w:val="el-GR"/>
        </w:rPr>
        <w:t xml:space="preserve"> κλινικές μελέτες φάσης III (N=</w:t>
      </w:r>
      <w:r w:rsidR="00B8750D" w:rsidRPr="003B0D84">
        <w:rPr>
          <w:lang w:val="el-GR"/>
        </w:rPr>
        <w:t>2.266</w:t>
      </w:r>
      <w:r w:rsidRPr="003B0D84">
        <w:rPr>
          <w:lang w:val="el-GR"/>
        </w:rPr>
        <w:t xml:space="preserve"> γυναίκες με κίνδυνο εγκυμοσύνης</w:t>
      </w:r>
      <w:r w:rsidR="00B947E3" w:rsidRPr="00B947E3">
        <w:rPr>
          <w:lang w:val="el-GR"/>
        </w:rPr>
        <w:t xml:space="preserve">, </w:t>
      </w:r>
      <w:r w:rsidR="00B947E3">
        <w:t>N</w:t>
      </w:r>
      <w:r w:rsidR="00B947E3" w:rsidRPr="00B947E3">
        <w:rPr>
          <w:lang w:val="el-GR"/>
        </w:rPr>
        <w:t xml:space="preserve">=264 </w:t>
      </w:r>
      <w:r w:rsidR="00B947E3">
        <w:rPr>
          <w:lang w:val="el-GR"/>
        </w:rPr>
        <w:t xml:space="preserve">γυναίκες </w:t>
      </w:r>
      <w:r w:rsidR="00950AD0">
        <w:rPr>
          <w:lang w:val="el-GR"/>
        </w:rPr>
        <w:t xml:space="preserve">με </w:t>
      </w:r>
      <w:r w:rsidR="00B947E3" w:rsidRPr="00C419CB">
        <w:rPr>
          <w:lang w:val="el-GR"/>
        </w:rPr>
        <w:t>δυσλειτουργική αιμορραγία μήτρας</w:t>
      </w:r>
      <w:r w:rsidR="00B947E3">
        <w:rPr>
          <w:lang w:val="el-GR"/>
        </w:rPr>
        <w:t xml:space="preserve"> χωρίς οργανική παθολογία που επιθυμούν από του στόματος αντισύλληψη</w:t>
      </w:r>
      <w:r w:rsidRPr="003B0D84">
        <w:rPr>
          <w:lang w:val="el-GR"/>
        </w:rPr>
        <w:t xml:space="preserve">) και θεωρήθηκαν ως τουλάχιστον </w:t>
      </w:r>
      <w:r w:rsidR="00CD2BC3" w:rsidRPr="003B0D84">
        <w:rPr>
          <w:lang w:val="el-GR"/>
        </w:rPr>
        <w:t xml:space="preserve">εν </w:t>
      </w:r>
      <w:r w:rsidRPr="003B0D84">
        <w:rPr>
          <w:lang w:val="el-GR"/>
        </w:rPr>
        <w:t>δυνάμει σχετιζόμενες με τη χρήση του Qlaira.</w:t>
      </w:r>
      <w:r w:rsidR="006D73DC" w:rsidRPr="003B0D84">
        <w:rPr>
          <w:lang w:val="el-GR"/>
        </w:rPr>
        <w:t xml:space="preserve"> Όλες οι ανεπιθύμητες ενέργειες στην κατηγορία “σπάνιες” εμφανίστηκαν  σε 1</w:t>
      </w:r>
      <w:r w:rsidR="00B8750D" w:rsidRPr="003B0D84">
        <w:rPr>
          <w:lang w:val="el-GR"/>
        </w:rPr>
        <w:t xml:space="preserve"> έως 2</w:t>
      </w:r>
      <w:r w:rsidR="006D73DC" w:rsidRPr="003B0D84">
        <w:rPr>
          <w:lang w:val="el-GR"/>
        </w:rPr>
        <w:t xml:space="preserve"> εθελόντρι</w:t>
      </w:r>
      <w:r w:rsidR="00B8750D" w:rsidRPr="003B0D84">
        <w:rPr>
          <w:lang w:val="el-GR"/>
        </w:rPr>
        <w:t>ες</w:t>
      </w:r>
      <w:r w:rsidR="006D73DC" w:rsidRPr="003B0D84">
        <w:rPr>
          <w:lang w:val="el-GR"/>
        </w:rPr>
        <w:t>, το οποίο αντιστοιχεί σε &lt; 0,1%.</w:t>
      </w:r>
    </w:p>
    <w:p w:rsidR="00C1567C" w:rsidRPr="003B0D84" w:rsidRDefault="00C1567C" w:rsidP="009D672F">
      <w:pPr>
        <w:pStyle w:val="Para0s"/>
        <w:spacing w:after="0"/>
        <w:rPr>
          <w:lang w:val="el-GR"/>
        </w:rPr>
        <w:sectPr w:rsidR="00C1567C" w:rsidRPr="003B0D84" w:rsidSect="009D672F">
          <w:headerReference w:type="even" r:id="rId7"/>
          <w:headerReference w:type="default" r:id="rId8"/>
          <w:footerReference w:type="default" r:id="rId9"/>
          <w:type w:val="continuous"/>
          <w:pgSz w:w="11907" w:h="16839" w:code="9"/>
          <w:pgMar w:top="1440" w:right="737" w:bottom="1644" w:left="1276" w:header="794" w:footer="794" w:gutter="0"/>
          <w:cols w:space="720"/>
          <w:titlePg/>
          <w:docGrid w:linePitch="299"/>
        </w:sectPr>
      </w:pPr>
      <w:r w:rsidRPr="003B0D84">
        <w:rPr>
          <w:lang w:val="el-GR"/>
        </w:rPr>
        <w:t xml:space="preserve">N= </w:t>
      </w:r>
      <w:r w:rsidR="00B8750D" w:rsidRPr="003B0D84">
        <w:rPr>
          <w:lang w:val="el-GR"/>
        </w:rPr>
        <w:t xml:space="preserve"> 2.</w:t>
      </w:r>
      <w:r w:rsidR="00B947E3">
        <w:rPr>
          <w:lang w:val="el-GR"/>
        </w:rPr>
        <w:t>530</w:t>
      </w:r>
      <w:r w:rsidRPr="003B0D84">
        <w:rPr>
          <w:lang w:val="el-GR"/>
        </w:rPr>
        <w:t xml:space="preserve"> γυναίκες (100,0%)</w:t>
      </w:r>
    </w:p>
    <w:p w:rsidR="000658F8" w:rsidRPr="00950AD0" w:rsidRDefault="000658F8" w:rsidP="009D672F">
      <w:pPr>
        <w:pStyle w:val="Para0s"/>
        <w:spacing w:after="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354"/>
        <w:gridCol w:w="2451"/>
        <w:gridCol w:w="2404"/>
      </w:tblGrid>
      <w:tr w:rsidR="000658F8" w:rsidRPr="00255C54" w:rsidTr="00255C54">
        <w:tc>
          <w:tcPr>
            <w:tcW w:w="2363" w:type="dxa"/>
          </w:tcPr>
          <w:p w:rsidR="000658F8" w:rsidRPr="00255C54" w:rsidRDefault="000658F8" w:rsidP="009D672F">
            <w:pPr>
              <w:pStyle w:val="Para0s"/>
              <w:spacing w:after="0"/>
              <w:rPr>
                <w:b/>
                <w:lang w:val="el-GR"/>
              </w:rPr>
            </w:pPr>
            <w:r w:rsidRPr="00255C54">
              <w:rPr>
                <w:b/>
                <w:lang w:val="el-GR"/>
              </w:rPr>
              <w:t>Κατηγορία οργάνου συστήματος</w:t>
            </w:r>
          </w:p>
        </w:tc>
        <w:tc>
          <w:tcPr>
            <w:tcW w:w="2354" w:type="dxa"/>
          </w:tcPr>
          <w:p w:rsidR="000658F8" w:rsidRPr="00255C54" w:rsidRDefault="000658F8" w:rsidP="009D672F">
            <w:pPr>
              <w:pStyle w:val="Para0s"/>
              <w:spacing w:after="0"/>
              <w:rPr>
                <w:b/>
                <w:lang w:val="el-GR"/>
              </w:rPr>
            </w:pPr>
            <w:r w:rsidRPr="00255C54">
              <w:rPr>
                <w:b/>
                <w:lang w:val="el-GR"/>
              </w:rPr>
              <w:t xml:space="preserve">Συχνές </w:t>
            </w:r>
          </w:p>
          <w:p w:rsidR="000658F8" w:rsidRPr="00255C54" w:rsidRDefault="000658F8" w:rsidP="009D672F">
            <w:pPr>
              <w:pStyle w:val="Para0s"/>
              <w:spacing w:after="0"/>
              <w:rPr>
                <w:b/>
                <w:lang w:val="el-GR"/>
              </w:rPr>
            </w:pPr>
            <w:r w:rsidRPr="00255C54">
              <w:rPr>
                <w:b/>
                <w:lang w:val="el-GR"/>
              </w:rPr>
              <w:t>(≥ 1/100 έως 1/10)</w:t>
            </w:r>
          </w:p>
        </w:tc>
        <w:tc>
          <w:tcPr>
            <w:tcW w:w="2451" w:type="dxa"/>
          </w:tcPr>
          <w:p w:rsidR="000658F8" w:rsidRPr="00255C54" w:rsidRDefault="000658F8" w:rsidP="009D672F">
            <w:pPr>
              <w:pStyle w:val="Para0s"/>
              <w:spacing w:after="0"/>
              <w:rPr>
                <w:b/>
                <w:lang w:val="el-GR"/>
              </w:rPr>
            </w:pPr>
            <w:r w:rsidRPr="00255C54">
              <w:rPr>
                <w:b/>
                <w:lang w:val="el-GR"/>
              </w:rPr>
              <w:t xml:space="preserve">Όχι συχνές </w:t>
            </w:r>
          </w:p>
          <w:p w:rsidR="000658F8" w:rsidRPr="00255C54" w:rsidRDefault="000658F8" w:rsidP="009D672F">
            <w:pPr>
              <w:pStyle w:val="Para0s"/>
              <w:spacing w:after="0"/>
              <w:rPr>
                <w:b/>
                <w:lang w:val="el-GR"/>
              </w:rPr>
            </w:pPr>
            <w:r w:rsidRPr="00255C54">
              <w:rPr>
                <w:b/>
                <w:lang w:val="el-GR"/>
              </w:rPr>
              <w:t>(≥ 1/1.000 έως &lt;1/100)</w:t>
            </w:r>
          </w:p>
        </w:tc>
        <w:tc>
          <w:tcPr>
            <w:tcW w:w="2404" w:type="dxa"/>
          </w:tcPr>
          <w:p w:rsidR="000658F8" w:rsidRPr="00255C54" w:rsidRDefault="000658F8" w:rsidP="009D672F">
            <w:pPr>
              <w:pStyle w:val="Para0s"/>
              <w:spacing w:after="0"/>
              <w:rPr>
                <w:b/>
                <w:lang w:val="el-GR"/>
              </w:rPr>
            </w:pPr>
            <w:r w:rsidRPr="00255C54">
              <w:rPr>
                <w:b/>
                <w:lang w:val="el-GR"/>
              </w:rPr>
              <w:t>Σπάνιες</w:t>
            </w:r>
          </w:p>
          <w:p w:rsidR="000658F8" w:rsidRPr="00255C54" w:rsidRDefault="000658F8" w:rsidP="009D672F">
            <w:pPr>
              <w:pStyle w:val="Para0s"/>
              <w:spacing w:after="0"/>
              <w:rPr>
                <w:b/>
                <w:lang w:val="el-GR"/>
              </w:rPr>
            </w:pPr>
            <w:r w:rsidRPr="00255C54">
              <w:rPr>
                <w:b/>
                <w:lang w:val="el-GR"/>
              </w:rPr>
              <w:t>(≥ 1/10.000 έως &lt;1/1.000)</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 xml:space="preserve">Λοιμώξεις και παρασιτώσεις </w:t>
            </w:r>
          </w:p>
        </w:tc>
        <w:tc>
          <w:tcPr>
            <w:tcW w:w="2354" w:type="dxa"/>
          </w:tcPr>
          <w:p w:rsidR="000658F8" w:rsidRPr="00255C54" w:rsidRDefault="000658F8" w:rsidP="009D672F">
            <w:pPr>
              <w:pStyle w:val="Para0s"/>
              <w:spacing w:after="0"/>
              <w:rPr>
                <w:lang w:val="el-GR"/>
              </w:rPr>
            </w:pPr>
          </w:p>
          <w:p w:rsidR="000658F8" w:rsidRPr="00255C54" w:rsidRDefault="000658F8" w:rsidP="009D672F">
            <w:pPr>
              <w:pStyle w:val="Para0s"/>
              <w:spacing w:after="0"/>
              <w:rPr>
                <w:lang w:val="el-GR"/>
              </w:rPr>
            </w:pPr>
            <w:r w:rsidRPr="00255C54">
              <w:rPr>
                <w:lang w:val="el-GR"/>
              </w:rPr>
              <w:t xml:space="preserve"> </w:t>
            </w:r>
          </w:p>
        </w:tc>
        <w:tc>
          <w:tcPr>
            <w:tcW w:w="2451" w:type="dxa"/>
          </w:tcPr>
          <w:p w:rsidR="000658F8" w:rsidRPr="00255C54" w:rsidRDefault="000658F8" w:rsidP="009D672F">
            <w:pPr>
              <w:pStyle w:val="Para0s"/>
              <w:spacing w:after="0"/>
              <w:rPr>
                <w:lang w:val="el-GR"/>
              </w:rPr>
            </w:pPr>
            <w:r w:rsidRPr="00255C54">
              <w:rPr>
                <w:lang w:val="el-GR"/>
              </w:rPr>
              <w:t xml:space="preserve">Μυκητιασική λοίμωξη </w:t>
            </w:r>
          </w:p>
          <w:p w:rsidR="000658F8" w:rsidRPr="00255C54" w:rsidRDefault="00465199" w:rsidP="009D672F">
            <w:pPr>
              <w:pStyle w:val="Para0s"/>
              <w:spacing w:after="0"/>
              <w:rPr>
                <w:vertAlign w:val="superscript"/>
                <w:lang w:val="el-GR"/>
              </w:rPr>
            </w:pPr>
            <w:r w:rsidRPr="00255C54">
              <w:rPr>
                <w:lang w:val="el-GR"/>
              </w:rPr>
              <w:t>Αιδοιοκ</w:t>
            </w:r>
            <w:r w:rsidR="000658F8" w:rsidRPr="00255C54">
              <w:rPr>
                <w:lang w:val="el-GR"/>
              </w:rPr>
              <w:t xml:space="preserve">ολπική </w:t>
            </w:r>
            <w:r w:rsidR="00EA2DAC" w:rsidRPr="00255C54">
              <w:rPr>
                <w:lang w:val="el-GR"/>
              </w:rPr>
              <w:t>μυκητίαση</w:t>
            </w:r>
            <w:r w:rsidRPr="00255C54">
              <w:rPr>
                <w:vertAlign w:val="superscript"/>
                <w:lang w:val="el-GR"/>
              </w:rPr>
              <w:t>1</w:t>
            </w:r>
          </w:p>
          <w:p w:rsidR="000658F8" w:rsidRPr="00255C54" w:rsidRDefault="000658F8" w:rsidP="009D672F">
            <w:pPr>
              <w:pStyle w:val="Para0s"/>
              <w:spacing w:after="0"/>
              <w:rPr>
                <w:lang w:val="el-GR"/>
              </w:rPr>
            </w:pPr>
            <w:r w:rsidRPr="00255C54">
              <w:rPr>
                <w:lang w:val="el-GR"/>
              </w:rPr>
              <w:t xml:space="preserve">Λοίμωξη του κόλπου </w:t>
            </w:r>
          </w:p>
          <w:p w:rsidR="000658F8" w:rsidRPr="00255C54" w:rsidRDefault="000658F8" w:rsidP="009D672F">
            <w:pPr>
              <w:pStyle w:val="Para0s"/>
              <w:spacing w:after="0"/>
              <w:rPr>
                <w:lang w:val="el-GR"/>
              </w:rPr>
            </w:pPr>
          </w:p>
        </w:tc>
        <w:tc>
          <w:tcPr>
            <w:tcW w:w="2404" w:type="dxa"/>
          </w:tcPr>
          <w:p w:rsidR="000658F8" w:rsidRPr="00255C54" w:rsidRDefault="000658F8" w:rsidP="009D672F">
            <w:pPr>
              <w:pStyle w:val="Para0s"/>
              <w:spacing w:after="0"/>
              <w:rPr>
                <w:lang w:val="el-GR"/>
              </w:rPr>
            </w:pPr>
            <w:r w:rsidRPr="00255C54">
              <w:rPr>
                <w:lang w:val="el-GR"/>
              </w:rPr>
              <w:t>Καντιντίαση</w:t>
            </w:r>
          </w:p>
          <w:p w:rsidR="009D3B44" w:rsidRPr="00255C54" w:rsidRDefault="00950AD0" w:rsidP="009D672F">
            <w:pPr>
              <w:pStyle w:val="Para0s"/>
              <w:spacing w:after="0"/>
              <w:rPr>
                <w:lang w:val="el-GR"/>
              </w:rPr>
            </w:pPr>
            <w:r w:rsidRPr="00255C54">
              <w:rPr>
                <w:lang w:val="el-GR"/>
              </w:rPr>
              <w:t>Επιχείλιος</w:t>
            </w:r>
            <w:r w:rsidR="000658F8" w:rsidRPr="00255C54">
              <w:rPr>
                <w:lang w:val="el-GR"/>
              </w:rPr>
              <w:t xml:space="preserve"> έρπης</w:t>
            </w:r>
          </w:p>
          <w:p w:rsidR="000658F8" w:rsidRPr="00255C54" w:rsidRDefault="009D3B44" w:rsidP="009D672F">
            <w:pPr>
              <w:pStyle w:val="Para0s"/>
              <w:spacing w:after="0"/>
              <w:rPr>
                <w:lang w:val="el-GR"/>
              </w:rPr>
            </w:pPr>
            <w:r w:rsidRPr="00255C54">
              <w:rPr>
                <w:lang w:val="el-GR"/>
              </w:rPr>
              <w:t>Πυελική φλεγμονώδης νόσος</w:t>
            </w:r>
            <w:r w:rsidR="000658F8" w:rsidRPr="00255C54">
              <w:rPr>
                <w:lang w:val="el-GR"/>
              </w:rPr>
              <w:t xml:space="preserve"> </w:t>
            </w:r>
          </w:p>
          <w:p w:rsidR="000658F8" w:rsidRPr="00255C54" w:rsidRDefault="000658F8" w:rsidP="009D672F">
            <w:pPr>
              <w:pStyle w:val="Para0s"/>
              <w:spacing w:after="0"/>
              <w:rPr>
                <w:lang w:val="el-GR"/>
              </w:rPr>
            </w:pPr>
            <w:r w:rsidRPr="00255C54">
              <w:rPr>
                <w:lang w:val="el-GR"/>
              </w:rPr>
              <w:t>Θεωρούμενο σύνδρομο</w:t>
            </w:r>
          </w:p>
          <w:p w:rsidR="000658F8" w:rsidRPr="00255C54" w:rsidRDefault="000658F8" w:rsidP="009D672F">
            <w:pPr>
              <w:pStyle w:val="Para0s"/>
              <w:spacing w:after="0"/>
              <w:rPr>
                <w:lang w:val="el-GR"/>
              </w:rPr>
            </w:pPr>
            <w:r w:rsidRPr="00255C54">
              <w:rPr>
                <w:lang w:val="el-GR"/>
              </w:rPr>
              <w:t xml:space="preserve">οφθαλμικής ιστοπλάσμωσης </w:t>
            </w:r>
          </w:p>
          <w:p w:rsidR="000658F8" w:rsidRPr="00255C54" w:rsidRDefault="000658F8" w:rsidP="009D672F">
            <w:pPr>
              <w:pStyle w:val="Para0s"/>
              <w:spacing w:after="0"/>
              <w:rPr>
                <w:lang w:val="el-GR"/>
              </w:rPr>
            </w:pPr>
            <w:r w:rsidRPr="00255C54">
              <w:rPr>
                <w:lang w:val="el-GR"/>
              </w:rPr>
              <w:t>Ποικιλόχρους πιτυρίαση</w:t>
            </w:r>
          </w:p>
          <w:p w:rsidR="000658F8" w:rsidRPr="00255C54" w:rsidRDefault="000658F8" w:rsidP="009D672F">
            <w:pPr>
              <w:pStyle w:val="Para0s"/>
              <w:spacing w:after="0"/>
              <w:rPr>
                <w:lang w:val="el-GR"/>
              </w:rPr>
            </w:pPr>
            <w:r w:rsidRPr="00255C54">
              <w:rPr>
                <w:lang w:val="el-GR"/>
              </w:rPr>
              <w:t>Λοίμωξη ουροφόρων οδών</w:t>
            </w:r>
          </w:p>
          <w:p w:rsidR="000658F8" w:rsidRPr="00255C54" w:rsidRDefault="000658F8" w:rsidP="009D672F">
            <w:pPr>
              <w:pStyle w:val="Para0s"/>
              <w:spacing w:after="0"/>
              <w:rPr>
                <w:lang w:val="el-GR"/>
              </w:rPr>
            </w:pPr>
            <w:r w:rsidRPr="00255C54">
              <w:rPr>
                <w:lang w:val="el-GR"/>
              </w:rPr>
              <w:t>Βακτηριακή κολπίτιδα</w:t>
            </w:r>
          </w:p>
        </w:tc>
      </w:tr>
      <w:tr w:rsidR="000658F8" w:rsidRPr="00255C54" w:rsidTr="00255C54">
        <w:tc>
          <w:tcPr>
            <w:tcW w:w="2363" w:type="dxa"/>
          </w:tcPr>
          <w:p w:rsidR="009D3B44" w:rsidRPr="00255C54" w:rsidRDefault="000658F8" w:rsidP="009D672F">
            <w:pPr>
              <w:pStyle w:val="Para0s"/>
              <w:spacing w:after="0"/>
              <w:rPr>
                <w:lang w:val="el-GR"/>
              </w:rPr>
            </w:pPr>
            <w:r w:rsidRPr="00255C54">
              <w:rPr>
                <w:lang w:val="el-GR"/>
              </w:rPr>
              <w:t xml:space="preserve">Διαταραχές του μεταβολισμού και της θρέψης </w:t>
            </w:r>
          </w:p>
        </w:tc>
        <w:tc>
          <w:tcPr>
            <w:tcW w:w="2354" w:type="dxa"/>
          </w:tcPr>
          <w:p w:rsidR="009D3B44" w:rsidRPr="00255C54" w:rsidRDefault="009D3B44" w:rsidP="009D672F">
            <w:pPr>
              <w:pStyle w:val="Para0s"/>
              <w:spacing w:after="0"/>
              <w:rPr>
                <w:lang w:val="el-GR"/>
              </w:rPr>
            </w:pPr>
          </w:p>
        </w:tc>
        <w:tc>
          <w:tcPr>
            <w:tcW w:w="2451" w:type="dxa"/>
          </w:tcPr>
          <w:p w:rsidR="009D3B44" w:rsidRPr="00255C54" w:rsidRDefault="000658F8" w:rsidP="009D672F">
            <w:pPr>
              <w:pStyle w:val="Para0s"/>
              <w:spacing w:after="0"/>
              <w:rPr>
                <w:lang w:val="el-GR"/>
              </w:rPr>
            </w:pPr>
            <w:r w:rsidRPr="00255C54">
              <w:rPr>
                <w:lang w:val="el-GR"/>
              </w:rPr>
              <w:t>Αυξημένη όρεξ</w:t>
            </w:r>
            <w:r w:rsidR="009D3B44" w:rsidRPr="00255C54">
              <w:rPr>
                <w:lang w:val="el-GR"/>
              </w:rPr>
              <w:t>η</w:t>
            </w:r>
          </w:p>
        </w:tc>
        <w:tc>
          <w:tcPr>
            <w:tcW w:w="2404" w:type="dxa"/>
          </w:tcPr>
          <w:p w:rsidR="000658F8" w:rsidRPr="00255C54" w:rsidRDefault="000658F8" w:rsidP="009D672F">
            <w:pPr>
              <w:pStyle w:val="Para0s"/>
              <w:spacing w:after="0"/>
              <w:rPr>
                <w:lang w:val="el-GR"/>
              </w:rPr>
            </w:pPr>
            <w:r w:rsidRPr="00255C54">
              <w:rPr>
                <w:lang w:val="el-GR"/>
              </w:rPr>
              <w:t>Κατακράτηση υγρών</w:t>
            </w:r>
          </w:p>
          <w:p w:rsidR="009D3B44" w:rsidRPr="00255C54" w:rsidRDefault="000658F8" w:rsidP="009D672F">
            <w:pPr>
              <w:pStyle w:val="Para0s"/>
              <w:spacing w:after="0"/>
              <w:rPr>
                <w:lang w:val="el-GR"/>
              </w:rPr>
            </w:pPr>
            <w:r w:rsidRPr="00255C54">
              <w:rPr>
                <w:lang w:val="el-GR"/>
              </w:rPr>
              <w:t>Υπερτριγλυκεριδαιμία</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 xml:space="preserve">Ψυχιατρικές διαταραχές </w:t>
            </w:r>
          </w:p>
        </w:tc>
        <w:tc>
          <w:tcPr>
            <w:tcW w:w="2354" w:type="dxa"/>
          </w:tcPr>
          <w:p w:rsidR="000658F8" w:rsidRPr="00255C54" w:rsidRDefault="000658F8" w:rsidP="009D672F">
            <w:pPr>
              <w:pStyle w:val="Para0s"/>
              <w:spacing w:after="0"/>
              <w:rPr>
                <w:lang w:val="el-GR"/>
              </w:rPr>
            </w:pPr>
          </w:p>
        </w:tc>
        <w:tc>
          <w:tcPr>
            <w:tcW w:w="2451" w:type="dxa"/>
          </w:tcPr>
          <w:p w:rsidR="000658F8" w:rsidRPr="00255C54" w:rsidRDefault="000658F8" w:rsidP="009D672F">
            <w:pPr>
              <w:pStyle w:val="Para0s"/>
              <w:spacing w:after="0"/>
              <w:rPr>
                <w:lang w:val="el-GR"/>
              </w:rPr>
            </w:pPr>
            <w:r w:rsidRPr="00255C54">
              <w:rPr>
                <w:lang w:val="el-GR"/>
              </w:rPr>
              <w:t xml:space="preserve">Κατάθλιψη / Καταθλιπτική διάθεση </w:t>
            </w:r>
          </w:p>
          <w:p w:rsidR="009D3B44" w:rsidRPr="00255C54" w:rsidRDefault="009D3B44" w:rsidP="009D672F">
            <w:pPr>
              <w:pStyle w:val="Para0s"/>
              <w:spacing w:after="0"/>
              <w:rPr>
                <w:lang w:val="el-GR"/>
              </w:rPr>
            </w:pPr>
            <w:r w:rsidRPr="00255C54">
              <w:rPr>
                <w:lang w:val="el-GR"/>
              </w:rPr>
              <w:t xml:space="preserve">Συναισθηματική διαταραχή </w:t>
            </w:r>
            <w:r w:rsidRPr="00255C54">
              <w:rPr>
                <w:vertAlign w:val="superscript"/>
                <w:lang w:val="el-GR"/>
              </w:rPr>
              <w:t>2</w:t>
            </w:r>
          </w:p>
          <w:p w:rsidR="009D3B44" w:rsidRPr="00255C54" w:rsidRDefault="009D3B44" w:rsidP="009D672F">
            <w:pPr>
              <w:pStyle w:val="Para0s"/>
              <w:spacing w:after="0"/>
              <w:rPr>
                <w:lang w:val="el-GR"/>
              </w:rPr>
            </w:pPr>
            <w:r w:rsidRPr="00255C54">
              <w:rPr>
                <w:lang w:val="el-GR"/>
              </w:rPr>
              <w:t>Αϋπνία</w:t>
            </w:r>
          </w:p>
          <w:p w:rsidR="009D3B44" w:rsidRPr="00255C54" w:rsidRDefault="009D3B44" w:rsidP="009D672F">
            <w:pPr>
              <w:pStyle w:val="Para0s"/>
              <w:spacing w:after="0"/>
              <w:rPr>
                <w:vertAlign w:val="superscript"/>
                <w:lang w:val="el-GR"/>
              </w:rPr>
            </w:pPr>
            <w:r w:rsidRPr="00255C54">
              <w:rPr>
                <w:lang w:val="el-GR"/>
              </w:rPr>
              <w:t xml:space="preserve">Μειωμένη </w:t>
            </w:r>
            <w:r w:rsidR="00736432" w:rsidRPr="00255C54">
              <w:rPr>
                <w:lang w:val="el-GR"/>
              </w:rPr>
              <w:t>γενετήσια ορμή</w:t>
            </w:r>
            <w:r w:rsidRPr="00255C54">
              <w:rPr>
                <w:vertAlign w:val="superscript"/>
                <w:lang w:val="el-GR"/>
              </w:rPr>
              <w:t>3</w:t>
            </w:r>
          </w:p>
          <w:p w:rsidR="000658F8" w:rsidRPr="00255C54" w:rsidRDefault="000658F8" w:rsidP="009D672F">
            <w:pPr>
              <w:pStyle w:val="Para0s"/>
              <w:spacing w:after="0"/>
              <w:rPr>
                <w:lang w:val="el-GR"/>
              </w:rPr>
            </w:pPr>
            <w:r w:rsidRPr="00255C54">
              <w:rPr>
                <w:lang w:val="el-GR"/>
              </w:rPr>
              <w:t>Πνευματική διαταραχή</w:t>
            </w:r>
          </w:p>
          <w:p w:rsidR="000658F8" w:rsidRPr="00255C54" w:rsidRDefault="000658F8" w:rsidP="009D672F">
            <w:pPr>
              <w:pStyle w:val="Para0s"/>
              <w:spacing w:after="0"/>
              <w:rPr>
                <w:vertAlign w:val="superscript"/>
                <w:lang w:val="el-GR"/>
              </w:rPr>
            </w:pPr>
            <w:r w:rsidRPr="00255C54">
              <w:rPr>
                <w:lang w:val="el-GR"/>
              </w:rPr>
              <w:t>Μεταβολή στη διάθεση</w:t>
            </w:r>
            <w:r w:rsidR="009D3B44" w:rsidRPr="00255C54">
              <w:rPr>
                <w:vertAlign w:val="superscript"/>
                <w:lang w:val="el-GR"/>
              </w:rPr>
              <w:t>4</w:t>
            </w:r>
          </w:p>
        </w:tc>
        <w:tc>
          <w:tcPr>
            <w:tcW w:w="2404" w:type="dxa"/>
          </w:tcPr>
          <w:p w:rsidR="000658F8" w:rsidRPr="00255C54" w:rsidRDefault="000658F8" w:rsidP="009D672F">
            <w:pPr>
              <w:pStyle w:val="Para0s"/>
              <w:spacing w:after="0"/>
              <w:rPr>
                <w:lang w:val="el-GR"/>
              </w:rPr>
            </w:pPr>
            <w:r w:rsidRPr="00255C54">
              <w:rPr>
                <w:lang w:val="el-GR"/>
              </w:rPr>
              <w:t xml:space="preserve">Επιθετικότητα </w:t>
            </w:r>
          </w:p>
          <w:p w:rsidR="000658F8" w:rsidRPr="00255C54" w:rsidRDefault="000658F8" w:rsidP="009D672F">
            <w:pPr>
              <w:pStyle w:val="Para0s"/>
              <w:spacing w:after="0"/>
              <w:rPr>
                <w:lang w:val="el-GR"/>
              </w:rPr>
            </w:pPr>
            <w:r w:rsidRPr="00255C54">
              <w:rPr>
                <w:lang w:val="el-GR"/>
              </w:rPr>
              <w:t>Άγχος</w:t>
            </w:r>
          </w:p>
          <w:p w:rsidR="000658F8" w:rsidRPr="00255C54" w:rsidRDefault="000658F8" w:rsidP="009D672F">
            <w:pPr>
              <w:pStyle w:val="Para0s"/>
              <w:spacing w:after="0"/>
              <w:rPr>
                <w:lang w:val="el-GR"/>
              </w:rPr>
            </w:pPr>
            <w:r w:rsidRPr="00255C54">
              <w:rPr>
                <w:lang w:val="el-GR"/>
              </w:rPr>
              <w:t xml:space="preserve">Δυσφορία </w:t>
            </w:r>
          </w:p>
          <w:p w:rsidR="000658F8" w:rsidRPr="00255C54" w:rsidRDefault="000658F8" w:rsidP="009D672F">
            <w:pPr>
              <w:pStyle w:val="Para0s"/>
              <w:spacing w:after="0"/>
              <w:rPr>
                <w:lang w:val="el-GR"/>
              </w:rPr>
            </w:pPr>
            <w:r w:rsidRPr="00255C54">
              <w:rPr>
                <w:lang w:val="el-GR"/>
              </w:rPr>
              <w:t xml:space="preserve">Αυξημένη </w:t>
            </w:r>
            <w:r w:rsidR="00736432" w:rsidRPr="00255C54">
              <w:rPr>
                <w:lang w:val="el-GR"/>
              </w:rPr>
              <w:t>γενετήσια ορμή</w:t>
            </w:r>
          </w:p>
          <w:p w:rsidR="000658F8" w:rsidRPr="00255C54" w:rsidRDefault="000658F8" w:rsidP="009D672F">
            <w:pPr>
              <w:pStyle w:val="Para0s"/>
              <w:spacing w:after="0"/>
              <w:rPr>
                <w:lang w:val="el-GR"/>
              </w:rPr>
            </w:pPr>
            <w:r w:rsidRPr="00255C54">
              <w:rPr>
                <w:lang w:val="el-GR"/>
              </w:rPr>
              <w:t>Νευρικότητα</w:t>
            </w:r>
          </w:p>
          <w:p w:rsidR="00A1358C" w:rsidRPr="00255C54" w:rsidRDefault="00CA5706" w:rsidP="009D672F">
            <w:pPr>
              <w:pStyle w:val="Para0s"/>
              <w:spacing w:after="0"/>
              <w:rPr>
                <w:lang w:val="el-GR"/>
              </w:rPr>
            </w:pPr>
            <w:r w:rsidRPr="00255C54">
              <w:rPr>
                <w:lang w:val="el-GR"/>
              </w:rPr>
              <w:t>Εφιάλτε</w:t>
            </w:r>
            <w:r w:rsidR="00736432" w:rsidRPr="00255C54">
              <w:rPr>
                <w:lang w:val="el-GR"/>
              </w:rPr>
              <w:t>ς</w:t>
            </w:r>
          </w:p>
          <w:p w:rsidR="000658F8" w:rsidRPr="00255C54" w:rsidRDefault="000658F8" w:rsidP="009D672F">
            <w:pPr>
              <w:pStyle w:val="Para0s"/>
              <w:spacing w:after="0"/>
              <w:rPr>
                <w:lang w:val="el-GR"/>
              </w:rPr>
            </w:pPr>
            <w:r w:rsidRPr="00255C54">
              <w:rPr>
                <w:lang w:val="el-GR"/>
              </w:rPr>
              <w:t>Ανησυχία</w:t>
            </w:r>
          </w:p>
          <w:p w:rsidR="000658F8" w:rsidRPr="00255C54" w:rsidRDefault="000658F8" w:rsidP="009D672F">
            <w:pPr>
              <w:pStyle w:val="Para0s"/>
              <w:spacing w:after="0"/>
              <w:rPr>
                <w:lang w:val="el-GR"/>
              </w:rPr>
            </w:pPr>
            <w:r w:rsidRPr="00255C54">
              <w:rPr>
                <w:lang w:val="el-GR"/>
              </w:rPr>
              <w:t>Διαταραχή ύπνου</w:t>
            </w:r>
          </w:p>
          <w:p w:rsidR="000658F8" w:rsidRPr="00255C54" w:rsidRDefault="000658F8" w:rsidP="009D672F">
            <w:pPr>
              <w:pStyle w:val="Para0s"/>
              <w:spacing w:after="0"/>
              <w:rPr>
                <w:lang w:val="el-GR"/>
              </w:rPr>
            </w:pPr>
            <w:r w:rsidRPr="00255C54">
              <w:rPr>
                <w:lang w:val="el-GR"/>
              </w:rPr>
              <w:t>Στρες</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 xml:space="preserve">Διαταραχές του νευρικού συστήματος </w:t>
            </w:r>
          </w:p>
        </w:tc>
        <w:tc>
          <w:tcPr>
            <w:tcW w:w="2354" w:type="dxa"/>
          </w:tcPr>
          <w:p w:rsidR="000658F8" w:rsidRPr="00255C54" w:rsidRDefault="000658F8" w:rsidP="009D672F">
            <w:pPr>
              <w:pStyle w:val="Para0s"/>
              <w:spacing w:after="0"/>
              <w:rPr>
                <w:vertAlign w:val="superscript"/>
                <w:lang w:val="el-GR"/>
              </w:rPr>
            </w:pPr>
            <w:r w:rsidRPr="00255C54">
              <w:rPr>
                <w:lang w:val="el-GR"/>
              </w:rPr>
              <w:t xml:space="preserve">Κεφαλαλγία </w:t>
            </w:r>
            <w:r w:rsidR="00A1358C" w:rsidRPr="00255C54">
              <w:rPr>
                <w:vertAlign w:val="superscript"/>
                <w:lang w:val="el-GR"/>
              </w:rPr>
              <w:t>5</w:t>
            </w:r>
          </w:p>
        </w:tc>
        <w:tc>
          <w:tcPr>
            <w:tcW w:w="2451" w:type="dxa"/>
          </w:tcPr>
          <w:p w:rsidR="000658F8" w:rsidRPr="00255C54" w:rsidRDefault="000658F8" w:rsidP="009D672F">
            <w:pPr>
              <w:pStyle w:val="Para0s"/>
              <w:spacing w:after="0"/>
              <w:rPr>
                <w:lang w:val="el-GR"/>
              </w:rPr>
            </w:pPr>
            <w:r w:rsidRPr="00255C54">
              <w:rPr>
                <w:lang w:val="el-GR"/>
              </w:rPr>
              <w:t>Ζάλη</w:t>
            </w:r>
          </w:p>
          <w:p w:rsidR="00A1358C" w:rsidRPr="00255C54" w:rsidRDefault="00A1358C" w:rsidP="009D672F">
            <w:pPr>
              <w:pStyle w:val="Para0s"/>
              <w:spacing w:after="0"/>
              <w:rPr>
                <w:vertAlign w:val="superscript"/>
                <w:lang w:val="el-GR"/>
              </w:rPr>
            </w:pPr>
            <w:r w:rsidRPr="00255C54">
              <w:rPr>
                <w:lang w:val="el-GR"/>
              </w:rPr>
              <w:t>Ημικρανία</w:t>
            </w:r>
            <w:r w:rsidRPr="00255C54">
              <w:rPr>
                <w:vertAlign w:val="superscript"/>
                <w:lang w:val="el-GR"/>
              </w:rPr>
              <w:t>6</w:t>
            </w:r>
          </w:p>
        </w:tc>
        <w:tc>
          <w:tcPr>
            <w:tcW w:w="2404" w:type="dxa"/>
          </w:tcPr>
          <w:p w:rsidR="000658F8" w:rsidRPr="00255C54" w:rsidRDefault="000658F8" w:rsidP="009D672F">
            <w:pPr>
              <w:pStyle w:val="Para0s"/>
              <w:spacing w:after="0"/>
              <w:rPr>
                <w:lang w:val="el-GR"/>
              </w:rPr>
            </w:pPr>
            <w:r w:rsidRPr="00255C54">
              <w:rPr>
                <w:lang w:val="el-GR"/>
              </w:rPr>
              <w:t>Διαταραχή στην προσοχή</w:t>
            </w:r>
          </w:p>
          <w:p w:rsidR="000658F8" w:rsidRPr="00255C54" w:rsidRDefault="000658F8" w:rsidP="009D672F">
            <w:pPr>
              <w:pStyle w:val="Para0s"/>
              <w:spacing w:after="0"/>
              <w:rPr>
                <w:lang w:val="el-GR"/>
              </w:rPr>
            </w:pPr>
            <w:r w:rsidRPr="00255C54">
              <w:rPr>
                <w:lang w:val="el-GR"/>
              </w:rPr>
              <w:t>Παραισθησία</w:t>
            </w:r>
          </w:p>
          <w:p w:rsidR="000658F8" w:rsidRPr="00255C54" w:rsidRDefault="000658F8" w:rsidP="009D672F">
            <w:pPr>
              <w:pStyle w:val="Para0s"/>
              <w:spacing w:after="0"/>
              <w:rPr>
                <w:lang w:val="el-GR"/>
              </w:rPr>
            </w:pPr>
            <w:r w:rsidRPr="00255C54">
              <w:rPr>
                <w:lang w:val="el-GR"/>
              </w:rPr>
              <w:t>Ίλιγγος</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 xml:space="preserve">Οφθαλμικές διαταραχές </w:t>
            </w:r>
          </w:p>
        </w:tc>
        <w:tc>
          <w:tcPr>
            <w:tcW w:w="2354" w:type="dxa"/>
          </w:tcPr>
          <w:p w:rsidR="000658F8" w:rsidRPr="00255C54" w:rsidRDefault="000658F8" w:rsidP="009D672F">
            <w:pPr>
              <w:pStyle w:val="Para0s"/>
              <w:spacing w:after="0"/>
              <w:rPr>
                <w:lang w:val="el-GR"/>
              </w:rPr>
            </w:pPr>
          </w:p>
        </w:tc>
        <w:tc>
          <w:tcPr>
            <w:tcW w:w="2451" w:type="dxa"/>
          </w:tcPr>
          <w:p w:rsidR="000658F8" w:rsidRPr="00255C54" w:rsidRDefault="000658F8" w:rsidP="009D672F">
            <w:pPr>
              <w:pStyle w:val="Para0s"/>
              <w:spacing w:after="0"/>
              <w:rPr>
                <w:lang w:val="el-GR"/>
              </w:rPr>
            </w:pPr>
          </w:p>
        </w:tc>
        <w:tc>
          <w:tcPr>
            <w:tcW w:w="2404" w:type="dxa"/>
          </w:tcPr>
          <w:p w:rsidR="000658F8" w:rsidRPr="00255C54" w:rsidRDefault="000658F8" w:rsidP="009D672F">
            <w:pPr>
              <w:pStyle w:val="Para0s"/>
              <w:spacing w:after="0"/>
              <w:rPr>
                <w:lang w:val="el-GR"/>
              </w:rPr>
            </w:pPr>
            <w:r w:rsidRPr="00255C54">
              <w:rPr>
                <w:lang w:val="el-GR"/>
              </w:rPr>
              <w:t xml:space="preserve">Μη ανεκτικότητα των φακών επαφής </w:t>
            </w:r>
          </w:p>
          <w:p w:rsidR="00153BC7" w:rsidRPr="00255C54" w:rsidRDefault="00153BC7" w:rsidP="009D672F">
            <w:pPr>
              <w:pStyle w:val="Para0s"/>
              <w:spacing w:after="0"/>
              <w:rPr>
                <w:lang w:val="el-GR"/>
              </w:rPr>
            </w:pPr>
            <w:r w:rsidRPr="00255C54">
              <w:rPr>
                <w:lang w:val="el-GR"/>
              </w:rPr>
              <w:t>Ξηροφθαλμία</w:t>
            </w:r>
          </w:p>
          <w:p w:rsidR="00153BC7" w:rsidRPr="00255C54" w:rsidRDefault="00153BC7" w:rsidP="009D672F">
            <w:pPr>
              <w:pStyle w:val="Para0s"/>
              <w:spacing w:after="0"/>
              <w:rPr>
                <w:lang w:val="el-GR"/>
              </w:rPr>
            </w:pPr>
            <w:r w:rsidRPr="00255C54">
              <w:rPr>
                <w:lang w:val="el-GR"/>
              </w:rPr>
              <w:t>Οφθαλμικό οίδημα</w:t>
            </w:r>
          </w:p>
        </w:tc>
      </w:tr>
      <w:tr w:rsidR="00153BC7" w:rsidRPr="00255C54" w:rsidTr="00255C54">
        <w:tc>
          <w:tcPr>
            <w:tcW w:w="2363" w:type="dxa"/>
          </w:tcPr>
          <w:p w:rsidR="00153BC7" w:rsidRPr="00255C54" w:rsidRDefault="00153BC7" w:rsidP="009D672F">
            <w:pPr>
              <w:pStyle w:val="Para0s"/>
              <w:spacing w:after="0"/>
              <w:rPr>
                <w:lang w:val="el-GR"/>
              </w:rPr>
            </w:pPr>
            <w:r w:rsidRPr="00255C54">
              <w:rPr>
                <w:lang w:val="el-GR"/>
              </w:rPr>
              <w:t>Καρδιακές διαταραχές</w:t>
            </w:r>
          </w:p>
        </w:tc>
        <w:tc>
          <w:tcPr>
            <w:tcW w:w="2354" w:type="dxa"/>
          </w:tcPr>
          <w:p w:rsidR="00153BC7" w:rsidRPr="00255C54" w:rsidRDefault="00153BC7" w:rsidP="009D672F">
            <w:pPr>
              <w:pStyle w:val="Para0s"/>
              <w:spacing w:after="0"/>
              <w:rPr>
                <w:lang w:val="el-GR"/>
              </w:rPr>
            </w:pPr>
          </w:p>
        </w:tc>
        <w:tc>
          <w:tcPr>
            <w:tcW w:w="2451" w:type="dxa"/>
          </w:tcPr>
          <w:p w:rsidR="00153BC7" w:rsidRPr="00255C54" w:rsidRDefault="00153BC7" w:rsidP="009D672F">
            <w:pPr>
              <w:pStyle w:val="Para0s"/>
              <w:spacing w:after="0"/>
              <w:rPr>
                <w:lang w:val="el-GR"/>
              </w:rPr>
            </w:pPr>
          </w:p>
        </w:tc>
        <w:tc>
          <w:tcPr>
            <w:tcW w:w="2404" w:type="dxa"/>
          </w:tcPr>
          <w:p w:rsidR="00153BC7" w:rsidRPr="00255C54" w:rsidRDefault="00153BC7" w:rsidP="009D672F">
            <w:pPr>
              <w:pStyle w:val="Para0s"/>
              <w:spacing w:after="0"/>
              <w:rPr>
                <w:lang w:val="el-GR"/>
              </w:rPr>
            </w:pPr>
            <w:r w:rsidRPr="00255C54">
              <w:rPr>
                <w:lang w:val="el-GR"/>
              </w:rPr>
              <w:t>Έμφραγμα του μυοκαρδίου</w:t>
            </w:r>
          </w:p>
          <w:p w:rsidR="00153BC7" w:rsidRPr="00255C54" w:rsidRDefault="00153BC7" w:rsidP="009D672F">
            <w:pPr>
              <w:pStyle w:val="Para0s"/>
              <w:spacing w:after="0"/>
              <w:rPr>
                <w:lang w:val="el-GR"/>
              </w:rPr>
            </w:pPr>
            <w:r w:rsidRPr="00255C54">
              <w:rPr>
                <w:lang w:val="el-GR"/>
              </w:rPr>
              <w:t>Αίσθημα παλμών</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 xml:space="preserve">Αγγειακές διαταραχές </w:t>
            </w:r>
          </w:p>
        </w:tc>
        <w:tc>
          <w:tcPr>
            <w:tcW w:w="2354" w:type="dxa"/>
          </w:tcPr>
          <w:p w:rsidR="000658F8" w:rsidRPr="00255C54" w:rsidRDefault="000658F8" w:rsidP="009D672F">
            <w:pPr>
              <w:pStyle w:val="Para0s"/>
              <w:spacing w:after="0"/>
              <w:rPr>
                <w:lang w:val="el-GR"/>
              </w:rPr>
            </w:pPr>
          </w:p>
        </w:tc>
        <w:tc>
          <w:tcPr>
            <w:tcW w:w="2451" w:type="dxa"/>
          </w:tcPr>
          <w:p w:rsidR="000658F8" w:rsidRPr="00255C54" w:rsidRDefault="00153BC7" w:rsidP="009D672F">
            <w:pPr>
              <w:pStyle w:val="Para0s"/>
              <w:spacing w:after="0"/>
              <w:rPr>
                <w:lang w:val="el-GR"/>
              </w:rPr>
            </w:pPr>
            <w:r w:rsidRPr="00255C54">
              <w:rPr>
                <w:lang w:val="el-GR"/>
              </w:rPr>
              <w:t>Έξαψη</w:t>
            </w:r>
          </w:p>
          <w:p w:rsidR="000658F8" w:rsidRPr="00255C54" w:rsidRDefault="00153BC7" w:rsidP="009D672F">
            <w:pPr>
              <w:pStyle w:val="Para0s"/>
              <w:spacing w:after="0"/>
              <w:rPr>
                <w:vertAlign w:val="superscript"/>
                <w:lang w:val="el-GR"/>
              </w:rPr>
            </w:pPr>
            <w:r w:rsidRPr="00255C54">
              <w:rPr>
                <w:lang w:val="el-GR"/>
              </w:rPr>
              <w:t>Υπέρταση</w:t>
            </w:r>
          </w:p>
        </w:tc>
        <w:tc>
          <w:tcPr>
            <w:tcW w:w="2404" w:type="dxa"/>
          </w:tcPr>
          <w:p w:rsidR="000658F8" w:rsidRPr="00255C54" w:rsidRDefault="000658F8" w:rsidP="009D672F">
            <w:pPr>
              <w:pStyle w:val="Para0s"/>
              <w:spacing w:after="0"/>
              <w:rPr>
                <w:lang w:val="el-GR"/>
              </w:rPr>
            </w:pPr>
            <w:r w:rsidRPr="00255C54">
              <w:rPr>
                <w:lang w:val="el-GR"/>
              </w:rPr>
              <w:t>Α</w:t>
            </w:r>
            <w:r w:rsidR="00CA5706" w:rsidRPr="00255C54">
              <w:rPr>
                <w:lang w:val="el-GR"/>
              </w:rPr>
              <w:t>ιμορραγία κιρσοειδών φλεβών</w:t>
            </w:r>
          </w:p>
          <w:p w:rsidR="000658F8" w:rsidRPr="00255C54" w:rsidRDefault="00153BC7" w:rsidP="009D672F">
            <w:pPr>
              <w:pStyle w:val="Para0s"/>
              <w:spacing w:after="0"/>
              <w:rPr>
                <w:lang w:val="el-GR"/>
              </w:rPr>
            </w:pPr>
            <w:r w:rsidRPr="00255C54">
              <w:rPr>
                <w:lang w:val="el-GR"/>
              </w:rPr>
              <w:t>Υπόταση</w:t>
            </w:r>
          </w:p>
          <w:p w:rsidR="00153BC7" w:rsidRPr="00255C54" w:rsidRDefault="00CA5706" w:rsidP="009D672F">
            <w:pPr>
              <w:pStyle w:val="Para0s"/>
              <w:spacing w:after="0"/>
              <w:rPr>
                <w:lang w:val="el-GR"/>
              </w:rPr>
            </w:pPr>
            <w:r w:rsidRPr="00255C54">
              <w:rPr>
                <w:lang w:val="el-GR"/>
              </w:rPr>
              <w:t>Επιπολής</w:t>
            </w:r>
            <w:r w:rsidR="00153BC7" w:rsidRPr="00255C54">
              <w:rPr>
                <w:lang w:val="el-GR"/>
              </w:rPr>
              <w:t xml:space="preserve"> φλεβίτιδα</w:t>
            </w:r>
          </w:p>
          <w:p w:rsidR="000658F8" w:rsidRPr="00255C54" w:rsidRDefault="00CA5706" w:rsidP="009D672F">
            <w:pPr>
              <w:pStyle w:val="Para0s"/>
              <w:spacing w:after="0"/>
              <w:rPr>
                <w:lang w:val="el-GR"/>
              </w:rPr>
            </w:pPr>
            <w:r w:rsidRPr="00255C54">
              <w:rPr>
                <w:lang w:val="el-GR"/>
              </w:rPr>
              <w:t>Άλγος φλεβών</w:t>
            </w:r>
            <w:r w:rsidR="000658F8" w:rsidRPr="00255C54">
              <w:rPr>
                <w:lang w:val="el-GR"/>
              </w:rPr>
              <w:t xml:space="preserve"> </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Διαταραχές του γαστρεντερικού</w:t>
            </w:r>
          </w:p>
        </w:tc>
        <w:tc>
          <w:tcPr>
            <w:tcW w:w="2354" w:type="dxa"/>
          </w:tcPr>
          <w:p w:rsidR="000658F8" w:rsidRPr="00255C54" w:rsidRDefault="000658F8" w:rsidP="009D672F">
            <w:pPr>
              <w:pStyle w:val="Para0s"/>
              <w:spacing w:after="0"/>
              <w:rPr>
                <w:vertAlign w:val="superscript"/>
                <w:lang w:val="el-GR"/>
              </w:rPr>
            </w:pPr>
            <w:r w:rsidRPr="00255C54">
              <w:rPr>
                <w:lang w:val="el-GR"/>
              </w:rPr>
              <w:t xml:space="preserve">Κοιλιακό άλγος </w:t>
            </w:r>
            <w:r w:rsidR="00153BC7" w:rsidRPr="00255C54">
              <w:rPr>
                <w:vertAlign w:val="superscript"/>
                <w:lang w:val="el-GR"/>
              </w:rPr>
              <w:t>7</w:t>
            </w:r>
          </w:p>
          <w:p w:rsidR="00153BC7" w:rsidRPr="00255C54" w:rsidRDefault="00153BC7" w:rsidP="009D672F">
            <w:pPr>
              <w:pStyle w:val="Para0s"/>
              <w:spacing w:after="0"/>
              <w:rPr>
                <w:lang w:val="el-GR"/>
              </w:rPr>
            </w:pPr>
            <w:r w:rsidRPr="00255C54">
              <w:rPr>
                <w:lang w:val="el-GR"/>
              </w:rPr>
              <w:t>Ναυτία</w:t>
            </w:r>
          </w:p>
        </w:tc>
        <w:tc>
          <w:tcPr>
            <w:tcW w:w="2451" w:type="dxa"/>
          </w:tcPr>
          <w:p w:rsidR="000658F8" w:rsidRPr="00255C54" w:rsidRDefault="000658F8" w:rsidP="009D672F">
            <w:pPr>
              <w:pStyle w:val="Para0s"/>
              <w:spacing w:after="0"/>
              <w:rPr>
                <w:lang w:val="el-GR"/>
              </w:rPr>
            </w:pPr>
            <w:r w:rsidRPr="00255C54">
              <w:rPr>
                <w:lang w:val="el-GR"/>
              </w:rPr>
              <w:t>Διάρροια</w:t>
            </w:r>
          </w:p>
          <w:p w:rsidR="000658F8" w:rsidRPr="00255C54" w:rsidRDefault="000658F8" w:rsidP="009D672F">
            <w:pPr>
              <w:pStyle w:val="Para0s"/>
              <w:spacing w:after="0"/>
              <w:rPr>
                <w:lang w:val="el-GR"/>
              </w:rPr>
            </w:pPr>
            <w:r w:rsidRPr="00255C54">
              <w:rPr>
                <w:lang w:val="el-GR"/>
              </w:rPr>
              <w:t xml:space="preserve">Έμετος </w:t>
            </w:r>
          </w:p>
        </w:tc>
        <w:tc>
          <w:tcPr>
            <w:tcW w:w="2404" w:type="dxa"/>
          </w:tcPr>
          <w:p w:rsidR="000658F8" w:rsidRPr="00255C54" w:rsidRDefault="000658F8" w:rsidP="009D672F">
            <w:pPr>
              <w:pStyle w:val="Para0s"/>
              <w:spacing w:after="0"/>
              <w:rPr>
                <w:lang w:val="el-GR"/>
              </w:rPr>
            </w:pPr>
            <w:r w:rsidRPr="00255C54">
              <w:rPr>
                <w:lang w:val="el-GR"/>
              </w:rPr>
              <w:t xml:space="preserve">Δυσκοιλιότητα </w:t>
            </w:r>
          </w:p>
          <w:p w:rsidR="007043A6" w:rsidRPr="00255C54" w:rsidRDefault="007043A6" w:rsidP="009D672F">
            <w:pPr>
              <w:pStyle w:val="Para0s"/>
              <w:spacing w:after="0"/>
              <w:rPr>
                <w:lang w:val="el-GR"/>
              </w:rPr>
            </w:pPr>
            <w:r w:rsidRPr="00255C54">
              <w:rPr>
                <w:lang w:val="el-GR"/>
              </w:rPr>
              <w:t>Ξηροστομία</w:t>
            </w:r>
          </w:p>
          <w:p w:rsidR="000658F8" w:rsidRPr="00255C54" w:rsidRDefault="000658F8" w:rsidP="009D672F">
            <w:pPr>
              <w:pStyle w:val="Para0s"/>
              <w:spacing w:after="0"/>
              <w:rPr>
                <w:lang w:val="el-GR"/>
              </w:rPr>
            </w:pPr>
            <w:r w:rsidRPr="00255C54">
              <w:rPr>
                <w:lang w:val="el-GR"/>
              </w:rPr>
              <w:t>Δυσπεψία</w:t>
            </w:r>
          </w:p>
          <w:p w:rsidR="000658F8" w:rsidRPr="00255C54" w:rsidRDefault="000658F8" w:rsidP="009D672F">
            <w:pPr>
              <w:pStyle w:val="Para0s"/>
              <w:spacing w:after="0"/>
              <w:rPr>
                <w:lang w:val="el-GR"/>
              </w:rPr>
            </w:pPr>
            <w:r w:rsidRPr="00255C54">
              <w:rPr>
                <w:lang w:val="el-GR"/>
              </w:rPr>
              <w:lastRenderedPageBreak/>
              <w:t xml:space="preserve">Γαστροοισοφαγική παλινδρόμηση </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lastRenderedPageBreak/>
              <w:t xml:space="preserve">Διαταραχές του ήπατος και των χοληφόρων </w:t>
            </w:r>
          </w:p>
        </w:tc>
        <w:tc>
          <w:tcPr>
            <w:tcW w:w="2354" w:type="dxa"/>
          </w:tcPr>
          <w:p w:rsidR="000658F8" w:rsidRPr="00255C54" w:rsidRDefault="000658F8" w:rsidP="009D672F">
            <w:pPr>
              <w:pStyle w:val="Para0s"/>
              <w:spacing w:after="0"/>
              <w:rPr>
                <w:lang w:val="el-GR"/>
              </w:rPr>
            </w:pPr>
          </w:p>
        </w:tc>
        <w:tc>
          <w:tcPr>
            <w:tcW w:w="2451" w:type="dxa"/>
          </w:tcPr>
          <w:p w:rsidR="000658F8" w:rsidRPr="00255C54" w:rsidRDefault="007043A6" w:rsidP="009D672F">
            <w:pPr>
              <w:pStyle w:val="Para0s"/>
              <w:spacing w:after="0"/>
              <w:rPr>
                <w:lang w:val="el-GR"/>
              </w:rPr>
            </w:pPr>
            <w:r w:rsidRPr="00255C54">
              <w:rPr>
                <w:lang w:val="el-GR"/>
              </w:rPr>
              <w:t xml:space="preserve">Αυξημένα ηπατικά ένζυμα </w:t>
            </w:r>
            <w:r w:rsidRPr="00255C54">
              <w:rPr>
                <w:vertAlign w:val="superscript"/>
                <w:lang w:val="el-GR"/>
              </w:rPr>
              <w:t>8</w:t>
            </w:r>
          </w:p>
        </w:tc>
        <w:tc>
          <w:tcPr>
            <w:tcW w:w="2404" w:type="dxa"/>
          </w:tcPr>
          <w:p w:rsidR="000658F8" w:rsidRPr="00255C54" w:rsidRDefault="000658F8" w:rsidP="009D672F">
            <w:pPr>
              <w:pStyle w:val="Para0s"/>
              <w:spacing w:after="0"/>
              <w:rPr>
                <w:lang w:val="el-GR"/>
              </w:rPr>
            </w:pPr>
            <w:r w:rsidRPr="00255C54">
              <w:rPr>
                <w:lang w:val="el-GR"/>
              </w:rPr>
              <w:t xml:space="preserve">Εστιακή οζώδης υπερπλασία ήπατος </w:t>
            </w:r>
          </w:p>
          <w:p w:rsidR="007043A6" w:rsidRPr="00255C54" w:rsidRDefault="007043A6" w:rsidP="009D672F">
            <w:pPr>
              <w:pStyle w:val="Para0s"/>
              <w:spacing w:after="0"/>
              <w:rPr>
                <w:lang w:val="el-GR"/>
              </w:rPr>
            </w:pPr>
            <w:r w:rsidRPr="00255C54">
              <w:rPr>
                <w:lang w:val="el-GR"/>
              </w:rPr>
              <w:t xml:space="preserve">Χρόνια </w:t>
            </w:r>
            <w:r w:rsidR="000C253D" w:rsidRPr="00255C54">
              <w:rPr>
                <w:lang w:val="el-GR"/>
              </w:rPr>
              <w:t>χολοκυ</w:t>
            </w:r>
            <w:r w:rsidR="00CA5706" w:rsidRPr="00255C54">
              <w:rPr>
                <w:lang w:val="el-GR"/>
              </w:rPr>
              <w:t>στίτιδα</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Διαταραχές του δέρματος και του υποδόριου ιστού</w:t>
            </w:r>
          </w:p>
        </w:tc>
        <w:tc>
          <w:tcPr>
            <w:tcW w:w="2354" w:type="dxa"/>
          </w:tcPr>
          <w:p w:rsidR="000658F8" w:rsidRPr="00255C54" w:rsidRDefault="000658F8" w:rsidP="009D672F">
            <w:pPr>
              <w:pStyle w:val="Para0s"/>
              <w:spacing w:after="0"/>
              <w:rPr>
                <w:vertAlign w:val="superscript"/>
                <w:lang w:val="el-GR"/>
              </w:rPr>
            </w:pPr>
            <w:r w:rsidRPr="00255C54">
              <w:rPr>
                <w:lang w:val="el-GR"/>
              </w:rPr>
              <w:t>Ακμή</w:t>
            </w:r>
            <w:r w:rsidR="007043A6" w:rsidRPr="00255C54">
              <w:rPr>
                <w:vertAlign w:val="superscript"/>
                <w:lang w:val="el-GR"/>
              </w:rPr>
              <w:t>9</w:t>
            </w:r>
          </w:p>
        </w:tc>
        <w:tc>
          <w:tcPr>
            <w:tcW w:w="2451" w:type="dxa"/>
          </w:tcPr>
          <w:p w:rsidR="007043A6" w:rsidRPr="00255C54" w:rsidRDefault="000658F8" w:rsidP="009D672F">
            <w:pPr>
              <w:pStyle w:val="Para0s"/>
              <w:spacing w:after="0"/>
              <w:rPr>
                <w:lang w:val="el-GR"/>
              </w:rPr>
            </w:pPr>
            <w:r w:rsidRPr="00255C54">
              <w:rPr>
                <w:lang w:val="el-GR"/>
              </w:rPr>
              <w:t>Αλωπεκία</w:t>
            </w:r>
          </w:p>
          <w:p w:rsidR="000658F8" w:rsidRPr="00255C54" w:rsidRDefault="007043A6" w:rsidP="009D672F">
            <w:pPr>
              <w:pStyle w:val="Para0s"/>
              <w:spacing w:after="0"/>
              <w:rPr>
                <w:lang w:val="el-GR"/>
              </w:rPr>
            </w:pPr>
            <w:r w:rsidRPr="00255C54">
              <w:rPr>
                <w:lang w:val="el-GR"/>
              </w:rPr>
              <w:t>Υπερίδρωση</w:t>
            </w:r>
            <w:r w:rsidR="000658F8" w:rsidRPr="00255C54">
              <w:rPr>
                <w:lang w:val="el-GR"/>
              </w:rPr>
              <w:t xml:space="preserve"> </w:t>
            </w:r>
          </w:p>
          <w:p w:rsidR="000658F8" w:rsidRPr="00255C54" w:rsidRDefault="000658F8" w:rsidP="009D672F">
            <w:pPr>
              <w:pStyle w:val="Para0s"/>
              <w:spacing w:after="0"/>
              <w:rPr>
                <w:lang w:val="el-GR"/>
              </w:rPr>
            </w:pPr>
            <w:r w:rsidRPr="00255C54">
              <w:rPr>
                <w:lang w:val="el-GR"/>
              </w:rPr>
              <w:t xml:space="preserve">Κνησμός </w:t>
            </w:r>
            <w:r w:rsidR="007043A6" w:rsidRPr="00255C54">
              <w:rPr>
                <w:vertAlign w:val="superscript"/>
                <w:lang w:val="el-GR"/>
              </w:rPr>
              <w:t>10</w:t>
            </w:r>
          </w:p>
          <w:p w:rsidR="000658F8" w:rsidRPr="00255C54" w:rsidRDefault="000658F8" w:rsidP="009D672F">
            <w:pPr>
              <w:pStyle w:val="Para0s"/>
              <w:spacing w:after="0"/>
              <w:rPr>
                <w:vertAlign w:val="superscript"/>
                <w:lang w:val="el-GR"/>
              </w:rPr>
            </w:pPr>
            <w:r w:rsidRPr="00255C54">
              <w:rPr>
                <w:lang w:val="el-GR"/>
              </w:rPr>
              <w:t xml:space="preserve">Εξάνθημα </w:t>
            </w:r>
            <w:r w:rsidR="007043A6" w:rsidRPr="00255C54">
              <w:rPr>
                <w:vertAlign w:val="superscript"/>
                <w:lang w:val="el-GR"/>
              </w:rPr>
              <w:t>11</w:t>
            </w:r>
          </w:p>
        </w:tc>
        <w:tc>
          <w:tcPr>
            <w:tcW w:w="2404" w:type="dxa"/>
          </w:tcPr>
          <w:p w:rsidR="000658F8" w:rsidRPr="00255C54" w:rsidRDefault="000658F8" w:rsidP="009D672F">
            <w:pPr>
              <w:pStyle w:val="Para0s"/>
              <w:spacing w:after="0"/>
              <w:rPr>
                <w:lang w:val="el-GR"/>
              </w:rPr>
            </w:pPr>
            <w:r w:rsidRPr="00255C54">
              <w:rPr>
                <w:lang w:val="el-GR"/>
              </w:rPr>
              <w:t xml:space="preserve">Αλλεργική αντίδραση δέρματος </w:t>
            </w:r>
            <w:r w:rsidR="007043A6" w:rsidRPr="00255C54">
              <w:rPr>
                <w:vertAlign w:val="superscript"/>
                <w:lang w:val="el-GR"/>
              </w:rPr>
              <w:t>12</w:t>
            </w:r>
          </w:p>
          <w:p w:rsidR="000658F8" w:rsidRPr="00255C54" w:rsidRDefault="000658F8" w:rsidP="009D672F">
            <w:pPr>
              <w:pStyle w:val="Para0s"/>
              <w:spacing w:after="0"/>
              <w:rPr>
                <w:lang w:val="el-GR"/>
              </w:rPr>
            </w:pPr>
            <w:r w:rsidRPr="00255C54">
              <w:rPr>
                <w:lang w:val="el-GR"/>
              </w:rPr>
              <w:t>Χλόασμα</w:t>
            </w:r>
          </w:p>
          <w:p w:rsidR="000658F8" w:rsidRPr="00255C54" w:rsidRDefault="000658F8" w:rsidP="009D672F">
            <w:pPr>
              <w:pStyle w:val="Para0s"/>
              <w:spacing w:after="0"/>
              <w:rPr>
                <w:lang w:val="el-GR"/>
              </w:rPr>
            </w:pPr>
            <w:r w:rsidRPr="00255C54">
              <w:rPr>
                <w:lang w:val="el-GR"/>
              </w:rPr>
              <w:t>Δερματίτιδα</w:t>
            </w:r>
          </w:p>
          <w:p w:rsidR="000658F8" w:rsidRPr="00255C54" w:rsidRDefault="000658F8" w:rsidP="009D672F">
            <w:pPr>
              <w:pStyle w:val="Para0s"/>
              <w:spacing w:after="0"/>
              <w:rPr>
                <w:lang w:val="el-GR"/>
              </w:rPr>
            </w:pPr>
            <w:r w:rsidRPr="00255C54">
              <w:rPr>
                <w:lang w:val="el-GR"/>
              </w:rPr>
              <w:t xml:space="preserve">Δασυτρίχισμος </w:t>
            </w:r>
          </w:p>
          <w:p w:rsidR="000658F8" w:rsidRPr="00255C54" w:rsidRDefault="000658F8" w:rsidP="009D672F">
            <w:pPr>
              <w:pStyle w:val="Para0s"/>
              <w:spacing w:after="0"/>
              <w:rPr>
                <w:lang w:val="el-GR"/>
              </w:rPr>
            </w:pPr>
            <w:r w:rsidRPr="00255C54">
              <w:rPr>
                <w:lang w:val="el-GR"/>
              </w:rPr>
              <w:t>Υπερτρίχωση</w:t>
            </w:r>
          </w:p>
          <w:p w:rsidR="000658F8" w:rsidRPr="00255C54" w:rsidRDefault="000658F8" w:rsidP="009D672F">
            <w:pPr>
              <w:pStyle w:val="Para0s"/>
              <w:spacing w:after="0"/>
              <w:rPr>
                <w:lang w:val="el-GR"/>
              </w:rPr>
            </w:pPr>
            <w:r w:rsidRPr="00255C54">
              <w:rPr>
                <w:lang w:val="el-GR"/>
              </w:rPr>
              <w:t>Νευροδερματίτιδα</w:t>
            </w:r>
          </w:p>
          <w:p w:rsidR="000658F8" w:rsidRPr="00255C54" w:rsidRDefault="000658F8" w:rsidP="009D672F">
            <w:pPr>
              <w:pStyle w:val="Para0s"/>
              <w:spacing w:after="0"/>
              <w:rPr>
                <w:lang w:val="el-GR"/>
              </w:rPr>
            </w:pPr>
            <w:r w:rsidRPr="00255C54">
              <w:rPr>
                <w:lang w:val="el-GR"/>
              </w:rPr>
              <w:t>Διαταραχή μελά</w:t>
            </w:r>
            <w:r w:rsidR="00CA5706" w:rsidRPr="00255C54">
              <w:rPr>
                <w:lang w:val="el-GR"/>
              </w:rPr>
              <w:t>γ</w:t>
            </w:r>
            <w:r w:rsidRPr="00255C54">
              <w:rPr>
                <w:lang w:val="el-GR"/>
              </w:rPr>
              <w:t xml:space="preserve">χρωσης </w:t>
            </w:r>
          </w:p>
          <w:p w:rsidR="000658F8" w:rsidRPr="00255C54" w:rsidRDefault="000658F8" w:rsidP="009D672F">
            <w:pPr>
              <w:pStyle w:val="Para0s"/>
              <w:spacing w:after="0"/>
              <w:rPr>
                <w:lang w:val="el-GR"/>
              </w:rPr>
            </w:pPr>
            <w:r w:rsidRPr="00255C54">
              <w:rPr>
                <w:lang w:val="el-GR"/>
              </w:rPr>
              <w:t>Σμηγματόρροια</w:t>
            </w:r>
          </w:p>
          <w:p w:rsidR="000658F8" w:rsidRPr="00255C54" w:rsidRDefault="000658F8" w:rsidP="009D672F">
            <w:pPr>
              <w:pStyle w:val="Para0s"/>
              <w:spacing w:after="0"/>
              <w:rPr>
                <w:lang w:val="el-GR"/>
              </w:rPr>
            </w:pPr>
            <w:r w:rsidRPr="00255C54">
              <w:rPr>
                <w:lang w:val="el-GR"/>
              </w:rPr>
              <w:t xml:space="preserve">Διαταραχή δέρματος </w:t>
            </w:r>
            <w:r w:rsidR="007043A6" w:rsidRPr="00255C54">
              <w:rPr>
                <w:vertAlign w:val="superscript"/>
                <w:lang w:val="el-GR"/>
              </w:rPr>
              <w:t>13</w:t>
            </w:r>
            <w:r w:rsidRPr="00255C54">
              <w:rPr>
                <w:lang w:val="el-GR"/>
              </w:rPr>
              <w:t xml:space="preserve"> </w:t>
            </w:r>
          </w:p>
        </w:tc>
      </w:tr>
      <w:tr w:rsidR="000658F8" w:rsidRPr="00255C54" w:rsidTr="00255C54">
        <w:tc>
          <w:tcPr>
            <w:tcW w:w="2363" w:type="dxa"/>
          </w:tcPr>
          <w:p w:rsidR="000658F8" w:rsidRPr="00255C54" w:rsidRDefault="000658F8" w:rsidP="009D672F">
            <w:pPr>
              <w:pStyle w:val="Para0s"/>
              <w:spacing w:after="0"/>
              <w:rPr>
                <w:lang w:val="el-GR"/>
              </w:rPr>
            </w:pPr>
            <w:r w:rsidRPr="00255C54">
              <w:rPr>
                <w:lang w:val="el-GR"/>
              </w:rPr>
              <w:t>Διαταραχές του μυοσκελετικού συστήματος και του συνδετικού ιστού</w:t>
            </w:r>
          </w:p>
        </w:tc>
        <w:tc>
          <w:tcPr>
            <w:tcW w:w="2354" w:type="dxa"/>
          </w:tcPr>
          <w:p w:rsidR="000658F8" w:rsidRPr="00255C54" w:rsidRDefault="000658F8" w:rsidP="009D672F">
            <w:pPr>
              <w:pStyle w:val="Para0s"/>
              <w:spacing w:after="0"/>
              <w:rPr>
                <w:lang w:val="el-GR"/>
              </w:rPr>
            </w:pPr>
          </w:p>
        </w:tc>
        <w:tc>
          <w:tcPr>
            <w:tcW w:w="2451" w:type="dxa"/>
          </w:tcPr>
          <w:p w:rsidR="000658F8" w:rsidRPr="00255C54" w:rsidRDefault="007043A6" w:rsidP="009D672F">
            <w:pPr>
              <w:pStyle w:val="Para0s"/>
              <w:spacing w:after="0"/>
              <w:rPr>
                <w:lang w:val="el-GR"/>
              </w:rPr>
            </w:pPr>
            <w:r w:rsidRPr="00255C54">
              <w:rPr>
                <w:lang w:val="el-GR"/>
              </w:rPr>
              <w:t>Μυϊκοί σπασμοί</w:t>
            </w:r>
          </w:p>
        </w:tc>
        <w:tc>
          <w:tcPr>
            <w:tcW w:w="2404" w:type="dxa"/>
          </w:tcPr>
          <w:p w:rsidR="000658F8" w:rsidRPr="00255C54" w:rsidRDefault="000658F8" w:rsidP="009D672F">
            <w:pPr>
              <w:pStyle w:val="Para0s"/>
              <w:spacing w:after="0"/>
              <w:rPr>
                <w:lang w:val="el-GR"/>
              </w:rPr>
            </w:pPr>
            <w:r w:rsidRPr="00255C54">
              <w:rPr>
                <w:lang w:val="el-GR"/>
              </w:rPr>
              <w:t>Οσφυαλγία</w:t>
            </w:r>
          </w:p>
          <w:p w:rsidR="007043A6" w:rsidRPr="00255C54" w:rsidRDefault="007043A6" w:rsidP="009D672F">
            <w:pPr>
              <w:pStyle w:val="Para0s"/>
              <w:spacing w:after="0"/>
              <w:rPr>
                <w:lang w:val="el-GR"/>
              </w:rPr>
            </w:pPr>
            <w:r w:rsidRPr="00255C54">
              <w:rPr>
                <w:lang w:val="el-GR"/>
              </w:rPr>
              <w:t>Πόνος στις γνάθους</w:t>
            </w:r>
          </w:p>
          <w:p w:rsidR="000658F8" w:rsidRPr="00255C54" w:rsidRDefault="000658F8" w:rsidP="009D672F">
            <w:pPr>
              <w:pStyle w:val="Para0s"/>
              <w:spacing w:after="0"/>
              <w:rPr>
                <w:lang w:val="el-GR"/>
              </w:rPr>
            </w:pPr>
            <w:r w:rsidRPr="00255C54">
              <w:rPr>
                <w:lang w:val="el-GR"/>
              </w:rPr>
              <w:t xml:space="preserve">Αίσθημα βάρους </w:t>
            </w:r>
          </w:p>
        </w:tc>
      </w:tr>
      <w:tr w:rsidR="003B0468" w:rsidRPr="00255C54" w:rsidTr="00255C54">
        <w:tc>
          <w:tcPr>
            <w:tcW w:w="2363" w:type="dxa"/>
          </w:tcPr>
          <w:p w:rsidR="003B0468" w:rsidRPr="00255C54" w:rsidRDefault="003B0468" w:rsidP="009D672F">
            <w:pPr>
              <w:pStyle w:val="Para0s"/>
              <w:spacing w:after="0"/>
              <w:rPr>
                <w:lang w:val="el-GR"/>
              </w:rPr>
            </w:pPr>
            <w:r w:rsidRPr="00255C54">
              <w:rPr>
                <w:lang w:val="el-GR"/>
              </w:rPr>
              <w:t>Διαταραχές των νεφρών και των ουροφόρων οδών</w:t>
            </w:r>
          </w:p>
        </w:tc>
        <w:tc>
          <w:tcPr>
            <w:tcW w:w="2354" w:type="dxa"/>
          </w:tcPr>
          <w:p w:rsidR="003B0468" w:rsidRPr="00255C54" w:rsidRDefault="003B0468" w:rsidP="009D672F">
            <w:pPr>
              <w:pStyle w:val="Para0s"/>
              <w:spacing w:after="0"/>
              <w:rPr>
                <w:lang w:val="el-GR"/>
              </w:rPr>
            </w:pPr>
          </w:p>
        </w:tc>
        <w:tc>
          <w:tcPr>
            <w:tcW w:w="2451" w:type="dxa"/>
          </w:tcPr>
          <w:p w:rsidR="003B0468" w:rsidRPr="00255C54" w:rsidRDefault="003B0468" w:rsidP="009D672F">
            <w:pPr>
              <w:pStyle w:val="Para0s"/>
              <w:spacing w:after="0"/>
              <w:rPr>
                <w:lang w:val="el-GR"/>
              </w:rPr>
            </w:pPr>
          </w:p>
        </w:tc>
        <w:tc>
          <w:tcPr>
            <w:tcW w:w="2404" w:type="dxa"/>
          </w:tcPr>
          <w:p w:rsidR="003B0468" w:rsidRPr="00255C54" w:rsidRDefault="00CA5706" w:rsidP="009D672F">
            <w:pPr>
              <w:pStyle w:val="Para0s"/>
              <w:spacing w:after="0"/>
              <w:rPr>
                <w:lang w:val="el-GR"/>
              </w:rPr>
            </w:pPr>
            <w:r w:rsidRPr="00255C54">
              <w:rPr>
                <w:lang w:val="el-GR"/>
              </w:rPr>
              <w:t>Άλγος ουροφόρων</w:t>
            </w:r>
            <w:r w:rsidR="003B0468" w:rsidRPr="00255C54">
              <w:rPr>
                <w:lang w:val="el-GR"/>
              </w:rPr>
              <w:t xml:space="preserve"> οδ</w:t>
            </w:r>
            <w:r w:rsidRPr="00255C54">
              <w:rPr>
                <w:lang w:val="el-GR"/>
              </w:rPr>
              <w:t>ών</w:t>
            </w:r>
          </w:p>
        </w:tc>
      </w:tr>
      <w:tr w:rsidR="003B0468" w:rsidRPr="00255C54" w:rsidTr="00255C54">
        <w:tc>
          <w:tcPr>
            <w:tcW w:w="2363" w:type="dxa"/>
          </w:tcPr>
          <w:p w:rsidR="003B0468" w:rsidRPr="00255C54" w:rsidRDefault="003B0468" w:rsidP="009D672F">
            <w:pPr>
              <w:pStyle w:val="Para0s"/>
              <w:spacing w:after="0"/>
              <w:rPr>
                <w:lang w:val="el-GR"/>
              </w:rPr>
            </w:pPr>
            <w:r w:rsidRPr="00255C54">
              <w:rPr>
                <w:lang w:val="el-GR"/>
              </w:rPr>
              <w:t>Διαταραχές του αναπαραγωγικού συστήματος και το</w:t>
            </w:r>
            <w:r w:rsidR="00CC2DA9" w:rsidRPr="00255C54">
              <w:rPr>
                <w:lang w:val="el-GR"/>
              </w:rPr>
              <w:t>υ</w:t>
            </w:r>
            <w:r w:rsidRPr="00255C54">
              <w:rPr>
                <w:lang w:val="el-GR"/>
              </w:rPr>
              <w:t xml:space="preserve"> μαστού</w:t>
            </w:r>
          </w:p>
        </w:tc>
        <w:tc>
          <w:tcPr>
            <w:tcW w:w="2354" w:type="dxa"/>
          </w:tcPr>
          <w:p w:rsidR="003B0468" w:rsidRPr="00255C54" w:rsidRDefault="003B0468" w:rsidP="009D672F">
            <w:pPr>
              <w:pStyle w:val="Para0s"/>
              <w:spacing w:after="0"/>
              <w:rPr>
                <w:lang w:val="el-GR"/>
              </w:rPr>
            </w:pPr>
            <w:r w:rsidRPr="00255C54">
              <w:rPr>
                <w:lang w:val="el-GR"/>
              </w:rPr>
              <w:t xml:space="preserve">Αμηνόρροια </w:t>
            </w:r>
          </w:p>
          <w:p w:rsidR="003B0468" w:rsidRPr="00255C54" w:rsidRDefault="003B0468" w:rsidP="009D672F">
            <w:pPr>
              <w:pStyle w:val="Para0s"/>
              <w:spacing w:after="0"/>
              <w:rPr>
                <w:vertAlign w:val="superscript"/>
                <w:lang w:val="el-GR"/>
              </w:rPr>
            </w:pPr>
            <w:r w:rsidRPr="00255C54">
              <w:rPr>
                <w:lang w:val="el-GR"/>
              </w:rPr>
              <w:t xml:space="preserve">Δυσφορία στους μαστούς </w:t>
            </w:r>
            <w:r w:rsidRPr="00255C54">
              <w:rPr>
                <w:vertAlign w:val="superscript"/>
                <w:lang w:val="el-GR"/>
              </w:rPr>
              <w:t>14</w:t>
            </w:r>
          </w:p>
          <w:p w:rsidR="003B0468" w:rsidRPr="00255C54" w:rsidRDefault="003B0468" w:rsidP="009D672F">
            <w:pPr>
              <w:pStyle w:val="Para0s"/>
              <w:spacing w:after="0"/>
              <w:rPr>
                <w:lang w:val="el-GR"/>
              </w:rPr>
            </w:pPr>
            <w:r w:rsidRPr="00255C54">
              <w:rPr>
                <w:lang w:val="el-GR"/>
              </w:rPr>
              <w:t>Δυσμηνόρροια</w:t>
            </w:r>
          </w:p>
          <w:p w:rsidR="003B0468" w:rsidRPr="00255C54" w:rsidRDefault="003B0468" w:rsidP="009D672F">
            <w:pPr>
              <w:pStyle w:val="Para0s"/>
              <w:spacing w:after="0"/>
              <w:rPr>
                <w:lang w:val="el-GR"/>
              </w:rPr>
            </w:pPr>
            <w:r w:rsidRPr="00255C54">
              <w:rPr>
                <w:lang w:val="el-GR"/>
              </w:rPr>
              <w:t>Αιμορραγία κατά τη διάρκεια του κύκλου</w:t>
            </w:r>
          </w:p>
          <w:p w:rsidR="003B0468" w:rsidRPr="00255C54" w:rsidRDefault="003B0468" w:rsidP="009D672F">
            <w:pPr>
              <w:pStyle w:val="Para0s"/>
              <w:spacing w:after="0"/>
              <w:rPr>
                <w:lang w:val="el-GR"/>
              </w:rPr>
            </w:pPr>
            <w:r w:rsidRPr="00255C54">
              <w:rPr>
                <w:lang w:val="el-GR"/>
              </w:rPr>
              <w:t>(Μητρορραγία)</w:t>
            </w:r>
            <w:r w:rsidRPr="00255C54">
              <w:rPr>
                <w:vertAlign w:val="superscript"/>
                <w:lang w:val="el-GR"/>
              </w:rPr>
              <w:t xml:space="preserve"> 15</w:t>
            </w:r>
            <w:r w:rsidRPr="00255C54">
              <w:rPr>
                <w:lang w:val="el-GR"/>
              </w:rPr>
              <w:t xml:space="preserve"> </w:t>
            </w:r>
          </w:p>
        </w:tc>
        <w:tc>
          <w:tcPr>
            <w:tcW w:w="2451" w:type="dxa"/>
          </w:tcPr>
          <w:p w:rsidR="003B0468" w:rsidRPr="00255C54" w:rsidRDefault="003B0468" w:rsidP="009D672F">
            <w:pPr>
              <w:pStyle w:val="Para0s"/>
              <w:spacing w:after="0"/>
              <w:rPr>
                <w:vertAlign w:val="superscript"/>
                <w:lang w:val="el-GR"/>
              </w:rPr>
            </w:pPr>
            <w:r w:rsidRPr="00255C54">
              <w:rPr>
                <w:lang w:val="el-GR"/>
              </w:rPr>
              <w:t>Διόγκωση των μαστών</w:t>
            </w:r>
            <w:r w:rsidRPr="00255C54">
              <w:rPr>
                <w:vertAlign w:val="superscript"/>
                <w:lang w:val="el-GR"/>
              </w:rPr>
              <w:t>16</w:t>
            </w:r>
          </w:p>
          <w:p w:rsidR="003B0468" w:rsidRPr="00255C54" w:rsidRDefault="003B0468" w:rsidP="009D672F">
            <w:pPr>
              <w:pStyle w:val="Para0s"/>
              <w:spacing w:after="0"/>
              <w:rPr>
                <w:lang w:val="el-GR"/>
              </w:rPr>
            </w:pPr>
            <w:r w:rsidRPr="00255C54">
              <w:rPr>
                <w:lang w:val="el-GR"/>
              </w:rPr>
              <w:t>Μάζα στο μαστό</w:t>
            </w:r>
          </w:p>
          <w:p w:rsidR="003B0468" w:rsidRPr="00255C54" w:rsidRDefault="003B0468" w:rsidP="009D672F">
            <w:pPr>
              <w:pStyle w:val="Para0s"/>
              <w:spacing w:after="0"/>
              <w:rPr>
                <w:lang w:val="el-GR"/>
              </w:rPr>
            </w:pPr>
            <w:r w:rsidRPr="00255C54">
              <w:rPr>
                <w:lang w:val="el-GR"/>
              </w:rPr>
              <w:t>Δυσπλασία τραχήλου</w:t>
            </w:r>
          </w:p>
          <w:p w:rsidR="003B0468" w:rsidRPr="00255C54" w:rsidRDefault="003B0468" w:rsidP="009D672F">
            <w:pPr>
              <w:pStyle w:val="Para0s"/>
              <w:spacing w:after="0"/>
              <w:rPr>
                <w:lang w:val="el-GR"/>
              </w:rPr>
            </w:pPr>
            <w:r w:rsidRPr="00255C54">
              <w:rPr>
                <w:lang w:val="el-GR"/>
              </w:rPr>
              <w:t>Δυσλειτουργική αιμορραγία μήτρας</w:t>
            </w:r>
          </w:p>
          <w:p w:rsidR="003B0468" w:rsidRPr="00255C54" w:rsidRDefault="003B0468" w:rsidP="009D672F">
            <w:pPr>
              <w:pStyle w:val="Para0s"/>
              <w:spacing w:after="0"/>
              <w:rPr>
                <w:lang w:val="el-GR"/>
              </w:rPr>
            </w:pPr>
            <w:r w:rsidRPr="00255C54">
              <w:rPr>
                <w:lang w:val="el-GR"/>
              </w:rPr>
              <w:t>Δυσπαρεύνια</w:t>
            </w:r>
          </w:p>
          <w:p w:rsidR="003B0468" w:rsidRPr="00255C54" w:rsidRDefault="003B0468" w:rsidP="009D672F">
            <w:pPr>
              <w:pStyle w:val="Para0s"/>
              <w:spacing w:after="0"/>
              <w:rPr>
                <w:lang w:val="el-GR"/>
              </w:rPr>
            </w:pPr>
            <w:r w:rsidRPr="00255C54">
              <w:rPr>
                <w:lang w:val="el-GR"/>
              </w:rPr>
              <w:t>Ινοκυστική νόσος μαστού</w:t>
            </w:r>
          </w:p>
          <w:p w:rsidR="003B0468" w:rsidRPr="00255C54" w:rsidRDefault="003B0468" w:rsidP="009D672F">
            <w:pPr>
              <w:pStyle w:val="Para0s"/>
              <w:spacing w:after="0"/>
              <w:rPr>
                <w:lang w:val="el-GR"/>
              </w:rPr>
            </w:pPr>
            <w:r w:rsidRPr="00255C54">
              <w:rPr>
                <w:lang w:val="el-GR"/>
              </w:rPr>
              <w:t>Μηνορραγία</w:t>
            </w:r>
          </w:p>
          <w:p w:rsidR="003B0468" w:rsidRPr="00255C54" w:rsidRDefault="00CA5706" w:rsidP="009D672F">
            <w:pPr>
              <w:pStyle w:val="Para0s"/>
              <w:spacing w:after="0"/>
              <w:rPr>
                <w:lang w:val="el-GR"/>
              </w:rPr>
            </w:pPr>
            <w:r w:rsidRPr="00255C54">
              <w:rPr>
                <w:lang w:val="el-GR"/>
              </w:rPr>
              <w:t>Διαταραχή εμμηνορρυσίας</w:t>
            </w:r>
          </w:p>
          <w:p w:rsidR="003B0468" w:rsidRPr="00255C54" w:rsidRDefault="003B0468" w:rsidP="009D672F">
            <w:pPr>
              <w:pStyle w:val="Para0s"/>
              <w:spacing w:after="0"/>
              <w:rPr>
                <w:lang w:val="el-GR"/>
              </w:rPr>
            </w:pPr>
            <w:r w:rsidRPr="00255C54">
              <w:rPr>
                <w:lang w:val="el-GR"/>
              </w:rPr>
              <w:t>Κύστη ωοθηκών</w:t>
            </w:r>
          </w:p>
          <w:p w:rsidR="003B0468" w:rsidRPr="00255C54" w:rsidRDefault="003B0468" w:rsidP="009D672F">
            <w:pPr>
              <w:pStyle w:val="Para0s"/>
              <w:spacing w:after="0"/>
              <w:rPr>
                <w:lang w:val="el-GR"/>
              </w:rPr>
            </w:pPr>
            <w:r w:rsidRPr="00255C54">
              <w:rPr>
                <w:lang w:val="el-GR"/>
              </w:rPr>
              <w:t xml:space="preserve"> Άλγος πυέλου</w:t>
            </w:r>
          </w:p>
          <w:p w:rsidR="003B0468" w:rsidRPr="00255C54" w:rsidRDefault="003B0468" w:rsidP="009D672F">
            <w:pPr>
              <w:pStyle w:val="Para0s"/>
              <w:spacing w:after="0"/>
              <w:rPr>
                <w:lang w:val="el-GR"/>
              </w:rPr>
            </w:pPr>
            <w:r w:rsidRPr="00255C54">
              <w:rPr>
                <w:lang w:val="el-GR"/>
              </w:rPr>
              <w:t>Προεμμηνορρυσιακό σύνδρομο</w:t>
            </w:r>
          </w:p>
          <w:p w:rsidR="003B0468" w:rsidRPr="00255C54" w:rsidRDefault="003B0468" w:rsidP="009D672F">
            <w:pPr>
              <w:pStyle w:val="Para0s"/>
              <w:spacing w:after="0"/>
              <w:rPr>
                <w:lang w:val="el-GR"/>
              </w:rPr>
            </w:pPr>
            <w:r w:rsidRPr="00255C54">
              <w:rPr>
                <w:lang w:val="el-GR"/>
              </w:rPr>
              <w:t xml:space="preserve">Λειομύωμα μήτρας </w:t>
            </w:r>
          </w:p>
          <w:p w:rsidR="003B0468" w:rsidRPr="00255C54" w:rsidRDefault="00250D4E" w:rsidP="009D672F">
            <w:pPr>
              <w:pStyle w:val="Para0s"/>
              <w:spacing w:after="0"/>
              <w:rPr>
                <w:lang w:val="el-GR"/>
              </w:rPr>
            </w:pPr>
            <w:r w:rsidRPr="00255C54">
              <w:rPr>
                <w:lang w:val="el-GR"/>
              </w:rPr>
              <w:t>Σπασμό</w:t>
            </w:r>
            <w:r w:rsidR="00CA5706" w:rsidRPr="00255C54">
              <w:rPr>
                <w:lang w:val="el-GR"/>
              </w:rPr>
              <w:t xml:space="preserve">ς </w:t>
            </w:r>
            <w:r w:rsidR="003B0468" w:rsidRPr="00255C54">
              <w:rPr>
                <w:lang w:val="el-GR"/>
              </w:rPr>
              <w:t>μήτρα</w:t>
            </w:r>
            <w:r w:rsidR="00CA5706" w:rsidRPr="00255C54">
              <w:rPr>
                <w:lang w:val="el-GR"/>
              </w:rPr>
              <w:t>ς</w:t>
            </w:r>
          </w:p>
          <w:p w:rsidR="003B0468" w:rsidRPr="00255C54" w:rsidRDefault="003B0468" w:rsidP="009D672F">
            <w:pPr>
              <w:pStyle w:val="Para0s"/>
              <w:spacing w:after="0"/>
              <w:rPr>
                <w:lang w:val="el-GR"/>
              </w:rPr>
            </w:pPr>
            <w:r w:rsidRPr="00255C54">
              <w:rPr>
                <w:lang w:val="el-GR"/>
              </w:rPr>
              <w:t xml:space="preserve">Μητρική/κολπική αιμορραγία συμπεριλαμβανομένων των κηλιδώσεων </w:t>
            </w:r>
            <w:r w:rsidRPr="00255C54">
              <w:rPr>
                <w:vertAlign w:val="superscript"/>
                <w:lang w:val="el-GR"/>
              </w:rPr>
              <w:t>17</w:t>
            </w:r>
            <w:r w:rsidRPr="00255C54">
              <w:rPr>
                <w:lang w:val="el-GR"/>
              </w:rPr>
              <w:t xml:space="preserve"> Κολπική έκκριση</w:t>
            </w:r>
          </w:p>
          <w:p w:rsidR="003B0468" w:rsidRPr="00255C54" w:rsidRDefault="003B0468" w:rsidP="009D672F">
            <w:pPr>
              <w:pStyle w:val="Para0s"/>
              <w:spacing w:after="0"/>
              <w:rPr>
                <w:lang w:val="el-GR"/>
              </w:rPr>
            </w:pPr>
            <w:r w:rsidRPr="00255C54">
              <w:rPr>
                <w:lang w:val="el-GR"/>
              </w:rPr>
              <w:t>Αιδοιοκολπική ξηρότητα</w:t>
            </w:r>
          </w:p>
        </w:tc>
        <w:tc>
          <w:tcPr>
            <w:tcW w:w="2404" w:type="dxa"/>
          </w:tcPr>
          <w:p w:rsidR="00727E8E" w:rsidRPr="00255C54" w:rsidRDefault="00727E8E" w:rsidP="009D672F">
            <w:pPr>
              <w:pStyle w:val="Para0s"/>
              <w:spacing w:after="0"/>
              <w:rPr>
                <w:lang w:val="el-GR"/>
              </w:rPr>
            </w:pPr>
            <w:r w:rsidRPr="00255C54">
              <w:rPr>
                <w:lang w:val="el-GR"/>
              </w:rPr>
              <w:t>Ακανόνιστη αιμορραγία εκ διακοπής</w:t>
            </w:r>
          </w:p>
          <w:p w:rsidR="003B0468" w:rsidRPr="00255C54" w:rsidRDefault="003B0468" w:rsidP="009D672F">
            <w:pPr>
              <w:pStyle w:val="Para0s"/>
              <w:spacing w:after="0"/>
              <w:rPr>
                <w:lang w:val="el-GR"/>
              </w:rPr>
            </w:pPr>
            <w:r w:rsidRPr="00255C54">
              <w:rPr>
                <w:lang w:val="el-GR"/>
              </w:rPr>
              <w:t>Καλοήθης νεοπλασία μαστού</w:t>
            </w:r>
          </w:p>
          <w:p w:rsidR="00727E8E" w:rsidRPr="00255C54" w:rsidRDefault="00727E8E" w:rsidP="009D672F">
            <w:pPr>
              <w:pStyle w:val="Para0s"/>
              <w:spacing w:after="0"/>
              <w:rPr>
                <w:lang w:val="el-GR"/>
              </w:rPr>
            </w:pPr>
            <w:r w:rsidRPr="00255C54">
              <w:rPr>
                <w:lang w:val="el-GR"/>
              </w:rPr>
              <w:t xml:space="preserve">Καρκίνος μαστού </w:t>
            </w:r>
            <w:r>
              <w:t>in</w:t>
            </w:r>
            <w:r w:rsidRPr="00255C54">
              <w:rPr>
                <w:lang w:val="el-GR"/>
              </w:rPr>
              <w:t xml:space="preserve"> </w:t>
            </w:r>
            <w:r>
              <w:t>situ</w:t>
            </w:r>
          </w:p>
          <w:p w:rsidR="00727E8E" w:rsidRPr="00255C54" w:rsidRDefault="00727E8E" w:rsidP="009D672F">
            <w:pPr>
              <w:pStyle w:val="Para0s"/>
              <w:spacing w:after="0"/>
              <w:rPr>
                <w:lang w:val="el-GR"/>
              </w:rPr>
            </w:pPr>
            <w:r w:rsidRPr="00255C54">
              <w:rPr>
                <w:lang w:val="el-GR"/>
              </w:rPr>
              <w:t>Κύστη μαστού</w:t>
            </w:r>
          </w:p>
          <w:p w:rsidR="00727E8E" w:rsidRPr="00255C54" w:rsidRDefault="00CA5706" w:rsidP="009D672F">
            <w:pPr>
              <w:pStyle w:val="Para0s"/>
              <w:spacing w:after="0"/>
              <w:rPr>
                <w:lang w:val="el-GR"/>
              </w:rPr>
            </w:pPr>
            <w:r w:rsidRPr="00255C54">
              <w:rPr>
                <w:lang w:val="el-GR"/>
              </w:rPr>
              <w:t>Έκκριση μαστού</w:t>
            </w:r>
          </w:p>
          <w:p w:rsidR="006272AA" w:rsidRPr="00255C54" w:rsidRDefault="006272AA" w:rsidP="009D672F">
            <w:pPr>
              <w:pStyle w:val="Para0s"/>
              <w:spacing w:after="0"/>
              <w:rPr>
                <w:lang w:val="el-GR"/>
              </w:rPr>
            </w:pPr>
            <w:r w:rsidRPr="00255C54">
              <w:rPr>
                <w:lang w:val="el-GR"/>
              </w:rPr>
              <w:t>Τραχηλικός πολύποδας</w:t>
            </w:r>
          </w:p>
          <w:p w:rsidR="00727E8E" w:rsidRPr="00255C54" w:rsidRDefault="00727E8E" w:rsidP="009D672F">
            <w:pPr>
              <w:pStyle w:val="Para0s"/>
              <w:spacing w:after="0"/>
              <w:rPr>
                <w:lang w:val="el-GR"/>
              </w:rPr>
            </w:pPr>
            <w:r w:rsidRPr="00255C54">
              <w:rPr>
                <w:lang w:val="el-GR"/>
              </w:rPr>
              <w:t>Ερύθημα τραχήλου</w:t>
            </w:r>
          </w:p>
          <w:p w:rsidR="003B0468" w:rsidRPr="00255C54" w:rsidRDefault="003B0468" w:rsidP="009D672F">
            <w:pPr>
              <w:pStyle w:val="Para0s"/>
              <w:spacing w:after="0"/>
              <w:rPr>
                <w:lang w:val="el-GR"/>
              </w:rPr>
            </w:pPr>
            <w:r w:rsidRPr="00255C54">
              <w:rPr>
                <w:lang w:val="el-GR"/>
              </w:rPr>
              <w:t>Αιμορραγία κατά την συνουσία</w:t>
            </w:r>
          </w:p>
          <w:p w:rsidR="003B0468" w:rsidRPr="00255C54" w:rsidRDefault="003B0468" w:rsidP="009D672F">
            <w:pPr>
              <w:pStyle w:val="Para0s"/>
              <w:spacing w:after="0"/>
              <w:rPr>
                <w:lang w:val="el-GR"/>
              </w:rPr>
            </w:pPr>
            <w:r w:rsidRPr="00255C54">
              <w:rPr>
                <w:lang w:val="el-GR"/>
              </w:rPr>
              <w:t>Γαλακτόρροια</w:t>
            </w:r>
          </w:p>
          <w:p w:rsidR="006272AA" w:rsidRPr="00255C54" w:rsidRDefault="006272AA" w:rsidP="009D672F">
            <w:pPr>
              <w:pStyle w:val="Para0s"/>
              <w:spacing w:after="0"/>
              <w:rPr>
                <w:lang w:val="el-GR"/>
              </w:rPr>
            </w:pPr>
            <w:r w:rsidRPr="00255C54">
              <w:rPr>
                <w:lang w:val="el-GR"/>
              </w:rPr>
              <w:t>Έκκριση γεν</w:t>
            </w:r>
            <w:r w:rsidR="009A6443" w:rsidRPr="00255C54">
              <w:rPr>
                <w:lang w:val="el-GR"/>
              </w:rPr>
              <w:t>ν</w:t>
            </w:r>
            <w:r w:rsidRPr="00255C54">
              <w:rPr>
                <w:lang w:val="el-GR"/>
              </w:rPr>
              <w:t>ητικών οργάνων</w:t>
            </w:r>
          </w:p>
          <w:p w:rsidR="003B0468" w:rsidRPr="00255C54" w:rsidRDefault="003B0468" w:rsidP="009D672F">
            <w:pPr>
              <w:pStyle w:val="Para0s"/>
              <w:spacing w:after="0"/>
              <w:rPr>
                <w:lang w:val="el-GR"/>
              </w:rPr>
            </w:pPr>
            <w:r w:rsidRPr="00255C54">
              <w:rPr>
                <w:lang w:val="el-GR"/>
              </w:rPr>
              <w:t>Υπομηνόρροια</w:t>
            </w:r>
          </w:p>
          <w:p w:rsidR="003B0468" w:rsidRPr="00255C54" w:rsidRDefault="00CA5706" w:rsidP="009D672F">
            <w:pPr>
              <w:pStyle w:val="Para0s"/>
              <w:spacing w:after="0"/>
              <w:rPr>
                <w:lang w:val="el-GR"/>
              </w:rPr>
            </w:pPr>
            <w:r w:rsidRPr="00255C54">
              <w:rPr>
                <w:lang w:val="el-GR"/>
              </w:rPr>
              <w:t>Καθυστέρηση εμμηνορρυ</w:t>
            </w:r>
            <w:r w:rsidR="00250D4E" w:rsidRPr="00255C54">
              <w:rPr>
                <w:lang w:val="el-GR"/>
              </w:rPr>
              <w:t>σ</w:t>
            </w:r>
            <w:r w:rsidRPr="00255C54">
              <w:rPr>
                <w:lang w:val="el-GR"/>
              </w:rPr>
              <w:t>ίας</w:t>
            </w:r>
          </w:p>
          <w:p w:rsidR="003B0468" w:rsidRPr="00255C54" w:rsidRDefault="006272AA" w:rsidP="009D672F">
            <w:pPr>
              <w:pStyle w:val="Para0s"/>
              <w:spacing w:after="0"/>
              <w:rPr>
                <w:lang w:val="el-GR"/>
              </w:rPr>
            </w:pPr>
            <w:r w:rsidRPr="00255C54">
              <w:rPr>
                <w:lang w:val="el-GR"/>
              </w:rPr>
              <w:t>Ρήξη ωοθηκικής  κύστης</w:t>
            </w:r>
          </w:p>
          <w:p w:rsidR="003B0468" w:rsidRPr="00255C54" w:rsidRDefault="003B0468" w:rsidP="009D672F">
            <w:pPr>
              <w:pStyle w:val="Para0s"/>
              <w:spacing w:after="0"/>
              <w:rPr>
                <w:lang w:val="el-GR"/>
              </w:rPr>
            </w:pPr>
            <w:r w:rsidRPr="00255C54">
              <w:rPr>
                <w:lang w:val="el-GR"/>
              </w:rPr>
              <w:t>Κολπική οσμή</w:t>
            </w:r>
          </w:p>
          <w:p w:rsidR="006272AA" w:rsidRPr="00255C54" w:rsidRDefault="006272AA" w:rsidP="009D672F">
            <w:pPr>
              <w:pStyle w:val="Para0s"/>
              <w:spacing w:after="0"/>
              <w:rPr>
                <w:lang w:val="el-GR"/>
              </w:rPr>
            </w:pPr>
            <w:r w:rsidRPr="00255C54">
              <w:rPr>
                <w:lang w:val="el-GR"/>
              </w:rPr>
              <w:t xml:space="preserve"> Α</w:t>
            </w:r>
            <w:r w:rsidR="00465199" w:rsidRPr="00255C54">
              <w:rPr>
                <w:lang w:val="el-GR"/>
              </w:rPr>
              <w:t>ιδοι</w:t>
            </w:r>
            <w:r w:rsidRPr="00255C54">
              <w:rPr>
                <w:lang w:val="el-GR"/>
              </w:rPr>
              <w:t>οκολπικό αίσθημα καύσου</w:t>
            </w:r>
          </w:p>
          <w:p w:rsidR="003B0468" w:rsidRPr="00255C54" w:rsidRDefault="003B0468" w:rsidP="009D672F">
            <w:pPr>
              <w:pStyle w:val="Para0s"/>
              <w:spacing w:after="0"/>
              <w:rPr>
                <w:lang w:val="el-GR"/>
              </w:rPr>
            </w:pPr>
            <w:r w:rsidRPr="00255C54">
              <w:rPr>
                <w:lang w:val="el-GR"/>
              </w:rPr>
              <w:t xml:space="preserve">Αιδοιοκολπική </w:t>
            </w:r>
            <w:r w:rsidRPr="00255C54">
              <w:rPr>
                <w:lang w:val="el-GR"/>
              </w:rPr>
              <w:lastRenderedPageBreak/>
              <w:t xml:space="preserve">ενόχληση  </w:t>
            </w:r>
          </w:p>
        </w:tc>
      </w:tr>
      <w:tr w:rsidR="003B0468" w:rsidRPr="00255C54" w:rsidTr="00255C54">
        <w:tc>
          <w:tcPr>
            <w:tcW w:w="2363" w:type="dxa"/>
          </w:tcPr>
          <w:p w:rsidR="003B0468" w:rsidRPr="00255C54" w:rsidRDefault="003B0468" w:rsidP="009D672F">
            <w:pPr>
              <w:pStyle w:val="Para0s"/>
              <w:spacing w:after="0"/>
              <w:rPr>
                <w:lang w:val="el-GR"/>
              </w:rPr>
            </w:pPr>
            <w:r w:rsidRPr="00255C54">
              <w:rPr>
                <w:lang w:val="el-GR"/>
              </w:rPr>
              <w:lastRenderedPageBreak/>
              <w:t xml:space="preserve">Διαταραχές του αιμοποιητικού και του λεμφικού συστήματος </w:t>
            </w:r>
          </w:p>
        </w:tc>
        <w:tc>
          <w:tcPr>
            <w:tcW w:w="2354" w:type="dxa"/>
          </w:tcPr>
          <w:p w:rsidR="003B0468" w:rsidRPr="00255C54" w:rsidRDefault="003B0468" w:rsidP="009D672F">
            <w:pPr>
              <w:pStyle w:val="Para0s"/>
              <w:spacing w:after="0"/>
              <w:rPr>
                <w:lang w:val="el-GR"/>
              </w:rPr>
            </w:pPr>
          </w:p>
        </w:tc>
        <w:tc>
          <w:tcPr>
            <w:tcW w:w="2451" w:type="dxa"/>
          </w:tcPr>
          <w:p w:rsidR="003B0468" w:rsidRPr="00255C54" w:rsidRDefault="003B0468" w:rsidP="009D672F">
            <w:pPr>
              <w:pStyle w:val="Para0s"/>
              <w:spacing w:after="0"/>
              <w:rPr>
                <w:lang w:val="el-GR"/>
              </w:rPr>
            </w:pPr>
          </w:p>
        </w:tc>
        <w:tc>
          <w:tcPr>
            <w:tcW w:w="2404" w:type="dxa"/>
          </w:tcPr>
          <w:p w:rsidR="003B0468" w:rsidRPr="00255C54" w:rsidRDefault="003B0468" w:rsidP="009D672F">
            <w:pPr>
              <w:pStyle w:val="Para0s"/>
              <w:spacing w:after="0"/>
              <w:rPr>
                <w:lang w:val="el-GR"/>
              </w:rPr>
            </w:pPr>
            <w:r w:rsidRPr="00255C54">
              <w:rPr>
                <w:lang w:val="el-GR"/>
              </w:rPr>
              <w:t>Λεμφαδενοπάθεια</w:t>
            </w:r>
          </w:p>
        </w:tc>
      </w:tr>
      <w:tr w:rsidR="00A85E2F" w:rsidRPr="00255C54" w:rsidTr="00255C54">
        <w:tc>
          <w:tcPr>
            <w:tcW w:w="2363" w:type="dxa"/>
          </w:tcPr>
          <w:p w:rsidR="00A85E2F" w:rsidRPr="00255C54" w:rsidRDefault="00A85E2F" w:rsidP="009D672F">
            <w:pPr>
              <w:pStyle w:val="Para0s"/>
              <w:spacing w:after="0"/>
              <w:rPr>
                <w:lang w:val="el-GR"/>
              </w:rPr>
            </w:pPr>
            <w:r w:rsidRPr="00255C54">
              <w:rPr>
                <w:lang w:val="el-GR"/>
              </w:rPr>
              <w:t>Διαταραχές του αναπνευστικού συστήματος, του θώρακα και του μεσοθωρακίου</w:t>
            </w:r>
          </w:p>
        </w:tc>
        <w:tc>
          <w:tcPr>
            <w:tcW w:w="2354" w:type="dxa"/>
          </w:tcPr>
          <w:p w:rsidR="00A85E2F" w:rsidRPr="00255C54" w:rsidRDefault="00A85E2F" w:rsidP="009D672F">
            <w:pPr>
              <w:pStyle w:val="Para0s"/>
              <w:spacing w:after="0"/>
              <w:rPr>
                <w:lang w:val="el-GR"/>
              </w:rPr>
            </w:pPr>
          </w:p>
        </w:tc>
        <w:tc>
          <w:tcPr>
            <w:tcW w:w="2451" w:type="dxa"/>
          </w:tcPr>
          <w:p w:rsidR="00A85E2F" w:rsidRPr="00255C54" w:rsidRDefault="00A85E2F" w:rsidP="009D672F">
            <w:pPr>
              <w:pStyle w:val="Para0s"/>
              <w:spacing w:after="0"/>
              <w:rPr>
                <w:lang w:val="el-GR"/>
              </w:rPr>
            </w:pPr>
          </w:p>
        </w:tc>
        <w:tc>
          <w:tcPr>
            <w:tcW w:w="2404" w:type="dxa"/>
          </w:tcPr>
          <w:p w:rsidR="00A85E2F" w:rsidRPr="00255C54" w:rsidRDefault="00A85E2F" w:rsidP="009D672F">
            <w:pPr>
              <w:pStyle w:val="Para0s"/>
              <w:spacing w:after="0"/>
              <w:rPr>
                <w:lang w:val="el-GR"/>
              </w:rPr>
            </w:pPr>
            <w:r w:rsidRPr="00255C54">
              <w:rPr>
                <w:lang w:val="el-GR"/>
              </w:rPr>
              <w:t>Άσθμα</w:t>
            </w:r>
          </w:p>
          <w:p w:rsidR="00A85E2F" w:rsidRPr="00255C54" w:rsidRDefault="00A85E2F" w:rsidP="009D672F">
            <w:pPr>
              <w:pStyle w:val="Para0s"/>
              <w:spacing w:after="0"/>
              <w:rPr>
                <w:lang w:val="el-GR"/>
              </w:rPr>
            </w:pPr>
            <w:r w:rsidRPr="00255C54">
              <w:rPr>
                <w:lang w:val="el-GR"/>
              </w:rPr>
              <w:t>Δύσπνοια</w:t>
            </w:r>
          </w:p>
          <w:p w:rsidR="00A85E2F" w:rsidRPr="00255C54" w:rsidRDefault="00A85E2F" w:rsidP="009D672F">
            <w:pPr>
              <w:pStyle w:val="Para0s"/>
              <w:spacing w:after="0"/>
              <w:rPr>
                <w:lang w:val="el-GR"/>
              </w:rPr>
            </w:pPr>
            <w:r w:rsidRPr="00255C54">
              <w:rPr>
                <w:lang w:val="el-GR"/>
              </w:rPr>
              <w:t>Επίσταξη</w:t>
            </w:r>
          </w:p>
        </w:tc>
      </w:tr>
      <w:tr w:rsidR="00A85E2F" w:rsidRPr="00255C54" w:rsidTr="00255C54">
        <w:tc>
          <w:tcPr>
            <w:tcW w:w="2363" w:type="dxa"/>
          </w:tcPr>
          <w:p w:rsidR="00A85E2F" w:rsidRPr="00255C54" w:rsidRDefault="00A85E2F" w:rsidP="009D672F">
            <w:pPr>
              <w:pStyle w:val="Para0s"/>
              <w:spacing w:after="0"/>
              <w:rPr>
                <w:lang w:val="el-GR"/>
              </w:rPr>
            </w:pPr>
            <w:r w:rsidRPr="00255C54">
              <w:rPr>
                <w:lang w:val="el-GR"/>
              </w:rPr>
              <w:t xml:space="preserve">Γενικές διαταραχές και καταστάσεις της οδού χορήγησης </w:t>
            </w:r>
          </w:p>
        </w:tc>
        <w:tc>
          <w:tcPr>
            <w:tcW w:w="2354" w:type="dxa"/>
          </w:tcPr>
          <w:p w:rsidR="00A85E2F" w:rsidRPr="00255C54" w:rsidRDefault="00A85E2F" w:rsidP="009D672F">
            <w:pPr>
              <w:pStyle w:val="Para0s"/>
              <w:spacing w:after="0"/>
              <w:rPr>
                <w:lang w:val="el-GR"/>
              </w:rPr>
            </w:pPr>
          </w:p>
        </w:tc>
        <w:tc>
          <w:tcPr>
            <w:tcW w:w="2451" w:type="dxa"/>
          </w:tcPr>
          <w:p w:rsidR="00A85E2F" w:rsidRPr="00255C54" w:rsidRDefault="00A85E2F" w:rsidP="009D672F">
            <w:pPr>
              <w:pStyle w:val="Para0s"/>
              <w:spacing w:after="0"/>
              <w:rPr>
                <w:lang w:val="el-GR"/>
              </w:rPr>
            </w:pPr>
            <w:r w:rsidRPr="00255C54">
              <w:rPr>
                <w:lang w:val="el-GR"/>
              </w:rPr>
              <w:t>Κόπωση</w:t>
            </w:r>
          </w:p>
          <w:p w:rsidR="00A85E2F" w:rsidRPr="00255C54" w:rsidRDefault="00A85E2F" w:rsidP="009D672F">
            <w:pPr>
              <w:pStyle w:val="Para0s"/>
              <w:spacing w:after="0"/>
              <w:rPr>
                <w:lang w:val="el-GR"/>
              </w:rPr>
            </w:pPr>
            <w:r w:rsidRPr="00255C54">
              <w:rPr>
                <w:lang w:val="el-GR"/>
              </w:rPr>
              <w:t>Ε</w:t>
            </w:r>
            <w:r w:rsidRPr="003B0D84">
              <w:t>υερεθιστότητα</w:t>
            </w:r>
          </w:p>
          <w:p w:rsidR="00A85E2F" w:rsidRPr="00255C54" w:rsidRDefault="00A85E2F" w:rsidP="009D672F">
            <w:pPr>
              <w:pStyle w:val="Para0s"/>
              <w:spacing w:after="0"/>
              <w:rPr>
                <w:lang w:val="el-GR"/>
              </w:rPr>
            </w:pPr>
            <w:r w:rsidRPr="00255C54">
              <w:rPr>
                <w:lang w:val="el-GR"/>
              </w:rPr>
              <w:t>Οίδημα</w:t>
            </w:r>
            <w:r w:rsidRPr="00255C54">
              <w:rPr>
                <w:vertAlign w:val="superscript"/>
                <w:lang w:val="el-GR"/>
              </w:rPr>
              <w:t>18</w:t>
            </w:r>
            <w:r w:rsidRPr="00255C54">
              <w:rPr>
                <w:lang w:val="el-GR"/>
              </w:rPr>
              <w:t xml:space="preserve"> </w:t>
            </w:r>
          </w:p>
        </w:tc>
        <w:tc>
          <w:tcPr>
            <w:tcW w:w="2404" w:type="dxa"/>
          </w:tcPr>
          <w:p w:rsidR="00A85E2F" w:rsidRPr="00255C54" w:rsidRDefault="00CA5706" w:rsidP="009D672F">
            <w:pPr>
              <w:pStyle w:val="Para0s"/>
              <w:spacing w:after="0"/>
              <w:rPr>
                <w:lang w:val="el-GR"/>
              </w:rPr>
            </w:pPr>
            <w:r w:rsidRPr="00255C54">
              <w:rPr>
                <w:lang w:val="el-GR"/>
              </w:rPr>
              <w:t>Θωρακικό άλγος</w:t>
            </w:r>
          </w:p>
          <w:p w:rsidR="00A85E2F" w:rsidRPr="00255C54" w:rsidRDefault="00A85E2F" w:rsidP="009D672F">
            <w:pPr>
              <w:pStyle w:val="Para0s"/>
              <w:spacing w:after="0"/>
              <w:rPr>
                <w:lang w:val="el-GR"/>
              </w:rPr>
            </w:pPr>
            <w:r w:rsidRPr="00255C54">
              <w:rPr>
                <w:lang w:val="el-GR"/>
              </w:rPr>
              <w:t>Αδιαθεσία</w:t>
            </w:r>
          </w:p>
          <w:p w:rsidR="00A85E2F" w:rsidRPr="00255C54" w:rsidRDefault="00A85E2F" w:rsidP="009D672F">
            <w:pPr>
              <w:pStyle w:val="Para0s"/>
              <w:spacing w:after="0"/>
              <w:rPr>
                <w:lang w:val="el-GR"/>
              </w:rPr>
            </w:pPr>
            <w:r w:rsidRPr="00255C54">
              <w:rPr>
                <w:lang w:val="el-GR"/>
              </w:rPr>
              <w:t>Πυρεξία</w:t>
            </w:r>
          </w:p>
        </w:tc>
      </w:tr>
      <w:tr w:rsidR="00A85E2F" w:rsidRPr="00255C54" w:rsidTr="00255C54">
        <w:tc>
          <w:tcPr>
            <w:tcW w:w="2363" w:type="dxa"/>
          </w:tcPr>
          <w:p w:rsidR="00A85E2F" w:rsidRPr="00255C54" w:rsidRDefault="00CC2DA9" w:rsidP="009D672F">
            <w:pPr>
              <w:pStyle w:val="Para0s"/>
              <w:spacing w:after="0"/>
              <w:rPr>
                <w:lang w:val="el-GR"/>
              </w:rPr>
            </w:pPr>
            <w:r w:rsidRPr="00255C54">
              <w:rPr>
                <w:lang w:val="el-GR"/>
              </w:rPr>
              <w:t>Παρακλινικές εξετάσεις</w:t>
            </w:r>
            <w:r w:rsidR="00A85E2F" w:rsidRPr="00255C54">
              <w:rPr>
                <w:lang w:val="el-GR"/>
              </w:rPr>
              <w:t xml:space="preserve"> </w:t>
            </w:r>
          </w:p>
        </w:tc>
        <w:tc>
          <w:tcPr>
            <w:tcW w:w="2354" w:type="dxa"/>
          </w:tcPr>
          <w:p w:rsidR="00A85E2F" w:rsidRPr="00255C54" w:rsidRDefault="00A85E2F" w:rsidP="009D672F">
            <w:pPr>
              <w:pStyle w:val="Para0s"/>
              <w:spacing w:after="0"/>
              <w:rPr>
                <w:lang w:val="el-GR"/>
              </w:rPr>
            </w:pPr>
            <w:r w:rsidRPr="00255C54">
              <w:rPr>
                <w:lang w:val="el-GR"/>
              </w:rPr>
              <w:t xml:space="preserve">Αύξηση βάρους </w:t>
            </w:r>
          </w:p>
        </w:tc>
        <w:tc>
          <w:tcPr>
            <w:tcW w:w="2451" w:type="dxa"/>
          </w:tcPr>
          <w:p w:rsidR="00A85E2F" w:rsidRPr="00255C54" w:rsidRDefault="00A85E2F" w:rsidP="009D672F">
            <w:pPr>
              <w:pStyle w:val="Para0s"/>
              <w:spacing w:after="0"/>
              <w:rPr>
                <w:lang w:val="el-GR"/>
              </w:rPr>
            </w:pPr>
            <w:r w:rsidRPr="00255C54">
              <w:rPr>
                <w:lang w:val="el-GR"/>
              </w:rPr>
              <w:t xml:space="preserve">Μείωση βάρους </w:t>
            </w:r>
          </w:p>
          <w:p w:rsidR="00A85E2F" w:rsidRPr="00255C54" w:rsidRDefault="00A85E2F" w:rsidP="009D672F">
            <w:pPr>
              <w:pStyle w:val="Para0s"/>
              <w:spacing w:after="0"/>
              <w:rPr>
                <w:vertAlign w:val="superscript"/>
                <w:lang w:val="el-GR"/>
              </w:rPr>
            </w:pPr>
            <w:r w:rsidRPr="00255C54">
              <w:rPr>
                <w:lang w:val="el-GR"/>
              </w:rPr>
              <w:t>Μεταβολές στην αρτηριακή πίεση</w:t>
            </w:r>
            <w:r w:rsidRPr="00255C54">
              <w:rPr>
                <w:vertAlign w:val="superscript"/>
                <w:lang w:val="el-GR"/>
              </w:rPr>
              <w:t>19</w:t>
            </w:r>
          </w:p>
        </w:tc>
        <w:tc>
          <w:tcPr>
            <w:tcW w:w="2404" w:type="dxa"/>
          </w:tcPr>
          <w:p w:rsidR="00A85E2F" w:rsidRPr="00255C54" w:rsidRDefault="00CA5706" w:rsidP="009D672F">
            <w:pPr>
              <w:pStyle w:val="Para0s"/>
              <w:spacing w:after="0"/>
              <w:rPr>
                <w:lang w:val="el-GR"/>
              </w:rPr>
            </w:pPr>
            <w:r w:rsidRPr="00255C54">
              <w:rPr>
                <w:lang w:val="el-GR"/>
              </w:rPr>
              <w:t>Παθολογικό</w:t>
            </w:r>
            <w:r w:rsidR="003135BF" w:rsidRPr="00255C54">
              <w:rPr>
                <w:lang w:val="el-GR"/>
              </w:rPr>
              <w:t xml:space="preserve"> τραχηλικό επίχρισμα </w:t>
            </w:r>
          </w:p>
        </w:tc>
      </w:tr>
    </w:tbl>
    <w:p w:rsidR="000658F8" w:rsidRDefault="000658F8" w:rsidP="009D672F">
      <w:pPr>
        <w:pStyle w:val="Para0s"/>
        <w:spacing w:after="0"/>
        <w:rPr>
          <w:sz w:val="20"/>
          <w:szCs w:val="20"/>
          <w:lang w:val="el-GR"/>
        </w:rPr>
      </w:pPr>
      <w:r w:rsidRPr="003B0D84">
        <w:rPr>
          <w:sz w:val="20"/>
          <w:szCs w:val="20"/>
          <w:vertAlign w:val="superscript"/>
          <w:lang w:val="el-GR"/>
        </w:rPr>
        <w:t xml:space="preserve">1 </w:t>
      </w:r>
      <w:r w:rsidR="00465199">
        <w:rPr>
          <w:sz w:val="20"/>
          <w:szCs w:val="20"/>
          <w:lang w:val="el-GR"/>
        </w:rPr>
        <w:t>Συμπεριλαμβανομένης αιδοιοκολπικής κ</w:t>
      </w:r>
      <w:r w:rsidR="00250D4E">
        <w:rPr>
          <w:sz w:val="20"/>
          <w:szCs w:val="20"/>
          <w:lang w:val="el-GR"/>
        </w:rPr>
        <w:t>αντιντίασης</w:t>
      </w:r>
      <w:r w:rsidR="00EA2DAC">
        <w:rPr>
          <w:sz w:val="20"/>
          <w:szCs w:val="20"/>
          <w:lang w:val="el-GR"/>
        </w:rPr>
        <w:t xml:space="preserve"> και ταυτοποιημένου δείγματος μύκητα τραχήλου</w:t>
      </w:r>
    </w:p>
    <w:p w:rsidR="00EA2DAC" w:rsidRDefault="00EA2DAC" w:rsidP="009D672F">
      <w:pPr>
        <w:pStyle w:val="Para0s"/>
        <w:spacing w:after="0"/>
        <w:rPr>
          <w:sz w:val="20"/>
          <w:szCs w:val="20"/>
          <w:lang w:val="el-GR"/>
        </w:rPr>
      </w:pPr>
      <w:r>
        <w:rPr>
          <w:sz w:val="20"/>
          <w:szCs w:val="20"/>
          <w:vertAlign w:val="superscript"/>
          <w:lang w:val="el-GR"/>
        </w:rPr>
        <w:t xml:space="preserve">2 </w:t>
      </w:r>
      <w:r>
        <w:rPr>
          <w:sz w:val="20"/>
          <w:szCs w:val="20"/>
          <w:lang w:val="el-GR"/>
        </w:rPr>
        <w:t>Συμπεριλαμβανομένου κλάματος και συναισθηματικής αστάθειας</w:t>
      </w:r>
    </w:p>
    <w:p w:rsidR="00EA2DAC" w:rsidRPr="002A2AAD" w:rsidRDefault="00EA2DAC" w:rsidP="009D672F">
      <w:pPr>
        <w:pStyle w:val="Para0s"/>
        <w:spacing w:after="0"/>
        <w:rPr>
          <w:sz w:val="20"/>
          <w:szCs w:val="20"/>
          <w:lang w:val="el-GR"/>
        </w:rPr>
      </w:pPr>
      <w:r>
        <w:rPr>
          <w:sz w:val="20"/>
          <w:szCs w:val="20"/>
          <w:vertAlign w:val="superscript"/>
          <w:lang w:val="el-GR"/>
        </w:rPr>
        <w:t>3</w:t>
      </w:r>
      <w:r>
        <w:rPr>
          <w:sz w:val="20"/>
          <w:szCs w:val="20"/>
          <w:lang w:val="el-GR"/>
        </w:rPr>
        <w:t xml:space="preserve"> Συμ</w:t>
      </w:r>
      <w:r w:rsidR="00250D4E">
        <w:rPr>
          <w:sz w:val="20"/>
          <w:szCs w:val="20"/>
          <w:lang w:val="el-GR"/>
        </w:rPr>
        <w:t>περιλαμβανομένης απώλειας</w:t>
      </w:r>
      <w:r>
        <w:rPr>
          <w:sz w:val="20"/>
          <w:szCs w:val="20"/>
          <w:lang w:val="el-GR"/>
        </w:rPr>
        <w:t xml:space="preserve"> της </w:t>
      </w:r>
      <w:r w:rsidR="002A2AAD">
        <w:rPr>
          <w:sz w:val="20"/>
          <w:szCs w:val="20"/>
          <w:lang w:val="el-GR"/>
        </w:rPr>
        <w:t>γενετήσιας ορμή</w:t>
      </w:r>
      <w:r w:rsidR="00250D4E">
        <w:rPr>
          <w:sz w:val="20"/>
          <w:szCs w:val="20"/>
          <w:lang w:val="el-GR"/>
        </w:rPr>
        <w:t>ς</w:t>
      </w:r>
    </w:p>
    <w:p w:rsidR="00EA2DAC" w:rsidRDefault="00EA2DAC" w:rsidP="009D672F">
      <w:pPr>
        <w:pStyle w:val="Para0s"/>
        <w:spacing w:after="0"/>
        <w:rPr>
          <w:sz w:val="20"/>
          <w:szCs w:val="20"/>
          <w:lang w:val="el-GR"/>
        </w:rPr>
      </w:pPr>
      <w:r>
        <w:rPr>
          <w:sz w:val="20"/>
          <w:szCs w:val="20"/>
          <w:vertAlign w:val="superscript"/>
          <w:lang w:val="el-GR"/>
        </w:rPr>
        <w:t>4</w:t>
      </w:r>
      <w:r w:rsidR="00B17668">
        <w:rPr>
          <w:sz w:val="20"/>
          <w:szCs w:val="20"/>
          <w:vertAlign w:val="superscript"/>
          <w:lang w:val="el-GR"/>
        </w:rPr>
        <w:t xml:space="preserve"> </w:t>
      </w:r>
      <w:r>
        <w:rPr>
          <w:sz w:val="20"/>
          <w:szCs w:val="20"/>
          <w:lang w:val="el-GR"/>
        </w:rPr>
        <w:t>Συμπεριλαμβανομένης αλλα</w:t>
      </w:r>
      <w:r w:rsidR="00250D4E">
        <w:rPr>
          <w:sz w:val="20"/>
          <w:szCs w:val="20"/>
          <w:lang w:val="el-GR"/>
        </w:rPr>
        <w:t>γή</w:t>
      </w:r>
      <w:r>
        <w:rPr>
          <w:sz w:val="20"/>
          <w:szCs w:val="20"/>
          <w:lang w:val="el-GR"/>
        </w:rPr>
        <w:t xml:space="preserve">ς </w:t>
      </w:r>
      <w:r w:rsidR="00250D4E">
        <w:rPr>
          <w:sz w:val="20"/>
          <w:szCs w:val="20"/>
          <w:lang w:val="el-GR"/>
        </w:rPr>
        <w:t xml:space="preserve">της </w:t>
      </w:r>
      <w:r>
        <w:rPr>
          <w:sz w:val="20"/>
          <w:szCs w:val="20"/>
          <w:lang w:val="el-GR"/>
        </w:rPr>
        <w:t>διάθεσης και</w:t>
      </w:r>
      <w:r w:rsidR="00250D4E">
        <w:rPr>
          <w:sz w:val="20"/>
          <w:szCs w:val="20"/>
          <w:lang w:val="el-GR"/>
        </w:rPr>
        <w:t xml:space="preserve"> μεταβολών</w:t>
      </w:r>
      <w:r>
        <w:rPr>
          <w:sz w:val="20"/>
          <w:szCs w:val="20"/>
          <w:lang w:val="el-GR"/>
        </w:rPr>
        <w:t xml:space="preserve"> </w:t>
      </w:r>
      <w:r w:rsidR="00250D4E">
        <w:rPr>
          <w:sz w:val="20"/>
          <w:szCs w:val="20"/>
          <w:lang w:val="el-GR"/>
        </w:rPr>
        <w:t>αυτής</w:t>
      </w:r>
    </w:p>
    <w:p w:rsidR="00EA2DAC" w:rsidRPr="00EA2DAC" w:rsidRDefault="00EA2DAC" w:rsidP="009D672F">
      <w:pPr>
        <w:pStyle w:val="Para0s"/>
        <w:spacing w:after="0"/>
        <w:rPr>
          <w:sz w:val="20"/>
          <w:szCs w:val="20"/>
          <w:lang w:val="el-GR"/>
        </w:rPr>
      </w:pPr>
      <w:r>
        <w:rPr>
          <w:sz w:val="20"/>
          <w:szCs w:val="20"/>
          <w:vertAlign w:val="superscript"/>
          <w:lang w:val="el-GR"/>
        </w:rPr>
        <w:t>5</w:t>
      </w:r>
      <w:r w:rsidR="0043574D">
        <w:rPr>
          <w:sz w:val="20"/>
          <w:szCs w:val="20"/>
          <w:lang w:val="el-GR"/>
        </w:rPr>
        <w:t xml:space="preserve"> Συμπεριλαμβανομ</w:t>
      </w:r>
      <w:r w:rsidR="00555125">
        <w:rPr>
          <w:sz w:val="20"/>
          <w:szCs w:val="20"/>
          <w:lang w:val="el-GR"/>
        </w:rPr>
        <w:t>έ</w:t>
      </w:r>
      <w:r w:rsidR="00250D4E">
        <w:rPr>
          <w:sz w:val="20"/>
          <w:szCs w:val="20"/>
          <w:lang w:val="el-GR"/>
        </w:rPr>
        <w:t>ν</w:t>
      </w:r>
      <w:r w:rsidR="00555125">
        <w:rPr>
          <w:sz w:val="20"/>
          <w:szCs w:val="20"/>
          <w:lang w:val="el-GR"/>
        </w:rPr>
        <w:t>ης κεφαλα</w:t>
      </w:r>
      <w:r w:rsidR="00250D4E">
        <w:rPr>
          <w:sz w:val="20"/>
          <w:szCs w:val="20"/>
          <w:lang w:val="el-GR"/>
        </w:rPr>
        <w:t>λ</w:t>
      </w:r>
      <w:r w:rsidR="00555125">
        <w:rPr>
          <w:sz w:val="20"/>
          <w:szCs w:val="20"/>
          <w:lang w:val="el-GR"/>
        </w:rPr>
        <w:t>γίας</w:t>
      </w:r>
      <w:r w:rsidR="0043574D">
        <w:rPr>
          <w:sz w:val="20"/>
          <w:szCs w:val="20"/>
          <w:lang w:val="el-GR"/>
        </w:rPr>
        <w:t xml:space="preserve"> τάσης και </w:t>
      </w:r>
      <w:r w:rsidR="00555125">
        <w:rPr>
          <w:sz w:val="20"/>
          <w:szCs w:val="20"/>
          <w:lang w:val="el-GR"/>
        </w:rPr>
        <w:t>κεφαλαλγίας</w:t>
      </w:r>
      <w:r>
        <w:rPr>
          <w:sz w:val="20"/>
          <w:szCs w:val="20"/>
          <w:lang w:val="el-GR"/>
        </w:rPr>
        <w:t xml:space="preserve"> </w:t>
      </w:r>
      <w:r w:rsidR="00250D4E">
        <w:rPr>
          <w:sz w:val="20"/>
          <w:szCs w:val="20"/>
          <w:lang w:val="el-GR"/>
        </w:rPr>
        <w:t>σπλαχνικού κρανίου</w:t>
      </w:r>
    </w:p>
    <w:p w:rsidR="000658F8" w:rsidRDefault="00555125" w:rsidP="009D672F">
      <w:pPr>
        <w:pStyle w:val="Para0s"/>
        <w:spacing w:after="0"/>
        <w:rPr>
          <w:sz w:val="20"/>
          <w:szCs w:val="20"/>
          <w:lang w:val="el-GR"/>
        </w:rPr>
      </w:pPr>
      <w:r>
        <w:rPr>
          <w:sz w:val="20"/>
          <w:szCs w:val="20"/>
          <w:vertAlign w:val="superscript"/>
          <w:lang w:val="el-GR"/>
        </w:rPr>
        <w:t>6</w:t>
      </w:r>
      <w:r w:rsidR="000658F8" w:rsidRPr="003B0D84">
        <w:rPr>
          <w:sz w:val="20"/>
          <w:szCs w:val="20"/>
          <w:lang w:val="el-GR"/>
        </w:rPr>
        <w:t xml:space="preserve"> Συμπεριλαμβανομένης ημικρανίας με αύρα και ημικρανία</w:t>
      </w:r>
      <w:r w:rsidR="00250D4E">
        <w:rPr>
          <w:sz w:val="20"/>
          <w:szCs w:val="20"/>
          <w:lang w:val="el-GR"/>
        </w:rPr>
        <w:t>ς</w:t>
      </w:r>
      <w:r w:rsidR="000658F8" w:rsidRPr="003B0D84">
        <w:rPr>
          <w:sz w:val="20"/>
          <w:szCs w:val="20"/>
          <w:lang w:val="el-GR"/>
        </w:rPr>
        <w:t xml:space="preserve"> χωρίς αύρα</w:t>
      </w:r>
    </w:p>
    <w:p w:rsidR="009968C8" w:rsidRPr="009968C8" w:rsidRDefault="009968C8" w:rsidP="009D672F">
      <w:pPr>
        <w:pStyle w:val="Para0s"/>
        <w:spacing w:after="0"/>
        <w:rPr>
          <w:sz w:val="20"/>
          <w:szCs w:val="20"/>
          <w:lang w:val="el-GR"/>
        </w:rPr>
      </w:pPr>
      <w:r>
        <w:rPr>
          <w:sz w:val="20"/>
          <w:szCs w:val="20"/>
          <w:vertAlign w:val="superscript"/>
          <w:lang w:val="el-GR"/>
        </w:rPr>
        <w:t>7</w:t>
      </w:r>
      <w:r w:rsidR="00B17668">
        <w:rPr>
          <w:sz w:val="20"/>
          <w:szCs w:val="20"/>
          <w:vertAlign w:val="superscript"/>
          <w:lang w:val="el-GR"/>
        </w:rPr>
        <w:t xml:space="preserve"> </w:t>
      </w:r>
      <w:r>
        <w:rPr>
          <w:sz w:val="20"/>
          <w:szCs w:val="20"/>
          <w:lang w:val="el-GR"/>
        </w:rPr>
        <w:t>Συμπεριλαμβανομένης κ</w:t>
      </w:r>
      <w:r w:rsidR="00250D4E">
        <w:rPr>
          <w:sz w:val="20"/>
          <w:szCs w:val="20"/>
          <w:lang w:val="el-GR"/>
        </w:rPr>
        <w:t>οιλιακής διάτασης, κοιλιακού άλγους άνω και κάτω κοιλίας</w:t>
      </w:r>
      <w:r>
        <w:rPr>
          <w:sz w:val="20"/>
          <w:szCs w:val="20"/>
          <w:lang w:val="el-GR"/>
        </w:rPr>
        <w:t xml:space="preserve">  </w:t>
      </w:r>
    </w:p>
    <w:p w:rsidR="000658F8" w:rsidRDefault="009968C8" w:rsidP="009D672F">
      <w:pPr>
        <w:pStyle w:val="Para0s"/>
        <w:spacing w:after="0"/>
        <w:rPr>
          <w:sz w:val="20"/>
          <w:szCs w:val="20"/>
          <w:lang w:val="el-GR"/>
        </w:rPr>
      </w:pPr>
      <w:r>
        <w:rPr>
          <w:sz w:val="20"/>
          <w:szCs w:val="20"/>
          <w:vertAlign w:val="superscript"/>
          <w:lang w:val="el-GR"/>
        </w:rPr>
        <w:t>8</w:t>
      </w:r>
      <w:r w:rsidR="000658F8" w:rsidRPr="003B0D84">
        <w:rPr>
          <w:sz w:val="20"/>
          <w:szCs w:val="20"/>
          <w:lang w:val="el-GR"/>
        </w:rPr>
        <w:t xml:space="preserve"> Συμπεριλαμβανομένη</w:t>
      </w:r>
      <w:r>
        <w:rPr>
          <w:sz w:val="20"/>
          <w:szCs w:val="20"/>
          <w:lang w:val="el-GR"/>
        </w:rPr>
        <w:t xml:space="preserve">ς </w:t>
      </w:r>
      <w:r w:rsidR="00250D4E">
        <w:rPr>
          <w:sz w:val="20"/>
          <w:szCs w:val="20"/>
          <w:lang w:val="el-GR"/>
        </w:rPr>
        <w:t>αύξησης της αλανι</w:t>
      </w:r>
      <w:r>
        <w:rPr>
          <w:sz w:val="20"/>
          <w:szCs w:val="20"/>
          <w:lang w:val="el-GR"/>
        </w:rPr>
        <w:t>ν</w:t>
      </w:r>
      <w:r w:rsidR="00250D4E">
        <w:rPr>
          <w:sz w:val="20"/>
          <w:szCs w:val="20"/>
          <w:lang w:val="el-GR"/>
        </w:rPr>
        <w:t>ική</w:t>
      </w:r>
      <w:r>
        <w:rPr>
          <w:sz w:val="20"/>
          <w:szCs w:val="20"/>
          <w:lang w:val="el-GR"/>
        </w:rPr>
        <w:t>ς αμινοτρ</w:t>
      </w:r>
      <w:r w:rsidR="00250D4E">
        <w:rPr>
          <w:sz w:val="20"/>
          <w:szCs w:val="20"/>
          <w:lang w:val="el-GR"/>
        </w:rPr>
        <w:t>ανσφεράσης, αύξηση της ασπαρτικής</w:t>
      </w:r>
      <w:r>
        <w:rPr>
          <w:sz w:val="20"/>
          <w:szCs w:val="20"/>
          <w:lang w:val="el-GR"/>
        </w:rPr>
        <w:t xml:space="preserve"> αμινοτρανσφεράσης και αύξηση της γ-γλουταμυλοτρανσφεράσης </w:t>
      </w:r>
    </w:p>
    <w:p w:rsidR="009968C8" w:rsidRPr="009968C8" w:rsidRDefault="009968C8" w:rsidP="009D672F">
      <w:pPr>
        <w:pStyle w:val="Para0s"/>
        <w:spacing w:after="0"/>
        <w:rPr>
          <w:sz w:val="20"/>
          <w:szCs w:val="20"/>
          <w:lang w:val="el-GR"/>
        </w:rPr>
      </w:pPr>
      <w:r>
        <w:rPr>
          <w:sz w:val="20"/>
          <w:szCs w:val="20"/>
          <w:vertAlign w:val="superscript"/>
          <w:lang w:val="el-GR"/>
        </w:rPr>
        <w:t xml:space="preserve">9 </w:t>
      </w:r>
      <w:r w:rsidR="00E968CA">
        <w:rPr>
          <w:sz w:val="20"/>
          <w:szCs w:val="20"/>
          <w:lang w:val="el-GR"/>
        </w:rPr>
        <w:t xml:space="preserve">Συμπεριλαμβανομένης </w:t>
      </w:r>
      <w:r w:rsidR="00250D4E">
        <w:rPr>
          <w:sz w:val="20"/>
          <w:szCs w:val="20"/>
          <w:lang w:val="el-GR"/>
        </w:rPr>
        <w:t>φλυκταινώδου</w:t>
      </w:r>
      <w:r w:rsidR="00E968CA">
        <w:rPr>
          <w:sz w:val="20"/>
          <w:szCs w:val="20"/>
          <w:lang w:val="el-GR"/>
        </w:rPr>
        <w:t xml:space="preserve">ς ακμής </w:t>
      </w:r>
    </w:p>
    <w:p w:rsidR="000658F8" w:rsidRPr="003B0D84" w:rsidRDefault="00E968CA" w:rsidP="009D672F">
      <w:pPr>
        <w:pStyle w:val="Para0s"/>
        <w:spacing w:after="0"/>
        <w:rPr>
          <w:sz w:val="20"/>
          <w:szCs w:val="20"/>
          <w:lang w:val="el-GR"/>
        </w:rPr>
      </w:pPr>
      <w:r>
        <w:rPr>
          <w:sz w:val="20"/>
          <w:szCs w:val="20"/>
          <w:vertAlign w:val="superscript"/>
          <w:lang w:val="el-GR"/>
        </w:rPr>
        <w:t>10</w:t>
      </w:r>
      <w:r w:rsidR="000658F8" w:rsidRPr="003B0D84">
        <w:rPr>
          <w:sz w:val="20"/>
          <w:szCs w:val="20"/>
          <w:lang w:val="el-GR"/>
        </w:rPr>
        <w:t xml:space="preserve"> Συμπεριλαμβανομένου γενικευμένου κνησμού και κνησμώδους εξανθήματος</w:t>
      </w:r>
    </w:p>
    <w:p w:rsidR="000658F8" w:rsidRPr="003B0D84" w:rsidRDefault="00E968CA" w:rsidP="009D672F">
      <w:pPr>
        <w:pStyle w:val="Para0s"/>
        <w:spacing w:after="0"/>
        <w:rPr>
          <w:sz w:val="20"/>
          <w:szCs w:val="20"/>
          <w:lang w:val="el-GR"/>
        </w:rPr>
      </w:pPr>
      <w:r>
        <w:rPr>
          <w:sz w:val="20"/>
          <w:szCs w:val="20"/>
          <w:vertAlign w:val="superscript"/>
          <w:lang w:val="el-GR"/>
        </w:rPr>
        <w:t>11</w:t>
      </w:r>
      <w:r w:rsidR="000658F8" w:rsidRPr="003B0D84">
        <w:rPr>
          <w:sz w:val="20"/>
          <w:szCs w:val="20"/>
          <w:vertAlign w:val="superscript"/>
          <w:lang w:val="el-GR"/>
        </w:rPr>
        <w:t xml:space="preserve"> </w:t>
      </w:r>
      <w:r w:rsidR="000658F8" w:rsidRPr="003B0D84">
        <w:rPr>
          <w:sz w:val="20"/>
          <w:szCs w:val="20"/>
          <w:lang w:val="el-GR"/>
        </w:rPr>
        <w:t xml:space="preserve">Συμπεριλαμβανομένου κηλιδώδους εξανθήματος  </w:t>
      </w:r>
    </w:p>
    <w:p w:rsidR="000658F8" w:rsidRPr="003B0D84" w:rsidRDefault="00E968CA" w:rsidP="009D672F">
      <w:pPr>
        <w:pStyle w:val="Para0s"/>
        <w:spacing w:after="0"/>
        <w:rPr>
          <w:sz w:val="20"/>
          <w:szCs w:val="20"/>
          <w:lang w:val="el-GR"/>
        </w:rPr>
      </w:pPr>
      <w:r>
        <w:rPr>
          <w:sz w:val="20"/>
          <w:szCs w:val="20"/>
          <w:vertAlign w:val="superscript"/>
          <w:lang w:val="el-GR"/>
        </w:rPr>
        <w:t>12</w:t>
      </w:r>
      <w:r w:rsidR="000658F8" w:rsidRPr="003B0D84">
        <w:rPr>
          <w:sz w:val="20"/>
          <w:szCs w:val="20"/>
          <w:lang w:val="el-GR"/>
        </w:rPr>
        <w:t xml:space="preserve"> Συμπεριλαμβανομένης αλλεργικής δερματίτιδας και κνίδωσης </w:t>
      </w:r>
    </w:p>
    <w:p w:rsidR="000658F8" w:rsidRPr="003B0D84" w:rsidRDefault="00E968CA" w:rsidP="009D672F">
      <w:pPr>
        <w:pStyle w:val="Para0s"/>
        <w:spacing w:after="0"/>
        <w:rPr>
          <w:sz w:val="20"/>
          <w:szCs w:val="20"/>
          <w:lang w:val="el-GR"/>
        </w:rPr>
      </w:pPr>
      <w:r>
        <w:rPr>
          <w:sz w:val="20"/>
          <w:szCs w:val="20"/>
          <w:vertAlign w:val="superscript"/>
          <w:lang w:val="el-GR"/>
        </w:rPr>
        <w:t>13</w:t>
      </w:r>
      <w:r w:rsidR="000658F8" w:rsidRPr="003B0D84">
        <w:rPr>
          <w:sz w:val="20"/>
          <w:szCs w:val="20"/>
          <w:vertAlign w:val="superscript"/>
          <w:lang w:val="el-GR"/>
        </w:rPr>
        <w:t xml:space="preserve"> </w:t>
      </w:r>
      <w:r w:rsidR="000658F8" w:rsidRPr="003B0D84">
        <w:rPr>
          <w:sz w:val="20"/>
          <w:szCs w:val="20"/>
          <w:lang w:val="el-GR"/>
        </w:rPr>
        <w:t xml:space="preserve">Συμπεριλαμβανομένης τάσης δέρματος </w:t>
      </w:r>
    </w:p>
    <w:p w:rsidR="000658F8" w:rsidRPr="003B0D84" w:rsidRDefault="00E968CA" w:rsidP="009D672F">
      <w:pPr>
        <w:pStyle w:val="Para0s"/>
        <w:spacing w:after="0"/>
        <w:rPr>
          <w:sz w:val="20"/>
          <w:szCs w:val="20"/>
          <w:lang w:val="el-GR"/>
        </w:rPr>
      </w:pPr>
      <w:r>
        <w:rPr>
          <w:sz w:val="20"/>
          <w:szCs w:val="20"/>
          <w:vertAlign w:val="superscript"/>
          <w:lang w:val="el-GR"/>
        </w:rPr>
        <w:t>14</w:t>
      </w:r>
      <w:r w:rsidR="000658F8" w:rsidRPr="003B0D84">
        <w:rPr>
          <w:sz w:val="20"/>
          <w:szCs w:val="20"/>
          <w:lang w:val="el-GR"/>
        </w:rPr>
        <w:t xml:space="preserve"> Συμπεριλαμβανομένου άλγους μαστών, </w:t>
      </w:r>
      <w:r>
        <w:rPr>
          <w:sz w:val="20"/>
          <w:szCs w:val="20"/>
          <w:lang w:val="el-GR"/>
        </w:rPr>
        <w:t>ευαισθησία</w:t>
      </w:r>
      <w:r w:rsidR="00250D4E">
        <w:rPr>
          <w:sz w:val="20"/>
          <w:szCs w:val="20"/>
          <w:lang w:val="el-GR"/>
        </w:rPr>
        <w:t>ς</w:t>
      </w:r>
      <w:r>
        <w:rPr>
          <w:sz w:val="20"/>
          <w:szCs w:val="20"/>
          <w:lang w:val="el-GR"/>
        </w:rPr>
        <w:t xml:space="preserve"> μαστών</w:t>
      </w:r>
      <w:r w:rsidR="00250D4E">
        <w:rPr>
          <w:sz w:val="20"/>
          <w:szCs w:val="20"/>
          <w:lang w:val="el-GR"/>
        </w:rPr>
        <w:t>, διαταραχής θηλών</w:t>
      </w:r>
      <w:r w:rsidR="000658F8" w:rsidRPr="003B0D84">
        <w:rPr>
          <w:sz w:val="20"/>
          <w:szCs w:val="20"/>
          <w:lang w:val="el-GR"/>
        </w:rPr>
        <w:t xml:space="preserve"> και άλγους θηλών</w:t>
      </w:r>
    </w:p>
    <w:p w:rsidR="000658F8" w:rsidRDefault="00E968CA" w:rsidP="009D672F">
      <w:pPr>
        <w:pStyle w:val="Para0s"/>
        <w:spacing w:after="0"/>
        <w:rPr>
          <w:sz w:val="20"/>
          <w:szCs w:val="20"/>
          <w:lang w:val="el-GR"/>
        </w:rPr>
      </w:pPr>
      <w:r>
        <w:rPr>
          <w:sz w:val="20"/>
          <w:szCs w:val="20"/>
          <w:vertAlign w:val="superscript"/>
          <w:lang w:val="el-GR"/>
        </w:rPr>
        <w:t>15</w:t>
      </w:r>
      <w:r w:rsidR="000658F8" w:rsidRPr="003B0D84">
        <w:rPr>
          <w:sz w:val="20"/>
          <w:szCs w:val="20"/>
          <w:lang w:val="el-GR"/>
        </w:rPr>
        <w:t xml:space="preserve"> Συμπεριλ</w:t>
      </w:r>
      <w:r w:rsidR="00250D4E">
        <w:rPr>
          <w:sz w:val="20"/>
          <w:szCs w:val="20"/>
          <w:lang w:val="el-GR"/>
        </w:rPr>
        <w:t>αμβανομένης ακανόνιστης εμμηνορρυσίας</w:t>
      </w:r>
    </w:p>
    <w:p w:rsidR="00E968CA" w:rsidRDefault="00E968CA" w:rsidP="009D672F">
      <w:pPr>
        <w:pStyle w:val="Para0s"/>
        <w:spacing w:after="0"/>
        <w:rPr>
          <w:sz w:val="20"/>
          <w:szCs w:val="20"/>
          <w:lang w:val="el-GR"/>
        </w:rPr>
      </w:pPr>
      <w:r>
        <w:rPr>
          <w:sz w:val="20"/>
          <w:szCs w:val="20"/>
          <w:vertAlign w:val="superscript"/>
          <w:lang w:val="el-GR"/>
        </w:rPr>
        <w:t>16</w:t>
      </w:r>
      <w:r>
        <w:rPr>
          <w:sz w:val="20"/>
          <w:szCs w:val="20"/>
          <w:lang w:val="el-GR"/>
        </w:rPr>
        <w:t xml:space="preserve"> Συμπεριλαμβανομένου οιδήματος μαστών</w:t>
      </w:r>
    </w:p>
    <w:p w:rsidR="00E968CA" w:rsidRDefault="00E968CA" w:rsidP="009D672F">
      <w:pPr>
        <w:pStyle w:val="Para0s"/>
        <w:spacing w:after="0"/>
        <w:rPr>
          <w:sz w:val="20"/>
          <w:szCs w:val="20"/>
          <w:lang w:val="el-GR"/>
        </w:rPr>
      </w:pPr>
      <w:r>
        <w:rPr>
          <w:sz w:val="20"/>
          <w:szCs w:val="20"/>
          <w:vertAlign w:val="superscript"/>
          <w:lang w:val="el-GR"/>
        </w:rPr>
        <w:t>17</w:t>
      </w:r>
      <w:r>
        <w:rPr>
          <w:sz w:val="20"/>
          <w:szCs w:val="20"/>
          <w:lang w:val="el-GR"/>
        </w:rPr>
        <w:t xml:space="preserve"> Συμπεριλαμβανομένης κολπικής αιμορραγίας, αιμορραγία</w:t>
      </w:r>
      <w:r w:rsidR="00250D4E">
        <w:rPr>
          <w:sz w:val="20"/>
          <w:szCs w:val="20"/>
          <w:lang w:val="el-GR"/>
        </w:rPr>
        <w:t>ς</w:t>
      </w:r>
      <w:r>
        <w:rPr>
          <w:sz w:val="20"/>
          <w:szCs w:val="20"/>
          <w:lang w:val="el-GR"/>
        </w:rPr>
        <w:t xml:space="preserve"> γεν</w:t>
      </w:r>
      <w:r w:rsidR="00250D4E">
        <w:rPr>
          <w:sz w:val="20"/>
          <w:szCs w:val="20"/>
          <w:lang w:val="el-GR"/>
        </w:rPr>
        <w:t>ν</w:t>
      </w:r>
      <w:r>
        <w:rPr>
          <w:sz w:val="20"/>
          <w:szCs w:val="20"/>
          <w:lang w:val="el-GR"/>
        </w:rPr>
        <w:t>ητικών οργάνων και τραχηλική</w:t>
      </w:r>
      <w:r w:rsidR="00250D4E">
        <w:rPr>
          <w:sz w:val="20"/>
          <w:szCs w:val="20"/>
          <w:lang w:val="el-GR"/>
        </w:rPr>
        <w:t>ς</w:t>
      </w:r>
      <w:r>
        <w:rPr>
          <w:sz w:val="20"/>
          <w:szCs w:val="20"/>
          <w:lang w:val="el-GR"/>
        </w:rPr>
        <w:t xml:space="preserve"> αιμορραγία</w:t>
      </w:r>
      <w:r w:rsidR="00250D4E">
        <w:rPr>
          <w:sz w:val="20"/>
          <w:szCs w:val="20"/>
          <w:lang w:val="el-GR"/>
        </w:rPr>
        <w:t>ς</w:t>
      </w:r>
    </w:p>
    <w:p w:rsidR="00E968CA" w:rsidRDefault="00E562D7" w:rsidP="009D672F">
      <w:pPr>
        <w:pStyle w:val="Para0s"/>
        <w:spacing w:after="0"/>
        <w:rPr>
          <w:sz w:val="20"/>
          <w:szCs w:val="20"/>
          <w:lang w:val="el-GR"/>
        </w:rPr>
      </w:pPr>
      <w:r>
        <w:rPr>
          <w:sz w:val="20"/>
          <w:szCs w:val="20"/>
          <w:vertAlign w:val="superscript"/>
          <w:lang w:val="el-GR"/>
        </w:rPr>
        <w:t>18</w:t>
      </w:r>
      <w:r>
        <w:rPr>
          <w:sz w:val="20"/>
          <w:szCs w:val="20"/>
          <w:lang w:val="el-GR"/>
        </w:rPr>
        <w:t xml:space="preserve"> Συμπεριλαμβανομένου περιφερικού οιδήματος</w:t>
      </w:r>
    </w:p>
    <w:p w:rsidR="00B17668" w:rsidRPr="00B17668" w:rsidRDefault="00B17668" w:rsidP="009D672F">
      <w:pPr>
        <w:pStyle w:val="Para0s"/>
        <w:spacing w:after="0"/>
        <w:rPr>
          <w:sz w:val="20"/>
          <w:szCs w:val="20"/>
          <w:lang w:val="el-GR"/>
        </w:rPr>
      </w:pPr>
      <w:r>
        <w:rPr>
          <w:sz w:val="20"/>
          <w:szCs w:val="20"/>
          <w:vertAlign w:val="superscript"/>
          <w:lang w:val="el-GR"/>
        </w:rPr>
        <w:t xml:space="preserve">19 </w:t>
      </w:r>
      <w:r>
        <w:rPr>
          <w:sz w:val="20"/>
          <w:szCs w:val="20"/>
          <w:lang w:val="el-GR"/>
        </w:rPr>
        <w:t>Συμπεριλαμβανομένης αύξησης της αρτηριακής πίεσης και μείωση</w:t>
      </w:r>
      <w:r w:rsidR="00250D4E">
        <w:rPr>
          <w:sz w:val="20"/>
          <w:szCs w:val="20"/>
          <w:lang w:val="el-GR"/>
        </w:rPr>
        <w:t>ς</w:t>
      </w:r>
      <w:r>
        <w:rPr>
          <w:sz w:val="20"/>
          <w:szCs w:val="20"/>
          <w:lang w:val="el-GR"/>
        </w:rPr>
        <w:t xml:space="preserve"> της αρτηριακής πίεσης </w:t>
      </w:r>
    </w:p>
    <w:p w:rsidR="000658F8" w:rsidRPr="003B0D84" w:rsidRDefault="000658F8" w:rsidP="009D672F">
      <w:pPr>
        <w:pStyle w:val="Para0s"/>
        <w:spacing w:after="0"/>
        <w:rPr>
          <w:lang w:val="el-GR"/>
        </w:rPr>
      </w:pPr>
      <w:r w:rsidRPr="003B0D84">
        <w:rPr>
          <w:lang w:val="el-GR"/>
        </w:rPr>
        <w:t xml:space="preserve"> </w:t>
      </w:r>
    </w:p>
    <w:p w:rsidR="00A82EE9" w:rsidRPr="003B0D84" w:rsidRDefault="00A82EE9" w:rsidP="009D672F">
      <w:pPr>
        <w:pStyle w:val="Para0s"/>
        <w:spacing w:after="0"/>
        <w:rPr>
          <w:lang w:val="el-GR"/>
        </w:rPr>
      </w:pPr>
      <w:r w:rsidRPr="003B0D84">
        <w:rPr>
          <w:lang w:val="el-GR"/>
        </w:rPr>
        <w:t>Εμφάνι</w:t>
      </w:r>
      <w:r w:rsidR="00CD2BC3" w:rsidRPr="003B0D84">
        <w:rPr>
          <w:lang w:val="el-GR"/>
        </w:rPr>
        <w:t xml:space="preserve">ση αμηνόρροιας και </w:t>
      </w:r>
      <w:r w:rsidRPr="003B0D84">
        <w:rPr>
          <w:lang w:val="el-GR"/>
        </w:rPr>
        <w:t xml:space="preserve">αιμορραγίας </w:t>
      </w:r>
      <w:r w:rsidR="00CD2BC3" w:rsidRPr="003B0D84">
        <w:rPr>
          <w:lang w:val="el-GR"/>
        </w:rPr>
        <w:t>κατά τη διάρκεια του κύκλου με βάση τα ημερολόγια ασθενών</w:t>
      </w:r>
      <w:r w:rsidRPr="003B0D84">
        <w:rPr>
          <w:lang w:val="el-GR"/>
        </w:rPr>
        <w:t xml:space="preserve"> συνοψίζεται στην παράγραφο 4.4 Έλεγχος του κύκλου.</w:t>
      </w:r>
    </w:p>
    <w:p w:rsidR="00A55C05" w:rsidRPr="003B0D84" w:rsidRDefault="00A55C05" w:rsidP="009D672F">
      <w:pPr>
        <w:pStyle w:val="Para0s"/>
        <w:spacing w:after="0"/>
        <w:rPr>
          <w:lang w:val="el-GR"/>
        </w:rPr>
      </w:pPr>
      <w:r w:rsidRPr="003B0D84">
        <w:rPr>
          <w:lang w:val="el-GR"/>
        </w:rPr>
        <w:t>Οι ακόλουθες σοβαρές ανεπιθύμητες ενέργειες έχουν αναφερθεί σε γυναίκες χρήστριες των συνδυασμένων από του στόματος αντισυλληπτικών, τα οποία αναφέρονται στην παράγραφο 4.4 Ειδικές προειδοποιήσεις και προφυλάξεις κατά τη χρήση:</w:t>
      </w:r>
    </w:p>
    <w:p w:rsidR="00C1567C" w:rsidRPr="003B0D84" w:rsidRDefault="00F75C07" w:rsidP="009D672F">
      <w:pPr>
        <w:pStyle w:val="Para0s"/>
        <w:numPr>
          <w:ilvl w:val="0"/>
          <w:numId w:val="3"/>
        </w:numPr>
        <w:spacing w:after="0"/>
        <w:rPr>
          <w:lang w:val="el-GR"/>
        </w:rPr>
      </w:pPr>
      <w:r w:rsidRPr="003B0D84">
        <w:rPr>
          <w:lang w:val="el-GR"/>
        </w:rPr>
        <w:t>Φ</w:t>
      </w:r>
      <w:r w:rsidR="0090777A" w:rsidRPr="003B0D84">
        <w:rPr>
          <w:lang w:val="el-GR"/>
        </w:rPr>
        <w:t>λεβικές θρομβοεμβολικές διαταραχές</w:t>
      </w:r>
    </w:p>
    <w:p w:rsidR="0090777A" w:rsidRPr="003B0D84" w:rsidRDefault="00F75C07" w:rsidP="009D672F">
      <w:pPr>
        <w:pStyle w:val="Para0s"/>
        <w:numPr>
          <w:ilvl w:val="0"/>
          <w:numId w:val="3"/>
        </w:numPr>
        <w:spacing w:after="0"/>
        <w:rPr>
          <w:lang w:val="el-GR"/>
        </w:rPr>
      </w:pPr>
      <w:r w:rsidRPr="003B0D84">
        <w:rPr>
          <w:lang w:val="el-GR"/>
        </w:rPr>
        <w:t>Α</w:t>
      </w:r>
      <w:r w:rsidR="0090777A" w:rsidRPr="003B0D84">
        <w:rPr>
          <w:lang w:val="el-GR"/>
        </w:rPr>
        <w:t>ρτηριακές θρομβοεμβολικές διαταραχές</w:t>
      </w:r>
    </w:p>
    <w:p w:rsidR="0090777A" w:rsidRPr="003B0D84" w:rsidRDefault="00F75C07" w:rsidP="009D672F">
      <w:pPr>
        <w:pStyle w:val="Para0s"/>
        <w:numPr>
          <w:ilvl w:val="0"/>
          <w:numId w:val="3"/>
        </w:numPr>
        <w:spacing w:after="0"/>
        <w:rPr>
          <w:lang w:val="el-GR"/>
        </w:rPr>
      </w:pPr>
      <w:r w:rsidRPr="003B0D84">
        <w:rPr>
          <w:lang w:val="el-GR"/>
        </w:rPr>
        <w:t>Υ</w:t>
      </w:r>
      <w:r w:rsidR="0090777A" w:rsidRPr="003B0D84">
        <w:rPr>
          <w:lang w:val="el-GR"/>
        </w:rPr>
        <w:t>πέρταση</w:t>
      </w:r>
    </w:p>
    <w:p w:rsidR="0090777A" w:rsidRPr="003B0D84" w:rsidRDefault="0090777A" w:rsidP="009D672F">
      <w:pPr>
        <w:pStyle w:val="Para0s"/>
        <w:numPr>
          <w:ilvl w:val="0"/>
          <w:numId w:val="3"/>
        </w:numPr>
        <w:spacing w:after="0"/>
        <w:rPr>
          <w:lang w:val="el-GR"/>
        </w:rPr>
      </w:pPr>
      <w:r w:rsidRPr="003B0D84">
        <w:rPr>
          <w:lang w:val="el-GR"/>
        </w:rPr>
        <w:t>Όγκοι ήπατος</w:t>
      </w:r>
    </w:p>
    <w:p w:rsidR="002B7023" w:rsidRPr="003B0D84" w:rsidRDefault="00BB432E" w:rsidP="009D672F">
      <w:pPr>
        <w:pStyle w:val="Para0s"/>
        <w:numPr>
          <w:ilvl w:val="0"/>
          <w:numId w:val="3"/>
        </w:numPr>
        <w:spacing w:after="0"/>
        <w:rPr>
          <w:lang w:val="el-GR"/>
        </w:rPr>
      </w:pPr>
      <w:r w:rsidRPr="003B0D84">
        <w:rPr>
          <w:lang w:val="el-GR"/>
        </w:rPr>
        <w:t>Εκδήλωση</w:t>
      </w:r>
      <w:r w:rsidR="0090777A" w:rsidRPr="003B0D84">
        <w:rPr>
          <w:lang w:val="el-GR"/>
        </w:rPr>
        <w:t xml:space="preserve"> </w:t>
      </w:r>
      <w:r w:rsidRPr="003B0D84">
        <w:rPr>
          <w:lang w:val="el-GR"/>
        </w:rPr>
        <w:t xml:space="preserve">ή υποτροπή καταστάσεων για τις οποίες η συσχέτιση </w:t>
      </w:r>
      <w:r w:rsidR="00287966" w:rsidRPr="003B0D84">
        <w:rPr>
          <w:lang w:val="el-GR"/>
        </w:rPr>
        <w:t xml:space="preserve">τους </w:t>
      </w:r>
      <w:r w:rsidRPr="003B0D84">
        <w:rPr>
          <w:lang w:val="el-GR"/>
        </w:rPr>
        <w:t xml:space="preserve">με τη χρήση συνδυασμένων από του στόματος αντισυλληπτικών δεν είναι </w:t>
      </w:r>
      <w:r w:rsidR="00491CAC" w:rsidRPr="003B0D84">
        <w:rPr>
          <w:lang w:val="el-GR"/>
        </w:rPr>
        <w:t xml:space="preserve">τεκμηριωμένη: νόσος </w:t>
      </w:r>
      <w:r w:rsidR="00491CAC" w:rsidRPr="003B0D84">
        <w:t>Crohn</w:t>
      </w:r>
      <w:r w:rsidR="00491CAC" w:rsidRPr="003B0D84">
        <w:rPr>
          <w:lang w:val="el-GR"/>
        </w:rPr>
        <w:t>, ελκώδης κολίτιδα, επιληψία, ημικρανία, ινομύωμα μήτρα</w:t>
      </w:r>
      <w:r w:rsidR="00287966" w:rsidRPr="003B0D84">
        <w:rPr>
          <w:lang w:val="el-GR"/>
        </w:rPr>
        <w:t>ς, πορφυρία, συστηματικός ερυθη</w:t>
      </w:r>
      <w:r w:rsidR="00491CAC" w:rsidRPr="003B0D84">
        <w:rPr>
          <w:lang w:val="el-GR"/>
        </w:rPr>
        <w:t>ματώδης λύκος,</w:t>
      </w:r>
      <w:r w:rsidR="002B7023" w:rsidRPr="003B0D84">
        <w:rPr>
          <w:lang w:val="el-GR"/>
        </w:rPr>
        <w:t xml:space="preserve"> έρπης κυήσεως, χορεία </w:t>
      </w:r>
      <w:r w:rsidR="002B7023" w:rsidRPr="003B0D84">
        <w:t>Sydenham</w:t>
      </w:r>
      <w:r w:rsidR="002B7023" w:rsidRPr="003B0D84">
        <w:rPr>
          <w:lang w:val="el-GR"/>
        </w:rPr>
        <w:t>, αιμολυτικό ουραιμικό σύνδρομο, χολοστατικός ίκτερος.</w:t>
      </w:r>
    </w:p>
    <w:p w:rsidR="002B7023" w:rsidRPr="003B0D84" w:rsidRDefault="00F75C07" w:rsidP="009D672F">
      <w:pPr>
        <w:pStyle w:val="Para0s"/>
        <w:numPr>
          <w:ilvl w:val="0"/>
          <w:numId w:val="3"/>
        </w:numPr>
        <w:spacing w:after="0"/>
        <w:rPr>
          <w:lang w:val="el-GR"/>
        </w:rPr>
      </w:pPr>
      <w:r w:rsidRPr="003B0D84">
        <w:rPr>
          <w:lang w:val="el-GR"/>
        </w:rPr>
        <w:t>Χλόασμα</w:t>
      </w:r>
    </w:p>
    <w:p w:rsidR="0090777A" w:rsidRPr="003B0D84" w:rsidRDefault="00491CAC" w:rsidP="009D672F">
      <w:pPr>
        <w:pStyle w:val="Para0s"/>
        <w:numPr>
          <w:ilvl w:val="0"/>
          <w:numId w:val="3"/>
        </w:numPr>
        <w:spacing w:after="0"/>
        <w:rPr>
          <w:lang w:val="el-GR"/>
        </w:rPr>
      </w:pPr>
      <w:r w:rsidRPr="003B0D84">
        <w:rPr>
          <w:lang w:val="el-GR"/>
        </w:rPr>
        <w:lastRenderedPageBreak/>
        <w:t xml:space="preserve"> </w:t>
      </w:r>
      <w:r w:rsidR="002B7023" w:rsidRPr="003B0D84">
        <w:rPr>
          <w:lang w:val="el-GR"/>
        </w:rPr>
        <w:t xml:space="preserve">Οξείες ή χρόνιες διαταραχές της ηπατικής λειτουργίας </w:t>
      </w:r>
      <w:r w:rsidR="00811683" w:rsidRPr="003B0D84">
        <w:rPr>
          <w:lang w:val="el-GR"/>
        </w:rPr>
        <w:t>μ</w:t>
      </w:r>
      <w:r w:rsidR="00287966" w:rsidRPr="003B0D84">
        <w:rPr>
          <w:lang w:val="el-GR"/>
        </w:rPr>
        <w:t>πορούν να καταστήσουν αναγκαία</w:t>
      </w:r>
      <w:r w:rsidR="00811683" w:rsidRPr="003B0D84">
        <w:rPr>
          <w:lang w:val="el-GR"/>
        </w:rPr>
        <w:t xml:space="preserve"> τη διακοπή της χρήσης των συνδυασμένων από του στόματος αντισυλληπτικών έως ότου οι δείκτες της ηπατικής λειτουργίας να επανέλθουν στο φυσιολογικό.</w:t>
      </w:r>
    </w:p>
    <w:p w:rsidR="00811683" w:rsidRPr="003B0D84" w:rsidRDefault="00811683" w:rsidP="009D672F">
      <w:pPr>
        <w:pStyle w:val="Para0s"/>
        <w:numPr>
          <w:ilvl w:val="0"/>
          <w:numId w:val="3"/>
        </w:numPr>
        <w:spacing w:after="0"/>
        <w:rPr>
          <w:lang w:val="el-GR"/>
        </w:rPr>
      </w:pPr>
      <w:r w:rsidRPr="003B0D84">
        <w:rPr>
          <w:lang w:val="el-GR"/>
        </w:rPr>
        <w:t>Σε γυναίκες με κληρονομικό αγγειοοίδημα, τα εξωγενή οιστρογόνα μπορεί να προκαλέσουν ή να επιδεινώσουν τα συμπτώματα του αγγειοοιδήματος.</w:t>
      </w:r>
    </w:p>
    <w:p w:rsidR="00811683" w:rsidRPr="003B0D84" w:rsidRDefault="00811683" w:rsidP="009D672F">
      <w:pPr>
        <w:pStyle w:val="Para0s"/>
        <w:spacing w:after="0"/>
        <w:rPr>
          <w:lang w:val="el-GR"/>
        </w:rPr>
      </w:pPr>
      <w:r w:rsidRPr="003B0D84">
        <w:rPr>
          <w:lang w:val="el-GR"/>
        </w:rPr>
        <w:t xml:space="preserve">Η συχνότητα </w:t>
      </w:r>
      <w:r w:rsidR="002177E2" w:rsidRPr="003B0D84">
        <w:rPr>
          <w:lang w:val="el-GR"/>
        </w:rPr>
        <w:t>διάγνωσης καρκίνο</w:t>
      </w:r>
      <w:r w:rsidR="00287966" w:rsidRPr="003B0D84">
        <w:rPr>
          <w:lang w:val="el-GR"/>
        </w:rPr>
        <w:t xml:space="preserve">υ του μαστού είναι πολύ </w:t>
      </w:r>
      <w:r w:rsidR="00125255" w:rsidRPr="003B0D84">
        <w:rPr>
          <w:lang w:val="el-GR"/>
        </w:rPr>
        <w:t>ελαφρώς</w:t>
      </w:r>
      <w:r w:rsidR="00287966" w:rsidRPr="003B0D84">
        <w:rPr>
          <w:lang w:val="el-GR"/>
        </w:rPr>
        <w:t xml:space="preserve"> αυξημένη</w:t>
      </w:r>
      <w:r w:rsidR="002177E2" w:rsidRPr="003B0D84">
        <w:rPr>
          <w:lang w:val="el-GR"/>
        </w:rPr>
        <w:t xml:space="preserve"> στις χρήστριες από του στόματος αντισυλληπτικών. </w:t>
      </w:r>
      <w:r w:rsidR="00C22C1E" w:rsidRPr="003B0D84">
        <w:rPr>
          <w:lang w:val="el-GR"/>
        </w:rPr>
        <w:t>Επειδή ο καρκίνος του μαστού είναι σπάνιος σε γυναίκες κάτω των 40 ετών, ο επιπλέον αριθμός</w:t>
      </w:r>
      <w:r w:rsidR="00287966" w:rsidRPr="003B0D84">
        <w:rPr>
          <w:lang w:val="el-GR"/>
        </w:rPr>
        <w:t xml:space="preserve"> </w:t>
      </w:r>
      <w:r w:rsidR="00054967" w:rsidRPr="003B0D84">
        <w:rPr>
          <w:lang w:val="el-GR"/>
        </w:rPr>
        <w:t xml:space="preserve">είναι μικρός σε σχέση με το γενικό κίνδυνο καρκίνου του μαστού. </w:t>
      </w:r>
      <w:r w:rsidR="00287966" w:rsidRPr="003B0D84">
        <w:rPr>
          <w:lang w:val="el-GR"/>
        </w:rPr>
        <w:t>Η α</w:t>
      </w:r>
      <w:r w:rsidR="006855A8" w:rsidRPr="003B0D84">
        <w:rPr>
          <w:lang w:val="el-GR"/>
        </w:rPr>
        <w:t>ιτιολογική συσχέτιση με τη χρήση συνδυασμένων από του στόματος αντισυλληπτικών παραμένει άγνωστη. Για π</w:t>
      </w:r>
      <w:r w:rsidR="00FF5472" w:rsidRPr="003B0D84">
        <w:rPr>
          <w:lang w:val="el-GR"/>
        </w:rPr>
        <w:t>ερισσότερες πληροφορίες βλ. π</w:t>
      </w:r>
      <w:r w:rsidR="00287966" w:rsidRPr="003B0D84">
        <w:rPr>
          <w:lang w:val="el-GR"/>
        </w:rPr>
        <w:t>αραγράφους  4.3, 4.4.</w:t>
      </w:r>
    </w:p>
    <w:p w:rsidR="00C1567C" w:rsidRDefault="00C1567C" w:rsidP="009D672F">
      <w:pPr>
        <w:pStyle w:val="Para0s"/>
        <w:spacing w:after="0"/>
        <w:rPr>
          <w:lang w:val="el-GR"/>
        </w:rPr>
      </w:pPr>
      <w:r w:rsidRPr="003B0D84">
        <w:rPr>
          <w:lang w:val="el-GR"/>
        </w:rPr>
        <w:t>Εκτός από τις προαναφερθείσες ανεπιθύμητες ενέργειες, εμφανίστηκαν οζώδες ερύθημα, πολύμορφο ερύθημα, έκκριση από τους μαστούς και υπερευαισθησία, κατά τη θεραπεία με συνδυασμένα από του στόματος αντισυλληπτικά που περιέχουν αιθινυλοιστραδιόλη. Παρόλο που αυτά τα συμπτώματα δεν αναφέρθηκαν κατά τη διάρκεια των κλινικών μελετών που διενεργήθηκαν με το Q</w:t>
      </w:r>
      <w:r w:rsidR="00287966" w:rsidRPr="003B0D84">
        <w:rPr>
          <w:lang w:val="el-GR"/>
        </w:rPr>
        <w:t>laira, η πιθανότητα να εμφανίζονται επίσης κατά</w:t>
      </w:r>
      <w:r w:rsidRPr="003B0D84">
        <w:rPr>
          <w:lang w:val="el-GR"/>
        </w:rPr>
        <w:t xml:space="preserve"> τη θεραπεία δεν μπορεί να αποκλειστεί.</w:t>
      </w:r>
    </w:p>
    <w:p w:rsidR="00E0334D" w:rsidRPr="003B0D84" w:rsidRDefault="00E0334D" w:rsidP="009D672F">
      <w:pPr>
        <w:pStyle w:val="Para0s"/>
        <w:spacing w:after="0"/>
        <w:rPr>
          <w:lang w:val="el-GR"/>
        </w:rPr>
      </w:pPr>
    </w:p>
    <w:p w:rsidR="00C1567C" w:rsidRPr="003B0D84" w:rsidRDefault="007B44C9" w:rsidP="009D672F">
      <w:pPr>
        <w:pStyle w:val="2"/>
        <w:numPr>
          <w:ilvl w:val="0"/>
          <w:numId w:val="0"/>
        </w:numPr>
        <w:spacing w:before="0" w:after="0"/>
        <w:rPr>
          <w:lang w:val="el-GR"/>
        </w:rPr>
      </w:pPr>
      <w:r w:rsidRPr="003B0D84">
        <w:rPr>
          <w:lang w:val="el-GR"/>
        </w:rPr>
        <w:t>4.9</w:t>
      </w:r>
      <w:r w:rsidR="000415AF">
        <w:t xml:space="preserve">  </w:t>
      </w:r>
      <w:r w:rsidR="00125255" w:rsidRPr="003B0D84">
        <w:rPr>
          <w:lang w:val="el-GR"/>
        </w:rPr>
        <w:t xml:space="preserve"> </w:t>
      </w:r>
      <w:r w:rsidR="00C1567C" w:rsidRPr="003B0D84">
        <w:rPr>
          <w:lang w:val="el-GR"/>
        </w:rPr>
        <w:t>Υπερδοσολογία</w:t>
      </w:r>
    </w:p>
    <w:p w:rsidR="00C1567C" w:rsidRDefault="00C1567C" w:rsidP="009D672F">
      <w:pPr>
        <w:pStyle w:val="Para0s"/>
        <w:spacing w:after="0"/>
        <w:rPr>
          <w:lang w:val="el-GR"/>
        </w:rPr>
      </w:pPr>
      <w:r w:rsidRPr="003B0D84">
        <w:rPr>
          <w:lang w:val="el-GR"/>
        </w:rPr>
        <w:t>Δεν έχουν αναφερθεί περιπτώσεις σοβαρών τοξικών ενεργειών από υπερδοσολογία. Τα συμπτώματα που μπορεί ενδεχομένως να εμφανιστούν σε περίπτωση λήψης υπερβολικού αριθμού δραστικών δισκίων είναι: ναυτία, έμετος και, σε νεαρά κορίτσια, ελαφρά κολπική αιμορραγία. Δεν υπάρχουν αντίδοτα και η περαιτέρω θεραπεία θα πρέπει να είναι συμπτωματική.</w:t>
      </w:r>
    </w:p>
    <w:p w:rsidR="00E0334D" w:rsidRPr="003B0D84" w:rsidRDefault="00E0334D" w:rsidP="009D672F">
      <w:pPr>
        <w:pStyle w:val="Para0s"/>
        <w:spacing w:after="0"/>
        <w:rPr>
          <w:lang w:val="el-GR"/>
        </w:rPr>
      </w:pPr>
    </w:p>
    <w:p w:rsidR="00C1567C" w:rsidRPr="003B0D84" w:rsidRDefault="00C1567C" w:rsidP="009D672F">
      <w:pPr>
        <w:pStyle w:val="1"/>
        <w:spacing w:before="0" w:after="0"/>
        <w:rPr>
          <w:lang w:val="el-GR"/>
        </w:rPr>
      </w:pPr>
      <w:r w:rsidRPr="003B0D84">
        <w:rPr>
          <w:lang w:val="el-GR"/>
        </w:rPr>
        <w:t>ΦΑΡΜΑΚΟΛΟΓΙΚΕΣ ΙΔΙΟΤΗΤΕΣ</w:t>
      </w:r>
    </w:p>
    <w:p w:rsidR="00C1567C" w:rsidRPr="003B0D84" w:rsidRDefault="00C1567C" w:rsidP="009D672F">
      <w:pPr>
        <w:pStyle w:val="2"/>
        <w:spacing w:before="0" w:after="0"/>
        <w:rPr>
          <w:lang w:val="el-GR"/>
        </w:rPr>
      </w:pPr>
      <w:r w:rsidRPr="003B0D84">
        <w:rPr>
          <w:lang w:val="el-GR"/>
        </w:rPr>
        <w:t>Φαρμακοδυναμικές ιδιότητες</w:t>
      </w:r>
    </w:p>
    <w:p w:rsidR="007B44C9" w:rsidRPr="003B0D84" w:rsidRDefault="007B44C9" w:rsidP="009D672F">
      <w:pPr>
        <w:pStyle w:val="Para0s"/>
        <w:spacing w:after="0"/>
        <w:rPr>
          <w:lang w:val="el-GR"/>
        </w:rPr>
      </w:pPr>
      <w:r w:rsidRPr="003B0D84">
        <w:rPr>
          <w:lang w:val="el-GR"/>
        </w:rPr>
        <w:t xml:space="preserve">Φαρμακοθεραπευτική κατηγορία: </w:t>
      </w:r>
      <w:r w:rsidR="00287966" w:rsidRPr="003B0D84">
        <w:rPr>
          <w:lang w:val="el-GR"/>
        </w:rPr>
        <w:t>προγεσταγόνα και οιστρογόνα, συνδυασμοί διαδοχής</w:t>
      </w:r>
    </w:p>
    <w:p w:rsidR="00C1567C" w:rsidRPr="003B0D84" w:rsidRDefault="00C1567C" w:rsidP="009D672F">
      <w:pPr>
        <w:pStyle w:val="Para0s"/>
        <w:spacing w:after="0"/>
        <w:rPr>
          <w:lang w:val="el-GR"/>
        </w:rPr>
      </w:pPr>
      <w:r w:rsidRPr="003B0D84">
        <w:rPr>
          <w:lang w:val="el-GR"/>
        </w:rPr>
        <w:t>Κωδικός ATC: G03A</w:t>
      </w:r>
      <w:r w:rsidR="00F75C07" w:rsidRPr="003B0D84">
        <w:rPr>
          <w:lang w:val="el-GR"/>
        </w:rPr>
        <w:t>Β</w:t>
      </w:r>
    </w:p>
    <w:p w:rsidR="00F81569" w:rsidRPr="003B0D84" w:rsidRDefault="00F81569" w:rsidP="009D672F">
      <w:pPr>
        <w:pStyle w:val="Para0s"/>
        <w:spacing w:after="0"/>
        <w:rPr>
          <w:lang w:val="el-GR"/>
        </w:rPr>
      </w:pPr>
      <w:bookmarkStart w:id="16" w:name="_Hlt177184617"/>
      <w:r w:rsidRPr="003B0D84">
        <w:rPr>
          <w:lang w:val="el-GR"/>
        </w:rPr>
        <w:t xml:space="preserve">Σε κλινικές μελέτες με </w:t>
      </w:r>
      <w:r w:rsidR="00287966" w:rsidRPr="003B0D84">
        <w:rPr>
          <w:lang w:val="el-GR"/>
        </w:rPr>
        <w:t xml:space="preserve">το </w:t>
      </w:r>
      <w:r w:rsidRPr="003B0D84">
        <w:t>Qlaira</w:t>
      </w:r>
      <w:r w:rsidRPr="003B0D84">
        <w:rPr>
          <w:lang w:val="el-GR"/>
        </w:rPr>
        <w:t xml:space="preserve"> που έλαβαν χώρα στην Ευρωπαϊκή Ένωση</w:t>
      </w:r>
      <w:r w:rsidR="00F75C07" w:rsidRPr="003B0D84">
        <w:rPr>
          <w:lang w:val="el-GR"/>
        </w:rPr>
        <w:t xml:space="preserve"> και στις ΗΠΑ / </w:t>
      </w:r>
      <w:r w:rsidR="00287966" w:rsidRPr="003B0D84">
        <w:rPr>
          <w:lang w:val="el-GR"/>
        </w:rPr>
        <w:t xml:space="preserve">στον </w:t>
      </w:r>
      <w:r w:rsidR="00F75C07" w:rsidRPr="003B0D84">
        <w:rPr>
          <w:lang w:val="el-GR"/>
        </w:rPr>
        <w:t>Καναδά</w:t>
      </w:r>
      <w:r w:rsidR="00287966" w:rsidRPr="003B0D84">
        <w:rPr>
          <w:lang w:val="el-GR"/>
        </w:rPr>
        <w:t xml:space="preserve"> υπολογίστηκαν</w:t>
      </w:r>
      <w:r w:rsidRPr="003B0D84">
        <w:rPr>
          <w:lang w:val="el-GR"/>
        </w:rPr>
        <w:t xml:space="preserve"> οι δείκτες </w:t>
      </w:r>
      <w:r w:rsidRPr="003B0D84">
        <w:t>Pearl</w:t>
      </w:r>
      <w:r w:rsidRPr="003B0D84">
        <w:rPr>
          <w:lang w:val="el-GR"/>
        </w:rPr>
        <w:t xml:space="preserve"> </w:t>
      </w:r>
      <w:r w:rsidR="00255317" w:rsidRPr="003B0D84">
        <w:rPr>
          <w:lang w:val="el-GR"/>
        </w:rPr>
        <w:t>ως ακολούθω</w:t>
      </w:r>
      <w:r w:rsidRPr="003B0D84">
        <w:rPr>
          <w:lang w:val="el-GR"/>
        </w:rPr>
        <w:t>ς:</w:t>
      </w:r>
    </w:p>
    <w:bookmarkEnd w:id="16"/>
    <w:p w:rsidR="00F75C07" w:rsidRPr="003B0D84" w:rsidRDefault="00F75C07" w:rsidP="009D672F">
      <w:pPr>
        <w:pStyle w:val="Para0s"/>
        <w:tabs>
          <w:tab w:val="left" w:pos="3225"/>
        </w:tabs>
        <w:spacing w:after="0"/>
        <w:rPr>
          <w:lang w:val="el-GR"/>
        </w:rPr>
      </w:pPr>
      <w:r w:rsidRPr="003B0D84">
        <w:rPr>
          <w:lang w:val="el-GR"/>
        </w:rPr>
        <w:t xml:space="preserve">Δείκτης </w:t>
      </w:r>
      <w:r w:rsidRPr="003B0D84">
        <w:t>Pearl</w:t>
      </w:r>
      <w:r w:rsidRPr="003B0D84">
        <w:rPr>
          <w:lang w:val="el-GR"/>
        </w:rPr>
        <w:t>: (18-50 ετών)</w:t>
      </w:r>
      <w:r w:rsidRPr="003B0D84">
        <w:rPr>
          <w:lang w:val="el-GR"/>
        </w:rPr>
        <w:tab/>
      </w:r>
    </w:p>
    <w:p w:rsidR="00F75C07" w:rsidRPr="003B0D84" w:rsidRDefault="00287966" w:rsidP="009D672F">
      <w:pPr>
        <w:pStyle w:val="Para0s"/>
        <w:spacing w:after="0"/>
        <w:rPr>
          <w:lang w:val="el-GR"/>
        </w:rPr>
      </w:pPr>
      <w:r w:rsidRPr="003B0D84">
        <w:rPr>
          <w:lang w:val="el-GR"/>
        </w:rPr>
        <w:t>Αποτυχία μεθόδου: 0,</w:t>
      </w:r>
      <w:r w:rsidR="00F75C07" w:rsidRPr="003B0D84">
        <w:rPr>
          <w:lang w:val="el-GR"/>
        </w:rPr>
        <w:t xml:space="preserve">42 (ανώτερο όριο 95% </w:t>
      </w:r>
      <w:r w:rsidR="00F75C07" w:rsidRPr="003B0D84">
        <w:t>CI</w:t>
      </w:r>
      <w:r w:rsidR="00F75C07" w:rsidRPr="003B0D84">
        <w:rPr>
          <w:lang w:val="el-GR"/>
        </w:rPr>
        <w:t xml:space="preserve"> 0,77)</w:t>
      </w:r>
    </w:p>
    <w:p w:rsidR="00F75C07" w:rsidRPr="003B0D84" w:rsidRDefault="00287966" w:rsidP="009D672F">
      <w:pPr>
        <w:pStyle w:val="Para0s"/>
        <w:spacing w:after="0"/>
        <w:rPr>
          <w:lang w:val="el-GR"/>
        </w:rPr>
      </w:pPr>
      <w:r w:rsidRPr="003B0D84">
        <w:rPr>
          <w:lang w:val="el-GR"/>
        </w:rPr>
        <w:t>Αποτυχία χρήστριας</w:t>
      </w:r>
      <w:r w:rsidR="00F75C07" w:rsidRPr="003B0D84">
        <w:rPr>
          <w:lang w:val="el-GR"/>
        </w:rPr>
        <w:t xml:space="preserve"> + αποτυχία μεθόδου: 0,79 (ανώτερο όριο 95% </w:t>
      </w:r>
      <w:r w:rsidR="00F75C07" w:rsidRPr="003B0D84">
        <w:t>CI</w:t>
      </w:r>
      <w:r w:rsidR="00F75C07" w:rsidRPr="003B0D84">
        <w:rPr>
          <w:lang w:val="el-GR"/>
        </w:rPr>
        <w:t xml:space="preserve"> 1,23)</w:t>
      </w:r>
    </w:p>
    <w:p w:rsidR="005B31DF" w:rsidRDefault="005B31DF" w:rsidP="009D672F">
      <w:pPr>
        <w:pStyle w:val="Para0s"/>
        <w:tabs>
          <w:tab w:val="left" w:pos="3225"/>
        </w:tabs>
        <w:spacing w:after="0"/>
        <w:rPr>
          <w:lang w:val="el-GR"/>
        </w:rPr>
      </w:pPr>
    </w:p>
    <w:p w:rsidR="00F75C07" w:rsidRPr="003B0D84" w:rsidRDefault="00F75C07" w:rsidP="009D672F">
      <w:pPr>
        <w:pStyle w:val="Para0s"/>
        <w:tabs>
          <w:tab w:val="left" w:pos="3225"/>
        </w:tabs>
        <w:spacing w:after="0"/>
        <w:rPr>
          <w:lang w:val="el-GR"/>
        </w:rPr>
      </w:pPr>
      <w:r w:rsidRPr="003B0D84">
        <w:rPr>
          <w:lang w:val="el-GR"/>
        </w:rPr>
        <w:t xml:space="preserve">Δείκτης </w:t>
      </w:r>
      <w:r w:rsidRPr="003B0D84">
        <w:t>Pearl</w:t>
      </w:r>
      <w:r w:rsidRPr="003B0D84">
        <w:rPr>
          <w:lang w:val="el-GR"/>
        </w:rPr>
        <w:t>: (18-35 ετών)</w:t>
      </w:r>
      <w:r w:rsidRPr="003B0D84">
        <w:rPr>
          <w:lang w:val="el-GR"/>
        </w:rPr>
        <w:tab/>
      </w:r>
    </w:p>
    <w:p w:rsidR="00F75C07" w:rsidRPr="003B0D84" w:rsidRDefault="00287966" w:rsidP="009D672F">
      <w:pPr>
        <w:pStyle w:val="Para0s"/>
        <w:spacing w:after="0"/>
        <w:rPr>
          <w:lang w:val="el-GR"/>
        </w:rPr>
      </w:pPr>
      <w:r w:rsidRPr="003B0D84">
        <w:rPr>
          <w:lang w:val="el-GR"/>
        </w:rPr>
        <w:t>Αποτυχία μεθόδου: 0,</w:t>
      </w:r>
      <w:r w:rsidR="00F75C07" w:rsidRPr="003B0D84">
        <w:rPr>
          <w:lang w:val="el-GR"/>
        </w:rPr>
        <w:t xml:space="preserve">51 (ανώτερο όριο 95% </w:t>
      </w:r>
      <w:r w:rsidR="00F75C07" w:rsidRPr="003B0D84">
        <w:t>CI</w:t>
      </w:r>
      <w:r w:rsidR="00F75C07" w:rsidRPr="003B0D84">
        <w:rPr>
          <w:lang w:val="el-GR"/>
        </w:rPr>
        <w:t xml:space="preserve"> 0,97)</w:t>
      </w:r>
    </w:p>
    <w:p w:rsidR="00F75C07" w:rsidRDefault="00287966" w:rsidP="009D672F">
      <w:pPr>
        <w:pStyle w:val="Para0s"/>
        <w:spacing w:after="0"/>
        <w:rPr>
          <w:lang w:val="el-GR"/>
        </w:rPr>
      </w:pPr>
      <w:r w:rsidRPr="003B0D84">
        <w:rPr>
          <w:lang w:val="el-GR"/>
        </w:rPr>
        <w:t>Αποτυχία χρήστριας</w:t>
      </w:r>
      <w:r w:rsidR="00F75C07" w:rsidRPr="003B0D84">
        <w:rPr>
          <w:lang w:val="el-GR"/>
        </w:rPr>
        <w:t xml:space="preserve"> + αποτυχία μεθόδου: 1,01 (ανώτερο όριο 95% </w:t>
      </w:r>
      <w:r w:rsidR="00F75C07" w:rsidRPr="003B0D84">
        <w:t>CI</w:t>
      </w:r>
      <w:r w:rsidRPr="003B0D84">
        <w:rPr>
          <w:lang w:val="el-GR"/>
        </w:rPr>
        <w:t xml:space="preserve"> 1,59</w:t>
      </w:r>
      <w:r w:rsidR="00F75C07" w:rsidRPr="003B0D84">
        <w:rPr>
          <w:lang w:val="el-GR"/>
        </w:rPr>
        <w:t>)</w:t>
      </w:r>
    </w:p>
    <w:p w:rsidR="005B31DF" w:rsidRPr="003B0D84" w:rsidRDefault="005B31DF" w:rsidP="009D672F">
      <w:pPr>
        <w:pStyle w:val="Para0s"/>
        <w:spacing w:after="0"/>
        <w:rPr>
          <w:lang w:val="el-GR"/>
        </w:rPr>
      </w:pPr>
    </w:p>
    <w:p w:rsidR="00A82EE9" w:rsidRDefault="00C1567C" w:rsidP="009D672F">
      <w:pPr>
        <w:pStyle w:val="Para0s"/>
        <w:spacing w:after="0"/>
        <w:rPr>
          <w:lang w:val="el-GR"/>
        </w:rPr>
      </w:pPr>
      <w:r w:rsidRPr="003B0D84">
        <w:rPr>
          <w:lang w:val="el-GR"/>
        </w:rPr>
        <w:t>Η αντισυλληπτική δράση των συνδυασμένων από του στόματος αντισυλληπτικών βασίζεται στην αλληλεπίδραση διαφόρων παραγόντων, οι πιο σημαντικοί από τους οποίους φαίνεται να είναι η αναστολή της ωορρηξίας</w:t>
      </w:r>
      <w:r w:rsidR="00C5206E" w:rsidRPr="003B0D84">
        <w:rPr>
          <w:lang w:val="el-GR"/>
        </w:rPr>
        <w:t>,</w:t>
      </w:r>
      <w:r w:rsidRPr="003B0D84">
        <w:rPr>
          <w:lang w:val="el-GR"/>
        </w:rPr>
        <w:t xml:space="preserve"> οι μεταβολές σ</w:t>
      </w:r>
      <w:r w:rsidR="00C5206E" w:rsidRPr="003B0D84">
        <w:rPr>
          <w:lang w:val="el-GR"/>
        </w:rPr>
        <w:t xml:space="preserve">την έκκριση του τραχήλου και οι μεταβολές στο ενδομήτριο. </w:t>
      </w:r>
    </w:p>
    <w:p w:rsidR="000A14A5" w:rsidRPr="000A14A5" w:rsidRDefault="00B17668" w:rsidP="009D672F">
      <w:pPr>
        <w:pStyle w:val="Para0s"/>
        <w:spacing w:after="0"/>
        <w:rPr>
          <w:lang w:val="el-GR"/>
        </w:rPr>
      </w:pPr>
      <w:r>
        <w:rPr>
          <w:lang w:val="el-GR"/>
        </w:rPr>
        <w:t xml:space="preserve">Το </w:t>
      </w:r>
      <w:r>
        <w:t>Qlaira</w:t>
      </w:r>
      <w:r w:rsidRPr="00B17668">
        <w:rPr>
          <w:lang w:val="el-GR"/>
        </w:rPr>
        <w:t xml:space="preserve"> </w:t>
      </w:r>
      <w:r w:rsidR="005B31DF">
        <w:rPr>
          <w:lang w:val="el-GR"/>
        </w:rPr>
        <w:t>χορηγείται μέσω ενός</w:t>
      </w:r>
      <w:r>
        <w:rPr>
          <w:lang w:val="el-GR"/>
        </w:rPr>
        <w:t xml:space="preserve"> σχήμα</w:t>
      </w:r>
      <w:r w:rsidR="005B31DF">
        <w:rPr>
          <w:lang w:val="el-GR"/>
        </w:rPr>
        <w:t>τος σταδιακής μείωσης του</w:t>
      </w:r>
      <w:r>
        <w:rPr>
          <w:lang w:val="el-GR"/>
        </w:rPr>
        <w:t xml:space="preserve"> οιστρογόνου και </w:t>
      </w:r>
      <w:r w:rsidR="005B31DF">
        <w:rPr>
          <w:lang w:val="el-GR"/>
        </w:rPr>
        <w:t>σταδιακής αύξησης του</w:t>
      </w:r>
      <w:r>
        <w:rPr>
          <w:lang w:val="el-GR"/>
        </w:rPr>
        <w:t xml:space="preserve"> προγεσταγόνου το οποίο μπορεί να</w:t>
      </w:r>
      <w:r w:rsidR="002A2AAD">
        <w:rPr>
          <w:lang w:val="el-GR"/>
        </w:rPr>
        <w:t xml:space="preserve"> χρησιμοποιηθεί για να θεραπεύσει τη βαριά</w:t>
      </w:r>
      <w:r w:rsidR="005B31DF">
        <w:rPr>
          <w:lang w:val="el-GR"/>
        </w:rPr>
        <w:t xml:space="preserve"> εμμ</w:t>
      </w:r>
      <w:r w:rsidR="000C253D">
        <w:rPr>
          <w:lang w:val="el-GR"/>
        </w:rPr>
        <w:t>η</w:t>
      </w:r>
      <w:r w:rsidR="005B31DF">
        <w:rPr>
          <w:lang w:val="el-GR"/>
        </w:rPr>
        <w:t>νορρυσία εν απουσία</w:t>
      </w:r>
      <w:r>
        <w:rPr>
          <w:lang w:val="el-GR"/>
        </w:rPr>
        <w:t xml:space="preserve"> οργανικής παθολογίας</w:t>
      </w:r>
      <w:r w:rsidR="005B31DF">
        <w:rPr>
          <w:lang w:val="el-GR"/>
        </w:rPr>
        <w:t>,</w:t>
      </w:r>
      <w:r>
        <w:rPr>
          <w:lang w:val="el-GR"/>
        </w:rPr>
        <w:t xml:space="preserve"> συμπτώματα </w:t>
      </w:r>
      <w:r w:rsidR="005B31DF">
        <w:rPr>
          <w:lang w:val="el-GR"/>
        </w:rPr>
        <w:t xml:space="preserve">που </w:t>
      </w:r>
      <w:r>
        <w:rPr>
          <w:lang w:val="el-GR"/>
        </w:rPr>
        <w:t>μερικές φορές αναφέρονται ως δυσλειτουργική αιμορραγία μήτρας</w:t>
      </w:r>
      <w:r w:rsidR="000A14A5" w:rsidRPr="000A14A5">
        <w:rPr>
          <w:lang w:val="el-GR"/>
        </w:rPr>
        <w:t xml:space="preserve"> </w:t>
      </w:r>
      <w:r w:rsidR="000A14A5">
        <w:rPr>
          <w:lang w:val="el-GR"/>
        </w:rPr>
        <w:t>(</w:t>
      </w:r>
      <w:r w:rsidR="000A14A5">
        <w:t>dysfunctional</w:t>
      </w:r>
      <w:r w:rsidR="000A14A5" w:rsidRPr="000A14A5">
        <w:rPr>
          <w:lang w:val="el-GR"/>
        </w:rPr>
        <w:t xml:space="preserve"> </w:t>
      </w:r>
      <w:r w:rsidR="000A14A5">
        <w:t>uterine</w:t>
      </w:r>
      <w:r w:rsidR="000A14A5" w:rsidRPr="000A14A5">
        <w:rPr>
          <w:lang w:val="el-GR"/>
        </w:rPr>
        <w:t xml:space="preserve"> </w:t>
      </w:r>
      <w:r w:rsidR="000A14A5">
        <w:t>bleeding</w:t>
      </w:r>
      <w:r w:rsidR="000A14A5" w:rsidRPr="000A14A5">
        <w:rPr>
          <w:lang w:val="el-GR"/>
        </w:rPr>
        <w:t xml:space="preserve">, </w:t>
      </w:r>
      <w:r w:rsidR="000A14A5">
        <w:t>DUB</w:t>
      </w:r>
      <w:r w:rsidR="000A14A5" w:rsidRPr="000A14A5">
        <w:rPr>
          <w:lang w:val="el-GR"/>
        </w:rPr>
        <w:t>)</w:t>
      </w:r>
      <w:r>
        <w:rPr>
          <w:lang w:val="el-GR"/>
        </w:rPr>
        <w:t>.</w:t>
      </w:r>
    </w:p>
    <w:p w:rsidR="000A14A5" w:rsidRPr="00AA6642" w:rsidRDefault="000A14A5" w:rsidP="009D672F">
      <w:pPr>
        <w:tabs>
          <w:tab w:val="left" w:pos="567"/>
        </w:tabs>
        <w:spacing w:after="0"/>
        <w:jc w:val="both"/>
        <w:rPr>
          <w:rFonts w:ascii="Times New Roman" w:hAnsi="Times New Roman"/>
          <w:sz w:val="24"/>
          <w:szCs w:val="24"/>
          <w:lang w:val="el-GR"/>
        </w:rPr>
      </w:pPr>
      <w:r w:rsidRPr="00C276C6">
        <w:rPr>
          <w:rFonts w:ascii="Times New Roman" w:hAnsi="Times New Roman"/>
          <w:sz w:val="24"/>
          <w:szCs w:val="24"/>
          <w:lang w:val="el-GR"/>
        </w:rPr>
        <w:t xml:space="preserve">Δύο </w:t>
      </w:r>
      <w:r>
        <w:rPr>
          <w:rFonts w:ascii="Times New Roman" w:hAnsi="Times New Roman"/>
          <w:sz w:val="24"/>
          <w:szCs w:val="24"/>
          <w:lang w:val="el-GR"/>
        </w:rPr>
        <w:t xml:space="preserve">πολυκεντρικές, </w:t>
      </w:r>
      <w:r w:rsidR="00004474">
        <w:rPr>
          <w:rFonts w:ascii="Times New Roman" w:hAnsi="Times New Roman"/>
          <w:sz w:val="24"/>
          <w:szCs w:val="24"/>
          <w:lang w:val="el-GR"/>
        </w:rPr>
        <w:t>διπλά</w:t>
      </w:r>
      <w:r w:rsidRPr="00C276C6">
        <w:rPr>
          <w:rFonts w:ascii="Times New Roman" w:hAnsi="Times New Roman"/>
          <w:sz w:val="24"/>
          <w:szCs w:val="24"/>
          <w:lang w:val="el-GR"/>
        </w:rPr>
        <w:t xml:space="preserve"> τυφλές, </w:t>
      </w:r>
      <w:r>
        <w:rPr>
          <w:rFonts w:ascii="Times New Roman" w:hAnsi="Times New Roman"/>
          <w:sz w:val="24"/>
          <w:szCs w:val="24"/>
          <w:lang w:val="el-GR"/>
        </w:rPr>
        <w:t xml:space="preserve">τυχαιοποιημένες </w:t>
      </w:r>
      <w:r w:rsidRPr="00C276C6">
        <w:rPr>
          <w:rFonts w:ascii="Times New Roman" w:hAnsi="Times New Roman"/>
          <w:sz w:val="24"/>
          <w:szCs w:val="24"/>
          <w:lang w:val="el-GR"/>
        </w:rPr>
        <w:t>μελέτες</w:t>
      </w:r>
      <w:r w:rsidR="005B31DF">
        <w:rPr>
          <w:rFonts w:ascii="Times New Roman" w:hAnsi="Times New Roman"/>
          <w:sz w:val="24"/>
          <w:szCs w:val="24"/>
          <w:lang w:val="el-GR"/>
        </w:rPr>
        <w:t xml:space="preserve"> παρόμοιου σχεδιασμού</w:t>
      </w:r>
      <w:r>
        <w:rPr>
          <w:rFonts w:ascii="Times New Roman" w:hAnsi="Times New Roman"/>
          <w:sz w:val="24"/>
          <w:szCs w:val="24"/>
          <w:lang w:val="el-GR"/>
        </w:rPr>
        <w:t xml:space="preserve"> πραγματοποιήθηκαν για να αξιολογήσουν</w:t>
      </w:r>
      <w:r w:rsidRPr="00C276C6">
        <w:rPr>
          <w:rFonts w:ascii="Times New Roman" w:hAnsi="Times New Roman"/>
          <w:sz w:val="24"/>
          <w:szCs w:val="24"/>
          <w:lang w:val="el-GR"/>
        </w:rPr>
        <w:t xml:space="preserve"> την αποτελεσματικότη</w:t>
      </w:r>
      <w:r>
        <w:rPr>
          <w:rFonts w:ascii="Times New Roman" w:hAnsi="Times New Roman"/>
          <w:sz w:val="24"/>
          <w:szCs w:val="24"/>
          <w:lang w:val="el-GR"/>
        </w:rPr>
        <w:t xml:space="preserve">τα και την ασφάλεια του </w:t>
      </w:r>
      <w:r>
        <w:rPr>
          <w:rFonts w:ascii="Times New Roman" w:hAnsi="Times New Roman"/>
          <w:sz w:val="24"/>
          <w:szCs w:val="24"/>
        </w:rPr>
        <w:t>Qlaira</w:t>
      </w:r>
      <w:r>
        <w:rPr>
          <w:rFonts w:ascii="Times New Roman" w:hAnsi="Times New Roman"/>
          <w:sz w:val="24"/>
          <w:szCs w:val="24"/>
          <w:lang w:val="el-GR"/>
        </w:rPr>
        <w:t xml:space="preserve"> σε γυναίκες με συμπτώματα</w:t>
      </w:r>
      <w:r w:rsidRPr="00C276C6">
        <w:rPr>
          <w:rFonts w:ascii="Times New Roman" w:hAnsi="Times New Roman"/>
          <w:sz w:val="24"/>
          <w:szCs w:val="24"/>
          <w:lang w:val="el-GR"/>
        </w:rPr>
        <w:t xml:space="preserve"> </w:t>
      </w:r>
      <w:r>
        <w:rPr>
          <w:rFonts w:ascii="Times New Roman" w:hAnsi="Times New Roman"/>
          <w:sz w:val="24"/>
          <w:szCs w:val="24"/>
        </w:rPr>
        <w:t>DUB</w:t>
      </w:r>
      <w:r>
        <w:rPr>
          <w:rFonts w:ascii="Times New Roman" w:hAnsi="Times New Roman"/>
          <w:sz w:val="24"/>
          <w:szCs w:val="24"/>
          <w:lang w:val="el-GR"/>
        </w:rPr>
        <w:t xml:space="preserve"> </w:t>
      </w:r>
      <w:r w:rsidR="00A1504B">
        <w:rPr>
          <w:rFonts w:ascii="Times New Roman" w:hAnsi="Times New Roman"/>
          <w:sz w:val="24"/>
          <w:szCs w:val="24"/>
          <w:lang w:val="el-GR"/>
        </w:rPr>
        <w:t>που επιθυμ</w:t>
      </w:r>
      <w:r>
        <w:rPr>
          <w:rFonts w:ascii="Times New Roman" w:hAnsi="Times New Roman"/>
          <w:sz w:val="24"/>
          <w:szCs w:val="24"/>
          <w:lang w:val="el-GR"/>
        </w:rPr>
        <w:t>ούν από του στόματος αντισύλληψη</w:t>
      </w:r>
      <w:r w:rsidR="005B31DF">
        <w:rPr>
          <w:rFonts w:ascii="Times New Roman" w:hAnsi="Times New Roman"/>
          <w:sz w:val="24"/>
          <w:szCs w:val="24"/>
          <w:lang w:val="el-GR"/>
        </w:rPr>
        <w:t>.</w:t>
      </w:r>
      <w:r>
        <w:rPr>
          <w:rFonts w:ascii="Times New Roman" w:hAnsi="Times New Roman"/>
          <w:sz w:val="24"/>
          <w:szCs w:val="24"/>
          <w:lang w:val="el-GR"/>
        </w:rPr>
        <w:t xml:space="preserve"> Συνολικά</w:t>
      </w:r>
      <w:r w:rsidR="005B31DF">
        <w:rPr>
          <w:rFonts w:ascii="Times New Roman" w:hAnsi="Times New Roman"/>
          <w:sz w:val="24"/>
          <w:szCs w:val="24"/>
          <w:lang w:val="el-GR"/>
        </w:rPr>
        <w:t>,</w:t>
      </w:r>
      <w:r>
        <w:rPr>
          <w:rFonts w:ascii="Times New Roman" w:hAnsi="Times New Roman"/>
          <w:sz w:val="24"/>
          <w:szCs w:val="24"/>
          <w:lang w:val="el-GR"/>
        </w:rPr>
        <w:t xml:space="preserve"> 269 γυναίκες επιλέχτηκαν τυχαία για το </w:t>
      </w:r>
      <w:r>
        <w:rPr>
          <w:rFonts w:ascii="Times New Roman" w:hAnsi="Times New Roman"/>
          <w:sz w:val="24"/>
          <w:szCs w:val="24"/>
        </w:rPr>
        <w:t>Qlaira</w:t>
      </w:r>
      <w:r w:rsidRPr="00AA6642">
        <w:rPr>
          <w:rFonts w:ascii="Times New Roman" w:hAnsi="Times New Roman"/>
          <w:sz w:val="24"/>
          <w:szCs w:val="24"/>
          <w:lang w:val="el-GR"/>
        </w:rPr>
        <w:t xml:space="preserve"> </w:t>
      </w:r>
      <w:r>
        <w:rPr>
          <w:rFonts w:ascii="Times New Roman" w:hAnsi="Times New Roman"/>
          <w:sz w:val="24"/>
          <w:szCs w:val="24"/>
          <w:lang w:val="el-GR"/>
        </w:rPr>
        <w:t xml:space="preserve">και 152 για το εικονικό φάρμακο </w:t>
      </w:r>
      <w:r w:rsidRPr="00AA6642">
        <w:rPr>
          <w:rFonts w:ascii="Times New Roman" w:hAnsi="Times New Roman"/>
          <w:sz w:val="24"/>
          <w:szCs w:val="24"/>
          <w:lang w:val="el-GR"/>
        </w:rPr>
        <w:t>(</w:t>
      </w:r>
      <w:r>
        <w:rPr>
          <w:rFonts w:ascii="Times New Roman" w:hAnsi="Times New Roman"/>
          <w:sz w:val="24"/>
          <w:szCs w:val="24"/>
        </w:rPr>
        <w:t>placebo</w:t>
      </w:r>
      <w:r w:rsidRPr="00AA6642">
        <w:rPr>
          <w:rFonts w:ascii="Times New Roman" w:hAnsi="Times New Roman"/>
          <w:sz w:val="24"/>
          <w:szCs w:val="24"/>
          <w:lang w:val="el-GR"/>
        </w:rPr>
        <w:t>)</w:t>
      </w:r>
      <w:r w:rsidRPr="00C276C6">
        <w:rPr>
          <w:rFonts w:ascii="Times New Roman" w:hAnsi="Times New Roman"/>
          <w:sz w:val="24"/>
          <w:szCs w:val="24"/>
          <w:lang w:val="el-GR"/>
        </w:rPr>
        <w:t>.</w:t>
      </w:r>
    </w:p>
    <w:p w:rsidR="000A14A5" w:rsidRPr="000A14A5" w:rsidRDefault="000A14A5" w:rsidP="009D672F">
      <w:pPr>
        <w:tabs>
          <w:tab w:val="left" w:pos="567"/>
        </w:tabs>
        <w:spacing w:after="0"/>
        <w:jc w:val="both"/>
        <w:rPr>
          <w:rFonts w:ascii="Times New Roman" w:hAnsi="Times New Roman"/>
          <w:sz w:val="24"/>
          <w:szCs w:val="24"/>
          <w:lang w:val="el-GR"/>
        </w:rPr>
      </w:pPr>
      <w:r>
        <w:rPr>
          <w:rFonts w:ascii="Times New Roman" w:hAnsi="Times New Roman"/>
          <w:sz w:val="24"/>
          <w:szCs w:val="24"/>
          <w:lang w:val="el-GR"/>
        </w:rPr>
        <w:t>Μετά από 6 μήνες θεραπείας</w:t>
      </w:r>
      <w:r w:rsidR="005B31DF">
        <w:rPr>
          <w:rFonts w:ascii="Times New Roman" w:hAnsi="Times New Roman"/>
          <w:sz w:val="24"/>
          <w:szCs w:val="24"/>
          <w:lang w:val="el-GR"/>
        </w:rPr>
        <w:t>,</w:t>
      </w:r>
      <w:r>
        <w:rPr>
          <w:rFonts w:ascii="Times New Roman" w:hAnsi="Times New Roman"/>
          <w:sz w:val="24"/>
          <w:szCs w:val="24"/>
          <w:lang w:val="el-GR"/>
        </w:rPr>
        <w:t xml:space="preserve"> η </w:t>
      </w:r>
      <w:r w:rsidR="005B31DF">
        <w:rPr>
          <w:rFonts w:ascii="Times New Roman" w:hAnsi="Times New Roman"/>
          <w:sz w:val="24"/>
          <w:szCs w:val="24"/>
          <w:lang w:val="el-GR"/>
        </w:rPr>
        <w:t>διάμε</w:t>
      </w:r>
      <w:r>
        <w:rPr>
          <w:rFonts w:ascii="Times New Roman" w:hAnsi="Times New Roman"/>
          <w:sz w:val="24"/>
          <w:szCs w:val="24"/>
          <w:lang w:val="el-GR"/>
        </w:rPr>
        <w:t xml:space="preserve">ση </w:t>
      </w:r>
      <w:r w:rsidR="00815FAB">
        <w:rPr>
          <w:rFonts w:ascii="Times New Roman" w:hAnsi="Times New Roman"/>
          <w:sz w:val="24"/>
          <w:szCs w:val="24"/>
          <w:lang w:val="el-GR"/>
        </w:rPr>
        <w:t xml:space="preserve">τιμή της </w:t>
      </w:r>
      <w:r>
        <w:rPr>
          <w:rFonts w:ascii="Times New Roman" w:hAnsi="Times New Roman"/>
          <w:sz w:val="24"/>
          <w:szCs w:val="24"/>
          <w:lang w:val="el-GR"/>
        </w:rPr>
        <w:t>εμμηνορρυσιακή</w:t>
      </w:r>
      <w:r w:rsidR="00815FAB">
        <w:rPr>
          <w:rFonts w:ascii="Times New Roman" w:hAnsi="Times New Roman"/>
          <w:sz w:val="24"/>
          <w:szCs w:val="24"/>
          <w:lang w:val="el-GR"/>
        </w:rPr>
        <w:t>ς</w:t>
      </w:r>
      <w:r>
        <w:rPr>
          <w:rFonts w:ascii="Times New Roman" w:hAnsi="Times New Roman"/>
          <w:sz w:val="24"/>
          <w:szCs w:val="24"/>
          <w:lang w:val="el-GR"/>
        </w:rPr>
        <w:t xml:space="preserve"> απώλεια</w:t>
      </w:r>
      <w:r w:rsidR="00815FAB">
        <w:rPr>
          <w:rFonts w:ascii="Times New Roman" w:hAnsi="Times New Roman"/>
          <w:sz w:val="24"/>
          <w:szCs w:val="24"/>
          <w:lang w:val="el-GR"/>
        </w:rPr>
        <w:t>ς</w:t>
      </w:r>
      <w:r>
        <w:rPr>
          <w:rFonts w:ascii="Times New Roman" w:hAnsi="Times New Roman"/>
          <w:sz w:val="24"/>
          <w:szCs w:val="24"/>
          <w:lang w:val="el-GR"/>
        </w:rPr>
        <w:t xml:space="preserve"> αίματος (</w:t>
      </w:r>
      <w:r>
        <w:rPr>
          <w:rFonts w:ascii="Times New Roman" w:hAnsi="Times New Roman"/>
          <w:sz w:val="24"/>
          <w:szCs w:val="24"/>
        </w:rPr>
        <w:t>median</w:t>
      </w:r>
      <w:r w:rsidRPr="00AC0ECB">
        <w:rPr>
          <w:rFonts w:ascii="Times New Roman" w:hAnsi="Times New Roman"/>
          <w:sz w:val="24"/>
          <w:szCs w:val="24"/>
          <w:lang w:val="el-GR"/>
        </w:rPr>
        <w:t xml:space="preserve"> </w:t>
      </w:r>
      <w:r>
        <w:rPr>
          <w:rFonts w:ascii="Times New Roman" w:hAnsi="Times New Roman"/>
          <w:sz w:val="24"/>
          <w:szCs w:val="24"/>
        </w:rPr>
        <w:t>menstrual</w:t>
      </w:r>
      <w:r w:rsidRPr="00AC0ECB">
        <w:rPr>
          <w:rFonts w:ascii="Times New Roman" w:hAnsi="Times New Roman"/>
          <w:sz w:val="24"/>
          <w:szCs w:val="24"/>
          <w:lang w:val="el-GR"/>
        </w:rPr>
        <w:t xml:space="preserve"> </w:t>
      </w:r>
      <w:r>
        <w:rPr>
          <w:rFonts w:ascii="Times New Roman" w:hAnsi="Times New Roman"/>
          <w:sz w:val="24"/>
          <w:szCs w:val="24"/>
        </w:rPr>
        <w:t>blood</w:t>
      </w:r>
      <w:r w:rsidRPr="00AC0ECB">
        <w:rPr>
          <w:rFonts w:ascii="Times New Roman" w:hAnsi="Times New Roman"/>
          <w:sz w:val="24"/>
          <w:szCs w:val="24"/>
          <w:lang w:val="el-GR"/>
        </w:rPr>
        <w:t xml:space="preserve"> </w:t>
      </w:r>
      <w:r>
        <w:rPr>
          <w:rFonts w:ascii="Times New Roman" w:hAnsi="Times New Roman"/>
          <w:sz w:val="24"/>
          <w:szCs w:val="24"/>
        </w:rPr>
        <w:t>loss</w:t>
      </w:r>
      <w:r w:rsidRPr="00AC0ECB">
        <w:rPr>
          <w:rFonts w:ascii="Times New Roman" w:hAnsi="Times New Roman"/>
          <w:sz w:val="24"/>
          <w:szCs w:val="24"/>
          <w:lang w:val="el-GR"/>
        </w:rPr>
        <w:t xml:space="preserve">, </w:t>
      </w:r>
      <w:r>
        <w:rPr>
          <w:rFonts w:ascii="Times New Roman" w:hAnsi="Times New Roman"/>
          <w:sz w:val="24"/>
          <w:szCs w:val="24"/>
        </w:rPr>
        <w:t>MBL</w:t>
      </w:r>
      <w:r w:rsidRPr="00AC0ECB">
        <w:rPr>
          <w:rFonts w:ascii="Times New Roman" w:hAnsi="Times New Roman"/>
          <w:sz w:val="24"/>
          <w:szCs w:val="24"/>
          <w:lang w:val="el-GR"/>
        </w:rPr>
        <w:t>)</w:t>
      </w:r>
      <w:r>
        <w:rPr>
          <w:rFonts w:ascii="Times New Roman" w:hAnsi="Times New Roman"/>
          <w:sz w:val="24"/>
          <w:szCs w:val="24"/>
          <w:lang w:val="el-GR"/>
        </w:rPr>
        <w:t xml:space="preserve"> μειώθηκε κατά 88%</w:t>
      </w:r>
      <w:r w:rsidR="005B31DF">
        <w:rPr>
          <w:rFonts w:ascii="Times New Roman" w:hAnsi="Times New Roman"/>
          <w:sz w:val="24"/>
          <w:szCs w:val="24"/>
          <w:lang w:val="el-GR"/>
        </w:rPr>
        <w:t>,</w:t>
      </w:r>
      <w:r>
        <w:rPr>
          <w:rFonts w:ascii="Times New Roman" w:hAnsi="Times New Roman"/>
          <w:sz w:val="24"/>
          <w:szCs w:val="24"/>
          <w:lang w:val="el-GR"/>
        </w:rPr>
        <w:t xml:space="preserve"> από 142 </w:t>
      </w:r>
      <w:r>
        <w:rPr>
          <w:rFonts w:ascii="Times New Roman" w:hAnsi="Times New Roman"/>
          <w:sz w:val="24"/>
          <w:szCs w:val="24"/>
        </w:rPr>
        <w:t>mL</w:t>
      </w:r>
      <w:r w:rsidRPr="000A14A5">
        <w:rPr>
          <w:rFonts w:ascii="Times New Roman" w:hAnsi="Times New Roman"/>
          <w:sz w:val="24"/>
          <w:szCs w:val="24"/>
          <w:lang w:val="el-GR"/>
        </w:rPr>
        <w:t xml:space="preserve"> </w:t>
      </w:r>
      <w:r>
        <w:rPr>
          <w:rFonts w:ascii="Times New Roman" w:hAnsi="Times New Roman"/>
          <w:sz w:val="24"/>
          <w:szCs w:val="24"/>
          <w:lang w:val="el-GR"/>
        </w:rPr>
        <w:t xml:space="preserve">σε </w:t>
      </w:r>
      <w:r w:rsidRPr="000A14A5">
        <w:rPr>
          <w:rFonts w:ascii="Times New Roman" w:hAnsi="Times New Roman"/>
          <w:sz w:val="24"/>
          <w:szCs w:val="24"/>
          <w:lang w:val="el-GR"/>
        </w:rPr>
        <w:t xml:space="preserve">17 </w:t>
      </w:r>
      <w:r>
        <w:rPr>
          <w:rFonts w:ascii="Times New Roman" w:hAnsi="Times New Roman"/>
          <w:sz w:val="24"/>
          <w:szCs w:val="24"/>
        </w:rPr>
        <w:t>mL</w:t>
      </w:r>
      <w:r w:rsidR="005B31DF">
        <w:rPr>
          <w:rFonts w:ascii="Times New Roman" w:hAnsi="Times New Roman"/>
          <w:sz w:val="24"/>
          <w:szCs w:val="24"/>
          <w:lang w:val="el-GR"/>
        </w:rPr>
        <w:t>,</w:t>
      </w:r>
      <w:r w:rsidRPr="000A14A5">
        <w:rPr>
          <w:rFonts w:ascii="Times New Roman" w:hAnsi="Times New Roman"/>
          <w:sz w:val="24"/>
          <w:szCs w:val="24"/>
          <w:lang w:val="el-GR"/>
        </w:rPr>
        <w:t xml:space="preserve"> </w:t>
      </w:r>
      <w:r>
        <w:rPr>
          <w:rFonts w:ascii="Times New Roman" w:hAnsi="Times New Roman"/>
          <w:sz w:val="24"/>
          <w:szCs w:val="24"/>
          <w:lang w:val="el-GR"/>
        </w:rPr>
        <w:t xml:space="preserve">στην ομάδα του </w:t>
      </w:r>
      <w:r>
        <w:rPr>
          <w:rFonts w:ascii="Times New Roman" w:hAnsi="Times New Roman"/>
          <w:sz w:val="24"/>
          <w:szCs w:val="24"/>
        </w:rPr>
        <w:t>Qlaira</w:t>
      </w:r>
      <w:r w:rsidRPr="000A14A5">
        <w:rPr>
          <w:rFonts w:ascii="Times New Roman" w:hAnsi="Times New Roman"/>
          <w:sz w:val="24"/>
          <w:szCs w:val="24"/>
          <w:lang w:val="el-GR"/>
        </w:rPr>
        <w:t xml:space="preserve"> </w:t>
      </w:r>
      <w:r w:rsidR="005B31DF">
        <w:rPr>
          <w:rFonts w:ascii="Times New Roman" w:hAnsi="Times New Roman"/>
          <w:sz w:val="24"/>
          <w:szCs w:val="24"/>
          <w:lang w:val="el-GR"/>
        </w:rPr>
        <w:t xml:space="preserve">σε σύγκριση με </w:t>
      </w:r>
      <w:r>
        <w:rPr>
          <w:rFonts w:ascii="Times New Roman" w:hAnsi="Times New Roman"/>
          <w:sz w:val="24"/>
          <w:szCs w:val="24"/>
          <w:lang w:val="el-GR"/>
        </w:rPr>
        <w:t>24%</w:t>
      </w:r>
      <w:r w:rsidR="005B31DF">
        <w:rPr>
          <w:rFonts w:ascii="Times New Roman" w:hAnsi="Times New Roman"/>
          <w:sz w:val="24"/>
          <w:szCs w:val="24"/>
          <w:lang w:val="el-GR"/>
        </w:rPr>
        <w:t>,</w:t>
      </w:r>
      <w:r>
        <w:rPr>
          <w:rFonts w:ascii="Times New Roman" w:hAnsi="Times New Roman"/>
          <w:sz w:val="24"/>
          <w:szCs w:val="24"/>
          <w:lang w:val="el-GR"/>
        </w:rPr>
        <w:t xml:space="preserve"> από 154 </w:t>
      </w:r>
      <w:r>
        <w:rPr>
          <w:rFonts w:ascii="Times New Roman" w:hAnsi="Times New Roman"/>
          <w:sz w:val="24"/>
          <w:szCs w:val="24"/>
        </w:rPr>
        <w:t>mL</w:t>
      </w:r>
      <w:r w:rsidRPr="000A14A5">
        <w:rPr>
          <w:rFonts w:ascii="Times New Roman" w:hAnsi="Times New Roman"/>
          <w:sz w:val="24"/>
          <w:szCs w:val="24"/>
          <w:lang w:val="el-GR"/>
        </w:rPr>
        <w:t xml:space="preserve"> </w:t>
      </w:r>
      <w:r>
        <w:rPr>
          <w:rFonts w:ascii="Times New Roman" w:hAnsi="Times New Roman"/>
          <w:sz w:val="24"/>
          <w:szCs w:val="24"/>
          <w:lang w:val="el-GR"/>
        </w:rPr>
        <w:t xml:space="preserve">σε 117 </w:t>
      </w:r>
      <w:r>
        <w:rPr>
          <w:rFonts w:ascii="Times New Roman" w:hAnsi="Times New Roman"/>
          <w:sz w:val="24"/>
          <w:szCs w:val="24"/>
        </w:rPr>
        <w:t>mL</w:t>
      </w:r>
      <w:r w:rsidR="005B31DF">
        <w:rPr>
          <w:rFonts w:ascii="Times New Roman" w:hAnsi="Times New Roman"/>
          <w:sz w:val="24"/>
          <w:szCs w:val="24"/>
          <w:lang w:val="el-GR"/>
        </w:rPr>
        <w:t>,</w:t>
      </w:r>
      <w:r w:rsidRPr="000A14A5">
        <w:rPr>
          <w:rFonts w:ascii="Times New Roman" w:hAnsi="Times New Roman"/>
          <w:sz w:val="24"/>
          <w:szCs w:val="24"/>
          <w:lang w:val="el-GR"/>
        </w:rPr>
        <w:t xml:space="preserve"> </w:t>
      </w:r>
      <w:r>
        <w:rPr>
          <w:rFonts w:ascii="Times New Roman" w:hAnsi="Times New Roman"/>
          <w:sz w:val="24"/>
          <w:szCs w:val="24"/>
          <w:lang w:val="el-GR"/>
        </w:rPr>
        <w:t>στην ομάδα του εικονικού φαρμάκου (</w:t>
      </w:r>
      <w:r>
        <w:rPr>
          <w:rFonts w:ascii="Times New Roman" w:hAnsi="Times New Roman"/>
          <w:sz w:val="24"/>
          <w:szCs w:val="24"/>
        </w:rPr>
        <w:t>placebo</w:t>
      </w:r>
      <w:r w:rsidRPr="000A14A5">
        <w:rPr>
          <w:rFonts w:ascii="Times New Roman" w:hAnsi="Times New Roman"/>
          <w:sz w:val="24"/>
          <w:szCs w:val="24"/>
          <w:lang w:val="el-GR"/>
        </w:rPr>
        <w:t>).</w:t>
      </w:r>
    </w:p>
    <w:p w:rsidR="00E023B4" w:rsidRDefault="00F94B81" w:rsidP="009D672F">
      <w:pPr>
        <w:pStyle w:val="Para0s"/>
        <w:spacing w:after="0"/>
      </w:pPr>
      <w:r>
        <w:rPr>
          <w:lang w:val="el-GR"/>
        </w:rPr>
        <w:lastRenderedPageBreak/>
        <w:t>Μετά από 6 μήνες θεραπείας</w:t>
      </w:r>
      <w:r w:rsidR="005B31DF">
        <w:rPr>
          <w:lang w:val="el-GR"/>
        </w:rPr>
        <w:t>,</w:t>
      </w:r>
      <w:r>
        <w:rPr>
          <w:lang w:val="el-GR"/>
        </w:rPr>
        <w:t xml:space="preserve"> η αναλογία των γυναικών που θεραπεύτηκαν τελείως από οποιοδήποτε σύμπτωμα </w:t>
      </w:r>
      <w:r>
        <w:t>DUB</w:t>
      </w:r>
      <w:r w:rsidRPr="00F94B81">
        <w:rPr>
          <w:lang w:val="el-GR"/>
        </w:rPr>
        <w:t xml:space="preserve"> </w:t>
      </w:r>
      <w:r>
        <w:rPr>
          <w:lang w:val="el-GR"/>
        </w:rPr>
        <w:t xml:space="preserve">ήταν 29% στην ομάδα του </w:t>
      </w:r>
      <w:r>
        <w:t>Qlaira</w:t>
      </w:r>
      <w:r w:rsidRPr="00F94B81">
        <w:rPr>
          <w:lang w:val="el-GR"/>
        </w:rPr>
        <w:t xml:space="preserve"> </w:t>
      </w:r>
      <w:r w:rsidR="005B31DF">
        <w:rPr>
          <w:lang w:val="el-GR"/>
        </w:rPr>
        <w:t>σε σύγκριση με</w:t>
      </w:r>
      <w:r>
        <w:rPr>
          <w:lang w:val="el-GR"/>
        </w:rPr>
        <w:t xml:space="preserve"> 2% σ</w:t>
      </w:r>
      <w:r w:rsidR="000C253D">
        <w:rPr>
          <w:lang w:val="el-GR"/>
        </w:rPr>
        <w:t>την ομάδα του εικονικού φαρμάκου</w:t>
      </w:r>
      <w:r>
        <w:rPr>
          <w:lang w:val="el-GR"/>
        </w:rPr>
        <w:t>.</w:t>
      </w:r>
    </w:p>
    <w:p w:rsidR="00C1567C" w:rsidRPr="003B0D84" w:rsidRDefault="00A82EE9" w:rsidP="009D672F">
      <w:pPr>
        <w:pStyle w:val="Para0s"/>
        <w:spacing w:after="0"/>
        <w:rPr>
          <w:lang w:val="el-GR"/>
        </w:rPr>
      </w:pPr>
      <w:r w:rsidRPr="003B0D84">
        <w:rPr>
          <w:lang w:val="el-GR"/>
        </w:rPr>
        <w:t>Το</w:t>
      </w:r>
      <w:r w:rsidRPr="00B85586">
        <w:t xml:space="preserve"> </w:t>
      </w:r>
      <w:r w:rsidRPr="003B0D84">
        <w:rPr>
          <w:lang w:val="el-GR"/>
        </w:rPr>
        <w:t>οιστρογόνο</w:t>
      </w:r>
      <w:r w:rsidRPr="00B85586">
        <w:t xml:space="preserve"> </w:t>
      </w:r>
      <w:r w:rsidRPr="003B0D84">
        <w:rPr>
          <w:lang w:val="el-GR"/>
        </w:rPr>
        <w:t>στο</w:t>
      </w:r>
      <w:r w:rsidRPr="00B85586">
        <w:t xml:space="preserve"> </w:t>
      </w:r>
      <w:r w:rsidRPr="003B0D84">
        <w:t>Qlaira</w:t>
      </w:r>
      <w:r w:rsidRPr="00B85586">
        <w:t xml:space="preserve"> </w:t>
      </w:r>
      <w:r w:rsidRPr="003B0D84">
        <w:rPr>
          <w:lang w:val="el-GR"/>
        </w:rPr>
        <w:t>είναι</w:t>
      </w:r>
      <w:r w:rsidRPr="00B85586">
        <w:t xml:space="preserve"> </w:t>
      </w:r>
      <w:r w:rsidRPr="003B0D84">
        <w:rPr>
          <w:lang w:val="el-GR"/>
        </w:rPr>
        <w:t>το</w:t>
      </w:r>
      <w:r w:rsidRPr="00B85586">
        <w:t xml:space="preserve"> </w:t>
      </w:r>
      <w:r w:rsidRPr="003B0D84">
        <w:t>estradiol</w:t>
      </w:r>
      <w:r w:rsidRPr="00B85586">
        <w:t xml:space="preserve"> </w:t>
      </w:r>
      <w:r w:rsidRPr="003B0D84">
        <w:t>valerate</w:t>
      </w:r>
      <w:r w:rsidRPr="00B85586">
        <w:t xml:space="preserve">, </w:t>
      </w:r>
      <w:r w:rsidRPr="003B0D84">
        <w:rPr>
          <w:lang w:val="el-GR"/>
        </w:rPr>
        <w:t>ένας</w:t>
      </w:r>
      <w:r w:rsidRPr="00B85586">
        <w:t xml:space="preserve"> </w:t>
      </w:r>
      <w:r w:rsidRPr="003B0D84">
        <w:rPr>
          <w:lang w:val="el-GR"/>
        </w:rPr>
        <w:t>εστέρας</w:t>
      </w:r>
      <w:r w:rsidRPr="00B85586">
        <w:t xml:space="preserve"> </w:t>
      </w:r>
      <w:r w:rsidR="00125255" w:rsidRPr="003B0D84">
        <w:rPr>
          <w:lang w:val="el-GR"/>
        </w:rPr>
        <w:t>της</w:t>
      </w:r>
      <w:r w:rsidR="00125255" w:rsidRPr="00B85586">
        <w:t xml:space="preserve"> </w:t>
      </w:r>
      <w:r w:rsidR="00125255" w:rsidRPr="003B0D84">
        <w:rPr>
          <w:lang w:val="el-GR"/>
        </w:rPr>
        <w:t>φυσικής</w:t>
      </w:r>
      <w:r w:rsidR="00125255" w:rsidRPr="00B85586">
        <w:t xml:space="preserve"> </w:t>
      </w:r>
      <w:r w:rsidRPr="003B0D84">
        <w:rPr>
          <w:lang w:val="el-GR"/>
        </w:rPr>
        <w:t>ανθρώπινης</w:t>
      </w:r>
      <w:r w:rsidRPr="00B85586">
        <w:t xml:space="preserve"> 17ß-</w:t>
      </w:r>
      <w:r w:rsidRPr="003B0D84">
        <w:t>estradiol</w:t>
      </w:r>
      <w:r w:rsidRPr="00B85586">
        <w:t xml:space="preserve"> (1 </w:t>
      </w:r>
      <w:r w:rsidRPr="003B0D84">
        <w:t>mg</w:t>
      </w:r>
      <w:r w:rsidRPr="00B85586">
        <w:t xml:space="preserve"> </w:t>
      </w:r>
      <w:r w:rsidRPr="003B0D84">
        <w:t>estradiol</w:t>
      </w:r>
      <w:r w:rsidRPr="00B85586">
        <w:t xml:space="preserve"> </w:t>
      </w:r>
      <w:r w:rsidRPr="003B0D84">
        <w:t>valerate</w:t>
      </w:r>
      <w:r w:rsidRPr="00B85586">
        <w:t xml:space="preserve"> </w:t>
      </w:r>
      <w:r w:rsidRPr="003B0D84">
        <w:rPr>
          <w:lang w:val="el-GR"/>
        </w:rPr>
        <w:t>αντιστοιχεί</w:t>
      </w:r>
      <w:r w:rsidRPr="00B85586">
        <w:t xml:space="preserve"> </w:t>
      </w:r>
      <w:r w:rsidRPr="003B0D84">
        <w:rPr>
          <w:lang w:val="el-GR"/>
        </w:rPr>
        <w:t>σε</w:t>
      </w:r>
      <w:r w:rsidRPr="00B85586">
        <w:t xml:space="preserve"> 0,76 </w:t>
      </w:r>
      <w:r w:rsidRPr="003B0D84">
        <w:t>mg</w:t>
      </w:r>
      <w:r w:rsidRPr="00B85586">
        <w:t xml:space="preserve"> 17ß-</w:t>
      </w:r>
      <w:r w:rsidRPr="003B0D84">
        <w:t>estradiol</w:t>
      </w:r>
      <w:r w:rsidRPr="00B85586">
        <w:t>)</w:t>
      </w:r>
      <w:r w:rsidR="005B31DF" w:rsidRPr="00B85586">
        <w:t>.</w:t>
      </w:r>
      <w:r w:rsidRPr="00B85586">
        <w:t xml:space="preserve"> </w:t>
      </w:r>
      <w:r w:rsidR="005A0FC7" w:rsidRPr="003B0D84">
        <w:rPr>
          <w:lang w:val="el-GR"/>
        </w:rPr>
        <w:t>Αυτό τ</w:t>
      </w:r>
      <w:r w:rsidR="004A3F15">
        <w:rPr>
          <w:lang w:val="el-GR"/>
        </w:rPr>
        <w:t>ο οιστρογόνο</w:t>
      </w:r>
      <w:r w:rsidR="00C1567C" w:rsidRPr="003B0D84">
        <w:rPr>
          <w:lang w:val="el-GR"/>
        </w:rPr>
        <w:t xml:space="preserve"> είναι  διαφορετικό από τα οιστρογόνα</w:t>
      </w:r>
      <w:r w:rsidR="005A0FC7" w:rsidRPr="003B0D84">
        <w:rPr>
          <w:lang w:val="el-GR"/>
        </w:rPr>
        <w:t xml:space="preserve"> </w:t>
      </w:r>
      <w:r w:rsidR="00C1567C" w:rsidRPr="003B0D84">
        <w:rPr>
          <w:lang w:val="el-GR"/>
        </w:rPr>
        <w:t>αιθινυλοιστραδιόλη ή το προφάρμακό της μεστρανόλη</w:t>
      </w:r>
      <w:r w:rsidR="00287966" w:rsidRPr="003B0D84">
        <w:rPr>
          <w:lang w:val="el-GR"/>
        </w:rPr>
        <w:t xml:space="preserve"> που χρησιμοποιούνται σε άλλα</w:t>
      </w:r>
      <w:r w:rsidR="005A0FC7" w:rsidRPr="003B0D84">
        <w:rPr>
          <w:lang w:val="el-GR"/>
        </w:rPr>
        <w:t xml:space="preserve"> συνδυασμένα από του στόματος αντισυλληπτικά εξαιτίας της έλλειψης</w:t>
      </w:r>
      <w:r w:rsidR="00C1567C" w:rsidRPr="003B0D84">
        <w:rPr>
          <w:lang w:val="el-GR"/>
        </w:rPr>
        <w:t xml:space="preserve"> μια</w:t>
      </w:r>
      <w:r w:rsidR="005A0FC7" w:rsidRPr="003B0D84">
        <w:rPr>
          <w:lang w:val="el-GR"/>
        </w:rPr>
        <w:t>ς</w:t>
      </w:r>
      <w:r w:rsidR="00C1567C" w:rsidRPr="003B0D84">
        <w:rPr>
          <w:lang w:val="el-GR"/>
        </w:rPr>
        <w:t xml:space="preserve"> αιθινυλική</w:t>
      </w:r>
      <w:r w:rsidR="005A0FC7" w:rsidRPr="003B0D84">
        <w:rPr>
          <w:lang w:val="el-GR"/>
        </w:rPr>
        <w:t>ς</w:t>
      </w:r>
      <w:r w:rsidR="00C1567C" w:rsidRPr="003B0D84">
        <w:rPr>
          <w:lang w:val="el-GR"/>
        </w:rPr>
        <w:t xml:space="preserve"> ομάδα</w:t>
      </w:r>
      <w:r w:rsidR="005A0FC7" w:rsidRPr="003B0D84">
        <w:rPr>
          <w:lang w:val="el-GR"/>
        </w:rPr>
        <w:t>ς</w:t>
      </w:r>
      <w:r w:rsidR="00C1567C" w:rsidRPr="003B0D84">
        <w:rPr>
          <w:lang w:val="el-GR"/>
        </w:rPr>
        <w:t xml:space="preserve"> στη θέση 17</w:t>
      </w:r>
      <w:r w:rsidR="00B23F85" w:rsidRPr="003B0D84">
        <w:rPr>
          <w:lang w:val="el-GR"/>
        </w:rPr>
        <w:t>άλφα</w:t>
      </w:r>
      <w:r w:rsidR="00C1567C" w:rsidRPr="003B0D84">
        <w:rPr>
          <w:lang w:val="el-GR"/>
        </w:rPr>
        <w:t xml:space="preserve">.  </w:t>
      </w:r>
    </w:p>
    <w:p w:rsidR="00067E56" w:rsidRPr="003B0D84" w:rsidRDefault="00067E56"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Το </w:t>
      </w:r>
      <w:r w:rsidRPr="003B0D84">
        <w:rPr>
          <w:rFonts w:ascii="Times New Roman" w:hAnsi="Times New Roman"/>
          <w:sz w:val="24"/>
          <w:szCs w:val="24"/>
        </w:rPr>
        <w:t>dienogest</w:t>
      </w:r>
      <w:r w:rsidRPr="003B0D84">
        <w:rPr>
          <w:rFonts w:ascii="Times New Roman" w:hAnsi="Times New Roman"/>
          <w:sz w:val="24"/>
          <w:szCs w:val="24"/>
          <w:lang w:val="el-GR"/>
        </w:rPr>
        <w:t xml:space="preserve"> είναι ένα παράγωγο της νορτεστοστερόνης χωρίς ανδρογονικ</w:t>
      </w:r>
      <w:r w:rsidR="00287966" w:rsidRPr="003B0D84">
        <w:rPr>
          <w:rFonts w:ascii="Times New Roman" w:hAnsi="Times New Roman"/>
          <w:sz w:val="24"/>
          <w:szCs w:val="24"/>
          <w:lang w:val="el-GR"/>
        </w:rPr>
        <w:t>ή αλλά με αντι-ανδρογονική δραστικότητα</w:t>
      </w:r>
      <w:r w:rsidR="00E94437" w:rsidRPr="003B0D84">
        <w:rPr>
          <w:rFonts w:ascii="Times New Roman" w:hAnsi="Times New Roman"/>
          <w:sz w:val="24"/>
          <w:szCs w:val="24"/>
          <w:lang w:val="el-GR"/>
        </w:rPr>
        <w:t xml:space="preserve"> ίση περίπου με το ένα τρίτο αυτής του </w:t>
      </w:r>
      <w:r w:rsidR="00E94437" w:rsidRPr="003B0D84">
        <w:rPr>
          <w:rFonts w:ascii="Times New Roman" w:hAnsi="Times New Roman"/>
          <w:sz w:val="24"/>
          <w:szCs w:val="24"/>
        </w:rPr>
        <w:t>cyproterone</w:t>
      </w:r>
      <w:r w:rsidR="00E94437" w:rsidRPr="003B0D84">
        <w:rPr>
          <w:rFonts w:ascii="Times New Roman" w:hAnsi="Times New Roman"/>
          <w:sz w:val="24"/>
          <w:szCs w:val="24"/>
          <w:lang w:val="el-GR"/>
        </w:rPr>
        <w:t xml:space="preserve"> </w:t>
      </w:r>
      <w:r w:rsidR="00E94437" w:rsidRPr="003B0D84">
        <w:rPr>
          <w:rFonts w:ascii="Times New Roman" w:hAnsi="Times New Roman"/>
          <w:sz w:val="24"/>
          <w:szCs w:val="24"/>
        </w:rPr>
        <w:t>acetate</w:t>
      </w:r>
      <w:r w:rsidR="00E94437" w:rsidRPr="003B0D84">
        <w:rPr>
          <w:rFonts w:ascii="Times New Roman" w:hAnsi="Times New Roman"/>
          <w:sz w:val="24"/>
          <w:szCs w:val="24"/>
          <w:lang w:val="el-GR"/>
        </w:rPr>
        <w:t xml:space="preserve">. Το </w:t>
      </w:r>
      <w:r w:rsidR="00E94437" w:rsidRPr="003B0D84">
        <w:rPr>
          <w:rFonts w:ascii="Times New Roman" w:hAnsi="Times New Roman"/>
          <w:sz w:val="24"/>
          <w:szCs w:val="24"/>
        </w:rPr>
        <w:t>dienogest</w:t>
      </w:r>
      <w:r w:rsidR="00E94437" w:rsidRPr="003B0D84">
        <w:rPr>
          <w:rFonts w:ascii="Times New Roman" w:hAnsi="Times New Roman"/>
          <w:sz w:val="24"/>
          <w:szCs w:val="24"/>
          <w:lang w:val="el-GR"/>
        </w:rPr>
        <w:t xml:space="preserve">  </w:t>
      </w:r>
      <w:r w:rsidR="00941FCF" w:rsidRPr="003B0D84">
        <w:rPr>
          <w:rFonts w:ascii="Times New Roman" w:hAnsi="Times New Roman"/>
          <w:sz w:val="24"/>
          <w:szCs w:val="24"/>
          <w:lang w:val="el-GR"/>
        </w:rPr>
        <w:t xml:space="preserve">δεσμεύεται από υποδοχείς προγεστερόνης στην ανθρώπινη μήτρα με μόνο 10% </w:t>
      </w:r>
      <w:r w:rsidR="00411DD8" w:rsidRPr="003B0D84">
        <w:rPr>
          <w:rFonts w:ascii="Times New Roman" w:hAnsi="Times New Roman"/>
          <w:sz w:val="24"/>
          <w:szCs w:val="24"/>
          <w:lang w:val="el-GR"/>
        </w:rPr>
        <w:t xml:space="preserve">της σχετικής </w:t>
      </w:r>
      <w:r w:rsidR="00511233" w:rsidRPr="003B0D84">
        <w:rPr>
          <w:rFonts w:ascii="Times New Roman" w:hAnsi="Times New Roman"/>
          <w:sz w:val="24"/>
          <w:szCs w:val="24"/>
          <w:lang w:val="el-GR"/>
        </w:rPr>
        <w:t xml:space="preserve">χημικής συγγένειας </w:t>
      </w:r>
      <w:r w:rsidR="00153C62" w:rsidRPr="003B0D84">
        <w:rPr>
          <w:rFonts w:ascii="Times New Roman" w:hAnsi="Times New Roman"/>
          <w:sz w:val="24"/>
          <w:szCs w:val="24"/>
          <w:lang w:val="el-GR"/>
        </w:rPr>
        <w:t>της προγεστερόνης.</w:t>
      </w:r>
      <w:r w:rsidR="00511233" w:rsidRPr="003B0D84">
        <w:rPr>
          <w:rFonts w:ascii="Times New Roman" w:hAnsi="Times New Roman"/>
          <w:sz w:val="24"/>
          <w:szCs w:val="24"/>
          <w:lang w:val="el-GR"/>
        </w:rPr>
        <w:t xml:space="preserve"> Παρόλη τη χαμηλή χημική συγγένεια με τον υποδοχέα προγεστερόνης, το </w:t>
      </w:r>
      <w:r w:rsidR="00511233" w:rsidRPr="003B0D84">
        <w:rPr>
          <w:rFonts w:ascii="Times New Roman" w:hAnsi="Times New Roman"/>
          <w:sz w:val="24"/>
          <w:szCs w:val="24"/>
        </w:rPr>
        <w:t>dienogest</w:t>
      </w:r>
      <w:r w:rsidR="00511233" w:rsidRPr="003B0D84">
        <w:rPr>
          <w:rFonts w:ascii="Times New Roman" w:hAnsi="Times New Roman"/>
          <w:sz w:val="24"/>
          <w:szCs w:val="24"/>
          <w:lang w:val="el-GR"/>
        </w:rPr>
        <w:t xml:space="preserve"> έχει ισχυρή προγεσταγονική</w:t>
      </w:r>
      <w:r w:rsidR="00287966" w:rsidRPr="003B0D84">
        <w:rPr>
          <w:rFonts w:ascii="Times New Roman" w:hAnsi="Times New Roman"/>
          <w:sz w:val="24"/>
          <w:szCs w:val="24"/>
          <w:lang w:val="el-GR"/>
        </w:rPr>
        <w:t xml:space="preserve"> επίδραση</w:t>
      </w:r>
      <w:r w:rsidR="00153C62" w:rsidRPr="003B0D84">
        <w:rPr>
          <w:rFonts w:ascii="Times New Roman" w:hAnsi="Times New Roman"/>
          <w:sz w:val="24"/>
          <w:szCs w:val="24"/>
          <w:lang w:val="el-GR"/>
        </w:rPr>
        <w:t xml:space="preserve"> </w:t>
      </w:r>
      <w:r w:rsidR="00511233" w:rsidRPr="003B0D84">
        <w:rPr>
          <w:rFonts w:ascii="Times New Roman" w:hAnsi="Times New Roman"/>
          <w:i/>
          <w:sz w:val="24"/>
          <w:szCs w:val="24"/>
        </w:rPr>
        <w:t>in</w:t>
      </w:r>
      <w:r w:rsidR="00511233" w:rsidRPr="003B0D84">
        <w:rPr>
          <w:rFonts w:ascii="Times New Roman" w:hAnsi="Times New Roman"/>
          <w:i/>
          <w:sz w:val="24"/>
          <w:szCs w:val="24"/>
          <w:lang w:val="el-GR"/>
        </w:rPr>
        <w:t xml:space="preserve"> </w:t>
      </w:r>
      <w:r w:rsidR="00511233" w:rsidRPr="003B0D84">
        <w:rPr>
          <w:rFonts w:ascii="Times New Roman" w:hAnsi="Times New Roman"/>
          <w:i/>
          <w:sz w:val="24"/>
          <w:szCs w:val="24"/>
        </w:rPr>
        <w:t>vivo</w:t>
      </w:r>
      <w:r w:rsidR="00511233" w:rsidRPr="003B0D84">
        <w:rPr>
          <w:rFonts w:ascii="Times New Roman" w:hAnsi="Times New Roman"/>
          <w:sz w:val="24"/>
          <w:szCs w:val="24"/>
          <w:lang w:val="el-GR"/>
        </w:rPr>
        <w:t xml:space="preserve">. Το </w:t>
      </w:r>
      <w:r w:rsidR="00511233" w:rsidRPr="003B0D84">
        <w:rPr>
          <w:rFonts w:ascii="Times New Roman" w:hAnsi="Times New Roman"/>
          <w:sz w:val="24"/>
          <w:szCs w:val="24"/>
        </w:rPr>
        <w:t>dienogest</w:t>
      </w:r>
      <w:r w:rsidR="00511233" w:rsidRPr="003B0D84">
        <w:rPr>
          <w:rFonts w:ascii="Times New Roman" w:hAnsi="Times New Roman"/>
          <w:sz w:val="24"/>
          <w:szCs w:val="24"/>
          <w:lang w:val="el-GR"/>
        </w:rPr>
        <w:t xml:space="preserve"> δεν έχει σημαντική</w:t>
      </w:r>
      <w:r w:rsidR="00287966" w:rsidRPr="003B0D84">
        <w:rPr>
          <w:rFonts w:ascii="Times New Roman" w:hAnsi="Times New Roman"/>
          <w:sz w:val="24"/>
          <w:szCs w:val="24"/>
          <w:lang w:val="el-GR"/>
        </w:rPr>
        <w:t xml:space="preserve"> ανδρογονική, αλατοκορτικοειδ</w:t>
      </w:r>
      <w:r w:rsidR="00125255" w:rsidRPr="003B0D84">
        <w:rPr>
          <w:rFonts w:ascii="Times New Roman" w:hAnsi="Times New Roman"/>
          <w:sz w:val="24"/>
          <w:szCs w:val="24"/>
          <w:lang w:val="el-GR"/>
        </w:rPr>
        <w:t>ική</w:t>
      </w:r>
      <w:r w:rsidR="00287966" w:rsidRPr="003B0D84">
        <w:rPr>
          <w:rFonts w:ascii="Times New Roman" w:hAnsi="Times New Roman"/>
          <w:sz w:val="24"/>
          <w:szCs w:val="24"/>
          <w:lang w:val="el-GR"/>
        </w:rPr>
        <w:t xml:space="preserve"> ή </w:t>
      </w:r>
      <w:r w:rsidR="00511233" w:rsidRPr="003B0D84">
        <w:rPr>
          <w:rFonts w:ascii="Times New Roman" w:hAnsi="Times New Roman"/>
          <w:sz w:val="24"/>
          <w:szCs w:val="24"/>
          <w:lang w:val="el-GR"/>
        </w:rPr>
        <w:t>γλυκοκορτικοειδ</w:t>
      </w:r>
      <w:r w:rsidR="00125255" w:rsidRPr="003B0D84">
        <w:rPr>
          <w:rFonts w:ascii="Times New Roman" w:hAnsi="Times New Roman"/>
          <w:sz w:val="24"/>
          <w:szCs w:val="24"/>
          <w:lang w:val="el-GR"/>
        </w:rPr>
        <w:t>ική</w:t>
      </w:r>
      <w:r w:rsidR="00511233" w:rsidRPr="003B0D84">
        <w:rPr>
          <w:rFonts w:ascii="Times New Roman" w:hAnsi="Times New Roman"/>
          <w:sz w:val="24"/>
          <w:szCs w:val="24"/>
          <w:lang w:val="el-GR"/>
        </w:rPr>
        <w:t xml:space="preserve"> δράση </w:t>
      </w:r>
      <w:r w:rsidR="00511233" w:rsidRPr="003B0D84">
        <w:rPr>
          <w:rFonts w:ascii="Times New Roman" w:hAnsi="Times New Roman"/>
          <w:i/>
          <w:sz w:val="24"/>
          <w:szCs w:val="24"/>
        </w:rPr>
        <w:t>in</w:t>
      </w:r>
      <w:r w:rsidR="00511233" w:rsidRPr="003B0D84">
        <w:rPr>
          <w:rFonts w:ascii="Times New Roman" w:hAnsi="Times New Roman"/>
          <w:i/>
          <w:sz w:val="24"/>
          <w:szCs w:val="24"/>
          <w:lang w:val="el-GR"/>
        </w:rPr>
        <w:t xml:space="preserve"> </w:t>
      </w:r>
      <w:r w:rsidR="00511233" w:rsidRPr="003B0D84">
        <w:rPr>
          <w:rFonts w:ascii="Times New Roman" w:hAnsi="Times New Roman"/>
          <w:i/>
          <w:sz w:val="24"/>
          <w:szCs w:val="24"/>
        </w:rPr>
        <w:t>vivo</w:t>
      </w:r>
      <w:r w:rsidR="00511233" w:rsidRPr="003B0D84">
        <w:rPr>
          <w:rFonts w:ascii="Times New Roman" w:hAnsi="Times New Roman"/>
          <w:sz w:val="24"/>
          <w:szCs w:val="24"/>
          <w:lang w:val="el-GR"/>
        </w:rPr>
        <w:t xml:space="preserve">. </w:t>
      </w:r>
    </w:p>
    <w:p w:rsidR="00E279C7" w:rsidRPr="00E0334D" w:rsidRDefault="00796D57" w:rsidP="009D672F">
      <w:pPr>
        <w:spacing w:after="0"/>
        <w:rPr>
          <w:rFonts w:ascii="Times New Roman" w:hAnsi="Times New Roman"/>
          <w:sz w:val="24"/>
          <w:szCs w:val="24"/>
          <w:lang w:val="el-GR"/>
        </w:rPr>
      </w:pPr>
      <w:r w:rsidRPr="003B0D84">
        <w:rPr>
          <w:rFonts w:ascii="Times New Roman" w:hAnsi="Times New Roman"/>
          <w:sz w:val="24"/>
          <w:szCs w:val="24"/>
          <w:lang w:val="el-GR"/>
        </w:rPr>
        <w:t>Η ενδομήτρια ιστολογία ερευνήθηκε σε μία υποομάδα γυναικών (</w:t>
      </w:r>
      <w:r w:rsidRPr="003B0D84">
        <w:rPr>
          <w:rFonts w:ascii="Times New Roman" w:hAnsi="Times New Roman"/>
          <w:sz w:val="24"/>
          <w:szCs w:val="24"/>
        </w:rPr>
        <w:t>n</w:t>
      </w:r>
      <w:r w:rsidRPr="003B0D84">
        <w:rPr>
          <w:rFonts w:ascii="Times New Roman" w:hAnsi="Times New Roman"/>
          <w:sz w:val="24"/>
          <w:szCs w:val="24"/>
          <w:lang w:val="el-GR"/>
        </w:rPr>
        <w:t xml:space="preserve">=218) σε μία κλινική μελέτη μετά από 20 κύκλους θεραπείας. Δεν υπήρχαν </w:t>
      </w:r>
      <w:r w:rsidR="00B23F85" w:rsidRPr="003B0D84">
        <w:rPr>
          <w:rFonts w:ascii="Times New Roman" w:hAnsi="Times New Roman"/>
          <w:sz w:val="24"/>
          <w:szCs w:val="24"/>
          <w:lang w:val="el-GR"/>
        </w:rPr>
        <w:t>μη φυσιολογικά</w:t>
      </w:r>
      <w:r w:rsidRPr="003B0D84">
        <w:rPr>
          <w:rFonts w:ascii="Times New Roman" w:hAnsi="Times New Roman"/>
          <w:sz w:val="24"/>
          <w:szCs w:val="24"/>
          <w:lang w:val="el-GR"/>
        </w:rPr>
        <w:t xml:space="preserve"> αποτελέσματα.</w:t>
      </w:r>
    </w:p>
    <w:p w:rsidR="00E279C7" w:rsidRDefault="00E279C7" w:rsidP="009D672F">
      <w:pPr>
        <w:spacing w:after="0"/>
        <w:rPr>
          <w:rFonts w:ascii="Times New Roman" w:hAnsi="Times New Roman"/>
          <w:b/>
          <w:sz w:val="24"/>
          <w:szCs w:val="24"/>
        </w:rPr>
      </w:pPr>
    </w:p>
    <w:p w:rsidR="00C1567C" w:rsidRPr="003B0D84" w:rsidRDefault="002B7023" w:rsidP="009D672F">
      <w:pPr>
        <w:spacing w:after="0"/>
        <w:rPr>
          <w:rFonts w:ascii="Times New Roman" w:hAnsi="Times New Roman"/>
          <w:b/>
          <w:sz w:val="24"/>
          <w:szCs w:val="24"/>
          <w:lang w:val="el-GR"/>
        </w:rPr>
      </w:pPr>
      <w:r w:rsidRPr="003B0D84">
        <w:rPr>
          <w:rFonts w:ascii="Times New Roman" w:hAnsi="Times New Roman"/>
          <w:b/>
          <w:sz w:val="24"/>
          <w:szCs w:val="24"/>
          <w:lang w:val="el-GR"/>
        </w:rPr>
        <w:t>5.2</w:t>
      </w:r>
      <w:r w:rsidR="000415AF">
        <w:rPr>
          <w:rFonts w:ascii="Times New Roman" w:hAnsi="Times New Roman"/>
          <w:b/>
          <w:sz w:val="24"/>
          <w:szCs w:val="24"/>
        </w:rPr>
        <w:t xml:space="preserve">  </w:t>
      </w:r>
      <w:r w:rsidRPr="003B0D84">
        <w:rPr>
          <w:rFonts w:ascii="Times New Roman" w:hAnsi="Times New Roman"/>
          <w:b/>
          <w:sz w:val="24"/>
          <w:szCs w:val="24"/>
          <w:lang w:val="el-GR"/>
        </w:rPr>
        <w:t xml:space="preserve"> </w:t>
      </w:r>
      <w:r w:rsidR="00C1567C" w:rsidRPr="003B0D84">
        <w:rPr>
          <w:rFonts w:ascii="Times New Roman" w:hAnsi="Times New Roman"/>
          <w:b/>
          <w:sz w:val="24"/>
          <w:szCs w:val="24"/>
          <w:lang w:val="el-GR"/>
        </w:rPr>
        <w:t>Φαρμακοκινητικές ιδιότητες</w:t>
      </w:r>
    </w:p>
    <w:p w:rsidR="00C1567C" w:rsidRPr="003B0D84" w:rsidRDefault="00C1567C" w:rsidP="009D672F">
      <w:pPr>
        <w:pStyle w:val="Bullet0dKT"/>
        <w:spacing w:before="0" w:after="0"/>
        <w:ind w:left="357" w:hanging="357"/>
        <w:rPr>
          <w:b/>
          <w:bCs/>
          <w:lang w:val="el-GR"/>
        </w:rPr>
      </w:pPr>
      <w:r w:rsidRPr="003B0D84">
        <w:rPr>
          <w:b/>
          <w:bCs/>
          <w:lang w:val="el-GR"/>
        </w:rPr>
        <w:t>Dienogest</w:t>
      </w:r>
    </w:p>
    <w:p w:rsidR="00C1567C" w:rsidRPr="003B0D84" w:rsidRDefault="00C1567C" w:rsidP="009D672F">
      <w:pPr>
        <w:pStyle w:val="ParaKT0sb"/>
        <w:spacing w:after="0"/>
        <w:rPr>
          <w:lang w:val="el-GR"/>
        </w:rPr>
      </w:pPr>
      <w:r w:rsidRPr="003B0D84">
        <w:rPr>
          <w:lang w:val="el-GR"/>
        </w:rPr>
        <w:t>Απορρόφηση</w:t>
      </w:r>
    </w:p>
    <w:p w:rsidR="00C1567C" w:rsidRPr="003B0D84" w:rsidRDefault="00C1567C" w:rsidP="009D672F">
      <w:pPr>
        <w:pStyle w:val="Para0s"/>
        <w:spacing w:after="0"/>
        <w:rPr>
          <w:lang w:val="el-GR"/>
        </w:rPr>
      </w:pPr>
      <w:bookmarkStart w:id="17" w:name="_Ref161742128"/>
      <w:r w:rsidRPr="003B0D84">
        <w:rPr>
          <w:lang w:val="el-GR"/>
        </w:rPr>
        <w:t>Μετά από χορήγηση από το στόμα, το dienogest απορρ</w:t>
      </w:r>
      <w:r w:rsidR="00287966" w:rsidRPr="003B0D84">
        <w:rPr>
          <w:lang w:val="el-GR"/>
        </w:rPr>
        <w:t>οφάται γρήγορα και σχεδόν πλήρως</w:t>
      </w:r>
      <w:r w:rsidRPr="003B0D84">
        <w:rPr>
          <w:lang w:val="el-GR"/>
        </w:rPr>
        <w:t>. Οι μέγιστες συγκεντρώσεις ορού</w:t>
      </w:r>
      <w:r w:rsidR="00287966" w:rsidRPr="003B0D84">
        <w:rPr>
          <w:lang w:val="el-GR"/>
        </w:rPr>
        <w:t>,</w:t>
      </w:r>
      <w:r w:rsidRPr="003B0D84">
        <w:rPr>
          <w:lang w:val="el-GR"/>
        </w:rPr>
        <w:t xml:space="preserve"> </w:t>
      </w:r>
      <w:r w:rsidR="00B23F85" w:rsidRPr="003B0D84">
        <w:rPr>
          <w:lang w:val="el-GR"/>
        </w:rPr>
        <w:t xml:space="preserve">της τάξης </w:t>
      </w:r>
      <w:r w:rsidRPr="003B0D84">
        <w:rPr>
          <w:lang w:val="el-GR"/>
        </w:rPr>
        <w:t>90,5 ng/ml</w:t>
      </w:r>
      <w:r w:rsidR="00961B91">
        <w:rPr>
          <w:lang w:val="el-GR"/>
        </w:rPr>
        <w:t>,</w:t>
      </w:r>
      <w:r w:rsidRPr="003B0D84">
        <w:rPr>
          <w:lang w:val="el-GR"/>
        </w:rPr>
        <w:t xml:space="preserve"> επιτυγχάνονται περίπου 1 ώρα μετά από τη χορήγηση</w:t>
      </w:r>
      <w:r w:rsidR="00961B91">
        <w:rPr>
          <w:lang w:val="el-GR"/>
        </w:rPr>
        <w:t xml:space="preserve"> από το στόμα του δισκίου Q</w:t>
      </w:r>
      <w:r w:rsidR="00961B91">
        <w:t>laira</w:t>
      </w:r>
      <w:r w:rsidR="00287966" w:rsidRPr="003B0D84">
        <w:rPr>
          <w:lang w:val="el-GR"/>
        </w:rPr>
        <w:t>,</w:t>
      </w:r>
      <w:r w:rsidRPr="003B0D84">
        <w:rPr>
          <w:lang w:val="el-GR"/>
        </w:rPr>
        <w:t xml:space="preserve"> το οποίο περιέχει 2 mg </w:t>
      </w:r>
      <w:r w:rsidR="00D95EBC" w:rsidRPr="003B0D84">
        <w:rPr>
          <w:lang w:val="el-GR"/>
        </w:rPr>
        <w:t>estradiol valerate</w:t>
      </w:r>
      <w:r w:rsidRPr="003B0D84">
        <w:rPr>
          <w:lang w:val="el-GR"/>
        </w:rPr>
        <w:t xml:space="preserve"> + 3 mg dienogest. Η βιοδιαθεσιμότητα είναι περίπου 91 %.</w:t>
      </w:r>
      <w:r w:rsidRPr="003B0D84">
        <w:rPr>
          <w:vertAlign w:val="superscript"/>
          <w:lang w:val="el-GR"/>
        </w:rPr>
        <w:t xml:space="preserve"> </w:t>
      </w:r>
      <w:r w:rsidRPr="003B0D84">
        <w:rPr>
          <w:lang w:val="el-GR"/>
        </w:rPr>
        <w:t>Οι φαρμακοκινητικές ιδιότητες του dienogest είναι ανάλογες της δόσης</w:t>
      </w:r>
      <w:r w:rsidR="00287966" w:rsidRPr="003B0D84">
        <w:rPr>
          <w:lang w:val="el-GR"/>
        </w:rPr>
        <w:t>,</w:t>
      </w:r>
      <w:r w:rsidRPr="003B0D84">
        <w:rPr>
          <w:lang w:val="el-GR"/>
        </w:rPr>
        <w:t xml:space="preserve"> εντός του εύρους δοσολογίας 1 – 8 mg.</w:t>
      </w:r>
    </w:p>
    <w:p w:rsidR="00511233" w:rsidRDefault="009C6358" w:rsidP="009D672F">
      <w:pPr>
        <w:pStyle w:val="Para0s"/>
        <w:spacing w:after="0"/>
        <w:rPr>
          <w:lang w:val="el-GR"/>
        </w:rPr>
      </w:pPr>
      <w:r w:rsidRPr="003B0D84">
        <w:rPr>
          <w:lang w:val="el-GR"/>
        </w:rPr>
        <w:t xml:space="preserve">Ταυτόχρονη λήψη φαγητού δεν έχει  κλινική επίδραση στο ρυθμό και στο βαθμό απορρόφησης του </w:t>
      </w:r>
      <w:r w:rsidRPr="003B0D84">
        <w:t>dienogest</w:t>
      </w:r>
      <w:r w:rsidRPr="003B0D84">
        <w:rPr>
          <w:lang w:val="el-GR"/>
        </w:rPr>
        <w:t>.</w:t>
      </w:r>
    </w:p>
    <w:p w:rsidR="00E0334D" w:rsidRPr="003B0D84" w:rsidRDefault="00E0334D" w:rsidP="009D672F">
      <w:pPr>
        <w:pStyle w:val="Para0s"/>
        <w:spacing w:after="0"/>
        <w:rPr>
          <w:lang w:val="el-GR"/>
        </w:rPr>
      </w:pPr>
    </w:p>
    <w:bookmarkEnd w:id="17"/>
    <w:p w:rsidR="00C1567C" w:rsidRPr="003B0D84" w:rsidRDefault="00C1567C" w:rsidP="009D672F">
      <w:pPr>
        <w:pStyle w:val="ParaKT0sb"/>
        <w:spacing w:after="0"/>
        <w:rPr>
          <w:lang w:val="el-GR"/>
        </w:rPr>
      </w:pPr>
      <w:r w:rsidRPr="003B0D84">
        <w:rPr>
          <w:lang w:val="el-GR"/>
        </w:rPr>
        <w:t>Κατανομή</w:t>
      </w:r>
    </w:p>
    <w:p w:rsidR="00C1567C"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Ένα σχετικά υψηλό κλάσμα 10% κυκλοφορούντος dienogest είναι παρόν στην ελεύθερη μορφή, ενώ περίπου 90% δεσμεύεται μη ειδικά στη λευκωματίνη. Το dienogest δεν δεσμεύεται στις ειδικές πρωτεΐνες μεταφοράς SHBG και CBG</w:t>
      </w:r>
      <w:r w:rsidR="00961B91" w:rsidRPr="00961B91">
        <w:rPr>
          <w:rFonts w:ascii="Times New Roman" w:hAnsi="Times New Roman"/>
          <w:sz w:val="24"/>
          <w:szCs w:val="24"/>
          <w:lang w:val="el-GR"/>
        </w:rPr>
        <w:t>.</w:t>
      </w:r>
      <w:r w:rsidRPr="003B0D84">
        <w:rPr>
          <w:rFonts w:ascii="Times New Roman" w:hAnsi="Times New Roman"/>
          <w:sz w:val="24"/>
          <w:szCs w:val="24"/>
          <w:lang w:val="el-GR"/>
        </w:rPr>
        <w:t xml:space="preserve"> Ο όγκος κατανομής στη σταθεροποιημένη κατάσταση (V</w:t>
      </w:r>
      <w:r w:rsidRPr="003B0D84">
        <w:rPr>
          <w:rFonts w:ascii="Times New Roman" w:hAnsi="Times New Roman"/>
          <w:sz w:val="24"/>
          <w:szCs w:val="24"/>
          <w:vertAlign w:val="subscript"/>
          <w:lang w:val="el-GR"/>
        </w:rPr>
        <w:t>d</w:t>
      </w:r>
      <w:r w:rsidRPr="003B0D84">
        <w:rPr>
          <w:rFonts w:ascii="Times New Roman" w:hAnsi="Times New Roman"/>
          <w:sz w:val="24"/>
          <w:szCs w:val="24"/>
          <w:lang w:val="el-GR"/>
        </w:rPr>
        <w:t xml:space="preserve">,ss) του dienogest είναι 46 l μετά από την ενδοφλέβια χορήγηση 85 µg </w:t>
      </w:r>
      <w:r w:rsidRPr="003B0D84">
        <w:rPr>
          <w:rFonts w:ascii="Times New Roman" w:hAnsi="Times New Roman"/>
          <w:sz w:val="24"/>
          <w:szCs w:val="24"/>
          <w:vertAlign w:val="superscript"/>
          <w:lang w:val="el-GR"/>
        </w:rPr>
        <w:t>3</w:t>
      </w:r>
      <w:r w:rsidRPr="003B0D84">
        <w:rPr>
          <w:rFonts w:ascii="Times New Roman" w:hAnsi="Times New Roman"/>
          <w:sz w:val="24"/>
          <w:szCs w:val="24"/>
          <w:lang w:val="el-GR"/>
        </w:rPr>
        <w:t>H-dienogest.</w:t>
      </w:r>
    </w:p>
    <w:p w:rsidR="00E0334D" w:rsidRPr="003B0D84" w:rsidRDefault="00E0334D" w:rsidP="009D672F">
      <w:pPr>
        <w:spacing w:after="0"/>
        <w:rPr>
          <w:rFonts w:ascii="Times New Roman" w:hAnsi="Times New Roman"/>
          <w:sz w:val="24"/>
          <w:szCs w:val="24"/>
          <w:lang w:val="el-GR"/>
        </w:rPr>
      </w:pPr>
    </w:p>
    <w:p w:rsidR="00C1567C" w:rsidRPr="003B0D84" w:rsidRDefault="00C1567C" w:rsidP="009D672F">
      <w:pPr>
        <w:pStyle w:val="ParaKT0sb"/>
        <w:spacing w:after="0"/>
        <w:rPr>
          <w:lang w:val="el-GR"/>
        </w:rPr>
      </w:pPr>
      <w:r w:rsidRPr="003B0D84">
        <w:rPr>
          <w:lang w:val="el-GR"/>
        </w:rPr>
        <w:t>Μεταβολισμός</w:t>
      </w:r>
    </w:p>
    <w:p w:rsidR="00C1567C" w:rsidRDefault="00C1567C" w:rsidP="009D672F">
      <w:pPr>
        <w:pStyle w:val="Para0s"/>
        <w:spacing w:after="0"/>
        <w:rPr>
          <w:lang w:val="el-GR"/>
        </w:rPr>
      </w:pPr>
      <w:bookmarkStart w:id="18" w:name="_Ref37570407"/>
      <w:r w:rsidRPr="003B0D84">
        <w:rPr>
          <w:lang w:val="el-GR"/>
        </w:rPr>
        <w:t>Το dienogest μεταβολίζεται σχ</w:t>
      </w:r>
      <w:r w:rsidR="00287966" w:rsidRPr="003B0D84">
        <w:rPr>
          <w:lang w:val="el-GR"/>
        </w:rPr>
        <w:t>εδόν πλήρως</w:t>
      </w:r>
      <w:r w:rsidRPr="003B0D84">
        <w:rPr>
          <w:lang w:val="el-GR"/>
        </w:rPr>
        <w:t xml:space="preserve"> μέσω των γνωστών οδών μεταβολισμού </w:t>
      </w:r>
      <w:r w:rsidR="00287966" w:rsidRPr="003B0D84">
        <w:rPr>
          <w:lang w:val="el-GR"/>
        </w:rPr>
        <w:t xml:space="preserve">των </w:t>
      </w:r>
      <w:r w:rsidRPr="003B0D84">
        <w:rPr>
          <w:lang w:val="el-GR"/>
        </w:rPr>
        <w:t>στεροειδών (υδροξυλίωση, σύζευξη),</w:t>
      </w:r>
      <w:r w:rsidR="009C6358" w:rsidRPr="003B0D84">
        <w:rPr>
          <w:lang w:val="el-GR"/>
        </w:rPr>
        <w:t xml:space="preserve"> κυρίως από το </w:t>
      </w:r>
      <w:r w:rsidR="009C6358" w:rsidRPr="003B0D84">
        <w:t>CYP</w:t>
      </w:r>
      <w:r w:rsidR="009C6358" w:rsidRPr="003B0D84">
        <w:rPr>
          <w:lang w:val="el-GR"/>
        </w:rPr>
        <w:t xml:space="preserve"> 3</w:t>
      </w:r>
      <w:r w:rsidR="009C6358" w:rsidRPr="003B0D84">
        <w:t>A</w:t>
      </w:r>
      <w:r w:rsidR="009C6358" w:rsidRPr="003B0D84">
        <w:rPr>
          <w:lang w:val="el-GR"/>
        </w:rPr>
        <w:t>4</w:t>
      </w:r>
      <w:r w:rsidR="00287966" w:rsidRPr="003B0D84">
        <w:rPr>
          <w:lang w:val="el-GR"/>
        </w:rPr>
        <w:t>.</w:t>
      </w:r>
      <w:r w:rsidRPr="003B0D84">
        <w:rPr>
          <w:lang w:val="el-GR"/>
        </w:rPr>
        <w:t xml:space="preserve"> Οι </w:t>
      </w:r>
      <w:r w:rsidR="009C6358" w:rsidRPr="003B0D84">
        <w:rPr>
          <w:lang w:val="el-GR"/>
        </w:rPr>
        <w:t xml:space="preserve">φαρμακολογικά αδρανείς </w:t>
      </w:r>
      <w:r w:rsidRPr="003B0D84">
        <w:rPr>
          <w:lang w:val="el-GR"/>
        </w:rPr>
        <w:t xml:space="preserve">μεταβολίτες απεκκρίνονται </w:t>
      </w:r>
      <w:r w:rsidR="00287966" w:rsidRPr="003B0D84">
        <w:rPr>
          <w:lang w:val="el-GR"/>
        </w:rPr>
        <w:t>ταχέως</w:t>
      </w:r>
      <w:r w:rsidR="007862FB" w:rsidRPr="007862FB">
        <w:rPr>
          <w:lang w:val="el-GR"/>
        </w:rPr>
        <w:t>,</w:t>
      </w:r>
      <w:r w:rsidR="009C6358" w:rsidRPr="003B0D84">
        <w:rPr>
          <w:lang w:val="el-GR"/>
        </w:rPr>
        <w:t xml:space="preserve"> με αποτέλεσμα το </w:t>
      </w:r>
      <w:r w:rsidRPr="003B0D84">
        <w:rPr>
          <w:lang w:val="el-GR"/>
        </w:rPr>
        <w:t>dienogest να αποτελεί το κύριο κλάσμα</w:t>
      </w:r>
      <w:r w:rsidR="009C6358" w:rsidRPr="003B0D84">
        <w:rPr>
          <w:lang w:val="el-GR"/>
        </w:rPr>
        <w:t xml:space="preserve"> στο πλάσμα</w:t>
      </w:r>
      <w:r w:rsidR="00287966" w:rsidRPr="003B0D84">
        <w:rPr>
          <w:lang w:val="el-GR"/>
        </w:rPr>
        <w:t>,</w:t>
      </w:r>
      <w:r w:rsidR="009C6358" w:rsidRPr="003B0D84">
        <w:rPr>
          <w:lang w:val="el-GR"/>
        </w:rPr>
        <w:t xml:space="preserve"> αποτελώντας περίπου το 50% των κυκλοφορούντων παραγώγων ουσιών του </w:t>
      </w:r>
      <w:r w:rsidR="009C6358" w:rsidRPr="003B0D84">
        <w:t>dienogest</w:t>
      </w:r>
      <w:r w:rsidRPr="003B0D84">
        <w:rPr>
          <w:lang w:val="el-GR"/>
        </w:rPr>
        <w:t xml:space="preserve">. Η συνολική κάθαρση μετά από την ενδοφλέβια χορήγηση του </w:t>
      </w:r>
      <w:r w:rsidRPr="003B0D84">
        <w:rPr>
          <w:vertAlign w:val="superscript"/>
          <w:lang w:val="el-GR"/>
        </w:rPr>
        <w:t>3</w:t>
      </w:r>
      <w:r w:rsidRPr="003B0D84">
        <w:rPr>
          <w:lang w:val="el-GR"/>
        </w:rPr>
        <w:t>H-dienogest υπολογίστηκε ως 5,1 l/h.</w:t>
      </w:r>
    </w:p>
    <w:p w:rsidR="00E0334D" w:rsidRPr="003B0D84" w:rsidRDefault="00E0334D" w:rsidP="009D672F">
      <w:pPr>
        <w:pStyle w:val="Para0s"/>
        <w:spacing w:after="0"/>
        <w:rPr>
          <w:lang w:val="el-GR"/>
        </w:rPr>
      </w:pPr>
    </w:p>
    <w:bookmarkEnd w:id="18"/>
    <w:p w:rsidR="00C1567C" w:rsidRPr="003B0D84" w:rsidRDefault="00C1567C" w:rsidP="009D672F">
      <w:pPr>
        <w:pStyle w:val="ParaKT0sb"/>
        <w:spacing w:after="0"/>
        <w:rPr>
          <w:lang w:val="el-GR"/>
        </w:rPr>
      </w:pPr>
      <w:r w:rsidRPr="003B0D84">
        <w:rPr>
          <w:lang w:val="el-GR"/>
        </w:rPr>
        <w:t>Απέκκριση</w:t>
      </w:r>
    </w:p>
    <w:p w:rsidR="00C1567C" w:rsidRPr="003B0D84" w:rsidRDefault="00C1567C" w:rsidP="009D672F">
      <w:pPr>
        <w:pStyle w:val="Para0s"/>
        <w:spacing w:after="0"/>
        <w:rPr>
          <w:lang w:val="el-GR"/>
        </w:rPr>
      </w:pPr>
      <w:r w:rsidRPr="003B0D84">
        <w:rPr>
          <w:lang w:val="el-GR"/>
        </w:rPr>
        <w:t xml:space="preserve">Ο χρόνος ημιζωής </w:t>
      </w:r>
      <w:r w:rsidR="00125255" w:rsidRPr="003B0D84">
        <w:rPr>
          <w:lang w:val="el-GR"/>
        </w:rPr>
        <w:t xml:space="preserve">στο πλάσμα </w:t>
      </w:r>
      <w:r w:rsidRPr="003B0D84">
        <w:rPr>
          <w:lang w:val="el-GR"/>
        </w:rPr>
        <w:t>του dienogest είναι περίπου 11 ώρες. Το dienogest</w:t>
      </w:r>
      <w:r w:rsidR="009C6358" w:rsidRPr="003B0D84">
        <w:rPr>
          <w:lang w:val="el-GR"/>
        </w:rPr>
        <w:t xml:space="preserve"> μεταβολ</w:t>
      </w:r>
      <w:r w:rsidR="0071719D" w:rsidRPr="003B0D84">
        <w:rPr>
          <w:lang w:val="el-GR"/>
        </w:rPr>
        <w:t>ίζεται εκτεταμένα και μόνο το 1%</w:t>
      </w:r>
      <w:r w:rsidR="009C6358" w:rsidRPr="003B0D84">
        <w:rPr>
          <w:lang w:val="el-GR"/>
        </w:rPr>
        <w:t xml:space="preserve"> του φαρ</w:t>
      </w:r>
      <w:r w:rsidR="0071719D" w:rsidRPr="003B0D84">
        <w:rPr>
          <w:lang w:val="el-GR"/>
        </w:rPr>
        <w:t xml:space="preserve">μάκου απεκκρίνεται αμετάβλητο. Η αναλογία  της απέκκρισης από τα ούρα </w:t>
      </w:r>
      <w:r w:rsidR="00125255" w:rsidRPr="003B0D84">
        <w:rPr>
          <w:lang w:val="el-GR"/>
        </w:rPr>
        <w:t xml:space="preserve">σε σύγκριση </w:t>
      </w:r>
      <w:r w:rsidR="0071719D" w:rsidRPr="003B0D84">
        <w:rPr>
          <w:lang w:val="el-GR"/>
        </w:rPr>
        <w:t>με την απέκκριση από τα κόπρανα είναι περίπου 3:1</w:t>
      </w:r>
      <w:r w:rsidRPr="003B0D84">
        <w:rPr>
          <w:lang w:val="el-GR"/>
        </w:rPr>
        <w:t>, μετά από χορήγηση από το στόμα 0,1 mg/kg. Μετά από τη χορήγηση από το στόμα, το 42% της δόσης απεκκρίνεται εντός των πρώτων 24 ωρών και το 63% εντός 6 ημερών μέσω νεφρική</w:t>
      </w:r>
      <w:r w:rsidR="005E55BF" w:rsidRPr="003B0D84">
        <w:rPr>
          <w:lang w:val="el-GR"/>
        </w:rPr>
        <w:t>ς</w:t>
      </w:r>
      <w:r w:rsidRPr="003B0D84">
        <w:rPr>
          <w:lang w:val="el-GR"/>
        </w:rPr>
        <w:t xml:space="preserve"> απέκκρισης. Ένα συνδυασμένο 86% της δόσης απεκκρίνεται με τα ούρα και τα κόπρανα μετά από 6 ημέρες.</w:t>
      </w:r>
    </w:p>
    <w:p w:rsidR="00C1567C" w:rsidRPr="003B0D84" w:rsidRDefault="00C1567C" w:rsidP="009D672F">
      <w:pPr>
        <w:pStyle w:val="ParaKT0sb"/>
        <w:spacing w:after="0"/>
        <w:rPr>
          <w:lang w:val="el-GR"/>
        </w:rPr>
      </w:pPr>
      <w:r w:rsidRPr="003B0D84">
        <w:rPr>
          <w:lang w:val="el-GR"/>
        </w:rPr>
        <w:lastRenderedPageBreak/>
        <w:t>Συνθήκες σταθεροποιημένης κατάστασης</w:t>
      </w:r>
    </w:p>
    <w:p w:rsidR="00C1567C" w:rsidRDefault="00C1567C" w:rsidP="009D672F">
      <w:pPr>
        <w:pStyle w:val="Para0s"/>
        <w:spacing w:after="0"/>
        <w:rPr>
          <w:lang w:val="el-GR"/>
        </w:rPr>
      </w:pPr>
      <w:r w:rsidRPr="003B0D84">
        <w:rPr>
          <w:lang w:val="el-GR"/>
        </w:rPr>
        <w:t xml:space="preserve">Οι φαρμακοκινητικές ιδιότητες του dienogest δεν επηρεάζονται από τα επίπεδα </w:t>
      </w:r>
      <w:r w:rsidR="005E55BF" w:rsidRPr="003B0D84">
        <w:rPr>
          <w:lang w:val="el-GR"/>
        </w:rPr>
        <w:t xml:space="preserve">της </w:t>
      </w:r>
      <w:r w:rsidRPr="003B0D84">
        <w:rPr>
          <w:lang w:val="el-GR"/>
        </w:rPr>
        <w:t xml:space="preserve">SHBG. Η σταθεροποιημένη κατάσταση επιτυγχάνεται μετά από 3 ημέρες με την ίδια δοσολογία των 3 mg dienogest σε συνδυασμό με 2 mg </w:t>
      </w:r>
      <w:r w:rsidR="00D95EBC" w:rsidRPr="003B0D84">
        <w:rPr>
          <w:lang w:val="el-GR"/>
        </w:rPr>
        <w:t>estradiol valerate</w:t>
      </w:r>
      <w:r w:rsidRPr="003B0D84">
        <w:rPr>
          <w:lang w:val="el-GR"/>
        </w:rPr>
        <w:t>. Η κατώτατη, μέγιστη και μέση συγκέντρωση ορού του dienogest στη σταθεροποιημένη κατάσταση είναι 11,8 ng/ml, 82,9 ng/ml και 33,7 </w:t>
      </w:r>
      <w:r w:rsidR="00287966" w:rsidRPr="003B0D84">
        <w:rPr>
          <w:lang w:val="el-GR"/>
        </w:rPr>
        <w:t>ng/ml, αντίστοιχα. Η μέση αναλογία</w:t>
      </w:r>
      <w:r w:rsidRPr="003B0D84">
        <w:rPr>
          <w:lang w:val="el-GR"/>
        </w:rPr>
        <w:t xml:space="preserve"> συσσώρευσης για </w:t>
      </w:r>
      <w:r w:rsidR="00287966" w:rsidRPr="003B0D84">
        <w:rPr>
          <w:lang w:val="el-GR"/>
        </w:rPr>
        <w:t xml:space="preserve">την </w:t>
      </w:r>
      <w:r w:rsidRPr="003B0D84">
        <w:rPr>
          <w:lang w:val="el-GR"/>
        </w:rPr>
        <w:t>AUC (0-24 ώρες) καθορίστηκε ότι είναι 1,24.</w:t>
      </w:r>
    </w:p>
    <w:p w:rsidR="00E0334D" w:rsidRPr="003B0D84" w:rsidRDefault="00E0334D" w:rsidP="009D672F">
      <w:pPr>
        <w:pStyle w:val="Para0s"/>
        <w:spacing w:after="0"/>
        <w:rPr>
          <w:lang w:val="el-GR"/>
        </w:rPr>
      </w:pPr>
    </w:p>
    <w:p w:rsidR="00C1567C" w:rsidRPr="003B0D84" w:rsidRDefault="00D95EBC" w:rsidP="009D672F">
      <w:pPr>
        <w:pStyle w:val="Bullet0dKT"/>
        <w:spacing w:before="0" w:after="0"/>
        <w:ind w:left="357" w:hanging="357"/>
        <w:rPr>
          <w:lang w:val="el-GR"/>
        </w:rPr>
      </w:pPr>
      <w:r w:rsidRPr="003B0D84">
        <w:rPr>
          <w:b/>
          <w:bCs/>
          <w:lang w:val="el-GR"/>
        </w:rPr>
        <w:t>Estradiol valerate</w:t>
      </w:r>
    </w:p>
    <w:p w:rsidR="00C1567C" w:rsidRPr="003B0D84" w:rsidRDefault="00C1567C" w:rsidP="009D672F">
      <w:pPr>
        <w:pStyle w:val="Para0sb"/>
        <w:spacing w:after="0"/>
        <w:rPr>
          <w:lang w:val="el-GR"/>
        </w:rPr>
      </w:pPr>
      <w:r w:rsidRPr="003B0D84">
        <w:rPr>
          <w:lang w:val="el-GR"/>
        </w:rPr>
        <w:t>Απορρόφηση</w:t>
      </w:r>
    </w:p>
    <w:p w:rsidR="00C1567C"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Μετά από τη χορήγηση από το στόμα, η </w:t>
      </w:r>
      <w:r w:rsidR="00D95EBC" w:rsidRPr="003B0D84">
        <w:rPr>
          <w:rFonts w:ascii="Times New Roman" w:hAnsi="Times New Roman"/>
          <w:sz w:val="24"/>
          <w:szCs w:val="24"/>
          <w:lang w:val="el-GR"/>
        </w:rPr>
        <w:t>estradiol valerate</w:t>
      </w:r>
      <w:r w:rsidR="00287966" w:rsidRPr="003B0D84">
        <w:rPr>
          <w:rFonts w:ascii="Times New Roman" w:hAnsi="Times New Roman"/>
          <w:sz w:val="24"/>
          <w:szCs w:val="24"/>
          <w:lang w:val="el-GR"/>
        </w:rPr>
        <w:t xml:space="preserve"> απορροφάται πλήρως</w:t>
      </w:r>
      <w:r w:rsidRPr="003B0D84">
        <w:rPr>
          <w:rFonts w:ascii="Times New Roman" w:hAnsi="Times New Roman"/>
          <w:sz w:val="24"/>
          <w:szCs w:val="24"/>
          <w:lang w:val="el-GR"/>
        </w:rPr>
        <w:t>. Η διάσπαση σε οιστραδιόλη και βαλεριανικό οξύ</w:t>
      </w:r>
      <w:r w:rsidR="00287966" w:rsidRPr="003B0D84">
        <w:rPr>
          <w:rFonts w:ascii="Times New Roman" w:hAnsi="Times New Roman"/>
          <w:sz w:val="24"/>
          <w:szCs w:val="24"/>
          <w:lang w:val="el-GR"/>
        </w:rPr>
        <w:t>,</w:t>
      </w:r>
      <w:r w:rsidRPr="003B0D84">
        <w:rPr>
          <w:rFonts w:ascii="Times New Roman" w:hAnsi="Times New Roman"/>
          <w:sz w:val="24"/>
          <w:szCs w:val="24"/>
          <w:lang w:val="el-GR"/>
        </w:rPr>
        <w:t xml:space="preserve"> λαμβάνει χώρα κατά τη διάρκεια της απορρόφησης από τον εντερικό βλεννογόνο ή κατά τη διάρκεια της πρώτης διόδου από το ήπαρ. Από τη διεργασία παράγεται οιστραδιόλη και οι μεταβολίτες </w:t>
      </w:r>
      <w:r w:rsidR="00287966" w:rsidRPr="003B0D84">
        <w:rPr>
          <w:rFonts w:ascii="Times New Roman" w:hAnsi="Times New Roman"/>
          <w:sz w:val="24"/>
          <w:szCs w:val="24"/>
          <w:lang w:val="el-GR"/>
        </w:rPr>
        <w:t>της,</w:t>
      </w:r>
      <w:r w:rsidRPr="003B0D84">
        <w:rPr>
          <w:rFonts w:ascii="Times New Roman" w:hAnsi="Times New Roman"/>
          <w:sz w:val="24"/>
          <w:szCs w:val="24"/>
          <w:lang w:val="el-GR"/>
        </w:rPr>
        <w:t xml:space="preserve"> οιστρόνη και οιστριόλη. Οι μέγιστες συγκεντρώσεις ορού της οιστραδιόλης </w:t>
      </w:r>
      <w:r w:rsidR="00B23F85" w:rsidRPr="003B0D84">
        <w:rPr>
          <w:rFonts w:ascii="Times New Roman" w:hAnsi="Times New Roman"/>
          <w:sz w:val="24"/>
          <w:szCs w:val="24"/>
          <w:lang w:val="el-GR"/>
        </w:rPr>
        <w:t xml:space="preserve">της τάξης του </w:t>
      </w:r>
      <w:r w:rsidRPr="003B0D84">
        <w:rPr>
          <w:rFonts w:ascii="Times New Roman" w:hAnsi="Times New Roman"/>
          <w:sz w:val="24"/>
          <w:szCs w:val="24"/>
          <w:lang w:val="el-GR"/>
        </w:rPr>
        <w:t xml:space="preserve">70,6 pg/ml επιτυγχάνονται μεταξύ 1,5 και 12 ωρών μετά από εφάπαξ </w:t>
      </w:r>
      <w:r w:rsidR="005E55BF" w:rsidRPr="003B0D84">
        <w:rPr>
          <w:rFonts w:ascii="Times New Roman" w:hAnsi="Times New Roman"/>
          <w:sz w:val="24"/>
          <w:szCs w:val="24"/>
          <w:lang w:val="el-GR"/>
        </w:rPr>
        <w:t xml:space="preserve"> λήψη</w:t>
      </w:r>
      <w:r w:rsidRPr="003B0D84">
        <w:rPr>
          <w:rFonts w:ascii="Times New Roman" w:hAnsi="Times New Roman"/>
          <w:sz w:val="24"/>
          <w:szCs w:val="24"/>
          <w:lang w:val="el-GR"/>
        </w:rPr>
        <w:t xml:space="preserve"> του δισκίου που περιέχει 3 mg </w:t>
      </w:r>
      <w:r w:rsidR="00D95EBC" w:rsidRPr="003B0D84">
        <w:rPr>
          <w:rFonts w:ascii="Times New Roman" w:hAnsi="Times New Roman"/>
          <w:sz w:val="24"/>
          <w:szCs w:val="24"/>
          <w:lang w:val="el-GR"/>
        </w:rPr>
        <w:t>estradiol valerate</w:t>
      </w:r>
      <w:r w:rsidRPr="003B0D84">
        <w:rPr>
          <w:rFonts w:ascii="Times New Roman" w:hAnsi="Times New Roman"/>
          <w:sz w:val="24"/>
          <w:szCs w:val="24"/>
          <w:lang w:val="el-GR"/>
        </w:rPr>
        <w:t xml:space="preserve"> κατά την Ημέρα 1.</w:t>
      </w:r>
    </w:p>
    <w:p w:rsidR="00E0334D" w:rsidRPr="003B0D84" w:rsidRDefault="00E0334D" w:rsidP="009D672F">
      <w:pPr>
        <w:spacing w:after="0"/>
        <w:rPr>
          <w:rFonts w:ascii="Times New Roman" w:hAnsi="Times New Roman"/>
          <w:b/>
          <w:bCs/>
          <w:i/>
          <w:iCs/>
          <w:sz w:val="24"/>
          <w:szCs w:val="24"/>
          <w:lang w:val="el-GR"/>
        </w:rPr>
      </w:pPr>
    </w:p>
    <w:p w:rsidR="00C1567C" w:rsidRPr="003B0D84" w:rsidRDefault="00C1567C" w:rsidP="009D672F">
      <w:pPr>
        <w:pStyle w:val="ParaKT0sb"/>
        <w:spacing w:after="0"/>
        <w:rPr>
          <w:lang w:val="el-GR"/>
        </w:rPr>
      </w:pPr>
      <w:r w:rsidRPr="003B0D84">
        <w:rPr>
          <w:lang w:val="el-GR"/>
        </w:rPr>
        <w:t>Μεταβολισμός</w:t>
      </w:r>
    </w:p>
    <w:p w:rsidR="00C1567C"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Το βαλεριανικ</w:t>
      </w:r>
      <w:r w:rsidR="00287966" w:rsidRPr="003B0D84">
        <w:rPr>
          <w:rFonts w:ascii="Times New Roman" w:hAnsi="Times New Roman"/>
          <w:sz w:val="24"/>
          <w:szCs w:val="24"/>
          <w:lang w:val="el-GR"/>
        </w:rPr>
        <w:t>ό οξύ μεταβολίζεται ταχέως</w:t>
      </w:r>
      <w:r w:rsidRPr="003B0D84">
        <w:rPr>
          <w:rFonts w:ascii="Times New Roman" w:hAnsi="Times New Roman"/>
          <w:sz w:val="24"/>
          <w:szCs w:val="24"/>
          <w:lang w:val="el-GR"/>
        </w:rPr>
        <w:t xml:space="preserve">. Μετά από τη χορήγηση από το στόμα, </w:t>
      </w:r>
      <w:r w:rsidR="00287966" w:rsidRPr="003B0D84">
        <w:rPr>
          <w:rFonts w:ascii="Times New Roman" w:hAnsi="Times New Roman"/>
          <w:sz w:val="24"/>
          <w:szCs w:val="24"/>
          <w:lang w:val="el-GR"/>
        </w:rPr>
        <w:t xml:space="preserve">περίπου </w:t>
      </w:r>
      <w:r w:rsidRPr="003B0D84">
        <w:rPr>
          <w:rFonts w:ascii="Times New Roman" w:hAnsi="Times New Roman"/>
          <w:sz w:val="24"/>
          <w:szCs w:val="24"/>
          <w:lang w:val="el-GR"/>
        </w:rPr>
        <w:t>το 3% της δόσης είναι άμεσα βιοδιαθέσιμο ως οιστραδιόλη. Η οισ</w:t>
      </w:r>
      <w:r w:rsidR="00287966" w:rsidRPr="003B0D84">
        <w:rPr>
          <w:rFonts w:ascii="Times New Roman" w:hAnsi="Times New Roman"/>
          <w:sz w:val="24"/>
          <w:szCs w:val="24"/>
          <w:lang w:val="el-GR"/>
        </w:rPr>
        <w:t>τραδιόλη υπόκειται σε εκτεταμέν</w:t>
      </w:r>
      <w:r w:rsidR="00B23F85" w:rsidRPr="003B0D84">
        <w:rPr>
          <w:rFonts w:ascii="Times New Roman" w:hAnsi="Times New Roman"/>
          <w:sz w:val="24"/>
          <w:szCs w:val="24"/>
          <w:lang w:val="el-GR"/>
        </w:rPr>
        <w:t>ο μεταβολισμό</w:t>
      </w:r>
      <w:r w:rsidRPr="003B0D84">
        <w:rPr>
          <w:rFonts w:ascii="Times New Roman" w:hAnsi="Times New Roman"/>
          <w:sz w:val="24"/>
          <w:szCs w:val="24"/>
          <w:lang w:val="el-GR"/>
        </w:rPr>
        <w:t xml:space="preserve"> πρώτης διόδου και ένα σημαντικό μέρος της χορηγηθείσας δόσης μεταβολίζεται ήδη στο γαστρεντερικό βλεννογόνο. Μαζί με τον προσυστηματικό μεταβολισμό στο ήπαρ, περίπου το 95 % της χορηγούμενης από το στόμα δόσης έχει μεταβολιστεί πριν εισέλθει στη συστηματική κυκλοφορία. Οι κύριοι μεταβολίτες είναι οιστρόνη, θειική οιστρόνη και γλυκουρονίδιο οιστρόνης.</w:t>
      </w:r>
    </w:p>
    <w:p w:rsidR="00E0334D" w:rsidRPr="003B0D84" w:rsidRDefault="00E0334D" w:rsidP="009D672F">
      <w:pPr>
        <w:spacing w:after="0"/>
        <w:rPr>
          <w:rFonts w:ascii="Times New Roman" w:hAnsi="Times New Roman"/>
          <w:sz w:val="24"/>
          <w:szCs w:val="24"/>
          <w:lang w:val="el-GR"/>
        </w:rPr>
      </w:pPr>
    </w:p>
    <w:p w:rsidR="00C1567C" w:rsidRPr="003B0D84" w:rsidRDefault="00C1567C" w:rsidP="009D672F">
      <w:pPr>
        <w:pStyle w:val="ParaKT0sb"/>
        <w:spacing w:after="0"/>
        <w:rPr>
          <w:lang w:val="el-GR"/>
        </w:rPr>
      </w:pPr>
      <w:r w:rsidRPr="003B0D84">
        <w:rPr>
          <w:lang w:val="el-GR"/>
        </w:rPr>
        <w:t>Κατανομή</w:t>
      </w:r>
    </w:p>
    <w:p w:rsidR="00C1567C"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Στον ορό, το 38% της οιστραδιόλης δεσμεύεται στο SHBG, 60% στη λευκωματίνη και 2-3% κυκλοφορεί σε ελεύθερη μορφή. Η οιστραδιόλη μπορεί να επάγει ελαφρώς τις συγκεντρώσεις ορού τ</w:t>
      </w:r>
      <w:r w:rsidR="00A54CA5" w:rsidRPr="003B0D84">
        <w:rPr>
          <w:rFonts w:ascii="Times New Roman" w:hAnsi="Times New Roman"/>
          <w:sz w:val="24"/>
          <w:szCs w:val="24"/>
          <w:lang w:val="el-GR"/>
        </w:rPr>
        <w:t>ης</w:t>
      </w:r>
      <w:r w:rsidRPr="003B0D84">
        <w:rPr>
          <w:rFonts w:ascii="Times New Roman" w:hAnsi="Times New Roman"/>
          <w:sz w:val="24"/>
          <w:szCs w:val="24"/>
          <w:lang w:val="el-GR"/>
        </w:rPr>
        <w:t xml:space="preserve"> SHBG με δοσοεξαρτώμενο τρόπο. Κατά την ημέρα 21 του κύκλου θεραπείας, </w:t>
      </w:r>
      <w:r w:rsidR="00A54CA5" w:rsidRPr="003B0D84">
        <w:rPr>
          <w:rFonts w:ascii="Times New Roman" w:hAnsi="Times New Roman"/>
          <w:sz w:val="24"/>
          <w:szCs w:val="24"/>
          <w:lang w:val="el-GR"/>
        </w:rPr>
        <w:t>η</w:t>
      </w:r>
      <w:r w:rsidRPr="003B0D84">
        <w:rPr>
          <w:rFonts w:ascii="Times New Roman" w:hAnsi="Times New Roman"/>
          <w:sz w:val="24"/>
          <w:szCs w:val="24"/>
          <w:lang w:val="el-GR"/>
        </w:rPr>
        <w:t xml:space="preserve"> SHBG ήταν περίπου </w:t>
      </w:r>
      <w:r w:rsidR="00287966" w:rsidRPr="003B0D84">
        <w:rPr>
          <w:rFonts w:ascii="Times New Roman" w:hAnsi="Times New Roman"/>
          <w:sz w:val="24"/>
          <w:szCs w:val="24"/>
          <w:lang w:val="el-GR"/>
        </w:rPr>
        <w:t>στο 148% των αρχικών τιμών</w:t>
      </w:r>
      <w:r w:rsidRPr="003B0D84">
        <w:rPr>
          <w:rFonts w:ascii="Times New Roman" w:hAnsi="Times New Roman"/>
          <w:sz w:val="24"/>
          <w:szCs w:val="24"/>
          <w:lang w:val="el-GR"/>
        </w:rPr>
        <w:t>, και μειώθηκε σε π</w:t>
      </w:r>
      <w:r w:rsidR="00287966" w:rsidRPr="003B0D84">
        <w:rPr>
          <w:rFonts w:ascii="Times New Roman" w:hAnsi="Times New Roman"/>
          <w:sz w:val="24"/>
          <w:szCs w:val="24"/>
          <w:lang w:val="el-GR"/>
        </w:rPr>
        <w:t>ερίπου 141% των αρχικών τιμών</w:t>
      </w:r>
      <w:r w:rsidRPr="003B0D84">
        <w:rPr>
          <w:rFonts w:ascii="Times New Roman" w:hAnsi="Times New Roman"/>
          <w:sz w:val="24"/>
          <w:szCs w:val="24"/>
          <w:lang w:val="el-GR"/>
        </w:rPr>
        <w:t xml:space="preserve"> κατά την ημέρα 28 (τέλος της φάσης αδρανών δισκίων).</w:t>
      </w:r>
      <w:r w:rsidRPr="003B0D84">
        <w:rPr>
          <w:rFonts w:ascii="Times New Roman" w:hAnsi="Times New Roman"/>
          <w:sz w:val="24"/>
          <w:szCs w:val="24"/>
          <w:vertAlign w:val="superscript"/>
          <w:lang w:val="el-GR"/>
        </w:rPr>
        <w:t xml:space="preserve"> </w:t>
      </w:r>
      <w:r w:rsidR="00287966" w:rsidRPr="003B0D84">
        <w:rPr>
          <w:rFonts w:ascii="Times New Roman" w:hAnsi="Times New Roman"/>
          <w:sz w:val="24"/>
          <w:szCs w:val="24"/>
          <w:lang w:val="el-GR"/>
        </w:rPr>
        <w:t>Ένας φαινομενικό</w:t>
      </w:r>
      <w:r w:rsidRPr="003B0D84">
        <w:rPr>
          <w:rFonts w:ascii="Times New Roman" w:hAnsi="Times New Roman"/>
          <w:sz w:val="24"/>
          <w:szCs w:val="24"/>
          <w:lang w:val="el-GR"/>
        </w:rPr>
        <w:t>ς όγκος κατανομής περίπου 1,2 l/kg καθορίστηκε μετά από ενδοφλέβια χορήγηση.</w:t>
      </w:r>
    </w:p>
    <w:p w:rsidR="00E0334D" w:rsidRPr="003B0D84" w:rsidRDefault="00E0334D" w:rsidP="009D672F">
      <w:pPr>
        <w:spacing w:after="0"/>
        <w:rPr>
          <w:rFonts w:ascii="Times New Roman" w:hAnsi="Times New Roman"/>
          <w:sz w:val="24"/>
          <w:szCs w:val="24"/>
          <w:lang w:val="el-GR"/>
        </w:rPr>
      </w:pPr>
    </w:p>
    <w:p w:rsidR="00C1567C" w:rsidRPr="003B0D84" w:rsidRDefault="00C1567C" w:rsidP="009D672F">
      <w:pPr>
        <w:pStyle w:val="ParaKT0sb"/>
        <w:spacing w:after="0"/>
        <w:rPr>
          <w:lang w:val="el-GR"/>
        </w:rPr>
      </w:pPr>
      <w:r w:rsidRPr="003B0D84">
        <w:rPr>
          <w:lang w:val="el-GR"/>
        </w:rPr>
        <w:t>Απέκκριση</w:t>
      </w:r>
    </w:p>
    <w:p w:rsidR="00C1567C" w:rsidRPr="003B0D84" w:rsidRDefault="00287966"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Η ημιζωή </w:t>
      </w:r>
      <w:r w:rsidR="00C1567C" w:rsidRPr="003B0D84">
        <w:rPr>
          <w:rFonts w:ascii="Times New Roman" w:hAnsi="Times New Roman"/>
          <w:sz w:val="24"/>
          <w:szCs w:val="24"/>
          <w:lang w:val="el-GR"/>
        </w:rPr>
        <w:t xml:space="preserve">της κυκλοφορούσας οιστραδιόλης </w:t>
      </w:r>
      <w:r w:rsidRPr="003B0D84">
        <w:rPr>
          <w:rFonts w:ascii="Times New Roman" w:hAnsi="Times New Roman"/>
          <w:sz w:val="24"/>
          <w:szCs w:val="24"/>
          <w:lang w:val="el-GR"/>
        </w:rPr>
        <w:t xml:space="preserve">στο πλάσμα </w:t>
      </w:r>
      <w:r w:rsidR="00C1567C" w:rsidRPr="003B0D84">
        <w:rPr>
          <w:rFonts w:ascii="Times New Roman" w:hAnsi="Times New Roman"/>
          <w:sz w:val="24"/>
          <w:szCs w:val="24"/>
          <w:lang w:val="el-GR"/>
        </w:rPr>
        <w:t>είναι περίπου 90 λεπτά. Μετά από τη χορήγηση από το στόμα, ωστόσο, η κατάσταση διαφέρει. Λόγω της μεγάλης κυκλοφορούσας δεξαμενής θειικών οιστρογόν</w:t>
      </w:r>
      <w:r w:rsidR="005E55BF" w:rsidRPr="003B0D84">
        <w:rPr>
          <w:rFonts w:ascii="Times New Roman" w:hAnsi="Times New Roman"/>
          <w:sz w:val="24"/>
          <w:szCs w:val="24"/>
          <w:lang w:val="el-GR"/>
        </w:rPr>
        <w:t>ων</w:t>
      </w:r>
      <w:r w:rsidR="00C1567C" w:rsidRPr="003B0D84">
        <w:rPr>
          <w:rFonts w:ascii="Times New Roman" w:hAnsi="Times New Roman"/>
          <w:sz w:val="24"/>
          <w:szCs w:val="24"/>
          <w:lang w:val="el-GR"/>
        </w:rPr>
        <w:t xml:space="preserve"> και γλυκο</w:t>
      </w:r>
      <w:r w:rsidR="005E55BF" w:rsidRPr="003B0D84">
        <w:rPr>
          <w:rFonts w:ascii="Times New Roman" w:hAnsi="Times New Roman"/>
          <w:sz w:val="24"/>
          <w:szCs w:val="24"/>
          <w:lang w:val="el-GR"/>
        </w:rPr>
        <w:t>υ</w:t>
      </w:r>
      <w:r w:rsidR="00C1567C" w:rsidRPr="003B0D84">
        <w:rPr>
          <w:rFonts w:ascii="Times New Roman" w:hAnsi="Times New Roman"/>
          <w:sz w:val="24"/>
          <w:szCs w:val="24"/>
          <w:lang w:val="el-GR"/>
        </w:rPr>
        <w:t>ρονιδίων, καθώς επίσης και λόγω της εντερο-ηπατικής επανακυκλοφορίας, η τελική ημιζωή της οιστραδιόλης μετά από τη χορήγηση από το στόμα αντιπροσωπεύει μια σύνθετη παράμετρο η οποία εξαρτάται από όλες αυτές τις διεργασίες και κυμαίνεται στο εύρος των 13-20 ωρών περίπου.</w:t>
      </w:r>
    </w:p>
    <w:p w:rsidR="00C1567C" w:rsidRDefault="00C1567C" w:rsidP="009D672F">
      <w:pPr>
        <w:spacing w:after="0"/>
        <w:rPr>
          <w:rFonts w:ascii="Times New Roman" w:hAnsi="Times New Roman"/>
          <w:sz w:val="24"/>
          <w:szCs w:val="24"/>
          <w:vertAlign w:val="superscript"/>
          <w:lang w:val="el-GR"/>
        </w:rPr>
      </w:pPr>
      <w:r w:rsidRPr="003B0D84">
        <w:rPr>
          <w:rFonts w:ascii="Times New Roman" w:hAnsi="Times New Roman"/>
          <w:sz w:val="24"/>
          <w:szCs w:val="24"/>
          <w:lang w:val="el-GR"/>
        </w:rPr>
        <w:t>Η οιστραδιόλη και οι μεταβολίτες της απεκκρίνονται κυρίως στα ούρα, με περίπου το 10% να απεκκρίνεται στα κόπρανα.</w:t>
      </w:r>
      <w:r w:rsidRPr="003B0D84">
        <w:rPr>
          <w:rFonts w:ascii="Times New Roman" w:hAnsi="Times New Roman"/>
          <w:sz w:val="24"/>
          <w:szCs w:val="24"/>
          <w:vertAlign w:val="superscript"/>
          <w:lang w:val="el-GR"/>
        </w:rPr>
        <w:t xml:space="preserve"> </w:t>
      </w:r>
    </w:p>
    <w:p w:rsidR="00E0334D" w:rsidRPr="003B0D84" w:rsidRDefault="00E0334D" w:rsidP="009D672F">
      <w:pPr>
        <w:spacing w:after="0"/>
        <w:rPr>
          <w:rFonts w:ascii="Times New Roman" w:hAnsi="Times New Roman"/>
          <w:sz w:val="24"/>
          <w:szCs w:val="24"/>
          <w:lang w:val="el-GR"/>
        </w:rPr>
      </w:pPr>
    </w:p>
    <w:p w:rsidR="00C1567C" w:rsidRPr="003B0D84" w:rsidRDefault="00C1567C" w:rsidP="009D672F">
      <w:pPr>
        <w:pStyle w:val="ParaKT0sb"/>
        <w:spacing w:after="0"/>
        <w:rPr>
          <w:lang w:val="el-GR"/>
        </w:rPr>
      </w:pPr>
      <w:r w:rsidRPr="003B0D84">
        <w:rPr>
          <w:lang w:val="el-GR"/>
        </w:rPr>
        <w:t>Συνθήκες σταθεροποιημένης κατάστασης</w:t>
      </w:r>
    </w:p>
    <w:p w:rsidR="00C1567C" w:rsidRPr="003B0D84" w:rsidRDefault="00C1567C"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Οι φαρμακοκινητικές ιδιότητες της οιστραδιόλης επηρεάζονται από τα επίπεδα </w:t>
      </w:r>
      <w:r w:rsidR="005E55BF" w:rsidRPr="003B0D84">
        <w:rPr>
          <w:rFonts w:ascii="Times New Roman" w:hAnsi="Times New Roman"/>
          <w:sz w:val="24"/>
          <w:szCs w:val="24"/>
          <w:lang w:val="el-GR"/>
        </w:rPr>
        <w:t xml:space="preserve">της </w:t>
      </w:r>
      <w:r w:rsidRPr="003B0D84">
        <w:rPr>
          <w:rFonts w:ascii="Times New Roman" w:hAnsi="Times New Roman"/>
          <w:sz w:val="24"/>
          <w:szCs w:val="24"/>
          <w:lang w:val="el-GR"/>
        </w:rPr>
        <w:t xml:space="preserve">SHBG. Σε νεαρές γυναίκες, τα μετρούμενα επίπεδα πλάσματος της οιστραδιόλης είναι μια σύνθεση της ενδογενούς οιστραδιόλης και της οιστραδιόλης που παράγεται από το Qlaira. Κατά τη φάση θεραπείας των 2 mg </w:t>
      </w:r>
      <w:r w:rsidR="00D95EBC" w:rsidRPr="003B0D84">
        <w:rPr>
          <w:rFonts w:ascii="Times New Roman" w:hAnsi="Times New Roman"/>
          <w:sz w:val="24"/>
          <w:szCs w:val="24"/>
          <w:lang w:val="el-GR"/>
        </w:rPr>
        <w:t>estradiol valerate</w:t>
      </w:r>
      <w:r w:rsidRPr="003B0D84">
        <w:rPr>
          <w:rFonts w:ascii="Times New Roman" w:hAnsi="Times New Roman"/>
          <w:sz w:val="24"/>
          <w:szCs w:val="24"/>
          <w:lang w:val="el-GR"/>
        </w:rPr>
        <w:t xml:space="preserve"> + 3 mg dienogest, η μέγιστ</w:t>
      </w:r>
      <w:r w:rsidR="00287966" w:rsidRPr="003B0D84">
        <w:rPr>
          <w:rFonts w:ascii="Times New Roman" w:hAnsi="Times New Roman"/>
          <w:sz w:val="24"/>
          <w:szCs w:val="24"/>
          <w:lang w:val="el-GR"/>
        </w:rPr>
        <w:t xml:space="preserve">η και η μέση συγκέντρωση </w:t>
      </w:r>
      <w:r w:rsidRPr="003B0D84">
        <w:rPr>
          <w:rFonts w:ascii="Times New Roman" w:hAnsi="Times New Roman"/>
          <w:sz w:val="24"/>
          <w:szCs w:val="24"/>
          <w:lang w:val="el-GR"/>
        </w:rPr>
        <w:t xml:space="preserve">της οιστραδιόλης </w:t>
      </w:r>
      <w:r w:rsidR="00287966" w:rsidRPr="003B0D84">
        <w:rPr>
          <w:rFonts w:ascii="Times New Roman" w:hAnsi="Times New Roman"/>
          <w:sz w:val="24"/>
          <w:szCs w:val="24"/>
          <w:lang w:val="el-GR"/>
        </w:rPr>
        <w:t xml:space="preserve">στον ορό </w:t>
      </w:r>
      <w:r w:rsidRPr="003B0D84">
        <w:rPr>
          <w:rFonts w:ascii="Times New Roman" w:hAnsi="Times New Roman"/>
          <w:sz w:val="24"/>
          <w:szCs w:val="24"/>
          <w:lang w:val="el-GR"/>
        </w:rPr>
        <w:t>στη σταθεροποιημένη κατάσταση είναι 66,0 pg/ml και 51,6 pg/ml, αντίστοιχα. Κατά τη διάρκεια του κύκλου των 28 ημερών, οι σταθεροποιημένες ελάχιστες συγκεντρώσεις οιστραδιόλης διατηρήθηκαν και κυμάνθηκαν από 28,7 pg/ml έως 64,7 pg/ml.</w:t>
      </w:r>
    </w:p>
    <w:p w:rsidR="009C6358" w:rsidRPr="003B0D84" w:rsidRDefault="009C6358" w:rsidP="009D672F">
      <w:pPr>
        <w:spacing w:after="0"/>
        <w:rPr>
          <w:rFonts w:ascii="Times New Roman" w:hAnsi="Times New Roman"/>
          <w:b/>
          <w:sz w:val="24"/>
          <w:szCs w:val="24"/>
          <w:lang w:val="el-GR"/>
        </w:rPr>
      </w:pPr>
      <w:r w:rsidRPr="003B0D84">
        <w:rPr>
          <w:rFonts w:ascii="Times New Roman" w:hAnsi="Times New Roman"/>
          <w:b/>
          <w:sz w:val="24"/>
          <w:szCs w:val="24"/>
          <w:lang w:val="el-GR"/>
        </w:rPr>
        <w:lastRenderedPageBreak/>
        <w:t xml:space="preserve">Ειδικοί Πληθυσμοί </w:t>
      </w:r>
    </w:p>
    <w:p w:rsidR="009C6358" w:rsidRDefault="009C6358" w:rsidP="009D672F">
      <w:pPr>
        <w:spacing w:after="0"/>
        <w:rPr>
          <w:rFonts w:ascii="Times New Roman" w:hAnsi="Times New Roman"/>
          <w:sz w:val="24"/>
          <w:szCs w:val="24"/>
          <w:lang w:val="el-GR"/>
        </w:rPr>
      </w:pPr>
      <w:r w:rsidRPr="003B0D84">
        <w:rPr>
          <w:rFonts w:ascii="Times New Roman" w:hAnsi="Times New Roman"/>
          <w:sz w:val="24"/>
          <w:szCs w:val="24"/>
          <w:lang w:val="el-GR"/>
        </w:rPr>
        <w:t xml:space="preserve">Οι φαρμακοκινητικές ιδιότητες του </w:t>
      </w:r>
      <w:r w:rsidRPr="003B0D84">
        <w:rPr>
          <w:rFonts w:ascii="Times New Roman" w:hAnsi="Times New Roman"/>
          <w:sz w:val="24"/>
          <w:szCs w:val="24"/>
        </w:rPr>
        <w:t>Qlaira</w:t>
      </w:r>
      <w:r w:rsidRPr="003B0D84">
        <w:rPr>
          <w:rFonts w:ascii="Times New Roman" w:hAnsi="Times New Roman"/>
          <w:sz w:val="24"/>
          <w:szCs w:val="24"/>
          <w:lang w:val="el-GR"/>
        </w:rPr>
        <w:t xml:space="preserve"> δεν έχουν διερευνηθεί σε ασθενείς με </w:t>
      </w:r>
      <w:r w:rsidR="00287966" w:rsidRPr="003B0D84">
        <w:rPr>
          <w:rFonts w:ascii="Times New Roman" w:hAnsi="Times New Roman"/>
          <w:sz w:val="24"/>
          <w:szCs w:val="24"/>
          <w:lang w:val="el-GR"/>
        </w:rPr>
        <w:t>επηρεασμένη</w:t>
      </w:r>
      <w:r w:rsidR="00BF38FE" w:rsidRPr="003B0D84">
        <w:rPr>
          <w:rFonts w:ascii="Times New Roman" w:hAnsi="Times New Roman"/>
          <w:sz w:val="24"/>
          <w:szCs w:val="24"/>
          <w:lang w:val="el-GR"/>
        </w:rPr>
        <w:t xml:space="preserve"> </w:t>
      </w:r>
      <w:r w:rsidR="00930FD6" w:rsidRPr="003B0D84">
        <w:rPr>
          <w:rFonts w:ascii="Times New Roman" w:hAnsi="Times New Roman"/>
          <w:sz w:val="24"/>
          <w:szCs w:val="24"/>
          <w:lang w:val="el-GR"/>
        </w:rPr>
        <w:t>νεφρική ή ηπατική λειτουργία.</w:t>
      </w:r>
    </w:p>
    <w:p w:rsidR="00E0334D" w:rsidRPr="003B0D84" w:rsidRDefault="00E0334D" w:rsidP="009D672F">
      <w:pPr>
        <w:spacing w:after="0"/>
        <w:rPr>
          <w:rFonts w:ascii="Times New Roman" w:hAnsi="Times New Roman"/>
          <w:sz w:val="24"/>
          <w:szCs w:val="24"/>
          <w:lang w:val="el-GR"/>
        </w:rPr>
      </w:pPr>
    </w:p>
    <w:p w:rsidR="00C1567C" w:rsidRPr="003B0D84" w:rsidRDefault="009C6358" w:rsidP="009D672F">
      <w:pPr>
        <w:pStyle w:val="2"/>
        <w:numPr>
          <w:ilvl w:val="0"/>
          <w:numId w:val="0"/>
        </w:numPr>
        <w:spacing w:before="0" w:after="0"/>
        <w:rPr>
          <w:lang w:val="el-GR"/>
        </w:rPr>
      </w:pPr>
      <w:r w:rsidRPr="003B0D84">
        <w:rPr>
          <w:lang w:val="el-GR"/>
        </w:rPr>
        <w:t>5.3</w:t>
      </w:r>
      <w:r w:rsidR="002E78C6" w:rsidRPr="003B0D84">
        <w:rPr>
          <w:lang w:val="el-GR"/>
        </w:rPr>
        <w:t xml:space="preserve"> </w:t>
      </w:r>
      <w:r w:rsidR="000415AF" w:rsidRPr="00537B08">
        <w:rPr>
          <w:lang w:val="el-GR"/>
        </w:rPr>
        <w:t xml:space="preserve">  </w:t>
      </w:r>
      <w:r w:rsidR="00C1567C" w:rsidRPr="003B0D84">
        <w:rPr>
          <w:lang w:val="el-GR"/>
        </w:rPr>
        <w:t>Προκλινικά δεδομένα για την ασφάλεια</w:t>
      </w:r>
    </w:p>
    <w:p w:rsidR="00C1567C" w:rsidRDefault="00C1567C" w:rsidP="009D672F">
      <w:pPr>
        <w:pStyle w:val="Para0s"/>
        <w:spacing w:after="0"/>
        <w:rPr>
          <w:lang w:val="el-GR"/>
        </w:rPr>
      </w:pPr>
      <w:r w:rsidRPr="003B0D84">
        <w:rPr>
          <w:lang w:val="el-GR"/>
        </w:rPr>
        <w:t>Τα προκλινικά δεδομένα δεν αποκαλύπτουν ιδιαίτερο</w:t>
      </w:r>
      <w:r w:rsidR="005E55BF" w:rsidRPr="003B0D84">
        <w:rPr>
          <w:lang w:val="el-GR"/>
        </w:rPr>
        <w:t>υς</w:t>
      </w:r>
      <w:r w:rsidRPr="003B0D84">
        <w:rPr>
          <w:lang w:val="el-GR"/>
        </w:rPr>
        <w:t xml:space="preserve"> </w:t>
      </w:r>
      <w:r w:rsidR="00537B08">
        <w:rPr>
          <w:lang w:val="el-GR"/>
        </w:rPr>
        <w:t>κινδύνους</w:t>
      </w:r>
      <w:r w:rsidRPr="003B0D84">
        <w:rPr>
          <w:lang w:val="el-GR"/>
        </w:rPr>
        <w:t xml:space="preserve"> για τον άνθρωπο με βάση τις συμβατικές μελέτες τοξικότητας επαναλαμβανόμενων δόσεων, γονοτοξικότητας</w:t>
      </w:r>
      <w:r w:rsidR="005E55BF" w:rsidRPr="003B0D84">
        <w:rPr>
          <w:lang w:val="el-GR"/>
        </w:rPr>
        <w:t xml:space="preserve"> </w:t>
      </w:r>
      <w:r w:rsidRPr="003B0D84">
        <w:rPr>
          <w:lang w:val="el-GR"/>
        </w:rPr>
        <w:t xml:space="preserve">και τοξικότητας στην αναπαραγωγική ικανότητα. </w:t>
      </w:r>
      <w:r w:rsidR="006F01F1" w:rsidRPr="003B0D84">
        <w:rPr>
          <w:lang w:val="el-GR"/>
        </w:rPr>
        <w:t xml:space="preserve">Μία μελέτη καρκινογενετικότητας με </w:t>
      </w:r>
      <w:r w:rsidR="006F01F1" w:rsidRPr="003B0D84">
        <w:t>dienogest</w:t>
      </w:r>
      <w:r w:rsidR="006F01F1" w:rsidRPr="003B0D84">
        <w:rPr>
          <w:lang w:val="el-GR"/>
        </w:rPr>
        <w:t xml:space="preserve"> σε ποντίκια και μία πιο περιορισμένη μελέτη σε αρουραίους δεν έδειξαν αύξηση σε όγκους, ω</w:t>
      </w:r>
      <w:r w:rsidRPr="003B0D84">
        <w:rPr>
          <w:lang w:val="el-GR"/>
        </w:rPr>
        <w:t xml:space="preserve">στόσο, είναι ευρέως γνωστό ότι </w:t>
      </w:r>
      <w:r w:rsidR="006F01F1" w:rsidRPr="003B0D84">
        <w:rPr>
          <w:lang w:val="el-GR"/>
        </w:rPr>
        <w:t>λόγω της ορμονικής τους δράσης</w:t>
      </w:r>
      <w:r w:rsidR="00851CB7" w:rsidRPr="00851CB7">
        <w:rPr>
          <w:lang w:val="el-GR"/>
        </w:rPr>
        <w:t>,</w:t>
      </w:r>
      <w:r w:rsidR="006F01F1" w:rsidRPr="003B0D84">
        <w:rPr>
          <w:lang w:val="el-GR"/>
        </w:rPr>
        <w:t xml:space="preserve"> </w:t>
      </w:r>
      <w:r w:rsidRPr="003B0D84">
        <w:rPr>
          <w:lang w:val="el-GR"/>
        </w:rPr>
        <w:t>τα στερεοειδή του φύλου μπορούν να προωθήσουν την ανάπτυξη ορισμένων ορμονοεξαρτώμενων ιστών και όγκων.</w:t>
      </w:r>
    </w:p>
    <w:p w:rsidR="00E0334D" w:rsidRPr="003B0D84" w:rsidRDefault="00E0334D" w:rsidP="009D672F">
      <w:pPr>
        <w:pStyle w:val="Para0s"/>
        <w:spacing w:after="0"/>
        <w:rPr>
          <w:lang w:val="el-GR"/>
        </w:rPr>
      </w:pPr>
    </w:p>
    <w:p w:rsidR="00C1567C" w:rsidRPr="003B0D84" w:rsidRDefault="00C1567C" w:rsidP="009D672F">
      <w:pPr>
        <w:pStyle w:val="1"/>
        <w:spacing w:before="0" w:after="0"/>
        <w:rPr>
          <w:lang w:val="el-GR"/>
        </w:rPr>
      </w:pPr>
      <w:bookmarkStart w:id="19" w:name="_Ref177183564"/>
      <w:r w:rsidRPr="003B0D84">
        <w:rPr>
          <w:lang w:val="el-GR"/>
        </w:rPr>
        <w:t>ΦΑΡΜΑΚΕΥΤΙΚΕΣ ΠΛΗΡΟΦΟΡΙΕΣ</w:t>
      </w:r>
    </w:p>
    <w:p w:rsidR="005E55BF" w:rsidRPr="003B0D84" w:rsidRDefault="005E55BF" w:rsidP="009D672F">
      <w:pPr>
        <w:pStyle w:val="Para0s"/>
        <w:spacing w:after="0"/>
        <w:rPr>
          <w:b/>
          <w:lang w:val="el-GR"/>
        </w:rPr>
      </w:pPr>
      <w:r w:rsidRPr="003B0D84">
        <w:rPr>
          <w:b/>
          <w:lang w:val="el-GR"/>
        </w:rPr>
        <w:t xml:space="preserve">6.1 </w:t>
      </w:r>
      <w:r w:rsidR="000415AF">
        <w:rPr>
          <w:b/>
        </w:rPr>
        <w:t xml:space="preserve">  </w:t>
      </w:r>
      <w:r w:rsidRPr="003B0D84">
        <w:rPr>
          <w:b/>
          <w:lang w:val="el-GR"/>
        </w:rPr>
        <w:t xml:space="preserve">Κατάλογος Εκδόχων </w:t>
      </w:r>
    </w:p>
    <w:tbl>
      <w:tblPr>
        <w:tblW w:w="9404" w:type="dxa"/>
        <w:tblLook w:val="01E0"/>
      </w:tblPr>
      <w:tblGrid>
        <w:gridCol w:w="4618"/>
        <w:gridCol w:w="4786"/>
      </w:tblGrid>
      <w:tr w:rsidR="00E94437" w:rsidRPr="00255C54" w:rsidTr="00255C54">
        <w:tc>
          <w:tcPr>
            <w:tcW w:w="4618" w:type="dxa"/>
          </w:tcPr>
          <w:bookmarkEnd w:id="19"/>
          <w:p w:rsidR="00E94437" w:rsidRPr="00255C54" w:rsidRDefault="00E94437" w:rsidP="009D672F">
            <w:pPr>
              <w:pStyle w:val="Para0s"/>
              <w:spacing w:after="0"/>
              <w:rPr>
                <w:u w:val="single"/>
                <w:lang w:val="el-GR"/>
              </w:rPr>
            </w:pPr>
            <w:r w:rsidRPr="00255C54">
              <w:rPr>
                <w:u w:val="single"/>
                <w:lang w:val="el-GR"/>
              </w:rPr>
              <w:t>Δραστικά επικαλυμμένα με λεπτό υμένιο δισκία</w:t>
            </w:r>
          </w:p>
        </w:tc>
        <w:tc>
          <w:tcPr>
            <w:tcW w:w="4786" w:type="dxa"/>
          </w:tcPr>
          <w:p w:rsidR="00E94437" w:rsidRPr="00255C54" w:rsidRDefault="00E87DE6" w:rsidP="009D672F">
            <w:pPr>
              <w:pStyle w:val="Para0s"/>
              <w:spacing w:after="0"/>
              <w:rPr>
                <w:u w:val="single"/>
                <w:lang w:val="el-GR"/>
              </w:rPr>
            </w:pPr>
            <w:r w:rsidRPr="00255C54">
              <w:rPr>
                <w:u w:val="single"/>
                <w:lang w:val="el-GR"/>
              </w:rPr>
              <w:t>Αδρανή επικαλυμμένα με λεπτό υμένιο δισκία (</w:t>
            </w:r>
            <w:r w:rsidRPr="00255C54">
              <w:rPr>
                <w:u w:val="single"/>
              </w:rPr>
              <w:t>placebo</w:t>
            </w:r>
            <w:r w:rsidRPr="00255C54">
              <w:rPr>
                <w:u w:val="single"/>
                <w:lang w:val="el-GR"/>
              </w:rPr>
              <w:t>)</w:t>
            </w:r>
          </w:p>
        </w:tc>
      </w:tr>
      <w:tr w:rsidR="00E94437" w:rsidRPr="00255C54" w:rsidTr="00255C54">
        <w:tc>
          <w:tcPr>
            <w:tcW w:w="4618" w:type="dxa"/>
          </w:tcPr>
          <w:p w:rsidR="005E55BF" w:rsidRPr="00255C54" w:rsidRDefault="005E55BF" w:rsidP="009D672F">
            <w:pPr>
              <w:pStyle w:val="Para0s"/>
              <w:tabs>
                <w:tab w:val="left" w:pos="3345"/>
              </w:tabs>
              <w:spacing w:after="0"/>
              <w:rPr>
                <w:i/>
                <w:lang w:val="el-GR"/>
              </w:rPr>
            </w:pPr>
            <w:r w:rsidRPr="00255C54">
              <w:rPr>
                <w:i/>
                <w:lang w:val="el-GR"/>
              </w:rPr>
              <w:t>Πυρήνας δισκίου</w:t>
            </w:r>
          </w:p>
          <w:p w:rsidR="00FF5472" w:rsidRPr="00255C54" w:rsidRDefault="00E94437" w:rsidP="009D672F">
            <w:pPr>
              <w:pStyle w:val="Para0s"/>
              <w:spacing w:after="0"/>
              <w:rPr>
                <w:i/>
                <w:lang w:val="el-GR"/>
              </w:rPr>
            </w:pPr>
            <w:r w:rsidRPr="00255C54">
              <w:rPr>
                <w:lang w:val="el-GR"/>
              </w:rPr>
              <w:t>Λακτόζη μονοϋδρική</w:t>
            </w:r>
            <w:r w:rsidRPr="00255C54">
              <w:rPr>
                <w:lang w:val="el-GR"/>
              </w:rPr>
              <w:br/>
              <w:t>Άμυλο αραβοσίτου</w:t>
            </w:r>
            <w:r w:rsidRPr="00255C54">
              <w:rPr>
                <w:lang w:val="el-GR"/>
              </w:rPr>
              <w:br/>
              <w:t>Άμυλο αραβοσίτου, προζελατινοποιημένο</w:t>
            </w:r>
            <w:r w:rsidRPr="00255C54">
              <w:rPr>
                <w:lang w:val="el-GR"/>
              </w:rPr>
              <w:br/>
            </w:r>
            <w:r w:rsidRPr="003B0D84">
              <w:t>P</w:t>
            </w:r>
            <w:r w:rsidRPr="00255C54">
              <w:rPr>
                <w:lang w:val="el-GR"/>
              </w:rPr>
              <w:t>ovidone </w:t>
            </w:r>
            <w:r w:rsidR="002E78C6" w:rsidRPr="00255C54">
              <w:rPr>
                <w:lang w:val="el-GR"/>
              </w:rPr>
              <w:t>Κ</w:t>
            </w:r>
            <w:r w:rsidRPr="00255C54">
              <w:rPr>
                <w:lang w:val="el-GR"/>
              </w:rPr>
              <w:t>25</w:t>
            </w:r>
            <w:r w:rsidR="002E78C6" w:rsidRPr="00255C54">
              <w:rPr>
                <w:lang w:val="el-GR"/>
              </w:rPr>
              <w:t xml:space="preserve"> (Ε1201)</w:t>
            </w:r>
            <w:r w:rsidRPr="00255C54">
              <w:rPr>
                <w:lang w:val="el-GR"/>
              </w:rPr>
              <w:br/>
              <w:t>Μαγνήσιο στεατικό</w:t>
            </w:r>
            <w:r w:rsidR="002E78C6" w:rsidRPr="00255C54">
              <w:rPr>
                <w:lang w:val="el-GR"/>
              </w:rPr>
              <w:t xml:space="preserve"> (Ε572)</w:t>
            </w:r>
            <w:r w:rsidRPr="00255C54">
              <w:rPr>
                <w:lang w:val="el-GR"/>
              </w:rPr>
              <w:br/>
            </w:r>
          </w:p>
          <w:p w:rsidR="00F14E9A" w:rsidRPr="00255C54" w:rsidRDefault="005E55BF" w:rsidP="009D672F">
            <w:pPr>
              <w:pStyle w:val="Para0s"/>
              <w:spacing w:after="0"/>
              <w:rPr>
                <w:i/>
                <w:lang w:val="el-GR"/>
              </w:rPr>
            </w:pPr>
            <w:r w:rsidRPr="00255C54">
              <w:rPr>
                <w:i/>
                <w:lang w:val="el-GR"/>
              </w:rPr>
              <w:t>Επικάλυψη δισκίου</w:t>
            </w:r>
          </w:p>
          <w:p w:rsidR="00E94437" w:rsidRPr="00255C54" w:rsidRDefault="00E94437" w:rsidP="009D672F">
            <w:pPr>
              <w:pStyle w:val="Para0s"/>
              <w:spacing w:after="0"/>
              <w:rPr>
                <w:lang w:val="el-GR"/>
              </w:rPr>
            </w:pPr>
            <w:r w:rsidRPr="00255C54">
              <w:rPr>
                <w:lang w:val="el-GR"/>
              </w:rPr>
              <w:t xml:space="preserve">Υπρομελλόζη </w:t>
            </w:r>
            <w:r w:rsidR="00D233DA" w:rsidRPr="00255C54">
              <w:rPr>
                <w:lang w:val="el-GR"/>
              </w:rPr>
              <w:t>Τύπου 2910 (Ε464)</w:t>
            </w:r>
            <w:r w:rsidRPr="00255C54">
              <w:rPr>
                <w:lang w:val="el-GR"/>
              </w:rPr>
              <w:br/>
              <w:t>Μacrogol 6.000</w:t>
            </w:r>
            <w:r w:rsidRPr="00255C54">
              <w:rPr>
                <w:lang w:val="el-GR"/>
              </w:rPr>
              <w:br/>
              <w:t>Τάλκης</w:t>
            </w:r>
            <w:r w:rsidR="00D233DA" w:rsidRPr="00255C54">
              <w:rPr>
                <w:lang w:val="el-GR"/>
              </w:rPr>
              <w:t xml:space="preserve"> (Ε553β)</w:t>
            </w:r>
            <w:r w:rsidRPr="00255C54">
              <w:rPr>
                <w:lang w:val="el-GR"/>
              </w:rPr>
              <w:br/>
            </w:r>
            <w:r w:rsidR="005E55BF" w:rsidRPr="00255C54">
              <w:rPr>
                <w:lang w:val="el-GR"/>
              </w:rPr>
              <w:t>Τι</w:t>
            </w:r>
            <w:r w:rsidRPr="00255C54">
              <w:rPr>
                <w:lang w:val="el-GR"/>
              </w:rPr>
              <w:t>τανίου δι</w:t>
            </w:r>
            <w:r w:rsidR="00D233DA" w:rsidRPr="00255C54">
              <w:rPr>
                <w:lang w:val="el-GR"/>
              </w:rPr>
              <w:t>οξείδιο (E171)</w:t>
            </w:r>
            <w:r w:rsidRPr="00255C54">
              <w:rPr>
                <w:lang w:val="el-GR"/>
              </w:rPr>
              <w:br/>
              <w:t>Σιδήρου οξ</w:t>
            </w:r>
            <w:r w:rsidR="00D233DA" w:rsidRPr="00255C54">
              <w:rPr>
                <w:lang w:val="el-GR"/>
              </w:rPr>
              <w:t xml:space="preserve">είδιο </w:t>
            </w:r>
            <w:r w:rsidR="005E55BF" w:rsidRPr="00255C54">
              <w:rPr>
                <w:lang w:val="el-GR"/>
              </w:rPr>
              <w:t>κόκκινο</w:t>
            </w:r>
            <w:r w:rsidR="00D233DA" w:rsidRPr="00255C54">
              <w:rPr>
                <w:lang w:val="el-GR"/>
              </w:rPr>
              <w:t xml:space="preserve"> (E172</w:t>
            </w:r>
            <w:r w:rsidR="00FF5472" w:rsidRPr="00255C54">
              <w:rPr>
                <w:lang w:val="el-GR"/>
              </w:rPr>
              <w:t>)</w:t>
            </w:r>
            <w:r w:rsidR="00FF5472" w:rsidRPr="00255C54">
              <w:rPr>
                <w:lang w:val="el-GR"/>
              </w:rPr>
              <w:br/>
            </w:r>
            <w:r w:rsidRPr="00255C54">
              <w:rPr>
                <w:lang w:val="el-GR"/>
              </w:rPr>
              <w:t>και</w:t>
            </w:r>
            <w:r w:rsidR="00FF5472" w:rsidRPr="00255C54">
              <w:rPr>
                <w:lang w:val="el-GR"/>
              </w:rPr>
              <w:t>/ή</w:t>
            </w:r>
            <w:r w:rsidRPr="00255C54">
              <w:rPr>
                <w:lang w:val="el-GR"/>
              </w:rPr>
              <w:t xml:space="preserve"> </w:t>
            </w:r>
          </w:p>
          <w:p w:rsidR="00E94437" w:rsidRPr="00255C54" w:rsidRDefault="00E94437" w:rsidP="009D672F">
            <w:pPr>
              <w:pStyle w:val="Para0s"/>
              <w:spacing w:after="0"/>
              <w:rPr>
                <w:lang w:val="el-GR"/>
              </w:rPr>
            </w:pPr>
            <w:r w:rsidRPr="00255C54">
              <w:rPr>
                <w:lang w:val="el-GR"/>
              </w:rPr>
              <w:t>Σιδήρου ο</w:t>
            </w:r>
            <w:r w:rsidR="00D233DA" w:rsidRPr="00255C54">
              <w:rPr>
                <w:lang w:val="el-GR"/>
              </w:rPr>
              <w:t xml:space="preserve">ξείδιο </w:t>
            </w:r>
            <w:r w:rsidR="005E55BF" w:rsidRPr="00255C54">
              <w:rPr>
                <w:lang w:val="el-GR"/>
              </w:rPr>
              <w:t>κίτρινο</w:t>
            </w:r>
            <w:r w:rsidR="00D233DA" w:rsidRPr="00255C54">
              <w:rPr>
                <w:lang w:val="el-GR"/>
              </w:rPr>
              <w:t>(E172</w:t>
            </w:r>
            <w:r w:rsidRPr="00255C54">
              <w:rPr>
                <w:lang w:val="el-GR"/>
              </w:rPr>
              <w:t>)</w:t>
            </w:r>
          </w:p>
          <w:p w:rsidR="00E94437" w:rsidRPr="00255C54" w:rsidRDefault="00E94437" w:rsidP="009D672F">
            <w:pPr>
              <w:pStyle w:val="Para0s"/>
              <w:spacing w:after="0"/>
              <w:rPr>
                <w:lang w:val="el-GR"/>
              </w:rPr>
            </w:pPr>
          </w:p>
        </w:tc>
        <w:tc>
          <w:tcPr>
            <w:tcW w:w="4786" w:type="dxa"/>
          </w:tcPr>
          <w:p w:rsidR="00B131F9" w:rsidRPr="00255C54" w:rsidRDefault="00B131F9" w:rsidP="009D672F">
            <w:pPr>
              <w:pStyle w:val="Para0s"/>
              <w:tabs>
                <w:tab w:val="left" w:pos="3345"/>
              </w:tabs>
              <w:spacing w:after="0"/>
              <w:rPr>
                <w:i/>
                <w:lang w:val="el-GR"/>
              </w:rPr>
            </w:pPr>
            <w:r w:rsidRPr="00255C54">
              <w:rPr>
                <w:i/>
                <w:lang w:val="el-GR"/>
              </w:rPr>
              <w:t>Πυρήνας δισκίου</w:t>
            </w:r>
          </w:p>
          <w:p w:rsidR="00932B1E" w:rsidRPr="00255C54" w:rsidRDefault="00E87DE6" w:rsidP="009D672F">
            <w:pPr>
              <w:pStyle w:val="Para0s"/>
              <w:spacing w:after="0"/>
              <w:rPr>
                <w:i/>
                <w:lang w:val="el-GR"/>
              </w:rPr>
            </w:pPr>
            <w:r w:rsidRPr="00255C54">
              <w:rPr>
                <w:lang w:val="el-GR"/>
              </w:rPr>
              <w:t>Λακτόζη μονοϋδρική</w:t>
            </w:r>
            <w:r w:rsidRPr="00255C54">
              <w:rPr>
                <w:lang w:val="el-GR"/>
              </w:rPr>
              <w:br/>
              <w:t>Ά</w:t>
            </w:r>
            <w:r w:rsidR="00287966" w:rsidRPr="00255C54">
              <w:rPr>
                <w:lang w:val="el-GR"/>
              </w:rPr>
              <w:t>μυλο αραβοσίτου</w:t>
            </w:r>
            <w:r w:rsidR="00287966" w:rsidRPr="00255C54">
              <w:rPr>
                <w:lang w:val="el-GR"/>
              </w:rPr>
              <w:br/>
            </w:r>
            <w:r w:rsidR="00932B1E" w:rsidRPr="003B0D84">
              <w:t>P</w:t>
            </w:r>
            <w:r w:rsidRPr="00255C54">
              <w:rPr>
                <w:lang w:val="el-GR"/>
              </w:rPr>
              <w:t>ovidone </w:t>
            </w:r>
            <w:r w:rsidR="00D233DA" w:rsidRPr="00255C54">
              <w:rPr>
                <w:lang w:val="el-GR"/>
              </w:rPr>
              <w:t>Κ</w:t>
            </w:r>
            <w:r w:rsidRPr="00255C54">
              <w:rPr>
                <w:lang w:val="el-GR"/>
              </w:rPr>
              <w:t>25</w:t>
            </w:r>
            <w:r w:rsidR="00D233DA" w:rsidRPr="00255C54">
              <w:rPr>
                <w:lang w:val="el-GR"/>
              </w:rPr>
              <w:t xml:space="preserve"> (Ε1201)</w:t>
            </w:r>
            <w:r w:rsidRPr="00255C54">
              <w:rPr>
                <w:lang w:val="el-GR"/>
              </w:rPr>
              <w:br/>
            </w:r>
            <w:r w:rsidR="00932B1E" w:rsidRPr="003B0D84">
              <w:t>M</w:t>
            </w:r>
            <w:r w:rsidR="00932B1E" w:rsidRPr="00255C54">
              <w:rPr>
                <w:lang w:val="el-GR"/>
              </w:rPr>
              <w:t>αγνήσιο στεατικό</w:t>
            </w:r>
            <w:r w:rsidR="00D233DA" w:rsidRPr="00255C54">
              <w:rPr>
                <w:lang w:val="el-GR"/>
              </w:rPr>
              <w:t xml:space="preserve"> (Ε572)</w:t>
            </w:r>
          </w:p>
          <w:p w:rsidR="00FF5472" w:rsidRPr="00255C54" w:rsidRDefault="00FF5472" w:rsidP="009D672F">
            <w:pPr>
              <w:pStyle w:val="Para0s"/>
              <w:spacing w:after="0"/>
              <w:rPr>
                <w:i/>
                <w:lang w:val="el-GR"/>
              </w:rPr>
            </w:pPr>
          </w:p>
          <w:p w:rsidR="00E87DE6" w:rsidRPr="00255C54" w:rsidRDefault="00B131F9" w:rsidP="009D672F">
            <w:pPr>
              <w:pStyle w:val="Para0s"/>
              <w:spacing w:after="0"/>
              <w:rPr>
                <w:i/>
                <w:lang w:val="el-GR"/>
              </w:rPr>
            </w:pPr>
            <w:r w:rsidRPr="00255C54">
              <w:rPr>
                <w:i/>
                <w:lang w:val="el-GR"/>
              </w:rPr>
              <w:t>Επικάλυψη δισκίου</w:t>
            </w:r>
            <w:r w:rsidR="00287966" w:rsidRPr="00255C54">
              <w:rPr>
                <w:lang w:val="el-GR"/>
              </w:rPr>
              <w:br/>
            </w:r>
            <w:r w:rsidR="00932B1E" w:rsidRPr="003B0D84">
              <w:t>Y</w:t>
            </w:r>
            <w:r w:rsidR="00932B1E" w:rsidRPr="00255C54">
              <w:rPr>
                <w:lang w:val="el-GR"/>
              </w:rPr>
              <w:t>προμελλόζη</w:t>
            </w:r>
            <w:r w:rsidR="00D233DA" w:rsidRPr="00255C54">
              <w:rPr>
                <w:lang w:val="el-GR"/>
              </w:rPr>
              <w:t xml:space="preserve"> τύπου 2910 (Ε464)</w:t>
            </w:r>
            <w:r w:rsidR="00287966" w:rsidRPr="00255C54">
              <w:rPr>
                <w:lang w:val="el-GR"/>
              </w:rPr>
              <w:br/>
            </w:r>
            <w:r w:rsidR="00932B1E" w:rsidRPr="003B0D84">
              <w:t>T</w:t>
            </w:r>
            <w:r w:rsidR="00932B1E" w:rsidRPr="00255C54">
              <w:rPr>
                <w:lang w:val="el-GR"/>
              </w:rPr>
              <w:t>άλκης</w:t>
            </w:r>
            <w:r w:rsidR="00D233DA" w:rsidRPr="00255C54">
              <w:rPr>
                <w:lang w:val="el-GR"/>
              </w:rPr>
              <w:t xml:space="preserve"> (Ε553β)</w:t>
            </w:r>
            <w:r w:rsidR="00287966" w:rsidRPr="00255C54">
              <w:rPr>
                <w:lang w:val="el-GR"/>
              </w:rPr>
              <w:br/>
            </w:r>
            <w:r w:rsidR="00932B1E" w:rsidRPr="003B0D84">
              <w:t>T</w:t>
            </w:r>
            <w:r w:rsidR="00E87DE6" w:rsidRPr="00255C54">
              <w:rPr>
                <w:lang w:val="el-GR"/>
              </w:rPr>
              <w:t>ιτανίου διοξείδιο</w:t>
            </w:r>
            <w:r w:rsidR="00D233DA" w:rsidRPr="00255C54">
              <w:rPr>
                <w:lang w:val="el-GR"/>
              </w:rPr>
              <w:t xml:space="preserve"> (Ε171)</w:t>
            </w:r>
          </w:p>
          <w:p w:rsidR="00E94437" w:rsidRPr="00255C54" w:rsidRDefault="00E94437" w:rsidP="009D672F">
            <w:pPr>
              <w:pStyle w:val="Para0s"/>
              <w:spacing w:after="0"/>
              <w:rPr>
                <w:lang w:val="el-GR"/>
              </w:rPr>
            </w:pPr>
          </w:p>
        </w:tc>
      </w:tr>
    </w:tbl>
    <w:p w:rsidR="00E94437" w:rsidRPr="00B131F9" w:rsidRDefault="00E94437" w:rsidP="009D672F">
      <w:pPr>
        <w:pStyle w:val="Para0s"/>
        <w:spacing w:after="0"/>
        <w:rPr>
          <w:lang w:val="el-GR"/>
        </w:rPr>
      </w:pPr>
    </w:p>
    <w:p w:rsidR="00C1567C" w:rsidRPr="003B0D84" w:rsidRDefault="005E55BF" w:rsidP="009D672F">
      <w:pPr>
        <w:pStyle w:val="2"/>
        <w:numPr>
          <w:ilvl w:val="0"/>
          <w:numId w:val="0"/>
        </w:numPr>
        <w:spacing w:before="0" w:after="0"/>
        <w:rPr>
          <w:lang w:val="el-GR"/>
        </w:rPr>
      </w:pPr>
      <w:r w:rsidRPr="003B0D84">
        <w:rPr>
          <w:lang w:val="el-GR"/>
        </w:rPr>
        <w:t>6.2</w:t>
      </w:r>
      <w:r w:rsidR="000415AF">
        <w:t xml:space="preserve">  </w:t>
      </w:r>
      <w:r w:rsidR="00C1567C" w:rsidRPr="003B0D84">
        <w:rPr>
          <w:lang w:val="el-GR"/>
        </w:rPr>
        <w:t>Ασυμβατότητες</w:t>
      </w:r>
    </w:p>
    <w:p w:rsidR="00C1567C" w:rsidRDefault="00932B1E" w:rsidP="009D672F">
      <w:pPr>
        <w:pStyle w:val="Para0s"/>
        <w:spacing w:after="0"/>
        <w:rPr>
          <w:lang w:val="el-GR"/>
        </w:rPr>
      </w:pPr>
      <w:r w:rsidRPr="003B0D84">
        <w:rPr>
          <w:lang w:val="el-GR"/>
        </w:rPr>
        <w:t>Δεν εφαρμόζεται</w:t>
      </w:r>
    </w:p>
    <w:p w:rsidR="00E0334D" w:rsidRPr="003B0D84" w:rsidRDefault="00E0334D" w:rsidP="009D672F">
      <w:pPr>
        <w:pStyle w:val="Para0s"/>
        <w:spacing w:after="0"/>
        <w:rPr>
          <w:lang w:val="el-GR"/>
        </w:rPr>
      </w:pPr>
    </w:p>
    <w:p w:rsidR="00C1567C" w:rsidRPr="003B0D84" w:rsidRDefault="005E55BF" w:rsidP="009D672F">
      <w:pPr>
        <w:pStyle w:val="2"/>
        <w:numPr>
          <w:ilvl w:val="0"/>
          <w:numId w:val="0"/>
        </w:numPr>
        <w:spacing w:before="0" w:after="0"/>
        <w:rPr>
          <w:lang w:val="el-GR"/>
        </w:rPr>
      </w:pPr>
      <w:r w:rsidRPr="003B0D84">
        <w:rPr>
          <w:lang w:val="el-GR"/>
        </w:rPr>
        <w:t>6.3</w:t>
      </w:r>
      <w:r w:rsidR="000415AF">
        <w:t xml:space="preserve">  </w:t>
      </w:r>
      <w:r w:rsidR="00C1567C" w:rsidRPr="003B0D84">
        <w:rPr>
          <w:lang w:val="el-GR"/>
        </w:rPr>
        <w:t>Διάρκεια ζωής</w:t>
      </w:r>
    </w:p>
    <w:p w:rsidR="00C1567C" w:rsidRDefault="00C1567C" w:rsidP="009D672F">
      <w:pPr>
        <w:pStyle w:val="Para0s"/>
        <w:spacing w:after="0"/>
        <w:rPr>
          <w:lang w:val="el-GR"/>
        </w:rPr>
      </w:pPr>
      <w:r w:rsidRPr="003B0D84">
        <w:rPr>
          <w:lang w:val="el-GR"/>
        </w:rPr>
        <w:t>5 χρόνια</w:t>
      </w:r>
    </w:p>
    <w:p w:rsidR="00E0334D" w:rsidRPr="003B0D84" w:rsidRDefault="00E0334D" w:rsidP="009D672F">
      <w:pPr>
        <w:pStyle w:val="Para0s"/>
        <w:spacing w:after="0"/>
        <w:rPr>
          <w:lang w:val="el-GR"/>
        </w:rPr>
      </w:pPr>
    </w:p>
    <w:p w:rsidR="00C1567C" w:rsidRPr="003B0D84" w:rsidRDefault="005E55BF" w:rsidP="009D672F">
      <w:pPr>
        <w:pStyle w:val="2"/>
        <w:numPr>
          <w:ilvl w:val="0"/>
          <w:numId w:val="0"/>
        </w:numPr>
        <w:spacing w:before="0" w:after="0"/>
        <w:rPr>
          <w:lang w:val="el-GR"/>
        </w:rPr>
      </w:pPr>
      <w:r w:rsidRPr="003B0D84">
        <w:rPr>
          <w:lang w:val="el-GR"/>
        </w:rPr>
        <w:t>6.4</w:t>
      </w:r>
      <w:r w:rsidR="000415AF" w:rsidRPr="000415AF">
        <w:rPr>
          <w:lang w:val="el-GR"/>
        </w:rPr>
        <w:t xml:space="preserve">  </w:t>
      </w:r>
      <w:r w:rsidRPr="003B0D84">
        <w:rPr>
          <w:lang w:val="el-GR"/>
        </w:rPr>
        <w:t xml:space="preserve"> </w:t>
      </w:r>
      <w:r w:rsidR="00C1567C" w:rsidRPr="003B0D84">
        <w:rPr>
          <w:lang w:val="el-GR"/>
        </w:rPr>
        <w:t>Ιδιαίτερες προφυλάξεις κατά τη φύλαξη του προϊόντος</w:t>
      </w:r>
    </w:p>
    <w:p w:rsidR="00C1567C" w:rsidRDefault="00932B1E" w:rsidP="009D672F">
      <w:pPr>
        <w:pStyle w:val="Para0s"/>
        <w:spacing w:after="0"/>
        <w:rPr>
          <w:lang w:val="el-GR"/>
        </w:rPr>
      </w:pPr>
      <w:r w:rsidRPr="003B0D84">
        <w:rPr>
          <w:lang w:val="el-GR"/>
        </w:rPr>
        <w:t xml:space="preserve">Αυτό το φαρμακευτικό προϊόν δεν απαιτεί ιδιαίτερες </w:t>
      </w:r>
      <w:r w:rsidR="00B23F85" w:rsidRPr="003B0D84">
        <w:rPr>
          <w:lang w:val="el-GR"/>
        </w:rPr>
        <w:t>συνθήκες</w:t>
      </w:r>
      <w:r w:rsidRPr="003B0D84">
        <w:rPr>
          <w:lang w:val="el-GR"/>
        </w:rPr>
        <w:t xml:space="preserve"> φύλαξης.</w:t>
      </w:r>
    </w:p>
    <w:p w:rsidR="00E0334D" w:rsidRPr="003B0D84" w:rsidRDefault="00E0334D" w:rsidP="009D672F">
      <w:pPr>
        <w:pStyle w:val="Para0s"/>
        <w:spacing w:after="0"/>
        <w:rPr>
          <w:lang w:val="el-GR"/>
        </w:rPr>
      </w:pPr>
    </w:p>
    <w:p w:rsidR="00C1567C" w:rsidRPr="003B0D84" w:rsidRDefault="005E55BF" w:rsidP="009D672F">
      <w:pPr>
        <w:pStyle w:val="2"/>
        <w:numPr>
          <w:ilvl w:val="0"/>
          <w:numId w:val="0"/>
        </w:numPr>
        <w:spacing w:before="0" w:after="0"/>
        <w:rPr>
          <w:lang w:val="el-GR"/>
        </w:rPr>
      </w:pPr>
      <w:r w:rsidRPr="003B0D84">
        <w:rPr>
          <w:lang w:val="el-GR"/>
        </w:rPr>
        <w:t xml:space="preserve"> 6.5 </w:t>
      </w:r>
      <w:r w:rsidR="000415AF" w:rsidRPr="000415AF">
        <w:rPr>
          <w:lang w:val="el-GR"/>
        </w:rPr>
        <w:t xml:space="preserve">  </w:t>
      </w:r>
      <w:r w:rsidR="00C1567C" w:rsidRPr="003B0D84">
        <w:rPr>
          <w:lang w:val="el-GR"/>
        </w:rPr>
        <w:t>Φύση και συστατικά του περιέκτη</w:t>
      </w:r>
    </w:p>
    <w:p w:rsidR="009C6358" w:rsidRPr="003B0D84" w:rsidRDefault="009C6358" w:rsidP="009D672F">
      <w:pPr>
        <w:pStyle w:val="Para0s"/>
        <w:spacing w:after="0"/>
        <w:rPr>
          <w:color w:val="000000"/>
          <w:lang w:val="el-GR"/>
        </w:rPr>
        <w:sectPr w:rsidR="009C6358" w:rsidRPr="003B0D84" w:rsidSect="00E0334D">
          <w:pgSz w:w="11907" w:h="16839" w:code="9"/>
          <w:pgMar w:top="1260" w:right="737" w:bottom="1644" w:left="1276" w:header="794" w:footer="794" w:gutter="0"/>
          <w:cols w:space="720"/>
          <w:docGrid w:linePitch="299"/>
        </w:sectPr>
      </w:pPr>
      <w:r w:rsidRPr="003B0D84">
        <w:rPr>
          <w:color w:val="000000"/>
          <w:lang w:val="el-GR"/>
        </w:rPr>
        <w:t xml:space="preserve">Διάφανη κυψέλη </w:t>
      </w:r>
      <w:r w:rsidRPr="003B0D84">
        <w:rPr>
          <w:color w:val="000000"/>
        </w:rPr>
        <w:t>PVC</w:t>
      </w:r>
      <w:r w:rsidRPr="003B0D84">
        <w:rPr>
          <w:color w:val="000000"/>
          <w:lang w:val="el-GR"/>
        </w:rPr>
        <w:t xml:space="preserve"> / Αλουμινίου σε </w:t>
      </w:r>
      <w:r w:rsidR="005F1C51" w:rsidRPr="003B0D84">
        <w:rPr>
          <w:color w:val="000000"/>
          <w:lang w:val="el-GR"/>
        </w:rPr>
        <w:t>συσκευασία</w:t>
      </w:r>
      <w:r w:rsidRPr="003B0D84">
        <w:rPr>
          <w:color w:val="000000"/>
          <w:lang w:val="el-GR"/>
        </w:rPr>
        <w:t xml:space="preserve"> από χαρτόνι</w:t>
      </w:r>
    </w:p>
    <w:p w:rsidR="00C1567C" w:rsidRPr="003B0D84" w:rsidRDefault="00C1567C" w:rsidP="009D672F">
      <w:pPr>
        <w:pStyle w:val="Para0s"/>
        <w:spacing w:after="0"/>
        <w:rPr>
          <w:lang w:val="el-GR"/>
        </w:rPr>
      </w:pPr>
    </w:p>
    <w:p w:rsidR="00C1567C" w:rsidRPr="003B0D84" w:rsidRDefault="00C1567C" w:rsidP="009D672F">
      <w:pPr>
        <w:pStyle w:val="Bullet0dKT"/>
        <w:spacing w:before="0" w:after="0"/>
        <w:rPr>
          <w:lang w:val="el-GR"/>
        </w:rPr>
      </w:pPr>
      <w:r w:rsidRPr="003B0D84">
        <w:rPr>
          <w:lang w:val="el-GR"/>
        </w:rPr>
        <w:t>Συσκευασίες</w:t>
      </w:r>
    </w:p>
    <w:p w:rsidR="00C1567C" w:rsidRPr="003B0D84" w:rsidRDefault="00C1567C" w:rsidP="009D672F">
      <w:pPr>
        <w:pStyle w:val="Para0s"/>
        <w:spacing w:after="0"/>
        <w:rPr>
          <w:lang w:val="el-GR"/>
        </w:rPr>
      </w:pPr>
      <w:r w:rsidRPr="003B0D84">
        <w:rPr>
          <w:lang w:val="el-GR"/>
        </w:rPr>
        <w:t>Μεγέθη συσκευασίας:</w:t>
      </w:r>
    </w:p>
    <w:p w:rsidR="00C1567C" w:rsidRPr="003B0D84" w:rsidRDefault="00C1567C" w:rsidP="009D672F">
      <w:pPr>
        <w:pStyle w:val="Para0s"/>
        <w:spacing w:after="0"/>
        <w:rPr>
          <w:lang w:val="el-GR"/>
        </w:rPr>
      </w:pPr>
      <w:r w:rsidRPr="003B0D84">
        <w:rPr>
          <w:lang w:val="el-GR"/>
        </w:rPr>
        <w:t>1 x 28 επικαλυμμένα με λεπτό υμένιο δισκία</w:t>
      </w:r>
    </w:p>
    <w:p w:rsidR="00C1567C" w:rsidRPr="003B0D84" w:rsidRDefault="00C1567C" w:rsidP="009D672F">
      <w:pPr>
        <w:pStyle w:val="Para0s"/>
        <w:spacing w:after="0"/>
        <w:rPr>
          <w:lang w:val="el-GR"/>
        </w:rPr>
      </w:pPr>
      <w:r w:rsidRPr="003B0D84">
        <w:rPr>
          <w:lang w:val="el-GR"/>
        </w:rPr>
        <w:t>3 x 28 επικαλυμμένα με λεπτό υμένιο δισκία</w:t>
      </w:r>
    </w:p>
    <w:p w:rsidR="00C1567C" w:rsidRPr="003B0D84" w:rsidRDefault="00C1567C" w:rsidP="009D672F">
      <w:pPr>
        <w:pStyle w:val="Para0s"/>
        <w:spacing w:after="0"/>
        <w:rPr>
          <w:lang w:val="el-GR"/>
        </w:rPr>
      </w:pPr>
      <w:r w:rsidRPr="003B0D84">
        <w:rPr>
          <w:lang w:val="el-GR"/>
        </w:rPr>
        <w:t>6 x 28 επικαλυμμένα με λεπτό υμένιο δισκία</w:t>
      </w:r>
    </w:p>
    <w:p w:rsidR="009C6358" w:rsidRPr="003B0D84" w:rsidRDefault="009C6358" w:rsidP="009D672F">
      <w:pPr>
        <w:pStyle w:val="Para0s"/>
        <w:spacing w:after="0"/>
        <w:rPr>
          <w:lang w:val="el-GR"/>
        </w:rPr>
      </w:pPr>
      <w:r w:rsidRPr="003B0D84">
        <w:rPr>
          <w:lang w:val="el-GR"/>
        </w:rPr>
        <w:t>Κάθε</w:t>
      </w:r>
      <w:r w:rsidR="005F1C51" w:rsidRPr="003B0D84">
        <w:rPr>
          <w:lang w:val="el-GR"/>
        </w:rPr>
        <w:t xml:space="preserve"> συσκευασία</w:t>
      </w:r>
      <w:r w:rsidRPr="003B0D84">
        <w:rPr>
          <w:lang w:val="el-GR"/>
        </w:rPr>
        <w:t xml:space="preserve"> (28 επικαλυμμένα με λεπτό υμένιο δισκία) περιέχει την εξής σειρά: 2 δισκία σκούρ</w:t>
      </w:r>
      <w:r w:rsidR="00BF38FE" w:rsidRPr="003B0D84">
        <w:rPr>
          <w:lang w:val="el-GR"/>
        </w:rPr>
        <w:t xml:space="preserve">ου κίτρινου χρώματος και 5 </w:t>
      </w:r>
      <w:r w:rsidR="00287966" w:rsidRPr="003B0D84">
        <w:rPr>
          <w:lang w:val="el-GR"/>
        </w:rPr>
        <w:t xml:space="preserve">δισκία </w:t>
      </w:r>
      <w:r w:rsidR="005F1C51" w:rsidRPr="003B0D84">
        <w:rPr>
          <w:lang w:val="el-GR"/>
        </w:rPr>
        <w:t>κόκκινου χρώματος και 17 δισκία ανοιχτού κίτρινου χρώματος και 2 δισκία σκούρου κόκκινου χρώματος και 2 δισκία λευκού χρώματος.</w:t>
      </w:r>
    </w:p>
    <w:p w:rsidR="00C1567C" w:rsidRDefault="00C1567C" w:rsidP="009D672F">
      <w:pPr>
        <w:pStyle w:val="Para0s"/>
        <w:spacing w:after="0"/>
        <w:rPr>
          <w:lang w:val="el-GR"/>
        </w:rPr>
      </w:pPr>
      <w:r w:rsidRPr="003B0D84">
        <w:rPr>
          <w:lang w:val="el-GR"/>
        </w:rPr>
        <w:t>Μπορεί να μη κυκλοφορούν όλες οι συσκευασίες.</w:t>
      </w:r>
    </w:p>
    <w:p w:rsidR="00E0334D" w:rsidRPr="003B0D84" w:rsidRDefault="00E0334D" w:rsidP="009D672F">
      <w:pPr>
        <w:pStyle w:val="Para0s"/>
        <w:spacing w:after="0"/>
        <w:rPr>
          <w:lang w:val="el-GR"/>
        </w:rPr>
      </w:pPr>
    </w:p>
    <w:p w:rsidR="00C1567C" w:rsidRPr="003B0D84" w:rsidRDefault="005E55BF" w:rsidP="009D672F">
      <w:pPr>
        <w:pStyle w:val="2"/>
        <w:numPr>
          <w:ilvl w:val="0"/>
          <w:numId w:val="0"/>
        </w:numPr>
        <w:spacing w:before="0" w:after="0"/>
        <w:rPr>
          <w:lang w:val="el-GR"/>
        </w:rPr>
      </w:pPr>
      <w:r w:rsidRPr="003B0D84">
        <w:rPr>
          <w:lang w:val="el-GR"/>
        </w:rPr>
        <w:t xml:space="preserve"> 6.6</w:t>
      </w:r>
      <w:r w:rsidR="00A54CA5" w:rsidRPr="003B0D84">
        <w:rPr>
          <w:lang w:val="el-GR"/>
        </w:rPr>
        <w:t xml:space="preserve"> </w:t>
      </w:r>
      <w:r w:rsidR="000415AF">
        <w:t xml:space="preserve">  </w:t>
      </w:r>
      <w:r w:rsidR="00C1567C" w:rsidRPr="003B0D84">
        <w:rPr>
          <w:lang w:val="el-GR"/>
        </w:rPr>
        <w:t>Ιδιαίτερες προφυλάξεις απόρριψης</w:t>
      </w:r>
    </w:p>
    <w:p w:rsidR="005F1C51" w:rsidRDefault="005F1C51" w:rsidP="009D672F">
      <w:pPr>
        <w:pStyle w:val="Para0s"/>
        <w:spacing w:after="0"/>
        <w:rPr>
          <w:lang w:val="el-GR"/>
        </w:rPr>
      </w:pPr>
      <w:r w:rsidRPr="003B0D84">
        <w:rPr>
          <w:lang w:val="el-GR"/>
        </w:rPr>
        <w:t xml:space="preserve">Το </w:t>
      </w:r>
      <w:r w:rsidR="008749B6" w:rsidRPr="003B0D84">
        <w:rPr>
          <w:lang w:val="el-GR"/>
        </w:rPr>
        <w:t>μη χρησιμοποιημένο</w:t>
      </w:r>
      <w:r w:rsidRPr="003B0D84">
        <w:rPr>
          <w:lang w:val="el-GR"/>
        </w:rPr>
        <w:t xml:space="preserve"> προϊόν</w:t>
      </w:r>
      <w:r w:rsidR="008749B6" w:rsidRPr="003B0D84">
        <w:rPr>
          <w:lang w:val="el-GR"/>
        </w:rPr>
        <w:t xml:space="preserve"> ή απορρίμματα αυτού πρέπει να απορρίπτονται σύμφωνα με τις τοπικές οδηγίες.</w:t>
      </w:r>
    </w:p>
    <w:p w:rsidR="00E0334D" w:rsidRPr="003B0D84" w:rsidRDefault="00E0334D" w:rsidP="009D672F">
      <w:pPr>
        <w:pStyle w:val="Para0s"/>
        <w:spacing w:after="0"/>
        <w:rPr>
          <w:lang w:val="el-GR"/>
        </w:rPr>
      </w:pPr>
    </w:p>
    <w:p w:rsidR="00CB4599" w:rsidRDefault="00C1567C" w:rsidP="009D672F">
      <w:pPr>
        <w:pStyle w:val="1"/>
        <w:spacing w:before="0" w:after="0"/>
        <w:rPr>
          <w:lang w:val="el-GR"/>
        </w:rPr>
      </w:pPr>
      <w:r w:rsidRPr="003B0D84">
        <w:rPr>
          <w:lang w:val="el-GR"/>
        </w:rPr>
        <w:t>ΚΑΤΟΧΟΣ ΤΗΣ ΑΔΕΙΑΣ ΚΥΚΛΟΦΟΡΙΑΣ</w:t>
      </w:r>
      <w:r w:rsidR="00F94B81">
        <w:rPr>
          <w:lang w:val="el-GR"/>
        </w:rPr>
        <w:t xml:space="preserve"> ΣΤΗΝ ΕΛΛΑΔΑ ΚΑΙ ΤΗΝ ΚΥΠΡΟ</w:t>
      </w:r>
      <w:r w:rsidR="00CB4599">
        <w:rPr>
          <w:lang w:val="el-GR"/>
        </w:rPr>
        <w:t xml:space="preserve"> </w:t>
      </w:r>
    </w:p>
    <w:p w:rsidR="006A41C8" w:rsidRDefault="00E10DBA" w:rsidP="009D672F">
      <w:pPr>
        <w:pStyle w:val="1"/>
        <w:numPr>
          <w:ilvl w:val="0"/>
          <w:numId w:val="0"/>
        </w:numPr>
        <w:spacing w:before="0" w:after="0"/>
        <w:rPr>
          <w:b w:val="0"/>
          <w:lang w:val="el-GR"/>
        </w:rPr>
      </w:pPr>
      <w:r w:rsidRPr="00CB4599">
        <w:rPr>
          <w:b w:val="0"/>
        </w:rPr>
        <w:t>Bayer</w:t>
      </w:r>
      <w:r w:rsidRPr="00CB4599">
        <w:rPr>
          <w:b w:val="0"/>
          <w:lang w:val="el-GR"/>
        </w:rPr>
        <w:t xml:space="preserve"> Ελλάς</w:t>
      </w:r>
      <w:r w:rsidR="006A41C8" w:rsidRPr="00CB4599">
        <w:rPr>
          <w:b w:val="0"/>
          <w:lang w:val="el-GR"/>
        </w:rPr>
        <w:t xml:space="preserve"> ΑΒΕΕ</w:t>
      </w:r>
      <w:r w:rsidR="006A41C8" w:rsidRPr="00CB4599">
        <w:rPr>
          <w:b w:val="0"/>
          <w:lang w:val="el-GR"/>
        </w:rPr>
        <w:br/>
        <w:t>Σωρού 18-20</w:t>
      </w:r>
      <w:r w:rsidR="006A41C8" w:rsidRPr="00CB4599">
        <w:rPr>
          <w:b w:val="0"/>
          <w:lang w:val="el-GR"/>
        </w:rPr>
        <w:br/>
        <w:t xml:space="preserve">151 </w:t>
      </w:r>
      <w:r w:rsidRPr="00CB4599">
        <w:rPr>
          <w:b w:val="0"/>
          <w:lang w:val="el-GR"/>
        </w:rPr>
        <w:t>25 Μαρούσι, Αθήνα, Ελλάδα</w:t>
      </w:r>
      <w:r w:rsidR="006A41C8" w:rsidRPr="00CB4599">
        <w:rPr>
          <w:b w:val="0"/>
          <w:lang w:val="el-GR"/>
        </w:rPr>
        <w:br/>
        <w:t xml:space="preserve">Τηλ. </w:t>
      </w:r>
      <w:r w:rsidRPr="00CB4599">
        <w:rPr>
          <w:b w:val="0"/>
          <w:lang w:val="el-GR"/>
        </w:rPr>
        <w:t xml:space="preserve">0030 </w:t>
      </w:r>
      <w:r w:rsidR="006A41C8" w:rsidRPr="00CB4599">
        <w:rPr>
          <w:b w:val="0"/>
          <w:lang w:val="el-GR"/>
        </w:rPr>
        <w:t>210 6187500</w:t>
      </w:r>
    </w:p>
    <w:p w:rsidR="00E0334D" w:rsidRPr="00E0334D" w:rsidRDefault="00E0334D" w:rsidP="00E0334D">
      <w:pPr>
        <w:pStyle w:val="Para0s"/>
        <w:rPr>
          <w:lang w:val="el-GR"/>
        </w:rPr>
      </w:pPr>
    </w:p>
    <w:p w:rsidR="00851CB7" w:rsidRPr="00851CB7" w:rsidRDefault="00935292" w:rsidP="009D672F">
      <w:pPr>
        <w:spacing w:after="0"/>
        <w:rPr>
          <w:rFonts w:ascii="Times New Roman" w:hAnsi="Times New Roman"/>
          <w:b/>
          <w:sz w:val="24"/>
          <w:szCs w:val="24"/>
        </w:rPr>
      </w:pPr>
      <w:r w:rsidRPr="009D1B99">
        <w:rPr>
          <w:rFonts w:ascii="Times New Roman" w:hAnsi="Times New Roman"/>
          <w:b/>
          <w:sz w:val="24"/>
          <w:szCs w:val="24"/>
          <w:lang w:val="el-GR"/>
        </w:rPr>
        <w:t>Τοπικός αντιπρόσωπος στην Κύπρο:</w:t>
      </w:r>
    </w:p>
    <w:p w:rsidR="00935292" w:rsidRPr="00623A75" w:rsidRDefault="00935292" w:rsidP="009D672F">
      <w:pPr>
        <w:spacing w:after="0"/>
        <w:rPr>
          <w:rFonts w:ascii="Times New Roman" w:hAnsi="Times New Roman"/>
          <w:sz w:val="24"/>
          <w:szCs w:val="24"/>
          <w:lang w:val="el-GR"/>
        </w:rPr>
      </w:pPr>
      <w:r w:rsidRPr="009D1B99">
        <w:rPr>
          <w:rFonts w:ascii="Times New Roman" w:hAnsi="Times New Roman"/>
          <w:sz w:val="24"/>
          <w:szCs w:val="24"/>
        </w:rPr>
        <w:t>Novagem</w:t>
      </w:r>
      <w:r w:rsidRPr="00623A75">
        <w:rPr>
          <w:rFonts w:ascii="Times New Roman" w:hAnsi="Times New Roman"/>
          <w:sz w:val="24"/>
          <w:szCs w:val="24"/>
          <w:lang w:val="el-GR"/>
        </w:rPr>
        <w:t xml:space="preserve"> </w:t>
      </w:r>
      <w:r w:rsidRPr="009D1B99">
        <w:rPr>
          <w:rFonts w:ascii="Times New Roman" w:hAnsi="Times New Roman"/>
          <w:sz w:val="24"/>
          <w:szCs w:val="24"/>
        </w:rPr>
        <w:t>Ltd</w:t>
      </w:r>
    </w:p>
    <w:p w:rsidR="00935292" w:rsidRDefault="00935292" w:rsidP="009D672F">
      <w:pPr>
        <w:spacing w:after="0"/>
        <w:rPr>
          <w:rFonts w:ascii="Times New Roman" w:hAnsi="Times New Roman"/>
          <w:sz w:val="24"/>
          <w:szCs w:val="24"/>
          <w:lang w:val="el-GR"/>
        </w:rPr>
      </w:pPr>
      <w:r w:rsidRPr="00623A75">
        <w:rPr>
          <w:rFonts w:ascii="Times New Roman" w:hAnsi="Times New Roman"/>
          <w:sz w:val="24"/>
          <w:szCs w:val="24"/>
          <w:lang w:val="el-GR"/>
        </w:rPr>
        <w:t>Τηλ. 0035</w:t>
      </w:r>
      <w:r w:rsidR="00025664">
        <w:rPr>
          <w:rFonts w:ascii="Times New Roman" w:hAnsi="Times New Roman"/>
          <w:sz w:val="24"/>
          <w:szCs w:val="24"/>
          <w:lang w:val="el-GR"/>
        </w:rPr>
        <w:t>7 22</w:t>
      </w:r>
      <w:r w:rsidR="00025664">
        <w:rPr>
          <w:rFonts w:ascii="Times New Roman" w:hAnsi="Times New Roman"/>
          <w:sz w:val="24"/>
          <w:szCs w:val="24"/>
        </w:rPr>
        <w:t>483858</w:t>
      </w:r>
    </w:p>
    <w:p w:rsidR="00E0334D" w:rsidRPr="00E0334D" w:rsidRDefault="00E0334D" w:rsidP="009D672F">
      <w:pPr>
        <w:spacing w:after="0"/>
        <w:rPr>
          <w:rFonts w:ascii="Times New Roman" w:hAnsi="Times New Roman"/>
          <w:sz w:val="24"/>
          <w:szCs w:val="24"/>
          <w:lang w:val="el-GR"/>
        </w:rPr>
      </w:pPr>
    </w:p>
    <w:p w:rsidR="00C1567C" w:rsidRDefault="00C1567C" w:rsidP="009D672F">
      <w:pPr>
        <w:pStyle w:val="1"/>
        <w:spacing w:before="0" w:after="0"/>
      </w:pPr>
      <w:r w:rsidRPr="003B0D84">
        <w:rPr>
          <w:lang w:val="el-GR"/>
        </w:rPr>
        <w:t>ΑΡΙΘΜΟΣ(ΟΙ) ΑΔΕΙΑΣ ΚΥΚΛΟΦΟΡΙΑΣ</w:t>
      </w:r>
    </w:p>
    <w:p w:rsidR="00F94B81" w:rsidRPr="00537B08" w:rsidRDefault="00F94B81" w:rsidP="009D672F">
      <w:pPr>
        <w:pStyle w:val="Para0s"/>
        <w:spacing w:after="0"/>
        <w:rPr>
          <w:b/>
          <w:bCs/>
        </w:rPr>
      </w:pPr>
      <w:r>
        <w:rPr>
          <w:b/>
          <w:bCs/>
          <w:u w:val="single"/>
          <w:lang w:val="el-GR"/>
        </w:rPr>
        <w:t>Ελλάδα:</w:t>
      </w:r>
      <w:r w:rsidR="00537B08" w:rsidRPr="00537B08">
        <w:t xml:space="preserve"> </w:t>
      </w:r>
    </w:p>
    <w:p w:rsidR="00E0334D" w:rsidRDefault="00F94B81" w:rsidP="009D672F">
      <w:pPr>
        <w:pStyle w:val="Para0s"/>
        <w:spacing w:after="0"/>
        <w:rPr>
          <w:lang w:val="el-GR"/>
        </w:rPr>
      </w:pPr>
      <w:r>
        <w:rPr>
          <w:b/>
          <w:bCs/>
          <w:u w:val="single"/>
          <w:lang w:val="el-GR"/>
        </w:rPr>
        <w:t>Κύπρος</w:t>
      </w:r>
      <w:r w:rsidR="00537B08">
        <w:rPr>
          <w:b/>
          <w:bCs/>
          <w:u w:val="single"/>
        </w:rPr>
        <w:t>:</w:t>
      </w:r>
      <w:r w:rsidR="00025664">
        <w:t xml:space="preserve"> </w:t>
      </w:r>
      <w:r w:rsidR="000415AF">
        <w:tab/>
      </w:r>
    </w:p>
    <w:p w:rsidR="000415AF" w:rsidRPr="000415AF" w:rsidRDefault="000415AF" w:rsidP="009D672F">
      <w:pPr>
        <w:pStyle w:val="Para0s"/>
        <w:spacing w:after="0"/>
      </w:pPr>
      <w:r>
        <w:tab/>
      </w:r>
    </w:p>
    <w:p w:rsidR="00C1567C" w:rsidRDefault="00C1567C" w:rsidP="009D672F">
      <w:pPr>
        <w:pStyle w:val="1"/>
        <w:spacing w:before="0" w:after="0"/>
        <w:rPr>
          <w:lang w:val="el-GR"/>
        </w:rPr>
      </w:pPr>
      <w:r w:rsidRPr="003B0D84">
        <w:rPr>
          <w:lang w:val="el-GR"/>
        </w:rPr>
        <w:t>ΗΜΕΡΟΜΗΝΙΑ ΠΡΩΤΗΣ</w:t>
      </w:r>
      <w:r w:rsidR="000415AF">
        <w:rPr>
          <w:lang w:val="el-GR"/>
        </w:rPr>
        <w:t xml:space="preserve"> ΕΓΚΡΙΣΗΣ / ΑΝΑΝΕΩΣΗΣ ΤΗΣ ΑΔΕΙΑ</w:t>
      </w:r>
      <w:r w:rsidR="00765AB2">
        <w:rPr>
          <w:lang w:val="el-GR"/>
        </w:rPr>
        <w:t>Σ</w:t>
      </w:r>
    </w:p>
    <w:p w:rsidR="00F94B81" w:rsidRPr="00537B08" w:rsidRDefault="00F94B81" w:rsidP="009D672F">
      <w:pPr>
        <w:pStyle w:val="Para0s"/>
        <w:spacing w:after="0"/>
        <w:rPr>
          <w:b/>
          <w:bCs/>
        </w:rPr>
      </w:pPr>
      <w:r>
        <w:rPr>
          <w:b/>
          <w:bCs/>
          <w:u w:val="single"/>
          <w:lang w:val="el-GR"/>
        </w:rPr>
        <w:t>Ελλάδα:</w:t>
      </w:r>
      <w:r w:rsidR="00025664">
        <w:t xml:space="preserve"> </w:t>
      </w:r>
    </w:p>
    <w:p w:rsidR="00F94B81" w:rsidRDefault="00F94B81" w:rsidP="009D672F">
      <w:pPr>
        <w:pStyle w:val="Para0s"/>
        <w:spacing w:after="0"/>
        <w:rPr>
          <w:lang w:val="el-GR"/>
        </w:rPr>
      </w:pPr>
      <w:r>
        <w:rPr>
          <w:b/>
          <w:bCs/>
          <w:u w:val="single"/>
          <w:lang w:val="el-GR"/>
        </w:rPr>
        <w:t>Κύπρος</w:t>
      </w:r>
      <w:r w:rsidR="00537B08">
        <w:rPr>
          <w:b/>
          <w:bCs/>
          <w:u w:val="single"/>
        </w:rPr>
        <w:t>:</w:t>
      </w:r>
      <w:r w:rsidR="00025664">
        <w:t xml:space="preserve"> </w:t>
      </w:r>
    </w:p>
    <w:p w:rsidR="00E0334D" w:rsidRPr="00E0334D" w:rsidRDefault="00E0334D" w:rsidP="009D672F">
      <w:pPr>
        <w:pStyle w:val="Para0s"/>
        <w:spacing w:after="0"/>
        <w:rPr>
          <w:lang w:val="el-GR"/>
        </w:rPr>
      </w:pPr>
    </w:p>
    <w:p w:rsidR="00C1567C" w:rsidRDefault="00C1567C" w:rsidP="009D672F">
      <w:pPr>
        <w:pStyle w:val="1"/>
        <w:spacing w:before="0" w:after="0"/>
      </w:pPr>
      <w:r w:rsidRPr="003B0D84">
        <w:rPr>
          <w:lang w:val="el-GR"/>
        </w:rPr>
        <w:t>ΗΜΕΡΟΜΗΝΙΑ ΑΝΑΘΕΩΡΗΣΗΣ ΤΟΥ ΚΕΙΜΕΝΟΥ</w:t>
      </w:r>
    </w:p>
    <w:p w:rsidR="00F91BDA" w:rsidRPr="00025664" w:rsidRDefault="00F91BDA" w:rsidP="009D672F">
      <w:pPr>
        <w:pStyle w:val="Para0s"/>
        <w:spacing w:after="0"/>
      </w:pPr>
    </w:p>
    <w:sectPr w:rsidR="00F91BDA" w:rsidRPr="00025664" w:rsidSect="00C5002A">
      <w:pgSz w:w="11907" w:h="16839" w:code="9"/>
      <w:pgMar w:top="1538" w:right="737" w:bottom="1644" w:left="1814" w:header="794" w:footer="79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A7" w:rsidRDefault="008D13A7">
      <w:r>
        <w:separator/>
      </w:r>
    </w:p>
  </w:endnote>
  <w:endnote w:type="continuationSeparator" w:id="0">
    <w:p w:rsidR="008D13A7" w:rsidRDefault="008D1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31" w:rsidRPr="00E43960" w:rsidRDefault="00457D31">
    <w:pPr>
      <w:pStyle w:val="a4"/>
      <w:rPr>
        <w:lang w:val="el-GR"/>
      </w:rPr>
    </w:pPr>
    <w:r w:rsidRPr="00E43960">
      <w:rPr>
        <w:lang w:val="el-GR"/>
      </w:rPr>
      <w:tab/>
    </w:r>
    <w:r w:rsidRPr="00E43960">
      <w:rPr>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A7" w:rsidRDefault="008D13A7">
      <w:r>
        <w:separator/>
      </w:r>
    </w:p>
  </w:footnote>
  <w:footnote w:type="continuationSeparator" w:id="0">
    <w:p w:rsidR="008D13A7" w:rsidRDefault="008D1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31" w:rsidRDefault="00C0474F" w:rsidP="00205C14">
    <w:pPr>
      <w:pStyle w:val="a3"/>
      <w:framePr w:wrap="around" w:vAnchor="text" w:hAnchor="margin" w:xAlign="right" w:y="1"/>
      <w:rPr>
        <w:rStyle w:val="af4"/>
      </w:rPr>
    </w:pPr>
    <w:r>
      <w:rPr>
        <w:rStyle w:val="af4"/>
      </w:rPr>
      <w:fldChar w:fldCharType="begin"/>
    </w:r>
    <w:r w:rsidR="00457D31">
      <w:rPr>
        <w:rStyle w:val="af4"/>
      </w:rPr>
      <w:instrText xml:space="preserve">PAGE  </w:instrText>
    </w:r>
    <w:r>
      <w:rPr>
        <w:rStyle w:val="af4"/>
      </w:rPr>
      <w:fldChar w:fldCharType="end"/>
    </w:r>
  </w:p>
  <w:p w:rsidR="00457D31" w:rsidRDefault="00457D31" w:rsidP="00A44EE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31" w:rsidRDefault="00C0474F" w:rsidP="00205C14">
    <w:pPr>
      <w:pStyle w:val="a3"/>
      <w:framePr w:wrap="around" w:vAnchor="text" w:hAnchor="margin" w:xAlign="right" w:y="1"/>
      <w:rPr>
        <w:rStyle w:val="af4"/>
      </w:rPr>
    </w:pPr>
    <w:r>
      <w:rPr>
        <w:rStyle w:val="af4"/>
      </w:rPr>
      <w:fldChar w:fldCharType="begin"/>
    </w:r>
    <w:r w:rsidR="00457D31">
      <w:rPr>
        <w:rStyle w:val="af4"/>
      </w:rPr>
      <w:instrText xml:space="preserve">PAGE  </w:instrText>
    </w:r>
    <w:r>
      <w:rPr>
        <w:rStyle w:val="af4"/>
      </w:rPr>
      <w:fldChar w:fldCharType="separate"/>
    </w:r>
    <w:r w:rsidR="003D11BD">
      <w:rPr>
        <w:rStyle w:val="af4"/>
        <w:noProof/>
      </w:rPr>
      <w:t>19</w:t>
    </w:r>
    <w:r>
      <w:rPr>
        <w:rStyle w:val="af4"/>
      </w:rPr>
      <w:fldChar w:fldCharType="end"/>
    </w:r>
  </w:p>
  <w:p w:rsidR="00457D31" w:rsidRDefault="00457D31" w:rsidP="00E279C7">
    <w:pPr>
      <w:pStyle w:val="a3"/>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9748D4"/>
    <w:multiLevelType w:val="multilevel"/>
    <w:tmpl w:val="B7DC0160"/>
    <w:lvl w:ilvl="0">
      <w:start w:val="1"/>
      <w:numFmt w:val="decimal"/>
      <w:pStyle w:val="1"/>
      <w:lvlText w:val="%1."/>
      <w:lvlJc w:val="left"/>
      <w:pPr>
        <w:tabs>
          <w:tab w:val="num" w:pos="726"/>
        </w:tabs>
        <w:ind w:left="726" w:hanging="726"/>
      </w:pPr>
      <w:rPr>
        <w:caps w:val="0"/>
        <w:strike w:val="0"/>
        <w:dstrike w:val="0"/>
        <w:shadow w:val="0"/>
        <w:emboss w:val="0"/>
        <w:imprint w:val="0"/>
        <w:vanish w:val="0"/>
        <w:color w:val="auto"/>
        <w:vertAlign w:val="baseline"/>
      </w:rPr>
    </w:lvl>
    <w:lvl w:ilvl="1">
      <w:start w:val="1"/>
      <w:numFmt w:val="decimal"/>
      <w:pStyle w:val="2"/>
      <w:lvlText w:val="%1.%2"/>
      <w:lvlJc w:val="left"/>
      <w:pPr>
        <w:tabs>
          <w:tab w:val="num" w:pos="726"/>
        </w:tabs>
        <w:ind w:left="726" w:hanging="726"/>
      </w:pPr>
      <w:rPr>
        <w:caps w:val="0"/>
        <w:strike w:val="0"/>
        <w:dstrike w:val="0"/>
        <w:shadow w:val="0"/>
        <w:emboss w:val="0"/>
        <w:imprint w:val="0"/>
        <w:vanish w:val="0"/>
        <w:color w:val="auto"/>
        <w:vertAlign w:val="baseline"/>
      </w:rPr>
    </w:lvl>
    <w:lvl w:ilvl="2">
      <w:start w:val="1"/>
      <w:numFmt w:val="decimal"/>
      <w:pStyle w:val="3"/>
      <w:lvlText w:val="%1.%2.%3"/>
      <w:lvlJc w:val="left"/>
      <w:pPr>
        <w:tabs>
          <w:tab w:val="num" w:pos="726"/>
        </w:tabs>
        <w:ind w:left="726" w:hanging="726"/>
      </w:pPr>
      <w:rPr>
        <w:caps w:val="0"/>
        <w:strike w:val="0"/>
        <w:dstrike w:val="0"/>
        <w:shadow w:val="0"/>
        <w:emboss w:val="0"/>
        <w:imprint w:val="0"/>
        <w:vanish w:val="0"/>
        <w:color w:val="auto"/>
        <w:vertAlign w:val="baseline"/>
      </w:rPr>
    </w:lvl>
    <w:lvl w:ilvl="3">
      <w:start w:val="1"/>
      <w:numFmt w:val="decimal"/>
      <w:pStyle w:val="4"/>
      <w:lvlText w:val="%1.%2.%3.%4"/>
      <w:lvlJc w:val="left"/>
      <w:pPr>
        <w:tabs>
          <w:tab w:val="num" w:pos="726"/>
        </w:tabs>
        <w:ind w:left="726" w:hanging="726"/>
      </w:pPr>
      <w:rPr>
        <w:caps w:val="0"/>
        <w:strike w:val="0"/>
        <w:dstrike w:val="0"/>
        <w:shadow w:val="0"/>
        <w:emboss w:val="0"/>
        <w:imprint w:val="0"/>
        <w:vanish w:val="0"/>
        <w:color w:val="auto"/>
        <w:vertAlign w:val="baseline"/>
      </w:rPr>
    </w:lvl>
    <w:lvl w:ilvl="4">
      <w:start w:val="1"/>
      <w:numFmt w:val="decimal"/>
      <w:pStyle w:val="5"/>
      <w:lvlText w:val="%1.%2.%3.%4.%5"/>
      <w:lvlJc w:val="left"/>
      <w:pPr>
        <w:tabs>
          <w:tab w:val="num" w:pos="1080"/>
        </w:tabs>
        <w:ind w:left="726" w:hanging="726"/>
      </w:pPr>
      <w:rPr>
        <w:caps w:val="0"/>
        <w:strike w:val="0"/>
        <w:dstrike w:val="0"/>
        <w:shadow w:val="0"/>
        <w:emboss w:val="0"/>
        <w:imprint w:val="0"/>
        <w:vanish w:val="0"/>
        <w:color w:val="auto"/>
        <w:vertAlign w:val="baseline"/>
      </w:rPr>
    </w:lvl>
    <w:lvl w:ilvl="5">
      <w:start w:val="1"/>
      <w:numFmt w:val="decimal"/>
      <w:pStyle w:val="6"/>
      <w:lvlText w:val="%1.%2.%3.%4.%5.%6"/>
      <w:lvlJc w:val="left"/>
      <w:pPr>
        <w:tabs>
          <w:tab w:val="num" w:pos="1080"/>
        </w:tabs>
        <w:ind w:left="728" w:hanging="728"/>
      </w:pPr>
      <w:rPr>
        <w:caps w:val="0"/>
        <w:strike w:val="0"/>
        <w:dstrike w:val="0"/>
        <w:shadow w:val="0"/>
        <w:emboss w:val="0"/>
        <w:imprint w:val="0"/>
        <w:vanish w:val="0"/>
        <w:color w:val="auto"/>
        <w:vertAlign w:val="baseline"/>
      </w:rPr>
    </w:lvl>
    <w:lvl w:ilvl="6">
      <w:start w:val="1"/>
      <w:numFmt w:val="decimal"/>
      <w:pStyle w:val="7"/>
      <w:lvlText w:val="%1.%2.%3.%4.%5.%6.%7"/>
      <w:lvlJc w:val="left"/>
      <w:pPr>
        <w:tabs>
          <w:tab w:val="num" w:pos="1440"/>
        </w:tabs>
        <w:ind w:left="726" w:hanging="726"/>
      </w:pPr>
      <w:rPr>
        <w:caps w:val="0"/>
        <w:strike w:val="0"/>
        <w:dstrike w:val="0"/>
        <w:shadow w:val="0"/>
        <w:emboss w:val="0"/>
        <w:imprint w:val="0"/>
        <w:vanish w:val="0"/>
        <w:color w:val="auto"/>
        <w:vertAlign w:val="baseline"/>
      </w:rPr>
    </w:lvl>
    <w:lvl w:ilvl="7">
      <w:start w:val="1"/>
      <w:numFmt w:val="decimal"/>
      <w:pStyle w:val="8"/>
      <w:lvlText w:val="%1.%2.%3.%4.%5.%6.%7.%8"/>
      <w:lvlJc w:val="left"/>
      <w:pPr>
        <w:tabs>
          <w:tab w:val="num" w:pos="1440"/>
        </w:tabs>
        <w:ind w:left="726" w:hanging="726"/>
      </w:pPr>
      <w:rPr>
        <w:caps w:val="0"/>
        <w:strike w:val="0"/>
        <w:dstrike w:val="0"/>
        <w:shadow w:val="0"/>
        <w:emboss w:val="0"/>
        <w:imprint w:val="0"/>
        <w:vanish w:val="0"/>
        <w:color w:val="auto"/>
        <w:vertAlign w:val="baseline"/>
      </w:rPr>
    </w:lvl>
    <w:lvl w:ilvl="8">
      <w:start w:val="1"/>
      <w:numFmt w:val="decimal"/>
      <w:pStyle w:val="9"/>
      <w:lvlText w:val="%1.%2.%3.%4.%5.%6.%7.%8.%9"/>
      <w:lvlJc w:val="left"/>
      <w:pPr>
        <w:tabs>
          <w:tab w:val="num" w:pos="1800"/>
        </w:tabs>
        <w:ind w:left="726" w:hanging="726"/>
      </w:pPr>
      <w:rPr>
        <w:caps w:val="0"/>
        <w:strike w:val="0"/>
        <w:dstrike w:val="0"/>
        <w:shadow w:val="0"/>
        <w:emboss w:val="0"/>
        <w:imprint w:val="0"/>
        <w:vanish w:val="0"/>
        <w:color w:val="auto"/>
        <w:vertAlign w:val="baseline"/>
      </w:rPr>
    </w:lvl>
  </w:abstractNum>
  <w:abstractNum w:abstractNumId="2">
    <w:nsid w:val="04D33514"/>
    <w:multiLevelType w:val="multilevel"/>
    <w:tmpl w:val="F7982944"/>
    <w:lvl w:ilvl="0">
      <w:start w:val="1"/>
      <w:numFmt w:val="bullet"/>
      <w:lvlText w:val=""/>
      <w:lvlJc w:val="left"/>
      <w:pPr>
        <w:tabs>
          <w:tab w:val="num" w:pos="360"/>
        </w:tabs>
        <w:ind w:left="360" w:hanging="360"/>
      </w:pPr>
      <w:rPr>
        <w:rFonts w:ascii="Wingdings" w:hAnsi="Wingdings" w:cs="Times New Roman" w:hint="default"/>
        <w:caps w:val="0"/>
        <w:strike w:val="0"/>
        <w:dstrike w:val="0"/>
        <w:shadow w:val="0"/>
        <w:emboss w:val="0"/>
        <w:imprint w:val="0"/>
        <w:vanish w:val="0"/>
        <w:color w:val="auto"/>
        <w:vertAlign w:val="baseline"/>
      </w:rPr>
    </w:lvl>
    <w:lvl w:ilvl="1">
      <w:start w:val="1"/>
      <w:numFmt w:val="decimal"/>
      <w:lvlText w:val="%1.%2"/>
      <w:lvlJc w:val="left"/>
      <w:pPr>
        <w:tabs>
          <w:tab w:val="num" w:pos="726"/>
        </w:tabs>
        <w:ind w:left="726" w:hanging="726"/>
      </w:pPr>
      <w:rPr>
        <w:caps w:val="0"/>
        <w:strike w:val="0"/>
        <w:dstrike w:val="0"/>
        <w:shadow w:val="0"/>
        <w:emboss w:val="0"/>
        <w:imprint w:val="0"/>
        <w:vanish w:val="0"/>
        <w:color w:val="auto"/>
        <w:vertAlign w:val="baseline"/>
      </w:rPr>
    </w:lvl>
    <w:lvl w:ilvl="2">
      <w:start w:val="1"/>
      <w:numFmt w:val="decimal"/>
      <w:lvlText w:val="%1.%2.%3"/>
      <w:lvlJc w:val="left"/>
      <w:pPr>
        <w:tabs>
          <w:tab w:val="num" w:pos="726"/>
        </w:tabs>
        <w:ind w:left="726" w:hanging="726"/>
      </w:pPr>
      <w:rPr>
        <w:caps w:val="0"/>
        <w:strike w:val="0"/>
        <w:dstrike w:val="0"/>
        <w:shadow w:val="0"/>
        <w:emboss w:val="0"/>
        <w:imprint w:val="0"/>
        <w:vanish w:val="0"/>
        <w:color w:val="auto"/>
        <w:vertAlign w:val="baseline"/>
      </w:rPr>
    </w:lvl>
    <w:lvl w:ilvl="3">
      <w:start w:val="1"/>
      <w:numFmt w:val="decimal"/>
      <w:lvlText w:val="%1.%2.%3.%4"/>
      <w:lvlJc w:val="left"/>
      <w:pPr>
        <w:tabs>
          <w:tab w:val="num" w:pos="726"/>
        </w:tabs>
        <w:ind w:left="726" w:hanging="726"/>
      </w:pPr>
      <w:rPr>
        <w:caps w:val="0"/>
        <w:strike w:val="0"/>
        <w:dstrike w:val="0"/>
        <w:shadow w:val="0"/>
        <w:emboss w:val="0"/>
        <w:imprint w:val="0"/>
        <w:vanish w:val="0"/>
        <w:color w:val="auto"/>
        <w:vertAlign w:val="baseline"/>
      </w:rPr>
    </w:lvl>
    <w:lvl w:ilvl="4">
      <w:start w:val="1"/>
      <w:numFmt w:val="decimal"/>
      <w:lvlText w:val="%1.%2.%3.%4.%5"/>
      <w:lvlJc w:val="left"/>
      <w:pPr>
        <w:tabs>
          <w:tab w:val="num" w:pos="1080"/>
        </w:tabs>
        <w:ind w:left="726" w:hanging="726"/>
      </w:pPr>
      <w:rPr>
        <w:caps w:val="0"/>
        <w:strike w:val="0"/>
        <w:dstrike w:val="0"/>
        <w:shadow w:val="0"/>
        <w:emboss w:val="0"/>
        <w:imprint w:val="0"/>
        <w:vanish w:val="0"/>
        <w:color w:val="auto"/>
        <w:vertAlign w:val="baseline"/>
      </w:rPr>
    </w:lvl>
    <w:lvl w:ilvl="5">
      <w:start w:val="1"/>
      <w:numFmt w:val="decimal"/>
      <w:lvlText w:val="%1.%2.%3.%4.%5.%6"/>
      <w:lvlJc w:val="left"/>
      <w:pPr>
        <w:tabs>
          <w:tab w:val="num" w:pos="1080"/>
        </w:tabs>
        <w:ind w:left="728" w:hanging="728"/>
      </w:pPr>
      <w:rPr>
        <w:caps w:val="0"/>
        <w:strike w:val="0"/>
        <w:dstrike w:val="0"/>
        <w:shadow w:val="0"/>
        <w:emboss w:val="0"/>
        <w:imprint w:val="0"/>
        <w:vanish w:val="0"/>
        <w:color w:val="auto"/>
        <w:vertAlign w:val="baseline"/>
      </w:rPr>
    </w:lvl>
    <w:lvl w:ilvl="6">
      <w:start w:val="1"/>
      <w:numFmt w:val="decimal"/>
      <w:lvlText w:val="%1.%2.%3.%4.%5.%6.%7"/>
      <w:lvlJc w:val="left"/>
      <w:pPr>
        <w:tabs>
          <w:tab w:val="num" w:pos="1440"/>
        </w:tabs>
        <w:ind w:left="726" w:hanging="726"/>
      </w:pPr>
      <w:rPr>
        <w:caps w:val="0"/>
        <w:strike w:val="0"/>
        <w:dstrike w:val="0"/>
        <w:shadow w:val="0"/>
        <w:emboss w:val="0"/>
        <w:imprint w:val="0"/>
        <w:vanish w:val="0"/>
        <w:color w:val="auto"/>
        <w:vertAlign w:val="baseline"/>
      </w:rPr>
    </w:lvl>
    <w:lvl w:ilvl="7">
      <w:start w:val="1"/>
      <w:numFmt w:val="decimal"/>
      <w:lvlText w:val="%1.%2.%3.%4.%5.%6.%7.%8"/>
      <w:lvlJc w:val="left"/>
      <w:pPr>
        <w:tabs>
          <w:tab w:val="num" w:pos="1440"/>
        </w:tabs>
        <w:ind w:left="726" w:hanging="726"/>
      </w:pPr>
      <w:rPr>
        <w:caps w:val="0"/>
        <w:strike w:val="0"/>
        <w:dstrike w:val="0"/>
        <w:shadow w:val="0"/>
        <w:emboss w:val="0"/>
        <w:imprint w:val="0"/>
        <w:vanish w:val="0"/>
        <w:color w:val="auto"/>
        <w:vertAlign w:val="baseline"/>
      </w:rPr>
    </w:lvl>
    <w:lvl w:ilvl="8">
      <w:start w:val="1"/>
      <w:numFmt w:val="decimal"/>
      <w:lvlText w:val="%1.%2.%3.%4.%5.%6.%7.%8.%9"/>
      <w:lvlJc w:val="left"/>
      <w:pPr>
        <w:tabs>
          <w:tab w:val="num" w:pos="1800"/>
        </w:tabs>
        <w:ind w:left="726" w:hanging="726"/>
      </w:pPr>
      <w:rPr>
        <w:caps w:val="0"/>
        <w:strike w:val="0"/>
        <w:dstrike w:val="0"/>
        <w:shadow w:val="0"/>
        <w:emboss w:val="0"/>
        <w:imprint w:val="0"/>
        <w:vanish w:val="0"/>
        <w:color w:val="auto"/>
        <w:vertAlign w:val="baseline"/>
      </w:rPr>
    </w:lvl>
  </w:abstractNum>
  <w:abstractNum w:abstractNumId="3">
    <w:nsid w:val="0D7C0BE8"/>
    <w:multiLevelType w:val="hybridMultilevel"/>
    <w:tmpl w:val="DD0A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2056D"/>
    <w:multiLevelType w:val="hybridMultilevel"/>
    <w:tmpl w:val="D166F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125438"/>
    <w:multiLevelType w:val="hybridMultilevel"/>
    <w:tmpl w:val="4CFA7AC6"/>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nsid w:val="169F13B7"/>
    <w:multiLevelType w:val="hybridMultilevel"/>
    <w:tmpl w:val="FE48C6FE"/>
    <w:lvl w:ilvl="0" w:tplc="04070001">
      <w:start w:val="1"/>
      <w:numFmt w:val="bullet"/>
      <w:lvlText w:val=""/>
      <w:lvlJc w:val="left"/>
      <w:pPr>
        <w:tabs>
          <w:tab w:val="num" w:pos="840"/>
        </w:tabs>
        <w:ind w:left="840" w:hanging="360"/>
      </w:pPr>
      <w:rPr>
        <w:rFonts w:ascii="Symbol"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193127D7"/>
    <w:multiLevelType w:val="multilevel"/>
    <w:tmpl w:val="5E52CAE6"/>
    <w:lvl w:ilvl="0">
      <w:start w:val="1"/>
      <w:numFmt w:val="bullet"/>
      <w:lvlText w:val=""/>
      <w:lvlJc w:val="left"/>
      <w:pPr>
        <w:tabs>
          <w:tab w:val="num" w:pos="720"/>
        </w:tabs>
        <w:ind w:left="720" w:hanging="360"/>
      </w:pPr>
      <w:rPr>
        <w:rFonts w:ascii="Symbol" w:hAnsi="Symbol" w:cs="Times New Roman" w:hint="default"/>
        <w:caps w:val="0"/>
        <w:strike w:val="0"/>
        <w:dstrike w:val="0"/>
        <w:shadow w:val="0"/>
        <w:emboss w:val="0"/>
        <w:imprint w:val="0"/>
        <w:vanish w:val="0"/>
        <w:color w:val="auto"/>
        <w:vertAlign w:val="baseline"/>
      </w:rPr>
    </w:lvl>
    <w:lvl w:ilvl="1">
      <w:start w:val="1"/>
      <w:numFmt w:val="decimal"/>
      <w:lvlText w:val="%1.%2"/>
      <w:lvlJc w:val="left"/>
      <w:pPr>
        <w:tabs>
          <w:tab w:val="num" w:pos="726"/>
        </w:tabs>
        <w:ind w:left="726" w:hanging="726"/>
      </w:pPr>
      <w:rPr>
        <w:caps w:val="0"/>
        <w:strike w:val="0"/>
        <w:dstrike w:val="0"/>
        <w:shadow w:val="0"/>
        <w:emboss w:val="0"/>
        <w:imprint w:val="0"/>
        <w:vanish w:val="0"/>
        <w:color w:val="auto"/>
        <w:vertAlign w:val="baseline"/>
      </w:rPr>
    </w:lvl>
    <w:lvl w:ilvl="2">
      <w:start w:val="1"/>
      <w:numFmt w:val="decimal"/>
      <w:lvlText w:val="%1.%2.%3"/>
      <w:lvlJc w:val="left"/>
      <w:pPr>
        <w:tabs>
          <w:tab w:val="num" w:pos="726"/>
        </w:tabs>
        <w:ind w:left="726" w:hanging="726"/>
      </w:pPr>
      <w:rPr>
        <w:caps w:val="0"/>
        <w:strike w:val="0"/>
        <w:dstrike w:val="0"/>
        <w:shadow w:val="0"/>
        <w:emboss w:val="0"/>
        <w:imprint w:val="0"/>
        <w:vanish w:val="0"/>
        <w:color w:val="auto"/>
        <w:vertAlign w:val="baseline"/>
      </w:rPr>
    </w:lvl>
    <w:lvl w:ilvl="3">
      <w:start w:val="1"/>
      <w:numFmt w:val="decimal"/>
      <w:lvlText w:val="%1.%2.%3.%4"/>
      <w:lvlJc w:val="left"/>
      <w:pPr>
        <w:tabs>
          <w:tab w:val="num" w:pos="726"/>
        </w:tabs>
        <w:ind w:left="726" w:hanging="726"/>
      </w:pPr>
      <w:rPr>
        <w:caps w:val="0"/>
        <w:strike w:val="0"/>
        <w:dstrike w:val="0"/>
        <w:shadow w:val="0"/>
        <w:emboss w:val="0"/>
        <w:imprint w:val="0"/>
        <w:vanish w:val="0"/>
        <w:color w:val="auto"/>
        <w:vertAlign w:val="baseline"/>
      </w:rPr>
    </w:lvl>
    <w:lvl w:ilvl="4">
      <w:start w:val="1"/>
      <w:numFmt w:val="decimal"/>
      <w:lvlText w:val="%1.%2.%3.%4.%5"/>
      <w:lvlJc w:val="left"/>
      <w:pPr>
        <w:tabs>
          <w:tab w:val="num" w:pos="1080"/>
        </w:tabs>
        <w:ind w:left="726" w:hanging="726"/>
      </w:pPr>
      <w:rPr>
        <w:caps w:val="0"/>
        <w:strike w:val="0"/>
        <w:dstrike w:val="0"/>
        <w:shadow w:val="0"/>
        <w:emboss w:val="0"/>
        <w:imprint w:val="0"/>
        <w:vanish w:val="0"/>
        <w:color w:val="auto"/>
        <w:vertAlign w:val="baseline"/>
      </w:rPr>
    </w:lvl>
    <w:lvl w:ilvl="5">
      <w:start w:val="1"/>
      <w:numFmt w:val="decimal"/>
      <w:lvlText w:val="%1.%2.%3.%4.%5.%6"/>
      <w:lvlJc w:val="left"/>
      <w:pPr>
        <w:tabs>
          <w:tab w:val="num" w:pos="1080"/>
        </w:tabs>
        <w:ind w:left="728" w:hanging="728"/>
      </w:pPr>
      <w:rPr>
        <w:caps w:val="0"/>
        <w:strike w:val="0"/>
        <w:dstrike w:val="0"/>
        <w:shadow w:val="0"/>
        <w:emboss w:val="0"/>
        <w:imprint w:val="0"/>
        <w:vanish w:val="0"/>
        <w:color w:val="auto"/>
        <w:vertAlign w:val="baseline"/>
      </w:rPr>
    </w:lvl>
    <w:lvl w:ilvl="6">
      <w:start w:val="1"/>
      <w:numFmt w:val="decimal"/>
      <w:lvlText w:val="%1.%2.%3.%4.%5.%6.%7"/>
      <w:lvlJc w:val="left"/>
      <w:pPr>
        <w:tabs>
          <w:tab w:val="num" w:pos="1440"/>
        </w:tabs>
        <w:ind w:left="726" w:hanging="726"/>
      </w:pPr>
      <w:rPr>
        <w:caps w:val="0"/>
        <w:strike w:val="0"/>
        <w:dstrike w:val="0"/>
        <w:shadow w:val="0"/>
        <w:emboss w:val="0"/>
        <w:imprint w:val="0"/>
        <w:vanish w:val="0"/>
        <w:color w:val="auto"/>
        <w:vertAlign w:val="baseline"/>
      </w:rPr>
    </w:lvl>
    <w:lvl w:ilvl="7">
      <w:start w:val="1"/>
      <w:numFmt w:val="decimal"/>
      <w:lvlText w:val="%1.%2.%3.%4.%5.%6.%7.%8"/>
      <w:lvlJc w:val="left"/>
      <w:pPr>
        <w:tabs>
          <w:tab w:val="num" w:pos="1440"/>
        </w:tabs>
        <w:ind w:left="726" w:hanging="726"/>
      </w:pPr>
      <w:rPr>
        <w:caps w:val="0"/>
        <w:strike w:val="0"/>
        <w:dstrike w:val="0"/>
        <w:shadow w:val="0"/>
        <w:emboss w:val="0"/>
        <w:imprint w:val="0"/>
        <w:vanish w:val="0"/>
        <w:color w:val="auto"/>
        <w:vertAlign w:val="baseline"/>
      </w:rPr>
    </w:lvl>
    <w:lvl w:ilvl="8">
      <w:start w:val="1"/>
      <w:numFmt w:val="decimal"/>
      <w:lvlText w:val="%1.%2.%3.%4.%5.%6.%7.%8.%9"/>
      <w:lvlJc w:val="left"/>
      <w:pPr>
        <w:tabs>
          <w:tab w:val="num" w:pos="1800"/>
        </w:tabs>
        <w:ind w:left="726" w:hanging="726"/>
      </w:pPr>
      <w:rPr>
        <w:caps w:val="0"/>
        <w:strike w:val="0"/>
        <w:dstrike w:val="0"/>
        <w:shadow w:val="0"/>
        <w:emboss w:val="0"/>
        <w:imprint w:val="0"/>
        <w:vanish w:val="0"/>
        <w:color w:val="auto"/>
        <w:vertAlign w:val="baseline"/>
      </w:rPr>
    </w:lvl>
  </w:abstractNum>
  <w:abstractNum w:abstractNumId="8">
    <w:nsid w:val="322567E6"/>
    <w:multiLevelType w:val="singleLevel"/>
    <w:tmpl w:val="FDC61A7C"/>
    <w:lvl w:ilvl="0">
      <w:start w:val="1"/>
      <w:numFmt w:val="bullet"/>
      <w:pStyle w:val="Bullet0s"/>
      <w:lvlText w:val=""/>
      <w:lvlJc w:val="left"/>
      <w:pPr>
        <w:tabs>
          <w:tab w:val="num" w:pos="360"/>
        </w:tabs>
        <w:ind w:left="360" w:hanging="360"/>
      </w:pPr>
      <w:rPr>
        <w:rFonts w:ascii="Symbol" w:hAnsi="Symbol" w:cs="Times New Roman" w:hint="default"/>
      </w:rPr>
    </w:lvl>
  </w:abstractNum>
  <w:abstractNum w:abstractNumId="9">
    <w:nsid w:val="33E52248"/>
    <w:multiLevelType w:val="multilevel"/>
    <w:tmpl w:val="B7DC0160"/>
    <w:lvl w:ilvl="0">
      <w:start w:val="1"/>
      <w:numFmt w:val="decimal"/>
      <w:lvlText w:val="%1."/>
      <w:lvlJc w:val="left"/>
      <w:pPr>
        <w:tabs>
          <w:tab w:val="num" w:pos="726"/>
        </w:tabs>
        <w:ind w:left="726" w:hanging="726"/>
      </w:pPr>
      <w:rPr>
        <w:caps w:val="0"/>
        <w:strike w:val="0"/>
        <w:dstrike w:val="0"/>
        <w:shadow w:val="0"/>
        <w:emboss w:val="0"/>
        <w:imprint w:val="0"/>
        <w:vanish w:val="0"/>
        <w:color w:val="auto"/>
        <w:vertAlign w:val="baseline"/>
      </w:rPr>
    </w:lvl>
    <w:lvl w:ilvl="1">
      <w:start w:val="1"/>
      <w:numFmt w:val="decimal"/>
      <w:lvlText w:val="%1.%2"/>
      <w:lvlJc w:val="left"/>
      <w:pPr>
        <w:tabs>
          <w:tab w:val="num" w:pos="726"/>
        </w:tabs>
        <w:ind w:left="726" w:hanging="726"/>
      </w:pPr>
      <w:rPr>
        <w:caps w:val="0"/>
        <w:strike w:val="0"/>
        <w:dstrike w:val="0"/>
        <w:shadow w:val="0"/>
        <w:emboss w:val="0"/>
        <w:imprint w:val="0"/>
        <w:vanish w:val="0"/>
        <w:color w:val="auto"/>
        <w:vertAlign w:val="baseline"/>
      </w:rPr>
    </w:lvl>
    <w:lvl w:ilvl="2">
      <w:start w:val="1"/>
      <w:numFmt w:val="decimal"/>
      <w:lvlText w:val="%1.%2.%3"/>
      <w:lvlJc w:val="left"/>
      <w:pPr>
        <w:tabs>
          <w:tab w:val="num" w:pos="726"/>
        </w:tabs>
        <w:ind w:left="726" w:hanging="726"/>
      </w:pPr>
      <w:rPr>
        <w:caps w:val="0"/>
        <w:strike w:val="0"/>
        <w:dstrike w:val="0"/>
        <w:shadow w:val="0"/>
        <w:emboss w:val="0"/>
        <w:imprint w:val="0"/>
        <w:vanish w:val="0"/>
        <w:color w:val="auto"/>
        <w:vertAlign w:val="baseline"/>
      </w:rPr>
    </w:lvl>
    <w:lvl w:ilvl="3">
      <w:start w:val="1"/>
      <w:numFmt w:val="decimal"/>
      <w:lvlText w:val="%1.%2.%3.%4"/>
      <w:lvlJc w:val="left"/>
      <w:pPr>
        <w:tabs>
          <w:tab w:val="num" w:pos="726"/>
        </w:tabs>
        <w:ind w:left="726" w:hanging="726"/>
      </w:pPr>
      <w:rPr>
        <w:caps w:val="0"/>
        <w:strike w:val="0"/>
        <w:dstrike w:val="0"/>
        <w:shadow w:val="0"/>
        <w:emboss w:val="0"/>
        <w:imprint w:val="0"/>
        <w:vanish w:val="0"/>
        <w:color w:val="auto"/>
        <w:vertAlign w:val="baseline"/>
      </w:rPr>
    </w:lvl>
    <w:lvl w:ilvl="4">
      <w:start w:val="1"/>
      <w:numFmt w:val="decimal"/>
      <w:lvlText w:val="%1.%2.%3.%4.%5"/>
      <w:lvlJc w:val="left"/>
      <w:pPr>
        <w:tabs>
          <w:tab w:val="num" w:pos="1080"/>
        </w:tabs>
        <w:ind w:left="726" w:hanging="726"/>
      </w:pPr>
      <w:rPr>
        <w:caps w:val="0"/>
        <w:strike w:val="0"/>
        <w:dstrike w:val="0"/>
        <w:shadow w:val="0"/>
        <w:emboss w:val="0"/>
        <w:imprint w:val="0"/>
        <w:vanish w:val="0"/>
        <w:color w:val="auto"/>
        <w:vertAlign w:val="baseline"/>
      </w:rPr>
    </w:lvl>
    <w:lvl w:ilvl="5">
      <w:start w:val="1"/>
      <w:numFmt w:val="decimal"/>
      <w:lvlText w:val="%1.%2.%3.%4.%5.%6"/>
      <w:lvlJc w:val="left"/>
      <w:pPr>
        <w:tabs>
          <w:tab w:val="num" w:pos="1080"/>
        </w:tabs>
        <w:ind w:left="728" w:hanging="728"/>
      </w:pPr>
      <w:rPr>
        <w:caps w:val="0"/>
        <w:strike w:val="0"/>
        <w:dstrike w:val="0"/>
        <w:shadow w:val="0"/>
        <w:emboss w:val="0"/>
        <w:imprint w:val="0"/>
        <w:vanish w:val="0"/>
        <w:color w:val="auto"/>
        <w:vertAlign w:val="baseline"/>
      </w:rPr>
    </w:lvl>
    <w:lvl w:ilvl="6">
      <w:start w:val="1"/>
      <w:numFmt w:val="decimal"/>
      <w:lvlText w:val="%1.%2.%3.%4.%5.%6.%7"/>
      <w:lvlJc w:val="left"/>
      <w:pPr>
        <w:tabs>
          <w:tab w:val="num" w:pos="1440"/>
        </w:tabs>
        <w:ind w:left="726" w:hanging="726"/>
      </w:pPr>
      <w:rPr>
        <w:caps w:val="0"/>
        <w:strike w:val="0"/>
        <w:dstrike w:val="0"/>
        <w:shadow w:val="0"/>
        <w:emboss w:val="0"/>
        <w:imprint w:val="0"/>
        <w:vanish w:val="0"/>
        <w:color w:val="auto"/>
        <w:vertAlign w:val="baseline"/>
      </w:rPr>
    </w:lvl>
    <w:lvl w:ilvl="7">
      <w:start w:val="1"/>
      <w:numFmt w:val="decimal"/>
      <w:lvlText w:val="%1.%2.%3.%4.%5.%6.%7.%8"/>
      <w:lvlJc w:val="left"/>
      <w:pPr>
        <w:tabs>
          <w:tab w:val="num" w:pos="1440"/>
        </w:tabs>
        <w:ind w:left="726" w:hanging="726"/>
      </w:pPr>
      <w:rPr>
        <w:caps w:val="0"/>
        <w:strike w:val="0"/>
        <w:dstrike w:val="0"/>
        <w:shadow w:val="0"/>
        <w:emboss w:val="0"/>
        <w:imprint w:val="0"/>
        <w:vanish w:val="0"/>
        <w:color w:val="auto"/>
        <w:vertAlign w:val="baseline"/>
      </w:rPr>
    </w:lvl>
    <w:lvl w:ilvl="8">
      <w:start w:val="1"/>
      <w:numFmt w:val="decimal"/>
      <w:lvlText w:val="%1.%2.%3.%4.%5.%6.%7.%8.%9"/>
      <w:lvlJc w:val="left"/>
      <w:pPr>
        <w:tabs>
          <w:tab w:val="num" w:pos="1800"/>
        </w:tabs>
        <w:ind w:left="726" w:hanging="726"/>
      </w:pPr>
      <w:rPr>
        <w:caps w:val="0"/>
        <w:strike w:val="0"/>
        <w:dstrike w:val="0"/>
        <w:shadow w:val="0"/>
        <w:emboss w:val="0"/>
        <w:imprint w:val="0"/>
        <w:vanish w:val="0"/>
        <w:color w:val="auto"/>
        <w:vertAlign w:val="baseline"/>
      </w:rPr>
    </w:lvl>
  </w:abstractNum>
  <w:abstractNum w:abstractNumId="10">
    <w:nsid w:val="38753100"/>
    <w:multiLevelType w:val="multilevel"/>
    <w:tmpl w:val="F7982944"/>
    <w:lvl w:ilvl="0">
      <w:start w:val="1"/>
      <w:numFmt w:val="bullet"/>
      <w:lvlText w:val=""/>
      <w:lvlJc w:val="left"/>
      <w:pPr>
        <w:tabs>
          <w:tab w:val="num" w:pos="360"/>
        </w:tabs>
        <w:ind w:left="360" w:hanging="360"/>
      </w:pPr>
      <w:rPr>
        <w:rFonts w:ascii="Wingdings" w:hAnsi="Wingdings" w:cs="Times New Roman" w:hint="default"/>
        <w:caps w:val="0"/>
        <w:strike w:val="0"/>
        <w:dstrike w:val="0"/>
        <w:shadow w:val="0"/>
        <w:emboss w:val="0"/>
        <w:imprint w:val="0"/>
        <w:vanish w:val="0"/>
        <w:color w:val="auto"/>
        <w:vertAlign w:val="baseline"/>
      </w:rPr>
    </w:lvl>
    <w:lvl w:ilvl="1">
      <w:start w:val="1"/>
      <w:numFmt w:val="decimal"/>
      <w:lvlText w:val="%1.%2"/>
      <w:lvlJc w:val="left"/>
      <w:pPr>
        <w:tabs>
          <w:tab w:val="num" w:pos="726"/>
        </w:tabs>
        <w:ind w:left="726" w:hanging="726"/>
      </w:pPr>
      <w:rPr>
        <w:caps w:val="0"/>
        <w:strike w:val="0"/>
        <w:dstrike w:val="0"/>
        <w:shadow w:val="0"/>
        <w:emboss w:val="0"/>
        <w:imprint w:val="0"/>
        <w:vanish w:val="0"/>
        <w:color w:val="auto"/>
        <w:vertAlign w:val="baseline"/>
      </w:rPr>
    </w:lvl>
    <w:lvl w:ilvl="2">
      <w:start w:val="1"/>
      <w:numFmt w:val="decimal"/>
      <w:lvlText w:val="%1.%2.%3"/>
      <w:lvlJc w:val="left"/>
      <w:pPr>
        <w:tabs>
          <w:tab w:val="num" w:pos="726"/>
        </w:tabs>
        <w:ind w:left="726" w:hanging="726"/>
      </w:pPr>
      <w:rPr>
        <w:caps w:val="0"/>
        <w:strike w:val="0"/>
        <w:dstrike w:val="0"/>
        <w:shadow w:val="0"/>
        <w:emboss w:val="0"/>
        <w:imprint w:val="0"/>
        <w:vanish w:val="0"/>
        <w:color w:val="auto"/>
        <w:vertAlign w:val="baseline"/>
      </w:rPr>
    </w:lvl>
    <w:lvl w:ilvl="3">
      <w:start w:val="1"/>
      <w:numFmt w:val="decimal"/>
      <w:lvlText w:val="%1.%2.%3.%4"/>
      <w:lvlJc w:val="left"/>
      <w:pPr>
        <w:tabs>
          <w:tab w:val="num" w:pos="726"/>
        </w:tabs>
        <w:ind w:left="726" w:hanging="726"/>
      </w:pPr>
      <w:rPr>
        <w:caps w:val="0"/>
        <w:strike w:val="0"/>
        <w:dstrike w:val="0"/>
        <w:shadow w:val="0"/>
        <w:emboss w:val="0"/>
        <w:imprint w:val="0"/>
        <w:vanish w:val="0"/>
        <w:color w:val="auto"/>
        <w:vertAlign w:val="baseline"/>
      </w:rPr>
    </w:lvl>
    <w:lvl w:ilvl="4">
      <w:start w:val="1"/>
      <w:numFmt w:val="decimal"/>
      <w:lvlText w:val="%1.%2.%3.%4.%5"/>
      <w:lvlJc w:val="left"/>
      <w:pPr>
        <w:tabs>
          <w:tab w:val="num" w:pos="1080"/>
        </w:tabs>
        <w:ind w:left="726" w:hanging="726"/>
      </w:pPr>
      <w:rPr>
        <w:caps w:val="0"/>
        <w:strike w:val="0"/>
        <w:dstrike w:val="0"/>
        <w:shadow w:val="0"/>
        <w:emboss w:val="0"/>
        <w:imprint w:val="0"/>
        <w:vanish w:val="0"/>
        <w:color w:val="auto"/>
        <w:vertAlign w:val="baseline"/>
      </w:rPr>
    </w:lvl>
    <w:lvl w:ilvl="5">
      <w:start w:val="1"/>
      <w:numFmt w:val="decimal"/>
      <w:lvlText w:val="%1.%2.%3.%4.%5.%6"/>
      <w:lvlJc w:val="left"/>
      <w:pPr>
        <w:tabs>
          <w:tab w:val="num" w:pos="1080"/>
        </w:tabs>
        <w:ind w:left="728" w:hanging="728"/>
      </w:pPr>
      <w:rPr>
        <w:caps w:val="0"/>
        <w:strike w:val="0"/>
        <w:dstrike w:val="0"/>
        <w:shadow w:val="0"/>
        <w:emboss w:val="0"/>
        <w:imprint w:val="0"/>
        <w:vanish w:val="0"/>
        <w:color w:val="auto"/>
        <w:vertAlign w:val="baseline"/>
      </w:rPr>
    </w:lvl>
    <w:lvl w:ilvl="6">
      <w:start w:val="1"/>
      <w:numFmt w:val="decimal"/>
      <w:lvlText w:val="%1.%2.%3.%4.%5.%6.%7"/>
      <w:lvlJc w:val="left"/>
      <w:pPr>
        <w:tabs>
          <w:tab w:val="num" w:pos="1440"/>
        </w:tabs>
        <w:ind w:left="726" w:hanging="726"/>
      </w:pPr>
      <w:rPr>
        <w:caps w:val="0"/>
        <w:strike w:val="0"/>
        <w:dstrike w:val="0"/>
        <w:shadow w:val="0"/>
        <w:emboss w:val="0"/>
        <w:imprint w:val="0"/>
        <w:vanish w:val="0"/>
        <w:color w:val="auto"/>
        <w:vertAlign w:val="baseline"/>
      </w:rPr>
    </w:lvl>
    <w:lvl w:ilvl="7">
      <w:start w:val="1"/>
      <w:numFmt w:val="decimal"/>
      <w:lvlText w:val="%1.%2.%3.%4.%5.%6.%7.%8"/>
      <w:lvlJc w:val="left"/>
      <w:pPr>
        <w:tabs>
          <w:tab w:val="num" w:pos="1440"/>
        </w:tabs>
        <w:ind w:left="726" w:hanging="726"/>
      </w:pPr>
      <w:rPr>
        <w:caps w:val="0"/>
        <w:strike w:val="0"/>
        <w:dstrike w:val="0"/>
        <w:shadow w:val="0"/>
        <w:emboss w:val="0"/>
        <w:imprint w:val="0"/>
        <w:vanish w:val="0"/>
        <w:color w:val="auto"/>
        <w:vertAlign w:val="baseline"/>
      </w:rPr>
    </w:lvl>
    <w:lvl w:ilvl="8">
      <w:start w:val="1"/>
      <w:numFmt w:val="decimal"/>
      <w:lvlText w:val="%1.%2.%3.%4.%5.%6.%7.%8.%9"/>
      <w:lvlJc w:val="left"/>
      <w:pPr>
        <w:tabs>
          <w:tab w:val="num" w:pos="1800"/>
        </w:tabs>
        <w:ind w:left="726" w:hanging="726"/>
      </w:pPr>
      <w:rPr>
        <w:caps w:val="0"/>
        <w:strike w:val="0"/>
        <w:dstrike w:val="0"/>
        <w:shadow w:val="0"/>
        <w:emboss w:val="0"/>
        <w:imprint w:val="0"/>
        <w:vanish w:val="0"/>
        <w:color w:val="auto"/>
        <w:vertAlign w:val="baseline"/>
      </w:rPr>
    </w:lvl>
  </w:abstractNum>
  <w:abstractNum w:abstractNumId="11">
    <w:nsid w:val="38FA0707"/>
    <w:multiLevelType w:val="hybridMultilevel"/>
    <w:tmpl w:val="705CD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2761D2"/>
    <w:multiLevelType w:val="hybridMultilevel"/>
    <w:tmpl w:val="C45EE80E"/>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
    <w:nsid w:val="3D3D1D04"/>
    <w:multiLevelType w:val="multilevel"/>
    <w:tmpl w:val="47642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AFF6434"/>
    <w:multiLevelType w:val="hybridMultilevel"/>
    <w:tmpl w:val="4F4807C2"/>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5">
    <w:nsid w:val="55B55073"/>
    <w:multiLevelType w:val="hybridMultilevel"/>
    <w:tmpl w:val="37C25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D63D85"/>
    <w:multiLevelType w:val="multilevel"/>
    <w:tmpl w:val="B7DC0160"/>
    <w:lvl w:ilvl="0">
      <w:start w:val="1"/>
      <w:numFmt w:val="decimal"/>
      <w:lvlText w:val="%1."/>
      <w:lvlJc w:val="left"/>
      <w:pPr>
        <w:tabs>
          <w:tab w:val="num" w:pos="726"/>
        </w:tabs>
        <w:ind w:left="726" w:hanging="726"/>
      </w:pPr>
      <w:rPr>
        <w:caps w:val="0"/>
        <w:strike w:val="0"/>
        <w:dstrike w:val="0"/>
        <w:shadow w:val="0"/>
        <w:emboss w:val="0"/>
        <w:imprint w:val="0"/>
        <w:vanish w:val="0"/>
        <w:color w:val="auto"/>
        <w:vertAlign w:val="baseline"/>
      </w:rPr>
    </w:lvl>
    <w:lvl w:ilvl="1">
      <w:start w:val="1"/>
      <w:numFmt w:val="decimal"/>
      <w:lvlText w:val="%1.%2"/>
      <w:lvlJc w:val="left"/>
      <w:pPr>
        <w:tabs>
          <w:tab w:val="num" w:pos="726"/>
        </w:tabs>
        <w:ind w:left="726" w:hanging="726"/>
      </w:pPr>
      <w:rPr>
        <w:caps w:val="0"/>
        <w:strike w:val="0"/>
        <w:dstrike w:val="0"/>
        <w:shadow w:val="0"/>
        <w:emboss w:val="0"/>
        <w:imprint w:val="0"/>
        <w:vanish w:val="0"/>
        <w:color w:val="auto"/>
        <w:vertAlign w:val="baseline"/>
      </w:rPr>
    </w:lvl>
    <w:lvl w:ilvl="2">
      <w:start w:val="1"/>
      <w:numFmt w:val="decimal"/>
      <w:lvlText w:val="%1.%2.%3"/>
      <w:lvlJc w:val="left"/>
      <w:pPr>
        <w:tabs>
          <w:tab w:val="num" w:pos="726"/>
        </w:tabs>
        <w:ind w:left="726" w:hanging="726"/>
      </w:pPr>
      <w:rPr>
        <w:caps w:val="0"/>
        <w:strike w:val="0"/>
        <w:dstrike w:val="0"/>
        <w:shadow w:val="0"/>
        <w:emboss w:val="0"/>
        <w:imprint w:val="0"/>
        <w:vanish w:val="0"/>
        <w:color w:val="auto"/>
        <w:vertAlign w:val="baseline"/>
      </w:rPr>
    </w:lvl>
    <w:lvl w:ilvl="3">
      <w:start w:val="1"/>
      <w:numFmt w:val="decimal"/>
      <w:lvlText w:val="%1.%2.%3.%4"/>
      <w:lvlJc w:val="left"/>
      <w:pPr>
        <w:tabs>
          <w:tab w:val="num" w:pos="726"/>
        </w:tabs>
        <w:ind w:left="726" w:hanging="726"/>
      </w:pPr>
      <w:rPr>
        <w:caps w:val="0"/>
        <w:strike w:val="0"/>
        <w:dstrike w:val="0"/>
        <w:shadow w:val="0"/>
        <w:emboss w:val="0"/>
        <w:imprint w:val="0"/>
        <w:vanish w:val="0"/>
        <w:color w:val="auto"/>
        <w:vertAlign w:val="baseline"/>
      </w:rPr>
    </w:lvl>
    <w:lvl w:ilvl="4">
      <w:start w:val="1"/>
      <w:numFmt w:val="decimal"/>
      <w:lvlText w:val="%1.%2.%3.%4.%5"/>
      <w:lvlJc w:val="left"/>
      <w:pPr>
        <w:tabs>
          <w:tab w:val="num" w:pos="1080"/>
        </w:tabs>
        <w:ind w:left="726" w:hanging="726"/>
      </w:pPr>
      <w:rPr>
        <w:caps w:val="0"/>
        <w:strike w:val="0"/>
        <w:dstrike w:val="0"/>
        <w:shadow w:val="0"/>
        <w:emboss w:val="0"/>
        <w:imprint w:val="0"/>
        <w:vanish w:val="0"/>
        <w:color w:val="auto"/>
        <w:vertAlign w:val="baseline"/>
      </w:rPr>
    </w:lvl>
    <w:lvl w:ilvl="5">
      <w:start w:val="1"/>
      <w:numFmt w:val="decimal"/>
      <w:lvlText w:val="%1.%2.%3.%4.%5.%6"/>
      <w:lvlJc w:val="left"/>
      <w:pPr>
        <w:tabs>
          <w:tab w:val="num" w:pos="1080"/>
        </w:tabs>
        <w:ind w:left="728" w:hanging="728"/>
      </w:pPr>
      <w:rPr>
        <w:caps w:val="0"/>
        <w:strike w:val="0"/>
        <w:dstrike w:val="0"/>
        <w:shadow w:val="0"/>
        <w:emboss w:val="0"/>
        <w:imprint w:val="0"/>
        <w:vanish w:val="0"/>
        <w:color w:val="auto"/>
        <w:vertAlign w:val="baseline"/>
      </w:rPr>
    </w:lvl>
    <w:lvl w:ilvl="6">
      <w:start w:val="1"/>
      <w:numFmt w:val="decimal"/>
      <w:lvlText w:val="%1.%2.%3.%4.%5.%6.%7"/>
      <w:lvlJc w:val="left"/>
      <w:pPr>
        <w:tabs>
          <w:tab w:val="num" w:pos="1440"/>
        </w:tabs>
        <w:ind w:left="726" w:hanging="726"/>
      </w:pPr>
      <w:rPr>
        <w:caps w:val="0"/>
        <w:strike w:val="0"/>
        <w:dstrike w:val="0"/>
        <w:shadow w:val="0"/>
        <w:emboss w:val="0"/>
        <w:imprint w:val="0"/>
        <w:vanish w:val="0"/>
        <w:color w:val="auto"/>
        <w:vertAlign w:val="baseline"/>
      </w:rPr>
    </w:lvl>
    <w:lvl w:ilvl="7">
      <w:start w:val="1"/>
      <w:numFmt w:val="decimal"/>
      <w:lvlText w:val="%1.%2.%3.%4.%5.%6.%7.%8"/>
      <w:lvlJc w:val="left"/>
      <w:pPr>
        <w:tabs>
          <w:tab w:val="num" w:pos="1440"/>
        </w:tabs>
        <w:ind w:left="726" w:hanging="726"/>
      </w:pPr>
      <w:rPr>
        <w:caps w:val="0"/>
        <w:strike w:val="0"/>
        <w:dstrike w:val="0"/>
        <w:shadow w:val="0"/>
        <w:emboss w:val="0"/>
        <w:imprint w:val="0"/>
        <w:vanish w:val="0"/>
        <w:color w:val="auto"/>
        <w:vertAlign w:val="baseline"/>
      </w:rPr>
    </w:lvl>
    <w:lvl w:ilvl="8">
      <w:start w:val="1"/>
      <w:numFmt w:val="decimal"/>
      <w:lvlText w:val="%1.%2.%3.%4.%5.%6.%7.%8.%9"/>
      <w:lvlJc w:val="left"/>
      <w:pPr>
        <w:tabs>
          <w:tab w:val="num" w:pos="1800"/>
        </w:tabs>
        <w:ind w:left="726" w:hanging="726"/>
      </w:pPr>
      <w:rPr>
        <w:caps w:val="0"/>
        <w:strike w:val="0"/>
        <w:dstrike w:val="0"/>
        <w:shadow w:val="0"/>
        <w:emboss w:val="0"/>
        <w:imprint w:val="0"/>
        <w:vanish w:val="0"/>
        <w:color w:val="auto"/>
        <w:vertAlign w:val="baseline"/>
      </w:rPr>
    </w:lvl>
  </w:abstractNum>
  <w:abstractNum w:abstractNumId="17">
    <w:nsid w:val="70611A83"/>
    <w:multiLevelType w:val="hybridMultilevel"/>
    <w:tmpl w:val="A5CAD712"/>
    <w:lvl w:ilvl="0" w:tplc="7E1A0A66">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747910C9"/>
    <w:multiLevelType w:val="hybridMultilevel"/>
    <w:tmpl w:val="AF82AA92"/>
    <w:lvl w:ilvl="0" w:tplc="04070001">
      <w:start w:val="1"/>
      <w:numFmt w:val="bullet"/>
      <w:lvlText w:val=""/>
      <w:lvlJc w:val="left"/>
      <w:pPr>
        <w:tabs>
          <w:tab w:val="num" w:pos="720"/>
        </w:tabs>
        <w:ind w:left="720" w:hanging="360"/>
      </w:pPr>
      <w:rPr>
        <w:rFonts w:ascii="Symbol" w:hAnsi="Symbol" w:cs="Times New Roman" w:hint="default"/>
      </w:rPr>
    </w:lvl>
    <w:lvl w:ilvl="1" w:tplc="412A3A66">
      <w:start w:val="1"/>
      <w:numFmt w:val="none"/>
      <w:lvlText w:val="4.6"/>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vlJc w:val="left"/>
        <w:pPr>
          <w:ind w:left="283" w:hanging="283"/>
        </w:pPr>
        <w:rPr>
          <w:rFonts w:ascii="Symbol" w:hAnsi="Symbol" w:cs="Times New Roman" w:hint="default"/>
        </w:rPr>
      </w:lvl>
    </w:lvlOverride>
  </w:num>
  <w:num w:numId="5">
    <w:abstractNumId w:val="0"/>
    <w:lvlOverride w:ilvl="0">
      <w:lvl w:ilvl="0">
        <w:numFmt w:val="bullet"/>
        <w:lvlText w:val=""/>
        <w:lvlJc w:val="left"/>
        <w:pPr>
          <w:ind w:left="283" w:hanging="283"/>
        </w:pPr>
        <w:rPr>
          <w:rFonts w:ascii="Symbol" w:hAnsi="Symbol" w:cs="Times New Roman" w:hint="default"/>
        </w:rPr>
      </w:lvl>
    </w:lvlOverride>
  </w:num>
  <w:num w:numId="6">
    <w:abstractNumId w:val="18"/>
  </w:num>
  <w:num w:numId="7">
    <w:abstractNumId w:val="9"/>
  </w:num>
  <w:num w:numId="8">
    <w:abstractNumId w:val="17"/>
  </w:num>
  <w:num w:numId="9">
    <w:abstractNumId w:val="8"/>
  </w:num>
  <w:num w:numId="10">
    <w:abstractNumId w:val="8"/>
  </w:num>
  <w:num w:numId="11">
    <w:abstractNumId w:val="8"/>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6"/>
  </w:num>
  <w:num w:numId="19">
    <w:abstractNumId w:val="2"/>
  </w:num>
  <w:num w:numId="20">
    <w:abstractNumId w:val="10"/>
  </w:num>
  <w:num w:numId="21">
    <w:abstractNumId w:val="7"/>
  </w:num>
  <w:num w:numId="22">
    <w:abstractNumId w:val="1"/>
  </w:num>
  <w:num w:numId="23">
    <w:abstractNumId w:val="16"/>
  </w:num>
  <w:num w:numId="24">
    <w:abstractNumId w:val="13"/>
  </w:num>
  <w:num w:numId="25">
    <w:abstractNumId w:val="1"/>
  </w:num>
  <w:num w:numId="26">
    <w:abstractNumId w:val="1"/>
  </w:num>
  <w:num w:numId="27">
    <w:abstractNumId w:val="14"/>
  </w:num>
  <w:num w:numId="28">
    <w:abstractNumId w:val="5"/>
  </w:num>
  <w:num w:numId="29">
    <w:abstractNumId w:val="12"/>
  </w:num>
  <w:num w:numId="30">
    <w:abstractNumId w:val="1"/>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0"/>
    <w:lvlOverride w:ilvl="0">
      <w:lvl w:ilvl="0">
        <w:numFmt w:val="bullet"/>
        <w:lvlText w:val=""/>
        <w:lvlJc w:val="left"/>
        <w:pPr>
          <w:ind w:left="283" w:hanging="283"/>
        </w:pPr>
        <w:rPr>
          <w:rFonts w:ascii="Symbol" w:hAnsi="Symbol" w:cs="Times New Roman" w:hint="default"/>
        </w:rPr>
      </w:lvl>
    </w:lvlOverride>
  </w:num>
  <w:num w:numId="39">
    <w:abstractNumId w:val="0"/>
    <w:lvlOverride w:ilvl="0">
      <w:lvl w:ilvl="0">
        <w:numFmt w:val="bullet"/>
        <w:lvlText w:val=""/>
        <w:lvlJc w:val="left"/>
        <w:pPr>
          <w:ind w:left="283" w:hanging="283"/>
        </w:pPr>
        <w:rPr>
          <w:rFonts w:ascii="Symbol" w:hAnsi="Symbol" w:cs="Times New Roman" w:hint="default"/>
        </w:rPr>
      </w:lvl>
    </w:lvlOverride>
  </w:num>
  <w:num w:numId="40">
    <w:abstractNumId w:val="11"/>
  </w:num>
  <w:num w:numId="41">
    <w:abstractNumId w:val="4"/>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rsids>
    <w:rsidRoot w:val="006D4A67"/>
    <w:rsid w:val="0000406B"/>
    <w:rsid w:val="00004474"/>
    <w:rsid w:val="00025664"/>
    <w:rsid w:val="000318FE"/>
    <w:rsid w:val="00035252"/>
    <w:rsid w:val="000415AF"/>
    <w:rsid w:val="00054967"/>
    <w:rsid w:val="00061338"/>
    <w:rsid w:val="00061A34"/>
    <w:rsid w:val="000658F8"/>
    <w:rsid w:val="00067E56"/>
    <w:rsid w:val="00084CD2"/>
    <w:rsid w:val="00087297"/>
    <w:rsid w:val="000A14A5"/>
    <w:rsid w:val="000B6662"/>
    <w:rsid w:val="000C253D"/>
    <w:rsid w:val="000C48D8"/>
    <w:rsid w:val="000C7EEB"/>
    <w:rsid w:val="000E44B2"/>
    <w:rsid w:val="000F01D2"/>
    <w:rsid w:val="000F54E4"/>
    <w:rsid w:val="00102B6F"/>
    <w:rsid w:val="00103105"/>
    <w:rsid w:val="0011223D"/>
    <w:rsid w:val="00113DFE"/>
    <w:rsid w:val="00125255"/>
    <w:rsid w:val="00125985"/>
    <w:rsid w:val="00144AC3"/>
    <w:rsid w:val="00146990"/>
    <w:rsid w:val="00153BC7"/>
    <w:rsid w:val="00153C62"/>
    <w:rsid w:val="001631CE"/>
    <w:rsid w:val="001813E6"/>
    <w:rsid w:val="00182E4C"/>
    <w:rsid w:val="00182F0D"/>
    <w:rsid w:val="00187020"/>
    <w:rsid w:val="00192A6F"/>
    <w:rsid w:val="00192ED4"/>
    <w:rsid w:val="001B0D91"/>
    <w:rsid w:val="001B672A"/>
    <w:rsid w:val="001C3F18"/>
    <w:rsid w:val="001D3D6C"/>
    <w:rsid w:val="001D5ED0"/>
    <w:rsid w:val="001D691E"/>
    <w:rsid w:val="001D7927"/>
    <w:rsid w:val="001E18BD"/>
    <w:rsid w:val="001F27FA"/>
    <w:rsid w:val="002004D1"/>
    <w:rsid w:val="00203BDC"/>
    <w:rsid w:val="00203E42"/>
    <w:rsid w:val="002045EF"/>
    <w:rsid w:val="00205A4F"/>
    <w:rsid w:val="00205C14"/>
    <w:rsid w:val="002177E2"/>
    <w:rsid w:val="00222D77"/>
    <w:rsid w:val="0022377A"/>
    <w:rsid w:val="00234775"/>
    <w:rsid w:val="002414A6"/>
    <w:rsid w:val="00245C5D"/>
    <w:rsid w:val="00250D4E"/>
    <w:rsid w:val="0025330C"/>
    <w:rsid w:val="00255317"/>
    <w:rsid w:val="00255C54"/>
    <w:rsid w:val="00257BE9"/>
    <w:rsid w:val="0026748F"/>
    <w:rsid w:val="002832DB"/>
    <w:rsid w:val="00287966"/>
    <w:rsid w:val="00294111"/>
    <w:rsid w:val="002A1FCC"/>
    <w:rsid w:val="002A2AAD"/>
    <w:rsid w:val="002B7023"/>
    <w:rsid w:val="002B702C"/>
    <w:rsid w:val="002C302C"/>
    <w:rsid w:val="002C3484"/>
    <w:rsid w:val="002D5F14"/>
    <w:rsid w:val="002E3F9C"/>
    <w:rsid w:val="002E4373"/>
    <w:rsid w:val="002E78C6"/>
    <w:rsid w:val="002F2FD7"/>
    <w:rsid w:val="002F34E9"/>
    <w:rsid w:val="002F5705"/>
    <w:rsid w:val="00303BA2"/>
    <w:rsid w:val="003135BF"/>
    <w:rsid w:val="003243C8"/>
    <w:rsid w:val="00361A73"/>
    <w:rsid w:val="003A2DE5"/>
    <w:rsid w:val="003B0468"/>
    <w:rsid w:val="003B055E"/>
    <w:rsid w:val="003B0D84"/>
    <w:rsid w:val="003B505E"/>
    <w:rsid w:val="003B5621"/>
    <w:rsid w:val="003B6AFE"/>
    <w:rsid w:val="003D11BD"/>
    <w:rsid w:val="003D16B9"/>
    <w:rsid w:val="003D27A5"/>
    <w:rsid w:val="003D738F"/>
    <w:rsid w:val="00411DD8"/>
    <w:rsid w:val="004123AD"/>
    <w:rsid w:val="004248A3"/>
    <w:rsid w:val="00434D71"/>
    <w:rsid w:val="0043574D"/>
    <w:rsid w:val="00444DDE"/>
    <w:rsid w:val="00457D31"/>
    <w:rsid w:val="004610CB"/>
    <w:rsid w:val="00464FF4"/>
    <w:rsid w:val="00465199"/>
    <w:rsid w:val="00466031"/>
    <w:rsid w:val="004668C4"/>
    <w:rsid w:val="0047093F"/>
    <w:rsid w:val="00476942"/>
    <w:rsid w:val="00481ACF"/>
    <w:rsid w:val="00484008"/>
    <w:rsid w:val="00491CAC"/>
    <w:rsid w:val="004952F8"/>
    <w:rsid w:val="004A3F15"/>
    <w:rsid w:val="004A6DB6"/>
    <w:rsid w:val="004B46B8"/>
    <w:rsid w:val="004E6A4B"/>
    <w:rsid w:val="004F53B3"/>
    <w:rsid w:val="005049B9"/>
    <w:rsid w:val="005063EB"/>
    <w:rsid w:val="00511233"/>
    <w:rsid w:val="00536DD4"/>
    <w:rsid w:val="00537B08"/>
    <w:rsid w:val="0054622F"/>
    <w:rsid w:val="00551FDE"/>
    <w:rsid w:val="00552F83"/>
    <w:rsid w:val="00555125"/>
    <w:rsid w:val="00555A95"/>
    <w:rsid w:val="0057043E"/>
    <w:rsid w:val="005757C9"/>
    <w:rsid w:val="005829FB"/>
    <w:rsid w:val="005838AC"/>
    <w:rsid w:val="005A0FC7"/>
    <w:rsid w:val="005B2E91"/>
    <w:rsid w:val="005B31DF"/>
    <w:rsid w:val="005B757E"/>
    <w:rsid w:val="005C0697"/>
    <w:rsid w:val="005E55BF"/>
    <w:rsid w:val="005F1C51"/>
    <w:rsid w:val="005F33B9"/>
    <w:rsid w:val="00606D5A"/>
    <w:rsid w:val="006260A3"/>
    <w:rsid w:val="006272AA"/>
    <w:rsid w:val="00634865"/>
    <w:rsid w:val="00637297"/>
    <w:rsid w:val="00640014"/>
    <w:rsid w:val="00645D72"/>
    <w:rsid w:val="00663ADD"/>
    <w:rsid w:val="00666B5C"/>
    <w:rsid w:val="006771E8"/>
    <w:rsid w:val="00681EC4"/>
    <w:rsid w:val="00682952"/>
    <w:rsid w:val="006855A8"/>
    <w:rsid w:val="00697B92"/>
    <w:rsid w:val="006A041A"/>
    <w:rsid w:val="006A41C8"/>
    <w:rsid w:val="006A43D8"/>
    <w:rsid w:val="006D4A67"/>
    <w:rsid w:val="006D73DC"/>
    <w:rsid w:val="006E3E01"/>
    <w:rsid w:val="006F01F1"/>
    <w:rsid w:val="006F7A0A"/>
    <w:rsid w:val="006F7CD1"/>
    <w:rsid w:val="0070029C"/>
    <w:rsid w:val="007043A6"/>
    <w:rsid w:val="0071719D"/>
    <w:rsid w:val="00727165"/>
    <w:rsid w:val="00727E8E"/>
    <w:rsid w:val="00736432"/>
    <w:rsid w:val="00741135"/>
    <w:rsid w:val="00765AB2"/>
    <w:rsid w:val="00766E4E"/>
    <w:rsid w:val="007708B1"/>
    <w:rsid w:val="00784934"/>
    <w:rsid w:val="007862FB"/>
    <w:rsid w:val="00796D57"/>
    <w:rsid w:val="007A2570"/>
    <w:rsid w:val="007A67FB"/>
    <w:rsid w:val="007B44C9"/>
    <w:rsid w:val="007B76E8"/>
    <w:rsid w:val="007C5395"/>
    <w:rsid w:val="007E0B33"/>
    <w:rsid w:val="008007AF"/>
    <w:rsid w:val="008103AB"/>
    <w:rsid w:val="00811683"/>
    <w:rsid w:val="008155A9"/>
    <w:rsid w:val="00815FAB"/>
    <w:rsid w:val="0084641D"/>
    <w:rsid w:val="00846549"/>
    <w:rsid w:val="00851CB7"/>
    <w:rsid w:val="008536D9"/>
    <w:rsid w:val="008658FB"/>
    <w:rsid w:val="008676D5"/>
    <w:rsid w:val="008749B6"/>
    <w:rsid w:val="00881D12"/>
    <w:rsid w:val="00883720"/>
    <w:rsid w:val="0089567C"/>
    <w:rsid w:val="008A19CA"/>
    <w:rsid w:val="008A3F3C"/>
    <w:rsid w:val="008D13A7"/>
    <w:rsid w:val="008D4155"/>
    <w:rsid w:val="008D6362"/>
    <w:rsid w:val="008F01DC"/>
    <w:rsid w:val="008F165D"/>
    <w:rsid w:val="0090777A"/>
    <w:rsid w:val="009238D1"/>
    <w:rsid w:val="009250DD"/>
    <w:rsid w:val="00930FD6"/>
    <w:rsid w:val="00932B1E"/>
    <w:rsid w:val="00935292"/>
    <w:rsid w:val="00937C9A"/>
    <w:rsid w:val="00940246"/>
    <w:rsid w:val="0094165F"/>
    <w:rsid w:val="00941FCF"/>
    <w:rsid w:val="0094704A"/>
    <w:rsid w:val="00950AD0"/>
    <w:rsid w:val="00960848"/>
    <w:rsid w:val="009609EC"/>
    <w:rsid w:val="00961B91"/>
    <w:rsid w:val="00963D80"/>
    <w:rsid w:val="009655A5"/>
    <w:rsid w:val="0097347E"/>
    <w:rsid w:val="0098554C"/>
    <w:rsid w:val="009968C8"/>
    <w:rsid w:val="009A6443"/>
    <w:rsid w:val="009C6358"/>
    <w:rsid w:val="009D3475"/>
    <w:rsid w:val="009D3B44"/>
    <w:rsid w:val="009D50F0"/>
    <w:rsid w:val="009D672F"/>
    <w:rsid w:val="00A04EFA"/>
    <w:rsid w:val="00A06DA2"/>
    <w:rsid w:val="00A1358C"/>
    <w:rsid w:val="00A1504B"/>
    <w:rsid w:val="00A33B5E"/>
    <w:rsid w:val="00A44EE8"/>
    <w:rsid w:val="00A504DB"/>
    <w:rsid w:val="00A54CA5"/>
    <w:rsid w:val="00A55C05"/>
    <w:rsid w:val="00A70DD0"/>
    <w:rsid w:val="00A82EE9"/>
    <w:rsid w:val="00A83FCD"/>
    <w:rsid w:val="00A85E2F"/>
    <w:rsid w:val="00A906E5"/>
    <w:rsid w:val="00AB510E"/>
    <w:rsid w:val="00AC1F5B"/>
    <w:rsid w:val="00AC300A"/>
    <w:rsid w:val="00AD22D5"/>
    <w:rsid w:val="00B009CE"/>
    <w:rsid w:val="00B02801"/>
    <w:rsid w:val="00B03ED2"/>
    <w:rsid w:val="00B131F9"/>
    <w:rsid w:val="00B17668"/>
    <w:rsid w:val="00B176AF"/>
    <w:rsid w:val="00B23F85"/>
    <w:rsid w:val="00B34EBD"/>
    <w:rsid w:val="00B35D25"/>
    <w:rsid w:val="00B57A58"/>
    <w:rsid w:val="00B85586"/>
    <w:rsid w:val="00B873AE"/>
    <w:rsid w:val="00B8750D"/>
    <w:rsid w:val="00B947E3"/>
    <w:rsid w:val="00BB2FB9"/>
    <w:rsid w:val="00BB432E"/>
    <w:rsid w:val="00BC484B"/>
    <w:rsid w:val="00BC7208"/>
    <w:rsid w:val="00BD25FC"/>
    <w:rsid w:val="00BE558A"/>
    <w:rsid w:val="00BF2A78"/>
    <w:rsid w:val="00BF38FE"/>
    <w:rsid w:val="00C00EE9"/>
    <w:rsid w:val="00C02B2B"/>
    <w:rsid w:val="00C0474F"/>
    <w:rsid w:val="00C06E7C"/>
    <w:rsid w:val="00C1567C"/>
    <w:rsid w:val="00C22C1E"/>
    <w:rsid w:val="00C27AA8"/>
    <w:rsid w:val="00C419CB"/>
    <w:rsid w:val="00C456FD"/>
    <w:rsid w:val="00C5002A"/>
    <w:rsid w:val="00C50D0F"/>
    <w:rsid w:val="00C5206E"/>
    <w:rsid w:val="00C57AC8"/>
    <w:rsid w:val="00C60690"/>
    <w:rsid w:val="00C62AC6"/>
    <w:rsid w:val="00C65F24"/>
    <w:rsid w:val="00C7517F"/>
    <w:rsid w:val="00C803A3"/>
    <w:rsid w:val="00CA0D2A"/>
    <w:rsid w:val="00CA5706"/>
    <w:rsid w:val="00CB20EC"/>
    <w:rsid w:val="00CB4599"/>
    <w:rsid w:val="00CC2DA9"/>
    <w:rsid w:val="00CC493A"/>
    <w:rsid w:val="00CC7EE0"/>
    <w:rsid w:val="00CD2BC3"/>
    <w:rsid w:val="00CD31A6"/>
    <w:rsid w:val="00CD45C5"/>
    <w:rsid w:val="00CE2AA6"/>
    <w:rsid w:val="00CE7C13"/>
    <w:rsid w:val="00CF29E4"/>
    <w:rsid w:val="00D10BB4"/>
    <w:rsid w:val="00D1652B"/>
    <w:rsid w:val="00D233DA"/>
    <w:rsid w:val="00D32E16"/>
    <w:rsid w:val="00D53284"/>
    <w:rsid w:val="00D5558D"/>
    <w:rsid w:val="00D80C0A"/>
    <w:rsid w:val="00D82531"/>
    <w:rsid w:val="00D87DB7"/>
    <w:rsid w:val="00D95EBC"/>
    <w:rsid w:val="00D95F7C"/>
    <w:rsid w:val="00DB7F7F"/>
    <w:rsid w:val="00DC5136"/>
    <w:rsid w:val="00DC523C"/>
    <w:rsid w:val="00DD78A8"/>
    <w:rsid w:val="00DF342F"/>
    <w:rsid w:val="00DF4259"/>
    <w:rsid w:val="00E023B4"/>
    <w:rsid w:val="00E02FB8"/>
    <w:rsid w:val="00E0334D"/>
    <w:rsid w:val="00E06438"/>
    <w:rsid w:val="00E10DBA"/>
    <w:rsid w:val="00E279C7"/>
    <w:rsid w:val="00E27D3F"/>
    <w:rsid w:val="00E305D9"/>
    <w:rsid w:val="00E33014"/>
    <w:rsid w:val="00E358CA"/>
    <w:rsid w:val="00E35B86"/>
    <w:rsid w:val="00E3672E"/>
    <w:rsid w:val="00E379DF"/>
    <w:rsid w:val="00E43960"/>
    <w:rsid w:val="00E562D7"/>
    <w:rsid w:val="00E8090D"/>
    <w:rsid w:val="00E819C0"/>
    <w:rsid w:val="00E87DE6"/>
    <w:rsid w:val="00E90E46"/>
    <w:rsid w:val="00E94437"/>
    <w:rsid w:val="00E968CA"/>
    <w:rsid w:val="00EA2DAC"/>
    <w:rsid w:val="00EA52D9"/>
    <w:rsid w:val="00EB03B8"/>
    <w:rsid w:val="00EB5ED1"/>
    <w:rsid w:val="00EC44D2"/>
    <w:rsid w:val="00ED0900"/>
    <w:rsid w:val="00ED429B"/>
    <w:rsid w:val="00ED57A6"/>
    <w:rsid w:val="00EE6E1F"/>
    <w:rsid w:val="00EF158F"/>
    <w:rsid w:val="00EF6D7E"/>
    <w:rsid w:val="00F0349D"/>
    <w:rsid w:val="00F14E9A"/>
    <w:rsid w:val="00F16E46"/>
    <w:rsid w:val="00F21173"/>
    <w:rsid w:val="00F30367"/>
    <w:rsid w:val="00F305A7"/>
    <w:rsid w:val="00F40F9D"/>
    <w:rsid w:val="00F543C0"/>
    <w:rsid w:val="00F61887"/>
    <w:rsid w:val="00F62C9E"/>
    <w:rsid w:val="00F636E3"/>
    <w:rsid w:val="00F703CB"/>
    <w:rsid w:val="00F75C07"/>
    <w:rsid w:val="00F81569"/>
    <w:rsid w:val="00F84774"/>
    <w:rsid w:val="00F90069"/>
    <w:rsid w:val="00F9099C"/>
    <w:rsid w:val="00F91BDA"/>
    <w:rsid w:val="00F94B81"/>
    <w:rsid w:val="00F9756F"/>
    <w:rsid w:val="00FA6460"/>
    <w:rsid w:val="00FA6705"/>
    <w:rsid w:val="00FB3AAC"/>
    <w:rsid w:val="00FB5BEA"/>
    <w:rsid w:val="00FC11E0"/>
    <w:rsid w:val="00FE509B"/>
    <w:rsid w:val="00FE51EE"/>
    <w:rsid w:val="00FF5472"/>
    <w:rsid w:val="00FF5FB1"/>
    <w:rsid w:val="00FF6E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4F"/>
    <w:pPr>
      <w:spacing w:after="220"/>
    </w:pPr>
    <w:rPr>
      <w:rFonts w:ascii="Helvetica" w:hAnsi="Helvetica"/>
      <w:snapToGrid w:val="0"/>
      <w:sz w:val="22"/>
      <w:szCs w:val="22"/>
      <w:lang w:val="en-US" w:eastAsia="en-US"/>
    </w:rPr>
  </w:style>
  <w:style w:type="paragraph" w:styleId="1">
    <w:name w:val="heading 1"/>
    <w:basedOn w:val="1Style"/>
    <w:next w:val="Para0s"/>
    <w:qFormat/>
    <w:rsid w:val="00C0474F"/>
    <w:pPr>
      <w:keepNext/>
      <w:numPr>
        <w:numId w:val="2"/>
      </w:numPr>
      <w:spacing w:before="440"/>
      <w:outlineLvl w:val="0"/>
    </w:pPr>
    <w:rPr>
      <w:b/>
      <w:bCs/>
    </w:rPr>
  </w:style>
  <w:style w:type="paragraph" w:styleId="2">
    <w:name w:val="heading 2"/>
    <w:basedOn w:val="1"/>
    <w:next w:val="Para0s"/>
    <w:qFormat/>
    <w:rsid w:val="00C0474F"/>
    <w:pPr>
      <w:numPr>
        <w:ilvl w:val="1"/>
      </w:numPr>
      <w:spacing w:before="220"/>
      <w:outlineLvl w:val="1"/>
    </w:pPr>
  </w:style>
  <w:style w:type="paragraph" w:styleId="3">
    <w:name w:val="heading 3"/>
    <w:basedOn w:val="1"/>
    <w:next w:val="Para0s"/>
    <w:qFormat/>
    <w:rsid w:val="00C0474F"/>
    <w:pPr>
      <w:numPr>
        <w:ilvl w:val="2"/>
      </w:numPr>
      <w:spacing w:before="220"/>
      <w:outlineLvl w:val="2"/>
    </w:pPr>
  </w:style>
  <w:style w:type="paragraph" w:styleId="4">
    <w:name w:val="heading 4"/>
    <w:basedOn w:val="1"/>
    <w:next w:val="Para0s"/>
    <w:qFormat/>
    <w:rsid w:val="00C0474F"/>
    <w:pPr>
      <w:numPr>
        <w:ilvl w:val="3"/>
      </w:numPr>
      <w:spacing w:before="220"/>
      <w:outlineLvl w:val="3"/>
    </w:pPr>
  </w:style>
  <w:style w:type="paragraph" w:styleId="5">
    <w:name w:val="heading 5"/>
    <w:basedOn w:val="1"/>
    <w:next w:val="Para0s"/>
    <w:qFormat/>
    <w:rsid w:val="00C0474F"/>
    <w:pPr>
      <w:numPr>
        <w:ilvl w:val="4"/>
      </w:numPr>
      <w:spacing w:before="220"/>
      <w:outlineLvl w:val="4"/>
    </w:pPr>
  </w:style>
  <w:style w:type="paragraph" w:styleId="6">
    <w:name w:val="heading 6"/>
    <w:basedOn w:val="1"/>
    <w:next w:val="Para0s"/>
    <w:qFormat/>
    <w:rsid w:val="00C0474F"/>
    <w:pPr>
      <w:numPr>
        <w:ilvl w:val="5"/>
      </w:numPr>
      <w:spacing w:before="220"/>
      <w:outlineLvl w:val="5"/>
    </w:pPr>
  </w:style>
  <w:style w:type="paragraph" w:styleId="7">
    <w:name w:val="heading 7"/>
    <w:basedOn w:val="1"/>
    <w:next w:val="Para0s"/>
    <w:qFormat/>
    <w:rsid w:val="00C0474F"/>
    <w:pPr>
      <w:numPr>
        <w:ilvl w:val="6"/>
      </w:numPr>
      <w:spacing w:before="220"/>
      <w:outlineLvl w:val="6"/>
    </w:pPr>
  </w:style>
  <w:style w:type="paragraph" w:styleId="8">
    <w:name w:val="heading 8"/>
    <w:basedOn w:val="1"/>
    <w:next w:val="Para0s"/>
    <w:qFormat/>
    <w:rsid w:val="00C0474F"/>
    <w:pPr>
      <w:numPr>
        <w:ilvl w:val="7"/>
      </w:numPr>
      <w:spacing w:before="220"/>
      <w:outlineLvl w:val="7"/>
    </w:pPr>
  </w:style>
  <w:style w:type="paragraph" w:styleId="9">
    <w:name w:val="heading 9"/>
    <w:basedOn w:val="1"/>
    <w:next w:val="Para0s"/>
    <w:qFormat/>
    <w:rsid w:val="00C0474F"/>
    <w:pPr>
      <w:numPr>
        <w:ilvl w:val="8"/>
      </w:numPr>
      <w:spacing w:before="2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Style">
    <w:name w:val="#1 Style"/>
    <w:rsid w:val="00C0474F"/>
    <w:pPr>
      <w:spacing w:after="220"/>
    </w:pPr>
    <w:rPr>
      <w:snapToGrid w:val="0"/>
      <w:sz w:val="24"/>
      <w:szCs w:val="24"/>
      <w:lang w:val="en-US" w:eastAsia="en-US"/>
    </w:rPr>
  </w:style>
  <w:style w:type="paragraph" w:customStyle="1" w:styleId="Para0s">
    <w:name w:val="Para:0:s"/>
    <w:basedOn w:val="1Style"/>
    <w:rsid w:val="00C0474F"/>
  </w:style>
  <w:style w:type="paragraph" w:styleId="a3">
    <w:name w:val="header"/>
    <w:basedOn w:val="1Style"/>
    <w:rsid w:val="00C0474F"/>
    <w:pPr>
      <w:tabs>
        <w:tab w:val="center" w:pos="4536"/>
        <w:tab w:val="right" w:pos="9072"/>
      </w:tabs>
    </w:pPr>
  </w:style>
  <w:style w:type="paragraph" w:styleId="a4">
    <w:name w:val="footer"/>
    <w:basedOn w:val="a"/>
    <w:rsid w:val="00C0474F"/>
    <w:pPr>
      <w:tabs>
        <w:tab w:val="center" w:pos="4536"/>
        <w:tab w:val="right" w:pos="9072"/>
      </w:tabs>
      <w:spacing w:after="0"/>
    </w:pPr>
    <w:rPr>
      <w:rFonts w:ascii="Times New Roman" w:hAnsi="Times New Roman"/>
      <w:sz w:val="14"/>
      <w:szCs w:val="14"/>
    </w:rPr>
  </w:style>
  <w:style w:type="character" w:customStyle="1" w:styleId="Report-type">
    <w:name w:val="Report-type"/>
    <w:rsid w:val="00C0474F"/>
    <w:rPr>
      <w:rFonts w:ascii="Times New Roman" w:hAnsi="Times New Roman" w:cs="Times New Roman"/>
      <w:b/>
      <w:bCs/>
      <w:sz w:val="24"/>
      <w:szCs w:val="24"/>
    </w:rPr>
  </w:style>
  <w:style w:type="character" w:customStyle="1" w:styleId="Reportnumber">
    <w:name w:val="Report number"/>
    <w:rsid w:val="00C0474F"/>
    <w:rPr>
      <w:rFonts w:ascii="Times New Roman" w:hAnsi="Times New Roman" w:cs="Times New Roman"/>
      <w:b/>
      <w:bCs/>
      <w:sz w:val="24"/>
      <w:szCs w:val="24"/>
    </w:rPr>
  </w:style>
  <w:style w:type="character" w:customStyle="1" w:styleId="Document-page-count">
    <w:name w:val="Document-page-count"/>
    <w:rsid w:val="00C0474F"/>
    <w:rPr>
      <w:rFonts w:ascii="Times New Roman" w:hAnsi="Times New Roman" w:cs="Times New Roman"/>
      <w:sz w:val="20"/>
      <w:szCs w:val="20"/>
    </w:rPr>
  </w:style>
  <w:style w:type="character" w:styleId="a5">
    <w:name w:val="footnote reference"/>
    <w:semiHidden/>
    <w:rsid w:val="00C0474F"/>
    <w:rPr>
      <w:rFonts w:ascii="Times New Roman" w:hAnsi="Times New Roman" w:cs="Times New Roman"/>
      <w:position w:val="6"/>
      <w:sz w:val="18"/>
      <w:szCs w:val="18"/>
      <w:lang w:val="en-US"/>
    </w:rPr>
  </w:style>
  <w:style w:type="paragraph" w:styleId="a6">
    <w:name w:val="footnote text"/>
    <w:basedOn w:val="1Style"/>
    <w:semiHidden/>
    <w:rsid w:val="00C0474F"/>
    <w:pPr>
      <w:keepLines/>
      <w:spacing w:after="80"/>
      <w:ind w:left="454" w:hanging="454"/>
    </w:pPr>
    <w:rPr>
      <w:sz w:val="18"/>
      <w:szCs w:val="18"/>
    </w:rPr>
  </w:style>
  <w:style w:type="character" w:customStyle="1" w:styleId="Document-Identity">
    <w:name w:val="Document-Identity"/>
    <w:rsid w:val="00C0474F"/>
    <w:rPr>
      <w:rFonts w:ascii="Times New Roman" w:hAnsi="Times New Roman" w:cs="Times New Roman"/>
      <w:color w:val="auto"/>
      <w:sz w:val="24"/>
      <w:szCs w:val="24"/>
      <w:vertAlign w:val="baseline"/>
    </w:rPr>
  </w:style>
  <w:style w:type="paragraph" w:customStyle="1" w:styleId="Bullet0d">
    <w:name w:val="Bullet:0:d"/>
    <w:basedOn w:val="Bullet0s"/>
    <w:rsid w:val="00C0474F"/>
    <w:pPr>
      <w:spacing w:after="220"/>
      <w:ind w:left="357" w:hanging="357"/>
    </w:pPr>
  </w:style>
  <w:style w:type="paragraph" w:customStyle="1" w:styleId="Bullet0s">
    <w:name w:val="Bullet:0:s"/>
    <w:basedOn w:val="1Style"/>
    <w:rsid w:val="00C0474F"/>
    <w:pPr>
      <w:numPr>
        <w:numId w:val="1"/>
      </w:numPr>
      <w:spacing w:before="40" w:after="40"/>
    </w:pPr>
  </w:style>
  <w:style w:type="paragraph" w:customStyle="1" w:styleId="Bullet1d">
    <w:name w:val="Bullet:1:d"/>
    <w:basedOn w:val="Bullet0d"/>
    <w:rsid w:val="00C0474F"/>
    <w:pPr>
      <w:ind w:left="1080"/>
    </w:pPr>
  </w:style>
  <w:style w:type="paragraph" w:customStyle="1" w:styleId="Bullet1s">
    <w:name w:val="Bullet:1:s"/>
    <w:basedOn w:val="Bullet0s"/>
    <w:rsid w:val="00C0474F"/>
    <w:pPr>
      <w:ind w:left="1083" w:hanging="357"/>
    </w:pPr>
  </w:style>
  <w:style w:type="paragraph" w:customStyle="1" w:styleId="Bullet2d">
    <w:name w:val="Bullet:2:d"/>
    <w:basedOn w:val="Bullet0d"/>
    <w:rsid w:val="00C0474F"/>
    <w:pPr>
      <w:ind w:left="1800"/>
    </w:pPr>
  </w:style>
  <w:style w:type="paragraph" w:customStyle="1" w:styleId="Bullet2s">
    <w:name w:val="Bullet:2:s"/>
    <w:basedOn w:val="Bullet0s"/>
    <w:rsid w:val="00C0474F"/>
    <w:pPr>
      <w:ind w:left="1797" w:hanging="357"/>
    </w:pPr>
  </w:style>
  <w:style w:type="paragraph" w:customStyle="1" w:styleId="Para0sb">
    <w:name w:val="Para:0:sb"/>
    <w:basedOn w:val="Para0s"/>
    <w:rsid w:val="00C0474F"/>
    <w:rPr>
      <w:b/>
      <w:bCs/>
    </w:rPr>
  </w:style>
  <w:style w:type="paragraph" w:customStyle="1" w:styleId="Para1s">
    <w:name w:val="Para:1:s"/>
    <w:basedOn w:val="Para0s"/>
    <w:rsid w:val="00C0474F"/>
    <w:pPr>
      <w:ind w:left="720"/>
    </w:pPr>
  </w:style>
  <w:style w:type="paragraph" w:customStyle="1" w:styleId="Para2s">
    <w:name w:val="Para:2:s"/>
    <w:basedOn w:val="Para0s"/>
    <w:rsid w:val="00C0474F"/>
    <w:pPr>
      <w:ind w:left="1440"/>
    </w:pPr>
  </w:style>
  <w:style w:type="paragraph" w:customStyle="1" w:styleId="SOP-Head">
    <w:name w:val="SOP-Head"/>
    <w:rsid w:val="00C0474F"/>
    <w:rPr>
      <w:b/>
      <w:bCs/>
      <w:noProof/>
      <w:snapToGrid w:val="0"/>
      <w:sz w:val="24"/>
      <w:szCs w:val="24"/>
      <w:lang w:val="en-US" w:eastAsia="en-US"/>
    </w:rPr>
  </w:style>
  <w:style w:type="paragraph" w:customStyle="1" w:styleId="Para0d">
    <w:name w:val="Para:0:d"/>
    <w:basedOn w:val="Para0s"/>
    <w:rsid w:val="00C0474F"/>
    <w:pPr>
      <w:spacing w:line="480" w:lineRule="auto"/>
    </w:pPr>
  </w:style>
  <w:style w:type="paragraph" w:customStyle="1" w:styleId="Para1d">
    <w:name w:val="Para:1:d"/>
    <w:basedOn w:val="Para1s"/>
    <w:rsid w:val="00C0474F"/>
    <w:pPr>
      <w:spacing w:line="480" w:lineRule="auto"/>
    </w:pPr>
  </w:style>
  <w:style w:type="paragraph" w:customStyle="1" w:styleId="Para2d">
    <w:name w:val="Para:2:d"/>
    <w:basedOn w:val="Para2s"/>
    <w:rsid w:val="00C0474F"/>
    <w:pPr>
      <w:spacing w:line="480" w:lineRule="auto"/>
    </w:pPr>
  </w:style>
  <w:style w:type="paragraph" w:customStyle="1" w:styleId="ParaKT0s">
    <w:name w:val="ParaKT:0:s"/>
    <w:basedOn w:val="Para0s"/>
    <w:next w:val="Para0s"/>
    <w:rsid w:val="00C0474F"/>
    <w:pPr>
      <w:keepNext/>
      <w:keepLines/>
    </w:pPr>
  </w:style>
  <w:style w:type="paragraph" w:customStyle="1" w:styleId="ParaKT0sb">
    <w:name w:val="ParaKT:0:sb"/>
    <w:basedOn w:val="Para0sb"/>
    <w:next w:val="Para0s"/>
    <w:rsid w:val="00C0474F"/>
    <w:pPr>
      <w:keepNext/>
      <w:keepLines/>
    </w:pPr>
  </w:style>
  <w:style w:type="paragraph" w:customStyle="1" w:styleId="nlist0s">
    <w:name w:val="nlist:0:s"/>
    <w:basedOn w:val="1Style"/>
    <w:rsid w:val="00C0474F"/>
    <w:pPr>
      <w:spacing w:before="80" w:after="80"/>
      <w:ind w:left="357" w:hanging="357"/>
    </w:pPr>
  </w:style>
  <w:style w:type="paragraph" w:customStyle="1" w:styleId="ReportTitle">
    <w:name w:val="ReportTitle"/>
    <w:basedOn w:val="1Style"/>
    <w:next w:val="Para0s"/>
    <w:rsid w:val="00C0474F"/>
    <w:rPr>
      <w:b/>
      <w:bCs/>
      <w:sz w:val="28"/>
      <w:szCs w:val="28"/>
    </w:rPr>
  </w:style>
  <w:style w:type="paragraph" w:customStyle="1" w:styleId="Smalltext90">
    <w:name w:val="Smalltext9:0"/>
    <w:basedOn w:val="Para0s"/>
    <w:rsid w:val="00C0474F"/>
    <w:pPr>
      <w:spacing w:after="0"/>
    </w:pPr>
    <w:rPr>
      <w:sz w:val="18"/>
      <w:szCs w:val="18"/>
    </w:rPr>
  </w:style>
  <w:style w:type="character" w:customStyle="1" w:styleId="ProductName">
    <w:name w:val="Product Name"/>
    <w:rsid w:val="00C0474F"/>
    <w:rPr>
      <w:rFonts w:ascii="Times New Roman" w:hAnsi="Times New Roman" w:cs="Times New Roman"/>
      <w:b/>
      <w:bCs/>
      <w:caps/>
      <w:color w:val="auto"/>
      <w:sz w:val="24"/>
      <w:szCs w:val="24"/>
      <w:vertAlign w:val="baseline"/>
    </w:rPr>
  </w:style>
  <w:style w:type="paragraph" w:customStyle="1" w:styleId="Bullet0dKT">
    <w:name w:val="Bullet:0:d:KT"/>
    <w:basedOn w:val="Bullet0d"/>
    <w:rsid w:val="00C0474F"/>
    <w:pPr>
      <w:keepNext/>
      <w:keepLines/>
      <w:ind w:left="360" w:hanging="360"/>
    </w:pPr>
  </w:style>
  <w:style w:type="paragraph" w:customStyle="1" w:styleId="Unter10">
    <w:name w:val="Unter 10"/>
    <w:basedOn w:val="9"/>
    <w:rsid w:val="00C0474F"/>
    <w:pPr>
      <w:keepLines/>
      <w:numPr>
        <w:ilvl w:val="0"/>
        <w:numId w:val="0"/>
      </w:numPr>
      <w:spacing w:before="20" w:after="120"/>
      <w:outlineLvl w:val="9"/>
    </w:pPr>
    <w:rPr>
      <w:b w:val="0"/>
      <w:bCs w:val="0"/>
      <w:u w:val="single"/>
    </w:rPr>
  </w:style>
  <w:style w:type="paragraph" w:styleId="10">
    <w:name w:val="toc 1"/>
    <w:basedOn w:val="1Style"/>
    <w:next w:val="Para0s"/>
    <w:autoRedefine/>
    <w:semiHidden/>
    <w:rsid w:val="00C0474F"/>
    <w:pPr>
      <w:keepLines/>
      <w:tabs>
        <w:tab w:val="left" w:pos="936"/>
        <w:tab w:val="right" w:leader="dot" w:pos="7200"/>
        <w:tab w:val="right" w:leader="dot" w:pos="9356"/>
      </w:tabs>
      <w:spacing w:before="160" w:after="80"/>
      <w:ind w:left="369" w:right="2880" w:hanging="369"/>
    </w:pPr>
  </w:style>
  <w:style w:type="paragraph" w:styleId="20">
    <w:name w:val="toc 2"/>
    <w:basedOn w:val="10"/>
    <w:next w:val="Para0s"/>
    <w:autoRedefine/>
    <w:semiHidden/>
    <w:rsid w:val="00C0474F"/>
    <w:pPr>
      <w:tabs>
        <w:tab w:val="clear" w:pos="936"/>
        <w:tab w:val="left" w:pos="1418"/>
      </w:tabs>
      <w:spacing w:before="0"/>
      <w:ind w:left="851" w:hanging="482"/>
    </w:pPr>
  </w:style>
  <w:style w:type="paragraph" w:styleId="30">
    <w:name w:val="toc 3"/>
    <w:basedOn w:val="10"/>
    <w:next w:val="Para0s"/>
    <w:autoRedefine/>
    <w:semiHidden/>
    <w:rsid w:val="00C0474F"/>
    <w:pPr>
      <w:tabs>
        <w:tab w:val="clear" w:pos="936"/>
        <w:tab w:val="left" w:pos="1627"/>
      </w:tabs>
      <w:spacing w:before="0"/>
      <w:ind w:left="1061" w:hanging="692"/>
    </w:pPr>
  </w:style>
  <w:style w:type="paragraph" w:styleId="40">
    <w:name w:val="toc 4"/>
    <w:basedOn w:val="10"/>
    <w:next w:val="Para0s"/>
    <w:autoRedefine/>
    <w:semiHidden/>
    <w:rsid w:val="00C0474F"/>
    <w:pPr>
      <w:tabs>
        <w:tab w:val="clear" w:pos="936"/>
        <w:tab w:val="left" w:pos="1797"/>
      </w:tabs>
      <w:spacing w:before="0"/>
      <w:ind w:left="1231" w:hanging="862"/>
    </w:pPr>
  </w:style>
  <w:style w:type="paragraph" w:customStyle="1" w:styleId="list2d">
    <w:name w:val="list:2:d"/>
    <w:basedOn w:val="list0d"/>
    <w:rsid w:val="00C0474F"/>
    <w:pPr>
      <w:ind w:left="1800"/>
    </w:pPr>
  </w:style>
  <w:style w:type="paragraph" w:customStyle="1" w:styleId="list0s">
    <w:name w:val="list:0:s"/>
    <w:basedOn w:val="1Style"/>
    <w:rsid w:val="00C0474F"/>
    <w:pPr>
      <w:spacing w:before="40" w:after="40"/>
      <w:ind w:left="360" w:hanging="360"/>
    </w:pPr>
  </w:style>
  <w:style w:type="paragraph" w:styleId="a7">
    <w:name w:val="caption"/>
    <w:basedOn w:val="1Style"/>
    <w:next w:val="Para0s"/>
    <w:qFormat/>
    <w:rsid w:val="00C0474F"/>
    <w:pPr>
      <w:keepNext/>
      <w:tabs>
        <w:tab w:val="left" w:pos="1559"/>
      </w:tabs>
      <w:spacing w:after="120"/>
      <w:ind w:left="1559" w:hanging="1559"/>
    </w:pPr>
    <w:rPr>
      <w:b/>
      <w:bCs/>
      <w:sz w:val="18"/>
      <w:szCs w:val="18"/>
    </w:rPr>
  </w:style>
  <w:style w:type="paragraph" w:styleId="a8">
    <w:name w:val="table of figures"/>
    <w:basedOn w:val="1Style"/>
    <w:next w:val="Para0s"/>
    <w:semiHidden/>
    <w:rsid w:val="00C0474F"/>
    <w:pPr>
      <w:tabs>
        <w:tab w:val="right" w:leader="dot" w:pos="7200"/>
        <w:tab w:val="right" w:leader="dot" w:pos="9356"/>
      </w:tabs>
      <w:ind w:left="851" w:right="2880" w:hanging="851"/>
    </w:pPr>
    <w:rPr>
      <w:sz w:val="18"/>
      <w:szCs w:val="18"/>
    </w:rPr>
  </w:style>
  <w:style w:type="paragraph" w:customStyle="1" w:styleId="list3d">
    <w:name w:val="list:3:d"/>
    <w:basedOn w:val="list0d"/>
    <w:rsid w:val="00C0474F"/>
    <w:pPr>
      <w:ind w:left="2520"/>
    </w:pPr>
  </w:style>
  <w:style w:type="paragraph" w:customStyle="1" w:styleId="Mono8">
    <w:name w:val="Mono:8"/>
    <w:basedOn w:val="1Style"/>
    <w:rsid w:val="00C0474F"/>
    <w:pPr>
      <w:spacing w:after="0"/>
    </w:pPr>
    <w:rPr>
      <w:sz w:val="16"/>
      <w:szCs w:val="16"/>
    </w:rPr>
  </w:style>
  <w:style w:type="paragraph" w:customStyle="1" w:styleId="Mono8np">
    <w:name w:val="Mono:8:np"/>
    <w:basedOn w:val="Mono8"/>
    <w:next w:val="Mono8"/>
    <w:rsid w:val="00C0474F"/>
    <w:pPr>
      <w:pageBreakBefore/>
    </w:pPr>
  </w:style>
  <w:style w:type="paragraph" w:customStyle="1" w:styleId="list0d">
    <w:name w:val="list:0:d"/>
    <w:basedOn w:val="list0s"/>
    <w:rsid w:val="00C0474F"/>
    <w:pPr>
      <w:spacing w:after="220"/>
      <w:ind w:left="357" w:hanging="357"/>
    </w:pPr>
  </w:style>
  <w:style w:type="paragraph" w:customStyle="1" w:styleId="Smalltext120b">
    <w:name w:val="Smalltext12:0:b"/>
    <w:basedOn w:val="Smalltext120"/>
    <w:rsid w:val="00C0474F"/>
    <w:rPr>
      <w:b/>
      <w:bCs/>
    </w:rPr>
  </w:style>
  <w:style w:type="paragraph" w:customStyle="1" w:styleId="list1d">
    <w:name w:val="list:1:d"/>
    <w:basedOn w:val="list0d"/>
    <w:rsid w:val="00C0474F"/>
    <w:pPr>
      <w:ind w:left="1083"/>
    </w:pPr>
  </w:style>
  <w:style w:type="paragraph" w:customStyle="1" w:styleId="list1s">
    <w:name w:val="list:1:s"/>
    <w:basedOn w:val="list0s"/>
    <w:rsid w:val="00C0474F"/>
    <w:pPr>
      <w:ind w:left="1083"/>
    </w:pPr>
  </w:style>
  <w:style w:type="paragraph" w:customStyle="1" w:styleId="list2s">
    <w:name w:val="list:2:s"/>
    <w:basedOn w:val="list0s"/>
    <w:rsid w:val="00C0474F"/>
    <w:pPr>
      <w:ind w:left="1797" w:hanging="357"/>
    </w:pPr>
  </w:style>
  <w:style w:type="paragraph" w:customStyle="1" w:styleId="list3s">
    <w:name w:val="list:3:s"/>
    <w:basedOn w:val="list0s"/>
    <w:rsid w:val="00C0474F"/>
    <w:pPr>
      <w:ind w:left="2517" w:hanging="357"/>
    </w:pPr>
  </w:style>
  <w:style w:type="paragraph" w:customStyle="1" w:styleId="nlist0d">
    <w:name w:val="nlist:0:d"/>
    <w:basedOn w:val="nlist0s"/>
    <w:rsid w:val="00C0474F"/>
    <w:pPr>
      <w:spacing w:after="220"/>
    </w:pPr>
  </w:style>
  <w:style w:type="paragraph" w:customStyle="1" w:styleId="nlist1d">
    <w:name w:val="nlist:1:d"/>
    <w:basedOn w:val="nlist0d"/>
    <w:rsid w:val="00C0474F"/>
    <w:pPr>
      <w:ind w:left="1083"/>
    </w:pPr>
  </w:style>
  <w:style w:type="paragraph" w:customStyle="1" w:styleId="nlist1s">
    <w:name w:val="nlist:1:s"/>
    <w:basedOn w:val="nlist0s"/>
    <w:rsid w:val="00C0474F"/>
    <w:pPr>
      <w:ind w:left="1083"/>
    </w:pPr>
  </w:style>
  <w:style w:type="paragraph" w:customStyle="1" w:styleId="SasTitle">
    <w:name w:val="SasTitle"/>
    <w:basedOn w:val="Mono8"/>
    <w:next w:val="Mono8"/>
    <w:rsid w:val="00C0474F"/>
  </w:style>
  <w:style w:type="paragraph" w:customStyle="1" w:styleId="TOCSas">
    <w:name w:val="TOCSas"/>
    <w:basedOn w:val="10"/>
    <w:rsid w:val="00C0474F"/>
    <w:pPr>
      <w:tabs>
        <w:tab w:val="clear" w:pos="9356"/>
        <w:tab w:val="left" w:pos="0"/>
        <w:tab w:val="left" w:pos="1080"/>
        <w:tab w:val="right" w:leader="dot" w:pos="9360"/>
      </w:tabs>
      <w:ind w:left="1080" w:hanging="1080"/>
    </w:pPr>
  </w:style>
  <w:style w:type="paragraph" w:styleId="50">
    <w:name w:val="toc 5"/>
    <w:basedOn w:val="10"/>
    <w:next w:val="Para0s"/>
    <w:autoRedefine/>
    <w:semiHidden/>
    <w:rsid w:val="00C0474F"/>
    <w:pPr>
      <w:tabs>
        <w:tab w:val="clear" w:pos="936"/>
        <w:tab w:val="left" w:pos="1985"/>
      </w:tabs>
      <w:spacing w:before="0"/>
      <w:ind w:left="1418" w:hanging="1049"/>
    </w:pPr>
  </w:style>
  <w:style w:type="paragraph" w:styleId="60">
    <w:name w:val="toc 6"/>
    <w:basedOn w:val="10"/>
    <w:next w:val="Para0s"/>
    <w:autoRedefine/>
    <w:semiHidden/>
    <w:rsid w:val="00C0474F"/>
    <w:pPr>
      <w:tabs>
        <w:tab w:val="clear" w:pos="936"/>
        <w:tab w:val="left" w:pos="2183"/>
      </w:tabs>
      <w:spacing w:before="0"/>
      <w:ind w:left="1616" w:hanging="1247"/>
    </w:pPr>
  </w:style>
  <w:style w:type="paragraph" w:styleId="70">
    <w:name w:val="toc 7"/>
    <w:basedOn w:val="10"/>
    <w:next w:val="Para0s"/>
    <w:autoRedefine/>
    <w:semiHidden/>
    <w:rsid w:val="00C0474F"/>
    <w:pPr>
      <w:tabs>
        <w:tab w:val="clear" w:pos="936"/>
        <w:tab w:val="left" w:pos="2364"/>
      </w:tabs>
      <w:spacing w:before="0"/>
      <w:ind w:left="1798" w:hanging="1429"/>
    </w:pPr>
  </w:style>
  <w:style w:type="paragraph" w:styleId="80">
    <w:name w:val="toc 8"/>
    <w:basedOn w:val="10"/>
    <w:next w:val="Para0s"/>
    <w:autoRedefine/>
    <w:semiHidden/>
    <w:rsid w:val="00C0474F"/>
    <w:pPr>
      <w:tabs>
        <w:tab w:val="clear" w:pos="936"/>
        <w:tab w:val="left" w:pos="2580"/>
      </w:tabs>
      <w:spacing w:before="0"/>
      <w:ind w:left="1996" w:hanging="1627"/>
    </w:pPr>
  </w:style>
  <w:style w:type="paragraph" w:styleId="90">
    <w:name w:val="toc 9"/>
    <w:basedOn w:val="10"/>
    <w:next w:val="Para0s"/>
    <w:autoRedefine/>
    <w:semiHidden/>
    <w:rsid w:val="00C0474F"/>
    <w:pPr>
      <w:tabs>
        <w:tab w:val="clear" w:pos="936"/>
        <w:tab w:val="left" w:pos="2750"/>
      </w:tabs>
      <w:spacing w:before="0"/>
      <w:ind w:left="2183" w:hanging="1814"/>
    </w:pPr>
  </w:style>
  <w:style w:type="paragraph" w:customStyle="1" w:styleId="nlist2s">
    <w:name w:val="nlist:2:s"/>
    <w:basedOn w:val="nlist0s"/>
    <w:rsid w:val="00C0474F"/>
    <w:pPr>
      <w:ind w:left="1800"/>
    </w:pPr>
  </w:style>
  <w:style w:type="paragraph" w:customStyle="1" w:styleId="nlist2d">
    <w:name w:val="nlist:2:d"/>
    <w:basedOn w:val="nlist0d"/>
    <w:rsid w:val="00C0474F"/>
    <w:pPr>
      <w:ind w:left="1800"/>
    </w:pPr>
  </w:style>
  <w:style w:type="paragraph" w:customStyle="1" w:styleId="Legend">
    <w:name w:val="Legend"/>
    <w:basedOn w:val="1Style"/>
    <w:rsid w:val="00C0474F"/>
    <w:pPr>
      <w:keepNext/>
      <w:tabs>
        <w:tab w:val="left" w:pos="1559"/>
      </w:tabs>
      <w:spacing w:after="120"/>
      <w:ind w:left="1559"/>
    </w:pPr>
    <w:rPr>
      <w:sz w:val="18"/>
      <w:szCs w:val="18"/>
    </w:rPr>
  </w:style>
  <w:style w:type="paragraph" w:customStyle="1" w:styleId="Hanging2s">
    <w:name w:val="Hanging:2:s"/>
    <w:basedOn w:val="Para0s"/>
    <w:rsid w:val="00C0474F"/>
    <w:pPr>
      <w:keepNext/>
      <w:ind w:left="1440" w:hanging="1440"/>
    </w:pPr>
  </w:style>
  <w:style w:type="paragraph" w:customStyle="1" w:styleId="Hanging4s">
    <w:name w:val="Hanging:4:s"/>
    <w:basedOn w:val="Hanging2s"/>
    <w:rsid w:val="00C0474F"/>
    <w:pPr>
      <w:ind w:left="2880" w:hanging="2880"/>
    </w:pPr>
  </w:style>
  <w:style w:type="paragraph" w:customStyle="1" w:styleId="Hanging6s">
    <w:name w:val="Hanging:6:s"/>
    <w:basedOn w:val="Hanging2s"/>
    <w:rsid w:val="00C0474F"/>
    <w:pPr>
      <w:ind w:left="4320" w:hanging="4320"/>
    </w:pPr>
  </w:style>
  <w:style w:type="paragraph" w:customStyle="1" w:styleId="Unter100">
    <w:name w:val="Unter10"/>
    <w:basedOn w:val="9"/>
    <w:next w:val="Para0s"/>
    <w:rsid w:val="00C0474F"/>
    <w:pPr>
      <w:keepLines/>
      <w:numPr>
        <w:ilvl w:val="0"/>
        <w:numId w:val="0"/>
      </w:numPr>
      <w:spacing w:before="20" w:after="120"/>
      <w:outlineLvl w:val="9"/>
    </w:pPr>
    <w:rPr>
      <w:b w:val="0"/>
      <w:bCs w:val="0"/>
      <w:u w:val="single"/>
    </w:rPr>
  </w:style>
  <w:style w:type="paragraph" w:customStyle="1" w:styleId="Smalltext120">
    <w:name w:val="Smalltext12:0"/>
    <w:basedOn w:val="Para0s"/>
    <w:rsid w:val="00C0474F"/>
    <w:pPr>
      <w:spacing w:after="0"/>
    </w:pPr>
  </w:style>
  <w:style w:type="paragraph" w:customStyle="1" w:styleId="centereds">
    <w:name w:val="centered:s"/>
    <w:basedOn w:val="1Style"/>
    <w:rsid w:val="00C0474F"/>
    <w:pPr>
      <w:spacing w:after="40"/>
      <w:jc w:val="center"/>
    </w:pPr>
  </w:style>
  <w:style w:type="paragraph" w:customStyle="1" w:styleId="centeredd">
    <w:name w:val="centered:d"/>
    <w:basedOn w:val="centereds"/>
    <w:rsid w:val="00C0474F"/>
    <w:pPr>
      <w:spacing w:after="220"/>
    </w:pPr>
  </w:style>
  <w:style w:type="paragraph" w:customStyle="1" w:styleId="centeredsb">
    <w:name w:val="centered:s:b"/>
    <w:basedOn w:val="centereds"/>
    <w:rsid w:val="00C0474F"/>
    <w:rPr>
      <w:b/>
      <w:bCs/>
    </w:rPr>
  </w:style>
  <w:style w:type="paragraph" w:customStyle="1" w:styleId="centereddb">
    <w:name w:val="centered:d:b"/>
    <w:basedOn w:val="centeredd"/>
    <w:rsid w:val="00C0474F"/>
    <w:rPr>
      <w:b/>
      <w:bCs/>
    </w:rPr>
  </w:style>
  <w:style w:type="paragraph" w:customStyle="1" w:styleId="Mono9">
    <w:name w:val="Mono:9"/>
    <w:basedOn w:val="Mono8"/>
    <w:rsid w:val="00C0474F"/>
    <w:rPr>
      <w:sz w:val="18"/>
      <w:szCs w:val="18"/>
    </w:rPr>
  </w:style>
  <w:style w:type="paragraph" w:customStyle="1" w:styleId="Mono10">
    <w:name w:val="Mono:10"/>
    <w:basedOn w:val="Mono8"/>
    <w:rsid w:val="00C0474F"/>
    <w:rPr>
      <w:sz w:val="20"/>
      <w:szCs w:val="20"/>
    </w:rPr>
  </w:style>
  <w:style w:type="paragraph" w:customStyle="1" w:styleId="Mono7">
    <w:name w:val="Mono:7"/>
    <w:basedOn w:val="Mono8"/>
    <w:rsid w:val="00C0474F"/>
    <w:rPr>
      <w:sz w:val="14"/>
      <w:szCs w:val="14"/>
    </w:rPr>
  </w:style>
  <w:style w:type="paragraph" w:customStyle="1" w:styleId="Mono11">
    <w:name w:val="Mono:11"/>
    <w:basedOn w:val="Mono8"/>
    <w:rsid w:val="00C0474F"/>
    <w:rPr>
      <w:sz w:val="22"/>
      <w:szCs w:val="22"/>
    </w:rPr>
  </w:style>
  <w:style w:type="paragraph" w:customStyle="1" w:styleId="Table120b">
    <w:name w:val="Table12:0:b"/>
    <w:basedOn w:val="Table120"/>
    <w:rsid w:val="00C0474F"/>
    <w:rPr>
      <w:b/>
      <w:bCs/>
    </w:rPr>
  </w:style>
  <w:style w:type="paragraph" w:customStyle="1" w:styleId="Smalltext100">
    <w:name w:val="Smalltext10:0"/>
    <w:basedOn w:val="Para0s"/>
    <w:rsid w:val="00C0474F"/>
    <w:pPr>
      <w:spacing w:after="0"/>
    </w:pPr>
    <w:rPr>
      <w:sz w:val="20"/>
      <w:szCs w:val="20"/>
    </w:rPr>
  </w:style>
  <w:style w:type="paragraph" w:customStyle="1" w:styleId="Xspace40">
    <w:name w:val="Xspace4:0"/>
    <w:basedOn w:val="Smalltext120"/>
    <w:rsid w:val="00C0474F"/>
    <w:rPr>
      <w:sz w:val="8"/>
      <w:szCs w:val="8"/>
    </w:rPr>
  </w:style>
  <w:style w:type="paragraph" w:customStyle="1" w:styleId="Table120">
    <w:name w:val="Table12:0"/>
    <w:basedOn w:val="Para0s"/>
    <w:rsid w:val="00C0474F"/>
    <w:pPr>
      <w:keepNext/>
      <w:spacing w:before="80" w:after="80"/>
    </w:pPr>
  </w:style>
  <w:style w:type="paragraph" w:customStyle="1" w:styleId="Table100">
    <w:name w:val="Table10:0"/>
    <w:basedOn w:val="Table120"/>
    <w:rsid w:val="00C0474F"/>
    <w:pPr>
      <w:spacing w:before="60" w:after="60"/>
    </w:pPr>
    <w:rPr>
      <w:sz w:val="20"/>
      <w:szCs w:val="20"/>
    </w:rPr>
  </w:style>
  <w:style w:type="paragraph" w:styleId="a9">
    <w:name w:val="Document Map"/>
    <w:basedOn w:val="a"/>
    <w:semiHidden/>
    <w:rsid w:val="00C0474F"/>
    <w:pPr>
      <w:shd w:val="clear" w:color="auto" w:fill="000080"/>
    </w:pPr>
    <w:rPr>
      <w:rFonts w:ascii="Times New Roman" w:hAnsi="Times New Roman"/>
    </w:rPr>
  </w:style>
  <w:style w:type="paragraph" w:styleId="aa">
    <w:name w:val="annotation text"/>
    <w:basedOn w:val="a"/>
    <w:semiHidden/>
    <w:rsid w:val="00C0474F"/>
    <w:pPr>
      <w:spacing w:after="0"/>
    </w:pPr>
    <w:rPr>
      <w:rFonts w:ascii="Arial" w:hAnsi="Arial" w:cs="Arial"/>
      <w:sz w:val="20"/>
      <w:szCs w:val="20"/>
      <w:lang w:val="de-DE"/>
    </w:rPr>
  </w:style>
  <w:style w:type="paragraph" w:styleId="ab">
    <w:name w:val="endnote text"/>
    <w:basedOn w:val="a"/>
    <w:semiHidden/>
    <w:rsid w:val="00C0474F"/>
    <w:rPr>
      <w:sz w:val="20"/>
      <w:szCs w:val="20"/>
    </w:rPr>
  </w:style>
  <w:style w:type="paragraph" w:styleId="ac">
    <w:name w:val="Body Text"/>
    <w:basedOn w:val="a"/>
    <w:rsid w:val="00C0474F"/>
    <w:pPr>
      <w:spacing w:after="0"/>
    </w:pPr>
    <w:rPr>
      <w:rFonts w:ascii="Arial" w:hAnsi="Arial" w:cs="Arial"/>
      <w:i/>
      <w:iCs/>
      <w:color w:val="0000FF"/>
      <w:sz w:val="24"/>
      <w:szCs w:val="24"/>
      <w:u w:val="double"/>
      <w:lang w:val="de-DE"/>
    </w:rPr>
  </w:style>
  <w:style w:type="paragraph" w:styleId="ad">
    <w:name w:val="Body Text Indent"/>
    <w:basedOn w:val="a"/>
    <w:rsid w:val="00C0474F"/>
    <w:pPr>
      <w:spacing w:after="0"/>
    </w:pPr>
    <w:rPr>
      <w:color w:val="0000FF"/>
      <w:u w:val="double"/>
      <w:lang w:val="de-DE"/>
    </w:rPr>
  </w:style>
  <w:style w:type="character" w:styleId="ae">
    <w:name w:val="endnote reference"/>
    <w:semiHidden/>
    <w:rsid w:val="00C0474F"/>
    <w:rPr>
      <w:vertAlign w:val="superscript"/>
    </w:rPr>
  </w:style>
  <w:style w:type="paragraph" w:customStyle="1" w:styleId="Indent1">
    <w:name w:val="Indent1"/>
    <w:basedOn w:val="a"/>
    <w:rsid w:val="00C0474F"/>
    <w:pPr>
      <w:spacing w:after="120" w:line="300" w:lineRule="atLeast"/>
      <w:ind w:left="709"/>
    </w:pPr>
    <w:rPr>
      <w:rFonts w:ascii="Arial" w:hAnsi="Arial" w:cs="Arial"/>
      <w:lang w:val="en-GB"/>
    </w:rPr>
  </w:style>
  <w:style w:type="paragraph" w:customStyle="1" w:styleId="berschrift10">
    <w:name w:val="Überschrift 10"/>
    <w:basedOn w:val="9"/>
    <w:rsid w:val="00C0474F"/>
    <w:pPr>
      <w:numPr>
        <w:ilvl w:val="0"/>
        <w:numId w:val="0"/>
      </w:numPr>
      <w:tabs>
        <w:tab w:val="num" w:pos="726"/>
      </w:tabs>
      <w:spacing w:before="20" w:after="120"/>
      <w:ind w:hanging="726"/>
      <w:outlineLvl w:val="9"/>
    </w:pPr>
    <w:rPr>
      <w:rFonts w:ascii="Helvetica" w:hAnsi="Helvetica"/>
      <w:b w:val="0"/>
      <w:bCs w:val="0"/>
      <w:sz w:val="22"/>
      <w:szCs w:val="22"/>
      <w:u w:val="single"/>
    </w:rPr>
  </w:style>
  <w:style w:type="paragraph" w:styleId="af">
    <w:name w:val="Balloon Text"/>
    <w:basedOn w:val="a"/>
    <w:rsid w:val="00C0474F"/>
    <w:rPr>
      <w:rFonts w:ascii="Arial" w:hAnsi="Arial" w:cs="Arial"/>
      <w:sz w:val="16"/>
      <w:szCs w:val="16"/>
    </w:rPr>
  </w:style>
  <w:style w:type="character" w:styleId="af0">
    <w:name w:val="annotation reference"/>
    <w:semiHidden/>
    <w:rsid w:val="00C0474F"/>
    <w:rPr>
      <w:sz w:val="16"/>
      <w:szCs w:val="16"/>
    </w:rPr>
  </w:style>
  <w:style w:type="paragraph" w:styleId="af1">
    <w:name w:val="annotation subject"/>
    <w:basedOn w:val="aa"/>
    <w:next w:val="aa"/>
    <w:rsid w:val="00C0474F"/>
    <w:pPr>
      <w:spacing w:after="220"/>
    </w:pPr>
    <w:rPr>
      <w:rFonts w:ascii="Helvetica" w:hAnsi="Helvetica" w:cs="Times New Roman"/>
      <w:b/>
      <w:bCs/>
      <w:lang w:val="en-US"/>
    </w:rPr>
  </w:style>
  <w:style w:type="character" w:styleId="af2">
    <w:name w:val="Strong"/>
    <w:qFormat/>
    <w:rsid w:val="00C0474F"/>
    <w:rPr>
      <w:b/>
      <w:bCs/>
    </w:rPr>
  </w:style>
  <w:style w:type="character" w:styleId="-">
    <w:name w:val="Hyperlink"/>
    <w:rsid w:val="00C0474F"/>
    <w:rPr>
      <w:color w:val="0000FF"/>
      <w:u w:val="single"/>
    </w:rPr>
  </w:style>
  <w:style w:type="character" w:styleId="-0">
    <w:name w:val="FollowedHyperlink"/>
    <w:rsid w:val="00C0474F"/>
    <w:rPr>
      <w:color w:val="auto"/>
      <w:u w:val="single"/>
    </w:rPr>
  </w:style>
  <w:style w:type="character" w:customStyle="1" w:styleId="tw4winMark">
    <w:name w:val="tw4winMark"/>
    <w:rsid w:val="00C0474F"/>
    <w:rPr>
      <w:rFonts w:ascii="Courier New" w:hAnsi="Courier New" w:cs="Courier New"/>
      <w:vanish/>
      <w:color w:val="800080"/>
      <w:sz w:val="24"/>
      <w:szCs w:val="24"/>
      <w:vertAlign w:val="subscript"/>
    </w:rPr>
  </w:style>
  <w:style w:type="character" w:customStyle="1" w:styleId="tw4winError">
    <w:name w:val="tw4winError"/>
    <w:rsid w:val="00C0474F"/>
    <w:rPr>
      <w:rFonts w:ascii="Courier New" w:hAnsi="Courier New" w:cs="Courier New"/>
      <w:color w:val="00FF00"/>
      <w:sz w:val="40"/>
      <w:szCs w:val="40"/>
    </w:rPr>
  </w:style>
  <w:style w:type="character" w:customStyle="1" w:styleId="tw4winTerm">
    <w:name w:val="tw4winTerm"/>
    <w:rsid w:val="00C0474F"/>
    <w:rPr>
      <w:color w:val="0000FF"/>
    </w:rPr>
  </w:style>
  <w:style w:type="character" w:customStyle="1" w:styleId="tw4winPopup">
    <w:name w:val="tw4winPopup"/>
    <w:rsid w:val="00C0474F"/>
    <w:rPr>
      <w:rFonts w:ascii="Courier New" w:hAnsi="Courier New" w:cs="Courier New"/>
      <w:noProof/>
      <w:color w:val="008000"/>
    </w:rPr>
  </w:style>
  <w:style w:type="character" w:customStyle="1" w:styleId="tw4winJump">
    <w:name w:val="tw4winJump"/>
    <w:rsid w:val="00C0474F"/>
    <w:rPr>
      <w:rFonts w:ascii="Courier New" w:hAnsi="Courier New" w:cs="Courier New"/>
      <w:noProof/>
      <w:color w:val="008080"/>
    </w:rPr>
  </w:style>
  <w:style w:type="character" w:customStyle="1" w:styleId="tw4winExternal">
    <w:name w:val="tw4winExternal"/>
    <w:rsid w:val="00C0474F"/>
    <w:rPr>
      <w:rFonts w:ascii="Courier New" w:hAnsi="Courier New" w:cs="Courier New"/>
      <w:noProof/>
      <w:color w:val="808080"/>
    </w:rPr>
  </w:style>
  <w:style w:type="character" w:customStyle="1" w:styleId="tw4winInternal">
    <w:name w:val="tw4winInternal"/>
    <w:rsid w:val="00C0474F"/>
    <w:rPr>
      <w:rFonts w:ascii="Courier New" w:hAnsi="Courier New" w:cs="Courier New"/>
      <w:noProof/>
      <w:color w:val="FF0000"/>
    </w:rPr>
  </w:style>
  <w:style w:type="character" w:customStyle="1" w:styleId="DONOTTRANSLATE">
    <w:name w:val="DO_NOT_TRANSLATE"/>
    <w:rsid w:val="00C0474F"/>
    <w:rPr>
      <w:rFonts w:ascii="Courier New" w:hAnsi="Courier New" w:cs="Courier New"/>
      <w:noProof/>
      <w:color w:val="800000"/>
    </w:rPr>
  </w:style>
  <w:style w:type="table" w:styleId="af3">
    <w:name w:val="Table Grid"/>
    <w:basedOn w:val="a1"/>
    <w:rsid w:val="007B44C9"/>
    <w:pPr>
      <w:spacing w:after="2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fNormal">
    <w:name w:val="leafNormal"/>
    <w:rsid w:val="006A41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6" w:lineRule="auto"/>
      <w:ind w:left="708"/>
      <w:jc w:val="both"/>
    </w:pPr>
    <w:rPr>
      <w:rFonts w:ascii="Helvetica" w:hAnsi="Helvetica"/>
      <w:sz w:val="24"/>
      <w:lang w:val="en-US"/>
    </w:rPr>
  </w:style>
  <w:style w:type="character" w:styleId="af4">
    <w:name w:val="page number"/>
    <w:basedOn w:val="a0"/>
    <w:rsid w:val="00A44EE8"/>
  </w:style>
  <w:style w:type="paragraph" w:styleId="af5">
    <w:name w:val="Date"/>
    <w:basedOn w:val="a"/>
    <w:next w:val="a"/>
    <w:rsid w:val="008676D5"/>
  </w:style>
</w:styles>
</file>

<file path=word/webSettings.xml><?xml version="1.0" encoding="utf-8"?>
<w:webSettings xmlns:r="http://schemas.openxmlformats.org/officeDocument/2006/relationships" xmlns:w="http://schemas.openxmlformats.org/wordprocessingml/2006/main">
  <w:divs>
    <w:div w:id="1474643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7981</Words>
  <Characters>43100</Characters>
  <Application>Microsoft Office Word</Application>
  <DocSecurity>0</DocSecurity>
  <Lines>359</Lines>
  <Paragraphs>101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mt-g</Company>
  <LinksUpToDate>false</LinksUpToDate>
  <CharactersWithSpaces>50980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mt-g</dc:creator>
  <cp:lastModifiedBy>user146</cp:lastModifiedBy>
  <cp:revision>3</cp:revision>
  <cp:lastPrinted>2013-09-03T08:51:00Z</cp:lastPrinted>
  <dcterms:created xsi:type="dcterms:W3CDTF">2013-09-03T08:53:00Z</dcterms:created>
  <dcterms:modified xsi:type="dcterms:W3CDTF">2013-09-30T06:12:00Z</dcterms:modified>
</cp:coreProperties>
</file>