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1A" w:rsidRPr="007E4D87" w:rsidRDefault="0032661A" w:rsidP="0015495F">
      <w:pPr>
        <w:widowControl w:val="0"/>
        <w:rPr>
          <w:bCs/>
          <w:iCs/>
          <w:lang w:val="el-GR"/>
        </w:rPr>
      </w:pPr>
      <w:r w:rsidRPr="00587DB4">
        <w:rPr>
          <w:b/>
          <w:sz w:val="22"/>
          <w:szCs w:val="22"/>
          <w:lang w:val="el-GR"/>
        </w:rPr>
        <w:t>1.</w:t>
      </w:r>
      <w:r w:rsidRPr="00587DB4">
        <w:rPr>
          <w:sz w:val="22"/>
          <w:szCs w:val="22"/>
          <w:lang w:val="el-GR"/>
        </w:rPr>
        <w:tab/>
      </w:r>
      <w:r w:rsidRPr="00587DB4">
        <w:rPr>
          <w:b/>
          <w:sz w:val="22"/>
          <w:szCs w:val="22"/>
          <w:lang w:val="el-GR"/>
        </w:rPr>
        <w:t>ΟΝΟΜΑΣΙΑ ΤΟΥ ΦΑΡΜΑΚΕΥΤΙΚΟΥ ΠΡΟΪΟΝΤΟΣ</w:t>
      </w:r>
    </w:p>
    <w:p w:rsidR="0032661A" w:rsidRPr="00587DB4" w:rsidRDefault="00585172">
      <w:pPr>
        <w:rPr>
          <w:sz w:val="22"/>
          <w:szCs w:val="22"/>
          <w:lang w:val="el-GR"/>
        </w:rPr>
      </w:pPr>
      <w:r w:rsidRPr="00587DB4">
        <w:rPr>
          <w:sz w:val="22"/>
          <w:szCs w:val="22"/>
          <w:lang w:val="el-GR"/>
        </w:rPr>
        <w:t>Escitalopram/Actavis</w:t>
      </w:r>
      <w:r w:rsidR="001E0901" w:rsidRPr="00587DB4">
        <w:rPr>
          <w:sz w:val="22"/>
          <w:szCs w:val="22"/>
          <w:lang w:val="el-GR"/>
        </w:rPr>
        <w:t xml:space="preserve"> </w:t>
      </w:r>
      <w:r w:rsidR="0032661A" w:rsidRPr="00587DB4">
        <w:rPr>
          <w:sz w:val="22"/>
          <w:szCs w:val="22"/>
          <w:lang w:val="el-GR"/>
        </w:rPr>
        <w:t>5 mg επικαλυμμένα με λεπτό υμένιο δισκία</w:t>
      </w:r>
    </w:p>
    <w:p w:rsidR="0032661A" w:rsidRPr="00587DB4" w:rsidRDefault="00585172">
      <w:pPr>
        <w:rPr>
          <w:sz w:val="22"/>
          <w:szCs w:val="22"/>
          <w:lang w:val="el-GR"/>
        </w:rPr>
      </w:pPr>
      <w:r w:rsidRPr="00587DB4">
        <w:rPr>
          <w:sz w:val="22"/>
          <w:szCs w:val="22"/>
          <w:lang w:val="el-GR"/>
        </w:rPr>
        <w:t>Escitalopram/Actavis</w:t>
      </w:r>
      <w:r w:rsidR="001E0901" w:rsidRPr="00587DB4">
        <w:rPr>
          <w:sz w:val="22"/>
          <w:szCs w:val="22"/>
          <w:lang w:val="el-GR"/>
        </w:rPr>
        <w:t xml:space="preserve"> </w:t>
      </w:r>
      <w:r w:rsidR="0032661A" w:rsidRPr="00587DB4">
        <w:rPr>
          <w:sz w:val="22"/>
          <w:szCs w:val="22"/>
          <w:lang w:val="el-GR"/>
        </w:rPr>
        <w:t>10 mg επικαλυμμένα με λεπτό υμένιο δισκία</w:t>
      </w:r>
    </w:p>
    <w:p w:rsidR="0032661A" w:rsidRPr="00587DB4" w:rsidRDefault="00585172">
      <w:pPr>
        <w:rPr>
          <w:sz w:val="22"/>
          <w:szCs w:val="22"/>
          <w:lang w:val="el-GR"/>
        </w:rPr>
      </w:pPr>
      <w:r w:rsidRPr="00587DB4">
        <w:rPr>
          <w:sz w:val="22"/>
          <w:szCs w:val="22"/>
          <w:lang w:val="el-GR"/>
        </w:rPr>
        <w:t>Escitalopram/Actavis</w:t>
      </w:r>
      <w:r w:rsidR="001E0901" w:rsidRPr="00587DB4">
        <w:rPr>
          <w:sz w:val="22"/>
          <w:szCs w:val="22"/>
          <w:lang w:val="el-GR"/>
        </w:rPr>
        <w:t xml:space="preserve"> </w:t>
      </w:r>
      <w:r w:rsidR="0032661A" w:rsidRPr="00587DB4">
        <w:rPr>
          <w:sz w:val="22"/>
          <w:szCs w:val="22"/>
          <w:lang w:val="el-GR"/>
        </w:rPr>
        <w:t>15 mg επικαλυμμένα με λεπτό υμένιο δισκία</w:t>
      </w:r>
    </w:p>
    <w:p w:rsidR="0032661A" w:rsidRPr="00587DB4" w:rsidRDefault="00585172">
      <w:pPr>
        <w:rPr>
          <w:sz w:val="22"/>
          <w:szCs w:val="22"/>
          <w:lang w:val="el-GR"/>
        </w:rPr>
      </w:pPr>
      <w:r w:rsidRPr="00587DB4">
        <w:rPr>
          <w:sz w:val="22"/>
          <w:szCs w:val="22"/>
          <w:lang w:val="el-GR"/>
        </w:rPr>
        <w:t>Escitalopram/Actavis</w:t>
      </w:r>
      <w:r w:rsidR="001E0901" w:rsidRPr="00587DB4">
        <w:rPr>
          <w:sz w:val="22"/>
          <w:szCs w:val="22"/>
          <w:lang w:val="el-GR"/>
        </w:rPr>
        <w:t xml:space="preserve"> </w:t>
      </w:r>
      <w:r w:rsidR="0032661A" w:rsidRPr="00587DB4">
        <w:rPr>
          <w:sz w:val="22"/>
          <w:szCs w:val="22"/>
          <w:lang w:val="el-GR"/>
        </w:rPr>
        <w:t>20 mg επικαλυμμένα με λεπτό υμένιο δισκία</w:t>
      </w:r>
    </w:p>
    <w:p w:rsidR="0032661A" w:rsidRPr="00587DB4" w:rsidRDefault="0032661A">
      <w:pPr>
        <w:rPr>
          <w:sz w:val="22"/>
          <w:szCs w:val="22"/>
          <w:lang w:val="el-GR"/>
        </w:rPr>
      </w:pPr>
    </w:p>
    <w:p w:rsidR="0032661A" w:rsidRPr="00E81D8F" w:rsidRDefault="0032661A">
      <w:pPr>
        <w:widowControl w:val="0"/>
        <w:rPr>
          <w:sz w:val="22"/>
          <w:szCs w:val="22"/>
          <w:lang w:val="el-GR"/>
        </w:rPr>
      </w:pPr>
    </w:p>
    <w:p w:rsidR="0032661A" w:rsidRPr="007E4D87" w:rsidRDefault="0032661A" w:rsidP="0015495F">
      <w:pPr>
        <w:widowControl w:val="0"/>
        <w:rPr>
          <w:sz w:val="22"/>
          <w:szCs w:val="22"/>
          <w:lang w:val="el-GR"/>
        </w:rPr>
      </w:pPr>
      <w:r w:rsidRPr="00587DB4">
        <w:rPr>
          <w:b/>
          <w:sz w:val="22"/>
          <w:szCs w:val="22"/>
          <w:lang w:val="el-GR"/>
        </w:rPr>
        <w:t>2.</w:t>
      </w:r>
      <w:r w:rsidRPr="00587DB4">
        <w:rPr>
          <w:b/>
          <w:sz w:val="22"/>
          <w:szCs w:val="22"/>
          <w:lang w:val="el-GR"/>
        </w:rPr>
        <w:tab/>
        <w:t>ΠΟΙΟΤΙΚΗ ΚΑΙ ΠΟΣΟΤΙΚΗ ΣΥΝΘΕΣΗ</w:t>
      </w:r>
    </w:p>
    <w:p w:rsidR="0032661A" w:rsidRPr="00587DB4" w:rsidRDefault="00585172">
      <w:pPr>
        <w:rPr>
          <w:i/>
          <w:sz w:val="22"/>
          <w:szCs w:val="22"/>
          <w:lang w:val="el-GR"/>
        </w:rPr>
      </w:pPr>
      <w:r w:rsidRPr="00587DB4">
        <w:rPr>
          <w:i/>
          <w:sz w:val="22"/>
          <w:szCs w:val="22"/>
          <w:lang w:val="el-GR"/>
        </w:rPr>
        <w:t>Escitalopram/Actavis</w:t>
      </w:r>
      <w:r w:rsidR="001E0901" w:rsidRPr="00587DB4">
        <w:rPr>
          <w:i/>
          <w:sz w:val="22"/>
          <w:szCs w:val="22"/>
          <w:lang w:val="el-GR"/>
        </w:rPr>
        <w:t xml:space="preserve"> </w:t>
      </w:r>
      <w:r w:rsidR="0032661A" w:rsidRPr="00587DB4">
        <w:rPr>
          <w:i/>
          <w:sz w:val="22"/>
          <w:szCs w:val="22"/>
          <w:lang w:val="el-GR"/>
        </w:rPr>
        <w:t>5 mg</w:t>
      </w:r>
    </w:p>
    <w:p w:rsidR="0032661A" w:rsidRPr="0015495F" w:rsidRDefault="0032661A">
      <w:pPr>
        <w:rPr>
          <w:sz w:val="22"/>
          <w:szCs w:val="22"/>
          <w:lang w:val="el-GR"/>
        </w:rPr>
      </w:pPr>
      <w:r w:rsidRPr="00587DB4">
        <w:rPr>
          <w:sz w:val="22"/>
          <w:szCs w:val="22"/>
          <w:lang w:val="el-GR"/>
        </w:rPr>
        <w:t>Κάθε επικαλυμμένο με λεπτό υμένιο δισκίο περιέχει 5 mg εσιταλοπράμης (με τη μορφή οξαλικής εσιταλοπράμης)</w:t>
      </w:r>
    </w:p>
    <w:p w:rsidR="0032661A" w:rsidRPr="00587DB4" w:rsidRDefault="00585172">
      <w:pPr>
        <w:rPr>
          <w:i/>
          <w:sz w:val="22"/>
          <w:szCs w:val="22"/>
          <w:lang w:val="el-GR"/>
        </w:rPr>
      </w:pPr>
      <w:r w:rsidRPr="00587DB4">
        <w:rPr>
          <w:i/>
          <w:sz w:val="22"/>
          <w:szCs w:val="22"/>
          <w:lang w:val="el-GR"/>
        </w:rPr>
        <w:t>Escitalopram/Actavis</w:t>
      </w:r>
      <w:r w:rsidR="001E0901" w:rsidRPr="00587DB4">
        <w:rPr>
          <w:i/>
          <w:sz w:val="22"/>
          <w:szCs w:val="22"/>
          <w:lang w:val="el-GR"/>
        </w:rPr>
        <w:t xml:space="preserve"> </w:t>
      </w:r>
      <w:r w:rsidR="0032661A" w:rsidRPr="00587DB4">
        <w:rPr>
          <w:i/>
          <w:sz w:val="22"/>
          <w:szCs w:val="22"/>
          <w:lang w:val="el-GR"/>
        </w:rPr>
        <w:t>10 mg</w:t>
      </w:r>
    </w:p>
    <w:p w:rsidR="0032661A" w:rsidRPr="0015495F" w:rsidRDefault="0032661A">
      <w:pPr>
        <w:rPr>
          <w:sz w:val="22"/>
          <w:szCs w:val="22"/>
          <w:lang w:val="el-GR"/>
        </w:rPr>
      </w:pPr>
      <w:r w:rsidRPr="00587DB4">
        <w:rPr>
          <w:sz w:val="22"/>
          <w:szCs w:val="22"/>
          <w:lang w:val="el-GR"/>
        </w:rPr>
        <w:t>Κάθε επικαλυμμένο με λεπτό υμένιο δισκίο περιέχει 10 mg εσιταλοπράμης (με τη μορφή οξαλικής εσιταλοπράμης)</w:t>
      </w:r>
    </w:p>
    <w:p w:rsidR="0032661A" w:rsidRPr="00587DB4" w:rsidRDefault="00585172">
      <w:pPr>
        <w:rPr>
          <w:i/>
          <w:sz w:val="22"/>
          <w:szCs w:val="22"/>
          <w:lang w:val="el-GR"/>
        </w:rPr>
      </w:pPr>
      <w:r w:rsidRPr="00587DB4">
        <w:rPr>
          <w:i/>
          <w:sz w:val="22"/>
          <w:szCs w:val="22"/>
          <w:lang w:val="el-GR"/>
        </w:rPr>
        <w:t>Escitalopram/Actavis</w:t>
      </w:r>
      <w:r w:rsidR="001E0901" w:rsidRPr="00587DB4">
        <w:rPr>
          <w:i/>
          <w:sz w:val="22"/>
          <w:szCs w:val="22"/>
          <w:lang w:val="el-GR"/>
        </w:rPr>
        <w:t xml:space="preserve"> </w:t>
      </w:r>
      <w:r w:rsidR="0032661A" w:rsidRPr="00587DB4">
        <w:rPr>
          <w:i/>
          <w:sz w:val="22"/>
          <w:szCs w:val="22"/>
          <w:lang w:val="el-GR"/>
        </w:rPr>
        <w:t>15 mg</w:t>
      </w:r>
    </w:p>
    <w:p w:rsidR="0032661A" w:rsidRPr="0015495F" w:rsidRDefault="0032661A">
      <w:pPr>
        <w:rPr>
          <w:sz w:val="22"/>
          <w:szCs w:val="22"/>
          <w:lang w:val="el-GR"/>
        </w:rPr>
      </w:pPr>
      <w:r w:rsidRPr="00587DB4">
        <w:rPr>
          <w:sz w:val="22"/>
          <w:szCs w:val="22"/>
          <w:lang w:val="el-GR"/>
        </w:rPr>
        <w:t>Κάθε επικαλυμμένο με λεπτό υμένιο δισκίο περιέχει 15 mg εσιταλοπράμης (με τη μορφή οξαλικής εσιταλοπράμης)</w:t>
      </w:r>
    </w:p>
    <w:p w:rsidR="0032661A" w:rsidRPr="00587DB4" w:rsidRDefault="00585172">
      <w:pPr>
        <w:rPr>
          <w:i/>
          <w:sz w:val="22"/>
          <w:szCs w:val="22"/>
          <w:lang w:val="el-GR"/>
        </w:rPr>
      </w:pPr>
      <w:r w:rsidRPr="00587DB4">
        <w:rPr>
          <w:i/>
          <w:sz w:val="22"/>
          <w:szCs w:val="22"/>
          <w:lang w:val="el-GR"/>
        </w:rPr>
        <w:t>Escitalopram/Actavis</w:t>
      </w:r>
      <w:r w:rsidR="001E0901" w:rsidRPr="00587DB4">
        <w:rPr>
          <w:i/>
          <w:sz w:val="22"/>
          <w:szCs w:val="22"/>
          <w:lang w:val="el-GR"/>
        </w:rPr>
        <w:t xml:space="preserve"> </w:t>
      </w:r>
      <w:r w:rsidR="0032661A" w:rsidRPr="00587DB4">
        <w:rPr>
          <w:i/>
          <w:sz w:val="22"/>
          <w:szCs w:val="22"/>
          <w:lang w:val="el-GR"/>
        </w:rPr>
        <w:t>20 mg</w:t>
      </w:r>
    </w:p>
    <w:p w:rsidR="0032661A" w:rsidRPr="0015495F" w:rsidRDefault="0032661A" w:rsidP="0015495F">
      <w:pPr>
        <w:rPr>
          <w:sz w:val="22"/>
          <w:szCs w:val="22"/>
          <w:lang w:val="el-GR"/>
        </w:rPr>
      </w:pPr>
      <w:r w:rsidRPr="00587DB4">
        <w:rPr>
          <w:sz w:val="22"/>
          <w:szCs w:val="22"/>
          <w:lang w:val="el-GR"/>
        </w:rPr>
        <w:t>Κάθε επικαλυμμένο με λεπτό υμένιο δισκίο περιέχει 20 mg εσιταλοπράμης (με τη μορφή οξαλικής εσιταλοπράμης)</w:t>
      </w:r>
    </w:p>
    <w:p w:rsidR="0032661A" w:rsidRPr="00587DB4" w:rsidRDefault="0032661A">
      <w:pPr>
        <w:rPr>
          <w:sz w:val="22"/>
          <w:szCs w:val="22"/>
          <w:lang w:val="el-GR"/>
        </w:rPr>
      </w:pPr>
      <w:r w:rsidRPr="00587DB4">
        <w:rPr>
          <w:sz w:val="22"/>
          <w:szCs w:val="22"/>
          <w:lang w:val="el-GR"/>
        </w:rPr>
        <w:t>Για τον πλήρη κατάλογο των εκδόχων, βλ. παράγραφο 6.1.</w:t>
      </w:r>
    </w:p>
    <w:p w:rsidR="0032661A" w:rsidRPr="007E4D87" w:rsidRDefault="0032661A">
      <w:pPr>
        <w:rPr>
          <w:sz w:val="22"/>
          <w:szCs w:val="22"/>
          <w:lang w:val="el-GR"/>
        </w:rPr>
      </w:pPr>
    </w:p>
    <w:p w:rsidR="0032661A" w:rsidRPr="0015495F" w:rsidRDefault="0032661A" w:rsidP="0015495F">
      <w:pPr>
        <w:ind w:left="567" w:hanging="567"/>
        <w:rPr>
          <w:b/>
          <w:caps/>
          <w:sz w:val="22"/>
          <w:szCs w:val="22"/>
          <w:lang w:val="el-GR"/>
        </w:rPr>
      </w:pPr>
      <w:r w:rsidRPr="00587DB4">
        <w:rPr>
          <w:b/>
          <w:sz w:val="22"/>
          <w:szCs w:val="22"/>
          <w:lang w:val="el-GR"/>
        </w:rPr>
        <w:t>3.</w:t>
      </w:r>
      <w:r w:rsidRPr="00587DB4">
        <w:rPr>
          <w:b/>
          <w:sz w:val="22"/>
          <w:szCs w:val="22"/>
          <w:lang w:val="el-GR"/>
        </w:rPr>
        <w:tab/>
        <w:t>ΦΑΡΜΑΚΟΤΕΧΝΙΚΗ ΜΟΡΦΗ</w:t>
      </w:r>
    </w:p>
    <w:p w:rsidR="0032661A" w:rsidRPr="0015495F" w:rsidRDefault="0032661A">
      <w:pPr>
        <w:rPr>
          <w:sz w:val="22"/>
          <w:szCs w:val="22"/>
          <w:lang w:val="el-GR"/>
        </w:rPr>
      </w:pPr>
      <w:r w:rsidRPr="00587DB4">
        <w:rPr>
          <w:sz w:val="22"/>
          <w:szCs w:val="22"/>
          <w:lang w:val="el-GR"/>
        </w:rPr>
        <w:t>Επικαλυμμένο με λεπτό υμένιο δισκίο</w:t>
      </w:r>
    </w:p>
    <w:p w:rsidR="0032661A" w:rsidRPr="00587DB4" w:rsidRDefault="00585172">
      <w:pPr>
        <w:rPr>
          <w:i/>
          <w:sz w:val="22"/>
          <w:szCs w:val="22"/>
          <w:lang w:val="el-GR"/>
        </w:rPr>
      </w:pPr>
      <w:r w:rsidRPr="00587DB4">
        <w:rPr>
          <w:i/>
          <w:sz w:val="22"/>
          <w:szCs w:val="22"/>
          <w:lang w:val="el-GR"/>
        </w:rPr>
        <w:t>Escitalopram/Actavis</w:t>
      </w:r>
      <w:r w:rsidR="001E0901" w:rsidRPr="00587DB4">
        <w:rPr>
          <w:i/>
          <w:sz w:val="22"/>
          <w:szCs w:val="22"/>
          <w:lang w:val="el-GR"/>
        </w:rPr>
        <w:t xml:space="preserve"> </w:t>
      </w:r>
      <w:r w:rsidR="0032661A" w:rsidRPr="00587DB4">
        <w:rPr>
          <w:i/>
          <w:sz w:val="22"/>
          <w:szCs w:val="22"/>
          <w:lang w:val="el-GR"/>
        </w:rPr>
        <w:t>5 mg</w:t>
      </w:r>
    </w:p>
    <w:p w:rsidR="0032661A" w:rsidRPr="00203D2F" w:rsidRDefault="0032661A">
      <w:pPr>
        <w:rPr>
          <w:sz w:val="22"/>
          <w:szCs w:val="22"/>
          <w:lang w:val="el-GR"/>
        </w:rPr>
      </w:pPr>
      <w:r w:rsidRPr="00587DB4">
        <w:rPr>
          <w:sz w:val="22"/>
          <w:szCs w:val="22"/>
          <w:lang w:val="el-GR"/>
        </w:rPr>
        <w:t>Στρογγυλό, αμφίκυρτο, λευκού χρώματος επικαλυμμένο με λεπτό υμένιο δισκίο (διαμέτρου 6 mm)  με την ένδειξη “Ε” στη μία πλευρά.</w:t>
      </w:r>
    </w:p>
    <w:p w:rsidR="0032661A" w:rsidRPr="00587DB4" w:rsidRDefault="00585172">
      <w:pPr>
        <w:rPr>
          <w:i/>
          <w:sz w:val="22"/>
          <w:szCs w:val="22"/>
          <w:lang w:val="el-GR"/>
        </w:rPr>
      </w:pPr>
      <w:r w:rsidRPr="00587DB4">
        <w:rPr>
          <w:i/>
          <w:sz w:val="22"/>
          <w:szCs w:val="22"/>
          <w:lang w:val="el-GR"/>
        </w:rPr>
        <w:t>Escitalopram/Actavis</w:t>
      </w:r>
      <w:r w:rsidR="001E0901" w:rsidRPr="00587DB4">
        <w:rPr>
          <w:i/>
          <w:sz w:val="22"/>
          <w:szCs w:val="22"/>
          <w:lang w:val="el-GR"/>
        </w:rPr>
        <w:t xml:space="preserve"> </w:t>
      </w:r>
      <w:r w:rsidR="0032661A" w:rsidRPr="00587DB4">
        <w:rPr>
          <w:i/>
          <w:sz w:val="22"/>
          <w:szCs w:val="22"/>
          <w:lang w:val="el-GR"/>
        </w:rPr>
        <w:t>10 mg</w:t>
      </w:r>
    </w:p>
    <w:p w:rsidR="0032661A" w:rsidRPr="007E4D87" w:rsidRDefault="0032661A">
      <w:pPr>
        <w:rPr>
          <w:sz w:val="22"/>
          <w:szCs w:val="22"/>
          <w:lang w:val="el-GR"/>
        </w:rPr>
      </w:pPr>
      <w:r w:rsidRPr="00587DB4">
        <w:rPr>
          <w:sz w:val="22"/>
          <w:szCs w:val="22"/>
          <w:lang w:val="el-GR"/>
        </w:rPr>
        <w:t>Οβάλ, αμφίκυρτο, λευκού χρώματος, επικαλυμμένο με λεπτό υμένιο δισκίο (διαμέτρου 6,4 x 9,25 mm) με χαραγή στη μία πλευρά, χαραγή στα πλάγια και την ένδειξη “Ε” στην άλλη.</w:t>
      </w:r>
      <w:r w:rsidRPr="00587DB4">
        <w:rPr>
          <w:color w:val="000000"/>
          <w:sz w:val="22"/>
          <w:szCs w:val="22"/>
          <w:lang w:val="el-GR"/>
        </w:rPr>
        <w:t xml:space="preserve"> </w:t>
      </w:r>
      <w:r w:rsidRPr="00587DB4">
        <w:rPr>
          <w:sz w:val="22"/>
          <w:szCs w:val="22"/>
          <w:lang w:val="el-GR"/>
        </w:rPr>
        <w:t xml:space="preserve">Το δισκίο μπορεί να διαιρεθεί σε δύο </w:t>
      </w:r>
      <w:r w:rsidR="009D45C3" w:rsidRPr="00587DB4">
        <w:rPr>
          <w:sz w:val="22"/>
          <w:szCs w:val="22"/>
          <w:lang w:val="el-GR"/>
        </w:rPr>
        <w:t>ίσες δόσεις</w:t>
      </w:r>
      <w:r w:rsidRPr="00587DB4">
        <w:rPr>
          <w:sz w:val="22"/>
          <w:szCs w:val="22"/>
          <w:lang w:val="el-GR"/>
        </w:rPr>
        <w:t>.</w:t>
      </w:r>
    </w:p>
    <w:p w:rsidR="0032661A" w:rsidRPr="00587DB4" w:rsidRDefault="00585172">
      <w:pPr>
        <w:rPr>
          <w:i/>
          <w:sz w:val="22"/>
          <w:szCs w:val="22"/>
          <w:lang w:val="el-GR"/>
        </w:rPr>
      </w:pPr>
      <w:r w:rsidRPr="00587DB4">
        <w:rPr>
          <w:i/>
          <w:sz w:val="22"/>
          <w:szCs w:val="22"/>
          <w:lang w:val="el-GR"/>
        </w:rPr>
        <w:t>Escitalopram/Actavis</w:t>
      </w:r>
      <w:r w:rsidR="001E0901" w:rsidRPr="00587DB4">
        <w:rPr>
          <w:i/>
          <w:sz w:val="22"/>
          <w:szCs w:val="22"/>
          <w:lang w:val="el-GR"/>
        </w:rPr>
        <w:t xml:space="preserve"> </w:t>
      </w:r>
      <w:r w:rsidR="0032661A" w:rsidRPr="00587DB4">
        <w:rPr>
          <w:i/>
          <w:sz w:val="22"/>
          <w:szCs w:val="22"/>
          <w:lang w:val="el-GR"/>
        </w:rPr>
        <w:t>15 mg</w:t>
      </w:r>
    </w:p>
    <w:p w:rsidR="0032661A" w:rsidRPr="007E4D87" w:rsidRDefault="0032661A">
      <w:pPr>
        <w:rPr>
          <w:sz w:val="22"/>
          <w:szCs w:val="22"/>
          <w:lang w:val="el-GR"/>
        </w:rPr>
      </w:pPr>
      <w:r w:rsidRPr="00587DB4">
        <w:rPr>
          <w:sz w:val="22"/>
          <w:szCs w:val="22"/>
          <w:lang w:val="el-GR"/>
        </w:rPr>
        <w:t>Οβάλ, αμφίκυρτο, λευκού χρώματος, επικαλυμμένο με λεπτό υμένιο δισκίο (διαμέτρου 7,3 x 10,6 mm) με χαραγή στη μία πλευρά, χαραγή στα πλάγια και την ένδειξη “Ε-” στην άλλη.</w:t>
      </w:r>
      <w:r w:rsidRPr="00587DB4">
        <w:rPr>
          <w:color w:val="000000"/>
          <w:sz w:val="22"/>
          <w:szCs w:val="22"/>
          <w:lang w:val="el-GR"/>
        </w:rPr>
        <w:t xml:space="preserve"> </w:t>
      </w:r>
      <w:r w:rsidRPr="00587DB4">
        <w:rPr>
          <w:sz w:val="22"/>
          <w:szCs w:val="22"/>
          <w:lang w:val="el-GR"/>
        </w:rPr>
        <w:t xml:space="preserve">Το δισκίο μπορεί να διαιρεθεί σε δύο </w:t>
      </w:r>
      <w:r w:rsidR="009D45C3" w:rsidRPr="00587DB4">
        <w:rPr>
          <w:sz w:val="22"/>
          <w:szCs w:val="22"/>
          <w:lang w:val="el-GR"/>
        </w:rPr>
        <w:t>ίσες δόσεις</w:t>
      </w:r>
      <w:r w:rsidRPr="00587DB4">
        <w:rPr>
          <w:sz w:val="22"/>
          <w:szCs w:val="22"/>
          <w:lang w:val="el-GR"/>
        </w:rPr>
        <w:t>.</w:t>
      </w:r>
    </w:p>
    <w:p w:rsidR="0032661A" w:rsidRPr="00587DB4" w:rsidRDefault="00585172">
      <w:pPr>
        <w:rPr>
          <w:i/>
          <w:sz w:val="22"/>
          <w:szCs w:val="22"/>
          <w:lang w:val="el-GR"/>
        </w:rPr>
      </w:pPr>
      <w:r w:rsidRPr="00587DB4">
        <w:rPr>
          <w:i/>
          <w:sz w:val="22"/>
          <w:szCs w:val="22"/>
          <w:lang w:val="el-GR"/>
        </w:rPr>
        <w:t>Escitalopram/Actavis</w:t>
      </w:r>
      <w:r w:rsidR="001E0901" w:rsidRPr="00587DB4">
        <w:rPr>
          <w:i/>
          <w:sz w:val="22"/>
          <w:szCs w:val="22"/>
          <w:lang w:val="el-GR"/>
        </w:rPr>
        <w:t xml:space="preserve"> </w:t>
      </w:r>
      <w:r w:rsidR="0032661A" w:rsidRPr="00587DB4">
        <w:rPr>
          <w:i/>
          <w:sz w:val="22"/>
          <w:szCs w:val="22"/>
          <w:lang w:val="el-GR"/>
        </w:rPr>
        <w:t>20 mg</w:t>
      </w:r>
    </w:p>
    <w:p w:rsidR="0032661A" w:rsidRPr="00587DB4" w:rsidRDefault="0032661A">
      <w:pPr>
        <w:rPr>
          <w:sz w:val="22"/>
          <w:szCs w:val="22"/>
          <w:lang w:val="el-GR"/>
        </w:rPr>
      </w:pPr>
      <w:r w:rsidRPr="00587DB4">
        <w:rPr>
          <w:sz w:val="22"/>
          <w:szCs w:val="22"/>
          <w:lang w:val="el-GR"/>
        </w:rPr>
        <w:t xml:space="preserve">Οβάλ, αμφίκυρτο, λευκού χρώματος, επικαλυμμένο με λεπτό υμένιο δισκίο (διαμέτρου 8 x 11,7 mm) με χαραγή στη μία πλευρά, χαραγή στα πλάγια και την ένδειξη “Ε” στην άλλη. Το δισκίο μπορεί να διαιρεθεί σε δύο </w:t>
      </w:r>
      <w:r w:rsidR="009D45C3" w:rsidRPr="00587DB4">
        <w:rPr>
          <w:sz w:val="22"/>
          <w:szCs w:val="22"/>
          <w:lang w:val="el-GR"/>
        </w:rPr>
        <w:t>ίσες δόσεις</w:t>
      </w:r>
      <w:r w:rsidRPr="00587DB4">
        <w:rPr>
          <w:sz w:val="22"/>
          <w:szCs w:val="22"/>
          <w:lang w:val="el-GR"/>
        </w:rPr>
        <w:t>.</w:t>
      </w:r>
    </w:p>
    <w:p w:rsidR="0032661A" w:rsidRPr="007E4D87" w:rsidRDefault="0032661A">
      <w:pPr>
        <w:rPr>
          <w:sz w:val="22"/>
          <w:szCs w:val="22"/>
          <w:lang w:val="el-GR"/>
        </w:rPr>
      </w:pPr>
    </w:p>
    <w:p w:rsidR="0032661A" w:rsidRPr="007E4D87" w:rsidRDefault="0032661A" w:rsidP="00203D2F">
      <w:pPr>
        <w:ind w:left="567" w:hanging="567"/>
        <w:rPr>
          <w:caps/>
          <w:sz w:val="22"/>
          <w:szCs w:val="22"/>
          <w:lang w:val="el-GR"/>
        </w:rPr>
      </w:pPr>
      <w:r w:rsidRPr="00587DB4">
        <w:rPr>
          <w:b/>
          <w:caps/>
          <w:sz w:val="22"/>
          <w:szCs w:val="22"/>
          <w:lang w:val="el-GR"/>
        </w:rPr>
        <w:t>4.</w:t>
      </w:r>
      <w:r w:rsidRPr="00587DB4">
        <w:rPr>
          <w:b/>
          <w:caps/>
          <w:sz w:val="22"/>
          <w:szCs w:val="22"/>
          <w:lang w:val="el-GR"/>
        </w:rPr>
        <w:tab/>
        <w:t>Κλινικεσ πληροφοριεσ</w:t>
      </w:r>
    </w:p>
    <w:p w:rsidR="0032661A" w:rsidRPr="007E4D87" w:rsidRDefault="0032661A" w:rsidP="00203D2F">
      <w:pPr>
        <w:ind w:left="567" w:hanging="567"/>
        <w:rPr>
          <w:sz w:val="22"/>
          <w:szCs w:val="22"/>
          <w:lang w:val="el-GR"/>
        </w:rPr>
      </w:pPr>
      <w:r w:rsidRPr="00587DB4">
        <w:rPr>
          <w:b/>
          <w:sz w:val="22"/>
          <w:szCs w:val="22"/>
          <w:lang w:val="el-GR"/>
        </w:rPr>
        <w:t>4.1</w:t>
      </w:r>
      <w:r w:rsidRPr="00587DB4">
        <w:rPr>
          <w:b/>
          <w:sz w:val="22"/>
          <w:szCs w:val="22"/>
          <w:lang w:val="el-GR"/>
        </w:rPr>
        <w:tab/>
        <w:t>Θεραπευτικές ενδείξεις</w:t>
      </w:r>
    </w:p>
    <w:p w:rsidR="0032661A" w:rsidRPr="00E81D8F" w:rsidRDefault="0032661A">
      <w:pPr>
        <w:autoSpaceDE w:val="0"/>
        <w:autoSpaceDN w:val="0"/>
        <w:adjustRightInd w:val="0"/>
        <w:rPr>
          <w:sz w:val="22"/>
          <w:szCs w:val="22"/>
          <w:lang w:val="el-GR"/>
        </w:rPr>
      </w:pPr>
      <w:r w:rsidRPr="00587DB4">
        <w:rPr>
          <w:sz w:val="22"/>
          <w:szCs w:val="22"/>
          <w:lang w:val="el-GR"/>
        </w:rPr>
        <w:t>Θεραπεία</w:t>
      </w:r>
    </w:p>
    <w:p w:rsidR="0032661A" w:rsidRPr="00E81D8F" w:rsidRDefault="00B03E7D" w:rsidP="00B03E7D">
      <w:pPr>
        <w:autoSpaceDE w:val="0"/>
        <w:autoSpaceDN w:val="0"/>
        <w:adjustRightInd w:val="0"/>
        <w:rPr>
          <w:sz w:val="22"/>
          <w:szCs w:val="22"/>
          <w:lang w:val="el-GR"/>
        </w:rPr>
      </w:pPr>
      <w:r w:rsidRPr="00587DB4">
        <w:rPr>
          <w:sz w:val="22"/>
          <w:szCs w:val="22"/>
          <w:lang w:val="el-GR"/>
        </w:rPr>
        <w:t xml:space="preserve">- </w:t>
      </w:r>
      <w:r w:rsidR="0032661A" w:rsidRPr="00587DB4">
        <w:rPr>
          <w:sz w:val="22"/>
          <w:szCs w:val="22"/>
          <w:lang w:val="el-GR"/>
        </w:rPr>
        <w:t>των μειζόνων καταθλιπτικών επεισοδίων</w:t>
      </w:r>
    </w:p>
    <w:p w:rsidR="0032661A" w:rsidRPr="00E81D8F" w:rsidRDefault="0032661A">
      <w:pPr>
        <w:autoSpaceDE w:val="0"/>
        <w:autoSpaceDN w:val="0"/>
        <w:adjustRightInd w:val="0"/>
        <w:rPr>
          <w:sz w:val="22"/>
          <w:szCs w:val="22"/>
          <w:lang w:val="el-GR"/>
        </w:rPr>
      </w:pPr>
      <w:r w:rsidRPr="00587DB4">
        <w:rPr>
          <w:sz w:val="22"/>
          <w:szCs w:val="22"/>
          <w:lang w:val="el-GR"/>
        </w:rPr>
        <w:t>- της διαταραχής πανικού με ή χωρίς αγοραφοβία</w:t>
      </w:r>
    </w:p>
    <w:p w:rsidR="0032661A" w:rsidRPr="00E81D8F" w:rsidRDefault="0032661A">
      <w:pPr>
        <w:autoSpaceDE w:val="0"/>
        <w:autoSpaceDN w:val="0"/>
        <w:adjustRightInd w:val="0"/>
        <w:rPr>
          <w:sz w:val="22"/>
          <w:szCs w:val="22"/>
          <w:lang w:val="el-GR"/>
        </w:rPr>
      </w:pPr>
      <w:r w:rsidRPr="00587DB4">
        <w:rPr>
          <w:sz w:val="22"/>
          <w:szCs w:val="22"/>
          <w:lang w:val="el-GR"/>
        </w:rPr>
        <w:t>- της κοινωνικής αγχώδους διαταραχής (κοινωνική φοβία)</w:t>
      </w:r>
    </w:p>
    <w:p w:rsidR="0032661A" w:rsidRPr="00E81D8F" w:rsidRDefault="0032661A">
      <w:pPr>
        <w:autoSpaceDE w:val="0"/>
        <w:autoSpaceDN w:val="0"/>
        <w:adjustRightInd w:val="0"/>
        <w:rPr>
          <w:sz w:val="22"/>
          <w:szCs w:val="22"/>
          <w:lang w:val="el-GR"/>
        </w:rPr>
      </w:pPr>
      <w:r w:rsidRPr="00587DB4">
        <w:rPr>
          <w:sz w:val="22"/>
          <w:szCs w:val="22"/>
          <w:lang w:val="el-GR"/>
        </w:rPr>
        <w:t>- της ιδεοψυχαναγκαστικής διαταραχής</w:t>
      </w:r>
    </w:p>
    <w:p w:rsidR="0032661A" w:rsidRPr="00587DB4" w:rsidRDefault="0032661A">
      <w:pPr>
        <w:rPr>
          <w:sz w:val="22"/>
          <w:szCs w:val="22"/>
          <w:lang w:val="el-GR"/>
        </w:rPr>
      </w:pPr>
    </w:p>
    <w:p w:rsidR="0032661A" w:rsidRPr="007E4D87" w:rsidRDefault="0032661A" w:rsidP="00203D2F">
      <w:pPr>
        <w:ind w:left="567" w:hanging="567"/>
        <w:rPr>
          <w:b/>
          <w:sz w:val="22"/>
          <w:szCs w:val="22"/>
          <w:lang w:val="el-GR"/>
        </w:rPr>
      </w:pPr>
      <w:r w:rsidRPr="00587DB4">
        <w:rPr>
          <w:b/>
          <w:sz w:val="22"/>
          <w:szCs w:val="22"/>
          <w:lang w:val="el-GR"/>
        </w:rPr>
        <w:t>4.2</w:t>
      </w:r>
      <w:r w:rsidRPr="00587DB4">
        <w:rPr>
          <w:b/>
          <w:sz w:val="22"/>
          <w:szCs w:val="22"/>
          <w:lang w:val="el-GR"/>
        </w:rPr>
        <w:tab/>
        <w:t>Δοσολογία και τρόπος χορήγησης</w:t>
      </w:r>
    </w:p>
    <w:p w:rsidR="009D45C3" w:rsidRPr="00E81D8F" w:rsidRDefault="009D45C3">
      <w:pPr>
        <w:autoSpaceDE w:val="0"/>
        <w:autoSpaceDN w:val="0"/>
        <w:adjustRightInd w:val="0"/>
        <w:rPr>
          <w:sz w:val="22"/>
          <w:szCs w:val="22"/>
          <w:u w:val="single"/>
          <w:lang w:val="el-GR"/>
        </w:rPr>
      </w:pPr>
      <w:r w:rsidRPr="00E81D8F">
        <w:rPr>
          <w:sz w:val="22"/>
          <w:szCs w:val="22"/>
          <w:u w:val="single"/>
          <w:lang w:val="el-GR"/>
        </w:rPr>
        <w:t>Τρόπος</w:t>
      </w:r>
      <w:r w:rsidRPr="00587DB4">
        <w:rPr>
          <w:sz w:val="22"/>
          <w:szCs w:val="22"/>
          <w:u w:val="single"/>
          <w:lang w:val="el-GR"/>
        </w:rPr>
        <w:t xml:space="preserve"> χορήγησης</w:t>
      </w:r>
    </w:p>
    <w:p w:rsidR="0032661A" w:rsidRPr="00E81D8F" w:rsidRDefault="0032661A">
      <w:pPr>
        <w:autoSpaceDE w:val="0"/>
        <w:autoSpaceDN w:val="0"/>
        <w:adjustRightInd w:val="0"/>
        <w:rPr>
          <w:sz w:val="22"/>
          <w:szCs w:val="22"/>
          <w:lang w:val="el-GR"/>
        </w:rPr>
      </w:pPr>
      <w:r w:rsidRPr="00587DB4">
        <w:rPr>
          <w:sz w:val="22"/>
          <w:szCs w:val="22"/>
          <w:lang w:val="el-GR"/>
        </w:rPr>
        <w:t xml:space="preserve">Η ασφάλεια των ημερήσιων δόσεων άνω των </w:t>
      </w:r>
      <w:r w:rsidRPr="00E81D8F">
        <w:rPr>
          <w:sz w:val="22"/>
          <w:szCs w:val="22"/>
          <w:lang w:val="el-GR"/>
        </w:rPr>
        <w:t xml:space="preserve">20 mg </w:t>
      </w:r>
      <w:r w:rsidRPr="00587DB4">
        <w:rPr>
          <w:sz w:val="22"/>
          <w:szCs w:val="22"/>
          <w:lang w:val="el-GR"/>
        </w:rPr>
        <w:t>δεν έχει καταδειχθεί.</w:t>
      </w:r>
      <w:r w:rsidRPr="00E81D8F">
        <w:rPr>
          <w:sz w:val="22"/>
          <w:szCs w:val="22"/>
          <w:lang w:val="el-GR"/>
        </w:rPr>
        <w:t xml:space="preserve"> </w:t>
      </w:r>
    </w:p>
    <w:p w:rsidR="0032661A" w:rsidRPr="00E81D8F" w:rsidRDefault="0032661A">
      <w:pPr>
        <w:autoSpaceDE w:val="0"/>
        <w:autoSpaceDN w:val="0"/>
        <w:adjustRightInd w:val="0"/>
        <w:rPr>
          <w:sz w:val="22"/>
          <w:szCs w:val="22"/>
          <w:lang w:val="el-GR"/>
        </w:rPr>
      </w:pPr>
      <w:r w:rsidRPr="00587DB4">
        <w:rPr>
          <w:sz w:val="22"/>
          <w:szCs w:val="22"/>
          <w:lang w:val="el-GR"/>
        </w:rPr>
        <w:lastRenderedPageBreak/>
        <w:t xml:space="preserve">Το </w:t>
      </w:r>
      <w:r w:rsidR="00585172" w:rsidRPr="00E81D8F">
        <w:rPr>
          <w:sz w:val="22"/>
          <w:szCs w:val="22"/>
          <w:lang w:val="el-GR"/>
        </w:rPr>
        <w:t>Escitalopram/Actavis</w:t>
      </w:r>
      <w:r w:rsidR="00684613" w:rsidRPr="00E81D8F">
        <w:rPr>
          <w:sz w:val="22"/>
          <w:szCs w:val="22"/>
          <w:lang w:val="el-GR"/>
        </w:rPr>
        <w:t xml:space="preserve"> </w:t>
      </w:r>
      <w:r w:rsidRPr="00E81D8F">
        <w:rPr>
          <w:sz w:val="22"/>
          <w:szCs w:val="22"/>
          <w:lang w:val="el-GR"/>
        </w:rPr>
        <w:t xml:space="preserve"> </w:t>
      </w:r>
      <w:r w:rsidRPr="00587DB4">
        <w:rPr>
          <w:sz w:val="22"/>
          <w:szCs w:val="22"/>
          <w:lang w:val="el-GR"/>
        </w:rPr>
        <w:t>χορηγείται ως μία μονή ημερήσια δόση και μπορεί να ληφθεί με ή χωρίς τροφή.</w:t>
      </w:r>
    </w:p>
    <w:p w:rsidR="0032661A" w:rsidRPr="00E81D8F" w:rsidRDefault="0032661A">
      <w:pPr>
        <w:autoSpaceDE w:val="0"/>
        <w:autoSpaceDN w:val="0"/>
        <w:adjustRightInd w:val="0"/>
        <w:rPr>
          <w:sz w:val="22"/>
          <w:szCs w:val="22"/>
          <w:lang w:val="el-GR"/>
        </w:rPr>
      </w:pPr>
    </w:p>
    <w:p w:rsidR="009D45C3" w:rsidRPr="00E81D8F" w:rsidRDefault="009D45C3">
      <w:pPr>
        <w:autoSpaceDE w:val="0"/>
        <w:autoSpaceDN w:val="0"/>
        <w:adjustRightInd w:val="0"/>
        <w:rPr>
          <w:sz w:val="22"/>
          <w:szCs w:val="22"/>
          <w:u w:val="single"/>
          <w:lang w:val="el-GR"/>
        </w:rPr>
      </w:pPr>
      <w:r w:rsidRPr="00E81D8F">
        <w:rPr>
          <w:sz w:val="22"/>
          <w:szCs w:val="22"/>
          <w:u w:val="single"/>
          <w:lang w:val="el-GR"/>
        </w:rPr>
        <w:t>Δοσολογία</w:t>
      </w:r>
    </w:p>
    <w:p w:rsidR="0032661A" w:rsidRPr="00E81D8F" w:rsidRDefault="0032661A">
      <w:pPr>
        <w:autoSpaceDE w:val="0"/>
        <w:autoSpaceDN w:val="0"/>
        <w:adjustRightInd w:val="0"/>
        <w:rPr>
          <w:i/>
          <w:sz w:val="22"/>
          <w:szCs w:val="22"/>
          <w:lang w:val="el-GR"/>
        </w:rPr>
      </w:pPr>
      <w:r w:rsidRPr="00587DB4">
        <w:rPr>
          <w:i/>
          <w:sz w:val="22"/>
          <w:szCs w:val="22"/>
          <w:lang w:val="el-GR"/>
        </w:rPr>
        <w:t>Μείζονα καταθλιπτικά επεισόδια</w:t>
      </w:r>
    </w:p>
    <w:p w:rsidR="0032661A" w:rsidRPr="00203D2F" w:rsidRDefault="0032661A">
      <w:pPr>
        <w:autoSpaceDE w:val="0"/>
        <w:autoSpaceDN w:val="0"/>
        <w:adjustRightInd w:val="0"/>
        <w:rPr>
          <w:sz w:val="22"/>
          <w:szCs w:val="22"/>
          <w:lang w:val="el-GR"/>
        </w:rPr>
      </w:pPr>
      <w:r w:rsidRPr="00587DB4">
        <w:rPr>
          <w:sz w:val="22"/>
          <w:szCs w:val="22"/>
          <w:lang w:val="el-GR"/>
        </w:rPr>
        <w:t xml:space="preserve">Η συνήθης δοσολογία είναι </w:t>
      </w:r>
      <w:r w:rsidRPr="00E81D8F">
        <w:rPr>
          <w:sz w:val="22"/>
          <w:szCs w:val="22"/>
          <w:lang w:val="el-GR"/>
        </w:rPr>
        <w:t xml:space="preserve">10 mg </w:t>
      </w:r>
      <w:r w:rsidRPr="00587DB4">
        <w:rPr>
          <w:sz w:val="22"/>
          <w:szCs w:val="22"/>
          <w:lang w:val="el-GR"/>
        </w:rPr>
        <w:t>άπαξ ημερησίως.</w:t>
      </w:r>
      <w:r w:rsidRPr="00E81D8F">
        <w:rPr>
          <w:sz w:val="22"/>
          <w:szCs w:val="22"/>
          <w:lang w:val="el-GR"/>
        </w:rPr>
        <w:t xml:space="preserve"> </w:t>
      </w:r>
      <w:r w:rsidRPr="00587DB4">
        <w:rPr>
          <w:sz w:val="22"/>
          <w:szCs w:val="22"/>
          <w:lang w:val="el-GR"/>
        </w:rPr>
        <w:t xml:space="preserve">Ανάλογα με τη μεμονωμένη ανταπόκριση του ασθενούς, η δόση μπορεί να αυξηθεί έως ένα μέγιστο επίπεδο </w:t>
      </w:r>
      <w:r w:rsidRPr="00E81D8F">
        <w:rPr>
          <w:sz w:val="22"/>
          <w:szCs w:val="22"/>
          <w:lang w:val="el-GR"/>
        </w:rPr>
        <w:t xml:space="preserve">20 mg </w:t>
      </w:r>
      <w:r w:rsidRPr="00587DB4">
        <w:rPr>
          <w:sz w:val="22"/>
          <w:szCs w:val="22"/>
          <w:lang w:val="el-GR"/>
        </w:rPr>
        <w:t>ημερησίως.</w:t>
      </w:r>
    </w:p>
    <w:p w:rsidR="0032661A" w:rsidRPr="00E81D8F" w:rsidRDefault="0032661A">
      <w:pPr>
        <w:autoSpaceDE w:val="0"/>
        <w:autoSpaceDN w:val="0"/>
        <w:adjustRightInd w:val="0"/>
        <w:rPr>
          <w:sz w:val="22"/>
          <w:szCs w:val="22"/>
          <w:lang w:val="el-GR"/>
        </w:rPr>
      </w:pPr>
      <w:r w:rsidRPr="00587DB4">
        <w:rPr>
          <w:sz w:val="22"/>
          <w:szCs w:val="22"/>
          <w:lang w:val="el-GR"/>
        </w:rPr>
        <w:t>Συνήθως 2-4 εβδομάδες είναι απαραίτητες για την επίτευξη αντικαταθλιπτικής δράσης.</w:t>
      </w:r>
      <w:r w:rsidRPr="00E81D8F">
        <w:rPr>
          <w:sz w:val="22"/>
          <w:szCs w:val="22"/>
          <w:lang w:val="el-GR"/>
        </w:rPr>
        <w:t xml:space="preserve"> </w:t>
      </w:r>
      <w:r w:rsidRPr="00587DB4">
        <w:rPr>
          <w:sz w:val="22"/>
          <w:szCs w:val="22"/>
          <w:lang w:val="el-GR"/>
        </w:rPr>
        <w:t>Μετά την υποχώρηση των συμπτωμάτων, απαιτείται θεραπεία για τουλάχιστον 6 μήνες για την εδραίωση της ανταπόκρισης.</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Διαταραχή πανικού με ή χωρίς αγοραφοβία</w:t>
      </w:r>
    </w:p>
    <w:p w:rsidR="0032661A" w:rsidRPr="00203D2F" w:rsidRDefault="0032661A">
      <w:pPr>
        <w:autoSpaceDE w:val="0"/>
        <w:autoSpaceDN w:val="0"/>
        <w:adjustRightInd w:val="0"/>
        <w:rPr>
          <w:sz w:val="22"/>
          <w:szCs w:val="22"/>
          <w:lang w:val="el-GR"/>
        </w:rPr>
      </w:pPr>
      <w:r w:rsidRPr="00587DB4">
        <w:rPr>
          <w:sz w:val="22"/>
          <w:szCs w:val="22"/>
          <w:lang w:val="el-GR"/>
        </w:rPr>
        <w:t xml:space="preserve">Μία αρχική δόση </w:t>
      </w:r>
      <w:r w:rsidRPr="00E81D8F">
        <w:rPr>
          <w:sz w:val="22"/>
          <w:szCs w:val="22"/>
          <w:lang w:val="el-GR"/>
        </w:rPr>
        <w:t>5 mg</w:t>
      </w:r>
      <w:r w:rsidRPr="00587DB4">
        <w:rPr>
          <w:sz w:val="22"/>
          <w:szCs w:val="22"/>
          <w:lang w:val="el-GR"/>
        </w:rPr>
        <w:t xml:space="preserve"> συνιστάται για την πρώτη εβδομάδα πριν από την αύξηση της δόσης σε </w:t>
      </w:r>
      <w:r w:rsidRPr="00E81D8F">
        <w:rPr>
          <w:sz w:val="22"/>
          <w:szCs w:val="22"/>
          <w:lang w:val="el-GR"/>
        </w:rPr>
        <w:t xml:space="preserve">10 mg </w:t>
      </w:r>
      <w:r w:rsidRPr="00587DB4">
        <w:rPr>
          <w:sz w:val="22"/>
          <w:szCs w:val="22"/>
          <w:lang w:val="el-GR"/>
        </w:rPr>
        <w:t>ημερησίως.</w:t>
      </w:r>
      <w:r w:rsidRPr="00E81D8F">
        <w:rPr>
          <w:sz w:val="22"/>
          <w:szCs w:val="22"/>
          <w:lang w:val="el-GR"/>
        </w:rPr>
        <w:t xml:space="preserve"> </w:t>
      </w:r>
      <w:r w:rsidRPr="00587DB4">
        <w:rPr>
          <w:sz w:val="22"/>
          <w:szCs w:val="22"/>
          <w:lang w:val="el-GR"/>
        </w:rPr>
        <w:t xml:space="preserve">Η δόση μπορεί να αυξηθεί περαιτέρω, έως ένα μέγιστο επίπεδο </w:t>
      </w:r>
      <w:r w:rsidRPr="00E81D8F">
        <w:rPr>
          <w:sz w:val="22"/>
          <w:szCs w:val="22"/>
          <w:lang w:val="el-GR"/>
        </w:rPr>
        <w:t xml:space="preserve">20 mg </w:t>
      </w:r>
      <w:r w:rsidRPr="00587DB4">
        <w:rPr>
          <w:sz w:val="22"/>
          <w:szCs w:val="22"/>
          <w:lang w:val="el-GR"/>
        </w:rPr>
        <w:t>ημερησίως, ανάλογα με τη μεμονωμένη ανταπόκριση του ασθενούς.</w:t>
      </w:r>
    </w:p>
    <w:p w:rsidR="0032661A" w:rsidRPr="00E81D8F" w:rsidRDefault="0032661A">
      <w:pPr>
        <w:autoSpaceDE w:val="0"/>
        <w:autoSpaceDN w:val="0"/>
        <w:adjustRightInd w:val="0"/>
        <w:rPr>
          <w:sz w:val="22"/>
          <w:szCs w:val="22"/>
          <w:lang w:val="el-GR"/>
        </w:rPr>
      </w:pPr>
      <w:r w:rsidRPr="00587DB4">
        <w:rPr>
          <w:sz w:val="22"/>
          <w:szCs w:val="22"/>
          <w:lang w:val="el-GR"/>
        </w:rPr>
        <w:t>Η μέγιστη αποτελεσματικότητα επιτυγχάνεται μετά από περίπου 3 μήνες.</w:t>
      </w:r>
      <w:r w:rsidRPr="00E81D8F">
        <w:rPr>
          <w:sz w:val="22"/>
          <w:szCs w:val="22"/>
          <w:lang w:val="el-GR"/>
        </w:rPr>
        <w:t xml:space="preserve"> </w:t>
      </w:r>
      <w:r w:rsidRPr="00587DB4">
        <w:rPr>
          <w:sz w:val="22"/>
          <w:szCs w:val="22"/>
          <w:lang w:val="el-GR"/>
        </w:rPr>
        <w:t>Η θεραπεία διαρκεί για αρκετούς μήνες.</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Κοινωνική αγχώδης διαταραχή</w:t>
      </w:r>
    </w:p>
    <w:p w:rsidR="0032661A" w:rsidRPr="00203D2F" w:rsidRDefault="0032661A">
      <w:pPr>
        <w:autoSpaceDE w:val="0"/>
        <w:autoSpaceDN w:val="0"/>
        <w:adjustRightInd w:val="0"/>
        <w:rPr>
          <w:sz w:val="22"/>
          <w:szCs w:val="22"/>
          <w:lang w:val="el-GR"/>
        </w:rPr>
      </w:pPr>
      <w:r w:rsidRPr="00587DB4">
        <w:rPr>
          <w:sz w:val="22"/>
          <w:szCs w:val="22"/>
          <w:lang w:val="el-GR"/>
        </w:rPr>
        <w:t>Η συνήθης δοσολογία είναι 10 mg άπαξ ημερησίως.</w:t>
      </w:r>
      <w:r w:rsidRPr="00E81D8F">
        <w:rPr>
          <w:sz w:val="22"/>
          <w:szCs w:val="22"/>
          <w:lang w:val="el-GR"/>
        </w:rPr>
        <w:t xml:space="preserve"> </w:t>
      </w:r>
      <w:r w:rsidRPr="00587DB4">
        <w:rPr>
          <w:sz w:val="22"/>
          <w:szCs w:val="22"/>
          <w:lang w:val="el-GR"/>
        </w:rPr>
        <w:t>Συνήθως 2-4 εβδομάδες είναι απαραίτητες για την επίτευξη της ανακούφισης των συμπτωμάτων.</w:t>
      </w:r>
      <w:r w:rsidRPr="00E81D8F">
        <w:rPr>
          <w:sz w:val="22"/>
          <w:szCs w:val="22"/>
          <w:lang w:val="el-GR"/>
        </w:rPr>
        <w:t xml:space="preserve"> </w:t>
      </w:r>
      <w:r w:rsidRPr="00587DB4">
        <w:rPr>
          <w:sz w:val="22"/>
          <w:szCs w:val="22"/>
          <w:lang w:val="el-GR"/>
        </w:rPr>
        <w:t xml:space="preserve">Η δόση μπορεί επακολούθως, ανάλογα με την ανταπόκριση κάθε μεμονωμένου ασθενούς, να μειωθεί σε </w:t>
      </w:r>
      <w:r w:rsidRPr="00E81D8F">
        <w:rPr>
          <w:sz w:val="22"/>
          <w:szCs w:val="22"/>
          <w:lang w:val="el-GR"/>
        </w:rPr>
        <w:t xml:space="preserve">5 mg </w:t>
      </w:r>
      <w:r w:rsidRPr="00587DB4">
        <w:rPr>
          <w:sz w:val="22"/>
          <w:szCs w:val="22"/>
          <w:lang w:val="el-GR"/>
        </w:rPr>
        <w:t xml:space="preserve">ή να αυξηθεί σε ένα μέγιστο επίπεδο </w:t>
      </w:r>
      <w:r w:rsidRPr="00E81D8F">
        <w:rPr>
          <w:sz w:val="22"/>
          <w:szCs w:val="22"/>
          <w:lang w:val="el-GR"/>
        </w:rPr>
        <w:t xml:space="preserve">20 mg </w:t>
      </w:r>
      <w:r w:rsidRPr="00587DB4">
        <w:rPr>
          <w:sz w:val="22"/>
          <w:szCs w:val="22"/>
          <w:lang w:val="el-GR"/>
        </w:rPr>
        <w:t>ημερησίως.</w:t>
      </w:r>
    </w:p>
    <w:p w:rsidR="0032661A" w:rsidRPr="00203D2F" w:rsidRDefault="0032661A">
      <w:pPr>
        <w:autoSpaceDE w:val="0"/>
        <w:autoSpaceDN w:val="0"/>
        <w:adjustRightInd w:val="0"/>
        <w:rPr>
          <w:sz w:val="22"/>
          <w:szCs w:val="22"/>
          <w:lang w:val="el-GR"/>
        </w:rPr>
      </w:pPr>
      <w:r w:rsidRPr="00587DB4">
        <w:rPr>
          <w:sz w:val="22"/>
          <w:szCs w:val="22"/>
          <w:lang w:val="el-GR"/>
        </w:rPr>
        <w:t>Η κοινωνική αγχώδης διαταραχή είναι μία νόσος με χρόνια πορεία, και συνιστάται θεραπεία για 12 εβδομάδες για την εδραίωση της ανταπόκρισης.</w:t>
      </w:r>
      <w:r w:rsidRPr="00E81D8F">
        <w:rPr>
          <w:sz w:val="22"/>
          <w:szCs w:val="22"/>
          <w:lang w:val="el-GR"/>
        </w:rPr>
        <w:t xml:space="preserve"> </w:t>
      </w:r>
      <w:r w:rsidRPr="00587DB4">
        <w:rPr>
          <w:sz w:val="22"/>
          <w:szCs w:val="22"/>
          <w:lang w:val="el-GR"/>
        </w:rPr>
        <w:t>Η μακροχρόνια θεραπεία των ανταποκριθέντων έχει μελετηθεί για 6 μήνες και μπορεί να εξεταστεί το ενδεχόμενο χρήσης της, σε κάθε μεμονωμένο ασθενή, για την πρόληψη της υποτροπής. Τα οφέλη της θεραπείας θα πρέπει να αξιολογούνται εκ νέου σε τακτά χρονικά διαστήματα.</w:t>
      </w:r>
    </w:p>
    <w:p w:rsidR="0032661A" w:rsidRPr="00203D2F" w:rsidRDefault="0032661A">
      <w:pPr>
        <w:autoSpaceDE w:val="0"/>
        <w:autoSpaceDN w:val="0"/>
        <w:adjustRightInd w:val="0"/>
        <w:rPr>
          <w:sz w:val="22"/>
          <w:szCs w:val="22"/>
          <w:lang w:val="el-GR"/>
        </w:rPr>
      </w:pPr>
      <w:r w:rsidRPr="00587DB4">
        <w:rPr>
          <w:sz w:val="22"/>
          <w:szCs w:val="22"/>
          <w:lang w:val="el-GR"/>
        </w:rPr>
        <w:t>Η κοινωνική αγχώδης διαταραχή είναι ένας καλώς καθορισμένος διαγνωστικός όρος μίας συγκεκριμένης διαταραχής, ο οποίος δεν θα πρέπει να συγχέεται με την υπερβολική κοινωνική αμηχανία.</w:t>
      </w:r>
      <w:r w:rsidRPr="00E81D8F">
        <w:rPr>
          <w:sz w:val="22"/>
          <w:szCs w:val="22"/>
          <w:lang w:val="el-GR"/>
        </w:rPr>
        <w:t xml:space="preserve"> </w:t>
      </w:r>
      <w:r w:rsidRPr="00587DB4">
        <w:rPr>
          <w:sz w:val="22"/>
          <w:szCs w:val="22"/>
          <w:lang w:val="el-GR"/>
        </w:rPr>
        <w:t>Η φαρμακοθεραπεία ενδείκνυται μόνον εάν η διαταραχή έχει σημαντική επίδραση στις επαγγελματικές και τις κοινωνικές δραστηριότητες.</w:t>
      </w:r>
    </w:p>
    <w:p w:rsidR="0032661A" w:rsidRPr="00E81D8F" w:rsidRDefault="0032661A">
      <w:pPr>
        <w:autoSpaceDE w:val="0"/>
        <w:autoSpaceDN w:val="0"/>
        <w:adjustRightInd w:val="0"/>
        <w:rPr>
          <w:sz w:val="22"/>
          <w:szCs w:val="22"/>
          <w:lang w:val="el-GR"/>
        </w:rPr>
      </w:pPr>
      <w:r w:rsidRPr="00587DB4">
        <w:rPr>
          <w:sz w:val="22"/>
          <w:szCs w:val="22"/>
          <w:lang w:val="el-GR"/>
        </w:rPr>
        <w:t>Η θέση αυτής της θεραπείας σε σύγκριση με τη γνωστική συμπεριφορική θεραπεία δεν έχει αξιολογηθεί.</w:t>
      </w:r>
      <w:r w:rsidRPr="00E81D8F">
        <w:rPr>
          <w:sz w:val="22"/>
          <w:szCs w:val="22"/>
          <w:lang w:val="el-GR"/>
        </w:rPr>
        <w:t xml:space="preserve"> </w:t>
      </w:r>
      <w:r w:rsidRPr="00587DB4">
        <w:rPr>
          <w:sz w:val="22"/>
          <w:szCs w:val="22"/>
          <w:lang w:val="el-GR"/>
        </w:rPr>
        <w:t>Η φαρμακοθεραπεία είναι μέρος μίας συνολικής θεραπευτικής στρατηγικής.</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Ιδεοψυχαναγκαστική Διαταραχή</w:t>
      </w:r>
    </w:p>
    <w:p w:rsidR="0032661A" w:rsidRPr="00203D2F" w:rsidRDefault="0032661A">
      <w:pPr>
        <w:autoSpaceDE w:val="0"/>
        <w:autoSpaceDN w:val="0"/>
        <w:adjustRightInd w:val="0"/>
        <w:rPr>
          <w:sz w:val="22"/>
          <w:szCs w:val="22"/>
          <w:lang w:val="el-GR"/>
        </w:rPr>
      </w:pPr>
      <w:r w:rsidRPr="00587DB4">
        <w:rPr>
          <w:sz w:val="22"/>
          <w:szCs w:val="22"/>
          <w:lang w:val="el-GR"/>
        </w:rPr>
        <w:t>Η αρχική δοσολογία είναι 10 mg άπαξ ημερησίως.</w:t>
      </w:r>
      <w:r w:rsidRPr="00E81D8F">
        <w:rPr>
          <w:sz w:val="22"/>
          <w:szCs w:val="22"/>
          <w:lang w:val="el-GR"/>
        </w:rPr>
        <w:t xml:space="preserve"> </w:t>
      </w:r>
      <w:r w:rsidRPr="00587DB4">
        <w:rPr>
          <w:sz w:val="22"/>
          <w:szCs w:val="22"/>
          <w:lang w:val="el-GR"/>
        </w:rPr>
        <w:t>Ανάλογα με την ανταπόκριση κάθε μεμονωμένου ασθενούς, η δόση μπορεί να αυξηθεί έως ένα μέγιστο επίπεδο 20 mg ημερησίως.</w:t>
      </w:r>
    </w:p>
    <w:p w:rsidR="0032661A" w:rsidRPr="00203D2F" w:rsidRDefault="0032661A">
      <w:pPr>
        <w:autoSpaceDE w:val="0"/>
        <w:autoSpaceDN w:val="0"/>
        <w:adjustRightInd w:val="0"/>
        <w:rPr>
          <w:sz w:val="22"/>
          <w:szCs w:val="22"/>
          <w:lang w:val="el-GR"/>
        </w:rPr>
      </w:pPr>
      <w:r w:rsidRPr="00587DB4">
        <w:rPr>
          <w:sz w:val="22"/>
          <w:szCs w:val="22"/>
          <w:lang w:val="el-GR"/>
        </w:rPr>
        <w:t xml:space="preserve">Καθώς η </w:t>
      </w:r>
      <w:r w:rsidRPr="00E81D8F">
        <w:rPr>
          <w:sz w:val="22"/>
          <w:szCs w:val="22"/>
          <w:lang w:val="el-GR"/>
        </w:rPr>
        <w:t xml:space="preserve">OCD </w:t>
      </w:r>
      <w:r w:rsidRPr="00587DB4">
        <w:rPr>
          <w:sz w:val="22"/>
          <w:szCs w:val="22"/>
          <w:lang w:val="el-GR"/>
        </w:rPr>
        <w:t>είναι μία χρόνια νόσος, οι ασθενείς θα πρέπει να αντιμετωπίζονται για μία επαρκή χρονική περίοδο για τη διασφάλιση του ότι είναι ελεύθεροι συμπτωμάτων.</w:t>
      </w:r>
    </w:p>
    <w:p w:rsidR="0032661A" w:rsidRPr="00E81D8F" w:rsidRDefault="0032661A">
      <w:pPr>
        <w:autoSpaceDE w:val="0"/>
        <w:autoSpaceDN w:val="0"/>
        <w:adjustRightInd w:val="0"/>
        <w:rPr>
          <w:sz w:val="22"/>
          <w:szCs w:val="22"/>
          <w:lang w:val="el-GR"/>
        </w:rPr>
      </w:pPr>
      <w:r w:rsidRPr="00587DB4">
        <w:rPr>
          <w:sz w:val="22"/>
          <w:szCs w:val="22"/>
          <w:lang w:val="el-GR"/>
        </w:rPr>
        <w:t>Τα οφέλη της θεραπείας και η δόση θα πρέπει να αξιολογούνται εκ νέου σε τακτά χρονικά διαστήματα (βλ. παράγραφο 5.1).</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 xml:space="preserve">Ηλικιωμένοι ασθενείς (ηλικίας </w:t>
      </w:r>
      <w:r w:rsidR="0093669F" w:rsidRPr="00587DB4">
        <w:rPr>
          <w:i/>
          <w:sz w:val="22"/>
          <w:szCs w:val="22"/>
          <w:lang w:val="el-GR"/>
        </w:rPr>
        <w:t>&gt;</w:t>
      </w:r>
      <w:r w:rsidRPr="00587DB4">
        <w:rPr>
          <w:i/>
          <w:sz w:val="22"/>
          <w:szCs w:val="22"/>
          <w:lang w:val="el-GR"/>
        </w:rPr>
        <w:t xml:space="preserve"> 65 ετών)</w:t>
      </w:r>
    </w:p>
    <w:p w:rsidR="0032661A" w:rsidRPr="00E81D8F" w:rsidRDefault="009D45C3">
      <w:pPr>
        <w:autoSpaceDE w:val="0"/>
        <w:autoSpaceDN w:val="0"/>
        <w:adjustRightInd w:val="0"/>
        <w:rPr>
          <w:sz w:val="22"/>
          <w:szCs w:val="22"/>
          <w:lang w:val="el-GR"/>
        </w:rPr>
      </w:pPr>
      <w:r w:rsidRPr="00587DB4">
        <w:rPr>
          <w:sz w:val="22"/>
          <w:szCs w:val="22"/>
          <w:lang w:val="el-GR"/>
        </w:rPr>
        <w:t xml:space="preserve">Η αρχική δοσολογία είναι 5 </w:t>
      </w:r>
      <w:r w:rsidRPr="00587DB4">
        <w:rPr>
          <w:sz w:val="22"/>
          <w:szCs w:val="22"/>
        </w:rPr>
        <w:t>mg</w:t>
      </w:r>
      <w:r w:rsidRPr="00E81D8F">
        <w:rPr>
          <w:sz w:val="22"/>
          <w:szCs w:val="22"/>
          <w:lang w:val="el-GR"/>
        </w:rPr>
        <w:t xml:space="preserve"> </w:t>
      </w:r>
      <w:r w:rsidRPr="00587DB4">
        <w:rPr>
          <w:sz w:val="22"/>
          <w:szCs w:val="22"/>
          <w:lang w:val="el-GR"/>
        </w:rPr>
        <w:t xml:space="preserve">άπαξ ημερησίως. Ανάλογα με την ανταπόκριση κάθε ασθενούς, η δόση μπορεί να αυξηθεί σε 10 </w:t>
      </w:r>
      <w:r w:rsidRPr="00587DB4">
        <w:rPr>
          <w:sz w:val="22"/>
          <w:szCs w:val="22"/>
        </w:rPr>
        <w:t>mg</w:t>
      </w:r>
      <w:r w:rsidRPr="00E81D8F">
        <w:rPr>
          <w:sz w:val="22"/>
          <w:szCs w:val="22"/>
          <w:lang w:val="el-GR"/>
        </w:rPr>
        <w:t xml:space="preserve"> </w:t>
      </w:r>
      <w:r w:rsidRPr="00587DB4">
        <w:rPr>
          <w:sz w:val="22"/>
          <w:szCs w:val="22"/>
          <w:lang w:val="el-GR"/>
        </w:rPr>
        <w:t xml:space="preserve">ημερησίως </w:t>
      </w:r>
      <w:r w:rsidR="0032661A" w:rsidRPr="00587DB4">
        <w:rPr>
          <w:sz w:val="22"/>
          <w:szCs w:val="22"/>
          <w:lang w:val="el-GR"/>
        </w:rPr>
        <w:t>(βλ. παράγραφο 5.2).</w:t>
      </w:r>
    </w:p>
    <w:p w:rsidR="0032661A" w:rsidRPr="00E81D8F" w:rsidRDefault="0032661A">
      <w:pPr>
        <w:autoSpaceDE w:val="0"/>
        <w:autoSpaceDN w:val="0"/>
        <w:adjustRightInd w:val="0"/>
        <w:rPr>
          <w:sz w:val="22"/>
          <w:szCs w:val="22"/>
          <w:lang w:val="el-GR"/>
        </w:rPr>
      </w:pPr>
      <w:r w:rsidRPr="00587DB4">
        <w:rPr>
          <w:sz w:val="22"/>
          <w:szCs w:val="22"/>
          <w:lang w:val="el-GR"/>
        </w:rPr>
        <w:t xml:space="preserve">Η αποτελεσματικότητα του </w:t>
      </w:r>
      <w:r w:rsidR="00585172" w:rsidRPr="00E81D8F">
        <w:rPr>
          <w:sz w:val="22"/>
          <w:szCs w:val="22"/>
          <w:lang w:val="el-GR"/>
        </w:rPr>
        <w:t>Escitalopram/Actavis</w:t>
      </w:r>
      <w:r w:rsidR="00684613" w:rsidRPr="00E81D8F">
        <w:rPr>
          <w:sz w:val="22"/>
          <w:szCs w:val="22"/>
          <w:lang w:val="el-GR"/>
        </w:rPr>
        <w:t xml:space="preserve"> </w:t>
      </w:r>
      <w:r w:rsidRPr="00587DB4">
        <w:rPr>
          <w:sz w:val="22"/>
          <w:szCs w:val="22"/>
          <w:lang w:val="el-GR"/>
        </w:rPr>
        <w:t xml:space="preserve"> στην κοινωνική αγχώδη διαταραχή δεν έχει μελετηθεί σε ηλικιωμένους ασθενείς. </w:t>
      </w:r>
    </w:p>
    <w:p w:rsidR="0032661A" w:rsidRPr="00E81D8F" w:rsidRDefault="0032661A">
      <w:pPr>
        <w:autoSpaceDE w:val="0"/>
        <w:autoSpaceDN w:val="0"/>
        <w:adjustRightInd w:val="0"/>
        <w:rPr>
          <w:sz w:val="22"/>
          <w:szCs w:val="22"/>
          <w:lang w:val="el-GR"/>
        </w:rPr>
      </w:pPr>
    </w:p>
    <w:p w:rsidR="0032661A" w:rsidRPr="00E81D8F" w:rsidRDefault="009D45C3">
      <w:pPr>
        <w:autoSpaceDE w:val="0"/>
        <w:autoSpaceDN w:val="0"/>
        <w:adjustRightInd w:val="0"/>
        <w:rPr>
          <w:i/>
          <w:sz w:val="22"/>
          <w:szCs w:val="22"/>
          <w:lang w:val="el-GR"/>
        </w:rPr>
      </w:pPr>
      <w:r w:rsidRPr="00587DB4">
        <w:rPr>
          <w:i/>
          <w:sz w:val="22"/>
          <w:szCs w:val="22"/>
          <w:lang w:val="el-GR"/>
        </w:rPr>
        <w:t>Παιδιατρικός πληθυσμός</w:t>
      </w:r>
      <w:r w:rsidR="0032661A" w:rsidRPr="00587DB4">
        <w:rPr>
          <w:i/>
          <w:sz w:val="22"/>
          <w:szCs w:val="22"/>
          <w:lang w:val="el-GR"/>
        </w:rPr>
        <w:t>(&lt; 18 ετών)</w:t>
      </w:r>
    </w:p>
    <w:p w:rsidR="0032661A" w:rsidRPr="00E81D8F" w:rsidRDefault="0032661A">
      <w:pPr>
        <w:autoSpaceDE w:val="0"/>
        <w:autoSpaceDN w:val="0"/>
        <w:adjustRightInd w:val="0"/>
        <w:rPr>
          <w:sz w:val="22"/>
          <w:szCs w:val="22"/>
          <w:lang w:val="el-GR"/>
        </w:rPr>
      </w:pPr>
      <w:r w:rsidRPr="00587DB4">
        <w:rPr>
          <w:sz w:val="22"/>
          <w:szCs w:val="22"/>
          <w:lang w:val="el-GR"/>
        </w:rPr>
        <w:lastRenderedPageBreak/>
        <w:t xml:space="preserve">Το </w:t>
      </w:r>
      <w:r w:rsidR="00585172" w:rsidRPr="00E81D8F">
        <w:rPr>
          <w:sz w:val="22"/>
          <w:szCs w:val="22"/>
          <w:lang w:val="el-GR"/>
        </w:rPr>
        <w:t>Escitalopram/Actavis</w:t>
      </w:r>
      <w:r w:rsidR="00684613" w:rsidRPr="00E81D8F">
        <w:rPr>
          <w:sz w:val="22"/>
          <w:szCs w:val="22"/>
          <w:lang w:val="el-GR"/>
        </w:rPr>
        <w:t xml:space="preserve"> </w:t>
      </w:r>
      <w:r w:rsidRPr="00587DB4">
        <w:rPr>
          <w:sz w:val="22"/>
          <w:szCs w:val="22"/>
          <w:lang w:val="el-GR"/>
        </w:rPr>
        <w:t xml:space="preserve"> δεν θα πρέπει να χρησιμοποιείται για τη θεραπεία παιδιών και εφήβων ηλικίας κάτω των 18 ετών (βλ παράγραφο 4.4).</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Μειωμένη νεφρική λειτουργία</w:t>
      </w:r>
    </w:p>
    <w:p w:rsidR="0032661A" w:rsidRPr="00E81D8F" w:rsidRDefault="0032661A">
      <w:pPr>
        <w:autoSpaceDE w:val="0"/>
        <w:autoSpaceDN w:val="0"/>
        <w:adjustRightInd w:val="0"/>
        <w:rPr>
          <w:sz w:val="22"/>
          <w:szCs w:val="22"/>
          <w:lang w:val="el-GR"/>
        </w:rPr>
      </w:pPr>
      <w:r w:rsidRPr="00587DB4">
        <w:rPr>
          <w:sz w:val="22"/>
          <w:szCs w:val="22"/>
          <w:lang w:val="el-GR"/>
        </w:rPr>
        <w:t>Καμία δοσολογική ρύθμιση δεν είναι απαραίτητη σε ασθενείς με ήπια ή μέτρια πλημμελή νεφρική λειτουργία.</w:t>
      </w:r>
      <w:r w:rsidRPr="00E81D8F">
        <w:rPr>
          <w:sz w:val="22"/>
          <w:szCs w:val="22"/>
          <w:lang w:val="el-GR"/>
        </w:rPr>
        <w:t xml:space="preserve"> </w:t>
      </w:r>
      <w:r w:rsidRPr="00587DB4">
        <w:rPr>
          <w:sz w:val="22"/>
          <w:szCs w:val="22"/>
          <w:lang w:val="el-GR"/>
        </w:rPr>
        <w:t>Συνιστάται προσοχή σε ασθενείς με σοβαρά μειωμένη νεφρική λειτουργία (</w:t>
      </w:r>
      <w:r w:rsidRPr="00E81D8F">
        <w:rPr>
          <w:sz w:val="22"/>
          <w:szCs w:val="22"/>
          <w:lang w:val="el-GR"/>
        </w:rPr>
        <w:t>CL</w:t>
      </w:r>
      <w:r w:rsidRPr="00E81D8F">
        <w:rPr>
          <w:sz w:val="22"/>
          <w:szCs w:val="22"/>
          <w:vertAlign w:val="subscript"/>
          <w:lang w:val="el-GR"/>
        </w:rPr>
        <w:t>CR</w:t>
      </w:r>
      <w:r w:rsidRPr="00E81D8F">
        <w:rPr>
          <w:sz w:val="22"/>
          <w:szCs w:val="22"/>
          <w:lang w:val="el-GR"/>
        </w:rPr>
        <w:t xml:space="preserve"> </w:t>
      </w:r>
      <w:r w:rsidRPr="00587DB4">
        <w:rPr>
          <w:sz w:val="22"/>
          <w:szCs w:val="22"/>
          <w:lang w:val="el-GR"/>
        </w:rPr>
        <w:t xml:space="preserve">λιγότερο από </w:t>
      </w:r>
      <w:r w:rsidRPr="00E81D8F">
        <w:rPr>
          <w:sz w:val="22"/>
          <w:szCs w:val="22"/>
          <w:lang w:val="el-GR"/>
        </w:rPr>
        <w:t>30 ml/min) (</w:t>
      </w:r>
      <w:r w:rsidRPr="00587DB4">
        <w:rPr>
          <w:sz w:val="22"/>
          <w:szCs w:val="22"/>
          <w:lang w:val="el-GR"/>
        </w:rPr>
        <w:t>βλ. παράγραφο</w:t>
      </w:r>
      <w:r w:rsidRPr="00E81D8F">
        <w:rPr>
          <w:sz w:val="22"/>
          <w:szCs w:val="22"/>
          <w:lang w:val="el-GR"/>
        </w:rPr>
        <w:t xml:space="preserve"> 5.2).</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Μειωμένη ηπατική λειτουργία</w:t>
      </w:r>
    </w:p>
    <w:p w:rsidR="0032661A" w:rsidRPr="00E81D8F" w:rsidRDefault="0032661A">
      <w:pPr>
        <w:autoSpaceDE w:val="0"/>
        <w:autoSpaceDN w:val="0"/>
        <w:adjustRightInd w:val="0"/>
        <w:rPr>
          <w:sz w:val="22"/>
          <w:szCs w:val="22"/>
          <w:lang w:val="el-GR"/>
        </w:rPr>
      </w:pPr>
      <w:r w:rsidRPr="00587DB4">
        <w:rPr>
          <w:sz w:val="22"/>
          <w:szCs w:val="22"/>
          <w:lang w:val="el-GR"/>
        </w:rPr>
        <w:t xml:space="preserve">Μία αρχική δόση </w:t>
      </w:r>
      <w:r w:rsidRPr="00E81D8F">
        <w:rPr>
          <w:sz w:val="22"/>
          <w:szCs w:val="22"/>
          <w:lang w:val="el-GR"/>
        </w:rPr>
        <w:t xml:space="preserve">5 mg </w:t>
      </w:r>
      <w:r w:rsidRPr="00587DB4">
        <w:rPr>
          <w:sz w:val="22"/>
          <w:szCs w:val="22"/>
          <w:lang w:val="el-GR"/>
        </w:rPr>
        <w:t>ημερησίως για τις πρώτες δύο εβδομάδες θεραπείας συνιστάται σε ασθενείς με ήπια ή μέτρια πλημμελή ηπατική λειτουργία.</w:t>
      </w:r>
      <w:r w:rsidRPr="00E81D8F">
        <w:rPr>
          <w:sz w:val="22"/>
          <w:szCs w:val="22"/>
          <w:lang w:val="el-GR"/>
        </w:rPr>
        <w:t xml:space="preserve"> </w:t>
      </w:r>
      <w:r w:rsidRPr="00587DB4">
        <w:rPr>
          <w:sz w:val="22"/>
          <w:szCs w:val="22"/>
          <w:lang w:val="el-GR"/>
        </w:rPr>
        <w:t>Ανάλογα με την ανταπόκριση κάθε μεμονωμένου ασθενούς, η δόση μπορεί να αυξηθεί έως τα 10 mg ημερησίως.</w:t>
      </w:r>
      <w:r w:rsidRPr="00E81D8F">
        <w:rPr>
          <w:sz w:val="22"/>
          <w:szCs w:val="22"/>
          <w:lang w:val="el-GR"/>
        </w:rPr>
        <w:t xml:space="preserve"> </w:t>
      </w:r>
      <w:r w:rsidRPr="00587DB4">
        <w:rPr>
          <w:sz w:val="22"/>
          <w:szCs w:val="22"/>
          <w:lang w:val="el-GR"/>
        </w:rPr>
        <w:t>Προσοχή και ιδιαίτερα προσεκτική τιτλοποίηση της δόσης συνιστάται σε ασθενείς με σοβαρά μειωμένη ηπατική λειτουργία (βλ. παράγραφο 5.2).</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Ασθενείς με πτωχή μεταβολική ικανότητα όσον αφορά στο CYP2C19</w:t>
      </w:r>
    </w:p>
    <w:p w:rsidR="0032661A" w:rsidRPr="00E81D8F" w:rsidRDefault="0032661A">
      <w:pPr>
        <w:autoSpaceDE w:val="0"/>
        <w:autoSpaceDN w:val="0"/>
        <w:adjustRightInd w:val="0"/>
        <w:rPr>
          <w:sz w:val="22"/>
          <w:szCs w:val="22"/>
          <w:lang w:val="el-GR"/>
        </w:rPr>
      </w:pPr>
      <w:r w:rsidRPr="00587DB4">
        <w:rPr>
          <w:sz w:val="22"/>
          <w:szCs w:val="22"/>
          <w:lang w:val="el-GR"/>
        </w:rPr>
        <w:t xml:space="preserve">Για τους ασθενείς που είναι γνωστό ότι έχουν πτωχή μεταβολική ικανότητα όσον αφορά στο </w:t>
      </w:r>
      <w:r w:rsidRPr="00E81D8F">
        <w:rPr>
          <w:sz w:val="22"/>
          <w:szCs w:val="22"/>
          <w:lang w:val="el-GR"/>
        </w:rPr>
        <w:t>CYP2C19</w:t>
      </w:r>
      <w:r w:rsidRPr="00587DB4">
        <w:rPr>
          <w:sz w:val="22"/>
          <w:szCs w:val="22"/>
          <w:lang w:val="el-GR"/>
        </w:rPr>
        <w:t xml:space="preserve">, συνιστάται μία αρχική δόση </w:t>
      </w:r>
      <w:r w:rsidRPr="00E81D8F">
        <w:rPr>
          <w:sz w:val="22"/>
          <w:szCs w:val="22"/>
          <w:lang w:val="el-GR"/>
        </w:rPr>
        <w:t xml:space="preserve">5 mg </w:t>
      </w:r>
      <w:r w:rsidRPr="00587DB4">
        <w:rPr>
          <w:sz w:val="22"/>
          <w:szCs w:val="22"/>
          <w:lang w:val="el-GR"/>
        </w:rPr>
        <w:t>ημερησίως κατά τη διάρκεια των πρώτων δύο εβδομάδων θεραπείας.</w:t>
      </w:r>
      <w:r w:rsidRPr="00E81D8F">
        <w:rPr>
          <w:sz w:val="22"/>
          <w:szCs w:val="22"/>
          <w:lang w:val="el-GR"/>
        </w:rPr>
        <w:t xml:space="preserve"> </w:t>
      </w:r>
      <w:r w:rsidRPr="00587DB4">
        <w:rPr>
          <w:sz w:val="22"/>
          <w:szCs w:val="22"/>
          <w:lang w:val="el-GR"/>
        </w:rPr>
        <w:t>Ανάλογα με την ανταπόκριση κάθε μεμονωμένου ασθενούς, η δόση μπορεί να αυξηθεί έως τα 10 mg ημερησίως (βλ. παράγραφο 5.2).</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Διακοπή της θεραπείας</w:t>
      </w:r>
    </w:p>
    <w:p w:rsidR="0032661A" w:rsidRPr="00203D2F" w:rsidRDefault="0032661A">
      <w:pPr>
        <w:autoSpaceDE w:val="0"/>
        <w:autoSpaceDN w:val="0"/>
        <w:adjustRightInd w:val="0"/>
        <w:rPr>
          <w:sz w:val="22"/>
          <w:szCs w:val="22"/>
          <w:lang w:val="el-GR"/>
        </w:rPr>
      </w:pPr>
      <w:r w:rsidRPr="00587DB4">
        <w:rPr>
          <w:sz w:val="22"/>
          <w:szCs w:val="22"/>
          <w:lang w:val="el-GR"/>
        </w:rPr>
        <w:t>Η αιφνίδια διακοπή της θεραπείας θα πρέπει να αποφεύγεται.</w:t>
      </w:r>
      <w:r w:rsidRPr="00E81D8F">
        <w:rPr>
          <w:sz w:val="22"/>
          <w:szCs w:val="22"/>
          <w:lang w:val="el-GR"/>
        </w:rPr>
        <w:t xml:space="preserve"> </w:t>
      </w:r>
      <w:r w:rsidRPr="00587DB4">
        <w:rPr>
          <w:sz w:val="22"/>
          <w:szCs w:val="22"/>
          <w:lang w:val="el-GR"/>
        </w:rPr>
        <w:t xml:space="preserve">Κατά τη διακοπή της θεραπείας με </w:t>
      </w:r>
      <w:r w:rsidR="00585172" w:rsidRPr="00E81D8F">
        <w:rPr>
          <w:sz w:val="22"/>
          <w:szCs w:val="22"/>
          <w:lang w:val="el-GR"/>
        </w:rPr>
        <w:t>Escitalopram/Actavis</w:t>
      </w:r>
      <w:r w:rsidR="00684613" w:rsidRPr="00E81D8F">
        <w:rPr>
          <w:sz w:val="22"/>
          <w:szCs w:val="22"/>
          <w:lang w:val="el-GR"/>
        </w:rPr>
        <w:t xml:space="preserve"> </w:t>
      </w:r>
      <w:r w:rsidRPr="00587DB4">
        <w:rPr>
          <w:sz w:val="22"/>
          <w:szCs w:val="22"/>
          <w:lang w:val="el-GR"/>
        </w:rPr>
        <w:t>, η δόση θα πρέπει να μειώνεται σταδιακά εντός μίας περιόδου τουλάχιστον μίας έως δύο εβδομάδων προκειμένου να μειωθεί ο κίνδυνος εμφάνισης συμπτωμάτων στέρησης (βλ. παράγραφο 4.4 και παράγραφο 4.8).</w:t>
      </w:r>
      <w:r w:rsidRPr="00E81D8F">
        <w:rPr>
          <w:sz w:val="22"/>
          <w:szCs w:val="22"/>
          <w:lang w:val="el-GR"/>
        </w:rPr>
        <w:t xml:space="preserve"> </w:t>
      </w:r>
      <w:r w:rsidRPr="00587DB4">
        <w:rPr>
          <w:sz w:val="22"/>
          <w:szCs w:val="22"/>
          <w:lang w:val="el-GR"/>
        </w:rPr>
        <w:t>Εάν εμφανιστούν μη ανεκτά συμπτώματα μετά από μία μείωση της δόσης ή με τη διακοπή της θεραπείας, θα πρέπει να εξετάζεται το ενδεχόμενο επανέναρξης της προηγουμένως συνταγογραφηθείσας δόσης.</w:t>
      </w:r>
      <w:r w:rsidRPr="00E81D8F">
        <w:rPr>
          <w:sz w:val="22"/>
          <w:szCs w:val="22"/>
          <w:lang w:val="el-GR"/>
        </w:rPr>
        <w:t xml:space="preserve"> </w:t>
      </w:r>
      <w:r w:rsidRPr="00587DB4">
        <w:rPr>
          <w:sz w:val="22"/>
          <w:szCs w:val="22"/>
          <w:lang w:val="el-GR"/>
        </w:rPr>
        <w:t>Επακολούθως, ο γιατρός μπορεί να συνεχίσει να μειώνει τη δόση, αλλά με έναν περισσότερο σταδιακό ρυθμό.</w:t>
      </w:r>
    </w:p>
    <w:p w:rsidR="0032661A" w:rsidRPr="00E81D8F" w:rsidRDefault="0032661A">
      <w:pPr>
        <w:autoSpaceDE w:val="0"/>
        <w:autoSpaceDN w:val="0"/>
        <w:adjustRightInd w:val="0"/>
        <w:rPr>
          <w:sz w:val="22"/>
          <w:szCs w:val="22"/>
          <w:lang w:val="el-GR"/>
        </w:rPr>
      </w:pPr>
      <w:r w:rsidRPr="00587DB4">
        <w:rPr>
          <w:sz w:val="22"/>
          <w:szCs w:val="22"/>
          <w:lang w:val="el-GR"/>
        </w:rPr>
        <w:t xml:space="preserve">Για τις διαφορετικές δοσολογίες διατίθενται τα επικαλυμμένα με λεπτό υμένιο δισκία των </w:t>
      </w:r>
      <w:r w:rsidRPr="00E81D8F">
        <w:rPr>
          <w:sz w:val="22"/>
          <w:szCs w:val="22"/>
          <w:lang w:val="el-GR"/>
        </w:rPr>
        <w:t xml:space="preserve">5 mg, 10 mg, 15 mg </w:t>
      </w:r>
      <w:r w:rsidRPr="00587DB4">
        <w:rPr>
          <w:sz w:val="22"/>
          <w:szCs w:val="22"/>
          <w:lang w:val="el-GR"/>
        </w:rPr>
        <w:t>και</w:t>
      </w:r>
      <w:r w:rsidRPr="00E81D8F">
        <w:rPr>
          <w:sz w:val="22"/>
          <w:szCs w:val="22"/>
          <w:lang w:val="el-GR"/>
        </w:rPr>
        <w:t xml:space="preserve"> 20 mg</w:t>
      </w:r>
      <w:r w:rsidRPr="00587DB4">
        <w:rPr>
          <w:sz w:val="22"/>
          <w:szCs w:val="22"/>
          <w:lang w:val="el-GR"/>
        </w:rPr>
        <w:t>.</w:t>
      </w:r>
    </w:p>
    <w:p w:rsidR="0032661A" w:rsidRPr="00E81D8F" w:rsidRDefault="0032661A">
      <w:pPr>
        <w:autoSpaceDE w:val="0"/>
        <w:autoSpaceDN w:val="0"/>
        <w:adjustRightInd w:val="0"/>
        <w:rPr>
          <w:sz w:val="22"/>
          <w:szCs w:val="22"/>
          <w:lang w:val="el-GR"/>
        </w:rPr>
      </w:pPr>
    </w:p>
    <w:p w:rsidR="0032661A" w:rsidRPr="007E4D87" w:rsidRDefault="0032661A" w:rsidP="00203D2F">
      <w:pPr>
        <w:ind w:left="567" w:hanging="567"/>
        <w:rPr>
          <w:sz w:val="22"/>
          <w:szCs w:val="22"/>
          <w:lang w:val="el-GR"/>
        </w:rPr>
      </w:pPr>
      <w:r w:rsidRPr="00587DB4">
        <w:rPr>
          <w:b/>
          <w:sz w:val="22"/>
          <w:szCs w:val="22"/>
          <w:lang w:val="el-GR"/>
        </w:rPr>
        <w:t>4.3</w:t>
      </w:r>
      <w:r w:rsidRPr="00587DB4">
        <w:rPr>
          <w:b/>
          <w:sz w:val="22"/>
          <w:szCs w:val="22"/>
          <w:lang w:val="el-GR"/>
        </w:rPr>
        <w:tab/>
        <w:t>Αντενδείξεις</w:t>
      </w:r>
    </w:p>
    <w:p w:rsidR="0032661A" w:rsidRPr="00E81D8F" w:rsidRDefault="0032661A" w:rsidP="00E81D8F">
      <w:pPr>
        <w:ind w:left="142" w:hanging="142"/>
        <w:rPr>
          <w:sz w:val="22"/>
          <w:szCs w:val="22"/>
          <w:lang w:val="el-GR"/>
        </w:rPr>
      </w:pPr>
      <w:r w:rsidRPr="00587DB4">
        <w:rPr>
          <w:sz w:val="22"/>
          <w:szCs w:val="22"/>
          <w:lang w:val="el-GR"/>
        </w:rPr>
        <w:t xml:space="preserve">- Υπερευαισθησία </w:t>
      </w:r>
      <w:r w:rsidR="009D45C3" w:rsidRPr="00587DB4">
        <w:rPr>
          <w:sz w:val="22"/>
          <w:szCs w:val="22"/>
          <w:lang w:val="el-GR"/>
        </w:rPr>
        <w:t xml:space="preserve">στη δραστική ουσία </w:t>
      </w:r>
      <w:r w:rsidRPr="00587DB4">
        <w:rPr>
          <w:sz w:val="22"/>
          <w:szCs w:val="22"/>
          <w:lang w:val="el-GR"/>
        </w:rPr>
        <w:t xml:space="preserve">ή σε </w:t>
      </w:r>
      <w:r w:rsidR="009D45C3" w:rsidRPr="00587DB4">
        <w:rPr>
          <w:sz w:val="22"/>
          <w:szCs w:val="22"/>
          <w:lang w:val="el-GR"/>
        </w:rPr>
        <w:t xml:space="preserve">κάποιο </w:t>
      </w:r>
      <w:r w:rsidRPr="00587DB4">
        <w:rPr>
          <w:sz w:val="22"/>
          <w:szCs w:val="22"/>
          <w:lang w:val="el-GR"/>
        </w:rPr>
        <w:t>από τα έκδοχα</w:t>
      </w:r>
      <w:r w:rsidR="009D45C3" w:rsidRPr="00587DB4">
        <w:rPr>
          <w:sz w:val="22"/>
          <w:szCs w:val="22"/>
          <w:lang w:val="el-GR"/>
        </w:rPr>
        <w:t xml:space="preserve"> που αναφέρονται στην παράγραφο 6.1</w:t>
      </w:r>
    </w:p>
    <w:p w:rsidR="0032661A" w:rsidRPr="00587DB4" w:rsidRDefault="0032661A">
      <w:pPr>
        <w:autoSpaceDE w:val="0"/>
        <w:autoSpaceDN w:val="0"/>
        <w:adjustRightInd w:val="0"/>
        <w:ind w:left="142" w:hanging="142"/>
        <w:rPr>
          <w:sz w:val="22"/>
          <w:szCs w:val="22"/>
          <w:lang w:val="el-GR"/>
        </w:rPr>
      </w:pPr>
      <w:r w:rsidRPr="00587DB4">
        <w:rPr>
          <w:sz w:val="22"/>
          <w:szCs w:val="22"/>
          <w:lang w:val="el-GR"/>
        </w:rPr>
        <w:t xml:space="preserve">- Η ταυτόχρονη θεραπεία με μη εκλεκτικούς, </w:t>
      </w:r>
      <w:r w:rsidR="00032A09" w:rsidRPr="00587DB4">
        <w:rPr>
          <w:sz w:val="22"/>
          <w:szCs w:val="22"/>
          <w:lang w:val="el-GR"/>
        </w:rPr>
        <w:t xml:space="preserve">μη </w:t>
      </w:r>
      <w:r w:rsidRPr="00587DB4">
        <w:rPr>
          <w:sz w:val="22"/>
          <w:szCs w:val="22"/>
          <w:lang w:val="el-GR"/>
        </w:rPr>
        <w:t>αναστρέψιμους αναστολείς της μονοαμινοξειδάσης (αναστολείς ΜΑΟ) αντενδείκνυται λόγω του κινδύνου εμφάνισης συνδρόμου σεροτονίνης με διέγερση, τρόμο, υπερθερμία κ.λπ. (βλ. παράγραφο 4.5)</w:t>
      </w:r>
    </w:p>
    <w:p w:rsidR="0032661A" w:rsidRPr="00587DB4" w:rsidRDefault="0032661A">
      <w:pPr>
        <w:autoSpaceDE w:val="0"/>
        <w:autoSpaceDN w:val="0"/>
        <w:adjustRightInd w:val="0"/>
        <w:ind w:left="142" w:hanging="142"/>
        <w:rPr>
          <w:sz w:val="22"/>
          <w:szCs w:val="22"/>
          <w:lang w:val="el-GR"/>
        </w:rPr>
      </w:pPr>
      <w:r w:rsidRPr="00587DB4">
        <w:rPr>
          <w:sz w:val="22"/>
          <w:szCs w:val="22"/>
          <w:lang w:val="el-GR"/>
        </w:rPr>
        <w:t xml:space="preserve">- Ο συνδυασμός της εσιταλοπράμης με </w:t>
      </w:r>
      <w:r w:rsidRPr="00587DB4">
        <w:rPr>
          <w:i/>
          <w:sz w:val="22"/>
          <w:szCs w:val="22"/>
          <w:lang w:val="el-GR"/>
        </w:rPr>
        <w:t>αναστρέψιμους</w:t>
      </w:r>
      <w:r w:rsidRPr="00587DB4">
        <w:rPr>
          <w:sz w:val="22"/>
          <w:szCs w:val="22"/>
          <w:lang w:val="el-GR"/>
        </w:rPr>
        <w:t xml:space="preserve"> αναστολείς ΜΑΟ-Α (π.χ. μοκλοβεμίδη) ή με τον </w:t>
      </w:r>
      <w:r w:rsidRPr="00587DB4">
        <w:rPr>
          <w:i/>
          <w:sz w:val="22"/>
          <w:szCs w:val="22"/>
          <w:lang w:val="el-GR"/>
        </w:rPr>
        <w:t>αναστρέψιμο μη εκλεκτικό</w:t>
      </w:r>
      <w:r w:rsidRPr="00587DB4">
        <w:rPr>
          <w:sz w:val="22"/>
          <w:szCs w:val="22"/>
          <w:lang w:val="el-GR"/>
        </w:rPr>
        <w:t xml:space="preserve"> αναστολέα ΜΑΟ λινεζολίδη αντενδείκνυται λόγω του κινδύνου έναρξης συνδρόμου σεροτονίνης (βλ. παράγραφο 4.5)</w:t>
      </w:r>
    </w:p>
    <w:p w:rsidR="009D45C3" w:rsidRPr="00587DB4" w:rsidRDefault="009D45C3">
      <w:pPr>
        <w:autoSpaceDE w:val="0"/>
        <w:autoSpaceDN w:val="0"/>
        <w:adjustRightInd w:val="0"/>
        <w:ind w:left="142" w:hanging="142"/>
        <w:rPr>
          <w:sz w:val="22"/>
          <w:lang w:val="el-GR"/>
        </w:rPr>
      </w:pPr>
      <w:r w:rsidRPr="00587DB4">
        <w:rPr>
          <w:sz w:val="22"/>
          <w:szCs w:val="22"/>
          <w:lang w:val="el-GR"/>
        </w:rPr>
        <w:t xml:space="preserve">- Η εσιταλοπράμη </w:t>
      </w:r>
      <w:r w:rsidRPr="00587DB4">
        <w:rPr>
          <w:sz w:val="22"/>
          <w:lang w:val="el-GR"/>
        </w:rPr>
        <w:t xml:space="preserve">αντενδείκνυται σε ασθενείς με γνωστή παράταση του διαστήματος </w:t>
      </w:r>
      <w:r w:rsidRPr="00587DB4">
        <w:rPr>
          <w:sz w:val="22"/>
        </w:rPr>
        <w:t>QT</w:t>
      </w:r>
      <w:r w:rsidRPr="00587DB4">
        <w:rPr>
          <w:sz w:val="22"/>
          <w:lang w:val="el-GR"/>
        </w:rPr>
        <w:t xml:space="preserve"> ή με συγγενές σύνδρομο παρατεταμένου διαστήματος QT</w:t>
      </w:r>
    </w:p>
    <w:p w:rsidR="009D45C3" w:rsidRPr="00587DB4" w:rsidRDefault="009D45C3">
      <w:pPr>
        <w:autoSpaceDE w:val="0"/>
        <w:autoSpaceDN w:val="0"/>
        <w:adjustRightInd w:val="0"/>
        <w:ind w:left="142" w:hanging="142"/>
        <w:rPr>
          <w:sz w:val="22"/>
          <w:szCs w:val="22"/>
          <w:lang w:val="el-GR"/>
        </w:rPr>
      </w:pPr>
      <w:r w:rsidRPr="00587DB4">
        <w:rPr>
          <w:sz w:val="22"/>
          <w:lang w:val="el-GR"/>
        </w:rPr>
        <w:t xml:space="preserve">- Η εσιταλοπράμη αντενδείκνυται σε συνδυασμό με άλλα φαρμακευτικά προϊόντα που είναι γνωστό ότι προκαλούν παράταση του διαστήματος </w:t>
      </w:r>
      <w:r w:rsidRPr="00587DB4">
        <w:rPr>
          <w:sz w:val="22"/>
        </w:rPr>
        <w:t>QT</w:t>
      </w:r>
      <w:r w:rsidRPr="00587DB4">
        <w:rPr>
          <w:sz w:val="22"/>
          <w:lang w:val="el-GR"/>
        </w:rPr>
        <w:t xml:space="preserve"> (βλ. παράγραφο 4.5)</w:t>
      </w:r>
    </w:p>
    <w:p w:rsidR="0032661A" w:rsidRPr="00587DB4" w:rsidRDefault="0032661A">
      <w:pPr>
        <w:autoSpaceDE w:val="0"/>
        <w:autoSpaceDN w:val="0"/>
        <w:adjustRightInd w:val="0"/>
        <w:ind w:left="142" w:hanging="142"/>
        <w:rPr>
          <w:sz w:val="22"/>
          <w:szCs w:val="22"/>
          <w:lang w:val="el-GR"/>
        </w:rPr>
      </w:pPr>
    </w:p>
    <w:p w:rsidR="0032661A" w:rsidRPr="00203D2F" w:rsidRDefault="0032661A" w:rsidP="00203D2F">
      <w:pPr>
        <w:ind w:left="567" w:hanging="567"/>
        <w:rPr>
          <w:sz w:val="22"/>
          <w:szCs w:val="22"/>
          <w:lang w:val="el-GR"/>
        </w:rPr>
      </w:pPr>
      <w:r w:rsidRPr="00587DB4">
        <w:rPr>
          <w:b/>
          <w:sz w:val="22"/>
          <w:szCs w:val="22"/>
          <w:lang w:val="el-GR"/>
        </w:rPr>
        <w:t>4.4</w:t>
      </w:r>
      <w:r w:rsidRPr="00587DB4">
        <w:rPr>
          <w:b/>
          <w:sz w:val="22"/>
          <w:szCs w:val="22"/>
          <w:lang w:val="el-GR"/>
        </w:rPr>
        <w:tab/>
        <w:t>Ειδικές προειδοποιήσεις και προφυλάξεις κατά τη χρήση</w:t>
      </w:r>
    </w:p>
    <w:p w:rsidR="0032661A" w:rsidRPr="00E81D8F" w:rsidRDefault="0032661A">
      <w:pPr>
        <w:autoSpaceDE w:val="0"/>
        <w:autoSpaceDN w:val="0"/>
        <w:adjustRightInd w:val="0"/>
        <w:rPr>
          <w:sz w:val="22"/>
          <w:szCs w:val="22"/>
          <w:lang w:val="el-GR"/>
        </w:rPr>
      </w:pPr>
      <w:r w:rsidRPr="00587DB4">
        <w:rPr>
          <w:sz w:val="22"/>
          <w:szCs w:val="22"/>
          <w:lang w:val="el-GR"/>
        </w:rPr>
        <w:t xml:space="preserve">Οι ακόλουθες ειδικές προειδοποιήσεις και προφυλάξεις ισχύουν για τη θεραπευτική κατηγορία των </w:t>
      </w:r>
      <w:r w:rsidRPr="00E81D8F">
        <w:rPr>
          <w:sz w:val="22"/>
          <w:szCs w:val="22"/>
          <w:lang w:val="el-GR"/>
        </w:rPr>
        <w:t>SSRI</w:t>
      </w:r>
      <w:r w:rsidRPr="00587DB4">
        <w:rPr>
          <w:sz w:val="22"/>
          <w:szCs w:val="22"/>
          <w:lang w:val="el-GR"/>
        </w:rPr>
        <w:t xml:space="preserve"> (Εκλεκτικοί Αναστολείς Επαναπρόσληψης Σεροτονίνης).</w:t>
      </w:r>
      <w:r w:rsidRPr="00E81D8F">
        <w:rPr>
          <w:sz w:val="22"/>
          <w:szCs w:val="22"/>
          <w:lang w:val="el-GR"/>
        </w:rPr>
        <w:t xml:space="preserve"> </w:t>
      </w:r>
    </w:p>
    <w:p w:rsidR="0032661A" w:rsidRPr="00E81D8F" w:rsidRDefault="0032661A">
      <w:pPr>
        <w:autoSpaceDE w:val="0"/>
        <w:autoSpaceDN w:val="0"/>
        <w:adjustRightInd w:val="0"/>
        <w:rPr>
          <w:sz w:val="22"/>
          <w:szCs w:val="22"/>
          <w:lang w:val="el-GR"/>
        </w:rPr>
      </w:pPr>
    </w:p>
    <w:p w:rsidR="0032661A" w:rsidRPr="00E81D8F" w:rsidRDefault="009D45C3">
      <w:pPr>
        <w:autoSpaceDE w:val="0"/>
        <w:autoSpaceDN w:val="0"/>
        <w:adjustRightInd w:val="0"/>
        <w:rPr>
          <w:i/>
          <w:sz w:val="22"/>
          <w:szCs w:val="22"/>
          <w:lang w:val="el-GR"/>
        </w:rPr>
      </w:pPr>
      <w:r w:rsidRPr="00587DB4">
        <w:rPr>
          <w:i/>
          <w:sz w:val="22"/>
          <w:szCs w:val="22"/>
          <w:lang w:val="el-GR"/>
        </w:rPr>
        <w:t>Παιδιατρικός πληθυσμός</w:t>
      </w:r>
    </w:p>
    <w:p w:rsidR="0032661A" w:rsidRPr="00E81D8F" w:rsidRDefault="0032661A">
      <w:pPr>
        <w:autoSpaceDE w:val="0"/>
        <w:autoSpaceDN w:val="0"/>
        <w:adjustRightInd w:val="0"/>
        <w:rPr>
          <w:sz w:val="22"/>
          <w:szCs w:val="22"/>
          <w:lang w:val="el-GR"/>
        </w:rPr>
      </w:pPr>
      <w:r w:rsidRPr="00587DB4">
        <w:rPr>
          <w:sz w:val="22"/>
          <w:szCs w:val="22"/>
          <w:lang w:val="el-GR"/>
        </w:rPr>
        <w:lastRenderedPageBreak/>
        <w:t xml:space="preserve">Το </w:t>
      </w:r>
      <w:r w:rsidR="00585172" w:rsidRPr="00587DB4">
        <w:rPr>
          <w:sz w:val="22"/>
          <w:szCs w:val="22"/>
          <w:lang w:val="el-GR"/>
        </w:rPr>
        <w:t>Escitalopram/Actavis</w:t>
      </w:r>
      <w:r w:rsidR="00684613" w:rsidRPr="00587DB4">
        <w:rPr>
          <w:sz w:val="22"/>
          <w:szCs w:val="22"/>
          <w:lang w:val="el-GR"/>
        </w:rPr>
        <w:t xml:space="preserve"> </w:t>
      </w:r>
      <w:r w:rsidRPr="00587DB4">
        <w:rPr>
          <w:sz w:val="22"/>
          <w:szCs w:val="22"/>
          <w:lang w:val="el-GR"/>
        </w:rPr>
        <w:t xml:space="preserve"> δεν θα πρέπει να χρησιμοποιείται για τη θεραπεία παιδιών και εφήβων ηλικίας κάτω των 18 ετών.</w:t>
      </w:r>
      <w:r w:rsidRPr="00E81D8F">
        <w:rPr>
          <w:sz w:val="22"/>
          <w:szCs w:val="22"/>
          <w:lang w:val="el-GR"/>
        </w:rPr>
        <w:t xml:space="preserve"> </w:t>
      </w:r>
      <w:r w:rsidRPr="00587DB4">
        <w:rPr>
          <w:sz w:val="22"/>
          <w:szCs w:val="22"/>
          <w:lang w:val="el-GR"/>
        </w:rPr>
        <w:t>Συμπεριφορά που σχετίζεται με αυτοκτονία (απόπειρα αυτοκτονίας και αυτοκτονικές σκέψεις), και εχθρικότητα (κατά κύριο λόγο επιθετικότητα, εναντιωματική συμπεριφορά και θυμός) παρατηρήθηκαν πιο συχνά σε κλινικές δομικές μεταξύ παιδιών και εφήβων που λάμβαναν θεραπεία με αντικαταθλιπτικά σε σύγκριση με εκείνα που λάμβαναν εικονικό φάρμακο.</w:t>
      </w:r>
      <w:r w:rsidRPr="00E81D8F">
        <w:rPr>
          <w:sz w:val="22"/>
          <w:szCs w:val="22"/>
          <w:lang w:val="el-GR"/>
        </w:rPr>
        <w:t xml:space="preserve"> </w:t>
      </w:r>
      <w:r w:rsidRPr="00587DB4">
        <w:rPr>
          <w:sz w:val="22"/>
          <w:szCs w:val="22"/>
          <w:lang w:val="el-GR"/>
        </w:rPr>
        <w:t>Εάν, βάσει των κλινικών αναγκών, ληφθεί τελικά η απόφαση χορήγησης θεραπείας, ο ασθενής θα πρέπει να παρακολουθείται προσεκτικά για την εμφάνιση αυτοκτονικών συμπτωμάτων.</w:t>
      </w:r>
      <w:r w:rsidRPr="00E81D8F">
        <w:rPr>
          <w:sz w:val="22"/>
          <w:szCs w:val="22"/>
          <w:lang w:val="el-GR"/>
        </w:rPr>
        <w:t xml:space="preserve"> </w:t>
      </w:r>
      <w:r w:rsidRPr="00587DB4">
        <w:rPr>
          <w:sz w:val="22"/>
          <w:szCs w:val="22"/>
          <w:lang w:val="el-GR"/>
        </w:rPr>
        <w:t>Επιπροσθέτως, δεν υπάρχουν διαθέσιμα δεδομένα μακροχρόνιας ασφάλειας σε παιδιά και εφήβους που αφορούν στην ανάπτυξη, την ωρίμανση και τη γνωσιακή και συμπεριφεριολογική ανάπτυξη.</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Παράδοξο άγχος</w:t>
      </w:r>
    </w:p>
    <w:p w:rsidR="0032661A" w:rsidRPr="00E81D8F" w:rsidRDefault="0032661A">
      <w:pPr>
        <w:autoSpaceDE w:val="0"/>
        <w:autoSpaceDN w:val="0"/>
        <w:adjustRightInd w:val="0"/>
        <w:rPr>
          <w:sz w:val="22"/>
          <w:szCs w:val="22"/>
          <w:lang w:val="el-GR"/>
        </w:rPr>
      </w:pPr>
      <w:r w:rsidRPr="00587DB4">
        <w:rPr>
          <w:sz w:val="22"/>
          <w:szCs w:val="22"/>
          <w:lang w:val="el-GR"/>
        </w:rPr>
        <w:t>Ορισμένοι ασθενείς με διαταραχή πανικού μπορεί να εμφανίσουν αυξημένα συμπτώματα άγχους κατά την έναρξη της θεραπείας με αντικαταθλιπτικά.</w:t>
      </w:r>
      <w:r w:rsidRPr="00E81D8F">
        <w:rPr>
          <w:sz w:val="22"/>
          <w:szCs w:val="22"/>
          <w:lang w:val="el-GR"/>
        </w:rPr>
        <w:t xml:space="preserve"> </w:t>
      </w:r>
      <w:r w:rsidRPr="00587DB4">
        <w:rPr>
          <w:sz w:val="22"/>
          <w:szCs w:val="22"/>
          <w:lang w:val="el-GR"/>
        </w:rPr>
        <w:t>Αυτή η παράδοξη αντίδραση συνήθως υποχωρεί εντός δύο εβδομάδων κατά τη συνεχιζόμενη θεραπεία.</w:t>
      </w:r>
      <w:r w:rsidRPr="00E81D8F">
        <w:rPr>
          <w:sz w:val="22"/>
          <w:szCs w:val="22"/>
          <w:lang w:val="el-GR"/>
        </w:rPr>
        <w:t xml:space="preserve"> </w:t>
      </w:r>
      <w:r w:rsidRPr="00587DB4">
        <w:rPr>
          <w:sz w:val="22"/>
          <w:szCs w:val="22"/>
          <w:lang w:val="el-GR"/>
        </w:rPr>
        <w:t>Μία χαμηλή δόση έναρξης συνιστάται για τη μείωση της πιθανότητας εμφάνισης μίας αγχογόνου επίδρασης (βλ. παράγραφο 4.2).</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Σπασμοί</w:t>
      </w:r>
    </w:p>
    <w:p w:rsidR="0032661A" w:rsidRPr="00E81D8F" w:rsidRDefault="0032661A">
      <w:pPr>
        <w:autoSpaceDE w:val="0"/>
        <w:autoSpaceDN w:val="0"/>
        <w:adjustRightInd w:val="0"/>
        <w:rPr>
          <w:sz w:val="22"/>
          <w:szCs w:val="22"/>
          <w:lang w:val="el-GR"/>
        </w:rPr>
      </w:pPr>
      <w:r w:rsidRPr="00587DB4">
        <w:rPr>
          <w:sz w:val="22"/>
          <w:szCs w:val="22"/>
          <w:lang w:val="el-GR"/>
        </w:rPr>
        <w:t xml:space="preserve">Η χορήγηση του φαρμακευτικού προϊόντος θα πρέπει να διακόπτεται </w:t>
      </w:r>
      <w:r w:rsidR="009D1CAB" w:rsidRPr="00587DB4">
        <w:rPr>
          <w:sz w:val="22"/>
          <w:szCs w:val="22"/>
          <w:lang w:val="el-GR"/>
        </w:rPr>
        <w:t>εάν κάποιος</w:t>
      </w:r>
      <w:r w:rsidRPr="00587DB4">
        <w:rPr>
          <w:sz w:val="22"/>
          <w:szCs w:val="22"/>
          <w:lang w:val="el-GR"/>
        </w:rPr>
        <w:t xml:space="preserve"> ασθενή</w:t>
      </w:r>
      <w:r w:rsidR="009D1CAB" w:rsidRPr="00587DB4">
        <w:rPr>
          <w:sz w:val="22"/>
          <w:szCs w:val="22"/>
          <w:lang w:val="el-GR"/>
        </w:rPr>
        <w:t>ς</w:t>
      </w:r>
      <w:r w:rsidRPr="00587DB4">
        <w:rPr>
          <w:sz w:val="22"/>
          <w:szCs w:val="22"/>
          <w:lang w:val="el-GR"/>
        </w:rPr>
        <w:t xml:space="preserve"> αναπτύ</w:t>
      </w:r>
      <w:r w:rsidR="009D1CAB" w:rsidRPr="00587DB4">
        <w:rPr>
          <w:sz w:val="22"/>
          <w:szCs w:val="22"/>
          <w:lang w:val="el-GR"/>
        </w:rPr>
        <w:t>ξ</w:t>
      </w:r>
      <w:r w:rsidRPr="00587DB4">
        <w:rPr>
          <w:sz w:val="22"/>
          <w:szCs w:val="22"/>
          <w:lang w:val="el-GR"/>
        </w:rPr>
        <w:t>ει σπασμούς</w:t>
      </w:r>
      <w:r w:rsidR="004B1211" w:rsidRPr="00587DB4">
        <w:rPr>
          <w:sz w:val="22"/>
          <w:szCs w:val="22"/>
          <w:lang w:val="el-GR"/>
        </w:rPr>
        <w:t xml:space="preserve"> πρώτη φορά ή </w:t>
      </w:r>
      <w:r w:rsidR="000C67AC" w:rsidRPr="00587DB4">
        <w:rPr>
          <w:sz w:val="22"/>
          <w:szCs w:val="22"/>
          <w:lang w:val="el-GR"/>
        </w:rPr>
        <w:t xml:space="preserve">εάν παρουσιαστεί αύξηση της συχνότητας των σπασμών </w:t>
      </w:r>
      <w:r w:rsidR="00786D4A" w:rsidRPr="00587DB4">
        <w:rPr>
          <w:sz w:val="22"/>
          <w:szCs w:val="22"/>
          <w:lang w:val="el-GR"/>
        </w:rPr>
        <w:t>(σε ασθενείς με προγενέστερη διάγνωση επιληψία</w:t>
      </w:r>
      <w:r w:rsidR="0080590A" w:rsidRPr="00587DB4">
        <w:rPr>
          <w:sz w:val="22"/>
          <w:szCs w:val="22"/>
          <w:lang w:val="el-GR"/>
        </w:rPr>
        <w:t>ς</w:t>
      </w:r>
      <w:r w:rsidR="00786D4A" w:rsidRPr="00587DB4">
        <w:rPr>
          <w:sz w:val="22"/>
          <w:szCs w:val="22"/>
          <w:lang w:val="el-GR"/>
        </w:rPr>
        <w:t>).</w:t>
      </w:r>
      <w:r w:rsidRPr="00587DB4">
        <w:rPr>
          <w:sz w:val="22"/>
          <w:szCs w:val="22"/>
          <w:lang w:val="el-GR"/>
        </w:rPr>
        <w:t xml:space="preserve"> </w:t>
      </w:r>
      <w:r w:rsidRPr="00E81D8F">
        <w:rPr>
          <w:sz w:val="22"/>
          <w:szCs w:val="22"/>
          <w:lang w:val="el-GR"/>
        </w:rPr>
        <w:t xml:space="preserve"> </w:t>
      </w:r>
      <w:r w:rsidRPr="00587DB4">
        <w:rPr>
          <w:sz w:val="22"/>
          <w:szCs w:val="22"/>
          <w:lang w:val="el-GR"/>
        </w:rPr>
        <w:t xml:space="preserve">Η χορήγηση SSRI θα πρέπει να διακόπτεται σε ασθενείς με ασταθή επιληψία και οι ασθενείς με ελεγχόμενη επιληψία θα πρέπει να παρακολουθούνται προσεκτικά. </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Μανία</w:t>
      </w:r>
    </w:p>
    <w:p w:rsidR="0032661A" w:rsidRPr="00E81D8F" w:rsidRDefault="0032661A">
      <w:pPr>
        <w:autoSpaceDE w:val="0"/>
        <w:autoSpaceDN w:val="0"/>
        <w:adjustRightInd w:val="0"/>
        <w:rPr>
          <w:sz w:val="22"/>
          <w:szCs w:val="22"/>
          <w:lang w:val="el-GR"/>
        </w:rPr>
      </w:pPr>
      <w:r w:rsidRPr="00587DB4">
        <w:rPr>
          <w:sz w:val="22"/>
          <w:szCs w:val="22"/>
          <w:lang w:val="el-GR"/>
        </w:rPr>
        <w:t>Οι SSRI θα πρέπει να χορηγούνται με προσοχή σε ασθενείς με ιστορικό μανίας / υπομανίας.</w:t>
      </w:r>
      <w:r w:rsidRPr="00E81D8F">
        <w:rPr>
          <w:sz w:val="22"/>
          <w:szCs w:val="22"/>
          <w:lang w:val="el-GR"/>
        </w:rPr>
        <w:t xml:space="preserve"> </w:t>
      </w:r>
      <w:r w:rsidRPr="00587DB4">
        <w:rPr>
          <w:sz w:val="22"/>
          <w:szCs w:val="22"/>
          <w:lang w:val="el-GR"/>
        </w:rPr>
        <w:t>Η χορήγηση των SSRI θα πρέπει να διακόπτεται σε οποιονδήποτε ασθενή εισέρχεται στη μανιακή φάση.</w:t>
      </w:r>
      <w:r w:rsidRPr="00E81D8F">
        <w:rPr>
          <w:sz w:val="22"/>
          <w:szCs w:val="22"/>
          <w:lang w:val="el-GR"/>
        </w:rPr>
        <w:t xml:space="preserve"> </w:t>
      </w:r>
    </w:p>
    <w:p w:rsidR="0032661A" w:rsidRPr="00E81D8F" w:rsidRDefault="0032661A">
      <w:pPr>
        <w:autoSpaceDE w:val="0"/>
        <w:autoSpaceDN w:val="0"/>
        <w:adjustRightInd w:val="0"/>
        <w:rPr>
          <w:i/>
          <w:sz w:val="22"/>
          <w:szCs w:val="22"/>
          <w:lang w:val="el-GR"/>
        </w:rPr>
      </w:pPr>
      <w:r w:rsidRPr="00587DB4">
        <w:rPr>
          <w:i/>
          <w:sz w:val="22"/>
          <w:szCs w:val="22"/>
          <w:lang w:val="el-GR"/>
        </w:rPr>
        <w:t>Σακχαρώδης διαβήτης</w:t>
      </w:r>
    </w:p>
    <w:p w:rsidR="0032661A" w:rsidRPr="00E81D8F" w:rsidRDefault="0032661A">
      <w:pPr>
        <w:autoSpaceDE w:val="0"/>
        <w:autoSpaceDN w:val="0"/>
        <w:adjustRightInd w:val="0"/>
        <w:rPr>
          <w:sz w:val="22"/>
          <w:szCs w:val="22"/>
          <w:lang w:val="el-GR"/>
        </w:rPr>
      </w:pPr>
      <w:r w:rsidRPr="00587DB4">
        <w:rPr>
          <w:sz w:val="22"/>
          <w:szCs w:val="22"/>
          <w:lang w:val="el-GR"/>
        </w:rPr>
        <w:t>Σε ασθενείς με διαβήτη, η θεραπεία με έναν SSRI μπορεί να μεταβάλλει τον γλυκαιμικό έλεγχο (υπογλυκαιμία ή υπεργλυκαιμία).</w:t>
      </w:r>
      <w:r w:rsidRPr="00E81D8F">
        <w:rPr>
          <w:sz w:val="22"/>
          <w:szCs w:val="22"/>
          <w:lang w:val="el-GR"/>
        </w:rPr>
        <w:t xml:space="preserve"> </w:t>
      </w:r>
      <w:r w:rsidRPr="00587DB4">
        <w:rPr>
          <w:sz w:val="22"/>
          <w:szCs w:val="22"/>
          <w:lang w:val="el-GR"/>
        </w:rPr>
        <w:t xml:space="preserve">Μπορεί να απαιτηθεί ρύθμιση της δοσολογίας της ινσουλίνης ή/και των από του στόματος υπογλυκαιμικών παραγόντων. </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Αυτοκτονία / αυτοκτονικές σκέψεις ή κλινική επιδείνωση</w:t>
      </w:r>
    </w:p>
    <w:p w:rsidR="0032661A" w:rsidRPr="00E81D8F" w:rsidRDefault="0032661A">
      <w:pPr>
        <w:autoSpaceDE w:val="0"/>
        <w:autoSpaceDN w:val="0"/>
        <w:adjustRightInd w:val="0"/>
        <w:rPr>
          <w:sz w:val="22"/>
          <w:szCs w:val="22"/>
          <w:lang w:val="el-GR"/>
        </w:rPr>
      </w:pPr>
      <w:r w:rsidRPr="00587DB4">
        <w:rPr>
          <w:sz w:val="22"/>
          <w:szCs w:val="22"/>
          <w:lang w:val="el-GR"/>
        </w:rPr>
        <w:t>Η κατάθλιψη σχετίζεται με έναν αυξημένο κίνδυνο αυτοκτονικών σκέψεων, αυτο-τραυματισμού και αυτοκτονίας (συμβάματα σχετιζόμενα με αυτοκτονία).</w:t>
      </w:r>
      <w:r w:rsidRPr="00E81D8F">
        <w:rPr>
          <w:sz w:val="22"/>
          <w:szCs w:val="22"/>
          <w:lang w:val="el-GR"/>
        </w:rPr>
        <w:t xml:space="preserve"> </w:t>
      </w:r>
      <w:r w:rsidRPr="00587DB4">
        <w:rPr>
          <w:sz w:val="22"/>
          <w:szCs w:val="22"/>
          <w:lang w:val="el-GR"/>
        </w:rPr>
        <w:t>Αυτός ο κίνδυνος εμμένει έως ότου σημειωθεί σημαντική ύφεση.</w:t>
      </w:r>
      <w:r w:rsidRPr="00E81D8F">
        <w:rPr>
          <w:sz w:val="22"/>
          <w:szCs w:val="22"/>
          <w:lang w:val="el-GR"/>
        </w:rPr>
        <w:t xml:space="preserve"> </w:t>
      </w:r>
      <w:r w:rsidRPr="00587DB4">
        <w:rPr>
          <w:sz w:val="22"/>
          <w:szCs w:val="22"/>
          <w:lang w:val="el-GR"/>
        </w:rPr>
        <w:t>Καθώς μπορεί να μη σημειωθεί βελτίωση κατά τη διάρκεια των πρώτων λίγων ή περισσότερων εβδομάδων θεραπείας, οι ασθενείς θα πρέπει να παρακολουθούνται στενά έως την εμφάνιση μίας τέτοιας βελτίωσης.</w:t>
      </w:r>
      <w:r w:rsidRPr="00E81D8F">
        <w:rPr>
          <w:sz w:val="22"/>
          <w:szCs w:val="22"/>
          <w:lang w:val="el-GR"/>
        </w:rPr>
        <w:t xml:space="preserve"> </w:t>
      </w:r>
      <w:r w:rsidRPr="00587DB4">
        <w:rPr>
          <w:sz w:val="22"/>
          <w:szCs w:val="22"/>
          <w:lang w:val="el-GR"/>
        </w:rPr>
        <w:t>Αποτελεί γενική κλινική πείρα ότι ο κίνδυνος αυτοκτονίας μπορεί να αυξηθεί στα πρώιμα στάδια της ανάρρωσης.</w:t>
      </w:r>
    </w:p>
    <w:p w:rsidR="0032661A" w:rsidRPr="00E81D8F" w:rsidRDefault="0032661A">
      <w:pPr>
        <w:autoSpaceDE w:val="0"/>
        <w:autoSpaceDN w:val="0"/>
        <w:adjustRightInd w:val="0"/>
        <w:rPr>
          <w:sz w:val="22"/>
          <w:szCs w:val="22"/>
          <w:lang w:val="el-GR"/>
        </w:rPr>
      </w:pPr>
      <w:r w:rsidRPr="00587DB4">
        <w:rPr>
          <w:sz w:val="22"/>
          <w:szCs w:val="22"/>
          <w:lang w:val="el-GR"/>
        </w:rPr>
        <w:t xml:space="preserve">Άλλες ψυχιατρικές παθήσεις για τις οποίες συνταγογραφείται το </w:t>
      </w:r>
      <w:r w:rsidR="00585172" w:rsidRPr="00E81D8F">
        <w:rPr>
          <w:sz w:val="22"/>
          <w:szCs w:val="22"/>
          <w:lang w:val="el-GR"/>
        </w:rPr>
        <w:t>Escitalopram/Actavis</w:t>
      </w:r>
      <w:r w:rsidR="00684613" w:rsidRPr="00E81D8F">
        <w:rPr>
          <w:sz w:val="22"/>
          <w:szCs w:val="22"/>
          <w:lang w:val="el-GR"/>
        </w:rPr>
        <w:t xml:space="preserve"> </w:t>
      </w:r>
      <w:r w:rsidRPr="00E81D8F">
        <w:rPr>
          <w:sz w:val="22"/>
          <w:szCs w:val="22"/>
          <w:lang w:val="el-GR"/>
        </w:rPr>
        <w:t xml:space="preserve"> </w:t>
      </w:r>
      <w:r w:rsidRPr="00587DB4">
        <w:rPr>
          <w:sz w:val="22"/>
          <w:szCs w:val="22"/>
          <w:lang w:val="el-GR"/>
        </w:rPr>
        <w:t>μπορούν επίσης να σχετιστούν με έναν αυξημένο κίνδυνο σχετιζόμενων με αυτοκτονία συμβαμάτων.</w:t>
      </w:r>
      <w:r w:rsidRPr="00E81D8F">
        <w:rPr>
          <w:sz w:val="22"/>
          <w:szCs w:val="22"/>
          <w:lang w:val="el-GR"/>
        </w:rPr>
        <w:t xml:space="preserve"> </w:t>
      </w:r>
      <w:r w:rsidRPr="00587DB4">
        <w:rPr>
          <w:sz w:val="22"/>
          <w:szCs w:val="22"/>
          <w:lang w:val="el-GR"/>
        </w:rPr>
        <w:t>Επιπροσθέτως, αυτές οι παθήσεις μπορεί να σχετίζονται με την εμφάνιση μείζονος καταθλιπτικής διαταραχής.</w:t>
      </w:r>
      <w:r w:rsidRPr="00E81D8F">
        <w:rPr>
          <w:sz w:val="22"/>
          <w:szCs w:val="22"/>
          <w:lang w:val="el-GR"/>
        </w:rPr>
        <w:t xml:space="preserve"> </w:t>
      </w:r>
      <w:r w:rsidRPr="00587DB4">
        <w:rPr>
          <w:sz w:val="22"/>
          <w:szCs w:val="22"/>
          <w:lang w:val="el-GR"/>
        </w:rPr>
        <w:t>Οι ίδιες προφυλάξεις που παρατηρούνται κατά τη θεραπεία ασθενών με μείζονα καταθλιπτική διαταραχή, θα πρέπει συνεπώς να παρατηρούνται και κατά τη θεραπεία ασθενών με άλλες ψυχιατρικές διαταραχές.</w:t>
      </w:r>
    </w:p>
    <w:p w:rsidR="0032661A" w:rsidRPr="00587DB4" w:rsidRDefault="0032661A">
      <w:pPr>
        <w:autoSpaceDE w:val="0"/>
        <w:autoSpaceDN w:val="0"/>
        <w:adjustRightInd w:val="0"/>
        <w:rPr>
          <w:sz w:val="22"/>
          <w:szCs w:val="22"/>
          <w:lang w:val="el-GR"/>
        </w:rPr>
      </w:pPr>
      <w:r w:rsidRPr="00587DB4">
        <w:rPr>
          <w:sz w:val="22"/>
          <w:szCs w:val="22"/>
          <w:lang w:val="el-GR"/>
        </w:rPr>
        <w:t>Οι ασθενείς με ένα ιστορικό σχετιζόμενων με αυτοκτονία συμβαμάτων ή εκείνοι που εμφανίζουν σημαντικού βαθμού αυτοκτονικό ιδεασμό πριν από την έναρξη της θεραπείας, είναι γνωστό ότι βρίσκονται σε μεγαλύτερο κίνδυνο αυτοκτονικών σκέψεων ή απόπειρας αυτοκτονίας, και θα πρέπει να υπόκεινται σε προσεκτική παρακολούθηση κατά τη διάρκεια της θεραπείας.</w:t>
      </w:r>
      <w:r w:rsidRPr="00E81D8F">
        <w:rPr>
          <w:sz w:val="22"/>
          <w:szCs w:val="22"/>
          <w:lang w:val="el-GR"/>
        </w:rPr>
        <w:t xml:space="preserve"> </w:t>
      </w:r>
      <w:r w:rsidRPr="00587DB4">
        <w:rPr>
          <w:sz w:val="22"/>
          <w:szCs w:val="22"/>
          <w:lang w:val="el-GR"/>
        </w:rPr>
        <w:t xml:space="preserve">Μία μετα-ανάλυση ελεγχόμενων με εικονικό φάρμακο κλινικών μελετών αντικαταθλιπτικών φαρμάκων σε ενήλικες ασθενείς με ψυχιατρικές διαταραχές έδειξε έναν αυξημένο κίνδυνο αυτοκτονικής συμπεριφοράς με τα αντικαταθλιπτικά σε σύγκριση με το εικονικό φάρμακο σε ασθενείς ηλικίας κάτω των 25 ετών. </w:t>
      </w:r>
    </w:p>
    <w:p w:rsidR="0032661A" w:rsidRPr="00E81D8F" w:rsidRDefault="0032661A">
      <w:pPr>
        <w:autoSpaceDE w:val="0"/>
        <w:autoSpaceDN w:val="0"/>
        <w:adjustRightInd w:val="0"/>
        <w:rPr>
          <w:sz w:val="22"/>
          <w:szCs w:val="22"/>
          <w:lang w:val="el-GR"/>
        </w:rPr>
      </w:pPr>
      <w:r w:rsidRPr="00587DB4">
        <w:rPr>
          <w:sz w:val="22"/>
          <w:szCs w:val="22"/>
          <w:lang w:val="el-GR"/>
        </w:rPr>
        <w:lastRenderedPageBreak/>
        <w:t>Μία στενή επίβλεψη των ασθενών και ιδιαιτέρως εκείνων σε υψηλό κίνδυνο θα πρέπει να συνοδεύει τη φαρμακοθεραπεία ιδιαιτέρως την πρώιμη θεραπεία και τις επακόλουθες δοσολογικές μεταβολές.</w:t>
      </w:r>
    </w:p>
    <w:p w:rsidR="0032661A" w:rsidRPr="00E81D8F" w:rsidRDefault="0032661A">
      <w:pPr>
        <w:autoSpaceDE w:val="0"/>
        <w:autoSpaceDN w:val="0"/>
        <w:adjustRightInd w:val="0"/>
        <w:rPr>
          <w:sz w:val="22"/>
          <w:szCs w:val="22"/>
          <w:lang w:val="el-GR"/>
        </w:rPr>
      </w:pPr>
      <w:r w:rsidRPr="00587DB4">
        <w:rPr>
          <w:sz w:val="22"/>
          <w:szCs w:val="22"/>
          <w:lang w:val="el-GR"/>
        </w:rPr>
        <w:t>Οι ασθενείς (και οι φροντιστές των ασθενών) θα πρέπει να προειδοποιούνται σχετικά με την ανάγκη παρακολούθησης για την εμφάνιση τυχόν κλινικής επιδείνωσης, αυτοκτονικής συμπεριφοράς ή σκέψεων και ασυνήθιστων μεταβολών στη συμπεριφορά και για την αναζήτηση ιατρικής συμβουλής αμέσως, εάν παρουσιαστούν αυτά τα συμπτώματα.</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Ακαθησία / ψυχοκινητική ανησυχία</w:t>
      </w:r>
    </w:p>
    <w:p w:rsidR="0032661A" w:rsidRPr="00E81D8F" w:rsidRDefault="0032661A">
      <w:pPr>
        <w:autoSpaceDE w:val="0"/>
        <w:autoSpaceDN w:val="0"/>
        <w:adjustRightInd w:val="0"/>
        <w:rPr>
          <w:sz w:val="22"/>
          <w:szCs w:val="22"/>
          <w:lang w:val="el-GR"/>
        </w:rPr>
      </w:pPr>
      <w:r w:rsidRPr="00587DB4">
        <w:rPr>
          <w:sz w:val="22"/>
          <w:szCs w:val="22"/>
          <w:lang w:val="el-GR"/>
        </w:rPr>
        <w:t xml:space="preserve">Η χρήση SSRI/SNRI έχει συσχετισθεί με την ανάπτυξη ακαθησίας, η οποία χαρακτηρίζεται από μία υποκειμενικά δυσάρεστη ή ενοχλητική ανησυχία και την ανάγκη κίνησης που συχνά συνοδεύεται από μία ανικανότητα του ασθενούς να καθίσει ή να σταθεί ακίνητος.  </w:t>
      </w:r>
      <w:r w:rsidRPr="00E81D8F">
        <w:rPr>
          <w:sz w:val="22"/>
          <w:szCs w:val="22"/>
          <w:lang w:val="el-GR"/>
        </w:rPr>
        <w:t xml:space="preserve"> </w:t>
      </w:r>
      <w:r w:rsidRPr="00587DB4">
        <w:rPr>
          <w:sz w:val="22"/>
          <w:szCs w:val="22"/>
          <w:lang w:val="el-GR"/>
        </w:rPr>
        <w:t>Κάτι τέτοιο είναι περισσότερο πιθανό να εμφανιστεί εντός των πρώτων ελάχιστων εβδομάδων θεραπείας. Σε ασθενείς που αναπτύσσουν αυτά τα συμπτώματα, η αύξηση της δόσης μπορεί να είναι επιβλαβής.</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Υπονατριαιμία</w:t>
      </w:r>
    </w:p>
    <w:p w:rsidR="0032661A" w:rsidRPr="00E81D8F" w:rsidRDefault="0032661A">
      <w:pPr>
        <w:autoSpaceDE w:val="0"/>
        <w:autoSpaceDN w:val="0"/>
        <w:adjustRightInd w:val="0"/>
        <w:rPr>
          <w:sz w:val="22"/>
          <w:szCs w:val="22"/>
          <w:lang w:val="el-GR"/>
        </w:rPr>
      </w:pPr>
      <w:r w:rsidRPr="00587DB4">
        <w:rPr>
          <w:sz w:val="22"/>
          <w:szCs w:val="22"/>
          <w:lang w:val="el-GR"/>
        </w:rPr>
        <w:t>Υπονατριαιμία, η οποία πιθανώς οφείλεται στο σύνδρομο απρόσφορης έκκρισης αντιδιουρητικής ορμόνης (SIADH), έχει αναφερθεί σπανίως με τη χρήση SSRI και εν γένει υποχωρεί με τη διακοπή της θεραπείας.</w:t>
      </w:r>
      <w:r w:rsidRPr="00E81D8F">
        <w:rPr>
          <w:sz w:val="22"/>
          <w:szCs w:val="22"/>
          <w:lang w:val="el-GR"/>
        </w:rPr>
        <w:t xml:space="preserve"> </w:t>
      </w:r>
      <w:r w:rsidRPr="00587DB4">
        <w:rPr>
          <w:sz w:val="22"/>
          <w:szCs w:val="22"/>
          <w:lang w:val="el-GR"/>
        </w:rPr>
        <w:t xml:space="preserve">Θα πρέπει να δίνεται προσοχή στους ασθενείς που διατρέχουν μεγαλύτερο κίνδυνο, όπως οι ηλικιωμένοι, οι ασθενείς με </w:t>
      </w:r>
      <w:r w:rsidR="00F67FD6" w:rsidRPr="00587DB4">
        <w:rPr>
          <w:sz w:val="22"/>
          <w:szCs w:val="22"/>
          <w:lang w:val="el-GR"/>
        </w:rPr>
        <w:t xml:space="preserve">κίρρωση, ή όταν γίνεται χρήση σε συνδυασμό με άλλα </w:t>
      </w:r>
      <w:r w:rsidRPr="00587DB4">
        <w:rPr>
          <w:sz w:val="22"/>
          <w:szCs w:val="22"/>
          <w:lang w:val="el-GR"/>
        </w:rPr>
        <w:t>φάρμακα που προκαλούν υπονατριαιμία.</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Αιμορραγία</w:t>
      </w:r>
    </w:p>
    <w:p w:rsidR="0032661A" w:rsidRPr="00E81D8F" w:rsidRDefault="0032661A">
      <w:pPr>
        <w:autoSpaceDE w:val="0"/>
        <w:autoSpaceDN w:val="0"/>
        <w:adjustRightInd w:val="0"/>
        <w:rPr>
          <w:sz w:val="22"/>
          <w:szCs w:val="22"/>
          <w:lang w:val="el-GR"/>
        </w:rPr>
      </w:pPr>
      <w:r w:rsidRPr="00587DB4">
        <w:rPr>
          <w:sz w:val="22"/>
          <w:szCs w:val="22"/>
          <w:lang w:val="el-GR"/>
        </w:rPr>
        <w:t>Έχουν υπάρξει αναφορές ανωμαλιών δερματικής αιμορραγίας, όπως εκχυμώσεις και πορφύρα με τη χρήση SSRI.</w:t>
      </w:r>
      <w:r w:rsidRPr="00E81D8F">
        <w:rPr>
          <w:sz w:val="22"/>
          <w:szCs w:val="22"/>
          <w:lang w:val="el-GR"/>
        </w:rPr>
        <w:t xml:space="preserve"> </w:t>
      </w:r>
      <w:r w:rsidRPr="00587DB4">
        <w:rPr>
          <w:sz w:val="22"/>
          <w:szCs w:val="22"/>
          <w:lang w:val="el-GR"/>
        </w:rPr>
        <w:t>Προσοχή συνιστάται σε ασθενείς που λαμβάνουν SSRI, ιδιαιτέρως κατά την ταυτόχρονη χρήση με από του στόματος αντιπηκτικά, με φαρμακευτικά προϊόντα που είναι γνωστό ότι επηρεάζουν τη λειτουργία των αιμοπεταλίων (π.χ. άτυπα αντιψυχωσικά και φαινοθειαζίνες, τα περισσότερα τρικυκλικά αντικαταθλιπτικά, ακετυλοσαλικυλικό οξύ και μη στεροειδή αντιφλεγμονώδη φάρμακα (ΜΣΑΦ), τικλοδιπίνη και διπυριδαμόλη), όπως επίσης και σε ασθενείς με γνωστές αιμορραγικές τάσεις.</w:t>
      </w:r>
      <w:r w:rsidR="006E4B4D" w:rsidRPr="00587DB4">
        <w:rPr>
          <w:sz w:val="22"/>
          <w:szCs w:val="22"/>
          <w:lang w:val="el-GR"/>
        </w:rPr>
        <w:t xml:space="preserve"> </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 xml:space="preserve">Ηλεκτροσπασμοθεραπεία </w:t>
      </w:r>
    </w:p>
    <w:p w:rsidR="0032661A" w:rsidRPr="00E81D8F" w:rsidRDefault="0032661A">
      <w:pPr>
        <w:autoSpaceDE w:val="0"/>
        <w:autoSpaceDN w:val="0"/>
        <w:adjustRightInd w:val="0"/>
        <w:rPr>
          <w:sz w:val="22"/>
          <w:szCs w:val="22"/>
          <w:lang w:val="el-GR"/>
        </w:rPr>
      </w:pPr>
      <w:r w:rsidRPr="00587DB4">
        <w:rPr>
          <w:sz w:val="22"/>
          <w:szCs w:val="22"/>
          <w:lang w:val="el-GR"/>
        </w:rPr>
        <w:t xml:space="preserve">Υπάρχει περιορισμένη κλινική πείρα με την ταυτόχρονη χορήγηση </w:t>
      </w:r>
      <w:r w:rsidRPr="00E81D8F">
        <w:rPr>
          <w:sz w:val="22"/>
          <w:szCs w:val="22"/>
          <w:lang w:val="el-GR"/>
        </w:rPr>
        <w:t>SSRI</w:t>
      </w:r>
      <w:r w:rsidRPr="00587DB4">
        <w:rPr>
          <w:sz w:val="22"/>
          <w:szCs w:val="22"/>
          <w:lang w:val="el-GR"/>
        </w:rPr>
        <w:t xml:space="preserve"> και ηλεκτροσπασμοθεραπείας, συνεπώς συνιστάται προσοχή.</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Σύνδρομο σεροτονίνης</w:t>
      </w:r>
    </w:p>
    <w:p w:rsidR="00D408D5" w:rsidRPr="00203D2F" w:rsidRDefault="0032661A">
      <w:pPr>
        <w:autoSpaceDE w:val="0"/>
        <w:autoSpaceDN w:val="0"/>
        <w:adjustRightInd w:val="0"/>
        <w:rPr>
          <w:sz w:val="22"/>
          <w:szCs w:val="22"/>
          <w:lang w:val="el-GR"/>
        </w:rPr>
      </w:pPr>
      <w:r w:rsidRPr="00587DB4">
        <w:rPr>
          <w:sz w:val="22"/>
          <w:szCs w:val="22"/>
          <w:lang w:val="el-GR"/>
        </w:rPr>
        <w:t>Συνιστάται προσοχή εάν η εσιταλοπράμη χορηγείται ταυτόχρονα με φαρμακευτικά προϊόντα με σεροτονινεργικές επιδράσεις, όπως η σουματρυπτάνη ή άλλες τρυπτάνες, η τραμαδόλη και η τρυπτοφάνη.</w:t>
      </w:r>
    </w:p>
    <w:p w:rsidR="0032661A" w:rsidRPr="00E81D8F" w:rsidRDefault="0032661A">
      <w:pPr>
        <w:autoSpaceDE w:val="0"/>
        <w:autoSpaceDN w:val="0"/>
        <w:adjustRightInd w:val="0"/>
        <w:rPr>
          <w:sz w:val="22"/>
          <w:szCs w:val="22"/>
          <w:lang w:val="el-GR"/>
        </w:rPr>
      </w:pPr>
      <w:r w:rsidRPr="00587DB4">
        <w:rPr>
          <w:sz w:val="22"/>
          <w:szCs w:val="22"/>
          <w:lang w:val="el-GR"/>
        </w:rPr>
        <w:t>Σε σπάνιες περιπτώσεις, σύνδρομο σεροτονίνης έχει αναφερθεί σε ασθενείς που λαμβάνουν SSRI ταυτόχρονα με σεροτονινεργικά φαρμακευτικά προϊόντα.</w:t>
      </w:r>
      <w:r w:rsidRPr="00E81D8F">
        <w:rPr>
          <w:sz w:val="22"/>
          <w:szCs w:val="22"/>
          <w:lang w:val="el-GR"/>
        </w:rPr>
        <w:t xml:space="preserve"> </w:t>
      </w:r>
      <w:r w:rsidRPr="00587DB4">
        <w:rPr>
          <w:sz w:val="22"/>
          <w:szCs w:val="22"/>
          <w:lang w:val="el-GR"/>
        </w:rPr>
        <w:t>Ένας συνδυασμός συμπτωμάτων όπως διέγερση, τρόμος, μυόκλονος και υπερθερμία μπορεί να αποτελούν ένδειξη ανάπτυξης αυτής της πάθησης.</w:t>
      </w:r>
      <w:r w:rsidRPr="00E81D8F">
        <w:rPr>
          <w:sz w:val="22"/>
          <w:szCs w:val="22"/>
          <w:lang w:val="el-GR"/>
        </w:rPr>
        <w:t xml:space="preserve"> </w:t>
      </w:r>
      <w:r w:rsidRPr="00587DB4">
        <w:rPr>
          <w:sz w:val="22"/>
          <w:szCs w:val="22"/>
          <w:lang w:val="el-GR"/>
        </w:rPr>
        <w:t xml:space="preserve">Εάν εμφανιστεί κάτι τέτοιο, η θεραπεία με </w:t>
      </w:r>
      <w:r w:rsidRPr="00E81D8F">
        <w:rPr>
          <w:sz w:val="22"/>
          <w:szCs w:val="22"/>
          <w:lang w:val="el-GR"/>
        </w:rPr>
        <w:t xml:space="preserve">SSRI </w:t>
      </w:r>
      <w:r w:rsidRPr="00587DB4">
        <w:rPr>
          <w:sz w:val="22"/>
          <w:szCs w:val="22"/>
          <w:lang w:val="el-GR"/>
        </w:rPr>
        <w:t>και το σεροτονινεργικό φαρμακευτικό προϊόν θα πρέπει να διακόπτεται αμέσως και να ξεκινά συμπτωματική θεραπεία.</w:t>
      </w:r>
    </w:p>
    <w:p w:rsidR="0032661A" w:rsidRPr="00E81D8F" w:rsidRDefault="0032661A">
      <w:pPr>
        <w:autoSpaceDE w:val="0"/>
        <w:autoSpaceDN w:val="0"/>
        <w:adjustRightInd w:val="0"/>
        <w:rPr>
          <w:sz w:val="22"/>
          <w:szCs w:val="22"/>
          <w:lang w:val="el-GR"/>
        </w:rPr>
      </w:pPr>
    </w:p>
    <w:p w:rsidR="00D408D5" w:rsidRPr="00587DB4" w:rsidRDefault="00D408D5">
      <w:pPr>
        <w:autoSpaceDE w:val="0"/>
        <w:autoSpaceDN w:val="0"/>
        <w:adjustRightInd w:val="0"/>
        <w:rPr>
          <w:i/>
          <w:sz w:val="22"/>
          <w:szCs w:val="22"/>
          <w:lang w:val="el-GR"/>
        </w:rPr>
      </w:pPr>
      <w:r w:rsidRPr="00587DB4">
        <w:rPr>
          <w:i/>
          <w:sz w:val="22"/>
          <w:szCs w:val="22"/>
          <w:lang w:val="el-GR"/>
        </w:rPr>
        <w:t xml:space="preserve">Παράταση του διαστήματος </w:t>
      </w:r>
      <w:r w:rsidRPr="00587DB4">
        <w:rPr>
          <w:i/>
          <w:sz w:val="22"/>
          <w:szCs w:val="22"/>
        </w:rPr>
        <w:t>QT</w:t>
      </w:r>
    </w:p>
    <w:p w:rsidR="00D408D5" w:rsidRPr="00587DB4" w:rsidRDefault="00D408D5" w:rsidP="00D408D5">
      <w:pPr>
        <w:tabs>
          <w:tab w:val="left" w:pos="567"/>
        </w:tabs>
        <w:rPr>
          <w:sz w:val="22"/>
          <w:lang w:val="el-GR"/>
        </w:rPr>
      </w:pPr>
      <w:r w:rsidRPr="00587DB4">
        <w:rPr>
          <w:sz w:val="22"/>
          <w:lang w:val="el-GR"/>
        </w:rPr>
        <w:t xml:space="preserve">Έχει διαπιστωθεί ότι η εσιταλοπράμη προκαλεί δοσοεξαρτώμενη παράταση του διαστήματος QT. Μετά την κυκλοφορία, έχουν αναφερθεί περιπτώσεις παράτασης του διαστήματος </w:t>
      </w:r>
      <w:r w:rsidRPr="00587DB4">
        <w:rPr>
          <w:sz w:val="22"/>
        </w:rPr>
        <w:t>QT</w:t>
      </w:r>
      <w:r w:rsidRPr="00587DB4">
        <w:rPr>
          <w:sz w:val="22"/>
          <w:lang w:val="el-GR"/>
        </w:rPr>
        <w:t xml:space="preserve"> και κοιλιακής αρρυθμίας, περιλαμβανομένης κοιλιακής ταχυκαρδίας δίκην ριπιδίου (Torsade de Pointes), κυρίως σε ασθενείς</w:t>
      </w:r>
      <w:r w:rsidR="008B3870" w:rsidRPr="00C068BB">
        <w:rPr>
          <w:sz w:val="22"/>
          <w:lang w:val="el-GR"/>
        </w:rPr>
        <w:t xml:space="preserve"> </w:t>
      </w:r>
      <w:r w:rsidR="008B3870" w:rsidRPr="00587DB4">
        <w:rPr>
          <w:sz w:val="22"/>
          <w:lang w:val="el-GR"/>
        </w:rPr>
        <w:t>του</w:t>
      </w:r>
      <w:r w:rsidRPr="00587DB4">
        <w:rPr>
          <w:sz w:val="22"/>
          <w:lang w:val="el-GR"/>
        </w:rPr>
        <w:t xml:space="preserve"> γυναικείου φύλου, με υποκαλιαιμία ή με προϋπάρχουσα παράταση του διαστήματος QT ή άλλα καρδιακά νοσήματα (βλ. παραγράφους 4.3, 4.5, 4.8, 4.9 και 5.1). </w:t>
      </w:r>
    </w:p>
    <w:p w:rsidR="00D408D5" w:rsidRPr="00587DB4" w:rsidRDefault="00D408D5" w:rsidP="00D408D5">
      <w:pPr>
        <w:tabs>
          <w:tab w:val="left" w:pos="567"/>
        </w:tabs>
        <w:rPr>
          <w:sz w:val="22"/>
          <w:lang w:val="el-GR"/>
        </w:rPr>
      </w:pPr>
    </w:p>
    <w:p w:rsidR="00D408D5" w:rsidRPr="00203D2F" w:rsidRDefault="00D408D5" w:rsidP="00D408D5">
      <w:pPr>
        <w:tabs>
          <w:tab w:val="left" w:pos="567"/>
        </w:tabs>
        <w:rPr>
          <w:sz w:val="22"/>
          <w:lang w:val="el-GR"/>
        </w:rPr>
      </w:pPr>
      <w:r w:rsidRPr="00587DB4">
        <w:rPr>
          <w:sz w:val="22"/>
          <w:lang w:val="el-GR"/>
        </w:rPr>
        <w:lastRenderedPageBreak/>
        <w:t>Συνιστάται προσοχή σε ασθενείς με σοβαρή βραδυκαρδία, ή σε ασθενείς με πρόσφατο οξύ έμφραγμα του μυοκαρδίου ή μη αντιρροπούμενη καρδιακή ανεπάρκεια.</w:t>
      </w:r>
    </w:p>
    <w:p w:rsidR="00D408D5" w:rsidRPr="00203D2F" w:rsidRDefault="00D408D5" w:rsidP="00D408D5">
      <w:pPr>
        <w:tabs>
          <w:tab w:val="left" w:pos="567"/>
        </w:tabs>
        <w:rPr>
          <w:sz w:val="22"/>
          <w:lang w:val="el-GR"/>
        </w:rPr>
      </w:pPr>
      <w:r w:rsidRPr="00587DB4">
        <w:rPr>
          <w:sz w:val="22"/>
          <w:lang w:val="el-GR"/>
        </w:rPr>
        <w:t>Οι ηλεκτρολυτικές διαταραχές όπως η υποκαλιαιμία και η υπομαγνησιαιμία αυξάνουν τον κίνδυνο κακοήθων αρρυθμιών και πρέπει να αποκαθίστανται πριν από την έναρξη της θεραπείας με εσιταλοπράμη.</w:t>
      </w:r>
    </w:p>
    <w:p w:rsidR="00D408D5" w:rsidRPr="00203D2F" w:rsidRDefault="00D408D5" w:rsidP="00D408D5">
      <w:pPr>
        <w:tabs>
          <w:tab w:val="left" w:pos="567"/>
        </w:tabs>
        <w:rPr>
          <w:sz w:val="22"/>
          <w:lang w:val="el-GR"/>
        </w:rPr>
      </w:pPr>
      <w:r w:rsidRPr="00587DB4">
        <w:rPr>
          <w:sz w:val="22"/>
          <w:lang w:val="el-GR"/>
        </w:rPr>
        <w:t>Σε περίπτωση που λαμβάνουν θεραπεία ασθενείς με σταθερή καρδιακή νόσο, πρέπει να εξετάζεται το ενδεχόμενο εκτίμησης ΗΚΓ πριν την έναρξη της θεραπείας.</w:t>
      </w:r>
    </w:p>
    <w:p w:rsidR="00D408D5" w:rsidRPr="00587DB4" w:rsidRDefault="00D408D5" w:rsidP="00D408D5">
      <w:pPr>
        <w:tabs>
          <w:tab w:val="left" w:pos="567"/>
        </w:tabs>
        <w:rPr>
          <w:sz w:val="22"/>
          <w:lang w:val="el-GR"/>
        </w:rPr>
      </w:pPr>
      <w:r w:rsidRPr="00587DB4">
        <w:rPr>
          <w:sz w:val="22"/>
          <w:lang w:val="el-GR"/>
        </w:rPr>
        <w:t>Εάν εμφανιστούν σημεία καρδιακής αρρυθμίας κατά τη διάρκεια της θεραπείας με εσιταλοπράμη, η θεραπεία πρέπει να διακόπτεται και να</w:t>
      </w:r>
      <w:r w:rsidR="00FD1CA9">
        <w:rPr>
          <w:sz w:val="22"/>
          <w:lang w:val="el-GR"/>
        </w:rPr>
        <w:t xml:space="preserve"> διενεργείται</w:t>
      </w:r>
      <w:r w:rsidRPr="00587DB4">
        <w:rPr>
          <w:sz w:val="22"/>
          <w:lang w:val="el-GR"/>
        </w:rPr>
        <w:t xml:space="preserve"> ΗΚΓ.</w:t>
      </w:r>
    </w:p>
    <w:p w:rsidR="00D408D5" w:rsidRPr="00587DB4" w:rsidRDefault="00D408D5">
      <w:pPr>
        <w:autoSpaceDE w:val="0"/>
        <w:autoSpaceDN w:val="0"/>
        <w:adjustRightInd w:val="0"/>
        <w:rPr>
          <w:i/>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Βότανο</w:t>
      </w:r>
      <w:r w:rsidRPr="00701142">
        <w:rPr>
          <w:i/>
          <w:sz w:val="22"/>
          <w:szCs w:val="22"/>
          <w:lang w:val="el-GR"/>
        </w:rPr>
        <w:t xml:space="preserve"> </w:t>
      </w:r>
      <w:r w:rsidRPr="00E81D8F">
        <w:rPr>
          <w:i/>
          <w:sz w:val="22"/>
          <w:szCs w:val="22"/>
        </w:rPr>
        <w:t>St</w:t>
      </w:r>
      <w:r w:rsidRPr="00E81D8F">
        <w:rPr>
          <w:i/>
          <w:sz w:val="22"/>
          <w:szCs w:val="22"/>
          <w:lang w:val="el-GR"/>
        </w:rPr>
        <w:t xml:space="preserve">. </w:t>
      </w:r>
      <w:r w:rsidRPr="00E81D8F">
        <w:rPr>
          <w:i/>
          <w:sz w:val="22"/>
          <w:szCs w:val="22"/>
        </w:rPr>
        <w:t>John</w:t>
      </w:r>
      <w:r w:rsidRPr="00E81D8F">
        <w:rPr>
          <w:i/>
          <w:sz w:val="22"/>
          <w:szCs w:val="22"/>
          <w:lang w:val="el-GR"/>
        </w:rPr>
        <w:t>´</w:t>
      </w:r>
      <w:r w:rsidRPr="00E81D8F">
        <w:rPr>
          <w:i/>
          <w:sz w:val="22"/>
          <w:szCs w:val="22"/>
        </w:rPr>
        <w:t>s</w:t>
      </w:r>
      <w:r w:rsidRPr="00E81D8F">
        <w:rPr>
          <w:i/>
          <w:sz w:val="22"/>
          <w:szCs w:val="22"/>
          <w:lang w:val="el-GR"/>
        </w:rPr>
        <w:t xml:space="preserve"> </w:t>
      </w:r>
      <w:proofErr w:type="spellStart"/>
      <w:r w:rsidRPr="00E81D8F">
        <w:rPr>
          <w:i/>
          <w:sz w:val="22"/>
          <w:szCs w:val="22"/>
        </w:rPr>
        <w:t>Wort</w:t>
      </w:r>
      <w:proofErr w:type="spellEnd"/>
    </w:p>
    <w:p w:rsidR="0032661A" w:rsidRPr="00E81D8F" w:rsidRDefault="0032661A">
      <w:pPr>
        <w:autoSpaceDE w:val="0"/>
        <w:autoSpaceDN w:val="0"/>
        <w:adjustRightInd w:val="0"/>
        <w:rPr>
          <w:sz w:val="22"/>
          <w:szCs w:val="22"/>
          <w:lang w:val="el-GR"/>
        </w:rPr>
      </w:pPr>
      <w:r w:rsidRPr="00587DB4">
        <w:rPr>
          <w:sz w:val="22"/>
          <w:szCs w:val="22"/>
          <w:lang w:val="el-GR"/>
        </w:rPr>
        <w:t>Η ταυτόχρονη χορήγηση SSRI και φυτικών προϊόντων που περιέχουν St. John’s Wort (</w:t>
      </w:r>
      <w:r w:rsidRPr="00587DB4">
        <w:rPr>
          <w:i/>
          <w:sz w:val="22"/>
          <w:szCs w:val="22"/>
          <w:lang w:val="el-GR"/>
        </w:rPr>
        <w:t>Hypericum perforatum</w:t>
      </w:r>
      <w:r w:rsidRPr="00587DB4">
        <w:rPr>
          <w:sz w:val="22"/>
          <w:szCs w:val="22"/>
          <w:lang w:val="el-GR"/>
        </w:rPr>
        <w:t>) μπορεί να έχει ως αποτέλεσμα μία αυξημένη επίπτωση ανεπιθύμητων αντιδράσεων (βλ. παράγραφο 4.5).</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Συμπτώματα στέρησης</w:t>
      </w:r>
    </w:p>
    <w:p w:rsidR="0032661A" w:rsidRPr="00203D2F" w:rsidRDefault="0032661A">
      <w:pPr>
        <w:autoSpaceDE w:val="0"/>
        <w:autoSpaceDN w:val="0"/>
        <w:adjustRightInd w:val="0"/>
        <w:rPr>
          <w:sz w:val="22"/>
          <w:szCs w:val="22"/>
          <w:lang w:val="el-GR"/>
        </w:rPr>
      </w:pPr>
      <w:r w:rsidRPr="00587DB4">
        <w:rPr>
          <w:sz w:val="22"/>
          <w:szCs w:val="22"/>
          <w:lang w:val="el-GR"/>
        </w:rPr>
        <w:t>Η εμφάνιση συμπτωμάτων στέρησης με τη διακοπή της θεραπείας είναι συχνή, ιδιαιτέρως εάν η διακοπή είναι αιφνίδια (βλ. παράγραφο 4.8).</w:t>
      </w:r>
      <w:r w:rsidRPr="00E81D8F">
        <w:rPr>
          <w:sz w:val="22"/>
          <w:szCs w:val="22"/>
          <w:lang w:val="el-GR"/>
        </w:rPr>
        <w:t xml:space="preserve"> </w:t>
      </w:r>
      <w:r w:rsidRPr="00587DB4">
        <w:rPr>
          <w:sz w:val="22"/>
          <w:szCs w:val="22"/>
          <w:lang w:val="el-GR"/>
        </w:rPr>
        <w:t>Σε κλινικές μελέτες, ανεπιθύμητες ενέργειες που παρατηρούνται με τη διακοπή της θεραπείας εμφανίστηκαν στο 25% περίπου των ασθενών που λάμβαναν θεραπεία με εσιταλοπράμη και στο 15% των ασθενών που λάμβαναν εικονικό φάρμακο.</w:t>
      </w:r>
    </w:p>
    <w:p w:rsidR="0032661A" w:rsidRPr="00203D2F" w:rsidRDefault="0032661A">
      <w:pPr>
        <w:autoSpaceDE w:val="0"/>
        <w:autoSpaceDN w:val="0"/>
        <w:adjustRightInd w:val="0"/>
        <w:rPr>
          <w:sz w:val="22"/>
          <w:szCs w:val="22"/>
          <w:lang w:val="el-GR"/>
        </w:rPr>
      </w:pPr>
      <w:r w:rsidRPr="00587DB4">
        <w:rPr>
          <w:sz w:val="22"/>
          <w:szCs w:val="22"/>
          <w:lang w:val="el-GR"/>
        </w:rPr>
        <w:t>Ο κίνδυνος εμφάνισης συμπτωμάτων στέρησης μπορεί να εξαρτάται από αρκετούς παράγοντες, συμπεριλαμβανομένων της διάρκειας και της δόσης της θεραπείας και του ρυθμού μείωσης της δόσης.</w:t>
      </w:r>
      <w:r w:rsidRPr="00E81D8F">
        <w:rPr>
          <w:sz w:val="22"/>
          <w:szCs w:val="22"/>
          <w:lang w:val="el-GR"/>
        </w:rPr>
        <w:t xml:space="preserve"> </w:t>
      </w:r>
      <w:r w:rsidRPr="00587DB4">
        <w:rPr>
          <w:sz w:val="22"/>
          <w:szCs w:val="22"/>
          <w:lang w:val="el-GR"/>
        </w:rPr>
        <w:t>Ζάλη, αισθητηριακές διαταραχές (συμπεριλαμβανομένων της παραισθησίας και των αισθήσεων ηλεκτρικού σοκ), διαταραχές ύπνου (συμπεριλαμβανομένων της αϋπνίας και των έντονων ονείρων), διέγερση ή άγχος, ναυτία ή/και έμετος, τρόμος, σύγχυση, εφίδρωση, κεφαλαλγία, διάρροια, αίσθημα παλμών, συναισθηματική αστάθεια, ευερεθιστότητα και διαταραχές της όρασης είναι οι πλέον συχνά αναφερόμενες αντιδράσεις.</w:t>
      </w:r>
      <w:r w:rsidRPr="00E81D8F">
        <w:rPr>
          <w:sz w:val="22"/>
          <w:szCs w:val="22"/>
          <w:lang w:val="el-GR"/>
        </w:rPr>
        <w:t xml:space="preserve"> </w:t>
      </w:r>
      <w:r w:rsidRPr="00587DB4">
        <w:rPr>
          <w:sz w:val="22"/>
          <w:szCs w:val="22"/>
          <w:lang w:val="el-GR"/>
        </w:rPr>
        <w:t>Εν γένει αυτά τα συμπτώματα είναι ήπια έως μέτρια, αν και σε ορισμένους ασθενείς μπορεί να είναι βαριάς μορφής.</w:t>
      </w:r>
    </w:p>
    <w:p w:rsidR="0032661A" w:rsidRPr="00203D2F" w:rsidRDefault="0032661A">
      <w:pPr>
        <w:autoSpaceDE w:val="0"/>
        <w:autoSpaceDN w:val="0"/>
        <w:adjustRightInd w:val="0"/>
        <w:rPr>
          <w:sz w:val="22"/>
          <w:szCs w:val="22"/>
          <w:lang w:val="el-GR"/>
        </w:rPr>
      </w:pPr>
      <w:r w:rsidRPr="00587DB4">
        <w:rPr>
          <w:sz w:val="22"/>
          <w:szCs w:val="22"/>
          <w:lang w:val="el-GR"/>
        </w:rPr>
        <w:t>Αυτά τα συμπτώματα συνήθως εμφανίζονται εντός των πρώτων ελάχιστων ημερών από τη διακοπή της θεραπείας, αλλά έχουν υπάρξει σπάνιες αναφορές τέτοιων συμπτωμάτων σε ασθενείς που έχουν ακουσίως παραλείψει μία δόση.</w:t>
      </w:r>
      <w:r w:rsidRPr="00E81D8F">
        <w:rPr>
          <w:sz w:val="22"/>
          <w:szCs w:val="22"/>
          <w:lang w:val="el-GR"/>
        </w:rPr>
        <w:t xml:space="preserve"> </w:t>
      </w:r>
    </w:p>
    <w:p w:rsidR="0032661A" w:rsidRPr="00E81D8F" w:rsidRDefault="0032661A">
      <w:pPr>
        <w:autoSpaceDE w:val="0"/>
        <w:autoSpaceDN w:val="0"/>
        <w:adjustRightInd w:val="0"/>
        <w:rPr>
          <w:sz w:val="22"/>
          <w:szCs w:val="22"/>
          <w:lang w:val="el-GR"/>
        </w:rPr>
      </w:pPr>
      <w:r w:rsidRPr="00587DB4">
        <w:rPr>
          <w:sz w:val="22"/>
          <w:szCs w:val="22"/>
          <w:lang w:val="el-GR"/>
        </w:rPr>
        <w:t>Γενικά τα συμπτώματα είναι αυτο-περιοριζόμενα και συνήθως υποχωρούν εντός 2 εβδομάδων, αν και σε ορισμένα άτομα μπορεί να είναι παρατεταμένα (2-3 μήνες ή περισσότερο).</w:t>
      </w:r>
      <w:r w:rsidRPr="00E81D8F">
        <w:rPr>
          <w:sz w:val="22"/>
          <w:szCs w:val="22"/>
          <w:lang w:val="el-GR"/>
        </w:rPr>
        <w:t xml:space="preserve"> </w:t>
      </w:r>
      <w:r w:rsidRPr="00587DB4">
        <w:rPr>
          <w:sz w:val="22"/>
          <w:szCs w:val="22"/>
          <w:lang w:val="el-GR"/>
        </w:rPr>
        <w:t>Συνεπώς, συνιστάται η δοσολογία της εσιταλοπράμης να μειώνεται σταδιακά κατά τη διακοπή της θεραπείας εντός μίας περιόδου αρκετών εβδομάδων ή μηνών, σύμφωνα με τις ανάγκες του ασθενούς (βλ. παράγραφο 4.2).</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Στεφανιαία καρδιακή νόσος</w:t>
      </w:r>
    </w:p>
    <w:p w:rsidR="0032661A" w:rsidRPr="00E81D8F" w:rsidRDefault="0032661A">
      <w:pPr>
        <w:autoSpaceDE w:val="0"/>
        <w:autoSpaceDN w:val="0"/>
        <w:adjustRightInd w:val="0"/>
        <w:rPr>
          <w:sz w:val="22"/>
          <w:szCs w:val="22"/>
          <w:lang w:val="el-GR"/>
        </w:rPr>
      </w:pPr>
      <w:r w:rsidRPr="00587DB4">
        <w:rPr>
          <w:sz w:val="22"/>
          <w:szCs w:val="22"/>
          <w:lang w:val="el-GR"/>
        </w:rPr>
        <w:t>Λόγω της περιορισμένης κλινικής πείρας, συνιστάται προσοχή σε ασθενείς με στεφανιαία καρδιακή νόσο (βλ. παράγραφο 5.3).</w:t>
      </w:r>
    </w:p>
    <w:p w:rsidR="0032661A" w:rsidRPr="00587DB4" w:rsidRDefault="0032661A">
      <w:pPr>
        <w:rPr>
          <w:sz w:val="22"/>
          <w:szCs w:val="22"/>
          <w:lang w:val="el-GR"/>
        </w:rPr>
      </w:pPr>
    </w:p>
    <w:p w:rsidR="0032661A" w:rsidRPr="00203D2F" w:rsidRDefault="0032661A" w:rsidP="00203D2F">
      <w:pPr>
        <w:ind w:left="567" w:hanging="567"/>
        <w:rPr>
          <w:sz w:val="22"/>
          <w:szCs w:val="22"/>
          <w:lang w:val="el-GR"/>
        </w:rPr>
      </w:pPr>
      <w:r w:rsidRPr="00587DB4">
        <w:rPr>
          <w:b/>
          <w:sz w:val="22"/>
          <w:szCs w:val="22"/>
          <w:lang w:val="el-GR"/>
        </w:rPr>
        <w:t>4.5</w:t>
      </w:r>
      <w:r w:rsidRPr="00587DB4">
        <w:rPr>
          <w:b/>
          <w:sz w:val="22"/>
          <w:szCs w:val="22"/>
          <w:lang w:val="el-GR"/>
        </w:rPr>
        <w:tab/>
        <w:t>Αλληλεπιδράσεις με άλλα φαρμακευτικά προϊόντα και άλλες μορφές αλληλεπίδρασης</w:t>
      </w:r>
    </w:p>
    <w:p w:rsidR="0032661A" w:rsidRPr="007E4D87" w:rsidRDefault="0032661A">
      <w:pPr>
        <w:autoSpaceDE w:val="0"/>
        <w:autoSpaceDN w:val="0"/>
        <w:adjustRightInd w:val="0"/>
        <w:rPr>
          <w:b/>
          <w:sz w:val="22"/>
          <w:szCs w:val="22"/>
          <w:lang w:val="el-GR"/>
        </w:rPr>
      </w:pPr>
      <w:r w:rsidRPr="00587DB4">
        <w:rPr>
          <w:b/>
          <w:sz w:val="22"/>
          <w:szCs w:val="22"/>
          <w:lang w:val="el-GR"/>
        </w:rPr>
        <w:t>Φαρμακοδυναμικές αλληλεπιδράσεις</w:t>
      </w:r>
    </w:p>
    <w:p w:rsidR="0032661A" w:rsidRPr="007E4D87" w:rsidRDefault="0032661A">
      <w:pPr>
        <w:autoSpaceDE w:val="0"/>
        <w:autoSpaceDN w:val="0"/>
        <w:adjustRightInd w:val="0"/>
        <w:rPr>
          <w:b/>
          <w:i/>
          <w:sz w:val="22"/>
          <w:szCs w:val="22"/>
          <w:lang w:val="el-GR"/>
        </w:rPr>
      </w:pPr>
      <w:r w:rsidRPr="00587DB4">
        <w:rPr>
          <w:b/>
          <w:i/>
          <w:sz w:val="22"/>
          <w:szCs w:val="22"/>
          <w:lang w:val="el-GR"/>
        </w:rPr>
        <w:t>Αντενδεικνυόμενοι συνδυασμοί:</w:t>
      </w:r>
    </w:p>
    <w:p w:rsidR="0032661A" w:rsidRPr="00587DB4" w:rsidRDefault="0032661A">
      <w:pPr>
        <w:autoSpaceDE w:val="0"/>
        <w:autoSpaceDN w:val="0"/>
        <w:adjustRightInd w:val="0"/>
        <w:rPr>
          <w:i/>
          <w:sz w:val="22"/>
          <w:szCs w:val="22"/>
          <w:lang w:val="el-GR"/>
        </w:rPr>
      </w:pPr>
      <w:r w:rsidRPr="00587DB4">
        <w:rPr>
          <w:i/>
          <w:sz w:val="22"/>
          <w:szCs w:val="22"/>
          <w:lang w:val="el-GR"/>
        </w:rPr>
        <w:t>Μη αναστρέψιμοι μη εκλεκτικοί αναστολείς ΜΑΟ:</w:t>
      </w:r>
    </w:p>
    <w:p w:rsidR="0032661A" w:rsidRPr="00E81D8F" w:rsidRDefault="0032661A">
      <w:pPr>
        <w:autoSpaceDE w:val="0"/>
        <w:autoSpaceDN w:val="0"/>
        <w:adjustRightInd w:val="0"/>
        <w:rPr>
          <w:sz w:val="22"/>
          <w:szCs w:val="22"/>
          <w:lang w:val="el-GR"/>
        </w:rPr>
      </w:pPr>
      <w:r w:rsidRPr="00587DB4">
        <w:rPr>
          <w:sz w:val="22"/>
          <w:szCs w:val="22"/>
          <w:lang w:val="el-GR"/>
        </w:rPr>
        <w:t xml:space="preserve">Περιπτώσεις σοβαρών αντιδράσεων έχουν αναφερθεί σε ασθενείς που λαμβάνουν </w:t>
      </w:r>
      <w:r w:rsidRPr="00E81D8F">
        <w:rPr>
          <w:sz w:val="22"/>
          <w:szCs w:val="22"/>
          <w:lang w:val="el-GR"/>
        </w:rPr>
        <w:t xml:space="preserve">SSRI </w:t>
      </w:r>
      <w:r w:rsidRPr="00587DB4">
        <w:rPr>
          <w:sz w:val="22"/>
          <w:szCs w:val="22"/>
          <w:lang w:val="el-GR"/>
        </w:rPr>
        <w:t>σε συνδυασμό με έναν μη εκλεκτικό αναστολέα μονοαμινοξειδάσης (</w:t>
      </w:r>
      <w:r w:rsidRPr="00E81D8F">
        <w:rPr>
          <w:sz w:val="22"/>
          <w:szCs w:val="22"/>
          <w:lang w:val="el-GR"/>
        </w:rPr>
        <w:t>MAOI</w:t>
      </w:r>
      <w:r w:rsidRPr="00587DB4">
        <w:rPr>
          <w:sz w:val="22"/>
          <w:szCs w:val="22"/>
          <w:lang w:val="el-GR"/>
        </w:rPr>
        <w:t xml:space="preserve">) και σε ασθενείς που έχουν προσφάτως διακόψει τη θεραπεία με </w:t>
      </w:r>
      <w:r w:rsidRPr="00E81D8F">
        <w:rPr>
          <w:sz w:val="22"/>
          <w:szCs w:val="22"/>
          <w:lang w:val="el-GR"/>
        </w:rPr>
        <w:t xml:space="preserve">SSRI </w:t>
      </w:r>
      <w:r w:rsidRPr="00587DB4">
        <w:rPr>
          <w:sz w:val="22"/>
          <w:szCs w:val="22"/>
          <w:lang w:val="el-GR"/>
        </w:rPr>
        <w:t xml:space="preserve">και έχουν ξεκινήσει να λαμβάνουν θεραπεία με </w:t>
      </w:r>
      <w:r w:rsidRPr="00E81D8F">
        <w:rPr>
          <w:sz w:val="22"/>
          <w:szCs w:val="22"/>
          <w:lang w:val="el-GR"/>
        </w:rPr>
        <w:t>MAOI (</w:t>
      </w:r>
      <w:r w:rsidRPr="00587DB4">
        <w:rPr>
          <w:sz w:val="22"/>
          <w:szCs w:val="22"/>
          <w:lang w:val="el-GR"/>
        </w:rPr>
        <w:t>βλ. παράγραφο</w:t>
      </w:r>
      <w:r w:rsidRPr="00E81D8F">
        <w:rPr>
          <w:sz w:val="22"/>
          <w:szCs w:val="22"/>
          <w:lang w:val="el-GR"/>
        </w:rPr>
        <w:t xml:space="preserve"> 4.3). </w:t>
      </w:r>
      <w:r w:rsidRPr="00587DB4">
        <w:rPr>
          <w:sz w:val="22"/>
          <w:szCs w:val="22"/>
          <w:lang w:val="el-GR"/>
        </w:rPr>
        <w:t>Σε ορισμένες περιπτώσεις, ο ασθενής ανέπτυξε σύνδρομο σεροτονίνης (βλ. παράγραφο 4.8).</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sz w:val="22"/>
          <w:szCs w:val="22"/>
          <w:lang w:val="el-GR"/>
        </w:rPr>
      </w:pPr>
      <w:r w:rsidRPr="00587DB4">
        <w:rPr>
          <w:sz w:val="22"/>
          <w:szCs w:val="22"/>
          <w:lang w:val="el-GR"/>
        </w:rPr>
        <w:t>Η εσιταλοπράμη αντενδείκνυται σε συνδυασμό με μη εκλεκτικούς MAOI.</w:t>
      </w:r>
    </w:p>
    <w:p w:rsidR="0032661A" w:rsidRPr="00E81D8F" w:rsidRDefault="0032661A">
      <w:pPr>
        <w:autoSpaceDE w:val="0"/>
        <w:autoSpaceDN w:val="0"/>
        <w:adjustRightInd w:val="0"/>
        <w:rPr>
          <w:sz w:val="22"/>
          <w:szCs w:val="22"/>
          <w:lang w:val="el-GR"/>
        </w:rPr>
      </w:pPr>
      <w:r w:rsidRPr="00587DB4">
        <w:rPr>
          <w:sz w:val="22"/>
          <w:szCs w:val="22"/>
          <w:lang w:val="el-GR"/>
        </w:rPr>
        <w:lastRenderedPageBreak/>
        <w:t xml:space="preserve">Η χορήγηση εσιταλοπράμης μπορεί να ξεκινήσει 14 ημέρες μετά τη διακοπή της θεραπείας με έναν μη αναστρέψιμο </w:t>
      </w:r>
      <w:r w:rsidRPr="00E81D8F">
        <w:rPr>
          <w:sz w:val="22"/>
          <w:szCs w:val="22"/>
          <w:lang w:val="el-GR"/>
        </w:rPr>
        <w:t xml:space="preserve">MAOI </w:t>
      </w:r>
      <w:r w:rsidRPr="00587DB4">
        <w:rPr>
          <w:sz w:val="22"/>
          <w:szCs w:val="22"/>
          <w:lang w:val="el-GR"/>
        </w:rPr>
        <w:t xml:space="preserve">και τουλάχιστον μία ημέρα μετά τη διακοπή της θεραπείας με τον αναστρέψιμο </w:t>
      </w:r>
      <w:r w:rsidRPr="00E81D8F">
        <w:rPr>
          <w:sz w:val="22"/>
          <w:szCs w:val="22"/>
          <w:lang w:val="el-GR"/>
        </w:rPr>
        <w:t>MAOI</w:t>
      </w:r>
      <w:r w:rsidRPr="00587DB4">
        <w:rPr>
          <w:sz w:val="22"/>
          <w:szCs w:val="22"/>
          <w:lang w:val="el-GR"/>
        </w:rPr>
        <w:t xml:space="preserve"> </w:t>
      </w:r>
      <w:r w:rsidRPr="00E81D8F">
        <w:rPr>
          <w:sz w:val="22"/>
          <w:szCs w:val="22"/>
          <w:lang w:val="el-GR"/>
        </w:rPr>
        <w:t xml:space="preserve">(RIMA), </w:t>
      </w:r>
      <w:r w:rsidRPr="00587DB4">
        <w:rPr>
          <w:sz w:val="22"/>
          <w:szCs w:val="22"/>
          <w:lang w:val="el-GR"/>
        </w:rPr>
        <w:t>μοκλοβεμίδη.</w:t>
      </w:r>
      <w:r w:rsidRPr="00E81D8F">
        <w:rPr>
          <w:sz w:val="22"/>
          <w:szCs w:val="22"/>
          <w:lang w:val="el-GR"/>
        </w:rPr>
        <w:t xml:space="preserve"> </w:t>
      </w:r>
      <w:r w:rsidRPr="00587DB4">
        <w:rPr>
          <w:sz w:val="22"/>
          <w:szCs w:val="22"/>
          <w:lang w:val="el-GR"/>
        </w:rPr>
        <w:t xml:space="preserve">Θα πρέπει να έχουν παρέλθει τουλάχιστον 7 ημέρες μετά τη διακοπή της θεραπείας με εσιταλοπράμη πριν από την έναρξη της θεραπείας με έναν μη εκλεκτικό </w:t>
      </w:r>
      <w:r w:rsidRPr="00E81D8F">
        <w:rPr>
          <w:sz w:val="22"/>
          <w:szCs w:val="22"/>
          <w:lang w:val="el-GR"/>
        </w:rPr>
        <w:t>MAOI</w:t>
      </w:r>
      <w:r w:rsidRPr="00587DB4">
        <w:rPr>
          <w:sz w:val="22"/>
          <w:szCs w:val="22"/>
          <w:lang w:val="el-GR"/>
        </w:rPr>
        <w:t>.</w:t>
      </w:r>
    </w:p>
    <w:p w:rsidR="0032661A" w:rsidRPr="00E81D8F" w:rsidRDefault="0032661A">
      <w:pPr>
        <w:autoSpaceDE w:val="0"/>
        <w:autoSpaceDN w:val="0"/>
        <w:adjustRightInd w:val="0"/>
        <w:rPr>
          <w:sz w:val="22"/>
          <w:szCs w:val="22"/>
          <w:lang w:val="el-GR"/>
        </w:rPr>
      </w:pPr>
    </w:p>
    <w:p w:rsidR="0032661A" w:rsidRPr="00587DB4" w:rsidRDefault="0032661A">
      <w:pPr>
        <w:autoSpaceDE w:val="0"/>
        <w:autoSpaceDN w:val="0"/>
        <w:adjustRightInd w:val="0"/>
        <w:rPr>
          <w:sz w:val="22"/>
          <w:szCs w:val="22"/>
          <w:lang w:val="el-GR"/>
        </w:rPr>
      </w:pPr>
      <w:r w:rsidRPr="00587DB4">
        <w:rPr>
          <w:i/>
          <w:sz w:val="22"/>
          <w:szCs w:val="22"/>
          <w:lang w:val="el-GR"/>
        </w:rPr>
        <w:t xml:space="preserve">Αναστρέψιμος, εκλεκτικός αναστολέας ΜΑΟ-Α (μοκλοβεμίδη) </w:t>
      </w:r>
      <w:r w:rsidRPr="00587DB4">
        <w:rPr>
          <w:sz w:val="22"/>
          <w:szCs w:val="22"/>
          <w:lang w:val="el-GR"/>
        </w:rPr>
        <w:t>Λόγω του κινδύνου εμφάνισης συνδρόμου σεροτονίνης, ο συνδυασμός εσιταλοπράμης με έναν αναστολέα ΜΑΟ-Α, όπως η μοκλοβεμίδη, αντ</w:t>
      </w:r>
      <w:r w:rsidR="008D7A11" w:rsidRPr="00587DB4">
        <w:rPr>
          <w:sz w:val="22"/>
          <w:szCs w:val="22"/>
          <w:lang w:val="el-GR"/>
        </w:rPr>
        <w:t>ε</w:t>
      </w:r>
      <w:r w:rsidRPr="00587DB4">
        <w:rPr>
          <w:sz w:val="22"/>
          <w:szCs w:val="22"/>
          <w:lang w:val="el-GR"/>
        </w:rPr>
        <w:t xml:space="preserve">νδείκνυται (βλ. παράγραφο 4.3). Εάν ο συνδυασμός αποδειχθεί απαραίτητος, θα πρέπει να ξεκινήσει με την ελάχιστη συνιστώμενη δοσολογία και η κλινική παρακολούθηση θα πρέπει να ενισχυθεί. </w:t>
      </w:r>
    </w:p>
    <w:p w:rsidR="0032661A" w:rsidRPr="00587DB4" w:rsidRDefault="0032661A">
      <w:pPr>
        <w:autoSpaceDE w:val="0"/>
        <w:autoSpaceDN w:val="0"/>
        <w:adjustRightInd w:val="0"/>
        <w:rPr>
          <w:sz w:val="22"/>
          <w:szCs w:val="22"/>
          <w:lang w:val="el-GR"/>
        </w:rPr>
      </w:pPr>
    </w:p>
    <w:p w:rsidR="0032661A" w:rsidRPr="00587DB4" w:rsidRDefault="0032661A">
      <w:pPr>
        <w:autoSpaceDE w:val="0"/>
        <w:autoSpaceDN w:val="0"/>
        <w:adjustRightInd w:val="0"/>
        <w:rPr>
          <w:sz w:val="22"/>
          <w:szCs w:val="22"/>
          <w:lang w:val="el-GR"/>
        </w:rPr>
      </w:pPr>
      <w:r w:rsidRPr="00587DB4">
        <w:rPr>
          <w:i/>
          <w:sz w:val="22"/>
          <w:szCs w:val="22"/>
          <w:lang w:val="el-GR"/>
        </w:rPr>
        <w:t>Αναστρέψιμος, μη εκλεκτικός αναστολέας ΜΑΟ (λινεζολίδη)</w:t>
      </w:r>
    </w:p>
    <w:p w:rsidR="0032661A" w:rsidRPr="00587DB4" w:rsidRDefault="0032661A">
      <w:pPr>
        <w:autoSpaceDE w:val="0"/>
        <w:autoSpaceDN w:val="0"/>
        <w:adjustRightInd w:val="0"/>
        <w:rPr>
          <w:sz w:val="22"/>
          <w:szCs w:val="22"/>
          <w:lang w:val="el-GR"/>
        </w:rPr>
      </w:pPr>
      <w:r w:rsidRPr="00587DB4">
        <w:rPr>
          <w:sz w:val="22"/>
          <w:szCs w:val="22"/>
          <w:lang w:val="el-GR"/>
        </w:rPr>
        <w:t xml:space="preserve">Το αντιβιοτικό λινεζολίδη είναι ένας αναστρέψιμος μη εκλεκτικός αναστολέας ΜΑΟ και δεν θα πρέπει να χορηγείται σε ασθενείς που λαμβάνουν θεραπεία με εσιταλοπράμη. Εάν ο συνδυασμός αποδειχθεί απαραίτητος, θα πρέπει να χορηγείται με τις ελάχιστες δοσολογίες και υπό στενή κλινική παρακολούθηση (βλ. παράγραφο 4.3). </w:t>
      </w:r>
    </w:p>
    <w:p w:rsidR="0032661A" w:rsidRPr="00587DB4" w:rsidRDefault="0032661A">
      <w:pPr>
        <w:autoSpaceDE w:val="0"/>
        <w:autoSpaceDN w:val="0"/>
        <w:adjustRightInd w:val="0"/>
        <w:rPr>
          <w:sz w:val="22"/>
          <w:szCs w:val="22"/>
          <w:lang w:val="el-GR"/>
        </w:rPr>
      </w:pPr>
    </w:p>
    <w:p w:rsidR="0032661A" w:rsidRPr="00587DB4" w:rsidRDefault="0032661A">
      <w:pPr>
        <w:autoSpaceDE w:val="0"/>
        <w:autoSpaceDN w:val="0"/>
        <w:adjustRightInd w:val="0"/>
        <w:rPr>
          <w:sz w:val="22"/>
          <w:szCs w:val="22"/>
          <w:lang w:val="el-GR"/>
        </w:rPr>
      </w:pPr>
      <w:r w:rsidRPr="00587DB4">
        <w:rPr>
          <w:i/>
          <w:sz w:val="22"/>
          <w:szCs w:val="22"/>
          <w:lang w:val="el-GR"/>
        </w:rPr>
        <w:t>Μη αναστρέψιμος, εκλεκτικός αναστολέας ΜΑΟ-Β (σελεγιλίνη)</w:t>
      </w:r>
    </w:p>
    <w:p w:rsidR="0032661A" w:rsidRPr="00587DB4" w:rsidRDefault="0032661A">
      <w:pPr>
        <w:autoSpaceDE w:val="0"/>
        <w:autoSpaceDN w:val="0"/>
        <w:adjustRightInd w:val="0"/>
        <w:rPr>
          <w:sz w:val="22"/>
          <w:szCs w:val="22"/>
          <w:lang w:val="el-GR"/>
        </w:rPr>
      </w:pPr>
      <w:r w:rsidRPr="00587DB4">
        <w:rPr>
          <w:sz w:val="22"/>
          <w:szCs w:val="22"/>
          <w:lang w:val="el-GR"/>
        </w:rPr>
        <w:t>Σε συνδυασμό με τη σελεγιλίνη (μη αναστρέψιμος αναστολέας ΜΑΟ-Β) απαιτείται προσοχή λόγω του κινδύνου ανάπτυξης συνδρόμου σεροτονίνης. Δόσεις της σελεγιλίνης έως και 10 mg/ημέρα έχουν συγχορηγηθεί με ασφάλεια με τη ρακεμική σιταλοπράμη.</w:t>
      </w:r>
    </w:p>
    <w:p w:rsidR="00D408D5" w:rsidRPr="00587DB4" w:rsidRDefault="00D408D5">
      <w:pPr>
        <w:autoSpaceDE w:val="0"/>
        <w:autoSpaceDN w:val="0"/>
        <w:adjustRightInd w:val="0"/>
        <w:rPr>
          <w:sz w:val="22"/>
          <w:szCs w:val="22"/>
          <w:lang w:val="el-GR"/>
        </w:rPr>
      </w:pPr>
    </w:p>
    <w:p w:rsidR="00D408D5" w:rsidRPr="00587DB4" w:rsidRDefault="00D408D5">
      <w:pPr>
        <w:autoSpaceDE w:val="0"/>
        <w:autoSpaceDN w:val="0"/>
        <w:adjustRightInd w:val="0"/>
        <w:rPr>
          <w:i/>
          <w:sz w:val="22"/>
          <w:szCs w:val="22"/>
          <w:lang w:val="el-GR"/>
        </w:rPr>
      </w:pPr>
      <w:r w:rsidRPr="00587DB4">
        <w:rPr>
          <w:i/>
          <w:sz w:val="22"/>
          <w:szCs w:val="22"/>
          <w:lang w:val="el-GR"/>
        </w:rPr>
        <w:t xml:space="preserve">Παράταση του διαστήματος </w:t>
      </w:r>
      <w:r w:rsidRPr="00587DB4">
        <w:rPr>
          <w:i/>
          <w:sz w:val="22"/>
          <w:szCs w:val="22"/>
        </w:rPr>
        <w:t>QT</w:t>
      </w:r>
    </w:p>
    <w:p w:rsidR="00C36209" w:rsidRPr="00587DB4" w:rsidRDefault="00C36209" w:rsidP="00C36209">
      <w:pPr>
        <w:tabs>
          <w:tab w:val="left" w:pos="567"/>
        </w:tabs>
        <w:rPr>
          <w:lang w:val="el-GR"/>
        </w:rPr>
      </w:pPr>
      <w:r w:rsidRPr="00587DB4">
        <w:rPr>
          <w:sz w:val="22"/>
          <w:lang w:val="el-GR"/>
        </w:rPr>
        <w:t xml:space="preserve">Δεν έχουν πραγματοποιηθεί φαρμακοκινητικές και φαρμακοδυναμικές μελέτες της εσιταλοπράμης σε συνδυασμό με άλλα φαρμακευτικά προϊόντα που παρατείνουν το διάστημα </w:t>
      </w:r>
      <w:r w:rsidRPr="00587DB4">
        <w:rPr>
          <w:sz w:val="22"/>
        </w:rPr>
        <w:t>QT</w:t>
      </w:r>
      <w:r w:rsidRPr="00587DB4">
        <w:rPr>
          <w:sz w:val="22"/>
          <w:lang w:val="el-GR"/>
        </w:rPr>
        <w:t xml:space="preserve">. Δεν μπορεί να αποκλεισθεί η αθροιστική δράση της εσιταλοπράμης και αυτών των φαρμακευτικών προϊόντων. Ως εκ τούτου, η συγχορήγηση της εσιταλοπράμης με άλλα φαρμακευτικά προϊόντα που παρατείνουν το διάστημα </w:t>
      </w:r>
      <w:r w:rsidRPr="00587DB4">
        <w:rPr>
          <w:sz w:val="22"/>
        </w:rPr>
        <w:t>QT</w:t>
      </w:r>
      <w:r w:rsidRPr="00587DB4">
        <w:rPr>
          <w:sz w:val="22"/>
          <w:lang w:val="el-GR"/>
        </w:rPr>
        <w:t>, όπως τα αντιαρρυθμικά Κατηγορίας ΙΑ και ΙΙΙ, τα αντιψυχωσικά (π.χ. παράγωγα φαινοθειαζίνης, πιμοζίδη, αλοπεριδόλη), τα τρικυκλικά αντικαταθλιπτικά, ορισμένα αντιμικροβιακά (π.χ. σπαρφλοξασίνη, μοξιφλοξασίνη, ερυθρομυκίνη IV, πενταμιδίνη, ανθελονοσιακή θεραπεία, ιδίως η αλοφαντρίνη), ορισμένα αντιισταμινικά (αστεμιζόλη, μιζολαστίνη), αντενδείκνυται.</w:t>
      </w:r>
    </w:p>
    <w:p w:rsidR="00D408D5" w:rsidRPr="00E81D8F" w:rsidRDefault="00D408D5">
      <w:pPr>
        <w:autoSpaceDE w:val="0"/>
        <w:autoSpaceDN w:val="0"/>
        <w:adjustRightInd w:val="0"/>
        <w:rPr>
          <w:sz w:val="22"/>
          <w:szCs w:val="22"/>
          <w:lang w:val="el-GR"/>
        </w:rPr>
      </w:pPr>
    </w:p>
    <w:p w:rsidR="0032661A" w:rsidRPr="00203D2F" w:rsidRDefault="0032661A">
      <w:pPr>
        <w:autoSpaceDE w:val="0"/>
        <w:autoSpaceDN w:val="0"/>
        <w:adjustRightInd w:val="0"/>
        <w:rPr>
          <w:b/>
          <w:i/>
          <w:sz w:val="22"/>
          <w:szCs w:val="22"/>
          <w:lang w:val="el-GR"/>
        </w:rPr>
      </w:pPr>
      <w:r w:rsidRPr="00587DB4">
        <w:rPr>
          <w:b/>
          <w:i/>
          <w:sz w:val="22"/>
          <w:szCs w:val="22"/>
          <w:lang w:val="el-GR"/>
        </w:rPr>
        <w:t>Συνδυασμοί που απαιτούν ιδιαίτερες προφυλάξεις κατά τη χρήση:</w:t>
      </w:r>
    </w:p>
    <w:p w:rsidR="0032661A" w:rsidRPr="00587DB4" w:rsidRDefault="0032661A">
      <w:pPr>
        <w:autoSpaceDE w:val="0"/>
        <w:autoSpaceDN w:val="0"/>
        <w:adjustRightInd w:val="0"/>
        <w:rPr>
          <w:i/>
          <w:sz w:val="22"/>
          <w:szCs w:val="22"/>
          <w:lang w:val="el-GR"/>
        </w:rPr>
      </w:pPr>
      <w:r w:rsidRPr="00587DB4">
        <w:rPr>
          <w:i/>
          <w:sz w:val="22"/>
          <w:szCs w:val="22"/>
          <w:lang w:val="el-GR"/>
        </w:rPr>
        <w:t>Σεροτονινεργικά φαρμακευτικά προϊόντα</w:t>
      </w:r>
    </w:p>
    <w:p w:rsidR="0032661A" w:rsidRPr="00E81D8F" w:rsidRDefault="0032661A">
      <w:pPr>
        <w:autoSpaceDE w:val="0"/>
        <w:autoSpaceDN w:val="0"/>
        <w:adjustRightInd w:val="0"/>
        <w:rPr>
          <w:sz w:val="22"/>
          <w:szCs w:val="22"/>
          <w:lang w:val="el-GR"/>
        </w:rPr>
      </w:pPr>
      <w:r w:rsidRPr="00587DB4">
        <w:rPr>
          <w:sz w:val="22"/>
          <w:szCs w:val="22"/>
          <w:lang w:val="el-GR"/>
        </w:rPr>
        <w:t>Η συγχορήγηση με σεροτονινεργικά φαρμακευτικά προϊόντα (π.χ. τραμαδόλη, σουματρυπτάνη και άλλες τρυπτάνες) μπορεί να οδηγήσει σε σύνδρομο σεροτονίνης.</w:t>
      </w:r>
    </w:p>
    <w:p w:rsidR="0032661A" w:rsidRPr="00E81D8F" w:rsidRDefault="0032661A">
      <w:pPr>
        <w:autoSpaceDE w:val="0"/>
        <w:autoSpaceDN w:val="0"/>
        <w:adjustRightInd w:val="0"/>
        <w:rPr>
          <w:sz w:val="22"/>
          <w:szCs w:val="22"/>
          <w:lang w:val="el-GR"/>
        </w:rPr>
      </w:pPr>
    </w:p>
    <w:p w:rsidR="0032661A" w:rsidRPr="00587DB4" w:rsidRDefault="0032661A">
      <w:pPr>
        <w:autoSpaceDE w:val="0"/>
        <w:autoSpaceDN w:val="0"/>
        <w:adjustRightInd w:val="0"/>
        <w:rPr>
          <w:i/>
          <w:sz w:val="22"/>
          <w:szCs w:val="22"/>
          <w:lang w:val="el-GR"/>
        </w:rPr>
      </w:pPr>
      <w:r w:rsidRPr="00587DB4">
        <w:rPr>
          <w:i/>
          <w:sz w:val="22"/>
          <w:szCs w:val="22"/>
          <w:lang w:val="el-GR"/>
        </w:rPr>
        <w:t>Φαρμακευτικά προϊόντα που μειώνουν την ουδό εμφάνισης επιληπτικών κρίσεων</w:t>
      </w:r>
    </w:p>
    <w:p w:rsidR="0032661A" w:rsidRPr="00E81D8F" w:rsidRDefault="0032661A">
      <w:pPr>
        <w:autoSpaceDE w:val="0"/>
        <w:autoSpaceDN w:val="0"/>
        <w:adjustRightInd w:val="0"/>
        <w:rPr>
          <w:sz w:val="22"/>
          <w:szCs w:val="22"/>
          <w:lang w:val="el-GR"/>
        </w:rPr>
      </w:pPr>
      <w:r w:rsidRPr="00587DB4">
        <w:rPr>
          <w:sz w:val="22"/>
          <w:szCs w:val="22"/>
          <w:lang w:val="el-GR"/>
        </w:rPr>
        <w:t>Η χορήγηση SSRI μπορεί να μειώσει την ουδό εμφάνισης επιληπτικών κρίσεων.</w:t>
      </w:r>
      <w:r w:rsidRPr="00E81D8F">
        <w:rPr>
          <w:sz w:val="22"/>
          <w:szCs w:val="22"/>
          <w:lang w:val="el-GR"/>
        </w:rPr>
        <w:t xml:space="preserve"> </w:t>
      </w:r>
      <w:r w:rsidRPr="00587DB4">
        <w:rPr>
          <w:sz w:val="22"/>
          <w:szCs w:val="22"/>
          <w:lang w:val="el-GR"/>
        </w:rPr>
        <w:t>Συνιστάται προσοχή κατά την ταυτόχρονη χορήγηση άλλων φαρμακευτικών προϊόντων που μπορούν να μειώσουν την ουδό εμφάνισης επιληπτικών κρίσεων (π.χ. αντικαταθλιπτικά (τρικυκλικά, SSRI), νευροληπτικά (φαινοθειαζίνες, θειοξανθίνες και βουτυροφαινόνες], μεφλοκίνη, βουπροπιόνη και τραμαδόλη).</w:t>
      </w:r>
    </w:p>
    <w:p w:rsidR="0032661A" w:rsidRPr="00E81D8F" w:rsidRDefault="0032661A">
      <w:pPr>
        <w:autoSpaceDE w:val="0"/>
        <w:autoSpaceDN w:val="0"/>
        <w:adjustRightInd w:val="0"/>
        <w:rPr>
          <w:sz w:val="22"/>
          <w:szCs w:val="22"/>
          <w:lang w:val="el-GR"/>
        </w:rPr>
      </w:pPr>
    </w:p>
    <w:p w:rsidR="0032661A" w:rsidRPr="00587DB4" w:rsidRDefault="0032661A">
      <w:pPr>
        <w:autoSpaceDE w:val="0"/>
        <w:autoSpaceDN w:val="0"/>
        <w:adjustRightInd w:val="0"/>
        <w:rPr>
          <w:i/>
          <w:sz w:val="22"/>
          <w:szCs w:val="22"/>
          <w:lang w:val="el-GR"/>
        </w:rPr>
      </w:pPr>
      <w:r w:rsidRPr="00587DB4">
        <w:rPr>
          <w:i/>
          <w:sz w:val="22"/>
          <w:szCs w:val="22"/>
          <w:lang w:val="el-GR"/>
        </w:rPr>
        <w:t>Λίθιο, τρυπτοφάνη</w:t>
      </w:r>
    </w:p>
    <w:p w:rsidR="0032661A" w:rsidRPr="00E81D8F" w:rsidRDefault="0032661A">
      <w:pPr>
        <w:autoSpaceDE w:val="0"/>
        <w:autoSpaceDN w:val="0"/>
        <w:adjustRightInd w:val="0"/>
        <w:rPr>
          <w:sz w:val="22"/>
          <w:szCs w:val="22"/>
          <w:lang w:val="el-GR"/>
        </w:rPr>
      </w:pPr>
      <w:r w:rsidRPr="00587DB4">
        <w:rPr>
          <w:sz w:val="22"/>
          <w:szCs w:val="22"/>
          <w:lang w:val="el-GR"/>
        </w:rPr>
        <w:t xml:space="preserve">Έχουν υπάρξει αναφορές ενισχυμένων επιδράσεων κατά τη συγχορήγηση των </w:t>
      </w:r>
      <w:r w:rsidRPr="00E81D8F">
        <w:rPr>
          <w:sz w:val="22"/>
          <w:szCs w:val="22"/>
          <w:lang w:val="el-GR"/>
        </w:rPr>
        <w:t>SSRI</w:t>
      </w:r>
      <w:r w:rsidRPr="00587DB4">
        <w:rPr>
          <w:sz w:val="22"/>
          <w:szCs w:val="22"/>
          <w:lang w:val="el-GR"/>
        </w:rPr>
        <w:t xml:space="preserve"> με λίθιο ή τρυπτοφάνη. Συνεπώς, η ταυτόχρονη χρήση </w:t>
      </w:r>
      <w:r w:rsidRPr="00E81D8F">
        <w:rPr>
          <w:sz w:val="22"/>
          <w:szCs w:val="22"/>
          <w:lang w:val="el-GR"/>
        </w:rPr>
        <w:t>SSRI</w:t>
      </w:r>
      <w:r w:rsidRPr="00587DB4">
        <w:rPr>
          <w:sz w:val="22"/>
          <w:szCs w:val="22"/>
          <w:lang w:val="el-GR"/>
        </w:rPr>
        <w:t xml:space="preserve"> με αυτά τα φαρμακευτικά προϊόντα θα πρέπει να πραγματοποιείται με προσοχή.</w:t>
      </w:r>
    </w:p>
    <w:p w:rsidR="0032661A" w:rsidRPr="00E81D8F" w:rsidRDefault="0032661A">
      <w:pPr>
        <w:autoSpaceDE w:val="0"/>
        <w:autoSpaceDN w:val="0"/>
        <w:adjustRightInd w:val="0"/>
        <w:rPr>
          <w:sz w:val="22"/>
          <w:szCs w:val="22"/>
          <w:lang w:val="el-GR"/>
        </w:rPr>
      </w:pPr>
    </w:p>
    <w:p w:rsidR="0032661A" w:rsidRPr="00587DB4" w:rsidRDefault="0032661A">
      <w:pPr>
        <w:autoSpaceDE w:val="0"/>
        <w:autoSpaceDN w:val="0"/>
        <w:adjustRightInd w:val="0"/>
        <w:rPr>
          <w:i/>
          <w:sz w:val="22"/>
          <w:szCs w:val="22"/>
          <w:lang w:val="el-GR"/>
        </w:rPr>
      </w:pPr>
      <w:r w:rsidRPr="00587DB4">
        <w:rPr>
          <w:i/>
          <w:sz w:val="22"/>
          <w:szCs w:val="22"/>
          <w:lang w:val="el-GR"/>
        </w:rPr>
        <w:t>Βότανο St. John’s Wort</w:t>
      </w:r>
    </w:p>
    <w:p w:rsidR="0032661A" w:rsidRPr="00E81D8F" w:rsidRDefault="0032661A">
      <w:pPr>
        <w:autoSpaceDE w:val="0"/>
        <w:autoSpaceDN w:val="0"/>
        <w:adjustRightInd w:val="0"/>
        <w:rPr>
          <w:sz w:val="22"/>
          <w:szCs w:val="22"/>
          <w:lang w:val="el-GR"/>
        </w:rPr>
      </w:pPr>
      <w:r w:rsidRPr="00587DB4">
        <w:rPr>
          <w:sz w:val="22"/>
          <w:szCs w:val="22"/>
          <w:lang w:val="el-GR"/>
        </w:rPr>
        <w:lastRenderedPageBreak/>
        <w:t>Η ταυτόχρονη χορήγηση SSRI και φυτικών προϊόντων που περιέχουν St. John’s Wort (</w:t>
      </w:r>
      <w:r w:rsidRPr="00587DB4">
        <w:rPr>
          <w:i/>
          <w:sz w:val="22"/>
          <w:szCs w:val="22"/>
          <w:lang w:val="el-GR"/>
        </w:rPr>
        <w:t>Hypericum perforatum</w:t>
      </w:r>
      <w:r w:rsidRPr="00587DB4">
        <w:rPr>
          <w:sz w:val="22"/>
          <w:szCs w:val="22"/>
          <w:lang w:val="el-GR"/>
        </w:rPr>
        <w:t>) μπορεί να έχει ως αποτέλεσμα μία αυξημένη επίπτωση ανεπιθύμητων αντιδράσεων (βλ. παράγραφο 4.4).</w:t>
      </w:r>
    </w:p>
    <w:p w:rsidR="0032661A" w:rsidRPr="00E81D8F" w:rsidRDefault="0032661A">
      <w:pPr>
        <w:autoSpaceDE w:val="0"/>
        <w:autoSpaceDN w:val="0"/>
        <w:adjustRightInd w:val="0"/>
        <w:rPr>
          <w:sz w:val="22"/>
          <w:szCs w:val="22"/>
          <w:lang w:val="el-GR"/>
        </w:rPr>
      </w:pPr>
    </w:p>
    <w:p w:rsidR="0032661A" w:rsidRPr="00587DB4" w:rsidRDefault="0032661A">
      <w:pPr>
        <w:autoSpaceDE w:val="0"/>
        <w:autoSpaceDN w:val="0"/>
        <w:adjustRightInd w:val="0"/>
        <w:rPr>
          <w:i/>
          <w:sz w:val="22"/>
          <w:szCs w:val="22"/>
          <w:lang w:val="el-GR"/>
        </w:rPr>
      </w:pPr>
      <w:r w:rsidRPr="00587DB4">
        <w:rPr>
          <w:i/>
          <w:sz w:val="22"/>
          <w:szCs w:val="22"/>
          <w:lang w:val="el-GR"/>
        </w:rPr>
        <w:t>Αιμορραγία</w:t>
      </w:r>
    </w:p>
    <w:p w:rsidR="0032661A" w:rsidRPr="00E81D8F" w:rsidRDefault="0032661A">
      <w:pPr>
        <w:autoSpaceDE w:val="0"/>
        <w:autoSpaceDN w:val="0"/>
        <w:adjustRightInd w:val="0"/>
        <w:rPr>
          <w:sz w:val="22"/>
          <w:szCs w:val="22"/>
          <w:lang w:val="el-GR"/>
        </w:rPr>
      </w:pPr>
      <w:r w:rsidRPr="00587DB4">
        <w:rPr>
          <w:sz w:val="22"/>
          <w:szCs w:val="22"/>
          <w:lang w:val="el-GR"/>
        </w:rPr>
        <w:t>Μεταβληθείσες αντιπηκτικές επιδράσεις μπορεί να εμφανιστούν κατά τον συνδυασμό της εσιταλοπράμης με από του στόματος αντιπηκτικά.</w:t>
      </w:r>
      <w:r w:rsidRPr="00E81D8F">
        <w:rPr>
          <w:sz w:val="22"/>
          <w:szCs w:val="22"/>
          <w:lang w:val="el-GR"/>
        </w:rPr>
        <w:t xml:space="preserve"> </w:t>
      </w:r>
      <w:r w:rsidRPr="00587DB4">
        <w:rPr>
          <w:sz w:val="22"/>
          <w:szCs w:val="22"/>
          <w:lang w:val="el-GR"/>
        </w:rPr>
        <w:t xml:space="preserve">Οι ασθενείς που λαμβάνουν από του στόματος αντιπηκτική θεραπεία θα πρέπει να υποβάλλονται σε προσεκτική παρακολούθηση της πήξης κατά την έναρξη ή τη διακοπή της θεραπείας με εσιταλοπράμη (βλ. παράγραφο 4.4). </w:t>
      </w:r>
      <w:r w:rsidR="00C36209" w:rsidRPr="00587DB4">
        <w:rPr>
          <w:sz w:val="22"/>
          <w:szCs w:val="22"/>
          <w:lang w:val="el-GR"/>
        </w:rPr>
        <w:t xml:space="preserve">Η ταυτόχρονη χρήση με μη στεροειδή αντιφλεγμονώδη φάρμακα (ΜΣΑΦ) ενδέχεται να αυξήσει την αιμορραγική </w:t>
      </w:r>
      <w:r w:rsidR="002150D5">
        <w:rPr>
          <w:sz w:val="22"/>
          <w:szCs w:val="22"/>
          <w:lang w:val="el-GR"/>
        </w:rPr>
        <w:t>διάθεση</w:t>
      </w:r>
      <w:r w:rsidR="00C36209" w:rsidRPr="00587DB4">
        <w:rPr>
          <w:sz w:val="22"/>
          <w:szCs w:val="22"/>
          <w:lang w:val="el-GR"/>
        </w:rPr>
        <w:t xml:space="preserve"> (βλ. παράγραφο 4.4).</w:t>
      </w:r>
    </w:p>
    <w:p w:rsidR="0032661A" w:rsidRPr="00E81D8F" w:rsidRDefault="0032661A">
      <w:pPr>
        <w:autoSpaceDE w:val="0"/>
        <w:autoSpaceDN w:val="0"/>
        <w:adjustRightInd w:val="0"/>
        <w:rPr>
          <w:sz w:val="22"/>
          <w:szCs w:val="22"/>
          <w:lang w:val="el-GR"/>
        </w:rPr>
      </w:pPr>
    </w:p>
    <w:p w:rsidR="0032661A" w:rsidRPr="00587DB4" w:rsidRDefault="0032661A">
      <w:pPr>
        <w:autoSpaceDE w:val="0"/>
        <w:autoSpaceDN w:val="0"/>
        <w:adjustRightInd w:val="0"/>
        <w:rPr>
          <w:i/>
          <w:sz w:val="22"/>
          <w:szCs w:val="22"/>
          <w:lang w:val="el-GR"/>
        </w:rPr>
      </w:pPr>
      <w:r w:rsidRPr="00587DB4">
        <w:rPr>
          <w:i/>
          <w:sz w:val="22"/>
          <w:szCs w:val="22"/>
          <w:lang w:val="el-GR"/>
        </w:rPr>
        <w:t>Αλκοόλ</w:t>
      </w:r>
    </w:p>
    <w:p w:rsidR="0032661A" w:rsidRPr="00E81D8F" w:rsidRDefault="0032661A">
      <w:pPr>
        <w:autoSpaceDE w:val="0"/>
        <w:autoSpaceDN w:val="0"/>
        <w:adjustRightInd w:val="0"/>
        <w:rPr>
          <w:sz w:val="22"/>
          <w:szCs w:val="22"/>
          <w:lang w:val="el-GR"/>
        </w:rPr>
      </w:pPr>
      <w:r w:rsidRPr="00587DB4">
        <w:rPr>
          <w:sz w:val="22"/>
          <w:szCs w:val="22"/>
          <w:lang w:val="el-GR"/>
        </w:rPr>
        <w:t>Δεν αναμένεται οποιαδήποτε φαρμακοδυναμική ή φαρμακοκινητική αλληλεπίδραση μεταξύ της εσιταλοπράμης και του αλκοόλ.</w:t>
      </w:r>
      <w:r w:rsidRPr="00E81D8F">
        <w:rPr>
          <w:sz w:val="22"/>
          <w:szCs w:val="22"/>
          <w:lang w:val="el-GR"/>
        </w:rPr>
        <w:t xml:space="preserve"> </w:t>
      </w:r>
      <w:r w:rsidRPr="00587DB4">
        <w:rPr>
          <w:sz w:val="22"/>
          <w:szCs w:val="22"/>
          <w:lang w:val="el-GR"/>
        </w:rPr>
        <w:t>Ωστόσο, όπως και με άλλα ψυχότροπα φάρμακα, δεν συνιστάται ο συνδυασμός με αλκοόλ.</w:t>
      </w:r>
    </w:p>
    <w:p w:rsidR="0032661A" w:rsidRPr="00E81D8F" w:rsidRDefault="0032661A">
      <w:pPr>
        <w:autoSpaceDE w:val="0"/>
        <w:autoSpaceDN w:val="0"/>
        <w:adjustRightInd w:val="0"/>
        <w:rPr>
          <w:sz w:val="22"/>
          <w:szCs w:val="22"/>
          <w:lang w:val="el-GR"/>
        </w:rPr>
      </w:pPr>
    </w:p>
    <w:p w:rsidR="0032661A" w:rsidRPr="007E4D87" w:rsidRDefault="0032661A">
      <w:pPr>
        <w:autoSpaceDE w:val="0"/>
        <w:autoSpaceDN w:val="0"/>
        <w:adjustRightInd w:val="0"/>
        <w:rPr>
          <w:b/>
          <w:sz w:val="22"/>
          <w:szCs w:val="22"/>
          <w:lang w:val="el-GR"/>
        </w:rPr>
      </w:pPr>
      <w:r w:rsidRPr="00587DB4">
        <w:rPr>
          <w:b/>
          <w:sz w:val="22"/>
          <w:szCs w:val="22"/>
          <w:lang w:val="el-GR"/>
        </w:rPr>
        <w:t>Φαρμακοκινητικές αλληλεπιδράσεις</w:t>
      </w:r>
    </w:p>
    <w:p w:rsidR="0032661A" w:rsidRPr="00203D2F" w:rsidRDefault="0032661A">
      <w:pPr>
        <w:autoSpaceDE w:val="0"/>
        <w:autoSpaceDN w:val="0"/>
        <w:adjustRightInd w:val="0"/>
        <w:rPr>
          <w:b/>
          <w:i/>
          <w:sz w:val="22"/>
          <w:szCs w:val="22"/>
          <w:lang w:val="el-GR"/>
        </w:rPr>
      </w:pPr>
      <w:r w:rsidRPr="00587DB4">
        <w:rPr>
          <w:b/>
          <w:i/>
          <w:sz w:val="22"/>
          <w:szCs w:val="22"/>
          <w:lang w:val="el-GR"/>
        </w:rPr>
        <w:t>Επίδραση άλλων φαρμακευτικών προϊόντων στη φαρμακοκινητική της εσιταλοπράμης</w:t>
      </w:r>
    </w:p>
    <w:p w:rsidR="0032661A" w:rsidRPr="00203D2F" w:rsidRDefault="0032661A">
      <w:pPr>
        <w:autoSpaceDE w:val="0"/>
        <w:autoSpaceDN w:val="0"/>
        <w:adjustRightInd w:val="0"/>
        <w:rPr>
          <w:sz w:val="22"/>
          <w:szCs w:val="22"/>
          <w:lang w:val="el-GR"/>
        </w:rPr>
      </w:pPr>
      <w:r w:rsidRPr="00587DB4">
        <w:rPr>
          <w:sz w:val="22"/>
          <w:szCs w:val="22"/>
          <w:lang w:val="el-GR"/>
        </w:rPr>
        <w:t xml:space="preserve">Ο μεταβολισμός της εσιταλοπράμης μεσολαβείται κυρίως από το </w:t>
      </w:r>
      <w:r w:rsidRPr="00E81D8F">
        <w:rPr>
          <w:sz w:val="22"/>
          <w:szCs w:val="22"/>
          <w:lang w:val="el-GR"/>
        </w:rPr>
        <w:t>CYP2C19</w:t>
      </w:r>
      <w:r w:rsidRPr="00587DB4">
        <w:rPr>
          <w:sz w:val="22"/>
          <w:szCs w:val="22"/>
          <w:lang w:val="el-GR"/>
        </w:rPr>
        <w:t>.</w:t>
      </w:r>
      <w:r w:rsidRPr="00E81D8F">
        <w:rPr>
          <w:sz w:val="22"/>
          <w:szCs w:val="22"/>
          <w:lang w:val="el-GR"/>
        </w:rPr>
        <w:t xml:space="preserve"> </w:t>
      </w:r>
      <w:r w:rsidRPr="00587DB4">
        <w:rPr>
          <w:sz w:val="22"/>
          <w:szCs w:val="22"/>
          <w:lang w:val="el-GR"/>
        </w:rPr>
        <w:t>Τα ένζυμα CYP3A4 και CYP2D6 μπορεί επίσης να συμβάλλουν στον μεταβολισμό, αν και σε μικρότερο βαθμό.</w:t>
      </w:r>
      <w:r w:rsidRPr="00E81D8F">
        <w:rPr>
          <w:sz w:val="22"/>
          <w:szCs w:val="22"/>
          <w:lang w:val="el-GR"/>
        </w:rPr>
        <w:t xml:space="preserve"> </w:t>
      </w:r>
      <w:r w:rsidRPr="00587DB4">
        <w:rPr>
          <w:sz w:val="22"/>
          <w:szCs w:val="22"/>
          <w:lang w:val="el-GR"/>
        </w:rPr>
        <w:t>Ο μεταβολισμός του κύριου μεταβολίτη S-DCT (απομεθυλιωμένη εσιταλοπράμη) φαίνεται ότι καταλύεται μερικώς από το CYP2D6.</w:t>
      </w:r>
    </w:p>
    <w:p w:rsidR="0032661A" w:rsidRPr="00203D2F" w:rsidRDefault="0032661A">
      <w:pPr>
        <w:autoSpaceDE w:val="0"/>
        <w:autoSpaceDN w:val="0"/>
        <w:adjustRightInd w:val="0"/>
        <w:rPr>
          <w:sz w:val="22"/>
          <w:szCs w:val="22"/>
          <w:lang w:val="el-GR"/>
        </w:rPr>
      </w:pPr>
      <w:r w:rsidRPr="00587DB4">
        <w:rPr>
          <w:sz w:val="22"/>
          <w:szCs w:val="22"/>
          <w:lang w:val="el-GR"/>
        </w:rPr>
        <w:t>Η συγχορήγηση εσιταλοπράμης και ομεπραζόλης 30 mg άπαξ ημερησίως (ένας αναστολέας του CYP2C19) προκάλεσε μία μέτρια (περίπου κατά 50%) αύξηση των συγκεντρώσεων της εσιταλοπράμης στο πλάσμα.</w:t>
      </w:r>
    </w:p>
    <w:p w:rsidR="0032661A" w:rsidRPr="007E4D87" w:rsidRDefault="0032661A">
      <w:pPr>
        <w:autoSpaceDE w:val="0"/>
        <w:autoSpaceDN w:val="0"/>
        <w:adjustRightInd w:val="0"/>
        <w:rPr>
          <w:sz w:val="22"/>
          <w:szCs w:val="22"/>
          <w:lang w:val="el-GR"/>
        </w:rPr>
      </w:pPr>
      <w:r w:rsidRPr="00587DB4">
        <w:rPr>
          <w:sz w:val="22"/>
          <w:szCs w:val="22"/>
          <w:lang w:val="el-GR"/>
        </w:rPr>
        <w:t>Η συγχορήγηση εσιταλοπράμης και σιμετιδίνης 400 mg δις ημερησίως (ένας μετρίως ισχυρός γενικός αναστολέας ενζύμων) προκάλεσε μία μέτρια (περίπου κατά 70%) αύξηση των συγκεντρώσεων της εσιταλοπράμης στο πλάσμα.</w:t>
      </w:r>
      <w:r w:rsidR="00C36209" w:rsidRPr="00587DB4">
        <w:rPr>
          <w:sz w:val="22"/>
          <w:szCs w:val="22"/>
          <w:lang w:val="el-GR"/>
        </w:rPr>
        <w:t xml:space="preserve"> </w:t>
      </w:r>
      <w:r w:rsidR="00C36209" w:rsidRPr="00587DB4">
        <w:rPr>
          <w:sz w:val="22"/>
          <w:lang w:val="el-GR"/>
        </w:rPr>
        <w:t>Συνιστάται προσοχή όταν η εσιταλοπράμη συγχορηγείται με τη σιμετιδίνη. Μπορεί να απαιτηθεί προσαρμογή της δόσης</w:t>
      </w:r>
    </w:p>
    <w:p w:rsidR="0032661A" w:rsidRPr="00E81D8F" w:rsidRDefault="0032661A">
      <w:pPr>
        <w:autoSpaceDE w:val="0"/>
        <w:autoSpaceDN w:val="0"/>
        <w:adjustRightInd w:val="0"/>
        <w:rPr>
          <w:sz w:val="22"/>
          <w:szCs w:val="22"/>
          <w:lang w:val="el-GR"/>
        </w:rPr>
      </w:pPr>
      <w:r w:rsidRPr="00587DB4">
        <w:rPr>
          <w:sz w:val="22"/>
          <w:szCs w:val="22"/>
          <w:lang w:val="el-GR"/>
        </w:rPr>
        <w:t>Συνεπώς, πρέπει να δίνεται προσοχή κατά την ταυτόχρονη χορήγηση αναστολέων του CYP2C19 (π.χ. ομεπραζόλη, εσομεπραζόλη, φλουβοξαμίνη, λανσοπραζόλη, τικλοδιπίνη) ή σιμετιδίνης.</w:t>
      </w:r>
      <w:r w:rsidRPr="00E81D8F">
        <w:rPr>
          <w:sz w:val="22"/>
          <w:szCs w:val="22"/>
          <w:lang w:val="el-GR"/>
        </w:rPr>
        <w:t xml:space="preserve"> </w:t>
      </w:r>
      <w:r w:rsidRPr="00587DB4">
        <w:rPr>
          <w:sz w:val="22"/>
          <w:szCs w:val="22"/>
          <w:lang w:val="el-GR"/>
        </w:rPr>
        <w:t>Μία μείωση της δόσης της εσιταλοπράμης μπορεί να είναι απαραίτητη βάσει της παρακολούθησης των ανεπιθύμητων ενεργειών κατά τη διάρκεια της συγχορηγούμενης θεραπείας.</w:t>
      </w:r>
    </w:p>
    <w:p w:rsidR="00684613" w:rsidRPr="00E81D8F" w:rsidRDefault="00684613">
      <w:pPr>
        <w:autoSpaceDE w:val="0"/>
        <w:autoSpaceDN w:val="0"/>
        <w:adjustRightInd w:val="0"/>
        <w:rPr>
          <w:i/>
          <w:sz w:val="22"/>
          <w:szCs w:val="22"/>
          <w:lang w:val="el-GR"/>
        </w:rPr>
      </w:pPr>
    </w:p>
    <w:p w:rsidR="0032661A" w:rsidRPr="00203D2F" w:rsidRDefault="0032661A">
      <w:pPr>
        <w:autoSpaceDE w:val="0"/>
        <w:autoSpaceDN w:val="0"/>
        <w:adjustRightInd w:val="0"/>
        <w:rPr>
          <w:b/>
          <w:i/>
          <w:sz w:val="22"/>
          <w:szCs w:val="22"/>
          <w:lang w:val="el-GR"/>
        </w:rPr>
      </w:pPr>
      <w:r w:rsidRPr="00587DB4">
        <w:rPr>
          <w:b/>
          <w:i/>
          <w:sz w:val="22"/>
          <w:szCs w:val="22"/>
          <w:lang w:val="el-GR"/>
        </w:rPr>
        <w:t>Επίδραση της εσιταλοπράμης στη φαρμακοκινητική άλλων φαρμακευτικών παραγόντων</w:t>
      </w:r>
    </w:p>
    <w:p w:rsidR="0032661A" w:rsidRPr="007E4D87" w:rsidRDefault="0032661A">
      <w:pPr>
        <w:autoSpaceDE w:val="0"/>
        <w:autoSpaceDN w:val="0"/>
        <w:adjustRightInd w:val="0"/>
        <w:rPr>
          <w:sz w:val="22"/>
          <w:szCs w:val="22"/>
          <w:lang w:val="el-GR"/>
        </w:rPr>
      </w:pPr>
      <w:r w:rsidRPr="00587DB4">
        <w:rPr>
          <w:sz w:val="22"/>
          <w:szCs w:val="22"/>
          <w:lang w:val="el-GR"/>
        </w:rPr>
        <w:t>Η εσιταλοπράμη είναι ένας αναστολέας του ενζύμου CYP2D6.</w:t>
      </w:r>
      <w:r w:rsidRPr="00E81D8F">
        <w:rPr>
          <w:sz w:val="22"/>
          <w:szCs w:val="22"/>
          <w:lang w:val="el-GR"/>
        </w:rPr>
        <w:t xml:space="preserve"> </w:t>
      </w:r>
      <w:r w:rsidRPr="00587DB4">
        <w:rPr>
          <w:sz w:val="22"/>
          <w:szCs w:val="22"/>
          <w:lang w:val="el-GR"/>
        </w:rPr>
        <w:t>Συνιστάται προσοχή κατά τη συγχορήγηση της εσιταλοπράμης με φαρμακευτικούς παράγοντες που μεταβολίζονται κατά κύριο λόγο από αυτό το ένζυμο, και οι οποίοι έχουν ένα στενό θεραπευτικό δείκτη, π.χ. φλεκαϊνίδη, προπαφαινόνη και μετοπρολόλη (όταν χρησιμοποιούνται στην καρδιακή ανεπάρκεια) ή με ορισμένους φαρμακευτικούς παράγοντες που δρουν στο ΚΝΣ, οι οποίοι μεταβολίζονται κυρίως από το CYP2D6, π.χ. αντικαταθλιπτικά, όπως δεσιπραμίνη, κλομιπραμίνη και νορτριπτυλίνη ή αντιψυχωσικά, όπως ρισπεριδόνη, θειοριδαζίνη και αλοπεριδόλη.</w:t>
      </w:r>
      <w:r w:rsidRPr="00E81D8F">
        <w:rPr>
          <w:sz w:val="22"/>
          <w:szCs w:val="22"/>
          <w:lang w:val="el-GR"/>
        </w:rPr>
        <w:t xml:space="preserve"> </w:t>
      </w:r>
      <w:r w:rsidRPr="00587DB4">
        <w:rPr>
          <w:sz w:val="22"/>
          <w:szCs w:val="22"/>
          <w:lang w:val="el-GR"/>
        </w:rPr>
        <w:t>Μπορεί να απαιτηθεί ρύθμιση της δοσολογίας.</w:t>
      </w:r>
    </w:p>
    <w:p w:rsidR="0032661A" w:rsidRPr="00E81D8F" w:rsidRDefault="0032661A">
      <w:pPr>
        <w:autoSpaceDE w:val="0"/>
        <w:autoSpaceDN w:val="0"/>
        <w:adjustRightInd w:val="0"/>
        <w:rPr>
          <w:sz w:val="22"/>
          <w:szCs w:val="22"/>
          <w:lang w:val="el-GR"/>
        </w:rPr>
      </w:pPr>
      <w:r w:rsidRPr="00587DB4">
        <w:rPr>
          <w:sz w:val="22"/>
          <w:szCs w:val="22"/>
          <w:lang w:val="el-GR"/>
        </w:rPr>
        <w:t xml:space="preserve">Η συγχορήγηση με δεσιπραμίνη ή μετοπρολόλη είχε ως αποτέλεσμα και στις δύο περιπτώσεις μία αύξηση κατά δύο φορές των επιπέδων αυτών των δύο υποστρωμάτων του </w:t>
      </w:r>
      <w:r w:rsidRPr="00E81D8F">
        <w:rPr>
          <w:sz w:val="22"/>
          <w:szCs w:val="22"/>
          <w:lang w:val="el-GR"/>
        </w:rPr>
        <w:t xml:space="preserve">CYP2D6 </w:t>
      </w:r>
      <w:r w:rsidRPr="00587DB4">
        <w:rPr>
          <w:sz w:val="22"/>
          <w:szCs w:val="22"/>
          <w:lang w:val="el-GR"/>
        </w:rPr>
        <w:t>στο πλάσμα.</w:t>
      </w:r>
    </w:p>
    <w:p w:rsidR="0032661A" w:rsidRPr="00E81D8F" w:rsidRDefault="0032661A">
      <w:pPr>
        <w:autoSpaceDE w:val="0"/>
        <w:autoSpaceDN w:val="0"/>
        <w:adjustRightInd w:val="0"/>
        <w:rPr>
          <w:sz w:val="22"/>
          <w:szCs w:val="22"/>
          <w:lang w:val="el-GR"/>
        </w:rPr>
      </w:pPr>
      <w:r w:rsidRPr="00587DB4">
        <w:rPr>
          <w:i/>
          <w:sz w:val="22"/>
          <w:szCs w:val="22"/>
          <w:lang w:val="el-GR"/>
        </w:rPr>
        <w:t xml:space="preserve">In vitro </w:t>
      </w:r>
      <w:r w:rsidRPr="00587DB4">
        <w:rPr>
          <w:sz w:val="22"/>
          <w:szCs w:val="22"/>
          <w:lang w:val="el-GR"/>
        </w:rPr>
        <w:t xml:space="preserve">μελέτες έχουν καταδείξει ότι η εσιταλοπράμη μπορεί επίσης να προκαλέσει ασθενή αναστολή του </w:t>
      </w:r>
      <w:r w:rsidRPr="00E81D8F">
        <w:rPr>
          <w:sz w:val="22"/>
          <w:szCs w:val="22"/>
          <w:lang w:val="el-GR"/>
        </w:rPr>
        <w:t>CYP2C19</w:t>
      </w:r>
      <w:r w:rsidRPr="00587DB4">
        <w:rPr>
          <w:sz w:val="22"/>
          <w:szCs w:val="22"/>
          <w:lang w:val="el-GR"/>
        </w:rPr>
        <w:t>.</w:t>
      </w:r>
      <w:r w:rsidRPr="00E81D8F">
        <w:rPr>
          <w:sz w:val="22"/>
          <w:szCs w:val="22"/>
          <w:lang w:val="el-GR"/>
        </w:rPr>
        <w:t xml:space="preserve"> </w:t>
      </w:r>
      <w:r w:rsidRPr="00587DB4">
        <w:rPr>
          <w:sz w:val="22"/>
          <w:szCs w:val="22"/>
          <w:lang w:val="el-GR"/>
        </w:rPr>
        <w:t xml:space="preserve">Συνιστάται προσοχή κατά την ταυτόχρονη χορήγηση φαρμακευτικών παραγόντων που μεταβολίζονται από το </w:t>
      </w:r>
      <w:r w:rsidRPr="00E81D8F">
        <w:rPr>
          <w:sz w:val="22"/>
          <w:szCs w:val="22"/>
          <w:lang w:val="el-GR"/>
        </w:rPr>
        <w:t>CYP2C19</w:t>
      </w:r>
      <w:r w:rsidRPr="00587DB4">
        <w:rPr>
          <w:sz w:val="22"/>
          <w:szCs w:val="22"/>
          <w:lang w:val="el-GR"/>
        </w:rPr>
        <w:t>.</w:t>
      </w:r>
    </w:p>
    <w:p w:rsidR="0032661A" w:rsidRPr="00587DB4" w:rsidRDefault="0032661A">
      <w:pPr>
        <w:rPr>
          <w:sz w:val="22"/>
          <w:szCs w:val="22"/>
          <w:lang w:val="el-GR"/>
        </w:rPr>
      </w:pPr>
    </w:p>
    <w:p w:rsidR="00203D2F" w:rsidRPr="007E4D87" w:rsidRDefault="00203D2F">
      <w:pPr>
        <w:ind w:left="567" w:hanging="567"/>
        <w:rPr>
          <w:b/>
          <w:sz w:val="22"/>
          <w:szCs w:val="22"/>
          <w:lang w:val="el-GR"/>
        </w:rPr>
      </w:pPr>
    </w:p>
    <w:p w:rsidR="00203D2F" w:rsidRPr="007E4D87" w:rsidRDefault="00203D2F">
      <w:pPr>
        <w:ind w:left="567" w:hanging="567"/>
        <w:rPr>
          <w:b/>
          <w:sz w:val="22"/>
          <w:szCs w:val="22"/>
          <w:lang w:val="el-GR"/>
        </w:rPr>
      </w:pPr>
    </w:p>
    <w:p w:rsidR="0032661A" w:rsidRPr="00587DB4" w:rsidRDefault="0032661A">
      <w:pPr>
        <w:ind w:left="567" w:hanging="567"/>
        <w:rPr>
          <w:sz w:val="22"/>
          <w:szCs w:val="22"/>
          <w:lang w:val="el-GR"/>
        </w:rPr>
      </w:pPr>
      <w:r w:rsidRPr="00587DB4">
        <w:rPr>
          <w:b/>
          <w:sz w:val="22"/>
          <w:szCs w:val="22"/>
          <w:lang w:val="el-GR"/>
        </w:rPr>
        <w:lastRenderedPageBreak/>
        <w:t>4.6</w:t>
      </w:r>
      <w:r w:rsidRPr="00587DB4">
        <w:rPr>
          <w:b/>
          <w:sz w:val="22"/>
          <w:szCs w:val="22"/>
          <w:lang w:val="el-GR"/>
        </w:rPr>
        <w:tab/>
      </w:r>
      <w:r w:rsidR="00C36209" w:rsidRPr="00587DB4">
        <w:rPr>
          <w:b/>
          <w:sz w:val="22"/>
          <w:szCs w:val="22"/>
          <w:lang w:val="el-GR"/>
        </w:rPr>
        <w:t>Γονιμότητα, κ</w:t>
      </w:r>
      <w:r w:rsidRPr="00587DB4">
        <w:rPr>
          <w:b/>
          <w:sz w:val="22"/>
          <w:szCs w:val="22"/>
          <w:lang w:val="el-GR"/>
        </w:rPr>
        <w:t>ύηση και γαλουχία</w:t>
      </w:r>
    </w:p>
    <w:p w:rsidR="0032661A" w:rsidRPr="00E81D8F" w:rsidRDefault="0032661A">
      <w:pPr>
        <w:autoSpaceDE w:val="0"/>
        <w:autoSpaceDN w:val="0"/>
        <w:adjustRightInd w:val="0"/>
        <w:rPr>
          <w:i/>
          <w:sz w:val="22"/>
          <w:szCs w:val="22"/>
          <w:lang w:val="el-GR"/>
        </w:rPr>
      </w:pPr>
      <w:r w:rsidRPr="00587DB4">
        <w:rPr>
          <w:i/>
          <w:sz w:val="22"/>
          <w:szCs w:val="22"/>
          <w:lang w:val="el-GR"/>
        </w:rPr>
        <w:t>Κύηση</w:t>
      </w:r>
    </w:p>
    <w:p w:rsidR="0032661A" w:rsidRPr="00E81D8F" w:rsidRDefault="0032661A">
      <w:pPr>
        <w:autoSpaceDE w:val="0"/>
        <w:autoSpaceDN w:val="0"/>
        <w:adjustRightInd w:val="0"/>
        <w:rPr>
          <w:sz w:val="22"/>
          <w:szCs w:val="22"/>
          <w:lang w:val="el-GR"/>
        </w:rPr>
      </w:pPr>
      <w:r w:rsidRPr="00587DB4">
        <w:rPr>
          <w:sz w:val="22"/>
          <w:szCs w:val="22"/>
          <w:lang w:val="el-GR"/>
        </w:rPr>
        <w:t>Για την εσιταλοπράμη διατίθενται μόνο περιορισμένα κλινικά δεδομένα σχετικά με τις κυήσεις γυναικών που έχουν εκτεθεί στο φάρμακο.</w:t>
      </w:r>
    </w:p>
    <w:p w:rsidR="0032661A" w:rsidRPr="00E81D8F" w:rsidRDefault="0032661A">
      <w:pPr>
        <w:autoSpaceDE w:val="0"/>
        <w:autoSpaceDN w:val="0"/>
        <w:adjustRightInd w:val="0"/>
        <w:rPr>
          <w:sz w:val="22"/>
          <w:szCs w:val="22"/>
          <w:lang w:val="el-GR"/>
        </w:rPr>
      </w:pPr>
      <w:r w:rsidRPr="00587DB4">
        <w:rPr>
          <w:sz w:val="22"/>
          <w:szCs w:val="22"/>
          <w:lang w:val="el-GR"/>
        </w:rPr>
        <w:t>Σε μελέτες αναπαραγωγικής τοξικότητας που διεξήχθησαν σε επίμυες με την εσιταλοπράμη παρατηρήθηκαν εμβρυοτοξικές επιδράσεις, αλλά καμία αυξημένη επίπτωση δυσμορφιών (βλ. παράγραφο 5.3).</w:t>
      </w:r>
    </w:p>
    <w:p w:rsidR="0032661A" w:rsidRPr="00203D2F" w:rsidRDefault="0032661A">
      <w:pPr>
        <w:autoSpaceDE w:val="0"/>
        <w:autoSpaceDN w:val="0"/>
        <w:adjustRightInd w:val="0"/>
        <w:rPr>
          <w:sz w:val="22"/>
          <w:szCs w:val="22"/>
          <w:lang w:val="el-GR"/>
        </w:rPr>
      </w:pPr>
      <w:r w:rsidRPr="00587DB4">
        <w:rPr>
          <w:sz w:val="22"/>
          <w:szCs w:val="22"/>
          <w:lang w:val="el-GR"/>
        </w:rPr>
        <w:t xml:space="preserve">Το </w:t>
      </w:r>
      <w:r w:rsidR="00585172" w:rsidRPr="00E81D8F">
        <w:rPr>
          <w:sz w:val="22"/>
          <w:szCs w:val="22"/>
          <w:lang w:val="el-GR"/>
        </w:rPr>
        <w:t>Escitalopram/Actavis</w:t>
      </w:r>
      <w:r w:rsidR="00684613" w:rsidRPr="00E81D8F">
        <w:rPr>
          <w:sz w:val="22"/>
          <w:szCs w:val="22"/>
          <w:lang w:val="el-GR"/>
        </w:rPr>
        <w:t xml:space="preserve"> </w:t>
      </w:r>
      <w:r w:rsidRPr="00587DB4">
        <w:rPr>
          <w:sz w:val="22"/>
          <w:szCs w:val="22"/>
          <w:lang w:val="el-GR"/>
        </w:rPr>
        <w:t xml:space="preserve"> δεν θα πρέπει να χρησιμοποιείται κατά τη διάρκεια της κύησης εκτός εάν είναι σαφώς απαραίτητο και μόνο μετά από προσεκτική αξιολόγηση της αναλογίας κινδύνου/οφέλους.</w:t>
      </w:r>
    </w:p>
    <w:p w:rsidR="0048778F" w:rsidRPr="007E4D87" w:rsidRDefault="0048778F">
      <w:pPr>
        <w:autoSpaceDE w:val="0"/>
        <w:autoSpaceDN w:val="0"/>
        <w:adjustRightInd w:val="0"/>
        <w:rPr>
          <w:sz w:val="22"/>
          <w:szCs w:val="22"/>
          <w:lang w:val="el-GR"/>
        </w:rPr>
      </w:pPr>
      <w:r w:rsidRPr="00587DB4">
        <w:rPr>
          <w:sz w:val="22"/>
          <w:szCs w:val="22"/>
          <w:lang w:val="el-GR"/>
        </w:rPr>
        <w:t xml:space="preserve">Επιδημιολογικά δεδομένα έχουν δείξει ότι η χρήση SSRI κατά την </w:t>
      </w:r>
      <w:r w:rsidR="006C1F18" w:rsidRPr="00587DB4">
        <w:rPr>
          <w:sz w:val="22"/>
          <w:szCs w:val="22"/>
          <w:lang w:val="el-GR"/>
        </w:rPr>
        <w:t>κύηση</w:t>
      </w:r>
      <w:r w:rsidR="00255F51" w:rsidRPr="00587DB4">
        <w:rPr>
          <w:sz w:val="22"/>
          <w:szCs w:val="22"/>
          <w:lang w:val="el-GR"/>
        </w:rPr>
        <w:t xml:space="preserve">, ιδιαιτέρως κατά την </w:t>
      </w:r>
      <w:r w:rsidR="006C1F18" w:rsidRPr="00587DB4">
        <w:rPr>
          <w:sz w:val="22"/>
          <w:szCs w:val="22"/>
          <w:lang w:val="el-GR"/>
        </w:rPr>
        <w:t>προχωρημένη</w:t>
      </w:r>
      <w:r w:rsidR="00255F51" w:rsidRPr="00587DB4">
        <w:rPr>
          <w:sz w:val="22"/>
          <w:szCs w:val="22"/>
          <w:lang w:val="el-GR"/>
        </w:rPr>
        <w:t xml:space="preserve"> </w:t>
      </w:r>
      <w:r w:rsidR="006C1F18" w:rsidRPr="00587DB4">
        <w:rPr>
          <w:sz w:val="22"/>
          <w:szCs w:val="22"/>
          <w:lang w:val="el-GR"/>
        </w:rPr>
        <w:t>κύηση</w:t>
      </w:r>
      <w:r w:rsidR="00255F51" w:rsidRPr="00587DB4">
        <w:rPr>
          <w:sz w:val="22"/>
          <w:szCs w:val="22"/>
          <w:lang w:val="el-GR"/>
        </w:rPr>
        <w:t>, μπορεί να αυξήσει τον κίνδυνο επίμονης πνευμονικής υπέρτασης του νεογνού (</w:t>
      </w:r>
      <w:r w:rsidR="002A4673" w:rsidRPr="00587DB4">
        <w:rPr>
          <w:sz w:val="22"/>
          <w:szCs w:val="22"/>
        </w:rPr>
        <w:t>PPHN</w:t>
      </w:r>
      <w:r w:rsidR="00255F51" w:rsidRPr="00587DB4">
        <w:rPr>
          <w:sz w:val="22"/>
          <w:szCs w:val="22"/>
          <w:lang w:val="el-GR"/>
        </w:rPr>
        <w:t>)</w:t>
      </w:r>
      <w:r w:rsidR="002A4673" w:rsidRPr="00587DB4">
        <w:rPr>
          <w:sz w:val="22"/>
          <w:szCs w:val="22"/>
          <w:lang w:val="el-GR"/>
        </w:rPr>
        <w:t xml:space="preserve">. Ο κίνδυνος που παρατηρήθηκε ήταν περίπου 5 περιπτώσεις ανά 1.000 </w:t>
      </w:r>
      <w:r w:rsidR="006C1F18" w:rsidRPr="00587DB4">
        <w:rPr>
          <w:sz w:val="22"/>
          <w:szCs w:val="22"/>
          <w:lang w:val="el-GR"/>
        </w:rPr>
        <w:t>κυήσεις</w:t>
      </w:r>
      <w:r w:rsidR="002A4673" w:rsidRPr="00587DB4">
        <w:rPr>
          <w:sz w:val="22"/>
          <w:szCs w:val="22"/>
          <w:lang w:val="el-GR"/>
        </w:rPr>
        <w:t>. Στο γενικό πληθυσμό,</w:t>
      </w:r>
      <w:r w:rsidR="0038346D" w:rsidRPr="00587DB4">
        <w:rPr>
          <w:sz w:val="22"/>
          <w:szCs w:val="22"/>
          <w:lang w:val="el-GR"/>
        </w:rPr>
        <w:t xml:space="preserve"> εμφανίζονται</w:t>
      </w:r>
      <w:r w:rsidR="002A4673" w:rsidRPr="00587DB4">
        <w:rPr>
          <w:sz w:val="22"/>
          <w:szCs w:val="22"/>
          <w:lang w:val="el-GR"/>
        </w:rPr>
        <w:t xml:space="preserve"> 1 με 2 περιπτώσεις </w:t>
      </w:r>
      <w:r w:rsidR="0038346D" w:rsidRPr="00587DB4">
        <w:rPr>
          <w:sz w:val="22"/>
          <w:szCs w:val="22"/>
        </w:rPr>
        <w:t>PPHN</w:t>
      </w:r>
      <w:r w:rsidR="0038346D" w:rsidRPr="00587DB4">
        <w:rPr>
          <w:sz w:val="22"/>
          <w:szCs w:val="22"/>
          <w:lang w:val="el-GR"/>
        </w:rPr>
        <w:t xml:space="preserve"> ανά 1.000 </w:t>
      </w:r>
      <w:r w:rsidR="006C1F18" w:rsidRPr="00587DB4">
        <w:rPr>
          <w:sz w:val="22"/>
          <w:szCs w:val="22"/>
          <w:lang w:val="el-GR"/>
        </w:rPr>
        <w:t>κυήσεις</w:t>
      </w:r>
      <w:r w:rsidR="0038346D" w:rsidRPr="00587DB4">
        <w:rPr>
          <w:sz w:val="22"/>
          <w:szCs w:val="22"/>
          <w:lang w:val="el-GR"/>
        </w:rPr>
        <w:t>.</w:t>
      </w:r>
    </w:p>
    <w:p w:rsidR="0032661A" w:rsidRPr="00203D2F" w:rsidRDefault="0032661A">
      <w:pPr>
        <w:autoSpaceDE w:val="0"/>
        <w:autoSpaceDN w:val="0"/>
        <w:adjustRightInd w:val="0"/>
        <w:rPr>
          <w:sz w:val="22"/>
          <w:szCs w:val="22"/>
          <w:lang w:val="el-GR"/>
        </w:rPr>
      </w:pPr>
      <w:r w:rsidRPr="00587DB4">
        <w:rPr>
          <w:sz w:val="22"/>
          <w:szCs w:val="22"/>
          <w:lang w:val="el-GR"/>
        </w:rPr>
        <w:t>Τα νεογνά θα πρέπει να παρακολουθούνται εάν η χρήση εσιταλοπράμης από τη μητέρα συνεχίζεται έως και τα τελευταία στάδια της κύησης</w:t>
      </w:r>
      <w:r w:rsidR="000418E8" w:rsidRPr="00587DB4">
        <w:rPr>
          <w:sz w:val="22"/>
          <w:szCs w:val="22"/>
          <w:lang w:val="el-GR"/>
        </w:rPr>
        <w:t xml:space="preserve">, </w:t>
      </w:r>
      <w:r w:rsidR="00540319" w:rsidRPr="00587DB4">
        <w:rPr>
          <w:sz w:val="22"/>
          <w:szCs w:val="22"/>
          <w:lang w:val="el-GR"/>
        </w:rPr>
        <w:t>ιδιαιτέρως</w:t>
      </w:r>
      <w:r w:rsidR="000418E8" w:rsidRPr="00587DB4">
        <w:rPr>
          <w:sz w:val="22"/>
          <w:szCs w:val="22"/>
          <w:lang w:val="el-GR"/>
        </w:rPr>
        <w:t xml:space="preserve"> κατά το τελευταίο τρίμηνο.</w:t>
      </w:r>
      <w:r w:rsidRPr="00E81D8F">
        <w:rPr>
          <w:sz w:val="22"/>
          <w:szCs w:val="22"/>
          <w:lang w:val="el-GR"/>
        </w:rPr>
        <w:t xml:space="preserve"> </w:t>
      </w:r>
      <w:r w:rsidRPr="00587DB4">
        <w:rPr>
          <w:sz w:val="22"/>
          <w:szCs w:val="22"/>
          <w:lang w:val="el-GR"/>
        </w:rPr>
        <w:t xml:space="preserve">Η αιφνίδια διακοπή θα πρέπει να αποφεύγεται εάν οι </w:t>
      </w:r>
      <w:r w:rsidRPr="00E81D8F">
        <w:rPr>
          <w:sz w:val="22"/>
          <w:szCs w:val="22"/>
          <w:lang w:val="el-GR"/>
        </w:rPr>
        <w:t>SSRI</w:t>
      </w:r>
      <w:r w:rsidRPr="00587DB4">
        <w:rPr>
          <w:sz w:val="22"/>
          <w:szCs w:val="22"/>
          <w:lang w:val="el-GR"/>
        </w:rPr>
        <w:t xml:space="preserve"> χρησιμοποιούνται κατά τη διάρκεια της κύησης.</w:t>
      </w:r>
    </w:p>
    <w:p w:rsidR="0032661A" w:rsidRPr="00E81D8F" w:rsidRDefault="0032661A">
      <w:pPr>
        <w:autoSpaceDE w:val="0"/>
        <w:autoSpaceDN w:val="0"/>
        <w:adjustRightInd w:val="0"/>
        <w:rPr>
          <w:sz w:val="22"/>
          <w:szCs w:val="22"/>
          <w:lang w:val="el-GR"/>
        </w:rPr>
      </w:pPr>
      <w:r w:rsidRPr="00587DB4">
        <w:rPr>
          <w:sz w:val="22"/>
          <w:szCs w:val="22"/>
          <w:lang w:val="el-GR"/>
        </w:rPr>
        <w:t>Τα ακόλουθα συμπτώματα μπορεί να εμφανιστούν στα νεογέννητα μετά τη χρήση SSRI/SNRI από τη μητέρα στα τελευταία στάδια της κύησης:</w:t>
      </w:r>
      <w:r w:rsidRPr="00E81D8F">
        <w:rPr>
          <w:sz w:val="22"/>
          <w:szCs w:val="22"/>
          <w:lang w:val="el-GR"/>
        </w:rPr>
        <w:t xml:space="preserve"> </w:t>
      </w:r>
      <w:r w:rsidRPr="00587DB4">
        <w:rPr>
          <w:sz w:val="22"/>
          <w:szCs w:val="22"/>
          <w:lang w:val="el-GR"/>
        </w:rPr>
        <w:t>αναπνευστική δυσχέρεια, κυάνωση, άπνοια, σπασμοί, αστάθεια θερμοκρασίας, δυσκολία σίτισης, έμετος, υπογλυκαιμία, υπερτονία, υποτονία, αύξηση αντανακλαστικών, τρόμος, νευρικότητα, ευερεθιστότητα, λήθαργος, συνεχές κλάμα, υπνηλία και δυσκολίες ύπνου.</w:t>
      </w:r>
      <w:r w:rsidRPr="00E81D8F">
        <w:rPr>
          <w:sz w:val="22"/>
          <w:szCs w:val="22"/>
          <w:lang w:val="el-GR"/>
        </w:rPr>
        <w:t xml:space="preserve"> </w:t>
      </w:r>
      <w:r w:rsidRPr="00587DB4">
        <w:rPr>
          <w:sz w:val="22"/>
          <w:szCs w:val="22"/>
          <w:lang w:val="el-GR"/>
        </w:rPr>
        <w:t>Αυτά τα συμπτώματα θα μπορούσαν να οφείλονται είτε στις σεροτονινεργικές επιδράσεις είτε στα συμπτώματα στέρησης.</w:t>
      </w:r>
      <w:r w:rsidRPr="00E81D8F">
        <w:rPr>
          <w:sz w:val="22"/>
          <w:szCs w:val="22"/>
          <w:lang w:val="el-GR"/>
        </w:rPr>
        <w:t xml:space="preserve"> </w:t>
      </w:r>
      <w:r w:rsidRPr="00587DB4">
        <w:rPr>
          <w:sz w:val="22"/>
          <w:szCs w:val="22"/>
          <w:lang w:val="el-GR"/>
        </w:rPr>
        <w:t>Στην πλειοψηφία των περιπτώσεων, οι επιπλοκές ξεκινούν αμέσως ή σύντομα (&lt; 24 ώρες) μετά τον τοκετό.</w:t>
      </w:r>
    </w:p>
    <w:p w:rsidR="00A00D97" w:rsidRPr="00C068BB" w:rsidRDefault="00A00D97">
      <w:pPr>
        <w:autoSpaceDE w:val="0"/>
        <w:autoSpaceDN w:val="0"/>
        <w:adjustRightInd w:val="0"/>
        <w:rPr>
          <w:i/>
          <w:sz w:val="22"/>
          <w:szCs w:val="22"/>
          <w:lang w:val="el-GR"/>
        </w:rPr>
      </w:pPr>
    </w:p>
    <w:p w:rsidR="0032661A" w:rsidRPr="00E81D8F" w:rsidRDefault="00C36209">
      <w:pPr>
        <w:autoSpaceDE w:val="0"/>
        <w:autoSpaceDN w:val="0"/>
        <w:adjustRightInd w:val="0"/>
        <w:rPr>
          <w:i/>
          <w:sz w:val="22"/>
          <w:szCs w:val="22"/>
          <w:lang w:val="el-GR"/>
        </w:rPr>
      </w:pPr>
      <w:r w:rsidRPr="00587DB4">
        <w:rPr>
          <w:i/>
          <w:sz w:val="22"/>
          <w:szCs w:val="22"/>
          <w:lang w:val="el-GR"/>
        </w:rPr>
        <w:t>Θηλασμός</w:t>
      </w:r>
    </w:p>
    <w:p w:rsidR="0032661A" w:rsidRPr="00E81D8F" w:rsidRDefault="0032661A">
      <w:pPr>
        <w:autoSpaceDE w:val="0"/>
        <w:autoSpaceDN w:val="0"/>
        <w:adjustRightInd w:val="0"/>
        <w:rPr>
          <w:sz w:val="22"/>
          <w:szCs w:val="22"/>
          <w:lang w:val="el-GR"/>
        </w:rPr>
      </w:pPr>
      <w:r w:rsidRPr="00587DB4">
        <w:rPr>
          <w:sz w:val="22"/>
          <w:szCs w:val="22"/>
          <w:lang w:val="el-GR"/>
        </w:rPr>
        <w:t>Αναμένεται ότι η εσιταλοπράμη θα εκκρίνεται στο μητρικό γάλα.</w:t>
      </w:r>
    </w:p>
    <w:p w:rsidR="0032661A" w:rsidRPr="00E81D8F" w:rsidRDefault="0032661A">
      <w:pPr>
        <w:autoSpaceDE w:val="0"/>
        <w:autoSpaceDN w:val="0"/>
        <w:adjustRightInd w:val="0"/>
        <w:rPr>
          <w:sz w:val="22"/>
          <w:szCs w:val="22"/>
          <w:lang w:val="el-GR"/>
        </w:rPr>
      </w:pPr>
      <w:r w:rsidRPr="00587DB4">
        <w:rPr>
          <w:sz w:val="22"/>
          <w:szCs w:val="22"/>
          <w:lang w:val="el-GR"/>
        </w:rPr>
        <w:t>Επακολούθως, ο θηλασμός δεν συνιστάται κατά τη διάρκεια της θεραπείας.</w:t>
      </w:r>
    </w:p>
    <w:p w:rsidR="0032661A" w:rsidRPr="00587DB4" w:rsidRDefault="0032661A">
      <w:pPr>
        <w:ind w:left="567" w:hanging="567"/>
        <w:rPr>
          <w:b/>
          <w:sz w:val="22"/>
          <w:szCs w:val="22"/>
          <w:lang w:val="el-GR"/>
        </w:rPr>
      </w:pPr>
    </w:p>
    <w:p w:rsidR="0032661A" w:rsidRPr="00203D2F" w:rsidRDefault="0032661A" w:rsidP="00203D2F">
      <w:pPr>
        <w:ind w:left="567" w:hanging="567"/>
        <w:rPr>
          <w:sz w:val="22"/>
          <w:szCs w:val="22"/>
          <w:lang w:val="el-GR"/>
        </w:rPr>
      </w:pPr>
      <w:r w:rsidRPr="00587DB4">
        <w:rPr>
          <w:b/>
          <w:sz w:val="22"/>
          <w:szCs w:val="22"/>
          <w:lang w:val="el-GR"/>
        </w:rPr>
        <w:t>4.7</w:t>
      </w:r>
      <w:r w:rsidRPr="00587DB4">
        <w:rPr>
          <w:b/>
          <w:sz w:val="22"/>
          <w:szCs w:val="22"/>
          <w:lang w:val="el-GR"/>
        </w:rPr>
        <w:tab/>
        <w:t>Επιδράσεις στην ικανότητα οδήγησης και χειρισμού μηχανών</w:t>
      </w:r>
    </w:p>
    <w:p w:rsidR="0032661A" w:rsidRPr="00C068BB" w:rsidRDefault="0032661A">
      <w:pPr>
        <w:autoSpaceDE w:val="0"/>
        <w:autoSpaceDN w:val="0"/>
        <w:adjustRightInd w:val="0"/>
        <w:rPr>
          <w:sz w:val="22"/>
          <w:szCs w:val="22"/>
          <w:lang w:val="el-GR"/>
        </w:rPr>
      </w:pPr>
      <w:r w:rsidRPr="00587DB4">
        <w:rPr>
          <w:sz w:val="22"/>
          <w:szCs w:val="22"/>
          <w:lang w:val="el-GR"/>
        </w:rPr>
        <w:t>Αν και η εσιταλοπράμη έχει αποδειχθεί ότι δεν επηρεάζει τη διανοητική λειτουργία ή την ψυχοκινητική απόδοση, οποιοσδήποτε ψυχοδραστικός φαρμακευτικός παράγοντας μπορεί να επηρεάσει αρνητικά την κρίση ή τις δεξιότητες.</w:t>
      </w:r>
      <w:r w:rsidRPr="00E81D8F">
        <w:rPr>
          <w:sz w:val="22"/>
          <w:szCs w:val="22"/>
          <w:lang w:val="el-GR"/>
        </w:rPr>
        <w:t xml:space="preserve"> </w:t>
      </w:r>
      <w:r w:rsidRPr="00587DB4">
        <w:rPr>
          <w:sz w:val="22"/>
          <w:szCs w:val="22"/>
          <w:lang w:val="el-GR"/>
        </w:rPr>
        <w:t>Οι ασθενείς θα πρέπει να προειδοποιούνται σχετικά με τον δυνητικό κίνδυνο επηρεασμού της ικανότητας οδήγησης ή χειρισμού μηχανών.</w:t>
      </w:r>
    </w:p>
    <w:p w:rsidR="00644438" w:rsidRPr="00E81D8F" w:rsidRDefault="00644438">
      <w:pPr>
        <w:autoSpaceDE w:val="0"/>
        <w:autoSpaceDN w:val="0"/>
        <w:adjustRightInd w:val="0"/>
        <w:rPr>
          <w:sz w:val="22"/>
          <w:szCs w:val="22"/>
          <w:lang w:val="el-GR"/>
        </w:rPr>
      </w:pPr>
    </w:p>
    <w:p w:rsidR="0032661A" w:rsidRPr="00203D2F" w:rsidRDefault="0032661A" w:rsidP="00203D2F">
      <w:pPr>
        <w:numPr>
          <w:ilvl w:val="1"/>
          <w:numId w:val="1"/>
        </w:numPr>
        <w:spacing w:line="260" w:lineRule="exact"/>
        <w:rPr>
          <w:b/>
          <w:sz w:val="22"/>
          <w:szCs w:val="22"/>
          <w:lang w:val="el-GR"/>
        </w:rPr>
      </w:pPr>
      <w:r w:rsidRPr="00587DB4">
        <w:rPr>
          <w:b/>
          <w:sz w:val="22"/>
          <w:szCs w:val="22"/>
          <w:lang w:val="el-GR"/>
        </w:rPr>
        <w:t>Ανεπιθύμητες ενέργειες</w:t>
      </w:r>
    </w:p>
    <w:p w:rsidR="0032661A" w:rsidRPr="00203D2F" w:rsidRDefault="0032661A" w:rsidP="00203D2F">
      <w:pPr>
        <w:autoSpaceDE w:val="0"/>
        <w:autoSpaceDN w:val="0"/>
        <w:adjustRightInd w:val="0"/>
        <w:rPr>
          <w:sz w:val="22"/>
          <w:szCs w:val="22"/>
          <w:lang w:val="el-GR"/>
        </w:rPr>
      </w:pPr>
      <w:r w:rsidRPr="00587DB4">
        <w:rPr>
          <w:sz w:val="22"/>
          <w:szCs w:val="22"/>
          <w:lang w:val="el-GR"/>
        </w:rPr>
        <w:t>Οι ανεπιθύμητες αντιδράσεις είναι περισσότερο συχνές κατά τη διάρκεια της πρώτης ή της δεύτερης εβδομάδας της θεραπείας και συνήθως μειώνονται σε ένταση και συχνότητα με τη συνεχιζόμενη θεραπεία.</w:t>
      </w:r>
    </w:p>
    <w:p w:rsidR="00BB66A1" w:rsidRPr="00203D2F" w:rsidRDefault="00BB66A1">
      <w:pPr>
        <w:rPr>
          <w:sz w:val="22"/>
          <w:szCs w:val="22"/>
          <w:lang w:val="el-GR"/>
        </w:rPr>
      </w:pPr>
      <w:r w:rsidRPr="00587DB4">
        <w:rPr>
          <w:sz w:val="22"/>
          <w:szCs w:val="22"/>
          <w:lang w:val="el-GR"/>
        </w:rPr>
        <w:t>Οι ανεπιθύμητες ενέργειες</w:t>
      </w:r>
      <w:r w:rsidR="0073612B" w:rsidRPr="00587DB4">
        <w:rPr>
          <w:sz w:val="22"/>
          <w:szCs w:val="22"/>
          <w:lang w:val="el-GR"/>
        </w:rPr>
        <w:t xml:space="preserve"> στο φάρμακο</w:t>
      </w:r>
      <w:r w:rsidRPr="00587DB4">
        <w:rPr>
          <w:sz w:val="22"/>
          <w:szCs w:val="22"/>
          <w:lang w:val="el-GR"/>
        </w:rPr>
        <w:t xml:space="preserve"> </w:t>
      </w:r>
      <w:r w:rsidR="00E85DE4" w:rsidRPr="00587DB4">
        <w:rPr>
          <w:sz w:val="22"/>
          <w:szCs w:val="22"/>
          <w:lang w:val="el-GR"/>
        </w:rPr>
        <w:t xml:space="preserve">που είναι γνωστές για τα </w:t>
      </w:r>
      <w:r w:rsidR="00E85DE4" w:rsidRPr="00587DB4">
        <w:rPr>
          <w:sz w:val="22"/>
          <w:szCs w:val="22"/>
        </w:rPr>
        <w:t>SSRI</w:t>
      </w:r>
      <w:r w:rsidR="00E85DE4" w:rsidRPr="00587DB4">
        <w:rPr>
          <w:sz w:val="22"/>
          <w:szCs w:val="22"/>
          <w:lang w:val="el-GR"/>
        </w:rPr>
        <w:t xml:space="preserve"> και έχουν αναφερθεί για την εσιταλοπράμη είτε σε κλινικές μελέτες ελεγχόμενες με εικονικό φάρμακο </w:t>
      </w:r>
      <w:r w:rsidR="009C30CF" w:rsidRPr="00587DB4">
        <w:rPr>
          <w:sz w:val="22"/>
          <w:szCs w:val="22"/>
          <w:lang w:val="el-GR"/>
        </w:rPr>
        <w:t>είτε</w:t>
      </w:r>
      <w:r w:rsidR="00E85DE4" w:rsidRPr="00587DB4">
        <w:rPr>
          <w:sz w:val="22"/>
          <w:szCs w:val="22"/>
          <w:lang w:val="el-GR"/>
        </w:rPr>
        <w:t xml:space="preserve"> ως αυθόρμητα περιστατικά μετά την κυκλοφορία του φαρμάκου, παρατίθενται παρακάτω ανά </w:t>
      </w:r>
      <w:r w:rsidR="005B4C47" w:rsidRPr="00587DB4">
        <w:rPr>
          <w:sz w:val="22"/>
          <w:szCs w:val="22"/>
          <w:lang w:val="el-GR"/>
        </w:rPr>
        <w:t>οργανικό σύστημα</w:t>
      </w:r>
      <w:r w:rsidR="00E85DE4" w:rsidRPr="00587DB4">
        <w:rPr>
          <w:sz w:val="22"/>
          <w:szCs w:val="22"/>
          <w:lang w:val="el-GR"/>
        </w:rPr>
        <w:t xml:space="preserve"> και συχν</w:t>
      </w:r>
      <w:r w:rsidR="006E0ED3" w:rsidRPr="00587DB4">
        <w:rPr>
          <w:sz w:val="22"/>
          <w:szCs w:val="22"/>
          <w:lang w:val="el-GR"/>
        </w:rPr>
        <w:t>ότητα.</w:t>
      </w:r>
    </w:p>
    <w:p w:rsidR="0032661A" w:rsidRPr="00587DB4" w:rsidRDefault="0032661A">
      <w:pPr>
        <w:rPr>
          <w:sz w:val="22"/>
          <w:szCs w:val="22"/>
          <w:lang w:val="el-GR"/>
        </w:rPr>
      </w:pPr>
      <w:r w:rsidRPr="00587DB4">
        <w:rPr>
          <w:sz w:val="22"/>
          <w:szCs w:val="22"/>
          <w:lang w:val="el-GR"/>
        </w:rPr>
        <w:t xml:space="preserve">Οι ακόλουθες ανεπιθύμητες αντιδράσεις έχουν εμφανιστεί πιο συχνά με την εσιταλοπράμη από ό,τι με το εικονικό φάρμακο σε διπλά τυφλές, ελεγχόμενες με εικονικό φάρμακο μελέτες. Οι συχνότητες που αναφέρονται δεν είναι διορθωμένες για το εικονικό φάρμακο. </w:t>
      </w:r>
    </w:p>
    <w:p w:rsidR="0032661A" w:rsidRPr="00587DB4" w:rsidRDefault="0032661A">
      <w:pPr>
        <w:rPr>
          <w:sz w:val="22"/>
          <w:szCs w:val="22"/>
          <w:lang w:val="el-GR"/>
        </w:rPr>
      </w:pPr>
    </w:p>
    <w:p w:rsidR="009C30CF" w:rsidRPr="00587DB4" w:rsidRDefault="009C30CF" w:rsidP="009C30CF">
      <w:pPr>
        <w:autoSpaceDE w:val="0"/>
        <w:autoSpaceDN w:val="0"/>
        <w:adjustRightInd w:val="0"/>
        <w:rPr>
          <w:sz w:val="22"/>
          <w:szCs w:val="22"/>
          <w:lang w:val="el-GR" w:eastAsia="da-DK"/>
        </w:rPr>
      </w:pPr>
      <w:r w:rsidRPr="00587DB4">
        <w:rPr>
          <w:sz w:val="22"/>
          <w:szCs w:val="22"/>
          <w:lang w:val="el-GR" w:eastAsia="da-DK"/>
        </w:rPr>
        <w:t>Οι συχνότητες ορίζοντ</w:t>
      </w:r>
      <w:r w:rsidR="00190E67" w:rsidRPr="00587DB4">
        <w:rPr>
          <w:sz w:val="22"/>
          <w:szCs w:val="22"/>
          <w:lang w:val="el-GR" w:eastAsia="da-DK"/>
        </w:rPr>
        <w:t>α</w:t>
      </w:r>
      <w:r w:rsidRPr="00587DB4">
        <w:rPr>
          <w:sz w:val="22"/>
          <w:szCs w:val="22"/>
          <w:lang w:val="el-GR" w:eastAsia="da-DK"/>
        </w:rPr>
        <w:t xml:space="preserve">ι ως: </w:t>
      </w:r>
    </w:p>
    <w:p w:rsidR="009C30CF" w:rsidRPr="00587DB4" w:rsidRDefault="00D14192" w:rsidP="009C30CF">
      <w:pPr>
        <w:autoSpaceDE w:val="0"/>
        <w:autoSpaceDN w:val="0"/>
        <w:adjustRightInd w:val="0"/>
        <w:rPr>
          <w:sz w:val="22"/>
          <w:szCs w:val="22"/>
          <w:lang w:val="el-GR" w:eastAsia="da-DK"/>
        </w:rPr>
      </w:pPr>
      <w:r w:rsidRPr="00587DB4">
        <w:rPr>
          <w:sz w:val="22"/>
          <w:szCs w:val="22"/>
          <w:lang w:val="el-GR" w:eastAsia="da-DK"/>
        </w:rPr>
        <w:t>Πολύ συνήθεις</w:t>
      </w:r>
      <w:r w:rsidR="009C30CF" w:rsidRPr="00587DB4">
        <w:rPr>
          <w:sz w:val="22"/>
          <w:szCs w:val="22"/>
          <w:lang w:val="el-GR" w:eastAsia="da-DK"/>
        </w:rPr>
        <w:t xml:space="preserve"> (≥1/10)</w:t>
      </w:r>
    </w:p>
    <w:p w:rsidR="009C30CF" w:rsidRPr="00587DB4" w:rsidRDefault="00D14192" w:rsidP="009C30CF">
      <w:pPr>
        <w:autoSpaceDE w:val="0"/>
        <w:autoSpaceDN w:val="0"/>
        <w:adjustRightInd w:val="0"/>
        <w:rPr>
          <w:sz w:val="22"/>
          <w:szCs w:val="22"/>
          <w:lang w:val="el-GR" w:eastAsia="da-DK"/>
        </w:rPr>
      </w:pPr>
      <w:r w:rsidRPr="00587DB4">
        <w:rPr>
          <w:sz w:val="22"/>
          <w:szCs w:val="22"/>
          <w:lang w:val="el-GR" w:eastAsia="da-DK"/>
        </w:rPr>
        <w:t>Συνήθεις</w:t>
      </w:r>
      <w:r w:rsidR="009C30CF" w:rsidRPr="00587DB4">
        <w:rPr>
          <w:sz w:val="22"/>
          <w:szCs w:val="22"/>
          <w:lang w:val="el-GR" w:eastAsia="da-DK"/>
        </w:rPr>
        <w:t xml:space="preserve"> (≥1/100 </w:t>
      </w:r>
      <w:r w:rsidR="009C30CF" w:rsidRPr="00587DB4">
        <w:rPr>
          <w:sz w:val="22"/>
          <w:szCs w:val="22"/>
          <w:lang w:eastAsia="da-DK"/>
        </w:rPr>
        <w:t>to</w:t>
      </w:r>
      <w:r w:rsidR="009C30CF" w:rsidRPr="00587DB4">
        <w:rPr>
          <w:sz w:val="22"/>
          <w:szCs w:val="22"/>
          <w:lang w:val="el-GR" w:eastAsia="da-DK"/>
        </w:rPr>
        <w:t xml:space="preserve"> &lt;1/10)</w:t>
      </w:r>
    </w:p>
    <w:p w:rsidR="009C30CF" w:rsidRPr="00587DB4" w:rsidRDefault="00D14192" w:rsidP="009C30CF">
      <w:pPr>
        <w:autoSpaceDE w:val="0"/>
        <w:autoSpaceDN w:val="0"/>
        <w:adjustRightInd w:val="0"/>
        <w:rPr>
          <w:sz w:val="22"/>
          <w:szCs w:val="22"/>
          <w:lang w:val="el-GR" w:eastAsia="da-DK"/>
        </w:rPr>
      </w:pPr>
      <w:r w:rsidRPr="00587DB4">
        <w:rPr>
          <w:sz w:val="22"/>
          <w:szCs w:val="22"/>
          <w:lang w:val="el-GR" w:eastAsia="da-DK"/>
        </w:rPr>
        <w:t>Ασυνήθεις</w:t>
      </w:r>
      <w:r w:rsidR="009C30CF" w:rsidRPr="00587DB4">
        <w:rPr>
          <w:sz w:val="22"/>
          <w:szCs w:val="22"/>
          <w:lang w:val="el-GR" w:eastAsia="da-DK"/>
        </w:rPr>
        <w:t xml:space="preserve"> (≥1/1,000 </w:t>
      </w:r>
      <w:r w:rsidR="009C30CF" w:rsidRPr="00587DB4">
        <w:rPr>
          <w:sz w:val="22"/>
          <w:szCs w:val="22"/>
          <w:lang w:eastAsia="da-DK"/>
        </w:rPr>
        <w:t>to</w:t>
      </w:r>
      <w:r w:rsidR="009C30CF" w:rsidRPr="00587DB4">
        <w:rPr>
          <w:sz w:val="22"/>
          <w:szCs w:val="22"/>
          <w:lang w:val="el-GR" w:eastAsia="da-DK"/>
        </w:rPr>
        <w:t xml:space="preserve"> &lt;1/100)</w:t>
      </w:r>
    </w:p>
    <w:p w:rsidR="009C30CF" w:rsidRPr="00587DB4" w:rsidRDefault="00D14192" w:rsidP="009C30CF">
      <w:pPr>
        <w:autoSpaceDE w:val="0"/>
        <w:autoSpaceDN w:val="0"/>
        <w:adjustRightInd w:val="0"/>
        <w:rPr>
          <w:sz w:val="22"/>
          <w:szCs w:val="22"/>
          <w:lang w:val="el-GR" w:eastAsia="da-DK"/>
        </w:rPr>
      </w:pPr>
      <w:r w:rsidRPr="00587DB4">
        <w:rPr>
          <w:sz w:val="22"/>
          <w:szCs w:val="22"/>
          <w:lang w:val="el-GR" w:eastAsia="da-DK"/>
        </w:rPr>
        <w:t>Σπάνιες</w:t>
      </w:r>
      <w:r w:rsidR="009C30CF" w:rsidRPr="00587DB4">
        <w:rPr>
          <w:sz w:val="22"/>
          <w:szCs w:val="22"/>
          <w:lang w:val="el-GR" w:eastAsia="da-DK"/>
        </w:rPr>
        <w:t xml:space="preserve"> (≥1/10,000 </w:t>
      </w:r>
      <w:r w:rsidR="009C30CF" w:rsidRPr="00587DB4">
        <w:rPr>
          <w:sz w:val="22"/>
          <w:szCs w:val="22"/>
          <w:lang w:eastAsia="da-DK"/>
        </w:rPr>
        <w:t>to</w:t>
      </w:r>
      <w:r w:rsidR="009C30CF" w:rsidRPr="00587DB4">
        <w:rPr>
          <w:sz w:val="22"/>
          <w:szCs w:val="22"/>
          <w:lang w:val="el-GR" w:eastAsia="da-DK"/>
        </w:rPr>
        <w:t xml:space="preserve"> &lt;1/1,000)</w:t>
      </w:r>
    </w:p>
    <w:p w:rsidR="009C30CF" w:rsidRPr="00587DB4" w:rsidRDefault="00D14192" w:rsidP="009C30CF">
      <w:pPr>
        <w:rPr>
          <w:sz w:val="22"/>
          <w:szCs w:val="22"/>
          <w:lang w:val="is-IS" w:eastAsia="is-IS"/>
        </w:rPr>
      </w:pPr>
      <w:r w:rsidRPr="00587DB4">
        <w:rPr>
          <w:sz w:val="22"/>
          <w:szCs w:val="22"/>
          <w:lang w:val="el-GR" w:eastAsia="da-DK"/>
        </w:rPr>
        <w:lastRenderedPageBreak/>
        <w:t>Πολύ σπάνιες</w:t>
      </w:r>
      <w:r w:rsidR="009C30CF" w:rsidRPr="00587DB4">
        <w:rPr>
          <w:sz w:val="22"/>
          <w:szCs w:val="22"/>
          <w:lang w:val="el-GR" w:eastAsia="da-DK"/>
        </w:rPr>
        <w:t xml:space="preserve"> (&lt;1/10,000)</w:t>
      </w:r>
    </w:p>
    <w:p w:rsidR="009C30CF" w:rsidRPr="00587DB4" w:rsidRDefault="00A35606" w:rsidP="009C30CF">
      <w:pPr>
        <w:rPr>
          <w:sz w:val="22"/>
          <w:szCs w:val="22"/>
          <w:lang w:val="is-IS" w:eastAsia="is-IS"/>
        </w:rPr>
      </w:pPr>
      <w:r w:rsidRPr="00587DB4">
        <w:rPr>
          <w:sz w:val="22"/>
          <w:szCs w:val="22"/>
          <w:lang w:val="el-GR" w:eastAsia="is-IS"/>
        </w:rPr>
        <w:t>Άγνωστης συχνότητας</w:t>
      </w:r>
      <w:r w:rsidR="009C30CF" w:rsidRPr="00587DB4">
        <w:rPr>
          <w:sz w:val="22"/>
          <w:szCs w:val="22"/>
          <w:lang w:val="is-IS" w:eastAsia="is-IS"/>
        </w:rPr>
        <w:t xml:space="preserve"> (</w:t>
      </w:r>
      <w:r w:rsidRPr="00587DB4">
        <w:rPr>
          <w:sz w:val="22"/>
          <w:szCs w:val="22"/>
          <w:lang w:val="el-GR" w:eastAsia="is-IS"/>
        </w:rPr>
        <w:t xml:space="preserve">δεν μπορούν να </w:t>
      </w:r>
      <w:r w:rsidR="00A57A03" w:rsidRPr="00587DB4">
        <w:rPr>
          <w:sz w:val="22"/>
          <w:szCs w:val="22"/>
          <w:lang w:val="el-GR" w:eastAsia="is-IS"/>
        </w:rPr>
        <w:t>εκτιμηθούν</w:t>
      </w:r>
      <w:r w:rsidRPr="00587DB4">
        <w:rPr>
          <w:sz w:val="22"/>
          <w:szCs w:val="22"/>
          <w:lang w:val="el-GR" w:eastAsia="is-IS"/>
        </w:rPr>
        <w:t xml:space="preserve"> από τα</w:t>
      </w:r>
      <w:r w:rsidR="00A57A03" w:rsidRPr="00587DB4">
        <w:rPr>
          <w:sz w:val="22"/>
          <w:szCs w:val="22"/>
          <w:lang w:val="el-GR" w:eastAsia="is-IS"/>
        </w:rPr>
        <w:t xml:space="preserve"> </w:t>
      </w:r>
      <w:r w:rsidRPr="00587DB4">
        <w:rPr>
          <w:sz w:val="22"/>
          <w:szCs w:val="22"/>
          <w:lang w:val="el-GR" w:eastAsia="is-IS"/>
        </w:rPr>
        <w:t>διαθέσιμα δεδομένα</w:t>
      </w:r>
      <w:r w:rsidR="009C30CF" w:rsidRPr="00587DB4">
        <w:rPr>
          <w:sz w:val="22"/>
          <w:szCs w:val="22"/>
          <w:lang w:val="is-IS" w:eastAsia="is-IS"/>
        </w:rPr>
        <w:t>).</w:t>
      </w:r>
    </w:p>
    <w:p w:rsidR="00CA5A15" w:rsidRPr="00587DB4" w:rsidRDefault="00CA5A15">
      <w:pPr>
        <w:rPr>
          <w:sz w:val="22"/>
          <w:szCs w:val="22"/>
          <w:lang w:val="el-GR"/>
        </w:rPr>
      </w:pPr>
    </w:p>
    <w:p w:rsidR="009C30CF" w:rsidRPr="00587DB4" w:rsidRDefault="009C30CF">
      <w:pPr>
        <w:rPr>
          <w:sz w:val="22"/>
          <w:szCs w:val="22"/>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6"/>
        <w:gridCol w:w="1775"/>
        <w:gridCol w:w="4680"/>
      </w:tblGrid>
      <w:tr w:rsidR="00C36209" w:rsidRPr="00E81D8F" w:rsidTr="00E81D8F">
        <w:trPr>
          <w:jc w:val="center"/>
        </w:trPr>
        <w:tc>
          <w:tcPr>
            <w:tcW w:w="1541" w:type="pct"/>
            <w:vAlign w:val="center"/>
          </w:tcPr>
          <w:p w:rsidR="00C36209" w:rsidRPr="00587DB4" w:rsidRDefault="00C36209" w:rsidP="00A00D97">
            <w:pPr>
              <w:tabs>
                <w:tab w:val="left" w:pos="567"/>
              </w:tabs>
              <w:spacing w:line="360" w:lineRule="auto"/>
              <w:rPr>
                <w:rFonts w:eastAsia="Times New Roman"/>
                <w:b/>
                <w:bCs/>
                <w:snapToGrid/>
                <w:color w:val="000000"/>
                <w:spacing w:val="-3"/>
                <w:sz w:val="22"/>
                <w:szCs w:val="20"/>
                <w:lang w:val="el-GR" w:eastAsia="en-US"/>
              </w:rPr>
            </w:pPr>
            <w:r w:rsidRPr="00587DB4">
              <w:rPr>
                <w:rFonts w:eastAsia="Times New Roman"/>
                <w:b/>
                <w:bCs/>
                <w:snapToGrid/>
                <w:color w:val="000000"/>
                <w:spacing w:val="-3"/>
                <w:sz w:val="22"/>
                <w:szCs w:val="20"/>
                <w:lang w:val="el-GR" w:eastAsia="en-US"/>
              </w:rPr>
              <w:t>Κατάταξη ανά</w:t>
            </w:r>
            <w:r w:rsidRPr="00587DB4">
              <w:rPr>
                <w:rFonts w:eastAsia="Times New Roman"/>
                <w:bCs/>
                <w:snapToGrid/>
                <w:color w:val="000000"/>
                <w:spacing w:val="-3"/>
                <w:sz w:val="22"/>
                <w:szCs w:val="20"/>
                <w:lang w:val="en-GB" w:eastAsia="en-US"/>
              </w:rPr>
              <w:t xml:space="preserve"> </w:t>
            </w:r>
            <w:r w:rsidRPr="00587DB4">
              <w:rPr>
                <w:rFonts w:eastAsia="Times New Roman"/>
                <w:b/>
                <w:bCs/>
                <w:snapToGrid/>
                <w:color w:val="000000"/>
                <w:spacing w:val="-3"/>
                <w:sz w:val="22"/>
                <w:szCs w:val="20"/>
                <w:lang w:val="el-GR" w:eastAsia="en-US"/>
              </w:rPr>
              <w:t>οργανικό</w:t>
            </w:r>
            <w:r w:rsidRPr="00587DB4">
              <w:rPr>
                <w:rFonts w:eastAsia="Times New Roman"/>
                <w:b/>
                <w:bCs/>
                <w:snapToGrid/>
                <w:color w:val="000000"/>
                <w:spacing w:val="-3"/>
                <w:sz w:val="22"/>
                <w:szCs w:val="20"/>
                <w:lang w:val="en-GB" w:eastAsia="en-US"/>
              </w:rPr>
              <w:t xml:space="preserve"> </w:t>
            </w:r>
            <w:r w:rsidRPr="00587DB4">
              <w:rPr>
                <w:rFonts w:eastAsia="Times New Roman"/>
                <w:b/>
                <w:bCs/>
                <w:snapToGrid/>
                <w:color w:val="000000"/>
                <w:spacing w:val="-3"/>
                <w:sz w:val="22"/>
                <w:szCs w:val="20"/>
                <w:lang w:val="el-GR" w:eastAsia="en-US"/>
              </w:rPr>
              <w:t>σύστημα</w:t>
            </w:r>
          </w:p>
        </w:tc>
        <w:tc>
          <w:tcPr>
            <w:tcW w:w="951" w:type="pct"/>
            <w:vAlign w:val="center"/>
          </w:tcPr>
          <w:p w:rsidR="00C36209" w:rsidRPr="00587DB4" w:rsidRDefault="00C36209" w:rsidP="00A00D97">
            <w:pPr>
              <w:rPr>
                <w:rFonts w:eastAsia="Times New Roman"/>
                <w:snapToGrid/>
                <w:sz w:val="22"/>
                <w:szCs w:val="22"/>
                <w:lang w:val="en-GB" w:eastAsia="da-DK"/>
              </w:rPr>
            </w:pPr>
            <w:r w:rsidRPr="00587DB4">
              <w:rPr>
                <w:rFonts w:eastAsia="Times New Roman"/>
                <w:b/>
                <w:bCs/>
                <w:snapToGrid/>
                <w:color w:val="000000"/>
                <w:spacing w:val="-3"/>
                <w:sz w:val="22"/>
                <w:szCs w:val="20"/>
                <w:lang w:val="el-GR" w:eastAsia="en-US"/>
              </w:rPr>
              <w:t>Συχνότητα</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rFonts w:eastAsia="Times New Roman"/>
                <w:b/>
                <w:bCs/>
                <w:snapToGrid/>
                <w:color w:val="000000"/>
                <w:spacing w:val="-3"/>
                <w:sz w:val="22"/>
                <w:szCs w:val="20"/>
                <w:lang w:val="el-GR" w:eastAsia="en-US"/>
              </w:rPr>
              <w:t>Ανεπιθύμητη ενέργεια</w:t>
            </w:r>
          </w:p>
        </w:tc>
      </w:tr>
      <w:tr w:rsidR="00C36209" w:rsidRPr="00E81D8F" w:rsidTr="00E81D8F">
        <w:trPr>
          <w:jc w:val="center"/>
        </w:trPr>
        <w:tc>
          <w:tcPr>
            <w:tcW w:w="154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Διαταραχές του αιμοποιητικού και του λεμφικού συστήματος</w:t>
            </w: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Άγνωστης συχνότητας</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Θρομβοκυτταροπενία </w:t>
            </w:r>
          </w:p>
        </w:tc>
      </w:tr>
      <w:tr w:rsidR="00C36209" w:rsidRPr="00587DB4" w:rsidTr="00E81D8F">
        <w:trPr>
          <w:jc w:val="center"/>
        </w:trPr>
        <w:tc>
          <w:tcPr>
            <w:tcW w:w="154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Διαταραχές του ανοσοποιητικού συστήματος</w:t>
            </w: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Σπάνιες </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Αναφυλακτικές αντιδράσεις </w:t>
            </w:r>
          </w:p>
        </w:tc>
      </w:tr>
      <w:tr w:rsidR="00C36209" w:rsidRPr="00E81D8F" w:rsidTr="00E81D8F">
        <w:trPr>
          <w:jc w:val="center"/>
        </w:trPr>
        <w:tc>
          <w:tcPr>
            <w:tcW w:w="1541" w:type="pct"/>
            <w:vAlign w:val="center"/>
          </w:tcPr>
          <w:p w:rsidR="00C36209" w:rsidRPr="00E81D8F" w:rsidRDefault="00C36209" w:rsidP="00575E1E">
            <w:pPr>
              <w:tabs>
                <w:tab w:val="left" w:pos="567"/>
              </w:tabs>
              <w:spacing w:line="260" w:lineRule="exact"/>
              <w:rPr>
                <w:sz w:val="22"/>
                <w:szCs w:val="22"/>
                <w:lang w:val="el-GR"/>
              </w:rPr>
            </w:pPr>
            <w:r w:rsidRPr="00E81D8F">
              <w:rPr>
                <w:sz w:val="22"/>
                <w:szCs w:val="22"/>
                <w:lang w:val="el-GR"/>
              </w:rPr>
              <w:t>Διαταραχές του ενδοκρινικού συστήματος</w:t>
            </w: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Άγνωστης συχνότητας</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Απρόσφορη έκκριση </w:t>
            </w:r>
            <w:r w:rsidRPr="00587DB4">
              <w:rPr>
                <w:sz w:val="22"/>
                <w:szCs w:val="22"/>
              </w:rPr>
              <w:t xml:space="preserve">ADH </w:t>
            </w:r>
          </w:p>
        </w:tc>
      </w:tr>
      <w:tr w:rsidR="00C36209" w:rsidRPr="007E4D87" w:rsidTr="008644FC">
        <w:trPr>
          <w:jc w:val="center"/>
        </w:trPr>
        <w:tc>
          <w:tcPr>
            <w:tcW w:w="1541" w:type="pct"/>
            <w:vMerge w:val="restar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Διαταραχές του μεταβολισμού και της θρέψης</w:t>
            </w: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Συνήθεις</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Μειωμένη όρεξη, αυξημένη όρεξη, αυξημένο βάρος</w:t>
            </w:r>
          </w:p>
        </w:tc>
      </w:tr>
      <w:tr w:rsidR="00C36209" w:rsidRPr="00E81D8F" w:rsidTr="008644FC">
        <w:trPr>
          <w:jc w:val="center"/>
        </w:trPr>
        <w:tc>
          <w:tcPr>
            <w:tcW w:w="1541" w:type="pct"/>
            <w:vMerge/>
            <w:vAlign w:val="center"/>
          </w:tcPr>
          <w:p w:rsidR="00C36209" w:rsidRPr="00587DB4" w:rsidRDefault="00C36209" w:rsidP="00575E1E">
            <w:pPr>
              <w:tabs>
                <w:tab w:val="left" w:pos="567"/>
              </w:tabs>
              <w:spacing w:line="260" w:lineRule="exact"/>
              <w:rPr>
                <w:sz w:val="22"/>
                <w:szCs w:val="22"/>
                <w:lang w:val="el-GR"/>
              </w:rPr>
            </w:pP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Ασυνήθεις</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Μειωμένο βάρος</w:t>
            </w:r>
          </w:p>
        </w:tc>
      </w:tr>
      <w:tr w:rsidR="00C36209" w:rsidRPr="00E81D8F" w:rsidTr="008644FC">
        <w:trPr>
          <w:jc w:val="center"/>
        </w:trPr>
        <w:tc>
          <w:tcPr>
            <w:tcW w:w="1541" w:type="pct"/>
            <w:vMerge/>
            <w:vAlign w:val="center"/>
          </w:tcPr>
          <w:p w:rsidR="00C36209" w:rsidRPr="00587DB4" w:rsidRDefault="00C36209" w:rsidP="00575E1E">
            <w:pPr>
              <w:tabs>
                <w:tab w:val="left" w:pos="567"/>
              </w:tabs>
              <w:spacing w:line="260" w:lineRule="exact"/>
              <w:rPr>
                <w:sz w:val="22"/>
                <w:szCs w:val="22"/>
                <w:lang w:val="el-GR"/>
              </w:rPr>
            </w:pP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Άγνωστης συχνότητας</w:t>
            </w:r>
          </w:p>
        </w:tc>
        <w:tc>
          <w:tcPr>
            <w:tcW w:w="2508" w:type="pct"/>
            <w:vAlign w:val="center"/>
          </w:tcPr>
          <w:p w:rsidR="00C36209" w:rsidRPr="00587DB4" w:rsidRDefault="00C36209" w:rsidP="00575E1E">
            <w:pPr>
              <w:tabs>
                <w:tab w:val="left" w:pos="567"/>
              </w:tabs>
              <w:spacing w:line="260" w:lineRule="exact"/>
              <w:rPr>
                <w:sz w:val="22"/>
                <w:szCs w:val="22"/>
                <w:vertAlign w:val="superscript"/>
                <w:lang w:val="el-GR"/>
              </w:rPr>
            </w:pPr>
            <w:r w:rsidRPr="00587DB4">
              <w:rPr>
                <w:sz w:val="22"/>
                <w:szCs w:val="22"/>
                <w:lang w:val="el-GR"/>
              </w:rPr>
              <w:t>Υπονατριαιμία, ανορεξία</w:t>
            </w:r>
            <w:r w:rsidRPr="00587DB4">
              <w:rPr>
                <w:sz w:val="22"/>
                <w:szCs w:val="22"/>
                <w:vertAlign w:val="superscript"/>
                <w:lang w:val="el-GR"/>
              </w:rPr>
              <w:t>2</w:t>
            </w:r>
          </w:p>
        </w:tc>
      </w:tr>
      <w:tr w:rsidR="00C36209" w:rsidRPr="007E4D87" w:rsidTr="008644FC">
        <w:trPr>
          <w:jc w:val="center"/>
        </w:trPr>
        <w:tc>
          <w:tcPr>
            <w:tcW w:w="1541" w:type="pct"/>
            <w:vMerge w:val="restar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Ψυχιατρικές διαταραχές</w:t>
            </w: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Συνήθεις</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Άγχος, ανησυχία, ανώμαλα όνειρα Γυναικεία και ανδρική μειωμένη λίμπιντο, Γυναίκες: ανοργασμία</w:t>
            </w:r>
          </w:p>
        </w:tc>
      </w:tr>
      <w:tr w:rsidR="00C36209" w:rsidRPr="007E4D87" w:rsidTr="008644FC">
        <w:trPr>
          <w:jc w:val="center"/>
        </w:trPr>
        <w:tc>
          <w:tcPr>
            <w:tcW w:w="1541" w:type="pct"/>
            <w:vMerge/>
            <w:vAlign w:val="center"/>
          </w:tcPr>
          <w:p w:rsidR="00C36209" w:rsidRPr="00587DB4" w:rsidRDefault="00C36209" w:rsidP="00575E1E">
            <w:pPr>
              <w:tabs>
                <w:tab w:val="left" w:pos="567"/>
              </w:tabs>
              <w:spacing w:line="260" w:lineRule="exact"/>
              <w:rPr>
                <w:sz w:val="22"/>
                <w:szCs w:val="22"/>
                <w:lang w:val="el-GR"/>
              </w:rPr>
            </w:pP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Ασυνήθεις</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Βρουξισμός, διέγερση, νευρικότητα, κρίση πανικού, κατάσταση σύγχυσης</w:t>
            </w:r>
          </w:p>
        </w:tc>
      </w:tr>
      <w:tr w:rsidR="00C36209" w:rsidRPr="00E81D8F" w:rsidTr="008644FC">
        <w:trPr>
          <w:jc w:val="center"/>
        </w:trPr>
        <w:tc>
          <w:tcPr>
            <w:tcW w:w="1541" w:type="pct"/>
            <w:vMerge/>
            <w:vAlign w:val="center"/>
          </w:tcPr>
          <w:p w:rsidR="00C36209" w:rsidRPr="00587DB4" w:rsidRDefault="00C36209" w:rsidP="00575E1E">
            <w:pPr>
              <w:tabs>
                <w:tab w:val="left" w:pos="567"/>
              </w:tabs>
              <w:spacing w:line="260" w:lineRule="exact"/>
              <w:rPr>
                <w:sz w:val="22"/>
                <w:szCs w:val="22"/>
                <w:lang w:val="el-GR"/>
              </w:rPr>
            </w:pP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Σπάνιες</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Επιθετικότητα, αποπροσωποποίηση, ψευδαισθήσεις</w:t>
            </w:r>
          </w:p>
        </w:tc>
      </w:tr>
      <w:tr w:rsidR="00C36209" w:rsidRPr="007E4D87" w:rsidTr="008644FC">
        <w:trPr>
          <w:jc w:val="center"/>
        </w:trPr>
        <w:tc>
          <w:tcPr>
            <w:tcW w:w="1541" w:type="pct"/>
            <w:vMerge/>
            <w:vAlign w:val="center"/>
          </w:tcPr>
          <w:p w:rsidR="00C36209" w:rsidRPr="00587DB4" w:rsidRDefault="00C36209" w:rsidP="00575E1E">
            <w:pPr>
              <w:tabs>
                <w:tab w:val="left" w:pos="567"/>
              </w:tabs>
              <w:spacing w:line="260" w:lineRule="exact"/>
              <w:rPr>
                <w:sz w:val="22"/>
                <w:szCs w:val="22"/>
                <w:lang w:val="el-GR"/>
              </w:rPr>
            </w:pP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Άγνωστης συχνότητας</w:t>
            </w:r>
          </w:p>
        </w:tc>
        <w:tc>
          <w:tcPr>
            <w:tcW w:w="2508" w:type="pct"/>
            <w:vAlign w:val="center"/>
          </w:tcPr>
          <w:p w:rsidR="00C36209" w:rsidRPr="00587DB4" w:rsidRDefault="00C36209" w:rsidP="00575E1E">
            <w:pPr>
              <w:tabs>
                <w:tab w:val="left" w:pos="567"/>
              </w:tabs>
              <w:spacing w:line="260" w:lineRule="exact"/>
              <w:rPr>
                <w:sz w:val="22"/>
                <w:szCs w:val="22"/>
                <w:vertAlign w:val="superscript"/>
                <w:lang w:val="el-GR"/>
              </w:rPr>
            </w:pPr>
            <w:r w:rsidRPr="00587DB4">
              <w:rPr>
                <w:sz w:val="22"/>
                <w:szCs w:val="22"/>
                <w:lang w:val="el-GR"/>
              </w:rPr>
              <w:t>Μανία, αυτοκτονικός ιδεασμός, αυτοκτονική συμπεριφορά</w:t>
            </w:r>
            <w:r w:rsidRPr="00587DB4">
              <w:rPr>
                <w:sz w:val="22"/>
                <w:szCs w:val="22"/>
                <w:vertAlign w:val="superscript"/>
                <w:lang w:val="el-GR"/>
              </w:rPr>
              <w:t>1</w:t>
            </w:r>
          </w:p>
        </w:tc>
      </w:tr>
      <w:tr w:rsidR="00C36209" w:rsidRPr="007E4D87" w:rsidTr="008644FC">
        <w:trPr>
          <w:jc w:val="center"/>
        </w:trPr>
        <w:tc>
          <w:tcPr>
            <w:tcW w:w="1541" w:type="pct"/>
            <w:vMerge w:val="restar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Διαταραχές νευρικού συστήματος</w:t>
            </w: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Συνήθεις </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Αϋπνία, υπνηλία, ζάλη, παραισθησία, τρόμος</w:t>
            </w:r>
          </w:p>
        </w:tc>
      </w:tr>
      <w:tr w:rsidR="00C36209" w:rsidRPr="007E4D87" w:rsidTr="008644FC">
        <w:trPr>
          <w:jc w:val="center"/>
        </w:trPr>
        <w:tc>
          <w:tcPr>
            <w:tcW w:w="1541" w:type="pct"/>
            <w:vMerge/>
            <w:vAlign w:val="center"/>
          </w:tcPr>
          <w:p w:rsidR="00C36209" w:rsidRPr="00587DB4" w:rsidRDefault="00C36209" w:rsidP="00575E1E">
            <w:pPr>
              <w:tabs>
                <w:tab w:val="left" w:pos="567"/>
              </w:tabs>
              <w:spacing w:line="260" w:lineRule="exact"/>
              <w:rPr>
                <w:sz w:val="22"/>
                <w:szCs w:val="22"/>
                <w:lang w:val="el-GR"/>
              </w:rPr>
            </w:pP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Ασυνήθεις</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Διαταραχές της γεύσης, διαταραχές του ύπνου, συγκοπή</w:t>
            </w:r>
          </w:p>
        </w:tc>
      </w:tr>
      <w:tr w:rsidR="00C36209" w:rsidRPr="00587DB4" w:rsidTr="008644FC">
        <w:trPr>
          <w:jc w:val="center"/>
        </w:trPr>
        <w:tc>
          <w:tcPr>
            <w:tcW w:w="1541" w:type="pct"/>
            <w:vMerge/>
            <w:vAlign w:val="center"/>
          </w:tcPr>
          <w:p w:rsidR="00C36209" w:rsidRPr="00587DB4" w:rsidRDefault="00C36209" w:rsidP="00575E1E">
            <w:pPr>
              <w:tabs>
                <w:tab w:val="left" w:pos="567"/>
              </w:tabs>
              <w:spacing w:line="260" w:lineRule="exact"/>
              <w:rPr>
                <w:sz w:val="22"/>
                <w:szCs w:val="22"/>
                <w:lang w:val="el-GR"/>
              </w:rPr>
            </w:pP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Σπάνιες</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Σύνδρομο σεροτονίνης</w:t>
            </w:r>
          </w:p>
        </w:tc>
      </w:tr>
      <w:tr w:rsidR="00C36209" w:rsidRPr="007E4D87" w:rsidTr="008644FC">
        <w:trPr>
          <w:jc w:val="center"/>
        </w:trPr>
        <w:tc>
          <w:tcPr>
            <w:tcW w:w="1541" w:type="pct"/>
            <w:vMerge/>
            <w:vAlign w:val="center"/>
          </w:tcPr>
          <w:p w:rsidR="00C36209" w:rsidRPr="00587DB4" w:rsidRDefault="00C36209" w:rsidP="00575E1E">
            <w:pPr>
              <w:tabs>
                <w:tab w:val="left" w:pos="567"/>
              </w:tabs>
              <w:spacing w:line="260" w:lineRule="exact"/>
              <w:rPr>
                <w:sz w:val="22"/>
                <w:szCs w:val="22"/>
                <w:lang w:val="el-GR"/>
              </w:rPr>
            </w:pP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Άγνωστης συχνότητας</w:t>
            </w:r>
          </w:p>
        </w:tc>
        <w:tc>
          <w:tcPr>
            <w:tcW w:w="2508" w:type="pct"/>
            <w:vAlign w:val="center"/>
          </w:tcPr>
          <w:p w:rsidR="00C36209" w:rsidRPr="00587DB4" w:rsidRDefault="00C36209" w:rsidP="00575E1E">
            <w:pPr>
              <w:tabs>
                <w:tab w:val="left" w:pos="567"/>
              </w:tabs>
              <w:spacing w:line="260" w:lineRule="exact"/>
              <w:rPr>
                <w:sz w:val="22"/>
                <w:szCs w:val="22"/>
                <w:vertAlign w:val="superscript"/>
                <w:lang w:val="el-GR"/>
              </w:rPr>
            </w:pPr>
            <w:r w:rsidRPr="00587DB4">
              <w:rPr>
                <w:sz w:val="22"/>
                <w:szCs w:val="22"/>
                <w:lang w:val="el-GR"/>
              </w:rPr>
              <w:t>Δυσκινησία, διαταραχές της κίνησης, σπασμοί, ακαθησία, ψυχοκινητική ανησυχία</w:t>
            </w:r>
            <w:r w:rsidRPr="00587DB4">
              <w:rPr>
                <w:sz w:val="22"/>
                <w:szCs w:val="22"/>
                <w:vertAlign w:val="superscript"/>
                <w:lang w:val="el-GR"/>
              </w:rPr>
              <w:t>2</w:t>
            </w:r>
          </w:p>
        </w:tc>
      </w:tr>
      <w:tr w:rsidR="00C36209" w:rsidRPr="00587DB4" w:rsidTr="00E81D8F">
        <w:trPr>
          <w:jc w:val="center"/>
        </w:trPr>
        <w:tc>
          <w:tcPr>
            <w:tcW w:w="154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Οφθαλμικές διαταραχές</w:t>
            </w: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Ασυνήθεις </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Μυδρίαση, διαταραχές της όρασης </w:t>
            </w:r>
          </w:p>
        </w:tc>
      </w:tr>
      <w:tr w:rsidR="00C36209" w:rsidRPr="00587DB4" w:rsidTr="00E81D8F">
        <w:trPr>
          <w:jc w:val="center"/>
        </w:trPr>
        <w:tc>
          <w:tcPr>
            <w:tcW w:w="154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Διαταραχές του ωτός και του λαβυρίνθου</w:t>
            </w: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Ασυνήθεις </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Εμβοές </w:t>
            </w:r>
          </w:p>
        </w:tc>
      </w:tr>
      <w:tr w:rsidR="00C36209" w:rsidRPr="00587DB4" w:rsidTr="008644FC">
        <w:trPr>
          <w:jc w:val="center"/>
        </w:trPr>
        <w:tc>
          <w:tcPr>
            <w:tcW w:w="1541" w:type="pct"/>
            <w:vMerge w:val="restar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Καρδιακές διαταραχές</w:t>
            </w: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Ασυνήθεις </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Ταχυκαρδία</w:t>
            </w:r>
          </w:p>
        </w:tc>
      </w:tr>
      <w:tr w:rsidR="00C36209" w:rsidRPr="00E81D8F" w:rsidTr="008644FC">
        <w:trPr>
          <w:jc w:val="center"/>
        </w:trPr>
        <w:tc>
          <w:tcPr>
            <w:tcW w:w="1541" w:type="pct"/>
            <w:vMerge/>
            <w:vAlign w:val="center"/>
          </w:tcPr>
          <w:p w:rsidR="00C36209" w:rsidRPr="00587DB4" w:rsidRDefault="00C36209" w:rsidP="00575E1E">
            <w:pPr>
              <w:tabs>
                <w:tab w:val="left" w:pos="567"/>
              </w:tabs>
              <w:spacing w:line="260" w:lineRule="exact"/>
              <w:rPr>
                <w:sz w:val="22"/>
                <w:szCs w:val="22"/>
                <w:lang w:val="el-GR"/>
              </w:rPr>
            </w:pP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Σπάνιες </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Βραδυκαρδία </w:t>
            </w:r>
          </w:p>
        </w:tc>
      </w:tr>
      <w:tr w:rsidR="00C36209" w:rsidRPr="007E4D87" w:rsidTr="008644FC">
        <w:trPr>
          <w:jc w:val="center"/>
        </w:trPr>
        <w:tc>
          <w:tcPr>
            <w:tcW w:w="1541" w:type="pct"/>
            <w:vMerge/>
            <w:vAlign w:val="center"/>
          </w:tcPr>
          <w:p w:rsidR="00C36209" w:rsidRPr="00587DB4" w:rsidRDefault="00C36209" w:rsidP="00575E1E">
            <w:pPr>
              <w:tabs>
                <w:tab w:val="left" w:pos="567"/>
              </w:tabs>
              <w:spacing w:line="260" w:lineRule="exact"/>
              <w:rPr>
                <w:sz w:val="22"/>
                <w:szCs w:val="22"/>
                <w:lang w:val="el-GR"/>
              </w:rPr>
            </w:pP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Άγνωστης συχνότητας</w:t>
            </w:r>
          </w:p>
        </w:tc>
        <w:tc>
          <w:tcPr>
            <w:tcW w:w="2508" w:type="pct"/>
            <w:vAlign w:val="center"/>
          </w:tcPr>
          <w:p w:rsidR="00C36209" w:rsidRPr="00587DB4" w:rsidRDefault="00C36209" w:rsidP="00C36209">
            <w:pPr>
              <w:tabs>
                <w:tab w:val="left" w:pos="567"/>
              </w:tabs>
              <w:spacing w:line="260" w:lineRule="exact"/>
              <w:rPr>
                <w:sz w:val="22"/>
                <w:szCs w:val="22"/>
                <w:lang w:val="el-GR"/>
              </w:rPr>
            </w:pPr>
            <w:r w:rsidRPr="00587DB4">
              <w:rPr>
                <w:sz w:val="22"/>
                <w:lang w:val="el-GR"/>
              </w:rPr>
              <w:t>Κοιλιακή αρρυθμία περιλαμβανομένης της κοιλιακής ταχυκαρδίας δίκην ριπιδίου (</w:t>
            </w:r>
            <w:r w:rsidRPr="00587DB4">
              <w:rPr>
                <w:sz w:val="22"/>
              </w:rPr>
              <w:t>t</w:t>
            </w:r>
            <w:r w:rsidRPr="00587DB4">
              <w:rPr>
                <w:sz w:val="22"/>
                <w:lang w:val="el-GR"/>
              </w:rPr>
              <w:t xml:space="preserve">orsade de </w:t>
            </w:r>
            <w:r w:rsidRPr="00587DB4">
              <w:rPr>
                <w:sz w:val="22"/>
              </w:rPr>
              <w:t>p</w:t>
            </w:r>
            <w:r w:rsidRPr="00587DB4">
              <w:rPr>
                <w:sz w:val="22"/>
                <w:lang w:val="el-GR"/>
              </w:rPr>
              <w:t>ointes)</w:t>
            </w:r>
          </w:p>
        </w:tc>
      </w:tr>
      <w:tr w:rsidR="00C36209" w:rsidRPr="00E81D8F" w:rsidTr="00E81D8F">
        <w:trPr>
          <w:jc w:val="center"/>
        </w:trPr>
        <w:tc>
          <w:tcPr>
            <w:tcW w:w="1541" w:type="pct"/>
            <w:vAlign w:val="center"/>
          </w:tcPr>
          <w:p w:rsidR="00C36209" w:rsidRPr="00E81D8F" w:rsidRDefault="00C36209" w:rsidP="00575E1E">
            <w:pPr>
              <w:tabs>
                <w:tab w:val="left" w:pos="567"/>
              </w:tabs>
              <w:spacing w:line="260" w:lineRule="exact"/>
              <w:rPr>
                <w:sz w:val="22"/>
                <w:szCs w:val="22"/>
                <w:lang w:val="el-GR"/>
              </w:rPr>
            </w:pPr>
            <w:r w:rsidRPr="00E81D8F">
              <w:rPr>
                <w:sz w:val="22"/>
                <w:szCs w:val="22"/>
                <w:lang w:val="el-GR"/>
              </w:rPr>
              <w:t>Αγγειακές διαταραχές</w:t>
            </w: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Άγνωστης συχνότητας</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Ορθοστατική υπόταση</w:t>
            </w:r>
          </w:p>
        </w:tc>
      </w:tr>
      <w:tr w:rsidR="00C36209" w:rsidRPr="00587DB4" w:rsidTr="00C36209">
        <w:trPr>
          <w:jc w:val="center"/>
        </w:trPr>
        <w:tc>
          <w:tcPr>
            <w:tcW w:w="1541" w:type="pct"/>
            <w:vMerge w:val="restar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Διαταραχές του αναπνευστικού συστήματος, του θώρακα και του μεσοθωρακίου</w:t>
            </w: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Συνήθεις </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Παραρρινο-κολπίτιδα, χασμουρητό </w:t>
            </w:r>
          </w:p>
        </w:tc>
      </w:tr>
      <w:tr w:rsidR="00C36209" w:rsidRPr="00587DB4" w:rsidTr="00C36209">
        <w:trPr>
          <w:jc w:val="center"/>
        </w:trPr>
        <w:tc>
          <w:tcPr>
            <w:tcW w:w="1541" w:type="pct"/>
            <w:vMerge/>
            <w:vAlign w:val="center"/>
          </w:tcPr>
          <w:p w:rsidR="00C36209" w:rsidRPr="00587DB4" w:rsidRDefault="00C36209" w:rsidP="00575E1E">
            <w:pPr>
              <w:tabs>
                <w:tab w:val="left" w:pos="567"/>
              </w:tabs>
              <w:spacing w:line="260" w:lineRule="exact"/>
              <w:rPr>
                <w:sz w:val="22"/>
                <w:szCs w:val="22"/>
                <w:lang w:val="el-GR"/>
              </w:rPr>
            </w:pP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Ασυνήθεις </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Επίσταξη </w:t>
            </w:r>
          </w:p>
        </w:tc>
      </w:tr>
      <w:tr w:rsidR="00C36209" w:rsidRPr="00587DB4" w:rsidTr="008644FC">
        <w:trPr>
          <w:jc w:val="center"/>
        </w:trPr>
        <w:tc>
          <w:tcPr>
            <w:tcW w:w="1541" w:type="pct"/>
            <w:vMerge w:val="restart"/>
            <w:vAlign w:val="center"/>
          </w:tcPr>
          <w:p w:rsidR="00C36209" w:rsidRPr="00E81D8F" w:rsidRDefault="00C36209" w:rsidP="00575E1E">
            <w:pPr>
              <w:tabs>
                <w:tab w:val="left" w:pos="567"/>
              </w:tabs>
              <w:spacing w:line="260" w:lineRule="exact"/>
              <w:rPr>
                <w:sz w:val="22"/>
                <w:szCs w:val="22"/>
                <w:lang w:val="el-GR"/>
              </w:rPr>
            </w:pPr>
            <w:r w:rsidRPr="00E81D8F">
              <w:rPr>
                <w:sz w:val="22"/>
                <w:szCs w:val="22"/>
                <w:lang w:val="el-GR"/>
              </w:rPr>
              <w:t>Γαστρεντερικές διαταραχές</w:t>
            </w: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Πολύ συνήθεις</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Ναυτία</w:t>
            </w:r>
          </w:p>
        </w:tc>
      </w:tr>
      <w:tr w:rsidR="00C36209" w:rsidRPr="00587DB4" w:rsidTr="008644FC">
        <w:trPr>
          <w:jc w:val="center"/>
        </w:trPr>
        <w:tc>
          <w:tcPr>
            <w:tcW w:w="1541" w:type="pct"/>
            <w:vMerge/>
            <w:vAlign w:val="center"/>
          </w:tcPr>
          <w:p w:rsidR="00C36209" w:rsidRPr="00587DB4" w:rsidRDefault="00C36209" w:rsidP="00575E1E">
            <w:pPr>
              <w:tabs>
                <w:tab w:val="left" w:pos="567"/>
              </w:tabs>
              <w:spacing w:line="260" w:lineRule="exact"/>
              <w:rPr>
                <w:sz w:val="22"/>
                <w:szCs w:val="22"/>
                <w:lang w:val="el-GR"/>
              </w:rPr>
            </w:pP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Συνήθεις </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Διάρροια, δυσκοιλιότητα, έμετος, ξηροστομία</w:t>
            </w:r>
          </w:p>
        </w:tc>
      </w:tr>
      <w:tr w:rsidR="00C36209" w:rsidRPr="007E4D87" w:rsidTr="008644FC">
        <w:trPr>
          <w:jc w:val="center"/>
        </w:trPr>
        <w:tc>
          <w:tcPr>
            <w:tcW w:w="1541" w:type="pct"/>
            <w:vMerge/>
            <w:vAlign w:val="center"/>
          </w:tcPr>
          <w:p w:rsidR="00C36209" w:rsidRPr="00587DB4" w:rsidRDefault="00C36209" w:rsidP="00575E1E">
            <w:pPr>
              <w:tabs>
                <w:tab w:val="left" w:pos="567"/>
              </w:tabs>
              <w:spacing w:line="260" w:lineRule="exact"/>
              <w:rPr>
                <w:sz w:val="22"/>
                <w:szCs w:val="22"/>
                <w:lang w:val="el-GR"/>
              </w:rPr>
            </w:pP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Ασυνήθεις</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Γαστρεντερική αιμορραγία (συμπεριλαμβανομένης της αιμορραγίας από τον πρωκτό)</w:t>
            </w:r>
          </w:p>
        </w:tc>
      </w:tr>
      <w:tr w:rsidR="00C36209" w:rsidRPr="007E4D87" w:rsidTr="00E81D8F">
        <w:trPr>
          <w:jc w:val="center"/>
        </w:trPr>
        <w:tc>
          <w:tcPr>
            <w:tcW w:w="1541" w:type="pct"/>
            <w:vAlign w:val="center"/>
          </w:tcPr>
          <w:p w:rsidR="00C36209" w:rsidRPr="00E81D8F" w:rsidRDefault="00C36209" w:rsidP="00575E1E">
            <w:pPr>
              <w:tabs>
                <w:tab w:val="left" w:pos="567"/>
              </w:tabs>
              <w:spacing w:line="260" w:lineRule="exact"/>
              <w:rPr>
                <w:sz w:val="22"/>
                <w:szCs w:val="22"/>
                <w:lang w:val="el-GR"/>
              </w:rPr>
            </w:pPr>
            <w:r w:rsidRPr="00E81D8F">
              <w:rPr>
                <w:sz w:val="22"/>
                <w:szCs w:val="22"/>
                <w:lang w:val="el-GR"/>
              </w:rPr>
              <w:t>Διαταραχές του ήπατος και των χοληφόρων</w:t>
            </w: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Άγνωστης συχνότητας</w:t>
            </w:r>
          </w:p>
        </w:tc>
        <w:tc>
          <w:tcPr>
            <w:tcW w:w="2508" w:type="pct"/>
            <w:vAlign w:val="center"/>
          </w:tcPr>
          <w:p w:rsidR="00C36209" w:rsidRPr="00587DB4" w:rsidRDefault="00C36209" w:rsidP="000918B3">
            <w:pPr>
              <w:tabs>
                <w:tab w:val="left" w:pos="567"/>
              </w:tabs>
              <w:spacing w:line="260" w:lineRule="exact"/>
              <w:rPr>
                <w:sz w:val="22"/>
                <w:szCs w:val="22"/>
                <w:lang w:val="el-GR"/>
              </w:rPr>
            </w:pPr>
            <w:r w:rsidRPr="00587DB4">
              <w:rPr>
                <w:sz w:val="22"/>
                <w:szCs w:val="22"/>
                <w:lang w:val="el-GR"/>
              </w:rPr>
              <w:t>Ηπατίτιδα, παθολογικές δοκιμασίες ηπατικής λειτουργίας</w:t>
            </w:r>
          </w:p>
        </w:tc>
      </w:tr>
      <w:tr w:rsidR="00C36209" w:rsidRPr="00E81D8F" w:rsidTr="008644FC">
        <w:trPr>
          <w:jc w:val="center"/>
        </w:trPr>
        <w:tc>
          <w:tcPr>
            <w:tcW w:w="1541" w:type="pct"/>
            <w:vMerge w:val="restar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Διαταραχές του δέρματος και του υποδόριου ιστού:</w:t>
            </w: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Συνήθεις </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Εφίδρωση αυξημένη</w:t>
            </w:r>
          </w:p>
        </w:tc>
      </w:tr>
      <w:tr w:rsidR="00C36209" w:rsidRPr="00587DB4" w:rsidTr="008644FC">
        <w:trPr>
          <w:jc w:val="center"/>
        </w:trPr>
        <w:tc>
          <w:tcPr>
            <w:tcW w:w="1541" w:type="pct"/>
            <w:vMerge/>
            <w:vAlign w:val="center"/>
          </w:tcPr>
          <w:p w:rsidR="00C36209" w:rsidRPr="00587DB4" w:rsidRDefault="00C36209" w:rsidP="00575E1E">
            <w:pPr>
              <w:tabs>
                <w:tab w:val="left" w:pos="567"/>
              </w:tabs>
              <w:spacing w:line="260" w:lineRule="exact"/>
              <w:rPr>
                <w:sz w:val="22"/>
                <w:szCs w:val="22"/>
                <w:lang w:val="el-GR"/>
              </w:rPr>
            </w:pP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Ασυνήθεις </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Κνίδωση, αλωπεκία, εξάνθημα, κνησμός</w:t>
            </w:r>
          </w:p>
        </w:tc>
      </w:tr>
      <w:tr w:rsidR="00C36209" w:rsidRPr="00587DB4" w:rsidTr="008644FC">
        <w:trPr>
          <w:jc w:val="center"/>
        </w:trPr>
        <w:tc>
          <w:tcPr>
            <w:tcW w:w="1541" w:type="pct"/>
            <w:vMerge/>
            <w:vAlign w:val="center"/>
          </w:tcPr>
          <w:p w:rsidR="00C36209" w:rsidRPr="00587DB4" w:rsidRDefault="00C36209" w:rsidP="00575E1E">
            <w:pPr>
              <w:tabs>
                <w:tab w:val="left" w:pos="567"/>
              </w:tabs>
              <w:spacing w:line="260" w:lineRule="exact"/>
              <w:rPr>
                <w:sz w:val="22"/>
                <w:szCs w:val="22"/>
                <w:lang w:val="el-GR"/>
              </w:rPr>
            </w:pP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Άγνωστης συχνότητας</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Εκχύμωση, αγγειοοιδήματα</w:t>
            </w:r>
          </w:p>
        </w:tc>
      </w:tr>
      <w:tr w:rsidR="00C36209" w:rsidRPr="00587DB4" w:rsidTr="00E81D8F">
        <w:trPr>
          <w:jc w:val="center"/>
        </w:trPr>
        <w:tc>
          <w:tcPr>
            <w:tcW w:w="1541" w:type="pct"/>
            <w:vAlign w:val="center"/>
          </w:tcPr>
          <w:p w:rsidR="00C36209" w:rsidRPr="00587DB4" w:rsidRDefault="00C36209" w:rsidP="0098474B">
            <w:pPr>
              <w:tabs>
                <w:tab w:val="left" w:pos="567"/>
              </w:tabs>
              <w:spacing w:line="260" w:lineRule="exact"/>
              <w:rPr>
                <w:sz w:val="22"/>
                <w:szCs w:val="22"/>
                <w:lang w:val="el-GR"/>
              </w:rPr>
            </w:pPr>
            <w:r w:rsidRPr="00587DB4">
              <w:rPr>
                <w:sz w:val="22"/>
                <w:szCs w:val="22"/>
                <w:lang w:val="el-GR"/>
              </w:rPr>
              <w:t xml:space="preserve">Διαταραχές του μυοσκελετικού συστήματος και του συνδετικού ιστού </w:t>
            </w: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Συνήθεις </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Αρθραλγία, μυαλγία</w:t>
            </w:r>
          </w:p>
        </w:tc>
      </w:tr>
      <w:tr w:rsidR="00C36209" w:rsidRPr="00E81D8F" w:rsidTr="00E81D8F">
        <w:trPr>
          <w:jc w:val="center"/>
        </w:trPr>
        <w:tc>
          <w:tcPr>
            <w:tcW w:w="1541" w:type="pct"/>
            <w:vAlign w:val="center"/>
          </w:tcPr>
          <w:p w:rsidR="00C36209" w:rsidRPr="00E81D8F" w:rsidRDefault="00C36209" w:rsidP="00575E1E">
            <w:pPr>
              <w:tabs>
                <w:tab w:val="left" w:pos="567"/>
              </w:tabs>
              <w:spacing w:line="260" w:lineRule="exact"/>
              <w:rPr>
                <w:sz w:val="22"/>
                <w:szCs w:val="22"/>
                <w:lang w:val="el-GR"/>
              </w:rPr>
            </w:pPr>
            <w:r w:rsidRPr="00E81D8F">
              <w:rPr>
                <w:sz w:val="22"/>
                <w:szCs w:val="22"/>
                <w:lang w:val="el-GR"/>
              </w:rPr>
              <w:t>Διαταραχές των νεφρών και των ουροφόρων οδών</w:t>
            </w: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Άγνωστης συχνότητας</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Κατακράτηση ούρων</w:t>
            </w:r>
          </w:p>
        </w:tc>
      </w:tr>
      <w:tr w:rsidR="00C36209" w:rsidRPr="007E4D87" w:rsidTr="008644FC">
        <w:trPr>
          <w:jc w:val="center"/>
        </w:trPr>
        <w:tc>
          <w:tcPr>
            <w:tcW w:w="1541" w:type="pct"/>
            <w:vMerge w:val="restar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Διαταραχές του αναπαραγωγικού συστήματος και του μαστού</w:t>
            </w: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Συνήθεις </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Άνδρες: Διαταραχή της εκσπερμάτισης, ανικανότητα</w:t>
            </w:r>
          </w:p>
        </w:tc>
      </w:tr>
      <w:tr w:rsidR="00C36209" w:rsidRPr="00587DB4" w:rsidTr="008644FC">
        <w:trPr>
          <w:jc w:val="center"/>
        </w:trPr>
        <w:tc>
          <w:tcPr>
            <w:tcW w:w="1541" w:type="pct"/>
            <w:vMerge/>
            <w:vAlign w:val="center"/>
          </w:tcPr>
          <w:p w:rsidR="00C36209" w:rsidRPr="00587DB4" w:rsidRDefault="00C36209" w:rsidP="00575E1E">
            <w:pPr>
              <w:tabs>
                <w:tab w:val="left" w:pos="567"/>
              </w:tabs>
              <w:spacing w:line="260" w:lineRule="exact"/>
              <w:rPr>
                <w:sz w:val="22"/>
                <w:szCs w:val="22"/>
                <w:lang w:val="el-GR"/>
              </w:rPr>
            </w:pP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Ασυνήθεις </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Γυναίκες: μητρορραγία, μηνορραγία</w:t>
            </w:r>
          </w:p>
        </w:tc>
      </w:tr>
      <w:tr w:rsidR="00C36209" w:rsidRPr="00587DB4" w:rsidTr="008644FC">
        <w:trPr>
          <w:jc w:val="center"/>
        </w:trPr>
        <w:tc>
          <w:tcPr>
            <w:tcW w:w="1541" w:type="pct"/>
            <w:vMerge/>
            <w:vAlign w:val="center"/>
          </w:tcPr>
          <w:p w:rsidR="00C36209" w:rsidRPr="00587DB4" w:rsidRDefault="00C36209" w:rsidP="00575E1E">
            <w:pPr>
              <w:tabs>
                <w:tab w:val="left" w:pos="567"/>
              </w:tabs>
              <w:spacing w:line="260" w:lineRule="exact"/>
              <w:rPr>
                <w:sz w:val="22"/>
                <w:szCs w:val="22"/>
                <w:lang w:val="el-GR"/>
              </w:rPr>
            </w:pP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Άγνωστης συχνότητας</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Γαλακτόρροια</w:t>
            </w:r>
          </w:p>
          <w:p w:rsidR="00C36209" w:rsidRPr="00587DB4" w:rsidRDefault="00C36209" w:rsidP="00575E1E">
            <w:pPr>
              <w:tabs>
                <w:tab w:val="left" w:pos="567"/>
              </w:tabs>
              <w:spacing w:line="260" w:lineRule="exact"/>
              <w:rPr>
                <w:sz w:val="22"/>
                <w:szCs w:val="22"/>
                <w:lang w:val="el-GR"/>
              </w:rPr>
            </w:pPr>
            <w:r w:rsidRPr="00587DB4">
              <w:rPr>
                <w:sz w:val="22"/>
                <w:szCs w:val="22"/>
                <w:lang w:val="el-GR"/>
              </w:rPr>
              <w:t>Άνδρες: πριαπισμός</w:t>
            </w:r>
          </w:p>
        </w:tc>
      </w:tr>
      <w:tr w:rsidR="00C36209" w:rsidRPr="00587DB4" w:rsidTr="008644FC">
        <w:trPr>
          <w:jc w:val="center"/>
        </w:trPr>
        <w:tc>
          <w:tcPr>
            <w:tcW w:w="1541" w:type="pct"/>
            <w:vMerge w:val="restar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Γενικές διαταραχές και καταστάσεις της οδού χορήγησης</w:t>
            </w: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Συνήθεις </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Κόπωση, πυρεξία</w:t>
            </w:r>
          </w:p>
        </w:tc>
      </w:tr>
      <w:tr w:rsidR="00C36209" w:rsidRPr="00E81D8F" w:rsidTr="008644FC">
        <w:trPr>
          <w:jc w:val="center"/>
        </w:trPr>
        <w:tc>
          <w:tcPr>
            <w:tcW w:w="1541" w:type="pct"/>
            <w:vMerge/>
            <w:vAlign w:val="center"/>
          </w:tcPr>
          <w:p w:rsidR="00C36209" w:rsidRPr="00587DB4" w:rsidRDefault="00C36209" w:rsidP="00575E1E">
            <w:pPr>
              <w:tabs>
                <w:tab w:val="left" w:pos="567"/>
              </w:tabs>
              <w:spacing w:line="260" w:lineRule="exact"/>
              <w:rPr>
                <w:sz w:val="22"/>
                <w:szCs w:val="22"/>
                <w:lang w:val="el-GR"/>
              </w:rPr>
            </w:pPr>
          </w:p>
        </w:tc>
        <w:tc>
          <w:tcPr>
            <w:tcW w:w="951"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 xml:space="preserve">Ασυνήθεις </w:t>
            </w:r>
          </w:p>
        </w:tc>
        <w:tc>
          <w:tcPr>
            <w:tcW w:w="2508" w:type="pct"/>
            <w:vAlign w:val="center"/>
          </w:tcPr>
          <w:p w:rsidR="00C36209" w:rsidRPr="00587DB4" w:rsidRDefault="00C36209" w:rsidP="00575E1E">
            <w:pPr>
              <w:tabs>
                <w:tab w:val="left" w:pos="567"/>
              </w:tabs>
              <w:spacing w:line="260" w:lineRule="exact"/>
              <w:rPr>
                <w:sz w:val="22"/>
                <w:szCs w:val="22"/>
                <w:lang w:val="el-GR"/>
              </w:rPr>
            </w:pPr>
            <w:r w:rsidRPr="00587DB4">
              <w:rPr>
                <w:sz w:val="22"/>
                <w:szCs w:val="22"/>
                <w:lang w:val="el-GR"/>
              </w:rPr>
              <w:t>Οίδημα</w:t>
            </w:r>
          </w:p>
        </w:tc>
      </w:tr>
    </w:tbl>
    <w:p w:rsidR="0032661A" w:rsidRPr="00587DB4" w:rsidRDefault="0032661A">
      <w:pPr>
        <w:rPr>
          <w:sz w:val="22"/>
          <w:szCs w:val="22"/>
          <w:lang w:val="el-GR"/>
        </w:rPr>
      </w:pPr>
      <w:r w:rsidRPr="00587DB4">
        <w:rPr>
          <w:sz w:val="22"/>
          <w:szCs w:val="22"/>
          <w:vertAlign w:val="superscript"/>
          <w:lang w:val="el-GR"/>
        </w:rPr>
        <w:t>1</w:t>
      </w:r>
      <w:r w:rsidRPr="00587DB4">
        <w:rPr>
          <w:sz w:val="22"/>
          <w:szCs w:val="22"/>
          <w:lang w:val="el-GR"/>
        </w:rPr>
        <w:t>Περιστατικά αυτοκτονικού ιδεασμού και αυτοκτονικής συμπεριφοράς έχουν αναφερθεί κατά τη διάρκεια της θεραπείας με εσιταλοπράμη ή νωρίς μετά τη διακοπή της θεραπείας (βλ. παράγραφο 4.4).</w:t>
      </w:r>
    </w:p>
    <w:p w:rsidR="0032661A" w:rsidRPr="00E81D8F" w:rsidRDefault="0032661A">
      <w:pPr>
        <w:rPr>
          <w:sz w:val="22"/>
          <w:szCs w:val="22"/>
          <w:lang w:val="el-GR"/>
        </w:rPr>
      </w:pPr>
    </w:p>
    <w:p w:rsidR="0061614E" w:rsidRPr="00E81D8F" w:rsidRDefault="008B3B08">
      <w:pPr>
        <w:autoSpaceDE w:val="0"/>
        <w:autoSpaceDN w:val="0"/>
        <w:adjustRightInd w:val="0"/>
        <w:rPr>
          <w:sz w:val="22"/>
          <w:szCs w:val="22"/>
          <w:lang w:val="el-GR"/>
        </w:rPr>
      </w:pPr>
      <w:r w:rsidRPr="00587DB4">
        <w:rPr>
          <w:sz w:val="22"/>
          <w:szCs w:val="22"/>
          <w:vertAlign w:val="superscript"/>
          <w:lang w:val="el-GR"/>
        </w:rPr>
        <w:t>2</w:t>
      </w:r>
      <w:r w:rsidR="0032661A" w:rsidRPr="00587DB4">
        <w:rPr>
          <w:sz w:val="22"/>
          <w:szCs w:val="22"/>
          <w:lang w:val="el-GR"/>
        </w:rPr>
        <w:t xml:space="preserve">Οι ανεπιθύμητες αντιδράσεις στο φάρμακο έχουν αναφερθεί για τη θεραπευτική κατηγορία των </w:t>
      </w:r>
      <w:r w:rsidR="0032661A" w:rsidRPr="00E81D8F">
        <w:rPr>
          <w:sz w:val="22"/>
          <w:szCs w:val="22"/>
          <w:lang w:val="el-GR"/>
        </w:rPr>
        <w:t xml:space="preserve">SSRI </w:t>
      </w:r>
    </w:p>
    <w:p w:rsidR="0061614E" w:rsidRPr="00E81D8F" w:rsidRDefault="0061614E">
      <w:pPr>
        <w:autoSpaceDE w:val="0"/>
        <w:autoSpaceDN w:val="0"/>
        <w:adjustRightInd w:val="0"/>
        <w:rPr>
          <w:sz w:val="22"/>
          <w:szCs w:val="22"/>
          <w:lang w:val="el-GR"/>
        </w:rPr>
      </w:pPr>
    </w:p>
    <w:p w:rsidR="008475FD" w:rsidRPr="00E81D8F" w:rsidRDefault="00C36209">
      <w:pPr>
        <w:autoSpaceDE w:val="0"/>
        <w:autoSpaceDN w:val="0"/>
        <w:adjustRightInd w:val="0"/>
        <w:rPr>
          <w:i/>
          <w:sz w:val="22"/>
          <w:szCs w:val="22"/>
          <w:u w:val="single"/>
          <w:lang w:val="el-GR"/>
        </w:rPr>
      </w:pPr>
      <w:r w:rsidRPr="00587DB4">
        <w:rPr>
          <w:i/>
          <w:sz w:val="22"/>
          <w:szCs w:val="22"/>
          <w:u w:val="single"/>
          <w:lang w:val="el-GR"/>
        </w:rPr>
        <w:t xml:space="preserve">Παράταση του διαστήματος </w:t>
      </w:r>
      <w:r w:rsidRPr="00587DB4">
        <w:rPr>
          <w:i/>
          <w:sz w:val="22"/>
          <w:szCs w:val="22"/>
          <w:u w:val="single"/>
        </w:rPr>
        <w:t>QT</w:t>
      </w:r>
    </w:p>
    <w:p w:rsidR="00C36209" w:rsidRPr="00587DB4" w:rsidRDefault="00C36209" w:rsidP="00C36209">
      <w:pPr>
        <w:tabs>
          <w:tab w:val="left" w:pos="567"/>
        </w:tabs>
        <w:rPr>
          <w:sz w:val="22"/>
          <w:lang w:val="el-GR"/>
        </w:rPr>
      </w:pPr>
      <w:r w:rsidRPr="00587DB4">
        <w:rPr>
          <w:sz w:val="22"/>
          <w:lang w:val="el-GR"/>
        </w:rPr>
        <w:t xml:space="preserve">Μετά την κυκλοφορία, έχουν αναφερθεί περιπτώσεις παράτασης του διαστήματος </w:t>
      </w:r>
      <w:r w:rsidRPr="00587DB4">
        <w:rPr>
          <w:sz w:val="22"/>
        </w:rPr>
        <w:t>QT</w:t>
      </w:r>
      <w:r w:rsidRPr="00587DB4">
        <w:rPr>
          <w:sz w:val="22"/>
          <w:lang w:val="el-GR"/>
        </w:rPr>
        <w:t xml:space="preserve"> και κοιλιακής αρρυθμίας, περιλαμβανομένης κοιλιακής ταχυκαρδίας δίκην ριπιδίου (</w:t>
      </w:r>
      <w:r w:rsidR="008B3870" w:rsidRPr="00587DB4">
        <w:rPr>
          <w:sz w:val="22"/>
        </w:rPr>
        <w:t>T</w:t>
      </w:r>
      <w:r w:rsidRPr="00587DB4">
        <w:rPr>
          <w:sz w:val="22"/>
          <w:lang w:val="el-GR"/>
        </w:rPr>
        <w:t>orsade de Pointes), κυρίως σε ασθενείς</w:t>
      </w:r>
      <w:r w:rsidR="008B3870" w:rsidRPr="00C068BB">
        <w:rPr>
          <w:sz w:val="22"/>
          <w:lang w:val="el-GR"/>
        </w:rPr>
        <w:t xml:space="preserve"> </w:t>
      </w:r>
      <w:r w:rsidR="008B3870" w:rsidRPr="00587DB4">
        <w:rPr>
          <w:sz w:val="22"/>
          <w:lang w:val="el-GR"/>
        </w:rPr>
        <w:t>του</w:t>
      </w:r>
      <w:r w:rsidRPr="00587DB4">
        <w:rPr>
          <w:sz w:val="22"/>
          <w:lang w:val="el-GR"/>
        </w:rPr>
        <w:t xml:space="preserve"> γυναικείου φύλου, με υποκαλιαιμία ή με προϋπάρχουσα παράταση του διαστήματος QT ή άλλα καρδιακά νοσήματα (βλ. παραγράφους 4.3, </w:t>
      </w:r>
      <w:r w:rsidRPr="00E81D8F">
        <w:rPr>
          <w:sz w:val="22"/>
          <w:lang w:val="el-GR"/>
        </w:rPr>
        <w:t xml:space="preserve">4.4, </w:t>
      </w:r>
      <w:r w:rsidRPr="00587DB4">
        <w:rPr>
          <w:sz w:val="22"/>
          <w:lang w:val="el-GR"/>
        </w:rPr>
        <w:t xml:space="preserve">4.5, 4.9 και 5.1). </w:t>
      </w:r>
    </w:p>
    <w:p w:rsidR="00C36209" w:rsidRPr="00587DB4" w:rsidRDefault="00C36209">
      <w:pPr>
        <w:autoSpaceDE w:val="0"/>
        <w:autoSpaceDN w:val="0"/>
        <w:adjustRightInd w:val="0"/>
        <w:rPr>
          <w:sz w:val="22"/>
          <w:szCs w:val="22"/>
          <w:lang w:val="el-GR"/>
        </w:rPr>
      </w:pPr>
    </w:p>
    <w:p w:rsidR="008475FD" w:rsidRPr="00587DB4" w:rsidRDefault="008475FD">
      <w:pPr>
        <w:autoSpaceDE w:val="0"/>
        <w:autoSpaceDN w:val="0"/>
        <w:adjustRightInd w:val="0"/>
        <w:rPr>
          <w:sz w:val="22"/>
          <w:szCs w:val="22"/>
          <w:lang w:val="el-GR"/>
        </w:rPr>
      </w:pPr>
      <w:r w:rsidRPr="00587DB4">
        <w:rPr>
          <w:i/>
          <w:sz w:val="22"/>
          <w:szCs w:val="22"/>
          <w:lang w:val="el-GR"/>
        </w:rPr>
        <w:t>Επιδράσεις κατηγορίας</w:t>
      </w:r>
    </w:p>
    <w:p w:rsidR="0032661A" w:rsidRPr="00E81D8F" w:rsidRDefault="00682FCE">
      <w:pPr>
        <w:autoSpaceDE w:val="0"/>
        <w:autoSpaceDN w:val="0"/>
        <w:adjustRightInd w:val="0"/>
        <w:rPr>
          <w:i/>
          <w:sz w:val="22"/>
          <w:szCs w:val="22"/>
          <w:lang w:val="el-GR"/>
        </w:rPr>
      </w:pPr>
      <w:r w:rsidRPr="00587DB4">
        <w:rPr>
          <w:sz w:val="22"/>
          <w:szCs w:val="22"/>
          <w:lang w:val="el-GR"/>
        </w:rPr>
        <w:t>Επιδημιολογικές</w:t>
      </w:r>
      <w:r w:rsidR="008475FD" w:rsidRPr="00587DB4">
        <w:rPr>
          <w:sz w:val="22"/>
          <w:szCs w:val="22"/>
          <w:lang w:val="el-GR"/>
        </w:rPr>
        <w:t xml:space="preserve"> μελέτες, που διεξήχθησαν κυρίως σε ασθενείς άνω των 50 ετών, δείχνουν αυξημένο κίνδυνο </w:t>
      </w:r>
      <w:r w:rsidRPr="00587DB4">
        <w:rPr>
          <w:sz w:val="22"/>
          <w:szCs w:val="22"/>
          <w:lang w:val="el-GR"/>
        </w:rPr>
        <w:t>κατάγματος των οστών σε ασθενείς που λαμβάνουν</w:t>
      </w:r>
      <w:r w:rsidR="00EF5825" w:rsidRPr="00587DB4">
        <w:rPr>
          <w:sz w:val="22"/>
          <w:szCs w:val="22"/>
          <w:lang w:val="el-GR"/>
        </w:rPr>
        <w:t xml:space="preserve"> </w:t>
      </w:r>
      <w:r w:rsidR="00EF5825" w:rsidRPr="00587DB4">
        <w:rPr>
          <w:sz w:val="22"/>
          <w:szCs w:val="22"/>
        </w:rPr>
        <w:t>SSRI</w:t>
      </w:r>
      <w:r w:rsidR="00EF5825" w:rsidRPr="00587DB4">
        <w:rPr>
          <w:sz w:val="22"/>
          <w:szCs w:val="22"/>
          <w:lang w:val="el-GR"/>
        </w:rPr>
        <w:t xml:space="preserve"> και </w:t>
      </w:r>
      <w:r w:rsidR="00EF5825" w:rsidRPr="00587DB4">
        <w:rPr>
          <w:sz w:val="22"/>
          <w:szCs w:val="22"/>
        </w:rPr>
        <w:t>TCA</w:t>
      </w:r>
      <w:r w:rsidR="00EF5825" w:rsidRPr="00587DB4">
        <w:rPr>
          <w:sz w:val="22"/>
          <w:szCs w:val="22"/>
          <w:lang w:val="el-GR"/>
        </w:rPr>
        <w:t xml:space="preserve">. Ο </w:t>
      </w:r>
      <w:r w:rsidR="006760D1" w:rsidRPr="00587DB4">
        <w:rPr>
          <w:sz w:val="22"/>
          <w:szCs w:val="22"/>
          <w:lang w:val="el-GR"/>
        </w:rPr>
        <w:t>μηχαν</w:t>
      </w:r>
      <w:r w:rsidR="00EF5825" w:rsidRPr="00587DB4">
        <w:rPr>
          <w:sz w:val="22"/>
          <w:szCs w:val="22"/>
          <w:lang w:val="el-GR"/>
        </w:rPr>
        <w:t>ι</w:t>
      </w:r>
      <w:r w:rsidR="006760D1" w:rsidRPr="00587DB4">
        <w:rPr>
          <w:sz w:val="22"/>
          <w:szCs w:val="22"/>
          <w:lang w:val="el-GR"/>
        </w:rPr>
        <w:t>σ</w:t>
      </w:r>
      <w:r w:rsidR="00EF5825" w:rsidRPr="00587DB4">
        <w:rPr>
          <w:sz w:val="22"/>
          <w:szCs w:val="22"/>
          <w:lang w:val="el-GR"/>
        </w:rPr>
        <w:t>μ</w:t>
      </w:r>
      <w:r w:rsidR="008D3417" w:rsidRPr="00587DB4">
        <w:rPr>
          <w:sz w:val="22"/>
          <w:szCs w:val="22"/>
          <w:lang w:val="el-GR"/>
        </w:rPr>
        <w:t>ός</w:t>
      </w:r>
      <w:r w:rsidR="00EF5825" w:rsidRPr="00587DB4">
        <w:rPr>
          <w:sz w:val="22"/>
          <w:szCs w:val="22"/>
          <w:lang w:val="el-GR"/>
        </w:rPr>
        <w:t xml:space="preserve"> που οδηγεί σε αυτό τον κίνδυνο είναι </w:t>
      </w:r>
      <w:r w:rsidR="008D3417" w:rsidRPr="00587DB4">
        <w:rPr>
          <w:sz w:val="22"/>
          <w:szCs w:val="22"/>
          <w:lang w:val="el-GR"/>
        </w:rPr>
        <w:t>άγνωστος</w:t>
      </w:r>
      <w:r w:rsidR="00EF5825" w:rsidRPr="00587DB4">
        <w:rPr>
          <w:sz w:val="22"/>
          <w:szCs w:val="22"/>
          <w:lang w:val="el-GR"/>
        </w:rPr>
        <w:t>.</w:t>
      </w:r>
      <w:r w:rsidRPr="00587DB4">
        <w:rPr>
          <w:sz w:val="22"/>
          <w:szCs w:val="22"/>
          <w:lang w:val="el-GR"/>
        </w:rPr>
        <w:t xml:space="preserve"> </w:t>
      </w:r>
      <w:r w:rsidR="0032661A" w:rsidRPr="00587DB4">
        <w:rPr>
          <w:i/>
          <w:sz w:val="22"/>
          <w:szCs w:val="22"/>
          <w:lang w:val="el-GR"/>
        </w:rPr>
        <w:t xml:space="preserve"> </w:t>
      </w:r>
    </w:p>
    <w:p w:rsidR="0032661A" w:rsidRPr="00587DB4" w:rsidRDefault="0032661A">
      <w:pPr>
        <w:tabs>
          <w:tab w:val="left" w:pos="0"/>
        </w:tabs>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Συμπτώματα στέρησης παρατηρούνται κατά τη διακοπή της θεραπείας</w:t>
      </w:r>
    </w:p>
    <w:p w:rsidR="0032661A" w:rsidRPr="00E81D8F" w:rsidRDefault="0032661A">
      <w:pPr>
        <w:autoSpaceDE w:val="0"/>
        <w:autoSpaceDN w:val="0"/>
        <w:adjustRightInd w:val="0"/>
        <w:rPr>
          <w:sz w:val="22"/>
          <w:szCs w:val="22"/>
          <w:lang w:val="el-GR"/>
        </w:rPr>
      </w:pPr>
      <w:r w:rsidRPr="00587DB4">
        <w:rPr>
          <w:sz w:val="22"/>
          <w:szCs w:val="22"/>
          <w:lang w:val="el-GR"/>
        </w:rPr>
        <w:t xml:space="preserve">Η διακοπή των SSRI/SNRI (ιδιαιτέρως όταν είναι αιφνίδια) συνήθως οδηγεί σε συμπτώματα στέρησης. </w:t>
      </w:r>
      <w:r w:rsidRPr="00E81D8F">
        <w:rPr>
          <w:sz w:val="22"/>
          <w:szCs w:val="22"/>
          <w:lang w:val="el-GR"/>
        </w:rPr>
        <w:t xml:space="preserve"> </w:t>
      </w:r>
      <w:r w:rsidRPr="00587DB4">
        <w:rPr>
          <w:sz w:val="22"/>
          <w:szCs w:val="22"/>
          <w:lang w:val="el-GR"/>
        </w:rPr>
        <w:t>Ζάλη, αισθητηριακές διαταραχές (συμπεριλαμβανομένων της παραισθησίας και των αισθήσεων ηλεκτρικού σοκ), διαταραχές ύπνου (συμπεριλαμβανομένων της αϋπνίας και των έντονων ονείρων), διέγερση ή άγχος, ναυτία ή/και έμετος, τρόμος, σύγχυση, εφίδρωση, κεφαλαλγία, διάρροια, αίσθημα παλμών, συναισθηματική αστάθεια, ευερεθιστότητα και διαταραχές της όρασης είναι οι πλέον συχνά αναφερόμενες αντιδράσεις.</w:t>
      </w:r>
      <w:r w:rsidRPr="00E81D8F">
        <w:rPr>
          <w:sz w:val="22"/>
          <w:szCs w:val="22"/>
          <w:lang w:val="el-GR"/>
        </w:rPr>
        <w:t xml:space="preserve"> </w:t>
      </w:r>
      <w:r w:rsidRPr="00587DB4">
        <w:rPr>
          <w:sz w:val="22"/>
          <w:szCs w:val="22"/>
          <w:lang w:val="el-GR"/>
        </w:rPr>
        <w:t>Εν γένει αυτά τα συμβάματα είναι ήπιας έως μέτριας βαρύτητας και είναι αυτο-περιοριζόμενα. Ωστόσο, σε ορισμένους ασθενείς μπορεί να είναι σοβαρά ή/και παρατεταμένα.</w:t>
      </w:r>
      <w:r w:rsidRPr="00E81D8F">
        <w:rPr>
          <w:sz w:val="22"/>
          <w:szCs w:val="22"/>
          <w:lang w:val="el-GR"/>
        </w:rPr>
        <w:t xml:space="preserve"> </w:t>
      </w:r>
      <w:r w:rsidRPr="00587DB4">
        <w:rPr>
          <w:sz w:val="22"/>
          <w:szCs w:val="22"/>
          <w:lang w:val="el-GR"/>
        </w:rPr>
        <w:t xml:space="preserve">Συνεπώς, όταν δεν απαιτείται πλέον χορήγηση θεραπείας με εσιταλοπράμη, συνιστάται η διακοπή της με σταδιακή μείωση της δόσης (βλ. παράγραφο 4.2 και 4.4). </w:t>
      </w:r>
    </w:p>
    <w:p w:rsidR="0032661A" w:rsidRPr="00587DB4" w:rsidRDefault="0032661A">
      <w:pPr>
        <w:tabs>
          <w:tab w:val="left" w:pos="0"/>
        </w:tabs>
        <w:rPr>
          <w:sz w:val="22"/>
          <w:szCs w:val="22"/>
          <w:lang w:val="el-GR"/>
        </w:rPr>
      </w:pPr>
    </w:p>
    <w:p w:rsidR="0032661A" w:rsidRPr="007E4D87" w:rsidRDefault="0032661A" w:rsidP="00203D2F">
      <w:pPr>
        <w:ind w:left="567" w:hanging="567"/>
        <w:rPr>
          <w:sz w:val="22"/>
          <w:szCs w:val="22"/>
          <w:lang w:val="el-GR"/>
        </w:rPr>
      </w:pPr>
      <w:r w:rsidRPr="00587DB4">
        <w:rPr>
          <w:b/>
          <w:sz w:val="22"/>
          <w:szCs w:val="22"/>
          <w:lang w:val="el-GR"/>
        </w:rPr>
        <w:lastRenderedPageBreak/>
        <w:t>4.9</w:t>
      </w:r>
      <w:r w:rsidRPr="00587DB4">
        <w:rPr>
          <w:b/>
          <w:sz w:val="22"/>
          <w:szCs w:val="22"/>
          <w:lang w:val="el-GR"/>
        </w:rPr>
        <w:tab/>
        <w:t>Υπερδοσολογία</w:t>
      </w:r>
    </w:p>
    <w:p w:rsidR="0032661A" w:rsidRPr="00E81D8F" w:rsidRDefault="0032661A">
      <w:pPr>
        <w:autoSpaceDE w:val="0"/>
        <w:autoSpaceDN w:val="0"/>
        <w:adjustRightInd w:val="0"/>
        <w:rPr>
          <w:i/>
          <w:sz w:val="22"/>
          <w:szCs w:val="22"/>
          <w:lang w:val="el-GR"/>
        </w:rPr>
      </w:pPr>
      <w:r w:rsidRPr="00587DB4">
        <w:rPr>
          <w:i/>
          <w:sz w:val="22"/>
          <w:szCs w:val="22"/>
          <w:lang w:val="el-GR"/>
        </w:rPr>
        <w:t>Τοξικότητα</w:t>
      </w:r>
    </w:p>
    <w:p w:rsidR="0032661A" w:rsidRPr="00E81D8F" w:rsidRDefault="0032661A">
      <w:pPr>
        <w:autoSpaceDE w:val="0"/>
        <w:autoSpaceDN w:val="0"/>
        <w:adjustRightInd w:val="0"/>
        <w:rPr>
          <w:sz w:val="22"/>
          <w:szCs w:val="22"/>
          <w:lang w:val="el-GR"/>
        </w:rPr>
      </w:pPr>
      <w:r w:rsidRPr="00587DB4">
        <w:rPr>
          <w:sz w:val="22"/>
          <w:szCs w:val="22"/>
          <w:lang w:val="el-GR"/>
        </w:rPr>
        <w:t>Τα κλινικά δεδομένα σχετικά με την υπερδοσολογία εσιταλοπράμης είναι περιορισμένα και πολλά περιστατικά ενέχουν ταυτόχρονη υπερδοσολογία άλλων φαρμάκων.</w:t>
      </w:r>
      <w:r w:rsidRPr="00E81D8F">
        <w:rPr>
          <w:sz w:val="22"/>
          <w:szCs w:val="22"/>
          <w:lang w:val="el-GR"/>
        </w:rPr>
        <w:t xml:space="preserve"> </w:t>
      </w:r>
      <w:r w:rsidRPr="00587DB4">
        <w:rPr>
          <w:sz w:val="22"/>
          <w:szCs w:val="22"/>
          <w:lang w:val="el-GR"/>
        </w:rPr>
        <w:t>Στην πλειοψηφία των περιστατικών έχουν αναφερθεί ήπια ή καθόλου συμπτώματα.</w:t>
      </w:r>
      <w:r w:rsidRPr="00E81D8F">
        <w:rPr>
          <w:sz w:val="22"/>
          <w:szCs w:val="22"/>
          <w:lang w:val="el-GR"/>
        </w:rPr>
        <w:t xml:space="preserve"> </w:t>
      </w:r>
      <w:r w:rsidRPr="00587DB4">
        <w:rPr>
          <w:sz w:val="22"/>
          <w:szCs w:val="22"/>
          <w:lang w:val="el-GR"/>
        </w:rPr>
        <w:t>Θανατηφόρα περιστατικά υπερδοσολογίας εσιταλοπράμης έχουν σπανίως αναφερθεί αποκλειστικά για την εσιταλοπράμη. Στην πλειοψηφία των περιστατικών, υπήρχε και υπερδοσολογία συγχορηγούμενων φαρμάκων</w:t>
      </w:r>
      <w:r w:rsidRPr="00E81D8F">
        <w:rPr>
          <w:sz w:val="22"/>
          <w:szCs w:val="22"/>
          <w:lang w:val="el-GR"/>
        </w:rPr>
        <w:t xml:space="preserve"> </w:t>
      </w:r>
      <w:r w:rsidRPr="00587DB4">
        <w:rPr>
          <w:sz w:val="22"/>
          <w:szCs w:val="22"/>
          <w:lang w:val="el-GR"/>
        </w:rPr>
        <w:t xml:space="preserve">Δόσεις μεταξύ </w:t>
      </w:r>
      <w:r w:rsidRPr="00E81D8F">
        <w:rPr>
          <w:sz w:val="22"/>
          <w:szCs w:val="22"/>
          <w:lang w:val="el-GR"/>
        </w:rPr>
        <w:t xml:space="preserve">400 </w:t>
      </w:r>
      <w:r w:rsidRPr="00587DB4">
        <w:rPr>
          <w:sz w:val="22"/>
          <w:szCs w:val="22"/>
          <w:lang w:val="el-GR"/>
        </w:rPr>
        <w:t>και</w:t>
      </w:r>
      <w:r w:rsidRPr="00E81D8F">
        <w:rPr>
          <w:sz w:val="22"/>
          <w:szCs w:val="22"/>
          <w:lang w:val="el-GR"/>
        </w:rPr>
        <w:t xml:space="preserve"> 800</w:t>
      </w:r>
      <w:r w:rsidRPr="00587DB4">
        <w:rPr>
          <w:sz w:val="22"/>
          <w:szCs w:val="22"/>
          <w:lang w:val="el-GR"/>
        </w:rPr>
        <w:t xml:space="preserve"> </w:t>
      </w:r>
      <w:r w:rsidRPr="00E81D8F">
        <w:rPr>
          <w:sz w:val="22"/>
          <w:szCs w:val="22"/>
          <w:lang w:val="el-GR"/>
        </w:rPr>
        <w:t xml:space="preserve">mg </w:t>
      </w:r>
      <w:r w:rsidRPr="00587DB4">
        <w:rPr>
          <w:sz w:val="22"/>
          <w:szCs w:val="22"/>
          <w:lang w:val="el-GR"/>
        </w:rPr>
        <w:t>εσιταλοπράμης μόνο έχουν ληφθεί χωρίς οποιοδήποτε σοβαρό σύμπτωμα.</w:t>
      </w:r>
      <w:r w:rsidRPr="00E81D8F">
        <w:rPr>
          <w:sz w:val="22"/>
          <w:szCs w:val="22"/>
          <w:lang w:val="el-GR"/>
        </w:rPr>
        <w:t xml:space="preserve"> </w:t>
      </w:r>
    </w:p>
    <w:p w:rsidR="0032661A" w:rsidRPr="00E81D8F" w:rsidRDefault="0032661A">
      <w:pPr>
        <w:autoSpaceDE w:val="0"/>
        <w:autoSpaceDN w:val="0"/>
        <w:adjustRightInd w:val="0"/>
        <w:rPr>
          <w:i/>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Συμπτώματα</w:t>
      </w:r>
    </w:p>
    <w:p w:rsidR="0032661A" w:rsidRPr="00E81D8F" w:rsidRDefault="0032661A">
      <w:pPr>
        <w:autoSpaceDE w:val="0"/>
        <w:autoSpaceDN w:val="0"/>
        <w:adjustRightInd w:val="0"/>
        <w:rPr>
          <w:sz w:val="22"/>
          <w:szCs w:val="22"/>
          <w:lang w:val="el-GR"/>
        </w:rPr>
      </w:pPr>
      <w:r w:rsidRPr="00587DB4">
        <w:rPr>
          <w:sz w:val="22"/>
          <w:szCs w:val="22"/>
          <w:lang w:val="el-GR"/>
        </w:rPr>
        <w:t xml:space="preserve">Τα συμπτώματα που παρατηρήθηκαν σε περιστατικά υπερδοσολογίας εσιταλοπράμης περιλαμβάνουν συμπτώματα που σχετίζονται κυρίως με το κεντρικό νευρικό σύστημα (κυμαίνονται από ζάλη, τρόμο και διέγερση έως σπάνιες περιπτώσεις συνδρόμου σεροτονίνης, σπασμούς και κώμα), το γαστρεντερικό σύστημα (ναυτία / έμετος) και το καρδιαγγειακό σύστημα (υπόταση, ταχυκαρδία, παράταση του </w:t>
      </w:r>
      <w:r w:rsidRPr="00E81D8F">
        <w:rPr>
          <w:sz w:val="22"/>
          <w:szCs w:val="22"/>
          <w:lang w:val="el-GR"/>
        </w:rPr>
        <w:t xml:space="preserve">QT </w:t>
      </w:r>
      <w:r w:rsidRPr="00587DB4">
        <w:rPr>
          <w:sz w:val="22"/>
          <w:szCs w:val="22"/>
          <w:lang w:val="el-GR"/>
        </w:rPr>
        <w:t>και αρρυθμίες) και παθήσεις της ισορροπίας των ηλεκτρολυτών/υγρών (υποκαλιαιμία, υπονατριαιαμία).</w:t>
      </w:r>
      <w:r w:rsidRPr="00E81D8F">
        <w:rPr>
          <w:sz w:val="22"/>
          <w:szCs w:val="22"/>
          <w:lang w:val="el-GR"/>
        </w:rPr>
        <w:t xml:space="preserve"> </w:t>
      </w:r>
    </w:p>
    <w:p w:rsidR="00E56B0A" w:rsidRPr="00E81D8F" w:rsidRDefault="00E56B0A">
      <w:pPr>
        <w:autoSpaceDE w:val="0"/>
        <w:autoSpaceDN w:val="0"/>
        <w:adjustRightInd w:val="0"/>
        <w:rPr>
          <w:i/>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Αντιμετώπιση</w:t>
      </w:r>
    </w:p>
    <w:p w:rsidR="0032661A" w:rsidRPr="00E81D8F" w:rsidRDefault="0032661A">
      <w:pPr>
        <w:autoSpaceDE w:val="0"/>
        <w:autoSpaceDN w:val="0"/>
        <w:adjustRightInd w:val="0"/>
        <w:rPr>
          <w:sz w:val="22"/>
          <w:szCs w:val="22"/>
          <w:lang w:val="el-GR"/>
        </w:rPr>
      </w:pPr>
      <w:r w:rsidRPr="00587DB4">
        <w:rPr>
          <w:sz w:val="22"/>
          <w:szCs w:val="22"/>
          <w:lang w:val="el-GR"/>
        </w:rPr>
        <w:t>Δεν υπάρχει ειδικό αντίδοτο.</w:t>
      </w:r>
      <w:r w:rsidRPr="00E81D8F">
        <w:rPr>
          <w:sz w:val="22"/>
          <w:szCs w:val="22"/>
          <w:lang w:val="el-GR"/>
        </w:rPr>
        <w:t xml:space="preserve"> </w:t>
      </w:r>
      <w:r w:rsidRPr="00587DB4">
        <w:rPr>
          <w:sz w:val="22"/>
          <w:szCs w:val="22"/>
          <w:lang w:val="el-GR"/>
        </w:rPr>
        <w:t>Εδραίωση και διατήρηση βατών αεραγωγών, διασφάλιση επαρκούς οξυγόνωσης και αναπνευστικής λειτουργίας.</w:t>
      </w:r>
      <w:r w:rsidRPr="00E81D8F">
        <w:rPr>
          <w:sz w:val="22"/>
          <w:szCs w:val="22"/>
          <w:lang w:val="el-GR"/>
        </w:rPr>
        <w:t xml:space="preserve"> </w:t>
      </w:r>
      <w:r w:rsidRPr="00587DB4">
        <w:rPr>
          <w:sz w:val="22"/>
          <w:szCs w:val="22"/>
          <w:lang w:val="el-GR"/>
        </w:rPr>
        <w:t>Θα πρέπει να πραγματοποιείται γαστρική πλύση όσο το δυνατόν συντομότερα μετά την από του στόματος λήψη.</w:t>
      </w:r>
      <w:r w:rsidRPr="00E81D8F">
        <w:rPr>
          <w:sz w:val="22"/>
          <w:szCs w:val="22"/>
          <w:lang w:val="el-GR"/>
        </w:rPr>
        <w:t xml:space="preserve"> </w:t>
      </w:r>
      <w:r w:rsidRPr="00587DB4">
        <w:rPr>
          <w:sz w:val="22"/>
          <w:szCs w:val="22"/>
          <w:lang w:val="el-GR"/>
        </w:rPr>
        <w:t>Θα πρέπει να εξετάζεται το ενδεχόμενο χρήσης ενεργοποιημένου άνθρακα.</w:t>
      </w:r>
      <w:r w:rsidRPr="00E81D8F">
        <w:rPr>
          <w:sz w:val="22"/>
          <w:szCs w:val="22"/>
          <w:lang w:val="el-GR"/>
        </w:rPr>
        <w:t xml:space="preserve"> </w:t>
      </w:r>
      <w:r w:rsidRPr="00587DB4">
        <w:rPr>
          <w:sz w:val="22"/>
          <w:szCs w:val="22"/>
          <w:lang w:val="el-GR"/>
        </w:rPr>
        <w:t>Συνιστάται παρακολούθηση της καρδιακής λειτουργίας και των ζωτικών σημείων μαζί με τη χορήγηση γενικών υποστηρικτικών μέτρων.</w:t>
      </w:r>
    </w:p>
    <w:p w:rsidR="0032661A" w:rsidRPr="00E81D8F" w:rsidRDefault="00C36209">
      <w:pPr>
        <w:autoSpaceDE w:val="0"/>
        <w:autoSpaceDN w:val="0"/>
        <w:adjustRightInd w:val="0"/>
        <w:rPr>
          <w:i/>
          <w:sz w:val="22"/>
          <w:szCs w:val="22"/>
          <w:lang w:val="el-GR"/>
        </w:rPr>
      </w:pPr>
      <w:r w:rsidRPr="00587DB4">
        <w:rPr>
          <w:sz w:val="22"/>
          <w:szCs w:val="22"/>
          <w:lang w:val="el-GR"/>
        </w:rPr>
        <w:t xml:space="preserve">Συνιστάται παρακολούθηση του ΗΚΓ σε περιπτώσεις </w:t>
      </w:r>
      <w:r w:rsidR="009B7494">
        <w:rPr>
          <w:sz w:val="22"/>
          <w:szCs w:val="22"/>
          <w:lang w:val="el-GR"/>
        </w:rPr>
        <w:t>υπερδοσολογίας, σε</w:t>
      </w:r>
      <w:r w:rsidRPr="00587DB4">
        <w:rPr>
          <w:sz w:val="22"/>
          <w:szCs w:val="22"/>
          <w:lang w:val="el-GR"/>
        </w:rPr>
        <w:t xml:space="preserve"> ασθεν</w:t>
      </w:r>
      <w:r w:rsidR="009B7494">
        <w:rPr>
          <w:sz w:val="22"/>
          <w:szCs w:val="22"/>
          <w:lang w:val="el-GR"/>
        </w:rPr>
        <w:t>είς</w:t>
      </w:r>
      <w:r w:rsidRPr="00587DB4">
        <w:rPr>
          <w:sz w:val="22"/>
          <w:szCs w:val="22"/>
          <w:lang w:val="el-GR"/>
        </w:rPr>
        <w:t xml:space="preserve"> με συμφορητική καρδιακή ανεπάρκεια/βραδυαρρυθμίες, </w:t>
      </w:r>
      <w:r w:rsidR="009B7494">
        <w:rPr>
          <w:sz w:val="22"/>
          <w:szCs w:val="22"/>
          <w:lang w:val="el-GR"/>
        </w:rPr>
        <w:t xml:space="preserve">σε </w:t>
      </w:r>
      <w:r w:rsidR="008B3870" w:rsidRPr="00587DB4">
        <w:rPr>
          <w:sz w:val="22"/>
          <w:szCs w:val="22"/>
          <w:lang w:val="el-GR"/>
        </w:rPr>
        <w:t>ασθεν</w:t>
      </w:r>
      <w:r w:rsidR="009B7494">
        <w:rPr>
          <w:sz w:val="22"/>
          <w:szCs w:val="22"/>
          <w:lang w:val="el-GR"/>
        </w:rPr>
        <w:t>είς</w:t>
      </w:r>
      <w:r w:rsidRPr="00587DB4">
        <w:rPr>
          <w:sz w:val="22"/>
          <w:szCs w:val="22"/>
          <w:lang w:val="el-GR"/>
        </w:rPr>
        <w:t xml:space="preserve"> που λαμβάνουν συγχορηγούμενα φάρμακα που </w:t>
      </w:r>
      <w:r w:rsidR="008B3870" w:rsidRPr="00587DB4">
        <w:rPr>
          <w:sz w:val="22"/>
          <w:szCs w:val="22"/>
          <w:lang w:val="el-GR"/>
        </w:rPr>
        <w:t>παρατείνουν</w:t>
      </w:r>
      <w:r w:rsidRPr="00587DB4">
        <w:rPr>
          <w:sz w:val="22"/>
          <w:szCs w:val="22"/>
          <w:lang w:val="el-GR"/>
        </w:rPr>
        <w:t xml:space="preserve"> το διάστημα </w:t>
      </w:r>
      <w:r w:rsidRPr="00587DB4">
        <w:rPr>
          <w:sz w:val="22"/>
          <w:szCs w:val="22"/>
        </w:rPr>
        <w:t>QT</w:t>
      </w:r>
      <w:r w:rsidRPr="00587DB4">
        <w:rPr>
          <w:sz w:val="22"/>
          <w:szCs w:val="22"/>
          <w:lang w:val="el-GR"/>
        </w:rPr>
        <w:t xml:space="preserve">, ή </w:t>
      </w:r>
      <w:r w:rsidR="00C84BEE">
        <w:rPr>
          <w:sz w:val="22"/>
          <w:szCs w:val="22"/>
          <w:lang w:val="el-GR"/>
        </w:rPr>
        <w:t xml:space="preserve">σε </w:t>
      </w:r>
      <w:r w:rsidR="008B3870" w:rsidRPr="00587DB4">
        <w:rPr>
          <w:sz w:val="22"/>
          <w:szCs w:val="22"/>
          <w:lang w:val="el-GR"/>
        </w:rPr>
        <w:t>ασθεν</w:t>
      </w:r>
      <w:r w:rsidR="00C84BEE">
        <w:rPr>
          <w:sz w:val="22"/>
          <w:szCs w:val="22"/>
          <w:lang w:val="el-GR"/>
        </w:rPr>
        <w:t>είς</w:t>
      </w:r>
      <w:r w:rsidRPr="00587DB4">
        <w:rPr>
          <w:sz w:val="22"/>
          <w:szCs w:val="22"/>
          <w:lang w:val="el-GR"/>
        </w:rPr>
        <w:t xml:space="preserve"> με διαταραχές του μεταβολισμού, π.χ. ηπατική δυσλειτουργία</w:t>
      </w:r>
      <w:r w:rsidRPr="00E81D8F">
        <w:rPr>
          <w:sz w:val="22"/>
          <w:szCs w:val="22"/>
          <w:lang w:val="el-GR"/>
        </w:rPr>
        <w:t>.</w:t>
      </w:r>
    </w:p>
    <w:p w:rsidR="00C36209" w:rsidRPr="007E4D87" w:rsidRDefault="00C36209">
      <w:pPr>
        <w:rPr>
          <w:sz w:val="22"/>
          <w:szCs w:val="22"/>
          <w:lang w:val="el-GR"/>
        </w:rPr>
      </w:pPr>
    </w:p>
    <w:p w:rsidR="0032661A" w:rsidRPr="007E4D87" w:rsidRDefault="0032661A" w:rsidP="00203D2F">
      <w:pPr>
        <w:ind w:left="567" w:hanging="567"/>
        <w:rPr>
          <w:sz w:val="22"/>
          <w:szCs w:val="22"/>
          <w:lang w:val="el-GR"/>
        </w:rPr>
      </w:pPr>
      <w:r w:rsidRPr="00587DB4">
        <w:rPr>
          <w:b/>
          <w:sz w:val="22"/>
          <w:szCs w:val="22"/>
          <w:lang w:val="el-GR"/>
        </w:rPr>
        <w:t>5.</w:t>
      </w:r>
      <w:r w:rsidRPr="00587DB4">
        <w:rPr>
          <w:b/>
          <w:sz w:val="22"/>
          <w:szCs w:val="22"/>
          <w:lang w:val="el-GR"/>
        </w:rPr>
        <w:tab/>
        <w:t>ΦΑΡΜΑΚΟΛΟΓΙΚΕΣ ΙΔΙΟΤΗΤΕΣ</w:t>
      </w:r>
    </w:p>
    <w:p w:rsidR="0032661A" w:rsidRPr="007E4D87" w:rsidRDefault="0032661A" w:rsidP="00203D2F">
      <w:pPr>
        <w:ind w:left="567" w:hanging="567"/>
        <w:rPr>
          <w:sz w:val="22"/>
          <w:szCs w:val="22"/>
          <w:lang w:val="el-GR"/>
        </w:rPr>
      </w:pPr>
      <w:r w:rsidRPr="00587DB4">
        <w:rPr>
          <w:b/>
          <w:sz w:val="22"/>
          <w:szCs w:val="22"/>
          <w:lang w:val="el-GR"/>
        </w:rPr>
        <w:t>5.1</w:t>
      </w:r>
      <w:r w:rsidRPr="00587DB4">
        <w:rPr>
          <w:b/>
          <w:sz w:val="22"/>
          <w:szCs w:val="22"/>
          <w:lang w:val="el-GR"/>
        </w:rPr>
        <w:tab/>
        <w:t>Φαρμακοδυναμικές ιδιότητες</w:t>
      </w:r>
    </w:p>
    <w:p w:rsidR="0032661A" w:rsidRPr="00E81D8F" w:rsidRDefault="0032661A">
      <w:pPr>
        <w:autoSpaceDE w:val="0"/>
        <w:autoSpaceDN w:val="0"/>
        <w:adjustRightInd w:val="0"/>
        <w:rPr>
          <w:sz w:val="22"/>
          <w:szCs w:val="22"/>
          <w:lang w:val="el-GR"/>
        </w:rPr>
      </w:pPr>
      <w:r w:rsidRPr="00587DB4">
        <w:rPr>
          <w:i/>
          <w:sz w:val="22"/>
          <w:szCs w:val="22"/>
          <w:lang w:val="el-GR"/>
        </w:rPr>
        <w:t>Φαρμακοθεραπευτική κατηγορία:</w:t>
      </w:r>
      <w:r w:rsidRPr="00E81D8F">
        <w:rPr>
          <w:sz w:val="22"/>
          <w:szCs w:val="22"/>
          <w:lang w:val="el-GR"/>
        </w:rPr>
        <w:t xml:space="preserve"> </w:t>
      </w:r>
    </w:p>
    <w:p w:rsidR="0032661A" w:rsidRPr="00E81D8F" w:rsidRDefault="0032661A">
      <w:pPr>
        <w:autoSpaceDE w:val="0"/>
        <w:autoSpaceDN w:val="0"/>
        <w:adjustRightInd w:val="0"/>
        <w:rPr>
          <w:sz w:val="22"/>
          <w:szCs w:val="22"/>
          <w:lang w:val="el-GR"/>
        </w:rPr>
      </w:pPr>
      <w:r w:rsidRPr="00587DB4">
        <w:rPr>
          <w:sz w:val="22"/>
          <w:szCs w:val="22"/>
          <w:lang w:val="el-GR"/>
        </w:rPr>
        <w:t>Αντικαταθλιπτικά, εκλεκτικοί αναστολείς επαναπρόσληψης σεροτονίνης</w:t>
      </w:r>
    </w:p>
    <w:p w:rsidR="0032661A" w:rsidRPr="00E81D8F" w:rsidRDefault="0032661A">
      <w:pPr>
        <w:autoSpaceDE w:val="0"/>
        <w:autoSpaceDN w:val="0"/>
        <w:adjustRightInd w:val="0"/>
        <w:rPr>
          <w:sz w:val="22"/>
          <w:szCs w:val="22"/>
          <w:lang w:val="el-GR"/>
        </w:rPr>
      </w:pPr>
      <w:r w:rsidRPr="00587DB4">
        <w:rPr>
          <w:sz w:val="22"/>
          <w:szCs w:val="22"/>
          <w:lang w:val="el-GR"/>
        </w:rPr>
        <w:t>Κωδικός ATC:</w:t>
      </w:r>
      <w:r w:rsidRPr="00E81D8F">
        <w:rPr>
          <w:sz w:val="22"/>
          <w:szCs w:val="22"/>
          <w:lang w:val="el-GR"/>
        </w:rPr>
        <w:t xml:space="preserve"> N 06 AB 10</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sz w:val="22"/>
          <w:szCs w:val="22"/>
          <w:u w:val="single"/>
          <w:lang w:val="el-GR"/>
        </w:rPr>
      </w:pPr>
      <w:r w:rsidRPr="00E81D8F">
        <w:rPr>
          <w:sz w:val="22"/>
          <w:szCs w:val="22"/>
          <w:u w:val="single"/>
          <w:lang w:val="el-GR"/>
        </w:rPr>
        <w:t>Μηχανισμός δράσης</w:t>
      </w:r>
    </w:p>
    <w:p w:rsidR="0032661A" w:rsidRPr="00C068BB" w:rsidRDefault="0032661A">
      <w:pPr>
        <w:autoSpaceDE w:val="0"/>
        <w:autoSpaceDN w:val="0"/>
        <w:adjustRightInd w:val="0"/>
        <w:rPr>
          <w:sz w:val="22"/>
          <w:szCs w:val="22"/>
          <w:lang w:val="el-GR"/>
        </w:rPr>
      </w:pPr>
      <w:r w:rsidRPr="00587DB4">
        <w:rPr>
          <w:sz w:val="22"/>
          <w:szCs w:val="22"/>
          <w:lang w:val="el-GR"/>
        </w:rPr>
        <w:t>Η εσιταλοπράμη είναι ένας εκλεκτικός αναστολέας της επαναπρόσληψης σεροτονίνης (</w:t>
      </w:r>
      <w:r w:rsidRPr="00E81D8F">
        <w:rPr>
          <w:sz w:val="22"/>
          <w:szCs w:val="22"/>
          <w:lang w:val="el-GR"/>
        </w:rPr>
        <w:t>5-HT</w:t>
      </w:r>
      <w:r w:rsidRPr="00587DB4">
        <w:rPr>
          <w:sz w:val="22"/>
          <w:szCs w:val="22"/>
          <w:lang w:val="el-GR"/>
        </w:rPr>
        <w:t>) με υψηλή συγγένεια για την κύρια θέση σύνδεσης.</w:t>
      </w:r>
      <w:r w:rsidRPr="00E81D8F">
        <w:rPr>
          <w:sz w:val="22"/>
          <w:szCs w:val="22"/>
          <w:lang w:val="el-GR"/>
        </w:rPr>
        <w:t xml:space="preserve"> </w:t>
      </w:r>
      <w:r w:rsidRPr="00587DB4">
        <w:rPr>
          <w:sz w:val="22"/>
          <w:szCs w:val="22"/>
          <w:lang w:val="el-GR"/>
        </w:rPr>
        <w:t>Συνδέεται επίσης με μία αλλοστερική θέση στον μεταφορέα σεροτονίνης, με μία κατά 1.000 φορές χαμηλότερη συγγένεια.</w:t>
      </w:r>
      <w:r w:rsidRPr="00E81D8F">
        <w:rPr>
          <w:sz w:val="22"/>
          <w:szCs w:val="22"/>
          <w:lang w:val="el-GR"/>
        </w:rPr>
        <w:t xml:space="preserve"> </w:t>
      </w:r>
      <w:r w:rsidRPr="00587DB4">
        <w:rPr>
          <w:sz w:val="22"/>
          <w:szCs w:val="22"/>
          <w:lang w:val="el-GR"/>
        </w:rPr>
        <w:t xml:space="preserve">Η εσιταλοπράμη έχει χαμηλή ή καθόλου συγγένεια για διάφορους υποδοχείς, συμπεριλαμβανομένων των </w:t>
      </w:r>
      <w:r w:rsidRPr="00E81D8F">
        <w:rPr>
          <w:sz w:val="22"/>
          <w:szCs w:val="22"/>
          <w:lang w:val="el-GR"/>
        </w:rPr>
        <w:t xml:space="preserve">5-HT1A, 5-HT2, DA D1 </w:t>
      </w:r>
      <w:r w:rsidRPr="00587DB4">
        <w:rPr>
          <w:sz w:val="22"/>
          <w:szCs w:val="22"/>
          <w:lang w:val="el-GR"/>
        </w:rPr>
        <w:t xml:space="preserve">και </w:t>
      </w:r>
      <w:r w:rsidRPr="00E81D8F">
        <w:rPr>
          <w:sz w:val="22"/>
          <w:szCs w:val="22"/>
          <w:lang w:val="el-GR"/>
        </w:rPr>
        <w:t xml:space="preserve">D2 </w:t>
      </w:r>
      <w:r w:rsidRPr="00587DB4">
        <w:rPr>
          <w:sz w:val="22"/>
          <w:szCs w:val="22"/>
          <w:lang w:val="el-GR"/>
        </w:rPr>
        <w:t>υποδοχέων</w:t>
      </w:r>
      <w:r w:rsidRPr="00E81D8F">
        <w:rPr>
          <w:sz w:val="22"/>
          <w:szCs w:val="22"/>
          <w:lang w:val="el-GR"/>
        </w:rPr>
        <w:t xml:space="preserve">, </w:t>
      </w:r>
      <w:r w:rsidRPr="00587DB4">
        <w:rPr>
          <w:sz w:val="22"/>
          <w:szCs w:val="22"/>
          <w:lang w:val="el-GR"/>
        </w:rPr>
        <w:t xml:space="preserve">των </w:t>
      </w:r>
      <w:r w:rsidRPr="00E81D8F">
        <w:rPr>
          <w:sz w:val="22"/>
          <w:szCs w:val="22"/>
          <w:lang w:val="el-GR"/>
        </w:rPr>
        <w:t>α1-, α2-, β-</w:t>
      </w:r>
      <w:r w:rsidRPr="00587DB4">
        <w:rPr>
          <w:sz w:val="22"/>
          <w:szCs w:val="22"/>
          <w:lang w:val="el-GR"/>
        </w:rPr>
        <w:t>αδρενεργικών υποδοχέων</w:t>
      </w:r>
      <w:r w:rsidRPr="00E81D8F">
        <w:rPr>
          <w:sz w:val="22"/>
          <w:szCs w:val="22"/>
          <w:lang w:val="el-GR"/>
        </w:rPr>
        <w:t xml:space="preserve">, </w:t>
      </w:r>
      <w:r w:rsidRPr="00587DB4">
        <w:rPr>
          <w:sz w:val="22"/>
          <w:szCs w:val="22"/>
          <w:lang w:val="el-GR"/>
        </w:rPr>
        <w:t xml:space="preserve">των ισταμινεργικών </w:t>
      </w:r>
      <w:r w:rsidRPr="00E81D8F">
        <w:rPr>
          <w:sz w:val="22"/>
          <w:szCs w:val="22"/>
          <w:lang w:val="el-GR"/>
        </w:rPr>
        <w:t>H1</w:t>
      </w:r>
      <w:r w:rsidRPr="00587DB4">
        <w:rPr>
          <w:sz w:val="22"/>
          <w:szCs w:val="22"/>
          <w:lang w:val="el-GR"/>
        </w:rPr>
        <w:t xml:space="preserve"> υποδοχέων, των μουσκαρινικών, των χολινεργικών, των βενζοδιαζεπινικών και των οπιοειδών υποδοχέων.</w:t>
      </w:r>
      <w:r w:rsidRPr="00E81D8F">
        <w:rPr>
          <w:sz w:val="22"/>
          <w:szCs w:val="22"/>
          <w:lang w:val="el-GR"/>
        </w:rPr>
        <w:t xml:space="preserve"> </w:t>
      </w:r>
      <w:r w:rsidRPr="00587DB4">
        <w:rPr>
          <w:sz w:val="22"/>
          <w:szCs w:val="22"/>
          <w:lang w:val="el-GR"/>
        </w:rPr>
        <w:t xml:space="preserve">Η αναστολή της επαναπρόσληψης </w:t>
      </w:r>
      <w:r w:rsidRPr="00E81D8F">
        <w:rPr>
          <w:sz w:val="22"/>
          <w:szCs w:val="22"/>
          <w:lang w:val="el-GR"/>
        </w:rPr>
        <w:t xml:space="preserve">5-HT </w:t>
      </w:r>
      <w:r w:rsidRPr="00587DB4">
        <w:rPr>
          <w:sz w:val="22"/>
          <w:szCs w:val="22"/>
          <w:lang w:val="el-GR"/>
        </w:rPr>
        <w:t>είναι ο μοναδικός πιθανός μηχανισμός δράσης που επεξηγεί τις φαρμακολογικές και τις κλινικές επιδράσεις της εσιταλοπράμης.</w:t>
      </w:r>
    </w:p>
    <w:p w:rsidR="00D74129" w:rsidRPr="00C068BB" w:rsidRDefault="00D74129">
      <w:pPr>
        <w:autoSpaceDE w:val="0"/>
        <w:autoSpaceDN w:val="0"/>
        <w:adjustRightInd w:val="0"/>
        <w:rPr>
          <w:sz w:val="22"/>
          <w:szCs w:val="22"/>
          <w:lang w:val="el-GR"/>
        </w:rPr>
      </w:pPr>
    </w:p>
    <w:p w:rsidR="00D74129" w:rsidRPr="00E81D8F" w:rsidRDefault="00D74129">
      <w:pPr>
        <w:autoSpaceDE w:val="0"/>
        <w:autoSpaceDN w:val="0"/>
        <w:adjustRightInd w:val="0"/>
        <w:rPr>
          <w:sz w:val="22"/>
          <w:szCs w:val="22"/>
          <w:u w:val="single"/>
          <w:lang w:val="el-GR"/>
        </w:rPr>
      </w:pPr>
      <w:r w:rsidRPr="00E81D8F">
        <w:rPr>
          <w:sz w:val="22"/>
          <w:szCs w:val="22"/>
          <w:u w:val="single"/>
          <w:lang w:val="el-GR"/>
        </w:rPr>
        <w:t>Φαρμακοδυναμικές επιδράσεις</w:t>
      </w:r>
    </w:p>
    <w:p w:rsidR="00D74129" w:rsidRPr="00587DB4" w:rsidRDefault="00D74129" w:rsidP="00D74129">
      <w:pPr>
        <w:tabs>
          <w:tab w:val="left" w:pos="567"/>
        </w:tabs>
        <w:rPr>
          <w:lang w:val="el-GR"/>
        </w:rPr>
      </w:pPr>
      <w:r w:rsidRPr="00587DB4">
        <w:rPr>
          <w:sz w:val="22"/>
          <w:lang w:val="el-GR"/>
        </w:rPr>
        <w:t xml:space="preserve">Σε μια διπλά-τυφλή, ελεγχόμενη με εικονικό φάρμακο μελέτη του ΗΚΓ σε υγιείς εθελοντές, η μεταβολή του QTc (διόρθωση Fridericia) </w:t>
      </w:r>
      <w:r w:rsidR="00E476DF">
        <w:rPr>
          <w:sz w:val="22"/>
          <w:lang w:val="el-GR"/>
        </w:rPr>
        <w:t xml:space="preserve">από </w:t>
      </w:r>
      <w:r w:rsidRPr="00587DB4">
        <w:rPr>
          <w:sz w:val="22"/>
          <w:lang w:val="el-GR"/>
        </w:rPr>
        <w:t xml:space="preserve">την αρχική τιμή ήταν 4,3 </w:t>
      </w:r>
      <w:proofErr w:type="spellStart"/>
      <w:r w:rsidRPr="00587DB4">
        <w:rPr>
          <w:sz w:val="22"/>
        </w:rPr>
        <w:t>msec</w:t>
      </w:r>
      <w:proofErr w:type="spellEnd"/>
      <w:r w:rsidRPr="00587DB4">
        <w:rPr>
          <w:sz w:val="22"/>
          <w:lang w:val="el-GR"/>
        </w:rPr>
        <w:t xml:space="preserve"> (90%</w:t>
      </w:r>
      <w:r w:rsidRPr="00E81D8F">
        <w:rPr>
          <w:sz w:val="22"/>
          <w:lang w:val="el-GR"/>
        </w:rPr>
        <w:t xml:space="preserve"> </w:t>
      </w:r>
      <w:r w:rsidRPr="00587DB4">
        <w:rPr>
          <w:sz w:val="22"/>
        </w:rPr>
        <w:t>CI</w:t>
      </w:r>
      <w:r w:rsidR="005A6E2A" w:rsidRPr="00E81D8F">
        <w:rPr>
          <w:sz w:val="22"/>
          <w:lang w:val="el-GR"/>
        </w:rPr>
        <w:t>:</w:t>
      </w:r>
      <w:r w:rsidRPr="00587DB4">
        <w:rPr>
          <w:sz w:val="22"/>
          <w:lang w:val="el-GR"/>
        </w:rPr>
        <w:t xml:space="preserve"> </w:t>
      </w:r>
      <w:r w:rsidRPr="00E81D8F">
        <w:rPr>
          <w:sz w:val="22"/>
          <w:lang w:val="el-GR"/>
        </w:rPr>
        <w:t>2</w:t>
      </w:r>
      <w:r w:rsidRPr="00587DB4">
        <w:rPr>
          <w:sz w:val="22"/>
          <w:lang w:val="el-GR"/>
        </w:rPr>
        <w:t>,</w:t>
      </w:r>
      <w:r w:rsidRPr="00E81D8F">
        <w:rPr>
          <w:sz w:val="22"/>
          <w:lang w:val="el-GR"/>
        </w:rPr>
        <w:t>2</w:t>
      </w:r>
      <w:r w:rsidR="008B3870" w:rsidRPr="00587DB4">
        <w:rPr>
          <w:sz w:val="22"/>
          <w:lang w:val="el-GR"/>
        </w:rPr>
        <w:t xml:space="preserve">, </w:t>
      </w:r>
      <w:r w:rsidRPr="00E81D8F">
        <w:rPr>
          <w:sz w:val="22"/>
          <w:lang w:val="el-GR"/>
        </w:rPr>
        <w:t>6</w:t>
      </w:r>
      <w:r w:rsidRPr="00587DB4">
        <w:rPr>
          <w:sz w:val="22"/>
          <w:lang w:val="el-GR"/>
        </w:rPr>
        <w:t>,</w:t>
      </w:r>
      <w:r w:rsidRPr="00E81D8F">
        <w:rPr>
          <w:sz w:val="22"/>
          <w:lang w:val="el-GR"/>
        </w:rPr>
        <w:t>4</w:t>
      </w:r>
      <w:r w:rsidRPr="00587DB4">
        <w:rPr>
          <w:sz w:val="22"/>
          <w:lang w:val="el-GR"/>
        </w:rPr>
        <w:t xml:space="preserve">) </w:t>
      </w:r>
      <w:r w:rsidR="00B75BA1">
        <w:rPr>
          <w:sz w:val="22"/>
          <w:lang w:val="el-GR"/>
        </w:rPr>
        <w:t>στη</w:t>
      </w:r>
      <w:r w:rsidRPr="00587DB4">
        <w:rPr>
          <w:sz w:val="22"/>
          <w:lang w:val="el-GR"/>
        </w:rPr>
        <w:t xml:space="preserve"> δόση </w:t>
      </w:r>
      <w:r w:rsidR="00B75BA1">
        <w:rPr>
          <w:sz w:val="22"/>
          <w:lang w:val="el-GR"/>
        </w:rPr>
        <w:t xml:space="preserve">των </w:t>
      </w:r>
      <w:r w:rsidRPr="00E81D8F">
        <w:rPr>
          <w:sz w:val="22"/>
          <w:lang w:val="el-GR"/>
        </w:rPr>
        <w:t>1</w:t>
      </w:r>
      <w:r w:rsidRPr="00587DB4">
        <w:rPr>
          <w:sz w:val="22"/>
          <w:lang w:val="el-GR"/>
        </w:rPr>
        <w:t>0 mg ημερησίως και 1</w:t>
      </w:r>
      <w:r w:rsidRPr="00E81D8F">
        <w:rPr>
          <w:sz w:val="22"/>
          <w:lang w:val="el-GR"/>
        </w:rPr>
        <w:t>0</w:t>
      </w:r>
      <w:r w:rsidRPr="00587DB4">
        <w:rPr>
          <w:sz w:val="22"/>
          <w:lang w:val="el-GR"/>
        </w:rPr>
        <w:t xml:space="preserve">,7 </w:t>
      </w:r>
      <w:proofErr w:type="spellStart"/>
      <w:r w:rsidRPr="00587DB4">
        <w:rPr>
          <w:sz w:val="22"/>
        </w:rPr>
        <w:t>msec</w:t>
      </w:r>
      <w:proofErr w:type="spellEnd"/>
      <w:r w:rsidRPr="00E81D8F">
        <w:rPr>
          <w:sz w:val="22"/>
          <w:lang w:val="el-GR"/>
        </w:rPr>
        <w:t xml:space="preserve"> </w:t>
      </w:r>
      <w:r w:rsidRPr="00587DB4">
        <w:rPr>
          <w:sz w:val="22"/>
          <w:lang w:val="el-GR"/>
        </w:rPr>
        <w:t>(90%</w:t>
      </w:r>
      <w:r w:rsidRPr="00E81D8F">
        <w:rPr>
          <w:sz w:val="22"/>
          <w:lang w:val="el-GR"/>
        </w:rPr>
        <w:t xml:space="preserve"> </w:t>
      </w:r>
      <w:r w:rsidRPr="00587DB4">
        <w:rPr>
          <w:sz w:val="22"/>
        </w:rPr>
        <w:t>CI</w:t>
      </w:r>
      <w:r w:rsidR="005A6E2A" w:rsidRPr="00E81D8F">
        <w:rPr>
          <w:sz w:val="22"/>
          <w:lang w:val="el-GR"/>
        </w:rPr>
        <w:t>:</w:t>
      </w:r>
      <w:r w:rsidRPr="00587DB4">
        <w:rPr>
          <w:sz w:val="22"/>
          <w:lang w:val="el-GR"/>
        </w:rPr>
        <w:t xml:space="preserve"> </w:t>
      </w:r>
      <w:r w:rsidRPr="00E81D8F">
        <w:rPr>
          <w:sz w:val="22"/>
          <w:lang w:val="el-GR"/>
        </w:rPr>
        <w:t>8</w:t>
      </w:r>
      <w:r w:rsidRPr="00587DB4">
        <w:rPr>
          <w:sz w:val="22"/>
          <w:lang w:val="el-GR"/>
        </w:rPr>
        <w:t>,</w:t>
      </w:r>
      <w:r w:rsidRPr="00E81D8F">
        <w:rPr>
          <w:sz w:val="22"/>
          <w:lang w:val="el-GR"/>
        </w:rPr>
        <w:t>6</w:t>
      </w:r>
      <w:r w:rsidR="008B3870" w:rsidRPr="00587DB4">
        <w:rPr>
          <w:sz w:val="22"/>
          <w:lang w:val="el-GR"/>
        </w:rPr>
        <w:t xml:space="preserve">, </w:t>
      </w:r>
      <w:r w:rsidRPr="00587DB4">
        <w:rPr>
          <w:sz w:val="22"/>
          <w:lang w:val="el-GR"/>
        </w:rPr>
        <w:t>1</w:t>
      </w:r>
      <w:r w:rsidRPr="00E81D8F">
        <w:rPr>
          <w:sz w:val="22"/>
          <w:lang w:val="el-GR"/>
        </w:rPr>
        <w:t>2</w:t>
      </w:r>
      <w:r w:rsidRPr="00587DB4">
        <w:rPr>
          <w:sz w:val="22"/>
          <w:lang w:val="el-GR"/>
        </w:rPr>
        <w:t>,</w:t>
      </w:r>
      <w:r w:rsidRPr="00E81D8F">
        <w:rPr>
          <w:sz w:val="22"/>
          <w:lang w:val="el-GR"/>
        </w:rPr>
        <w:t>8</w:t>
      </w:r>
      <w:r w:rsidRPr="00587DB4">
        <w:rPr>
          <w:sz w:val="22"/>
          <w:lang w:val="el-GR"/>
        </w:rPr>
        <w:t xml:space="preserve">) </w:t>
      </w:r>
      <w:r w:rsidR="00B75BA1">
        <w:rPr>
          <w:sz w:val="22"/>
          <w:lang w:val="el-GR"/>
        </w:rPr>
        <w:t>σ</w:t>
      </w:r>
      <w:r w:rsidR="005A6E2A" w:rsidRPr="00587DB4">
        <w:rPr>
          <w:sz w:val="22"/>
          <w:lang w:val="el-GR"/>
        </w:rPr>
        <w:t>την</w:t>
      </w:r>
      <w:r w:rsidRPr="00E81D8F">
        <w:rPr>
          <w:sz w:val="22"/>
          <w:lang w:val="el-GR"/>
        </w:rPr>
        <w:t xml:space="preserve"> </w:t>
      </w:r>
      <w:r w:rsidRPr="00587DB4">
        <w:rPr>
          <w:sz w:val="22"/>
          <w:lang w:val="el-GR"/>
        </w:rPr>
        <w:t>υπερθεραπευτική δόση των 30 mg ημερησίως (βλ. παραγράφους 4.3, 4.4, 4.5, 4.8 και 4.9).</w:t>
      </w:r>
    </w:p>
    <w:p w:rsidR="00D74129" w:rsidRPr="00E81D8F" w:rsidRDefault="00D74129">
      <w:pPr>
        <w:autoSpaceDE w:val="0"/>
        <w:autoSpaceDN w:val="0"/>
        <w:adjustRightInd w:val="0"/>
        <w:rPr>
          <w:sz w:val="22"/>
          <w:szCs w:val="22"/>
          <w:lang w:val="el-GR"/>
        </w:rPr>
      </w:pPr>
    </w:p>
    <w:p w:rsidR="0032661A" w:rsidRPr="00E81D8F" w:rsidRDefault="0032661A">
      <w:pPr>
        <w:autoSpaceDE w:val="0"/>
        <w:autoSpaceDN w:val="0"/>
        <w:adjustRightInd w:val="0"/>
        <w:rPr>
          <w:sz w:val="22"/>
          <w:szCs w:val="22"/>
          <w:u w:val="single"/>
          <w:lang w:val="el-GR"/>
        </w:rPr>
      </w:pPr>
      <w:r w:rsidRPr="00E81D8F">
        <w:rPr>
          <w:sz w:val="22"/>
          <w:szCs w:val="22"/>
          <w:u w:val="single"/>
          <w:lang w:val="el-GR"/>
        </w:rPr>
        <w:t>Κλινική αποτελεσματικότητα</w:t>
      </w:r>
      <w:r w:rsidR="00D74129" w:rsidRPr="00587DB4">
        <w:rPr>
          <w:sz w:val="22"/>
          <w:szCs w:val="22"/>
          <w:u w:val="single"/>
          <w:lang w:val="el-GR"/>
        </w:rPr>
        <w:t xml:space="preserve"> και ασφάλεια</w:t>
      </w:r>
    </w:p>
    <w:p w:rsidR="0032661A" w:rsidRPr="00587DB4" w:rsidRDefault="0032661A">
      <w:pPr>
        <w:autoSpaceDE w:val="0"/>
        <w:autoSpaceDN w:val="0"/>
        <w:adjustRightInd w:val="0"/>
        <w:rPr>
          <w:i/>
          <w:sz w:val="22"/>
          <w:szCs w:val="22"/>
          <w:lang w:val="el-GR"/>
        </w:rPr>
      </w:pPr>
    </w:p>
    <w:p w:rsidR="0032661A" w:rsidRPr="00587DB4" w:rsidRDefault="0032661A">
      <w:pPr>
        <w:autoSpaceDE w:val="0"/>
        <w:autoSpaceDN w:val="0"/>
        <w:adjustRightInd w:val="0"/>
        <w:rPr>
          <w:i/>
          <w:sz w:val="22"/>
          <w:szCs w:val="22"/>
          <w:lang w:val="el-GR"/>
        </w:rPr>
      </w:pPr>
      <w:r w:rsidRPr="00587DB4">
        <w:rPr>
          <w:i/>
          <w:sz w:val="22"/>
          <w:szCs w:val="22"/>
          <w:lang w:val="el-GR"/>
        </w:rPr>
        <w:t>Μείζονα Καταθλιπτικά Επεισόδια</w:t>
      </w:r>
    </w:p>
    <w:p w:rsidR="0032661A" w:rsidRPr="00E81D8F" w:rsidRDefault="0032661A">
      <w:pPr>
        <w:autoSpaceDE w:val="0"/>
        <w:autoSpaceDN w:val="0"/>
        <w:adjustRightInd w:val="0"/>
        <w:rPr>
          <w:sz w:val="22"/>
          <w:szCs w:val="22"/>
          <w:lang w:val="el-GR"/>
        </w:rPr>
      </w:pPr>
      <w:r w:rsidRPr="00587DB4">
        <w:rPr>
          <w:sz w:val="22"/>
          <w:szCs w:val="22"/>
          <w:lang w:val="el-GR"/>
        </w:rPr>
        <w:t xml:space="preserve">Η εσιταλοπράμη έχει βρεθεί ότι είναι </w:t>
      </w:r>
      <w:r w:rsidR="008D7A11" w:rsidRPr="00587DB4">
        <w:rPr>
          <w:sz w:val="22"/>
          <w:szCs w:val="22"/>
          <w:lang w:val="el-GR"/>
        </w:rPr>
        <w:t>αποτελεσματική</w:t>
      </w:r>
      <w:r w:rsidRPr="00587DB4">
        <w:rPr>
          <w:sz w:val="22"/>
          <w:szCs w:val="22"/>
          <w:lang w:val="el-GR"/>
        </w:rPr>
        <w:t xml:space="preserve"> στην </w:t>
      </w:r>
      <w:r w:rsidR="008D7A11" w:rsidRPr="00587DB4">
        <w:rPr>
          <w:sz w:val="22"/>
          <w:szCs w:val="22"/>
          <w:lang w:val="el-GR"/>
        </w:rPr>
        <w:t>οξεία</w:t>
      </w:r>
      <w:r w:rsidRPr="00587DB4">
        <w:rPr>
          <w:sz w:val="22"/>
          <w:szCs w:val="22"/>
          <w:lang w:val="el-GR"/>
        </w:rPr>
        <w:t xml:space="preserve"> θεραπεία των μειζόνων καταθλιπτικών επεισοδίων σε τρεις από τις τέσσερις διπλά τυφλές, ελεγχόμενες με εικονικό φάρμακο, βραχυχρόνιες (8 εβδομάδων) μελέτες.</w:t>
      </w:r>
      <w:r w:rsidRPr="00E81D8F">
        <w:rPr>
          <w:sz w:val="22"/>
          <w:szCs w:val="22"/>
          <w:lang w:val="el-GR"/>
        </w:rPr>
        <w:t xml:space="preserve"> </w:t>
      </w:r>
      <w:r w:rsidRPr="00587DB4">
        <w:rPr>
          <w:sz w:val="22"/>
          <w:szCs w:val="22"/>
          <w:lang w:val="el-GR"/>
        </w:rPr>
        <w:t xml:space="preserve">Σε μία μακροχρόνια μελέτη πρόληψης της υποτροπής, 274 ασθενείς που είχαν ανταποκριθεί κατά τη διάρκεια μίας αρχικής, διάρκειας 8 εβδομάδων, ανοιχτής θεραπευτικής φάσης με εσιταλοπράμη </w:t>
      </w:r>
      <w:r w:rsidRPr="00E81D8F">
        <w:rPr>
          <w:sz w:val="22"/>
          <w:szCs w:val="22"/>
          <w:lang w:val="el-GR"/>
        </w:rPr>
        <w:t xml:space="preserve">10 </w:t>
      </w:r>
      <w:r w:rsidRPr="00587DB4">
        <w:rPr>
          <w:sz w:val="22"/>
          <w:szCs w:val="22"/>
          <w:lang w:val="el-GR"/>
        </w:rPr>
        <w:t>ή</w:t>
      </w:r>
      <w:r w:rsidRPr="00E81D8F">
        <w:rPr>
          <w:sz w:val="22"/>
          <w:szCs w:val="22"/>
          <w:lang w:val="el-GR"/>
        </w:rPr>
        <w:t xml:space="preserve"> 20 mg/</w:t>
      </w:r>
      <w:r w:rsidRPr="00587DB4">
        <w:rPr>
          <w:sz w:val="22"/>
          <w:szCs w:val="22"/>
          <w:lang w:val="el-GR"/>
        </w:rPr>
        <w:t>ημέρα, τυχαιοποιήθηκαν για να συνεχίσουν τη θεραπεία με εσιταλοπράμη με την ίδια δόση, ή για να λάβουν εικονικό φάρμακο, για έως και 36 εβδομάδες.</w:t>
      </w:r>
      <w:r w:rsidRPr="00E81D8F">
        <w:rPr>
          <w:sz w:val="22"/>
          <w:szCs w:val="22"/>
          <w:lang w:val="el-GR"/>
        </w:rPr>
        <w:t xml:space="preserve"> </w:t>
      </w:r>
      <w:r w:rsidRPr="00587DB4">
        <w:rPr>
          <w:sz w:val="22"/>
          <w:szCs w:val="22"/>
          <w:lang w:val="el-GR"/>
        </w:rPr>
        <w:t>Σε αυτή τη μελέτη, οι ασθενείς που λάμβαναν συνεχιζόμενη θεραπεία με εσιταλοπράμη είχαν σημαντικά μεγαλύτερο χρονικό διάστημα έως την εμφάνιση υποτροπής εντός των επακόλουθων 36 εβδομάδων σε σύγκριση με εκείνους που λάμβαναν εικονικό φάρμακο.</w:t>
      </w:r>
    </w:p>
    <w:p w:rsidR="0032661A" w:rsidRPr="00E81D8F" w:rsidRDefault="0032661A">
      <w:pPr>
        <w:autoSpaceDE w:val="0"/>
        <w:autoSpaceDN w:val="0"/>
        <w:adjustRightInd w:val="0"/>
        <w:rPr>
          <w:sz w:val="22"/>
          <w:szCs w:val="22"/>
          <w:lang w:val="el-GR"/>
        </w:rPr>
      </w:pPr>
    </w:p>
    <w:p w:rsidR="0032661A" w:rsidRPr="00587DB4" w:rsidRDefault="0032661A">
      <w:pPr>
        <w:autoSpaceDE w:val="0"/>
        <w:autoSpaceDN w:val="0"/>
        <w:adjustRightInd w:val="0"/>
        <w:rPr>
          <w:i/>
          <w:sz w:val="22"/>
          <w:szCs w:val="22"/>
          <w:lang w:val="el-GR"/>
        </w:rPr>
      </w:pPr>
      <w:r w:rsidRPr="00587DB4">
        <w:rPr>
          <w:i/>
          <w:sz w:val="22"/>
          <w:szCs w:val="22"/>
          <w:lang w:val="el-GR"/>
        </w:rPr>
        <w:t>Κοινωνική Αγχώδης Διαταραχή</w:t>
      </w:r>
    </w:p>
    <w:p w:rsidR="0032661A" w:rsidRPr="00E81D8F" w:rsidRDefault="0032661A">
      <w:pPr>
        <w:autoSpaceDE w:val="0"/>
        <w:autoSpaceDN w:val="0"/>
        <w:adjustRightInd w:val="0"/>
        <w:rPr>
          <w:sz w:val="22"/>
          <w:szCs w:val="22"/>
          <w:lang w:val="el-GR"/>
        </w:rPr>
      </w:pPr>
      <w:r w:rsidRPr="00587DB4">
        <w:rPr>
          <w:sz w:val="22"/>
          <w:szCs w:val="22"/>
          <w:lang w:val="el-GR"/>
        </w:rPr>
        <w:t>Η εσιταλοπράμη ήταν αποτελεσματική και στις τρεις βραχυχρόνιες (12 εβδομάδων) μελέτες, καθώς και στους ανταποκριθέντες σε μία 6μηνη μελέτη πρόληψης της υποτροπής στην κοινωνική αγχώδη διαταραχή.</w:t>
      </w:r>
      <w:r w:rsidRPr="00E81D8F">
        <w:rPr>
          <w:sz w:val="22"/>
          <w:szCs w:val="22"/>
          <w:lang w:val="el-GR"/>
        </w:rPr>
        <w:t xml:space="preserve"> </w:t>
      </w:r>
      <w:r w:rsidRPr="00587DB4">
        <w:rPr>
          <w:sz w:val="22"/>
          <w:szCs w:val="22"/>
          <w:lang w:val="el-GR"/>
        </w:rPr>
        <w:t xml:space="preserve">Σε μία διάρκειας 24 εβδομάδων μελέτη εύρεσης της δοσολογίας, καταδείχθηκε η αποτελεσματικότητα της εσιταλοπράμης στις δόσεις των </w:t>
      </w:r>
      <w:r w:rsidRPr="00E81D8F">
        <w:rPr>
          <w:sz w:val="22"/>
          <w:szCs w:val="22"/>
          <w:lang w:val="el-GR"/>
        </w:rPr>
        <w:t xml:space="preserve">5, 10 </w:t>
      </w:r>
      <w:r w:rsidRPr="00587DB4">
        <w:rPr>
          <w:sz w:val="22"/>
          <w:szCs w:val="22"/>
          <w:lang w:val="el-GR"/>
        </w:rPr>
        <w:t>και</w:t>
      </w:r>
      <w:r w:rsidRPr="00E81D8F">
        <w:rPr>
          <w:sz w:val="22"/>
          <w:szCs w:val="22"/>
          <w:lang w:val="el-GR"/>
        </w:rPr>
        <w:t xml:space="preserve"> 20 mg</w:t>
      </w:r>
      <w:r w:rsidRPr="00587DB4">
        <w:rPr>
          <w:sz w:val="22"/>
          <w:szCs w:val="22"/>
          <w:lang w:val="el-GR"/>
        </w:rPr>
        <w:t xml:space="preserve">. </w:t>
      </w:r>
    </w:p>
    <w:p w:rsidR="0032661A" w:rsidRPr="00E81D8F" w:rsidRDefault="0032661A">
      <w:pPr>
        <w:autoSpaceDE w:val="0"/>
        <w:autoSpaceDN w:val="0"/>
        <w:adjustRightInd w:val="0"/>
        <w:rPr>
          <w:sz w:val="22"/>
          <w:szCs w:val="22"/>
          <w:lang w:val="el-GR"/>
        </w:rPr>
      </w:pPr>
    </w:p>
    <w:p w:rsidR="0032661A" w:rsidRPr="00587DB4" w:rsidRDefault="0032661A">
      <w:pPr>
        <w:autoSpaceDE w:val="0"/>
        <w:autoSpaceDN w:val="0"/>
        <w:adjustRightInd w:val="0"/>
        <w:rPr>
          <w:sz w:val="22"/>
          <w:szCs w:val="22"/>
          <w:lang w:val="el-GR"/>
        </w:rPr>
      </w:pPr>
      <w:r w:rsidRPr="00587DB4">
        <w:rPr>
          <w:i/>
          <w:sz w:val="22"/>
          <w:szCs w:val="22"/>
          <w:lang w:val="el-GR"/>
        </w:rPr>
        <w:t>Ιδεοψυχαναγκαστική διαταραχή</w:t>
      </w:r>
    </w:p>
    <w:p w:rsidR="0032661A" w:rsidRPr="00203D2F" w:rsidRDefault="0032661A">
      <w:pPr>
        <w:autoSpaceDE w:val="0"/>
        <w:autoSpaceDN w:val="0"/>
        <w:adjustRightInd w:val="0"/>
        <w:rPr>
          <w:sz w:val="22"/>
          <w:szCs w:val="22"/>
          <w:lang w:val="el-GR"/>
        </w:rPr>
      </w:pPr>
      <w:r w:rsidRPr="00587DB4">
        <w:rPr>
          <w:sz w:val="22"/>
          <w:szCs w:val="22"/>
          <w:lang w:val="el-GR"/>
        </w:rPr>
        <w:t xml:space="preserve">Σε μία τυχαιοποιημένη, διπλά τυφλή κλινική μελέτη, η εσιταλοπράμη σε δόση 20 mg/ημέρα διαφοροποιήθηκε  από το εικονικό φάρμακο στη συνολική βαθμολογία στην κλίμακα Y-BOCS μετά από 12 εβδομάδες. Μετά από 24 εβδομάδες, και οι δόσεις των 10 και 20 mg/ημέρα εσιταλοπράμης ήταν ανώτερες σε σύγκριση με το εικονικό φάρμακο. </w:t>
      </w:r>
    </w:p>
    <w:p w:rsidR="0032661A" w:rsidRPr="00587DB4" w:rsidRDefault="0032661A">
      <w:pPr>
        <w:autoSpaceDE w:val="0"/>
        <w:autoSpaceDN w:val="0"/>
        <w:adjustRightInd w:val="0"/>
        <w:rPr>
          <w:sz w:val="22"/>
          <w:szCs w:val="22"/>
          <w:lang w:val="el-GR"/>
        </w:rPr>
      </w:pPr>
      <w:r w:rsidRPr="00587DB4">
        <w:rPr>
          <w:sz w:val="22"/>
          <w:szCs w:val="22"/>
          <w:lang w:val="el-GR"/>
        </w:rPr>
        <w:t xml:space="preserve">Πρόληψη της υποτροπής καταδείχθηκε για τις δόσεις των 10 και 20 mg/ημέρα εσιταλοπράμης σε ασθενείς που ανταποκρίθηκαν στην εσιταλοπράμη σε μία διάρκειας 16 εβδομάδων περίοδο ανοιχτής θεραπείας, οι οποίοι εισήλθαν σε μία διάρκειας 24 εβδομάδων, τυχαιοποιημένη, διπλά τυφλή, ελεγχόμενη με εικονικό φάρμακο περίοδο.  </w:t>
      </w:r>
    </w:p>
    <w:p w:rsidR="0032661A" w:rsidRPr="00E81D8F" w:rsidRDefault="0032661A">
      <w:pPr>
        <w:autoSpaceDE w:val="0"/>
        <w:autoSpaceDN w:val="0"/>
        <w:adjustRightInd w:val="0"/>
        <w:rPr>
          <w:sz w:val="22"/>
          <w:szCs w:val="22"/>
          <w:lang w:val="el-GR"/>
        </w:rPr>
      </w:pPr>
    </w:p>
    <w:p w:rsidR="0032661A" w:rsidRPr="007E4D87" w:rsidRDefault="0032661A" w:rsidP="00203D2F">
      <w:pPr>
        <w:ind w:left="567" w:hanging="567"/>
        <w:rPr>
          <w:sz w:val="22"/>
          <w:szCs w:val="22"/>
          <w:lang w:val="el-GR"/>
        </w:rPr>
      </w:pPr>
      <w:r w:rsidRPr="00587DB4">
        <w:rPr>
          <w:b/>
          <w:sz w:val="22"/>
          <w:szCs w:val="22"/>
          <w:lang w:val="el-GR"/>
        </w:rPr>
        <w:t>5.2</w:t>
      </w:r>
      <w:r w:rsidRPr="00587DB4">
        <w:rPr>
          <w:b/>
          <w:sz w:val="22"/>
          <w:szCs w:val="22"/>
          <w:lang w:val="el-GR"/>
        </w:rPr>
        <w:tab/>
        <w:t>Φαρμακοκινητικές ιδιότητες</w:t>
      </w:r>
    </w:p>
    <w:p w:rsidR="0032661A" w:rsidRPr="00E81D8F" w:rsidRDefault="0032661A">
      <w:pPr>
        <w:autoSpaceDE w:val="0"/>
        <w:autoSpaceDN w:val="0"/>
        <w:adjustRightInd w:val="0"/>
        <w:rPr>
          <w:i/>
          <w:sz w:val="22"/>
          <w:szCs w:val="22"/>
          <w:lang w:val="el-GR"/>
        </w:rPr>
      </w:pPr>
      <w:r w:rsidRPr="00587DB4">
        <w:rPr>
          <w:i/>
          <w:sz w:val="22"/>
          <w:szCs w:val="22"/>
          <w:lang w:val="el-GR"/>
        </w:rPr>
        <w:t>Απορρόφηση</w:t>
      </w:r>
    </w:p>
    <w:p w:rsidR="0032661A" w:rsidRPr="00E81D8F" w:rsidRDefault="0032661A">
      <w:pPr>
        <w:autoSpaceDE w:val="0"/>
        <w:autoSpaceDN w:val="0"/>
        <w:adjustRightInd w:val="0"/>
        <w:rPr>
          <w:sz w:val="22"/>
          <w:szCs w:val="22"/>
          <w:lang w:val="el-GR"/>
        </w:rPr>
      </w:pPr>
      <w:r w:rsidRPr="00587DB4">
        <w:rPr>
          <w:sz w:val="22"/>
          <w:szCs w:val="22"/>
          <w:lang w:val="el-GR"/>
        </w:rPr>
        <w:t>Η απορρόφηση είναι σχεδόν πλήρης και ανεξάρτητη της πρόσληψης τροφής.</w:t>
      </w:r>
      <w:r w:rsidRPr="00E81D8F">
        <w:rPr>
          <w:sz w:val="22"/>
          <w:szCs w:val="22"/>
          <w:lang w:val="el-GR"/>
        </w:rPr>
        <w:t xml:space="preserve"> </w:t>
      </w:r>
      <w:r w:rsidRPr="00587DB4">
        <w:rPr>
          <w:sz w:val="22"/>
          <w:szCs w:val="22"/>
          <w:lang w:val="el-GR"/>
        </w:rPr>
        <w:t xml:space="preserve">(Ο μέσος χρόνος έως τη μέγιστη συγκέντρωση (μέσος </w:t>
      </w:r>
      <w:r w:rsidRPr="00E81D8F">
        <w:rPr>
          <w:sz w:val="22"/>
          <w:szCs w:val="22"/>
          <w:lang w:val="el-GR"/>
        </w:rPr>
        <w:t>T</w:t>
      </w:r>
      <w:r w:rsidRPr="00E81D8F">
        <w:rPr>
          <w:sz w:val="22"/>
          <w:szCs w:val="22"/>
          <w:vertAlign w:val="subscript"/>
          <w:lang w:val="el-GR"/>
        </w:rPr>
        <w:t>max</w:t>
      </w:r>
      <w:r w:rsidRPr="00E81D8F">
        <w:rPr>
          <w:sz w:val="22"/>
          <w:szCs w:val="22"/>
          <w:lang w:val="el-GR"/>
        </w:rPr>
        <w:t xml:space="preserve">) </w:t>
      </w:r>
      <w:r w:rsidRPr="00587DB4">
        <w:rPr>
          <w:sz w:val="22"/>
          <w:szCs w:val="22"/>
          <w:lang w:val="el-GR"/>
        </w:rPr>
        <w:t>είναι 4 ώρες μετά την πολλαπλή δοσολογία).</w:t>
      </w:r>
      <w:r w:rsidRPr="00E81D8F">
        <w:rPr>
          <w:sz w:val="22"/>
          <w:szCs w:val="22"/>
          <w:lang w:val="el-GR"/>
        </w:rPr>
        <w:t xml:space="preserve"> </w:t>
      </w:r>
      <w:r w:rsidRPr="00587DB4">
        <w:rPr>
          <w:sz w:val="22"/>
          <w:szCs w:val="22"/>
          <w:lang w:val="el-GR"/>
        </w:rPr>
        <w:t>Όπως και με τη ρακεμική σιταλοπράμη, η απόλυτη βιοδιαθεσιμότητα της εσιταλοπράμης αναμένεται ότι θα είναι περίπου 80%.</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Κατανομή</w:t>
      </w:r>
    </w:p>
    <w:p w:rsidR="0032661A" w:rsidRPr="00E81D8F" w:rsidRDefault="0032661A">
      <w:pPr>
        <w:autoSpaceDE w:val="0"/>
        <w:autoSpaceDN w:val="0"/>
        <w:adjustRightInd w:val="0"/>
        <w:rPr>
          <w:sz w:val="22"/>
          <w:szCs w:val="22"/>
          <w:lang w:val="el-GR"/>
        </w:rPr>
      </w:pPr>
      <w:r w:rsidRPr="00587DB4">
        <w:rPr>
          <w:sz w:val="22"/>
          <w:szCs w:val="22"/>
          <w:lang w:val="el-GR"/>
        </w:rPr>
        <w:t>Ο φαινομενικός όγκος κατανομής (</w:t>
      </w:r>
      <w:r w:rsidRPr="00E81D8F">
        <w:rPr>
          <w:sz w:val="22"/>
          <w:szCs w:val="22"/>
          <w:lang w:val="el-GR"/>
        </w:rPr>
        <w:t xml:space="preserve">Vd,β/F) </w:t>
      </w:r>
      <w:r w:rsidRPr="00587DB4">
        <w:rPr>
          <w:sz w:val="22"/>
          <w:szCs w:val="22"/>
          <w:lang w:val="el-GR"/>
        </w:rPr>
        <w:t xml:space="preserve">μετά την από του στόματος χορήγηση είναι περίπου 12 έως 26 </w:t>
      </w:r>
      <w:r w:rsidRPr="00E81D8F">
        <w:rPr>
          <w:sz w:val="22"/>
          <w:szCs w:val="22"/>
          <w:lang w:val="el-GR"/>
        </w:rPr>
        <w:t xml:space="preserve">L/kg. </w:t>
      </w:r>
      <w:r w:rsidRPr="00587DB4">
        <w:rPr>
          <w:sz w:val="22"/>
          <w:szCs w:val="22"/>
          <w:lang w:val="el-GR"/>
        </w:rPr>
        <w:t xml:space="preserve">Η σύνδεση με τις πρωτεΐνες του πλάσματος είναι κάτω από 80% για την εσιταλοπράμη και τους κύριους μεταβολίτες της. </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Βιομετατροπή</w:t>
      </w:r>
    </w:p>
    <w:p w:rsidR="0032661A" w:rsidRPr="00E81D8F" w:rsidRDefault="0032661A">
      <w:pPr>
        <w:autoSpaceDE w:val="0"/>
        <w:autoSpaceDN w:val="0"/>
        <w:adjustRightInd w:val="0"/>
        <w:rPr>
          <w:sz w:val="22"/>
          <w:szCs w:val="22"/>
          <w:lang w:val="el-GR"/>
        </w:rPr>
      </w:pPr>
      <w:r w:rsidRPr="00587DB4">
        <w:rPr>
          <w:sz w:val="22"/>
          <w:szCs w:val="22"/>
          <w:lang w:val="el-GR"/>
        </w:rPr>
        <w:t>Η εσιταλοπράμη μεταβολίζεται στο ήπαρ σε απομεθυλιωμένους και διαπομεθυλιωμένους μεταβολίτες.</w:t>
      </w:r>
      <w:r w:rsidRPr="00E81D8F">
        <w:rPr>
          <w:sz w:val="22"/>
          <w:szCs w:val="22"/>
          <w:lang w:val="el-GR"/>
        </w:rPr>
        <w:t xml:space="preserve"> </w:t>
      </w:r>
      <w:r w:rsidRPr="00587DB4">
        <w:rPr>
          <w:sz w:val="22"/>
          <w:szCs w:val="22"/>
          <w:lang w:val="el-GR"/>
        </w:rPr>
        <w:t>Και οι δύο μεταβολίτες είναι φαρμακολογικά δραστικοί.</w:t>
      </w:r>
      <w:r w:rsidRPr="00E81D8F">
        <w:rPr>
          <w:sz w:val="22"/>
          <w:szCs w:val="22"/>
          <w:lang w:val="el-GR"/>
        </w:rPr>
        <w:t xml:space="preserve"> </w:t>
      </w:r>
      <w:r w:rsidRPr="00587DB4">
        <w:rPr>
          <w:sz w:val="22"/>
          <w:szCs w:val="22"/>
          <w:lang w:val="el-GR"/>
        </w:rPr>
        <w:t xml:space="preserve">Εναλλακτικά, το άζωτο μπορεί να οξειδωθεί για να σχηματίσει τον </w:t>
      </w:r>
      <w:r w:rsidRPr="00E81D8F">
        <w:rPr>
          <w:sz w:val="22"/>
          <w:szCs w:val="22"/>
          <w:lang w:val="el-GR"/>
        </w:rPr>
        <w:t xml:space="preserve">N-oxide </w:t>
      </w:r>
      <w:r w:rsidRPr="00587DB4">
        <w:rPr>
          <w:sz w:val="22"/>
          <w:szCs w:val="22"/>
          <w:lang w:val="el-GR"/>
        </w:rPr>
        <w:t>μεταβολίτη.</w:t>
      </w:r>
      <w:r w:rsidRPr="00E81D8F">
        <w:rPr>
          <w:sz w:val="22"/>
          <w:szCs w:val="22"/>
          <w:lang w:val="el-GR"/>
        </w:rPr>
        <w:t xml:space="preserve"> </w:t>
      </w:r>
      <w:r w:rsidRPr="00587DB4">
        <w:rPr>
          <w:sz w:val="22"/>
          <w:szCs w:val="22"/>
          <w:lang w:val="el-GR"/>
        </w:rPr>
        <w:t>Τόσο η μητρική ουσία όσο και οι μεταβολίτες απεκκρίνονται μερικώς ως γλυκουρονίδια.</w:t>
      </w:r>
      <w:r w:rsidRPr="00701142">
        <w:rPr>
          <w:rStyle w:val="tw4winMark"/>
          <w:rFonts w:ascii="Times New Roman" w:hAnsi="Times New Roman"/>
          <w:sz w:val="22"/>
          <w:szCs w:val="22"/>
          <w:lang w:val="el-GR"/>
        </w:rPr>
        <w:t xml:space="preserve"> </w:t>
      </w:r>
      <w:r w:rsidRPr="00E81D8F">
        <w:rPr>
          <w:sz w:val="22"/>
          <w:szCs w:val="22"/>
          <w:lang w:val="el-GR"/>
        </w:rPr>
        <w:t xml:space="preserve"> </w:t>
      </w:r>
      <w:r w:rsidRPr="00587DB4">
        <w:rPr>
          <w:sz w:val="22"/>
          <w:szCs w:val="22"/>
          <w:lang w:val="el-GR"/>
        </w:rPr>
        <w:t xml:space="preserve">Μετά από πολλαπλή δοσολογία, οι μέσες συγκεντρώσεις του απομεθυλ- και του διαπομεθυλ- μεταβολίτη είναι συνήθως </w:t>
      </w:r>
      <w:r w:rsidRPr="00E81D8F">
        <w:rPr>
          <w:sz w:val="22"/>
          <w:szCs w:val="22"/>
          <w:lang w:val="el-GR"/>
        </w:rPr>
        <w:t xml:space="preserve">28-31% </w:t>
      </w:r>
      <w:r w:rsidRPr="00587DB4">
        <w:rPr>
          <w:sz w:val="22"/>
          <w:szCs w:val="22"/>
          <w:lang w:val="el-GR"/>
        </w:rPr>
        <w:t>και</w:t>
      </w:r>
      <w:r w:rsidRPr="00E81D8F">
        <w:rPr>
          <w:sz w:val="22"/>
          <w:szCs w:val="22"/>
          <w:lang w:val="el-GR"/>
        </w:rPr>
        <w:t xml:space="preserve"> &lt;5%,</w:t>
      </w:r>
      <w:r w:rsidRPr="00587DB4">
        <w:rPr>
          <w:sz w:val="22"/>
          <w:szCs w:val="22"/>
          <w:lang w:val="el-GR"/>
        </w:rPr>
        <w:t xml:space="preserve"> αντίστοιχα, της συγκέντρωσης της εσιταλοπράμης. </w:t>
      </w:r>
      <w:r w:rsidRPr="00E81D8F">
        <w:rPr>
          <w:sz w:val="22"/>
          <w:szCs w:val="22"/>
          <w:lang w:val="el-GR"/>
        </w:rPr>
        <w:t xml:space="preserve"> </w:t>
      </w:r>
      <w:r w:rsidRPr="00587DB4">
        <w:rPr>
          <w:sz w:val="22"/>
          <w:szCs w:val="22"/>
          <w:lang w:val="el-GR"/>
        </w:rPr>
        <w:t xml:space="preserve">Η βιομετατροπή της εσιταλοπράμης στον απομεθυλιωμένο μεταβολίτη μεσολαβείται κατά κύριο λόγο από το </w:t>
      </w:r>
      <w:r w:rsidRPr="00E81D8F">
        <w:rPr>
          <w:sz w:val="22"/>
          <w:szCs w:val="22"/>
          <w:lang w:val="el-GR"/>
        </w:rPr>
        <w:t>CYP2C19</w:t>
      </w:r>
      <w:r w:rsidRPr="00587DB4">
        <w:rPr>
          <w:sz w:val="22"/>
          <w:szCs w:val="22"/>
          <w:lang w:val="el-GR"/>
        </w:rPr>
        <w:t>.</w:t>
      </w:r>
      <w:r w:rsidRPr="00E81D8F">
        <w:rPr>
          <w:sz w:val="22"/>
          <w:szCs w:val="22"/>
          <w:lang w:val="el-GR"/>
        </w:rPr>
        <w:t xml:space="preserve"> </w:t>
      </w:r>
      <w:r w:rsidRPr="00587DB4">
        <w:rPr>
          <w:sz w:val="22"/>
          <w:szCs w:val="22"/>
          <w:lang w:val="el-GR"/>
        </w:rPr>
        <w:t>Κάποια συμβολή από τα ένζυμα CYP3A4 και CYP2D6 είναι πιθανή.</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Απέκκριση</w:t>
      </w:r>
    </w:p>
    <w:p w:rsidR="0032661A" w:rsidRPr="00E81D8F" w:rsidRDefault="0032661A">
      <w:pPr>
        <w:autoSpaceDE w:val="0"/>
        <w:autoSpaceDN w:val="0"/>
        <w:adjustRightInd w:val="0"/>
        <w:rPr>
          <w:sz w:val="22"/>
          <w:szCs w:val="22"/>
          <w:lang w:val="el-GR"/>
        </w:rPr>
      </w:pPr>
      <w:r w:rsidRPr="00587DB4">
        <w:rPr>
          <w:sz w:val="22"/>
          <w:szCs w:val="22"/>
          <w:lang w:val="el-GR"/>
        </w:rPr>
        <w:lastRenderedPageBreak/>
        <w:t>Ο χρόνος ημίσειας ζωής της απέκκρισης (</w:t>
      </w:r>
      <w:r w:rsidRPr="00E81D8F">
        <w:rPr>
          <w:sz w:val="22"/>
          <w:szCs w:val="22"/>
          <w:lang w:val="el-GR"/>
        </w:rPr>
        <w:t>t</w:t>
      </w:r>
      <w:r w:rsidRPr="00E81D8F">
        <w:rPr>
          <w:sz w:val="22"/>
          <w:szCs w:val="22"/>
          <w:vertAlign w:val="subscript"/>
          <w:lang w:val="el-GR"/>
        </w:rPr>
        <w:t>½ β</w:t>
      </w:r>
      <w:r w:rsidRPr="00E81D8F">
        <w:rPr>
          <w:sz w:val="22"/>
          <w:szCs w:val="22"/>
          <w:lang w:val="el-GR"/>
        </w:rPr>
        <w:t xml:space="preserve">) </w:t>
      </w:r>
      <w:r w:rsidRPr="00587DB4">
        <w:rPr>
          <w:sz w:val="22"/>
          <w:szCs w:val="22"/>
          <w:lang w:val="el-GR"/>
        </w:rPr>
        <w:t>μετά από πολλαπλή δοσολογία είναι περίπου 30 ώρες και η από του στόματος κάθαρση από το πλάσμα (</w:t>
      </w:r>
      <w:r w:rsidRPr="00E81D8F">
        <w:rPr>
          <w:sz w:val="22"/>
          <w:szCs w:val="22"/>
          <w:lang w:val="el-GR"/>
        </w:rPr>
        <w:t>Cl</w:t>
      </w:r>
      <w:r w:rsidRPr="00E81D8F">
        <w:rPr>
          <w:sz w:val="22"/>
          <w:szCs w:val="22"/>
          <w:vertAlign w:val="subscript"/>
          <w:lang w:val="el-GR"/>
        </w:rPr>
        <w:t>oral</w:t>
      </w:r>
      <w:r w:rsidRPr="00E81D8F">
        <w:rPr>
          <w:sz w:val="22"/>
          <w:szCs w:val="22"/>
          <w:lang w:val="el-GR"/>
        </w:rPr>
        <w:t xml:space="preserve">) </w:t>
      </w:r>
      <w:r w:rsidRPr="00587DB4">
        <w:rPr>
          <w:sz w:val="22"/>
          <w:szCs w:val="22"/>
          <w:lang w:val="el-GR"/>
        </w:rPr>
        <w:t>είναι περίπου</w:t>
      </w:r>
      <w:r w:rsidRPr="00E81D8F">
        <w:rPr>
          <w:sz w:val="22"/>
          <w:szCs w:val="22"/>
          <w:lang w:val="el-GR"/>
        </w:rPr>
        <w:t xml:space="preserve"> 0</w:t>
      </w:r>
      <w:r w:rsidRPr="00587DB4">
        <w:rPr>
          <w:sz w:val="22"/>
          <w:szCs w:val="22"/>
          <w:lang w:val="el-GR"/>
        </w:rPr>
        <w:t>,</w:t>
      </w:r>
      <w:r w:rsidRPr="00E81D8F">
        <w:rPr>
          <w:sz w:val="22"/>
          <w:szCs w:val="22"/>
          <w:lang w:val="el-GR"/>
        </w:rPr>
        <w:t xml:space="preserve">6 L/min. </w:t>
      </w:r>
      <w:r w:rsidRPr="00587DB4">
        <w:rPr>
          <w:sz w:val="22"/>
          <w:szCs w:val="22"/>
          <w:lang w:val="el-GR"/>
        </w:rPr>
        <w:t xml:space="preserve">Οι κύριοι μεταβολίτες έχουν έναν σημαντικά μεγαλύτερο χρόνο ημίσειας ζωής. </w:t>
      </w:r>
      <w:r w:rsidRPr="00E81D8F">
        <w:rPr>
          <w:sz w:val="22"/>
          <w:szCs w:val="22"/>
          <w:lang w:val="el-GR"/>
        </w:rPr>
        <w:t xml:space="preserve"> </w:t>
      </w:r>
    </w:p>
    <w:p w:rsidR="0032661A" w:rsidRPr="00203D2F" w:rsidRDefault="0032661A">
      <w:pPr>
        <w:autoSpaceDE w:val="0"/>
        <w:autoSpaceDN w:val="0"/>
        <w:adjustRightInd w:val="0"/>
        <w:rPr>
          <w:sz w:val="22"/>
          <w:szCs w:val="22"/>
          <w:lang w:val="el-GR"/>
        </w:rPr>
      </w:pPr>
      <w:r w:rsidRPr="00587DB4">
        <w:rPr>
          <w:sz w:val="22"/>
          <w:szCs w:val="22"/>
          <w:lang w:val="el-GR"/>
        </w:rPr>
        <w:t>Η εσιταλοπράμη και οι κύριοι μεταβολίτες της θεωρείται ότι απεκκρίνονται τόσο μέσω της ηπατικής (μεταβολική) όσο και μέσω της νεφρικής οδού, με το μείζον κλάσμα της δόσης να απεκκρίνεται ως μεταβολίτες στα ούρα.</w:t>
      </w:r>
    </w:p>
    <w:p w:rsidR="0032661A" w:rsidRPr="00E81D8F" w:rsidRDefault="0032661A">
      <w:pPr>
        <w:autoSpaceDE w:val="0"/>
        <w:autoSpaceDN w:val="0"/>
        <w:adjustRightInd w:val="0"/>
        <w:rPr>
          <w:sz w:val="22"/>
          <w:szCs w:val="22"/>
          <w:lang w:val="el-GR"/>
        </w:rPr>
      </w:pPr>
      <w:r w:rsidRPr="00587DB4">
        <w:rPr>
          <w:sz w:val="22"/>
          <w:szCs w:val="22"/>
          <w:lang w:val="el-GR"/>
        </w:rPr>
        <w:t>Υπάρχει μία γραμμική φαρμακοκινητική.</w:t>
      </w:r>
      <w:r w:rsidRPr="00E81D8F">
        <w:rPr>
          <w:sz w:val="22"/>
          <w:szCs w:val="22"/>
          <w:lang w:val="el-GR"/>
        </w:rPr>
        <w:t xml:space="preserve"> </w:t>
      </w:r>
      <w:r w:rsidRPr="00587DB4">
        <w:rPr>
          <w:sz w:val="22"/>
          <w:szCs w:val="22"/>
          <w:lang w:val="el-GR"/>
        </w:rPr>
        <w:t>Τα επίπεδα σταθερής κατάστασης στο πλάσμα επιτυγχάνονται σε περίπου 1 εβδομάδα.</w:t>
      </w:r>
      <w:r w:rsidRPr="00E81D8F">
        <w:rPr>
          <w:sz w:val="22"/>
          <w:szCs w:val="22"/>
          <w:lang w:val="el-GR"/>
        </w:rPr>
        <w:t xml:space="preserve"> </w:t>
      </w:r>
      <w:r w:rsidRPr="00587DB4">
        <w:rPr>
          <w:sz w:val="22"/>
          <w:szCs w:val="22"/>
          <w:lang w:val="el-GR"/>
        </w:rPr>
        <w:t xml:space="preserve">Μέσες συγκεντρώσεις σταθερής κατάστασης </w:t>
      </w:r>
      <w:r w:rsidRPr="00E81D8F">
        <w:rPr>
          <w:sz w:val="22"/>
          <w:szCs w:val="22"/>
          <w:lang w:val="el-GR"/>
        </w:rPr>
        <w:t>50 nmol/L (</w:t>
      </w:r>
      <w:r w:rsidRPr="00587DB4">
        <w:rPr>
          <w:sz w:val="22"/>
          <w:szCs w:val="22"/>
          <w:lang w:val="el-GR"/>
        </w:rPr>
        <w:t>εύρος από</w:t>
      </w:r>
      <w:r w:rsidRPr="00E81D8F">
        <w:rPr>
          <w:sz w:val="22"/>
          <w:szCs w:val="22"/>
          <w:lang w:val="el-GR"/>
        </w:rPr>
        <w:t xml:space="preserve"> 20 </w:t>
      </w:r>
      <w:r w:rsidRPr="00587DB4">
        <w:rPr>
          <w:sz w:val="22"/>
          <w:szCs w:val="22"/>
          <w:lang w:val="el-GR"/>
        </w:rPr>
        <w:t>έως</w:t>
      </w:r>
      <w:r w:rsidRPr="00E81D8F">
        <w:rPr>
          <w:sz w:val="22"/>
          <w:szCs w:val="22"/>
          <w:lang w:val="el-GR"/>
        </w:rPr>
        <w:t xml:space="preserve"> 125 nmol/L) </w:t>
      </w:r>
      <w:r w:rsidRPr="00587DB4">
        <w:rPr>
          <w:sz w:val="22"/>
          <w:szCs w:val="22"/>
          <w:lang w:val="el-GR"/>
        </w:rPr>
        <w:t>επιτυγχάνονται με μία ημερήσια δόση</w:t>
      </w:r>
      <w:r w:rsidRPr="00E81D8F">
        <w:rPr>
          <w:sz w:val="22"/>
          <w:szCs w:val="22"/>
          <w:lang w:val="el-GR"/>
        </w:rPr>
        <w:t xml:space="preserve"> 10 mg.</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Ηλικιωμένοι ασθενείς (ηλικίας &gt;65 ετών)</w:t>
      </w:r>
    </w:p>
    <w:p w:rsidR="0032661A" w:rsidRPr="00E81D8F" w:rsidRDefault="0032661A">
      <w:pPr>
        <w:autoSpaceDE w:val="0"/>
        <w:autoSpaceDN w:val="0"/>
        <w:adjustRightInd w:val="0"/>
        <w:rPr>
          <w:sz w:val="22"/>
          <w:szCs w:val="22"/>
          <w:lang w:val="el-GR"/>
        </w:rPr>
      </w:pPr>
      <w:r w:rsidRPr="00587DB4">
        <w:rPr>
          <w:sz w:val="22"/>
          <w:szCs w:val="22"/>
          <w:lang w:val="el-GR"/>
        </w:rPr>
        <w:t>Η εσιταλοπράμη φαίνεται ότι απεκκρίνεται πιο αργά σε ηλικιωμένους ασθενείς σε σύγκριση με τους νεότερους σε ηλικία ασθενείς.</w:t>
      </w:r>
      <w:r w:rsidRPr="00E81D8F">
        <w:rPr>
          <w:sz w:val="22"/>
          <w:szCs w:val="22"/>
          <w:lang w:val="el-GR"/>
        </w:rPr>
        <w:t xml:space="preserve"> </w:t>
      </w:r>
      <w:r w:rsidRPr="00587DB4">
        <w:rPr>
          <w:sz w:val="22"/>
          <w:szCs w:val="22"/>
          <w:lang w:val="el-GR"/>
        </w:rPr>
        <w:t xml:space="preserve">Η συστηματική έκθεση </w:t>
      </w:r>
      <w:r w:rsidRPr="00E81D8F">
        <w:rPr>
          <w:sz w:val="22"/>
          <w:szCs w:val="22"/>
          <w:lang w:val="el-GR"/>
        </w:rPr>
        <w:t>(AUC)</w:t>
      </w:r>
      <w:r w:rsidRPr="00587DB4">
        <w:rPr>
          <w:sz w:val="22"/>
          <w:szCs w:val="22"/>
          <w:lang w:val="el-GR"/>
        </w:rPr>
        <w:t xml:space="preserve"> είναι περίπου 50% υψηλότερη σε ηλικιωμένους σε σύγκριση με νέους υγιείς εθελοντές (βλ. παράγραφο 4.2).</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Μειωμένη ηπατική λειτουργία</w:t>
      </w:r>
    </w:p>
    <w:p w:rsidR="0032661A" w:rsidRPr="00E81D8F" w:rsidRDefault="0032661A">
      <w:pPr>
        <w:autoSpaceDE w:val="0"/>
        <w:autoSpaceDN w:val="0"/>
        <w:adjustRightInd w:val="0"/>
        <w:rPr>
          <w:sz w:val="22"/>
          <w:szCs w:val="22"/>
          <w:lang w:val="el-GR"/>
        </w:rPr>
      </w:pPr>
      <w:r w:rsidRPr="00587DB4">
        <w:rPr>
          <w:sz w:val="22"/>
          <w:szCs w:val="22"/>
          <w:lang w:val="el-GR"/>
        </w:rPr>
        <w:t xml:space="preserve">Σε ασθενείς με ήπια ή μέτρια ηπατική βλάβη (Κριτήρια Α και Β κατά </w:t>
      </w:r>
      <w:r w:rsidRPr="00E81D8F">
        <w:rPr>
          <w:sz w:val="22"/>
          <w:szCs w:val="22"/>
          <w:lang w:val="el-GR"/>
        </w:rPr>
        <w:t>Child-Pugh</w:t>
      </w:r>
      <w:r w:rsidRPr="00587DB4">
        <w:rPr>
          <w:sz w:val="22"/>
          <w:szCs w:val="22"/>
          <w:lang w:val="el-GR"/>
        </w:rPr>
        <w:t>), ο χρόνος ημίσειας ζωής της εσιταλοπράμης στο πλάσμα ήταν περίπου δύο φορές μεγαλύτερος και η έκθεση ήταν περίπου 60% υψηλότερη σε σύγκριση με τους ασθενείς με φυσιολογική ηπατική λειτουργία (βλ. παράγραφο 4.2).</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Μειωμένη νεφρική λειτουργία</w:t>
      </w:r>
    </w:p>
    <w:p w:rsidR="0032661A" w:rsidRPr="00E81D8F" w:rsidRDefault="0032661A">
      <w:pPr>
        <w:autoSpaceDE w:val="0"/>
        <w:autoSpaceDN w:val="0"/>
        <w:adjustRightInd w:val="0"/>
        <w:rPr>
          <w:sz w:val="22"/>
          <w:szCs w:val="22"/>
          <w:lang w:val="el-GR"/>
        </w:rPr>
      </w:pPr>
      <w:r w:rsidRPr="00587DB4">
        <w:rPr>
          <w:sz w:val="22"/>
          <w:szCs w:val="22"/>
          <w:lang w:val="el-GR"/>
        </w:rPr>
        <w:t>Με τη ρακεμική εσιταλοπράμη, ένας μεγαλύτερος χρόνος ημίσειας ζωής και μία ελάσσονα αύξηση της έκθεσης έχουν παρατηρηθεί σε ασθενείς με μειωμένη νεφρική λειτουργία (</w:t>
      </w:r>
      <w:r w:rsidRPr="00E81D8F">
        <w:rPr>
          <w:sz w:val="22"/>
          <w:szCs w:val="22"/>
          <w:lang w:val="el-GR"/>
        </w:rPr>
        <w:t>CL</w:t>
      </w:r>
      <w:r w:rsidRPr="00E81D8F">
        <w:rPr>
          <w:sz w:val="22"/>
          <w:szCs w:val="22"/>
          <w:vertAlign w:val="subscript"/>
          <w:lang w:val="el-GR"/>
        </w:rPr>
        <w:t xml:space="preserve">cr </w:t>
      </w:r>
      <w:r w:rsidRPr="00E81D8F">
        <w:rPr>
          <w:sz w:val="22"/>
          <w:szCs w:val="22"/>
          <w:lang w:val="el-GR"/>
        </w:rPr>
        <w:t xml:space="preserve">10-53 ml/min). </w:t>
      </w:r>
      <w:r w:rsidRPr="00587DB4">
        <w:rPr>
          <w:sz w:val="22"/>
          <w:szCs w:val="22"/>
          <w:lang w:val="el-GR"/>
        </w:rPr>
        <w:t>Οι συγκεντρώσεις των μεταβολιτών στο πλάσμα δεν έχουν μελετηθεί, αλλά μπορεί να είναι αυξημένες (βλ. παράγραφο 4.2).</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Πολυμορφισμός</w:t>
      </w:r>
    </w:p>
    <w:p w:rsidR="0032661A" w:rsidRPr="00E81D8F" w:rsidRDefault="0032661A">
      <w:pPr>
        <w:autoSpaceDE w:val="0"/>
        <w:autoSpaceDN w:val="0"/>
        <w:adjustRightInd w:val="0"/>
        <w:rPr>
          <w:sz w:val="22"/>
          <w:szCs w:val="22"/>
          <w:lang w:val="el-GR"/>
        </w:rPr>
      </w:pPr>
      <w:r w:rsidRPr="00587DB4">
        <w:rPr>
          <w:sz w:val="22"/>
          <w:szCs w:val="22"/>
          <w:lang w:val="el-GR"/>
        </w:rPr>
        <w:t xml:space="preserve">Έχει παρατηρηθεί ότι οι ασθενείς με πτωχή μεταβολική ικανότητα όσον αφορά στο </w:t>
      </w:r>
      <w:r w:rsidRPr="00E81D8F">
        <w:rPr>
          <w:sz w:val="22"/>
          <w:szCs w:val="22"/>
          <w:lang w:val="el-GR"/>
        </w:rPr>
        <w:t xml:space="preserve">CYP2C19 </w:t>
      </w:r>
      <w:r w:rsidRPr="00587DB4">
        <w:rPr>
          <w:sz w:val="22"/>
          <w:szCs w:val="22"/>
          <w:lang w:val="el-GR"/>
        </w:rPr>
        <w:t>έχουν διπλάσια συγκέντρωση εσιταλοπράμης στο πλάσμα σε σύγκριση με εκείνους με εκτεταμένη μεταβολική ικανότητα.</w:t>
      </w:r>
      <w:r w:rsidRPr="00E81D8F">
        <w:rPr>
          <w:sz w:val="22"/>
          <w:szCs w:val="22"/>
          <w:lang w:val="el-GR"/>
        </w:rPr>
        <w:t xml:space="preserve"> </w:t>
      </w:r>
      <w:r w:rsidRPr="00587DB4">
        <w:rPr>
          <w:sz w:val="22"/>
          <w:szCs w:val="22"/>
          <w:lang w:val="el-GR"/>
        </w:rPr>
        <w:t xml:space="preserve">Δεν παρατηρήθηκε οποιαδήποτε μεταβολή στην έκθεση σε ασθενείς με πτωχή μεταβολική ικανότητα όσον αφορά στο </w:t>
      </w:r>
      <w:r w:rsidRPr="00E81D8F">
        <w:rPr>
          <w:sz w:val="22"/>
          <w:szCs w:val="22"/>
          <w:lang w:val="el-GR"/>
        </w:rPr>
        <w:t>CYP2D6 (</w:t>
      </w:r>
      <w:r w:rsidRPr="00587DB4">
        <w:rPr>
          <w:sz w:val="22"/>
          <w:szCs w:val="22"/>
          <w:lang w:val="el-GR"/>
        </w:rPr>
        <w:t>βλ. παράγραφο</w:t>
      </w:r>
      <w:r w:rsidRPr="00E81D8F">
        <w:rPr>
          <w:sz w:val="22"/>
          <w:szCs w:val="22"/>
          <w:lang w:val="el-GR"/>
        </w:rPr>
        <w:t xml:space="preserve"> 4.2).</w:t>
      </w:r>
    </w:p>
    <w:p w:rsidR="0032661A" w:rsidRPr="00587DB4" w:rsidRDefault="0032661A">
      <w:pPr>
        <w:rPr>
          <w:b/>
          <w:sz w:val="22"/>
          <w:szCs w:val="22"/>
          <w:lang w:val="el-GR"/>
        </w:rPr>
      </w:pPr>
    </w:p>
    <w:p w:rsidR="0032661A" w:rsidRPr="007E4D87" w:rsidRDefault="0032661A" w:rsidP="00203D2F">
      <w:pPr>
        <w:ind w:left="567" w:hanging="567"/>
        <w:rPr>
          <w:sz w:val="22"/>
          <w:szCs w:val="22"/>
          <w:lang w:val="el-GR"/>
        </w:rPr>
      </w:pPr>
      <w:r w:rsidRPr="00587DB4">
        <w:rPr>
          <w:b/>
          <w:sz w:val="22"/>
          <w:szCs w:val="22"/>
          <w:lang w:val="el-GR"/>
        </w:rPr>
        <w:t>5.3</w:t>
      </w:r>
      <w:r w:rsidRPr="00587DB4">
        <w:rPr>
          <w:b/>
          <w:sz w:val="22"/>
          <w:szCs w:val="22"/>
          <w:lang w:val="el-GR"/>
        </w:rPr>
        <w:tab/>
        <w:t>Προκλινικά δεδομένα για την ασφάλεια</w:t>
      </w:r>
    </w:p>
    <w:p w:rsidR="0032661A" w:rsidRPr="00203D2F" w:rsidRDefault="0032661A">
      <w:pPr>
        <w:autoSpaceDE w:val="0"/>
        <w:autoSpaceDN w:val="0"/>
        <w:adjustRightInd w:val="0"/>
        <w:rPr>
          <w:sz w:val="22"/>
          <w:szCs w:val="22"/>
          <w:lang w:val="el-GR"/>
        </w:rPr>
      </w:pPr>
      <w:r w:rsidRPr="00587DB4">
        <w:rPr>
          <w:sz w:val="22"/>
          <w:szCs w:val="22"/>
          <w:lang w:val="el-GR"/>
        </w:rPr>
        <w:t>Δεν πραγματοποιήθηκε πλήρης συμβατική σειρά προκλινικών μελετών με την εσιταλοπράμη, καθώς οι τοξικοκινητικές και τοξικολογικές μελέτες που διεξήχθησαν σε επίμυες με την εσιταλοπράμη και τη σιταλοπράμη κατέδειξαν ένα παρόμοιο προφίλ.</w:t>
      </w:r>
      <w:r w:rsidRPr="00E81D8F">
        <w:rPr>
          <w:sz w:val="22"/>
          <w:szCs w:val="22"/>
          <w:lang w:val="el-GR"/>
        </w:rPr>
        <w:t xml:space="preserve"> </w:t>
      </w:r>
      <w:r w:rsidRPr="00587DB4">
        <w:rPr>
          <w:sz w:val="22"/>
          <w:szCs w:val="22"/>
          <w:lang w:val="el-GR"/>
        </w:rPr>
        <w:t>Συνεπώς, όλες οι πληροφορίες σχετικά με τη σιταλοπράμη μπορεί να θεωρηθεί ότι ισχύουν και για την εσιταλοπράμη.</w:t>
      </w:r>
    </w:p>
    <w:p w:rsidR="0032661A" w:rsidRPr="00203D2F" w:rsidRDefault="0032661A">
      <w:pPr>
        <w:autoSpaceDE w:val="0"/>
        <w:autoSpaceDN w:val="0"/>
        <w:adjustRightInd w:val="0"/>
        <w:rPr>
          <w:sz w:val="22"/>
          <w:szCs w:val="22"/>
          <w:lang w:val="el-GR"/>
        </w:rPr>
      </w:pPr>
      <w:r w:rsidRPr="00587DB4">
        <w:rPr>
          <w:sz w:val="22"/>
          <w:szCs w:val="22"/>
          <w:lang w:val="el-GR"/>
        </w:rPr>
        <w:t>Σε συγκριτικές τοξικολογικές μελέτες σε επίμυες, η εσιταλοπράμη και η σιταλοπράμη προκάλεσαν καρδιακή τοξικότητα, συμπεριλαμβανομένης της καρδιακής ανεπάρκειας, μετά από θεραπεία κάποιων εβδομάδων, με τη χρήση δοσολογιών που προκάλεσαν γενική τοξικότητα.</w:t>
      </w:r>
      <w:r w:rsidRPr="00E81D8F">
        <w:rPr>
          <w:sz w:val="22"/>
          <w:szCs w:val="22"/>
          <w:lang w:val="el-GR"/>
        </w:rPr>
        <w:t xml:space="preserve"> </w:t>
      </w:r>
      <w:r w:rsidRPr="00587DB4">
        <w:rPr>
          <w:sz w:val="22"/>
          <w:szCs w:val="22"/>
          <w:lang w:val="el-GR"/>
        </w:rPr>
        <w:t>Η καρδιοτοξικότητα φάνηκε να συσχετίζεται με τις μέγιστες συγκεντρώσεις στο πλάσμα και όχι με τη συστηματική έκθεση (</w:t>
      </w:r>
      <w:r w:rsidRPr="00E81D8F">
        <w:rPr>
          <w:sz w:val="22"/>
          <w:szCs w:val="22"/>
          <w:lang w:val="el-GR"/>
        </w:rPr>
        <w:t>AUC</w:t>
      </w:r>
      <w:r w:rsidRPr="00587DB4">
        <w:rPr>
          <w:sz w:val="22"/>
          <w:szCs w:val="22"/>
          <w:lang w:val="el-GR"/>
        </w:rPr>
        <w:t>).</w:t>
      </w:r>
      <w:r w:rsidRPr="00E81D8F">
        <w:rPr>
          <w:sz w:val="22"/>
          <w:szCs w:val="22"/>
          <w:lang w:val="el-GR"/>
        </w:rPr>
        <w:t xml:space="preserve"> </w:t>
      </w:r>
      <w:r w:rsidRPr="00587DB4">
        <w:rPr>
          <w:sz w:val="22"/>
          <w:szCs w:val="22"/>
          <w:lang w:val="el-GR"/>
        </w:rPr>
        <w:t xml:space="preserve">Οι μέγιστες συγκεντρώσεις στο επίπεδο που δεν παρατηρείται επίδραση ήταν μεγαλύτερες (κατά 8 φορές) από εκείνες που επιτυγχάνονται κατά την κλινική χρήση, ενώ η </w:t>
      </w:r>
      <w:r w:rsidRPr="00E81D8F">
        <w:rPr>
          <w:sz w:val="22"/>
          <w:szCs w:val="22"/>
          <w:lang w:val="el-GR"/>
        </w:rPr>
        <w:t xml:space="preserve">AUC </w:t>
      </w:r>
      <w:r w:rsidRPr="00587DB4">
        <w:rPr>
          <w:sz w:val="22"/>
          <w:szCs w:val="22"/>
          <w:lang w:val="el-GR"/>
        </w:rPr>
        <w:t>της εσιταλοπράμης ήταν μόνο κατά 3 έως 4 φορές υψηλότερη από την έκθεση που επιτυγχάνεται κατά την κλινική χρήση.</w:t>
      </w:r>
      <w:r w:rsidRPr="00E81D8F">
        <w:rPr>
          <w:sz w:val="22"/>
          <w:szCs w:val="22"/>
          <w:lang w:val="el-GR"/>
        </w:rPr>
        <w:t xml:space="preserve"> </w:t>
      </w:r>
      <w:r w:rsidRPr="00587DB4">
        <w:rPr>
          <w:sz w:val="22"/>
          <w:szCs w:val="22"/>
          <w:lang w:val="el-GR"/>
        </w:rPr>
        <w:t xml:space="preserve">Οι τιμές </w:t>
      </w:r>
      <w:r w:rsidRPr="00E81D8F">
        <w:rPr>
          <w:sz w:val="22"/>
          <w:szCs w:val="22"/>
          <w:lang w:val="el-GR"/>
        </w:rPr>
        <w:t xml:space="preserve">AUC </w:t>
      </w:r>
      <w:r w:rsidRPr="00587DB4">
        <w:rPr>
          <w:sz w:val="22"/>
          <w:szCs w:val="22"/>
          <w:lang w:val="el-GR"/>
        </w:rPr>
        <w:t xml:space="preserve">της σιταλοπράμης για το </w:t>
      </w:r>
      <w:r w:rsidRPr="00E81D8F">
        <w:rPr>
          <w:sz w:val="22"/>
          <w:szCs w:val="22"/>
          <w:lang w:val="el-GR"/>
        </w:rPr>
        <w:t>S-</w:t>
      </w:r>
      <w:r w:rsidRPr="00587DB4">
        <w:rPr>
          <w:sz w:val="22"/>
          <w:szCs w:val="22"/>
          <w:lang w:val="el-GR"/>
        </w:rPr>
        <w:t>εναντιομερές ήταν κατά 6 έως 7 φορές υψηλότερες από εκείνες της έκθεσης που επιτυγχάνεται κατά την κλινική χρήση.</w:t>
      </w:r>
      <w:r w:rsidRPr="00E81D8F">
        <w:rPr>
          <w:sz w:val="22"/>
          <w:szCs w:val="22"/>
          <w:lang w:val="el-GR"/>
        </w:rPr>
        <w:t xml:space="preserve"> </w:t>
      </w:r>
      <w:r w:rsidRPr="00587DB4">
        <w:rPr>
          <w:sz w:val="22"/>
          <w:szCs w:val="22"/>
          <w:lang w:val="el-GR"/>
        </w:rPr>
        <w:t>Τα ευρήματα σχετίζονται πιθανότατα με μία υπερβολική επίδραση στις βιογενείς αμίνες, η οποία έπεται των κύριων φαρμακολογικών επιδράσεων, έχοντας ως αποτέλεσμα αιμοδυναμικές επιδράσεις (μείωση της στεφανιαίας ροής) και ισχαιμία.</w:t>
      </w:r>
      <w:r w:rsidRPr="00E81D8F">
        <w:rPr>
          <w:sz w:val="22"/>
          <w:szCs w:val="22"/>
          <w:lang w:val="el-GR"/>
        </w:rPr>
        <w:t xml:space="preserve"> </w:t>
      </w:r>
      <w:r w:rsidRPr="00587DB4">
        <w:rPr>
          <w:sz w:val="22"/>
          <w:szCs w:val="22"/>
          <w:lang w:val="el-GR"/>
        </w:rPr>
        <w:t xml:space="preserve">Ωστόσο, ο ακριβής μηχανισμός της καρδιοτοξικότητας στους επίμυες </w:t>
      </w:r>
      <w:r w:rsidRPr="00587DB4">
        <w:rPr>
          <w:sz w:val="22"/>
          <w:szCs w:val="22"/>
          <w:lang w:val="el-GR"/>
        </w:rPr>
        <w:lastRenderedPageBreak/>
        <w:t>δεν είναι σαφής.</w:t>
      </w:r>
      <w:r w:rsidRPr="00E81D8F">
        <w:rPr>
          <w:sz w:val="22"/>
          <w:szCs w:val="22"/>
          <w:lang w:val="el-GR"/>
        </w:rPr>
        <w:t xml:space="preserve"> </w:t>
      </w:r>
      <w:r w:rsidRPr="00587DB4">
        <w:rPr>
          <w:sz w:val="22"/>
          <w:szCs w:val="22"/>
          <w:lang w:val="el-GR"/>
        </w:rPr>
        <w:t>Η κλινική πείρα με τη σιταλοπράμη, και η πείρα από τις κλινικές μελέτες με την εσιταλοπράμη, δεν υποδηλώνουν ότι αυτά τα ευρήματα έχουν κλινική συσχέτιση.</w:t>
      </w:r>
    </w:p>
    <w:p w:rsidR="0032661A" w:rsidRPr="00203D2F" w:rsidRDefault="0032661A">
      <w:pPr>
        <w:autoSpaceDE w:val="0"/>
        <w:autoSpaceDN w:val="0"/>
        <w:adjustRightInd w:val="0"/>
        <w:rPr>
          <w:sz w:val="22"/>
          <w:szCs w:val="22"/>
          <w:lang w:val="el-GR"/>
        </w:rPr>
      </w:pPr>
      <w:r w:rsidRPr="00587DB4">
        <w:rPr>
          <w:sz w:val="22"/>
          <w:szCs w:val="22"/>
          <w:lang w:val="el-GR"/>
        </w:rPr>
        <w:t>Αυξημένη περιεκτικότητα σε φωσφολιπίδια έχει παρατηρηθεί σε ορισμένους ιστούς, π.χ. πνεύμονας, επιδιδυμίδες και ήπαρ, μετά από θεραπεία για μεγαλύτερες χρονικές περιόδους με την εσιταλοπράμη και τη σιταλοπράμη σε επίμυες.</w:t>
      </w:r>
      <w:r w:rsidRPr="00E81D8F">
        <w:rPr>
          <w:sz w:val="22"/>
          <w:szCs w:val="22"/>
          <w:lang w:val="el-GR"/>
        </w:rPr>
        <w:t xml:space="preserve"> </w:t>
      </w:r>
      <w:r w:rsidRPr="00587DB4">
        <w:rPr>
          <w:sz w:val="22"/>
          <w:szCs w:val="22"/>
          <w:lang w:val="el-GR"/>
        </w:rPr>
        <w:t>Ευρήματα στις επιδιδυμίδες και το ήπαρ παρατηρήθηκαν σε εκθέσεις παρόμοιες με εκείνες στον άνθρωπο.</w:t>
      </w:r>
      <w:r w:rsidRPr="00E81D8F">
        <w:rPr>
          <w:sz w:val="22"/>
          <w:szCs w:val="22"/>
          <w:lang w:val="el-GR"/>
        </w:rPr>
        <w:t xml:space="preserve"> </w:t>
      </w:r>
      <w:r w:rsidRPr="00587DB4">
        <w:rPr>
          <w:sz w:val="22"/>
          <w:szCs w:val="22"/>
          <w:lang w:val="el-GR"/>
        </w:rPr>
        <w:t>Η επίδραση είναι αναστρέψιμη μετά τη διακοπή της θεραπείας.</w:t>
      </w:r>
      <w:r w:rsidRPr="00E81D8F">
        <w:rPr>
          <w:sz w:val="22"/>
          <w:szCs w:val="22"/>
          <w:lang w:val="el-GR"/>
        </w:rPr>
        <w:t xml:space="preserve"> </w:t>
      </w:r>
      <w:r w:rsidRPr="00587DB4">
        <w:rPr>
          <w:sz w:val="22"/>
          <w:szCs w:val="22"/>
          <w:lang w:val="el-GR"/>
        </w:rPr>
        <w:t>Συσσώρευση φωσφολιπιδίων (φωσφολιπίδωση) έχει παρατηρηθεί σε πειραματόζωα σε συνδυασμό με πολλά κατιονικά αμφιφιλικά φάρμακα.</w:t>
      </w:r>
      <w:r w:rsidRPr="00E81D8F">
        <w:rPr>
          <w:sz w:val="22"/>
          <w:szCs w:val="22"/>
          <w:lang w:val="el-GR"/>
        </w:rPr>
        <w:t xml:space="preserve"> </w:t>
      </w:r>
      <w:r w:rsidRPr="00587DB4">
        <w:rPr>
          <w:sz w:val="22"/>
          <w:szCs w:val="22"/>
          <w:lang w:val="el-GR"/>
        </w:rPr>
        <w:t>Δεν είναι γνωστό κατά πόσον αυτό το φαινόμενο είναι σημαντικό τον άνθρωπο.</w:t>
      </w:r>
    </w:p>
    <w:p w:rsidR="0032661A" w:rsidRPr="00E81D8F" w:rsidRDefault="0032661A">
      <w:pPr>
        <w:autoSpaceDE w:val="0"/>
        <w:autoSpaceDN w:val="0"/>
        <w:adjustRightInd w:val="0"/>
        <w:rPr>
          <w:sz w:val="22"/>
          <w:szCs w:val="22"/>
          <w:lang w:val="el-GR"/>
        </w:rPr>
      </w:pPr>
      <w:r w:rsidRPr="00587DB4">
        <w:rPr>
          <w:sz w:val="22"/>
          <w:szCs w:val="22"/>
          <w:lang w:val="el-GR"/>
        </w:rPr>
        <w:t>Στη μελέτη αναπτυξιακής τοξικότητας σε επίμυες παρατηρήθηκαν εμβρυοτοξικές επιδράσεις (μειωμένο εμβρυϊκό βάρος και αναστρέψιμη καθυστέρηση της οστεοποίησης) σε εκθέσεις ως προς την AUC μεγαλύτερες από εκείνη που επιτυγχάνεται κατά τη διάρκεια της κλινικής χρήσης.</w:t>
      </w:r>
      <w:r w:rsidRPr="00E81D8F">
        <w:rPr>
          <w:sz w:val="22"/>
          <w:szCs w:val="22"/>
          <w:lang w:val="el-GR"/>
        </w:rPr>
        <w:t xml:space="preserve"> </w:t>
      </w:r>
      <w:r w:rsidRPr="00587DB4">
        <w:rPr>
          <w:sz w:val="22"/>
          <w:szCs w:val="22"/>
          <w:lang w:val="el-GR"/>
        </w:rPr>
        <w:t>Δεν σημειώθηκε αυξημένη συχνότητα δυσμορφιών.</w:t>
      </w:r>
      <w:r w:rsidRPr="00E81D8F">
        <w:rPr>
          <w:sz w:val="22"/>
          <w:szCs w:val="22"/>
          <w:lang w:val="el-GR"/>
        </w:rPr>
        <w:t xml:space="preserve"> </w:t>
      </w:r>
      <w:r w:rsidRPr="00587DB4">
        <w:rPr>
          <w:sz w:val="22"/>
          <w:szCs w:val="22"/>
          <w:lang w:val="el-GR"/>
        </w:rPr>
        <w:t>Μία προγεννητική και μεταγεννητική μελέτη κατέδειξε μειωμένη επιβίωση κατά τη διάρκεια της περιόδου της γαλουχίας σε εκθέσεις ως προς την AUC μεγαλύτερες από εκείνη που επιτυγχάνεται κατά τη διάρκεια της κλινικής χρήσης.</w:t>
      </w:r>
    </w:p>
    <w:p w:rsidR="0032661A" w:rsidRPr="007E4D87" w:rsidRDefault="0032661A">
      <w:pPr>
        <w:rPr>
          <w:sz w:val="22"/>
          <w:szCs w:val="22"/>
          <w:lang w:val="el-GR"/>
        </w:rPr>
      </w:pPr>
    </w:p>
    <w:p w:rsidR="0032661A" w:rsidRPr="007E4D87" w:rsidRDefault="0032661A" w:rsidP="00203D2F">
      <w:pPr>
        <w:ind w:left="567" w:hanging="567"/>
        <w:rPr>
          <w:b/>
          <w:sz w:val="22"/>
          <w:szCs w:val="22"/>
          <w:lang w:val="el-GR"/>
        </w:rPr>
      </w:pPr>
      <w:r w:rsidRPr="00587DB4">
        <w:rPr>
          <w:b/>
          <w:sz w:val="22"/>
          <w:szCs w:val="22"/>
          <w:lang w:val="el-GR"/>
        </w:rPr>
        <w:t>6.</w:t>
      </w:r>
      <w:r w:rsidRPr="00587DB4">
        <w:rPr>
          <w:b/>
          <w:sz w:val="22"/>
          <w:szCs w:val="22"/>
          <w:lang w:val="el-GR"/>
        </w:rPr>
        <w:tab/>
        <w:t>ΦΑΡΜΑΚΕΥΤΙΚΕΣ ΠΛΗΡΟΦΟΡΙΕΣ</w:t>
      </w:r>
    </w:p>
    <w:p w:rsidR="0032661A" w:rsidRPr="007E4D87" w:rsidRDefault="0032661A" w:rsidP="00203D2F">
      <w:pPr>
        <w:ind w:left="567" w:hanging="567"/>
        <w:rPr>
          <w:b/>
          <w:sz w:val="22"/>
          <w:szCs w:val="22"/>
          <w:lang w:val="el-GR"/>
        </w:rPr>
      </w:pPr>
      <w:r w:rsidRPr="00587DB4">
        <w:rPr>
          <w:b/>
          <w:sz w:val="22"/>
          <w:szCs w:val="22"/>
          <w:lang w:val="el-GR"/>
        </w:rPr>
        <w:t>6.1</w:t>
      </w:r>
      <w:r w:rsidRPr="00587DB4">
        <w:rPr>
          <w:b/>
          <w:sz w:val="22"/>
          <w:szCs w:val="22"/>
          <w:lang w:val="el-GR"/>
        </w:rPr>
        <w:tab/>
        <w:t>Κατάλογος εκδόχων</w:t>
      </w:r>
    </w:p>
    <w:p w:rsidR="0032661A" w:rsidRPr="00E81D8F" w:rsidRDefault="0032661A">
      <w:pPr>
        <w:autoSpaceDE w:val="0"/>
        <w:autoSpaceDN w:val="0"/>
        <w:adjustRightInd w:val="0"/>
        <w:rPr>
          <w:i/>
          <w:sz w:val="22"/>
          <w:szCs w:val="22"/>
          <w:lang w:val="el-GR"/>
        </w:rPr>
      </w:pPr>
      <w:r w:rsidRPr="00587DB4">
        <w:rPr>
          <w:i/>
          <w:sz w:val="22"/>
          <w:szCs w:val="22"/>
          <w:lang w:val="el-GR"/>
        </w:rPr>
        <w:t>Πυρήνας δισκίου:</w:t>
      </w:r>
    </w:p>
    <w:p w:rsidR="0032661A" w:rsidRPr="00E81D8F" w:rsidRDefault="0032661A">
      <w:pPr>
        <w:autoSpaceDE w:val="0"/>
        <w:autoSpaceDN w:val="0"/>
        <w:adjustRightInd w:val="0"/>
        <w:rPr>
          <w:sz w:val="22"/>
          <w:szCs w:val="22"/>
          <w:lang w:val="el-GR"/>
        </w:rPr>
      </w:pPr>
      <w:r w:rsidRPr="00587DB4">
        <w:rPr>
          <w:sz w:val="22"/>
          <w:szCs w:val="22"/>
          <w:lang w:val="el-GR"/>
        </w:rPr>
        <w:t>Μικροκρυσταλλική κυτταρίνη</w:t>
      </w:r>
    </w:p>
    <w:p w:rsidR="0032661A" w:rsidRPr="00E81D8F" w:rsidRDefault="0032661A">
      <w:pPr>
        <w:autoSpaceDE w:val="0"/>
        <w:autoSpaceDN w:val="0"/>
        <w:adjustRightInd w:val="0"/>
        <w:rPr>
          <w:sz w:val="22"/>
          <w:szCs w:val="22"/>
          <w:lang w:val="el-GR"/>
        </w:rPr>
      </w:pPr>
      <w:r w:rsidRPr="00587DB4">
        <w:rPr>
          <w:sz w:val="22"/>
          <w:szCs w:val="22"/>
          <w:lang w:val="el-GR"/>
        </w:rPr>
        <w:t>Άνυδρο κολλοειδές πυρίτιο</w:t>
      </w:r>
    </w:p>
    <w:p w:rsidR="0032661A" w:rsidRPr="00E81D8F" w:rsidRDefault="0032661A">
      <w:pPr>
        <w:autoSpaceDE w:val="0"/>
        <w:autoSpaceDN w:val="0"/>
        <w:adjustRightInd w:val="0"/>
        <w:rPr>
          <w:sz w:val="22"/>
          <w:szCs w:val="22"/>
          <w:lang w:val="el-GR"/>
        </w:rPr>
      </w:pPr>
      <w:r w:rsidRPr="00587DB4">
        <w:rPr>
          <w:sz w:val="22"/>
          <w:szCs w:val="22"/>
          <w:lang w:val="el-GR"/>
        </w:rPr>
        <w:t>Νατριούχος κροσκαρμελλόζη</w:t>
      </w:r>
    </w:p>
    <w:p w:rsidR="0032661A" w:rsidRPr="00E81D8F" w:rsidRDefault="0032661A">
      <w:pPr>
        <w:autoSpaceDE w:val="0"/>
        <w:autoSpaceDN w:val="0"/>
        <w:adjustRightInd w:val="0"/>
        <w:rPr>
          <w:sz w:val="22"/>
          <w:szCs w:val="22"/>
          <w:lang w:val="el-GR"/>
        </w:rPr>
      </w:pPr>
      <w:r w:rsidRPr="00587DB4">
        <w:rPr>
          <w:sz w:val="22"/>
          <w:szCs w:val="22"/>
          <w:lang w:val="el-GR"/>
        </w:rPr>
        <w:t>Ταλκ</w:t>
      </w:r>
    </w:p>
    <w:p w:rsidR="0032661A" w:rsidRPr="00E81D8F" w:rsidRDefault="0032661A">
      <w:pPr>
        <w:autoSpaceDE w:val="0"/>
        <w:autoSpaceDN w:val="0"/>
        <w:adjustRightInd w:val="0"/>
        <w:rPr>
          <w:sz w:val="22"/>
          <w:szCs w:val="22"/>
          <w:lang w:val="el-GR"/>
        </w:rPr>
      </w:pPr>
      <w:r w:rsidRPr="00587DB4">
        <w:rPr>
          <w:sz w:val="22"/>
          <w:szCs w:val="22"/>
          <w:lang w:val="el-GR"/>
        </w:rPr>
        <w:t>Στεατικό μαγνήσιο</w:t>
      </w:r>
    </w:p>
    <w:p w:rsidR="0032661A" w:rsidRPr="00E81D8F" w:rsidRDefault="0032661A">
      <w:pPr>
        <w:autoSpaceDE w:val="0"/>
        <w:autoSpaceDN w:val="0"/>
        <w:adjustRightInd w:val="0"/>
        <w:rPr>
          <w:sz w:val="22"/>
          <w:szCs w:val="22"/>
          <w:lang w:val="el-GR"/>
        </w:rPr>
      </w:pPr>
    </w:p>
    <w:p w:rsidR="0032661A" w:rsidRPr="00E81D8F" w:rsidRDefault="0032661A">
      <w:pPr>
        <w:autoSpaceDE w:val="0"/>
        <w:autoSpaceDN w:val="0"/>
        <w:adjustRightInd w:val="0"/>
        <w:rPr>
          <w:i/>
          <w:sz w:val="22"/>
          <w:szCs w:val="22"/>
          <w:lang w:val="el-GR"/>
        </w:rPr>
      </w:pPr>
      <w:r w:rsidRPr="00587DB4">
        <w:rPr>
          <w:i/>
          <w:sz w:val="22"/>
          <w:szCs w:val="22"/>
          <w:lang w:val="el-GR"/>
        </w:rPr>
        <w:t>Επικάλυψη</w:t>
      </w:r>
      <w:r w:rsidRPr="00E81D8F">
        <w:rPr>
          <w:i/>
          <w:sz w:val="22"/>
          <w:szCs w:val="22"/>
          <w:lang w:val="el-GR"/>
        </w:rPr>
        <w:t>:</w:t>
      </w:r>
    </w:p>
    <w:p w:rsidR="0032661A" w:rsidRPr="00E81D8F" w:rsidRDefault="0032661A">
      <w:pPr>
        <w:autoSpaceDE w:val="0"/>
        <w:autoSpaceDN w:val="0"/>
        <w:adjustRightInd w:val="0"/>
        <w:rPr>
          <w:sz w:val="22"/>
          <w:szCs w:val="22"/>
          <w:lang w:val="el-GR"/>
        </w:rPr>
      </w:pPr>
      <w:r w:rsidRPr="00587DB4">
        <w:rPr>
          <w:sz w:val="22"/>
          <w:szCs w:val="22"/>
          <w:lang w:val="el-GR"/>
        </w:rPr>
        <w:t>Υπρομελλόζη 6cP</w:t>
      </w:r>
    </w:p>
    <w:p w:rsidR="0032661A" w:rsidRPr="00E81D8F" w:rsidRDefault="0032661A">
      <w:pPr>
        <w:autoSpaceDE w:val="0"/>
        <w:autoSpaceDN w:val="0"/>
        <w:adjustRightInd w:val="0"/>
        <w:rPr>
          <w:sz w:val="22"/>
          <w:szCs w:val="22"/>
          <w:lang w:val="el-GR"/>
        </w:rPr>
      </w:pPr>
      <w:r w:rsidRPr="00587DB4">
        <w:rPr>
          <w:sz w:val="22"/>
          <w:szCs w:val="22"/>
          <w:lang w:val="el-GR"/>
        </w:rPr>
        <w:t>Διοξείδιο του τιτανίου (E171)</w:t>
      </w:r>
    </w:p>
    <w:p w:rsidR="0032661A" w:rsidRPr="00E81D8F" w:rsidRDefault="0032661A">
      <w:pPr>
        <w:autoSpaceDE w:val="0"/>
        <w:autoSpaceDN w:val="0"/>
        <w:adjustRightInd w:val="0"/>
        <w:rPr>
          <w:sz w:val="22"/>
          <w:szCs w:val="22"/>
          <w:lang w:val="el-GR"/>
        </w:rPr>
      </w:pPr>
      <w:r w:rsidRPr="00587DB4">
        <w:rPr>
          <w:sz w:val="22"/>
          <w:szCs w:val="22"/>
          <w:lang w:val="el-GR"/>
        </w:rPr>
        <w:t>Μακρογόλη 6000</w:t>
      </w:r>
    </w:p>
    <w:p w:rsidR="0032661A" w:rsidRPr="00587DB4" w:rsidRDefault="0032661A">
      <w:pPr>
        <w:autoSpaceDE w:val="0"/>
        <w:autoSpaceDN w:val="0"/>
        <w:adjustRightInd w:val="0"/>
        <w:rPr>
          <w:sz w:val="22"/>
          <w:szCs w:val="22"/>
          <w:lang w:val="el-GR"/>
        </w:rPr>
      </w:pPr>
    </w:p>
    <w:p w:rsidR="0032661A" w:rsidRPr="007E4D87" w:rsidRDefault="0032661A" w:rsidP="00203D2F">
      <w:pPr>
        <w:ind w:left="567" w:hanging="567"/>
        <w:rPr>
          <w:sz w:val="22"/>
          <w:szCs w:val="22"/>
          <w:lang w:val="el-GR"/>
        </w:rPr>
      </w:pPr>
      <w:r w:rsidRPr="00587DB4">
        <w:rPr>
          <w:b/>
          <w:sz w:val="22"/>
          <w:szCs w:val="22"/>
          <w:lang w:val="el-GR"/>
        </w:rPr>
        <w:t>6.2</w:t>
      </w:r>
      <w:r w:rsidRPr="00587DB4">
        <w:rPr>
          <w:b/>
          <w:sz w:val="22"/>
          <w:szCs w:val="22"/>
          <w:lang w:val="el-GR"/>
        </w:rPr>
        <w:tab/>
        <w:t>Ασυμβατότητες</w:t>
      </w:r>
    </w:p>
    <w:p w:rsidR="0032661A" w:rsidRPr="00587DB4" w:rsidRDefault="0032661A">
      <w:pPr>
        <w:rPr>
          <w:sz w:val="22"/>
          <w:szCs w:val="22"/>
          <w:lang w:val="el-GR"/>
        </w:rPr>
      </w:pPr>
      <w:r w:rsidRPr="00587DB4">
        <w:rPr>
          <w:sz w:val="22"/>
          <w:szCs w:val="22"/>
          <w:lang w:val="el-GR"/>
        </w:rPr>
        <w:t>Δεν έχει εφαρμογή.</w:t>
      </w:r>
    </w:p>
    <w:p w:rsidR="0032661A" w:rsidRPr="00587DB4" w:rsidRDefault="0032661A">
      <w:pPr>
        <w:ind w:left="567" w:hanging="567"/>
        <w:rPr>
          <w:b/>
          <w:sz w:val="22"/>
          <w:szCs w:val="22"/>
          <w:lang w:val="el-GR"/>
        </w:rPr>
      </w:pPr>
    </w:p>
    <w:p w:rsidR="0032661A" w:rsidRPr="007E4D87" w:rsidRDefault="0032661A" w:rsidP="00203D2F">
      <w:pPr>
        <w:ind w:left="567" w:hanging="567"/>
        <w:rPr>
          <w:sz w:val="22"/>
          <w:szCs w:val="22"/>
          <w:lang w:val="el-GR"/>
        </w:rPr>
      </w:pPr>
      <w:r w:rsidRPr="00587DB4">
        <w:rPr>
          <w:b/>
          <w:sz w:val="22"/>
          <w:szCs w:val="22"/>
          <w:lang w:val="el-GR"/>
        </w:rPr>
        <w:t>6.3</w:t>
      </w:r>
      <w:r w:rsidRPr="00587DB4">
        <w:rPr>
          <w:b/>
          <w:sz w:val="22"/>
          <w:szCs w:val="22"/>
          <w:lang w:val="el-GR"/>
        </w:rPr>
        <w:tab/>
        <w:t>Διάρκεια ζωής</w:t>
      </w:r>
    </w:p>
    <w:p w:rsidR="0032661A" w:rsidRPr="00587DB4" w:rsidRDefault="0032661A">
      <w:pPr>
        <w:rPr>
          <w:sz w:val="22"/>
          <w:szCs w:val="22"/>
          <w:lang w:val="el-GR"/>
        </w:rPr>
      </w:pPr>
      <w:r w:rsidRPr="00587DB4">
        <w:rPr>
          <w:color w:val="000000"/>
          <w:sz w:val="22"/>
          <w:szCs w:val="22"/>
          <w:lang w:val="el-GR"/>
        </w:rPr>
        <w:t>Συσκευασία blister από PVC/PVDC/Αλουμίνιο. 3 έτη</w:t>
      </w:r>
    </w:p>
    <w:p w:rsidR="0032661A" w:rsidRPr="00587DB4" w:rsidRDefault="0032661A">
      <w:pPr>
        <w:rPr>
          <w:sz w:val="22"/>
          <w:szCs w:val="22"/>
          <w:lang w:val="el-GR"/>
        </w:rPr>
      </w:pPr>
      <w:r w:rsidRPr="00587DB4">
        <w:rPr>
          <w:sz w:val="22"/>
          <w:szCs w:val="22"/>
          <w:lang w:val="el-GR"/>
        </w:rPr>
        <w:t>Πλαστικός (πολυαιθυλενίου) περιέκτης: 3 έτη</w:t>
      </w:r>
    </w:p>
    <w:p w:rsidR="0032661A" w:rsidRPr="00587DB4" w:rsidRDefault="0032661A">
      <w:pPr>
        <w:rPr>
          <w:b/>
          <w:sz w:val="22"/>
          <w:szCs w:val="22"/>
          <w:lang w:val="el-GR"/>
        </w:rPr>
      </w:pPr>
    </w:p>
    <w:p w:rsidR="0032661A" w:rsidRPr="00203D2F" w:rsidRDefault="0032661A" w:rsidP="00203D2F">
      <w:pPr>
        <w:ind w:left="567" w:hanging="567"/>
        <w:rPr>
          <w:b/>
          <w:sz w:val="22"/>
          <w:szCs w:val="22"/>
          <w:lang w:val="el-GR"/>
        </w:rPr>
      </w:pPr>
      <w:r w:rsidRPr="00587DB4">
        <w:rPr>
          <w:b/>
          <w:sz w:val="22"/>
          <w:szCs w:val="22"/>
          <w:lang w:val="el-GR"/>
        </w:rPr>
        <w:t>6.4</w:t>
      </w:r>
      <w:r w:rsidRPr="00587DB4">
        <w:rPr>
          <w:b/>
          <w:sz w:val="22"/>
          <w:szCs w:val="22"/>
          <w:lang w:val="el-GR"/>
        </w:rPr>
        <w:tab/>
        <w:t>Ιδιαίτερες προφυλάξεις κατά τη φύλαξη του προϊόντος</w:t>
      </w:r>
    </w:p>
    <w:p w:rsidR="0032661A" w:rsidRPr="00587DB4" w:rsidRDefault="0032661A">
      <w:pPr>
        <w:rPr>
          <w:sz w:val="22"/>
          <w:szCs w:val="22"/>
          <w:lang w:val="el-GR"/>
        </w:rPr>
      </w:pPr>
      <w:r w:rsidRPr="00587DB4">
        <w:rPr>
          <w:color w:val="000000"/>
          <w:sz w:val="22"/>
          <w:szCs w:val="22"/>
          <w:lang w:val="el-GR"/>
        </w:rPr>
        <w:t>Συσκευασία blister από PVC/PVDC/Αλουμίνιο. Μη φυλάσσεται σε θερμοκρασία άνω των 25</w:t>
      </w:r>
      <w:r w:rsidRPr="00E81D8F">
        <w:rPr>
          <w:color w:val="000000"/>
          <w:sz w:val="22"/>
          <w:szCs w:val="22"/>
          <w:lang w:val="el-GR"/>
        </w:rPr>
        <w:sym w:font="Symbol" w:char="F0B0"/>
      </w:r>
      <w:r w:rsidRPr="00587DB4">
        <w:rPr>
          <w:color w:val="000000"/>
          <w:sz w:val="22"/>
          <w:szCs w:val="22"/>
          <w:lang w:val="el-GR"/>
        </w:rPr>
        <w:t>C.</w:t>
      </w:r>
    </w:p>
    <w:p w:rsidR="0032661A" w:rsidRPr="00587DB4" w:rsidRDefault="0032661A">
      <w:pPr>
        <w:rPr>
          <w:sz w:val="22"/>
          <w:szCs w:val="22"/>
          <w:lang w:val="el-GR"/>
        </w:rPr>
      </w:pPr>
      <w:r w:rsidRPr="00587DB4">
        <w:rPr>
          <w:sz w:val="22"/>
          <w:szCs w:val="22"/>
          <w:lang w:val="el-GR"/>
        </w:rPr>
        <w:t>Πλαστικός (πολυαιθυλενίου) περιέκτης: Μη φυλάσσεται σε θερμοκρασία άνω των 30</w:t>
      </w:r>
      <w:r w:rsidRPr="00E81D8F">
        <w:rPr>
          <w:sz w:val="22"/>
          <w:szCs w:val="22"/>
          <w:lang w:val="el-GR"/>
        </w:rPr>
        <w:sym w:font="Symbol" w:char="F0B0"/>
      </w:r>
      <w:r w:rsidRPr="00587DB4">
        <w:rPr>
          <w:sz w:val="22"/>
          <w:szCs w:val="22"/>
          <w:lang w:val="el-GR"/>
        </w:rPr>
        <w:t>C.</w:t>
      </w:r>
    </w:p>
    <w:p w:rsidR="0032661A" w:rsidRPr="00587DB4" w:rsidRDefault="0032661A">
      <w:pPr>
        <w:rPr>
          <w:sz w:val="22"/>
          <w:szCs w:val="22"/>
          <w:lang w:val="el-GR"/>
        </w:rPr>
      </w:pPr>
    </w:p>
    <w:p w:rsidR="0032661A" w:rsidRPr="00203D2F" w:rsidRDefault="0032661A" w:rsidP="00203D2F">
      <w:pPr>
        <w:numPr>
          <w:ilvl w:val="1"/>
          <w:numId w:val="2"/>
        </w:numPr>
        <w:spacing w:line="260" w:lineRule="exact"/>
        <w:rPr>
          <w:b/>
          <w:sz w:val="22"/>
          <w:szCs w:val="22"/>
          <w:lang w:val="el-GR"/>
        </w:rPr>
      </w:pPr>
      <w:r w:rsidRPr="00587DB4">
        <w:rPr>
          <w:b/>
          <w:sz w:val="22"/>
          <w:szCs w:val="22"/>
          <w:lang w:val="el-GR"/>
        </w:rPr>
        <w:t>Φύση και συστατικά του περιέκτη</w:t>
      </w:r>
    </w:p>
    <w:p w:rsidR="0032661A" w:rsidRPr="00587DB4" w:rsidRDefault="0032661A">
      <w:pPr>
        <w:autoSpaceDE w:val="0"/>
        <w:autoSpaceDN w:val="0"/>
        <w:adjustRightInd w:val="0"/>
        <w:rPr>
          <w:color w:val="000000"/>
          <w:sz w:val="22"/>
          <w:szCs w:val="22"/>
          <w:lang w:val="el-GR"/>
        </w:rPr>
      </w:pPr>
      <w:r w:rsidRPr="00587DB4">
        <w:rPr>
          <w:color w:val="000000"/>
          <w:sz w:val="22"/>
          <w:szCs w:val="22"/>
          <w:lang w:val="el-GR"/>
        </w:rPr>
        <w:t>Συσκευασία blister από PVC/PVDC/αλουμίνιο με 14, 20, 28, 30, 50, 56, 60, 98, 100, 200 δισκία (5, 10, 15, 20 mg)</w:t>
      </w:r>
    </w:p>
    <w:p w:rsidR="0032661A" w:rsidRPr="00587DB4" w:rsidRDefault="0032661A">
      <w:pPr>
        <w:autoSpaceDE w:val="0"/>
        <w:autoSpaceDN w:val="0"/>
        <w:adjustRightInd w:val="0"/>
        <w:spacing w:before="120" w:after="120"/>
        <w:jc w:val="both"/>
        <w:rPr>
          <w:color w:val="000000"/>
          <w:sz w:val="22"/>
          <w:szCs w:val="22"/>
          <w:lang w:val="el-GR"/>
        </w:rPr>
      </w:pPr>
      <w:r w:rsidRPr="00587DB4">
        <w:rPr>
          <w:sz w:val="22"/>
          <w:szCs w:val="22"/>
          <w:lang w:val="el-GR"/>
        </w:rPr>
        <w:t xml:space="preserve">Πλαστικός (πολυαιθυλενίου) περιέκτης με </w:t>
      </w:r>
      <w:r w:rsidRPr="00587DB4">
        <w:rPr>
          <w:color w:val="000000"/>
          <w:sz w:val="22"/>
          <w:szCs w:val="22"/>
          <w:lang w:val="el-GR"/>
        </w:rPr>
        <w:t xml:space="preserve">100 (5, 10, 15, 20 mg) και 200 (5 και 10 mg) δισκία </w:t>
      </w:r>
    </w:p>
    <w:p w:rsidR="0032661A" w:rsidRPr="00587DB4" w:rsidRDefault="0032661A">
      <w:pPr>
        <w:rPr>
          <w:color w:val="000000"/>
          <w:sz w:val="22"/>
          <w:szCs w:val="22"/>
          <w:lang w:val="el-GR"/>
        </w:rPr>
      </w:pPr>
      <w:r w:rsidRPr="00587DB4">
        <w:rPr>
          <w:color w:val="000000"/>
          <w:sz w:val="22"/>
          <w:szCs w:val="22"/>
          <w:lang w:val="el-GR"/>
        </w:rPr>
        <w:t>Μπορεί να μην κυκλοφορούν στο εμπόριο όλα τα μεγέθη συσκευασίας.</w:t>
      </w:r>
    </w:p>
    <w:p w:rsidR="0032661A" w:rsidRPr="00587DB4" w:rsidRDefault="0032661A">
      <w:pPr>
        <w:rPr>
          <w:sz w:val="22"/>
          <w:szCs w:val="22"/>
          <w:lang w:val="el-GR"/>
        </w:rPr>
      </w:pPr>
    </w:p>
    <w:p w:rsidR="0032661A" w:rsidRPr="00587DB4" w:rsidRDefault="0032661A">
      <w:pPr>
        <w:ind w:left="567" w:hanging="567"/>
        <w:outlineLvl w:val="0"/>
        <w:rPr>
          <w:sz w:val="22"/>
          <w:szCs w:val="22"/>
          <w:lang w:val="el-GR"/>
        </w:rPr>
      </w:pPr>
      <w:r w:rsidRPr="00587DB4">
        <w:rPr>
          <w:b/>
          <w:sz w:val="22"/>
          <w:szCs w:val="22"/>
          <w:lang w:val="el-GR"/>
        </w:rPr>
        <w:t>6.6</w:t>
      </w:r>
      <w:r w:rsidRPr="00587DB4">
        <w:rPr>
          <w:b/>
          <w:sz w:val="22"/>
          <w:szCs w:val="22"/>
          <w:lang w:val="el-GR"/>
        </w:rPr>
        <w:tab/>
        <w:t>Ιδιαίτερες προφυλάξεις κατά την αποκομιδή του προϊόντος και &lt; λοιπός χειρισμός &gt;</w:t>
      </w:r>
    </w:p>
    <w:p w:rsidR="0032661A" w:rsidRPr="00587DB4" w:rsidRDefault="0032661A">
      <w:pPr>
        <w:rPr>
          <w:sz w:val="22"/>
          <w:szCs w:val="22"/>
          <w:lang w:val="el-GR"/>
        </w:rPr>
      </w:pPr>
    </w:p>
    <w:p w:rsidR="0032661A" w:rsidRPr="00587DB4" w:rsidRDefault="0032661A">
      <w:pPr>
        <w:rPr>
          <w:sz w:val="22"/>
          <w:szCs w:val="22"/>
          <w:lang w:val="el-GR"/>
        </w:rPr>
      </w:pPr>
      <w:r w:rsidRPr="00587DB4">
        <w:rPr>
          <w:sz w:val="22"/>
          <w:szCs w:val="22"/>
          <w:lang w:val="el-GR"/>
        </w:rPr>
        <w:t>Δεν υπάρχουν ειδικές προδιαγραφές.</w:t>
      </w:r>
    </w:p>
    <w:p w:rsidR="0032661A" w:rsidRPr="00587DB4" w:rsidRDefault="0032661A">
      <w:pPr>
        <w:rPr>
          <w:sz w:val="22"/>
          <w:szCs w:val="22"/>
          <w:lang w:val="el-GR"/>
        </w:rPr>
      </w:pPr>
    </w:p>
    <w:p w:rsidR="0032661A" w:rsidRPr="00587DB4" w:rsidRDefault="0032661A">
      <w:pPr>
        <w:rPr>
          <w:sz w:val="22"/>
          <w:szCs w:val="22"/>
          <w:lang w:val="el-GR"/>
        </w:rPr>
      </w:pPr>
    </w:p>
    <w:p w:rsidR="0032661A" w:rsidRPr="00587DB4" w:rsidRDefault="0032661A">
      <w:pPr>
        <w:ind w:left="567" w:hanging="567"/>
        <w:rPr>
          <w:sz w:val="22"/>
          <w:szCs w:val="22"/>
          <w:lang w:val="el-GR"/>
        </w:rPr>
      </w:pPr>
      <w:r w:rsidRPr="00587DB4">
        <w:rPr>
          <w:b/>
          <w:sz w:val="22"/>
          <w:szCs w:val="22"/>
          <w:lang w:val="el-GR"/>
        </w:rPr>
        <w:t>7.</w:t>
      </w:r>
      <w:r w:rsidRPr="00587DB4">
        <w:rPr>
          <w:b/>
          <w:sz w:val="22"/>
          <w:szCs w:val="22"/>
          <w:lang w:val="el-GR"/>
        </w:rPr>
        <w:tab/>
        <w:t>ΚΑΤΟΧΟΣ ΑΔΕΙΑΣ ΚΥΚΛΟΦΟΡΙΑΣ</w:t>
      </w:r>
    </w:p>
    <w:p w:rsidR="0032661A" w:rsidRPr="00587DB4" w:rsidRDefault="0032661A">
      <w:pPr>
        <w:rPr>
          <w:sz w:val="22"/>
          <w:szCs w:val="22"/>
          <w:lang w:val="el-GR"/>
        </w:rPr>
      </w:pPr>
    </w:p>
    <w:p w:rsidR="002B1997" w:rsidRPr="00587DB4" w:rsidRDefault="002B1997" w:rsidP="002B1997">
      <w:pPr>
        <w:spacing w:line="240" w:lineRule="atLeast"/>
        <w:rPr>
          <w:color w:val="000000"/>
          <w:sz w:val="22"/>
          <w:szCs w:val="22"/>
          <w:lang w:val="fr-FR"/>
        </w:rPr>
      </w:pPr>
      <w:proofErr w:type="spellStart"/>
      <w:r w:rsidRPr="00587DB4">
        <w:rPr>
          <w:color w:val="000000"/>
          <w:sz w:val="22"/>
          <w:szCs w:val="22"/>
          <w:lang w:val="fr-FR"/>
        </w:rPr>
        <w:t>Actavis</w:t>
      </w:r>
      <w:proofErr w:type="spellEnd"/>
      <w:r w:rsidRPr="00587DB4">
        <w:rPr>
          <w:color w:val="000000"/>
          <w:sz w:val="22"/>
          <w:szCs w:val="22"/>
          <w:lang w:val="fr-FR"/>
        </w:rPr>
        <w:t xml:space="preserve"> Group PTC </w:t>
      </w:r>
      <w:proofErr w:type="spellStart"/>
      <w:r w:rsidRPr="00587DB4">
        <w:rPr>
          <w:color w:val="000000"/>
          <w:sz w:val="22"/>
          <w:szCs w:val="22"/>
          <w:lang w:val="fr-FR"/>
        </w:rPr>
        <w:t>ehf</w:t>
      </w:r>
      <w:proofErr w:type="spellEnd"/>
    </w:p>
    <w:p w:rsidR="002B1997" w:rsidRPr="00587DB4" w:rsidRDefault="002B1997" w:rsidP="002B1997">
      <w:pPr>
        <w:spacing w:line="240" w:lineRule="atLeast"/>
        <w:rPr>
          <w:color w:val="000000"/>
          <w:sz w:val="22"/>
          <w:szCs w:val="22"/>
          <w:lang w:val="fr-FR"/>
        </w:rPr>
      </w:pPr>
      <w:proofErr w:type="spellStart"/>
      <w:r w:rsidRPr="00587DB4">
        <w:rPr>
          <w:color w:val="000000"/>
          <w:sz w:val="22"/>
          <w:szCs w:val="22"/>
          <w:lang w:val="fr-FR"/>
        </w:rPr>
        <w:t>Reykjavikurvegi</w:t>
      </w:r>
      <w:proofErr w:type="spellEnd"/>
      <w:r w:rsidRPr="00587DB4">
        <w:rPr>
          <w:color w:val="000000"/>
          <w:sz w:val="22"/>
          <w:szCs w:val="22"/>
          <w:lang w:val="fr-FR"/>
        </w:rPr>
        <w:t xml:space="preserve"> 76-78</w:t>
      </w:r>
    </w:p>
    <w:p w:rsidR="002B1997" w:rsidRPr="00587DB4" w:rsidRDefault="002B1997" w:rsidP="002B1997">
      <w:pPr>
        <w:spacing w:line="240" w:lineRule="atLeast"/>
        <w:rPr>
          <w:color w:val="000000"/>
          <w:sz w:val="22"/>
          <w:szCs w:val="22"/>
          <w:lang w:val="fr-FR"/>
        </w:rPr>
      </w:pPr>
      <w:r w:rsidRPr="00587DB4">
        <w:rPr>
          <w:color w:val="000000"/>
          <w:sz w:val="22"/>
          <w:szCs w:val="22"/>
          <w:lang w:val="fr-FR"/>
        </w:rPr>
        <w:t xml:space="preserve">220 </w:t>
      </w:r>
      <w:proofErr w:type="spellStart"/>
      <w:r w:rsidRPr="00587DB4">
        <w:rPr>
          <w:color w:val="000000"/>
          <w:sz w:val="22"/>
          <w:szCs w:val="22"/>
          <w:lang w:val="fr-FR"/>
        </w:rPr>
        <w:t>Hafnarfjordur</w:t>
      </w:r>
      <w:proofErr w:type="spellEnd"/>
    </w:p>
    <w:p w:rsidR="0032661A" w:rsidRPr="00587DB4" w:rsidRDefault="002B1997" w:rsidP="002B1997">
      <w:pPr>
        <w:spacing w:line="240" w:lineRule="atLeast"/>
        <w:rPr>
          <w:color w:val="000000"/>
          <w:sz w:val="22"/>
          <w:szCs w:val="22"/>
          <w:lang w:val="el-GR"/>
        </w:rPr>
      </w:pPr>
      <w:r w:rsidRPr="00587DB4">
        <w:rPr>
          <w:color w:val="000000"/>
          <w:sz w:val="22"/>
          <w:szCs w:val="22"/>
          <w:lang w:val="el-GR"/>
        </w:rPr>
        <w:t>Ισλανδία</w:t>
      </w:r>
    </w:p>
    <w:p w:rsidR="00E72415" w:rsidRPr="00587DB4" w:rsidRDefault="00E72415">
      <w:pPr>
        <w:spacing w:line="240" w:lineRule="atLeast"/>
        <w:rPr>
          <w:sz w:val="22"/>
          <w:szCs w:val="22"/>
          <w:lang w:val="el-GR"/>
        </w:rPr>
      </w:pPr>
    </w:p>
    <w:p w:rsidR="0032661A" w:rsidRPr="00587DB4" w:rsidRDefault="0032661A">
      <w:pPr>
        <w:ind w:left="567" w:hanging="567"/>
        <w:rPr>
          <w:b/>
          <w:sz w:val="22"/>
          <w:szCs w:val="22"/>
          <w:lang w:val="el-GR"/>
        </w:rPr>
      </w:pPr>
      <w:r w:rsidRPr="00587DB4">
        <w:rPr>
          <w:b/>
          <w:sz w:val="22"/>
          <w:szCs w:val="22"/>
          <w:lang w:val="el-GR"/>
        </w:rPr>
        <w:t>8.</w:t>
      </w:r>
      <w:r w:rsidRPr="00587DB4">
        <w:rPr>
          <w:b/>
          <w:sz w:val="22"/>
          <w:szCs w:val="22"/>
          <w:lang w:val="el-GR"/>
        </w:rPr>
        <w:tab/>
        <w:t>ΑΡΙΘΜΟΣ(ΟΙ) ΑΔΕΙΑΣ ΚΥΚΛΟΦΟΡΙΑΣ</w:t>
      </w:r>
    </w:p>
    <w:p w:rsidR="0032661A" w:rsidRPr="00587DB4" w:rsidRDefault="0032661A">
      <w:pPr>
        <w:rPr>
          <w:i/>
          <w:sz w:val="22"/>
          <w:szCs w:val="22"/>
          <w:lang w:val="el-GR"/>
        </w:rPr>
      </w:pPr>
    </w:p>
    <w:p w:rsidR="0032661A" w:rsidRPr="00587DB4" w:rsidRDefault="0032661A">
      <w:pPr>
        <w:rPr>
          <w:i/>
          <w:sz w:val="22"/>
          <w:szCs w:val="22"/>
          <w:lang w:val="el-GR"/>
        </w:rPr>
      </w:pPr>
      <w:r w:rsidRPr="00587DB4">
        <w:rPr>
          <w:sz w:val="22"/>
          <w:szCs w:val="22"/>
          <w:lang w:val="el-GR"/>
        </w:rPr>
        <w:t>&lt;[Πρέπει να συμπληρωθεί καταλλήλως, ανάλογα με τη χώρα]&gt;</w:t>
      </w:r>
    </w:p>
    <w:p w:rsidR="0032661A" w:rsidRPr="00587DB4" w:rsidRDefault="0032661A">
      <w:pPr>
        <w:rPr>
          <w:sz w:val="22"/>
          <w:szCs w:val="22"/>
          <w:lang w:val="el-GR"/>
        </w:rPr>
      </w:pPr>
    </w:p>
    <w:p w:rsidR="0032661A" w:rsidRPr="00587DB4" w:rsidRDefault="0032661A">
      <w:pPr>
        <w:rPr>
          <w:sz w:val="22"/>
          <w:szCs w:val="22"/>
          <w:lang w:val="el-GR"/>
        </w:rPr>
      </w:pPr>
    </w:p>
    <w:p w:rsidR="0032661A" w:rsidRPr="00587DB4" w:rsidRDefault="0032661A">
      <w:pPr>
        <w:ind w:left="567" w:hanging="567"/>
        <w:rPr>
          <w:sz w:val="22"/>
          <w:szCs w:val="22"/>
          <w:lang w:val="el-GR"/>
        </w:rPr>
      </w:pPr>
      <w:r w:rsidRPr="00587DB4">
        <w:rPr>
          <w:b/>
          <w:sz w:val="22"/>
          <w:szCs w:val="22"/>
          <w:lang w:val="el-GR"/>
        </w:rPr>
        <w:t>9.</w:t>
      </w:r>
      <w:r w:rsidRPr="00587DB4">
        <w:rPr>
          <w:b/>
          <w:sz w:val="22"/>
          <w:szCs w:val="22"/>
          <w:lang w:val="el-GR"/>
        </w:rPr>
        <w:tab/>
        <w:t>ΗΜΕΡΟΜΗΝΙΑ ΠΡΩΤΗΣ ΑΔΕΙΑΣ / ΑΝΑΝΕΩΣΗΣ ΑΔΕΙΑΣ ΚΥΚΛΟΦΟΡΙΑΣ</w:t>
      </w:r>
    </w:p>
    <w:p w:rsidR="0032661A" w:rsidRPr="00587DB4" w:rsidRDefault="0032661A">
      <w:pPr>
        <w:rPr>
          <w:i/>
          <w:sz w:val="22"/>
          <w:szCs w:val="22"/>
          <w:lang w:val="el-GR"/>
        </w:rPr>
      </w:pPr>
    </w:p>
    <w:p w:rsidR="005A6E2A" w:rsidRPr="007E4D87" w:rsidRDefault="005A6E2A" w:rsidP="005A6E2A">
      <w:pPr>
        <w:suppressLineNumbers/>
        <w:rPr>
          <w:i/>
          <w:noProof/>
          <w:sz w:val="22"/>
          <w:szCs w:val="22"/>
          <w:lang w:val="el-GR"/>
        </w:rPr>
      </w:pPr>
      <w:r w:rsidRPr="00E81D8F">
        <w:rPr>
          <w:noProof/>
          <w:sz w:val="22"/>
          <w:szCs w:val="22"/>
          <w:lang w:val="el-GR"/>
        </w:rPr>
        <w:t>Ημερομηνία πρώτης έγκρισης</w:t>
      </w:r>
      <w:r w:rsidR="00E81D8F">
        <w:rPr>
          <w:noProof/>
          <w:sz w:val="22"/>
          <w:szCs w:val="22"/>
          <w:lang w:val="el-GR"/>
        </w:rPr>
        <w:t xml:space="preserve">: </w:t>
      </w:r>
      <w:r w:rsidR="00701142">
        <w:rPr>
          <w:noProof/>
          <w:sz w:val="22"/>
          <w:szCs w:val="22"/>
          <w:lang w:val="el-GR"/>
        </w:rPr>
        <w:t>20 Οκτωβρίου 2010</w:t>
      </w:r>
    </w:p>
    <w:p w:rsidR="005A6E2A" w:rsidRPr="00E81D8F" w:rsidRDefault="005A6E2A" w:rsidP="005A6E2A">
      <w:pPr>
        <w:suppressLineNumbers/>
        <w:rPr>
          <w:noProof/>
          <w:sz w:val="22"/>
          <w:szCs w:val="22"/>
          <w:lang w:val="el-GR"/>
        </w:rPr>
      </w:pPr>
      <w:r w:rsidRPr="00E81D8F">
        <w:rPr>
          <w:noProof/>
          <w:sz w:val="22"/>
          <w:szCs w:val="22"/>
          <w:lang w:val="el-GR"/>
        </w:rPr>
        <w:t>&lt;Ημερομηνία τελευταίας ανανέωσης: {ΗΗ μήνας ΕΕΕΕ}&gt;</w:t>
      </w:r>
    </w:p>
    <w:p w:rsidR="0032661A" w:rsidRPr="00587DB4" w:rsidRDefault="0032661A">
      <w:pPr>
        <w:rPr>
          <w:i/>
          <w:sz w:val="22"/>
          <w:szCs w:val="22"/>
          <w:lang w:val="el-GR"/>
        </w:rPr>
      </w:pPr>
    </w:p>
    <w:p w:rsidR="0032661A" w:rsidRPr="00587DB4" w:rsidRDefault="0032661A">
      <w:pPr>
        <w:rPr>
          <w:sz w:val="22"/>
          <w:szCs w:val="22"/>
          <w:lang w:val="el-GR"/>
        </w:rPr>
      </w:pPr>
      <w:r w:rsidRPr="00587DB4">
        <w:rPr>
          <w:sz w:val="22"/>
          <w:szCs w:val="22"/>
          <w:lang w:val="el-GR"/>
        </w:rPr>
        <w:t>&lt;[Πρέπει να συμπληρωθεί καταλλήλως, ανάλογα με τη χώρα]&gt;</w:t>
      </w:r>
    </w:p>
    <w:p w:rsidR="0032661A" w:rsidRPr="00587DB4" w:rsidRDefault="0032661A">
      <w:pPr>
        <w:rPr>
          <w:sz w:val="22"/>
          <w:szCs w:val="22"/>
          <w:lang w:val="el-GR"/>
        </w:rPr>
      </w:pPr>
    </w:p>
    <w:p w:rsidR="0032661A" w:rsidRPr="00587DB4" w:rsidRDefault="0032661A">
      <w:pPr>
        <w:rPr>
          <w:sz w:val="22"/>
          <w:szCs w:val="22"/>
          <w:lang w:val="el-GR"/>
        </w:rPr>
      </w:pPr>
    </w:p>
    <w:p w:rsidR="0032661A" w:rsidRPr="00587DB4" w:rsidRDefault="0032661A">
      <w:pPr>
        <w:ind w:left="567" w:hanging="567"/>
        <w:rPr>
          <w:b/>
          <w:sz w:val="22"/>
          <w:szCs w:val="22"/>
          <w:lang w:val="el-GR"/>
        </w:rPr>
      </w:pPr>
      <w:r w:rsidRPr="00587DB4">
        <w:rPr>
          <w:b/>
          <w:sz w:val="22"/>
          <w:szCs w:val="22"/>
          <w:lang w:val="el-GR"/>
        </w:rPr>
        <w:t>10.</w:t>
      </w:r>
      <w:r w:rsidRPr="00587DB4">
        <w:rPr>
          <w:b/>
          <w:sz w:val="22"/>
          <w:szCs w:val="22"/>
          <w:lang w:val="el-GR"/>
        </w:rPr>
        <w:tab/>
        <w:t>ΗΜΕΡΟΜΗΝΙΑ ΑΝΑΘΕΩΡΗΣΗΣ ΤΟΥ ΚΕΙΜΕΝΟΥ</w:t>
      </w:r>
    </w:p>
    <w:p w:rsidR="0032661A" w:rsidRPr="00587DB4" w:rsidRDefault="0032661A">
      <w:pPr>
        <w:rPr>
          <w:sz w:val="22"/>
          <w:szCs w:val="22"/>
          <w:lang w:val="el-GR"/>
        </w:rPr>
      </w:pPr>
    </w:p>
    <w:p w:rsidR="0032661A" w:rsidRPr="00587DB4" w:rsidRDefault="0032661A">
      <w:pPr>
        <w:rPr>
          <w:sz w:val="22"/>
          <w:szCs w:val="22"/>
          <w:lang w:val="el-GR"/>
        </w:rPr>
      </w:pPr>
      <w:r w:rsidRPr="00587DB4">
        <w:rPr>
          <w:sz w:val="22"/>
          <w:szCs w:val="22"/>
          <w:lang w:val="el-GR"/>
        </w:rPr>
        <w:t>&lt;{MM/ΕΕΕΕ}&gt;</w:t>
      </w:r>
    </w:p>
    <w:p w:rsidR="005A6E2A" w:rsidRPr="00E81D8F" w:rsidRDefault="005A6E2A" w:rsidP="005A6E2A">
      <w:pPr>
        <w:suppressLineNumbers/>
        <w:rPr>
          <w:noProof/>
          <w:sz w:val="22"/>
          <w:szCs w:val="22"/>
          <w:lang w:val="el-GR"/>
        </w:rPr>
      </w:pPr>
      <w:r w:rsidRPr="00E81D8F">
        <w:rPr>
          <w:noProof/>
          <w:sz w:val="22"/>
          <w:szCs w:val="22"/>
          <w:lang w:val="el-GR"/>
        </w:rPr>
        <w:t>&lt;{ΜΜ/ΗΗ/ΕΕΕΕ}&gt;</w:t>
      </w:r>
    </w:p>
    <w:p w:rsidR="005A6E2A" w:rsidRPr="00E81D8F" w:rsidRDefault="005A6E2A" w:rsidP="005A6E2A">
      <w:pPr>
        <w:suppressLineNumbers/>
        <w:rPr>
          <w:i/>
          <w:noProof/>
          <w:szCs w:val="22"/>
          <w:lang w:val="el-GR"/>
        </w:rPr>
      </w:pPr>
      <w:r w:rsidRPr="00E81D8F">
        <w:rPr>
          <w:noProof/>
          <w:sz w:val="22"/>
          <w:szCs w:val="22"/>
          <w:lang w:val="el-GR"/>
        </w:rPr>
        <w:t>&lt;{ΜΜ μήνας ΕΕΕΕ}&gt;</w:t>
      </w:r>
    </w:p>
    <w:p w:rsidR="00E933BB" w:rsidRPr="00587DB4" w:rsidRDefault="00E933BB" w:rsidP="00E933BB">
      <w:pPr>
        <w:numPr>
          <w:ilvl w:val="12"/>
          <w:numId w:val="0"/>
        </w:numPr>
        <w:ind w:right="-2"/>
        <w:rPr>
          <w:iCs/>
          <w:lang w:val="el-GR"/>
        </w:rPr>
      </w:pPr>
    </w:p>
    <w:p w:rsidR="00E933BB" w:rsidRPr="00587DB4" w:rsidRDefault="00E933BB" w:rsidP="00E933BB">
      <w:pPr>
        <w:rPr>
          <w:b/>
          <w:lang w:val="el-GR"/>
        </w:rPr>
      </w:pPr>
    </w:p>
    <w:p w:rsidR="00E933BB" w:rsidRPr="007E4D87" w:rsidRDefault="00E933BB" w:rsidP="00203D2F">
      <w:pPr>
        <w:rPr>
          <w:b/>
          <w:lang w:val="el-GR"/>
        </w:rPr>
      </w:pPr>
    </w:p>
    <w:p w:rsidR="00203D2F" w:rsidRPr="007E4D87" w:rsidRDefault="00203D2F" w:rsidP="00203D2F">
      <w:pPr>
        <w:rPr>
          <w:b/>
          <w:lang w:val="el-GR"/>
        </w:rPr>
      </w:pPr>
    </w:p>
    <w:p w:rsidR="00203D2F" w:rsidRPr="007E4D87" w:rsidRDefault="00203D2F" w:rsidP="00203D2F">
      <w:pPr>
        <w:rPr>
          <w:b/>
          <w:lang w:val="el-GR"/>
        </w:rPr>
      </w:pPr>
    </w:p>
    <w:p w:rsidR="00203D2F" w:rsidRPr="007E4D87" w:rsidRDefault="00203D2F" w:rsidP="00203D2F">
      <w:pPr>
        <w:rPr>
          <w:b/>
          <w:lang w:val="el-GR"/>
        </w:rPr>
      </w:pPr>
    </w:p>
    <w:p w:rsidR="00203D2F" w:rsidRPr="007E4D87" w:rsidRDefault="00203D2F" w:rsidP="00203D2F">
      <w:pPr>
        <w:rPr>
          <w:b/>
          <w:lang w:val="el-GR"/>
        </w:rPr>
      </w:pPr>
    </w:p>
    <w:p w:rsidR="00203D2F" w:rsidRPr="007E4D87" w:rsidRDefault="00203D2F" w:rsidP="00203D2F">
      <w:pPr>
        <w:rPr>
          <w:b/>
          <w:lang w:val="el-GR"/>
        </w:rPr>
      </w:pPr>
    </w:p>
    <w:p w:rsidR="00203D2F" w:rsidRPr="007E4D87" w:rsidRDefault="00203D2F" w:rsidP="00203D2F">
      <w:pPr>
        <w:rPr>
          <w:b/>
          <w:lang w:val="el-GR"/>
        </w:rPr>
      </w:pPr>
    </w:p>
    <w:p w:rsidR="00203D2F" w:rsidRPr="007E4D87" w:rsidRDefault="00203D2F" w:rsidP="00203D2F">
      <w:pPr>
        <w:rPr>
          <w:b/>
          <w:lang w:val="el-GR"/>
        </w:rPr>
      </w:pPr>
    </w:p>
    <w:p w:rsidR="00203D2F" w:rsidRPr="007E4D87" w:rsidRDefault="00203D2F" w:rsidP="00203D2F">
      <w:pPr>
        <w:rPr>
          <w:b/>
          <w:lang w:val="el-GR"/>
        </w:rPr>
      </w:pPr>
    </w:p>
    <w:p w:rsidR="00203D2F" w:rsidRPr="007E4D87" w:rsidRDefault="00203D2F" w:rsidP="00203D2F">
      <w:pPr>
        <w:rPr>
          <w:b/>
          <w:lang w:val="el-GR"/>
        </w:rPr>
      </w:pPr>
    </w:p>
    <w:p w:rsidR="00203D2F" w:rsidRPr="007E4D87" w:rsidRDefault="00203D2F" w:rsidP="00203D2F">
      <w:pPr>
        <w:rPr>
          <w:b/>
          <w:lang w:val="el-GR"/>
        </w:rPr>
      </w:pPr>
    </w:p>
    <w:p w:rsidR="00203D2F" w:rsidRPr="007E4D87" w:rsidRDefault="00203D2F" w:rsidP="00203D2F">
      <w:pPr>
        <w:rPr>
          <w:b/>
          <w:lang w:val="el-GR"/>
        </w:rPr>
      </w:pPr>
    </w:p>
    <w:p w:rsidR="00203D2F" w:rsidRPr="007E4D87" w:rsidRDefault="00203D2F" w:rsidP="00203D2F">
      <w:pPr>
        <w:rPr>
          <w:b/>
          <w:lang w:val="el-GR"/>
        </w:rPr>
      </w:pPr>
    </w:p>
    <w:p w:rsidR="00203D2F" w:rsidRPr="007E4D87" w:rsidRDefault="00203D2F" w:rsidP="00203D2F">
      <w:pPr>
        <w:rPr>
          <w:b/>
          <w:lang w:val="el-GR"/>
        </w:rPr>
      </w:pPr>
    </w:p>
    <w:p w:rsidR="00203D2F" w:rsidRPr="007E4D87" w:rsidRDefault="00203D2F" w:rsidP="00203D2F">
      <w:pPr>
        <w:rPr>
          <w:b/>
          <w:lang w:val="el-GR"/>
        </w:rPr>
      </w:pPr>
    </w:p>
    <w:p w:rsidR="00203D2F" w:rsidRPr="007E4D87" w:rsidRDefault="00203D2F" w:rsidP="00203D2F">
      <w:pPr>
        <w:rPr>
          <w:b/>
          <w:lang w:val="el-GR"/>
        </w:rPr>
      </w:pPr>
    </w:p>
    <w:p w:rsidR="00203D2F" w:rsidRPr="007E4D87" w:rsidRDefault="00203D2F" w:rsidP="00203D2F">
      <w:pPr>
        <w:rPr>
          <w:b/>
          <w:lang w:val="el-GR"/>
        </w:rPr>
      </w:pPr>
    </w:p>
    <w:p w:rsidR="00203D2F" w:rsidRPr="007E4D87" w:rsidRDefault="00203D2F" w:rsidP="00203D2F">
      <w:pPr>
        <w:rPr>
          <w:b/>
          <w:lang w:val="el-GR"/>
        </w:rPr>
      </w:pPr>
    </w:p>
    <w:p w:rsidR="00203D2F" w:rsidRPr="007E4D87" w:rsidRDefault="00203D2F" w:rsidP="00203D2F">
      <w:pPr>
        <w:rPr>
          <w:b/>
          <w:lang w:val="el-GR"/>
        </w:rPr>
      </w:pPr>
    </w:p>
    <w:p w:rsidR="00203D2F" w:rsidRPr="007E4D87" w:rsidRDefault="00203D2F" w:rsidP="00203D2F">
      <w:pPr>
        <w:rPr>
          <w:lang w:val="el-GR"/>
        </w:rPr>
      </w:pPr>
    </w:p>
    <w:sectPr w:rsidR="00203D2F" w:rsidRPr="007E4D87" w:rsidSect="0015495F">
      <w:footerReference w:type="default" r:id="rId7"/>
      <w:pgSz w:w="12240" w:h="15840"/>
      <w:pgMar w:top="1440" w:right="1325"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8EC" w:rsidRDefault="009D68EC">
      <w:r>
        <w:separator/>
      </w:r>
    </w:p>
  </w:endnote>
  <w:endnote w:type="continuationSeparator" w:id="0">
    <w:p w:rsidR="009D68EC" w:rsidRDefault="009D6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7E" w:rsidRDefault="00F341FA" w:rsidP="0053026B">
    <w:pPr>
      <w:pStyle w:val="a5"/>
      <w:jc w:val="center"/>
    </w:pPr>
    <w:r>
      <w:rPr>
        <w:rStyle w:val="a6"/>
      </w:rPr>
      <w:fldChar w:fldCharType="begin"/>
    </w:r>
    <w:r w:rsidR="00C46D7E">
      <w:rPr>
        <w:rStyle w:val="a6"/>
      </w:rPr>
      <w:instrText xml:space="preserve"> PAGE </w:instrText>
    </w:r>
    <w:r>
      <w:rPr>
        <w:rStyle w:val="a6"/>
      </w:rPr>
      <w:fldChar w:fldCharType="separate"/>
    </w:r>
    <w:r w:rsidR="00C3408D">
      <w:rPr>
        <w:rStyle w:val="a6"/>
        <w:noProof/>
      </w:rPr>
      <w:t>16</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8EC" w:rsidRDefault="009D68EC">
      <w:r>
        <w:separator/>
      </w:r>
    </w:p>
  </w:footnote>
  <w:footnote w:type="continuationSeparator" w:id="0">
    <w:p w:rsidR="009D68EC" w:rsidRDefault="009D6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00001"/>
    <w:name w:val="WW8Num1"/>
    <w:lvl w:ilvl="0">
      <w:start w:val="1"/>
      <w:numFmt w:val="bullet"/>
      <w:lvlText w:val="-"/>
      <w:lvlJc w:val="left"/>
      <w:pPr>
        <w:tabs>
          <w:tab w:val="num" w:pos="360"/>
        </w:tabs>
      </w:pPr>
      <w:rPr>
        <w:rFonts w:ascii="Thorndale" w:hAnsi="Thorndale"/>
        <w:sz w:val="16"/>
      </w:rPr>
    </w:lvl>
  </w:abstractNum>
  <w:abstractNum w:abstractNumId="2">
    <w:nsid w:val="02006F37"/>
    <w:multiLevelType w:val="hybridMultilevel"/>
    <w:tmpl w:val="AE14AB8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3E34871"/>
    <w:multiLevelType w:val="hybridMultilevel"/>
    <w:tmpl w:val="2990F7F4"/>
    <w:lvl w:ilvl="0" w:tplc="0648516C">
      <w:start w:val="4"/>
      <w:numFmt w:val="bullet"/>
      <w:lvlText w:val="-"/>
      <w:lvlJc w:val="left"/>
      <w:pPr>
        <w:tabs>
          <w:tab w:val="num" w:pos="720"/>
        </w:tabs>
        <w:ind w:left="720" w:hanging="360"/>
      </w:pPr>
      <w:rPr>
        <w:rFonts w:ascii="TimesNewRomanPSMT" w:eastAsia="Times New Roman" w:hAnsi="TimesNewRomanPSMT"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5">
    <w:nsid w:val="056809B1"/>
    <w:multiLevelType w:val="multilevel"/>
    <w:tmpl w:val="D9AA0AA0"/>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5DB4871"/>
    <w:multiLevelType w:val="singleLevel"/>
    <w:tmpl w:val="FFFFFFFF"/>
    <w:lvl w:ilvl="0">
      <w:start w:val="1"/>
      <w:numFmt w:val="bullet"/>
      <w:lvlText w:val=""/>
      <w:lvlJc w:val="left"/>
      <w:pPr>
        <w:ind w:left="283" w:hanging="283"/>
      </w:pPr>
      <w:rPr>
        <w:rFonts w:ascii="Symbol" w:hAnsi="Symbol" w:hint="default"/>
      </w:rPr>
    </w:lvl>
  </w:abstractNum>
  <w:abstractNum w:abstractNumId="7">
    <w:nsid w:val="0C816E6D"/>
    <w:multiLevelType w:val="hybridMultilevel"/>
    <w:tmpl w:val="320C6074"/>
    <w:lvl w:ilvl="0" w:tplc="5740AA08">
      <w:start w:val="4"/>
      <w:numFmt w:val="bullet"/>
      <w:lvlText w:val="–"/>
      <w:lvlJc w:val="left"/>
      <w:pPr>
        <w:tabs>
          <w:tab w:val="num" w:pos="425"/>
        </w:tabs>
        <w:ind w:left="425" w:hanging="425"/>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6B978CD"/>
    <w:multiLevelType w:val="singleLevel"/>
    <w:tmpl w:val="31304CA6"/>
    <w:lvl w:ilvl="0">
      <w:start w:val="1"/>
      <w:numFmt w:val="decimal"/>
      <w:lvlText w:val="%1."/>
      <w:lvlJc w:val="left"/>
      <w:pPr>
        <w:ind w:left="360" w:hanging="360"/>
      </w:pPr>
      <w:rPr>
        <w:rFonts w:cs="Times New Roman"/>
      </w:rPr>
    </w:lvl>
  </w:abstractNum>
  <w:abstractNum w:abstractNumId="9">
    <w:nsid w:val="18024C07"/>
    <w:multiLevelType w:val="hybridMultilevel"/>
    <w:tmpl w:val="C3F0649C"/>
    <w:lvl w:ilvl="0" w:tplc="47F055F0">
      <w:start w:val="1"/>
      <w:numFmt w:val="bullet"/>
      <w:lvlText w:val=""/>
      <w:lvlJc w:val="left"/>
      <w:pPr>
        <w:tabs>
          <w:tab w:val="num" w:pos="510"/>
        </w:tabs>
        <w:ind w:left="510" w:hanging="39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90A436D"/>
    <w:multiLevelType w:val="multilevel"/>
    <w:tmpl w:val="3FCA77E4"/>
    <w:lvl w:ilvl="0">
      <w:start w:val="4"/>
      <w:numFmt w:val="decimal"/>
      <w:lvlText w:val="%1."/>
      <w:lvlJc w:val="left"/>
      <w:pPr>
        <w:tabs>
          <w:tab w:val="num" w:pos="570"/>
        </w:tabs>
        <w:ind w:left="570" w:hanging="5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EA37FC5"/>
    <w:multiLevelType w:val="singleLevel"/>
    <w:tmpl w:val="FFFFFFFF"/>
    <w:lvl w:ilvl="0">
      <w:start w:val="1"/>
      <w:numFmt w:val="bullet"/>
      <w:lvlText w:val="-"/>
      <w:lvlJc w:val="left"/>
      <w:pPr>
        <w:ind w:left="1800" w:hanging="360"/>
      </w:pPr>
    </w:lvl>
  </w:abstractNum>
  <w:abstractNum w:abstractNumId="12">
    <w:nsid w:val="1FBF0E2B"/>
    <w:multiLevelType w:val="hybridMultilevel"/>
    <w:tmpl w:val="8E0A8F3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pStyle w:val="AHeader3abc"/>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14">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222B0924"/>
    <w:multiLevelType w:val="hybridMultilevel"/>
    <w:tmpl w:val="A14EAE3E"/>
    <w:lvl w:ilvl="0" w:tplc="C2D62C30">
      <w:start w:val="1"/>
      <w:numFmt w:val="decimal"/>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2EE53610"/>
    <w:multiLevelType w:val="singleLevel"/>
    <w:tmpl w:val="A2B8F0DC"/>
    <w:lvl w:ilvl="0">
      <w:start w:val="1"/>
      <w:numFmt w:val="upperLetter"/>
      <w:lvlText w:val="%1."/>
      <w:lvlJc w:val="left"/>
      <w:pPr>
        <w:ind w:left="1494" w:hanging="360"/>
      </w:pPr>
      <w:rPr>
        <w:rFonts w:cs="Times New Roman"/>
      </w:rPr>
    </w:lvl>
  </w:abstractNum>
  <w:abstractNum w:abstractNumId="19">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36D96073"/>
    <w:multiLevelType w:val="hybridMultilevel"/>
    <w:tmpl w:val="CA663CC0"/>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3">
    <w:nsid w:val="371B49A3"/>
    <w:multiLevelType w:val="hybridMultilevel"/>
    <w:tmpl w:val="48704514"/>
    <w:lvl w:ilvl="0" w:tplc="F6C21ACC">
      <w:start w:val="4"/>
      <w:numFmt w:val="decimal"/>
      <w:lvlText w:val="%1."/>
      <w:lvlJc w:val="left"/>
      <w:pPr>
        <w:tabs>
          <w:tab w:val="num" w:pos="570"/>
        </w:tabs>
        <w:ind w:left="570" w:hanging="57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3E6D2C2B"/>
    <w:multiLevelType w:val="hybridMultilevel"/>
    <w:tmpl w:val="03A888B4"/>
    <w:lvl w:ilvl="0" w:tplc="6D942344">
      <w:start w:val="1"/>
      <w:numFmt w:val="decimal"/>
      <w:lvlText w:val="%1."/>
      <w:lvlJc w:val="left"/>
      <w:pPr>
        <w:tabs>
          <w:tab w:val="num" w:pos="570"/>
        </w:tabs>
        <w:ind w:left="570" w:hanging="57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3E981181"/>
    <w:multiLevelType w:val="hybridMultilevel"/>
    <w:tmpl w:val="87F444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F4C0985"/>
    <w:multiLevelType w:val="hybridMultilevel"/>
    <w:tmpl w:val="B6240E56"/>
    <w:lvl w:ilvl="0" w:tplc="F6C21ACC">
      <w:start w:val="4"/>
      <w:numFmt w:val="decimal"/>
      <w:lvlText w:val="%1."/>
      <w:lvlJc w:val="left"/>
      <w:pPr>
        <w:tabs>
          <w:tab w:val="num" w:pos="570"/>
        </w:tabs>
        <w:ind w:left="570" w:hanging="57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467373A9"/>
    <w:multiLevelType w:val="hybridMultilevel"/>
    <w:tmpl w:val="E3BA04EE"/>
    <w:lvl w:ilvl="0" w:tplc="FFFFFFFF">
      <w:start w:val="1"/>
      <w:numFmt w:val="decimal"/>
      <w:lvlText w:val="%1."/>
      <w:lvlJc w:val="left"/>
      <w:pPr>
        <w:tabs>
          <w:tab w:val="num" w:pos="930"/>
        </w:tabs>
        <w:ind w:left="930" w:hanging="570"/>
      </w:pPr>
      <w:rPr>
        <w:rFonts w:cs="Times New Roman" w:hint="default"/>
      </w:rPr>
    </w:lvl>
    <w:lvl w:ilvl="1" w:tplc="FFFFFFFF">
      <w:start w:val="5"/>
      <w:numFmt w:val="decimal"/>
      <w:lvlText w:val="%2"/>
      <w:lvlJc w:val="left"/>
      <w:pPr>
        <w:tabs>
          <w:tab w:val="num" w:pos="1650"/>
        </w:tabs>
        <w:ind w:left="1650" w:hanging="57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810019"/>
    <w:multiLevelType w:val="singleLevel"/>
    <w:tmpl w:val="FFFFFFFF"/>
    <w:lvl w:ilvl="0">
      <w:start w:val="1"/>
      <w:numFmt w:val="bullet"/>
      <w:lvlText w:val="-"/>
      <w:lvlJc w:val="left"/>
      <w:pPr>
        <w:ind w:left="1800" w:hanging="360"/>
      </w:pPr>
    </w:lvl>
  </w:abstractNum>
  <w:abstractNum w:abstractNumId="30">
    <w:nsid w:val="560C4365"/>
    <w:multiLevelType w:val="singleLevel"/>
    <w:tmpl w:val="FFFFFFFF"/>
    <w:lvl w:ilvl="0">
      <w:start w:val="1"/>
      <w:numFmt w:val="bullet"/>
      <w:lvlText w:val="-"/>
      <w:lvlJc w:val="left"/>
      <w:pPr>
        <w:ind w:left="1800" w:hanging="360"/>
      </w:pPr>
    </w:lvl>
  </w:abstractNum>
  <w:abstractNum w:abstractNumId="31">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B56C73"/>
    <w:multiLevelType w:val="hybridMultilevel"/>
    <w:tmpl w:val="2278B622"/>
    <w:lvl w:ilvl="0" w:tplc="B58E93FA">
      <w:start w:val="2"/>
      <w:numFmt w:val="decimal"/>
      <w:lvlText w:val="%1."/>
      <w:lvlJc w:val="left"/>
      <w:pPr>
        <w:tabs>
          <w:tab w:val="num" w:pos="570"/>
        </w:tabs>
        <w:ind w:left="570" w:hanging="57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5B45364D"/>
    <w:multiLevelType w:val="singleLevel"/>
    <w:tmpl w:val="CDFCF48C"/>
    <w:lvl w:ilvl="0">
      <w:start w:val="8"/>
      <w:numFmt w:val="decimal"/>
      <w:lvlText w:val="%1."/>
      <w:lvlJc w:val="left"/>
      <w:pPr>
        <w:tabs>
          <w:tab w:val="num" w:pos="570"/>
        </w:tabs>
        <w:ind w:left="570" w:hanging="570"/>
      </w:pPr>
      <w:rPr>
        <w:rFonts w:cs="Times New Roman" w:hint="default"/>
        <w:b/>
      </w:rPr>
    </w:lvl>
  </w:abstractNum>
  <w:abstractNum w:abstractNumId="34">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901BD3"/>
    <w:multiLevelType w:val="hybridMultilevel"/>
    <w:tmpl w:val="4E5C8746"/>
    <w:lvl w:ilvl="0" w:tplc="04090017">
      <w:start w:val="1"/>
      <w:numFmt w:val="lowerLetter"/>
      <w:lvlText w:val="%1)"/>
      <w:lvlJc w:val="left"/>
      <w:pPr>
        <w:tabs>
          <w:tab w:val="num" w:pos="1800"/>
        </w:tabs>
        <w:ind w:left="1800" w:hanging="360"/>
      </w:pPr>
      <w:rPr>
        <w:rFonts w:cs="Times New Roman"/>
      </w:rPr>
    </w:lvl>
    <w:lvl w:ilvl="1" w:tplc="0409001B">
      <w:start w:val="1"/>
      <w:numFmt w:val="lowerRoman"/>
      <w:lvlText w:val="%2."/>
      <w:lvlJc w:val="righ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nsid w:val="638649FD"/>
    <w:multiLevelType w:val="hybridMultilevel"/>
    <w:tmpl w:val="4A945CDA"/>
    <w:lvl w:ilvl="0" w:tplc="0409000F">
      <w:start w:val="1"/>
      <w:numFmt w:val="decimal"/>
      <w:lvlText w:val="%1."/>
      <w:lvlJc w:val="left"/>
      <w:pPr>
        <w:tabs>
          <w:tab w:val="num" w:pos="1353"/>
        </w:tabs>
        <w:ind w:left="1353" w:hanging="360"/>
      </w:pPr>
      <w:rPr>
        <w:rFonts w:cs="Times New Roman"/>
      </w:rPr>
    </w:lvl>
    <w:lvl w:ilvl="1" w:tplc="04090019" w:tentative="1">
      <w:start w:val="1"/>
      <w:numFmt w:val="lowerLetter"/>
      <w:lvlText w:val="%2."/>
      <w:lvlJc w:val="left"/>
      <w:pPr>
        <w:tabs>
          <w:tab w:val="num" w:pos="2073"/>
        </w:tabs>
        <w:ind w:left="2073" w:hanging="360"/>
      </w:pPr>
      <w:rPr>
        <w:rFonts w:cs="Times New Roman"/>
      </w:rPr>
    </w:lvl>
    <w:lvl w:ilvl="2" w:tplc="0409001B" w:tentative="1">
      <w:start w:val="1"/>
      <w:numFmt w:val="lowerRoman"/>
      <w:lvlText w:val="%3."/>
      <w:lvlJc w:val="right"/>
      <w:pPr>
        <w:tabs>
          <w:tab w:val="num" w:pos="2793"/>
        </w:tabs>
        <w:ind w:left="2793" w:hanging="180"/>
      </w:pPr>
      <w:rPr>
        <w:rFonts w:cs="Times New Roman"/>
      </w:rPr>
    </w:lvl>
    <w:lvl w:ilvl="3" w:tplc="0409000F" w:tentative="1">
      <w:start w:val="1"/>
      <w:numFmt w:val="decimal"/>
      <w:lvlText w:val="%4."/>
      <w:lvlJc w:val="left"/>
      <w:pPr>
        <w:tabs>
          <w:tab w:val="num" w:pos="3513"/>
        </w:tabs>
        <w:ind w:left="3513" w:hanging="360"/>
      </w:pPr>
      <w:rPr>
        <w:rFonts w:cs="Times New Roman"/>
      </w:rPr>
    </w:lvl>
    <w:lvl w:ilvl="4" w:tplc="04090019" w:tentative="1">
      <w:start w:val="1"/>
      <w:numFmt w:val="lowerLetter"/>
      <w:lvlText w:val="%5."/>
      <w:lvlJc w:val="left"/>
      <w:pPr>
        <w:tabs>
          <w:tab w:val="num" w:pos="4233"/>
        </w:tabs>
        <w:ind w:left="4233" w:hanging="360"/>
      </w:pPr>
      <w:rPr>
        <w:rFonts w:cs="Times New Roman"/>
      </w:rPr>
    </w:lvl>
    <w:lvl w:ilvl="5" w:tplc="0409001B" w:tentative="1">
      <w:start w:val="1"/>
      <w:numFmt w:val="lowerRoman"/>
      <w:lvlText w:val="%6."/>
      <w:lvlJc w:val="right"/>
      <w:pPr>
        <w:tabs>
          <w:tab w:val="num" w:pos="4953"/>
        </w:tabs>
        <w:ind w:left="4953" w:hanging="180"/>
      </w:pPr>
      <w:rPr>
        <w:rFonts w:cs="Times New Roman"/>
      </w:rPr>
    </w:lvl>
    <w:lvl w:ilvl="6" w:tplc="0409000F" w:tentative="1">
      <w:start w:val="1"/>
      <w:numFmt w:val="decimal"/>
      <w:lvlText w:val="%7."/>
      <w:lvlJc w:val="left"/>
      <w:pPr>
        <w:tabs>
          <w:tab w:val="num" w:pos="5673"/>
        </w:tabs>
        <w:ind w:left="5673" w:hanging="360"/>
      </w:pPr>
      <w:rPr>
        <w:rFonts w:cs="Times New Roman"/>
      </w:rPr>
    </w:lvl>
    <w:lvl w:ilvl="7" w:tplc="04090019" w:tentative="1">
      <w:start w:val="1"/>
      <w:numFmt w:val="lowerLetter"/>
      <w:lvlText w:val="%8."/>
      <w:lvlJc w:val="left"/>
      <w:pPr>
        <w:tabs>
          <w:tab w:val="num" w:pos="6393"/>
        </w:tabs>
        <w:ind w:left="6393" w:hanging="360"/>
      </w:pPr>
      <w:rPr>
        <w:rFonts w:cs="Times New Roman"/>
      </w:rPr>
    </w:lvl>
    <w:lvl w:ilvl="8" w:tplc="0409001B" w:tentative="1">
      <w:start w:val="1"/>
      <w:numFmt w:val="lowerRoman"/>
      <w:lvlText w:val="%9."/>
      <w:lvlJc w:val="right"/>
      <w:pPr>
        <w:tabs>
          <w:tab w:val="num" w:pos="7113"/>
        </w:tabs>
        <w:ind w:left="7113" w:hanging="180"/>
      </w:pPr>
      <w:rPr>
        <w:rFonts w:cs="Times New Roman"/>
      </w:rPr>
    </w:lvl>
  </w:abstractNum>
  <w:abstractNum w:abstractNumId="37">
    <w:nsid w:val="6518235F"/>
    <w:multiLevelType w:val="hybridMultilevel"/>
    <w:tmpl w:val="42E4AA10"/>
    <w:lvl w:ilvl="0" w:tplc="9CB076E8">
      <w:start w:val="10"/>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39">
    <w:nsid w:val="68247730"/>
    <w:multiLevelType w:val="singleLevel"/>
    <w:tmpl w:val="F6C21ACC"/>
    <w:lvl w:ilvl="0">
      <w:start w:val="4"/>
      <w:numFmt w:val="decimal"/>
      <w:lvlText w:val="%1."/>
      <w:lvlJc w:val="left"/>
      <w:pPr>
        <w:tabs>
          <w:tab w:val="num" w:pos="570"/>
        </w:tabs>
        <w:ind w:left="570" w:hanging="570"/>
      </w:pPr>
      <w:rPr>
        <w:rFonts w:cs="Times New Roman" w:hint="default"/>
      </w:rPr>
    </w:lvl>
  </w:abstractNum>
  <w:abstractNum w:abstractNumId="40">
    <w:nsid w:val="68A95BDB"/>
    <w:multiLevelType w:val="hybridMultilevel"/>
    <w:tmpl w:val="55D40C4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1">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nsid w:val="6BEB7447"/>
    <w:multiLevelType w:val="singleLevel"/>
    <w:tmpl w:val="FFFFFFFF"/>
    <w:lvl w:ilvl="0">
      <w:start w:val="1"/>
      <w:numFmt w:val="bullet"/>
      <w:lvlText w:val=""/>
      <w:lvlJc w:val="left"/>
      <w:pPr>
        <w:ind w:left="283" w:hanging="283"/>
      </w:pPr>
      <w:rPr>
        <w:rFonts w:ascii="Symbol" w:hAnsi="Symbol" w:hint="default"/>
      </w:rPr>
    </w:lvl>
  </w:abstractNum>
  <w:abstractNum w:abstractNumId="43">
    <w:nsid w:val="6C1F42B2"/>
    <w:multiLevelType w:val="hybridMultilevel"/>
    <w:tmpl w:val="DACA238C"/>
    <w:lvl w:ilvl="0" w:tplc="5740AA08">
      <w:start w:val="4"/>
      <w:numFmt w:val="bullet"/>
      <w:lvlText w:val="–"/>
      <w:lvlJc w:val="left"/>
      <w:pPr>
        <w:tabs>
          <w:tab w:val="num" w:pos="425"/>
        </w:tabs>
        <w:ind w:left="425" w:hanging="425"/>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45">
    <w:nsid w:val="6DB34728"/>
    <w:multiLevelType w:val="multilevel"/>
    <w:tmpl w:val="F550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FB76EB"/>
    <w:multiLevelType w:val="hybridMultilevel"/>
    <w:tmpl w:val="CC66055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72352945"/>
    <w:multiLevelType w:val="multilevel"/>
    <w:tmpl w:val="DC763B60"/>
    <w:lvl w:ilvl="0">
      <w:start w:val="3"/>
      <w:numFmt w:val="decimal"/>
      <w:lvlText w:val="%1"/>
      <w:lvlJc w:val="left"/>
      <w:pPr>
        <w:tabs>
          <w:tab w:val="num" w:pos="420"/>
        </w:tabs>
        <w:ind w:left="420" w:hanging="420"/>
      </w:pPr>
      <w:rPr>
        <w:rFonts w:cs="Times New Roman" w:hint="default"/>
        <w:b/>
      </w:rPr>
    </w:lvl>
    <w:lvl w:ilvl="1">
      <w:start w:val="4"/>
      <w:numFmt w:val="decimal"/>
      <w:lvlText w:val="%1.%2"/>
      <w:lvlJc w:val="left"/>
      <w:pPr>
        <w:tabs>
          <w:tab w:val="num" w:pos="708"/>
        </w:tabs>
        <w:ind w:left="708" w:hanging="420"/>
      </w:pPr>
      <w:rPr>
        <w:rFonts w:cs="Times New Roman" w:hint="default"/>
        <w:b/>
      </w:rPr>
    </w:lvl>
    <w:lvl w:ilvl="2">
      <w:start w:val="1"/>
      <w:numFmt w:val="decimal"/>
      <w:lvlText w:val="%1.%2.%3"/>
      <w:lvlJc w:val="left"/>
      <w:pPr>
        <w:tabs>
          <w:tab w:val="num" w:pos="1296"/>
        </w:tabs>
        <w:ind w:left="1296" w:hanging="720"/>
      </w:pPr>
      <w:rPr>
        <w:rFonts w:cs="Times New Roman" w:hint="default"/>
        <w:b/>
      </w:rPr>
    </w:lvl>
    <w:lvl w:ilvl="3">
      <w:start w:val="1"/>
      <w:numFmt w:val="decimal"/>
      <w:lvlText w:val="%1.%2.%3.%4"/>
      <w:lvlJc w:val="left"/>
      <w:pPr>
        <w:tabs>
          <w:tab w:val="num" w:pos="1584"/>
        </w:tabs>
        <w:ind w:left="1584" w:hanging="720"/>
      </w:pPr>
      <w:rPr>
        <w:rFonts w:cs="Times New Roman" w:hint="default"/>
        <w:b/>
      </w:rPr>
    </w:lvl>
    <w:lvl w:ilvl="4">
      <w:start w:val="1"/>
      <w:numFmt w:val="decimal"/>
      <w:lvlText w:val="%1.%2.%3.%4.%5"/>
      <w:lvlJc w:val="left"/>
      <w:pPr>
        <w:tabs>
          <w:tab w:val="num" w:pos="2232"/>
        </w:tabs>
        <w:ind w:left="2232" w:hanging="1080"/>
      </w:pPr>
      <w:rPr>
        <w:rFonts w:cs="Times New Roman" w:hint="default"/>
        <w:b/>
      </w:rPr>
    </w:lvl>
    <w:lvl w:ilvl="5">
      <w:start w:val="1"/>
      <w:numFmt w:val="decimal"/>
      <w:lvlText w:val="%1.%2.%3.%4.%5.%6"/>
      <w:lvlJc w:val="left"/>
      <w:pPr>
        <w:tabs>
          <w:tab w:val="num" w:pos="2520"/>
        </w:tabs>
        <w:ind w:left="2520" w:hanging="1080"/>
      </w:pPr>
      <w:rPr>
        <w:rFonts w:cs="Times New Roman" w:hint="default"/>
        <w:b/>
      </w:rPr>
    </w:lvl>
    <w:lvl w:ilvl="6">
      <w:start w:val="1"/>
      <w:numFmt w:val="decimal"/>
      <w:lvlText w:val="%1.%2.%3.%4.%5.%6.%7"/>
      <w:lvlJc w:val="left"/>
      <w:pPr>
        <w:tabs>
          <w:tab w:val="num" w:pos="3168"/>
        </w:tabs>
        <w:ind w:left="3168" w:hanging="1440"/>
      </w:pPr>
      <w:rPr>
        <w:rFonts w:cs="Times New Roman" w:hint="default"/>
        <w:b/>
      </w:rPr>
    </w:lvl>
    <w:lvl w:ilvl="7">
      <w:start w:val="1"/>
      <w:numFmt w:val="decimal"/>
      <w:lvlText w:val="%1.%2.%3.%4.%5.%6.%7.%8"/>
      <w:lvlJc w:val="left"/>
      <w:pPr>
        <w:tabs>
          <w:tab w:val="num" w:pos="3456"/>
        </w:tabs>
        <w:ind w:left="3456" w:hanging="1440"/>
      </w:pPr>
      <w:rPr>
        <w:rFonts w:cs="Times New Roman" w:hint="default"/>
        <w:b/>
      </w:rPr>
    </w:lvl>
    <w:lvl w:ilvl="8">
      <w:start w:val="1"/>
      <w:numFmt w:val="decimal"/>
      <w:lvlText w:val="%1.%2.%3.%4.%5.%6.%7.%8.%9"/>
      <w:lvlJc w:val="left"/>
      <w:pPr>
        <w:tabs>
          <w:tab w:val="num" w:pos="4104"/>
        </w:tabs>
        <w:ind w:left="4104" w:hanging="1800"/>
      </w:pPr>
      <w:rPr>
        <w:rFonts w:cs="Times New Roman" w:hint="default"/>
        <w:b/>
      </w:rPr>
    </w:lvl>
  </w:abstractNum>
  <w:num w:numId="1">
    <w:abstractNumId w:val="41"/>
  </w:num>
  <w:num w:numId="2">
    <w:abstractNumId w:val="21"/>
  </w:num>
  <w:num w:numId="3">
    <w:abstractNumId w:val="3"/>
  </w:num>
  <w:num w:numId="4">
    <w:abstractNumId w:val="0"/>
    <w:lvlOverride w:ilvl="0">
      <w:lvl w:ilvl="0">
        <w:start w:val="1"/>
        <w:numFmt w:val="bullet"/>
        <w:lvlText w:val="-"/>
        <w:lvlJc w:val="left"/>
        <w:pPr>
          <w:ind w:left="360" w:hanging="360"/>
        </w:pPr>
      </w:lvl>
    </w:lvlOverride>
  </w:num>
  <w:num w:numId="5">
    <w:abstractNumId w:val="0"/>
    <w:lvlOverride w:ilvl="0">
      <w:lvl w:ilvl="0">
        <w:start w:val="1"/>
        <w:numFmt w:val="bullet"/>
        <w:lvlText w:val=""/>
        <w:lvlJc w:val="left"/>
        <w:pPr>
          <w:ind w:left="360" w:hanging="360"/>
        </w:pPr>
        <w:rPr>
          <w:rFonts w:ascii="Symbol" w:hAnsi="Symbol" w:hint="default"/>
        </w:rPr>
      </w:lvl>
    </w:lvlOverride>
  </w:num>
  <w:num w:numId="6">
    <w:abstractNumId w:val="44"/>
  </w:num>
  <w:num w:numId="7">
    <w:abstractNumId w:val="42"/>
  </w:num>
  <w:num w:numId="8">
    <w:abstractNumId w:val="16"/>
  </w:num>
  <w:num w:numId="9">
    <w:abstractNumId w:val="30"/>
  </w:num>
  <w:num w:numId="10">
    <w:abstractNumId w:val="29"/>
  </w:num>
  <w:num w:numId="11">
    <w:abstractNumId w:val="11"/>
  </w:num>
  <w:num w:numId="12">
    <w:abstractNumId w:val="39"/>
  </w:num>
  <w:num w:numId="13">
    <w:abstractNumId w:val="18"/>
  </w:num>
  <w:num w:numId="14">
    <w:abstractNumId w:val="4"/>
  </w:num>
  <w:num w:numId="15">
    <w:abstractNumId w:val="38"/>
  </w:num>
  <w:num w:numId="16">
    <w:abstractNumId w:val="27"/>
  </w:num>
  <w:num w:numId="17">
    <w:abstractNumId w:val="46"/>
  </w:num>
  <w:num w:numId="18">
    <w:abstractNumId w:val="12"/>
  </w:num>
  <w:num w:numId="19">
    <w:abstractNumId w:val="2"/>
  </w:num>
  <w:num w:numId="20">
    <w:abstractNumId w:val="22"/>
  </w:num>
  <w:num w:numId="21">
    <w:abstractNumId w:val="5"/>
  </w:num>
  <w:num w:numId="22">
    <w:abstractNumId w:val="8"/>
  </w:num>
  <w:num w:numId="23">
    <w:abstractNumId w:val="33"/>
  </w:num>
  <w:num w:numId="24">
    <w:abstractNumId w:val="37"/>
  </w:num>
  <w:num w:numId="25">
    <w:abstractNumId w:val="32"/>
  </w:num>
  <w:num w:numId="26">
    <w:abstractNumId w:val="17"/>
  </w:num>
  <w:num w:numId="27">
    <w:abstractNumId w:val="14"/>
  </w:num>
  <w:num w:numId="28">
    <w:abstractNumId w:val="28"/>
  </w:num>
  <w:num w:numId="29">
    <w:abstractNumId w:val="31"/>
  </w:num>
  <w:num w:numId="30">
    <w:abstractNumId w:val="19"/>
  </w:num>
  <w:num w:numId="31">
    <w:abstractNumId w:val="13"/>
  </w:num>
  <w:num w:numId="32">
    <w:abstractNumId w:val="35"/>
  </w:num>
  <w:num w:numId="33">
    <w:abstractNumId w:val="36"/>
  </w:num>
  <w:num w:numId="34">
    <w:abstractNumId w:val="34"/>
  </w:num>
  <w:num w:numId="35">
    <w:abstractNumId w:val="20"/>
  </w:num>
  <w:num w:numId="36">
    <w:abstractNumId w:val="6"/>
  </w:num>
  <w:num w:numId="37">
    <w:abstractNumId w:val="47"/>
  </w:num>
  <w:num w:numId="38">
    <w:abstractNumId w:val="7"/>
  </w:num>
  <w:num w:numId="39">
    <w:abstractNumId w:val="1"/>
  </w:num>
  <w:num w:numId="40">
    <w:abstractNumId w:val="43"/>
  </w:num>
  <w:num w:numId="41">
    <w:abstractNumId w:val="45"/>
  </w:num>
  <w:num w:numId="42">
    <w:abstractNumId w:val="0"/>
    <w:lvlOverride w:ilvl="0">
      <w:lvl w:ilvl="0">
        <w:start w:val="1"/>
        <w:numFmt w:val="bullet"/>
        <w:lvlText w:val="-"/>
        <w:lvlJc w:val="left"/>
        <w:pPr>
          <w:ind w:left="360" w:hanging="360"/>
        </w:pPr>
      </w:lvl>
    </w:lvlOverride>
  </w:num>
  <w:num w:numId="43">
    <w:abstractNumId w:val="40"/>
  </w:num>
  <w:num w:numId="44">
    <w:abstractNumId w:val="15"/>
  </w:num>
  <w:num w:numId="45">
    <w:abstractNumId w:val="23"/>
  </w:num>
  <w:num w:numId="46">
    <w:abstractNumId w:val="26"/>
  </w:num>
  <w:num w:numId="47">
    <w:abstractNumId w:val="24"/>
  </w:num>
  <w:num w:numId="48">
    <w:abstractNumId w:val="10"/>
  </w:num>
  <w:num w:numId="49">
    <w:abstractNumId w:val="25"/>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DA44C5"/>
    <w:rsid w:val="00024CCD"/>
    <w:rsid w:val="00025F31"/>
    <w:rsid w:val="00032A09"/>
    <w:rsid w:val="00040A39"/>
    <w:rsid w:val="000418E8"/>
    <w:rsid w:val="00047DEB"/>
    <w:rsid w:val="00054AD4"/>
    <w:rsid w:val="00055641"/>
    <w:rsid w:val="000671FA"/>
    <w:rsid w:val="00077EC2"/>
    <w:rsid w:val="000918B3"/>
    <w:rsid w:val="000A7AA6"/>
    <w:rsid w:val="000C67AC"/>
    <w:rsid w:val="00110411"/>
    <w:rsid w:val="00123887"/>
    <w:rsid w:val="00134C9A"/>
    <w:rsid w:val="00144CA3"/>
    <w:rsid w:val="0015495F"/>
    <w:rsid w:val="001705C3"/>
    <w:rsid w:val="00181BED"/>
    <w:rsid w:val="00187276"/>
    <w:rsid w:val="0019031C"/>
    <w:rsid w:val="00190E67"/>
    <w:rsid w:val="001A0665"/>
    <w:rsid w:val="001E0901"/>
    <w:rsid w:val="001F746E"/>
    <w:rsid w:val="001F7984"/>
    <w:rsid w:val="001F7A07"/>
    <w:rsid w:val="00203D2F"/>
    <w:rsid w:val="002150D5"/>
    <w:rsid w:val="002245B5"/>
    <w:rsid w:val="00245632"/>
    <w:rsid w:val="00255552"/>
    <w:rsid w:val="00255F51"/>
    <w:rsid w:val="00256BD2"/>
    <w:rsid w:val="00264D38"/>
    <w:rsid w:val="002952FD"/>
    <w:rsid w:val="002A4673"/>
    <w:rsid w:val="002B1997"/>
    <w:rsid w:val="002D7A6A"/>
    <w:rsid w:val="002E4A17"/>
    <w:rsid w:val="002E671B"/>
    <w:rsid w:val="00303310"/>
    <w:rsid w:val="00305638"/>
    <w:rsid w:val="00306F78"/>
    <w:rsid w:val="0032661A"/>
    <w:rsid w:val="00345E35"/>
    <w:rsid w:val="00351BC6"/>
    <w:rsid w:val="0035662D"/>
    <w:rsid w:val="00370C1C"/>
    <w:rsid w:val="0038346D"/>
    <w:rsid w:val="003B2E08"/>
    <w:rsid w:val="003D3C41"/>
    <w:rsid w:val="0040432A"/>
    <w:rsid w:val="00411D3B"/>
    <w:rsid w:val="004524A5"/>
    <w:rsid w:val="00452E4D"/>
    <w:rsid w:val="004603D4"/>
    <w:rsid w:val="004653D0"/>
    <w:rsid w:val="004812D4"/>
    <w:rsid w:val="0048778F"/>
    <w:rsid w:val="004B1211"/>
    <w:rsid w:val="004C2986"/>
    <w:rsid w:val="004C4229"/>
    <w:rsid w:val="004D7AB8"/>
    <w:rsid w:val="004E1407"/>
    <w:rsid w:val="004E7290"/>
    <w:rsid w:val="00521988"/>
    <w:rsid w:val="0053026B"/>
    <w:rsid w:val="00540319"/>
    <w:rsid w:val="00545102"/>
    <w:rsid w:val="005453EE"/>
    <w:rsid w:val="00564B19"/>
    <w:rsid w:val="00573B50"/>
    <w:rsid w:val="00575E1E"/>
    <w:rsid w:val="00585172"/>
    <w:rsid w:val="00587DB4"/>
    <w:rsid w:val="00597009"/>
    <w:rsid w:val="005A6E2A"/>
    <w:rsid w:val="005B4C47"/>
    <w:rsid w:val="005C581F"/>
    <w:rsid w:val="005C59AD"/>
    <w:rsid w:val="005E4DD5"/>
    <w:rsid w:val="005F60A3"/>
    <w:rsid w:val="00601384"/>
    <w:rsid w:val="0061614E"/>
    <w:rsid w:val="0064030E"/>
    <w:rsid w:val="00644438"/>
    <w:rsid w:val="006468CD"/>
    <w:rsid w:val="00652448"/>
    <w:rsid w:val="00653094"/>
    <w:rsid w:val="00655CE8"/>
    <w:rsid w:val="00673B1A"/>
    <w:rsid w:val="006760D1"/>
    <w:rsid w:val="00682FCE"/>
    <w:rsid w:val="00684613"/>
    <w:rsid w:val="00696756"/>
    <w:rsid w:val="00697107"/>
    <w:rsid w:val="006C13A8"/>
    <w:rsid w:val="006C1F18"/>
    <w:rsid w:val="006C5B79"/>
    <w:rsid w:val="006E0ED3"/>
    <w:rsid w:val="006E4B4D"/>
    <w:rsid w:val="006F1EFB"/>
    <w:rsid w:val="006F6A8C"/>
    <w:rsid w:val="00701142"/>
    <w:rsid w:val="00703DBD"/>
    <w:rsid w:val="007041A4"/>
    <w:rsid w:val="00715FD7"/>
    <w:rsid w:val="0071734A"/>
    <w:rsid w:val="007255FC"/>
    <w:rsid w:val="0073612B"/>
    <w:rsid w:val="0074278C"/>
    <w:rsid w:val="007527C4"/>
    <w:rsid w:val="007559B5"/>
    <w:rsid w:val="00777895"/>
    <w:rsid w:val="00786D4A"/>
    <w:rsid w:val="007875E7"/>
    <w:rsid w:val="0079281C"/>
    <w:rsid w:val="007A28E4"/>
    <w:rsid w:val="007A409B"/>
    <w:rsid w:val="007B38C1"/>
    <w:rsid w:val="007B65A2"/>
    <w:rsid w:val="007C7424"/>
    <w:rsid w:val="007D0A3D"/>
    <w:rsid w:val="007E4D87"/>
    <w:rsid w:val="007F40D3"/>
    <w:rsid w:val="008024BD"/>
    <w:rsid w:val="008033B9"/>
    <w:rsid w:val="0080590A"/>
    <w:rsid w:val="008469E3"/>
    <w:rsid w:val="00846F78"/>
    <w:rsid w:val="008475FD"/>
    <w:rsid w:val="00847C1B"/>
    <w:rsid w:val="00857082"/>
    <w:rsid w:val="008644FC"/>
    <w:rsid w:val="00867738"/>
    <w:rsid w:val="00875294"/>
    <w:rsid w:val="00876141"/>
    <w:rsid w:val="00880724"/>
    <w:rsid w:val="008B3870"/>
    <w:rsid w:val="008B3B08"/>
    <w:rsid w:val="008C7A24"/>
    <w:rsid w:val="008D1BD0"/>
    <w:rsid w:val="008D3417"/>
    <w:rsid w:val="008D3444"/>
    <w:rsid w:val="008D4792"/>
    <w:rsid w:val="008D7A11"/>
    <w:rsid w:val="008E4D94"/>
    <w:rsid w:val="008F504C"/>
    <w:rsid w:val="008F778D"/>
    <w:rsid w:val="009204BF"/>
    <w:rsid w:val="00921300"/>
    <w:rsid w:val="00924A12"/>
    <w:rsid w:val="009309F0"/>
    <w:rsid w:val="0093669F"/>
    <w:rsid w:val="009471EE"/>
    <w:rsid w:val="0095559E"/>
    <w:rsid w:val="00971B97"/>
    <w:rsid w:val="009722E4"/>
    <w:rsid w:val="009841D9"/>
    <w:rsid w:val="0098474B"/>
    <w:rsid w:val="009859CA"/>
    <w:rsid w:val="00993255"/>
    <w:rsid w:val="009A497C"/>
    <w:rsid w:val="009B7494"/>
    <w:rsid w:val="009C30CF"/>
    <w:rsid w:val="009C5B00"/>
    <w:rsid w:val="009D1CAB"/>
    <w:rsid w:val="009D45C3"/>
    <w:rsid w:val="009D68EC"/>
    <w:rsid w:val="009D7094"/>
    <w:rsid w:val="009E2467"/>
    <w:rsid w:val="009F4B7D"/>
    <w:rsid w:val="009F71A6"/>
    <w:rsid w:val="00A00D97"/>
    <w:rsid w:val="00A020CB"/>
    <w:rsid w:val="00A1301B"/>
    <w:rsid w:val="00A14BE3"/>
    <w:rsid w:val="00A25633"/>
    <w:rsid w:val="00A3149F"/>
    <w:rsid w:val="00A35606"/>
    <w:rsid w:val="00A44A3B"/>
    <w:rsid w:val="00A4792B"/>
    <w:rsid w:val="00A57A03"/>
    <w:rsid w:val="00A656CD"/>
    <w:rsid w:val="00A66E1C"/>
    <w:rsid w:val="00A9164D"/>
    <w:rsid w:val="00AB1386"/>
    <w:rsid w:val="00AC189E"/>
    <w:rsid w:val="00B03E7D"/>
    <w:rsid w:val="00B171DC"/>
    <w:rsid w:val="00B31396"/>
    <w:rsid w:val="00B33949"/>
    <w:rsid w:val="00B507AC"/>
    <w:rsid w:val="00B55329"/>
    <w:rsid w:val="00B75BA1"/>
    <w:rsid w:val="00B87D57"/>
    <w:rsid w:val="00B92EB5"/>
    <w:rsid w:val="00BB66A1"/>
    <w:rsid w:val="00BD19E5"/>
    <w:rsid w:val="00BE6B7C"/>
    <w:rsid w:val="00BF57D0"/>
    <w:rsid w:val="00C068BB"/>
    <w:rsid w:val="00C07C55"/>
    <w:rsid w:val="00C10F7F"/>
    <w:rsid w:val="00C13B29"/>
    <w:rsid w:val="00C27B83"/>
    <w:rsid w:val="00C3221D"/>
    <w:rsid w:val="00C32F49"/>
    <w:rsid w:val="00C3408D"/>
    <w:rsid w:val="00C350D0"/>
    <w:rsid w:val="00C36209"/>
    <w:rsid w:val="00C37510"/>
    <w:rsid w:val="00C37AD5"/>
    <w:rsid w:val="00C44955"/>
    <w:rsid w:val="00C45B5A"/>
    <w:rsid w:val="00C46D7E"/>
    <w:rsid w:val="00C57CBB"/>
    <w:rsid w:val="00C821A9"/>
    <w:rsid w:val="00C84BEE"/>
    <w:rsid w:val="00C9334B"/>
    <w:rsid w:val="00C94516"/>
    <w:rsid w:val="00CA0165"/>
    <w:rsid w:val="00CA0616"/>
    <w:rsid w:val="00CA5A15"/>
    <w:rsid w:val="00CC72CC"/>
    <w:rsid w:val="00CD0980"/>
    <w:rsid w:val="00CD4219"/>
    <w:rsid w:val="00D008BE"/>
    <w:rsid w:val="00D0198B"/>
    <w:rsid w:val="00D04A01"/>
    <w:rsid w:val="00D0539B"/>
    <w:rsid w:val="00D1019C"/>
    <w:rsid w:val="00D14192"/>
    <w:rsid w:val="00D24D43"/>
    <w:rsid w:val="00D408D5"/>
    <w:rsid w:val="00D5509C"/>
    <w:rsid w:val="00D678A7"/>
    <w:rsid w:val="00D74129"/>
    <w:rsid w:val="00D74BFD"/>
    <w:rsid w:val="00D81EC0"/>
    <w:rsid w:val="00D85A15"/>
    <w:rsid w:val="00DA44C5"/>
    <w:rsid w:val="00DA5EC4"/>
    <w:rsid w:val="00DC715F"/>
    <w:rsid w:val="00DD76BE"/>
    <w:rsid w:val="00DD778D"/>
    <w:rsid w:val="00DE7A2D"/>
    <w:rsid w:val="00E16EC1"/>
    <w:rsid w:val="00E24507"/>
    <w:rsid w:val="00E3531D"/>
    <w:rsid w:val="00E44B32"/>
    <w:rsid w:val="00E476DF"/>
    <w:rsid w:val="00E56B0A"/>
    <w:rsid w:val="00E600A8"/>
    <w:rsid w:val="00E60631"/>
    <w:rsid w:val="00E72415"/>
    <w:rsid w:val="00E81D8F"/>
    <w:rsid w:val="00E85DE4"/>
    <w:rsid w:val="00E933BB"/>
    <w:rsid w:val="00E93453"/>
    <w:rsid w:val="00E94263"/>
    <w:rsid w:val="00EA7BD1"/>
    <w:rsid w:val="00EC317F"/>
    <w:rsid w:val="00EC3D7E"/>
    <w:rsid w:val="00ED27C7"/>
    <w:rsid w:val="00ED3B6D"/>
    <w:rsid w:val="00ED6503"/>
    <w:rsid w:val="00EF0F64"/>
    <w:rsid w:val="00EF5825"/>
    <w:rsid w:val="00F05054"/>
    <w:rsid w:val="00F14A14"/>
    <w:rsid w:val="00F341FA"/>
    <w:rsid w:val="00F53867"/>
    <w:rsid w:val="00F62B37"/>
    <w:rsid w:val="00F67FD6"/>
    <w:rsid w:val="00FB4039"/>
    <w:rsid w:val="00FC01AC"/>
    <w:rsid w:val="00FD1CA9"/>
    <w:rsid w:val="00FD42AD"/>
    <w:rsid w:val="00FD5F6F"/>
    <w:rsid w:val="00FE51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263"/>
    <w:rPr>
      <w:snapToGrid w:val="0"/>
      <w:sz w:val="24"/>
      <w:szCs w:val="24"/>
      <w:lang w:val="en-US" w:eastAsia="zh-CN"/>
    </w:rPr>
  </w:style>
  <w:style w:type="paragraph" w:styleId="1">
    <w:name w:val="heading 1"/>
    <w:basedOn w:val="a"/>
    <w:next w:val="a"/>
    <w:qFormat/>
    <w:rsid w:val="00E933BB"/>
    <w:pPr>
      <w:tabs>
        <w:tab w:val="left" w:pos="567"/>
      </w:tabs>
      <w:spacing w:before="240" w:after="120" w:line="260" w:lineRule="exact"/>
      <w:ind w:left="357" w:hanging="357"/>
      <w:outlineLvl w:val="0"/>
    </w:pPr>
    <w:rPr>
      <w:b/>
      <w:caps/>
      <w:sz w:val="26"/>
      <w:szCs w:val="20"/>
    </w:rPr>
  </w:style>
  <w:style w:type="paragraph" w:styleId="2">
    <w:name w:val="heading 2"/>
    <w:basedOn w:val="a"/>
    <w:next w:val="a"/>
    <w:qFormat/>
    <w:rsid w:val="00E933BB"/>
    <w:pPr>
      <w:keepNext/>
      <w:tabs>
        <w:tab w:val="left" w:pos="567"/>
      </w:tabs>
      <w:spacing w:before="240" w:after="60" w:line="260" w:lineRule="exact"/>
      <w:outlineLvl w:val="1"/>
    </w:pPr>
    <w:rPr>
      <w:rFonts w:ascii="Helvetica" w:hAnsi="Helvetica"/>
      <w:b/>
      <w:i/>
      <w:szCs w:val="20"/>
      <w:lang w:val="en-GB"/>
    </w:rPr>
  </w:style>
  <w:style w:type="paragraph" w:styleId="3">
    <w:name w:val="heading 3"/>
    <w:basedOn w:val="a"/>
    <w:next w:val="a"/>
    <w:qFormat/>
    <w:rsid w:val="00E933BB"/>
    <w:pPr>
      <w:keepNext/>
      <w:keepLines/>
      <w:tabs>
        <w:tab w:val="left" w:pos="567"/>
      </w:tabs>
      <w:spacing w:before="120" w:after="80" w:line="260" w:lineRule="exact"/>
      <w:outlineLvl w:val="2"/>
    </w:pPr>
    <w:rPr>
      <w:b/>
      <w:kern w:val="28"/>
      <w:szCs w:val="20"/>
    </w:rPr>
  </w:style>
  <w:style w:type="paragraph" w:styleId="4">
    <w:name w:val="heading 4"/>
    <w:basedOn w:val="a"/>
    <w:next w:val="a"/>
    <w:qFormat/>
    <w:rsid w:val="00E933BB"/>
    <w:pPr>
      <w:keepNext/>
      <w:tabs>
        <w:tab w:val="left" w:pos="567"/>
      </w:tabs>
      <w:spacing w:line="260" w:lineRule="exact"/>
      <w:jc w:val="both"/>
      <w:outlineLvl w:val="3"/>
    </w:pPr>
    <w:rPr>
      <w:b/>
      <w:noProof/>
      <w:sz w:val="22"/>
      <w:szCs w:val="20"/>
      <w:lang w:val="el-GR"/>
    </w:rPr>
  </w:style>
  <w:style w:type="paragraph" w:styleId="5">
    <w:name w:val="heading 5"/>
    <w:basedOn w:val="a"/>
    <w:next w:val="a"/>
    <w:qFormat/>
    <w:rsid w:val="00E933BB"/>
    <w:pPr>
      <w:keepNext/>
      <w:tabs>
        <w:tab w:val="left" w:pos="567"/>
      </w:tabs>
      <w:spacing w:line="260" w:lineRule="exact"/>
      <w:jc w:val="both"/>
      <w:outlineLvl w:val="4"/>
    </w:pPr>
    <w:rPr>
      <w:noProof/>
      <w:sz w:val="22"/>
      <w:szCs w:val="20"/>
      <w:lang w:val="el-GR"/>
    </w:rPr>
  </w:style>
  <w:style w:type="paragraph" w:styleId="6">
    <w:name w:val="heading 6"/>
    <w:basedOn w:val="a"/>
    <w:next w:val="a"/>
    <w:qFormat/>
    <w:rsid w:val="00E933BB"/>
    <w:pPr>
      <w:keepNext/>
      <w:tabs>
        <w:tab w:val="left" w:pos="-720"/>
        <w:tab w:val="left" w:pos="567"/>
        <w:tab w:val="left" w:pos="4536"/>
      </w:tabs>
      <w:suppressAutoHyphens/>
      <w:spacing w:line="260" w:lineRule="exact"/>
      <w:outlineLvl w:val="5"/>
    </w:pPr>
    <w:rPr>
      <w:i/>
      <w:sz w:val="22"/>
      <w:szCs w:val="20"/>
      <w:lang w:val="en-GB"/>
    </w:rPr>
  </w:style>
  <w:style w:type="paragraph" w:styleId="7">
    <w:name w:val="heading 7"/>
    <w:basedOn w:val="a"/>
    <w:next w:val="a"/>
    <w:qFormat/>
    <w:rsid w:val="00E933BB"/>
    <w:pPr>
      <w:keepNext/>
      <w:tabs>
        <w:tab w:val="left" w:pos="-720"/>
        <w:tab w:val="left" w:pos="567"/>
        <w:tab w:val="left" w:pos="4536"/>
      </w:tabs>
      <w:suppressAutoHyphens/>
      <w:spacing w:line="260" w:lineRule="exact"/>
      <w:jc w:val="both"/>
      <w:outlineLvl w:val="6"/>
    </w:pPr>
    <w:rPr>
      <w:i/>
      <w:sz w:val="22"/>
      <w:szCs w:val="20"/>
      <w:lang w:val="en-GB"/>
    </w:rPr>
  </w:style>
  <w:style w:type="paragraph" w:styleId="8">
    <w:name w:val="heading 8"/>
    <w:basedOn w:val="a"/>
    <w:next w:val="a"/>
    <w:qFormat/>
    <w:rsid w:val="00E933BB"/>
    <w:pPr>
      <w:keepNext/>
      <w:tabs>
        <w:tab w:val="left" w:pos="567"/>
      </w:tabs>
      <w:spacing w:line="260" w:lineRule="exact"/>
      <w:ind w:left="567" w:hanging="567"/>
      <w:jc w:val="both"/>
      <w:outlineLvl w:val="7"/>
    </w:pPr>
    <w:rPr>
      <w:b/>
      <w:i/>
      <w:sz w:val="22"/>
      <w:szCs w:val="20"/>
      <w:lang w:val="en-GB"/>
    </w:rPr>
  </w:style>
  <w:style w:type="paragraph" w:styleId="9">
    <w:name w:val="heading 9"/>
    <w:basedOn w:val="a"/>
    <w:next w:val="a"/>
    <w:qFormat/>
    <w:rsid w:val="00E933BB"/>
    <w:pPr>
      <w:keepNext/>
      <w:tabs>
        <w:tab w:val="left" w:pos="567"/>
      </w:tabs>
      <w:spacing w:line="260" w:lineRule="exact"/>
      <w:jc w:val="both"/>
      <w:outlineLvl w:val="8"/>
    </w:pPr>
    <w:rPr>
      <w:b/>
      <w:i/>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EAEnBodyText">
    <w:name w:val="EMEA En Body Text"/>
    <w:basedOn w:val="a"/>
    <w:rsid w:val="00E94263"/>
    <w:pPr>
      <w:spacing w:before="120" w:after="120"/>
      <w:jc w:val="both"/>
    </w:pPr>
    <w:rPr>
      <w:sz w:val="22"/>
      <w:szCs w:val="20"/>
    </w:rPr>
  </w:style>
  <w:style w:type="table" w:styleId="a3">
    <w:name w:val="Table Grid"/>
    <w:basedOn w:val="a1"/>
    <w:rsid w:val="00E94263"/>
    <w:pPr>
      <w:tabs>
        <w:tab w:val="left" w:pos="567"/>
      </w:tabs>
      <w:spacing w:line="260" w:lineRule="exact"/>
    </w:pPr>
    <w:rPr>
      <w:snapToGrid w:val="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sid w:val="00E94263"/>
    <w:rPr>
      <w:rFonts w:ascii="Courier New" w:hAnsi="Courier New"/>
      <w:vanish/>
      <w:color w:val="800080"/>
      <w:sz w:val="24"/>
      <w:vertAlign w:val="subscript"/>
    </w:rPr>
  </w:style>
  <w:style w:type="character" w:customStyle="1" w:styleId="tw4winError">
    <w:name w:val="tw4winError"/>
    <w:rsid w:val="00E94263"/>
    <w:rPr>
      <w:rFonts w:ascii="Courier New" w:hAnsi="Courier New"/>
      <w:color w:val="00FF00"/>
      <w:sz w:val="40"/>
    </w:rPr>
  </w:style>
  <w:style w:type="character" w:customStyle="1" w:styleId="tw4winTerm">
    <w:name w:val="tw4winTerm"/>
    <w:rsid w:val="00E94263"/>
    <w:rPr>
      <w:color w:val="0000FF"/>
    </w:rPr>
  </w:style>
  <w:style w:type="character" w:customStyle="1" w:styleId="tw4winPopup">
    <w:name w:val="tw4winPopup"/>
    <w:rsid w:val="00E94263"/>
    <w:rPr>
      <w:rFonts w:ascii="Courier New" w:hAnsi="Courier New"/>
      <w:noProof/>
      <w:color w:val="008000"/>
    </w:rPr>
  </w:style>
  <w:style w:type="character" w:customStyle="1" w:styleId="tw4winJump">
    <w:name w:val="tw4winJump"/>
    <w:rsid w:val="00E94263"/>
    <w:rPr>
      <w:rFonts w:ascii="Courier New" w:hAnsi="Courier New"/>
      <w:noProof/>
      <w:color w:val="008080"/>
    </w:rPr>
  </w:style>
  <w:style w:type="character" w:customStyle="1" w:styleId="tw4winExternal">
    <w:name w:val="tw4winExternal"/>
    <w:rsid w:val="00E94263"/>
    <w:rPr>
      <w:rFonts w:ascii="Courier New" w:hAnsi="Courier New"/>
      <w:noProof/>
      <w:color w:val="808080"/>
    </w:rPr>
  </w:style>
  <w:style w:type="character" w:customStyle="1" w:styleId="tw4winInternal">
    <w:name w:val="tw4winInternal"/>
    <w:rsid w:val="00E94263"/>
    <w:rPr>
      <w:rFonts w:ascii="Courier New" w:hAnsi="Courier New"/>
      <w:noProof/>
      <w:color w:val="FF0000"/>
    </w:rPr>
  </w:style>
  <w:style w:type="character" w:customStyle="1" w:styleId="DONOTTRANSLATE">
    <w:name w:val="DO_NOT_TRANSLATE"/>
    <w:rsid w:val="00E94263"/>
    <w:rPr>
      <w:rFonts w:ascii="Courier New" w:hAnsi="Courier New"/>
      <w:noProof/>
      <w:color w:val="800000"/>
    </w:rPr>
  </w:style>
  <w:style w:type="paragraph" w:styleId="a4">
    <w:name w:val="header"/>
    <w:basedOn w:val="a"/>
    <w:rsid w:val="00E933BB"/>
    <w:pPr>
      <w:tabs>
        <w:tab w:val="left" w:pos="567"/>
        <w:tab w:val="center" w:pos="4153"/>
        <w:tab w:val="right" w:pos="8306"/>
      </w:tabs>
    </w:pPr>
    <w:rPr>
      <w:rFonts w:ascii="Helvetica" w:hAnsi="Helvetica"/>
      <w:sz w:val="20"/>
      <w:szCs w:val="20"/>
      <w:lang w:val="en-GB"/>
    </w:rPr>
  </w:style>
  <w:style w:type="paragraph" w:styleId="a5">
    <w:name w:val="footer"/>
    <w:basedOn w:val="a"/>
    <w:rsid w:val="00E933BB"/>
    <w:pPr>
      <w:tabs>
        <w:tab w:val="left" w:pos="567"/>
        <w:tab w:val="center" w:pos="4536"/>
        <w:tab w:val="center" w:pos="8930"/>
      </w:tabs>
    </w:pPr>
    <w:rPr>
      <w:rFonts w:ascii="Helvetica" w:hAnsi="Helvetica"/>
      <w:sz w:val="16"/>
      <w:szCs w:val="20"/>
      <w:lang w:val="en-GB"/>
    </w:rPr>
  </w:style>
  <w:style w:type="character" w:styleId="a6">
    <w:name w:val="page number"/>
    <w:rsid w:val="00E933BB"/>
    <w:rPr>
      <w:rFonts w:cs="Times New Roman"/>
    </w:rPr>
  </w:style>
  <w:style w:type="paragraph" w:styleId="a7">
    <w:name w:val="Body Text Indent"/>
    <w:basedOn w:val="a"/>
    <w:rsid w:val="00E933BB"/>
    <w:pPr>
      <w:autoSpaceDE w:val="0"/>
      <w:autoSpaceDN w:val="0"/>
      <w:adjustRightInd w:val="0"/>
      <w:ind w:left="720"/>
      <w:jc w:val="both"/>
    </w:pPr>
    <w:rPr>
      <w:sz w:val="22"/>
      <w:szCs w:val="22"/>
      <w:lang w:val="en-GB"/>
    </w:rPr>
  </w:style>
  <w:style w:type="paragraph" w:styleId="30">
    <w:name w:val="Body Text 3"/>
    <w:basedOn w:val="a"/>
    <w:rsid w:val="00E933BB"/>
    <w:pPr>
      <w:autoSpaceDE w:val="0"/>
      <w:autoSpaceDN w:val="0"/>
      <w:adjustRightInd w:val="0"/>
      <w:jc w:val="both"/>
    </w:pPr>
    <w:rPr>
      <w:color w:val="0000FF"/>
      <w:sz w:val="22"/>
      <w:szCs w:val="22"/>
      <w:lang w:val="en-GB"/>
    </w:rPr>
  </w:style>
  <w:style w:type="paragraph" w:styleId="20">
    <w:name w:val="Body Text Indent 2"/>
    <w:basedOn w:val="a"/>
    <w:rsid w:val="00E933BB"/>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line="260" w:lineRule="exact"/>
      <w:ind w:left="1134"/>
      <w:jc w:val="both"/>
    </w:pPr>
    <w:rPr>
      <w:b/>
      <w:bCs/>
      <w:color w:val="0000FF"/>
      <w:sz w:val="22"/>
      <w:szCs w:val="22"/>
      <w:lang w:val="en-GB"/>
    </w:rPr>
  </w:style>
  <w:style w:type="paragraph" w:styleId="a8">
    <w:name w:val="Body Text"/>
    <w:basedOn w:val="a"/>
    <w:rsid w:val="00E933BB"/>
    <w:rPr>
      <w:i/>
      <w:color w:val="008000"/>
      <w:sz w:val="22"/>
      <w:szCs w:val="20"/>
      <w:lang w:val="en-GB"/>
    </w:rPr>
  </w:style>
  <w:style w:type="paragraph" w:styleId="21">
    <w:name w:val="Body Text 2"/>
    <w:basedOn w:val="a"/>
    <w:rsid w:val="00E933BB"/>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line="260" w:lineRule="exact"/>
      <w:jc w:val="both"/>
    </w:pPr>
    <w:rPr>
      <w:b/>
      <w:bCs/>
      <w:color w:val="0000FF"/>
      <w:sz w:val="22"/>
      <w:szCs w:val="22"/>
      <w:u w:val="single"/>
      <w:lang w:val="en-GB"/>
    </w:rPr>
  </w:style>
  <w:style w:type="character" w:styleId="-">
    <w:name w:val="Hyperlink"/>
    <w:rsid w:val="00E933BB"/>
    <w:rPr>
      <w:rFonts w:cs="Times New Roman"/>
      <w:color w:val="0000FF"/>
      <w:u w:val="single"/>
    </w:rPr>
  </w:style>
  <w:style w:type="paragraph" w:customStyle="1" w:styleId="AHeader1">
    <w:name w:val="AHeader 1"/>
    <w:basedOn w:val="a"/>
    <w:rsid w:val="00E933BB"/>
    <w:pPr>
      <w:numPr>
        <w:numId w:val="31"/>
      </w:numPr>
      <w:spacing w:after="120"/>
    </w:pPr>
    <w:rPr>
      <w:rFonts w:ascii="Arial" w:hAnsi="Arial" w:cs="Arial"/>
      <w:b/>
      <w:bCs/>
      <w:szCs w:val="20"/>
      <w:lang w:val="en-GB"/>
    </w:rPr>
  </w:style>
  <w:style w:type="paragraph" w:customStyle="1" w:styleId="AHeader2">
    <w:name w:val="AHeader 2"/>
    <w:basedOn w:val="AHeader1"/>
    <w:rsid w:val="00E933BB"/>
    <w:pPr>
      <w:numPr>
        <w:ilvl w:val="1"/>
      </w:numPr>
    </w:pPr>
    <w:rPr>
      <w:sz w:val="22"/>
    </w:rPr>
  </w:style>
  <w:style w:type="paragraph" w:customStyle="1" w:styleId="AHeader3">
    <w:name w:val="AHeader 3"/>
    <w:basedOn w:val="AHeader2"/>
    <w:rsid w:val="00E933BB"/>
    <w:pPr>
      <w:numPr>
        <w:ilvl w:val="2"/>
      </w:numPr>
    </w:pPr>
  </w:style>
  <w:style w:type="paragraph" w:customStyle="1" w:styleId="AHeader2abc">
    <w:name w:val="AHeader 2 abc"/>
    <w:basedOn w:val="AHeader3"/>
    <w:rsid w:val="00E933BB"/>
    <w:pPr>
      <w:numPr>
        <w:ilvl w:val="3"/>
      </w:numPr>
      <w:jc w:val="both"/>
    </w:pPr>
    <w:rPr>
      <w:b w:val="0"/>
      <w:bCs w:val="0"/>
    </w:rPr>
  </w:style>
  <w:style w:type="paragraph" w:customStyle="1" w:styleId="AHeader3abc">
    <w:name w:val="AHeader 3 abc"/>
    <w:basedOn w:val="AHeader2abc"/>
    <w:rsid w:val="00E933BB"/>
    <w:pPr>
      <w:numPr>
        <w:ilvl w:val="4"/>
      </w:numPr>
    </w:pPr>
  </w:style>
  <w:style w:type="paragraph" w:styleId="31">
    <w:name w:val="Body Text Indent 3"/>
    <w:basedOn w:val="a"/>
    <w:rsid w:val="00E933BB"/>
    <w:pPr>
      <w:tabs>
        <w:tab w:val="left" w:pos="567"/>
        <w:tab w:val="left" w:pos="1134"/>
      </w:tabs>
      <w:autoSpaceDE w:val="0"/>
      <w:autoSpaceDN w:val="0"/>
      <w:adjustRightInd w:val="0"/>
      <w:spacing w:line="260" w:lineRule="exact"/>
      <w:ind w:left="633"/>
      <w:jc w:val="both"/>
    </w:pPr>
    <w:rPr>
      <w:sz w:val="22"/>
      <w:szCs w:val="21"/>
      <w:lang w:val="en-GB"/>
    </w:rPr>
  </w:style>
  <w:style w:type="character" w:styleId="-0">
    <w:name w:val="FollowedHyperlink"/>
    <w:rsid w:val="00E933BB"/>
    <w:rPr>
      <w:rFonts w:cs="Times New Roman"/>
      <w:color w:val="800080"/>
      <w:u w:val="single"/>
    </w:rPr>
  </w:style>
  <w:style w:type="paragraph" w:customStyle="1" w:styleId="Default">
    <w:name w:val="Default"/>
    <w:rsid w:val="00E933BB"/>
    <w:pPr>
      <w:autoSpaceDE w:val="0"/>
      <w:autoSpaceDN w:val="0"/>
      <w:adjustRightInd w:val="0"/>
    </w:pPr>
    <w:rPr>
      <w:snapToGrid w:val="0"/>
      <w:lang w:val="en-US" w:eastAsia="zh-CN"/>
    </w:rPr>
  </w:style>
  <w:style w:type="paragraph" w:styleId="Web">
    <w:name w:val="Normal (Web)"/>
    <w:basedOn w:val="a"/>
    <w:rsid w:val="00E933BB"/>
    <w:pPr>
      <w:spacing w:before="100" w:beforeAutospacing="1" w:after="100" w:afterAutospacing="1"/>
    </w:pPr>
    <w:rPr>
      <w:lang w:val="da-DK"/>
    </w:rPr>
  </w:style>
  <w:style w:type="paragraph" w:customStyle="1" w:styleId="MusterSpiegelstrich-Aufzahlung">
    <w:name w:val="Muster_Spiegelstrich-Aufzahlung"/>
    <w:basedOn w:val="a"/>
    <w:rsid w:val="00E933BB"/>
    <w:pPr>
      <w:suppressAutoHyphens/>
      <w:spacing w:after="120"/>
      <w:ind w:left="1701" w:hanging="360"/>
    </w:pPr>
    <w:rPr>
      <w:rFonts w:ascii="Arial" w:hAnsi="Arial" w:cs="Arial"/>
      <w:sz w:val="22"/>
      <w:szCs w:val="22"/>
      <w:lang w:val="de-DE"/>
    </w:rPr>
  </w:style>
  <w:style w:type="paragraph" w:customStyle="1" w:styleId="knZulassung03">
    <w:name w:val="knZulassung03"/>
    <w:basedOn w:val="a"/>
    <w:rsid w:val="00E933BB"/>
    <w:pPr>
      <w:suppressAutoHyphens/>
      <w:spacing w:after="120"/>
      <w:ind w:left="2269" w:right="284" w:hanging="426"/>
    </w:pPr>
    <w:rPr>
      <w:rFonts w:ascii="Courier" w:hAnsi="Courier" w:cs="Courier"/>
      <w:lang w:val="de-DE"/>
    </w:rPr>
  </w:style>
  <w:style w:type="paragraph" w:customStyle="1" w:styleId="knZulassung01">
    <w:name w:val="knZulassung01"/>
    <w:basedOn w:val="a"/>
    <w:rsid w:val="00E933BB"/>
    <w:pPr>
      <w:tabs>
        <w:tab w:val="left" w:pos="567"/>
      </w:tabs>
      <w:autoSpaceDE w:val="0"/>
      <w:autoSpaceDN w:val="0"/>
      <w:ind w:left="1843" w:right="284" w:hanging="1843"/>
    </w:pPr>
    <w:rPr>
      <w:rFonts w:ascii="Courier" w:hAnsi="Courier" w:cs="Courier"/>
      <w:lang w:val="de-DE"/>
    </w:rPr>
  </w:style>
  <w:style w:type="paragraph" w:customStyle="1" w:styleId="knZulassung02">
    <w:name w:val="knZulassung02"/>
    <w:basedOn w:val="a"/>
    <w:rsid w:val="00E933BB"/>
    <w:pPr>
      <w:autoSpaceDE w:val="0"/>
      <w:autoSpaceDN w:val="0"/>
      <w:ind w:left="1843" w:right="284"/>
    </w:pPr>
    <w:rPr>
      <w:rFonts w:ascii="Courier" w:hAnsi="Courier" w:cs="Courier"/>
      <w:lang w:val="de-DE"/>
    </w:rPr>
  </w:style>
  <w:style w:type="character" w:styleId="a9">
    <w:name w:val="footnote reference"/>
    <w:rsid w:val="00E933BB"/>
    <w:rPr>
      <w:rFonts w:cs="Times New Roman"/>
      <w:vertAlign w:val="superscript"/>
    </w:rPr>
  </w:style>
  <w:style w:type="paragraph" w:styleId="aa">
    <w:name w:val="footnote text"/>
    <w:basedOn w:val="a"/>
    <w:rsid w:val="00E933BB"/>
    <w:pPr>
      <w:suppressAutoHyphens/>
      <w:spacing w:after="120"/>
      <w:ind w:left="1701"/>
    </w:pPr>
    <w:rPr>
      <w:rFonts w:ascii="Arial" w:hAnsi="Arial" w:cs="Arial"/>
      <w:sz w:val="22"/>
      <w:szCs w:val="22"/>
      <w:lang w:val="de-DE"/>
    </w:rPr>
  </w:style>
  <w:style w:type="paragraph" w:customStyle="1" w:styleId="MusterTitel">
    <w:name w:val="Muster_Titel"/>
    <w:basedOn w:val="ab"/>
    <w:rsid w:val="00E933BB"/>
    <w:pPr>
      <w:tabs>
        <w:tab w:val="clear" w:pos="567"/>
      </w:tabs>
      <w:spacing w:before="480" w:after="480" w:line="240" w:lineRule="auto"/>
      <w:ind w:left="567"/>
      <w:outlineLvl w:val="9"/>
    </w:pPr>
    <w:rPr>
      <w:b w:val="0"/>
      <w:bCs w:val="0"/>
      <w:kern w:val="1"/>
      <w:sz w:val="28"/>
      <w:szCs w:val="28"/>
      <w:lang w:val="de-DE"/>
    </w:rPr>
  </w:style>
  <w:style w:type="paragraph" w:styleId="ab">
    <w:name w:val="Title"/>
    <w:basedOn w:val="a"/>
    <w:qFormat/>
    <w:rsid w:val="00E933BB"/>
    <w:pPr>
      <w:tabs>
        <w:tab w:val="left" w:pos="567"/>
      </w:tabs>
      <w:spacing w:before="240" w:after="60" w:line="260" w:lineRule="exact"/>
      <w:jc w:val="center"/>
      <w:outlineLvl w:val="0"/>
    </w:pPr>
    <w:rPr>
      <w:rFonts w:ascii="Arial" w:hAnsi="Arial" w:cs="Arial"/>
      <w:b/>
      <w:bCs/>
      <w:kern w:val="28"/>
      <w:sz w:val="32"/>
      <w:szCs w:val="32"/>
      <w:lang w:val="en-GB"/>
    </w:rPr>
  </w:style>
  <w:style w:type="paragraph" w:customStyle="1" w:styleId="paragraph">
    <w:name w:val="paragraph"/>
    <w:basedOn w:val="a"/>
    <w:rsid w:val="00E933BB"/>
  </w:style>
  <w:style w:type="paragraph" w:styleId="ac">
    <w:name w:val="Balloon Text"/>
    <w:basedOn w:val="a"/>
    <w:link w:val="Char"/>
    <w:rsid w:val="0048778F"/>
    <w:rPr>
      <w:rFonts w:ascii="Tahoma" w:hAnsi="Tahoma"/>
      <w:sz w:val="16"/>
      <w:szCs w:val="16"/>
    </w:rPr>
  </w:style>
  <w:style w:type="character" w:customStyle="1" w:styleId="Char">
    <w:name w:val="Κείμενο πλαισίου Char"/>
    <w:link w:val="ac"/>
    <w:rsid w:val="0048778F"/>
    <w:rPr>
      <w:rFonts w:ascii="Tahoma" w:hAnsi="Tahoma" w:cs="Tahoma"/>
      <w:snapToGrid w:val="0"/>
      <w:sz w:val="16"/>
      <w:szCs w:val="16"/>
      <w:lang w:val="en-US" w:eastAsia="zh-CN"/>
    </w:rPr>
  </w:style>
  <w:style w:type="paragraph" w:styleId="ad">
    <w:name w:val="Revision"/>
    <w:hidden/>
    <w:uiPriority w:val="99"/>
    <w:semiHidden/>
    <w:rsid w:val="005B4C47"/>
    <w:rPr>
      <w:snapToGrid w:val="0"/>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7036</Words>
  <Characters>37997</Characters>
  <Application>Microsoft Office Word</Application>
  <DocSecurity>0</DocSecurity>
  <Lines>316</Lines>
  <Paragraphs>89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SUMMARY OF PRODUCT CHARACTERISTICS</vt:lpstr>
      <vt:lpstr>SUMMARY OF PRODUCT CHARACTERISTICS</vt:lpstr>
    </vt:vector>
  </TitlesOfParts>
  <Company>HOME</Company>
  <LinksUpToDate>false</LinksUpToDate>
  <CharactersWithSpaces>44944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PRODUCT CHARACTERISTICS</dc:title>
  <dc:creator>Ioanna</dc:creator>
  <cp:lastModifiedBy>user146</cp:lastModifiedBy>
  <cp:revision>4</cp:revision>
  <cp:lastPrinted>2013-06-28T05:59:00Z</cp:lastPrinted>
  <dcterms:created xsi:type="dcterms:W3CDTF">2013-06-28T06:23:00Z</dcterms:created>
  <dcterms:modified xsi:type="dcterms:W3CDTF">2013-07-19T06:35:00Z</dcterms:modified>
</cp:coreProperties>
</file>