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2A" w:rsidRPr="006756E8" w:rsidRDefault="00B9512A" w:rsidP="0031570A">
      <w:pPr>
        <w:tabs>
          <w:tab w:val="left" w:pos="567"/>
        </w:tabs>
        <w:jc w:val="center"/>
        <w:rPr>
          <w:b/>
          <w:noProof/>
          <w:szCs w:val="22"/>
        </w:rPr>
      </w:pPr>
      <w:r w:rsidRPr="006756E8">
        <w:rPr>
          <w:b/>
          <w:noProof/>
          <w:szCs w:val="22"/>
        </w:rPr>
        <w:t>ΠΕΡΙΛΗΨΗ ΤΩΝ ΧΑΡΑΚΤΗΡΙΣΤΙΚΩΝ ΤΟΥ ΠΡΟΪΟΝΤΟΣ</w:t>
      </w:r>
    </w:p>
    <w:p w:rsidR="00B9512A" w:rsidRPr="00BA41FF" w:rsidRDefault="00B9512A" w:rsidP="0031570A">
      <w:pPr>
        <w:tabs>
          <w:tab w:val="left" w:pos="567"/>
        </w:tabs>
        <w:rPr>
          <w:b/>
          <w:noProof/>
          <w:szCs w:val="22"/>
        </w:rPr>
      </w:pPr>
    </w:p>
    <w:p w:rsidR="00B9512A" w:rsidRPr="00BA41FF" w:rsidRDefault="00B9512A" w:rsidP="0031570A">
      <w:pPr>
        <w:tabs>
          <w:tab w:val="left" w:pos="567"/>
        </w:tabs>
        <w:rPr>
          <w:noProof/>
          <w:szCs w:val="22"/>
        </w:rPr>
      </w:pPr>
      <w:r w:rsidRPr="00BA41FF">
        <w:rPr>
          <w:b/>
          <w:noProof/>
          <w:szCs w:val="22"/>
        </w:rPr>
        <w:t>1.</w:t>
      </w:r>
      <w:r w:rsidRPr="00BA41FF">
        <w:rPr>
          <w:b/>
          <w:noProof/>
          <w:szCs w:val="22"/>
        </w:rPr>
        <w:tab/>
      </w:r>
      <w:r w:rsidRPr="006756E8">
        <w:rPr>
          <w:b/>
          <w:noProof/>
          <w:szCs w:val="22"/>
        </w:rPr>
        <w:t>ΟΝΟΜΑΣΙΑ</w:t>
      </w:r>
      <w:r w:rsidRPr="00BA41FF">
        <w:rPr>
          <w:b/>
          <w:noProof/>
          <w:szCs w:val="22"/>
        </w:rPr>
        <w:t xml:space="preserve"> </w:t>
      </w:r>
      <w:r w:rsidRPr="006756E8">
        <w:rPr>
          <w:b/>
          <w:noProof/>
          <w:szCs w:val="22"/>
        </w:rPr>
        <w:t>ΤΟΥ</w:t>
      </w:r>
      <w:r w:rsidRPr="00BA41FF">
        <w:rPr>
          <w:b/>
          <w:noProof/>
          <w:szCs w:val="22"/>
        </w:rPr>
        <w:t xml:space="preserve"> </w:t>
      </w:r>
      <w:r w:rsidRPr="006756E8">
        <w:rPr>
          <w:b/>
          <w:noProof/>
          <w:szCs w:val="22"/>
        </w:rPr>
        <w:t>ΦΑΡΜΑΚΕΥΤΙΚΟΥ</w:t>
      </w:r>
      <w:r w:rsidRPr="00BA41FF">
        <w:rPr>
          <w:b/>
          <w:noProof/>
          <w:szCs w:val="22"/>
        </w:rPr>
        <w:t xml:space="preserve"> </w:t>
      </w:r>
      <w:r w:rsidRPr="006756E8">
        <w:rPr>
          <w:b/>
          <w:noProof/>
          <w:szCs w:val="22"/>
        </w:rPr>
        <w:t>ΠΡΟΪΟΝΤΟΣ</w:t>
      </w:r>
    </w:p>
    <w:p w:rsidR="00B9512A" w:rsidRPr="00BA41FF" w:rsidRDefault="00B9512A" w:rsidP="0031570A">
      <w:pPr>
        <w:tabs>
          <w:tab w:val="left" w:pos="567"/>
        </w:tabs>
        <w:rPr>
          <w:noProof/>
          <w:szCs w:val="22"/>
        </w:rPr>
      </w:pPr>
    </w:p>
    <w:p w:rsidR="002A6FFD" w:rsidRPr="006756E8" w:rsidRDefault="002A6FFD" w:rsidP="0031570A">
      <w:pPr>
        <w:pStyle w:val="Default"/>
        <w:tabs>
          <w:tab w:val="left" w:pos="567"/>
        </w:tabs>
        <w:rPr>
          <w:sz w:val="22"/>
          <w:szCs w:val="22"/>
          <w:shd w:val="clear" w:color="auto" w:fill="E0E0E0"/>
          <w:lang w:val="el-GR"/>
        </w:rPr>
      </w:pPr>
      <w:r w:rsidRPr="006756E8">
        <w:rPr>
          <w:sz w:val="22"/>
          <w:szCs w:val="22"/>
          <w:lang w:val="en-US"/>
        </w:rPr>
        <w:t>Cefepime</w:t>
      </w:r>
      <w:r w:rsidRPr="006756E8">
        <w:rPr>
          <w:sz w:val="22"/>
          <w:szCs w:val="22"/>
          <w:lang w:val="el-GR"/>
        </w:rPr>
        <w:t xml:space="preserve"> </w:t>
      </w:r>
      <w:r w:rsidRPr="006756E8">
        <w:rPr>
          <w:sz w:val="22"/>
          <w:szCs w:val="22"/>
          <w:lang w:val="en-US"/>
        </w:rPr>
        <w:t>Kabi</w:t>
      </w:r>
      <w:r w:rsidRPr="006756E8">
        <w:rPr>
          <w:sz w:val="22"/>
          <w:szCs w:val="22"/>
          <w:lang w:val="el-GR"/>
        </w:rPr>
        <w:t xml:space="preserve"> 1</w:t>
      </w:r>
      <w:r w:rsidR="001966C5">
        <w:rPr>
          <w:sz w:val="22"/>
          <w:szCs w:val="22"/>
          <w:lang w:val="el-GR"/>
        </w:rPr>
        <w:t> </w:t>
      </w:r>
      <w:r w:rsidRPr="006756E8">
        <w:rPr>
          <w:sz w:val="22"/>
          <w:szCs w:val="22"/>
          <w:lang w:val="en-US"/>
        </w:rPr>
        <w:t>g</w:t>
      </w:r>
      <w:r w:rsidRPr="006756E8">
        <w:rPr>
          <w:sz w:val="22"/>
          <w:szCs w:val="22"/>
          <w:lang w:val="el-GR"/>
        </w:rPr>
        <w:t xml:space="preserve"> κόνις για διάλυμα</w:t>
      </w:r>
      <w:r w:rsidR="0030105D" w:rsidRPr="006756E8">
        <w:rPr>
          <w:sz w:val="22"/>
          <w:szCs w:val="22"/>
          <w:lang w:val="el-GR"/>
        </w:rPr>
        <w:t xml:space="preserve"> προς ένεση ή έγχυση</w:t>
      </w:r>
    </w:p>
    <w:p w:rsidR="002A6FFD" w:rsidRPr="006756E8" w:rsidRDefault="002A6FFD" w:rsidP="0031570A">
      <w:pPr>
        <w:pStyle w:val="Default"/>
        <w:tabs>
          <w:tab w:val="left" w:pos="567"/>
        </w:tabs>
        <w:rPr>
          <w:sz w:val="22"/>
          <w:szCs w:val="22"/>
          <w:shd w:val="clear" w:color="auto" w:fill="C0C0C0"/>
          <w:lang w:val="el-GR"/>
        </w:rPr>
      </w:pPr>
      <w:r w:rsidRPr="006756E8">
        <w:rPr>
          <w:sz w:val="22"/>
          <w:szCs w:val="22"/>
          <w:lang w:val="en-US"/>
        </w:rPr>
        <w:t>Cefepime</w:t>
      </w:r>
      <w:r w:rsidRPr="006756E8">
        <w:rPr>
          <w:sz w:val="22"/>
          <w:szCs w:val="22"/>
          <w:lang w:val="el-GR"/>
        </w:rPr>
        <w:t xml:space="preserve"> </w:t>
      </w:r>
      <w:r w:rsidRPr="006756E8">
        <w:rPr>
          <w:sz w:val="22"/>
          <w:szCs w:val="22"/>
          <w:lang w:val="en-US"/>
        </w:rPr>
        <w:t>Kabi</w:t>
      </w:r>
      <w:r w:rsidRPr="006756E8">
        <w:rPr>
          <w:sz w:val="22"/>
          <w:szCs w:val="22"/>
          <w:lang w:val="el-GR"/>
        </w:rPr>
        <w:t xml:space="preserve"> 2</w:t>
      </w:r>
      <w:r w:rsidR="001966C5">
        <w:rPr>
          <w:sz w:val="22"/>
          <w:szCs w:val="22"/>
          <w:lang w:val="el-GR"/>
        </w:rPr>
        <w:t> </w:t>
      </w:r>
      <w:r w:rsidRPr="006756E8">
        <w:rPr>
          <w:sz w:val="22"/>
          <w:szCs w:val="22"/>
          <w:lang w:val="en-US"/>
        </w:rPr>
        <w:t>g</w:t>
      </w:r>
      <w:r w:rsidRPr="006756E8">
        <w:rPr>
          <w:sz w:val="22"/>
          <w:szCs w:val="22"/>
          <w:lang w:val="el-GR"/>
        </w:rPr>
        <w:t xml:space="preserve"> κόνις για </w:t>
      </w:r>
      <w:r w:rsidR="0030105D" w:rsidRPr="006756E8">
        <w:rPr>
          <w:sz w:val="22"/>
          <w:szCs w:val="22"/>
          <w:lang w:val="el-GR"/>
        </w:rPr>
        <w:t>διάλυμα προς ένεση ή έγχυση</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2.</w:t>
      </w:r>
      <w:r w:rsidRPr="006756E8">
        <w:rPr>
          <w:b/>
          <w:noProof/>
          <w:szCs w:val="22"/>
        </w:rPr>
        <w:tab/>
        <w:t>ΠΟΙΟΤΙΚΗ ΚΑΙ ΠΟΣΟΤΙΚΗ ΣΥΝΘΕΣΗ</w:t>
      </w:r>
    </w:p>
    <w:p w:rsidR="00B9512A" w:rsidRPr="006756E8" w:rsidRDefault="00B9512A" w:rsidP="0031570A">
      <w:pPr>
        <w:tabs>
          <w:tab w:val="left" w:pos="567"/>
        </w:tabs>
        <w:rPr>
          <w:noProof/>
          <w:szCs w:val="22"/>
        </w:rPr>
      </w:pPr>
    </w:p>
    <w:p w:rsidR="0030105D" w:rsidRPr="006756E8" w:rsidRDefault="0030105D" w:rsidP="0031570A">
      <w:pPr>
        <w:tabs>
          <w:tab w:val="left" w:pos="567"/>
        </w:tabs>
        <w:rPr>
          <w:szCs w:val="22"/>
        </w:rPr>
      </w:pPr>
      <w:r w:rsidRPr="006756E8">
        <w:rPr>
          <w:szCs w:val="22"/>
          <w:lang w:val="en-US"/>
        </w:rPr>
        <w:t>Cefepime</w:t>
      </w:r>
      <w:r w:rsidRPr="006756E8">
        <w:rPr>
          <w:szCs w:val="22"/>
        </w:rPr>
        <w:t xml:space="preserve"> </w:t>
      </w:r>
      <w:r w:rsidRPr="006756E8">
        <w:rPr>
          <w:szCs w:val="22"/>
          <w:lang w:val="en-US"/>
        </w:rPr>
        <w:t>Kabi</w:t>
      </w:r>
      <w:r w:rsidRPr="006756E8">
        <w:rPr>
          <w:szCs w:val="22"/>
        </w:rPr>
        <w:t xml:space="preserve"> 1</w:t>
      </w:r>
      <w:r w:rsidR="001966C5">
        <w:rPr>
          <w:szCs w:val="22"/>
        </w:rPr>
        <w:t> </w:t>
      </w:r>
      <w:r w:rsidRPr="006756E8">
        <w:rPr>
          <w:szCs w:val="22"/>
          <w:lang w:val="en-US"/>
        </w:rPr>
        <w:t>g</w:t>
      </w:r>
      <w:r w:rsidRPr="006756E8">
        <w:rPr>
          <w:szCs w:val="22"/>
        </w:rPr>
        <w:t xml:space="preserve"> κόνις για διάλυμα προς ένεση ή έγχυση:</w:t>
      </w:r>
    </w:p>
    <w:p w:rsidR="0030105D" w:rsidRPr="001542AD" w:rsidRDefault="0030105D" w:rsidP="0031570A">
      <w:pPr>
        <w:tabs>
          <w:tab w:val="left" w:pos="567"/>
        </w:tabs>
        <w:rPr>
          <w:szCs w:val="22"/>
        </w:rPr>
      </w:pPr>
      <w:r w:rsidRPr="006756E8">
        <w:rPr>
          <w:szCs w:val="22"/>
        </w:rPr>
        <w:t>Κάθε φιαλίδιο περιέχει 1</w:t>
      </w:r>
      <w:r w:rsidR="001966C5">
        <w:rPr>
          <w:szCs w:val="22"/>
        </w:rPr>
        <w:t> </w:t>
      </w:r>
      <w:r w:rsidRPr="006756E8">
        <w:rPr>
          <w:szCs w:val="22"/>
          <w:lang w:val="en-US"/>
        </w:rPr>
        <w:t>g</w:t>
      </w:r>
      <w:r w:rsidRPr="006756E8">
        <w:rPr>
          <w:szCs w:val="22"/>
        </w:rPr>
        <w:t xml:space="preserve"> κεφεπίμης (ως 1189</w:t>
      </w:r>
      <w:r w:rsidR="000954F0">
        <w:rPr>
          <w:szCs w:val="22"/>
        </w:rPr>
        <w:t>,</w:t>
      </w:r>
      <w:r w:rsidRPr="006756E8">
        <w:rPr>
          <w:szCs w:val="22"/>
        </w:rPr>
        <w:t>2</w:t>
      </w:r>
      <w:r w:rsidR="001966C5">
        <w:rPr>
          <w:color w:val="000000"/>
          <w:szCs w:val="22"/>
        </w:rPr>
        <w:t> </w:t>
      </w:r>
      <w:r w:rsidRPr="006756E8">
        <w:rPr>
          <w:color w:val="000000"/>
          <w:szCs w:val="22"/>
          <w:lang w:val="en-GB"/>
        </w:rPr>
        <w:t>mg</w:t>
      </w:r>
      <w:r w:rsidRPr="006756E8">
        <w:rPr>
          <w:color w:val="000000"/>
          <w:szCs w:val="22"/>
        </w:rPr>
        <w:t xml:space="preserve"> μονοϋδρική διϋδροχλωρική κεφεπίμη)</w:t>
      </w:r>
      <w:r w:rsidR="001542AD" w:rsidRPr="001542AD">
        <w:rPr>
          <w:color w:val="000000"/>
          <w:szCs w:val="22"/>
        </w:rPr>
        <w:t>.</w:t>
      </w:r>
    </w:p>
    <w:p w:rsidR="0030105D" w:rsidRPr="006756E8" w:rsidRDefault="0030105D" w:rsidP="0031570A">
      <w:pPr>
        <w:pStyle w:val="Default"/>
        <w:tabs>
          <w:tab w:val="left" w:pos="567"/>
        </w:tabs>
        <w:rPr>
          <w:sz w:val="22"/>
          <w:szCs w:val="22"/>
          <w:shd w:val="clear" w:color="auto" w:fill="C0C0C0"/>
          <w:lang w:val="el-GR"/>
        </w:rPr>
      </w:pPr>
      <w:r w:rsidRPr="006756E8">
        <w:rPr>
          <w:sz w:val="22"/>
          <w:szCs w:val="22"/>
          <w:lang w:val="en-US"/>
        </w:rPr>
        <w:t>Cefepime</w:t>
      </w:r>
      <w:r w:rsidRPr="006756E8">
        <w:rPr>
          <w:sz w:val="22"/>
          <w:szCs w:val="22"/>
          <w:lang w:val="el-GR"/>
        </w:rPr>
        <w:t xml:space="preserve"> </w:t>
      </w:r>
      <w:r w:rsidRPr="006756E8">
        <w:rPr>
          <w:sz w:val="22"/>
          <w:szCs w:val="22"/>
          <w:lang w:val="en-US"/>
        </w:rPr>
        <w:t>Kabi</w:t>
      </w:r>
      <w:r w:rsidRPr="006756E8">
        <w:rPr>
          <w:sz w:val="22"/>
          <w:szCs w:val="22"/>
          <w:lang w:val="el-GR"/>
        </w:rPr>
        <w:t xml:space="preserve"> </w:t>
      </w:r>
      <w:bookmarkStart w:id="0" w:name="OLE_LINK1"/>
      <w:bookmarkStart w:id="1" w:name="OLE_LINK2"/>
      <w:r w:rsidRPr="006756E8">
        <w:rPr>
          <w:sz w:val="22"/>
          <w:szCs w:val="22"/>
          <w:lang w:val="el-GR"/>
        </w:rPr>
        <w:t>2</w:t>
      </w:r>
      <w:r w:rsidR="001966C5">
        <w:rPr>
          <w:sz w:val="22"/>
          <w:szCs w:val="22"/>
          <w:lang w:val="el-GR"/>
        </w:rPr>
        <w:t> </w:t>
      </w:r>
      <w:r w:rsidRPr="006756E8">
        <w:rPr>
          <w:sz w:val="22"/>
          <w:szCs w:val="22"/>
          <w:lang w:val="en-US"/>
        </w:rPr>
        <w:t>g</w:t>
      </w:r>
      <w:bookmarkEnd w:id="0"/>
      <w:bookmarkEnd w:id="1"/>
      <w:r w:rsidRPr="006756E8">
        <w:rPr>
          <w:sz w:val="22"/>
          <w:szCs w:val="22"/>
          <w:lang w:val="el-GR"/>
        </w:rPr>
        <w:t xml:space="preserve"> κόνις για διάλυμα προς ένεση ή έγχυση:</w:t>
      </w:r>
    </w:p>
    <w:p w:rsidR="0030105D" w:rsidRPr="001542AD" w:rsidRDefault="0030105D" w:rsidP="0031570A">
      <w:pPr>
        <w:tabs>
          <w:tab w:val="left" w:pos="567"/>
        </w:tabs>
        <w:rPr>
          <w:color w:val="000000"/>
          <w:szCs w:val="22"/>
        </w:rPr>
      </w:pPr>
      <w:r w:rsidRPr="006756E8">
        <w:rPr>
          <w:szCs w:val="22"/>
        </w:rPr>
        <w:t xml:space="preserve">Κάθε φιαλίδιο περιέχει </w:t>
      </w:r>
      <w:r w:rsidR="00D56096" w:rsidRPr="006756E8">
        <w:rPr>
          <w:szCs w:val="22"/>
        </w:rPr>
        <w:t>2</w:t>
      </w:r>
      <w:r w:rsidR="001966C5">
        <w:rPr>
          <w:szCs w:val="22"/>
        </w:rPr>
        <w:t> </w:t>
      </w:r>
      <w:r w:rsidR="00D56096" w:rsidRPr="006756E8">
        <w:rPr>
          <w:szCs w:val="22"/>
          <w:lang w:val="en-US"/>
        </w:rPr>
        <w:t>g</w:t>
      </w:r>
      <w:r w:rsidR="00D56096" w:rsidRPr="006756E8">
        <w:rPr>
          <w:szCs w:val="22"/>
        </w:rPr>
        <w:t xml:space="preserve"> </w:t>
      </w:r>
      <w:r w:rsidRPr="006756E8">
        <w:rPr>
          <w:szCs w:val="22"/>
        </w:rPr>
        <w:t>κεφεπίμης (ως 2378</w:t>
      </w:r>
      <w:r w:rsidR="000954F0">
        <w:rPr>
          <w:szCs w:val="22"/>
        </w:rPr>
        <w:t>,</w:t>
      </w:r>
      <w:r w:rsidRPr="006756E8">
        <w:rPr>
          <w:szCs w:val="22"/>
        </w:rPr>
        <w:t>5</w:t>
      </w:r>
      <w:r w:rsidR="001966C5">
        <w:rPr>
          <w:color w:val="000000"/>
          <w:szCs w:val="22"/>
        </w:rPr>
        <w:t> </w:t>
      </w:r>
      <w:r w:rsidRPr="006756E8">
        <w:rPr>
          <w:color w:val="000000"/>
          <w:szCs w:val="22"/>
          <w:lang w:val="en-GB"/>
        </w:rPr>
        <w:t>mg</w:t>
      </w:r>
      <w:r w:rsidRPr="006756E8">
        <w:rPr>
          <w:color w:val="000000"/>
          <w:szCs w:val="22"/>
        </w:rPr>
        <w:t xml:space="preserve"> μονοϋδρική διϋδροχλωρική κεφεπίμη)</w:t>
      </w:r>
      <w:r w:rsidR="001542AD" w:rsidRPr="001542AD">
        <w:rPr>
          <w:color w:val="000000"/>
          <w:szCs w:val="22"/>
        </w:rPr>
        <w:t>.</w:t>
      </w:r>
    </w:p>
    <w:p w:rsidR="002A6FFD" w:rsidRPr="006756E8" w:rsidRDefault="002A6FFD" w:rsidP="0031570A">
      <w:pPr>
        <w:tabs>
          <w:tab w:val="left" w:pos="567"/>
        </w:tabs>
        <w:rPr>
          <w:noProof/>
          <w:szCs w:val="22"/>
        </w:rPr>
      </w:pPr>
    </w:p>
    <w:p w:rsidR="00B9512A" w:rsidRPr="006756E8" w:rsidRDefault="00B9512A" w:rsidP="0031570A">
      <w:pPr>
        <w:tabs>
          <w:tab w:val="left" w:pos="567"/>
        </w:tabs>
        <w:rPr>
          <w:noProof/>
          <w:szCs w:val="22"/>
        </w:rPr>
      </w:pPr>
      <w:r w:rsidRPr="006756E8">
        <w:rPr>
          <w:noProof/>
          <w:szCs w:val="22"/>
        </w:rPr>
        <w:t>Για τον πλήρη κατάλογο των εκδόχων, βλ. παράγραφο 6.1.</w:t>
      </w:r>
    </w:p>
    <w:p w:rsidR="00B9512A" w:rsidRPr="006756E8" w:rsidRDefault="00B9512A" w:rsidP="0031570A">
      <w:pPr>
        <w:pStyle w:val="a3"/>
        <w:tabs>
          <w:tab w:val="clear" w:pos="4153"/>
          <w:tab w:val="clear" w:pos="8306"/>
          <w:tab w:val="left" w:pos="567"/>
        </w:tabs>
        <w:rPr>
          <w:noProof/>
          <w:szCs w:val="22"/>
        </w:rPr>
      </w:pP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3.</w:t>
      </w:r>
      <w:r w:rsidRPr="006756E8">
        <w:rPr>
          <w:b/>
          <w:noProof/>
          <w:szCs w:val="22"/>
        </w:rPr>
        <w:tab/>
        <w:t>ΦΑΡΜΑΚΟΤΕΧΝΙΚΗ ΜΟΡΦΗ</w:t>
      </w:r>
    </w:p>
    <w:p w:rsidR="00B9512A" w:rsidRPr="006756E8" w:rsidRDefault="00B9512A" w:rsidP="0031570A">
      <w:pPr>
        <w:tabs>
          <w:tab w:val="left" w:pos="567"/>
        </w:tabs>
        <w:rPr>
          <w:noProof/>
          <w:szCs w:val="22"/>
        </w:rPr>
      </w:pPr>
    </w:p>
    <w:p w:rsidR="002A6FFD" w:rsidRPr="006756E8" w:rsidRDefault="002A6FFD" w:rsidP="0031570A">
      <w:pPr>
        <w:pStyle w:val="Default"/>
        <w:tabs>
          <w:tab w:val="left" w:pos="567"/>
        </w:tabs>
        <w:rPr>
          <w:b/>
          <w:bCs/>
          <w:sz w:val="22"/>
          <w:szCs w:val="22"/>
          <w:lang w:val="el-GR"/>
        </w:rPr>
      </w:pPr>
      <w:r w:rsidRPr="006756E8">
        <w:rPr>
          <w:sz w:val="22"/>
          <w:szCs w:val="22"/>
          <w:lang w:val="el-GR"/>
        </w:rPr>
        <w:t>Κόνις για διάλυμα</w:t>
      </w:r>
      <w:r w:rsidR="0030105D" w:rsidRPr="006756E8">
        <w:rPr>
          <w:sz w:val="22"/>
          <w:szCs w:val="22"/>
          <w:lang w:val="el-GR"/>
        </w:rPr>
        <w:t xml:space="preserve"> προς ένεση ή έγχυση</w:t>
      </w:r>
    </w:p>
    <w:p w:rsidR="002A6FFD" w:rsidRPr="006756E8" w:rsidRDefault="002A6FFD" w:rsidP="0031570A">
      <w:pPr>
        <w:tabs>
          <w:tab w:val="left" w:pos="567"/>
        </w:tabs>
        <w:autoSpaceDE w:val="0"/>
        <w:autoSpaceDN w:val="0"/>
        <w:adjustRightInd w:val="0"/>
        <w:rPr>
          <w:szCs w:val="22"/>
        </w:rPr>
      </w:pPr>
    </w:p>
    <w:p w:rsidR="00B9512A" w:rsidRPr="006756E8" w:rsidRDefault="002A6FFD" w:rsidP="0031570A">
      <w:pPr>
        <w:tabs>
          <w:tab w:val="left" w:pos="567"/>
        </w:tabs>
        <w:autoSpaceDE w:val="0"/>
        <w:autoSpaceDN w:val="0"/>
        <w:adjustRightInd w:val="0"/>
        <w:rPr>
          <w:szCs w:val="22"/>
        </w:rPr>
      </w:pPr>
      <w:r w:rsidRPr="006756E8">
        <w:rPr>
          <w:szCs w:val="22"/>
        </w:rPr>
        <w:t xml:space="preserve">Φιαλίδια με λευκή έως </w:t>
      </w:r>
      <w:r w:rsidR="00690090" w:rsidRPr="006756E8">
        <w:rPr>
          <w:szCs w:val="22"/>
        </w:rPr>
        <w:t xml:space="preserve">υποκίτρινη </w:t>
      </w:r>
      <w:r w:rsidRPr="006756E8">
        <w:rPr>
          <w:szCs w:val="22"/>
        </w:rPr>
        <w:t xml:space="preserve">σκόνη. </w:t>
      </w:r>
    </w:p>
    <w:p w:rsidR="00D05F13" w:rsidRPr="006756E8" w:rsidRDefault="00D05F13" w:rsidP="0031570A">
      <w:pPr>
        <w:tabs>
          <w:tab w:val="left" w:pos="567"/>
        </w:tabs>
        <w:autoSpaceDE w:val="0"/>
        <w:autoSpaceDN w:val="0"/>
        <w:adjustRightInd w:val="0"/>
        <w:rPr>
          <w:szCs w:val="22"/>
        </w:rPr>
      </w:pPr>
      <w:r w:rsidRPr="006756E8">
        <w:rPr>
          <w:szCs w:val="22"/>
        </w:rPr>
        <w:t xml:space="preserve">Το </w:t>
      </w:r>
      <w:r w:rsidRPr="006756E8">
        <w:rPr>
          <w:szCs w:val="22"/>
          <w:lang w:val="en-US"/>
        </w:rPr>
        <w:t>pH</w:t>
      </w:r>
      <w:r w:rsidRPr="006756E8">
        <w:rPr>
          <w:szCs w:val="22"/>
        </w:rPr>
        <w:t xml:space="preserve"> του ανασυσταμένου διαλύματος είναι 4.0–6.0.</w:t>
      </w:r>
    </w:p>
    <w:p w:rsidR="00D05F13" w:rsidRPr="006756E8" w:rsidRDefault="00D05F13" w:rsidP="0031570A">
      <w:pPr>
        <w:tabs>
          <w:tab w:val="left" w:pos="567"/>
        </w:tabs>
        <w:autoSpaceDE w:val="0"/>
        <w:autoSpaceDN w:val="0"/>
        <w:adjustRightInd w:val="0"/>
        <w:rPr>
          <w:noProof/>
          <w:szCs w:val="22"/>
        </w:rPr>
      </w:pP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4.</w:t>
      </w:r>
      <w:r w:rsidRPr="006756E8">
        <w:rPr>
          <w:b/>
          <w:noProof/>
          <w:szCs w:val="22"/>
        </w:rPr>
        <w:tab/>
        <w:t>ΚΛΙΝΙΚΕΣ ΠΛΗΡΟΦΟΡΙΕΣ</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4.1</w:t>
      </w:r>
      <w:r w:rsidRPr="006756E8">
        <w:rPr>
          <w:b/>
          <w:noProof/>
          <w:szCs w:val="22"/>
        </w:rPr>
        <w:tab/>
        <w:t>Θεραπευτικές ενδείξεις</w:t>
      </w:r>
    </w:p>
    <w:p w:rsidR="00B9512A" w:rsidRPr="006756E8" w:rsidRDefault="00B9512A" w:rsidP="0031570A">
      <w:pPr>
        <w:tabs>
          <w:tab w:val="left" w:pos="567"/>
        </w:tabs>
        <w:rPr>
          <w:noProof/>
          <w:szCs w:val="22"/>
        </w:rPr>
      </w:pPr>
    </w:p>
    <w:p w:rsidR="00A3378E" w:rsidRPr="006756E8" w:rsidRDefault="00A3378E" w:rsidP="0031570A">
      <w:pPr>
        <w:tabs>
          <w:tab w:val="left" w:pos="567"/>
        </w:tabs>
        <w:autoSpaceDE w:val="0"/>
        <w:autoSpaceDN w:val="0"/>
        <w:adjustRightInd w:val="0"/>
        <w:rPr>
          <w:color w:val="000000"/>
          <w:szCs w:val="22"/>
        </w:rPr>
      </w:pPr>
      <w:r w:rsidRPr="006756E8">
        <w:rPr>
          <w:color w:val="000000"/>
          <w:szCs w:val="22"/>
        </w:rPr>
        <w:t>Η κεφεπίμη ενδείκνυται για την θεραπεία σοβαρών λοιμώξεων</w:t>
      </w:r>
      <w:r w:rsidR="00D05F13" w:rsidRPr="006756E8">
        <w:rPr>
          <w:color w:val="000000"/>
          <w:szCs w:val="22"/>
        </w:rPr>
        <w:t xml:space="preserve">. </w:t>
      </w:r>
      <w:r w:rsidRPr="006756E8">
        <w:rPr>
          <w:color w:val="000000"/>
          <w:szCs w:val="22"/>
        </w:rPr>
        <w:t xml:space="preserve"> </w:t>
      </w:r>
    </w:p>
    <w:p w:rsidR="00D05F13" w:rsidRPr="006756E8" w:rsidRDefault="00D05F13" w:rsidP="0031570A">
      <w:pPr>
        <w:tabs>
          <w:tab w:val="left" w:pos="567"/>
        </w:tabs>
        <w:autoSpaceDE w:val="0"/>
        <w:autoSpaceDN w:val="0"/>
        <w:adjustRightInd w:val="0"/>
        <w:rPr>
          <w:color w:val="000000"/>
          <w:szCs w:val="22"/>
        </w:rPr>
      </w:pPr>
    </w:p>
    <w:p w:rsidR="00D05F13" w:rsidRPr="006756E8" w:rsidRDefault="00D05F13" w:rsidP="0031570A">
      <w:pPr>
        <w:tabs>
          <w:tab w:val="left" w:pos="567"/>
        </w:tabs>
        <w:autoSpaceDE w:val="0"/>
        <w:autoSpaceDN w:val="0"/>
        <w:adjustRightInd w:val="0"/>
        <w:rPr>
          <w:i/>
          <w:color w:val="000000"/>
          <w:szCs w:val="22"/>
        </w:rPr>
      </w:pPr>
      <w:r w:rsidRPr="006756E8">
        <w:rPr>
          <w:i/>
          <w:color w:val="000000"/>
          <w:szCs w:val="22"/>
        </w:rPr>
        <w:t>Σε ενήλικες και παιδιά ηλι</w:t>
      </w:r>
      <w:r w:rsidR="00D56096" w:rsidRPr="006756E8">
        <w:rPr>
          <w:i/>
          <w:color w:val="000000"/>
          <w:szCs w:val="22"/>
        </w:rPr>
        <w:t>κίας άνω των 12 ετών (βλ. παραγρά</w:t>
      </w:r>
      <w:r w:rsidRPr="006756E8">
        <w:rPr>
          <w:i/>
          <w:color w:val="000000"/>
          <w:szCs w:val="22"/>
        </w:rPr>
        <w:t>φους 4.4. και 5.1):</w:t>
      </w:r>
    </w:p>
    <w:p w:rsidR="00D05F13" w:rsidRPr="006756E8" w:rsidRDefault="00D05F13" w:rsidP="0031570A">
      <w:pPr>
        <w:widowControl/>
        <w:numPr>
          <w:ilvl w:val="1"/>
          <w:numId w:val="9"/>
        </w:numPr>
        <w:tabs>
          <w:tab w:val="clear" w:pos="360"/>
          <w:tab w:val="left" w:pos="567"/>
        </w:tabs>
        <w:autoSpaceDE w:val="0"/>
        <w:autoSpaceDN w:val="0"/>
        <w:adjustRightInd w:val="0"/>
        <w:ind w:left="567" w:hanging="567"/>
        <w:rPr>
          <w:color w:val="000000"/>
          <w:szCs w:val="22"/>
        </w:rPr>
      </w:pPr>
      <w:r w:rsidRPr="006756E8">
        <w:rPr>
          <w:color w:val="000000"/>
          <w:szCs w:val="22"/>
        </w:rPr>
        <w:t>Νοσοκομειακή πνευμονία</w:t>
      </w:r>
    </w:p>
    <w:p w:rsidR="00D05F13" w:rsidRPr="006756E8" w:rsidRDefault="00D05F13" w:rsidP="0031570A">
      <w:pPr>
        <w:widowControl/>
        <w:numPr>
          <w:ilvl w:val="1"/>
          <w:numId w:val="9"/>
        </w:numPr>
        <w:tabs>
          <w:tab w:val="clear" w:pos="360"/>
          <w:tab w:val="left" w:pos="567"/>
        </w:tabs>
        <w:autoSpaceDE w:val="0"/>
        <w:autoSpaceDN w:val="0"/>
        <w:adjustRightInd w:val="0"/>
        <w:ind w:left="567" w:hanging="567"/>
        <w:rPr>
          <w:color w:val="000000"/>
          <w:szCs w:val="22"/>
        </w:rPr>
      </w:pPr>
      <w:r w:rsidRPr="006756E8">
        <w:rPr>
          <w:color w:val="000000"/>
          <w:szCs w:val="22"/>
        </w:rPr>
        <w:t>Επιπλεγμένες λοιμώξεις του ουροποιητικού συστήματος</w:t>
      </w:r>
    </w:p>
    <w:p w:rsidR="00D05F13" w:rsidRPr="006756E8" w:rsidRDefault="00D05F13" w:rsidP="0031570A">
      <w:pPr>
        <w:widowControl/>
        <w:numPr>
          <w:ilvl w:val="1"/>
          <w:numId w:val="9"/>
        </w:numPr>
        <w:tabs>
          <w:tab w:val="clear" w:pos="360"/>
          <w:tab w:val="left" w:pos="567"/>
        </w:tabs>
        <w:autoSpaceDE w:val="0"/>
        <w:autoSpaceDN w:val="0"/>
        <w:adjustRightInd w:val="0"/>
        <w:ind w:left="567" w:hanging="567"/>
        <w:rPr>
          <w:color w:val="000000"/>
          <w:szCs w:val="22"/>
        </w:rPr>
      </w:pPr>
      <w:r w:rsidRPr="006756E8">
        <w:rPr>
          <w:color w:val="000000"/>
          <w:szCs w:val="22"/>
        </w:rPr>
        <w:t>Επιπλεγμένες ενδοκοιλιακές λοιμώξεις</w:t>
      </w:r>
    </w:p>
    <w:p w:rsidR="00D05F13" w:rsidRPr="006756E8" w:rsidRDefault="00D05F13" w:rsidP="0031570A">
      <w:pPr>
        <w:widowControl/>
        <w:numPr>
          <w:ilvl w:val="1"/>
          <w:numId w:val="9"/>
        </w:numPr>
        <w:tabs>
          <w:tab w:val="clear" w:pos="360"/>
          <w:tab w:val="left" w:pos="567"/>
        </w:tabs>
        <w:autoSpaceDE w:val="0"/>
        <w:autoSpaceDN w:val="0"/>
        <w:adjustRightInd w:val="0"/>
        <w:ind w:left="567" w:hanging="567"/>
        <w:rPr>
          <w:color w:val="000000"/>
          <w:szCs w:val="22"/>
        </w:rPr>
      </w:pPr>
      <w:r w:rsidRPr="006756E8">
        <w:rPr>
          <w:color w:val="000000"/>
          <w:szCs w:val="22"/>
        </w:rPr>
        <w:t xml:space="preserve">Περιτονίτιδα σχετιζόμενη με την αιμοκάθαρση σε ασθενείς </w:t>
      </w:r>
      <w:r w:rsidR="00D56096" w:rsidRPr="006756E8">
        <w:rPr>
          <w:color w:val="000000"/>
          <w:szCs w:val="22"/>
        </w:rPr>
        <w:t>υπό</w:t>
      </w:r>
      <w:r w:rsidR="00E83B86" w:rsidRPr="006756E8">
        <w:rPr>
          <w:color w:val="000000"/>
          <w:szCs w:val="22"/>
        </w:rPr>
        <w:t xml:space="preserve"> </w:t>
      </w:r>
      <w:r w:rsidR="00DD58E1" w:rsidRPr="006756E8">
        <w:rPr>
          <w:szCs w:val="22"/>
        </w:rPr>
        <w:t>συνεχή περιπατητική περιτοναϊκή κάθαρση (</w:t>
      </w:r>
      <w:r w:rsidR="00E83B86" w:rsidRPr="006756E8">
        <w:rPr>
          <w:color w:val="000000"/>
          <w:szCs w:val="22"/>
          <w:lang w:val="en-US"/>
        </w:rPr>
        <w:t>CAPD</w:t>
      </w:r>
      <w:r w:rsidR="00DD58E1" w:rsidRPr="006756E8">
        <w:rPr>
          <w:color w:val="000000"/>
          <w:szCs w:val="22"/>
        </w:rPr>
        <w:t>)</w:t>
      </w:r>
    </w:p>
    <w:p w:rsidR="00E83B86" w:rsidRDefault="00E83B86" w:rsidP="0031570A">
      <w:pPr>
        <w:widowControl/>
        <w:tabs>
          <w:tab w:val="left" w:pos="567"/>
        </w:tabs>
        <w:autoSpaceDE w:val="0"/>
        <w:autoSpaceDN w:val="0"/>
        <w:adjustRightInd w:val="0"/>
        <w:rPr>
          <w:color w:val="000000"/>
          <w:szCs w:val="22"/>
        </w:rPr>
      </w:pPr>
    </w:p>
    <w:p w:rsidR="001542AD" w:rsidRDefault="001542AD" w:rsidP="0031570A">
      <w:pPr>
        <w:widowControl/>
        <w:tabs>
          <w:tab w:val="left" w:pos="567"/>
        </w:tabs>
        <w:autoSpaceDE w:val="0"/>
        <w:autoSpaceDN w:val="0"/>
        <w:adjustRightInd w:val="0"/>
        <w:rPr>
          <w:color w:val="000000"/>
          <w:szCs w:val="22"/>
        </w:rPr>
      </w:pPr>
      <w:r>
        <w:rPr>
          <w:color w:val="000000"/>
          <w:szCs w:val="22"/>
        </w:rPr>
        <w:t>Η θεραπεία των ασθενών με β</w:t>
      </w:r>
      <w:r w:rsidRPr="001542AD">
        <w:rPr>
          <w:color w:val="000000"/>
          <w:szCs w:val="22"/>
        </w:rPr>
        <w:t>ακτηριαιμία</w:t>
      </w:r>
      <w:r>
        <w:rPr>
          <w:color w:val="000000"/>
          <w:szCs w:val="22"/>
        </w:rPr>
        <w:t xml:space="preserve"> </w:t>
      </w:r>
      <w:r w:rsidRPr="001542AD">
        <w:rPr>
          <w:color w:val="000000"/>
          <w:szCs w:val="22"/>
        </w:rPr>
        <w:t>που συμβαίνει σε συνδυασμό με, ή υπάρχει υποψία ότι συνδέεται με</w:t>
      </w:r>
      <w:r>
        <w:rPr>
          <w:color w:val="000000"/>
          <w:szCs w:val="22"/>
        </w:rPr>
        <w:t>,</w:t>
      </w:r>
      <w:r w:rsidRPr="001542AD">
        <w:rPr>
          <w:color w:val="000000"/>
          <w:szCs w:val="22"/>
        </w:rPr>
        <w:t xml:space="preserve"> οποιαδήποτε από τις λοιμώξεις που αναφέρονται παραπάνω</w:t>
      </w:r>
      <w:r>
        <w:rPr>
          <w:color w:val="000000"/>
          <w:szCs w:val="22"/>
        </w:rPr>
        <w:t>.</w:t>
      </w:r>
    </w:p>
    <w:p w:rsidR="001542AD" w:rsidRPr="006756E8" w:rsidRDefault="001542AD" w:rsidP="0031570A">
      <w:pPr>
        <w:widowControl/>
        <w:tabs>
          <w:tab w:val="left" w:pos="567"/>
        </w:tabs>
        <w:autoSpaceDE w:val="0"/>
        <w:autoSpaceDN w:val="0"/>
        <w:adjustRightInd w:val="0"/>
        <w:rPr>
          <w:color w:val="000000"/>
          <w:szCs w:val="22"/>
        </w:rPr>
      </w:pPr>
    </w:p>
    <w:p w:rsidR="00E83B86" w:rsidRPr="006756E8" w:rsidRDefault="00E83B86" w:rsidP="0031570A">
      <w:pPr>
        <w:widowControl/>
        <w:tabs>
          <w:tab w:val="left" w:pos="567"/>
        </w:tabs>
        <w:autoSpaceDE w:val="0"/>
        <w:autoSpaceDN w:val="0"/>
        <w:adjustRightInd w:val="0"/>
        <w:rPr>
          <w:color w:val="000000"/>
          <w:szCs w:val="22"/>
        </w:rPr>
      </w:pPr>
      <w:r w:rsidRPr="006756E8">
        <w:rPr>
          <w:color w:val="000000"/>
          <w:szCs w:val="22"/>
        </w:rPr>
        <w:t xml:space="preserve">Η κεφεπίμη μπορεί να χρησιμοποιηθεί </w:t>
      </w:r>
      <w:r w:rsidR="00D56096" w:rsidRPr="006756E8">
        <w:rPr>
          <w:color w:val="000000"/>
          <w:szCs w:val="22"/>
        </w:rPr>
        <w:t>σ</w:t>
      </w:r>
      <w:r w:rsidRPr="006756E8">
        <w:rPr>
          <w:color w:val="000000"/>
          <w:szCs w:val="22"/>
        </w:rPr>
        <w:t xml:space="preserve">τη διαχείριση ουδετεροπενικών ασθενών </w:t>
      </w:r>
      <w:r w:rsidR="002D48DD" w:rsidRPr="006756E8">
        <w:rPr>
          <w:color w:val="000000"/>
          <w:szCs w:val="22"/>
        </w:rPr>
        <w:t>με πυρετό για τον οποίο υπάρχει υποψία ότι οφείλεται σε βακτηριακή λοίμωξη.</w:t>
      </w:r>
    </w:p>
    <w:p w:rsidR="002D48DD" w:rsidRPr="006756E8" w:rsidRDefault="002D48DD" w:rsidP="0031570A">
      <w:pPr>
        <w:widowControl/>
        <w:tabs>
          <w:tab w:val="left" w:pos="567"/>
        </w:tabs>
        <w:autoSpaceDE w:val="0"/>
        <w:autoSpaceDN w:val="0"/>
        <w:adjustRightInd w:val="0"/>
        <w:rPr>
          <w:color w:val="000000"/>
          <w:szCs w:val="22"/>
        </w:rPr>
      </w:pPr>
    </w:p>
    <w:p w:rsidR="002D48DD" w:rsidRPr="006756E8" w:rsidRDefault="002D48DD" w:rsidP="0031570A">
      <w:pPr>
        <w:widowControl/>
        <w:tabs>
          <w:tab w:val="left" w:pos="567"/>
        </w:tabs>
        <w:autoSpaceDE w:val="0"/>
        <w:autoSpaceDN w:val="0"/>
        <w:adjustRightInd w:val="0"/>
        <w:rPr>
          <w:color w:val="000000"/>
          <w:szCs w:val="22"/>
        </w:rPr>
      </w:pPr>
    </w:p>
    <w:p w:rsidR="002D48DD" w:rsidRPr="006756E8" w:rsidRDefault="002D48DD" w:rsidP="0031570A">
      <w:pPr>
        <w:widowControl/>
        <w:tabs>
          <w:tab w:val="left" w:pos="567"/>
        </w:tabs>
        <w:autoSpaceDE w:val="0"/>
        <w:autoSpaceDN w:val="0"/>
        <w:adjustRightInd w:val="0"/>
        <w:rPr>
          <w:i/>
          <w:color w:val="000000"/>
          <w:szCs w:val="22"/>
        </w:rPr>
      </w:pPr>
      <w:r w:rsidRPr="006756E8">
        <w:rPr>
          <w:i/>
          <w:color w:val="000000"/>
          <w:szCs w:val="22"/>
        </w:rPr>
        <w:t xml:space="preserve">Σε παιδιά ηλικίας από 2 μηνών έως 12 ετών και με βάρος σώματος </w:t>
      </w:r>
      <w:r w:rsidRPr="006756E8">
        <w:rPr>
          <w:i/>
          <w:iCs/>
          <w:szCs w:val="22"/>
        </w:rPr>
        <w:t>≤</w:t>
      </w:r>
      <w:r w:rsidR="001966C5">
        <w:rPr>
          <w:i/>
          <w:iCs/>
          <w:szCs w:val="22"/>
        </w:rPr>
        <w:t> </w:t>
      </w:r>
      <w:r w:rsidRPr="006756E8">
        <w:rPr>
          <w:i/>
          <w:iCs/>
          <w:szCs w:val="22"/>
        </w:rPr>
        <w:t>40</w:t>
      </w:r>
      <w:r w:rsidR="001966C5">
        <w:rPr>
          <w:i/>
          <w:iCs/>
          <w:szCs w:val="22"/>
        </w:rPr>
        <w:t> </w:t>
      </w:r>
      <w:r w:rsidRPr="006756E8">
        <w:rPr>
          <w:i/>
          <w:iCs/>
          <w:szCs w:val="22"/>
          <w:lang w:val="en-US"/>
        </w:rPr>
        <w:t>kg</w:t>
      </w:r>
      <w:r w:rsidRPr="006756E8">
        <w:rPr>
          <w:i/>
          <w:iCs/>
          <w:szCs w:val="22"/>
        </w:rPr>
        <w:t>:</w:t>
      </w:r>
    </w:p>
    <w:p w:rsidR="002D48DD" w:rsidRPr="006756E8" w:rsidRDefault="002D48DD" w:rsidP="0031570A">
      <w:pPr>
        <w:widowControl/>
        <w:numPr>
          <w:ilvl w:val="1"/>
          <w:numId w:val="10"/>
        </w:numPr>
        <w:tabs>
          <w:tab w:val="clear" w:pos="360"/>
          <w:tab w:val="left" w:pos="567"/>
        </w:tabs>
        <w:autoSpaceDE w:val="0"/>
        <w:autoSpaceDN w:val="0"/>
        <w:adjustRightInd w:val="0"/>
        <w:ind w:left="567" w:hanging="567"/>
        <w:rPr>
          <w:color w:val="000000"/>
          <w:szCs w:val="22"/>
        </w:rPr>
      </w:pPr>
      <w:r w:rsidRPr="006756E8">
        <w:rPr>
          <w:color w:val="000000"/>
          <w:szCs w:val="22"/>
        </w:rPr>
        <w:t>Νοσοκομειακή πνευμονία</w:t>
      </w:r>
    </w:p>
    <w:p w:rsidR="002D48DD" w:rsidRPr="006756E8" w:rsidRDefault="002D48DD" w:rsidP="0031570A">
      <w:pPr>
        <w:widowControl/>
        <w:numPr>
          <w:ilvl w:val="1"/>
          <w:numId w:val="10"/>
        </w:numPr>
        <w:tabs>
          <w:tab w:val="clear" w:pos="360"/>
          <w:tab w:val="left" w:pos="567"/>
        </w:tabs>
        <w:autoSpaceDE w:val="0"/>
        <w:autoSpaceDN w:val="0"/>
        <w:adjustRightInd w:val="0"/>
        <w:ind w:left="567" w:hanging="567"/>
        <w:rPr>
          <w:color w:val="000000"/>
          <w:szCs w:val="22"/>
        </w:rPr>
      </w:pPr>
      <w:r w:rsidRPr="006756E8">
        <w:rPr>
          <w:color w:val="000000"/>
          <w:szCs w:val="22"/>
        </w:rPr>
        <w:t>Επιπλεγμένες λοιμώξεις του ουροποιοητικού συστήματος</w:t>
      </w:r>
    </w:p>
    <w:p w:rsidR="002D48DD" w:rsidRDefault="002D48DD" w:rsidP="0031570A">
      <w:pPr>
        <w:widowControl/>
        <w:tabs>
          <w:tab w:val="left" w:pos="567"/>
        </w:tabs>
        <w:autoSpaceDE w:val="0"/>
        <w:autoSpaceDN w:val="0"/>
        <w:adjustRightInd w:val="0"/>
        <w:rPr>
          <w:color w:val="000000"/>
          <w:szCs w:val="22"/>
        </w:rPr>
      </w:pPr>
    </w:p>
    <w:p w:rsidR="001542AD" w:rsidRDefault="001542AD" w:rsidP="0031570A">
      <w:pPr>
        <w:widowControl/>
        <w:tabs>
          <w:tab w:val="left" w:pos="567"/>
        </w:tabs>
        <w:autoSpaceDE w:val="0"/>
        <w:autoSpaceDN w:val="0"/>
        <w:adjustRightInd w:val="0"/>
        <w:rPr>
          <w:color w:val="000000"/>
          <w:szCs w:val="22"/>
        </w:rPr>
      </w:pPr>
      <w:r>
        <w:rPr>
          <w:color w:val="000000"/>
          <w:szCs w:val="22"/>
        </w:rPr>
        <w:t>Η θεραπεία των ασθενών με β</w:t>
      </w:r>
      <w:r w:rsidRPr="001542AD">
        <w:rPr>
          <w:color w:val="000000"/>
          <w:szCs w:val="22"/>
        </w:rPr>
        <w:t>ακτηριαιμία</w:t>
      </w:r>
      <w:r>
        <w:rPr>
          <w:color w:val="000000"/>
          <w:szCs w:val="22"/>
        </w:rPr>
        <w:t xml:space="preserve"> </w:t>
      </w:r>
      <w:r w:rsidRPr="001542AD">
        <w:rPr>
          <w:color w:val="000000"/>
          <w:szCs w:val="22"/>
        </w:rPr>
        <w:t>που συμβαίνει σε συνδυασμό με, ή υπάρχει υποψία ότι συνδέεται με</w:t>
      </w:r>
      <w:r>
        <w:rPr>
          <w:color w:val="000000"/>
          <w:szCs w:val="22"/>
        </w:rPr>
        <w:t>,</w:t>
      </w:r>
      <w:r w:rsidRPr="001542AD">
        <w:rPr>
          <w:color w:val="000000"/>
          <w:szCs w:val="22"/>
        </w:rPr>
        <w:t xml:space="preserve"> οποιαδήποτε από τις λοιμώξεις που αναφέρονται παραπάνω</w:t>
      </w:r>
      <w:r>
        <w:rPr>
          <w:color w:val="000000"/>
          <w:szCs w:val="22"/>
        </w:rPr>
        <w:t>.</w:t>
      </w:r>
    </w:p>
    <w:p w:rsidR="001542AD" w:rsidRPr="006756E8" w:rsidRDefault="001542AD" w:rsidP="0031570A">
      <w:pPr>
        <w:widowControl/>
        <w:tabs>
          <w:tab w:val="left" w:pos="567"/>
        </w:tabs>
        <w:autoSpaceDE w:val="0"/>
        <w:autoSpaceDN w:val="0"/>
        <w:adjustRightInd w:val="0"/>
        <w:rPr>
          <w:color w:val="000000"/>
          <w:szCs w:val="22"/>
        </w:rPr>
      </w:pPr>
    </w:p>
    <w:p w:rsidR="002D48DD" w:rsidRPr="006756E8" w:rsidRDefault="002D48DD" w:rsidP="0031570A">
      <w:pPr>
        <w:widowControl/>
        <w:tabs>
          <w:tab w:val="left" w:pos="567"/>
        </w:tabs>
        <w:autoSpaceDE w:val="0"/>
        <w:autoSpaceDN w:val="0"/>
        <w:adjustRightInd w:val="0"/>
        <w:rPr>
          <w:color w:val="000000"/>
          <w:szCs w:val="22"/>
        </w:rPr>
      </w:pPr>
      <w:r w:rsidRPr="006756E8">
        <w:rPr>
          <w:color w:val="000000"/>
          <w:szCs w:val="22"/>
        </w:rPr>
        <w:lastRenderedPageBreak/>
        <w:t>Η κεφεπίμη μπορεί να χρησιμοποιηθεί κατά τη διαχείριση ουδετεροπενικών ασθενών με πυρετό για τον οποίο υπάρχει υποψία ότι οφείλεται σε βακτηριακή λοίμωξη.</w:t>
      </w:r>
    </w:p>
    <w:p w:rsidR="002D48DD" w:rsidRPr="006756E8" w:rsidRDefault="002D48DD" w:rsidP="0031570A">
      <w:pPr>
        <w:widowControl/>
        <w:numPr>
          <w:ilvl w:val="1"/>
          <w:numId w:val="2"/>
        </w:numPr>
        <w:tabs>
          <w:tab w:val="left" w:pos="567"/>
        </w:tabs>
        <w:autoSpaceDE w:val="0"/>
        <w:autoSpaceDN w:val="0"/>
        <w:adjustRightInd w:val="0"/>
        <w:rPr>
          <w:color w:val="000000"/>
          <w:szCs w:val="22"/>
        </w:rPr>
      </w:pPr>
    </w:p>
    <w:p w:rsidR="00B9512A" w:rsidRPr="006756E8" w:rsidRDefault="002D48DD" w:rsidP="0031570A">
      <w:pPr>
        <w:tabs>
          <w:tab w:val="left" w:pos="567"/>
        </w:tabs>
        <w:rPr>
          <w:noProof/>
          <w:szCs w:val="22"/>
        </w:rPr>
      </w:pPr>
      <w:r w:rsidRPr="006756E8">
        <w:rPr>
          <w:noProof/>
          <w:szCs w:val="22"/>
        </w:rPr>
        <w:t>Η κεφεπίμη πρέπει να χορηγείται μαζί με άλλο</w:t>
      </w:r>
      <w:r w:rsidR="00D56096" w:rsidRPr="006756E8">
        <w:rPr>
          <w:noProof/>
          <w:szCs w:val="22"/>
        </w:rPr>
        <w:t>υ</w:t>
      </w:r>
      <w:r w:rsidRPr="006756E8">
        <w:rPr>
          <w:noProof/>
          <w:szCs w:val="22"/>
        </w:rPr>
        <w:t>ς αντιβακτηριακούς παράγοντες κάθε φορά που το πιθανό εύρος των παθογόνων βακτηρίων δεν εμπίπτει μέσα</w:t>
      </w:r>
      <w:r w:rsidR="00D56096" w:rsidRPr="006756E8">
        <w:rPr>
          <w:noProof/>
          <w:szCs w:val="22"/>
        </w:rPr>
        <w:t xml:space="preserve"> στο εύρος της δραστικότητά</w:t>
      </w:r>
      <w:r w:rsidRPr="006756E8">
        <w:rPr>
          <w:noProof/>
          <w:szCs w:val="22"/>
        </w:rPr>
        <w:t>ς</w:t>
      </w:r>
      <w:r w:rsidR="00D56096" w:rsidRPr="006756E8">
        <w:rPr>
          <w:noProof/>
          <w:szCs w:val="22"/>
        </w:rPr>
        <w:t xml:space="preserve"> της</w:t>
      </w:r>
      <w:r w:rsidRPr="006756E8">
        <w:rPr>
          <w:noProof/>
          <w:szCs w:val="22"/>
        </w:rPr>
        <w:t>.</w:t>
      </w:r>
    </w:p>
    <w:p w:rsidR="002D48DD" w:rsidRPr="006756E8" w:rsidRDefault="002D48DD" w:rsidP="0031570A">
      <w:pPr>
        <w:tabs>
          <w:tab w:val="left" w:pos="567"/>
        </w:tabs>
        <w:rPr>
          <w:noProof/>
          <w:szCs w:val="22"/>
        </w:rPr>
      </w:pPr>
    </w:p>
    <w:p w:rsidR="002D48DD" w:rsidRPr="006756E8" w:rsidRDefault="0031570A" w:rsidP="0031570A">
      <w:pPr>
        <w:tabs>
          <w:tab w:val="left" w:pos="567"/>
        </w:tabs>
        <w:rPr>
          <w:szCs w:val="22"/>
        </w:rPr>
      </w:pPr>
      <w:r>
        <w:rPr>
          <w:szCs w:val="22"/>
        </w:rPr>
        <w:t>Π</w:t>
      </w:r>
      <w:r w:rsidR="002D48DD" w:rsidRPr="006756E8">
        <w:rPr>
          <w:szCs w:val="22"/>
        </w:rPr>
        <w:t>ρέπει να λαμβάνονται υπόψη οι επ</w:t>
      </w:r>
      <w:r w:rsidR="001966C5">
        <w:rPr>
          <w:szCs w:val="22"/>
        </w:rPr>
        <w:t>ί</w:t>
      </w:r>
      <w:r w:rsidR="002D48DD" w:rsidRPr="006756E8">
        <w:rPr>
          <w:szCs w:val="22"/>
        </w:rPr>
        <w:t xml:space="preserve">σημες οδηγίες σχετικά με τη χρήση των </w:t>
      </w:r>
      <w:r w:rsidR="001966C5">
        <w:rPr>
          <w:szCs w:val="22"/>
        </w:rPr>
        <w:t>αντιβακτηριακών</w:t>
      </w:r>
      <w:r w:rsidR="002D48DD" w:rsidRPr="006756E8">
        <w:rPr>
          <w:szCs w:val="22"/>
        </w:rPr>
        <w:t xml:space="preserve"> παραγόντων.</w:t>
      </w:r>
    </w:p>
    <w:p w:rsidR="002D48DD" w:rsidRPr="006756E8" w:rsidRDefault="002D48DD" w:rsidP="0031570A">
      <w:pPr>
        <w:tabs>
          <w:tab w:val="left" w:pos="567"/>
        </w:tabs>
        <w:rPr>
          <w:noProof/>
          <w:szCs w:val="22"/>
        </w:rPr>
      </w:pPr>
    </w:p>
    <w:p w:rsidR="00B9512A" w:rsidRPr="006756E8" w:rsidRDefault="00B9512A" w:rsidP="0031570A">
      <w:pPr>
        <w:numPr>
          <w:ilvl w:val="1"/>
          <w:numId w:val="1"/>
        </w:numPr>
        <w:tabs>
          <w:tab w:val="left" w:pos="567"/>
        </w:tabs>
        <w:rPr>
          <w:b/>
          <w:noProof/>
          <w:szCs w:val="22"/>
        </w:rPr>
      </w:pPr>
      <w:r w:rsidRPr="006756E8">
        <w:rPr>
          <w:b/>
          <w:noProof/>
          <w:szCs w:val="22"/>
        </w:rPr>
        <w:t>Δοσολογία και τρόπος χορήγησης</w:t>
      </w:r>
    </w:p>
    <w:p w:rsidR="00B9512A" w:rsidRPr="006756E8" w:rsidRDefault="00B9512A" w:rsidP="0031570A">
      <w:pPr>
        <w:tabs>
          <w:tab w:val="left" w:pos="567"/>
        </w:tabs>
        <w:rPr>
          <w:noProof/>
          <w:szCs w:val="22"/>
        </w:rPr>
      </w:pPr>
    </w:p>
    <w:p w:rsidR="008D5A82" w:rsidRPr="006756E8" w:rsidRDefault="008D5A82" w:rsidP="0031570A">
      <w:pPr>
        <w:tabs>
          <w:tab w:val="left" w:pos="567"/>
        </w:tabs>
        <w:autoSpaceDE w:val="0"/>
        <w:autoSpaceDN w:val="0"/>
        <w:adjustRightInd w:val="0"/>
        <w:rPr>
          <w:b/>
          <w:szCs w:val="22"/>
          <w:lang w:val="en-GB"/>
        </w:rPr>
      </w:pPr>
      <w:r w:rsidRPr="006756E8">
        <w:rPr>
          <w:b/>
          <w:szCs w:val="22"/>
          <w:u w:val="single"/>
        </w:rPr>
        <w:t>Δοσολογία</w:t>
      </w:r>
      <w:r w:rsidRPr="006756E8">
        <w:rPr>
          <w:b/>
          <w:szCs w:val="22"/>
          <w:u w:val="single"/>
          <w:lang w:val="en-GB"/>
        </w:rPr>
        <w:t xml:space="preserve">: </w:t>
      </w:r>
    </w:p>
    <w:p w:rsidR="008D5A82" w:rsidRPr="006756E8" w:rsidRDefault="008D5A82" w:rsidP="0031570A">
      <w:pPr>
        <w:tabs>
          <w:tab w:val="left" w:pos="567"/>
        </w:tabs>
        <w:autoSpaceDE w:val="0"/>
        <w:autoSpaceDN w:val="0"/>
        <w:adjustRightInd w:val="0"/>
        <w:rPr>
          <w:szCs w:val="22"/>
          <w:lang w:val="en-GB"/>
        </w:rPr>
      </w:pPr>
    </w:p>
    <w:p w:rsidR="008D5A82" w:rsidRPr="006756E8" w:rsidRDefault="00326297" w:rsidP="0031570A">
      <w:pPr>
        <w:tabs>
          <w:tab w:val="left" w:pos="567"/>
        </w:tabs>
        <w:autoSpaceDE w:val="0"/>
        <w:autoSpaceDN w:val="0"/>
        <w:adjustRightInd w:val="0"/>
        <w:rPr>
          <w:szCs w:val="22"/>
        </w:rPr>
      </w:pPr>
      <w:r w:rsidRPr="006756E8">
        <w:rPr>
          <w:szCs w:val="22"/>
        </w:rPr>
        <w:t xml:space="preserve">Το </w:t>
      </w:r>
      <w:r w:rsidRPr="006756E8">
        <w:rPr>
          <w:szCs w:val="22"/>
          <w:lang w:val="en-US"/>
        </w:rPr>
        <w:t>Cefepim</w:t>
      </w:r>
      <w:r w:rsidR="0042362F">
        <w:rPr>
          <w:szCs w:val="22"/>
          <w:lang w:val="en-US"/>
        </w:rPr>
        <w:t>e</w:t>
      </w:r>
      <w:r w:rsidRPr="006756E8">
        <w:rPr>
          <w:szCs w:val="22"/>
        </w:rPr>
        <w:t xml:space="preserve"> </w:t>
      </w:r>
      <w:r w:rsidRPr="006756E8">
        <w:rPr>
          <w:szCs w:val="22"/>
          <w:lang w:val="en-US"/>
        </w:rPr>
        <w:t>Kabi</w:t>
      </w:r>
      <w:r w:rsidRPr="006756E8">
        <w:rPr>
          <w:szCs w:val="22"/>
        </w:rPr>
        <w:t xml:space="preserve"> πρέπει να χορηγείται </w:t>
      </w:r>
      <w:r w:rsidR="008D5A82" w:rsidRPr="006756E8">
        <w:rPr>
          <w:szCs w:val="22"/>
        </w:rPr>
        <w:t>δια της ενδοφλέβιας οδού</w:t>
      </w:r>
      <w:r w:rsidR="00264F06" w:rsidRPr="006756E8">
        <w:rPr>
          <w:szCs w:val="22"/>
        </w:rPr>
        <w:t xml:space="preserve"> </w:t>
      </w:r>
      <w:r w:rsidR="00D56096" w:rsidRPr="006756E8">
        <w:rPr>
          <w:szCs w:val="22"/>
        </w:rPr>
        <w:t>(</w:t>
      </w:r>
      <w:r w:rsidR="0031570A">
        <w:rPr>
          <w:szCs w:val="22"/>
        </w:rPr>
        <w:t>βλέπε παράγραφο</w:t>
      </w:r>
      <w:r w:rsidR="00D56096" w:rsidRPr="006756E8">
        <w:rPr>
          <w:szCs w:val="22"/>
        </w:rPr>
        <w:t xml:space="preserve"> 4.2 «</w:t>
      </w:r>
      <w:r w:rsidR="0031570A">
        <w:rPr>
          <w:szCs w:val="22"/>
        </w:rPr>
        <w:t>Τρόπος</w:t>
      </w:r>
      <w:r w:rsidR="00D56096" w:rsidRPr="006756E8">
        <w:rPr>
          <w:szCs w:val="22"/>
        </w:rPr>
        <w:t xml:space="preserve"> χορήγησης») </w:t>
      </w:r>
      <w:r w:rsidR="00264F06" w:rsidRPr="006756E8">
        <w:rPr>
          <w:szCs w:val="22"/>
        </w:rPr>
        <w:t>μετά από ανασύσταση</w:t>
      </w:r>
      <w:r w:rsidR="00B23786" w:rsidRPr="006756E8">
        <w:rPr>
          <w:szCs w:val="22"/>
        </w:rPr>
        <w:t xml:space="preserve"> (βλ</w:t>
      </w:r>
      <w:r w:rsidR="0031570A">
        <w:rPr>
          <w:szCs w:val="22"/>
        </w:rPr>
        <w:t>έπε</w:t>
      </w:r>
      <w:r w:rsidR="00B23786" w:rsidRPr="006756E8">
        <w:rPr>
          <w:szCs w:val="22"/>
        </w:rPr>
        <w:t xml:space="preserve"> παράγραφο 6.6</w:t>
      </w:r>
      <w:r w:rsidR="00264F06" w:rsidRPr="006756E8">
        <w:rPr>
          <w:szCs w:val="22"/>
        </w:rPr>
        <w:t>).</w:t>
      </w:r>
    </w:p>
    <w:p w:rsidR="00B23786" w:rsidRPr="006756E8" w:rsidRDefault="00B23786" w:rsidP="0031570A">
      <w:pPr>
        <w:tabs>
          <w:tab w:val="left" w:pos="567"/>
        </w:tabs>
        <w:autoSpaceDE w:val="0"/>
        <w:autoSpaceDN w:val="0"/>
        <w:adjustRightInd w:val="0"/>
        <w:rPr>
          <w:szCs w:val="22"/>
        </w:rPr>
      </w:pPr>
    </w:p>
    <w:p w:rsidR="008D5A82" w:rsidRPr="006756E8" w:rsidRDefault="00B23786" w:rsidP="0031570A">
      <w:pPr>
        <w:widowControl/>
        <w:numPr>
          <w:ilvl w:val="0"/>
          <w:numId w:val="3"/>
        </w:numPr>
        <w:tabs>
          <w:tab w:val="left" w:pos="567"/>
        </w:tabs>
        <w:autoSpaceDE w:val="0"/>
        <w:autoSpaceDN w:val="0"/>
        <w:adjustRightInd w:val="0"/>
        <w:jc w:val="both"/>
        <w:rPr>
          <w:szCs w:val="22"/>
        </w:rPr>
      </w:pPr>
      <w:r w:rsidRPr="006756E8">
        <w:rPr>
          <w:szCs w:val="22"/>
        </w:rPr>
        <w:t>Η δοσολογία εξαρτάται από τη σοβαρότητα, την ευαισθησία, το σημείο και τον τύπο της λοίμωξης, και από την ηλικία και την νεφρική λειτουργία του ασθενή.</w:t>
      </w:r>
    </w:p>
    <w:p w:rsidR="008D5A82" w:rsidRPr="006756E8" w:rsidRDefault="008D5A82" w:rsidP="0031570A">
      <w:pPr>
        <w:tabs>
          <w:tab w:val="left" w:pos="567"/>
        </w:tabs>
        <w:autoSpaceDE w:val="0"/>
        <w:autoSpaceDN w:val="0"/>
        <w:adjustRightInd w:val="0"/>
        <w:jc w:val="both"/>
        <w:rPr>
          <w:szCs w:val="22"/>
        </w:rPr>
      </w:pPr>
    </w:p>
    <w:p w:rsidR="008D5A82" w:rsidRPr="006756E8" w:rsidRDefault="00264F06" w:rsidP="0031570A">
      <w:pPr>
        <w:tabs>
          <w:tab w:val="left" w:pos="567"/>
        </w:tabs>
        <w:autoSpaceDE w:val="0"/>
        <w:autoSpaceDN w:val="0"/>
        <w:adjustRightInd w:val="0"/>
        <w:jc w:val="both"/>
        <w:rPr>
          <w:b/>
          <w:szCs w:val="22"/>
        </w:rPr>
      </w:pPr>
      <w:r w:rsidRPr="006756E8">
        <w:rPr>
          <w:b/>
          <w:szCs w:val="22"/>
        </w:rPr>
        <w:t xml:space="preserve">Ενήλικες και </w:t>
      </w:r>
      <w:r w:rsidR="00B23786" w:rsidRPr="006756E8">
        <w:rPr>
          <w:b/>
          <w:szCs w:val="22"/>
        </w:rPr>
        <w:t>έφηβοι</w:t>
      </w:r>
      <w:r w:rsidRPr="006756E8">
        <w:rPr>
          <w:b/>
          <w:szCs w:val="22"/>
        </w:rPr>
        <w:t xml:space="preserve"> </w:t>
      </w:r>
      <w:r w:rsidR="00B23786" w:rsidRPr="006756E8">
        <w:rPr>
          <w:b/>
          <w:szCs w:val="22"/>
        </w:rPr>
        <w:t xml:space="preserve">(&gt; 12 ετών) </w:t>
      </w:r>
      <w:r w:rsidRPr="006756E8">
        <w:rPr>
          <w:b/>
          <w:szCs w:val="22"/>
        </w:rPr>
        <w:t>με βάρος</w:t>
      </w:r>
      <w:r w:rsidR="00B23786" w:rsidRPr="006756E8">
        <w:rPr>
          <w:b/>
          <w:szCs w:val="22"/>
        </w:rPr>
        <w:t xml:space="preserve"> σώματος</w:t>
      </w:r>
      <w:r w:rsidR="008D5A82" w:rsidRPr="006756E8">
        <w:rPr>
          <w:b/>
          <w:szCs w:val="22"/>
        </w:rPr>
        <w:t xml:space="preserve"> &gt;</w:t>
      </w:r>
      <w:r w:rsidR="001966C5">
        <w:rPr>
          <w:b/>
          <w:szCs w:val="22"/>
        </w:rPr>
        <w:t> </w:t>
      </w:r>
      <w:r w:rsidR="008D5A82" w:rsidRPr="006756E8">
        <w:rPr>
          <w:b/>
          <w:szCs w:val="22"/>
        </w:rPr>
        <w:t>40</w:t>
      </w:r>
      <w:r w:rsidR="001966C5">
        <w:rPr>
          <w:b/>
          <w:szCs w:val="22"/>
        </w:rPr>
        <w:t> </w:t>
      </w:r>
      <w:r w:rsidR="008D5A82" w:rsidRPr="006756E8">
        <w:rPr>
          <w:b/>
          <w:szCs w:val="22"/>
          <w:lang w:val="en-GB"/>
        </w:rPr>
        <w:t>kg</w:t>
      </w:r>
    </w:p>
    <w:p w:rsidR="008D5A82" w:rsidRPr="006756E8" w:rsidRDefault="00B23786" w:rsidP="0031570A">
      <w:pPr>
        <w:tabs>
          <w:tab w:val="left" w:pos="567"/>
        </w:tabs>
        <w:autoSpaceDE w:val="0"/>
        <w:autoSpaceDN w:val="0"/>
        <w:adjustRightInd w:val="0"/>
        <w:rPr>
          <w:szCs w:val="22"/>
        </w:rPr>
      </w:pPr>
      <w:r w:rsidRPr="006756E8">
        <w:rPr>
          <w:szCs w:val="22"/>
        </w:rPr>
        <w:t>Το σ</w:t>
      </w:r>
      <w:r w:rsidR="00264F06" w:rsidRPr="006756E8">
        <w:rPr>
          <w:szCs w:val="22"/>
        </w:rPr>
        <w:t xml:space="preserve">υνιστώμενο δοσολογικό </w:t>
      </w:r>
      <w:r w:rsidR="00B91623" w:rsidRPr="006756E8">
        <w:rPr>
          <w:szCs w:val="22"/>
        </w:rPr>
        <w:t>σχήμα για</w:t>
      </w:r>
      <w:r w:rsidR="00234E55" w:rsidRPr="006756E8">
        <w:rPr>
          <w:szCs w:val="22"/>
        </w:rPr>
        <w:t xml:space="preserve"> τους ενήλικες και </w:t>
      </w:r>
      <w:r w:rsidRPr="006756E8">
        <w:rPr>
          <w:szCs w:val="22"/>
        </w:rPr>
        <w:t>τους εφήβους (&gt; 12 ετών)</w:t>
      </w:r>
      <w:r w:rsidR="00234E55" w:rsidRPr="006756E8">
        <w:rPr>
          <w:szCs w:val="22"/>
        </w:rPr>
        <w:t xml:space="preserve"> με βάρος σώματος </w:t>
      </w:r>
      <w:r w:rsidR="008D5A82" w:rsidRPr="006756E8">
        <w:rPr>
          <w:szCs w:val="22"/>
        </w:rPr>
        <w:t>&gt;</w:t>
      </w:r>
      <w:r w:rsidR="001966C5">
        <w:rPr>
          <w:szCs w:val="22"/>
        </w:rPr>
        <w:t> </w:t>
      </w:r>
      <w:r w:rsidR="008D5A82" w:rsidRPr="006756E8">
        <w:rPr>
          <w:szCs w:val="22"/>
        </w:rPr>
        <w:t>40</w:t>
      </w:r>
      <w:r w:rsidR="001966C5">
        <w:rPr>
          <w:szCs w:val="22"/>
        </w:rPr>
        <w:t> </w:t>
      </w:r>
      <w:r w:rsidR="008D5A82" w:rsidRPr="006756E8">
        <w:rPr>
          <w:szCs w:val="22"/>
          <w:lang w:val="en-GB"/>
        </w:rPr>
        <w:t>kg</w:t>
      </w:r>
      <w:r w:rsidR="008D5A82" w:rsidRPr="006756E8">
        <w:rPr>
          <w:szCs w:val="22"/>
        </w:rPr>
        <w:t xml:space="preserve"> </w:t>
      </w:r>
      <w:r w:rsidR="00234E55" w:rsidRPr="006756E8">
        <w:rPr>
          <w:szCs w:val="22"/>
        </w:rPr>
        <w:t>με φυσιολογική νεφρική λειτουργία</w:t>
      </w:r>
    </w:p>
    <w:tbl>
      <w:tblPr>
        <w:tblW w:w="0" w:type="auto"/>
        <w:tblInd w:w="108" w:type="dxa"/>
        <w:tblBorders>
          <w:top w:val="nil"/>
          <w:left w:val="nil"/>
          <w:bottom w:val="nil"/>
          <w:right w:val="nil"/>
        </w:tblBorders>
        <w:tblLook w:val="0000"/>
      </w:tblPr>
      <w:tblGrid>
        <w:gridCol w:w="3278"/>
        <w:gridCol w:w="2663"/>
        <w:gridCol w:w="3571"/>
      </w:tblGrid>
      <w:tr w:rsidR="00234E55" w:rsidRPr="006756E8" w:rsidTr="0031570A">
        <w:tblPrEx>
          <w:tblCellMar>
            <w:top w:w="0" w:type="dxa"/>
            <w:bottom w:w="0" w:type="dxa"/>
          </w:tblCellMar>
        </w:tblPrEx>
        <w:trPr>
          <w:trHeight w:val="601"/>
        </w:trPr>
        <w:tc>
          <w:tcPr>
            <w:tcW w:w="3278" w:type="dxa"/>
            <w:tcBorders>
              <w:top w:val="double" w:sz="4" w:space="0" w:color="000000"/>
              <w:left w:val="double" w:sz="4" w:space="0" w:color="000000"/>
              <w:bottom w:val="single" w:sz="6" w:space="0" w:color="000000"/>
              <w:right w:val="single" w:sz="6" w:space="0" w:color="000000"/>
            </w:tcBorders>
          </w:tcPr>
          <w:p w:rsidR="008D5A82" w:rsidRPr="006756E8" w:rsidRDefault="00234E55" w:rsidP="0031570A">
            <w:pPr>
              <w:tabs>
                <w:tab w:val="left" w:pos="567"/>
              </w:tabs>
              <w:autoSpaceDE w:val="0"/>
              <w:autoSpaceDN w:val="0"/>
              <w:adjustRightInd w:val="0"/>
              <w:ind w:left="227" w:hanging="227"/>
              <w:jc w:val="center"/>
              <w:rPr>
                <w:b/>
                <w:szCs w:val="22"/>
                <w:lang w:val="en-GB"/>
              </w:rPr>
            </w:pPr>
            <w:r w:rsidRPr="006756E8">
              <w:rPr>
                <w:b/>
                <w:szCs w:val="22"/>
              </w:rPr>
              <w:t>Σοβαρότητα λοίμωξης</w:t>
            </w:r>
            <w:r w:rsidR="008D5A82" w:rsidRPr="006756E8">
              <w:rPr>
                <w:b/>
                <w:szCs w:val="22"/>
                <w:lang w:val="en-GB"/>
              </w:rPr>
              <w:t xml:space="preserve"> </w:t>
            </w:r>
          </w:p>
        </w:tc>
        <w:tc>
          <w:tcPr>
            <w:tcW w:w="0" w:type="auto"/>
            <w:tcBorders>
              <w:top w:val="double" w:sz="4" w:space="0" w:color="000000"/>
              <w:left w:val="single" w:sz="6" w:space="0" w:color="000000"/>
              <w:bottom w:val="single" w:sz="6" w:space="0" w:color="000000"/>
              <w:right w:val="single" w:sz="6" w:space="0" w:color="000000"/>
            </w:tcBorders>
          </w:tcPr>
          <w:p w:rsidR="008D5A82" w:rsidRPr="006756E8" w:rsidRDefault="00234E55" w:rsidP="0031570A">
            <w:pPr>
              <w:tabs>
                <w:tab w:val="left" w:pos="567"/>
              </w:tabs>
              <w:autoSpaceDE w:val="0"/>
              <w:autoSpaceDN w:val="0"/>
              <w:adjustRightInd w:val="0"/>
              <w:jc w:val="center"/>
              <w:rPr>
                <w:b/>
                <w:szCs w:val="22"/>
                <w:lang w:val="en-GB"/>
              </w:rPr>
            </w:pPr>
            <w:r w:rsidRPr="006756E8">
              <w:rPr>
                <w:b/>
                <w:szCs w:val="22"/>
              </w:rPr>
              <w:t>Δοσολογία και οδός χορήγησης</w:t>
            </w:r>
            <w:r w:rsidR="008D5A82" w:rsidRPr="006756E8">
              <w:rPr>
                <w:b/>
                <w:szCs w:val="22"/>
                <w:lang w:val="en-GB"/>
              </w:rPr>
              <w:t xml:space="preserve"> </w:t>
            </w:r>
          </w:p>
        </w:tc>
        <w:tc>
          <w:tcPr>
            <w:tcW w:w="0" w:type="auto"/>
            <w:tcBorders>
              <w:top w:val="double" w:sz="4" w:space="0" w:color="000000"/>
              <w:left w:val="single" w:sz="6" w:space="0" w:color="000000"/>
              <w:bottom w:val="single" w:sz="6" w:space="0" w:color="000000"/>
              <w:right w:val="double" w:sz="4" w:space="0" w:color="000000"/>
            </w:tcBorders>
          </w:tcPr>
          <w:p w:rsidR="008D5A82" w:rsidRPr="006756E8" w:rsidRDefault="00234E55" w:rsidP="0031570A">
            <w:pPr>
              <w:tabs>
                <w:tab w:val="left" w:pos="567"/>
              </w:tabs>
              <w:autoSpaceDE w:val="0"/>
              <w:autoSpaceDN w:val="0"/>
              <w:adjustRightInd w:val="0"/>
              <w:jc w:val="center"/>
              <w:rPr>
                <w:b/>
                <w:szCs w:val="22"/>
              </w:rPr>
            </w:pPr>
            <w:r w:rsidRPr="006756E8">
              <w:rPr>
                <w:b/>
                <w:szCs w:val="22"/>
              </w:rPr>
              <w:t xml:space="preserve">Χρονικό διάστημα μεταξύ </w:t>
            </w:r>
            <w:r w:rsidR="00D56096" w:rsidRPr="006756E8">
              <w:rPr>
                <w:b/>
                <w:szCs w:val="22"/>
              </w:rPr>
              <w:t xml:space="preserve">των </w:t>
            </w:r>
            <w:r w:rsidRPr="006756E8">
              <w:rPr>
                <w:b/>
                <w:szCs w:val="22"/>
              </w:rPr>
              <w:t>χορηγήσεων</w:t>
            </w:r>
          </w:p>
        </w:tc>
      </w:tr>
      <w:tr w:rsidR="00234E55" w:rsidRPr="006756E8" w:rsidTr="0031570A">
        <w:tblPrEx>
          <w:tblCellMar>
            <w:top w:w="0" w:type="dxa"/>
            <w:bottom w:w="0" w:type="dxa"/>
          </w:tblCellMar>
        </w:tblPrEx>
        <w:trPr>
          <w:trHeight w:val="696"/>
        </w:trPr>
        <w:tc>
          <w:tcPr>
            <w:tcW w:w="3278" w:type="dxa"/>
            <w:tcBorders>
              <w:top w:val="single" w:sz="6" w:space="0" w:color="000000"/>
              <w:left w:val="double" w:sz="4" w:space="0" w:color="000000"/>
              <w:bottom w:val="nil"/>
              <w:right w:val="single" w:sz="6" w:space="0" w:color="000000"/>
            </w:tcBorders>
            <w:vAlign w:val="center"/>
          </w:tcPr>
          <w:p w:rsidR="00B23786" w:rsidRPr="006756E8" w:rsidRDefault="00B23786" w:rsidP="0031570A">
            <w:pPr>
              <w:widowControl/>
              <w:tabs>
                <w:tab w:val="left" w:pos="567"/>
              </w:tabs>
              <w:autoSpaceDE w:val="0"/>
              <w:autoSpaceDN w:val="0"/>
              <w:adjustRightInd w:val="0"/>
              <w:rPr>
                <w:color w:val="000000"/>
                <w:szCs w:val="22"/>
              </w:rPr>
            </w:pPr>
            <w:r w:rsidRPr="006756E8">
              <w:rPr>
                <w:color w:val="000000"/>
                <w:szCs w:val="22"/>
              </w:rPr>
              <w:t>Σοβαρές λοιμώξεις που περιλαμβάνουν:</w:t>
            </w:r>
          </w:p>
          <w:p w:rsidR="00B23786" w:rsidRPr="006756E8" w:rsidRDefault="00B23786" w:rsidP="0031570A">
            <w:pPr>
              <w:widowControl/>
              <w:numPr>
                <w:ilvl w:val="1"/>
                <w:numId w:val="13"/>
              </w:numPr>
              <w:tabs>
                <w:tab w:val="left" w:pos="567"/>
              </w:tabs>
              <w:autoSpaceDE w:val="0"/>
              <w:autoSpaceDN w:val="0"/>
              <w:adjustRightInd w:val="0"/>
              <w:rPr>
                <w:color w:val="000000"/>
                <w:szCs w:val="22"/>
              </w:rPr>
            </w:pPr>
            <w:r w:rsidRPr="006756E8">
              <w:rPr>
                <w:color w:val="000000"/>
                <w:szCs w:val="22"/>
              </w:rPr>
              <w:t>Νοσοκομειακή πνευμονία</w:t>
            </w:r>
          </w:p>
          <w:p w:rsidR="00B23786" w:rsidRPr="006756E8" w:rsidRDefault="00B23786" w:rsidP="0031570A">
            <w:pPr>
              <w:widowControl/>
              <w:numPr>
                <w:ilvl w:val="1"/>
                <w:numId w:val="13"/>
              </w:numPr>
              <w:tabs>
                <w:tab w:val="left" w:pos="567"/>
              </w:tabs>
              <w:autoSpaceDE w:val="0"/>
              <w:autoSpaceDN w:val="0"/>
              <w:adjustRightInd w:val="0"/>
              <w:rPr>
                <w:color w:val="000000"/>
                <w:szCs w:val="22"/>
              </w:rPr>
            </w:pPr>
            <w:r w:rsidRPr="006756E8">
              <w:rPr>
                <w:color w:val="000000"/>
                <w:szCs w:val="22"/>
              </w:rPr>
              <w:t>Επιπλεγμένες λοιμώξεις του ουροποιοητικού συστήματος</w:t>
            </w:r>
          </w:p>
          <w:p w:rsidR="008D5A82" w:rsidRPr="006756E8" w:rsidRDefault="00B23786" w:rsidP="0031570A">
            <w:pPr>
              <w:widowControl/>
              <w:numPr>
                <w:ilvl w:val="1"/>
                <w:numId w:val="13"/>
              </w:numPr>
              <w:tabs>
                <w:tab w:val="left" w:pos="567"/>
              </w:tabs>
              <w:autoSpaceDE w:val="0"/>
              <w:autoSpaceDN w:val="0"/>
              <w:adjustRightInd w:val="0"/>
              <w:rPr>
                <w:color w:val="000000"/>
                <w:szCs w:val="22"/>
              </w:rPr>
            </w:pPr>
            <w:r w:rsidRPr="006756E8">
              <w:rPr>
                <w:color w:val="000000"/>
                <w:szCs w:val="22"/>
              </w:rPr>
              <w:t>Επιπλεγμένες ενδοκοιλιακές λοιμώξεις</w:t>
            </w:r>
          </w:p>
        </w:tc>
        <w:tc>
          <w:tcPr>
            <w:tcW w:w="0" w:type="auto"/>
            <w:tcBorders>
              <w:top w:val="single" w:sz="6" w:space="0" w:color="000000"/>
              <w:left w:val="single" w:sz="6" w:space="0" w:color="000000"/>
              <w:bottom w:val="single" w:sz="6" w:space="0" w:color="000000"/>
              <w:right w:val="single" w:sz="6" w:space="0" w:color="000000"/>
            </w:tcBorders>
            <w:vAlign w:val="center"/>
          </w:tcPr>
          <w:p w:rsidR="008D5A82" w:rsidRPr="006756E8" w:rsidRDefault="00B23786" w:rsidP="0031570A">
            <w:pPr>
              <w:tabs>
                <w:tab w:val="left" w:pos="567"/>
              </w:tabs>
              <w:autoSpaceDE w:val="0"/>
              <w:autoSpaceDN w:val="0"/>
              <w:adjustRightInd w:val="0"/>
              <w:jc w:val="center"/>
              <w:rPr>
                <w:szCs w:val="22"/>
              </w:rPr>
            </w:pPr>
            <w:r w:rsidRPr="006756E8">
              <w:rPr>
                <w:szCs w:val="22"/>
              </w:rPr>
              <w:t>2</w:t>
            </w:r>
            <w:r w:rsidR="008D5A82" w:rsidRPr="006756E8">
              <w:rPr>
                <w:szCs w:val="22"/>
                <w:lang w:val="en-GB"/>
              </w:rPr>
              <w:t xml:space="preserve"> g</w:t>
            </w:r>
            <w:r w:rsidRPr="006756E8">
              <w:rPr>
                <w:szCs w:val="22"/>
              </w:rPr>
              <w:t xml:space="preserve"> </w:t>
            </w:r>
            <w:r w:rsidR="008D5A82" w:rsidRPr="006756E8">
              <w:rPr>
                <w:szCs w:val="22"/>
                <w:lang w:val="en-GB"/>
              </w:rPr>
              <w:t>IV</w:t>
            </w:r>
          </w:p>
        </w:tc>
        <w:tc>
          <w:tcPr>
            <w:tcW w:w="0" w:type="auto"/>
            <w:tcBorders>
              <w:top w:val="single" w:sz="6" w:space="0" w:color="000000"/>
              <w:left w:val="single" w:sz="6" w:space="0" w:color="000000"/>
              <w:bottom w:val="single" w:sz="6" w:space="0" w:color="000000"/>
              <w:right w:val="double" w:sz="4" w:space="0" w:color="000000"/>
            </w:tcBorders>
            <w:vAlign w:val="center"/>
          </w:tcPr>
          <w:p w:rsidR="008D5A82" w:rsidRPr="006756E8" w:rsidRDefault="008D5A82" w:rsidP="0031570A">
            <w:pPr>
              <w:tabs>
                <w:tab w:val="left" w:pos="567"/>
              </w:tabs>
              <w:autoSpaceDE w:val="0"/>
              <w:autoSpaceDN w:val="0"/>
              <w:adjustRightInd w:val="0"/>
              <w:spacing w:before="120" w:after="120"/>
              <w:jc w:val="center"/>
              <w:rPr>
                <w:szCs w:val="22"/>
                <w:lang w:val="en-GB"/>
              </w:rPr>
            </w:pPr>
            <w:r w:rsidRPr="006756E8">
              <w:rPr>
                <w:szCs w:val="22"/>
                <w:lang w:val="en-GB"/>
              </w:rPr>
              <w:t>12 h</w:t>
            </w:r>
          </w:p>
        </w:tc>
      </w:tr>
      <w:tr w:rsidR="00B23786" w:rsidRPr="006756E8" w:rsidTr="0031570A">
        <w:tblPrEx>
          <w:tblCellMar>
            <w:top w:w="0" w:type="dxa"/>
            <w:bottom w:w="0" w:type="dxa"/>
          </w:tblCellMar>
        </w:tblPrEx>
        <w:trPr>
          <w:trHeight w:val="696"/>
        </w:trPr>
        <w:tc>
          <w:tcPr>
            <w:tcW w:w="3278" w:type="dxa"/>
            <w:tcBorders>
              <w:top w:val="nil"/>
              <w:left w:val="double" w:sz="4" w:space="0" w:color="000000"/>
              <w:bottom w:val="single" w:sz="6" w:space="0" w:color="000000"/>
              <w:right w:val="single" w:sz="6" w:space="0" w:color="000000"/>
            </w:tcBorders>
            <w:vAlign w:val="center"/>
          </w:tcPr>
          <w:p w:rsidR="00B23786" w:rsidRPr="006756E8" w:rsidRDefault="00B23786" w:rsidP="0031570A">
            <w:pPr>
              <w:numPr>
                <w:ilvl w:val="0"/>
                <w:numId w:val="14"/>
              </w:numPr>
              <w:tabs>
                <w:tab w:val="clear" w:pos="720"/>
                <w:tab w:val="num" w:pos="332"/>
                <w:tab w:val="left" w:pos="567"/>
              </w:tabs>
              <w:autoSpaceDE w:val="0"/>
              <w:autoSpaceDN w:val="0"/>
              <w:adjustRightInd w:val="0"/>
              <w:ind w:left="332" w:hanging="330"/>
              <w:rPr>
                <w:szCs w:val="22"/>
              </w:rPr>
            </w:pPr>
            <w:r w:rsidRPr="006756E8">
              <w:rPr>
                <w:color w:val="000000"/>
                <w:szCs w:val="22"/>
              </w:rPr>
              <w:t xml:space="preserve">Περιτονίτιδα σχετιζόμενη με την αιμοκάθαρση σε ασθενείς σε </w:t>
            </w:r>
            <w:r w:rsidRPr="006756E8">
              <w:rPr>
                <w:color w:val="000000"/>
                <w:szCs w:val="22"/>
                <w:lang w:val="en-US"/>
              </w:rPr>
              <w:t>CAPD</w:t>
            </w:r>
            <w:r w:rsidRPr="006756E8">
              <w:rPr>
                <w:szCs w:val="22"/>
              </w:rPr>
              <w:t xml:space="preserve"> </w:t>
            </w:r>
          </w:p>
        </w:tc>
        <w:tc>
          <w:tcPr>
            <w:tcW w:w="0" w:type="auto"/>
            <w:gridSpan w:val="2"/>
            <w:tcBorders>
              <w:top w:val="single" w:sz="6" w:space="0" w:color="000000"/>
              <w:left w:val="single" w:sz="6" w:space="0" w:color="000000"/>
              <w:bottom w:val="single" w:sz="6" w:space="0" w:color="000000"/>
              <w:right w:val="double" w:sz="4" w:space="0" w:color="000000"/>
            </w:tcBorders>
            <w:vAlign w:val="center"/>
          </w:tcPr>
          <w:p w:rsidR="00B23786" w:rsidRPr="006756E8" w:rsidRDefault="00B23786" w:rsidP="001966C5">
            <w:pPr>
              <w:tabs>
                <w:tab w:val="left" w:pos="567"/>
              </w:tabs>
              <w:autoSpaceDE w:val="0"/>
              <w:autoSpaceDN w:val="0"/>
              <w:adjustRightInd w:val="0"/>
              <w:jc w:val="center"/>
              <w:rPr>
                <w:szCs w:val="22"/>
              </w:rPr>
            </w:pPr>
            <w:r w:rsidRPr="001966C5">
              <w:rPr>
                <w:szCs w:val="22"/>
              </w:rPr>
              <w:t xml:space="preserve">Βλ. παράγραφο «Ενήλικες με νεφρική </w:t>
            </w:r>
            <w:r w:rsidR="001966C5">
              <w:rPr>
                <w:szCs w:val="22"/>
              </w:rPr>
              <w:t>δυσ</w:t>
            </w:r>
            <w:r w:rsidRPr="001966C5">
              <w:rPr>
                <w:szCs w:val="22"/>
              </w:rPr>
              <w:t>λειτουργία»</w:t>
            </w:r>
          </w:p>
        </w:tc>
      </w:tr>
      <w:tr w:rsidR="00234E55" w:rsidRPr="006756E8" w:rsidTr="0031570A">
        <w:tblPrEx>
          <w:tblCellMar>
            <w:top w:w="0" w:type="dxa"/>
            <w:bottom w:w="0" w:type="dxa"/>
          </w:tblCellMar>
        </w:tblPrEx>
        <w:trPr>
          <w:trHeight w:val="696"/>
        </w:trPr>
        <w:tc>
          <w:tcPr>
            <w:tcW w:w="3278" w:type="dxa"/>
            <w:tcBorders>
              <w:top w:val="single" w:sz="6" w:space="0" w:color="000000"/>
              <w:left w:val="double" w:sz="4" w:space="0" w:color="000000"/>
              <w:bottom w:val="double" w:sz="4" w:space="0" w:color="000000"/>
              <w:right w:val="single" w:sz="6" w:space="0" w:color="000000"/>
            </w:tcBorders>
            <w:vAlign w:val="center"/>
          </w:tcPr>
          <w:p w:rsidR="008D5A82" w:rsidRPr="006756E8" w:rsidRDefault="00086BF9" w:rsidP="0031570A">
            <w:pPr>
              <w:tabs>
                <w:tab w:val="left" w:pos="567"/>
              </w:tabs>
              <w:autoSpaceDE w:val="0"/>
              <w:autoSpaceDN w:val="0"/>
              <w:adjustRightInd w:val="0"/>
              <w:rPr>
                <w:szCs w:val="22"/>
              </w:rPr>
            </w:pPr>
            <w:r w:rsidRPr="006756E8">
              <w:rPr>
                <w:szCs w:val="22"/>
              </w:rPr>
              <w:t>Πολύ σοβαρές ή δυνητικά θανατηφόρες λοιμώξεις</w:t>
            </w:r>
            <w:r w:rsidR="00B23786" w:rsidRPr="006756E8">
              <w:rPr>
                <w:szCs w:val="22"/>
              </w:rPr>
              <w:t xml:space="preserve"> που περιλαμβάνουν:</w:t>
            </w:r>
          </w:p>
          <w:p w:rsidR="00B23786" w:rsidRPr="006756E8" w:rsidRDefault="00B23786" w:rsidP="0031570A">
            <w:pPr>
              <w:numPr>
                <w:ilvl w:val="0"/>
                <w:numId w:val="16"/>
              </w:numPr>
              <w:tabs>
                <w:tab w:val="clear" w:pos="720"/>
                <w:tab w:val="num" w:pos="442"/>
                <w:tab w:val="left" w:pos="567"/>
              </w:tabs>
              <w:autoSpaceDE w:val="0"/>
              <w:autoSpaceDN w:val="0"/>
              <w:adjustRightInd w:val="0"/>
              <w:ind w:left="442" w:hanging="440"/>
              <w:rPr>
                <w:szCs w:val="22"/>
              </w:rPr>
            </w:pPr>
            <w:r w:rsidRPr="006756E8">
              <w:rPr>
                <w:szCs w:val="22"/>
              </w:rPr>
              <w:t xml:space="preserve">Εμπύρετα επεισόδια </w:t>
            </w:r>
            <w:r w:rsidR="00D56096" w:rsidRPr="006756E8">
              <w:rPr>
                <w:szCs w:val="22"/>
              </w:rPr>
              <w:t>προκαλούμενα</w:t>
            </w:r>
            <w:r w:rsidRPr="006756E8">
              <w:rPr>
                <w:szCs w:val="22"/>
              </w:rPr>
              <w:t xml:space="preserve"> από βακτηριακές λοιμώξεις σε ουδετεροπενικούς ασθενείς</w:t>
            </w:r>
          </w:p>
        </w:tc>
        <w:tc>
          <w:tcPr>
            <w:tcW w:w="0" w:type="auto"/>
            <w:tcBorders>
              <w:top w:val="single" w:sz="6" w:space="0" w:color="000000"/>
              <w:left w:val="single" w:sz="6" w:space="0" w:color="000000"/>
              <w:bottom w:val="double" w:sz="4" w:space="0" w:color="000000"/>
              <w:right w:val="single" w:sz="6" w:space="0" w:color="000000"/>
            </w:tcBorders>
            <w:vAlign w:val="center"/>
          </w:tcPr>
          <w:p w:rsidR="008D5A82" w:rsidRPr="006756E8" w:rsidRDefault="008D5A82" w:rsidP="0031570A">
            <w:pPr>
              <w:tabs>
                <w:tab w:val="left" w:pos="567"/>
              </w:tabs>
              <w:autoSpaceDE w:val="0"/>
              <w:autoSpaceDN w:val="0"/>
              <w:adjustRightInd w:val="0"/>
              <w:jc w:val="center"/>
              <w:rPr>
                <w:szCs w:val="22"/>
                <w:lang w:val="en-GB"/>
              </w:rPr>
            </w:pPr>
            <w:r w:rsidRPr="006756E8">
              <w:rPr>
                <w:szCs w:val="22"/>
                <w:lang w:val="en-GB"/>
              </w:rPr>
              <w:t>2 g IV</w:t>
            </w:r>
          </w:p>
        </w:tc>
        <w:tc>
          <w:tcPr>
            <w:tcW w:w="0" w:type="auto"/>
            <w:tcBorders>
              <w:top w:val="single" w:sz="6" w:space="0" w:color="000000"/>
              <w:left w:val="single" w:sz="6" w:space="0" w:color="000000"/>
              <w:bottom w:val="double" w:sz="4" w:space="0" w:color="000000"/>
              <w:right w:val="double" w:sz="4" w:space="0" w:color="000000"/>
            </w:tcBorders>
            <w:vAlign w:val="center"/>
          </w:tcPr>
          <w:p w:rsidR="008D5A82" w:rsidRPr="006756E8" w:rsidRDefault="008D5A82" w:rsidP="0031570A">
            <w:pPr>
              <w:tabs>
                <w:tab w:val="left" w:pos="567"/>
              </w:tabs>
              <w:autoSpaceDE w:val="0"/>
              <w:autoSpaceDN w:val="0"/>
              <w:adjustRightInd w:val="0"/>
              <w:jc w:val="center"/>
              <w:rPr>
                <w:szCs w:val="22"/>
                <w:lang w:val="en-GB"/>
              </w:rPr>
            </w:pPr>
            <w:r w:rsidRPr="006756E8">
              <w:rPr>
                <w:szCs w:val="22"/>
                <w:lang w:val="en-GB"/>
              </w:rPr>
              <w:t>8 h</w:t>
            </w:r>
          </w:p>
        </w:tc>
      </w:tr>
    </w:tbl>
    <w:p w:rsidR="008D5A82" w:rsidRPr="006756E8" w:rsidRDefault="008D5A82" w:rsidP="0031570A">
      <w:pPr>
        <w:tabs>
          <w:tab w:val="left" w:pos="567"/>
        </w:tabs>
        <w:autoSpaceDE w:val="0"/>
        <w:autoSpaceDN w:val="0"/>
        <w:adjustRightInd w:val="0"/>
        <w:rPr>
          <w:szCs w:val="22"/>
          <w:lang w:val="en-GB"/>
        </w:rPr>
      </w:pPr>
    </w:p>
    <w:p w:rsidR="008D5A82" w:rsidRPr="006756E8" w:rsidRDefault="00086BF9" w:rsidP="0031570A">
      <w:pPr>
        <w:tabs>
          <w:tab w:val="left" w:pos="567"/>
        </w:tabs>
        <w:autoSpaceDE w:val="0"/>
        <w:autoSpaceDN w:val="0"/>
        <w:adjustRightInd w:val="0"/>
        <w:rPr>
          <w:szCs w:val="22"/>
        </w:rPr>
      </w:pPr>
      <w:r w:rsidRPr="006756E8">
        <w:rPr>
          <w:szCs w:val="22"/>
        </w:rPr>
        <w:t xml:space="preserve">Η συνήθης διάρκεια </w:t>
      </w:r>
      <w:r w:rsidR="00514C02" w:rsidRPr="006756E8">
        <w:rPr>
          <w:szCs w:val="22"/>
        </w:rPr>
        <w:t xml:space="preserve">της </w:t>
      </w:r>
      <w:r w:rsidRPr="006756E8">
        <w:rPr>
          <w:szCs w:val="22"/>
        </w:rPr>
        <w:t xml:space="preserve">θεραπείας είναι </w:t>
      </w:r>
      <w:r w:rsidR="008D5A82" w:rsidRPr="006756E8">
        <w:rPr>
          <w:szCs w:val="22"/>
        </w:rPr>
        <w:t xml:space="preserve">7 </w:t>
      </w:r>
      <w:r w:rsidRPr="006756E8">
        <w:rPr>
          <w:szCs w:val="22"/>
        </w:rPr>
        <w:t>έως</w:t>
      </w:r>
      <w:r w:rsidR="008D5A82" w:rsidRPr="006756E8">
        <w:rPr>
          <w:szCs w:val="22"/>
        </w:rPr>
        <w:t xml:space="preserve"> 10 </w:t>
      </w:r>
      <w:r w:rsidRPr="006756E8">
        <w:rPr>
          <w:szCs w:val="22"/>
        </w:rPr>
        <w:t>ημέρες</w:t>
      </w:r>
      <w:r w:rsidR="008D5A82" w:rsidRPr="006756E8">
        <w:rPr>
          <w:szCs w:val="22"/>
        </w:rPr>
        <w:t xml:space="preserve">, </w:t>
      </w:r>
      <w:r w:rsidRPr="006756E8">
        <w:rPr>
          <w:szCs w:val="22"/>
        </w:rPr>
        <w:t xml:space="preserve">ωστόσο πιο σοβαρές λοιμώξεις μπορεί να χρειάζονται </w:t>
      </w:r>
      <w:r w:rsidR="00514C02" w:rsidRPr="006756E8">
        <w:rPr>
          <w:szCs w:val="22"/>
        </w:rPr>
        <w:t>μεγαλύτερης διάρκειας θεραπεία</w:t>
      </w:r>
      <w:r w:rsidRPr="006756E8">
        <w:rPr>
          <w:szCs w:val="22"/>
        </w:rPr>
        <w:t xml:space="preserve">. Για την εμπειρική θεραπεία εμπύρετης ουδετεροπενίας, η συνήθης διάρκεια θεραπείας είναι 7 ημέρες ή </w:t>
      </w:r>
      <w:r w:rsidR="0031570A">
        <w:rPr>
          <w:szCs w:val="22"/>
        </w:rPr>
        <w:t>ώ</w:t>
      </w:r>
      <w:r w:rsidRPr="006756E8">
        <w:rPr>
          <w:szCs w:val="22"/>
        </w:rPr>
        <w:t xml:space="preserve">σπου </w:t>
      </w:r>
      <w:r w:rsidR="00722B34" w:rsidRPr="006756E8">
        <w:rPr>
          <w:szCs w:val="22"/>
        </w:rPr>
        <w:t xml:space="preserve">να </w:t>
      </w:r>
      <w:r w:rsidRPr="006756E8">
        <w:rPr>
          <w:szCs w:val="22"/>
        </w:rPr>
        <w:t>εξαλειφθεί η ουδετεροπεν</w:t>
      </w:r>
      <w:r w:rsidR="003E4AE3" w:rsidRPr="006756E8">
        <w:rPr>
          <w:szCs w:val="22"/>
        </w:rPr>
        <w:t>ία</w:t>
      </w:r>
      <w:r w:rsidR="008D5A82" w:rsidRPr="006756E8">
        <w:rPr>
          <w:szCs w:val="22"/>
        </w:rPr>
        <w:t xml:space="preserve">. </w:t>
      </w:r>
    </w:p>
    <w:p w:rsidR="008D5A82" w:rsidRPr="006756E8" w:rsidRDefault="008D5A82" w:rsidP="0031570A">
      <w:pPr>
        <w:tabs>
          <w:tab w:val="left" w:pos="567"/>
        </w:tabs>
        <w:autoSpaceDE w:val="0"/>
        <w:autoSpaceDN w:val="0"/>
        <w:adjustRightInd w:val="0"/>
        <w:rPr>
          <w:szCs w:val="22"/>
        </w:rPr>
      </w:pPr>
    </w:p>
    <w:p w:rsidR="008D5A82" w:rsidRPr="006756E8" w:rsidRDefault="00722B34" w:rsidP="0031570A">
      <w:pPr>
        <w:tabs>
          <w:tab w:val="left" w:pos="567"/>
        </w:tabs>
        <w:autoSpaceDE w:val="0"/>
        <w:autoSpaceDN w:val="0"/>
        <w:adjustRightInd w:val="0"/>
        <w:rPr>
          <w:b/>
          <w:szCs w:val="22"/>
        </w:rPr>
      </w:pPr>
      <w:r w:rsidRPr="006756E8">
        <w:rPr>
          <w:b/>
          <w:szCs w:val="22"/>
        </w:rPr>
        <w:t>Βρέφη και π</w:t>
      </w:r>
      <w:r w:rsidR="003E4AE3" w:rsidRPr="006756E8">
        <w:rPr>
          <w:b/>
          <w:szCs w:val="22"/>
        </w:rPr>
        <w:t xml:space="preserve">αιδιά </w:t>
      </w:r>
      <w:r w:rsidR="008D5A82" w:rsidRPr="006756E8">
        <w:rPr>
          <w:b/>
          <w:szCs w:val="22"/>
        </w:rPr>
        <w:t>(</w:t>
      </w:r>
      <w:r w:rsidR="003E4AE3" w:rsidRPr="006756E8">
        <w:rPr>
          <w:b/>
          <w:szCs w:val="22"/>
        </w:rPr>
        <w:t>ηλικίας</w:t>
      </w:r>
      <w:r w:rsidR="008D5A82" w:rsidRPr="006756E8">
        <w:rPr>
          <w:b/>
          <w:szCs w:val="22"/>
        </w:rPr>
        <w:t xml:space="preserve"> </w:t>
      </w:r>
      <w:r w:rsidR="003E4AE3" w:rsidRPr="006756E8">
        <w:rPr>
          <w:b/>
          <w:szCs w:val="22"/>
        </w:rPr>
        <w:t xml:space="preserve">από </w:t>
      </w:r>
      <w:r w:rsidRPr="006756E8">
        <w:rPr>
          <w:b/>
          <w:szCs w:val="22"/>
        </w:rPr>
        <w:t>2 μηνών</w:t>
      </w:r>
      <w:r w:rsidR="003E4AE3" w:rsidRPr="006756E8">
        <w:rPr>
          <w:b/>
          <w:szCs w:val="22"/>
        </w:rPr>
        <w:t xml:space="preserve"> έως </w:t>
      </w:r>
      <w:r w:rsidR="008D5A82" w:rsidRPr="006756E8">
        <w:rPr>
          <w:b/>
          <w:szCs w:val="22"/>
        </w:rPr>
        <w:t xml:space="preserve">12 </w:t>
      </w:r>
      <w:r w:rsidR="00D56096" w:rsidRPr="006756E8">
        <w:rPr>
          <w:b/>
          <w:szCs w:val="22"/>
        </w:rPr>
        <w:t>ετών</w:t>
      </w:r>
      <w:r w:rsidRPr="006756E8">
        <w:rPr>
          <w:b/>
          <w:szCs w:val="22"/>
        </w:rPr>
        <w:t xml:space="preserve"> και/ή με βάρος σώματος ≤</w:t>
      </w:r>
      <w:r w:rsidR="001966C5">
        <w:rPr>
          <w:b/>
          <w:szCs w:val="22"/>
        </w:rPr>
        <w:t> </w:t>
      </w:r>
      <w:r w:rsidRPr="006756E8">
        <w:rPr>
          <w:b/>
          <w:szCs w:val="22"/>
        </w:rPr>
        <w:t>40</w:t>
      </w:r>
      <w:r w:rsidR="001966C5">
        <w:rPr>
          <w:b/>
          <w:szCs w:val="22"/>
        </w:rPr>
        <w:t> </w:t>
      </w:r>
      <w:r w:rsidRPr="006756E8">
        <w:rPr>
          <w:b/>
          <w:szCs w:val="22"/>
          <w:lang w:val="en-GB"/>
        </w:rPr>
        <w:t>kg</w:t>
      </w:r>
      <w:r w:rsidR="008D5A82" w:rsidRPr="006756E8">
        <w:rPr>
          <w:b/>
          <w:szCs w:val="22"/>
        </w:rPr>
        <w:t xml:space="preserve">, </w:t>
      </w:r>
      <w:r w:rsidR="003E4AE3" w:rsidRPr="006756E8">
        <w:rPr>
          <w:b/>
          <w:szCs w:val="22"/>
        </w:rPr>
        <w:t>με φυσιολογική νεφρική λειτουργία</w:t>
      </w:r>
      <w:r w:rsidR="008D5A82" w:rsidRPr="006756E8">
        <w:rPr>
          <w:b/>
          <w:szCs w:val="22"/>
        </w:rPr>
        <w:t xml:space="preserve">) </w:t>
      </w:r>
    </w:p>
    <w:p w:rsidR="008D5A82" w:rsidRPr="006756E8" w:rsidRDefault="008D5A82" w:rsidP="0031570A">
      <w:pPr>
        <w:tabs>
          <w:tab w:val="left" w:pos="567"/>
        </w:tabs>
        <w:autoSpaceDE w:val="0"/>
        <w:autoSpaceDN w:val="0"/>
        <w:adjustRightInd w:val="0"/>
        <w:rPr>
          <w:szCs w:val="22"/>
        </w:rPr>
      </w:pPr>
    </w:p>
    <w:p w:rsidR="008D5A82" w:rsidRPr="006756E8" w:rsidRDefault="003E4AE3" w:rsidP="0031570A">
      <w:pPr>
        <w:tabs>
          <w:tab w:val="left" w:pos="567"/>
        </w:tabs>
        <w:autoSpaceDE w:val="0"/>
        <w:autoSpaceDN w:val="0"/>
        <w:adjustRightInd w:val="0"/>
        <w:rPr>
          <w:szCs w:val="22"/>
        </w:rPr>
      </w:pPr>
      <w:r w:rsidRPr="006756E8">
        <w:rPr>
          <w:szCs w:val="22"/>
        </w:rPr>
        <w:t>Συνήθης συνιστώμενη δοσολογία</w:t>
      </w:r>
      <w:r w:rsidR="008D5A82" w:rsidRPr="006756E8">
        <w:rPr>
          <w:szCs w:val="22"/>
        </w:rPr>
        <w:t xml:space="preserve">: </w:t>
      </w:r>
    </w:p>
    <w:p w:rsidR="008D5A82" w:rsidRPr="0031570A" w:rsidRDefault="008D5A82" w:rsidP="0031570A">
      <w:pPr>
        <w:tabs>
          <w:tab w:val="left" w:pos="567"/>
        </w:tabs>
        <w:autoSpaceDE w:val="0"/>
        <w:autoSpaceDN w:val="0"/>
        <w:adjustRightInd w:val="0"/>
        <w:jc w:val="both"/>
        <w:rPr>
          <w:szCs w:val="22"/>
        </w:rPr>
      </w:pPr>
    </w:p>
    <w:p w:rsidR="008D5A82" w:rsidRPr="006756E8" w:rsidRDefault="003E4AE3" w:rsidP="0031570A">
      <w:pPr>
        <w:tabs>
          <w:tab w:val="left" w:pos="567"/>
        </w:tabs>
        <w:autoSpaceDE w:val="0"/>
        <w:autoSpaceDN w:val="0"/>
        <w:adjustRightInd w:val="0"/>
        <w:jc w:val="both"/>
        <w:rPr>
          <w:b/>
          <w:i/>
          <w:szCs w:val="22"/>
        </w:rPr>
      </w:pPr>
      <w:r w:rsidRPr="006756E8">
        <w:rPr>
          <w:b/>
          <w:i/>
          <w:szCs w:val="22"/>
        </w:rPr>
        <w:t>Παιδιά ηλικίας κάτω των δύο μηνών</w:t>
      </w:r>
      <w:r w:rsidR="008D5A82" w:rsidRPr="006756E8">
        <w:rPr>
          <w:b/>
          <w:i/>
          <w:szCs w:val="22"/>
        </w:rPr>
        <w:t xml:space="preserve">: </w:t>
      </w:r>
    </w:p>
    <w:p w:rsidR="00722B34" w:rsidRPr="006756E8" w:rsidRDefault="00722B34" w:rsidP="0031570A">
      <w:pPr>
        <w:tabs>
          <w:tab w:val="left" w:pos="567"/>
        </w:tabs>
        <w:autoSpaceDE w:val="0"/>
        <w:autoSpaceDN w:val="0"/>
        <w:adjustRightInd w:val="0"/>
        <w:rPr>
          <w:szCs w:val="22"/>
        </w:rPr>
      </w:pPr>
      <w:r w:rsidRPr="006756E8">
        <w:rPr>
          <w:szCs w:val="22"/>
        </w:rPr>
        <w:lastRenderedPageBreak/>
        <w:t>Δεν υπάρχουν επαρκή στοιχεία να υποστηρίξουν την χρήση της Κεφεπίμης σε βρέ</w:t>
      </w:r>
      <w:r w:rsidR="00D56096" w:rsidRPr="006756E8">
        <w:rPr>
          <w:szCs w:val="22"/>
        </w:rPr>
        <w:t>φη ηλικίας κάτω</w:t>
      </w:r>
      <w:r w:rsidRPr="006756E8">
        <w:rPr>
          <w:szCs w:val="22"/>
        </w:rPr>
        <w:t xml:space="preserve"> των </w:t>
      </w:r>
      <w:r w:rsidR="0031570A">
        <w:rPr>
          <w:szCs w:val="22"/>
        </w:rPr>
        <w:t>2</w:t>
      </w:r>
      <w:r w:rsidRPr="006756E8">
        <w:rPr>
          <w:szCs w:val="22"/>
        </w:rPr>
        <w:t xml:space="preserve"> μηνών. </w:t>
      </w:r>
    </w:p>
    <w:p w:rsidR="00722B34" w:rsidRPr="006756E8" w:rsidRDefault="00722B34" w:rsidP="0031570A">
      <w:pPr>
        <w:tabs>
          <w:tab w:val="left" w:pos="567"/>
        </w:tabs>
        <w:autoSpaceDE w:val="0"/>
        <w:autoSpaceDN w:val="0"/>
        <w:adjustRightInd w:val="0"/>
        <w:rPr>
          <w:szCs w:val="22"/>
        </w:rPr>
      </w:pPr>
    </w:p>
    <w:p w:rsidR="00722B34" w:rsidRPr="006756E8" w:rsidRDefault="00722B34" w:rsidP="0031570A">
      <w:pPr>
        <w:tabs>
          <w:tab w:val="left" w:pos="567"/>
        </w:tabs>
        <w:autoSpaceDE w:val="0"/>
        <w:autoSpaceDN w:val="0"/>
        <w:adjustRightInd w:val="0"/>
        <w:rPr>
          <w:b/>
          <w:i/>
          <w:szCs w:val="22"/>
        </w:rPr>
      </w:pPr>
      <w:r w:rsidRPr="006756E8">
        <w:rPr>
          <w:b/>
          <w:i/>
          <w:szCs w:val="22"/>
        </w:rPr>
        <w:t xml:space="preserve">Βρέφη και παιδιά ηλικίας άνω των </w:t>
      </w:r>
      <w:r w:rsidR="00F73CA7" w:rsidRPr="006756E8">
        <w:rPr>
          <w:b/>
          <w:i/>
          <w:szCs w:val="22"/>
        </w:rPr>
        <w:t>2 μηνών έως 12 ετών και με βάρος σώματος ≤</w:t>
      </w:r>
      <w:r w:rsidR="001966C5">
        <w:rPr>
          <w:b/>
          <w:i/>
          <w:szCs w:val="22"/>
        </w:rPr>
        <w:t> </w:t>
      </w:r>
      <w:r w:rsidR="00F73CA7" w:rsidRPr="006756E8">
        <w:rPr>
          <w:b/>
          <w:i/>
          <w:szCs w:val="22"/>
        </w:rPr>
        <w:t>40</w:t>
      </w:r>
      <w:r w:rsidR="001966C5">
        <w:rPr>
          <w:b/>
          <w:i/>
          <w:szCs w:val="22"/>
        </w:rPr>
        <w:t> </w:t>
      </w:r>
      <w:r w:rsidR="00F73CA7" w:rsidRPr="006756E8">
        <w:rPr>
          <w:b/>
          <w:i/>
          <w:szCs w:val="22"/>
          <w:lang w:val="en-GB"/>
        </w:rPr>
        <w:t>kg</w:t>
      </w:r>
      <w:r w:rsidR="00F73CA7" w:rsidRPr="006756E8">
        <w:rPr>
          <w:b/>
          <w:i/>
          <w:szCs w:val="22"/>
        </w:rPr>
        <w:t>:</w:t>
      </w:r>
    </w:p>
    <w:p w:rsidR="00F73CA7" w:rsidRPr="006756E8" w:rsidRDefault="00F73CA7" w:rsidP="0031570A">
      <w:pPr>
        <w:tabs>
          <w:tab w:val="left" w:pos="567"/>
        </w:tabs>
        <w:autoSpaceDE w:val="0"/>
        <w:autoSpaceDN w:val="0"/>
        <w:adjustRightInd w:val="0"/>
        <w:rPr>
          <w:szCs w:val="22"/>
          <w:u w:val="single"/>
        </w:rPr>
      </w:pPr>
      <w:r w:rsidRPr="006756E8">
        <w:rPr>
          <w:szCs w:val="22"/>
          <w:u w:val="single"/>
        </w:rPr>
        <w:t>Νοσοκομειακή πνευμονία, επιπλεγμένες λοιμώξεις του ουροποιητικού συστήματος:</w:t>
      </w:r>
    </w:p>
    <w:p w:rsidR="00F73CA7" w:rsidRPr="006756E8" w:rsidRDefault="00F73CA7" w:rsidP="0031570A">
      <w:pPr>
        <w:tabs>
          <w:tab w:val="left" w:pos="567"/>
        </w:tabs>
        <w:autoSpaceDE w:val="0"/>
        <w:autoSpaceDN w:val="0"/>
        <w:adjustRightInd w:val="0"/>
        <w:rPr>
          <w:szCs w:val="22"/>
        </w:rPr>
      </w:pPr>
      <w:r w:rsidRPr="006756E8">
        <w:rPr>
          <w:szCs w:val="22"/>
        </w:rPr>
        <w:t>50</w:t>
      </w:r>
      <w:r w:rsidR="001966C5">
        <w:rPr>
          <w:szCs w:val="22"/>
        </w:rPr>
        <w:t> </w:t>
      </w:r>
      <w:r w:rsidRPr="006756E8">
        <w:rPr>
          <w:szCs w:val="22"/>
          <w:lang w:val="en-US"/>
        </w:rPr>
        <w:t>mg</w:t>
      </w:r>
      <w:r w:rsidRPr="006756E8">
        <w:rPr>
          <w:szCs w:val="22"/>
        </w:rPr>
        <w:t>/</w:t>
      </w:r>
      <w:r w:rsidRPr="006756E8">
        <w:rPr>
          <w:szCs w:val="22"/>
          <w:lang w:val="en-US"/>
        </w:rPr>
        <w:t>kg</w:t>
      </w:r>
      <w:r w:rsidRPr="006756E8">
        <w:rPr>
          <w:szCs w:val="22"/>
        </w:rPr>
        <w:t xml:space="preserve"> κάθε 12 ώρες για 10 ημέρες.</w:t>
      </w:r>
    </w:p>
    <w:p w:rsidR="00F73CA7" w:rsidRPr="006756E8" w:rsidRDefault="00F73CA7" w:rsidP="0031570A">
      <w:pPr>
        <w:tabs>
          <w:tab w:val="left" w:pos="567"/>
        </w:tabs>
        <w:autoSpaceDE w:val="0"/>
        <w:autoSpaceDN w:val="0"/>
        <w:adjustRightInd w:val="0"/>
        <w:rPr>
          <w:szCs w:val="22"/>
        </w:rPr>
      </w:pPr>
      <w:r w:rsidRPr="006756E8">
        <w:rPr>
          <w:szCs w:val="22"/>
        </w:rPr>
        <w:t>Για πιο σοβαρές λοιμώξεις, η δόση μπορεί να χορηγείται κάθε 8 ώρες.</w:t>
      </w:r>
    </w:p>
    <w:p w:rsidR="00F73CA7" w:rsidRPr="006756E8" w:rsidRDefault="00F73CA7" w:rsidP="0031570A">
      <w:pPr>
        <w:tabs>
          <w:tab w:val="left" w:pos="567"/>
        </w:tabs>
        <w:autoSpaceDE w:val="0"/>
        <w:autoSpaceDN w:val="0"/>
        <w:adjustRightInd w:val="0"/>
        <w:rPr>
          <w:szCs w:val="22"/>
        </w:rPr>
      </w:pPr>
    </w:p>
    <w:p w:rsidR="00F73CA7" w:rsidRPr="006756E8" w:rsidRDefault="00F73CA7" w:rsidP="0031570A">
      <w:pPr>
        <w:tabs>
          <w:tab w:val="left" w:pos="567"/>
        </w:tabs>
        <w:autoSpaceDE w:val="0"/>
        <w:autoSpaceDN w:val="0"/>
        <w:adjustRightInd w:val="0"/>
        <w:rPr>
          <w:szCs w:val="22"/>
          <w:u w:val="single"/>
        </w:rPr>
      </w:pPr>
      <w:r w:rsidRPr="006756E8">
        <w:rPr>
          <w:szCs w:val="22"/>
          <w:u w:val="single"/>
        </w:rPr>
        <w:t>Εμπειρική θεραπεία της εμπύρετης ουδετεροπενίας:</w:t>
      </w:r>
    </w:p>
    <w:p w:rsidR="00F73CA7" w:rsidRPr="006756E8" w:rsidRDefault="00F73CA7" w:rsidP="0031570A">
      <w:pPr>
        <w:tabs>
          <w:tab w:val="left" w:pos="567"/>
        </w:tabs>
        <w:autoSpaceDE w:val="0"/>
        <w:autoSpaceDN w:val="0"/>
        <w:adjustRightInd w:val="0"/>
        <w:rPr>
          <w:szCs w:val="22"/>
        </w:rPr>
      </w:pPr>
      <w:r w:rsidRPr="006756E8">
        <w:rPr>
          <w:szCs w:val="22"/>
        </w:rPr>
        <w:t>50</w:t>
      </w:r>
      <w:r w:rsidR="001966C5">
        <w:rPr>
          <w:szCs w:val="22"/>
        </w:rPr>
        <w:t> </w:t>
      </w:r>
      <w:r w:rsidRPr="006756E8">
        <w:rPr>
          <w:szCs w:val="22"/>
          <w:lang w:val="en-US"/>
        </w:rPr>
        <w:t>mg</w:t>
      </w:r>
      <w:r w:rsidRPr="006756E8">
        <w:rPr>
          <w:szCs w:val="22"/>
        </w:rPr>
        <w:t>/</w:t>
      </w:r>
      <w:r w:rsidRPr="006756E8">
        <w:rPr>
          <w:szCs w:val="22"/>
          <w:lang w:val="en-US"/>
        </w:rPr>
        <w:t>kg</w:t>
      </w:r>
      <w:r w:rsidRPr="006756E8">
        <w:rPr>
          <w:szCs w:val="22"/>
        </w:rPr>
        <w:t xml:space="preserve"> κάθε 8 ώρες για 7</w:t>
      </w:r>
      <w:r w:rsidR="001966C5">
        <w:rPr>
          <w:szCs w:val="22"/>
        </w:rPr>
        <w:noBreakHyphen/>
      </w:r>
      <w:r w:rsidRPr="006756E8">
        <w:rPr>
          <w:szCs w:val="22"/>
        </w:rPr>
        <w:t>10 ημέρες.</w:t>
      </w:r>
    </w:p>
    <w:p w:rsidR="00F73CA7" w:rsidRPr="006756E8" w:rsidRDefault="00F73CA7" w:rsidP="0031570A">
      <w:pPr>
        <w:tabs>
          <w:tab w:val="left" w:pos="567"/>
        </w:tabs>
        <w:autoSpaceDE w:val="0"/>
        <w:autoSpaceDN w:val="0"/>
        <w:adjustRightInd w:val="0"/>
        <w:rPr>
          <w:szCs w:val="22"/>
        </w:rPr>
      </w:pPr>
    </w:p>
    <w:p w:rsidR="00F73CA7" w:rsidRPr="006756E8" w:rsidRDefault="00F73CA7" w:rsidP="0031570A">
      <w:pPr>
        <w:tabs>
          <w:tab w:val="left" w:pos="567"/>
        </w:tabs>
        <w:autoSpaceDE w:val="0"/>
        <w:autoSpaceDN w:val="0"/>
        <w:adjustRightInd w:val="0"/>
        <w:rPr>
          <w:b/>
          <w:i/>
          <w:szCs w:val="22"/>
        </w:rPr>
      </w:pPr>
      <w:r w:rsidRPr="006756E8">
        <w:rPr>
          <w:b/>
          <w:i/>
          <w:szCs w:val="22"/>
        </w:rPr>
        <w:t>Παιδιά με βάρος σώματος &gt;</w:t>
      </w:r>
      <w:r w:rsidR="001966C5">
        <w:rPr>
          <w:b/>
          <w:i/>
          <w:szCs w:val="22"/>
        </w:rPr>
        <w:t> </w:t>
      </w:r>
      <w:r w:rsidRPr="006756E8">
        <w:rPr>
          <w:b/>
          <w:i/>
          <w:szCs w:val="22"/>
        </w:rPr>
        <w:t>40</w:t>
      </w:r>
      <w:r w:rsidR="001966C5">
        <w:rPr>
          <w:b/>
          <w:i/>
          <w:szCs w:val="22"/>
        </w:rPr>
        <w:t> </w:t>
      </w:r>
      <w:r w:rsidRPr="006756E8">
        <w:rPr>
          <w:b/>
          <w:i/>
          <w:szCs w:val="22"/>
          <w:lang w:val="en-US"/>
        </w:rPr>
        <w:t>kg</w:t>
      </w:r>
      <w:r w:rsidRPr="006756E8">
        <w:rPr>
          <w:b/>
          <w:i/>
          <w:szCs w:val="22"/>
        </w:rPr>
        <w:t>:</w:t>
      </w:r>
    </w:p>
    <w:p w:rsidR="00F73CA7" w:rsidRPr="006756E8" w:rsidRDefault="0031570A" w:rsidP="0031570A">
      <w:pPr>
        <w:tabs>
          <w:tab w:val="left" w:pos="567"/>
        </w:tabs>
        <w:autoSpaceDE w:val="0"/>
        <w:autoSpaceDN w:val="0"/>
        <w:adjustRightInd w:val="0"/>
        <w:rPr>
          <w:szCs w:val="22"/>
        </w:rPr>
      </w:pPr>
      <w:r>
        <w:rPr>
          <w:szCs w:val="22"/>
        </w:rPr>
        <w:t xml:space="preserve">Πρέπει να </w:t>
      </w:r>
      <w:r w:rsidR="001966C5">
        <w:rPr>
          <w:szCs w:val="22"/>
        </w:rPr>
        <w:t>υιοθετο</w:t>
      </w:r>
      <w:r>
        <w:rPr>
          <w:szCs w:val="22"/>
        </w:rPr>
        <w:t>ύνται οι</w:t>
      </w:r>
      <w:r w:rsidR="004358DF" w:rsidRPr="006756E8">
        <w:rPr>
          <w:szCs w:val="22"/>
        </w:rPr>
        <w:t xml:space="preserve"> συστάσεις δοσολογίας για τους ενήλικες.</w:t>
      </w:r>
    </w:p>
    <w:p w:rsidR="004358DF" w:rsidRPr="006756E8" w:rsidRDefault="0059178E" w:rsidP="0031570A">
      <w:pPr>
        <w:tabs>
          <w:tab w:val="left" w:pos="567"/>
        </w:tabs>
        <w:autoSpaceDE w:val="0"/>
        <w:autoSpaceDN w:val="0"/>
        <w:adjustRightInd w:val="0"/>
        <w:rPr>
          <w:szCs w:val="22"/>
        </w:rPr>
      </w:pPr>
      <w:r w:rsidRPr="006756E8">
        <w:rPr>
          <w:szCs w:val="22"/>
        </w:rPr>
        <w:t>Για ασθενείς ηλικίας άνω των 12 ετών με βάρος σώματος &lt;</w:t>
      </w:r>
      <w:r w:rsidR="001966C5">
        <w:rPr>
          <w:szCs w:val="22"/>
        </w:rPr>
        <w:t> </w:t>
      </w:r>
      <w:r w:rsidRPr="006756E8">
        <w:rPr>
          <w:szCs w:val="22"/>
        </w:rPr>
        <w:t>40</w:t>
      </w:r>
      <w:r w:rsidR="001966C5">
        <w:rPr>
          <w:szCs w:val="22"/>
        </w:rPr>
        <w:t> </w:t>
      </w:r>
      <w:r w:rsidRPr="006756E8">
        <w:rPr>
          <w:szCs w:val="22"/>
          <w:lang w:val="en-GB"/>
        </w:rPr>
        <w:t>kg</w:t>
      </w:r>
      <w:r w:rsidRPr="006756E8">
        <w:rPr>
          <w:szCs w:val="22"/>
        </w:rPr>
        <w:t>, πρέπει να υιοθετούνται οι συνιστώμενες δοσολογίες για νεότερους ασθενείς με βάρος σώματος &lt;</w:t>
      </w:r>
      <w:r w:rsidR="001966C5">
        <w:rPr>
          <w:szCs w:val="22"/>
        </w:rPr>
        <w:t> </w:t>
      </w:r>
      <w:r w:rsidRPr="006756E8">
        <w:rPr>
          <w:szCs w:val="22"/>
        </w:rPr>
        <w:t>40</w:t>
      </w:r>
      <w:r w:rsidR="001966C5">
        <w:rPr>
          <w:szCs w:val="22"/>
        </w:rPr>
        <w:t> </w:t>
      </w:r>
      <w:r w:rsidRPr="006756E8">
        <w:rPr>
          <w:szCs w:val="22"/>
          <w:lang w:val="en-GB"/>
        </w:rPr>
        <w:t>kg</w:t>
      </w:r>
      <w:r w:rsidRPr="006756E8">
        <w:rPr>
          <w:szCs w:val="22"/>
        </w:rPr>
        <w:t>. Η δοσολογία που εφαρμόζεται στα παιδιά δεν πρέπει να υπερβαίνει τη μέγιστη συνιστώμενη δόση για τους ενηλίκους (2</w:t>
      </w:r>
      <w:r w:rsidR="001966C5">
        <w:rPr>
          <w:szCs w:val="22"/>
        </w:rPr>
        <w:t> </w:t>
      </w:r>
      <w:r w:rsidRPr="006756E8">
        <w:rPr>
          <w:szCs w:val="22"/>
          <w:lang w:val="en-US"/>
        </w:rPr>
        <w:t>g</w:t>
      </w:r>
      <w:r w:rsidRPr="006756E8">
        <w:rPr>
          <w:szCs w:val="22"/>
        </w:rPr>
        <w:t xml:space="preserve"> κάθε 8</w:t>
      </w:r>
      <w:r w:rsidRPr="006756E8">
        <w:rPr>
          <w:szCs w:val="22"/>
          <w:lang w:val="en-US"/>
        </w:rPr>
        <w:t>h</w:t>
      </w:r>
      <w:r w:rsidRPr="006756E8">
        <w:rPr>
          <w:szCs w:val="22"/>
        </w:rPr>
        <w:t xml:space="preserve">). </w:t>
      </w:r>
    </w:p>
    <w:p w:rsidR="0059178E" w:rsidRPr="006756E8" w:rsidRDefault="0059178E" w:rsidP="0031570A">
      <w:pPr>
        <w:tabs>
          <w:tab w:val="left" w:pos="567"/>
        </w:tabs>
        <w:autoSpaceDE w:val="0"/>
        <w:autoSpaceDN w:val="0"/>
        <w:adjustRightInd w:val="0"/>
        <w:rPr>
          <w:szCs w:val="22"/>
        </w:rPr>
      </w:pPr>
    </w:p>
    <w:p w:rsidR="0059178E" w:rsidRPr="006756E8" w:rsidRDefault="0059178E" w:rsidP="0031570A">
      <w:pPr>
        <w:tabs>
          <w:tab w:val="left" w:pos="567"/>
        </w:tabs>
        <w:autoSpaceDE w:val="0"/>
        <w:autoSpaceDN w:val="0"/>
        <w:adjustRightInd w:val="0"/>
        <w:rPr>
          <w:b/>
          <w:szCs w:val="22"/>
        </w:rPr>
      </w:pPr>
      <w:r w:rsidRPr="006756E8">
        <w:rPr>
          <w:b/>
          <w:szCs w:val="22"/>
        </w:rPr>
        <w:t xml:space="preserve">Ενήλικες με νεφρική </w:t>
      </w:r>
      <w:r w:rsidR="001966C5">
        <w:rPr>
          <w:b/>
          <w:szCs w:val="22"/>
        </w:rPr>
        <w:t>δυσ</w:t>
      </w:r>
      <w:r w:rsidRPr="006756E8">
        <w:rPr>
          <w:b/>
          <w:szCs w:val="22"/>
        </w:rPr>
        <w:t>λειτουργία</w:t>
      </w:r>
    </w:p>
    <w:p w:rsidR="008D5A82" w:rsidRPr="006756E8" w:rsidRDefault="00487CD5" w:rsidP="0031570A">
      <w:pPr>
        <w:tabs>
          <w:tab w:val="left" w:pos="567"/>
        </w:tabs>
        <w:autoSpaceDE w:val="0"/>
        <w:autoSpaceDN w:val="0"/>
        <w:adjustRightInd w:val="0"/>
        <w:rPr>
          <w:szCs w:val="22"/>
        </w:rPr>
      </w:pPr>
      <w:r w:rsidRPr="006756E8">
        <w:rPr>
          <w:szCs w:val="22"/>
        </w:rPr>
        <w:t xml:space="preserve">Στους ασθενείς με νεφρική </w:t>
      </w:r>
      <w:r w:rsidR="001966C5">
        <w:rPr>
          <w:szCs w:val="22"/>
        </w:rPr>
        <w:t>δυσλειτουργία</w:t>
      </w:r>
      <w:r w:rsidRPr="006756E8">
        <w:rPr>
          <w:szCs w:val="22"/>
        </w:rPr>
        <w:t xml:space="preserve">, η δόση κεφεπίμης πρέπει να προσαρμόζεται </w:t>
      </w:r>
      <w:r w:rsidR="0059178E" w:rsidRPr="006756E8">
        <w:rPr>
          <w:szCs w:val="22"/>
        </w:rPr>
        <w:t>ώ</w:t>
      </w:r>
      <w:r w:rsidRPr="006756E8">
        <w:rPr>
          <w:szCs w:val="22"/>
        </w:rPr>
        <w:t xml:space="preserve">στε να αναπληρώνει </w:t>
      </w:r>
      <w:r w:rsidR="00F85210">
        <w:rPr>
          <w:szCs w:val="22"/>
        </w:rPr>
        <w:t>το βραδύτερο ρυθμό</w:t>
      </w:r>
      <w:r w:rsidRPr="006756E8">
        <w:rPr>
          <w:szCs w:val="22"/>
        </w:rPr>
        <w:t xml:space="preserve"> νεφρικής </w:t>
      </w:r>
      <w:r w:rsidR="001966C5">
        <w:rPr>
          <w:szCs w:val="22"/>
        </w:rPr>
        <w:t>αποβολής</w:t>
      </w:r>
      <w:r w:rsidRPr="006756E8">
        <w:rPr>
          <w:szCs w:val="22"/>
        </w:rPr>
        <w:t xml:space="preserve">. Η </w:t>
      </w:r>
      <w:r w:rsidR="00D74515" w:rsidRPr="006756E8">
        <w:rPr>
          <w:szCs w:val="22"/>
        </w:rPr>
        <w:t xml:space="preserve">συνιστώμενη </w:t>
      </w:r>
      <w:r w:rsidRPr="006756E8">
        <w:rPr>
          <w:szCs w:val="22"/>
        </w:rPr>
        <w:t xml:space="preserve">αρχική </w:t>
      </w:r>
      <w:r w:rsidR="00D74515" w:rsidRPr="006756E8">
        <w:rPr>
          <w:szCs w:val="22"/>
        </w:rPr>
        <w:t>δόση της κεφεπίμης</w:t>
      </w:r>
      <w:r w:rsidR="008D5A82" w:rsidRPr="006756E8">
        <w:rPr>
          <w:szCs w:val="22"/>
        </w:rPr>
        <w:t xml:space="preserve"> </w:t>
      </w:r>
      <w:r w:rsidR="00D74515" w:rsidRPr="006756E8">
        <w:rPr>
          <w:szCs w:val="22"/>
        </w:rPr>
        <w:t xml:space="preserve">σε ασθενείς με ήπια έως μέτρια νεφρική </w:t>
      </w:r>
      <w:r w:rsidR="000D5AB6">
        <w:rPr>
          <w:szCs w:val="22"/>
        </w:rPr>
        <w:t>δυσλειτουργία</w:t>
      </w:r>
      <w:r w:rsidR="00D74515" w:rsidRPr="006756E8">
        <w:rPr>
          <w:szCs w:val="22"/>
        </w:rPr>
        <w:t xml:space="preserve"> πρέπει να είναι ίδια με τη δόση που χρησιμοποιείται σε ασθενείς με φυσιολογική νεφρική </w:t>
      </w:r>
      <w:r w:rsidR="0059178E" w:rsidRPr="006756E8">
        <w:rPr>
          <w:szCs w:val="22"/>
        </w:rPr>
        <w:t>λειτουργία</w:t>
      </w:r>
      <w:r w:rsidR="00D74515" w:rsidRPr="006756E8">
        <w:rPr>
          <w:szCs w:val="22"/>
        </w:rPr>
        <w:t>. Οι δόσεις συντήρησης της κεφεπίμης που συνιστών</w:t>
      </w:r>
      <w:r w:rsidR="0059178E" w:rsidRPr="006756E8">
        <w:rPr>
          <w:szCs w:val="22"/>
        </w:rPr>
        <w:t>τ</w:t>
      </w:r>
      <w:r w:rsidR="00D74515" w:rsidRPr="006756E8">
        <w:rPr>
          <w:szCs w:val="22"/>
        </w:rPr>
        <w:t xml:space="preserve">αι σε ενήλικες </w:t>
      </w:r>
      <w:r w:rsidR="0059178E" w:rsidRPr="006756E8">
        <w:rPr>
          <w:szCs w:val="22"/>
        </w:rPr>
        <w:t xml:space="preserve">και εφήβους (&gt; 12 ετών) </w:t>
      </w:r>
      <w:r w:rsidR="00D74515" w:rsidRPr="006756E8">
        <w:rPr>
          <w:szCs w:val="22"/>
        </w:rPr>
        <w:t xml:space="preserve">με νεφρική </w:t>
      </w:r>
      <w:r w:rsidR="000D5AB6">
        <w:rPr>
          <w:szCs w:val="22"/>
        </w:rPr>
        <w:t>δυσλειτουργία</w:t>
      </w:r>
      <w:r w:rsidR="00D74515" w:rsidRPr="006756E8">
        <w:rPr>
          <w:szCs w:val="22"/>
        </w:rPr>
        <w:t xml:space="preserve"> παρουσιάζονται στον παρακάτω πίνακα.</w:t>
      </w:r>
    </w:p>
    <w:p w:rsidR="008D5A82" w:rsidRPr="006756E8" w:rsidRDefault="00D74515" w:rsidP="0031570A">
      <w:pPr>
        <w:tabs>
          <w:tab w:val="left" w:pos="567"/>
        </w:tabs>
        <w:autoSpaceDE w:val="0"/>
        <w:autoSpaceDN w:val="0"/>
        <w:adjustRightInd w:val="0"/>
        <w:rPr>
          <w:szCs w:val="22"/>
        </w:rPr>
      </w:pPr>
      <w:r w:rsidRPr="006756E8">
        <w:rPr>
          <w:szCs w:val="22"/>
        </w:rPr>
        <w:t xml:space="preserve">Εάν είναι διαθέσιμο μόνον το επίπεδο της κρεατινίνης, μπορεί να χρησιμοποιηθεί ο παρακάτω τύπος (εξίσωση </w:t>
      </w:r>
      <w:r w:rsidR="008D5A82" w:rsidRPr="006756E8">
        <w:rPr>
          <w:szCs w:val="22"/>
          <w:lang w:val="en-GB"/>
        </w:rPr>
        <w:t>Cockcroft</w:t>
      </w:r>
      <w:r w:rsidR="008D5A82" w:rsidRPr="006756E8">
        <w:rPr>
          <w:szCs w:val="22"/>
        </w:rPr>
        <w:t>-</w:t>
      </w:r>
      <w:r w:rsidR="008D5A82" w:rsidRPr="006756E8">
        <w:rPr>
          <w:szCs w:val="22"/>
          <w:lang w:val="en-GB"/>
        </w:rPr>
        <w:t>Gault</w:t>
      </w:r>
      <w:r w:rsidRPr="006756E8">
        <w:rPr>
          <w:szCs w:val="22"/>
        </w:rPr>
        <w:t xml:space="preserve">) για να προσδιοριστεί η κάθαρση της κρεατινίνης. </w:t>
      </w:r>
      <w:r w:rsidR="008D5A82" w:rsidRPr="006756E8">
        <w:rPr>
          <w:szCs w:val="22"/>
        </w:rPr>
        <w:t xml:space="preserve"> </w:t>
      </w:r>
      <w:r w:rsidRPr="006756E8">
        <w:rPr>
          <w:szCs w:val="22"/>
        </w:rPr>
        <w:t xml:space="preserve">Η κρεατινίνη ορού πρέπει να αντιπροσωπεύει τη </w:t>
      </w:r>
      <w:r w:rsidR="00914FEF" w:rsidRPr="006756E8">
        <w:rPr>
          <w:szCs w:val="22"/>
        </w:rPr>
        <w:t xml:space="preserve">νεφρική λειτουργία σε </w:t>
      </w:r>
      <w:r w:rsidR="000D5AB6">
        <w:rPr>
          <w:szCs w:val="22"/>
        </w:rPr>
        <w:t>σταθεροποιημένη</w:t>
      </w:r>
      <w:r w:rsidRPr="006756E8">
        <w:rPr>
          <w:szCs w:val="22"/>
        </w:rPr>
        <w:t xml:space="preserve"> κατάσταση</w:t>
      </w:r>
      <w:r w:rsidR="008D5A82" w:rsidRPr="006756E8">
        <w:rPr>
          <w:szCs w:val="22"/>
        </w:rPr>
        <w:t xml:space="preserve">: </w:t>
      </w:r>
    </w:p>
    <w:p w:rsidR="008D5A82" w:rsidRPr="006756E8" w:rsidRDefault="008D5A82" w:rsidP="0031570A">
      <w:pPr>
        <w:tabs>
          <w:tab w:val="left" w:pos="567"/>
        </w:tabs>
        <w:autoSpaceDE w:val="0"/>
        <w:autoSpaceDN w:val="0"/>
        <w:adjustRightInd w:val="0"/>
        <w:rPr>
          <w:szCs w:val="22"/>
        </w:rPr>
      </w:pPr>
    </w:p>
    <w:p w:rsidR="008D5A82" w:rsidRPr="006756E8" w:rsidRDefault="00903EC0" w:rsidP="0031570A">
      <w:pPr>
        <w:tabs>
          <w:tab w:val="left" w:pos="567"/>
        </w:tabs>
        <w:autoSpaceDE w:val="0"/>
        <w:autoSpaceDN w:val="0"/>
        <w:adjustRightInd w:val="0"/>
        <w:rPr>
          <w:szCs w:val="22"/>
        </w:rPr>
      </w:pPr>
      <w:r w:rsidRPr="006756E8">
        <w:rPr>
          <w:szCs w:val="22"/>
        </w:rPr>
        <w:t>Άνδρες</w:t>
      </w:r>
      <w:r w:rsidR="008D5A82" w:rsidRPr="006756E8">
        <w:rPr>
          <w:szCs w:val="22"/>
        </w:rPr>
        <w:t xml:space="preserve">: </w:t>
      </w:r>
      <w:r w:rsidR="00D74515" w:rsidRPr="006756E8">
        <w:rPr>
          <w:szCs w:val="22"/>
        </w:rPr>
        <w:t>Κάθαρση κρεατινίνης</w:t>
      </w:r>
      <w:r w:rsidR="008D5A82" w:rsidRPr="006756E8">
        <w:rPr>
          <w:szCs w:val="22"/>
        </w:rPr>
        <w:t xml:space="preserve"> (</w:t>
      </w:r>
      <w:r w:rsidR="008D5A82" w:rsidRPr="006756E8">
        <w:rPr>
          <w:szCs w:val="22"/>
          <w:lang w:val="en-GB"/>
        </w:rPr>
        <w:t>ml</w:t>
      </w:r>
      <w:r w:rsidR="008D5A82" w:rsidRPr="006756E8">
        <w:rPr>
          <w:szCs w:val="22"/>
        </w:rPr>
        <w:t>/</w:t>
      </w:r>
      <w:r w:rsidR="008D5A82" w:rsidRPr="006756E8">
        <w:rPr>
          <w:szCs w:val="22"/>
          <w:lang w:val="en-GB"/>
        </w:rPr>
        <w:t>min</w:t>
      </w:r>
      <w:r w:rsidR="008D5A82" w:rsidRPr="006756E8">
        <w:rPr>
          <w:szCs w:val="22"/>
        </w:rPr>
        <w:t xml:space="preserve">) = </w:t>
      </w:r>
      <w:r w:rsidR="008D5A82" w:rsidRPr="006756E8">
        <w:rPr>
          <w:szCs w:val="22"/>
        </w:rPr>
        <w:tab/>
      </w:r>
      <w:r w:rsidR="00D74515" w:rsidRPr="006756E8">
        <w:rPr>
          <w:szCs w:val="22"/>
          <w:u w:val="single"/>
        </w:rPr>
        <w:t>βάρος σώματος</w:t>
      </w:r>
      <w:r w:rsidR="008D5A82" w:rsidRPr="006756E8">
        <w:rPr>
          <w:szCs w:val="22"/>
          <w:u w:val="single"/>
        </w:rPr>
        <w:t xml:space="preserve"> (</w:t>
      </w:r>
      <w:r w:rsidR="008D5A82" w:rsidRPr="006756E8">
        <w:rPr>
          <w:szCs w:val="22"/>
          <w:u w:val="single"/>
          <w:lang w:val="en-GB"/>
        </w:rPr>
        <w:t>kg</w:t>
      </w:r>
      <w:r w:rsidR="008D5A82" w:rsidRPr="006756E8">
        <w:rPr>
          <w:szCs w:val="22"/>
          <w:u w:val="single"/>
        </w:rPr>
        <w:t xml:space="preserve">) </w:t>
      </w:r>
      <w:r w:rsidR="008D5A82" w:rsidRPr="006756E8">
        <w:rPr>
          <w:szCs w:val="22"/>
          <w:u w:val="single"/>
          <w:lang w:val="en-GB"/>
        </w:rPr>
        <w:t>x</w:t>
      </w:r>
      <w:r w:rsidR="008D5A82" w:rsidRPr="006756E8">
        <w:rPr>
          <w:szCs w:val="22"/>
          <w:u w:val="single"/>
        </w:rPr>
        <w:t xml:space="preserve"> (140 – </w:t>
      </w:r>
      <w:r w:rsidR="00D74515" w:rsidRPr="006756E8">
        <w:rPr>
          <w:szCs w:val="22"/>
          <w:u w:val="single"/>
        </w:rPr>
        <w:t>ηλικία</w:t>
      </w:r>
      <w:r w:rsidR="008D5A82" w:rsidRPr="006756E8">
        <w:rPr>
          <w:szCs w:val="22"/>
          <w:u w:val="single"/>
        </w:rPr>
        <w:t xml:space="preserve">) </w:t>
      </w:r>
    </w:p>
    <w:p w:rsidR="008D5A82" w:rsidRPr="006756E8" w:rsidRDefault="008D5A82" w:rsidP="0031570A">
      <w:pPr>
        <w:tabs>
          <w:tab w:val="left" w:pos="567"/>
        </w:tabs>
        <w:autoSpaceDE w:val="0"/>
        <w:autoSpaceDN w:val="0"/>
        <w:adjustRightInd w:val="0"/>
        <w:ind w:left="3540" w:firstLine="708"/>
        <w:rPr>
          <w:szCs w:val="22"/>
        </w:rPr>
      </w:pPr>
      <w:r w:rsidRPr="006756E8">
        <w:rPr>
          <w:szCs w:val="22"/>
        </w:rPr>
        <w:t xml:space="preserve">72 </w:t>
      </w:r>
      <w:r w:rsidRPr="006756E8">
        <w:rPr>
          <w:szCs w:val="22"/>
          <w:lang w:val="en-GB"/>
        </w:rPr>
        <w:t>x</w:t>
      </w:r>
      <w:r w:rsidRPr="006756E8">
        <w:rPr>
          <w:szCs w:val="22"/>
        </w:rPr>
        <w:t xml:space="preserve"> </w:t>
      </w:r>
      <w:r w:rsidR="00D74515" w:rsidRPr="006756E8">
        <w:rPr>
          <w:szCs w:val="22"/>
        </w:rPr>
        <w:t>κρεατινίνη ορού</w:t>
      </w:r>
      <w:r w:rsidRPr="006756E8">
        <w:rPr>
          <w:szCs w:val="22"/>
        </w:rPr>
        <w:t xml:space="preserve"> (</w:t>
      </w:r>
      <w:r w:rsidRPr="006756E8">
        <w:rPr>
          <w:szCs w:val="22"/>
          <w:lang w:val="en-GB"/>
        </w:rPr>
        <w:t>mg</w:t>
      </w:r>
      <w:r w:rsidRPr="006756E8">
        <w:rPr>
          <w:szCs w:val="22"/>
        </w:rPr>
        <w:t>/</w:t>
      </w:r>
      <w:r w:rsidRPr="006756E8">
        <w:rPr>
          <w:szCs w:val="22"/>
          <w:lang w:val="en-GB"/>
        </w:rPr>
        <w:t>dl</w:t>
      </w:r>
      <w:r w:rsidRPr="006756E8">
        <w:rPr>
          <w:szCs w:val="22"/>
        </w:rPr>
        <w:t xml:space="preserve">) </w:t>
      </w:r>
    </w:p>
    <w:p w:rsidR="008D5A82" w:rsidRPr="006756E8" w:rsidRDefault="008D5A82" w:rsidP="0031570A">
      <w:pPr>
        <w:tabs>
          <w:tab w:val="left" w:pos="567"/>
        </w:tabs>
        <w:autoSpaceDE w:val="0"/>
        <w:autoSpaceDN w:val="0"/>
        <w:adjustRightInd w:val="0"/>
        <w:jc w:val="both"/>
        <w:rPr>
          <w:szCs w:val="22"/>
        </w:rPr>
      </w:pPr>
    </w:p>
    <w:p w:rsidR="008D5A82" w:rsidRPr="006756E8" w:rsidRDefault="00903EC0" w:rsidP="0031570A">
      <w:pPr>
        <w:tabs>
          <w:tab w:val="left" w:pos="567"/>
        </w:tabs>
        <w:autoSpaceDE w:val="0"/>
        <w:autoSpaceDN w:val="0"/>
        <w:adjustRightInd w:val="0"/>
        <w:jc w:val="both"/>
        <w:rPr>
          <w:szCs w:val="22"/>
        </w:rPr>
      </w:pPr>
      <w:r w:rsidRPr="006756E8">
        <w:rPr>
          <w:szCs w:val="22"/>
        </w:rPr>
        <w:t>Γυναίκες</w:t>
      </w:r>
      <w:r w:rsidR="008D5A82" w:rsidRPr="006756E8">
        <w:rPr>
          <w:szCs w:val="22"/>
        </w:rPr>
        <w:t xml:space="preserve">: 0.85 </w:t>
      </w:r>
      <w:r w:rsidR="008D5A82" w:rsidRPr="006756E8">
        <w:rPr>
          <w:szCs w:val="22"/>
          <w:lang w:val="en-GB"/>
        </w:rPr>
        <w:t>x</w:t>
      </w:r>
      <w:r w:rsidR="008D5A82" w:rsidRPr="006756E8">
        <w:rPr>
          <w:szCs w:val="22"/>
        </w:rPr>
        <w:t xml:space="preserve"> </w:t>
      </w:r>
      <w:r w:rsidR="00D74515" w:rsidRPr="006756E8">
        <w:rPr>
          <w:szCs w:val="22"/>
        </w:rPr>
        <w:t>τιμή που υπολογίστηκε από τον τ</w:t>
      </w:r>
      <w:r w:rsidRPr="006756E8">
        <w:rPr>
          <w:szCs w:val="22"/>
        </w:rPr>
        <w:t>ύπο των ανδρών</w:t>
      </w:r>
    </w:p>
    <w:p w:rsidR="008D5A82" w:rsidRPr="006756E8" w:rsidRDefault="008D5A82" w:rsidP="0031570A">
      <w:pPr>
        <w:tabs>
          <w:tab w:val="left" w:pos="567"/>
        </w:tabs>
        <w:autoSpaceDE w:val="0"/>
        <w:autoSpaceDN w:val="0"/>
        <w:adjustRightInd w:val="0"/>
        <w:jc w:val="both"/>
        <w:rPr>
          <w:szCs w:val="22"/>
        </w:rPr>
        <w:sectPr w:rsidR="008D5A82" w:rsidRPr="006756E8" w:rsidSect="00BB2274">
          <w:footerReference w:type="even" r:id="rId8"/>
          <w:footerReference w:type="default" r:id="rId9"/>
          <w:pgSz w:w="12240" w:h="15840"/>
          <w:pgMar w:top="1134" w:right="1418" w:bottom="1134" w:left="1418" w:header="720" w:footer="720" w:gutter="0"/>
          <w:cols w:space="720"/>
          <w:noEndnote/>
        </w:sectPr>
      </w:pPr>
    </w:p>
    <w:p w:rsidR="008D5A82" w:rsidRPr="006756E8" w:rsidRDefault="00D74515" w:rsidP="0031570A">
      <w:pPr>
        <w:tabs>
          <w:tab w:val="left" w:pos="567"/>
        </w:tabs>
        <w:autoSpaceDE w:val="0"/>
        <w:autoSpaceDN w:val="0"/>
        <w:adjustRightInd w:val="0"/>
        <w:ind w:left="720" w:hanging="720"/>
        <w:rPr>
          <w:szCs w:val="22"/>
        </w:rPr>
      </w:pPr>
      <w:r w:rsidRPr="006756E8">
        <w:rPr>
          <w:szCs w:val="22"/>
        </w:rPr>
        <w:lastRenderedPageBreak/>
        <w:t xml:space="preserve">Δοσολογικό σχήμα συντήρησης για ενήλικες </w:t>
      </w:r>
      <w:r w:rsidR="00914FEF" w:rsidRPr="006756E8">
        <w:rPr>
          <w:szCs w:val="22"/>
        </w:rPr>
        <w:t xml:space="preserve">και εφήβους (&gt; 12 ετών) </w:t>
      </w:r>
      <w:r w:rsidRPr="006756E8">
        <w:rPr>
          <w:szCs w:val="22"/>
        </w:rPr>
        <w:t>με νεφρική ανεπάρκεια</w:t>
      </w:r>
    </w:p>
    <w:tbl>
      <w:tblPr>
        <w:tblW w:w="0" w:type="auto"/>
        <w:tblInd w:w="108" w:type="dxa"/>
        <w:tblBorders>
          <w:top w:val="nil"/>
          <w:left w:val="nil"/>
          <w:bottom w:val="nil"/>
          <w:right w:val="nil"/>
        </w:tblBorders>
        <w:tblLook w:val="0000"/>
      </w:tblPr>
      <w:tblGrid>
        <w:gridCol w:w="2301"/>
        <w:gridCol w:w="3089"/>
        <w:gridCol w:w="3031"/>
      </w:tblGrid>
      <w:tr w:rsidR="008D5A82" w:rsidRPr="006756E8">
        <w:tblPrEx>
          <w:tblCellMar>
            <w:top w:w="0" w:type="dxa"/>
            <w:bottom w:w="0" w:type="dxa"/>
          </w:tblCellMar>
        </w:tblPrEx>
        <w:trPr>
          <w:trHeight w:val="809"/>
        </w:trPr>
        <w:tc>
          <w:tcPr>
            <w:tcW w:w="2520" w:type="dxa"/>
            <w:tcBorders>
              <w:top w:val="double" w:sz="4" w:space="0" w:color="000000"/>
              <w:left w:val="double" w:sz="4" w:space="0" w:color="000000"/>
              <w:bottom w:val="single" w:sz="4" w:space="0" w:color="000000"/>
              <w:right w:val="single" w:sz="4" w:space="0" w:color="000000"/>
            </w:tcBorders>
          </w:tcPr>
          <w:p w:rsidR="008D5A82" w:rsidRPr="006756E8" w:rsidRDefault="00D74515" w:rsidP="0031570A">
            <w:pPr>
              <w:tabs>
                <w:tab w:val="left" w:pos="567"/>
              </w:tabs>
              <w:autoSpaceDE w:val="0"/>
              <w:autoSpaceDN w:val="0"/>
              <w:adjustRightInd w:val="0"/>
              <w:jc w:val="center"/>
              <w:rPr>
                <w:b/>
                <w:szCs w:val="22"/>
                <w:lang w:val="en-GB"/>
              </w:rPr>
            </w:pPr>
            <w:r w:rsidRPr="006756E8">
              <w:rPr>
                <w:b/>
                <w:szCs w:val="22"/>
              </w:rPr>
              <w:t>Κάθαρση κρεατινίνης</w:t>
            </w:r>
            <w:r w:rsidR="008D5A82" w:rsidRPr="006756E8">
              <w:rPr>
                <w:b/>
                <w:szCs w:val="22"/>
                <w:lang w:val="en-GB"/>
              </w:rPr>
              <w:t xml:space="preserve"> (ml/min) </w:t>
            </w:r>
          </w:p>
        </w:tc>
        <w:tc>
          <w:tcPr>
            <w:tcW w:w="6886" w:type="dxa"/>
            <w:gridSpan w:val="2"/>
            <w:tcBorders>
              <w:top w:val="double" w:sz="4" w:space="0" w:color="000000"/>
              <w:left w:val="single" w:sz="4" w:space="0" w:color="000000"/>
              <w:bottom w:val="single" w:sz="4" w:space="0" w:color="000000"/>
              <w:right w:val="double" w:sz="4" w:space="0" w:color="000000"/>
            </w:tcBorders>
          </w:tcPr>
          <w:p w:rsidR="008D5A82" w:rsidRPr="006756E8" w:rsidRDefault="00D74515" w:rsidP="0031570A">
            <w:pPr>
              <w:tabs>
                <w:tab w:val="left" w:pos="567"/>
              </w:tabs>
              <w:autoSpaceDE w:val="0"/>
              <w:autoSpaceDN w:val="0"/>
              <w:adjustRightInd w:val="0"/>
              <w:jc w:val="center"/>
              <w:rPr>
                <w:b/>
                <w:szCs w:val="22"/>
              </w:rPr>
            </w:pPr>
            <w:r w:rsidRPr="006756E8">
              <w:rPr>
                <w:b/>
                <w:szCs w:val="22"/>
              </w:rPr>
              <w:t>Συνιστώμενη δοσολογία συντήρησης βασισμένη στη σοβαρότητα της λοίμωξης</w:t>
            </w:r>
            <w:r w:rsidR="008D5A82" w:rsidRPr="006756E8">
              <w:rPr>
                <w:b/>
                <w:szCs w:val="22"/>
              </w:rPr>
              <w:t xml:space="preserve"> (+ </w:t>
            </w:r>
            <w:r w:rsidRPr="006756E8">
              <w:rPr>
                <w:b/>
                <w:szCs w:val="22"/>
              </w:rPr>
              <w:t xml:space="preserve">του </w:t>
            </w:r>
            <w:r w:rsidR="00E5752F" w:rsidRPr="006756E8">
              <w:rPr>
                <w:b/>
                <w:szCs w:val="22"/>
              </w:rPr>
              <w:t xml:space="preserve">χρονικού </w:t>
            </w:r>
            <w:r w:rsidRPr="006756E8">
              <w:rPr>
                <w:b/>
                <w:szCs w:val="22"/>
              </w:rPr>
              <w:t>διαστήματος μεταξύ των χορηγήσεων</w:t>
            </w:r>
            <w:r w:rsidR="008D5A82" w:rsidRPr="006756E8">
              <w:rPr>
                <w:b/>
                <w:szCs w:val="22"/>
              </w:rPr>
              <w:t xml:space="preserve">) </w:t>
            </w:r>
          </w:p>
          <w:p w:rsidR="0059178E" w:rsidRPr="006756E8" w:rsidRDefault="0059178E" w:rsidP="0031570A">
            <w:pPr>
              <w:tabs>
                <w:tab w:val="left" w:pos="567"/>
              </w:tabs>
              <w:autoSpaceDE w:val="0"/>
              <w:autoSpaceDN w:val="0"/>
              <w:adjustRightInd w:val="0"/>
              <w:jc w:val="center"/>
              <w:rPr>
                <w:b/>
                <w:szCs w:val="22"/>
              </w:rPr>
            </w:pPr>
          </w:p>
        </w:tc>
      </w:tr>
      <w:tr w:rsidR="0059178E" w:rsidRPr="006756E8">
        <w:tblPrEx>
          <w:tblCellMar>
            <w:top w:w="0" w:type="dxa"/>
            <w:bottom w:w="0" w:type="dxa"/>
          </w:tblCellMar>
        </w:tblPrEx>
        <w:trPr>
          <w:cantSplit/>
          <w:trHeight w:val="289"/>
        </w:trPr>
        <w:tc>
          <w:tcPr>
            <w:tcW w:w="2520" w:type="dxa"/>
            <w:tcBorders>
              <w:top w:val="single" w:sz="4" w:space="0" w:color="000000"/>
              <w:left w:val="double" w:sz="4" w:space="0" w:color="000000"/>
              <w:bottom w:val="single" w:sz="4" w:space="0" w:color="000000"/>
              <w:right w:val="single" w:sz="4" w:space="0" w:color="000000"/>
            </w:tcBorders>
          </w:tcPr>
          <w:p w:rsidR="0059178E" w:rsidRPr="006756E8" w:rsidRDefault="0059178E" w:rsidP="0031570A">
            <w:pPr>
              <w:tabs>
                <w:tab w:val="left" w:pos="567"/>
              </w:tabs>
              <w:autoSpaceDE w:val="0"/>
              <w:autoSpaceDN w:val="0"/>
              <w:adjustRightInd w:val="0"/>
              <w:jc w:val="center"/>
              <w:rPr>
                <w:szCs w:val="22"/>
              </w:rPr>
            </w:pPr>
          </w:p>
        </w:tc>
        <w:tc>
          <w:tcPr>
            <w:tcW w:w="3466" w:type="dxa"/>
            <w:tcBorders>
              <w:top w:val="single" w:sz="4" w:space="0" w:color="000000"/>
              <w:left w:val="single" w:sz="4" w:space="0" w:color="000000"/>
              <w:bottom w:val="single" w:sz="4" w:space="0" w:color="000000"/>
              <w:right w:val="double" w:sz="4" w:space="0" w:color="000000"/>
            </w:tcBorders>
          </w:tcPr>
          <w:p w:rsidR="0059178E" w:rsidRPr="006756E8" w:rsidRDefault="0059178E" w:rsidP="0031570A">
            <w:pPr>
              <w:tabs>
                <w:tab w:val="left" w:pos="567"/>
              </w:tabs>
              <w:autoSpaceDE w:val="0"/>
              <w:autoSpaceDN w:val="0"/>
              <w:adjustRightInd w:val="0"/>
              <w:rPr>
                <w:szCs w:val="22"/>
              </w:rPr>
            </w:pPr>
            <w:r w:rsidRPr="006756E8">
              <w:rPr>
                <w:szCs w:val="22"/>
              </w:rPr>
              <w:t>Πολύ σοβαρές ή δυνητικά θανατηφόρες λοιμώξεις που περιλαμβάνουν</w:t>
            </w:r>
          </w:p>
          <w:p w:rsidR="0059178E" w:rsidRPr="006756E8" w:rsidRDefault="0059178E" w:rsidP="0031570A">
            <w:pPr>
              <w:tabs>
                <w:tab w:val="left" w:pos="567"/>
              </w:tabs>
              <w:autoSpaceDE w:val="0"/>
              <w:autoSpaceDN w:val="0"/>
              <w:adjustRightInd w:val="0"/>
              <w:rPr>
                <w:szCs w:val="22"/>
              </w:rPr>
            </w:pPr>
          </w:p>
          <w:p w:rsidR="0059178E" w:rsidRPr="006756E8" w:rsidRDefault="0059178E" w:rsidP="0031570A">
            <w:pPr>
              <w:numPr>
                <w:ilvl w:val="0"/>
                <w:numId w:val="16"/>
              </w:numPr>
              <w:tabs>
                <w:tab w:val="clear" w:pos="720"/>
                <w:tab w:val="num" w:pos="122"/>
                <w:tab w:val="left" w:pos="567"/>
              </w:tabs>
              <w:autoSpaceDE w:val="0"/>
              <w:autoSpaceDN w:val="0"/>
              <w:adjustRightInd w:val="0"/>
              <w:ind w:left="122" w:hanging="110"/>
              <w:rPr>
                <w:szCs w:val="22"/>
              </w:rPr>
            </w:pPr>
            <w:r w:rsidRPr="006756E8">
              <w:rPr>
                <w:szCs w:val="22"/>
              </w:rPr>
              <w:t>Εμπύρετα επεισόδια προκαλούμενα από βακτηριακές λοιμώξεις σε ουδετεροπενικούς ασθενείς</w:t>
            </w:r>
          </w:p>
        </w:tc>
        <w:tc>
          <w:tcPr>
            <w:tcW w:w="3420" w:type="dxa"/>
            <w:tcBorders>
              <w:top w:val="single" w:sz="4" w:space="0" w:color="000000"/>
              <w:left w:val="single" w:sz="4" w:space="0" w:color="000000"/>
              <w:bottom w:val="single" w:sz="4" w:space="0" w:color="000000"/>
              <w:right w:val="double" w:sz="4" w:space="0" w:color="000000"/>
            </w:tcBorders>
          </w:tcPr>
          <w:p w:rsidR="0059178E" w:rsidRPr="006756E8" w:rsidRDefault="00362F5D" w:rsidP="0031570A">
            <w:pPr>
              <w:tabs>
                <w:tab w:val="left" w:pos="567"/>
              </w:tabs>
              <w:autoSpaceDE w:val="0"/>
              <w:autoSpaceDN w:val="0"/>
              <w:adjustRightInd w:val="0"/>
              <w:rPr>
                <w:szCs w:val="22"/>
              </w:rPr>
            </w:pPr>
            <w:r w:rsidRPr="006756E8">
              <w:rPr>
                <w:szCs w:val="22"/>
              </w:rPr>
              <w:t>Σοβαρές λοιμώξεις που περιλαμβάνουν</w:t>
            </w:r>
          </w:p>
          <w:p w:rsidR="00362F5D" w:rsidRPr="006756E8" w:rsidRDefault="00362F5D" w:rsidP="0031570A">
            <w:pPr>
              <w:tabs>
                <w:tab w:val="left" w:pos="567"/>
              </w:tabs>
              <w:autoSpaceDE w:val="0"/>
              <w:autoSpaceDN w:val="0"/>
              <w:adjustRightInd w:val="0"/>
              <w:rPr>
                <w:szCs w:val="22"/>
              </w:rPr>
            </w:pPr>
          </w:p>
          <w:p w:rsidR="00362F5D" w:rsidRPr="006756E8" w:rsidRDefault="00362F5D" w:rsidP="0031570A">
            <w:pPr>
              <w:numPr>
                <w:ilvl w:val="0"/>
                <w:numId w:val="16"/>
              </w:numPr>
              <w:tabs>
                <w:tab w:val="clear" w:pos="720"/>
                <w:tab w:val="num" w:pos="176"/>
                <w:tab w:val="left" w:pos="567"/>
              </w:tabs>
              <w:autoSpaceDE w:val="0"/>
              <w:autoSpaceDN w:val="0"/>
              <w:adjustRightInd w:val="0"/>
              <w:ind w:left="176" w:hanging="176"/>
              <w:rPr>
                <w:szCs w:val="22"/>
              </w:rPr>
            </w:pPr>
            <w:r w:rsidRPr="006756E8">
              <w:rPr>
                <w:szCs w:val="22"/>
              </w:rPr>
              <w:t>Νοσοκομειακή πνευμονία</w:t>
            </w:r>
          </w:p>
          <w:p w:rsidR="00362F5D" w:rsidRPr="006756E8" w:rsidRDefault="00362F5D" w:rsidP="0031570A">
            <w:pPr>
              <w:numPr>
                <w:ilvl w:val="0"/>
                <w:numId w:val="16"/>
              </w:numPr>
              <w:tabs>
                <w:tab w:val="clear" w:pos="720"/>
                <w:tab w:val="num" w:pos="176"/>
                <w:tab w:val="left" w:pos="567"/>
              </w:tabs>
              <w:autoSpaceDE w:val="0"/>
              <w:autoSpaceDN w:val="0"/>
              <w:adjustRightInd w:val="0"/>
              <w:ind w:left="176" w:hanging="176"/>
              <w:rPr>
                <w:szCs w:val="22"/>
              </w:rPr>
            </w:pPr>
            <w:r w:rsidRPr="006756E8">
              <w:rPr>
                <w:szCs w:val="22"/>
              </w:rPr>
              <w:t>Επιπλεγμένες λοιμώξεις του ουροποιητικού συστήματος</w:t>
            </w:r>
          </w:p>
          <w:p w:rsidR="00362F5D" w:rsidRPr="006756E8" w:rsidRDefault="00362F5D" w:rsidP="0031570A">
            <w:pPr>
              <w:numPr>
                <w:ilvl w:val="0"/>
                <w:numId w:val="16"/>
              </w:numPr>
              <w:tabs>
                <w:tab w:val="clear" w:pos="720"/>
                <w:tab w:val="num" w:pos="176"/>
                <w:tab w:val="left" w:pos="567"/>
              </w:tabs>
              <w:autoSpaceDE w:val="0"/>
              <w:autoSpaceDN w:val="0"/>
              <w:adjustRightInd w:val="0"/>
              <w:ind w:left="176" w:hanging="176"/>
              <w:rPr>
                <w:szCs w:val="22"/>
              </w:rPr>
            </w:pPr>
            <w:r w:rsidRPr="006756E8">
              <w:rPr>
                <w:szCs w:val="22"/>
              </w:rPr>
              <w:t>Επιπλεγμένες ενδοκοιλιακές λοιμώξεις</w:t>
            </w:r>
          </w:p>
        </w:tc>
      </w:tr>
      <w:tr w:rsidR="0059178E" w:rsidRPr="006756E8">
        <w:tblPrEx>
          <w:tblCellMar>
            <w:top w:w="0" w:type="dxa"/>
            <w:bottom w:w="0" w:type="dxa"/>
          </w:tblCellMar>
        </w:tblPrEx>
        <w:trPr>
          <w:cantSplit/>
          <w:trHeight w:val="289"/>
        </w:trPr>
        <w:tc>
          <w:tcPr>
            <w:tcW w:w="2520" w:type="dxa"/>
            <w:tcBorders>
              <w:top w:val="single" w:sz="4" w:space="0" w:color="000000"/>
              <w:left w:val="double" w:sz="4" w:space="0" w:color="000000"/>
              <w:bottom w:val="single" w:sz="4" w:space="0" w:color="auto"/>
              <w:right w:val="single" w:sz="4" w:space="0" w:color="000000"/>
            </w:tcBorders>
            <w:shd w:val="clear" w:color="auto" w:fill="auto"/>
          </w:tcPr>
          <w:p w:rsidR="0059178E" w:rsidRPr="006756E8" w:rsidRDefault="0059178E" w:rsidP="0031570A">
            <w:pPr>
              <w:tabs>
                <w:tab w:val="left" w:pos="567"/>
              </w:tabs>
              <w:autoSpaceDE w:val="0"/>
              <w:autoSpaceDN w:val="0"/>
              <w:adjustRightInd w:val="0"/>
              <w:jc w:val="center"/>
              <w:rPr>
                <w:szCs w:val="22"/>
                <w:lang w:val="en-GB"/>
              </w:rPr>
            </w:pPr>
            <w:r w:rsidRPr="006756E8">
              <w:rPr>
                <w:szCs w:val="22"/>
                <w:lang w:val="en-GB"/>
              </w:rPr>
              <w:t xml:space="preserve">&gt; 50 </w:t>
            </w:r>
          </w:p>
        </w:tc>
        <w:tc>
          <w:tcPr>
            <w:tcW w:w="6886" w:type="dxa"/>
            <w:gridSpan w:val="2"/>
            <w:tcBorders>
              <w:top w:val="single" w:sz="4" w:space="0" w:color="000000"/>
              <w:left w:val="single" w:sz="4" w:space="0" w:color="000000"/>
              <w:bottom w:val="single" w:sz="4" w:space="0" w:color="000000"/>
              <w:right w:val="double" w:sz="4" w:space="0" w:color="000000"/>
            </w:tcBorders>
          </w:tcPr>
          <w:p w:rsidR="0059178E" w:rsidRPr="006756E8" w:rsidRDefault="0059178E" w:rsidP="0031570A">
            <w:pPr>
              <w:tabs>
                <w:tab w:val="left" w:pos="567"/>
              </w:tabs>
              <w:autoSpaceDE w:val="0"/>
              <w:autoSpaceDN w:val="0"/>
              <w:adjustRightInd w:val="0"/>
              <w:rPr>
                <w:szCs w:val="22"/>
              </w:rPr>
            </w:pPr>
            <w:r w:rsidRPr="006756E8">
              <w:rPr>
                <w:szCs w:val="22"/>
              </w:rPr>
              <w:t xml:space="preserve">(Συνήθης δόση, δεν απαιτείται προσαρμογή) </w:t>
            </w:r>
          </w:p>
        </w:tc>
      </w:tr>
      <w:tr w:rsidR="00362F5D" w:rsidRPr="006756E8">
        <w:tblPrEx>
          <w:tblCellMar>
            <w:top w:w="0" w:type="dxa"/>
            <w:bottom w:w="0" w:type="dxa"/>
          </w:tblCellMar>
        </w:tblPrEx>
        <w:trPr>
          <w:cantSplit/>
          <w:trHeight w:val="543"/>
        </w:trPr>
        <w:tc>
          <w:tcPr>
            <w:tcW w:w="2520" w:type="dxa"/>
            <w:tcBorders>
              <w:top w:val="single" w:sz="4" w:space="0" w:color="auto"/>
              <w:left w:val="double" w:sz="4" w:space="0" w:color="000000"/>
              <w:bottom w:val="single" w:sz="4" w:space="0" w:color="000000"/>
              <w:right w:val="single" w:sz="4" w:space="0" w:color="000000"/>
            </w:tcBorders>
            <w:shd w:val="clear" w:color="auto" w:fill="auto"/>
          </w:tcPr>
          <w:p w:rsidR="00362F5D" w:rsidRPr="006756E8" w:rsidRDefault="00362F5D" w:rsidP="0031570A">
            <w:pPr>
              <w:tabs>
                <w:tab w:val="left" w:pos="567"/>
              </w:tabs>
              <w:autoSpaceDE w:val="0"/>
              <w:autoSpaceDN w:val="0"/>
              <w:adjustRightInd w:val="0"/>
              <w:rPr>
                <w:szCs w:val="22"/>
              </w:rPr>
            </w:pPr>
          </w:p>
        </w:tc>
        <w:tc>
          <w:tcPr>
            <w:tcW w:w="3466"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2 g </w:t>
            </w:r>
            <w:r w:rsidRPr="006756E8">
              <w:rPr>
                <w:szCs w:val="22"/>
              </w:rPr>
              <w:t>κάθε</w:t>
            </w:r>
            <w:r w:rsidRPr="006756E8">
              <w:rPr>
                <w:szCs w:val="22"/>
                <w:lang w:val="en-GB"/>
              </w:rPr>
              <w:t xml:space="preserve"> 8 h </w:t>
            </w:r>
          </w:p>
        </w:tc>
        <w:tc>
          <w:tcPr>
            <w:tcW w:w="3420"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2 g </w:t>
            </w:r>
            <w:r w:rsidRPr="006756E8">
              <w:rPr>
                <w:szCs w:val="22"/>
              </w:rPr>
              <w:t>κάθε</w:t>
            </w:r>
            <w:r w:rsidRPr="006756E8">
              <w:rPr>
                <w:szCs w:val="22"/>
                <w:lang w:val="en-GB"/>
              </w:rPr>
              <w:t xml:space="preserve"> 12 h </w:t>
            </w:r>
          </w:p>
        </w:tc>
      </w:tr>
      <w:tr w:rsidR="00362F5D" w:rsidRPr="006756E8">
        <w:tblPrEx>
          <w:tblCellMar>
            <w:top w:w="0" w:type="dxa"/>
            <w:bottom w:w="0" w:type="dxa"/>
          </w:tblCellMar>
        </w:tblPrEx>
        <w:trPr>
          <w:trHeight w:val="543"/>
        </w:trPr>
        <w:tc>
          <w:tcPr>
            <w:tcW w:w="2520" w:type="dxa"/>
            <w:tcBorders>
              <w:top w:val="single" w:sz="4" w:space="0" w:color="000000"/>
              <w:left w:val="doub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30-50 </w:t>
            </w:r>
          </w:p>
        </w:tc>
        <w:tc>
          <w:tcPr>
            <w:tcW w:w="3466"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2 g </w:t>
            </w:r>
            <w:r w:rsidRPr="006756E8">
              <w:rPr>
                <w:szCs w:val="22"/>
              </w:rPr>
              <w:t>κάθε</w:t>
            </w:r>
            <w:r w:rsidRPr="006756E8">
              <w:rPr>
                <w:szCs w:val="22"/>
                <w:lang w:val="en-GB"/>
              </w:rPr>
              <w:t xml:space="preserve"> 12 h </w:t>
            </w:r>
          </w:p>
        </w:tc>
        <w:tc>
          <w:tcPr>
            <w:tcW w:w="3420"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2 g </w:t>
            </w:r>
            <w:r w:rsidRPr="006756E8">
              <w:rPr>
                <w:szCs w:val="22"/>
              </w:rPr>
              <w:t>κάθε</w:t>
            </w:r>
            <w:r w:rsidRPr="006756E8">
              <w:rPr>
                <w:szCs w:val="22"/>
                <w:lang w:val="en-GB"/>
              </w:rPr>
              <w:t xml:space="preserve"> 24 h </w:t>
            </w:r>
          </w:p>
        </w:tc>
      </w:tr>
      <w:tr w:rsidR="00362F5D" w:rsidRPr="006756E8">
        <w:tblPrEx>
          <w:tblCellMar>
            <w:top w:w="0" w:type="dxa"/>
            <w:bottom w:w="0" w:type="dxa"/>
          </w:tblCellMar>
        </w:tblPrEx>
        <w:trPr>
          <w:trHeight w:val="543"/>
        </w:trPr>
        <w:tc>
          <w:tcPr>
            <w:tcW w:w="2520" w:type="dxa"/>
            <w:tcBorders>
              <w:top w:val="single" w:sz="4" w:space="0" w:color="000000"/>
              <w:left w:val="doub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11-29 </w:t>
            </w:r>
          </w:p>
        </w:tc>
        <w:tc>
          <w:tcPr>
            <w:tcW w:w="3466"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2 g </w:t>
            </w:r>
            <w:r w:rsidRPr="006756E8">
              <w:rPr>
                <w:szCs w:val="22"/>
              </w:rPr>
              <w:t>κάθε</w:t>
            </w:r>
            <w:r w:rsidRPr="006756E8">
              <w:rPr>
                <w:szCs w:val="22"/>
                <w:lang w:val="en-GB"/>
              </w:rPr>
              <w:t xml:space="preserve"> 24 h </w:t>
            </w:r>
          </w:p>
        </w:tc>
        <w:tc>
          <w:tcPr>
            <w:tcW w:w="3420"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1 g </w:t>
            </w:r>
            <w:r w:rsidRPr="006756E8">
              <w:rPr>
                <w:szCs w:val="22"/>
              </w:rPr>
              <w:t>κάθε</w:t>
            </w:r>
            <w:r w:rsidRPr="006756E8">
              <w:rPr>
                <w:szCs w:val="22"/>
                <w:lang w:val="en-GB"/>
              </w:rPr>
              <w:t xml:space="preserve"> 24 h </w:t>
            </w:r>
          </w:p>
        </w:tc>
      </w:tr>
      <w:tr w:rsidR="00362F5D" w:rsidRPr="006756E8">
        <w:tblPrEx>
          <w:tblCellMar>
            <w:top w:w="0" w:type="dxa"/>
            <w:bottom w:w="0" w:type="dxa"/>
          </w:tblCellMar>
        </w:tblPrEx>
        <w:trPr>
          <w:trHeight w:val="543"/>
        </w:trPr>
        <w:tc>
          <w:tcPr>
            <w:tcW w:w="2520" w:type="dxa"/>
            <w:tcBorders>
              <w:top w:val="single" w:sz="4" w:space="0" w:color="000000"/>
              <w:left w:val="doub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 10 </w:t>
            </w:r>
          </w:p>
        </w:tc>
        <w:tc>
          <w:tcPr>
            <w:tcW w:w="3466"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1 g </w:t>
            </w:r>
            <w:r w:rsidRPr="006756E8">
              <w:rPr>
                <w:szCs w:val="22"/>
              </w:rPr>
              <w:t>κάθε</w:t>
            </w:r>
            <w:r w:rsidRPr="006756E8">
              <w:rPr>
                <w:szCs w:val="22"/>
                <w:lang w:val="en-GB"/>
              </w:rPr>
              <w:t xml:space="preserve"> 24 h </w:t>
            </w:r>
          </w:p>
        </w:tc>
        <w:tc>
          <w:tcPr>
            <w:tcW w:w="3420"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500 mg </w:t>
            </w:r>
            <w:r w:rsidRPr="006756E8">
              <w:rPr>
                <w:szCs w:val="22"/>
              </w:rPr>
              <w:t>κάθε</w:t>
            </w:r>
            <w:r w:rsidRPr="006756E8">
              <w:rPr>
                <w:szCs w:val="22"/>
                <w:lang w:val="en-GB"/>
              </w:rPr>
              <w:t xml:space="preserve"> 24 h </w:t>
            </w:r>
          </w:p>
        </w:tc>
      </w:tr>
      <w:tr w:rsidR="00362F5D" w:rsidRPr="006756E8">
        <w:tblPrEx>
          <w:tblCellMar>
            <w:top w:w="0" w:type="dxa"/>
            <w:bottom w:w="0" w:type="dxa"/>
          </w:tblCellMar>
        </w:tblPrEx>
        <w:trPr>
          <w:trHeight w:val="543"/>
        </w:trPr>
        <w:tc>
          <w:tcPr>
            <w:tcW w:w="2520" w:type="dxa"/>
            <w:tcBorders>
              <w:top w:val="single" w:sz="4" w:space="0" w:color="000000"/>
              <w:left w:val="doub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rPr>
              <w:t>Αιμοκάθαρση</w:t>
            </w:r>
            <w:r w:rsidRPr="006756E8">
              <w:rPr>
                <w:szCs w:val="22"/>
                <w:lang w:val="en-GB"/>
              </w:rPr>
              <w:t xml:space="preserve">* </w:t>
            </w:r>
          </w:p>
        </w:tc>
        <w:tc>
          <w:tcPr>
            <w:tcW w:w="3466"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500 mg </w:t>
            </w:r>
            <w:r w:rsidRPr="006756E8">
              <w:rPr>
                <w:szCs w:val="22"/>
              </w:rPr>
              <w:t>κάθε</w:t>
            </w:r>
            <w:r w:rsidRPr="006756E8">
              <w:rPr>
                <w:szCs w:val="22"/>
                <w:lang w:val="en-GB"/>
              </w:rPr>
              <w:t xml:space="preserve"> 24 h </w:t>
            </w:r>
          </w:p>
        </w:tc>
        <w:tc>
          <w:tcPr>
            <w:tcW w:w="3420" w:type="dxa"/>
            <w:tcBorders>
              <w:top w:val="single" w:sz="4" w:space="0" w:color="000000"/>
              <w:left w:val="single" w:sz="4" w:space="0" w:color="000000"/>
              <w:bottom w:val="single" w:sz="4" w:space="0" w:color="000000"/>
              <w:right w:val="single" w:sz="4" w:space="0" w:color="000000"/>
            </w:tcBorders>
          </w:tcPr>
          <w:p w:rsidR="00362F5D" w:rsidRPr="006756E8" w:rsidRDefault="00362F5D" w:rsidP="0031570A">
            <w:pPr>
              <w:tabs>
                <w:tab w:val="left" w:pos="567"/>
              </w:tabs>
              <w:autoSpaceDE w:val="0"/>
              <w:autoSpaceDN w:val="0"/>
              <w:adjustRightInd w:val="0"/>
              <w:jc w:val="center"/>
              <w:rPr>
                <w:szCs w:val="22"/>
                <w:lang w:val="en-GB"/>
              </w:rPr>
            </w:pPr>
            <w:r w:rsidRPr="006756E8">
              <w:rPr>
                <w:szCs w:val="22"/>
                <w:lang w:val="en-GB"/>
              </w:rPr>
              <w:t xml:space="preserve">500 mg </w:t>
            </w:r>
            <w:r w:rsidRPr="006756E8">
              <w:rPr>
                <w:szCs w:val="22"/>
              </w:rPr>
              <w:t>κάθε</w:t>
            </w:r>
            <w:r w:rsidRPr="006756E8">
              <w:rPr>
                <w:szCs w:val="22"/>
                <w:lang w:val="en-GB"/>
              </w:rPr>
              <w:t xml:space="preserve"> 24 h </w:t>
            </w:r>
          </w:p>
        </w:tc>
      </w:tr>
      <w:tr w:rsidR="008D5A82" w:rsidRPr="006756E8">
        <w:tblPrEx>
          <w:tblCellMar>
            <w:top w:w="0" w:type="dxa"/>
            <w:bottom w:w="0" w:type="dxa"/>
          </w:tblCellMar>
        </w:tblPrEx>
        <w:trPr>
          <w:trHeight w:val="988"/>
        </w:trPr>
        <w:tc>
          <w:tcPr>
            <w:tcW w:w="9406" w:type="dxa"/>
            <w:gridSpan w:val="3"/>
            <w:tcBorders>
              <w:top w:val="single" w:sz="4" w:space="0" w:color="000000"/>
              <w:left w:val="double" w:sz="4" w:space="0" w:color="000000"/>
              <w:bottom w:val="double" w:sz="4" w:space="0" w:color="000000"/>
              <w:right w:val="double" w:sz="4" w:space="0" w:color="000000"/>
            </w:tcBorders>
          </w:tcPr>
          <w:p w:rsidR="008D5A82" w:rsidRPr="006756E8" w:rsidRDefault="008D5A82" w:rsidP="00A02215">
            <w:pPr>
              <w:tabs>
                <w:tab w:val="left" w:pos="567"/>
              </w:tabs>
              <w:autoSpaceDE w:val="0"/>
              <w:autoSpaceDN w:val="0"/>
              <w:adjustRightInd w:val="0"/>
              <w:rPr>
                <w:szCs w:val="22"/>
              </w:rPr>
            </w:pPr>
            <w:r w:rsidRPr="006756E8">
              <w:rPr>
                <w:szCs w:val="22"/>
              </w:rPr>
              <w:t xml:space="preserve">* </w:t>
            </w:r>
            <w:r w:rsidR="00895EA2" w:rsidRPr="006756E8">
              <w:rPr>
                <w:szCs w:val="22"/>
              </w:rPr>
              <w:t xml:space="preserve">Το φαρμακοκινητικό μοντέλο δείχνει ότι σε αυτούς τους ασθενείς απαιτείται μείωση της δοσολογίας. Σε ασθενείς που λαμβάνουν </w:t>
            </w:r>
            <w:r w:rsidR="003951C7" w:rsidRPr="006756E8">
              <w:rPr>
                <w:szCs w:val="22"/>
              </w:rPr>
              <w:t xml:space="preserve">ταυτόχρονα </w:t>
            </w:r>
            <w:r w:rsidR="00895EA2" w:rsidRPr="006756E8">
              <w:rPr>
                <w:szCs w:val="22"/>
              </w:rPr>
              <w:t xml:space="preserve">κεφεπίμη και αιμοκάθαρση, η </w:t>
            </w:r>
            <w:r w:rsidR="003951C7" w:rsidRPr="006756E8">
              <w:rPr>
                <w:szCs w:val="22"/>
              </w:rPr>
              <w:t>δοσολογία</w:t>
            </w:r>
            <w:r w:rsidR="00895EA2" w:rsidRPr="006756E8">
              <w:rPr>
                <w:szCs w:val="22"/>
              </w:rPr>
              <w:t xml:space="preserve"> πρέπει να καθοριστεί ως ακολούθως</w:t>
            </w:r>
            <w:r w:rsidRPr="006756E8">
              <w:rPr>
                <w:szCs w:val="22"/>
              </w:rPr>
              <w:t xml:space="preserve">: </w:t>
            </w:r>
            <w:r w:rsidR="00895EA2" w:rsidRPr="006756E8">
              <w:rPr>
                <w:szCs w:val="22"/>
              </w:rPr>
              <w:t>μ</w:t>
            </w:r>
            <w:r w:rsidR="00A02215">
              <w:rPr>
                <w:szCs w:val="22"/>
              </w:rPr>
              <w:t>ί</w:t>
            </w:r>
            <w:r w:rsidR="00895EA2" w:rsidRPr="006756E8">
              <w:rPr>
                <w:szCs w:val="22"/>
              </w:rPr>
              <w:t>α δόση εφόδου την πρώτη μέρα της θεραπείας</w:t>
            </w:r>
            <w:r w:rsidR="00A02215">
              <w:rPr>
                <w:szCs w:val="22"/>
              </w:rPr>
              <w:t xml:space="preserve"> </w:t>
            </w:r>
            <w:r w:rsidR="00895EA2" w:rsidRPr="006756E8">
              <w:rPr>
                <w:szCs w:val="22"/>
              </w:rPr>
              <w:t xml:space="preserve">με κεφεπίμη ακολουθούμενη από </w:t>
            </w:r>
            <w:r w:rsidRPr="006756E8">
              <w:rPr>
                <w:szCs w:val="22"/>
              </w:rPr>
              <w:t>500</w:t>
            </w:r>
            <w:r w:rsidR="00A02215">
              <w:rPr>
                <w:szCs w:val="22"/>
              </w:rPr>
              <w:t> </w:t>
            </w:r>
            <w:r w:rsidRPr="006756E8">
              <w:rPr>
                <w:szCs w:val="22"/>
                <w:lang w:val="en-GB"/>
              </w:rPr>
              <w:t>mg</w:t>
            </w:r>
            <w:r w:rsidRPr="006756E8">
              <w:rPr>
                <w:szCs w:val="22"/>
              </w:rPr>
              <w:t xml:space="preserve"> </w:t>
            </w:r>
            <w:r w:rsidR="00A02215">
              <w:rPr>
                <w:szCs w:val="22"/>
              </w:rPr>
              <w:t>ημερησίως στη συνέχεια</w:t>
            </w:r>
            <w:r w:rsidRPr="006756E8">
              <w:rPr>
                <w:szCs w:val="22"/>
              </w:rPr>
              <w:t xml:space="preserve">. </w:t>
            </w:r>
            <w:r w:rsidR="00895EA2" w:rsidRPr="006756E8">
              <w:rPr>
                <w:szCs w:val="22"/>
              </w:rPr>
              <w:t xml:space="preserve">Τις ημέρες </w:t>
            </w:r>
            <w:r w:rsidR="00A02215">
              <w:rPr>
                <w:szCs w:val="22"/>
              </w:rPr>
              <w:t>της</w:t>
            </w:r>
            <w:r w:rsidR="00895EA2" w:rsidRPr="006756E8">
              <w:rPr>
                <w:szCs w:val="22"/>
              </w:rPr>
              <w:t xml:space="preserve"> αιμοκάθαρσης, η</w:t>
            </w:r>
            <w:r w:rsidR="002F0557" w:rsidRPr="006756E8">
              <w:rPr>
                <w:szCs w:val="22"/>
              </w:rPr>
              <w:t xml:space="preserve"> κεφεπίμη πρέπει να χορηγείται μετά τη συνεδρία αιμοκάθαρσης. Αν είναι εφικτό, η κεφεπίμη πρέπει να χορηγείται την ίδια ώρα κάθε ημέρα.</w:t>
            </w:r>
            <w:r w:rsidRPr="006756E8">
              <w:rPr>
                <w:szCs w:val="22"/>
              </w:rPr>
              <w:t xml:space="preserve"> </w:t>
            </w:r>
          </w:p>
        </w:tc>
      </w:tr>
    </w:tbl>
    <w:p w:rsidR="008D5A82" w:rsidRPr="006756E8" w:rsidRDefault="008D5A82" w:rsidP="0031570A">
      <w:pPr>
        <w:tabs>
          <w:tab w:val="left" w:pos="567"/>
        </w:tabs>
        <w:autoSpaceDE w:val="0"/>
        <w:autoSpaceDN w:val="0"/>
        <w:adjustRightInd w:val="0"/>
        <w:rPr>
          <w:szCs w:val="22"/>
        </w:rPr>
      </w:pPr>
    </w:p>
    <w:p w:rsidR="008D5A82" w:rsidRPr="006756E8" w:rsidRDefault="002F0557" w:rsidP="0031570A">
      <w:pPr>
        <w:tabs>
          <w:tab w:val="left" w:pos="567"/>
        </w:tabs>
        <w:autoSpaceDE w:val="0"/>
        <w:autoSpaceDN w:val="0"/>
        <w:adjustRightInd w:val="0"/>
        <w:rPr>
          <w:b/>
          <w:szCs w:val="22"/>
        </w:rPr>
      </w:pPr>
      <w:r w:rsidRPr="006756E8">
        <w:rPr>
          <w:b/>
          <w:szCs w:val="22"/>
        </w:rPr>
        <w:t>Ασθενείς σε αιμοκάθαρση</w:t>
      </w:r>
      <w:r w:rsidR="008D5A82" w:rsidRPr="006756E8">
        <w:rPr>
          <w:b/>
          <w:szCs w:val="22"/>
        </w:rPr>
        <w:t xml:space="preserve"> </w:t>
      </w:r>
    </w:p>
    <w:p w:rsidR="008D5A82" w:rsidRPr="006756E8" w:rsidRDefault="002F0557" w:rsidP="0031570A">
      <w:pPr>
        <w:tabs>
          <w:tab w:val="left" w:pos="567"/>
        </w:tabs>
        <w:autoSpaceDE w:val="0"/>
        <w:autoSpaceDN w:val="0"/>
        <w:adjustRightInd w:val="0"/>
        <w:rPr>
          <w:szCs w:val="22"/>
        </w:rPr>
      </w:pPr>
      <w:r w:rsidRPr="006756E8">
        <w:rPr>
          <w:szCs w:val="22"/>
        </w:rPr>
        <w:t>Για τους ασθενείς σε αιμοκάθαρση δείτε τον παραπάνω πίνακα.</w:t>
      </w:r>
    </w:p>
    <w:p w:rsidR="008D5A82" w:rsidRPr="006756E8" w:rsidRDefault="002F0557" w:rsidP="0031570A">
      <w:pPr>
        <w:tabs>
          <w:tab w:val="left" w:pos="567"/>
        </w:tabs>
        <w:autoSpaceDE w:val="0"/>
        <w:autoSpaceDN w:val="0"/>
        <w:adjustRightInd w:val="0"/>
        <w:rPr>
          <w:szCs w:val="22"/>
        </w:rPr>
      </w:pPr>
      <w:r w:rsidRPr="006756E8">
        <w:rPr>
          <w:szCs w:val="22"/>
        </w:rPr>
        <w:t xml:space="preserve">Σε ασθενείς που υποβάλονται σε αιμοκάθαρση, περίπου το </w:t>
      </w:r>
      <w:r w:rsidR="008D5A82" w:rsidRPr="006756E8">
        <w:rPr>
          <w:szCs w:val="22"/>
        </w:rPr>
        <w:t xml:space="preserve">68% </w:t>
      </w:r>
      <w:r w:rsidRPr="006756E8">
        <w:rPr>
          <w:szCs w:val="22"/>
        </w:rPr>
        <w:t xml:space="preserve">της συνολικής ποσότητας κεφεπίμης που </w:t>
      </w:r>
      <w:r w:rsidR="0066441B" w:rsidRPr="006756E8">
        <w:rPr>
          <w:szCs w:val="22"/>
        </w:rPr>
        <w:t>υπάρχει</w:t>
      </w:r>
      <w:r w:rsidRPr="006756E8">
        <w:rPr>
          <w:szCs w:val="22"/>
        </w:rPr>
        <w:t xml:space="preserve"> στο σώμα κατά την έναρξη της αιμοκάθαρσης θα αποβληθεί κατά την διάρκεια </w:t>
      </w:r>
      <w:r w:rsidR="0066441B" w:rsidRPr="006756E8">
        <w:rPr>
          <w:szCs w:val="22"/>
        </w:rPr>
        <w:t>μ</w:t>
      </w:r>
      <w:r w:rsidR="00A02215">
        <w:rPr>
          <w:szCs w:val="22"/>
        </w:rPr>
        <w:t>ί</w:t>
      </w:r>
      <w:r w:rsidR="0066441B" w:rsidRPr="006756E8">
        <w:rPr>
          <w:szCs w:val="22"/>
        </w:rPr>
        <w:t xml:space="preserve">ας </w:t>
      </w:r>
      <w:r w:rsidRPr="006756E8">
        <w:rPr>
          <w:szCs w:val="22"/>
        </w:rPr>
        <w:t>αιμοκάθαρσης 3 ωρών.</w:t>
      </w:r>
    </w:p>
    <w:p w:rsidR="008D5A82" w:rsidRPr="006756E8" w:rsidRDefault="008D5A82" w:rsidP="0031570A">
      <w:pPr>
        <w:tabs>
          <w:tab w:val="left" w:pos="567"/>
        </w:tabs>
        <w:autoSpaceDE w:val="0"/>
        <w:autoSpaceDN w:val="0"/>
        <w:adjustRightInd w:val="0"/>
        <w:rPr>
          <w:szCs w:val="22"/>
        </w:rPr>
      </w:pPr>
    </w:p>
    <w:p w:rsidR="008D5A82" w:rsidRPr="006756E8" w:rsidRDefault="002F0557" w:rsidP="0031570A">
      <w:pPr>
        <w:tabs>
          <w:tab w:val="left" w:pos="567"/>
        </w:tabs>
        <w:autoSpaceDE w:val="0"/>
        <w:autoSpaceDN w:val="0"/>
        <w:adjustRightInd w:val="0"/>
        <w:rPr>
          <w:szCs w:val="22"/>
        </w:rPr>
      </w:pPr>
      <w:r w:rsidRPr="006756E8">
        <w:rPr>
          <w:szCs w:val="22"/>
        </w:rPr>
        <w:t xml:space="preserve">Σε ασθενείς που υποβάλονται </w:t>
      </w:r>
      <w:r w:rsidR="00A02215">
        <w:rPr>
          <w:szCs w:val="22"/>
        </w:rPr>
        <w:t xml:space="preserve">σε </w:t>
      </w:r>
      <w:r w:rsidRPr="006756E8">
        <w:rPr>
          <w:szCs w:val="22"/>
        </w:rPr>
        <w:t>συνεχή περιπατητική περιτοναϊκή κάθαρση</w:t>
      </w:r>
      <w:r w:rsidR="00DD58E1" w:rsidRPr="006756E8">
        <w:rPr>
          <w:szCs w:val="22"/>
        </w:rPr>
        <w:t xml:space="preserve"> (</w:t>
      </w:r>
      <w:r w:rsidR="00DD58E1" w:rsidRPr="006756E8">
        <w:rPr>
          <w:szCs w:val="22"/>
          <w:lang w:val="en-GB"/>
        </w:rPr>
        <w:t>CAPD</w:t>
      </w:r>
      <w:r w:rsidR="00DD58E1" w:rsidRPr="006756E8">
        <w:rPr>
          <w:szCs w:val="22"/>
        </w:rPr>
        <w:t>)</w:t>
      </w:r>
      <w:r w:rsidRPr="006756E8">
        <w:rPr>
          <w:szCs w:val="22"/>
        </w:rPr>
        <w:t xml:space="preserve">, η κεφεπίμη μπορεί να χορηγηθεί στις ίδιες δόσεις που συνιστώνται σε ασθενείς με φυσιολογική </w:t>
      </w:r>
      <w:r w:rsidR="00DD58E1" w:rsidRPr="006756E8">
        <w:rPr>
          <w:szCs w:val="22"/>
        </w:rPr>
        <w:t>νεφρική λειτουργία</w:t>
      </w:r>
      <w:r w:rsidRPr="006756E8">
        <w:rPr>
          <w:szCs w:val="22"/>
        </w:rPr>
        <w:t xml:space="preserve"> με ενδι</w:t>
      </w:r>
      <w:r w:rsidR="006D6CF4" w:rsidRPr="006756E8">
        <w:rPr>
          <w:szCs w:val="22"/>
        </w:rPr>
        <w:t>ά</w:t>
      </w:r>
      <w:r w:rsidRPr="006756E8">
        <w:rPr>
          <w:szCs w:val="22"/>
        </w:rPr>
        <w:t xml:space="preserve">μεσα χρονικά διαστήματα </w:t>
      </w:r>
      <w:r w:rsidR="00DD58E1" w:rsidRPr="006756E8">
        <w:rPr>
          <w:szCs w:val="22"/>
        </w:rPr>
        <w:t xml:space="preserve">των </w:t>
      </w:r>
      <w:r w:rsidRPr="006756E8">
        <w:rPr>
          <w:szCs w:val="22"/>
        </w:rPr>
        <w:t>48 ωρών.</w:t>
      </w:r>
    </w:p>
    <w:p w:rsidR="008D5A82" w:rsidRPr="00A02215" w:rsidRDefault="008D5A82" w:rsidP="0031570A">
      <w:pPr>
        <w:tabs>
          <w:tab w:val="left" w:pos="567"/>
        </w:tabs>
        <w:autoSpaceDE w:val="0"/>
        <w:autoSpaceDN w:val="0"/>
        <w:adjustRightInd w:val="0"/>
        <w:rPr>
          <w:szCs w:val="22"/>
        </w:rPr>
      </w:pPr>
    </w:p>
    <w:p w:rsidR="008D5A82" w:rsidRPr="006756E8" w:rsidRDefault="00DD58E1" w:rsidP="0031570A">
      <w:pPr>
        <w:tabs>
          <w:tab w:val="left" w:pos="567"/>
        </w:tabs>
        <w:autoSpaceDE w:val="0"/>
        <w:autoSpaceDN w:val="0"/>
        <w:adjustRightInd w:val="0"/>
        <w:rPr>
          <w:b/>
          <w:szCs w:val="22"/>
        </w:rPr>
      </w:pPr>
      <w:r w:rsidRPr="006756E8">
        <w:rPr>
          <w:b/>
          <w:szCs w:val="22"/>
        </w:rPr>
        <w:t>Βρέφη και π</w:t>
      </w:r>
      <w:r w:rsidR="00F23E54" w:rsidRPr="006756E8">
        <w:rPr>
          <w:b/>
          <w:szCs w:val="22"/>
        </w:rPr>
        <w:t xml:space="preserve">αιδιά </w:t>
      </w:r>
      <w:r w:rsidRPr="006756E8">
        <w:rPr>
          <w:b/>
          <w:szCs w:val="22"/>
        </w:rPr>
        <w:t>έως 12 ετών με βάρος σώματος ≤</w:t>
      </w:r>
      <w:r w:rsidR="00A02215">
        <w:rPr>
          <w:b/>
          <w:szCs w:val="22"/>
        </w:rPr>
        <w:t> </w:t>
      </w:r>
      <w:r w:rsidRPr="006756E8">
        <w:rPr>
          <w:b/>
          <w:szCs w:val="22"/>
        </w:rPr>
        <w:t>40</w:t>
      </w:r>
      <w:r w:rsidR="00A02215">
        <w:rPr>
          <w:b/>
          <w:szCs w:val="22"/>
        </w:rPr>
        <w:t> </w:t>
      </w:r>
      <w:r w:rsidRPr="006756E8">
        <w:rPr>
          <w:b/>
          <w:szCs w:val="22"/>
          <w:lang w:val="en-GB"/>
        </w:rPr>
        <w:t>kg</w:t>
      </w:r>
      <w:r w:rsidRPr="006756E8">
        <w:rPr>
          <w:b/>
          <w:szCs w:val="22"/>
        </w:rPr>
        <w:t xml:space="preserve"> και </w:t>
      </w:r>
      <w:r w:rsidR="00F23E54" w:rsidRPr="006756E8">
        <w:rPr>
          <w:b/>
          <w:szCs w:val="22"/>
        </w:rPr>
        <w:t xml:space="preserve">με </w:t>
      </w:r>
      <w:r w:rsidR="009B03BC">
        <w:rPr>
          <w:b/>
          <w:szCs w:val="22"/>
        </w:rPr>
        <w:t>μεταβληθείσα</w:t>
      </w:r>
      <w:r w:rsidRPr="006756E8">
        <w:rPr>
          <w:b/>
          <w:szCs w:val="22"/>
        </w:rPr>
        <w:t xml:space="preserve"> νεφρική λειτουργία</w:t>
      </w:r>
    </w:p>
    <w:p w:rsidR="008D5A82" w:rsidRPr="006756E8" w:rsidRDefault="00B222D5" w:rsidP="0031570A">
      <w:pPr>
        <w:tabs>
          <w:tab w:val="left" w:pos="567"/>
        </w:tabs>
        <w:autoSpaceDE w:val="0"/>
        <w:autoSpaceDN w:val="0"/>
        <w:adjustRightInd w:val="0"/>
        <w:rPr>
          <w:szCs w:val="22"/>
        </w:rPr>
      </w:pPr>
      <w:r w:rsidRPr="006756E8">
        <w:rPr>
          <w:szCs w:val="22"/>
        </w:rPr>
        <w:t xml:space="preserve">Καθώς η απέκκριση στα ούρα είναι η πρωταρχική οδός </w:t>
      </w:r>
      <w:r w:rsidR="00A02215">
        <w:rPr>
          <w:szCs w:val="22"/>
        </w:rPr>
        <w:t>αποβολής</w:t>
      </w:r>
      <w:r w:rsidRPr="006756E8">
        <w:rPr>
          <w:szCs w:val="22"/>
        </w:rPr>
        <w:t xml:space="preserve"> της κεφεπίμης στα παιδιά (</w:t>
      </w:r>
      <w:r w:rsidR="00DD58E1" w:rsidRPr="006756E8">
        <w:rPr>
          <w:szCs w:val="22"/>
        </w:rPr>
        <w:t>βλ</w:t>
      </w:r>
      <w:r w:rsidR="00A02215">
        <w:rPr>
          <w:szCs w:val="22"/>
        </w:rPr>
        <w:t>έπε</w:t>
      </w:r>
      <w:r w:rsidR="00DD58E1" w:rsidRPr="006756E8">
        <w:rPr>
          <w:szCs w:val="22"/>
        </w:rPr>
        <w:t xml:space="preserve"> παράγραφο</w:t>
      </w:r>
      <w:r w:rsidRPr="006756E8">
        <w:rPr>
          <w:szCs w:val="22"/>
        </w:rPr>
        <w:t xml:space="preserve"> </w:t>
      </w:r>
      <w:r w:rsidR="00DD58E1" w:rsidRPr="006756E8">
        <w:rPr>
          <w:szCs w:val="22"/>
        </w:rPr>
        <w:t>5.2</w:t>
      </w:r>
      <w:r w:rsidR="008D5A82" w:rsidRPr="006756E8">
        <w:rPr>
          <w:szCs w:val="22"/>
        </w:rPr>
        <w:t xml:space="preserve">), </w:t>
      </w:r>
      <w:r w:rsidRPr="006756E8">
        <w:rPr>
          <w:szCs w:val="22"/>
        </w:rPr>
        <w:t xml:space="preserve">η προσαρμογή της δόσης </w:t>
      </w:r>
      <w:r w:rsidR="00DD58E1" w:rsidRPr="006756E8">
        <w:rPr>
          <w:szCs w:val="22"/>
        </w:rPr>
        <w:t xml:space="preserve">της </w:t>
      </w:r>
      <w:r w:rsidRPr="006756E8">
        <w:rPr>
          <w:szCs w:val="22"/>
        </w:rPr>
        <w:t xml:space="preserve">κεφεπίμης </w:t>
      </w:r>
      <w:r w:rsidR="00DD495C" w:rsidRPr="006756E8">
        <w:rPr>
          <w:szCs w:val="22"/>
        </w:rPr>
        <w:t xml:space="preserve">πρέπει να εξετάζεται σε ασθενείς κάτω των 12 ετών με </w:t>
      </w:r>
      <w:r w:rsidR="009B03BC">
        <w:rPr>
          <w:szCs w:val="22"/>
        </w:rPr>
        <w:t>μεταβληθείσα</w:t>
      </w:r>
      <w:r w:rsidR="00DD495C" w:rsidRPr="006756E8">
        <w:rPr>
          <w:szCs w:val="22"/>
        </w:rPr>
        <w:t xml:space="preserve"> νεφρική λειτουργία.</w:t>
      </w:r>
    </w:p>
    <w:p w:rsidR="008D5A82" w:rsidRPr="006756E8" w:rsidRDefault="008D5A82" w:rsidP="0031570A">
      <w:pPr>
        <w:tabs>
          <w:tab w:val="left" w:pos="567"/>
        </w:tabs>
        <w:autoSpaceDE w:val="0"/>
        <w:autoSpaceDN w:val="0"/>
        <w:adjustRightInd w:val="0"/>
        <w:rPr>
          <w:szCs w:val="22"/>
        </w:rPr>
      </w:pPr>
    </w:p>
    <w:p w:rsidR="008D5A82" w:rsidRPr="006756E8" w:rsidRDefault="00DD495C" w:rsidP="0031570A">
      <w:pPr>
        <w:tabs>
          <w:tab w:val="left" w:pos="567"/>
        </w:tabs>
        <w:autoSpaceDE w:val="0"/>
        <w:autoSpaceDN w:val="0"/>
        <w:adjustRightInd w:val="0"/>
        <w:rPr>
          <w:szCs w:val="22"/>
        </w:rPr>
      </w:pPr>
      <w:r w:rsidRPr="006756E8">
        <w:rPr>
          <w:szCs w:val="22"/>
        </w:rPr>
        <w:t xml:space="preserve">Κλινικά δεδομένα σε αυτήν την </w:t>
      </w:r>
      <w:r w:rsidR="008A0255" w:rsidRPr="006756E8">
        <w:rPr>
          <w:szCs w:val="22"/>
        </w:rPr>
        <w:t>ομάδα</w:t>
      </w:r>
      <w:r w:rsidRPr="006756E8">
        <w:rPr>
          <w:szCs w:val="22"/>
        </w:rPr>
        <w:t xml:space="preserve"> ασθενών δεν </w:t>
      </w:r>
      <w:r w:rsidR="004B2D99" w:rsidRPr="006756E8">
        <w:rPr>
          <w:szCs w:val="22"/>
        </w:rPr>
        <w:t xml:space="preserve">είναι διαθέσιμα, ωστόσο καθώς οι </w:t>
      </w:r>
      <w:r w:rsidR="00885412" w:rsidRPr="006756E8">
        <w:rPr>
          <w:szCs w:val="22"/>
        </w:rPr>
        <w:t>φαρμακοκινητική</w:t>
      </w:r>
      <w:r w:rsidR="004B2D99" w:rsidRPr="006756E8">
        <w:rPr>
          <w:szCs w:val="22"/>
        </w:rPr>
        <w:t xml:space="preserve"> της κεφεπίμης είναι συγκρ</w:t>
      </w:r>
      <w:r w:rsidR="006A7316" w:rsidRPr="006756E8">
        <w:rPr>
          <w:szCs w:val="22"/>
        </w:rPr>
        <w:t>ί</w:t>
      </w:r>
      <w:r w:rsidR="00885412" w:rsidRPr="006756E8">
        <w:rPr>
          <w:szCs w:val="22"/>
        </w:rPr>
        <w:t>σιμη</w:t>
      </w:r>
      <w:r w:rsidR="004B2D99" w:rsidRPr="006756E8">
        <w:rPr>
          <w:szCs w:val="22"/>
        </w:rPr>
        <w:t xml:space="preserve"> σε </w:t>
      </w:r>
      <w:r w:rsidR="00885412" w:rsidRPr="006756E8">
        <w:rPr>
          <w:szCs w:val="22"/>
        </w:rPr>
        <w:t>παιδιά</w:t>
      </w:r>
      <w:r w:rsidR="004B2D99" w:rsidRPr="006756E8">
        <w:rPr>
          <w:szCs w:val="22"/>
        </w:rPr>
        <w:t xml:space="preserve"> και ενήλικες ασθενείς (</w:t>
      </w:r>
      <w:r w:rsidR="008A0255" w:rsidRPr="006756E8">
        <w:rPr>
          <w:szCs w:val="22"/>
        </w:rPr>
        <w:t>βλ</w:t>
      </w:r>
      <w:r w:rsidR="00A02215">
        <w:rPr>
          <w:szCs w:val="22"/>
        </w:rPr>
        <w:t>έπε</w:t>
      </w:r>
      <w:r w:rsidR="008A0255" w:rsidRPr="006756E8">
        <w:rPr>
          <w:szCs w:val="22"/>
        </w:rPr>
        <w:t xml:space="preserve"> παράγραφο 5.2</w:t>
      </w:r>
      <w:r w:rsidR="004B2D99" w:rsidRPr="006756E8">
        <w:rPr>
          <w:szCs w:val="22"/>
        </w:rPr>
        <w:t>), μεταβολές στα δοσολογικά σχήματα</w:t>
      </w:r>
      <w:r w:rsidR="006A7316" w:rsidRPr="006756E8">
        <w:rPr>
          <w:szCs w:val="22"/>
        </w:rPr>
        <w:t xml:space="preserve"> παρόμοιες με αυτές των ενηλίκων συνιστώνται </w:t>
      </w:r>
      <w:r w:rsidR="009076E2">
        <w:rPr>
          <w:szCs w:val="22"/>
        </w:rPr>
        <w:t>για τα</w:t>
      </w:r>
      <w:r w:rsidR="009076E2" w:rsidRPr="006756E8">
        <w:rPr>
          <w:szCs w:val="22"/>
        </w:rPr>
        <w:t xml:space="preserve"> </w:t>
      </w:r>
      <w:r w:rsidR="00885412" w:rsidRPr="006756E8">
        <w:rPr>
          <w:szCs w:val="22"/>
        </w:rPr>
        <w:t>παιδιά</w:t>
      </w:r>
      <w:r w:rsidR="006A7316" w:rsidRPr="006756E8">
        <w:rPr>
          <w:szCs w:val="22"/>
        </w:rPr>
        <w:t>.</w:t>
      </w:r>
    </w:p>
    <w:p w:rsidR="00885412" w:rsidRPr="006756E8" w:rsidRDefault="00885412" w:rsidP="0031570A">
      <w:pPr>
        <w:tabs>
          <w:tab w:val="left" w:pos="567"/>
        </w:tabs>
        <w:autoSpaceDE w:val="0"/>
        <w:autoSpaceDN w:val="0"/>
        <w:adjustRightInd w:val="0"/>
        <w:rPr>
          <w:szCs w:val="22"/>
        </w:rPr>
      </w:pPr>
    </w:p>
    <w:p w:rsidR="008D5A82" w:rsidRPr="006756E8" w:rsidRDefault="006A7316" w:rsidP="0031570A">
      <w:pPr>
        <w:tabs>
          <w:tab w:val="left" w:pos="567"/>
        </w:tabs>
        <w:autoSpaceDE w:val="0"/>
        <w:autoSpaceDN w:val="0"/>
        <w:adjustRightInd w:val="0"/>
        <w:rPr>
          <w:szCs w:val="22"/>
        </w:rPr>
      </w:pPr>
      <w:r w:rsidRPr="006756E8">
        <w:rPr>
          <w:szCs w:val="22"/>
        </w:rPr>
        <w:t>Μ</w:t>
      </w:r>
      <w:r w:rsidR="00BB2274">
        <w:rPr>
          <w:szCs w:val="22"/>
        </w:rPr>
        <w:t>ί</w:t>
      </w:r>
      <w:r w:rsidRPr="006756E8">
        <w:rPr>
          <w:szCs w:val="22"/>
        </w:rPr>
        <w:t xml:space="preserve">α δόση των </w:t>
      </w:r>
      <w:r w:rsidR="008D5A82" w:rsidRPr="006756E8">
        <w:rPr>
          <w:szCs w:val="22"/>
        </w:rPr>
        <w:t>50</w:t>
      </w:r>
      <w:r w:rsidR="00BB2274">
        <w:rPr>
          <w:szCs w:val="22"/>
        </w:rPr>
        <w:t> </w:t>
      </w:r>
      <w:r w:rsidR="008D5A82" w:rsidRPr="006756E8">
        <w:rPr>
          <w:szCs w:val="22"/>
          <w:lang w:val="en-GB"/>
        </w:rPr>
        <w:t>mg</w:t>
      </w:r>
      <w:r w:rsidR="008D5A82" w:rsidRPr="006756E8">
        <w:rPr>
          <w:szCs w:val="22"/>
        </w:rPr>
        <w:t>/</w:t>
      </w:r>
      <w:r w:rsidR="008D5A82" w:rsidRPr="006756E8">
        <w:rPr>
          <w:szCs w:val="22"/>
          <w:lang w:val="en-GB"/>
        </w:rPr>
        <w:t>kg</w:t>
      </w:r>
      <w:r w:rsidR="008D5A82" w:rsidRPr="006756E8">
        <w:rPr>
          <w:szCs w:val="22"/>
        </w:rPr>
        <w:t xml:space="preserve"> </w:t>
      </w:r>
      <w:r w:rsidRPr="006756E8">
        <w:rPr>
          <w:szCs w:val="22"/>
        </w:rPr>
        <w:t>για ασθενείς μεταξύ 2 μηνών και 12 ετών και μ</w:t>
      </w:r>
      <w:r w:rsidR="009B03BC">
        <w:rPr>
          <w:szCs w:val="22"/>
        </w:rPr>
        <w:t>ί</w:t>
      </w:r>
      <w:r w:rsidRPr="006756E8">
        <w:rPr>
          <w:szCs w:val="22"/>
        </w:rPr>
        <w:t xml:space="preserve">α δόση </w:t>
      </w:r>
      <w:r w:rsidR="008D5A82" w:rsidRPr="006756E8">
        <w:rPr>
          <w:szCs w:val="22"/>
        </w:rPr>
        <w:t>30</w:t>
      </w:r>
      <w:r w:rsidR="009B03BC">
        <w:rPr>
          <w:szCs w:val="22"/>
        </w:rPr>
        <w:t> </w:t>
      </w:r>
      <w:r w:rsidR="008D5A82" w:rsidRPr="006756E8">
        <w:rPr>
          <w:szCs w:val="22"/>
          <w:lang w:val="en-GB"/>
        </w:rPr>
        <w:t>mg</w:t>
      </w:r>
      <w:r w:rsidR="008D5A82" w:rsidRPr="006756E8">
        <w:rPr>
          <w:szCs w:val="22"/>
        </w:rPr>
        <w:t>/</w:t>
      </w:r>
      <w:r w:rsidR="008D5A82" w:rsidRPr="006756E8">
        <w:rPr>
          <w:szCs w:val="22"/>
          <w:lang w:val="en-GB"/>
        </w:rPr>
        <w:t>kg</w:t>
      </w:r>
      <w:r w:rsidR="008D5A82" w:rsidRPr="006756E8">
        <w:rPr>
          <w:szCs w:val="22"/>
        </w:rPr>
        <w:t xml:space="preserve"> </w:t>
      </w:r>
      <w:r w:rsidRPr="006756E8">
        <w:rPr>
          <w:szCs w:val="22"/>
        </w:rPr>
        <w:t xml:space="preserve">για </w:t>
      </w:r>
      <w:r w:rsidR="001C2A73" w:rsidRPr="006756E8">
        <w:rPr>
          <w:szCs w:val="22"/>
        </w:rPr>
        <w:lastRenderedPageBreak/>
        <w:t>βρέφη</w:t>
      </w:r>
      <w:r w:rsidRPr="006756E8">
        <w:rPr>
          <w:szCs w:val="22"/>
        </w:rPr>
        <w:t xml:space="preserve"> ηλικίας 1 έως 2 μηνών είναι συγκρίσιμες με μ</w:t>
      </w:r>
      <w:r w:rsidR="009B03BC">
        <w:rPr>
          <w:szCs w:val="22"/>
        </w:rPr>
        <w:t>ί</w:t>
      </w:r>
      <w:r w:rsidRPr="006756E8">
        <w:rPr>
          <w:szCs w:val="22"/>
        </w:rPr>
        <w:t>α δόση των 2</w:t>
      </w:r>
      <w:r w:rsidR="009B03BC">
        <w:rPr>
          <w:szCs w:val="22"/>
        </w:rPr>
        <w:t> </w:t>
      </w:r>
      <w:r w:rsidR="008D5A82" w:rsidRPr="006756E8">
        <w:rPr>
          <w:szCs w:val="22"/>
          <w:lang w:val="en-GB"/>
        </w:rPr>
        <w:t>g</w:t>
      </w:r>
      <w:r w:rsidRPr="006756E8">
        <w:rPr>
          <w:szCs w:val="22"/>
        </w:rPr>
        <w:t xml:space="preserve"> σε ενήλικες</w:t>
      </w:r>
      <w:r w:rsidR="008D5A82" w:rsidRPr="006756E8">
        <w:rPr>
          <w:szCs w:val="22"/>
        </w:rPr>
        <w:t xml:space="preserve">. </w:t>
      </w:r>
      <w:r w:rsidRPr="006756E8">
        <w:rPr>
          <w:szCs w:val="22"/>
        </w:rPr>
        <w:t xml:space="preserve">Εφαρμόζεται η ίδια </w:t>
      </w:r>
      <w:r w:rsidR="009B03BC">
        <w:rPr>
          <w:szCs w:val="22"/>
        </w:rPr>
        <w:t>παράταση</w:t>
      </w:r>
      <w:r w:rsidRPr="006756E8">
        <w:rPr>
          <w:szCs w:val="22"/>
        </w:rPr>
        <w:t xml:space="preserve"> των ενδιάμεσων χρονικών διαστημάτων μεταξύ των δόσεων και/ή η ίδια μείωση </w:t>
      </w:r>
      <w:r w:rsidR="001C2A73" w:rsidRPr="006756E8">
        <w:rPr>
          <w:szCs w:val="22"/>
        </w:rPr>
        <w:t xml:space="preserve">δόσης </w:t>
      </w:r>
      <w:r w:rsidRPr="006756E8">
        <w:rPr>
          <w:szCs w:val="22"/>
        </w:rPr>
        <w:t>που συνιστάται στον παραπάνω πίνακα.</w:t>
      </w:r>
    </w:p>
    <w:p w:rsidR="008D5A82" w:rsidRPr="006756E8" w:rsidRDefault="006A7316" w:rsidP="0031570A">
      <w:pPr>
        <w:tabs>
          <w:tab w:val="left" w:pos="567"/>
        </w:tabs>
        <w:autoSpaceDE w:val="0"/>
        <w:autoSpaceDN w:val="0"/>
        <w:adjustRightInd w:val="0"/>
        <w:rPr>
          <w:szCs w:val="22"/>
        </w:rPr>
      </w:pPr>
      <w:r w:rsidRPr="006756E8">
        <w:rPr>
          <w:szCs w:val="22"/>
        </w:rPr>
        <w:t>Εάν μόνον το επίπεδο της κρεατινίνης είναι διαθέσιμο, η κάθαρση της κρεατινίνης μπορεί να προσδιοριστεί χρησιμοποιώντας μ</w:t>
      </w:r>
      <w:r w:rsidR="009B03BC">
        <w:rPr>
          <w:szCs w:val="22"/>
        </w:rPr>
        <w:t>ί</w:t>
      </w:r>
      <w:r w:rsidRPr="006756E8">
        <w:rPr>
          <w:szCs w:val="22"/>
        </w:rPr>
        <w:t>α από τις παρακάτω μεθόδους</w:t>
      </w:r>
      <w:r w:rsidR="008D5A82" w:rsidRPr="006756E8">
        <w:rPr>
          <w:szCs w:val="22"/>
        </w:rPr>
        <w:t xml:space="preserve">: </w:t>
      </w:r>
    </w:p>
    <w:p w:rsidR="008D5A82" w:rsidRPr="006756E8" w:rsidRDefault="008D5A82" w:rsidP="0031570A">
      <w:pPr>
        <w:tabs>
          <w:tab w:val="left" w:pos="567"/>
        </w:tabs>
        <w:autoSpaceDE w:val="0"/>
        <w:autoSpaceDN w:val="0"/>
        <w:adjustRightInd w:val="0"/>
        <w:rPr>
          <w:szCs w:val="22"/>
        </w:rPr>
      </w:pPr>
    </w:p>
    <w:p w:rsidR="008D5A82" w:rsidRPr="006756E8" w:rsidRDefault="006A7316" w:rsidP="0031570A">
      <w:pPr>
        <w:tabs>
          <w:tab w:val="left" w:pos="567"/>
        </w:tabs>
        <w:autoSpaceDE w:val="0"/>
        <w:autoSpaceDN w:val="0"/>
        <w:adjustRightInd w:val="0"/>
        <w:rPr>
          <w:szCs w:val="22"/>
        </w:rPr>
      </w:pPr>
      <w:r w:rsidRPr="006756E8">
        <w:rPr>
          <w:szCs w:val="22"/>
        </w:rPr>
        <w:t>Κάθαρση κρεατινίνης</w:t>
      </w:r>
      <w:r w:rsidR="008D5A82" w:rsidRPr="006756E8">
        <w:rPr>
          <w:szCs w:val="22"/>
        </w:rPr>
        <w:t xml:space="preserve"> (</w:t>
      </w:r>
      <w:r w:rsidR="008D5A82" w:rsidRPr="006756E8">
        <w:rPr>
          <w:szCs w:val="22"/>
          <w:lang w:val="en-GB"/>
        </w:rPr>
        <w:t>ml</w:t>
      </w:r>
      <w:r w:rsidR="008D5A82" w:rsidRPr="006756E8">
        <w:rPr>
          <w:szCs w:val="22"/>
        </w:rPr>
        <w:t>/</w:t>
      </w:r>
      <w:r w:rsidR="008D5A82" w:rsidRPr="006756E8">
        <w:rPr>
          <w:szCs w:val="22"/>
          <w:lang w:val="en-GB"/>
        </w:rPr>
        <w:t>min</w:t>
      </w:r>
      <w:r w:rsidR="008D5A82" w:rsidRPr="006756E8">
        <w:rPr>
          <w:szCs w:val="22"/>
        </w:rPr>
        <w:t>/1</w:t>
      </w:r>
      <w:r w:rsidR="009B03BC">
        <w:rPr>
          <w:szCs w:val="22"/>
        </w:rPr>
        <w:t>,</w:t>
      </w:r>
      <w:r w:rsidR="008D5A82" w:rsidRPr="006756E8">
        <w:rPr>
          <w:szCs w:val="22"/>
        </w:rPr>
        <w:t xml:space="preserve">73 </w:t>
      </w:r>
      <w:r w:rsidR="008D5A82" w:rsidRPr="006756E8">
        <w:rPr>
          <w:szCs w:val="22"/>
          <w:lang w:val="en-GB"/>
        </w:rPr>
        <w:t>m</w:t>
      </w:r>
      <w:r w:rsidR="008D5A82" w:rsidRPr="006756E8">
        <w:rPr>
          <w:szCs w:val="22"/>
        </w:rPr>
        <w:t xml:space="preserve">²) = </w:t>
      </w:r>
      <w:r w:rsidR="008D5A82" w:rsidRPr="006756E8">
        <w:rPr>
          <w:szCs w:val="22"/>
        </w:rPr>
        <w:tab/>
      </w:r>
      <w:r w:rsidR="008D5A82" w:rsidRPr="006756E8">
        <w:rPr>
          <w:szCs w:val="22"/>
          <w:u w:val="single"/>
        </w:rPr>
        <w:t>0</w:t>
      </w:r>
      <w:r w:rsidR="009B03BC">
        <w:rPr>
          <w:szCs w:val="22"/>
          <w:u w:val="single"/>
        </w:rPr>
        <w:t>,</w:t>
      </w:r>
      <w:r w:rsidR="008D5A82" w:rsidRPr="006756E8">
        <w:rPr>
          <w:szCs w:val="22"/>
          <w:u w:val="single"/>
        </w:rPr>
        <w:t xml:space="preserve">55 </w:t>
      </w:r>
      <w:r w:rsidR="008D5A82" w:rsidRPr="006756E8">
        <w:rPr>
          <w:szCs w:val="22"/>
          <w:u w:val="single"/>
          <w:lang w:val="en-GB"/>
        </w:rPr>
        <w:t>x</w:t>
      </w:r>
      <w:r w:rsidR="008D5A82" w:rsidRPr="006756E8">
        <w:rPr>
          <w:szCs w:val="22"/>
          <w:u w:val="single"/>
        </w:rPr>
        <w:t xml:space="preserve"> </w:t>
      </w:r>
      <w:r w:rsidRPr="006756E8">
        <w:rPr>
          <w:szCs w:val="22"/>
          <w:u w:val="single"/>
        </w:rPr>
        <w:t>ύψος</w:t>
      </w:r>
      <w:r w:rsidR="008D5A82" w:rsidRPr="006756E8">
        <w:rPr>
          <w:szCs w:val="22"/>
          <w:u w:val="single"/>
        </w:rPr>
        <w:t xml:space="preserve"> (</w:t>
      </w:r>
      <w:r w:rsidR="008D5A82" w:rsidRPr="006756E8">
        <w:rPr>
          <w:szCs w:val="22"/>
          <w:u w:val="single"/>
          <w:lang w:val="en-GB"/>
        </w:rPr>
        <w:t>cm</w:t>
      </w:r>
      <w:r w:rsidR="008D5A82" w:rsidRPr="006756E8">
        <w:rPr>
          <w:szCs w:val="22"/>
          <w:u w:val="single"/>
        </w:rPr>
        <w:t xml:space="preserve">) </w:t>
      </w:r>
    </w:p>
    <w:p w:rsidR="008D5A82" w:rsidRPr="006756E8" w:rsidRDefault="006A7316" w:rsidP="0031570A">
      <w:pPr>
        <w:tabs>
          <w:tab w:val="left" w:pos="567"/>
        </w:tabs>
        <w:autoSpaceDE w:val="0"/>
        <w:autoSpaceDN w:val="0"/>
        <w:adjustRightInd w:val="0"/>
        <w:ind w:left="3540" w:firstLine="708"/>
        <w:rPr>
          <w:szCs w:val="22"/>
        </w:rPr>
      </w:pPr>
      <w:r w:rsidRPr="006756E8">
        <w:rPr>
          <w:szCs w:val="22"/>
        </w:rPr>
        <w:t>Κρεατινίνη ορού</w:t>
      </w:r>
      <w:r w:rsidR="008D5A82" w:rsidRPr="006756E8">
        <w:rPr>
          <w:szCs w:val="22"/>
        </w:rPr>
        <w:t xml:space="preserve"> (</w:t>
      </w:r>
      <w:r w:rsidR="008D5A82" w:rsidRPr="006756E8">
        <w:rPr>
          <w:szCs w:val="22"/>
          <w:lang w:val="en-GB"/>
        </w:rPr>
        <w:t>mg</w:t>
      </w:r>
      <w:r w:rsidR="008D5A82" w:rsidRPr="006756E8">
        <w:rPr>
          <w:szCs w:val="22"/>
        </w:rPr>
        <w:t>/</w:t>
      </w:r>
      <w:r w:rsidR="008D5A82" w:rsidRPr="006756E8">
        <w:rPr>
          <w:szCs w:val="22"/>
          <w:lang w:val="en-GB"/>
        </w:rPr>
        <w:t>dl</w:t>
      </w:r>
      <w:r w:rsidR="008D5A82" w:rsidRPr="006756E8">
        <w:rPr>
          <w:szCs w:val="22"/>
        </w:rPr>
        <w:t xml:space="preserve">) </w:t>
      </w:r>
    </w:p>
    <w:p w:rsidR="008D5A82" w:rsidRPr="006756E8" w:rsidRDefault="006A7316" w:rsidP="0031570A">
      <w:pPr>
        <w:tabs>
          <w:tab w:val="left" w:pos="567"/>
        </w:tabs>
        <w:autoSpaceDE w:val="0"/>
        <w:autoSpaceDN w:val="0"/>
        <w:adjustRightInd w:val="0"/>
        <w:rPr>
          <w:szCs w:val="22"/>
        </w:rPr>
      </w:pPr>
      <w:r w:rsidRPr="006756E8">
        <w:rPr>
          <w:szCs w:val="22"/>
        </w:rPr>
        <w:t>ή</w:t>
      </w:r>
    </w:p>
    <w:p w:rsidR="008D5A82" w:rsidRPr="006756E8" w:rsidRDefault="008D5A82" w:rsidP="0031570A">
      <w:pPr>
        <w:tabs>
          <w:tab w:val="left" w:pos="567"/>
        </w:tabs>
        <w:autoSpaceDE w:val="0"/>
        <w:autoSpaceDN w:val="0"/>
        <w:adjustRightInd w:val="0"/>
        <w:rPr>
          <w:szCs w:val="22"/>
        </w:rPr>
      </w:pPr>
    </w:p>
    <w:p w:rsidR="008D5A82" w:rsidRPr="006756E8" w:rsidRDefault="006A7316" w:rsidP="0031570A">
      <w:pPr>
        <w:tabs>
          <w:tab w:val="left" w:pos="567"/>
        </w:tabs>
        <w:autoSpaceDE w:val="0"/>
        <w:autoSpaceDN w:val="0"/>
        <w:adjustRightInd w:val="0"/>
        <w:rPr>
          <w:szCs w:val="22"/>
        </w:rPr>
      </w:pPr>
      <w:r w:rsidRPr="006756E8">
        <w:rPr>
          <w:szCs w:val="22"/>
        </w:rPr>
        <w:t xml:space="preserve">Κάθαρση κρεατινίνης </w:t>
      </w:r>
      <w:r w:rsidR="008D5A82" w:rsidRPr="006756E8">
        <w:rPr>
          <w:szCs w:val="22"/>
        </w:rPr>
        <w:t>(</w:t>
      </w:r>
      <w:r w:rsidR="008D5A82" w:rsidRPr="006756E8">
        <w:rPr>
          <w:szCs w:val="22"/>
          <w:lang w:val="en-GB"/>
        </w:rPr>
        <w:t>ml</w:t>
      </w:r>
      <w:r w:rsidR="008D5A82" w:rsidRPr="006756E8">
        <w:rPr>
          <w:szCs w:val="22"/>
        </w:rPr>
        <w:t>/</w:t>
      </w:r>
      <w:r w:rsidR="008D5A82" w:rsidRPr="006756E8">
        <w:rPr>
          <w:szCs w:val="22"/>
          <w:lang w:val="en-GB"/>
        </w:rPr>
        <w:t>min</w:t>
      </w:r>
      <w:r w:rsidR="008D5A82" w:rsidRPr="006756E8">
        <w:rPr>
          <w:szCs w:val="22"/>
        </w:rPr>
        <w:t>/1</w:t>
      </w:r>
      <w:r w:rsidR="009B03BC">
        <w:rPr>
          <w:szCs w:val="22"/>
        </w:rPr>
        <w:t>,</w:t>
      </w:r>
      <w:r w:rsidR="008D5A82" w:rsidRPr="006756E8">
        <w:rPr>
          <w:szCs w:val="22"/>
        </w:rPr>
        <w:t xml:space="preserve">73 </w:t>
      </w:r>
      <w:r w:rsidR="008D5A82" w:rsidRPr="006756E8">
        <w:rPr>
          <w:szCs w:val="22"/>
          <w:lang w:val="en-GB"/>
        </w:rPr>
        <w:t>m</w:t>
      </w:r>
      <w:r w:rsidR="008D5A82" w:rsidRPr="006756E8">
        <w:rPr>
          <w:szCs w:val="22"/>
        </w:rPr>
        <w:t xml:space="preserve">²) = </w:t>
      </w:r>
      <w:r w:rsidR="008D5A82" w:rsidRPr="006756E8">
        <w:rPr>
          <w:szCs w:val="22"/>
        </w:rPr>
        <w:tab/>
      </w:r>
      <w:r w:rsidR="008D5A82" w:rsidRPr="006756E8">
        <w:rPr>
          <w:szCs w:val="22"/>
          <w:u w:val="single"/>
        </w:rPr>
        <w:t>0</w:t>
      </w:r>
      <w:r w:rsidR="009B03BC">
        <w:rPr>
          <w:szCs w:val="22"/>
          <w:u w:val="single"/>
        </w:rPr>
        <w:t>,</w:t>
      </w:r>
      <w:r w:rsidR="008D5A82" w:rsidRPr="006756E8">
        <w:rPr>
          <w:szCs w:val="22"/>
          <w:u w:val="single"/>
        </w:rPr>
        <w:t xml:space="preserve">52 </w:t>
      </w:r>
      <w:r w:rsidR="008D5A82" w:rsidRPr="006756E8">
        <w:rPr>
          <w:szCs w:val="22"/>
          <w:u w:val="single"/>
          <w:lang w:val="en-GB"/>
        </w:rPr>
        <w:t>x</w:t>
      </w:r>
      <w:r w:rsidR="008D5A82" w:rsidRPr="006756E8">
        <w:rPr>
          <w:szCs w:val="22"/>
          <w:u w:val="single"/>
        </w:rPr>
        <w:t xml:space="preserve"> </w:t>
      </w:r>
      <w:r w:rsidRPr="006756E8">
        <w:rPr>
          <w:szCs w:val="22"/>
          <w:u w:val="single"/>
        </w:rPr>
        <w:t xml:space="preserve">ύψος </w:t>
      </w:r>
      <w:r w:rsidR="008D5A82" w:rsidRPr="006756E8">
        <w:rPr>
          <w:szCs w:val="22"/>
          <w:u w:val="single"/>
        </w:rPr>
        <w:t>(</w:t>
      </w:r>
      <w:r w:rsidR="008D5A82" w:rsidRPr="006756E8">
        <w:rPr>
          <w:szCs w:val="22"/>
          <w:u w:val="single"/>
          <w:lang w:val="en-GB"/>
        </w:rPr>
        <w:t>cm</w:t>
      </w:r>
      <w:r w:rsidR="008D5A82" w:rsidRPr="006756E8">
        <w:rPr>
          <w:szCs w:val="22"/>
          <w:u w:val="single"/>
        </w:rPr>
        <w:t>) – 3</w:t>
      </w:r>
      <w:r w:rsidR="009B03BC">
        <w:rPr>
          <w:szCs w:val="22"/>
          <w:u w:val="single"/>
        </w:rPr>
        <w:t>,</w:t>
      </w:r>
      <w:r w:rsidR="008D5A82" w:rsidRPr="006756E8">
        <w:rPr>
          <w:szCs w:val="22"/>
          <w:u w:val="single"/>
        </w:rPr>
        <w:t xml:space="preserve">6 </w:t>
      </w:r>
    </w:p>
    <w:p w:rsidR="008D5A82" w:rsidRPr="006756E8" w:rsidRDefault="006A7316" w:rsidP="0031570A">
      <w:pPr>
        <w:tabs>
          <w:tab w:val="left" w:pos="567"/>
        </w:tabs>
        <w:autoSpaceDE w:val="0"/>
        <w:autoSpaceDN w:val="0"/>
        <w:adjustRightInd w:val="0"/>
        <w:ind w:left="3540" w:firstLine="708"/>
        <w:rPr>
          <w:szCs w:val="22"/>
        </w:rPr>
      </w:pPr>
      <w:r w:rsidRPr="006756E8">
        <w:rPr>
          <w:szCs w:val="22"/>
        </w:rPr>
        <w:t xml:space="preserve">Κρεατινίνη ορού </w:t>
      </w:r>
      <w:r w:rsidR="008D5A82" w:rsidRPr="006756E8">
        <w:rPr>
          <w:szCs w:val="22"/>
        </w:rPr>
        <w:t>(</w:t>
      </w:r>
      <w:r w:rsidR="008D5A82" w:rsidRPr="006756E8">
        <w:rPr>
          <w:szCs w:val="22"/>
          <w:lang w:val="en-GB"/>
        </w:rPr>
        <w:t>mg</w:t>
      </w:r>
      <w:r w:rsidR="008D5A82" w:rsidRPr="006756E8">
        <w:rPr>
          <w:szCs w:val="22"/>
        </w:rPr>
        <w:t>/</w:t>
      </w:r>
      <w:r w:rsidR="008D5A82" w:rsidRPr="006756E8">
        <w:rPr>
          <w:szCs w:val="22"/>
          <w:lang w:val="en-GB"/>
        </w:rPr>
        <w:t>dl</w:t>
      </w:r>
      <w:r w:rsidR="008D5A82" w:rsidRPr="006756E8">
        <w:rPr>
          <w:szCs w:val="22"/>
        </w:rPr>
        <w:t xml:space="preserve">) </w:t>
      </w:r>
    </w:p>
    <w:p w:rsidR="008D5A82" w:rsidRPr="006756E8" w:rsidRDefault="008D5A82" w:rsidP="0031570A">
      <w:pPr>
        <w:tabs>
          <w:tab w:val="left" w:pos="567"/>
        </w:tabs>
        <w:autoSpaceDE w:val="0"/>
        <w:autoSpaceDN w:val="0"/>
        <w:adjustRightInd w:val="0"/>
        <w:rPr>
          <w:b/>
          <w:szCs w:val="22"/>
        </w:rPr>
      </w:pPr>
    </w:p>
    <w:p w:rsidR="008D5A82" w:rsidRPr="006756E8" w:rsidRDefault="009B03BC" w:rsidP="0031570A">
      <w:pPr>
        <w:tabs>
          <w:tab w:val="left" w:pos="567"/>
        </w:tabs>
        <w:autoSpaceDE w:val="0"/>
        <w:autoSpaceDN w:val="0"/>
        <w:adjustRightInd w:val="0"/>
        <w:rPr>
          <w:b/>
          <w:szCs w:val="22"/>
        </w:rPr>
      </w:pPr>
      <w:r>
        <w:rPr>
          <w:b/>
          <w:szCs w:val="22"/>
        </w:rPr>
        <w:t>Μεταβληθείσα</w:t>
      </w:r>
      <w:r w:rsidR="000F012F" w:rsidRPr="006756E8">
        <w:rPr>
          <w:b/>
          <w:szCs w:val="22"/>
        </w:rPr>
        <w:t xml:space="preserve"> ηπατική λειτουργία</w:t>
      </w:r>
    </w:p>
    <w:p w:rsidR="008D5A82" w:rsidRPr="006756E8" w:rsidRDefault="006A7316" w:rsidP="0031570A">
      <w:pPr>
        <w:tabs>
          <w:tab w:val="left" w:pos="567"/>
        </w:tabs>
        <w:autoSpaceDE w:val="0"/>
        <w:autoSpaceDN w:val="0"/>
        <w:adjustRightInd w:val="0"/>
        <w:rPr>
          <w:szCs w:val="22"/>
        </w:rPr>
      </w:pPr>
      <w:r w:rsidRPr="006756E8">
        <w:rPr>
          <w:szCs w:val="22"/>
        </w:rPr>
        <w:t xml:space="preserve">Δεν απαιτείται προσαρμογή της δόσης σε ασθενείς με </w:t>
      </w:r>
      <w:r w:rsidR="009B03BC">
        <w:rPr>
          <w:szCs w:val="22"/>
        </w:rPr>
        <w:t>μεταβληθείσα</w:t>
      </w:r>
      <w:r w:rsidR="00985630" w:rsidRPr="006756E8">
        <w:rPr>
          <w:szCs w:val="22"/>
        </w:rPr>
        <w:t xml:space="preserve"> ηπατική λειτουργία</w:t>
      </w:r>
      <w:r w:rsidR="009B03BC">
        <w:rPr>
          <w:szCs w:val="22"/>
        </w:rPr>
        <w:t>.</w:t>
      </w:r>
    </w:p>
    <w:p w:rsidR="008D5A82" w:rsidRPr="006756E8" w:rsidRDefault="008D5A82" w:rsidP="0031570A">
      <w:pPr>
        <w:tabs>
          <w:tab w:val="left" w:pos="567"/>
        </w:tabs>
        <w:autoSpaceDE w:val="0"/>
        <w:autoSpaceDN w:val="0"/>
        <w:adjustRightInd w:val="0"/>
        <w:rPr>
          <w:szCs w:val="22"/>
        </w:rPr>
      </w:pPr>
    </w:p>
    <w:p w:rsidR="008D5A82" w:rsidRPr="009B03BC" w:rsidRDefault="00532204" w:rsidP="0031570A">
      <w:pPr>
        <w:tabs>
          <w:tab w:val="left" w:pos="567"/>
        </w:tabs>
        <w:autoSpaceDE w:val="0"/>
        <w:autoSpaceDN w:val="0"/>
        <w:adjustRightInd w:val="0"/>
        <w:rPr>
          <w:b/>
          <w:szCs w:val="22"/>
        </w:rPr>
      </w:pPr>
      <w:r w:rsidRPr="006756E8">
        <w:rPr>
          <w:b/>
          <w:szCs w:val="22"/>
        </w:rPr>
        <w:t>Χρήση</w:t>
      </w:r>
      <w:r w:rsidRPr="00BA41FF">
        <w:rPr>
          <w:b/>
          <w:szCs w:val="22"/>
        </w:rPr>
        <w:t xml:space="preserve"> </w:t>
      </w:r>
      <w:r w:rsidRPr="006756E8">
        <w:rPr>
          <w:b/>
          <w:szCs w:val="22"/>
        </w:rPr>
        <w:t>σε</w:t>
      </w:r>
      <w:r w:rsidRPr="00BA41FF">
        <w:rPr>
          <w:b/>
          <w:szCs w:val="22"/>
        </w:rPr>
        <w:t xml:space="preserve"> </w:t>
      </w:r>
      <w:r w:rsidRPr="006756E8">
        <w:rPr>
          <w:b/>
          <w:szCs w:val="22"/>
        </w:rPr>
        <w:t>ηλικιωμένους</w:t>
      </w:r>
    </w:p>
    <w:p w:rsidR="00A1576B" w:rsidRPr="006756E8" w:rsidRDefault="00A1576B" w:rsidP="0031570A">
      <w:pPr>
        <w:tabs>
          <w:tab w:val="left" w:pos="567"/>
        </w:tabs>
        <w:autoSpaceDE w:val="0"/>
        <w:autoSpaceDN w:val="0"/>
        <w:adjustRightInd w:val="0"/>
        <w:rPr>
          <w:szCs w:val="22"/>
        </w:rPr>
      </w:pPr>
      <w:r w:rsidRPr="006756E8">
        <w:rPr>
          <w:szCs w:val="22"/>
        </w:rPr>
        <w:t xml:space="preserve">Καθώς οι ηλικιωμένοι βρίσκονται σε </w:t>
      </w:r>
      <w:r w:rsidR="00985630" w:rsidRPr="006756E8">
        <w:rPr>
          <w:szCs w:val="22"/>
        </w:rPr>
        <w:t xml:space="preserve">αυξημένο </w:t>
      </w:r>
      <w:r w:rsidRPr="006756E8">
        <w:rPr>
          <w:szCs w:val="22"/>
        </w:rPr>
        <w:t>κίνδυνο για μειωμένη νεφρική λειτουργία, η δοσολογία πρέπει να επιλέγεται με προσοχή και πρέπει να παρακολουθείται η νεφρική λειτουργία (βλ</w:t>
      </w:r>
      <w:r w:rsidR="009B03BC">
        <w:rPr>
          <w:szCs w:val="22"/>
        </w:rPr>
        <w:t>έπε</w:t>
      </w:r>
      <w:r w:rsidRPr="006756E8">
        <w:rPr>
          <w:szCs w:val="22"/>
        </w:rPr>
        <w:t xml:space="preserve"> παραγράφους 4.4 και 4.8). Συνιστάτα</w:t>
      </w:r>
      <w:r w:rsidR="00985630" w:rsidRPr="006756E8">
        <w:rPr>
          <w:szCs w:val="22"/>
        </w:rPr>
        <w:t>ι η προσαρμογή της δοσολογίας εάν</w:t>
      </w:r>
      <w:r w:rsidRPr="006756E8">
        <w:rPr>
          <w:szCs w:val="22"/>
        </w:rPr>
        <w:t xml:space="preserve"> η νεφρική </w:t>
      </w:r>
      <w:r w:rsidR="00985630" w:rsidRPr="006756E8">
        <w:rPr>
          <w:szCs w:val="22"/>
        </w:rPr>
        <w:t>λειτουργία είναι μειωμένη (βλ</w:t>
      </w:r>
      <w:r w:rsidR="009B03BC">
        <w:rPr>
          <w:szCs w:val="22"/>
        </w:rPr>
        <w:t>έπε</w:t>
      </w:r>
      <w:r w:rsidR="00985630" w:rsidRPr="006756E8">
        <w:rPr>
          <w:szCs w:val="22"/>
        </w:rPr>
        <w:t xml:space="preserve"> παράγραφο 4.2 «Ενήλικες με </w:t>
      </w:r>
      <w:r w:rsidRPr="006756E8">
        <w:rPr>
          <w:szCs w:val="22"/>
        </w:rPr>
        <w:t xml:space="preserve">νεφρική </w:t>
      </w:r>
      <w:r w:rsidR="009B03BC">
        <w:rPr>
          <w:szCs w:val="22"/>
        </w:rPr>
        <w:t>δυσ</w:t>
      </w:r>
      <w:r w:rsidRPr="006756E8">
        <w:rPr>
          <w:szCs w:val="22"/>
        </w:rPr>
        <w:t>λειτουργία» και παράγραφο 5.2).</w:t>
      </w:r>
    </w:p>
    <w:p w:rsidR="008D5A82" w:rsidRPr="006756E8" w:rsidRDefault="008D5A82" w:rsidP="0031570A">
      <w:pPr>
        <w:tabs>
          <w:tab w:val="left" w:pos="567"/>
        </w:tabs>
        <w:autoSpaceDE w:val="0"/>
        <w:autoSpaceDN w:val="0"/>
        <w:adjustRightInd w:val="0"/>
        <w:rPr>
          <w:szCs w:val="22"/>
          <w:u w:val="single"/>
        </w:rPr>
      </w:pPr>
    </w:p>
    <w:p w:rsidR="008D5A82" w:rsidRPr="00BA41FF" w:rsidRDefault="009B03BC" w:rsidP="0031570A">
      <w:pPr>
        <w:tabs>
          <w:tab w:val="left" w:pos="567"/>
        </w:tabs>
        <w:autoSpaceDE w:val="0"/>
        <w:autoSpaceDN w:val="0"/>
        <w:adjustRightInd w:val="0"/>
        <w:rPr>
          <w:b/>
          <w:szCs w:val="22"/>
          <w:u w:val="single"/>
        </w:rPr>
      </w:pPr>
      <w:r>
        <w:rPr>
          <w:b/>
          <w:szCs w:val="22"/>
          <w:u w:val="single"/>
        </w:rPr>
        <w:t>Τρόπος</w:t>
      </w:r>
      <w:r w:rsidR="00287DCD" w:rsidRPr="00BA41FF">
        <w:rPr>
          <w:b/>
          <w:szCs w:val="22"/>
          <w:u w:val="single"/>
        </w:rPr>
        <w:t xml:space="preserve"> </w:t>
      </w:r>
      <w:r w:rsidR="00287DCD" w:rsidRPr="006756E8">
        <w:rPr>
          <w:b/>
          <w:szCs w:val="22"/>
          <w:u w:val="single"/>
        </w:rPr>
        <w:t>χορήγησης</w:t>
      </w:r>
      <w:r w:rsidR="008D5A82" w:rsidRPr="00BA41FF">
        <w:rPr>
          <w:b/>
          <w:szCs w:val="22"/>
          <w:u w:val="single"/>
        </w:rPr>
        <w:t>:</w:t>
      </w:r>
    </w:p>
    <w:p w:rsidR="008D5A82" w:rsidRPr="00BA41FF" w:rsidRDefault="00287DCD" w:rsidP="0031570A">
      <w:pPr>
        <w:tabs>
          <w:tab w:val="left" w:pos="567"/>
        </w:tabs>
        <w:autoSpaceDE w:val="0"/>
        <w:autoSpaceDN w:val="0"/>
        <w:adjustRightInd w:val="0"/>
        <w:rPr>
          <w:bCs/>
          <w:iCs/>
          <w:szCs w:val="22"/>
        </w:rPr>
      </w:pPr>
      <w:r w:rsidRPr="006756E8">
        <w:rPr>
          <w:bCs/>
          <w:iCs/>
          <w:szCs w:val="22"/>
        </w:rPr>
        <w:t>Οδός</w:t>
      </w:r>
      <w:r w:rsidRPr="00BA41FF">
        <w:rPr>
          <w:bCs/>
          <w:iCs/>
          <w:szCs w:val="22"/>
        </w:rPr>
        <w:t xml:space="preserve"> </w:t>
      </w:r>
      <w:r w:rsidRPr="006756E8">
        <w:rPr>
          <w:bCs/>
          <w:iCs/>
          <w:szCs w:val="22"/>
        </w:rPr>
        <w:t>Χορήγησης</w:t>
      </w:r>
      <w:r w:rsidRPr="00BA41FF">
        <w:rPr>
          <w:bCs/>
          <w:iCs/>
          <w:szCs w:val="22"/>
        </w:rPr>
        <w:t>:</w:t>
      </w:r>
    </w:p>
    <w:p w:rsidR="00AF2367" w:rsidRPr="006756E8" w:rsidRDefault="00AF2367" w:rsidP="0031570A">
      <w:pPr>
        <w:tabs>
          <w:tab w:val="left" w:pos="567"/>
        </w:tabs>
        <w:autoSpaceDE w:val="0"/>
        <w:autoSpaceDN w:val="0"/>
        <w:adjustRightInd w:val="0"/>
        <w:rPr>
          <w:bCs/>
          <w:iCs/>
          <w:szCs w:val="22"/>
        </w:rPr>
      </w:pPr>
      <w:r w:rsidRPr="006756E8">
        <w:rPr>
          <w:bCs/>
          <w:iCs/>
          <w:szCs w:val="22"/>
        </w:rPr>
        <w:t xml:space="preserve">Μετά από κατάλληλη ανασύσταση το </w:t>
      </w:r>
      <w:r w:rsidRPr="006756E8">
        <w:rPr>
          <w:bCs/>
          <w:iCs/>
          <w:szCs w:val="22"/>
          <w:lang w:val="en-US"/>
        </w:rPr>
        <w:t>Cefepime</w:t>
      </w:r>
      <w:r w:rsidRPr="006756E8">
        <w:rPr>
          <w:bCs/>
          <w:iCs/>
          <w:szCs w:val="22"/>
        </w:rPr>
        <w:t xml:space="preserve"> </w:t>
      </w:r>
      <w:r w:rsidRPr="006756E8">
        <w:rPr>
          <w:bCs/>
          <w:iCs/>
          <w:szCs w:val="22"/>
          <w:lang w:val="en-US"/>
        </w:rPr>
        <w:t>Kabi</w:t>
      </w:r>
      <w:r w:rsidRPr="006756E8">
        <w:rPr>
          <w:bCs/>
          <w:iCs/>
          <w:szCs w:val="22"/>
        </w:rPr>
        <w:t xml:space="preserve"> μπορεί να </w:t>
      </w:r>
      <w:r w:rsidRPr="006756E8">
        <w:rPr>
          <w:b/>
          <w:bCs/>
          <w:iCs/>
          <w:szCs w:val="22"/>
        </w:rPr>
        <w:t>χορηγηθεί απευθείας με ενδοφλέβια ένεση</w:t>
      </w:r>
      <w:r w:rsidRPr="006756E8">
        <w:rPr>
          <w:bCs/>
          <w:iCs/>
          <w:szCs w:val="22"/>
        </w:rPr>
        <w:t xml:space="preserve"> διάρκειας 3 έως 5 λεπτών ή να ενεθεί στο σωλήνα μ</w:t>
      </w:r>
      <w:r w:rsidR="009B03BC">
        <w:rPr>
          <w:bCs/>
          <w:iCs/>
          <w:szCs w:val="22"/>
        </w:rPr>
        <w:t>ί</w:t>
      </w:r>
      <w:r w:rsidRPr="006756E8">
        <w:rPr>
          <w:bCs/>
          <w:iCs/>
          <w:szCs w:val="22"/>
        </w:rPr>
        <w:t xml:space="preserve">ας συσκευής χορήγησης ενόσω ο ασθενής λαμβάνει ένα συμβατό ενδοφλέβιο διάλυμα ή μέσω </w:t>
      </w:r>
      <w:r w:rsidRPr="006756E8">
        <w:rPr>
          <w:b/>
          <w:bCs/>
          <w:iCs/>
          <w:szCs w:val="22"/>
        </w:rPr>
        <w:t>ενδοφλέβιας έγχυσης</w:t>
      </w:r>
      <w:r w:rsidRPr="006756E8">
        <w:rPr>
          <w:bCs/>
          <w:iCs/>
          <w:szCs w:val="22"/>
        </w:rPr>
        <w:t xml:space="preserve"> διάρκειας 30 λεπτών. Για οδηγίες σχετικά με την ανασύσταση/αραίωση του προϊόντος πριν από την χορήγηση, βλ. παράγραφο 6.6.</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4.3</w:t>
      </w:r>
      <w:r w:rsidRPr="006756E8">
        <w:rPr>
          <w:b/>
          <w:noProof/>
          <w:szCs w:val="22"/>
        </w:rPr>
        <w:tab/>
        <w:t>Αντενδείξεις</w:t>
      </w:r>
    </w:p>
    <w:p w:rsidR="00B9512A" w:rsidRPr="006756E8" w:rsidRDefault="00B9512A" w:rsidP="0031570A">
      <w:pPr>
        <w:tabs>
          <w:tab w:val="left" w:pos="567"/>
        </w:tabs>
        <w:rPr>
          <w:noProof/>
          <w:szCs w:val="22"/>
        </w:rPr>
      </w:pPr>
    </w:p>
    <w:p w:rsidR="00717267" w:rsidRPr="006756E8" w:rsidRDefault="00D34C0C" w:rsidP="00D34C0C">
      <w:pPr>
        <w:tabs>
          <w:tab w:val="left" w:pos="567"/>
        </w:tabs>
        <w:rPr>
          <w:szCs w:val="22"/>
        </w:rPr>
      </w:pPr>
      <w:r>
        <w:rPr>
          <w:noProof/>
          <w:szCs w:val="22"/>
        </w:rPr>
        <w:t>Η</w:t>
      </w:r>
      <w:r w:rsidR="00E3036F" w:rsidRPr="006756E8">
        <w:rPr>
          <w:noProof/>
          <w:szCs w:val="22"/>
        </w:rPr>
        <w:t xml:space="preserve"> κεφεπίμη </w:t>
      </w:r>
      <w:r>
        <w:rPr>
          <w:noProof/>
          <w:szCs w:val="22"/>
        </w:rPr>
        <w:t xml:space="preserve">αντενδείκνυται σε ασθενείς που είχαν προηγούμενες αντιδράσεις υπερευαισθησίας στην κεφεπίμη, </w:t>
      </w:r>
      <w:r>
        <w:rPr>
          <w:noProof/>
        </w:rPr>
        <w:t xml:space="preserve">ή σε </w:t>
      </w:r>
      <w:r w:rsidR="00633EC3">
        <w:rPr>
          <w:noProof/>
        </w:rPr>
        <w:t>οποιοδήποτε</w:t>
      </w:r>
      <w:r>
        <w:rPr>
          <w:noProof/>
        </w:rPr>
        <w:t xml:space="preserve"> από τα έκδοχα </w:t>
      </w:r>
      <w:r w:rsidRPr="004C2DDE">
        <w:rPr>
          <w:noProof/>
        </w:rPr>
        <w:t>που αναφέρονται στ</w:t>
      </w:r>
      <w:r>
        <w:rPr>
          <w:noProof/>
        </w:rPr>
        <w:t>ην παράγραφο</w:t>
      </w:r>
      <w:r w:rsidRPr="004C2DDE">
        <w:rPr>
          <w:noProof/>
        </w:rPr>
        <w:t xml:space="preserve"> 6.1</w:t>
      </w:r>
      <w:r>
        <w:rPr>
          <w:noProof/>
        </w:rPr>
        <w:t xml:space="preserve">, </w:t>
      </w:r>
      <w:r w:rsidR="00E3036F" w:rsidRPr="006756E8">
        <w:rPr>
          <w:noProof/>
          <w:szCs w:val="22"/>
        </w:rPr>
        <w:t xml:space="preserve">σε οποιαδήποτε </w:t>
      </w:r>
      <w:r w:rsidR="00E75EDE" w:rsidRPr="006756E8">
        <w:rPr>
          <w:noProof/>
          <w:szCs w:val="22"/>
        </w:rPr>
        <w:t xml:space="preserve">άλλη </w:t>
      </w:r>
      <w:r w:rsidR="00E3036F" w:rsidRPr="006756E8">
        <w:rPr>
          <w:noProof/>
          <w:szCs w:val="22"/>
        </w:rPr>
        <w:t xml:space="preserve">κεφαλοσπορίνη, ή </w:t>
      </w:r>
      <w:r w:rsidR="00E75EDE" w:rsidRPr="006756E8">
        <w:rPr>
          <w:szCs w:val="22"/>
        </w:rPr>
        <w:t xml:space="preserve">οποιοδήποτε </w:t>
      </w:r>
      <w:r>
        <w:rPr>
          <w:szCs w:val="22"/>
        </w:rPr>
        <w:t xml:space="preserve">άλλο </w:t>
      </w:r>
      <w:r w:rsidR="00633EC3">
        <w:rPr>
          <w:szCs w:val="22"/>
        </w:rPr>
        <w:t>αντιβιοτικό β-λακτάμης</w:t>
      </w:r>
      <w:r w:rsidR="00E75EDE" w:rsidRPr="006756E8">
        <w:rPr>
          <w:szCs w:val="22"/>
        </w:rPr>
        <w:t xml:space="preserve"> (π.χ. πενικιλλίνες, μονοβακτάμες και καρβαπενέμες).</w:t>
      </w:r>
    </w:p>
    <w:p w:rsidR="007E5FE6" w:rsidRPr="006756E8" w:rsidRDefault="007E5FE6" w:rsidP="0031570A">
      <w:pPr>
        <w:tabs>
          <w:tab w:val="left" w:pos="567"/>
        </w:tabs>
        <w:autoSpaceDE w:val="0"/>
        <w:autoSpaceDN w:val="0"/>
        <w:adjustRightInd w:val="0"/>
        <w:rPr>
          <w:szCs w:val="22"/>
        </w:rPr>
      </w:pPr>
    </w:p>
    <w:p w:rsidR="00B9512A" w:rsidRPr="006756E8" w:rsidRDefault="00B9512A" w:rsidP="0031570A">
      <w:pPr>
        <w:tabs>
          <w:tab w:val="left" w:pos="567"/>
        </w:tabs>
        <w:rPr>
          <w:noProof/>
          <w:szCs w:val="22"/>
        </w:rPr>
      </w:pPr>
      <w:r w:rsidRPr="006756E8">
        <w:rPr>
          <w:b/>
          <w:noProof/>
          <w:szCs w:val="22"/>
        </w:rPr>
        <w:t>4.4</w:t>
      </w:r>
      <w:r w:rsidRPr="006756E8">
        <w:rPr>
          <w:b/>
          <w:noProof/>
          <w:szCs w:val="22"/>
        </w:rPr>
        <w:tab/>
        <w:t>Ειδικές προειδοποιήσεις και προφυλάξεις κατά τη χρήση</w:t>
      </w:r>
    </w:p>
    <w:p w:rsidR="00B9512A" w:rsidRPr="006756E8" w:rsidRDefault="00B9512A" w:rsidP="0031570A">
      <w:pPr>
        <w:tabs>
          <w:tab w:val="left" w:pos="567"/>
        </w:tabs>
        <w:rPr>
          <w:noProof/>
          <w:szCs w:val="22"/>
        </w:rPr>
      </w:pPr>
    </w:p>
    <w:p w:rsidR="00E5733A" w:rsidRPr="00D34C0C" w:rsidRDefault="00D34C0C" w:rsidP="0031570A">
      <w:pPr>
        <w:tabs>
          <w:tab w:val="left" w:pos="567"/>
        </w:tabs>
        <w:autoSpaceDE w:val="0"/>
        <w:autoSpaceDN w:val="0"/>
        <w:adjustRightInd w:val="0"/>
        <w:rPr>
          <w:szCs w:val="22"/>
          <w:u w:val="single"/>
        </w:rPr>
      </w:pPr>
      <w:r w:rsidRPr="00D34C0C">
        <w:rPr>
          <w:szCs w:val="22"/>
          <w:u w:val="single"/>
        </w:rPr>
        <w:t>Αντ</w:t>
      </w:r>
      <w:r>
        <w:rPr>
          <w:szCs w:val="22"/>
          <w:u w:val="single"/>
        </w:rPr>
        <w:t>ιδράσεις υπερευαισθησίας</w:t>
      </w:r>
    </w:p>
    <w:p w:rsidR="00A5618E" w:rsidRPr="006756E8" w:rsidRDefault="00A5618E" w:rsidP="0031570A">
      <w:pPr>
        <w:tabs>
          <w:tab w:val="left" w:pos="567"/>
        </w:tabs>
        <w:autoSpaceDE w:val="0"/>
        <w:autoSpaceDN w:val="0"/>
        <w:adjustRightInd w:val="0"/>
        <w:rPr>
          <w:szCs w:val="22"/>
        </w:rPr>
      </w:pPr>
      <w:r w:rsidRPr="006756E8">
        <w:rPr>
          <w:szCs w:val="22"/>
        </w:rPr>
        <w:t xml:space="preserve">Όπως με </w:t>
      </w:r>
      <w:r w:rsidR="00D011E5" w:rsidRPr="006756E8">
        <w:rPr>
          <w:szCs w:val="22"/>
        </w:rPr>
        <w:t>όλους</w:t>
      </w:r>
      <w:r w:rsidRPr="006756E8">
        <w:rPr>
          <w:szCs w:val="22"/>
        </w:rPr>
        <w:t xml:space="preserve"> </w:t>
      </w:r>
      <w:r w:rsidR="00D34C0C">
        <w:rPr>
          <w:szCs w:val="22"/>
        </w:rPr>
        <w:t xml:space="preserve">τους </w:t>
      </w:r>
      <w:r w:rsidRPr="006756E8">
        <w:rPr>
          <w:szCs w:val="22"/>
        </w:rPr>
        <w:t>β</w:t>
      </w:r>
      <w:r w:rsidR="00D34C0C">
        <w:rPr>
          <w:szCs w:val="22"/>
        </w:rPr>
        <w:noBreakHyphen/>
      </w:r>
      <w:r w:rsidRPr="006756E8">
        <w:rPr>
          <w:szCs w:val="22"/>
        </w:rPr>
        <w:t xml:space="preserve">λακταμικούς </w:t>
      </w:r>
      <w:r w:rsidR="00D011E5" w:rsidRPr="006756E8">
        <w:rPr>
          <w:szCs w:val="22"/>
        </w:rPr>
        <w:t xml:space="preserve">αντιβακτηριακούς </w:t>
      </w:r>
      <w:r w:rsidRPr="006756E8">
        <w:rPr>
          <w:szCs w:val="22"/>
        </w:rPr>
        <w:t>παράγοντες, έχουν αναφερθεί σοβαρές και ενίοτε θανατηφόρες αντιδράσεις υπερευαισθησίας.</w:t>
      </w:r>
    </w:p>
    <w:p w:rsidR="00A5618E" w:rsidRPr="006756E8" w:rsidRDefault="00A5618E" w:rsidP="0031570A">
      <w:pPr>
        <w:tabs>
          <w:tab w:val="left" w:pos="567"/>
        </w:tabs>
        <w:autoSpaceDE w:val="0"/>
        <w:autoSpaceDN w:val="0"/>
        <w:adjustRightInd w:val="0"/>
        <w:rPr>
          <w:szCs w:val="22"/>
        </w:rPr>
      </w:pPr>
    </w:p>
    <w:p w:rsidR="00717267" w:rsidRPr="006756E8" w:rsidRDefault="00B7779C" w:rsidP="0031570A">
      <w:pPr>
        <w:tabs>
          <w:tab w:val="left" w:pos="567"/>
        </w:tabs>
        <w:autoSpaceDE w:val="0"/>
        <w:autoSpaceDN w:val="0"/>
        <w:adjustRightInd w:val="0"/>
        <w:rPr>
          <w:szCs w:val="22"/>
        </w:rPr>
      </w:pPr>
      <w:r w:rsidRPr="006756E8">
        <w:rPr>
          <w:szCs w:val="22"/>
        </w:rPr>
        <w:t>Πριν την έναρξη της θεραπείας με κεφεπίμη, πρέπει να πραγματοποιηθεί προσεκτική έρευνα για να εξακριβωθεί εάν ο ασθενής είχε στο παρελθόν αντιδράσεις υπερευ</w:t>
      </w:r>
      <w:r w:rsidR="00B63416" w:rsidRPr="006756E8">
        <w:rPr>
          <w:szCs w:val="22"/>
        </w:rPr>
        <w:t xml:space="preserve">αισθησίας στην κεφεπίμη, </w:t>
      </w:r>
      <w:r w:rsidR="00A5618E" w:rsidRPr="006756E8">
        <w:rPr>
          <w:szCs w:val="22"/>
        </w:rPr>
        <w:t xml:space="preserve">στις </w:t>
      </w:r>
      <w:r w:rsidR="00B63416" w:rsidRPr="006756E8">
        <w:rPr>
          <w:szCs w:val="22"/>
        </w:rPr>
        <w:t>β</w:t>
      </w:r>
      <w:r w:rsidR="00D34C0C">
        <w:rPr>
          <w:szCs w:val="22"/>
        </w:rPr>
        <w:noBreakHyphen/>
      </w:r>
      <w:r w:rsidR="00B63416" w:rsidRPr="006756E8">
        <w:rPr>
          <w:szCs w:val="22"/>
        </w:rPr>
        <w:t>λακτά</w:t>
      </w:r>
      <w:r w:rsidRPr="006756E8">
        <w:rPr>
          <w:szCs w:val="22"/>
        </w:rPr>
        <w:t>μ</w:t>
      </w:r>
      <w:r w:rsidR="00B63416" w:rsidRPr="006756E8">
        <w:rPr>
          <w:szCs w:val="22"/>
        </w:rPr>
        <w:t>ες</w:t>
      </w:r>
      <w:r w:rsidRPr="006756E8">
        <w:rPr>
          <w:szCs w:val="22"/>
        </w:rPr>
        <w:t xml:space="preserve"> ή άλλα φαρμακευτικά προϊόντα. </w:t>
      </w:r>
    </w:p>
    <w:p w:rsidR="00717267" w:rsidRPr="006756E8" w:rsidRDefault="00717267" w:rsidP="0031570A">
      <w:pPr>
        <w:pStyle w:val="Web"/>
        <w:tabs>
          <w:tab w:val="left" w:pos="567"/>
        </w:tabs>
        <w:spacing w:after="0"/>
        <w:rPr>
          <w:sz w:val="22"/>
          <w:szCs w:val="22"/>
          <w:lang w:val="el-GR"/>
        </w:rPr>
      </w:pPr>
    </w:p>
    <w:p w:rsidR="00717267" w:rsidRPr="00BA41FF" w:rsidRDefault="00B7779C" w:rsidP="00D34C0C">
      <w:pPr>
        <w:pStyle w:val="Web"/>
        <w:tabs>
          <w:tab w:val="left" w:pos="567"/>
        </w:tabs>
        <w:spacing w:after="0"/>
        <w:rPr>
          <w:sz w:val="22"/>
          <w:szCs w:val="22"/>
          <w:lang w:val="el-GR"/>
        </w:rPr>
      </w:pPr>
      <w:r w:rsidRPr="006756E8">
        <w:rPr>
          <w:sz w:val="22"/>
          <w:szCs w:val="22"/>
          <w:lang w:val="el-GR"/>
        </w:rPr>
        <w:t>Η κεφεπίμη πρέπει να χορηγείται με προσοχή σε ασθενείς με ιστορικό άσθματος ή αλλεργική διάθεση. Ο ασθενής πρέπει να παρακολουθείται προσεκτικά κατά την διάρκεια της πρώτης χορήγησης.</w:t>
      </w:r>
    </w:p>
    <w:p w:rsidR="00695305" w:rsidRPr="006756E8" w:rsidRDefault="00B7779C" w:rsidP="0031570A">
      <w:pPr>
        <w:tabs>
          <w:tab w:val="left" w:pos="567"/>
        </w:tabs>
        <w:autoSpaceDE w:val="0"/>
        <w:autoSpaceDN w:val="0"/>
        <w:adjustRightInd w:val="0"/>
        <w:rPr>
          <w:szCs w:val="22"/>
        </w:rPr>
      </w:pPr>
      <w:r w:rsidRPr="006756E8">
        <w:rPr>
          <w:szCs w:val="22"/>
        </w:rPr>
        <w:t xml:space="preserve">Εάν παρουσιαστεί </w:t>
      </w:r>
      <w:r w:rsidR="00465C3A" w:rsidRPr="006756E8">
        <w:rPr>
          <w:szCs w:val="22"/>
        </w:rPr>
        <w:t>μ</w:t>
      </w:r>
      <w:r w:rsidR="00D34C0C">
        <w:rPr>
          <w:szCs w:val="22"/>
        </w:rPr>
        <w:t>ί</w:t>
      </w:r>
      <w:r w:rsidR="00465C3A" w:rsidRPr="006756E8">
        <w:rPr>
          <w:szCs w:val="22"/>
        </w:rPr>
        <w:t xml:space="preserve">α </w:t>
      </w:r>
      <w:r w:rsidRPr="006756E8">
        <w:rPr>
          <w:szCs w:val="22"/>
        </w:rPr>
        <w:t xml:space="preserve">αλλεργική αντίδραση, η θεραπεία </w:t>
      </w:r>
      <w:r w:rsidR="00A5618E" w:rsidRPr="006756E8">
        <w:rPr>
          <w:szCs w:val="22"/>
        </w:rPr>
        <w:t>πρέπει να διακοπεί</w:t>
      </w:r>
      <w:r w:rsidRPr="006756E8">
        <w:rPr>
          <w:szCs w:val="22"/>
        </w:rPr>
        <w:t xml:space="preserve"> αμέσως.</w:t>
      </w:r>
    </w:p>
    <w:p w:rsidR="00717267" w:rsidRPr="006756E8" w:rsidRDefault="00717267" w:rsidP="0031570A">
      <w:pPr>
        <w:tabs>
          <w:tab w:val="left" w:pos="567"/>
        </w:tabs>
        <w:autoSpaceDE w:val="0"/>
        <w:autoSpaceDN w:val="0"/>
        <w:adjustRightInd w:val="0"/>
        <w:rPr>
          <w:szCs w:val="22"/>
        </w:rPr>
      </w:pPr>
    </w:p>
    <w:p w:rsidR="004F31B1" w:rsidRDefault="004F31B1" w:rsidP="0031570A">
      <w:pPr>
        <w:tabs>
          <w:tab w:val="left" w:pos="567"/>
        </w:tabs>
        <w:autoSpaceDE w:val="0"/>
        <w:autoSpaceDN w:val="0"/>
        <w:adjustRightInd w:val="0"/>
        <w:rPr>
          <w:szCs w:val="22"/>
        </w:rPr>
      </w:pPr>
      <w:r>
        <w:rPr>
          <w:szCs w:val="22"/>
        </w:rPr>
        <w:t>Οι σοβαρές αντιδράσεις υπερευαισθησίας ενδέχεται να απαιτήσουν επινεφρίνη ή άλλη υποστηρικτική θεραπεία.</w:t>
      </w:r>
    </w:p>
    <w:p w:rsidR="004F31B1" w:rsidRDefault="004F31B1" w:rsidP="0031570A">
      <w:pPr>
        <w:tabs>
          <w:tab w:val="left" w:pos="567"/>
        </w:tabs>
        <w:autoSpaceDE w:val="0"/>
        <w:autoSpaceDN w:val="0"/>
        <w:adjustRightInd w:val="0"/>
        <w:rPr>
          <w:szCs w:val="22"/>
        </w:rPr>
      </w:pPr>
    </w:p>
    <w:p w:rsidR="004F31B1" w:rsidRPr="004F31B1" w:rsidRDefault="004F31B1" w:rsidP="0031570A">
      <w:pPr>
        <w:tabs>
          <w:tab w:val="left" w:pos="567"/>
        </w:tabs>
        <w:autoSpaceDE w:val="0"/>
        <w:autoSpaceDN w:val="0"/>
        <w:adjustRightInd w:val="0"/>
        <w:rPr>
          <w:szCs w:val="22"/>
          <w:u w:val="single"/>
        </w:rPr>
      </w:pPr>
      <w:r w:rsidRPr="004F31B1">
        <w:rPr>
          <w:szCs w:val="22"/>
          <w:u w:val="single"/>
        </w:rPr>
        <w:t>Α</w:t>
      </w:r>
      <w:r>
        <w:rPr>
          <w:szCs w:val="22"/>
          <w:u w:val="single"/>
        </w:rPr>
        <w:t>ντιβακτηριακή δραστικότητα της κεφεπίμης</w:t>
      </w:r>
    </w:p>
    <w:p w:rsidR="004F31B1" w:rsidRDefault="004F31B1" w:rsidP="0031570A">
      <w:pPr>
        <w:tabs>
          <w:tab w:val="left" w:pos="567"/>
        </w:tabs>
        <w:autoSpaceDE w:val="0"/>
        <w:autoSpaceDN w:val="0"/>
        <w:adjustRightInd w:val="0"/>
        <w:rPr>
          <w:szCs w:val="22"/>
        </w:rPr>
      </w:pPr>
      <w:r w:rsidRPr="004F31B1">
        <w:rPr>
          <w:szCs w:val="22"/>
        </w:rPr>
        <w:t>Λόγω του σχετικά περιορισμένου φάσματος αντιβακτηριακή</w:t>
      </w:r>
      <w:r>
        <w:rPr>
          <w:szCs w:val="22"/>
        </w:rPr>
        <w:t>ς</w:t>
      </w:r>
      <w:r w:rsidRPr="004F31B1">
        <w:rPr>
          <w:szCs w:val="22"/>
        </w:rPr>
        <w:t xml:space="preserve"> </w:t>
      </w:r>
      <w:r>
        <w:rPr>
          <w:szCs w:val="22"/>
        </w:rPr>
        <w:t>δραστικότητας</w:t>
      </w:r>
      <w:r w:rsidRPr="004F31B1">
        <w:rPr>
          <w:szCs w:val="22"/>
        </w:rPr>
        <w:t xml:space="preserve"> της κεφεπίμης</w:t>
      </w:r>
      <w:r>
        <w:rPr>
          <w:szCs w:val="22"/>
        </w:rPr>
        <w:t>,</w:t>
      </w:r>
      <w:r w:rsidRPr="004F31B1">
        <w:rPr>
          <w:szCs w:val="22"/>
        </w:rPr>
        <w:t xml:space="preserve"> δεν είναι κατάλληλ</w:t>
      </w:r>
      <w:r>
        <w:rPr>
          <w:szCs w:val="22"/>
        </w:rPr>
        <w:t>η</w:t>
      </w:r>
      <w:r w:rsidRPr="004F31B1">
        <w:rPr>
          <w:szCs w:val="22"/>
        </w:rPr>
        <w:t xml:space="preserve"> για τη θεραπεία ορισμένων τύπων </w:t>
      </w:r>
      <w:r>
        <w:rPr>
          <w:szCs w:val="22"/>
        </w:rPr>
        <w:t>λοιμώξεων</w:t>
      </w:r>
      <w:r w:rsidRPr="004F31B1">
        <w:rPr>
          <w:szCs w:val="22"/>
        </w:rPr>
        <w:t xml:space="preserve">, εκτός εάν το παθογόνο είναι ήδη </w:t>
      </w:r>
      <w:r>
        <w:rPr>
          <w:szCs w:val="22"/>
        </w:rPr>
        <w:t>ταυτοποιημένο</w:t>
      </w:r>
      <w:r w:rsidRPr="004F31B1">
        <w:rPr>
          <w:szCs w:val="22"/>
        </w:rPr>
        <w:t xml:space="preserve"> και είναι γνωστό ότι είναι ευαίσθητ</w:t>
      </w:r>
      <w:r>
        <w:rPr>
          <w:szCs w:val="22"/>
        </w:rPr>
        <w:t>ο</w:t>
      </w:r>
      <w:r w:rsidRPr="004F31B1">
        <w:rPr>
          <w:szCs w:val="22"/>
        </w:rPr>
        <w:t xml:space="preserve"> ή υπάρχει πολύ</w:t>
      </w:r>
      <w:r>
        <w:rPr>
          <w:szCs w:val="22"/>
        </w:rPr>
        <w:t xml:space="preserve"> μεγαλή</w:t>
      </w:r>
      <w:r w:rsidRPr="004F31B1">
        <w:rPr>
          <w:szCs w:val="22"/>
        </w:rPr>
        <w:t xml:space="preserve"> υποψία ότι το</w:t>
      </w:r>
      <w:r>
        <w:rPr>
          <w:szCs w:val="22"/>
        </w:rPr>
        <w:t>(α)</w:t>
      </w:r>
      <w:r w:rsidRPr="004F31B1">
        <w:rPr>
          <w:szCs w:val="22"/>
        </w:rPr>
        <w:t xml:space="preserve"> πιο πιθανό</w:t>
      </w:r>
      <w:r>
        <w:rPr>
          <w:szCs w:val="22"/>
        </w:rPr>
        <w:t>(ά)</w:t>
      </w:r>
      <w:r w:rsidRPr="004F31B1">
        <w:rPr>
          <w:szCs w:val="22"/>
        </w:rPr>
        <w:t xml:space="preserve"> παθογόνο (α) θα </w:t>
      </w:r>
      <w:r>
        <w:rPr>
          <w:szCs w:val="22"/>
        </w:rPr>
        <w:t>ήταν</w:t>
      </w:r>
      <w:r w:rsidRPr="004F31B1">
        <w:rPr>
          <w:szCs w:val="22"/>
        </w:rPr>
        <w:t xml:space="preserve"> κατάλληλ</w:t>
      </w:r>
      <w:r>
        <w:rPr>
          <w:szCs w:val="22"/>
        </w:rPr>
        <w:t>α</w:t>
      </w:r>
      <w:r w:rsidRPr="004F31B1">
        <w:rPr>
          <w:szCs w:val="22"/>
        </w:rPr>
        <w:t xml:space="preserve"> για θεραπεία με κεφεπίμη (βλέπε παράγραφο 5.1</w:t>
      </w:r>
      <w:r>
        <w:rPr>
          <w:szCs w:val="22"/>
        </w:rPr>
        <w:t>).</w:t>
      </w:r>
    </w:p>
    <w:p w:rsidR="004F31B1" w:rsidRDefault="004F31B1" w:rsidP="0031570A">
      <w:pPr>
        <w:tabs>
          <w:tab w:val="left" w:pos="567"/>
        </w:tabs>
        <w:autoSpaceDE w:val="0"/>
        <w:autoSpaceDN w:val="0"/>
        <w:adjustRightInd w:val="0"/>
        <w:rPr>
          <w:szCs w:val="22"/>
        </w:rPr>
      </w:pPr>
    </w:p>
    <w:p w:rsidR="004F31B1" w:rsidRPr="004F31B1" w:rsidRDefault="004F31B1" w:rsidP="0031570A">
      <w:pPr>
        <w:tabs>
          <w:tab w:val="left" w:pos="567"/>
        </w:tabs>
        <w:autoSpaceDE w:val="0"/>
        <w:autoSpaceDN w:val="0"/>
        <w:adjustRightInd w:val="0"/>
        <w:rPr>
          <w:szCs w:val="22"/>
          <w:u w:val="single"/>
        </w:rPr>
      </w:pPr>
      <w:r w:rsidRPr="004F31B1">
        <w:rPr>
          <w:szCs w:val="22"/>
          <w:u w:val="single"/>
        </w:rPr>
        <w:t>Επιλοίμωξη</w:t>
      </w:r>
    </w:p>
    <w:p w:rsidR="004F31B1" w:rsidRDefault="004F31B1" w:rsidP="0031570A">
      <w:pPr>
        <w:tabs>
          <w:tab w:val="left" w:pos="567"/>
        </w:tabs>
        <w:autoSpaceDE w:val="0"/>
        <w:autoSpaceDN w:val="0"/>
        <w:adjustRightInd w:val="0"/>
        <w:rPr>
          <w:szCs w:val="22"/>
        </w:rPr>
      </w:pPr>
      <w:r>
        <w:rPr>
          <w:szCs w:val="22"/>
        </w:rPr>
        <w:t>Όπως με άλλα αντιβιοτικά, η χρήση της κεφεπίμης μπορεί να έχει ως αποτέλεσμα υ</w:t>
      </w:r>
      <w:r w:rsidRPr="004F31B1">
        <w:rPr>
          <w:szCs w:val="22"/>
        </w:rPr>
        <w:t>περανάπτυξη</w:t>
      </w:r>
      <w:r>
        <w:rPr>
          <w:szCs w:val="22"/>
        </w:rPr>
        <w:t xml:space="preserve"> μη ευαίσθητων οργανισμών. Εάν τυχόν εμφανιστεί επιλοίμωξη κατά τη διάρκεια της θεραπείας, πρέπει να ληφθούν υποστηρικτικά μέτρα.</w:t>
      </w:r>
    </w:p>
    <w:p w:rsidR="004F31B1" w:rsidRDefault="004F31B1" w:rsidP="0031570A">
      <w:pPr>
        <w:tabs>
          <w:tab w:val="left" w:pos="567"/>
        </w:tabs>
        <w:autoSpaceDE w:val="0"/>
        <w:autoSpaceDN w:val="0"/>
        <w:adjustRightInd w:val="0"/>
        <w:rPr>
          <w:szCs w:val="22"/>
        </w:rPr>
      </w:pPr>
    </w:p>
    <w:p w:rsidR="004F31B1" w:rsidRPr="00187BD8" w:rsidRDefault="00187BD8" w:rsidP="0031570A">
      <w:pPr>
        <w:tabs>
          <w:tab w:val="left" w:pos="567"/>
        </w:tabs>
        <w:autoSpaceDE w:val="0"/>
        <w:autoSpaceDN w:val="0"/>
        <w:adjustRightInd w:val="0"/>
        <w:rPr>
          <w:szCs w:val="22"/>
          <w:u w:val="single"/>
        </w:rPr>
      </w:pPr>
      <w:r>
        <w:rPr>
          <w:szCs w:val="22"/>
          <w:u w:val="single"/>
        </w:rPr>
        <w:t xml:space="preserve">Διάρροια σχετιζόμενη με </w:t>
      </w:r>
      <w:r w:rsidRPr="00C746C3">
        <w:rPr>
          <w:i/>
          <w:u w:val="single"/>
          <w:lang w:val="en-GB"/>
        </w:rPr>
        <w:t>Clostridium</w:t>
      </w:r>
      <w:r w:rsidRPr="00187BD8">
        <w:rPr>
          <w:i/>
          <w:u w:val="single"/>
        </w:rPr>
        <w:t xml:space="preserve"> </w:t>
      </w:r>
      <w:r w:rsidRPr="00C746C3">
        <w:rPr>
          <w:i/>
          <w:u w:val="single"/>
          <w:lang w:val="en-GB"/>
        </w:rPr>
        <w:t>difficile</w:t>
      </w:r>
    </w:p>
    <w:p w:rsidR="00187BD8" w:rsidRDefault="00187BD8" w:rsidP="0031570A">
      <w:pPr>
        <w:tabs>
          <w:tab w:val="left" w:pos="567"/>
        </w:tabs>
        <w:autoSpaceDE w:val="0"/>
        <w:autoSpaceDN w:val="0"/>
        <w:adjustRightInd w:val="0"/>
        <w:rPr>
          <w:szCs w:val="22"/>
        </w:rPr>
      </w:pPr>
      <w:r>
        <w:rPr>
          <w:szCs w:val="22"/>
        </w:rPr>
        <w:t xml:space="preserve">Η διάρροια σχετιζόμενη με </w:t>
      </w:r>
      <w:r w:rsidRPr="00187BD8">
        <w:rPr>
          <w:i/>
          <w:szCs w:val="22"/>
        </w:rPr>
        <w:t>Clostridium difficile</w:t>
      </w:r>
      <w:r w:rsidRPr="00187BD8">
        <w:rPr>
          <w:szCs w:val="22"/>
        </w:rPr>
        <w:t xml:space="preserve"> (CDAD) έχει αναφερθεί με τη χρήση σχεδόν όλων των αντιβακτηριακών παραγόντων, συμπεριλαμβανομένης </w:t>
      </w:r>
      <w:r>
        <w:rPr>
          <w:szCs w:val="22"/>
        </w:rPr>
        <w:t>της</w:t>
      </w:r>
      <w:r w:rsidRPr="00187BD8">
        <w:rPr>
          <w:szCs w:val="22"/>
        </w:rPr>
        <w:t xml:space="preserve"> κεφεπίμης, και μπορεί να κυμαίνεται σε σοβαρότητα από ήπια διάρροια </w:t>
      </w:r>
      <w:r>
        <w:rPr>
          <w:szCs w:val="22"/>
        </w:rPr>
        <w:t>έως</w:t>
      </w:r>
      <w:r w:rsidRPr="00187BD8">
        <w:rPr>
          <w:szCs w:val="22"/>
        </w:rPr>
        <w:t xml:space="preserve"> θανατηφόρα κολίτιδα. </w:t>
      </w:r>
      <w:r>
        <w:rPr>
          <w:szCs w:val="22"/>
        </w:rPr>
        <w:t xml:space="preserve">Η </w:t>
      </w:r>
      <w:r w:rsidRPr="00187BD8">
        <w:rPr>
          <w:szCs w:val="22"/>
        </w:rPr>
        <w:t>CDAD πρέπει να εξετ</w:t>
      </w:r>
      <w:r>
        <w:rPr>
          <w:szCs w:val="22"/>
        </w:rPr>
        <w:t>άζεται ως ενδεχόμενο</w:t>
      </w:r>
      <w:r w:rsidRPr="00187BD8">
        <w:rPr>
          <w:szCs w:val="22"/>
        </w:rPr>
        <w:t xml:space="preserve"> σε όλους τους ασθενείς που </w:t>
      </w:r>
      <w:r>
        <w:rPr>
          <w:szCs w:val="22"/>
        </w:rPr>
        <w:t>εμφανίζουν</w:t>
      </w:r>
      <w:r w:rsidRPr="00187BD8">
        <w:rPr>
          <w:szCs w:val="22"/>
        </w:rPr>
        <w:t xml:space="preserve"> διάρροια μετά από χρήση αντιβιοτικών. </w:t>
      </w:r>
      <w:r>
        <w:rPr>
          <w:szCs w:val="22"/>
        </w:rPr>
        <w:t>Ένα π</w:t>
      </w:r>
      <w:r w:rsidRPr="00187BD8">
        <w:rPr>
          <w:szCs w:val="22"/>
        </w:rPr>
        <w:t>ροσεκτικ</w:t>
      </w:r>
      <w:r>
        <w:rPr>
          <w:szCs w:val="22"/>
        </w:rPr>
        <w:t>ό</w:t>
      </w:r>
      <w:r w:rsidRPr="00187BD8">
        <w:rPr>
          <w:szCs w:val="22"/>
        </w:rPr>
        <w:t xml:space="preserve"> ιατρικό ιστορικό </w:t>
      </w:r>
      <w:r>
        <w:rPr>
          <w:szCs w:val="22"/>
        </w:rPr>
        <w:t>είναι απαραίτητο,</w:t>
      </w:r>
      <w:r w:rsidRPr="00187BD8">
        <w:rPr>
          <w:szCs w:val="22"/>
        </w:rPr>
        <w:t xml:space="preserve"> δεδομένου ότι </w:t>
      </w:r>
      <w:r>
        <w:rPr>
          <w:szCs w:val="22"/>
        </w:rPr>
        <w:t xml:space="preserve">η </w:t>
      </w:r>
      <w:r w:rsidRPr="00187BD8">
        <w:rPr>
          <w:szCs w:val="22"/>
        </w:rPr>
        <w:t xml:space="preserve">CDAD έχει αναφερθεί να </w:t>
      </w:r>
      <w:r>
        <w:rPr>
          <w:szCs w:val="22"/>
        </w:rPr>
        <w:t>ότι εμ</w:t>
      </w:r>
      <w:r w:rsidRPr="00187BD8">
        <w:rPr>
          <w:szCs w:val="22"/>
        </w:rPr>
        <w:t>φαν</w:t>
      </w:r>
      <w:r>
        <w:rPr>
          <w:szCs w:val="22"/>
        </w:rPr>
        <w:t>ίζεται</w:t>
      </w:r>
      <w:r w:rsidRPr="00187BD8">
        <w:rPr>
          <w:szCs w:val="22"/>
        </w:rPr>
        <w:t xml:space="preserve"> πάνω από δύο μήνες μετά τη χορήγηση των αντιβακτηριακών παραγόντων. </w:t>
      </w:r>
      <w:r>
        <w:rPr>
          <w:szCs w:val="22"/>
        </w:rPr>
        <w:t xml:space="preserve">Εάν </w:t>
      </w:r>
      <w:r w:rsidRPr="00187BD8">
        <w:rPr>
          <w:szCs w:val="22"/>
        </w:rPr>
        <w:t xml:space="preserve">υπάρχει υποψία ή επιβεβαίωση </w:t>
      </w:r>
      <w:r>
        <w:rPr>
          <w:szCs w:val="22"/>
        </w:rPr>
        <w:t xml:space="preserve">για </w:t>
      </w:r>
      <w:r w:rsidRPr="00187BD8">
        <w:rPr>
          <w:szCs w:val="22"/>
        </w:rPr>
        <w:t xml:space="preserve">CDAD, η συνεχιζόμενη χρήση των αντιβιοτικών </w:t>
      </w:r>
      <w:r>
        <w:rPr>
          <w:szCs w:val="22"/>
        </w:rPr>
        <w:t xml:space="preserve">που </w:t>
      </w:r>
      <w:r w:rsidRPr="00187BD8">
        <w:rPr>
          <w:szCs w:val="22"/>
        </w:rPr>
        <w:t xml:space="preserve">δεν </w:t>
      </w:r>
      <w:r>
        <w:rPr>
          <w:szCs w:val="22"/>
        </w:rPr>
        <w:t>επιδρούν</w:t>
      </w:r>
      <w:r w:rsidRPr="00187BD8">
        <w:rPr>
          <w:szCs w:val="22"/>
        </w:rPr>
        <w:t xml:space="preserve"> κατά του </w:t>
      </w:r>
      <w:r w:rsidRPr="00187BD8">
        <w:rPr>
          <w:i/>
          <w:szCs w:val="22"/>
        </w:rPr>
        <w:t>C. difficile</w:t>
      </w:r>
      <w:r w:rsidRPr="00187BD8">
        <w:rPr>
          <w:szCs w:val="22"/>
        </w:rPr>
        <w:t xml:space="preserve"> μπορεί να χρειαστεί να διακοπεί</w:t>
      </w:r>
      <w:r>
        <w:rPr>
          <w:szCs w:val="22"/>
        </w:rPr>
        <w:t>.</w:t>
      </w:r>
    </w:p>
    <w:p w:rsidR="00187BD8" w:rsidRDefault="00187BD8" w:rsidP="0031570A">
      <w:pPr>
        <w:tabs>
          <w:tab w:val="left" w:pos="567"/>
        </w:tabs>
        <w:autoSpaceDE w:val="0"/>
        <w:autoSpaceDN w:val="0"/>
        <w:adjustRightInd w:val="0"/>
        <w:rPr>
          <w:szCs w:val="22"/>
        </w:rPr>
      </w:pPr>
    </w:p>
    <w:p w:rsidR="00187BD8" w:rsidRPr="00187BD8" w:rsidRDefault="00187BD8" w:rsidP="0031570A">
      <w:pPr>
        <w:tabs>
          <w:tab w:val="left" w:pos="567"/>
        </w:tabs>
        <w:autoSpaceDE w:val="0"/>
        <w:autoSpaceDN w:val="0"/>
        <w:adjustRightInd w:val="0"/>
        <w:rPr>
          <w:szCs w:val="22"/>
          <w:u w:val="single"/>
        </w:rPr>
      </w:pPr>
      <w:r>
        <w:rPr>
          <w:szCs w:val="22"/>
          <w:u w:val="single"/>
        </w:rPr>
        <w:t>Νεφρική δυσλειτουργία</w:t>
      </w:r>
    </w:p>
    <w:p w:rsidR="00187BD8" w:rsidRDefault="00187BD8" w:rsidP="0031570A">
      <w:pPr>
        <w:tabs>
          <w:tab w:val="left" w:pos="567"/>
        </w:tabs>
        <w:autoSpaceDE w:val="0"/>
        <w:autoSpaceDN w:val="0"/>
        <w:adjustRightInd w:val="0"/>
        <w:rPr>
          <w:color w:val="FF0000"/>
          <w:szCs w:val="22"/>
        </w:rPr>
      </w:pPr>
      <w:r w:rsidRPr="00187BD8">
        <w:rPr>
          <w:szCs w:val="22"/>
        </w:rPr>
        <w:t xml:space="preserve">Σε ασθενείς με νεφρική </w:t>
      </w:r>
      <w:r>
        <w:rPr>
          <w:szCs w:val="22"/>
        </w:rPr>
        <w:t>δυσ</w:t>
      </w:r>
      <w:r w:rsidRPr="00187BD8">
        <w:rPr>
          <w:szCs w:val="22"/>
        </w:rPr>
        <w:t>λειτουργία (κάθαρση κρεατινίνης ≤</w:t>
      </w:r>
      <w:r>
        <w:rPr>
          <w:szCs w:val="22"/>
        </w:rPr>
        <w:t> </w:t>
      </w:r>
      <w:r w:rsidRPr="00187BD8">
        <w:rPr>
          <w:szCs w:val="22"/>
        </w:rPr>
        <w:t>50</w:t>
      </w:r>
      <w:r>
        <w:rPr>
          <w:szCs w:val="22"/>
        </w:rPr>
        <w:t> </w:t>
      </w:r>
      <w:r w:rsidRPr="00187BD8">
        <w:rPr>
          <w:szCs w:val="22"/>
        </w:rPr>
        <w:t xml:space="preserve"> mL/min) ή άλλες </w:t>
      </w:r>
      <w:r>
        <w:rPr>
          <w:szCs w:val="22"/>
        </w:rPr>
        <w:t>καταστάσεις</w:t>
      </w:r>
      <w:r w:rsidRPr="00187BD8">
        <w:rPr>
          <w:szCs w:val="22"/>
        </w:rPr>
        <w:t xml:space="preserve"> που μπορεί να </w:t>
      </w:r>
      <w:r w:rsidR="00AD6FA1" w:rsidRPr="00187BD8">
        <w:rPr>
          <w:szCs w:val="22"/>
        </w:rPr>
        <w:t>διακυβεύσ</w:t>
      </w:r>
      <w:r w:rsidR="00AD6FA1">
        <w:rPr>
          <w:szCs w:val="22"/>
        </w:rPr>
        <w:t>ουν</w:t>
      </w:r>
      <w:r w:rsidRPr="00187BD8">
        <w:rPr>
          <w:szCs w:val="22"/>
        </w:rPr>
        <w:t xml:space="preserve"> τη νεφρική λειτουργία, η δοσολογία της κεφεπίμης πρέπει να προσαρμόζεται για να αντισταθμίσει τ</w:t>
      </w:r>
      <w:r w:rsidR="00F85210">
        <w:rPr>
          <w:szCs w:val="22"/>
        </w:rPr>
        <w:t>ο</w:t>
      </w:r>
      <w:r w:rsidRPr="00187BD8">
        <w:rPr>
          <w:szCs w:val="22"/>
        </w:rPr>
        <w:t xml:space="preserve"> βραδύτερο ρυθμό της νεφρικής </w:t>
      </w:r>
      <w:r>
        <w:rPr>
          <w:szCs w:val="22"/>
        </w:rPr>
        <w:t>αποβολή</w:t>
      </w:r>
      <w:r w:rsidRPr="00187BD8">
        <w:rPr>
          <w:szCs w:val="22"/>
        </w:rPr>
        <w:t xml:space="preserve">ς. Επειδή </w:t>
      </w:r>
      <w:r w:rsidR="00AD6FA1">
        <w:rPr>
          <w:szCs w:val="22"/>
        </w:rPr>
        <w:t xml:space="preserve">οι </w:t>
      </w:r>
      <w:r w:rsidR="00AD6FA1" w:rsidRPr="00187BD8">
        <w:rPr>
          <w:szCs w:val="22"/>
        </w:rPr>
        <w:t>υψηλές και παρατεταμέν</w:t>
      </w:r>
      <w:r w:rsidR="00AD6FA1">
        <w:rPr>
          <w:szCs w:val="22"/>
        </w:rPr>
        <w:t>ες</w:t>
      </w:r>
      <w:r w:rsidR="00AD6FA1" w:rsidRPr="00187BD8">
        <w:rPr>
          <w:szCs w:val="22"/>
        </w:rPr>
        <w:t xml:space="preserve"> συγκεντρώσεις </w:t>
      </w:r>
      <w:r w:rsidRPr="00187BD8">
        <w:rPr>
          <w:szCs w:val="22"/>
        </w:rPr>
        <w:t>αντιβιοτικ</w:t>
      </w:r>
      <w:r w:rsidR="00AD6FA1">
        <w:rPr>
          <w:szCs w:val="22"/>
        </w:rPr>
        <w:t>ού</w:t>
      </w:r>
      <w:r w:rsidRPr="00187BD8">
        <w:rPr>
          <w:szCs w:val="22"/>
        </w:rPr>
        <w:t xml:space="preserve"> </w:t>
      </w:r>
      <w:r w:rsidR="00AD6FA1">
        <w:rPr>
          <w:szCs w:val="22"/>
        </w:rPr>
        <w:t xml:space="preserve">στον </w:t>
      </w:r>
      <w:r w:rsidRPr="00187BD8">
        <w:rPr>
          <w:szCs w:val="22"/>
        </w:rPr>
        <w:t>ορ</w:t>
      </w:r>
      <w:r w:rsidR="00AD6FA1">
        <w:rPr>
          <w:szCs w:val="22"/>
        </w:rPr>
        <w:t>ό</w:t>
      </w:r>
      <w:r w:rsidRPr="00187BD8">
        <w:rPr>
          <w:szCs w:val="22"/>
        </w:rPr>
        <w:t xml:space="preserve"> μπορεί να συμβ</w:t>
      </w:r>
      <w:r w:rsidR="00AD6FA1">
        <w:rPr>
          <w:szCs w:val="22"/>
        </w:rPr>
        <w:t>ούν</w:t>
      </w:r>
      <w:r w:rsidRPr="00187BD8">
        <w:rPr>
          <w:szCs w:val="22"/>
        </w:rPr>
        <w:t xml:space="preserve"> από τη συνήθη δοσολογία σε ασθενείς με νεφρική ανεπάρκεια ή άλλες καταστάσεις που μπορεί να διακυβεύσ</w:t>
      </w:r>
      <w:r w:rsidR="00AD6FA1">
        <w:rPr>
          <w:szCs w:val="22"/>
        </w:rPr>
        <w:t>ουν</w:t>
      </w:r>
      <w:r w:rsidRPr="00187BD8">
        <w:rPr>
          <w:szCs w:val="22"/>
        </w:rPr>
        <w:t xml:space="preserve"> τη νεφρική λειτουργία, η δόση συντήρησης πρέπει να μει</w:t>
      </w:r>
      <w:r w:rsidR="00AD6FA1">
        <w:rPr>
          <w:szCs w:val="22"/>
        </w:rPr>
        <w:t>ώνεται, όταν η</w:t>
      </w:r>
      <w:r w:rsidRPr="00187BD8">
        <w:rPr>
          <w:szCs w:val="22"/>
        </w:rPr>
        <w:t xml:space="preserve"> κεφεπίμη χορηγείται σε αυτούς τους ασθενείς. </w:t>
      </w:r>
      <w:r w:rsidR="004252F8">
        <w:rPr>
          <w:szCs w:val="22"/>
        </w:rPr>
        <w:t xml:space="preserve">Η συνέχιση της </w:t>
      </w:r>
      <w:r w:rsidRPr="004252F8">
        <w:rPr>
          <w:szCs w:val="22"/>
        </w:rPr>
        <w:t>δοσολογία</w:t>
      </w:r>
      <w:r w:rsidR="004252F8" w:rsidRPr="004252F8">
        <w:rPr>
          <w:szCs w:val="22"/>
        </w:rPr>
        <w:t>ς</w:t>
      </w:r>
      <w:r w:rsidRPr="004252F8">
        <w:rPr>
          <w:szCs w:val="22"/>
        </w:rPr>
        <w:t xml:space="preserve"> πρέπει να καθορίζεται από το βαθμό της νεφρικής </w:t>
      </w:r>
      <w:r w:rsidR="004252F8" w:rsidRPr="004252F8">
        <w:rPr>
          <w:szCs w:val="22"/>
        </w:rPr>
        <w:t>δυσλειτουργία</w:t>
      </w:r>
      <w:r w:rsidRPr="004252F8">
        <w:rPr>
          <w:szCs w:val="22"/>
        </w:rPr>
        <w:t>ς</w:t>
      </w:r>
      <w:r w:rsidR="004252F8">
        <w:rPr>
          <w:szCs w:val="22"/>
        </w:rPr>
        <w:t>,</w:t>
      </w:r>
      <w:r w:rsidRPr="004252F8">
        <w:rPr>
          <w:szCs w:val="22"/>
        </w:rPr>
        <w:t xml:space="preserve"> </w:t>
      </w:r>
      <w:r w:rsidR="004252F8">
        <w:rPr>
          <w:szCs w:val="22"/>
        </w:rPr>
        <w:t>τ</w:t>
      </w:r>
      <w:r w:rsidRPr="004252F8">
        <w:rPr>
          <w:szCs w:val="22"/>
        </w:rPr>
        <w:t xml:space="preserve">η σοβαρότητα της λοίμωξης και την ευαισθησία των </w:t>
      </w:r>
      <w:r w:rsidR="004252F8">
        <w:rPr>
          <w:szCs w:val="22"/>
        </w:rPr>
        <w:t xml:space="preserve">παθογόνων </w:t>
      </w:r>
      <w:r w:rsidRPr="004252F8">
        <w:rPr>
          <w:szCs w:val="22"/>
        </w:rPr>
        <w:t>οργανισμών (βλέπε παραγράφους 4.2 και 5.</w:t>
      </w:r>
      <w:r w:rsidRPr="004252F8">
        <w:rPr>
          <w:color w:val="FF0000"/>
          <w:szCs w:val="22"/>
        </w:rPr>
        <w:t>2</w:t>
      </w:r>
      <w:r w:rsidR="004252F8">
        <w:rPr>
          <w:color w:val="FF0000"/>
          <w:szCs w:val="22"/>
        </w:rPr>
        <w:t>).</w:t>
      </w:r>
    </w:p>
    <w:p w:rsidR="004252F8" w:rsidRDefault="004252F8" w:rsidP="0031570A">
      <w:pPr>
        <w:tabs>
          <w:tab w:val="left" w:pos="567"/>
        </w:tabs>
        <w:autoSpaceDE w:val="0"/>
        <w:autoSpaceDN w:val="0"/>
        <w:adjustRightInd w:val="0"/>
        <w:rPr>
          <w:szCs w:val="22"/>
        </w:rPr>
      </w:pPr>
    </w:p>
    <w:p w:rsidR="000954F0" w:rsidRDefault="004252F8" w:rsidP="000954F0">
      <w:pPr>
        <w:widowControl/>
        <w:autoSpaceDE w:val="0"/>
        <w:autoSpaceDN w:val="0"/>
        <w:adjustRightInd w:val="0"/>
        <w:rPr>
          <w:szCs w:val="22"/>
        </w:rPr>
      </w:pPr>
      <w:r>
        <w:rPr>
          <w:szCs w:val="22"/>
        </w:rPr>
        <w:t xml:space="preserve">Κατά τη διάρκεια της παρακολούθησης μετά την κυκλοφορία, </w:t>
      </w:r>
      <w:r w:rsidR="00A30AFA">
        <w:rPr>
          <w:szCs w:val="22"/>
        </w:rPr>
        <w:t>οι ακόλουθες σοβαρές ανεπιθύμητες ενέργειες</w:t>
      </w:r>
      <w:r w:rsidR="003354A4" w:rsidRPr="006756E8">
        <w:rPr>
          <w:szCs w:val="22"/>
        </w:rPr>
        <w:t xml:space="preserve"> έχουν αναφερθεί</w:t>
      </w:r>
      <w:r w:rsidR="00A30AFA">
        <w:rPr>
          <w:szCs w:val="22"/>
        </w:rPr>
        <w:t>:</w:t>
      </w:r>
      <w:r w:rsidR="003354A4" w:rsidRPr="006756E8">
        <w:rPr>
          <w:szCs w:val="22"/>
        </w:rPr>
        <w:t xml:space="preserve"> </w:t>
      </w:r>
      <w:r w:rsidR="00A30AFA">
        <w:rPr>
          <w:szCs w:val="22"/>
        </w:rPr>
        <w:t xml:space="preserve">αναστρέψιμη </w:t>
      </w:r>
      <w:r w:rsidR="00A30AFA" w:rsidRPr="00A30AFA">
        <w:rPr>
          <w:szCs w:val="22"/>
        </w:rPr>
        <w:t>εγκεφαλοπάθεια</w:t>
      </w:r>
      <w:r w:rsidR="00A30AFA">
        <w:rPr>
          <w:szCs w:val="22"/>
        </w:rPr>
        <w:t xml:space="preserve"> (διαταραχή της συνείδησης συμπεριλαμβανομένων σύγχυσης, ψ</w:t>
      </w:r>
      <w:r w:rsidR="00A30AFA" w:rsidRPr="00A30AFA">
        <w:rPr>
          <w:szCs w:val="22"/>
        </w:rPr>
        <w:t>ευδα</w:t>
      </w:r>
      <w:r w:rsidR="00A30AFA">
        <w:rPr>
          <w:szCs w:val="22"/>
        </w:rPr>
        <w:t>ι</w:t>
      </w:r>
      <w:r w:rsidR="00A30AFA" w:rsidRPr="00A30AFA">
        <w:rPr>
          <w:szCs w:val="22"/>
        </w:rPr>
        <w:t>σθ</w:t>
      </w:r>
      <w:r w:rsidR="00A30AFA">
        <w:rPr>
          <w:szCs w:val="22"/>
        </w:rPr>
        <w:t>ή</w:t>
      </w:r>
      <w:r w:rsidR="00A30AFA" w:rsidRPr="00A30AFA">
        <w:rPr>
          <w:szCs w:val="22"/>
        </w:rPr>
        <w:t>σ</w:t>
      </w:r>
      <w:r w:rsidR="00A30AFA">
        <w:rPr>
          <w:szCs w:val="22"/>
        </w:rPr>
        <w:t>εων, λ</w:t>
      </w:r>
      <w:r w:rsidR="00A30AFA" w:rsidRPr="00A30AFA">
        <w:rPr>
          <w:szCs w:val="22"/>
        </w:rPr>
        <w:t>ήθαργο</w:t>
      </w:r>
      <w:r w:rsidR="00A30AFA">
        <w:rPr>
          <w:szCs w:val="22"/>
        </w:rPr>
        <w:t>υ και κώματος), μ</w:t>
      </w:r>
      <w:r w:rsidR="00A30AFA" w:rsidRPr="00A30AFA">
        <w:rPr>
          <w:szCs w:val="22"/>
        </w:rPr>
        <w:t>υόκλωνος</w:t>
      </w:r>
      <w:r w:rsidR="00A30AFA">
        <w:rPr>
          <w:szCs w:val="22"/>
        </w:rPr>
        <w:t>, σπασμοί (</w:t>
      </w:r>
      <w:r w:rsidR="00100C08">
        <w:rPr>
          <w:szCs w:val="22"/>
        </w:rPr>
        <w:t xml:space="preserve">συμπεριλαμβανομένου </w:t>
      </w:r>
      <w:r w:rsidR="00214F82" w:rsidRPr="00A30AFA">
        <w:rPr>
          <w:szCs w:val="22"/>
        </w:rPr>
        <w:t>s</w:t>
      </w:r>
      <w:r w:rsidR="00A30AFA" w:rsidRPr="00A30AFA">
        <w:rPr>
          <w:szCs w:val="22"/>
        </w:rPr>
        <w:t>tatus epilepticus</w:t>
      </w:r>
      <w:r w:rsidR="00214F82">
        <w:rPr>
          <w:szCs w:val="22"/>
        </w:rPr>
        <w:t xml:space="preserve"> </w:t>
      </w:r>
      <w:r w:rsidR="00214F82" w:rsidRPr="00214F82">
        <w:rPr>
          <w:szCs w:val="22"/>
        </w:rPr>
        <w:t>χωρίς σπασμούς</w:t>
      </w:r>
      <w:r w:rsidR="00214F82">
        <w:rPr>
          <w:szCs w:val="22"/>
        </w:rPr>
        <w:t>)</w:t>
      </w:r>
      <w:r w:rsidR="000954F0">
        <w:rPr>
          <w:szCs w:val="22"/>
        </w:rPr>
        <w:t xml:space="preserve"> και/ή νεφρική ανεπάρκεια (βλέπε παράγραφο 4.8). </w:t>
      </w:r>
      <w:r w:rsidR="000954F0" w:rsidRPr="000954F0">
        <w:rPr>
          <w:rFonts w:hint="eastAsia"/>
          <w:szCs w:val="22"/>
        </w:rPr>
        <w:t>Οι</w:t>
      </w:r>
      <w:r w:rsidR="000954F0" w:rsidRPr="000954F0">
        <w:rPr>
          <w:szCs w:val="22"/>
        </w:rPr>
        <w:t xml:space="preserve"> </w:t>
      </w:r>
      <w:r w:rsidR="000954F0" w:rsidRPr="000954F0">
        <w:rPr>
          <w:rFonts w:hint="eastAsia"/>
          <w:szCs w:val="22"/>
        </w:rPr>
        <w:t>περισσότερες</w:t>
      </w:r>
      <w:r w:rsidR="000954F0" w:rsidRPr="000954F0">
        <w:rPr>
          <w:szCs w:val="22"/>
        </w:rPr>
        <w:t xml:space="preserve"> </w:t>
      </w:r>
      <w:r w:rsidR="000954F0" w:rsidRPr="000954F0">
        <w:rPr>
          <w:rFonts w:hint="eastAsia"/>
          <w:szCs w:val="22"/>
        </w:rPr>
        <w:t>περιπτώσεις</w:t>
      </w:r>
      <w:r w:rsidR="000954F0">
        <w:rPr>
          <w:szCs w:val="22"/>
        </w:rPr>
        <w:t xml:space="preserve"> </w:t>
      </w:r>
      <w:r w:rsidR="000954F0" w:rsidRPr="000954F0">
        <w:rPr>
          <w:rFonts w:hint="eastAsia"/>
          <w:szCs w:val="22"/>
        </w:rPr>
        <w:t>παρουσιάσθηκαν</w:t>
      </w:r>
      <w:r w:rsidR="003354A4" w:rsidRPr="006756E8">
        <w:rPr>
          <w:szCs w:val="22"/>
        </w:rPr>
        <w:t xml:space="preserve"> σε ασθενείς με νεφρική </w:t>
      </w:r>
      <w:r w:rsidR="000954F0">
        <w:rPr>
          <w:szCs w:val="22"/>
        </w:rPr>
        <w:t xml:space="preserve">δυσλειτουργία, </w:t>
      </w:r>
      <w:r w:rsidR="000954F0" w:rsidRPr="000954F0">
        <w:rPr>
          <w:rFonts w:hint="eastAsia"/>
          <w:szCs w:val="22"/>
        </w:rPr>
        <w:t>που</w:t>
      </w:r>
      <w:r w:rsidR="000954F0" w:rsidRPr="000954F0">
        <w:rPr>
          <w:szCs w:val="22"/>
        </w:rPr>
        <w:t xml:space="preserve"> </w:t>
      </w:r>
      <w:r w:rsidR="000954F0" w:rsidRPr="000954F0">
        <w:rPr>
          <w:rFonts w:hint="eastAsia"/>
          <w:szCs w:val="22"/>
        </w:rPr>
        <w:t>έλαβαν</w:t>
      </w:r>
      <w:r w:rsidR="000954F0">
        <w:rPr>
          <w:szCs w:val="22"/>
        </w:rPr>
        <w:t xml:space="preserve"> δόσεις </w:t>
      </w:r>
      <w:r w:rsidR="000954F0" w:rsidRPr="006756E8">
        <w:rPr>
          <w:szCs w:val="22"/>
        </w:rPr>
        <w:t>κεφεπίμη</w:t>
      </w:r>
      <w:r w:rsidR="000954F0">
        <w:rPr>
          <w:szCs w:val="22"/>
        </w:rPr>
        <w:t>ς</w:t>
      </w:r>
      <w:r w:rsidR="000954F0" w:rsidRPr="000954F0">
        <w:rPr>
          <w:szCs w:val="22"/>
        </w:rPr>
        <w:t xml:space="preserve"> </w:t>
      </w:r>
      <w:r w:rsidR="000954F0" w:rsidRPr="000954F0">
        <w:rPr>
          <w:rFonts w:hint="eastAsia"/>
          <w:szCs w:val="22"/>
        </w:rPr>
        <w:t>που</w:t>
      </w:r>
      <w:r w:rsidR="000954F0" w:rsidRPr="000954F0">
        <w:rPr>
          <w:szCs w:val="22"/>
        </w:rPr>
        <w:t xml:space="preserve"> </w:t>
      </w:r>
      <w:r w:rsidR="000954F0" w:rsidRPr="000954F0">
        <w:rPr>
          <w:rFonts w:hint="eastAsia"/>
          <w:szCs w:val="22"/>
        </w:rPr>
        <w:t>ήταν</w:t>
      </w:r>
      <w:r w:rsidR="000954F0" w:rsidRPr="000954F0">
        <w:rPr>
          <w:szCs w:val="22"/>
        </w:rPr>
        <w:t xml:space="preserve"> </w:t>
      </w:r>
      <w:r w:rsidR="000954F0" w:rsidRPr="000954F0">
        <w:rPr>
          <w:rFonts w:hint="eastAsia"/>
          <w:szCs w:val="22"/>
        </w:rPr>
        <w:t>μεγαλύτερες</w:t>
      </w:r>
      <w:r w:rsidR="000954F0" w:rsidRPr="000954F0">
        <w:rPr>
          <w:szCs w:val="22"/>
        </w:rPr>
        <w:t xml:space="preserve"> </w:t>
      </w:r>
      <w:r w:rsidR="000954F0" w:rsidRPr="000954F0">
        <w:rPr>
          <w:rFonts w:hint="eastAsia"/>
          <w:szCs w:val="22"/>
        </w:rPr>
        <w:t>από</w:t>
      </w:r>
      <w:r w:rsidR="000954F0" w:rsidRPr="000954F0">
        <w:rPr>
          <w:szCs w:val="22"/>
        </w:rPr>
        <w:t xml:space="preserve"> </w:t>
      </w:r>
      <w:r w:rsidR="000954F0" w:rsidRPr="000954F0">
        <w:rPr>
          <w:rFonts w:hint="eastAsia"/>
          <w:szCs w:val="22"/>
        </w:rPr>
        <w:t>τις</w:t>
      </w:r>
      <w:r w:rsidR="000954F0" w:rsidRPr="000954F0">
        <w:rPr>
          <w:szCs w:val="22"/>
        </w:rPr>
        <w:t xml:space="preserve"> </w:t>
      </w:r>
      <w:r w:rsidR="000954F0" w:rsidRPr="000954F0">
        <w:rPr>
          <w:rFonts w:hint="eastAsia"/>
          <w:szCs w:val="22"/>
        </w:rPr>
        <w:t>συνιστώμενες</w:t>
      </w:r>
      <w:r w:rsidR="003354A4" w:rsidRPr="006756E8">
        <w:rPr>
          <w:szCs w:val="22"/>
        </w:rPr>
        <w:t>.</w:t>
      </w:r>
    </w:p>
    <w:p w:rsidR="000954F0" w:rsidRDefault="000954F0" w:rsidP="000954F0">
      <w:pPr>
        <w:widowControl/>
        <w:autoSpaceDE w:val="0"/>
        <w:autoSpaceDN w:val="0"/>
        <w:adjustRightInd w:val="0"/>
        <w:rPr>
          <w:szCs w:val="22"/>
        </w:rPr>
      </w:pPr>
    </w:p>
    <w:p w:rsidR="003354A4" w:rsidRPr="006756E8" w:rsidRDefault="003354A4" w:rsidP="000954F0">
      <w:pPr>
        <w:widowControl/>
        <w:autoSpaceDE w:val="0"/>
        <w:autoSpaceDN w:val="0"/>
        <w:adjustRightInd w:val="0"/>
        <w:rPr>
          <w:szCs w:val="22"/>
        </w:rPr>
      </w:pPr>
      <w:r w:rsidRPr="006756E8">
        <w:rPr>
          <w:szCs w:val="22"/>
        </w:rPr>
        <w:t xml:space="preserve">Γενικά, τα συμπτώματα νευροτοξικότητας </w:t>
      </w:r>
      <w:r w:rsidR="000954F0">
        <w:rPr>
          <w:szCs w:val="22"/>
        </w:rPr>
        <w:t>υποχώρησαν</w:t>
      </w:r>
      <w:r w:rsidRPr="006756E8">
        <w:rPr>
          <w:szCs w:val="22"/>
        </w:rPr>
        <w:t xml:space="preserve"> μετά τη διακοπή της </w:t>
      </w:r>
      <w:r w:rsidR="00465C3A" w:rsidRPr="006756E8">
        <w:rPr>
          <w:szCs w:val="22"/>
        </w:rPr>
        <w:t>κεφεπίμη</w:t>
      </w:r>
      <w:r w:rsidR="000954F0">
        <w:rPr>
          <w:szCs w:val="22"/>
        </w:rPr>
        <w:t>ς</w:t>
      </w:r>
      <w:r w:rsidR="00465C3A" w:rsidRPr="006756E8">
        <w:rPr>
          <w:szCs w:val="22"/>
        </w:rPr>
        <w:t xml:space="preserve"> και/ή μετά από αιμοκά</w:t>
      </w:r>
      <w:r w:rsidRPr="006756E8">
        <w:rPr>
          <w:szCs w:val="22"/>
        </w:rPr>
        <w:t>θαρση</w:t>
      </w:r>
      <w:r w:rsidR="000954F0">
        <w:rPr>
          <w:szCs w:val="22"/>
        </w:rPr>
        <w:t>,</w:t>
      </w:r>
      <w:r w:rsidR="00465C3A" w:rsidRPr="006756E8">
        <w:rPr>
          <w:szCs w:val="22"/>
        </w:rPr>
        <w:t xml:space="preserve"> ωστόσο, μερικές περιπτώσεις </w:t>
      </w:r>
      <w:r w:rsidR="000954F0">
        <w:rPr>
          <w:szCs w:val="22"/>
        </w:rPr>
        <w:t>συμπεριλάμβαναν</w:t>
      </w:r>
      <w:r w:rsidRPr="006756E8">
        <w:rPr>
          <w:szCs w:val="22"/>
        </w:rPr>
        <w:t xml:space="preserve"> θανατηφόρο κατάληξη.</w:t>
      </w:r>
    </w:p>
    <w:p w:rsidR="00F93B2D" w:rsidRPr="006756E8" w:rsidRDefault="00F93B2D" w:rsidP="0031570A">
      <w:pPr>
        <w:tabs>
          <w:tab w:val="left" w:pos="567"/>
        </w:tabs>
        <w:autoSpaceDE w:val="0"/>
        <w:autoSpaceDN w:val="0"/>
        <w:adjustRightInd w:val="0"/>
        <w:rPr>
          <w:szCs w:val="22"/>
        </w:rPr>
      </w:pPr>
    </w:p>
    <w:p w:rsidR="00582269" w:rsidRPr="00582269" w:rsidRDefault="00582269" w:rsidP="00582269">
      <w:pPr>
        <w:widowControl/>
        <w:autoSpaceDE w:val="0"/>
        <w:autoSpaceDN w:val="0"/>
        <w:adjustRightInd w:val="0"/>
        <w:rPr>
          <w:szCs w:val="22"/>
          <w:u w:val="single"/>
        </w:rPr>
      </w:pPr>
      <w:r w:rsidRPr="00582269">
        <w:rPr>
          <w:szCs w:val="22"/>
          <w:u w:val="single"/>
        </w:rPr>
        <w:t>Ηλικιωμένοι ασθενείς</w:t>
      </w:r>
    </w:p>
    <w:p w:rsidR="00582269" w:rsidRDefault="00582269" w:rsidP="00582269">
      <w:pPr>
        <w:widowControl/>
        <w:autoSpaceDE w:val="0"/>
        <w:autoSpaceDN w:val="0"/>
        <w:adjustRightInd w:val="0"/>
        <w:rPr>
          <w:szCs w:val="22"/>
        </w:rPr>
      </w:pPr>
      <w:r w:rsidRPr="00582269">
        <w:rPr>
          <w:rFonts w:hint="eastAsia"/>
          <w:szCs w:val="22"/>
        </w:rPr>
        <w:t>Από</w:t>
      </w:r>
      <w:r w:rsidRPr="00582269">
        <w:rPr>
          <w:szCs w:val="22"/>
        </w:rPr>
        <w:t xml:space="preserve"> </w:t>
      </w:r>
      <w:r w:rsidRPr="00582269">
        <w:rPr>
          <w:rFonts w:hint="eastAsia"/>
          <w:szCs w:val="22"/>
        </w:rPr>
        <w:t>τους</w:t>
      </w:r>
      <w:r w:rsidRPr="00582269">
        <w:rPr>
          <w:szCs w:val="22"/>
        </w:rPr>
        <w:t xml:space="preserve"> </w:t>
      </w:r>
      <w:r w:rsidRPr="00582269">
        <w:rPr>
          <w:rFonts w:hint="eastAsia"/>
          <w:szCs w:val="22"/>
        </w:rPr>
        <w:t>περισσότερους</w:t>
      </w:r>
      <w:r w:rsidRPr="00582269">
        <w:rPr>
          <w:szCs w:val="22"/>
        </w:rPr>
        <w:t xml:space="preserve"> </w:t>
      </w:r>
      <w:r w:rsidRPr="00582269">
        <w:rPr>
          <w:rFonts w:hint="eastAsia"/>
          <w:szCs w:val="22"/>
        </w:rPr>
        <w:t>από</w:t>
      </w:r>
      <w:r w:rsidRPr="00582269">
        <w:rPr>
          <w:szCs w:val="22"/>
        </w:rPr>
        <w:t xml:space="preserve"> 6</w:t>
      </w:r>
      <w:r>
        <w:rPr>
          <w:szCs w:val="22"/>
        </w:rPr>
        <w:t>.</w:t>
      </w:r>
      <w:r w:rsidRPr="00582269">
        <w:rPr>
          <w:szCs w:val="22"/>
        </w:rPr>
        <w:t xml:space="preserve">400 </w:t>
      </w:r>
      <w:r w:rsidRPr="00582269">
        <w:rPr>
          <w:rFonts w:hint="eastAsia"/>
          <w:szCs w:val="22"/>
        </w:rPr>
        <w:t>ενήλικες</w:t>
      </w:r>
      <w:r w:rsidRPr="00582269">
        <w:rPr>
          <w:szCs w:val="22"/>
        </w:rPr>
        <w:t xml:space="preserve"> </w:t>
      </w:r>
      <w:r w:rsidRPr="00582269">
        <w:rPr>
          <w:rFonts w:hint="eastAsia"/>
          <w:szCs w:val="22"/>
        </w:rPr>
        <w:t>που</w:t>
      </w:r>
      <w:r w:rsidRPr="00582269">
        <w:rPr>
          <w:szCs w:val="22"/>
        </w:rPr>
        <w:t xml:space="preserve"> </w:t>
      </w:r>
      <w:r>
        <w:rPr>
          <w:szCs w:val="22"/>
        </w:rPr>
        <w:t>υπό θεραπεία με κεφεπίμη</w:t>
      </w:r>
      <w:r w:rsidRPr="00582269">
        <w:rPr>
          <w:szCs w:val="22"/>
        </w:rPr>
        <w:t xml:space="preserve"> </w:t>
      </w:r>
      <w:r w:rsidRPr="00582269">
        <w:rPr>
          <w:rFonts w:hint="eastAsia"/>
          <w:szCs w:val="22"/>
        </w:rPr>
        <w:t>σε</w:t>
      </w:r>
      <w:r w:rsidRPr="00582269">
        <w:rPr>
          <w:szCs w:val="22"/>
        </w:rPr>
        <w:t xml:space="preserve"> </w:t>
      </w:r>
      <w:r w:rsidRPr="00582269">
        <w:rPr>
          <w:rFonts w:hint="eastAsia"/>
          <w:szCs w:val="22"/>
        </w:rPr>
        <w:t>κλινικές</w:t>
      </w:r>
      <w:r>
        <w:rPr>
          <w:szCs w:val="22"/>
        </w:rPr>
        <w:t xml:space="preserve"> </w:t>
      </w:r>
      <w:r w:rsidRPr="00582269">
        <w:rPr>
          <w:rFonts w:hint="eastAsia"/>
          <w:szCs w:val="22"/>
        </w:rPr>
        <w:t>μελέτες</w:t>
      </w:r>
      <w:r w:rsidRPr="00582269">
        <w:rPr>
          <w:szCs w:val="22"/>
        </w:rPr>
        <w:t xml:space="preserve">, </w:t>
      </w:r>
      <w:r w:rsidRPr="00582269">
        <w:rPr>
          <w:rFonts w:hint="eastAsia"/>
          <w:szCs w:val="22"/>
        </w:rPr>
        <w:t>το</w:t>
      </w:r>
      <w:r w:rsidRPr="00582269">
        <w:rPr>
          <w:szCs w:val="22"/>
        </w:rPr>
        <w:t xml:space="preserve"> 35% </w:t>
      </w:r>
      <w:r w:rsidRPr="00582269">
        <w:rPr>
          <w:rFonts w:hint="eastAsia"/>
          <w:szCs w:val="22"/>
        </w:rPr>
        <w:t>ήταν</w:t>
      </w:r>
      <w:r w:rsidRPr="00582269">
        <w:rPr>
          <w:szCs w:val="22"/>
        </w:rPr>
        <w:t xml:space="preserve"> 65 </w:t>
      </w:r>
      <w:r w:rsidRPr="00582269">
        <w:rPr>
          <w:rFonts w:hint="eastAsia"/>
          <w:szCs w:val="22"/>
        </w:rPr>
        <w:t>ετών</w:t>
      </w:r>
      <w:r w:rsidRPr="00582269">
        <w:rPr>
          <w:szCs w:val="22"/>
        </w:rPr>
        <w:t xml:space="preserve"> </w:t>
      </w:r>
      <w:r w:rsidRPr="00582269">
        <w:rPr>
          <w:rFonts w:hint="eastAsia"/>
          <w:szCs w:val="22"/>
        </w:rPr>
        <w:t>ή</w:t>
      </w:r>
      <w:r w:rsidRPr="00582269">
        <w:rPr>
          <w:szCs w:val="22"/>
        </w:rPr>
        <w:t xml:space="preserve"> </w:t>
      </w:r>
      <w:r w:rsidRPr="00582269">
        <w:rPr>
          <w:rFonts w:hint="eastAsia"/>
          <w:szCs w:val="22"/>
        </w:rPr>
        <w:t>μεγαλύτεροι</w:t>
      </w:r>
      <w:r w:rsidRPr="00582269">
        <w:rPr>
          <w:szCs w:val="22"/>
        </w:rPr>
        <w:t xml:space="preserve"> </w:t>
      </w:r>
      <w:r w:rsidR="00CA0AB9">
        <w:rPr>
          <w:szCs w:val="22"/>
        </w:rPr>
        <w:t>ενώ</w:t>
      </w:r>
      <w:r w:rsidRPr="00582269">
        <w:rPr>
          <w:szCs w:val="22"/>
        </w:rPr>
        <w:t xml:space="preserve"> </w:t>
      </w:r>
      <w:r w:rsidRPr="00582269">
        <w:rPr>
          <w:rFonts w:hint="eastAsia"/>
          <w:szCs w:val="22"/>
        </w:rPr>
        <w:t>το</w:t>
      </w:r>
      <w:r w:rsidRPr="00582269">
        <w:rPr>
          <w:szCs w:val="22"/>
        </w:rPr>
        <w:t xml:space="preserve"> 16% </w:t>
      </w:r>
      <w:r w:rsidRPr="00582269">
        <w:rPr>
          <w:rFonts w:hint="eastAsia"/>
          <w:szCs w:val="22"/>
        </w:rPr>
        <w:t>ήταν</w:t>
      </w:r>
      <w:r w:rsidRPr="00582269">
        <w:rPr>
          <w:szCs w:val="22"/>
        </w:rPr>
        <w:t xml:space="preserve"> 75 </w:t>
      </w:r>
      <w:r w:rsidRPr="00582269">
        <w:rPr>
          <w:rFonts w:hint="eastAsia"/>
          <w:szCs w:val="22"/>
        </w:rPr>
        <w:t>ετών</w:t>
      </w:r>
      <w:r w:rsidRPr="00582269">
        <w:rPr>
          <w:szCs w:val="22"/>
        </w:rPr>
        <w:t xml:space="preserve"> </w:t>
      </w:r>
      <w:r w:rsidRPr="00582269">
        <w:rPr>
          <w:rFonts w:hint="eastAsia"/>
          <w:szCs w:val="22"/>
        </w:rPr>
        <w:t>ή</w:t>
      </w:r>
      <w:r>
        <w:rPr>
          <w:szCs w:val="22"/>
        </w:rPr>
        <w:t xml:space="preserve"> </w:t>
      </w:r>
      <w:r w:rsidRPr="00582269">
        <w:rPr>
          <w:rFonts w:hint="eastAsia"/>
          <w:szCs w:val="22"/>
        </w:rPr>
        <w:t>μεγαλύτεροι</w:t>
      </w:r>
      <w:r w:rsidRPr="00582269">
        <w:rPr>
          <w:szCs w:val="22"/>
        </w:rPr>
        <w:t>.</w:t>
      </w:r>
      <w:r w:rsidR="00CA0AB9">
        <w:rPr>
          <w:szCs w:val="22"/>
        </w:rPr>
        <w:t xml:space="preserve"> </w:t>
      </w:r>
      <w:r>
        <w:rPr>
          <w:szCs w:val="22"/>
        </w:rPr>
        <w:t>Για τους ηλικιωμένους ασθενείς</w:t>
      </w:r>
      <w:r w:rsidRPr="00582269">
        <w:rPr>
          <w:szCs w:val="22"/>
        </w:rPr>
        <w:t xml:space="preserve"> </w:t>
      </w:r>
      <w:r>
        <w:rPr>
          <w:szCs w:val="22"/>
        </w:rPr>
        <w:t>σ</w:t>
      </w:r>
      <w:r w:rsidRPr="00582269">
        <w:rPr>
          <w:rFonts w:hint="eastAsia"/>
          <w:szCs w:val="22"/>
        </w:rPr>
        <w:t>ε</w:t>
      </w:r>
      <w:r w:rsidRPr="00582269">
        <w:rPr>
          <w:szCs w:val="22"/>
        </w:rPr>
        <w:t xml:space="preserve"> </w:t>
      </w:r>
      <w:r w:rsidRPr="00582269">
        <w:rPr>
          <w:rFonts w:hint="eastAsia"/>
          <w:szCs w:val="22"/>
        </w:rPr>
        <w:t>κλινικές</w:t>
      </w:r>
      <w:r w:rsidRPr="00582269">
        <w:rPr>
          <w:szCs w:val="22"/>
        </w:rPr>
        <w:t xml:space="preserve"> </w:t>
      </w:r>
      <w:r w:rsidRPr="00582269">
        <w:rPr>
          <w:rFonts w:hint="eastAsia"/>
          <w:szCs w:val="22"/>
        </w:rPr>
        <w:t>μελέτες</w:t>
      </w:r>
      <w:r w:rsidRPr="00582269">
        <w:rPr>
          <w:szCs w:val="22"/>
        </w:rPr>
        <w:t xml:space="preserve">, </w:t>
      </w:r>
      <w:r w:rsidRPr="00582269">
        <w:rPr>
          <w:rFonts w:hint="eastAsia"/>
          <w:szCs w:val="22"/>
        </w:rPr>
        <w:t>όταν</w:t>
      </w:r>
      <w:r w:rsidRPr="00582269">
        <w:rPr>
          <w:szCs w:val="22"/>
        </w:rPr>
        <w:t xml:space="preserve"> </w:t>
      </w:r>
      <w:r w:rsidRPr="00582269">
        <w:rPr>
          <w:rFonts w:hint="eastAsia"/>
          <w:szCs w:val="22"/>
        </w:rPr>
        <w:t>οι</w:t>
      </w:r>
      <w:r w:rsidRPr="00582269">
        <w:rPr>
          <w:szCs w:val="22"/>
        </w:rPr>
        <w:t xml:space="preserve"> </w:t>
      </w:r>
      <w:r w:rsidRPr="00582269">
        <w:rPr>
          <w:rFonts w:hint="eastAsia"/>
          <w:szCs w:val="22"/>
        </w:rPr>
        <w:t>ηλικιωμένοι</w:t>
      </w:r>
      <w:r w:rsidRPr="00582269">
        <w:rPr>
          <w:szCs w:val="22"/>
        </w:rPr>
        <w:t xml:space="preserve"> </w:t>
      </w:r>
      <w:r w:rsidRPr="00582269">
        <w:rPr>
          <w:rFonts w:hint="eastAsia"/>
          <w:szCs w:val="22"/>
        </w:rPr>
        <w:t>ασθενείς</w:t>
      </w:r>
      <w:r w:rsidRPr="00582269">
        <w:rPr>
          <w:szCs w:val="22"/>
        </w:rPr>
        <w:t xml:space="preserve"> </w:t>
      </w:r>
      <w:r w:rsidRPr="00582269">
        <w:rPr>
          <w:rFonts w:hint="eastAsia"/>
          <w:szCs w:val="22"/>
        </w:rPr>
        <w:t>έλαβαν</w:t>
      </w:r>
      <w:r w:rsidRPr="00582269">
        <w:rPr>
          <w:szCs w:val="22"/>
        </w:rPr>
        <w:t xml:space="preserve"> </w:t>
      </w:r>
      <w:r w:rsidRPr="00582269">
        <w:rPr>
          <w:rFonts w:hint="eastAsia"/>
          <w:szCs w:val="22"/>
        </w:rPr>
        <w:t>τη</w:t>
      </w:r>
      <w:r w:rsidRPr="00582269">
        <w:rPr>
          <w:szCs w:val="22"/>
        </w:rPr>
        <w:t xml:space="preserve"> </w:t>
      </w:r>
      <w:r w:rsidRPr="00582269">
        <w:rPr>
          <w:rFonts w:hint="eastAsia"/>
          <w:szCs w:val="22"/>
        </w:rPr>
        <w:t>συνήθ</w:t>
      </w:r>
      <w:r>
        <w:rPr>
          <w:szCs w:val="22"/>
        </w:rPr>
        <w:t xml:space="preserve">η </w:t>
      </w:r>
      <w:r w:rsidRPr="00582269">
        <w:rPr>
          <w:rFonts w:hint="eastAsia"/>
          <w:szCs w:val="22"/>
        </w:rPr>
        <w:t>συνιστώμενη</w:t>
      </w:r>
      <w:r w:rsidRPr="00582269">
        <w:rPr>
          <w:szCs w:val="22"/>
        </w:rPr>
        <w:t xml:space="preserve"> </w:t>
      </w:r>
      <w:r w:rsidRPr="00582269">
        <w:rPr>
          <w:rFonts w:hint="eastAsia"/>
          <w:szCs w:val="22"/>
        </w:rPr>
        <w:t>δόση</w:t>
      </w:r>
      <w:r w:rsidRPr="00582269">
        <w:rPr>
          <w:szCs w:val="22"/>
        </w:rPr>
        <w:t xml:space="preserve"> </w:t>
      </w:r>
      <w:r w:rsidRPr="00582269">
        <w:rPr>
          <w:rFonts w:hint="eastAsia"/>
          <w:szCs w:val="22"/>
        </w:rPr>
        <w:t>για</w:t>
      </w:r>
      <w:r w:rsidRPr="00582269">
        <w:rPr>
          <w:szCs w:val="22"/>
        </w:rPr>
        <w:t xml:space="preserve"> </w:t>
      </w:r>
      <w:r w:rsidRPr="00582269">
        <w:rPr>
          <w:rFonts w:hint="eastAsia"/>
          <w:szCs w:val="22"/>
        </w:rPr>
        <w:t>τους</w:t>
      </w:r>
      <w:r w:rsidRPr="00582269">
        <w:rPr>
          <w:szCs w:val="22"/>
        </w:rPr>
        <w:t xml:space="preserve"> </w:t>
      </w:r>
      <w:r w:rsidRPr="00582269">
        <w:rPr>
          <w:rFonts w:hint="eastAsia"/>
          <w:szCs w:val="22"/>
        </w:rPr>
        <w:t>ενήλικες</w:t>
      </w:r>
      <w:r w:rsidRPr="00582269">
        <w:rPr>
          <w:szCs w:val="22"/>
        </w:rPr>
        <w:t xml:space="preserve">, </w:t>
      </w:r>
      <w:r w:rsidRPr="00582269">
        <w:rPr>
          <w:rFonts w:hint="eastAsia"/>
          <w:szCs w:val="22"/>
        </w:rPr>
        <w:t>η</w:t>
      </w:r>
      <w:r w:rsidRPr="00582269">
        <w:rPr>
          <w:szCs w:val="22"/>
        </w:rPr>
        <w:t xml:space="preserve"> </w:t>
      </w:r>
      <w:r w:rsidRPr="00582269">
        <w:rPr>
          <w:rFonts w:hint="eastAsia"/>
          <w:szCs w:val="22"/>
        </w:rPr>
        <w:t>κλινική</w:t>
      </w:r>
      <w:r w:rsidRPr="00582269">
        <w:rPr>
          <w:szCs w:val="22"/>
        </w:rPr>
        <w:t xml:space="preserve"> </w:t>
      </w:r>
      <w:r w:rsidRPr="00582269">
        <w:rPr>
          <w:rFonts w:hint="eastAsia"/>
          <w:szCs w:val="22"/>
        </w:rPr>
        <w:t>αποτελεσματικότητα</w:t>
      </w:r>
      <w:r w:rsidRPr="00582269">
        <w:rPr>
          <w:szCs w:val="22"/>
        </w:rPr>
        <w:t xml:space="preserve"> </w:t>
      </w:r>
      <w:r w:rsidRPr="00582269">
        <w:rPr>
          <w:rFonts w:hint="eastAsia"/>
          <w:szCs w:val="22"/>
        </w:rPr>
        <w:t>και</w:t>
      </w:r>
      <w:r w:rsidRPr="00582269">
        <w:rPr>
          <w:szCs w:val="22"/>
        </w:rPr>
        <w:t xml:space="preserve"> </w:t>
      </w:r>
      <w:r w:rsidRPr="00582269">
        <w:rPr>
          <w:rFonts w:hint="eastAsia"/>
          <w:szCs w:val="22"/>
        </w:rPr>
        <w:t>ασφάλεια</w:t>
      </w:r>
      <w:r>
        <w:rPr>
          <w:szCs w:val="22"/>
        </w:rPr>
        <w:t xml:space="preserve"> </w:t>
      </w:r>
      <w:r w:rsidRPr="00582269">
        <w:rPr>
          <w:rFonts w:hint="eastAsia"/>
          <w:szCs w:val="22"/>
        </w:rPr>
        <w:t>ήταν</w:t>
      </w:r>
      <w:r w:rsidRPr="00582269">
        <w:rPr>
          <w:szCs w:val="22"/>
        </w:rPr>
        <w:t xml:space="preserve"> </w:t>
      </w:r>
      <w:r>
        <w:rPr>
          <w:rFonts w:hint="eastAsia"/>
          <w:szCs w:val="22"/>
        </w:rPr>
        <w:t>συγκρίσιμ</w:t>
      </w:r>
      <w:r>
        <w:rPr>
          <w:szCs w:val="22"/>
        </w:rPr>
        <w:t>ες</w:t>
      </w:r>
      <w:r w:rsidRPr="00582269">
        <w:rPr>
          <w:szCs w:val="22"/>
        </w:rPr>
        <w:t xml:space="preserve"> </w:t>
      </w:r>
      <w:r w:rsidRPr="00582269">
        <w:rPr>
          <w:rFonts w:hint="eastAsia"/>
          <w:szCs w:val="22"/>
        </w:rPr>
        <w:t>με</w:t>
      </w:r>
      <w:r w:rsidRPr="00582269">
        <w:rPr>
          <w:szCs w:val="22"/>
        </w:rPr>
        <w:t xml:space="preserve"> </w:t>
      </w:r>
      <w:r w:rsidRPr="00582269">
        <w:rPr>
          <w:rFonts w:hint="eastAsia"/>
          <w:szCs w:val="22"/>
        </w:rPr>
        <w:t>την</w:t>
      </w:r>
      <w:r w:rsidRPr="00582269">
        <w:rPr>
          <w:szCs w:val="22"/>
        </w:rPr>
        <w:t xml:space="preserve"> </w:t>
      </w:r>
      <w:r w:rsidRPr="00582269">
        <w:rPr>
          <w:rFonts w:hint="eastAsia"/>
          <w:szCs w:val="22"/>
        </w:rPr>
        <w:t>κλινική</w:t>
      </w:r>
      <w:r w:rsidRPr="00582269">
        <w:rPr>
          <w:szCs w:val="22"/>
        </w:rPr>
        <w:t xml:space="preserve"> </w:t>
      </w:r>
      <w:r w:rsidRPr="00582269">
        <w:rPr>
          <w:rFonts w:hint="eastAsia"/>
          <w:szCs w:val="22"/>
        </w:rPr>
        <w:t>αποτελεσματικότητα</w:t>
      </w:r>
      <w:r w:rsidRPr="00582269">
        <w:rPr>
          <w:szCs w:val="22"/>
        </w:rPr>
        <w:t xml:space="preserve"> </w:t>
      </w:r>
      <w:r w:rsidRPr="00582269">
        <w:rPr>
          <w:rFonts w:hint="eastAsia"/>
          <w:szCs w:val="22"/>
        </w:rPr>
        <w:t>και</w:t>
      </w:r>
      <w:r w:rsidRPr="00582269">
        <w:rPr>
          <w:szCs w:val="22"/>
        </w:rPr>
        <w:t xml:space="preserve"> </w:t>
      </w:r>
      <w:r w:rsidRPr="00582269">
        <w:rPr>
          <w:rFonts w:hint="eastAsia"/>
          <w:szCs w:val="22"/>
        </w:rPr>
        <w:t>ασφάλεια</w:t>
      </w:r>
      <w:r w:rsidRPr="00582269">
        <w:rPr>
          <w:szCs w:val="22"/>
        </w:rPr>
        <w:t xml:space="preserve"> </w:t>
      </w:r>
      <w:r w:rsidRPr="00582269">
        <w:rPr>
          <w:rFonts w:hint="eastAsia"/>
          <w:szCs w:val="22"/>
        </w:rPr>
        <w:t>στους</w:t>
      </w:r>
      <w:r w:rsidRPr="00582269">
        <w:rPr>
          <w:szCs w:val="22"/>
        </w:rPr>
        <w:t xml:space="preserve"> </w:t>
      </w:r>
      <w:r w:rsidRPr="00582269">
        <w:rPr>
          <w:rFonts w:hint="eastAsia"/>
          <w:szCs w:val="22"/>
        </w:rPr>
        <w:t>μη</w:t>
      </w:r>
      <w:r>
        <w:rPr>
          <w:szCs w:val="22"/>
        </w:rPr>
        <w:t xml:space="preserve"> </w:t>
      </w:r>
      <w:r w:rsidRPr="00582269">
        <w:rPr>
          <w:rFonts w:hint="eastAsia"/>
          <w:szCs w:val="22"/>
        </w:rPr>
        <w:t>ηλικιωμένους</w:t>
      </w:r>
      <w:r w:rsidRPr="00582269">
        <w:rPr>
          <w:szCs w:val="22"/>
        </w:rPr>
        <w:t xml:space="preserve"> </w:t>
      </w:r>
      <w:r w:rsidRPr="00582269">
        <w:rPr>
          <w:rFonts w:hint="eastAsia"/>
          <w:szCs w:val="22"/>
        </w:rPr>
        <w:t>ενήλικες</w:t>
      </w:r>
      <w:r w:rsidRPr="00582269">
        <w:rPr>
          <w:szCs w:val="22"/>
        </w:rPr>
        <w:t xml:space="preserve"> </w:t>
      </w:r>
      <w:r w:rsidRPr="00582269">
        <w:rPr>
          <w:rFonts w:hint="eastAsia"/>
          <w:szCs w:val="22"/>
        </w:rPr>
        <w:t>ασθενείς</w:t>
      </w:r>
      <w:r w:rsidRPr="00582269">
        <w:rPr>
          <w:szCs w:val="22"/>
        </w:rPr>
        <w:t xml:space="preserve">, </w:t>
      </w:r>
      <w:r w:rsidRPr="00582269">
        <w:rPr>
          <w:rFonts w:hint="eastAsia"/>
          <w:szCs w:val="22"/>
        </w:rPr>
        <w:t>εκτός</w:t>
      </w:r>
      <w:r w:rsidRPr="00582269">
        <w:rPr>
          <w:szCs w:val="22"/>
        </w:rPr>
        <w:t xml:space="preserve"> </w:t>
      </w:r>
      <w:r>
        <w:rPr>
          <w:szCs w:val="22"/>
        </w:rPr>
        <w:t>εά</w:t>
      </w:r>
      <w:r w:rsidRPr="00582269">
        <w:rPr>
          <w:rFonts w:hint="eastAsia"/>
          <w:szCs w:val="22"/>
        </w:rPr>
        <w:t>ν</w:t>
      </w:r>
      <w:r w:rsidRPr="00582269">
        <w:rPr>
          <w:szCs w:val="22"/>
        </w:rPr>
        <w:t xml:space="preserve"> </w:t>
      </w:r>
      <w:r w:rsidRPr="00582269">
        <w:rPr>
          <w:rFonts w:hint="eastAsia"/>
          <w:szCs w:val="22"/>
        </w:rPr>
        <w:t>οι</w:t>
      </w:r>
      <w:r w:rsidRPr="00582269">
        <w:rPr>
          <w:szCs w:val="22"/>
        </w:rPr>
        <w:t xml:space="preserve"> </w:t>
      </w:r>
      <w:r w:rsidRPr="00582269">
        <w:rPr>
          <w:rFonts w:hint="eastAsia"/>
          <w:szCs w:val="22"/>
        </w:rPr>
        <w:t>ασθενείς</w:t>
      </w:r>
      <w:r w:rsidRPr="00582269">
        <w:rPr>
          <w:szCs w:val="22"/>
        </w:rPr>
        <w:t xml:space="preserve"> </w:t>
      </w:r>
      <w:r w:rsidRPr="00582269">
        <w:rPr>
          <w:rFonts w:hint="eastAsia"/>
          <w:szCs w:val="22"/>
        </w:rPr>
        <w:t>είχαν</w:t>
      </w:r>
      <w:r w:rsidRPr="00582269">
        <w:rPr>
          <w:szCs w:val="22"/>
        </w:rPr>
        <w:t xml:space="preserve"> </w:t>
      </w:r>
      <w:r w:rsidRPr="00582269">
        <w:rPr>
          <w:rFonts w:hint="eastAsia"/>
          <w:szCs w:val="22"/>
        </w:rPr>
        <w:t>νεφρική</w:t>
      </w:r>
      <w:r w:rsidRPr="00582269">
        <w:rPr>
          <w:szCs w:val="22"/>
        </w:rPr>
        <w:t xml:space="preserve"> </w:t>
      </w:r>
      <w:r w:rsidRPr="00582269">
        <w:rPr>
          <w:rFonts w:hint="eastAsia"/>
          <w:szCs w:val="22"/>
        </w:rPr>
        <w:t>ανεπάρκεια</w:t>
      </w:r>
      <w:r w:rsidRPr="00582269">
        <w:rPr>
          <w:szCs w:val="22"/>
        </w:rPr>
        <w:t>.</w:t>
      </w:r>
      <w:r>
        <w:rPr>
          <w:szCs w:val="22"/>
        </w:rPr>
        <w:t xml:space="preserve"> </w:t>
      </w:r>
      <w:r w:rsidRPr="00582269">
        <w:rPr>
          <w:rFonts w:hint="eastAsia"/>
          <w:szCs w:val="22"/>
        </w:rPr>
        <w:t>Υπήρξε</w:t>
      </w:r>
      <w:r w:rsidRPr="00582269">
        <w:rPr>
          <w:szCs w:val="22"/>
        </w:rPr>
        <w:t xml:space="preserve"> </w:t>
      </w:r>
      <w:r w:rsidRPr="00582269">
        <w:rPr>
          <w:rFonts w:hint="eastAsia"/>
          <w:szCs w:val="22"/>
        </w:rPr>
        <w:t>μία</w:t>
      </w:r>
      <w:r w:rsidRPr="00582269">
        <w:rPr>
          <w:szCs w:val="22"/>
        </w:rPr>
        <w:t xml:space="preserve"> </w:t>
      </w:r>
      <w:r w:rsidRPr="00582269">
        <w:rPr>
          <w:rFonts w:hint="eastAsia"/>
          <w:szCs w:val="22"/>
        </w:rPr>
        <w:t>μικρή</w:t>
      </w:r>
      <w:r w:rsidRPr="00582269">
        <w:rPr>
          <w:szCs w:val="22"/>
        </w:rPr>
        <w:t xml:space="preserve"> </w:t>
      </w:r>
      <w:r>
        <w:rPr>
          <w:szCs w:val="22"/>
        </w:rPr>
        <w:t>παράταση</w:t>
      </w:r>
      <w:r w:rsidRPr="00582269">
        <w:rPr>
          <w:szCs w:val="22"/>
        </w:rPr>
        <w:t xml:space="preserve"> </w:t>
      </w:r>
      <w:r w:rsidRPr="00582269">
        <w:rPr>
          <w:rFonts w:hint="eastAsia"/>
          <w:szCs w:val="22"/>
        </w:rPr>
        <w:t>στο</w:t>
      </w:r>
      <w:r w:rsidRPr="00582269">
        <w:rPr>
          <w:szCs w:val="22"/>
        </w:rPr>
        <w:t xml:space="preserve"> </w:t>
      </w:r>
      <w:r w:rsidRPr="00582269">
        <w:rPr>
          <w:rFonts w:hint="eastAsia"/>
          <w:szCs w:val="22"/>
        </w:rPr>
        <w:t>χρόνο</w:t>
      </w:r>
      <w:r w:rsidRPr="00582269">
        <w:rPr>
          <w:szCs w:val="22"/>
        </w:rPr>
        <w:t xml:space="preserve"> </w:t>
      </w:r>
      <w:r w:rsidRPr="00582269">
        <w:rPr>
          <w:rFonts w:hint="eastAsia"/>
          <w:szCs w:val="22"/>
        </w:rPr>
        <w:t>ημίσειας</w:t>
      </w:r>
      <w:r w:rsidRPr="00582269">
        <w:rPr>
          <w:szCs w:val="22"/>
        </w:rPr>
        <w:t xml:space="preserve"> </w:t>
      </w:r>
      <w:r w:rsidRPr="00582269">
        <w:rPr>
          <w:rFonts w:hint="eastAsia"/>
          <w:szCs w:val="22"/>
        </w:rPr>
        <w:t>ζωής</w:t>
      </w:r>
      <w:r w:rsidRPr="00582269">
        <w:rPr>
          <w:szCs w:val="22"/>
        </w:rPr>
        <w:t xml:space="preserve"> </w:t>
      </w:r>
      <w:r w:rsidR="00100C08">
        <w:rPr>
          <w:szCs w:val="22"/>
        </w:rPr>
        <w:t xml:space="preserve">αποβολής </w:t>
      </w:r>
      <w:r w:rsidRPr="00582269">
        <w:rPr>
          <w:rFonts w:hint="eastAsia"/>
          <w:szCs w:val="22"/>
        </w:rPr>
        <w:t>και</w:t>
      </w:r>
      <w:r w:rsidRPr="00582269">
        <w:rPr>
          <w:szCs w:val="22"/>
        </w:rPr>
        <w:t xml:space="preserve"> </w:t>
      </w:r>
      <w:r w:rsidRPr="00582269">
        <w:rPr>
          <w:rFonts w:hint="eastAsia"/>
          <w:szCs w:val="22"/>
        </w:rPr>
        <w:t>μι</w:t>
      </w:r>
      <w:r w:rsidR="00100C08">
        <w:rPr>
          <w:szCs w:val="22"/>
        </w:rPr>
        <w:t>κρότερ</w:t>
      </w:r>
      <w:r w:rsidRPr="00582269">
        <w:rPr>
          <w:rFonts w:hint="eastAsia"/>
          <w:szCs w:val="22"/>
        </w:rPr>
        <w:t>ες</w:t>
      </w:r>
      <w:r w:rsidRPr="00582269">
        <w:rPr>
          <w:szCs w:val="22"/>
        </w:rPr>
        <w:t xml:space="preserve"> </w:t>
      </w:r>
      <w:r w:rsidRPr="00582269">
        <w:rPr>
          <w:rFonts w:hint="eastAsia"/>
          <w:szCs w:val="22"/>
        </w:rPr>
        <w:t>τιμές</w:t>
      </w:r>
      <w:r w:rsidR="00100C08">
        <w:rPr>
          <w:szCs w:val="22"/>
        </w:rPr>
        <w:t xml:space="preserve"> </w:t>
      </w:r>
      <w:r w:rsidRPr="00582269">
        <w:rPr>
          <w:rFonts w:hint="eastAsia"/>
          <w:szCs w:val="22"/>
        </w:rPr>
        <w:t>νεφρικής</w:t>
      </w:r>
      <w:r w:rsidRPr="00582269">
        <w:rPr>
          <w:szCs w:val="22"/>
        </w:rPr>
        <w:t xml:space="preserve"> </w:t>
      </w:r>
      <w:r w:rsidRPr="00582269">
        <w:rPr>
          <w:rFonts w:hint="eastAsia"/>
          <w:szCs w:val="22"/>
        </w:rPr>
        <w:t>κάθαρσης</w:t>
      </w:r>
      <w:r w:rsidR="00100C08">
        <w:rPr>
          <w:szCs w:val="22"/>
        </w:rPr>
        <w:t>,</w:t>
      </w:r>
      <w:r w:rsidRPr="00582269">
        <w:rPr>
          <w:szCs w:val="22"/>
        </w:rPr>
        <w:t xml:space="preserve"> </w:t>
      </w:r>
      <w:r w:rsidRPr="00582269">
        <w:rPr>
          <w:rFonts w:hint="eastAsia"/>
          <w:szCs w:val="22"/>
        </w:rPr>
        <w:t>σε</w:t>
      </w:r>
      <w:r w:rsidRPr="00582269">
        <w:rPr>
          <w:szCs w:val="22"/>
        </w:rPr>
        <w:t xml:space="preserve"> </w:t>
      </w:r>
      <w:r w:rsidRPr="00582269">
        <w:rPr>
          <w:rFonts w:hint="eastAsia"/>
          <w:szCs w:val="22"/>
        </w:rPr>
        <w:lastRenderedPageBreak/>
        <w:t>σύγκριση</w:t>
      </w:r>
      <w:r w:rsidRPr="00582269">
        <w:rPr>
          <w:szCs w:val="22"/>
        </w:rPr>
        <w:t xml:space="preserve"> </w:t>
      </w:r>
      <w:r w:rsidRPr="00582269">
        <w:rPr>
          <w:rFonts w:hint="eastAsia"/>
          <w:szCs w:val="22"/>
        </w:rPr>
        <w:t>με</w:t>
      </w:r>
      <w:r w:rsidRPr="00582269">
        <w:rPr>
          <w:szCs w:val="22"/>
        </w:rPr>
        <w:t xml:space="preserve"> </w:t>
      </w:r>
      <w:r w:rsidRPr="00582269">
        <w:rPr>
          <w:rFonts w:hint="eastAsia"/>
          <w:szCs w:val="22"/>
        </w:rPr>
        <w:t>εκείνες</w:t>
      </w:r>
      <w:r w:rsidRPr="00582269">
        <w:rPr>
          <w:szCs w:val="22"/>
        </w:rPr>
        <w:t xml:space="preserve"> </w:t>
      </w:r>
      <w:r w:rsidRPr="00582269">
        <w:rPr>
          <w:rFonts w:hint="eastAsia"/>
          <w:szCs w:val="22"/>
        </w:rPr>
        <w:t>που</w:t>
      </w:r>
      <w:r w:rsidRPr="00582269">
        <w:rPr>
          <w:szCs w:val="22"/>
        </w:rPr>
        <w:t xml:space="preserve"> </w:t>
      </w:r>
      <w:r w:rsidRPr="00582269">
        <w:rPr>
          <w:rFonts w:hint="eastAsia"/>
          <w:szCs w:val="22"/>
        </w:rPr>
        <w:t>παρουσιάζονται</w:t>
      </w:r>
      <w:r w:rsidRPr="00582269">
        <w:rPr>
          <w:szCs w:val="22"/>
        </w:rPr>
        <w:t xml:space="preserve"> </w:t>
      </w:r>
      <w:r w:rsidRPr="00582269">
        <w:rPr>
          <w:rFonts w:hint="eastAsia"/>
          <w:szCs w:val="22"/>
        </w:rPr>
        <w:t>σε</w:t>
      </w:r>
      <w:r w:rsidRPr="00582269">
        <w:rPr>
          <w:szCs w:val="22"/>
        </w:rPr>
        <w:t xml:space="preserve"> </w:t>
      </w:r>
      <w:r w:rsidR="00100C08">
        <w:rPr>
          <w:rFonts w:hint="eastAsia"/>
          <w:szCs w:val="22"/>
        </w:rPr>
        <w:t>νε</w:t>
      </w:r>
      <w:r w:rsidR="00100C08">
        <w:rPr>
          <w:szCs w:val="22"/>
        </w:rPr>
        <w:t>ό</w:t>
      </w:r>
      <w:r w:rsidRPr="00582269">
        <w:rPr>
          <w:rFonts w:hint="eastAsia"/>
          <w:szCs w:val="22"/>
        </w:rPr>
        <w:t>τερα</w:t>
      </w:r>
      <w:r w:rsidRPr="00582269">
        <w:rPr>
          <w:szCs w:val="22"/>
        </w:rPr>
        <w:t xml:space="preserve"> </w:t>
      </w:r>
      <w:r w:rsidRPr="00582269">
        <w:rPr>
          <w:rFonts w:hint="eastAsia"/>
          <w:szCs w:val="22"/>
        </w:rPr>
        <w:t>άτομα</w:t>
      </w:r>
      <w:r w:rsidRPr="00582269">
        <w:rPr>
          <w:szCs w:val="22"/>
        </w:rPr>
        <w:t>.</w:t>
      </w:r>
      <w:r w:rsidR="00100C08">
        <w:rPr>
          <w:szCs w:val="22"/>
        </w:rPr>
        <w:t xml:space="preserve"> </w:t>
      </w:r>
      <w:r w:rsidRPr="00582269">
        <w:rPr>
          <w:rFonts w:hint="eastAsia"/>
          <w:szCs w:val="22"/>
        </w:rPr>
        <w:t>Συνιστ</w:t>
      </w:r>
      <w:r w:rsidR="00100C08">
        <w:rPr>
          <w:szCs w:val="22"/>
        </w:rPr>
        <w:t>ώνται</w:t>
      </w:r>
      <w:r w:rsidRPr="00582269">
        <w:rPr>
          <w:szCs w:val="22"/>
        </w:rPr>
        <w:t xml:space="preserve"> </w:t>
      </w:r>
      <w:r w:rsidR="00100C08">
        <w:rPr>
          <w:szCs w:val="22"/>
        </w:rPr>
        <w:t>προσαρμογές</w:t>
      </w:r>
      <w:r w:rsidRPr="00582269">
        <w:rPr>
          <w:szCs w:val="22"/>
        </w:rPr>
        <w:t xml:space="preserve"> </w:t>
      </w:r>
      <w:r w:rsidRPr="00582269">
        <w:rPr>
          <w:rFonts w:hint="eastAsia"/>
          <w:szCs w:val="22"/>
        </w:rPr>
        <w:t>της</w:t>
      </w:r>
      <w:r w:rsidRPr="00582269">
        <w:rPr>
          <w:szCs w:val="22"/>
        </w:rPr>
        <w:t xml:space="preserve"> </w:t>
      </w:r>
      <w:r w:rsidRPr="00582269">
        <w:rPr>
          <w:rFonts w:hint="eastAsia"/>
          <w:szCs w:val="22"/>
        </w:rPr>
        <w:t>δοσολογίας</w:t>
      </w:r>
      <w:r w:rsidRPr="00582269">
        <w:rPr>
          <w:szCs w:val="22"/>
        </w:rPr>
        <w:t xml:space="preserve">, </w:t>
      </w:r>
      <w:r w:rsidRPr="00582269">
        <w:rPr>
          <w:rFonts w:hint="eastAsia"/>
          <w:szCs w:val="22"/>
        </w:rPr>
        <w:t>εάν</w:t>
      </w:r>
      <w:r w:rsidRPr="00582269">
        <w:rPr>
          <w:szCs w:val="22"/>
        </w:rPr>
        <w:t xml:space="preserve"> </w:t>
      </w:r>
      <w:r w:rsidRPr="00582269">
        <w:rPr>
          <w:rFonts w:hint="eastAsia"/>
          <w:szCs w:val="22"/>
        </w:rPr>
        <w:t>υπάρχει</w:t>
      </w:r>
      <w:r w:rsidRPr="00582269">
        <w:rPr>
          <w:szCs w:val="22"/>
        </w:rPr>
        <w:t xml:space="preserve"> </w:t>
      </w:r>
      <w:r w:rsidRPr="00582269">
        <w:rPr>
          <w:rFonts w:hint="eastAsia"/>
          <w:szCs w:val="22"/>
        </w:rPr>
        <w:t>έκπτωση</w:t>
      </w:r>
      <w:r w:rsidRPr="00582269">
        <w:rPr>
          <w:szCs w:val="22"/>
        </w:rPr>
        <w:t xml:space="preserve"> </w:t>
      </w:r>
      <w:r w:rsidRPr="00582269">
        <w:rPr>
          <w:rFonts w:hint="eastAsia"/>
          <w:szCs w:val="22"/>
        </w:rPr>
        <w:t>της</w:t>
      </w:r>
      <w:r w:rsidRPr="00582269">
        <w:rPr>
          <w:szCs w:val="22"/>
        </w:rPr>
        <w:t xml:space="preserve"> </w:t>
      </w:r>
      <w:r w:rsidRPr="00582269">
        <w:rPr>
          <w:rFonts w:hint="eastAsia"/>
          <w:szCs w:val="22"/>
        </w:rPr>
        <w:t>νεφρικής</w:t>
      </w:r>
      <w:r w:rsidRPr="00582269">
        <w:rPr>
          <w:szCs w:val="22"/>
        </w:rPr>
        <w:t xml:space="preserve"> </w:t>
      </w:r>
      <w:r w:rsidRPr="00582269">
        <w:rPr>
          <w:rFonts w:hint="eastAsia"/>
          <w:szCs w:val="22"/>
        </w:rPr>
        <w:t>λειτουργίας</w:t>
      </w:r>
      <w:r w:rsidR="00100C08">
        <w:rPr>
          <w:szCs w:val="22"/>
        </w:rPr>
        <w:t xml:space="preserve"> (βλέπε παράγραφο 4.2 και 5.2)</w:t>
      </w:r>
      <w:r w:rsidRPr="00582269">
        <w:rPr>
          <w:szCs w:val="22"/>
        </w:rPr>
        <w:t>.</w:t>
      </w:r>
    </w:p>
    <w:p w:rsidR="00582269" w:rsidRDefault="00582269" w:rsidP="00100C08">
      <w:pPr>
        <w:widowControl/>
        <w:autoSpaceDE w:val="0"/>
        <w:autoSpaceDN w:val="0"/>
        <w:adjustRightInd w:val="0"/>
        <w:rPr>
          <w:szCs w:val="22"/>
        </w:rPr>
      </w:pPr>
      <w:r w:rsidRPr="00582269">
        <w:rPr>
          <w:rFonts w:hint="eastAsia"/>
          <w:szCs w:val="22"/>
        </w:rPr>
        <w:t>Η</w:t>
      </w:r>
      <w:r w:rsidRPr="00582269">
        <w:rPr>
          <w:szCs w:val="22"/>
        </w:rPr>
        <w:t xml:space="preserve"> </w:t>
      </w:r>
      <w:r w:rsidRPr="00582269">
        <w:rPr>
          <w:rFonts w:hint="eastAsia"/>
          <w:szCs w:val="22"/>
        </w:rPr>
        <w:t>κεφεπίμη</w:t>
      </w:r>
      <w:r w:rsidRPr="00582269">
        <w:rPr>
          <w:szCs w:val="22"/>
        </w:rPr>
        <w:t xml:space="preserve"> </w:t>
      </w:r>
      <w:r w:rsidRPr="00582269">
        <w:rPr>
          <w:rFonts w:hint="eastAsia"/>
          <w:szCs w:val="22"/>
        </w:rPr>
        <w:t>είναι</w:t>
      </w:r>
      <w:r w:rsidRPr="00582269">
        <w:rPr>
          <w:szCs w:val="22"/>
        </w:rPr>
        <w:t xml:space="preserve"> </w:t>
      </w:r>
      <w:r w:rsidRPr="00582269">
        <w:rPr>
          <w:rFonts w:hint="eastAsia"/>
          <w:szCs w:val="22"/>
        </w:rPr>
        <w:t>γνωστό</w:t>
      </w:r>
      <w:r w:rsidRPr="00582269">
        <w:rPr>
          <w:szCs w:val="22"/>
        </w:rPr>
        <w:t xml:space="preserve"> </w:t>
      </w:r>
      <w:r w:rsidRPr="00582269">
        <w:rPr>
          <w:rFonts w:hint="eastAsia"/>
          <w:szCs w:val="22"/>
        </w:rPr>
        <w:t>ότι</w:t>
      </w:r>
      <w:r w:rsidRPr="00582269">
        <w:rPr>
          <w:szCs w:val="22"/>
        </w:rPr>
        <w:t xml:space="preserve"> </w:t>
      </w:r>
      <w:r w:rsidRPr="00582269">
        <w:rPr>
          <w:rFonts w:hint="eastAsia"/>
          <w:szCs w:val="22"/>
        </w:rPr>
        <w:t>απ</w:t>
      </w:r>
      <w:r w:rsidR="00100C08">
        <w:rPr>
          <w:szCs w:val="22"/>
        </w:rPr>
        <w:t>εκκρίνε</w:t>
      </w:r>
      <w:r w:rsidRPr="00582269">
        <w:rPr>
          <w:rFonts w:hint="eastAsia"/>
          <w:szCs w:val="22"/>
        </w:rPr>
        <w:t>ται</w:t>
      </w:r>
      <w:r w:rsidRPr="00582269">
        <w:rPr>
          <w:szCs w:val="22"/>
        </w:rPr>
        <w:t xml:space="preserve"> </w:t>
      </w:r>
      <w:r w:rsidR="00CA0AB9">
        <w:rPr>
          <w:szCs w:val="22"/>
        </w:rPr>
        <w:t xml:space="preserve">κυρίως </w:t>
      </w:r>
      <w:r w:rsidR="00100C08">
        <w:rPr>
          <w:szCs w:val="22"/>
        </w:rPr>
        <w:t>μέσω των</w:t>
      </w:r>
      <w:r w:rsidRPr="00582269">
        <w:rPr>
          <w:szCs w:val="22"/>
        </w:rPr>
        <w:t xml:space="preserve"> </w:t>
      </w:r>
      <w:r w:rsidRPr="00582269">
        <w:rPr>
          <w:rFonts w:hint="eastAsia"/>
          <w:szCs w:val="22"/>
        </w:rPr>
        <w:t>νεφρ</w:t>
      </w:r>
      <w:r w:rsidR="00100C08">
        <w:rPr>
          <w:szCs w:val="22"/>
        </w:rPr>
        <w:t>ών</w:t>
      </w:r>
      <w:r w:rsidRPr="00582269">
        <w:rPr>
          <w:szCs w:val="22"/>
        </w:rPr>
        <w:t xml:space="preserve"> </w:t>
      </w:r>
      <w:r w:rsidRPr="00582269">
        <w:rPr>
          <w:rFonts w:hint="eastAsia"/>
          <w:szCs w:val="22"/>
        </w:rPr>
        <w:t>και</w:t>
      </w:r>
      <w:r w:rsidRPr="00582269">
        <w:rPr>
          <w:szCs w:val="22"/>
        </w:rPr>
        <w:t xml:space="preserve"> </w:t>
      </w:r>
      <w:r w:rsidRPr="00582269">
        <w:rPr>
          <w:rFonts w:hint="eastAsia"/>
          <w:szCs w:val="22"/>
        </w:rPr>
        <w:t>ο</w:t>
      </w:r>
      <w:r w:rsidR="00100C08">
        <w:rPr>
          <w:szCs w:val="22"/>
        </w:rPr>
        <w:t xml:space="preserve"> </w:t>
      </w:r>
      <w:r w:rsidRPr="00582269">
        <w:rPr>
          <w:rFonts w:hint="eastAsia"/>
          <w:szCs w:val="22"/>
        </w:rPr>
        <w:t>κίνδυνος</w:t>
      </w:r>
      <w:r w:rsidRPr="00582269">
        <w:rPr>
          <w:szCs w:val="22"/>
        </w:rPr>
        <w:t xml:space="preserve"> </w:t>
      </w:r>
      <w:r w:rsidRPr="00582269">
        <w:rPr>
          <w:rFonts w:hint="eastAsia"/>
          <w:szCs w:val="22"/>
        </w:rPr>
        <w:t>τοξικών</w:t>
      </w:r>
      <w:r w:rsidRPr="00582269">
        <w:rPr>
          <w:szCs w:val="22"/>
        </w:rPr>
        <w:t xml:space="preserve"> </w:t>
      </w:r>
      <w:r w:rsidRPr="00582269">
        <w:rPr>
          <w:rFonts w:hint="eastAsia"/>
          <w:szCs w:val="22"/>
        </w:rPr>
        <w:t>αντιδράσεων</w:t>
      </w:r>
      <w:r w:rsidRPr="00582269">
        <w:rPr>
          <w:szCs w:val="22"/>
        </w:rPr>
        <w:t xml:space="preserve"> </w:t>
      </w:r>
      <w:r w:rsidRPr="00582269">
        <w:rPr>
          <w:rFonts w:hint="eastAsia"/>
          <w:szCs w:val="22"/>
        </w:rPr>
        <w:t>από</w:t>
      </w:r>
      <w:r w:rsidRPr="00582269">
        <w:rPr>
          <w:szCs w:val="22"/>
        </w:rPr>
        <w:t xml:space="preserve"> </w:t>
      </w:r>
      <w:r w:rsidRPr="00582269">
        <w:rPr>
          <w:rFonts w:hint="eastAsia"/>
          <w:szCs w:val="22"/>
        </w:rPr>
        <w:t>το</w:t>
      </w:r>
      <w:r w:rsidRPr="00582269">
        <w:rPr>
          <w:szCs w:val="22"/>
        </w:rPr>
        <w:t xml:space="preserve"> </w:t>
      </w:r>
      <w:r w:rsidRPr="00582269">
        <w:rPr>
          <w:rFonts w:hint="eastAsia"/>
          <w:szCs w:val="22"/>
        </w:rPr>
        <w:t>φάρμακο</w:t>
      </w:r>
      <w:r w:rsidRPr="00582269">
        <w:rPr>
          <w:szCs w:val="22"/>
        </w:rPr>
        <w:t xml:space="preserve"> </w:t>
      </w:r>
      <w:r w:rsidRPr="00582269">
        <w:rPr>
          <w:rFonts w:hint="eastAsia"/>
          <w:szCs w:val="22"/>
        </w:rPr>
        <w:t>αυτό</w:t>
      </w:r>
      <w:r w:rsidRPr="00582269">
        <w:rPr>
          <w:szCs w:val="22"/>
        </w:rPr>
        <w:t xml:space="preserve"> </w:t>
      </w:r>
      <w:r w:rsidR="00100C08">
        <w:rPr>
          <w:szCs w:val="22"/>
        </w:rPr>
        <w:t xml:space="preserve">ενδέχεται να </w:t>
      </w:r>
      <w:r w:rsidRPr="00582269">
        <w:rPr>
          <w:rFonts w:hint="eastAsia"/>
          <w:szCs w:val="22"/>
        </w:rPr>
        <w:t>είναι</w:t>
      </w:r>
      <w:r w:rsidRPr="00582269">
        <w:rPr>
          <w:szCs w:val="22"/>
        </w:rPr>
        <w:t xml:space="preserve"> </w:t>
      </w:r>
      <w:r w:rsidRPr="00582269">
        <w:rPr>
          <w:rFonts w:hint="eastAsia"/>
          <w:szCs w:val="22"/>
        </w:rPr>
        <w:t>μεγαλύτερος</w:t>
      </w:r>
      <w:r w:rsidRPr="00582269">
        <w:rPr>
          <w:szCs w:val="22"/>
        </w:rPr>
        <w:t xml:space="preserve"> </w:t>
      </w:r>
      <w:r w:rsidRPr="00582269">
        <w:rPr>
          <w:rFonts w:hint="eastAsia"/>
          <w:szCs w:val="22"/>
        </w:rPr>
        <w:t>σε</w:t>
      </w:r>
      <w:r w:rsidRPr="00582269">
        <w:rPr>
          <w:szCs w:val="22"/>
        </w:rPr>
        <w:t xml:space="preserve"> </w:t>
      </w:r>
      <w:r w:rsidRPr="00582269">
        <w:rPr>
          <w:rFonts w:hint="eastAsia"/>
          <w:szCs w:val="22"/>
        </w:rPr>
        <w:t>ασθενείς</w:t>
      </w:r>
      <w:r w:rsidR="00100C08">
        <w:rPr>
          <w:szCs w:val="22"/>
        </w:rPr>
        <w:t xml:space="preserve"> </w:t>
      </w:r>
      <w:r w:rsidRPr="00582269">
        <w:rPr>
          <w:rFonts w:hint="eastAsia"/>
          <w:szCs w:val="22"/>
        </w:rPr>
        <w:t>με</w:t>
      </w:r>
      <w:r w:rsidRPr="00582269">
        <w:rPr>
          <w:szCs w:val="22"/>
        </w:rPr>
        <w:t xml:space="preserve"> </w:t>
      </w:r>
      <w:r w:rsidRPr="00582269">
        <w:rPr>
          <w:rFonts w:hint="eastAsia"/>
          <w:szCs w:val="22"/>
        </w:rPr>
        <w:t>νεφρική</w:t>
      </w:r>
      <w:r w:rsidRPr="00582269">
        <w:rPr>
          <w:szCs w:val="22"/>
        </w:rPr>
        <w:t xml:space="preserve"> </w:t>
      </w:r>
      <w:r w:rsidR="00100C08">
        <w:rPr>
          <w:szCs w:val="22"/>
        </w:rPr>
        <w:t>δυσ</w:t>
      </w:r>
      <w:r w:rsidRPr="00582269">
        <w:rPr>
          <w:rFonts w:hint="eastAsia"/>
          <w:szCs w:val="22"/>
        </w:rPr>
        <w:t>λειτουργία</w:t>
      </w:r>
      <w:r w:rsidRPr="00582269">
        <w:rPr>
          <w:szCs w:val="22"/>
        </w:rPr>
        <w:t xml:space="preserve">. </w:t>
      </w:r>
      <w:r w:rsidRPr="00582269">
        <w:rPr>
          <w:rFonts w:hint="eastAsia"/>
          <w:szCs w:val="22"/>
        </w:rPr>
        <w:t>Επειδή</w:t>
      </w:r>
      <w:r w:rsidRPr="00582269">
        <w:rPr>
          <w:szCs w:val="22"/>
        </w:rPr>
        <w:t xml:space="preserve"> </w:t>
      </w:r>
      <w:r w:rsidRPr="00582269">
        <w:rPr>
          <w:rFonts w:hint="eastAsia"/>
          <w:szCs w:val="22"/>
        </w:rPr>
        <w:t>οι</w:t>
      </w:r>
      <w:r w:rsidRPr="00582269">
        <w:rPr>
          <w:szCs w:val="22"/>
        </w:rPr>
        <w:t xml:space="preserve"> </w:t>
      </w:r>
      <w:r w:rsidRPr="00582269">
        <w:rPr>
          <w:rFonts w:hint="eastAsia"/>
          <w:szCs w:val="22"/>
        </w:rPr>
        <w:t>ηλικιωμένοι</w:t>
      </w:r>
      <w:r w:rsidRPr="00582269">
        <w:rPr>
          <w:szCs w:val="22"/>
        </w:rPr>
        <w:t xml:space="preserve"> </w:t>
      </w:r>
      <w:r w:rsidRPr="00582269">
        <w:rPr>
          <w:rFonts w:hint="eastAsia"/>
          <w:szCs w:val="22"/>
        </w:rPr>
        <w:t>ασθενείς</w:t>
      </w:r>
      <w:r w:rsidRPr="00582269">
        <w:rPr>
          <w:szCs w:val="22"/>
        </w:rPr>
        <w:t xml:space="preserve"> </w:t>
      </w:r>
      <w:r w:rsidRPr="00582269">
        <w:rPr>
          <w:rFonts w:hint="eastAsia"/>
          <w:szCs w:val="22"/>
        </w:rPr>
        <w:t>είναι</w:t>
      </w:r>
      <w:r w:rsidR="00100C08">
        <w:rPr>
          <w:szCs w:val="22"/>
        </w:rPr>
        <w:t xml:space="preserve"> </w:t>
      </w:r>
      <w:r w:rsidRPr="00582269">
        <w:rPr>
          <w:rFonts w:hint="eastAsia"/>
          <w:szCs w:val="22"/>
        </w:rPr>
        <w:t>περισσότερο</w:t>
      </w:r>
      <w:r w:rsidRPr="00582269">
        <w:rPr>
          <w:szCs w:val="22"/>
        </w:rPr>
        <w:t xml:space="preserve"> </w:t>
      </w:r>
      <w:r w:rsidRPr="00582269">
        <w:rPr>
          <w:rFonts w:hint="eastAsia"/>
          <w:szCs w:val="22"/>
        </w:rPr>
        <w:t>πιθανό</w:t>
      </w:r>
      <w:r w:rsidRPr="00582269">
        <w:rPr>
          <w:szCs w:val="22"/>
        </w:rPr>
        <w:t xml:space="preserve"> </w:t>
      </w:r>
      <w:r w:rsidRPr="00582269">
        <w:rPr>
          <w:rFonts w:hint="eastAsia"/>
          <w:szCs w:val="22"/>
        </w:rPr>
        <w:t>να</w:t>
      </w:r>
      <w:r w:rsidRPr="00582269">
        <w:rPr>
          <w:szCs w:val="22"/>
        </w:rPr>
        <w:t xml:space="preserve"> </w:t>
      </w:r>
      <w:r w:rsidRPr="00582269">
        <w:rPr>
          <w:rFonts w:hint="eastAsia"/>
          <w:szCs w:val="22"/>
        </w:rPr>
        <w:t>έχουν</w:t>
      </w:r>
      <w:r w:rsidRPr="00582269">
        <w:rPr>
          <w:szCs w:val="22"/>
        </w:rPr>
        <w:t xml:space="preserve"> </w:t>
      </w:r>
      <w:r w:rsidRPr="00582269">
        <w:rPr>
          <w:rFonts w:hint="eastAsia"/>
          <w:szCs w:val="22"/>
        </w:rPr>
        <w:t>μειωμένη</w:t>
      </w:r>
      <w:r w:rsidRPr="00582269">
        <w:rPr>
          <w:szCs w:val="22"/>
        </w:rPr>
        <w:t xml:space="preserve"> </w:t>
      </w:r>
      <w:r w:rsidRPr="00582269">
        <w:rPr>
          <w:rFonts w:hint="eastAsia"/>
          <w:szCs w:val="22"/>
        </w:rPr>
        <w:t>νεφρική</w:t>
      </w:r>
      <w:r w:rsidRPr="00582269">
        <w:rPr>
          <w:szCs w:val="22"/>
        </w:rPr>
        <w:t xml:space="preserve"> </w:t>
      </w:r>
      <w:r w:rsidRPr="00582269">
        <w:rPr>
          <w:rFonts w:hint="eastAsia"/>
          <w:szCs w:val="22"/>
        </w:rPr>
        <w:t>λειτουργία</w:t>
      </w:r>
      <w:r w:rsidRPr="00582269">
        <w:rPr>
          <w:szCs w:val="22"/>
        </w:rPr>
        <w:t xml:space="preserve">, </w:t>
      </w:r>
      <w:r w:rsidRPr="00582269">
        <w:rPr>
          <w:rFonts w:hint="eastAsia"/>
          <w:szCs w:val="22"/>
        </w:rPr>
        <w:t>πρέπει</w:t>
      </w:r>
      <w:r w:rsidRPr="00582269">
        <w:rPr>
          <w:szCs w:val="22"/>
        </w:rPr>
        <w:t xml:space="preserve"> </w:t>
      </w:r>
      <w:r w:rsidRPr="00582269">
        <w:rPr>
          <w:rFonts w:hint="eastAsia"/>
          <w:szCs w:val="22"/>
        </w:rPr>
        <w:t>η</w:t>
      </w:r>
      <w:r w:rsidRPr="00582269">
        <w:rPr>
          <w:szCs w:val="22"/>
        </w:rPr>
        <w:t xml:space="preserve"> </w:t>
      </w:r>
      <w:r w:rsidRPr="00582269">
        <w:rPr>
          <w:rFonts w:hint="eastAsia"/>
          <w:szCs w:val="22"/>
        </w:rPr>
        <w:t>επιλογή</w:t>
      </w:r>
      <w:r w:rsidRPr="00582269">
        <w:rPr>
          <w:szCs w:val="22"/>
        </w:rPr>
        <w:t xml:space="preserve"> </w:t>
      </w:r>
      <w:r w:rsidR="00100C08">
        <w:rPr>
          <w:szCs w:val="22"/>
        </w:rPr>
        <w:t xml:space="preserve">της </w:t>
      </w:r>
      <w:r w:rsidRPr="00582269">
        <w:rPr>
          <w:rFonts w:hint="eastAsia"/>
          <w:szCs w:val="22"/>
        </w:rPr>
        <w:t>δόσης</w:t>
      </w:r>
      <w:r w:rsidRPr="00582269">
        <w:rPr>
          <w:szCs w:val="22"/>
        </w:rPr>
        <w:t xml:space="preserve"> </w:t>
      </w:r>
      <w:r w:rsidRPr="00582269">
        <w:rPr>
          <w:rFonts w:hint="eastAsia"/>
          <w:szCs w:val="22"/>
        </w:rPr>
        <w:t>να</w:t>
      </w:r>
      <w:r w:rsidRPr="00582269">
        <w:rPr>
          <w:szCs w:val="22"/>
        </w:rPr>
        <w:t xml:space="preserve"> </w:t>
      </w:r>
      <w:r w:rsidRPr="00582269">
        <w:rPr>
          <w:rFonts w:hint="eastAsia"/>
          <w:szCs w:val="22"/>
        </w:rPr>
        <w:t>γίνεται</w:t>
      </w:r>
      <w:r w:rsidRPr="00582269">
        <w:rPr>
          <w:szCs w:val="22"/>
        </w:rPr>
        <w:t xml:space="preserve"> </w:t>
      </w:r>
      <w:r w:rsidRPr="00582269">
        <w:rPr>
          <w:rFonts w:hint="eastAsia"/>
          <w:szCs w:val="22"/>
        </w:rPr>
        <w:t>με</w:t>
      </w:r>
      <w:r w:rsidRPr="00582269">
        <w:rPr>
          <w:szCs w:val="22"/>
        </w:rPr>
        <w:t xml:space="preserve"> </w:t>
      </w:r>
      <w:r w:rsidRPr="00582269">
        <w:rPr>
          <w:rFonts w:hint="eastAsia"/>
          <w:szCs w:val="22"/>
        </w:rPr>
        <w:t>προσοχή</w:t>
      </w:r>
      <w:r w:rsidRPr="00582269">
        <w:rPr>
          <w:szCs w:val="22"/>
        </w:rPr>
        <w:t xml:space="preserve"> </w:t>
      </w:r>
      <w:r w:rsidRPr="00582269">
        <w:rPr>
          <w:rFonts w:hint="eastAsia"/>
          <w:szCs w:val="22"/>
        </w:rPr>
        <w:t>και</w:t>
      </w:r>
      <w:r w:rsidRPr="00582269">
        <w:rPr>
          <w:szCs w:val="22"/>
        </w:rPr>
        <w:t xml:space="preserve"> </w:t>
      </w:r>
      <w:r w:rsidRPr="00582269">
        <w:rPr>
          <w:rFonts w:hint="eastAsia"/>
          <w:szCs w:val="22"/>
        </w:rPr>
        <w:t>πρέπει</w:t>
      </w:r>
      <w:r w:rsidRPr="00582269">
        <w:rPr>
          <w:szCs w:val="22"/>
        </w:rPr>
        <w:t xml:space="preserve"> </w:t>
      </w:r>
      <w:r w:rsidRPr="00582269">
        <w:rPr>
          <w:rFonts w:hint="eastAsia"/>
          <w:szCs w:val="22"/>
        </w:rPr>
        <w:t>να</w:t>
      </w:r>
      <w:r w:rsidRPr="00582269">
        <w:rPr>
          <w:szCs w:val="22"/>
        </w:rPr>
        <w:t xml:space="preserve"> </w:t>
      </w:r>
      <w:r w:rsidRPr="00582269">
        <w:rPr>
          <w:rFonts w:hint="eastAsia"/>
          <w:szCs w:val="22"/>
        </w:rPr>
        <w:t>παρακολουθείται</w:t>
      </w:r>
      <w:r w:rsidRPr="00582269">
        <w:rPr>
          <w:szCs w:val="22"/>
        </w:rPr>
        <w:t xml:space="preserve"> </w:t>
      </w:r>
      <w:r w:rsidRPr="00582269">
        <w:rPr>
          <w:rFonts w:hint="eastAsia"/>
          <w:szCs w:val="22"/>
        </w:rPr>
        <w:t>η</w:t>
      </w:r>
      <w:r w:rsidRPr="00582269">
        <w:rPr>
          <w:szCs w:val="22"/>
        </w:rPr>
        <w:t xml:space="preserve"> </w:t>
      </w:r>
      <w:r w:rsidRPr="00582269">
        <w:rPr>
          <w:rFonts w:hint="eastAsia"/>
          <w:szCs w:val="22"/>
        </w:rPr>
        <w:t>νεφρική</w:t>
      </w:r>
      <w:r w:rsidRPr="00582269">
        <w:rPr>
          <w:szCs w:val="22"/>
        </w:rPr>
        <w:t xml:space="preserve"> </w:t>
      </w:r>
      <w:r w:rsidRPr="00582269">
        <w:rPr>
          <w:rFonts w:hint="eastAsia"/>
          <w:szCs w:val="22"/>
        </w:rPr>
        <w:t>λειτουργία</w:t>
      </w:r>
      <w:r w:rsidR="00100C08">
        <w:rPr>
          <w:szCs w:val="22"/>
        </w:rPr>
        <w:t xml:space="preserve"> </w:t>
      </w:r>
      <w:r w:rsidRPr="00582269">
        <w:rPr>
          <w:szCs w:val="22"/>
        </w:rPr>
        <w:t>(</w:t>
      </w:r>
      <w:r w:rsidRPr="00582269">
        <w:rPr>
          <w:rFonts w:hint="eastAsia"/>
          <w:szCs w:val="22"/>
        </w:rPr>
        <w:t>βλέπε</w:t>
      </w:r>
      <w:r w:rsidR="00100C08">
        <w:rPr>
          <w:szCs w:val="22"/>
        </w:rPr>
        <w:t xml:space="preserve"> παραγράφους 4.8 και 5.2</w:t>
      </w:r>
      <w:r w:rsidRPr="00582269">
        <w:rPr>
          <w:szCs w:val="22"/>
        </w:rPr>
        <w:t>)</w:t>
      </w:r>
      <w:r w:rsidR="00100C08">
        <w:rPr>
          <w:szCs w:val="22"/>
        </w:rPr>
        <w:t xml:space="preserve"> </w:t>
      </w:r>
      <w:r w:rsidRPr="00582269">
        <w:rPr>
          <w:rFonts w:hint="eastAsia"/>
          <w:szCs w:val="22"/>
        </w:rPr>
        <w:t>Σοβαρές</w:t>
      </w:r>
      <w:r w:rsidRPr="00582269">
        <w:rPr>
          <w:szCs w:val="22"/>
        </w:rPr>
        <w:t xml:space="preserve"> </w:t>
      </w:r>
      <w:r w:rsidRPr="00582269">
        <w:rPr>
          <w:rFonts w:hint="eastAsia"/>
          <w:szCs w:val="22"/>
        </w:rPr>
        <w:t>ανεπιθύμητες</w:t>
      </w:r>
      <w:r w:rsidRPr="00582269">
        <w:rPr>
          <w:szCs w:val="22"/>
        </w:rPr>
        <w:t xml:space="preserve"> </w:t>
      </w:r>
      <w:r w:rsidRPr="00582269">
        <w:rPr>
          <w:rFonts w:hint="eastAsia"/>
          <w:szCs w:val="22"/>
        </w:rPr>
        <w:t>ενέργειες</w:t>
      </w:r>
      <w:r w:rsidRPr="00582269">
        <w:rPr>
          <w:szCs w:val="22"/>
        </w:rPr>
        <w:t xml:space="preserve">, </w:t>
      </w:r>
      <w:r w:rsidR="00100C08">
        <w:rPr>
          <w:szCs w:val="22"/>
        </w:rPr>
        <w:t>συμ</w:t>
      </w:r>
      <w:r w:rsidRPr="00582269">
        <w:rPr>
          <w:rFonts w:hint="eastAsia"/>
          <w:szCs w:val="22"/>
        </w:rPr>
        <w:t>περιλαμβανομένων</w:t>
      </w:r>
      <w:r w:rsidRPr="00582269">
        <w:rPr>
          <w:szCs w:val="22"/>
        </w:rPr>
        <w:t xml:space="preserve"> </w:t>
      </w:r>
      <w:r w:rsidR="00100C08">
        <w:rPr>
          <w:szCs w:val="22"/>
        </w:rPr>
        <w:t xml:space="preserve">αναστρέψιμης </w:t>
      </w:r>
      <w:r w:rsidR="00100C08" w:rsidRPr="00A30AFA">
        <w:rPr>
          <w:szCs w:val="22"/>
        </w:rPr>
        <w:t>εγκεφαλοπάθεια</w:t>
      </w:r>
      <w:r w:rsidR="00100C08">
        <w:rPr>
          <w:szCs w:val="22"/>
        </w:rPr>
        <w:t>ς (διαταραχή της συνείδησης συμπεριλαμβανομένων σύγχυσης, ψ</w:t>
      </w:r>
      <w:r w:rsidR="00100C08" w:rsidRPr="00A30AFA">
        <w:rPr>
          <w:szCs w:val="22"/>
        </w:rPr>
        <w:t>ευδα</w:t>
      </w:r>
      <w:r w:rsidR="00100C08">
        <w:rPr>
          <w:szCs w:val="22"/>
        </w:rPr>
        <w:t>ι</w:t>
      </w:r>
      <w:r w:rsidR="00100C08" w:rsidRPr="00A30AFA">
        <w:rPr>
          <w:szCs w:val="22"/>
        </w:rPr>
        <w:t>σθ</w:t>
      </w:r>
      <w:r w:rsidR="00100C08">
        <w:rPr>
          <w:szCs w:val="22"/>
        </w:rPr>
        <w:t>ή</w:t>
      </w:r>
      <w:r w:rsidR="00100C08" w:rsidRPr="00A30AFA">
        <w:rPr>
          <w:szCs w:val="22"/>
        </w:rPr>
        <w:t>σ</w:t>
      </w:r>
      <w:r w:rsidR="00100C08">
        <w:rPr>
          <w:szCs w:val="22"/>
        </w:rPr>
        <w:t>εων, λ</w:t>
      </w:r>
      <w:r w:rsidR="00100C08" w:rsidRPr="00A30AFA">
        <w:rPr>
          <w:szCs w:val="22"/>
        </w:rPr>
        <w:t>ήθαργο</w:t>
      </w:r>
      <w:r w:rsidR="00100C08">
        <w:rPr>
          <w:szCs w:val="22"/>
        </w:rPr>
        <w:t>υ και κώματος), μ</w:t>
      </w:r>
      <w:r w:rsidR="00100C08" w:rsidRPr="00A30AFA">
        <w:rPr>
          <w:szCs w:val="22"/>
        </w:rPr>
        <w:t>υόκλωνος</w:t>
      </w:r>
      <w:r w:rsidR="00100C08">
        <w:rPr>
          <w:szCs w:val="22"/>
        </w:rPr>
        <w:t xml:space="preserve">, σπασμοί (συμπεριλαμβανομένου </w:t>
      </w:r>
      <w:r w:rsidR="00100C08" w:rsidRPr="00A30AFA">
        <w:rPr>
          <w:szCs w:val="22"/>
        </w:rPr>
        <w:t>status epilepticus</w:t>
      </w:r>
      <w:r w:rsidR="00100C08">
        <w:rPr>
          <w:szCs w:val="22"/>
        </w:rPr>
        <w:t xml:space="preserve"> </w:t>
      </w:r>
      <w:r w:rsidR="00100C08" w:rsidRPr="00214F82">
        <w:rPr>
          <w:szCs w:val="22"/>
        </w:rPr>
        <w:t>χωρίς σπασμούς</w:t>
      </w:r>
      <w:r w:rsidR="00100C08">
        <w:rPr>
          <w:szCs w:val="22"/>
        </w:rPr>
        <w:t xml:space="preserve">) και/ή νεφρική ανεπάρκεια </w:t>
      </w:r>
      <w:r w:rsidRPr="00582269">
        <w:rPr>
          <w:rFonts w:hint="eastAsia"/>
          <w:szCs w:val="22"/>
        </w:rPr>
        <w:t>εμφανίσθηκαν</w:t>
      </w:r>
      <w:r w:rsidRPr="00582269">
        <w:rPr>
          <w:szCs w:val="22"/>
        </w:rPr>
        <w:t xml:space="preserve"> </w:t>
      </w:r>
      <w:r w:rsidRPr="00582269">
        <w:rPr>
          <w:rFonts w:hint="eastAsia"/>
          <w:szCs w:val="22"/>
        </w:rPr>
        <w:t>σε</w:t>
      </w:r>
      <w:r w:rsidRPr="00582269">
        <w:rPr>
          <w:szCs w:val="22"/>
        </w:rPr>
        <w:t xml:space="preserve"> </w:t>
      </w:r>
      <w:r w:rsidR="00100C08">
        <w:rPr>
          <w:szCs w:val="22"/>
        </w:rPr>
        <w:t xml:space="preserve">ηλικιωμένους </w:t>
      </w:r>
      <w:r w:rsidRPr="00582269">
        <w:rPr>
          <w:rFonts w:hint="eastAsia"/>
          <w:szCs w:val="22"/>
        </w:rPr>
        <w:t>ασθενείς</w:t>
      </w:r>
      <w:r w:rsidRPr="00582269">
        <w:rPr>
          <w:szCs w:val="22"/>
        </w:rPr>
        <w:t xml:space="preserve"> </w:t>
      </w:r>
      <w:r w:rsidRPr="00582269">
        <w:rPr>
          <w:rFonts w:hint="eastAsia"/>
          <w:szCs w:val="22"/>
        </w:rPr>
        <w:t>με</w:t>
      </w:r>
      <w:r w:rsidRPr="00582269">
        <w:rPr>
          <w:szCs w:val="22"/>
        </w:rPr>
        <w:t xml:space="preserve"> </w:t>
      </w:r>
      <w:r w:rsidRPr="00582269">
        <w:rPr>
          <w:rFonts w:hint="eastAsia"/>
          <w:szCs w:val="22"/>
        </w:rPr>
        <w:t>νεφρική</w:t>
      </w:r>
      <w:r w:rsidR="00100C08">
        <w:rPr>
          <w:szCs w:val="22"/>
        </w:rPr>
        <w:t xml:space="preserve"> </w:t>
      </w:r>
      <w:r w:rsidRPr="00582269">
        <w:rPr>
          <w:rFonts w:hint="eastAsia"/>
          <w:szCs w:val="22"/>
        </w:rPr>
        <w:t>ανεπάρκεια</w:t>
      </w:r>
      <w:r w:rsidR="00100C08">
        <w:rPr>
          <w:szCs w:val="22"/>
        </w:rPr>
        <w:t>,</w:t>
      </w:r>
      <w:r w:rsidRPr="00582269">
        <w:rPr>
          <w:szCs w:val="22"/>
        </w:rPr>
        <w:t xml:space="preserve"> </w:t>
      </w:r>
      <w:r w:rsidRPr="00582269">
        <w:rPr>
          <w:rFonts w:hint="eastAsia"/>
          <w:szCs w:val="22"/>
        </w:rPr>
        <w:t>στους</w:t>
      </w:r>
      <w:r w:rsidRPr="00582269">
        <w:rPr>
          <w:szCs w:val="22"/>
        </w:rPr>
        <w:t xml:space="preserve"> </w:t>
      </w:r>
      <w:r w:rsidRPr="00582269">
        <w:rPr>
          <w:rFonts w:hint="eastAsia"/>
          <w:szCs w:val="22"/>
        </w:rPr>
        <w:t>οποίους</w:t>
      </w:r>
      <w:r w:rsidRPr="00582269">
        <w:rPr>
          <w:szCs w:val="22"/>
        </w:rPr>
        <w:t xml:space="preserve"> </w:t>
      </w:r>
      <w:r w:rsidRPr="00582269">
        <w:rPr>
          <w:rFonts w:hint="eastAsia"/>
          <w:szCs w:val="22"/>
        </w:rPr>
        <w:t>χορηγήθηκε</w:t>
      </w:r>
      <w:r w:rsidRPr="00582269">
        <w:rPr>
          <w:szCs w:val="22"/>
        </w:rPr>
        <w:t xml:space="preserve"> </w:t>
      </w:r>
      <w:r w:rsidRPr="00582269">
        <w:rPr>
          <w:rFonts w:hint="eastAsia"/>
          <w:szCs w:val="22"/>
        </w:rPr>
        <w:t>η</w:t>
      </w:r>
      <w:r w:rsidRPr="00582269">
        <w:rPr>
          <w:szCs w:val="22"/>
        </w:rPr>
        <w:t xml:space="preserve"> </w:t>
      </w:r>
      <w:r w:rsidRPr="00582269">
        <w:rPr>
          <w:rFonts w:hint="eastAsia"/>
          <w:szCs w:val="22"/>
        </w:rPr>
        <w:t>συνήθης</w:t>
      </w:r>
      <w:r w:rsidRPr="00582269">
        <w:rPr>
          <w:szCs w:val="22"/>
        </w:rPr>
        <w:t xml:space="preserve"> </w:t>
      </w:r>
      <w:r w:rsidRPr="00582269">
        <w:rPr>
          <w:rFonts w:hint="eastAsia"/>
          <w:szCs w:val="22"/>
        </w:rPr>
        <w:t>δόση</w:t>
      </w:r>
      <w:r w:rsidRPr="00582269">
        <w:rPr>
          <w:szCs w:val="22"/>
        </w:rPr>
        <w:t xml:space="preserve"> </w:t>
      </w:r>
      <w:r w:rsidRPr="00582269">
        <w:rPr>
          <w:rFonts w:hint="eastAsia"/>
          <w:szCs w:val="22"/>
        </w:rPr>
        <w:t>κεφεπίμης</w:t>
      </w:r>
      <w:r w:rsidRPr="00582269">
        <w:rPr>
          <w:szCs w:val="22"/>
        </w:rPr>
        <w:t xml:space="preserve"> (</w:t>
      </w:r>
      <w:r w:rsidRPr="00582269">
        <w:rPr>
          <w:rFonts w:hint="eastAsia"/>
          <w:szCs w:val="22"/>
        </w:rPr>
        <w:t>βλέπε</w:t>
      </w:r>
      <w:r w:rsidR="00100C08">
        <w:rPr>
          <w:szCs w:val="22"/>
        </w:rPr>
        <w:t xml:space="preserve"> παράγραφο 4.8</w:t>
      </w:r>
      <w:r w:rsidRPr="00582269">
        <w:rPr>
          <w:szCs w:val="22"/>
        </w:rPr>
        <w:t>).</w:t>
      </w:r>
    </w:p>
    <w:p w:rsidR="003A207F" w:rsidRDefault="003A207F" w:rsidP="0031570A">
      <w:pPr>
        <w:tabs>
          <w:tab w:val="left" w:pos="567"/>
        </w:tabs>
        <w:autoSpaceDE w:val="0"/>
        <w:autoSpaceDN w:val="0"/>
        <w:adjustRightInd w:val="0"/>
        <w:rPr>
          <w:szCs w:val="22"/>
        </w:rPr>
      </w:pPr>
    </w:p>
    <w:p w:rsidR="003A207F" w:rsidRPr="003A207F" w:rsidRDefault="003A207F" w:rsidP="0031570A">
      <w:pPr>
        <w:tabs>
          <w:tab w:val="left" w:pos="567"/>
        </w:tabs>
        <w:autoSpaceDE w:val="0"/>
        <w:autoSpaceDN w:val="0"/>
        <w:adjustRightInd w:val="0"/>
        <w:rPr>
          <w:szCs w:val="22"/>
          <w:u w:val="single"/>
        </w:rPr>
      </w:pPr>
      <w:r>
        <w:rPr>
          <w:szCs w:val="22"/>
          <w:u w:val="single"/>
        </w:rPr>
        <w:t>Παρεμβολή σε ορολογικές δοκιμασίες</w:t>
      </w:r>
    </w:p>
    <w:p w:rsidR="00D21550" w:rsidRPr="006756E8" w:rsidRDefault="00D21550" w:rsidP="0031570A">
      <w:pPr>
        <w:tabs>
          <w:tab w:val="left" w:pos="567"/>
        </w:tabs>
        <w:autoSpaceDE w:val="0"/>
        <w:autoSpaceDN w:val="0"/>
        <w:adjustRightInd w:val="0"/>
        <w:rPr>
          <w:szCs w:val="22"/>
        </w:rPr>
      </w:pPr>
      <w:r w:rsidRPr="006756E8">
        <w:rPr>
          <w:szCs w:val="22"/>
        </w:rPr>
        <w:t xml:space="preserve">Έχει περιγραφεί </w:t>
      </w:r>
      <w:r w:rsidR="003C529F">
        <w:rPr>
          <w:szCs w:val="22"/>
        </w:rPr>
        <w:t>θετική δοκιμασία</w:t>
      </w:r>
      <w:r w:rsidRPr="006756E8">
        <w:rPr>
          <w:szCs w:val="22"/>
        </w:rPr>
        <w:t xml:space="preserve"> </w:t>
      </w:r>
      <w:r w:rsidRPr="006756E8">
        <w:rPr>
          <w:szCs w:val="22"/>
          <w:lang w:val="en-US"/>
        </w:rPr>
        <w:t>Coombs</w:t>
      </w:r>
      <w:r w:rsidRPr="006756E8">
        <w:rPr>
          <w:szCs w:val="22"/>
        </w:rPr>
        <w:t xml:space="preserve">, χωρίς </w:t>
      </w:r>
      <w:r w:rsidR="003C529F">
        <w:rPr>
          <w:szCs w:val="22"/>
        </w:rPr>
        <w:t>ένδειξη</w:t>
      </w:r>
      <w:r w:rsidRPr="006756E8">
        <w:rPr>
          <w:szCs w:val="22"/>
        </w:rPr>
        <w:t xml:space="preserve"> αιμόλυσης, σε ασθενείς που έλ</w:t>
      </w:r>
      <w:r w:rsidR="003A207F">
        <w:rPr>
          <w:szCs w:val="22"/>
        </w:rPr>
        <w:t>α</w:t>
      </w:r>
      <w:r w:rsidRPr="006756E8">
        <w:rPr>
          <w:szCs w:val="22"/>
        </w:rPr>
        <w:t>βαν θερ</w:t>
      </w:r>
      <w:r w:rsidR="007D0D48" w:rsidRPr="006756E8">
        <w:rPr>
          <w:szCs w:val="22"/>
        </w:rPr>
        <w:t>α</w:t>
      </w:r>
      <w:r w:rsidRPr="006756E8">
        <w:rPr>
          <w:szCs w:val="22"/>
        </w:rPr>
        <w:t>πεία με κεφεπίμη δ</w:t>
      </w:r>
      <w:r w:rsidR="003A207F">
        <w:rPr>
          <w:szCs w:val="22"/>
        </w:rPr>
        <w:t>ύ</w:t>
      </w:r>
      <w:r w:rsidRPr="006756E8">
        <w:rPr>
          <w:szCs w:val="22"/>
        </w:rPr>
        <w:t>ο φορές την ημέρα.</w:t>
      </w:r>
    </w:p>
    <w:p w:rsidR="00D21550" w:rsidRPr="006756E8" w:rsidRDefault="00D21550" w:rsidP="003C529F">
      <w:pPr>
        <w:tabs>
          <w:tab w:val="left" w:pos="567"/>
        </w:tabs>
        <w:autoSpaceDE w:val="0"/>
        <w:autoSpaceDN w:val="0"/>
        <w:adjustRightInd w:val="0"/>
        <w:rPr>
          <w:szCs w:val="22"/>
        </w:rPr>
      </w:pPr>
    </w:p>
    <w:p w:rsidR="005E7166" w:rsidRPr="006756E8" w:rsidRDefault="003C529F" w:rsidP="0038743F">
      <w:pPr>
        <w:widowControl/>
        <w:autoSpaceDE w:val="0"/>
        <w:autoSpaceDN w:val="0"/>
        <w:adjustRightInd w:val="0"/>
        <w:rPr>
          <w:szCs w:val="22"/>
        </w:rPr>
      </w:pPr>
      <w:r>
        <w:rPr>
          <w:szCs w:val="22"/>
        </w:rPr>
        <w:t>Τα αντβιοτικά των κ</w:t>
      </w:r>
      <w:r w:rsidRPr="003C529F">
        <w:rPr>
          <w:szCs w:val="22"/>
        </w:rPr>
        <w:t>εφαλοσπορ</w:t>
      </w:r>
      <w:r>
        <w:rPr>
          <w:szCs w:val="22"/>
        </w:rPr>
        <w:t>ι</w:t>
      </w:r>
      <w:r w:rsidRPr="003C529F">
        <w:rPr>
          <w:szCs w:val="22"/>
        </w:rPr>
        <w:t>ν</w:t>
      </w:r>
      <w:r>
        <w:rPr>
          <w:szCs w:val="22"/>
        </w:rPr>
        <w:t>ών</w:t>
      </w:r>
      <w:r w:rsidRPr="003C529F">
        <w:rPr>
          <w:szCs w:val="22"/>
        </w:rPr>
        <w:t xml:space="preserve"> </w:t>
      </w:r>
      <w:r>
        <w:rPr>
          <w:szCs w:val="22"/>
        </w:rPr>
        <w:t>μπορεί να παρ</w:t>
      </w:r>
      <w:r w:rsidR="00207AC1">
        <w:rPr>
          <w:szCs w:val="22"/>
        </w:rPr>
        <w:t>ά</w:t>
      </w:r>
      <w:r w:rsidRPr="003C529F">
        <w:rPr>
          <w:szCs w:val="22"/>
        </w:rPr>
        <w:t>γ</w:t>
      </w:r>
      <w:r>
        <w:rPr>
          <w:szCs w:val="22"/>
        </w:rPr>
        <w:t>ο</w:t>
      </w:r>
      <w:r w:rsidR="00207AC1">
        <w:rPr>
          <w:szCs w:val="22"/>
        </w:rPr>
        <w:t>υ</w:t>
      </w:r>
      <w:r>
        <w:rPr>
          <w:szCs w:val="22"/>
        </w:rPr>
        <w:t>ν</w:t>
      </w:r>
      <w:r w:rsidRPr="003C529F">
        <w:rPr>
          <w:szCs w:val="22"/>
        </w:rPr>
        <w:t xml:space="preserve"> μ</w:t>
      </w:r>
      <w:r>
        <w:rPr>
          <w:szCs w:val="22"/>
        </w:rPr>
        <w:t>ί</w:t>
      </w:r>
      <w:r w:rsidRPr="003C529F">
        <w:rPr>
          <w:szCs w:val="22"/>
        </w:rPr>
        <w:t xml:space="preserve">α ψευδώς θετική αντίδραση γλυκόζης στα ούρα με </w:t>
      </w:r>
      <w:r>
        <w:rPr>
          <w:szCs w:val="22"/>
        </w:rPr>
        <w:t>δοκιμασίε</w:t>
      </w:r>
      <w:r w:rsidRPr="003C529F">
        <w:rPr>
          <w:szCs w:val="22"/>
        </w:rPr>
        <w:t>ς αναγωγής χαλκού (διάλυμα Benedict</w:t>
      </w:r>
      <w:r w:rsidR="0012490E" w:rsidRPr="0012490E">
        <w:rPr>
          <w:szCs w:val="22"/>
        </w:rPr>
        <w:t>’</w:t>
      </w:r>
      <w:r w:rsidR="0012490E">
        <w:rPr>
          <w:szCs w:val="22"/>
          <w:lang w:val="en-US"/>
        </w:rPr>
        <w:t>s</w:t>
      </w:r>
      <w:r w:rsidRPr="003C529F">
        <w:rPr>
          <w:szCs w:val="22"/>
        </w:rPr>
        <w:t xml:space="preserve"> ή Fehlings ή με Clinitest δισκία), αλλά όχι με δοκιμ</w:t>
      </w:r>
      <w:r>
        <w:rPr>
          <w:szCs w:val="22"/>
        </w:rPr>
        <w:t>ασίε</w:t>
      </w:r>
      <w:r w:rsidRPr="003C529F">
        <w:rPr>
          <w:szCs w:val="22"/>
        </w:rPr>
        <w:t xml:space="preserve">ς που βασίζονται σε ένζυμα (οξειδάση της γλυκόζης) για γλυκοζουρία. Ως εκ τούτου, συνιστάται να χρησιμοποιούνται </w:t>
      </w:r>
      <w:r w:rsidR="0012490E">
        <w:rPr>
          <w:szCs w:val="22"/>
        </w:rPr>
        <w:t>δοκιμασίες</w:t>
      </w:r>
      <w:r w:rsidR="0012490E" w:rsidRPr="003C529F">
        <w:rPr>
          <w:szCs w:val="22"/>
        </w:rPr>
        <w:t xml:space="preserve"> </w:t>
      </w:r>
      <w:r w:rsidRPr="003C529F">
        <w:rPr>
          <w:szCs w:val="22"/>
        </w:rPr>
        <w:t xml:space="preserve">γλυκόζης με βάση τις </w:t>
      </w:r>
      <w:r w:rsidR="0038743F">
        <w:rPr>
          <w:szCs w:val="22"/>
        </w:rPr>
        <w:t xml:space="preserve">ενζυματικές </w:t>
      </w:r>
      <w:r w:rsidRPr="003C529F">
        <w:rPr>
          <w:szCs w:val="22"/>
        </w:rPr>
        <w:t>αντιδράσεις</w:t>
      </w:r>
      <w:r w:rsidR="0038743F">
        <w:rPr>
          <w:szCs w:val="22"/>
        </w:rPr>
        <w:t xml:space="preserve"> οξειδάσης της γλυκόζης.</w:t>
      </w:r>
    </w:p>
    <w:p w:rsidR="00717267" w:rsidRPr="006756E8" w:rsidRDefault="00717267"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4.5</w:t>
      </w:r>
      <w:r w:rsidRPr="006756E8">
        <w:rPr>
          <w:b/>
          <w:noProof/>
          <w:szCs w:val="22"/>
        </w:rPr>
        <w:tab/>
        <w:t>Αλληλεπιδράσεις με άλλα φαρμακευτικά προϊόντα και άλλες μορφές αλληλεπίδρασης</w:t>
      </w:r>
    </w:p>
    <w:p w:rsidR="00B9512A" w:rsidRPr="006756E8" w:rsidRDefault="00B9512A" w:rsidP="0031570A">
      <w:pPr>
        <w:tabs>
          <w:tab w:val="left" w:pos="567"/>
        </w:tabs>
        <w:rPr>
          <w:noProof/>
          <w:szCs w:val="22"/>
        </w:rPr>
      </w:pPr>
    </w:p>
    <w:p w:rsidR="002C0CEF" w:rsidRDefault="002C0CEF" w:rsidP="0031570A">
      <w:pPr>
        <w:tabs>
          <w:tab w:val="left" w:pos="567"/>
        </w:tabs>
        <w:autoSpaceDE w:val="0"/>
        <w:autoSpaceDN w:val="0"/>
        <w:adjustRightInd w:val="0"/>
        <w:rPr>
          <w:color w:val="000000"/>
          <w:szCs w:val="22"/>
        </w:rPr>
      </w:pPr>
      <w:r w:rsidRPr="006756E8">
        <w:rPr>
          <w:color w:val="000000"/>
          <w:szCs w:val="22"/>
        </w:rPr>
        <w:t xml:space="preserve">Η νεφρική λειτουργία πρέπει να παρακολουθείται </w:t>
      </w:r>
      <w:r w:rsidR="0038743F">
        <w:rPr>
          <w:color w:val="000000"/>
          <w:szCs w:val="22"/>
        </w:rPr>
        <w:t>προσεκτικά, εάν</w:t>
      </w:r>
      <w:r w:rsidRPr="006756E8">
        <w:rPr>
          <w:color w:val="000000"/>
          <w:szCs w:val="22"/>
        </w:rPr>
        <w:t xml:space="preserve"> η κεφεπίμη χρησιμοποιείται σε συνδυασμό με δυνητικά νεφροτοξικά φαρμακευτικά προϊόντα, όπως οι αμινογλυκοσίδες και </w:t>
      </w:r>
      <w:r w:rsidR="00081484" w:rsidRPr="006756E8">
        <w:rPr>
          <w:color w:val="000000"/>
          <w:szCs w:val="22"/>
        </w:rPr>
        <w:t xml:space="preserve">τα </w:t>
      </w:r>
      <w:r w:rsidRPr="006756E8">
        <w:rPr>
          <w:color w:val="000000"/>
          <w:szCs w:val="22"/>
        </w:rPr>
        <w:t>ισχυρά διουρητικά.</w:t>
      </w:r>
    </w:p>
    <w:p w:rsidR="0038743F" w:rsidRPr="006756E8" w:rsidRDefault="0038743F" w:rsidP="0031570A">
      <w:pPr>
        <w:tabs>
          <w:tab w:val="left" w:pos="567"/>
        </w:tabs>
        <w:autoSpaceDE w:val="0"/>
        <w:autoSpaceDN w:val="0"/>
        <w:adjustRightInd w:val="0"/>
        <w:rPr>
          <w:szCs w:val="22"/>
        </w:rPr>
      </w:pPr>
    </w:p>
    <w:p w:rsidR="002C0CEF" w:rsidRDefault="00554A28" w:rsidP="0031570A">
      <w:pPr>
        <w:tabs>
          <w:tab w:val="left" w:pos="567"/>
        </w:tabs>
        <w:autoSpaceDE w:val="0"/>
        <w:autoSpaceDN w:val="0"/>
        <w:adjustRightInd w:val="0"/>
        <w:rPr>
          <w:color w:val="000000"/>
          <w:szCs w:val="22"/>
        </w:rPr>
      </w:pPr>
      <w:r w:rsidRPr="006756E8">
        <w:rPr>
          <w:color w:val="000000"/>
          <w:szCs w:val="22"/>
        </w:rPr>
        <w:t xml:space="preserve">Οι κεφαλοσπορίνες μπορεί να ενισχύουν της δράση των αντιθρομβωτικών της </w:t>
      </w:r>
      <w:r w:rsidR="007C7986" w:rsidRPr="006756E8">
        <w:rPr>
          <w:color w:val="000000"/>
          <w:szCs w:val="22"/>
        </w:rPr>
        <w:t>κουμαρίνης</w:t>
      </w:r>
      <w:r w:rsidRPr="006756E8">
        <w:rPr>
          <w:color w:val="000000"/>
          <w:szCs w:val="22"/>
        </w:rPr>
        <w:t>.</w:t>
      </w:r>
    </w:p>
    <w:p w:rsidR="0038743F" w:rsidRPr="006756E8" w:rsidRDefault="0038743F" w:rsidP="0031570A">
      <w:pPr>
        <w:tabs>
          <w:tab w:val="left" w:pos="567"/>
        </w:tabs>
        <w:autoSpaceDE w:val="0"/>
        <w:autoSpaceDN w:val="0"/>
        <w:adjustRightInd w:val="0"/>
        <w:rPr>
          <w:szCs w:val="22"/>
        </w:rPr>
      </w:pPr>
    </w:p>
    <w:p w:rsidR="002C0CEF" w:rsidRPr="006756E8" w:rsidRDefault="00554A28" w:rsidP="0031570A">
      <w:pPr>
        <w:tabs>
          <w:tab w:val="left" w:pos="567"/>
        </w:tabs>
        <w:autoSpaceDE w:val="0"/>
        <w:autoSpaceDN w:val="0"/>
        <w:adjustRightInd w:val="0"/>
        <w:rPr>
          <w:szCs w:val="22"/>
        </w:rPr>
      </w:pPr>
      <w:r w:rsidRPr="006756E8">
        <w:rPr>
          <w:color w:val="000000"/>
          <w:szCs w:val="22"/>
        </w:rPr>
        <w:t xml:space="preserve">Η </w:t>
      </w:r>
      <w:r w:rsidR="007D0D48" w:rsidRPr="006756E8">
        <w:rPr>
          <w:color w:val="000000"/>
          <w:szCs w:val="22"/>
        </w:rPr>
        <w:t>ταυτόχρονη</w:t>
      </w:r>
      <w:r w:rsidRPr="006756E8">
        <w:rPr>
          <w:color w:val="000000"/>
          <w:szCs w:val="22"/>
        </w:rPr>
        <w:t xml:space="preserve"> θεραπεία με βακτηριοστατικά αντιβιοτικά μπορεί να παρεμβαίνει </w:t>
      </w:r>
      <w:r w:rsidR="007D0D48" w:rsidRPr="006756E8">
        <w:rPr>
          <w:color w:val="000000"/>
          <w:szCs w:val="22"/>
        </w:rPr>
        <w:t>σ</w:t>
      </w:r>
      <w:r w:rsidRPr="006756E8">
        <w:rPr>
          <w:color w:val="000000"/>
          <w:szCs w:val="22"/>
        </w:rPr>
        <w:t>τη δράση των αντιβιοτικών των β</w:t>
      </w:r>
      <w:r w:rsidR="0038743F">
        <w:rPr>
          <w:color w:val="000000"/>
          <w:szCs w:val="22"/>
        </w:rPr>
        <w:noBreakHyphen/>
      </w:r>
      <w:r w:rsidR="007C7986" w:rsidRPr="006756E8">
        <w:rPr>
          <w:color w:val="000000"/>
          <w:szCs w:val="22"/>
        </w:rPr>
        <w:t>λακταμώ</w:t>
      </w:r>
      <w:r w:rsidR="000825AD" w:rsidRPr="006756E8">
        <w:rPr>
          <w:color w:val="000000"/>
          <w:szCs w:val="22"/>
        </w:rPr>
        <w:t>ν</w:t>
      </w:r>
      <w:r w:rsidR="007D0D48" w:rsidRPr="006756E8">
        <w:rPr>
          <w:color w:val="000000"/>
          <w:szCs w:val="22"/>
        </w:rPr>
        <w:t>.</w:t>
      </w:r>
    </w:p>
    <w:p w:rsidR="00B9512A" w:rsidRPr="006756E8" w:rsidRDefault="00B9512A" w:rsidP="0031570A">
      <w:pPr>
        <w:tabs>
          <w:tab w:val="left" w:pos="567"/>
        </w:tabs>
        <w:rPr>
          <w:noProof/>
          <w:szCs w:val="22"/>
        </w:rPr>
      </w:pPr>
    </w:p>
    <w:p w:rsidR="00B9512A" w:rsidRPr="00BA41FF" w:rsidRDefault="00B9512A" w:rsidP="0031570A">
      <w:pPr>
        <w:tabs>
          <w:tab w:val="left" w:pos="567"/>
        </w:tabs>
        <w:rPr>
          <w:noProof/>
          <w:szCs w:val="22"/>
        </w:rPr>
      </w:pPr>
      <w:r w:rsidRPr="00BA41FF">
        <w:rPr>
          <w:b/>
          <w:noProof/>
          <w:szCs w:val="22"/>
        </w:rPr>
        <w:t>4.6</w:t>
      </w:r>
      <w:r w:rsidRPr="00BA41FF">
        <w:rPr>
          <w:b/>
          <w:noProof/>
          <w:szCs w:val="22"/>
        </w:rPr>
        <w:tab/>
      </w:r>
      <w:r w:rsidR="00754D85" w:rsidRPr="00786D07">
        <w:rPr>
          <w:b/>
          <w:noProof/>
        </w:rPr>
        <w:t>Γονιμότητα, κ</w:t>
      </w:r>
      <w:r w:rsidR="00754D85" w:rsidRPr="00786D07">
        <w:rPr>
          <w:b/>
        </w:rPr>
        <w:t>ύηση</w:t>
      </w:r>
      <w:r w:rsidRPr="00BA41FF">
        <w:rPr>
          <w:b/>
          <w:noProof/>
          <w:szCs w:val="22"/>
        </w:rPr>
        <w:t xml:space="preserve"> </w:t>
      </w:r>
      <w:r w:rsidRPr="006756E8">
        <w:rPr>
          <w:b/>
          <w:noProof/>
          <w:szCs w:val="22"/>
        </w:rPr>
        <w:t>και</w:t>
      </w:r>
      <w:r w:rsidRPr="00BA41FF">
        <w:rPr>
          <w:b/>
          <w:noProof/>
          <w:szCs w:val="22"/>
        </w:rPr>
        <w:t xml:space="preserve"> </w:t>
      </w:r>
      <w:r w:rsidRPr="006756E8">
        <w:rPr>
          <w:b/>
          <w:noProof/>
          <w:szCs w:val="22"/>
        </w:rPr>
        <w:t>γαλουχία</w:t>
      </w:r>
    </w:p>
    <w:p w:rsidR="00DC3C27" w:rsidRDefault="00DC3C27" w:rsidP="0031570A">
      <w:pPr>
        <w:tabs>
          <w:tab w:val="left" w:pos="567"/>
        </w:tabs>
        <w:autoSpaceDE w:val="0"/>
        <w:autoSpaceDN w:val="0"/>
        <w:adjustRightInd w:val="0"/>
        <w:rPr>
          <w:color w:val="000000"/>
          <w:szCs w:val="22"/>
          <w:u w:val="single"/>
        </w:rPr>
      </w:pPr>
    </w:p>
    <w:p w:rsidR="00033F6F" w:rsidRPr="00033F6F" w:rsidRDefault="00033F6F" w:rsidP="0031570A">
      <w:pPr>
        <w:tabs>
          <w:tab w:val="left" w:pos="567"/>
        </w:tabs>
        <w:autoSpaceDE w:val="0"/>
        <w:autoSpaceDN w:val="0"/>
        <w:adjustRightInd w:val="0"/>
        <w:rPr>
          <w:color w:val="000000"/>
          <w:szCs w:val="22"/>
          <w:u w:val="single"/>
        </w:rPr>
      </w:pPr>
      <w:r w:rsidRPr="00033F6F">
        <w:rPr>
          <w:noProof/>
          <w:u w:val="single"/>
        </w:rPr>
        <w:t>Γονιμότητα</w:t>
      </w:r>
    </w:p>
    <w:p w:rsidR="00033F6F" w:rsidRDefault="00033F6F" w:rsidP="0031570A">
      <w:pPr>
        <w:tabs>
          <w:tab w:val="left" w:pos="567"/>
        </w:tabs>
        <w:autoSpaceDE w:val="0"/>
        <w:autoSpaceDN w:val="0"/>
        <w:adjustRightInd w:val="0"/>
        <w:rPr>
          <w:color w:val="000000"/>
          <w:szCs w:val="22"/>
          <w:u w:val="single"/>
        </w:rPr>
      </w:pPr>
      <w:r w:rsidRPr="0012490E">
        <w:rPr>
          <w:color w:val="000000"/>
          <w:szCs w:val="22"/>
        </w:rPr>
        <w:t>Δεν παρατηρήθηκε έκπτωση της γονιμότητας σε αρουραίους.</w:t>
      </w:r>
      <w:r>
        <w:rPr>
          <w:color w:val="000000"/>
          <w:szCs w:val="22"/>
          <w:u w:val="single"/>
        </w:rPr>
        <w:t xml:space="preserve"> </w:t>
      </w:r>
      <w:r>
        <w:t>Δεν διατίθενται δεδομένα σχετικά με τη χρήση κεφεπίμης στην ανθρώπινη γονιμότητα.</w:t>
      </w:r>
    </w:p>
    <w:p w:rsidR="00033F6F" w:rsidRPr="006756E8" w:rsidRDefault="00033F6F" w:rsidP="0031570A">
      <w:pPr>
        <w:tabs>
          <w:tab w:val="left" w:pos="567"/>
        </w:tabs>
        <w:autoSpaceDE w:val="0"/>
        <w:autoSpaceDN w:val="0"/>
        <w:adjustRightInd w:val="0"/>
        <w:rPr>
          <w:color w:val="000000"/>
          <w:szCs w:val="22"/>
          <w:u w:val="single"/>
        </w:rPr>
      </w:pPr>
    </w:p>
    <w:p w:rsidR="00DC3C27" w:rsidRPr="00C51F28" w:rsidRDefault="00DC3C27" w:rsidP="0031570A">
      <w:pPr>
        <w:tabs>
          <w:tab w:val="left" w:pos="567"/>
        </w:tabs>
        <w:autoSpaceDE w:val="0"/>
        <w:autoSpaceDN w:val="0"/>
        <w:adjustRightInd w:val="0"/>
        <w:rPr>
          <w:szCs w:val="22"/>
          <w:u w:val="single"/>
        </w:rPr>
      </w:pPr>
      <w:r w:rsidRPr="006756E8">
        <w:rPr>
          <w:color w:val="000000"/>
          <w:szCs w:val="22"/>
          <w:u w:val="single"/>
        </w:rPr>
        <w:t>Κύηση</w:t>
      </w:r>
      <w:r w:rsidRPr="00BA41FF">
        <w:rPr>
          <w:color w:val="000000"/>
          <w:szCs w:val="22"/>
          <w:u w:val="single"/>
        </w:rPr>
        <w:t>:</w:t>
      </w:r>
    </w:p>
    <w:p w:rsidR="00DC3C27" w:rsidRPr="00C51F28" w:rsidRDefault="00C51F28" w:rsidP="0031570A">
      <w:pPr>
        <w:tabs>
          <w:tab w:val="left" w:pos="567"/>
        </w:tabs>
        <w:autoSpaceDE w:val="0"/>
        <w:autoSpaceDN w:val="0"/>
        <w:adjustRightInd w:val="0"/>
        <w:rPr>
          <w:color w:val="000000"/>
          <w:szCs w:val="22"/>
          <w:u w:val="single"/>
        </w:rPr>
      </w:pPr>
      <w:r w:rsidRPr="0012490E">
        <w:rPr>
          <w:color w:val="000000"/>
          <w:szCs w:val="22"/>
        </w:rPr>
        <w:t>Μελέτες αναπαραγωγής σε ποντικούς, αρουραίους και κουνέλια δεν κατέδειξαν βλάβη στο έμβρυο, ωστόσο, δεν υπάρχουν επαρκείς και καλά ελεγχόμενες μελέτες σε έγκυες γυναίκες. Επειδή οι μελέτες αναπαραγωγής σε ζώα δεν είναι πάντα προγνωστικές της ανθρώπινης ανταπόκρισης, αυτό το φάρμακο πρέπει να χρησιμοποιείται κατά τη διάρκεια της εγκυμοσύνης, μόνο εάν είναι σαφώς απαραίτητο.</w:t>
      </w:r>
    </w:p>
    <w:p w:rsidR="00DC3C27" w:rsidRPr="006756E8" w:rsidRDefault="00DC3C27" w:rsidP="00C51F28">
      <w:pPr>
        <w:tabs>
          <w:tab w:val="left" w:pos="567"/>
        </w:tabs>
        <w:autoSpaceDE w:val="0"/>
        <w:autoSpaceDN w:val="0"/>
        <w:adjustRightInd w:val="0"/>
        <w:rPr>
          <w:color w:val="000000"/>
          <w:szCs w:val="22"/>
        </w:rPr>
      </w:pPr>
    </w:p>
    <w:p w:rsidR="00DC3C27" w:rsidRPr="00C51F28" w:rsidRDefault="00754D85" w:rsidP="0031570A">
      <w:pPr>
        <w:tabs>
          <w:tab w:val="left" w:pos="567"/>
        </w:tabs>
        <w:autoSpaceDE w:val="0"/>
        <w:autoSpaceDN w:val="0"/>
        <w:adjustRightInd w:val="0"/>
        <w:rPr>
          <w:szCs w:val="22"/>
          <w:u w:val="single"/>
        </w:rPr>
      </w:pPr>
      <w:r>
        <w:rPr>
          <w:color w:val="000000"/>
          <w:szCs w:val="22"/>
          <w:u w:val="single"/>
        </w:rPr>
        <w:t>Θηλασμός</w:t>
      </w:r>
      <w:r w:rsidR="00DC3C27" w:rsidRPr="00C51F28">
        <w:rPr>
          <w:color w:val="000000"/>
          <w:szCs w:val="22"/>
          <w:u w:val="single"/>
        </w:rPr>
        <w:t>:</w:t>
      </w:r>
    </w:p>
    <w:p w:rsidR="00DC3C27" w:rsidRPr="006756E8" w:rsidRDefault="00016787" w:rsidP="0031570A">
      <w:pPr>
        <w:tabs>
          <w:tab w:val="left" w:pos="567"/>
        </w:tabs>
        <w:autoSpaceDE w:val="0"/>
        <w:autoSpaceDN w:val="0"/>
        <w:adjustRightInd w:val="0"/>
        <w:rPr>
          <w:szCs w:val="22"/>
        </w:rPr>
      </w:pPr>
      <w:r w:rsidRPr="006756E8">
        <w:rPr>
          <w:szCs w:val="22"/>
        </w:rPr>
        <w:t xml:space="preserve">Η κεφεπίμη </w:t>
      </w:r>
      <w:r w:rsidR="00C51F28">
        <w:rPr>
          <w:szCs w:val="22"/>
        </w:rPr>
        <w:t>απ</w:t>
      </w:r>
      <w:r w:rsidRPr="006756E8">
        <w:rPr>
          <w:szCs w:val="22"/>
        </w:rPr>
        <w:t xml:space="preserve">εκκρίνεται στο </w:t>
      </w:r>
      <w:r w:rsidR="00C51F28">
        <w:rPr>
          <w:szCs w:val="22"/>
        </w:rPr>
        <w:t xml:space="preserve">ανθρώπινο </w:t>
      </w:r>
      <w:r w:rsidRPr="006756E8">
        <w:rPr>
          <w:szCs w:val="22"/>
        </w:rPr>
        <w:t xml:space="preserve">μητρικό γάλα σε πολύ μικρές συγκεντρώσεις. </w:t>
      </w:r>
      <w:r w:rsidR="00D15D87">
        <w:rPr>
          <w:szCs w:val="22"/>
        </w:rPr>
        <w:t>Πρέπει να επιδεικνύεται προσοχή, όταν η κεφεπίμη χορηγείται σε</w:t>
      </w:r>
      <w:r w:rsidR="00BC00BB" w:rsidRPr="006756E8">
        <w:rPr>
          <w:szCs w:val="22"/>
        </w:rPr>
        <w:t xml:space="preserve"> θεραπευτικές δόσεις</w:t>
      </w:r>
      <w:r w:rsidR="00D15D87" w:rsidRPr="00D15D87">
        <w:rPr>
          <w:szCs w:val="22"/>
        </w:rPr>
        <w:t xml:space="preserve"> </w:t>
      </w:r>
      <w:r w:rsidR="00D15D87">
        <w:rPr>
          <w:szCs w:val="22"/>
        </w:rPr>
        <w:t>σε μία θηλάζουσα γυναίκα,</w:t>
      </w:r>
      <w:r w:rsidR="00BC00BB" w:rsidRPr="006756E8">
        <w:rPr>
          <w:szCs w:val="22"/>
        </w:rPr>
        <w:t xml:space="preserve"> το βρέφος πρέπει να παρακολουθείται στενά.</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4.7</w:t>
      </w:r>
      <w:r w:rsidRPr="006756E8">
        <w:rPr>
          <w:b/>
          <w:noProof/>
          <w:szCs w:val="22"/>
        </w:rPr>
        <w:tab/>
        <w:t>Επιδράσεις στην ικανότητα οδήγησης και χειρισμού μηχανών</w:t>
      </w:r>
    </w:p>
    <w:p w:rsidR="00B9512A" w:rsidRPr="006756E8" w:rsidRDefault="00B9512A" w:rsidP="0031570A">
      <w:pPr>
        <w:tabs>
          <w:tab w:val="left" w:pos="567"/>
        </w:tabs>
        <w:rPr>
          <w:noProof/>
          <w:szCs w:val="22"/>
        </w:rPr>
      </w:pPr>
    </w:p>
    <w:p w:rsidR="00B9512A" w:rsidRPr="006756E8" w:rsidRDefault="0012490E" w:rsidP="0031570A">
      <w:pPr>
        <w:tabs>
          <w:tab w:val="left" w:pos="567"/>
        </w:tabs>
        <w:rPr>
          <w:noProof/>
          <w:szCs w:val="22"/>
        </w:rPr>
      </w:pPr>
      <w:r>
        <w:rPr>
          <w:noProof/>
          <w:szCs w:val="22"/>
        </w:rPr>
        <w:lastRenderedPageBreak/>
        <w:t>Οι</w:t>
      </w:r>
      <w:r w:rsidR="00B9512A" w:rsidRPr="006756E8">
        <w:rPr>
          <w:noProof/>
          <w:szCs w:val="22"/>
        </w:rPr>
        <w:t xml:space="preserve"> επιδράσεις </w:t>
      </w:r>
      <w:r w:rsidR="00D15D87">
        <w:rPr>
          <w:noProof/>
          <w:szCs w:val="22"/>
        </w:rPr>
        <w:t>του φαρμακευτικού προϊόντος</w:t>
      </w:r>
      <w:r w:rsidR="00205F21" w:rsidRPr="006756E8">
        <w:rPr>
          <w:noProof/>
          <w:szCs w:val="22"/>
        </w:rPr>
        <w:t xml:space="preserve"> </w:t>
      </w:r>
      <w:r w:rsidR="00B9512A" w:rsidRPr="006756E8">
        <w:rPr>
          <w:noProof/>
          <w:szCs w:val="22"/>
        </w:rPr>
        <w:t xml:space="preserve">στην ικανότητα </w:t>
      </w:r>
      <w:r w:rsidR="00205F21" w:rsidRPr="006756E8">
        <w:rPr>
          <w:noProof/>
          <w:szCs w:val="22"/>
        </w:rPr>
        <w:t>οδήγησης και χειρισμού</w:t>
      </w:r>
      <w:r w:rsidR="00207AC1">
        <w:rPr>
          <w:noProof/>
          <w:szCs w:val="22"/>
        </w:rPr>
        <w:t xml:space="preserve"> </w:t>
      </w:r>
      <w:r w:rsidR="00205F21" w:rsidRPr="006756E8">
        <w:rPr>
          <w:noProof/>
          <w:szCs w:val="22"/>
        </w:rPr>
        <w:t>μηχανών</w:t>
      </w:r>
      <w:r w:rsidRPr="0012490E">
        <w:rPr>
          <w:noProof/>
        </w:rPr>
        <w:t xml:space="preserve"> </w:t>
      </w:r>
      <w:r>
        <w:rPr>
          <w:noProof/>
        </w:rPr>
        <w:t>δεν έχουν μελετηθεί</w:t>
      </w:r>
      <w:r w:rsidR="00205F21" w:rsidRPr="006756E8">
        <w:rPr>
          <w:noProof/>
          <w:szCs w:val="22"/>
        </w:rPr>
        <w:t>.</w:t>
      </w:r>
      <w:r w:rsidR="00D15D87">
        <w:rPr>
          <w:noProof/>
          <w:szCs w:val="22"/>
        </w:rPr>
        <w:t xml:space="preserve"> </w:t>
      </w:r>
      <w:r w:rsidR="00D15D87" w:rsidRPr="00D15D87">
        <w:rPr>
          <w:noProof/>
          <w:szCs w:val="22"/>
        </w:rPr>
        <w:t xml:space="preserve">Ωστόσο, οι πιθανές ανεπιθύμητες ενέργειες, όπως </w:t>
      </w:r>
      <w:r w:rsidR="00D15D87">
        <w:rPr>
          <w:noProof/>
          <w:szCs w:val="22"/>
        </w:rPr>
        <w:t>μεταβληθείσα</w:t>
      </w:r>
      <w:r w:rsidR="00D15D87" w:rsidRPr="00D15D87">
        <w:rPr>
          <w:noProof/>
          <w:szCs w:val="22"/>
        </w:rPr>
        <w:t xml:space="preserve"> κατάσταση συνείδησης, ζάλη, συγχυτική κατάσταση ή ψευδαισθήσεις μπορεί να μεταβάλ</w:t>
      </w:r>
      <w:r w:rsidR="00D15D87">
        <w:rPr>
          <w:noProof/>
          <w:szCs w:val="22"/>
        </w:rPr>
        <w:t>ουν</w:t>
      </w:r>
      <w:r w:rsidR="00D15D87" w:rsidRPr="00D15D87">
        <w:rPr>
          <w:noProof/>
          <w:szCs w:val="22"/>
        </w:rPr>
        <w:t xml:space="preserve"> την ικανότητα οδήγησης και χειρισμού </w:t>
      </w:r>
      <w:r>
        <w:rPr>
          <w:noProof/>
          <w:szCs w:val="22"/>
        </w:rPr>
        <w:t>μηχανών</w:t>
      </w:r>
      <w:r w:rsidRPr="00D15D87">
        <w:rPr>
          <w:noProof/>
          <w:szCs w:val="22"/>
        </w:rPr>
        <w:t xml:space="preserve"> </w:t>
      </w:r>
      <w:r w:rsidR="00D15D87" w:rsidRPr="00D15D87">
        <w:rPr>
          <w:noProof/>
          <w:szCs w:val="22"/>
        </w:rPr>
        <w:t>(βλέπε παράγραφο 4.4, 4.8 και 4.9</w:t>
      </w:r>
      <w:r w:rsidR="00D15D87">
        <w:rPr>
          <w:noProof/>
          <w:szCs w:val="22"/>
        </w:rPr>
        <w:t>).</w:t>
      </w:r>
    </w:p>
    <w:p w:rsidR="00B9512A" w:rsidRPr="006756E8" w:rsidRDefault="00B9512A" w:rsidP="0031570A">
      <w:pPr>
        <w:tabs>
          <w:tab w:val="left" w:pos="567"/>
        </w:tabs>
        <w:rPr>
          <w:noProof/>
          <w:szCs w:val="22"/>
        </w:rPr>
      </w:pPr>
    </w:p>
    <w:p w:rsidR="00B9512A" w:rsidRPr="00BA41FF" w:rsidRDefault="00B9512A" w:rsidP="0031570A">
      <w:pPr>
        <w:tabs>
          <w:tab w:val="left" w:pos="567"/>
        </w:tabs>
        <w:rPr>
          <w:noProof/>
          <w:szCs w:val="22"/>
        </w:rPr>
      </w:pPr>
      <w:r w:rsidRPr="00BA41FF">
        <w:rPr>
          <w:b/>
          <w:noProof/>
          <w:szCs w:val="22"/>
        </w:rPr>
        <w:t>4.8</w:t>
      </w:r>
      <w:r w:rsidRPr="00BA41FF">
        <w:rPr>
          <w:b/>
          <w:noProof/>
          <w:szCs w:val="22"/>
        </w:rPr>
        <w:tab/>
      </w:r>
      <w:r w:rsidRPr="006756E8">
        <w:rPr>
          <w:b/>
          <w:noProof/>
          <w:szCs w:val="22"/>
        </w:rPr>
        <w:t>Ανεπιθύμητες</w:t>
      </w:r>
      <w:r w:rsidRPr="00BA41FF">
        <w:rPr>
          <w:b/>
          <w:noProof/>
          <w:szCs w:val="22"/>
        </w:rPr>
        <w:t xml:space="preserve"> </w:t>
      </w:r>
      <w:r w:rsidRPr="006756E8">
        <w:rPr>
          <w:b/>
          <w:noProof/>
          <w:szCs w:val="22"/>
        </w:rPr>
        <w:t>ενέργειες</w:t>
      </w:r>
    </w:p>
    <w:p w:rsidR="004D1EB2" w:rsidRPr="006756E8" w:rsidRDefault="004D1EB2" w:rsidP="0031570A">
      <w:pPr>
        <w:tabs>
          <w:tab w:val="left" w:pos="567"/>
        </w:tabs>
        <w:autoSpaceDE w:val="0"/>
        <w:autoSpaceDN w:val="0"/>
        <w:adjustRightInd w:val="0"/>
        <w:rPr>
          <w:szCs w:val="22"/>
        </w:rPr>
      </w:pPr>
    </w:p>
    <w:p w:rsidR="0024130F" w:rsidRDefault="008A7684" w:rsidP="0031570A">
      <w:pPr>
        <w:tabs>
          <w:tab w:val="left" w:pos="567"/>
        </w:tabs>
        <w:autoSpaceDE w:val="0"/>
        <w:autoSpaceDN w:val="0"/>
        <w:adjustRightInd w:val="0"/>
        <w:rPr>
          <w:noProof/>
          <w:szCs w:val="22"/>
        </w:rPr>
      </w:pPr>
      <w:r w:rsidRPr="008A7684">
        <w:rPr>
          <w:noProof/>
          <w:szCs w:val="22"/>
        </w:rPr>
        <w:t>Ο παρακάτω πίνακας περιλαμβάνει τις ανεπιθύμητες ενέργειες τ</w:t>
      </w:r>
      <w:r>
        <w:rPr>
          <w:noProof/>
          <w:szCs w:val="22"/>
        </w:rPr>
        <w:t>ου</w:t>
      </w:r>
      <w:r w:rsidRPr="008A7684">
        <w:rPr>
          <w:noProof/>
          <w:szCs w:val="22"/>
        </w:rPr>
        <w:t xml:space="preserve"> φαρμάκ</w:t>
      </w:r>
      <w:r>
        <w:rPr>
          <w:noProof/>
          <w:szCs w:val="22"/>
        </w:rPr>
        <w:t>ου</w:t>
      </w:r>
      <w:r w:rsidRPr="008A7684">
        <w:rPr>
          <w:noProof/>
          <w:szCs w:val="22"/>
        </w:rPr>
        <w:t xml:space="preserve"> που αναφέρθηκαν κατά τη διάρκεια </w:t>
      </w:r>
      <w:r w:rsidR="0024130F">
        <w:rPr>
          <w:noProof/>
          <w:szCs w:val="22"/>
        </w:rPr>
        <w:t xml:space="preserve">της </w:t>
      </w:r>
      <w:r w:rsidRPr="008A7684">
        <w:rPr>
          <w:noProof/>
          <w:szCs w:val="22"/>
        </w:rPr>
        <w:t>κλινικ</w:t>
      </w:r>
      <w:r w:rsidR="0024130F">
        <w:rPr>
          <w:noProof/>
          <w:szCs w:val="22"/>
        </w:rPr>
        <w:t>ής</w:t>
      </w:r>
      <w:r w:rsidRPr="008A7684">
        <w:rPr>
          <w:noProof/>
          <w:szCs w:val="22"/>
        </w:rPr>
        <w:t xml:space="preserve"> ή </w:t>
      </w:r>
      <w:r w:rsidR="0024130F" w:rsidRPr="008A7684">
        <w:rPr>
          <w:noProof/>
          <w:szCs w:val="22"/>
        </w:rPr>
        <w:t xml:space="preserve">μετά την κυκλοφορία </w:t>
      </w:r>
      <w:r w:rsidRPr="008A7684">
        <w:rPr>
          <w:noProof/>
          <w:szCs w:val="22"/>
        </w:rPr>
        <w:t>εμπειρία. Ο κατάλογος παρουσιάζεται ανά κατηγορία οργανικού συστήματος, προτιμώμενο όρο MedDRA και συχνότητα, χρησιμοποιώντας τις ακόλουθες κατηγορίες συχνότητας: πολύ συχνές (≥</w:t>
      </w:r>
      <w:r w:rsidR="0024130F">
        <w:rPr>
          <w:noProof/>
          <w:szCs w:val="22"/>
        </w:rPr>
        <w:t> </w:t>
      </w:r>
      <w:r w:rsidRPr="008A7684">
        <w:rPr>
          <w:noProof/>
          <w:szCs w:val="22"/>
        </w:rPr>
        <w:t>1/10), συχνές (≥</w:t>
      </w:r>
      <w:r w:rsidR="0024130F">
        <w:rPr>
          <w:noProof/>
          <w:szCs w:val="22"/>
        </w:rPr>
        <w:t> </w:t>
      </w:r>
      <w:r w:rsidRPr="008A7684">
        <w:rPr>
          <w:noProof/>
          <w:szCs w:val="22"/>
        </w:rPr>
        <w:t>1/100 έως &lt;</w:t>
      </w:r>
      <w:r w:rsidR="0024130F">
        <w:rPr>
          <w:noProof/>
          <w:szCs w:val="22"/>
        </w:rPr>
        <w:t> </w:t>
      </w:r>
      <w:r w:rsidRPr="008A7684">
        <w:rPr>
          <w:noProof/>
          <w:szCs w:val="22"/>
        </w:rPr>
        <w:t>1/10), όχι συχνές (≥</w:t>
      </w:r>
      <w:r w:rsidR="0024130F">
        <w:rPr>
          <w:noProof/>
          <w:szCs w:val="22"/>
        </w:rPr>
        <w:t> </w:t>
      </w:r>
      <w:r w:rsidRPr="008A7684">
        <w:rPr>
          <w:noProof/>
          <w:szCs w:val="22"/>
        </w:rPr>
        <w:t>1/1</w:t>
      </w:r>
      <w:r w:rsidR="0024130F">
        <w:rPr>
          <w:noProof/>
          <w:szCs w:val="22"/>
        </w:rPr>
        <w:t>.</w:t>
      </w:r>
      <w:r w:rsidRPr="008A7684">
        <w:rPr>
          <w:noProof/>
          <w:szCs w:val="22"/>
        </w:rPr>
        <w:t>000 έως ≤</w:t>
      </w:r>
      <w:r w:rsidR="0024130F">
        <w:rPr>
          <w:noProof/>
          <w:szCs w:val="22"/>
        </w:rPr>
        <w:t> </w:t>
      </w:r>
      <w:r w:rsidRPr="008A7684">
        <w:rPr>
          <w:noProof/>
          <w:szCs w:val="22"/>
        </w:rPr>
        <w:t>1/100), σπάνιες (≥</w:t>
      </w:r>
      <w:r w:rsidR="0024130F">
        <w:rPr>
          <w:noProof/>
          <w:szCs w:val="22"/>
        </w:rPr>
        <w:t> </w:t>
      </w:r>
      <w:r w:rsidRPr="008A7684">
        <w:rPr>
          <w:noProof/>
          <w:szCs w:val="22"/>
        </w:rPr>
        <w:t>1/10.000 έως ≤</w:t>
      </w:r>
      <w:r w:rsidR="0024130F">
        <w:rPr>
          <w:noProof/>
          <w:szCs w:val="22"/>
        </w:rPr>
        <w:t> </w:t>
      </w:r>
      <w:r w:rsidRPr="008A7684">
        <w:rPr>
          <w:noProof/>
          <w:szCs w:val="22"/>
        </w:rPr>
        <w:t>1/1</w:t>
      </w:r>
      <w:r w:rsidR="0024130F">
        <w:rPr>
          <w:noProof/>
          <w:szCs w:val="22"/>
        </w:rPr>
        <w:t>.</w:t>
      </w:r>
      <w:r w:rsidRPr="008A7684">
        <w:rPr>
          <w:noProof/>
          <w:szCs w:val="22"/>
        </w:rPr>
        <w:t>000), πολύ σπάνιες (≤</w:t>
      </w:r>
      <w:r w:rsidR="0024130F">
        <w:rPr>
          <w:noProof/>
          <w:szCs w:val="22"/>
        </w:rPr>
        <w:t> </w:t>
      </w:r>
      <w:r w:rsidRPr="008A7684">
        <w:rPr>
          <w:noProof/>
          <w:szCs w:val="22"/>
        </w:rPr>
        <w:t>1/10</w:t>
      </w:r>
      <w:r w:rsidR="0024130F">
        <w:rPr>
          <w:noProof/>
          <w:szCs w:val="22"/>
        </w:rPr>
        <w:t>.</w:t>
      </w:r>
      <w:r w:rsidRPr="008A7684">
        <w:rPr>
          <w:noProof/>
          <w:szCs w:val="22"/>
        </w:rPr>
        <w:t xml:space="preserve">000), </w:t>
      </w:r>
      <w:r w:rsidR="0012490E">
        <w:rPr>
          <w:noProof/>
          <w:szCs w:val="22"/>
        </w:rPr>
        <w:t xml:space="preserve">και </w:t>
      </w:r>
      <w:r w:rsidRPr="008A7684">
        <w:rPr>
          <w:noProof/>
          <w:szCs w:val="22"/>
        </w:rPr>
        <w:t>μη γνωστές (δεν μπορούν να εκτιμηθούν με βάση τα διαθέσιμα δεδομένα).</w:t>
      </w:r>
    </w:p>
    <w:p w:rsidR="004D1EB2" w:rsidRDefault="008A7684" w:rsidP="0031570A">
      <w:pPr>
        <w:tabs>
          <w:tab w:val="left" w:pos="567"/>
        </w:tabs>
        <w:autoSpaceDE w:val="0"/>
        <w:autoSpaceDN w:val="0"/>
        <w:adjustRightInd w:val="0"/>
        <w:rPr>
          <w:noProof/>
          <w:szCs w:val="22"/>
        </w:rPr>
      </w:pPr>
      <w:r w:rsidRPr="008A7684">
        <w:rPr>
          <w:noProof/>
          <w:szCs w:val="22"/>
        </w:rPr>
        <w:t>Εντός κάθε κατηγορίας συχνότητας εμφάνισης, οι ανεπιθύμητες ενέργειες παρατίθενται κατά φθίνουσα σειρά σοβαρότητας</w:t>
      </w:r>
      <w:r w:rsidR="0024130F">
        <w:rPr>
          <w:noProof/>
          <w:szCs w:val="22"/>
        </w:rPr>
        <w:t>.</w:t>
      </w:r>
    </w:p>
    <w:p w:rsidR="0024130F" w:rsidRDefault="0024130F" w:rsidP="0031570A">
      <w:pPr>
        <w:tabs>
          <w:tab w:val="left" w:pos="567"/>
        </w:tabs>
        <w:autoSpaceDE w:val="0"/>
        <w:autoSpaceDN w:val="0"/>
        <w:adjustRightInd w:val="0"/>
        <w:rPr>
          <w:noProof/>
          <w:szCs w:val="22"/>
        </w:rPr>
      </w:pPr>
    </w:p>
    <w:p w:rsidR="0024130F" w:rsidRPr="0024130F" w:rsidRDefault="0024130F" w:rsidP="0031570A">
      <w:pPr>
        <w:tabs>
          <w:tab w:val="left" w:pos="567"/>
        </w:tabs>
        <w:autoSpaceDE w:val="0"/>
        <w:autoSpaceDN w:val="0"/>
        <w:adjustRightInd w:val="0"/>
        <w:rPr>
          <w:b/>
          <w:noProof/>
          <w:szCs w:val="22"/>
        </w:rPr>
      </w:pPr>
      <w:r w:rsidRPr="0024130F">
        <w:rPr>
          <w:b/>
          <w:noProof/>
          <w:szCs w:val="22"/>
        </w:rPr>
        <w:t>Ανεπιθύμητες ενέργειες του φαρμάκου που αναφέρθηκαν κατά τη διάρκεια της κλινικής ή μετά την κυκλοφορία εμπειρία</w:t>
      </w:r>
    </w:p>
    <w:p w:rsidR="004D1EB2" w:rsidRPr="006756E8" w:rsidRDefault="004D1EB2" w:rsidP="0031570A">
      <w:pPr>
        <w:tabs>
          <w:tab w:val="left" w:pos="567"/>
        </w:tabs>
        <w:autoSpaceDE w:val="0"/>
        <w:autoSpaceDN w:val="0"/>
        <w:adjustRightInd w:val="0"/>
        <w:rPr>
          <w:szCs w:val="22"/>
        </w:rPr>
      </w:pPr>
    </w:p>
    <w:tbl>
      <w:tblPr>
        <w:tblW w:w="11307" w:type="dxa"/>
        <w:jc w:val="center"/>
        <w:tblLook w:val="01E0"/>
      </w:tblPr>
      <w:tblGrid>
        <w:gridCol w:w="1825"/>
        <w:gridCol w:w="1604"/>
        <w:gridCol w:w="1972"/>
        <w:gridCol w:w="2009"/>
        <w:gridCol w:w="1865"/>
        <w:gridCol w:w="2032"/>
        <w:tblGridChange w:id="2">
          <w:tblGrid>
            <w:gridCol w:w="1825"/>
            <w:gridCol w:w="1604"/>
            <w:gridCol w:w="1972"/>
            <w:gridCol w:w="2009"/>
            <w:gridCol w:w="1865"/>
            <w:gridCol w:w="2032"/>
          </w:tblGrid>
        </w:tblGridChange>
      </w:tblGrid>
      <w:tr w:rsidR="00807CDE" w:rsidRPr="00C141D6" w:rsidTr="00807CDE">
        <w:trPr>
          <w:jc w:val="center"/>
        </w:trPr>
        <w:tc>
          <w:tcPr>
            <w:tcW w:w="1809" w:type="dxa"/>
            <w:tcBorders>
              <w:top w:val="single" w:sz="4" w:space="0" w:color="auto"/>
              <w:left w:val="single" w:sz="4" w:space="0" w:color="auto"/>
              <w:bottom w:val="single" w:sz="4" w:space="0" w:color="auto"/>
            </w:tcBorders>
            <w:shd w:val="clear" w:color="auto" w:fill="auto"/>
          </w:tcPr>
          <w:p w:rsidR="00807CDE" w:rsidRPr="00C141D6" w:rsidRDefault="00807CDE" w:rsidP="0031570A">
            <w:pPr>
              <w:tabs>
                <w:tab w:val="left" w:pos="567"/>
                <w:tab w:val="center" w:pos="4153"/>
                <w:tab w:val="right" w:pos="8306"/>
              </w:tabs>
              <w:spacing w:before="60"/>
              <w:rPr>
                <w:b/>
                <w:szCs w:val="22"/>
              </w:rPr>
            </w:pPr>
          </w:p>
        </w:tc>
        <w:tc>
          <w:tcPr>
            <w:tcW w:w="9498" w:type="dxa"/>
            <w:gridSpan w:val="5"/>
            <w:tcBorders>
              <w:top w:val="single" w:sz="4" w:space="0" w:color="auto"/>
              <w:bottom w:val="single" w:sz="4" w:space="0" w:color="auto"/>
              <w:right w:val="single" w:sz="4" w:space="0" w:color="auto"/>
            </w:tcBorders>
          </w:tcPr>
          <w:p w:rsidR="00807CDE" w:rsidRPr="00C141D6" w:rsidRDefault="00807CDE" w:rsidP="00807CDE">
            <w:pPr>
              <w:tabs>
                <w:tab w:val="left" w:pos="567"/>
                <w:tab w:val="center" w:pos="4153"/>
                <w:tab w:val="right" w:pos="8306"/>
              </w:tabs>
              <w:spacing w:before="60"/>
              <w:jc w:val="center"/>
              <w:rPr>
                <w:b/>
                <w:szCs w:val="22"/>
              </w:rPr>
            </w:pPr>
            <w:r w:rsidRPr="00C141D6">
              <w:rPr>
                <w:b/>
                <w:szCs w:val="22"/>
              </w:rPr>
              <w:t>Συχνότητες ανεπιθύμητων ενεργειών</w:t>
            </w:r>
          </w:p>
        </w:tc>
      </w:tr>
      <w:tr w:rsidR="00807CDE" w:rsidRPr="00C141D6" w:rsidTr="00807C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 w:val="center" w:pos="4153"/>
                <w:tab w:val="right" w:pos="8306"/>
              </w:tabs>
              <w:spacing w:before="60"/>
              <w:rPr>
                <w:b/>
                <w:szCs w:val="22"/>
              </w:rPr>
            </w:pPr>
            <w:r w:rsidRPr="00C141D6">
              <w:rPr>
                <w:b/>
                <w:szCs w:val="22"/>
              </w:rPr>
              <w:t>Κατηγορία οργανικού συστήματος</w:t>
            </w:r>
          </w:p>
        </w:tc>
        <w:tc>
          <w:tcPr>
            <w:tcW w:w="1843" w:type="dxa"/>
            <w:tcBorders>
              <w:top w:val="single" w:sz="4" w:space="0" w:color="auto"/>
              <w:left w:val="single" w:sz="4" w:space="0" w:color="auto"/>
              <w:bottom w:val="single" w:sz="4" w:space="0" w:color="auto"/>
              <w:right w:val="single" w:sz="4" w:space="0" w:color="auto"/>
            </w:tcBorders>
          </w:tcPr>
          <w:p w:rsidR="00807CDE" w:rsidRPr="00C141D6" w:rsidRDefault="00807CDE" w:rsidP="0031570A">
            <w:pPr>
              <w:tabs>
                <w:tab w:val="left" w:pos="567"/>
                <w:tab w:val="center" w:pos="4153"/>
                <w:tab w:val="right" w:pos="8306"/>
              </w:tabs>
              <w:spacing w:before="60"/>
              <w:rPr>
                <w:b/>
                <w:szCs w:val="22"/>
              </w:rPr>
            </w:pPr>
            <w:r>
              <w:rPr>
                <w:b/>
                <w:szCs w:val="22"/>
              </w:rPr>
              <w:t>Πολύ συχνές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 w:val="center" w:pos="4153"/>
                <w:tab w:val="right" w:pos="8306"/>
              </w:tabs>
              <w:spacing w:before="60"/>
              <w:rPr>
                <w:b/>
                <w:szCs w:val="22"/>
              </w:rPr>
            </w:pPr>
            <w:r w:rsidRPr="00C141D6">
              <w:rPr>
                <w:b/>
                <w:szCs w:val="22"/>
              </w:rPr>
              <w:t>Συχνές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 w:val="center" w:pos="4153"/>
                <w:tab w:val="right" w:pos="8306"/>
              </w:tabs>
              <w:spacing w:before="60"/>
              <w:rPr>
                <w:b/>
                <w:szCs w:val="22"/>
              </w:rPr>
            </w:pPr>
            <w:r w:rsidRPr="00C141D6">
              <w:rPr>
                <w:b/>
                <w:szCs w:val="22"/>
              </w:rPr>
              <w:t>Όχι συχνές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 w:val="center" w:pos="4153"/>
                <w:tab w:val="right" w:pos="8306"/>
              </w:tabs>
              <w:spacing w:before="60"/>
              <w:rPr>
                <w:b/>
                <w:szCs w:val="22"/>
              </w:rPr>
            </w:pPr>
            <w:r w:rsidRPr="00C141D6">
              <w:rPr>
                <w:b/>
                <w:szCs w:val="22"/>
              </w:rPr>
              <w:t>Σπάνιες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807CDE">
            <w:pPr>
              <w:tabs>
                <w:tab w:val="left" w:pos="567"/>
                <w:tab w:val="center" w:pos="4153"/>
                <w:tab w:val="right" w:pos="8306"/>
              </w:tabs>
              <w:spacing w:before="60"/>
              <w:rPr>
                <w:b/>
                <w:szCs w:val="22"/>
              </w:rPr>
            </w:pPr>
            <w:r>
              <w:rPr>
                <w:b/>
                <w:szCs w:val="22"/>
              </w:rPr>
              <w:t>Μη</w:t>
            </w:r>
            <w:r w:rsidRPr="00C141D6">
              <w:rPr>
                <w:b/>
                <w:szCs w:val="22"/>
              </w:rPr>
              <w:t xml:space="preserve"> γνωστές</w:t>
            </w:r>
          </w:p>
        </w:tc>
      </w:tr>
      <w:tr w:rsidR="00807CDE" w:rsidRPr="00807CDE" w:rsidTr="00807C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 w:val="center" w:pos="4153"/>
                <w:tab w:val="right" w:pos="8306"/>
              </w:tabs>
              <w:spacing w:before="60"/>
              <w:rPr>
                <w:szCs w:val="22"/>
              </w:rPr>
            </w:pPr>
            <w:r w:rsidRPr="00C141D6">
              <w:rPr>
                <w:b/>
                <w:szCs w:val="22"/>
              </w:rPr>
              <w:t>Λοιμώξεις και παρασιτώσεις</w:t>
            </w:r>
          </w:p>
        </w:tc>
        <w:tc>
          <w:tcPr>
            <w:tcW w:w="1843" w:type="dxa"/>
            <w:tcBorders>
              <w:top w:val="single" w:sz="4" w:space="0" w:color="auto"/>
              <w:left w:val="single" w:sz="4" w:space="0" w:color="auto"/>
              <w:bottom w:val="single" w:sz="4" w:space="0" w:color="auto"/>
              <w:right w:val="single" w:sz="4" w:space="0" w:color="auto"/>
            </w:tcBorders>
          </w:tcPr>
          <w:p w:rsidR="00807CDE" w:rsidRPr="00C141D6" w:rsidRDefault="00807CDE" w:rsidP="0031570A">
            <w:pPr>
              <w:tabs>
                <w:tab w:val="left" w:pos="567"/>
                <w:tab w:val="center" w:pos="4153"/>
                <w:tab w:val="right" w:pos="8306"/>
              </w:tabs>
              <w:spacing w:before="60"/>
              <w:rPr>
                <w:szCs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 w:val="center" w:pos="4153"/>
                <w:tab w:val="right" w:pos="8306"/>
              </w:tabs>
              <w:spacing w:before="60"/>
              <w:rPr>
                <w:szCs w:val="22"/>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 w:val="center" w:pos="4153"/>
                <w:tab w:val="right" w:pos="8306"/>
              </w:tabs>
              <w:spacing w:before="60"/>
              <w:rPr>
                <w:szCs w:val="22"/>
              </w:rPr>
            </w:pPr>
            <w:r w:rsidRPr="00807CDE">
              <w:rPr>
                <w:szCs w:val="22"/>
              </w:rPr>
              <w:t>Καντιντίαση του στόματος</w:t>
            </w:r>
            <w:r>
              <w:rPr>
                <w:szCs w:val="22"/>
              </w:rPr>
              <w:t>, κολπική λοίμωξη</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7CDE" w:rsidRPr="00807CDE" w:rsidRDefault="00807CDE" w:rsidP="0031570A">
            <w:pPr>
              <w:tabs>
                <w:tab w:val="left" w:pos="567"/>
                <w:tab w:val="center" w:pos="4153"/>
                <w:tab w:val="right" w:pos="8306"/>
              </w:tabs>
              <w:spacing w:before="60"/>
              <w:rPr>
                <w:szCs w:val="22"/>
              </w:rPr>
            </w:pPr>
            <w:r w:rsidRPr="00807CDE">
              <w:rPr>
                <w:szCs w:val="22"/>
              </w:rPr>
              <w:t>Καντιντίαση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807CDE" w:rsidRDefault="00807CDE" w:rsidP="0031570A">
            <w:pPr>
              <w:tabs>
                <w:tab w:val="left" w:pos="567"/>
                <w:tab w:val="center" w:pos="4153"/>
                <w:tab w:val="right" w:pos="8306"/>
              </w:tabs>
              <w:spacing w:before="60"/>
              <w:rPr>
                <w:szCs w:val="22"/>
              </w:rPr>
            </w:pP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tcBorders>
              <w:top w:val="nil"/>
              <w:bottom w:val="single" w:sz="4" w:space="0" w:color="auto"/>
            </w:tcBorders>
            <w:shd w:val="clear" w:color="auto" w:fill="auto"/>
          </w:tcPr>
          <w:p w:rsidR="00807CDE" w:rsidRPr="00C141D6" w:rsidRDefault="00807CDE" w:rsidP="0031570A">
            <w:pPr>
              <w:tabs>
                <w:tab w:val="left" w:pos="567"/>
              </w:tabs>
              <w:autoSpaceDE w:val="0"/>
              <w:autoSpaceDN w:val="0"/>
              <w:adjustRightInd w:val="0"/>
              <w:spacing w:before="60"/>
              <w:rPr>
                <w:b/>
                <w:szCs w:val="22"/>
              </w:rPr>
            </w:pPr>
            <w:r w:rsidRPr="00C141D6">
              <w:rPr>
                <w:b/>
                <w:szCs w:val="22"/>
              </w:rPr>
              <w:t>Διαταραχές του αιμοποιητικού και του λεμφικού συστήματος</w:t>
            </w:r>
          </w:p>
        </w:tc>
        <w:tc>
          <w:tcPr>
            <w:tcW w:w="1843" w:type="dxa"/>
            <w:tcBorders>
              <w:top w:val="nil"/>
              <w:bottom w:val="single" w:sz="4" w:space="0" w:color="auto"/>
            </w:tcBorders>
          </w:tcPr>
          <w:p w:rsidR="00807CDE" w:rsidRPr="00C141D6" w:rsidRDefault="00807CDE" w:rsidP="00807CDE">
            <w:pPr>
              <w:tabs>
                <w:tab w:val="left" w:pos="567"/>
              </w:tabs>
              <w:autoSpaceDE w:val="0"/>
              <w:autoSpaceDN w:val="0"/>
              <w:adjustRightInd w:val="0"/>
              <w:spacing w:before="60"/>
              <w:rPr>
                <w:szCs w:val="22"/>
              </w:rPr>
            </w:pPr>
            <w:r w:rsidRPr="00807CDE">
              <w:rPr>
                <w:szCs w:val="22"/>
              </w:rPr>
              <w:t>Δοκιμασία Coombs θετική</w:t>
            </w:r>
          </w:p>
        </w:tc>
        <w:tc>
          <w:tcPr>
            <w:tcW w:w="1843" w:type="dxa"/>
            <w:tcBorders>
              <w:top w:val="nil"/>
              <w:bottom w:val="single" w:sz="4" w:space="0" w:color="auto"/>
            </w:tcBorders>
            <w:shd w:val="clear" w:color="auto" w:fill="auto"/>
          </w:tcPr>
          <w:p w:rsidR="00807CDE" w:rsidRPr="007963EE" w:rsidRDefault="007963EE" w:rsidP="007963EE">
            <w:pPr>
              <w:tabs>
                <w:tab w:val="left" w:pos="567"/>
              </w:tabs>
              <w:autoSpaceDE w:val="0"/>
              <w:autoSpaceDN w:val="0"/>
              <w:adjustRightInd w:val="0"/>
              <w:spacing w:before="60"/>
              <w:rPr>
                <w:szCs w:val="22"/>
                <w:highlight w:val="yellow"/>
              </w:rPr>
            </w:pPr>
            <w:r w:rsidRPr="007963EE">
              <w:rPr>
                <w:szCs w:val="22"/>
              </w:rPr>
              <w:t>Χρόνος προθρομβίνης παρατεταμένος</w:t>
            </w:r>
            <w:r>
              <w:rPr>
                <w:szCs w:val="22"/>
              </w:rPr>
              <w:t>,</w:t>
            </w:r>
            <w:r w:rsidRPr="007963EE">
              <w:rPr>
                <w:szCs w:val="22"/>
              </w:rPr>
              <w:t xml:space="preserve"> Χρόνος μερικής θρομβοπλαστίνης παρατεταμένος </w:t>
            </w:r>
            <w:r w:rsidR="00807CDE" w:rsidRPr="00C141D6">
              <w:rPr>
                <w:szCs w:val="22"/>
              </w:rPr>
              <w:t>αναιμία</w:t>
            </w:r>
            <w:r w:rsidR="00807CDE" w:rsidRPr="007963EE">
              <w:rPr>
                <w:szCs w:val="22"/>
              </w:rPr>
              <w:t xml:space="preserve">, </w:t>
            </w:r>
            <w:r w:rsidR="00807CDE" w:rsidRPr="00C141D6">
              <w:rPr>
                <w:szCs w:val="22"/>
              </w:rPr>
              <w:t>ηωσινοφιλία</w:t>
            </w:r>
          </w:p>
        </w:tc>
        <w:tc>
          <w:tcPr>
            <w:tcW w:w="1985" w:type="dxa"/>
            <w:tcBorders>
              <w:top w:val="nil"/>
              <w:bottom w:val="single" w:sz="4" w:space="0" w:color="auto"/>
            </w:tcBorders>
            <w:shd w:val="clear" w:color="auto" w:fill="auto"/>
          </w:tcPr>
          <w:p w:rsidR="00807CDE" w:rsidRPr="00C141D6" w:rsidRDefault="002B5592" w:rsidP="002B5592">
            <w:pPr>
              <w:tabs>
                <w:tab w:val="left" w:pos="567"/>
              </w:tabs>
              <w:autoSpaceDE w:val="0"/>
              <w:autoSpaceDN w:val="0"/>
              <w:adjustRightInd w:val="0"/>
              <w:spacing w:before="60"/>
              <w:rPr>
                <w:szCs w:val="22"/>
              </w:rPr>
            </w:pPr>
            <w:r>
              <w:rPr>
                <w:szCs w:val="22"/>
              </w:rPr>
              <w:t>Θ</w:t>
            </w:r>
            <w:r w:rsidR="00807CDE" w:rsidRPr="00C141D6">
              <w:rPr>
                <w:szCs w:val="22"/>
              </w:rPr>
              <w:t>ρομβοπενία, λευκοπενία</w:t>
            </w:r>
            <w:r>
              <w:rPr>
                <w:szCs w:val="22"/>
              </w:rPr>
              <w:t>,</w:t>
            </w:r>
            <w:r w:rsidR="00807CDE" w:rsidRPr="00C141D6">
              <w:rPr>
                <w:szCs w:val="22"/>
              </w:rPr>
              <w:t xml:space="preserve"> ουδετεροπενία</w:t>
            </w:r>
          </w:p>
        </w:tc>
        <w:tc>
          <w:tcPr>
            <w:tcW w:w="1984" w:type="dxa"/>
            <w:tcBorders>
              <w:top w:val="nil"/>
              <w:bottom w:val="single" w:sz="4" w:space="0" w:color="auto"/>
            </w:tcBorders>
            <w:shd w:val="clear" w:color="auto" w:fill="auto"/>
          </w:tcPr>
          <w:p w:rsidR="00807CDE" w:rsidRPr="007963EE" w:rsidRDefault="00807CDE" w:rsidP="0031570A">
            <w:pPr>
              <w:tabs>
                <w:tab w:val="left" w:pos="567"/>
              </w:tabs>
              <w:autoSpaceDE w:val="0"/>
              <w:autoSpaceDN w:val="0"/>
              <w:adjustRightInd w:val="0"/>
              <w:spacing w:before="60"/>
              <w:rPr>
                <w:szCs w:val="22"/>
              </w:rPr>
            </w:pPr>
          </w:p>
        </w:tc>
        <w:tc>
          <w:tcPr>
            <w:tcW w:w="1843" w:type="dxa"/>
            <w:tcBorders>
              <w:top w:val="nil"/>
              <w:bottom w:val="single" w:sz="4" w:space="0" w:color="auto"/>
            </w:tcBorders>
            <w:shd w:val="clear" w:color="auto" w:fill="auto"/>
          </w:tcPr>
          <w:p w:rsidR="00807CDE" w:rsidRPr="00C141D6" w:rsidRDefault="00807CDE" w:rsidP="002B5592">
            <w:pPr>
              <w:tabs>
                <w:tab w:val="left" w:pos="567"/>
              </w:tabs>
              <w:autoSpaceDE w:val="0"/>
              <w:autoSpaceDN w:val="0"/>
              <w:adjustRightInd w:val="0"/>
              <w:spacing w:before="60"/>
              <w:rPr>
                <w:szCs w:val="22"/>
              </w:rPr>
            </w:pPr>
            <w:r w:rsidRPr="00C141D6">
              <w:rPr>
                <w:szCs w:val="22"/>
              </w:rPr>
              <w:t>Απλαστική αναιμία</w:t>
            </w:r>
            <w:r w:rsidR="002B5592" w:rsidRPr="002B5592">
              <w:rPr>
                <w:szCs w:val="22"/>
                <w:vertAlign w:val="superscript"/>
              </w:rPr>
              <w:t>α</w:t>
            </w:r>
            <w:r w:rsidRPr="00C141D6">
              <w:rPr>
                <w:szCs w:val="22"/>
              </w:rPr>
              <w:t xml:space="preserve">, </w:t>
            </w:r>
            <w:r w:rsidR="002B5592">
              <w:rPr>
                <w:szCs w:val="22"/>
              </w:rPr>
              <w:t>αιμολυτική αναιμία</w:t>
            </w:r>
            <w:r w:rsidR="002B5592" w:rsidRPr="002B5592">
              <w:rPr>
                <w:szCs w:val="22"/>
                <w:vertAlign w:val="superscript"/>
              </w:rPr>
              <w:t>α</w:t>
            </w:r>
            <w:r w:rsidR="002B5592">
              <w:rPr>
                <w:szCs w:val="22"/>
              </w:rPr>
              <w:t xml:space="preserve">, </w:t>
            </w:r>
            <w:r w:rsidR="002B5592" w:rsidRPr="002B5592">
              <w:rPr>
                <w:szCs w:val="22"/>
              </w:rPr>
              <w:t>ακοκκιοκυτταραιμία</w:t>
            </w: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s>
              <w:spacing w:before="60"/>
              <w:rPr>
                <w:szCs w:val="22"/>
                <w:lang w:val="en-GB"/>
              </w:rPr>
            </w:pPr>
            <w:r w:rsidRPr="007963EE">
              <w:rPr>
                <w:b/>
                <w:szCs w:val="22"/>
              </w:rPr>
              <w:t>Διαταραχές το</w:t>
            </w:r>
            <w:r w:rsidRPr="00C141D6">
              <w:rPr>
                <w:b/>
                <w:szCs w:val="22"/>
                <w:lang w:val="en-GB"/>
              </w:rPr>
              <w:t>υ ανοσοποιητικού συστήματος</w:t>
            </w:r>
          </w:p>
        </w:tc>
        <w:tc>
          <w:tcPr>
            <w:tcW w:w="1843" w:type="dxa"/>
            <w:tcBorders>
              <w:top w:val="single" w:sz="4" w:space="0" w:color="auto"/>
              <w:left w:val="single" w:sz="4" w:space="0" w:color="auto"/>
              <w:bottom w:val="single" w:sz="4" w:space="0" w:color="auto"/>
              <w:right w:val="single" w:sz="4" w:space="0" w:color="auto"/>
            </w:tcBorders>
          </w:tcPr>
          <w:p w:rsidR="00807CDE" w:rsidRPr="00C141D6" w:rsidRDefault="00807CDE" w:rsidP="0031570A">
            <w:pPr>
              <w:tabs>
                <w:tab w:val="left" w:pos="567"/>
              </w:tabs>
              <w:spacing w:before="60"/>
              <w:rPr>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s>
              <w:spacing w:before="60"/>
              <w:rPr>
                <w:szCs w:val="22"/>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s>
              <w:spacing w:before="60"/>
              <w:rPr>
                <w:szCs w:val="22"/>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2B5592" w:rsidP="002B5592">
            <w:pPr>
              <w:tabs>
                <w:tab w:val="left" w:pos="567"/>
              </w:tabs>
              <w:spacing w:before="60"/>
              <w:rPr>
                <w:szCs w:val="22"/>
              </w:rPr>
            </w:pPr>
            <w:r>
              <w:rPr>
                <w:szCs w:val="22"/>
              </w:rPr>
              <w:t>Αναφυλακτική αντίδραση, α</w:t>
            </w:r>
            <w:r w:rsidRPr="002B5592">
              <w:rPr>
                <w:szCs w:val="22"/>
              </w:rPr>
              <w:t>γγειοοίδημα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207AC1" w:rsidRDefault="002B5592" w:rsidP="00207AC1">
            <w:pPr>
              <w:tabs>
                <w:tab w:val="left" w:pos="567"/>
              </w:tabs>
              <w:spacing w:before="60"/>
              <w:rPr>
                <w:szCs w:val="22"/>
              </w:rPr>
            </w:pPr>
            <w:r w:rsidRPr="002B5592">
              <w:rPr>
                <w:szCs w:val="22"/>
                <w:lang w:val="en-GB"/>
              </w:rPr>
              <w:t>Αναφυλακτικ</w:t>
            </w:r>
            <w:r w:rsidR="00207AC1">
              <w:rPr>
                <w:szCs w:val="22"/>
              </w:rPr>
              <w:t>ό</w:t>
            </w:r>
            <w:r w:rsidRPr="002B5592">
              <w:rPr>
                <w:szCs w:val="22"/>
                <w:lang w:val="en-GB"/>
              </w:rPr>
              <w:t xml:space="preserve"> </w:t>
            </w:r>
            <w:r w:rsidR="00207AC1">
              <w:rPr>
                <w:szCs w:val="22"/>
              </w:rPr>
              <w:t>σοκ</w:t>
            </w:r>
          </w:p>
        </w:tc>
      </w:tr>
      <w:tr w:rsidR="002B5592" w:rsidRPr="002B5592"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2B5592" w:rsidRPr="002B5592" w:rsidRDefault="002B5592" w:rsidP="002B5592">
            <w:pPr>
              <w:tabs>
                <w:tab w:val="left" w:pos="567"/>
              </w:tabs>
              <w:spacing w:before="60"/>
              <w:rPr>
                <w:b/>
                <w:szCs w:val="22"/>
              </w:rPr>
            </w:pPr>
            <w:r w:rsidRPr="002B5592">
              <w:rPr>
                <w:b/>
                <w:noProof/>
              </w:rPr>
              <w:t>Διαταραχές του μεταβολισμού και της θρέψης</w:t>
            </w:r>
          </w:p>
        </w:tc>
        <w:tc>
          <w:tcPr>
            <w:tcW w:w="1843" w:type="dxa"/>
            <w:tcBorders>
              <w:top w:val="single" w:sz="4" w:space="0" w:color="auto"/>
              <w:left w:val="single" w:sz="4" w:space="0" w:color="auto"/>
              <w:bottom w:val="single" w:sz="4" w:space="0" w:color="auto"/>
              <w:right w:val="single" w:sz="4" w:space="0" w:color="auto"/>
            </w:tcBorders>
          </w:tcPr>
          <w:p w:rsidR="002B5592" w:rsidRPr="00C141D6" w:rsidRDefault="002B5592" w:rsidP="0031570A">
            <w:pPr>
              <w:tabs>
                <w:tab w:val="left" w:pos="567"/>
              </w:tabs>
              <w:spacing w:before="60"/>
              <w:rPr>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5592" w:rsidRPr="00C141D6" w:rsidDel="002B5592" w:rsidRDefault="002B5592" w:rsidP="0031570A">
            <w:pPr>
              <w:tabs>
                <w:tab w:val="left" w:pos="567"/>
              </w:tabs>
              <w:spacing w:before="60"/>
              <w:rPr>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592" w:rsidRPr="00C141D6" w:rsidDel="002B5592" w:rsidRDefault="002B5592" w:rsidP="0031570A">
            <w:pPr>
              <w:tabs>
                <w:tab w:val="left" w:pos="567"/>
              </w:tabs>
              <w:spacing w:before="60"/>
              <w:rPr>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592" w:rsidRPr="00C141D6" w:rsidDel="002B5592" w:rsidRDefault="002B5592" w:rsidP="002B5592">
            <w:pPr>
              <w:tabs>
                <w:tab w:val="left" w:pos="567"/>
              </w:tabs>
              <w:spacing w:before="60"/>
              <w:rPr>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5592" w:rsidRPr="002B5592" w:rsidRDefault="002B5592" w:rsidP="0031570A">
            <w:pPr>
              <w:tabs>
                <w:tab w:val="left" w:pos="567"/>
              </w:tabs>
              <w:spacing w:before="60"/>
              <w:rPr>
                <w:szCs w:val="22"/>
              </w:rPr>
            </w:pPr>
            <w:r w:rsidRPr="002B5592">
              <w:rPr>
                <w:szCs w:val="22"/>
              </w:rPr>
              <w:t>Γλυκόζη ούρων ψευδώς θετική</w:t>
            </w:r>
          </w:p>
        </w:tc>
      </w:tr>
      <w:tr w:rsidR="002B5592" w:rsidRPr="002B5592"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2B5592" w:rsidRPr="002B5592" w:rsidRDefault="002B5592" w:rsidP="002B5592">
            <w:pPr>
              <w:tabs>
                <w:tab w:val="left" w:pos="567"/>
              </w:tabs>
              <w:spacing w:before="60"/>
              <w:rPr>
                <w:b/>
                <w:szCs w:val="22"/>
              </w:rPr>
            </w:pPr>
            <w:r w:rsidRPr="002B5592">
              <w:rPr>
                <w:b/>
                <w:noProof/>
              </w:rPr>
              <w:t>Ψυχιατρικές διαταραχές</w:t>
            </w:r>
          </w:p>
        </w:tc>
        <w:tc>
          <w:tcPr>
            <w:tcW w:w="1843" w:type="dxa"/>
            <w:tcBorders>
              <w:top w:val="single" w:sz="4" w:space="0" w:color="auto"/>
              <w:left w:val="single" w:sz="4" w:space="0" w:color="auto"/>
              <w:bottom w:val="single" w:sz="4" w:space="0" w:color="auto"/>
              <w:right w:val="single" w:sz="4" w:space="0" w:color="auto"/>
            </w:tcBorders>
          </w:tcPr>
          <w:p w:rsidR="002B5592" w:rsidRPr="00C141D6" w:rsidRDefault="002B5592" w:rsidP="0031570A">
            <w:pPr>
              <w:tabs>
                <w:tab w:val="left" w:pos="567"/>
              </w:tabs>
              <w:spacing w:before="60"/>
              <w:rPr>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5592" w:rsidRPr="00C141D6" w:rsidDel="002B5592" w:rsidRDefault="002B5592" w:rsidP="0031570A">
            <w:pPr>
              <w:tabs>
                <w:tab w:val="left" w:pos="567"/>
              </w:tabs>
              <w:spacing w:before="60"/>
              <w:rPr>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592" w:rsidRPr="00C141D6" w:rsidDel="002B5592" w:rsidRDefault="002B5592" w:rsidP="0031570A">
            <w:pPr>
              <w:tabs>
                <w:tab w:val="left" w:pos="567"/>
              </w:tabs>
              <w:spacing w:before="60"/>
              <w:rPr>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592" w:rsidRPr="00C141D6" w:rsidDel="002B5592" w:rsidRDefault="002B5592" w:rsidP="002B5592">
            <w:pPr>
              <w:tabs>
                <w:tab w:val="left" w:pos="567"/>
              </w:tabs>
              <w:spacing w:before="60"/>
              <w:rPr>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5592" w:rsidRPr="002B5592" w:rsidRDefault="002B5592" w:rsidP="0031570A">
            <w:pPr>
              <w:tabs>
                <w:tab w:val="left" w:pos="567"/>
              </w:tabs>
              <w:spacing w:before="60"/>
              <w:rPr>
                <w:szCs w:val="22"/>
              </w:rPr>
            </w:pPr>
            <w:r w:rsidRPr="002B5592">
              <w:rPr>
                <w:szCs w:val="22"/>
              </w:rPr>
              <w:t>Συγχυτική κατάσταση</w:t>
            </w:r>
            <w:r>
              <w:rPr>
                <w:szCs w:val="22"/>
              </w:rPr>
              <w:t xml:space="preserve">, </w:t>
            </w:r>
            <w:r w:rsidRPr="002B5592">
              <w:rPr>
                <w:szCs w:val="22"/>
              </w:rPr>
              <w:t>Ψευδαίσθηση</w:t>
            </w: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s>
              <w:spacing w:before="60"/>
              <w:rPr>
                <w:b/>
                <w:szCs w:val="22"/>
                <w:lang w:val="en-GB"/>
              </w:rPr>
            </w:pPr>
            <w:r w:rsidRPr="00C141D6">
              <w:rPr>
                <w:b/>
                <w:szCs w:val="22"/>
                <w:lang w:val="en-GB"/>
              </w:rPr>
              <w:t>Διαταραχές του νευρικού συστήματος</w:t>
            </w:r>
          </w:p>
        </w:tc>
        <w:tc>
          <w:tcPr>
            <w:tcW w:w="1843" w:type="dxa"/>
            <w:tcBorders>
              <w:top w:val="single" w:sz="4" w:space="0" w:color="auto"/>
              <w:left w:val="single" w:sz="4" w:space="0" w:color="auto"/>
              <w:bottom w:val="single" w:sz="4" w:space="0" w:color="auto"/>
              <w:right w:val="single" w:sz="4" w:space="0" w:color="auto"/>
            </w:tcBorders>
          </w:tcPr>
          <w:p w:rsidR="00807CDE" w:rsidRPr="00C141D6" w:rsidRDefault="00807CDE" w:rsidP="0031570A">
            <w:pPr>
              <w:tabs>
                <w:tab w:val="left" w:pos="567"/>
              </w:tabs>
              <w:spacing w:before="60"/>
              <w:rPr>
                <w:szCs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s>
              <w:spacing w:before="60"/>
              <w:rPr>
                <w:szCs w:val="22"/>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D91191" w:rsidP="0031570A">
            <w:pPr>
              <w:tabs>
                <w:tab w:val="left" w:pos="567"/>
              </w:tabs>
              <w:spacing w:before="60"/>
              <w:rPr>
                <w:szCs w:val="22"/>
              </w:rPr>
            </w:pPr>
            <w:r>
              <w:rPr>
                <w:szCs w:val="22"/>
              </w:rPr>
              <w:t>Κ</w:t>
            </w:r>
            <w:r w:rsidR="00807CDE" w:rsidRPr="00C141D6">
              <w:rPr>
                <w:szCs w:val="22"/>
              </w:rPr>
              <w:t>εφαλαλγία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D91191" w:rsidP="00D91191">
            <w:pPr>
              <w:tabs>
                <w:tab w:val="left" w:pos="567"/>
              </w:tabs>
              <w:spacing w:before="60"/>
              <w:rPr>
                <w:szCs w:val="22"/>
              </w:rPr>
            </w:pPr>
            <w:r w:rsidRPr="00D91191">
              <w:rPr>
                <w:szCs w:val="22"/>
              </w:rPr>
              <w:t>Σπασμός</w:t>
            </w:r>
            <w:r>
              <w:rPr>
                <w:szCs w:val="22"/>
              </w:rPr>
              <w:t xml:space="preserve">, </w:t>
            </w:r>
            <w:r w:rsidRPr="00A30AFA">
              <w:rPr>
                <w:szCs w:val="22"/>
              </w:rPr>
              <w:t>status epilepticus</w:t>
            </w:r>
            <w:r>
              <w:rPr>
                <w:szCs w:val="22"/>
              </w:rPr>
              <w:t xml:space="preserve"> </w:t>
            </w:r>
            <w:r w:rsidRPr="00214F82">
              <w:rPr>
                <w:szCs w:val="22"/>
              </w:rPr>
              <w:t>χωρίς σπασμούς</w:t>
            </w:r>
            <w:r>
              <w:rPr>
                <w:szCs w:val="22"/>
              </w:rPr>
              <w:t>,</w:t>
            </w:r>
            <w:r w:rsidRPr="00D91191">
              <w:rPr>
                <w:szCs w:val="22"/>
              </w:rPr>
              <w:t xml:space="preserve"> </w:t>
            </w:r>
            <w:r w:rsidR="00807CDE" w:rsidRPr="00C141D6">
              <w:rPr>
                <w:szCs w:val="22"/>
              </w:rPr>
              <w:t xml:space="preserve">παραισθησία, </w:t>
            </w:r>
            <w:r>
              <w:rPr>
                <w:szCs w:val="22"/>
              </w:rPr>
              <w:t>δ</w:t>
            </w:r>
            <w:r w:rsidRPr="00D91191">
              <w:rPr>
                <w:szCs w:val="22"/>
              </w:rPr>
              <w:t>υσγευσία</w:t>
            </w:r>
            <w:r w:rsidR="00807CDE" w:rsidRPr="00C141D6">
              <w:rPr>
                <w:szCs w:val="22"/>
              </w:rPr>
              <w:t>, ζάλη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D91191" w:rsidP="00262593">
            <w:pPr>
              <w:tabs>
                <w:tab w:val="left" w:pos="567"/>
              </w:tabs>
              <w:spacing w:before="60"/>
              <w:rPr>
                <w:szCs w:val="22"/>
              </w:rPr>
            </w:pPr>
            <w:r>
              <w:rPr>
                <w:szCs w:val="22"/>
              </w:rPr>
              <w:t xml:space="preserve">Κώμα, λήθαργος, </w:t>
            </w:r>
            <w:r w:rsidR="00807CDE" w:rsidRPr="00C141D6">
              <w:rPr>
                <w:szCs w:val="22"/>
              </w:rPr>
              <w:t>ε</w:t>
            </w:r>
            <w:r>
              <w:rPr>
                <w:szCs w:val="22"/>
              </w:rPr>
              <w:t>γ</w:t>
            </w:r>
            <w:r w:rsidR="00807CDE" w:rsidRPr="00C141D6">
              <w:rPr>
                <w:szCs w:val="22"/>
              </w:rPr>
              <w:t xml:space="preserve">κεφαλοπάθεια, </w:t>
            </w:r>
            <w:r w:rsidR="00262593">
              <w:rPr>
                <w:szCs w:val="22"/>
              </w:rPr>
              <w:t xml:space="preserve">μεταβληθείσα κατάσταση συνείδησης, </w:t>
            </w:r>
            <w:r w:rsidR="00807CDE" w:rsidRPr="00C141D6">
              <w:rPr>
                <w:szCs w:val="22"/>
              </w:rPr>
              <w:t>μυόκλ</w:t>
            </w:r>
            <w:r w:rsidR="00262593">
              <w:rPr>
                <w:szCs w:val="22"/>
              </w:rPr>
              <w:t>ω</w:t>
            </w:r>
            <w:r w:rsidR="00807CDE" w:rsidRPr="00C141D6">
              <w:rPr>
                <w:szCs w:val="22"/>
              </w:rPr>
              <w:t>νο</w:t>
            </w:r>
            <w:r w:rsidR="00262593">
              <w:rPr>
                <w:szCs w:val="22"/>
              </w:rPr>
              <w:t>ς</w:t>
            </w: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s>
              <w:spacing w:before="60"/>
              <w:rPr>
                <w:b/>
                <w:szCs w:val="22"/>
                <w:lang w:val="en-GB"/>
              </w:rPr>
            </w:pPr>
            <w:r w:rsidRPr="00C141D6">
              <w:rPr>
                <w:b/>
                <w:szCs w:val="22"/>
                <w:lang w:val="en-GB"/>
              </w:rPr>
              <w:t xml:space="preserve">Αγγειακές </w:t>
            </w:r>
            <w:r w:rsidRPr="00C141D6">
              <w:rPr>
                <w:b/>
                <w:szCs w:val="22"/>
                <w:lang w:val="en-GB"/>
              </w:rPr>
              <w:lastRenderedPageBreak/>
              <w:t>διαταραχές</w:t>
            </w:r>
          </w:p>
        </w:tc>
        <w:tc>
          <w:tcPr>
            <w:tcW w:w="1843" w:type="dxa"/>
            <w:tcBorders>
              <w:top w:val="single" w:sz="4" w:space="0" w:color="auto"/>
              <w:left w:val="single" w:sz="4" w:space="0" w:color="auto"/>
              <w:bottom w:val="single" w:sz="4" w:space="0" w:color="auto"/>
              <w:right w:val="single" w:sz="4" w:space="0" w:color="auto"/>
            </w:tcBorders>
          </w:tcPr>
          <w:p w:rsidR="00807CDE" w:rsidRPr="00C141D6" w:rsidRDefault="00807CDE" w:rsidP="0031570A">
            <w:pPr>
              <w:tabs>
                <w:tab w:val="left" w:pos="567"/>
              </w:tabs>
              <w:spacing w:before="60"/>
              <w:rPr>
                <w:szCs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6579E0" w:rsidRDefault="006579E0" w:rsidP="0031570A">
            <w:pPr>
              <w:tabs>
                <w:tab w:val="left" w:pos="567"/>
              </w:tabs>
              <w:spacing w:before="60"/>
              <w:rPr>
                <w:szCs w:val="22"/>
              </w:rPr>
            </w:pPr>
            <w:r>
              <w:rPr>
                <w:szCs w:val="22"/>
              </w:rPr>
              <w:t xml:space="preserve">Φλεβίτιδα στη </w:t>
            </w:r>
            <w:r>
              <w:rPr>
                <w:szCs w:val="22"/>
              </w:rPr>
              <w:lastRenderedPageBreak/>
              <w:t>θέση έγχυσης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807CDE" w:rsidP="0031570A">
            <w:pPr>
              <w:tabs>
                <w:tab w:val="left" w:pos="567"/>
              </w:tabs>
              <w:spacing w:before="60"/>
              <w:rPr>
                <w:szCs w:val="22"/>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7CDE" w:rsidRPr="00C141D6" w:rsidRDefault="006579E0" w:rsidP="006579E0">
            <w:pPr>
              <w:tabs>
                <w:tab w:val="left" w:pos="567"/>
              </w:tabs>
              <w:spacing w:before="60"/>
              <w:rPr>
                <w:szCs w:val="22"/>
              </w:rPr>
            </w:pPr>
            <w:r>
              <w:rPr>
                <w:szCs w:val="22"/>
              </w:rPr>
              <w:t>Α</w:t>
            </w:r>
            <w:r w:rsidR="00807CDE" w:rsidRPr="00C141D6">
              <w:rPr>
                <w:szCs w:val="22"/>
              </w:rPr>
              <w:t>γγειοδιαστολή</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7CDE" w:rsidRPr="006579E0" w:rsidRDefault="006579E0" w:rsidP="0031570A">
            <w:pPr>
              <w:tabs>
                <w:tab w:val="left" w:pos="567"/>
              </w:tabs>
              <w:spacing w:before="60"/>
              <w:rPr>
                <w:szCs w:val="22"/>
              </w:rPr>
            </w:pPr>
            <w:r>
              <w:rPr>
                <w:szCs w:val="22"/>
              </w:rPr>
              <w:t>Αιμορραγία</w:t>
            </w:r>
            <w:r w:rsidRPr="006579E0">
              <w:rPr>
                <w:szCs w:val="22"/>
                <w:vertAlign w:val="superscript"/>
              </w:rPr>
              <w:t>α</w:t>
            </w: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tcBorders>
              <w:top w:val="single" w:sz="4" w:space="0" w:color="auto"/>
            </w:tcBorders>
            <w:shd w:val="clear" w:color="auto" w:fill="auto"/>
          </w:tcPr>
          <w:p w:rsidR="00807CDE" w:rsidRPr="00C141D6" w:rsidRDefault="00807CDE" w:rsidP="0031570A">
            <w:pPr>
              <w:tabs>
                <w:tab w:val="left" w:pos="567"/>
              </w:tabs>
              <w:autoSpaceDE w:val="0"/>
              <w:autoSpaceDN w:val="0"/>
              <w:adjustRightInd w:val="0"/>
              <w:spacing w:before="60"/>
              <w:rPr>
                <w:b/>
                <w:szCs w:val="22"/>
              </w:rPr>
            </w:pPr>
            <w:r w:rsidRPr="00C141D6">
              <w:rPr>
                <w:b/>
                <w:szCs w:val="22"/>
              </w:rPr>
              <w:lastRenderedPageBreak/>
              <w:t>Διαταραχές του αναπνευστικού συστήματος, του θώρακα και του μεσοθωρακίου</w:t>
            </w:r>
          </w:p>
        </w:tc>
        <w:tc>
          <w:tcPr>
            <w:tcW w:w="1843" w:type="dxa"/>
            <w:tcBorders>
              <w:top w:val="single" w:sz="4" w:space="0" w:color="auto"/>
            </w:tcBorders>
          </w:tcPr>
          <w:p w:rsidR="00807CDE" w:rsidRPr="00C141D6" w:rsidRDefault="00807CDE" w:rsidP="0031570A">
            <w:pPr>
              <w:tabs>
                <w:tab w:val="left" w:pos="567"/>
              </w:tabs>
              <w:autoSpaceDE w:val="0"/>
              <w:autoSpaceDN w:val="0"/>
              <w:adjustRightInd w:val="0"/>
              <w:spacing w:before="60"/>
              <w:rPr>
                <w:szCs w:val="22"/>
              </w:rPr>
            </w:pPr>
          </w:p>
        </w:tc>
        <w:tc>
          <w:tcPr>
            <w:tcW w:w="1843" w:type="dxa"/>
            <w:tcBorders>
              <w:top w:val="single" w:sz="4" w:space="0" w:color="auto"/>
            </w:tcBorders>
            <w:shd w:val="clear" w:color="auto" w:fill="auto"/>
          </w:tcPr>
          <w:p w:rsidR="00807CDE" w:rsidRPr="00C141D6" w:rsidRDefault="00807CDE" w:rsidP="0031570A">
            <w:pPr>
              <w:tabs>
                <w:tab w:val="left" w:pos="567"/>
              </w:tabs>
              <w:autoSpaceDE w:val="0"/>
              <w:autoSpaceDN w:val="0"/>
              <w:adjustRightInd w:val="0"/>
              <w:spacing w:before="60"/>
              <w:rPr>
                <w:szCs w:val="22"/>
              </w:rPr>
            </w:pPr>
          </w:p>
        </w:tc>
        <w:tc>
          <w:tcPr>
            <w:tcW w:w="1985" w:type="dxa"/>
            <w:tcBorders>
              <w:top w:val="single" w:sz="4" w:space="0" w:color="auto"/>
            </w:tcBorders>
            <w:shd w:val="clear" w:color="auto" w:fill="auto"/>
          </w:tcPr>
          <w:p w:rsidR="00807CDE" w:rsidRPr="00BA41FF" w:rsidRDefault="00807CDE" w:rsidP="0031570A">
            <w:pPr>
              <w:tabs>
                <w:tab w:val="left" w:pos="567"/>
              </w:tabs>
              <w:autoSpaceDE w:val="0"/>
              <w:autoSpaceDN w:val="0"/>
              <w:adjustRightInd w:val="0"/>
              <w:spacing w:before="60"/>
              <w:rPr>
                <w:szCs w:val="22"/>
              </w:rPr>
            </w:pPr>
          </w:p>
        </w:tc>
        <w:tc>
          <w:tcPr>
            <w:tcW w:w="1984" w:type="dxa"/>
            <w:tcBorders>
              <w:top w:val="single" w:sz="4" w:space="0" w:color="auto"/>
            </w:tcBorders>
            <w:shd w:val="clear" w:color="auto" w:fill="auto"/>
          </w:tcPr>
          <w:p w:rsidR="00807CDE" w:rsidRPr="00C141D6" w:rsidRDefault="006579E0" w:rsidP="0031570A">
            <w:pPr>
              <w:tabs>
                <w:tab w:val="left" w:pos="567"/>
              </w:tabs>
              <w:autoSpaceDE w:val="0"/>
              <w:autoSpaceDN w:val="0"/>
              <w:adjustRightInd w:val="0"/>
              <w:spacing w:before="60"/>
              <w:rPr>
                <w:szCs w:val="22"/>
                <w:lang w:val="en-GB"/>
              </w:rPr>
            </w:pPr>
            <w:r w:rsidRPr="00C141D6">
              <w:rPr>
                <w:szCs w:val="22"/>
              </w:rPr>
              <w:t>Δύσπνοια</w:t>
            </w:r>
          </w:p>
        </w:tc>
        <w:tc>
          <w:tcPr>
            <w:tcW w:w="1843" w:type="dxa"/>
            <w:tcBorders>
              <w:top w:val="single" w:sz="4" w:space="0" w:color="auto"/>
            </w:tcBorders>
            <w:shd w:val="clear" w:color="auto" w:fill="auto"/>
          </w:tcPr>
          <w:p w:rsidR="00807CDE" w:rsidRPr="00C141D6" w:rsidRDefault="00807CDE" w:rsidP="0031570A">
            <w:pPr>
              <w:tabs>
                <w:tab w:val="left" w:pos="567"/>
              </w:tabs>
              <w:autoSpaceDE w:val="0"/>
              <w:autoSpaceDN w:val="0"/>
              <w:adjustRightInd w:val="0"/>
              <w:spacing w:before="60"/>
              <w:rPr>
                <w:szCs w:val="22"/>
                <w:lang w:val="en-GB"/>
              </w:rPr>
            </w:pP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shd w:val="clear" w:color="auto" w:fill="auto"/>
          </w:tcPr>
          <w:p w:rsidR="00807CDE" w:rsidRPr="00C141D6" w:rsidRDefault="00807CDE" w:rsidP="006579E0">
            <w:pPr>
              <w:tabs>
                <w:tab w:val="left" w:pos="567"/>
              </w:tabs>
              <w:autoSpaceDE w:val="0"/>
              <w:autoSpaceDN w:val="0"/>
              <w:adjustRightInd w:val="0"/>
              <w:spacing w:before="60"/>
              <w:rPr>
                <w:b/>
                <w:szCs w:val="22"/>
                <w:lang w:val="en-GB"/>
              </w:rPr>
            </w:pPr>
            <w:r w:rsidRPr="00C141D6">
              <w:rPr>
                <w:b/>
                <w:szCs w:val="22"/>
                <w:lang w:val="en-GB"/>
              </w:rPr>
              <w:t>Διαταραχές του γαστρεντερικού</w:t>
            </w:r>
          </w:p>
        </w:tc>
        <w:tc>
          <w:tcPr>
            <w:tcW w:w="1843" w:type="dxa"/>
          </w:tcPr>
          <w:p w:rsidR="00807CDE" w:rsidRPr="00C141D6" w:rsidRDefault="00807CDE" w:rsidP="0031570A">
            <w:pPr>
              <w:tabs>
                <w:tab w:val="left" w:pos="567"/>
              </w:tabs>
              <w:autoSpaceDE w:val="0"/>
              <w:autoSpaceDN w:val="0"/>
              <w:adjustRightInd w:val="0"/>
              <w:spacing w:before="60"/>
              <w:rPr>
                <w:szCs w:val="22"/>
              </w:rPr>
            </w:pPr>
          </w:p>
        </w:tc>
        <w:tc>
          <w:tcPr>
            <w:tcW w:w="1843" w:type="dxa"/>
            <w:shd w:val="clear" w:color="auto" w:fill="auto"/>
          </w:tcPr>
          <w:p w:rsidR="00807CDE" w:rsidRPr="00C141D6" w:rsidRDefault="00807CDE" w:rsidP="0031570A">
            <w:pPr>
              <w:tabs>
                <w:tab w:val="left" w:pos="567"/>
              </w:tabs>
              <w:autoSpaceDE w:val="0"/>
              <w:autoSpaceDN w:val="0"/>
              <w:adjustRightInd w:val="0"/>
              <w:spacing w:before="60"/>
              <w:rPr>
                <w:szCs w:val="22"/>
              </w:rPr>
            </w:pPr>
            <w:r w:rsidRPr="00C141D6">
              <w:rPr>
                <w:szCs w:val="22"/>
              </w:rPr>
              <w:t>Διάρροια</w:t>
            </w:r>
          </w:p>
        </w:tc>
        <w:tc>
          <w:tcPr>
            <w:tcW w:w="1985" w:type="dxa"/>
            <w:shd w:val="clear" w:color="auto" w:fill="auto"/>
          </w:tcPr>
          <w:p w:rsidR="00807CDE" w:rsidRPr="00C141D6" w:rsidRDefault="006579E0" w:rsidP="006579E0">
            <w:pPr>
              <w:tabs>
                <w:tab w:val="left" w:pos="567"/>
              </w:tabs>
              <w:autoSpaceDE w:val="0"/>
              <w:autoSpaceDN w:val="0"/>
              <w:adjustRightInd w:val="0"/>
              <w:spacing w:before="60"/>
              <w:rPr>
                <w:szCs w:val="22"/>
              </w:rPr>
            </w:pPr>
            <w:r>
              <w:rPr>
                <w:szCs w:val="22"/>
              </w:rPr>
              <w:t>Ψ</w:t>
            </w:r>
            <w:r w:rsidRPr="006579E0">
              <w:rPr>
                <w:szCs w:val="22"/>
              </w:rPr>
              <w:t xml:space="preserve">ευδομεμβρανώδης </w:t>
            </w:r>
            <w:r>
              <w:rPr>
                <w:szCs w:val="22"/>
              </w:rPr>
              <w:t>κ</w:t>
            </w:r>
            <w:r w:rsidRPr="006579E0">
              <w:rPr>
                <w:szCs w:val="22"/>
              </w:rPr>
              <w:t>ολίτιδα</w:t>
            </w:r>
            <w:r>
              <w:rPr>
                <w:szCs w:val="22"/>
              </w:rPr>
              <w:t>,</w:t>
            </w:r>
            <w:r w:rsidRPr="006579E0">
              <w:rPr>
                <w:szCs w:val="22"/>
              </w:rPr>
              <w:t xml:space="preserve"> </w:t>
            </w:r>
            <w:r>
              <w:rPr>
                <w:szCs w:val="22"/>
              </w:rPr>
              <w:t>κ</w:t>
            </w:r>
            <w:r w:rsidRPr="006579E0">
              <w:rPr>
                <w:szCs w:val="22"/>
              </w:rPr>
              <w:t>ολίτιδα</w:t>
            </w:r>
            <w:r>
              <w:rPr>
                <w:szCs w:val="22"/>
              </w:rPr>
              <w:t>,</w:t>
            </w:r>
            <w:r w:rsidRPr="006579E0">
              <w:rPr>
                <w:szCs w:val="22"/>
              </w:rPr>
              <w:t xml:space="preserve"> </w:t>
            </w:r>
            <w:r w:rsidR="00807CDE" w:rsidRPr="00C141D6">
              <w:rPr>
                <w:szCs w:val="22"/>
              </w:rPr>
              <w:t>ναυτία</w:t>
            </w:r>
            <w:r w:rsidR="00207AC1">
              <w:rPr>
                <w:szCs w:val="22"/>
              </w:rPr>
              <w:t>, έμετος</w:t>
            </w:r>
          </w:p>
        </w:tc>
        <w:tc>
          <w:tcPr>
            <w:tcW w:w="1984" w:type="dxa"/>
            <w:shd w:val="clear" w:color="auto" w:fill="auto"/>
          </w:tcPr>
          <w:p w:rsidR="00807CDE" w:rsidRPr="00C141D6" w:rsidRDefault="00807CDE" w:rsidP="006579E0">
            <w:pPr>
              <w:tabs>
                <w:tab w:val="left" w:pos="567"/>
              </w:tabs>
              <w:autoSpaceDE w:val="0"/>
              <w:autoSpaceDN w:val="0"/>
              <w:adjustRightInd w:val="0"/>
              <w:spacing w:before="60"/>
              <w:rPr>
                <w:szCs w:val="22"/>
              </w:rPr>
            </w:pPr>
            <w:r w:rsidRPr="00C141D6">
              <w:rPr>
                <w:szCs w:val="22"/>
              </w:rPr>
              <w:t>Κοιλιακό άλγος, δυσκοιλιότητα</w:t>
            </w:r>
          </w:p>
        </w:tc>
        <w:tc>
          <w:tcPr>
            <w:tcW w:w="1843" w:type="dxa"/>
            <w:shd w:val="clear" w:color="auto" w:fill="auto"/>
          </w:tcPr>
          <w:p w:rsidR="00807CDE" w:rsidRPr="00C141D6" w:rsidRDefault="00207AC1" w:rsidP="00207AC1">
            <w:pPr>
              <w:tabs>
                <w:tab w:val="left" w:pos="567"/>
              </w:tabs>
              <w:autoSpaceDE w:val="0"/>
              <w:autoSpaceDN w:val="0"/>
              <w:adjustRightInd w:val="0"/>
              <w:spacing w:before="60"/>
              <w:rPr>
                <w:szCs w:val="22"/>
              </w:rPr>
            </w:pPr>
            <w:r>
              <w:rPr>
                <w:szCs w:val="22"/>
              </w:rPr>
              <w:t>Γαστρεντερική δ</w:t>
            </w:r>
            <w:r w:rsidR="006579E0" w:rsidRPr="006579E0">
              <w:rPr>
                <w:szCs w:val="22"/>
              </w:rPr>
              <w:t>ιαταραχ</w:t>
            </w:r>
            <w:r w:rsidR="006579E0">
              <w:rPr>
                <w:szCs w:val="22"/>
              </w:rPr>
              <w:t>ή</w:t>
            </w:r>
            <w:r w:rsidR="006579E0" w:rsidRPr="006579E0">
              <w:rPr>
                <w:szCs w:val="22"/>
              </w:rPr>
              <w:t xml:space="preserve"> </w:t>
            </w:r>
          </w:p>
        </w:tc>
      </w:tr>
      <w:tr w:rsidR="00A65B33"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shd w:val="clear" w:color="auto" w:fill="auto"/>
          </w:tcPr>
          <w:p w:rsidR="00A65B33" w:rsidRPr="00A65B33" w:rsidRDefault="00A65B33" w:rsidP="006579E0">
            <w:pPr>
              <w:tabs>
                <w:tab w:val="left" w:pos="567"/>
              </w:tabs>
              <w:autoSpaceDE w:val="0"/>
              <w:autoSpaceDN w:val="0"/>
              <w:adjustRightInd w:val="0"/>
              <w:spacing w:before="60"/>
              <w:rPr>
                <w:b/>
                <w:szCs w:val="22"/>
              </w:rPr>
            </w:pPr>
            <w:r w:rsidRPr="00A65B33">
              <w:rPr>
                <w:b/>
                <w:noProof/>
              </w:rPr>
              <w:t>Διαταραχές του ήπατος και των χοληφόρων</w:t>
            </w:r>
          </w:p>
        </w:tc>
        <w:tc>
          <w:tcPr>
            <w:tcW w:w="1843" w:type="dxa"/>
          </w:tcPr>
          <w:p w:rsidR="00A65B33" w:rsidRPr="00C141D6" w:rsidRDefault="00A65B33" w:rsidP="0031570A">
            <w:pPr>
              <w:tabs>
                <w:tab w:val="left" w:pos="567"/>
              </w:tabs>
              <w:autoSpaceDE w:val="0"/>
              <w:autoSpaceDN w:val="0"/>
              <w:adjustRightInd w:val="0"/>
              <w:spacing w:before="60"/>
              <w:rPr>
                <w:szCs w:val="22"/>
              </w:rPr>
            </w:pPr>
          </w:p>
        </w:tc>
        <w:tc>
          <w:tcPr>
            <w:tcW w:w="1843" w:type="dxa"/>
            <w:shd w:val="clear" w:color="auto" w:fill="auto"/>
          </w:tcPr>
          <w:p w:rsidR="00A65B33" w:rsidRPr="00C141D6" w:rsidRDefault="00A65B33" w:rsidP="009F4B6C">
            <w:pPr>
              <w:tabs>
                <w:tab w:val="left" w:pos="567"/>
              </w:tabs>
              <w:autoSpaceDE w:val="0"/>
              <w:autoSpaceDN w:val="0"/>
              <w:adjustRightInd w:val="0"/>
              <w:spacing w:before="60"/>
              <w:rPr>
                <w:szCs w:val="22"/>
              </w:rPr>
            </w:pPr>
            <w:r w:rsidRPr="00A65B33">
              <w:rPr>
                <w:szCs w:val="22"/>
              </w:rPr>
              <w:t xml:space="preserve">Αμινοτρανσφεράση της αλανίνης </w:t>
            </w:r>
            <w:r>
              <w:rPr>
                <w:szCs w:val="22"/>
              </w:rPr>
              <w:t xml:space="preserve">αυξημένη, </w:t>
            </w:r>
            <w:r w:rsidRPr="00A65B33">
              <w:rPr>
                <w:szCs w:val="22"/>
              </w:rPr>
              <w:t>αμινοτρανσφεράση</w:t>
            </w:r>
            <w:r>
              <w:rPr>
                <w:szCs w:val="22"/>
              </w:rPr>
              <w:t xml:space="preserve"> </w:t>
            </w:r>
            <w:r w:rsidR="009F4B6C">
              <w:rPr>
                <w:szCs w:val="22"/>
              </w:rPr>
              <w:t xml:space="preserve">του ασπαρτικού οξέος </w:t>
            </w:r>
            <w:r>
              <w:rPr>
                <w:szCs w:val="22"/>
              </w:rPr>
              <w:t>αυξημένη, χ</w:t>
            </w:r>
            <w:r w:rsidRPr="00A65B33">
              <w:rPr>
                <w:szCs w:val="22"/>
              </w:rPr>
              <w:t>ολερυθρίνη αίματος</w:t>
            </w:r>
            <w:r>
              <w:rPr>
                <w:szCs w:val="22"/>
              </w:rPr>
              <w:t xml:space="preserve"> αυξημένη</w:t>
            </w:r>
          </w:p>
        </w:tc>
        <w:tc>
          <w:tcPr>
            <w:tcW w:w="1985" w:type="dxa"/>
            <w:shd w:val="clear" w:color="auto" w:fill="auto"/>
          </w:tcPr>
          <w:p w:rsidR="00A65B33" w:rsidRDefault="00A65B33" w:rsidP="006579E0">
            <w:pPr>
              <w:tabs>
                <w:tab w:val="left" w:pos="567"/>
              </w:tabs>
              <w:autoSpaceDE w:val="0"/>
              <w:autoSpaceDN w:val="0"/>
              <w:adjustRightInd w:val="0"/>
              <w:spacing w:before="60"/>
              <w:rPr>
                <w:szCs w:val="22"/>
              </w:rPr>
            </w:pPr>
          </w:p>
        </w:tc>
        <w:tc>
          <w:tcPr>
            <w:tcW w:w="1984" w:type="dxa"/>
            <w:shd w:val="clear" w:color="auto" w:fill="auto"/>
          </w:tcPr>
          <w:p w:rsidR="00A65B33" w:rsidRPr="00C141D6" w:rsidRDefault="00A65B33" w:rsidP="006579E0">
            <w:pPr>
              <w:tabs>
                <w:tab w:val="left" w:pos="567"/>
              </w:tabs>
              <w:autoSpaceDE w:val="0"/>
              <w:autoSpaceDN w:val="0"/>
              <w:adjustRightInd w:val="0"/>
              <w:spacing w:before="60"/>
              <w:rPr>
                <w:szCs w:val="22"/>
              </w:rPr>
            </w:pPr>
          </w:p>
        </w:tc>
        <w:tc>
          <w:tcPr>
            <w:tcW w:w="1843" w:type="dxa"/>
            <w:shd w:val="clear" w:color="auto" w:fill="auto"/>
          </w:tcPr>
          <w:p w:rsidR="00A65B33" w:rsidRPr="006579E0" w:rsidRDefault="00A65B33" w:rsidP="006579E0">
            <w:pPr>
              <w:tabs>
                <w:tab w:val="left" w:pos="567"/>
              </w:tabs>
              <w:autoSpaceDE w:val="0"/>
              <w:autoSpaceDN w:val="0"/>
              <w:adjustRightInd w:val="0"/>
              <w:spacing w:before="60"/>
              <w:rPr>
                <w:szCs w:val="22"/>
              </w:rPr>
            </w:pP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shd w:val="clear" w:color="auto" w:fill="auto"/>
          </w:tcPr>
          <w:p w:rsidR="00807CDE" w:rsidRPr="00C141D6" w:rsidRDefault="00807CDE" w:rsidP="0031570A">
            <w:pPr>
              <w:tabs>
                <w:tab w:val="left" w:pos="567"/>
              </w:tabs>
              <w:autoSpaceDE w:val="0"/>
              <w:autoSpaceDN w:val="0"/>
              <w:adjustRightInd w:val="0"/>
              <w:spacing w:before="60"/>
              <w:rPr>
                <w:b/>
                <w:szCs w:val="22"/>
              </w:rPr>
            </w:pPr>
            <w:r w:rsidRPr="00C141D6">
              <w:rPr>
                <w:b/>
                <w:szCs w:val="22"/>
              </w:rPr>
              <w:t>Διαταραχές του δέρματος και του υποδόριου ιστού</w:t>
            </w:r>
          </w:p>
        </w:tc>
        <w:tc>
          <w:tcPr>
            <w:tcW w:w="1843" w:type="dxa"/>
          </w:tcPr>
          <w:p w:rsidR="00807CDE" w:rsidRPr="00C141D6" w:rsidRDefault="00807CDE" w:rsidP="0031570A">
            <w:pPr>
              <w:tabs>
                <w:tab w:val="left" w:pos="567"/>
              </w:tabs>
              <w:autoSpaceDE w:val="0"/>
              <w:autoSpaceDN w:val="0"/>
              <w:adjustRightInd w:val="0"/>
              <w:spacing w:before="60"/>
              <w:rPr>
                <w:szCs w:val="22"/>
              </w:rPr>
            </w:pPr>
          </w:p>
        </w:tc>
        <w:tc>
          <w:tcPr>
            <w:tcW w:w="1843" w:type="dxa"/>
            <w:shd w:val="clear" w:color="auto" w:fill="auto"/>
          </w:tcPr>
          <w:p w:rsidR="00807CDE" w:rsidRPr="00C141D6" w:rsidRDefault="00A65B33" w:rsidP="0031570A">
            <w:pPr>
              <w:tabs>
                <w:tab w:val="left" w:pos="567"/>
              </w:tabs>
              <w:autoSpaceDE w:val="0"/>
              <w:autoSpaceDN w:val="0"/>
              <w:adjustRightInd w:val="0"/>
              <w:spacing w:before="60"/>
              <w:rPr>
                <w:szCs w:val="22"/>
              </w:rPr>
            </w:pPr>
            <w:r>
              <w:rPr>
                <w:szCs w:val="22"/>
              </w:rPr>
              <w:t>Εξάνθημα</w:t>
            </w:r>
          </w:p>
        </w:tc>
        <w:tc>
          <w:tcPr>
            <w:tcW w:w="1985" w:type="dxa"/>
            <w:shd w:val="clear" w:color="auto" w:fill="auto"/>
          </w:tcPr>
          <w:p w:rsidR="00807CDE" w:rsidRPr="00C141D6" w:rsidRDefault="00A65B33" w:rsidP="0031570A">
            <w:pPr>
              <w:tabs>
                <w:tab w:val="left" w:pos="567"/>
              </w:tabs>
              <w:autoSpaceDE w:val="0"/>
              <w:autoSpaceDN w:val="0"/>
              <w:adjustRightInd w:val="0"/>
              <w:spacing w:before="60"/>
              <w:rPr>
                <w:szCs w:val="22"/>
              </w:rPr>
            </w:pPr>
            <w:r>
              <w:rPr>
                <w:szCs w:val="22"/>
              </w:rPr>
              <w:t>Ερύθημα, κνίδωση, κνησμός</w:t>
            </w:r>
          </w:p>
        </w:tc>
        <w:tc>
          <w:tcPr>
            <w:tcW w:w="1984" w:type="dxa"/>
            <w:shd w:val="clear" w:color="auto" w:fill="auto"/>
          </w:tcPr>
          <w:p w:rsidR="00807CDE" w:rsidRPr="00C141D6" w:rsidRDefault="00807CDE" w:rsidP="0031570A">
            <w:pPr>
              <w:tabs>
                <w:tab w:val="left" w:pos="567"/>
              </w:tabs>
              <w:autoSpaceDE w:val="0"/>
              <w:autoSpaceDN w:val="0"/>
              <w:adjustRightInd w:val="0"/>
              <w:spacing w:before="60"/>
              <w:rPr>
                <w:szCs w:val="22"/>
              </w:rPr>
            </w:pPr>
          </w:p>
        </w:tc>
        <w:tc>
          <w:tcPr>
            <w:tcW w:w="1843" w:type="dxa"/>
            <w:shd w:val="clear" w:color="auto" w:fill="auto"/>
          </w:tcPr>
          <w:p w:rsidR="00807CDE" w:rsidRPr="00C141D6" w:rsidRDefault="00A65B33" w:rsidP="000D1664">
            <w:pPr>
              <w:tabs>
                <w:tab w:val="left" w:pos="567"/>
              </w:tabs>
              <w:autoSpaceDE w:val="0"/>
              <w:autoSpaceDN w:val="0"/>
              <w:adjustRightInd w:val="0"/>
              <w:spacing w:before="60"/>
              <w:rPr>
                <w:szCs w:val="22"/>
              </w:rPr>
            </w:pPr>
            <w:r w:rsidRPr="00C141D6">
              <w:rPr>
                <w:szCs w:val="22"/>
              </w:rPr>
              <w:t xml:space="preserve">Σύνδρομο </w:t>
            </w:r>
            <w:r w:rsidRPr="00C141D6">
              <w:rPr>
                <w:szCs w:val="22"/>
                <w:lang w:val="en-GB"/>
              </w:rPr>
              <w:t>Stevens</w:t>
            </w:r>
            <w:r w:rsidRPr="00C141D6">
              <w:rPr>
                <w:szCs w:val="22"/>
              </w:rPr>
              <w:t>-</w:t>
            </w:r>
            <w:r w:rsidRPr="00C141D6">
              <w:rPr>
                <w:szCs w:val="22"/>
                <w:lang w:val="en-GB"/>
              </w:rPr>
              <w:t>Johnson</w:t>
            </w:r>
            <w:r w:rsidR="008C5665" w:rsidRPr="008C5665">
              <w:rPr>
                <w:szCs w:val="22"/>
                <w:vertAlign w:val="superscript"/>
              </w:rPr>
              <w:t>α</w:t>
            </w:r>
            <w:r w:rsidRPr="00C141D6">
              <w:rPr>
                <w:szCs w:val="22"/>
              </w:rPr>
              <w:t>, τοξική επιδερμική νεκρόλυση</w:t>
            </w:r>
            <w:r w:rsidR="000D1664" w:rsidRPr="000D1664">
              <w:rPr>
                <w:szCs w:val="22"/>
                <w:vertAlign w:val="superscript"/>
              </w:rPr>
              <w:t>α</w:t>
            </w:r>
            <w:r w:rsidRPr="00C141D6">
              <w:rPr>
                <w:szCs w:val="22"/>
              </w:rPr>
              <w:t>, πολύμορφο ερύθημα</w:t>
            </w:r>
            <w:r w:rsidRPr="000D1664">
              <w:rPr>
                <w:szCs w:val="22"/>
                <w:vertAlign w:val="superscript"/>
              </w:rPr>
              <w:t>α</w:t>
            </w: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shd w:val="clear" w:color="auto" w:fill="auto"/>
          </w:tcPr>
          <w:p w:rsidR="00807CDE" w:rsidRPr="00C141D6" w:rsidRDefault="00807CDE" w:rsidP="0031570A">
            <w:pPr>
              <w:tabs>
                <w:tab w:val="left" w:pos="567"/>
              </w:tabs>
              <w:autoSpaceDE w:val="0"/>
              <w:autoSpaceDN w:val="0"/>
              <w:adjustRightInd w:val="0"/>
              <w:spacing w:before="60"/>
              <w:rPr>
                <w:b/>
                <w:szCs w:val="22"/>
              </w:rPr>
            </w:pPr>
            <w:r w:rsidRPr="00C141D6">
              <w:rPr>
                <w:b/>
                <w:szCs w:val="22"/>
              </w:rPr>
              <w:t>Διαταραχές των νεφρών και των ουροφόρων οδών</w:t>
            </w:r>
          </w:p>
        </w:tc>
        <w:tc>
          <w:tcPr>
            <w:tcW w:w="1843" w:type="dxa"/>
          </w:tcPr>
          <w:p w:rsidR="00807CDE" w:rsidRPr="00C141D6" w:rsidRDefault="00807CDE" w:rsidP="0031570A">
            <w:pPr>
              <w:tabs>
                <w:tab w:val="left" w:pos="567"/>
              </w:tabs>
              <w:autoSpaceDE w:val="0"/>
              <w:autoSpaceDN w:val="0"/>
              <w:adjustRightInd w:val="0"/>
              <w:spacing w:before="60"/>
              <w:rPr>
                <w:szCs w:val="22"/>
              </w:rPr>
            </w:pPr>
          </w:p>
        </w:tc>
        <w:tc>
          <w:tcPr>
            <w:tcW w:w="1843" w:type="dxa"/>
            <w:shd w:val="clear" w:color="auto" w:fill="auto"/>
          </w:tcPr>
          <w:p w:rsidR="00807CDE" w:rsidRPr="00C141D6" w:rsidRDefault="00807CDE" w:rsidP="0031570A">
            <w:pPr>
              <w:tabs>
                <w:tab w:val="left" w:pos="567"/>
              </w:tabs>
              <w:autoSpaceDE w:val="0"/>
              <w:autoSpaceDN w:val="0"/>
              <w:adjustRightInd w:val="0"/>
              <w:spacing w:before="60"/>
              <w:rPr>
                <w:szCs w:val="22"/>
              </w:rPr>
            </w:pPr>
          </w:p>
        </w:tc>
        <w:tc>
          <w:tcPr>
            <w:tcW w:w="1985" w:type="dxa"/>
            <w:shd w:val="clear" w:color="auto" w:fill="auto"/>
          </w:tcPr>
          <w:p w:rsidR="00807CDE" w:rsidRPr="00C141D6" w:rsidRDefault="00B84EAF" w:rsidP="0031570A">
            <w:pPr>
              <w:tabs>
                <w:tab w:val="left" w:pos="567"/>
              </w:tabs>
              <w:autoSpaceDE w:val="0"/>
              <w:autoSpaceDN w:val="0"/>
              <w:adjustRightInd w:val="0"/>
              <w:spacing w:before="60"/>
              <w:rPr>
                <w:szCs w:val="22"/>
              </w:rPr>
            </w:pPr>
            <w:r w:rsidRPr="00B84EAF">
              <w:rPr>
                <w:szCs w:val="22"/>
              </w:rPr>
              <w:t>Ουρία αίματος</w:t>
            </w:r>
            <w:r>
              <w:rPr>
                <w:szCs w:val="22"/>
              </w:rPr>
              <w:t xml:space="preserve"> αυξημένη, κ</w:t>
            </w:r>
            <w:r w:rsidRPr="00B84EAF">
              <w:rPr>
                <w:szCs w:val="22"/>
              </w:rPr>
              <w:t>ρεατινίνη αίματος αυξημένη</w:t>
            </w:r>
          </w:p>
        </w:tc>
        <w:tc>
          <w:tcPr>
            <w:tcW w:w="1984" w:type="dxa"/>
            <w:shd w:val="clear" w:color="auto" w:fill="auto"/>
          </w:tcPr>
          <w:p w:rsidR="00807CDE" w:rsidRPr="00C141D6" w:rsidRDefault="00807CDE" w:rsidP="0031570A">
            <w:pPr>
              <w:tabs>
                <w:tab w:val="left" w:pos="567"/>
              </w:tabs>
              <w:autoSpaceDE w:val="0"/>
              <w:autoSpaceDN w:val="0"/>
              <w:adjustRightInd w:val="0"/>
              <w:spacing w:before="60"/>
              <w:rPr>
                <w:szCs w:val="22"/>
              </w:rPr>
            </w:pPr>
          </w:p>
        </w:tc>
        <w:tc>
          <w:tcPr>
            <w:tcW w:w="1843" w:type="dxa"/>
            <w:shd w:val="clear" w:color="auto" w:fill="auto"/>
          </w:tcPr>
          <w:p w:rsidR="00807CDE" w:rsidRPr="00C141D6" w:rsidRDefault="00807CDE" w:rsidP="0031570A">
            <w:pPr>
              <w:tabs>
                <w:tab w:val="left" w:pos="567"/>
              </w:tabs>
              <w:autoSpaceDE w:val="0"/>
              <w:autoSpaceDN w:val="0"/>
              <w:adjustRightInd w:val="0"/>
              <w:spacing w:before="60"/>
              <w:rPr>
                <w:szCs w:val="22"/>
              </w:rPr>
            </w:pPr>
            <w:r w:rsidRPr="00C141D6">
              <w:rPr>
                <w:szCs w:val="22"/>
              </w:rPr>
              <w:t>Τοξική νεφροπάθεια</w:t>
            </w:r>
            <w:r w:rsidR="00B84EAF" w:rsidRPr="00B84EAF">
              <w:rPr>
                <w:szCs w:val="22"/>
                <w:vertAlign w:val="superscript"/>
              </w:rPr>
              <w:t>α</w:t>
            </w:r>
            <w:r w:rsidRPr="00C141D6">
              <w:rPr>
                <w:szCs w:val="22"/>
              </w:rPr>
              <w:t>, νεφρική ανεπάρκεια</w:t>
            </w:r>
          </w:p>
        </w:tc>
      </w:tr>
      <w:tr w:rsidR="00286FCC"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shd w:val="clear" w:color="auto" w:fill="auto"/>
          </w:tcPr>
          <w:p w:rsidR="00286FCC" w:rsidRPr="00286FCC" w:rsidRDefault="00286FCC" w:rsidP="0031570A">
            <w:pPr>
              <w:tabs>
                <w:tab w:val="left" w:pos="567"/>
              </w:tabs>
              <w:autoSpaceDE w:val="0"/>
              <w:autoSpaceDN w:val="0"/>
              <w:adjustRightInd w:val="0"/>
              <w:spacing w:before="60"/>
              <w:rPr>
                <w:b/>
                <w:szCs w:val="22"/>
              </w:rPr>
            </w:pPr>
            <w:r w:rsidRPr="00286FCC">
              <w:rPr>
                <w:b/>
                <w:noProof/>
              </w:rPr>
              <w:t>Διαταραχές του αναπαραγωγικού συστήματος και του μαστού</w:t>
            </w:r>
          </w:p>
        </w:tc>
        <w:tc>
          <w:tcPr>
            <w:tcW w:w="1843" w:type="dxa"/>
          </w:tcPr>
          <w:p w:rsidR="00286FCC" w:rsidRPr="00C141D6" w:rsidRDefault="00286FCC" w:rsidP="0031570A">
            <w:pPr>
              <w:tabs>
                <w:tab w:val="left" w:pos="567"/>
              </w:tabs>
              <w:autoSpaceDE w:val="0"/>
              <w:autoSpaceDN w:val="0"/>
              <w:adjustRightInd w:val="0"/>
              <w:spacing w:before="60"/>
              <w:rPr>
                <w:szCs w:val="22"/>
              </w:rPr>
            </w:pPr>
          </w:p>
        </w:tc>
        <w:tc>
          <w:tcPr>
            <w:tcW w:w="1843" w:type="dxa"/>
            <w:shd w:val="clear" w:color="auto" w:fill="auto"/>
          </w:tcPr>
          <w:p w:rsidR="00286FCC" w:rsidRPr="00C141D6" w:rsidRDefault="00286FCC" w:rsidP="0031570A">
            <w:pPr>
              <w:tabs>
                <w:tab w:val="left" w:pos="567"/>
              </w:tabs>
              <w:autoSpaceDE w:val="0"/>
              <w:autoSpaceDN w:val="0"/>
              <w:adjustRightInd w:val="0"/>
              <w:spacing w:before="60"/>
              <w:rPr>
                <w:szCs w:val="22"/>
              </w:rPr>
            </w:pPr>
          </w:p>
        </w:tc>
        <w:tc>
          <w:tcPr>
            <w:tcW w:w="1985" w:type="dxa"/>
            <w:shd w:val="clear" w:color="auto" w:fill="auto"/>
          </w:tcPr>
          <w:p w:rsidR="00286FCC" w:rsidRPr="00B84EAF" w:rsidRDefault="00286FCC" w:rsidP="0031570A">
            <w:pPr>
              <w:tabs>
                <w:tab w:val="left" w:pos="567"/>
              </w:tabs>
              <w:autoSpaceDE w:val="0"/>
              <w:autoSpaceDN w:val="0"/>
              <w:adjustRightInd w:val="0"/>
              <w:spacing w:before="60"/>
              <w:rPr>
                <w:szCs w:val="22"/>
              </w:rPr>
            </w:pPr>
          </w:p>
        </w:tc>
        <w:tc>
          <w:tcPr>
            <w:tcW w:w="1984" w:type="dxa"/>
            <w:shd w:val="clear" w:color="auto" w:fill="auto"/>
          </w:tcPr>
          <w:p w:rsidR="00286FCC" w:rsidRPr="00C141D6" w:rsidRDefault="00286FCC" w:rsidP="0031570A">
            <w:pPr>
              <w:tabs>
                <w:tab w:val="left" w:pos="567"/>
              </w:tabs>
              <w:autoSpaceDE w:val="0"/>
              <w:autoSpaceDN w:val="0"/>
              <w:adjustRightInd w:val="0"/>
              <w:spacing w:before="60"/>
              <w:rPr>
                <w:szCs w:val="22"/>
              </w:rPr>
            </w:pPr>
            <w:r w:rsidRPr="00286FCC">
              <w:rPr>
                <w:szCs w:val="22"/>
              </w:rPr>
              <w:t>Κνησμός γεννητικών οργάνων</w:t>
            </w:r>
          </w:p>
        </w:tc>
        <w:tc>
          <w:tcPr>
            <w:tcW w:w="1843" w:type="dxa"/>
            <w:shd w:val="clear" w:color="auto" w:fill="auto"/>
          </w:tcPr>
          <w:p w:rsidR="00286FCC" w:rsidRPr="00C141D6" w:rsidRDefault="00286FCC" w:rsidP="0031570A">
            <w:pPr>
              <w:tabs>
                <w:tab w:val="left" w:pos="567"/>
              </w:tabs>
              <w:autoSpaceDE w:val="0"/>
              <w:autoSpaceDN w:val="0"/>
              <w:adjustRightInd w:val="0"/>
              <w:spacing w:before="60"/>
              <w:rPr>
                <w:szCs w:val="22"/>
              </w:rPr>
            </w:pP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shd w:val="clear" w:color="auto" w:fill="auto"/>
          </w:tcPr>
          <w:p w:rsidR="00807CDE" w:rsidRPr="00C141D6" w:rsidRDefault="00807CDE" w:rsidP="0031570A">
            <w:pPr>
              <w:tabs>
                <w:tab w:val="left" w:pos="567"/>
              </w:tabs>
              <w:autoSpaceDE w:val="0"/>
              <w:autoSpaceDN w:val="0"/>
              <w:adjustRightInd w:val="0"/>
              <w:spacing w:before="60"/>
              <w:rPr>
                <w:b/>
                <w:szCs w:val="22"/>
              </w:rPr>
            </w:pPr>
            <w:r w:rsidRPr="00C141D6">
              <w:rPr>
                <w:b/>
                <w:szCs w:val="22"/>
              </w:rPr>
              <w:t>Γενικές διαταραχές και καταστάσεις της οδού χορήγησης</w:t>
            </w:r>
          </w:p>
        </w:tc>
        <w:tc>
          <w:tcPr>
            <w:tcW w:w="1843" w:type="dxa"/>
          </w:tcPr>
          <w:p w:rsidR="00807CDE" w:rsidRPr="00C141D6" w:rsidRDefault="00807CDE" w:rsidP="0031570A">
            <w:pPr>
              <w:tabs>
                <w:tab w:val="left" w:pos="567"/>
              </w:tabs>
              <w:autoSpaceDE w:val="0"/>
              <w:autoSpaceDN w:val="0"/>
              <w:adjustRightInd w:val="0"/>
              <w:spacing w:before="60"/>
              <w:rPr>
                <w:szCs w:val="22"/>
              </w:rPr>
            </w:pPr>
          </w:p>
        </w:tc>
        <w:tc>
          <w:tcPr>
            <w:tcW w:w="1843" w:type="dxa"/>
            <w:shd w:val="clear" w:color="auto" w:fill="auto"/>
          </w:tcPr>
          <w:p w:rsidR="00807CDE" w:rsidRPr="00C141D6" w:rsidRDefault="00286FCC" w:rsidP="00286FCC">
            <w:pPr>
              <w:tabs>
                <w:tab w:val="left" w:pos="567"/>
              </w:tabs>
              <w:autoSpaceDE w:val="0"/>
              <w:autoSpaceDN w:val="0"/>
              <w:adjustRightInd w:val="0"/>
              <w:spacing w:before="60"/>
              <w:rPr>
                <w:szCs w:val="22"/>
              </w:rPr>
            </w:pPr>
            <w:r w:rsidRPr="00286FCC">
              <w:rPr>
                <w:szCs w:val="22"/>
              </w:rPr>
              <w:t>Αντίδραση της θέσης έ</w:t>
            </w:r>
            <w:r>
              <w:rPr>
                <w:szCs w:val="22"/>
              </w:rPr>
              <w:t>γχυ</w:t>
            </w:r>
            <w:r w:rsidRPr="00286FCC">
              <w:rPr>
                <w:szCs w:val="22"/>
              </w:rPr>
              <w:t>σης</w:t>
            </w:r>
            <w:r>
              <w:rPr>
                <w:szCs w:val="22"/>
              </w:rPr>
              <w:t>, ά</w:t>
            </w:r>
            <w:r w:rsidRPr="00286FCC">
              <w:rPr>
                <w:szCs w:val="22"/>
              </w:rPr>
              <w:t>λγος της θέσης ένεση</w:t>
            </w:r>
            <w:r w:rsidR="009F4B6C">
              <w:rPr>
                <w:szCs w:val="22"/>
              </w:rPr>
              <w:t>ς</w:t>
            </w:r>
            <w:r>
              <w:rPr>
                <w:szCs w:val="22"/>
              </w:rPr>
              <w:t>,</w:t>
            </w:r>
            <w:r w:rsidRPr="00286FCC">
              <w:rPr>
                <w:szCs w:val="22"/>
              </w:rPr>
              <w:t xml:space="preserve"> </w:t>
            </w:r>
            <w:r>
              <w:rPr>
                <w:szCs w:val="22"/>
              </w:rPr>
              <w:t>φ</w:t>
            </w:r>
            <w:r w:rsidRPr="00286FCC">
              <w:rPr>
                <w:szCs w:val="22"/>
              </w:rPr>
              <w:t>λεγμονή της θέσης ένεσης</w:t>
            </w:r>
          </w:p>
        </w:tc>
        <w:tc>
          <w:tcPr>
            <w:tcW w:w="1985" w:type="dxa"/>
            <w:shd w:val="clear" w:color="auto" w:fill="auto"/>
          </w:tcPr>
          <w:p w:rsidR="00807CDE" w:rsidRPr="00C141D6" w:rsidRDefault="00286FCC" w:rsidP="00286FCC">
            <w:pPr>
              <w:tabs>
                <w:tab w:val="left" w:pos="567"/>
              </w:tabs>
              <w:autoSpaceDE w:val="0"/>
              <w:autoSpaceDN w:val="0"/>
              <w:adjustRightInd w:val="0"/>
              <w:spacing w:before="60"/>
              <w:rPr>
                <w:szCs w:val="22"/>
              </w:rPr>
            </w:pPr>
            <w:r>
              <w:t xml:space="preserve"> </w:t>
            </w:r>
            <w:r>
              <w:rPr>
                <w:szCs w:val="22"/>
              </w:rPr>
              <w:t>Π</w:t>
            </w:r>
            <w:r w:rsidRPr="00286FCC">
              <w:rPr>
                <w:szCs w:val="22"/>
              </w:rPr>
              <w:t>υρεξία</w:t>
            </w:r>
            <w:r>
              <w:rPr>
                <w:szCs w:val="22"/>
              </w:rPr>
              <w:t>, φ</w:t>
            </w:r>
            <w:r w:rsidRPr="00286FCC">
              <w:rPr>
                <w:szCs w:val="22"/>
              </w:rPr>
              <w:t>λεγμονή της θέσης</w:t>
            </w:r>
            <w:r>
              <w:rPr>
                <w:szCs w:val="22"/>
              </w:rPr>
              <w:t xml:space="preserve"> έγχυσης</w:t>
            </w:r>
          </w:p>
        </w:tc>
        <w:tc>
          <w:tcPr>
            <w:tcW w:w="1984" w:type="dxa"/>
            <w:shd w:val="clear" w:color="auto" w:fill="auto"/>
          </w:tcPr>
          <w:p w:rsidR="00807CDE" w:rsidRPr="00C141D6" w:rsidRDefault="00286FCC" w:rsidP="0031570A">
            <w:pPr>
              <w:tabs>
                <w:tab w:val="left" w:pos="567"/>
              </w:tabs>
              <w:autoSpaceDE w:val="0"/>
              <w:autoSpaceDN w:val="0"/>
              <w:adjustRightInd w:val="0"/>
              <w:spacing w:before="60"/>
              <w:rPr>
                <w:szCs w:val="22"/>
              </w:rPr>
            </w:pPr>
            <w:r>
              <w:rPr>
                <w:szCs w:val="22"/>
              </w:rPr>
              <w:t>Ρίγη</w:t>
            </w:r>
          </w:p>
        </w:tc>
        <w:tc>
          <w:tcPr>
            <w:tcW w:w="1843" w:type="dxa"/>
            <w:shd w:val="clear" w:color="auto" w:fill="auto"/>
          </w:tcPr>
          <w:p w:rsidR="00807CDE" w:rsidRPr="00C141D6" w:rsidRDefault="00807CDE" w:rsidP="0031570A">
            <w:pPr>
              <w:tabs>
                <w:tab w:val="left" w:pos="567"/>
              </w:tabs>
              <w:autoSpaceDE w:val="0"/>
              <w:autoSpaceDN w:val="0"/>
              <w:adjustRightInd w:val="0"/>
              <w:spacing w:before="60"/>
              <w:rPr>
                <w:szCs w:val="22"/>
              </w:rPr>
            </w:pPr>
          </w:p>
        </w:tc>
      </w:tr>
      <w:tr w:rsidR="00807CDE" w:rsidRPr="00C141D6" w:rsidTr="0080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shd w:val="clear" w:color="auto" w:fill="auto"/>
          </w:tcPr>
          <w:p w:rsidR="00807CDE" w:rsidRPr="00207AC1" w:rsidRDefault="00807CDE" w:rsidP="0031570A">
            <w:pPr>
              <w:tabs>
                <w:tab w:val="left" w:pos="567"/>
              </w:tabs>
              <w:autoSpaceDE w:val="0"/>
              <w:autoSpaceDN w:val="0"/>
              <w:adjustRightInd w:val="0"/>
              <w:spacing w:before="60"/>
              <w:rPr>
                <w:b/>
                <w:szCs w:val="22"/>
              </w:rPr>
            </w:pPr>
            <w:r w:rsidRPr="00C141D6">
              <w:rPr>
                <w:b/>
                <w:szCs w:val="22"/>
                <w:lang w:val="en-GB"/>
              </w:rPr>
              <w:t>Παρακλινικές εξετάσει</w:t>
            </w:r>
            <w:r w:rsidR="00207AC1">
              <w:rPr>
                <w:b/>
                <w:szCs w:val="22"/>
              </w:rPr>
              <w:t>ς</w:t>
            </w:r>
          </w:p>
        </w:tc>
        <w:tc>
          <w:tcPr>
            <w:tcW w:w="1843" w:type="dxa"/>
          </w:tcPr>
          <w:p w:rsidR="00807CDE" w:rsidRPr="00C141D6" w:rsidRDefault="00807CDE" w:rsidP="0031570A">
            <w:pPr>
              <w:tabs>
                <w:tab w:val="left" w:pos="567"/>
              </w:tabs>
              <w:autoSpaceDE w:val="0"/>
              <w:autoSpaceDN w:val="0"/>
              <w:adjustRightInd w:val="0"/>
              <w:spacing w:before="60"/>
              <w:rPr>
                <w:szCs w:val="22"/>
              </w:rPr>
            </w:pPr>
          </w:p>
        </w:tc>
        <w:tc>
          <w:tcPr>
            <w:tcW w:w="1843" w:type="dxa"/>
            <w:shd w:val="clear" w:color="auto" w:fill="auto"/>
          </w:tcPr>
          <w:p w:rsidR="00807CDE" w:rsidRPr="00C141D6" w:rsidRDefault="00FE105A" w:rsidP="00FE105A">
            <w:pPr>
              <w:tabs>
                <w:tab w:val="left" w:pos="567"/>
              </w:tabs>
              <w:autoSpaceDE w:val="0"/>
              <w:autoSpaceDN w:val="0"/>
              <w:adjustRightInd w:val="0"/>
              <w:spacing w:before="60"/>
              <w:rPr>
                <w:szCs w:val="22"/>
              </w:rPr>
            </w:pPr>
            <w:r w:rsidRPr="00FE105A">
              <w:rPr>
                <w:szCs w:val="22"/>
              </w:rPr>
              <w:t>Αλκαλική φωσφατάση αυξημένη</w:t>
            </w:r>
          </w:p>
        </w:tc>
        <w:tc>
          <w:tcPr>
            <w:tcW w:w="1985" w:type="dxa"/>
            <w:shd w:val="clear" w:color="auto" w:fill="auto"/>
          </w:tcPr>
          <w:p w:rsidR="00807CDE" w:rsidRPr="00C141D6" w:rsidRDefault="00807CDE" w:rsidP="0031570A">
            <w:pPr>
              <w:tabs>
                <w:tab w:val="left" w:pos="567"/>
              </w:tabs>
              <w:autoSpaceDE w:val="0"/>
              <w:autoSpaceDN w:val="0"/>
              <w:adjustRightInd w:val="0"/>
              <w:spacing w:before="60"/>
              <w:rPr>
                <w:szCs w:val="22"/>
              </w:rPr>
            </w:pPr>
          </w:p>
        </w:tc>
        <w:tc>
          <w:tcPr>
            <w:tcW w:w="1984" w:type="dxa"/>
            <w:shd w:val="clear" w:color="auto" w:fill="auto"/>
          </w:tcPr>
          <w:p w:rsidR="00807CDE" w:rsidRPr="00C141D6" w:rsidRDefault="00807CDE" w:rsidP="0031570A">
            <w:pPr>
              <w:tabs>
                <w:tab w:val="left" w:pos="567"/>
              </w:tabs>
              <w:autoSpaceDE w:val="0"/>
              <w:autoSpaceDN w:val="0"/>
              <w:adjustRightInd w:val="0"/>
              <w:spacing w:before="60"/>
              <w:rPr>
                <w:szCs w:val="22"/>
              </w:rPr>
            </w:pPr>
          </w:p>
        </w:tc>
        <w:tc>
          <w:tcPr>
            <w:tcW w:w="1843" w:type="dxa"/>
            <w:shd w:val="clear" w:color="auto" w:fill="auto"/>
          </w:tcPr>
          <w:p w:rsidR="00807CDE" w:rsidRPr="00C141D6" w:rsidRDefault="00807CDE" w:rsidP="0031570A">
            <w:pPr>
              <w:tabs>
                <w:tab w:val="left" w:pos="567"/>
              </w:tabs>
              <w:autoSpaceDE w:val="0"/>
              <w:autoSpaceDN w:val="0"/>
              <w:adjustRightInd w:val="0"/>
              <w:spacing w:before="60"/>
              <w:rPr>
                <w:szCs w:val="22"/>
              </w:rPr>
            </w:pPr>
          </w:p>
        </w:tc>
      </w:tr>
    </w:tbl>
    <w:p w:rsidR="00A63BA8" w:rsidRDefault="00084496" w:rsidP="0031570A">
      <w:pPr>
        <w:tabs>
          <w:tab w:val="left" w:pos="567"/>
        </w:tabs>
        <w:rPr>
          <w:noProof/>
          <w:szCs w:val="22"/>
        </w:rPr>
      </w:pPr>
      <w:r w:rsidRPr="00084496">
        <w:rPr>
          <w:noProof/>
          <w:szCs w:val="22"/>
          <w:vertAlign w:val="superscript"/>
        </w:rPr>
        <w:t>α</w:t>
      </w:r>
      <w:r>
        <w:rPr>
          <w:noProof/>
          <w:szCs w:val="22"/>
        </w:rPr>
        <w:t xml:space="preserve"> </w:t>
      </w:r>
      <w:r w:rsidRPr="00084496">
        <w:rPr>
          <w:noProof/>
          <w:szCs w:val="22"/>
        </w:rPr>
        <w:t>Ανεπιθ</w:t>
      </w:r>
      <w:r>
        <w:rPr>
          <w:noProof/>
          <w:szCs w:val="22"/>
        </w:rPr>
        <w:t xml:space="preserve">ύμητες ενέργειες </w:t>
      </w:r>
      <w:r w:rsidRPr="00084496">
        <w:rPr>
          <w:noProof/>
          <w:szCs w:val="22"/>
        </w:rPr>
        <w:t>που είναι γενικά αποδεκτό ότι αποδίδονται σε άλλες ενώσεις τη</w:t>
      </w:r>
      <w:r w:rsidR="00756EEF">
        <w:rPr>
          <w:noProof/>
          <w:szCs w:val="22"/>
        </w:rPr>
        <w:t>ς</w:t>
      </w:r>
      <w:r w:rsidRPr="00084496">
        <w:rPr>
          <w:noProof/>
          <w:szCs w:val="22"/>
        </w:rPr>
        <w:t xml:space="preserve"> </w:t>
      </w:r>
      <w:r w:rsidR="00756EEF">
        <w:rPr>
          <w:noProof/>
          <w:szCs w:val="22"/>
        </w:rPr>
        <w:t>ίδιας τάξης.</w:t>
      </w:r>
    </w:p>
    <w:p w:rsidR="00756EEF" w:rsidRDefault="00756EEF" w:rsidP="0031570A">
      <w:pPr>
        <w:tabs>
          <w:tab w:val="left" w:pos="567"/>
        </w:tabs>
        <w:rPr>
          <w:noProof/>
          <w:szCs w:val="22"/>
        </w:rPr>
      </w:pPr>
    </w:p>
    <w:p w:rsidR="00756EEF" w:rsidRPr="00756EEF" w:rsidRDefault="00756EEF" w:rsidP="00756EEF">
      <w:pPr>
        <w:widowControl/>
        <w:autoSpaceDE w:val="0"/>
        <w:autoSpaceDN w:val="0"/>
        <w:adjustRightInd w:val="0"/>
        <w:rPr>
          <w:b/>
          <w:noProof/>
          <w:szCs w:val="22"/>
        </w:rPr>
      </w:pPr>
      <w:r w:rsidRPr="00756EEF">
        <w:rPr>
          <w:b/>
          <w:noProof/>
          <w:szCs w:val="22"/>
        </w:rPr>
        <w:t>Παιδιατρικοί ασθενείς</w:t>
      </w:r>
    </w:p>
    <w:p w:rsidR="00756EEF" w:rsidRPr="00084496" w:rsidRDefault="00756EEF" w:rsidP="00756EEF">
      <w:pPr>
        <w:widowControl/>
        <w:autoSpaceDE w:val="0"/>
        <w:autoSpaceDN w:val="0"/>
        <w:adjustRightInd w:val="0"/>
        <w:rPr>
          <w:noProof/>
          <w:szCs w:val="22"/>
        </w:rPr>
      </w:pPr>
      <w:r w:rsidRPr="00756EEF">
        <w:rPr>
          <w:rFonts w:hint="eastAsia"/>
          <w:noProof/>
          <w:szCs w:val="22"/>
        </w:rPr>
        <w:t>Το</w:t>
      </w:r>
      <w:r w:rsidRPr="00756EEF">
        <w:rPr>
          <w:noProof/>
          <w:szCs w:val="22"/>
        </w:rPr>
        <w:t xml:space="preserve"> </w:t>
      </w:r>
      <w:r w:rsidRPr="00756EEF">
        <w:rPr>
          <w:rFonts w:hint="eastAsia"/>
          <w:noProof/>
          <w:szCs w:val="22"/>
        </w:rPr>
        <w:t>προφίλ</w:t>
      </w:r>
      <w:r w:rsidRPr="00756EEF">
        <w:rPr>
          <w:noProof/>
          <w:szCs w:val="22"/>
        </w:rPr>
        <w:t xml:space="preserve"> </w:t>
      </w:r>
      <w:r w:rsidRPr="00756EEF">
        <w:rPr>
          <w:rFonts w:hint="eastAsia"/>
          <w:noProof/>
          <w:szCs w:val="22"/>
        </w:rPr>
        <w:t>ασφαλείας</w:t>
      </w:r>
      <w:r w:rsidRPr="00756EEF">
        <w:rPr>
          <w:noProof/>
          <w:szCs w:val="22"/>
        </w:rPr>
        <w:t xml:space="preserve"> </w:t>
      </w:r>
      <w:r>
        <w:rPr>
          <w:noProof/>
          <w:szCs w:val="22"/>
        </w:rPr>
        <w:t xml:space="preserve">της κεφεπίμης </w:t>
      </w:r>
      <w:r w:rsidRPr="00756EEF">
        <w:rPr>
          <w:rFonts w:hint="eastAsia"/>
          <w:noProof/>
          <w:szCs w:val="22"/>
        </w:rPr>
        <w:t>στα</w:t>
      </w:r>
      <w:r w:rsidRPr="00756EEF">
        <w:rPr>
          <w:noProof/>
          <w:szCs w:val="22"/>
        </w:rPr>
        <w:t xml:space="preserve"> </w:t>
      </w:r>
      <w:r w:rsidRPr="00756EEF">
        <w:rPr>
          <w:rFonts w:hint="eastAsia"/>
          <w:noProof/>
          <w:szCs w:val="22"/>
        </w:rPr>
        <w:t>νήπια</w:t>
      </w:r>
      <w:r w:rsidRPr="00756EEF">
        <w:rPr>
          <w:noProof/>
          <w:szCs w:val="22"/>
        </w:rPr>
        <w:t xml:space="preserve"> </w:t>
      </w:r>
      <w:r w:rsidRPr="00756EEF">
        <w:rPr>
          <w:rFonts w:hint="eastAsia"/>
          <w:noProof/>
          <w:szCs w:val="22"/>
        </w:rPr>
        <w:t>και</w:t>
      </w:r>
      <w:r w:rsidRPr="00756EEF">
        <w:rPr>
          <w:noProof/>
          <w:szCs w:val="22"/>
        </w:rPr>
        <w:t xml:space="preserve"> </w:t>
      </w:r>
      <w:r w:rsidRPr="00756EEF">
        <w:rPr>
          <w:rFonts w:hint="eastAsia"/>
          <w:noProof/>
          <w:szCs w:val="22"/>
        </w:rPr>
        <w:t>παιδιά</w:t>
      </w:r>
      <w:r>
        <w:rPr>
          <w:noProof/>
          <w:szCs w:val="22"/>
        </w:rPr>
        <w:t xml:space="preserve"> </w:t>
      </w:r>
      <w:r w:rsidRPr="00756EEF">
        <w:rPr>
          <w:rFonts w:hint="eastAsia"/>
          <w:noProof/>
          <w:szCs w:val="22"/>
        </w:rPr>
        <w:t>είναι</w:t>
      </w:r>
      <w:r w:rsidRPr="00756EEF">
        <w:rPr>
          <w:noProof/>
          <w:szCs w:val="22"/>
        </w:rPr>
        <w:t xml:space="preserve"> </w:t>
      </w:r>
      <w:r w:rsidR="009F4B6C">
        <w:rPr>
          <w:noProof/>
          <w:szCs w:val="22"/>
        </w:rPr>
        <w:t>παρ</w:t>
      </w:r>
      <w:r w:rsidRPr="00756EEF">
        <w:rPr>
          <w:rFonts w:hint="eastAsia"/>
          <w:noProof/>
          <w:szCs w:val="22"/>
        </w:rPr>
        <w:t>όμοιο</w:t>
      </w:r>
      <w:r w:rsidRPr="00756EEF">
        <w:rPr>
          <w:noProof/>
          <w:szCs w:val="22"/>
        </w:rPr>
        <w:t xml:space="preserve"> </w:t>
      </w:r>
      <w:r w:rsidRPr="00756EEF">
        <w:rPr>
          <w:rFonts w:hint="eastAsia"/>
          <w:noProof/>
          <w:szCs w:val="22"/>
        </w:rPr>
        <w:t>με</w:t>
      </w:r>
      <w:r w:rsidRPr="00756EEF">
        <w:rPr>
          <w:noProof/>
          <w:szCs w:val="22"/>
        </w:rPr>
        <w:t xml:space="preserve"> </w:t>
      </w:r>
      <w:r w:rsidRPr="00756EEF">
        <w:rPr>
          <w:rFonts w:hint="eastAsia"/>
          <w:noProof/>
          <w:szCs w:val="22"/>
        </w:rPr>
        <w:t>εκείνο</w:t>
      </w:r>
      <w:r w:rsidRPr="00756EEF">
        <w:rPr>
          <w:noProof/>
          <w:szCs w:val="22"/>
        </w:rPr>
        <w:t xml:space="preserve"> </w:t>
      </w:r>
      <w:r>
        <w:rPr>
          <w:noProof/>
          <w:szCs w:val="22"/>
        </w:rPr>
        <w:t>που παρατηρείται σ</w:t>
      </w:r>
      <w:r w:rsidRPr="00756EEF">
        <w:rPr>
          <w:rFonts w:hint="eastAsia"/>
          <w:noProof/>
          <w:szCs w:val="22"/>
        </w:rPr>
        <w:t>τ</w:t>
      </w:r>
      <w:r>
        <w:rPr>
          <w:noProof/>
          <w:szCs w:val="22"/>
        </w:rPr>
        <w:t>ους</w:t>
      </w:r>
      <w:r w:rsidRPr="00756EEF">
        <w:rPr>
          <w:noProof/>
          <w:szCs w:val="22"/>
        </w:rPr>
        <w:t xml:space="preserve"> </w:t>
      </w:r>
      <w:r w:rsidRPr="00756EEF">
        <w:rPr>
          <w:rFonts w:hint="eastAsia"/>
          <w:noProof/>
          <w:szCs w:val="22"/>
        </w:rPr>
        <w:t>εν</w:t>
      </w:r>
      <w:r>
        <w:rPr>
          <w:noProof/>
          <w:szCs w:val="22"/>
        </w:rPr>
        <w:t>ή</w:t>
      </w:r>
      <w:r w:rsidRPr="00756EEF">
        <w:rPr>
          <w:rFonts w:hint="eastAsia"/>
          <w:noProof/>
          <w:szCs w:val="22"/>
        </w:rPr>
        <w:t>λ</w:t>
      </w:r>
      <w:r>
        <w:rPr>
          <w:noProof/>
          <w:szCs w:val="22"/>
        </w:rPr>
        <w:t>ι</w:t>
      </w:r>
      <w:r w:rsidRPr="00756EEF">
        <w:rPr>
          <w:rFonts w:hint="eastAsia"/>
          <w:noProof/>
          <w:szCs w:val="22"/>
        </w:rPr>
        <w:t>κ</w:t>
      </w:r>
      <w:r>
        <w:rPr>
          <w:noProof/>
          <w:szCs w:val="22"/>
        </w:rPr>
        <w:t>ες</w:t>
      </w:r>
      <w:r w:rsidRPr="00756EEF">
        <w:rPr>
          <w:noProof/>
          <w:szCs w:val="22"/>
        </w:rPr>
        <w:t xml:space="preserve">. </w:t>
      </w:r>
      <w:r w:rsidRPr="00756EEF">
        <w:rPr>
          <w:rFonts w:hint="eastAsia"/>
          <w:noProof/>
          <w:szCs w:val="22"/>
        </w:rPr>
        <w:t>Η</w:t>
      </w:r>
      <w:r w:rsidRPr="00756EEF">
        <w:rPr>
          <w:noProof/>
          <w:szCs w:val="22"/>
        </w:rPr>
        <w:t xml:space="preserve"> </w:t>
      </w:r>
      <w:r w:rsidRPr="00756EEF">
        <w:rPr>
          <w:rFonts w:hint="eastAsia"/>
          <w:noProof/>
          <w:szCs w:val="22"/>
        </w:rPr>
        <w:t>πιο</w:t>
      </w:r>
      <w:r w:rsidRPr="00756EEF">
        <w:rPr>
          <w:noProof/>
          <w:szCs w:val="22"/>
        </w:rPr>
        <w:t xml:space="preserve"> </w:t>
      </w:r>
      <w:r w:rsidRPr="00756EEF">
        <w:rPr>
          <w:rFonts w:hint="eastAsia"/>
          <w:noProof/>
          <w:szCs w:val="22"/>
        </w:rPr>
        <w:t>συχν</w:t>
      </w:r>
      <w:r>
        <w:rPr>
          <w:noProof/>
          <w:szCs w:val="22"/>
        </w:rPr>
        <w:t>ά αναφερόμενη</w:t>
      </w:r>
      <w:r w:rsidRPr="00756EEF">
        <w:rPr>
          <w:noProof/>
          <w:szCs w:val="22"/>
        </w:rPr>
        <w:t xml:space="preserve"> </w:t>
      </w:r>
      <w:r w:rsidRPr="00756EEF">
        <w:rPr>
          <w:rFonts w:hint="eastAsia"/>
          <w:noProof/>
          <w:szCs w:val="22"/>
        </w:rPr>
        <w:t>ανεπιθύμητη</w:t>
      </w:r>
      <w:r w:rsidRPr="00756EEF">
        <w:rPr>
          <w:noProof/>
          <w:szCs w:val="22"/>
        </w:rPr>
        <w:t xml:space="preserve"> </w:t>
      </w:r>
      <w:r w:rsidRPr="00756EEF">
        <w:rPr>
          <w:rFonts w:hint="eastAsia"/>
          <w:noProof/>
          <w:szCs w:val="22"/>
        </w:rPr>
        <w:t>ενέργεια</w:t>
      </w:r>
      <w:r w:rsidRPr="00756EEF">
        <w:rPr>
          <w:noProof/>
          <w:szCs w:val="22"/>
        </w:rPr>
        <w:t xml:space="preserve"> </w:t>
      </w:r>
      <w:r w:rsidRPr="00756EEF">
        <w:rPr>
          <w:rFonts w:hint="eastAsia"/>
          <w:noProof/>
          <w:szCs w:val="22"/>
        </w:rPr>
        <w:t>που</w:t>
      </w:r>
      <w:r>
        <w:rPr>
          <w:noProof/>
          <w:szCs w:val="22"/>
        </w:rPr>
        <w:t xml:space="preserve"> </w:t>
      </w:r>
      <w:r w:rsidRPr="00756EEF">
        <w:rPr>
          <w:rFonts w:hint="eastAsia"/>
          <w:noProof/>
          <w:szCs w:val="22"/>
        </w:rPr>
        <w:t>θεωρήθηκε</w:t>
      </w:r>
      <w:r w:rsidRPr="00756EEF">
        <w:rPr>
          <w:noProof/>
          <w:szCs w:val="22"/>
        </w:rPr>
        <w:t xml:space="preserve"> </w:t>
      </w:r>
      <w:r w:rsidRPr="00756EEF">
        <w:rPr>
          <w:rFonts w:hint="eastAsia"/>
          <w:noProof/>
          <w:szCs w:val="22"/>
        </w:rPr>
        <w:t>ότι</w:t>
      </w:r>
      <w:r w:rsidRPr="00756EEF">
        <w:rPr>
          <w:noProof/>
          <w:szCs w:val="22"/>
        </w:rPr>
        <w:t xml:space="preserve"> </w:t>
      </w:r>
      <w:r w:rsidRPr="00756EEF">
        <w:rPr>
          <w:rFonts w:hint="eastAsia"/>
          <w:noProof/>
          <w:szCs w:val="22"/>
        </w:rPr>
        <w:t>συνδέεται</w:t>
      </w:r>
      <w:r w:rsidRPr="00756EEF">
        <w:rPr>
          <w:noProof/>
          <w:szCs w:val="22"/>
        </w:rPr>
        <w:t xml:space="preserve"> </w:t>
      </w:r>
      <w:r w:rsidRPr="00756EEF">
        <w:rPr>
          <w:rFonts w:hint="eastAsia"/>
          <w:noProof/>
          <w:szCs w:val="22"/>
        </w:rPr>
        <w:t>με</w:t>
      </w:r>
      <w:r w:rsidRPr="00756EEF">
        <w:rPr>
          <w:noProof/>
          <w:szCs w:val="22"/>
        </w:rPr>
        <w:t xml:space="preserve"> </w:t>
      </w:r>
      <w:r w:rsidRPr="00756EEF">
        <w:rPr>
          <w:rFonts w:hint="eastAsia"/>
          <w:noProof/>
          <w:szCs w:val="22"/>
        </w:rPr>
        <w:t>τ</w:t>
      </w:r>
      <w:r>
        <w:rPr>
          <w:noProof/>
          <w:szCs w:val="22"/>
        </w:rPr>
        <w:t>ην κεφεπίμη</w:t>
      </w:r>
      <w:r w:rsidRPr="00756EEF">
        <w:rPr>
          <w:noProof/>
          <w:szCs w:val="22"/>
        </w:rPr>
        <w:t xml:space="preserve"> </w:t>
      </w:r>
      <w:r>
        <w:rPr>
          <w:noProof/>
          <w:szCs w:val="22"/>
        </w:rPr>
        <w:t xml:space="preserve">σε κλινικές δοκιμές </w:t>
      </w:r>
      <w:r w:rsidRPr="00756EEF">
        <w:rPr>
          <w:rFonts w:hint="eastAsia"/>
          <w:noProof/>
          <w:szCs w:val="22"/>
        </w:rPr>
        <w:t>ήταν</w:t>
      </w:r>
      <w:r w:rsidRPr="00756EEF">
        <w:rPr>
          <w:noProof/>
          <w:szCs w:val="22"/>
        </w:rPr>
        <w:t xml:space="preserve"> </w:t>
      </w:r>
      <w:r w:rsidRPr="00756EEF">
        <w:rPr>
          <w:rFonts w:hint="eastAsia"/>
          <w:noProof/>
          <w:szCs w:val="22"/>
        </w:rPr>
        <w:t>το</w:t>
      </w:r>
      <w:r w:rsidRPr="00756EEF">
        <w:rPr>
          <w:noProof/>
          <w:szCs w:val="22"/>
        </w:rPr>
        <w:t xml:space="preserve"> </w:t>
      </w:r>
      <w:r w:rsidRPr="00756EEF">
        <w:rPr>
          <w:rFonts w:hint="eastAsia"/>
          <w:noProof/>
          <w:szCs w:val="22"/>
        </w:rPr>
        <w:t>εξάνθημα</w:t>
      </w:r>
      <w:r>
        <w:rPr>
          <w:noProof/>
          <w:szCs w:val="22"/>
        </w:rPr>
        <w:t>.</w:t>
      </w:r>
    </w:p>
    <w:p w:rsidR="00084496" w:rsidRDefault="00084496" w:rsidP="0031570A">
      <w:pPr>
        <w:tabs>
          <w:tab w:val="left" w:pos="567"/>
        </w:tabs>
        <w:rPr>
          <w:noProof/>
          <w:szCs w:val="22"/>
        </w:rPr>
      </w:pPr>
    </w:p>
    <w:p w:rsidR="00756EEF" w:rsidRPr="00684E83" w:rsidRDefault="00756EEF" w:rsidP="00756EEF">
      <w:pPr>
        <w:autoSpaceDE w:val="0"/>
        <w:autoSpaceDN w:val="0"/>
        <w:adjustRightInd w:val="0"/>
        <w:jc w:val="both"/>
        <w:rPr>
          <w:szCs w:val="22"/>
          <w:u w:val="single"/>
        </w:rPr>
      </w:pPr>
      <w:r w:rsidRPr="00684E83">
        <w:rPr>
          <w:noProof/>
          <w:szCs w:val="22"/>
          <w:u w:val="single"/>
        </w:rPr>
        <w:t>Αναφορά πιθανολογούμενων ανεπιθύμητων ενεργειών</w:t>
      </w:r>
    </w:p>
    <w:p w:rsidR="00756EEF" w:rsidRDefault="00756EEF" w:rsidP="0031570A">
      <w:pPr>
        <w:tabs>
          <w:tab w:val="left" w:pos="567"/>
        </w:tabs>
        <w:rPr>
          <w:szCs w:val="22"/>
        </w:rPr>
      </w:pPr>
      <w:r w:rsidRPr="00166D11">
        <w:rPr>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684E83">
        <w:rPr>
          <w:noProof/>
          <w:szCs w:val="22"/>
        </w:rPr>
        <w:t>.</w:t>
      </w:r>
      <w:r w:rsidRPr="00684E83">
        <w:rPr>
          <w:szCs w:val="22"/>
        </w:rPr>
        <w:t xml:space="preserve"> </w:t>
      </w:r>
      <w:r w:rsidRPr="00166D11">
        <w:rPr>
          <w:szCs w:val="22"/>
        </w:rPr>
        <w:t>Επιτρέπει τη συνεχή παρακολούθηση της σχέσης οφέλους-κινδύνου του φαρμακευτικού προϊόντος</w:t>
      </w:r>
      <w:r w:rsidRPr="00684E83">
        <w:rPr>
          <w:noProof/>
          <w:szCs w:val="22"/>
        </w:rPr>
        <w:t>.</w:t>
      </w:r>
      <w:r w:rsidRPr="00684E83">
        <w:rPr>
          <w:szCs w:val="22"/>
        </w:rPr>
        <w:t xml:space="preserve"> </w:t>
      </w:r>
      <w:r w:rsidRPr="00166D11">
        <w:rPr>
          <w:szCs w:val="22"/>
        </w:rPr>
        <w:t xml:space="preserve">Ζητείται από τους επαγγελματίες </w:t>
      </w:r>
      <w:r>
        <w:rPr>
          <w:szCs w:val="22"/>
        </w:rPr>
        <w:t>υγείας</w:t>
      </w:r>
      <w:r w:rsidRPr="00166D11">
        <w:rPr>
          <w:szCs w:val="22"/>
        </w:rPr>
        <w:t xml:space="preserve"> να αναφέρουν ο</w:t>
      </w:r>
      <w:r>
        <w:rPr>
          <w:szCs w:val="22"/>
        </w:rPr>
        <w:t>πο</w:t>
      </w:r>
      <w:r w:rsidRPr="00166D11">
        <w:rPr>
          <w:szCs w:val="22"/>
        </w:rPr>
        <w:t xml:space="preserve">ιεσδήποτε πιθανολογούμενες ανεπιθύμητες </w:t>
      </w:r>
      <w:r w:rsidRPr="00166D11">
        <w:rPr>
          <w:szCs w:val="22"/>
        </w:rPr>
        <w:lastRenderedPageBreak/>
        <w:t xml:space="preserve">ενέργειες </w:t>
      </w:r>
      <w:r w:rsidR="0096443F" w:rsidRPr="00756EEF">
        <w:rPr>
          <w:szCs w:val="22"/>
        </w:rPr>
        <w:t>μέσω</w:t>
      </w:r>
      <w:r w:rsidR="0096443F">
        <w:rPr>
          <w:szCs w:val="22"/>
        </w:rPr>
        <w:t xml:space="preserve"> του εθνικού συτήματος αναφοράς</w:t>
      </w:r>
      <w:r w:rsidRPr="00756EEF">
        <w:rPr>
          <w:szCs w:val="22"/>
        </w:rPr>
        <w:t>:</w:t>
      </w:r>
    </w:p>
    <w:p w:rsidR="00756EEF" w:rsidRDefault="00756EEF" w:rsidP="0031570A">
      <w:pPr>
        <w:tabs>
          <w:tab w:val="left" w:pos="567"/>
        </w:tabs>
        <w:rPr>
          <w:szCs w:val="22"/>
        </w:rPr>
      </w:pPr>
    </w:p>
    <w:p w:rsidR="00756EEF" w:rsidRPr="00BB06F8" w:rsidRDefault="00756EEF" w:rsidP="00756EEF">
      <w:pPr>
        <w:rPr>
          <w:noProof/>
          <w:szCs w:val="22"/>
        </w:rPr>
      </w:pPr>
      <w:r w:rsidRPr="00BB06F8">
        <w:rPr>
          <w:rFonts w:eastAsia="Calibri"/>
          <w:b/>
          <w:noProof/>
          <w:szCs w:val="22"/>
          <w:lang w:eastAsia="zh-CN"/>
        </w:rPr>
        <w:t>Ελλάδα</w:t>
      </w:r>
    </w:p>
    <w:p w:rsidR="00756EEF" w:rsidRPr="00BB06F8" w:rsidRDefault="00756EEF" w:rsidP="00756EEF">
      <w:pPr>
        <w:rPr>
          <w:rFonts w:eastAsia="Calibri"/>
          <w:noProof/>
          <w:szCs w:val="22"/>
          <w:lang w:eastAsia="zh-CN"/>
        </w:rPr>
      </w:pPr>
      <w:r w:rsidRPr="00BB06F8">
        <w:rPr>
          <w:rFonts w:eastAsia="Calibri"/>
          <w:noProof/>
          <w:szCs w:val="22"/>
          <w:lang w:eastAsia="zh-CN"/>
        </w:rPr>
        <w:t>Εθνικός Οργανισμός Φαρμάκων</w:t>
      </w:r>
    </w:p>
    <w:p w:rsidR="00756EEF" w:rsidRPr="00BB06F8" w:rsidRDefault="00756EEF" w:rsidP="00756EEF">
      <w:pPr>
        <w:rPr>
          <w:rFonts w:eastAsia="Calibri"/>
          <w:noProof/>
          <w:szCs w:val="22"/>
          <w:lang w:eastAsia="zh-CN"/>
        </w:rPr>
      </w:pPr>
      <w:r w:rsidRPr="00BB06F8">
        <w:rPr>
          <w:rFonts w:eastAsia="Calibri"/>
          <w:noProof/>
          <w:szCs w:val="22"/>
          <w:lang w:eastAsia="zh-CN"/>
        </w:rPr>
        <w:t>Μεσογείων 284</w:t>
      </w:r>
    </w:p>
    <w:p w:rsidR="00756EEF" w:rsidRPr="00A25F1A" w:rsidRDefault="00756EEF" w:rsidP="00756EEF">
      <w:pPr>
        <w:rPr>
          <w:rFonts w:eastAsia="Calibri"/>
          <w:noProof/>
          <w:szCs w:val="22"/>
          <w:lang w:eastAsia="zh-CN"/>
        </w:rPr>
      </w:pPr>
      <w:r w:rsidRPr="00BB06F8">
        <w:rPr>
          <w:rFonts w:eastAsia="Calibri"/>
          <w:noProof/>
          <w:szCs w:val="22"/>
          <w:lang w:eastAsia="zh-CN"/>
        </w:rPr>
        <w:t>GR</w:t>
      </w:r>
      <w:r w:rsidRPr="00A25F1A">
        <w:rPr>
          <w:rFonts w:eastAsia="Calibri"/>
          <w:noProof/>
          <w:szCs w:val="22"/>
          <w:lang w:eastAsia="zh-CN"/>
        </w:rPr>
        <w:t xml:space="preserve">-15562 </w:t>
      </w:r>
      <w:r w:rsidRPr="00BB06F8">
        <w:rPr>
          <w:rFonts w:eastAsia="Calibri"/>
          <w:noProof/>
          <w:szCs w:val="22"/>
          <w:lang w:eastAsia="zh-CN"/>
        </w:rPr>
        <w:t>Χολαργός, Αθήνα</w:t>
      </w:r>
    </w:p>
    <w:p w:rsidR="00756EEF" w:rsidRPr="00A25F1A" w:rsidRDefault="00756EEF" w:rsidP="00756EEF">
      <w:pPr>
        <w:rPr>
          <w:rFonts w:eastAsia="Calibri"/>
          <w:szCs w:val="22"/>
          <w:lang w:eastAsia="zh-CN"/>
        </w:rPr>
      </w:pPr>
      <w:r w:rsidRPr="00BB06F8">
        <w:rPr>
          <w:rFonts w:eastAsia="Calibri"/>
          <w:noProof/>
          <w:szCs w:val="22"/>
          <w:lang w:eastAsia="zh-CN"/>
        </w:rPr>
        <w:t xml:space="preserve">Τηλ: + </w:t>
      </w:r>
      <w:r w:rsidRPr="00A25F1A">
        <w:rPr>
          <w:rFonts w:eastAsia="Calibri"/>
          <w:noProof/>
          <w:szCs w:val="22"/>
          <w:lang w:eastAsia="zh-CN"/>
        </w:rPr>
        <w:t xml:space="preserve">30 </w:t>
      </w:r>
      <w:r w:rsidRPr="00A25F1A">
        <w:rPr>
          <w:rFonts w:eastAsia="Calibri"/>
          <w:szCs w:val="22"/>
          <w:lang w:eastAsia="zh-CN"/>
        </w:rPr>
        <w:t>21 32040380/337</w:t>
      </w:r>
    </w:p>
    <w:p w:rsidR="00756EEF" w:rsidRPr="00A25F1A" w:rsidRDefault="00756EEF" w:rsidP="00756EEF">
      <w:pPr>
        <w:rPr>
          <w:rFonts w:eastAsia="Calibri"/>
          <w:noProof/>
          <w:szCs w:val="22"/>
          <w:lang w:eastAsia="zh-CN"/>
        </w:rPr>
      </w:pPr>
      <w:r w:rsidRPr="00BB06F8">
        <w:rPr>
          <w:rFonts w:eastAsia="Calibri"/>
          <w:lang w:eastAsia="zh-CN"/>
        </w:rPr>
        <w:t>Φαξ</w:t>
      </w:r>
      <w:r w:rsidRPr="00A25F1A">
        <w:rPr>
          <w:rFonts w:eastAsia="Calibri"/>
          <w:noProof/>
          <w:szCs w:val="22"/>
          <w:lang w:eastAsia="zh-CN"/>
        </w:rPr>
        <w:t xml:space="preserve">: + 30 </w:t>
      </w:r>
      <w:r w:rsidRPr="00A25F1A">
        <w:rPr>
          <w:rFonts w:eastAsia="Calibri"/>
          <w:szCs w:val="22"/>
          <w:lang w:eastAsia="zh-CN"/>
        </w:rPr>
        <w:t>21 06549585</w:t>
      </w:r>
      <w:r w:rsidRPr="00A25F1A">
        <w:rPr>
          <w:rFonts w:eastAsia="Calibri"/>
          <w:noProof/>
          <w:szCs w:val="22"/>
          <w:lang w:eastAsia="zh-CN"/>
        </w:rPr>
        <w:t xml:space="preserve"> </w:t>
      </w:r>
    </w:p>
    <w:p w:rsidR="00756EEF" w:rsidRDefault="00756EEF" w:rsidP="00756EEF">
      <w:pPr>
        <w:tabs>
          <w:tab w:val="left" w:pos="567"/>
        </w:tabs>
        <w:rPr>
          <w:szCs w:val="22"/>
        </w:rPr>
      </w:pPr>
      <w:r w:rsidRPr="00BB06F8">
        <w:rPr>
          <w:rFonts w:eastAsia="Calibri"/>
          <w:lang w:eastAsia="zh-CN"/>
        </w:rPr>
        <w:t>Ιστότοπος</w:t>
      </w:r>
      <w:r w:rsidRPr="00BB06F8">
        <w:rPr>
          <w:rFonts w:eastAsia="Calibri"/>
          <w:noProof/>
          <w:szCs w:val="22"/>
          <w:lang w:eastAsia="zh-CN"/>
        </w:rPr>
        <w:t xml:space="preserve">: </w:t>
      </w:r>
      <w:hyperlink r:id="rId10" w:history="1">
        <w:r w:rsidRPr="00BB06F8">
          <w:rPr>
            <w:rFonts w:eastAsia="Calibri"/>
            <w:color w:val="0000FF"/>
            <w:szCs w:val="22"/>
            <w:u w:val="single"/>
            <w:lang w:eastAsia="zh-CN"/>
          </w:rPr>
          <w:t>http://www.eof.gr</w:t>
        </w:r>
      </w:hyperlink>
    </w:p>
    <w:p w:rsidR="00756EEF" w:rsidRDefault="00756EEF" w:rsidP="0031570A">
      <w:pPr>
        <w:tabs>
          <w:tab w:val="left" w:pos="567"/>
        </w:tabs>
        <w:rPr>
          <w:szCs w:val="22"/>
        </w:rPr>
      </w:pPr>
    </w:p>
    <w:p w:rsidR="00756EEF" w:rsidRPr="00BB06F8" w:rsidRDefault="00756EEF" w:rsidP="00756EEF">
      <w:pPr>
        <w:rPr>
          <w:b/>
          <w:noProof/>
          <w:szCs w:val="22"/>
        </w:rPr>
      </w:pPr>
      <w:r w:rsidRPr="00BB06F8">
        <w:rPr>
          <w:rFonts w:eastAsia="Calibri"/>
          <w:b/>
          <w:noProof/>
          <w:szCs w:val="22"/>
          <w:lang w:eastAsia="zh-CN"/>
        </w:rPr>
        <w:t>Κύπρος</w:t>
      </w:r>
    </w:p>
    <w:p w:rsidR="00756EEF" w:rsidRPr="00BB06F8" w:rsidRDefault="00756EEF" w:rsidP="00756EEF">
      <w:pPr>
        <w:rPr>
          <w:rFonts w:eastAsia="Calibri"/>
          <w:lang w:eastAsia="zh-CN"/>
        </w:rPr>
      </w:pPr>
      <w:r w:rsidRPr="00BB06F8">
        <w:rPr>
          <w:rFonts w:eastAsia="Calibri"/>
          <w:lang w:eastAsia="zh-CN"/>
        </w:rPr>
        <w:t>Φαρμακευτικές Υπηρεσίες</w:t>
      </w:r>
    </w:p>
    <w:p w:rsidR="00756EEF" w:rsidRPr="00BB06F8" w:rsidRDefault="00756EEF" w:rsidP="00756EEF">
      <w:pPr>
        <w:rPr>
          <w:rFonts w:eastAsia="Calibri"/>
          <w:lang w:eastAsia="zh-CN"/>
        </w:rPr>
      </w:pPr>
      <w:r w:rsidRPr="00BB06F8">
        <w:rPr>
          <w:rFonts w:eastAsia="Calibri"/>
          <w:lang w:eastAsia="zh-CN"/>
        </w:rPr>
        <w:t>Υπουργείο Υγείας</w:t>
      </w:r>
    </w:p>
    <w:p w:rsidR="00756EEF" w:rsidRPr="00BB06F8" w:rsidRDefault="00756EEF" w:rsidP="00756EEF">
      <w:pPr>
        <w:rPr>
          <w:rFonts w:eastAsia="Calibri"/>
          <w:noProof/>
          <w:szCs w:val="22"/>
          <w:lang w:eastAsia="zh-CN"/>
        </w:rPr>
      </w:pPr>
      <w:r w:rsidRPr="00BB06F8">
        <w:rPr>
          <w:rFonts w:eastAsia="Calibri"/>
          <w:noProof/>
          <w:szCs w:val="22"/>
          <w:lang w:eastAsia="zh-CN"/>
        </w:rPr>
        <w:t>CY-</w:t>
      </w:r>
      <w:r w:rsidRPr="00A25F1A">
        <w:rPr>
          <w:rFonts w:eastAsia="Calibri"/>
          <w:noProof/>
          <w:szCs w:val="22"/>
          <w:lang w:eastAsia="zh-CN"/>
        </w:rPr>
        <w:t xml:space="preserve">1475 </w:t>
      </w:r>
      <w:r w:rsidRPr="00BB06F8">
        <w:rPr>
          <w:rFonts w:eastAsia="Calibri"/>
          <w:lang w:eastAsia="zh-CN"/>
        </w:rPr>
        <w:t>Λευκωσία</w:t>
      </w:r>
    </w:p>
    <w:p w:rsidR="00756EEF" w:rsidRPr="00A25F1A" w:rsidRDefault="00756EEF" w:rsidP="00756EEF">
      <w:pPr>
        <w:rPr>
          <w:rFonts w:eastAsia="Calibri"/>
          <w:szCs w:val="22"/>
          <w:lang w:eastAsia="zh-CN"/>
        </w:rPr>
      </w:pPr>
      <w:r w:rsidRPr="00BB06F8">
        <w:rPr>
          <w:rFonts w:eastAsia="Calibri"/>
          <w:lang w:eastAsia="zh-CN"/>
        </w:rPr>
        <w:t>Φαξ</w:t>
      </w:r>
      <w:r w:rsidRPr="00BB06F8">
        <w:rPr>
          <w:rFonts w:eastAsia="Calibri"/>
          <w:noProof/>
          <w:szCs w:val="22"/>
          <w:lang w:eastAsia="zh-CN"/>
        </w:rPr>
        <w:t xml:space="preserve">: + </w:t>
      </w:r>
      <w:r w:rsidRPr="00A25F1A">
        <w:rPr>
          <w:rFonts w:eastAsia="Calibri"/>
          <w:szCs w:val="22"/>
          <w:lang w:eastAsia="zh-CN"/>
        </w:rPr>
        <w:t>357 22608649</w:t>
      </w:r>
    </w:p>
    <w:p w:rsidR="00756EEF" w:rsidRPr="00A25F1A" w:rsidRDefault="00756EEF" w:rsidP="00756EEF">
      <w:pPr>
        <w:rPr>
          <w:rFonts w:eastAsia="Calibri"/>
          <w:szCs w:val="22"/>
          <w:lang w:eastAsia="zh-CN"/>
        </w:rPr>
      </w:pPr>
      <w:r w:rsidRPr="00BB06F8">
        <w:rPr>
          <w:rFonts w:eastAsia="Calibri"/>
          <w:lang w:eastAsia="zh-CN"/>
        </w:rPr>
        <w:t>Ιστότοπος</w:t>
      </w:r>
      <w:r w:rsidRPr="00A25F1A">
        <w:rPr>
          <w:rFonts w:eastAsia="Calibri"/>
          <w:noProof/>
          <w:szCs w:val="22"/>
          <w:lang w:eastAsia="zh-CN"/>
        </w:rPr>
        <w:t xml:space="preserve">: </w:t>
      </w:r>
      <w:hyperlink r:id="rId11" w:history="1">
        <w:r w:rsidRPr="00BB06F8">
          <w:rPr>
            <w:rFonts w:eastAsia="Calibri"/>
            <w:color w:val="0000FF"/>
            <w:szCs w:val="22"/>
            <w:u w:val="single"/>
            <w:lang w:val="en-US" w:eastAsia="zh-CN"/>
          </w:rPr>
          <w:t>www</w:t>
        </w:r>
        <w:r w:rsidRPr="00A25F1A">
          <w:rPr>
            <w:rFonts w:eastAsia="Calibri"/>
            <w:color w:val="0000FF"/>
            <w:szCs w:val="22"/>
            <w:u w:val="single"/>
            <w:lang w:eastAsia="zh-CN"/>
          </w:rPr>
          <w:t>.</w:t>
        </w:r>
        <w:r w:rsidRPr="00BB06F8">
          <w:rPr>
            <w:rFonts w:eastAsia="Calibri"/>
            <w:color w:val="0000FF"/>
            <w:szCs w:val="22"/>
            <w:u w:val="single"/>
            <w:lang w:val="en-US" w:eastAsia="zh-CN"/>
          </w:rPr>
          <w:t>moh</w:t>
        </w:r>
        <w:r w:rsidRPr="00A25F1A">
          <w:rPr>
            <w:rFonts w:eastAsia="Calibri"/>
            <w:color w:val="0000FF"/>
            <w:szCs w:val="22"/>
            <w:u w:val="single"/>
            <w:lang w:eastAsia="zh-CN"/>
          </w:rPr>
          <w:t>.</w:t>
        </w:r>
        <w:r w:rsidRPr="00BB06F8">
          <w:rPr>
            <w:rFonts w:eastAsia="Calibri"/>
            <w:color w:val="0000FF"/>
            <w:szCs w:val="22"/>
            <w:u w:val="single"/>
            <w:lang w:val="en-US" w:eastAsia="zh-CN"/>
          </w:rPr>
          <w:t>gov</w:t>
        </w:r>
        <w:r w:rsidRPr="00A25F1A">
          <w:rPr>
            <w:rFonts w:eastAsia="Calibri"/>
            <w:color w:val="0000FF"/>
            <w:szCs w:val="22"/>
            <w:u w:val="single"/>
            <w:lang w:eastAsia="zh-CN"/>
          </w:rPr>
          <w:t>.</w:t>
        </w:r>
        <w:r w:rsidRPr="00BB06F8">
          <w:rPr>
            <w:rFonts w:eastAsia="Calibri"/>
            <w:color w:val="0000FF"/>
            <w:szCs w:val="22"/>
            <w:u w:val="single"/>
            <w:lang w:val="en-US" w:eastAsia="zh-CN"/>
          </w:rPr>
          <w:t>cy</w:t>
        </w:r>
        <w:r w:rsidRPr="00A25F1A">
          <w:rPr>
            <w:rFonts w:eastAsia="Calibri"/>
            <w:color w:val="0000FF"/>
            <w:szCs w:val="22"/>
            <w:u w:val="single"/>
            <w:lang w:eastAsia="zh-CN"/>
          </w:rPr>
          <w:t>/</w:t>
        </w:r>
        <w:r w:rsidRPr="00BB06F8">
          <w:rPr>
            <w:rFonts w:eastAsia="Calibri"/>
            <w:color w:val="0000FF"/>
            <w:szCs w:val="22"/>
            <w:u w:val="single"/>
            <w:lang w:val="en-US" w:eastAsia="zh-CN"/>
          </w:rPr>
          <w:t>phs</w:t>
        </w:r>
      </w:hyperlink>
    </w:p>
    <w:p w:rsidR="00756EEF" w:rsidRPr="00756EEF" w:rsidRDefault="00756EEF"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4.9</w:t>
      </w:r>
      <w:r w:rsidRPr="006756E8">
        <w:rPr>
          <w:b/>
          <w:noProof/>
          <w:szCs w:val="22"/>
        </w:rPr>
        <w:tab/>
        <w:t>Υπερδοσολογία</w:t>
      </w:r>
    </w:p>
    <w:p w:rsidR="00B9512A" w:rsidRPr="006756E8" w:rsidRDefault="00B9512A" w:rsidP="0031570A">
      <w:pPr>
        <w:tabs>
          <w:tab w:val="left" w:pos="567"/>
        </w:tabs>
        <w:rPr>
          <w:noProof/>
          <w:szCs w:val="22"/>
        </w:rPr>
      </w:pPr>
    </w:p>
    <w:p w:rsidR="00C31237" w:rsidRPr="006756E8" w:rsidRDefault="00CE6C20" w:rsidP="00CE6C20">
      <w:pPr>
        <w:widowControl/>
        <w:autoSpaceDE w:val="0"/>
        <w:autoSpaceDN w:val="0"/>
        <w:adjustRightInd w:val="0"/>
        <w:rPr>
          <w:szCs w:val="22"/>
        </w:rPr>
      </w:pPr>
      <w:r w:rsidRPr="00CE6C20">
        <w:rPr>
          <w:rFonts w:hint="eastAsia"/>
          <w:szCs w:val="22"/>
        </w:rPr>
        <w:t>Σε</w:t>
      </w:r>
      <w:r w:rsidRPr="00CE6C20">
        <w:rPr>
          <w:szCs w:val="22"/>
        </w:rPr>
        <w:t xml:space="preserve"> </w:t>
      </w:r>
      <w:r w:rsidRPr="00CE6C20">
        <w:rPr>
          <w:rFonts w:hint="eastAsia"/>
          <w:szCs w:val="22"/>
        </w:rPr>
        <w:t>περιπτώσεις</w:t>
      </w:r>
      <w:r w:rsidRPr="00CE6C20">
        <w:rPr>
          <w:szCs w:val="22"/>
        </w:rPr>
        <w:t xml:space="preserve"> </w:t>
      </w:r>
      <w:r w:rsidRPr="00CE6C20">
        <w:rPr>
          <w:rFonts w:hint="eastAsia"/>
          <w:szCs w:val="22"/>
        </w:rPr>
        <w:t>λήψης</w:t>
      </w:r>
      <w:r w:rsidRPr="00CE6C20">
        <w:rPr>
          <w:szCs w:val="22"/>
        </w:rPr>
        <w:t xml:space="preserve"> </w:t>
      </w:r>
      <w:r w:rsidRPr="00CE6C20">
        <w:rPr>
          <w:rFonts w:hint="eastAsia"/>
          <w:szCs w:val="22"/>
        </w:rPr>
        <w:t>μεγάλης</w:t>
      </w:r>
      <w:r w:rsidRPr="00CE6C20">
        <w:rPr>
          <w:szCs w:val="22"/>
        </w:rPr>
        <w:t xml:space="preserve"> </w:t>
      </w:r>
      <w:r w:rsidRPr="00CE6C20">
        <w:rPr>
          <w:rFonts w:hint="eastAsia"/>
          <w:szCs w:val="22"/>
        </w:rPr>
        <w:t>δόσης</w:t>
      </w:r>
      <w:r w:rsidRPr="00CE6C20">
        <w:rPr>
          <w:szCs w:val="22"/>
        </w:rPr>
        <w:t xml:space="preserve">, </w:t>
      </w:r>
      <w:r w:rsidRPr="00CE6C20">
        <w:rPr>
          <w:rFonts w:hint="eastAsia"/>
          <w:szCs w:val="22"/>
        </w:rPr>
        <w:t>ειδικά</w:t>
      </w:r>
      <w:r w:rsidRPr="00CE6C20">
        <w:rPr>
          <w:szCs w:val="22"/>
        </w:rPr>
        <w:t xml:space="preserve"> </w:t>
      </w:r>
      <w:r w:rsidRPr="00CE6C20">
        <w:rPr>
          <w:rFonts w:hint="eastAsia"/>
          <w:szCs w:val="22"/>
        </w:rPr>
        <w:t>σε</w:t>
      </w:r>
      <w:r w:rsidRPr="00CE6C20">
        <w:rPr>
          <w:szCs w:val="22"/>
        </w:rPr>
        <w:t xml:space="preserve"> </w:t>
      </w:r>
      <w:r w:rsidRPr="00CE6C20">
        <w:rPr>
          <w:rFonts w:hint="eastAsia"/>
          <w:szCs w:val="22"/>
        </w:rPr>
        <w:t>ασθενείς</w:t>
      </w:r>
      <w:r w:rsidRPr="00CE6C20">
        <w:rPr>
          <w:szCs w:val="22"/>
        </w:rPr>
        <w:t xml:space="preserve"> </w:t>
      </w:r>
      <w:r w:rsidRPr="00CE6C20">
        <w:rPr>
          <w:rFonts w:hint="eastAsia"/>
          <w:szCs w:val="22"/>
        </w:rPr>
        <w:t>με</w:t>
      </w:r>
      <w:r w:rsidRPr="00CE6C20">
        <w:rPr>
          <w:szCs w:val="22"/>
        </w:rPr>
        <w:t xml:space="preserve"> </w:t>
      </w:r>
      <w:r w:rsidRPr="00CE6C20">
        <w:rPr>
          <w:rFonts w:hint="eastAsia"/>
          <w:szCs w:val="22"/>
        </w:rPr>
        <w:t>έκπτωση</w:t>
      </w:r>
      <w:r w:rsidRPr="00CE6C20">
        <w:rPr>
          <w:szCs w:val="22"/>
        </w:rPr>
        <w:t xml:space="preserve"> </w:t>
      </w:r>
      <w:r w:rsidRPr="00CE6C20">
        <w:rPr>
          <w:rFonts w:hint="eastAsia"/>
          <w:szCs w:val="22"/>
        </w:rPr>
        <w:t>της</w:t>
      </w:r>
      <w:r w:rsidRPr="00CE6C20">
        <w:rPr>
          <w:szCs w:val="22"/>
        </w:rPr>
        <w:t xml:space="preserve"> </w:t>
      </w:r>
      <w:r w:rsidRPr="00CE6C20">
        <w:rPr>
          <w:rFonts w:hint="eastAsia"/>
          <w:szCs w:val="22"/>
        </w:rPr>
        <w:t>νεφρικής</w:t>
      </w:r>
      <w:r>
        <w:rPr>
          <w:szCs w:val="22"/>
        </w:rPr>
        <w:t xml:space="preserve"> </w:t>
      </w:r>
      <w:r w:rsidRPr="00CE6C20">
        <w:rPr>
          <w:rFonts w:hint="eastAsia"/>
          <w:szCs w:val="22"/>
        </w:rPr>
        <w:t>λειτουργίας</w:t>
      </w:r>
      <w:r w:rsidRPr="00CE6C20">
        <w:rPr>
          <w:szCs w:val="22"/>
        </w:rPr>
        <w:t xml:space="preserve">, </w:t>
      </w:r>
      <w:r w:rsidRPr="00CE6C20">
        <w:rPr>
          <w:rFonts w:hint="eastAsia"/>
          <w:szCs w:val="22"/>
        </w:rPr>
        <w:t>η</w:t>
      </w:r>
      <w:r w:rsidRPr="00CE6C20">
        <w:rPr>
          <w:szCs w:val="22"/>
        </w:rPr>
        <w:t xml:space="preserve"> </w:t>
      </w:r>
      <w:r w:rsidRPr="00CE6C20">
        <w:rPr>
          <w:rFonts w:hint="eastAsia"/>
          <w:szCs w:val="22"/>
        </w:rPr>
        <w:t>αιμοκάθαρση</w:t>
      </w:r>
      <w:r w:rsidRPr="00CE6C20">
        <w:rPr>
          <w:szCs w:val="22"/>
        </w:rPr>
        <w:t xml:space="preserve"> </w:t>
      </w:r>
      <w:r w:rsidRPr="00CE6C20">
        <w:rPr>
          <w:rFonts w:hint="eastAsia"/>
          <w:szCs w:val="22"/>
        </w:rPr>
        <w:t>θα</w:t>
      </w:r>
      <w:r w:rsidRPr="00CE6C20">
        <w:rPr>
          <w:szCs w:val="22"/>
        </w:rPr>
        <w:t xml:space="preserve"> </w:t>
      </w:r>
      <w:r w:rsidRPr="00CE6C20">
        <w:rPr>
          <w:rFonts w:hint="eastAsia"/>
          <w:szCs w:val="22"/>
        </w:rPr>
        <w:t>βοηθήσει</w:t>
      </w:r>
      <w:r w:rsidRPr="00CE6C20">
        <w:rPr>
          <w:szCs w:val="22"/>
        </w:rPr>
        <w:t xml:space="preserve"> </w:t>
      </w:r>
      <w:r w:rsidRPr="00CE6C20">
        <w:rPr>
          <w:rFonts w:hint="eastAsia"/>
          <w:szCs w:val="22"/>
        </w:rPr>
        <w:t>στην</w:t>
      </w:r>
      <w:r w:rsidRPr="00CE6C20">
        <w:rPr>
          <w:szCs w:val="22"/>
        </w:rPr>
        <w:t xml:space="preserve"> </w:t>
      </w:r>
      <w:r w:rsidRPr="00CE6C20">
        <w:rPr>
          <w:rFonts w:hint="eastAsia"/>
          <w:szCs w:val="22"/>
        </w:rPr>
        <w:t>απομάκρυνση</w:t>
      </w:r>
      <w:r w:rsidRPr="00CE6C20">
        <w:rPr>
          <w:szCs w:val="22"/>
        </w:rPr>
        <w:t xml:space="preserve"> </w:t>
      </w:r>
      <w:r w:rsidRPr="00CE6C20">
        <w:rPr>
          <w:rFonts w:hint="eastAsia"/>
          <w:szCs w:val="22"/>
        </w:rPr>
        <w:t>της</w:t>
      </w:r>
      <w:r w:rsidRPr="00CE6C20">
        <w:rPr>
          <w:szCs w:val="22"/>
        </w:rPr>
        <w:t xml:space="preserve"> </w:t>
      </w:r>
      <w:r w:rsidRPr="00CE6C20">
        <w:rPr>
          <w:rFonts w:hint="eastAsia"/>
          <w:szCs w:val="22"/>
        </w:rPr>
        <w:t>κεφεπίμης</w:t>
      </w:r>
      <w:r w:rsidRPr="00CE6C20">
        <w:rPr>
          <w:szCs w:val="22"/>
        </w:rPr>
        <w:t xml:space="preserve"> </w:t>
      </w:r>
      <w:r w:rsidRPr="00CE6C20">
        <w:rPr>
          <w:rFonts w:hint="eastAsia"/>
          <w:szCs w:val="22"/>
        </w:rPr>
        <w:t>από</w:t>
      </w:r>
      <w:r w:rsidRPr="00CE6C20">
        <w:rPr>
          <w:szCs w:val="22"/>
        </w:rPr>
        <w:t xml:space="preserve"> </w:t>
      </w:r>
      <w:r w:rsidRPr="00CE6C20">
        <w:rPr>
          <w:rFonts w:hint="eastAsia"/>
          <w:szCs w:val="22"/>
        </w:rPr>
        <w:t>το</w:t>
      </w:r>
      <w:r>
        <w:rPr>
          <w:szCs w:val="22"/>
        </w:rPr>
        <w:t xml:space="preserve"> </w:t>
      </w:r>
      <w:r w:rsidRPr="00CE6C20">
        <w:rPr>
          <w:rFonts w:hint="eastAsia"/>
          <w:szCs w:val="22"/>
        </w:rPr>
        <w:t>σώμα</w:t>
      </w:r>
      <w:r w:rsidRPr="00CE6C20">
        <w:rPr>
          <w:szCs w:val="22"/>
        </w:rPr>
        <w:t xml:space="preserve">. </w:t>
      </w:r>
      <w:r w:rsidRPr="00CE6C20">
        <w:rPr>
          <w:rFonts w:hint="eastAsia"/>
          <w:szCs w:val="22"/>
        </w:rPr>
        <w:t>Η</w:t>
      </w:r>
      <w:r w:rsidRPr="00CE6C20">
        <w:rPr>
          <w:szCs w:val="22"/>
        </w:rPr>
        <w:t xml:space="preserve"> </w:t>
      </w:r>
      <w:r w:rsidRPr="00CE6C20">
        <w:rPr>
          <w:rFonts w:hint="eastAsia"/>
          <w:szCs w:val="22"/>
        </w:rPr>
        <w:t>περιτοναϊκή</w:t>
      </w:r>
      <w:r w:rsidRPr="00CE6C20">
        <w:rPr>
          <w:szCs w:val="22"/>
        </w:rPr>
        <w:t xml:space="preserve"> </w:t>
      </w:r>
      <w:r w:rsidRPr="00CE6C20">
        <w:rPr>
          <w:rFonts w:hint="eastAsia"/>
          <w:szCs w:val="22"/>
        </w:rPr>
        <w:t>κάθαρση</w:t>
      </w:r>
      <w:r w:rsidRPr="00CE6C20">
        <w:rPr>
          <w:szCs w:val="22"/>
        </w:rPr>
        <w:t xml:space="preserve"> </w:t>
      </w:r>
      <w:r w:rsidRPr="00CE6C20">
        <w:rPr>
          <w:rFonts w:hint="eastAsia"/>
          <w:szCs w:val="22"/>
        </w:rPr>
        <w:t>δεν</w:t>
      </w:r>
      <w:r w:rsidRPr="00CE6C20">
        <w:rPr>
          <w:szCs w:val="22"/>
        </w:rPr>
        <w:t xml:space="preserve"> </w:t>
      </w:r>
      <w:r w:rsidRPr="00CE6C20">
        <w:rPr>
          <w:rFonts w:hint="eastAsia"/>
          <w:szCs w:val="22"/>
        </w:rPr>
        <w:t>έχει</w:t>
      </w:r>
      <w:r w:rsidRPr="00CE6C20">
        <w:rPr>
          <w:szCs w:val="22"/>
        </w:rPr>
        <w:t xml:space="preserve"> </w:t>
      </w:r>
      <w:r w:rsidRPr="00CE6C20">
        <w:rPr>
          <w:rFonts w:hint="eastAsia"/>
          <w:szCs w:val="22"/>
        </w:rPr>
        <w:t>αξία</w:t>
      </w:r>
      <w:r w:rsidRPr="00CE6C20">
        <w:rPr>
          <w:szCs w:val="22"/>
        </w:rPr>
        <w:t xml:space="preserve"> </w:t>
      </w:r>
      <w:r w:rsidRPr="00CE6C20">
        <w:rPr>
          <w:rFonts w:hint="eastAsia"/>
          <w:szCs w:val="22"/>
        </w:rPr>
        <w:t>στην</w:t>
      </w:r>
      <w:r w:rsidRPr="00CE6C20">
        <w:rPr>
          <w:szCs w:val="22"/>
        </w:rPr>
        <w:t xml:space="preserve"> </w:t>
      </w:r>
      <w:r w:rsidRPr="00CE6C20">
        <w:rPr>
          <w:rFonts w:hint="eastAsia"/>
          <w:szCs w:val="22"/>
        </w:rPr>
        <w:t>περίπτωση</w:t>
      </w:r>
      <w:r w:rsidRPr="00CE6C20">
        <w:rPr>
          <w:szCs w:val="22"/>
        </w:rPr>
        <w:t xml:space="preserve"> </w:t>
      </w:r>
      <w:r w:rsidRPr="00CE6C20">
        <w:rPr>
          <w:rFonts w:hint="eastAsia"/>
          <w:szCs w:val="22"/>
        </w:rPr>
        <w:t>αυτή</w:t>
      </w:r>
      <w:r w:rsidRPr="00CE6C20">
        <w:rPr>
          <w:szCs w:val="22"/>
        </w:rPr>
        <w:t xml:space="preserve">. </w:t>
      </w:r>
      <w:r>
        <w:rPr>
          <w:szCs w:val="22"/>
        </w:rPr>
        <w:t>Α</w:t>
      </w:r>
      <w:r w:rsidRPr="00CE6C20">
        <w:rPr>
          <w:rFonts w:hint="eastAsia"/>
          <w:szCs w:val="22"/>
        </w:rPr>
        <w:t>κούσια</w:t>
      </w:r>
      <w:r>
        <w:rPr>
          <w:szCs w:val="22"/>
        </w:rPr>
        <w:t xml:space="preserve"> </w:t>
      </w:r>
      <w:r w:rsidR="00C31237" w:rsidRPr="006756E8">
        <w:rPr>
          <w:szCs w:val="22"/>
        </w:rPr>
        <w:t xml:space="preserve">υπερδοσολογία </w:t>
      </w:r>
      <w:r>
        <w:rPr>
          <w:szCs w:val="22"/>
        </w:rPr>
        <w:t xml:space="preserve">έχει </w:t>
      </w:r>
      <w:r w:rsidR="0096443F">
        <w:rPr>
          <w:szCs w:val="22"/>
        </w:rPr>
        <w:t>παρατηρηθεί</w:t>
      </w:r>
      <w:r w:rsidR="005A1B5F">
        <w:rPr>
          <w:szCs w:val="22"/>
        </w:rPr>
        <w:t xml:space="preserve"> </w:t>
      </w:r>
      <w:r>
        <w:rPr>
          <w:szCs w:val="22"/>
        </w:rPr>
        <w:t>όταν χορηγήθηκαν</w:t>
      </w:r>
      <w:r w:rsidR="00C31237" w:rsidRPr="006756E8">
        <w:rPr>
          <w:szCs w:val="22"/>
        </w:rPr>
        <w:t xml:space="preserve"> υψηλές δόσεις σε ασθενείς με νεφρική </w:t>
      </w:r>
      <w:r>
        <w:rPr>
          <w:szCs w:val="22"/>
        </w:rPr>
        <w:t>δυσλειτουργία (βλέπε παραγράφους 4.2 και 4.4)</w:t>
      </w:r>
      <w:r w:rsidR="00C31237" w:rsidRPr="006756E8">
        <w:rPr>
          <w:szCs w:val="22"/>
        </w:rPr>
        <w:t xml:space="preserve">. </w:t>
      </w:r>
      <w:r>
        <w:rPr>
          <w:szCs w:val="22"/>
        </w:rPr>
        <w:t>Τα σ</w:t>
      </w:r>
      <w:r w:rsidR="00C31237" w:rsidRPr="00CE6C20">
        <w:rPr>
          <w:szCs w:val="22"/>
        </w:rPr>
        <w:t>υμπτώματα</w:t>
      </w:r>
      <w:r w:rsidR="00C31237" w:rsidRPr="006756E8">
        <w:rPr>
          <w:szCs w:val="22"/>
        </w:rPr>
        <w:t xml:space="preserve"> </w:t>
      </w:r>
      <w:r>
        <w:rPr>
          <w:szCs w:val="22"/>
        </w:rPr>
        <w:t xml:space="preserve">της </w:t>
      </w:r>
      <w:r w:rsidR="00C31237" w:rsidRPr="006756E8">
        <w:rPr>
          <w:szCs w:val="22"/>
        </w:rPr>
        <w:t>υπερδοσολογίας περιλαμβάνουν εγκεφαλοπάθεια (</w:t>
      </w:r>
      <w:r w:rsidR="00D765B0" w:rsidRPr="006756E8">
        <w:rPr>
          <w:szCs w:val="22"/>
        </w:rPr>
        <w:t xml:space="preserve">διαταραχή </w:t>
      </w:r>
      <w:r>
        <w:rPr>
          <w:szCs w:val="22"/>
        </w:rPr>
        <w:t xml:space="preserve">της </w:t>
      </w:r>
      <w:r w:rsidR="00D765B0" w:rsidRPr="006756E8">
        <w:rPr>
          <w:szCs w:val="22"/>
        </w:rPr>
        <w:t>συνείδηση</w:t>
      </w:r>
      <w:r>
        <w:rPr>
          <w:szCs w:val="22"/>
        </w:rPr>
        <w:t>ς</w:t>
      </w:r>
      <w:r w:rsidR="00D765B0" w:rsidRPr="006756E8">
        <w:rPr>
          <w:szCs w:val="22"/>
        </w:rPr>
        <w:t xml:space="preserve"> συμπεριλαμβανομέν</w:t>
      </w:r>
      <w:r w:rsidR="00042D71">
        <w:rPr>
          <w:szCs w:val="22"/>
        </w:rPr>
        <w:t>ων</w:t>
      </w:r>
      <w:r w:rsidR="00D765B0" w:rsidRPr="006756E8">
        <w:rPr>
          <w:szCs w:val="22"/>
        </w:rPr>
        <w:t xml:space="preserve"> σύγχυσης, </w:t>
      </w:r>
      <w:r w:rsidR="00042D71">
        <w:rPr>
          <w:szCs w:val="22"/>
        </w:rPr>
        <w:t>ψ</w:t>
      </w:r>
      <w:r w:rsidR="00042D71" w:rsidRPr="00A30AFA">
        <w:rPr>
          <w:szCs w:val="22"/>
        </w:rPr>
        <w:t>ευδα</w:t>
      </w:r>
      <w:r w:rsidR="00042D71">
        <w:rPr>
          <w:szCs w:val="22"/>
        </w:rPr>
        <w:t>ι</w:t>
      </w:r>
      <w:r w:rsidR="00042D71" w:rsidRPr="00A30AFA">
        <w:rPr>
          <w:szCs w:val="22"/>
        </w:rPr>
        <w:t>σθ</w:t>
      </w:r>
      <w:r w:rsidR="00042D71">
        <w:rPr>
          <w:szCs w:val="22"/>
        </w:rPr>
        <w:t>ή</w:t>
      </w:r>
      <w:r w:rsidR="00042D71" w:rsidRPr="00A30AFA">
        <w:rPr>
          <w:szCs w:val="22"/>
        </w:rPr>
        <w:t>σ</w:t>
      </w:r>
      <w:r w:rsidR="00042D71">
        <w:rPr>
          <w:szCs w:val="22"/>
        </w:rPr>
        <w:t>εων, λ</w:t>
      </w:r>
      <w:r w:rsidR="00042D71" w:rsidRPr="00A30AFA">
        <w:rPr>
          <w:szCs w:val="22"/>
        </w:rPr>
        <w:t>ήθαργο</w:t>
      </w:r>
      <w:r w:rsidR="00042D71">
        <w:rPr>
          <w:szCs w:val="22"/>
        </w:rPr>
        <w:t>υ και κώματος</w:t>
      </w:r>
      <w:r w:rsidR="00D765B0" w:rsidRPr="006756E8">
        <w:rPr>
          <w:szCs w:val="22"/>
        </w:rPr>
        <w:t>), μυόκλ</w:t>
      </w:r>
      <w:r w:rsidR="00042D71">
        <w:rPr>
          <w:szCs w:val="22"/>
        </w:rPr>
        <w:t>ω</w:t>
      </w:r>
      <w:r w:rsidR="00D765B0" w:rsidRPr="006756E8">
        <w:rPr>
          <w:szCs w:val="22"/>
        </w:rPr>
        <w:t xml:space="preserve">νος </w:t>
      </w:r>
      <w:r w:rsidR="00042D71">
        <w:rPr>
          <w:szCs w:val="22"/>
        </w:rPr>
        <w:t xml:space="preserve">και </w:t>
      </w:r>
      <w:r w:rsidR="00D765B0" w:rsidRPr="006756E8">
        <w:rPr>
          <w:szCs w:val="22"/>
        </w:rPr>
        <w:t>επιληπτικές κρίσεις.</w:t>
      </w:r>
    </w:p>
    <w:p w:rsidR="00B9512A" w:rsidRPr="00CE6C20" w:rsidRDefault="00B9512A" w:rsidP="0031570A">
      <w:pPr>
        <w:tabs>
          <w:tab w:val="left" w:pos="567"/>
        </w:tabs>
        <w:rPr>
          <w:noProof/>
          <w:szCs w:val="22"/>
        </w:rPr>
      </w:pPr>
    </w:p>
    <w:p w:rsidR="00B9512A" w:rsidRPr="00CE6C20"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5.</w:t>
      </w:r>
      <w:r w:rsidRPr="006756E8">
        <w:rPr>
          <w:b/>
          <w:noProof/>
          <w:szCs w:val="22"/>
        </w:rPr>
        <w:tab/>
        <w:t>ΦΑΡΜΑΚΟΛΟΓΙΚΕΣ ΙΔΙΟΤΗΤΕΣ</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5.1</w:t>
      </w:r>
      <w:r w:rsidRPr="006756E8">
        <w:rPr>
          <w:b/>
          <w:noProof/>
          <w:szCs w:val="22"/>
        </w:rPr>
        <w:tab/>
        <w:t>Φαρμακοδυναμικές ιδιότητες</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noProof/>
          <w:szCs w:val="22"/>
        </w:rPr>
        <w:t xml:space="preserve">Φαρμακοθεραπευτική κατηγορία: </w:t>
      </w:r>
      <w:r w:rsidR="00690090" w:rsidRPr="006756E8">
        <w:rPr>
          <w:noProof/>
          <w:szCs w:val="22"/>
        </w:rPr>
        <w:t>κ</w:t>
      </w:r>
      <w:r w:rsidR="00E41940" w:rsidRPr="006756E8">
        <w:rPr>
          <w:noProof/>
          <w:szCs w:val="22"/>
        </w:rPr>
        <w:t>εφαλοσπορίνες τέταρτης γεν</w:t>
      </w:r>
      <w:r w:rsidR="00425FA8">
        <w:rPr>
          <w:noProof/>
          <w:szCs w:val="22"/>
        </w:rPr>
        <w:t>ι</w:t>
      </w:r>
      <w:r w:rsidR="00E41940" w:rsidRPr="006756E8">
        <w:rPr>
          <w:noProof/>
          <w:szCs w:val="22"/>
        </w:rPr>
        <w:t>άς</w:t>
      </w:r>
      <w:r w:rsidRPr="006756E8">
        <w:rPr>
          <w:noProof/>
          <w:szCs w:val="22"/>
        </w:rPr>
        <w:t xml:space="preserve">, κωδικός ATC: </w:t>
      </w:r>
      <w:r w:rsidR="00E41940" w:rsidRPr="006756E8">
        <w:rPr>
          <w:szCs w:val="22"/>
          <w:lang w:val="en-GB"/>
        </w:rPr>
        <w:t>J</w:t>
      </w:r>
      <w:r w:rsidR="00E41940" w:rsidRPr="006756E8">
        <w:rPr>
          <w:szCs w:val="22"/>
        </w:rPr>
        <w:t>01</w:t>
      </w:r>
      <w:r w:rsidR="00E41940" w:rsidRPr="006756E8">
        <w:rPr>
          <w:szCs w:val="22"/>
          <w:lang w:val="en-GB"/>
        </w:rPr>
        <w:t>D</w:t>
      </w:r>
      <w:r w:rsidR="00E41940" w:rsidRPr="006756E8">
        <w:rPr>
          <w:szCs w:val="22"/>
        </w:rPr>
        <w:t xml:space="preserve"> </w:t>
      </w:r>
      <w:r w:rsidR="00E41940" w:rsidRPr="006756E8">
        <w:rPr>
          <w:szCs w:val="22"/>
          <w:lang w:val="en-GB"/>
        </w:rPr>
        <w:t>E</w:t>
      </w:r>
      <w:r w:rsidR="00E41940" w:rsidRPr="006756E8">
        <w:rPr>
          <w:szCs w:val="22"/>
        </w:rPr>
        <w:t>01</w:t>
      </w:r>
    </w:p>
    <w:p w:rsidR="00B9512A" w:rsidRPr="006756E8" w:rsidRDefault="00B9512A" w:rsidP="0031570A">
      <w:pPr>
        <w:tabs>
          <w:tab w:val="left" w:pos="567"/>
        </w:tabs>
        <w:rPr>
          <w:noProof/>
          <w:szCs w:val="22"/>
        </w:rPr>
      </w:pPr>
    </w:p>
    <w:p w:rsidR="00664833" w:rsidRPr="006756E8" w:rsidRDefault="00581263" w:rsidP="0031570A">
      <w:pPr>
        <w:tabs>
          <w:tab w:val="left" w:pos="567"/>
        </w:tabs>
        <w:autoSpaceDE w:val="0"/>
        <w:autoSpaceDN w:val="0"/>
        <w:adjustRightInd w:val="0"/>
        <w:rPr>
          <w:szCs w:val="22"/>
        </w:rPr>
      </w:pPr>
      <w:r w:rsidRPr="006756E8">
        <w:rPr>
          <w:szCs w:val="22"/>
        </w:rPr>
        <w:t xml:space="preserve">Η υδροχλωρική κεφεπίμη </w:t>
      </w:r>
      <w:r w:rsidR="00397C38" w:rsidRPr="006756E8">
        <w:rPr>
          <w:szCs w:val="22"/>
        </w:rPr>
        <w:t xml:space="preserve">είναι </w:t>
      </w:r>
      <w:r w:rsidRPr="006756E8">
        <w:rPr>
          <w:szCs w:val="22"/>
        </w:rPr>
        <w:t>μ</w:t>
      </w:r>
      <w:r w:rsidR="00425FA8">
        <w:rPr>
          <w:szCs w:val="22"/>
        </w:rPr>
        <w:t>ί</w:t>
      </w:r>
      <w:r w:rsidRPr="006756E8">
        <w:rPr>
          <w:szCs w:val="22"/>
        </w:rPr>
        <w:t xml:space="preserve">α λευκή έως υποκίτρινη </w:t>
      </w:r>
      <w:r w:rsidR="00C0770D" w:rsidRPr="006756E8">
        <w:rPr>
          <w:szCs w:val="22"/>
        </w:rPr>
        <w:t>σκόνη. Τα α</w:t>
      </w:r>
      <w:r w:rsidRPr="006756E8">
        <w:rPr>
          <w:szCs w:val="22"/>
        </w:rPr>
        <w:t xml:space="preserve">νασυσταμένα διαλύματα κεφεπίμης μπορεί να </w:t>
      </w:r>
      <w:r w:rsidR="00397C38" w:rsidRPr="006756E8">
        <w:rPr>
          <w:szCs w:val="22"/>
        </w:rPr>
        <w:t>κυμαίνονται σε χρώμα από άχρωμα έως κίτρινο του κεχριμπαριού.</w:t>
      </w:r>
    </w:p>
    <w:p w:rsidR="00664833" w:rsidRPr="006756E8" w:rsidRDefault="00664833" w:rsidP="0031570A">
      <w:pPr>
        <w:tabs>
          <w:tab w:val="left" w:pos="567"/>
        </w:tabs>
        <w:autoSpaceDE w:val="0"/>
        <w:autoSpaceDN w:val="0"/>
        <w:adjustRightInd w:val="0"/>
        <w:jc w:val="both"/>
        <w:rPr>
          <w:szCs w:val="22"/>
          <w:u w:val="single"/>
        </w:rPr>
      </w:pPr>
    </w:p>
    <w:p w:rsidR="006060CD" w:rsidRPr="006756E8" w:rsidRDefault="00425FA8" w:rsidP="0031570A">
      <w:pPr>
        <w:tabs>
          <w:tab w:val="left" w:pos="567"/>
        </w:tabs>
        <w:autoSpaceDE w:val="0"/>
        <w:autoSpaceDN w:val="0"/>
        <w:adjustRightInd w:val="0"/>
        <w:rPr>
          <w:i/>
          <w:szCs w:val="22"/>
          <w:u w:val="single"/>
        </w:rPr>
      </w:pPr>
      <w:r>
        <w:rPr>
          <w:i/>
          <w:szCs w:val="22"/>
          <w:u w:val="single"/>
        </w:rPr>
        <w:t>Μηχανισμός</w:t>
      </w:r>
      <w:r w:rsidR="004F6B30" w:rsidRPr="006756E8">
        <w:rPr>
          <w:i/>
          <w:szCs w:val="22"/>
          <w:u w:val="single"/>
        </w:rPr>
        <w:t xml:space="preserve"> δράσης</w:t>
      </w:r>
    </w:p>
    <w:p w:rsidR="004F6B30" w:rsidRPr="006756E8" w:rsidRDefault="004F6B30" w:rsidP="0031570A">
      <w:pPr>
        <w:tabs>
          <w:tab w:val="left" w:pos="567"/>
        </w:tabs>
        <w:autoSpaceDE w:val="0"/>
        <w:autoSpaceDN w:val="0"/>
        <w:adjustRightInd w:val="0"/>
        <w:rPr>
          <w:szCs w:val="22"/>
        </w:rPr>
      </w:pPr>
      <w:r w:rsidRPr="006756E8">
        <w:rPr>
          <w:szCs w:val="22"/>
        </w:rPr>
        <w:t xml:space="preserve">Η κεφεπίμη είναι ένα αντιβιοτικό </w:t>
      </w:r>
      <w:r w:rsidR="00690090" w:rsidRPr="006756E8">
        <w:rPr>
          <w:szCs w:val="22"/>
        </w:rPr>
        <w:t>ευρέου</w:t>
      </w:r>
      <w:r w:rsidRPr="006756E8">
        <w:rPr>
          <w:szCs w:val="22"/>
        </w:rPr>
        <w:t xml:space="preserve">ς φάσματος με </w:t>
      </w:r>
      <w:r w:rsidRPr="006756E8">
        <w:rPr>
          <w:szCs w:val="22"/>
          <w:lang w:val="en-US"/>
        </w:rPr>
        <w:t>in</w:t>
      </w:r>
      <w:r w:rsidRPr="006756E8">
        <w:rPr>
          <w:szCs w:val="22"/>
        </w:rPr>
        <w:t xml:space="preserve"> </w:t>
      </w:r>
      <w:r w:rsidRPr="006756E8">
        <w:rPr>
          <w:szCs w:val="22"/>
          <w:lang w:val="en-US"/>
        </w:rPr>
        <w:t>vitro</w:t>
      </w:r>
      <w:r w:rsidRPr="006756E8">
        <w:rPr>
          <w:szCs w:val="22"/>
        </w:rPr>
        <w:t xml:space="preserve"> βακτηριοκτόνο δράση ενάντια σε μεγάλο αριθμό θετικών κατά </w:t>
      </w:r>
      <w:r w:rsidRPr="00A63871">
        <w:rPr>
          <w:i/>
          <w:szCs w:val="22"/>
          <w:lang w:val="en-US"/>
        </w:rPr>
        <w:t>Gram</w:t>
      </w:r>
      <w:r w:rsidRPr="006756E8">
        <w:rPr>
          <w:szCs w:val="22"/>
        </w:rPr>
        <w:t xml:space="preserve"> και αρνητικών κατά </w:t>
      </w:r>
      <w:r w:rsidRPr="00A63871">
        <w:rPr>
          <w:i/>
          <w:szCs w:val="22"/>
          <w:lang w:val="en-US"/>
        </w:rPr>
        <w:t>Gram</w:t>
      </w:r>
      <w:r w:rsidRPr="006756E8">
        <w:rPr>
          <w:szCs w:val="22"/>
        </w:rPr>
        <w:t xml:space="preserve"> βακτηρίων. Η κεφεπίμη ασκεί την βακτηριοκτόνο δράση </w:t>
      </w:r>
      <w:r w:rsidR="00A63871">
        <w:rPr>
          <w:szCs w:val="22"/>
        </w:rPr>
        <w:t xml:space="preserve">της </w:t>
      </w:r>
      <w:r w:rsidRPr="006756E8">
        <w:rPr>
          <w:szCs w:val="22"/>
        </w:rPr>
        <w:t>με την αναστολή σύνθεσης του βακτηριακού τοιχώματος.</w:t>
      </w:r>
    </w:p>
    <w:p w:rsidR="004F6B30" w:rsidRPr="006756E8" w:rsidRDefault="004F6B30" w:rsidP="0031570A">
      <w:pPr>
        <w:tabs>
          <w:tab w:val="left" w:pos="567"/>
        </w:tabs>
        <w:autoSpaceDE w:val="0"/>
        <w:autoSpaceDN w:val="0"/>
        <w:adjustRightInd w:val="0"/>
        <w:rPr>
          <w:szCs w:val="22"/>
        </w:rPr>
      </w:pPr>
      <w:r w:rsidRPr="006756E8">
        <w:rPr>
          <w:szCs w:val="22"/>
        </w:rPr>
        <w:t xml:space="preserve">Η κεφεπίμη παρουσιάζει ταχεία </w:t>
      </w:r>
      <w:r w:rsidR="00A63871">
        <w:rPr>
          <w:szCs w:val="22"/>
        </w:rPr>
        <w:t>διείσδυση εντός</w:t>
      </w:r>
      <w:r w:rsidRPr="006756E8">
        <w:rPr>
          <w:szCs w:val="22"/>
        </w:rPr>
        <w:t xml:space="preserve"> </w:t>
      </w:r>
      <w:r w:rsidR="00B8752F" w:rsidRPr="006756E8">
        <w:rPr>
          <w:szCs w:val="22"/>
        </w:rPr>
        <w:t xml:space="preserve">των κυτταρικών τοιχωμάτων των αρνητικών κατά </w:t>
      </w:r>
      <w:r w:rsidR="00B8752F" w:rsidRPr="00A63871">
        <w:rPr>
          <w:i/>
          <w:szCs w:val="22"/>
          <w:lang w:val="en-US"/>
        </w:rPr>
        <w:t>Gram</w:t>
      </w:r>
      <w:r w:rsidR="00B8752F" w:rsidRPr="006756E8">
        <w:rPr>
          <w:szCs w:val="22"/>
        </w:rPr>
        <w:t xml:space="preserve"> βακτηριακών κυττά</w:t>
      </w:r>
      <w:r w:rsidR="00A63871">
        <w:rPr>
          <w:szCs w:val="22"/>
        </w:rPr>
        <w:t>ρ</w:t>
      </w:r>
      <w:r w:rsidR="00B8752F" w:rsidRPr="006756E8">
        <w:rPr>
          <w:szCs w:val="22"/>
        </w:rPr>
        <w:t xml:space="preserve">ων. Κατέχει </w:t>
      </w:r>
      <w:r w:rsidR="00C0770D" w:rsidRPr="006756E8">
        <w:rPr>
          <w:szCs w:val="22"/>
        </w:rPr>
        <w:t xml:space="preserve">μεγάλη </w:t>
      </w:r>
      <w:r w:rsidR="00A63871">
        <w:rPr>
          <w:szCs w:val="22"/>
        </w:rPr>
        <w:t>συγγένεια</w:t>
      </w:r>
      <w:r w:rsidR="00C0770D" w:rsidRPr="006756E8">
        <w:rPr>
          <w:szCs w:val="22"/>
        </w:rPr>
        <w:t xml:space="preserve"> δέσμευσης με τις πρωτεΐνες που δεσμεύονται με τις πενικιλλίνες (</w:t>
      </w:r>
      <w:r w:rsidR="00C0770D" w:rsidRPr="006756E8">
        <w:rPr>
          <w:szCs w:val="22"/>
          <w:lang w:val="en-GB"/>
        </w:rPr>
        <w:t>penicillin</w:t>
      </w:r>
      <w:r w:rsidR="00C0770D" w:rsidRPr="006756E8">
        <w:rPr>
          <w:szCs w:val="22"/>
        </w:rPr>
        <w:t>-</w:t>
      </w:r>
      <w:r w:rsidR="00C0770D" w:rsidRPr="006756E8">
        <w:rPr>
          <w:szCs w:val="22"/>
          <w:lang w:val="en-GB"/>
        </w:rPr>
        <w:t>binding</w:t>
      </w:r>
      <w:r w:rsidR="00C0770D" w:rsidRPr="006756E8">
        <w:rPr>
          <w:szCs w:val="22"/>
        </w:rPr>
        <w:t xml:space="preserve"> </w:t>
      </w:r>
      <w:r w:rsidR="00C0770D" w:rsidRPr="006756E8">
        <w:rPr>
          <w:szCs w:val="22"/>
          <w:lang w:val="en-GB"/>
        </w:rPr>
        <w:t>proteins</w:t>
      </w:r>
      <w:r w:rsidR="00C0770D" w:rsidRPr="006756E8">
        <w:rPr>
          <w:szCs w:val="22"/>
        </w:rPr>
        <w:t xml:space="preserve"> - </w:t>
      </w:r>
      <w:r w:rsidR="00C0770D" w:rsidRPr="006756E8">
        <w:rPr>
          <w:szCs w:val="22"/>
          <w:lang w:val="en-GB"/>
        </w:rPr>
        <w:t>PBP</w:t>
      </w:r>
      <w:r w:rsidR="00C0770D" w:rsidRPr="006756E8">
        <w:rPr>
          <w:szCs w:val="22"/>
        </w:rPr>
        <w:t xml:space="preserve">), ιδιαιτέρως με την </w:t>
      </w:r>
      <w:r w:rsidR="00C0770D" w:rsidRPr="006756E8">
        <w:rPr>
          <w:szCs w:val="22"/>
          <w:lang w:val="en-GB"/>
        </w:rPr>
        <w:t>PBP</w:t>
      </w:r>
      <w:r w:rsidR="00C0770D" w:rsidRPr="006756E8">
        <w:rPr>
          <w:szCs w:val="22"/>
        </w:rPr>
        <w:t xml:space="preserve">3 </w:t>
      </w:r>
      <w:r w:rsidR="00A63871">
        <w:rPr>
          <w:szCs w:val="22"/>
        </w:rPr>
        <w:t>του</w:t>
      </w:r>
      <w:r w:rsidR="00C0770D" w:rsidRPr="006756E8">
        <w:rPr>
          <w:szCs w:val="22"/>
        </w:rPr>
        <w:t xml:space="preserve"> </w:t>
      </w:r>
      <w:r w:rsidR="00C0770D" w:rsidRPr="00A63871">
        <w:rPr>
          <w:i/>
          <w:szCs w:val="22"/>
          <w:lang w:val="en-GB"/>
        </w:rPr>
        <w:t>Escherichia</w:t>
      </w:r>
      <w:r w:rsidR="00C0770D" w:rsidRPr="00A63871">
        <w:rPr>
          <w:i/>
          <w:szCs w:val="22"/>
        </w:rPr>
        <w:t xml:space="preserve"> </w:t>
      </w:r>
      <w:r w:rsidR="00C0770D" w:rsidRPr="00A63871">
        <w:rPr>
          <w:i/>
          <w:szCs w:val="22"/>
          <w:lang w:val="en-GB"/>
        </w:rPr>
        <w:t>coli</w:t>
      </w:r>
      <w:r w:rsidR="00C0770D" w:rsidRPr="006756E8">
        <w:rPr>
          <w:szCs w:val="22"/>
        </w:rPr>
        <w:t xml:space="preserve"> και του </w:t>
      </w:r>
      <w:r w:rsidR="00C0770D" w:rsidRPr="00A63871">
        <w:rPr>
          <w:i/>
          <w:szCs w:val="22"/>
          <w:lang w:val="en-GB"/>
        </w:rPr>
        <w:t>Enterobacter</w:t>
      </w:r>
      <w:r w:rsidR="00C0770D" w:rsidRPr="00A63871">
        <w:rPr>
          <w:i/>
          <w:szCs w:val="22"/>
        </w:rPr>
        <w:t xml:space="preserve"> </w:t>
      </w:r>
      <w:r w:rsidR="00C0770D" w:rsidRPr="00A63871">
        <w:rPr>
          <w:i/>
          <w:szCs w:val="22"/>
          <w:lang w:val="en-GB"/>
        </w:rPr>
        <w:t>cloacae</w:t>
      </w:r>
      <w:r w:rsidR="00C0770D" w:rsidRPr="006756E8">
        <w:rPr>
          <w:szCs w:val="22"/>
        </w:rPr>
        <w:t xml:space="preserve">, καθώς επίσης </w:t>
      </w:r>
      <w:r w:rsidR="00A63871">
        <w:rPr>
          <w:szCs w:val="22"/>
        </w:rPr>
        <w:t>με</w:t>
      </w:r>
      <w:r w:rsidR="00C0770D" w:rsidRPr="006756E8">
        <w:rPr>
          <w:szCs w:val="22"/>
        </w:rPr>
        <w:t xml:space="preserve"> την </w:t>
      </w:r>
      <w:r w:rsidR="00C0770D" w:rsidRPr="006756E8">
        <w:rPr>
          <w:szCs w:val="22"/>
          <w:lang w:val="en-GB"/>
        </w:rPr>
        <w:t>PBP</w:t>
      </w:r>
      <w:r w:rsidR="00C0770D" w:rsidRPr="006756E8">
        <w:rPr>
          <w:szCs w:val="22"/>
        </w:rPr>
        <w:t xml:space="preserve">2. Η μέτρια </w:t>
      </w:r>
      <w:r w:rsidR="00A63871">
        <w:rPr>
          <w:szCs w:val="22"/>
        </w:rPr>
        <w:t>συγγένεια</w:t>
      </w:r>
      <w:r w:rsidR="00C0770D" w:rsidRPr="006756E8">
        <w:rPr>
          <w:szCs w:val="22"/>
        </w:rPr>
        <w:t xml:space="preserve"> δέσμευσης </w:t>
      </w:r>
      <w:r w:rsidR="00A63871">
        <w:rPr>
          <w:szCs w:val="22"/>
        </w:rPr>
        <w:t>με</w:t>
      </w:r>
      <w:r w:rsidR="00C0770D" w:rsidRPr="006756E8">
        <w:rPr>
          <w:szCs w:val="22"/>
        </w:rPr>
        <w:t xml:space="preserve"> την </w:t>
      </w:r>
      <w:r w:rsidR="00C0770D" w:rsidRPr="006756E8">
        <w:rPr>
          <w:szCs w:val="22"/>
          <w:lang w:val="en-GB"/>
        </w:rPr>
        <w:t>PBP</w:t>
      </w:r>
      <w:r w:rsidR="00C0770D" w:rsidRPr="006756E8">
        <w:rPr>
          <w:szCs w:val="22"/>
        </w:rPr>
        <w:t>1</w:t>
      </w:r>
      <w:r w:rsidR="00690090" w:rsidRPr="006756E8">
        <w:rPr>
          <w:szCs w:val="22"/>
          <w:lang w:val="en-US"/>
        </w:rPr>
        <w:t>a</w:t>
      </w:r>
      <w:r w:rsidR="00690090" w:rsidRPr="006756E8">
        <w:rPr>
          <w:szCs w:val="22"/>
        </w:rPr>
        <w:t xml:space="preserve"> </w:t>
      </w:r>
      <w:r w:rsidR="00C0770D" w:rsidRPr="006756E8">
        <w:rPr>
          <w:szCs w:val="22"/>
        </w:rPr>
        <w:t>και 1</w:t>
      </w:r>
      <w:r w:rsidR="00C0770D" w:rsidRPr="006756E8">
        <w:rPr>
          <w:szCs w:val="22"/>
          <w:lang w:val="en-GB"/>
        </w:rPr>
        <w:t>b</w:t>
      </w:r>
      <w:r w:rsidR="00690090" w:rsidRPr="006756E8">
        <w:rPr>
          <w:szCs w:val="22"/>
        </w:rPr>
        <w:t xml:space="preserve"> πιθανό</w:t>
      </w:r>
      <w:r w:rsidR="00C0770D" w:rsidRPr="006756E8">
        <w:rPr>
          <w:szCs w:val="22"/>
        </w:rPr>
        <w:t xml:space="preserve">ν συμβάλλει </w:t>
      </w:r>
      <w:r w:rsidR="00A63871">
        <w:rPr>
          <w:szCs w:val="22"/>
        </w:rPr>
        <w:t>επίσης</w:t>
      </w:r>
      <w:r w:rsidR="00C0770D" w:rsidRPr="006756E8">
        <w:rPr>
          <w:szCs w:val="22"/>
        </w:rPr>
        <w:t xml:space="preserve"> στη συνολική βακτηριοκτόνο δράση της κεφεπίμης.</w:t>
      </w:r>
    </w:p>
    <w:p w:rsidR="00C0770D" w:rsidRPr="006756E8" w:rsidRDefault="00C0770D" w:rsidP="0031570A">
      <w:pPr>
        <w:tabs>
          <w:tab w:val="left" w:pos="567"/>
        </w:tabs>
        <w:autoSpaceDE w:val="0"/>
        <w:autoSpaceDN w:val="0"/>
        <w:adjustRightInd w:val="0"/>
        <w:jc w:val="both"/>
        <w:rPr>
          <w:szCs w:val="22"/>
        </w:rPr>
      </w:pPr>
    </w:p>
    <w:p w:rsidR="00C0770D" w:rsidRPr="006756E8" w:rsidRDefault="00C0770D" w:rsidP="0031570A">
      <w:pPr>
        <w:tabs>
          <w:tab w:val="left" w:pos="567"/>
        </w:tabs>
        <w:autoSpaceDE w:val="0"/>
        <w:autoSpaceDN w:val="0"/>
        <w:adjustRightInd w:val="0"/>
        <w:jc w:val="both"/>
        <w:rPr>
          <w:i/>
          <w:szCs w:val="22"/>
          <w:u w:val="single"/>
        </w:rPr>
      </w:pPr>
      <w:r w:rsidRPr="006756E8">
        <w:rPr>
          <w:i/>
          <w:szCs w:val="22"/>
          <w:u w:val="single"/>
        </w:rPr>
        <w:t xml:space="preserve">Μηχανισμός(οί) </w:t>
      </w:r>
      <w:r w:rsidR="005A1B5F">
        <w:rPr>
          <w:i/>
          <w:szCs w:val="22"/>
          <w:u w:val="single"/>
        </w:rPr>
        <w:t>ανθεκτικότητας</w:t>
      </w:r>
    </w:p>
    <w:p w:rsidR="00664833" w:rsidRPr="006756E8" w:rsidRDefault="00C0770D" w:rsidP="0031570A">
      <w:pPr>
        <w:tabs>
          <w:tab w:val="left" w:pos="567"/>
        </w:tabs>
        <w:autoSpaceDE w:val="0"/>
        <w:autoSpaceDN w:val="0"/>
        <w:adjustRightInd w:val="0"/>
        <w:rPr>
          <w:szCs w:val="22"/>
        </w:rPr>
      </w:pPr>
      <w:r w:rsidRPr="006756E8">
        <w:rPr>
          <w:szCs w:val="22"/>
        </w:rPr>
        <w:t>Η κεφεπίμη επιδεικνύει μικρή συγγένεια δέσμευσης στις χρωμοσωμικά κωδικοποιημένες β</w:t>
      </w:r>
      <w:r w:rsidR="005758DC">
        <w:rPr>
          <w:szCs w:val="22"/>
        </w:rPr>
        <w:noBreakHyphen/>
        <w:t xml:space="preserve">λακταμάσες και είναι </w:t>
      </w:r>
      <w:r w:rsidR="005758DC" w:rsidRPr="005758DC">
        <w:rPr>
          <w:szCs w:val="22"/>
        </w:rPr>
        <w:t>ιδιαίτερα ανθεκτικ</w:t>
      </w:r>
      <w:r w:rsidR="005758DC">
        <w:rPr>
          <w:szCs w:val="22"/>
        </w:rPr>
        <w:t>ή</w:t>
      </w:r>
      <w:r w:rsidR="005758DC" w:rsidRPr="005758DC">
        <w:rPr>
          <w:szCs w:val="22"/>
        </w:rPr>
        <w:t xml:space="preserve"> στην υδρόλυση από τις περισσότερες βήτα</w:t>
      </w:r>
      <w:r w:rsidR="005758DC">
        <w:rPr>
          <w:szCs w:val="22"/>
        </w:rPr>
        <w:noBreakHyphen/>
      </w:r>
      <w:r w:rsidR="005758DC" w:rsidRPr="005758DC">
        <w:rPr>
          <w:szCs w:val="22"/>
        </w:rPr>
        <w:t>λακταμάσες</w:t>
      </w:r>
      <w:r w:rsidRPr="006756E8">
        <w:rPr>
          <w:szCs w:val="22"/>
        </w:rPr>
        <w:t>.</w:t>
      </w:r>
    </w:p>
    <w:p w:rsidR="00C0770D" w:rsidRPr="006756E8" w:rsidRDefault="00C0770D" w:rsidP="0031570A">
      <w:pPr>
        <w:tabs>
          <w:tab w:val="left" w:pos="567"/>
        </w:tabs>
        <w:autoSpaceDE w:val="0"/>
        <w:autoSpaceDN w:val="0"/>
        <w:adjustRightInd w:val="0"/>
        <w:rPr>
          <w:szCs w:val="22"/>
        </w:rPr>
      </w:pPr>
    </w:p>
    <w:p w:rsidR="00664833" w:rsidRPr="006756E8" w:rsidRDefault="00C0770D" w:rsidP="0031570A">
      <w:pPr>
        <w:tabs>
          <w:tab w:val="left" w:pos="567"/>
        </w:tabs>
        <w:autoSpaceDE w:val="0"/>
        <w:autoSpaceDN w:val="0"/>
        <w:adjustRightInd w:val="0"/>
        <w:rPr>
          <w:szCs w:val="22"/>
        </w:rPr>
      </w:pPr>
      <w:r w:rsidRPr="006756E8">
        <w:rPr>
          <w:szCs w:val="22"/>
        </w:rPr>
        <w:lastRenderedPageBreak/>
        <w:t xml:space="preserve">Η ανθεκτικότητα των βακτηρίων στην κεφεπίμη μπορεί να είναι λόγω </w:t>
      </w:r>
      <w:r w:rsidR="0068570C" w:rsidRPr="006756E8">
        <w:rPr>
          <w:szCs w:val="22"/>
        </w:rPr>
        <w:t>ενός ή περισσοτέρων από τους παρακάτω μηχανισμούς:</w:t>
      </w:r>
    </w:p>
    <w:p w:rsidR="0068570C" w:rsidRPr="006756E8" w:rsidRDefault="0068570C" w:rsidP="000011C8">
      <w:pPr>
        <w:numPr>
          <w:ilvl w:val="0"/>
          <w:numId w:val="19"/>
        </w:numPr>
        <w:tabs>
          <w:tab w:val="clear" w:pos="720"/>
          <w:tab w:val="num" w:pos="567"/>
        </w:tabs>
        <w:autoSpaceDE w:val="0"/>
        <w:autoSpaceDN w:val="0"/>
        <w:adjustRightInd w:val="0"/>
        <w:ind w:left="567" w:hanging="567"/>
        <w:rPr>
          <w:szCs w:val="22"/>
        </w:rPr>
      </w:pPr>
      <w:r w:rsidRPr="006756E8">
        <w:rPr>
          <w:szCs w:val="22"/>
        </w:rPr>
        <w:t xml:space="preserve">μειωμένη </w:t>
      </w:r>
      <w:r w:rsidR="00AB1F62">
        <w:rPr>
          <w:szCs w:val="22"/>
        </w:rPr>
        <w:t>συγγένεια</w:t>
      </w:r>
      <w:r w:rsidRPr="006756E8">
        <w:rPr>
          <w:szCs w:val="22"/>
        </w:rPr>
        <w:t xml:space="preserve"> δέσμευσης των πρωτεϊνών που δεσμεύονται με τις πενικιλλίνες για την κεφεπίμη,</w:t>
      </w:r>
    </w:p>
    <w:p w:rsidR="0068570C" w:rsidRPr="006756E8" w:rsidRDefault="00E4026B" w:rsidP="000011C8">
      <w:pPr>
        <w:numPr>
          <w:ilvl w:val="0"/>
          <w:numId w:val="19"/>
        </w:numPr>
        <w:tabs>
          <w:tab w:val="clear" w:pos="720"/>
          <w:tab w:val="num" w:pos="567"/>
        </w:tabs>
        <w:autoSpaceDE w:val="0"/>
        <w:autoSpaceDN w:val="0"/>
        <w:adjustRightInd w:val="0"/>
        <w:ind w:left="567" w:hanging="567"/>
        <w:rPr>
          <w:szCs w:val="22"/>
        </w:rPr>
      </w:pPr>
      <w:r w:rsidRPr="006756E8">
        <w:rPr>
          <w:szCs w:val="22"/>
        </w:rPr>
        <w:t>παραγωγή β</w:t>
      </w:r>
      <w:r w:rsidR="00AB1F62">
        <w:rPr>
          <w:szCs w:val="22"/>
        </w:rPr>
        <w:noBreakHyphen/>
      </w:r>
      <w:r w:rsidRPr="006756E8">
        <w:rPr>
          <w:szCs w:val="22"/>
        </w:rPr>
        <w:t>λακταμασών</w:t>
      </w:r>
      <w:r w:rsidR="00AB1F62">
        <w:rPr>
          <w:szCs w:val="22"/>
        </w:rPr>
        <w:t>,</w:t>
      </w:r>
      <w:r w:rsidR="0068570C" w:rsidRPr="006756E8">
        <w:rPr>
          <w:szCs w:val="22"/>
        </w:rPr>
        <w:t xml:space="preserve"> οι οποίες μπορούν να υδρολύ</w:t>
      </w:r>
      <w:r w:rsidRPr="006756E8">
        <w:rPr>
          <w:szCs w:val="22"/>
        </w:rPr>
        <w:t>σ</w:t>
      </w:r>
      <w:r w:rsidR="0068570C" w:rsidRPr="006756E8">
        <w:rPr>
          <w:szCs w:val="22"/>
        </w:rPr>
        <w:t xml:space="preserve">ουν </w:t>
      </w:r>
      <w:r w:rsidRPr="006756E8">
        <w:rPr>
          <w:szCs w:val="22"/>
        </w:rPr>
        <w:t xml:space="preserve">αποτελεσματικά </w:t>
      </w:r>
      <w:r w:rsidR="0068570C" w:rsidRPr="006756E8">
        <w:rPr>
          <w:szCs w:val="22"/>
        </w:rPr>
        <w:t xml:space="preserve">την κεφεπίμη </w:t>
      </w:r>
      <w:r w:rsidRPr="006756E8">
        <w:rPr>
          <w:szCs w:val="22"/>
        </w:rPr>
        <w:t>(π.χ. αρκετές από τις β</w:t>
      </w:r>
      <w:r w:rsidR="00AB1F62">
        <w:rPr>
          <w:szCs w:val="22"/>
        </w:rPr>
        <w:noBreakHyphen/>
      </w:r>
      <w:r w:rsidRPr="006756E8">
        <w:rPr>
          <w:szCs w:val="22"/>
        </w:rPr>
        <w:t>λακταμάσες</w:t>
      </w:r>
      <w:r w:rsidR="0068570C" w:rsidRPr="006756E8">
        <w:rPr>
          <w:szCs w:val="22"/>
        </w:rPr>
        <w:t xml:space="preserve"> διευρυμένου φάσματος και </w:t>
      </w:r>
      <w:r w:rsidRPr="006756E8">
        <w:rPr>
          <w:szCs w:val="22"/>
        </w:rPr>
        <w:t xml:space="preserve">τις </w:t>
      </w:r>
      <w:r w:rsidR="0068570C" w:rsidRPr="006756E8">
        <w:rPr>
          <w:szCs w:val="22"/>
        </w:rPr>
        <w:t>χρωμοσωμικά μεσολαβούμενες β</w:t>
      </w:r>
      <w:r w:rsidR="00AB1F62">
        <w:rPr>
          <w:szCs w:val="22"/>
        </w:rPr>
        <w:noBreakHyphen/>
      </w:r>
      <w:r w:rsidRPr="006756E8">
        <w:rPr>
          <w:szCs w:val="22"/>
        </w:rPr>
        <w:t>λακταμάσες</w:t>
      </w:r>
      <w:r w:rsidR="0068570C" w:rsidRPr="006756E8">
        <w:rPr>
          <w:szCs w:val="22"/>
        </w:rPr>
        <w:t>),</w:t>
      </w:r>
    </w:p>
    <w:p w:rsidR="0068570C" w:rsidRPr="006756E8" w:rsidRDefault="00E4026B" w:rsidP="000011C8">
      <w:pPr>
        <w:numPr>
          <w:ilvl w:val="0"/>
          <w:numId w:val="19"/>
        </w:numPr>
        <w:tabs>
          <w:tab w:val="clear" w:pos="720"/>
          <w:tab w:val="num" w:pos="567"/>
        </w:tabs>
        <w:autoSpaceDE w:val="0"/>
        <w:autoSpaceDN w:val="0"/>
        <w:adjustRightInd w:val="0"/>
        <w:ind w:left="567" w:hanging="567"/>
        <w:rPr>
          <w:szCs w:val="22"/>
        </w:rPr>
      </w:pPr>
      <w:r w:rsidRPr="006756E8">
        <w:rPr>
          <w:szCs w:val="22"/>
        </w:rPr>
        <w:t>α</w:t>
      </w:r>
      <w:r w:rsidR="0068570C" w:rsidRPr="006756E8">
        <w:rPr>
          <w:szCs w:val="22"/>
        </w:rPr>
        <w:t xml:space="preserve">διαπερατότητα της εξωτερικής μεμβράνης, η οποία περιορίζει την πρόσβαση της κεφεπίμης προς τις πρωτεΐνες που δεσμεύονται με τις πενικιλλίνες στους αρνητικούς κατά </w:t>
      </w:r>
      <w:r w:rsidR="00AB1F62" w:rsidRPr="00AB1F62">
        <w:rPr>
          <w:i/>
          <w:szCs w:val="22"/>
          <w:lang w:val="en-US"/>
        </w:rPr>
        <w:t>G</w:t>
      </w:r>
      <w:r w:rsidR="0068570C" w:rsidRPr="00AB1F62">
        <w:rPr>
          <w:i/>
          <w:szCs w:val="22"/>
          <w:lang w:val="en-US"/>
        </w:rPr>
        <w:t>ram</w:t>
      </w:r>
      <w:r w:rsidR="0068570C" w:rsidRPr="006756E8">
        <w:rPr>
          <w:szCs w:val="22"/>
        </w:rPr>
        <w:t xml:space="preserve"> οργανισμούς,</w:t>
      </w:r>
    </w:p>
    <w:p w:rsidR="0068570C" w:rsidRPr="006756E8" w:rsidRDefault="00AB1F62" w:rsidP="000011C8">
      <w:pPr>
        <w:numPr>
          <w:ilvl w:val="0"/>
          <w:numId w:val="19"/>
        </w:numPr>
        <w:tabs>
          <w:tab w:val="clear" w:pos="720"/>
          <w:tab w:val="num" w:pos="567"/>
        </w:tabs>
        <w:autoSpaceDE w:val="0"/>
        <w:autoSpaceDN w:val="0"/>
        <w:adjustRightInd w:val="0"/>
        <w:ind w:left="567" w:hanging="567"/>
        <w:rPr>
          <w:szCs w:val="22"/>
        </w:rPr>
      </w:pPr>
      <w:r>
        <w:rPr>
          <w:szCs w:val="22"/>
        </w:rPr>
        <w:t>α</w:t>
      </w:r>
      <w:r w:rsidR="0068570C" w:rsidRPr="006756E8">
        <w:rPr>
          <w:szCs w:val="22"/>
        </w:rPr>
        <w:t xml:space="preserve">ντλίες </w:t>
      </w:r>
      <w:r w:rsidR="00980F8B">
        <w:rPr>
          <w:szCs w:val="22"/>
        </w:rPr>
        <w:t>εκροής</w:t>
      </w:r>
      <w:r w:rsidR="005A1B5F">
        <w:rPr>
          <w:szCs w:val="22"/>
        </w:rPr>
        <w:t xml:space="preserve"> </w:t>
      </w:r>
      <w:r w:rsidR="0068570C" w:rsidRPr="006756E8">
        <w:rPr>
          <w:szCs w:val="22"/>
        </w:rPr>
        <w:t>των δραστικών συστατικών.</w:t>
      </w:r>
    </w:p>
    <w:p w:rsidR="00664833" w:rsidRPr="006756E8" w:rsidRDefault="00664833" w:rsidP="0031570A">
      <w:pPr>
        <w:tabs>
          <w:tab w:val="left" w:pos="567"/>
        </w:tabs>
        <w:autoSpaceDE w:val="0"/>
        <w:autoSpaceDN w:val="0"/>
        <w:adjustRightInd w:val="0"/>
        <w:jc w:val="both"/>
        <w:rPr>
          <w:szCs w:val="22"/>
          <w:u w:val="single"/>
        </w:rPr>
      </w:pPr>
    </w:p>
    <w:p w:rsidR="006B4AD8" w:rsidRPr="006756E8" w:rsidRDefault="00C17FEC" w:rsidP="0031570A">
      <w:pPr>
        <w:tabs>
          <w:tab w:val="left" w:pos="567"/>
        </w:tabs>
        <w:rPr>
          <w:szCs w:val="22"/>
        </w:rPr>
      </w:pPr>
      <w:r>
        <w:rPr>
          <w:i/>
          <w:iCs/>
          <w:szCs w:val="22"/>
          <w:u w:val="single"/>
        </w:rPr>
        <w:t>Όρια ευαισθησίας</w:t>
      </w:r>
    </w:p>
    <w:p w:rsidR="006B4AD8" w:rsidRPr="006756E8" w:rsidRDefault="006B4AD8" w:rsidP="0031570A">
      <w:pPr>
        <w:tabs>
          <w:tab w:val="left" w:pos="567"/>
        </w:tabs>
        <w:rPr>
          <w:szCs w:val="22"/>
        </w:rPr>
      </w:pPr>
      <w:r w:rsidRPr="006756E8">
        <w:rPr>
          <w:szCs w:val="22"/>
        </w:rPr>
        <w:t xml:space="preserve">Τα </w:t>
      </w:r>
      <w:r w:rsidR="00C86F9C">
        <w:rPr>
          <w:szCs w:val="22"/>
        </w:rPr>
        <w:t>όρια ευαισθησίας</w:t>
      </w:r>
      <w:r w:rsidRPr="006756E8">
        <w:rPr>
          <w:szCs w:val="22"/>
        </w:rPr>
        <w:t xml:space="preserve"> κατά </w:t>
      </w:r>
      <w:r w:rsidRPr="006756E8">
        <w:rPr>
          <w:szCs w:val="22"/>
          <w:lang w:val="en-GB"/>
        </w:rPr>
        <w:t>EUCAST</w:t>
      </w:r>
      <w:r w:rsidRPr="006756E8">
        <w:rPr>
          <w:szCs w:val="22"/>
        </w:rPr>
        <w:t xml:space="preserve"> </w:t>
      </w:r>
      <w:r w:rsidR="00C86F9C">
        <w:rPr>
          <w:lang w:val="en-GB"/>
        </w:rPr>
        <w:t>V</w:t>
      </w:r>
      <w:r w:rsidR="00C86F9C" w:rsidRPr="00C86F9C">
        <w:t xml:space="preserve">5.0 </w:t>
      </w:r>
      <w:r w:rsidR="00C86F9C">
        <w:t>σε ισχύ από την 01.01.</w:t>
      </w:r>
      <w:r w:rsidR="00C86F9C" w:rsidRPr="00C86F9C">
        <w:t>2015</w:t>
      </w:r>
      <w:r w:rsidR="00C86F9C">
        <w:t xml:space="preserve"> </w:t>
      </w:r>
      <w:r w:rsidRPr="006756E8">
        <w:rPr>
          <w:szCs w:val="22"/>
        </w:rPr>
        <w:t>είναι</w:t>
      </w:r>
      <w:r w:rsidR="00C86F9C">
        <w:rPr>
          <w:szCs w:val="22"/>
        </w:rPr>
        <w:t xml:space="preserve"> ως ακολούθως</w:t>
      </w:r>
      <w:r w:rsidRPr="006756E8">
        <w:rPr>
          <w:szCs w:val="22"/>
        </w:rPr>
        <w:t>:</w:t>
      </w:r>
    </w:p>
    <w:tbl>
      <w:tblPr>
        <w:tblW w:w="9214" w:type="dxa"/>
        <w:tblInd w:w="40" w:type="dxa"/>
        <w:tblLayout w:type="fixed"/>
        <w:tblCellMar>
          <w:left w:w="40" w:type="dxa"/>
          <w:right w:w="40" w:type="dxa"/>
        </w:tblCellMar>
        <w:tblLook w:val="0000"/>
      </w:tblPr>
      <w:tblGrid>
        <w:gridCol w:w="2947"/>
        <w:gridCol w:w="2298"/>
        <w:gridCol w:w="3969"/>
      </w:tblGrid>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Style1"/>
              <w:widowControl/>
              <w:rPr>
                <w:sz w:val="22"/>
                <w:szCs w:val="22"/>
                <w:lang w:val="el-GR"/>
              </w:rPr>
            </w:pPr>
            <w:r>
              <w:rPr>
                <w:rStyle w:val="FontStyle30"/>
                <w:sz w:val="22"/>
                <w:szCs w:val="22"/>
                <w:lang w:val="el-GR"/>
              </w:rPr>
              <w:t>Οργανισμός</w:t>
            </w:r>
          </w:p>
        </w:tc>
        <w:tc>
          <w:tcPr>
            <w:tcW w:w="2298"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Style16"/>
              <w:widowControl/>
              <w:spacing w:line="240" w:lineRule="auto"/>
              <w:jc w:val="center"/>
              <w:rPr>
                <w:rStyle w:val="FontStyle30"/>
                <w:sz w:val="22"/>
                <w:szCs w:val="22"/>
                <w:lang w:val="el-GR"/>
              </w:rPr>
            </w:pPr>
            <w:r>
              <w:rPr>
                <w:rStyle w:val="FontStyle30"/>
                <w:sz w:val="22"/>
                <w:szCs w:val="22"/>
                <w:lang w:val="el-GR"/>
              </w:rPr>
              <w:t>Ευαίσθητος</w:t>
            </w:r>
          </w:p>
        </w:tc>
        <w:tc>
          <w:tcPr>
            <w:tcW w:w="3969"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Style16"/>
              <w:widowControl/>
              <w:spacing w:line="240" w:lineRule="auto"/>
              <w:jc w:val="center"/>
              <w:rPr>
                <w:rStyle w:val="FontStyle30"/>
                <w:sz w:val="22"/>
                <w:szCs w:val="22"/>
                <w:lang w:val="el-GR"/>
              </w:rPr>
            </w:pPr>
            <w:r>
              <w:rPr>
                <w:rStyle w:val="FontStyle30"/>
                <w:sz w:val="22"/>
                <w:szCs w:val="22"/>
                <w:lang w:val="el-GR"/>
              </w:rPr>
              <w:t>Ανθεκτικός</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Style14"/>
              <w:widowControl/>
              <w:rPr>
                <w:rStyle w:val="FontStyle28"/>
                <w:i w:val="0"/>
                <w:sz w:val="22"/>
                <w:szCs w:val="22"/>
                <w:vertAlign w:val="superscript"/>
              </w:rPr>
            </w:pPr>
            <w:r w:rsidRPr="00C86F9C">
              <w:rPr>
                <w:i/>
                <w:lang w:val="pt-PT"/>
              </w:rPr>
              <w:t>Enterobacteriaceae</w:t>
            </w:r>
          </w:p>
        </w:tc>
        <w:tc>
          <w:tcPr>
            <w:tcW w:w="2298"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w:t>
            </w:r>
            <w:r w:rsidR="00022422">
              <w:rPr>
                <w:sz w:val="22"/>
                <w:szCs w:val="22"/>
                <w:lang w:val="el-GR"/>
              </w:rPr>
              <w:t> </w:t>
            </w:r>
            <w:r w:rsidRPr="005E133A">
              <w:rPr>
                <w:lang w:val="pt-PT"/>
              </w:rPr>
              <w:t>1</w:t>
            </w:r>
            <w:r w:rsidR="00022422">
              <w:rPr>
                <w:lang w:val="el-GR"/>
              </w:rPr>
              <w:t> </w:t>
            </w:r>
            <w:r w:rsidRPr="005E133A">
              <w:rPr>
                <w:lang w:val="pt-PT"/>
              </w:rPr>
              <w:t>mg/l,</w:t>
            </w:r>
          </w:p>
        </w:tc>
        <w:tc>
          <w:tcPr>
            <w:tcW w:w="3969"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&gt;</w:t>
            </w:r>
            <w:r w:rsidR="00022422">
              <w:rPr>
                <w:sz w:val="22"/>
                <w:szCs w:val="22"/>
                <w:lang w:val="el-GR"/>
              </w:rPr>
              <w:t> </w:t>
            </w:r>
            <w:r>
              <w:rPr>
                <w:lang w:val="pt-PT"/>
              </w:rPr>
              <w:t>4</w:t>
            </w:r>
            <w:r w:rsidR="00022422">
              <w:rPr>
                <w:lang w:val="el-GR"/>
              </w:rPr>
              <w:t> </w:t>
            </w:r>
            <w:r w:rsidRPr="005E133A">
              <w:rPr>
                <w:lang w:val="pt-PT"/>
              </w:rPr>
              <w:t>mg/l,</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Default"/>
              <w:rPr>
                <w:rStyle w:val="FontStyle28"/>
                <w:i w:val="0"/>
                <w:iCs w:val="0"/>
                <w:sz w:val="22"/>
                <w:szCs w:val="22"/>
              </w:rPr>
            </w:pPr>
            <w:r w:rsidRPr="00C86F9C">
              <w:rPr>
                <w:bCs/>
                <w:i/>
                <w:sz w:val="22"/>
                <w:szCs w:val="22"/>
              </w:rPr>
              <w:t xml:space="preserve">Pseudomonas spp </w:t>
            </w:r>
          </w:p>
        </w:tc>
        <w:tc>
          <w:tcPr>
            <w:tcW w:w="2298"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w:t>
            </w:r>
            <w:r w:rsidR="00022422">
              <w:rPr>
                <w:sz w:val="22"/>
                <w:szCs w:val="22"/>
                <w:lang w:val="el-GR"/>
              </w:rPr>
              <w:t> </w:t>
            </w:r>
            <w:r>
              <w:rPr>
                <w:sz w:val="22"/>
                <w:szCs w:val="22"/>
              </w:rPr>
              <w:t>8</w:t>
            </w:r>
            <w:r w:rsidR="00022422">
              <w:rPr>
                <w:sz w:val="22"/>
                <w:szCs w:val="22"/>
                <w:vertAlign w:val="superscript"/>
                <w:lang w:val="el-GR"/>
              </w:rPr>
              <w:t>α</w:t>
            </w:r>
            <w:r w:rsidR="00162D5D" w:rsidRPr="00022422">
              <w:rPr>
                <w:sz w:val="22"/>
                <w:szCs w:val="22"/>
                <w:lang w:val="el-GR"/>
              </w:rPr>
              <w:t> </w:t>
            </w:r>
            <w:r>
              <w:rPr>
                <w:sz w:val="22"/>
                <w:szCs w:val="22"/>
              </w:rPr>
              <w:t xml:space="preserve">mg/l </w:t>
            </w:r>
          </w:p>
        </w:tc>
        <w:tc>
          <w:tcPr>
            <w:tcW w:w="3969"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&gt;</w:t>
            </w:r>
            <w:r w:rsidR="00022422">
              <w:rPr>
                <w:sz w:val="22"/>
                <w:szCs w:val="22"/>
                <w:lang w:val="el-GR"/>
              </w:rPr>
              <w:t> </w:t>
            </w:r>
            <w:r>
              <w:rPr>
                <w:sz w:val="22"/>
                <w:szCs w:val="22"/>
              </w:rPr>
              <w:t>8</w:t>
            </w:r>
            <w:r w:rsidR="00022422">
              <w:rPr>
                <w:sz w:val="22"/>
                <w:szCs w:val="22"/>
                <w:lang w:val="el-GR"/>
              </w:rPr>
              <w:t> </w:t>
            </w:r>
            <w:r>
              <w:rPr>
                <w:sz w:val="22"/>
                <w:szCs w:val="22"/>
              </w:rPr>
              <w:t>mg/l</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Default"/>
              <w:rPr>
                <w:rStyle w:val="FontStyle30"/>
                <w:i/>
                <w:sz w:val="22"/>
                <w:szCs w:val="22"/>
              </w:rPr>
            </w:pPr>
            <w:r w:rsidRPr="00C86F9C">
              <w:rPr>
                <w:bCs/>
                <w:i/>
                <w:sz w:val="22"/>
                <w:szCs w:val="22"/>
              </w:rPr>
              <w:t xml:space="preserve">Staphylococcus </w:t>
            </w:r>
            <w:r w:rsidRPr="00C86F9C">
              <w:rPr>
                <w:i/>
                <w:iCs/>
                <w:sz w:val="22"/>
                <w:szCs w:val="22"/>
              </w:rPr>
              <w:t>spp.</w:t>
            </w:r>
          </w:p>
        </w:tc>
        <w:tc>
          <w:tcPr>
            <w:tcW w:w="2298" w:type="dxa"/>
            <w:tcBorders>
              <w:top w:val="single" w:sz="6" w:space="0" w:color="auto"/>
              <w:left w:val="single" w:sz="6" w:space="0" w:color="auto"/>
              <w:bottom w:val="single" w:sz="6" w:space="0" w:color="auto"/>
              <w:right w:val="single" w:sz="6" w:space="0" w:color="auto"/>
            </w:tcBorders>
          </w:tcPr>
          <w:p w:rsidR="00C86F9C" w:rsidRPr="004F6B15" w:rsidRDefault="00C86F9C" w:rsidP="00022422">
            <w:pPr>
              <w:pStyle w:val="Default"/>
              <w:jc w:val="center"/>
              <w:rPr>
                <w:rStyle w:val="FontStyle30"/>
                <w:sz w:val="15"/>
                <w:szCs w:val="15"/>
              </w:rPr>
            </w:pPr>
            <w:r>
              <w:rPr>
                <w:sz w:val="22"/>
                <w:szCs w:val="22"/>
              </w:rPr>
              <w:t>--</w:t>
            </w:r>
            <w:r w:rsidR="00022422" w:rsidRPr="00022422">
              <w:rPr>
                <w:sz w:val="22"/>
                <w:szCs w:val="22"/>
                <w:vertAlign w:val="superscript"/>
                <w:lang w:val="el-GR"/>
              </w:rPr>
              <w:t>β</w:t>
            </w:r>
            <w:r>
              <w:rPr>
                <w:sz w:val="15"/>
                <w:szCs w:val="15"/>
              </w:rPr>
              <w:t xml:space="preserve"> </w:t>
            </w:r>
          </w:p>
        </w:tc>
        <w:tc>
          <w:tcPr>
            <w:tcW w:w="3969" w:type="dxa"/>
            <w:tcBorders>
              <w:top w:val="single" w:sz="6" w:space="0" w:color="auto"/>
              <w:left w:val="single" w:sz="6" w:space="0" w:color="auto"/>
              <w:bottom w:val="single" w:sz="6" w:space="0" w:color="auto"/>
              <w:right w:val="single" w:sz="6" w:space="0" w:color="auto"/>
            </w:tcBorders>
          </w:tcPr>
          <w:p w:rsidR="00C86F9C" w:rsidRPr="004F6B15" w:rsidRDefault="00C86F9C" w:rsidP="00022422">
            <w:pPr>
              <w:pStyle w:val="Default"/>
              <w:jc w:val="center"/>
              <w:rPr>
                <w:rStyle w:val="FontStyle30"/>
                <w:sz w:val="15"/>
                <w:szCs w:val="15"/>
              </w:rPr>
            </w:pPr>
            <w:r>
              <w:rPr>
                <w:sz w:val="22"/>
                <w:szCs w:val="22"/>
              </w:rPr>
              <w:t>--</w:t>
            </w:r>
            <w:r w:rsidR="00022422" w:rsidRPr="00022422">
              <w:rPr>
                <w:sz w:val="22"/>
                <w:szCs w:val="22"/>
                <w:vertAlign w:val="superscript"/>
                <w:lang w:val="el-GR"/>
              </w:rPr>
              <w:t>β</w:t>
            </w:r>
            <w:r>
              <w:rPr>
                <w:sz w:val="15"/>
                <w:szCs w:val="15"/>
              </w:rPr>
              <w:t xml:space="preserve"> </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Default"/>
              <w:rPr>
                <w:rStyle w:val="FontStyle30"/>
                <w:i/>
                <w:sz w:val="22"/>
                <w:szCs w:val="22"/>
              </w:rPr>
            </w:pPr>
            <w:r w:rsidRPr="00C86F9C">
              <w:rPr>
                <w:bCs/>
                <w:i/>
                <w:sz w:val="22"/>
                <w:szCs w:val="22"/>
              </w:rPr>
              <w:t xml:space="preserve">Streptococcus </w:t>
            </w:r>
            <w:r w:rsidRPr="00C86F9C">
              <w:rPr>
                <w:i/>
                <w:iCs/>
                <w:sz w:val="22"/>
                <w:szCs w:val="22"/>
              </w:rPr>
              <w:t xml:space="preserve">spp. </w:t>
            </w:r>
            <w:r w:rsidRPr="00C86F9C">
              <w:rPr>
                <w:bCs/>
                <w:i/>
                <w:iCs/>
                <w:sz w:val="22"/>
                <w:szCs w:val="22"/>
              </w:rPr>
              <w:t xml:space="preserve">(Groups A, B, C, G) </w:t>
            </w:r>
          </w:p>
        </w:tc>
        <w:tc>
          <w:tcPr>
            <w:tcW w:w="2298" w:type="dxa"/>
            <w:tcBorders>
              <w:top w:val="single" w:sz="6" w:space="0" w:color="auto"/>
              <w:left w:val="single" w:sz="6" w:space="0" w:color="auto"/>
              <w:bottom w:val="single" w:sz="6" w:space="0" w:color="auto"/>
              <w:right w:val="single" w:sz="6" w:space="0" w:color="auto"/>
            </w:tcBorders>
          </w:tcPr>
          <w:p w:rsidR="00C86F9C" w:rsidRPr="004F6B15" w:rsidRDefault="00C86F9C" w:rsidP="00022422">
            <w:pPr>
              <w:pStyle w:val="Default"/>
              <w:jc w:val="center"/>
              <w:rPr>
                <w:rStyle w:val="FontStyle30"/>
                <w:sz w:val="15"/>
                <w:szCs w:val="15"/>
              </w:rPr>
            </w:pPr>
            <w:r w:rsidRPr="00022422">
              <w:rPr>
                <w:sz w:val="22"/>
                <w:szCs w:val="22"/>
              </w:rPr>
              <w:t>--</w:t>
            </w:r>
            <w:r w:rsidR="00022422" w:rsidRPr="00022422">
              <w:rPr>
                <w:sz w:val="15"/>
                <w:szCs w:val="15"/>
                <w:vertAlign w:val="superscript"/>
                <w:lang w:val="el-GR"/>
              </w:rPr>
              <w:t>γ</w:t>
            </w:r>
            <w:r>
              <w:rPr>
                <w:sz w:val="15"/>
                <w:szCs w:val="15"/>
              </w:rPr>
              <w:t xml:space="preserve"> </w:t>
            </w:r>
          </w:p>
        </w:tc>
        <w:tc>
          <w:tcPr>
            <w:tcW w:w="3969" w:type="dxa"/>
            <w:tcBorders>
              <w:top w:val="single" w:sz="6" w:space="0" w:color="auto"/>
              <w:left w:val="single" w:sz="6" w:space="0" w:color="auto"/>
              <w:bottom w:val="single" w:sz="6" w:space="0" w:color="auto"/>
              <w:right w:val="single" w:sz="6" w:space="0" w:color="auto"/>
            </w:tcBorders>
          </w:tcPr>
          <w:p w:rsidR="00C86F9C" w:rsidRPr="00022422" w:rsidRDefault="00C86F9C" w:rsidP="00022422">
            <w:pPr>
              <w:pStyle w:val="Default"/>
              <w:jc w:val="center"/>
              <w:rPr>
                <w:sz w:val="15"/>
                <w:szCs w:val="15"/>
                <w:lang w:val="el-GR"/>
              </w:rPr>
            </w:pPr>
            <w:r>
              <w:rPr>
                <w:sz w:val="22"/>
                <w:szCs w:val="22"/>
              </w:rPr>
              <w:t>--</w:t>
            </w:r>
            <w:r w:rsidR="00022422" w:rsidRPr="00022422">
              <w:rPr>
                <w:sz w:val="15"/>
                <w:szCs w:val="15"/>
                <w:vertAlign w:val="superscript"/>
                <w:lang w:val="el-GR"/>
              </w:rPr>
              <w:t>γ</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Default"/>
              <w:rPr>
                <w:rStyle w:val="FontStyle28"/>
                <w:i w:val="0"/>
                <w:iCs w:val="0"/>
                <w:sz w:val="22"/>
                <w:szCs w:val="22"/>
              </w:rPr>
            </w:pPr>
            <w:r w:rsidRPr="00C86F9C">
              <w:rPr>
                <w:bCs/>
                <w:i/>
                <w:sz w:val="22"/>
                <w:szCs w:val="22"/>
              </w:rPr>
              <w:t xml:space="preserve">Streptococcus pneumoniae </w:t>
            </w:r>
          </w:p>
        </w:tc>
        <w:tc>
          <w:tcPr>
            <w:tcW w:w="2298"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w:t>
            </w:r>
            <w:r w:rsidR="00022422">
              <w:rPr>
                <w:sz w:val="22"/>
                <w:szCs w:val="22"/>
                <w:lang w:val="el-GR"/>
              </w:rPr>
              <w:t> </w:t>
            </w:r>
            <w:r>
              <w:rPr>
                <w:sz w:val="22"/>
                <w:szCs w:val="22"/>
              </w:rPr>
              <w:t>1</w:t>
            </w:r>
            <w:r w:rsidR="00022422">
              <w:rPr>
                <w:sz w:val="22"/>
                <w:szCs w:val="22"/>
                <w:vertAlign w:val="superscript"/>
                <w:lang w:val="el-GR"/>
              </w:rPr>
              <w:t>δ</w:t>
            </w:r>
            <w:r w:rsidRPr="004F6B15">
              <w:rPr>
                <w:sz w:val="15"/>
                <w:szCs w:val="15"/>
                <w:vertAlign w:val="superscript"/>
              </w:rPr>
              <w:t xml:space="preserve"> </w:t>
            </w:r>
            <w:r w:rsidR="00162D5D" w:rsidRPr="00022422">
              <w:rPr>
                <w:sz w:val="22"/>
                <w:szCs w:val="22"/>
                <w:lang w:val="el-GR"/>
              </w:rPr>
              <w:t> </w:t>
            </w:r>
            <w:r>
              <w:rPr>
                <w:sz w:val="22"/>
                <w:szCs w:val="22"/>
              </w:rPr>
              <w:t xml:space="preserve">mg/l </w:t>
            </w:r>
          </w:p>
        </w:tc>
        <w:tc>
          <w:tcPr>
            <w:tcW w:w="3969"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&gt;</w:t>
            </w:r>
            <w:r w:rsidR="00022422">
              <w:rPr>
                <w:sz w:val="22"/>
                <w:szCs w:val="22"/>
                <w:lang w:val="el-GR"/>
              </w:rPr>
              <w:t> </w:t>
            </w:r>
            <w:r>
              <w:rPr>
                <w:sz w:val="22"/>
                <w:szCs w:val="22"/>
              </w:rPr>
              <w:t>2</w:t>
            </w:r>
            <w:r w:rsidR="00022422">
              <w:rPr>
                <w:sz w:val="22"/>
                <w:szCs w:val="22"/>
                <w:lang w:val="el-GR"/>
              </w:rPr>
              <w:t> </w:t>
            </w:r>
            <w:r>
              <w:rPr>
                <w:sz w:val="22"/>
                <w:szCs w:val="22"/>
              </w:rPr>
              <w:t>mg/l</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Default"/>
              <w:rPr>
                <w:rStyle w:val="FontStyle28"/>
                <w:i w:val="0"/>
                <w:iCs w:val="0"/>
                <w:sz w:val="22"/>
                <w:szCs w:val="22"/>
              </w:rPr>
            </w:pPr>
            <w:r w:rsidRPr="00C86F9C">
              <w:rPr>
                <w:bCs/>
                <w:i/>
                <w:sz w:val="22"/>
                <w:szCs w:val="22"/>
              </w:rPr>
              <w:t xml:space="preserve">Viridans group streptococci </w:t>
            </w:r>
          </w:p>
        </w:tc>
        <w:tc>
          <w:tcPr>
            <w:tcW w:w="2298"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w:t>
            </w:r>
            <w:r w:rsidR="00022422">
              <w:rPr>
                <w:sz w:val="22"/>
                <w:szCs w:val="22"/>
                <w:lang w:val="el-GR"/>
              </w:rPr>
              <w:t> </w:t>
            </w:r>
            <w:r>
              <w:rPr>
                <w:sz w:val="22"/>
                <w:szCs w:val="22"/>
              </w:rPr>
              <w:t>0</w:t>
            </w:r>
            <w:r w:rsidR="00022422">
              <w:rPr>
                <w:sz w:val="22"/>
                <w:szCs w:val="22"/>
                <w:lang w:val="el-GR"/>
              </w:rPr>
              <w:t>,</w:t>
            </w:r>
            <w:r>
              <w:rPr>
                <w:sz w:val="22"/>
                <w:szCs w:val="22"/>
              </w:rPr>
              <w:t>5</w:t>
            </w:r>
            <w:r w:rsidR="00022422">
              <w:rPr>
                <w:sz w:val="22"/>
                <w:szCs w:val="22"/>
                <w:lang w:val="el-GR"/>
              </w:rPr>
              <w:t> </w:t>
            </w:r>
            <w:r>
              <w:rPr>
                <w:sz w:val="22"/>
                <w:szCs w:val="22"/>
              </w:rPr>
              <w:t xml:space="preserve">mg/l </w:t>
            </w:r>
          </w:p>
        </w:tc>
        <w:tc>
          <w:tcPr>
            <w:tcW w:w="3969"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&gt;</w:t>
            </w:r>
            <w:r w:rsidR="00022422">
              <w:rPr>
                <w:sz w:val="22"/>
                <w:szCs w:val="22"/>
                <w:lang w:val="el-GR"/>
              </w:rPr>
              <w:t> </w:t>
            </w:r>
            <w:r>
              <w:rPr>
                <w:sz w:val="22"/>
                <w:szCs w:val="22"/>
              </w:rPr>
              <w:t>0</w:t>
            </w:r>
            <w:r w:rsidR="00022422">
              <w:rPr>
                <w:sz w:val="22"/>
                <w:szCs w:val="22"/>
                <w:lang w:val="el-GR"/>
              </w:rPr>
              <w:t>,</w:t>
            </w:r>
            <w:r>
              <w:rPr>
                <w:sz w:val="22"/>
                <w:szCs w:val="22"/>
              </w:rPr>
              <w:t>5</w:t>
            </w:r>
            <w:r w:rsidR="00022422">
              <w:rPr>
                <w:sz w:val="22"/>
                <w:szCs w:val="22"/>
                <w:lang w:val="el-GR"/>
              </w:rPr>
              <w:t> </w:t>
            </w:r>
            <w:r>
              <w:rPr>
                <w:sz w:val="22"/>
                <w:szCs w:val="22"/>
              </w:rPr>
              <w:t xml:space="preserve">mg/l </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Default"/>
              <w:rPr>
                <w:rStyle w:val="FontStyle28"/>
                <w:i w:val="0"/>
                <w:iCs w:val="0"/>
                <w:sz w:val="22"/>
                <w:szCs w:val="22"/>
              </w:rPr>
            </w:pPr>
            <w:r w:rsidRPr="00C86F9C">
              <w:rPr>
                <w:bCs/>
                <w:i/>
                <w:sz w:val="22"/>
                <w:szCs w:val="22"/>
              </w:rPr>
              <w:t xml:space="preserve">Haemophilus influenzae </w:t>
            </w:r>
          </w:p>
        </w:tc>
        <w:tc>
          <w:tcPr>
            <w:tcW w:w="2298"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w:t>
            </w:r>
            <w:r w:rsidR="00022422">
              <w:rPr>
                <w:sz w:val="22"/>
                <w:szCs w:val="22"/>
                <w:lang w:val="el-GR"/>
              </w:rPr>
              <w:t> </w:t>
            </w:r>
            <w:r>
              <w:rPr>
                <w:sz w:val="22"/>
                <w:szCs w:val="22"/>
              </w:rPr>
              <w:t>0</w:t>
            </w:r>
            <w:r w:rsidR="00022422">
              <w:rPr>
                <w:sz w:val="22"/>
                <w:szCs w:val="22"/>
                <w:lang w:val="el-GR"/>
              </w:rPr>
              <w:t>,</w:t>
            </w:r>
            <w:r>
              <w:rPr>
                <w:sz w:val="22"/>
                <w:szCs w:val="22"/>
              </w:rPr>
              <w:t>25</w:t>
            </w:r>
            <w:r w:rsidR="00022422">
              <w:rPr>
                <w:sz w:val="22"/>
                <w:szCs w:val="22"/>
                <w:vertAlign w:val="superscript"/>
                <w:lang w:val="el-GR"/>
              </w:rPr>
              <w:t>δ</w:t>
            </w:r>
            <w:r w:rsidR="00022422" w:rsidRPr="00022422">
              <w:rPr>
                <w:sz w:val="22"/>
                <w:szCs w:val="22"/>
                <w:lang w:val="el-GR"/>
              </w:rPr>
              <w:t> </w:t>
            </w:r>
            <w:r>
              <w:rPr>
                <w:sz w:val="22"/>
                <w:szCs w:val="22"/>
              </w:rPr>
              <w:t xml:space="preserve">mg/l </w:t>
            </w:r>
          </w:p>
        </w:tc>
        <w:tc>
          <w:tcPr>
            <w:tcW w:w="3969"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&gt;</w:t>
            </w:r>
            <w:r w:rsidR="00022422">
              <w:rPr>
                <w:sz w:val="22"/>
                <w:szCs w:val="22"/>
                <w:lang w:val="el-GR"/>
              </w:rPr>
              <w:t> </w:t>
            </w:r>
            <w:r>
              <w:rPr>
                <w:sz w:val="22"/>
                <w:szCs w:val="22"/>
              </w:rPr>
              <w:t>0</w:t>
            </w:r>
            <w:r w:rsidR="00022422">
              <w:rPr>
                <w:sz w:val="22"/>
                <w:szCs w:val="22"/>
                <w:lang w:val="el-GR"/>
              </w:rPr>
              <w:t>,</w:t>
            </w:r>
            <w:r>
              <w:rPr>
                <w:sz w:val="22"/>
                <w:szCs w:val="22"/>
              </w:rPr>
              <w:t>25</w:t>
            </w:r>
            <w:r w:rsidR="00022422">
              <w:rPr>
                <w:sz w:val="22"/>
                <w:szCs w:val="22"/>
                <w:lang w:val="el-GR"/>
              </w:rPr>
              <w:t> </w:t>
            </w:r>
            <w:r>
              <w:rPr>
                <w:sz w:val="22"/>
                <w:szCs w:val="22"/>
              </w:rPr>
              <w:t xml:space="preserve">mg/l </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C86F9C" w:rsidRDefault="00C86F9C" w:rsidP="00022422">
            <w:pPr>
              <w:pStyle w:val="Default"/>
              <w:rPr>
                <w:rStyle w:val="FontStyle30"/>
                <w:i/>
                <w:sz w:val="22"/>
                <w:szCs w:val="22"/>
              </w:rPr>
            </w:pPr>
            <w:r w:rsidRPr="00C86F9C">
              <w:rPr>
                <w:bCs/>
                <w:i/>
                <w:sz w:val="22"/>
                <w:szCs w:val="22"/>
              </w:rPr>
              <w:t xml:space="preserve">Moraxella catarrhalis </w:t>
            </w:r>
          </w:p>
        </w:tc>
        <w:tc>
          <w:tcPr>
            <w:tcW w:w="2298"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w:t>
            </w:r>
            <w:r w:rsidR="00022422">
              <w:rPr>
                <w:sz w:val="22"/>
                <w:szCs w:val="22"/>
                <w:lang w:val="el-GR"/>
              </w:rPr>
              <w:t> </w:t>
            </w:r>
            <w:r>
              <w:rPr>
                <w:sz w:val="22"/>
                <w:szCs w:val="22"/>
              </w:rPr>
              <w:t>4</w:t>
            </w:r>
            <w:r w:rsidR="00022422">
              <w:rPr>
                <w:sz w:val="22"/>
                <w:szCs w:val="22"/>
                <w:lang w:val="el-GR"/>
              </w:rPr>
              <w:t> </w:t>
            </w:r>
            <w:r>
              <w:rPr>
                <w:sz w:val="22"/>
                <w:szCs w:val="22"/>
              </w:rPr>
              <w:t>mg/l</w:t>
            </w:r>
          </w:p>
        </w:tc>
        <w:tc>
          <w:tcPr>
            <w:tcW w:w="3969"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&gt;</w:t>
            </w:r>
            <w:r w:rsidR="00022422">
              <w:rPr>
                <w:sz w:val="22"/>
                <w:szCs w:val="22"/>
                <w:lang w:val="el-GR"/>
              </w:rPr>
              <w:t> </w:t>
            </w:r>
            <w:r>
              <w:rPr>
                <w:sz w:val="22"/>
                <w:szCs w:val="22"/>
              </w:rPr>
              <w:t>4</w:t>
            </w:r>
            <w:r w:rsidR="00022422">
              <w:rPr>
                <w:sz w:val="22"/>
                <w:szCs w:val="22"/>
                <w:lang w:val="el-GR"/>
              </w:rPr>
              <w:t> </w:t>
            </w:r>
            <w:r>
              <w:rPr>
                <w:sz w:val="22"/>
                <w:szCs w:val="22"/>
              </w:rPr>
              <w:t xml:space="preserve">mg/l </w:t>
            </w:r>
          </w:p>
        </w:tc>
      </w:tr>
      <w:tr w:rsidR="00C86F9C" w:rsidRPr="0039594A" w:rsidTr="00162D5D">
        <w:tc>
          <w:tcPr>
            <w:tcW w:w="2947" w:type="dxa"/>
            <w:tcBorders>
              <w:top w:val="single" w:sz="6" w:space="0" w:color="auto"/>
              <w:left w:val="single" w:sz="6" w:space="0" w:color="auto"/>
              <w:bottom w:val="single" w:sz="6" w:space="0" w:color="auto"/>
              <w:right w:val="single" w:sz="6" w:space="0" w:color="auto"/>
            </w:tcBorders>
          </w:tcPr>
          <w:p w:rsidR="00C86F9C" w:rsidRPr="004F6B15" w:rsidRDefault="00C86F9C" w:rsidP="00C86F9C">
            <w:pPr>
              <w:pStyle w:val="Default"/>
              <w:rPr>
                <w:rStyle w:val="FontStyle30"/>
                <w:sz w:val="22"/>
                <w:szCs w:val="22"/>
              </w:rPr>
            </w:pPr>
            <w:r>
              <w:rPr>
                <w:bCs/>
                <w:i/>
                <w:iCs/>
                <w:sz w:val="22"/>
                <w:szCs w:val="22"/>
                <w:lang w:val="el-GR"/>
              </w:rPr>
              <w:t>Όρια ευαισθησίας μη σχετιζόμενα με είδη</w:t>
            </w:r>
          </w:p>
        </w:tc>
        <w:tc>
          <w:tcPr>
            <w:tcW w:w="2298"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w:t>
            </w:r>
            <w:r w:rsidR="00022422">
              <w:rPr>
                <w:sz w:val="22"/>
                <w:szCs w:val="22"/>
                <w:lang w:val="el-GR"/>
              </w:rPr>
              <w:t> </w:t>
            </w:r>
            <w:r>
              <w:rPr>
                <w:sz w:val="22"/>
                <w:szCs w:val="22"/>
              </w:rPr>
              <w:t>4</w:t>
            </w:r>
            <w:r w:rsidR="00022422">
              <w:rPr>
                <w:sz w:val="22"/>
                <w:szCs w:val="22"/>
                <w:lang w:val="el-GR"/>
              </w:rPr>
              <w:t> </w:t>
            </w:r>
            <w:r>
              <w:rPr>
                <w:sz w:val="22"/>
                <w:szCs w:val="22"/>
              </w:rPr>
              <w:t xml:space="preserve">mg/l </w:t>
            </w:r>
          </w:p>
        </w:tc>
        <w:tc>
          <w:tcPr>
            <w:tcW w:w="3969" w:type="dxa"/>
            <w:tcBorders>
              <w:top w:val="single" w:sz="6" w:space="0" w:color="auto"/>
              <w:left w:val="single" w:sz="6" w:space="0" w:color="auto"/>
              <w:bottom w:val="single" w:sz="6" w:space="0" w:color="auto"/>
              <w:right w:val="single" w:sz="6" w:space="0" w:color="auto"/>
            </w:tcBorders>
          </w:tcPr>
          <w:p w:rsidR="00C86F9C" w:rsidRPr="0039594A" w:rsidRDefault="00C86F9C" w:rsidP="00022422">
            <w:pPr>
              <w:pStyle w:val="Default"/>
              <w:jc w:val="center"/>
              <w:rPr>
                <w:rStyle w:val="FontStyle30"/>
                <w:sz w:val="22"/>
                <w:szCs w:val="22"/>
              </w:rPr>
            </w:pPr>
            <w:r>
              <w:rPr>
                <w:sz w:val="22"/>
                <w:szCs w:val="22"/>
              </w:rPr>
              <w:t>&gt;</w:t>
            </w:r>
            <w:r w:rsidR="00022422">
              <w:rPr>
                <w:sz w:val="22"/>
                <w:szCs w:val="22"/>
                <w:lang w:val="el-GR"/>
              </w:rPr>
              <w:t> </w:t>
            </w:r>
            <w:r>
              <w:rPr>
                <w:sz w:val="22"/>
                <w:szCs w:val="22"/>
              </w:rPr>
              <w:t>8</w:t>
            </w:r>
            <w:r w:rsidR="00022422" w:rsidRPr="00022422">
              <w:rPr>
                <w:sz w:val="22"/>
                <w:szCs w:val="22"/>
                <w:vertAlign w:val="superscript"/>
                <w:lang w:val="el-GR"/>
              </w:rPr>
              <w:t>ε</w:t>
            </w:r>
            <w:r w:rsidR="00022422" w:rsidRPr="00022422">
              <w:rPr>
                <w:sz w:val="22"/>
                <w:szCs w:val="22"/>
                <w:lang w:val="el-GR"/>
              </w:rPr>
              <w:t> </w:t>
            </w:r>
            <w:r>
              <w:rPr>
                <w:sz w:val="22"/>
                <w:szCs w:val="22"/>
              </w:rPr>
              <w:t>mg/l</w:t>
            </w:r>
          </w:p>
        </w:tc>
      </w:tr>
      <w:tr w:rsidR="00162D5D" w:rsidRPr="002232E5" w:rsidTr="00162D5D">
        <w:tc>
          <w:tcPr>
            <w:tcW w:w="9214" w:type="dxa"/>
            <w:gridSpan w:val="3"/>
            <w:tcBorders>
              <w:top w:val="single" w:sz="6" w:space="0" w:color="auto"/>
              <w:left w:val="single" w:sz="6" w:space="0" w:color="auto"/>
              <w:bottom w:val="single" w:sz="6" w:space="0" w:color="auto"/>
              <w:right w:val="single" w:sz="6" w:space="0" w:color="auto"/>
            </w:tcBorders>
          </w:tcPr>
          <w:p w:rsidR="00162D5D" w:rsidRDefault="002232E5" w:rsidP="002232E5">
            <w:pPr>
              <w:pStyle w:val="Default"/>
              <w:tabs>
                <w:tab w:val="left" w:pos="1094"/>
              </w:tabs>
              <w:ind w:left="527"/>
              <w:rPr>
                <w:color w:val="auto"/>
                <w:sz w:val="22"/>
                <w:szCs w:val="22"/>
                <w:lang w:val="el-GR" w:eastAsia="en-US"/>
              </w:rPr>
            </w:pPr>
            <w:r>
              <w:rPr>
                <w:sz w:val="22"/>
                <w:szCs w:val="22"/>
                <w:lang w:val="el-GR"/>
              </w:rPr>
              <w:t>α)</w:t>
            </w:r>
            <w:r>
              <w:rPr>
                <w:sz w:val="22"/>
                <w:szCs w:val="22"/>
                <w:lang w:val="el-GR"/>
              </w:rPr>
              <w:tab/>
              <w:t>Τα ό</w:t>
            </w:r>
            <w:r w:rsidRPr="002232E5">
              <w:rPr>
                <w:color w:val="auto"/>
                <w:sz w:val="22"/>
                <w:szCs w:val="22"/>
                <w:lang w:val="el-GR" w:eastAsia="en-US"/>
              </w:rPr>
              <w:t>ρια ευαισθησίας σχετίζονται με θεραπεία υψηλής δόσης</w:t>
            </w:r>
          </w:p>
          <w:p w:rsidR="002232E5" w:rsidRDefault="002232E5" w:rsidP="002232E5">
            <w:pPr>
              <w:pStyle w:val="Default"/>
              <w:tabs>
                <w:tab w:val="left" w:pos="1094"/>
              </w:tabs>
              <w:ind w:left="1094" w:hanging="567"/>
              <w:rPr>
                <w:color w:val="auto"/>
                <w:sz w:val="22"/>
                <w:szCs w:val="22"/>
                <w:lang w:val="el-GR" w:eastAsia="en-US"/>
              </w:rPr>
            </w:pPr>
            <w:r>
              <w:rPr>
                <w:color w:val="auto"/>
                <w:sz w:val="22"/>
                <w:szCs w:val="22"/>
                <w:lang w:val="el-GR" w:eastAsia="en-US"/>
              </w:rPr>
              <w:t>β)</w:t>
            </w:r>
            <w:r>
              <w:rPr>
                <w:color w:val="auto"/>
                <w:sz w:val="22"/>
                <w:szCs w:val="22"/>
                <w:lang w:val="el-GR" w:eastAsia="en-US"/>
              </w:rPr>
              <w:tab/>
              <w:t>Η ε</w:t>
            </w:r>
            <w:r w:rsidRPr="002232E5">
              <w:rPr>
                <w:color w:val="auto"/>
                <w:sz w:val="22"/>
                <w:szCs w:val="22"/>
                <w:lang w:val="el-GR" w:eastAsia="en-US"/>
              </w:rPr>
              <w:t>υαισθησία τ</w:t>
            </w:r>
            <w:r>
              <w:rPr>
                <w:color w:val="auto"/>
                <w:sz w:val="22"/>
                <w:szCs w:val="22"/>
                <w:lang w:val="el-GR" w:eastAsia="en-US"/>
              </w:rPr>
              <w:t>ων</w:t>
            </w:r>
            <w:r w:rsidRPr="002232E5">
              <w:rPr>
                <w:color w:val="auto"/>
                <w:sz w:val="22"/>
                <w:szCs w:val="22"/>
                <w:lang w:val="el-GR" w:eastAsia="en-US"/>
              </w:rPr>
              <w:t xml:space="preserve"> σταφυλόκοκκων στις κεφαλοσπορίνες συνάγεται από την ευαισθησία </w:t>
            </w:r>
            <w:r>
              <w:rPr>
                <w:color w:val="auto"/>
                <w:sz w:val="22"/>
                <w:szCs w:val="22"/>
                <w:lang w:val="el-GR" w:eastAsia="en-US"/>
              </w:rPr>
              <w:t xml:space="preserve">στην </w:t>
            </w:r>
            <w:r w:rsidRPr="002232E5">
              <w:rPr>
                <w:color w:val="auto"/>
                <w:sz w:val="22"/>
                <w:szCs w:val="22"/>
                <w:lang w:val="el-GR" w:eastAsia="en-US"/>
              </w:rPr>
              <w:t>κεφοξιτίνη</w:t>
            </w:r>
            <w:r>
              <w:rPr>
                <w:color w:val="auto"/>
                <w:sz w:val="22"/>
                <w:szCs w:val="22"/>
                <w:lang w:val="el-GR" w:eastAsia="en-US"/>
              </w:rPr>
              <w:t>,</w:t>
            </w:r>
            <w:r w:rsidRPr="002232E5">
              <w:rPr>
                <w:color w:val="auto"/>
                <w:sz w:val="22"/>
                <w:szCs w:val="22"/>
                <w:lang w:val="el-GR" w:eastAsia="en-US"/>
              </w:rPr>
              <w:t xml:space="preserve"> εκτός </w:t>
            </w:r>
            <w:r>
              <w:rPr>
                <w:color w:val="auto"/>
                <w:sz w:val="22"/>
                <w:szCs w:val="22"/>
                <w:lang w:val="el-GR" w:eastAsia="en-US"/>
              </w:rPr>
              <w:t>από</w:t>
            </w:r>
            <w:r w:rsidRPr="002232E5">
              <w:rPr>
                <w:color w:val="auto"/>
                <w:sz w:val="22"/>
                <w:szCs w:val="22"/>
                <w:lang w:val="el-GR" w:eastAsia="en-US"/>
              </w:rPr>
              <w:t xml:space="preserve"> </w:t>
            </w:r>
            <w:r>
              <w:rPr>
                <w:color w:val="auto"/>
                <w:sz w:val="22"/>
                <w:szCs w:val="22"/>
                <w:lang w:val="el-GR" w:eastAsia="en-US"/>
              </w:rPr>
              <w:t xml:space="preserve">την </w:t>
            </w:r>
            <w:r w:rsidRPr="002232E5">
              <w:rPr>
                <w:color w:val="auto"/>
                <w:sz w:val="22"/>
                <w:szCs w:val="22"/>
                <w:lang w:val="el-GR" w:eastAsia="en-US"/>
              </w:rPr>
              <w:t xml:space="preserve">κεφταζιδίμη, </w:t>
            </w:r>
            <w:r>
              <w:rPr>
                <w:color w:val="auto"/>
                <w:sz w:val="22"/>
                <w:szCs w:val="22"/>
                <w:lang w:val="el-GR" w:eastAsia="en-US"/>
              </w:rPr>
              <w:t>κεφιξίμη</w:t>
            </w:r>
            <w:r w:rsidRPr="002232E5">
              <w:rPr>
                <w:color w:val="auto"/>
                <w:sz w:val="22"/>
                <w:szCs w:val="22"/>
                <w:lang w:val="el-GR" w:eastAsia="en-US"/>
              </w:rPr>
              <w:t xml:space="preserve"> και κεφτιμπουτένη, </w:t>
            </w:r>
            <w:r>
              <w:rPr>
                <w:color w:val="auto"/>
                <w:sz w:val="22"/>
                <w:szCs w:val="22"/>
                <w:lang w:val="el-GR" w:eastAsia="en-US"/>
              </w:rPr>
              <w:t>οι</w:t>
            </w:r>
            <w:r w:rsidRPr="002232E5">
              <w:rPr>
                <w:color w:val="auto"/>
                <w:sz w:val="22"/>
                <w:szCs w:val="22"/>
                <w:lang w:val="el-GR" w:eastAsia="en-US"/>
              </w:rPr>
              <w:t xml:space="preserve"> οποί</w:t>
            </w:r>
            <w:r>
              <w:rPr>
                <w:color w:val="auto"/>
                <w:sz w:val="22"/>
                <w:szCs w:val="22"/>
                <w:lang w:val="el-GR" w:eastAsia="en-US"/>
              </w:rPr>
              <w:t>ες</w:t>
            </w:r>
            <w:r w:rsidRPr="002232E5">
              <w:rPr>
                <w:color w:val="auto"/>
                <w:sz w:val="22"/>
                <w:szCs w:val="22"/>
                <w:lang w:val="el-GR" w:eastAsia="en-US"/>
              </w:rPr>
              <w:t xml:space="preserve"> δεν έχουν </w:t>
            </w:r>
            <w:r>
              <w:rPr>
                <w:color w:val="auto"/>
                <w:sz w:val="22"/>
                <w:szCs w:val="22"/>
                <w:lang w:val="el-GR" w:eastAsia="en-US"/>
              </w:rPr>
              <w:t>όρια ευαισθησίας</w:t>
            </w:r>
            <w:r w:rsidRPr="002232E5">
              <w:rPr>
                <w:color w:val="auto"/>
                <w:sz w:val="22"/>
                <w:szCs w:val="22"/>
                <w:lang w:val="el-GR" w:eastAsia="en-US"/>
              </w:rPr>
              <w:t xml:space="preserve"> και δεν πρέπει να χρησιμοποιούνται για σταφυλοκοκκικές λοιμώξεις. </w:t>
            </w:r>
            <w:r>
              <w:rPr>
                <w:color w:val="auto"/>
                <w:sz w:val="22"/>
                <w:szCs w:val="22"/>
                <w:lang w:val="el-GR" w:eastAsia="en-US"/>
              </w:rPr>
              <w:t>Ορισμέν</w:t>
            </w:r>
            <w:r w:rsidR="00663156">
              <w:rPr>
                <w:color w:val="auto"/>
                <w:sz w:val="22"/>
                <w:szCs w:val="22"/>
                <w:lang w:val="el-GR" w:eastAsia="en-US"/>
              </w:rPr>
              <w:t>οι</w:t>
            </w:r>
            <w:r w:rsidRPr="002232E5">
              <w:rPr>
                <w:color w:val="auto"/>
                <w:sz w:val="22"/>
                <w:szCs w:val="22"/>
                <w:lang w:val="el-GR" w:eastAsia="en-US"/>
              </w:rPr>
              <w:t xml:space="preserve"> ανθεκτικ</w:t>
            </w:r>
            <w:r w:rsidR="00663156">
              <w:rPr>
                <w:color w:val="auto"/>
                <w:sz w:val="22"/>
                <w:szCs w:val="22"/>
                <w:lang w:val="el-GR" w:eastAsia="en-US"/>
              </w:rPr>
              <w:t>οί</w:t>
            </w:r>
            <w:r w:rsidRPr="002232E5">
              <w:rPr>
                <w:color w:val="auto"/>
                <w:sz w:val="22"/>
                <w:szCs w:val="22"/>
                <w:lang w:val="el-GR" w:eastAsia="en-US"/>
              </w:rPr>
              <w:t xml:space="preserve"> στη μεθικιλλίνη </w:t>
            </w:r>
            <w:r w:rsidRPr="002232E5">
              <w:rPr>
                <w:i/>
                <w:color w:val="auto"/>
                <w:sz w:val="22"/>
                <w:szCs w:val="22"/>
                <w:lang w:val="el-GR" w:eastAsia="en-US"/>
              </w:rPr>
              <w:t>S. aureus</w:t>
            </w:r>
            <w:r w:rsidRPr="002232E5">
              <w:rPr>
                <w:color w:val="auto"/>
                <w:sz w:val="22"/>
                <w:szCs w:val="22"/>
                <w:lang w:val="el-GR" w:eastAsia="en-US"/>
              </w:rPr>
              <w:t xml:space="preserve"> είναι ευαίσθητ</w:t>
            </w:r>
            <w:r w:rsidR="00663156">
              <w:rPr>
                <w:color w:val="auto"/>
                <w:sz w:val="22"/>
                <w:szCs w:val="22"/>
                <w:lang w:val="el-GR" w:eastAsia="en-US"/>
              </w:rPr>
              <w:t>οι</w:t>
            </w:r>
            <w:r w:rsidRPr="002232E5">
              <w:rPr>
                <w:color w:val="auto"/>
                <w:sz w:val="22"/>
                <w:szCs w:val="22"/>
                <w:lang w:val="el-GR" w:eastAsia="en-US"/>
              </w:rPr>
              <w:t xml:space="preserve"> σε κεφταρολίνη και </w:t>
            </w:r>
            <w:r w:rsidR="00663156" w:rsidRPr="00663156">
              <w:rPr>
                <w:color w:val="auto"/>
                <w:sz w:val="22"/>
                <w:szCs w:val="22"/>
                <w:lang w:val="el-GR" w:eastAsia="en-US"/>
              </w:rPr>
              <w:t>κεφτομπιπρόλη</w:t>
            </w:r>
            <w:r w:rsidR="00663156">
              <w:rPr>
                <w:color w:val="auto"/>
                <w:sz w:val="22"/>
                <w:szCs w:val="22"/>
                <w:lang w:val="el-GR" w:eastAsia="en-US"/>
              </w:rPr>
              <w:t>.</w:t>
            </w:r>
          </w:p>
          <w:p w:rsidR="00663156" w:rsidRDefault="00663156" w:rsidP="002232E5">
            <w:pPr>
              <w:pStyle w:val="Default"/>
              <w:tabs>
                <w:tab w:val="left" w:pos="1094"/>
              </w:tabs>
              <w:ind w:left="1094" w:hanging="567"/>
              <w:rPr>
                <w:color w:val="auto"/>
                <w:lang w:val="el-GR" w:eastAsia="en-US"/>
              </w:rPr>
            </w:pPr>
            <w:r>
              <w:rPr>
                <w:color w:val="auto"/>
                <w:sz w:val="22"/>
                <w:szCs w:val="22"/>
                <w:lang w:val="el-GR" w:eastAsia="en-US"/>
              </w:rPr>
              <w:t>γ)</w:t>
            </w:r>
            <w:r>
              <w:rPr>
                <w:color w:val="auto"/>
                <w:sz w:val="22"/>
                <w:szCs w:val="22"/>
                <w:lang w:val="el-GR" w:eastAsia="en-US"/>
              </w:rPr>
              <w:tab/>
            </w:r>
            <w:r w:rsidRPr="00663156">
              <w:rPr>
                <w:color w:val="auto"/>
                <w:lang w:val="el-GR" w:eastAsia="en-US"/>
              </w:rPr>
              <w:t>Η ευαισθησία</w:t>
            </w:r>
            <w:r w:rsidRPr="00663156">
              <w:rPr>
                <w:color w:val="auto"/>
                <w:sz w:val="22"/>
                <w:szCs w:val="22"/>
                <w:lang w:val="el-GR" w:eastAsia="en-US"/>
              </w:rPr>
              <w:t xml:space="preserve"> </w:t>
            </w:r>
            <w:r w:rsidRPr="00663156">
              <w:rPr>
                <w:color w:val="auto"/>
                <w:lang w:val="el-GR" w:eastAsia="en-US"/>
              </w:rPr>
              <w:t>των</w:t>
            </w:r>
            <w:r w:rsidRPr="00663156">
              <w:rPr>
                <w:color w:val="auto"/>
                <w:sz w:val="22"/>
                <w:szCs w:val="22"/>
                <w:lang w:val="el-GR" w:eastAsia="en-US"/>
              </w:rPr>
              <w:t xml:space="preserve"> </w:t>
            </w:r>
            <w:r w:rsidRPr="00663156">
              <w:rPr>
                <w:color w:val="auto"/>
                <w:lang w:val="el-GR" w:eastAsia="en-US"/>
              </w:rPr>
              <w:t>ομάδων</w:t>
            </w:r>
            <w:r w:rsidRPr="00663156">
              <w:rPr>
                <w:color w:val="auto"/>
                <w:sz w:val="22"/>
                <w:szCs w:val="22"/>
                <w:lang w:val="el-GR" w:eastAsia="en-US"/>
              </w:rPr>
              <w:t xml:space="preserve"> </w:t>
            </w:r>
            <w:r w:rsidRPr="00663156">
              <w:rPr>
                <w:color w:val="auto"/>
                <w:lang w:val="el-GR" w:eastAsia="en-US"/>
              </w:rPr>
              <w:t>στρεπτόκοκκου</w:t>
            </w:r>
            <w:r w:rsidRPr="00663156">
              <w:rPr>
                <w:color w:val="auto"/>
                <w:sz w:val="22"/>
                <w:szCs w:val="22"/>
                <w:lang w:val="el-GR" w:eastAsia="en-US"/>
              </w:rPr>
              <w:t xml:space="preserve"> </w:t>
            </w:r>
            <w:r w:rsidRPr="00663156">
              <w:rPr>
                <w:color w:val="auto"/>
                <w:lang w:val="el-GR" w:eastAsia="en-US"/>
              </w:rPr>
              <w:t>Α</w:t>
            </w:r>
            <w:r w:rsidRPr="00663156">
              <w:rPr>
                <w:color w:val="auto"/>
                <w:sz w:val="22"/>
                <w:szCs w:val="22"/>
                <w:lang w:val="el-GR" w:eastAsia="en-US"/>
              </w:rPr>
              <w:t xml:space="preserve">, </w:t>
            </w:r>
            <w:r w:rsidRPr="00663156">
              <w:rPr>
                <w:color w:val="auto"/>
                <w:lang w:val="el-GR" w:eastAsia="en-US"/>
              </w:rPr>
              <w:t>Β</w:t>
            </w:r>
            <w:r w:rsidRPr="00663156">
              <w:rPr>
                <w:color w:val="auto"/>
                <w:sz w:val="22"/>
                <w:szCs w:val="22"/>
                <w:lang w:val="el-GR" w:eastAsia="en-US"/>
              </w:rPr>
              <w:t xml:space="preserve">, </w:t>
            </w:r>
            <w:r w:rsidRPr="00663156">
              <w:rPr>
                <w:color w:val="auto"/>
                <w:lang w:val="el-GR" w:eastAsia="en-US"/>
              </w:rPr>
              <w:t>C και</w:t>
            </w:r>
            <w:r w:rsidRPr="00663156">
              <w:rPr>
                <w:color w:val="auto"/>
                <w:sz w:val="22"/>
                <w:szCs w:val="22"/>
                <w:lang w:val="el-GR" w:eastAsia="en-US"/>
              </w:rPr>
              <w:t xml:space="preserve"> </w:t>
            </w:r>
            <w:r w:rsidRPr="00663156">
              <w:rPr>
                <w:color w:val="auto"/>
                <w:lang w:val="el-GR" w:eastAsia="en-US"/>
              </w:rPr>
              <w:t>G</w:t>
            </w:r>
            <w:r w:rsidRPr="00663156">
              <w:rPr>
                <w:color w:val="auto"/>
                <w:sz w:val="22"/>
                <w:szCs w:val="22"/>
                <w:lang w:val="el-GR" w:eastAsia="en-US"/>
              </w:rPr>
              <w:t xml:space="preserve"> </w:t>
            </w:r>
            <w:r w:rsidRPr="00663156">
              <w:rPr>
                <w:color w:val="auto"/>
                <w:lang w:val="el-GR" w:eastAsia="en-US"/>
              </w:rPr>
              <w:t>στις κεφαλοσπορίνες</w:t>
            </w:r>
            <w:r w:rsidRPr="00663156">
              <w:rPr>
                <w:color w:val="auto"/>
                <w:sz w:val="22"/>
                <w:szCs w:val="22"/>
                <w:lang w:val="el-GR" w:eastAsia="en-US"/>
              </w:rPr>
              <w:t xml:space="preserve"> </w:t>
            </w:r>
            <w:r w:rsidRPr="00663156">
              <w:rPr>
                <w:color w:val="auto"/>
                <w:lang w:val="el-GR" w:eastAsia="en-US"/>
              </w:rPr>
              <w:t>συνάγεται από</w:t>
            </w:r>
            <w:r w:rsidRPr="00663156">
              <w:rPr>
                <w:color w:val="auto"/>
                <w:sz w:val="22"/>
                <w:szCs w:val="22"/>
                <w:lang w:val="el-GR" w:eastAsia="en-US"/>
              </w:rPr>
              <w:t xml:space="preserve"> </w:t>
            </w:r>
            <w:r w:rsidRPr="00663156">
              <w:rPr>
                <w:color w:val="auto"/>
                <w:lang w:val="el-GR" w:eastAsia="en-US"/>
              </w:rPr>
              <w:t>την ευαισθησία</w:t>
            </w:r>
            <w:r w:rsidRPr="00663156">
              <w:rPr>
                <w:color w:val="auto"/>
                <w:sz w:val="22"/>
                <w:szCs w:val="22"/>
                <w:lang w:val="el-GR" w:eastAsia="en-US"/>
              </w:rPr>
              <w:t xml:space="preserve"> </w:t>
            </w:r>
            <w:r w:rsidRPr="00663156">
              <w:rPr>
                <w:color w:val="auto"/>
                <w:lang w:val="el-GR" w:eastAsia="en-US"/>
              </w:rPr>
              <w:t>βενζυλοπενικιλ</w:t>
            </w:r>
            <w:r>
              <w:rPr>
                <w:color w:val="auto"/>
                <w:lang w:val="el-GR" w:eastAsia="en-US"/>
              </w:rPr>
              <w:t>λ</w:t>
            </w:r>
            <w:r w:rsidRPr="00663156">
              <w:rPr>
                <w:color w:val="auto"/>
                <w:lang w:val="el-GR" w:eastAsia="en-US"/>
              </w:rPr>
              <w:t>ίνη</w:t>
            </w:r>
            <w:r>
              <w:rPr>
                <w:color w:val="auto"/>
                <w:lang w:val="el-GR" w:eastAsia="en-US"/>
              </w:rPr>
              <w:t>.</w:t>
            </w:r>
          </w:p>
          <w:p w:rsidR="00663156" w:rsidRDefault="00663156" w:rsidP="002232E5">
            <w:pPr>
              <w:pStyle w:val="Default"/>
              <w:tabs>
                <w:tab w:val="left" w:pos="1094"/>
              </w:tabs>
              <w:ind w:left="1094" w:hanging="567"/>
              <w:rPr>
                <w:color w:val="auto"/>
                <w:lang w:val="el-GR" w:eastAsia="en-US"/>
              </w:rPr>
            </w:pPr>
            <w:r>
              <w:rPr>
                <w:color w:val="auto"/>
                <w:sz w:val="22"/>
                <w:szCs w:val="22"/>
                <w:lang w:val="el-GR" w:eastAsia="en-US"/>
              </w:rPr>
              <w:t>δ)</w:t>
            </w:r>
            <w:r>
              <w:rPr>
                <w:color w:val="auto"/>
                <w:sz w:val="22"/>
                <w:szCs w:val="22"/>
                <w:lang w:val="el-GR" w:eastAsia="en-US"/>
              </w:rPr>
              <w:tab/>
              <w:t>Α</w:t>
            </w:r>
            <w:r w:rsidRPr="00663156">
              <w:rPr>
                <w:color w:val="auto"/>
                <w:sz w:val="22"/>
                <w:szCs w:val="22"/>
                <w:lang w:val="el-GR" w:eastAsia="en-US"/>
              </w:rPr>
              <w:t>πομον</w:t>
            </w:r>
            <w:r>
              <w:rPr>
                <w:color w:val="auto"/>
                <w:sz w:val="22"/>
                <w:szCs w:val="22"/>
                <w:lang w:val="el-GR" w:eastAsia="en-US"/>
              </w:rPr>
              <w:t>ωμένα</w:t>
            </w:r>
            <w:r w:rsidRPr="00663156">
              <w:rPr>
                <w:color w:val="auto"/>
                <w:sz w:val="22"/>
                <w:szCs w:val="22"/>
                <w:lang w:val="el-GR" w:eastAsia="en-US"/>
              </w:rPr>
              <w:t xml:space="preserve"> </w:t>
            </w:r>
            <w:r>
              <w:rPr>
                <w:color w:val="auto"/>
                <w:sz w:val="22"/>
                <w:szCs w:val="22"/>
                <w:lang w:val="el-GR" w:eastAsia="en-US"/>
              </w:rPr>
              <w:t xml:space="preserve">στελέχη </w:t>
            </w:r>
            <w:r w:rsidRPr="00663156">
              <w:rPr>
                <w:color w:val="auto"/>
                <w:lang w:val="el-GR" w:eastAsia="en-US"/>
              </w:rPr>
              <w:t>με τιμές</w:t>
            </w:r>
            <w:r w:rsidRPr="00663156">
              <w:rPr>
                <w:color w:val="auto"/>
                <w:sz w:val="22"/>
                <w:szCs w:val="22"/>
                <w:lang w:val="el-GR" w:eastAsia="en-US"/>
              </w:rPr>
              <w:t xml:space="preserve"> </w:t>
            </w:r>
            <w:r w:rsidR="00DD6469">
              <w:t>ελάχιστη</w:t>
            </w:r>
            <w:r w:rsidR="00DD6469">
              <w:rPr>
                <w:lang w:val="el-GR"/>
              </w:rPr>
              <w:t>ς</w:t>
            </w:r>
            <w:r w:rsidR="00DD6469">
              <w:t xml:space="preserve"> ανασταλτική</w:t>
            </w:r>
            <w:r w:rsidR="00DD6469">
              <w:rPr>
                <w:lang w:val="el-GR"/>
              </w:rPr>
              <w:t>ς</w:t>
            </w:r>
            <w:r w:rsidR="00DD6469">
              <w:t xml:space="preserve"> συγκέντρωση</w:t>
            </w:r>
            <w:r w:rsidR="00DD6469">
              <w:rPr>
                <w:lang w:val="el-GR"/>
              </w:rPr>
              <w:t>ς</w:t>
            </w:r>
            <w:r w:rsidR="00DD6469" w:rsidRPr="00663156">
              <w:rPr>
                <w:color w:val="auto"/>
                <w:lang w:val="el-GR" w:eastAsia="en-US"/>
              </w:rPr>
              <w:t xml:space="preserve"> </w:t>
            </w:r>
            <w:r w:rsidR="00DD6469">
              <w:rPr>
                <w:color w:val="auto"/>
                <w:lang w:val="el-GR" w:eastAsia="en-US"/>
              </w:rPr>
              <w:t>(</w:t>
            </w:r>
            <w:r w:rsidRPr="00663156">
              <w:rPr>
                <w:color w:val="auto"/>
                <w:lang w:val="el-GR" w:eastAsia="en-US"/>
              </w:rPr>
              <w:t>MIC</w:t>
            </w:r>
            <w:r w:rsidR="00DD6469">
              <w:rPr>
                <w:color w:val="auto"/>
                <w:lang w:val="el-GR" w:eastAsia="en-US"/>
              </w:rPr>
              <w:t>)</w:t>
            </w:r>
            <w:r w:rsidRPr="00663156">
              <w:rPr>
                <w:color w:val="auto"/>
                <w:sz w:val="22"/>
                <w:szCs w:val="22"/>
                <w:lang w:val="el-GR" w:eastAsia="en-US"/>
              </w:rPr>
              <w:t xml:space="preserve"> </w:t>
            </w:r>
            <w:r w:rsidRPr="00663156">
              <w:rPr>
                <w:color w:val="auto"/>
                <w:lang w:val="el-GR" w:eastAsia="en-US"/>
              </w:rPr>
              <w:t>πάνω από το</w:t>
            </w:r>
            <w:r w:rsidRPr="00663156">
              <w:rPr>
                <w:color w:val="auto"/>
                <w:sz w:val="22"/>
                <w:szCs w:val="22"/>
                <w:lang w:val="el-GR" w:eastAsia="en-US"/>
              </w:rPr>
              <w:t xml:space="preserve"> </w:t>
            </w:r>
            <w:r>
              <w:rPr>
                <w:color w:val="auto"/>
                <w:lang w:val="el-GR" w:eastAsia="en-US"/>
              </w:rPr>
              <w:t xml:space="preserve">όριο ευαισθησίας </w:t>
            </w:r>
            <w:r w:rsidRPr="00663156">
              <w:rPr>
                <w:color w:val="auto"/>
                <w:lang w:val="el-GR" w:eastAsia="en-US"/>
              </w:rPr>
              <w:t>είναι πολύ</w:t>
            </w:r>
            <w:r w:rsidRPr="00663156">
              <w:rPr>
                <w:color w:val="auto"/>
                <w:sz w:val="22"/>
                <w:szCs w:val="22"/>
                <w:lang w:val="el-GR" w:eastAsia="en-US"/>
              </w:rPr>
              <w:t xml:space="preserve"> </w:t>
            </w:r>
            <w:r w:rsidRPr="00663156">
              <w:rPr>
                <w:color w:val="auto"/>
                <w:lang w:val="el-GR" w:eastAsia="en-US"/>
              </w:rPr>
              <w:t>σπάνια ή</w:t>
            </w:r>
            <w:r w:rsidRPr="00663156">
              <w:rPr>
                <w:color w:val="auto"/>
                <w:sz w:val="22"/>
                <w:szCs w:val="22"/>
                <w:lang w:val="el-GR" w:eastAsia="en-US"/>
              </w:rPr>
              <w:t xml:space="preserve"> </w:t>
            </w:r>
            <w:r w:rsidRPr="00663156">
              <w:rPr>
                <w:color w:val="auto"/>
                <w:lang w:val="el-GR" w:eastAsia="en-US"/>
              </w:rPr>
              <w:t>δεν έχουν ακόμη αναφερθεί</w:t>
            </w:r>
            <w:r w:rsidRPr="00663156">
              <w:rPr>
                <w:color w:val="auto"/>
                <w:sz w:val="22"/>
                <w:szCs w:val="22"/>
                <w:lang w:val="el-GR" w:eastAsia="en-US"/>
              </w:rPr>
              <w:t xml:space="preserve">. </w:t>
            </w:r>
            <w:r w:rsidRPr="00663156">
              <w:rPr>
                <w:color w:val="auto"/>
                <w:lang w:val="el-GR" w:eastAsia="en-US"/>
              </w:rPr>
              <w:t>Οι</w:t>
            </w:r>
            <w:r w:rsidRPr="00663156">
              <w:rPr>
                <w:color w:val="auto"/>
                <w:sz w:val="22"/>
                <w:szCs w:val="22"/>
                <w:lang w:val="el-GR" w:eastAsia="en-US"/>
              </w:rPr>
              <w:t xml:space="preserve"> </w:t>
            </w:r>
            <w:r w:rsidR="005526B2">
              <w:rPr>
                <w:color w:val="auto"/>
                <w:lang w:val="el-GR" w:eastAsia="en-US"/>
              </w:rPr>
              <w:t>δοκιμασίες</w:t>
            </w:r>
            <w:r w:rsidRPr="00663156">
              <w:rPr>
                <w:color w:val="auto"/>
                <w:lang w:val="el-GR" w:eastAsia="en-US"/>
              </w:rPr>
              <w:t>ς ταυτοποίησης</w:t>
            </w:r>
            <w:r w:rsidRPr="00663156">
              <w:rPr>
                <w:color w:val="auto"/>
                <w:sz w:val="22"/>
                <w:szCs w:val="22"/>
                <w:lang w:val="el-GR" w:eastAsia="en-US"/>
              </w:rPr>
              <w:t xml:space="preserve"> </w:t>
            </w:r>
            <w:r w:rsidRPr="00663156">
              <w:rPr>
                <w:color w:val="auto"/>
                <w:lang w:val="el-GR" w:eastAsia="en-US"/>
              </w:rPr>
              <w:t>και</w:t>
            </w:r>
            <w:r w:rsidRPr="00663156">
              <w:rPr>
                <w:color w:val="auto"/>
                <w:sz w:val="22"/>
                <w:szCs w:val="22"/>
                <w:lang w:val="el-GR" w:eastAsia="en-US"/>
              </w:rPr>
              <w:t xml:space="preserve"> </w:t>
            </w:r>
            <w:r w:rsidRPr="00663156">
              <w:rPr>
                <w:color w:val="auto"/>
                <w:lang w:val="el-GR" w:eastAsia="en-US"/>
              </w:rPr>
              <w:t>αντιμικροβιακής</w:t>
            </w:r>
            <w:r w:rsidRPr="00663156">
              <w:rPr>
                <w:color w:val="auto"/>
                <w:sz w:val="22"/>
                <w:szCs w:val="22"/>
                <w:lang w:val="el-GR" w:eastAsia="en-US"/>
              </w:rPr>
              <w:t xml:space="preserve"> </w:t>
            </w:r>
            <w:r w:rsidRPr="00663156">
              <w:rPr>
                <w:color w:val="auto"/>
                <w:lang w:val="el-GR" w:eastAsia="en-US"/>
              </w:rPr>
              <w:t>ευαισθησίας σε τέτοια</w:t>
            </w:r>
            <w:r w:rsidRPr="00663156">
              <w:rPr>
                <w:color w:val="auto"/>
                <w:sz w:val="22"/>
                <w:szCs w:val="22"/>
                <w:lang w:val="el-GR" w:eastAsia="en-US"/>
              </w:rPr>
              <w:t xml:space="preserve"> </w:t>
            </w:r>
            <w:r w:rsidRPr="00663156">
              <w:rPr>
                <w:color w:val="auto"/>
                <w:lang w:val="el-GR" w:eastAsia="en-US"/>
              </w:rPr>
              <w:t>απομονωμένα στελέχη πρέπει</w:t>
            </w:r>
            <w:r w:rsidRPr="00663156">
              <w:rPr>
                <w:color w:val="auto"/>
                <w:sz w:val="22"/>
                <w:szCs w:val="22"/>
                <w:lang w:val="el-GR" w:eastAsia="en-US"/>
              </w:rPr>
              <w:t xml:space="preserve"> </w:t>
            </w:r>
            <w:r w:rsidRPr="00663156">
              <w:rPr>
                <w:color w:val="auto"/>
                <w:lang w:val="el-GR" w:eastAsia="en-US"/>
              </w:rPr>
              <w:t>να επαναλαμβάνονται και</w:t>
            </w:r>
            <w:r w:rsidR="005526B2">
              <w:rPr>
                <w:color w:val="auto"/>
                <w:lang w:val="el-GR" w:eastAsia="en-US"/>
              </w:rPr>
              <w:t>,</w:t>
            </w:r>
            <w:r w:rsidRPr="00663156">
              <w:rPr>
                <w:color w:val="auto"/>
                <w:sz w:val="22"/>
                <w:szCs w:val="22"/>
                <w:lang w:val="el-GR" w:eastAsia="en-US"/>
              </w:rPr>
              <w:t xml:space="preserve"> </w:t>
            </w:r>
            <w:r w:rsidRPr="00663156">
              <w:rPr>
                <w:color w:val="auto"/>
                <w:lang w:val="el-GR" w:eastAsia="en-US"/>
              </w:rPr>
              <w:t>εάν το αποτέλεσμα</w:t>
            </w:r>
            <w:r w:rsidRPr="00663156">
              <w:rPr>
                <w:color w:val="auto"/>
                <w:sz w:val="22"/>
                <w:szCs w:val="22"/>
                <w:lang w:val="el-GR" w:eastAsia="en-US"/>
              </w:rPr>
              <w:t xml:space="preserve"> </w:t>
            </w:r>
            <w:r w:rsidRPr="00663156">
              <w:rPr>
                <w:color w:val="auto"/>
                <w:lang w:val="el-GR" w:eastAsia="en-US"/>
              </w:rPr>
              <w:t>επ</w:t>
            </w:r>
            <w:r w:rsidR="005526B2">
              <w:rPr>
                <w:color w:val="auto"/>
                <w:lang w:val="el-GR" w:eastAsia="en-US"/>
              </w:rPr>
              <w:t>αληθεύεται,</w:t>
            </w:r>
            <w:r w:rsidRPr="00663156">
              <w:rPr>
                <w:color w:val="auto"/>
                <w:lang w:val="el-GR" w:eastAsia="en-US"/>
              </w:rPr>
              <w:t xml:space="preserve"> το στέλεχος</w:t>
            </w:r>
            <w:r w:rsidRPr="00663156">
              <w:rPr>
                <w:color w:val="auto"/>
                <w:sz w:val="22"/>
                <w:szCs w:val="22"/>
                <w:lang w:val="el-GR" w:eastAsia="en-US"/>
              </w:rPr>
              <w:t xml:space="preserve"> </w:t>
            </w:r>
            <w:r w:rsidR="005526B2">
              <w:rPr>
                <w:color w:val="auto"/>
                <w:sz w:val="22"/>
                <w:szCs w:val="22"/>
                <w:lang w:val="el-GR" w:eastAsia="en-US"/>
              </w:rPr>
              <w:t xml:space="preserve">να </w:t>
            </w:r>
            <w:r w:rsidRPr="00663156">
              <w:rPr>
                <w:color w:val="auto"/>
                <w:lang w:val="el-GR" w:eastAsia="en-US"/>
              </w:rPr>
              <w:t>αποστέλλεται</w:t>
            </w:r>
            <w:r w:rsidRPr="00663156">
              <w:rPr>
                <w:color w:val="auto"/>
                <w:sz w:val="22"/>
                <w:szCs w:val="22"/>
                <w:lang w:val="el-GR" w:eastAsia="en-US"/>
              </w:rPr>
              <w:t xml:space="preserve"> </w:t>
            </w:r>
            <w:r w:rsidRPr="00663156">
              <w:rPr>
                <w:color w:val="auto"/>
                <w:lang w:val="el-GR" w:eastAsia="en-US"/>
              </w:rPr>
              <w:t>σε εργαστήριο αναφοράς</w:t>
            </w:r>
            <w:r w:rsidRPr="00663156">
              <w:rPr>
                <w:color w:val="auto"/>
                <w:sz w:val="22"/>
                <w:szCs w:val="22"/>
                <w:lang w:val="el-GR" w:eastAsia="en-US"/>
              </w:rPr>
              <w:t xml:space="preserve">. </w:t>
            </w:r>
            <w:r w:rsidRPr="00663156">
              <w:rPr>
                <w:color w:val="auto"/>
                <w:lang w:val="el-GR" w:eastAsia="en-US"/>
              </w:rPr>
              <w:t>Μέχρι να</w:t>
            </w:r>
            <w:r w:rsidRPr="00663156">
              <w:rPr>
                <w:color w:val="auto"/>
                <w:sz w:val="22"/>
                <w:szCs w:val="22"/>
                <w:lang w:val="el-GR" w:eastAsia="en-US"/>
              </w:rPr>
              <w:t xml:space="preserve"> </w:t>
            </w:r>
            <w:r w:rsidRPr="00663156">
              <w:rPr>
                <w:color w:val="auto"/>
                <w:lang w:val="el-GR" w:eastAsia="en-US"/>
              </w:rPr>
              <w:t>υπάρξει απόδειξη σχετικά με</w:t>
            </w:r>
            <w:r w:rsidRPr="00663156">
              <w:rPr>
                <w:color w:val="auto"/>
                <w:sz w:val="22"/>
                <w:szCs w:val="22"/>
                <w:lang w:val="el-GR" w:eastAsia="en-US"/>
              </w:rPr>
              <w:t xml:space="preserve"> </w:t>
            </w:r>
            <w:r w:rsidRPr="00663156">
              <w:rPr>
                <w:color w:val="auto"/>
                <w:lang w:val="el-GR" w:eastAsia="en-US"/>
              </w:rPr>
              <w:t>την κλινική ανταπόκριση</w:t>
            </w:r>
            <w:r w:rsidRPr="00663156">
              <w:rPr>
                <w:color w:val="auto"/>
                <w:sz w:val="22"/>
                <w:szCs w:val="22"/>
                <w:lang w:val="el-GR" w:eastAsia="en-US"/>
              </w:rPr>
              <w:t xml:space="preserve"> </w:t>
            </w:r>
            <w:r w:rsidRPr="00663156">
              <w:rPr>
                <w:color w:val="auto"/>
                <w:lang w:val="el-GR" w:eastAsia="en-US"/>
              </w:rPr>
              <w:t>για</w:t>
            </w:r>
            <w:r w:rsidRPr="00663156">
              <w:rPr>
                <w:color w:val="auto"/>
                <w:sz w:val="22"/>
                <w:szCs w:val="22"/>
                <w:lang w:val="el-GR" w:eastAsia="en-US"/>
              </w:rPr>
              <w:t xml:space="preserve"> </w:t>
            </w:r>
            <w:r w:rsidRPr="00663156">
              <w:rPr>
                <w:color w:val="auto"/>
                <w:lang w:val="el-GR" w:eastAsia="en-US"/>
              </w:rPr>
              <w:t>επιβεβαιωμένα στελέχη</w:t>
            </w:r>
            <w:r w:rsidRPr="00663156">
              <w:rPr>
                <w:color w:val="auto"/>
                <w:sz w:val="22"/>
                <w:szCs w:val="22"/>
                <w:lang w:val="el-GR" w:eastAsia="en-US"/>
              </w:rPr>
              <w:t xml:space="preserve"> </w:t>
            </w:r>
            <w:r w:rsidRPr="00663156">
              <w:rPr>
                <w:color w:val="auto"/>
                <w:lang w:val="el-GR" w:eastAsia="en-US"/>
              </w:rPr>
              <w:t>με</w:t>
            </w:r>
            <w:r w:rsidRPr="00663156">
              <w:rPr>
                <w:color w:val="auto"/>
                <w:sz w:val="22"/>
                <w:szCs w:val="22"/>
                <w:lang w:val="el-GR" w:eastAsia="en-US"/>
              </w:rPr>
              <w:t xml:space="preserve"> </w:t>
            </w:r>
            <w:r w:rsidRPr="00663156">
              <w:rPr>
                <w:color w:val="auto"/>
                <w:lang w:val="el-GR" w:eastAsia="en-US"/>
              </w:rPr>
              <w:t xml:space="preserve">τιμές </w:t>
            </w:r>
            <w:r w:rsidR="005526B2" w:rsidRPr="00663156">
              <w:rPr>
                <w:color w:val="auto"/>
                <w:lang w:val="el-GR" w:eastAsia="en-US"/>
              </w:rPr>
              <w:t>MIC</w:t>
            </w:r>
            <w:r w:rsidR="005526B2" w:rsidRPr="00663156">
              <w:rPr>
                <w:color w:val="auto"/>
                <w:sz w:val="22"/>
                <w:szCs w:val="22"/>
                <w:lang w:val="el-GR" w:eastAsia="en-US"/>
              </w:rPr>
              <w:t xml:space="preserve"> </w:t>
            </w:r>
            <w:r w:rsidRPr="00663156">
              <w:rPr>
                <w:color w:val="auto"/>
                <w:lang w:val="el-GR" w:eastAsia="en-US"/>
              </w:rPr>
              <w:t>πάνω από</w:t>
            </w:r>
            <w:r w:rsidRPr="00663156">
              <w:rPr>
                <w:color w:val="auto"/>
                <w:sz w:val="22"/>
                <w:szCs w:val="22"/>
                <w:lang w:val="el-GR" w:eastAsia="en-US"/>
              </w:rPr>
              <w:t xml:space="preserve"> </w:t>
            </w:r>
            <w:r w:rsidRPr="00663156">
              <w:rPr>
                <w:color w:val="auto"/>
                <w:lang w:val="el-GR" w:eastAsia="en-US"/>
              </w:rPr>
              <w:t>το τρέχον</w:t>
            </w:r>
            <w:r w:rsidRPr="00663156">
              <w:rPr>
                <w:color w:val="auto"/>
                <w:sz w:val="22"/>
                <w:szCs w:val="22"/>
                <w:lang w:val="el-GR" w:eastAsia="en-US"/>
              </w:rPr>
              <w:t xml:space="preserve"> </w:t>
            </w:r>
            <w:r w:rsidR="005526B2">
              <w:rPr>
                <w:color w:val="auto"/>
                <w:sz w:val="22"/>
                <w:szCs w:val="22"/>
                <w:lang w:val="el-GR" w:eastAsia="en-US"/>
              </w:rPr>
              <w:t xml:space="preserve">όριο </w:t>
            </w:r>
            <w:r w:rsidRPr="00663156">
              <w:rPr>
                <w:color w:val="auto"/>
                <w:lang w:val="el-GR" w:eastAsia="en-US"/>
              </w:rPr>
              <w:t>ανθεκτικότητας</w:t>
            </w:r>
            <w:r w:rsidR="005526B2">
              <w:rPr>
                <w:color w:val="auto"/>
                <w:lang w:val="el-GR" w:eastAsia="en-US"/>
              </w:rPr>
              <w:t>,</w:t>
            </w:r>
            <w:r w:rsidRPr="00663156">
              <w:rPr>
                <w:color w:val="auto"/>
                <w:sz w:val="22"/>
                <w:szCs w:val="22"/>
                <w:lang w:val="el-GR" w:eastAsia="en-US"/>
              </w:rPr>
              <w:t xml:space="preserve"> </w:t>
            </w:r>
            <w:r w:rsidRPr="00663156">
              <w:rPr>
                <w:color w:val="auto"/>
                <w:lang w:val="el-GR" w:eastAsia="en-US"/>
              </w:rPr>
              <w:t>πρέπει</w:t>
            </w:r>
            <w:r w:rsidRPr="00663156">
              <w:rPr>
                <w:color w:val="auto"/>
                <w:sz w:val="22"/>
                <w:szCs w:val="22"/>
                <w:lang w:val="el-GR" w:eastAsia="en-US"/>
              </w:rPr>
              <w:t xml:space="preserve"> </w:t>
            </w:r>
            <w:r w:rsidRPr="00663156">
              <w:rPr>
                <w:color w:val="auto"/>
                <w:lang w:val="el-GR" w:eastAsia="en-US"/>
              </w:rPr>
              <w:t>να αναφέρονται</w:t>
            </w:r>
            <w:r w:rsidRPr="00663156">
              <w:rPr>
                <w:color w:val="auto"/>
                <w:sz w:val="22"/>
                <w:szCs w:val="22"/>
                <w:lang w:val="el-GR" w:eastAsia="en-US"/>
              </w:rPr>
              <w:t xml:space="preserve"> </w:t>
            </w:r>
            <w:r w:rsidR="005526B2">
              <w:rPr>
                <w:color w:val="auto"/>
                <w:sz w:val="22"/>
                <w:szCs w:val="22"/>
                <w:lang w:val="el-GR" w:eastAsia="en-US"/>
              </w:rPr>
              <w:t xml:space="preserve">ως </w:t>
            </w:r>
            <w:r w:rsidRPr="00663156">
              <w:rPr>
                <w:color w:val="auto"/>
                <w:lang w:val="el-GR" w:eastAsia="en-US"/>
              </w:rPr>
              <w:t>ανθεκτικά</w:t>
            </w:r>
            <w:r w:rsidR="005526B2">
              <w:rPr>
                <w:color w:val="auto"/>
                <w:lang w:val="el-GR" w:eastAsia="en-US"/>
              </w:rPr>
              <w:t>.</w:t>
            </w:r>
          </w:p>
          <w:p w:rsidR="005526B2" w:rsidRPr="005526B2" w:rsidRDefault="005526B2" w:rsidP="002232E5">
            <w:pPr>
              <w:pStyle w:val="Default"/>
              <w:tabs>
                <w:tab w:val="left" w:pos="1094"/>
              </w:tabs>
              <w:ind w:left="1094" w:hanging="567"/>
              <w:rPr>
                <w:color w:val="auto"/>
                <w:lang w:val="el-GR" w:eastAsia="en-US"/>
              </w:rPr>
            </w:pPr>
            <w:r>
              <w:rPr>
                <w:color w:val="auto"/>
                <w:lang w:val="el-GR" w:eastAsia="en-US"/>
              </w:rPr>
              <w:t>ε)</w:t>
            </w:r>
            <w:r>
              <w:rPr>
                <w:color w:val="auto"/>
                <w:lang w:val="el-GR" w:eastAsia="en-US"/>
              </w:rPr>
              <w:tab/>
              <w:t xml:space="preserve">Τα όρια ευαισθησίας </w:t>
            </w:r>
            <w:r w:rsidRPr="005526B2">
              <w:rPr>
                <w:color w:val="auto"/>
                <w:lang w:val="el-GR" w:eastAsia="en-US"/>
              </w:rPr>
              <w:t>εφαρμόζ</w:t>
            </w:r>
            <w:r>
              <w:rPr>
                <w:color w:val="auto"/>
                <w:lang w:val="el-GR" w:eastAsia="en-US"/>
              </w:rPr>
              <w:t>ον</w:t>
            </w:r>
            <w:r w:rsidRPr="005526B2">
              <w:rPr>
                <w:color w:val="auto"/>
                <w:lang w:val="el-GR" w:eastAsia="en-US"/>
              </w:rPr>
              <w:t>ται σε μία ημερήσια ενδοφλέβια δόση 2</w:t>
            </w:r>
            <w:r>
              <w:rPr>
                <w:color w:val="auto"/>
                <w:lang w:val="el-GR" w:eastAsia="en-US"/>
              </w:rPr>
              <w:t> </w:t>
            </w:r>
            <w:r w:rsidRPr="005526B2">
              <w:rPr>
                <w:color w:val="auto"/>
                <w:lang w:val="el-GR" w:eastAsia="en-US"/>
              </w:rPr>
              <w:t>g</w:t>
            </w:r>
            <w:r>
              <w:rPr>
                <w:color w:val="auto"/>
                <w:lang w:val="el-GR" w:eastAsia="en-US"/>
              </w:rPr>
              <w:t> × </w:t>
            </w:r>
            <w:r w:rsidRPr="005526B2">
              <w:rPr>
                <w:color w:val="auto"/>
                <w:lang w:val="el-GR" w:eastAsia="en-US"/>
              </w:rPr>
              <w:t>2 και υψηλή δόση τουλάχιστον 2</w:t>
            </w:r>
            <w:r>
              <w:rPr>
                <w:color w:val="auto"/>
                <w:lang w:val="el-GR" w:eastAsia="en-US"/>
              </w:rPr>
              <w:t> </w:t>
            </w:r>
            <w:r w:rsidRPr="005526B2">
              <w:rPr>
                <w:color w:val="auto"/>
                <w:lang w:val="el-GR" w:eastAsia="en-US"/>
              </w:rPr>
              <w:t>g</w:t>
            </w:r>
            <w:r>
              <w:rPr>
                <w:color w:val="auto"/>
                <w:lang w:val="el-GR" w:eastAsia="en-US"/>
              </w:rPr>
              <w:t> × </w:t>
            </w:r>
            <w:r w:rsidRPr="005526B2">
              <w:rPr>
                <w:color w:val="auto"/>
                <w:lang w:val="el-GR" w:eastAsia="en-US"/>
              </w:rPr>
              <w:t>3</w:t>
            </w:r>
            <w:r>
              <w:rPr>
                <w:color w:val="auto"/>
                <w:lang w:val="el-GR" w:eastAsia="en-US"/>
              </w:rPr>
              <w:t>.</w:t>
            </w:r>
          </w:p>
          <w:p w:rsidR="00663156" w:rsidRPr="002232E5" w:rsidRDefault="00663156" w:rsidP="002232E5">
            <w:pPr>
              <w:pStyle w:val="Default"/>
              <w:tabs>
                <w:tab w:val="left" w:pos="1094"/>
              </w:tabs>
              <w:ind w:left="1094" w:hanging="567"/>
              <w:rPr>
                <w:sz w:val="22"/>
                <w:szCs w:val="22"/>
                <w:lang w:val="el-GR"/>
              </w:rPr>
            </w:pPr>
          </w:p>
        </w:tc>
      </w:tr>
    </w:tbl>
    <w:p w:rsidR="00664833" w:rsidRPr="002232E5" w:rsidRDefault="00664833" w:rsidP="0031570A">
      <w:pPr>
        <w:tabs>
          <w:tab w:val="left" w:pos="567"/>
        </w:tabs>
        <w:autoSpaceDE w:val="0"/>
        <w:autoSpaceDN w:val="0"/>
        <w:adjustRightInd w:val="0"/>
        <w:rPr>
          <w:szCs w:val="22"/>
        </w:rPr>
      </w:pPr>
    </w:p>
    <w:p w:rsidR="00250280" w:rsidRPr="006756E8" w:rsidRDefault="00250280" w:rsidP="0031570A">
      <w:pPr>
        <w:tabs>
          <w:tab w:val="left" w:pos="567"/>
        </w:tabs>
        <w:autoSpaceDE w:val="0"/>
        <w:autoSpaceDN w:val="0"/>
        <w:adjustRightInd w:val="0"/>
        <w:rPr>
          <w:szCs w:val="22"/>
        </w:rPr>
      </w:pPr>
      <w:r w:rsidRPr="006756E8">
        <w:rPr>
          <w:szCs w:val="22"/>
        </w:rPr>
        <w:t xml:space="preserve">Ο επιπολασμός της ανθεκτικότητας </w:t>
      </w:r>
      <w:r w:rsidR="00A07A08">
        <w:rPr>
          <w:szCs w:val="22"/>
        </w:rPr>
        <w:t xml:space="preserve">σε </w:t>
      </w:r>
      <w:r w:rsidR="000D6748">
        <w:rPr>
          <w:szCs w:val="22"/>
        </w:rPr>
        <w:t>μεμονωμένα</w:t>
      </w:r>
      <w:r w:rsidR="00A07A08">
        <w:rPr>
          <w:szCs w:val="22"/>
        </w:rPr>
        <w:t xml:space="preserve"> βακτηριακά στελέχη </w:t>
      </w:r>
      <w:r w:rsidRPr="006756E8">
        <w:rPr>
          <w:szCs w:val="22"/>
        </w:rPr>
        <w:t xml:space="preserve">μπορεί να </w:t>
      </w:r>
      <w:r w:rsidR="00A07A08">
        <w:rPr>
          <w:szCs w:val="22"/>
        </w:rPr>
        <w:t>ποικίλλει</w:t>
      </w:r>
      <w:r w:rsidRPr="006756E8">
        <w:rPr>
          <w:szCs w:val="22"/>
        </w:rPr>
        <w:t xml:space="preserve"> γεωγραφικά </w:t>
      </w:r>
      <w:r w:rsidR="00A07A08">
        <w:rPr>
          <w:szCs w:val="22"/>
        </w:rPr>
        <w:t xml:space="preserve">ανάλογα με την περιοχή </w:t>
      </w:r>
      <w:r w:rsidRPr="006756E8">
        <w:rPr>
          <w:szCs w:val="22"/>
        </w:rPr>
        <w:t>και το χρόνο</w:t>
      </w:r>
      <w:r w:rsidR="00D71ECF">
        <w:rPr>
          <w:szCs w:val="22"/>
        </w:rPr>
        <w:t>,</w:t>
      </w:r>
      <w:r w:rsidRPr="006756E8">
        <w:rPr>
          <w:szCs w:val="22"/>
        </w:rPr>
        <w:t xml:space="preserve"> </w:t>
      </w:r>
      <w:r w:rsidR="000D6748">
        <w:rPr>
          <w:szCs w:val="22"/>
        </w:rPr>
        <w:t xml:space="preserve">επομένως </w:t>
      </w:r>
      <w:r w:rsidR="00D71ECF">
        <w:rPr>
          <w:szCs w:val="22"/>
        </w:rPr>
        <w:t>συνιστάται να λαμβάνονται</w:t>
      </w:r>
      <w:r w:rsidRPr="006756E8">
        <w:rPr>
          <w:szCs w:val="22"/>
        </w:rPr>
        <w:t xml:space="preserve"> οι κατά τόπους πληροφορίες</w:t>
      </w:r>
      <w:r w:rsidR="00D71ECF">
        <w:rPr>
          <w:szCs w:val="22"/>
        </w:rPr>
        <w:t xml:space="preserve"> σχετικά με την ευαισθησία των στελεχών πριν την έναρξη της θεραπείας</w:t>
      </w:r>
      <w:r w:rsidRPr="006756E8">
        <w:rPr>
          <w:szCs w:val="22"/>
        </w:rPr>
        <w:t>.</w:t>
      </w:r>
    </w:p>
    <w:p w:rsidR="00250280" w:rsidRPr="00D71ECF" w:rsidRDefault="00894E04" w:rsidP="0031570A">
      <w:pPr>
        <w:tabs>
          <w:tab w:val="left" w:pos="567"/>
        </w:tabs>
        <w:autoSpaceDE w:val="0"/>
        <w:autoSpaceDN w:val="0"/>
        <w:adjustRightInd w:val="0"/>
        <w:rPr>
          <w:szCs w:val="22"/>
        </w:rPr>
      </w:pPr>
      <w:r>
        <w:rPr>
          <w:szCs w:val="22"/>
        </w:rPr>
        <w:br w:type="page"/>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250280" w:rsidRPr="006756E8">
        <w:tblPrEx>
          <w:tblCellMar>
            <w:top w:w="0" w:type="dxa"/>
            <w:bottom w:w="0" w:type="dxa"/>
          </w:tblCellMar>
        </w:tblPrEx>
        <w:tc>
          <w:tcPr>
            <w:tcW w:w="9430" w:type="dxa"/>
            <w:tcBorders>
              <w:bottom w:val="single" w:sz="4" w:space="0" w:color="auto"/>
            </w:tcBorders>
            <w:shd w:val="clear" w:color="auto" w:fill="E0E0E0"/>
          </w:tcPr>
          <w:p w:rsidR="00250280" w:rsidRPr="006756E8" w:rsidRDefault="00AC2B6E" w:rsidP="00AC2B6E">
            <w:pPr>
              <w:pStyle w:val="KF"/>
              <w:widowControl w:val="0"/>
              <w:tabs>
                <w:tab w:val="clear" w:pos="454"/>
                <w:tab w:val="left" w:pos="567"/>
              </w:tabs>
              <w:autoSpaceDE w:val="0"/>
              <w:autoSpaceDN w:val="0"/>
              <w:adjustRightInd w:val="0"/>
              <w:spacing w:before="0"/>
              <w:rPr>
                <w:bCs/>
                <w:i w:val="0"/>
                <w:szCs w:val="22"/>
                <w:lang w:val="en-GB" w:eastAsia="nl-NL"/>
              </w:rPr>
            </w:pPr>
            <w:r>
              <w:rPr>
                <w:bCs/>
                <w:i w:val="0"/>
                <w:szCs w:val="22"/>
                <w:lang w:val="el-GR" w:eastAsia="nl-NL"/>
              </w:rPr>
              <w:t>Συνήθως</w:t>
            </w:r>
            <w:r w:rsidR="00520FA0" w:rsidRPr="006756E8">
              <w:rPr>
                <w:bCs/>
                <w:i w:val="0"/>
                <w:szCs w:val="22"/>
                <w:lang w:val="el-GR" w:eastAsia="nl-NL"/>
              </w:rPr>
              <w:t xml:space="preserve"> ευαίσθητα </w:t>
            </w:r>
            <w:r>
              <w:rPr>
                <w:bCs/>
                <w:i w:val="0"/>
                <w:szCs w:val="22"/>
                <w:lang w:val="el-GR" w:eastAsia="nl-NL"/>
              </w:rPr>
              <w:t>είδη</w:t>
            </w:r>
          </w:p>
        </w:tc>
      </w:tr>
      <w:tr w:rsidR="00250280" w:rsidRPr="006756E8">
        <w:tblPrEx>
          <w:tblCellMar>
            <w:top w:w="0" w:type="dxa"/>
            <w:bottom w:w="0" w:type="dxa"/>
          </w:tblCellMar>
        </w:tblPrEx>
        <w:tc>
          <w:tcPr>
            <w:tcW w:w="9430" w:type="dxa"/>
            <w:shd w:val="clear" w:color="auto" w:fill="F3F3F3"/>
          </w:tcPr>
          <w:p w:rsidR="00250280" w:rsidRPr="006756E8" w:rsidRDefault="00520FA0" w:rsidP="0031570A">
            <w:pPr>
              <w:pStyle w:val="3"/>
              <w:tabs>
                <w:tab w:val="left" w:pos="567"/>
              </w:tabs>
              <w:rPr>
                <w:sz w:val="22"/>
                <w:szCs w:val="22"/>
              </w:rPr>
            </w:pPr>
            <w:r w:rsidRPr="006756E8">
              <w:rPr>
                <w:sz w:val="22"/>
                <w:szCs w:val="22"/>
                <w:lang w:val="el-GR"/>
              </w:rPr>
              <w:t xml:space="preserve">Θετικά κατά </w:t>
            </w:r>
            <w:r w:rsidR="00250280" w:rsidRPr="006756E8">
              <w:rPr>
                <w:sz w:val="22"/>
                <w:szCs w:val="22"/>
              </w:rPr>
              <w:t>Gram</w:t>
            </w:r>
            <w:r w:rsidRPr="006756E8">
              <w:rPr>
                <w:sz w:val="22"/>
                <w:szCs w:val="22"/>
                <w:lang w:val="el-GR"/>
              </w:rPr>
              <w:t xml:space="preserve"> αερόβια</w:t>
            </w:r>
          </w:p>
        </w:tc>
      </w:tr>
      <w:tr w:rsidR="00250280" w:rsidRPr="006756E8">
        <w:tblPrEx>
          <w:tblCellMar>
            <w:top w:w="0" w:type="dxa"/>
            <w:bottom w:w="0" w:type="dxa"/>
          </w:tblCellMar>
        </w:tblPrEx>
        <w:tc>
          <w:tcPr>
            <w:tcW w:w="9430" w:type="dxa"/>
          </w:tcPr>
          <w:p w:rsidR="00250280" w:rsidRPr="006756E8" w:rsidRDefault="00250280" w:rsidP="00E043FD">
            <w:pPr>
              <w:tabs>
                <w:tab w:val="left" w:pos="567"/>
              </w:tabs>
              <w:autoSpaceDE w:val="0"/>
              <w:autoSpaceDN w:val="0"/>
              <w:adjustRightInd w:val="0"/>
              <w:rPr>
                <w:szCs w:val="22"/>
                <w:lang w:val="en-GB"/>
              </w:rPr>
            </w:pPr>
            <w:r w:rsidRPr="006756E8">
              <w:rPr>
                <w:i/>
                <w:iCs/>
                <w:szCs w:val="22"/>
                <w:lang w:val="en-GB"/>
              </w:rPr>
              <w:t>Staphylococcus aureus</w:t>
            </w:r>
            <w:r w:rsidRPr="006756E8">
              <w:rPr>
                <w:szCs w:val="22"/>
                <w:lang w:val="en-GB"/>
              </w:rPr>
              <w:t xml:space="preserve"> (</w:t>
            </w:r>
            <w:r w:rsidR="00520FA0" w:rsidRPr="006756E8">
              <w:rPr>
                <w:szCs w:val="22"/>
              </w:rPr>
              <w:t>ευαίσθητο</w:t>
            </w:r>
            <w:r w:rsidR="00520FA0" w:rsidRPr="006756E8">
              <w:rPr>
                <w:szCs w:val="22"/>
                <w:lang w:val="en-GB"/>
              </w:rPr>
              <w:t xml:space="preserve"> </w:t>
            </w:r>
            <w:r w:rsidR="00520FA0" w:rsidRPr="006756E8">
              <w:rPr>
                <w:szCs w:val="22"/>
              </w:rPr>
              <w:t>στη</w:t>
            </w:r>
            <w:r w:rsidR="00520FA0" w:rsidRPr="006756E8">
              <w:rPr>
                <w:szCs w:val="22"/>
                <w:lang w:val="en-GB"/>
              </w:rPr>
              <w:t xml:space="preserve"> </w:t>
            </w:r>
            <w:r w:rsidR="00520FA0" w:rsidRPr="006756E8">
              <w:rPr>
                <w:szCs w:val="22"/>
              </w:rPr>
              <w:t>μεθικιλλίνη</w:t>
            </w:r>
            <w:r w:rsidRPr="006756E8">
              <w:rPr>
                <w:szCs w:val="22"/>
                <w:lang w:val="en-GB"/>
              </w:rPr>
              <w:t>)</w:t>
            </w:r>
          </w:p>
        </w:tc>
      </w:tr>
      <w:tr w:rsidR="00250280" w:rsidRPr="006756E8">
        <w:tblPrEx>
          <w:tblCellMar>
            <w:top w:w="0" w:type="dxa"/>
            <w:bottom w:w="0" w:type="dxa"/>
          </w:tblCellMar>
        </w:tblPrEx>
        <w:tc>
          <w:tcPr>
            <w:tcW w:w="9430" w:type="dxa"/>
          </w:tcPr>
          <w:p w:rsidR="00250280" w:rsidRPr="006756E8" w:rsidRDefault="00250280" w:rsidP="00E043FD">
            <w:pPr>
              <w:pStyle w:val="1"/>
              <w:tabs>
                <w:tab w:val="left" w:pos="567"/>
              </w:tabs>
              <w:rPr>
                <w:sz w:val="22"/>
                <w:szCs w:val="22"/>
              </w:rPr>
            </w:pPr>
            <w:r w:rsidRPr="006756E8">
              <w:rPr>
                <w:sz w:val="22"/>
                <w:szCs w:val="22"/>
              </w:rPr>
              <w:t xml:space="preserve">Streptococcus </w:t>
            </w:r>
            <w:r w:rsidR="00E043FD" w:rsidRPr="00E043FD">
              <w:rPr>
                <w:sz w:val="22"/>
                <w:szCs w:val="22"/>
              </w:rPr>
              <w:t>pyogenes</w:t>
            </w:r>
            <w:r w:rsidR="00E043FD" w:rsidRPr="00E043FD">
              <w:rPr>
                <w:sz w:val="22"/>
                <w:szCs w:val="22"/>
                <w:lang w:val="el-GR"/>
              </w:rPr>
              <w:t>°</w:t>
            </w:r>
          </w:p>
        </w:tc>
      </w:tr>
      <w:tr w:rsidR="00250280" w:rsidRPr="00E043FD">
        <w:tblPrEx>
          <w:tblCellMar>
            <w:top w:w="0" w:type="dxa"/>
            <w:bottom w:w="0" w:type="dxa"/>
          </w:tblCellMar>
        </w:tblPrEx>
        <w:tc>
          <w:tcPr>
            <w:tcW w:w="9430" w:type="dxa"/>
          </w:tcPr>
          <w:p w:rsidR="00250280" w:rsidRPr="00E043FD" w:rsidRDefault="00250280" w:rsidP="00E043FD">
            <w:pPr>
              <w:pStyle w:val="1"/>
              <w:tabs>
                <w:tab w:val="left" w:pos="567"/>
              </w:tabs>
              <w:rPr>
                <w:sz w:val="22"/>
                <w:szCs w:val="22"/>
                <w:lang w:val="el-GR"/>
              </w:rPr>
            </w:pPr>
            <w:r w:rsidRPr="006756E8">
              <w:rPr>
                <w:sz w:val="22"/>
                <w:szCs w:val="22"/>
              </w:rPr>
              <w:t>Streptococcus</w:t>
            </w:r>
            <w:r w:rsidRPr="00E043FD">
              <w:rPr>
                <w:sz w:val="22"/>
                <w:szCs w:val="22"/>
                <w:lang w:val="el-GR"/>
              </w:rPr>
              <w:t xml:space="preserve"> </w:t>
            </w:r>
            <w:r w:rsidRPr="006756E8">
              <w:rPr>
                <w:sz w:val="22"/>
                <w:szCs w:val="22"/>
              </w:rPr>
              <w:t>pneumoniae</w:t>
            </w:r>
            <w:r w:rsidR="00E043FD" w:rsidRPr="00E043FD">
              <w:rPr>
                <w:sz w:val="22"/>
                <w:szCs w:val="22"/>
                <w:lang w:val="el-GR"/>
              </w:rPr>
              <w:t xml:space="preserve"> (</w:t>
            </w:r>
            <w:r w:rsidR="00E043FD">
              <w:rPr>
                <w:sz w:val="22"/>
                <w:szCs w:val="22"/>
                <w:lang w:val="el-GR"/>
              </w:rPr>
              <w:t>συμπεριλαμβανομένων στελεχών ανθεκτικών στην πενικιλλίνη</w:t>
            </w:r>
            <w:proofErr w:type="gramStart"/>
            <w:r w:rsidR="00E043FD">
              <w:rPr>
                <w:sz w:val="22"/>
                <w:szCs w:val="22"/>
                <w:lang w:val="el-GR"/>
              </w:rPr>
              <w:t>)</w:t>
            </w:r>
            <w:r w:rsidR="00E043FD" w:rsidRPr="00E043FD">
              <w:rPr>
                <w:sz w:val="22"/>
                <w:szCs w:val="22"/>
                <w:lang w:val="el-GR"/>
              </w:rPr>
              <w:t>°</w:t>
            </w:r>
            <w:proofErr w:type="gramEnd"/>
          </w:p>
        </w:tc>
      </w:tr>
      <w:tr w:rsidR="00250280" w:rsidRPr="006756E8">
        <w:tblPrEx>
          <w:tblCellMar>
            <w:top w:w="0" w:type="dxa"/>
            <w:bottom w:w="0" w:type="dxa"/>
          </w:tblCellMar>
        </w:tblPrEx>
        <w:tc>
          <w:tcPr>
            <w:tcW w:w="9430" w:type="dxa"/>
            <w:shd w:val="clear" w:color="auto" w:fill="F3F3F3"/>
          </w:tcPr>
          <w:p w:rsidR="00250280" w:rsidRPr="006756E8" w:rsidRDefault="00520FA0" w:rsidP="0031570A">
            <w:pPr>
              <w:pStyle w:val="KF"/>
              <w:widowControl w:val="0"/>
              <w:tabs>
                <w:tab w:val="clear" w:pos="454"/>
                <w:tab w:val="left" w:pos="567"/>
              </w:tabs>
              <w:autoSpaceDE w:val="0"/>
              <w:autoSpaceDN w:val="0"/>
              <w:adjustRightInd w:val="0"/>
              <w:spacing w:before="0"/>
              <w:rPr>
                <w:bCs/>
                <w:iCs/>
                <w:szCs w:val="22"/>
                <w:lang w:val="en-GB" w:eastAsia="nl-NL"/>
              </w:rPr>
            </w:pPr>
            <w:r w:rsidRPr="006756E8">
              <w:rPr>
                <w:bCs/>
                <w:iCs/>
                <w:szCs w:val="22"/>
                <w:lang w:val="el-GR" w:eastAsia="nl-NL"/>
              </w:rPr>
              <w:t xml:space="preserve">Αρνητικά κατά </w:t>
            </w:r>
            <w:r w:rsidR="00250280" w:rsidRPr="006756E8">
              <w:rPr>
                <w:bCs/>
                <w:iCs/>
                <w:szCs w:val="22"/>
                <w:lang w:val="en-GB" w:eastAsia="nl-NL"/>
              </w:rPr>
              <w:t>Gram</w:t>
            </w:r>
            <w:r w:rsidRPr="006756E8">
              <w:rPr>
                <w:bCs/>
                <w:iCs/>
                <w:szCs w:val="22"/>
                <w:lang w:val="el-GR" w:eastAsia="nl-NL"/>
              </w:rPr>
              <w:t xml:space="preserve"> αερόβια</w:t>
            </w:r>
          </w:p>
        </w:tc>
      </w:tr>
      <w:tr w:rsidR="00250280" w:rsidRPr="006756E8">
        <w:tblPrEx>
          <w:tblCellMar>
            <w:top w:w="0" w:type="dxa"/>
            <w:bottom w:w="0" w:type="dxa"/>
          </w:tblCellMar>
        </w:tblPrEx>
        <w:tc>
          <w:tcPr>
            <w:tcW w:w="9430" w:type="dxa"/>
          </w:tcPr>
          <w:p w:rsidR="00250280" w:rsidRPr="006756E8" w:rsidRDefault="00250280" w:rsidP="0031570A">
            <w:pPr>
              <w:pStyle w:val="KF"/>
              <w:widowControl w:val="0"/>
              <w:tabs>
                <w:tab w:val="clear" w:pos="454"/>
                <w:tab w:val="left" w:pos="567"/>
              </w:tabs>
              <w:autoSpaceDE w:val="0"/>
              <w:autoSpaceDN w:val="0"/>
              <w:adjustRightInd w:val="0"/>
              <w:spacing w:before="0"/>
              <w:rPr>
                <w:b w:val="0"/>
                <w:iCs/>
                <w:szCs w:val="22"/>
                <w:lang w:val="en-GB" w:eastAsia="nl-NL"/>
              </w:rPr>
            </w:pPr>
            <w:r w:rsidRPr="006756E8">
              <w:rPr>
                <w:b w:val="0"/>
                <w:iCs/>
                <w:szCs w:val="22"/>
                <w:lang w:val="en-GB" w:eastAsia="nl-NL"/>
              </w:rPr>
              <w:t>Citrobacter freundii</w:t>
            </w:r>
          </w:p>
        </w:tc>
      </w:tr>
      <w:tr w:rsidR="000E3320" w:rsidRPr="006756E8">
        <w:tblPrEx>
          <w:tblCellMar>
            <w:top w:w="0" w:type="dxa"/>
            <w:bottom w:w="0" w:type="dxa"/>
          </w:tblCellMar>
        </w:tblPrEx>
        <w:tc>
          <w:tcPr>
            <w:tcW w:w="9430" w:type="dxa"/>
          </w:tcPr>
          <w:p w:rsidR="000E3320" w:rsidRPr="00E043FD" w:rsidRDefault="000E3320" w:rsidP="0031570A">
            <w:pPr>
              <w:pStyle w:val="1"/>
              <w:tabs>
                <w:tab w:val="left" w:pos="567"/>
              </w:tabs>
              <w:rPr>
                <w:sz w:val="22"/>
                <w:szCs w:val="22"/>
              </w:rPr>
            </w:pPr>
            <w:r w:rsidRPr="00E043FD">
              <w:rPr>
                <w:sz w:val="22"/>
                <w:szCs w:val="22"/>
              </w:rPr>
              <w:t>Enterobacter aerogene</w:t>
            </w:r>
            <w:r w:rsidRPr="00E043FD">
              <w:rPr>
                <w:sz w:val="22"/>
                <w:szCs w:val="22"/>
                <w:lang w:val="it-IT"/>
              </w:rPr>
              <w:t>s</w:t>
            </w:r>
          </w:p>
        </w:tc>
      </w:tr>
      <w:tr w:rsidR="00250280" w:rsidRPr="006756E8">
        <w:tblPrEx>
          <w:tblCellMar>
            <w:top w:w="0" w:type="dxa"/>
            <w:bottom w:w="0" w:type="dxa"/>
          </w:tblCellMar>
        </w:tblPrEx>
        <w:tc>
          <w:tcPr>
            <w:tcW w:w="9430" w:type="dxa"/>
          </w:tcPr>
          <w:p w:rsidR="00250280" w:rsidRPr="006756E8" w:rsidRDefault="00250280" w:rsidP="0031570A">
            <w:pPr>
              <w:pStyle w:val="1"/>
              <w:tabs>
                <w:tab w:val="left" w:pos="567"/>
              </w:tabs>
              <w:rPr>
                <w:sz w:val="22"/>
                <w:szCs w:val="22"/>
              </w:rPr>
            </w:pPr>
            <w:r w:rsidRPr="006756E8">
              <w:rPr>
                <w:sz w:val="22"/>
                <w:szCs w:val="22"/>
              </w:rPr>
              <w:t>Haemophilus influenzae</w:t>
            </w:r>
          </w:p>
        </w:tc>
      </w:tr>
      <w:tr w:rsidR="00250280" w:rsidRPr="006756E8">
        <w:tblPrEx>
          <w:tblCellMar>
            <w:top w:w="0" w:type="dxa"/>
            <w:bottom w:w="0" w:type="dxa"/>
          </w:tblCellMar>
        </w:tblPrEx>
        <w:tc>
          <w:tcPr>
            <w:tcW w:w="9430" w:type="dxa"/>
          </w:tcPr>
          <w:p w:rsidR="00250280" w:rsidRPr="006756E8" w:rsidRDefault="00250280" w:rsidP="0031570A">
            <w:pPr>
              <w:pStyle w:val="1"/>
              <w:tabs>
                <w:tab w:val="left" w:pos="567"/>
              </w:tabs>
              <w:rPr>
                <w:sz w:val="22"/>
                <w:szCs w:val="22"/>
              </w:rPr>
            </w:pPr>
            <w:r w:rsidRPr="006756E8">
              <w:rPr>
                <w:sz w:val="22"/>
                <w:szCs w:val="22"/>
              </w:rPr>
              <w:t>Moraxella catarrhalis</w:t>
            </w:r>
            <w:r w:rsidR="00E043FD" w:rsidRPr="00E043FD">
              <w:rPr>
                <w:sz w:val="22"/>
                <w:szCs w:val="22"/>
                <w:lang w:val="el-GR"/>
              </w:rPr>
              <w:t>°</w:t>
            </w:r>
          </w:p>
        </w:tc>
      </w:tr>
      <w:tr w:rsidR="00250280" w:rsidRPr="006756E8">
        <w:tblPrEx>
          <w:tblCellMar>
            <w:top w:w="0" w:type="dxa"/>
            <w:bottom w:w="0" w:type="dxa"/>
          </w:tblCellMar>
        </w:tblPrEx>
        <w:tc>
          <w:tcPr>
            <w:tcW w:w="9430" w:type="dxa"/>
          </w:tcPr>
          <w:p w:rsidR="00250280" w:rsidRPr="006756E8" w:rsidRDefault="00250280" w:rsidP="0031570A">
            <w:pPr>
              <w:pStyle w:val="1"/>
              <w:tabs>
                <w:tab w:val="left" w:pos="567"/>
              </w:tabs>
              <w:rPr>
                <w:sz w:val="22"/>
                <w:szCs w:val="22"/>
              </w:rPr>
            </w:pPr>
            <w:r w:rsidRPr="006756E8">
              <w:rPr>
                <w:sz w:val="22"/>
                <w:szCs w:val="22"/>
              </w:rPr>
              <w:t>Morganella morganii</w:t>
            </w:r>
          </w:p>
        </w:tc>
      </w:tr>
      <w:tr w:rsidR="00250280" w:rsidRPr="006756E8">
        <w:tblPrEx>
          <w:tblCellMar>
            <w:top w:w="0" w:type="dxa"/>
            <w:bottom w:w="0" w:type="dxa"/>
          </w:tblCellMar>
        </w:tblPrEx>
        <w:tc>
          <w:tcPr>
            <w:tcW w:w="9430" w:type="dxa"/>
          </w:tcPr>
          <w:p w:rsidR="00250280" w:rsidRPr="006756E8" w:rsidRDefault="00250280" w:rsidP="0031570A">
            <w:pPr>
              <w:pStyle w:val="1"/>
              <w:tabs>
                <w:tab w:val="left" w:pos="567"/>
              </w:tabs>
              <w:rPr>
                <w:sz w:val="22"/>
                <w:szCs w:val="22"/>
              </w:rPr>
            </w:pPr>
            <w:r w:rsidRPr="006756E8">
              <w:rPr>
                <w:sz w:val="22"/>
                <w:szCs w:val="22"/>
              </w:rPr>
              <w:t>Proteus mirabilis</w:t>
            </w:r>
            <w:r w:rsidR="00E043FD" w:rsidRPr="00E043FD">
              <w:rPr>
                <w:sz w:val="22"/>
                <w:szCs w:val="22"/>
                <w:vertAlign w:val="superscript"/>
              </w:rPr>
              <w:t>%</w:t>
            </w:r>
          </w:p>
        </w:tc>
      </w:tr>
      <w:tr w:rsidR="00250280" w:rsidRPr="006756E8">
        <w:tblPrEx>
          <w:tblCellMar>
            <w:top w:w="0" w:type="dxa"/>
            <w:bottom w:w="0" w:type="dxa"/>
          </w:tblCellMar>
        </w:tblPrEx>
        <w:tc>
          <w:tcPr>
            <w:tcW w:w="9430" w:type="dxa"/>
          </w:tcPr>
          <w:p w:rsidR="00250280" w:rsidRPr="006756E8" w:rsidRDefault="00250280" w:rsidP="0031570A">
            <w:pPr>
              <w:pStyle w:val="1"/>
              <w:tabs>
                <w:tab w:val="left" w:pos="567"/>
              </w:tabs>
              <w:rPr>
                <w:sz w:val="22"/>
                <w:szCs w:val="22"/>
              </w:rPr>
            </w:pPr>
            <w:r w:rsidRPr="006756E8">
              <w:rPr>
                <w:sz w:val="22"/>
                <w:szCs w:val="22"/>
              </w:rPr>
              <w:t>Proteus vulgaris</w:t>
            </w:r>
            <w:r w:rsidR="00E043FD" w:rsidRPr="00E043FD">
              <w:rPr>
                <w:sz w:val="22"/>
                <w:szCs w:val="22"/>
                <w:lang w:val="el-GR"/>
              </w:rPr>
              <w:t>°</w:t>
            </w:r>
          </w:p>
        </w:tc>
      </w:tr>
      <w:tr w:rsidR="00250280" w:rsidRPr="006756E8">
        <w:tblPrEx>
          <w:tblCellMar>
            <w:top w:w="0" w:type="dxa"/>
            <w:bottom w:w="0" w:type="dxa"/>
          </w:tblCellMar>
        </w:tblPrEx>
        <w:tc>
          <w:tcPr>
            <w:tcW w:w="9430" w:type="dxa"/>
            <w:tcBorders>
              <w:bottom w:val="single" w:sz="4" w:space="0" w:color="auto"/>
            </w:tcBorders>
          </w:tcPr>
          <w:p w:rsidR="00250280" w:rsidRPr="006756E8" w:rsidRDefault="00250280" w:rsidP="0031570A">
            <w:pPr>
              <w:pStyle w:val="1"/>
              <w:tabs>
                <w:tab w:val="left" w:pos="567"/>
              </w:tabs>
              <w:rPr>
                <w:sz w:val="22"/>
                <w:szCs w:val="22"/>
              </w:rPr>
            </w:pPr>
            <w:r w:rsidRPr="006756E8">
              <w:rPr>
                <w:sz w:val="22"/>
                <w:szCs w:val="22"/>
              </w:rPr>
              <w:t>Serratia marcescens</w:t>
            </w:r>
          </w:p>
        </w:tc>
      </w:tr>
      <w:tr w:rsidR="00E043FD" w:rsidRPr="006756E8">
        <w:tblPrEx>
          <w:tblCellMar>
            <w:top w:w="0" w:type="dxa"/>
            <w:bottom w:w="0" w:type="dxa"/>
          </w:tblCellMar>
        </w:tblPrEx>
        <w:tc>
          <w:tcPr>
            <w:tcW w:w="9430" w:type="dxa"/>
            <w:tcBorders>
              <w:bottom w:val="single" w:sz="4" w:space="0" w:color="auto"/>
            </w:tcBorders>
          </w:tcPr>
          <w:p w:rsidR="00E043FD" w:rsidRPr="00E043FD" w:rsidRDefault="00E043FD" w:rsidP="0031570A">
            <w:pPr>
              <w:pStyle w:val="1"/>
              <w:tabs>
                <w:tab w:val="left" w:pos="567"/>
              </w:tabs>
              <w:rPr>
                <w:sz w:val="22"/>
                <w:szCs w:val="22"/>
              </w:rPr>
            </w:pPr>
            <w:r w:rsidRPr="00E043FD">
              <w:rPr>
                <w:sz w:val="22"/>
                <w:szCs w:val="22"/>
              </w:rPr>
              <w:t>Serratia l</w:t>
            </w:r>
            <w:r w:rsidRPr="00E043FD">
              <w:rPr>
                <w:iCs w:val="0"/>
                <w:sz w:val="22"/>
                <w:szCs w:val="22"/>
              </w:rPr>
              <w:t>iquefaciens°</w:t>
            </w:r>
          </w:p>
        </w:tc>
      </w:tr>
      <w:tr w:rsidR="00250280" w:rsidRPr="006756E8">
        <w:tblPrEx>
          <w:tblCellMar>
            <w:top w:w="0" w:type="dxa"/>
            <w:bottom w:w="0" w:type="dxa"/>
          </w:tblCellMar>
        </w:tblPrEx>
        <w:tc>
          <w:tcPr>
            <w:tcW w:w="9430" w:type="dxa"/>
            <w:tcBorders>
              <w:bottom w:val="single" w:sz="4" w:space="0" w:color="auto"/>
            </w:tcBorders>
            <w:shd w:val="clear" w:color="auto" w:fill="E0E0E0"/>
          </w:tcPr>
          <w:p w:rsidR="00250280" w:rsidRPr="006756E8" w:rsidRDefault="00E043FD" w:rsidP="00E043FD">
            <w:pPr>
              <w:pStyle w:val="KF"/>
              <w:widowControl w:val="0"/>
              <w:tabs>
                <w:tab w:val="clear" w:pos="454"/>
                <w:tab w:val="left" w:pos="567"/>
              </w:tabs>
              <w:autoSpaceDE w:val="0"/>
              <w:autoSpaceDN w:val="0"/>
              <w:adjustRightInd w:val="0"/>
              <w:spacing w:before="0"/>
              <w:rPr>
                <w:bCs/>
                <w:i w:val="0"/>
                <w:szCs w:val="22"/>
                <w:lang w:val="el-GR" w:eastAsia="nl-NL"/>
              </w:rPr>
            </w:pPr>
            <w:r>
              <w:rPr>
                <w:bCs/>
                <w:i w:val="0"/>
                <w:szCs w:val="22"/>
                <w:lang w:val="el-GR" w:eastAsia="nl-NL"/>
              </w:rPr>
              <w:t>Είδη</w:t>
            </w:r>
            <w:r w:rsidR="00520FA0" w:rsidRPr="006756E8">
              <w:rPr>
                <w:bCs/>
                <w:i w:val="0"/>
                <w:szCs w:val="22"/>
                <w:lang w:val="el-GR" w:eastAsia="nl-NL"/>
              </w:rPr>
              <w:t xml:space="preserve"> για τα οποία η επίκτητη ανθεκτικότητα μπορεί να αποτελεί πρόβλημα</w:t>
            </w:r>
            <w:r>
              <w:rPr>
                <w:bCs/>
                <w:i w:val="0"/>
                <w:szCs w:val="22"/>
                <w:lang w:val="el-GR" w:eastAsia="nl-NL"/>
              </w:rPr>
              <w:t xml:space="preserve"> κατά τη χρήση</w:t>
            </w:r>
          </w:p>
        </w:tc>
      </w:tr>
      <w:tr w:rsidR="00E043FD" w:rsidRPr="006756E8">
        <w:tblPrEx>
          <w:tblCellMar>
            <w:top w:w="0" w:type="dxa"/>
            <w:bottom w:w="0" w:type="dxa"/>
          </w:tblCellMar>
        </w:tblPrEx>
        <w:tc>
          <w:tcPr>
            <w:tcW w:w="9430" w:type="dxa"/>
            <w:shd w:val="clear" w:color="auto" w:fill="F3F3F3"/>
          </w:tcPr>
          <w:p w:rsidR="00E043FD" w:rsidRPr="006756E8" w:rsidRDefault="00E043FD" w:rsidP="0031570A">
            <w:pPr>
              <w:pStyle w:val="KF"/>
              <w:widowControl w:val="0"/>
              <w:tabs>
                <w:tab w:val="clear" w:pos="454"/>
                <w:tab w:val="left" w:pos="567"/>
              </w:tabs>
              <w:autoSpaceDE w:val="0"/>
              <w:autoSpaceDN w:val="0"/>
              <w:adjustRightInd w:val="0"/>
              <w:spacing w:before="0"/>
              <w:rPr>
                <w:bCs/>
                <w:iCs/>
                <w:szCs w:val="22"/>
                <w:lang w:val="el-GR" w:eastAsia="nl-NL"/>
              </w:rPr>
            </w:pPr>
            <w:r w:rsidRPr="006756E8">
              <w:rPr>
                <w:szCs w:val="22"/>
                <w:lang w:val="el-GR"/>
              </w:rPr>
              <w:t xml:space="preserve">Θετικά κατά </w:t>
            </w:r>
            <w:r w:rsidRPr="006756E8">
              <w:rPr>
                <w:szCs w:val="22"/>
              </w:rPr>
              <w:t>Gram</w:t>
            </w:r>
            <w:r w:rsidRPr="006756E8">
              <w:rPr>
                <w:szCs w:val="22"/>
                <w:lang w:val="el-GR"/>
              </w:rPr>
              <w:t xml:space="preserve"> αερόβια</w:t>
            </w:r>
          </w:p>
        </w:tc>
      </w:tr>
      <w:tr w:rsidR="00E043FD" w:rsidRPr="006756E8">
        <w:tblPrEx>
          <w:tblCellMar>
            <w:top w:w="0" w:type="dxa"/>
            <w:bottom w:w="0" w:type="dxa"/>
          </w:tblCellMar>
        </w:tblPrEx>
        <w:tc>
          <w:tcPr>
            <w:tcW w:w="9430" w:type="dxa"/>
            <w:shd w:val="clear" w:color="auto" w:fill="F3F3F3"/>
          </w:tcPr>
          <w:p w:rsidR="00E043FD" w:rsidRPr="00144C76" w:rsidRDefault="00E043FD" w:rsidP="0031570A">
            <w:pPr>
              <w:pStyle w:val="KF"/>
              <w:widowControl w:val="0"/>
              <w:tabs>
                <w:tab w:val="clear" w:pos="454"/>
                <w:tab w:val="left" w:pos="567"/>
              </w:tabs>
              <w:autoSpaceDE w:val="0"/>
              <w:autoSpaceDN w:val="0"/>
              <w:adjustRightInd w:val="0"/>
              <w:spacing w:before="0"/>
              <w:rPr>
                <w:b w:val="0"/>
                <w:bCs/>
                <w:iCs/>
                <w:szCs w:val="22"/>
                <w:lang w:val="el-GR" w:eastAsia="nl-NL"/>
              </w:rPr>
            </w:pPr>
            <w:r w:rsidRPr="00144C76">
              <w:rPr>
                <w:b w:val="0"/>
                <w:iCs/>
              </w:rPr>
              <w:t>Staphylococcus aureus</w:t>
            </w:r>
            <w:r w:rsidRPr="00144C76">
              <w:rPr>
                <w:b w:val="0"/>
                <w:iCs/>
                <w:vertAlign w:val="superscript"/>
              </w:rPr>
              <w:t>3</w:t>
            </w:r>
          </w:p>
        </w:tc>
      </w:tr>
      <w:tr w:rsidR="00E043FD" w:rsidRPr="006756E8">
        <w:tblPrEx>
          <w:tblCellMar>
            <w:top w:w="0" w:type="dxa"/>
            <w:bottom w:w="0" w:type="dxa"/>
          </w:tblCellMar>
        </w:tblPrEx>
        <w:tc>
          <w:tcPr>
            <w:tcW w:w="9430" w:type="dxa"/>
            <w:shd w:val="clear" w:color="auto" w:fill="F3F3F3"/>
          </w:tcPr>
          <w:p w:rsidR="00E043FD" w:rsidRPr="00144C76" w:rsidRDefault="00E043FD" w:rsidP="0031570A">
            <w:pPr>
              <w:pStyle w:val="KF"/>
              <w:widowControl w:val="0"/>
              <w:tabs>
                <w:tab w:val="clear" w:pos="454"/>
                <w:tab w:val="left" w:pos="567"/>
              </w:tabs>
              <w:autoSpaceDE w:val="0"/>
              <w:autoSpaceDN w:val="0"/>
              <w:adjustRightInd w:val="0"/>
              <w:spacing w:before="0"/>
              <w:rPr>
                <w:b w:val="0"/>
                <w:bCs/>
                <w:iCs/>
                <w:szCs w:val="22"/>
                <w:lang w:val="el-GR" w:eastAsia="nl-NL"/>
              </w:rPr>
            </w:pPr>
            <w:r w:rsidRPr="00144C76">
              <w:rPr>
                <w:b w:val="0"/>
                <w:iCs/>
              </w:rPr>
              <w:t>Staphylococcus epidermidis</w:t>
            </w:r>
            <w:r w:rsidRPr="00144C76">
              <w:rPr>
                <w:b w:val="0"/>
                <w:iCs/>
                <w:vertAlign w:val="superscript"/>
              </w:rPr>
              <w:t>+</w:t>
            </w:r>
          </w:p>
        </w:tc>
      </w:tr>
      <w:tr w:rsidR="00E043FD" w:rsidRPr="006756E8">
        <w:tblPrEx>
          <w:tblCellMar>
            <w:top w:w="0" w:type="dxa"/>
            <w:bottom w:w="0" w:type="dxa"/>
          </w:tblCellMar>
        </w:tblPrEx>
        <w:tc>
          <w:tcPr>
            <w:tcW w:w="9430" w:type="dxa"/>
            <w:shd w:val="clear" w:color="auto" w:fill="F3F3F3"/>
          </w:tcPr>
          <w:p w:rsidR="00E043FD" w:rsidRPr="00144C76" w:rsidRDefault="00E043FD" w:rsidP="00E043FD">
            <w:pPr>
              <w:pStyle w:val="KF"/>
              <w:widowControl w:val="0"/>
              <w:tabs>
                <w:tab w:val="clear" w:pos="454"/>
                <w:tab w:val="left" w:pos="567"/>
              </w:tabs>
              <w:autoSpaceDE w:val="0"/>
              <w:autoSpaceDN w:val="0"/>
              <w:adjustRightInd w:val="0"/>
              <w:spacing w:before="0"/>
              <w:rPr>
                <w:b w:val="0"/>
                <w:bCs/>
                <w:iCs/>
                <w:szCs w:val="22"/>
                <w:lang w:val="el-GR" w:eastAsia="nl-NL"/>
              </w:rPr>
            </w:pPr>
            <w:r w:rsidRPr="00144C76">
              <w:rPr>
                <w:b w:val="0"/>
                <w:iCs/>
              </w:rPr>
              <w:t>Staphylococcus haemolyticus</w:t>
            </w:r>
            <w:r w:rsidRPr="00144C76">
              <w:rPr>
                <w:b w:val="0"/>
                <w:iCs/>
                <w:vertAlign w:val="superscript"/>
              </w:rPr>
              <w:t>+</w:t>
            </w:r>
          </w:p>
        </w:tc>
      </w:tr>
      <w:tr w:rsidR="00E043FD" w:rsidRPr="006756E8">
        <w:tblPrEx>
          <w:tblCellMar>
            <w:top w:w="0" w:type="dxa"/>
            <w:bottom w:w="0" w:type="dxa"/>
          </w:tblCellMar>
        </w:tblPrEx>
        <w:tc>
          <w:tcPr>
            <w:tcW w:w="9430" w:type="dxa"/>
            <w:shd w:val="clear" w:color="auto" w:fill="F3F3F3"/>
          </w:tcPr>
          <w:p w:rsidR="00E043FD" w:rsidRPr="00144C76" w:rsidRDefault="00E043FD" w:rsidP="0031570A">
            <w:pPr>
              <w:pStyle w:val="KF"/>
              <w:widowControl w:val="0"/>
              <w:tabs>
                <w:tab w:val="clear" w:pos="454"/>
                <w:tab w:val="left" w:pos="567"/>
              </w:tabs>
              <w:autoSpaceDE w:val="0"/>
              <w:autoSpaceDN w:val="0"/>
              <w:adjustRightInd w:val="0"/>
              <w:spacing w:before="0"/>
              <w:rPr>
                <w:b w:val="0"/>
                <w:bCs/>
                <w:iCs/>
                <w:szCs w:val="22"/>
                <w:lang w:val="el-GR" w:eastAsia="nl-NL"/>
              </w:rPr>
            </w:pPr>
            <w:r w:rsidRPr="00144C76">
              <w:rPr>
                <w:b w:val="0"/>
                <w:iCs/>
              </w:rPr>
              <w:t>Staphylococcus hominis</w:t>
            </w:r>
            <w:r w:rsidRPr="00144C76">
              <w:rPr>
                <w:b w:val="0"/>
                <w:iCs/>
                <w:vertAlign w:val="superscript"/>
              </w:rPr>
              <w:t>+</w:t>
            </w:r>
          </w:p>
        </w:tc>
      </w:tr>
      <w:tr w:rsidR="00250280" w:rsidRPr="006756E8">
        <w:tblPrEx>
          <w:tblCellMar>
            <w:top w:w="0" w:type="dxa"/>
            <w:bottom w:w="0" w:type="dxa"/>
          </w:tblCellMar>
        </w:tblPrEx>
        <w:tc>
          <w:tcPr>
            <w:tcW w:w="9430" w:type="dxa"/>
            <w:shd w:val="clear" w:color="auto" w:fill="F3F3F3"/>
          </w:tcPr>
          <w:p w:rsidR="00250280" w:rsidRPr="006756E8" w:rsidRDefault="00520FA0" w:rsidP="0031570A">
            <w:pPr>
              <w:pStyle w:val="KF"/>
              <w:widowControl w:val="0"/>
              <w:tabs>
                <w:tab w:val="clear" w:pos="454"/>
                <w:tab w:val="left" w:pos="567"/>
              </w:tabs>
              <w:autoSpaceDE w:val="0"/>
              <w:autoSpaceDN w:val="0"/>
              <w:adjustRightInd w:val="0"/>
              <w:spacing w:before="0"/>
              <w:rPr>
                <w:bCs/>
                <w:iCs/>
                <w:szCs w:val="22"/>
                <w:lang w:val="en-GB" w:eastAsia="nl-NL"/>
              </w:rPr>
            </w:pPr>
            <w:r w:rsidRPr="006756E8">
              <w:rPr>
                <w:bCs/>
                <w:iCs/>
                <w:szCs w:val="22"/>
                <w:lang w:val="el-GR" w:eastAsia="nl-NL"/>
              </w:rPr>
              <w:t xml:space="preserve">Αρνητικά κατά </w:t>
            </w:r>
            <w:r w:rsidR="00250280" w:rsidRPr="006756E8">
              <w:rPr>
                <w:bCs/>
                <w:iCs/>
                <w:szCs w:val="22"/>
                <w:lang w:val="en-GB" w:eastAsia="nl-NL"/>
              </w:rPr>
              <w:t>Gram</w:t>
            </w:r>
            <w:r w:rsidRPr="006756E8">
              <w:rPr>
                <w:bCs/>
                <w:iCs/>
                <w:szCs w:val="22"/>
                <w:lang w:val="el-GR" w:eastAsia="nl-NL"/>
              </w:rPr>
              <w:t xml:space="preserve"> αερόβια</w:t>
            </w:r>
          </w:p>
        </w:tc>
      </w:tr>
      <w:tr w:rsidR="00144C76" w:rsidRPr="006756E8">
        <w:tblPrEx>
          <w:tblCellMar>
            <w:top w:w="0" w:type="dxa"/>
            <w:bottom w:w="0" w:type="dxa"/>
          </w:tblCellMar>
        </w:tblPrEx>
        <w:tc>
          <w:tcPr>
            <w:tcW w:w="9430" w:type="dxa"/>
          </w:tcPr>
          <w:p w:rsidR="00144C76" w:rsidRPr="00144C76" w:rsidRDefault="00144C76" w:rsidP="0031570A">
            <w:pPr>
              <w:pStyle w:val="1"/>
              <w:tabs>
                <w:tab w:val="left" w:pos="567"/>
              </w:tabs>
              <w:rPr>
                <w:sz w:val="22"/>
                <w:szCs w:val="22"/>
                <w:lang w:val="el-GR"/>
              </w:rPr>
            </w:pPr>
            <w:r>
              <w:rPr>
                <w:sz w:val="22"/>
                <w:szCs w:val="22"/>
              </w:rPr>
              <w:t>Acinetobacter baumannii</w:t>
            </w:r>
          </w:p>
        </w:tc>
      </w:tr>
      <w:tr w:rsidR="00144C76" w:rsidRPr="006756E8">
        <w:tblPrEx>
          <w:tblCellMar>
            <w:top w:w="0" w:type="dxa"/>
            <w:bottom w:w="0" w:type="dxa"/>
          </w:tblCellMar>
        </w:tblPrEx>
        <w:tc>
          <w:tcPr>
            <w:tcW w:w="9430" w:type="dxa"/>
          </w:tcPr>
          <w:p w:rsidR="00144C76" w:rsidRPr="00144C76" w:rsidRDefault="00144C76" w:rsidP="0031570A">
            <w:pPr>
              <w:pStyle w:val="1"/>
              <w:tabs>
                <w:tab w:val="left" w:pos="567"/>
              </w:tabs>
              <w:rPr>
                <w:sz w:val="22"/>
                <w:szCs w:val="22"/>
                <w:lang w:val="el-GR"/>
              </w:rPr>
            </w:pPr>
            <w:r>
              <w:rPr>
                <w:sz w:val="22"/>
                <w:szCs w:val="22"/>
              </w:rPr>
              <w:t>Enterobacter cloacae</w:t>
            </w:r>
          </w:p>
        </w:tc>
      </w:tr>
      <w:tr w:rsidR="00144C76" w:rsidRPr="006756E8">
        <w:tblPrEx>
          <w:tblCellMar>
            <w:top w:w="0" w:type="dxa"/>
            <w:bottom w:w="0" w:type="dxa"/>
          </w:tblCellMar>
        </w:tblPrEx>
        <w:tc>
          <w:tcPr>
            <w:tcW w:w="9430" w:type="dxa"/>
          </w:tcPr>
          <w:p w:rsidR="00144C76" w:rsidRPr="00144C76" w:rsidRDefault="00144C76" w:rsidP="0031570A">
            <w:pPr>
              <w:pStyle w:val="1"/>
              <w:tabs>
                <w:tab w:val="left" w:pos="567"/>
              </w:tabs>
              <w:rPr>
                <w:sz w:val="22"/>
                <w:szCs w:val="22"/>
              </w:rPr>
            </w:pPr>
            <w:r w:rsidRPr="00144C76">
              <w:rPr>
                <w:sz w:val="22"/>
                <w:szCs w:val="22"/>
              </w:rPr>
              <w:t>Escherichia coli</w:t>
            </w:r>
            <w:r w:rsidRPr="00144C76">
              <w:rPr>
                <w:sz w:val="22"/>
                <w:szCs w:val="22"/>
                <w:vertAlign w:val="superscript"/>
              </w:rPr>
              <w:t>%</w:t>
            </w:r>
            <w:r w:rsidRPr="00144C76">
              <w:rPr>
                <w:sz w:val="22"/>
                <w:szCs w:val="22"/>
              </w:rPr>
              <w:t xml:space="preserve"> </w:t>
            </w:r>
          </w:p>
        </w:tc>
      </w:tr>
      <w:tr w:rsidR="00144C76" w:rsidRPr="006756E8">
        <w:tblPrEx>
          <w:tblCellMar>
            <w:top w:w="0" w:type="dxa"/>
            <w:bottom w:w="0" w:type="dxa"/>
          </w:tblCellMar>
        </w:tblPrEx>
        <w:tc>
          <w:tcPr>
            <w:tcW w:w="9430" w:type="dxa"/>
          </w:tcPr>
          <w:p w:rsidR="00144C76" w:rsidRPr="00144C76" w:rsidRDefault="00144C76" w:rsidP="0031570A">
            <w:pPr>
              <w:pStyle w:val="1"/>
              <w:tabs>
                <w:tab w:val="left" w:pos="567"/>
              </w:tabs>
              <w:rPr>
                <w:sz w:val="22"/>
                <w:szCs w:val="22"/>
              </w:rPr>
            </w:pPr>
            <w:r w:rsidRPr="00144C76">
              <w:rPr>
                <w:sz w:val="22"/>
                <w:szCs w:val="22"/>
              </w:rPr>
              <w:t>Klebsiella oxytoca</w:t>
            </w:r>
            <w:r w:rsidRPr="00144C76">
              <w:rPr>
                <w:sz w:val="22"/>
                <w:szCs w:val="22"/>
                <w:vertAlign w:val="superscript"/>
              </w:rPr>
              <w:t xml:space="preserve">% </w:t>
            </w:r>
          </w:p>
        </w:tc>
      </w:tr>
      <w:tr w:rsidR="00144C76" w:rsidRPr="006756E8">
        <w:tblPrEx>
          <w:tblCellMar>
            <w:top w:w="0" w:type="dxa"/>
            <w:bottom w:w="0" w:type="dxa"/>
          </w:tblCellMar>
        </w:tblPrEx>
        <w:tc>
          <w:tcPr>
            <w:tcW w:w="9430" w:type="dxa"/>
          </w:tcPr>
          <w:p w:rsidR="00144C76" w:rsidRPr="00144C76" w:rsidRDefault="00144C76" w:rsidP="0031570A">
            <w:pPr>
              <w:pStyle w:val="1"/>
              <w:tabs>
                <w:tab w:val="left" w:pos="567"/>
              </w:tabs>
              <w:rPr>
                <w:sz w:val="22"/>
                <w:szCs w:val="22"/>
                <w:lang w:val="el-GR"/>
              </w:rPr>
            </w:pPr>
            <w:r>
              <w:rPr>
                <w:sz w:val="22"/>
                <w:szCs w:val="22"/>
              </w:rPr>
              <w:t>Klebsiella pneumoniae</w:t>
            </w:r>
            <w:r w:rsidRPr="00144C76">
              <w:rPr>
                <w:sz w:val="22"/>
                <w:szCs w:val="22"/>
                <w:vertAlign w:val="superscript"/>
              </w:rPr>
              <w:t>%</w:t>
            </w:r>
          </w:p>
        </w:tc>
      </w:tr>
      <w:tr w:rsidR="00250280" w:rsidRPr="006756E8">
        <w:tblPrEx>
          <w:tblCellMar>
            <w:top w:w="0" w:type="dxa"/>
            <w:bottom w:w="0" w:type="dxa"/>
          </w:tblCellMar>
        </w:tblPrEx>
        <w:tc>
          <w:tcPr>
            <w:tcW w:w="9430" w:type="dxa"/>
          </w:tcPr>
          <w:p w:rsidR="00250280" w:rsidRPr="006756E8" w:rsidRDefault="00250280" w:rsidP="0031570A">
            <w:pPr>
              <w:pStyle w:val="1"/>
              <w:tabs>
                <w:tab w:val="left" w:pos="567"/>
              </w:tabs>
              <w:rPr>
                <w:sz w:val="22"/>
                <w:szCs w:val="22"/>
              </w:rPr>
            </w:pPr>
            <w:r w:rsidRPr="006756E8">
              <w:rPr>
                <w:sz w:val="22"/>
                <w:szCs w:val="22"/>
              </w:rPr>
              <w:t>Pseudomonas aeruginosa</w:t>
            </w:r>
          </w:p>
        </w:tc>
      </w:tr>
      <w:tr w:rsidR="00250280" w:rsidRPr="006756E8">
        <w:tblPrEx>
          <w:tblCellMar>
            <w:top w:w="0" w:type="dxa"/>
            <w:bottom w:w="0" w:type="dxa"/>
          </w:tblCellMar>
        </w:tblPrEx>
        <w:tc>
          <w:tcPr>
            <w:tcW w:w="9430" w:type="dxa"/>
            <w:shd w:val="clear" w:color="auto" w:fill="E0E0E0"/>
          </w:tcPr>
          <w:p w:rsidR="00250280" w:rsidRPr="006756E8" w:rsidRDefault="00520FA0" w:rsidP="0031570A">
            <w:pPr>
              <w:pStyle w:val="KF"/>
              <w:widowControl w:val="0"/>
              <w:tabs>
                <w:tab w:val="clear" w:pos="454"/>
                <w:tab w:val="left" w:pos="567"/>
              </w:tabs>
              <w:autoSpaceDE w:val="0"/>
              <w:autoSpaceDN w:val="0"/>
              <w:adjustRightInd w:val="0"/>
              <w:spacing w:before="0"/>
              <w:rPr>
                <w:bCs/>
                <w:i w:val="0"/>
                <w:szCs w:val="22"/>
                <w:lang w:val="en-GB" w:eastAsia="nl-NL"/>
              </w:rPr>
            </w:pPr>
            <w:r w:rsidRPr="006756E8">
              <w:rPr>
                <w:bCs/>
                <w:i w:val="0"/>
                <w:szCs w:val="22"/>
                <w:lang w:val="el-GR" w:eastAsia="nl-NL"/>
              </w:rPr>
              <w:t>Ενδογενώς ανθεκτικοί οργανισμοί</w:t>
            </w:r>
          </w:p>
        </w:tc>
      </w:tr>
      <w:tr w:rsidR="00250280" w:rsidRPr="006756E8">
        <w:tblPrEx>
          <w:tblCellMar>
            <w:top w:w="0" w:type="dxa"/>
            <w:bottom w:w="0" w:type="dxa"/>
          </w:tblCellMar>
        </w:tblPrEx>
        <w:tc>
          <w:tcPr>
            <w:tcW w:w="9430" w:type="dxa"/>
            <w:shd w:val="clear" w:color="auto" w:fill="F3F3F3"/>
          </w:tcPr>
          <w:p w:rsidR="00250280" w:rsidRPr="006756E8" w:rsidRDefault="00520FA0" w:rsidP="0031570A">
            <w:pPr>
              <w:pStyle w:val="3"/>
              <w:tabs>
                <w:tab w:val="left" w:pos="567"/>
              </w:tabs>
              <w:rPr>
                <w:sz w:val="22"/>
                <w:szCs w:val="22"/>
              </w:rPr>
            </w:pPr>
            <w:r w:rsidRPr="006756E8">
              <w:rPr>
                <w:sz w:val="22"/>
                <w:szCs w:val="22"/>
                <w:lang w:val="el-GR"/>
              </w:rPr>
              <w:t xml:space="preserve">Θετικά κατά </w:t>
            </w:r>
            <w:r w:rsidR="00250280" w:rsidRPr="006756E8">
              <w:rPr>
                <w:sz w:val="22"/>
                <w:szCs w:val="22"/>
              </w:rPr>
              <w:t>Gram</w:t>
            </w:r>
            <w:r w:rsidRPr="006756E8">
              <w:rPr>
                <w:sz w:val="22"/>
                <w:szCs w:val="22"/>
                <w:lang w:val="el-GR"/>
              </w:rPr>
              <w:t xml:space="preserve"> αερόβια</w:t>
            </w:r>
          </w:p>
        </w:tc>
      </w:tr>
      <w:tr w:rsidR="00250280" w:rsidRPr="006756E8">
        <w:tblPrEx>
          <w:tblCellMar>
            <w:top w:w="0" w:type="dxa"/>
            <w:bottom w:w="0" w:type="dxa"/>
          </w:tblCellMar>
        </w:tblPrEx>
        <w:tc>
          <w:tcPr>
            <w:tcW w:w="9430" w:type="dxa"/>
          </w:tcPr>
          <w:p w:rsidR="00250280" w:rsidRPr="006756E8" w:rsidRDefault="00250280" w:rsidP="0031570A">
            <w:pPr>
              <w:tabs>
                <w:tab w:val="left" w:pos="567"/>
              </w:tabs>
              <w:autoSpaceDE w:val="0"/>
              <w:autoSpaceDN w:val="0"/>
              <w:adjustRightInd w:val="0"/>
              <w:rPr>
                <w:szCs w:val="22"/>
                <w:lang w:val="en-GB"/>
              </w:rPr>
            </w:pPr>
            <w:r w:rsidRPr="006756E8">
              <w:rPr>
                <w:i/>
                <w:iCs/>
                <w:szCs w:val="22"/>
                <w:lang w:val="en-GB"/>
              </w:rPr>
              <w:t>Enterococcus</w:t>
            </w:r>
            <w:r w:rsidRPr="006756E8">
              <w:rPr>
                <w:szCs w:val="22"/>
                <w:lang w:val="en-GB"/>
              </w:rPr>
              <w:t xml:space="preserve"> spp.</w:t>
            </w:r>
          </w:p>
        </w:tc>
      </w:tr>
      <w:tr w:rsidR="00144C76" w:rsidRPr="006756E8">
        <w:tblPrEx>
          <w:tblCellMar>
            <w:top w:w="0" w:type="dxa"/>
            <w:bottom w:w="0" w:type="dxa"/>
          </w:tblCellMar>
        </w:tblPrEx>
        <w:tc>
          <w:tcPr>
            <w:tcW w:w="9430" w:type="dxa"/>
          </w:tcPr>
          <w:p w:rsidR="00144C76" w:rsidRPr="006756E8" w:rsidRDefault="00144C76" w:rsidP="0031570A">
            <w:pPr>
              <w:tabs>
                <w:tab w:val="left" w:pos="567"/>
              </w:tabs>
              <w:autoSpaceDE w:val="0"/>
              <w:autoSpaceDN w:val="0"/>
              <w:adjustRightInd w:val="0"/>
              <w:rPr>
                <w:i/>
                <w:iCs/>
                <w:szCs w:val="22"/>
                <w:lang w:val="en-GB"/>
              </w:rPr>
            </w:pPr>
            <w:r w:rsidRPr="00751578">
              <w:rPr>
                <w:i/>
                <w:iCs/>
              </w:rPr>
              <w:t>Listeria monocytogenes</w:t>
            </w:r>
          </w:p>
        </w:tc>
      </w:tr>
      <w:tr w:rsidR="00250280" w:rsidRPr="006756E8">
        <w:tblPrEx>
          <w:tblCellMar>
            <w:top w:w="0" w:type="dxa"/>
            <w:bottom w:w="0" w:type="dxa"/>
          </w:tblCellMar>
        </w:tblPrEx>
        <w:tc>
          <w:tcPr>
            <w:tcW w:w="9430" w:type="dxa"/>
          </w:tcPr>
          <w:p w:rsidR="00250280" w:rsidRPr="006756E8" w:rsidRDefault="00250280" w:rsidP="00144C76">
            <w:pPr>
              <w:tabs>
                <w:tab w:val="left" w:pos="567"/>
              </w:tabs>
              <w:autoSpaceDE w:val="0"/>
              <w:autoSpaceDN w:val="0"/>
              <w:adjustRightInd w:val="0"/>
              <w:rPr>
                <w:szCs w:val="22"/>
                <w:lang w:val="en-GB"/>
              </w:rPr>
            </w:pPr>
            <w:r w:rsidRPr="006756E8">
              <w:rPr>
                <w:i/>
                <w:iCs/>
                <w:szCs w:val="22"/>
                <w:lang w:val="en-GB"/>
              </w:rPr>
              <w:t>Staphylococcus aureus</w:t>
            </w:r>
            <w:r w:rsidRPr="006756E8">
              <w:rPr>
                <w:szCs w:val="22"/>
                <w:lang w:val="en-GB"/>
              </w:rPr>
              <w:t xml:space="preserve"> (</w:t>
            </w:r>
            <w:r w:rsidR="00520FA0" w:rsidRPr="006756E8">
              <w:rPr>
                <w:szCs w:val="22"/>
              </w:rPr>
              <w:t>ανθεκτικός</w:t>
            </w:r>
            <w:r w:rsidR="00520FA0" w:rsidRPr="006756E8">
              <w:rPr>
                <w:szCs w:val="22"/>
                <w:lang w:val="en-GB"/>
              </w:rPr>
              <w:t xml:space="preserve"> </w:t>
            </w:r>
            <w:r w:rsidR="00520FA0" w:rsidRPr="006756E8">
              <w:rPr>
                <w:szCs w:val="22"/>
              </w:rPr>
              <w:t>στη</w:t>
            </w:r>
            <w:r w:rsidR="00520FA0" w:rsidRPr="006756E8">
              <w:rPr>
                <w:szCs w:val="22"/>
                <w:lang w:val="en-GB"/>
              </w:rPr>
              <w:t xml:space="preserve"> </w:t>
            </w:r>
            <w:r w:rsidR="00520FA0" w:rsidRPr="006756E8">
              <w:rPr>
                <w:szCs w:val="22"/>
              </w:rPr>
              <w:t>μεθικιλλίνη</w:t>
            </w:r>
            <w:r w:rsidRPr="006756E8">
              <w:rPr>
                <w:szCs w:val="22"/>
                <w:lang w:val="en-GB"/>
              </w:rPr>
              <w:t>)</w:t>
            </w:r>
          </w:p>
        </w:tc>
      </w:tr>
      <w:tr w:rsidR="00250280" w:rsidRPr="006756E8">
        <w:tblPrEx>
          <w:tblCellMar>
            <w:top w:w="0" w:type="dxa"/>
            <w:bottom w:w="0" w:type="dxa"/>
          </w:tblCellMar>
        </w:tblPrEx>
        <w:tc>
          <w:tcPr>
            <w:tcW w:w="9430" w:type="dxa"/>
            <w:shd w:val="clear" w:color="auto" w:fill="F3F3F3"/>
          </w:tcPr>
          <w:p w:rsidR="00250280" w:rsidRPr="006756E8" w:rsidRDefault="00520FA0" w:rsidP="0031570A">
            <w:pPr>
              <w:pStyle w:val="KF"/>
              <w:widowControl w:val="0"/>
              <w:tabs>
                <w:tab w:val="clear" w:pos="454"/>
                <w:tab w:val="left" w:pos="567"/>
              </w:tabs>
              <w:autoSpaceDE w:val="0"/>
              <w:autoSpaceDN w:val="0"/>
              <w:adjustRightInd w:val="0"/>
              <w:spacing w:before="0"/>
              <w:rPr>
                <w:bCs/>
                <w:iCs/>
                <w:szCs w:val="22"/>
                <w:lang w:val="en-GB" w:eastAsia="nl-NL"/>
              </w:rPr>
            </w:pPr>
            <w:r w:rsidRPr="006756E8">
              <w:rPr>
                <w:bCs/>
                <w:iCs/>
                <w:szCs w:val="22"/>
                <w:lang w:val="el-GR" w:eastAsia="nl-NL"/>
              </w:rPr>
              <w:t xml:space="preserve">Αρνητικά κατά </w:t>
            </w:r>
            <w:r w:rsidR="00250280" w:rsidRPr="006756E8">
              <w:rPr>
                <w:bCs/>
                <w:iCs/>
                <w:szCs w:val="22"/>
                <w:lang w:val="en-GB" w:eastAsia="nl-NL"/>
              </w:rPr>
              <w:t>Gram</w:t>
            </w:r>
            <w:r w:rsidRPr="006756E8">
              <w:rPr>
                <w:bCs/>
                <w:iCs/>
                <w:szCs w:val="22"/>
                <w:lang w:val="el-GR" w:eastAsia="nl-NL"/>
              </w:rPr>
              <w:t xml:space="preserve"> αερόβια</w:t>
            </w:r>
          </w:p>
        </w:tc>
      </w:tr>
      <w:tr w:rsidR="00250280" w:rsidRPr="006756E8">
        <w:tblPrEx>
          <w:tblCellMar>
            <w:top w:w="0" w:type="dxa"/>
            <w:bottom w:w="0" w:type="dxa"/>
          </w:tblCellMar>
        </w:tblPrEx>
        <w:tc>
          <w:tcPr>
            <w:tcW w:w="9430" w:type="dxa"/>
          </w:tcPr>
          <w:p w:rsidR="00250280" w:rsidRPr="006756E8" w:rsidRDefault="00250280" w:rsidP="0031570A">
            <w:pPr>
              <w:pStyle w:val="1"/>
              <w:tabs>
                <w:tab w:val="left" w:pos="567"/>
              </w:tabs>
              <w:rPr>
                <w:sz w:val="22"/>
                <w:szCs w:val="22"/>
              </w:rPr>
            </w:pPr>
            <w:r w:rsidRPr="006756E8">
              <w:rPr>
                <w:sz w:val="22"/>
                <w:szCs w:val="22"/>
              </w:rPr>
              <w:t>Stenotrophomonas maltophilia</w:t>
            </w:r>
          </w:p>
        </w:tc>
      </w:tr>
      <w:tr w:rsidR="00250280" w:rsidRPr="006756E8">
        <w:tblPrEx>
          <w:tblCellMar>
            <w:top w:w="0" w:type="dxa"/>
            <w:bottom w:w="0" w:type="dxa"/>
          </w:tblCellMar>
        </w:tblPrEx>
        <w:tc>
          <w:tcPr>
            <w:tcW w:w="9430" w:type="dxa"/>
            <w:shd w:val="clear" w:color="auto" w:fill="F3F3F3"/>
          </w:tcPr>
          <w:p w:rsidR="00250280" w:rsidRPr="006756E8" w:rsidRDefault="00520FA0" w:rsidP="0031570A">
            <w:pPr>
              <w:pStyle w:val="KF"/>
              <w:widowControl w:val="0"/>
              <w:tabs>
                <w:tab w:val="clear" w:pos="454"/>
                <w:tab w:val="left" w:pos="567"/>
              </w:tabs>
              <w:autoSpaceDE w:val="0"/>
              <w:autoSpaceDN w:val="0"/>
              <w:adjustRightInd w:val="0"/>
              <w:spacing w:before="0"/>
              <w:rPr>
                <w:bCs/>
                <w:iCs/>
                <w:szCs w:val="22"/>
                <w:lang w:val="el-GR" w:eastAsia="nl-NL"/>
              </w:rPr>
            </w:pPr>
            <w:r w:rsidRPr="006756E8">
              <w:rPr>
                <w:bCs/>
                <w:iCs/>
                <w:szCs w:val="22"/>
                <w:lang w:val="el-GR" w:eastAsia="nl-NL"/>
              </w:rPr>
              <w:t>Αναερόβια</w:t>
            </w:r>
          </w:p>
        </w:tc>
      </w:tr>
      <w:tr w:rsidR="00250280" w:rsidRPr="006756E8">
        <w:tblPrEx>
          <w:tblCellMar>
            <w:top w:w="0" w:type="dxa"/>
            <w:bottom w:w="0" w:type="dxa"/>
          </w:tblCellMar>
        </w:tblPrEx>
        <w:tc>
          <w:tcPr>
            <w:tcW w:w="9430" w:type="dxa"/>
          </w:tcPr>
          <w:p w:rsidR="00250280" w:rsidRPr="006756E8" w:rsidRDefault="00250280" w:rsidP="0031570A">
            <w:pPr>
              <w:tabs>
                <w:tab w:val="left" w:pos="567"/>
              </w:tabs>
              <w:autoSpaceDE w:val="0"/>
              <w:autoSpaceDN w:val="0"/>
              <w:adjustRightInd w:val="0"/>
              <w:rPr>
                <w:i/>
                <w:szCs w:val="22"/>
                <w:lang w:val="en-GB"/>
              </w:rPr>
            </w:pPr>
            <w:r w:rsidRPr="006756E8">
              <w:rPr>
                <w:i/>
                <w:iCs/>
                <w:szCs w:val="22"/>
                <w:lang w:val="en-GB"/>
              </w:rPr>
              <w:t>Bacteroides</w:t>
            </w:r>
            <w:r w:rsidRPr="006756E8">
              <w:rPr>
                <w:i/>
                <w:szCs w:val="22"/>
                <w:lang w:val="en-GB"/>
              </w:rPr>
              <w:t xml:space="preserve"> spp.</w:t>
            </w:r>
          </w:p>
        </w:tc>
      </w:tr>
      <w:tr w:rsidR="00250280" w:rsidRPr="006756E8">
        <w:tblPrEx>
          <w:tblCellMar>
            <w:top w:w="0" w:type="dxa"/>
            <w:bottom w:w="0" w:type="dxa"/>
          </w:tblCellMar>
        </w:tblPrEx>
        <w:tc>
          <w:tcPr>
            <w:tcW w:w="9430" w:type="dxa"/>
          </w:tcPr>
          <w:p w:rsidR="00250280" w:rsidRPr="006756E8" w:rsidRDefault="00250280" w:rsidP="0031570A">
            <w:pPr>
              <w:pStyle w:val="KF"/>
              <w:widowControl w:val="0"/>
              <w:tabs>
                <w:tab w:val="clear" w:pos="454"/>
                <w:tab w:val="left" w:pos="567"/>
              </w:tabs>
              <w:autoSpaceDE w:val="0"/>
              <w:autoSpaceDN w:val="0"/>
              <w:adjustRightInd w:val="0"/>
              <w:spacing w:before="0"/>
              <w:rPr>
                <w:b w:val="0"/>
                <w:iCs/>
                <w:szCs w:val="22"/>
                <w:lang w:val="en-GB" w:eastAsia="nl-NL"/>
              </w:rPr>
            </w:pPr>
            <w:r w:rsidRPr="006756E8">
              <w:rPr>
                <w:b w:val="0"/>
                <w:iCs/>
                <w:szCs w:val="22"/>
                <w:lang w:val="en-GB" w:eastAsia="nl-NL"/>
              </w:rPr>
              <w:t>Clostridium difficile</w:t>
            </w:r>
          </w:p>
        </w:tc>
      </w:tr>
      <w:tr w:rsidR="00144C76" w:rsidRPr="006756E8">
        <w:tblPrEx>
          <w:tblCellMar>
            <w:top w:w="0" w:type="dxa"/>
            <w:bottom w:w="0" w:type="dxa"/>
          </w:tblCellMar>
        </w:tblPrEx>
        <w:tc>
          <w:tcPr>
            <w:tcW w:w="9430" w:type="dxa"/>
          </w:tcPr>
          <w:p w:rsidR="00144C76" w:rsidRPr="00144C76" w:rsidRDefault="00144C76" w:rsidP="0031570A">
            <w:pPr>
              <w:pStyle w:val="KF"/>
              <w:widowControl w:val="0"/>
              <w:tabs>
                <w:tab w:val="clear" w:pos="454"/>
                <w:tab w:val="left" w:pos="567"/>
              </w:tabs>
              <w:autoSpaceDE w:val="0"/>
              <w:autoSpaceDN w:val="0"/>
              <w:adjustRightInd w:val="0"/>
              <w:spacing w:before="0"/>
              <w:rPr>
                <w:bCs/>
                <w:i w:val="0"/>
                <w:szCs w:val="22"/>
                <w:lang w:val="el-GR" w:eastAsia="nl-NL"/>
              </w:rPr>
            </w:pPr>
            <w:r>
              <w:rPr>
                <w:bCs/>
                <w:i w:val="0"/>
                <w:szCs w:val="22"/>
                <w:lang w:val="el-GR" w:eastAsia="nl-NL"/>
              </w:rPr>
              <w:t>Άλλοι μικροοργανισμοί</w:t>
            </w:r>
          </w:p>
        </w:tc>
      </w:tr>
      <w:tr w:rsidR="00144C76" w:rsidRPr="006756E8">
        <w:tblPrEx>
          <w:tblCellMar>
            <w:top w:w="0" w:type="dxa"/>
            <w:bottom w:w="0" w:type="dxa"/>
          </w:tblCellMar>
        </w:tblPrEx>
        <w:tc>
          <w:tcPr>
            <w:tcW w:w="9430" w:type="dxa"/>
          </w:tcPr>
          <w:p w:rsidR="00144C76" w:rsidRPr="00144C76" w:rsidRDefault="00144C76" w:rsidP="0031570A">
            <w:pPr>
              <w:pStyle w:val="KF"/>
              <w:widowControl w:val="0"/>
              <w:tabs>
                <w:tab w:val="clear" w:pos="454"/>
                <w:tab w:val="left" w:pos="567"/>
              </w:tabs>
              <w:autoSpaceDE w:val="0"/>
              <w:autoSpaceDN w:val="0"/>
              <w:adjustRightInd w:val="0"/>
              <w:spacing w:before="0"/>
              <w:rPr>
                <w:b w:val="0"/>
                <w:bCs/>
                <w:i w:val="0"/>
                <w:szCs w:val="22"/>
                <w:lang w:val="el-GR" w:eastAsia="nl-NL"/>
              </w:rPr>
            </w:pPr>
            <w:r w:rsidRPr="00144C76">
              <w:rPr>
                <w:b w:val="0"/>
                <w:iCs/>
              </w:rPr>
              <w:t xml:space="preserve">Chlamydia </w:t>
            </w:r>
            <w:r w:rsidRPr="00144C76">
              <w:rPr>
                <w:b w:val="0"/>
              </w:rPr>
              <w:t>spp.</w:t>
            </w:r>
          </w:p>
        </w:tc>
      </w:tr>
      <w:tr w:rsidR="00144C76" w:rsidRPr="006756E8">
        <w:tblPrEx>
          <w:tblCellMar>
            <w:top w:w="0" w:type="dxa"/>
            <w:bottom w:w="0" w:type="dxa"/>
          </w:tblCellMar>
        </w:tblPrEx>
        <w:tc>
          <w:tcPr>
            <w:tcW w:w="9430" w:type="dxa"/>
          </w:tcPr>
          <w:p w:rsidR="00144C76" w:rsidRPr="00144C76" w:rsidRDefault="00144C76" w:rsidP="0031570A">
            <w:pPr>
              <w:pStyle w:val="KF"/>
              <w:widowControl w:val="0"/>
              <w:tabs>
                <w:tab w:val="clear" w:pos="454"/>
                <w:tab w:val="left" w:pos="567"/>
              </w:tabs>
              <w:autoSpaceDE w:val="0"/>
              <w:autoSpaceDN w:val="0"/>
              <w:adjustRightInd w:val="0"/>
              <w:spacing w:before="0"/>
              <w:rPr>
                <w:b w:val="0"/>
                <w:bCs/>
                <w:i w:val="0"/>
                <w:szCs w:val="22"/>
                <w:lang w:val="el-GR" w:eastAsia="nl-NL"/>
              </w:rPr>
            </w:pPr>
            <w:r w:rsidRPr="00144C76">
              <w:rPr>
                <w:b w:val="0"/>
                <w:iCs/>
              </w:rPr>
              <w:t xml:space="preserve">Chlamydophila </w:t>
            </w:r>
            <w:r w:rsidRPr="00144C76">
              <w:rPr>
                <w:b w:val="0"/>
              </w:rPr>
              <w:t xml:space="preserve">spp. </w:t>
            </w:r>
          </w:p>
        </w:tc>
      </w:tr>
      <w:tr w:rsidR="00144C76" w:rsidRPr="006756E8">
        <w:tblPrEx>
          <w:tblCellMar>
            <w:top w:w="0" w:type="dxa"/>
            <w:bottom w:w="0" w:type="dxa"/>
          </w:tblCellMar>
        </w:tblPrEx>
        <w:tc>
          <w:tcPr>
            <w:tcW w:w="9430" w:type="dxa"/>
          </w:tcPr>
          <w:p w:rsidR="00144C76" w:rsidRPr="00144C76" w:rsidRDefault="00144C76" w:rsidP="0031570A">
            <w:pPr>
              <w:pStyle w:val="KF"/>
              <w:widowControl w:val="0"/>
              <w:tabs>
                <w:tab w:val="clear" w:pos="454"/>
                <w:tab w:val="left" w:pos="567"/>
              </w:tabs>
              <w:autoSpaceDE w:val="0"/>
              <w:autoSpaceDN w:val="0"/>
              <w:adjustRightInd w:val="0"/>
              <w:spacing w:before="0"/>
              <w:rPr>
                <w:b w:val="0"/>
                <w:bCs/>
                <w:i w:val="0"/>
                <w:szCs w:val="22"/>
                <w:lang w:val="el-GR" w:eastAsia="nl-NL"/>
              </w:rPr>
            </w:pPr>
            <w:r w:rsidRPr="00144C76">
              <w:rPr>
                <w:b w:val="0"/>
                <w:iCs/>
              </w:rPr>
              <w:t xml:space="preserve">Legionella </w:t>
            </w:r>
            <w:r w:rsidRPr="00144C76">
              <w:rPr>
                <w:b w:val="0"/>
              </w:rPr>
              <w:t xml:space="preserve">spp. </w:t>
            </w:r>
          </w:p>
        </w:tc>
      </w:tr>
      <w:tr w:rsidR="00144C76" w:rsidRPr="006756E8">
        <w:tblPrEx>
          <w:tblCellMar>
            <w:top w:w="0" w:type="dxa"/>
            <w:bottom w:w="0" w:type="dxa"/>
          </w:tblCellMar>
        </w:tblPrEx>
        <w:tc>
          <w:tcPr>
            <w:tcW w:w="9430" w:type="dxa"/>
          </w:tcPr>
          <w:p w:rsidR="00144C76" w:rsidRPr="00144C76" w:rsidRDefault="00144C76" w:rsidP="0031570A">
            <w:pPr>
              <w:pStyle w:val="KF"/>
              <w:widowControl w:val="0"/>
              <w:tabs>
                <w:tab w:val="clear" w:pos="454"/>
                <w:tab w:val="left" w:pos="567"/>
              </w:tabs>
              <w:autoSpaceDE w:val="0"/>
              <w:autoSpaceDN w:val="0"/>
              <w:adjustRightInd w:val="0"/>
              <w:spacing w:before="0"/>
              <w:rPr>
                <w:b w:val="0"/>
                <w:bCs/>
                <w:i w:val="0"/>
                <w:szCs w:val="22"/>
                <w:lang w:val="el-GR" w:eastAsia="nl-NL"/>
              </w:rPr>
            </w:pPr>
            <w:r w:rsidRPr="00144C76">
              <w:rPr>
                <w:b w:val="0"/>
                <w:iCs/>
              </w:rPr>
              <w:t xml:space="preserve">Mycoplasma </w:t>
            </w:r>
            <w:r w:rsidRPr="00144C76">
              <w:rPr>
                <w:b w:val="0"/>
              </w:rPr>
              <w:t xml:space="preserve">spp. </w:t>
            </w:r>
          </w:p>
        </w:tc>
      </w:tr>
    </w:tbl>
    <w:p w:rsidR="00BF0C5C" w:rsidRPr="00BF0C5C" w:rsidRDefault="00BF0C5C" w:rsidP="00BF0C5C">
      <w:pPr>
        <w:pStyle w:val="Default"/>
        <w:rPr>
          <w:sz w:val="22"/>
          <w:szCs w:val="22"/>
        </w:rPr>
      </w:pPr>
      <w:r w:rsidRPr="00BF0C5C">
        <w:rPr>
          <w:sz w:val="22"/>
          <w:szCs w:val="22"/>
        </w:rPr>
        <w:t xml:space="preserve">° Δεν υπήρχαν διαθέσιμα </w:t>
      </w:r>
      <w:r w:rsidR="00076AAD" w:rsidRPr="00BF0C5C">
        <w:rPr>
          <w:sz w:val="22"/>
          <w:szCs w:val="22"/>
        </w:rPr>
        <w:t xml:space="preserve">τρέχοντα δεδομένα </w:t>
      </w:r>
      <w:r w:rsidRPr="00BF0C5C">
        <w:rPr>
          <w:sz w:val="22"/>
          <w:szCs w:val="22"/>
        </w:rPr>
        <w:t xml:space="preserve">κατά το χρόνο δημοσίευσης του παρόντος πίνακα. </w:t>
      </w:r>
      <w:r w:rsidR="00076AAD">
        <w:rPr>
          <w:sz w:val="22"/>
          <w:szCs w:val="22"/>
          <w:lang w:val="el-GR"/>
        </w:rPr>
        <w:t>Η ε</w:t>
      </w:r>
      <w:r w:rsidRPr="00BF0C5C">
        <w:rPr>
          <w:sz w:val="22"/>
          <w:szCs w:val="22"/>
        </w:rPr>
        <w:t>υαισθησία</w:t>
      </w:r>
      <w:r w:rsidR="00076AAD">
        <w:rPr>
          <w:sz w:val="22"/>
          <w:szCs w:val="22"/>
          <w:lang w:val="el-GR"/>
        </w:rPr>
        <w:t xml:space="preserve"> προβλέπεται</w:t>
      </w:r>
      <w:r w:rsidRPr="00BF0C5C">
        <w:rPr>
          <w:sz w:val="22"/>
          <w:szCs w:val="22"/>
        </w:rPr>
        <w:t xml:space="preserve"> στ</w:t>
      </w:r>
      <w:r w:rsidR="00076AAD">
        <w:rPr>
          <w:sz w:val="22"/>
          <w:szCs w:val="22"/>
          <w:lang w:val="el-GR"/>
        </w:rPr>
        <w:t>η βασική</w:t>
      </w:r>
      <w:r w:rsidRPr="00BF0C5C">
        <w:rPr>
          <w:sz w:val="22"/>
          <w:szCs w:val="22"/>
        </w:rPr>
        <w:t xml:space="preserve"> βιβλιογραφία, </w:t>
      </w:r>
      <w:r w:rsidR="00076AAD">
        <w:rPr>
          <w:sz w:val="22"/>
          <w:szCs w:val="22"/>
          <w:lang w:val="el-GR"/>
        </w:rPr>
        <w:t xml:space="preserve">στις </w:t>
      </w:r>
      <w:r w:rsidRPr="00BF0C5C">
        <w:rPr>
          <w:sz w:val="22"/>
          <w:szCs w:val="22"/>
        </w:rPr>
        <w:t>πρότυπ</w:t>
      </w:r>
      <w:r w:rsidR="00076AAD">
        <w:rPr>
          <w:sz w:val="22"/>
          <w:szCs w:val="22"/>
          <w:lang w:val="el-GR"/>
        </w:rPr>
        <w:t>ες</w:t>
      </w:r>
      <w:r w:rsidRPr="00BF0C5C">
        <w:rPr>
          <w:sz w:val="22"/>
          <w:szCs w:val="22"/>
        </w:rPr>
        <w:t xml:space="preserve"> </w:t>
      </w:r>
      <w:r w:rsidR="00076AAD">
        <w:rPr>
          <w:sz w:val="22"/>
          <w:szCs w:val="22"/>
          <w:lang w:val="el-GR"/>
        </w:rPr>
        <w:t>ε</w:t>
      </w:r>
      <w:r w:rsidRPr="00BF0C5C">
        <w:rPr>
          <w:sz w:val="22"/>
          <w:szCs w:val="22"/>
        </w:rPr>
        <w:t>ργα</w:t>
      </w:r>
      <w:r w:rsidR="00076AAD">
        <w:rPr>
          <w:sz w:val="22"/>
          <w:szCs w:val="22"/>
          <w:lang w:val="el-GR"/>
        </w:rPr>
        <w:t>σίες</w:t>
      </w:r>
      <w:r w:rsidRPr="00BF0C5C">
        <w:rPr>
          <w:sz w:val="22"/>
          <w:szCs w:val="22"/>
        </w:rPr>
        <w:t xml:space="preserve"> και</w:t>
      </w:r>
      <w:r w:rsidR="00076AAD">
        <w:rPr>
          <w:sz w:val="22"/>
          <w:szCs w:val="22"/>
          <w:lang w:val="el-GR"/>
        </w:rPr>
        <w:t xml:space="preserve"> στις</w:t>
      </w:r>
      <w:r w:rsidRPr="00BF0C5C">
        <w:rPr>
          <w:sz w:val="22"/>
          <w:szCs w:val="22"/>
        </w:rPr>
        <w:t xml:space="preserve"> θεραπευτικές συστάσεις</w:t>
      </w:r>
      <w:r>
        <w:rPr>
          <w:sz w:val="22"/>
          <w:szCs w:val="22"/>
        </w:rPr>
        <w:t>.</w:t>
      </w:r>
    </w:p>
    <w:p w:rsidR="00BF0C5C" w:rsidRPr="00BF0C5C" w:rsidRDefault="00BF0C5C" w:rsidP="00BF0C5C">
      <w:pPr>
        <w:pStyle w:val="Default"/>
        <w:rPr>
          <w:sz w:val="22"/>
          <w:szCs w:val="22"/>
        </w:rPr>
      </w:pPr>
      <w:r w:rsidRPr="00076AAD">
        <w:rPr>
          <w:sz w:val="22"/>
          <w:szCs w:val="22"/>
          <w:vertAlign w:val="superscript"/>
        </w:rPr>
        <w:t>+</w:t>
      </w:r>
      <w:r w:rsidRPr="00BF0C5C">
        <w:rPr>
          <w:sz w:val="22"/>
          <w:szCs w:val="22"/>
        </w:rPr>
        <w:t xml:space="preserve"> </w:t>
      </w:r>
      <w:r w:rsidR="00076AAD">
        <w:rPr>
          <w:sz w:val="22"/>
          <w:szCs w:val="22"/>
          <w:lang w:val="el-GR"/>
        </w:rPr>
        <w:t xml:space="preserve">Το ποσοστό αντοχής είναι πάνω από </w:t>
      </w:r>
      <w:r w:rsidRPr="00BF0C5C">
        <w:rPr>
          <w:sz w:val="22"/>
          <w:szCs w:val="22"/>
        </w:rPr>
        <w:t xml:space="preserve">50% </w:t>
      </w:r>
      <w:r w:rsidR="00076AAD">
        <w:rPr>
          <w:sz w:val="22"/>
          <w:szCs w:val="22"/>
          <w:lang w:val="el-GR"/>
        </w:rPr>
        <w:t>σε τουλάχιστον μία περιοχή</w:t>
      </w:r>
      <w:r w:rsidRPr="00BF0C5C">
        <w:rPr>
          <w:sz w:val="22"/>
          <w:szCs w:val="22"/>
        </w:rPr>
        <w:t>.</w:t>
      </w:r>
    </w:p>
    <w:p w:rsidR="00BF0C5C" w:rsidRPr="009D2838" w:rsidRDefault="00BF0C5C" w:rsidP="00BF0C5C">
      <w:pPr>
        <w:pStyle w:val="Default"/>
        <w:rPr>
          <w:sz w:val="22"/>
          <w:szCs w:val="22"/>
        </w:rPr>
      </w:pPr>
      <w:r w:rsidRPr="00076AAD">
        <w:rPr>
          <w:sz w:val="22"/>
          <w:szCs w:val="22"/>
          <w:vertAlign w:val="superscript"/>
        </w:rPr>
        <w:t>%</w:t>
      </w:r>
      <w:r w:rsidRPr="00BF0C5C">
        <w:rPr>
          <w:sz w:val="22"/>
          <w:szCs w:val="22"/>
        </w:rPr>
        <w:t xml:space="preserve"> </w:t>
      </w:r>
      <w:r w:rsidR="00076AAD">
        <w:rPr>
          <w:sz w:val="22"/>
          <w:szCs w:val="22"/>
          <w:lang w:val="el-GR"/>
        </w:rPr>
        <w:t>Τα</w:t>
      </w:r>
      <w:r w:rsidR="00076AAD" w:rsidRPr="009D2838">
        <w:rPr>
          <w:sz w:val="22"/>
          <w:szCs w:val="22"/>
        </w:rPr>
        <w:t xml:space="preserve"> </w:t>
      </w:r>
      <w:r w:rsidR="00076AAD">
        <w:rPr>
          <w:sz w:val="22"/>
          <w:szCs w:val="22"/>
          <w:lang w:val="el-GR"/>
        </w:rPr>
        <w:t>στελέχη</w:t>
      </w:r>
      <w:r w:rsidR="00076AAD" w:rsidRPr="009D2838">
        <w:rPr>
          <w:sz w:val="22"/>
          <w:szCs w:val="22"/>
        </w:rPr>
        <w:t xml:space="preserve"> </w:t>
      </w:r>
      <w:r w:rsidR="00076AAD">
        <w:rPr>
          <w:sz w:val="22"/>
          <w:szCs w:val="22"/>
          <w:lang w:val="el-GR"/>
        </w:rPr>
        <w:t>που</w:t>
      </w:r>
      <w:r w:rsidR="00076AAD" w:rsidRPr="009D2838">
        <w:rPr>
          <w:sz w:val="22"/>
          <w:szCs w:val="22"/>
        </w:rPr>
        <w:t xml:space="preserve"> </w:t>
      </w:r>
      <w:r w:rsidR="00076AAD">
        <w:rPr>
          <w:sz w:val="22"/>
          <w:szCs w:val="22"/>
          <w:lang w:val="el-GR"/>
        </w:rPr>
        <w:t>παράγουν</w:t>
      </w:r>
      <w:r w:rsidR="00076AAD" w:rsidRPr="009D2838">
        <w:rPr>
          <w:sz w:val="22"/>
          <w:szCs w:val="22"/>
        </w:rPr>
        <w:t xml:space="preserve"> </w:t>
      </w:r>
      <w:r w:rsidR="00076AAD">
        <w:rPr>
          <w:sz w:val="22"/>
          <w:szCs w:val="22"/>
          <w:lang w:val="el-GR"/>
        </w:rPr>
        <w:t>β</w:t>
      </w:r>
      <w:r w:rsidR="009D2838" w:rsidRPr="009D2838">
        <w:rPr>
          <w:sz w:val="22"/>
          <w:szCs w:val="22"/>
        </w:rPr>
        <w:noBreakHyphen/>
      </w:r>
      <w:r w:rsidR="00076AAD" w:rsidRPr="009D2838">
        <w:rPr>
          <w:sz w:val="22"/>
          <w:szCs w:val="22"/>
          <w:lang w:val="el-GR"/>
        </w:rPr>
        <w:t>λακταμάσες</w:t>
      </w:r>
      <w:r w:rsidR="00076AAD" w:rsidRPr="009D2838">
        <w:rPr>
          <w:sz w:val="22"/>
          <w:szCs w:val="22"/>
        </w:rPr>
        <w:t xml:space="preserve"> </w:t>
      </w:r>
      <w:r w:rsidR="00076AAD" w:rsidRPr="009D2838">
        <w:rPr>
          <w:sz w:val="22"/>
          <w:szCs w:val="22"/>
          <w:lang w:val="el-GR"/>
        </w:rPr>
        <w:t>διευρυμένου</w:t>
      </w:r>
      <w:r w:rsidR="00076AAD" w:rsidRPr="009D2838">
        <w:rPr>
          <w:sz w:val="22"/>
          <w:szCs w:val="22"/>
        </w:rPr>
        <w:t xml:space="preserve"> </w:t>
      </w:r>
      <w:r w:rsidR="00076AAD" w:rsidRPr="009D2838">
        <w:rPr>
          <w:sz w:val="22"/>
          <w:szCs w:val="22"/>
          <w:lang w:val="el-GR"/>
        </w:rPr>
        <w:t>φάσματος</w:t>
      </w:r>
      <w:r w:rsidR="00076AAD" w:rsidRPr="009D2838">
        <w:rPr>
          <w:sz w:val="22"/>
          <w:szCs w:val="22"/>
        </w:rPr>
        <w:t xml:space="preserve"> </w:t>
      </w:r>
      <w:r w:rsidRPr="009D2838">
        <w:rPr>
          <w:sz w:val="22"/>
          <w:szCs w:val="22"/>
        </w:rPr>
        <w:t>(ESBL)</w:t>
      </w:r>
      <w:r w:rsidR="009D2838" w:rsidRPr="009D2838">
        <w:rPr>
          <w:sz w:val="22"/>
          <w:szCs w:val="22"/>
        </w:rPr>
        <w:t xml:space="preserve"> </w:t>
      </w:r>
      <w:r w:rsidR="009D2838">
        <w:rPr>
          <w:sz w:val="22"/>
          <w:szCs w:val="22"/>
          <w:lang w:val="el-GR"/>
        </w:rPr>
        <w:t>είναι πάντα ανθεκτικά</w:t>
      </w:r>
      <w:r w:rsidR="00076AAD" w:rsidRPr="009D2838">
        <w:rPr>
          <w:sz w:val="22"/>
          <w:szCs w:val="22"/>
        </w:rPr>
        <w:t>.</w:t>
      </w:r>
    </w:p>
    <w:p w:rsidR="00BF0C5C" w:rsidRPr="00862F4E" w:rsidRDefault="00BF0C5C" w:rsidP="00BF0C5C">
      <w:pPr>
        <w:autoSpaceDE w:val="0"/>
        <w:autoSpaceDN w:val="0"/>
        <w:adjustRightInd w:val="0"/>
        <w:rPr>
          <w:szCs w:val="22"/>
        </w:rPr>
      </w:pPr>
      <w:r w:rsidRPr="00862F4E">
        <w:rPr>
          <w:szCs w:val="22"/>
          <w:vertAlign w:val="superscript"/>
        </w:rPr>
        <w:t>3</w:t>
      </w:r>
      <w:r w:rsidRPr="00862F4E">
        <w:rPr>
          <w:szCs w:val="22"/>
        </w:rPr>
        <w:t xml:space="preserve"> </w:t>
      </w:r>
      <w:r w:rsidR="009D2838">
        <w:rPr>
          <w:szCs w:val="22"/>
        </w:rPr>
        <w:t>Σε</w:t>
      </w:r>
      <w:r w:rsidR="009D2838" w:rsidRPr="00862F4E">
        <w:rPr>
          <w:szCs w:val="22"/>
        </w:rPr>
        <w:t xml:space="preserve"> </w:t>
      </w:r>
      <w:r w:rsidR="009D2838">
        <w:rPr>
          <w:szCs w:val="22"/>
        </w:rPr>
        <w:t>εξωτερικά</w:t>
      </w:r>
      <w:r w:rsidR="009D2838" w:rsidRPr="00862F4E">
        <w:rPr>
          <w:szCs w:val="22"/>
        </w:rPr>
        <w:t xml:space="preserve"> </w:t>
      </w:r>
      <w:r w:rsidR="009D2838">
        <w:rPr>
          <w:szCs w:val="22"/>
        </w:rPr>
        <w:t>ιατρεία</w:t>
      </w:r>
      <w:r w:rsidRPr="00862F4E">
        <w:rPr>
          <w:szCs w:val="22"/>
        </w:rPr>
        <w:t xml:space="preserve">, </w:t>
      </w:r>
      <w:r w:rsidR="009D2838">
        <w:rPr>
          <w:szCs w:val="22"/>
        </w:rPr>
        <w:t>το ποσοστό αντοχής</w:t>
      </w:r>
      <w:r w:rsidRPr="00862F4E">
        <w:rPr>
          <w:szCs w:val="22"/>
        </w:rPr>
        <w:t xml:space="preserve"> </w:t>
      </w:r>
      <w:r w:rsidR="009D2838">
        <w:rPr>
          <w:szCs w:val="22"/>
        </w:rPr>
        <w:t xml:space="preserve">είναι </w:t>
      </w:r>
      <w:r w:rsidRPr="00862F4E">
        <w:rPr>
          <w:szCs w:val="22"/>
        </w:rPr>
        <w:t>&lt;</w:t>
      </w:r>
      <w:r w:rsidR="009D2838">
        <w:rPr>
          <w:szCs w:val="22"/>
        </w:rPr>
        <w:t> </w:t>
      </w:r>
      <w:r w:rsidRPr="00862F4E">
        <w:rPr>
          <w:szCs w:val="22"/>
        </w:rPr>
        <w:t>10%.</w:t>
      </w:r>
    </w:p>
    <w:p w:rsidR="00250280" w:rsidRPr="00862F4E" w:rsidRDefault="00250280" w:rsidP="0031570A">
      <w:pPr>
        <w:tabs>
          <w:tab w:val="left" w:pos="567"/>
        </w:tabs>
        <w:autoSpaceDE w:val="0"/>
        <w:autoSpaceDN w:val="0"/>
        <w:adjustRightInd w:val="0"/>
        <w:rPr>
          <w:szCs w:val="22"/>
        </w:rPr>
      </w:pPr>
    </w:p>
    <w:p w:rsidR="00B9512A" w:rsidRPr="006756E8" w:rsidRDefault="00B9512A" w:rsidP="0031570A">
      <w:pPr>
        <w:tabs>
          <w:tab w:val="left" w:pos="567"/>
        </w:tabs>
        <w:rPr>
          <w:noProof/>
          <w:szCs w:val="22"/>
        </w:rPr>
      </w:pPr>
      <w:r w:rsidRPr="006756E8">
        <w:rPr>
          <w:b/>
          <w:noProof/>
          <w:szCs w:val="22"/>
        </w:rPr>
        <w:t>5.2</w:t>
      </w:r>
      <w:r w:rsidRPr="006756E8">
        <w:rPr>
          <w:b/>
          <w:noProof/>
          <w:szCs w:val="22"/>
        </w:rPr>
        <w:tab/>
        <w:t>Φαρμακοκινητικές ιδιότητες</w:t>
      </w:r>
    </w:p>
    <w:p w:rsidR="00400C57" w:rsidRPr="006756E8" w:rsidRDefault="00400C57" w:rsidP="0031570A">
      <w:pPr>
        <w:tabs>
          <w:tab w:val="left" w:pos="567"/>
        </w:tabs>
        <w:autoSpaceDE w:val="0"/>
        <w:autoSpaceDN w:val="0"/>
        <w:adjustRightInd w:val="0"/>
        <w:rPr>
          <w:szCs w:val="22"/>
        </w:rPr>
      </w:pPr>
    </w:p>
    <w:p w:rsidR="00400C57" w:rsidRPr="006756E8" w:rsidRDefault="00862F4E" w:rsidP="0031570A">
      <w:pPr>
        <w:tabs>
          <w:tab w:val="left" w:pos="567"/>
        </w:tabs>
        <w:autoSpaceDE w:val="0"/>
        <w:autoSpaceDN w:val="0"/>
        <w:adjustRightInd w:val="0"/>
        <w:rPr>
          <w:szCs w:val="22"/>
        </w:rPr>
      </w:pPr>
      <w:r>
        <w:rPr>
          <w:szCs w:val="22"/>
        </w:rPr>
        <w:t>Η φαρμακοκινητική</w:t>
      </w:r>
      <w:r w:rsidR="00400C57" w:rsidRPr="006756E8">
        <w:rPr>
          <w:szCs w:val="22"/>
        </w:rPr>
        <w:t xml:space="preserve"> της κεφεπίμης είναι </w:t>
      </w:r>
      <w:r>
        <w:rPr>
          <w:szCs w:val="22"/>
        </w:rPr>
        <w:t>γραμμική</w:t>
      </w:r>
      <w:r w:rsidR="00400C57" w:rsidRPr="006756E8">
        <w:rPr>
          <w:szCs w:val="22"/>
        </w:rPr>
        <w:t xml:space="preserve"> </w:t>
      </w:r>
      <w:r w:rsidR="008D1932" w:rsidRPr="006756E8">
        <w:rPr>
          <w:szCs w:val="22"/>
        </w:rPr>
        <w:t>στο</w:t>
      </w:r>
      <w:r w:rsidR="00400C57" w:rsidRPr="006756E8">
        <w:rPr>
          <w:szCs w:val="22"/>
        </w:rPr>
        <w:t xml:space="preserve"> διάστημα ενδοφλεβίων </w:t>
      </w:r>
      <w:r>
        <w:rPr>
          <w:szCs w:val="22"/>
        </w:rPr>
        <w:t>(</w:t>
      </w:r>
      <w:r w:rsidRPr="005E133A">
        <w:rPr>
          <w:lang w:val="en-GB"/>
        </w:rPr>
        <w:t>IV</w:t>
      </w:r>
      <w:r>
        <w:rPr>
          <w:szCs w:val="22"/>
        </w:rPr>
        <w:t xml:space="preserve">) </w:t>
      </w:r>
      <w:r w:rsidR="00400C57" w:rsidRPr="006756E8">
        <w:rPr>
          <w:szCs w:val="22"/>
        </w:rPr>
        <w:t>δόσεων μεταξύ 250</w:t>
      </w:r>
      <w:r>
        <w:rPr>
          <w:szCs w:val="22"/>
        </w:rPr>
        <w:t> </w:t>
      </w:r>
      <w:r w:rsidR="00400C57" w:rsidRPr="006756E8">
        <w:rPr>
          <w:szCs w:val="22"/>
          <w:lang w:val="en-GB"/>
        </w:rPr>
        <w:t>mg</w:t>
      </w:r>
      <w:r>
        <w:rPr>
          <w:szCs w:val="22"/>
        </w:rPr>
        <w:noBreakHyphen/>
      </w:r>
      <w:r w:rsidR="00400C57" w:rsidRPr="006756E8">
        <w:rPr>
          <w:szCs w:val="22"/>
        </w:rPr>
        <w:t>2</w:t>
      </w:r>
      <w:r>
        <w:rPr>
          <w:szCs w:val="22"/>
        </w:rPr>
        <w:t> </w:t>
      </w:r>
      <w:r w:rsidR="00400C57" w:rsidRPr="006756E8">
        <w:rPr>
          <w:szCs w:val="22"/>
          <w:lang w:val="en-GB"/>
        </w:rPr>
        <w:t>g</w:t>
      </w:r>
      <w:r w:rsidR="00400C57" w:rsidRPr="006756E8">
        <w:rPr>
          <w:szCs w:val="22"/>
        </w:rPr>
        <w:t xml:space="preserve">. Δε </w:t>
      </w:r>
      <w:r>
        <w:rPr>
          <w:szCs w:val="22"/>
        </w:rPr>
        <w:t>μεταβάλλεται</w:t>
      </w:r>
      <w:r w:rsidR="00400C57" w:rsidRPr="006756E8">
        <w:rPr>
          <w:szCs w:val="22"/>
        </w:rPr>
        <w:t xml:space="preserve"> κατά τη διάρκεια της θεραπείας. </w:t>
      </w:r>
    </w:p>
    <w:p w:rsidR="00400C57" w:rsidRPr="006756E8" w:rsidRDefault="00400C57" w:rsidP="0031570A">
      <w:pPr>
        <w:tabs>
          <w:tab w:val="left" w:pos="567"/>
        </w:tabs>
        <w:autoSpaceDE w:val="0"/>
        <w:autoSpaceDN w:val="0"/>
        <w:adjustRightInd w:val="0"/>
        <w:rPr>
          <w:szCs w:val="22"/>
          <w:u w:val="single"/>
        </w:rPr>
      </w:pPr>
    </w:p>
    <w:p w:rsidR="00400C57" w:rsidRPr="006756E8" w:rsidRDefault="00400C57" w:rsidP="0031570A">
      <w:pPr>
        <w:tabs>
          <w:tab w:val="left" w:pos="567"/>
        </w:tabs>
        <w:autoSpaceDE w:val="0"/>
        <w:autoSpaceDN w:val="0"/>
        <w:adjustRightInd w:val="0"/>
        <w:rPr>
          <w:szCs w:val="22"/>
        </w:rPr>
      </w:pPr>
      <w:r w:rsidRPr="006756E8">
        <w:rPr>
          <w:szCs w:val="22"/>
          <w:u w:val="single"/>
        </w:rPr>
        <w:t>Κατανομή</w:t>
      </w:r>
      <w:r w:rsidRPr="006756E8">
        <w:rPr>
          <w:szCs w:val="22"/>
        </w:rPr>
        <w:t xml:space="preserve">: </w:t>
      </w:r>
      <w:r w:rsidR="00673F52" w:rsidRPr="006756E8">
        <w:rPr>
          <w:szCs w:val="22"/>
        </w:rPr>
        <w:t>Οι μέσες συγκεντρώσεις της κεφεπίμης στο πλάσμα που παρατηρήθηκαν σε ενήλικες άνδρες μετά από μ</w:t>
      </w:r>
      <w:r w:rsidR="00862F4E">
        <w:rPr>
          <w:szCs w:val="22"/>
        </w:rPr>
        <w:t>ί</w:t>
      </w:r>
      <w:r w:rsidR="00673F52" w:rsidRPr="006756E8">
        <w:rPr>
          <w:szCs w:val="22"/>
        </w:rPr>
        <w:t xml:space="preserve">α </w:t>
      </w:r>
      <w:r w:rsidR="00ED6C76" w:rsidRPr="006756E8">
        <w:rPr>
          <w:szCs w:val="22"/>
        </w:rPr>
        <w:t xml:space="preserve">εφάπαξ </w:t>
      </w:r>
      <w:r w:rsidR="00673F52" w:rsidRPr="006756E8">
        <w:rPr>
          <w:szCs w:val="22"/>
        </w:rPr>
        <w:t xml:space="preserve">ενδοφλέβια έγχυση των </w:t>
      </w:r>
      <w:r w:rsidRPr="006756E8">
        <w:rPr>
          <w:szCs w:val="22"/>
        </w:rPr>
        <w:t>500</w:t>
      </w:r>
      <w:r w:rsidR="00523DAE">
        <w:rPr>
          <w:szCs w:val="22"/>
        </w:rPr>
        <w:t> </w:t>
      </w:r>
      <w:r w:rsidRPr="006756E8">
        <w:rPr>
          <w:szCs w:val="22"/>
          <w:lang w:val="en-GB"/>
        </w:rPr>
        <w:t>mg</w:t>
      </w:r>
      <w:r w:rsidRPr="006756E8">
        <w:rPr>
          <w:szCs w:val="22"/>
        </w:rPr>
        <w:t>, 1</w:t>
      </w:r>
      <w:r w:rsidR="00523DAE">
        <w:rPr>
          <w:szCs w:val="22"/>
        </w:rPr>
        <w:t> </w:t>
      </w:r>
      <w:r w:rsidRPr="006756E8">
        <w:rPr>
          <w:szCs w:val="22"/>
          <w:lang w:val="en-GB"/>
        </w:rPr>
        <w:t>g</w:t>
      </w:r>
      <w:r w:rsidRPr="006756E8">
        <w:rPr>
          <w:szCs w:val="22"/>
        </w:rPr>
        <w:t xml:space="preserve"> </w:t>
      </w:r>
      <w:r w:rsidR="00673F52" w:rsidRPr="006756E8">
        <w:rPr>
          <w:szCs w:val="22"/>
        </w:rPr>
        <w:t>και</w:t>
      </w:r>
      <w:r w:rsidRPr="006756E8">
        <w:rPr>
          <w:szCs w:val="22"/>
        </w:rPr>
        <w:t xml:space="preserve"> 2</w:t>
      </w:r>
      <w:r w:rsidR="00523DAE">
        <w:rPr>
          <w:szCs w:val="22"/>
        </w:rPr>
        <w:t> </w:t>
      </w:r>
      <w:r w:rsidRPr="006756E8">
        <w:rPr>
          <w:szCs w:val="22"/>
          <w:lang w:val="en-GB"/>
        </w:rPr>
        <w:t>g</w:t>
      </w:r>
      <w:r w:rsidRPr="006756E8">
        <w:rPr>
          <w:szCs w:val="22"/>
        </w:rPr>
        <w:t xml:space="preserve"> </w:t>
      </w:r>
      <w:r w:rsidR="00673F52" w:rsidRPr="006756E8">
        <w:rPr>
          <w:szCs w:val="22"/>
        </w:rPr>
        <w:t>για</w:t>
      </w:r>
      <w:r w:rsidRPr="006756E8">
        <w:rPr>
          <w:szCs w:val="22"/>
        </w:rPr>
        <w:t xml:space="preserve"> 30 </w:t>
      </w:r>
      <w:r w:rsidR="00673F52" w:rsidRPr="006756E8">
        <w:rPr>
          <w:szCs w:val="22"/>
        </w:rPr>
        <w:t>λεπτά</w:t>
      </w:r>
      <w:r w:rsidRPr="006756E8">
        <w:rPr>
          <w:szCs w:val="22"/>
        </w:rPr>
        <w:t>.</w:t>
      </w:r>
    </w:p>
    <w:p w:rsidR="00400C57" w:rsidRPr="006756E8" w:rsidRDefault="00400C57" w:rsidP="0031570A">
      <w:pPr>
        <w:tabs>
          <w:tab w:val="left" w:pos="567"/>
        </w:tabs>
        <w:autoSpaceDE w:val="0"/>
        <w:autoSpaceDN w:val="0"/>
        <w:adjustRightInd w:val="0"/>
        <w:jc w:val="center"/>
        <w:rPr>
          <w:szCs w:val="22"/>
        </w:rPr>
      </w:pPr>
    </w:p>
    <w:p w:rsidR="00400C57" w:rsidRPr="006756E8" w:rsidRDefault="00790AE7" w:rsidP="0031570A">
      <w:pPr>
        <w:tabs>
          <w:tab w:val="left" w:pos="567"/>
        </w:tabs>
        <w:autoSpaceDE w:val="0"/>
        <w:autoSpaceDN w:val="0"/>
        <w:adjustRightInd w:val="0"/>
        <w:rPr>
          <w:szCs w:val="22"/>
        </w:rPr>
      </w:pPr>
      <w:r w:rsidRPr="006756E8">
        <w:rPr>
          <w:szCs w:val="22"/>
        </w:rPr>
        <w:t>Μέσες συγκεντρώσεις κεφεπίμης στο πλάσμα</w:t>
      </w:r>
      <w:r w:rsidR="00400C57" w:rsidRPr="006756E8">
        <w:rPr>
          <w:szCs w:val="22"/>
        </w:rPr>
        <w:t xml:space="preserve"> (</w:t>
      </w:r>
      <w:r w:rsidR="00400C57" w:rsidRPr="006756E8">
        <w:rPr>
          <w:szCs w:val="22"/>
          <w:lang w:val="en-GB"/>
        </w:rPr>
        <w:t>mcg</w:t>
      </w:r>
      <w:r w:rsidR="00400C57" w:rsidRPr="006756E8">
        <w:rPr>
          <w:szCs w:val="22"/>
        </w:rPr>
        <w:t>/</w:t>
      </w:r>
      <w:r w:rsidR="00400C57" w:rsidRPr="006756E8">
        <w:rPr>
          <w:szCs w:val="22"/>
          <w:lang w:val="en-GB"/>
        </w:rPr>
        <w:t>ml</w:t>
      </w:r>
      <w:r w:rsidR="00400C57" w:rsidRPr="006756E8">
        <w:rPr>
          <w:szCs w:val="22"/>
        </w:rPr>
        <w:t xml:space="preserve">) </w:t>
      </w:r>
    </w:p>
    <w:tbl>
      <w:tblPr>
        <w:tblW w:w="8690" w:type="dxa"/>
        <w:tblInd w:w="108" w:type="dxa"/>
        <w:tblLayout w:type="fixed"/>
        <w:tblLook w:val="0000"/>
      </w:tblPr>
      <w:tblGrid>
        <w:gridCol w:w="1980"/>
        <w:gridCol w:w="1080"/>
        <w:gridCol w:w="1080"/>
        <w:gridCol w:w="1080"/>
        <w:gridCol w:w="1080"/>
        <w:gridCol w:w="1080"/>
        <w:gridCol w:w="1310"/>
      </w:tblGrid>
      <w:tr w:rsidR="00400C57" w:rsidRPr="00523DAE">
        <w:tblPrEx>
          <w:tblCellMar>
            <w:top w:w="0" w:type="dxa"/>
            <w:bottom w:w="0" w:type="dxa"/>
          </w:tblCellMar>
        </w:tblPrEx>
        <w:trPr>
          <w:trHeight w:val="316"/>
        </w:trPr>
        <w:tc>
          <w:tcPr>
            <w:tcW w:w="1980" w:type="dxa"/>
            <w:tcBorders>
              <w:top w:val="double" w:sz="12" w:space="0" w:color="000000"/>
              <w:left w:val="double" w:sz="12" w:space="0" w:color="000000"/>
              <w:bottom w:val="single" w:sz="8" w:space="0" w:color="000000"/>
              <w:right w:val="single" w:sz="8" w:space="0" w:color="000000"/>
            </w:tcBorders>
            <w:shd w:val="clear" w:color="auto" w:fill="FFFFFF"/>
          </w:tcPr>
          <w:p w:rsidR="00400C57" w:rsidRPr="006756E8" w:rsidRDefault="00790AE7" w:rsidP="0031570A">
            <w:pPr>
              <w:tabs>
                <w:tab w:val="left" w:pos="567"/>
              </w:tabs>
              <w:autoSpaceDE w:val="0"/>
              <w:autoSpaceDN w:val="0"/>
              <w:adjustRightInd w:val="0"/>
              <w:spacing w:before="120" w:after="120"/>
              <w:jc w:val="center"/>
              <w:rPr>
                <w:szCs w:val="22"/>
                <w:lang w:val="en-GB"/>
              </w:rPr>
            </w:pPr>
            <w:r w:rsidRPr="006756E8">
              <w:rPr>
                <w:noProof/>
                <w:szCs w:val="22"/>
              </w:rPr>
              <w:t>Δόση κεφεπίμης</w:t>
            </w:r>
            <w:r w:rsidR="00400C57" w:rsidRPr="006756E8">
              <w:rPr>
                <w:noProof/>
                <w:szCs w:val="22"/>
                <w:lang w:val="en-GB"/>
              </w:rPr>
              <w:t xml:space="preserve"> </w:t>
            </w:r>
          </w:p>
        </w:tc>
        <w:tc>
          <w:tcPr>
            <w:tcW w:w="1080" w:type="dxa"/>
            <w:tcBorders>
              <w:top w:val="double" w:sz="12" w:space="0" w:color="000000"/>
              <w:left w:val="single" w:sz="8" w:space="0" w:color="000000"/>
              <w:bottom w:val="single" w:sz="8" w:space="0" w:color="000000"/>
              <w:right w:val="single" w:sz="8" w:space="0" w:color="000000"/>
            </w:tcBorders>
            <w:shd w:val="clear" w:color="auto" w:fill="FFFFFF"/>
          </w:tcPr>
          <w:p w:rsidR="00400C57" w:rsidRPr="006756E8" w:rsidRDefault="00790AE7" w:rsidP="00523DAE">
            <w:pPr>
              <w:tabs>
                <w:tab w:val="left" w:pos="567"/>
              </w:tabs>
              <w:autoSpaceDE w:val="0"/>
              <w:autoSpaceDN w:val="0"/>
              <w:adjustRightInd w:val="0"/>
              <w:spacing w:before="120" w:after="120"/>
              <w:jc w:val="center"/>
              <w:rPr>
                <w:szCs w:val="22"/>
                <w:lang w:val="en-GB"/>
              </w:rPr>
            </w:pPr>
            <w:r w:rsidRPr="006756E8">
              <w:rPr>
                <w:noProof/>
                <w:szCs w:val="22"/>
                <w:lang w:val="en-GB"/>
              </w:rPr>
              <w:t>0</w:t>
            </w:r>
            <w:r w:rsidR="00523DAE">
              <w:rPr>
                <w:noProof/>
                <w:szCs w:val="22"/>
              </w:rPr>
              <w:t>,</w:t>
            </w:r>
            <w:r w:rsidRPr="006756E8">
              <w:rPr>
                <w:noProof/>
                <w:szCs w:val="22"/>
                <w:lang w:val="en-GB"/>
              </w:rPr>
              <w:t xml:space="preserve">5 </w:t>
            </w:r>
            <w:r w:rsidRPr="006756E8">
              <w:rPr>
                <w:noProof/>
                <w:szCs w:val="22"/>
              </w:rPr>
              <w:t>ώρα</w:t>
            </w:r>
            <w:r w:rsidR="00400C57" w:rsidRPr="006756E8">
              <w:rPr>
                <w:noProof/>
                <w:szCs w:val="22"/>
                <w:lang w:val="en-GB"/>
              </w:rPr>
              <w:t xml:space="preserve"> </w:t>
            </w:r>
          </w:p>
        </w:tc>
        <w:tc>
          <w:tcPr>
            <w:tcW w:w="1080" w:type="dxa"/>
            <w:tcBorders>
              <w:top w:val="double" w:sz="12" w:space="0" w:color="000000"/>
              <w:left w:val="single" w:sz="8" w:space="0" w:color="000000"/>
              <w:bottom w:val="single" w:sz="8" w:space="0" w:color="000000"/>
              <w:right w:val="single" w:sz="8" w:space="0" w:color="000000"/>
            </w:tcBorders>
            <w:shd w:val="clear" w:color="auto" w:fill="FFFFFF"/>
          </w:tcPr>
          <w:p w:rsidR="00400C57" w:rsidRPr="006756E8" w:rsidRDefault="00400C57" w:rsidP="00523DAE">
            <w:pPr>
              <w:tabs>
                <w:tab w:val="left" w:pos="567"/>
              </w:tabs>
              <w:autoSpaceDE w:val="0"/>
              <w:autoSpaceDN w:val="0"/>
              <w:adjustRightInd w:val="0"/>
              <w:spacing w:before="120" w:after="120"/>
              <w:jc w:val="center"/>
              <w:rPr>
                <w:szCs w:val="22"/>
                <w:lang w:val="en-GB"/>
              </w:rPr>
            </w:pPr>
            <w:r w:rsidRPr="006756E8">
              <w:rPr>
                <w:noProof/>
                <w:szCs w:val="22"/>
                <w:lang w:val="en-GB"/>
              </w:rPr>
              <w:t>1</w:t>
            </w:r>
            <w:r w:rsidR="00523DAE">
              <w:rPr>
                <w:noProof/>
                <w:szCs w:val="22"/>
              </w:rPr>
              <w:t>,</w:t>
            </w:r>
            <w:r w:rsidRPr="006756E8">
              <w:rPr>
                <w:noProof/>
                <w:szCs w:val="22"/>
                <w:lang w:val="en-GB"/>
              </w:rPr>
              <w:t xml:space="preserve">0 </w:t>
            </w:r>
            <w:r w:rsidR="00790AE7" w:rsidRPr="006756E8">
              <w:rPr>
                <w:noProof/>
                <w:szCs w:val="22"/>
              </w:rPr>
              <w:t>ώρα</w:t>
            </w:r>
          </w:p>
        </w:tc>
        <w:tc>
          <w:tcPr>
            <w:tcW w:w="1080" w:type="dxa"/>
            <w:tcBorders>
              <w:top w:val="double" w:sz="12" w:space="0" w:color="000000"/>
              <w:left w:val="single" w:sz="8" w:space="0" w:color="000000"/>
              <w:bottom w:val="single" w:sz="8" w:space="0" w:color="000000"/>
              <w:right w:val="single" w:sz="8" w:space="0" w:color="000000"/>
            </w:tcBorders>
            <w:shd w:val="clear" w:color="auto" w:fill="FFFFFF"/>
          </w:tcPr>
          <w:p w:rsidR="00400C57" w:rsidRPr="00523DAE" w:rsidRDefault="00400C57" w:rsidP="00523DAE">
            <w:pPr>
              <w:tabs>
                <w:tab w:val="left" w:pos="567"/>
              </w:tabs>
              <w:autoSpaceDE w:val="0"/>
              <w:autoSpaceDN w:val="0"/>
              <w:adjustRightInd w:val="0"/>
              <w:spacing w:before="120" w:after="120"/>
              <w:jc w:val="center"/>
              <w:rPr>
                <w:szCs w:val="22"/>
              </w:rPr>
            </w:pPr>
            <w:r w:rsidRPr="00523DAE">
              <w:rPr>
                <w:noProof/>
                <w:szCs w:val="22"/>
              </w:rPr>
              <w:t>2</w:t>
            </w:r>
            <w:r w:rsidR="00523DAE">
              <w:rPr>
                <w:noProof/>
                <w:szCs w:val="22"/>
              </w:rPr>
              <w:t>,</w:t>
            </w:r>
            <w:r w:rsidRPr="00523DAE">
              <w:rPr>
                <w:noProof/>
                <w:szCs w:val="22"/>
              </w:rPr>
              <w:t xml:space="preserve">0 </w:t>
            </w:r>
            <w:r w:rsidR="00790AE7" w:rsidRPr="006756E8">
              <w:rPr>
                <w:noProof/>
                <w:szCs w:val="22"/>
              </w:rPr>
              <w:t>ώρες</w:t>
            </w:r>
          </w:p>
        </w:tc>
        <w:tc>
          <w:tcPr>
            <w:tcW w:w="1080" w:type="dxa"/>
            <w:tcBorders>
              <w:top w:val="double" w:sz="12" w:space="0" w:color="000000"/>
              <w:left w:val="single" w:sz="8" w:space="0" w:color="000000"/>
              <w:bottom w:val="single" w:sz="8" w:space="0" w:color="000000"/>
              <w:right w:val="single" w:sz="8" w:space="0" w:color="000000"/>
            </w:tcBorders>
            <w:shd w:val="clear" w:color="auto" w:fill="FFFFFF"/>
          </w:tcPr>
          <w:p w:rsidR="00400C57" w:rsidRPr="00523DAE" w:rsidRDefault="00400C57" w:rsidP="00523DAE">
            <w:pPr>
              <w:tabs>
                <w:tab w:val="left" w:pos="567"/>
              </w:tabs>
              <w:autoSpaceDE w:val="0"/>
              <w:autoSpaceDN w:val="0"/>
              <w:adjustRightInd w:val="0"/>
              <w:spacing w:before="120" w:after="120"/>
              <w:jc w:val="center"/>
              <w:rPr>
                <w:szCs w:val="22"/>
              </w:rPr>
            </w:pPr>
            <w:r w:rsidRPr="00523DAE">
              <w:rPr>
                <w:noProof/>
                <w:szCs w:val="22"/>
              </w:rPr>
              <w:t>4</w:t>
            </w:r>
            <w:r w:rsidR="00523DAE">
              <w:rPr>
                <w:noProof/>
                <w:szCs w:val="22"/>
              </w:rPr>
              <w:t>,</w:t>
            </w:r>
            <w:r w:rsidRPr="00523DAE">
              <w:rPr>
                <w:noProof/>
                <w:szCs w:val="22"/>
              </w:rPr>
              <w:t xml:space="preserve">0 </w:t>
            </w:r>
            <w:r w:rsidR="00790AE7" w:rsidRPr="006756E8">
              <w:rPr>
                <w:noProof/>
                <w:szCs w:val="22"/>
              </w:rPr>
              <w:t>ώρες</w:t>
            </w:r>
          </w:p>
        </w:tc>
        <w:tc>
          <w:tcPr>
            <w:tcW w:w="1080" w:type="dxa"/>
            <w:tcBorders>
              <w:top w:val="double" w:sz="12" w:space="0" w:color="000000"/>
              <w:left w:val="single" w:sz="8" w:space="0" w:color="000000"/>
              <w:bottom w:val="single" w:sz="8" w:space="0" w:color="000000"/>
              <w:right w:val="single" w:sz="8" w:space="0" w:color="000000"/>
            </w:tcBorders>
            <w:shd w:val="clear" w:color="auto" w:fill="FFFFFF"/>
          </w:tcPr>
          <w:p w:rsidR="00400C57" w:rsidRPr="00523DAE" w:rsidRDefault="00400C57" w:rsidP="00523DAE">
            <w:pPr>
              <w:tabs>
                <w:tab w:val="left" w:pos="567"/>
              </w:tabs>
              <w:autoSpaceDE w:val="0"/>
              <w:autoSpaceDN w:val="0"/>
              <w:adjustRightInd w:val="0"/>
              <w:spacing w:before="120" w:after="120"/>
              <w:jc w:val="center"/>
              <w:rPr>
                <w:szCs w:val="22"/>
              </w:rPr>
            </w:pPr>
            <w:r w:rsidRPr="00523DAE">
              <w:rPr>
                <w:noProof/>
                <w:szCs w:val="22"/>
              </w:rPr>
              <w:t>8</w:t>
            </w:r>
            <w:r w:rsidR="00523DAE">
              <w:rPr>
                <w:noProof/>
                <w:szCs w:val="22"/>
              </w:rPr>
              <w:t>,</w:t>
            </w:r>
            <w:r w:rsidRPr="00523DAE">
              <w:rPr>
                <w:noProof/>
                <w:szCs w:val="22"/>
              </w:rPr>
              <w:t xml:space="preserve">0 </w:t>
            </w:r>
            <w:r w:rsidR="00790AE7" w:rsidRPr="006756E8">
              <w:rPr>
                <w:noProof/>
                <w:szCs w:val="22"/>
              </w:rPr>
              <w:t>ώρες</w:t>
            </w:r>
          </w:p>
        </w:tc>
        <w:tc>
          <w:tcPr>
            <w:tcW w:w="1310" w:type="dxa"/>
            <w:tcBorders>
              <w:top w:val="double" w:sz="12" w:space="0" w:color="000000"/>
              <w:left w:val="single" w:sz="8" w:space="0" w:color="000000"/>
              <w:bottom w:val="single" w:sz="8" w:space="0" w:color="000000"/>
              <w:right w:val="double" w:sz="12" w:space="0" w:color="000000"/>
            </w:tcBorders>
            <w:shd w:val="clear" w:color="auto" w:fill="FFFFFF"/>
          </w:tcPr>
          <w:p w:rsidR="00400C57" w:rsidRPr="00523DAE" w:rsidRDefault="00400C57" w:rsidP="00523DAE">
            <w:pPr>
              <w:tabs>
                <w:tab w:val="left" w:pos="567"/>
              </w:tabs>
              <w:autoSpaceDE w:val="0"/>
              <w:autoSpaceDN w:val="0"/>
              <w:adjustRightInd w:val="0"/>
              <w:spacing w:before="120" w:after="120"/>
              <w:jc w:val="center"/>
              <w:rPr>
                <w:szCs w:val="22"/>
              </w:rPr>
            </w:pPr>
            <w:r w:rsidRPr="00523DAE">
              <w:rPr>
                <w:noProof/>
                <w:szCs w:val="22"/>
              </w:rPr>
              <w:t>12</w:t>
            </w:r>
            <w:r w:rsidR="00523DAE">
              <w:rPr>
                <w:noProof/>
                <w:szCs w:val="22"/>
              </w:rPr>
              <w:t>,</w:t>
            </w:r>
            <w:r w:rsidRPr="00523DAE">
              <w:rPr>
                <w:noProof/>
                <w:szCs w:val="22"/>
              </w:rPr>
              <w:t xml:space="preserve">0 </w:t>
            </w:r>
            <w:r w:rsidR="00790AE7" w:rsidRPr="006756E8">
              <w:rPr>
                <w:noProof/>
                <w:szCs w:val="22"/>
              </w:rPr>
              <w:t>ώρες</w:t>
            </w:r>
          </w:p>
        </w:tc>
      </w:tr>
      <w:tr w:rsidR="00400C57" w:rsidRPr="00523DAE" w:rsidTr="00523DAE">
        <w:tblPrEx>
          <w:tblCellMar>
            <w:top w:w="0" w:type="dxa"/>
            <w:bottom w:w="0" w:type="dxa"/>
          </w:tblCellMar>
        </w:tblPrEx>
        <w:trPr>
          <w:trHeight w:val="316"/>
        </w:trPr>
        <w:tc>
          <w:tcPr>
            <w:tcW w:w="1980" w:type="dxa"/>
            <w:tcBorders>
              <w:top w:val="single" w:sz="8" w:space="0" w:color="000000"/>
              <w:left w:val="double" w:sz="12" w:space="0" w:color="000000"/>
              <w:bottom w:val="single" w:sz="8"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noProof/>
                <w:szCs w:val="22"/>
              </w:rPr>
              <w:t xml:space="preserve">1 </w:t>
            </w:r>
            <w:r w:rsidRPr="006756E8">
              <w:rPr>
                <w:noProof/>
                <w:szCs w:val="22"/>
                <w:lang w:val="en-GB"/>
              </w:rPr>
              <w:t>g</w:t>
            </w:r>
            <w:r w:rsidRPr="00523DAE">
              <w:rPr>
                <w:noProof/>
                <w:szCs w:val="22"/>
              </w:rPr>
              <w:t xml:space="preserve"> </w:t>
            </w:r>
            <w:r w:rsidRPr="006756E8">
              <w:rPr>
                <w:noProof/>
                <w:szCs w:val="22"/>
                <w:lang w:val="en-GB"/>
              </w:rPr>
              <w:t>I</w:t>
            </w:r>
            <w:r w:rsidRPr="00523DAE">
              <w:rPr>
                <w:noProof/>
                <w:szCs w:val="22"/>
              </w:rPr>
              <w:t>.</w:t>
            </w:r>
            <w:r w:rsidRPr="006756E8">
              <w:rPr>
                <w:noProof/>
                <w:szCs w:val="22"/>
                <w:lang w:val="en-GB"/>
              </w:rPr>
              <w:t>V</w:t>
            </w:r>
            <w:r w:rsidRPr="00523DAE">
              <w:rPr>
                <w:noProof/>
                <w:szCs w:val="22"/>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78</w:t>
            </w:r>
            <w:r w:rsidR="00523DAE">
              <w:rPr>
                <w:szCs w:val="22"/>
              </w:rPr>
              <w:t>,</w:t>
            </w:r>
            <w:r w:rsidRPr="00523DAE">
              <w:rPr>
                <w:szCs w:val="22"/>
              </w:rPr>
              <w:t xml:space="preserve">7 </w:t>
            </w:r>
          </w:p>
        </w:tc>
        <w:tc>
          <w:tcPr>
            <w:tcW w:w="1080" w:type="dxa"/>
            <w:tcBorders>
              <w:top w:val="single" w:sz="8" w:space="0" w:color="000000"/>
              <w:left w:val="single" w:sz="8" w:space="0" w:color="000000"/>
              <w:bottom w:val="single" w:sz="8"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44</w:t>
            </w:r>
            <w:r w:rsidR="00523DAE">
              <w:rPr>
                <w:szCs w:val="22"/>
              </w:rPr>
              <w:t>,</w:t>
            </w:r>
            <w:r w:rsidRPr="00523DAE">
              <w:rPr>
                <w:szCs w:val="22"/>
              </w:rPr>
              <w:t xml:space="preserve">5 </w:t>
            </w:r>
          </w:p>
        </w:tc>
        <w:tc>
          <w:tcPr>
            <w:tcW w:w="1080" w:type="dxa"/>
            <w:tcBorders>
              <w:top w:val="single" w:sz="8" w:space="0" w:color="000000"/>
              <w:left w:val="single" w:sz="8" w:space="0" w:color="000000"/>
              <w:bottom w:val="single" w:sz="8"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24</w:t>
            </w:r>
            <w:r w:rsidR="00523DAE">
              <w:rPr>
                <w:szCs w:val="22"/>
              </w:rPr>
              <w:t>,</w:t>
            </w:r>
            <w:r w:rsidRPr="00523DAE">
              <w:rPr>
                <w:szCs w:val="22"/>
              </w:rPr>
              <w:t xml:space="preserve">3 </w:t>
            </w:r>
          </w:p>
        </w:tc>
        <w:tc>
          <w:tcPr>
            <w:tcW w:w="1080" w:type="dxa"/>
            <w:tcBorders>
              <w:top w:val="single" w:sz="8" w:space="0" w:color="000000"/>
              <w:left w:val="single" w:sz="8" w:space="0" w:color="000000"/>
              <w:bottom w:val="single" w:sz="8"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10</w:t>
            </w:r>
            <w:r w:rsidR="00523DAE">
              <w:rPr>
                <w:szCs w:val="22"/>
              </w:rPr>
              <w:t>,</w:t>
            </w:r>
            <w:r w:rsidRPr="00523DAE">
              <w:rPr>
                <w:szCs w:val="22"/>
              </w:rPr>
              <w:t xml:space="preserve">5 </w:t>
            </w:r>
          </w:p>
        </w:tc>
        <w:tc>
          <w:tcPr>
            <w:tcW w:w="1080" w:type="dxa"/>
            <w:tcBorders>
              <w:top w:val="single" w:sz="8" w:space="0" w:color="000000"/>
              <w:left w:val="single" w:sz="8" w:space="0" w:color="000000"/>
              <w:bottom w:val="single" w:sz="8"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2</w:t>
            </w:r>
            <w:r w:rsidR="00523DAE">
              <w:rPr>
                <w:szCs w:val="22"/>
              </w:rPr>
              <w:t>,</w:t>
            </w:r>
            <w:r w:rsidRPr="00523DAE">
              <w:rPr>
                <w:szCs w:val="22"/>
              </w:rPr>
              <w:t xml:space="preserve">4 </w:t>
            </w:r>
          </w:p>
        </w:tc>
        <w:tc>
          <w:tcPr>
            <w:tcW w:w="1310" w:type="dxa"/>
            <w:tcBorders>
              <w:top w:val="single" w:sz="8" w:space="0" w:color="000000"/>
              <w:left w:val="single" w:sz="8" w:space="0" w:color="000000"/>
              <w:bottom w:val="single" w:sz="8" w:space="0" w:color="000000"/>
              <w:right w:val="double" w:sz="12"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0</w:t>
            </w:r>
            <w:r w:rsidR="00523DAE">
              <w:rPr>
                <w:szCs w:val="22"/>
              </w:rPr>
              <w:t>,</w:t>
            </w:r>
            <w:r w:rsidRPr="00523DAE">
              <w:rPr>
                <w:szCs w:val="22"/>
              </w:rPr>
              <w:t xml:space="preserve">6 </w:t>
            </w:r>
          </w:p>
        </w:tc>
      </w:tr>
      <w:tr w:rsidR="00400C57" w:rsidRPr="00523DAE" w:rsidTr="00523DAE">
        <w:tblPrEx>
          <w:tblCellMar>
            <w:top w:w="0" w:type="dxa"/>
            <w:bottom w:w="0" w:type="dxa"/>
          </w:tblCellMar>
        </w:tblPrEx>
        <w:trPr>
          <w:trHeight w:val="316"/>
        </w:trPr>
        <w:tc>
          <w:tcPr>
            <w:tcW w:w="1980" w:type="dxa"/>
            <w:tcBorders>
              <w:top w:val="single" w:sz="8" w:space="0" w:color="000000"/>
              <w:left w:val="double" w:sz="12" w:space="0" w:color="000000"/>
              <w:bottom w:val="double" w:sz="4"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noProof/>
                <w:szCs w:val="22"/>
              </w:rPr>
              <w:t xml:space="preserve">2 </w:t>
            </w:r>
            <w:r w:rsidRPr="006756E8">
              <w:rPr>
                <w:noProof/>
                <w:szCs w:val="22"/>
                <w:lang w:val="en-GB"/>
              </w:rPr>
              <w:t>g</w:t>
            </w:r>
            <w:r w:rsidRPr="00523DAE">
              <w:rPr>
                <w:noProof/>
                <w:szCs w:val="22"/>
              </w:rPr>
              <w:t xml:space="preserve"> </w:t>
            </w:r>
            <w:r w:rsidRPr="006756E8">
              <w:rPr>
                <w:noProof/>
                <w:szCs w:val="22"/>
                <w:lang w:val="en-GB"/>
              </w:rPr>
              <w:t>I</w:t>
            </w:r>
            <w:r w:rsidRPr="00523DAE">
              <w:rPr>
                <w:noProof/>
                <w:szCs w:val="22"/>
              </w:rPr>
              <w:t>.</w:t>
            </w:r>
            <w:r w:rsidRPr="006756E8">
              <w:rPr>
                <w:noProof/>
                <w:szCs w:val="22"/>
                <w:lang w:val="en-GB"/>
              </w:rPr>
              <w:t>V</w:t>
            </w:r>
            <w:r w:rsidRPr="00523DAE">
              <w:rPr>
                <w:noProof/>
                <w:szCs w:val="22"/>
              </w:rPr>
              <w:t xml:space="preserve">. </w:t>
            </w:r>
          </w:p>
        </w:tc>
        <w:tc>
          <w:tcPr>
            <w:tcW w:w="1080" w:type="dxa"/>
            <w:tcBorders>
              <w:top w:val="single" w:sz="8" w:space="0" w:color="000000"/>
              <w:left w:val="single" w:sz="8" w:space="0" w:color="000000"/>
              <w:bottom w:val="double" w:sz="4"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163</w:t>
            </w:r>
            <w:r w:rsidR="00523DAE">
              <w:rPr>
                <w:szCs w:val="22"/>
              </w:rPr>
              <w:t>,</w:t>
            </w:r>
            <w:r w:rsidRPr="00523DAE">
              <w:rPr>
                <w:szCs w:val="22"/>
              </w:rPr>
              <w:t xml:space="preserve">1 </w:t>
            </w:r>
          </w:p>
        </w:tc>
        <w:tc>
          <w:tcPr>
            <w:tcW w:w="1080" w:type="dxa"/>
            <w:tcBorders>
              <w:top w:val="single" w:sz="8" w:space="0" w:color="000000"/>
              <w:left w:val="single" w:sz="8" w:space="0" w:color="000000"/>
              <w:bottom w:val="double" w:sz="4"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85</w:t>
            </w:r>
            <w:r w:rsidR="00523DAE">
              <w:rPr>
                <w:szCs w:val="22"/>
              </w:rPr>
              <w:t>,</w:t>
            </w:r>
            <w:r w:rsidRPr="00523DAE">
              <w:rPr>
                <w:szCs w:val="22"/>
              </w:rPr>
              <w:t xml:space="preserve">8 </w:t>
            </w:r>
          </w:p>
        </w:tc>
        <w:tc>
          <w:tcPr>
            <w:tcW w:w="1080" w:type="dxa"/>
            <w:tcBorders>
              <w:top w:val="single" w:sz="8" w:space="0" w:color="000000"/>
              <w:left w:val="single" w:sz="8" w:space="0" w:color="000000"/>
              <w:bottom w:val="double" w:sz="4"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44</w:t>
            </w:r>
            <w:r w:rsidR="00523DAE">
              <w:rPr>
                <w:szCs w:val="22"/>
              </w:rPr>
              <w:t>,</w:t>
            </w:r>
            <w:r w:rsidRPr="00523DAE">
              <w:rPr>
                <w:szCs w:val="22"/>
              </w:rPr>
              <w:t xml:space="preserve">8 </w:t>
            </w:r>
          </w:p>
        </w:tc>
        <w:tc>
          <w:tcPr>
            <w:tcW w:w="1080" w:type="dxa"/>
            <w:tcBorders>
              <w:top w:val="single" w:sz="8" w:space="0" w:color="000000"/>
              <w:left w:val="single" w:sz="8" w:space="0" w:color="000000"/>
              <w:bottom w:val="double" w:sz="4"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19</w:t>
            </w:r>
            <w:r w:rsidR="00523DAE">
              <w:rPr>
                <w:szCs w:val="22"/>
              </w:rPr>
              <w:t>,</w:t>
            </w:r>
            <w:r w:rsidRPr="00523DAE">
              <w:rPr>
                <w:szCs w:val="22"/>
              </w:rPr>
              <w:t xml:space="preserve">2 </w:t>
            </w:r>
          </w:p>
        </w:tc>
        <w:tc>
          <w:tcPr>
            <w:tcW w:w="1080" w:type="dxa"/>
            <w:tcBorders>
              <w:top w:val="single" w:sz="8" w:space="0" w:color="000000"/>
              <w:left w:val="single" w:sz="8" w:space="0" w:color="000000"/>
              <w:bottom w:val="double" w:sz="4" w:space="0" w:color="000000"/>
              <w:right w:val="single" w:sz="8"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3</w:t>
            </w:r>
            <w:r w:rsidR="00523DAE">
              <w:rPr>
                <w:szCs w:val="22"/>
              </w:rPr>
              <w:t>,</w:t>
            </w:r>
            <w:r w:rsidRPr="00523DAE">
              <w:rPr>
                <w:szCs w:val="22"/>
              </w:rPr>
              <w:t xml:space="preserve">9 </w:t>
            </w:r>
          </w:p>
        </w:tc>
        <w:tc>
          <w:tcPr>
            <w:tcW w:w="1310" w:type="dxa"/>
            <w:tcBorders>
              <w:top w:val="single" w:sz="8" w:space="0" w:color="000000"/>
              <w:left w:val="single" w:sz="8" w:space="0" w:color="000000"/>
              <w:bottom w:val="double" w:sz="4" w:space="0" w:color="000000"/>
              <w:right w:val="double" w:sz="12" w:space="0" w:color="000000"/>
            </w:tcBorders>
          </w:tcPr>
          <w:p w:rsidR="00400C57" w:rsidRPr="00523DAE" w:rsidRDefault="00400C57" w:rsidP="0031570A">
            <w:pPr>
              <w:tabs>
                <w:tab w:val="left" w:pos="567"/>
              </w:tabs>
              <w:autoSpaceDE w:val="0"/>
              <w:autoSpaceDN w:val="0"/>
              <w:adjustRightInd w:val="0"/>
              <w:jc w:val="center"/>
              <w:rPr>
                <w:szCs w:val="22"/>
              </w:rPr>
            </w:pPr>
            <w:r w:rsidRPr="00523DAE">
              <w:rPr>
                <w:szCs w:val="22"/>
              </w:rPr>
              <w:t>1</w:t>
            </w:r>
            <w:r w:rsidR="00523DAE">
              <w:rPr>
                <w:szCs w:val="22"/>
              </w:rPr>
              <w:t>,</w:t>
            </w:r>
            <w:r w:rsidRPr="00523DAE">
              <w:rPr>
                <w:szCs w:val="22"/>
              </w:rPr>
              <w:t xml:space="preserve">1 </w:t>
            </w:r>
          </w:p>
        </w:tc>
      </w:tr>
    </w:tbl>
    <w:p w:rsidR="00400C57" w:rsidRPr="00523DAE" w:rsidRDefault="00400C57" w:rsidP="0031570A">
      <w:pPr>
        <w:tabs>
          <w:tab w:val="left" w:pos="567"/>
        </w:tabs>
        <w:autoSpaceDE w:val="0"/>
        <w:autoSpaceDN w:val="0"/>
        <w:adjustRightInd w:val="0"/>
        <w:rPr>
          <w:szCs w:val="22"/>
        </w:rPr>
      </w:pPr>
    </w:p>
    <w:p w:rsidR="00400C57" w:rsidRPr="006756E8" w:rsidRDefault="00BE3298" w:rsidP="0031570A">
      <w:pPr>
        <w:tabs>
          <w:tab w:val="left" w:pos="567"/>
        </w:tabs>
        <w:autoSpaceDE w:val="0"/>
        <w:autoSpaceDN w:val="0"/>
        <w:adjustRightInd w:val="0"/>
        <w:rPr>
          <w:szCs w:val="22"/>
        </w:rPr>
      </w:pPr>
      <w:r w:rsidRPr="006756E8">
        <w:rPr>
          <w:noProof/>
          <w:szCs w:val="22"/>
        </w:rPr>
        <w:t xml:space="preserve">Σε σύγκριση με τα κοινά μικρόβια, </w:t>
      </w:r>
      <w:r w:rsidR="00D016E3" w:rsidRPr="006756E8">
        <w:rPr>
          <w:noProof/>
          <w:szCs w:val="22"/>
        </w:rPr>
        <w:t>σημαντική θεραπευτική συγκέντρωση βρίσκεται στους ακόλουθους ιστούς και βιολογικά υγρά</w:t>
      </w:r>
      <w:r w:rsidR="00400C57" w:rsidRPr="006756E8">
        <w:rPr>
          <w:noProof/>
          <w:szCs w:val="22"/>
        </w:rPr>
        <w:t>:</w:t>
      </w:r>
      <w:r w:rsidR="00400C57" w:rsidRPr="006756E8">
        <w:rPr>
          <w:szCs w:val="22"/>
        </w:rPr>
        <w:t xml:space="preserve"> </w:t>
      </w:r>
      <w:r w:rsidR="00D016E3" w:rsidRPr="006756E8">
        <w:rPr>
          <w:noProof/>
          <w:szCs w:val="22"/>
        </w:rPr>
        <w:t>ούρα</w:t>
      </w:r>
      <w:r w:rsidR="00400C57" w:rsidRPr="006756E8">
        <w:rPr>
          <w:noProof/>
          <w:szCs w:val="22"/>
        </w:rPr>
        <w:t xml:space="preserve">, </w:t>
      </w:r>
      <w:r w:rsidR="00D016E3" w:rsidRPr="006756E8">
        <w:rPr>
          <w:noProof/>
          <w:szCs w:val="22"/>
        </w:rPr>
        <w:t>χολή</w:t>
      </w:r>
      <w:r w:rsidR="00400C57" w:rsidRPr="006756E8">
        <w:rPr>
          <w:noProof/>
          <w:szCs w:val="22"/>
        </w:rPr>
        <w:t xml:space="preserve">, </w:t>
      </w:r>
      <w:r w:rsidR="00D016E3" w:rsidRPr="006756E8">
        <w:rPr>
          <w:noProof/>
          <w:szCs w:val="22"/>
        </w:rPr>
        <w:t>διάμεσο υγρό</w:t>
      </w:r>
      <w:r w:rsidR="00400C57" w:rsidRPr="006756E8">
        <w:rPr>
          <w:noProof/>
          <w:szCs w:val="22"/>
        </w:rPr>
        <w:t xml:space="preserve">, </w:t>
      </w:r>
      <w:r w:rsidR="00D016E3" w:rsidRPr="006756E8">
        <w:rPr>
          <w:noProof/>
          <w:szCs w:val="22"/>
        </w:rPr>
        <w:t>περιτοναϊκό υγρό</w:t>
      </w:r>
      <w:r w:rsidR="00400C57" w:rsidRPr="006756E8">
        <w:rPr>
          <w:noProof/>
          <w:szCs w:val="22"/>
        </w:rPr>
        <w:t xml:space="preserve">, </w:t>
      </w:r>
      <w:r w:rsidR="00D016E3" w:rsidRPr="006756E8">
        <w:rPr>
          <w:noProof/>
          <w:szCs w:val="22"/>
        </w:rPr>
        <w:t>βρογχικ</w:t>
      </w:r>
      <w:r w:rsidR="00523DAE">
        <w:rPr>
          <w:noProof/>
          <w:szCs w:val="22"/>
        </w:rPr>
        <w:t>ό</w:t>
      </w:r>
      <w:r w:rsidR="00D016E3" w:rsidRPr="006756E8">
        <w:rPr>
          <w:noProof/>
          <w:szCs w:val="22"/>
        </w:rPr>
        <w:t xml:space="preserve"> βλεννογόνο</w:t>
      </w:r>
      <w:r w:rsidR="00400C57" w:rsidRPr="006756E8">
        <w:rPr>
          <w:noProof/>
          <w:szCs w:val="22"/>
        </w:rPr>
        <w:t xml:space="preserve">, </w:t>
      </w:r>
      <w:r w:rsidR="00D016E3" w:rsidRPr="006756E8">
        <w:rPr>
          <w:noProof/>
          <w:szCs w:val="22"/>
        </w:rPr>
        <w:t>σκωληκοειδής απόφυση και χοληδόχο κύστη</w:t>
      </w:r>
      <w:r w:rsidR="00400C57" w:rsidRPr="006756E8">
        <w:rPr>
          <w:noProof/>
          <w:szCs w:val="22"/>
        </w:rPr>
        <w:t>.</w:t>
      </w:r>
      <w:r w:rsidR="00400C57" w:rsidRPr="006756E8">
        <w:rPr>
          <w:szCs w:val="22"/>
        </w:rPr>
        <w:t xml:space="preserve"> </w:t>
      </w:r>
      <w:r w:rsidR="00D016E3" w:rsidRPr="006756E8">
        <w:rPr>
          <w:szCs w:val="22"/>
        </w:rPr>
        <w:t>Αυτές οι συγκεντρώσεις περιγράφονται στον παρακάτω πίνακα</w:t>
      </w:r>
      <w:r w:rsidR="00400C57" w:rsidRPr="006756E8">
        <w:rPr>
          <w:noProof/>
          <w:szCs w:val="22"/>
        </w:rPr>
        <w:t>.</w:t>
      </w:r>
    </w:p>
    <w:p w:rsidR="00400C57" w:rsidRPr="006756E8" w:rsidRDefault="00400C57" w:rsidP="0031570A">
      <w:pPr>
        <w:tabs>
          <w:tab w:val="left" w:pos="567"/>
        </w:tabs>
        <w:autoSpaceDE w:val="0"/>
        <w:autoSpaceDN w:val="0"/>
        <w:adjustRightInd w:val="0"/>
        <w:rPr>
          <w:szCs w:val="22"/>
        </w:rPr>
      </w:pPr>
    </w:p>
    <w:p w:rsidR="00400C57" w:rsidRPr="006756E8" w:rsidRDefault="00336457" w:rsidP="0031570A">
      <w:pPr>
        <w:tabs>
          <w:tab w:val="left" w:pos="567"/>
        </w:tabs>
        <w:autoSpaceDE w:val="0"/>
        <w:autoSpaceDN w:val="0"/>
        <w:adjustRightInd w:val="0"/>
        <w:rPr>
          <w:szCs w:val="22"/>
        </w:rPr>
      </w:pPr>
      <w:r w:rsidRPr="006756E8">
        <w:rPr>
          <w:szCs w:val="22"/>
        </w:rPr>
        <w:t>Μέσες συνγκεντρώσεις τη</w:t>
      </w:r>
      <w:r w:rsidR="00523DAE">
        <w:rPr>
          <w:szCs w:val="22"/>
        </w:rPr>
        <w:t>ς</w:t>
      </w:r>
      <w:r w:rsidRPr="006756E8">
        <w:rPr>
          <w:szCs w:val="22"/>
        </w:rPr>
        <w:t xml:space="preserve"> κεφεπίμης στους ιστούς </w:t>
      </w:r>
      <w:r w:rsidR="00400C57" w:rsidRPr="006756E8">
        <w:rPr>
          <w:szCs w:val="22"/>
        </w:rPr>
        <w:t>(</w:t>
      </w:r>
      <w:r w:rsidR="00400C57" w:rsidRPr="006756E8">
        <w:rPr>
          <w:szCs w:val="22"/>
          <w:lang w:val="en-GB"/>
        </w:rPr>
        <w:t>mcg</w:t>
      </w:r>
      <w:r w:rsidR="00400C57" w:rsidRPr="006756E8">
        <w:rPr>
          <w:szCs w:val="22"/>
        </w:rPr>
        <w:t>/</w:t>
      </w:r>
      <w:r w:rsidR="00400C57" w:rsidRPr="006756E8">
        <w:rPr>
          <w:szCs w:val="22"/>
          <w:lang w:val="en-GB"/>
        </w:rPr>
        <w:t>g</w:t>
      </w:r>
      <w:r w:rsidR="00400C57" w:rsidRPr="006756E8">
        <w:rPr>
          <w:szCs w:val="22"/>
        </w:rPr>
        <w:t xml:space="preserve">) </w:t>
      </w:r>
      <w:r w:rsidRPr="006756E8">
        <w:rPr>
          <w:szCs w:val="22"/>
        </w:rPr>
        <w:t>και στα βιολογικά υγρά</w:t>
      </w:r>
      <w:r w:rsidR="00400C57" w:rsidRPr="006756E8">
        <w:rPr>
          <w:szCs w:val="22"/>
        </w:rPr>
        <w:t xml:space="preserve"> (</w:t>
      </w:r>
      <w:r w:rsidR="00400C57" w:rsidRPr="006756E8">
        <w:rPr>
          <w:szCs w:val="22"/>
          <w:lang w:val="en-GB"/>
        </w:rPr>
        <w:t>mcg</w:t>
      </w:r>
      <w:r w:rsidR="00400C57" w:rsidRPr="006756E8">
        <w:rPr>
          <w:szCs w:val="22"/>
        </w:rPr>
        <w:t>/</w:t>
      </w:r>
      <w:r w:rsidR="00400C57" w:rsidRPr="006756E8">
        <w:rPr>
          <w:szCs w:val="22"/>
          <w:lang w:val="en-GB"/>
        </w:rPr>
        <w:t>ml</w:t>
      </w:r>
      <w:r w:rsidR="00400C57" w:rsidRPr="006756E8">
        <w:rPr>
          <w:szCs w:val="22"/>
        </w:rPr>
        <w:t>)</w:t>
      </w:r>
      <w:r w:rsidR="00803474">
        <w:rPr>
          <w:szCs w:val="22"/>
        </w:rPr>
        <w:t xml:space="preserve"> </w:t>
      </w:r>
    </w:p>
    <w:tbl>
      <w:tblPr>
        <w:tblW w:w="9540" w:type="dxa"/>
        <w:tblInd w:w="108" w:type="dxa"/>
        <w:tblLayout w:type="fixed"/>
        <w:tblLook w:val="0000"/>
      </w:tblPr>
      <w:tblGrid>
        <w:gridCol w:w="2160"/>
        <w:gridCol w:w="1845"/>
        <w:gridCol w:w="1845"/>
        <w:gridCol w:w="1845"/>
        <w:gridCol w:w="1845"/>
      </w:tblGrid>
      <w:tr w:rsidR="00400C57" w:rsidRPr="00BA41FF">
        <w:tblPrEx>
          <w:tblCellMar>
            <w:top w:w="0" w:type="dxa"/>
            <w:bottom w:w="0" w:type="dxa"/>
          </w:tblCellMar>
        </w:tblPrEx>
        <w:trPr>
          <w:trHeight w:val="1154"/>
        </w:trPr>
        <w:tc>
          <w:tcPr>
            <w:tcW w:w="2160" w:type="dxa"/>
            <w:tcBorders>
              <w:top w:val="double" w:sz="4" w:space="0" w:color="000000"/>
              <w:left w:val="double" w:sz="4" w:space="0" w:color="000000"/>
              <w:bottom w:val="single" w:sz="6" w:space="0" w:color="000000"/>
              <w:right w:val="single" w:sz="6" w:space="0" w:color="000000"/>
            </w:tcBorders>
            <w:vAlign w:val="center"/>
          </w:tcPr>
          <w:p w:rsidR="00400C57" w:rsidRPr="006756E8" w:rsidRDefault="00336457" w:rsidP="0031570A">
            <w:pPr>
              <w:tabs>
                <w:tab w:val="left" w:pos="567"/>
              </w:tabs>
              <w:autoSpaceDE w:val="0"/>
              <w:autoSpaceDN w:val="0"/>
              <w:adjustRightInd w:val="0"/>
              <w:jc w:val="center"/>
              <w:rPr>
                <w:szCs w:val="22"/>
              </w:rPr>
            </w:pPr>
            <w:r w:rsidRPr="006756E8">
              <w:rPr>
                <w:szCs w:val="22"/>
              </w:rPr>
              <w:t>Ιστός ή υγρό</w:t>
            </w:r>
          </w:p>
        </w:tc>
        <w:tc>
          <w:tcPr>
            <w:tcW w:w="1845" w:type="dxa"/>
            <w:tcBorders>
              <w:top w:val="double" w:sz="4" w:space="0" w:color="000000"/>
              <w:left w:val="single" w:sz="6" w:space="0" w:color="000000"/>
              <w:bottom w:val="single" w:sz="6" w:space="0" w:color="000000"/>
              <w:right w:val="single" w:sz="6" w:space="0" w:color="000000"/>
            </w:tcBorders>
            <w:vAlign w:val="center"/>
          </w:tcPr>
          <w:p w:rsidR="00400C57" w:rsidRPr="006756E8" w:rsidRDefault="00336457" w:rsidP="0031570A">
            <w:pPr>
              <w:tabs>
                <w:tab w:val="left" w:pos="567"/>
              </w:tabs>
              <w:autoSpaceDE w:val="0"/>
              <w:autoSpaceDN w:val="0"/>
              <w:adjustRightInd w:val="0"/>
              <w:ind w:right="-69"/>
              <w:jc w:val="center"/>
              <w:rPr>
                <w:szCs w:val="22"/>
              </w:rPr>
            </w:pPr>
            <w:r w:rsidRPr="006756E8">
              <w:rPr>
                <w:noProof/>
                <w:szCs w:val="22"/>
              </w:rPr>
              <w:t>Δόση</w:t>
            </w:r>
            <w:r w:rsidR="00400C57" w:rsidRPr="006756E8">
              <w:rPr>
                <w:noProof/>
                <w:szCs w:val="22"/>
                <w:lang w:val="en-GB"/>
              </w:rPr>
              <w:t>/</w:t>
            </w:r>
            <w:r w:rsidRPr="006756E8">
              <w:rPr>
                <w:noProof/>
                <w:szCs w:val="22"/>
              </w:rPr>
              <w:t>οδός χορήγησης</w:t>
            </w:r>
          </w:p>
        </w:tc>
        <w:tc>
          <w:tcPr>
            <w:tcW w:w="1845" w:type="dxa"/>
            <w:tcBorders>
              <w:top w:val="double" w:sz="4" w:space="0" w:color="000000"/>
              <w:left w:val="single" w:sz="6" w:space="0" w:color="000000"/>
              <w:bottom w:val="single" w:sz="6" w:space="0" w:color="000000"/>
              <w:right w:val="single" w:sz="6" w:space="0" w:color="000000"/>
            </w:tcBorders>
            <w:vAlign w:val="center"/>
          </w:tcPr>
          <w:p w:rsidR="00400C57" w:rsidRPr="006756E8" w:rsidRDefault="00336457" w:rsidP="00523DAE">
            <w:pPr>
              <w:tabs>
                <w:tab w:val="left" w:pos="567"/>
              </w:tabs>
              <w:autoSpaceDE w:val="0"/>
              <w:autoSpaceDN w:val="0"/>
              <w:adjustRightInd w:val="0"/>
              <w:jc w:val="center"/>
              <w:rPr>
                <w:szCs w:val="22"/>
              </w:rPr>
            </w:pPr>
            <w:r w:rsidRPr="006756E8">
              <w:rPr>
                <w:noProof/>
                <w:szCs w:val="22"/>
              </w:rPr>
              <w:t>Δείγμα</w:t>
            </w:r>
            <w:r w:rsidR="00400C57" w:rsidRPr="006756E8">
              <w:rPr>
                <w:noProof/>
                <w:szCs w:val="22"/>
              </w:rPr>
              <w:t xml:space="preserve">: </w:t>
            </w:r>
            <w:r w:rsidRPr="006756E8">
              <w:rPr>
                <w:noProof/>
                <w:szCs w:val="22"/>
              </w:rPr>
              <w:t xml:space="preserve">μέσο </w:t>
            </w:r>
            <w:r w:rsidR="00523DAE">
              <w:rPr>
                <w:noProof/>
                <w:szCs w:val="22"/>
              </w:rPr>
              <w:t>χρονικό διάστημα</w:t>
            </w:r>
            <w:r w:rsidRPr="006756E8">
              <w:rPr>
                <w:noProof/>
                <w:szCs w:val="22"/>
              </w:rPr>
              <w:t xml:space="preserve"> </w:t>
            </w:r>
            <w:r w:rsidR="00400C57" w:rsidRPr="006756E8">
              <w:rPr>
                <w:noProof/>
                <w:szCs w:val="22"/>
              </w:rPr>
              <w:t>(</w:t>
            </w:r>
            <w:r w:rsidR="00400C57" w:rsidRPr="006756E8">
              <w:rPr>
                <w:noProof/>
                <w:szCs w:val="22"/>
                <w:lang w:val="en-GB"/>
              </w:rPr>
              <w:t>h</w:t>
            </w:r>
            <w:r w:rsidR="00400C57" w:rsidRPr="006756E8">
              <w:rPr>
                <w:noProof/>
                <w:szCs w:val="22"/>
              </w:rPr>
              <w:t>)</w:t>
            </w:r>
          </w:p>
        </w:tc>
        <w:tc>
          <w:tcPr>
            <w:tcW w:w="1845" w:type="dxa"/>
            <w:tcBorders>
              <w:top w:val="double" w:sz="4" w:space="0" w:color="000000"/>
              <w:left w:val="single" w:sz="6" w:space="0" w:color="000000"/>
              <w:bottom w:val="single" w:sz="6" w:space="0" w:color="000000"/>
              <w:right w:val="single" w:sz="6" w:space="0" w:color="000000"/>
            </w:tcBorders>
            <w:vAlign w:val="center"/>
          </w:tcPr>
          <w:p w:rsidR="00400C57" w:rsidRPr="006756E8" w:rsidRDefault="00523DAE" w:rsidP="00523DAE">
            <w:pPr>
              <w:tabs>
                <w:tab w:val="left" w:pos="567"/>
              </w:tabs>
              <w:autoSpaceDE w:val="0"/>
              <w:autoSpaceDN w:val="0"/>
              <w:adjustRightInd w:val="0"/>
              <w:jc w:val="center"/>
              <w:rPr>
                <w:szCs w:val="22"/>
              </w:rPr>
            </w:pPr>
            <w:r>
              <w:rPr>
                <w:noProof/>
                <w:szCs w:val="22"/>
              </w:rPr>
              <w:t>Μέση σ</w:t>
            </w:r>
            <w:r w:rsidR="00336457" w:rsidRPr="006756E8">
              <w:rPr>
                <w:noProof/>
                <w:szCs w:val="22"/>
              </w:rPr>
              <w:t>υγκέντρωση ιστού</w:t>
            </w:r>
            <w:r w:rsidR="00400C57" w:rsidRPr="006756E8">
              <w:rPr>
                <w:noProof/>
                <w:szCs w:val="22"/>
              </w:rPr>
              <w:t xml:space="preserve"> (</w:t>
            </w:r>
            <w:r w:rsidR="00400C57" w:rsidRPr="006756E8">
              <w:rPr>
                <w:noProof/>
                <w:szCs w:val="22"/>
                <w:lang w:val="en-GB"/>
              </w:rPr>
              <w:t>mcg</w:t>
            </w:r>
            <w:r w:rsidR="00400C57" w:rsidRPr="006756E8">
              <w:rPr>
                <w:noProof/>
                <w:szCs w:val="22"/>
              </w:rPr>
              <w:t>/</w:t>
            </w:r>
            <w:r w:rsidR="00400C57" w:rsidRPr="006756E8">
              <w:rPr>
                <w:noProof/>
                <w:szCs w:val="22"/>
                <w:lang w:val="en-GB"/>
              </w:rPr>
              <w:t>g</w:t>
            </w:r>
            <w:r w:rsidR="00400C57" w:rsidRPr="006756E8">
              <w:rPr>
                <w:noProof/>
                <w:szCs w:val="22"/>
              </w:rPr>
              <w:t xml:space="preserve">) </w:t>
            </w:r>
            <w:r w:rsidR="00336457" w:rsidRPr="006756E8">
              <w:rPr>
                <w:noProof/>
                <w:szCs w:val="22"/>
              </w:rPr>
              <w:t>βιολ. υγρού</w:t>
            </w:r>
            <w:r w:rsidR="00400C57" w:rsidRPr="006756E8">
              <w:rPr>
                <w:noProof/>
                <w:szCs w:val="22"/>
              </w:rPr>
              <w:t xml:space="preserve"> (</w:t>
            </w:r>
            <w:r w:rsidR="00400C57" w:rsidRPr="006756E8">
              <w:rPr>
                <w:noProof/>
                <w:szCs w:val="22"/>
                <w:lang w:val="en-GB"/>
              </w:rPr>
              <w:t>mcg</w:t>
            </w:r>
            <w:r w:rsidR="00400C57" w:rsidRPr="006756E8">
              <w:rPr>
                <w:noProof/>
                <w:szCs w:val="22"/>
              </w:rPr>
              <w:t>/</w:t>
            </w:r>
            <w:r w:rsidR="00400C57" w:rsidRPr="006756E8">
              <w:rPr>
                <w:noProof/>
                <w:szCs w:val="22"/>
                <w:lang w:val="en-GB"/>
              </w:rPr>
              <w:t>ml</w:t>
            </w:r>
            <w:r w:rsidR="00400C57" w:rsidRPr="006756E8">
              <w:rPr>
                <w:noProof/>
                <w:szCs w:val="22"/>
              </w:rPr>
              <w:t>)</w:t>
            </w:r>
          </w:p>
        </w:tc>
        <w:tc>
          <w:tcPr>
            <w:tcW w:w="1845" w:type="dxa"/>
            <w:tcBorders>
              <w:top w:val="double" w:sz="4" w:space="0" w:color="000000"/>
              <w:left w:val="single" w:sz="6" w:space="0" w:color="000000"/>
              <w:bottom w:val="single" w:sz="6" w:space="0" w:color="000000"/>
              <w:right w:val="double" w:sz="4" w:space="0" w:color="000000"/>
            </w:tcBorders>
            <w:vAlign w:val="center"/>
          </w:tcPr>
          <w:p w:rsidR="00400C57" w:rsidRPr="00BA41FF" w:rsidRDefault="00336457" w:rsidP="0031570A">
            <w:pPr>
              <w:tabs>
                <w:tab w:val="left" w:pos="567"/>
              </w:tabs>
              <w:autoSpaceDE w:val="0"/>
              <w:autoSpaceDN w:val="0"/>
              <w:adjustRightInd w:val="0"/>
              <w:jc w:val="center"/>
              <w:rPr>
                <w:szCs w:val="22"/>
              </w:rPr>
            </w:pPr>
            <w:r w:rsidRPr="006756E8">
              <w:rPr>
                <w:noProof/>
                <w:szCs w:val="22"/>
              </w:rPr>
              <w:t>Μέση συγκέντρ</w:t>
            </w:r>
            <w:r w:rsidR="008D1932" w:rsidRPr="006756E8">
              <w:rPr>
                <w:noProof/>
                <w:szCs w:val="22"/>
              </w:rPr>
              <w:t>ω</w:t>
            </w:r>
            <w:r w:rsidRPr="006756E8">
              <w:rPr>
                <w:noProof/>
                <w:szCs w:val="22"/>
              </w:rPr>
              <w:t>ση στο πλάσμα</w:t>
            </w:r>
          </w:p>
          <w:p w:rsidR="00400C57" w:rsidRPr="00BA41FF" w:rsidRDefault="00400C57" w:rsidP="0031570A">
            <w:pPr>
              <w:tabs>
                <w:tab w:val="left" w:pos="567"/>
              </w:tabs>
              <w:autoSpaceDE w:val="0"/>
              <w:autoSpaceDN w:val="0"/>
              <w:adjustRightInd w:val="0"/>
              <w:jc w:val="center"/>
              <w:rPr>
                <w:szCs w:val="22"/>
              </w:rPr>
            </w:pPr>
            <w:r w:rsidRPr="00BA41FF">
              <w:rPr>
                <w:noProof/>
                <w:szCs w:val="22"/>
              </w:rPr>
              <w:t>(</w:t>
            </w:r>
            <w:r w:rsidRPr="006756E8">
              <w:rPr>
                <w:noProof/>
                <w:szCs w:val="22"/>
                <w:lang w:val="en-GB"/>
              </w:rPr>
              <w:t>mcg</w:t>
            </w:r>
            <w:r w:rsidRPr="00BA41FF">
              <w:rPr>
                <w:noProof/>
                <w:szCs w:val="22"/>
              </w:rPr>
              <w:t>/</w:t>
            </w:r>
            <w:r w:rsidRPr="006756E8">
              <w:rPr>
                <w:noProof/>
                <w:szCs w:val="22"/>
                <w:lang w:val="en-GB"/>
              </w:rPr>
              <w:t>ml</w:t>
            </w:r>
            <w:r w:rsidRPr="00BA41FF">
              <w:rPr>
                <w:noProof/>
                <w:szCs w:val="22"/>
              </w:rPr>
              <w:t>)</w:t>
            </w:r>
          </w:p>
        </w:tc>
      </w:tr>
      <w:tr w:rsidR="00400C57" w:rsidRPr="006756E8">
        <w:tblPrEx>
          <w:tblCellMar>
            <w:top w:w="0" w:type="dxa"/>
            <w:bottom w:w="0" w:type="dxa"/>
          </w:tblCellMar>
        </w:tblPrEx>
        <w:trPr>
          <w:trHeight w:val="875"/>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062433" w:rsidP="0031570A">
            <w:pPr>
              <w:tabs>
                <w:tab w:val="left" w:pos="567"/>
              </w:tabs>
              <w:autoSpaceDE w:val="0"/>
              <w:autoSpaceDN w:val="0"/>
              <w:adjustRightInd w:val="0"/>
              <w:rPr>
                <w:szCs w:val="22"/>
                <w:lang w:val="en-GB"/>
              </w:rPr>
            </w:pPr>
            <w:r w:rsidRPr="006756E8">
              <w:rPr>
                <w:noProof/>
                <w:szCs w:val="22"/>
              </w:rPr>
              <w:t>Ούρα</w:t>
            </w:r>
            <w:r w:rsidR="00400C57" w:rsidRPr="006756E8">
              <w:rPr>
                <w:noProof/>
                <w:szCs w:val="22"/>
                <w:lang w:val="en-GB"/>
              </w:rPr>
              <w:t xml:space="preserve">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500 mg I.V. </w:t>
            </w:r>
          </w:p>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1 g I.V. </w:t>
            </w:r>
          </w:p>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2 g 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 xml:space="preserve">0 - 4 * </w:t>
            </w:r>
          </w:p>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 xml:space="preserve">0 - 4 * </w:t>
            </w:r>
          </w:p>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 xml:space="preserve">0 - 4 *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 xml:space="preserve">292 </w:t>
            </w:r>
          </w:p>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 xml:space="preserve">926 </w:t>
            </w:r>
          </w:p>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 xml:space="preserve">3120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4</w:t>
            </w:r>
            <w:r w:rsidR="004A636C">
              <w:rPr>
                <w:szCs w:val="22"/>
                <w:lang w:val="en-GB"/>
              </w:rPr>
              <w:t>,</w:t>
            </w:r>
            <w:r w:rsidRPr="006756E8">
              <w:rPr>
                <w:szCs w:val="22"/>
                <w:lang w:val="en-GB"/>
              </w:rPr>
              <w:t xml:space="preserve">9** </w:t>
            </w:r>
          </w:p>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10</w:t>
            </w:r>
            <w:r w:rsidR="004A636C">
              <w:rPr>
                <w:szCs w:val="22"/>
                <w:lang w:val="en-GB"/>
              </w:rPr>
              <w:t>,</w:t>
            </w:r>
            <w:r w:rsidRPr="006756E8">
              <w:rPr>
                <w:szCs w:val="22"/>
                <w:lang w:val="en-GB"/>
              </w:rPr>
              <w:t xml:space="preserve">5** </w:t>
            </w:r>
          </w:p>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20</w:t>
            </w:r>
            <w:r w:rsidR="004A636C">
              <w:rPr>
                <w:szCs w:val="22"/>
                <w:lang w:val="en-GB"/>
              </w:rPr>
              <w:t>,</w:t>
            </w:r>
            <w:r w:rsidRPr="006756E8">
              <w:rPr>
                <w:szCs w:val="22"/>
                <w:lang w:val="en-GB"/>
              </w:rPr>
              <w:t xml:space="preserve">1** </w:t>
            </w:r>
          </w:p>
        </w:tc>
      </w:tr>
      <w:tr w:rsidR="00400C57" w:rsidRPr="006756E8">
        <w:tblPrEx>
          <w:tblCellMar>
            <w:top w:w="0" w:type="dxa"/>
            <w:bottom w:w="0" w:type="dxa"/>
          </w:tblCellMar>
        </w:tblPrEx>
        <w:trPr>
          <w:trHeight w:val="316"/>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D7500D" w:rsidP="0031570A">
            <w:pPr>
              <w:tabs>
                <w:tab w:val="left" w:pos="567"/>
              </w:tabs>
              <w:autoSpaceDE w:val="0"/>
              <w:autoSpaceDN w:val="0"/>
              <w:adjustRightInd w:val="0"/>
              <w:rPr>
                <w:szCs w:val="22"/>
                <w:lang w:val="en-GB"/>
              </w:rPr>
            </w:pPr>
            <w:r w:rsidRPr="006756E8">
              <w:rPr>
                <w:noProof/>
                <w:szCs w:val="22"/>
              </w:rPr>
              <w:t>Χολή</w:t>
            </w:r>
            <w:r w:rsidR="00400C57" w:rsidRPr="006756E8">
              <w:rPr>
                <w:noProof/>
                <w:szCs w:val="22"/>
                <w:lang w:val="en-GB"/>
              </w:rPr>
              <w:t xml:space="preserve">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2 g 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9</w:t>
            </w:r>
            <w:r w:rsidR="004A636C">
              <w:rPr>
                <w:szCs w:val="22"/>
                <w:lang w:val="en-GB"/>
              </w:rPr>
              <w:t>,</w:t>
            </w:r>
            <w:r w:rsidRPr="006756E8">
              <w:rPr>
                <w:szCs w:val="22"/>
                <w:lang w:val="en-GB"/>
              </w:rPr>
              <w:t xml:space="preserve">4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17</w:t>
            </w:r>
            <w:r w:rsidR="004A636C">
              <w:rPr>
                <w:szCs w:val="22"/>
                <w:lang w:val="en-GB"/>
              </w:rPr>
              <w:t>,</w:t>
            </w:r>
            <w:r w:rsidRPr="006756E8">
              <w:rPr>
                <w:szCs w:val="22"/>
                <w:lang w:val="en-GB"/>
              </w:rPr>
              <w:t xml:space="preserve">8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9</w:t>
            </w:r>
            <w:r w:rsidR="004A636C">
              <w:rPr>
                <w:szCs w:val="22"/>
                <w:lang w:val="en-GB"/>
              </w:rPr>
              <w:t>,</w:t>
            </w:r>
            <w:r w:rsidRPr="006756E8">
              <w:rPr>
                <w:szCs w:val="22"/>
                <w:lang w:val="en-GB"/>
              </w:rPr>
              <w:t xml:space="preserve">2 </w:t>
            </w:r>
          </w:p>
        </w:tc>
      </w:tr>
      <w:tr w:rsidR="00400C57" w:rsidRPr="006756E8">
        <w:tblPrEx>
          <w:tblCellMar>
            <w:top w:w="0" w:type="dxa"/>
            <w:bottom w:w="0" w:type="dxa"/>
          </w:tblCellMar>
        </w:tblPrEx>
        <w:trPr>
          <w:trHeight w:val="595"/>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D7500D" w:rsidP="0031570A">
            <w:pPr>
              <w:tabs>
                <w:tab w:val="left" w:pos="567"/>
              </w:tabs>
              <w:autoSpaceDE w:val="0"/>
              <w:autoSpaceDN w:val="0"/>
              <w:adjustRightInd w:val="0"/>
              <w:rPr>
                <w:szCs w:val="22"/>
                <w:lang w:val="en-GB"/>
              </w:rPr>
            </w:pPr>
            <w:r w:rsidRPr="006756E8">
              <w:rPr>
                <w:noProof/>
                <w:szCs w:val="22"/>
              </w:rPr>
              <w:t>Περιτοναϊκό υγρό</w:t>
            </w:r>
            <w:r w:rsidR="00400C57" w:rsidRPr="006756E8">
              <w:rPr>
                <w:noProof/>
                <w:szCs w:val="22"/>
                <w:lang w:val="en-GB"/>
              </w:rPr>
              <w:t xml:space="preserve">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2 g 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4</w:t>
            </w:r>
            <w:r w:rsidR="004A636C">
              <w:rPr>
                <w:szCs w:val="22"/>
                <w:lang w:val="en-GB"/>
              </w:rPr>
              <w:t>,</w:t>
            </w:r>
            <w:r w:rsidRPr="006756E8">
              <w:rPr>
                <w:szCs w:val="22"/>
                <w:lang w:val="en-GB"/>
              </w:rPr>
              <w:t xml:space="preserve">4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18</w:t>
            </w:r>
            <w:r w:rsidR="004A636C">
              <w:rPr>
                <w:szCs w:val="22"/>
                <w:lang w:val="en-GB"/>
              </w:rPr>
              <w:t>,</w:t>
            </w:r>
            <w:r w:rsidRPr="006756E8">
              <w:rPr>
                <w:szCs w:val="22"/>
                <w:lang w:val="en-GB"/>
              </w:rPr>
              <w:t xml:space="preserve">3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24</w:t>
            </w:r>
            <w:r w:rsidR="004A636C">
              <w:rPr>
                <w:szCs w:val="22"/>
                <w:lang w:val="en-GB"/>
              </w:rPr>
              <w:t>,</w:t>
            </w:r>
            <w:r w:rsidRPr="006756E8">
              <w:rPr>
                <w:szCs w:val="22"/>
                <w:lang w:val="en-GB"/>
              </w:rPr>
              <w:t xml:space="preserve">8 </w:t>
            </w:r>
          </w:p>
        </w:tc>
      </w:tr>
      <w:tr w:rsidR="00400C57" w:rsidRPr="006756E8">
        <w:tblPrEx>
          <w:tblCellMar>
            <w:top w:w="0" w:type="dxa"/>
            <w:bottom w:w="0" w:type="dxa"/>
          </w:tblCellMar>
        </w:tblPrEx>
        <w:trPr>
          <w:trHeight w:val="595"/>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D7500D" w:rsidP="0031570A">
            <w:pPr>
              <w:tabs>
                <w:tab w:val="left" w:pos="567"/>
              </w:tabs>
              <w:autoSpaceDE w:val="0"/>
              <w:autoSpaceDN w:val="0"/>
              <w:adjustRightInd w:val="0"/>
              <w:rPr>
                <w:szCs w:val="22"/>
                <w:lang w:val="en-GB"/>
              </w:rPr>
            </w:pPr>
            <w:r w:rsidRPr="006756E8">
              <w:rPr>
                <w:noProof/>
                <w:szCs w:val="22"/>
              </w:rPr>
              <w:t>Διάμεσο υγρό</w:t>
            </w:r>
            <w:r w:rsidR="00400C57" w:rsidRPr="006756E8">
              <w:rPr>
                <w:noProof/>
                <w:szCs w:val="22"/>
                <w:lang w:val="en-GB"/>
              </w:rPr>
              <w:t xml:space="preserve">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2 g 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1</w:t>
            </w:r>
            <w:r w:rsidR="004A636C">
              <w:rPr>
                <w:szCs w:val="22"/>
                <w:lang w:val="en-GB"/>
              </w:rPr>
              <w:t>,</w:t>
            </w:r>
            <w:r w:rsidRPr="006756E8">
              <w:rPr>
                <w:szCs w:val="22"/>
                <w:lang w:val="en-GB"/>
              </w:rPr>
              <w:t xml:space="preserve">5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81</w:t>
            </w:r>
            <w:r w:rsidR="004A636C">
              <w:rPr>
                <w:szCs w:val="22"/>
                <w:lang w:val="en-GB"/>
              </w:rPr>
              <w:t>,</w:t>
            </w:r>
            <w:r w:rsidRPr="006756E8">
              <w:rPr>
                <w:szCs w:val="22"/>
                <w:lang w:val="en-GB"/>
              </w:rPr>
              <w:t xml:space="preserve">4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72</w:t>
            </w:r>
            <w:r w:rsidR="004A636C">
              <w:rPr>
                <w:szCs w:val="22"/>
                <w:lang w:val="en-GB"/>
              </w:rPr>
              <w:t>,</w:t>
            </w:r>
            <w:r w:rsidRPr="006756E8">
              <w:rPr>
                <w:szCs w:val="22"/>
                <w:lang w:val="en-GB"/>
              </w:rPr>
              <w:t xml:space="preserve">5 </w:t>
            </w:r>
          </w:p>
        </w:tc>
      </w:tr>
      <w:tr w:rsidR="00400C57" w:rsidRPr="006756E8">
        <w:tblPrEx>
          <w:tblCellMar>
            <w:top w:w="0" w:type="dxa"/>
            <w:bottom w:w="0" w:type="dxa"/>
          </w:tblCellMar>
        </w:tblPrEx>
        <w:trPr>
          <w:trHeight w:val="595"/>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D7500D" w:rsidP="0031570A">
            <w:pPr>
              <w:tabs>
                <w:tab w:val="left" w:pos="567"/>
              </w:tabs>
              <w:autoSpaceDE w:val="0"/>
              <w:autoSpaceDN w:val="0"/>
              <w:adjustRightInd w:val="0"/>
              <w:rPr>
                <w:szCs w:val="22"/>
                <w:lang w:val="en-GB"/>
              </w:rPr>
            </w:pPr>
            <w:r w:rsidRPr="006756E8">
              <w:rPr>
                <w:noProof/>
                <w:szCs w:val="22"/>
              </w:rPr>
              <w:t>Βρογχική βλεννογόνος</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2 g 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4</w:t>
            </w:r>
            <w:r w:rsidR="004A636C">
              <w:rPr>
                <w:szCs w:val="22"/>
                <w:lang w:val="en-GB"/>
              </w:rPr>
              <w:t>,</w:t>
            </w:r>
            <w:r w:rsidRPr="006756E8">
              <w:rPr>
                <w:szCs w:val="22"/>
                <w:lang w:val="en-GB"/>
              </w:rPr>
              <w:t xml:space="preserve">8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24</w:t>
            </w:r>
            <w:r w:rsidR="004A636C">
              <w:rPr>
                <w:szCs w:val="22"/>
                <w:lang w:val="en-GB"/>
              </w:rPr>
              <w:t>,</w:t>
            </w:r>
            <w:r w:rsidRPr="006756E8">
              <w:rPr>
                <w:szCs w:val="22"/>
                <w:lang w:val="en-GB"/>
              </w:rPr>
              <w:t xml:space="preserve">1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40</w:t>
            </w:r>
            <w:r w:rsidR="004A636C">
              <w:rPr>
                <w:szCs w:val="22"/>
                <w:lang w:val="en-GB"/>
              </w:rPr>
              <w:t>,</w:t>
            </w:r>
            <w:r w:rsidRPr="006756E8">
              <w:rPr>
                <w:szCs w:val="22"/>
                <w:lang w:val="en-GB"/>
              </w:rPr>
              <w:t xml:space="preserve">4 </w:t>
            </w:r>
          </w:p>
        </w:tc>
      </w:tr>
      <w:tr w:rsidR="00400C57" w:rsidRPr="006756E8">
        <w:tblPrEx>
          <w:tblCellMar>
            <w:top w:w="0" w:type="dxa"/>
            <w:bottom w:w="0" w:type="dxa"/>
          </w:tblCellMar>
        </w:tblPrEx>
        <w:trPr>
          <w:trHeight w:val="316"/>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D7500D" w:rsidP="0031570A">
            <w:pPr>
              <w:tabs>
                <w:tab w:val="left" w:pos="567"/>
              </w:tabs>
              <w:autoSpaceDE w:val="0"/>
              <w:autoSpaceDN w:val="0"/>
              <w:adjustRightInd w:val="0"/>
              <w:rPr>
                <w:szCs w:val="22"/>
                <w:lang w:val="en-GB"/>
              </w:rPr>
            </w:pPr>
            <w:r w:rsidRPr="006756E8">
              <w:rPr>
                <w:noProof/>
                <w:szCs w:val="22"/>
              </w:rPr>
              <w:t>Σκωληκοειδής απόφυση</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2 g 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5</w:t>
            </w:r>
            <w:r w:rsidR="004A636C">
              <w:rPr>
                <w:szCs w:val="22"/>
                <w:lang w:val="en-GB"/>
              </w:rPr>
              <w:t>,</w:t>
            </w:r>
            <w:r w:rsidRPr="006756E8">
              <w:rPr>
                <w:szCs w:val="22"/>
                <w:lang w:val="en-GB"/>
              </w:rPr>
              <w:t xml:space="preserve">7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5</w:t>
            </w:r>
            <w:r w:rsidR="004A636C">
              <w:rPr>
                <w:szCs w:val="22"/>
                <w:lang w:val="en-GB"/>
              </w:rPr>
              <w:t>,</w:t>
            </w:r>
            <w:r w:rsidRPr="006756E8">
              <w:rPr>
                <w:szCs w:val="22"/>
                <w:lang w:val="en-GB"/>
              </w:rPr>
              <w:t xml:space="preserve">2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17</w:t>
            </w:r>
            <w:r w:rsidR="004A636C">
              <w:rPr>
                <w:szCs w:val="22"/>
                <w:lang w:val="en-GB"/>
              </w:rPr>
              <w:t>,</w:t>
            </w:r>
            <w:r w:rsidRPr="006756E8">
              <w:rPr>
                <w:szCs w:val="22"/>
                <w:lang w:val="en-GB"/>
              </w:rPr>
              <w:t xml:space="preserve">8 </w:t>
            </w:r>
          </w:p>
        </w:tc>
      </w:tr>
      <w:tr w:rsidR="00400C57" w:rsidRPr="006756E8">
        <w:tblPrEx>
          <w:tblCellMar>
            <w:top w:w="0" w:type="dxa"/>
            <w:bottom w:w="0" w:type="dxa"/>
          </w:tblCellMar>
        </w:tblPrEx>
        <w:trPr>
          <w:trHeight w:val="316"/>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A506D5" w:rsidP="0031570A">
            <w:pPr>
              <w:tabs>
                <w:tab w:val="left" w:pos="567"/>
              </w:tabs>
              <w:autoSpaceDE w:val="0"/>
              <w:autoSpaceDN w:val="0"/>
              <w:adjustRightInd w:val="0"/>
              <w:rPr>
                <w:szCs w:val="22"/>
                <w:lang w:val="en-GB"/>
              </w:rPr>
            </w:pPr>
            <w:r w:rsidRPr="006756E8">
              <w:rPr>
                <w:noProof/>
                <w:szCs w:val="22"/>
              </w:rPr>
              <w:t>Χοληδόχο κύστη</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2 g 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8</w:t>
            </w:r>
            <w:r w:rsidR="004A636C">
              <w:rPr>
                <w:szCs w:val="22"/>
                <w:lang w:val="en-GB"/>
              </w:rPr>
              <w:t>,</w:t>
            </w:r>
            <w:r w:rsidRPr="006756E8">
              <w:rPr>
                <w:szCs w:val="22"/>
                <w:lang w:val="en-GB"/>
              </w:rPr>
              <w:t xml:space="preserve">9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11</w:t>
            </w:r>
            <w:r w:rsidR="004A636C">
              <w:rPr>
                <w:szCs w:val="22"/>
                <w:lang w:val="en-GB"/>
              </w:rPr>
              <w:t>,</w:t>
            </w:r>
            <w:r w:rsidRPr="006756E8">
              <w:rPr>
                <w:szCs w:val="22"/>
                <w:lang w:val="en-GB"/>
              </w:rPr>
              <w:t xml:space="preserve">9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8</w:t>
            </w:r>
            <w:r w:rsidR="004A636C">
              <w:rPr>
                <w:szCs w:val="22"/>
                <w:lang w:val="en-GB"/>
              </w:rPr>
              <w:t>,</w:t>
            </w:r>
            <w:r w:rsidRPr="006756E8">
              <w:rPr>
                <w:szCs w:val="22"/>
                <w:lang w:val="en-GB"/>
              </w:rPr>
              <w:t xml:space="preserve">5 </w:t>
            </w:r>
          </w:p>
        </w:tc>
      </w:tr>
      <w:tr w:rsidR="00400C57" w:rsidRPr="006756E8">
        <w:tblPrEx>
          <w:tblCellMar>
            <w:top w:w="0" w:type="dxa"/>
            <w:bottom w:w="0" w:type="dxa"/>
          </w:tblCellMar>
        </w:tblPrEx>
        <w:trPr>
          <w:trHeight w:val="595"/>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A506D5" w:rsidP="0031570A">
            <w:pPr>
              <w:tabs>
                <w:tab w:val="left" w:pos="567"/>
              </w:tabs>
              <w:autoSpaceDE w:val="0"/>
              <w:autoSpaceDN w:val="0"/>
              <w:adjustRightInd w:val="0"/>
              <w:rPr>
                <w:szCs w:val="22"/>
                <w:lang w:val="en-GB"/>
              </w:rPr>
            </w:pPr>
            <w:r w:rsidRPr="006756E8">
              <w:rPr>
                <w:noProof/>
                <w:szCs w:val="22"/>
              </w:rPr>
              <w:t>Εγκεφαλονωτιαίο υγρό</w:t>
            </w:r>
            <w:r w:rsidR="00400C57" w:rsidRPr="006756E8">
              <w:rPr>
                <w:noProof/>
                <w:szCs w:val="22"/>
                <w:lang w:val="en-GB"/>
              </w:rPr>
              <w:t xml:space="preserve">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rPr>
            </w:pPr>
            <w:r w:rsidRPr="006756E8">
              <w:rPr>
                <w:noProof/>
                <w:szCs w:val="22"/>
              </w:rPr>
              <w:t xml:space="preserve">50 mg/kg/I.V.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rPr>
            </w:pPr>
            <w:r w:rsidRPr="006756E8">
              <w:rPr>
                <w:szCs w:val="22"/>
              </w:rPr>
              <w:t>4</w:t>
            </w:r>
            <w:r w:rsidR="004A636C">
              <w:rPr>
                <w:szCs w:val="22"/>
              </w:rPr>
              <w:t>,</w:t>
            </w:r>
            <w:r w:rsidRPr="006756E8">
              <w:rPr>
                <w:szCs w:val="22"/>
              </w:rPr>
              <w:t xml:space="preserve">0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rPr>
            </w:pPr>
            <w:r w:rsidRPr="006756E8">
              <w:rPr>
                <w:szCs w:val="22"/>
              </w:rPr>
              <w:t>4</w:t>
            </w:r>
            <w:r w:rsidR="004A636C">
              <w:rPr>
                <w:szCs w:val="22"/>
              </w:rPr>
              <w:t>,</w:t>
            </w:r>
            <w:r w:rsidRPr="006756E8">
              <w:rPr>
                <w:szCs w:val="22"/>
              </w:rPr>
              <w:t xml:space="preserve">2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rPr>
            </w:pPr>
            <w:r w:rsidRPr="006756E8">
              <w:rPr>
                <w:szCs w:val="22"/>
              </w:rPr>
              <w:t>16</w:t>
            </w:r>
            <w:r w:rsidR="004A636C">
              <w:rPr>
                <w:szCs w:val="22"/>
              </w:rPr>
              <w:t>,</w:t>
            </w:r>
            <w:r w:rsidRPr="006756E8">
              <w:rPr>
                <w:szCs w:val="22"/>
              </w:rPr>
              <w:t xml:space="preserve">7 </w:t>
            </w:r>
          </w:p>
        </w:tc>
      </w:tr>
      <w:tr w:rsidR="00400C57" w:rsidRPr="006756E8">
        <w:tblPrEx>
          <w:tblCellMar>
            <w:top w:w="0" w:type="dxa"/>
            <w:bottom w:w="0" w:type="dxa"/>
          </w:tblCellMar>
        </w:tblPrEx>
        <w:trPr>
          <w:trHeight w:val="316"/>
        </w:trPr>
        <w:tc>
          <w:tcPr>
            <w:tcW w:w="2160" w:type="dxa"/>
            <w:tcBorders>
              <w:top w:val="single" w:sz="6" w:space="0" w:color="000000"/>
              <w:left w:val="double" w:sz="4" w:space="0" w:color="000000"/>
              <w:bottom w:val="single" w:sz="6" w:space="0" w:color="000000"/>
              <w:right w:val="single" w:sz="6" w:space="0" w:color="000000"/>
            </w:tcBorders>
          </w:tcPr>
          <w:p w:rsidR="00400C57" w:rsidRPr="006756E8" w:rsidRDefault="00A506D5" w:rsidP="0031570A">
            <w:pPr>
              <w:tabs>
                <w:tab w:val="left" w:pos="567"/>
              </w:tabs>
              <w:autoSpaceDE w:val="0"/>
              <w:autoSpaceDN w:val="0"/>
              <w:adjustRightInd w:val="0"/>
              <w:rPr>
                <w:noProof/>
                <w:szCs w:val="22"/>
              </w:rPr>
            </w:pPr>
            <w:r w:rsidRPr="006756E8">
              <w:rPr>
                <w:noProof/>
                <w:szCs w:val="22"/>
              </w:rPr>
              <w:t>Πτυέλα</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rPr>
            </w:pPr>
            <w:r w:rsidRPr="006756E8">
              <w:rPr>
                <w:noProof/>
                <w:szCs w:val="22"/>
              </w:rPr>
              <w:t xml:space="preserve">2 g I.V.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4</w:t>
            </w:r>
            <w:r w:rsidR="004A636C">
              <w:rPr>
                <w:szCs w:val="22"/>
                <w:lang w:val="en-GB"/>
              </w:rPr>
              <w:t>,</w:t>
            </w:r>
            <w:r w:rsidRPr="006756E8">
              <w:rPr>
                <w:szCs w:val="22"/>
                <w:lang w:val="en-GB"/>
              </w:rPr>
              <w:t xml:space="preserve">0 </w:t>
            </w:r>
          </w:p>
        </w:tc>
        <w:tc>
          <w:tcPr>
            <w:tcW w:w="1845" w:type="dxa"/>
            <w:tcBorders>
              <w:top w:val="single" w:sz="6" w:space="0" w:color="000000"/>
              <w:left w:val="single" w:sz="6" w:space="0" w:color="000000"/>
              <w:bottom w:val="single" w:sz="6"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7</w:t>
            </w:r>
            <w:r w:rsidR="004A636C">
              <w:rPr>
                <w:szCs w:val="22"/>
                <w:lang w:val="en-GB"/>
              </w:rPr>
              <w:t>,</w:t>
            </w:r>
            <w:r w:rsidRPr="006756E8">
              <w:rPr>
                <w:szCs w:val="22"/>
                <w:lang w:val="en-GB"/>
              </w:rPr>
              <w:t xml:space="preserve">4 </w:t>
            </w:r>
          </w:p>
        </w:tc>
        <w:tc>
          <w:tcPr>
            <w:tcW w:w="1845" w:type="dxa"/>
            <w:tcBorders>
              <w:top w:val="single" w:sz="6" w:space="0" w:color="000000"/>
              <w:left w:val="single" w:sz="6" w:space="0" w:color="000000"/>
              <w:bottom w:val="single" w:sz="6" w:space="0" w:color="000000"/>
              <w:right w:val="double" w:sz="4"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 xml:space="preserve">- </w:t>
            </w:r>
          </w:p>
        </w:tc>
      </w:tr>
      <w:tr w:rsidR="00400C57" w:rsidRPr="006756E8">
        <w:tblPrEx>
          <w:tblCellMar>
            <w:top w:w="0" w:type="dxa"/>
            <w:bottom w:w="0" w:type="dxa"/>
          </w:tblCellMar>
        </w:tblPrEx>
        <w:trPr>
          <w:trHeight w:val="316"/>
        </w:trPr>
        <w:tc>
          <w:tcPr>
            <w:tcW w:w="2160" w:type="dxa"/>
            <w:tcBorders>
              <w:top w:val="single" w:sz="6" w:space="0" w:color="000000"/>
              <w:left w:val="double" w:sz="4" w:space="0" w:color="000000"/>
              <w:bottom w:val="double" w:sz="4" w:space="0" w:color="000000"/>
              <w:right w:val="single" w:sz="6" w:space="0" w:color="000000"/>
            </w:tcBorders>
          </w:tcPr>
          <w:p w:rsidR="00400C57" w:rsidRPr="006756E8" w:rsidRDefault="00A506D5" w:rsidP="0031570A">
            <w:pPr>
              <w:tabs>
                <w:tab w:val="left" w:pos="567"/>
              </w:tabs>
              <w:autoSpaceDE w:val="0"/>
              <w:autoSpaceDN w:val="0"/>
              <w:adjustRightInd w:val="0"/>
              <w:rPr>
                <w:szCs w:val="22"/>
                <w:lang w:val="en-GB"/>
              </w:rPr>
            </w:pPr>
            <w:r w:rsidRPr="006756E8">
              <w:rPr>
                <w:noProof/>
                <w:szCs w:val="22"/>
              </w:rPr>
              <w:t>Προστάτης</w:t>
            </w:r>
            <w:r w:rsidR="00400C57" w:rsidRPr="006756E8">
              <w:rPr>
                <w:noProof/>
                <w:szCs w:val="22"/>
                <w:lang w:val="en-GB"/>
              </w:rPr>
              <w:t xml:space="preserve"> </w:t>
            </w:r>
          </w:p>
        </w:tc>
        <w:tc>
          <w:tcPr>
            <w:tcW w:w="1845" w:type="dxa"/>
            <w:tcBorders>
              <w:top w:val="single" w:sz="6" w:space="0" w:color="000000"/>
              <w:left w:val="single" w:sz="6" w:space="0" w:color="000000"/>
              <w:bottom w:val="double" w:sz="4"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noProof/>
                <w:szCs w:val="22"/>
                <w:lang w:val="en-GB"/>
              </w:rPr>
              <w:t xml:space="preserve">2 g I.V. </w:t>
            </w:r>
          </w:p>
        </w:tc>
        <w:tc>
          <w:tcPr>
            <w:tcW w:w="1845" w:type="dxa"/>
            <w:tcBorders>
              <w:top w:val="single" w:sz="6" w:space="0" w:color="000000"/>
              <w:left w:val="single" w:sz="6" w:space="0" w:color="000000"/>
              <w:bottom w:val="double" w:sz="4"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1</w:t>
            </w:r>
            <w:r w:rsidR="004A636C">
              <w:rPr>
                <w:szCs w:val="22"/>
                <w:lang w:val="en-GB"/>
              </w:rPr>
              <w:t>,</w:t>
            </w:r>
            <w:r w:rsidRPr="006756E8">
              <w:rPr>
                <w:szCs w:val="22"/>
                <w:lang w:val="en-GB"/>
              </w:rPr>
              <w:t xml:space="preserve">0 </w:t>
            </w:r>
          </w:p>
        </w:tc>
        <w:tc>
          <w:tcPr>
            <w:tcW w:w="1845" w:type="dxa"/>
            <w:tcBorders>
              <w:top w:val="single" w:sz="6" w:space="0" w:color="000000"/>
              <w:left w:val="single" w:sz="6" w:space="0" w:color="000000"/>
              <w:bottom w:val="double" w:sz="4" w:space="0" w:color="000000"/>
              <w:right w:val="single" w:sz="6" w:space="0" w:color="000000"/>
            </w:tcBorders>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31</w:t>
            </w:r>
            <w:r w:rsidR="004A636C">
              <w:rPr>
                <w:szCs w:val="22"/>
                <w:lang w:val="en-GB"/>
              </w:rPr>
              <w:t>,</w:t>
            </w:r>
            <w:r w:rsidRPr="006756E8">
              <w:rPr>
                <w:szCs w:val="22"/>
                <w:lang w:val="en-GB"/>
              </w:rPr>
              <w:t xml:space="preserve">5 </w:t>
            </w:r>
          </w:p>
        </w:tc>
        <w:tc>
          <w:tcPr>
            <w:tcW w:w="1845" w:type="dxa"/>
            <w:tcBorders>
              <w:top w:val="single" w:sz="6" w:space="0" w:color="000000"/>
              <w:left w:val="single" w:sz="6" w:space="0" w:color="000000"/>
              <w:bottom w:val="double" w:sz="4" w:space="0" w:color="000000"/>
              <w:right w:val="double" w:sz="4" w:space="0" w:color="000000"/>
            </w:tcBorders>
          </w:tcPr>
          <w:p w:rsidR="00400C57" w:rsidRPr="006756E8" w:rsidRDefault="00400C57" w:rsidP="0031570A">
            <w:pPr>
              <w:tabs>
                <w:tab w:val="left" w:pos="567"/>
              </w:tabs>
              <w:autoSpaceDE w:val="0"/>
              <w:autoSpaceDN w:val="0"/>
              <w:adjustRightInd w:val="0"/>
              <w:rPr>
                <w:szCs w:val="22"/>
                <w:lang w:val="en-GB"/>
              </w:rPr>
            </w:pPr>
            <w:r w:rsidRPr="006756E8">
              <w:rPr>
                <w:szCs w:val="22"/>
                <w:lang w:val="en-GB"/>
              </w:rPr>
              <w:t xml:space="preserve">- </w:t>
            </w:r>
          </w:p>
        </w:tc>
      </w:tr>
    </w:tbl>
    <w:p w:rsidR="00400C57" w:rsidRPr="006756E8" w:rsidRDefault="00400C57" w:rsidP="0031570A">
      <w:pPr>
        <w:tabs>
          <w:tab w:val="left" w:pos="567"/>
        </w:tabs>
        <w:autoSpaceDE w:val="0"/>
        <w:autoSpaceDN w:val="0"/>
        <w:adjustRightInd w:val="0"/>
        <w:jc w:val="both"/>
        <w:rPr>
          <w:szCs w:val="22"/>
        </w:rPr>
      </w:pPr>
      <w:r w:rsidRPr="006756E8">
        <w:rPr>
          <w:szCs w:val="22"/>
        </w:rPr>
        <w:t xml:space="preserve">*   </w:t>
      </w:r>
      <w:r w:rsidR="003206F2" w:rsidRPr="006756E8">
        <w:rPr>
          <w:szCs w:val="22"/>
        </w:rPr>
        <w:t xml:space="preserve">Δείγμα ούρων λαμβανόμενα με ενδιάμεσο διάστημα </w:t>
      </w:r>
      <w:r w:rsidRPr="006756E8">
        <w:rPr>
          <w:szCs w:val="22"/>
        </w:rPr>
        <w:t xml:space="preserve">0 - 4 </w:t>
      </w:r>
      <w:r w:rsidR="003206F2" w:rsidRPr="006756E8">
        <w:rPr>
          <w:szCs w:val="22"/>
        </w:rPr>
        <w:t>ώρες μετά την χορήγηση</w:t>
      </w:r>
      <w:r w:rsidRPr="006756E8">
        <w:rPr>
          <w:szCs w:val="22"/>
        </w:rPr>
        <w:t xml:space="preserve"> </w:t>
      </w:r>
    </w:p>
    <w:p w:rsidR="00400C57" w:rsidRPr="006756E8" w:rsidRDefault="00400C57" w:rsidP="0031570A">
      <w:pPr>
        <w:tabs>
          <w:tab w:val="left" w:pos="567"/>
        </w:tabs>
        <w:autoSpaceDE w:val="0"/>
        <w:autoSpaceDN w:val="0"/>
        <w:adjustRightInd w:val="0"/>
        <w:rPr>
          <w:szCs w:val="22"/>
        </w:rPr>
      </w:pPr>
      <w:r w:rsidRPr="006756E8">
        <w:rPr>
          <w:noProof/>
          <w:szCs w:val="22"/>
        </w:rPr>
        <w:t xml:space="preserve">** </w:t>
      </w:r>
      <w:r w:rsidR="003206F2" w:rsidRPr="006756E8">
        <w:rPr>
          <w:noProof/>
          <w:szCs w:val="22"/>
        </w:rPr>
        <w:t xml:space="preserve">Δείγμα πλάσματος </w:t>
      </w:r>
      <w:r w:rsidR="003206F2" w:rsidRPr="006756E8">
        <w:rPr>
          <w:szCs w:val="22"/>
        </w:rPr>
        <w:t xml:space="preserve">λαμβανόμενα </w:t>
      </w:r>
      <w:r w:rsidRPr="006756E8">
        <w:rPr>
          <w:noProof/>
          <w:szCs w:val="22"/>
        </w:rPr>
        <w:t xml:space="preserve">4 </w:t>
      </w:r>
      <w:r w:rsidR="003206F2" w:rsidRPr="006756E8">
        <w:rPr>
          <w:noProof/>
          <w:szCs w:val="22"/>
        </w:rPr>
        <w:t>ώρες μετά την ένεση</w:t>
      </w:r>
      <w:r w:rsidRPr="006756E8">
        <w:rPr>
          <w:noProof/>
          <w:szCs w:val="22"/>
        </w:rPr>
        <w:t>.</w:t>
      </w:r>
      <w:r w:rsidRPr="006756E8">
        <w:rPr>
          <w:szCs w:val="22"/>
        </w:rPr>
        <w:t xml:space="preserve"> </w:t>
      </w:r>
    </w:p>
    <w:p w:rsidR="00400C57" w:rsidRPr="006756E8" w:rsidRDefault="00400C57" w:rsidP="0031570A">
      <w:pPr>
        <w:tabs>
          <w:tab w:val="left" w:pos="567"/>
        </w:tabs>
        <w:autoSpaceDE w:val="0"/>
        <w:autoSpaceDN w:val="0"/>
        <w:adjustRightInd w:val="0"/>
        <w:rPr>
          <w:szCs w:val="22"/>
        </w:rPr>
      </w:pPr>
    </w:p>
    <w:p w:rsidR="00400C57" w:rsidRPr="006756E8" w:rsidRDefault="00DB49D5" w:rsidP="0031570A">
      <w:pPr>
        <w:tabs>
          <w:tab w:val="left" w:pos="567"/>
        </w:tabs>
        <w:autoSpaceDE w:val="0"/>
        <w:autoSpaceDN w:val="0"/>
        <w:adjustRightInd w:val="0"/>
        <w:rPr>
          <w:szCs w:val="22"/>
        </w:rPr>
      </w:pPr>
      <w:r w:rsidRPr="006756E8">
        <w:rPr>
          <w:szCs w:val="22"/>
        </w:rPr>
        <w:t xml:space="preserve">Μέσες συγκεντρώσεις πλάσματος </w:t>
      </w:r>
      <w:r w:rsidR="00400C57" w:rsidRPr="006756E8">
        <w:rPr>
          <w:szCs w:val="22"/>
        </w:rPr>
        <w:t>(</w:t>
      </w:r>
      <w:r w:rsidR="00400C57" w:rsidRPr="006756E8">
        <w:rPr>
          <w:szCs w:val="22"/>
          <w:lang w:val="en-GB"/>
        </w:rPr>
        <w:t>PL</w:t>
      </w:r>
      <w:r w:rsidR="00400C57" w:rsidRPr="006756E8">
        <w:rPr>
          <w:szCs w:val="22"/>
        </w:rPr>
        <w:t xml:space="preserve">), </w:t>
      </w:r>
      <w:r w:rsidRPr="006756E8">
        <w:rPr>
          <w:szCs w:val="22"/>
        </w:rPr>
        <w:t xml:space="preserve">συγκεντρώσεις στο εγκεφαλονωτιαίο υγρό </w:t>
      </w:r>
      <w:r w:rsidR="00400C57" w:rsidRPr="006756E8">
        <w:rPr>
          <w:szCs w:val="22"/>
        </w:rPr>
        <w:t>(</w:t>
      </w:r>
      <w:r w:rsidR="00400C57" w:rsidRPr="006756E8">
        <w:rPr>
          <w:szCs w:val="22"/>
          <w:lang w:val="en-GB"/>
        </w:rPr>
        <w:t>CSF</w:t>
      </w:r>
      <w:r w:rsidR="00400C57" w:rsidRPr="006756E8">
        <w:rPr>
          <w:szCs w:val="22"/>
        </w:rPr>
        <w:t xml:space="preserve">) </w:t>
      </w:r>
      <w:r w:rsidRPr="006756E8">
        <w:rPr>
          <w:szCs w:val="22"/>
        </w:rPr>
        <w:t xml:space="preserve">και αναλογία </w:t>
      </w:r>
      <w:r w:rsidR="00400C57" w:rsidRPr="006756E8">
        <w:rPr>
          <w:szCs w:val="22"/>
          <w:lang w:val="en-GB"/>
        </w:rPr>
        <w:t>CSF</w:t>
      </w:r>
      <w:r w:rsidR="00400C57" w:rsidRPr="006756E8">
        <w:rPr>
          <w:szCs w:val="22"/>
        </w:rPr>
        <w:t>/</w:t>
      </w:r>
      <w:r w:rsidR="00400C57" w:rsidRPr="006756E8">
        <w:rPr>
          <w:szCs w:val="22"/>
          <w:lang w:val="en-GB"/>
        </w:rPr>
        <w:t>PL</w:t>
      </w:r>
      <w:r w:rsidR="00400C57" w:rsidRPr="006756E8">
        <w:rPr>
          <w:szCs w:val="22"/>
        </w:rPr>
        <w:t xml:space="preserve"> </w:t>
      </w:r>
      <w:r w:rsidRPr="006756E8">
        <w:rPr>
          <w:szCs w:val="22"/>
        </w:rPr>
        <w:t>της κεφεπίμης</w:t>
      </w:r>
      <w:r w:rsidR="00400C57" w:rsidRPr="006756E8">
        <w:rPr>
          <w:szCs w:val="22"/>
        </w:rPr>
        <w:t xml:space="preserve"> *</w:t>
      </w:r>
    </w:p>
    <w:tbl>
      <w:tblPr>
        <w:tblW w:w="0" w:type="auto"/>
        <w:tblInd w:w="108" w:type="dxa"/>
        <w:tblLayout w:type="fixed"/>
        <w:tblLook w:val="0000"/>
      </w:tblPr>
      <w:tblGrid>
        <w:gridCol w:w="2342"/>
        <w:gridCol w:w="1438"/>
        <w:gridCol w:w="1800"/>
        <w:gridCol w:w="2160"/>
        <w:gridCol w:w="1774"/>
      </w:tblGrid>
      <w:tr w:rsidR="00400C57" w:rsidRPr="006756E8">
        <w:tblPrEx>
          <w:tblCellMar>
            <w:top w:w="0" w:type="dxa"/>
            <w:bottom w:w="0" w:type="dxa"/>
          </w:tblCellMar>
        </w:tblPrEx>
        <w:trPr>
          <w:trHeight w:val="1003"/>
        </w:trPr>
        <w:tc>
          <w:tcPr>
            <w:tcW w:w="2342" w:type="dxa"/>
            <w:tcBorders>
              <w:top w:val="double" w:sz="12" w:space="0" w:color="000000"/>
              <w:left w:val="double" w:sz="12" w:space="0" w:color="000000"/>
              <w:bottom w:val="single" w:sz="8" w:space="0" w:color="000000"/>
              <w:right w:val="single" w:sz="8" w:space="0" w:color="000000"/>
            </w:tcBorders>
            <w:vAlign w:val="center"/>
          </w:tcPr>
          <w:p w:rsidR="00400C57" w:rsidRPr="006756E8" w:rsidRDefault="00E332F7" w:rsidP="0031570A">
            <w:pPr>
              <w:tabs>
                <w:tab w:val="left" w:pos="567"/>
              </w:tabs>
              <w:autoSpaceDE w:val="0"/>
              <w:autoSpaceDN w:val="0"/>
              <w:adjustRightInd w:val="0"/>
              <w:jc w:val="center"/>
              <w:rPr>
                <w:szCs w:val="22"/>
              </w:rPr>
            </w:pPr>
            <w:r w:rsidRPr="006756E8">
              <w:rPr>
                <w:noProof/>
                <w:szCs w:val="22"/>
              </w:rPr>
              <w:lastRenderedPageBreak/>
              <w:t>Δείγμα μετά από Χ</w:t>
            </w:r>
            <w:r w:rsidR="00DB49D5" w:rsidRPr="006756E8">
              <w:rPr>
                <w:noProof/>
                <w:szCs w:val="22"/>
              </w:rPr>
              <w:t>ρόνο</w:t>
            </w:r>
          </w:p>
          <w:p w:rsidR="00400C57" w:rsidRPr="006756E8" w:rsidRDefault="00400C57" w:rsidP="0031570A">
            <w:pPr>
              <w:tabs>
                <w:tab w:val="left" w:pos="567"/>
              </w:tabs>
              <w:autoSpaceDE w:val="0"/>
              <w:autoSpaceDN w:val="0"/>
              <w:adjustRightInd w:val="0"/>
              <w:jc w:val="center"/>
              <w:rPr>
                <w:szCs w:val="22"/>
              </w:rPr>
            </w:pPr>
            <w:r w:rsidRPr="006756E8">
              <w:rPr>
                <w:noProof/>
                <w:szCs w:val="22"/>
              </w:rPr>
              <w:t>(</w:t>
            </w:r>
            <w:r w:rsidR="00DB49D5" w:rsidRPr="006756E8">
              <w:rPr>
                <w:noProof/>
                <w:szCs w:val="22"/>
              </w:rPr>
              <w:t>σε ώρες</w:t>
            </w:r>
            <w:r w:rsidRPr="006756E8">
              <w:rPr>
                <w:noProof/>
                <w:szCs w:val="22"/>
              </w:rPr>
              <w:t>)</w:t>
            </w:r>
          </w:p>
        </w:tc>
        <w:tc>
          <w:tcPr>
            <w:tcW w:w="1438" w:type="dxa"/>
            <w:tcBorders>
              <w:top w:val="double" w:sz="12" w:space="0" w:color="000000"/>
              <w:left w:val="single" w:sz="8" w:space="0" w:color="000000"/>
              <w:bottom w:val="single" w:sz="8" w:space="0" w:color="000000"/>
              <w:right w:val="single" w:sz="8" w:space="0" w:color="000000"/>
            </w:tcBorders>
            <w:vAlign w:val="center"/>
          </w:tcPr>
          <w:p w:rsidR="00400C57" w:rsidRPr="006756E8" w:rsidRDefault="00DB49D5" w:rsidP="0031570A">
            <w:pPr>
              <w:tabs>
                <w:tab w:val="left" w:pos="567"/>
              </w:tabs>
              <w:autoSpaceDE w:val="0"/>
              <w:autoSpaceDN w:val="0"/>
              <w:adjustRightInd w:val="0"/>
              <w:jc w:val="center"/>
              <w:rPr>
                <w:szCs w:val="22"/>
              </w:rPr>
            </w:pPr>
            <w:r w:rsidRPr="006756E8">
              <w:rPr>
                <w:noProof/>
                <w:szCs w:val="22"/>
              </w:rPr>
              <w:t>Αριθμός ασθενών</w:t>
            </w:r>
          </w:p>
        </w:tc>
        <w:tc>
          <w:tcPr>
            <w:tcW w:w="1800" w:type="dxa"/>
            <w:tcBorders>
              <w:top w:val="double" w:sz="12" w:space="0" w:color="000000"/>
              <w:left w:val="single" w:sz="8" w:space="0" w:color="000000"/>
              <w:bottom w:val="single" w:sz="8" w:space="0" w:color="000000"/>
              <w:right w:val="single" w:sz="8" w:space="0" w:color="000000"/>
            </w:tcBorders>
            <w:vAlign w:val="center"/>
          </w:tcPr>
          <w:p w:rsidR="00400C57" w:rsidRPr="006756E8" w:rsidRDefault="00DB49D5" w:rsidP="0031570A">
            <w:pPr>
              <w:tabs>
                <w:tab w:val="left" w:pos="567"/>
              </w:tabs>
              <w:autoSpaceDE w:val="0"/>
              <w:autoSpaceDN w:val="0"/>
              <w:adjustRightInd w:val="0"/>
              <w:jc w:val="center"/>
              <w:rPr>
                <w:szCs w:val="22"/>
              </w:rPr>
            </w:pPr>
            <w:r w:rsidRPr="006756E8">
              <w:rPr>
                <w:noProof/>
                <w:szCs w:val="22"/>
              </w:rPr>
              <w:t>Συγκέντρωση στο πλάσμα</w:t>
            </w:r>
          </w:p>
          <w:p w:rsidR="00400C57" w:rsidRPr="00BA41FF" w:rsidRDefault="00400C57" w:rsidP="0031570A">
            <w:pPr>
              <w:tabs>
                <w:tab w:val="left" w:pos="567"/>
              </w:tabs>
              <w:autoSpaceDE w:val="0"/>
              <w:autoSpaceDN w:val="0"/>
              <w:adjustRightInd w:val="0"/>
              <w:jc w:val="center"/>
              <w:rPr>
                <w:szCs w:val="22"/>
              </w:rPr>
            </w:pPr>
            <w:r w:rsidRPr="00BA41FF">
              <w:rPr>
                <w:noProof/>
                <w:szCs w:val="22"/>
              </w:rPr>
              <w:t>(</w:t>
            </w:r>
            <w:r w:rsidRPr="006756E8">
              <w:rPr>
                <w:noProof/>
                <w:szCs w:val="22"/>
                <w:lang w:val="en-GB"/>
              </w:rPr>
              <w:t>mcg</w:t>
            </w:r>
            <w:r w:rsidRPr="00BA41FF">
              <w:rPr>
                <w:noProof/>
                <w:szCs w:val="22"/>
              </w:rPr>
              <w:t>/</w:t>
            </w:r>
            <w:r w:rsidRPr="006756E8">
              <w:rPr>
                <w:noProof/>
                <w:szCs w:val="22"/>
                <w:lang w:val="en-GB"/>
              </w:rPr>
              <w:t>ml</w:t>
            </w:r>
            <w:r w:rsidRPr="00BA41FF">
              <w:rPr>
                <w:noProof/>
                <w:szCs w:val="22"/>
              </w:rPr>
              <w:t>)</w:t>
            </w:r>
          </w:p>
        </w:tc>
        <w:tc>
          <w:tcPr>
            <w:tcW w:w="2160" w:type="dxa"/>
            <w:tcBorders>
              <w:top w:val="double" w:sz="12" w:space="0" w:color="000000"/>
              <w:left w:val="single" w:sz="8" w:space="0" w:color="000000"/>
              <w:bottom w:val="single" w:sz="8" w:space="0" w:color="000000"/>
              <w:right w:val="single" w:sz="8" w:space="0" w:color="000000"/>
            </w:tcBorders>
            <w:vAlign w:val="center"/>
          </w:tcPr>
          <w:p w:rsidR="00400C57" w:rsidRPr="00BA41FF" w:rsidRDefault="00DB49D5" w:rsidP="0031570A">
            <w:pPr>
              <w:tabs>
                <w:tab w:val="left" w:pos="567"/>
              </w:tabs>
              <w:autoSpaceDE w:val="0"/>
              <w:autoSpaceDN w:val="0"/>
              <w:adjustRightInd w:val="0"/>
              <w:jc w:val="center"/>
              <w:rPr>
                <w:szCs w:val="22"/>
              </w:rPr>
            </w:pPr>
            <w:r w:rsidRPr="006756E8">
              <w:rPr>
                <w:szCs w:val="22"/>
              </w:rPr>
              <w:t>Συγκέντρωση στο εγκεφαλονωτιαίο υγρό</w:t>
            </w:r>
          </w:p>
          <w:p w:rsidR="00400C57" w:rsidRPr="00BA41FF" w:rsidRDefault="00400C57" w:rsidP="0031570A">
            <w:pPr>
              <w:tabs>
                <w:tab w:val="left" w:pos="567"/>
              </w:tabs>
              <w:autoSpaceDE w:val="0"/>
              <w:autoSpaceDN w:val="0"/>
              <w:adjustRightInd w:val="0"/>
              <w:jc w:val="center"/>
              <w:rPr>
                <w:szCs w:val="22"/>
              </w:rPr>
            </w:pPr>
            <w:r w:rsidRPr="00BA41FF">
              <w:rPr>
                <w:noProof/>
                <w:szCs w:val="22"/>
              </w:rPr>
              <w:t>(</w:t>
            </w:r>
            <w:r w:rsidRPr="006756E8">
              <w:rPr>
                <w:noProof/>
                <w:szCs w:val="22"/>
                <w:lang w:val="en-GB"/>
              </w:rPr>
              <w:t>mcg</w:t>
            </w:r>
            <w:r w:rsidRPr="00BA41FF">
              <w:rPr>
                <w:noProof/>
                <w:szCs w:val="22"/>
              </w:rPr>
              <w:t>/</w:t>
            </w:r>
            <w:r w:rsidRPr="006756E8">
              <w:rPr>
                <w:noProof/>
                <w:szCs w:val="22"/>
                <w:lang w:val="en-GB"/>
              </w:rPr>
              <w:t>ml</w:t>
            </w:r>
            <w:r w:rsidRPr="00BA41FF">
              <w:rPr>
                <w:noProof/>
                <w:szCs w:val="22"/>
              </w:rPr>
              <w:t>)</w:t>
            </w:r>
          </w:p>
        </w:tc>
        <w:tc>
          <w:tcPr>
            <w:tcW w:w="1774" w:type="dxa"/>
            <w:tcBorders>
              <w:top w:val="double" w:sz="12" w:space="0" w:color="000000"/>
              <w:left w:val="single" w:sz="8" w:space="0" w:color="000000"/>
              <w:bottom w:val="single" w:sz="8" w:space="0" w:color="000000"/>
              <w:right w:val="double" w:sz="12" w:space="0" w:color="000000"/>
            </w:tcBorders>
            <w:vAlign w:val="center"/>
          </w:tcPr>
          <w:p w:rsidR="00400C57" w:rsidRPr="006756E8" w:rsidRDefault="00DB49D5" w:rsidP="0031570A">
            <w:pPr>
              <w:tabs>
                <w:tab w:val="left" w:pos="567"/>
              </w:tabs>
              <w:autoSpaceDE w:val="0"/>
              <w:autoSpaceDN w:val="0"/>
              <w:adjustRightInd w:val="0"/>
              <w:jc w:val="center"/>
              <w:rPr>
                <w:szCs w:val="22"/>
                <w:lang w:val="en-GB"/>
              </w:rPr>
            </w:pPr>
            <w:r w:rsidRPr="006756E8">
              <w:rPr>
                <w:noProof/>
                <w:szCs w:val="22"/>
              </w:rPr>
              <w:t xml:space="preserve">Αναλογία </w:t>
            </w:r>
            <w:r w:rsidR="00400C57" w:rsidRPr="006756E8">
              <w:rPr>
                <w:noProof/>
                <w:szCs w:val="22"/>
                <w:lang w:val="en-GB"/>
              </w:rPr>
              <w:t>CSF/PL</w:t>
            </w:r>
          </w:p>
          <w:p w:rsidR="00400C57" w:rsidRPr="006756E8" w:rsidRDefault="00400C57" w:rsidP="0031570A">
            <w:pPr>
              <w:tabs>
                <w:tab w:val="left" w:pos="567"/>
              </w:tabs>
              <w:autoSpaceDE w:val="0"/>
              <w:autoSpaceDN w:val="0"/>
              <w:adjustRightInd w:val="0"/>
              <w:jc w:val="center"/>
              <w:rPr>
                <w:szCs w:val="22"/>
                <w:lang w:val="en-GB"/>
              </w:rPr>
            </w:pPr>
          </w:p>
        </w:tc>
      </w:tr>
      <w:tr w:rsidR="00400C57" w:rsidRPr="006756E8">
        <w:tblPrEx>
          <w:tblCellMar>
            <w:top w:w="0" w:type="dxa"/>
            <w:bottom w:w="0" w:type="dxa"/>
          </w:tblCellMar>
        </w:tblPrEx>
        <w:trPr>
          <w:trHeight w:val="316"/>
        </w:trPr>
        <w:tc>
          <w:tcPr>
            <w:tcW w:w="2342" w:type="dxa"/>
            <w:tcBorders>
              <w:top w:val="single" w:sz="8" w:space="0" w:color="000000"/>
              <w:left w:val="double" w:sz="12" w:space="0" w:color="000000"/>
              <w:bottom w:val="single" w:sz="8"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0.5</w:t>
            </w:r>
          </w:p>
        </w:tc>
        <w:tc>
          <w:tcPr>
            <w:tcW w:w="1438"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7</w:t>
            </w:r>
          </w:p>
        </w:tc>
        <w:tc>
          <w:tcPr>
            <w:tcW w:w="1800"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67</w:t>
            </w:r>
            <w:r w:rsidR="00A76038">
              <w:rPr>
                <w:szCs w:val="22"/>
                <w:lang w:val="en-GB"/>
              </w:rPr>
              <w:t>,</w:t>
            </w:r>
            <w:r w:rsidRPr="006756E8">
              <w:rPr>
                <w:szCs w:val="22"/>
                <w:lang w:val="en-GB"/>
              </w:rPr>
              <w:t>1 (51</w:t>
            </w:r>
            <w:r w:rsidR="00A76038">
              <w:rPr>
                <w:szCs w:val="22"/>
                <w:lang w:val="en-GB"/>
              </w:rPr>
              <w:t>,</w:t>
            </w:r>
            <w:r w:rsidRPr="006756E8">
              <w:rPr>
                <w:szCs w:val="22"/>
                <w:lang w:val="en-GB"/>
              </w:rPr>
              <w:t>2)</w:t>
            </w:r>
          </w:p>
        </w:tc>
        <w:tc>
          <w:tcPr>
            <w:tcW w:w="2160"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5</w:t>
            </w:r>
            <w:r w:rsidR="00A76038">
              <w:rPr>
                <w:szCs w:val="22"/>
                <w:lang w:val="en-GB"/>
              </w:rPr>
              <w:t>,</w:t>
            </w:r>
            <w:r w:rsidRPr="006756E8">
              <w:rPr>
                <w:szCs w:val="22"/>
                <w:lang w:val="en-GB"/>
              </w:rPr>
              <w:t>7 (7</w:t>
            </w:r>
            <w:r w:rsidR="00A76038">
              <w:rPr>
                <w:szCs w:val="22"/>
                <w:lang w:val="en-GB"/>
              </w:rPr>
              <w:t>,</w:t>
            </w:r>
            <w:r w:rsidRPr="006756E8">
              <w:rPr>
                <w:szCs w:val="22"/>
                <w:lang w:val="en-GB"/>
              </w:rPr>
              <w:t>3)</w:t>
            </w:r>
          </w:p>
        </w:tc>
        <w:tc>
          <w:tcPr>
            <w:tcW w:w="1774" w:type="dxa"/>
            <w:tcBorders>
              <w:top w:val="single" w:sz="8" w:space="0" w:color="000000"/>
              <w:left w:val="single" w:sz="8" w:space="0" w:color="000000"/>
              <w:bottom w:val="single" w:sz="8" w:space="0" w:color="000000"/>
              <w:right w:val="double" w:sz="12"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0</w:t>
            </w:r>
            <w:r w:rsidR="00A76038">
              <w:rPr>
                <w:szCs w:val="22"/>
                <w:lang w:val="en-GB"/>
              </w:rPr>
              <w:t>,</w:t>
            </w:r>
            <w:r w:rsidRPr="006756E8">
              <w:rPr>
                <w:szCs w:val="22"/>
                <w:lang w:val="en-GB"/>
              </w:rPr>
              <w:t>12 (0</w:t>
            </w:r>
            <w:r w:rsidR="00A76038">
              <w:rPr>
                <w:szCs w:val="22"/>
                <w:lang w:val="en-GB"/>
              </w:rPr>
              <w:t>,</w:t>
            </w:r>
            <w:r w:rsidRPr="006756E8">
              <w:rPr>
                <w:szCs w:val="22"/>
                <w:lang w:val="en-GB"/>
              </w:rPr>
              <w:t>14)</w:t>
            </w:r>
          </w:p>
        </w:tc>
      </w:tr>
      <w:tr w:rsidR="00400C57" w:rsidRPr="006756E8">
        <w:tblPrEx>
          <w:tblCellMar>
            <w:top w:w="0" w:type="dxa"/>
            <w:bottom w:w="0" w:type="dxa"/>
          </w:tblCellMar>
        </w:tblPrEx>
        <w:trPr>
          <w:trHeight w:val="316"/>
        </w:trPr>
        <w:tc>
          <w:tcPr>
            <w:tcW w:w="2342" w:type="dxa"/>
            <w:tcBorders>
              <w:top w:val="single" w:sz="8" w:space="0" w:color="000000"/>
              <w:left w:val="double" w:sz="12" w:space="0" w:color="000000"/>
              <w:bottom w:val="single" w:sz="8"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1</w:t>
            </w:r>
          </w:p>
        </w:tc>
        <w:tc>
          <w:tcPr>
            <w:tcW w:w="1438"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4</w:t>
            </w:r>
          </w:p>
        </w:tc>
        <w:tc>
          <w:tcPr>
            <w:tcW w:w="1800"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44</w:t>
            </w:r>
            <w:r w:rsidR="00A76038">
              <w:rPr>
                <w:szCs w:val="22"/>
                <w:lang w:val="en-GB"/>
              </w:rPr>
              <w:t>,</w:t>
            </w:r>
            <w:r w:rsidRPr="006756E8">
              <w:rPr>
                <w:szCs w:val="22"/>
                <w:lang w:val="en-GB"/>
              </w:rPr>
              <w:t>1 (7</w:t>
            </w:r>
            <w:r w:rsidR="00A76038">
              <w:rPr>
                <w:szCs w:val="22"/>
                <w:lang w:val="en-GB"/>
              </w:rPr>
              <w:t>,</w:t>
            </w:r>
            <w:r w:rsidRPr="006756E8">
              <w:rPr>
                <w:szCs w:val="22"/>
                <w:lang w:val="en-GB"/>
              </w:rPr>
              <w:t>8)</w:t>
            </w:r>
          </w:p>
        </w:tc>
        <w:tc>
          <w:tcPr>
            <w:tcW w:w="2160"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4</w:t>
            </w:r>
            <w:r w:rsidR="00A76038">
              <w:rPr>
                <w:szCs w:val="22"/>
                <w:lang w:val="en-GB"/>
              </w:rPr>
              <w:t>,</w:t>
            </w:r>
            <w:r w:rsidRPr="006756E8">
              <w:rPr>
                <w:szCs w:val="22"/>
                <w:lang w:val="en-GB"/>
              </w:rPr>
              <w:t>3 (1</w:t>
            </w:r>
            <w:r w:rsidR="00A76038">
              <w:rPr>
                <w:szCs w:val="22"/>
                <w:lang w:val="en-GB"/>
              </w:rPr>
              <w:t>,</w:t>
            </w:r>
            <w:r w:rsidRPr="006756E8">
              <w:rPr>
                <w:szCs w:val="22"/>
                <w:lang w:val="en-GB"/>
              </w:rPr>
              <w:t>5)</w:t>
            </w:r>
          </w:p>
        </w:tc>
        <w:tc>
          <w:tcPr>
            <w:tcW w:w="1774" w:type="dxa"/>
            <w:tcBorders>
              <w:top w:val="single" w:sz="8" w:space="0" w:color="000000"/>
              <w:left w:val="single" w:sz="8" w:space="0" w:color="000000"/>
              <w:bottom w:val="single" w:sz="8" w:space="0" w:color="000000"/>
              <w:right w:val="double" w:sz="12"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0</w:t>
            </w:r>
            <w:r w:rsidR="00A76038">
              <w:rPr>
                <w:szCs w:val="22"/>
                <w:lang w:val="en-GB"/>
              </w:rPr>
              <w:t>,</w:t>
            </w:r>
            <w:r w:rsidRPr="006756E8">
              <w:rPr>
                <w:szCs w:val="22"/>
                <w:lang w:val="en-GB"/>
              </w:rPr>
              <w:t>10 (0</w:t>
            </w:r>
            <w:r w:rsidR="00A76038">
              <w:rPr>
                <w:szCs w:val="22"/>
                <w:lang w:val="en-GB"/>
              </w:rPr>
              <w:t>,</w:t>
            </w:r>
            <w:r w:rsidRPr="006756E8">
              <w:rPr>
                <w:szCs w:val="22"/>
                <w:lang w:val="en-GB"/>
              </w:rPr>
              <w:t>04)</w:t>
            </w:r>
          </w:p>
        </w:tc>
      </w:tr>
      <w:tr w:rsidR="00400C57" w:rsidRPr="006756E8">
        <w:tblPrEx>
          <w:tblCellMar>
            <w:top w:w="0" w:type="dxa"/>
            <w:bottom w:w="0" w:type="dxa"/>
          </w:tblCellMar>
        </w:tblPrEx>
        <w:trPr>
          <w:trHeight w:val="316"/>
        </w:trPr>
        <w:tc>
          <w:tcPr>
            <w:tcW w:w="2342" w:type="dxa"/>
            <w:tcBorders>
              <w:top w:val="single" w:sz="8" w:space="0" w:color="000000"/>
              <w:left w:val="double" w:sz="12" w:space="0" w:color="000000"/>
              <w:bottom w:val="single" w:sz="8"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2</w:t>
            </w:r>
          </w:p>
        </w:tc>
        <w:tc>
          <w:tcPr>
            <w:tcW w:w="1438"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5</w:t>
            </w:r>
          </w:p>
        </w:tc>
        <w:tc>
          <w:tcPr>
            <w:tcW w:w="1800"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23</w:t>
            </w:r>
            <w:r w:rsidR="00A76038">
              <w:rPr>
                <w:szCs w:val="22"/>
                <w:lang w:val="en-GB"/>
              </w:rPr>
              <w:t>,</w:t>
            </w:r>
            <w:r w:rsidRPr="006756E8">
              <w:rPr>
                <w:szCs w:val="22"/>
                <w:lang w:val="en-GB"/>
              </w:rPr>
              <w:t>9 (12</w:t>
            </w:r>
            <w:r w:rsidR="00A76038">
              <w:rPr>
                <w:szCs w:val="22"/>
                <w:lang w:val="en-GB"/>
              </w:rPr>
              <w:t>,</w:t>
            </w:r>
            <w:r w:rsidRPr="006756E8">
              <w:rPr>
                <w:szCs w:val="22"/>
                <w:lang w:val="en-GB"/>
              </w:rPr>
              <w:t>9)</w:t>
            </w:r>
          </w:p>
        </w:tc>
        <w:tc>
          <w:tcPr>
            <w:tcW w:w="2160"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3</w:t>
            </w:r>
            <w:r w:rsidR="00A76038">
              <w:rPr>
                <w:szCs w:val="22"/>
                <w:lang w:val="en-GB"/>
              </w:rPr>
              <w:t>,</w:t>
            </w:r>
            <w:r w:rsidRPr="006756E8">
              <w:rPr>
                <w:szCs w:val="22"/>
                <w:lang w:val="en-GB"/>
              </w:rPr>
              <w:t>6 (2</w:t>
            </w:r>
            <w:r w:rsidR="00A76038">
              <w:rPr>
                <w:szCs w:val="22"/>
                <w:lang w:val="en-GB"/>
              </w:rPr>
              <w:t>,</w:t>
            </w:r>
            <w:r w:rsidRPr="006756E8">
              <w:rPr>
                <w:szCs w:val="22"/>
                <w:lang w:val="en-GB"/>
              </w:rPr>
              <w:t>0)</w:t>
            </w:r>
          </w:p>
        </w:tc>
        <w:tc>
          <w:tcPr>
            <w:tcW w:w="1774" w:type="dxa"/>
            <w:tcBorders>
              <w:top w:val="single" w:sz="8" w:space="0" w:color="000000"/>
              <w:left w:val="single" w:sz="8" w:space="0" w:color="000000"/>
              <w:bottom w:val="single" w:sz="8" w:space="0" w:color="000000"/>
              <w:right w:val="double" w:sz="12"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0</w:t>
            </w:r>
            <w:r w:rsidR="00A76038">
              <w:rPr>
                <w:szCs w:val="22"/>
                <w:lang w:val="en-GB"/>
              </w:rPr>
              <w:t>,</w:t>
            </w:r>
            <w:r w:rsidRPr="006756E8">
              <w:rPr>
                <w:szCs w:val="22"/>
                <w:lang w:val="en-GB"/>
              </w:rPr>
              <w:t>17 (0</w:t>
            </w:r>
            <w:r w:rsidR="00A76038">
              <w:rPr>
                <w:szCs w:val="22"/>
                <w:lang w:val="en-GB"/>
              </w:rPr>
              <w:t>,</w:t>
            </w:r>
            <w:r w:rsidRPr="006756E8">
              <w:rPr>
                <w:szCs w:val="22"/>
                <w:lang w:val="en-GB"/>
              </w:rPr>
              <w:t>09)</w:t>
            </w:r>
          </w:p>
        </w:tc>
      </w:tr>
      <w:tr w:rsidR="00400C57" w:rsidRPr="006756E8">
        <w:tblPrEx>
          <w:tblCellMar>
            <w:top w:w="0" w:type="dxa"/>
            <w:bottom w:w="0" w:type="dxa"/>
          </w:tblCellMar>
        </w:tblPrEx>
        <w:trPr>
          <w:trHeight w:val="316"/>
        </w:trPr>
        <w:tc>
          <w:tcPr>
            <w:tcW w:w="2342" w:type="dxa"/>
            <w:tcBorders>
              <w:top w:val="single" w:sz="8" w:space="0" w:color="000000"/>
              <w:left w:val="double" w:sz="12" w:space="0" w:color="000000"/>
              <w:bottom w:val="single" w:sz="8"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4</w:t>
            </w:r>
          </w:p>
        </w:tc>
        <w:tc>
          <w:tcPr>
            <w:tcW w:w="1438"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5</w:t>
            </w:r>
          </w:p>
        </w:tc>
        <w:tc>
          <w:tcPr>
            <w:tcW w:w="1800"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11</w:t>
            </w:r>
            <w:r w:rsidR="00A76038">
              <w:rPr>
                <w:szCs w:val="22"/>
                <w:lang w:val="en-GB"/>
              </w:rPr>
              <w:t>,</w:t>
            </w:r>
            <w:r w:rsidRPr="006756E8">
              <w:rPr>
                <w:szCs w:val="22"/>
                <w:lang w:val="en-GB"/>
              </w:rPr>
              <w:t>7 (15</w:t>
            </w:r>
            <w:r w:rsidR="00A76038">
              <w:rPr>
                <w:szCs w:val="22"/>
                <w:lang w:val="en-GB"/>
              </w:rPr>
              <w:t>,</w:t>
            </w:r>
            <w:r w:rsidRPr="006756E8">
              <w:rPr>
                <w:szCs w:val="22"/>
                <w:lang w:val="en-GB"/>
              </w:rPr>
              <w:t>7)</w:t>
            </w:r>
          </w:p>
        </w:tc>
        <w:tc>
          <w:tcPr>
            <w:tcW w:w="2160" w:type="dxa"/>
            <w:tcBorders>
              <w:top w:val="single" w:sz="8" w:space="0" w:color="000000"/>
              <w:left w:val="single" w:sz="8" w:space="0" w:color="000000"/>
              <w:bottom w:val="single" w:sz="8"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4</w:t>
            </w:r>
            <w:r w:rsidR="00A76038">
              <w:rPr>
                <w:szCs w:val="22"/>
                <w:lang w:val="en-GB"/>
              </w:rPr>
              <w:t>,</w:t>
            </w:r>
            <w:r w:rsidRPr="006756E8">
              <w:rPr>
                <w:szCs w:val="22"/>
                <w:lang w:val="en-GB"/>
              </w:rPr>
              <w:t>2 (1</w:t>
            </w:r>
            <w:r w:rsidR="00A76038">
              <w:rPr>
                <w:szCs w:val="22"/>
                <w:lang w:val="en-GB"/>
              </w:rPr>
              <w:t>,</w:t>
            </w:r>
            <w:r w:rsidRPr="006756E8">
              <w:rPr>
                <w:szCs w:val="22"/>
                <w:lang w:val="en-GB"/>
              </w:rPr>
              <w:t>1)</w:t>
            </w:r>
          </w:p>
        </w:tc>
        <w:tc>
          <w:tcPr>
            <w:tcW w:w="1774" w:type="dxa"/>
            <w:tcBorders>
              <w:top w:val="single" w:sz="8" w:space="0" w:color="000000"/>
              <w:left w:val="single" w:sz="8" w:space="0" w:color="000000"/>
              <w:bottom w:val="single" w:sz="8" w:space="0" w:color="000000"/>
              <w:right w:val="double" w:sz="12"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0</w:t>
            </w:r>
            <w:r w:rsidR="00A76038">
              <w:rPr>
                <w:szCs w:val="22"/>
                <w:lang w:val="en-GB"/>
              </w:rPr>
              <w:t>,</w:t>
            </w:r>
            <w:r w:rsidRPr="006756E8">
              <w:rPr>
                <w:szCs w:val="22"/>
                <w:lang w:val="en-GB"/>
              </w:rPr>
              <w:t>87 (0</w:t>
            </w:r>
            <w:r w:rsidR="00A76038">
              <w:rPr>
                <w:szCs w:val="22"/>
                <w:lang w:val="en-GB"/>
              </w:rPr>
              <w:t>,</w:t>
            </w:r>
            <w:r w:rsidRPr="006756E8">
              <w:rPr>
                <w:szCs w:val="22"/>
                <w:lang w:val="en-GB"/>
              </w:rPr>
              <w:t>56)</w:t>
            </w:r>
          </w:p>
        </w:tc>
      </w:tr>
      <w:tr w:rsidR="00400C57" w:rsidRPr="006756E8">
        <w:tblPrEx>
          <w:tblCellMar>
            <w:top w:w="0" w:type="dxa"/>
            <w:bottom w:w="0" w:type="dxa"/>
          </w:tblCellMar>
        </w:tblPrEx>
        <w:trPr>
          <w:trHeight w:val="270"/>
        </w:trPr>
        <w:tc>
          <w:tcPr>
            <w:tcW w:w="2342" w:type="dxa"/>
            <w:tcBorders>
              <w:top w:val="single" w:sz="8" w:space="0" w:color="000000"/>
              <w:left w:val="double" w:sz="12" w:space="0" w:color="000000"/>
              <w:bottom w:val="double" w:sz="12"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8</w:t>
            </w:r>
          </w:p>
        </w:tc>
        <w:tc>
          <w:tcPr>
            <w:tcW w:w="1438" w:type="dxa"/>
            <w:tcBorders>
              <w:top w:val="single" w:sz="8" w:space="0" w:color="000000"/>
              <w:left w:val="single" w:sz="8" w:space="0" w:color="000000"/>
              <w:bottom w:val="double" w:sz="12" w:space="0" w:color="000000"/>
              <w:right w:val="single" w:sz="8" w:space="0" w:color="000000"/>
            </w:tcBorders>
            <w:vAlign w:val="center"/>
          </w:tcPr>
          <w:p w:rsidR="00400C57" w:rsidRPr="006756E8" w:rsidRDefault="00400C57" w:rsidP="0031570A">
            <w:pPr>
              <w:tabs>
                <w:tab w:val="left" w:pos="567"/>
              </w:tabs>
              <w:autoSpaceDE w:val="0"/>
              <w:autoSpaceDN w:val="0"/>
              <w:adjustRightInd w:val="0"/>
              <w:jc w:val="center"/>
              <w:rPr>
                <w:szCs w:val="22"/>
                <w:lang w:val="en-GB"/>
              </w:rPr>
            </w:pPr>
            <w:r w:rsidRPr="006756E8">
              <w:rPr>
                <w:szCs w:val="22"/>
                <w:lang w:val="en-GB"/>
              </w:rPr>
              <w:t>5</w:t>
            </w:r>
          </w:p>
        </w:tc>
        <w:tc>
          <w:tcPr>
            <w:tcW w:w="1800" w:type="dxa"/>
            <w:tcBorders>
              <w:top w:val="single" w:sz="8" w:space="0" w:color="000000"/>
              <w:left w:val="single" w:sz="8" w:space="0" w:color="000000"/>
              <w:bottom w:val="double" w:sz="12"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4</w:t>
            </w:r>
            <w:r w:rsidR="00A76038">
              <w:rPr>
                <w:szCs w:val="22"/>
                <w:lang w:val="en-GB"/>
              </w:rPr>
              <w:t>,</w:t>
            </w:r>
            <w:r w:rsidRPr="006756E8">
              <w:rPr>
                <w:szCs w:val="22"/>
                <w:lang w:val="en-GB"/>
              </w:rPr>
              <w:t>9 (5</w:t>
            </w:r>
            <w:r w:rsidR="00A76038">
              <w:rPr>
                <w:szCs w:val="22"/>
                <w:lang w:val="en-GB"/>
              </w:rPr>
              <w:t>,</w:t>
            </w:r>
            <w:r w:rsidRPr="006756E8">
              <w:rPr>
                <w:szCs w:val="22"/>
                <w:lang w:val="en-GB"/>
              </w:rPr>
              <w:t>9)</w:t>
            </w:r>
          </w:p>
        </w:tc>
        <w:tc>
          <w:tcPr>
            <w:tcW w:w="2160" w:type="dxa"/>
            <w:tcBorders>
              <w:top w:val="single" w:sz="8" w:space="0" w:color="000000"/>
              <w:left w:val="single" w:sz="8" w:space="0" w:color="000000"/>
              <w:bottom w:val="double" w:sz="12" w:space="0" w:color="000000"/>
              <w:right w:val="single" w:sz="8"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3</w:t>
            </w:r>
            <w:r w:rsidR="00A76038">
              <w:rPr>
                <w:szCs w:val="22"/>
                <w:lang w:val="en-GB"/>
              </w:rPr>
              <w:t>,</w:t>
            </w:r>
            <w:r w:rsidRPr="006756E8">
              <w:rPr>
                <w:szCs w:val="22"/>
                <w:lang w:val="en-GB"/>
              </w:rPr>
              <w:t>3 (2</w:t>
            </w:r>
            <w:r w:rsidR="00A76038">
              <w:rPr>
                <w:szCs w:val="22"/>
                <w:lang w:val="en-GB"/>
              </w:rPr>
              <w:t>,</w:t>
            </w:r>
            <w:r w:rsidRPr="006756E8">
              <w:rPr>
                <w:szCs w:val="22"/>
                <w:lang w:val="en-GB"/>
              </w:rPr>
              <w:t>8)</w:t>
            </w:r>
          </w:p>
        </w:tc>
        <w:tc>
          <w:tcPr>
            <w:tcW w:w="1774" w:type="dxa"/>
            <w:tcBorders>
              <w:top w:val="single" w:sz="8" w:space="0" w:color="000000"/>
              <w:left w:val="single" w:sz="8" w:space="0" w:color="000000"/>
              <w:bottom w:val="double" w:sz="12" w:space="0" w:color="000000"/>
              <w:right w:val="double" w:sz="12" w:space="0" w:color="000000"/>
            </w:tcBorders>
            <w:vAlign w:val="center"/>
          </w:tcPr>
          <w:p w:rsidR="00400C57" w:rsidRPr="006756E8" w:rsidRDefault="00400C57" w:rsidP="00A76038">
            <w:pPr>
              <w:tabs>
                <w:tab w:val="left" w:pos="567"/>
              </w:tabs>
              <w:autoSpaceDE w:val="0"/>
              <w:autoSpaceDN w:val="0"/>
              <w:adjustRightInd w:val="0"/>
              <w:jc w:val="center"/>
              <w:rPr>
                <w:szCs w:val="22"/>
                <w:lang w:val="en-GB"/>
              </w:rPr>
            </w:pPr>
            <w:r w:rsidRPr="006756E8">
              <w:rPr>
                <w:szCs w:val="22"/>
                <w:lang w:val="en-GB"/>
              </w:rPr>
              <w:t>1</w:t>
            </w:r>
            <w:r w:rsidR="00A76038">
              <w:rPr>
                <w:szCs w:val="22"/>
                <w:lang w:val="en-GB"/>
              </w:rPr>
              <w:t>,</w:t>
            </w:r>
            <w:r w:rsidRPr="006756E8">
              <w:rPr>
                <w:szCs w:val="22"/>
                <w:lang w:val="en-GB"/>
              </w:rPr>
              <w:t>02 (0</w:t>
            </w:r>
            <w:r w:rsidR="00A76038">
              <w:rPr>
                <w:szCs w:val="22"/>
                <w:lang w:val="en-GB"/>
              </w:rPr>
              <w:t>,</w:t>
            </w:r>
            <w:r w:rsidRPr="006756E8">
              <w:rPr>
                <w:szCs w:val="22"/>
                <w:lang w:val="en-GB"/>
              </w:rPr>
              <w:t>64)</w:t>
            </w:r>
          </w:p>
        </w:tc>
      </w:tr>
    </w:tbl>
    <w:p w:rsidR="00400C57" w:rsidRPr="006756E8" w:rsidRDefault="00400C57" w:rsidP="0031570A">
      <w:pPr>
        <w:tabs>
          <w:tab w:val="left" w:pos="567"/>
        </w:tabs>
        <w:autoSpaceDE w:val="0"/>
        <w:autoSpaceDN w:val="0"/>
        <w:adjustRightInd w:val="0"/>
        <w:rPr>
          <w:szCs w:val="22"/>
        </w:rPr>
      </w:pPr>
      <w:r w:rsidRPr="006756E8">
        <w:rPr>
          <w:szCs w:val="22"/>
        </w:rPr>
        <w:t xml:space="preserve">* </w:t>
      </w:r>
      <w:r w:rsidR="00DB49D5" w:rsidRPr="006756E8">
        <w:rPr>
          <w:szCs w:val="22"/>
        </w:rPr>
        <w:t>ασθενείς ηλικίας</w:t>
      </w:r>
      <w:r w:rsidRPr="006756E8">
        <w:rPr>
          <w:szCs w:val="22"/>
        </w:rPr>
        <w:t xml:space="preserve"> 3.1 </w:t>
      </w:r>
      <w:r w:rsidR="00E332F7" w:rsidRPr="006756E8">
        <w:rPr>
          <w:szCs w:val="22"/>
        </w:rPr>
        <w:t>μηνών</w:t>
      </w:r>
      <w:r w:rsidR="00DB49D5" w:rsidRPr="006756E8">
        <w:rPr>
          <w:szCs w:val="22"/>
        </w:rPr>
        <w:t xml:space="preserve"> έως </w:t>
      </w:r>
      <w:r w:rsidRPr="006756E8">
        <w:rPr>
          <w:szCs w:val="22"/>
        </w:rPr>
        <w:t xml:space="preserve">12 </w:t>
      </w:r>
      <w:r w:rsidR="00E332F7" w:rsidRPr="006756E8">
        <w:rPr>
          <w:szCs w:val="22"/>
        </w:rPr>
        <w:t>ετών</w:t>
      </w:r>
      <w:r w:rsidRPr="006756E8">
        <w:rPr>
          <w:szCs w:val="22"/>
        </w:rPr>
        <w:t xml:space="preserve"> (</w:t>
      </w:r>
      <w:r w:rsidR="00DB49D5" w:rsidRPr="006756E8">
        <w:rPr>
          <w:szCs w:val="22"/>
        </w:rPr>
        <w:t>μέση τιμή</w:t>
      </w:r>
      <w:r w:rsidRPr="006756E8">
        <w:rPr>
          <w:szCs w:val="22"/>
        </w:rPr>
        <w:t xml:space="preserve"> 2.6 </w:t>
      </w:r>
      <w:r w:rsidR="00DB49D5" w:rsidRPr="006756E8">
        <w:rPr>
          <w:szCs w:val="22"/>
        </w:rPr>
        <w:t>χρόνια</w:t>
      </w:r>
      <w:r w:rsidRPr="006756E8">
        <w:rPr>
          <w:szCs w:val="22"/>
        </w:rPr>
        <w:t xml:space="preserve">) </w:t>
      </w:r>
    </w:p>
    <w:p w:rsidR="00400C57" w:rsidRPr="006756E8" w:rsidRDefault="00400C57" w:rsidP="0031570A">
      <w:pPr>
        <w:tabs>
          <w:tab w:val="left" w:pos="567"/>
        </w:tabs>
        <w:autoSpaceDE w:val="0"/>
        <w:autoSpaceDN w:val="0"/>
        <w:adjustRightInd w:val="0"/>
        <w:rPr>
          <w:szCs w:val="22"/>
        </w:rPr>
      </w:pPr>
    </w:p>
    <w:p w:rsidR="00BA5460" w:rsidRPr="006756E8" w:rsidRDefault="00E332F7" w:rsidP="0031570A">
      <w:pPr>
        <w:tabs>
          <w:tab w:val="left" w:pos="567"/>
        </w:tabs>
        <w:autoSpaceDE w:val="0"/>
        <w:autoSpaceDN w:val="0"/>
        <w:adjustRightInd w:val="0"/>
        <w:rPr>
          <w:szCs w:val="22"/>
        </w:rPr>
      </w:pPr>
      <w:r w:rsidRPr="006756E8">
        <w:rPr>
          <w:szCs w:val="22"/>
        </w:rPr>
        <w:br w:type="page"/>
      </w:r>
    </w:p>
    <w:p w:rsidR="00400C57" w:rsidRPr="006756E8" w:rsidRDefault="00D75177" w:rsidP="0031570A">
      <w:pPr>
        <w:tabs>
          <w:tab w:val="left" w:pos="567"/>
        </w:tabs>
        <w:autoSpaceDE w:val="0"/>
        <w:autoSpaceDN w:val="0"/>
        <w:adjustRightInd w:val="0"/>
        <w:rPr>
          <w:szCs w:val="22"/>
        </w:rPr>
      </w:pPr>
      <w:r w:rsidRPr="006756E8">
        <w:rPr>
          <w:szCs w:val="22"/>
        </w:rPr>
        <w:t xml:space="preserve">Ασθενείς με </w:t>
      </w:r>
      <w:r w:rsidR="003D7516">
        <w:rPr>
          <w:szCs w:val="22"/>
        </w:rPr>
        <w:t>υποψία</w:t>
      </w:r>
      <w:r w:rsidR="003D7516" w:rsidRPr="006756E8">
        <w:rPr>
          <w:szCs w:val="22"/>
        </w:rPr>
        <w:t xml:space="preserve"> </w:t>
      </w:r>
      <w:r w:rsidR="00A56B31" w:rsidRPr="006756E8">
        <w:rPr>
          <w:szCs w:val="22"/>
        </w:rPr>
        <w:t>λοίμωξη</w:t>
      </w:r>
      <w:r w:rsidR="003D7516">
        <w:rPr>
          <w:szCs w:val="22"/>
        </w:rPr>
        <w:t>ς</w:t>
      </w:r>
      <w:r w:rsidRPr="006756E8">
        <w:rPr>
          <w:szCs w:val="22"/>
        </w:rPr>
        <w:t xml:space="preserve"> στο κεντρικό νευρικό σύστημα έχουν λάβει θεραπεία με </w:t>
      </w:r>
      <w:r w:rsidR="00400C57" w:rsidRPr="006756E8">
        <w:rPr>
          <w:szCs w:val="22"/>
        </w:rPr>
        <w:t xml:space="preserve">50 </w:t>
      </w:r>
      <w:r w:rsidR="00400C57" w:rsidRPr="006756E8">
        <w:rPr>
          <w:szCs w:val="22"/>
          <w:lang w:val="en-GB"/>
        </w:rPr>
        <w:t>mg</w:t>
      </w:r>
      <w:r w:rsidR="00400C57" w:rsidRPr="006756E8">
        <w:rPr>
          <w:szCs w:val="22"/>
        </w:rPr>
        <w:t>/</w:t>
      </w:r>
      <w:r w:rsidR="00400C57" w:rsidRPr="006756E8">
        <w:rPr>
          <w:szCs w:val="22"/>
          <w:lang w:val="en-GB"/>
        </w:rPr>
        <w:t>kg</w:t>
      </w:r>
      <w:r w:rsidR="00400C57" w:rsidRPr="006756E8">
        <w:rPr>
          <w:szCs w:val="22"/>
        </w:rPr>
        <w:t xml:space="preserve"> </w:t>
      </w:r>
      <w:r w:rsidRPr="006756E8">
        <w:rPr>
          <w:szCs w:val="22"/>
        </w:rPr>
        <w:t>κεφεπίμης μέσω ενδοφλέβιας έγχυσης σε</w:t>
      </w:r>
      <w:r w:rsidR="00400C57" w:rsidRPr="006756E8">
        <w:rPr>
          <w:szCs w:val="22"/>
        </w:rPr>
        <w:t xml:space="preserve"> 5 </w:t>
      </w:r>
      <w:r w:rsidRPr="006756E8">
        <w:rPr>
          <w:szCs w:val="22"/>
        </w:rPr>
        <w:t>με</w:t>
      </w:r>
      <w:r w:rsidR="00400C57" w:rsidRPr="006756E8">
        <w:rPr>
          <w:szCs w:val="22"/>
        </w:rPr>
        <w:t xml:space="preserve"> 20 </w:t>
      </w:r>
      <w:r w:rsidRPr="006756E8">
        <w:rPr>
          <w:szCs w:val="22"/>
        </w:rPr>
        <w:t xml:space="preserve">λεπτά κάθε </w:t>
      </w:r>
      <w:r w:rsidR="00400C57" w:rsidRPr="006756E8">
        <w:rPr>
          <w:szCs w:val="22"/>
        </w:rPr>
        <w:t xml:space="preserve"> 8 </w:t>
      </w:r>
      <w:r w:rsidRPr="006756E8">
        <w:rPr>
          <w:szCs w:val="22"/>
        </w:rPr>
        <w:t>ώρες</w:t>
      </w:r>
      <w:r w:rsidR="00400C57" w:rsidRPr="006756E8">
        <w:rPr>
          <w:szCs w:val="22"/>
        </w:rPr>
        <w:t xml:space="preserve">. </w:t>
      </w:r>
      <w:r w:rsidRPr="006756E8">
        <w:rPr>
          <w:szCs w:val="22"/>
        </w:rPr>
        <w:t xml:space="preserve">Σε </w:t>
      </w:r>
      <w:r w:rsidR="001023D2">
        <w:rPr>
          <w:szCs w:val="22"/>
        </w:rPr>
        <w:t xml:space="preserve">ορισμένους </w:t>
      </w:r>
      <w:r w:rsidRPr="006756E8">
        <w:rPr>
          <w:szCs w:val="22"/>
        </w:rPr>
        <w:t xml:space="preserve">ασθενείς, λήφθηκαν ένα δείγμα πλάσματος και δείγματα εγκεφαλονωτιαίου υγρού μετά από περίπου </w:t>
      </w:r>
      <w:r w:rsidR="00400C57" w:rsidRPr="006756E8">
        <w:rPr>
          <w:szCs w:val="22"/>
        </w:rPr>
        <w:t xml:space="preserve">1/2, 1, 2, 4 </w:t>
      </w:r>
      <w:r w:rsidRPr="006756E8">
        <w:rPr>
          <w:szCs w:val="22"/>
        </w:rPr>
        <w:t>και</w:t>
      </w:r>
      <w:r w:rsidR="00400C57" w:rsidRPr="006756E8">
        <w:rPr>
          <w:szCs w:val="22"/>
        </w:rPr>
        <w:t xml:space="preserve"> 8 </w:t>
      </w:r>
      <w:r w:rsidRPr="006756E8">
        <w:rPr>
          <w:szCs w:val="22"/>
        </w:rPr>
        <w:t>ώρες απ</w:t>
      </w:r>
      <w:r w:rsidR="00A56B31" w:rsidRPr="006756E8">
        <w:rPr>
          <w:szCs w:val="22"/>
        </w:rPr>
        <w:t>ό τον τερματισμό της έγχυσης την</w:t>
      </w:r>
      <w:r w:rsidRPr="006756E8">
        <w:rPr>
          <w:szCs w:val="22"/>
        </w:rPr>
        <w:t xml:space="preserve"> δεύτερη και την τρίτη ημέρα της θεραπείας.</w:t>
      </w:r>
      <w:r w:rsidR="00400C57" w:rsidRPr="006756E8">
        <w:rPr>
          <w:szCs w:val="22"/>
        </w:rPr>
        <w:t xml:space="preserve">  </w:t>
      </w:r>
    </w:p>
    <w:p w:rsidR="00400C57" w:rsidRPr="006756E8" w:rsidRDefault="00400C57" w:rsidP="0031570A">
      <w:pPr>
        <w:tabs>
          <w:tab w:val="left" w:pos="567"/>
        </w:tabs>
        <w:autoSpaceDE w:val="0"/>
        <w:autoSpaceDN w:val="0"/>
        <w:adjustRightInd w:val="0"/>
        <w:rPr>
          <w:szCs w:val="22"/>
        </w:rPr>
      </w:pPr>
    </w:p>
    <w:p w:rsidR="00400C57" w:rsidRPr="006756E8" w:rsidRDefault="00D75177" w:rsidP="0031570A">
      <w:pPr>
        <w:tabs>
          <w:tab w:val="left" w:pos="567"/>
        </w:tabs>
        <w:autoSpaceDE w:val="0"/>
        <w:autoSpaceDN w:val="0"/>
        <w:adjustRightInd w:val="0"/>
        <w:rPr>
          <w:szCs w:val="22"/>
        </w:rPr>
      </w:pPr>
      <w:r w:rsidRPr="006756E8">
        <w:rPr>
          <w:szCs w:val="22"/>
        </w:rPr>
        <w:t xml:space="preserve">Η κατανομή της κεφεπίμης στους ιστούς δεν μεταβάλλεται στο χρονικό διάστημα μεταξύ δόσεων των </w:t>
      </w:r>
      <w:r w:rsidR="00400C57" w:rsidRPr="006756E8">
        <w:rPr>
          <w:szCs w:val="22"/>
        </w:rPr>
        <w:t xml:space="preserve">250 </w:t>
      </w:r>
      <w:r w:rsidR="00400C57" w:rsidRPr="006756E8">
        <w:rPr>
          <w:szCs w:val="22"/>
          <w:lang w:val="en-GB"/>
        </w:rPr>
        <w:t>mg</w:t>
      </w:r>
      <w:r w:rsidR="00400C57" w:rsidRPr="006756E8">
        <w:rPr>
          <w:szCs w:val="22"/>
        </w:rPr>
        <w:t xml:space="preserve"> - 2 </w:t>
      </w:r>
      <w:r w:rsidR="00400C57" w:rsidRPr="006756E8">
        <w:rPr>
          <w:szCs w:val="22"/>
          <w:lang w:val="en-GB"/>
        </w:rPr>
        <w:t>g</w:t>
      </w:r>
      <w:r w:rsidR="00400C57" w:rsidRPr="006756E8">
        <w:rPr>
          <w:szCs w:val="22"/>
        </w:rPr>
        <w:t xml:space="preserve">. </w:t>
      </w:r>
      <w:r w:rsidRPr="006756E8">
        <w:rPr>
          <w:szCs w:val="22"/>
        </w:rPr>
        <w:t xml:space="preserve">Ο μέσος όγκος κατανομής σε </w:t>
      </w:r>
      <w:r w:rsidR="005A1B5F" w:rsidRPr="006756E8">
        <w:rPr>
          <w:szCs w:val="22"/>
        </w:rPr>
        <w:t>σταθερ</w:t>
      </w:r>
      <w:r w:rsidR="005A1B5F">
        <w:rPr>
          <w:szCs w:val="22"/>
        </w:rPr>
        <w:t>οποιημένη</w:t>
      </w:r>
      <w:r w:rsidR="005A1B5F" w:rsidRPr="006756E8">
        <w:rPr>
          <w:szCs w:val="22"/>
        </w:rPr>
        <w:t xml:space="preserve"> </w:t>
      </w:r>
      <w:r w:rsidRPr="006756E8">
        <w:rPr>
          <w:szCs w:val="22"/>
        </w:rPr>
        <w:t>κατάσταση είναι 18 λίτρα.</w:t>
      </w:r>
      <w:r w:rsidR="00400C57" w:rsidRPr="006756E8">
        <w:rPr>
          <w:szCs w:val="22"/>
        </w:rPr>
        <w:t xml:space="preserve"> </w:t>
      </w:r>
      <w:r w:rsidRPr="006756E8">
        <w:rPr>
          <w:szCs w:val="22"/>
        </w:rPr>
        <w:t xml:space="preserve">Η δέσμευση της κεφεπίμης με την πρωτεΐνη πλάσματος είναι </w:t>
      </w:r>
      <w:r w:rsidR="00400C57" w:rsidRPr="006756E8">
        <w:rPr>
          <w:szCs w:val="22"/>
        </w:rPr>
        <w:t xml:space="preserve">&lt; 16.4 % </w:t>
      </w:r>
      <w:r w:rsidR="00A56B31" w:rsidRPr="006756E8">
        <w:rPr>
          <w:szCs w:val="22"/>
        </w:rPr>
        <w:t>και είναι ανεξά</w:t>
      </w:r>
      <w:r w:rsidRPr="006756E8">
        <w:rPr>
          <w:szCs w:val="22"/>
        </w:rPr>
        <w:t>ρτητη από την συγκέντρωση της κεφεπίμης στον ορό.</w:t>
      </w:r>
      <w:r w:rsidR="00400C57" w:rsidRPr="006756E8">
        <w:rPr>
          <w:szCs w:val="22"/>
        </w:rPr>
        <w:t xml:space="preserve"> </w:t>
      </w:r>
    </w:p>
    <w:p w:rsidR="00400C57" w:rsidRPr="006756E8" w:rsidRDefault="00400C57" w:rsidP="0031570A">
      <w:pPr>
        <w:tabs>
          <w:tab w:val="left" w:pos="567"/>
        </w:tabs>
        <w:autoSpaceDE w:val="0"/>
        <w:autoSpaceDN w:val="0"/>
        <w:adjustRightInd w:val="0"/>
        <w:rPr>
          <w:szCs w:val="22"/>
          <w:u w:val="single"/>
        </w:rPr>
      </w:pPr>
    </w:p>
    <w:p w:rsidR="00400C57" w:rsidRPr="006756E8" w:rsidRDefault="00D871DD" w:rsidP="0031570A">
      <w:pPr>
        <w:tabs>
          <w:tab w:val="left" w:pos="567"/>
        </w:tabs>
        <w:autoSpaceDE w:val="0"/>
        <w:autoSpaceDN w:val="0"/>
        <w:adjustRightInd w:val="0"/>
        <w:rPr>
          <w:szCs w:val="22"/>
        </w:rPr>
      </w:pPr>
      <w:r w:rsidRPr="006756E8">
        <w:rPr>
          <w:szCs w:val="22"/>
          <w:u w:val="single"/>
        </w:rPr>
        <w:t>Μεταβολισμός</w:t>
      </w:r>
      <w:r w:rsidR="00400C57" w:rsidRPr="006756E8">
        <w:rPr>
          <w:szCs w:val="22"/>
        </w:rPr>
        <w:t xml:space="preserve">: </w:t>
      </w:r>
      <w:r w:rsidRPr="006756E8">
        <w:rPr>
          <w:szCs w:val="22"/>
        </w:rPr>
        <w:t xml:space="preserve">Η κεφεπίμη μεταβολίζεται για να δώσει </w:t>
      </w:r>
      <w:r w:rsidR="00400C57" w:rsidRPr="006756E8">
        <w:rPr>
          <w:szCs w:val="22"/>
          <w:lang w:val="en-GB"/>
        </w:rPr>
        <w:t>N</w:t>
      </w:r>
      <w:r w:rsidR="00400C57" w:rsidRPr="006756E8">
        <w:rPr>
          <w:szCs w:val="22"/>
        </w:rPr>
        <w:t>-</w:t>
      </w:r>
      <w:r w:rsidR="00400C57" w:rsidRPr="006756E8">
        <w:rPr>
          <w:szCs w:val="22"/>
          <w:lang w:val="en-GB"/>
        </w:rPr>
        <w:t>methylpyrrolidine</w:t>
      </w:r>
      <w:r w:rsidR="00400C57" w:rsidRPr="006756E8">
        <w:rPr>
          <w:szCs w:val="22"/>
        </w:rPr>
        <w:t xml:space="preserve"> </w:t>
      </w:r>
      <w:r w:rsidR="00A56B31" w:rsidRPr="006756E8">
        <w:rPr>
          <w:szCs w:val="22"/>
        </w:rPr>
        <w:t>η οποία</w:t>
      </w:r>
      <w:r w:rsidRPr="006756E8">
        <w:rPr>
          <w:szCs w:val="22"/>
        </w:rPr>
        <w:t xml:space="preserve"> μετατρέπεται </w:t>
      </w:r>
      <w:r w:rsidR="00A56B31" w:rsidRPr="006756E8">
        <w:rPr>
          <w:szCs w:val="22"/>
        </w:rPr>
        <w:t>ταχέως</w:t>
      </w:r>
      <w:r w:rsidRPr="006756E8">
        <w:rPr>
          <w:szCs w:val="22"/>
        </w:rPr>
        <w:t xml:space="preserve"> σε </w:t>
      </w:r>
      <w:r w:rsidR="00400C57" w:rsidRPr="006756E8">
        <w:rPr>
          <w:szCs w:val="22"/>
          <w:lang w:val="en-GB"/>
        </w:rPr>
        <w:t>N</w:t>
      </w:r>
      <w:r w:rsidR="00400C57" w:rsidRPr="006756E8">
        <w:rPr>
          <w:szCs w:val="22"/>
        </w:rPr>
        <w:t>-</w:t>
      </w:r>
      <w:r w:rsidR="00400C57" w:rsidRPr="006756E8">
        <w:rPr>
          <w:szCs w:val="22"/>
          <w:lang w:val="en-GB"/>
        </w:rPr>
        <w:t>oxide</w:t>
      </w:r>
      <w:r w:rsidR="00400C57" w:rsidRPr="006756E8">
        <w:rPr>
          <w:szCs w:val="22"/>
        </w:rPr>
        <w:t xml:space="preserve">. </w:t>
      </w:r>
      <w:r w:rsidR="005D1DCF" w:rsidRPr="006756E8">
        <w:rPr>
          <w:szCs w:val="22"/>
        </w:rPr>
        <w:t xml:space="preserve">Η ανάκτηση στα ούρα αμετάβλητης κεφεπίμης αποτελεί το </w:t>
      </w:r>
      <w:r w:rsidR="00400C57" w:rsidRPr="006756E8">
        <w:rPr>
          <w:szCs w:val="22"/>
        </w:rPr>
        <w:t xml:space="preserve">85% </w:t>
      </w:r>
      <w:r w:rsidR="005D1DCF" w:rsidRPr="006756E8">
        <w:rPr>
          <w:szCs w:val="22"/>
        </w:rPr>
        <w:t xml:space="preserve">της χορηγηθήσας δόσης. Λιγότερο από </w:t>
      </w:r>
      <w:r w:rsidR="00400C57" w:rsidRPr="006756E8">
        <w:rPr>
          <w:szCs w:val="22"/>
        </w:rPr>
        <w:t xml:space="preserve">1% </w:t>
      </w:r>
      <w:r w:rsidR="003C7A43" w:rsidRPr="006756E8">
        <w:rPr>
          <w:szCs w:val="22"/>
        </w:rPr>
        <w:t xml:space="preserve">ανακτάται με την μορφή της παραγόμενης </w:t>
      </w:r>
      <w:r w:rsidR="00400C57" w:rsidRPr="006756E8">
        <w:rPr>
          <w:szCs w:val="22"/>
          <w:lang w:val="en-GB"/>
        </w:rPr>
        <w:t>N</w:t>
      </w:r>
      <w:r w:rsidR="00400C57" w:rsidRPr="006756E8">
        <w:rPr>
          <w:szCs w:val="22"/>
        </w:rPr>
        <w:t>-</w:t>
      </w:r>
      <w:r w:rsidR="00400C57" w:rsidRPr="006756E8">
        <w:rPr>
          <w:szCs w:val="22"/>
          <w:lang w:val="en-GB"/>
        </w:rPr>
        <w:t>methylpyrrolidine</w:t>
      </w:r>
      <w:r w:rsidR="00400C57" w:rsidRPr="006756E8">
        <w:rPr>
          <w:szCs w:val="22"/>
        </w:rPr>
        <w:t xml:space="preserve">, 6.8% </w:t>
      </w:r>
      <w:r w:rsidR="003C7A43" w:rsidRPr="006756E8">
        <w:rPr>
          <w:szCs w:val="22"/>
        </w:rPr>
        <w:t>ως</w:t>
      </w:r>
      <w:r w:rsidR="00400C57" w:rsidRPr="006756E8">
        <w:rPr>
          <w:szCs w:val="22"/>
        </w:rPr>
        <w:t xml:space="preserve"> </w:t>
      </w:r>
      <w:r w:rsidR="00400C57" w:rsidRPr="006756E8">
        <w:rPr>
          <w:szCs w:val="22"/>
          <w:lang w:val="en-GB"/>
        </w:rPr>
        <w:t>N</w:t>
      </w:r>
      <w:r w:rsidR="00400C57" w:rsidRPr="006756E8">
        <w:rPr>
          <w:szCs w:val="22"/>
        </w:rPr>
        <w:t>-</w:t>
      </w:r>
      <w:r w:rsidR="00400C57" w:rsidRPr="006756E8">
        <w:rPr>
          <w:szCs w:val="22"/>
          <w:lang w:val="en-GB"/>
        </w:rPr>
        <w:t>oxide</w:t>
      </w:r>
      <w:r w:rsidR="00400C57" w:rsidRPr="006756E8">
        <w:rPr>
          <w:szCs w:val="22"/>
        </w:rPr>
        <w:t xml:space="preserve"> </w:t>
      </w:r>
      <w:r w:rsidR="003C7A43" w:rsidRPr="006756E8">
        <w:rPr>
          <w:szCs w:val="22"/>
        </w:rPr>
        <w:t>και</w:t>
      </w:r>
      <w:r w:rsidR="00400C57" w:rsidRPr="006756E8">
        <w:rPr>
          <w:szCs w:val="22"/>
        </w:rPr>
        <w:t xml:space="preserve"> 2.5% </w:t>
      </w:r>
      <w:r w:rsidR="003C7A43" w:rsidRPr="006756E8">
        <w:rPr>
          <w:szCs w:val="22"/>
        </w:rPr>
        <w:t>ως ένα επιμερές της κεφεπίμης.</w:t>
      </w:r>
      <w:r w:rsidR="00400C57" w:rsidRPr="006756E8">
        <w:rPr>
          <w:szCs w:val="22"/>
        </w:rPr>
        <w:t xml:space="preserve"> </w:t>
      </w:r>
    </w:p>
    <w:p w:rsidR="00400C57" w:rsidRPr="006756E8" w:rsidRDefault="00400C57" w:rsidP="0031570A">
      <w:pPr>
        <w:tabs>
          <w:tab w:val="left" w:pos="567"/>
        </w:tabs>
        <w:autoSpaceDE w:val="0"/>
        <w:autoSpaceDN w:val="0"/>
        <w:adjustRightInd w:val="0"/>
        <w:rPr>
          <w:szCs w:val="22"/>
          <w:u w:val="single"/>
        </w:rPr>
      </w:pPr>
    </w:p>
    <w:p w:rsidR="00400C57" w:rsidRPr="006756E8" w:rsidRDefault="003C7A43" w:rsidP="0031570A">
      <w:pPr>
        <w:tabs>
          <w:tab w:val="left" w:pos="567"/>
        </w:tabs>
        <w:autoSpaceDE w:val="0"/>
        <w:autoSpaceDN w:val="0"/>
        <w:adjustRightInd w:val="0"/>
        <w:rPr>
          <w:szCs w:val="22"/>
        </w:rPr>
      </w:pPr>
      <w:r w:rsidRPr="006756E8">
        <w:rPr>
          <w:szCs w:val="22"/>
          <w:u w:val="single"/>
        </w:rPr>
        <w:t>Απέκκριση</w:t>
      </w:r>
      <w:r w:rsidR="00400C57" w:rsidRPr="006756E8">
        <w:rPr>
          <w:szCs w:val="22"/>
        </w:rPr>
        <w:t xml:space="preserve">: </w:t>
      </w:r>
      <w:r w:rsidR="00B52C3D" w:rsidRPr="006756E8">
        <w:rPr>
          <w:szCs w:val="22"/>
        </w:rPr>
        <w:t>Ο μέσος χρόνος ημίσ</w:t>
      </w:r>
      <w:r w:rsidR="00EF4153" w:rsidRPr="006756E8">
        <w:rPr>
          <w:szCs w:val="22"/>
        </w:rPr>
        <w:t>ε</w:t>
      </w:r>
      <w:r w:rsidR="00B52C3D" w:rsidRPr="006756E8">
        <w:rPr>
          <w:szCs w:val="22"/>
        </w:rPr>
        <w:t xml:space="preserve">ιας ζωής </w:t>
      </w:r>
      <w:r w:rsidR="00BA5460" w:rsidRPr="006756E8">
        <w:rPr>
          <w:szCs w:val="22"/>
        </w:rPr>
        <w:t xml:space="preserve">της κεφεπίμης </w:t>
      </w:r>
      <w:r w:rsidR="00B52C3D" w:rsidRPr="006756E8">
        <w:rPr>
          <w:szCs w:val="22"/>
        </w:rPr>
        <w:t>για την απέκκριση είναι περίπου 2 ώρες</w:t>
      </w:r>
      <w:r w:rsidR="00400C57" w:rsidRPr="006756E8">
        <w:rPr>
          <w:szCs w:val="22"/>
        </w:rPr>
        <w:t xml:space="preserve">, </w:t>
      </w:r>
      <w:r w:rsidR="00B52C3D" w:rsidRPr="006756E8">
        <w:rPr>
          <w:szCs w:val="22"/>
        </w:rPr>
        <w:t>και δεν κυ</w:t>
      </w:r>
      <w:r w:rsidR="00EF4153" w:rsidRPr="006756E8">
        <w:rPr>
          <w:szCs w:val="22"/>
        </w:rPr>
        <w:t>μαίνεται ανάλογα με την χορηγηθεί</w:t>
      </w:r>
      <w:r w:rsidR="00B52C3D" w:rsidRPr="006756E8">
        <w:rPr>
          <w:szCs w:val="22"/>
        </w:rPr>
        <w:t xml:space="preserve">σα δόση </w:t>
      </w:r>
      <w:r w:rsidR="00400C57" w:rsidRPr="006756E8">
        <w:rPr>
          <w:szCs w:val="22"/>
        </w:rPr>
        <w:t xml:space="preserve">(250 </w:t>
      </w:r>
      <w:r w:rsidR="00400C57" w:rsidRPr="006756E8">
        <w:rPr>
          <w:szCs w:val="22"/>
          <w:lang w:val="en-GB"/>
        </w:rPr>
        <w:t>mg</w:t>
      </w:r>
      <w:r w:rsidR="00400C57" w:rsidRPr="006756E8">
        <w:rPr>
          <w:szCs w:val="22"/>
        </w:rPr>
        <w:t xml:space="preserve"> </w:t>
      </w:r>
      <w:r w:rsidR="00B52C3D" w:rsidRPr="006756E8">
        <w:rPr>
          <w:szCs w:val="22"/>
        </w:rPr>
        <w:t>έως</w:t>
      </w:r>
      <w:r w:rsidR="00400C57" w:rsidRPr="006756E8">
        <w:rPr>
          <w:szCs w:val="22"/>
        </w:rPr>
        <w:t xml:space="preserve"> 2 </w:t>
      </w:r>
      <w:r w:rsidR="00400C57" w:rsidRPr="006756E8">
        <w:rPr>
          <w:szCs w:val="22"/>
          <w:lang w:val="en-GB"/>
        </w:rPr>
        <w:t>g</w:t>
      </w:r>
      <w:r w:rsidR="00400C57" w:rsidRPr="006756E8">
        <w:rPr>
          <w:szCs w:val="22"/>
        </w:rPr>
        <w:t xml:space="preserve">). </w:t>
      </w:r>
      <w:r w:rsidR="00B52C3D" w:rsidRPr="006756E8">
        <w:rPr>
          <w:szCs w:val="22"/>
        </w:rPr>
        <w:t xml:space="preserve">Δεν έχει παρατηρηθεί συσσώρευση σε υγιή </w:t>
      </w:r>
      <w:r w:rsidR="001023D2">
        <w:rPr>
          <w:szCs w:val="22"/>
        </w:rPr>
        <w:t xml:space="preserve">άτομα </w:t>
      </w:r>
      <w:r w:rsidR="00B52C3D" w:rsidRPr="006756E8">
        <w:rPr>
          <w:szCs w:val="22"/>
        </w:rPr>
        <w:t xml:space="preserve">που έλαβαν δόσεις ενδοφλεβίως έως </w:t>
      </w:r>
      <w:r w:rsidR="00400C57" w:rsidRPr="006756E8">
        <w:rPr>
          <w:szCs w:val="22"/>
        </w:rPr>
        <w:t xml:space="preserve">2 </w:t>
      </w:r>
      <w:r w:rsidR="00400C57" w:rsidRPr="006756E8">
        <w:rPr>
          <w:szCs w:val="22"/>
          <w:lang w:val="en-GB"/>
        </w:rPr>
        <w:t>g</w:t>
      </w:r>
      <w:r w:rsidR="00400C57" w:rsidRPr="006756E8">
        <w:rPr>
          <w:szCs w:val="22"/>
        </w:rPr>
        <w:t xml:space="preserve"> </w:t>
      </w:r>
      <w:r w:rsidR="00B52C3D" w:rsidRPr="006756E8">
        <w:rPr>
          <w:szCs w:val="22"/>
        </w:rPr>
        <w:t>κάθε</w:t>
      </w:r>
      <w:r w:rsidR="00400C57" w:rsidRPr="006756E8">
        <w:rPr>
          <w:szCs w:val="22"/>
        </w:rPr>
        <w:t xml:space="preserve"> 8 </w:t>
      </w:r>
      <w:r w:rsidR="00B52C3D" w:rsidRPr="006756E8">
        <w:rPr>
          <w:szCs w:val="22"/>
        </w:rPr>
        <w:t>ώρες για χρονικό διάστημα 9 ημερών.</w:t>
      </w:r>
      <w:r w:rsidR="00400C57" w:rsidRPr="006756E8">
        <w:rPr>
          <w:szCs w:val="22"/>
        </w:rPr>
        <w:t xml:space="preserve"> </w:t>
      </w:r>
    </w:p>
    <w:p w:rsidR="00400C57" w:rsidRPr="006756E8" w:rsidRDefault="00A56B31" w:rsidP="0031570A">
      <w:pPr>
        <w:tabs>
          <w:tab w:val="left" w:pos="567"/>
        </w:tabs>
        <w:autoSpaceDE w:val="0"/>
        <w:autoSpaceDN w:val="0"/>
        <w:adjustRightInd w:val="0"/>
        <w:rPr>
          <w:szCs w:val="22"/>
        </w:rPr>
      </w:pPr>
      <w:proofErr w:type="gramStart"/>
      <w:r w:rsidRPr="006756E8">
        <w:rPr>
          <w:szCs w:val="22"/>
          <w:lang w:val="en-US"/>
        </w:rPr>
        <w:t>H</w:t>
      </w:r>
      <w:r w:rsidRPr="006756E8">
        <w:rPr>
          <w:szCs w:val="22"/>
        </w:rPr>
        <w:t xml:space="preserve"> μέση τιμή για την συνολική</w:t>
      </w:r>
      <w:r w:rsidR="00B52C3D" w:rsidRPr="006756E8">
        <w:rPr>
          <w:szCs w:val="22"/>
        </w:rPr>
        <w:t xml:space="preserve"> κάθαρση υπολογίζεται </w:t>
      </w:r>
      <w:r w:rsidRPr="006756E8">
        <w:rPr>
          <w:szCs w:val="22"/>
        </w:rPr>
        <w:t xml:space="preserve">στα </w:t>
      </w:r>
      <w:r w:rsidR="00400C57" w:rsidRPr="006756E8">
        <w:rPr>
          <w:szCs w:val="22"/>
        </w:rPr>
        <w:t xml:space="preserve">120 </w:t>
      </w:r>
      <w:r w:rsidR="00400C57" w:rsidRPr="006756E8">
        <w:rPr>
          <w:szCs w:val="22"/>
          <w:lang w:val="en-GB"/>
        </w:rPr>
        <w:t>ml</w:t>
      </w:r>
      <w:r w:rsidR="00400C57" w:rsidRPr="006756E8">
        <w:rPr>
          <w:szCs w:val="22"/>
        </w:rPr>
        <w:t>/</w:t>
      </w:r>
      <w:r w:rsidR="00400C57" w:rsidRPr="006756E8">
        <w:rPr>
          <w:szCs w:val="22"/>
          <w:lang w:val="en-GB"/>
        </w:rPr>
        <w:t>min</w:t>
      </w:r>
      <w:r w:rsidR="00400C57" w:rsidRPr="006756E8">
        <w:rPr>
          <w:szCs w:val="22"/>
        </w:rPr>
        <w:t>.</w:t>
      </w:r>
      <w:proofErr w:type="gramEnd"/>
      <w:r w:rsidR="00400C57" w:rsidRPr="006756E8">
        <w:rPr>
          <w:szCs w:val="22"/>
        </w:rPr>
        <w:t xml:space="preserve"> </w:t>
      </w:r>
    </w:p>
    <w:p w:rsidR="00400C57" w:rsidRPr="006756E8" w:rsidRDefault="00B52C3D" w:rsidP="0031570A">
      <w:pPr>
        <w:tabs>
          <w:tab w:val="left" w:pos="567"/>
        </w:tabs>
        <w:autoSpaceDE w:val="0"/>
        <w:autoSpaceDN w:val="0"/>
        <w:adjustRightInd w:val="0"/>
        <w:rPr>
          <w:szCs w:val="22"/>
        </w:rPr>
      </w:pPr>
      <w:r w:rsidRPr="006756E8">
        <w:rPr>
          <w:szCs w:val="22"/>
        </w:rPr>
        <w:t xml:space="preserve">Η μέση νεφρική κάθαρση είναι </w:t>
      </w:r>
      <w:r w:rsidR="00400C57" w:rsidRPr="006756E8">
        <w:rPr>
          <w:szCs w:val="22"/>
        </w:rPr>
        <w:t xml:space="preserve">110 </w:t>
      </w:r>
      <w:r w:rsidR="00400C57" w:rsidRPr="006756E8">
        <w:rPr>
          <w:szCs w:val="22"/>
          <w:lang w:val="en-GB"/>
        </w:rPr>
        <w:t>ml</w:t>
      </w:r>
      <w:r w:rsidR="00400C57" w:rsidRPr="006756E8">
        <w:rPr>
          <w:szCs w:val="22"/>
        </w:rPr>
        <w:t>/</w:t>
      </w:r>
      <w:r w:rsidR="00400C57" w:rsidRPr="006756E8">
        <w:rPr>
          <w:szCs w:val="22"/>
          <w:lang w:val="en-GB"/>
        </w:rPr>
        <w:t>min</w:t>
      </w:r>
      <w:r w:rsidR="00BA5460" w:rsidRPr="006756E8">
        <w:rPr>
          <w:szCs w:val="22"/>
        </w:rPr>
        <w:t>.</w:t>
      </w:r>
      <w:r w:rsidR="00400C57" w:rsidRPr="006756E8">
        <w:rPr>
          <w:szCs w:val="22"/>
        </w:rPr>
        <w:t xml:space="preserve"> </w:t>
      </w:r>
      <w:r w:rsidR="00BA5460" w:rsidRPr="006756E8">
        <w:rPr>
          <w:szCs w:val="22"/>
        </w:rPr>
        <w:t>Η</w:t>
      </w:r>
      <w:r w:rsidRPr="006756E8">
        <w:rPr>
          <w:szCs w:val="22"/>
        </w:rPr>
        <w:t xml:space="preserve"> απέκκριση πραγματοποιείται σχεδόν αποκλειστικά με μηχανισμούς στους νεφρούς, κυρίως σπειραματική διήθηση</w:t>
      </w:r>
      <w:r w:rsidR="00400C57" w:rsidRPr="006756E8">
        <w:rPr>
          <w:szCs w:val="22"/>
        </w:rPr>
        <w:t xml:space="preserve">. </w:t>
      </w:r>
    </w:p>
    <w:p w:rsidR="00400C57" w:rsidRPr="006756E8" w:rsidRDefault="00400C57" w:rsidP="0031570A">
      <w:pPr>
        <w:tabs>
          <w:tab w:val="left" w:pos="567"/>
        </w:tabs>
        <w:autoSpaceDE w:val="0"/>
        <w:autoSpaceDN w:val="0"/>
        <w:adjustRightInd w:val="0"/>
        <w:rPr>
          <w:szCs w:val="22"/>
        </w:rPr>
      </w:pPr>
    </w:p>
    <w:p w:rsidR="00400C57" w:rsidRPr="001023D2" w:rsidRDefault="00B52C3D" w:rsidP="0031570A">
      <w:pPr>
        <w:tabs>
          <w:tab w:val="left" w:pos="567"/>
        </w:tabs>
        <w:autoSpaceDE w:val="0"/>
        <w:autoSpaceDN w:val="0"/>
        <w:adjustRightInd w:val="0"/>
        <w:rPr>
          <w:b/>
          <w:szCs w:val="22"/>
        </w:rPr>
      </w:pPr>
      <w:r w:rsidRPr="006756E8">
        <w:rPr>
          <w:b/>
          <w:szCs w:val="22"/>
        </w:rPr>
        <w:t>Ηλικιωμένοι</w:t>
      </w:r>
      <w:r w:rsidR="00400C57" w:rsidRPr="001023D2">
        <w:rPr>
          <w:b/>
          <w:szCs w:val="22"/>
        </w:rPr>
        <w:t xml:space="preserve">: </w:t>
      </w:r>
    </w:p>
    <w:p w:rsidR="00400C57" w:rsidRPr="006756E8" w:rsidRDefault="00C70793" w:rsidP="0031570A">
      <w:pPr>
        <w:tabs>
          <w:tab w:val="left" w:pos="567"/>
        </w:tabs>
        <w:autoSpaceDE w:val="0"/>
        <w:autoSpaceDN w:val="0"/>
        <w:adjustRightInd w:val="0"/>
        <w:rPr>
          <w:szCs w:val="22"/>
        </w:rPr>
      </w:pPr>
      <w:r w:rsidRPr="006756E8">
        <w:rPr>
          <w:szCs w:val="22"/>
        </w:rPr>
        <w:t>Εκ</w:t>
      </w:r>
      <w:r w:rsidR="00A56B31" w:rsidRPr="006756E8">
        <w:rPr>
          <w:szCs w:val="22"/>
        </w:rPr>
        <w:t xml:space="preserve"> των</w:t>
      </w:r>
      <w:r w:rsidRPr="006756E8">
        <w:rPr>
          <w:szCs w:val="22"/>
        </w:rPr>
        <w:t xml:space="preserve"> άνω των </w:t>
      </w:r>
      <w:r w:rsidR="00A56B31" w:rsidRPr="006756E8">
        <w:rPr>
          <w:szCs w:val="22"/>
        </w:rPr>
        <w:t xml:space="preserve">6.400 </w:t>
      </w:r>
      <w:r w:rsidRPr="006756E8">
        <w:rPr>
          <w:szCs w:val="22"/>
        </w:rPr>
        <w:t>ενηλίκων</w:t>
      </w:r>
      <w:r w:rsidR="00A56B31" w:rsidRPr="006756E8">
        <w:rPr>
          <w:szCs w:val="22"/>
        </w:rPr>
        <w:t xml:space="preserve"> που έλαβαν θεραπεία με κεφεπίμη σε κλινικές μελέτες το 35% </w:t>
      </w:r>
      <w:r w:rsidR="001023D2">
        <w:rPr>
          <w:szCs w:val="22"/>
        </w:rPr>
        <w:t>ήταν</w:t>
      </w:r>
      <w:r w:rsidR="001023D2" w:rsidRPr="006756E8">
        <w:rPr>
          <w:szCs w:val="22"/>
        </w:rPr>
        <w:t xml:space="preserve"> </w:t>
      </w:r>
      <w:r w:rsidR="00B52C3D" w:rsidRPr="006756E8">
        <w:rPr>
          <w:szCs w:val="22"/>
        </w:rPr>
        <w:t>ηλικία</w:t>
      </w:r>
      <w:r w:rsidR="001023D2">
        <w:rPr>
          <w:szCs w:val="22"/>
        </w:rPr>
        <w:t>ς</w:t>
      </w:r>
      <w:r w:rsidR="00B52C3D" w:rsidRPr="006756E8">
        <w:rPr>
          <w:szCs w:val="22"/>
        </w:rPr>
        <w:t xml:space="preserve"> </w:t>
      </w:r>
      <w:r w:rsidR="00400C57" w:rsidRPr="006756E8">
        <w:rPr>
          <w:szCs w:val="22"/>
        </w:rPr>
        <w:t xml:space="preserve">65 </w:t>
      </w:r>
      <w:r w:rsidRPr="006756E8">
        <w:rPr>
          <w:szCs w:val="22"/>
        </w:rPr>
        <w:t xml:space="preserve">ετών </w:t>
      </w:r>
      <w:r w:rsidR="00B52C3D" w:rsidRPr="006756E8">
        <w:rPr>
          <w:szCs w:val="22"/>
        </w:rPr>
        <w:t>και άνω</w:t>
      </w:r>
      <w:r w:rsidR="00400C57" w:rsidRPr="006756E8">
        <w:rPr>
          <w:szCs w:val="22"/>
        </w:rPr>
        <w:t xml:space="preserve">, </w:t>
      </w:r>
      <w:r w:rsidR="00A56B31" w:rsidRPr="006756E8">
        <w:rPr>
          <w:szCs w:val="22"/>
        </w:rPr>
        <w:t xml:space="preserve">ενώ το 16% </w:t>
      </w:r>
      <w:r w:rsidR="001023D2">
        <w:rPr>
          <w:szCs w:val="22"/>
        </w:rPr>
        <w:t>ήταν</w:t>
      </w:r>
      <w:r w:rsidR="001023D2" w:rsidRPr="006756E8">
        <w:rPr>
          <w:szCs w:val="22"/>
        </w:rPr>
        <w:t xml:space="preserve"> </w:t>
      </w:r>
      <w:r w:rsidR="00A56B31" w:rsidRPr="006756E8">
        <w:rPr>
          <w:szCs w:val="22"/>
        </w:rPr>
        <w:t>ηλικία</w:t>
      </w:r>
      <w:r w:rsidR="001023D2">
        <w:rPr>
          <w:szCs w:val="22"/>
        </w:rPr>
        <w:t>ς</w:t>
      </w:r>
      <w:r w:rsidR="00A56B31" w:rsidRPr="006756E8">
        <w:rPr>
          <w:szCs w:val="22"/>
        </w:rPr>
        <w:t xml:space="preserve"> 75 ετών και άνω. Κατά την διά</w:t>
      </w:r>
      <w:r w:rsidRPr="006756E8">
        <w:rPr>
          <w:szCs w:val="22"/>
        </w:rPr>
        <w:t>ρκεια των κλινικών μελετών, κατά</w:t>
      </w:r>
      <w:r w:rsidR="00A56B31" w:rsidRPr="006756E8">
        <w:rPr>
          <w:szCs w:val="22"/>
        </w:rPr>
        <w:t xml:space="preserve"> τις οποίες ηλικιωμένοι έλαβαν την συνήθη συνιστώμενη δόση για τους ενήλικες, η κλινική αποτελεσματικότητα </w:t>
      </w:r>
      <w:r w:rsidRPr="006756E8">
        <w:rPr>
          <w:szCs w:val="22"/>
        </w:rPr>
        <w:t>και η ασφαλής χρήση ήταν συγκρί</w:t>
      </w:r>
      <w:r w:rsidR="00A56B31" w:rsidRPr="006756E8">
        <w:rPr>
          <w:szCs w:val="22"/>
        </w:rPr>
        <w:t>σ</w:t>
      </w:r>
      <w:r w:rsidRPr="006756E8">
        <w:rPr>
          <w:szCs w:val="22"/>
        </w:rPr>
        <w:t>ιμες με εκείνες</w:t>
      </w:r>
      <w:r w:rsidR="00A56B31" w:rsidRPr="006756E8">
        <w:rPr>
          <w:szCs w:val="22"/>
        </w:rPr>
        <w:t xml:space="preserve"> των νεότερων ενήλικων ασθενών, εκτός από την περίπτωση που υπέφεραν από νεφρική ανεπάρκεια. Υγιείς εθελοντές ηλικίας 65 ετών και άνω, που έλαβαν </w:t>
      </w:r>
      <w:r w:rsidR="001B5DFF" w:rsidRPr="006756E8">
        <w:rPr>
          <w:szCs w:val="22"/>
        </w:rPr>
        <w:t>εφ’άπαξ ενδοφλέβια δόση του 1</w:t>
      </w:r>
      <w:r w:rsidR="001B5DFF" w:rsidRPr="006756E8">
        <w:rPr>
          <w:szCs w:val="22"/>
          <w:lang w:val="en-US"/>
        </w:rPr>
        <w:t>g</w:t>
      </w:r>
      <w:r w:rsidR="001B5DFF" w:rsidRPr="006756E8">
        <w:rPr>
          <w:szCs w:val="22"/>
        </w:rPr>
        <w:t xml:space="preserve"> κεφεπίμης είχαν </w:t>
      </w:r>
      <w:r w:rsidR="003911B1" w:rsidRPr="006756E8">
        <w:rPr>
          <w:szCs w:val="22"/>
        </w:rPr>
        <w:t>υψηλότερ</w:t>
      </w:r>
      <w:r w:rsidR="006841F6">
        <w:rPr>
          <w:szCs w:val="22"/>
        </w:rPr>
        <w:t>η</w:t>
      </w:r>
      <w:r w:rsidR="003911B1" w:rsidRPr="006756E8">
        <w:rPr>
          <w:szCs w:val="22"/>
        </w:rPr>
        <w:t xml:space="preserve"> </w:t>
      </w:r>
      <w:r w:rsidR="00400C57" w:rsidRPr="006756E8">
        <w:rPr>
          <w:szCs w:val="22"/>
          <w:lang w:val="en-GB"/>
        </w:rPr>
        <w:t>AUC</w:t>
      </w:r>
      <w:r w:rsidR="00400C57" w:rsidRPr="006756E8">
        <w:rPr>
          <w:szCs w:val="22"/>
        </w:rPr>
        <w:t xml:space="preserve"> </w:t>
      </w:r>
      <w:r w:rsidR="003911B1" w:rsidRPr="006756E8">
        <w:rPr>
          <w:szCs w:val="22"/>
        </w:rPr>
        <w:t xml:space="preserve">και χαμηλότερες τιμές νεφρικής κάθαρσης σε σύγκριση με τους υγιείς εθελοντές που ήταν </w:t>
      </w:r>
      <w:r w:rsidR="00BA5460" w:rsidRPr="006756E8">
        <w:rPr>
          <w:szCs w:val="22"/>
        </w:rPr>
        <w:t xml:space="preserve">ηλικιακά </w:t>
      </w:r>
      <w:r w:rsidR="003911B1" w:rsidRPr="006756E8">
        <w:rPr>
          <w:szCs w:val="22"/>
        </w:rPr>
        <w:t xml:space="preserve">νεότεροι. Οι προσαρμογές της δοσολογίας συνιστώνται σε </w:t>
      </w:r>
      <w:r w:rsidR="006841F6">
        <w:rPr>
          <w:szCs w:val="22"/>
        </w:rPr>
        <w:t xml:space="preserve">άτομα </w:t>
      </w:r>
      <w:r w:rsidR="003911B1" w:rsidRPr="006756E8">
        <w:rPr>
          <w:szCs w:val="22"/>
        </w:rPr>
        <w:t>με νεφρική ανεπάρκεια</w:t>
      </w:r>
      <w:r w:rsidR="001B5DFF" w:rsidRPr="006756E8">
        <w:rPr>
          <w:szCs w:val="22"/>
        </w:rPr>
        <w:t xml:space="preserve"> (βλ. παράγραφο 4.2)</w:t>
      </w:r>
      <w:r w:rsidR="00400C57" w:rsidRPr="006756E8">
        <w:rPr>
          <w:szCs w:val="22"/>
        </w:rPr>
        <w:t xml:space="preserve">. </w:t>
      </w:r>
    </w:p>
    <w:p w:rsidR="00400C57" w:rsidRPr="006756E8" w:rsidRDefault="00400C57" w:rsidP="0031570A">
      <w:pPr>
        <w:tabs>
          <w:tab w:val="left" w:pos="567"/>
        </w:tabs>
        <w:autoSpaceDE w:val="0"/>
        <w:autoSpaceDN w:val="0"/>
        <w:adjustRightInd w:val="0"/>
        <w:rPr>
          <w:noProof/>
          <w:szCs w:val="22"/>
        </w:rPr>
      </w:pPr>
    </w:p>
    <w:p w:rsidR="00400C57" w:rsidRPr="006841F6" w:rsidRDefault="006841F6" w:rsidP="0031570A">
      <w:pPr>
        <w:tabs>
          <w:tab w:val="left" w:pos="567"/>
        </w:tabs>
        <w:autoSpaceDE w:val="0"/>
        <w:autoSpaceDN w:val="0"/>
        <w:adjustRightInd w:val="0"/>
        <w:rPr>
          <w:b/>
          <w:szCs w:val="22"/>
        </w:rPr>
      </w:pPr>
      <w:r>
        <w:rPr>
          <w:b/>
          <w:noProof/>
          <w:szCs w:val="22"/>
        </w:rPr>
        <w:t>Έκπτωση της η</w:t>
      </w:r>
      <w:r w:rsidR="00777D31" w:rsidRPr="006756E8">
        <w:rPr>
          <w:b/>
          <w:noProof/>
          <w:szCs w:val="22"/>
        </w:rPr>
        <w:t>πατική</w:t>
      </w:r>
      <w:r>
        <w:rPr>
          <w:b/>
          <w:noProof/>
          <w:szCs w:val="22"/>
        </w:rPr>
        <w:t>ς</w:t>
      </w:r>
      <w:r w:rsidR="005A1B5F">
        <w:rPr>
          <w:b/>
          <w:noProof/>
          <w:szCs w:val="22"/>
        </w:rPr>
        <w:t xml:space="preserve"> </w:t>
      </w:r>
      <w:r>
        <w:rPr>
          <w:b/>
          <w:noProof/>
          <w:szCs w:val="22"/>
        </w:rPr>
        <w:t>λειτουργίας</w:t>
      </w:r>
      <w:r w:rsidR="00400C57" w:rsidRPr="006841F6">
        <w:rPr>
          <w:b/>
          <w:noProof/>
          <w:szCs w:val="22"/>
        </w:rPr>
        <w:t>:</w:t>
      </w:r>
      <w:r w:rsidR="00400C57" w:rsidRPr="006841F6">
        <w:rPr>
          <w:b/>
          <w:szCs w:val="22"/>
        </w:rPr>
        <w:t xml:space="preserve"> </w:t>
      </w:r>
    </w:p>
    <w:p w:rsidR="00400C57" w:rsidRPr="006756E8" w:rsidRDefault="005A1B5F" w:rsidP="0031570A">
      <w:pPr>
        <w:tabs>
          <w:tab w:val="left" w:pos="567"/>
        </w:tabs>
        <w:autoSpaceDE w:val="0"/>
        <w:autoSpaceDN w:val="0"/>
        <w:adjustRightInd w:val="0"/>
        <w:rPr>
          <w:szCs w:val="22"/>
        </w:rPr>
      </w:pPr>
      <w:r>
        <w:rPr>
          <w:szCs w:val="22"/>
        </w:rPr>
        <w:t>Η</w:t>
      </w:r>
      <w:r w:rsidRPr="006756E8">
        <w:rPr>
          <w:szCs w:val="22"/>
        </w:rPr>
        <w:t xml:space="preserve"> φαρμακοκινητικ</w:t>
      </w:r>
      <w:r>
        <w:rPr>
          <w:szCs w:val="22"/>
        </w:rPr>
        <w:t>ή</w:t>
      </w:r>
      <w:r w:rsidRPr="006756E8">
        <w:rPr>
          <w:szCs w:val="22"/>
        </w:rPr>
        <w:t xml:space="preserve"> </w:t>
      </w:r>
      <w:r w:rsidR="00777D31" w:rsidRPr="006756E8">
        <w:rPr>
          <w:szCs w:val="22"/>
        </w:rPr>
        <w:t xml:space="preserve">της κεφεπίμης είναι </w:t>
      </w:r>
      <w:r w:rsidRPr="006756E8">
        <w:rPr>
          <w:szCs w:val="22"/>
        </w:rPr>
        <w:t>αμετάβλητ</w:t>
      </w:r>
      <w:r>
        <w:rPr>
          <w:szCs w:val="22"/>
        </w:rPr>
        <w:t>η</w:t>
      </w:r>
      <w:r w:rsidRPr="006756E8">
        <w:rPr>
          <w:szCs w:val="22"/>
        </w:rPr>
        <w:t xml:space="preserve"> </w:t>
      </w:r>
      <w:r w:rsidR="00777D31" w:rsidRPr="006756E8">
        <w:rPr>
          <w:szCs w:val="22"/>
        </w:rPr>
        <w:t xml:space="preserve">σε </w:t>
      </w:r>
      <w:r w:rsidR="006841F6">
        <w:rPr>
          <w:szCs w:val="22"/>
        </w:rPr>
        <w:t xml:space="preserve">άτομα </w:t>
      </w:r>
      <w:r w:rsidR="00777D31" w:rsidRPr="006756E8">
        <w:rPr>
          <w:szCs w:val="22"/>
        </w:rPr>
        <w:t>με</w:t>
      </w:r>
      <w:r w:rsidR="006841F6">
        <w:rPr>
          <w:szCs w:val="22"/>
        </w:rPr>
        <w:t xml:space="preserve"> έκπτωση της</w:t>
      </w:r>
      <w:r w:rsidR="00777D31" w:rsidRPr="006756E8">
        <w:rPr>
          <w:szCs w:val="22"/>
        </w:rPr>
        <w:t xml:space="preserve"> ηπατική</w:t>
      </w:r>
      <w:r w:rsidR="006841F6">
        <w:rPr>
          <w:szCs w:val="22"/>
        </w:rPr>
        <w:t>ς</w:t>
      </w:r>
      <w:r w:rsidR="00777D31" w:rsidRPr="006756E8">
        <w:rPr>
          <w:szCs w:val="22"/>
        </w:rPr>
        <w:t xml:space="preserve"> </w:t>
      </w:r>
      <w:r w:rsidR="006841F6">
        <w:rPr>
          <w:szCs w:val="22"/>
        </w:rPr>
        <w:t>λειτουργίας</w:t>
      </w:r>
      <w:r w:rsidR="006841F6" w:rsidRPr="006756E8">
        <w:rPr>
          <w:szCs w:val="22"/>
        </w:rPr>
        <w:t xml:space="preserve"> </w:t>
      </w:r>
      <w:r w:rsidR="00777D31" w:rsidRPr="006756E8">
        <w:rPr>
          <w:szCs w:val="22"/>
        </w:rPr>
        <w:t xml:space="preserve">που έλαβαν </w:t>
      </w:r>
      <w:r w:rsidR="00814476" w:rsidRPr="006756E8">
        <w:rPr>
          <w:szCs w:val="22"/>
        </w:rPr>
        <w:t>μί</w:t>
      </w:r>
      <w:r w:rsidR="00777D31" w:rsidRPr="006756E8">
        <w:rPr>
          <w:szCs w:val="22"/>
        </w:rPr>
        <w:t xml:space="preserve">α δόση του </w:t>
      </w:r>
      <w:r w:rsidR="00400C57" w:rsidRPr="006756E8">
        <w:rPr>
          <w:szCs w:val="22"/>
        </w:rPr>
        <w:t xml:space="preserve">1 </w:t>
      </w:r>
      <w:r w:rsidR="00400C57" w:rsidRPr="006756E8">
        <w:rPr>
          <w:szCs w:val="22"/>
          <w:lang w:val="en-GB"/>
        </w:rPr>
        <w:t>g</w:t>
      </w:r>
      <w:r w:rsidR="00400C57" w:rsidRPr="006756E8">
        <w:rPr>
          <w:szCs w:val="22"/>
        </w:rPr>
        <w:t xml:space="preserve">. </w:t>
      </w:r>
      <w:r w:rsidR="00777D31" w:rsidRPr="006756E8">
        <w:rPr>
          <w:szCs w:val="22"/>
        </w:rPr>
        <w:t xml:space="preserve">Για το λόγο αυτό δεν είναι απαραίτητο να μεταβληθεί η δοσολογία της κεφεπίμης, εκτός αν το </w:t>
      </w:r>
      <w:r w:rsidR="006841F6">
        <w:rPr>
          <w:szCs w:val="22"/>
        </w:rPr>
        <w:t xml:space="preserve">άτομο </w:t>
      </w:r>
      <w:r w:rsidR="00777D31" w:rsidRPr="006756E8">
        <w:rPr>
          <w:szCs w:val="22"/>
        </w:rPr>
        <w:t xml:space="preserve">πάσχει επίσης από νεφρική </w:t>
      </w:r>
      <w:r w:rsidR="006841F6">
        <w:rPr>
          <w:szCs w:val="22"/>
        </w:rPr>
        <w:t>δυσλειτουργία</w:t>
      </w:r>
      <w:r w:rsidR="00777D31" w:rsidRPr="006756E8">
        <w:rPr>
          <w:szCs w:val="22"/>
        </w:rPr>
        <w:t xml:space="preserve">. </w:t>
      </w:r>
    </w:p>
    <w:p w:rsidR="00400C57" w:rsidRPr="006756E8" w:rsidRDefault="006841F6" w:rsidP="0031570A">
      <w:pPr>
        <w:tabs>
          <w:tab w:val="left" w:pos="567"/>
        </w:tabs>
        <w:autoSpaceDE w:val="0"/>
        <w:autoSpaceDN w:val="0"/>
        <w:adjustRightInd w:val="0"/>
        <w:rPr>
          <w:szCs w:val="22"/>
        </w:rPr>
      </w:pPr>
      <w:r>
        <w:rPr>
          <w:szCs w:val="22"/>
        </w:rPr>
        <w:t>Η</w:t>
      </w:r>
      <w:r w:rsidRPr="006756E8">
        <w:rPr>
          <w:szCs w:val="22"/>
        </w:rPr>
        <w:t xml:space="preserve"> </w:t>
      </w:r>
      <w:r w:rsidR="00777D31" w:rsidRPr="006756E8">
        <w:rPr>
          <w:szCs w:val="22"/>
        </w:rPr>
        <w:t>φαρμακοκινητικ</w:t>
      </w:r>
      <w:r>
        <w:rPr>
          <w:szCs w:val="22"/>
        </w:rPr>
        <w:t>ή</w:t>
      </w:r>
      <w:r w:rsidR="00777D31" w:rsidRPr="006756E8">
        <w:rPr>
          <w:szCs w:val="22"/>
        </w:rPr>
        <w:t xml:space="preserve"> της κεφεπίμης δεν μεταβάλ</w:t>
      </w:r>
      <w:r>
        <w:rPr>
          <w:szCs w:val="22"/>
        </w:rPr>
        <w:t>λε</w:t>
      </w:r>
      <w:r w:rsidR="00777D31" w:rsidRPr="006756E8">
        <w:rPr>
          <w:szCs w:val="22"/>
        </w:rPr>
        <w:t xml:space="preserve">ται σε σημαντικό κλινικά βαθμό σε ασθενείς με </w:t>
      </w:r>
      <w:r w:rsidR="00EF4153" w:rsidRPr="006756E8">
        <w:rPr>
          <w:szCs w:val="22"/>
        </w:rPr>
        <w:t>κυ</w:t>
      </w:r>
      <w:r w:rsidR="007C0DF3" w:rsidRPr="006756E8">
        <w:rPr>
          <w:szCs w:val="22"/>
        </w:rPr>
        <w:t xml:space="preserve">στική ίνωση του παγκρέατος. </w:t>
      </w:r>
    </w:p>
    <w:p w:rsidR="00400C57" w:rsidRPr="006756E8" w:rsidRDefault="00400C57" w:rsidP="0031570A">
      <w:pPr>
        <w:tabs>
          <w:tab w:val="left" w:pos="567"/>
        </w:tabs>
        <w:autoSpaceDE w:val="0"/>
        <w:autoSpaceDN w:val="0"/>
        <w:adjustRightInd w:val="0"/>
        <w:rPr>
          <w:b/>
          <w:szCs w:val="22"/>
        </w:rPr>
      </w:pPr>
    </w:p>
    <w:p w:rsidR="00400C57" w:rsidRPr="006841F6" w:rsidRDefault="006841F6" w:rsidP="0031570A">
      <w:pPr>
        <w:tabs>
          <w:tab w:val="left" w:pos="567"/>
        </w:tabs>
        <w:autoSpaceDE w:val="0"/>
        <w:autoSpaceDN w:val="0"/>
        <w:adjustRightInd w:val="0"/>
        <w:rPr>
          <w:b/>
          <w:szCs w:val="22"/>
        </w:rPr>
      </w:pPr>
      <w:r>
        <w:rPr>
          <w:b/>
          <w:noProof/>
          <w:szCs w:val="22"/>
        </w:rPr>
        <w:t xml:space="preserve">Έκπτωση της </w:t>
      </w:r>
      <w:r>
        <w:rPr>
          <w:b/>
          <w:szCs w:val="22"/>
        </w:rPr>
        <w:t>ν</w:t>
      </w:r>
      <w:r w:rsidR="00AF2149" w:rsidRPr="006756E8">
        <w:rPr>
          <w:b/>
          <w:szCs w:val="22"/>
        </w:rPr>
        <w:t>εφρική</w:t>
      </w:r>
      <w:r>
        <w:rPr>
          <w:b/>
          <w:szCs w:val="22"/>
        </w:rPr>
        <w:t>ς</w:t>
      </w:r>
      <w:r w:rsidR="00AF2149" w:rsidRPr="006841F6">
        <w:rPr>
          <w:b/>
          <w:szCs w:val="22"/>
        </w:rPr>
        <w:t xml:space="preserve"> </w:t>
      </w:r>
      <w:r>
        <w:rPr>
          <w:b/>
          <w:szCs w:val="22"/>
        </w:rPr>
        <w:t>λειτουργίας</w:t>
      </w:r>
      <w:r w:rsidR="00400C57" w:rsidRPr="006841F6">
        <w:rPr>
          <w:b/>
          <w:szCs w:val="22"/>
        </w:rPr>
        <w:t xml:space="preserve">: </w:t>
      </w:r>
    </w:p>
    <w:p w:rsidR="00400C57" w:rsidRPr="006756E8" w:rsidRDefault="00AF2149" w:rsidP="0031570A">
      <w:pPr>
        <w:tabs>
          <w:tab w:val="left" w:pos="567"/>
        </w:tabs>
        <w:autoSpaceDE w:val="0"/>
        <w:autoSpaceDN w:val="0"/>
        <w:adjustRightInd w:val="0"/>
        <w:rPr>
          <w:szCs w:val="22"/>
        </w:rPr>
      </w:pPr>
      <w:r w:rsidRPr="006756E8">
        <w:rPr>
          <w:szCs w:val="22"/>
        </w:rPr>
        <w:t xml:space="preserve">Μελέτες σε </w:t>
      </w:r>
      <w:r w:rsidR="006841F6">
        <w:rPr>
          <w:szCs w:val="22"/>
        </w:rPr>
        <w:t xml:space="preserve">άτομα </w:t>
      </w:r>
      <w:r w:rsidRPr="006756E8">
        <w:rPr>
          <w:szCs w:val="22"/>
        </w:rPr>
        <w:t xml:space="preserve">με διαφορετικούς βαθμούς νεφρικής ανεπάρκειας έδειξαν μια σημαντική </w:t>
      </w:r>
      <w:r w:rsidR="006841F6">
        <w:rPr>
          <w:szCs w:val="22"/>
        </w:rPr>
        <w:t xml:space="preserve">παράταση </w:t>
      </w:r>
      <w:r w:rsidRPr="006756E8">
        <w:rPr>
          <w:szCs w:val="22"/>
        </w:rPr>
        <w:t>του χρόνου ημίσ</w:t>
      </w:r>
      <w:r w:rsidR="00A827AA" w:rsidRPr="006756E8">
        <w:rPr>
          <w:szCs w:val="22"/>
        </w:rPr>
        <w:t>ε</w:t>
      </w:r>
      <w:r w:rsidRPr="006756E8">
        <w:rPr>
          <w:szCs w:val="22"/>
        </w:rPr>
        <w:t xml:space="preserve">ιας ζωής </w:t>
      </w:r>
      <w:r w:rsidR="006841F6">
        <w:rPr>
          <w:szCs w:val="22"/>
        </w:rPr>
        <w:t>κατά</w:t>
      </w:r>
      <w:r w:rsidR="006841F6" w:rsidRPr="006756E8">
        <w:rPr>
          <w:szCs w:val="22"/>
        </w:rPr>
        <w:t xml:space="preserve"> </w:t>
      </w:r>
      <w:r w:rsidRPr="006756E8">
        <w:rPr>
          <w:szCs w:val="22"/>
        </w:rPr>
        <w:t xml:space="preserve">την απέκκριση.Υπάρχει μια γραμμική σχέση μεταξύ </w:t>
      </w:r>
      <w:r w:rsidR="00AF784E" w:rsidRPr="006756E8">
        <w:rPr>
          <w:szCs w:val="22"/>
        </w:rPr>
        <w:t xml:space="preserve">της </w:t>
      </w:r>
      <w:r w:rsidR="00FF0135">
        <w:rPr>
          <w:szCs w:val="22"/>
        </w:rPr>
        <w:t xml:space="preserve">εξατομικευμένης </w:t>
      </w:r>
      <w:r w:rsidR="00AF784E" w:rsidRPr="006756E8">
        <w:rPr>
          <w:szCs w:val="22"/>
        </w:rPr>
        <w:t>κάθαρσης σώματος</w:t>
      </w:r>
      <w:r w:rsidR="007C7147">
        <w:rPr>
          <w:szCs w:val="22"/>
        </w:rPr>
        <w:t xml:space="preserve"> </w:t>
      </w:r>
      <w:r w:rsidR="00AF784E" w:rsidRPr="006756E8">
        <w:rPr>
          <w:szCs w:val="22"/>
        </w:rPr>
        <w:t xml:space="preserve">και της κάθαρσης κρεατινίνης σε </w:t>
      </w:r>
      <w:r w:rsidR="00E86B0E">
        <w:rPr>
          <w:szCs w:val="22"/>
        </w:rPr>
        <w:t>άτομα</w:t>
      </w:r>
      <w:r w:rsidR="00E86B0E" w:rsidRPr="006756E8">
        <w:rPr>
          <w:szCs w:val="22"/>
        </w:rPr>
        <w:t xml:space="preserve"> </w:t>
      </w:r>
      <w:r w:rsidR="00AF784E" w:rsidRPr="006756E8">
        <w:rPr>
          <w:szCs w:val="22"/>
        </w:rPr>
        <w:t>με νεφρική</w:t>
      </w:r>
      <w:r w:rsidR="005A1B5F">
        <w:rPr>
          <w:szCs w:val="22"/>
        </w:rPr>
        <w:t xml:space="preserve"> </w:t>
      </w:r>
      <w:r w:rsidR="00E86B0E">
        <w:rPr>
          <w:szCs w:val="22"/>
        </w:rPr>
        <w:t>δυσλειτουργία</w:t>
      </w:r>
      <w:r w:rsidR="00400C57" w:rsidRPr="006756E8">
        <w:rPr>
          <w:szCs w:val="22"/>
        </w:rPr>
        <w:t xml:space="preserve">. </w:t>
      </w:r>
    </w:p>
    <w:p w:rsidR="00400C57" w:rsidRPr="006756E8" w:rsidRDefault="00AF784E" w:rsidP="0031570A">
      <w:pPr>
        <w:tabs>
          <w:tab w:val="left" w:pos="567"/>
        </w:tabs>
        <w:autoSpaceDE w:val="0"/>
        <w:autoSpaceDN w:val="0"/>
        <w:adjustRightInd w:val="0"/>
        <w:rPr>
          <w:szCs w:val="22"/>
        </w:rPr>
      </w:pPr>
      <w:r w:rsidRPr="006756E8">
        <w:rPr>
          <w:szCs w:val="22"/>
        </w:rPr>
        <w:t>Ο μέσος χρόνος ημίσ</w:t>
      </w:r>
      <w:r w:rsidR="00A827AA" w:rsidRPr="006756E8">
        <w:rPr>
          <w:szCs w:val="22"/>
        </w:rPr>
        <w:t>ε</w:t>
      </w:r>
      <w:r w:rsidRPr="006756E8">
        <w:rPr>
          <w:szCs w:val="22"/>
        </w:rPr>
        <w:t xml:space="preserve">ιας ζωής </w:t>
      </w:r>
      <w:r w:rsidR="00E86B0E">
        <w:rPr>
          <w:szCs w:val="22"/>
        </w:rPr>
        <w:t>κατά την</w:t>
      </w:r>
      <w:r w:rsidRPr="006756E8">
        <w:rPr>
          <w:szCs w:val="22"/>
        </w:rPr>
        <w:t xml:space="preserve"> απέκκριση σε ασθενείς που υποβάλλονται σε αιμοκάθαρση είναι 13 ώρες </w:t>
      </w:r>
      <w:r w:rsidR="00400C57" w:rsidRPr="006756E8">
        <w:rPr>
          <w:szCs w:val="22"/>
        </w:rPr>
        <w:t>(</w:t>
      </w:r>
      <w:r w:rsidR="00E86B0E">
        <w:rPr>
          <w:szCs w:val="22"/>
        </w:rPr>
        <w:t>αιμοδιύλυση</w:t>
      </w:r>
      <w:r w:rsidR="00400C57" w:rsidRPr="006756E8">
        <w:rPr>
          <w:szCs w:val="22"/>
        </w:rPr>
        <w:t xml:space="preserve">) </w:t>
      </w:r>
      <w:r w:rsidRPr="006756E8">
        <w:rPr>
          <w:szCs w:val="22"/>
        </w:rPr>
        <w:t xml:space="preserve">και 19 ώρες για την συνεχή </w:t>
      </w:r>
      <w:r w:rsidR="00E86B0E">
        <w:rPr>
          <w:szCs w:val="22"/>
        </w:rPr>
        <w:t>κινητή</w:t>
      </w:r>
      <w:r w:rsidR="00E86B0E" w:rsidRPr="006756E8">
        <w:rPr>
          <w:szCs w:val="22"/>
        </w:rPr>
        <w:t xml:space="preserve"> </w:t>
      </w:r>
      <w:r w:rsidRPr="006756E8">
        <w:rPr>
          <w:szCs w:val="22"/>
        </w:rPr>
        <w:t xml:space="preserve">περιτοναϊκή κάθαρση. </w:t>
      </w:r>
      <w:r w:rsidR="00400C57" w:rsidRPr="006756E8">
        <w:rPr>
          <w:szCs w:val="22"/>
        </w:rPr>
        <w:t xml:space="preserve"> </w:t>
      </w:r>
    </w:p>
    <w:p w:rsidR="00400C57" w:rsidRPr="006756E8" w:rsidRDefault="00400C57" w:rsidP="0031570A">
      <w:pPr>
        <w:tabs>
          <w:tab w:val="left" w:pos="567"/>
        </w:tabs>
        <w:autoSpaceDE w:val="0"/>
        <w:autoSpaceDN w:val="0"/>
        <w:adjustRightInd w:val="0"/>
        <w:rPr>
          <w:szCs w:val="22"/>
        </w:rPr>
      </w:pPr>
    </w:p>
    <w:p w:rsidR="00400C57" w:rsidRPr="0033065F" w:rsidRDefault="00AF784E" w:rsidP="0031570A">
      <w:pPr>
        <w:tabs>
          <w:tab w:val="left" w:pos="567"/>
        </w:tabs>
        <w:autoSpaceDE w:val="0"/>
        <w:autoSpaceDN w:val="0"/>
        <w:adjustRightInd w:val="0"/>
        <w:rPr>
          <w:b/>
          <w:szCs w:val="22"/>
        </w:rPr>
      </w:pPr>
      <w:r w:rsidRPr="006756E8">
        <w:rPr>
          <w:b/>
          <w:szCs w:val="22"/>
        </w:rPr>
        <w:t>Παιδιατρικ</w:t>
      </w:r>
      <w:r w:rsidR="00667A9E">
        <w:rPr>
          <w:b/>
          <w:szCs w:val="22"/>
        </w:rPr>
        <w:t>ός Πληθυσμός</w:t>
      </w:r>
      <w:r w:rsidR="00400C57" w:rsidRPr="0033065F">
        <w:rPr>
          <w:b/>
          <w:szCs w:val="22"/>
        </w:rPr>
        <w:t xml:space="preserve">: </w:t>
      </w:r>
    </w:p>
    <w:p w:rsidR="00400C57" w:rsidRPr="006756E8" w:rsidRDefault="0033065F" w:rsidP="0031570A">
      <w:pPr>
        <w:tabs>
          <w:tab w:val="left" w:pos="567"/>
        </w:tabs>
        <w:autoSpaceDE w:val="0"/>
        <w:autoSpaceDN w:val="0"/>
        <w:adjustRightInd w:val="0"/>
        <w:rPr>
          <w:vanish/>
          <w:szCs w:val="22"/>
        </w:rPr>
      </w:pPr>
      <w:r>
        <w:rPr>
          <w:szCs w:val="22"/>
        </w:rPr>
        <w:lastRenderedPageBreak/>
        <w:t xml:space="preserve">Η </w:t>
      </w:r>
      <w:r w:rsidR="00637696" w:rsidRPr="006756E8">
        <w:rPr>
          <w:szCs w:val="22"/>
        </w:rPr>
        <w:t>φαρμακοκινητικ</w:t>
      </w:r>
      <w:r w:rsidR="005A1B5F">
        <w:rPr>
          <w:szCs w:val="22"/>
        </w:rPr>
        <w:t>ή</w:t>
      </w:r>
      <w:r w:rsidR="00637696" w:rsidRPr="006756E8">
        <w:rPr>
          <w:szCs w:val="22"/>
        </w:rPr>
        <w:t xml:space="preserve"> σε σχέση με τις εφάπαξ και </w:t>
      </w:r>
      <w:r w:rsidR="004E185E" w:rsidRPr="006756E8">
        <w:rPr>
          <w:szCs w:val="22"/>
        </w:rPr>
        <w:t xml:space="preserve">τις </w:t>
      </w:r>
      <w:r w:rsidR="00637696" w:rsidRPr="006756E8">
        <w:rPr>
          <w:szCs w:val="22"/>
        </w:rPr>
        <w:t>πολλαπλές δόσεις κεφεπίμης έχ</w:t>
      </w:r>
      <w:r>
        <w:rPr>
          <w:szCs w:val="22"/>
        </w:rPr>
        <w:t>ει</w:t>
      </w:r>
      <w:r w:rsidR="00637696" w:rsidRPr="006756E8">
        <w:rPr>
          <w:szCs w:val="22"/>
        </w:rPr>
        <w:t xml:space="preserve"> αξιολογηθεί σε ασθενείς ηλικίας μεταξύ 2 μηνών και 16 ετών που έλαβαν δόσεις των 5</w:t>
      </w:r>
      <w:r w:rsidR="00400C57" w:rsidRPr="006756E8">
        <w:rPr>
          <w:szCs w:val="22"/>
        </w:rPr>
        <w:t xml:space="preserve">0 </w:t>
      </w:r>
      <w:r w:rsidR="00400C57" w:rsidRPr="006756E8">
        <w:rPr>
          <w:szCs w:val="22"/>
          <w:lang w:val="en-GB"/>
        </w:rPr>
        <w:t>mg</w:t>
      </w:r>
      <w:r w:rsidR="00400C57" w:rsidRPr="006756E8">
        <w:rPr>
          <w:szCs w:val="22"/>
        </w:rPr>
        <w:t>/</w:t>
      </w:r>
      <w:r w:rsidR="00400C57" w:rsidRPr="006756E8">
        <w:rPr>
          <w:szCs w:val="22"/>
          <w:lang w:val="en-GB"/>
        </w:rPr>
        <w:t>kg</w:t>
      </w:r>
      <w:r w:rsidR="00400C57" w:rsidRPr="006756E8">
        <w:rPr>
          <w:szCs w:val="22"/>
        </w:rPr>
        <w:t xml:space="preserve">, </w:t>
      </w:r>
      <w:r w:rsidR="00637696" w:rsidRPr="006756E8">
        <w:rPr>
          <w:szCs w:val="22"/>
        </w:rPr>
        <w:t>χορηγούμενων με ενδοφλέβια έγχυση. Οι πολλαπλές δόσεις χορηγήθηκαν κάθε 8 με 12 ώρες για χρονικό διάτημα τουλάχιστον 48 ωρών.</w:t>
      </w:r>
      <w:r w:rsidR="00400C57" w:rsidRPr="006756E8">
        <w:rPr>
          <w:vanish/>
          <w:szCs w:val="22"/>
        </w:rPr>
        <w:t xml:space="preserve"> </w:t>
      </w:r>
    </w:p>
    <w:p w:rsidR="00400C57" w:rsidRPr="006756E8" w:rsidRDefault="00400C57" w:rsidP="0031570A">
      <w:pPr>
        <w:tabs>
          <w:tab w:val="left" w:pos="567"/>
        </w:tabs>
        <w:autoSpaceDE w:val="0"/>
        <w:autoSpaceDN w:val="0"/>
        <w:adjustRightInd w:val="0"/>
        <w:rPr>
          <w:szCs w:val="22"/>
        </w:rPr>
      </w:pPr>
    </w:p>
    <w:p w:rsidR="00400C57" w:rsidRPr="006756E8" w:rsidRDefault="00637696" w:rsidP="0031570A">
      <w:pPr>
        <w:tabs>
          <w:tab w:val="left" w:pos="567"/>
        </w:tabs>
        <w:autoSpaceDE w:val="0"/>
        <w:autoSpaceDN w:val="0"/>
        <w:adjustRightInd w:val="0"/>
        <w:rPr>
          <w:szCs w:val="22"/>
        </w:rPr>
      </w:pPr>
      <w:r w:rsidRPr="006756E8">
        <w:rPr>
          <w:szCs w:val="22"/>
        </w:rPr>
        <w:t>Οι μέσες συγκεντρώσεις της κεφεπίμης στο πλάσμα μετά από την αρχική δόση ήταν παρόμοιες με εκείνες της σταθερ</w:t>
      </w:r>
      <w:r w:rsidR="00E86B0E">
        <w:rPr>
          <w:szCs w:val="22"/>
        </w:rPr>
        <w:t>οποιημένης</w:t>
      </w:r>
      <w:r w:rsidRPr="006756E8">
        <w:rPr>
          <w:szCs w:val="22"/>
        </w:rPr>
        <w:t xml:space="preserve"> κατάστασης, και παρατηρήθηκε </w:t>
      </w:r>
      <w:r w:rsidR="007C7147">
        <w:rPr>
          <w:szCs w:val="22"/>
        </w:rPr>
        <w:t xml:space="preserve">μικρή </w:t>
      </w:r>
      <w:r w:rsidRPr="006756E8">
        <w:rPr>
          <w:szCs w:val="22"/>
        </w:rPr>
        <w:t>συσσώρευση με την χορήγηση επιπλέον δόσεων.</w:t>
      </w:r>
    </w:p>
    <w:p w:rsidR="00400C57" w:rsidRPr="006756E8" w:rsidRDefault="00400C57" w:rsidP="0031570A">
      <w:pPr>
        <w:tabs>
          <w:tab w:val="left" w:pos="567"/>
        </w:tabs>
        <w:autoSpaceDE w:val="0"/>
        <w:autoSpaceDN w:val="0"/>
        <w:adjustRightInd w:val="0"/>
        <w:jc w:val="both"/>
        <w:rPr>
          <w:szCs w:val="22"/>
        </w:rPr>
      </w:pPr>
    </w:p>
    <w:p w:rsidR="00400C57" w:rsidRPr="006756E8" w:rsidRDefault="00166438" w:rsidP="0031570A">
      <w:pPr>
        <w:tabs>
          <w:tab w:val="left" w:pos="567"/>
        </w:tabs>
        <w:autoSpaceDE w:val="0"/>
        <w:autoSpaceDN w:val="0"/>
        <w:adjustRightInd w:val="0"/>
        <w:jc w:val="both"/>
        <w:rPr>
          <w:szCs w:val="22"/>
        </w:rPr>
      </w:pPr>
      <w:r w:rsidRPr="006756E8">
        <w:rPr>
          <w:szCs w:val="22"/>
        </w:rPr>
        <w:t>Οι τιμές των άλλων φαρμακοκινητικών παραμέτρων</w:t>
      </w:r>
      <w:r w:rsidR="008A0409" w:rsidRPr="006756E8">
        <w:rPr>
          <w:szCs w:val="22"/>
        </w:rPr>
        <w:t xml:space="preserve"> σε βρέφη ή παιδιά, προσδιορισμένα και στις δύο περ</w:t>
      </w:r>
      <w:r w:rsidR="007C7147">
        <w:rPr>
          <w:szCs w:val="22"/>
        </w:rPr>
        <w:t>ι</w:t>
      </w:r>
      <w:r w:rsidR="008A0409" w:rsidRPr="006756E8">
        <w:rPr>
          <w:szCs w:val="22"/>
        </w:rPr>
        <w:t>πτώσεις έπειτα από την πρώτη δόση και στην σταθερ</w:t>
      </w:r>
      <w:r w:rsidR="007C7147">
        <w:rPr>
          <w:szCs w:val="22"/>
        </w:rPr>
        <w:t>οποιημένη</w:t>
      </w:r>
      <w:r w:rsidR="008A0409" w:rsidRPr="006756E8">
        <w:rPr>
          <w:szCs w:val="22"/>
        </w:rPr>
        <w:t xml:space="preserve"> κατάσταση, δεν διέφεραν, ανεξάρτητα από το πρόγραμμα δοσολογίας (κάθε 12 ώρες ή κάθε 8 ώρες). Δεν υπήρχαν διαφορές στις φαρμακοκινητικές τιμές, ούτε μεταξύ των ασθενών διαφορετικών ηλικιών,</w:t>
      </w:r>
      <w:r w:rsidR="00C7176F" w:rsidRPr="006756E8">
        <w:rPr>
          <w:szCs w:val="22"/>
        </w:rPr>
        <w:t xml:space="preserve"> </w:t>
      </w:r>
      <w:r w:rsidR="008A0409" w:rsidRPr="006756E8">
        <w:rPr>
          <w:szCs w:val="22"/>
        </w:rPr>
        <w:t xml:space="preserve">ούτε μεταξύ ανδρών και γυναικών. </w:t>
      </w:r>
      <w:r w:rsidR="00400C57" w:rsidRPr="006756E8">
        <w:rPr>
          <w:szCs w:val="22"/>
        </w:rPr>
        <w:t xml:space="preserve"> </w:t>
      </w:r>
    </w:p>
    <w:p w:rsidR="00400C57" w:rsidRPr="006756E8" w:rsidRDefault="00400C57" w:rsidP="0031570A">
      <w:pPr>
        <w:tabs>
          <w:tab w:val="left" w:pos="567"/>
        </w:tabs>
        <w:autoSpaceDE w:val="0"/>
        <w:autoSpaceDN w:val="0"/>
        <w:adjustRightInd w:val="0"/>
        <w:rPr>
          <w:szCs w:val="22"/>
        </w:rPr>
      </w:pPr>
    </w:p>
    <w:p w:rsidR="00400C57" w:rsidRPr="006756E8" w:rsidRDefault="00667765" w:rsidP="0031570A">
      <w:pPr>
        <w:tabs>
          <w:tab w:val="left" w:pos="567"/>
        </w:tabs>
        <w:autoSpaceDE w:val="0"/>
        <w:autoSpaceDN w:val="0"/>
        <w:adjustRightInd w:val="0"/>
        <w:rPr>
          <w:szCs w:val="22"/>
        </w:rPr>
      </w:pPr>
      <w:r w:rsidRPr="006756E8">
        <w:rPr>
          <w:szCs w:val="22"/>
        </w:rPr>
        <w:t>Μετά την χορήγηση μιας</w:t>
      </w:r>
      <w:r w:rsidR="00C7176F" w:rsidRPr="006756E8">
        <w:rPr>
          <w:szCs w:val="22"/>
        </w:rPr>
        <w:t xml:space="preserve"> εφ’άπαξ</w:t>
      </w:r>
      <w:r w:rsidRPr="006756E8">
        <w:rPr>
          <w:szCs w:val="22"/>
        </w:rPr>
        <w:t xml:space="preserve"> ενδοφλ</w:t>
      </w:r>
      <w:r w:rsidR="00C17ED2" w:rsidRPr="006756E8">
        <w:rPr>
          <w:szCs w:val="22"/>
        </w:rPr>
        <w:t xml:space="preserve">έβιας </w:t>
      </w:r>
      <w:r w:rsidRPr="006756E8">
        <w:rPr>
          <w:szCs w:val="22"/>
        </w:rPr>
        <w:t>δόσης</w:t>
      </w:r>
      <w:r w:rsidR="00C17ED2" w:rsidRPr="006756E8">
        <w:rPr>
          <w:szCs w:val="22"/>
        </w:rPr>
        <w:t xml:space="preserve">, η μέση συνολικά κάθαρση σώματος ήταν </w:t>
      </w:r>
      <w:r w:rsidR="00400C57" w:rsidRPr="006756E8">
        <w:rPr>
          <w:szCs w:val="22"/>
        </w:rPr>
        <w:t xml:space="preserve">3.3 </w:t>
      </w:r>
      <w:r w:rsidR="00400C57" w:rsidRPr="006756E8">
        <w:rPr>
          <w:szCs w:val="22"/>
          <w:lang w:val="en-GB"/>
        </w:rPr>
        <w:t>ml</w:t>
      </w:r>
      <w:r w:rsidR="00400C57" w:rsidRPr="006756E8">
        <w:rPr>
          <w:szCs w:val="22"/>
        </w:rPr>
        <w:t>/</w:t>
      </w:r>
      <w:r w:rsidR="00400C57" w:rsidRPr="006756E8">
        <w:rPr>
          <w:szCs w:val="22"/>
          <w:lang w:val="en-GB"/>
        </w:rPr>
        <w:t>min</w:t>
      </w:r>
      <w:r w:rsidR="00400C57" w:rsidRPr="006756E8">
        <w:rPr>
          <w:szCs w:val="22"/>
        </w:rPr>
        <w:t>/</w:t>
      </w:r>
      <w:r w:rsidR="00400C57" w:rsidRPr="006756E8">
        <w:rPr>
          <w:szCs w:val="22"/>
          <w:lang w:val="en-GB"/>
        </w:rPr>
        <w:t>kg</w:t>
      </w:r>
      <w:r w:rsidR="00400C57" w:rsidRPr="006756E8">
        <w:rPr>
          <w:szCs w:val="22"/>
        </w:rPr>
        <w:t xml:space="preserve"> </w:t>
      </w:r>
      <w:r w:rsidR="00C17ED2" w:rsidRPr="006756E8">
        <w:rPr>
          <w:szCs w:val="22"/>
        </w:rPr>
        <w:t xml:space="preserve">και ο όγκος κατανομής ήταν </w:t>
      </w:r>
      <w:r w:rsidR="00400C57" w:rsidRPr="006756E8">
        <w:rPr>
          <w:szCs w:val="22"/>
        </w:rPr>
        <w:t xml:space="preserve">0.3 </w:t>
      </w:r>
      <w:r w:rsidR="00400C57" w:rsidRPr="006756E8">
        <w:rPr>
          <w:szCs w:val="22"/>
          <w:lang w:val="en-GB"/>
        </w:rPr>
        <w:t>l</w:t>
      </w:r>
      <w:r w:rsidR="00400C57" w:rsidRPr="006756E8">
        <w:rPr>
          <w:szCs w:val="22"/>
        </w:rPr>
        <w:t>/</w:t>
      </w:r>
      <w:r w:rsidR="00400C57" w:rsidRPr="006756E8">
        <w:rPr>
          <w:szCs w:val="22"/>
          <w:lang w:val="en-GB"/>
        </w:rPr>
        <w:t>kg</w:t>
      </w:r>
      <w:r w:rsidR="00400C57" w:rsidRPr="006756E8">
        <w:rPr>
          <w:szCs w:val="22"/>
        </w:rPr>
        <w:t xml:space="preserve">. </w:t>
      </w:r>
      <w:r w:rsidR="00C17ED2" w:rsidRPr="006756E8">
        <w:rPr>
          <w:szCs w:val="22"/>
        </w:rPr>
        <w:t>Ο</w:t>
      </w:r>
      <w:r w:rsidR="00C17ED2" w:rsidRPr="00BA41FF">
        <w:rPr>
          <w:szCs w:val="22"/>
        </w:rPr>
        <w:t xml:space="preserve"> </w:t>
      </w:r>
      <w:r w:rsidR="00C17ED2" w:rsidRPr="006756E8">
        <w:rPr>
          <w:szCs w:val="22"/>
        </w:rPr>
        <w:t>συνολικός</w:t>
      </w:r>
      <w:r w:rsidR="00C17ED2" w:rsidRPr="00BA41FF">
        <w:rPr>
          <w:szCs w:val="22"/>
        </w:rPr>
        <w:t xml:space="preserve"> </w:t>
      </w:r>
      <w:r w:rsidR="00C17ED2" w:rsidRPr="006756E8">
        <w:rPr>
          <w:szCs w:val="22"/>
        </w:rPr>
        <w:t>μέσος</w:t>
      </w:r>
      <w:r w:rsidR="00C17ED2" w:rsidRPr="00BA41FF">
        <w:rPr>
          <w:szCs w:val="22"/>
        </w:rPr>
        <w:t xml:space="preserve"> </w:t>
      </w:r>
      <w:r w:rsidR="00C17ED2" w:rsidRPr="006756E8">
        <w:rPr>
          <w:szCs w:val="22"/>
        </w:rPr>
        <w:t>χρόνος</w:t>
      </w:r>
      <w:r w:rsidR="00C17ED2" w:rsidRPr="00BA41FF">
        <w:rPr>
          <w:szCs w:val="22"/>
        </w:rPr>
        <w:t xml:space="preserve"> </w:t>
      </w:r>
      <w:r w:rsidR="00C17ED2" w:rsidRPr="006756E8">
        <w:rPr>
          <w:szCs w:val="22"/>
        </w:rPr>
        <w:t>ημίσιας</w:t>
      </w:r>
      <w:r w:rsidR="00C17ED2" w:rsidRPr="00BA41FF">
        <w:rPr>
          <w:szCs w:val="22"/>
        </w:rPr>
        <w:t xml:space="preserve"> </w:t>
      </w:r>
      <w:r w:rsidR="00C17ED2" w:rsidRPr="006756E8">
        <w:rPr>
          <w:szCs w:val="22"/>
        </w:rPr>
        <w:t>ζωής</w:t>
      </w:r>
      <w:r w:rsidR="00C17ED2" w:rsidRPr="00BA41FF">
        <w:rPr>
          <w:szCs w:val="22"/>
        </w:rPr>
        <w:t xml:space="preserve"> </w:t>
      </w:r>
      <w:r w:rsidR="00C17ED2" w:rsidRPr="006756E8">
        <w:rPr>
          <w:szCs w:val="22"/>
        </w:rPr>
        <w:t>ήταν</w:t>
      </w:r>
      <w:r w:rsidR="00C17ED2" w:rsidRPr="00BA41FF">
        <w:rPr>
          <w:szCs w:val="22"/>
        </w:rPr>
        <w:t xml:space="preserve"> </w:t>
      </w:r>
      <w:r w:rsidR="00400C57" w:rsidRPr="00BA41FF">
        <w:rPr>
          <w:szCs w:val="22"/>
        </w:rPr>
        <w:t xml:space="preserve">1.7 </w:t>
      </w:r>
      <w:r w:rsidR="00C17ED2" w:rsidRPr="006756E8">
        <w:rPr>
          <w:szCs w:val="22"/>
        </w:rPr>
        <w:t>ώρες</w:t>
      </w:r>
      <w:r w:rsidR="00400C57" w:rsidRPr="00BA41FF">
        <w:rPr>
          <w:szCs w:val="22"/>
        </w:rPr>
        <w:t xml:space="preserve">. </w:t>
      </w:r>
      <w:r w:rsidR="00C17ED2" w:rsidRPr="006756E8">
        <w:rPr>
          <w:szCs w:val="22"/>
        </w:rPr>
        <w:t xml:space="preserve">Το ποσοστό κεφεπίμης που ανακτήθηκε στα ούρα ήταν </w:t>
      </w:r>
      <w:r w:rsidR="00400C57" w:rsidRPr="006756E8">
        <w:rPr>
          <w:szCs w:val="22"/>
        </w:rPr>
        <w:t xml:space="preserve">60.4% </w:t>
      </w:r>
      <w:r w:rsidR="00C17ED2" w:rsidRPr="006756E8">
        <w:rPr>
          <w:szCs w:val="22"/>
        </w:rPr>
        <w:t xml:space="preserve">της χορηγηθήσας δόσης και η κάθαρση κρεατινίνης ήταν η κύρια οδός απέκκρισης με μέση τιμή </w:t>
      </w:r>
      <w:r w:rsidR="00400C57" w:rsidRPr="006756E8">
        <w:rPr>
          <w:szCs w:val="22"/>
        </w:rPr>
        <w:t xml:space="preserve">2.0 </w:t>
      </w:r>
      <w:r w:rsidR="00400C57" w:rsidRPr="006756E8">
        <w:rPr>
          <w:szCs w:val="22"/>
          <w:lang w:val="en-GB"/>
        </w:rPr>
        <w:t>ml</w:t>
      </w:r>
      <w:r w:rsidR="00400C57" w:rsidRPr="006756E8">
        <w:rPr>
          <w:szCs w:val="22"/>
        </w:rPr>
        <w:t>/</w:t>
      </w:r>
      <w:r w:rsidR="00400C57" w:rsidRPr="006756E8">
        <w:rPr>
          <w:szCs w:val="22"/>
          <w:lang w:val="en-GB"/>
        </w:rPr>
        <w:t>min</w:t>
      </w:r>
      <w:r w:rsidR="00400C57" w:rsidRPr="006756E8">
        <w:rPr>
          <w:szCs w:val="22"/>
        </w:rPr>
        <w:t>/</w:t>
      </w:r>
      <w:r w:rsidR="00400C57" w:rsidRPr="006756E8">
        <w:rPr>
          <w:szCs w:val="22"/>
          <w:lang w:val="en-GB"/>
        </w:rPr>
        <w:t>kg</w:t>
      </w:r>
      <w:r w:rsidR="00400C57" w:rsidRPr="006756E8">
        <w:rPr>
          <w:szCs w:val="22"/>
        </w:rPr>
        <w:t xml:space="preserve">. </w:t>
      </w:r>
    </w:p>
    <w:p w:rsidR="00400C57" w:rsidRPr="006756E8" w:rsidRDefault="00400C57" w:rsidP="0031570A">
      <w:pPr>
        <w:tabs>
          <w:tab w:val="left" w:pos="567"/>
        </w:tabs>
        <w:autoSpaceDE w:val="0"/>
        <w:autoSpaceDN w:val="0"/>
        <w:adjustRightInd w:val="0"/>
        <w:rPr>
          <w:szCs w:val="22"/>
        </w:rPr>
      </w:pPr>
    </w:p>
    <w:p w:rsidR="00400C57" w:rsidRPr="006756E8" w:rsidRDefault="00AD381C" w:rsidP="0031570A">
      <w:pPr>
        <w:tabs>
          <w:tab w:val="left" w:pos="567"/>
        </w:tabs>
        <w:autoSpaceDE w:val="0"/>
        <w:autoSpaceDN w:val="0"/>
        <w:adjustRightInd w:val="0"/>
        <w:rPr>
          <w:szCs w:val="22"/>
        </w:rPr>
      </w:pPr>
      <w:r w:rsidRPr="006756E8">
        <w:rPr>
          <w:szCs w:val="22"/>
        </w:rPr>
        <w:t xml:space="preserve">Οι συγκεντρώσεις κεφεπίμης στο εγκεφαλονωτιαίο υγρό σε σύγκριση με εκείνες του πλάσματος παρουσιάζονται στον παραπάνω πίνακα </w:t>
      </w:r>
      <w:r w:rsidR="00400C57" w:rsidRPr="006756E8">
        <w:rPr>
          <w:szCs w:val="22"/>
        </w:rPr>
        <w:t>‘</w:t>
      </w:r>
      <w:r w:rsidRPr="006756E8">
        <w:rPr>
          <w:szCs w:val="22"/>
        </w:rPr>
        <w:t>Μέσες συγκεντρώσεις στο πλάσμα</w:t>
      </w:r>
      <w:r w:rsidR="00400C57" w:rsidRPr="006756E8">
        <w:rPr>
          <w:szCs w:val="22"/>
        </w:rPr>
        <w:t xml:space="preserve"> (</w:t>
      </w:r>
      <w:r w:rsidR="00400C57" w:rsidRPr="006756E8">
        <w:rPr>
          <w:szCs w:val="22"/>
          <w:lang w:val="en-GB"/>
        </w:rPr>
        <w:t>PL</w:t>
      </w:r>
      <w:r w:rsidR="00400C57" w:rsidRPr="006756E8">
        <w:rPr>
          <w:szCs w:val="22"/>
        </w:rPr>
        <w:t xml:space="preserve">), </w:t>
      </w:r>
      <w:r w:rsidRPr="006756E8">
        <w:rPr>
          <w:szCs w:val="22"/>
        </w:rPr>
        <w:t>συγκεντρώσεις στο εγκεφαλονωτιαίο υγρό</w:t>
      </w:r>
      <w:r w:rsidR="00400C57" w:rsidRPr="006756E8">
        <w:rPr>
          <w:szCs w:val="22"/>
        </w:rPr>
        <w:t xml:space="preserve"> (</w:t>
      </w:r>
      <w:r w:rsidR="00400C57" w:rsidRPr="006756E8">
        <w:rPr>
          <w:szCs w:val="22"/>
          <w:lang w:val="en-GB"/>
        </w:rPr>
        <w:t>CSF</w:t>
      </w:r>
      <w:r w:rsidR="00400C57" w:rsidRPr="006756E8">
        <w:rPr>
          <w:szCs w:val="22"/>
        </w:rPr>
        <w:t xml:space="preserve">) </w:t>
      </w:r>
      <w:r w:rsidRPr="006756E8">
        <w:rPr>
          <w:szCs w:val="22"/>
        </w:rPr>
        <w:t>και αναλογία κεφεπίμης</w:t>
      </w:r>
      <w:r w:rsidR="00400C57" w:rsidRPr="006756E8">
        <w:rPr>
          <w:szCs w:val="22"/>
        </w:rPr>
        <w:t xml:space="preserve"> </w:t>
      </w:r>
      <w:r w:rsidR="00400C57" w:rsidRPr="006756E8">
        <w:rPr>
          <w:szCs w:val="22"/>
          <w:lang w:val="en-GB"/>
        </w:rPr>
        <w:t>CSF</w:t>
      </w:r>
      <w:r w:rsidR="00400C57" w:rsidRPr="006756E8">
        <w:rPr>
          <w:szCs w:val="22"/>
        </w:rPr>
        <w:t>/</w:t>
      </w:r>
      <w:r w:rsidR="00400C57" w:rsidRPr="006756E8">
        <w:rPr>
          <w:szCs w:val="22"/>
          <w:lang w:val="en-GB"/>
        </w:rPr>
        <w:t>PL</w:t>
      </w:r>
      <w:r w:rsidR="00A827AA" w:rsidRPr="006756E8">
        <w:rPr>
          <w:szCs w:val="22"/>
        </w:rPr>
        <w:t>’</w:t>
      </w:r>
      <w:r w:rsidRPr="006756E8">
        <w:rPr>
          <w:szCs w:val="22"/>
        </w:rPr>
        <w:t>.</w:t>
      </w:r>
    </w:p>
    <w:p w:rsidR="00400C57" w:rsidRPr="006756E8" w:rsidRDefault="00400C57" w:rsidP="0031570A">
      <w:pPr>
        <w:tabs>
          <w:tab w:val="left" w:pos="567"/>
        </w:tabs>
        <w:autoSpaceDE w:val="0"/>
        <w:autoSpaceDN w:val="0"/>
        <w:adjustRightInd w:val="0"/>
        <w:rPr>
          <w:szCs w:val="22"/>
        </w:rPr>
      </w:pP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5.3</w:t>
      </w:r>
      <w:r w:rsidRPr="006756E8">
        <w:rPr>
          <w:b/>
          <w:noProof/>
          <w:szCs w:val="22"/>
        </w:rPr>
        <w:tab/>
        <w:t>Προκλινικά δεδομένα για την ασφάλεια</w:t>
      </w:r>
    </w:p>
    <w:p w:rsidR="00B9512A" w:rsidRPr="006756E8" w:rsidRDefault="00B9512A" w:rsidP="0031570A">
      <w:pPr>
        <w:tabs>
          <w:tab w:val="left" w:pos="567"/>
        </w:tabs>
        <w:rPr>
          <w:noProof/>
          <w:szCs w:val="22"/>
        </w:rPr>
      </w:pPr>
    </w:p>
    <w:p w:rsidR="00E0500B" w:rsidRPr="006756E8" w:rsidRDefault="00C7176F" w:rsidP="0031570A">
      <w:pPr>
        <w:tabs>
          <w:tab w:val="left" w:pos="567"/>
        </w:tabs>
        <w:autoSpaceDE w:val="0"/>
        <w:autoSpaceDN w:val="0"/>
        <w:adjustRightInd w:val="0"/>
        <w:rPr>
          <w:szCs w:val="22"/>
        </w:rPr>
      </w:pPr>
      <w:r w:rsidRPr="006756E8">
        <w:rPr>
          <w:noProof/>
          <w:szCs w:val="22"/>
        </w:rPr>
        <w:t>Μη κλινικά</w:t>
      </w:r>
      <w:r w:rsidR="008548E9" w:rsidRPr="006756E8">
        <w:rPr>
          <w:noProof/>
          <w:szCs w:val="22"/>
        </w:rPr>
        <w:t xml:space="preserve"> δεδομένα δεν δείχνουν ιδιαίτερο</w:t>
      </w:r>
      <w:r w:rsidRPr="006756E8">
        <w:rPr>
          <w:noProof/>
          <w:szCs w:val="22"/>
        </w:rPr>
        <w:t xml:space="preserve"> κίνδυνο στους ανθρώπους βάσει συμβατικών μελετών για την </w:t>
      </w:r>
      <w:r w:rsidR="005A1B5F">
        <w:rPr>
          <w:noProof/>
          <w:szCs w:val="22"/>
        </w:rPr>
        <w:t>φαρμακολογική</w:t>
      </w:r>
      <w:r w:rsidR="005A1B5F" w:rsidRPr="006756E8">
        <w:rPr>
          <w:noProof/>
          <w:szCs w:val="22"/>
        </w:rPr>
        <w:t xml:space="preserve"> </w:t>
      </w:r>
      <w:r w:rsidRPr="006756E8">
        <w:rPr>
          <w:noProof/>
          <w:szCs w:val="22"/>
        </w:rPr>
        <w:t xml:space="preserve">ασφάλεια, τοξικότητα επαναλαμβανόμενης δόσης, γονοτοξικότητας, </w:t>
      </w:r>
      <w:r w:rsidR="005A1B5F" w:rsidRPr="006756E8">
        <w:rPr>
          <w:noProof/>
          <w:szCs w:val="22"/>
        </w:rPr>
        <w:t>καρκινογ</w:t>
      </w:r>
      <w:r w:rsidR="005A1B5F">
        <w:rPr>
          <w:noProof/>
          <w:szCs w:val="22"/>
        </w:rPr>
        <w:t>όνου</w:t>
      </w:r>
      <w:r w:rsidR="005A1B5F" w:rsidRPr="006756E8">
        <w:rPr>
          <w:noProof/>
          <w:szCs w:val="22"/>
        </w:rPr>
        <w:t xml:space="preserve"> </w:t>
      </w:r>
      <w:r w:rsidRPr="006756E8">
        <w:rPr>
          <w:noProof/>
          <w:szCs w:val="22"/>
        </w:rPr>
        <w:t>δυνατότητας, τοξικότητας στην αναπαραγωγή. Δεν έχουν πραγματοποιηθεί μακροχρόνιες μελέτες καρκινογέννεσης.</w:t>
      </w:r>
    </w:p>
    <w:p w:rsidR="00B9512A" w:rsidRPr="006756E8" w:rsidRDefault="00B9512A" w:rsidP="0031570A">
      <w:pPr>
        <w:tabs>
          <w:tab w:val="left" w:pos="567"/>
        </w:tabs>
        <w:rPr>
          <w:b/>
          <w:bCs/>
          <w:noProof/>
          <w:szCs w:val="22"/>
        </w:rPr>
      </w:pPr>
    </w:p>
    <w:p w:rsidR="00B9512A" w:rsidRPr="006756E8" w:rsidRDefault="00B9512A" w:rsidP="0031570A">
      <w:pPr>
        <w:pStyle w:val="a3"/>
        <w:tabs>
          <w:tab w:val="clear" w:pos="4153"/>
          <w:tab w:val="clear" w:pos="8306"/>
          <w:tab w:val="left" w:pos="567"/>
        </w:tabs>
        <w:rPr>
          <w:noProof/>
          <w:szCs w:val="22"/>
        </w:rPr>
      </w:pPr>
    </w:p>
    <w:p w:rsidR="00B9512A" w:rsidRPr="006756E8" w:rsidRDefault="00B9512A" w:rsidP="0031570A">
      <w:pPr>
        <w:tabs>
          <w:tab w:val="left" w:pos="567"/>
        </w:tabs>
        <w:rPr>
          <w:noProof/>
          <w:szCs w:val="22"/>
        </w:rPr>
      </w:pPr>
      <w:r w:rsidRPr="006756E8">
        <w:rPr>
          <w:b/>
          <w:noProof/>
          <w:szCs w:val="22"/>
        </w:rPr>
        <w:t>6.</w:t>
      </w:r>
      <w:r w:rsidRPr="006756E8">
        <w:rPr>
          <w:b/>
          <w:noProof/>
          <w:szCs w:val="22"/>
        </w:rPr>
        <w:tab/>
        <w:t>ΦΑΡΜΑΚΕΥΤΙΚΕΣ ΠΛΗΡΟΦΟΡΙΕΣ</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6.1</w:t>
      </w:r>
      <w:r w:rsidRPr="006756E8">
        <w:rPr>
          <w:b/>
          <w:noProof/>
          <w:szCs w:val="22"/>
        </w:rPr>
        <w:tab/>
        <w:t>Κατάλογος εκδόχων</w:t>
      </w:r>
    </w:p>
    <w:p w:rsidR="002F422A" w:rsidRPr="00BA41FF" w:rsidRDefault="002F422A" w:rsidP="0031570A">
      <w:pPr>
        <w:tabs>
          <w:tab w:val="left" w:pos="567"/>
        </w:tabs>
        <w:autoSpaceDE w:val="0"/>
        <w:autoSpaceDN w:val="0"/>
        <w:adjustRightInd w:val="0"/>
        <w:rPr>
          <w:szCs w:val="22"/>
        </w:rPr>
      </w:pPr>
      <w:r w:rsidRPr="006756E8">
        <w:rPr>
          <w:szCs w:val="22"/>
          <w:lang w:val="en-GB"/>
        </w:rPr>
        <w:t>L</w:t>
      </w:r>
      <w:r w:rsidRPr="00BA41FF">
        <w:rPr>
          <w:szCs w:val="22"/>
        </w:rPr>
        <w:t xml:space="preserve">- </w:t>
      </w:r>
      <w:proofErr w:type="gramStart"/>
      <w:r w:rsidRPr="006756E8">
        <w:rPr>
          <w:szCs w:val="22"/>
          <w:lang w:val="en-GB"/>
        </w:rPr>
        <w:t>arginine</w:t>
      </w:r>
      <w:proofErr w:type="gramEnd"/>
      <w:r w:rsidRPr="00BA41FF">
        <w:rPr>
          <w:szCs w:val="22"/>
        </w:rPr>
        <w:t xml:space="preserve"> </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6.2</w:t>
      </w:r>
      <w:r w:rsidRPr="006756E8">
        <w:rPr>
          <w:b/>
          <w:noProof/>
          <w:szCs w:val="22"/>
        </w:rPr>
        <w:tab/>
        <w:t>Ασυμβατότητες</w:t>
      </w:r>
    </w:p>
    <w:p w:rsidR="00B9512A" w:rsidRPr="006756E8" w:rsidRDefault="00B9512A" w:rsidP="0031570A">
      <w:pPr>
        <w:tabs>
          <w:tab w:val="left" w:pos="567"/>
        </w:tabs>
        <w:rPr>
          <w:noProof/>
          <w:szCs w:val="22"/>
        </w:rPr>
      </w:pPr>
    </w:p>
    <w:p w:rsidR="002F422A" w:rsidRPr="006756E8" w:rsidRDefault="00D92C42" w:rsidP="0031570A">
      <w:pPr>
        <w:tabs>
          <w:tab w:val="left" w:pos="567"/>
        </w:tabs>
        <w:autoSpaceDE w:val="0"/>
        <w:autoSpaceDN w:val="0"/>
        <w:adjustRightInd w:val="0"/>
        <w:rPr>
          <w:szCs w:val="22"/>
        </w:rPr>
      </w:pPr>
      <w:r w:rsidRPr="006756E8">
        <w:rPr>
          <w:szCs w:val="22"/>
        </w:rPr>
        <w:t>Όπως με τα περισσότερα αντιβιοτικά των β-</w:t>
      </w:r>
      <w:r w:rsidR="008548E9" w:rsidRPr="006756E8">
        <w:rPr>
          <w:szCs w:val="22"/>
        </w:rPr>
        <w:t>λακταμών</w:t>
      </w:r>
      <w:r w:rsidRPr="006756E8">
        <w:rPr>
          <w:szCs w:val="22"/>
        </w:rPr>
        <w:t xml:space="preserve">, τα διαλύματα κεφεπίμης δεν πρέπει να προστίθενται σε διαλύματα που έχουν ως βάση την </w:t>
      </w:r>
      <w:r w:rsidR="002F422A" w:rsidRPr="006756E8">
        <w:rPr>
          <w:szCs w:val="22"/>
          <w:lang w:val="en-GB"/>
        </w:rPr>
        <w:t>metronidazole</w:t>
      </w:r>
      <w:r w:rsidR="002F422A" w:rsidRPr="006756E8">
        <w:rPr>
          <w:szCs w:val="22"/>
        </w:rPr>
        <w:t xml:space="preserve"> </w:t>
      </w:r>
      <w:r w:rsidRPr="006756E8">
        <w:rPr>
          <w:szCs w:val="22"/>
        </w:rPr>
        <w:t>ή</w:t>
      </w:r>
      <w:r w:rsidR="002F422A" w:rsidRPr="006756E8">
        <w:rPr>
          <w:szCs w:val="22"/>
        </w:rPr>
        <w:t xml:space="preserve"> </w:t>
      </w:r>
      <w:r w:rsidR="002F422A" w:rsidRPr="006756E8">
        <w:rPr>
          <w:szCs w:val="22"/>
          <w:lang w:val="en-GB"/>
        </w:rPr>
        <w:t>netilmicin</w:t>
      </w:r>
      <w:r w:rsidR="002F422A" w:rsidRPr="006756E8">
        <w:rPr>
          <w:szCs w:val="22"/>
        </w:rPr>
        <w:t xml:space="preserve"> </w:t>
      </w:r>
      <w:r w:rsidR="002F422A" w:rsidRPr="006756E8">
        <w:rPr>
          <w:szCs w:val="22"/>
          <w:lang w:val="en-GB"/>
        </w:rPr>
        <w:t>sulphate</w:t>
      </w:r>
      <w:r w:rsidR="002F422A" w:rsidRPr="006756E8">
        <w:rPr>
          <w:szCs w:val="22"/>
        </w:rPr>
        <w:t xml:space="preserve">, </w:t>
      </w:r>
      <w:r w:rsidRPr="006756E8">
        <w:rPr>
          <w:szCs w:val="22"/>
        </w:rPr>
        <w:t>λόγω φυσικής και χημικής ασυμβατότητας</w:t>
      </w:r>
      <w:r w:rsidR="002F422A" w:rsidRPr="006756E8">
        <w:rPr>
          <w:szCs w:val="22"/>
        </w:rPr>
        <w:t xml:space="preserve">. </w:t>
      </w:r>
    </w:p>
    <w:p w:rsidR="002F422A" w:rsidRPr="006756E8" w:rsidRDefault="00D92C42" w:rsidP="0031570A">
      <w:pPr>
        <w:tabs>
          <w:tab w:val="left" w:pos="567"/>
        </w:tabs>
        <w:autoSpaceDE w:val="0"/>
        <w:autoSpaceDN w:val="0"/>
        <w:adjustRightInd w:val="0"/>
        <w:rPr>
          <w:szCs w:val="22"/>
        </w:rPr>
      </w:pPr>
      <w:r w:rsidRPr="006756E8">
        <w:rPr>
          <w:szCs w:val="22"/>
        </w:rPr>
        <w:t>Ωστόσο</w:t>
      </w:r>
      <w:r w:rsidR="002F422A" w:rsidRPr="006756E8">
        <w:rPr>
          <w:szCs w:val="22"/>
        </w:rPr>
        <w:t xml:space="preserve">, </w:t>
      </w:r>
      <w:r w:rsidR="00B6746D" w:rsidRPr="006756E8">
        <w:rPr>
          <w:szCs w:val="22"/>
        </w:rPr>
        <w:t xml:space="preserve">αν ενδείκνυται συγχορηγούμενη θεραπεία, κάθε ένα από </w:t>
      </w:r>
      <w:r w:rsidR="00A827AA" w:rsidRPr="006756E8">
        <w:rPr>
          <w:szCs w:val="22"/>
        </w:rPr>
        <w:t>αυ</w:t>
      </w:r>
      <w:r w:rsidR="00B6746D" w:rsidRPr="006756E8">
        <w:rPr>
          <w:szCs w:val="22"/>
        </w:rPr>
        <w:t>τά τα αντιβιοτικά πρέπει να χορηγείται ξεχωριστά</w:t>
      </w:r>
      <w:r w:rsidR="002F422A" w:rsidRPr="006756E8">
        <w:rPr>
          <w:szCs w:val="22"/>
        </w:rPr>
        <w:t xml:space="preserve">. </w:t>
      </w:r>
    </w:p>
    <w:p w:rsidR="002F422A" w:rsidRPr="006756E8" w:rsidRDefault="002F422A" w:rsidP="0031570A">
      <w:pPr>
        <w:tabs>
          <w:tab w:val="left" w:pos="567"/>
        </w:tabs>
        <w:autoSpaceDE w:val="0"/>
        <w:autoSpaceDN w:val="0"/>
        <w:adjustRightInd w:val="0"/>
        <w:rPr>
          <w:szCs w:val="22"/>
        </w:rPr>
      </w:pPr>
    </w:p>
    <w:p w:rsidR="002F422A" w:rsidRPr="00BA41FF" w:rsidRDefault="00B6746D" w:rsidP="0031570A">
      <w:pPr>
        <w:tabs>
          <w:tab w:val="left" w:pos="567"/>
        </w:tabs>
        <w:autoSpaceDE w:val="0"/>
        <w:autoSpaceDN w:val="0"/>
        <w:adjustRightInd w:val="0"/>
        <w:rPr>
          <w:szCs w:val="22"/>
        </w:rPr>
      </w:pPr>
      <w:r w:rsidRPr="006756E8">
        <w:rPr>
          <w:szCs w:val="22"/>
          <w:u w:val="single"/>
        </w:rPr>
        <w:t>Προσοχή</w:t>
      </w:r>
      <w:r w:rsidR="002F422A" w:rsidRPr="00BA41FF">
        <w:rPr>
          <w:szCs w:val="22"/>
        </w:rPr>
        <w:t xml:space="preserve">: </w:t>
      </w:r>
    </w:p>
    <w:p w:rsidR="002F422A" w:rsidRPr="006756E8" w:rsidRDefault="00B6746D" w:rsidP="0031570A">
      <w:pPr>
        <w:tabs>
          <w:tab w:val="left" w:pos="567"/>
        </w:tabs>
        <w:autoSpaceDE w:val="0"/>
        <w:autoSpaceDN w:val="0"/>
        <w:adjustRightInd w:val="0"/>
        <w:rPr>
          <w:szCs w:val="22"/>
        </w:rPr>
      </w:pPr>
      <w:r w:rsidRPr="006756E8">
        <w:rPr>
          <w:szCs w:val="22"/>
        </w:rPr>
        <w:t xml:space="preserve">Αυτά τα διαλύματα είναι ασύμβατα με </w:t>
      </w:r>
      <w:r w:rsidR="00A827AA" w:rsidRPr="006756E8">
        <w:rPr>
          <w:szCs w:val="22"/>
        </w:rPr>
        <w:t>αμινοφυλλίνη</w:t>
      </w:r>
      <w:r w:rsidR="002F422A" w:rsidRPr="006756E8">
        <w:rPr>
          <w:szCs w:val="22"/>
        </w:rPr>
        <w:t xml:space="preserve">. </w:t>
      </w:r>
    </w:p>
    <w:p w:rsidR="008548E9" w:rsidRPr="006756E8" w:rsidRDefault="008548E9" w:rsidP="0031570A">
      <w:pPr>
        <w:tabs>
          <w:tab w:val="left" w:pos="567"/>
        </w:tabs>
        <w:autoSpaceDE w:val="0"/>
        <w:autoSpaceDN w:val="0"/>
        <w:adjustRightInd w:val="0"/>
        <w:rPr>
          <w:szCs w:val="22"/>
        </w:rPr>
      </w:pPr>
    </w:p>
    <w:p w:rsidR="008548E9" w:rsidRPr="006756E8" w:rsidRDefault="008548E9" w:rsidP="0031570A">
      <w:pPr>
        <w:tabs>
          <w:tab w:val="left" w:pos="567"/>
        </w:tabs>
        <w:autoSpaceDE w:val="0"/>
        <w:autoSpaceDN w:val="0"/>
        <w:adjustRightInd w:val="0"/>
        <w:rPr>
          <w:szCs w:val="22"/>
        </w:rPr>
      </w:pPr>
      <w:r w:rsidRPr="006756E8">
        <w:rPr>
          <w:szCs w:val="22"/>
        </w:rPr>
        <w:t>Το φαρμακευτικό αυτό προϊόν δεν πρέπει να αναμιγνύεται με άλλα φαρμακευτικά προϊόντα εκτός εκείνων που αναφέρονται στην παράγραφο 6.6.</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6.3</w:t>
      </w:r>
      <w:r w:rsidRPr="006756E8">
        <w:rPr>
          <w:b/>
          <w:noProof/>
          <w:szCs w:val="22"/>
        </w:rPr>
        <w:tab/>
        <w:t>Διάρκεια ζωής</w:t>
      </w:r>
    </w:p>
    <w:p w:rsidR="00B9512A" w:rsidRPr="006756E8" w:rsidRDefault="00B9512A" w:rsidP="0031570A">
      <w:pPr>
        <w:tabs>
          <w:tab w:val="left" w:pos="567"/>
        </w:tabs>
        <w:rPr>
          <w:noProof/>
          <w:szCs w:val="22"/>
        </w:rPr>
      </w:pPr>
    </w:p>
    <w:p w:rsidR="008548E9" w:rsidRPr="006756E8" w:rsidRDefault="00DD3185" w:rsidP="0031570A">
      <w:pPr>
        <w:tabs>
          <w:tab w:val="left" w:pos="567"/>
        </w:tabs>
        <w:rPr>
          <w:i/>
          <w:noProof/>
          <w:szCs w:val="22"/>
          <w:u w:val="single"/>
        </w:rPr>
      </w:pPr>
      <w:r w:rsidRPr="006756E8">
        <w:rPr>
          <w:i/>
          <w:noProof/>
          <w:szCs w:val="22"/>
          <w:u w:val="single"/>
        </w:rPr>
        <w:t>Φιαλίδιο πριν από το άνοιγμα</w:t>
      </w:r>
    </w:p>
    <w:p w:rsidR="00B9512A" w:rsidRPr="006756E8" w:rsidRDefault="008548E9" w:rsidP="0031570A">
      <w:pPr>
        <w:tabs>
          <w:tab w:val="left" w:pos="567"/>
        </w:tabs>
        <w:rPr>
          <w:noProof/>
          <w:szCs w:val="22"/>
        </w:rPr>
      </w:pPr>
      <w:r w:rsidRPr="006756E8">
        <w:rPr>
          <w:noProof/>
          <w:szCs w:val="22"/>
        </w:rPr>
        <w:lastRenderedPageBreak/>
        <w:t>2 χρόνια</w:t>
      </w:r>
    </w:p>
    <w:p w:rsidR="007A13AE" w:rsidRPr="00BA41FF" w:rsidRDefault="007A13AE" w:rsidP="007A13AE">
      <w:pPr>
        <w:pStyle w:val="aa"/>
        <w:tabs>
          <w:tab w:val="left" w:pos="3600"/>
        </w:tabs>
        <w:rPr>
          <w:i/>
          <w:szCs w:val="24"/>
          <w:u w:val="single"/>
          <w:lang w:val="el-GR" w:eastAsia="pt-PT"/>
        </w:rPr>
      </w:pPr>
      <w:r>
        <w:rPr>
          <w:i/>
          <w:szCs w:val="24"/>
          <w:u w:val="single"/>
          <w:lang w:val="el-GR" w:eastAsia="pt-PT"/>
        </w:rPr>
        <w:t>Μετά</w:t>
      </w:r>
      <w:r w:rsidRPr="00BA41FF">
        <w:rPr>
          <w:i/>
          <w:szCs w:val="24"/>
          <w:u w:val="single"/>
          <w:lang w:val="el-GR" w:eastAsia="pt-PT"/>
        </w:rPr>
        <w:t xml:space="preserve"> </w:t>
      </w:r>
      <w:r>
        <w:rPr>
          <w:i/>
          <w:szCs w:val="24"/>
          <w:u w:val="single"/>
          <w:lang w:val="el-GR" w:eastAsia="pt-PT"/>
        </w:rPr>
        <w:t>την</w:t>
      </w:r>
      <w:r w:rsidRPr="00BA41FF">
        <w:rPr>
          <w:i/>
          <w:szCs w:val="24"/>
          <w:u w:val="single"/>
          <w:lang w:val="el-GR" w:eastAsia="pt-PT"/>
        </w:rPr>
        <w:t xml:space="preserve"> </w:t>
      </w:r>
      <w:r>
        <w:rPr>
          <w:i/>
          <w:szCs w:val="24"/>
          <w:u w:val="single"/>
          <w:lang w:val="el-GR" w:eastAsia="pt-PT"/>
        </w:rPr>
        <w:t>ανασύσταση</w:t>
      </w:r>
      <w:r w:rsidRPr="00BA41FF">
        <w:rPr>
          <w:i/>
          <w:szCs w:val="24"/>
          <w:u w:val="single"/>
          <w:lang w:val="el-GR" w:eastAsia="pt-PT"/>
        </w:rPr>
        <w:t>/</w:t>
      </w:r>
      <w:r>
        <w:rPr>
          <w:i/>
          <w:szCs w:val="24"/>
          <w:u w:val="single"/>
          <w:lang w:val="el-GR" w:eastAsia="pt-PT"/>
        </w:rPr>
        <w:t>αραίωση</w:t>
      </w:r>
      <w:r w:rsidRPr="00BA41FF">
        <w:rPr>
          <w:i/>
          <w:szCs w:val="24"/>
          <w:u w:val="single"/>
          <w:lang w:val="el-GR" w:eastAsia="pt-PT"/>
        </w:rPr>
        <w:t>:</w:t>
      </w:r>
    </w:p>
    <w:p w:rsidR="007A13AE" w:rsidRPr="007A13AE" w:rsidRDefault="007A13AE" w:rsidP="007A13AE">
      <w:pPr>
        <w:pStyle w:val="aa"/>
        <w:tabs>
          <w:tab w:val="left" w:pos="1472"/>
        </w:tabs>
        <w:rPr>
          <w:szCs w:val="24"/>
          <w:lang w:val="el-GR" w:eastAsia="nl-NL"/>
        </w:rPr>
      </w:pPr>
      <w:r>
        <w:rPr>
          <w:szCs w:val="24"/>
          <w:lang w:val="el-GR" w:eastAsia="nl-NL"/>
        </w:rPr>
        <w:t>Τα</w:t>
      </w:r>
      <w:r w:rsidRPr="007A13AE">
        <w:rPr>
          <w:szCs w:val="24"/>
          <w:lang w:val="el-GR" w:eastAsia="nl-NL"/>
        </w:rPr>
        <w:t xml:space="preserve"> </w:t>
      </w:r>
      <w:r>
        <w:rPr>
          <w:szCs w:val="24"/>
          <w:lang w:val="el-GR" w:eastAsia="nl-NL"/>
        </w:rPr>
        <w:t>διαλύματα</w:t>
      </w:r>
      <w:r w:rsidRPr="007A13AE">
        <w:rPr>
          <w:szCs w:val="24"/>
          <w:lang w:val="el-GR" w:eastAsia="nl-NL"/>
        </w:rPr>
        <w:t xml:space="preserve"> </w:t>
      </w:r>
      <w:r>
        <w:rPr>
          <w:szCs w:val="24"/>
          <w:lang w:val="el-GR" w:eastAsia="nl-NL"/>
        </w:rPr>
        <w:t>κεφεπίμης</w:t>
      </w:r>
      <w:r w:rsidRPr="007A13AE">
        <w:rPr>
          <w:szCs w:val="24"/>
          <w:lang w:val="el-GR" w:eastAsia="nl-NL"/>
        </w:rPr>
        <w:t xml:space="preserve"> </w:t>
      </w:r>
      <w:r>
        <w:rPr>
          <w:szCs w:val="24"/>
          <w:lang w:val="el-GR" w:eastAsia="nl-NL"/>
        </w:rPr>
        <w:t>θα</w:t>
      </w:r>
      <w:r w:rsidRPr="007A13AE">
        <w:rPr>
          <w:szCs w:val="24"/>
          <w:lang w:val="el-GR" w:eastAsia="nl-NL"/>
        </w:rPr>
        <w:t xml:space="preserve"> </w:t>
      </w:r>
      <w:r>
        <w:rPr>
          <w:szCs w:val="24"/>
          <w:lang w:val="el-GR" w:eastAsia="nl-NL"/>
        </w:rPr>
        <w:t>πρέπει</w:t>
      </w:r>
      <w:r w:rsidRPr="007A13AE">
        <w:rPr>
          <w:szCs w:val="24"/>
          <w:lang w:val="el-GR" w:eastAsia="nl-NL"/>
        </w:rPr>
        <w:t xml:space="preserve"> </w:t>
      </w:r>
      <w:r>
        <w:rPr>
          <w:szCs w:val="24"/>
          <w:lang w:val="el-GR" w:eastAsia="nl-NL"/>
        </w:rPr>
        <w:t>να</w:t>
      </w:r>
      <w:r w:rsidRPr="007A13AE">
        <w:rPr>
          <w:szCs w:val="24"/>
          <w:lang w:val="el-GR" w:eastAsia="nl-NL"/>
        </w:rPr>
        <w:t xml:space="preserve"> </w:t>
      </w:r>
      <w:r>
        <w:rPr>
          <w:szCs w:val="24"/>
          <w:lang w:val="el-GR" w:eastAsia="nl-NL"/>
        </w:rPr>
        <w:t>χρησιμοποιούνται</w:t>
      </w:r>
      <w:r w:rsidRPr="007A13AE">
        <w:rPr>
          <w:szCs w:val="24"/>
          <w:lang w:val="el-GR" w:eastAsia="nl-NL"/>
        </w:rPr>
        <w:t xml:space="preserve"> </w:t>
      </w:r>
      <w:r>
        <w:rPr>
          <w:szCs w:val="24"/>
          <w:lang w:val="el-GR" w:eastAsia="nl-NL"/>
        </w:rPr>
        <w:t>αμέσως</w:t>
      </w:r>
      <w:r w:rsidRPr="007A13AE">
        <w:rPr>
          <w:szCs w:val="24"/>
          <w:lang w:val="el-GR" w:eastAsia="nl-NL"/>
        </w:rPr>
        <w:t xml:space="preserve"> </w:t>
      </w:r>
      <w:r>
        <w:rPr>
          <w:szCs w:val="24"/>
          <w:lang w:val="el-GR" w:eastAsia="nl-NL"/>
        </w:rPr>
        <w:t>μετά</w:t>
      </w:r>
      <w:r w:rsidRPr="007A13AE">
        <w:rPr>
          <w:szCs w:val="24"/>
          <w:lang w:val="el-GR" w:eastAsia="nl-NL"/>
        </w:rPr>
        <w:t xml:space="preserve"> </w:t>
      </w:r>
      <w:r>
        <w:rPr>
          <w:szCs w:val="24"/>
          <w:lang w:val="el-GR" w:eastAsia="nl-NL"/>
        </w:rPr>
        <w:t>την</w:t>
      </w:r>
      <w:r w:rsidRPr="007A13AE">
        <w:rPr>
          <w:szCs w:val="24"/>
          <w:lang w:val="el-GR" w:eastAsia="nl-NL"/>
        </w:rPr>
        <w:t xml:space="preserve"> </w:t>
      </w:r>
      <w:r>
        <w:rPr>
          <w:szCs w:val="24"/>
          <w:lang w:val="el-GR" w:eastAsia="nl-NL"/>
        </w:rPr>
        <w:t xml:space="preserve">ανασύσταση. </w:t>
      </w:r>
    </w:p>
    <w:p w:rsidR="007A13AE" w:rsidRPr="00494A0B" w:rsidRDefault="00494A0B" w:rsidP="007A13AE">
      <w:pPr>
        <w:pStyle w:val="aa"/>
        <w:tabs>
          <w:tab w:val="left" w:pos="1472"/>
        </w:tabs>
        <w:rPr>
          <w:szCs w:val="24"/>
          <w:lang w:val="el-GR" w:eastAsia="nl-NL"/>
        </w:rPr>
      </w:pPr>
      <w:r>
        <w:rPr>
          <w:szCs w:val="24"/>
          <w:lang w:val="el-GR" w:eastAsia="nl-NL"/>
        </w:rPr>
        <w:t>Η</w:t>
      </w:r>
      <w:r w:rsidRPr="00494A0B">
        <w:rPr>
          <w:szCs w:val="24"/>
          <w:lang w:val="el-GR" w:eastAsia="nl-NL"/>
        </w:rPr>
        <w:t xml:space="preserve"> </w:t>
      </w:r>
      <w:r>
        <w:rPr>
          <w:szCs w:val="24"/>
          <w:lang w:val="el-GR" w:eastAsia="nl-NL"/>
        </w:rPr>
        <w:t>φυσική</w:t>
      </w:r>
      <w:r w:rsidRPr="00494A0B">
        <w:rPr>
          <w:szCs w:val="24"/>
          <w:lang w:val="el-GR" w:eastAsia="nl-NL"/>
        </w:rPr>
        <w:t xml:space="preserve"> </w:t>
      </w:r>
      <w:r>
        <w:rPr>
          <w:szCs w:val="24"/>
          <w:lang w:val="el-GR" w:eastAsia="nl-NL"/>
        </w:rPr>
        <w:t>και</w:t>
      </w:r>
      <w:r w:rsidRPr="00494A0B">
        <w:rPr>
          <w:szCs w:val="24"/>
          <w:lang w:val="el-GR" w:eastAsia="nl-NL"/>
        </w:rPr>
        <w:t xml:space="preserve"> </w:t>
      </w:r>
      <w:r>
        <w:rPr>
          <w:szCs w:val="24"/>
          <w:lang w:val="el-GR" w:eastAsia="nl-NL"/>
        </w:rPr>
        <w:t>χημική</w:t>
      </w:r>
      <w:r w:rsidRPr="00494A0B">
        <w:rPr>
          <w:szCs w:val="24"/>
          <w:lang w:val="el-GR" w:eastAsia="nl-NL"/>
        </w:rPr>
        <w:t xml:space="preserve"> </w:t>
      </w:r>
      <w:r>
        <w:rPr>
          <w:szCs w:val="24"/>
          <w:lang w:val="el-GR" w:eastAsia="nl-NL"/>
        </w:rPr>
        <w:t>σταθερότητα</w:t>
      </w:r>
      <w:r w:rsidRPr="00494A0B">
        <w:rPr>
          <w:szCs w:val="24"/>
          <w:lang w:val="el-GR" w:eastAsia="nl-NL"/>
        </w:rPr>
        <w:t xml:space="preserve"> </w:t>
      </w:r>
      <w:r>
        <w:rPr>
          <w:szCs w:val="24"/>
          <w:lang w:val="el-GR" w:eastAsia="nl-NL"/>
        </w:rPr>
        <w:t>κατά</w:t>
      </w:r>
      <w:r w:rsidRPr="00494A0B">
        <w:rPr>
          <w:szCs w:val="24"/>
          <w:lang w:val="el-GR" w:eastAsia="nl-NL"/>
        </w:rPr>
        <w:t xml:space="preserve"> </w:t>
      </w:r>
      <w:r>
        <w:rPr>
          <w:szCs w:val="24"/>
          <w:lang w:val="el-GR" w:eastAsia="nl-NL"/>
        </w:rPr>
        <w:t>τη</w:t>
      </w:r>
      <w:r w:rsidRPr="00494A0B">
        <w:rPr>
          <w:szCs w:val="24"/>
          <w:lang w:val="el-GR" w:eastAsia="nl-NL"/>
        </w:rPr>
        <w:t xml:space="preserve"> </w:t>
      </w:r>
      <w:r>
        <w:rPr>
          <w:szCs w:val="24"/>
          <w:lang w:val="el-GR" w:eastAsia="nl-NL"/>
        </w:rPr>
        <w:t>χρήση</w:t>
      </w:r>
      <w:r w:rsidRPr="00494A0B">
        <w:rPr>
          <w:szCs w:val="24"/>
          <w:lang w:val="el-GR" w:eastAsia="nl-NL"/>
        </w:rPr>
        <w:t xml:space="preserve"> </w:t>
      </w:r>
      <w:r>
        <w:rPr>
          <w:szCs w:val="24"/>
          <w:lang w:val="el-GR" w:eastAsia="nl-NL"/>
        </w:rPr>
        <w:t>έχει</w:t>
      </w:r>
      <w:r w:rsidRPr="00494A0B">
        <w:rPr>
          <w:szCs w:val="24"/>
          <w:lang w:val="el-GR" w:eastAsia="nl-NL"/>
        </w:rPr>
        <w:t xml:space="preserve"> </w:t>
      </w:r>
      <w:r>
        <w:rPr>
          <w:szCs w:val="24"/>
          <w:lang w:val="el-GR" w:eastAsia="nl-NL"/>
        </w:rPr>
        <w:t>επιδειχθεί</w:t>
      </w:r>
      <w:r w:rsidRPr="00494A0B">
        <w:rPr>
          <w:szCs w:val="24"/>
          <w:lang w:val="el-GR" w:eastAsia="nl-NL"/>
        </w:rPr>
        <w:t xml:space="preserve"> </w:t>
      </w:r>
      <w:r>
        <w:rPr>
          <w:szCs w:val="24"/>
          <w:lang w:val="el-GR" w:eastAsia="nl-NL"/>
        </w:rPr>
        <w:t>για</w:t>
      </w:r>
      <w:r w:rsidRPr="00494A0B">
        <w:rPr>
          <w:szCs w:val="24"/>
          <w:lang w:val="el-GR" w:eastAsia="nl-NL"/>
        </w:rPr>
        <w:t xml:space="preserve"> 2 </w:t>
      </w:r>
      <w:r>
        <w:rPr>
          <w:szCs w:val="24"/>
          <w:lang w:val="el-GR" w:eastAsia="nl-NL"/>
        </w:rPr>
        <w:t>ώρες</w:t>
      </w:r>
      <w:r w:rsidRPr="00494A0B">
        <w:rPr>
          <w:szCs w:val="24"/>
          <w:lang w:val="el-GR" w:eastAsia="nl-NL"/>
        </w:rPr>
        <w:t xml:space="preserve"> </w:t>
      </w:r>
      <w:r>
        <w:rPr>
          <w:szCs w:val="24"/>
          <w:lang w:val="el-GR" w:eastAsia="nl-NL"/>
        </w:rPr>
        <w:t xml:space="preserve">στους </w:t>
      </w:r>
      <w:r w:rsidR="007A13AE" w:rsidRPr="00494A0B">
        <w:rPr>
          <w:szCs w:val="24"/>
          <w:lang w:val="el-GR" w:eastAsia="nl-NL"/>
        </w:rPr>
        <w:t>25 º</w:t>
      </w:r>
      <w:r w:rsidR="007A13AE" w:rsidRPr="001B157C">
        <w:rPr>
          <w:szCs w:val="24"/>
          <w:lang w:eastAsia="nl-NL"/>
        </w:rPr>
        <w:t>C</w:t>
      </w:r>
      <w:r w:rsidR="007A13AE" w:rsidRPr="00494A0B">
        <w:rPr>
          <w:szCs w:val="24"/>
          <w:lang w:val="el-GR" w:eastAsia="nl-NL"/>
        </w:rPr>
        <w:t>.</w:t>
      </w:r>
    </w:p>
    <w:p w:rsidR="007A13AE" w:rsidRPr="00494A0B" w:rsidRDefault="00494A0B" w:rsidP="007A13AE">
      <w:pPr>
        <w:pStyle w:val="aa"/>
        <w:tabs>
          <w:tab w:val="left" w:pos="1472"/>
        </w:tabs>
        <w:rPr>
          <w:i/>
          <w:szCs w:val="24"/>
          <w:u w:val="single"/>
          <w:lang w:val="el-GR" w:eastAsia="pt-PT"/>
        </w:rPr>
      </w:pPr>
      <w:r>
        <w:rPr>
          <w:szCs w:val="24"/>
          <w:lang w:val="el-GR" w:eastAsia="nl-NL"/>
        </w:rPr>
        <w:t>Από</w:t>
      </w:r>
      <w:r w:rsidRPr="00494A0B">
        <w:rPr>
          <w:szCs w:val="24"/>
          <w:lang w:val="el-GR" w:eastAsia="nl-NL"/>
        </w:rPr>
        <w:t xml:space="preserve"> </w:t>
      </w:r>
      <w:r>
        <w:rPr>
          <w:szCs w:val="24"/>
          <w:lang w:val="el-GR" w:eastAsia="nl-NL"/>
        </w:rPr>
        <w:t>μικροβιολογικής</w:t>
      </w:r>
      <w:r w:rsidRPr="00494A0B">
        <w:rPr>
          <w:szCs w:val="24"/>
          <w:lang w:val="el-GR" w:eastAsia="nl-NL"/>
        </w:rPr>
        <w:t xml:space="preserve"> </w:t>
      </w:r>
      <w:r>
        <w:rPr>
          <w:szCs w:val="24"/>
          <w:lang w:val="el-GR" w:eastAsia="nl-NL"/>
        </w:rPr>
        <w:t>άποψης</w:t>
      </w:r>
      <w:r w:rsidR="007A13AE" w:rsidRPr="00494A0B">
        <w:rPr>
          <w:szCs w:val="24"/>
          <w:lang w:val="el-GR" w:eastAsia="nl-NL"/>
        </w:rPr>
        <w:t xml:space="preserve">, </w:t>
      </w:r>
      <w:r>
        <w:rPr>
          <w:szCs w:val="24"/>
          <w:lang w:val="el-GR" w:eastAsia="nl-NL"/>
        </w:rPr>
        <w:t>το</w:t>
      </w:r>
      <w:r w:rsidRPr="00494A0B">
        <w:rPr>
          <w:szCs w:val="24"/>
          <w:lang w:val="el-GR" w:eastAsia="nl-NL"/>
        </w:rPr>
        <w:t xml:space="preserve"> </w:t>
      </w:r>
      <w:r>
        <w:rPr>
          <w:szCs w:val="24"/>
          <w:lang w:val="el-GR" w:eastAsia="nl-NL"/>
        </w:rPr>
        <w:t>προϊόν</w:t>
      </w:r>
      <w:r w:rsidRPr="00494A0B">
        <w:rPr>
          <w:szCs w:val="24"/>
          <w:lang w:val="el-GR" w:eastAsia="nl-NL"/>
        </w:rPr>
        <w:t xml:space="preserve"> </w:t>
      </w:r>
      <w:r>
        <w:rPr>
          <w:szCs w:val="24"/>
          <w:lang w:val="el-GR" w:eastAsia="nl-NL"/>
        </w:rPr>
        <w:t>πρέπει να χρησιμοποιηθεί αμέσως. Αν</w:t>
      </w:r>
      <w:r w:rsidRPr="00494A0B">
        <w:rPr>
          <w:szCs w:val="24"/>
          <w:lang w:val="el-GR" w:eastAsia="nl-NL"/>
        </w:rPr>
        <w:t xml:space="preserve"> </w:t>
      </w:r>
      <w:r>
        <w:rPr>
          <w:szCs w:val="24"/>
          <w:lang w:val="el-GR" w:eastAsia="nl-NL"/>
        </w:rPr>
        <w:t>δε</w:t>
      </w:r>
      <w:r w:rsidRPr="00494A0B">
        <w:rPr>
          <w:szCs w:val="24"/>
          <w:lang w:val="el-GR" w:eastAsia="nl-NL"/>
        </w:rPr>
        <w:t xml:space="preserve"> </w:t>
      </w:r>
      <w:r>
        <w:rPr>
          <w:szCs w:val="24"/>
          <w:lang w:val="el-GR" w:eastAsia="nl-NL"/>
        </w:rPr>
        <w:t>χρησιμοποιηθεί</w:t>
      </w:r>
      <w:r w:rsidRPr="00494A0B">
        <w:rPr>
          <w:szCs w:val="24"/>
          <w:lang w:val="el-GR" w:eastAsia="nl-NL"/>
        </w:rPr>
        <w:t xml:space="preserve"> </w:t>
      </w:r>
      <w:r>
        <w:rPr>
          <w:szCs w:val="24"/>
          <w:lang w:val="el-GR" w:eastAsia="nl-NL"/>
        </w:rPr>
        <w:t>αμέσως</w:t>
      </w:r>
      <w:r w:rsidRPr="00494A0B">
        <w:rPr>
          <w:szCs w:val="24"/>
          <w:lang w:val="el-GR" w:eastAsia="nl-NL"/>
        </w:rPr>
        <w:t xml:space="preserve">, </w:t>
      </w:r>
      <w:r>
        <w:rPr>
          <w:szCs w:val="24"/>
          <w:lang w:val="el-GR" w:eastAsia="nl-NL"/>
        </w:rPr>
        <w:t>ο</w:t>
      </w:r>
      <w:r w:rsidRPr="00494A0B">
        <w:rPr>
          <w:szCs w:val="24"/>
          <w:lang w:val="el-GR" w:eastAsia="nl-NL"/>
        </w:rPr>
        <w:t xml:space="preserve"> </w:t>
      </w:r>
      <w:r>
        <w:rPr>
          <w:szCs w:val="24"/>
          <w:lang w:val="el-GR" w:eastAsia="nl-NL"/>
        </w:rPr>
        <w:t>χρόνος</w:t>
      </w:r>
      <w:r w:rsidRPr="00494A0B">
        <w:rPr>
          <w:szCs w:val="24"/>
          <w:lang w:val="el-GR" w:eastAsia="nl-NL"/>
        </w:rPr>
        <w:t xml:space="preserve"> </w:t>
      </w:r>
      <w:r>
        <w:rPr>
          <w:szCs w:val="24"/>
          <w:lang w:val="el-GR" w:eastAsia="nl-NL"/>
        </w:rPr>
        <w:t>φύλαξης</w:t>
      </w:r>
      <w:r w:rsidRPr="00494A0B">
        <w:rPr>
          <w:szCs w:val="24"/>
          <w:lang w:val="el-GR" w:eastAsia="nl-NL"/>
        </w:rPr>
        <w:t xml:space="preserve"> </w:t>
      </w:r>
      <w:r>
        <w:rPr>
          <w:szCs w:val="24"/>
          <w:lang w:val="el-GR" w:eastAsia="nl-NL"/>
        </w:rPr>
        <w:t>κατά</w:t>
      </w:r>
      <w:r w:rsidRPr="00494A0B">
        <w:rPr>
          <w:szCs w:val="24"/>
          <w:lang w:val="el-GR" w:eastAsia="nl-NL"/>
        </w:rPr>
        <w:t xml:space="preserve"> </w:t>
      </w:r>
      <w:r>
        <w:rPr>
          <w:szCs w:val="24"/>
          <w:lang w:val="el-GR" w:eastAsia="nl-NL"/>
        </w:rPr>
        <w:t>τη</w:t>
      </w:r>
      <w:r w:rsidRPr="00494A0B">
        <w:rPr>
          <w:szCs w:val="24"/>
          <w:lang w:val="el-GR" w:eastAsia="nl-NL"/>
        </w:rPr>
        <w:t xml:space="preserve"> </w:t>
      </w:r>
      <w:r>
        <w:rPr>
          <w:szCs w:val="24"/>
          <w:lang w:val="el-GR" w:eastAsia="nl-NL"/>
        </w:rPr>
        <w:t>χρήση</w:t>
      </w:r>
      <w:r w:rsidRPr="00494A0B">
        <w:rPr>
          <w:szCs w:val="24"/>
          <w:lang w:val="el-GR" w:eastAsia="nl-NL"/>
        </w:rPr>
        <w:t xml:space="preserve"> </w:t>
      </w:r>
      <w:r>
        <w:rPr>
          <w:szCs w:val="24"/>
          <w:lang w:val="el-GR" w:eastAsia="nl-NL"/>
        </w:rPr>
        <w:t>και</w:t>
      </w:r>
      <w:r w:rsidRPr="00494A0B">
        <w:rPr>
          <w:szCs w:val="24"/>
          <w:lang w:val="el-GR" w:eastAsia="nl-NL"/>
        </w:rPr>
        <w:t xml:space="preserve"> </w:t>
      </w:r>
      <w:r>
        <w:rPr>
          <w:szCs w:val="24"/>
          <w:lang w:val="el-GR" w:eastAsia="nl-NL"/>
        </w:rPr>
        <w:t>οι</w:t>
      </w:r>
      <w:r w:rsidRPr="00494A0B">
        <w:rPr>
          <w:szCs w:val="24"/>
          <w:lang w:val="el-GR" w:eastAsia="nl-NL"/>
        </w:rPr>
        <w:t xml:space="preserve"> </w:t>
      </w:r>
      <w:r>
        <w:rPr>
          <w:szCs w:val="24"/>
          <w:lang w:val="el-GR" w:eastAsia="nl-NL"/>
        </w:rPr>
        <w:t>συνθήκες</w:t>
      </w:r>
      <w:r w:rsidRPr="00494A0B">
        <w:rPr>
          <w:szCs w:val="24"/>
          <w:lang w:val="el-GR" w:eastAsia="nl-NL"/>
        </w:rPr>
        <w:t xml:space="preserve"> </w:t>
      </w:r>
      <w:r>
        <w:rPr>
          <w:szCs w:val="24"/>
          <w:lang w:val="el-GR" w:eastAsia="nl-NL"/>
        </w:rPr>
        <w:t>πριν</w:t>
      </w:r>
      <w:r w:rsidRPr="00494A0B">
        <w:rPr>
          <w:szCs w:val="24"/>
          <w:lang w:val="el-GR" w:eastAsia="nl-NL"/>
        </w:rPr>
        <w:t xml:space="preserve"> </w:t>
      </w:r>
      <w:r>
        <w:rPr>
          <w:szCs w:val="24"/>
          <w:lang w:val="el-GR" w:eastAsia="nl-NL"/>
        </w:rPr>
        <w:t>από</w:t>
      </w:r>
      <w:r w:rsidRPr="00494A0B">
        <w:rPr>
          <w:szCs w:val="24"/>
          <w:lang w:val="el-GR" w:eastAsia="nl-NL"/>
        </w:rPr>
        <w:t xml:space="preserve"> </w:t>
      </w:r>
      <w:r>
        <w:rPr>
          <w:szCs w:val="24"/>
          <w:lang w:val="el-GR" w:eastAsia="nl-NL"/>
        </w:rPr>
        <w:t>τη</w:t>
      </w:r>
      <w:r w:rsidRPr="00494A0B">
        <w:rPr>
          <w:szCs w:val="24"/>
          <w:lang w:val="el-GR" w:eastAsia="nl-NL"/>
        </w:rPr>
        <w:t xml:space="preserve"> </w:t>
      </w:r>
      <w:r>
        <w:rPr>
          <w:szCs w:val="24"/>
          <w:lang w:val="el-GR" w:eastAsia="nl-NL"/>
        </w:rPr>
        <w:t>χρήση</w:t>
      </w:r>
      <w:r w:rsidRPr="00494A0B">
        <w:rPr>
          <w:szCs w:val="24"/>
          <w:lang w:val="el-GR" w:eastAsia="nl-NL"/>
        </w:rPr>
        <w:t xml:space="preserve"> </w:t>
      </w:r>
      <w:r>
        <w:rPr>
          <w:szCs w:val="24"/>
          <w:lang w:val="el-GR" w:eastAsia="nl-NL"/>
        </w:rPr>
        <w:t>αποτελούν</w:t>
      </w:r>
      <w:r w:rsidRPr="00494A0B">
        <w:rPr>
          <w:szCs w:val="24"/>
          <w:lang w:val="el-GR" w:eastAsia="nl-NL"/>
        </w:rPr>
        <w:t xml:space="preserve"> </w:t>
      </w:r>
      <w:r>
        <w:rPr>
          <w:szCs w:val="24"/>
          <w:lang w:val="el-GR" w:eastAsia="nl-NL"/>
        </w:rPr>
        <w:t>ευθύνη</w:t>
      </w:r>
      <w:r w:rsidRPr="00494A0B">
        <w:rPr>
          <w:szCs w:val="24"/>
          <w:lang w:val="el-GR" w:eastAsia="nl-NL"/>
        </w:rPr>
        <w:t xml:space="preserve"> </w:t>
      </w:r>
      <w:r>
        <w:rPr>
          <w:szCs w:val="24"/>
          <w:lang w:val="el-GR" w:eastAsia="nl-NL"/>
        </w:rPr>
        <w:t>του</w:t>
      </w:r>
      <w:r w:rsidRPr="00494A0B">
        <w:rPr>
          <w:szCs w:val="24"/>
          <w:lang w:val="el-GR" w:eastAsia="nl-NL"/>
        </w:rPr>
        <w:t xml:space="preserve"> </w:t>
      </w:r>
      <w:r>
        <w:rPr>
          <w:szCs w:val="24"/>
          <w:lang w:val="el-GR" w:eastAsia="nl-NL"/>
        </w:rPr>
        <w:t>χρήστη</w:t>
      </w:r>
      <w:r w:rsidRPr="00494A0B">
        <w:rPr>
          <w:szCs w:val="24"/>
          <w:lang w:val="el-GR" w:eastAsia="nl-NL"/>
        </w:rPr>
        <w:t xml:space="preserve"> </w:t>
      </w:r>
      <w:r>
        <w:rPr>
          <w:szCs w:val="24"/>
          <w:lang w:val="el-GR" w:eastAsia="nl-NL"/>
        </w:rPr>
        <w:t>και</w:t>
      </w:r>
      <w:r w:rsidRPr="00494A0B">
        <w:rPr>
          <w:szCs w:val="24"/>
          <w:lang w:val="el-GR" w:eastAsia="nl-NL"/>
        </w:rPr>
        <w:t xml:space="preserve"> </w:t>
      </w:r>
      <w:r>
        <w:rPr>
          <w:szCs w:val="24"/>
          <w:lang w:val="el-GR" w:eastAsia="nl-NL"/>
        </w:rPr>
        <w:t>κανονικά</w:t>
      </w:r>
      <w:r w:rsidRPr="00494A0B">
        <w:rPr>
          <w:szCs w:val="24"/>
          <w:lang w:val="el-GR" w:eastAsia="nl-NL"/>
        </w:rPr>
        <w:t xml:space="preserve"> </w:t>
      </w:r>
      <w:r>
        <w:rPr>
          <w:szCs w:val="24"/>
          <w:lang w:val="el-GR" w:eastAsia="nl-NL"/>
        </w:rPr>
        <w:t>δεν</w:t>
      </w:r>
      <w:r w:rsidRPr="00494A0B">
        <w:rPr>
          <w:szCs w:val="24"/>
          <w:lang w:val="el-GR" w:eastAsia="nl-NL"/>
        </w:rPr>
        <w:t xml:space="preserve"> </w:t>
      </w:r>
      <w:r>
        <w:rPr>
          <w:szCs w:val="24"/>
          <w:lang w:val="el-GR" w:eastAsia="nl-NL"/>
        </w:rPr>
        <w:t xml:space="preserve">πρέπει να υπερβαίνουν τις </w:t>
      </w:r>
      <w:r w:rsidR="007A13AE" w:rsidRPr="00494A0B">
        <w:rPr>
          <w:szCs w:val="24"/>
          <w:lang w:val="el-GR" w:eastAsia="nl-NL"/>
        </w:rPr>
        <w:t xml:space="preserve">24 </w:t>
      </w:r>
      <w:r>
        <w:rPr>
          <w:szCs w:val="24"/>
          <w:lang w:val="el-GR" w:eastAsia="nl-NL"/>
        </w:rPr>
        <w:t xml:space="preserve">ώρες στους </w:t>
      </w:r>
      <w:r w:rsidR="007A13AE" w:rsidRPr="00494A0B">
        <w:rPr>
          <w:szCs w:val="24"/>
          <w:lang w:val="el-GR" w:eastAsia="nl-NL"/>
        </w:rPr>
        <w:t xml:space="preserve">2 </w:t>
      </w:r>
      <w:r>
        <w:rPr>
          <w:szCs w:val="24"/>
          <w:lang w:val="el-GR" w:eastAsia="nl-NL"/>
        </w:rPr>
        <w:t>έως</w:t>
      </w:r>
      <w:r w:rsidR="007A13AE" w:rsidRPr="00494A0B">
        <w:rPr>
          <w:szCs w:val="24"/>
          <w:lang w:val="el-GR" w:eastAsia="nl-NL"/>
        </w:rPr>
        <w:t xml:space="preserve"> 8 º</w:t>
      </w:r>
      <w:r w:rsidR="007A13AE" w:rsidRPr="001B157C">
        <w:rPr>
          <w:szCs w:val="24"/>
          <w:lang w:eastAsia="nl-NL"/>
        </w:rPr>
        <w:t>C</w:t>
      </w:r>
      <w:r>
        <w:rPr>
          <w:szCs w:val="24"/>
          <w:lang w:val="el-GR" w:eastAsia="nl-NL"/>
        </w:rPr>
        <w:t>, εκτός εάν η ανασύσταση έχει πραγματοποιηθεί υπό ελεγχόμενες και άσηπτες συνθήκες.</w:t>
      </w:r>
    </w:p>
    <w:p w:rsidR="008548E9" w:rsidRPr="00494A0B" w:rsidRDefault="008548E9" w:rsidP="0031570A">
      <w:pPr>
        <w:tabs>
          <w:tab w:val="left" w:pos="567"/>
        </w:tabs>
        <w:rPr>
          <w:noProof/>
          <w:szCs w:val="22"/>
        </w:rPr>
      </w:pPr>
    </w:p>
    <w:p w:rsidR="00B9512A" w:rsidRPr="00494A0B"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6.4</w:t>
      </w:r>
      <w:r w:rsidRPr="006756E8">
        <w:rPr>
          <w:b/>
          <w:noProof/>
          <w:szCs w:val="22"/>
        </w:rPr>
        <w:tab/>
        <w:t>Ιδιαίτερες προφυλάξεις κατά την φύλαξη του προϊόντος</w:t>
      </w:r>
    </w:p>
    <w:p w:rsidR="00B9512A" w:rsidRPr="00BA41FF" w:rsidRDefault="00B9512A" w:rsidP="0031570A">
      <w:pPr>
        <w:tabs>
          <w:tab w:val="left" w:pos="567"/>
        </w:tabs>
        <w:rPr>
          <w:noProof/>
          <w:szCs w:val="22"/>
        </w:rPr>
      </w:pPr>
    </w:p>
    <w:p w:rsidR="003A2035" w:rsidRPr="006756E8" w:rsidRDefault="003A2035" w:rsidP="0031570A">
      <w:pPr>
        <w:tabs>
          <w:tab w:val="left" w:pos="567"/>
        </w:tabs>
        <w:autoSpaceDE w:val="0"/>
        <w:autoSpaceDN w:val="0"/>
        <w:adjustRightInd w:val="0"/>
        <w:rPr>
          <w:noProof/>
          <w:szCs w:val="22"/>
        </w:rPr>
      </w:pPr>
      <w:r w:rsidRPr="006756E8">
        <w:rPr>
          <w:noProof/>
          <w:szCs w:val="22"/>
        </w:rPr>
        <w:t>Να μην φυ</w:t>
      </w:r>
      <w:r w:rsidR="00657A2C" w:rsidRPr="006756E8">
        <w:rPr>
          <w:noProof/>
          <w:szCs w:val="22"/>
        </w:rPr>
        <w:t>λ</w:t>
      </w:r>
      <w:r w:rsidRPr="006756E8">
        <w:rPr>
          <w:noProof/>
          <w:szCs w:val="22"/>
        </w:rPr>
        <w:t>άσσετε σε θερμοκρασία άνω των 25°</w:t>
      </w:r>
      <w:r w:rsidRPr="006756E8">
        <w:rPr>
          <w:noProof/>
          <w:szCs w:val="22"/>
          <w:lang w:val="en-US"/>
        </w:rPr>
        <w:t>C</w:t>
      </w:r>
      <w:r w:rsidRPr="006756E8">
        <w:rPr>
          <w:noProof/>
          <w:szCs w:val="22"/>
        </w:rPr>
        <w:t>.</w:t>
      </w:r>
    </w:p>
    <w:p w:rsidR="00D533D6" w:rsidRPr="006756E8" w:rsidRDefault="00D533D6" w:rsidP="0031570A">
      <w:pPr>
        <w:tabs>
          <w:tab w:val="left" w:pos="567"/>
        </w:tabs>
        <w:autoSpaceDE w:val="0"/>
        <w:autoSpaceDN w:val="0"/>
        <w:adjustRightInd w:val="0"/>
        <w:rPr>
          <w:noProof/>
          <w:szCs w:val="22"/>
        </w:rPr>
      </w:pPr>
      <w:r w:rsidRPr="006756E8">
        <w:rPr>
          <w:noProof/>
          <w:szCs w:val="22"/>
        </w:rPr>
        <w:t xml:space="preserve">Να φυλάσσετε τα φιαλίδια </w:t>
      </w:r>
      <w:r w:rsidR="008E2856" w:rsidRPr="006756E8">
        <w:rPr>
          <w:noProof/>
          <w:szCs w:val="22"/>
        </w:rPr>
        <w:t>εντό</w:t>
      </w:r>
      <w:r w:rsidRPr="006756E8">
        <w:rPr>
          <w:noProof/>
          <w:szCs w:val="22"/>
        </w:rPr>
        <w:t xml:space="preserve">ς της εξωτερικής συσκευασίας για να προστατεύονται από το </w:t>
      </w:r>
      <w:r w:rsidR="008E2856" w:rsidRPr="006756E8">
        <w:rPr>
          <w:noProof/>
          <w:szCs w:val="22"/>
        </w:rPr>
        <w:t>φ</w:t>
      </w:r>
      <w:r w:rsidRPr="006756E8">
        <w:rPr>
          <w:noProof/>
          <w:szCs w:val="22"/>
        </w:rPr>
        <w:t xml:space="preserve">ως. </w:t>
      </w:r>
    </w:p>
    <w:p w:rsidR="00DD3185" w:rsidRPr="006756E8" w:rsidRDefault="00DD3185" w:rsidP="0031570A">
      <w:pPr>
        <w:tabs>
          <w:tab w:val="left" w:pos="567"/>
        </w:tabs>
        <w:autoSpaceDE w:val="0"/>
        <w:autoSpaceDN w:val="0"/>
        <w:adjustRightInd w:val="0"/>
        <w:rPr>
          <w:noProof/>
          <w:szCs w:val="22"/>
        </w:rPr>
      </w:pPr>
    </w:p>
    <w:p w:rsidR="00DD3185" w:rsidRPr="006756E8" w:rsidRDefault="00494A0B" w:rsidP="0031570A">
      <w:pPr>
        <w:tabs>
          <w:tab w:val="left" w:pos="567"/>
        </w:tabs>
        <w:autoSpaceDE w:val="0"/>
        <w:autoSpaceDN w:val="0"/>
        <w:adjustRightInd w:val="0"/>
        <w:rPr>
          <w:noProof/>
          <w:szCs w:val="22"/>
        </w:rPr>
      </w:pPr>
      <w:r>
        <w:rPr>
          <w:noProof/>
          <w:szCs w:val="22"/>
        </w:rPr>
        <w:t xml:space="preserve"> Για τις συνθήκες φύλαξης </w:t>
      </w:r>
      <w:r w:rsidR="00DD3185" w:rsidRPr="006756E8">
        <w:rPr>
          <w:noProof/>
          <w:szCs w:val="22"/>
        </w:rPr>
        <w:t>μετά την ανασύσταση.</w:t>
      </w:r>
      <w:r>
        <w:rPr>
          <w:noProof/>
          <w:szCs w:val="22"/>
        </w:rPr>
        <w:t>/αραίωση του φαρμακευτικού προϊόντος, βλ. παράγραφο 6.</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6.5</w:t>
      </w:r>
      <w:r w:rsidRPr="006756E8">
        <w:rPr>
          <w:b/>
          <w:noProof/>
          <w:szCs w:val="22"/>
        </w:rPr>
        <w:tab/>
        <w:t>Φύση και συστατικά του περιέκτη</w:t>
      </w:r>
    </w:p>
    <w:p w:rsidR="00B9512A" w:rsidRPr="006756E8" w:rsidRDefault="00B9512A" w:rsidP="0031570A">
      <w:pPr>
        <w:tabs>
          <w:tab w:val="left" w:pos="567"/>
        </w:tabs>
        <w:rPr>
          <w:noProof/>
          <w:szCs w:val="22"/>
        </w:rPr>
      </w:pPr>
    </w:p>
    <w:p w:rsidR="00B71552" w:rsidRPr="006756E8" w:rsidRDefault="00B71552" w:rsidP="0031570A">
      <w:pPr>
        <w:tabs>
          <w:tab w:val="left" w:pos="567"/>
        </w:tabs>
        <w:autoSpaceDE w:val="0"/>
        <w:autoSpaceDN w:val="0"/>
        <w:adjustRightInd w:val="0"/>
        <w:rPr>
          <w:szCs w:val="22"/>
          <w:shd w:val="clear" w:color="auto" w:fill="E0E0E0"/>
        </w:rPr>
      </w:pPr>
      <w:r w:rsidRPr="006756E8">
        <w:rPr>
          <w:szCs w:val="22"/>
          <w:lang w:val="en-GB"/>
        </w:rPr>
        <w:t>Cefepime</w:t>
      </w:r>
      <w:r w:rsidRPr="006756E8">
        <w:rPr>
          <w:szCs w:val="22"/>
        </w:rPr>
        <w:t xml:space="preserve"> </w:t>
      </w:r>
      <w:r w:rsidRPr="006756E8">
        <w:rPr>
          <w:szCs w:val="22"/>
          <w:lang w:val="en-GB"/>
        </w:rPr>
        <w:t>Kabi</w:t>
      </w:r>
      <w:r w:rsidRPr="006756E8">
        <w:rPr>
          <w:szCs w:val="22"/>
        </w:rPr>
        <w:t xml:space="preserve"> 1 </w:t>
      </w:r>
      <w:r w:rsidRPr="006756E8">
        <w:rPr>
          <w:szCs w:val="22"/>
          <w:lang w:val="en-GB"/>
        </w:rPr>
        <w:t>g</w:t>
      </w:r>
      <w:r w:rsidRPr="006756E8">
        <w:rPr>
          <w:szCs w:val="22"/>
        </w:rPr>
        <w:t xml:space="preserve">: </w:t>
      </w:r>
      <w:r w:rsidR="00657A2C" w:rsidRPr="006756E8">
        <w:rPr>
          <w:szCs w:val="22"/>
        </w:rPr>
        <w:t>Γυάλινο φ</w:t>
      </w:r>
      <w:r w:rsidR="00136888" w:rsidRPr="006756E8">
        <w:rPr>
          <w:szCs w:val="22"/>
        </w:rPr>
        <w:t>ι</w:t>
      </w:r>
      <w:r w:rsidR="00657A2C" w:rsidRPr="006756E8">
        <w:rPr>
          <w:szCs w:val="22"/>
        </w:rPr>
        <w:t xml:space="preserve">αλίδιο τύπου ΙΙΙ </w:t>
      </w:r>
      <w:r w:rsidR="00417C1C" w:rsidRPr="006756E8">
        <w:rPr>
          <w:szCs w:val="22"/>
        </w:rPr>
        <w:t xml:space="preserve">ή τύπου ΙΙ </w:t>
      </w:r>
      <w:r w:rsidR="00657A2C" w:rsidRPr="006756E8">
        <w:rPr>
          <w:szCs w:val="22"/>
        </w:rPr>
        <w:t>των 15</w:t>
      </w:r>
      <w:r w:rsidR="005A1B5F">
        <w:rPr>
          <w:szCs w:val="22"/>
        </w:rPr>
        <w:t> </w:t>
      </w:r>
      <w:r w:rsidR="00657A2C" w:rsidRPr="006756E8">
        <w:rPr>
          <w:szCs w:val="22"/>
          <w:lang w:val="en-US"/>
        </w:rPr>
        <w:t>ml</w:t>
      </w:r>
      <w:r w:rsidR="00657A2C" w:rsidRPr="006756E8">
        <w:rPr>
          <w:szCs w:val="22"/>
        </w:rPr>
        <w:t xml:space="preserve"> </w:t>
      </w:r>
      <w:r w:rsidR="00417C1C" w:rsidRPr="006756E8">
        <w:rPr>
          <w:szCs w:val="22"/>
        </w:rPr>
        <w:t>ή των 20</w:t>
      </w:r>
      <w:r w:rsidR="005A1B5F">
        <w:rPr>
          <w:szCs w:val="22"/>
        </w:rPr>
        <w:t> </w:t>
      </w:r>
      <w:r w:rsidR="00417C1C" w:rsidRPr="006756E8">
        <w:rPr>
          <w:szCs w:val="22"/>
          <w:lang w:val="en-US"/>
        </w:rPr>
        <w:t>ml</w:t>
      </w:r>
      <w:r w:rsidR="00417C1C" w:rsidRPr="006756E8">
        <w:rPr>
          <w:szCs w:val="22"/>
        </w:rPr>
        <w:t xml:space="preserve"> </w:t>
      </w:r>
      <w:r w:rsidR="00657A2C" w:rsidRPr="006756E8">
        <w:rPr>
          <w:szCs w:val="22"/>
        </w:rPr>
        <w:t>σφραγισμένο με πλαστικό πώμα χλωροβουτυλίου το οποίο περιέχει</w:t>
      </w:r>
      <w:r w:rsidRPr="006756E8">
        <w:rPr>
          <w:szCs w:val="22"/>
        </w:rPr>
        <w:t xml:space="preserve"> 1 </w:t>
      </w:r>
      <w:r w:rsidRPr="006756E8">
        <w:rPr>
          <w:szCs w:val="22"/>
          <w:lang w:val="en-GB"/>
        </w:rPr>
        <w:t>g</w:t>
      </w:r>
      <w:r w:rsidRPr="006756E8">
        <w:rPr>
          <w:szCs w:val="22"/>
        </w:rPr>
        <w:t xml:space="preserve"> </w:t>
      </w:r>
      <w:r w:rsidR="00657A2C" w:rsidRPr="006756E8">
        <w:rPr>
          <w:szCs w:val="22"/>
        </w:rPr>
        <w:t>κεφεπίμης.</w:t>
      </w:r>
    </w:p>
    <w:p w:rsidR="00B71552" w:rsidRPr="006756E8" w:rsidRDefault="00B71552" w:rsidP="0031570A">
      <w:pPr>
        <w:tabs>
          <w:tab w:val="left" w:pos="567"/>
        </w:tabs>
        <w:autoSpaceDE w:val="0"/>
        <w:autoSpaceDN w:val="0"/>
        <w:adjustRightInd w:val="0"/>
        <w:rPr>
          <w:szCs w:val="22"/>
        </w:rPr>
      </w:pPr>
      <w:r w:rsidRPr="006756E8">
        <w:rPr>
          <w:szCs w:val="22"/>
          <w:lang w:val="en-GB"/>
        </w:rPr>
        <w:t>Cefepime</w:t>
      </w:r>
      <w:r w:rsidRPr="006756E8">
        <w:rPr>
          <w:szCs w:val="22"/>
        </w:rPr>
        <w:t xml:space="preserve"> </w:t>
      </w:r>
      <w:r w:rsidRPr="006756E8">
        <w:rPr>
          <w:szCs w:val="22"/>
          <w:lang w:val="en-GB"/>
        </w:rPr>
        <w:t>Kabi</w:t>
      </w:r>
      <w:r w:rsidRPr="006756E8">
        <w:rPr>
          <w:szCs w:val="22"/>
        </w:rPr>
        <w:t xml:space="preserve"> 2 </w:t>
      </w:r>
      <w:r w:rsidRPr="006756E8">
        <w:rPr>
          <w:szCs w:val="22"/>
          <w:lang w:val="en-GB"/>
        </w:rPr>
        <w:t>g</w:t>
      </w:r>
      <w:r w:rsidRPr="006756E8">
        <w:rPr>
          <w:szCs w:val="22"/>
        </w:rPr>
        <w:t xml:space="preserve">: </w:t>
      </w:r>
      <w:r w:rsidR="00136888" w:rsidRPr="006756E8">
        <w:rPr>
          <w:szCs w:val="22"/>
        </w:rPr>
        <w:t>Γυάλινο φι</w:t>
      </w:r>
      <w:r w:rsidR="00657A2C" w:rsidRPr="006756E8">
        <w:rPr>
          <w:szCs w:val="22"/>
        </w:rPr>
        <w:t>αλίδιο τύπου ΙΙΙ</w:t>
      </w:r>
      <w:r w:rsidR="00417C1C" w:rsidRPr="006756E8">
        <w:rPr>
          <w:szCs w:val="22"/>
        </w:rPr>
        <w:t xml:space="preserve"> ή τύπου ΙΙ</w:t>
      </w:r>
      <w:r w:rsidR="00657A2C" w:rsidRPr="006756E8">
        <w:rPr>
          <w:szCs w:val="22"/>
        </w:rPr>
        <w:t xml:space="preserve"> των 15</w:t>
      </w:r>
      <w:r w:rsidR="005A1B5F">
        <w:rPr>
          <w:szCs w:val="22"/>
        </w:rPr>
        <w:t> </w:t>
      </w:r>
      <w:r w:rsidR="00657A2C" w:rsidRPr="006756E8">
        <w:rPr>
          <w:szCs w:val="22"/>
          <w:lang w:val="en-US"/>
        </w:rPr>
        <w:t>ml</w:t>
      </w:r>
      <w:r w:rsidR="00417C1C" w:rsidRPr="006756E8">
        <w:rPr>
          <w:szCs w:val="22"/>
        </w:rPr>
        <w:t xml:space="preserve"> ή των 20</w:t>
      </w:r>
      <w:r w:rsidR="005A1B5F">
        <w:rPr>
          <w:szCs w:val="22"/>
        </w:rPr>
        <w:t> </w:t>
      </w:r>
      <w:r w:rsidR="00417C1C" w:rsidRPr="006756E8">
        <w:rPr>
          <w:szCs w:val="22"/>
          <w:lang w:val="en-US"/>
        </w:rPr>
        <w:t>ml</w:t>
      </w:r>
      <w:r w:rsidR="00657A2C" w:rsidRPr="006756E8">
        <w:rPr>
          <w:szCs w:val="22"/>
        </w:rPr>
        <w:t xml:space="preserve"> σφραγισμένο με πλαστικό πώμα χλωροβουτυλίου το οποίο περιέχει </w:t>
      </w:r>
      <w:r w:rsidRPr="006756E8">
        <w:rPr>
          <w:szCs w:val="22"/>
        </w:rPr>
        <w:t xml:space="preserve">2 </w:t>
      </w:r>
      <w:r w:rsidRPr="006756E8">
        <w:rPr>
          <w:szCs w:val="22"/>
          <w:lang w:val="en-GB"/>
        </w:rPr>
        <w:t>g</w:t>
      </w:r>
      <w:r w:rsidRPr="006756E8">
        <w:rPr>
          <w:szCs w:val="22"/>
        </w:rPr>
        <w:t xml:space="preserve"> κεφεπίμης</w:t>
      </w:r>
      <w:r w:rsidR="00EE3E02" w:rsidRPr="00EE3E02">
        <w:rPr>
          <w:szCs w:val="22"/>
        </w:rPr>
        <w:t>.</w:t>
      </w:r>
    </w:p>
    <w:p w:rsidR="0044573E" w:rsidRPr="006756E8" w:rsidRDefault="0044573E" w:rsidP="0031570A">
      <w:pPr>
        <w:tabs>
          <w:tab w:val="left" w:pos="567"/>
        </w:tabs>
        <w:rPr>
          <w:noProof/>
          <w:szCs w:val="22"/>
        </w:rPr>
      </w:pPr>
    </w:p>
    <w:p w:rsidR="0044573E" w:rsidRPr="00BA41FF" w:rsidRDefault="00EE3E02" w:rsidP="0031570A">
      <w:pPr>
        <w:tabs>
          <w:tab w:val="left" w:pos="567"/>
        </w:tabs>
        <w:rPr>
          <w:noProof/>
          <w:szCs w:val="22"/>
        </w:rPr>
      </w:pPr>
      <w:r>
        <w:t>Μέγεθη συσκευασίας</w:t>
      </w:r>
      <w:r w:rsidR="0044573E" w:rsidRPr="00BA41FF">
        <w:rPr>
          <w:szCs w:val="22"/>
        </w:rPr>
        <w:t>:</w:t>
      </w:r>
    </w:p>
    <w:p w:rsidR="0044573E" w:rsidRPr="00BA41FF" w:rsidRDefault="0044573E" w:rsidP="0031570A">
      <w:pPr>
        <w:tabs>
          <w:tab w:val="left" w:pos="567"/>
        </w:tabs>
        <w:rPr>
          <w:noProof/>
          <w:szCs w:val="22"/>
        </w:rPr>
      </w:pPr>
      <w:r w:rsidRPr="00BA41FF">
        <w:rPr>
          <w:noProof/>
          <w:szCs w:val="22"/>
        </w:rPr>
        <w:t xml:space="preserve">1 </w:t>
      </w:r>
      <w:r w:rsidRPr="006756E8">
        <w:rPr>
          <w:noProof/>
          <w:szCs w:val="22"/>
        </w:rPr>
        <w:t>φιαλίδιο</w:t>
      </w:r>
    </w:p>
    <w:p w:rsidR="0044573E" w:rsidRPr="00BA41FF" w:rsidRDefault="0044573E" w:rsidP="0031570A">
      <w:pPr>
        <w:tabs>
          <w:tab w:val="left" w:pos="567"/>
        </w:tabs>
        <w:rPr>
          <w:noProof/>
          <w:szCs w:val="22"/>
        </w:rPr>
      </w:pPr>
      <w:r w:rsidRPr="00BA41FF">
        <w:rPr>
          <w:noProof/>
          <w:szCs w:val="22"/>
        </w:rPr>
        <w:t xml:space="preserve">10 </w:t>
      </w:r>
      <w:r w:rsidRPr="006756E8">
        <w:rPr>
          <w:noProof/>
          <w:szCs w:val="22"/>
        </w:rPr>
        <w:t>φιαλίδια</w:t>
      </w:r>
    </w:p>
    <w:p w:rsidR="0044573E" w:rsidRPr="00BA41FF" w:rsidRDefault="0044573E" w:rsidP="0031570A">
      <w:pPr>
        <w:tabs>
          <w:tab w:val="left" w:pos="567"/>
        </w:tabs>
        <w:rPr>
          <w:noProof/>
          <w:szCs w:val="22"/>
        </w:rPr>
      </w:pPr>
      <w:r w:rsidRPr="00BA41FF">
        <w:rPr>
          <w:noProof/>
          <w:szCs w:val="22"/>
        </w:rPr>
        <w:t xml:space="preserve">50 </w:t>
      </w:r>
      <w:r w:rsidRPr="006756E8">
        <w:rPr>
          <w:noProof/>
          <w:szCs w:val="22"/>
        </w:rPr>
        <w:t>φιαλίδια</w:t>
      </w:r>
    </w:p>
    <w:p w:rsidR="00C64113" w:rsidRDefault="00C64113" w:rsidP="0031570A">
      <w:pPr>
        <w:tabs>
          <w:tab w:val="left" w:pos="567"/>
        </w:tabs>
        <w:spacing w:line="260" w:lineRule="exact"/>
        <w:rPr>
          <w:szCs w:val="22"/>
        </w:rPr>
      </w:pPr>
      <w:r>
        <w:rPr>
          <w:szCs w:val="22"/>
        </w:rPr>
        <w:t xml:space="preserve"> </w:t>
      </w:r>
    </w:p>
    <w:p w:rsidR="0044573E" w:rsidRPr="00C64113" w:rsidRDefault="00C64113" w:rsidP="0031570A">
      <w:pPr>
        <w:tabs>
          <w:tab w:val="left" w:pos="567"/>
        </w:tabs>
        <w:spacing w:line="260" w:lineRule="exact"/>
        <w:rPr>
          <w:szCs w:val="22"/>
        </w:rPr>
      </w:pPr>
      <w:r>
        <w:rPr>
          <w:szCs w:val="22"/>
        </w:rPr>
        <w:t>Μπορεί να μη</w:t>
      </w:r>
      <w:r w:rsidR="00EE3E02">
        <w:rPr>
          <w:szCs w:val="22"/>
        </w:rPr>
        <w:t>ν</w:t>
      </w:r>
      <w:r>
        <w:rPr>
          <w:szCs w:val="22"/>
        </w:rPr>
        <w:t xml:space="preserve"> κυκλοφορούν όλες οι συσκευασίες</w:t>
      </w:r>
    </w:p>
    <w:p w:rsidR="0044573E" w:rsidRPr="006756E8" w:rsidRDefault="0044573E" w:rsidP="0031570A">
      <w:pPr>
        <w:tabs>
          <w:tab w:val="left" w:pos="567"/>
        </w:tabs>
        <w:spacing w:line="260" w:lineRule="exact"/>
        <w:rPr>
          <w:szCs w:val="22"/>
        </w:rPr>
      </w:pPr>
    </w:p>
    <w:p w:rsidR="00B9512A" w:rsidRPr="006756E8" w:rsidRDefault="00B9512A" w:rsidP="0031570A">
      <w:pPr>
        <w:tabs>
          <w:tab w:val="left" w:pos="567"/>
        </w:tabs>
        <w:rPr>
          <w:b/>
          <w:noProof/>
          <w:szCs w:val="22"/>
        </w:rPr>
      </w:pPr>
    </w:p>
    <w:p w:rsidR="00B9512A" w:rsidRPr="006756E8" w:rsidRDefault="00B9512A" w:rsidP="0031570A">
      <w:pPr>
        <w:tabs>
          <w:tab w:val="left" w:pos="567"/>
        </w:tabs>
        <w:rPr>
          <w:noProof/>
          <w:szCs w:val="22"/>
        </w:rPr>
      </w:pPr>
      <w:r w:rsidRPr="006756E8">
        <w:rPr>
          <w:b/>
          <w:noProof/>
          <w:szCs w:val="22"/>
        </w:rPr>
        <w:t>6.6</w:t>
      </w:r>
      <w:r w:rsidRPr="006756E8">
        <w:rPr>
          <w:b/>
          <w:noProof/>
          <w:szCs w:val="22"/>
        </w:rPr>
        <w:tab/>
        <w:t>Ιδιαίτερες προφυλάξεις απόρριψης και άλλος χειρισμός</w:t>
      </w:r>
    </w:p>
    <w:p w:rsidR="00B9512A" w:rsidRPr="006756E8" w:rsidRDefault="00B9512A" w:rsidP="0031570A">
      <w:pPr>
        <w:tabs>
          <w:tab w:val="left" w:pos="567"/>
        </w:tabs>
        <w:rPr>
          <w:noProof/>
          <w:szCs w:val="22"/>
        </w:rPr>
      </w:pPr>
    </w:p>
    <w:p w:rsidR="00B71552" w:rsidRPr="006756E8" w:rsidRDefault="0032404E" w:rsidP="0031570A">
      <w:pPr>
        <w:tabs>
          <w:tab w:val="left" w:pos="567"/>
        </w:tabs>
        <w:autoSpaceDE w:val="0"/>
        <w:autoSpaceDN w:val="0"/>
        <w:adjustRightInd w:val="0"/>
        <w:rPr>
          <w:szCs w:val="22"/>
        </w:rPr>
      </w:pPr>
      <w:r w:rsidRPr="006756E8">
        <w:rPr>
          <w:szCs w:val="22"/>
        </w:rPr>
        <w:t xml:space="preserve">Πριν από οποιαδήποτε χορήγηση, </w:t>
      </w:r>
      <w:r w:rsidR="00B11AA4" w:rsidRPr="006756E8">
        <w:rPr>
          <w:szCs w:val="22"/>
        </w:rPr>
        <w:t xml:space="preserve">συνιστάται να επιθεωρούνται τα παρεντερικά διαλύματα </w:t>
      </w:r>
      <w:r w:rsidR="00542A33" w:rsidRPr="006756E8">
        <w:rPr>
          <w:szCs w:val="22"/>
        </w:rPr>
        <w:t>ώ</w:t>
      </w:r>
      <w:r w:rsidR="00B11AA4" w:rsidRPr="006756E8">
        <w:rPr>
          <w:szCs w:val="22"/>
        </w:rPr>
        <w:t xml:space="preserve">στε να επιβεβαιώνεται ότι είναι ελεύθερα σωματιδίων. </w:t>
      </w:r>
      <w:r w:rsidR="00B71552" w:rsidRPr="006756E8">
        <w:rPr>
          <w:szCs w:val="22"/>
        </w:rPr>
        <w:t xml:space="preserve"> </w:t>
      </w:r>
    </w:p>
    <w:p w:rsidR="00B71552" w:rsidRPr="006756E8" w:rsidRDefault="00B11AA4" w:rsidP="0031570A">
      <w:pPr>
        <w:tabs>
          <w:tab w:val="left" w:pos="567"/>
        </w:tabs>
        <w:autoSpaceDE w:val="0"/>
        <w:autoSpaceDN w:val="0"/>
        <w:adjustRightInd w:val="0"/>
        <w:rPr>
          <w:szCs w:val="22"/>
        </w:rPr>
      </w:pPr>
      <w:r w:rsidRPr="006756E8">
        <w:rPr>
          <w:szCs w:val="22"/>
        </w:rPr>
        <w:t xml:space="preserve">Το διάλυμα μπορεί να αλλάξει χρώμα κατά την διάρκεια της φύλαξης (από άχρωμο σε </w:t>
      </w:r>
      <w:r w:rsidR="00657A2C" w:rsidRPr="006756E8">
        <w:rPr>
          <w:szCs w:val="22"/>
        </w:rPr>
        <w:t>κί</w:t>
      </w:r>
      <w:r w:rsidRPr="006756E8">
        <w:rPr>
          <w:szCs w:val="22"/>
        </w:rPr>
        <w:t xml:space="preserve">τρινο του κεχριμπαριού) χωρίς να επηρεάζεται η δραστικότητα του προϊόντος. </w:t>
      </w:r>
      <w:r w:rsidR="00B71552" w:rsidRPr="006756E8">
        <w:rPr>
          <w:szCs w:val="22"/>
        </w:rPr>
        <w:t xml:space="preserve"> </w:t>
      </w:r>
    </w:p>
    <w:p w:rsidR="00B71552" w:rsidRPr="006756E8" w:rsidRDefault="00B71552" w:rsidP="0031570A">
      <w:pPr>
        <w:tabs>
          <w:tab w:val="left" w:pos="567"/>
        </w:tabs>
        <w:autoSpaceDE w:val="0"/>
        <w:autoSpaceDN w:val="0"/>
        <w:adjustRightInd w:val="0"/>
        <w:rPr>
          <w:szCs w:val="22"/>
          <w:u w:val="single"/>
        </w:rPr>
      </w:pPr>
    </w:p>
    <w:p w:rsidR="00657A2C" w:rsidRPr="006756E8" w:rsidRDefault="00657A2C" w:rsidP="0031570A">
      <w:pPr>
        <w:tabs>
          <w:tab w:val="left" w:pos="567"/>
        </w:tabs>
        <w:autoSpaceDE w:val="0"/>
        <w:autoSpaceDN w:val="0"/>
        <w:adjustRightInd w:val="0"/>
        <w:rPr>
          <w:i/>
          <w:szCs w:val="22"/>
          <w:u w:val="single"/>
        </w:rPr>
      </w:pPr>
      <w:r w:rsidRPr="006756E8">
        <w:rPr>
          <w:i/>
          <w:szCs w:val="22"/>
          <w:u w:val="single"/>
        </w:rPr>
        <w:t>Συμβατότητες</w:t>
      </w:r>
    </w:p>
    <w:p w:rsidR="00657A2C" w:rsidRPr="006756E8" w:rsidRDefault="00657A2C" w:rsidP="0031570A">
      <w:pPr>
        <w:tabs>
          <w:tab w:val="left" w:pos="567"/>
        </w:tabs>
        <w:rPr>
          <w:szCs w:val="22"/>
        </w:rPr>
      </w:pPr>
      <w:r w:rsidRPr="006756E8">
        <w:rPr>
          <w:szCs w:val="22"/>
        </w:rPr>
        <w:t xml:space="preserve">Η κεφεπίμη είναι συμβατή με τους ακόλουθους διαλύτες και διαλύματα: 0.9% χλωριούχο νάτριο (με ή χωρίς  δεξτρόζη 5%), δεξτρόζη 10%, διάλυμα </w:t>
      </w:r>
      <w:r w:rsidRPr="006756E8">
        <w:rPr>
          <w:szCs w:val="22"/>
          <w:lang w:val="en-GB"/>
        </w:rPr>
        <w:t>Ringer</w:t>
      </w:r>
      <w:r w:rsidRPr="006756E8">
        <w:rPr>
          <w:szCs w:val="22"/>
        </w:rPr>
        <w:t>’</w:t>
      </w:r>
      <w:r w:rsidRPr="006756E8">
        <w:rPr>
          <w:szCs w:val="22"/>
          <w:lang w:val="en-GB"/>
        </w:rPr>
        <w:t>s</w:t>
      </w:r>
      <w:r w:rsidRPr="006756E8">
        <w:rPr>
          <w:szCs w:val="22"/>
        </w:rPr>
        <w:t xml:space="preserve"> (με ή χωρίς δεξτρόζη 5%), </w:t>
      </w:r>
      <w:r w:rsidRPr="006756E8">
        <w:rPr>
          <w:szCs w:val="22"/>
          <w:lang w:val="en-GB"/>
        </w:rPr>
        <w:t>M</w:t>
      </w:r>
      <w:r w:rsidRPr="006756E8">
        <w:rPr>
          <w:szCs w:val="22"/>
        </w:rPr>
        <w:t xml:space="preserve">/6 </w:t>
      </w:r>
      <w:r w:rsidRPr="006756E8">
        <w:rPr>
          <w:szCs w:val="22"/>
          <w:lang w:val="en-GB"/>
        </w:rPr>
        <w:t>sodium</w:t>
      </w:r>
      <w:r w:rsidRPr="006756E8">
        <w:rPr>
          <w:szCs w:val="22"/>
        </w:rPr>
        <w:t xml:space="preserve"> </w:t>
      </w:r>
      <w:r w:rsidRPr="006756E8">
        <w:rPr>
          <w:szCs w:val="22"/>
          <w:lang w:val="en-GB"/>
        </w:rPr>
        <w:t>lactate</w:t>
      </w:r>
      <w:r w:rsidRPr="006756E8">
        <w:rPr>
          <w:szCs w:val="22"/>
        </w:rPr>
        <w:t>.</w:t>
      </w:r>
    </w:p>
    <w:p w:rsidR="00657A2C" w:rsidRPr="006756E8" w:rsidRDefault="00657A2C" w:rsidP="0031570A">
      <w:pPr>
        <w:tabs>
          <w:tab w:val="left" w:pos="567"/>
        </w:tabs>
        <w:autoSpaceDE w:val="0"/>
        <w:autoSpaceDN w:val="0"/>
        <w:adjustRightInd w:val="0"/>
        <w:rPr>
          <w:szCs w:val="22"/>
        </w:rPr>
      </w:pPr>
    </w:p>
    <w:p w:rsidR="00657A2C" w:rsidRPr="006756E8" w:rsidRDefault="00657A2C" w:rsidP="0031570A">
      <w:pPr>
        <w:tabs>
          <w:tab w:val="left" w:pos="567"/>
        </w:tabs>
        <w:autoSpaceDE w:val="0"/>
        <w:autoSpaceDN w:val="0"/>
        <w:adjustRightInd w:val="0"/>
        <w:rPr>
          <w:i/>
          <w:szCs w:val="22"/>
          <w:u w:val="single"/>
        </w:rPr>
      </w:pPr>
      <w:r w:rsidRPr="006756E8">
        <w:rPr>
          <w:i/>
          <w:szCs w:val="22"/>
          <w:u w:val="single"/>
        </w:rPr>
        <w:t>Οδηγίες για την ανασύσταση</w:t>
      </w:r>
    </w:p>
    <w:p w:rsidR="005A217F" w:rsidRPr="006756E8" w:rsidRDefault="007E666C" w:rsidP="0031570A">
      <w:pPr>
        <w:tabs>
          <w:tab w:val="left" w:pos="567"/>
        </w:tabs>
        <w:autoSpaceDE w:val="0"/>
        <w:autoSpaceDN w:val="0"/>
        <w:adjustRightInd w:val="0"/>
        <w:rPr>
          <w:szCs w:val="22"/>
        </w:rPr>
      </w:pPr>
      <w:r w:rsidRPr="006756E8">
        <w:rPr>
          <w:szCs w:val="22"/>
        </w:rPr>
        <w:t xml:space="preserve">Για </w:t>
      </w:r>
      <w:r w:rsidR="008E5FB6" w:rsidRPr="006756E8">
        <w:rPr>
          <w:b/>
          <w:bCs/>
          <w:szCs w:val="22"/>
        </w:rPr>
        <w:t>απευθείας</w:t>
      </w:r>
      <w:r w:rsidRPr="006756E8">
        <w:rPr>
          <w:szCs w:val="22"/>
        </w:rPr>
        <w:t xml:space="preserve"> ενδοφλέβια έγχυση, κάνετε ανασύσταση του </w:t>
      </w:r>
      <w:r w:rsidR="00B71552" w:rsidRPr="006756E8">
        <w:rPr>
          <w:szCs w:val="22"/>
          <w:lang w:val="en-GB"/>
        </w:rPr>
        <w:t>Cefepime</w:t>
      </w:r>
      <w:r w:rsidR="00B71552" w:rsidRPr="006756E8">
        <w:rPr>
          <w:szCs w:val="22"/>
        </w:rPr>
        <w:t xml:space="preserve"> </w:t>
      </w:r>
      <w:r w:rsidR="00B71552" w:rsidRPr="006756E8">
        <w:rPr>
          <w:szCs w:val="22"/>
          <w:lang w:val="en-GB"/>
        </w:rPr>
        <w:t>Kabi</w:t>
      </w:r>
      <w:r w:rsidR="00B71552" w:rsidRPr="006756E8">
        <w:rPr>
          <w:szCs w:val="22"/>
        </w:rPr>
        <w:t xml:space="preserve"> </w:t>
      </w:r>
      <w:r w:rsidRPr="006756E8">
        <w:rPr>
          <w:szCs w:val="22"/>
        </w:rPr>
        <w:t xml:space="preserve">με στείρο </w:t>
      </w:r>
      <w:r w:rsidR="00A827AA" w:rsidRPr="006756E8">
        <w:rPr>
          <w:szCs w:val="22"/>
        </w:rPr>
        <w:t>ενέσιμο ύδωρ</w:t>
      </w:r>
      <w:r w:rsidR="00B71552" w:rsidRPr="006756E8">
        <w:rPr>
          <w:szCs w:val="22"/>
        </w:rPr>
        <w:t xml:space="preserve">, 5% </w:t>
      </w:r>
      <w:r w:rsidR="00A827AA" w:rsidRPr="006756E8">
        <w:rPr>
          <w:szCs w:val="22"/>
        </w:rPr>
        <w:t>ενέσιμη δεξτρόζη</w:t>
      </w:r>
      <w:r w:rsidR="00B71552" w:rsidRPr="006756E8">
        <w:rPr>
          <w:szCs w:val="22"/>
        </w:rPr>
        <w:t xml:space="preserve"> </w:t>
      </w:r>
      <w:r w:rsidR="00542A33" w:rsidRPr="006756E8">
        <w:rPr>
          <w:szCs w:val="22"/>
        </w:rPr>
        <w:t>ή</w:t>
      </w:r>
      <w:r w:rsidR="00B71552" w:rsidRPr="006756E8">
        <w:rPr>
          <w:szCs w:val="22"/>
        </w:rPr>
        <w:t xml:space="preserve"> 0.9% </w:t>
      </w:r>
      <w:r w:rsidR="00A827AA" w:rsidRPr="006756E8">
        <w:rPr>
          <w:szCs w:val="22"/>
        </w:rPr>
        <w:t>χλωριούχο νάτριο</w:t>
      </w:r>
      <w:r w:rsidR="00B71552" w:rsidRPr="006756E8">
        <w:rPr>
          <w:szCs w:val="22"/>
        </w:rPr>
        <w:t xml:space="preserve">, </w:t>
      </w:r>
      <w:r w:rsidR="00C11C23" w:rsidRPr="006756E8">
        <w:rPr>
          <w:szCs w:val="22"/>
        </w:rPr>
        <w:t>στους όγκους που παρουσιάζονται στον παρακάτω πίνακα</w:t>
      </w:r>
      <w:r w:rsidR="005A217F" w:rsidRPr="006756E8">
        <w:rPr>
          <w:szCs w:val="22"/>
        </w:rPr>
        <w:t xml:space="preserve"> </w:t>
      </w:r>
      <w:r w:rsidR="00C11C23" w:rsidRPr="006756E8">
        <w:rPr>
          <w:szCs w:val="22"/>
        </w:rPr>
        <w:t xml:space="preserve"> «</w:t>
      </w:r>
      <w:r w:rsidR="005A217F" w:rsidRPr="006756E8">
        <w:rPr>
          <w:szCs w:val="22"/>
        </w:rPr>
        <w:t>Π</w:t>
      </w:r>
      <w:r w:rsidR="006D0D64" w:rsidRPr="006756E8">
        <w:rPr>
          <w:szCs w:val="22"/>
        </w:rPr>
        <w:t>αρασκευή των διαλυμάτων κεφεπίμης»</w:t>
      </w:r>
      <w:r w:rsidR="00B71552" w:rsidRPr="006756E8">
        <w:rPr>
          <w:szCs w:val="22"/>
        </w:rPr>
        <w:t xml:space="preserve">. </w:t>
      </w:r>
    </w:p>
    <w:p w:rsidR="005A217F" w:rsidRPr="006756E8" w:rsidRDefault="005A217F" w:rsidP="0031570A">
      <w:pPr>
        <w:tabs>
          <w:tab w:val="left" w:pos="567"/>
        </w:tabs>
        <w:autoSpaceDE w:val="0"/>
        <w:autoSpaceDN w:val="0"/>
        <w:adjustRightInd w:val="0"/>
        <w:rPr>
          <w:szCs w:val="22"/>
        </w:rPr>
      </w:pPr>
    </w:p>
    <w:p w:rsidR="005B2B40" w:rsidRPr="006756E8" w:rsidRDefault="006D0D64" w:rsidP="0031570A">
      <w:pPr>
        <w:tabs>
          <w:tab w:val="left" w:pos="567"/>
        </w:tabs>
        <w:autoSpaceDE w:val="0"/>
        <w:autoSpaceDN w:val="0"/>
        <w:adjustRightInd w:val="0"/>
        <w:rPr>
          <w:szCs w:val="22"/>
        </w:rPr>
      </w:pPr>
      <w:r w:rsidRPr="006756E8">
        <w:rPr>
          <w:szCs w:val="22"/>
        </w:rPr>
        <w:lastRenderedPageBreak/>
        <w:t xml:space="preserve">Για ενδοφλέβια </w:t>
      </w:r>
      <w:r w:rsidRPr="006756E8">
        <w:rPr>
          <w:b/>
          <w:szCs w:val="22"/>
        </w:rPr>
        <w:t>έγχυση</w:t>
      </w:r>
      <w:r w:rsidRPr="006756E8">
        <w:rPr>
          <w:szCs w:val="22"/>
        </w:rPr>
        <w:t xml:space="preserve">, κάνετε ανασύσταση του </w:t>
      </w:r>
      <w:r w:rsidRPr="004D06A6">
        <w:rPr>
          <w:szCs w:val="22"/>
          <w:shd w:val="clear" w:color="auto" w:fill="E0E0E0"/>
        </w:rPr>
        <w:t>1</w:t>
      </w:r>
      <w:r w:rsidR="00B71552" w:rsidRPr="004D06A6">
        <w:rPr>
          <w:szCs w:val="22"/>
          <w:shd w:val="clear" w:color="auto" w:fill="E0E0E0"/>
        </w:rPr>
        <w:t xml:space="preserve"> g, </w:t>
      </w:r>
      <w:r w:rsidRPr="00FB20E1">
        <w:rPr>
          <w:szCs w:val="22"/>
          <w:shd w:val="clear" w:color="auto" w:fill="E0E0E0"/>
        </w:rPr>
        <w:t>ή</w:t>
      </w:r>
      <w:r w:rsidR="00B71552" w:rsidRPr="00DD5030">
        <w:rPr>
          <w:szCs w:val="22"/>
          <w:shd w:val="clear" w:color="auto" w:fill="C0C0C0"/>
        </w:rPr>
        <w:t xml:space="preserve"> 2 </w:t>
      </w:r>
      <w:r w:rsidR="00B71552" w:rsidRPr="004D06A6">
        <w:rPr>
          <w:szCs w:val="22"/>
          <w:shd w:val="clear" w:color="auto" w:fill="C0C0C0"/>
          <w:lang w:val="en-GB"/>
        </w:rPr>
        <w:t>g</w:t>
      </w:r>
      <w:r w:rsidR="00B71552" w:rsidRPr="006756E8">
        <w:rPr>
          <w:szCs w:val="22"/>
        </w:rPr>
        <w:t xml:space="preserve"> </w:t>
      </w:r>
      <w:r w:rsidRPr="006756E8">
        <w:rPr>
          <w:szCs w:val="22"/>
        </w:rPr>
        <w:t xml:space="preserve">διαλύματος κεφεπίμης, όπως αναφέρεται παραπάνω για την </w:t>
      </w:r>
      <w:r w:rsidR="008E5FB6" w:rsidRPr="006756E8">
        <w:rPr>
          <w:szCs w:val="22"/>
        </w:rPr>
        <w:t>απευθείας</w:t>
      </w:r>
      <w:r w:rsidRPr="006756E8">
        <w:rPr>
          <w:szCs w:val="22"/>
        </w:rPr>
        <w:t xml:space="preserve"> ενδοφλέβια χορήγηση</w:t>
      </w:r>
      <w:r w:rsidR="005A217F" w:rsidRPr="006756E8">
        <w:rPr>
          <w:szCs w:val="22"/>
        </w:rPr>
        <w:t xml:space="preserve"> και π</w:t>
      </w:r>
      <w:r w:rsidR="00015F28" w:rsidRPr="006756E8">
        <w:rPr>
          <w:szCs w:val="22"/>
        </w:rPr>
        <w:t xml:space="preserve">ροσθέστε μια κατάλληλη ποσότητα του διαλύματος που προκύπτει σε έναν περιέκτη με ένα από τα συμβατά διαλύματα για ενδοφλέβια έγχυση. </w:t>
      </w:r>
    </w:p>
    <w:p w:rsidR="005B2B40" w:rsidRPr="006756E8" w:rsidRDefault="005B2B40" w:rsidP="0031570A">
      <w:pPr>
        <w:tabs>
          <w:tab w:val="left" w:pos="567"/>
        </w:tabs>
        <w:autoSpaceDE w:val="0"/>
        <w:autoSpaceDN w:val="0"/>
        <w:adjustRightInd w:val="0"/>
        <w:rPr>
          <w:szCs w:val="22"/>
        </w:rPr>
      </w:pPr>
    </w:p>
    <w:p w:rsidR="005B2B40" w:rsidRPr="006756E8" w:rsidRDefault="005B2B40" w:rsidP="0031570A">
      <w:pPr>
        <w:tabs>
          <w:tab w:val="left" w:pos="567"/>
        </w:tabs>
        <w:autoSpaceDE w:val="0"/>
        <w:autoSpaceDN w:val="0"/>
        <w:adjustRightInd w:val="0"/>
        <w:rPr>
          <w:szCs w:val="22"/>
        </w:rPr>
      </w:pPr>
      <w:r w:rsidRPr="006756E8">
        <w:rPr>
          <w:szCs w:val="22"/>
        </w:rPr>
        <w:t>Παρασκευή</w:t>
      </w:r>
      <w:r w:rsidRPr="006756E8">
        <w:rPr>
          <w:szCs w:val="22"/>
          <w:lang w:val="en-GB"/>
        </w:rPr>
        <w:t xml:space="preserve"> </w:t>
      </w:r>
      <w:r w:rsidRPr="006756E8">
        <w:rPr>
          <w:szCs w:val="22"/>
        </w:rPr>
        <w:t>των</w:t>
      </w:r>
      <w:r w:rsidRPr="006756E8">
        <w:rPr>
          <w:szCs w:val="22"/>
          <w:lang w:val="en-GB"/>
        </w:rPr>
        <w:t xml:space="preserve"> </w:t>
      </w:r>
      <w:r w:rsidRPr="006756E8">
        <w:rPr>
          <w:szCs w:val="22"/>
        </w:rPr>
        <w:t>διαλυμάτων</w:t>
      </w:r>
      <w:r w:rsidRPr="006756E8">
        <w:rPr>
          <w:szCs w:val="22"/>
          <w:lang w:val="en-GB"/>
        </w:rPr>
        <w:t xml:space="preserve"> </w:t>
      </w:r>
      <w:r w:rsidRPr="006756E8">
        <w:rPr>
          <w:szCs w:val="22"/>
        </w:rPr>
        <w:t>κεφεπίμης</w:t>
      </w:r>
    </w:p>
    <w:tbl>
      <w:tblPr>
        <w:tblW w:w="0" w:type="auto"/>
        <w:tblInd w:w="108" w:type="dxa"/>
        <w:tblBorders>
          <w:top w:val="nil"/>
          <w:left w:val="nil"/>
          <w:bottom w:val="nil"/>
          <w:right w:val="nil"/>
        </w:tblBorders>
        <w:tblLook w:val="0000"/>
      </w:tblPr>
      <w:tblGrid>
        <w:gridCol w:w="2301"/>
        <w:gridCol w:w="1799"/>
        <w:gridCol w:w="2075"/>
        <w:gridCol w:w="2246"/>
      </w:tblGrid>
      <w:tr w:rsidR="005B2B40" w:rsidRPr="006756E8">
        <w:tblPrEx>
          <w:tblCellMar>
            <w:top w:w="0" w:type="dxa"/>
            <w:bottom w:w="0" w:type="dxa"/>
          </w:tblCellMar>
        </w:tblPrEx>
        <w:trPr>
          <w:trHeight w:val="882"/>
        </w:trPr>
        <w:tc>
          <w:tcPr>
            <w:tcW w:w="2301" w:type="dxa"/>
            <w:tcBorders>
              <w:top w:val="double" w:sz="4" w:space="0" w:color="000000"/>
              <w:left w:val="double" w:sz="4" w:space="0" w:color="000000"/>
              <w:bottom w:val="single" w:sz="6" w:space="0" w:color="000000"/>
              <w:right w:val="single" w:sz="6" w:space="0" w:color="000000"/>
            </w:tcBorders>
          </w:tcPr>
          <w:p w:rsidR="00B71552" w:rsidRPr="006756E8" w:rsidRDefault="005B2B40" w:rsidP="0031570A">
            <w:pPr>
              <w:tabs>
                <w:tab w:val="left" w:pos="567"/>
              </w:tabs>
              <w:autoSpaceDE w:val="0"/>
              <w:autoSpaceDN w:val="0"/>
              <w:adjustRightInd w:val="0"/>
              <w:jc w:val="center"/>
              <w:rPr>
                <w:b/>
                <w:szCs w:val="22"/>
                <w:lang w:val="en-GB"/>
              </w:rPr>
            </w:pPr>
            <w:r w:rsidRPr="006756E8">
              <w:rPr>
                <w:b/>
                <w:szCs w:val="22"/>
              </w:rPr>
              <w:t>Δοσολογία και οδός χορήγησης</w:t>
            </w:r>
            <w:r w:rsidR="00B71552" w:rsidRPr="006756E8">
              <w:rPr>
                <w:b/>
                <w:szCs w:val="22"/>
                <w:lang w:val="en-GB"/>
              </w:rPr>
              <w:t xml:space="preserve"> </w:t>
            </w:r>
          </w:p>
        </w:tc>
        <w:tc>
          <w:tcPr>
            <w:tcW w:w="0" w:type="auto"/>
            <w:tcBorders>
              <w:top w:val="double" w:sz="4" w:space="0" w:color="000000"/>
              <w:left w:val="single" w:sz="6" w:space="0" w:color="000000"/>
              <w:bottom w:val="single" w:sz="6" w:space="0" w:color="000000"/>
              <w:right w:val="single" w:sz="6" w:space="0" w:color="000000"/>
            </w:tcBorders>
          </w:tcPr>
          <w:p w:rsidR="00B71552" w:rsidRPr="006756E8" w:rsidRDefault="005B2B40" w:rsidP="0031570A">
            <w:pPr>
              <w:tabs>
                <w:tab w:val="left" w:pos="567"/>
              </w:tabs>
              <w:autoSpaceDE w:val="0"/>
              <w:autoSpaceDN w:val="0"/>
              <w:adjustRightInd w:val="0"/>
              <w:jc w:val="center"/>
              <w:rPr>
                <w:b/>
                <w:szCs w:val="22"/>
              </w:rPr>
            </w:pPr>
            <w:r w:rsidRPr="006756E8">
              <w:rPr>
                <w:b/>
                <w:szCs w:val="22"/>
              </w:rPr>
              <w:t xml:space="preserve">Όγκος διαλύτη που προστίθεται </w:t>
            </w:r>
            <w:r w:rsidR="00B71552" w:rsidRPr="006756E8">
              <w:rPr>
                <w:b/>
                <w:szCs w:val="22"/>
              </w:rPr>
              <w:t>(</w:t>
            </w:r>
            <w:r w:rsidR="00B71552" w:rsidRPr="006756E8">
              <w:rPr>
                <w:b/>
                <w:szCs w:val="22"/>
                <w:lang w:val="en-GB"/>
              </w:rPr>
              <w:t>ml</w:t>
            </w:r>
            <w:r w:rsidR="00B71552" w:rsidRPr="006756E8">
              <w:rPr>
                <w:b/>
                <w:szCs w:val="22"/>
              </w:rPr>
              <w:t xml:space="preserve">) </w:t>
            </w:r>
          </w:p>
        </w:tc>
        <w:tc>
          <w:tcPr>
            <w:tcW w:w="0" w:type="auto"/>
            <w:tcBorders>
              <w:top w:val="double" w:sz="4" w:space="0" w:color="000000"/>
              <w:left w:val="single" w:sz="6" w:space="0" w:color="000000"/>
              <w:bottom w:val="single" w:sz="6" w:space="0" w:color="000000"/>
              <w:right w:val="single" w:sz="6" w:space="0" w:color="000000"/>
            </w:tcBorders>
          </w:tcPr>
          <w:p w:rsidR="00B71552" w:rsidRPr="006756E8" w:rsidRDefault="005B2B40" w:rsidP="0031570A">
            <w:pPr>
              <w:tabs>
                <w:tab w:val="left" w:pos="567"/>
              </w:tabs>
              <w:autoSpaceDE w:val="0"/>
              <w:autoSpaceDN w:val="0"/>
              <w:adjustRightInd w:val="0"/>
              <w:jc w:val="center"/>
              <w:rPr>
                <w:b/>
                <w:szCs w:val="22"/>
              </w:rPr>
            </w:pPr>
            <w:r w:rsidRPr="006756E8">
              <w:rPr>
                <w:b/>
                <w:szCs w:val="22"/>
              </w:rPr>
              <w:t>Κατά προσέγγιση διαθέσιμος όγκος του φιαλιδίου</w:t>
            </w:r>
            <w:r w:rsidR="00B71552" w:rsidRPr="006756E8">
              <w:rPr>
                <w:b/>
                <w:szCs w:val="22"/>
              </w:rPr>
              <w:t xml:space="preserve"> (</w:t>
            </w:r>
            <w:r w:rsidR="00B71552" w:rsidRPr="006756E8">
              <w:rPr>
                <w:b/>
                <w:szCs w:val="22"/>
                <w:lang w:val="en-GB"/>
              </w:rPr>
              <w:t>ml</w:t>
            </w:r>
            <w:r w:rsidR="00B71552" w:rsidRPr="006756E8">
              <w:rPr>
                <w:b/>
                <w:szCs w:val="22"/>
              </w:rPr>
              <w:t xml:space="preserve">) </w:t>
            </w:r>
          </w:p>
        </w:tc>
        <w:tc>
          <w:tcPr>
            <w:tcW w:w="0" w:type="auto"/>
            <w:tcBorders>
              <w:top w:val="double" w:sz="4" w:space="0" w:color="000000"/>
              <w:left w:val="single" w:sz="6" w:space="0" w:color="000000"/>
              <w:bottom w:val="single" w:sz="6" w:space="0" w:color="000000"/>
              <w:right w:val="double" w:sz="4" w:space="0" w:color="000000"/>
            </w:tcBorders>
          </w:tcPr>
          <w:p w:rsidR="00B71552" w:rsidRPr="006756E8" w:rsidRDefault="005B2B40" w:rsidP="0031570A">
            <w:pPr>
              <w:tabs>
                <w:tab w:val="left" w:pos="567"/>
              </w:tabs>
              <w:autoSpaceDE w:val="0"/>
              <w:autoSpaceDN w:val="0"/>
              <w:adjustRightInd w:val="0"/>
              <w:jc w:val="center"/>
              <w:rPr>
                <w:b/>
                <w:szCs w:val="22"/>
              </w:rPr>
            </w:pPr>
            <w:r w:rsidRPr="006756E8">
              <w:rPr>
                <w:b/>
                <w:szCs w:val="22"/>
              </w:rPr>
              <w:t>Κατά προσέγγιση συγκέντρωση της κεφεπίμης</w:t>
            </w:r>
            <w:r w:rsidR="00B71552" w:rsidRPr="006756E8">
              <w:rPr>
                <w:b/>
                <w:szCs w:val="22"/>
              </w:rPr>
              <w:t xml:space="preserve"> (</w:t>
            </w:r>
            <w:r w:rsidR="00B71552" w:rsidRPr="006756E8">
              <w:rPr>
                <w:b/>
                <w:szCs w:val="22"/>
                <w:lang w:val="en-GB"/>
              </w:rPr>
              <w:t>mg</w:t>
            </w:r>
            <w:r w:rsidR="00B71552" w:rsidRPr="006756E8">
              <w:rPr>
                <w:b/>
                <w:szCs w:val="22"/>
              </w:rPr>
              <w:t>/</w:t>
            </w:r>
            <w:r w:rsidR="00B71552" w:rsidRPr="006756E8">
              <w:rPr>
                <w:b/>
                <w:szCs w:val="22"/>
                <w:lang w:val="en-GB"/>
              </w:rPr>
              <w:t>ml</w:t>
            </w:r>
            <w:r w:rsidR="00B71552" w:rsidRPr="006756E8">
              <w:rPr>
                <w:b/>
                <w:szCs w:val="22"/>
              </w:rPr>
              <w:t xml:space="preserve">) </w:t>
            </w:r>
          </w:p>
        </w:tc>
      </w:tr>
      <w:tr w:rsidR="005B2B40" w:rsidRPr="006756E8">
        <w:tblPrEx>
          <w:tblCellMar>
            <w:top w:w="0" w:type="dxa"/>
            <w:bottom w:w="0" w:type="dxa"/>
          </w:tblCellMar>
        </w:tblPrEx>
        <w:trPr>
          <w:trHeight w:val="917"/>
        </w:trPr>
        <w:tc>
          <w:tcPr>
            <w:tcW w:w="2301" w:type="dxa"/>
            <w:tcBorders>
              <w:top w:val="single" w:sz="6" w:space="0" w:color="000000"/>
              <w:left w:val="double" w:sz="4" w:space="0" w:color="000000"/>
              <w:bottom w:val="single" w:sz="6" w:space="0" w:color="000000"/>
              <w:right w:val="single" w:sz="6" w:space="0" w:color="000000"/>
            </w:tcBorders>
          </w:tcPr>
          <w:p w:rsidR="00B71552" w:rsidRPr="006756E8" w:rsidRDefault="00B71552" w:rsidP="0031570A">
            <w:pPr>
              <w:tabs>
                <w:tab w:val="left" w:pos="567"/>
              </w:tabs>
              <w:autoSpaceDE w:val="0"/>
              <w:autoSpaceDN w:val="0"/>
              <w:adjustRightInd w:val="0"/>
              <w:rPr>
                <w:b/>
                <w:szCs w:val="22"/>
              </w:rPr>
            </w:pPr>
            <w:r w:rsidRPr="006756E8">
              <w:rPr>
                <w:b/>
                <w:szCs w:val="22"/>
                <w:lang w:val="en-GB"/>
              </w:rPr>
              <w:t>I</w:t>
            </w:r>
            <w:r w:rsidRPr="006756E8">
              <w:rPr>
                <w:b/>
                <w:szCs w:val="22"/>
              </w:rPr>
              <w:t>.</w:t>
            </w:r>
            <w:r w:rsidRPr="006756E8">
              <w:rPr>
                <w:b/>
                <w:szCs w:val="22"/>
                <w:lang w:val="en-GB"/>
              </w:rPr>
              <w:t>V</w:t>
            </w:r>
            <w:r w:rsidRPr="006756E8">
              <w:rPr>
                <w:b/>
                <w:szCs w:val="22"/>
              </w:rPr>
              <w:t xml:space="preserve">. </w:t>
            </w:r>
          </w:p>
          <w:p w:rsidR="00B71552" w:rsidRPr="006756E8" w:rsidRDefault="00B71552" w:rsidP="0031570A">
            <w:pPr>
              <w:shd w:val="clear" w:color="auto" w:fill="E0E0E0"/>
              <w:tabs>
                <w:tab w:val="left" w:pos="567"/>
              </w:tabs>
              <w:autoSpaceDE w:val="0"/>
              <w:autoSpaceDN w:val="0"/>
              <w:adjustRightInd w:val="0"/>
              <w:rPr>
                <w:szCs w:val="22"/>
                <w:shd w:val="clear" w:color="auto" w:fill="E0E0E0"/>
              </w:rPr>
            </w:pPr>
            <w:r w:rsidRPr="006756E8">
              <w:rPr>
                <w:szCs w:val="22"/>
                <w:shd w:val="clear" w:color="auto" w:fill="E0E0E0"/>
              </w:rPr>
              <w:t xml:space="preserve">1 </w:t>
            </w:r>
            <w:r w:rsidRPr="006756E8">
              <w:rPr>
                <w:szCs w:val="22"/>
                <w:shd w:val="clear" w:color="auto" w:fill="E0E0E0"/>
                <w:lang w:val="en-GB"/>
              </w:rPr>
              <w:t>g</w:t>
            </w:r>
            <w:r w:rsidRPr="006756E8">
              <w:rPr>
                <w:szCs w:val="22"/>
                <w:shd w:val="clear" w:color="auto" w:fill="E0E0E0"/>
              </w:rPr>
              <w:t xml:space="preserve"> </w:t>
            </w:r>
            <w:r w:rsidR="005B2B40" w:rsidRPr="006756E8">
              <w:rPr>
                <w:szCs w:val="22"/>
                <w:shd w:val="clear" w:color="auto" w:fill="E0E0E0"/>
              </w:rPr>
              <w:t>φιαλίδιο</w:t>
            </w:r>
          </w:p>
          <w:p w:rsidR="00B71552" w:rsidRPr="006756E8" w:rsidRDefault="00B71552" w:rsidP="0031570A">
            <w:pPr>
              <w:shd w:val="clear" w:color="auto" w:fill="C0C0C0"/>
              <w:tabs>
                <w:tab w:val="left" w:pos="567"/>
              </w:tabs>
              <w:autoSpaceDE w:val="0"/>
              <w:autoSpaceDN w:val="0"/>
              <w:adjustRightInd w:val="0"/>
              <w:rPr>
                <w:szCs w:val="22"/>
                <w:shd w:val="clear" w:color="auto" w:fill="C0C0C0"/>
              </w:rPr>
            </w:pPr>
            <w:r w:rsidRPr="006756E8">
              <w:rPr>
                <w:szCs w:val="22"/>
                <w:shd w:val="clear" w:color="auto" w:fill="C0C0C0"/>
              </w:rPr>
              <w:t xml:space="preserve">2 </w:t>
            </w:r>
            <w:r w:rsidRPr="006756E8">
              <w:rPr>
                <w:szCs w:val="22"/>
                <w:shd w:val="clear" w:color="auto" w:fill="C0C0C0"/>
                <w:lang w:val="en-GB"/>
              </w:rPr>
              <w:t>g</w:t>
            </w:r>
            <w:r w:rsidRPr="006756E8">
              <w:rPr>
                <w:szCs w:val="22"/>
                <w:shd w:val="clear" w:color="auto" w:fill="C0C0C0"/>
              </w:rPr>
              <w:t xml:space="preserve"> </w:t>
            </w:r>
            <w:r w:rsidR="005B2B40" w:rsidRPr="006756E8">
              <w:rPr>
                <w:szCs w:val="22"/>
                <w:shd w:val="clear" w:color="auto" w:fill="C0C0C0"/>
              </w:rPr>
              <w:t>φιαλίδιο</w:t>
            </w:r>
          </w:p>
        </w:tc>
        <w:tc>
          <w:tcPr>
            <w:tcW w:w="0" w:type="auto"/>
            <w:tcBorders>
              <w:top w:val="single" w:sz="6" w:space="0" w:color="000000"/>
              <w:left w:val="single" w:sz="6" w:space="0" w:color="000000"/>
              <w:bottom w:val="single" w:sz="6" w:space="0" w:color="000000"/>
              <w:right w:val="single" w:sz="6" w:space="0" w:color="000000"/>
            </w:tcBorders>
          </w:tcPr>
          <w:p w:rsidR="00B71552" w:rsidRPr="006756E8" w:rsidRDefault="00B71552" w:rsidP="0031570A">
            <w:pPr>
              <w:tabs>
                <w:tab w:val="left" w:pos="567"/>
              </w:tabs>
              <w:autoSpaceDE w:val="0"/>
              <w:autoSpaceDN w:val="0"/>
              <w:adjustRightInd w:val="0"/>
              <w:jc w:val="center"/>
              <w:rPr>
                <w:szCs w:val="22"/>
              </w:rPr>
            </w:pPr>
          </w:p>
          <w:p w:rsidR="00B71552" w:rsidRPr="006756E8" w:rsidRDefault="00B71552" w:rsidP="0031570A">
            <w:pPr>
              <w:shd w:val="clear" w:color="auto" w:fill="E0E0E0"/>
              <w:tabs>
                <w:tab w:val="left" w:pos="567"/>
              </w:tabs>
              <w:autoSpaceDE w:val="0"/>
              <w:autoSpaceDN w:val="0"/>
              <w:adjustRightInd w:val="0"/>
              <w:jc w:val="center"/>
              <w:rPr>
                <w:szCs w:val="22"/>
                <w:lang w:val="en-GB"/>
              </w:rPr>
            </w:pPr>
            <w:r w:rsidRPr="006756E8">
              <w:rPr>
                <w:szCs w:val="22"/>
                <w:lang w:val="en-GB"/>
              </w:rPr>
              <w:t xml:space="preserve">10 </w:t>
            </w:r>
          </w:p>
          <w:p w:rsidR="00B71552" w:rsidRPr="006756E8" w:rsidRDefault="00B71552" w:rsidP="0031570A">
            <w:pPr>
              <w:shd w:val="clear" w:color="auto" w:fill="C0C0C0"/>
              <w:tabs>
                <w:tab w:val="left" w:pos="567"/>
              </w:tabs>
              <w:autoSpaceDE w:val="0"/>
              <w:autoSpaceDN w:val="0"/>
              <w:adjustRightInd w:val="0"/>
              <w:jc w:val="center"/>
              <w:rPr>
                <w:szCs w:val="22"/>
                <w:shd w:val="clear" w:color="auto" w:fill="C0C0C0"/>
                <w:lang w:val="en-GB"/>
              </w:rPr>
            </w:pPr>
            <w:r w:rsidRPr="006756E8">
              <w:rPr>
                <w:szCs w:val="22"/>
                <w:shd w:val="clear" w:color="auto" w:fill="C0C0C0"/>
                <w:lang w:val="en-GB"/>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B71552" w:rsidRPr="006756E8" w:rsidRDefault="00B71552" w:rsidP="0031570A">
            <w:pPr>
              <w:tabs>
                <w:tab w:val="left" w:pos="567"/>
              </w:tabs>
              <w:autoSpaceDE w:val="0"/>
              <w:autoSpaceDN w:val="0"/>
              <w:adjustRightInd w:val="0"/>
              <w:jc w:val="center"/>
              <w:rPr>
                <w:szCs w:val="22"/>
                <w:lang w:val="en-GB"/>
              </w:rPr>
            </w:pPr>
          </w:p>
          <w:p w:rsidR="00B71552" w:rsidRPr="006756E8" w:rsidRDefault="00B71552" w:rsidP="0031570A">
            <w:pPr>
              <w:shd w:val="clear" w:color="auto" w:fill="E0E0E0"/>
              <w:tabs>
                <w:tab w:val="left" w:pos="567"/>
              </w:tabs>
              <w:autoSpaceDE w:val="0"/>
              <w:autoSpaceDN w:val="0"/>
              <w:adjustRightInd w:val="0"/>
              <w:jc w:val="center"/>
              <w:rPr>
                <w:szCs w:val="22"/>
                <w:lang w:val="en-GB"/>
              </w:rPr>
            </w:pPr>
            <w:r w:rsidRPr="006756E8">
              <w:rPr>
                <w:szCs w:val="22"/>
                <w:lang w:val="en-GB"/>
              </w:rPr>
              <w:t xml:space="preserve">11.4 </w:t>
            </w:r>
          </w:p>
          <w:p w:rsidR="00B71552" w:rsidRPr="006756E8" w:rsidRDefault="00B71552" w:rsidP="0031570A">
            <w:pPr>
              <w:shd w:val="clear" w:color="auto" w:fill="C0C0C0"/>
              <w:tabs>
                <w:tab w:val="left" w:pos="567"/>
              </w:tabs>
              <w:autoSpaceDE w:val="0"/>
              <w:autoSpaceDN w:val="0"/>
              <w:adjustRightInd w:val="0"/>
              <w:jc w:val="center"/>
              <w:rPr>
                <w:szCs w:val="22"/>
                <w:lang w:val="en-GB"/>
              </w:rPr>
            </w:pPr>
            <w:r w:rsidRPr="006756E8">
              <w:rPr>
                <w:szCs w:val="22"/>
                <w:lang w:val="en-GB"/>
              </w:rPr>
              <w:t xml:space="preserve">12.8 </w:t>
            </w:r>
          </w:p>
        </w:tc>
        <w:tc>
          <w:tcPr>
            <w:tcW w:w="0" w:type="auto"/>
            <w:tcBorders>
              <w:top w:val="single" w:sz="6" w:space="0" w:color="000000"/>
              <w:left w:val="single" w:sz="6" w:space="0" w:color="000000"/>
              <w:bottom w:val="single" w:sz="6" w:space="0" w:color="000000"/>
              <w:right w:val="double" w:sz="4" w:space="0" w:color="000000"/>
            </w:tcBorders>
          </w:tcPr>
          <w:p w:rsidR="005B2B40" w:rsidRPr="006756E8" w:rsidRDefault="005B2B40" w:rsidP="0031570A">
            <w:pPr>
              <w:shd w:val="clear" w:color="auto" w:fill="E0E0E0"/>
              <w:tabs>
                <w:tab w:val="left" w:pos="567"/>
              </w:tabs>
              <w:autoSpaceDE w:val="0"/>
              <w:autoSpaceDN w:val="0"/>
              <w:adjustRightInd w:val="0"/>
              <w:jc w:val="center"/>
              <w:rPr>
                <w:szCs w:val="22"/>
              </w:rPr>
            </w:pPr>
          </w:p>
          <w:p w:rsidR="00B71552" w:rsidRPr="006756E8" w:rsidRDefault="00B71552" w:rsidP="0031570A">
            <w:pPr>
              <w:shd w:val="clear" w:color="auto" w:fill="E0E0E0"/>
              <w:tabs>
                <w:tab w:val="left" w:pos="567"/>
              </w:tabs>
              <w:autoSpaceDE w:val="0"/>
              <w:autoSpaceDN w:val="0"/>
              <w:adjustRightInd w:val="0"/>
              <w:jc w:val="center"/>
              <w:rPr>
                <w:szCs w:val="22"/>
                <w:lang w:val="en-GB"/>
              </w:rPr>
            </w:pPr>
            <w:r w:rsidRPr="006756E8">
              <w:rPr>
                <w:szCs w:val="22"/>
                <w:lang w:val="en-GB"/>
              </w:rPr>
              <w:t xml:space="preserve">90 </w:t>
            </w:r>
          </w:p>
          <w:p w:rsidR="00B71552" w:rsidRPr="006756E8" w:rsidRDefault="00B71552" w:rsidP="0031570A">
            <w:pPr>
              <w:shd w:val="clear" w:color="auto" w:fill="C0C0C0"/>
              <w:tabs>
                <w:tab w:val="left" w:pos="567"/>
              </w:tabs>
              <w:autoSpaceDE w:val="0"/>
              <w:autoSpaceDN w:val="0"/>
              <w:adjustRightInd w:val="0"/>
              <w:jc w:val="center"/>
              <w:rPr>
                <w:szCs w:val="22"/>
                <w:shd w:val="clear" w:color="auto" w:fill="C0C0C0"/>
                <w:lang w:val="en-GB"/>
              </w:rPr>
            </w:pPr>
            <w:r w:rsidRPr="006756E8">
              <w:rPr>
                <w:szCs w:val="22"/>
                <w:shd w:val="clear" w:color="auto" w:fill="C0C0C0"/>
                <w:lang w:val="en-GB"/>
              </w:rPr>
              <w:t>160</w:t>
            </w:r>
          </w:p>
        </w:tc>
      </w:tr>
    </w:tbl>
    <w:p w:rsidR="00B71552" w:rsidRPr="006756E8" w:rsidRDefault="00B71552" w:rsidP="0031570A">
      <w:pPr>
        <w:widowControl/>
        <w:numPr>
          <w:ilvl w:val="0"/>
          <w:numId w:val="6"/>
        </w:numPr>
        <w:tabs>
          <w:tab w:val="left" w:pos="567"/>
        </w:tabs>
        <w:autoSpaceDE w:val="0"/>
        <w:autoSpaceDN w:val="0"/>
        <w:adjustRightInd w:val="0"/>
        <w:rPr>
          <w:szCs w:val="22"/>
          <w:lang w:val="en-GB"/>
        </w:rPr>
      </w:pPr>
    </w:p>
    <w:p w:rsidR="00B9512A" w:rsidRPr="006756E8" w:rsidRDefault="00B9512A" w:rsidP="0031570A">
      <w:pPr>
        <w:tabs>
          <w:tab w:val="left" w:pos="567"/>
        </w:tabs>
        <w:rPr>
          <w:noProof/>
          <w:szCs w:val="22"/>
        </w:rPr>
      </w:pPr>
    </w:p>
    <w:p w:rsidR="00B9512A" w:rsidRPr="006756E8" w:rsidRDefault="005A217F" w:rsidP="0031570A">
      <w:pPr>
        <w:tabs>
          <w:tab w:val="left" w:pos="567"/>
        </w:tabs>
        <w:rPr>
          <w:i/>
          <w:noProof/>
          <w:szCs w:val="22"/>
          <w:u w:val="single"/>
        </w:rPr>
      </w:pPr>
      <w:r w:rsidRPr="006756E8">
        <w:rPr>
          <w:i/>
          <w:noProof/>
          <w:szCs w:val="22"/>
          <w:u w:val="single"/>
        </w:rPr>
        <w:t>Απόρριψη</w:t>
      </w:r>
    </w:p>
    <w:p w:rsidR="00913BEA" w:rsidRPr="006756E8" w:rsidRDefault="00DD5030" w:rsidP="0031570A">
      <w:pPr>
        <w:tabs>
          <w:tab w:val="left" w:pos="567"/>
        </w:tabs>
        <w:rPr>
          <w:noProof/>
          <w:szCs w:val="22"/>
        </w:rPr>
      </w:pPr>
      <w:r w:rsidRPr="00684E83">
        <w:rPr>
          <w:noProof/>
          <w:szCs w:val="22"/>
        </w:rPr>
        <w:t xml:space="preserve">Κάθε αχρησιμοποίητο </w:t>
      </w:r>
      <w:r w:rsidR="005A217F" w:rsidRPr="006756E8">
        <w:rPr>
          <w:noProof/>
          <w:szCs w:val="22"/>
        </w:rPr>
        <w:t>π</w:t>
      </w:r>
      <w:r w:rsidR="008E5FB6" w:rsidRPr="006756E8">
        <w:rPr>
          <w:noProof/>
          <w:szCs w:val="22"/>
        </w:rPr>
        <w:t>ροϊόν ή υλικό από</w:t>
      </w:r>
      <w:r w:rsidR="005A217F" w:rsidRPr="006756E8">
        <w:rPr>
          <w:noProof/>
          <w:szCs w:val="22"/>
        </w:rPr>
        <w:t>ρριψης πρέπει να απορρίπτ</w:t>
      </w:r>
      <w:r>
        <w:rPr>
          <w:noProof/>
          <w:szCs w:val="22"/>
        </w:rPr>
        <w:t>ε</w:t>
      </w:r>
      <w:r w:rsidR="005A217F" w:rsidRPr="006756E8">
        <w:rPr>
          <w:noProof/>
          <w:szCs w:val="22"/>
        </w:rPr>
        <w:t>ται σύμφωνα με τις κατα τόπ</w:t>
      </w:r>
      <w:r w:rsidR="008E5FB6" w:rsidRPr="006756E8">
        <w:rPr>
          <w:noProof/>
          <w:szCs w:val="22"/>
        </w:rPr>
        <w:t>ο</w:t>
      </w:r>
      <w:r w:rsidR="005A217F" w:rsidRPr="006756E8">
        <w:rPr>
          <w:noProof/>
          <w:szCs w:val="22"/>
        </w:rPr>
        <w:t>υς</w:t>
      </w:r>
      <w:r w:rsidRPr="00DD5030">
        <w:rPr>
          <w:noProof/>
          <w:szCs w:val="22"/>
        </w:rPr>
        <w:t xml:space="preserve"> </w:t>
      </w:r>
      <w:r w:rsidRPr="00684E83">
        <w:rPr>
          <w:noProof/>
          <w:szCs w:val="22"/>
        </w:rPr>
        <w:t>ισχύουσες σχετικές διατάξεις</w:t>
      </w:r>
      <w:r w:rsidR="005A217F" w:rsidRPr="006756E8">
        <w:rPr>
          <w:noProof/>
          <w:szCs w:val="22"/>
        </w:rPr>
        <w:t>.</w:t>
      </w:r>
      <w:r w:rsidRPr="00684E83">
        <w:rPr>
          <w:noProof/>
          <w:szCs w:val="22"/>
        </w:rPr>
        <w:t>.</w:t>
      </w:r>
    </w:p>
    <w:p w:rsidR="00B9512A" w:rsidRPr="006756E8" w:rsidRDefault="00B9512A" w:rsidP="0031570A">
      <w:pPr>
        <w:tabs>
          <w:tab w:val="left" w:pos="567"/>
        </w:tabs>
        <w:rPr>
          <w:noProof/>
          <w:szCs w:val="22"/>
        </w:rPr>
      </w:pPr>
      <w:r w:rsidRPr="006756E8">
        <w:rPr>
          <w:b/>
          <w:noProof/>
          <w:szCs w:val="22"/>
        </w:rPr>
        <w:t>7.</w:t>
      </w:r>
      <w:r w:rsidRPr="006756E8">
        <w:rPr>
          <w:b/>
          <w:noProof/>
          <w:szCs w:val="22"/>
        </w:rPr>
        <w:tab/>
        <w:t>ΚΑΤΟΧΟΣ ΤΗΣ ΑΔΕΙΑΣ ΚΥΚΛΟΦΟΡΙΑΣ</w:t>
      </w:r>
    </w:p>
    <w:p w:rsidR="00B9512A" w:rsidRPr="006756E8" w:rsidRDefault="00B9512A" w:rsidP="0031570A">
      <w:pPr>
        <w:tabs>
          <w:tab w:val="left" w:pos="567"/>
        </w:tabs>
        <w:rPr>
          <w:noProof/>
          <w:szCs w:val="22"/>
        </w:rPr>
      </w:pPr>
    </w:p>
    <w:p w:rsidR="00B9512A" w:rsidRPr="00BA41FF" w:rsidRDefault="005B2B40" w:rsidP="0031570A">
      <w:pPr>
        <w:tabs>
          <w:tab w:val="left" w:pos="567"/>
        </w:tabs>
        <w:rPr>
          <w:noProof/>
          <w:szCs w:val="22"/>
        </w:rPr>
      </w:pPr>
      <w:r w:rsidRPr="006756E8">
        <w:rPr>
          <w:noProof/>
          <w:szCs w:val="22"/>
          <w:lang w:val="en-US"/>
        </w:rPr>
        <w:t>Fresenius</w:t>
      </w:r>
      <w:r w:rsidRPr="00BA41FF">
        <w:rPr>
          <w:noProof/>
          <w:szCs w:val="22"/>
        </w:rPr>
        <w:t xml:space="preserve"> </w:t>
      </w:r>
      <w:r w:rsidRPr="006756E8">
        <w:rPr>
          <w:noProof/>
          <w:szCs w:val="22"/>
          <w:lang w:val="en-US"/>
        </w:rPr>
        <w:t>Kabi</w:t>
      </w:r>
      <w:r w:rsidRPr="00BA41FF">
        <w:rPr>
          <w:noProof/>
          <w:szCs w:val="22"/>
        </w:rPr>
        <w:t xml:space="preserve"> </w:t>
      </w:r>
      <w:r w:rsidRPr="006756E8">
        <w:rPr>
          <w:noProof/>
          <w:szCs w:val="22"/>
          <w:lang w:val="en-US"/>
        </w:rPr>
        <w:t>Hellas</w:t>
      </w:r>
      <w:r w:rsidRPr="00BA41FF">
        <w:rPr>
          <w:noProof/>
          <w:szCs w:val="22"/>
        </w:rPr>
        <w:t xml:space="preserve"> </w:t>
      </w:r>
      <w:r w:rsidRPr="006756E8">
        <w:rPr>
          <w:noProof/>
          <w:szCs w:val="22"/>
          <w:lang w:val="en-US"/>
        </w:rPr>
        <w:t>A</w:t>
      </w:r>
      <w:r w:rsidRPr="00BA41FF">
        <w:rPr>
          <w:noProof/>
          <w:szCs w:val="22"/>
        </w:rPr>
        <w:t>.</w:t>
      </w:r>
      <w:r w:rsidRPr="006756E8">
        <w:rPr>
          <w:noProof/>
          <w:szCs w:val="22"/>
          <w:lang w:val="en-US"/>
        </w:rPr>
        <w:t>E</w:t>
      </w:r>
      <w:r w:rsidRPr="00BA41FF">
        <w:rPr>
          <w:noProof/>
          <w:szCs w:val="22"/>
        </w:rPr>
        <w:t>.</w:t>
      </w:r>
    </w:p>
    <w:p w:rsidR="005B2B40" w:rsidRPr="006756E8" w:rsidRDefault="005B2B40" w:rsidP="0031570A">
      <w:pPr>
        <w:tabs>
          <w:tab w:val="left" w:pos="567"/>
        </w:tabs>
        <w:rPr>
          <w:noProof/>
          <w:szCs w:val="22"/>
        </w:rPr>
      </w:pPr>
      <w:r w:rsidRPr="006756E8">
        <w:rPr>
          <w:noProof/>
          <w:szCs w:val="22"/>
        </w:rPr>
        <w:t>Λ. Μεσογείων 354</w:t>
      </w:r>
    </w:p>
    <w:p w:rsidR="005B2B40" w:rsidRPr="006756E8" w:rsidRDefault="00456DF7" w:rsidP="0031570A">
      <w:pPr>
        <w:tabs>
          <w:tab w:val="left" w:pos="567"/>
        </w:tabs>
        <w:rPr>
          <w:noProof/>
          <w:szCs w:val="22"/>
        </w:rPr>
      </w:pPr>
      <w:r w:rsidRPr="006756E8">
        <w:rPr>
          <w:noProof/>
          <w:szCs w:val="22"/>
        </w:rPr>
        <w:t>153 41 Αγία Παρασκευή</w:t>
      </w:r>
    </w:p>
    <w:p w:rsidR="00B9512A" w:rsidRPr="00BA41FF" w:rsidRDefault="005A217F" w:rsidP="0031570A">
      <w:pPr>
        <w:tabs>
          <w:tab w:val="left" w:pos="567"/>
        </w:tabs>
        <w:rPr>
          <w:noProof/>
          <w:szCs w:val="22"/>
        </w:rPr>
      </w:pPr>
      <w:r w:rsidRPr="006756E8">
        <w:rPr>
          <w:noProof/>
          <w:szCs w:val="22"/>
        </w:rPr>
        <w:t>Τηλ</w:t>
      </w:r>
      <w:r w:rsidR="00456DF7" w:rsidRPr="00BA41FF">
        <w:rPr>
          <w:noProof/>
          <w:szCs w:val="22"/>
        </w:rPr>
        <w:t>: +30 210 6542909</w:t>
      </w:r>
    </w:p>
    <w:p w:rsidR="00B9512A" w:rsidRPr="006756E8" w:rsidRDefault="00456DF7" w:rsidP="0031570A">
      <w:pPr>
        <w:tabs>
          <w:tab w:val="left" w:pos="567"/>
        </w:tabs>
        <w:rPr>
          <w:noProof/>
          <w:szCs w:val="22"/>
          <w:lang w:val="en-GB"/>
        </w:rPr>
      </w:pPr>
      <w:r w:rsidRPr="006756E8">
        <w:rPr>
          <w:noProof/>
          <w:szCs w:val="22"/>
          <w:lang w:val="en-US"/>
        </w:rPr>
        <w:t>F</w:t>
      </w:r>
      <w:r w:rsidR="00B9512A" w:rsidRPr="006756E8">
        <w:rPr>
          <w:noProof/>
          <w:szCs w:val="22"/>
          <w:lang w:val="en-US"/>
        </w:rPr>
        <w:t>ax</w:t>
      </w:r>
      <w:r w:rsidRPr="006756E8">
        <w:rPr>
          <w:noProof/>
          <w:szCs w:val="22"/>
          <w:lang w:val="en-GB"/>
        </w:rPr>
        <w:t>: +30 210 6548909</w:t>
      </w:r>
    </w:p>
    <w:p w:rsidR="00B9512A" w:rsidRPr="006756E8" w:rsidRDefault="00B9512A" w:rsidP="0031570A">
      <w:pPr>
        <w:tabs>
          <w:tab w:val="left" w:pos="567"/>
        </w:tabs>
        <w:rPr>
          <w:noProof/>
          <w:szCs w:val="22"/>
          <w:lang w:val="pt-BR"/>
        </w:rPr>
      </w:pPr>
      <w:r w:rsidRPr="006756E8">
        <w:rPr>
          <w:noProof/>
          <w:szCs w:val="22"/>
          <w:lang w:val="pt-BR"/>
        </w:rPr>
        <w:t>e-mail</w:t>
      </w:r>
      <w:r w:rsidR="00456DF7" w:rsidRPr="006756E8">
        <w:rPr>
          <w:noProof/>
          <w:szCs w:val="22"/>
          <w:lang w:val="pt-BR"/>
        </w:rPr>
        <w:t xml:space="preserve">: </w:t>
      </w:r>
      <w:hyperlink r:id="rId12" w:history="1">
        <w:r w:rsidR="005A217F" w:rsidRPr="006756E8">
          <w:rPr>
            <w:rStyle w:val="-"/>
            <w:noProof/>
            <w:szCs w:val="22"/>
            <w:lang w:val="pt-BR"/>
          </w:rPr>
          <w:t>FKHinfo@fresenius-kabi.com</w:t>
        </w:r>
      </w:hyperlink>
      <w:r w:rsidR="005A217F" w:rsidRPr="006756E8">
        <w:rPr>
          <w:noProof/>
          <w:szCs w:val="22"/>
          <w:lang w:val="pt-BR"/>
        </w:rPr>
        <w:t xml:space="preserve"> </w:t>
      </w:r>
    </w:p>
    <w:p w:rsidR="00B9512A" w:rsidRPr="006756E8" w:rsidRDefault="00B9512A" w:rsidP="0031570A">
      <w:pPr>
        <w:tabs>
          <w:tab w:val="left" w:pos="567"/>
        </w:tabs>
        <w:rPr>
          <w:noProof/>
          <w:szCs w:val="22"/>
          <w:lang w:val="pt-BR"/>
        </w:rPr>
      </w:pPr>
    </w:p>
    <w:p w:rsidR="00B9512A" w:rsidRPr="006756E8" w:rsidRDefault="00B9512A" w:rsidP="0031570A">
      <w:pPr>
        <w:tabs>
          <w:tab w:val="left" w:pos="567"/>
        </w:tabs>
        <w:rPr>
          <w:noProof/>
          <w:szCs w:val="22"/>
          <w:lang w:val="pt-BR"/>
        </w:rPr>
      </w:pPr>
    </w:p>
    <w:p w:rsidR="00B9512A" w:rsidRPr="006756E8" w:rsidRDefault="00B9512A" w:rsidP="0031570A">
      <w:pPr>
        <w:tabs>
          <w:tab w:val="left" w:pos="567"/>
        </w:tabs>
        <w:rPr>
          <w:noProof/>
          <w:szCs w:val="22"/>
        </w:rPr>
      </w:pPr>
      <w:r w:rsidRPr="006756E8">
        <w:rPr>
          <w:b/>
          <w:noProof/>
          <w:szCs w:val="22"/>
        </w:rPr>
        <w:t>8.</w:t>
      </w:r>
      <w:r w:rsidRPr="006756E8">
        <w:rPr>
          <w:b/>
          <w:noProof/>
          <w:szCs w:val="22"/>
        </w:rPr>
        <w:tab/>
        <w:t>ΑΡΙΘΜΟΣ(ΟΙ) ΑΔΕΙΑΣ ΚΥΚΛΟΦΟΡΙΑΣ</w:t>
      </w:r>
    </w:p>
    <w:p w:rsidR="00B9512A" w:rsidRPr="006756E8" w:rsidRDefault="00B9512A" w:rsidP="0031570A">
      <w:pPr>
        <w:tabs>
          <w:tab w:val="left" w:pos="567"/>
        </w:tabs>
        <w:rPr>
          <w:noProof/>
          <w:szCs w:val="22"/>
        </w:rPr>
      </w:pPr>
    </w:p>
    <w:p w:rsidR="007D6EEC" w:rsidRPr="006756E8" w:rsidRDefault="007D6EEC" w:rsidP="0031570A">
      <w:pPr>
        <w:tabs>
          <w:tab w:val="left" w:pos="567"/>
        </w:tabs>
        <w:rPr>
          <w:noProof/>
          <w:szCs w:val="22"/>
        </w:rPr>
      </w:pPr>
      <w:r w:rsidRPr="006756E8">
        <w:rPr>
          <w:noProof/>
          <w:szCs w:val="22"/>
          <w:lang w:val="en-US"/>
        </w:rPr>
        <w:t>EL</w:t>
      </w:r>
      <w:r w:rsidRPr="006756E8">
        <w:rPr>
          <w:noProof/>
          <w:szCs w:val="22"/>
        </w:rPr>
        <w:t xml:space="preserve">:  </w:t>
      </w:r>
      <w:r w:rsidRPr="006756E8">
        <w:rPr>
          <w:noProof/>
          <w:szCs w:val="22"/>
          <w:lang w:val="en-US"/>
        </w:rPr>
        <w:t>Cefepime</w:t>
      </w:r>
      <w:r w:rsidRPr="006756E8">
        <w:rPr>
          <w:noProof/>
          <w:szCs w:val="22"/>
        </w:rPr>
        <w:t>/</w:t>
      </w:r>
      <w:r w:rsidRPr="006756E8">
        <w:rPr>
          <w:noProof/>
          <w:szCs w:val="22"/>
          <w:lang w:val="en-US"/>
        </w:rPr>
        <w:t>Kabi</w:t>
      </w:r>
      <w:r w:rsidRPr="006756E8">
        <w:rPr>
          <w:noProof/>
          <w:szCs w:val="22"/>
        </w:rPr>
        <w:t xml:space="preserve"> 1</w:t>
      </w:r>
      <w:r w:rsidRPr="006756E8">
        <w:rPr>
          <w:noProof/>
          <w:szCs w:val="22"/>
          <w:lang w:val="en-US"/>
        </w:rPr>
        <w:t>g</w:t>
      </w:r>
      <w:r w:rsidRPr="006756E8">
        <w:rPr>
          <w:noProof/>
          <w:szCs w:val="22"/>
        </w:rPr>
        <w:t>: 2115/14-1-2011</w:t>
      </w:r>
    </w:p>
    <w:p w:rsidR="007D6EEC" w:rsidRPr="00BA41FF" w:rsidRDefault="007D6EEC" w:rsidP="0031570A">
      <w:pPr>
        <w:tabs>
          <w:tab w:val="left" w:pos="567"/>
        </w:tabs>
        <w:rPr>
          <w:noProof/>
          <w:szCs w:val="22"/>
          <w:lang w:val="en-US"/>
        </w:rPr>
      </w:pPr>
      <w:r w:rsidRPr="006756E8">
        <w:rPr>
          <w:noProof/>
          <w:szCs w:val="22"/>
        </w:rPr>
        <w:t xml:space="preserve">        </w:t>
      </w:r>
      <w:r w:rsidRPr="006756E8">
        <w:rPr>
          <w:noProof/>
          <w:szCs w:val="22"/>
          <w:lang w:val="en-US"/>
        </w:rPr>
        <w:t>Cefepime</w:t>
      </w:r>
      <w:r w:rsidRPr="00BA41FF">
        <w:rPr>
          <w:noProof/>
          <w:szCs w:val="22"/>
          <w:lang w:val="en-US"/>
        </w:rPr>
        <w:t>/</w:t>
      </w:r>
      <w:r w:rsidRPr="006756E8">
        <w:rPr>
          <w:noProof/>
          <w:szCs w:val="22"/>
          <w:lang w:val="en-US"/>
        </w:rPr>
        <w:t>Kabi</w:t>
      </w:r>
      <w:r w:rsidRPr="00BA41FF">
        <w:rPr>
          <w:noProof/>
          <w:szCs w:val="22"/>
          <w:lang w:val="en-US"/>
        </w:rPr>
        <w:t xml:space="preserve"> 2</w:t>
      </w:r>
      <w:r w:rsidRPr="006756E8">
        <w:rPr>
          <w:noProof/>
          <w:szCs w:val="22"/>
          <w:lang w:val="en-US"/>
        </w:rPr>
        <w:t>g</w:t>
      </w:r>
      <w:r w:rsidRPr="00BA41FF">
        <w:rPr>
          <w:noProof/>
          <w:szCs w:val="22"/>
          <w:lang w:val="en-US"/>
        </w:rPr>
        <w:t>: 2116/14-1-2011</w:t>
      </w:r>
    </w:p>
    <w:p w:rsidR="00C72952" w:rsidRPr="00BA41FF" w:rsidRDefault="00C72952" w:rsidP="0031570A">
      <w:pPr>
        <w:tabs>
          <w:tab w:val="left" w:pos="567"/>
        </w:tabs>
        <w:rPr>
          <w:noProof/>
          <w:szCs w:val="22"/>
          <w:lang w:val="en-US"/>
        </w:rPr>
      </w:pPr>
    </w:p>
    <w:p w:rsidR="00C72952" w:rsidRPr="00BA41FF" w:rsidRDefault="00C72952" w:rsidP="0031570A">
      <w:pPr>
        <w:tabs>
          <w:tab w:val="left" w:pos="567"/>
        </w:tabs>
        <w:rPr>
          <w:noProof/>
          <w:szCs w:val="22"/>
          <w:lang w:val="en-US"/>
        </w:rPr>
      </w:pPr>
      <w:r w:rsidRPr="006756E8">
        <w:rPr>
          <w:noProof/>
          <w:szCs w:val="22"/>
          <w:lang w:val="en-US"/>
        </w:rPr>
        <w:t>CY</w:t>
      </w:r>
      <w:r w:rsidRPr="00BA41FF">
        <w:rPr>
          <w:noProof/>
          <w:szCs w:val="22"/>
          <w:lang w:val="en-US"/>
        </w:rPr>
        <w:t>:</w:t>
      </w:r>
      <w:r w:rsidR="009E4639" w:rsidRPr="006756E8">
        <w:rPr>
          <w:noProof/>
          <w:szCs w:val="22"/>
          <w:lang w:val="en-US"/>
        </w:rPr>
        <w:t>Cefepime</w:t>
      </w:r>
      <w:r w:rsidR="009E4639" w:rsidRPr="00BA41FF">
        <w:rPr>
          <w:noProof/>
          <w:szCs w:val="22"/>
          <w:lang w:val="en-US"/>
        </w:rPr>
        <w:t>/</w:t>
      </w:r>
      <w:r w:rsidR="009E4639" w:rsidRPr="006756E8">
        <w:rPr>
          <w:noProof/>
          <w:szCs w:val="22"/>
          <w:lang w:val="en-US"/>
        </w:rPr>
        <w:t>Kabi</w:t>
      </w:r>
      <w:r w:rsidR="009E4639" w:rsidRPr="00BA41FF">
        <w:rPr>
          <w:noProof/>
          <w:szCs w:val="22"/>
          <w:lang w:val="en-US"/>
        </w:rPr>
        <w:t xml:space="preserve"> 1</w:t>
      </w:r>
      <w:r w:rsidR="009E4639" w:rsidRPr="006756E8">
        <w:rPr>
          <w:noProof/>
          <w:szCs w:val="22"/>
          <w:lang w:val="en-US"/>
        </w:rPr>
        <w:t>g</w:t>
      </w:r>
      <w:r w:rsidR="009E4639" w:rsidRPr="00BA41FF">
        <w:rPr>
          <w:noProof/>
          <w:szCs w:val="22"/>
          <w:lang w:val="en-US"/>
        </w:rPr>
        <w:t>: 21099</w:t>
      </w:r>
    </w:p>
    <w:p w:rsidR="009E4639" w:rsidRPr="00BA41FF" w:rsidRDefault="009E4639" w:rsidP="0031570A">
      <w:pPr>
        <w:tabs>
          <w:tab w:val="left" w:pos="567"/>
        </w:tabs>
        <w:rPr>
          <w:noProof/>
          <w:szCs w:val="22"/>
        </w:rPr>
      </w:pPr>
      <w:r w:rsidRPr="006756E8">
        <w:rPr>
          <w:noProof/>
          <w:szCs w:val="22"/>
          <w:lang w:val="en-US"/>
        </w:rPr>
        <w:t xml:space="preserve">       Cefepime</w:t>
      </w:r>
      <w:r w:rsidRPr="00BA41FF">
        <w:rPr>
          <w:noProof/>
          <w:szCs w:val="22"/>
        </w:rPr>
        <w:t>/</w:t>
      </w:r>
      <w:r w:rsidRPr="006756E8">
        <w:rPr>
          <w:noProof/>
          <w:szCs w:val="22"/>
          <w:lang w:val="en-US"/>
        </w:rPr>
        <w:t>Kabi</w:t>
      </w:r>
      <w:r w:rsidRPr="00BA41FF">
        <w:rPr>
          <w:noProof/>
          <w:szCs w:val="22"/>
        </w:rPr>
        <w:t xml:space="preserve"> 2</w:t>
      </w:r>
      <w:r w:rsidRPr="006756E8">
        <w:rPr>
          <w:noProof/>
          <w:szCs w:val="22"/>
          <w:lang w:val="en-US"/>
        </w:rPr>
        <w:t>g</w:t>
      </w:r>
      <w:r w:rsidRPr="00BA41FF">
        <w:rPr>
          <w:noProof/>
          <w:szCs w:val="22"/>
        </w:rPr>
        <w:t>: 21100</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r w:rsidRPr="006756E8">
        <w:rPr>
          <w:b/>
          <w:noProof/>
          <w:szCs w:val="22"/>
        </w:rPr>
        <w:t>9.</w:t>
      </w:r>
      <w:r w:rsidRPr="006756E8">
        <w:rPr>
          <w:b/>
          <w:noProof/>
          <w:szCs w:val="22"/>
        </w:rPr>
        <w:tab/>
        <w:t>ΗΜΕΡΟΜΗΝΙΑ ΠΡΩΤΗΣ ΕΓΚΡΙΣΗΣ / ΑΝΑΝΕΩΣΗΣ ΤΗΣ ΑΔΕΙΑΣ</w:t>
      </w:r>
    </w:p>
    <w:p w:rsidR="00B9512A" w:rsidRPr="006756E8" w:rsidRDefault="00B9512A" w:rsidP="0031570A">
      <w:pPr>
        <w:tabs>
          <w:tab w:val="left" w:pos="567"/>
        </w:tabs>
        <w:rPr>
          <w:noProof/>
          <w:szCs w:val="22"/>
        </w:rPr>
      </w:pPr>
    </w:p>
    <w:p w:rsidR="00B9512A" w:rsidRPr="00BA41FF" w:rsidRDefault="000D255E" w:rsidP="0031570A">
      <w:pPr>
        <w:tabs>
          <w:tab w:val="left" w:pos="567"/>
        </w:tabs>
        <w:rPr>
          <w:noProof/>
          <w:szCs w:val="22"/>
        </w:rPr>
      </w:pPr>
      <w:r>
        <w:rPr>
          <w:noProof/>
          <w:szCs w:val="22"/>
          <w:lang w:val="en-US"/>
        </w:rPr>
        <w:t>EL</w:t>
      </w:r>
      <w:r w:rsidRPr="00BA41FF">
        <w:rPr>
          <w:noProof/>
          <w:szCs w:val="22"/>
        </w:rPr>
        <w:t>:</w:t>
      </w:r>
      <w:r w:rsidR="00D756A9" w:rsidRPr="00BA41FF">
        <w:rPr>
          <w:noProof/>
          <w:szCs w:val="22"/>
        </w:rPr>
        <w:t xml:space="preserve">14-1-2011 </w:t>
      </w:r>
    </w:p>
    <w:p w:rsidR="000D255E" w:rsidRPr="00BA41FF" w:rsidRDefault="000D255E" w:rsidP="0031570A">
      <w:pPr>
        <w:tabs>
          <w:tab w:val="left" w:pos="567"/>
        </w:tabs>
        <w:rPr>
          <w:noProof/>
          <w:szCs w:val="22"/>
        </w:rPr>
      </w:pPr>
      <w:r>
        <w:rPr>
          <w:noProof/>
          <w:szCs w:val="22"/>
          <w:lang w:val="en-US"/>
        </w:rPr>
        <w:t>CY</w:t>
      </w:r>
      <w:r w:rsidRPr="00BA41FF">
        <w:rPr>
          <w:noProof/>
          <w:szCs w:val="22"/>
        </w:rPr>
        <w:t>: 2-11-2011</w:t>
      </w:r>
    </w:p>
    <w:p w:rsidR="00B9512A" w:rsidRPr="006756E8" w:rsidRDefault="00B9512A" w:rsidP="0031570A">
      <w:pPr>
        <w:tabs>
          <w:tab w:val="left" w:pos="567"/>
        </w:tabs>
        <w:rPr>
          <w:noProof/>
          <w:szCs w:val="22"/>
        </w:rPr>
      </w:pPr>
    </w:p>
    <w:p w:rsidR="00B9512A" w:rsidRPr="006756E8" w:rsidRDefault="00B9512A" w:rsidP="0031570A">
      <w:pPr>
        <w:tabs>
          <w:tab w:val="left" w:pos="567"/>
        </w:tabs>
        <w:rPr>
          <w:noProof/>
          <w:szCs w:val="22"/>
        </w:rPr>
      </w:pPr>
    </w:p>
    <w:p w:rsidR="00B9512A" w:rsidRPr="006756E8" w:rsidRDefault="00B9512A" w:rsidP="0031570A">
      <w:pPr>
        <w:tabs>
          <w:tab w:val="left" w:pos="567"/>
        </w:tabs>
        <w:rPr>
          <w:b/>
          <w:noProof/>
          <w:szCs w:val="22"/>
        </w:rPr>
      </w:pPr>
      <w:r w:rsidRPr="006756E8">
        <w:rPr>
          <w:b/>
          <w:noProof/>
          <w:szCs w:val="22"/>
        </w:rPr>
        <w:t>10.</w:t>
      </w:r>
      <w:r w:rsidRPr="006756E8">
        <w:rPr>
          <w:b/>
          <w:noProof/>
          <w:szCs w:val="22"/>
        </w:rPr>
        <w:tab/>
        <w:t>ΗΜΕΡΟΜΗΝΙΑ ΑΝΑΘΕΩΡΗΣΗΣ ΤΟΥ ΚΕΙΜΕΝΟΥ</w:t>
      </w:r>
    </w:p>
    <w:p w:rsidR="00B9512A" w:rsidRPr="006756E8" w:rsidRDefault="00B9512A" w:rsidP="0031570A">
      <w:pPr>
        <w:tabs>
          <w:tab w:val="left" w:pos="567"/>
        </w:tabs>
        <w:rPr>
          <w:bCs/>
          <w:noProof/>
          <w:szCs w:val="22"/>
        </w:rPr>
      </w:pPr>
    </w:p>
    <w:p w:rsidR="00B9512A" w:rsidRPr="006756E8" w:rsidRDefault="00B9512A" w:rsidP="0031570A">
      <w:pPr>
        <w:tabs>
          <w:tab w:val="left" w:pos="567"/>
        </w:tabs>
        <w:rPr>
          <w:noProof/>
          <w:szCs w:val="22"/>
        </w:rPr>
      </w:pPr>
    </w:p>
    <w:sectPr w:rsidR="00B9512A" w:rsidRPr="006756E8" w:rsidSect="0012490E">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0A" w:rsidRDefault="008C080A">
      <w:r>
        <w:separator/>
      </w:r>
    </w:p>
  </w:endnote>
  <w:endnote w:type="continuationSeparator" w:id="0">
    <w:p w:rsidR="008C080A" w:rsidRDefault="008C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3F" w:rsidRDefault="0096443F" w:rsidP="00186FE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443F" w:rsidRDefault="0096443F" w:rsidP="00186FE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3F" w:rsidRDefault="0096443F" w:rsidP="00186FE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96C96">
      <w:rPr>
        <w:rStyle w:val="a6"/>
        <w:noProof/>
      </w:rPr>
      <w:t>18</w:t>
    </w:r>
    <w:r>
      <w:rPr>
        <w:rStyle w:val="a6"/>
      </w:rPr>
      <w:fldChar w:fldCharType="end"/>
    </w:r>
  </w:p>
  <w:p w:rsidR="0096443F" w:rsidRPr="005A217F" w:rsidRDefault="0096443F" w:rsidP="00186FE9">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0A" w:rsidRDefault="008C080A">
      <w:r>
        <w:separator/>
      </w:r>
    </w:p>
  </w:footnote>
  <w:footnote w:type="continuationSeparator" w:id="0">
    <w:p w:rsidR="008C080A" w:rsidRDefault="008C0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355FC"/>
    <w:multiLevelType w:val="hybridMultilevel"/>
    <w:tmpl w:val="CD642F74"/>
    <w:lvl w:ilvl="0" w:tplc="FFFFFFFF">
      <w:start w:val="1"/>
      <w:numFmt w:val="decimal"/>
      <w:suff w:val="nothing"/>
      <w:lvlText w:val=""/>
      <w:lvlJc w:val="left"/>
    </w:lvl>
    <w:lvl w:ilvl="1" w:tplc="C0C4BC98">
      <w:start w:val="1"/>
      <w:numFmt w:val="decimal"/>
      <w:suff w:val="nothing"/>
      <w:lvlText w:val=""/>
      <w:lvlJc w:val="left"/>
      <w:rPr>
        <w:lang w:val="en-G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315D0"/>
    <w:multiLevelType w:val="hybridMultilevel"/>
    <w:tmpl w:val="E2208024"/>
    <w:lvl w:ilvl="0" w:tplc="FFFFFFFF">
      <w:start w:val="1"/>
      <w:numFmt w:val="decimal"/>
      <w:suff w:val="nothing"/>
      <w:lvlText w:val=""/>
      <w:lvlJc w:val="left"/>
    </w:lvl>
    <w:lvl w:ilvl="1" w:tplc="6B6C7B3A">
      <w:numFmt w:val="decimal"/>
      <w:lvlText w:val=""/>
      <w:lvlJc w:val="left"/>
      <w:rPr>
        <w:lang w:val="en-G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3179DF"/>
    <w:multiLevelType w:val="hybridMultilevel"/>
    <w:tmpl w:val="54F6D8B8"/>
    <w:lvl w:ilvl="0" w:tplc="FFFFFFFF">
      <w:start w:val="1"/>
      <w:numFmt w:val="decimal"/>
      <w:suff w:val="nothing"/>
      <w:lvlText w:val=""/>
      <w:lvlJc w:val="left"/>
    </w:lvl>
    <w:lvl w:ilvl="1" w:tplc="17544040">
      <w:start w:val="1"/>
      <w:numFmt w:val="bullet"/>
      <w:lvlText w:val="-"/>
      <w:lvlJc w:val="left"/>
      <w:pPr>
        <w:tabs>
          <w:tab w:val="num" w:pos="360"/>
        </w:tabs>
        <w:ind w:left="36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5E4F68"/>
    <w:multiLevelType w:val="hybridMultilevel"/>
    <w:tmpl w:val="F17A8B78"/>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4">
    <w:nsid w:val="12335322"/>
    <w:multiLevelType w:val="hybridMultilevel"/>
    <w:tmpl w:val="B66E1EE2"/>
    <w:lvl w:ilvl="0" w:tplc="17544040">
      <w:start w:val="1"/>
      <w:numFmt w:val="bullet"/>
      <w:lvlText w:val="-"/>
      <w:lvlJc w:val="left"/>
      <w:pPr>
        <w:tabs>
          <w:tab w:val="num" w:pos="720"/>
        </w:tabs>
        <w:ind w:left="720" w:hanging="360"/>
      </w:pPr>
      <w:rPr>
        <w:rFonts w:ascii="Times New Roman" w:hAnsi="Times New Roman"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476D1"/>
    <w:multiLevelType w:val="hybridMultilevel"/>
    <w:tmpl w:val="12328EF4"/>
    <w:lvl w:ilvl="0" w:tplc="FFFFFFFF">
      <w:start w:val="1"/>
      <w:numFmt w:val="decimal"/>
      <w:suff w:val="nothing"/>
      <w:lvlText w:val=""/>
      <w:lvlJc w:val="left"/>
    </w:lvl>
    <w:lvl w:ilvl="1" w:tplc="9790F820">
      <w:start w:val="1"/>
      <w:numFmt w:val="bullet"/>
      <w:lvlText w:val=""/>
      <w:lvlJc w:val="left"/>
      <w:pPr>
        <w:tabs>
          <w:tab w:val="num" w:pos="360"/>
        </w:tabs>
        <w:ind w:left="360" w:hanging="360"/>
      </w:pPr>
      <w:rPr>
        <w:rFonts w:ascii="Symbol" w:hAnsi="Symbol" w:hint="default"/>
        <w:color w:val="auto"/>
        <w:sz w:val="1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AF687B"/>
    <w:multiLevelType w:val="hybridMultilevel"/>
    <w:tmpl w:val="1626F656"/>
    <w:lvl w:ilvl="0" w:tplc="C5DC410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601AF9"/>
    <w:multiLevelType w:val="hybridMultilevel"/>
    <w:tmpl w:val="034235DC"/>
    <w:lvl w:ilvl="0" w:tplc="1754404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B0444"/>
    <w:multiLevelType w:val="hybridMultilevel"/>
    <w:tmpl w:val="FDA684F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015AC70"/>
    <w:multiLevelType w:val="hybridMultilevel"/>
    <w:tmpl w:val="1AA0FC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7CD1987"/>
    <w:multiLevelType w:val="multilevel"/>
    <w:tmpl w:val="1496440C"/>
    <w:lvl w:ilvl="0">
      <w:start w:val="6"/>
      <w:numFmt w:val="decimal"/>
      <w:lvlText w:val="%1."/>
      <w:lvlJc w:val="left"/>
      <w:pPr>
        <w:tabs>
          <w:tab w:val="num" w:pos="495"/>
        </w:tabs>
        <w:ind w:left="495" w:hanging="495"/>
      </w:pPr>
      <w:rPr>
        <w:rFonts w:hint="default"/>
        <w:b w:val="0"/>
      </w:rPr>
    </w:lvl>
    <w:lvl w:ilvl="1">
      <w:start w:val="5"/>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2A4B2CC0"/>
    <w:multiLevelType w:val="multilevel"/>
    <w:tmpl w:val="F42AA308"/>
    <w:lvl w:ilvl="0">
      <w:start w:val="1"/>
      <w:numFmt w:val="decimal"/>
      <w:suff w:val="nothing"/>
      <w:lvlText w:val=""/>
      <w:lvlJc w:val="left"/>
    </w:lvl>
    <w:lvl w:ilvl="1">
      <w:start w:val="1"/>
      <w:numFmt w:val="bullet"/>
      <w:lvlText w:val=""/>
      <w:lvlJc w:val="left"/>
      <w:pPr>
        <w:tabs>
          <w:tab w:val="num" w:pos="360"/>
        </w:tabs>
        <w:ind w:left="360" w:hanging="360"/>
      </w:pPr>
      <w:rPr>
        <w:rFonts w:ascii="Symbol" w:hAnsi="Symbol" w:hint="default"/>
        <w:color w:val="auto"/>
        <w:sz w:val="16"/>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265F57"/>
    <w:multiLevelType w:val="multilevel"/>
    <w:tmpl w:val="6DB66BCA"/>
    <w:lvl w:ilvl="0">
      <w:start w:val="1"/>
      <w:numFmt w:val="decimal"/>
      <w:suff w:val="nothing"/>
      <w:lvlText w:val=""/>
      <w:lvlJc w:val="left"/>
    </w:lvl>
    <w:lvl w:ilvl="1">
      <w:start w:val="1"/>
      <w:numFmt w:val="bullet"/>
      <w:lvlText w:val="-"/>
      <w:lvlJc w:val="left"/>
      <w:pPr>
        <w:tabs>
          <w:tab w:val="num" w:pos="360"/>
        </w:tabs>
        <w:ind w:left="360" w:hanging="360"/>
      </w:pPr>
      <w:rPr>
        <w:sz w:val="16"/>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067EBF"/>
    <w:multiLevelType w:val="hybridMultilevel"/>
    <w:tmpl w:val="6DB66BCA"/>
    <w:lvl w:ilvl="0" w:tplc="FFFFFFFF">
      <w:start w:val="1"/>
      <w:numFmt w:val="decimal"/>
      <w:suff w:val="nothing"/>
      <w:lvlText w:val=""/>
      <w:lvlJc w:val="left"/>
    </w:lvl>
    <w:lvl w:ilvl="1" w:tplc="04070007">
      <w:start w:val="1"/>
      <w:numFmt w:val="bullet"/>
      <w:lvlText w:val="-"/>
      <w:lvlJc w:val="left"/>
      <w:pPr>
        <w:tabs>
          <w:tab w:val="num" w:pos="360"/>
        </w:tabs>
        <w:ind w:left="360" w:hanging="360"/>
      </w:pPr>
      <w:rPr>
        <w:sz w:val="1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6AF5255"/>
    <w:multiLevelType w:val="hybridMultilevel"/>
    <w:tmpl w:val="9146B5F8"/>
    <w:lvl w:ilvl="0" w:tplc="1754404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5D3680"/>
    <w:multiLevelType w:val="multilevel"/>
    <w:tmpl w:val="18469D18"/>
    <w:lvl w:ilvl="0">
      <w:start w:val="6"/>
      <w:numFmt w:val="decimal"/>
      <w:lvlText w:val="%1."/>
      <w:lvlJc w:val="left"/>
      <w:pPr>
        <w:tabs>
          <w:tab w:val="num" w:pos="495"/>
        </w:tabs>
        <w:ind w:left="495" w:hanging="495"/>
      </w:pPr>
      <w:rPr>
        <w:rFonts w:hint="default"/>
        <w:b w:val="0"/>
      </w:rPr>
    </w:lvl>
    <w:lvl w:ilvl="1">
      <w:start w:val="5"/>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5BFC296A"/>
    <w:multiLevelType w:val="hybridMultilevel"/>
    <w:tmpl w:val="F42AA308"/>
    <w:lvl w:ilvl="0" w:tplc="FFFFFFFF">
      <w:start w:val="1"/>
      <w:numFmt w:val="decimal"/>
      <w:suff w:val="nothing"/>
      <w:lvlText w:val=""/>
      <w:lvlJc w:val="left"/>
    </w:lvl>
    <w:lvl w:ilvl="1" w:tplc="9790F820">
      <w:start w:val="1"/>
      <w:numFmt w:val="bullet"/>
      <w:lvlText w:val=""/>
      <w:lvlJc w:val="left"/>
      <w:pPr>
        <w:tabs>
          <w:tab w:val="num" w:pos="360"/>
        </w:tabs>
        <w:ind w:left="360" w:hanging="360"/>
      </w:pPr>
      <w:rPr>
        <w:rFonts w:ascii="Symbol" w:hAnsi="Symbol" w:hint="default"/>
        <w:color w:val="auto"/>
        <w:sz w:val="1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70F0297"/>
    <w:multiLevelType w:val="multilevel"/>
    <w:tmpl w:val="121C4252"/>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FCF7A7"/>
    <w:multiLevelType w:val="hybridMultilevel"/>
    <w:tmpl w:val="5FD8CE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ED53453"/>
    <w:multiLevelType w:val="multilevel"/>
    <w:tmpl w:val="034235D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9C4FC7"/>
    <w:multiLevelType w:val="hybridMultilevel"/>
    <w:tmpl w:val="121C4252"/>
    <w:lvl w:ilvl="0" w:tplc="9790F82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DF261E"/>
    <w:multiLevelType w:val="hybridMultilevel"/>
    <w:tmpl w:val="93CF00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0"/>
  </w:num>
  <w:num w:numId="3">
    <w:abstractNumId w:val="1"/>
  </w:num>
  <w:num w:numId="4">
    <w:abstractNumId w:val="9"/>
  </w:num>
  <w:num w:numId="5">
    <w:abstractNumId w:val="22"/>
  </w:num>
  <w:num w:numId="6">
    <w:abstractNumId w:val="19"/>
  </w:num>
  <w:num w:numId="7">
    <w:abstractNumId w:val="14"/>
  </w:num>
  <w:num w:numId="8">
    <w:abstractNumId w:val="13"/>
  </w:num>
  <w:num w:numId="9">
    <w:abstractNumId w:val="17"/>
  </w:num>
  <w:num w:numId="10">
    <w:abstractNumId w:val="5"/>
  </w:num>
  <w:num w:numId="11">
    <w:abstractNumId w:val="21"/>
  </w:num>
  <w:num w:numId="12">
    <w:abstractNumId w:val="11"/>
  </w:num>
  <w:num w:numId="13">
    <w:abstractNumId w:val="2"/>
  </w:num>
  <w:num w:numId="14">
    <w:abstractNumId w:val="15"/>
  </w:num>
  <w:num w:numId="15">
    <w:abstractNumId w:val="18"/>
  </w:num>
  <w:num w:numId="16">
    <w:abstractNumId w:val="4"/>
  </w:num>
  <w:num w:numId="17">
    <w:abstractNumId w:val="7"/>
  </w:num>
  <w:num w:numId="18">
    <w:abstractNumId w:val="20"/>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trackRevision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9512A"/>
    <w:rsid w:val="000011C8"/>
    <w:rsid w:val="00015F28"/>
    <w:rsid w:val="00016787"/>
    <w:rsid w:val="00022422"/>
    <w:rsid w:val="00033F6F"/>
    <w:rsid w:val="00034F94"/>
    <w:rsid w:val="00035C36"/>
    <w:rsid w:val="00042D71"/>
    <w:rsid w:val="00053059"/>
    <w:rsid w:val="0005481A"/>
    <w:rsid w:val="00062433"/>
    <w:rsid w:val="00070747"/>
    <w:rsid w:val="000736A6"/>
    <w:rsid w:val="00076AAD"/>
    <w:rsid w:val="00077483"/>
    <w:rsid w:val="00081484"/>
    <w:rsid w:val="000825AD"/>
    <w:rsid w:val="00084496"/>
    <w:rsid w:val="00086BF9"/>
    <w:rsid w:val="000954F0"/>
    <w:rsid w:val="000A0CFF"/>
    <w:rsid w:val="000D1664"/>
    <w:rsid w:val="000D255E"/>
    <w:rsid w:val="000D2B14"/>
    <w:rsid w:val="000D5385"/>
    <w:rsid w:val="000D5AB6"/>
    <w:rsid w:val="000D6748"/>
    <w:rsid w:val="000D7226"/>
    <w:rsid w:val="000E3320"/>
    <w:rsid w:val="000F012F"/>
    <w:rsid w:val="000F2315"/>
    <w:rsid w:val="000F47DD"/>
    <w:rsid w:val="000F6BD7"/>
    <w:rsid w:val="00100C08"/>
    <w:rsid w:val="00100E1A"/>
    <w:rsid w:val="001023D2"/>
    <w:rsid w:val="0011549D"/>
    <w:rsid w:val="0012490E"/>
    <w:rsid w:val="00133FA2"/>
    <w:rsid w:val="00136888"/>
    <w:rsid w:val="00144C76"/>
    <w:rsid w:val="001512E8"/>
    <w:rsid w:val="00151964"/>
    <w:rsid w:val="001542AD"/>
    <w:rsid w:val="001574B6"/>
    <w:rsid w:val="00162D5D"/>
    <w:rsid w:val="00166438"/>
    <w:rsid w:val="00186FE9"/>
    <w:rsid w:val="00187BD8"/>
    <w:rsid w:val="001966C5"/>
    <w:rsid w:val="001B5DFF"/>
    <w:rsid w:val="001C2A73"/>
    <w:rsid w:val="001C5AD5"/>
    <w:rsid w:val="00205F21"/>
    <w:rsid w:val="00207AC1"/>
    <w:rsid w:val="00214F82"/>
    <w:rsid w:val="002232E5"/>
    <w:rsid w:val="00234E55"/>
    <w:rsid w:val="0024130F"/>
    <w:rsid w:val="00250280"/>
    <w:rsid w:val="00256194"/>
    <w:rsid w:val="00262593"/>
    <w:rsid w:val="00264F06"/>
    <w:rsid w:val="0026502F"/>
    <w:rsid w:val="00286FCC"/>
    <w:rsid w:val="00287DCD"/>
    <w:rsid w:val="002A4472"/>
    <w:rsid w:val="002A6FFD"/>
    <w:rsid w:val="002B5592"/>
    <w:rsid w:val="002C0CEF"/>
    <w:rsid w:val="002D32E1"/>
    <w:rsid w:val="002D48DD"/>
    <w:rsid w:val="002F0557"/>
    <w:rsid w:val="002F093F"/>
    <w:rsid w:val="002F422A"/>
    <w:rsid w:val="0030105D"/>
    <w:rsid w:val="00307928"/>
    <w:rsid w:val="0031570A"/>
    <w:rsid w:val="003206F2"/>
    <w:rsid w:val="0032404E"/>
    <w:rsid w:val="00326297"/>
    <w:rsid w:val="0033065F"/>
    <w:rsid w:val="003354A4"/>
    <w:rsid w:val="00336457"/>
    <w:rsid w:val="00342C02"/>
    <w:rsid w:val="0035717D"/>
    <w:rsid w:val="00362F5D"/>
    <w:rsid w:val="00363943"/>
    <w:rsid w:val="0038743F"/>
    <w:rsid w:val="003911B1"/>
    <w:rsid w:val="00391CDD"/>
    <w:rsid w:val="003951C7"/>
    <w:rsid w:val="00397C38"/>
    <w:rsid w:val="003A2035"/>
    <w:rsid w:val="003A207F"/>
    <w:rsid w:val="003C4AC4"/>
    <w:rsid w:val="003C529F"/>
    <w:rsid w:val="003C7A43"/>
    <w:rsid w:val="003D7516"/>
    <w:rsid w:val="003E07FA"/>
    <w:rsid w:val="003E4AE3"/>
    <w:rsid w:val="003F364E"/>
    <w:rsid w:val="00400C57"/>
    <w:rsid w:val="00405C7F"/>
    <w:rsid w:val="00417C1C"/>
    <w:rsid w:val="0042362F"/>
    <w:rsid w:val="004252F8"/>
    <w:rsid w:val="00425FA8"/>
    <w:rsid w:val="00430A9C"/>
    <w:rsid w:val="004358DF"/>
    <w:rsid w:val="0044573E"/>
    <w:rsid w:val="004506C7"/>
    <w:rsid w:val="00456DF7"/>
    <w:rsid w:val="00465C3A"/>
    <w:rsid w:val="00487CD5"/>
    <w:rsid w:val="00491546"/>
    <w:rsid w:val="00494A0B"/>
    <w:rsid w:val="004A3CC4"/>
    <w:rsid w:val="004A4A39"/>
    <w:rsid w:val="004A54DD"/>
    <w:rsid w:val="004A636C"/>
    <w:rsid w:val="004B2D99"/>
    <w:rsid w:val="004D06A6"/>
    <w:rsid w:val="004D1EB2"/>
    <w:rsid w:val="004D717E"/>
    <w:rsid w:val="004E185E"/>
    <w:rsid w:val="004E490F"/>
    <w:rsid w:val="004F0F47"/>
    <w:rsid w:val="004F31B1"/>
    <w:rsid w:val="004F67CE"/>
    <w:rsid w:val="004F6B30"/>
    <w:rsid w:val="005054B3"/>
    <w:rsid w:val="00514C02"/>
    <w:rsid w:val="00520FA0"/>
    <w:rsid w:val="00523DAE"/>
    <w:rsid w:val="00532204"/>
    <w:rsid w:val="005329E1"/>
    <w:rsid w:val="005377D5"/>
    <w:rsid w:val="00542A33"/>
    <w:rsid w:val="00546B33"/>
    <w:rsid w:val="005526B2"/>
    <w:rsid w:val="00554A28"/>
    <w:rsid w:val="00557B8C"/>
    <w:rsid w:val="005758DC"/>
    <w:rsid w:val="00581263"/>
    <w:rsid w:val="00582269"/>
    <w:rsid w:val="0059178E"/>
    <w:rsid w:val="005A1B5F"/>
    <w:rsid w:val="005A217F"/>
    <w:rsid w:val="005B2B40"/>
    <w:rsid w:val="005D1DCF"/>
    <w:rsid w:val="005E7166"/>
    <w:rsid w:val="005F648F"/>
    <w:rsid w:val="005F7E57"/>
    <w:rsid w:val="00601466"/>
    <w:rsid w:val="006060CD"/>
    <w:rsid w:val="00632E5B"/>
    <w:rsid w:val="0063346D"/>
    <w:rsid w:val="00633EC3"/>
    <w:rsid w:val="00637696"/>
    <w:rsid w:val="006579E0"/>
    <w:rsid w:val="00657A2C"/>
    <w:rsid w:val="00660DC1"/>
    <w:rsid w:val="00663156"/>
    <w:rsid w:val="0066441B"/>
    <w:rsid w:val="00664833"/>
    <w:rsid w:val="00667765"/>
    <w:rsid w:val="00667A9E"/>
    <w:rsid w:val="00673F52"/>
    <w:rsid w:val="006756E8"/>
    <w:rsid w:val="00676487"/>
    <w:rsid w:val="006841F6"/>
    <w:rsid w:val="0068570C"/>
    <w:rsid w:val="00690090"/>
    <w:rsid w:val="00692296"/>
    <w:rsid w:val="00695305"/>
    <w:rsid w:val="006A4AD7"/>
    <w:rsid w:val="006A7316"/>
    <w:rsid w:val="006B33FA"/>
    <w:rsid w:val="006B4AD8"/>
    <w:rsid w:val="006B5A76"/>
    <w:rsid w:val="006D0D64"/>
    <w:rsid w:val="006D6CF4"/>
    <w:rsid w:val="006E582D"/>
    <w:rsid w:val="006F1704"/>
    <w:rsid w:val="00717267"/>
    <w:rsid w:val="00722B34"/>
    <w:rsid w:val="00735892"/>
    <w:rsid w:val="00750EA4"/>
    <w:rsid w:val="00754032"/>
    <w:rsid w:val="00754D85"/>
    <w:rsid w:val="00756EEF"/>
    <w:rsid w:val="00764C0E"/>
    <w:rsid w:val="007663E5"/>
    <w:rsid w:val="00770946"/>
    <w:rsid w:val="00777D31"/>
    <w:rsid w:val="00781E58"/>
    <w:rsid w:val="00784331"/>
    <w:rsid w:val="00790AE7"/>
    <w:rsid w:val="007963EE"/>
    <w:rsid w:val="007A13AE"/>
    <w:rsid w:val="007A4647"/>
    <w:rsid w:val="007B34AD"/>
    <w:rsid w:val="007C0DF3"/>
    <w:rsid w:val="007C1E79"/>
    <w:rsid w:val="007C7147"/>
    <w:rsid w:val="007C7986"/>
    <w:rsid w:val="007D0D48"/>
    <w:rsid w:val="007D109D"/>
    <w:rsid w:val="007D6EEC"/>
    <w:rsid w:val="007D7C16"/>
    <w:rsid w:val="007E5FE6"/>
    <w:rsid w:val="007E666C"/>
    <w:rsid w:val="007F2C37"/>
    <w:rsid w:val="00803474"/>
    <w:rsid w:val="00807CDE"/>
    <w:rsid w:val="00814476"/>
    <w:rsid w:val="0081548A"/>
    <w:rsid w:val="00815E3B"/>
    <w:rsid w:val="008548E9"/>
    <w:rsid w:val="00862F4E"/>
    <w:rsid w:val="00876B07"/>
    <w:rsid w:val="00885412"/>
    <w:rsid w:val="00894262"/>
    <w:rsid w:val="00894E04"/>
    <w:rsid w:val="00895EA2"/>
    <w:rsid w:val="008A0255"/>
    <w:rsid w:val="008A0409"/>
    <w:rsid w:val="008A7684"/>
    <w:rsid w:val="008C080A"/>
    <w:rsid w:val="008C5665"/>
    <w:rsid w:val="008D1932"/>
    <w:rsid w:val="008D5A82"/>
    <w:rsid w:val="008E0EC6"/>
    <w:rsid w:val="008E2856"/>
    <w:rsid w:val="008E5905"/>
    <w:rsid w:val="008E5FB6"/>
    <w:rsid w:val="008F4542"/>
    <w:rsid w:val="00903EC0"/>
    <w:rsid w:val="009076E2"/>
    <w:rsid w:val="00913BEA"/>
    <w:rsid w:val="00914FEF"/>
    <w:rsid w:val="0096443F"/>
    <w:rsid w:val="009651ED"/>
    <w:rsid w:val="00967B15"/>
    <w:rsid w:val="009775B6"/>
    <w:rsid w:val="00980F8B"/>
    <w:rsid w:val="00985630"/>
    <w:rsid w:val="009A5C7A"/>
    <w:rsid w:val="009B03BC"/>
    <w:rsid w:val="009B1291"/>
    <w:rsid w:val="009D2838"/>
    <w:rsid w:val="009E4639"/>
    <w:rsid w:val="009E5C26"/>
    <w:rsid w:val="009F203E"/>
    <w:rsid w:val="009F4B6C"/>
    <w:rsid w:val="00A02215"/>
    <w:rsid w:val="00A04D7A"/>
    <w:rsid w:val="00A07A08"/>
    <w:rsid w:val="00A1576B"/>
    <w:rsid w:val="00A30AFA"/>
    <w:rsid w:val="00A3378E"/>
    <w:rsid w:val="00A506D5"/>
    <w:rsid w:val="00A5618E"/>
    <w:rsid w:val="00A56B31"/>
    <w:rsid w:val="00A63871"/>
    <w:rsid w:val="00A63BA8"/>
    <w:rsid w:val="00A65B33"/>
    <w:rsid w:val="00A73B5E"/>
    <w:rsid w:val="00A73D40"/>
    <w:rsid w:val="00A76038"/>
    <w:rsid w:val="00A81987"/>
    <w:rsid w:val="00A827AA"/>
    <w:rsid w:val="00A91812"/>
    <w:rsid w:val="00AA2154"/>
    <w:rsid w:val="00AA28AC"/>
    <w:rsid w:val="00AB1F62"/>
    <w:rsid w:val="00AB7719"/>
    <w:rsid w:val="00AC2B6E"/>
    <w:rsid w:val="00AC3D8B"/>
    <w:rsid w:val="00AD381C"/>
    <w:rsid w:val="00AD663F"/>
    <w:rsid w:val="00AD6F0A"/>
    <w:rsid w:val="00AD6FA1"/>
    <w:rsid w:val="00AE7B21"/>
    <w:rsid w:val="00AF1FD5"/>
    <w:rsid w:val="00AF2149"/>
    <w:rsid w:val="00AF2367"/>
    <w:rsid w:val="00AF784E"/>
    <w:rsid w:val="00B11AA4"/>
    <w:rsid w:val="00B222D5"/>
    <w:rsid w:val="00B23786"/>
    <w:rsid w:val="00B27160"/>
    <w:rsid w:val="00B52C3D"/>
    <w:rsid w:val="00B56204"/>
    <w:rsid w:val="00B63416"/>
    <w:rsid w:val="00B6746D"/>
    <w:rsid w:val="00B71552"/>
    <w:rsid w:val="00B7779C"/>
    <w:rsid w:val="00B84EAF"/>
    <w:rsid w:val="00B8752F"/>
    <w:rsid w:val="00B91623"/>
    <w:rsid w:val="00B949E4"/>
    <w:rsid w:val="00B9512A"/>
    <w:rsid w:val="00BA1D1D"/>
    <w:rsid w:val="00BA41FF"/>
    <w:rsid w:val="00BA5460"/>
    <w:rsid w:val="00BA65A9"/>
    <w:rsid w:val="00BB2274"/>
    <w:rsid w:val="00BB2A3F"/>
    <w:rsid w:val="00BC00BB"/>
    <w:rsid w:val="00BC197B"/>
    <w:rsid w:val="00BE3298"/>
    <w:rsid w:val="00BE68F7"/>
    <w:rsid w:val="00BF0C5C"/>
    <w:rsid w:val="00C0770D"/>
    <w:rsid w:val="00C07880"/>
    <w:rsid w:val="00C11C23"/>
    <w:rsid w:val="00C141D6"/>
    <w:rsid w:val="00C17ED2"/>
    <w:rsid w:val="00C17FEC"/>
    <w:rsid w:val="00C31237"/>
    <w:rsid w:val="00C3331E"/>
    <w:rsid w:val="00C35A8D"/>
    <w:rsid w:val="00C431BA"/>
    <w:rsid w:val="00C51F28"/>
    <w:rsid w:val="00C621BF"/>
    <w:rsid w:val="00C64113"/>
    <w:rsid w:val="00C662F2"/>
    <w:rsid w:val="00C70793"/>
    <w:rsid w:val="00C7176F"/>
    <w:rsid w:val="00C72952"/>
    <w:rsid w:val="00C86F9C"/>
    <w:rsid w:val="00CA0AB9"/>
    <w:rsid w:val="00CE61FC"/>
    <w:rsid w:val="00CE6C20"/>
    <w:rsid w:val="00D011E5"/>
    <w:rsid w:val="00D016E3"/>
    <w:rsid w:val="00D05F13"/>
    <w:rsid w:val="00D15D87"/>
    <w:rsid w:val="00D21550"/>
    <w:rsid w:val="00D34C0C"/>
    <w:rsid w:val="00D37612"/>
    <w:rsid w:val="00D456C4"/>
    <w:rsid w:val="00D533D6"/>
    <w:rsid w:val="00D56096"/>
    <w:rsid w:val="00D71ECF"/>
    <w:rsid w:val="00D74515"/>
    <w:rsid w:val="00D7500D"/>
    <w:rsid w:val="00D75177"/>
    <w:rsid w:val="00D756A9"/>
    <w:rsid w:val="00D765B0"/>
    <w:rsid w:val="00D871DD"/>
    <w:rsid w:val="00D91191"/>
    <w:rsid w:val="00D92C42"/>
    <w:rsid w:val="00DA1C04"/>
    <w:rsid w:val="00DB49D5"/>
    <w:rsid w:val="00DC0BF0"/>
    <w:rsid w:val="00DC3C27"/>
    <w:rsid w:val="00DD3185"/>
    <w:rsid w:val="00DD495C"/>
    <w:rsid w:val="00DD5030"/>
    <w:rsid w:val="00DD58E1"/>
    <w:rsid w:val="00DD6469"/>
    <w:rsid w:val="00E043FD"/>
    <w:rsid w:val="00E0500B"/>
    <w:rsid w:val="00E166AB"/>
    <w:rsid w:val="00E3036F"/>
    <w:rsid w:val="00E332F7"/>
    <w:rsid w:val="00E371AD"/>
    <w:rsid w:val="00E4026B"/>
    <w:rsid w:val="00E41940"/>
    <w:rsid w:val="00E5733A"/>
    <w:rsid w:val="00E574DE"/>
    <w:rsid w:val="00E5752F"/>
    <w:rsid w:val="00E66045"/>
    <w:rsid w:val="00E72F87"/>
    <w:rsid w:val="00E73818"/>
    <w:rsid w:val="00E75EDE"/>
    <w:rsid w:val="00E83229"/>
    <w:rsid w:val="00E83B86"/>
    <w:rsid w:val="00E86B0E"/>
    <w:rsid w:val="00E90DFF"/>
    <w:rsid w:val="00E96C96"/>
    <w:rsid w:val="00EA2121"/>
    <w:rsid w:val="00EA62BF"/>
    <w:rsid w:val="00EC3CA0"/>
    <w:rsid w:val="00ED1CB0"/>
    <w:rsid w:val="00ED6C76"/>
    <w:rsid w:val="00EE3E02"/>
    <w:rsid w:val="00EF1F95"/>
    <w:rsid w:val="00EF4153"/>
    <w:rsid w:val="00F05090"/>
    <w:rsid w:val="00F20C9E"/>
    <w:rsid w:val="00F23E54"/>
    <w:rsid w:val="00F73CA7"/>
    <w:rsid w:val="00F85210"/>
    <w:rsid w:val="00F93B2D"/>
    <w:rsid w:val="00FB20E1"/>
    <w:rsid w:val="00FE02DF"/>
    <w:rsid w:val="00FE105A"/>
    <w:rsid w:val="00FE2F1A"/>
    <w:rsid w:val="00FF0135"/>
    <w:rsid w:val="00FF0EC8"/>
    <w:rsid w:val="00FF35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12A"/>
    <w:pPr>
      <w:widowControl w:val="0"/>
    </w:pPr>
    <w:rPr>
      <w:sz w:val="22"/>
      <w:lang w:eastAsia="en-US"/>
    </w:rPr>
  </w:style>
  <w:style w:type="paragraph" w:styleId="1">
    <w:name w:val="heading 1"/>
    <w:basedOn w:val="a"/>
    <w:next w:val="a"/>
    <w:qFormat/>
    <w:rsid w:val="00250280"/>
    <w:pPr>
      <w:keepNext/>
      <w:widowControl/>
      <w:autoSpaceDE w:val="0"/>
      <w:autoSpaceDN w:val="0"/>
      <w:adjustRightInd w:val="0"/>
      <w:outlineLvl w:val="0"/>
    </w:pPr>
    <w:rPr>
      <w:i/>
      <w:iCs/>
      <w:sz w:val="24"/>
      <w:szCs w:val="24"/>
      <w:lang w:val="en-GB" w:eastAsia="nl-NL"/>
    </w:rPr>
  </w:style>
  <w:style w:type="paragraph" w:styleId="3">
    <w:name w:val="heading 3"/>
    <w:basedOn w:val="a"/>
    <w:next w:val="a"/>
    <w:qFormat/>
    <w:rsid w:val="00250280"/>
    <w:pPr>
      <w:keepNext/>
      <w:widowControl/>
      <w:autoSpaceDE w:val="0"/>
      <w:autoSpaceDN w:val="0"/>
      <w:adjustRightInd w:val="0"/>
      <w:outlineLvl w:val="2"/>
    </w:pPr>
    <w:rPr>
      <w:b/>
      <w:bCs/>
      <w:i/>
      <w:iCs/>
      <w:sz w:val="24"/>
      <w:szCs w:val="24"/>
      <w:lang w:val="en-GB" w:eastAsia="nl-N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9512A"/>
    <w:pPr>
      <w:tabs>
        <w:tab w:val="center" w:pos="4153"/>
        <w:tab w:val="right" w:pos="8306"/>
      </w:tabs>
    </w:pPr>
  </w:style>
  <w:style w:type="paragraph" w:customStyle="1" w:styleId="Default">
    <w:name w:val="Default"/>
    <w:rsid w:val="002A6FFD"/>
    <w:pPr>
      <w:autoSpaceDE w:val="0"/>
      <w:autoSpaceDN w:val="0"/>
      <w:adjustRightInd w:val="0"/>
    </w:pPr>
    <w:rPr>
      <w:color w:val="000000"/>
      <w:sz w:val="24"/>
      <w:szCs w:val="24"/>
      <w:lang w:val="nl-NL" w:eastAsia="nl-NL"/>
    </w:rPr>
  </w:style>
  <w:style w:type="character" w:styleId="a4">
    <w:name w:val="Strong"/>
    <w:qFormat/>
    <w:rsid w:val="008D5A82"/>
    <w:rPr>
      <w:b/>
      <w:bCs/>
    </w:rPr>
  </w:style>
  <w:style w:type="paragraph" w:styleId="a5">
    <w:name w:val="footer"/>
    <w:basedOn w:val="a"/>
    <w:rsid w:val="008D5A82"/>
    <w:pPr>
      <w:widowControl/>
      <w:tabs>
        <w:tab w:val="center" w:pos="4320"/>
        <w:tab w:val="right" w:pos="8640"/>
      </w:tabs>
    </w:pPr>
    <w:rPr>
      <w:sz w:val="24"/>
      <w:szCs w:val="24"/>
      <w:lang w:val="nl-NL" w:eastAsia="nl-NL"/>
    </w:rPr>
  </w:style>
  <w:style w:type="character" w:styleId="a6">
    <w:name w:val="page number"/>
    <w:basedOn w:val="a0"/>
    <w:rsid w:val="008D5A82"/>
  </w:style>
  <w:style w:type="paragraph" w:styleId="Web">
    <w:name w:val="Normal (Web)"/>
    <w:basedOn w:val="a"/>
    <w:rsid w:val="00717267"/>
    <w:pPr>
      <w:widowControl/>
      <w:spacing w:after="240"/>
    </w:pPr>
    <w:rPr>
      <w:sz w:val="24"/>
      <w:szCs w:val="24"/>
      <w:lang w:val="nl-NL" w:eastAsia="nl-NL"/>
    </w:rPr>
  </w:style>
  <w:style w:type="table" w:styleId="a7">
    <w:name w:val="Table Grid"/>
    <w:basedOn w:val="a1"/>
    <w:rsid w:val="00633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B4AD8"/>
    <w:pPr>
      <w:keepLines/>
      <w:widowControl/>
      <w:tabs>
        <w:tab w:val="left" w:pos="284"/>
      </w:tabs>
      <w:spacing w:before="60" w:after="60"/>
    </w:pPr>
    <w:rPr>
      <w:rFonts w:ascii="Arial" w:hAnsi="Arial" w:cs="Arial"/>
      <w:szCs w:val="22"/>
      <w:lang w:val="en-GB" w:eastAsia="en-GB"/>
    </w:rPr>
  </w:style>
  <w:style w:type="paragraph" w:customStyle="1" w:styleId="KF">
    <w:name w:val="KF"/>
    <w:basedOn w:val="a"/>
    <w:rsid w:val="00250280"/>
    <w:pPr>
      <w:widowControl/>
      <w:tabs>
        <w:tab w:val="left" w:pos="454"/>
      </w:tabs>
      <w:spacing w:before="60"/>
    </w:pPr>
    <w:rPr>
      <w:b/>
      <w:i/>
      <w:lang w:val="de-DE" w:eastAsia="de-DE"/>
    </w:rPr>
  </w:style>
  <w:style w:type="character" w:styleId="-">
    <w:name w:val="Hyperlink"/>
    <w:uiPriority w:val="99"/>
    <w:rsid w:val="005A217F"/>
    <w:rPr>
      <w:color w:val="0000FF"/>
      <w:u w:val="single"/>
    </w:rPr>
  </w:style>
  <w:style w:type="paragraph" w:styleId="a8">
    <w:name w:val="Balloon Text"/>
    <w:basedOn w:val="a"/>
    <w:semiHidden/>
    <w:rsid w:val="000E3320"/>
    <w:rPr>
      <w:rFonts w:ascii="Tahoma" w:hAnsi="Tahoma" w:cs="Tahoma"/>
      <w:sz w:val="16"/>
      <w:szCs w:val="16"/>
    </w:rPr>
  </w:style>
  <w:style w:type="character" w:customStyle="1" w:styleId="hps">
    <w:name w:val="hps"/>
    <w:basedOn w:val="a0"/>
    <w:rsid w:val="001542AD"/>
  </w:style>
  <w:style w:type="character" w:customStyle="1" w:styleId="FontStyle30">
    <w:name w:val="Font Style30"/>
    <w:rsid w:val="00C86F9C"/>
    <w:rPr>
      <w:rFonts w:ascii="Times New Roman" w:hAnsi="Times New Roman" w:cs="Times New Roman"/>
      <w:sz w:val="20"/>
      <w:szCs w:val="20"/>
    </w:rPr>
  </w:style>
  <w:style w:type="character" w:customStyle="1" w:styleId="FontStyle28">
    <w:name w:val="Font Style28"/>
    <w:rsid w:val="00C86F9C"/>
    <w:rPr>
      <w:rFonts w:ascii="Times New Roman" w:hAnsi="Times New Roman" w:cs="Times New Roman"/>
      <w:i/>
      <w:iCs/>
      <w:sz w:val="20"/>
      <w:szCs w:val="20"/>
    </w:rPr>
  </w:style>
  <w:style w:type="paragraph" w:customStyle="1" w:styleId="Style14">
    <w:name w:val="Style14"/>
    <w:basedOn w:val="a"/>
    <w:rsid w:val="00C86F9C"/>
    <w:pPr>
      <w:autoSpaceDE w:val="0"/>
      <w:autoSpaceDN w:val="0"/>
      <w:adjustRightInd w:val="0"/>
    </w:pPr>
    <w:rPr>
      <w:rFonts w:cs="Mangal"/>
      <w:sz w:val="24"/>
      <w:szCs w:val="24"/>
      <w:lang w:val="en-US"/>
    </w:rPr>
  </w:style>
  <w:style w:type="paragraph" w:customStyle="1" w:styleId="Style16">
    <w:name w:val="Style16"/>
    <w:basedOn w:val="a"/>
    <w:rsid w:val="00C86F9C"/>
    <w:pPr>
      <w:autoSpaceDE w:val="0"/>
      <w:autoSpaceDN w:val="0"/>
      <w:adjustRightInd w:val="0"/>
      <w:spacing w:line="262" w:lineRule="exact"/>
    </w:pPr>
    <w:rPr>
      <w:rFonts w:cs="Mangal"/>
      <w:sz w:val="24"/>
      <w:szCs w:val="24"/>
      <w:lang w:val="en-US"/>
    </w:rPr>
  </w:style>
  <w:style w:type="paragraph" w:customStyle="1" w:styleId="Style1">
    <w:name w:val="Style1"/>
    <w:basedOn w:val="a"/>
    <w:rsid w:val="00C86F9C"/>
    <w:pPr>
      <w:autoSpaceDE w:val="0"/>
      <w:autoSpaceDN w:val="0"/>
      <w:adjustRightInd w:val="0"/>
    </w:pPr>
    <w:rPr>
      <w:rFonts w:cs="Mangal"/>
      <w:sz w:val="24"/>
      <w:szCs w:val="24"/>
      <w:lang w:val="en-US"/>
    </w:rPr>
  </w:style>
  <w:style w:type="character" w:styleId="a9">
    <w:name w:val="Emphasis"/>
    <w:basedOn w:val="a0"/>
    <w:uiPriority w:val="20"/>
    <w:qFormat/>
    <w:rsid w:val="002232E5"/>
    <w:rPr>
      <w:b/>
      <w:bCs/>
      <w:i w:val="0"/>
      <w:iCs w:val="0"/>
    </w:rPr>
  </w:style>
  <w:style w:type="paragraph" w:styleId="aa">
    <w:name w:val="Body Text"/>
    <w:basedOn w:val="a"/>
    <w:link w:val="Char"/>
    <w:rsid w:val="007A13AE"/>
    <w:pPr>
      <w:widowControl/>
      <w:jc w:val="both"/>
    </w:pPr>
    <w:rPr>
      <w:sz w:val="24"/>
      <w:lang w:val="en-GB"/>
    </w:rPr>
  </w:style>
  <w:style w:type="character" w:customStyle="1" w:styleId="Char">
    <w:name w:val="Σώμα κειμένου Char"/>
    <w:basedOn w:val="a0"/>
    <w:link w:val="aa"/>
    <w:rsid w:val="007A13AE"/>
    <w:rPr>
      <w:sz w:val="24"/>
      <w:lang w:val="en-GB" w:eastAsia="en-US"/>
    </w:rPr>
  </w:style>
</w:styles>
</file>

<file path=word/webSettings.xml><?xml version="1.0" encoding="utf-8"?>
<w:webSettings xmlns:r="http://schemas.openxmlformats.org/officeDocument/2006/relationships" xmlns:w="http://schemas.openxmlformats.org/wordprocessingml/2006/main">
  <w:divs>
    <w:div w:id="235215454">
      <w:bodyDiv w:val="1"/>
      <w:marLeft w:val="0"/>
      <w:marRight w:val="0"/>
      <w:marTop w:val="0"/>
      <w:marBottom w:val="0"/>
      <w:divBdr>
        <w:top w:val="none" w:sz="0" w:space="0" w:color="auto"/>
        <w:left w:val="none" w:sz="0" w:space="0" w:color="auto"/>
        <w:bottom w:val="none" w:sz="0" w:space="0" w:color="auto"/>
        <w:right w:val="none" w:sz="0" w:space="0" w:color="auto"/>
      </w:divBdr>
    </w:div>
    <w:div w:id="17008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Hinfo@fresenius-kab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gov.cy/phs" TargetMode="External"/><Relationship Id="rId5" Type="http://schemas.openxmlformats.org/officeDocument/2006/relationships/webSettings" Target="webSettings.xml"/><Relationship Id="rId10" Type="http://schemas.openxmlformats.org/officeDocument/2006/relationships/hyperlink" Target="http://www.eof.g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C83CA-A83E-4DDA-B325-D246AEC3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6046</Words>
  <Characters>32650</Characters>
  <Application>Microsoft Office Word</Application>
  <DocSecurity>0</DocSecurity>
  <Lines>272</Lines>
  <Paragraphs>77</Paragraphs>
  <ScaleCrop>false</ScaleCrop>
  <Company/>
  <LinksUpToDate>false</LinksUpToDate>
  <CharactersWithSpaces>38619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PharmacoVigilance</dc:creator>
  <cp:lastModifiedBy>user146</cp:lastModifiedBy>
  <cp:revision>2</cp:revision>
  <cp:lastPrinted>2016-06-01T06:50:00Z</cp:lastPrinted>
  <dcterms:created xsi:type="dcterms:W3CDTF">2016-06-01T06:55:00Z</dcterms:created>
  <dcterms:modified xsi:type="dcterms:W3CDTF">2016-06-01T06:55:00Z</dcterms:modified>
</cp:coreProperties>
</file>