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73B" w:rsidRPr="003B261E" w:rsidRDefault="006E673B" w:rsidP="004767B1">
      <w:pPr>
        <w:spacing w:line="240" w:lineRule="auto"/>
        <w:jc w:val="center"/>
        <w:rPr>
          <w:b/>
          <w:noProof/>
          <w:lang w:val="el-GR"/>
        </w:rPr>
      </w:pPr>
    </w:p>
    <w:p w:rsidR="006E673B" w:rsidRDefault="006E673B" w:rsidP="004767B1">
      <w:pPr>
        <w:spacing w:line="240" w:lineRule="auto"/>
        <w:jc w:val="center"/>
        <w:rPr>
          <w:b/>
          <w:noProof/>
        </w:rPr>
      </w:pPr>
    </w:p>
    <w:p w:rsidR="006E673B" w:rsidRDefault="006E673B" w:rsidP="004767B1">
      <w:pPr>
        <w:spacing w:line="240" w:lineRule="auto"/>
        <w:jc w:val="center"/>
        <w:rPr>
          <w:b/>
          <w:noProof/>
        </w:rPr>
      </w:pPr>
    </w:p>
    <w:p w:rsidR="006E673B" w:rsidRDefault="006E673B" w:rsidP="004767B1">
      <w:pPr>
        <w:spacing w:line="240" w:lineRule="auto"/>
        <w:jc w:val="center"/>
        <w:rPr>
          <w:b/>
          <w:noProof/>
        </w:rPr>
      </w:pPr>
    </w:p>
    <w:p w:rsidR="006E673B" w:rsidRDefault="006E673B" w:rsidP="004767B1">
      <w:pPr>
        <w:spacing w:line="240" w:lineRule="auto"/>
        <w:jc w:val="center"/>
        <w:rPr>
          <w:b/>
          <w:noProof/>
        </w:rPr>
      </w:pPr>
    </w:p>
    <w:p w:rsidR="006E673B" w:rsidRDefault="006E673B" w:rsidP="004767B1">
      <w:pPr>
        <w:spacing w:line="240" w:lineRule="auto"/>
        <w:jc w:val="center"/>
        <w:rPr>
          <w:b/>
          <w:noProof/>
        </w:rPr>
      </w:pPr>
    </w:p>
    <w:p w:rsidR="006E673B" w:rsidRDefault="006E673B" w:rsidP="004767B1">
      <w:pPr>
        <w:spacing w:line="240" w:lineRule="auto"/>
        <w:jc w:val="center"/>
        <w:rPr>
          <w:b/>
          <w:noProof/>
        </w:rPr>
      </w:pPr>
    </w:p>
    <w:p w:rsidR="006E673B" w:rsidRDefault="006E673B" w:rsidP="004767B1">
      <w:pPr>
        <w:spacing w:line="240" w:lineRule="auto"/>
        <w:jc w:val="center"/>
        <w:rPr>
          <w:b/>
          <w:noProof/>
        </w:rPr>
      </w:pPr>
    </w:p>
    <w:p w:rsidR="006E673B" w:rsidRDefault="006E673B" w:rsidP="004767B1">
      <w:pPr>
        <w:spacing w:line="240" w:lineRule="auto"/>
        <w:jc w:val="center"/>
        <w:rPr>
          <w:b/>
          <w:noProof/>
        </w:rPr>
      </w:pPr>
    </w:p>
    <w:p w:rsidR="006E673B" w:rsidRDefault="006E673B" w:rsidP="004767B1">
      <w:pPr>
        <w:spacing w:line="240" w:lineRule="auto"/>
        <w:jc w:val="center"/>
        <w:rPr>
          <w:b/>
          <w:noProof/>
        </w:rPr>
      </w:pPr>
    </w:p>
    <w:p w:rsidR="006E673B" w:rsidRDefault="006E673B" w:rsidP="004767B1">
      <w:pPr>
        <w:spacing w:line="240" w:lineRule="auto"/>
        <w:jc w:val="center"/>
        <w:rPr>
          <w:b/>
          <w:noProof/>
        </w:rPr>
      </w:pPr>
    </w:p>
    <w:p w:rsidR="006E673B" w:rsidRDefault="006E673B" w:rsidP="004767B1">
      <w:pPr>
        <w:spacing w:line="240" w:lineRule="auto"/>
        <w:jc w:val="center"/>
        <w:rPr>
          <w:b/>
          <w:noProof/>
        </w:rPr>
      </w:pPr>
    </w:p>
    <w:p w:rsidR="006E673B" w:rsidRDefault="006E673B" w:rsidP="004767B1">
      <w:pPr>
        <w:spacing w:line="240" w:lineRule="auto"/>
        <w:jc w:val="center"/>
        <w:rPr>
          <w:b/>
          <w:noProof/>
        </w:rPr>
      </w:pPr>
    </w:p>
    <w:p w:rsidR="006E673B" w:rsidRDefault="006E673B" w:rsidP="004767B1">
      <w:pPr>
        <w:spacing w:line="240" w:lineRule="auto"/>
        <w:jc w:val="center"/>
        <w:rPr>
          <w:b/>
          <w:noProof/>
        </w:rPr>
      </w:pPr>
    </w:p>
    <w:p w:rsidR="006E673B" w:rsidRDefault="006E673B" w:rsidP="004767B1">
      <w:pPr>
        <w:spacing w:line="240" w:lineRule="auto"/>
        <w:jc w:val="center"/>
        <w:rPr>
          <w:b/>
          <w:noProof/>
        </w:rPr>
      </w:pPr>
    </w:p>
    <w:p w:rsidR="006E673B" w:rsidRDefault="006E673B" w:rsidP="004767B1">
      <w:pPr>
        <w:spacing w:line="240" w:lineRule="auto"/>
        <w:jc w:val="center"/>
        <w:rPr>
          <w:b/>
          <w:noProof/>
        </w:rPr>
      </w:pPr>
    </w:p>
    <w:p w:rsidR="006E673B" w:rsidRDefault="006E673B" w:rsidP="004767B1">
      <w:pPr>
        <w:spacing w:line="240" w:lineRule="auto"/>
        <w:jc w:val="center"/>
        <w:rPr>
          <w:b/>
          <w:noProof/>
        </w:rPr>
      </w:pPr>
    </w:p>
    <w:p w:rsidR="006E673B" w:rsidRDefault="006E673B" w:rsidP="004767B1">
      <w:pPr>
        <w:spacing w:line="240" w:lineRule="auto"/>
        <w:jc w:val="center"/>
        <w:rPr>
          <w:b/>
          <w:noProof/>
        </w:rPr>
      </w:pPr>
    </w:p>
    <w:p w:rsidR="006E673B" w:rsidRDefault="006E673B" w:rsidP="004767B1">
      <w:pPr>
        <w:spacing w:line="240" w:lineRule="auto"/>
        <w:jc w:val="center"/>
        <w:rPr>
          <w:b/>
          <w:noProof/>
        </w:rPr>
      </w:pPr>
    </w:p>
    <w:p w:rsidR="006E673B" w:rsidRDefault="006E673B" w:rsidP="004767B1">
      <w:pPr>
        <w:spacing w:line="240" w:lineRule="auto"/>
        <w:jc w:val="center"/>
        <w:rPr>
          <w:b/>
          <w:noProof/>
        </w:rPr>
      </w:pPr>
    </w:p>
    <w:p w:rsidR="006E673B" w:rsidRDefault="006E673B" w:rsidP="004767B1">
      <w:pPr>
        <w:spacing w:line="240" w:lineRule="auto"/>
        <w:jc w:val="center"/>
        <w:rPr>
          <w:b/>
          <w:noProof/>
        </w:rPr>
      </w:pPr>
    </w:p>
    <w:p w:rsidR="006E673B" w:rsidRDefault="006E673B" w:rsidP="004767B1">
      <w:pPr>
        <w:spacing w:line="240" w:lineRule="auto"/>
        <w:jc w:val="center"/>
        <w:rPr>
          <w:b/>
          <w:noProof/>
        </w:rPr>
      </w:pPr>
    </w:p>
    <w:p w:rsidR="006E673B" w:rsidRDefault="006E673B" w:rsidP="004767B1">
      <w:pPr>
        <w:spacing w:line="240" w:lineRule="auto"/>
        <w:jc w:val="center"/>
        <w:rPr>
          <w:b/>
          <w:noProof/>
        </w:rPr>
      </w:pPr>
    </w:p>
    <w:p w:rsidR="001B7C79" w:rsidRPr="009E0D58" w:rsidRDefault="00BD78BC" w:rsidP="004767B1">
      <w:pPr>
        <w:spacing w:line="240" w:lineRule="auto"/>
        <w:jc w:val="center"/>
        <w:rPr>
          <w:b/>
          <w:noProof/>
          <w:lang w:val="el-GR"/>
        </w:rPr>
        <w:sectPr w:rsidR="001B7C79" w:rsidRPr="009E0D58" w:rsidSect="00D1087C">
          <w:headerReference w:type="default" r:id="rId7"/>
          <w:endnotePr>
            <w:numFmt w:val="decimal"/>
          </w:endnotePr>
          <w:pgSz w:w="11907" w:h="16840" w:code="9"/>
          <w:pgMar w:top="1134" w:right="1418" w:bottom="1134" w:left="1418" w:header="737" w:footer="737" w:gutter="0"/>
          <w:pgNumType w:start="1"/>
          <w:cols w:space="720"/>
        </w:sectPr>
      </w:pPr>
      <w:r w:rsidRPr="00BD78BC">
        <w:rPr>
          <w:b/>
          <w:noProof/>
          <w:lang w:val="el-GR"/>
        </w:rPr>
        <w:t>ΠΕΡΙΛΗΨΗ ΤΩ</w:t>
      </w:r>
      <w:r w:rsidR="006E673B">
        <w:rPr>
          <w:b/>
          <w:noProof/>
          <w:lang w:val="el-GR"/>
        </w:rPr>
        <w:t>Ν ΧΑΡΑΚΤΗΡΙΣΤΙΚΩΝ ΤΟΥ ΠΡΟΪΟΝΤΟΣ</w:t>
      </w:r>
    </w:p>
    <w:p w:rsidR="00847B4F" w:rsidRPr="00281F10" w:rsidRDefault="00847B4F" w:rsidP="005F04EA">
      <w:pPr>
        <w:pStyle w:val="1"/>
        <w:spacing w:before="0" w:after="0" w:line="240" w:lineRule="auto"/>
        <w:rPr>
          <w:sz w:val="22"/>
          <w:szCs w:val="22"/>
          <w:lang w:val="el-GR"/>
        </w:rPr>
      </w:pPr>
      <w:r w:rsidRPr="00281F10">
        <w:rPr>
          <w:sz w:val="22"/>
          <w:szCs w:val="22"/>
          <w:lang w:val="el-GR"/>
        </w:rPr>
        <w:lastRenderedPageBreak/>
        <w:t>1.</w:t>
      </w:r>
      <w:r w:rsidRPr="00281F10">
        <w:rPr>
          <w:sz w:val="22"/>
          <w:szCs w:val="22"/>
          <w:lang w:val="el-GR"/>
        </w:rPr>
        <w:tab/>
        <w:t>ΟΝΟΜΑΣΙΑ ΤΟΥ ΦΑΡΜΑΚΕΥΤΙΚΟΥ ΠΡΟΪΟΝΤΟΣ</w:t>
      </w:r>
    </w:p>
    <w:p w:rsidR="00847B4F" w:rsidRPr="00281F10" w:rsidRDefault="00847B4F" w:rsidP="005F04EA">
      <w:pPr>
        <w:spacing w:line="240" w:lineRule="auto"/>
        <w:rPr>
          <w:szCs w:val="22"/>
          <w:lang w:val="el-GR"/>
        </w:rPr>
      </w:pPr>
    </w:p>
    <w:p w:rsidR="00847B4F" w:rsidRPr="00281F10" w:rsidRDefault="008D424F" w:rsidP="005F04EA">
      <w:pPr>
        <w:spacing w:line="240" w:lineRule="auto"/>
        <w:rPr>
          <w:szCs w:val="22"/>
          <w:lang w:val="el-GR"/>
        </w:rPr>
      </w:pPr>
      <w:r w:rsidRPr="00281F10">
        <w:rPr>
          <w:szCs w:val="22"/>
          <w:lang w:val="el-GR"/>
        </w:rPr>
        <w:t>PALEXIA</w:t>
      </w:r>
      <w:r w:rsidR="00847B4F" w:rsidRPr="00281F10">
        <w:rPr>
          <w:szCs w:val="22"/>
          <w:lang w:val="el-GR"/>
        </w:rPr>
        <w:t xml:space="preserve"> 50 mg </w:t>
      </w:r>
      <w:r w:rsidRPr="00281F10">
        <w:rPr>
          <w:szCs w:val="22"/>
          <w:lang w:val="el-GR"/>
        </w:rPr>
        <w:t>επικαλυμμένα με λεπτό υμένιο δισκία</w:t>
      </w:r>
    </w:p>
    <w:p w:rsidR="00847B4F" w:rsidRPr="00281F10" w:rsidRDefault="00D31B6E" w:rsidP="005F04EA">
      <w:pPr>
        <w:spacing w:line="240" w:lineRule="auto"/>
        <w:rPr>
          <w:rFonts w:eastAsia="Times New Roman"/>
          <w:snapToGrid/>
          <w:szCs w:val="22"/>
          <w:highlight w:val="lightGray"/>
          <w:lang w:val="el-GR" w:eastAsia="en-US"/>
        </w:rPr>
      </w:pPr>
      <w:r w:rsidRPr="00281F10">
        <w:rPr>
          <w:rFonts w:eastAsia="Times New Roman"/>
          <w:snapToGrid/>
          <w:szCs w:val="22"/>
          <w:highlight w:val="lightGray"/>
          <w:lang w:val="el-GR" w:eastAsia="en-US"/>
        </w:rPr>
        <w:t xml:space="preserve">PALEXIA 75 </w:t>
      </w:r>
      <w:r w:rsidRPr="00281F10">
        <w:rPr>
          <w:rFonts w:eastAsia="Times New Roman"/>
          <w:snapToGrid/>
          <w:szCs w:val="22"/>
          <w:highlight w:val="lightGray"/>
          <w:lang w:val="en-GB" w:eastAsia="en-US"/>
        </w:rPr>
        <w:t>mg</w:t>
      </w:r>
      <w:r w:rsidRPr="00281F10">
        <w:rPr>
          <w:rFonts w:eastAsia="Times New Roman"/>
          <w:snapToGrid/>
          <w:szCs w:val="22"/>
          <w:highlight w:val="lightGray"/>
          <w:lang w:val="el-GR" w:eastAsia="en-US"/>
        </w:rPr>
        <w:t xml:space="preserve"> </w:t>
      </w:r>
      <w:r w:rsidR="001F2496" w:rsidRPr="00281F10">
        <w:rPr>
          <w:rFonts w:eastAsia="Times New Roman"/>
          <w:snapToGrid/>
          <w:szCs w:val="22"/>
          <w:highlight w:val="lightGray"/>
          <w:lang w:val="el-GR" w:eastAsia="en-US"/>
        </w:rPr>
        <w:t>επικαλυμμένα με λεπτό υμένιο δισκία</w:t>
      </w:r>
    </w:p>
    <w:p w:rsidR="00847B4F" w:rsidRPr="00281F10" w:rsidRDefault="001F2496" w:rsidP="005F04EA">
      <w:pPr>
        <w:spacing w:line="240" w:lineRule="auto"/>
        <w:rPr>
          <w:rFonts w:eastAsia="Times New Roman"/>
          <w:snapToGrid/>
          <w:szCs w:val="22"/>
          <w:highlight w:val="lightGray"/>
          <w:lang w:val="el-GR" w:eastAsia="en-US"/>
        </w:rPr>
      </w:pPr>
      <w:r w:rsidRPr="00281F10">
        <w:rPr>
          <w:rFonts w:eastAsia="Times New Roman"/>
          <w:snapToGrid/>
          <w:szCs w:val="22"/>
          <w:highlight w:val="lightGray"/>
          <w:lang w:val="el-GR" w:eastAsia="en-US"/>
        </w:rPr>
        <w:t xml:space="preserve">PALEXIA 100 </w:t>
      </w:r>
      <w:r w:rsidRPr="00281F10">
        <w:rPr>
          <w:rFonts w:eastAsia="Times New Roman"/>
          <w:snapToGrid/>
          <w:szCs w:val="22"/>
          <w:highlight w:val="lightGray"/>
          <w:lang w:val="en-GB" w:eastAsia="en-US"/>
        </w:rPr>
        <w:t>mg</w:t>
      </w:r>
      <w:r w:rsidRPr="00281F10">
        <w:rPr>
          <w:rFonts w:eastAsia="Times New Roman"/>
          <w:snapToGrid/>
          <w:szCs w:val="22"/>
          <w:highlight w:val="lightGray"/>
          <w:lang w:val="el-GR" w:eastAsia="en-US"/>
        </w:rPr>
        <w:t xml:space="preserve"> επικαλυμμένα με λεπτό υμένιο δισκία</w:t>
      </w:r>
    </w:p>
    <w:p w:rsidR="00847B4F" w:rsidRPr="00281F10" w:rsidRDefault="00847B4F" w:rsidP="005F04EA">
      <w:pPr>
        <w:spacing w:line="240" w:lineRule="auto"/>
        <w:rPr>
          <w:b/>
          <w:caps/>
          <w:szCs w:val="22"/>
          <w:lang w:val="el-GR"/>
        </w:rPr>
      </w:pPr>
    </w:p>
    <w:p w:rsidR="00847B4F" w:rsidRPr="00281F10" w:rsidRDefault="00847B4F" w:rsidP="005F04EA">
      <w:pPr>
        <w:spacing w:line="240" w:lineRule="auto"/>
        <w:rPr>
          <w:b/>
          <w:caps/>
          <w:szCs w:val="22"/>
          <w:lang w:val="el-GR"/>
        </w:rPr>
      </w:pPr>
    </w:p>
    <w:p w:rsidR="00847B4F" w:rsidRPr="00281F10" w:rsidRDefault="001F2496" w:rsidP="005F04EA">
      <w:pPr>
        <w:pStyle w:val="1"/>
        <w:spacing w:before="0" w:after="0" w:line="240" w:lineRule="auto"/>
        <w:rPr>
          <w:sz w:val="22"/>
          <w:szCs w:val="22"/>
          <w:lang w:val="el-GR"/>
        </w:rPr>
      </w:pPr>
      <w:r w:rsidRPr="00281F10">
        <w:rPr>
          <w:sz w:val="22"/>
          <w:szCs w:val="22"/>
          <w:lang w:val="el-GR"/>
        </w:rPr>
        <w:t>2.</w:t>
      </w:r>
      <w:r w:rsidRPr="00281F10">
        <w:rPr>
          <w:sz w:val="22"/>
          <w:szCs w:val="22"/>
          <w:lang w:val="el-GR"/>
        </w:rPr>
        <w:tab/>
        <w:t>ΠΟΣΟΤΙΚΗ ΚΑΙ ΠΟΙΟΤΙΚΗ ΣΥΝΘΕΣΗ</w:t>
      </w:r>
    </w:p>
    <w:p w:rsidR="006A0546" w:rsidRPr="00281F10" w:rsidRDefault="006A0546" w:rsidP="005F04EA">
      <w:pPr>
        <w:spacing w:line="240" w:lineRule="auto"/>
        <w:rPr>
          <w:szCs w:val="22"/>
          <w:lang w:val="el-GR"/>
        </w:rPr>
      </w:pPr>
    </w:p>
    <w:p w:rsidR="00847B4F" w:rsidRPr="00281F10" w:rsidRDefault="00D31B6E" w:rsidP="005F04EA">
      <w:pPr>
        <w:spacing w:line="240" w:lineRule="auto"/>
        <w:rPr>
          <w:szCs w:val="22"/>
          <w:lang w:val="el-GR"/>
        </w:rPr>
      </w:pPr>
      <w:r w:rsidRPr="00281F10">
        <w:rPr>
          <w:szCs w:val="22"/>
          <w:lang w:val="el-GR"/>
        </w:rPr>
        <w:t xml:space="preserve">Κάθε </w:t>
      </w:r>
      <w:r w:rsidR="001F2496" w:rsidRPr="00281F10">
        <w:rPr>
          <w:szCs w:val="22"/>
          <w:lang w:val="el-GR"/>
        </w:rPr>
        <w:t>επικαλυμμένο με λεπτό υμένιο δισκίο περιέχει 50 mg ταπενταδόλης (ως υδροχλωρική).</w:t>
      </w:r>
    </w:p>
    <w:p w:rsidR="00847B4F" w:rsidRPr="00281F10" w:rsidRDefault="001F2496" w:rsidP="005F04EA">
      <w:pPr>
        <w:spacing w:line="240" w:lineRule="auto"/>
        <w:rPr>
          <w:rFonts w:eastAsia="Times New Roman"/>
          <w:snapToGrid/>
          <w:szCs w:val="22"/>
          <w:highlight w:val="lightGray"/>
          <w:lang w:val="el-GR" w:eastAsia="en-US"/>
        </w:rPr>
      </w:pPr>
      <w:r w:rsidRPr="00281F10">
        <w:rPr>
          <w:rFonts w:eastAsia="Times New Roman"/>
          <w:snapToGrid/>
          <w:szCs w:val="22"/>
          <w:highlight w:val="lightGray"/>
          <w:lang w:val="el-GR" w:eastAsia="en-US"/>
        </w:rPr>
        <w:t xml:space="preserve">Κάθε επικαλυμμένο με λεπτό υμένιο δισκίο περιέχει 75 </w:t>
      </w:r>
      <w:r w:rsidRPr="00281F10">
        <w:rPr>
          <w:rFonts w:eastAsia="Times New Roman"/>
          <w:snapToGrid/>
          <w:szCs w:val="22"/>
          <w:highlight w:val="lightGray"/>
          <w:lang w:val="en-GB" w:eastAsia="en-US"/>
        </w:rPr>
        <w:t>mg</w:t>
      </w:r>
      <w:r w:rsidRPr="00281F10">
        <w:rPr>
          <w:rFonts w:eastAsia="Times New Roman"/>
          <w:snapToGrid/>
          <w:szCs w:val="22"/>
          <w:highlight w:val="lightGray"/>
          <w:lang w:val="el-GR" w:eastAsia="en-US"/>
        </w:rPr>
        <w:t xml:space="preserve"> ταπενταδόλης (ως υδροχλωρική).</w:t>
      </w:r>
    </w:p>
    <w:p w:rsidR="00847B4F" w:rsidRPr="00281F10" w:rsidRDefault="001F2496" w:rsidP="005F04EA">
      <w:pPr>
        <w:spacing w:line="240" w:lineRule="auto"/>
        <w:rPr>
          <w:rFonts w:eastAsia="Times New Roman"/>
          <w:snapToGrid/>
          <w:szCs w:val="22"/>
          <w:highlight w:val="lightGray"/>
          <w:lang w:val="el-GR" w:eastAsia="en-US"/>
        </w:rPr>
      </w:pPr>
      <w:r w:rsidRPr="00281F10">
        <w:rPr>
          <w:rFonts w:eastAsia="Times New Roman"/>
          <w:snapToGrid/>
          <w:szCs w:val="22"/>
          <w:highlight w:val="lightGray"/>
          <w:lang w:val="el-GR" w:eastAsia="en-US"/>
        </w:rPr>
        <w:t xml:space="preserve">Κάθε επικαλυμμένο με λεπτό υμένιο δισκίο περιέχει 100 </w:t>
      </w:r>
      <w:r w:rsidRPr="00281F10">
        <w:rPr>
          <w:rFonts w:eastAsia="Times New Roman"/>
          <w:snapToGrid/>
          <w:szCs w:val="22"/>
          <w:highlight w:val="lightGray"/>
          <w:lang w:val="en-GB" w:eastAsia="en-US"/>
        </w:rPr>
        <w:t>mg</w:t>
      </w:r>
      <w:r w:rsidRPr="00281F10">
        <w:rPr>
          <w:rFonts w:eastAsia="Times New Roman"/>
          <w:snapToGrid/>
          <w:szCs w:val="22"/>
          <w:highlight w:val="lightGray"/>
          <w:lang w:val="el-GR" w:eastAsia="en-US"/>
        </w:rPr>
        <w:t xml:space="preserve"> ταπενταδόλης (ως υδροχλωρική).</w:t>
      </w:r>
    </w:p>
    <w:p w:rsidR="00847B4F" w:rsidRPr="00281F10" w:rsidRDefault="00847B4F" w:rsidP="005F04EA">
      <w:pPr>
        <w:spacing w:line="240" w:lineRule="auto"/>
        <w:rPr>
          <w:szCs w:val="22"/>
          <w:lang w:val="el-GR"/>
        </w:rPr>
      </w:pPr>
    </w:p>
    <w:p w:rsidR="00847B4F" w:rsidRPr="00281F10" w:rsidRDefault="001F2496" w:rsidP="005F04EA">
      <w:pPr>
        <w:spacing w:line="240" w:lineRule="auto"/>
        <w:rPr>
          <w:szCs w:val="22"/>
          <w:lang w:val="el-GR"/>
        </w:rPr>
      </w:pPr>
      <w:r w:rsidRPr="00281F10">
        <w:rPr>
          <w:szCs w:val="22"/>
          <w:lang w:val="el-GR"/>
        </w:rPr>
        <w:t>Έκδοχο(α)</w:t>
      </w:r>
      <w:r w:rsidR="003B261E">
        <w:rPr>
          <w:szCs w:val="22"/>
          <w:lang w:val="el-GR"/>
        </w:rPr>
        <w:t xml:space="preserve"> με γνωστή δράση</w:t>
      </w:r>
      <w:r w:rsidRPr="00281F10">
        <w:rPr>
          <w:szCs w:val="22"/>
          <w:lang w:val="el-GR"/>
        </w:rPr>
        <w:t xml:space="preserve">: </w:t>
      </w:r>
    </w:p>
    <w:p w:rsidR="00847B4F" w:rsidRPr="00281F10" w:rsidRDefault="001F2496" w:rsidP="005F04EA">
      <w:pPr>
        <w:spacing w:line="240" w:lineRule="auto"/>
        <w:rPr>
          <w:szCs w:val="22"/>
          <w:lang w:val="el-GR"/>
        </w:rPr>
      </w:pPr>
      <w:r w:rsidRPr="00281F10">
        <w:rPr>
          <w:szCs w:val="22"/>
          <w:lang w:val="el-GR"/>
        </w:rPr>
        <w:t xml:space="preserve">Το PALEXIA 50 mg περιέχει 24,74 mg λακτόζης. </w:t>
      </w:r>
    </w:p>
    <w:p w:rsidR="00847B4F" w:rsidRPr="00281F10" w:rsidRDefault="001F2496" w:rsidP="005F04EA">
      <w:pPr>
        <w:spacing w:line="240" w:lineRule="auto"/>
        <w:rPr>
          <w:rFonts w:eastAsia="Times New Roman"/>
          <w:snapToGrid/>
          <w:szCs w:val="22"/>
          <w:highlight w:val="lightGray"/>
          <w:lang w:val="el-GR" w:eastAsia="en-US"/>
        </w:rPr>
      </w:pPr>
      <w:r w:rsidRPr="00281F10">
        <w:rPr>
          <w:rFonts w:eastAsia="Times New Roman"/>
          <w:snapToGrid/>
          <w:szCs w:val="22"/>
          <w:highlight w:val="lightGray"/>
          <w:lang w:val="el-GR" w:eastAsia="en-US"/>
        </w:rPr>
        <w:t xml:space="preserve">Το PALEXIA 75 </w:t>
      </w:r>
      <w:r w:rsidRPr="00281F10">
        <w:rPr>
          <w:rFonts w:eastAsia="Times New Roman"/>
          <w:snapToGrid/>
          <w:szCs w:val="22"/>
          <w:highlight w:val="lightGray"/>
          <w:lang w:val="en-GB" w:eastAsia="en-US"/>
        </w:rPr>
        <w:t>mg</w:t>
      </w:r>
      <w:r w:rsidRPr="00281F10">
        <w:rPr>
          <w:rFonts w:eastAsia="Times New Roman"/>
          <w:snapToGrid/>
          <w:szCs w:val="22"/>
          <w:highlight w:val="lightGray"/>
          <w:lang w:val="el-GR" w:eastAsia="en-US"/>
        </w:rPr>
        <w:t xml:space="preserve"> περιέχει 37,11 </w:t>
      </w:r>
      <w:r w:rsidRPr="00281F10">
        <w:rPr>
          <w:rFonts w:eastAsia="Times New Roman"/>
          <w:snapToGrid/>
          <w:szCs w:val="22"/>
          <w:highlight w:val="lightGray"/>
          <w:lang w:val="en-GB" w:eastAsia="en-US"/>
        </w:rPr>
        <w:t>mg</w:t>
      </w:r>
      <w:r w:rsidRPr="00281F10">
        <w:rPr>
          <w:rFonts w:eastAsia="Times New Roman"/>
          <w:snapToGrid/>
          <w:szCs w:val="22"/>
          <w:highlight w:val="lightGray"/>
          <w:lang w:val="el-GR" w:eastAsia="en-US"/>
        </w:rPr>
        <w:t xml:space="preserve"> λακτόζης.</w:t>
      </w:r>
    </w:p>
    <w:p w:rsidR="00847B4F" w:rsidRPr="00281F10" w:rsidRDefault="001F2496" w:rsidP="005F04EA">
      <w:pPr>
        <w:spacing w:line="240" w:lineRule="auto"/>
        <w:rPr>
          <w:szCs w:val="22"/>
          <w:lang w:val="el-GR"/>
        </w:rPr>
      </w:pPr>
      <w:r w:rsidRPr="00281F10">
        <w:rPr>
          <w:rFonts w:eastAsia="Times New Roman"/>
          <w:snapToGrid/>
          <w:szCs w:val="22"/>
          <w:highlight w:val="lightGray"/>
          <w:lang w:val="el-GR" w:eastAsia="en-US"/>
        </w:rPr>
        <w:t xml:space="preserve">Το PALEXIA 100 </w:t>
      </w:r>
      <w:r w:rsidRPr="00281F10">
        <w:rPr>
          <w:rFonts w:eastAsia="Times New Roman"/>
          <w:snapToGrid/>
          <w:szCs w:val="22"/>
          <w:highlight w:val="lightGray"/>
          <w:lang w:val="en-GB" w:eastAsia="en-US"/>
        </w:rPr>
        <w:t>mg</w:t>
      </w:r>
      <w:r w:rsidRPr="00281F10">
        <w:rPr>
          <w:rFonts w:eastAsia="Times New Roman"/>
          <w:snapToGrid/>
          <w:szCs w:val="22"/>
          <w:highlight w:val="lightGray"/>
          <w:lang w:val="el-GR" w:eastAsia="en-US"/>
        </w:rPr>
        <w:t xml:space="preserve"> περιέχει 49,48 </w:t>
      </w:r>
      <w:r w:rsidRPr="00281F10">
        <w:rPr>
          <w:rFonts w:eastAsia="Times New Roman"/>
          <w:snapToGrid/>
          <w:szCs w:val="22"/>
          <w:highlight w:val="lightGray"/>
          <w:lang w:val="en-GB" w:eastAsia="en-US"/>
        </w:rPr>
        <w:t>mg</w:t>
      </w:r>
      <w:r w:rsidRPr="00281F10">
        <w:rPr>
          <w:rFonts w:eastAsia="Times New Roman"/>
          <w:snapToGrid/>
          <w:szCs w:val="22"/>
          <w:highlight w:val="lightGray"/>
          <w:lang w:val="el-GR" w:eastAsia="en-US"/>
        </w:rPr>
        <w:t xml:space="preserve"> λακτόζης.</w:t>
      </w:r>
    </w:p>
    <w:p w:rsidR="00847B4F" w:rsidRPr="00281F10" w:rsidRDefault="00847B4F" w:rsidP="005F04EA">
      <w:pPr>
        <w:spacing w:line="240" w:lineRule="auto"/>
        <w:rPr>
          <w:szCs w:val="22"/>
          <w:lang w:val="el-GR"/>
        </w:rPr>
      </w:pPr>
    </w:p>
    <w:p w:rsidR="00847B4F" w:rsidRPr="00281F10" w:rsidRDefault="001F2496" w:rsidP="005F04EA">
      <w:pPr>
        <w:spacing w:line="240" w:lineRule="auto"/>
        <w:rPr>
          <w:szCs w:val="22"/>
          <w:lang w:val="el-GR"/>
        </w:rPr>
      </w:pPr>
      <w:r w:rsidRPr="00281F10">
        <w:rPr>
          <w:szCs w:val="22"/>
          <w:lang w:val="el-GR"/>
        </w:rPr>
        <w:t>Για τον πλήρη κατάλογο των εκδόχων, βλέπε παράγραφο 6.1.</w:t>
      </w:r>
    </w:p>
    <w:p w:rsidR="00847B4F" w:rsidRPr="00281F10" w:rsidRDefault="00847B4F" w:rsidP="005F04EA">
      <w:pPr>
        <w:spacing w:line="240" w:lineRule="auto"/>
        <w:rPr>
          <w:szCs w:val="22"/>
          <w:lang w:val="el-GR"/>
        </w:rPr>
      </w:pPr>
    </w:p>
    <w:p w:rsidR="00847B4F" w:rsidRPr="00281F10" w:rsidRDefault="00847B4F" w:rsidP="005F04EA">
      <w:pPr>
        <w:spacing w:line="240" w:lineRule="auto"/>
        <w:rPr>
          <w:szCs w:val="22"/>
          <w:lang w:val="el-GR"/>
        </w:rPr>
      </w:pPr>
    </w:p>
    <w:p w:rsidR="00847B4F" w:rsidRPr="00281F10" w:rsidRDefault="001F2496" w:rsidP="005F04EA">
      <w:pPr>
        <w:pStyle w:val="1"/>
        <w:spacing w:before="0" w:after="0" w:line="240" w:lineRule="auto"/>
        <w:rPr>
          <w:sz w:val="22"/>
          <w:szCs w:val="22"/>
          <w:lang w:val="el-GR"/>
        </w:rPr>
      </w:pPr>
      <w:r w:rsidRPr="00281F10">
        <w:rPr>
          <w:sz w:val="22"/>
          <w:szCs w:val="22"/>
          <w:lang w:val="el-GR"/>
        </w:rPr>
        <w:t>3.</w:t>
      </w:r>
      <w:r w:rsidRPr="00281F10">
        <w:rPr>
          <w:sz w:val="22"/>
          <w:szCs w:val="22"/>
          <w:lang w:val="el-GR"/>
        </w:rPr>
        <w:tab/>
        <w:t>ΦΑΡΜΑΚΟΤΕΧΝΙΚΗ ΜΟΡΦΗ</w:t>
      </w:r>
    </w:p>
    <w:p w:rsidR="006A0546" w:rsidRPr="00281F10" w:rsidRDefault="006A0546" w:rsidP="005F04EA">
      <w:pPr>
        <w:spacing w:line="240" w:lineRule="auto"/>
        <w:rPr>
          <w:szCs w:val="22"/>
          <w:lang w:val="el-GR"/>
        </w:rPr>
      </w:pPr>
    </w:p>
    <w:p w:rsidR="00847B4F" w:rsidRPr="00281F10" w:rsidRDefault="00D31B6E" w:rsidP="005F04EA">
      <w:pPr>
        <w:spacing w:line="240" w:lineRule="auto"/>
        <w:rPr>
          <w:szCs w:val="22"/>
          <w:lang w:val="el-GR"/>
        </w:rPr>
      </w:pPr>
      <w:r w:rsidRPr="00281F10">
        <w:rPr>
          <w:szCs w:val="22"/>
          <w:lang w:val="el-GR"/>
        </w:rPr>
        <w:t>Επικαλυμμένο με λεπτό υμένιο δισκίο</w:t>
      </w:r>
      <w:r w:rsidR="001F2496" w:rsidRPr="00281F10">
        <w:rPr>
          <w:szCs w:val="22"/>
          <w:lang w:val="el-GR"/>
        </w:rPr>
        <w:t xml:space="preserve"> (δισκίο)</w:t>
      </w:r>
    </w:p>
    <w:p w:rsidR="00847B4F" w:rsidRPr="00281F10" w:rsidRDefault="00847B4F" w:rsidP="005F04EA">
      <w:pPr>
        <w:spacing w:line="240" w:lineRule="auto"/>
        <w:rPr>
          <w:szCs w:val="22"/>
          <w:lang w:val="el-GR"/>
        </w:rPr>
      </w:pPr>
    </w:p>
    <w:p w:rsidR="00847B4F" w:rsidRPr="00281F10" w:rsidRDefault="001F2496" w:rsidP="005F04EA">
      <w:pPr>
        <w:tabs>
          <w:tab w:val="clear" w:pos="567"/>
        </w:tabs>
        <w:autoSpaceDE w:val="0"/>
        <w:autoSpaceDN w:val="0"/>
        <w:adjustRightInd w:val="0"/>
        <w:spacing w:line="240" w:lineRule="auto"/>
        <w:rPr>
          <w:szCs w:val="22"/>
          <w:lang w:val="el-GR"/>
        </w:rPr>
      </w:pPr>
      <w:r w:rsidRPr="00281F10">
        <w:rPr>
          <w:szCs w:val="22"/>
          <w:lang w:val="el-GR"/>
        </w:rPr>
        <w:t>[50 mg]:</w:t>
      </w:r>
      <w:r w:rsidRPr="00281F10">
        <w:rPr>
          <w:noProof/>
          <w:szCs w:val="22"/>
          <w:lang w:val="el-GR"/>
        </w:rPr>
        <w:t xml:space="preserve"> </w:t>
      </w:r>
      <w:r w:rsidRPr="00281F10">
        <w:rPr>
          <w:szCs w:val="22"/>
          <w:lang w:val="el-GR"/>
        </w:rPr>
        <w:t>Στρογγυλά επικαλυμμένα με λεπτό υμένιο δισκία λευκού χρώματος και διαμέτρου 7 mm, με το λογότυπο Grünenthal στη μία πλευρά και το «Η6» στην άλλη πλευρά.</w:t>
      </w:r>
    </w:p>
    <w:p w:rsidR="00847B4F" w:rsidRPr="00281F10" w:rsidRDefault="00847B4F" w:rsidP="005F04EA">
      <w:pPr>
        <w:tabs>
          <w:tab w:val="clear" w:pos="567"/>
        </w:tabs>
        <w:autoSpaceDE w:val="0"/>
        <w:autoSpaceDN w:val="0"/>
        <w:adjustRightInd w:val="0"/>
        <w:spacing w:line="240" w:lineRule="auto"/>
        <w:rPr>
          <w:szCs w:val="22"/>
          <w:lang w:val="el-GR"/>
        </w:rPr>
      </w:pPr>
    </w:p>
    <w:p w:rsidR="00847B4F" w:rsidRPr="00281F10" w:rsidRDefault="001F2496" w:rsidP="005F04EA">
      <w:pPr>
        <w:tabs>
          <w:tab w:val="clear" w:pos="567"/>
        </w:tabs>
        <w:autoSpaceDE w:val="0"/>
        <w:autoSpaceDN w:val="0"/>
        <w:adjustRightInd w:val="0"/>
        <w:spacing w:line="240" w:lineRule="auto"/>
        <w:rPr>
          <w:rFonts w:eastAsia="Times New Roman"/>
          <w:snapToGrid/>
          <w:szCs w:val="22"/>
          <w:highlight w:val="lightGray"/>
          <w:lang w:val="el-GR" w:eastAsia="en-US"/>
        </w:rPr>
      </w:pPr>
      <w:r w:rsidRPr="00281F10">
        <w:rPr>
          <w:rFonts w:eastAsia="Times New Roman"/>
          <w:snapToGrid/>
          <w:szCs w:val="22"/>
          <w:highlight w:val="lightGray"/>
          <w:lang w:val="el-GR" w:eastAsia="en-US"/>
        </w:rPr>
        <w:t xml:space="preserve">[75 </w:t>
      </w:r>
      <w:r w:rsidRPr="00281F10">
        <w:rPr>
          <w:rFonts w:eastAsia="Times New Roman"/>
          <w:snapToGrid/>
          <w:szCs w:val="22"/>
          <w:highlight w:val="lightGray"/>
          <w:lang w:val="en-GB" w:eastAsia="en-US"/>
        </w:rPr>
        <w:t>mg</w:t>
      </w:r>
      <w:r w:rsidRPr="00281F10">
        <w:rPr>
          <w:rFonts w:eastAsia="Times New Roman"/>
          <w:snapToGrid/>
          <w:szCs w:val="22"/>
          <w:highlight w:val="lightGray"/>
          <w:lang w:val="el-GR" w:eastAsia="en-US"/>
        </w:rPr>
        <w:t xml:space="preserve">]: Στρογγυλά επικαλυμμένα με λεπτό υμένιο δισκία ανοιχτού κίτρινου χρώματος και διαμέτρου 8 </w:t>
      </w:r>
      <w:r w:rsidRPr="00281F10">
        <w:rPr>
          <w:rFonts w:eastAsia="Times New Roman"/>
          <w:snapToGrid/>
          <w:szCs w:val="22"/>
          <w:highlight w:val="lightGray"/>
          <w:lang w:val="en-GB" w:eastAsia="en-US"/>
        </w:rPr>
        <w:t>mm</w:t>
      </w:r>
      <w:r w:rsidRPr="00281F10">
        <w:rPr>
          <w:rFonts w:eastAsia="Times New Roman"/>
          <w:snapToGrid/>
          <w:szCs w:val="22"/>
          <w:highlight w:val="lightGray"/>
          <w:lang w:val="el-GR" w:eastAsia="en-US"/>
        </w:rPr>
        <w:t xml:space="preserve">, με το λογότυπο </w:t>
      </w:r>
      <w:r w:rsidRPr="00281F10">
        <w:rPr>
          <w:rFonts w:eastAsia="Times New Roman"/>
          <w:snapToGrid/>
          <w:szCs w:val="22"/>
          <w:highlight w:val="lightGray"/>
          <w:lang w:val="en-GB" w:eastAsia="en-US"/>
        </w:rPr>
        <w:t>Gr</w:t>
      </w:r>
      <w:r w:rsidRPr="00281F10">
        <w:rPr>
          <w:rFonts w:eastAsia="Times New Roman"/>
          <w:snapToGrid/>
          <w:szCs w:val="22"/>
          <w:highlight w:val="lightGray"/>
          <w:lang w:val="el-GR" w:eastAsia="en-US"/>
        </w:rPr>
        <w:t>ü</w:t>
      </w:r>
      <w:r w:rsidRPr="00281F10">
        <w:rPr>
          <w:rFonts w:eastAsia="Times New Roman"/>
          <w:snapToGrid/>
          <w:szCs w:val="22"/>
          <w:highlight w:val="lightGray"/>
          <w:lang w:val="en-GB" w:eastAsia="en-US"/>
        </w:rPr>
        <w:t>nenthal</w:t>
      </w:r>
      <w:r w:rsidRPr="00281F10">
        <w:rPr>
          <w:rFonts w:eastAsia="Times New Roman"/>
          <w:snapToGrid/>
          <w:szCs w:val="22"/>
          <w:highlight w:val="lightGray"/>
          <w:lang w:val="el-GR" w:eastAsia="en-US"/>
        </w:rPr>
        <w:t xml:space="preserve"> στη μία πλευρά και το «Η7» στην άλλη πλευρά.</w:t>
      </w:r>
    </w:p>
    <w:p w:rsidR="00847B4F" w:rsidRPr="00281F10" w:rsidRDefault="00847B4F" w:rsidP="005F04EA">
      <w:pPr>
        <w:tabs>
          <w:tab w:val="clear" w:pos="567"/>
        </w:tabs>
        <w:autoSpaceDE w:val="0"/>
        <w:autoSpaceDN w:val="0"/>
        <w:adjustRightInd w:val="0"/>
        <w:spacing w:line="240" w:lineRule="auto"/>
        <w:rPr>
          <w:rFonts w:eastAsia="Times New Roman"/>
          <w:snapToGrid/>
          <w:szCs w:val="22"/>
          <w:highlight w:val="lightGray"/>
          <w:lang w:val="el-GR" w:eastAsia="en-US"/>
        </w:rPr>
      </w:pPr>
    </w:p>
    <w:p w:rsidR="00847B4F" w:rsidRPr="00281F10" w:rsidRDefault="001F2496" w:rsidP="005F04EA">
      <w:pPr>
        <w:tabs>
          <w:tab w:val="clear" w:pos="567"/>
        </w:tabs>
        <w:autoSpaceDE w:val="0"/>
        <w:autoSpaceDN w:val="0"/>
        <w:adjustRightInd w:val="0"/>
        <w:spacing w:line="240" w:lineRule="auto"/>
        <w:rPr>
          <w:rFonts w:eastAsia="Times New Roman"/>
          <w:snapToGrid/>
          <w:szCs w:val="22"/>
          <w:highlight w:val="lightGray"/>
          <w:lang w:val="el-GR" w:eastAsia="en-US"/>
        </w:rPr>
      </w:pPr>
      <w:r w:rsidRPr="00281F10">
        <w:rPr>
          <w:rFonts w:eastAsia="Times New Roman"/>
          <w:snapToGrid/>
          <w:szCs w:val="22"/>
          <w:highlight w:val="lightGray"/>
          <w:lang w:val="el-GR" w:eastAsia="en-US"/>
        </w:rPr>
        <w:t xml:space="preserve">[100 </w:t>
      </w:r>
      <w:r w:rsidRPr="00281F10">
        <w:rPr>
          <w:rFonts w:eastAsia="Times New Roman"/>
          <w:snapToGrid/>
          <w:szCs w:val="22"/>
          <w:highlight w:val="lightGray"/>
          <w:lang w:val="en-GB" w:eastAsia="en-US"/>
        </w:rPr>
        <w:t>mg</w:t>
      </w:r>
      <w:r w:rsidRPr="00281F10">
        <w:rPr>
          <w:rFonts w:eastAsia="Times New Roman"/>
          <w:snapToGrid/>
          <w:szCs w:val="22"/>
          <w:highlight w:val="lightGray"/>
          <w:lang w:val="el-GR" w:eastAsia="en-US"/>
        </w:rPr>
        <w:t xml:space="preserve">]: Στρογγυλά επικαλυμμένα με λεπτό υμένιο δισκία ανοιχτού ροζ χρώματος και διαμέτρου 9 </w:t>
      </w:r>
      <w:r w:rsidRPr="00281F10">
        <w:rPr>
          <w:rFonts w:eastAsia="Times New Roman"/>
          <w:snapToGrid/>
          <w:szCs w:val="22"/>
          <w:highlight w:val="lightGray"/>
          <w:lang w:val="en-GB" w:eastAsia="en-US"/>
        </w:rPr>
        <w:t>mm</w:t>
      </w:r>
      <w:r w:rsidRPr="00281F10">
        <w:rPr>
          <w:rFonts w:eastAsia="Times New Roman"/>
          <w:snapToGrid/>
          <w:szCs w:val="22"/>
          <w:highlight w:val="lightGray"/>
          <w:lang w:val="el-GR" w:eastAsia="en-US"/>
        </w:rPr>
        <w:t xml:space="preserve">, με το λογότυπο </w:t>
      </w:r>
      <w:r w:rsidRPr="00281F10">
        <w:rPr>
          <w:rFonts w:eastAsia="Times New Roman"/>
          <w:snapToGrid/>
          <w:szCs w:val="22"/>
          <w:highlight w:val="lightGray"/>
          <w:lang w:val="en-GB" w:eastAsia="en-US"/>
        </w:rPr>
        <w:t>Gr</w:t>
      </w:r>
      <w:r w:rsidRPr="00281F10">
        <w:rPr>
          <w:rFonts w:eastAsia="Times New Roman"/>
          <w:snapToGrid/>
          <w:szCs w:val="22"/>
          <w:highlight w:val="lightGray"/>
          <w:lang w:val="el-GR" w:eastAsia="en-US"/>
        </w:rPr>
        <w:t>ü</w:t>
      </w:r>
      <w:r w:rsidRPr="00281F10">
        <w:rPr>
          <w:rFonts w:eastAsia="Times New Roman"/>
          <w:snapToGrid/>
          <w:szCs w:val="22"/>
          <w:highlight w:val="lightGray"/>
          <w:lang w:val="en-GB" w:eastAsia="en-US"/>
        </w:rPr>
        <w:t>nenthal</w:t>
      </w:r>
      <w:r w:rsidRPr="00281F10">
        <w:rPr>
          <w:rFonts w:eastAsia="Times New Roman"/>
          <w:snapToGrid/>
          <w:szCs w:val="22"/>
          <w:highlight w:val="lightGray"/>
          <w:lang w:val="el-GR" w:eastAsia="en-US"/>
        </w:rPr>
        <w:t xml:space="preserve"> στη μία πλευρά και το «Η8» στην άλλη πλευρά.</w:t>
      </w:r>
    </w:p>
    <w:p w:rsidR="00847B4F" w:rsidRPr="00281F10" w:rsidRDefault="00847B4F" w:rsidP="005F04EA">
      <w:pPr>
        <w:spacing w:line="240" w:lineRule="auto"/>
        <w:rPr>
          <w:szCs w:val="22"/>
          <w:lang w:val="el-GR"/>
        </w:rPr>
      </w:pPr>
    </w:p>
    <w:p w:rsidR="00847B4F" w:rsidRPr="00281F10" w:rsidRDefault="00847B4F" w:rsidP="005F04EA">
      <w:pPr>
        <w:spacing w:line="240" w:lineRule="auto"/>
        <w:rPr>
          <w:b/>
          <w:caps/>
          <w:szCs w:val="22"/>
          <w:lang w:val="el-GR"/>
        </w:rPr>
      </w:pPr>
    </w:p>
    <w:p w:rsidR="00847B4F" w:rsidRPr="00281F10" w:rsidRDefault="001F2496" w:rsidP="005F04EA">
      <w:pPr>
        <w:pStyle w:val="1"/>
        <w:spacing w:before="0" w:after="0" w:line="240" w:lineRule="auto"/>
        <w:rPr>
          <w:sz w:val="22"/>
          <w:szCs w:val="22"/>
          <w:lang w:val="el-GR"/>
        </w:rPr>
      </w:pPr>
      <w:r w:rsidRPr="00281F10">
        <w:rPr>
          <w:sz w:val="22"/>
          <w:szCs w:val="22"/>
          <w:lang w:val="el-GR"/>
        </w:rPr>
        <w:t>4.</w:t>
      </w:r>
      <w:r w:rsidRPr="00281F10">
        <w:rPr>
          <w:sz w:val="22"/>
          <w:szCs w:val="22"/>
          <w:lang w:val="el-GR"/>
        </w:rPr>
        <w:tab/>
        <w:t>κλινικεσ πληροφοριεσ</w:t>
      </w:r>
    </w:p>
    <w:p w:rsidR="006A0546" w:rsidRPr="00281F10" w:rsidRDefault="006A0546" w:rsidP="005F04EA">
      <w:pPr>
        <w:pStyle w:val="2"/>
        <w:spacing w:before="0" w:after="0" w:line="240" w:lineRule="auto"/>
        <w:rPr>
          <w:rFonts w:ascii="Times New Roman" w:hAnsi="Times New Roman"/>
          <w:i w:val="0"/>
          <w:sz w:val="22"/>
          <w:szCs w:val="22"/>
          <w:lang w:val="el-GR"/>
        </w:rPr>
      </w:pPr>
    </w:p>
    <w:p w:rsidR="00847B4F" w:rsidRPr="00281F10" w:rsidRDefault="001F2496" w:rsidP="005F04EA">
      <w:pPr>
        <w:pStyle w:val="2"/>
        <w:spacing w:before="0" w:after="0" w:line="240" w:lineRule="auto"/>
        <w:rPr>
          <w:rFonts w:ascii="Times New Roman" w:hAnsi="Times New Roman"/>
          <w:i w:val="0"/>
          <w:sz w:val="22"/>
          <w:szCs w:val="22"/>
          <w:lang w:val="el-GR"/>
        </w:rPr>
      </w:pPr>
      <w:r w:rsidRPr="00281F10">
        <w:rPr>
          <w:rFonts w:ascii="Times New Roman" w:hAnsi="Times New Roman"/>
          <w:i w:val="0"/>
          <w:sz w:val="22"/>
          <w:szCs w:val="22"/>
          <w:lang w:val="el-GR"/>
        </w:rPr>
        <w:t>4.1</w:t>
      </w:r>
      <w:r w:rsidRPr="00281F10">
        <w:rPr>
          <w:rFonts w:ascii="Times New Roman" w:hAnsi="Times New Roman"/>
          <w:i w:val="0"/>
          <w:sz w:val="22"/>
          <w:szCs w:val="22"/>
          <w:lang w:val="el-GR"/>
        </w:rPr>
        <w:tab/>
        <w:t>Θεραπευτικές ενδείξεις</w:t>
      </w:r>
    </w:p>
    <w:p w:rsidR="009F43C1" w:rsidRPr="00281F10" w:rsidRDefault="009F43C1" w:rsidP="005F04EA">
      <w:pPr>
        <w:spacing w:line="240" w:lineRule="auto"/>
        <w:rPr>
          <w:szCs w:val="22"/>
          <w:lang w:val="el-GR"/>
        </w:rPr>
      </w:pPr>
    </w:p>
    <w:p w:rsidR="00847B4F" w:rsidRPr="00281F10" w:rsidRDefault="00D31B6E" w:rsidP="005F04EA">
      <w:pPr>
        <w:spacing w:line="240" w:lineRule="auto"/>
        <w:rPr>
          <w:szCs w:val="22"/>
          <w:lang w:val="el-GR"/>
        </w:rPr>
      </w:pPr>
      <w:r w:rsidRPr="00281F10">
        <w:rPr>
          <w:szCs w:val="22"/>
          <w:lang w:val="el-GR"/>
        </w:rPr>
        <w:t xml:space="preserve">Το PALEXIA ενδείκνυται για την ανακούφιση του </w:t>
      </w:r>
      <w:r w:rsidR="001F2496" w:rsidRPr="00281F10">
        <w:rPr>
          <w:szCs w:val="22"/>
          <w:lang w:val="el-GR"/>
        </w:rPr>
        <w:t>μέτριου έως</w:t>
      </w:r>
      <w:r w:rsidR="006B468A" w:rsidRPr="00281F10">
        <w:rPr>
          <w:szCs w:val="22"/>
          <w:lang w:val="el-GR"/>
        </w:rPr>
        <w:t xml:space="preserve"> </w:t>
      </w:r>
      <w:r w:rsidR="00847B4F" w:rsidRPr="00281F10">
        <w:rPr>
          <w:szCs w:val="22"/>
          <w:lang w:val="el-GR"/>
        </w:rPr>
        <w:t>σοβαρού οξέος πόνου</w:t>
      </w:r>
      <w:r w:rsidR="006B468A" w:rsidRPr="00281F10">
        <w:rPr>
          <w:szCs w:val="22"/>
          <w:lang w:val="el-GR"/>
        </w:rPr>
        <w:t xml:space="preserve"> </w:t>
      </w:r>
      <w:r w:rsidR="001F2496" w:rsidRPr="00281F10">
        <w:rPr>
          <w:szCs w:val="22"/>
          <w:lang w:val="el-GR"/>
        </w:rPr>
        <w:t>σε ενήλικες</w:t>
      </w:r>
      <w:r w:rsidR="00847B4F" w:rsidRPr="00281F10">
        <w:rPr>
          <w:szCs w:val="22"/>
          <w:lang w:val="el-GR"/>
        </w:rPr>
        <w:t>, που μπορεί να αντιμετωπιστεί ικανοποιητικά μόνο με οπιοειδή αναλγητικά.</w:t>
      </w:r>
    </w:p>
    <w:p w:rsidR="00847B4F" w:rsidRPr="00281F10" w:rsidRDefault="00847B4F" w:rsidP="005F04EA">
      <w:pPr>
        <w:spacing w:line="240" w:lineRule="auto"/>
        <w:rPr>
          <w:szCs w:val="22"/>
          <w:lang w:val="el-GR"/>
        </w:rPr>
      </w:pPr>
    </w:p>
    <w:p w:rsidR="00847B4F" w:rsidRPr="00281F10" w:rsidRDefault="001F2496" w:rsidP="005F04EA">
      <w:pPr>
        <w:pStyle w:val="2"/>
        <w:spacing w:before="0" w:after="0" w:line="240" w:lineRule="auto"/>
        <w:rPr>
          <w:rFonts w:ascii="Times New Roman" w:hAnsi="Times New Roman"/>
          <w:sz w:val="22"/>
          <w:szCs w:val="22"/>
          <w:lang w:val="el-GR"/>
        </w:rPr>
      </w:pPr>
      <w:r w:rsidRPr="00281F10">
        <w:rPr>
          <w:rFonts w:ascii="Times New Roman" w:hAnsi="Times New Roman"/>
          <w:i w:val="0"/>
          <w:sz w:val="22"/>
          <w:szCs w:val="22"/>
          <w:lang w:val="el-GR"/>
        </w:rPr>
        <w:t>4.2</w:t>
      </w:r>
      <w:r w:rsidRPr="00281F10">
        <w:rPr>
          <w:rFonts w:ascii="Times New Roman" w:hAnsi="Times New Roman"/>
          <w:i w:val="0"/>
          <w:sz w:val="22"/>
          <w:szCs w:val="22"/>
          <w:lang w:val="el-GR"/>
        </w:rPr>
        <w:tab/>
        <w:t>Δοσολογία και τρόπος χορήγησης</w:t>
      </w:r>
    </w:p>
    <w:p w:rsidR="006A0546" w:rsidRPr="00281F10" w:rsidRDefault="006A0546" w:rsidP="005F04EA">
      <w:pPr>
        <w:spacing w:line="240" w:lineRule="auto"/>
        <w:rPr>
          <w:szCs w:val="22"/>
          <w:lang w:val="el-GR"/>
        </w:rPr>
      </w:pPr>
    </w:p>
    <w:p w:rsidR="00847B4F" w:rsidRPr="00281F10" w:rsidRDefault="00D31B6E" w:rsidP="005F04EA">
      <w:pPr>
        <w:spacing w:line="240" w:lineRule="auto"/>
        <w:rPr>
          <w:szCs w:val="22"/>
          <w:lang w:val="el-GR"/>
        </w:rPr>
      </w:pPr>
      <w:r w:rsidRPr="00281F10">
        <w:rPr>
          <w:szCs w:val="22"/>
          <w:lang w:val="el-GR"/>
        </w:rPr>
        <w:t xml:space="preserve">Το δοσολογικό σχήμα </w:t>
      </w:r>
      <w:r w:rsidR="001F2496" w:rsidRPr="00281F10">
        <w:rPr>
          <w:szCs w:val="22"/>
          <w:lang w:val="el-GR"/>
        </w:rPr>
        <w:t xml:space="preserve">πρέπει να εξατομικεύεται ανάλογα με τη σοβαρότητα του πόνου προς θεραπεία, την προηγούμενη θεραπευτική εμπειρία και τη δυνατότητα παρακολούθησης του ασθενούς. </w:t>
      </w:r>
    </w:p>
    <w:p w:rsidR="00847B4F" w:rsidRPr="00281F10" w:rsidRDefault="00847B4F" w:rsidP="005F04EA">
      <w:pPr>
        <w:spacing w:line="240" w:lineRule="auto"/>
        <w:rPr>
          <w:szCs w:val="22"/>
          <w:lang w:val="el-GR"/>
        </w:rPr>
      </w:pPr>
    </w:p>
    <w:p w:rsidR="00847B4F" w:rsidRPr="00281F10" w:rsidRDefault="001F2496" w:rsidP="005F04EA">
      <w:pPr>
        <w:spacing w:line="240" w:lineRule="auto"/>
        <w:rPr>
          <w:szCs w:val="22"/>
          <w:lang w:val="el-GR"/>
        </w:rPr>
      </w:pPr>
      <w:r w:rsidRPr="00281F10">
        <w:rPr>
          <w:szCs w:val="22"/>
          <w:lang w:val="el-GR"/>
        </w:rPr>
        <w:t>Οι ασθενείς πρέπει να ξεκινήσουν θεραπεία με μονές δόσεις 50 mg ταπενταδόλης ως επικαλυμμένο με λεπτό υμένιο δισκίο που χορηγείται κάθε 4 έως 6 ώρες. Μπορεί να χρειαστούν υψηλότερες δόσεις έναρξης ανάλογα με την ένταση του πόνου και το προηγούμενο ιστορικό απαιτήσεων αναλγησίας του ασθενούς.</w:t>
      </w:r>
    </w:p>
    <w:p w:rsidR="00847B4F" w:rsidRPr="00281F10" w:rsidRDefault="001F2496" w:rsidP="005F04EA">
      <w:pPr>
        <w:spacing w:line="240" w:lineRule="auto"/>
        <w:rPr>
          <w:szCs w:val="22"/>
          <w:lang w:val="el-GR"/>
        </w:rPr>
      </w:pPr>
      <w:r w:rsidRPr="00281F10">
        <w:rPr>
          <w:szCs w:val="22"/>
          <w:lang w:val="el-GR"/>
        </w:rPr>
        <w:t>Κατά την πρώτη μέρα της χορήγησης, μπορεί να ληφθεί επιπλέον δόση σε διάστημα μίας ώρας μετά από την αρχική δόση, αν δεν επιτευχθεί έλεγχος του πόνου. Η δόση πρέπει να τιτλοποιείται στη συνέχεια σε ατομική βάση σε επίπεδο που να παρέχει επαρκή αναλγησία και ελαχιστοποιεί τις ανεπιθύμητες επιδράσεις κάτω από τη στενή επίβλεψη του γιατρού που χορηγεί το φάρμακο.</w:t>
      </w:r>
    </w:p>
    <w:p w:rsidR="00847B4F" w:rsidRPr="00281F10" w:rsidRDefault="001F2496" w:rsidP="005F04EA">
      <w:pPr>
        <w:spacing w:line="240" w:lineRule="auto"/>
        <w:rPr>
          <w:i/>
          <w:szCs w:val="22"/>
          <w:lang w:val="el-GR"/>
        </w:rPr>
      </w:pPr>
      <w:r w:rsidRPr="00281F10">
        <w:rPr>
          <w:szCs w:val="22"/>
          <w:lang w:val="el-GR"/>
        </w:rPr>
        <w:lastRenderedPageBreak/>
        <w:t>Δεν έχουν μελετηθεί και επομένως δεν συνιστώνται ημερήσιες δόσεις μεγαλύτερες από 700 mg ταπενταδόλης κατά την πρώτη ημέρα της θεραπείας και ημερήσιες δόσεις συντήρησης μεγαλύτερες από 600 mg ταπενταδόλης.</w:t>
      </w:r>
    </w:p>
    <w:p w:rsidR="00EF7D42" w:rsidRDefault="00EF7D42" w:rsidP="005F04EA">
      <w:pPr>
        <w:spacing w:line="240" w:lineRule="auto"/>
        <w:rPr>
          <w:szCs w:val="22"/>
          <w:lang w:val="el-GR"/>
        </w:rPr>
      </w:pPr>
    </w:p>
    <w:p w:rsidR="00EF7D42" w:rsidRPr="00EF7D42" w:rsidRDefault="00E45A47" w:rsidP="005F04EA">
      <w:pPr>
        <w:spacing w:line="240" w:lineRule="auto"/>
        <w:rPr>
          <w:i/>
          <w:szCs w:val="22"/>
          <w:lang w:val="el-GR"/>
        </w:rPr>
      </w:pPr>
      <w:r w:rsidRPr="00E45A47">
        <w:rPr>
          <w:i/>
          <w:szCs w:val="22"/>
          <w:lang w:val="el-GR"/>
        </w:rPr>
        <w:t>Διάρκεια της θεραπείας</w:t>
      </w:r>
    </w:p>
    <w:p w:rsidR="00847B4F" w:rsidRPr="00281F10" w:rsidRDefault="00EF7D42" w:rsidP="005F04EA">
      <w:pPr>
        <w:spacing w:line="240" w:lineRule="auto"/>
        <w:rPr>
          <w:szCs w:val="22"/>
          <w:lang w:val="el-GR"/>
        </w:rPr>
      </w:pPr>
      <w:r>
        <w:rPr>
          <w:szCs w:val="22"/>
          <w:lang w:val="el-GR"/>
        </w:rPr>
        <w:t xml:space="preserve">Τα επικαλυμμένα με λεπτό υμένιο δισκία προορίζονται για καταστάσεις οξέος πόνου. Εάν </w:t>
      </w:r>
      <w:r w:rsidR="00847B4F" w:rsidRPr="00281F10">
        <w:rPr>
          <w:szCs w:val="22"/>
          <w:lang w:val="el-GR"/>
        </w:rPr>
        <w:t xml:space="preserve">αναμένεται </w:t>
      </w:r>
      <w:r>
        <w:rPr>
          <w:szCs w:val="22"/>
          <w:lang w:val="el-GR"/>
        </w:rPr>
        <w:t xml:space="preserve">ή εάν υπάρξει ανάγκη για </w:t>
      </w:r>
      <w:r w:rsidR="00847B4F" w:rsidRPr="00281F10">
        <w:rPr>
          <w:szCs w:val="22"/>
          <w:lang w:val="el-GR"/>
        </w:rPr>
        <w:t>θεραπεία μεγαλύτερης διάρκειας</w:t>
      </w:r>
      <w:r>
        <w:rPr>
          <w:szCs w:val="22"/>
          <w:lang w:val="el-GR"/>
        </w:rPr>
        <w:t xml:space="preserve"> και έχει επιτευχθεί αποτελεσματική ανακούφιση του πόνου χωρίς την παρουσία μη ανεκτών ανεπιθύμητων ενεργειών με το </w:t>
      </w:r>
      <w:r>
        <w:rPr>
          <w:szCs w:val="22"/>
        </w:rPr>
        <w:t>PALEXIA</w:t>
      </w:r>
      <w:r w:rsidR="00847B4F" w:rsidRPr="00281F10">
        <w:rPr>
          <w:szCs w:val="22"/>
          <w:lang w:val="el-GR"/>
        </w:rPr>
        <w:t xml:space="preserve">, η πιθανότητα αλλαγής του ασθενούς σε θεραπεία με δισκία παρατεταμένης αποδέσμευσης </w:t>
      </w:r>
      <w:r w:rsidR="008D424F" w:rsidRPr="00281F10">
        <w:rPr>
          <w:szCs w:val="22"/>
          <w:lang w:val="el-GR"/>
        </w:rPr>
        <w:t>PALEXIA</w:t>
      </w:r>
      <w:r w:rsidR="00847B4F" w:rsidRPr="00281F10">
        <w:rPr>
          <w:szCs w:val="22"/>
          <w:lang w:val="el-GR"/>
        </w:rPr>
        <w:t xml:space="preserve"> </w:t>
      </w:r>
      <w:r w:rsidR="001F2496" w:rsidRPr="00281F10">
        <w:rPr>
          <w:szCs w:val="22"/>
        </w:rPr>
        <w:t>retard</w:t>
      </w:r>
      <w:r w:rsidR="001F2496" w:rsidRPr="00281F10">
        <w:rPr>
          <w:szCs w:val="22"/>
          <w:lang w:val="el-GR"/>
        </w:rPr>
        <w:t xml:space="preserve"> πρέπει να ληφθεί υπόψη.</w:t>
      </w:r>
      <w:r w:rsidR="004A07D5">
        <w:rPr>
          <w:szCs w:val="22"/>
          <w:lang w:val="el-GR"/>
        </w:rPr>
        <w:t xml:space="preserve"> </w:t>
      </w:r>
      <w:r w:rsidR="001F2496" w:rsidRPr="00281F10">
        <w:rPr>
          <w:szCs w:val="22"/>
          <w:lang w:val="el-GR"/>
        </w:rPr>
        <w:t xml:space="preserve">Όπως συμβαίνει με όλες τις άλλες συμπτωματικές θεραπείες, η συνεχιζόμενη χρήση της ταπενταδόλης πρέπει να αξιολογείται σε συνεχή βάση. </w:t>
      </w:r>
    </w:p>
    <w:p w:rsidR="00847B4F" w:rsidRPr="00281F10" w:rsidRDefault="00847B4F" w:rsidP="005F04EA">
      <w:pPr>
        <w:spacing w:line="240" w:lineRule="auto"/>
        <w:rPr>
          <w:szCs w:val="22"/>
          <w:lang w:val="el-GR"/>
        </w:rPr>
      </w:pPr>
    </w:p>
    <w:p w:rsidR="00847B4F" w:rsidRPr="00281F10" w:rsidRDefault="001F2496" w:rsidP="005F04EA">
      <w:pPr>
        <w:spacing w:line="240" w:lineRule="auto"/>
        <w:rPr>
          <w:i/>
          <w:szCs w:val="22"/>
          <w:lang w:val="el-GR"/>
        </w:rPr>
      </w:pPr>
      <w:r w:rsidRPr="00281F10">
        <w:rPr>
          <w:i/>
          <w:szCs w:val="22"/>
          <w:lang w:val="el-GR"/>
        </w:rPr>
        <w:t>Διακοπή της θεραπείας</w:t>
      </w:r>
    </w:p>
    <w:p w:rsidR="00847B4F" w:rsidRPr="00281F10" w:rsidRDefault="001F2496" w:rsidP="005F04EA">
      <w:pPr>
        <w:spacing w:line="240" w:lineRule="auto"/>
        <w:rPr>
          <w:szCs w:val="22"/>
          <w:lang w:val="el-GR"/>
        </w:rPr>
      </w:pPr>
      <w:r w:rsidRPr="00281F10">
        <w:rPr>
          <w:szCs w:val="22"/>
          <w:lang w:val="el-GR"/>
        </w:rPr>
        <w:t>Μετά από την απότομη διακοπή της θεραπείας με ταπενταδόλη θα μπορούσαν να εμφανιστούν συμπτώματα απόσυρσης (βλέπε παράγραφο 4.8).</w:t>
      </w:r>
      <w:r w:rsidRPr="00281F10">
        <w:rPr>
          <w:i/>
          <w:szCs w:val="22"/>
          <w:lang w:val="el-GR"/>
        </w:rPr>
        <w:t xml:space="preserve"> </w:t>
      </w:r>
      <w:r w:rsidRPr="00281F10">
        <w:rPr>
          <w:szCs w:val="22"/>
          <w:lang w:val="el-GR"/>
        </w:rPr>
        <w:t>Όταν ο ασθενής δεν χρειάζεται πλέον θεραπεία με ταπενταδόλη, συνιστάται η σταδιακή μείωση της δόσης ώστε να προληφθούν τα συμπτώματα της απόσυρσης.</w:t>
      </w:r>
    </w:p>
    <w:p w:rsidR="00847B4F" w:rsidRPr="00281F10" w:rsidRDefault="00847B4F" w:rsidP="005F04EA">
      <w:pPr>
        <w:spacing w:line="240" w:lineRule="auto"/>
        <w:rPr>
          <w:i/>
          <w:szCs w:val="22"/>
          <w:lang w:val="el-GR"/>
        </w:rPr>
      </w:pPr>
    </w:p>
    <w:p w:rsidR="00847B4F" w:rsidRPr="00281F10" w:rsidRDefault="001F2496" w:rsidP="005F04EA">
      <w:pPr>
        <w:spacing w:line="240" w:lineRule="auto"/>
        <w:rPr>
          <w:i/>
          <w:szCs w:val="22"/>
          <w:lang w:val="el-GR"/>
        </w:rPr>
      </w:pPr>
      <w:r w:rsidRPr="00281F10">
        <w:rPr>
          <w:i/>
          <w:szCs w:val="22"/>
          <w:lang w:val="el-GR"/>
        </w:rPr>
        <w:t>Νεφρική δυσλειτουργία</w:t>
      </w:r>
    </w:p>
    <w:p w:rsidR="00847B4F" w:rsidRPr="00281F10" w:rsidRDefault="001F2496" w:rsidP="005F04EA">
      <w:pPr>
        <w:spacing w:line="240" w:lineRule="auto"/>
        <w:rPr>
          <w:szCs w:val="22"/>
          <w:lang w:val="el-GR"/>
        </w:rPr>
      </w:pPr>
      <w:r w:rsidRPr="00281F10">
        <w:rPr>
          <w:szCs w:val="22"/>
          <w:lang w:val="el-GR"/>
        </w:rPr>
        <w:t>Σε ασθενείς με ήπια ή μέτρια νεφρική δυσλειτουργία, δεν απαιτείται προσαρμογή της δόσης (βλέπε παράγραφο 5.2).</w:t>
      </w:r>
    </w:p>
    <w:p w:rsidR="00847B4F" w:rsidRPr="00281F10" w:rsidRDefault="001F2496" w:rsidP="005F04EA">
      <w:pPr>
        <w:spacing w:line="240" w:lineRule="auto"/>
        <w:rPr>
          <w:szCs w:val="22"/>
          <w:lang w:val="el-GR"/>
        </w:rPr>
      </w:pPr>
      <w:r w:rsidRPr="00281F10">
        <w:rPr>
          <w:szCs w:val="22"/>
          <w:lang w:val="el-GR"/>
        </w:rPr>
        <w:t>Το PALEXIA δεν έχει μελετηθεί σε ελεγχόμενες μελέτες αποτελεσματικότητας σε ασθενείς με σοβαρή νεφρική δυσλειτουργία. Επομένως, δεν συνιστάται η χρήση του σε αυτό τον πληθυσμό (βλέπε παραγράφους 4.4 και 5.2).</w:t>
      </w:r>
    </w:p>
    <w:p w:rsidR="00847B4F" w:rsidRPr="00281F10" w:rsidRDefault="00847B4F" w:rsidP="005F04EA">
      <w:pPr>
        <w:spacing w:line="240" w:lineRule="auto"/>
        <w:rPr>
          <w:i/>
          <w:szCs w:val="22"/>
          <w:lang w:val="el-GR"/>
        </w:rPr>
      </w:pPr>
    </w:p>
    <w:p w:rsidR="00847B4F" w:rsidRPr="00281F10" w:rsidRDefault="001F2496" w:rsidP="005F04EA">
      <w:pPr>
        <w:spacing w:line="240" w:lineRule="auto"/>
        <w:rPr>
          <w:i/>
          <w:szCs w:val="22"/>
          <w:lang w:val="el-GR"/>
        </w:rPr>
      </w:pPr>
      <w:r w:rsidRPr="00281F10">
        <w:rPr>
          <w:i/>
          <w:szCs w:val="22"/>
          <w:lang w:val="el-GR"/>
        </w:rPr>
        <w:t>Ηπατική δυσλειτουργία</w:t>
      </w:r>
    </w:p>
    <w:p w:rsidR="00847B4F" w:rsidRPr="00281F10" w:rsidRDefault="001F2496" w:rsidP="005F04EA">
      <w:pPr>
        <w:spacing w:line="240" w:lineRule="auto"/>
        <w:rPr>
          <w:iCs/>
          <w:szCs w:val="22"/>
          <w:lang w:val="el-GR"/>
        </w:rPr>
      </w:pPr>
      <w:r w:rsidRPr="00281F10">
        <w:rPr>
          <w:iCs/>
          <w:szCs w:val="22"/>
          <w:lang w:val="el-GR"/>
        </w:rPr>
        <w:t xml:space="preserve">Σε ασθενείς με ήπια ηπατική δυσλειτουργία, δεν απαιτείται προσαρμογή της δοσολογίας (βλέπε παράγραφο 5.2). </w:t>
      </w:r>
    </w:p>
    <w:p w:rsidR="00847B4F" w:rsidRPr="00281F10" w:rsidRDefault="001F2496" w:rsidP="005F04EA">
      <w:pPr>
        <w:spacing w:line="240" w:lineRule="auto"/>
        <w:rPr>
          <w:i/>
          <w:szCs w:val="22"/>
          <w:lang w:val="el-GR"/>
        </w:rPr>
      </w:pPr>
      <w:r w:rsidRPr="00281F10">
        <w:rPr>
          <w:szCs w:val="22"/>
          <w:lang w:val="el-GR"/>
        </w:rPr>
        <w:t>Το PALEXIA πρέπει να χρησιμοποιείται με προσοχή σε ασθενείς με μέτρια ηπατική δυσλειτουργία.</w:t>
      </w:r>
      <w:r w:rsidRPr="00281F10">
        <w:rPr>
          <w:i/>
          <w:szCs w:val="22"/>
          <w:lang w:val="el-GR"/>
        </w:rPr>
        <w:t xml:space="preserve"> </w:t>
      </w:r>
      <w:r w:rsidRPr="00281F10">
        <w:rPr>
          <w:szCs w:val="22"/>
          <w:lang w:val="el-GR"/>
        </w:rPr>
        <w:t>Η θεραπεία σε αυτούς τους ασθενείς πρέπει να ξεκινήσει με τη χαμηλότερη διαθέσιμη περιεκτικότητα, δηλ. με 50 mg ταπενταδόλης ως επικαλυμμένο με λεπτό υμένιο δισκίο, και δεν πρέπει να χορηγείται συχνότερα από μία φορά κάθε 8 ώρες. Κατά την έναρξη της θεραπείας, δεν συνιστάται ημερήσια δόση μεγαλύτερη από τα 150 mg ταπενταδόλης ως επικαλυμμένο με λεπτό υμένιο δισκίο. Η περαιτέρω θεραπεία πρέπει να αντανακλά τη διατήρηση της αναλγησίας με αποδεκτή ανεκτικότητα, η οποία θα επιτευχθεί μέσω είτε συντόμευσης είτε επιμήκυνσης του δοσολογικού διαστήματος (βλέπε παραγράφους 4.4 και 5.2).</w:t>
      </w:r>
    </w:p>
    <w:p w:rsidR="00847B4F" w:rsidRPr="00281F10" w:rsidRDefault="001F2496" w:rsidP="005F04EA">
      <w:pPr>
        <w:spacing w:line="240" w:lineRule="auto"/>
        <w:rPr>
          <w:szCs w:val="22"/>
          <w:lang w:val="el-GR"/>
        </w:rPr>
      </w:pPr>
      <w:r w:rsidRPr="00281F10">
        <w:rPr>
          <w:szCs w:val="22"/>
          <w:lang w:val="el-GR"/>
        </w:rPr>
        <w:t>Το PALEXIA δεν έχει μελετηθεί σε ασθενείς με σοβαρή ηπατική δυσλειτουργία. Επομένως, δεν συνιστάται η χρήση του σε αυτό τον πληθυσμό (βλέπε παραγράφους 4.4 και 5.2).</w:t>
      </w:r>
    </w:p>
    <w:p w:rsidR="00847B4F" w:rsidRPr="00281F10" w:rsidRDefault="00847B4F" w:rsidP="005F04EA">
      <w:pPr>
        <w:spacing w:line="240" w:lineRule="auto"/>
        <w:rPr>
          <w:szCs w:val="22"/>
          <w:lang w:val="el-GR"/>
        </w:rPr>
      </w:pPr>
    </w:p>
    <w:p w:rsidR="00847B4F" w:rsidRPr="00281F10" w:rsidRDefault="001F2496" w:rsidP="005F04EA">
      <w:pPr>
        <w:spacing w:line="240" w:lineRule="auto"/>
        <w:rPr>
          <w:i/>
          <w:szCs w:val="22"/>
          <w:lang w:val="el-GR"/>
        </w:rPr>
      </w:pPr>
      <w:r w:rsidRPr="00281F10">
        <w:rPr>
          <w:i/>
          <w:szCs w:val="22"/>
          <w:lang w:val="el-GR"/>
        </w:rPr>
        <w:t>Ηλικιωμένοι (άτομα ηλικίας άνω των 65 ετών)</w:t>
      </w:r>
    </w:p>
    <w:p w:rsidR="00847B4F" w:rsidRPr="00281F10" w:rsidRDefault="001F2496" w:rsidP="005F04EA">
      <w:pPr>
        <w:spacing w:line="240" w:lineRule="auto"/>
        <w:rPr>
          <w:szCs w:val="22"/>
          <w:lang w:val="el-GR"/>
        </w:rPr>
      </w:pPr>
      <w:r w:rsidRPr="00281F10">
        <w:rPr>
          <w:szCs w:val="22"/>
          <w:lang w:val="el-GR"/>
        </w:rPr>
        <w:t>Σε γενικές γραμμές, δεν απαιτείται προσαρμογή της δόσης για τους ηλικιωμένους. Παρόλα αυτά, καθώς οι ηλικιωμένοι είναι πιθανότερο να έχουν μειωμένη νεφρική και ηπατική λειτουργία, πρέπει να δίνεται προσοχή κατά την επιλογή της δόσης σύμφωνα με τις συστάσεις (βλέπε παραγράφους 4.2 και 5.2).</w:t>
      </w:r>
    </w:p>
    <w:p w:rsidR="00847B4F" w:rsidRPr="00281F10" w:rsidRDefault="00847B4F" w:rsidP="005F04EA">
      <w:pPr>
        <w:spacing w:line="240" w:lineRule="auto"/>
        <w:rPr>
          <w:szCs w:val="22"/>
          <w:lang w:val="el-GR"/>
        </w:rPr>
      </w:pPr>
    </w:p>
    <w:p w:rsidR="00847B4F" w:rsidRPr="00281F10" w:rsidRDefault="001F2496" w:rsidP="005F04EA">
      <w:pPr>
        <w:spacing w:line="240" w:lineRule="auto"/>
        <w:rPr>
          <w:b/>
          <w:i/>
          <w:szCs w:val="22"/>
          <w:lang w:val="el-GR"/>
        </w:rPr>
      </w:pPr>
      <w:r w:rsidRPr="00281F10">
        <w:rPr>
          <w:i/>
          <w:szCs w:val="22"/>
          <w:lang w:val="el-GR"/>
        </w:rPr>
        <w:t>Παιδιατρικός πληθυσμός</w:t>
      </w:r>
    </w:p>
    <w:p w:rsidR="00847B4F" w:rsidRPr="00281F10" w:rsidRDefault="001F2496" w:rsidP="005F04EA">
      <w:pPr>
        <w:spacing w:line="240" w:lineRule="auto"/>
        <w:rPr>
          <w:szCs w:val="22"/>
          <w:lang w:val="el-GR"/>
        </w:rPr>
      </w:pPr>
      <w:r w:rsidRPr="00281F10">
        <w:rPr>
          <w:szCs w:val="22"/>
          <w:lang w:val="el-GR"/>
        </w:rPr>
        <w:t>Η ασφάλεια και η αποτελεσματικότητα του PALEXIA σε παιδιά και εφήβους κάτω των 18 ετών δεν έχουν ακόμα τεκμηριωθεί. Επομένως, το PALEXIA δεν συνιστάται για χρήση σε αυτό τον πληθυσμό.</w:t>
      </w:r>
    </w:p>
    <w:p w:rsidR="00847B4F" w:rsidRPr="00281F10" w:rsidRDefault="00847B4F" w:rsidP="005F04EA">
      <w:pPr>
        <w:spacing w:line="240" w:lineRule="auto"/>
        <w:rPr>
          <w:szCs w:val="22"/>
          <w:lang w:val="el-GR"/>
        </w:rPr>
      </w:pPr>
    </w:p>
    <w:p w:rsidR="00847B4F" w:rsidRPr="00281F10" w:rsidRDefault="001F2496" w:rsidP="005F04EA">
      <w:pPr>
        <w:spacing w:line="240" w:lineRule="auto"/>
        <w:rPr>
          <w:b/>
          <w:szCs w:val="22"/>
          <w:lang w:val="el-GR"/>
        </w:rPr>
      </w:pPr>
      <w:r w:rsidRPr="00281F10">
        <w:rPr>
          <w:b/>
          <w:szCs w:val="22"/>
          <w:lang w:val="el-GR"/>
        </w:rPr>
        <w:t>Τρόπος χορήγησης</w:t>
      </w:r>
    </w:p>
    <w:p w:rsidR="00847B4F" w:rsidRPr="00281F10" w:rsidRDefault="001F2496" w:rsidP="005F04EA">
      <w:pPr>
        <w:spacing w:line="240" w:lineRule="auto"/>
        <w:rPr>
          <w:szCs w:val="22"/>
          <w:lang w:val="el-GR"/>
        </w:rPr>
      </w:pPr>
      <w:r w:rsidRPr="00281F10">
        <w:rPr>
          <w:szCs w:val="22"/>
          <w:lang w:val="el-GR"/>
        </w:rPr>
        <w:t>Το PALEXIA πρέπει να λαμβάνεται με επαρκή ποσότητα υγρού. Το PALEXIA μπορεί να λαμβάνεται με ή χωρίς φαγητό.</w:t>
      </w:r>
    </w:p>
    <w:p w:rsidR="00847B4F" w:rsidRPr="00281F10" w:rsidRDefault="00847B4F" w:rsidP="005F04EA">
      <w:pPr>
        <w:spacing w:line="240" w:lineRule="auto"/>
        <w:rPr>
          <w:szCs w:val="22"/>
          <w:lang w:val="el-GR"/>
        </w:rPr>
      </w:pPr>
    </w:p>
    <w:p w:rsidR="00847B4F" w:rsidRPr="00281F10" w:rsidRDefault="001F2496" w:rsidP="005F04EA">
      <w:pPr>
        <w:pStyle w:val="2"/>
        <w:spacing w:before="0" w:after="0" w:line="240" w:lineRule="auto"/>
        <w:rPr>
          <w:rFonts w:ascii="Times New Roman" w:hAnsi="Times New Roman"/>
          <w:i w:val="0"/>
          <w:sz w:val="22"/>
          <w:szCs w:val="22"/>
          <w:lang w:val="el-GR"/>
        </w:rPr>
      </w:pPr>
      <w:r w:rsidRPr="00281F10">
        <w:rPr>
          <w:rFonts w:ascii="Times New Roman" w:hAnsi="Times New Roman"/>
          <w:i w:val="0"/>
          <w:sz w:val="22"/>
          <w:szCs w:val="22"/>
          <w:lang w:val="el-GR"/>
        </w:rPr>
        <w:t>4.3</w:t>
      </w:r>
      <w:r w:rsidRPr="00281F10">
        <w:rPr>
          <w:rFonts w:ascii="Times New Roman" w:hAnsi="Times New Roman"/>
          <w:i w:val="0"/>
          <w:sz w:val="22"/>
          <w:szCs w:val="22"/>
          <w:lang w:val="el-GR"/>
        </w:rPr>
        <w:tab/>
      </w:r>
      <w:r w:rsidR="00847B4F" w:rsidRPr="00281F10">
        <w:rPr>
          <w:rFonts w:ascii="Times New Roman" w:hAnsi="Times New Roman"/>
          <w:i w:val="0"/>
          <w:sz w:val="22"/>
          <w:szCs w:val="22"/>
          <w:lang w:val="el-GR"/>
        </w:rPr>
        <w:t>Αντενδείξεις</w:t>
      </w:r>
    </w:p>
    <w:p w:rsidR="006A0546" w:rsidRPr="00281F10" w:rsidRDefault="006A0546" w:rsidP="005F04EA">
      <w:pPr>
        <w:spacing w:line="240" w:lineRule="auto"/>
        <w:rPr>
          <w:szCs w:val="22"/>
          <w:lang w:val="el-GR"/>
        </w:rPr>
      </w:pPr>
    </w:p>
    <w:p w:rsidR="00847B4F" w:rsidRPr="00281F10" w:rsidRDefault="00847B4F" w:rsidP="005F04EA">
      <w:pPr>
        <w:spacing w:line="240" w:lineRule="auto"/>
        <w:rPr>
          <w:szCs w:val="22"/>
          <w:lang w:val="el-GR"/>
        </w:rPr>
      </w:pPr>
      <w:r w:rsidRPr="00281F10">
        <w:rPr>
          <w:szCs w:val="22"/>
          <w:lang w:val="el-GR"/>
        </w:rPr>
        <w:t xml:space="preserve">Το </w:t>
      </w:r>
      <w:r w:rsidR="008D424F" w:rsidRPr="00281F10">
        <w:rPr>
          <w:szCs w:val="22"/>
          <w:lang w:val="el-GR"/>
        </w:rPr>
        <w:t>PALEXIA</w:t>
      </w:r>
      <w:r w:rsidRPr="00281F10">
        <w:rPr>
          <w:szCs w:val="22"/>
          <w:lang w:val="el-GR"/>
        </w:rPr>
        <w:t xml:space="preserve"> αντενδείκνυται</w:t>
      </w:r>
    </w:p>
    <w:p w:rsidR="00847B4F" w:rsidRPr="00281F10" w:rsidRDefault="00847B4F" w:rsidP="005F04EA">
      <w:pPr>
        <w:numPr>
          <w:ilvl w:val="0"/>
          <w:numId w:val="2"/>
        </w:numPr>
        <w:spacing w:line="240" w:lineRule="auto"/>
        <w:rPr>
          <w:szCs w:val="22"/>
          <w:lang w:val="el-GR"/>
        </w:rPr>
      </w:pPr>
      <w:r w:rsidRPr="00281F10">
        <w:rPr>
          <w:szCs w:val="22"/>
          <w:lang w:val="el-GR"/>
        </w:rPr>
        <w:lastRenderedPageBreak/>
        <w:t>σε ασθενείς με υπερευαισθησία στη ταπενταδόλη ή σε κάποιο από τα έκδοχα (</w:t>
      </w:r>
      <w:r w:rsidR="00491D28">
        <w:rPr>
          <w:szCs w:val="22"/>
          <w:lang w:val="el-GR"/>
        </w:rPr>
        <w:t xml:space="preserve">αναφέρονται στην </w:t>
      </w:r>
      <w:r w:rsidRPr="00281F10">
        <w:rPr>
          <w:szCs w:val="22"/>
          <w:lang w:val="el-GR"/>
        </w:rPr>
        <w:t>παράγραφο 6.1)</w:t>
      </w:r>
    </w:p>
    <w:p w:rsidR="00847B4F" w:rsidRPr="00281F10" w:rsidRDefault="00847B4F" w:rsidP="005F04EA">
      <w:pPr>
        <w:spacing w:line="240" w:lineRule="auto"/>
        <w:rPr>
          <w:szCs w:val="22"/>
          <w:lang w:val="el-GR"/>
        </w:rPr>
      </w:pPr>
    </w:p>
    <w:p w:rsidR="00847B4F" w:rsidRPr="00281F10" w:rsidRDefault="00D31B6E" w:rsidP="005F04EA">
      <w:pPr>
        <w:numPr>
          <w:ilvl w:val="0"/>
          <w:numId w:val="2"/>
        </w:numPr>
        <w:spacing w:line="240" w:lineRule="auto"/>
        <w:rPr>
          <w:szCs w:val="22"/>
          <w:lang w:val="el-GR"/>
        </w:rPr>
      </w:pPr>
      <w:r w:rsidRPr="00281F10">
        <w:rPr>
          <w:szCs w:val="22"/>
          <w:lang w:val="el-GR"/>
        </w:rPr>
        <w:t xml:space="preserve">σε καταστάσεις όπου αντενδείκνυνται δραστικές ουσίες με δράση αγωνιστή στον υποδοχέα mu οπιοειδών, δηλ. σε ασθενείς με σημαντική αναπνευστική καταστολή (σε συνθήκες μη παρακολούθησης ή απουσία εξοπλισμού καρδιοπνευμονικής ανάνηψης), και σε ασθενείς με οξύ ή σοβαρό βρογχικό άσθμα ή υπερκαπνία  </w:t>
      </w:r>
    </w:p>
    <w:p w:rsidR="00847B4F" w:rsidRPr="00281F10" w:rsidRDefault="00847B4F" w:rsidP="005F04EA">
      <w:pPr>
        <w:spacing w:line="240" w:lineRule="auto"/>
        <w:rPr>
          <w:szCs w:val="22"/>
          <w:lang w:val="el-GR"/>
        </w:rPr>
      </w:pPr>
    </w:p>
    <w:p w:rsidR="00847B4F" w:rsidRPr="00281F10" w:rsidRDefault="001F2496" w:rsidP="005F04EA">
      <w:pPr>
        <w:numPr>
          <w:ilvl w:val="0"/>
          <w:numId w:val="2"/>
        </w:numPr>
        <w:spacing w:line="240" w:lineRule="auto"/>
        <w:rPr>
          <w:szCs w:val="22"/>
          <w:lang w:val="el-GR"/>
        </w:rPr>
      </w:pPr>
      <w:r w:rsidRPr="00281F10">
        <w:rPr>
          <w:szCs w:val="22"/>
          <w:lang w:val="el-GR"/>
        </w:rPr>
        <w:t>σε οποιονδήποτε ασθενή πάσχει ή υπάρχει υποψία ότι πάσχει από παραλυτικό ειλεό</w:t>
      </w:r>
    </w:p>
    <w:p w:rsidR="00847B4F" w:rsidRPr="00281F10" w:rsidRDefault="00847B4F" w:rsidP="005F04EA">
      <w:pPr>
        <w:spacing w:line="240" w:lineRule="auto"/>
        <w:rPr>
          <w:szCs w:val="22"/>
          <w:lang w:val="el-GR"/>
        </w:rPr>
      </w:pPr>
    </w:p>
    <w:p w:rsidR="00847B4F" w:rsidRPr="00281F10" w:rsidRDefault="001F2496" w:rsidP="005F04EA">
      <w:pPr>
        <w:numPr>
          <w:ilvl w:val="0"/>
          <w:numId w:val="2"/>
        </w:numPr>
        <w:spacing w:line="240" w:lineRule="auto"/>
        <w:rPr>
          <w:szCs w:val="22"/>
          <w:lang w:val="el-GR"/>
        </w:rPr>
      </w:pPr>
      <w:r w:rsidRPr="00281F10">
        <w:rPr>
          <w:szCs w:val="22"/>
          <w:lang w:val="el-GR"/>
        </w:rPr>
        <w:t>σε ασθενείς με οξεία δηλητηρίαση από οινόπνευμα, υπνωτικά, κεντρικώς δρώντα αναλγητικά ή ψυχοτρόπες δραστικές ουσίες (βλέπε παράγραφο 4.5).</w:t>
      </w:r>
    </w:p>
    <w:p w:rsidR="00847B4F" w:rsidRPr="00281F10" w:rsidRDefault="00847B4F" w:rsidP="005F04EA">
      <w:pPr>
        <w:spacing w:line="240" w:lineRule="auto"/>
        <w:rPr>
          <w:szCs w:val="22"/>
          <w:lang w:val="el-GR"/>
        </w:rPr>
      </w:pPr>
    </w:p>
    <w:p w:rsidR="00847B4F" w:rsidRPr="00281F10" w:rsidRDefault="001F2496" w:rsidP="005F04EA">
      <w:pPr>
        <w:pStyle w:val="2"/>
        <w:spacing w:before="0" w:after="0" w:line="240" w:lineRule="auto"/>
        <w:rPr>
          <w:rFonts w:ascii="Times New Roman" w:hAnsi="Times New Roman"/>
          <w:i w:val="0"/>
          <w:sz w:val="22"/>
          <w:szCs w:val="22"/>
          <w:lang w:val="el-GR"/>
        </w:rPr>
      </w:pPr>
      <w:r w:rsidRPr="00281F10">
        <w:rPr>
          <w:rFonts w:ascii="Times New Roman" w:hAnsi="Times New Roman"/>
          <w:i w:val="0"/>
          <w:sz w:val="22"/>
          <w:szCs w:val="22"/>
          <w:lang w:val="el-GR"/>
        </w:rPr>
        <w:t>4.4</w:t>
      </w:r>
      <w:r w:rsidRPr="00281F10">
        <w:rPr>
          <w:rFonts w:ascii="Times New Roman" w:hAnsi="Times New Roman"/>
          <w:i w:val="0"/>
          <w:sz w:val="22"/>
          <w:szCs w:val="22"/>
          <w:lang w:val="el-GR"/>
        </w:rPr>
        <w:tab/>
        <w:t>Ειδικές προειδοποιήσεις και προφυλάξεις κατά τη χρήση</w:t>
      </w:r>
    </w:p>
    <w:p w:rsidR="006A0546" w:rsidRPr="00281F10" w:rsidRDefault="006A0546" w:rsidP="005F04EA">
      <w:pPr>
        <w:spacing w:line="240" w:lineRule="auto"/>
        <w:rPr>
          <w:i/>
          <w:szCs w:val="22"/>
          <w:lang w:val="el-GR"/>
        </w:rPr>
      </w:pPr>
    </w:p>
    <w:p w:rsidR="00847B4F" w:rsidRPr="00281F10" w:rsidRDefault="00D31B6E" w:rsidP="005F04EA">
      <w:pPr>
        <w:spacing w:line="240" w:lineRule="auto"/>
        <w:rPr>
          <w:szCs w:val="22"/>
          <w:lang w:val="el-GR"/>
        </w:rPr>
      </w:pPr>
      <w:r w:rsidRPr="00281F10">
        <w:rPr>
          <w:i/>
          <w:szCs w:val="22"/>
          <w:lang w:val="el-GR"/>
        </w:rPr>
        <w:t xml:space="preserve">Πιθανότητα κατάχρησης και </w:t>
      </w:r>
      <w:r w:rsidR="001F2496" w:rsidRPr="00281F10">
        <w:rPr>
          <w:i/>
          <w:szCs w:val="22"/>
          <w:lang w:val="el-GR"/>
        </w:rPr>
        <w:t>συνδρόμου εθισμού/εξάρτησης</w:t>
      </w:r>
      <w:r w:rsidR="00847B4F" w:rsidRPr="00281F10">
        <w:rPr>
          <w:i/>
          <w:szCs w:val="22"/>
          <w:lang w:val="el-GR"/>
        </w:rPr>
        <w:t xml:space="preserve"> </w:t>
      </w:r>
    </w:p>
    <w:p w:rsidR="00847B4F" w:rsidRPr="00281F10" w:rsidRDefault="00847B4F" w:rsidP="005F04EA">
      <w:pPr>
        <w:spacing w:line="240" w:lineRule="auto"/>
        <w:rPr>
          <w:szCs w:val="22"/>
          <w:lang w:val="el-GR"/>
        </w:rPr>
      </w:pPr>
      <w:r w:rsidRPr="00281F10">
        <w:rPr>
          <w:szCs w:val="22"/>
          <w:lang w:val="el-GR"/>
        </w:rPr>
        <w:t xml:space="preserve">Το </w:t>
      </w:r>
      <w:r w:rsidR="008D424F" w:rsidRPr="00281F10">
        <w:rPr>
          <w:szCs w:val="22"/>
          <w:lang w:val="el-GR"/>
        </w:rPr>
        <w:t>PALEXIA</w:t>
      </w:r>
      <w:r w:rsidR="001F2496" w:rsidRPr="00281F10">
        <w:rPr>
          <w:szCs w:val="22"/>
          <w:lang w:val="el-GR"/>
        </w:rPr>
        <w:t xml:space="preserve"> είναι πιθανό να οδηγήσει σε κατάχρηση και εξάρτηση. Το ενδεχόμενο αυτό πρέπει να λαμβάνεται υπόψη κατά τη συνταγογράφηση ή διάθεση του PALEXIA σε περιπτώσεις όπου υπάρχει ανησυχία για αυξημένο κίνδυνο λανθασμένης χρήσης, κατάχρησης, εξάρτησης ή παρεκτροπής. </w:t>
      </w:r>
    </w:p>
    <w:p w:rsidR="00847B4F" w:rsidRPr="00281F10" w:rsidRDefault="001F2496" w:rsidP="005F04EA">
      <w:pPr>
        <w:spacing w:line="240" w:lineRule="auto"/>
        <w:rPr>
          <w:szCs w:val="22"/>
          <w:lang w:val="el-GR"/>
        </w:rPr>
      </w:pPr>
      <w:r w:rsidRPr="00281F10">
        <w:rPr>
          <w:szCs w:val="22"/>
          <w:lang w:val="el-GR"/>
        </w:rPr>
        <w:t>Όλοι οι ασθενείς που ακολουθούν θεραπεία με δραστικές ουσίες με δράση αγωνιστή στον υποδοχέα mu οπιοειδών πρέπει να παρακολουθούνται προσεκτικά για σημεία κατάχρησης και εξάρτησης.</w:t>
      </w:r>
    </w:p>
    <w:p w:rsidR="00847B4F" w:rsidRPr="00281F10" w:rsidRDefault="00847B4F" w:rsidP="005F04EA">
      <w:pPr>
        <w:spacing w:line="240" w:lineRule="auto"/>
        <w:rPr>
          <w:szCs w:val="22"/>
          <w:lang w:val="el-GR"/>
        </w:rPr>
      </w:pPr>
    </w:p>
    <w:p w:rsidR="00847B4F" w:rsidRPr="00281F10" w:rsidRDefault="001F2496" w:rsidP="005F04EA">
      <w:pPr>
        <w:spacing w:line="240" w:lineRule="auto"/>
        <w:rPr>
          <w:i/>
          <w:szCs w:val="22"/>
          <w:lang w:val="el-GR"/>
        </w:rPr>
      </w:pPr>
      <w:r w:rsidRPr="00281F10">
        <w:rPr>
          <w:i/>
          <w:szCs w:val="22"/>
          <w:lang w:val="el-GR"/>
        </w:rPr>
        <w:t>Αναπνευστική καταστολή</w:t>
      </w:r>
    </w:p>
    <w:p w:rsidR="00847B4F" w:rsidRPr="00281F10" w:rsidRDefault="001F2496" w:rsidP="005F04EA">
      <w:pPr>
        <w:spacing w:line="240" w:lineRule="auto"/>
        <w:rPr>
          <w:szCs w:val="22"/>
          <w:lang w:val="el-GR"/>
        </w:rPr>
      </w:pPr>
      <w:r w:rsidRPr="00281F10">
        <w:rPr>
          <w:szCs w:val="22"/>
          <w:lang w:val="el-GR"/>
        </w:rPr>
        <w:t xml:space="preserve">Σε υψηλές δόσεις ή σε ασθενείς ευαίσθητους σε αγωνιστή </w:t>
      </w:r>
      <w:r w:rsidR="00C35979">
        <w:rPr>
          <w:szCs w:val="22"/>
          <w:lang w:val="el-GR"/>
        </w:rPr>
        <w:t>των υποδοχέων mu των</w:t>
      </w:r>
      <w:r w:rsidRPr="00281F10">
        <w:rPr>
          <w:szCs w:val="22"/>
          <w:lang w:val="el-GR"/>
        </w:rPr>
        <w:t xml:space="preserve"> οπιοειδών, το PALEXIA μπορεί να οδηγήσει σε δοσοεξαρτώμενη αναπνευστική καταστολή. Επομένως, το PALEXIA πρέπει να χορηγείται με προσοχή σε ασθενείς με διαταραγμένη αναπνευστική λειτουργία. Πρέπει να λαμβάνεται υπόψη το ενδεχόμενο λήψης εναλλακτικών αναλγητικών χωρίς δράση αγωνιστή στον υποδοχέα mu οπιοειδών και το PALEXIA πρέπει να χρησιμοποιείται μόνο κάτω από προσεκτική ιατρική περίθαλψη στη χαμηλότερη αποτελεσματική δόση σε αυτού του είδους τους ασθενείς. Αν εμφανιστεί αναπνευστική καταστολή, πρέπει να αντιμετωπιστεί ως οποιαδήποτε αναπνευστική καταστολή επαγόμενη από αγωνιστή </w:t>
      </w:r>
      <w:r w:rsidR="00C35979">
        <w:rPr>
          <w:szCs w:val="22"/>
          <w:lang w:val="el-GR"/>
        </w:rPr>
        <w:t>των υποδοχέων mu των</w:t>
      </w:r>
      <w:r w:rsidRPr="00281F10">
        <w:rPr>
          <w:szCs w:val="22"/>
          <w:lang w:val="el-GR"/>
        </w:rPr>
        <w:t xml:space="preserve"> οπιοειδών (βλέπε παράγραφο 4.9).</w:t>
      </w:r>
    </w:p>
    <w:p w:rsidR="00847B4F" w:rsidRPr="00281F10" w:rsidRDefault="00847B4F" w:rsidP="005F04EA">
      <w:pPr>
        <w:spacing w:line="240" w:lineRule="auto"/>
        <w:rPr>
          <w:szCs w:val="22"/>
          <w:lang w:val="el-GR"/>
        </w:rPr>
      </w:pPr>
    </w:p>
    <w:p w:rsidR="00847B4F" w:rsidRPr="00281F10" w:rsidRDefault="001F2496" w:rsidP="005F04EA">
      <w:pPr>
        <w:spacing w:line="240" w:lineRule="auto"/>
        <w:rPr>
          <w:i/>
          <w:szCs w:val="22"/>
          <w:lang w:val="el-GR"/>
        </w:rPr>
      </w:pPr>
      <w:r w:rsidRPr="00281F10">
        <w:rPr>
          <w:i/>
          <w:szCs w:val="22"/>
          <w:lang w:val="el-GR"/>
        </w:rPr>
        <w:t>Τραυματισμός στην κεφαλή και αυξημένη ενδοκράνια πίεση</w:t>
      </w:r>
    </w:p>
    <w:p w:rsidR="00847B4F" w:rsidRPr="00281F10" w:rsidRDefault="001F2496" w:rsidP="005F04EA">
      <w:pPr>
        <w:spacing w:line="240" w:lineRule="auto"/>
        <w:rPr>
          <w:szCs w:val="22"/>
          <w:lang w:val="el-GR"/>
        </w:rPr>
      </w:pPr>
      <w:r w:rsidRPr="00281F10">
        <w:rPr>
          <w:szCs w:val="22"/>
          <w:lang w:val="el-GR"/>
        </w:rPr>
        <w:t>Το PALEXIA δεν πρέπει να χρησιμοποιείται σε ασθενείς που μπορεί να είναι ιδιαίτερα επιρρεπείς σε ενδοκράνιες επιδράσεις της κατακράτησης διοξειδίου του άνθρακα όπως είναι αυτοί για τους οποίους υπάρχουν ενδείξεις αυξημένης ενδοκράνιας πίεσης, μειωμένης συνείδησης και κώματος. Τα αναλγητικά με δράση αγωνιστή στον υποδοχέα mu οπιοειδών μπορεί να περιπλέξουν την κλινική πορεία ασθενών με τραύμα στην κεφαλή. Το PALEXIA πρέπει να χρησιμοποιείται με προσοχή σε ασθενείς με τραύμα στην κεφαλή και όγκους στον εγκέφαλο.</w:t>
      </w:r>
    </w:p>
    <w:p w:rsidR="00847B4F" w:rsidRPr="00281F10" w:rsidRDefault="00847B4F" w:rsidP="005F04EA">
      <w:pPr>
        <w:spacing w:line="240" w:lineRule="auto"/>
        <w:rPr>
          <w:szCs w:val="22"/>
          <w:lang w:val="el-GR"/>
        </w:rPr>
      </w:pPr>
    </w:p>
    <w:p w:rsidR="00847B4F" w:rsidRPr="00281F10" w:rsidRDefault="001F2496" w:rsidP="005F04EA">
      <w:pPr>
        <w:spacing w:line="240" w:lineRule="auto"/>
        <w:rPr>
          <w:i/>
          <w:szCs w:val="22"/>
          <w:lang w:val="el-GR"/>
        </w:rPr>
      </w:pPr>
      <w:r w:rsidRPr="00281F10">
        <w:rPr>
          <w:i/>
          <w:szCs w:val="22"/>
          <w:lang w:val="el-GR"/>
        </w:rPr>
        <w:t>Επιληπτικές κρίσεις</w:t>
      </w:r>
    </w:p>
    <w:p w:rsidR="00847B4F" w:rsidRPr="00281F10" w:rsidRDefault="001F2496" w:rsidP="005F04EA">
      <w:pPr>
        <w:spacing w:line="240" w:lineRule="auto"/>
        <w:rPr>
          <w:szCs w:val="22"/>
          <w:lang w:val="el-GR"/>
        </w:rPr>
      </w:pPr>
      <w:r w:rsidRPr="00281F10">
        <w:rPr>
          <w:szCs w:val="22"/>
          <w:lang w:val="el-GR"/>
        </w:rPr>
        <w:t xml:space="preserve">Το PALEXIA δεν έχει αξιολογηθεί συστηματικά σε ασθενείς με διαταραχή που ενέχει επιληπτικές κρίσεις και οι ασθενείς αυτοί αποκλείστηκαν από τις κλινικές δοκιμές. Παρόλα αυτά, όπως και όλα τα άλλα αναλγητικά με δράση αγωνιστή στον υποδοχέα mu οπιοειδών, το PALEXIA </w:t>
      </w:r>
      <w:r w:rsidR="00BA59F2">
        <w:rPr>
          <w:szCs w:val="22"/>
          <w:lang w:val="el-GR"/>
        </w:rPr>
        <w:t xml:space="preserve">δεν συνιστάται </w:t>
      </w:r>
      <w:r w:rsidRPr="00281F10">
        <w:rPr>
          <w:szCs w:val="22"/>
          <w:lang w:val="el-GR"/>
        </w:rPr>
        <w:t>σε ασθενείς με ιστορικό διαταραχής που ενέχει επιληπτικές κρίσεις ή άλλη πάθηση που θα μπορούσε να θέσει τον ασθενή σε κίνδυνο επιληπτικών κρίσεων.</w:t>
      </w:r>
    </w:p>
    <w:p w:rsidR="00847B4F" w:rsidRPr="00281F10" w:rsidRDefault="00847B4F" w:rsidP="005F04EA">
      <w:pPr>
        <w:spacing w:line="240" w:lineRule="auto"/>
        <w:rPr>
          <w:szCs w:val="22"/>
          <w:lang w:val="el-GR"/>
        </w:rPr>
      </w:pPr>
    </w:p>
    <w:p w:rsidR="00847B4F" w:rsidRPr="00281F10" w:rsidRDefault="001F2496" w:rsidP="005F04EA">
      <w:pPr>
        <w:spacing w:line="240" w:lineRule="auto"/>
        <w:rPr>
          <w:i/>
          <w:szCs w:val="22"/>
          <w:lang w:val="el-GR"/>
        </w:rPr>
      </w:pPr>
      <w:r w:rsidRPr="00281F10">
        <w:rPr>
          <w:i/>
          <w:szCs w:val="22"/>
          <w:lang w:val="el-GR"/>
        </w:rPr>
        <w:t>Νεφρική δυσλειτουργία</w:t>
      </w:r>
    </w:p>
    <w:p w:rsidR="00847B4F" w:rsidRPr="00281F10" w:rsidRDefault="001F2496" w:rsidP="005F04EA">
      <w:pPr>
        <w:spacing w:line="240" w:lineRule="auto"/>
        <w:rPr>
          <w:szCs w:val="22"/>
          <w:lang w:val="el-GR"/>
        </w:rPr>
      </w:pPr>
      <w:r w:rsidRPr="00281F10">
        <w:rPr>
          <w:szCs w:val="22"/>
          <w:lang w:val="el-GR"/>
        </w:rPr>
        <w:t>Το PALEXIA δεν έχει μελετηθεί σε ελεγχόμενες μελέτες αποτελεσματικότητας σε ασθενείς με σοβαρή νεφρική δυσλειτουργία. Επομένως, δεν συνιστάται η χρήση του σε αυτό τον πληθυσμό (βλέπε παραγράφους 4.2 και 5.2).</w:t>
      </w:r>
    </w:p>
    <w:p w:rsidR="00847B4F" w:rsidRPr="00281F10" w:rsidRDefault="00847B4F" w:rsidP="005F04EA">
      <w:pPr>
        <w:spacing w:line="240" w:lineRule="auto"/>
        <w:rPr>
          <w:szCs w:val="22"/>
          <w:lang w:val="el-GR"/>
        </w:rPr>
      </w:pPr>
    </w:p>
    <w:p w:rsidR="00847B4F" w:rsidRPr="00281F10" w:rsidRDefault="001F2496" w:rsidP="005F04EA">
      <w:pPr>
        <w:spacing w:line="240" w:lineRule="auto"/>
        <w:rPr>
          <w:i/>
          <w:szCs w:val="22"/>
          <w:lang w:val="el-GR"/>
        </w:rPr>
      </w:pPr>
      <w:r w:rsidRPr="00281F10">
        <w:rPr>
          <w:i/>
          <w:szCs w:val="22"/>
          <w:lang w:val="el-GR"/>
        </w:rPr>
        <w:t>Ηπατική δυσλειτουργία</w:t>
      </w:r>
    </w:p>
    <w:p w:rsidR="00847B4F" w:rsidRPr="00281F10" w:rsidRDefault="001F2496" w:rsidP="005F04EA">
      <w:pPr>
        <w:spacing w:line="240" w:lineRule="auto"/>
        <w:rPr>
          <w:szCs w:val="22"/>
          <w:lang w:val="el-GR"/>
        </w:rPr>
      </w:pPr>
      <w:r w:rsidRPr="00281F10">
        <w:rPr>
          <w:szCs w:val="22"/>
          <w:lang w:val="el-GR"/>
        </w:rPr>
        <w:lastRenderedPageBreak/>
        <w:t>Οι ασθενείς με ήπια και μέτρια ηπατική δυσλειτουργία εμφάνισαν αύξηση κατά 2 και κατά 4,5 φορές αντίστοιχα στη συστηματική έκθεση,  σε σύγκριση με ασθενείς με φυσιολογική ηπατική λειτουργία. Το PALEXIA πρέπει να χρησιμοποιείται με προσοχή σε ασθενείς με ήπια ηπατική δυσλειτουργία (βλέπε παράγραφο 4.2 και 5.2), ειδικά κατά την έναρξη της θεραπείας.</w:t>
      </w:r>
    </w:p>
    <w:p w:rsidR="00847B4F" w:rsidRPr="00281F10" w:rsidRDefault="001F2496" w:rsidP="005F04EA">
      <w:pPr>
        <w:spacing w:line="240" w:lineRule="auto"/>
        <w:rPr>
          <w:szCs w:val="22"/>
          <w:lang w:val="el-GR"/>
        </w:rPr>
      </w:pPr>
      <w:r w:rsidRPr="00281F10">
        <w:rPr>
          <w:szCs w:val="22"/>
          <w:lang w:val="el-GR"/>
        </w:rPr>
        <w:t>Το PALEXIA δεν έχει μελετηθεί σε ασθενείς με σοβαρή ηπατική δυσλειτουργία. Επομένως, δεν συνιστάται η χρήση του σε αυτό τον πληθυσμό (βλέπε παραγράφους 4.2 και 5.2).</w:t>
      </w:r>
    </w:p>
    <w:p w:rsidR="00847B4F" w:rsidRPr="00281F10" w:rsidRDefault="00847B4F" w:rsidP="005F04EA">
      <w:pPr>
        <w:spacing w:line="240" w:lineRule="auto"/>
        <w:rPr>
          <w:szCs w:val="22"/>
          <w:lang w:val="el-GR"/>
        </w:rPr>
      </w:pPr>
    </w:p>
    <w:p w:rsidR="00847B4F" w:rsidRPr="00281F10" w:rsidRDefault="001F2496" w:rsidP="005F04EA">
      <w:pPr>
        <w:spacing w:line="240" w:lineRule="auto"/>
        <w:rPr>
          <w:i/>
          <w:szCs w:val="22"/>
          <w:lang w:val="el-GR"/>
        </w:rPr>
      </w:pPr>
      <w:r w:rsidRPr="00281F10">
        <w:rPr>
          <w:i/>
          <w:szCs w:val="22"/>
          <w:lang w:val="el-GR"/>
        </w:rPr>
        <w:t>Χρήση σε παγκρεατική νόσο/νόσο των χοληφόρων</w:t>
      </w:r>
    </w:p>
    <w:p w:rsidR="00847B4F" w:rsidRPr="00281F10" w:rsidRDefault="001F2496" w:rsidP="005F04EA">
      <w:pPr>
        <w:spacing w:line="240" w:lineRule="auto"/>
        <w:rPr>
          <w:szCs w:val="22"/>
          <w:lang w:val="el-GR"/>
        </w:rPr>
      </w:pPr>
      <w:r w:rsidRPr="00281F10">
        <w:rPr>
          <w:szCs w:val="22"/>
          <w:lang w:val="el-GR"/>
        </w:rPr>
        <w:t>Οι δραστικές ουσίες με δράση αγωνιστή στον υποδοχέα mu οπιοειδών μπορεί να προκαλέσουν σπασμό στον σφιγκτήρα του Oddi. Το PALEXIA πρέπει να χρησιμοποιείται με προσοχή σε ασθενείς με νόσο των χοληφόρων, συμπεριλαμβανομένης της οξείας παγκρεατίτιδας.</w:t>
      </w:r>
    </w:p>
    <w:p w:rsidR="00847B4F" w:rsidRPr="00281F10" w:rsidRDefault="00847B4F" w:rsidP="005F04EA">
      <w:pPr>
        <w:spacing w:line="240" w:lineRule="auto"/>
        <w:rPr>
          <w:szCs w:val="22"/>
          <w:lang w:val="el-GR"/>
        </w:rPr>
      </w:pPr>
    </w:p>
    <w:p w:rsidR="00D522F7" w:rsidRPr="00D522F7" w:rsidRDefault="00D522F7" w:rsidP="00D522F7">
      <w:pPr>
        <w:tabs>
          <w:tab w:val="clear" w:pos="567"/>
        </w:tabs>
        <w:spacing w:line="240" w:lineRule="auto"/>
        <w:rPr>
          <w:i/>
          <w:iCs/>
          <w:szCs w:val="22"/>
          <w:lang w:val="el-GR"/>
        </w:rPr>
      </w:pPr>
      <w:r w:rsidRPr="00D522F7">
        <w:rPr>
          <w:i/>
          <w:iCs/>
          <w:szCs w:val="22"/>
          <w:lang w:val="el-GR"/>
        </w:rPr>
        <w:t>Μικτοί αγωνιστές/ανταγωνιστές οπιοειδών</w:t>
      </w:r>
    </w:p>
    <w:p w:rsidR="00847B4F" w:rsidRPr="00281F10" w:rsidRDefault="00E45A47" w:rsidP="005F04EA">
      <w:pPr>
        <w:spacing w:line="240" w:lineRule="auto"/>
        <w:rPr>
          <w:szCs w:val="22"/>
          <w:lang w:val="el-GR"/>
        </w:rPr>
      </w:pPr>
      <w:r w:rsidRPr="00E45A47">
        <w:rPr>
          <w:szCs w:val="22"/>
          <w:lang w:val="el-GR"/>
        </w:rPr>
        <w:t xml:space="preserve">Πρέπει να δίνεται προσοχή κατά το συνδυασμό του </w:t>
      </w:r>
      <w:r w:rsidRPr="00E45A47">
        <w:rPr>
          <w:szCs w:val="22"/>
        </w:rPr>
        <w:t>PALEXIA</w:t>
      </w:r>
      <w:r w:rsidRPr="00E45A47">
        <w:rPr>
          <w:szCs w:val="22"/>
          <w:lang w:val="el-GR"/>
        </w:rPr>
        <w:t xml:space="preserve"> με μικτούς αγωνιστές/ανταγωνιστές των υποδοχέων </w:t>
      </w:r>
      <w:r w:rsidRPr="00E45A47">
        <w:rPr>
          <w:szCs w:val="22"/>
          <w:lang w:val="en-GB"/>
        </w:rPr>
        <w:t>mu</w:t>
      </w:r>
      <w:r w:rsidRPr="00E45A47">
        <w:rPr>
          <w:szCs w:val="22"/>
          <w:lang w:val="el-GR"/>
        </w:rPr>
        <w:t xml:space="preserve"> των οπιοειδών (όπως πενταζοκίνη, ναλβουφίνη) ή με μερικ</w:t>
      </w:r>
      <w:r w:rsidR="008D4756">
        <w:rPr>
          <w:szCs w:val="22"/>
          <w:lang w:val="el-GR"/>
        </w:rPr>
        <w:t>ούς</w:t>
      </w:r>
      <w:r w:rsidRPr="00E45A47">
        <w:rPr>
          <w:szCs w:val="22"/>
          <w:lang w:val="el-GR"/>
        </w:rPr>
        <w:t xml:space="preserve"> αγωνιστές των υποδοχέων </w:t>
      </w:r>
      <w:r w:rsidRPr="00E45A47">
        <w:rPr>
          <w:szCs w:val="22"/>
          <w:lang w:val="en-GB"/>
        </w:rPr>
        <w:t>mu</w:t>
      </w:r>
      <w:r w:rsidRPr="00E45A47">
        <w:rPr>
          <w:szCs w:val="22"/>
          <w:lang w:val="el-GR"/>
        </w:rPr>
        <w:t xml:space="preserve"> των οπιοειδών (όπως βουπρενορφίνη). Σε ασθενείς που </w:t>
      </w:r>
      <w:r w:rsidR="00EC796F">
        <w:rPr>
          <w:szCs w:val="22"/>
          <w:lang w:val="el-GR"/>
        </w:rPr>
        <w:t>συνεχίζουν</w:t>
      </w:r>
      <w:r w:rsidRPr="00E45A47">
        <w:rPr>
          <w:szCs w:val="22"/>
          <w:lang w:val="el-GR"/>
        </w:rPr>
        <w:t xml:space="preserve"> </w:t>
      </w:r>
      <w:r w:rsidR="00EC796F">
        <w:rPr>
          <w:szCs w:val="22"/>
          <w:lang w:val="el-GR"/>
        </w:rPr>
        <w:t>μ</w:t>
      </w:r>
      <w:r w:rsidRPr="00E45A47">
        <w:rPr>
          <w:szCs w:val="22"/>
          <w:lang w:val="el-GR"/>
        </w:rPr>
        <w:t xml:space="preserve">ε βουπρενορφίνη για τη θεραπεία της εξάρτησης από οπιοειδή, πρέπει να εξετάζονται εναλλακτικές θεραπευτικές επιλογές (όπως π.χ. προσωρινή διακοπή της βουπρενορφίνης), εάν γίνει απαραίτητη η χορήγηση </w:t>
      </w:r>
      <w:r w:rsidR="00DC2F5A">
        <w:rPr>
          <w:szCs w:val="22"/>
          <w:lang w:val="el-GR"/>
        </w:rPr>
        <w:t>πλήρω</w:t>
      </w:r>
      <w:r w:rsidR="008D4756">
        <w:rPr>
          <w:szCs w:val="22"/>
          <w:lang w:val="el-GR"/>
        </w:rPr>
        <w:t>ν</w:t>
      </w:r>
      <w:r w:rsidRPr="00E45A47">
        <w:rPr>
          <w:szCs w:val="22"/>
          <w:lang w:val="el-GR"/>
        </w:rPr>
        <w:t xml:space="preserve"> αγωνιστών των </w:t>
      </w:r>
      <w:r w:rsidRPr="00E45A47">
        <w:rPr>
          <w:szCs w:val="22"/>
          <w:lang w:val="en-GB"/>
        </w:rPr>
        <w:t>mu</w:t>
      </w:r>
      <w:r w:rsidRPr="00E45A47">
        <w:rPr>
          <w:szCs w:val="22"/>
          <w:lang w:val="el-GR"/>
        </w:rPr>
        <w:t xml:space="preserve"> υποδοχέων (όπως η ταπενταδόλη) σε καταστάσεις οξέος πόνου. Κατά τη συνδυασμένη χρήση με βουπρενορφίνη, αναφέρθηκαν απαιτήσεις για υψηλότερες δόσεις των </w:t>
      </w:r>
      <w:r w:rsidR="00B7397E">
        <w:rPr>
          <w:szCs w:val="22"/>
          <w:lang w:val="el-GR"/>
        </w:rPr>
        <w:t>πλήρω</w:t>
      </w:r>
      <w:r w:rsidR="0094617B">
        <w:rPr>
          <w:szCs w:val="22"/>
          <w:lang w:val="el-GR"/>
        </w:rPr>
        <w:t>ν</w:t>
      </w:r>
      <w:r w:rsidRPr="00E45A47">
        <w:rPr>
          <w:szCs w:val="22"/>
          <w:lang w:val="el-GR"/>
        </w:rPr>
        <w:t xml:space="preserve"> αγωνιστών των υποδοχέων </w:t>
      </w:r>
      <w:r w:rsidRPr="00E45A47">
        <w:rPr>
          <w:szCs w:val="22"/>
        </w:rPr>
        <w:t>mu</w:t>
      </w:r>
      <w:r w:rsidRPr="00E45A47">
        <w:rPr>
          <w:szCs w:val="22"/>
          <w:lang w:val="el-GR"/>
        </w:rPr>
        <w:t xml:space="preserve"> και σε τέτοιες περιπτώσεις απαιτείται στενή παρακολούθηση των ανεπιθύμητων ενεργειών όπως η αναπνευστική καταστολή.</w:t>
      </w:r>
    </w:p>
    <w:p w:rsidR="00847B4F" w:rsidRPr="00281F10" w:rsidRDefault="00847B4F" w:rsidP="005F04EA">
      <w:pPr>
        <w:spacing w:line="240" w:lineRule="auto"/>
        <w:rPr>
          <w:szCs w:val="22"/>
          <w:lang w:val="el-GR"/>
        </w:rPr>
      </w:pPr>
    </w:p>
    <w:p w:rsidR="00847B4F" w:rsidRPr="00281F10" w:rsidRDefault="001F2496" w:rsidP="005F04EA">
      <w:pPr>
        <w:spacing w:line="240" w:lineRule="auto"/>
        <w:rPr>
          <w:szCs w:val="22"/>
          <w:lang w:val="el-GR"/>
        </w:rPr>
      </w:pPr>
      <w:r w:rsidRPr="00281F10">
        <w:rPr>
          <w:szCs w:val="22"/>
          <w:lang w:val="el-GR"/>
        </w:rPr>
        <w:t>Τα επικαλυμμένα με λεπτό υμένιο δισκία του PALEXIA περιέχουν λακτόζη. Οι ασθενείς με σπάνια κληρονομικά προβλήματα δυσανεξίας στη γαλακτόζη, ανεπάρκεια λακτάσης Lapp ή δυσαπορρόφηση γαλακτόζης-γλυκόζης, δεν πρέπει να λαμβάνουν αυτό το φαρμακευτικό προϊόν.</w:t>
      </w:r>
    </w:p>
    <w:p w:rsidR="00847B4F" w:rsidRPr="00281F10" w:rsidRDefault="00847B4F" w:rsidP="005F04EA">
      <w:pPr>
        <w:spacing w:line="240" w:lineRule="auto"/>
        <w:rPr>
          <w:szCs w:val="22"/>
          <w:lang w:val="el-GR"/>
        </w:rPr>
      </w:pPr>
    </w:p>
    <w:p w:rsidR="00847B4F" w:rsidRPr="00281F10" w:rsidRDefault="001F2496" w:rsidP="005F04EA">
      <w:pPr>
        <w:pStyle w:val="2"/>
        <w:spacing w:before="0" w:after="0" w:line="240" w:lineRule="auto"/>
        <w:rPr>
          <w:rFonts w:ascii="Times New Roman" w:hAnsi="Times New Roman"/>
          <w:i w:val="0"/>
          <w:sz w:val="22"/>
          <w:szCs w:val="22"/>
          <w:lang w:val="el-GR"/>
        </w:rPr>
      </w:pPr>
      <w:r w:rsidRPr="00281F10">
        <w:rPr>
          <w:rFonts w:ascii="Times New Roman" w:hAnsi="Times New Roman"/>
          <w:i w:val="0"/>
          <w:sz w:val="22"/>
          <w:szCs w:val="22"/>
          <w:lang w:val="el-GR"/>
        </w:rPr>
        <w:t>4.5</w:t>
      </w:r>
      <w:r w:rsidRPr="00281F10">
        <w:rPr>
          <w:rFonts w:ascii="Times New Roman" w:hAnsi="Times New Roman"/>
          <w:i w:val="0"/>
          <w:sz w:val="22"/>
          <w:szCs w:val="22"/>
          <w:lang w:val="el-GR"/>
        </w:rPr>
        <w:tab/>
        <w:t>Αλληλεπιδράσεις με άλλα φαρμακευτικά προϊόντα και άλλες μορφές αλληλεπίδρασης</w:t>
      </w:r>
    </w:p>
    <w:p w:rsidR="006A0546" w:rsidRPr="00281F10" w:rsidRDefault="006A0546" w:rsidP="005F04EA">
      <w:pPr>
        <w:spacing w:line="240" w:lineRule="auto"/>
        <w:rPr>
          <w:szCs w:val="22"/>
          <w:lang w:val="el-GR"/>
        </w:rPr>
      </w:pPr>
    </w:p>
    <w:p w:rsidR="00847B4F" w:rsidRDefault="001F2496" w:rsidP="005F04EA">
      <w:pPr>
        <w:tabs>
          <w:tab w:val="clear" w:pos="567"/>
        </w:tabs>
        <w:autoSpaceDE w:val="0"/>
        <w:autoSpaceDN w:val="0"/>
        <w:adjustRightInd w:val="0"/>
        <w:spacing w:line="240" w:lineRule="auto"/>
        <w:rPr>
          <w:szCs w:val="22"/>
          <w:lang w:val="el-GR"/>
        </w:rPr>
      </w:pPr>
      <w:r w:rsidRPr="00281F10">
        <w:rPr>
          <w:szCs w:val="22"/>
          <w:lang w:val="el-GR"/>
        </w:rPr>
        <w:t>Φαρμακευτικά προϊόντα όπως είναι οι βενζοδιαζεπίνες, τα βαρβιτουρικά και τα οπιοειδή (αναλγητικά, αντιβηχικά ή θεραπείες υποκατάστασης) μπορεί να ενισχύσουν τον κίνδυνο αναπνευστικής καταστολής, αν ληφθούν σε συνδυασμό με PALEXIA. Τα κατασταλτικά του ΚΝΣ (π.χ. βενζοδιαζεπίνες, αντιψυχωσικά, αντιϊσταμινικά Η1, οπιοειδή, οινόπνευμα) μπορούν να ενισχύσουν την κατασταλτική επίδραση της ταπενταδόλης και να επηρεάσουν την εγρήγορση. Επομένως, όταν συζητείται το ενδεχόμενο συγχορήγησης του PALEXIA με κατασταλτικό για το αναπνευστικό ή το κεντρικό νευρικό σύστημα, πρέπει να λαμβάνεται υπόψη το ενδεχόμενο μείωσης της δόσης ενός ή και των δύο παραγόντων.</w:t>
      </w:r>
    </w:p>
    <w:p w:rsidR="00CB4189" w:rsidRDefault="00CB4189" w:rsidP="005F04EA">
      <w:pPr>
        <w:tabs>
          <w:tab w:val="clear" w:pos="567"/>
        </w:tabs>
        <w:autoSpaceDE w:val="0"/>
        <w:autoSpaceDN w:val="0"/>
        <w:adjustRightInd w:val="0"/>
        <w:spacing w:line="240" w:lineRule="auto"/>
        <w:rPr>
          <w:szCs w:val="22"/>
          <w:lang w:val="el-GR"/>
        </w:rPr>
      </w:pPr>
    </w:p>
    <w:p w:rsidR="00CB4189" w:rsidRPr="00CB4189" w:rsidRDefault="00CB4189" w:rsidP="00CB4189">
      <w:pPr>
        <w:tabs>
          <w:tab w:val="clear" w:pos="567"/>
        </w:tabs>
        <w:autoSpaceDE w:val="0"/>
        <w:autoSpaceDN w:val="0"/>
        <w:adjustRightInd w:val="0"/>
        <w:spacing w:line="240" w:lineRule="auto"/>
        <w:rPr>
          <w:i/>
          <w:iCs/>
          <w:szCs w:val="22"/>
          <w:lang w:val="el-GR"/>
        </w:rPr>
      </w:pPr>
      <w:r w:rsidRPr="00CB4189">
        <w:rPr>
          <w:i/>
          <w:iCs/>
          <w:szCs w:val="22"/>
          <w:lang w:val="el-GR"/>
        </w:rPr>
        <w:t>Μικτοί αγωνιστές/ανταγωνιστές οπιοειδών</w:t>
      </w:r>
    </w:p>
    <w:p w:rsidR="00CB4189" w:rsidRPr="00281F10" w:rsidRDefault="00CB4189" w:rsidP="00CB4189">
      <w:pPr>
        <w:tabs>
          <w:tab w:val="clear" w:pos="567"/>
        </w:tabs>
        <w:autoSpaceDE w:val="0"/>
        <w:autoSpaceDN w:val="0"/>
        <w:adjustRightInd w:val="0"/>
        <w:spacing w:line="240" w:lineRule="auto"/>
        <w:rPr>
          <w:szCs w:val="22"/>
          <w:lang w:val="el-GR"/>
        </w:rPr>
      </w:pPr>
      <w:r w:rsidRPr="00CB4189">
        <w:rPr>
          <w:szCs w:val="22"/>
          <w:lang w:val="el-GR"/>
        </w:rPr>
        <w:t xml:space="preserve">Πρέπει να δίνεται προσοχή κατά το συνδυασμό του </w:t>
      </w:r>
      <w:r w:rsidRPr="00CB4189">
        <w:rPr>
          <w:szCs w:val="22"/>
        </w:rPr>
        <w:t>PALEXIA</w:t>
      </w:r>
      <w:r w:rsidRPr="00CB4189">
        <w:rPr>
          <w:szCs w:val="22"/>
          <w:lang w:val="el-GR"/>
        </w:rPr>
        <w:t xml:space="preserve"> με μικτούς  αγωνιστές/ανταγωνιστές των υποδοχέων </w:t>
      </w:r>
      <w:r w:rsidRPr="00CB4189">
        <w:rPr>
          <w:szCs w:val="22"/>
          <w:lang w:val="en-GB"/>
        </w:rPr>
        <w:t>mu</w:t>
      </w:r>
      <w:r w:rsidRPr="00CB4189">
        <w:rPr>
          <w:szCs w:val="22"/>
          <w:lang w:val="el-GR"/>
        </w:rPr>
        <w:t xml:space="preserve"> των οπιοειδών (όπως πενταζοκίνη, ναλβουφίνη) ή με μερικ</w:t>
      </w:r>
      <w:r w:rsidR="003A33FD">
        <w:rPr>
          <w:szCs w:val="22"/>
          <w:lang w:val="el-GR"/>
        </w:rPr>
        <w:t>ούς</w:t>
      </w:r>
      <w:r w:rsidRPr="00CB4189">
        <w:rPr>
          <w:szCs w:val="22"/>
          <w:lang w:val="el-GR"/>
        </w:rPr>
        <w:t xml:space="preserve"> αγωνιστές των υποδοχέων </w:t>
      </w:r>
      <w:r w:rsidRPr="00CB4189">
        <w:rPr>
          <w:szCs w:val="22"/>
          <w:lang w:val="en-GB"/>
        </w:rPr>
        <w:t>mu</w:t>
      </w:r>
      <w:r w:rsidRPr="00CB4189">
        <w:rPr>
          <w:szCs w:val="22"/>
          <w:lang w:val="el-GR"/>
        </w:rPr>
        <w:t xml:space="preserve"> των οπιοειδών (όπως βουπρενορφίνη) (βλέπε επίσης παράγραφο 4.4).</w:t>
      </w:r>
    </w:p>
    <w:p w:rsidR="00847B4F" w:rsidRPr="00281F10" w:rsidRDefault="00847B4F" w:rsidP="005F04EA">
      <w:pPr>
        <w:tabs>
          <w:tab w:val="clear" w:pos="567"/>
        </w:tabs>
        <w:autoSpaceDE w:val="0"/>
        <w:autoSpaceDN w:val="0"/>
        <w:adjustRightInd w:val="0"/>
        <w:spacing w:line="240" w:lineRule="auto"/>
        <w:rPr>
          <w:szCs w:val="22"/>
          <w:lang w:val="el-GR"/>
        </w:rPr>
      </w:pPr>
    </w:p>
    <w:p w:rsidR="00371F75" w:rsidRPr="00281F10" w:rsidRDefault="001F2496" w:rsidP="005F04EA">
      <w:pPr>
        <w:tabs>
          <w:tab w:val="clear" w:pos="567"/>
        </w:tabs>
        <w:autoSpaceDE w:val="0"/>
        <w:autoSpaceDN w:val="0"/>
        <w:adjustRightInd w:val="0"/>
        <w:spacing w:line="240" w:lineRule="auto"/>
        <w:rPr>
          <w:iCs/>
          <w:color w:val="000000"/>
          <w:szCs w:val="22"/>
          <w:lang w:val="el-GR" w:eastAsia="de-DE"/>
        </w:rPr>
      </w:pPr>
      <w:r w:rsidRPr="00281F10">
        <w:rPr>
          <w:color w:val="000000"/>
          <w:szCs w:val="22"/>
          <w:lang w:val="el-GR"/>
        </w:rPr>
        <w:t>Σε μεμονωμένες περιπτώσεις έχουν υπάρξει αναφορές σεροτονινεργικού συνδρόμου σε χρονικό συσχετισμό με τη θεραπευτική χρήση ταπενταδόλης σε συνδυασμό με σεροτονινεργικά φαρμακευτικά προϊόντα, όπως οι εκλεκτικοί αναστολείς επαναπρόσληψης σεροτονίνης (</w:t>
      </w:r>
      <w:r w:rsidRPr="00281F10">
        <w:rPr>
          <w:color w:val="000000"/>
          <w:szCs w:val="22"/>
        </w:rPr>
        <w:t>SSRIs</w:t>
      </w:r>
      <w:r w:rsidRPr="00281F10">
        <w:rPr>
          <w:color w:val="000000"/>
          <w:szCs w:val="22"/>
          <w:lang w:val="el-GR"/>
        </w:rPr>
        <w:t xml:space="preserve">). Σημεία του σεροτονινεργικού συνδρόμου μπορεί να είναι για παράδειγμα σύγχυση, διέγερση, πυρετός, εφίδρωση, αταξία, αύξηση αντανακλαστικών, μυόκλωνος και διάρροια. Η διακοπή των σεροτονινεργικών φαρμακευτικών προϊόντων συνήθως επιφέρει ταχεία βελτίωση. Η θεραπεία εξαρτάται από τη φύση και τη σοβαρότητα των συμπτωμάτων. </w:t>
      </w:r>
    </w:p>
    <w:p w:rsidR="00371F75" w:rsidRPr="00281F10" w:rsidRDefault="00371F75" w:rsidP="005F04EA">
      <w:pPr>
        <w:tabs>
          <w:tab w:val="clear" w:pos="567"/>
        </w:tabs>
        <w:autoSpaceDE w:val="0"/>
        <w:autoSpaceDN w:val="0"/>
        <w:adjustRightInd w:val="0"/>
        <w:spacing w:line="240" w:lineRule="auto"/>
        <w:rPr>
          <w:szCs w:val="22"/>
          <w:lang w:val="el-GR"/>
        </w:rPr>
      </w:pPr>
    </w:p>
    <w:p w:rsidR="00847B4F" w:rsidRPr="00281F10" w:rsidRDefault="001F2496" w:rsidP="005F04EA">
      <w:pPr>
        <w:spacing w:line="240" w:lineRule="auto"/>
        <w:rPr>
          <w:szCs w:val="22"/>
          <w:lang w:val="el-GR"/>
        </w:rPr>
      </w:pPr>
      <w:r w:rsidRPr="004767B1">
        <w:rPr>
          <w:szCs w:val="22"/>
          <w:lang w:val="el-GR"/>
        </w:rPr>
        <w:t xml:space="preserve">Η κύρια οδός απομάκρυνσης της ταπενταδόλης είναι η σύζευξη με το γλυκουρονικό οξύ μέσω της διφωσφονικής ουριδινικής τρανσφεράσης (UGT), κυρίως των ισομορφών UGT1A6, UGT1A9 και UGT2B7. Επομένως, η παράλληλη χορήγηση με ισχυρούς αναστολείς αυτών των ισοενζύμων </w:t>
      </w:r>
      <w:r w:rsidR="00CA4859">
        <w:rPr>
          <w:szCs w:val="22"/>
          <w:lang w:val="el-GR"/>
        </w:rPr>
        <w:t>(π.χ. κετοκοναζόλη, φλουκοναζόλη, μεκλοφ</w:t>
      </w:r>
      <w:r w:rsidR="000C03C0">
        <w:rPr>
          <w:szCs w:val="22"/>
          <w:lang w:val="el-GR"/>
        </w:rPr>
        <w:t>ε</w:t>
      </w:r>
      <w:r w:rsidR="00CA4859">
        <w:rPr>
          <w:szCs w:val="22"/>
          <w:lang w:val="el-GR"/>
        </w:rPr>
        <w:t xml:space="preserve">ναμικό οξύ) μπορεί να οδηγήσει σε αυξημένη συστηματική έκθεση της ταπενταδόλης </w:t>
      </w:r>
      <w:r w:rsidRPr="00281F10">
        <w:rPr>
          <w:szCs w:val="22"/>
          <w:lang w:val="el-GR"/>
        </w:rPr>
        <w:t>(βλέπε παράγραφο 5.2).</w:t>
      </w:r>
    </w:p>
    <w:p w:rsidR="00847B4F" w:rsidRPr="00281F10" w:rsidRDefault="00847B4F" w:rsidP="005F04EA">
      <w:pPr>
        <w:spacing w:line="240" w:lineRule="auto"/>
        <w:rPr>
          <w:szCs w:val="22"/>
          <w:lang w:val="el-GR"/>
        </w:rPr>
      </w:pPr>
    </w:p>
    <w:p w:rsidR="00847B4F" w:rsidRDefault="001F2496" w:rsidP="005F04EA">
      <w:pPr>
        <w:spacing w:line="240" w:lineRule="auto"/>
        <w:rPr>
          <w:szCs w:val="22"/>
          <w:lang w:val="el-GR"/>
        </w:rPr>
      </w:pPr>
      <w:r w:rsidRPr="00281F10">
        <w:rPr>
          <w:szCs w:val="22"/>
          <w:lang w:val="el-GR"/>
        </w:rPr>
        <w:t>Όσον αφορά στους ασθενείς που ακολουθούν θεραπεία με ταπενταδόλη, πρέπει να δοθεί προσοχή αν ξεκινήσει ή σταματήσει παράλληλη χορήγηση φαρμάκου με ισχυρή ενζυμική επαγωγική δράση (π.χ. ριφαμπικίνη, φαινοβαρβιτάλη, βότανο St. John (hypericum perforatum), καθώς αυτό μπορεί να οδηγήσει σε μειωμένη αποτελεσματικότητα ή κίνδυνο ανεπιθύμητων ενεργειών, αντίστοιχα.</w:t>
      </w:r>
    </w:p>
    <w:p w:rsidR="00DC5A1B" w:rsidRDefault="00DC5A1B" w:rsidP="005F04EA">
      <w:pPr>
        <w:spacing w:line="240" w:lineRule="auto"/>
        <w:rPr>
          <w:szCs w:val="22"/>
          <w:lang w:val="el-GR"/>
        </w:rPr>
      </w:pPr>
    </w:p>
    <w:p w:rsidR="00DC5A1B" w:rsidRPr="00281F10" w:rsidRDefault="00DC5A1B" w:rsidP="005F04EA">
      <w:pPr>
        <w:spacing w:line="240" w:lineRule="auto"/>
        <w:rPr>
          <w:szCs w:val="22"/>
          <w:lang w:val="el-GR"/>
        </w:rPr>
      </w:pPr>
      <w:r w:rsidRPr="00DC5A1B">
        <w:rPr>
          <w:szCs w:val="22"/>
          <w:lang w:val="el-GR"/>
        </w:rPr>
        <w:t xml:space="preserve">Η θεραπεία με PALEXIA πρέπει να αποφεύγεται σε ασθενείς που λαμβάνουν αναστολείς της μονοαμινοξειδάσης (ΜΑΟ) ή που τους έλαβαν κατά τη διάρκεια των τελευταίων 14 ημερών λόγω των πιθανών </w:t>
      </w:r>
      <w:r w:rsidR="00C54056">
        <w:rPr>
          <w:szCs w:val="22"/>
          <w:lang w:val="el-GR"/>
        </w:rPr>
        <w:t>αθροιστικών</w:t>
      </w:r>
      <w:r w:rsidRPr="00DC5A1B">
        <w:rPr>
          <w:szCs w:val="22"/>
          <w:lang w:val="el-GR"/>
        </w:rPr>
        <w:t xml:space="preserve"> επιδράσεων στις συγκεντρώσεις της νοραδρεναλίνης στις συνάψεις, οι οποίες μπορεί να οδηγήσουν σε ανεπιθύμητα καρδιαγγειακά συμβάντα, όπως υπερτασική κρίση.</w:t>
      </w:r>
    </w:p>
    <w:p w:rsidR="00847B4F" w:rsidRPr="00281F10" w:rsidRDefault="00847B4F" w:rsidP="005F04EA">
      <w:pPr>
        <w:spacing w:line="240" w:lineRule="auto"/>
        <w:rPr>
          <w:szCs w:val="22"/>
          <w:lang w:val="el-GR"/>
        </w:rPr>
      </w:pPr>
    </w:p>
    <w:p w:rsidR="00847B4F" w:rsidRPr="00281F10" w:rsidRDefault="001F2496" w:rsidP="005F04EA">
      <w:pPr>
        <w:pStyle w:val="2"/>
        <w:spacing w:before="0" w:after="0" w:line="240" w:lineRule="auto"/>
        <w:rPr>
          <w:rFonts w:ascii="Times New Roman" w:hAnsi="Times New Roman"/>
          <w:i w:val="0"/>
          <w:sz w:val="22"/>
          <w:szCs w:val="22"/>
          <w:lang w:val="el-GR"/>
        </w:rPr>
      </w:pPr>
      <w:r w:rsidRPr="00281F10">
        <w:rPr>
          <w:rFonts w:ascii="Times New Roman" w:hAnsi="Times New Roman"/>
          <w:i w:val="0"/>
          <w:sz w:val="22"/>
          <w:szCs w:val="22"/>
          <w:lang w:val="el-GR"/>
        </w:rPr>
        <w:t xml:space="preserve">4.6 </w:t>
      </w:r>
      <w:r w:rsidR="003718E0" w:rsidRPr="00C35979">
        <w:rPr>
          <w:rFonts w:ascii="Times New Roman" w:hAnsi="Times New Roman"/>
          <w:i w:val="0"/>
          <w:sz w:val="22"/>
          <w:szCs w:val="22"/>
          <w:lang w:val="el-GR"/>
        </w:rPr>
        <w:tab/>
      </w:r>
      <w:r w:rsidRPr="00281F10">
        <w:rPr>
          <w:rFonts w:ascii="Times New Roman" w:hAnsi="Times New Roman"/>
          <w:i w:val="0"/>
          <w:sz w:val="22"/>
          <w:szCs w:val="22"/>
          <w:lang w:val="el-GR"/>
        </w:rPr>
        <w:t>Γονιμότητα, κύηση και γαλουχία</w:t>
      </w:r>
    </w:p>
    <w:p w:rsidR="006A0546" w:rsidRPr="00281F10" w:rsidRDefault="006A0546" w:rsidP="005F04EA">
      <w:pPr>
        <w:spacing w:line="240" w:lineRule="auto"/>
        <w:rPr>
          <w:i/>
          <w:szCs w:val="22"/>
          <w:lang w:val="el-GR"/>
        </w:rPr>
      </w:pPr>
    </w:p>
    <w:p w:rsidR="00847B4F" w:rsidRPr="00281F10" w:rsidRDefault="00D31B6E" w:rsidP="005F04EA">
      <w:pPr>
        <w:spacing w:line="240" w:lineRule="auto"/>
        <w:rPr>
          <w:i/>
          <w:szCs w:val="22"/>
          <w:lang w:val="el-GR"/>
        </w:rPr>
      </w:pPr>
      <w:r w:rsidRPr="00281F10">
        <w:rPr>
          <w:i/>
          <w:szCs w:val="22"/>
          <w:lang w:val="el-GR"/>
        </w:rPr>
        <w:t>Κύηση</w:t>
      </w:r>
    </w:p>
    <w:p w:rsidR="00847B4F" w:rsidRPr="00281F10" w:rsidRDefault="001F2496" w:rsidP="005F04EA">
      <w:pPr>
        <w:tabs>
          <w:tab w:val="clear" w:pos="567"/>
        </w:tabs>
        <w:spacing w:line="240" w:lineRule="auto"/>
        <w:rPr>
          <w:szCs w:val="22"/>
          <w:lang w:val="el-GR"/>
        </w:rPr>
      </w:pPr>
      <w:r w:rsidRPr="00281F10">
        <w:rPr>
          <w:szCs w:val="22"/>
          <w:lang w:val="el-GR"/>
        </w:rPr>
        <w:t>Υπάρχει πολύ περιορισμένος αριθμός δεδομένων από τη χρήση σε εγκύους.</w:t>
      </w:r>
    </w:p>
    <w:p w:rsidR="00847B4F" w:rsidRPr="00281F10" w:rsidRDefault="001F2496" w:rsidP="005F04EA">
      <w:pPr>
        <w:spacing w:line="240" w:lineRule="auto"/>
        <w:rPr>
          <w:szCs w:val="22"/>
          <w:lang w:val="el-GR"/>
        </w:rPr>
      </w:pPr>
      <w:r w:rsidRPr="00281F10">
        <w:rPr>
          <w:szCs w:val="22"/>
          <w:lang w:val="el-GR"/>
        </w:rPr>
        <w:t>Οι μελέτες σε ζώα δεν έχουν δείξει τερατογόνο δράση. Παρόλα αυτά, παρατηρήθηκε καθυστέρηση στην ανάπτυξη και εμβρυοτοξικότητα σε δόσεις που οδήγησαν σε υπερβολική αύξηση της φαρμακολογικής δράσης</w:t>
      </w:r>
      <w:r w:rsidR="008F4560">
        <w:rPr>
          <w:szCs w:val="22"/>
          <w:lang w:val="el-GR"/>
        </w:rPr>
        <w:t xml:space="preserve"> (επιδράσεις στο ΚΝΣ </w:t>
      </w:r>
      <w:r w:rsidR="009D60E7">
        <w:rPr>
          <w:szCs w:val="22"/>
          <w:lang w:val="el-GR"/>
        </w:rPr>
        <w:t>σχετιζόμενες</w:t>
      </w:r>
      <w:r w:rsidR="008F4560">
        <w:rPr>
          <w:szCs w:val="22"/>
          <w:lang w:val="el-GR"/>
        </w:rPr>
        <w:t xml:space="preserve"> με τους υποδοχείς </w:t>
      </w:r>
      <w:r w:rsidR="009D60E7">
        <w:rPr>
          <w:szCs w:val="22"/>
        </w:rPr>
        <w:t>mu</w:t>
      </w:r>
      <w:r w:rsidR="009D60E7">
        <w:rPr>
          <w:szCs w:val="22"/>
          <w:lang w:val="el-GR"/>
        </w:rPr>
        <w:t xml:space="preserve"> </w:t>
      </w:r>
      <w:r w:rsidR="008F4560">
        <w:rPr>
          <w:szCs w:val="22"/>
          <w:lang w:val="el-GR"/>
        </w:rPr>
        <w:t>των οπιοειδών</w:t>
      </w:r>
      <w:r w:rsidR="009D60E7">
        <w:rPr>
          <w:szCs w:val="22"/>
          <w:lang w:val="el-GR"/>
        </w:rPr>
        <w:t>, οι οποίες</w:t>
      </w:r>
      <w:r w:rsidR="008F4560">
        <w:rPr>
          <w:szCs w:val="22"/>
          <w:lang w:val="el-GR"/>
        </w:rPr>
        <w:t xml:space="preserve"> </w:t>
      </w:r>
      <w:r w:rsidR="009D60E7">
        <w:rPr>
          <w:szCs w:val="22"/>
          <w:lang w:val="el-GR"/>
        </w:rPr>
        <w:t>συνδέονται</w:t>
      </w:r>
      <w:r w:rsidR="008F4560">
        <w:rPr>
          <w:szCs w:val="22"/>
          <w:lang w:val="el-GR"/>
        </w:rPr>
        <w:t xml:space="preserve"> με δοσολογία </w:t>
      </w:r>
      <w:r w:rsidR="009D60E7">
        <w:rPr>
          <w:szCs w:val="22"/>
          <w:lang w:val="el-GR"/>
        </w:rPr>
        <w:t>μεγαλύτερη</w:t>
      </w:r>
      <w:r w:rsidR="008F4560">
        <w:rPr>
          <w:szCs w:val="22"/>
          <w:lang w:val="el-GR"/>
        </w:rPr>
        <w:t xml:space="preserve"> του θεραπευτικού εύρους)</w:t>
      </w:r>
      <w:r w:rsidRPr="00281F10">
        <w:rPr>
          <w:szCs w:val="22"/>
          <w:lang w:val="el-GR"/>
        </w:rPr>
        <w:t>. Επιδράσεις στην ανάπτυξη μετά τη γέννηση παρατηρήθηκαν ήδη στο μητρικό NOAEL (επίπεδο στο οποίο δεν παρατηρούνται δυσμενείς επιδράσεις) (βλέπε παράγραφο 5.3).</w:t>
      </w:r>
      <w:r w:rsidRPr="00281F10">
        <w:rPr>
          <w:i/>
          <w:szCs w:val="22"/>
          <w:lang w:val="el-GR"/>
        </w:rPr>
        <w:t xml:space="preserve"> </w:t>
      </w:r>
    </w:p>
    <w:p w:rsidR="00847B4F" w:rsidRPr="00281F10" w:rsidRDefault="001F2496" w:rsidP="005F04EA">
      <w:pPr>
        <w:spacing w:line="240" w:lineRule="auto"/>
        <w:rPr>
          <w:szCs w:val="22"/>
          <w:lang w:val="el-GR"/>
        </w:rPr>
      </w:pPr>
      <w:r w:rsidRPr="00281F10">
        <w:rPr>
          <w:szCs w:val="22"/>
          <w:lang w:val="el-GR"/>
        </w:rPr>
        <w:t>Το PALEXIA πρέπει να χρησιμοποιείται κατά τη διάρκεια της εγκυμοσύνης, μόνο αν το πιθανό όφελος δικαιολογεί τον πιθανό κίνδυνο για το έμβρυο.</w:t>
      </w:r>
    </w:p>
    <w:p w:rsidR="00847B4F" w:rsidRPr="00281F10" w:rsidRDefault="00847B4F" w:rsidP="005F04EA">
      <w:pPr>
        <w:spacing w:line="240" w:lineRule="auto"/>
        <w:rPr>
          <w:szCs w:val="22"/>
          <w:lang w:val="el-GR"/>
        </w:rPr>
      </w:pPr>
    </w:p>
    <w:p w:rsidR="00847B4F" w:rsidRPr="00281F10" w:rsidRDefault="001F2496" w:rsidP="005F04EA">
      <w:pPr>
        <w:spacing w:line="240" w:lineRule="auto"/>
        <w:rPr>
          <w:i/>
          <w:szCs w:val="22"/>
          <w:lang w:val="el-GR"/>
        </w:rPr>
      </w:pPr>
      <w:r w:rsidRPr="00281F10">
        <w:rPr>
          <w:i/>
          <w:szCs w:val="22"/>
          <w:lang w:val="el-GR"/>
        </w:rPr>
        <w:t>Τοκετός</w:t>
      </w:r>
    </w:p>
    <w:p w:rsidR="00847B4F" w:rsidRPr="00281F10" w:rsidRDefault="001F2496" w:rsidP="005F04EA">
      <w:pPr>
        <w:spacing w:line="240" w:lineRule="auto"/>
        <w:rPr>
          <w:szCs w:val="22"/>
          <w:lang w:val="el-GR"/>
        </w:rPr>
      </w:pPr>
      <w:r w:rsidRPr="00281F10">
        <w:rPr>
          <w:szCs w:val="22"/>
          <w:lang w:val="el-GR"/>
        </w:rPr>
        <w:t>Η επίδραση της ταπενταδόλης στον τοκετό στους ανθρώπους είναι άγνωστη. Το PALEXIA δεν συνιστάται για χρήση σε γυναίκες κατά τη διάρκεια και αμέσως πριν από τον τοκετό. Λόγω της δράσης του αγωνιστή στον υποδοχέα mu οπιοειδών της ταπενταδόλης, τα νεογνά των οποίων οι μητέρες έχουν λάβει ταπενταδόλη πρέπει να παρακολουθούνται για αναπνευστική καταστολή.</w:t>
      </w:r>
    </w:p>
    <w:p w:rsidR="00847B4F" w:rsidRPr="00281F10" w:rsidRDefault="00847B4F" w:rsidP="005F04EA">
      <w:pPr>
        <w:spacing w:line="240" w:lineRule="auto"/>
        <w:rPr>
          <w:i/>
          <w:szCs w:val="22"/>
          <w:lang w:val="el-GR"/>
        </w:rPr>
      </w:pPr>
    </w:p>
    <w:p w:rsidR="00847B4F" w:rsidRPr="00281F10" w:rsidRDefault="001F2496" w:rsidP="005F04EA">
      <w:pPr>
        <w:spacing w:line="240" w:lineRule="auto"/>
        <w:rPr>
          <w:i/>
          <w:szCs w:val="22"/>
          <w:lang w:val="el-GR"/>
        </w:rPr>
      </w:pPr>
      <w:r w:rsidRPr="00281F10">
        <w:rPr>
          <w:i/>
          <w:szCs w:val="22"/>
          <w:lang w:val="el-GR"/>
        </w:rPr>
        <w:t>Γαλουχία</w:t>
      </w:r>
    </w:p>
    <w:p w:rsidR="00847B4F" w:rsidRPr="00281F10" w:rsidRDefault="001F2496" w:rsidP="005F04EA">
      <w:pPr>
        <w:spacing w:line="240" w:lineRule="auto"/>
        <w:rPr>
          <w:szCs w:val="22"/>
          <w:lang w:val="el-GR"/>
        </w:rPr>
      </w:pPr>
      <w:r w:rsidRPr="00281F10">
        <w:rPr>
          <w:szCs w:val="22"/>
          <w:lang w:val="el-GR"/>
        </w:rPr>
        <w:t>Δεν υπάρχουν πληροφορίες για την απέκκριση της ταπενταδόλης στο ανθρώπινο γάλα. Από μια μελέτη σε νεογνά αρουραίων κατά τη διάρκεια γαλουχίας από μητέρες που έλαβαν ταπενταδόλη, προέκυψε το συμπέρασμα ότι η ταπενταδόλη απεκκρίνεται από το γάλα (βλέπε παράγραφο 5.3). Επομένως, δεν μπορεί να αποκλειστεί ο κίνδυνος για το παιδί που θηλάζει. Το PALEXIA δεν πρέπει να χρησιμοποιείται κατά τη διάρκεια του θηλασμού.</w:t>
      </w:r>
    </w:p>
    <w:p w:rsidR="00847B4F" w:rsidRPr="00281F10" w:rsidRDefault="00847B4F" w:rsidP="005F04EA">
      <w:pPr>
        <w:spacing w:line="240" w:lineRule="auto"/>
        <w:rPr>
          <w:szCs w:val="22"/>
          <w:lang w:val="el-GR"/>
        </w:rPr>
      </w:pPr>
    </w:p>
    <w:p w:rsidR="00847B4F" w:rsidRPr="00281F10" w:rsidRDefault="001F2496" w:rsidP="005F04EA">
      <w:pPr>
        <w:pStyle w:val="2"/>
        <w:spacing w:before="0" w:after="0" w:line="240" w:lineRule="auto"/>
        <w:rPr>
          <w:rFonts w:ascii="Times New Roman" w:hAnsi="Times New Roman"/>
          <w:i w:val="0"/>
          <w:sz w:val="22"/>
          <w:szCs w:val="22"/>
          <w:lang w:val="el-GR"/>
        </w:rPr>
      </w:pPr>
      <w:r w:rsidRPr="00281F10">
        <w:rPr>
          <w:rFonts w:ascii="Times New Roman" w:hAnsi="Times New Roman"/>
          <w:i w:val="0"/>
          <w:sz w:val="22"/>
          <w:szCs w:val="22"/>
          <w:lang w:val="el-GR"/>
        </w:rPr>
        <w:t>4.7</w:t>
      </w:r>
      <w:r w:rsidRPr="00281F10">
        <w:rPr>
          <w:rFonts w:ascii="Times New Roman" w:hAnsi="Times New Roman"/>
          <w:i w:val="0"/>
          <w:sz w:val="22"/>
          <w:szCs w:val="22"/>
          <w:lang w:val="el-GR"/>
        </w:rPr>
        <w:tab/>
        <w:t>Επιδράσεις στην ικανότητα οδήγησης και χειρισμού μηχανών</w:t>
      </w:r>
    </w:p>
    <w:p w:rsidR="006A0546" w:rsidRPr="00281F10" w:rsidRDefault="006A0546" w:rsidP="005F04EA">
      <w:pPr>
        <w:spacing w:line="240" w:lineRule="auto"/>
        <w:rPr>
          <w:szCs w:val="22"/>
          <w:lang w:val="el-GR"/>
        </w:rPr>
      </w:pPr>
    </w:p>
    <w:p w:rsidR="00847B4F" w:rsidRPr="00281F10" w:rsidRDefault="00D31B6E" w:rsidP="005F04EA">
      <w:pPr>
        <w:spacing w:line="240" w:lineRule="auto"/>
        <w:rPr>
          <w:szCs w:val="22"/>
          <w:lang w:val="el-GR"/>
        </w:rPr>
      </w:pPr>
      <w:r w:rsidRPr="00281F10">
        <w:rPr>
          <w:szCs w:val="22"/>
          <w:lang w:val="el-GR"/>
        </w:rPr>
        <w:t xml:space="preserve">Το PALEXIA μπορεί να έχει σημαντική επίδραση στην ικανότητα οδήγησης και χειρισμού μηχανών </w:t>
      </w:r>
      <w:r w:rsidR="00E03F6C">
        <w:rPr>
          <w:szCs w:val="22"/>
          <w:lang w:val="el-GR"/>
        </w:rPr>
        <w:t>επειδή</w:t>
      </w:r>
      <w:r w:rsidR="00E03F6C" w:rsidRPr="00281F10">
        <w:rPr>
          <w:szCs w:val="22"/>
          <w:lang w:val="el-GR"/>
        </w:rPr>
        <w:t xml:space="preserve"> </w:t>
      </w:r>
      <w:r w:rsidRPr="00281F10">
        <w:rPr>
          <w:szCs w:val="22"/>
          <w:lang w:val="el-GR"/>
        </w:rPr>
        <w:t>μπορεί να επηρεά</w:t>
      </w:r>
      <w:r w:rsidR="001F2496" w:rsidRPr="00281F10">
        <w:rPr>
          <w:szCs w:val="22"/>
          <w:lang w:val="el-GR"/>
        </w:rPr>
        <w:t xml:space="preserve">σει αρνητικά τις λειτουργίες του κεντρικού νευρικού συστήματος (βλέπε παράγραφο 4.8). Αυτό αναμένεται ειδικά κατά την έναρξη της θεραπείας, </w:t>
      </w:r>
      <w:r w:rsidR="003F1F62">
        <w:rPr>
          <w:szCs w:val="22"/>
          <w:lang w:val="el-GR"/>
        </w:rPr>
        <w:t>όταν γίνεται οποιαδήποτε</w:t>
      </w:r>
      <w:r w:rsidR="001F2496" w:rsidRPr="00281F10">
        <w:rPr>
          <w:szCs w:val="22"/>
          <w:lang w:val="el-GR"/>
        </w:rPr>
        <w:t xml:space="preserve"> αλλαγή της δόσης καθώς και σε σχέση με </w:t>
      </w:r>
      <w:r w:rsidR="003F1F62">
        <w:rPr>
          <w:szCs w:val="22"/>
          <w:lang w:val="el-GR"/>
        </w:rPr>
        <w:t>τη χρήση</w:t>
      </w:r>
      <w:r w:rsidR="001F2496" w:rsidRPr="00281F10">
        <w:rPr>
          <w:szCs w:val="22"/>
          <w:lang w:val="el-GR"/>
        </w:rPr>
        <w:t xml:space="preserve"> οινοπνεύματος ή ηρεμιστικών (βλέπε παράγραφο 4.4). Οι ασθενείς πρέπει να προειδοποιούνται ως προς το αν τους επιτρέπεται να οδηγούν ή να χειρίζονται μηχανές.</w:t>
      </w:r>
    </w:p>
    <w:p w:rsidR="00847B4F" w:rsidRPr="00281F10" w:rsidRDefault="00847B4F" w:rsidP="005F04EA">
      <w:pPr>
        <w:spacing w:line="240" w:lineRule="auto"/>
        <w:rPr>
          <w:szCs w:val="22"/>
          <w:lang w:val="el-GR"/>
        </w:rPr>
      </w:pPr>
    </w:p>
    <w:p w:rsidR="00847B4F" w:rsidRPr="00281F10" w:rsidRDefault="001F2496" w:rsidP="005F04EA">
      <w:pPr>
        <w:pStyle w:val="2"/>
        <w:spacing w:before="0" w:after="0" w:line="240" w:lineRule="auto"/>
        <w:rPr>
          <w:rFonts w:ascii="Times New Roman" w:hAnsi="Times New Roman"/>
          <w:i w:val="0"/>
          <w:sz w:val="22"/>
          <w:szCs w:val="22"/>
          <w:lang w:val="el-GR"/>
        </w:rPr>
      </w:pPr>
      <w:r w:rsidRPr="00281F10">
        <w:rPr>
          <w:rFonts w:ascii="Times New Roman" w:hAnsi="Times New Roman"/>
          <w:i w:val="0"/>
          <w:sz w:val="22"/>
          <w:szCs w:val="22"/>
          <w:lang w:val="el-GR"/>
        </w:rPr>
        <w:t>4.8</w:t>
      </w:r>
      <w:r w:rsidRPr="00281F10">
        <w:rPr>
          <w:rFonts w:ascii="Times New Roman" w:hAnsi="Times New Roman"/>
          <w:i w:val="0"/>
          <w:sz w:val="22"/>
          <w:szCs w:val="22"/>
          <w:lang w:val="el-GR"/>
        </w:rPr>
        <w:tab/>
        <w:t>Ανεπιθύμητες ενέργειες</w:t>
      </w:r>
    </w:p>
    <w:p w:rsidR="006A0546" w:rsidRPr="00281F10" w:rsidRDefault="006A0546" w:rsidP="005F04EA">
      <w:pPr>
        <w:spacing w:line="240" w:lineRule="auto"/>
        <w:rPr>
          <w:szCs w:val="22"/>
          <w:lang w:val="el-GR"/>
        </w:rPr>
      </w:pPr>
    </w:p>
    <w:p w:rsidR="00847B4F" w:rsidRPr="00281F10" w:rsidRDefault="00D31B6E" w:rsidP="005F04EA">
      <w:pPr>
        <w:spacing w:line="240" w:lineRule="auto"/>
        <w:rPr>
          <w:szCs w:val="22"/>
          <w:lang w:val="el-GR"/>
        </w:rPr>
      </w:pPr>
      <w:r w:rsidRPr="00281F10">
        <w:rPr>
          <w:szCs w:val="22"/>
          <w:lang w:val="el-GR"/>
        </w:rPr>
        <w:t>Οι ανεπιθύμητες ενέργειες του φαρμάκου που εμφανίστηκαν σε ασθενε</w:t>
      </w:r>
      <w:r w:rsidR="001F2496" w:rsidRPr="00281F10">
        <w:rPr>
          <w:szCs w:val="22"/>
          <w:lang w:val="el-GR"/>
        </w:rPr>
        <w:t>ίς στις ελεγχόμενες με εικονικό φάρμακο μελέτες που πραγματοποιήθηκαν με το PALEXIA ήταν κυρίως ήπιας και μέτριας σοβαρότητας. Οι συχνότερες ανεπιθύμητες ενέργειες εμφανίστηκαν από το γαστρεντερικό και το κεντρικό νευρικό σύστημα (ναυτία, έμετος, υπνηλία, ζάλη και κεφαλαλγία).</w:t>
      </w:r>
    </w:p>
    <w:p w:rsidR="00847B4F" w:rsidRPr="00281F10" w:rsidRDefault="00847B4F" w:rsidP="005F04EA">
      <w:pPr>
        <w:spacing w:line="240" w:lineRule="auto"/>
        <w:rPr>
          <w:szCs w:val="22"/>
          <w:lang w:val="el-GR"/>
        </w:rPr>
      </w:pPr>
    </w:p>
    <w:p w:rsidR="00847B4F" w:rsidRPr="00281F10" w:rsidRDefault="001F2496" w:rsidP="005F04EA">
      <w:pPr>
        <w:spacing w:line="240" w:lineRule="auto"/>
        <w:rPr>
          <w:szCs w:val="22"/>
          <w:lang w:val="el-GR"/>
        </w:rPr>
      </w:pPr>
      <w:r w:rsidRPr="00281F10">
        <w:rPr>
          <w:szCs w:val="22"/>
          <w:lang w:val="el-GR"/>
        </w:rPr>
        <w:t>Ο πίνακας που ακολουθεί αναφέρει τις ανεπιθύμητες ενέργειες του φαρμάκου που διαπιστώθηκαν στις κλινικές δοκιμές που πραγματοποιήθηκαν με το PALEXIA</w:t>
      </w:r>
      <w:r w:rsidR="00964137">
        <w:rPr>
          <w:szCs w:val="22"/>
          <w:lang w:val="el-GR"/>
        </w:rPr>
        <w:t xml:space="preserve"> και από το περιβάλλον μετά την κυκλοφορία του</w:t>
      </w:r>
      <w:r w:rsidRPr="00281F10">
        <w:rPr>
          <w:szCs w:val="22"/>
          <w:lang w:val="el-GR"/>
        </w:rPr>
        <w:t xml:space="preserve">. Αναφέρονται ανά κατηγορία και συχνότητα. Οι συχνότητες ορίζονται ως πολύ </w:t>
      </w:r>
      <w:r w:rsidRPr="00281F10">
        <w:rPr>
          <w:szCs w:val="22"/>
          <w:lang w:val="el-GR"/>
        </w:rPr>
        <w:lastRenderedPageBreak/>
        <w:t>συχνές (</w:t>
      </w:r>
      <w:r w:rsidR="00847B4F" w:rsidRPr="00281F10">
        <w:rPr>
          <w:szCs w:val="22"/>
          <w:lang w:val="el-GR"/>
        </w:rPr>
        <w:sym w:font="Symbol" w:char="F0B3"/>
      </w:r>
      <w:r w:rsidR="00847B4F" w:rsidRPr="00281F10">
        <w:rPr>
          <w:szCs w:val="22"/>
          <w:lang w:val="el-GR"/>
        </w:rPr>
        <w:t>1/10), συχν</w:t>
      </w:r>
      <w:r w:rsidRPr="00281F10">
        <w:rPr>
          <w:szCs w:val="22"/>
          <w:lang w:val="el-GR"/>
        </w:rPr>
        <w:t>ές (</w:t>
      </w:r>
      <w:r w:rsidR="00847B4F" w:rsidRPr="00281F10">
        <w:rPr>
          <w:szCs w:val="22"/>
          <w:lang w:val="el-GR"/>
        </w:rPr>
        <w:sym w:font="Symbol" w:char="F0B3"/>
      </w:r>
      <w:r w:rsidR="00847B4F" w:rsidRPr="00281F10">
        <w:rPr>
          <w:szCs w:val="22"/>
          <w:lang w:val="el-GR"/>
        </w:rPr>
        <w:t>1/100</w:t>
      </w:r>
      <w:r w:rsidR="006B7F61">
        <w:rPr>
          <w:szCs w:val="22"/>
          <w:lang w:val="el-GR"/>
        </w:rPr>
        <w:t xml:space="preserve"> έως</w:t>
      </w:r>
      <w:r w:rsidR="00847B4F" w:rsidRPr="00281F10">
        <w:rPr>
          <w:szCs w:val="22"/>
          <w:lang w:val="el-GR"/>
        </w:rPr>
        <w:t xml:space="preserve"> &lt;1/10), όχι συχν</w:t>
      </w:r>
      <w:r w:rsidRPr="00281F10">
        <w:rPr>
          <w:szCs w:val="22"/>
          <w:lang w:val="el-GR"/>
        </w:rPr>
        <w:t>ές (</w:t>
      </w:r>
      <w:r w:rsidR="00847B4F" w:rsidRPr="00281F10">
        <w:rPr>
          <w:szCs w:val="22"/>
          <w:lang w:val="el-GR"/>
        </w:rPr>
        <w:sym w:font="Symbol" w:char="F0B3"/>
      </w:r>
      <w:r w:rsidR="00847B4F" w:rsidRPr="00281F10">
        <w:rPr>
          <w:szCs w:val="22"/>
          <w:lang w:val="el-GR"/>
        </w:rPr>
        <w:t>1/1.000</w:t>
      </w:r>
      <w:r w:rsidR="006B7F61">
        <w:rPr>
          <w:szCs w:val="22"/>
          <w:lang w:val="el-GR"/>
        </w:rPr>
        <w:t xml:space="preserve"> έως</w:t>
      </w:r>
      <w:r w:rsidR="00847B4F" w:rsidRPr="00281F10">
        <w:rPr>
          <w:szCs w:val="22"/>
          <w:lang w:val="el-GR"/>
        </w:rPr>
        <w:t xml:space="preserve"> &lt;1/100), σπάνι</w:t>
      </w:r>
      <w:r w:rsidRPr="00281F10">
        <w:rPr>
          <w:szCs w:val="22"/>
          <w:lang w:val="el-GR"/>
        </w:rPr>
        <w:t>ες (</w:t>
      </w:r>
      <w:r w:rsidR="00847B4F" w:rsidRPr="00281F10">
        <w:rPr>
          <w:szCs w:val="22"/>
          <w:lang w:val="el-GR"/>
        </w:rPr>
        <w:sym w:font="Symbol" w:char="F0B3"/>
      </w:r>
      <w:r w:rsidR="00847B4F" w:rsidRPr="00281F10">
        <w:rPr>
          <w:szCs w:val="22"/>
          <w:lang w:val="el-GR"/>
        </w:rPr>
        <w:t>1/10.000</w:t>
      </w:r>
      <w:r w:rsidR="006B7F61">
        <w:rPr>
          <w:szCs w:val="22"/>
          <w:lang w:val="el-GR"/>
        </w:rPr>
        <w:t xml:space="preserve"> έως</w:t>
      </w:r>
      <w:r w:rsidR="00847B4F" w:rsidRPr="00281F10">
        <w:rPr>
          <w:szCs w:val="22"/>
          <w:lang w:val="el-GR"/>
        </w:rPr>
        <w:t xml:space="preserve"> &lt;1/1.000), πολύ σπάνι</w:t>
      </w:r>
      <w:r w:rsidRPr="00281F10">
        <w:rPr>
          <w:szCs w:val="22"/>
          <w:lang w:val="el-GR"/>
        </w:rPr>
        <w:t xml:space="preserve">ες (&lt;1/10.000), μη γνωστές (δεν μπορούν να εκτιμηθούν με βάση τα διαθέσιμα δεδομένα). </w:t>
      </w:r>
    </w:p>
    <w:p w:rsidR="006A0546" w:rsidRPr="00281F10" w:rsidRDefault="006A0546" w:rsidP="004767B1">
      <w:pPr>
        <w:spacing w:line="240" w:lineRule="auto"/>
        <w:rPr>
          <w:szCs w:val="22"/>
          <w:lang w:val="el-GR"/>
        </w:rPr>
      </w:pPr>
    </w:p>
    <w:tbl>
      <w:tblPr>
        <w:tblW w:w="9568" w:type="dxa"/>
        <w:tblLayout w:type="fixed"/>
        <w:tblCellMar>
          <w:left w:w="70" w:type="dxa"/>
          <w:right w:w="70" w:type="dxa"/>
        </w:tblCellMar>
        <w:tblLook w:val="0000"/>
      </w:tblPr>
      <w:tblGrid>
        <w:gridCol w:w="2055"/>
        <w:gridCol w:w="1417"/>
        <w:gridCol w:w="2127"/>
        <w:gridCol w:w="2126"/>
        <w:gridCol w:w="1843"/>
      </w:tblGrid>
      <w:tr w:rsidR="00847B4F" w:rsidRPr="00281F10" w:rsidTr="00000A0F">
        <w:trPr>
          <w:trHeight w:val="150"/>
          <w:tblHeader/>
        </w:trPr>
        <w:tc>
          <w:tcPr>
            <w:tcW w:w="9568" w:type="dxa"/>
            <w:gridSpan w:val="5"/>
            <w:tcBorders>
              <w:top w:val="single" w:sz="12" w:space="0" w:color="auto"/>
              <w:bottom w:val="single" w:sz="12" w:space="0" w:color="auto"/>
            </w:tcBorders>
          </w:tcPr>
          <w:p w:rsidR="00847B4F" w:rsidRPr="00281F10" w:rsidRDefault="001F2496" w:rsidP="004767B1">
            <w:pPr>
              <w:spacing w:line="240" w:lineRule="auto"/>
              <w:jc w:val="center"/>
              <w:rPr>
                <w:szCs w:val="22"/>
              </w:rPr>
            </w:pPr>
            <w:bookmarkStart w:id="0" w:name="OLE_LINK5"/>
            <w:bookmarkStart w:id="1" w:name="OLE_LINK6"/>
            <w:r w:rsidRPr="00281F10">
              <w:rPr>
                <w:b/>
                <w:szCs w:val="22"/>
                <w:lang w:val="el-GR"/>
              </w:rPr>
              <w:t>ΑΝΕΠΙΘΥΜΗΤΕΣ ΕΝΕΡΓΕΙΕΣ ΦΑΡΜΑΚΟΥ</w:t>
            </w:r>
            <w:bookmarkEnd w:id="0"/>
            <w:bookmarkEnd w:id="1"/>
          </w:p>
        </w:tc>
      </w:tr>
      <w:tr w:rsidR="00847B4F" w:rsidRPr="00281F10" w:rsidTr="004E6A42">
        <w:trPr>
          <w:cantSplit/>
          <w:trHeight w:val="146"/>
          <w:tblHeader/>
        </w:trPr>
        <w:tc>
          <w:tcPr>
            <w:tcW w:w="2055" w:type="dxa"/>
            <w:vMerge w:val="restart"/>
            <w:tcBorders>
              <w:top w:val="single" w:sz="12" w:space="0" w:color="auto"/>
              <w:left w:val="single" w:sz="4" w:space="0" w:color="auto"/>
              <w:bottom w:val="single" w:sz="12" w:space="0" w:color="auto"/>
              <w:right w:val="single" w:sz="4" w:space="0" w:color="auto"/>
            </w:tcBorders>
          </w:tcPr>
          <w:p w:rsidR="00847B4F" w:rsidRPr="00281F10" w:rsidRDefault="00847B4F" w:rsidP="004767B1">
            <w:pPr>
              <w:spacing w:line="240" w:lineRule="auto"/>
              <w:rPr>
                <w:b/>
                <w:szCs w:val="22"/>
                <w:lang w:val="en-GB"/>
              </w:rPr>
            </w:pPr>
          </w:p>
          <w:p w:rsidR="00847B4F" w:rsidRPr="00281F10" w:rsidRDefault="001F2496" w:rsidP="004767B1">
            <w:pPr>
              <w:spacing w:line="240" w:lineRule="auto"/>
              <w:rPr>
                <w:szCs w:val="22"/>
              </w:rPr>
            </w:pPr>
            <w:r w:rsidRPr="00281F10">
              <w:rPr>
                <w:b/>
                <w:szCs w:val="22"/>
                <w:lang w:val="el-GR"/>
              </w:rPr>
              <w:t>Κατηγορία/</w:t>
            </w:r>
            <w:r w:rsidR="004E6A42">
              <w:rPr>
                <w:b/>
                <w:szCs w:val="22"/>
              </w:rPr>
              <w:t xml:space="preserve"> </w:t>
            </w:r>
            <w:r w:rsidRPr="00281F10">
              <w:rPr>
                <w:b/>
                <w:szCs w:val="22"/>
                <w:lang w:val="el-GR"/>
              </w:rPr>
              <w:t>Οργανικό σύστημα</w:t>
            </w:r>
          </w:p>
        </w:tc>
        <w:tc>
          <w:tcPr>
            <w:tcW w:w="7513" w:type="dxa"/>
            <w:gridSpan w:val="4"/>
            <w:tcBorders>
              <w:top w:val="single" w:sz="12" w:space="0" w:color="auto"/>
              <w:left w:val="single" w:sz="4" w:space="0" w:color="auto"/>
              <w:bottom w:val="single" w:sz="4" w:space="0" w:color="auto"/>
              <w:right w:val="single" w:sz="4" w:space="0" w:color="auto"/>
            </w:tcBorders>
          </w:tcPr>
          <w:p w:rsidR="00847B4F" w:rsidRPr="00281F10" w:rsidRDefault="001F2496" w:rsidP="004767B1">
            <w:pPr>
              <w:spacing w:line="240" w:lineRule="auto"/>
              <w:jc w:val="center"/>
              <w:rPr>
                <w:szCs w:val="22"/>
              </w:rPr>
            </w:pPr>
            <w:r w:rsidRPr="00281F10">
              <w:rPr>
                <w:b/>
                <w:szCs w:val="22"/>
                <w:lang w:val="el-GR"/>
              </w:rPr>
              <w:t>Συχνότητα</w:t>
            </w:r>
          </w:p>
        </w:tc>
      </w:tr>
      <w:tr w:rsidR="00847B4F" w:rsidRPr="00281F10" w:rsidTr="000324F7">
        <w:trPr>
          <w:cantSplit/>
          <w:trHeight w:val="146"/>
          <w:tblHeader/>
        </w:trPr>
        <w:tc>
          <w:tcPr>
            <w:tcW w:w="2055" w:type="dxa"/>
            <w:vMerge/>
            <w:tcBorders>
              <w:left w:val="single" w:sz="4" w:space="0" w:color="auto"/>
              <w:bottom w:val="single" w:sz="12" w:space="0" w:color="auto"/>
              <w:right w:val="single" w:sz="4" w:space="0" w:color="auto"/>
            </w:tcBorders>
          </w:tcPr>
          <w:p w:rsidR="00847B4F" w:rsidRPr="00281F10" w:rsidRDefault="00847B4F" w:rsidP="004767B1">
            <w:pPr>
              <w:spacing w:line="240" w:lineRule="auto"/>
              <w:rPr>
                <w:szCs w:val="22"/>
                <w:lang w:val="en-GB"/>
              </w:rPr>
            </w:pPr>
          </w:p>
        </w:tc>
        <w:tc>
          <w:tcPr>
            <w:tcW w:w="1417" w:type="dxa"/>
            <w:tcBorders>
              <w:top w:val="single" w:sz="4" w:space="0" w:color="auto"/>
              <w:left w:val="single" w:sz="4" w:space="0" w:color="auto"/>
              <w:bottom w:val="single" w:sz="12" w:space="0" w:color="auto"/>
              <w:right w:val="single" w:sz="4" w:space="0" w:color="auto"/>
            </w:tcBorders>
          </w:tcPr>
          <w:p w:rsidR="00847B4F" w:rsidRPr="00281F10" w:rsidRDefault="001F2496" w:rsidP="004767B1">
            <w:pPr>
              <w:spacing w:line="240" w:lineRule="auto"/>
              <w:jc w:val="center"/>
              <w:rPr>
                <w:b/>
                <w:szCs w:val="22"/>
                <w:lang w:val="en-GB"/>
              </w:rPr>
            </w:pPr>
            <w:r w:rsidRPr="00281F10">
              <w:rPr>
                <w:b/>
                <w:szCs w:val="22"/>
                <w:lang w:val="el-GR"/>
              </w:rPr>
              <w:t>Πολύ συχνές</w:t>
            </w:r>
          </w:p>
          <w:p w:rsidR="00847B4F" w:rsidRPr="00281F10" w:rsidRDefault="00847B4F" w:rsidP="004767B1">
            <w:pPr>
              <w:spacing w:line="240" w:lineRule="auto"/>
              <w:jc w:val="center"/>
              <w:rPr>
                <w:szCs w:val="22"/>
                <w:lang w:val="en-GB"/>
              </w:rPr>
            </w:pPr>
          </w:p>
        </w:tc>
        <w:tc>
          <w:tcPr>
            <w:tcW w:w="2127" w:type="dxa"/>
            <w:tcBorders>
              <w:top w:val="single" w:sz="4" w:space="0" w:color="auto"/>
              <w:left w:val="single" w:sz="4" w:space="0" w:color="auto"/>
              <w:bottom w:val="single" w:sz="12" w:space="0" w:color="auto"/>
              <w:right w:val="single" w:sz="4" w:space="0" w:color="auto"/>
            </w:tcBorders>
          </w:tcPr>
          <w:p w:rsidR="00847B4F" w:rsidRPr="00281F10" w:rsidRDefault="001F2496" w:rsidP="004767B1">
            <w:pPr>
              <w:spacing w:line="240" w:lineRule="auto"/>
              <w:jc w:val="center"/>
              <w:rPr>
                <w:b/>
                <w:szCs w:val="22"/>
                <w:lang w:val="en-GB"/>
              </w:rPr>
            </w:pPr>
            <w:r w:rsidRPr="00281F10">
              <w:rPr>
                <w:b/>
                <w:szCs w:val="22"/>
                <w:lang w:val="el-GR"/>
              </w:rPr>
              <w:t>Συχνές</w:t>
            </w:r>
          </w:p>
          <w:p w:rsidR="00847B4F" w:rsidRPr="00281F10" w:rsidRDefault="00847B4F" w:rsidP="004767B1">
            <w:pPr>
              <w:spacing w:line="240" w:lineRule="auto"/>
              <w:jc w:val="center"/>
              <w:rPr>
                <w:szCs w:val="22"/>
                <w:lang w:val="en-GB"/>
              </w:rPr>
            </w:pPr>
          </w:p>
        </w:tc>
        <w:tc>
          <w:tcPr>
            <w:tcW w:w="2126" w:type="dxa"/>
            <w:tcBorders>
              <w:top w:val="single" w:sz="4" w:space="0" w:color="auto"/>
              <w:left w:val="single" w:sz="4" w:space="0" w:color="auto"/>
              <w:bottom w:val="single" w:sz="12" w:space="0" w:color="auto"/>
              <w:right w:val="single" w:sz="4" w:space="0" w:color="auto"/>
            </w:tcBorders>
          </w:tcPr>
          <w:p w:rsidR="00847B4F" w:rsidRPr="00281F10" w:rsidRDefault="001F2496" w:rsidP="004767B1">
            <w:pPr>
              <w:spacing w:line="240" w:lineRule="auto"/>
              <w:jc w:val="center"/>
              <w:rPr>
                <w:b/>
                <w:szCs w:val="22"/>
                <w:lang w:val="en-GB"/>
              </w:rPr>
            </w:pPr>
            <w:r w:rsidRPr="00281F10">
              <w:rPr>
                <w:b/>
                <w:szCs w:val="22"/>
                <w:lang w:val="el-GR"/>
              </w:rPr>
              <w:t>Όχι συχνές</w:t>
            </w:r>
          </w:p>
          <w:p w:rsidR="00847B4F" w:rsidRPr="00281F10" w:rsidRDefault="00847B4F" w:rsidP="004767B1">
            <w:pPr>
              <w:spacing w:line="240" w:lineRule="auto"/>
              <w:jc w:val="center"/>
              <w:rPr>
                <w:szCs w:val="22"/>
                <w:lang w:val="en-GB"/>
              </w:rPr>
            </w:pPr>
          </w:p>
        </w:tc>
        <w:tc>
          <w:tcPr>
            <w:tcW w:w="1843" w:type="dxa"/>
            <w:tcBorders>
              <w:top w:val="single" w:sz="4" w:space="0" w:color="auto"/>
              <w:left w:val="single" w:sz="4" w:space="0" w:color="auto"/>
              <w:bottom w:val="single" w:sz="12" w:space="0" w:color="auto"/>
              <w:right w:val="single" w:sz="4" w:space="0" w:color="auto"/>
            </w:tcBorders>
          </w:tcPr>
          <w:p w:rsidR="00847B4F" w:rsidRPr="00281F10" w:rsidRDefault="001F2496" w:rsidP="004767B1">
            <w:pPr>
              <w:spacing w:line="240" w:lineRule="auto"/>
              <w:jc w:val="center"/>
              <w:rPr>
                <w:b/>
                <w:szCs w:val="22"/>
                <w:lang w:val="en-GB"/>
              </w:rPr>
            </w:pPr>
            <w:r w:rsidRPr="00281F10">
              <w:rPr>
                <w:b/>
                <w:szCs w:val="22"/>
                <w:lang w:val="el-GR"/>
              </w:rPr>
              <w:t>Σπάνιες</w:t>
            </w:r>
          </w:p>
          <w:p w:rsidR="00847B4F" w:rsidRPr="00281F10" w:rsidRDefault="00847B4F" w:rsidP="004767B1">
            <w:pPr>
              <w:spacing w:line="240" w:lineRule="auto"/>
              <w:jc w:val="center"/>
              <w:rPr>
                <w:szCs w:val="22"/>
                <w:lang w:val="en-GB"/>
              </w:rPr>
            </w:pPr>
          </w:p>
        </w:tc>
      </w:tr>
      <w:tr w:rsidR="00847B4F" w:rsidRPr="00281F10" w:rsidTr="000324F7">
        <w:trPr>
          <w:trHeight w:val="146"/>
        </w:trPr>
        <w:tc>
          <w:tcPr>
            <w:tcW w:w="2055"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rPr>
                <w:szCs w:val="22"/>
              </w:rPr>
            </w:pPr>
            <w:r w:rsidRPr="00281F10">
              <w:rPr>
                <w:b/>
                <w:szCs w:val="22"/>
                <w:lang w:val="el-GR"/>
              </w:rPr>
              <w:t>Διαταραχές του ανοσοποιητικού συστήματος</w:t>
            </w:r>
          </w:p>
        </w:tc>
        <w:tc>
          <w:tcPr>
            <w:tcW w:w="1417" w:type="dxa"/>
            <w:tcBorders>
              <w:top w:val="single" w:sz="4" w:space="0" w:color="auto"/>
              <w:left w:val="single" w:sz="4" w:space="0" w:color="auto"/>
              <w:bottom w:val="single" w:sz="4" w:space="0" w:color="auto"/>
              <w:right w:val="single" w:sz="4" w:space="0" w:color="auto"/>
            </w:tcBorders>
          </w:tcPr>
          <w:p w:rsidR="00847B4F" w:rsidRPr="00281F10" w:rsidRDefault="00847B4F" w:rsidP="004767B1">
            <w:pPr>
              <w:spacing w:line="240" w:lineRule="auto"/>
              <w:jc w:val="center"/>
              <w:rPr>
                <w:szCs w:val="22"/>
                <w:lang w:val="en-GB"/>
              </w:rPr>
            </w:pPr>
          </w:p>
        </w:tc>
        <w:tc>
          <w:tcPr>
            <w:tcW w:w="2127" w:type="dxa"/>
            <w:tcBorders>
              <w:top w:val="single" w:sz="4" w:space="0" w:color="auto"/>
              <w:left w:val="single" w:sz="4" w:space="0" w:color="auto"/>
              <w:bottom w:val="single" w:sz="4" w:space="0" w:color="auto"/>
              <w:right w:val="single" w:sz="4" w:space="0" w:color="auto"/>
            </w:tcBorders>
          </w:tcPr>
          <w:p w:rsidR="00847B4F" w:rsidRPr="00281F10" w:rsidRDefault="00847B4F" w:rsidP="004767B1">
            <w:pPr>
              <w:spacing w:line="240" w:lineRule="auto"/>
              <w:jc w:val="center"/>
              <w:rPr>
                <w:szCs w:val="22"/>
                <w:lang w:val="en-GB"/>
              </w:rPr>
            </w:pPr>
          </w:p>
        </w:tc>
        <w:tc>
          <w:tcPr>
            <w:tcW w:w="2126" w:type="dxa"/>
            <w:tcBorders>
              <w:top w:val="single" w:sz="4" w:space="0" w:color="auto"/>
              <w:left w:val="single" w:sz="4" w:space="0" w:color="auto"/>
              <w:bottom w:val="single" w:sz="4" w:space="0" w:color="auto"/>
              <w:right w:val="single" w:sz="4" w:space="0" w:color="auto"/>
            </w:tcBorders>
          </w:tcPr>
          <w:p w:rsidR="00847B4F" w:rsidRPr="00281F10" w:rsidRDefault="00847B4F" w:rsidP="004767B1">
            <w:pPr>
              <w:spacing w:line="240" w:lineRule="auto"/>
              <w:jc w:val="center"/>
              <w:rPr>
                <w:szCs w:val="22"/>
                <w:lang w:val="en-GB"/>
              </w:rPr>
            </w:pPr>
          </w:p>
        </w:tc>
        <w:tc>
          <w:tcPr>
            <w:tcW w:w="1843" w:type="dxa"/>
            <w:tcBorders>
              <w:top w:val="single" w:sz="4" w:space="0" w:color="auto"/>
              <w:left w:val="single" w:sz="4" w:space="0" w:color="auto"/>
              <w:bottom w:val="single" w:sz="4" w:space="0" w:color="auto"/>
              <w:right w:val="single" w:sz="4" w:space="0" w:color="auto"/>
            </w:tcBorders>
          </w:tcPr>
          <w:p w:rsidR="00847B4F" w:rsidRPr="00281F10" w:rsidRDefault="001F2496" w:rsidP="00E54939">
            <w:pPr>
              <w:pBdr>
                <w:top w:val="wave" w:sz="6" w:space="0" w:color="auto"/>
                <w:left w:val="wave" w:sz="6" w:space="3" w:color="auto"/>
                <w:bottom w:val="wave" w:sz="6" w:space="1" w:color="auto"/>
                <w:right w:val="wave" w:sz="6" w:space="4" w:color="auto"/>
              </w:pBdr>
              <w:autoSpaceDE w:val="0"/>
              <w:autoSpaceDN w:val="0"/>
              <w:adjustRightInd w:val="0"/>
              <w:spacing w:line="240" w:lineRule="auto"/>
              <w:jc w:val="center"/>
              <w:rPr>
                <w:szCs w:val="22"/>
              </w:rPr>
            </w:pPr>
            <w:r w:rsidRPr="00281F10">
              <w:rPr>
                <w:szCs w:val="22"/>
                <w:lang w:val="el-GR"/>
              </w:rPr>
              <w:t>Υπερευαισθησία</w:t>
            </w:r>
            <w:r w:rsidR="00FF216C">
              <w:rPr>
                <w:szCs w:val="22"/>
                <w:lang w:val="el-GR"/>
              </w:rPr>
              <w:t xml:space="preserve"> σ</w:t>
            </w:r>
            <w:r w:rsidR="00E54939">
              <w:rPr>
                <w:szCs w:val="22"/>
                <w:lang w:val="el-GR"/>
              </w:rPr>
              <w:t>ε</w:t>
            </w:r>
            <w:r w:rsidR="00FF216C">
              <w:rPr>
                <w:szCs w:val="22"/>
                <w:lang w:val="el-GR"/>
              </w:rPr>
              <w:t xml:space="preserve"> φάρμακο</w:t>
            </w:r>
            <w:r w:rsidR="00AA22E5">
              <w:rPr>
                <w:szCs w:val="22"/>
                <w:lang w:val="el-GR"/>
              </w:rPr>
              <w:t>*</w:t>
            </w:r>
          </w:p>
        </w:tc>
      </w:tr>
      <w:tr w:rsidR="00847B4F" w:rsidRPr="00281F10" w:rsidTr="000324F7">
        <w:trPr>
          <w:trHeight w:val="146"/>
        </w:trPr>
        <w:tc>
          <w:tcPr>
            <w:tcW w:w="2055"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pBdr>
                <w:top w:val="wave" w:sz="6" w:space="0" w:color="auto"/>
                <w:left w:val="wave" w:sz="6" w:space="3" w:color="auto"/>
                <w:bottom w:val="wave" w:sz="6" w:space="1" w:color="auto"/>
                <w:right w:val="wave" w:sz="6" w:space="4" w:color="auto"/>
              </w:pBdr>
              <w:autoSpaceDE w:val="0"/>
              <w:autoSpaceDN w:val="0"/>
              <w:adjustRightInd w:val="0"/>
              <w:spacing w:line="240" w:lineRule="auto"/>
              <w:rPr>
                <w:szCs w:val="22"/>
                <w:lang w:val="el-GR"/>
              </w:rPr>
            </w:pPr>
            <w:r w:rsidRPr="00281F10">
              <w:rPr>
                <w:b/>
                <w:szCs w:val="22"/>
                <w:lang w:val="el-GR"/>
              </w:rPr>
              <w:t>Διαταραχές του μεταβολισμού και της θρέψης</w:t>
            </w:r>
          </w:p>
        </w:tc>
        <w:tc>
          <w:tcPr>
            <w:tcW w:w="1417" w:type="dxa"/>
            <w:tcBorders>
              <w:top w:val="single" w:sz="4" w:space="0" w:color="auto"/>
              <w:left w:val="single" w:sz="4" w:space="0" w:color="auto"/>
              <w:bottom w:val="single" w:sz="4" w:space="0" w:color="auto"/>
              <w:right w:val="single" w:sz="4" w:space="0" w:color="auto"/>
            </w:tcBorders>
          </w:tcPr>
          <w:p w:rsidR="00847B4F" w:rsidRPr="00281F10" w:rsidRDefault="00847B4F" w:rsidP="004767B1">
            <w:pPr>
              <w:spacing w:line="240" w:lineRule="auto"/>
              <w:jc w:val="center"/>
              <w:rPr>
                <w:szCs w:val="22"/>
                <w:lang w:val="el-GR"/>
              </w:rPr>
            </w:pPr>
          </w:p>
        </w:tc>
        <w:tc>
          <w:tcPr>
            <w:tcW w:w="2127"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jc w:val="center"/>
              <w:rPr>
                <w:szCs w:val="22"/>
              </w:rPr>
            </w:pPr>
            <w:r w:rsidRPr="00281F10">
              <w:rPr>
                <w:szCs w:val="22"/>
                <w:lang w:val="el-GR"/>
              </w:rPr>
              <w:t>Όρεξη μειωμένη</w:t>
            </w:r>
          </w:p>
        </w:tc>
        <w:tc>
          <w:tcPr>
            <w:tcW w:w="2126" w:type="dxa"/>
            <w:tcBorders>
              <w:top w:val="single" w:sz="4" w:space="0" w:color="auto"/>
              <w:left w:val="single" w:sz="4" w:space="0" w:color="auto"/>
              <w:bottom w:val="single" w:sz="4" w:space="0" w:color="auto"/>
              <w:right w:val="single" w:sz="4" w:space="0" w:color="auto"/>
            </w:tcBorders>
          </w:tcPr>
          <w:p w:rsidR="00847B4F" w:rsidRPr="00281F10" w:rsidRDefault="00847B4F" w:rsidP="004767B1">
            <w:pPr>
              <w:spacing w:line="240" w:lineRule="auto"/>
              <w:jc w:val="center"/>
              <w:rPr>
                <w:szCs w:val="22"/>
                <w:lang w:val="en-GB"/>
              </w:rPr>
            </w:pPr>
          </w:p>
        </w:tc>
        <w:tc>
          <w:tcPr>
            <w:tcW w:w="1843" w:type="dxa"/>
            <w:tcBorders>
              <w:top w:val="single" w:sz="4" w:space="0" w:color="auto"/>
              <w:left w:val="single" w:sz="4" w:space="0" w:color="auto"/>
              <w:bottom w:val="single" w:sz="4" w:space="0" w:color="auto"/>
              <w:right w:val="single" w:sz="4" w:space="0" w:color="auto"/>
            </w:tcBorders>
          </w:tcPr>
          <w:p w:rsidR="00847B4F" w:rsidRPr="00281F10" w:rsidRDefault="00847B4F" w:rsidP="004767B1">
            <w:pPr>
              <w:spacing w:line="240" w:lineRule="auto"/>
              <w:jc w:val="center"/>
              <w:rPr>
                <w:szCs w:val="22"/>
                <w:lang w:val="en-GB"/>
              </w:rPr>
            </w:pPr>
          </w:p>
        </w:tc>
      </w:tr>
      <w:tr w:rsidR="00847B4F" w:rsidRPr="00281F10" w:rsidTr="000324F7">
        <w:trPr>
          <w:trHeight w:val="146"/>
        </w:trPr>
        <w:tc>
          <w:tcPr>
            <w:tcW w:w="2055"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rPr>
                <w:szCs w:val="22"/>
              </w:rPr>
            </w:pPr>
            <w:r w:rsidRPr="00281F10">
              <w:rPr>
                <w:b/>
                <w:szCs w:val="22"/>
                <w:lang w:val="el-GR"/>
              </w:rPr>
              <w:t>Ψυχιατρικές διαταραχές</w:t>
            </w:r>
          </w:p>
        </w:tc>
        <w:tc>
          <w:tcPr>
            <w:tcW w:w="1417" w:type="dxa"/>
            <w:tcBorders>
              <w:top w:val="single" w:sz="4" w:space="0" w:color="auto"/>
              <w:left w:val="single" w:sz="4" w:space="0" w:color="auto"/>
              <w:bottom w:val="single" w:sz="4" w:space="0" w:color="auto"/>
              <w:right w:val="single" w:sz="4" w:space="0" w:color="auto"/>
            </w:tcBorders>
          </w:tcPr>
          <w:p w:rsidR="00847B4F" w:rsidRPr="00281F10" w:rsidRDefault="00847B4F" w:rsidP="004767B1">
            <w:pPr>
              <w:spacing w:line="240" w:lineRule="auto"/>
              <w:jc w:val="center"/>
              <w:rPr>
                <w:szCs w:val="22"/>
                <w:lang w:val="en-GB"/>
              </w:rPr>
            </w:pPr>
          </w:p>
        </w:tc>
        <w:tc>
          <w:tcPr>
            <w:tcW w:w="2127"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jc w:val="center"/>
              <w:rPr>
                <w:szCs w:val="22"/>
                <w:lang w:val="el-GR"/>
              </w:rPr>
            </w:pPr>
            <w:r w:rsidRPr="00281F10">
              <w:rPr>
                <w:szCs w:val="22"/>
                <w:lang w:val="el-GR"/>
              </w:rPr>
              <w:t>Άγχος, συγχυτική κατάσταση, ψευδαισθήσεις, διαταραχή ύπνου, ανώμαλα όνειρα</w:t>
            </w:r>
          </w:p>
        </w:tc>
        <w:tc>
          <w:tcPr>
            <w:tcW w:w="2126"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jc w:val="center"/>
              <w:rPr>
                <w:szCs w:val="22"/>
                <w:lang w:val="el-GR"/>
              </w:rPr>
            </w:pPr>
            <w:r w:rsidRPr="00281F10">
              <w:rPr>
                <w:szCs w:val="22"/>
                <w:lang w:val="el-GR"/>
              </w:rPr>
              <w:t>Καταθλιπτική διάθεση, αποπροσανατολισμός, διέγερση, νευρικότητα, ανησυχία, ευφορική συναισθηματική κατάσταση</w:t>
            </w:r>
          </w:p>
        </w:tc>
        <w:tc>
          <w:tcPr>
            <w:tcW w:w="1843"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jc w:val="center"/>
              <w:rPr>
                <w:szCs w:val="22"/>
              </w:rPr>
            </w:pPr>
            <w:r w:rsidRPr="00281F10">
              <w:rPr>
                <w:szCs w:val="22"/>
                <w:lang w:val="el-GR"/>
              </w:rPr>
              <w:t xml:space="preserve">Σκέψη μη φυσιολογική </w:t>
            </w:r>
          </w:p>
        </w:tc>
      </w:tr>
      <w:tr w:rsidR="00847B4F" w:rsidRPr="00A029F5" w:rsidTr="000324F7">
        <w:trPr>
          <w:trHeight w:val="146"/>
        </w:trPr>
        <w:tc>
          <w:tcPr>
            <w:tcW w:w="2055"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rPr>
                <w:szCs w:val="22"/>
              </w:rPr>
            </w:pPr>
            <w:r w:rsidRPr="00281F10">
              <w:rPr>
                <w:b/>
                <w:szCs w:val="22"/>
                <w:lang w:val="el-GR"/>
              </w:rPr>
              <w:t>Διαταραχές του νευρικού συστήματος</w:t>
            </w:r>
          </w:p>
        </w:tc>
        <w:tc>
          <w:tcPr>
            <w:tcW w:w="1417"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jc w:val="center"/>
              <w:rPr>
                <w:szCs w:val="22"/>
              </w:rPr>
            </w:pPr>
            <w:r w:rsidRPr="00281F10">
              <w:rPr>
                <w:szCs w:val="22"/>
                <w:lang w:val="el-GR"/>
              </w:rPr>
              <w:t>Ζάλη, υπνηλία, κεφαλαλγία</w:t>
            </w:r>
          </w:p>
        </w:tc>
        <w:tc>
          <w:tcPr>
            <w:tcW w:w="2127"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jc w:val="center"/>
              <w:rPr>
                <w:szCs w:val="22"/>
              </w:rPr>
            </w:pPr>
            <w:r w:rsidRPr="00281F10">
              <w:rPr>
                <w:szCs w:val="22"/>
                <w:lang w:val="el-GR"/>
              </w:rPr>
              <w:t>Τρόμος</w:t>
            </w:r>
          </w:p>
        </w:tc>
        <w:tc>
          <w:tcPr>
            <w:tcW w:w="2126"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jc w:val="center"/>
              <w:rPr>
                <w:szCs w:val="22"/>
                <w:lang w:val="el-GR"/>
              </w:rPr>
            </w:pPr>
            <w:r w:rsidRPr="00281F10">
              <w:rPr>
                <w:szCs w:val="22"/>
                <w:lang w:val="el-GR"/>
              </w:rPr>
              <w:t xml:space="preserve">Διαταραχή στην προσοχή, επηρεασμένη μνήμη, προσυγκοπή, καταστολή, αταξία, δυσαρθρία, </w:t>
            </w:r>
            <w:r w:rsidR="00D31B6E" w:rsidRPr="00281F10">
              <w:rPr>
                <w:szCs w:val="22"/>
                <w:lang w:val="el-GR"/>
              </w:rPr>
              <w:t xml:space="preserve">υπαισθησία, παραισθησία, </w:t>
            </w:r>
            <w:r w:rsidRPr="00281F10">
              <w:rPr>
                <w:szCs w:val="22"/>
                <w:lang w:val="el-GR"/>
              </w:rPr>
              <w:t>μυϊκές συσπάσεις ακούσιες</w:t>
            </w:r>
          </w:p>
        </w:tc>
        <w:tc>
          <w:tcPr>
            <w:tcW w:w="1843"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jc w:val="center"/>
              <w:rPr>
                <w:szCs w:val="22"/>
                <w:lang w:val="el-GR"/>
              </w:rPr>
            </w:pPr>
            <w:r w:rsidRPr="00281F10">
              <w:rPr>
                <w:szCs w:val="22"/>
                <w:lang w:val="el-GR"/>
              </w:rPr>
              <w:t xml:space="preserve">Σπασμός, επηρεασμένο επίπεδο συνείδησης, συντονισμός μη φυσιολογικός </w:t>
            </w:r>
          </w:p>
        </w:tc>
      </w:tr>
      <w:tr w:rsidR="00847B4F" w:rsidRPr="00281F10" w:rsidTr="000324F7">
        <w:trPr>
          <w:trHeight w:val="146"/>
        </w:trPr>
        <w:tc>
          <w:tcPr>
            <w:tcW w:w="2055" w:type="dxa"/>
            <w:tcBorders>
              <w:top w:val="single" w:sz="4" w:space="0" w:color="auto"/>
              <w:left w:val="single" w:sz="4" w:space="0" w:color="auto"/>
              <w:bottom w:val="single" w:sz="4" w:space="0" w:color="auto"/>
              <w:right w:val="single" w:sz="4" w:space="0" w:color="auto"/>
            </w:tcBorders>
          </w:tcPr>
          <w:p w:rsidR="00847B4F" w:rsidRPr="00281F10" w:rsidRDefault="00D31B6E" w:rsidP="004767B1">
            <w:pPr>
              <w:spacing w:line="240" w:lineRule="auto"/>
              <w:rPr>
                <w:b/>
                <w:szCs w:val="22"/>
                <w:lang w:val="en-GB"/>
              </w:rPr>
            </w:pPr>
            <w:r w:rsidRPr="00281F10">
              <w:rPr>
                <w:b/>
                <w:szCs w:val="22"/>
                <w:lang w:val="el-GR"/>
              </w:rPr>
              <w:t>Οφθαλμικές διαταραχές</w:t>
            </w:r>
          </w:p>
          <w:p w:rsidR="00847B4F" w:rsidRPr="00281F10" w:rsidRDefault="00847B4F" w:rsidP="004767B1">
            <w:pPr>
              <w:spacing w:line="240" w:lineRule="auto"/>
              <w:rPr>
                <w:b/>
                <w:szCs w:val="22"/>
                <w:lang w:val="en-GB"/>
              </w:rPr>
            </w:pPr>
          </w:p>
        </w:tc>
        <w:tc>
          <w:tcPr>
            <w:tcW w:w="1417" w:type="dxa"/>
            <w:tcBorders>
              <w:top w:val="single" w:sz="4" w:space="0" w:color="auto"/>
              <w:left w:val="single" w:sz="4" w:space="0" w:color="auto"/>
              <w:bottom w:val="single" w:sz="4" w:space="0" w:color="auto"/>
              <w:right w:val="single" w:sz="4" w:space="0" w:color="auto"/>
            </w:tcBorders>
          </w:tcPr>
          <w:p w:rsidR="00847B4F" w:rsidRPr="00281F10" w:rsidRDefault="00847B4F" w:rsidP="004767B1">
            <w:pPr>
              <w:spacing w:line="240" w:lineRule="auto"/>
              <w:jc w:val="center"/>
              <w:rPr>
                <w:szCs w:val="22"/>
                <w:lang w:val="en-GB"/>
              </w:rPr>
            </w:pPr>
          </w:p>
        </w:tc>
        <w:tc>
          <w:tcPr>
            <w:tcW w:w="2127" w:type="dxa"/>
            <w:tcBorders>
              <w:top w:val="single" w:sz="4" w:space="0" w:color="auto"/>
              <w:left w:val="single" w:sz="4" w:space="0" w:color="auto"/>
              <w:bottom w:val="single" w:sz="4" w:space="0" w:color="auto"/>
              <w:right w:val="single" w:sz="4" w:space="0" w:color="auto"/>
            </w:tcBorders>
          </w:tcPr>
          <w:p w:rsidR="00847B4F" w:rsidRPr="00281F10" w:rsidRDefault="00847B4F" w:rsidP="004767B1">
            <w:pPr>
              <w:spacing w:line="240" w:lineRule="auto"/>
              <w:jc w:val="center"/>
              <w:rPr>
                <w:szCs w:val="22"/>
                <w:lang w:val="en-GB"/>
              </w:rPr>
            </w:pPr>
          </w:p>
        </w:tc>
        <w:tc>
          <w:tcPr>
            <w:tcW w:w="2126"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jc w:val="center"/>
              <w:rPr>
                <w:szCs w:val="22"/>
              </w:rPr>
            </w:pPr>
            <w:r w:rsidRPr="00281F10">
              <w:rPr>
                <w:szCs w:val="22"/>
                <w:lang w:val="el-GR"/>
              </w:rPr>
              <w:t>Οπτική διαταραχή</w:t>
            </w:r>
          </w:p>
        </w:tc>
        <w:tc>
          <w:tcPr>
            <w:tcW w:w="1843" w:type="dxa"/>
            <w:tcBorders>
              <w:top w:val="single" w:sz="4" w:space="0" w:color="auto"/>
              <w:left w:val="single" w:sz="4" w:space="0" w:color="auto"/>
              <w:bottom w:val="single" w:sz="4" w:space="0" w:color="auto"/>
              <w:right w:val="single" w:sz="4" w:space="0" w:color="auto"/>
            </w:tcBorders>
          </w:tcPr>
          <w:p w:rsidR="00847B4F" w:rsidRPr="00281F10" w:rsidRDefault="00847B4F" w:rsidP="004767B1">
            <w:pPr>
              <w:spacing w:line="240" w:lineRule="auto"/>
              <w:jc w:val="center"/>
              <w:rPr>
                <w:szCs w:val="22"/>
                <w:lang w:val="en-GB"/>
              </w:rPr>
            </w:pPr>
          </w:p>
        </w:tc>
      </w:tr>
      <w:tr w:rsidR="00847B4F" w:rsidRPr="00281F10" w:rsidTr="000324F7">
        <w:trPr>
          <w:trHeight w:val="146"/>
        </w:trPr>
        <w:tc>
          <w:tcPr>
            <w:tcW w:w="2055"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rPr>
                <w:b/>
                <w:szCs w:val="22"/>
                <w:lang w:val="en-GB"/>
              </w:rPr>
            </w:pPr>
            <w:r w:rsidRPr="00281F10">
              <w:rPr>
                <w:b/>
                <w:szCs w:val="22"/>
                <w:lang w:val="el-GR"/>
              </w:rPr>
              <w:t>Καρδιακές διαταραχές</w:t>
            </w:r>
          </w:p>
          <w:p w:rsidR="00847B4F" w:rsidRPr="00281F10" w:rsidRDefault="00847B4F" w:rsidP="004767B1">
            <w:pPr>
              <w:spacing w:line="240" w:lineRule="auto"/>
              <w:rPr>
                <w:b/>
                <w:szCs w:val="22"/>
                <w:lang w:val="en-GB"/>
              </w:rPr>
            </w:pPr>
          </w:p>
        </w:tc>
        <w:tc>
          <w:tcPr>
            <w:tcW w:w="1417" w:type="dxa"/>
            <w:tcBorders>
              <w:top w:val="single" w:sz="4" w:space="0" w:color="auto"/>
              <w:left w:val="single" w:sz="4" w:space="0" w:color="auto"/>
              <w:bottom w:val="single" w:sz="4" w:space="0" w:color="auto"/>
              <w:right w:val="single" w:sz="4" w:space="0" w:color="auto"/>
            </w:tcBorders>
          </w:tcPr>
          <w:p w:rsidR="00847B4F" w:rsidRPr="00281F10" w:rsidRDefault="00847B4F" w:rsidP="004767B1">
            <w:pPr>
              <w:spacing w:line="240" w:lineRule="auto"/>
              <w:jc w:val="center"/>
              <w:rPr>
                <w:szCs w:val="22"/>
                <w:lang w:val="en-GB"/>
              </w:rPr>
            </w:pPr>
          </w:p>
        </w:tc>
        <w:tc>
          <w:tcPr>
            <w:tcW w:w="2127" w:type="dxa"/>
            <w:tcBorders>
              <w:top w:val="single" w:sz="4" w:space="0" w:color="auto"/>
              <w:left w:val="single" w:sz="4" w:space="0" w:color="auto"/>
              <w:bottom w:val="single" w:sz="4" w:space="0" w:color="auto"/>
              <w:right w:val="single" w:sz="4" w:space="0" w:color="auto"/>
            </w:tcBorders>
          </w:tcPr>
          <w:p w:rsidR="00847B4F" w:rsidRPr="00281F10" w:rsidRDefault="00847B4F" w:rsidP="004767B1">
            <w:pPr>
              <w:spacing w:line="240" w:lineRule="auto"/>
              <w:jc w:val="center"/>
              <w:rPr>
                <w:szCs w:val="22"/>
                <w:lang w:val="en-GB"/>
              </w:rPr>
            </w:pPr>
          </w:p>
        </w:tc>
        <w:tc>
          <w:tcPr>
            <w:tcW w:w="2126" w:type="dxa"/>
            <w:tcBorders>
              <w:top w:val="single" w:sz="4" w:space="0" w:color="auto"/>
              <w:left w:val="single" w:sz="4" w:space="0" w:color="auto"/>
              <w:bottom w:val="single" w:sz="4" w:space="0" w:color="auto"/>
              <w:right w:val="single" w:sz="4" w:space="0" w:color="auto"/>
            </w:tcBorders>
          </w:tcPr>
          <w:p w:rsidR="00847B4F" w:rsidRPr="00E84EAD" w:rsidRDefault="001F2496" w:rsidP="004767B1">
            <w:pPr>
              <w:pBdr>
                <w:top w:val="wave" w:sz="6" w:space="0" w:color="auto"/>
                <w:left w:val="wave" w:sz="6" w:space="3" w:color="auto"/>
                <w:bottom w:val="wave" w:sz="6" w:space="1" w:color="auto"/>
                <w:right w:val="wave" w:sz="6" w:space="4" w:color="auto"/>
              </w:pBdr>
              <w:autoSpaceDE w:val="0"/>
              <w:autoSpaceDN w:val="0"/>
              <w:adjustRightInd w:val="0"/>
              <w:spacing w:line="240" w:lineRule="auto"/>
              <w:jc w:val="center"/>
              <w:rPr>
                <w:szCs w:val="22"/>
                <w:lang w:val="el-GR"/>
              </w:rPr>
            </w:pPr>
            <w:r w:rsidRPr="00281F10">
              <w:rPr>
                <w:szCs w:val="22"/>
                <w:lang w:val="el-GR"/>
              </w:rPr>
              <w:t>Καρδιακός ρυθμός αυξημένος</w:t>
            </w:r>
            <w:r w:rsidR="00E84EAD">
              <w:rPr>
                <w:szCs w:val="22"/>
                <w:lang w:val="el-GR"/>
              </w:rPr>
              <w:t>, αίσθημα παλμών</w:t>
            </w:r>
          </w:p>
        </w:tc>
        <w:tc>
          <w:tcPr>
            <w:tcW w:w="1843"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jc w:val="center"/>
              <w:rPr>
                <w:szCs w:val="22"/>
              </w:rPr>
            </w:pPr>
            <w:r w:rsidRPr="00281F10">
              <w:rPr>
                <w:szCs w:val="22"/>
                <w:lang w:val="el-GR"/>
              </w:rPr>
              <w:t>Καρδιακός ρυθμός μειωμένος</w:t>
            </w:r>
          </w:p>
        </w:tc>
      </w:tr>
      <w:tr w:rsidR="00847B4F" w:rsidRPr="00281F10" w:rsidTr="000324F7">
        <w:trPr>
          <w:trHeight w:val="146"/>
        </w:trPr>
        <w:tc>
          <w:tcPr>
            <w:tcW w:w="2055"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pBdr>
                <w:top w:val="wave" w:sz="6" w:space="0" w:color="auto"/>
                <w:left w:val="wave" w:sz="6" w:space="3" w:color="auto"/>
                <w:bottom w:val="wave" w:sz="6" w:space="1" w:color="auto"/>
                <w:right w:val="wave" w:sz="6" w:space="4" w:color="auto"/>
              </w:pBdr>
              <w:autoSpaceDE w:val="0"/>
              <w:autoSpaceDN w:val="0"/>
              <w:adjustRightInd w:val="0"/>
              <w:spacing w:line="240" w:lineRule="auto"/>
              <w:jc w:val="both"/>
              <w:rPr>
                <w:b/>
                <w:szCs w:val="22"/>
                <w:lang w:val="en-GB"/>
              </w:rPr>
            </w:pPr>
            <w:r w:rsidRPr="00281F10">
              <w:rPr>
                <w:b/>
                <w:szCs w:val="22"/>
                <w:lang w:val="el-GR"/>
              </w:rPr>
              <w:t>Αγγειακές διαταραχές</w:t>
            </w:r>
          </w:p>
          <w:p w:rsidR="00847B4F" w:rsidRPr="00281F10" w:rsidRDefault="00847B4F" w:rsidP="004767B1">
            <w:pPr>
              <w:spacing w:line="240" w:lineRule="auto"/>
              <w:rPr>
                <w:b/>
                <w:szCs w:val="22"/>
                <w:lang w:val="en-GB"/>
              </w:rPr>
            </w:pPr>
          </w:p>
        </w:tc>
        <w:tc>
          <w:tcPr>
            <w:tcW w:w="1417" w:type="dxa"/>
            <w:tcBorders>
              <w:top w:val="single" w:sz="4" w:space="0" w:color="auto"/>
              <w:left w:val="single" w:sz="4" w:space="0" w:color="auto"/>
              <w:bottom w:val="single" w:sz="4" w:space="0" w:color="auto"/>
              <w:right w:val="single" w:sz="4" w:space="0" w:color="auto"/>
            </w:tcBorders>
          </w:tcPr>
          <w:p w:rsidR="00847B4F" w:rsidRPr="00281F10" w:rsidRDefault="00847B4F" w:rsidP="004767B1">
            <w:pPr>
              <w:spacing w:line="240" w:lineRule="auto"/>
              <w:jc w:val="center"/>
              <w:rPr>
                <w:szCs w:val="22"/>
                <w:lang w:val="en-GB"/>
              </w:rPr>
            </w:pPr>
          </w:p>
        </w:tc>
        <w:tc>
          <w:tcPr>
            <w:tcW w:w="2127"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jc w:val="center"/>
              <w:rPr>
                <w:szCs w:val="22"/>
              </w:rPr>
            </w:pPr>
            <w:r w:rsidRPr="00281F10">
              <w:rPr>
                <w:szCs w:val="22"/>
                <w:lang w:val="el-GR"/>
              </w:rPr>
              <w:t>Έξαψη</w:t>
            </w:r>
          </w:p>
        </w:tc>
        <w:tc>
          <w:tcPr>
            <w:tcW w:w="2126"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jc w:val="center"/>
              <w:rPr>
                <w:szCs w:val="22"/>
              </w:rPr>
            </w:pPr>
            <w:r w:rsidRPr="00281F10">
              <w:rPr>
                <w:szCs w:val="22"/>
                <w:lang w:val="el-GR"/>
              </w:rPr>
              <w:t>Αρτηριακή πίεση μειωμένη</w:t>
            </w:r>
          </w:p>
        </w:tc>
        <w:tc>
          <w:tcPr>
            <w:tcW w:w="1843" w:type="dxa"/>
            <w:tcBorders>
              <w:top w:val="single" w:sz="4" w:space="0" w:color="auto"/>
              <w:left w:val="single" w:sz="4" w:space="0" w:color="auto"/>
              <w:bottom w:val="single" w:sz="4" w:space="0" w:color="auto"/>
              <w:right w:val="single" w:sz="4" w:space="0" w:color="auto"/>
            </w:tcBorders>
          </w:tcPr>
          <w:p w:rsidR="00847B4F" w:rsidRPr="00281F10" w:rsidRDefault="00847B4F" w:rsidP="004767B1">
            <w:pPr>
              <w:spacing w:line="240" w:lineRule="auto"/>
              <w:jc w:val="center"/>
              <w:rPr>
                <w:szCs w:val="22"/>
                <w:lang w:val="en-GB"/>
              </w:rPr>
            </w:pPr>
          </w:p>
        </w:tc>
      </w:tr>
      <w:tr w:rsidR="00847B4F" w:rsidRPr="00A029F5" w:rsidTr="000324F7">
        <w:trPr>
          <w:trHeight w:val="146"/>
        </w:trPr>
        <w:tc>
          <w:tcPr>
            <w:tcW w:w="2055"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rPr>
                <w:szCs w:val="22"/>
                <w:lang w:val="el-GR"/>
              </w:rPr>
            </w:pPr>
            <w:r w:rsidRPr="00281F10">
              <w:rPr>
                <w:b/>
                <w:szCs w:val="22"/>
                <w:lang w:val="el-GR"/>
              </w:rPr>
              <w:t>Διαταραχές του αναπνευστικού συστήματος, του θώρακα και του μεσοθωρακίου</w:t>
            </w:r>
          </w:p>
        </w:tc>
        <w:tc>
          <w:tcPr>
            <w:tcW w:w="1417" w:type="dxa"/>
            <w:tcBorders>
              <w:top w:val="single" w:sz="4" w:space="0" w:color="auto"/>
              <w:left w:val="single" w:sz="4" w:space="0" w:color="auto"/>
              <w:bottom w:val="single" w:sz="4" w:space="0" w:color="auto"/>
              <w:right w:val="single" w:sz="4" w:space="0" w:color="auto"/>
            </w:tcBorders>
          </w:tcPr>
          <w:p w:rsidR="00847B4F" w:rsidRPr="00281F10" w:rsidRDefault="00847B4F" w:rsidP="004767B1">
            <w:pPr>
              <w:spacing w:line="240" w:lineRule="auto"/>
              <w:jc w:val="center"/>
              <w:rPr>
                <w:szCs w:val="22"/>
                <w:lang w:val="el-GR"/>
              </w:rPr>
            </w:pPr>
          </w:p>
        </w:tc>
        <w:tc>
          <w:tcPr>
            <w:tcW w:w="2127" w:type="dxa"/>
            <w:tcBorders>
              <w:top w:val="single" w:sz="4" w:space="0" w:color="auto"/>
              <w:left w:val="single" w:sz="4" w:space="0" w:color="auto"/>
              <w:bottom w:val="single" w:sz="4" w:space="0" w:color="auto"/>
              <w:right w:val="single" w:sz="4" w:space="0" w:color="auto"/>
            </w:tcBorders>
          </w:tcPr>
          <w:p w:rsidR="00847B4F" w:rsidRPr="00281F10" w:rsidRDefault="00847B4F" w:rsidP="004767B1">
            <w:pPr>
              <w:spacing w:line="240" w:lineRule="auto"/>
              <w:jc w:val="center"/>
              <w:rPr>
                <w:szCs w:val="22"/>
                <w:lang w:val="el-GR"/>
              </w:rPr>
            </w:pPr>
          </w:p>
        </w:tc>
        <w:tc>
          <w:tcPr>
            <w:tcW w:w="2126"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jc w:val="center"/>
              <w:rPr>
                <w:szCs w:val="22"/>
                <w:lang w:val="el-GR"/>
              </w:rPr>
            </w:pPr>
            <w:r w:rsidRPr="00281F10">
              <w:rPr>
                <w:szCs w:val="22"/>
                <w:lang w:val="el-GR"/>
              </w:rPr>
              <w:t xml:space="preserve">Αναπνευστική καταστολή, κορεσμός οξυγόνου μειωμένος, δύσπνοια </w:t>
            </w:r>
          </w:p>
        </w:tc>
        <w:tc>
          <w:tcPr>
            <w:tcW w:w="1843" w:type="dxa"/>
            <w:tcBorders>
              <w:top w:val="single" w:sz="4" w:space="0" w:color="auto"/>
              <w:left w:val="single" w:sz="4" w:space="0" w:color="auto"/>
              <w:bottom w:val="single" w:sz="4" w:space="0" w:color="auto"/>
              <w:right w:val="single" w:sz="4" w:space="0" w:color="auto"/>
            </w:tcBorders>
          </w:tcPr>
          <w:p w:rsidR="00847B4F" w:rsidRPr="00281F10" w:rsidRDefault="00847B4F" w:rsidP="004767B1">
            <w:pPr>
              <w:spacing w:line="240" w:lineRule="auto"/>
              <w:jc w:val="center"/>
              <w:rPr>
                <w:szCs w:val="22"/>
                <w:lang w:val="el-GR"/>
              </w:rPr>
            </w:pPr>
          </w:p>
        </w:tc>
      </w:tr>
      <w:tr w:rsidR="00847B4F" w:rsidRPr="00281F10" w:rsidTr="000324F7">
        <w:trPr>
          <w:trHeight w:val="146"/>
        </w:trPr>
        <w:tc>
          <w:tcPr>
            <w:tcW w:w="2055" w:type="dxa"/>
            <w:tcBorders>
              <w:top w:val="single" w:sz="4" w:space="0" w:color="auto"/>
              <w:left w:val="single" w:sz="4" w:space="0" w:color="auto"/>
              <w:bottom w:val="single" w:sz="4" w:space="0" w:color="auto"/>
              <w:right w:val="single" w:sz="4" w:space="0" w:color="auto"/>
            </w:tcBorders>
          </w:tcPr>
          <w:p w:rsidR="00847B4F" w:rsidRPr="00281F10" w:rsidRDefault="00847B4F" w:rsidP="004767B1">
            <w:pPr>
              <w:spacing w:line="240" w:lineRule="auto"/>
              <w:rPr>
                <w:szCs w:val="22"/>
              </w:rPr>
            </w:pPr>
            <w:r w:rsidRPr="00281F10">
              <w:rPr>
                <w:b/>
                <w:szCs w:val="22"/>
                <w:lang w:val="el-GR"/>
              </w:rPr>
              <w:t>Διαταραχές του γαστρεντερικού συστήματος</w:t>
            </w:r>
          </w:p>
        </w:tc>
        <w:tc>
          <w:tcPr>
            <w:tcW w:w="1417"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jc w:val="center"/>
              <w:rPr>
                <w:szCs w:val="22"/>
              </w:rPr>
            </w:pPr>
            <w:r w:rsidRPr="00281F10">
              <w:rPr>
                <w:szCs w:val="22"/>
                <w:lang w:val="el-GR"/>
              </w:rPr>
              <w:t>Ναυτία, έμετος</w:t>
            </w:r>
          </w:p>
        </w:tc>
        <w:tc>
          <w:tcPr>
            <w:tcW w:w="2127"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jc w:val="center"/>
              <w:rPr>
                <w:szCs w:val="22"/>
              </w:rPr>
            </w:pPr>
            <w:r w:rsidRPr="00281F10">
              <w:rPr>
                <w:szCs w:val="22"/>
                <w:lang w:val="el-GR"/>
              </w:rPr>
              <w:t>Δυσκοιλιότητα, διάρροια, δυσπεψία, ξηροστομία</w:t>
            </w:r>
          </w:p>
        </w:tc>
        <w:tc>
          <w:tcPr>
            <w:tcW w:w="2126"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jc w:val="center"/>
              <w:rPr>
                <w:szCs w:val="22"/>
              </w:rPr>
            </w:pPr>
            <w:r w:rsidRPr="00281F10">
              <w:rPr>
                <w:szCs w:val="22"/>
                <w:lang w:val="el-GR"/>
              </w:rPr>
              <w:t>Κοιλιακή δυσφορία</w:t>
            </w:r>
          </w:p>
        </w:tc>
        <w:tc>
          <w:tcPr>
            <w:tcW w:w="1843"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jc w:val="center"/>
              <w:rPr>
                <w:szCs w:val="22"/>
              </w:rPr>
            </w:pPr>
            <w:r w:rsidRPr="00281F10">
              <w:rPr>
                <w:szCs w:val="22"/>
                <w:lang w:val="el-GR"/>
              </w:rPr>
              <w:t>Επιβραδυνθείσα γαστρική κένωση</w:t>
            </w:r>
          </w:p>
        </w:tc>
      </w:tr>
      <w:tr w:rsidR="00847B4F" w:rsidRPr="00281F10" w:rsidTr="000324F7">
        <w:trPr>
          <w:trHeight w:val="146"/>
        </w:trPr>
        <w:tc>
          <w:tcPr>
            <w:tcW w:w="2055"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rPr>
                <w:szCs w:val="22"/>
                <w:lang w:val="el-GR"/>
              </w:rPr>
            </w:pPr>
            <w:r w:rsidRPr="00281F10">
              <w:rPr>
                <w:b/>
                <w:szCs w:val="22"/>
                <w:lang w:val="el-GR"/>
              </w:rPr>
              <w:t>Διαταραχές του δέρματος και του υποδόριου ιστού</w:t>
            </w:r>
          </w:p>
        </w:tc>
        <w:tc>
          <w:tcPr>
            <w:tcW w:w="1417" w:type="dxa"/>
            <w:tcBorders>
              <w:top w:val="single" w:sz="4" w:space="0" w:color="auto"/>
              <w:left w:val="single" w:sz="4" w:space="0" w:color="auto"/>
              <w:bottom w:val="single" w:sz="4" w:space="0" w:color="auto"/>
              <w:right w:val="single" w:sz="4" w:space="0" w:color="auto"/>
            </w:tcBorders>
          </w:tcPr>
          <w:p w:rsidR="00847B4F" w:rsidRPr="00281F10" w:rsidRDefault="00847B4F" w:rsidP="004767B1">
            <w:pPr>
              <w:spacing w:line="240" w:lineRule="auto"/>
              <w:jc w:val="center"/>
              <w:rPr>
                <w:szCs w:val="22"/>
                <w:lang w:val="el-GR"/>
              </w:rPr>
            </w:pPr>
          </w:p>
        </w:tc>
        <w:tc>
          <w:tcPr>
            <w:tcW w:w="2127"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jc w:val="center"/>
              <w:rPr>
                <w:szCs w:val="22"/>
              </w:rPr>
            </w:pPr>
            <w:r w:rsidRPr="00281F10">
              <w:rPr>
                <w:szCs w:val="22"/>
                <w:lang w:val="el-GR"/>
              </w:rPr>
              <w:t>Κνησμός, υπερίδρωση, εξάνθημα</w:t>
            </w:r>
          </w:p>
        </w:tc>
        <w:tc>
          <w:tcPr>
            <w:tcW w:w="2126"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jc w:val="center"/>
              <w:rPr>
                <w:szCs w:val="22"/>
              </w:rPr>
            </w:pPr>
            <w:r w:rsidRPr="00281F10">
              <w:rPr>
                <w:szCs w:val="22"/>
                <w:lang w:val="el-GR"/>
              </w:rPr>
              <w:t>Κνίδωση</w:t>
            </w:r>
          </w:p>
        </w:tc>
        <w:tc>
          <w:tcPr>
            <w:tcW w:w="1843" w:type="dxa"/>
            <w:tcBorders>
              <w:top w:val="single" w:sz="4" w:space="0" w:color="auto"/>
              <w:left w:val="single" w:sz="4" w:space="0" w:color="auto"/>
              <w:bottom w:val="single" w:sz="4" w:space="0" w:color="auto"/>
              <w:right w:val="single" w:sz="4" w:space="0" w:color="auto"/>
            </w:tcBorders>
          </w:tcPr>
          <w:p w:rsidR="00847B4F" w:rsidRPr="00281F10" w:rsidRDefault="00847B4F" w:rsidP="004767B1">
            <w:pPr>
              <w:spacing w:line="240" w:lineRule="auto"/>
              <w:jc w:val="center"/>
              <w:rPr>
                <w:szCs w:val="22"/>
                <w:lang w:val="en-GB"/>
              </w:rPr>
            </w:pPr>
          </w:p>
        </w:tc>
      </w:tr>
      <w:tr w:rsidR="00847B4F" w:rsidRPr="00281F10" w:rsidTr="000324F7">
        <w:trPr>
          <w:trHeight w:val="146"/>
        </w:trPr>
        <w:tc>
          <w:tcPr>
            <w:tcW w:w="2055"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rPr>
                <w:szCs w:val="22"/>
                <w:lang w:val="el-GR"/>
              </w:rPr>
            </w:pPr>
            <w:r w:rsidRPr="00281F10">
              <w:rPr>
                <w:b/>
                <w:szCs w:val="22"/>
                <w:lang w:val="el-GR"/>
              </w:rPr>
              <w:t xml:space="preserve">Διαταραχές του μυοσκελετικού </w:t>
            </w:r>
            <w:r w:rsidRPr="00281F10">
              <w:rPr>
                <w:b/>
                <w:szCs w:val="22"/>
                <w:lang w:val="el-GR"/>
              </w:rPr>
              <w:lastRenderedPageBreak/>
              <w:t>συστήματος και του συνδετικού ιστού</w:t>
            </w:r>
          </w:p>
        </w:tc>
        <w:tc>
          <w:tcPr>
            <w:tcW w:w="1417" w:type="dxa"/>
            <w:tcBorders>
              <w:top w:val="single" w:sz="4" w:space="0" w:color="auto"/>
              <w:left w:val="single" w:sz="4" w:space="0" w:color="auto"/>
              <w:bottom w:val="single" w:sz="4" w:space="0" w:color="auto"/>
              <w:right w:val="single" w:sz="4" w:space="0" w:color="auto"/>
            </w:tcBorders>
          </w:tcPr>
          <w:p w:rsidR="00847B4F" w:rsidRPr="00281F10" w:rsidRDefault="00847B4F" w:rsidP="004767B1">
            <w:pPr>
              <w:spacing w:line="240" w:lineRule="auto"/>
              <w:jc w:val="center"/>
              <w:rPr>
                <w:szCs w:val="22"/>
                <w:lang w:val="el-GR"/>
              </w:rPr>
            </w:pPr>
          </w:p>
        </w:tc>
        <w:tc>
          <w:tcPr>
            <w:tcW w:w="2127"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jc w:val="center"/>
              <w:rPr>
                <w:szCs w:val="22"/>
              </w:rPr>
            </w:pPr>
            <w:r w:rsidRPr="00281F10">
              <w:rPr>
                <w:szCs w:val="22"/>
                <w:lang w:val="el-GR"/>
              </w:rPr>
              <w:t>Μυϊκοί σπασμοί</w:t>
            </w:r>
          </w:p>
        </w:tc>
        <w:tc>
          <w:tcPr>
            <w:tcW w:w="2126"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jc w:val="center"/>
              <w:rPr>
                <w:szCs w:val="22"/>
              </w:rPr>
            </w:pPr>
            <w:r w:rsidRPr="00281F10">
              <w:rPr>
                <w:szCs w:val="22"/>
                <w:lang w:val="el-GR"/>
              </w:rPr>
              <w:t>Καρηβαρία</w:t>
            </w:r>
          </w:p>
        </w:tc>
        <w:tc>
          <w:tcPr>
            <w:tcW w:w="1843" w:type="dxa"/>
            <w:tcBorders>
              <w:top w:val="single" w:sz="4" w:space="0" w:color="auto"/>
              <w:left w:val="single" w:sz="4" w:space="0" w:color="auto"/>
              <w:bottom w:val="single" w:sz="4" w:space="0" w:color="auto"/>
              <w:right w:val="single" w:sz="4" w:space="0" w:color="auto"/>
            </w:tcBorders>
          </w:tcPr>
          <w:p w:rsidR="00847B4F" w:rsidRPr="00281F10" w:rsidRDefault="00847B4F" w:rsidP="004767B1">
            <w:pPr>
              <w:spacing w:line="240" w:lineRule="auto"/>
              <w:jc w:val="center"/>
              <w:rPr>
                <w:szCs w:val="22"/>
                <w:lang w:val="en-GB"/>
              </w:rPr>
            </w:pPr>
          </w:p>
        </w:tc>
      </w:tr>
      <w:tr w:rsidR="00847B4F" w:rsidRPr="00281F10" w:rsidTr="000324F7">
        <w:trPr>
          <w:trHeight w:val="146"/>
        </w:trPr>
        <w:tc>
          <w:tcPr>
            <w:tcW w:w="2055"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rPr>
                <w:szCs w:val="22"/>
                <w:lang w:val="el-GR"/>
              </w:rPr>
            </w:pPr>
            <w:r w:rsidRPr="00281F10">
              <w:rPr>
                <w:b/>
                <w:szCs w:val="22"/>
                <w:lang w:val="el-GR"/>
              </w:rPr>
              <w:lastRenderedPageBreak/>
              <w:t>Διαταραχές των νεφρών και των ουροφόρων οδών</w:t>
            </w:r>
          </w:p>
        </w:tc>
        <w:tc>
          <w:tcPr>
            <w:tcW w:w="1417" w:type="dxa"/>
            <w:tcBorders>
              <w:top w:val="single" w:sz="4" w:space="0" w:color="auto"/>
              <w:left w:val="single" w:sz="4" w:space="0" w:color="auto"/>
              <w:bottom w:val="single" w:sz="4" w:space="0" w:color="auto"/>
              <w:right w:val="single" w:sz="4" w:space="0" w:color="auto"/>
            </w:tcBorders>
          </w:tcPr>
          <w:p w:rsidR="00847B4F" w:rsidRPr="00281F10" w:rsidRDefault="00847B4F" w:rsidP="004767B1">
            <w:pPr>
              <w:spacing w:line="240" w:lineRule="auto"/>
              <w:jc w:val="center"/>
              <w:rPr>
                <w:szCs w:val="22"/>
                <w:lang w:val="el-GR"/>
              </w:rPr>
            </w:pPr>
          </w:p>
        </w:tc>
        <w:tc>
          <w:tcPr>
            <w:tcW w:w="2127" w:type="dxa"/>
            <w:tcBorders>
              <w:top w:val="single" w:sz="4" w:space="0" w:color="auto"/>
              <w:left w:val="single" w:sz="4" w:space="0" w:color="auto"/>
              <w:bottom w:val="single" w:sz="4" w:space="0" w:color="auto"/>
              <w:right w:val="single" w:sz="4" w:space="0" w:color="auto"/>
            </w:tcBorders>
          </w:tcPr>
          <w:p w:rsidR="00847B4F" w:rsidRPr="00281F10" w:rsidRDefault="00847B4F" w:rsidP="004767B1">
            <w:pPr>
              <w:spacing w:line="240" w:lineRule="auto"/>
              <w:jc w:val="center"/>
              <w:rPr>
                <w:szCs w:val="22"/>
                <w:lang w:val="el-GR"/>
              </w:rPr>
            </w:pPr>
          </w:p>
        </w:tc>
        <w:tc>
          <w:tcPr>
            <w:tcW w:w="2126"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jc w:val="center"/>
              <w:rPr>
                <w:szCs w:val="22"/>
              </w:rPr>
            </w:pPr>
            <w:r w:rsidRPr="00281F10">
              <w:rPr>
                <w:szCs w:val="22"/>
                <w:lang w:val="el-GR"/>
              </w:rPr>
              <w:t>Δυσκολία στην ούρηση, συχνουρία</w:t>
            </w:r>
          </w:p>
        </w:tc>
        <w:tc>
          <w:tcPr>
            <w:tcW w:w="1843" w:type="dxa"/>
            <w:tcBorders>
              <w:top w:val="single" w:sz="4" w:space="0" w:color="auto"/>
              <w:left w:val="single" w:sz="4" w:space="0" w:color="auto"/>
              <w:bottom w:val="single" w:sz="4" w:space="0" w:color="auto"/>
              <w:right w:val="single" w:sz="4" w:space="0" w:color="auto"/>
            </w:tcBorders>
          </w:tcPr>
          <w:p w:rsidR="00847B4F" w:rsidRPr="00281F10" w:rsidRDefault="00847B4F" w:rsidP="004767B1">
            <w:pPr>
              <w:spacing w:line="240" w:lineRule="auto"/>
              <w:jc w:val="center"/>
              <w:rPr>
                <w:szCs w:val="22"/>
                <w:lang w:val="en-GB"/>
              </w:rPr>
            </w:pPr>
          </w:p>
        </w:tc>
      </w:tr>
      <w:tr w:rsidR="00847B4F" w:rsidRPr="00A029F5" w:rsidTr="00C216A4">
        <w:trPr>
          <w:trHeight w:val="146"/>
        </w:trPr>
        <w:tc>
          <w:tcPr>
            <w:tcW w:w="2055"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rPr>
                <w:szCs w:val="22"/>
                <w:lang w:val="el-GR"/>
              </w:rPr>
            </w:pPr>
            <w:r w:rsidRPr="00281F10">
              <w:rPr>
                <w:b/>
                <w:szCs w:val="22"/>
                <w:lang w:val="el-GR"/>
              </w:rPr>
              <w:t>Γενικές διαταραχές και καταστάσεις της οδού χορήγησης</w:t>
            </w:r>
          </w:p>
        </w:tc>
        <w:tc>
          <w:tcPr>
            <w:tcW w:w="1417" w:type="dxa"/>
            <w:tcBorders>
              <w:top w:val="single" w:sz="4" w:space="0" w:color="auto"/>
              <w:left w:val="single" w:sz="4" w:space="0" w:color="auto"/>
              <w:bottom w:val="single" w:sz="4" w:space="0" w:color="auto"/>
              <w:right w:val="single" w:sz="4" w:space="0" w:color="auto"/>
            </w:tcBorders>
          </w:tcPr>
          <w:p w:rsidR="00847B4F" w:rsidRPr="00281F10" w:rsidRDefault="00847B4F" w:rsidP="004767B1">
            <w:pPr>
              <w:spacing w:line="240" w:lineRule="auto"/>
              <w:jc w:val="center"/>
              <w:rPr>
                <w:szCs w:val="22"/>
                <w:lang w:val="el-GR"/>
              </w:rPr>
            </w:pPr>
          </w:p>
        </w:tc>
        <w:tc>
          <w:tcPr>
            <w:tcW w:w="2127"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jc w:val="center"/>
              <w:rPr>
                <w:szCs w:val="22"/>
                <w:lang w:val="el-GR"/>
              </w:rPr>
            </w:pPr>
            <w:r w:rsidRPr="00281F10">
              <w:rPr>
                <w:szCs w:val="22"/>
                <w:lang w:val="el-GR"/>
              </w:rPr>
              <w:t>Εξασθένιση, κόπωση, αίσθηση μεταβολής της θερμοκρασίας του σώματος</w:t>
            </w:r>
          </w:p>
        </w:tc>
        <w:tc>
          <w:tcPr>
            <w:tcW w:w="2126" w:type="dxa"/>
            <w:tcBorders>
              <w:top w:val="single" w:sz="4" w:space="0" w:color="auto"/>
              <w:left w:val="single" w:sz="4" w:space="0" w:color="auto"/>
              <w:bottom w:val="single" w:sz="4" w:space="0" w:color="auto"/>
              <w:right w:val="single" w:sz="4" w:space="0" w:color="auto"/>
            </w:tcBorders>
          </w:tcPr>
          <w:p w:rsidR="00847B4F" w:rsidRPr="00281F10" w:rsidRDefault="001F2496" w:rsidP="004767B1">
            <w:pPr>
              <w:spacing w:line="240" w:lineRule="auto"/>
              <w:jc w:val="center"/>
              <w:rPr>
                <w:szCs w:val="22"/>
                <w:lang w:val="el-GR"/>
              </w:rPr>
            </w:pPr>
            <w:r w:rsidRPr="00281F10">
              <w:rPr>
                <w:szCs w:val="22"/>
                <w:lang w:val="el-GR"/>
              </w:rPr>
              <w:t>Σύνδρομο από απόσυρση φαρμάκου, οίδημα, αίσθηση μη φυσιολογική, αίσθηση μέθης, ευερεθιστότητα, αίσθηση χαλάρωσης</w:t>
            </w:r>
          </w:p>
        </w:tc>
        <w:tc>
          <w:tcPr>
            <w:tcW w:w="1843" w:type="dxa"/>
            <w:tcBorders>
              <w:top w:val="single" w:sz="4" w:space="0" w:color="auto"/>
              <w:left w:val="single" w:sz="4" w:space="0" w:color="auto"/>
              <w:bottom w:val="single" w:sz="4" w:space="0" w:color="auto"/>
              <w:right w:val="single" w:sz="4" w:space="0" w:color="auto"/>
            </w:tcBorders>
          </w:tcPr>
          <w:p w:rsidR="00847B4F" w:rsidRPr="00281F10" w:rsidRDefault="00847B4F" w:rsidP="004767B1">
            <w:pPr>
              <w:spacing w:line="240" w:lineRule="auto"/>
              <w:jc w:val="center"/>
              <w:rPr>
                <w:szCs w:val="22"/>
                <w:lang w:val="el-GR"/>
              </w:rPr>
            </w:pPr>
          </w:p>
        </w:tc>
      </w:tr>
      <w:tr w:rsidR="00C216A4" w:rsidRPr="00A029F5" w:rsidTr="00837100">
        <w:trPr>
          <w:trHeight w:val="146"/>
        </w:trPr>
        <w:tc>
          <w:tcPr>
            <w:tcW w:w="9568" w:type="dxa"/>
            <w:gridSpan w:val="5"/>
            <w:tcBorders>
              <w:top w:val="single" w:sz="4" w:space="0" w:color="auto"/>
              <w:left w:val="single" w:sz="4" w:space="0" w:color="auto"/>
              <w:bottom w:val="single" w:sz="12" w:space="0" w:color="auto"/>
              <w:right w:val="single" w:sz="4" w:space="0" w:color="auto"/>
            </w:tcBorders>
          </w:tcPr>
          <w:p w:rsidR="00E45A47" w:rsidRDefault="00E45A47" w:rsidP="00E45A47">
            <w:pPr>
              <w:spacing w:line="240" w:lineRule="auto"/>
              <w:rPr>
                <w:b/>
                <w:bCs/>
                <w:color w:val="0000FF"/>
                <w:szCs w:val="22"/>
                <w:u w:val="single"/>
                <w:lang w:val="el-GR"/>
              </w:rPr>
            </w:pPr>
            <w:r w:rsidRPr="00E45A47">
              <w:rPr>
                <w:i/>
                <w:szCs w:val="22"/>
                <w:lang w:val="el-GR"/>
              </w:rPr>
              <w:t xml:space="preserve">* </w:t>
            </w:r>
            <w:r w:rsidR="003B16CF">
              <w:rPr>
                <w:i/>
                <w:szCs w:val="22"/>
                <w:lang w:val="el-GR"/>
              </w:rPr>
              <w:t>Μετά</w:t>
            </w:r>
            <w:r w:rsidR="003B16CF" w:rsidRPr="003B16CF">
              <w:rPr>
                <w:i/>
                <w:szCs w:val="22"/>
                <w:lang w:val="el-GR"/>
              </w:rPr>
              <w:t xml:space="preserve"> </w:t>
            </w:r>
            <w:r w:rsidR="003B16CF">
              <w:rPr>
                <w:i/>
                <w:szCs w:val="22"/>
                <w:lang w:val="el-GR"/>
              </w:rPr>
              <w:t>την</w:t>
            </w:r>
            <w:r w:rsidR="003B16CF" w:rsidRPr="003B16CF">
              <w:rPr>
                <w:i/>
                <w:szCs w:val="22"/>
                <w:lang w:val="el-GR"/>
              </w:rPr>
              <w:t xml:space="preserve"> </w:t>
            </w:r>
            <w:r w:rsidR="003B16CF">
              <w:rPr>
                <w:i/>
                <w:szCs w:val="22"/>
                <w:lang w:val="el-GR"/>
              </w:rPr>
              <w:t>κυκλοφορία</w:t>
            </w:r>
            <w:r w:rsidR="003B16CF" w:rsidRPr="003B16CF">
              <w:rPr>
                <w:i/>
                <w:szCs w:val="22"/>
                <w:lang w:val="el-GR"/>
              </w:rPr>
              <w:t xml:space="preserve"> </w:t>
            </w:r>
            <w:r w:rsidR="003B16CF">
              <w:rPr>
                <w:i/>
                <w:szCs w:val="22"/>
                <w:lang w:val="el-GR"/>
              </w:rPr>
              <w:t>έχουν</w:t>
            </w:r>
            <w:r w:rsidR="003B16CF" w:rsidRPr="003B16CF">
              <w:rPr>
                <w:i/>
                <w:szCs w:val="22"/>
                <w:lang w:val="el-GR"/>
              </w:rPr>
              <w:t xml:space="preserve"> </w:t>
            </w:r>
            <w:r w:rsidR="003B16CF">
              <w:rPr>
                <w:i/>
                <w:szCs w:val="22"/>
                <w:lang w:val="el-GR"/>
              </w:rPr>
              <w:t>αναφερθεί</w:t>
            </w:r>
            <w:r w:rsidR="003B16CF" w:rsidRPr="003B16CF">
              <w:rPr>
                <w:i/>
                <w:szCs w:val="22"/>
                <w:lang w:val="el-GR"/>
              </w:rPr>
              <w:t xml:space="preserve"> </w:t>
            </w:r>
            <w:r w:rsidR="003B16CF">
              <w:rPr>
                <w:i/>
                <w:szCs w:val="22"/>
                <w:lang w:val="el-GR"/>
              </w:rPr>
              <w:t>σπάνια</w:t>
            </w:r>
            <w:r w:rsidR="003B16CF" w:rsidRPr="003B16CF">
              <w:rPr>
                <w:i/>
                <w:szCs w:val="22"/>
                <w:lang w:val="el-GR"/>
              </w:rPr>
              <w:t xml:space="preserve"> </w:t>
            </w:r>
            <w:r w:rsidR="003B16CF">
              <w:rPr>
                <w:i/>
                <w:szCs w:val="22"/>
                <w:lang w:val="el-GR"/>
              </w:rPr>
              <w:t>περιστατικά αγγειοοιδήματος, αναφυλαξίας και αναφυλακτικ</w:t>
            </w:r>
            <w:r w:rsidR="00B833F3">
              <w:rPr>
                <w:i/>
                <w:szCs w:val="22"/>
                <w:lang w:val="el-GR"/>
              </w:rPr>
              <w:t>ής καταπληξίας</w:t>
            </w:r>
            <w:r w:rsidR="003B16CF">
              <w:rPr>
                <w:i/>
                <w:szCs w:val="22"/>
                <w:lang w:val="el-GR"/>
              </w:rPr>
              <w:t xml:space="preserve">. </w:t>
            </w:r>
          </w:p>
        </w:tc>
      </w:tr>
    </w:tbl>
    <w:p w:rsidR="00E7560B" w:rsidRPr="0090418E" w:rsidRDefault="00E7560B" w:rsidP="004767B1">
      <w:pPr>
        <w:spacing w:line="240" w:lineRule="auto"/>
        <w:rPr>
          <w:szCs w:val="22"/>
          <w:lang w:val="el-GR"/>
        </w:rPr>
      </w:pPr>
      <w:bookmarkStart w:id="2" w:name="_APPENDIX_1"/>
    </w:p>
    <w:p w:rsidR="00847B4F" w:rsidRPr="00281F10" w:rsidRDefault="00D31B6E" w:rsidP="005F04EA">
      <w:pPr>
        <w:spacing w:line="240" w:lineRule="auto"/>
        <w:rPr>
          <w:szCs w:val="22"/>
          <w:lang w:val="el-GR"/>
        </w:rPr>
      </w:pPr>
      <w:r w:rsidRPr="00281F10">
        <w:rPr>
          <w:szCs w:val="22"/>
          <w:lang w:val="el-GR"/>
        </w:rPr>
        <w:t xml:space="preserve">Οι κλινικές δοκιμές που </w:t>
      </w:r>
      <w:r w:rsidR="00765771" w:rsidRPr="00281F10">
        <w:rPr>
          <w:szCs w:val="22"/>
          <w:lang w:val="el-GR"/>
        </w:rPr>
        <w:t xml:space="preserve">πραγματοποιήθηκαν </w:t>
      </w:r>
      <w:r w:rsidR="001F2496" w:rsidRPr="00281F10">
        <w:rPr>
          <w:szCs w:val="22"/>
          <w:lang w:val="el-GR"/>
        </w:rPr>
        <w:t xml:space="preserve">με το PALEXIA με έκθεση ασθενών έως </w:t>
      </w:r>
      <w:r w:rsidR="00597DEA" w:rsidRPr="00281F10">
        <w:rPr>
          <w:szCs w:val="22"/>
          <w:lang w:val="el-GR"/>
        </w:rPr>
        <w:t xml:space="preserve">και </w:t>
      </w:r>
      <w:r w:rsidRPr="00281F10">
        <w:rPr>
          <w:szCs w:val="22"/>
          <w:lang w:val="el-GR"/>
        </w:rPr>
        <w:t>90 ημέρες έχουν δείξει λίγα στοιχεία συμπτωμάτων απόσυρσης μετά από απότομη διακοπή και τα συμπτώματα αυτά ταξινομήθηκαν γενικά ως ήπια, όταν εμφανίστηκαν. Παρόλα αυτά, οι γιατροί πρέπει</w:t>
      </w:r>
      <w:r w:rsidR="001F2496" w:rsidRPr="00281F10">
        <w:rPr>
          <w:szCs w:val="22"/>
          <w:lang w:val="el-GR"/>
        </w:rPr>
        <w:t xml:space="preserve"> να βρίσκονται σε εγρήγορση για συμπτώματα απόσυρσης (βλέπε παράγραφο 4.2) και να αντιμετωπίσουν κατάλληλα τους ασθενείς εάν αυτά εμφανιστούν.</w:t>
      </w:r>
    </w:p>
    <w:bookmarkEnd w:id="2"/>
    <w:p w:rsidR="006A0546" w:rsidRPr="00281F10" w:rsidRDefault="006A0546" w:rsidP="005F04EA">
      <w:pPr>
        <w:pStyle w:val="2"/>
        <w:spacing w:before="0" w:after="0" w:line="240" w:lineRule="auto"/>
        <w:rPr>
          <w:rFonts w:ascii="Times New Roman" w:hAnsi="Times New Roman"/>
          <w:i w:val="0"/>
          <w:sz w:val="22"/>
          <w:szCs w:val="22"/>
          <w:lang w:val="el-GR"/>
        </w:rPr>
      </w:pPr>
    </w:p>
    <w:p w:rsidR="00E7560B" w:rsidRDefault="001F2496" w:rsidP="005F04EA">
      <w:pPr>
        <w:spacing w:line="240" w:lineRule="auto"/>
        <w:rPr>
          <w:szCs w:val="22"/>
          <w:lang w:val="el-GR"/>
        </w:rPr>
      </w:pPr>
      <w:r w:rsidRPr="00281F10">
        <w:rPr>
          <w:szCs w:val="22"/>
          <w:lang w:val="el-GR"/>
        </w:rPr>
        <w:t xml:space="preserve">Είναι γνωστό ότι ο κίνδυνος ιδεασμού αυτοκτονίας και πραγματοποίησης αυτοκτονίας είναι υψηλότερος σε ασθενείς που υποφέρουν από χρόνιο πόνο. Επιπρόσθετα, οι ουσίες με έκδηλη επίδραση στο μονοαμινεργικό σύστημα έχουν συνδεθεί με αυξημένο κίνδυνο αυτοκτονικότητας σε ασθενείς που πάσχουν από κατάθλιψη, ιδίως στην αρχή της θεραπείας. Όσον αφορά στην ταπενταδόλη, τα δεδομένα από τις κλινικές δοκιμές και τις αναφορές μετά την κυκλοφορία του προϊόντος δεν παρουσιάζουν ενδείξεις για αυξημένο κίνδυνο. </w:t>
      </w:r>
    </w:p>
    <w:p w:rsidR="0090418E" w:rsidRDefault="0090418E" w:rsidP="005F04EA">
      <w:pPr>
        <w:spacing w:line="240" w:lineRule="auto"/>
        <w:rPr>
          <w:szCs w:val="22"/>
          <w:lang w:val="el-GR"/>
        </w:rPr>
      </w:pPr>
    </w:p>
    <w:p w:rsidR="0090418E" w:rsidRPr="0014017F" w:rsidRDefault="0090418E" w:rsidP="0090418E">
      <w:pPr>
        <w:autoSpaceDE w:val="0"/>
        <w:autoSpaceDN w:val="0"/>
        <w:adjustRightInd w:val="0"/>
        <w:jc w:val="both"/>
        <w:rPr>
          <w:szCs w:val="22"/>
          <w:u w:val="single"/>
          <w:lang w:val="el-GR"/>
        </w:rPr>
      </w:pPr>
      <w:r w:rsidRPr="0014017F">
        <w:rPr>
          <w:noProof/>
          <w:szCs w:val="22"/>
          <w:u w:val="single"/>
          <w:lang w:val="el-GR"/>
        </w:rPr>
        <w:t>Αναφορά πιθανολογούμενων ανεπιθύμητων ενεργειών</w:t>
      </w:r>
    </w:p>
    <w:p w:rsidR="0090418E" w:rsidRPr="00281F10" w:rsidRDefault="0090418E" w:rsidP="0090418E">
      <w:pPr>
        <w:spacing w:line="240" w:lineRule="auto"/>
        <w:rPr>
          <w:szCs w:val="22"/>
          <w:lang w:val="el-GR"/>
        </w:rPr>
      </w:pPr>
      <w:r w:rsidRPr="00166D11">
        <w:rPr>
          <w:szCs w:val="22"/>
          <w:lang w:val="el-GR"/>
        </w:rPr>
        <w:t>Η αναφορά πιθανολογούμενων ανεπιθύμητων ενεργειών μετά από τη χορήγηση άδειας κυκλοφορίας του φαρμακευτικού προϊόντος είναι σημαντική</w:t>
      </w:r>
      <w:r w:rsidRPr="00684E83">
        <w:rPr>
          <w:noProof/>
          <w:szCs w:val="22"/>
          <w:lang w:val="el-GR"/>
        </w:rPr>
        <w:t>.</w:t>
      </w:r>
      <w:r w:rsidRPr="00684E83">
        <w:rPr>
          <w:szCs w:val="22"/>
          <w:lang w:val="el-GR"/>
        </w:rPr>
        <w:t xml:space="preserve"> </w:t>
      </w:r>
      <w:r w:rsidRPr="00166D11">
        <w:rPr>
          <w:szCs w:val="22"/>
          <w:lang w:val="el-GR"/>
        </w:rPr>
        <w:t>Επιτρέπει τη συνεχή παρακολούθηση της σχέσης οφέλους-κινδύνου του φαρμακευτικού προϊόντος</w:t>
      </w:r>
      <w:r w:rsidRPr="00684E83">
        <w:rPr>
          <w:noProof/>
          <w:szCs w:val="22"/>
          <w:lang w:val="el-GR"/>
        </w:rPr>
        <w:t>.</w:t>
      </w:r>
      <w:r w:rsidRPr="00684E83">
        <w:rPr>
          <w:szCs w:val="22"/>
          <w:lang w:val="el-GR"/>
        </w:rPr>
        <w:t xml:space="preserve"> </w:t>
      </w:r>
      <w:r w:rsidRPr="00166D11">
        <w:rPr>
          <w:szCs w:val="22"/>
          <w:lang w:val="el-GR"/>
        </w:rPr>
        <w:t>Ζητείται από τους επαγγελματίες του τομέα της υγειονομικής περίθαλψης να αναφέρουν ο</w:t>
      </w:r>
      <w:r>
        <w:rPr>
          <w:szCs w:val="22"/>
          <w:lang w:val="el-GR"/>
        </w:rPr>
        <w:t>πο</w:t>
      </w:r>
      <w:r w:rsidRPr="00166D11">
        <w:rPr>
          <w:szCs w:val="22"/>
          <w:lang w:val="el-GR"/>
        </w:rPr>
        <w:t xml:space="preserve">ιεσδήποτε πιθανολογούμενες ανεπιθύμητες ενέργειες </w:t>
      </w:r>
      <w:r w:rsidRPr="00E6243E">
        <w:rPr>
          <w:szCs w:val="22"/>
          <w:highlight w:val="lightGray"/>
          <w:lang w:val="el-GR"/>
        </w:rPr>
        <w:t xml:space="preserve">μέσω του εθνικού συστήματος αναφοράς που αναγράφεται στο </w:t>
      </w:r>
      <w:hyperlink r:id="rId8" w:history="1">
        <w:r w:rsidRPr="00FF29A4">
          <w:rPr>
            <w:rStyle w:val="-"/>
            <w:highlight w:val="lightGray"/>
            <w:lang w:val="el-GR"/>
          </w:rPr>
          <w:t xml:space="preserve">Παράρτημα </w:t>
        </w:r>
        <w:r w:rsidRPr="00E6243E">
          <w:rPr>
            <w:rStyle w:val="-"/>
            <w:highlight w:val="lightGray"/>
          </w:rPr>
          <w:t>V</w:t>
        </w:r>
      </w:hyperlink>
      <w:r w:rsidRPr="00684E83">
        <w:rPr>
          <w:szCs w:val="22"/>
          <w:lang w:val="el-GR"/>
        </w:rPr>
        <w:t>.</w:t>
      </w:r>
    </w:p>
    <w:p w:rsidR="004E6A42" w:rsidRPr="00281F10" w:rsidRDefault="004E6A42" w:rsidP="005F04EA">
      <w:pPr>
        <w:spacing w:line="240" w:lineRule="auto"/>
        <w:rPr>
          <w:szCs w:val="22"/>
          <w:lang w:val="el-GR"/>
        </w:rPr>
      </w:pPr>
    </w:p>
    <w:p w:rsidR="00847B4F" w:rsidRPr="00281F10" w:rsidRDefault="001F2496" w:rsidP="005F04EA">
      <w:pPr>
        <w:pStyle w:val="2"/>
        <w:spacing w:before="0" w:after="0" w:line="240" w:lineRule="auto"/>
        <w:rPr>
          <w:rFonts w:ascii="Times New Roman" w:hAnsi="Times New Roman"/>
          <w:i w:val="0"/>
          <w:sz w:val="22"/>
          <w:szCs w:val="22"/>
          <w:lang w:val="el-GR"/>
        </w:rPr>
      </w:pPr>
      <w:r w:rsidRPr="00281F10">
        <w:rPr>
          <w:rFonts w:ascii="Times New Roman" w:hAnsi="Times New Roman"/>
          <w:i w:val="0"/>
          <w:sz w:val="22"/>
          <w:szCs w:val="22"/>
          <w:lang w:val="el-GR"/>
        </w:rPr>
        <w:t>4.9</w:t>
      </w:r>
      <w:r w:rsidRPr="00281F10">
        <w:rPr>
          <w:rFonts w:ascii="Times New Roman" w:hAnsi="Times New Roman"/>
          <w:i w:val="0"/>
          <w:sz w:val="22"/>
          <w:szCs w:val="22"/>
          <w:lang w:val="el-GR"/>
        </w:rPr>
        <w:tab/>
        <w:t>Υπερδοσολογία</w:t>
      </w:r>
    </w:p>
    <w:p w:rsidR="006A0546" w:rsidRPr="00281F10" w:rsidRDefault="006A0546" w:rsidP="005F04EA">
      <w:pPr>
        <w:spacing w:line="240" w:lineRule="auto"/>
        <w:rPr>
          <w:i/>
          <w:szCs w:val="22"/>
          <w:lang w:val="el-GR"/>
        </w:rPr>
      </w:pPr>
    </w:p>
    <w:p w:rsidR="00A468CB" w:rsidRDefault="00A468CB" w:rsidP="005F04EA">
      <w:pPr>
        <w:spacing w:line="240" w:lineRule="auto"/>
        <w:rPr>
          <w:i/>
          <w:szCs w:val="22"/>
          <w:lang w:val="el-GR"/>
        </w:rPr>
      </w:pPr>
      <w:r>
        <w:rPr>
          <w:i/>
          <w:szCs w:val="22"/>
          <w:lang w:val="el-GR"/>
        </w:rPr>
        <w:t>Συμπτώματα</w:t>
      </w:r>
    </w:p>
    <w:p w:rsidR="00847B4F" w:rsidRPr="00281F10" w:rsidRDefault="001F2496" w:rsidP="005F04EA">
      <w:pPr>
        <w:spacing w:line="240" w:lineRule="auto"/>
        <w:rPr>
          <w:b/>
          <w:szCs w:val="22"/>
          <w:lang w:val="el-GR"/>
        </w:rPr>
      </w:pPr>
      <w:r w:rsidRPr="00281F10">
        <w:rPr>
          <w:szCs w:val="22"/>
          <w:lang w:val="el-GR"/>
        </w:rPr>
        <w:t xml:space="preserve">Η εμπειρία με την υπερδοσολογία ταπενταδόλης </w:t>
      </w:r>
      <w:r w:rsidR="00A468CB">
        <w:rPr>
          <w:szCs w:val="22"/>
          <w:lang w:val="el-GR"/>
        </w:rPr>
        <w:t xml:space="preserve">σε ανθρώπους </w:t>
      </w:r>
      <w:r w:rsidRPr="00281F10">
        <w:rPr>
          <w:szCs w:val="22"/>
          <w:lang w:val="el-GR"/>
        </w:rPr>
        <w:t>είναι πολύ περιορισμένη. Τα προκλινικά δεδομένα υποδεικνύουν ότι σε περίπτωση δηλητηρίασης με ταπενταδόλη, αναμένονται συμπτώματα παρόμοια με αυτά άλλων αναλγητικών κεντρικής δράσης με δράση αγωνιστή στον υποδοχέα mu οπιοειδών . Κατά κύριο λόγο, τα συμπτώματα αυτά περιλαμβάνουν, ανάλογα με τις κλινικές συνθήκες, ιδιαίτερα μύση, έμετο, καρδιαγγειακή κατάρρευση, διαταραχές της συνειδήσεως έως και κώμα, σπασμούς και αναπνευστική καταστολή έως αναπνευστική ανακοπή.</w:t>
      </w:r>
    </w:p>
    <w:p w:rsidR="00847B4F" w:rsidRPr="00281F10" w:rsidRDefault="00847B4F" w:rsidP="005F04EA">
      <w:pPr>
        <w:spacing w:line="240" w:lineRule="auto"/>
        <w:rPr>
          <w:szCs w:val="22"/>
          <w:lang w:val="el-GR"/>
        </w:rPr>
      </w:pPr>
    </w:p>
    <w:p w:rsidR="00847B4F" w:rsidRPr="00281F10" w:rsidRDefault="001F2496" w:rsidP="005F04EA">
      <w:pPr>
        <w:spacing w:line="240" w:lineRule="auto"/>
        <w:rPr>
          <w:i/>
          <w:szCs w:val="22"/>
          <w:lang w:val="el-GR"/>
        </w:rPr>
      </w:pPr>
      <w:r w:rsidRPr="00281F10">
        <w:rPr>
          <w:i/>
          <w:szCs w:val="22"/>
          <w:lang w:val="el-GR"/>
        </w:rPr>
        <w:t xml:space="preserve">Αντιμετώπιση </w:t>
      </w:r>
    </w:p>
    <w:p w:rsidR="00847B4F" w:rsidRPr="00281F10" w:rsidRDefault="001F2496" w:rsidP="005F04EA">
      <w:pPr>
        <w:spacing w:line="240" w:lineRule="auto"/>
        <w:rPr>
          <w:szCs w:val="22"/>
          <w:lang w:val="el-GR"/>
        </w:rPr>
      </w:pPr>
      <w:r w:rsidRPr="00281F10">
        <w:rPr>
          <w:szCs w:val="22"/>
          <w:lang w:val="el-GR"/>
        </w:rPr>
        <w:t xml:space="preserve">Η αντιμετώπιση της υπερδοσολογίας πρέπει να επικεντρώνεται στη θεραπεία των συμπτωμάτων της δράσης αγωνιστού στον υποδοχέα </w:t>
      </w:r>
      <w:r w:rsidRPr="00281F10">
        <w:rPr>
          <w:szCs w:val="22"/>
        </w:rPr>
        <w:t>mu</w:t>
      </w:r>
      <w:r w:rsidRPr="00281F10">
        <w:rPr>
          <w:szCs w:val="22"/>
          <w:lang w:val="el-GR"/>
        </w:rPr>
        <w:t xml:space="preserve"> οπιοειδών. Πρέπει να δίνεται αρχικά προσοχή στην εξασφάλιση βατού αεραγωγού και στην εγκατάσταση υποβοηθούμενου ή ελεγχόμενου αερισμού, όταν πιθανολογείται υπερδοσολογία ταπενταδόλης. </w:t>
      </w:r>
    </w:p>
    <w:p w:rsidR="00847B4F" w:rsidRPr="00281F10" w:rsidRDefault="001F2496" w:rsidP="005F04EA">
      <w:pPr>
        <w:spacing w:line="240" w:lineRule="auto"/>
        <w:rPr>
          <w:szCs w:val="22"/>
          <w:lang w:val="el-GR"/>
        </w:rPr>
      </w:pPr>
      <w:r w:rsidRPr="00281F10">
        <w:rPr>
          <w:szCs w:val="22"/>
          <w:lang w:val="el-GR"/>
        </w:rPr>
        <w:lastRenderedPageBreak/>
        <w:t>Οι γνήσιοι ανταγωνιστές του υποδοχέα οπιοειδών όπως είναι η ναλοξόνη συνιστούν ειδικά αντίδοτα της αναπνευστικής καταστολής που είναι αποτέλεσμα της υπερδοσολογίας οπιοειδών. Η αναπνευστική καταστολή μετά από την υπερδοσολογία μπορεί να ξεπεράσει τη διάρκεια δράσης του ανταγωνιστή του υποδοχέα οπιοειδών. Η χορήγηση ανταγωνιστή του υποδοχέα οπιοειδών δεν υποκαθιστά τη συνεχή παρακολούθηση του αεραγωγού, την αναπνοή και την κυκλοφορία μετά από υπερδοσολογία οπιοειδών. Αν η ανταπόκριση στους ανταγωνιστές του υποδοχέα οπιοειδών είναι υποβέλτιστη ή πολύ σύντομη ως προς τη φύση της, πρέπει να χορηγηθεί πρόσθετη δόση ανταγωνιστή (π.χ. ναλοξόνη) σύμφωνα με τις οδηγίες του παρασκευαστή του προϊόντος.</w:t>
      </w:r>
    </w:p>
    <w:p w:rsidR="00847B4F" w:rsidRPr="00281F10" w:rsidRDefault="001F2496" w:rsidP="005F04EA">
      <w:pPr>
        <w:spacing w:line="240" w:lineRule="auto"/>
        <w:rPr>
          <w:szCs w:val="22"/>
          <w:lang w:val="el-GR"/>
        </w:rPr>
      </w:pPr>
      <w:r w:rsidRPr="00281F10">
        <w:rPr>
          <w:szCs w:val="22"/>
          <w:lang w:val="el-GR"/>
        </w:rPr>
        <w:t>Μπορεί να ληφθεί υπόψη το ενδεχόμενο γαστρεντερικής κάθαρσης</w:t>
      </w:r>
      <w:r w:rsidR="00847B4F" w:rsidRPr="00281F10">
        <w:rPr>
          <w:szCs w:val="22"/>
          <w:lang w:val="el-GR"/>
        </w:rPr>
        <w:t xml:space="preserve"> προκειμένου να απομακρυνθεί η </w:t>
      </w:r>
      <w:r w:rsidR="000762CD" w:rsidRPr="00281F10">
        <w:rPr>
          <w:szCs w:val="22"/>
          <w:lang w:val="el-GR"/>
        </w:rPr>
        <w:t xml:space="preserve">μη απορροφημένη </w:t>
      </w:r>
      <w:r w:rsidR="00847B4F" w:rsidRPr="00281F10">
        <w:rPr>
          <w:szCs w:val="22"/>
          <w:lang w:val="el-GR"/>
        </w:rPr>
        <w:t xml:space="preserve">δραστική ουσία. Το ενδεχόμενο </w:t>
      </w:r>
      <w:r w:rsidRPr="00281F10">
        <w:rPr>
          <w:szCs w:val="22"/>
          <w:lang w:val="el-GR"/>
        </w:rPr>
        <w:t>γαστρεντερικής κάθαρσης</w:t>
      </w:r>
      <w:r w:rsidR="00847B4F" w:rsidRPr="00281F10">
        <w:rPr>
          <w:szCs w:val="22"/>
          <w:lang w:val="el-GR"/>
        </w:rPr>
        <w:t xml:space="preserve"> με </w:t>
      </w:r>
      <w:r w:rsidRPr="00281F10">
        <w:rPr>
          <w:szCs w:val="22"/>
          <w:lang w:val="el-GR"/>
        </w:rPr>
        <w:t>ενεργό άνθρακα ή πλύσης στομάχου μπορεί να ληφθεί υπόψη σε διάστημα 2 ωρών μετά από την πρόσληψη. Πριν γίνει απόπειρα γιαεγαστρεντερική κάθαρση</w:t>
      </w:r>
      <w:r w:rsidR="00847B4F" w:rsidRPr="00281F10">
        <w:rPr>
          <w:szCs w:val="22"/>
          <w:lang w:val="el-GR"/>
        </w:rPr>
        <w:t xml:space="preserve">, </w:t>
      </w:r>
      <w:r w:rsidR="008D424F" w:rsidRPr="00281F10">
        <w:rPr>
          <w:szCs w:val="22"/>
          <w:lang w:val="el-GR"/>
        </w:rPr>
        <w:t>πρέπει</w:t>
      </w:r>
      <w:r w:rsidR="00847B4F" w:rsidRPr="00281F10">
        <w:rPr>
          <w:szCs w:val="22"/>
          <w:lang w:val="el-GR"/>
        </w:rPr>
        <w:t xml:space="preserve"> να </w:t>
      </w:r>
      <w:r w:rsidRPr="00281F10">
        <w:rPr>
          <w:szCs w:val="22"/>
          <w:lang w:val="el-GR"/>
        </w:rPr>
        <w:t>διασφαλιστεί η βατότητα του αεραγωγού.</w:t>
      </w:r>
    </w:p>
    <w:p w:rsidR="00847B4F" w:rsidRPr="00281F10" w:rsidRDefault="00847B4F" w:rsidP="005F04EA">
      <w:pPr>
        <w:spacing w:line="240" w:lineRule="auto"/>
        <w:rPr>
          <w:szCs w:val="22"/>
          <w:lang w:val="el-GR"/>
        </w:rPr>
      </w:pPr>
    </w:p>
    <w:p w:rsidR="00847B4F" w:rsidRPr="00281F10" w:rsidRDefault="00847B4F" w:rsidP="005F04EA">
      <w:pPr>
        <w:spacing w:line="240" w:lineRule="auto"/>
        <w:rPr>
          <w:szCs w:val="22"/>
          <w:lang w:val="el-GR"/>
        </w:rPr>
      </w:pPr>
    </w:p>
    <w:p w:rsidR="00847B4F" w:rsidRPr="00281F10" w:rsidRDefault="001F2496" w:rsidP="005F04EA">
      <w:pPr>
        <w:pStyle w:val="1"/>
        <w:spacing w:before="0" w:after="0" w:line="240" w:lineRule="auto"/>
        <w:rPr>
          <w:sz w:val="22"/>
          <w:szCs w:val="22"/>
          <w:lang w:val="el-GR"/>
        </w:rPr>
      </w:pPr>
      <w:r w:rsidRPr="00281F10">
        <w:rPr>
          <w:sz w:val="22"/>
          <w:szCs w:val="22"/>
          <w:lang w:val="el-GR"/>
        </w:rPr>
        <w:t>5.</w:t>
      </w:r>
      <w:r w:rsidRPr="00281F10">
        <w:rPr>
          <w:sz w:val="22"/>
          <w:szCs w:val="22"/>
          <w:lang w:val="el-GR"/>
        </w:rPr>
        <w:tab/>
        <w:t>ΦΑΡΜΑΚΟΛΟΓΙΚΕΣ ΙΔΙΟΤΗΤΕΣ</w:t>
      </w:r>
    </w:p>
    <w:p w:rsidR="006A0546" w:rsidRPr="00281F10" w:rsidRDefault="006A0546" w:rsidP="005F04EA">
      <w:pPr>
        <w:pStyle w:val="2"/>
        <w:spacing w:before="0" w:after="0" w:line="240" w:lineRule="auto"/>
        <w:rPr>
          <w:rFonts w:ascii="Times New Roman" w:hAnsi="Times New Roman"/>
          <w:i w:val="0"/>
          <w:sz w:val="22"/>
          <w:szCs w:val="22"/>
          <w:lang w:val="el-GR"/>
        </w:rPr>
      </w:pPr>
    </w:p>
    <w:p w:rsidR="00847B4F" w:rsidRPr="00281F10" w:rsidRDefault="00D31B6E" w:rsidP="005F04EA">
      <w:pPr>
        <w:pStyle w:val="2"/>
        <w:spacing w:before="0" w:after="0" w:line="240" w:lineRule="auto"/>
        <w:rPr>
          <w:rFonts w:ascii="Times New Roman" w:hAnsi="Times New Roman"/>
          <w:i w:val="0"/>
          <w:sz w:val="22"/>
          <w:szCs w:val="22"/>
          <w:lang w:val="el-GR"/>
        </w:rPr>
      </w:pPr>
      <w:r w:rsidRPr="00281F10">
        <w:rPr>
          <w:rFonts w:ascii="Times New Roman" w:hAnsi="Times New Roman"/>
          <w:i w:val="0"/>
          <w:sz w:val="22"/>
          <w:szCs w:val="22"/>
          <w:lang w:val="el-GR"/>
        </w:rPr>
        <w:t>5.1</w:t>
      </w:r>
      <w:r w:rsidRPr="00281F10">
        <w:rPr>
          <w:rFonts w:ascii="Times New Roman" w:hAnsi="Times New Roman"/>
          <w:i w:val="0"/>
          <w:sz w:val="22"/>
          <w:szCs w:val="22"/>
          <w:lang w:val="el-GR"/>
        </w:rPr>
        <w:tab/>
        <w:t>Φαρμακοδυναμικές ιδιότητες</w:t>
      </w:r>
    </w:p>
    <w:p w:rsidR="006A0546" w:rsidRPr="00281F10" w:rsidRDefault="006A0546" w:rsidP="005F04EA">
      <w:pPr>
        <w:spacing w:line="240" w:lineRule="auto"/>
        <w:rPr>
          <w:szCs w:val="22"/>
          <w:lang w:val="el-GR"/>
        </w:rPr>
      </w:pPr>
    </w:p>
    <w:p w:rsidR="00847B4F" w:rsidRPr="00281F10" w:rsidRDefault="001F2496" w:rsidP="005F04EA">
      <w:pPr>
        <w:spacing w:line="240" w:lineRule="auto"/>
        <w:rPr>
          <w:szCs w:val="22"/>
          <w:lang w:val="el-GR"/>
        </w:rPr>
      </w:pPr>
      <w:r w:rsidRPr="00281F10">
        <w:rPr>
          <w:szCs w:val="22"/>
          <w:lang w:val="el-GR"/>
        </w:rPr>
        <w:t>Φαρμακοθεραπευτική ομάδα: Αναλγητικά, οπιοειδή, λοιπά οπιοειδή</w:t>
      </w:r>
    </w:p>
    <w:p w:rsidR="00847B4F" w:rsidRPr="00281F10" w:rsidRDefault="001F2496" w:rsidP="005F04EA">
      <w:pPr>
        <w:spacing w:line="240" w:lineRule="auto"/>
        <w:rPr>
          <w:szCs w:val="22"/>
          <w:lang w:val="el-GR"/>
        </w:rPr>
      </w:pPr>
      <w:r w:rsidRPr="00281F10">
        <w:rPr>
          <w:szCs w:val="22"/>
          <w:lang w:val="el-GR"/>
        </w:rPr>
        <w:t xml:space="preserve">Κωδικός ATC: </w:t>
      </w:r>
      <w:r w:rsidRPr="00281F10">
        <w:rPr>
          <w:rStyle w:val="af"/>
          <w:b w:val="0"/>
          <w:szCs w:val="22"/>
          <w:lang w:val="el-GR"/>
        </w:rPr>
        <w:t>N02AX06</w:t>
      </w:r>
    </w:p>
    <w:p w:rsidR="00847B4F" w:rsidRPr="00281F10" w:rsidRDefault="00847B4F" w:rsidP="005F04EA">
      <w:pPr>
        <w:spacing w:line="240" w:lineRule="auto"/>
        <w:rPr>
          <w:b/>
          <w:szCs w:val="22"/>
          <w:lang w:val="el-GR"/>
        </w:rPr>
      </w:pPr>
    </w:p>
    <w:p w:rsidR="002746F7" w:rsidRDefault="002746F7" w:rsidP="005F04EA">
      <w:pPr>
        <w:spacing w:line="240" w:lineRule="auto"/>
        <w:rPr>
          <w:szCs w:val="22"/>
          <w:lang w:val="el-GR"/>
        </w:rPr>
      </w:pPr>
      <w:r w:rsidRPr="006E472E">
        <w:rPr>
          <w:szCs w:val="22"/>
          <w:lang w:val="el-GR"/>
        </w:rPr>
        <w:t>Η ταπενταδόλη είναι ένα ισχυρό αναλγητικό με ιδιότητες αγωνιστού του μ</w:t>
      </w:r>
      <w:r>
        <w:rPr>
          <w:szCs w:val="22"/>
          <w:lang w:val="el-GR"/>
        </w:rPr>
        <w:t>-</w:t>
      </w:r>
      <w:r w:rsidRPr="006E472E">
        <w:rPr>
          <w:szCs w:val="22"/>
          <w:lang w:val="el-GR"/>
        </w:rPr>
        <w:t>υποδοχέα των οπιοειδών και επιπρόσθετα αναστολής της επαναπρόσληψης της νοραδρεναλίνης. Η ταπενταδόλη ασκεί την αναλγητική της δράση απευθείας χωρίς φαρμακολογικά δραστικό μεταβολίτη.</w:t>
      </w:r>
    </w:p>
    <w:p w:rsidR="00847B4F" w:rsidRPr="00281F10" w:rsidRDefault="00847B4F" w:rsidP="005F04EA">
      <w:pPr>
        <w:spacing w:line="240" w:lineRule="auto"/>
        <w:rPr>
          <w:szCs w:val="22"/>
          <w:lang w:val="el-GR"/>
        </w:rPr>
      </w:pPr>
    </w:p>
    <w:p w:rsidR="00847B4F" w:rsidRPr="00281F10" w:rsidRDefault="001F2496" w:rsidP="005F04EA">
      <w:pPr>
        <w:spacing w:line="240" w:lineRule="auto"/>
        <w:rPr>
          <w:szCs w:val="22"/>
          <w:lang w:val="el-GR"/>
        </w:rPr>
      </w:pPr>
      <w:r w:rsidRPr="00281F10">
        <w:rPr>
          <w:szCs w:val="22"/>
          <w:lang w:val="el-GR"/>
        </w:rPr>
        <w:t>Η</w:t>
      </w:r>
      <w:r w:rsidR="002746F7">
        <w:rPr>
          <w:szCs w:val="22"/>
          <w:lang w:val="el-GR"/>
        </w:rPr>
        <w:t xml:space="preserve"> ταπενταδόλη</w:t>
      </w:r>
      <w:r w:rsidRPr="00281F10">
        <w:rPr>
          <w:szCs w:val="22"/>
          <w:lang w:val="el-GR"/>
        </w:rPr>
        <w:t xml:space="preserve"> επέδειξε αποτελεσματικότητα σε προκλινικά μοντέλα αλγαισθητικού, νευροπαθητικού, σπλαγχνικού και φλεγμονώδους πόνου. Η αποτελεσματικότητα έχει επαληθευτεί σε κλινικές δοκιμές με επικαλυμμένα με λεπτό υμένιο δισκία ταπενταδόλης σε συνθήκες αλγαισθητικού πόνου, συμπεριλαμβανομένου του μετεγχειρητικού ορθοπαιδικού και κοιλιακού πόνου καθώς και του χρόνιου πόνου λόγω οστεοαρθρίτιδας στο ισχίο ή το γόνατο. Σε γενικές γραμμές, η αναλγητική επίδραση της ταπενταδόλης σε μελέτες αλγαισθητικού πόνου ήταν παρόμοια με αυτή που παρατηρήθηκε με ισχυρό οπιοειδές που χρησιμοποιήθηκε ως ουσία σύγκρισης.</w:t>
      </w:r>
    </w:p>
    <w:p w:rsidR="00F9261B" w:rsidRPr="00281F10" w:rsidRDefault="00F9261B" w:rsidP="005F04EA">
      <w:pPr>
        <w:spacing w:line="240" w:lineRule="auto"/>
        <w:rPr>
          <w:szCs w:val="22"/>
          <w:lang w:val="el-GR"/>
        </w:rPr>
      </w:pPr>
    </w:p>
    <w:p w:rsidR="00847B4F" w:rsidRPr="00281F10" w:rsidRDefault="00847B4F" w:rsidP="005F04EA">
      <w:pPr>
        <w:spacing w:line="240" w:lineRule="auto"/>
        <w:rPr>
          <w:szCs w:val="22"/>
          <w:lang w:val="el-GR"/>
        </w:rPr>
      </w:pPr>
      <w:r w:rsidRPr="00281F10">
        <w:rPr>
          <w:szCs w:val="22"/>
          <w:lang w:val="el-GR"/>
        </w:rPr>
        <w:t>Ε</w:t>
      </w:r>
      <w:r w:rsidR="001F2496" w:rsidRPr="00281F10">
        <w:rPr>
          <w:szCs w:val="22"/>
          <w:lang w:val="el-GR"/>
        </w:rPr>
        <w:t>πιδράσεις στο καρδιαγγειακό σύστημα: Σε μια εκτενή μελέτη του διαστήματος QT σε ανθρώπους, δεν καταδείχθηκε καμία επίδραση των πολλαπλών θεραπευτικών και υπερθεραπευτικών δόσεων της ταπενταδόλης στο διάστημα QT. Αντίστοιχα, η ταπενταδόλη δεν είχε παρόμοια επίδραση στις λοιπές παραμέτρους του ΗΚΓ (καρδιακή συχνότητα, διάστημα PR, διάρκεια QRS, κύμα Τ ή μορφολογία κύματος U).</w:t>
      </w:r>
    </w:p>
    <w:p w:rsidR="0098619A" w:rsidRPr="00281F10" w:rsidRDefault="0098619A" w:rsidP="005F04EA">
      <w:pPr>
        <w:spacing w:line="240" w:lineRule="auto"/>
        <w:rPr>
          <w:szCs w:val="22"/>
          <w:lang w:val="el-GR"/>
        </w:rPr>
      </w:pPr>
    </w:p>
    <w:p w:rsidR="0098619A" w:rsidRPr="003718E0" w:rsidRDefault="001F2496" w:rsidP="005F04EA">
      <w:pPr>
        <w:spacing w:line="240" w:lineRule="auto"/>
        <w:rPr>
          <w:i/>
          <w:noProof/>
          <w:szCs w:val="22"/>
          <w:lang w:val="el-GR"/>
        </w:rPr>
      </w:pPr>
      <w:r w:rsidRPr="003718E0">
        <w:rPr>
          <w:i/>
          <w:noProof/>
          <w:szCs w:val="22"/>
          <w:lang w:val="el-GR"/>
        </w:rPr>
        <w:t>Παιδιατρικός πληθυσμός</w:t>
      </w:r>
    </w:p>
    <w:p w:rsidR="004E6A42" w:rsidRPr="00281F10" w:rsidRDefault="001F2496" w:rsidP="005F04EA">
      <w:pPr>
        <w:spacing w:line="240" w:lineRule="auto"/>
        <w:rPr>
          <w:szCs w:val="22"/>
          <w:lang w:val="el-GR"/>
        </w:rPr>
      </w:pPr>
      <w:r w:rsidRPr="003718E0">
        <w:rPr>
          <w:noProof/>
          <w:szCs w:val="22"/>
          <w:lang w:val="el-GR"/>
        </w:rPr>
        <w:t xml:space="preserve">Ο Ευρωπαϊκός Οργανισμός Φαρμάκων έχει δώσει αναβολή από την υποχρέωση υποβολής των αποτελεσμάτων των μελετών με το </w:t>
      </w:r>
      <w:r w:rsidRPr="003718E0">
        <w:rPr>
          <w:noProof/>
          <w:szCs w:val="22"/>
        </w:rPr>
        <w:t>PALEXIA</w:t>
      </w:r>
      <w:r w:rsidRPr="003718E0">
        <w:rPr>
          <w:noProof/>
          <w:szCs w:val="22"/>
          <w:lang w:val="el-GR"/>
        </w:rPr>
        <w:t xml:space="preserve"> σε όλες τις υποκατηγορίες του παιδιατρικού πληθυσμού στο </w:t>
      </w:r>
      <w:r w:rsidR="00B36ABD" w:rsidRPr="003718E0">
        <w:rPr>
          <w:noProof/>
          <w:szCs w:val="22"/>
          <w:lang w:val="el-GR"/>
        </w:rPr>
        <w:t>μέτριο έως σοβαρό οξύ</w:t>
      </w:r>
      <w:r w:rsidRPr="003718E0">
        <w:rPr>
          <w:noProof/>
          <w:szCs w:val="22"/>
          <w:lang w:val="el-GR"/>
        </w:rPr>
        <w:t xml:space="preserve"> πόνο </w:t>
      </w:r>
      <w:r w:rsidR="004E03E1">
        <w:rPr>
          <w:noProof/>
          <w:szCs w:val="22"/>
          <w:lang w:val="el-GR"/>
        </w:rPr>
        <w:t>(β</w:t>
      </w:r>
      <w:r w:rsidRPr="003718E0">
        <w:rPr>
          <w:noProof/>
          <w:szCs w:val="22"/>
          <w:lang w:val="el-GR"/>
        </w:rPr>
        <w:t>λέπε παράγραφο 4.2 για πληροφορίες σχετικά με την παιδιατρική χρήση</w:t>
      </w:r>
      <w:r w:rsidR="004E03E1">
        <w:rPr>
          <w:noProof/>
          <w:szCs w:val="22"/>
          <w:lang w:val="el-GR"/>
        </w:rPr>
        <w:t>)</w:t>
      </w:r>
      <w:r w:rsidRPr="003718E0">
        <w:rPr>
          <w:noProof/>
          <w:szCs w:val="22"/>
          <w:lang w:val="el-GR"/>
        </w:rPr>
        <w:t>.</w:t>
      </w:r>
    </w:p>
    <w:p w:rsidR="00847B4F" w:rsidRPr="00281F10" w:rsidRDefault="00847B4F" w:rsidP="005F04EA">
      <w:pPr>
        <w:spacing w:line="240" w:lineRule="auto"/>
        <w:rPr>
          <w:szCs w:val="22"/>
          <w:lang w:val="el-GR"/>
        </w:rPr>
      </w:pPr>
    </w:p>
    <w:p w:rsidR="00847B4F" w:rsidRPr="00281F10" w:rsidRDefault="00D31B6E" w:rsidP="005F04EA">
      <w:pPr>
        <w:pStyle w:val="2"/>
        <w:spacing w:before="0" w:after="0" w:line="240" w:lineRule="auto"/>
        <w:rPr>
          <w:rFonts w:ascii="Times New Roman" w:hAnsi="Times New Roman"/>
          <w:sz w:val="22"/>
          <w:szCs w:val="22"/>
          <w:lang w:val="el-GR"/>
        </w:rPr>
      </w:pPr>
      <w:r w:rsidRPr="00281F10">
        <w:rPr>
          <w:rFonts w:ascii="Times New Roman" w:hAnsi="Times New Roman"/>
          <w:i w:val="0"/>
          <w:sz w:val="22"/>
          <w:szCs w:val="22"/>
          <w:lang w:val="el-GR"/>
        </w:rPr>
        <w:t>5.2</w:t>
      </w:r>
      <w:r w:rsidRPr="00281F10">
        <w:rPr>
          <w:rFonts w:ascii="Times New Roman" w:hAnsi="Times New Roman"/>
          <w:i w:val="0"/>
          <w:sz w:val="22"/>
          <w:szCs w:val="22"/>
          <w:lang w:val="el-GR"/>
        </w:rPr>
        <w:tab/>
        <w:t>Φαρμακοκινητικές ιδιότητες</w:t>
      </w:r>
    </w:p>
    <w:p w:rsidR="006A0546" w:rsidRPr="00281F10" w:rsidRDefault="006A0546" w:rsidP="005F04EA">
      <w:pPr>
        <w:spacing w:line="240" w:lineRule="auto"/>
        <w:rPr>
          <w:i/>
          <w:szCs w:val="22"/>
          <w:lang w:val="el-GR"/>
        </w:rPr>
      </w:pPr>
    </w:p>
    <w:p w:rsidR="00847B4F" w:rsidRPr="00281F10" w:rsidRDefault="001F2496" w:rsidP="005F04EA">
      <w:pPr>
        <w:spacing w:line="240" w:lineRule="auto"/>
        <w:rPr>
          <w:i/>
          <w:szCs w:val="22"/>
          <w:lang w:val="el-GR"/>
        </w:rPr>
      </w:pPr>
      <w:r w:rsidRPr="00281F10">
        <w:rPr>
          <w:i/>
          <w:szCs w:val="22"/>
          <w:lang w:val="el-GR"/>
        </w:rPr>
        <w:t>Απορρόφηση</w:t>
      </w:r>
    </w:p>
    <w:p w:rsidR="00847B4F" w:rsidRPr="00281F10" w:rsidRDefault="001F2496" w:rsidP="005F04EA">
      <w:pPr>
        <w:spacing w:line="240" w:lineRule="auto"/>
        <w:rPr>
          <w:szCs w:val="22"/>
          <w:lang w:val="el-GR"/>
        </w:rPr>
      </w:pPr>
      <w:r w:rsidRPr="00281F10">
        <w:rPr>
          <w:szCs w:val="22"/>
          <w:lang w:val="el-GR"/>
        </w:rPr>
        <w:t>Η ταπενταδόλη απορροφάται ταχέως και πλήρως μετά από του στόματος χορήγηση του PALEXIA. Η μέση απόλυτη βιοδιαθεσιμότητα μετά από χορήγηση μίας δόσης (σε νηστεία) είναι περίπου 32% λόγω του εκτενούς μεταβολισμού πρώτης διόδου. Οι μέγιστες συγκεντρώσεις της ταπενταδόλης στον ορό συνήθως παρατηρούνται περίπου 1,25 ώρα μετά από τη χορήγηση δισκίων επικαλυμμένων με λεπτό υμένιο. Έχουν παρατηρηθεί δοσοεξαρτώμενες αυξήσεις στις τιμές της C</w:t>
      </w:r>
      <w:r w:rsidRPr="00281F10">
        <w:rPr>
          <w:szCs w:val="22"/>
          <w:vertAlign w:val="subscript"/>
          <w:lang w:val="el-GR"/>
        </w:rPr>
        <w:t>max</w:t>
      </w:r>
      <w:r w:rsidRPr="00281F10">
        <w:rPr>
          <w:szCs w:val="22"/>
          <w:lang w:val="el-GR"/>
        </w:rPr>
        <w:t xml:space="preserve"> και AUC μετά από τη χορήγηση δισκίων επικαλυμμένων με λεπτό υμένιο στο από του στόματος λαμβανόμενο θεραπευτικό δοσολογικό εύρος.</w:t>
      </w:r>
    </w:p>
    <w:p w:rsidR="00847B4F" w:rsidRPr="00281F10" w:rsidRDefault="001F2496" w:rsidP="005F04EA">
      <w:pPr>
        <w:spacing w:line="240" w:lineRule="auto"/>
        <w:rPr>
          <w:szCs w:val="22"/>
          <w:lang w:val="el-GR"/>
        </w:rPr>
      </w:pPr>
      <w:r w:rsidRPr="00281F10">
        <w:rPr>
          <w:szCs w:val="22"/>
          <w:lang w:val="el-GR"/>
        </w:rPr>
        <w:lastRenderedPageBreak/>
        <w:t>Μια μελέτη πολλαπλών δόσεων (κάθε 6 ώρες) με δόσεις που ποίκιλαν από 75 έως 175 mg ταπενταδόλης χορηγούμενης ως επικαλυμμένα με λεπτό υμένιο δισκία έδειξε αναλογία συγκέντρωσης μεταξύ 1,4 και 1,7 για την αρχική δραστική ουσία και μεταξύ 1,7 και 2,0 για τον κύριο μεταβολίτη ταπενταδόλ-Ο-γλυκουρονιδίου, τα οποία καθορίζονται κυρίως από το δοσολογικό διάστημα και τη φαινόμενη ημιπερίοδο της ταπενταδόλης και του μεταβολίτη της.</w:t>
      </w:r>
      <w:r w:rsidR="00C57B2E">
        <w:rPr>
          <w:szCs w:val="22"/>
          <w:lang w:val="el-GR"/>
        </w:rPr>
        <w:t xml:space="preserve"> </w:t>
      </w:r>
      <w:r w:rsidR="00C57B2E" w:rsidRPr="00C57B2E">
        <w:rPr>
          <w:szCs w:val="22"/>
          <w:lang w:val="el-GR"/>
        </w:rPr>
        <w:t>Οι συγκεντρώσεις της ταπενταδόλης στον ορό σε σταθερή κατάσταση επιτυγχάνονται τη δεύτερη ημέρα του θεραπευτικού σχήματος.</w:t>
      </w:r>
    </w:p>
    <w:p w:rsidR="00847B4F" w:rsidRPr="00281F10" w:rsidRDefault="00847B4F" w:rsidP="005F04EA">
      <w:pPr>
        <w:spacing w:line="240" w:lineRule="auto"/>
        <w:rPr>
          <w:szCs w:val="22"/>
          <w:lang w:val="el-GR"/>
        </w:rPr>
      </w:pPr>
    </w:p>
    <w:p w:rsidR="00847B4F" w:rsidRPr="00281F10" w:rsidRDefault="001F2496" w:rsidP="005F04EA">
      <w:pPr>
        <w:spacing w:line="240" w:lineRule="auto"/>
        <w:rPr>
          <w:i/>
          <w:szCs w:val="22"/>
          <w:lang w:val="el-GR"/>
        </w:rPr>
      </w:pPr>
      <w:r w:rsidRPr="00281F10">
        <w:rPr>
          <w:i/>
          <w:szCs w:val="22"/>
          <w:lang w:val="el-GR"/>
        </w:rPr>
        <w:t xml:space="preserve">Επίδραση </w:t>
      </w:r>
      <w:r w:rsidR="009E278F">
        <w:rPr>
          <w:i/>
          <w:szCs w:val="22"/>
          <w:lang w:val="el-GR"/>
        </w:rPr>
        <w:t>της τροφής</w:t>
      </w:r>
    </w:p>
    <w:p w:rsidR="00847B4F" w:rsidRPr="00281F10" w:rsidRDefault="001F2496" w:rsidP="005F04EA">
      <w:pPr>
        <w:spacing w:line="240" w:lineRule="auto"/>
        <w:rPr>
          <w:szCs w:val="22"/>
          <w:lang w:val="el-GR"/>
        </w:rPr>
      </w:pPr>
      <w:r w:rsidRPr="00281F10">
        <w:rPr>
          <w:szCs w:val="22"/>
          <w:lang w:val="el-GR"/>
        </w:rPr>
        <w:t>Η AUC και η C</w:t>
      </w:r>
      <w:r w:rsidRPr="00281F10">
        <w:rPr>
          <w:szCs w:val="22"/>
          <w:vertAlign w:val="subscript"/>
          <w:lang w:val="el-GR"/>
        </w:rPr>
        <w:t>max</w:t>
      </w:r>
      <w:r w:rsidRPr="00281F10">
        <w:rPr>
          <w:szCs w:val="22"/>
          <w:lang w:val="el-GR"/>
        </w:rPr>
        <w:t xml:space="preserve"> αυξήθηκαν κατά 25% και 16%, αντίστοιχα, όταν τα επικαλυμμένα με λεπτό υμένιο δισκία χορηγήθηκαν μετά από πρωινό γεύμα πλούσιο σε λιπαρά και θερμίδες. </w:t>
      </w:r>
      <w:r w:rsidRPr="00281F10">
        <w:rPr>
          <w:bCs/>
          <w:iCs/>
          <w:szCs w:val="22"/>
          <w:lang w:val="el-GR"/>
        </w:rPr>
        <w:t xml:space="preserve">Ο χρόνος έως τη μέγιστη συγκέντρωση στο πλάσμα καθυστέρησε κατά 1,5 ώρες σε αυτές τις συνθήκες. </w:t>
      </w:r>
      <w:r w:rsidRPr="00281F10">
        <w:rPr>
          <w:szCs w:val="22"/>
          <w:lang w:val="el-GR"/>
        </w:rPr>
        <w:t>Βάσει των δεδομένων αποτελεσματικότητας που πάρθηκαν σε χρονικά σημεία πρώιμης αξιολόγησης κατά τη διάρκεια των μελετών φάσης ΙΙ/ΙΙΙ, η επίδραση στο φαγητό δεν φαίνεται να είναι κλινικά σχετική. Το PALEXIA μπορεί να λαμβάνεται με ή χωρίς φαγητό.</w:t>
      </w:r>
    </w:p>
    <w:p w:rsidR="00EA45C1" w:rsidRPr="00281F10" w:rsidRDefault="00EA45C1" w:rsidP="005F04EA">
      <w:pPr>
        <w:spacing w:line="240" w:lineRule="auto"/>
        <w:rPr>
          <w:i/>
          <w:szCs w:val="22"/>
          <w:lang w:val="el-GR"/>
        </w:rPr>
      </w:pPr>
    </w:p>
    <w:p w:rsidR="00847B4F" w:rsidRPr="00281F10" w:rsidRDefault="001F2496" w:rsidP="005F04EA">
      <w:pPr>
        <w:spacing w:line="240" w:lineRule="auto"/>
        <w:rPr>
          <w:i/>
          <w:szCs w:val="22"/>
          <w:lang w:val="el-GR"/>
        </w:rPr>
      </w:pPr>
      <w:r w:rsidRPr="00281F10">
        <w:rPr>
          <w:i/>
          <w:szCs w:val="22"/>
          <w:lang w:val="el-GR"/>
        </w:rPr>
        <w:t>Κατανομή</w:t>
      </w:r>
    </w:p>
    <w:p w:rsidR="00847B4F" w:rsidRPr="00281F10" w:rsidRDefault="001F2496" w:rsidP="005F04EA">
      <w:pPr>
        <w:spacing w:line="240" w:lineRule="auto"/>
        <w:rPr>
          <w:szCs w:val="22"/>
          <w:lang w:val="el-GR"/>
        </w:rPr>
      </w:pPr>
      <w:r w:rsidRPr="00281F10">
        <w:rPr>
          <w:szCs w:val="22"/>
          <w:lang w:val="el-GR"/>
        </w:rPr>
        <w:t>Η ταπενταδόλη κατανέμεται ευρέως στο σώμα. Μετά από ενδοφλέβια χορήγηση, ο όγκος κατανομής για την ταπενταδόλη είναι 540 +/- 98 l. Η δέσμευση με πρωτεΐνες ορού είναι χαμηλή και φτάνει περίπου το 20%.</w:t>
      </w:r>
    </w:p>
    <w:p w:rsidR="00847B4F" w:rsidRPr="00281F10" w:rsidRDefault="00847B4F" w:rsidP="005F04EA">
      <w:pPr>
        <w:spacing w:line="240" w:lineRule="auto"/>
        <w:rPr>
          <w:szCs w:val="22"/>
          <w:lang w:val="el-GR"/>
        </w:rPr>
      </w:pPr>
    </w:p>
    <w:p w:rsidR="00847B4F" w:rsidRPr="00281F10" w:rsidRDefault="00296EBD" w:rsidP="005F04EA">
      <w:pPr>
        <w:spacing w:line="240" w:lineRule="auto"/>
        <w:rPr>
          <w:i/>
          <w:szCs w:val="22"/>
          <w:lang w:val="el-GR"/>
        </w:rPr>
      </w:pPr>
      <w:r>
        <w:rPr>
          <w:i/>
          <w:szCs w:val="22"/>
          <w:lang w:val="el-GR"/>
        </w:rPr>
        <w:t>Βιομετασχηματισμός</w:t>
      </w:r>
    </w:p>
    <w:p w:rsidR="00847B4F" w:rsidRPr="00281F10" w:rsidRDefault="001F2496" w:rsidP="005F04EA">
      <w:pPr>
        <w:spacing w:line="240" w:lineRule="auto"/>
        <w:rPr>
          <w:szCs w:val="22"/>
          <w:lang w:val="el-GR"/>
        </w:rPr>
      </w:pPr>
      <w:r w:rsidRPr="00281F10">
        <w:rPr>
          <w:szCs w:val="22"/>
          <w:lang w:val="el-GR"/>
        </w:rPr>
        <w:t xml:space="preserve">Στους ανθρώπους, ο μεταβολισμός της ταπενταδόλης είναι εκτενής. Μεταβολίζεται περίπου το 97% της μητρικής ουσίας. Η κύρια οδός μεταβολισμού της ταπενταδόλης είναι η σύζευξη με το γλυκουρονικό οξύ για την παραγωγή γλυκουρονιδίων. Μετά από την από του στόματος χορήγηση, περίπου το 70% της δόσης εκκρίνεται στα ούρα ως συζευγμένη μορφή (55% γλυκουρονίδιο και 15% θειϊκή ταπενταδόλη). Η </w:t>
      </w:r>
      <w:r w:rsidRPr="00281F10">
        <w:rPr>
          <w:szCs w:val="22"/>
        </w:rPr>
        <w:t>UDP</w:t>
      </w:r>
      <w:r w:rsidRPr="00281F10">
        <w:rPr>
          <w:szCs w:val="22"/>
          <w:lang w:val="el-GR"/>
        </w:rPr>
        <w:t xml:space="preserve"> γλυκουρονυλτρανσφεράση (UGT) είναι το κύριο ένζυμο που συμμετέχει στη γλυκουρονιδίωση (κυρίως οι ισομορφές UGT1A6, UGT1A9 και UGT2B7). Συνολικά, το 3% της δραστικής ουσίας απεκκρίνεται στα ούρα ως αμετάβλητη δραστική ουσία. Η ταπενταδόλη μεταβολίζεται επιπλέον σε Ν-διμεθυλ ταπενταδόλη (13%) από τα CYP2C9 και CYP2C19 και σε υδροξυ ταπενταδόλη (2%) από το CYP2D6, οι οποίες εν συνεχεία μεταβολίζονται μέσω σύζευξης. Επομένως, ο μεταβολισμός της δραστικής ουσίας που γίνεται μέσω του κυτοχρώματος P450 είναι λιγότερο σημαντικός από τη σύζευξη της φάσης 2.</w:t>
      </w:r>
    </w:p>
    <w:p w:rsidR="00847B4F" w:rsidRPr="00281F10" w:rsidRDefault="001F2496" w:rsidP="005F04EA">
      <w:pPr>
        <w:spacing w:line="240" w:lineRule="auto"/>
        <w:rPr>
          <w:szCs w:val="22"/>
          <w:lang w:val="el-GR"/>
        </w:rPr>
      </w:pPr>
      <w:r w:rsidRPr="00281F10">
        <w:rPr>
          <w:szCs w:val="22"/>
          <w:lang w:val="el-GR"/>
        </w:rPr>
        <w:t>Κανένας από τους μεταβολίτες δεν συμβάλλει στην αναλγητική δράση.</w:t>
      </w:r>
    </w:p>
    <w:p w:rsidR="00296EBD" w:rsidRDefault="00296EBD" w:rsidP="005F04EA">
      <w:pPr>
        <w:spacing w:line="240" w:lineRule="auto"/>
        <w:rPr>
          <w:szCs w:val="22"/>
          <w:lang w:val="el-GR"/>
        </w:rPr>
      </w:pPr>
    </w:p>
    <w:p w:rsidR="00296EBD" w:rsidRPr="00296EBD" w:rsidRDefault="00746FCB" w:rsidP="005F04EA">
      <w:pPr>
        <w:spacing w:line="240" w:lineRule="auto"/>
        <w:rPr>
          <w:i/>
          <w:szCs w:val="22"/>
          <w:lang w:val="el-GR"/>
        </w:rPr>
      </w:pPr>
      <w:r>
        <w:rPr>
          <w:i/>
          <w:szCs w:val="22"/>
          <w:lang w:val="el-GR"/>
        </w:rPr>
        <w:t>Αποβολή</w:t>
      </w:r>
    </w:p>
    <w:p w:rsidR="00847B4F" w:rsidRPr="00281F10" w:rsidRDefault="001F2496" w:rsidP="005F04EA">
      <w:pPr>
        <w:spacing w:line="240" w:lineRule="auto"/>
        <w:rPr>
          <w:szCs w:val="22"/>
          <w:lang w:val="el-GR"/>
        </w:rPr>
      </w:pPr>
      <w:r w:rsidRPr="00281F10">
        <w:rPr>
          <w:szCs w:val="22"/>
          <w:lang w:val="el-GR"/>
        </w:rPr>
        <w:t xml:space="preserve">Η ταπενταδόλη και οι μεταβολίτες της απεκκρίνονται σχεδόν αποκλειστικά (99%) μέσω των νεφρών. </w:t>
      </w:r>
      <w:r w:rsidR="0014031D" w:rsidRPr="00281F10">
        <w:rPr>
          <w:szCs w:val="22"/>
          <w:lang w:val="el-GR"/>
        </w:rPr>
        <w:t xml:space="preserve">Η ολική κάθαρση </w:t>
      </w:r>
      <w:r w:rsidR="0014031D">
        <w:rPr>
          <w:szCs w:val="22"/>
          <w:lang w:val="el-GR"/>
        </w:rPr>
        <w:t xml:space="preserve">μετά από ενδοφλέβια χορήγηση </w:t>
      </w:r>
      <w:r w:rsidR="0014031D" w:rsidRPr="00281F10">
        <w:rPr>
          <w:szCs w:val="22"/>
          <w:lang w:val="el-GR"/>
        </w:rPr>
        <w:t>είναι 1530 +/- 177 ml/min.</w:t>
      </w:r>
      <w:r w:rsidR="0014031D">
        <w:rPr>
          <w:szCs w:val="22"/>
          <w:lang w:val="el-GR"/>
        </w:rPr>
        <w:t xml:space="preserve"> </w:t>
      </w:r>
      <w:r w:rsidRPr="00281F10">
        <w:rPr>
          <w:szCs w:val="22"/>
          <w:lang w:val="el-GR"/>
        </w:rPr>
        <w:t xml:space="preserve">Ο τελικός χρόνος ημίσειας ζωής είναι κατά μέσο όρο 4 ώρες μετά από την από στόματος χορήγηση. </w:t>
      </w:r>
    </w:p>
    <w:p w:rsidR="00847B4F" w:rsidRPr="00281F10" w:rsidRDefault="00847B4F" w:rsidP="005F04EA">
      <w:pPr>
        <w:spacing w:line="240" w:lineRule="auto"/>
        <w:rPr>
          <w:szCs w:val="22"/>
          <w:lang w:val="el-GR"/>
        </w:rPr>
      </w:pPr>
    </w:p>
    <w:p w:rsidR="00847B4F" w:rsidRPr="00281F10" w:rsidRDefault="001F2496" w:rsidP="005F04EA">
      <w:pPr>
        <w:spacing w:line="240" w:lineRule="auto"/>
        <w:rPr>
          <w:bCs/>
          <w:szCs w:val="22"/>
          <w:lang w:val="el-GR"/>
        </w:rPr>
      </w:pPr>
      <w:r w:rsidRPr="00281F10">
        <w:rPr>
          <w:bCs/>
          <w:i/>
          <w:szCs w:val="22"/>
          <w:lang w:val="el-GR"/>
        </w:rPr>
        <w:t xml:space="preserve">Ειδικοί πληθυσμοί </w:t>
      </w:r>
    </w:p>
    <w:p w:rsidR="00847B4F" w:rsidRPr="00281F10" w:rsidRDefault="001F2496" w:rsidP="005F04EA">
      <w:pPr>
        <w:spacing w:line="240" w:lineRule="auto"/>
        <w:rPr>
          <w:bCs/>
          <w:i/>
          <w:szCs w:val="22"/>
          <w:lang w:val="el-GR"/>
        </w:rPr>
      </w:pPr>
      <w:r w:rsidRPr="00281F10">
        <w:rPr>
          <w:bCs/>
          <w:i/>
          <w:szCs w:val="22"/>
          <w:lang w:val="el-GR"/>
        </w:rPr>
        <w:t>Ηλικιωμένοι</w:t>
      </w:r>
    </w:p>
    <w:p w:rsidR="00847B4F" w:rsidRPr="00281F10" w:rsidRDefault="001F2496" w:rsidP="005F04EA">
      <w:pPr>
        <w:spacing w:line="240" w:lineRule="auto"/>
        <w:rPr>
          <w:szCs w:val="22"/>
          <w:lang w:val="el-GR"/>
        </w:rPr>
      </w:pPr>
      <w:r w:rsidRPr="00281F10">
        <w:rPr>
          <w:szCs w:val="22"/>
          <w:lang w:val="el-GR"/>
        </w:rPr>
        <w:t>Η μέση έκθεση (AUC) στην ταπενταδόλη ήταν παρόμοια σε μια μελέτη με ηλικιωμένους (65-78 ετών) σε σύγκριση με τους νεαρούς ενήλικες (19-43 ετών) με 16% χαμηλότερη μέση C</w:t>
      </w:r>
      <w:r w:rsidRPr="00281F10">
        <w:rPr>
          <w:szCs w:val="22"/>
          <w:vertAlign w:val="subscript"/>
          <w:lang w:val="el-GR"/>
        </w:rPr>
        <w:t>max</w:t>
      </w:r>
      <w:r w:rsidRPr="00281F10">
        <w:rPr>
          <w:szCs w:val="22"/>
          <w:lang w:val="el-GR"/>
        </w:rPr>
        <w:t xml:space="preserve"> να παρατηρείται στην ομάδα των ηλικιωμένων ατόμων σε σύγκριση με τους νεαρούς ενήλικες.</w:t>
      </w:r>
    </w:p>
    <w:p w:rsidR="00847B4F" w:rsidRPr="00281F10" w:rsidRDefault="00847B4F" w:rsidP="005F04EA">
      <w:pPr>
        <w:spacing w:line="240" w:lineRule="auto"/>
        <w:rPr>
          <w:szCs w:val="22"/>
          <w:lang w:val="el-GR"/>
        </w:rPr>
      </w:pPr>
    </w:p>
    <w:p w:rsidR="00847B4F" w:rsidRPr="00281F10" w:rsidRDefault="001F2496" w:rsidP="005F04EA">
      <w:pPr>
        <w:spacing w:line="240" w:lineRule="auto"/>
        <w:rPr>
          <w:bCs/>
          <w:i/>
          <w:szCs w:val="22"/>
          <w:lang w:val="el-GR"/>
        </w:rPr>
      </w:pPr>
      <w:r w:rsidRPr="00281F10">
        <w:rPr>
          <w:bCs/>
          <w:i/>
          <w:szCs w:val="22"/>
          <w:lang w:val="el-GR"/>
        </w:rPr>
        <w:t>Νεφρική δυσλειτουργία</w:t>
      </w:r>
    </w:p>
    <w:p w:rsidR="00847B4F" w:rsidRPr="00281F10" w:rsidRDefault="001F2496" w:rsidP="005F04EA">
      <w:pPr>
        <w:spacing w:line="240" w:lineRule="auto"/>
        <w:rPr>
          <w:strike/>
          <w:szCs w:val="22"/>
          <w:lang w:val="el-GR"/>
        </w:rPr>
      </w:pPr>
      <w:r w:rsidRPr="00281F10">
        <w:rPr>
          <w:szCs w:val="22"/>
          <w:lang w:val="el-GR"/>
        </w:rPr>
        <w:t>Η AUC και η C</w:t>
      </w:r>
      <w:r w:rsidRPr="00281F10">
        <w:rPr>
          <w:szCs w:val="22"/>
          <w:vertAlign w:val="subscript"/>
          <w:lang w:val="el-GR"/>
        </w:rPr>
        <w:t>max</w:t>
      </w:r>
      <w:r w:rsidRPr="00281F10">
        <w:rPr>
          <w:szCs w:val="22"/>
          <w:lang w:val="el-GR"/>
        </w:rPr>
        <w:t xml:space="preserve"> της ταπενταδόλης ήταν συγκρίσιμες σε άτομα με ποικίλο βαθμό νεφρικής λειτουργίας (από φυσιολογική σε σοβαρή διαταραχή). Αντίθετα, παρατηρήθηκε αυξανόμενη έκθεση (AUC) στο ταπενταδόλ-Ο-γλυκουρονίδιο με αυξανόμενο βαθμό νεφρικής δυσλειτουργίας. Στα άτομα με ήπια, μέτρια και σοβαρή νεφρική δυσλειτουργία, η AUC για το ταπενταδόλ-Ο-γλυκουρονίδιο είναι 1,5, 2,5 και 5,5 φορές υψηλότερη σε σύγκριση με τη φυσιολογική νεφρική λειτουργία, αντίστοιχα.</w:t>
      </w:r>
    </w:p>
    <w:p w:rsidR="00847B4F" w:rsidRPr="00281F10" w:rsidRDefault="00847B4F" w:rsidP="005F04EA">
      <w:pPr>
        <w:spacing w:line="240" w:lineRule="auto"/>
        <w:rPr>
          <w:strike/>
          <w:szCs w:val="22"/>
          <w:lang w:val="el-GR"/>
        </w:rPr>
      </w:pPr>
    </w:p>
    <w:p w:rsidR="00847B4F" w:rsidRPr="00281F10" w:rsidRDefault="001F2496" w:rsidP="005F04EA">
      <w:pPr>
        <w:spacing w:line="240" w:lineRule="auto"/>
        <w:rPr>
          <w:bCs/>
          <w:i/>
          <w:szCs w:val="22"/>
          <w:lang w:val="el-GR"/>
        </w:rPr>
      </w:pPr>
      <w:r w:rsidRPr="00281F10">
        <w:rPr>
          <w:bCs/>
          <w:i/>
          <w:szCs w:val="22"/>
          <w:lang w:val="el-GR"/>
        </w:rPr>
        <w:t>Ηπατική δυσλειτουργία</w:t>
      </w:r>
    </w:p>
    <w:p w:rsidR="00847B4F" w:rsidRPr="00281F10" w:rsidRDefault="001F2496" w:rsidP="005F04EA">
      <w:pPr>
        <w:spacing w:line="240" w:lineRule="auto"/>
        <w:rPr>
          <w:szCs w:val="22"/>
          <w:lang w:val="el-GR"/>
        </w:rPr>
      </w:pPr>
      <w:r w:rsidRPr="00281F10">
        <w:rPr>
          <w:szCs w:val="22"/>
          <w:lang w:val="el-GR"/>
        </w:rPr>
        <w:t xml:space="preserve">Η χορήγηση ταπενταδόλης οδήγησε σε υψηλότερη έκθεση και επίπεδα ορού της ταπενταδόλης σε άτομα με διαταραγμένη ηπατική λειτουργία σε σύγκριση με τους ασθενείς με φυσιολογική ηπατική </w:t>
      </w:r>
      <w:r w:rsidRPr="00281F10">
        <w:rPr>
          <w:szCs w:val="22"/>
          <w:lang w:val="el-GR"/>
        </w:rPr>
        <w:lastRenderedPageBreak/>
        <w:t>λειτουργία. Η αναλογία των φαρμακοκινητικών παραμέτρων της ταπενταδόλης για τις ομάδες με ήπια και μέτρια ηπατική δυσλειτουργία σε σύγκριση με την ομάδα με φυσιολογική ηπατική λειτουργία ήταν 1,7 και 4,2 αντίστοιχα για την AUC. 1,4 και 2,5, αντίστοιχα, για τη C</w:t>
      </w:r>
      <w:r w:rsidRPr="00281F10">
        <w:rPr>
          <w:position w:val="-4"/>
          <w:szCs w:val="22"/>
          <w:vertAlign w:val="subscript"/>
          <w:lang w:val="el-GR"/>
        </w:rPr>
        <w:t>max</w:t>
      </w:r>
      <w:r w:rsidRPr="00281F10">
        <w:rPr>
          <w:position w:val="-4"/>
          <w:szCs w:val="22"/>
          <w:lang w:val="el-GR"/>
        </w:rPr>
        <w:t xml:space="preserve"> </w:t>
      </w:r>
      <w:r w:rsidRPr="00281F10">
        <w:rPr>
          <w:szCs w:val="22"/>
          <w:lang w:val="el-GR"/>
        </w:rPr>
        <w:t xml:space="preserve">και 1,2 και 1,4, αντίστοιχα για τον </w:t>
      </w:r>
      <w:r w:rsidRPr="00281F10">
        <w:rPr>
          <w:position w:val="-4"/>
          <w:szCs w:val="22"/>
          <w:lang w:val="el-GR"/>
        </w:rPr>
        <w:t>t</w:t>
      </w:r>
      <w:r w:rsidRPr="00281F10">
        <w:rPr>
          <w:position w:val="-4"/>
          <w:szCs w:val="22"/>
          <w:vertAlign w:val="subscript"/>
          <w:lang w:val="el-GR"/>
        </w:rPr>
        <w:t>1/2</w:t>
      </w:r>
      <w:r w:rsidRPr="00281F10">
        <w:rPr>
          <w:position w:val="-4"/>
          <w:szCs w:val="22"/>
          <w:lang w:val="el-GR"/>
        </w:rPr>
        <w:t xml:space="preserve">. </w:t>
      </w:r>
      <w:r w:rsidRPr="00281F10">
        <w:rPr>
          <w:szCs w:val="22"/>
          <w:lang w:val="el-GR"/>
        </w:rPr>
        <w:t>Ο ρυθμός σχηματισμού ταπενταδόλ-Ο-γλυκουρονιδίου ήταν μικρότερος στα άτομα με αυξημένη ηπατική δυσλειτουργία.</w:t>
      </w:r>
    </w:p>
    <w:p w:rsidR="00847B4F" w:rsidRPr="00281F10" w:rsidRDefault="00847B4F" w:rsidP="005F04EA">
      <w:pPr>
        <w:spacing w:line="240" w:lineRule="auto"/>
        <w:rPr>
          <w:szCs w:val="22"/>
          <w:lang w:val="el-GR"/>
        </w:rPr>
      </w:pPr>
    </w:p>
    <w:p w:rsidR="00847B4F" w:rsidRPr="00281F10" w:rsidRDefault="001F2496" w:rsidP="005F04EA">
      <w:pPr>
        <w:spacing w:line="240" w:lineRule="auto"/>
        <w:rPr>
          <w:bCs/>
          <w:i/>
          <w:szCs w:val="22"/>
          <w:lang w:val="el-GR"/>
        </w:rPr>
      </w:pPr>
      <w:r w:rsidRPr="00281F10">
        <w:rPr>
          <w:bCs/>
          <w:i/>
          <w:szCs w:val="22"/>
          <w:lang w:val="el-GR"/>
        </w:rPr>
        <w:t>Φαρμακοκινητικές αλληλεπιδράσεις</w:t>
      </w:r>
    </w:p>
    <w:p w:rsidR="00847B4F" w:rsidRPr="00281F10" w:rsidRDefault="001F2496" w:rsidP="005F04EA">
      <w:pPr>
        <w:spacing w:line="240" w:lineRule="auto"/>
        <w:rPr>
          <w:rFonts w:eastAsia="Arial Unicode MS"/>
          <w:szCs w:val="22"/>
          <w:lang w:val="el-GR"/>
        </w:rPr>
      </w:pPr>
      <w:r w:rsidRPr="00281F10">
        <w:rPr>
          <w:szCs w:val="22"/>
          <w:lang w:val="el-GR"/>
        </w:rPr>
        <w:t xml:space="preserve">Η ταπενταδόλη μεταβολίζεται κυρίως από τη γλυκουρονιδίωση της φάσης 2 και μόνο μια μικρή ποσότητα μεταβολίζεται από τις οξειδωτικές οδούς της φάσης 1. </w:t>
      </w:r>
    </w:p>
    <w:p w:rsidR="00847B4F" w:rsidRPr="00281F10" w:rsidRDefault="00847B4F" w:rsidP="005F04EA">
      <w:pPr>
        <w:autoSpaceDE w:val="0"/>
        <w:autoSpaceDN w:val="0"/>
        <w:adjustRightInd w:val="0"/>
        <w:spacing w:line="240" w:lineRule="auto"/>
        <w:rPr>
          <w:szCs w:val="22"/>
          <w:lang w:val="el-GR"/>
        </w:rPr>
      </w:pPr>
      <w:r w:rsidRPr="00281F10">
        <w:rPr>
          <w:szCs w:val="22"/>
          <w:lang w:val="el-GR"/>
        </w:rPr>
        <w:t xml:space="preserve">Από τη στιγμή που η γλυκουρονιδίωση είναι ένα σύστημα υψηλής </w:t>
      </w:r>
      <w:r w:rsidR="00C77D0E" w:rsidRPr="00281F10">
        <w:rPr>
          <w:szCs w:val="22"/>
          <w:lang w:val="el-GR"/>
        </w:rPr>
        <w:t>απόδοσης</w:t>
      </w:r>
      <w:r w:rsidR="001F2496" w:rsidRPr="00281F10">
        <w:rPr>
          <w:szCs w:val="22"/>
          <w:lang w:val="el-GR"/>
        </w:rPr>
        <w:t xml:space="preserve">/χαμηλής συνάφειας, που δεν υφίσταται εύκολα κορεσμό ακόμα και σε συνθήκες νόσου, και καθώς οι θεραπευτικές συγκεντρώσεις των δραστικών ουσιών βρίσκονται γενικά κάτω από τις απαιτούμενες συγκεντρώσεις για την πιθανή αναστολή της γλυκουρονιδίωσης, δεν είναι πιθανό να εμφανιστούν οι όποιες κλινικά σχετικές αλληλεπιδράσεις που προκαλούνται από τον μεταβολισμό της φάσης 2. Σε ένα σύνολο μελετών φαρμακευτικής αλληλεπίδρασης όπου χρησιμοποιήθηκε παρακεταμόλη, ναπροξένη, ακετυλοσαλικυλικό οξύ και προβενεσίδη, διερευνήθηκε η πιθανή επίδραση αυτών των δραστικών ουσιών στη γλυκουρονιδίωση της ταπενταδόλης. </w:t>
      </w:r>
      <w:r w:rsidR="001F2496" w:rsidRPr="00281F10">
        <w:rPr>
          <w:i/>
          <w:szCs w:val="22"/>
          <w:lang w:val="el-GR"/>
        </w:rPr>
        <w:t xml:space="preserve"> </w:t>
      </w:r>
      <w:r w:rsidR="001F2496" w:rsidRPr="00281F10">
        <w:rPr>
          <w:szCs w:val="22"/>
          <w:lang w:val="el-GR"/>
        </w:rPr>
        <w:t xml:space="preserve">Οι μελέτες με ναπροξένη (500 mg </w:t>
      </w:r>
      <w:r w:rsidR="00E75074" w:rsidRPr="00281F10">
        <w:rPr>
          <w:szCs w:val="22"/>
          <w:lang w:val="el-GR"/>
        </w:rPr>
        <w:t>δύο φορές την ημέρα</w:t>
      </w:r>
      <w:r w:rsidR="001F2496" w:rsidRPr="00281F10">
        <w:rPr>
          <w:szCs w:val="22"/>
          <w:lang w:val="el-GR"/>
        </w:rPr>
        <w:t xml:space="preserve"> για 2 ημέρες) και προβενεσίδη (500 mg δις ημερησίως για 2 ημέρες) ως διερευνητικές δραστικές ουσίες έδειξαν αυξήσεις στην AUC της ταπενταδόλης κατά 17% και 57%, αντίστοιχα. Συνολικά, στις μελέτες αυτές δεν παρατηρήθηκαν κλινικά σχετικές επιδράσεις στις συγκεντρώσεις της ταπενταδόλης στον ορό.</w:t>
      </w:r>
    </w:p>
    <w:p w:rsidR="00847B4F" w:rsidRPr="00281F10" w:rsidRDefault="001F2496" w:rsidP="005F04EA">
      <w:pPr>
        <w:spacing w:line="240" w:lineRule="auto"/>
        <w:rPr>
          <w:szCs w:val="22"/>
          <w:lang w:val="el-GR"/>
        </w:rPr>
      </w:pPr>
      <w:r w:rsidRPr="00281F10">
        <w:rPr>
          <w:szCs w:val="22"/>
          <w:lang w:val="el-GR"/>
        </w:rPr>
        <w:t>Επιπλέον, πραγματοποιήθηκαν μελέτες αλληλεπίδρασης της ταπενταδόλης με τη μετοκλοπραμίδη και την ομεπραζόλη για να διερευνηθεί η πιθανή επίδραση αυτών των δραστικών ουσιών στην απορρόφηση της ταπενταδόλης. Οι μελέτες αυτές δεν έδειξαν επίσης κλινικά σχετικές επιδράσεις στις συγκεντρώσεις της ταπενταδόλης στον ορό.</w:t>
      </w:r>
    </w:p>
    <w:p w:rsidR="00847B4F" w:rsidRPr="00281F10" w:rsidRDefault="001F2496" w:rsidP="005F04EA">
      <w:pPr>
        <w:spacing w:line="240" w:lineRule="auto"/>
        <w:rPr>
          <w:szCs w:val="22"/>
          <w:lang w:val="el-GR"/>
        </w:rPr>
      </w:pPr>
      <w:r w:rsidRPr="00281F10">
        <w:rPr>
          <w:i/>
          <w:szCs w:val="22"/>
          <w:lang w:val="el-GR"/>
        </w:rPr>
        <w:t>In vitro</w:t>
      </w:r>
      <w:r w:rsidRPr="00281F10">
        <w:rPr>
          <w:szCs w:val="22"/>
          <w:lang w:val="el-GR"/>
        </w:rPr>
        <w:t xml:space="preserve"> μελέτες δεν έδειξαν ότι η ταπενταδόλη έχει τη δυνατότητα είτε να αναστείλει είτε να επάγει τα ένζυμα του κυτοχρώματος P450. Επομένως, δεν είναι πιθανό να εμφανιστούν κλινικά σχετικές αλληλεπιδράσεις που διαμεσολαβούνται από το σύστημα του κυτοχρώματος P450. </w:t>
      </w:r>
    </w:p>
    <w:p w:rsidR="00847B4F" w:rsidRPr="00281F10" w:rsidRDefault="001F2496" w:rsidP="005F04EA">
      <w:pPr>
        <w:spacing w:line="240" w:lineRule="auto"/>
        <w:rPr>
          <w:szCs w:val="22"/>
          <w:lang w:val="el-GR"/>
        </w:rPr>
      </w:pPr>
      <w:r w:rsidRPr="00281F10">
        <w:rPr>
          <w:szCs w:val="22"/>
          <w:lang w:val="el-GR"/>
        </w:rPr>
        <w:t>Η δέσμευση της ταπενταδόλης με τις πρωτεΐνες του πλάσματος είναι χαμηλή (περίπου 20%). Επομένως, είναι χαμηλή η πιθανότητα φαρμακοκινητικών φαρμακευτικών αλληλεπιδράσεων με εκτόπιση από το σημείο δέσμευσης της πρωτεΐνης.</w:t>
      </w:r>
    </w:p>
    <w:p w:rsidR="00847B4F" w:rsidRPr="00281F10" w:rsidRDefault="00847B4F" w:rsidP="005F04EA">
      <w:pPr>
        <w:tabs>
          <w:tab w:val="clear" w:pos="567"/>
        </w:tabs>
        <w:spacing w:line="240" w:lineRule="auto"/>
        <w:rPr>
          <w:b/>
          <w:szCs w:val="22"/>
          <w:lang w:val="el-GR"/>
        </w:rPr>
      </w:pPr>
    </w:p>
    <w:p w:rsidR="00847B4F" w:rsidRPr="00281F10" w:rsidRDefault="00D31B6E" w:rsidP="005F04EA">
      <w:pPr>
        <w:pStyle w:val="2"/>
        <w:spacing w:before="0" w:after="0" w:line="240" w:lineRule="auto"/>
        <w:rPr>
          <w:rFonts w:ascii="Times New Roman" w:hAnsi="Times New Roman"/>
          <w:i w:val="0"/>
          <w:sz w:val="22"/>
          <w:szCs w:val="22"/>
          <w:lang w:val="el-GR"/>
        </w:rPr>
      </w:pPr>
      <w:r w:rsidRPr="00281F10">
        <w:rPr>
          <w:rFonts w:ascii="Times New Roman" w:hAnsi="Times New Roman"/>
          <w:i w:val="0"/>
          <w:sz w:val="22"/>
          <w:szCs w:val="22"/>
          <w:lang w:val="el-GR"/>
        </w:rPr>
        <w:t>5.3</w:t>
      </w:r>
      <w:r w:rsidRPr="00281F10">
        <w:rPr>
          <w:rFonts w:ascii="Times New Roman" w:hAnsi="Times New Roman"/>
          <w:i w:val="0"/>
          <w:sz w:val="22"/>
          <w:szCs w:val="22"/>
          <w:lang w:val="el-GR"/>
        </w:rPr>
        <w:tab/>
        <w:t>Προκλινικά δεδομένα ασφάλειας</w:t>
      </w:r>
    </w:p>
    <w:p w:rsidR="006A0546" w:rsidRPr="00281F10" w:rsidRDefault="006A0546" w:rsidP="005F04EA">
      <w:pPr>
        <w:spacing w:line="240" w:lineRule="auto"/>
        <w:rPr>
          <w:szCs w:val="22"/>
          <w:lang w:val="el-GR"/>
        </w:rPr>
      </w:pPr>
    </w:p>
    <w:p w:rsidR="00847B4F" w:rsidRPr="00281F10" w:rsidRDefault="001F2496" w:rsidP="005F04EA">
      <w:pPr>
        <w:spacing w:line="240" w:lineRule="auto"/>
        <w:rPr>
          <w:szCs w:val="22"/>
          <w:u w:val="single"/>
          <w:lang w:val="el-GR"/>
        </w:rPr>
      </w:pPr>
      <w:r w:rsidRPr="00281F10">
        <w:rPr>
          <w:szCs w:val="22"/>
          <w:lang w:val="el-GR"/>
        </w:rPr>
        <w:t>Η ταπενταδόλη δεν ήταν γενοτοξική σε βακτήρια στην εξέταση Ames.</w:t>
      </w:r>
      <w:r w:rsidRPr="00281F10">
        <w:rPr>
          <w:i/>
          <w:szCs w:val="22"/>
          <w:lang w:val="el-GR"/>
        </w:rPr>
        <w:t xml:space="preserve"> </w:t>
      </w:r>
      <w:r w:rsidRPr="00281F10">
        <w:rPr>
          <w:szCs w:val="22"/>
          <w:lang w:val="el-GR"/>
        </w:rPr>
        <w:t xml:space="preserve">Παρατηρήθηκαν αμφιλεγόμενα ευρήματα σε μια in vitro εξέταση χρωμοσωμικής αλλοίωσης, αλλά όταν η εξέταση επαναλήφθηκε τα αποτελέσματα ήταν εμφανώς αρνητικά. Η ταπενταδόλη δεν ήταν γενοτοξική </w:t>
      </w:r>
      <w:r w:rsidRPr="00281F10">
        <w:rPr>
          <w:i/>
          <w:szCs w:val="22"/>
          <w:lang w:val="el-GR"/>
        </w:rPr>
        <w:t>in vivo</w:t>
      </w:r>
      <w:r w:rsidRPr="00281F10">
        <w:rPr>
          <w:szCs w:val="22"/>
          <w:lang w:val="el-GR"/>
        </w:rPr>
        <w:t>, χρησιμοποιώντας τα δυο τελικά σημεία της χρωμοσωμικής αλλοίωσης και της μη προγραμματισμένης σύνθεσης DNA, κατά την εξέταση έως τη μέγιστη ανεκτή δόση. Οι μακροχρόνιες μελέτες σε ζώα δεν έδειξαν πιθανό κίνδυνο καρκινογένεσης σε σχέση με τους ανθρώπους.</w:t>
      </w:r>
    </w:p>
    <w:p w:rsidR="00847B4F" w:rsidRPr="00281F10" w:rsidRDefault="001F2496" w:rsidP="005F04EA">
      <w:pPr>
        <w:spacing w:line="240" w:lineRule="auto"/>
        <w:rPr>
          <w:szCs w:val="22"/>
          <w:lang w:val="el-GR"/>
        </w:rPr>
      </w:pPr>
      <w:r w:rsidRPr="00281F10">
        <w:rPr>
          <w:szCs w:val="22"/>
          <w:lang w:val="el-GR"/>
        </w:rPr>
        <w:t>Η ταπενταδόλη δεν είχε καμία επίδραση στη γονιμότητα σε αρσενικούς και θηλυκούς αρουραίους αλλά υπήρξε μειωμένη επιβίωση εντός της μήτρας στην υψηλή δόση.  Δεν είναι γνωστό αν αυτό ήταν αποτέλεσμα της διαμεσολάβησης του άνδρα ή της γυναίκας. Η ταπενταδόλη δεν έδειξε τερατογόνες επιδράσεις σε αρουραίους και κουνέλια μετά από ενδοφλέβια και υποδόρια έκθεση. Παρόλα αυτά, παρατηρήθηκε επιβραδυμένη ανάπτυξη και εμβρυοτοξικότητα μετά από τη χορήγηση δόσεων που οδηγούν σε μεγεθυμένη φαρμακολογική δράση</w:t>
      </w:r>
      <w:r w:rsidR="00D220F6">
        <w:rPr>
          <w:szCs w:val="22"/>
          <w:lang w:val="el-GR"/>
        </w:rPr>
        <w:t xml:space="preserve"> (</w:t>
      </w:r>
      <w:r w:rsidR="00D220F6" w:rsidRPr="00D220F6">
        <w:rPr>
          <w:szCs w:val="22"/>
          <w:lang w:val="el-GR"/>
        </w:rPr>
        <w:t xml:space="preserve">επιδράσεις στο ΚΝΣ σχετιζόμενες με τους υποδοχείς </w:t>
      </w:r>
      <w:r w:rsidR="00D220F6" w:rsidRPr="00D220F6">
        <w:rPr>
          <w:szCs w:val="22"/>
        </w:rPr>
        <w:t>mu</w:t>
      </w:r>
      <w:r w:rsidR="00D220F6" w:rsidRPr="00D220F6">
        <w:rPr>
          <w:szCs w:val="22"/>
          <w:lang w:val="el-GR"/>
        </w:rPr>
        <w:t xml:space="preserve"> των οπιοειδών, οι οποίες συνδέονται με δοσολογία μεγαλύτερη του θεραπευτικού εύρους)</w:t>
      </w:r>
      <w:r w:rsidRPr="00281F10">
        <w:rPr>
          <w:szCs w:val="22"/>
          <w:lang w:val="el-GR"/>
        </w:rPr>
        <w:t>. Μετά από την ενδοφλέβια δοσολόγηση, παρατηρήθηκε μειωμένη επιβίωση εντός της μήτρας στους αρουραίους. Στους αρουραίους, η ταπενταδόλη προκάλεσε αυξημένη θνησιμότητα στα F</w:t>
      </w:r>
      <w:r w:rsidRPr="00281F10">
        <w:rPr>
          <w:szCs w:val="22"/>
          <w:vertAlign w:val="subscript"/>
          <w:lang w:val="el-GR"/>
        </w:rPr>
        <w:t>1</w:t>
      </w:r>
      <w:r w:rsidRPr="00281F10">
        <w:rPr>
          <w:szCs w:val="22"/>
          <w:lang w:val="el-GR"/>
        </w:rPr>
        <w:t xml:space="preserve"> νεογνά που εκτέθηκαν απευθείας μέσω του γάλακτος ανάμεσα στις ημέρες 1 και 4 μετά από τον τοκετό σε δόσεις που δεν προκάλεσαν τοξικότητα στη μητέρα. Δεν υπήρξε επίδραση στις νευροσυμπεριφορικές παραμέτρους. </w:t>
      </w:r>
    </w:p>
    <w:p w:rsidR="00847B4F" w:rsidRPr="00281F10" w:rsidRDefault="001F2496" w:rsidP="005F04EA">
      <w:pPr>
        <w:spacing w:line="240" w:lineRule="auto"/>
        <w:rPr>
          <w:szCs w:val="22"/>
          <w:lang w:val="el-GR"/>
        </w:rPr>
      </w:pPr>
      <w:r w:rsidRPr="00281F10">
        <w:rPr>
          <w:szCs w:val="22"/>
          <w:lang w:val="el-GR"/>
        </w:rPr>
        <w:t xml:space="preserve">Η απέκκριση στο μητρικό γάλα διερευνήθηκε σε νεογνά αρουραίων κατά τη διάρκεια γαλουχίας από μητέρες που είχαν λάβει ταπενταδόλη. Τα νεογνά είχαν εκτεθεί με δοσοεξαρτώμενο τρόπο στην </w:t>
      </w:r>
      <w:r w:rsidRPr="00281F10">
        <w:rPr>
          <w:szCs w:val="22"/>
          <w:lang w:val="el-GR"/>
        </w:rPr>
        <w:lastRenderedPageBreak/>
        <w:t xml:space="preserve">ταπενταδόλη και το Ο-γλυκουρονίδιο της ταπενταδόλης. Το συμπέρασμα ήταν ότι η ταπενταδόλη απεκκρίνεται </w:t>
      </w:r>
      <w:r w:rsidR="006517B5">
        <w:rPr>
          <w:szCs w:val="22"/>
          <w:lang w:val="el-GR"/>
        </w:rPr>
        <w:t>στο γάλα</w:t>
      </w:r>
      <w:r w:rsidRPr="00281F10">
        <w:rPr>
          <w:szCs w:val="22"/>
          <w:lang w:val="el-GR"/>
        </w:rPr>
        <w:t>.</w:t>
      </w:r>
    </w:p>
    <w:p w:rsidR="00847B4F" w:rsidRPr="00281F10" w:rsidRDefault="00847B4F" w:rsidP="005F04EA">
      <w:pPr>
        <w:spacing w:line="240" w:lineRule="auto"/>
        <w:rPr>
          <w:szCs w:val="22"/>
          <w:lang w:val="el-GR"/>
        </w:rPr>
      </w:pPr>
    </w:p>
    <w:p w:rsidR="006A0546" w:rsidRPr="00281F10" w:rsidRDefault="006A0546" w:rsidP="005F04EA">
      <w:pPr>
        <w:spacing w:line="240" w:lineRule="auto"/>
        <w:rPr>
          <w:szCs w:val="22"/>
          <w:lang w:val="el-GR"/>
        </w:rPr>
      </w:pPr>
    </w:p>
    <w:p w:rsidR="00847B4F" w:rsidRPr="00281F10" w:rsidRDefault="001F2496" w:rsidP="005F04EA">
      <w:pPr>
        <w:pStyle w:val="1"/>
        <w:spacing w:before="0" w:after="0" w:line="240" w:lineRule="auto"/>
        <w:rPr>
          <w:sz w:val="22"/>
          <w:szCs w:val="22"/>
          <w:lang w:val="el-GR"/>
        </w:rPr>
      </w:pPr>
      <w:r w:rsidRPr="00281F10">
        <w:rPr>
          <w:sz w:val="22"/>
          <w:szCs w:val="22"/>
          <w:lang w:val="el-GR"/>
        </w:rPr>
        <w:t>6.</w:t>
      </w:r>
      <w:r w:rsidRPr="00281F10">
        <w:rPr>
          <w:sz w:val="22"/>
          <w:szCs w:val="22"/>
          <w:lang w:val="el-GR"/>
        </w:rPr>
        <w:tab/>
        <w:t>φαρμακευτικησ πληροφοριεσ</w:t>
      </w:r>
    </w:p>
    <w:p w:rsidR="006A0546" w:rsidRPr="00281F10" w:rsidRDefault="006A0546" w:rsidP="005F04EA">
      <w:pPr>
        <w:pStyle w:val="2"/>
        <w:spacing w:before="0" w:after="0" w:line="240" w:lineRule="auto"/>
        <w:rPr>
          <w:rFonts w:ascii="Times New Roman" w:hAnsi="Times New Roman"/>
          <w:i w:val="0"/>
          <w:sz w:val="22"/>
          <w:szCs w:val="22"/>
          <w:lang w:val="el-GR"/>
        </w:rPr>
      </w:pPr>
    </w:p>
    <w:p w:rsidR="00847B4F" w:rsidRPr="00281F10" w:rsidRDefault="00D31B6E" w:rsidP="005F04EA">
      <w:pPr>
        <w:pStyle w:val="2"/>
        <w:spacing w:before="0" w:after="0" w:line="240" w:lineRule="auto"/>
        <w:rPr>
          <w:rFonts w:ascii="Times New Roman" w:hAnsi="Times New Roman"/>
          <w:i w:val="0"/>
          <w:sz w:val="22"/>
          <w:szCs w:val="22"/>
          <w:lang w:val="el-GR"/>
        </w:rPr>
      </w:pPr>
      <w:r w:rsidRPr="00281F10">
        <w:rPr>
          <w:rFonts w:ascii="Times New Roman" w:hAnsi="Times New Roman"/>
          <w:i w:val="0"/>
          <w:sz w:val="22"/>
          <w:szCs w:val="22"/>
          <w:lang w:val="el-GR"/>
        </w:rPr>
        <w:t>6.1</w:t>
      </w:r>
      <w:r w:rsidRPr="00281F10">
        <w:rPr>
          <w:rFonts w:ascii="Times New Roman" w:hAnsi="Times New Roman"/>
          <w:i w:val="0"/>
          <w:sz w:val="22"/>
          <w:szCs w:val="22"/>
          <w:lang w:val="el-GR"/>
        </w:rPr>
        <w:tab/>
        <w:t>Κατάλογος εκδόχων</w:t>
      </w:r>
    </w:p>
    <w:p w:rsidR="006A0546" w:rsidRPr="00281F10" w:rsidRDefault="006A0546" w:rsidP="005F04EA">
      <w:pPr>
        <w:spacing w:line="240" w:lineRule="auto"/>
        <w:rPr>
          <w:szCs w:val="22"/>
          <w:lang w:val="el-GR"/>
        </w:rPr>
      </w:pPr>
    </w:p>
    <w:p w:rsidR="00847B4F" w:rsidRPr="00281F10" w:rsidRDefault="001F2496" w:rsidP="005F04EA">
      <w:pPr>
        <w:spacing w:line="240" w:lineRule="auto"/>
        <w:rPr>
          <w:noProof/>
          <w:szCs w:val="22"/>
          <w:lang w:val="el-GR"/>
        </w:rPr>
      </w:pPr>
      <w:r w:rsidRPr="00281F10">
        <w:rPr>
          <w:szCs w:val="22"/>
          <w:lang w:val="el-GR"/>
        </w:rPr>
        <w:t>[50 mg]:</w:t>
      </w:r>
      <w:r w:rsidRPr="00281F10">
        <w:rPr>
          <w:noProof/>
          <w:szCs w:val="22"/>
          <w:lang w:val="el-GR"/>
        </w:rPr>
        <w:t xml:space="preserve"> </w:t>
      </w:r>
    </w:p>
    <w:p w:rsidR="00847B4F" w:rsidRPr="00281F10" w:rsidRDefault="001F2496" w:rsidP="005F04EA">
      <w:pPr>
        <w:spacing w:line="240" w:lineRule="auto"/>
        <w:rPr>
          <w:noProof/>
          <w:szCs w:val="22"/>
          <w:lang w:val="el-GR"/>
        </w:rPr>
      </w:pPr>
      <w:r w:rsidRPr="00281F10">
        <w:rPr>
          <w:szCs w:val="22"/>
          <w:lang w:val="el-GR"/>
        </w:rPr>
        <w:t>Πυρήνας δισκίου:</w:t>
      </w:r>
    </w:p>
    <w:p w:rsidR="00847B4F" w:rsidRPr="00281F10" w:rsidRDefault="001F2496" w:rsidP="005F04EA">
      <w:pPr>
        <w:spacing w:line="240" w:lineRule="auto"/>
        <w:rPr>
          <w:szCs w:val="22"/>
          <w:lang w:val="el-GR"/>
        </w:rPr>
      </w:pPr>
      <w:r w:rsidRPr="00281F10">
        <w:rPr>
          <w:szCs w:val="22"/>
          <w:lang w:val="el-GR"/>
        </w:rPr>
        <w:t>Μικροκρυσταλλική κυτταρίνη</w:t>
      </w:r>
    </w:p>
    <w:p w:rsidR="00847B4F" w:rsidRPr="00281F10" w:rsidRDefault="001F2496" w:rsidP="005F04EA">
      <w:pPr>
        <w:spacing w:line="240" w:lineRule="auto"/>
        <w:rPr>
          <w:szCs w:val="22"/>
          <w:lang w:val="el-GR"/>
        </w:rPr>
      </w:pPr>
      <w:r w:rsidRPr="00281F10">
        <w:rPr>
          <w:szCs w:val="22"/>
          <w:lang w:val="el-GR"/>
        </w:rPr>
        <w:t>Λακτόζη μονοϋδρική</w:t>
      </w:r>
    </w:p>
    <w:p w:rsidR="00847B4F" w:rsidRPr="00281F10" w:rsidRDefault="001F2496" w:rsidP="005F04EA">
      <w:pPr>
        <w:spacing w:line="240" w:lineRule="auto"/>
        <w:rPr>
          <w:szCs w:val="22"/>
          <w:lang w:val="el-GR"/>
        </w:rPr>
      </w:pPr>
      <w:r w:rsidRPr="00281F10">
        <w:rPr>
          <w:szCs w:val="22"/>
          <w:lang w:val="el-GR"/>
        </w:rPr>
        <w:t>Καρμελλόζη νατριούχος</w:t>
      </w:r>
    </w:p>
    <w:p w:rsidR="00847B4F" w:rsidRPr="00281F10" w:rsidRDefault="001F2496" w:rsidP="005F04EA">
      <w:pPr>
        <w:spacing w:line="240" w:lineRule="auto"/>
        <w:rPr>
          <w:szCs w:val="22"/>
          <w:lang w:val="el-GR"/>
        </w:rPr>
      </w:pPr>
      <w:r w:rsidRPr="00281F10">
        <w:rPr>
          <w:szCs w:val="22"/>
          <w:lang w:val="el-GR"/>
        </w:rPr>
        <w:t>Ποβιδόνη Κ30</w:t>
      </w:r>
    </w:p>
    <w:p w:rsidR="00847B4F" w:rsidRPr="00281F10" w:rsidRDefault="001F2496" w:rsidP="005F04EA">
      <w:pPr>
        <w:spacing w:line="240" w:lineRule="auto"/>
        <w:rPr>
          <w:szCs w:val="22"/>
          <w:lang w:val="el-GR"/>
        </w:rPr>
      </w:pPr>
      <w:r w:rsidRPr="00281F10">
        <w:rPr>
          <w:szCs w:val="22"/>
          <w:lang w:val="el-GR"/>
        </w:rPr>
        <w:t>Μαγνήσιο στεατικό</w:t>
      </w:r>
    </w:p>
    <w:p w:rsidR="00C039D3" w:rsidRPr="00281F10" w:rsidRDefault="00C039D3" w:rsidP="005F04EA">
      <w:pPr>
        <w:spacing w:line="240" w:lineRule="auto"/>
        <w:rPr>
          <w:szCs w:val="22"/>
          <w:lang w:val="el-GR"/>
        </w:rPr>
      </w:pPr>
    </w:p>
    <w:p w:rsidR="00847B4F" w:rsidRPr="00281F10" w:rsidRDefault="001F2496" w:rsidP="005F04EA">
      <w:pPr>
        <w:spacing w:line="240" w:lineRule="auto"/>
        <w:rPr>
          <w:noProof/>
          <w:szCs w:val="22"/>
          <w:lang w:val="el-GR"/>
        </w:rPr>
      </w:pPr>
      <w:r w:rsidRPr="00281F10">
        <w:rPr>
          <w:szCs w:val="22"/>
          <w:lang w:val="el-GR"/>
        </w:rPr>
        <w:t>Επικάλυψη δισκίου:</w:t>
      </w:r>
    </w:p>
    <w:p w:rsidR="00847B4F" w:rsidRPr="00281F10" w:rsidRDefault="001F2496" w:rsidP="005F04EA">
      <w:pPr>
        <w:spacing w:line="240" w:lineRule="auto"/>
        <w:rPr>
          <w:szCs w:val="22"/>
          <w:lang w:val="el-GR"/>
        </w:rPr>
      </w:pPr>
      <w:r w:rsidRPr="00281F10">
        <w:rPr>
          <w:szCs w:val="22"/>
          <w:lang w:val="el-GR"/>
        </w:rPr>
        <w:t>Πολυβινυλαλκοόλη</w:t>
      </w:r>
    </w:p>
    <w:p w:rsidR="00847B4F" w:rsidRPr="00281F10" w:rsidRDefault="001F2496" w:rsidP="005F04EA">
      <w:pPr>
        <w:spacing w:line="240" w:lineRule="auto"/>
        <w:rPr>
          <w:szCs w:val="22"/>
          <w:lang w:val="it-IT"/>
        </w:rPr>
      </w:pPr>
      <w:r w:rsidRPr="00281F10">
        <w:rPr>
          <w:szCs w:val="22"/>
          <w:lang w:val="el-GR"/>
        </w:rPr>
        <w:t>Διοξείδιο τιτανίου (E 171)</w:t>
      </w:r>
    </w:p>
    <w:p w:rsidR="00847B4F" w:rsidRPr="00281F10" w:rsidRDefault="001F2496" w:rsidP="005F04EA">
      <w:pPr>
        <w:spacing w:line="240" w:lineRule="auto"/>
        <w:rPr>
          <w:szCs w:val="22"/>
          <w:lang w:val="el-GR"/>
        </w:rPr>
      </w:pPr>
      <w:r w:rsidRPr="00281F10">
        <w:rPr>
          <w:szCs w:val="22"/>
          <w:lang w:val="el-GR"/>
        </w:rPr>
        <w:t>Πολυαιθυλενογλυκόλη 3350</w:t>
      </w:r>
    </w:p>
    <w:p w:rsidR="00847B4F" w:rsidRPr="00281F10" w:rsidRDefault="001F2496" w:rsidP="005F04EA">
      <w:pPr>
        <w:spacing w:line="240" w:lineRule="auto"/>
        <w:rPr>
          <w:szCs w:val="22"/>
          <w:lang w:val="el-GR"/>
        </w:rPr>
      </w:pPr>
      <w:r w:rsidRPr="00281F10">
        <w:rPr>
          <w:szCs w:val="22"/>
          <w:lang w:val="el-GR"/>
        </w:rPr>
        <w:t>Τάλκης</w:t>
      </w:r>
    </w:p>
    <w:p w:rsidR="00847B4F" w:rsidRPr="00281F10" w:rsidRDefault="00847B4F" w:rsidP="005F04EA">
      <w:pPr>
        <w:spacing w:line="240" w:lineRule="auto"/>
        <w:rPr>
          <w:szCs w:val="22"/>
          <w:lang w:val="el-GR"/>
        </w:rPr>
      </w:pPr>
    </w:p>
    <w:p w:rsidR="00847B4F" w:rsidRPr="00281F10" w:rsidRDefault="001F2496" w:rsidP="005F04EA">
      <w:pPr>
        <w:spacing w:line="240" w:lineRule="auto"/>
        <w:rPr>
          <w:rFonts w:eastAsia="Times New Roman"/>
          <w:noProof/>
          <w:snapToGrid/>
          <w:szCs w:val="22"/>
          <w:highlight w:val="lightGray"/>
          <w:lang w:val="el-GR" w:eastAsia="en-US"/>
        </w:rPr>
      </w:pPr>
      <w:r w:rsidRPr="00281F10">
        <w:rPr>
          <w:rFonts w:eastAsia="Times New Roman"/>
          <w:noProof/>
          <w:snapToGrid/>
          <w:szCs w:val="22"/>
          <w:highlight w:val="lightGray"/>
          <w:lang w:val="el-GR" w:eastAsia="en-US"/>
        </w:rPr>
        <w:t xml:space="preserve">[75 </w:t>
      </w:r>
      <w:r w:rsidRPr="00281F10">
        <w:rPr>
          <w:rFonts w:eastAsia="Times New Roman"/>
          <w:noProof/>
          <w:snapToGrid/>
          <w:szCs w:val="22"/>
          <w:highlight w:val="lightGray"/>
          <w:lang w:eastAsia="en-US"/>
        </w:rPr>
        <w:t>mg</w:t>
      </w:r>
      <w:r w:rsidRPr="00281F10">
        <w:rPr>
          <w:rFonts w:eastAsia="Times New Roman"/>
          <w:noProof/>
          <w:snapToGrid/>
          <w:szCs w:val="22"/>
          <w:highlight w:val="lightGray"/>
          <w:lang w:val="el-GR" w:eastAsia="en-US"/>
        </w:rPr>
        <w:t>]:</w:t>
      </w:r>
    </w:p>
    <w:p w:rsidR="00847B4F" w:rsidRPr="00281F10" w:rsidRDefault="001F2496" w:rsidP="005F04EA">
      <w:pPr>
        <w:spacing w:line="240" w:lineRule="auto"/>
        <w:rPr>
          <w:rFonts w:eastAsia="Times New Roman"/>
          <w:noProof/>
          <w:snapToGrid/>
          <w:szCs w:val="22"/>
          <w:highlight w:val="lightGray"/>
          <w:lang w:val="el-GR" w:eastAsia="en-US"/>
        </w:rPr>
      </w:pPr>
      <w:r w:rsidRPr="00281F10">
        <w:rPr>
          <w:rFonts w:eastAsia="Times New Roman"/>
          <w:noProof/>
          <w:snapToGrid/>
          <w:szCs w:val="22"/>
          <w:highlight w:val="lightGray"/>
          <w:lang w:val="el-GR" w:eastAsia="en-US"/>
        </w:rPr>
        <w:t>Πυρήνας δισκίου:</w:t>
      </w:r>
    </w:p>
    <w:p w:rsidR="00847B4F" w:rsidRPr="00281F10" w:rsidRDefault="001F2496" w:rsidP="005F04EA">
      <w:pPr>
        <w:spacing w:line="240" w:lineRule="auto"/>
        <w:rPr>
          <w:rFonts w:eastAsia="Times New Roman"/>
          <w:noProof/>
          <w:snapToGrid/>
          <w:szCs w:val="22"/>
          <w:highlight w:val="lightGray"/>
          <w:lang w:val="el-GR" w:eastAsia="en-US"/>
        </w:rPr>
      </w:pPr>
      <w:r w:rsidRPr="00281F10">
        <w:rPr>
          <w:rFonts w:eastAsia="Times New Roman"/>
          <w:noProof/>
          <w:snapToGrid/>
          <w:szCs w:val="22"/>
          <w:highlight w:val="lightGray"/>
          <w:lang w:val="el-GR" w:eastAsia="en-US"/>
        </w:rPr>
        <w:t>Μικροκρυσταλλική κυτταρίνη</w:t>
      </w:r>
    </w:p>
    <w:p w:rsidR="00847B4F" w:rsidRPr="00281F10" w:rsidRDefault="001F2496" w:rsidP="005F04EA">
      <w:pPr>
        <w:spacing w:line="240" w:lineRule="auto"/>
        <w:rPr>
          <w:rFonts w:eastAsia="Times New Roman"/>
          <w:noProof/>
          <w:snapToGrid/>
          <w:szCs w:val="22"/>
          <w:highlight w:val="lightGray"/>
          <w:lang w:val="el-GR" w:eastAsia="en-US"/>
        </w:rPr>
      </w:pPr>
      <w:r w:rsidRPr="00281F10">
        <w:rPr>
          <w:rFonts w:eastAsia="Times New Roman"/>
          <w:noProof/>
          <w:snapToGrid/>
          <w:szCs w:val="22"/>
          <w:highlight w:val="lightGray"/>
          <w:lang w:val="el-GR" w:eastAsia="en-US"/>
        </w:rPr>
        <w:t>Λακτόζη μονοϋδρική</w:t>
      </w:r>
    </w:p>
    <w:p w:rsidR="00847B4F" w:rsidRPr="00281F10" w:rsidRDefault="001F2496" w:rsidP="005F04EA">
      <w:pPr>
        <w:spacing w:line="240" w:lineRule="auto"/>
        <w:rPr>
          <w:rFonts w:eastAsia="Times New Roman"/>
          <w:noProof/>
          <w:snapToGrid/>
          <w:szCs w:val="22"/>
          <w:highlight w:val="lightGray"/>
          <w:lang w:val="el-GR" w:eastAsia="en-US"/>
        </w:rPr>
      </w:pPr>
      <w:r w:rsidRPr="00281F10">
        <w:rPr>
          <w:rFonts w:eastAsia="Times New Roman"/>
          <w:noProof/>
          <w:snapToGrid/>
          <w:szCs w:val="22"/>
          <w:highlight w:val="lightGray"/>
          <w:lang w:val="el-GR" w:eastAsia="en-US"/>
        </w:rPr>
        <w:t>Καρμελλόζη νατριούχος</w:t>
      </w:r>
    </w:p>
    <w:p w:rsidR="00847B4F" w:rsidRPr="00281F10" w:rsidRDefault="001F2496" w:rsidP="005F04EA">
      <w:pPr>
        <w:spacing w:line="240" w:lineRule="auto"/>
        <w:rPr>
          <w:rFonts w:eastAsia="Times New Roman"/>
          <w:noProof/>
          <w:snapToGrid/>
          <w:szCs w:val="22"/>
          <w:highlight w:val="lightGray"/>
          <w:lang w:val="el-GR" w:eastAsia="en-US"/>
        </w:rPr>
      </w:pPr>
      <w:r w:rsidRPr="00281F10">
        <w:rPr>
          <w:rFonts w:eastAsia="Times New Roman"/>
          <w:noProof/>
          <w:snapToGrid/>
          <w:szCs w:val="22"/>
          <w:highlight w:val="lightGray"/>
          <w:lang w:val="el-GR" w:eastAsia="en-US"/>
        </w:rPr>
        <w:t>Ποβιδόνη Κ30</w:t>
      </w:r>
    </w:p>
    <w:p w:rsidR="00847B4F" w:rsidRPr="00281F10" w:rsidRDefault="001F2496" w:rsidP="005F04EA">
      <w:pPr>
        <w:spacing w:line="240" w:lineRule="auto"/>
        <w:rPr>
          <w:rFonts w:eastAsia="Times New Roman"/>
          <w:noProof/>
          <w:snapToGrid/>
          <w:szCs w:val="22"/>
          <w:highlight w:val="lightGray"/>
          <w:lang w:val="el-GR" w:eastAsia="en-US"/>
        </w:rPr>
      </w:pPr>
      <w:r w:rsidRPr="00281F10">
        <w:rPr>
          <w:rFonts w:eastAsia="Times New Roman"/>
          <w:noProof/>
          <w:snapToGrid/>
          <w:szCs w:val="22"/>
          <w:highlight w:val="lightGray"/>
          <w:lang w:val="el-GR" w:eastAsia="en-US"/>
        </w:rPr>
        <w:t>Μαγνήσιο στεατικό</w:t>
      </w:r>
    </w:p>
    <w:p w:rsidR="00C039D3" w:rsidRPr="00281F10" w:rsidRDefault="00C039D3" w:rsidP="005F04EA">
      <w:pPr>
        <w:spacing w:line="240" w:lineRule="auto"/>
        <w:rPr>
          <w:rFonts w:eastAsia="Times New Roman"/>
          <w:noProof/>
          <w:snapToGrid/>
          <w:szCs w:val="22"/>
          <w:highlight w:val="lightGray"/>
          <w:lang w:val="el-GR" w:eastAsia="en-US"/>
        </w:rPr>
      </w:pPr>
    </w:p>
    <w:p w:rsidR="00847B4F" w:rsidRPr="00281F10" w:rsidRDefault="001F2496" w:rsidP="005F04EA">
      <w:pPr>
        <w:spacing w:line="240" w:lineRule="auto"/>
        <w:rPr>
          <w:rFonts w:eastAsia="Times New Roman"/>
          <w:noProof/>
          <w:snapToGrid/>
          <w:szCs w:val="22"/>
          <w:highlight w:val="lightGray"/>
          <w:lang w:val="el-GR" w:eastAsia="en-US"/>
        </w:rPr>
      </w:pPr>
      <w:r w:rsidRPr="00281F10">
        <w:rPr>
          <w:rFonts w:eastAsia="Times New Roman"/>
          <w:noProof/>
          <w:snapToGrid/>
          <w:szCs w:val="22"/>
          <w:highlight w:val="lightGray"/>
          <w:lang w:val="el-GR" w:eastAsia="en-US"/>
        </w:rPr>
        <w:t>Επικάλυψη δισκίου:</w:t>
      </w:r>
    </w:p>
    <w:p w:rsidR="00847B4F" w:rsidRPr="00281F10" w:rsidRDefault="001F2496" w:rsidP="005F04EA">
      <w:pPr>
        <w:spacing w:line="240" w:lineRule="auto"/>
        <w:rPr>
          <w:rFonts w:eastAsia="Times New Roman"/>
          <w:noProof/>
          <w:snapToGrid/>
          <w:szCs w:val="22"/>
          <w:highlight w:val="lightGray"/>
          <w:lang w:val="el-GR" w:eastAsia="en-US"/>
        </w:rPr>
      </w:pPr>
      <w:r w:rsidRPr="00281F10">
        <w:rPr>
          <w:rFonts w:eastAsia="Times New Roman"/>
          <w:noProof/>
          <w:snapToGrid/>
          <w:szCs w:val="22"/>
          <w:highlight w:val="lightGray"/>
          <w:lang w:val="el-GR" w:eastAsia="en-US"/>
        </w:rPr>
        <w:t>Πολυβινυλαλκοόλη</w:t>
      </w:r>
    </w:p>
    <w:p w:rsidR="00847B4F" w:rsidRPr="00281F10" w:rsidRDefault="001F2496" w:rsidP="005F04EA">
      <w:pPr>
        <w:spacing w:line="240" w:lineRule="auto"/>
        <w:rPr>
          <w:rFonts w:eastAsia="Times New Roman"/>
          <w:noProof/>
          <w:snapToGrid/>
          <w:szCs w:val="22"/>
          <w:highlight w:val="lightGray"/>
          <w:lang w:val="el-GR" w:eastAsia="en-US"/>
        </w:rPr>
      </w:pPr>
      <w:r w:rsidRPr="00281F10">
        <w:rPr>
          <w:rFonts w:eastAsia="Times New Roman"/>
          <w:noProof/>
          <w:snapToGrid/>
          <w:szCs w:val="22"/>
          <w:highlight w:val="lightGray"/>
          <w:lang w:val="el-GR" w:eastAsia="en-US"/>
        </w:rPr>
        <w:t>Διοξείδιο τιτανίου (</w:t>
      </w:r>
      <w:r w:rsidRPr="00281F10">
        <w:rPr>
          <w:rFonts w:eastAsia="Times New Roman"/>
          <w:noProof/>
          <w:snapToGrid/>
          <w:szCs w:val="22"/>
          <w:highlight w:val="lightGray"/>
          <w:lang w:eastAsia="en-US"/>
        </w:rPr>
        <w:t>E</w:t>
      </w:r>
      <w:r w:rsidRPr="00281F10">
        <w:rPr>
          <w:rFonts w:eastAsia="Times New Roman"/>
          <w:noProof/>
          <w:snapToGrid/>
          <w:szCs w:val="22"/>
          <w:highlight w:val="lightGray"/>
          <w:lang w:val="el-GR" w:eastAsia="en-US"/>
        </w:rPr>
        <w:t xml:space="preserve"> 171)</w:t>
      </w:r>
    </w:p>
    <w:p w:rsidR="00847B4F" w:rsidRPr="00281F10" w:rsidRDefault="001F2496" w:rsidP="005F04EA">
      <w:pPr>
        <w:spacing w:line="240" w:lineRule="auto"/>
        <w:rPr>
          <w:rFonts w:eastAsia="Times New Roman"/>
          <w:noProof/>
          <w:snapToGrid/>
          <w:szCs w:val="22"/>
          <w:highlight w:val="lightGray"/>
          <w:lang w:val="el-GR" w:eastAsia="en-US"/>
        </w:rPr>
      </w:pPr>
      <w:r w:rsidRPr="00281F10">
        <w:rPr>
          <w:rFonts w:eastAsia="Times New Roman"/>
          <w:noProof/>
          <w:snapToGrid/>
          <w:szCs w:val="22"/>
          <w:highlight w:val="lightGray"/>
          <w:lang w:val="el-GR" w:eastAsia="en-US"/>
        </w:rPr>
        <w:t>Πολυαιθυλενογλυκόλη 3350</w:t>
      </w:r>
    </w:p>
    <w:p w:rsidR="00847B4F" w:rsidRPr="00281F10" w:rsidRDefault="001F2496" w:rsidP="005F04EA">
      <w:pPr>
        <w:spacing w:line="240" w:lineRule="auto"/>
        <w:rPr>
          <w:rFonts w:eastAsia="Times New Roman"/>
          <w:noProof/>
          <w:snapToGrid/>
          <w:szCs w:val="22"/>
          <w:highlight w:val="lightGray"/>
          <w:lang w:val="el-GR" w:eastAsia="en-US"/>
        </w:rPr>
      </w:pPr>
      <w:r w:rsidRPr="00281F10">
        <w:rPr>
          <w:rFonts w:eastAsia="Times New Roman"/>
          <w:noProof/>
          <w:snapToGrid/>
          <w:szCs w:val="22"/>
          <w:highlight w:val="lightGray"/>
          <w:lang w:val="el-GR" w:eastAsia="en-US"/>
        </w:rPr>
        <w:t>Τάλκης</w:t>
      </w:r>
    </w:p>
    <w:p w:rsidR="00847B4F" w:rsidRPr="00281F10" w:rsidRDefault="001F2496" w:rsidP="005F04EA">
      <w:pPr>
        <w:spacing w:line="240" w:lineRule="auto"/>
        <w:rPr>
          <w:rFonts w:eastAsia="Times New Roman"/>
          <w:noProof/>
          <w:snapToGrid/>
          <w:szCs w:val="22"/>
          <w:highlight w:val="lightGray"/>
          <w:lang w:val="el-GR" w:eastAsia="en-US"/>
        </w:rPr>
      </w:pPr>
      <w:r w:rsidRPr="00281F10">
        <w:rPr>
          <w:rFonts w:eastAsia="Times New Roman"/>
          <w:noProof/>
          <w:snapToGrid/>
          <w:szCs w:val="22"/>
          <w:highlight w:val="lightGray"/>
          <w:lang w:val="el-GR" w:eastAsia="en-US"/>
        </w:rPr>
        <w:t>Κίτρινο οξείδιο σιδήρου (</w:t>
      </w:r>
      <w:r w:rsidRPr="00281F10">
        <w:rPr>
          <w:rFonts w:eastAsia="Times New Roman"/>
          <w:noProof/>
          <w:snapToGrid/>
          <w:szCs w:val="22"/>
          <w:highlight w:val="lightGray"/>
          <w:lang w:eastAsia="en-US"/>
        </w:rPr>
        <w:t>E</w:t>
      </w:r>
      <w:r w:rsidRPr="00281F10">
        <w:rPr>
          <w:rFonts w:eastAsia="Times New Roman"/>
          <w:noProof/>
          <w:snapToGrid/>
          <w:szCs w:val="22"/>
          <w:highlight w:val="lightGray"/>
          <w:lang w:val="el-GR" w:eastAsia="en-US"/>
        </w:rPr>
        <w:t xml:space="preserve"> 172)</w:t>
      </w:r>
    </w:p>
    <w:p w:rsidR="00847B4F" w:rsidRPr="00281F10" w:rsidRDefault="001F2496" w:rsidP="005F04EA">
      <w:pPr>
        <w:spacing w:line="240" w:lineRule="auto"/>
        <w:rPr>
          <w:rFonts w:eastAsia="Times New Roman"/>
          <w:noProof/>
          <w:snapToGrid/>
          <w:szCs w:val="22"/>
          <w:highlight w:val="lightGray"/>
          <w:lang w:val="el-GR" w:eastAsia="en-US"/>
        </w:rPr>
      </w:pPr>
      <w:r w:rsidRPr="00281F10">
        <w:rPr>
          <w:rFonts w:eastAsia="Times New Roman"/>
          <w:noProof/>
          <w:snapToGrid/>
          <w:szCs w:val="22"/>
          <w:highlight w:val="lightGray"/>
          <w:lang w:val="el-GR" w:eastAsia="en-US"/>
        </w:rPr>
        <w:t>Ερυθρό οξείδιο σιδήρου (</w:t>
      </w:r>
      <w:r w:rsidRPr="00281F10">
        <w:rPr>
          <w:rFonts w:eastAsia="Times New Roman"/>
          <w:noProof/>
          <w:snapToGrid/>
          <w:szCs w:val="22"/>
          <w:highlight w:val="lightGray"/>
          <w:lang w:eastAsia="en-US"/>
        </w:rPr>
        <w:t>E</w:t>
      </w:r>
      <w:r w:rsidRPr="00281F10">
        <w:rPr>
          <w:rFonts w:eastAsia="Times New Roman"/>
          <w:noProof/>
          <w:snapToGrid/>
          <w:szCs w:val="22"/>
          <w:highlight w:val="lightGray"/>
          <w:lang w:val="el-GR" w:eastAsia="en-US"/>
        </w:rPr>
        <w:t xml:space="preserve"> 172)</w:t>
      </w:r>
    </w:p>
    <w:p w:rsidR="00847B4F" w:rsidRPr="00281F10" w:rsidRDefault="00847B4F" w:rsidP="005F04EA">
      <w:pPr>
        <w:spacing w:line="240" w:lineRule="auto"/>
        <w:rPr>
          <w:szCs w:val="22"/>
          <w:lang w:val="el-GR"/>
        </w:rPr>
      </w:pPr>
    </w:p>
    <w:p w:rsidR="00847B4F" w:rsidRPr="00281F10" w:rsidRDefault="001F2496" w:rsidP="005F04EA">
      <w:pPr>
        <w:spacing w:line="240" w:lineRule="auto"/>
        <w:rPr>
          <w:rFonts w:eastAsia="Times New Roman"/>
          <w:noProof/>
          <w:snapToGrid/>
          <w:szCs w:val="22"/>
          <w:highlight w:val="lightGray"/>
          <w:lang w:val="el-GR" w:eastAsia="en-US"/>
        </w:rPr>
      </w:pPr>
      <w:r w:rsidRPr="00281F10">
        <w:rPr>
          <w:rFonts w:eastAsia="Times New Roman"/>
          <w:noProof/>
          <w:snapToGrid/>
          <w:szCs w:val="22"/>
          <w:highlight w:val="lightGray"/>
          <w:lang w:val="el-GR" w:eastAsia="en-US"/>
        </w:rPr>
        <w:t xml:space="preserve">[100 </w:t>
      </w:r>
      <w:r w:rsidRPr="00281F10">
        <w:rPr>
          <w:rFonts w:eastAsia="Times New Roman"/>
          <w:noProof/>
          <w:snapToGrid/>
          <w:szCs w:val="22"/>
          <w:highlight w:val="lightGray"/>
          <w:lang w:eastAsia="en-US"/>
        </w:rPr>
        <w:t>mg</w:t>
      </w:r>
      <w:r w:rsidRPr="00281F10">
        <w:rPr>
          <w:rFonts w:eastAsia="Times New Roman"/>
          <w:noProof/>
          <w:snapToGrid/>
          <w:szCs w:val="22"/>
          <w:highlight w:val="lightGray"/>
          <w:lang w:val="el-GR" w:eastAsia="en-US"/>
        </w:rPr>
        <w:t>]:</w:t>
      </w:r>
    </w:p>
    <w:p w:rsidR="00847B4F" w:rsidRPr="00281F10" w:rsidRDefault="001F2496" w:rsidP="005F04EA">
      <w:pPr>
        <w:spacing w:line="240" w:lineRule="auto"/>
        <w:rPr>
          <w:rFonts w:eastAsia="Times New Roman"/>
          <w:noProof/>
          <w:snapToGrid/>
          <w:szCs w:val="22"/>
          <w:highlight w:val="lightGray"/>
          <w:lang w:val="el-GR" w:eastAsia="en-US"/>
        </w:rPr>
      </w:pPr>
      <w:r w:rsidRPr="00281F10">
        <w:rPr>
          <w:rFonts w:eastAsia="Times New Roman"/>
          <w:noProof/>
          <w:snapToGrid/>
          <w:szCs w:val="22"/>
          <w:highlight w:val="lightGray"/>
          <w:lang w:val="el-GR" w:eastAsia="en-US"/>
        </w:rPr>
        <w:t>Πυρήνας δισκίου:</w:t>
      </w:r>
    </w:p>
    <w:p w:rsidR="00847B4F" w:rsidRPr="00281F10" w:rsidRDefault="001F2496" w:rsidP="005F04EA">
      <w:pPr>
        <w:spacing w:line="240" w:lineRule="auto"/>
        <w:rPr>
          <w:rFonts w:eastAsia="Times New Roman"/>
          <w:noProof/>
          <w:snapToGrid/>
          <w:szCs w:val="22"/>
          <w:highlight w:val="lightGray"/>
          <w:lang w:val="el-GR" w:eastAsia="en-US"/>
        </w:rPr>
      </w:pPr>
      <w:r w:rsidRPr="00281F10">
        <w:rPr>
          <w:rFonts w:eastAsia="Times New Roman"/>
          <w:noProof/>
          <w:snapToGrid/>
          <w:szCs w:val="22"/>
          <w:highlight w:val="lightGray"/>
          <w:lang w:val="el-GR" w:eastAsia="en-US"/>
        </w:rPr>
        <w:t>Μικροκρυσταλλική κυτταρίνη</w:t>
      </w:r>
    </w:p>
    <w:p w:rsidR="00847B4F" w:rsidRPr="00281F10" w:rsidRDefault="001F2496" w:rsidP="005F04EA">
      <w:pPr>
        <w:spacing w:line="240" w:lineRule="auto"/>
        <w:rPr>
          <w:rFonts w:eastAsia="Times New Roman"/>
          <w:noProof/>
          <w:snapToGrid/>
          <w:szCs w:val="22"/>
          <w:highlight w:val="lightGray"/>
          <w:lang w:val="el-GR" w:eastAsia="en-US"/>
        </w:rPr>
      </w:pPr>
      <w:r w:rsidRPr="00281F10">
        <w:rPr>
          <w:rFonts w:eastAsia="Times New Roman"/>
          <w:noProof/>
          <w:snapToGrid/>
          <w:szCs w:val="22"/>
          <w:highlight w:val="lightGray"/>
          <w:lang w:val="el-GR" w:eastAsia="en-US"/>
        </w:rPr>
        <w:t>Λακτόζη μονοϋδρική</w:t>
      </w:r>
    </w:p>
    <w:p w:rsidR="00847B4F" w:rsidRPr="00281F10" w:rsidRDefault="001F2496" w:rsidP="005F04EA">
      <w:pPr>
        <w:spacing w:line="240" w:lineRule="auto"/>
        <w:rPr>
          <w:rFonts w:eastAsia="Times New Roman"/>
          <w:noProof/>
          <w:snapToGrid/>
          <w:szCs w:val="22"/>
          <w:highlight w:val="lightGray"/>
          <w:lang w:val="el-GR" w:eastAsia="en-US"/>
        </w:rPr>
      </w:pPr>
      <w:r w:rsidRPr="00281F10">
        <w:rPr>
          <w:rFonts w:eastAsia="Times New Roman"/>
          <w:noProof/>
          <w:snapToGrid/>
          <w:szCs w:val="22"/>
          <w:highlight w:val="lightGray"/>
          <w:lang w:val="el-GR" w:eastAsia="en-US"/>
        </w:rPr>
        <w:t>Καρμελλόζη νατριούχος</w:t>
      </w:r>
    </w:p>
    <w:p w:rsidR="00847B4F" w:rsidRPr="00281F10" w:rsidRDefault="001F2496" w:rsidP="005F04EA">
      <w:pPr>
        <w:spacing w:line="240" w:lineRule="auto"/>
        <w:rPr>
          <w:rFonts w:eastAsia="Times New Roman"/>
          <w:noProof/>
          <w:snapToGrid/>
          <w:szCs w:val="22"/>
          <w:highlight w:val="lightGray"/>
          <w:lang w:val="el-GR" w:eastAsia="en-US"/>
        </w:rPr>
      </w:pPr>
      <w:r w:rsidRPr="00281F10">
        <w:rPr>
          <w:rFonts w:eastAsia="Times New Roman"/>
          <w:noProof/>
          <w:snapToGrid/>
          <w:szCs w:val="22"/>
          <w:highlight w:val="lightGray"/>
          <w:lang w:val="el-GR" w:eastAsia="en-US"/>
        </w:rPr>
        <w:t>Ποβιδόνη Κ30</w:t>
      </w:r>
    </w:p>
    <w:p w:rsidR="00847B4F" w:rsidRPr="00281F10" w:rsidRDefault="001F2496" w:rsidP="005F04EA">
      <w:pPr>
        <w:spacing w:line="240" w:lineRule="auto"/>
        <w:rPr>
          <w:rFonts w:eastAsia="Times New Roman"/>
          <w:noProof/>
          <w:snapToGrid/>
          <w:szCs w:val="22"/>
          <w:highlight w:val="lightGray"/>
          <w:lang w:val="el-GR" w:eastAsia="en-US"/>
        </w:rPr>
      </w:pPr>
      <w:r w:rsidRPr="00281F10">
        <w:rPr>
          <w:rFonts w:eastAsia="Times New Roman"/>
          <w:noProof/>
          <w:snapToGrid/>
          <w:szCs w:val="22"/>
          <w:highlight w:val="lightGray"/>
          <w:lang w:val="el-GR" w:eastAsia="en-US"/>
        </w:rPr>
        <w:t>Μαγνήσιο στεατικό</w:t>
      </w:r>
    </w:p>
    <w:p w:rsidR="00C039D3" w:rsidRPr="00281F10" w:rsidRDefault="00C039D3" w:rsidP="005F04EA">
      <w:pPr>
        <w:spacing w:line="240" w:lineRule="auto"/>
        <w:rPr>
          <w:rFonts w:eastAsia="Times New Roman"/>
          <w:noProof/>
          <w:snapToGrid/>
          <w:szCs w:val="22"/>
          <w:highlight w:val="lightGray"/>
          <w:lang w:val="el-GR" w:eastAsia="en-US"/>
        </w:rPr>
      </w:pPr>
    </w:p>
    <w:p w:rsidR="00847B4F" w:rsidRPr="00281F10" w:rsidRDefault="001F2496" w:rsidP="005F04EA">
      <w:pPr>
        <w:spacing w:line="240" w:lineRule="auto"/>
        <w:rPr>
          <w:rFonts w:eastAsia="Times New Roman"/>
          <w:noProof/>
          <w:snapToGrid/>
          <w:szCs w:val="22"/>
          <w:highlight w:val="lightGray"/>
          <w:lang w:val="el-GR" w:eastAsia="en-US"/>
        </w:rPr>
      </w:pPr>
      <w:r w:rsidRPr="00281F10">
        <w:rPr>
          <w:rFonts w:eastAsia="Times New Roman"/>
          <w:noProof/>
          <w:snapToGrid/>
          <w:szCs w:val="22"/>
          <w:highlight w:val="lightGray"/>
          <w:lang w:val="el-GR" w:eastAsia="en-US"/>
        </w:rPr>
        <w:t>Επικάλυψη δισκίου:</w:t>
      </w:r>
    </w:p>
    <w:p w:rsidR="00847B4F" w:rsidRPr="00281F10" w:rsidRDefault="001F2496" w:rsidP="005F04EA">
      <w:pPr>
        <w:spacing w:line="240" w:lineRule="auto"/>
        <w:rPr>
          <w:rFonts w:eastAsia="Times New Roman"/>
          <w:noProof/>
          <w:snapToGrid/>
          <w:szCs w:val="22"/>
          <w:highlight w:val="lightGray"/>
          <w:lang w:val="el-GR" w:eastAsia="en-US"/>
        </w:rPr>
      </w:pPr>
      <w:r w:rsidRPr="00281F10">
        <w:rPr>
          <w:rFonts w:eastAsia="Times New Roman"/>
          <w:noProof/>
          <w:snapToGrid/>
          <w:szCs w:val="22"/>
          <w:highlight w:val="lightGray"/>
          <w:lang w:val="el-GR" w:eastAsia="en-US"/>
        </w:rPr>
        <w:t>Πολυβινυλαλκοόλη</w:t>
      </w:r>
    </w:p>
    <w:p w:rsidR="00847B4F" w:rsidRPr="00281F10" w:rsidRDefault="001F2496" w:rsidP="005F04EA">
      <w:pPr>
        <w:spacing w:line="240" w:lineRule="auto"/>
        <w:rPr>
          <w:rFonts w:eastAsia="Times New Roman"/>
          <w:noProof/>
          <w:snapToGrid/>
          <w:szCs w:val="22"/>
          <w:highlight w:val="lightGray"/>
          <w:lang w:val="el-GR" w:eastAsia="en-US"/>
        </w:rPr>
      </w:pPr>
      <w:r w:rsidRPr="00281F10">
        <w:rPr>
          <w:rFonts w:eastAsia="Times New Roman"/>
          <w:noProof/>
          <w:snapToGrid/>
          <w:szCs w:val="22"/>
          <w:highlight w:val="lightGray"/>
          <w:lang w:val="el-GR" w:eastAsia="en-US"/>
        </w:rPr>
        <w:t>Διοξείδιο τιτανίου (</w:t>
      </w:r>
      <w:r w:rsidRPr="00281F10">
        <w:rPr>
          <w:rFonts w:eastAsia="Times New Roman"/>
          <w:noProof/>
          <w:snapToGrid/>
          <w:szCs w:val="22"/>
          <w:highlight w:val="lightGray"/>
          <w:lang w:eastAsia="en-US"/>
        </w:rPr>
        <w:t>E</w:t>
      </w:r>
      <w:r w:rsidRPr="00281F10">
        <w:rPr>
          <w:rFonts w:eastAsia="Times New Roman"/>
          <w:noProof/>
          <w:snapToGrid/>
          <w:szCs w:val="22"/>
          <w:highlight w:val="lightGray"/>
          <w:lang w:val="el-GR" w:eastAsia="en-US"/>
        </w:rPr>
        <w:t xml:space="preserve"> 171)</w:t>
      </w:r>
    </w:p>
    <w:p w:rsidR="00847B4F" w:rsidRPr="00281F10" w:rsidRDefault="001F2496" w:rsidP="005F04EA">
      <w:pPr>
        <w:spacing w:line="240" w:lineRule="auto"/>
        <w:rPr>
          <w:rFonts w:eastAsia="Times New Roman"/>
          <w:noProof/>
          <w:snapToGrid/>
          <w:szCs w:val="22"/>
          <w:highlight w:val="lightGray"/>
          <w:lang w:val="el-GR" w:eastAsia="en-US"/>
        </w:rPr>
      </w:pPr>
      <w:r w:rsidRPr="00281F10">
        <w:rPr>
          <w:rFonts w:eastAsia="Times New Roman"/>
          <w:noProof/>
          <w:snapToGrid/>
          <w:szCs w:val="22"/>
          <w:highlight w:val="lightGray"/>
          <w:lang w:val="el-GR" w:eastAsia="en-US"/>
        </w:rPr>
        <w:t>Πολυαιθυλενογλυκόλη 3350</w:t>
      </w:r>
    </w:p>
    <w:p w:rsidR="00847B4F" w:rsidRPr="00281F10" w:rsidRDefault="001F2496" w:rsidP="005F04EA">
      <w:pPr>
        <w:spacing w:line="240" w:lineRule="auto"/>
        <w:rPr>
          <w:rFonts w:eastAsia="Times New Roman"/>
          <w:noProof/>
          <w:snapToGrid/>
          <w:szCs w:val="22"/>
          <w:highlight w:val="lightGray"/>
          <w:lang w:val="el-GR" w:eastAsia="en-US"/>
        </w:rPr>
      </w:pPr>
      <w:r w:rsidRPr="00281F10">
        <w:rPr>
          <w:rFonts w:eastAsia="Times New Roman"/>
          <w:noProof/>
          <w:snapToGrid/>
          <w:szCs w:val="22"/>
          <w:highlight w:val="lightGray"/>
          <w:lang w:val="el-GR" w:eastAsia="en-US"/>
        </w:rPr>
        <w:t>Τάλκης</w:t>
      </w:r>
    </w:p>
    <w:p w:rsidR="00847B4F" w:rsidRPr="00281F10" w:rsidRDefault="001F2496" w:rsidP="005F04EA">
      <w:pPr>
        <w:spacing w:line="240" w:lineRule="auto"/>
        <w:rPr>
          <w:rFonts w:eastAsia="Times New Roman"/>
          <w:noProof/>
          <w:snapToGrid/>
          <w:szCs w:val="22"/>
          <w:highlight w:val="lightGray"/>
          <w:lang w:val="el-GR" w:eastAsia="en-US"/>
        </w:rPr>
      </w:pPr>
      <w:r w:rsidRPr="00281F10">
        <w:rPr>
          <w:rFonts w:eastAsia="Times New Roman"/>
          <w:noProof/>
          <w:snapToGrid/>
          <w:szCs w:val="22"/>
          <w:highlight w:val="lightGray"/>
          <w:lang w:val="el-GR" w:eastAsia="en-US"/>
        </w:rPr>
        <w:t>Κίτρινο οξείδιο σιδήρου (</w:t>
      </w:r>
      <w:r w:rsidRPr="00281F10">
        <w:rPr>
          <w:rFonts w:eastAsia="Times New Roman"/>
          <w:noProof/>
          <w:snapToGrid/>
          <w:szCs w:val="22"/>
          <w:highlight w:val="lightGray"/>
          <w:lang w:eastAsia="en-US"/>
        </w:rPr>
        <w:t>E</w:t>
      </w:r>
      <w:r w:rsidRPr="00281F10">
        <w:rPr>
          <w:rFonts w:eastAsia="Times New Roman"/>
          <w:noProof/>
          <w:snapToGrid/>
          <w:szCs w:val="22"/>
          <w:highlight w:val="lightGray"/>
          <w:lang w:val="el-GR" w:eastAsia="en-US"/>
        </w:rPr>
        <w:t xml:space="preserve"> 172)</w:t>
      </w:r>
    </w:p>
    <w:p w:rsidR="00847B4F" w:rsidRPr="00281F10" w:rsidRDefault="001F2496" w:rsidP="005F04EA">
      <w:pPr>
        <w:spacing w:line="240" w:lineRule="auto"/>
        <w:rPr>
          <w:rFonts w:eastAsia="Times New Roman"/>
          <w:noProof/>
          <w:snapToGrid/>
          <w:szCs w:val="22"/>
          <w:highlight w:val="lightGray"/>
          <w:lang w:val="el-GR" w:eastAsia="en-US"/>
        </w:rPr>
      </w:pPr>
      <w:r w:rsidRPr="00281F10">
        <w:rPr>
          <w:rFonts w:eastAsia="Times New Roman"/>
          <w:noProof/>
          <w:snapToGrid/>
          <w:szCs w:val="22"/>
          <w:highlight w:val="lightGray"/>
          <w:lang w:val="el-GR" w:eastAsia="en-US"/>
        </w:rPr>
        <w:t>Ερυθρό οξείδιο σιδήρου (</w:t>
      </w:r>
      <w:r w:rsidRPr="00281F10">
        <w:rPr>
          <w:rFonts w:eastAsia="Times New Roman"/>
          <w:noProof/>
          <w:snapToGrid/>
          <w:szCs w:val="22"/>
          <w:highlight w:val="lightGray"/>
          <w:lang w:eastAsia="en-US"/>
        </w:rPr>
        <w:t>E</w:t>
      </w:r>
      <w:r w:rsidRPr="00281F10">
        <w:rPr>
          <w:rFonts w:eastAsia="Times New Roman"/>
          <w:noProof/>
          <w:snapToGrid/>
          <w:szCs w:val="22"/>
          <w:highlight w:val="lightGray"/>
          <w:lang w:val="el-GR" w:eastAsia="en-US"/>
        </w:rPr>
        <w:t xml:space="preserve"> 172)</w:t>
      </w:r>
    </w:p>
    <w:p w:rsidR="00847B4F" w:rsidRPr="00281F10" w:rsidRDefault="001F2496" w:rsidP="005F04EA">
      <w:pPr>
        <w:spacing w:line="240" w:lineRule="auto"/>
        <w:rPr>
          <w:rFonts w:eastAsia="Times New Roman"/>
          <w:noProof/>
          <w:snapToGrid/>
          <w:szCs w:val="22"/>
          <w:highlight w:val="lightGray"/>
          <w:lang w:val="el-GR" w:eastAsia="en-US"/>
        </w:rPr>
      </w:pPr>
      <w:r w:rsidRPr="00281F10">
        <w:rPr>
          <w:rFonts w:eastAsia="Times New Roman"/>
          <w:noProof/>
          <w:snapToGrid/>
          <w:szCs w:val="22"/>
          <w:highlight w:val="lightGray"/>
          <w:lang w:val="el-GR" w:eastAsia="en-US"/>
        </w:rPr>
        <w:t>Μέλαν οξείδιο σιδήρου (</w:t>
      </w:r>
      <w:r w:rsidRPr="00281F10">
        <w:rPr>
          <w:rFonts w:eastAsia="Times New Roman"/>
          <w:noProof/>
          <w:snapToGrid/>
          <w:szCs w:val="22"/>
          <w:highlight w:val="lightGray"/>
          <w:lang w:eastAsia="en-US"/>
        </w:rPr>
        <w:t>E</w:t>
      </w:r>
      <w:r w:rsidRPr="00281F10">
        <w:rPr>
          <w:rFonts w:eastAsia="Times New Roman"/>
          <w:noProof/>
          <w:snapToGrid/>
          <w:szCs w:val="22"/>
          <w:highlight w:val="lightGray"/>
          <w:lang w:val="el-GR" w:eastAsia="en-US"/>
        </w:rPr>
        <w:t xml:space="preserve"> 172)</w:t>
      </w:r>
    </w:p>
    <w:p w:rsidR="00847B4F" w:rsidRPr="00281F10" w:rsidRDefault="00847B4F" w:rsidP="005F04EA">
      <w:pPr>
        <w:spacing w:line="240" w:lineRule="auto"/>
        <w:rPr>
          <w:strike/>
          <w:szCs w:val="22"/>
          <w:lang w:val="el-GR"/>
        </w:rPr>
      </w:pPr>
    </w:p>
    <w:p w:rsidR="00847B4F" w:rsidRPr="00281F10" w:rsidRDefault="001F2496" w:rsidP="005F04EA">
      <w:pPr>
        <w:pStyle w:val="2"/>
        <w:spacing w:before="0" w:after="0" w:line="240" w:lineRule="auto"/>
        <w:rPr>
          <w:rFonts w:ascii="Times New Roman" w:hAnsi="Times New Roman"/>
          <w:i w:val="0"/>
          <w:sz w:val="22"/>
          <w:szCs w:val="22"/>
          <w:lang w:val="el-GR"/>
        </w:rPr>
      </w:pPr>
      <w:r w:rsidRPr="00281F10">
        <w:rPr>
          <w:rFonts w:ascii="Times New Roman" w:hAnsi="Times New Roman"/>
          <w:i w:val="0"/>
          <w:sz w:val="22"/>
          <w:szCs w:val="22"/>
          <w:lang w:val="el-GR"/>
        </w:rPr>
        <w:lastRenderedPageBreak/>
        <w:t>6.2</w:t>
      </w:r>
      <w:r w:rsidRPr="00281F10">
        <w:rPr>
          <w:rFonts w:ascii="Times New Roman" w:hAnsi="Times New Roman"/>
          <w:i w:val="0"/>
          <w:sz w:val="22"/>
          <w:szCs w:val="22"/>
          <w:lang w:val="el-GR"/>
        </w:rPr>
        <w:tab/>
        <w:t>Ασυμβατότητες</w:t>
      </w:r>
    </w:p>
    <w:p w:rsidR="006A0546" w:rsidRPr="00281F10" w:rsidRDefault="006A0546" w:rsidP="005F04EA">
      <w:pPr>
        <w:spacing w:line="240" w:lineRule="auto"/>
        <w:rPr>
          <w:szCs w:val="22"/>
          <w:lang w:val="el-GR"/>
        </w:rPr>
      </w:pPr>
    </w:p>
    <w:p w:rsidR="00847B4F" w:rsidRPr="00281F10" w:rsidRDefault="001F2496" w:rsidP="005F04EA">
      <w:pPr>
        <w:spacing w:line="240" w:lineRule="auto"/>
        <w:rPr>
          <w:szCs w:val="22"/>
          <w:lang w:val="el-GR"/>
        </w:rPr>
      </w:pPr>
      <w:r w:rsidRPr="00281F10">
        <w:rPr>
          <w:szCs w:val="22"/>
          <w:lang w:val="el-GR"/>
        </w:rPr>
        <w:t>Δεν εφαρμόζεται</w:t>
      </w:r>
    </w:p>
    <w:p w:rsidR="00847B4F" w:rsidRPr="00281F10" w:rsidRDefault="00847B4F" w:rsidP="005F04EA">
      <w:pPr>
        <w:spacing w:line="240" w:lineRule="auto"/>
        <w:rPr>
          <w:strike/>
          <w:szCs w:val="22"/>
          <w:lang w:val="el-GR"/>
        </w:rPr>
      </w:pPr>
    </w:p>
    <w:p w:rsidR="00847B4F" w:rsidRPr="00281F10" w:rsidRDefault="00D31B6E" w:rsidP="005F04EA">
      <w:pPr>
        <w:pStyle w:val="2"/>
        <w:spacing w:before="0" w:after="0" w:line="240" w:lineRule="auto"/>
        <w:rPr>
          <w:rFonts w:ascii="Times New Roman" w:hAnsi="Times New Roman"/>
          <w:i w:val="0"/>
          <w:sz w:val="22"/>
          <w:szCs w:val="22"/>
          <w:lang w:val="el-GR"/>
        </w:rPr>
      </w:pPr>
      <w:r w:rsidRPr="00281F10">
        <w:rPr>
          <w:rFonts w:ascii="Times New Roman" w:hAnsi="Times New Roman"/>
          <w:i w:val="0"/>
          <w:sz w:val="22"/>
          <w:szCs w:val="22"/>
          <w:lang w:val="el-GR"/>
        </w:rPr>
        <w:t>6.3</w:t>
      </w:r>
      <w:r w:rsidRPr="00281F10">
        <w:rPr>
          <w:rFonts w:ascii="Times New Roman" w:hAnsi="Times New Roman"/>
          <w:i w:val="0"/>
          <w:sz w:val="22"/>
          <w:szCs w:val="22"/>
          <w:lang w:val="el-GR"/>
        </w:rPr>
        <w:tab/>
        <w:t>Διάρκεια ζωής</w:t>
      </w:r>
    </w:p>
    <w:p w:rsidR="006A0546" w:rsidRPr="00281F10" w:rsidRDefault="006A0546" w:rsidP="005F04EA">
      <w:pPr>
        <w:spacing w:line="240" w:lineRule="auto"/>
        <w:rPr>
          <w:szCs w:val="22"/>
          <w:lang w:val="el-GR"/>
        </w:rPr>
      </w:pPr>
    </w:p>
    <w:p w:rsidR="00847B4F" w:rsidRPr="00281F10" w:rsidRDefault="001F2496" w:rsidP="005F04EA">
      <w:pPr>
        <w:spacing w:line="240" w:lineRule="auto"/>
        <w:rPr>
          <w:szCs w:val="22"/>
          <w:lang w:val="el-GR"/>
        </w:rPr>
      </w:pPr>
      <w:r w:rsidRPr="00281F10">
        <w:rPr>
          <w:szCs w:val="22"/>
          <w:lang w:val="el-GR"/>
        </w:rPr>
        <w:t>3 χρόνια</w:t>
      </w:r>
    </w:p>
    <w:p w:rsidR="00847B4F" w:rsidRPr="00281F10" w:rsidRDefault="00847B4F" w:rsidP="005F04EA">
      <w:pPr>
        <w:tabs>
          <w:tab w:val="clear" w:pos="567"/>
        </w:tabs>
        <w:spacing w:line="240" w:lineRule="auto"/>
        <w:rPr>
          <w:szCs w:val="22"/>
          <w:lang w:val="el-GR"/>
        </w:rPr>
      </w:pPr>
    </w:p>
    <w:p w:rsidR="00847B4F" w:rsidRPr="00281F10" w:rsidRDefault="00D31B6E" w:rsidP="005F04EA">
      <w:pPr>
        <w:pStyle w:val="2"/>
        <w:spacing w:before="0" w:after="0" w:line="240" w:lineRule="auto"/>
        <w:rPr>
          <w:rFonts w:ascii="Times New Roman" w:hAnsi="Times New Roman"/>
          <w:i w:val="0"/>
          <w:sz w:val="22"/>
          <w:szCs w:val="22"/>
          <w:lang w:val="el-GR"/>
        </w:rPr>
      </w:pPr>
      <w:r w:rsidRPr="00281F10">
        <w:rPr>
          <w:rFonts w:ascii="Times New Roman" w:hAnsi="Times New Roman"/>
          <w:i w:val="0"/>
          <w:sz w:val="22"/>
          <w:szCs w:val="22"/>
          <w:lang w:val="el-GR"/>
        </w:rPr>
        <w:t>6.4</w:t>
      </w:r>
      <w:r w:rsidRPr="00281F10">
        <w:rPr>
          <w:rFonts w:ascii="Times New Roman" w:hAnsi="Times New Roman"/>
          <w:i w:val="0"/>
          <w:sz w:val="22"/>
          <w:szCs w:val="22"/>
          <w:lang w:val="el-GR"/>
        </w:rPr>
        <w:tab/>
        <w:t>Ιδιαίτερες προφυλάξεις κατά τη φύλαξη του προϊόντος</w:t>
      </w:r>
    </w:p>
    <w:p w:rsidR="006A0546" w:rsidRPr="00281F10" w:rsidRDefault="006A0546" w:rsidP="005F04EA">
      <w:pPr>
        <w:spacing w:line="240" w:lineRule="auto"/>
        <w:rPr>
          <w:szCs w:val="22"/>
          <w:lang w:val="el-GR"/>
        </w:rPr>
      </w:pPr>
    </w:p>
    <w:p w:rsidR="00847B4F" w:rsidRPr="00281F10" w:rsidRDefault="001F2496" w:rsidP="005F04EA">
      <w:pPr>
        <w:spacing w:line="240" w:lineRule="auto"/>
        <w:rPr>
          <w:szCs w:val="22"/>
          <w:lang w:val="el-GR"/>
        </w:rPr>
      </w:pPr>
      <w:r w:rsidRPr="00281F10">
        <w:rPr>
          <w:noProof/>
          <w:szCs w:val="22"/>
          <w:lang w:val="el-GR"/>
        </w:rPr>
        <w:t>Δεν υπάρχουν ειδικές οδηγίες διατήρησης για το προϊόν αυτό</w:t>
      </w:r>
      <w:r w:rsidRPr="00281F10">
        <w:rPr>
          <w:szCs w:val="22"/>
          <w:lang w:val="el-GR"/>
        </w:rPr>
        <w:t>.</w:t>
      </w:r>
    </w:p>
    <w:p w:rsidR="00847B4F" w:rsidRPr="00281F10" w:rsidRDefault="00847B4F" w:rsidP="005F04EA">
      <w:pPr>
        <w:spacing w:line="240" w:lineRule="auto"/>
        <w:rPr>
          <w:szCs w:val="22"/>
          <w:lang w:val="el-GR"/>
        </w:rPr>
      </w:pPr>
    </w:p>
    <w:p w:rsidR="00847B4F" w:rsidRPr="00281F10" w:rsidRDefault="00D31B6E" w:rsidP="005F04EA">
      <w:pPr>
        <w:pStyle w:val="2"/>
        <w:spacing w:before="0" w:after="0" w:line="240" w:lineRule="auto"/>
        <w:rPr>
          <w:rFonts w:ascii="Times New Roman" w:hAnsi="Times New Roman"/>
          <w:i w:val="0"/>
          <w:sz w:val="22"/>
          <w:szCs w:val="22"/>
          <w:lang w:val="el-GR"/>
        </w:rPr>
      </w:pPr>
      <w:r w:rsidRPr="00281F10">
        <w:rPr>
          <w:rFonts w:ascii="Times New Roman" w:hAnsi="Times New Roman"/>
          <w:i w:val="0"/>
          <w:sz w:val="22"/>
          <w:szCs w:val="22"/>
          <w:lang w:val="el-GR"/>
        </w:rPr>
        <w:t>6.5</w:t>
      </w:r>
      <w:r w:rsidRPr="00281F10">
        <w:rPr>
          <w:rFonts w:ascii="Times New Roman" w:hAnsi="Times New Roman"/>
          <w:i w:val="0"/>
          <w:sz w:val="22"/>
          <w:szCs w:val="22"/>
          <w:lang w:val="el-GR"/>
        </w:rPr>
        <w:tab/>
        <w:t>Φύση και συστατικά του περιέκτη</w:t>
      </w:r>
    </w:p>
    <w:p w:rsidR="006A0546" w:rsidRPr="00281F10" w:rsidRDefault="006A0546" w:rsidP="005F04EA">
      <w:pPr>
        <w:spacing w:line="240" w:lineRule="auto"/>
        <w:rPr>
          <w:szCs w:val="22"/>
          <w:lang w:val="el-GR"/>
        </w:rPr>
      </w:pPr>
    </w:p>
    <w:p w:rsidR="00847B4F" w:rsidRPr="00281F10" w:rsidRDefault="001F2496" w:rsidP="005F04EA">
      <w:pPr>
        <w:spacing w:line="240" w:lineRule="auto"/>
        <w:rPr>
          <w:szCs w:val="22"/>
          <w:lang w:val="el-GR"/>
        </w:rPr>
      </w:pPr>
      <w:r w:rsidRPr="00281F10">
        <w:rPr>
          <w:szCs w:val="22"/>
          <w:lang w:val="el-GR"/>
        </w:rPr>
        <w:t>Κυψέλες (</w:t>
      </w:r>
      <w:r w:rsidRPr="00281F10">
        <w:rPr>
          <w:szCs w:val="22"/>
        </w:rPr>
        <w:t>b</w:t>
      </w:r>
      <w:r w:rsidRPr="00281F10">
        <w:rPr>
          <w:szCs w:val="22"/>
          <w:lang w:val="el-GR"/>
        </w:rPr>
        <w:t>lister</w:t>
      </w:r>
      <w:r w:rsidR="00720544" w:rsidRPr="00281F10">
        <w:rPr>
          <w:szCs w:val="22"/>
        </w:rPr>
        <w:t>s</w:t>
      </w:r>
      <w:r w:rsidRPr="00281F10">
        <w:rPr>
          <w:szCs w:val="22"/>
          <w:lang w:val="el-GR"/>
        </w:rPr>
        <w:t>)</w:t>
      </w:r>
      <w:r w:rsidR="00847B4F" w:rsidRPr="00281F10">
        <w:rPr>
          <w:szCs w:val="22"/>
          <w:lang w:val="el-GR"/>
        </w:rPr>
        <w:t xml:space="preserve"> από PVC/PVDC αλουμίνιο</w:t>
      </w:r>
    </w:p>
    <w:p w:rsidR="00847B4F" w:rsidRPr="00281F10" w:rsidRDefault="00847B4F" w:rsidP="005F04EA">
      <w:pPr>
        <w:spacing w:line="240" w:lineRule="auto"/>
        <w:rPr>
          <w:szCs w:val="22"/>
          <w:lang w:val="el-GR"/>
        </w:rPr>
      </w:pPr>
      <w:r w:rsidRPr="00281F10">
        <w:rPr>
          <w:szCs w:val="22"/>
          <w:lang w:val="el-GR"/>
        </w:rPr>
        <w:t xml:space="preserve">Συσκευασίες των 5, 10, 14, 20, </w:t>
      </w:r>
      <w:r w:rsidR="00683993">
        <w:rPr>
          <w:szCs w:val="22"/>
          <w:lang w:val="el-GR"/>
        </w:rPr>
        <w:t xml:space="preserve">24, </w:t>
      </w:r>
      <w:r w:rsidRPr="00281F10">
        <w:rPr>
          <w:szCs w:val="22"/>
          <w:lang w:val="el-GR"/>
        </w:rPr>
        <w:t xml:space="preserve">28, 30, 40, 50, </w:t>
      </w:r>
      <w:r w:rsidR="00683993">
        <w:rPr>
          <w:szCs w:val="22"/>
          <w:lang w:val="el-GR"/>
        </w:rPr>
        <w:t xml:space="preserve">54, </w:t>
      </w:r>
      <w:r w:rsidRPr="00281F10">
        <w:rPr>
          <w:szCs w:val="22"/>
          <w:lang w:val="el-GR"/>
        </w:rPr>
        <w:t>56, 60, 90, 100 επικαλυμμένων με υμένιο δισκίων.</w:t>
      </w:r>
    </w:p>
    <w:p w:rsidR="00847B4F" w:rsidRPr="00281F10" w:rsidRDefault="001F2496" w:rsidP="005F04EA">
      <w:pPr>
        <w:spacing w:line="240" w:lineRule="auto"/>
        <w:rPr>
          <w:szCs w:val="22"/>
          <w:lang w:val="el-GR"/>
        </w:rPr>
      </w:pPr>
      <w:r w:rsidRPr="00281F10">
        <w:rPr>
          <w:szCs w:val="22"/>
          <w:lang w:val="el-GR"/>
        </w:rPr>
        <w:t>Διάτρητες κυψέλες (blisters) μοναδιαίων δόσεων από PVC/PVDC αλουμίνιο</w:t>
      </w:r>
    </w:p>
    <w:p w:rsidR="00847B4F" w:rsidRPr="00281F10" w:rsidRDefault="001F2496" w:rsidP="005F04EA">
      <w:pPr>
        <w:spacing w:line="240" w:lineRule="auto"/>
        <w:rPr>
          <w:szCs w:val="22"/>
          <w:lang w:val="el-GR"/>
        </w:rPr>
      </w:pPr>
      <w:r w:rsidRPr="00281F10">
        <w:rPr>
          <w:szCs w:val="22"/>
          <w:lang w:val="el-GR"/>
        </w:rPr>
        <w:t xml:space="preserve">Συσκευασίες με 10x1, 14x1, 20x1, 28x1, 30x1, 50x1, 56x1, 60x1, 90x1, 100x1 επικαλυμμένα με λεπτό υμένιο δισκία. </w:t>
      </w:r>
    </w:p>
    <w:p w:rsidR="00847B4F" w:rsidRPr="00281F10" w:rsidRDefault="00847B4F" w:rsidP="005F04EA">
      <w:pPr>
        <w:spacing w:line="240" w:lineRule="auto"/>
        <w:rPr>
          <w:szCs w:val="22"/>
          <w:lang w:val="el-GR"/>
        </w:rPr>
      </w:pPr>
    </w:p>
    <w:p w:rsidR="00847B4F" w:rsidRPr="00281F10" w:rsidRDefault="001F2496" w:rsidP="005F04EA">
      <w:pPr>
        <w:spacing w:line="240" w:lineRule="auto"/>
        <w:rPr>
          <w:szCs w:val="22"/>
          <w:lang w:val="el-GR"/>
        </w:rPr>
      </w:pPr>
      <w:r w:rsidRPr="00281F10">
        <w:rPr>
          <w:szCs w:val="22"/>
          <w:lang w:val="el-GR"/>
        </w:rPr>
        <w:t>Μπορεί να μην κυκλοφορούν όλες οι συσκευασίες.</w:t>
      </w:r>
    </w:p>
    <w:p w:rsidR="00847B4F" w:rsidRPr="00281F10" w:rsidRDefault="00847B4F" w:rsidP="005F04EA">
      <w:pPr>
        <w:spacing w:line="240" w:lineRule="auto"/>
        <w:rPr>
          <w:b/>
          <w:szCs w:val="22"/>
          <w:lang w:val="el-GR"/>
        </w:rPr>
      </w:pPr>
    </w:p>
    <w:p w:rsidR="00847B4F" w:rsidRPr="00281F10" w:rsidRDefault="00D31B6E" w:rsidP="005F04EA">
      <w:pPr>
        <w:pStyle w:val="2"/>
        <w:spacing w:before="0" w:after="0" w:line="240" w:lineRule="auto"/>
        <w:rPr>
          <w:rFonts w:ascii="Times New Roman" w:hAnsi="Times New Roman"/>
          <w:i w:val="0"/>
          <w:sz w:val="22"/>
          <w:szCs w:val="22"/>
          <w:lang w:val="el-GR"/>
        </w:rPr>
      </w:pPr>
      <w:r w:rsidRPr="00281F10">
        <w:rPr>
          <w:rFonts w:ascii="Times New Roman" w:hAnsi="Times New Roman"/>
          <w:i w:val="0"/>
          <w:sz w:val="22"/>
          <w:szCs w:val="22"/>
          <w:lang w:val="el-GR"/>
        </w:rPr>
        <w:t>6.6</w:t>
      </w:r>
      <w:r w:rsidRPr="00281F10">
        <w:rPr>
          <w:rFonts w:ascii="Times New Roman" w:hAnsi="Times New Roman"/>
          <w:i w:val="0"/>
          <w:sz w:val="22"/>
          <w:szCs w:val="22"/>
          <w:lang w:val="el-GR"/>
        </w:rPr>
        <w:tab/>
        <w:t>Ιδιαίτερες προφυλάξεις απόρριψης</w:t>
      </w:r>
    </w:p>
    <w:p w:rsidR="006A0546" w:rsidRPr="00281F10" w:rsidRDefault="006A0546" w:rsidP="005F04EA">
      <w:pPr>
        <w:spacing w:line="240" w:lineRule="auto"/>
        <w:rPr>
          <w:szCs w:val="22"/>
          <w:lang w:val="el-GR"/>
        </w:rPr>
      </w:pPr>
    </w:p>
    <w:p w:rsidR="00847B4F" w:rsidRPr="00281F10" w:rsidRDefault="001F2496" w:rsidP="005F04EA">
      <w:pPr>
        <w:spacing w:line="240" w:lineRule="auto"/>
        <w:rPr>
          <w:szCs w:val="22"/>
          <w:lang w:val="el-GR"/>
        </w:rPr>
      </w:pPr>
      <w:r w:rsidRPr="00281F10">
        <w:rPr>
          <w:szCs w:val="22"/>
          <w:lang w:val="el-GR"/>
        </w:rPr>
        <w:t>Καμία ειδική υποχρέωση.</w:t>
      </w:r>
    </w:p>
    <w:p w:rsidR="00847B4F" w:rsidRPr="00281F10" w:rsidRDefault="00847B4F" w:rsidP="005F04EA">
      <w:pPr>
        <w:pStyle w:val="1"/>
        <w:spacing w:before="0" w:after="0" w:line="240" w:lineRule="auto"/>
        <w:rPr>
          <w:sz w:val="22"/>
          <w:szCs w:val="22"/>
          <w:lang w:val="el-GR"/>
        </w:rPr>
      </w:pPr>
    </w:p>
    <w:p w:rsidR="004E6A42" w:rsidRPr="00281F10" w:rsidRDefault="004E6A42" w:rsidP="005F04EA">
      <w:pPr>
        <w:spacing w:line="240" w:lineRule="auto"/>
        <w:rPr>
          <w:szCs w:val="22"/>
          <w:lang w:val="el-GR"/>
        </w:rPr>
      </w:pPr>
    </w:p>
    <w:p w:rsidR="00847B4F" w:rsidRPr="00281F10" w:rsidRDefault="001F2496" w:rsidP="005F04EA">
      <w:pPr>
        <w:pStyle w:val="1"/>
        <w:spacing w:before="0" w:after="0" w:line="240" w:lineRule="auto"/>
        <w:rPr>
          <w:sz w:val="22"/>
          <w:szCs w:val="22"/>
          <w:lang w:val="el-GR"/>
        </w:rPr>
      </w:pPr>
      <w:r w:rsidRPr="00281F10">
        <w:rPr>
          <w:sz w:val="22"/>
          <w:szCs w:val="22"/>
          <w:lang w:val="el-GR"/>
        </w:rPr>
        <w:t>7.</w:t>
      </w:r>
      <w:r w:rsidRPr="00281F10">
        <w:rPr>
          <w:sz w:val="22"/>
          <w:szCs w:val="22"/>
          <w:lang w:val="el-GR"/>
        </w:rPr>
        <w:tab/>
        <w:t>ΚΑΤΟΧΟΣ ΤΗΣ ΑΔΕΙΑΣ ΚΥΚΛΟΦΟΡΙΑΣ</w:t>
      </w:r>
    </w:p>
    <w:p w:rsidR="006A0546" w:rsidRPr="00281F10" w:rsidRDefault="006A0546" w:rsidP="005F04EA">
      <w:pPr>
        <w:spacing w:line="240" w:lineRule="auto"/>
        <w:rPr>
          <w:szCs w:val="22"/>
          <w:lang w:val="el-GR"/>
        </w:rPr>
      </w:pPr>
    </w:p>
    <w:p w:rsidR="00B45B33" w:rsidRPr="00281F10" w:rsidRDefault="001F2496" w:rsidP="005F04EA">
      <w:pPr>
        <w:spacing w:line="240" w:lineRule="auto"/>
        <w:rPr>
          <w:szCs w:val="22"/>
          <w:lang w:val="el-GR"/>
        </w:rPr>
      </w:pPr>
      <w:r w:rsidRPr="00281F10">
        <w:rPr>
          <w:szCs w:val="22"/>
        </w:rPr>
        <w:t>Gr</w:t>
      </w:r>
      <w:r w:rsidRPr="00281F10">
        <w:rPr>
          <w:szCs w:val="22"/>
          <w:lang w:val="el-GR"/>
        </w:rPr>
        <w:t>ü</w:t>
      </w:r>
      <w:r w:rsidR="00B45B33" w:rsidRPr="00281F10">
        <w:rPr>
          <w:szCs w:val="22"/>
        </w:rPr>
        <w:t>nenthal</w:t>
      </w:r>
      <w:r w:rsidRPr="00281F10">
        <w:rPr>
          <w:szCs w:val="22"/>
          <w:lang w:val="el-GR"/>
        </w:rPr>
        <w:t xml:space="preserve"> </w:t>
      </w:r>
      <w:r w:rsidR="00B45B33" w:rsidRPr="00281F10">
        <w:rPr>
          <w:szCs w:val="22"/>
        </w:rPr>
        <w:t>GmbH</w:t>
      </w:r>
    </w:p>
    <w:p w:rsidR="00B45B33" w:rsidRPr="00281F10" w:rsidRDefault="00B45B33" w:rsidP="005F04EA">
      <w:pPr>
        <w:spacing w:line="240" w:lineRule="auto"/>
        <w:rPr>
          <w:szCs w:val="22"/>
          <w:lang w:val="el-GR"/>
        </w:rPr>
      </w:pPr>
      <w:r w:rsidRPr="00281F10">
        <w:rPr>
          <w:szCs w:val="22"/>
        </w:rPr>
        <w:t>Zieglerstra</w:t>
      </w:r>
      <w:r w:rsidR="001F2496" w:rsidRPr="00281F10">
        <w:rPr>
          <w:szCs w:val="22"/>
          <w:lang w:val="el-GR"/>
        </w:rPr>
        <w:t>ß</w:t>
      </w:r>
      <w:r w:rsidRPr="00281F10">
        <w:rPr>
          <w:szCs w:val="22"/>
        </w:rPr>
        <w:t>e</w:t>
      </w:r>
      <w:r w:rsidR="001F2496" w:rsidRPr="00281F10">
        <w:rPr>
          <w:szCs w:val="22"/>
          <w:lang w:val="el-GR"/>
        </w:rPr>
        <w:t xml:space="preserve"> 6</w:t>
      </w:r>
    </w:p>
    <w:p w:rsidR="00B45B33" w:rsidRPr="00281F10" w:rsidRDefault="001F2496" w:rsidP="005F04EA">
      <w:pPr>
        <w:spacing w:line="240" w:lineRule="auto"/>
        <w:rPr>
          <w:szCs w:val="22"/>
          <w:lang w:val="el-GR"/>
        </w:rPr>
      </w:pPr>
      <w:r w:rsidRPr="00281F10">
        <w:rPr>
          <w:szCs w:val="22"/>
          <w:lang w:val="el-GR"/>
        </w:rPr>
        <w:t xml:space="preserve">52078 </w:t>
      </w:r>
      <w:r w:rsidR="00B45B33" w:rsidRPr="00281F10">
        <w:rPr>
          <w:szCs w:val="22"/>
        </w:rPr>
        <w:t>Aachen</w:t>
      </w:r>
    </w:p>
    <w:p w:rsidR="00847B4F" w:rsidRPr="00281F10" w:rsidRDefault="00B45B33" w:rsidP="005F04EA">
      <w:pPr>
        <w:spacing w:line="240" w:lineRule="auto"/>
        <w:rPr>
          <w:szCs w:val="22"/>
          <w:lang w:val="el-GR"/>
        </w:rPr>
      </w:pPr>
      <w:r w:rsidRPr="00281F10">
        <w:rPr>
          <w:szCs w:val="22"/>
        </w:rPr>
        <w:t>Germany</w:t>
      </w:r>
    </w:p>
    <w:p w:rsidR="00847B4F" w:rsidRPr="00E7414F" w:rsidRDefault="00847B4F" w:rsidP="005F04EA">
      <w:pPr>
        <w:spacing w:line="240" w:lineRule="auto"/>
        <w:rPr>
          <w:szCs w:val="22"/>
          <w:lang w:val="el-GR"/>
        </w:rPr>
      </w:pPr>
    </w:p>
    <w:p w:rsidR="00E7414F" w:rsidRPr="00E7414F" w:rsidRDefault="00E7414F" w:rsidP="00E7414F">
      <w:pPr>
        <w:rPr>
          <w:noProof/>
          <w:lang w:val="el-GR"/>
        </w:rPr>
      </w:pPr>
      <w:r w:rsidRPr="00E7414F">
        <w:rPr>
          <w:noProof/>
          <w:lang w:val="el-GR"/>
        </w:rPr>
        <w:t>Τοπικός αντιπρόσωπος:</w:t>
      </w:r>
    </w:p>
    <w:p w:rsidR="00E7414F" w:rsidRPr="00E7414F" w:rsidRDefault="00E7414F" w:rsidP="00E7414F">
      <w:pPr>
        <w:rPr>
          <w:noProof/>
          <w:lang w:val="el-GR"/>
        </w:rPr>
      </w:pPr>
      <w:r>
        <w:rPr>
          <w:noProof/>
        </w:rPr>
        <w:t>Janssen</w:t>
      </w:r>
      <w:r w:rsidRPr="00E7414F">
        <w:rPr>
          <w:noProof/>
          <w:lang w:val="el-GR"/>
        </w:rPr>
        <w:t>-</w:t>
      </w:r>
      <w:r>
        <w:rPr>
          <w:noProof/>
        </w:rPr>
        <w:t>Cilag</w:t>
      </w:r>
      <w:r w:rsidRPr="00E7414F">
        <w:rPr>
          <w:noProof/>
          <w:lang w:val="el-GR"/>
        </w:rPr>
        <w:t xml:space="preserve"> Φαρμακευτική Α.Ε.Β.Ε.</w:t>
      </w:r>
    </w:p>
    <w:p w:rsidR="00E7414F" w:rsidRPr="00B4769B" w:rsidRDefault="00E45A47" w:rsidP="00E7414F">
      <w:pPr>
        <w:rPr>
          <w:noProof/>
          <w:lang w:val="el-GR"/>
        </w:rPr>
      </w:pPr>
      <w:r w:rsidRPr="00E45A47">
        <w:rPr>
          <w:noProof/>
          <w:lang w:val="el-GR"/>
        </w:rPr>
        <w:t>Λ. Ειρήνης 56</w:t>
      </w:r>
    </w:p>
    <w:p w:rsidR="00E7414F" w:rsidRPr="00B4769B" w:rsidRDefault="00E45A47" w:rsidP="00E7414F">
      <w:pPr>
        <w:rPr>
          <w:noProof/>
          <w:lang w:val="el-GR"/>
        </w:rPr>
      </w:pPr>
      <w:r w:rsidRPr="00E45A47">
        <w:rPr>
          <w:noProof/>
          <w:lang w:val="el-GR"/>
        </w:rPr>
        <w:t>151 21 Πεύκη, Αθήνα</w:t>
      </w:r>
    </w:p>
    <w:p w:rsidR="00E7414F" w:rsidRPr="00E7414F" w:rsidRDefault="00E7414F" w:rsidP="005F04EA">
      <w:pPr>
        <w:spacing w:line="240" w:lineRule="auto"/>
        <w:rPr>
          <w:szCs w:val="22"/>
          <w:lang w:val="el-GR"/>
        </w:rPr>
      </w:pPr>
    </w:p>
    <w:p w:rsidR="006A0546" w:rsidRPr="00281F10" w:rsidRDefault="006A0546" w:rsidP="005F04EA">
      <w:pPr>
        <w:spacing w:line="240" w:lineRule="auto"/>
        <w:rPr>
          <w:szCs w:val="22"/>
          <w:lang w:val="el-GR"/>
        </w:rPr>
      </w:pPr>
    </w:p>
    <w:p w:rsidR="00847B4F" w:rsidRPr="00281F10" w:rsidRDefault="001F2496" w:rsidP="005F04EA">
      <w:pPr>
        <w:pStyle w:val="1"/>
        <w:spacing w:before="0" w:after="0" w:line="240" w:lineRule="auto"/>
        <w:rPr>
          <w:sz w:val="22"/>
          <w:szCs w:val="22"/>
          <w:lang w:val="el-GR"/>
        </w:rPr>
      </w:pPr>
      <w:r w:rsidRPr="00281F10">
        <w:rPr>
          <w:sz w:val="22"/>
          <w:szCs w:val="22"/>
          <w:lang w:val="el-GR"/>
        </w:rPr>
        <w:t>8.</w:t>
      </w:r>
      <w:r w:rsidRPr="00281F10">
        <w:rPr>
          <w:sz w:val="22"/>
          <w:szCs w:val="22"/>
          <w:lang w:val="el-GR"/>
        </w:rPr>
        <w:tab/>
        <w:t xml:space="preserve">ΑΡΙΘΜΟΣ(ΟΙ) ΑΔΕΙΑΣ ΚΥΚΛΟΦΟΡΙΑΣ </w:t>
      </w:r>
    </w:p>
    <w:p w:rsidR="006A0546" w:rsidRPr="00281F10" w:rsidRDefault="006A0546" w:rsidP="005F04EA">
      <w:pPr>
        <w:spacing w:line="240" w:lineRule="auto"/>
        <w:rPr>
          <w:szCs w:val="22"/>
          <w:lang w:val="el-GR"/>
        </w:rPr>
      </w:pPr>
    </w:p>
    <w:p w:rsidR="00130D21" w:rsidRPr="00D26EEE" w:rsidRDefault="00130D21" w:rsidP="00130D21">
      <w:pPr>
        <w:spacing w:line="240" w:lineRule="auto"/>
        <w:rPr>
          <w:szCs w:val="22"/>
          <w:lang w:val="el-GR"/>
        </w:rPr>
      </w:pPr>
      <w:r>
        <w:rPr>
          <w:szCs w:val="22"/>
        </w:rPr>
        <w:t>Palexia</w:t>
      </w:r>
      <w:r w:rsidR="00E45A47" w:rsidRPr="00E45A47">
        <w:rPr>
          <w:szCs w:val="22"/>
          <w:lang w:val="el-GR"/>
        </w:rPr>
        <w:t xml:space="preserve"> 50 </w:t>
      </w:r>
      <w:r>
        <w:rPr>
          <w:szCs w:val="22"/>
        </w:rPr>
        <w:t>mg</w:t>
      </w:r>
      <w:r w:rsidR="00E45A47" w:rsidRPr="00E45A47">
        <w:rPr>
          <w:szCs w:val="22"/>
          <w:lang w:val="el-GR"/>
        </w:rPr>
        <w:t>: 19215/15.3.2011</w:t>
      </w:r>
    </w:p>
    <w:p w:rsidR="00130D21" w:rsidRPr="00D26EEE" w:rsidRDefault="00130D21" w:rsidP="00130D21">
      <w:pPr>
        <w:spacing w:line="240" w:lineRule="auto"/>
        <w:rPr>
          <w:szCs w:val="22"/>
          <w:lang w:val="el-GR"/>
        </w:rPr>
      </w:pPr>
      <w:r>
        <w:rPr>
          <w:szCs w:val="22"/>
        </w:rPr>
        <w:t>Palexia</w:t>
      </w:r>
      <w:r w:rsidR="00E45A47" w:rsidRPr="00E45A47">
        <w:rPr>
          <w:szCs w:val="22"/>
          <w:lang w:val="el-GR"/>
        </w:rPr>
        <w:t xml:space="preserve"> 75 </w:t>
      </w:r>
      <w:r>
        <w:rPr>
          <w:szCs w:val="22"/>
        </w:rPr>
        <w:t>mg</w:t>
      </w:r>
      <w:r w:rsidR="00E45A47" w:rsidRPr="00E45A47">
        <w:rPr>
          <w:szCs w:val="22"/>
          <w:lang w:val="el-GR"/>
        </w:rPr>
        <w:t>: 19216/15.3.2011</w:t>
      </w:r>
    </w:p>
    <w:p w:rsidR="00847B4F" w:rsidRPr="00D26EEE" w:rsidRDefault="00130D21" w:rsidP="005F04EA">
      <w:pPr>
        <w:spacing w:line="240" w:lineRule="auto"/>
        <w:rPr>
          <w:szCs w:val="22"/>
          <w:lang w:val="el-GR"/>
        </w:rPr>
      </w:pPr>
      <w:r>
        <w:rPr>
          <w:szCs w:val="22"/>
        </w:rPr>
        <w:t>Palexia</w:t>
      </w:r>
      <w:r w:rsidR="00E45A47" w:rsidRPr="00E45A47">
        <w:rPr>
          <w:szCs w:val="22"/>
          <w:lang w:val="el-GR"/>
        </w:rPr>
        <w:t xml:space="preserve"> 100 </w:t>
      </w:r>
      <w:r>
        <w:rPr>
          <w:szCs w:val="22"/>
        </w:rPr>
        <w:t>mg</w:t>
      </w:r>
      <w:r w:rsidR="00E45A47" w:rsidRPr="00E45A47">
        <w:rPr>
          <w:szCs w:val="22"/>
          <w:lang w:val="el-GR"/>
        </w:rPr>
        <w:t>: 19218/15.3.2011</w:t>
      </w:r>
    </w:p>
    <w:p w:rsidR="00847B4F" w:rsidRPr="00281F10" w:rsidRDefault="00847B4F" w:rsidP="005F04EA">
      <w:pPr>
        <w:spacing w:line="240" w:lineRule="auto"/>
        <w:rPr>
          <w:szCs w:val="22"/>
          <w:lang w:val="el-GR"/>
        </w:rPr>
      </w:pPr>
    </w:p>
    <w:p w:rsidR="006A0546" w:rsidRPr="00281F10" w:rsidRDefault="006A0546" w:rsidP="005F04EA">
      <w:pPr>
        <w:spacing w:line="240" w:lineRule="auto"/>
        <w:rPr>
          <w:szCs w:val="22"/>
          <w:lang w:val="el-GR"/>
        </w:rPr>
      </w:pPr>
    </w:p>
    <w:p w:rsidR="00847B4F" w:rsidRPr="00281F10" w:rsidRDefault="001F2496" w:rsidP="005F04EA">
      <w:pPr>
        <w:pStyle w:val="1"/>
        <w:tabs>
          <w:tab w:val="clear" w:pos="567"/>
          <w:tab w:val="left" w:pos="0"/>
          <w:tab w:val="left" w:pos="426"/>
        </w:tabs>
        <w:spacing w:before="0" w:after="0" w:line="240" w:lineRule="auto"/>
        <w:ind w:left="0" w:firstLine="0"/>
        <w:rPr>
          <w:i/>
          <w:sz w:val="22"/>
          <w:szCs w:val="22"/>
          <w:lang w:val="el-GR"/>
        </w:rPr>
      </w:pPr>
      <w:r w:rsidRPr="00281F10">
        <w:rPr>
          <w:sz w:val="22"/>
          <w:szCs w:val="22"/>
          <w:lang w:val="el-GR"/>
        </w:rPr>
        <w:t>9.</w:t>
      </w:r>
      <w:r w:rsidRPr="00281F10">
        <w:rPr>
          <w:sz w:val="22"/>
          <w:szCs w:val="22"/>
          <w:lang w:val="el-GR"/>
        </w:rPr>
        <w:tab/>
        <w:t>ΗΜΕΡΟΜΗΝΙΑ ΠΡΩΤΗΣ ΕΓΚΡΙΣΗΣ / ΑΝΑΝΕΩΣΗΣ ΤΗΣ ΑΔΕΙΑΣ</w:t>
      </w:r>
    </w:p>
    <w:p w:rsidR="006A0546" w:rsidRPr="00281F10" w:rsidRDefault="006A0546" w:rsidP="005F04EA">
      <w:pPr>
        <w:spacing w:line="240" w:lineRule="auto"/>
        <w:rPr>
          <w:szCs w:val="22"/>
          <w:lang w:val="el-GR"/>
        </w:rPr>
      </w:pPr>
    </w:p>
    <w:p w:rsidR="00847B4F" w:rsidRPr="00281F10" w:rsidRDefault="00130D21" w:rsidP="005F04EA">
      <w:pPr>
        <w:spacing w:line="240" w:lineRule="auto"/>
        <w:rPr>
          <w:szCs w:val="22"/>
          <w:lang w:val="el-GR"/>
        </w:rPr>
      </w:pPr>
      <w:r>
        <w:rPr>
          <w:szCs w:val="22"/>
          <w:lang w:val="el-GR"/>
        </w:rPr>
        <w:t>Ημερομηνία πρώτης έγκρισης: 15 Μαρτίου 2011</w:t>
      </w:r>
    </w:p>
    <w:p w:rsidR="00847B4F" w:rsidRPr="00281F10" w:rsidRDefault="00847B4F" w:rsidP="005F04EA">
      <w:pPr>
        <w:spacing w:line="240" w:lineRule="auto"/>
        <w:rPr>
          <w:szCs w:val="22"/>
          <w:lang w:val="el-GR"/>
        </w:rPr>
      </w:pPr>
    </w:p>
    <w:p w:rsidR="006A0546" w:rsidRPr="00281F10" w:rsidRDefault="006A0546" w:rsidP="005F04EA">
      <w:pPr>
        <w:spacing w:line="240" w:lineRule="auto"/>
        <w:rPr>
          <w:szCs w:val="22"/>
          <w:lang w:val="el-GR"/>
        </w:rPr>
      </w:pPr>
    </w:p>
    <w:p w:rsidR="00847B4F" w:rsidRPr="00281F10" w:rsidRDefault="001F2496" w:rsidP="005F04EA">
      <w:pPr>
        <w:pStyle w:val="1"/>
        <w:tabs>
          <w:tab w:val="clear" w:pos="567"/>
          <w:tab w:val="left" w:pos="709"/>
        </w:tabs>
        <w:spacing w:before="0" w:after="0" w:line="240" w:lineRule="auto"/>
        <w:ind w:left="426" w:hanging="426"/>
        <w:rPr>
          <w:sz w:val="22"/>
          <w:szCs w:val="22"/>
          <w:lang w:val="el-GR"/>
        </w:rPr>
      </w:pPr>
      <w:r w:rsidRPr="00281F10">
        <w:rPr>
          <w:sz w:val="22"/>
          <w:szCs w:val="22"/>
          <w:lang w:val="el-GR"/>
        </w:rPr>
        <w:t>10.</w:t>
      </w:r>
      <w:r w:rsidRPr="00281F10">
        <w:rPr>
          <w:sz w:val="22"/>
          <w:szCs w:val="22"/>
          <w:lang w:val="el-GR"/>
        </w:rPr>
        <w:tab/>
        <w:t xml:space="preserve">ΗΜΕΡΟΜΗΝΙΑ ΑΝΑΘΕΩΡΗΣΗΣ ΤΟΥ ΚΕΙΜΕΝΟΥ </w:t>
      </w:r>
    </w:p>
    <w:p w:rsidR="006A0546" w:rsidRPr="00281F10" w:rsidRDefault="006A0546" w:rsidP="005F04EA">
      <w:pPr>
        <w:spacing w:line="240" w:lineRule="auto"/>
        <w:rPr>
          <w:szCs w:val="22"/>
          <w:lang w:val="el-GR"/>
        </w:rPr>
      </w:pPr>
    </w:p>
    <w:p w:rsidR="00847B4F" w:rsidRDefault="00847B4F" w:rsidP="005F04EA">
      <w:pPr>
        <w:spacing w:line="240" w:lineRule="auto"/>
        <w:rPr>
          <w:szCs w:val="22"/>
          <w:lang w:val="el-GR"/>
        </w:rPr>
      </w:pPr>
    </w:p>
    <w:p w:rsidR="001A64EA" w:rsidRDefault="001A64EA" w:rsidP="005F04EA">
      <w:pPr>
        <w:spacing w:line="240" w:lineRule="auto"/>
        <w:rPr>
          <w:szCs w:val="22"/>
          <w:lang w:val="el-GR"/>
        </w:rPr>
      </w:pPr>
    </w:p>
    <w:p w:rsidR="00FC1FCF" w:rsidRDefault="00FC1FCF" w:rsidP="005F04EA">
      <w:pPr>
        <w:spacing w:line="240" w:lineRule="auto"/>
        <w:rPr>
          <w:szCs w:val="22"/>
          <w:lang w:val="el-GR"/>
        </w:rPr>
      </w:pPr>
    </w:p>
    <w:p w:rsidR="00FC1FCF" w:rsidRPr="00A321F4" w:rsidRDefault="00FC1FCF" w:rsidP="005F04EA">
      <w:pPr>
        <w:spacing w:line="240" w:lineRule="auto"/>
        <w:rPr>
          <w:b/>
          <w:szCs w:val="22"/>
          <w:lang w:val="el-GR"/>
        </w:rPr>
      </w:pPr>
      <w:r w:rsidRPr="00A321F4">
        <w:rPr>
          <w:b/>
          <w:szCs w:val="22"/>
          <w:lang w:val="el-GR"/>
        </w:rPr>
        <w:t>ΤΡΟΠΟΣ ΔΙΑΘΕΣΗΣ:</w:t>
      </w:r>
    </w:p>
    <w:p w:rsidR="00FC1FCF" w:rsidRPr="00A321F4" w:rsidRDefault="00D26EEE" w:rsidP="005F04EA">
      <w:pPr>
        <w:spacing w:line="240" w:lineRule="auto"/>
        <w:rPr>
          <w:szCs w:val="22"/>
          <w:lang w:val="el-GR"/>
        </w:rPr>
      </w:pPr>
      <w:r w:rsidRPr="00D26EEE">
        <w:rPr>
          <w:szCs w:val="22"/>
          <w:lang w:val="el-GR"/>
        </w:rPr>
        <w:t>Φαρμακευτικό προϊόν για το οποίο απαιτείται ειδική ιατρική συνταγή. Υπάγεται στον Πίνακα Γ΄ της παρ. 2 του άρθρου 1 του Ν.3459/2006.</w:t>
      </w:r>
    </w:p>
    <w:p w:rsidR="00FC1FCF" w:rsidRPr="00FC1FCF" w:rsidRDefault="00FC1FCF" w:rsidP="005F04EA">
      <w:pPr>
        <w:spacing w:line="240" w:lineRule="auto"/>
        <w:rPr>
          <w:szCs w:val="22"/>
          <w:lang w:val="el-GR"/>
        </w:rPr>
      </w:pPr>
    </w:p>
    <w:p w:rsidR="00847B4F" w:rsidRPr="00281F10" w:rsidRDefault="00847B4F" w:rsidP="005F04EA">
      <w:pPr>
        <w:spacing w:line="240" w:lineRule="auto"/>
        <w:rPr>
          <w:szCs w:val="22"/>
          <w:lang w:val="el-GR"/>
        </w:rPr>
      </w:pPr>
    </w:p>
    <w:p w:rsidR="00847B4F" w:rsidRPr="00281F10" w:rsidRDefault="00847B4F" w:rsidP="004767B1">
      <w:pPr>
        <w:spacing w:line="240" w:lineRule="auto"/>
        <w:rPr>
          <w:szCs w:val="22"/>
          <w:lang w:val="el-GR"/>
        </w:rPr>
      </w:pPr>
    </w:p>
    <w:sectPr w:rsidR="00847B4F" w:rsidRPr="00281F10" w:rsidSect="00D1087C">
      <w:endnotePr>
        <w:numFmt w:val="decimal"/>
      </w:endnotePr>
      <w:pgSz w:w="11907" w:h="16840" w:code="9"/>
      <w:pgMar w:top="1134" w:right="1418" w:bottom="1134" w:left="1418" w:header="737" w:footer="73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456" w:rsidRDefault="00336456">
      <w:pPr>
        <w:rPr>
          <w:szCs w:val="24"/>
        </w:rPr>
      </w:pPr>
      <w:r>
        <w:rPr>
          <w:szCs w:val="24"/>
        </w:rPr>
        <w:separator/>
      </w:r>
    </w:p>
  </w:endnote>
  <w:endnote w:type="continuationSeparator" w:id="0">
    <w:p w:rsidR="00336456" w:rsidRDefault="00336456">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1"/>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456" w:rsidRDefault="00336456">
      <w:pPr>
        <w:rPr>
          <w:szCs w:val="24"/>
        </w:rPr>
      </w:pPr>
      <w:r>
        <w:rPr>
          <w:szCs w:val="24"/>
        </w:rPr>
        <w:separator/>
      </w:r>
    </w:p>
  </w:footnote>
  <w:footnote w:type="continuationSeparator" w:id="0">
    <w:p w:rsidR="00336456" w:rsidRDefault="00336456">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9B3" w:rsidRDefault="001959B3">
    <w:pPr>
      <w:pStyle w:val="a3"/>
      <w:tabs>
        <w:tab w:val="clear" w:pos="567"/>
        <w:tab w:val="clear" w:pos="8306"/>
        <w:tab w:val="left" w:pos="7655"/>
        <w:tab w:val="left" w:pos="9071"/>
      </w:tabs>
      <w:ind w:right="-1"/>
      <w:jc w:val="right"/>
      <w:rPr>
        <w:rFonts w:ascii="Times New Roman" w:hAnsi="Times New Roman"/>
        <w:sz w:val="18"/>
        <w:szCs w:val="24"/>
        <w:lang w:val="fr-FR"/>
      </w:rPr>
    </w:pPr>
    <w:r>
      <w:rPr>
        <w:rFonts w:ascii="Times New Roman" w:hAnsi="Times New Roman"/>
        <w:sz w:val="18"/>
        <w:szCs w:val="24"/>
        <w:lang w:val="fr-FR"/>
      </w:rPr>
      <w:tab/>
    </w:r>
    <w:r>
      <w:rPr>
        <w:rFonts w:ascii="Times New Roman" w:hAnsi="Times New Roman"/>
        <w:sz w:val="18"/>
        <w:szCs w:val="24"/>
        <w:lang w:val="fr-F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83380"/>
    <w:multiLevelType w:val="multilevel"/>
    <w:tmpl w:val="E5C681D6"/>
    <w:lvl w:ilvl="0">
      <w:start w:val="5"/>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pStyle w:val="AHeader3abc"/>
      <w:lvlText w:val="%5)"/>
      <w:lvlJc w:val="left"/>
      <w:pPr>
        <w:tabs>
          <w:tab w:val="num" w:pos="1701"/>
        </w:tabs>
        <w:ind w:left="1701" w:hanging="425"/>
      </w:pPr>
      <w:rPr>
        <w:rFonts w:cs="Times New Roman" w:hint="default"/>
      </w:rPr>
    </w:lvl>
    <w:lvl w:ilvl="5">
      <w:start w:val="1"/>
      <w:numFmt w:val="lowerLetter"/>
      <w:lvlText w:val="%6)"/>
      <w:lvlJc w:val="left"/>
      <w:pPr>
        <w:tabs>
          <w:tab w:val="num" w:pos="1663"/>
        </w:tabs>
        <w:ind w:left="1663" w:hanging="432"/>
      </w:pPr>
      <w:rPr>
        <w:rFonts w:cs="Times New Roman" w:hint="default"/>
      </w:rPr>
    </w:lvl>
    <w:lvl w:ilvl="6">
      <w:start w:val="1"/>
      <w:numFmt w:val="lowerRoman"/>
      <w:lvlText w:val="%7)"/>
      <w:lvlJc w:val="right"/>
      <w:pPr>
        <w:tabs>
          <w:tab w:val="num" w:pos="1807"/>
        </w:tabs>
        <w:ind w:left="1807" w:hanging="288"/>
      </w:pPr>
      <w:rPr>
        <w:rFonts w:cs="Times New Roman" w:hint="default"/>
      </w:rPr>
    </w:lvl>
    <w:lvl w:ilvl="7">
      <w:start w:val="1"/>
      <w:numFmt w:val="lowerLetter"/>
      <w:lvlText w:val="%8."/>
      <w:lvlJc w:val="left"/>
      <w:pPr>
        <w:tabs>
          <w:tab w:val="num" w:pos="1951"/>
        </w:tabs>
        <w:ind w:left="1951" w:hanging="432"/>
      </w:pPr>
      <w:rPr>
        <w:rFonts w:cs="Times New Roman" w:hint="default"/>
      </w:rPr>
    </w:lvl>
    <w:lvl w:ilvl="8">
      <w:start w:val="1"/>
      <w:numFmt w:val="lowerRoman"/>
      <w:lvlText w:val="%9."/>
      <w:lvlJc w:val="left"/>
      <w:pPr>
        <w:tabs>
          <w:tab w:val="num" w:pos="2671"/>
        </w:tabs>
        <w:ind w:left="2311" w:hanging="360"/>
      </w:pPr>
      <w:rPr>
        <w:rFonts w:ascii="Arial" w:hAnsi="Arial" w:cs="Times New Roman" w:hint="default"/>
        <w:b w:val="0"/>
        <w:i w:val="0"/>
        <w:sz w:val="22"/>
      </w:rPr>
    </w:lvl>
  </w:abstractNum>
  <w:abstractNum w:abstractNumId="2">
    <w:nsid w:val="684433D2"/>
    <w:multiLevelType w:val="hybridMultilevel"/>
    <w:tmpl w:val="D90EA67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567"/>
  <w:hyphenationZone w:val="357"/>
  <w:doNotHyphenateCaps/>
  <w:displayHorizontalDrawingGridEvery w:val="0"/>
  <w:displayVerticalDrawingGridEvery w:val="0"/>
  <w:doNotUseMarginsForDrawingGridOrigin/>
  <w:characterSpacingControl w:val="doNotCompress"/>
  <w:footnotePr>
    <w:footnote w:id="-1"/>
    <w:footnote w:id="0"/>
  </w:footnotePr>
  <w:endnotePr>
    <w:numFmt w:val="decimal"/>
    <w:endnote w:id="-1"/>
    <w:endnote w:id="0"/>
  </w:endnotePr>
  <w:compat>
    <w:useFELayout/>
  </w:compat>
  <w:docVars>
    <w:docVar w:name="Registered" w:val="-1"/>
    <w:docVar w:name="Version" w:val="0"/>
  </w:docVars>
  <w:rsids>
    <w:rsidRoot w:val="000C44C8"/>
    <w:rsid w:val="00000A0F"/>
    <w:rsid w:val="00001A8A"/>
    <w:rsid w:val="00002383"/>
    <w:rsid w:val="00013518"/>
    <w:rsid w:val="0001516E"/>
    <w:rsid w:val="0002019D"/>
    <w:rsid w:val="00025B90"/>
    <w:rsid w:val="0002625D"/>
    <w:rsid w:val="0003217C"/>
    <w:rsid w:val="000324F7"/>
    <w:rsid w:val="00032664"/>
    <w:rsid w:val="00032B68"/>
    <w:rsid w:val="0003646E"/>
    <w:rsid w:val="00042E3C"/>
    <w:rsid w:val="000456C5"/>
    <w:rsid w:val="000536B8"/>
    <w:rsid w:val="000563E5"/>
    <w:rsid w:val="00060A6A"/>
    <w:rsid w:val="000623EA"/>
    <w:rsid w:val="00072EB8"/>
    <w:rsid w:val="00075C50"/>
    <w:rsid w:val="000762CD"/>
    <w:rsid w:val="00076959"/>
    <w:rsid w:val="00091AF0"/>
    <w:rsid w:val="00094A38"/>
    <w:rsid w:val="000A4749"/>
    <w:rsid w:val="000A6A4B"/>
    <w:rsid w:val="000A6A5E"/>
    <w:rsid w:val="000B3099"/>
    <w:rsid w:val="000C004F"/>
    <w:rsid w:val="000C03C0"/>
    <w:rsid w:val="000C1FA0"/>
    <w:rsid w:val="000C21BC"/>
    <w:rsid w:val="000C44C8"/>
    <w:rsid w:val="000C78E0"/>
    <w:rsid w:val="000E3424"/>
    <w:rsid w:val="000E4A58"/>
    <w:rsid w:val="000E55E9"/>
    <w:rsid w:val="000E76B2"/>
    <w:rsid w:val="000F315F"/>
    <w:rsid w:val="000F382D"/>
    <w:rsid w:val="000F4B61"/>
    <w:rsid w:val="001035DD"/>
    <w:rsid w:val="00104E71"/>
    <w:rsid w:val="00106811"/>
    <w:rsid w:val="0011188C"/>
    <w:rsid w:val="00122059"/>
    <w:rsid w:val="0012428A"/>
    <w:rsid w:val="00130D21"/>
    <w:rsid w:val="001341A2"/>
    <w:rsid w:val="001347F5"/>
    <w:rsid w:val="001355BC"/>
    <w:rsid w:val="00136606"/>
    <w:rsid w:val="001368BD"/>
    <w:rsid w:val="0014017F"/>
    <w:rsid w:val="0014031D"/>
    <w:rsid w:val="00142C67"/>
    <w:rsid w:val="00143A36"/>
    <w:rsid w:val="00144FD1"/>
    <w:rsid w:val="001510A1"/>
    <w:rsid w:val="00162152"/>
    <w:rsid w:val="001669B3"/>
    <w:rsid w:val="00166AE4"/>
    <w:rsid w:val="00171EF3"/>
    <w:rsid w:val="001838DB"/>
    <w:rsid w:val="00184EF5"/>
    <w:rsid w:val="001959B3"/>
    <w:rsid w:val="00195A17"/>
    <w:rsid w:val="00195F82"/>
    <w:rsid w:val="0019607F"/>
    <w:rsid w:val="001A1B1A"/>
    <w:rsid w:val="001A64EA"/>
    <w:rsid w:val="001B0F3D"/>
    <w:rsid w:val="001B5016"/>
    <w:rsid w:val="001B6D8D"/>
    <w:rsid w:val="001B7C79"/>
    <w:rsid w:val="001C4A89"/>
    <w:rsid w:val="001C62D8"/>
    <w:rsid w:val="001D1D36"/>
    <w:rsid w:val="001D2DB1"/>
    <w:rsid w:val="001F2496"/>
    <w:rsid w:val="001F7E9F"/>
    <w:rsid w:val="00207600"/>
    <w:rsid w:val="00207E15"/>
    <w:rsid w:val="00212B05"/>
    <w:rsid w:val="00216F87"/>
    <w:rsid w:val="0021783C"/>
    <w:rsid w:val="0022025E"/>
    <w:rsid w:val="00220B0B"/>
    <w:rsid w:val="002217DD"/>
    <w:rsid w:val="00223669"/>
    <w:rsid w:val="00224B0B"/>
    <w:rsid w:val="00225FCF"/>
    <w:rsid w:val="00230621"/>
    <w:rsid w:val="00231B44"/>
    <w:rsid w:val="00232712"/>
    <w:rsid w:val="00233730"/>
    <w:rsid w:val="0024132E"/>
    <w:rsid w:val="00250414"/>
    <w:rsid w:val="00254808"/>
    <w:rsid w:val="00255545"/>
    <w:rsid w:val="00271FA5"/>
    <w:rsid w:val="002746F7"/>
    <w:rsid w:val="00274D37"/>
    <w:rsid w:val="00275381"/>
    <w:rsid w:val="00277A0D"/>
    <w:rsid w:val="00281F10"/>
    <w:rsid w:val="00283A8C"/>
    <w:rsid w:val="00285EE8"/>
    <w:rsid w:val="002866AA"/>
    <w:rsid w:val="00290AC6"/>
    <w:rsid w:val="002966C0"/>
    <w:rsid w:val="00296EBD"/>
    <w:rsid w:val="00297130"/>
    <w:rsid w:val="002A0E7D"/>
    <w:rsid w:val="002A5AAA"/>
    <w:rsid w:val="002C2D1D"/>
    <w:rsid w:val="002C5DF3"/>
    <w:rsid w:val="002D237A"/>
    <w:rsid w:val="002D271E"/>
    <w:rsid w:val="002D7E10"/>
    <w:rsid w:val="002E77F6"/>
    <w:rsid w:val="002F0DF0"/>
    <w:rsid w:val="002F45D9"/>
    <w:rsid w:val="002F7D0D"/>
    <w:rsid w:val="0030465C"/>
    <w:rsid w:val="003059E0"/>
    <w:rsid w:val="00307CBC"/>
    <w:rsid w:val="0031110A"/>
    <w:rsid w:val="00311F9C"/>
    <w:rsid w:val="0031416C"/>
    <w:rsid w:val="0031474A"/>
    <w:rsid w:val="00320DA6"/>
    <w:rsid w:val="00333424"/>
    <w:rsid w:val="00336456"/>
    <w:rsid w:val="00336B89"/>
    <w:rsid w:val="003378B7"/>
    <w:rsid w:val="00341621"/>
    <w:rsid w:val="00344100"/>
    <w:rsid w:val="003458D8"/>
    <w:rsid w:val="00361963"/>
    <w:rsid w:val="00362175"/>
    <w:rsid w:val="00362F1D"/>
    <w:rsid w:val="003654DF"/>
    <w:rsid w:val="00366206"/>
    <w:rsid w:val="003718E0"/>
    <w:rsid w:val="00371F75"/>
    <w:rsid w:val="00373E9D"/>
    <w:rsid w:val="00375DF7"/>
    <w:rsid w:val="0037741F"/>
    <w:rsid w:val="00383CD7"/>
    <w:rsid w:val="00386C6C"/>
    <w:rsid w:val="003952C5"/>
    <w:rsid w:val="0039618C"/>
    <w:rsid w:val="003A33FD"/>
    <w:rsid w:val="003A4F33"/>
    <w:rsid w:val="003B16CF"/>
    <w:rsid w:val="003B261E"/>
    <w:rsid w:val="003B371F"/>
    <w:rsid w:val="003C2B48"/>
    <w:rsid w:val="003C3AD8"/>
    <w:rsid w:val="003C4BF3"/>
    <w:rsid w:val="003E1239"/>
    <w:rsid w:val="003F1750"/>
    <w:rsid w:val="003F1F62"/>
    <w:rsid w:val="00400C50"/>
    <w:rsid w:val="00401F71"/>
    <w:rsid w:val="00404E2F"/>
    <w:rsid w:val="0041173B"/>
    <w:rsid w:val="00414678"/>
    <w:rsid w:val="004150CF"/>
    <w:rsid w:val="0042109E"/>
    <w:rsid w:val="00423424"/>
    <w:rsid w:val="004256BA"/>
    <w:rsid w:val="004256CD"/>
    <w:rsid w:val="00440B28"/>
    <w:rsid w:val="0044688B"/>
    <w:rsid w:val="00451C12"/>
    <w:rsid w:val="00463FA8"/>
    <w:rsid w:val="00466490"/>
    <w:rsid w:val="0046653F"/>
    <w:rsid w:val="00466790"/>
    <w:rsid w:val="00475F3E"/>
    <w:rsid w:val="004767B1"/>
    <w:rsid w:val="00477B2E"/>
    <w:rsid w:val="00480945"/>
    <w:rsid w:val="004821D1"/>
    <w:rsid w:val="00491D28"/>
    <w:rsid w:val="00496E06"/>
    <w:rsid w:val="004A07D5"/>
    <w:rsid w:val="004A2714"/>
    <w:rsid w:val="004A5EE2"/>
    <w:rsid w:val="004B7A8D"/>
    <w:rsid w:val="004C3E40"/>
    <w:rsid w:val="004C7E97"/>
    <w:rsid w:val="004D4F21"/>
    <w:rsid w:val="004E03E1"/>
    <w:rsid w:val="004E2F6F"/>
    <w:rsid w:val="004E42CB"/>
    <w:rsid w:val="004E6A42"/>
    <w:rsid w:val="004E6C41"/>
    <w:rsid w:val="004F2FC4"/>
    <w:rsid w:val="00507861"/>
    <w:rsid w:val="005170AD"/>
    <w:rsid w:val="00522DE9"/>
    <w:rsid w:val="0053720C"/>
    <w:rsid w:val="005425AE"/>
    <w:rsid w:val="00544963"/>
    <w:rsid w:val="005527A3"/>
    <w:rsid w:val="0056122E"/>
    <w:rsid w:val="005634F1"/>
    <w:rsid w:val="005661AB"/>
    <w:rsid w:val="005674BC"/>
    <w:rsid w:val="00570519"/>
    <w:rsid w:val="00571D80"/>
    <w:rsid w:val="00580942"/>
    <w:rsid w:val="005853AF"/>
    <w:rsid w:val="0058658F"/>
    <w:rsid w:val="00597DEA"/>
    <w:rsid w:val="005A0502"/>
    <w:rsid w:val="005A5E58"/>
    <w:rsid w:val="005A68DB"/>
    <w:rsid w:val="005A778E"/>
    <w:rsid w:val="005B1F38"/>
    <w:rsid w:val="005B2FAA"/>
    <w:rsid w:val="005B5C70"/>
    <w:rsid w:val="005B5DFF"/>
    <w:rsid w:val="005C172D"/>
    <w:rsid w:val="005C51E1"/>
    <w:rsid w:val="005C57B9"/>
    <w:rsid w:val="005D13B7"/>
    <w:rsid w:val="005D2D51"/>
    <w:rsid w:val="005D600D"/>
    <w:rsid w:val="005E3ADD"/>
    <w:rsid w:val="005F04EA"/>
    <w:rsid w:val="00600D84"/>
    <w:rsid w:val="00601648"/>
    <w:rsid w:val="00610B03"/>
    <w:rsid w:val="00612EB4"/>
    <w:rsid w:val="00623630"/>
    <w:rsid w:val="00624560"/>
    <w:rsid w:val="00625FF9"/>
    <w:rsid w:val="00626834"/>
    <w:rsid w:val="00633CDB"/>
    <w:rsid w:val="00637A91"/>
    <w:rsid w:val="006446C7"/>
    <w:rsid w:val="006517B5"/>
    <w:rsid w:val="00655673"/>
    <w:rsid w:val="00657EA6"/>
    <w:rsid w:val="00660C31"/>
    <w:rsid w:val="00667E78"/>
    <w:rsid w:val="0068235A"/>
    <w:rsid w:val="00683993"/>
    <w:rsid w:val="0069355C"/>
    <w:rsid w:val="00697BBE"/>
    <w:rsid w:val="006A0546"/>
    <w:rsid w:val="006A38D9"/>
    <w:rsid w:val="006B2751"/>
    <w:rsid w:val="006B468A"/>
    <w:rsid w:val="006B7F61"/>
    <w:rsid w:val="006D47F4"/>
    <w:rsid w:val="006D7BE7"/>
    <w:rsid w:val="006E14B4"/>
    <w:rsid w:val="006E5E5D"/>
    <w:rsid w:val="006E673B"/>
    <w:rsid w:val="006E6E89"/>
    <w:rsid w:val="006F1933"/>
    <w:rsid w:val="006F5635"/>
    <w:rsid w:val="006F5AEF"/>
    <w:rsid w:val="0070640A"/>
    <w:rsid w:val="00710688"/>
    <w:rsid w:val="00713666"/>
    <w:rsid w:val="00715CC8"/>
    <w:rsid w:val="00720544"/>
    <w:rsid w:val="00723696"/>
    <w:rsid w:val="00725898"/>
    <w:rsid w:val="00727049"/>
    <w:rsid w:val="00734F6D"/>
    <w:rsid w:val="007448C8"/>
    <w:rsid w:val="00746FCB"/>
    <w:rsid w:val="0076332C"/>
    <w:rsid w:val="00764CA0"/>
    <w:rsid w:val="00765771"/>
    <w:rsid w:val="00767A40"/>
    <w:rsid w:val="007711C1"/>
    <w:rsid w:val="00774BB7"/>
    <w:rsid w:val="007755A6"/>
    <w:rsid w:val="0077732D"/>
    <w:rsid w:val="007805D5"/>
    <w:rsid w:val="007877A2"/>
    <w:rsid w:val="00791234"/>
    <w:rsid w:val="00792F63"/>
    <w:rsid w:val="007A1966"/>
    <w:rsid w:val="007A6793"/>
    <w:rsid w:val="007B0329"/>
    <w:rsid w:val="007B327F"/>
    <w:rsid w:val="007B372A"/>
    <w:rsid w:val="007B38EC"/>
    <w:rsid w:val="007B5354"/>
    <w:rsid w:val="007B5820"/>
    <w:rsid w:val="007B69CE"/>
    <w:rsid w:val="007B7AAD"/>
    <w:rsid w:val="007C2E07"/>
    <w:rsid w:val="007D1604"/>
    <w:rsid w:val="007D17B2"/>
    <w:rsid w:val="007D2D8F"/>
    <w:rsid w:val="007E2827"/>
    <w:rsid w:val="007F4129"/>
    <w:rsid w:val="00801399"/>
    <w:rsid w:val="0080211E"/>
    <w:rsid w:val="008029C3"/>
    <w:rsid w:val="008049E6"/>
    <w:rsid w:val="00804C1A"/>
    <w:rsid w:val="00806A5D"/>
    <w:rsid w:val="00807757"/>
    <w:rsid w:val="008078ED"/>
    <w:rsid w:val="008133B7"/>
    <w:rsid w:val="00823432"/>
    <w:rsid w:val="00836CB2"/>
    <w:rsid w:val="00837100"/>
    <w:rsid w:val="0083720C"/>
    <w:rsid w:val="00841750"/>
    <w:rsid w:val="0084283D"/>
    <w:rsid w:val="0084314C"/>
    <w:rsid w:val="00847B4F"/>
    <w:rsid w:val="008539F5"/>
    <w:rsid w:val="00855C1A"/>
    <w:rsid w:val="00856356"/>
    <w:rsid w:val="00871470"/>
    <w:rsid w:val="008908DA"/>
    <w:rsid w:val="00892ABA"/>
    <w:rsid w:val="0089419A"/>
    <w:rsid w:val="00894E09"/>
    <w:rsid w:val="00895AC5"/>
    <w:rsid w:val="008A51A6"/>
    <w:rsid w:val="008A5398"/>
    <w:rsid w:val="008C10D5"/>
    <w:rsid w:val="008D184B"/>
    <w:rsid w:val="008D424F"/>
    <w:rsid w:val="008D4756"/>
    <w:rsid w:val="008D5DE1"/>
    <w:rsid w:val="008E0B1E"/>
    <w:rsid w:val="008E0F96"/>
    <w:rsid w:val="008E3ED6"/>
    <w:rsid w:val="008F4560"/>
    <w:rsid w:val="008F7964"/>
    <w:rsid w:val="00900372"/>
    <w:rsid w:val="0090418E"/>
    <w:rsid w:val="00921397"/>
    <w:rsid w:val="00924368"/>
    <w:rsid w:val="009334B8"/>
    <w:rsid w:val="009347A3"/>
    <w:rsid w:val="00937009"/>
    <w:rsid w:val="00943B2F"/>
    <w:rsid w:val="0094617B"/>
    <w:rsid w:val="00946930"/>
    <w:rsid w:val="009510C1"/>
    <w:rsid w:val="009578F6"/>
    <w:rsid w:val="0096049A"/>
    <w:rsid w:val="00963577"/>
    <w:rsid w:val="00964137"/>
    <w:rsid w:val="00971E7C"/>
    <w:rsid w:val="00982881"/>
    <w:rsid w:val="00983ABD"/>
    <w:rsid w:val="0098619A"/>
    <w:rsid w:val="00986F4E"/>
    <w:rsid w:val="009878E7"/>
    <w:rsid w:val="00993EC3"/>
    <w:rsid w:val="00995338"/>
    <w:rsid w:val="009A44BA"/>
    <w:rsid w:val="009B3AC9"/>
    <w:rsid w:val="009C089F"/>
    <w:rsid w:val="009C3E85"/>
    <w:rsid w:val="009C61A7"/>
    <w:rsid w:val="009D1F11"/>
    <w:rsid w:val="009D4850"/>
    <w:rsid w:val="009D60E7"/>
    <w:rsid w:val="009D66E7"/>
    <w:rsid w:val="009D6C44"/>
    <w:rsid w:val="009E0D58"/>
    <w:rsid w:val="009E278F"/>
    <w:rsid w:val="009E2D9B"/>
    <w:rsid w:val="009F0539"/>
    <w:rsid w:val="009F26D7"/>
    <w:rsid w:val="009F43C1"/>
    <w:rsid w:val="00A022F2"/>
    <w:rsid w:val="00A029F5"/>
    <w:rsid w:val="00A05D97"/>
    <w:rsid w:val="00A11A88"/>
    <w:rsid w:val="00A159FC"/>
    <w:rsid w:val="00A229EC"/>
    <w:rsid w:val="00A23889"/>
    <w:rsid w:val="00A317FE"/>
    <w:rsid w:val="00A348A8"/>
    <w:rsid w:val="00A35585"/>
    <w:rsid w:val="00A41BD6"/>
    <w:rsid w:val="00A468CB"/>
    <w:rsid w:val="00A50DF9"/>
    <w:rsid w:val="00A572C3"/>
    <w:rsid w:val="00A66900"/>
    <w:rsid w:val="00A67513"/>
    <w:rsid w:val="00A7159F"/>
    <w:rsid w:val="00A82D0D"/>
    <w:rsid w:val="00A83A02"/>
    <w:rsid w:val="00A90B28"/>
    <w:rsid w:val="00AA2216"/>
    <w:rsid w:val="00AA22E5"/>
    <w:rsid w:val="00AA7270"/>
    <w:rsid w:val="00AB1434"/>
    <w:rsid w:val="00AE4BEE"/>
    <w:rsid w:val="00AE661A"/>
    <w:rsid w:val="00AF63F2"/>
    <w:rsid w:val="00B04CF7"/>
    <w:rsid w:val="00B05292"/>
    <w:rsid w:val="00B118AC"/>
    <w:rsid w:val="00B13598"/>
    <w:rsid w:val="00B36ABD"/>
    <w:rsid w:val="00B40E72"/>
    <w:rsid w:val="00B412CF"/>
    <w:rsid w:val="00B45B33"/>
    <w:rsid w:val="00B46EA1"/>
    <w:rsid w:val="00B4769B"/>
    <w:rsid w:val="00B60626"/>
    <w:rsid w:val="00B7397E"/>
    <w:rsid w:val="00B77B50"/>
    <w:rsid w:val="00B808A2"/>
    <w:rsid w:val="00B80EAA"/>
    <w:rsid w:val="00B833F3"/>
    <w:rsid w:val="00B872E4"/>
    <w:rsid w:val="00B93338"/>
    <w:rsid w:val="00B94C60"/>
    <w:rsid w:val="00BA59F2"/>
    <w:rsid w:val="00BB1108"/>
    <w:rsid w:val="00BB14A7"/>
    <w:rsid w:val="00BB2E53"/>
    <w:rsid w:val="00BD0423"/>
    <w:rsid w:val="00BD0E9E"/>
    <w:rsid w:val="00BD5EEE"/>
    <w:rsid w:val="00BD78BC"/>
    <w:rsid w:val="00BE3D26"/>
    <w:rsid w:val="00BE7314"/>
    <w:rsid w:val="00BF4337"/>
    <w:rsid w:val="00BF4CFF"/>
    <w:rsid w:val="00C00DAA"/>
    <w:rsid w:val="00C026E7"/>
    <w:rsid w:val="00C039D3"/>
    <w:rsid w:val="00C03D23"/>
    <w:rsid w:val="00C04843"/>
    <w:rsid w:val="00C0603F"/>
    <w:rsid w:val="00C06859"/>
    <w:rsid w:val="00C0731E"/>
    <w:rsid w:val="00C16D82"/>
    <w:rsid w:val="00C216A4"/>
    <w:rsid w:val="00C35979"/>
    <w:rsid w:val="00C36FD8"/>
    <w:rsid w:val="00C403E8"/>
    <w:rsid w:val="00C4131F"/>
    <w:rsid w:val="00C41D0B"/>
    <w:rsid w:val="00C424B0"/>
    <w:rsid w:val="00C4538B"/>
    <w:rsid w:val="00C47137"/>
    <w:rsid w:val="00C54056"/>
    <w:rsid w:val="00C57A1A"/>
    <w:rsid w:val="00C57B2E"/>
    <w:rsid w:val="00C76D28"/>
    <w:rsid w:val="00C77D0E"/>
    <w:rsid w:val="00C807CF"/>
    <w:rsid w:val="00C926EC"/>
    <w:rsid w:val="00C94A4C"/>
    <w:rsid w:val="00CA21B0"/>
    <w:rsid w:val="00CA2B52"/>
    <w:rsid w:val="00CA38C4"/>
    <w:rsid w:val="00CA4859"/>
    <w:rsid w:val="00CA4B33"/>
    <w:rsid w:val="00CA5F00"/>
    <w:rsid w:val="00CA68DB"/>
    <w:rsid w:val="00CB154B"/>
    <w:rsid w:val="00CB3E63"/>
    <w:rsid w:val="00CB4189"/>
    <w:rsid w:val="00CB6E93"/>
    <w:rsid w:val="00CC15CE"/>
    <w:rsid w:val="00CC23C1"/>
    <w:rsid w:val="00CC394D"/>
    <w:rsid w:val="00CC3F35"/>
    <w:rsid w:val="00CD18BC"/>
    <w:rsid w:val="00CD508C"/>
    <w:rsid w:val="00CD5191"/>
    <w:rsid w:val="00CD727F"/>
    <w:rsid w:val="00CE4FF3"/>
    <w:rsid w:val="00CF1CDD"/>
    <w:rsid w:val="00CF709A"/>
    <w:rsid w:val="00D03215"/>
    <w:rsid w:val="00D06E0D"/>
    <w:rsid w:val="00D1087C"/>
    <w:rsid w:val="00D14B12"/>
    <w:rsid w:val="00D21750"/>
    <w:rsid w:val="00D220F6"/>
    <w:rsid w:val="00D225F2"/>
    <w:rsid w:val="00D23437"/>
    <w:rsid w:val="00D26EEE"/>
    <w:rsid w:val="00D31B6E"/>
    <w:rsid w:val="00D32441"/>
    <w:rsid w:val="00D403CF"/>
    <w:rsid w:val="00D45EB7"/>
    <w:rsid w:val="00D47898"/>
    <w:rsid w:val="00D51191"/>
    <w:rsid w:val="00D522F7"/>
    <w:rsid w:val="00D53C33"/>
    <w:rsid w:val="00D54E03"/>
    <w:rsid w:val="00D60DEB"/>
    <w:rsid w:val="00D61AE9"/>
    <w:rsid w:val="00D646A5"/>
    <w:rsid w:val="00D6553D"/>
    <w:rsid w:val="00D71A8A"/>
    <w:rsid w:val="00D76B0E"/>
    <w:rsid w:val="00D80EC3"/>
    <w:rsid w:val="00D843BE"/>
    <w:rsid w:val="00D851B3"/>
    <w:rsid w:val="00D90595"/>
    <w:rsid w:val="00D92E9B"/>
    <w:rsid w:val="00D94921"/>
    <w:rsid w:val="00DA0A0F"/>
    <w:rsid w:val="00DA1A46"/>
    <w:rsid w:val="00DA7117"/>
    <w:rsid w:val="00DB2B85"/>
    <w:rsid w:val="00DC016E"/>
    <w:rsid w:val="00DC2F5A"/>
    <w:rsid w:val="00DC49E2"/>
    <w:rsid w:val="00DC5A1B"/>
    <w:rsid w:val="00DC7D6F"/>
    <w:rsid w:val="00DD08FC"/>
    <w:rsid w:val="00DD4364"/>
    <w:rsid w:val="00DD7D18"/>
    <w:rsid w:val="00DE1F27"/>
    <w:rsid w:val="00DE6D04"/>
    <w:rsid w:val="00DF20B0"/>
    <w:rsid w:val="00DF5F00"/>
    <w:rsid w:val="00DF7B4C"/>
    <w:rsid w:val="00E03F6C"/>
    <w:rsid w:val="00E05320"/>
    <w:rsid w:val="00E05EE6"/>
    <w:rsid w:val="00E05F6D"/>
    <w:rsid w:val="00E068B5"/>
    <w:rsid w:val="00E103BF"/>
    <w:rsid w:val="00E21D0B"/>
    <w:rsid w:val="00E23DC1"/>
    <w:rsid w:val="00E24C3F"/>
    <w:rsid w:val="00E310B7"/>
    <w:rsid w:val="00E34CEC"/>
    <w:rsid w:val="00E40FEB"/>
    <w:rsid w:val="00E42523"/>
    <w:rsid w:val="00E45A47"/>
    <w:rsid w:val="00E501C1"/>
    <w:rsid w:val="00E54939"/>
    <w:rsid w:val="00E559A7"/>
    <w:rsid w:val="00E628DC"/>
    <w:rsid w:val="00E724EF"/>
    <w:rsid w:val="00E735A1"/>
    <w:rsid w:val="00E73AF4"/>
    <w:rsid w:val="00E7414F"/>
    <w:rsid w:val="00E75074"/>
    <w:rsid w:val="00E7560B"/>
    <w:rsid w:val="00E8004B"/>
    <w:rsid w:val="00E84A9E"/>
    <w:rsid w:val="00E84EAD"/>
    <w:rsid w:val="00E872BC"/>
    <w:rsid w:val="00E96BF3"/>
    <w:rsid w:val="00EA2FC7"/>
    <w:rsid w:val="00EA3EA7"/>
    <w:rsid w:val="00EA45C1"/>
    <w:rsid w:val="00EB122E"/>
    <w:rsid w:val="00EB697A"/>
    <w:rsid w:val="00EB6BD2"/>
    <w:rsid w:val="00EC5741"/>
    <w:rsid w:val="00EC7314"/>
    <w:rsid w:val="00EC796F"/>
    <w:rsid w:val="00ED00B9"/>
    <w:rsid w:val="00ED2D28"/>
    <w:rsid w:val="00ED5801"/>
    <w:rsid w:val="00EE0E5E"/>
    <w:rsid w:val="00EE3E68"/>
    <w:rsid w:val="00EE7D6E"/>
    <w:rsid w:val="00EF39A2"/>
    <w:rsid w:val="00EF39D6"/>
    <w:rsid w:val="00EF5F92"/>
    <w:rsid w:val="00EF7D42"/>
    <w:rsid w:val="00F026BD"/>
    <w:rsid w:val="00F05289"/>
    <w:rsid w:val="00F254A0"/>
    <w:rsid w:val="00F26E51"/>
    <w:rsid w:val="00F3022F"/>
    <w:rsid w:val="00F31A88"/>
    <w:rsid w:val="00F342A4"/>
    <w:rsid w:val="00F40844"/>
    <w:rsid w:val="00F423CA"/>
    <w:rsid w:val="00F44BE4"/>
    <w:rsid w:val="00F44C0F"/>
    <w:rsid w:val="00F47E77"/>
    <w:rsid w:val="00F5099E"/>
    <w:rsid w:val="00F5567C"/>
    <w:rsid w:val="00F5710C"/>
    <w:rsid w:val="00F6436F"/>
    <w:rsid w:val="00F67E96"/>
    <w:rsid w:val="00F75051"/>
    <w:rsid w:val="00F775C9"/>
    <w:rsid w:val="00F85AB1"/>
    <w:rsid w:val="00F91FF7"/>
    <w:rsid w:val="00F9261B"/>
    <w:rsid w:val="00F9379D"/>
    <w:rsid w:val="00F9397B"/>
    <w:rsid w:val="00FB2223"/>
    <w:rsid w:val="00FB2C96"/>
    <w:rsid w:val="00FB394E"/>
    <w:rsid w:val="00FB60DA"/>
    <w:rsid w:val="00FB7D27"/>
    <w:rsid w:val="00FC1FCF"/>
    <w:rsid w:val="00FC21BC"/>
    <w:rsid w:val="00FC5BB1"/>
    <w:rsid w:val="00FC7382"/>
    <w:rsid w:val="00FD2374"/>
    <w:rsid w:val="00FE0F3F"/>
    <w:rsid w:val="00FE1636"/>
    <w:rsid w:val="00FE3ABA"/>
    <w:rsid w:val="00FE487F"/>
    <w:rsid w:val="00FF216C"/>
    <w:rsid w:val="00FF3850"/>
    <w:rsid w:val="00FF56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7C"/>
    <w:pPr>
      <w:tabs>
        <w:tab w:val="left" w:pos="567"/>
      </w:tabs>
      <w:spacing w:line="260" w:lineRule="exact"/>
    </w:pPr>
    <w:rPr>
      <w:snapToGrid w:val="0"/>
      <w:sz w:val="22"/>
      <w:lang w:val="en-US" w:eastAsia="zh-CN"/>
    </w:rPr>
  </w:style>
  <w:style w:type="paragraph" w:styleId="1">
    <w:name w:val="heading 1"/>
    <w:basedOn w:val="a"/>
    <w:next w:val="a"/>
    <w:qFormat/>
    <w:rsid w:val="00D1087C"/>
    <w:pPr>
      <w:spacing w:before="240" w:after="120"/>
      <w:ind w:left="357" w:hanging="357"/>
      <w:outlineLvl w:val="0"/>
    </w:pPr>
    <w:rPr>
      <w:b/>
      <w:caps/>
      <w:sz w:val="26"/>
    </w:rPr>
  </w:style>
  <w:style w:type="paragraph" w:styleId="2">
    <w:name w:val="heading 2"/>
    <w:basedOn w:val="a"/>
    <w:next w:val="a"/>
    <w:qFormat/>
    <w:rsid w:val="00D1087C"/>
    <w:pPr>
      <w:keepNext/>
      <w:spacing w:before="240" w:after="60"/>
      <w:outlineLvl w:val="1"/>
    </w:pPr>
    <w:rPr>
      <w:rFonts w:ascii="Helvetica" w:hAnsi="Helvetica"/>
      <w:b/>
      <w:i/>
      <w:sz w:val="24"/>
    </w:rPr>
  </w:style>
  <w:style w:type="paragraph" w:styleId="3">
    <w:name w:val="heading 3"/>
    <w:basedOn w:val="a"/>
    <w:next w:val="a"/>
    <w:qFormat/>
    <w:rsid w:val="00D1087C"/>
    <w:pPr>
      <w:keepNext/>
      <w:keepLines/>
      <w:spacing w:before="120" w:after="80"/>
      <w:outlineLvl w:val="2"/>
    </w:pPr>
    <w:rPr>
      <w:b/>
      <w:kern w:val="28"/>
      <w:sz w:val="24"/>
    </w:rPr>
  </w:style>
  <w:style w:type="paragraph" w:styleId="4">
    <w:name w:val="heading 4"/>
    <w:basedOn w:val="a"/>
    <w:next w:val="a"/>
    <w:qFormat/>
    <w:rsid w:val="00D1087C"/>
    <w:pPr>
      <w:keepNext/>
      <w:jc w:val="both"/>
      <w:outlineLvl w:val="3"/>
    </w:pPr>
    <w:rPr>
      <w:b/>
      <w:noProof/>
      <w:lang w:val="el-GR"/>
    </w:rPr>
  </w:style>
  <w:style w:type="paragraph" w:styleId="5">
    <w:name w:val="heading 5"/>
    <w:basedOn w:val="a"/>
    <w:next w:val="a"/>
    <w:qFormat/>
    <w:rsid w:val="00D1087C"/>
    <w:pPr>
      <w:keepNext/>
      <w:jc w:val="both"/>
      <w:outlineLvl w:val="4"/>
    </w:pPr>
    <w:rPr>
      <w:noProof/>
      <w:lang w:val="el-GR"/>
    </w:rPr>
  </w:style>
  <w:style w:type="paragraph" w:styleId="6">
    <w:name w:val="heading 6"/>
    <w:basedOn w:val="a"/>
    <w:next w:val="a"/>
    <w:qFormat/>
    <w:rsid w:val="00D1087C"/>
    <w:pPr>
      <w:keepNext/>
      <w:tabs>
        <w:tab w:val="left" w:pos="-720"/>
        <w:tab w:val="left" w:pos="4536"/>
      </w:tabs>
      <w:suppressAutoHyphens/>
      <w:outlineLvl w:val="5"/>
    </w:pPr>
    <w:rPr>
      <w:i/>
    </w:rPr>
  </w:style>
  <w:style w:type="paragraph" w:styleId="7">
    <w:name w:val="heading 7"/>
    <w:basedOn w:val="a"/>
    <w:next w:val="a"/>
    <w:qFormat/>
    <w:rsid w:val="00D1087C"/>
    <w:pPr>
      <w:keepNext/>
      <w:tabs>
        <w:tab w:val="left" w:pos="-720"/>
        <w:tab w:val="left" w:pos="4536"/>
      </w:tabs>
      <w:suppressAutoHyphens/>
      <w:jc w:val="both"/>
      <w:outlineLvl w:val="6"/>
    </w:pPr>
    <w:rPr>
      <w:i/>
    </w:rPr>
  </w:style>
  <w:style w:type="paragraph" w:styleId="8">
    <w:name w:val="heading 8"/>
    <w:basedOn w:val="a"/>
    <w:next w:val="a"/>
    <w:qFormat/>
    <w:rsid w:val="00D1087C"/>
    <w:pPr>
      <w:keepNext/>
      <w:ind w:left="567" w:hanging="567"/>
      <w:jc w:val="both"/>
      <w:outlineLvl w:val="7"/>
    </w:pPr>
    <w:rPr>
      <w:b/>
      <w:i/>
    </w:rPr>
  </w:style>
  <w:style w:type="paragraph" w:styleId="9">
    <w:name w:val="heading 9"/>
    <w:basedOn w:val="a"/>
    <w:next w:val="a"/>
    <w:qFormat/>
    <w:rsid w:val="00D1087C"/>
    <w:pPr>
      <w:keepNext/>
      <w:jc w:val="both"/>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1087C"/>
    <w:pPr>
      <w:tabs>
        <w:tab w:val="center" w:pos="4153"/>
        <w:tab w:val="right" w:pos="8306"/>
      </w:tabs>
      <w:spacing w:line="240" w:lineRule="auto"/>
    </w:pPr>
    <w:rPr>
      <w:rFonts w:ascii="Helvetica" w:hAnsi="Helvetica"/>
      <w:sz w:val="20"/>
    </w:rPr>
  </w:style>
  <w:style w:type="paragraph" w:styleId="a4">
    <w:name w:val="footer"/>
    <w:basedOn w:val="a"/>
    <w:rsid w:val="00D1087C"/>
    <w:pPr>
      <w:tabs>
        <w:tab w:val="center" w:pos="4536"/>
        <w:tab w:val="center" w:pos="8930"/>
      </w:tabs>
      <w:spacing w:line="240" w:lineRule="auto"/>
    </w:pPr>
    <w:rPr>
      <w:rFonts w:ascii="Helvetica" w:hAnsi="Helvetica"/>
      <w:sz w:val="16"/>
    </w:rPr>
  </w:style>
  <w:style w:type="character" w:styleId="a5">
    <w:name w:val="page number"/>
    <w:basedOn w:val="a0"/>
    <w:rsid w:val="00D1087C"/>
    <w:rPr>
      <w:rFonts w:cs="Times New Roman"/>
    </w:rPr>
  </w:style>
  <w:style w:type="paragraph" w:styleId="a6">
    <w:name w:val="Body Text Indent"/>
    <w:basedOn w:val="a"/>
    <w:rsid w:val="00D1087C"/>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paragraph" w:styleId="30">
    <w:name w:val="Body Text 3"/>
    <w:basedOn w:val="a"/>
    <w:rsid w:val="00D1087C"/>
    <w:pPr>
      <w:tabs>
        <w:tab w:val="clear" w:pos="567"/>
      </w:tabs>
      <w:autoSpaceDE w:val="0"/>
      <w:autoSpaceDN w:val="0"/>
      <w:adjustRightInd w:val="0"/>
      <w:spacing w:line="240" w:lineRule="auto"/>
      <w:jc w:val="both"/>
    </w:pPr>
    <w:rPr>
      <w:color w:val="0000FF"/>
      <w:szCs w:val="22"/>
    </w:rPr>
  </w:style>
  <w:style w:type="paragraph" w:styleId="20">
    <w:name w:val="Body Text Indent 2"/>
    <w:basedOn w:val="a"/>
    <w:rsid w:val="00D1087C"/>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a7">
    <w:name w:val="Body Text"/>
    <w:basedOn w:val="a"/>
    <w:rsid w:val="00D1087C"/>
    <w:pPr>
      <w:tabs>
        <w:tab w:val="clear" w:pos="567"/>
      </w:tabs>
      <w:spacing w:line="240" w:lineRule="auto"/>
    </w:pPr>
    <w:rPr>
      <w:i/>
      <w:color w:val="008000"/>
    </w:rPr>
  </w:style>
  <w:style w:type="character" w:styleId="a8">
    <w:name w:val="annotation reference"/>
    <w:basedOn w:val="a0"/>
    <w:semiHidden/>
    <w:rsid w:val="00D1087C"/>
    <w:rPr>
      <w:rFonts w:cs="Times New Roman"/>
      <w:sz w:val="16"/>
      <w:szCs w:val="16"/>
    </w:rPr>
  </w:style>
  <w:style w:type="paragraph" w:styleId="a9">
    <w:name w:val="annotation text"/>
    <w:basedOn w:val="a"/>
    <w:semiHidden/>
    <w:rsid w:val="00D1087C"/>
    <w:rPr>
      <w:sz w:val="20"/>
    </w:rPr>
  </w:style>
  <w:style w:type="paragraph" w:customStyle="1" w:styleId="EMEAEnBodyText">
    <w:name w:val="EMEA En Body Text"/>
    <w:basedOn w:val="a"/>
    <w:rsid w:val="00D1087C"/>
    <w:pPr>
      <w:tabs>
        <w:tab w:val="clear" w:pos="567"/>
      </w:tabs>
      <w:spacing w:before="120" w:after="120" w:line="240" w:lineRule="auto"/>
      <w:jc w:val="both"/>
    </w:pPr>
  </w:style>
  <w:style w:type="paragraph" w:styleId="aa">
    <w:name w:val="Document Map"/>
    <w:basedOn w:val="a"/>
    <w:semiHidden/>
    <w:rsid w:val="00D1087C"/>
    <w:pPr>
      <w:shd w:val="clear" w:color="auto" w:fill="000080"/>
    </w:pPr>
  </w:style>
  <w:style w:type="character" w:styleId="-">
    <w:name w:val="Hyperlink"/>
    <w:basedOn w:val="a0"/>
    <w:rsid w:val="00D1087C"/>
    <w:rPr>
      <w:rFonts w:cs="Times New Roman"/>
      <w:color w:val="0000FF"/>
      <w:u w:val="single"/>
    </w:rPr>
  </w:style>
  <w:style w:type="paragraph" w:customStyle="1" w:styleId="AHeader1">
    <w:name w:val="AHeader 1"/>
    <w:basedOn w:val="a"/>
    <w:rsid w:val="00D1087C"/>
    <w:pPr>
      <w:numPr>
        <w:numId w:val="1"/>
      </w:numPr>
      <w:tabs>
        <w:tab w:val="clear" w:pos="567"/>
      </w:tabs>
      <w:spacing w:after="120" w:line="240" w:lineRule="auto"/>
    </w:pPr>
    <w:rPr>
      <w:rFonts w:ascii="Arial" w:hAnsi="Arial" w:cs="Arial"/>
      <w:b/>
      <w:bCs/>
      <w:sz w:val="24"/>
    </w:rPr>
  </w:style>
  <w:style w:type="paragraph" w:customStyle="1" w:styleId="AHeader2">
    <w:name w:val="AHeader 2"/>
    <w:basedOn w:val="AHeader1"/>
    <w:rsid w:val="00D1087C"/>
    <w:pPr>
      <w:numPr>
        <w:ilvl w:val="1"/>
      </w:numPr>
    </w:pPr>
    <w:rPr>
      <w:sz w:val="22"/>
    </w:rPr>
  </w:style>
  <w:style w:type="paragraph" w:customStyle="1" w:styleId="AHeader3">
    <w:name w:val="AHeader 3"/>
    <w:basedOn w:val="AHeader2"/>
    <w:rsid w:val="00D1087C"/>
    <w:pPr>
      <w:numPr>
        <w:ilvl w:val="2"/>
      </w:numPr>
    </w:pPr>
  </w:style>
  <w:style w:type="paragraph" w:customStyle="1" w:styleId="AHeader2abc">
    <w:name w:val="AHeader 2 abc"/>
    <w:basedOn w:val="AHeader3"/>
    <w:rsid w:val="00D1087C"/>
    <w:pPr>
      <w:numPr>
        <w:ilvl w:val="3"/>
      </w:numPr>
      <w:jc w:val="both"/>
    </w:pPr>
    <w:rPr>
      <w:b w:val="0"/>
      <w:bCs w:val="0"/>
    </w:rPr>
  </w:style>
  <w:style w:type="paragraph" w:customStyle="1" w:styleId="AHeader3abc">
    <w:name w:val="AHeader 3 abc"/>
    <w:basedOn w:val="AHeader2abc"/>
    <w:rsid w:val="00D1087C"/>
    <w:pPr>
      <w:numPr>
        <w:ilvl w:val="4"/>
      </w:numPr>
    </w:pPr>
  </w:style>
  <w:style w:type="paragraph" w:styleId="31">
    <w:name w:val="Body Text Indent 3"/>
    <w:basedOn w:val="a"/>
    <w:rsid w:val="00D1087C"/>
    <w:pPr>
      <w:tabs>
        <w:tab w:val="left" w:pos="1134"/>
      </w:tabs>
      <w:autoSpaceDE w:val="0"/>
      <w:autoSpaceDN w:val="0"/>
      <w:adjustRightInd w:val="0"/>
      <w:ind w:left="633"/>
      <w:jc w:val="both"/>
    </w:pPr>
    <w:rPr>
      <w:szCs w:val="21"/>
    </w:rPr>
  </w:style>
  <w:style w:type="character" w:styleId="-0">
    <w:name w:val="FollowedHyperlink"/>
    <w:basedOn w:val="a0"/>
    <w:rsid w:val="00D1087C"/>
    <w:rPr>
      <w:rFonts w:cs="Times New Roman"/>
      <w:color w:val="800080"/>
      <w:u w:val="single"/>
    </w:rPr>
  </w:style>
  <w:style w:type="paragraph" w:customStyle="1" w:styleId="Default">
    <w:name w:val="Default"/>
    <w:rsid w:val="00D1087C"/>
    <w:pPr>
      <w:autoSpaceDE w:val="0"/>
      <w:autoSpaceDN w:val="0"/>
      <w:adjustRightInd w:val="0"/>
    </w:pPr>
    <w:rPr>
      <w:snapToGrid w:val="0"/>
      <w:lang w:val="en-US" w:eastAsia="zh-CN"/>
    </w:rPr>
  </w:style>
  <w:style w:type="paragraph" w:customStyle="1" w:styleId="Front-Info">
    <w:name w:val="Front-Info"/>
    <w:basedOn w:val="a"/>
    <w:rsid w:val="00D1087C"/>
    <w:pPr>
      <w:keepLines/>
      <w:tabs>
        <w:tab w:val="clear" w:pos="567"/>
      </w:tabs>
      <w:spacing w:before="120" w:line="240" w:lineRule="auto"/>
      <w:jc w:val="center"/>
    </w:pPr>
    <w:rPr>
      <w:b/>
      <w:sz w:val="24"/>
      <w:szCs w:val="24"/>
    </w:rPr>
  </w:style>
  <w:style w:type="paragraph" w:styleId="ab">
    <w:name w:val="footnote text"/>
    <w:basedOn w:val="a"/>
    <w:semiHidden/>
    <w:rsid w:val="00D1087C"/>
    <w:rPr>
      <w:sz w:val="20"/>
    </w:rPr>
  </w:style>
  <w:style w:type="character" w:styleId="ac">
    <w:name w:val="footnote reference"/>
    <w:basedOn w:val="a0"/>
    <w:semiHidden/>
    <w:rsid w:val="00D1087C"/>
    <w:rPr>
      <w:rFonts w:cs="Times New Roman"/>
      <w:vertAlign w:val="superscript"/>
    </w:rPr>
  </w:style>
  <w:style w:type="paragraph" w:customStyle="1" w:styleId="TableText">
    <w:name w:val="TableText"/>
    <w:rsid w:val="00D1087C"/>
    <w:pPr>
      <w:keepNext/>
    </w:pPr>
    <w:rPr>
      <w:snapToGrid w:val="0"/>
      <w:lang w:val="en-US" w:eastAsia="zh-CN"/>
    </w:rPr>
  </w:style>
  <w:style w:type="paragraph" w:customStyle="1" w:styleId="TableTextIndent">
    <w:name w:val="TableTextIndent"/>
    <w:rsid w:val="00D1087C"/>
    <w:pPr>
      <w:ind w:left="540"/>
    </w:pPr>
    <w:rPr>
      <w:snapToGrid w:val="0"/>
      <w:lang w:val="en-US" w:eastAsia="zh-CN"/>
    </w:rPr>
  </w:style>
  <w:style w:type="paragraph" w:customStyle="1" w:styleId="BodyText10">
    <w:name w:val="BodyText10"/>
    <w:rsid w:val="00D1087C"/>
    <w:pPr>
      <w:suppressAutoHyphens/>
      <w:jc w:val="both"/>
    </w:pPr>
    <w:rPr>
      <w:snapToGrid w:val="0"/>
      <w:lang w:val="en-US" w:eastAsia="zh-CN"/>
    </w:rPr>
  </w:style>
  <w:style w:type="paragraph" w:styleId="Web">
    <w:name w:val="Normal (Web)"/>
    <w:basedOn w:val="a"/>
    <w:rsid w:val="00D1087C"/>
    <w:pPr>
      <w:tabs>
        <w:tab w:val="clear" w:pos="567"/>
      </w:tabs>
      <w:spacing w:before="100" w:beforeAutospacing="1" w:after="100" w:afterAutospacing="1" w:line="240" w:lineRule="auto"/>
    </w:pPr>
    <w:rPr>
      <w:rFonts w:ascii="Arial Unicode MS" w:eastAsia="Arial Unicode MS" w:hAnsi="Arial Unicode MS"/>
      <w:sz w:val="24"/>
      <w:szCs w:val="24"/>
    </w:rPr>
  </w:style>
  <w:style w:type="paragraph" w:customStyle="1" w:styleId="Kommentarthema1">
    <w:name w:val="Kommentarthema1"/>
    <w:basedOn w:val="a9"/>
    <w:next w:val="a9"/>
    <w:semiHidden/>
    <w:rsid w:val="00D1087C"/>
    <w:rPr>
      <w:b/>
      <w:bCs/>
    </w:rPr>
  </w:style>
  <w:style w:type="paragraph" w:customStyle="1" w:styleId="Sprechblasentext1">
    <w:name w:val="Sprechblasentext1"/>
    <w:basedOn w:val="a"/>
    <w:semiHidden/>
    <w:rsid w:val="00D1087C"/>
    <w:rPr>
      <w:sz w:val="16"/>
      <w:szCs w:val="16"/>
    </w:rPr>
  </w:style>
  <w:style w:type="paragraph" w:customStyle="1" w:styleId="standard2">
    <w:name w:val="standard2"/>
    <w:basedOn w:val="a"/>
    <w:rsid w:val="00D1087C"/>
    <w:pPr>
      <w:tabs>
        <w:tab w:val="clear" w:pos="567"/>
      </w:tabs>
      <w:spacing w:line="240" w:lineRule="auto"/>
      <w:jc w:val="both"/>
    </w:pPr>
    <w:rPr>
      <w:rFonts w:ascii="Arial" w:hAnsi="Arial"/>
      <w:b/>
      <w:color w:val="000000"/>
      <w:sz w:val="24"/>
    </w:rPr>
  </w:style>
  <w:style w:type="paragraph" w:customStyle="1" w:styleId="Standard1">
    <w:name w:val="Standard1"/>
    <w:basedOn w:val="a"/>
    <w:rsid w:val="00D1087C"/>
    <w:pPr>
      <w:tabs>
        <w:tab w:val="clear" w:pos="567"/>
      </w:tabs>
      <w:spacing w:after="120" w:line="240" w:lineRule="auto"/>
      <w:ind w:firstLine="567"/>
    </w:pPr>
    <w:rPr>
      <w:rFonts w:ascii="Arial" w:hAnsi="Arial"/>
      <w:lang w:val="de-DE"/>
    </w:rPr>
  </w:style>
  <w:style w:type="paragraph" w:customStyle="1" w:styleId="SynopsisText">
    <w:name w:val="SynopsisText"/>
    <w:rsid w:val="00D1087C"/>
    <w:pPr>
      <w:spacing w:before="60" w:after="60"/>
      <w:jc w:val="both"/>
    </w:pPr>
    <w:rPr>
      <w:snapToGrid w:val="0"/>
      <w:sz w:val="18"/>
      <w:lang w:val="en-US" w:eastAsia="zh-CN"/>
    </w:rPr>
  </w:style>
  <w:style w:type="paragraph" w:customStyle="1" w:styleId="BodyText12">
    <w:name w:val="BodyText12"/>
    <w:rsid w:val="00D1087C"/>
    <w:pPr>
      <w:spacing w:after="200" w:line="300" w:lineRule="auto"/>
      <w:ind w:left="850"/>
      <w:jc w:val="both"/>
    </w:pPr>
    <w:rPr>
      <w:snapToGrid w:val="0"/>
      <w:sz w:val="24"/>
      <w:lang w:val="en-US" w:eastAsia="zh-CN"/>
    </w:rPr>
  </w:style>
  <w:style w:type="paragraph" w:customStyle="1" w:styleId="SummaryHeading">
    <w:name w:val="SummaryHeading"/>
    <w:next w:val="a"/>
    <w:rsid w:val="00D1087C"/>
    <w:pPr>
      <w:keepNext/>
      <w:spacing w:after="60"/>
    </w:pPr>
    <w:rPr>
      <w:rFonts w:ascii="Arial" w:hAnsi="Arial"/>
      <w:b/>
      <w:caps/>
      <w:snapToGrid w:val="0"/>
      <w:sz w:val="24"/>
      <w:lang w:val="en-US" w:eastAsia="zh-CN"/>
    </w:rPr>
  </w:style>
  <w:style w:type="paragraph" w:customStyle="1" w:styleId="MarkAttachment">
    <w:name w:val="Mark Attachment"/>
    <w:next w:val="BodyText10"/>
    <w:rsid w:val="00D1087C"/>
    <w:pPr>
      <w:keepNext/>
      <w:jc w:val="center"/>
    </w:pPr>
    <w:rPr>
      <w:rFonts w:ascii="Arial" w:hAnsi="Arial"/>
      <w:snapToGrid w:val="0"/>
      <w:lang w:val="en-US" w:eastAsia="zh-CN"/>
    </w:rPr>
  </w:style>
  <w:style w:type="paragraph" w:styleId="ad">
    <w:name w:val="Balloon Text"/>
    <w:basedOn w:val="a"/>
    <w:semiHidden/>
    <w:rsid w:val="00D1087C"/>
    <w:rPr>
      <w:sz w:val="16"/>
      <w:szCs w:val="16"/>
    </w:rPr>
  </w:style>
  <w:style w:type="paragraph" w:styleId="ae">
    <w:name w:val="annotation subject"/>
    <w:basedOn w:val="a9"/>
    <w:next w:val="a9"/>
    <w:semiHidden/>
    <w:rsid w:val="00D1087C"/>
    <w:rPr>
      <w:b/>
      <w:bCs/>
    </w:rPr>
  </w:style>
  <w:style w:type="paragraph" w:customStyle="1" w:styleId="Heading2">
    <w:name w:val="Heading 2#"/>
    <w:basedOn w:val="2"/>
    <w:next w:val="a7"/>
    <w:rsid w:val="00D1087C"/>
    <w:pPr>
      <w:tabs>
        <w:tab w:val="clear" w:pos="567"/>
        <w:tab w:val="num" w:pos="720"/>
      </w:tabs>
      <w:spacing w:after="120" w:line="240" w:lineRule="auto"/>
      <w:ind w:left="720" w:hanging="720"/>
    </w:pPr>
    <w:rPr>
      <w:rFonts w:ascii="Times New Roman" w:hAnsi="Times New Roman" w:cs="Arial"/>
      <w:bCs/>
      <w:i w:val="0"/>
      <w:iCs/>
      <w:sz w:val="28"/>
      <w:szCs w:val="28"/>
    </w:rPr>
  </w:style>
  <w:style w:type="paragraph" w:customStyle="1" w:styleId="Heading3">
    <w:name w:val="Heading 3#"/>
    <w:basedOn w:val="3"/>
    <w:next w:val="a7"/>
    <w:rsid w:val="00D1087C"/>
    <w:pPr>
      <w:keepLines w:val="0"/>
      <w:tabs>
        <w:tab w:val="clear" w:pos="567"/>
        <w:tab w:val="num" w:pos="720"/>
      </w:tabs>
      <w:spacing w:before="240" w:after="120" w:line="240" w:lineRule="auto"/>
      <w:ind w:left="720" w:hanging="720"/>
    </w:pPr>
    <w:rPr>
      <w:rFonts w:cs="Arial"/>
      <w:bCs/>
      <w:kern w:val="0"/>
      <w:szCs w:val="26"/>
      <w:u w:val="single"/>
    </w:rPr>
  </w:style>
  <w:style w:type="paragraph" w:customStyle="1" w:styleId="Heading4">
    <w:name w:val="Heading 4#"/>
    <w:basedOn w:val="4"/>
    <w:next w:val="a7"/>
    <w:rsid w:val="00D1087C"/>
    <w:pPr>
      <w:tabs>
        <w:tab w:val="clear" w:pos="567"/>
        <w:tab w:val="num" w:pos="1296"/>
      </w:tabs>
      <w:spacing w:before="240" w:after="120" w:line="240" w:lineRule="auto"/>
      <w:ind w:left="1296" w:hanging="1296"/>
      <w:jc w:val="left"/>
    </w:pPr>
    <w:rPr>
      <w:bCs/>
      <w:noProof w:val="0"/>
      <w:sz w:val="24"/>
      <w:szCs w:val="28"/>
      <w:lang w:val="en-US"/>
    </w:rPr>
  </w:style>
  <w:style w:type="paragraph" w:customStyle="1" w:styleId="Heading5">
    <w:name w:val="Heading 5#"/>
    <w:basedOn w:val="5"/>
    <w:next w:val="a7"/>
    <w:rsid w:val="00D1087C"/>
    <w:pPr>
      <w:tabs>
        <w:tab w:val="clear" w:pos="567"/>
        <w:tab w:val="num" w:pos="1296"/>
      </w:tabs>
      <w:spacing w:before="240" w:after="120" w:line="240" w:lineRule="auto"/>
      <w:ind w:left="1296" w:hanging="1296"/>
      <w:jc w:val="left"/>
    </w:pPr>
    <w:rPr>
      <w:bCs/>
      <w:iCs/>
      <w:noProof w:val="0"/>
      <w:sz w:val="24"/>
      <w:szCs w:val="26"/>
      <w:u w:val="single"/>
      <w:lang w:val="en-US"/>
    </w:rPr>
  </w:style>
  <w:style w:type="paragraph" w:customStyle="1" w:styleId="Heading6">
    <w:name w:val="Heading 6#"/>
    <w:basedOn w:val="6"/>
    <w:next w:val="a7"/>
    <w:rsid w:val="00D1087C"/>
    <w:pPr>
      <w:tabs>
        <w:tab w:val="clear" w:pos="-720"/>
        <w:tab w:val="clear" w:pos="567"/>
        <w:tab w:val="clear" w:pos="4536"/>
        <w:tab w:val="num" w:pos="1296"/>
      </w:tabs>
      <w:suppressAutoHyphens w:val="0"/>
      <w:spacing w:before="240" w:after="120" w:line="240" w:lineRule="auto"/>
      <w:ind w:left="1296" w:hanging="1296"/>
    </w:pPr>
    <w:rPr>
      <w:bCs/>
      <w:sz w:val="24"/>
      <w:szCs w:val="22"/>
    </w:rPr>
  </w:style>
  <w:style w:type="paragraph" w:customStyle="1" w:styleId="Heading7">
    <w:name w:val="Heading 7#"/>
    <w:basedOn w:val="7"/>
    <w:next w:val="a7"/>
    <w:rsid w:val="00D1087C"/>
    <w:pPr>
      <w:tabs>
        <w:tab w:val="clear" w:pos="-720"/>
        <w:tab w:val="clear" w:pos="567"/>
        <w:tab w:val="clear" w:pos="4536"/>
        <w:tab w:val="num" w:pos="1800"/>
      </w:tabs>
      <w:suppressAutoHyphens w:val="0"/>
      <w:spacing w:before="240" w:after="120" w:line="240" w:lineRule="auto"/>
      <w:ind w:left="1800" w:hanging="1800"/>
      <w:jc w:val="left"/>
    </w:pPr>
    <w:rPr>
      <w:sz w:val="24"/>
      <w:szCs w:val="24"/>
      <w:u w:val="single"/>
    </w:rPr>
  </w:style>
  <w:style w:type="paragraph" w:customStyle="1" w:styleId="Heading8">
    <w:name w:val="Heading 8#"/>
    <w:basedOn w:val="8"/>
    <w:next w:val="a7"/>
    <w:rsid w:val="00D1087C"/>
    <w:pPr>
      <w:tabs>
        <w:tab w:val="clear" w:pos="567"/>
        <w:tab w:val="num" w:pos="1800"/>
      </w:tabs>
      <w:spacing w:before="240" w:after="120" w:line="240" w:lineRule="auto"/>
      <w:ind w:left="1800" w:hanging="1800"/>
      <w:jc w:val="left"/>
    </w:pPr>
    <w:rPr>
      <w:i w:val="0"/>
      <w:iCs/>
      <w:sz w:val="24"/>
      <w:szCs w:val="24"/>
    </w:rPr>
  </w:style>
  <w:style w:type="paragraph" w:customStyle="1" w:styleId="Heading9">
    <w:name w:val="Heading 9#"/>
    <w:basedOn w:val="9"/>
    <w:next w:val="a7"/>
    <w:rsid w:val="00D1087C"/>
    <w:pPr>
      <w:tabs>
        <w:tab w:val="clear" w:pos="567"/>
        <w:tab w:val="left" w:pos="1800"/>
        <w:tab w:val="num" w:pos="2160"/>
      </w:tabs>
      <w:spacing w:before="240" w:after="120" w:line="240" w:lineRule="auto"/>
      <w:ind w:left="1800" w:hanging="1800"/>
      <w:jc w:val="left"/>
    </w:pPr>
    <w:rPr>
      <w:rFonts w:cs="Arial"/>
      <w:b w:val="0"/>
      <w:i w:val="0"/>
      <w:sz w:val="24"/>
      <w:szCs w:val="22"/>
      <w:u w:val="single"/>
    </w:rPr>
  </w:style>
  <w:style w:type="character" w:styleId="af">
    <w:name w:val="Strong"/>
    <w:basedOn w:val="a0"/>
    <w:qFormat/>
    <w:rsid w:val="00D1087C"/>
    <w:rPr>
      <w:rFonts w:cs="Times New Roman"/>
      <w:b/>
      <w:bCs/>
    </w:rPr>
  </w:style>
  <w:style w:type="paragraph" w:customStyle="1" w:styleId="Table-Text">
    <w:name w:val="Table-Text"/>
    <w:basedOn w:val="a"/>
    <w:rsid w:val="00D1087C"/>
    <w:pPr>
      <w:keepLines/>
      <w:tabs>
        <w:tab w:val="clear" w:pos="567"/>
      </w:tabs>
      <w:spacing w:before="40" w:after="40" w:line="240" w:lineRule="auto"/>
    </w:pPr>
    <w:rPr>
      <w:sz w:val="24"/>
      <w:szCs w:val="24"/>
    </w:rPr>
  </w:style>
  <w:style w:type="paragraph" w:customStyle="1" w:styleId="Text">
    <w:name w:val="Text"/>
    <w:basedOn w:val="a"/>
    <w:rsid w:val="00D1087C"/>
    <w:pPr>
      <w:tabs>
        <w:tab w:val="clear" w:pos="567"/>
      </w:tabs>
      <w:spacing w:after="120" w:line="240" w:lineRule="auto"/>
    </w:pPr>
    <w:rPr>
      <w:sz w:val="24"/>
      <w:szCs w:val="24"/>
    </w:rPr>
  </w:style>
  <w:style w:type="paragraph" w:styleId="af0">
    <w:name w:val="endnote text"/>
    <w:basedOn w:val="a"/>
    <w:semiHidden/>
    <w:rsid w:val="00D1087C"/>
    <w:pPr>
      <w:spacing w:line="240" w:lineRule="auto"/>
    </w:pPr>
    <w:rPr>
      <w:lang w:val="en-GB"/>
    </w:rPr>
  </w:style>
  <w:style w:type="character" w:customStyle="1" w:styleId="EmailStyle641">
    <w:name w:val="EmailStyle64"/>
    <w:aliases w:val="EmailStyle64"/>
    <w:basedOn w:val="a0"/>
    <w:semiHidden/>
    <w:personal/>
    <w:rsid w:val="00D1087C"/>
    <w:rPr>
      <w:rFonts w:ascii="Arial" w:hAnsi="Arial" w:cs="Arial"/>
      <w:color w:val="000080"/>
      <w:sz w:val="20"/>
      <w:szCs w:val="20"/>
    </w:rPr>
  </w:style>
  <w:style w:type="paragraph" w:customStyle="1" w:styleId="default0">
    <w:name w:val="default"/>
    <w:basedOn w:val="a"/>
    <w:rsid w:val="00D1087C"/>
    <w:pPr>
      <w:tabs>
        <w:tab w:val="clear" w:pos="567"/>
      </w:tabs>
      <w:spacing w:line="240" w:lineRule="auto"/>
    </w:pPr>
    <w:rPr>
      <w:sz w:val="20"/>
      <w:lang w:val="de-DE"/>
    </w:rPr>
  </w:style>
  <w:style w:type="character" w:customStyle="1" w:styleId="msoins0">
    <w:name w:val="msoins"/>
    <w:basedOn w:val="a0"/>
    <w:rsid w:val="00D1087C"/>
    <w:rPr>
      <w:rFonts w:cs="Times New Roman"/>
    </w:rPr>
  </w:style>
  <w:style w:type="character" w:styleId="af1">
    <w:name w:val="Emphasis"/>
    <w:basedOn w:val="a0"/>
    <w:qFormat/>
    <w:rsid w:val="00D1087C"/>
    <w:rPr>
      <w:rFonts w:cs="Times New Roman"/>
      <w:i/>
      <w:iCs/>
    </w:rPr>
  </w:style>
  <w:style w:type="character" w:customStyle="1" w:styleId="tw4winMark">
    <w:name w:val="tw4winMark"/>
    <w:rsid w:val="00D1087C"/>
    <w:rPr>
      <w:rFonts w:ascii="Courier New" w:hAnsi="Courier New"/>
      <w:vanish/>
      <w:color w:val="800080"/>
      <w:sz w:val="24"/>
      <w:vertAlign w:val="subscript"/>
    </w:rPr>
  </w:style>
  <w:style w:type="character" w:customStyle="1" w:styleId="tw4winError">
    <w:name w:val="tw4winError"/>
    <w:rsid w:val="00D1087C"/>
    <w:rPr>
      <w:rFonts w:ascii="Courier New" w:hAnsi="Courier New"/>
      <w:color w:val="00FF00"/>
      <w:sz w:val="40"/>
    </w:rPr>
  </w:style>
  <w:style w:type="character" w:customStyle="1" w:styleId="tw4winTerm">
    <w:name w:val="tw4winTerm"/>
    <w:rsid w:val="00D1087C"/>
    <w:rPr>
      <w:color w:val="0000FF"/>
    </w:rPr>
  </w:style>
  <w:style w:type="character" w:customStyle="1" w:styleId="tw4winPopup">
    <w:name w:val="tw4winPopup"/>
    <w:rsid w:val="00D1087C"/>
    <w:rPr>
      <w:rFonts w:ascii="Courier New" w:hAnsi="Courier New"/>
      <w:noProof/>
      <w:color w:val="008000"/>
    </w:rPr>
  </w:style>
  <w:style w:type="character" w:customStyle="1" w:styleId="tw4winJump">
    <w:name w:val="tw4winJump"/>
    <w:rsid w:val="00D1087C"/>
    <w:rPr>
      <w:rFonts w:ascii="Courier New" w:hAnsi="Courier New"/>
      <w:noProof/>
      <w:color w:val="008080"/>
    </w:rPr>
  </w:style>
  <w:style w:type="character" w:customStyle="1" w:styleId="tw4winExternal">
    <w:name w:val="tw4winExternal"/>
    <w:rsid w:val="00D1087C"/>
    <w:rPr>
      <w:rFonts w:ascii="Courier New" w:hAnsi="Courier New"/>
      <w:noProof/>
      <w:color w:val="808080"/>
    </w:rPr>
  </w:style>
  <w:style w:type="character" w:customStyle="1" w:styleId="tw4winInternal">
    <w:name w:val="tw4winInternal"/>
    <w:rsid w:val="00D1087C"/>
    <w:rPr>
      <w:rFonts w:ascii="Courier New" w:hAnsi="Courier New"/>
      <w:noProof/>
      <w:color w:val="FF0000"/>
    </w:rPr>
  </w:style>
  <w:style w:type="character" w:customStyle="1" w:styleId="DONOTTRANSLATE">
    <w:name w:val="DO_NOT_TRANSLATE"/>
    <w:rsid w:val="00D1087C"/>
    <w:rPr>
      <w:rFonts w:ascii="Courier New" w:hAnsi="Courier New"/>
      <w:noProof/>
      <w:color w:val="800000"/>
    </w:rPr>
  </w:style>
  <w:style w:type="paragraph" w:styleId="af2">
    <w:name w:val="Revision"/>
    <w:hidden/>
    <w:uiPriority w:val="99"/>
    <w:semiHidden/>
    <w:rsid w:val="00A229EC"/>
    <w:rPr>
      <w:snapToGrid w:val="0"/>
      <w:sz w:val="22"/>
      <w:lang w:val="en-US" w:eastAsia="zh-C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307134207">
      <w:bodyDiv w:val="1"/>
      <w:marLeft w:val="0"/>
      <w:marRight w:val="0"/>
      <w:marTop w:val="0"/>
      <w:marBottom w:val="0"/>
      <w:divBdr>
        <w:top w:val="none" w:sz="0" w:space="0" w:color="auto"/>
        <w:left w:val="none" w:sz="0" w:space="0" w:color="auto"/>
        <w:bottom w:val="none" w:sz="0" w:space="0" w:color="auto"/>
        <w:right w:val="none" w:sz="0" w:space="0" w:color="auto"/>
      </w:divBdr>
    </w:div>
    <w:div w:id="486941119">
      <w:bodyDiv w:val="1"/>
      <w:marLeft w:val="0"/>
      <w:marRight w:val="0"/>
      <w:marTop w:val="0"/>
      <w:marBottom w:val="0"/>
      <w:divBdr>
        <w:top w:val="none" w:sz="0" w:space="0" w:color="auto"/>
        <w:left w:val="none" w:sz="0" w:space="0" w:color="auto"/>
        <w:bottom w:val="none" w:sz="0" w:space="0" w:color="auto"/>
        <w:right w:val="none" w:sz="0" w:space="0" w:color="auto"/>
      </w:divBdr>
    </w:div>
    <w:div w:id="163810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5305</Words>
  <Characters>28648</Characters>
  <Application>Microsoft Office Word</Application>
  <DocSecurity>0</DocSecurity>
  <Lines>238</Lines>
  <Paragraphs>67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Tapentadol 50mg 75mg 100mg FCT EU</vt:lpstr>
      <vt:lpstr>Tapentadol 50mg 75mg 100mg FCT EU</vt:lpstr>
    </vt:vector>
  </TitlesOfParts>
  <Company>EMEA</Company>
  <LinksUpToDate>false</LinksUpToDate>
  <CharactersWithSpaces>33886</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Tapentadol 50mg 75mg 100mg FCT EU</dc:title>
  <dc:creator>Eva</dc:creator>
  <cp:lastModifiedBy>user146</cp:lastModifiedBy>
  <cp:revision>2</cp:revision>
  <cp:lastPrinted>2014-02-10T11:46:00Z</cp:lastPrinted>
  <dcterms:created xsi:type="dcterms:W3CDTF">2015-04-29T05:51:00Z</dcterms:created>
  <dcterms:modified xsi:type="dcterms:W3CDTF">2015-04-29T05:51:00Z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ubject">
    <vt:lpwstr>General-EMEA/397172/2005</vt:lpwstr>
  </property>
  <property fmtid="{D5CDD505-2E9C-101B-9397-08002B2CF9AE}" pid="3" name="DM_Name">
    <vt:lpwstr>H-EN_referral_SPC-lab-pl_v.2</vt:lpwstr>
  </property>
  <property fmtid="{D5CDD505-2E9C-101B-9397-08002B2CF9AE}" pid="4" name="DM_Owner">
    <vt:lpwstr>Holemarova Zuzana</vt:lpwstr>
  </property>
  <property fmtid="{D5CDD505-2E9C-101B-9397-08002B2CF9AE}" pid="5" name="DM_Creation_Date">
    <vt:lpwstr>25/11/2005 13:25:04</vt:lpwstr>
  </property>
  <property fmtid="{D5CDD505-2E9C-101B-9397-08002B2CF9AE}" pid="6" name="DM_Creator_Name">
    <vt:lpwstr>Holemarova Zuzana</vt:lpwstr>
  </property>
  <property fmtid="{D5CDD505-2E9C-101B-9397-08002B2CF9AE}" pid="7" name="DM_Modifer_Name">
    <vt:lpwstr>Holemarova Zuzana</vt:lpwstr>
  </property>
  <property fmtid="{D5CDD505-2E9C-101B-9397-08002B2CF9AE}" pid="8" name="DM_Modified_Date">
    <vt:lpwstr>02/12/2005 13:03:57</vt:lpwstr>
  </property>
  <property fmtid="{D5CDD505-2E9C-101B-9397-08002B2CF9AE}" pid="9" name="DM_Type">
    <vt:lpwstr>emea_document</vt:lpwstr>
  </property>
  <property fmtid="{D5CDD505-2E9C-101B-9397-08002B2CF9AE}" pid="10" name="DM_Version">
    <vt:lpwstr>0.1, CURRENT</vt:lpwstr>
  </property>
  <property fmtid="{D5CDD505-2E9C-101B-9397-08002B2CF9AE}" pid="11" name="DM_emea_doc_ref_id">
    <vt:lpwstr>EMEA/397172/2005</vt:lpwstr>
  </property>
  <property fmtid="{D5CDD505-2E9C-101B-9397-08002B2CF9AE}" pid="12" name="DM_emea_doc_number">
    <vt:lpwstr>397172</vt:lpwstr>
  </property>
  <property fmtid="{D5CDD505-2E9C-101B-9397-08002B2CF9AE}" pid="13" name="DM_emea_received_date">
    <vt:lpwstr>nulldate</vt:lpwstr>
  </property>
  <property fmtid="{D5CDD505-2E9C-101B-9397-08002B2CF9AE}" pid="14" name="DM_emea_doc_category">
    <vt:lpwstr>General</vt:lpwstr>
  </property>
  <property fmtid="{D5CDD505-2E9C-101B-9397-08002B2CF9AE}" pid="15" name="DM_emea_internal_label">
    <vt:lpwstr>EMEA</vt:lpwstr>
  </property>
  <property fmtid="{D5CDD505-2E9C-101B-9397-08002B2CF9AE}" pid="16" name="DM_emea_legal_date">
    <vt:lpwstr>nulldate</vt:lpwstr>
  </property>
  <property fmtid="{D5CDD505-2E9C-101B-9397-08002B2CF9AE}" pid="17" name="DM_emea_year">
    <vt:lpwstr>2005</vt:lpwstr>
  </property>
  <property fmtid="{D5CDD505-2E9C-101B-9397-08002B2CF9AE}" pid="18" name="DM_emea_sent_date">
    <vt:lpwstr>nulldate</vt:lpwstr>
  </property>
</Properties>
</file>