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57" w:rsidRPr="002C6BBC" w:rsidRDefault="005D4757" w:rsidP="00C612DC">
      <w:pPr>
        <w:widowControl/>
        <w:jc w:val="both"/>
        <w:rPr>
          <w:i/>
          <w:color w:val="008000"/>
          <w:szCs w:val="22"/>
        </w:rPr>
      </w:pPr>
      <w:bookmarkStart w:id="0" w:name="_GoBack"/>
      <w:bookmarkEnd w:id="0"/>
      <w:r w:rsidRPr="00C612DC">
        <w:rPr>
          <w:b/>
          <w:szCs w:val="22"/>
        </w:rPr>
        <w:t>1.</w:t>
      </w:r>
      <w:r w:rsidRPr="00C612DC">
        <w:rPr>
          <w:b/>
          <w:szCs w:val="22"/>
        </w:rPr>
        <w:tab/>
      </w:r>
      <w:r w:rsidRPr="002C6BBC">
        <w:rPr>
          <w:b/>
          <w:szCs w:val="22"/>
        </w:rPr>
        <w:t>ΟΝΟΜΑΣΙΑ ΤΟΥ ΦΑΡΜΑΚΕΥΤΙΚΟΥ ΠΡΟΪΟΝΤΟΣ</w:t>
      </w:r>
    </w:p>
    <w:p w:rsidR="005D4757" w:rsidRPr="002C6BBC" w:rsidRDefault="005D4757" w:rsidP="00C612DC">
      <w:pPr>
        <w:jc w:val="both"/>
        <w:rPr>
          <w:szCs w:val="22"/>
        </w:rPr>
      </w:pPr>
    </w:p>
    <w:p w:rsidR="005D4757" w:rsidRPr="002C6BBC" w:rsidRDefault="00816F3E" w:rsidP="00C612DC">
      <w:pPr>
        <w:pStyle w:val="MGGTextLeft"/>
        <w:jc w:val="both"/>
        <w:rPr>
          <w:sz w:val="22"/>
          <w:szCs w:val="22"/>
          <w:lang w:val="el-GR"/>
        </w:rPr>
      </w:pPr>
      <w:r w:rsidRPr="002C6BBC">
        <w:rPr>
          <w:sz w:val="22"/>
          <w:szCs w:val="22"/>
        </w:rPr>
        <w:t>PEZALE</w:t>
      </w:r>
      <w:r w:rsidR="005D4757" w:rsidRPr="002C6BBC">
        <w:rPr>
          <w:sz w:val="22"/>
          <w:szCs w:val="22"/>
          <w:lang w:val="el-GR"/>
        </w:rPr>
        <w:t xml:space="preserve"> 5 </w:t>
      </w:r>
      <w:r w:rsidR="005D4757" w:rsidRPr="002C6BBC">
        <w:rPr>
          <w:sz w:val="22"/>
          <w:szCs w:val="22"/>
        </w:rPr>
        <w:t>mg</w:t>
      </w:r>
      <w:r w:rsidR="005D4757" w:rsidRPr="002C6BBC">
        <w:rPr>
          <w:sz w:val="22"/>
          <w:szCs w:val="22"/>
          <w:lang w:val="el-GR"/>
        </w:rPr>
        <w:t>, επικαλυμμένα με λεπτό υμένιο δισκία</w:t>
      </w:r>
    </w:p>
    <w:p w:rsidR="005D4757" w:rsidRPr="002C6BBC" w:rsidRDefault="00816F3E" w:rsidP="00C612DC">
      <w:pPr>
        <w:jc w:val="both"/>
        <w:rPr>
          <w:szCs w:val="22"/>
        </w:rPr>
      </w:pPr>
      <w:r w:rsidRPr="002C6BBC">
        <w:rPr>
          <w:szCs w:val="22"/>
          <w:lang w:val="en-US"/>
        </w:rPr>
        <w:t>PEZALE</w:t>
      </w:r>
      <w:r w:rsidR="005D4757" w:rsidRPr="002C6BBC">
        <w:rPr>
          <w:szCs w:val="22"/>
        </w:rPr>
        <w:t xml:space="preserve"> 10 mg, επικαλυμμένα με λεπτό υμένιο δισκία</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2.</w:t>
      </w:r>
      <w:r w:rsidRPr="002C6BBC">
        <w:rPr>
          <w:b/>
          <w:szCs w:val="22"/>
        </w:rPr>
        <w:tab/>
        <w:t>ΠΟΙΟΤΙΚΗ ΚΑΙ ΠΟΣΟΤΙΚΗ ΣΥΝΘΕΣΗ</w:t>
      </w:r>
    </w:p>
    <w:p w:rsidR="005D4757" w:rsidRPr="002C6BBC" w:rsidRDefault="005D4757" w:rsidP="00C612DC">
      <w:pPr>
        <w:jc w:val="both"/>
        <w:rPr>
          <w:szCs w:val="22"/>
        </w:rPr>
      </w:pPr>
    </w:p>
    <w:p w:rsidR="005D4757" w:rsidRPr="002C6BBC" w:rsidRDefault="00816F3E" w:rsidP="00C612DC">
      <w:pPr>
        <w:pStyle w:val="MGGTextLeft"/>
        <w:jc w:val="both"/>
        <w:rPr>
          <w:sz w:val="22"/>
          <w:szCs w:val="22"/>
          <w:lang w:val="el-GR"/>
        </w:rPr>
      </w:pPr>
      <w:r w:rsidRPr="002C6BBC">
        <w:rPr>
          <w:i/>
          <w:iCs/>
          <w:sz w:val="22"/>
          <w:szCs w:val="22"/>
        </w:rPr>
        <w:t>PEZALE</w:t>
      </w:r>
      <w:r w:rsidR="005D4757" w:rsidRPr="002C6BBC">
        <w:rPr>
          <w:i/>
          <w:iCs/>
          <w:sz w:val="22"/>
          <w:szCs w:val="22"/>
          <w:lang w:val="el-GR"/>
        </w:rPr>
        <w:t xml:space="preserve"> 5 </w:t>
      </w:r>
      <w:r w:rsidR="005D4757" w:rsidRPr="002C6BBC">
        <w:rPr>
          <w:i/>
          <w:iCs/>
          <w:sz w:val="22"/>
          <w:szCs w:val="22"/>
        </w:rPr>
        <w:t>mg</w:t>
      </w:r>
      <w:r w:rsidR="005D4757" w:rsidRPr="002C6BBC">
        <w:rPr>
          <w:i/>
          <w:iCs/>
          <w:sz w:val="22"/>
          <w:szCs w:val="22"/>
          <w:lang w:val="el-GR"/>
        </w:rPr>
        <w:t>:</w:t>
      </w:r>
      <w:r w:rsidR="005D4757" w:rsidRPr="002C6BBC">
        <w:rPr>
          <w:sz w:val="22"/>
          <w:szCs w:val="22"/>
          <w:lang w:val="el-GR"/>
        </w:rPr>
        <w:t xml:space="preserve"> Κάθε επικαλυμμένο με λεπτό υμένιο δισκίο περιέχει 5 </w:t>
      </w:r>
      <w:r w:rsidR="005D4757" w:rsidRPr="002C6BBC">
        <w:rPr>
          <w:sz w:val="22"/>
          <w:szCs w:val="22"/>
        </w:rPr>
        <w:t>mg</w:t>
      </w:r>
      <w:r w:rsidR="005D4757" w:rsidRPr="002C6BBC">
        <w:rPr>
          <w:sz w:val="22"/>
          <w:szCs w:val="22"/>
          <w:lang w:val="el-GR"/>
        </w:rPr>
        <w:t xml:space="preserve"> υδροχλωρικής δονεπεζίλης.</w:t>
      </w:r>
    </w:p>
    <w:p w:rsidR="005D4757" w:rsidRPr="002C6BBC" w:rsidRDefault="00816F3E" w:rsidP="00C612DC">
      <w:pPr>
        <w:jc w:val="both"/>
        <w:rPr>
          <w:szCs w:val="22"/>
        </w:rPr>
      </w:pPr>
      <w:r w:rsidRPr="002C6BBC">
        <w:rPr>
          <w:i/>
          <w:iCs/>
          <w:szCs w:val="22"/>
          <w:lang w:val="en-US"/>
        </w:rPr>
        <w:t>PEZALE</w:t>
      </w:r>
      <w:r w:rsidR="005D4757" w:rsidRPr="002C6BBC">
        <w:rPr>
          <w:i/>
          <w:iCs/>
          <w:szCs w:val="22"/>
        </w:rPr>
        <w:t xml:space="preserve"> 10 mg:</w:t>
      </w:r>
      <w:r w:rsidR="005D4757" w:rsidRPr="002C6BBC">
        <w:rPr>
          <w:szCs w:val="22"/>
        </w:rPr>
        <w:t xml:space="preserve"> Κάθε επικαλυμμένο με λεπτό υμένιο δισκίο περιέχει 10 mg υδροχλωρικής δονεπεζίλης.</w:t>
      </w:r>
    </w:p>
    <w:p w:rsidR="005D4757" w:rsidRPr="002C6BBC" w:rsidRDefault="005D4757" w:rsidP="00C612DC">
      <w:pPr>
        <w:pStyle w:val="MGGTextLeft"/>
        <w:jc w:val="both"/>
        <w:rPr>
          <w:sz w:val="22"/>
          <w:szCs w:val="22"/>
          <w:lang w:val="el-GR"/>
        </w:rPr>
      </w:pPr>
    </w:p>
    <w:p w:rsidR="005D4757" w:rsidRPr="002C6BBC" w:rsidRDefault="00816F3E" w:rsidP="00C612DC">
      <w:pPr>
        <w:pStyle w:val="MGGTextLeft"/>
        <w:jc w:val="both"/>
        <w:rPr>
          <w:sz w:val="22"/>
          <w:szCs w:val="22"/>
          <w:lang w:val="el-GR"/>
        </w:rPr>
      </w:pPr>
      <w:r w:rsidRPr="002C6BBC">
        <w:rPr>
          <w:i/>
          <w:iCs/>
          <w:sz w:val="22"/>
          <w:szCs w:val="22"/>
        </w:rPr>
        <w:t>PEZALE</w:t>
      </w:r>
      <w:r w:rsidR="005D4757" w:rsidRPr="002C6BBC">
        <w:rPr>
          <w:i/>
          <w:iCs/>
          <w:sz w:val="22"/>
          <w:szCs w:val="22"/>
          <w:lang w:val="el-GR"/>
        </w:rPr>
        <w:t xml:space="preserve"> 5 </w:t>
      </w:r>
      <w:r w:rsidR="005D4757" w:rsidRPr="002C6BBC">
        <w:rPr>
          <w:i/>
          <w:iCs/>
          <w:sz w:val="22"/>
          <w:szCs w:val="22"/>
        </w:rPr>
        <w:t>mg</w:t>
      </w:r>
      <w:r w:rsidR="005D4757" w:rsidRPr="002C6BBC">
        <w:rPr>
          <w:i/>
          <w:iCs/>
          <w:sz w:val="22"/>
          <w:szCs w:val="22"/>
          <w:lang w:val="el-GR"/>
        </w:rPr>
        <w:t>:</w:t>
      </w:r>
      <w:r w:rsidR="005D4757" w:rsidRPr="002C6BBC">
        <w:rPr>
          <w:sz w:val="22"/>
          <w:szCs w:val="22"/>
          <w:lang w:val="el-GR"/>
        </w:rPr>
        <w:t xml:space="preserve"> Έκδοχα</w:t>
      </w:r>
      <w:r w:rsidR="00816969" w:rsidRPr="002C6BBC">
        <w:rPr>
          <w:sz w:val="22"/>
          <w:szCs w:val="22"/>
          <w:lang w:val="el-GR"/>
        </w:rPr>
        <w:t xml:space="preserve"> με γνωστή δράση</w:t>
      </w:r>
      <w:r w:rsidR="005D4757" w:rsidRPr="002C6BBC">
        <w:rPr>
          <w:sz w:val="22"/>
          <w:szCs w:val="22"/>
          <w:lang w:val="el-GR"/>
        </w:rPr>
        <w:t xml:space="preserve">: </w:t>
      </w:r>
    </w:p>
    <w:p w:rsidR="005D4757" w:rsidRPr="002C6BBC" w:rsidRDefault="005D4757" w:rsidP="00C612DC">
      <w:pPr>
        <w:pStyle w:val="MGGTextLeft"/>
        <w:jc w:val="both"/>
        <w:rPr>
          <w:sz w:val="22"/>
          <w:szCs w:val="22"/>
          <w:lang w:val="el-GR"/>
        </w:rPr>
      </w:pPr>
      <w:r w:rsidRPr="002C6BBC">
        <w:rPr>
          <w:sz w:val="22"/>
          <w:szCs w:val="22"/>
          <w:lang w:val="el-GR"/>
        </w:rPr>
        <w:t xml:space="preserve">19 </w:t>
      </w:r>
      <w:r w:rsidRPr="002C6BBC">
        <w:rPr>
          <w:sz w:val="22"/>
          <w:szCs w:val="22"/>
        </w:rPr>
        <w:t>mg</w:t>
      </w:r>
      <w:r w:rsidRPr="002C6BBC">
        <w:rPr>
          <w:sz w:val="22"/>
          <w:szCs w:val="22"/>
          <w:lang w:val="el-GR"/>
        </w:rPr>
        <w:t xml:space="preserve"> λακτόζης/ επικαλυμμένο με λεπτό υμένιο δισκίο</w:t>
      </w:r>
    </w:p>
    <w:p w:rsidR="005D4757" w:rsidRPr="002C6BBC" w:rsidRDefault="005D4757" w:rsidP="00C612DC">
      <w:pPr>
        <w:pStyle w:val="MGGTextLeft"/>
        <w:jc w:val="both"/>
        <w:rPr>
          <w:sz w:val="22"/>
          <w:szCs w:val="22"/>
          <w:lang w:val="el-GR"/>
        </w:rPr>
      </w:pPr>
      <w:r w:rsidRPr="002C6BBC">
        <w:rPr>
          <w:sz w:val="22"/>
          <w:szCs w:val="22"/>
          <w:lang w:val="el-GR"/>
        </w:rPr>
        <w:t xml:space="preserve">0,2 </w:t>
      </w:r>
      <w:r w:rsidRPr="002C6BBC">
        <w:rPr>
          <w:sz w:val="22"/>
          <w:szCs w:val="22"/>
        </w:rPr>
        <w:t>mg</w:t>
      </w:r>
      <w:r w:rsidRPr="002C6BBC">
        <w:rPr>
          <w:sz w:val="22"/>
          <w:szCs w:val="22"/>
          <w:lang w:val="el-GR"/>
        </w:rPr>
        <w:t xml:space="preserve"> λεκιθίνη σόγιας/ επικαλυμμένο με λεπτό υμένιο δισκίο </w:t>
      </w:r>
    </w:p>
    <w:p w:rsidR="005D4757" w:rsidRPr="002C6BBC" w:rsidRDefault="005D4757" w:rsidP="00C612DC">
      <w:pPr>
        <w:pStyle w:val="MGGTextLeft"/>
        <w:jc w:val="both"/>
        <w:rPr>
          <w:sz w:val="22"/>
          <w:szCs w:val="22"/>
          <w:lang w:val="el-GR"/>
        </w:rPr>
      </w:pPr>
    </w:p>
    <w:p w:rsidR="005D4757" w:rsidRPr="002C6BBC" w:rsidRDefault="00816F3E" w:rsidP="00C612DC">
      <w:pPr>
        <w:pStyle w:val="MGGTextLeft"/>
        <w:jc w:val="both"/>
        <w:rPr>
          <w:sz w:val="22"/>
          <w:szCs w:val="22"/>
          <w:lang w:val="el-GR"/>
        </w:rPr>
      </w:pPr>
      <w:r w:rsidRPr="002C6BBC">
        <w:rPr>
          <w:i/>
          <w:iCs/>
          <w:sz w:val="22"/>
          <w:szCs w:val="22"/>
        </w:rPr>
        <w:t>PEZALE</w:t>
      </w:r>
      <w:r w:rsidR="005D4757" w:rsidRPr="002C6BBC">
        <w:rPr>
          <w:i/>
          <w:iCs/>
          <w:sz w:val="22"/>
          <w:szCs w:val="22"/>
          <w:lang w:val="el-GR"/>
        </w:rPr>
        <w:t xml:space="preserve"> 10 </w:t>
      </w:r>
      <w:r w:rsidR="005D4757" w:rsidRPr="002C6BBC">
        <w:rPr>
          <w:i/>
          <w:iCs/>
          <w:sz w:val="22"/>
          <w:szCs w:val="22"/>
        </w:rPr>
        <w:t>mg</w:t>
      </w:r>
      <w:r w:rsidR="005D4757" w:rsidRPr="002C6BBC">
        <w:rPr>
          <w:i/>
          <w:iCs/>
          <w:sz w:val="22"/>
          <w:szCs w:val="22"/>
          <w:lang w:val="el-GR"/>
        </w:rPr>
        <w:t>:</w:t>
      </w:r>
      <w:r w:rsidR="005D4757" w:rsidRPr="002C6BBC">
        <w:rPr>
          <w:sz w:val="22"/>
          <w:szCs w:val="22"/>
          <w:lang w:val="el-GR"/>
        </w:rPr>
        <w:t xml:space="preserve"> Έκδοχα</w:t>
      </w:r>
      <w:r w:rsidR="00816969" w:rsidRPr="002C6BBC">
        <w:rPr>
          <w:sz w:val="22"/>
          <w:szCs w:val="22"/>
          <w:lang w:val="el-GR"/>
        </w:rPr>
        <w:t xml:space="preserve"> με γνωστή δράση</w:t>
      </w:r>
      <w:r w:rsidR="005D4757" w:rsidRPr="002C6BBC">
        <w:rPr>
          <w:sz w:val="22"/>
          <w:szCs w:val="22"/>
          <w:lang w:val="el-GR"/>
        </w:rPr>
        <w:t xml:space="preserve">: </w:t>
      </w:r>
    </w:p>
    <w:p w:rsidR="005D4757" w:rsidRPr="002C6BBC" w:rsidRDefault="005D4757" w:rsidP="00C612DC">
      <w:pPr>
        <w:pStyle w:val="MGGTextLeft"/>
        <w:jc w:val="both"/>
        <w:rPr>
          <w:sz w:val="22"/>
          <w:szCs w:val="22"/>
          <w:lang w:val="el-GR"/>
        </w:rPr>
      </w:pPr>
      <w:r w:rsidRPr="002C6BBC">
        <w:rPr>
          <w:sz w:val="22"/>
          <w:szCs w:val="22"/>
          <w:lang w:val="el-GR"/>
        </w:rPr>
        <w:t xml:space="preserve">38 </w:t>
      </w:r>
      <w:r w:rsidRPr="002C6BBC">
        <w:rPr>
          <w:sz w:val="22"/>
          <w:szCs w:val="22"/>
        </w:rPr>
        <w:t>mg</w:t>
      </w:r>
      <w:r w:rsidRPr="002C6BBC">
        <w:rPr>
          <w:sz w:val="22"/>
          <w:szCs w:val="22"/>
          <w:lang w:val="el-GR"/>
        </w:rPr>
        <w:t xml:space="preserve"> λακτόζης/ επικαλυμμένο με λεπτό υμένιο δισκίο</w:t>
      </w:r>
    </w:p>
    <w:p w:rsidR="005D4757" w:rsidRPr="002C6BBC" w:rsidRDefault="005D4757" w:rsidP="00C612DC">
      <w:pPr>
        <w:pStyle w:val="MGGTextLeft"/>
        <w:jc w:val="both"/>
        <w:rPr>
          <w:sz w:val="22"/>
          <w:szCs w:val="22"/>
          <w:lang w:val="el-GR"/>
        </w:rPr>
      </w:pPr>
      <w:r w:rsidRPr="002C6BBC">
        <w:rPr>
          <w:sz w:val="22"/>
          <w:szCs w:val="22"/>
          <w:lang w:val="el-GR"/>
        </w:rPr>
        <w:t xml:space="preserve">0,4 </w:t>
      </w:r>
      <w:r w:rsidRPr="002C6BBC">
        <w:rPr>
          <w:sz w:val="22"/>
          <w:szCs w:val="22"/>
        </w:rPr>
        <w:t>mg</w:t>
      </w:r>
      <w:r w:rsidRPr="002C6BBC">
        <w:rPr>
          <w:sz w:val="22"/>
          <w:szCs w:val="22"/>
          <w:lang w:val="el-GR"/>
        </w:rPr>
        <w:t xml:space="preserve"> λεκιθίνη σόγιας/ επικαλυμμένο με λεπτό υμένιο δισκίο </w:t>
      </w:r>
    </w:p>
    <w:p w:rsidR="005D4757" w:rsidRPr="002C6BBC" w:rsidRDefault="005D4757" w:rsidP="00C612DC">
      <w:pPr>
        <w:jc w:val="both"/>
        <w:rPr>
          <w:szCs w:val="22"/>
        </w:rPr>
      </w:pPr>
    </w:p>
    <w:p w:rsidR="005D4757" w:rsidRPr="002C6BBC" w:rsidRDefault="005D4757" w:rsidP="00C612DC">
      <w:pPr>
        <w:jc w:val="both"/>
        <w:rPr>
          <w:szCs w:val="22"/>
        </w:rPr>
      </w:pPr>
      <w:r w:rsidRPr="002C6BBC">
        <w:rPr>
          <w:szCs w:val="22"/>
        </w:rPr>
        <w:t xml:space="preserve">Για τον πλήρη κατάλογο των εκδόχων, </w:t>
      </w:r>
      <w:r w:rsidR="00634BC1" w:rsidRPr="002C6BBC">
        <w:rPr>
          <w:szCs w:val="22"/>
        </w:rPr>
        <w:t>βλ.</w:t>
      </w:r>
      <w:r w:rsidRPr="002C6BBC">
        <w:rPr>
          <w:szCs w:val="22"/>
        </w:rPr>
        <w:t xml:space="preserve"> παράγραφο 6.1.</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3.</w:t>
      </w:r>
      <w:r w:rsidRPr="002C6BBC">
        <w:rPr>
          <w:b/>
          <w:szCs w:val="22"/>
        </w:rPr>
        <w:tab/>
        <w:t>ΦΑΡΜΑΚΟΤΕΧΝΙΚΗ ΜΟΡΦΗ</w:t>
      </w:r>
    </w:p>
    <w:p w:rsidR="005D4757" w:rsidRPr="002C6BBC" w:rsidRDefault="005D4757" w:rsidP="00C612DC">
      <w:pPr>
        <w:jc w:val="both"/>
        <w:rPr>
          <w:szCs w:val="22"/>
        </w:rPr>
      </w:pPr>
    </w:p>
    <w:p w:rsidR="005D4757" w:rsidRPr="002C6BBC" w:rsidRDefault="005D4757" w:rsidP="00C612DC">
      <w:pPr>
        <w:pStyle w:val="MGGTextLeft"/>
        <w:jc w:val="both"/>
        <w:rPr>
          <w:sz w:val="22"/>
          <w:szCs w:val="22"/>
          <w:lang w:val="el-GR"/>
        </w:rPr>
      </w:pPr>
      <w:r w:rsidRPr="002C6BBC">
        <w:rPr>
          <w:sz w:val="22"/>
          <w:szCs w:val="22"/>
          <w:lang w:val="el-GR"/>
        </w:rPr>
        <w:t>Επικαλυμμένο με λεπτό υμένιο δισκίο.</w:t>
      </w:r>
    </w:p>
    <w:p w:rsidR="005D4757" w:rsidRPr="002C6BBC" w:rsidRDefault="005D4757" w:rsidP="00C612DC">
      <w:pPr>
        <w:pStyle w:val="MGGTextLeft"/>
        <w:jc w:val="both"/>
        <w:rPr>
          <w:sz w:val="22"/>
          <w:szCs w:val="22"/>
          <w:lang w:val="el-GR"/>
        </w:rPr>
      </w:pPr>
    </w:p>
    <w:p w:rsidR="005D4757" w:rsidRPr="002C6BBC" w:rsidRDefault="00816F3E" w:rsidP="00C612DC">
      <w:pPr>
        <w:pStyle w:val="MGGTextLeft"/>
        <w:jc w:val="both"/>
        <w:rPr>
          <w:sz w:val="22"/>
          <w:szCs w:val="22"/>
          <w:lang w:val="el-GR"/>
        </w:rPr>
      </w:pPr>
      <w:r w:rsidRPr="002C6BBC">
        <w:rPr>
          <w:sz w:val="22"/>
          <w:szCs w:val="22"/>
        </w:rPr>
        <w:t>PEZALE</w:t>
      </w:r>
      <w:r w:rsidR="005D4757" w:rsidRPr="002C6BBC">
        <w:rPr>
          <w:sz w:val="22"/>
          <w:szCs w:val="22"/>
          <w:lang w:val="el-GR"/>
        </w:rPr>
        <w:t xml:space="preserve"> 5 </w:t>
      </w:r>
      <w:r w:rsidR="005D4757" w:rsidRPr="002C6BBC">
        <w:rPr>
          <w:sz w:val="22"/>
          <w:szCs w:val="22"/>
        </w:rPr>
        <w:t>mg</w:t>
      </w:r>
      <w:r w:rsidR="005D4757" w:rsidRPr="002C6BBC">
        <w:rPr>
          <w:sz w:val="22"/>
          <w:szCs w:val="22"/>
          <w:lang w:val="el-GR"/>
        </w:rPr>
        <w:t xml:space="preserve">: Λευκό, στρογγυλό (με διάμετρο 7 </w:t>
      </w:r>
      <w:r w:rsidR="005D4757" w:rsidRPr="002C6BBC">
        <w:rPr>
          <w:sz w:val="22"/>
          <w:szCs w:val="22"/>
        </w:rPr>
        <w:t>mm</w:t>
      </w:r>
      <w:r w:rsidR="005D4757" w:rsidRPr="002C6BBC">
        <w:rPr>
          <w:sz w:val="22"/>
          <w:szCs w:val="22"/>
          <w:lang w:val="el-GR"/>
        </w:rPr>
        <w:t>) επικαλυμμένο με λεπτό υμένιο δισκί</w:t>
      </w:r>
      <w:r w:rsidR="005D4757" w:rsidRPr="002C6BBC">
        <w:rPr>
          <w:sz w:val="22"/>
          <w:szCs w:val="22"/>
        </w:rPr>
        <w:t>o</w:t>
      </w:r>
    </w:p>
    <w:p w:rsidR="005D4757" w:rsidRPr="002C6BBC" w:rsidRDefault="00816F3E" w:rsidP="00C612DC">
      <w:pPr>
        <w:pStyle w:val="MGGTextLeft"/>
        <w:jc w:val="both"/>
        <w:rPr>
          <w:sz w:val="22"/>
          <w:szCs w:val="22"/>
          <w:lang w:val="el-GR"/>
        </w:rPr>
      </w:pPr>
      <w:r w:rsidRPr="002C6BBC">
        <w:rPr>
          <w:sz w:val="22"/>
          <w:szCs w:val="22"/>
        </w:rPr>
        <w:t>PEZALE</w:t>
      </w:r>
      <w:r w:rsidR="005D4757" w:rsidRPr="002C6BBC">
        <w:rPr>
          <w:sz w:val="22"/>
          <w:szCs w:val="22"/>
          <w:lang w:val="el-GR"/>
        </w:rPr>
        <w:t xml:space="preserve"> 10 </w:t>
      </w:r>
      <w:r w:rsidR="005D4757" w:rsidRPr="002C6BBC">
        <w:rPr>
          <w:sz w:val="22"/>
          <w:szCs w:val="22"/>
        </w:rPr>
        <w:t>mg</w:t>
      </w:r>
      <w:r w:rsidR="005D4757" w:rsidRPr="002C6BBC">
        <w:rPr>
          <w:sz w:val="22"/>
          <w:szCs w:val="22"/>
          <w:lang w:val="el-GR"/>
        </w:rPr>
        <w:t xml:space="preserve">: Kίτρινο, στρογγυλό (με διάμετρο 9 </w:t>
      </w:r>
      <w:r w:rsidR="005D4757" w:rsidRPr="002C6BBC">
        <w:rPr>
          <w:sz w:val="22"/>
          <w:szCs w:val="22"/>
        </w:rPr>
        <w:t>mm</w:t>
      </w:r>
      <w:r w:rsidR="005D4757" w:rsidRPr="002C6BBC">
        <w:rPr>
          <w:sz w:val="22"/>
          <w:szCs w:val="22"/>
          <w:lang w:val="el-GR"/>
        </w:rPr>
        <w:t>) επικαλυμμένο με λεπτό υμένιο δισκί</w:t>
      </w:r>
      <w:r w:rsidR="005D4757" w:rsidRPr="002C6BBC">
        <w:rPr>
          <w:sz w:val="22"/>
          <w:szCs w:val="22"/>
        </w:rPr>
        <w:t>o</w:t>
      </w:r>
      <w:r w:rsidR="005D4757" w:rsidRPr="002C6BBC">
        <w:rPr>
          <w:sz w:val="22"/>
          <w:szCs w:val="22"/>
          <w:lang w:val="el-GR"/>
        </w:rPr>
        <w:t xml:space="preserve"> το οποίο φέρει διαχωριστική γραμμή. Το δισκίο μπορεί να διαχωρισθεί σε δύο </w:t>
      </w:r>
      <w:r w:rsidR="00816969" w:rsidRPr="002C6BBC">
        <w:rPr>
          <w:sz w:val="22"/>
          <w:szCs w:val="22"/>
          <w:lang w:val="el-GR"/>
        </w:rPr>
        <w:t>ίσες δόσεις</w:t>
      </w:r>
      <w:r w:rsidR="005D4757" w:rsidRPr="002C6BBC">
        <w:rPr>
          <w:sz w:val="22"/>
          <w:szCs w:val="22"/>
          <w:lang w:val="el-GR"/>
        </w:rPr>
        <w:t>.</w:t>
      </w:r>
    </w:p>
    <w:p w:rsidR="005D4757" w:rsidRPr="002C6BBC" w:rsidRDefault="005D4757" w:rsidP="00C612DC">
      <w:pPr>
        <w:jc w:val="both"/>
        <w:rPr>
          <w:b/>
          <w:szCs w:val="22"/>
          <w:lang w:val="en-US"/>
        </w:rPr>
      </w:pPr>
    </w:p>
    <w:p w:rsidR="005D4757" w:rsidRPr="002C6BBC" w:rsidRDefault="005D4757" w:rsidP="00C612DC">
      <w:pPr>
        <w:jc w:val="both"/>
        <w:rPr>
          <w:szCs w:val="22"/>
        </w:rPr>
      </w:pPr>
      <w:r w:rsidRPr="002C6BBC">
        <w:rPr>
          <w:b/>
          <w:szCs w:val="22"/>
        </w:rPr>
        <w:t>4.</w:t>
      </w:r>
      <w:r w:rsidRPr="002C6BBC">
        <w:rPr>
          <w:b/>
          <w:szCs w:val="22"/>
        </w:rPr>
        <w:tab/>
        <w:t>ΚΛΙΝΙΚΕΣ ΠΛΗΡΟΦΟΡΙΕΣ</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4.1</w:t>
      </w:r>
      <w:r w:rsidRPr="002C6BBC">
        <w:rPr>
          <w:b/>
          <w:szCs w:val="22"/>
        </w:rPr>
        <w:tab/>
        <w:t>Θεραπευτικές ενδείξεις</w:t>
      </w:r>
    </w:p>
    <w:p w:rsidR="005D4757" w:rsidRPr="002C6BBC" w:rsidRDefault="005D4757" w:rsidP="00C612DC">
      <w:pPr>
        <w:jc w:val="both"/>
        <w:rPr>
          <w:szCs w:val="22"/>
        </w:rPr>
      </w:pPr>
    </w:p>
    <w:p w:rsidR="005D4757" w:rsidRPr="002C6BBC" w:rsidRDefault="005D4757" w:rsidP="00C612DC">
      <w:pPr>
        <w:pStyle w:val="MGGTextLeft"/>
        <w:jc w:val="both"/>
        <w:rPr>
          <w:sz w:val="22"/>
          <w:szCs w:val="22"/>
          <w:lang w:val="el-GR"/>
        </w:rPr>
      </w:pPr>
      <w:r w:rsidRPr="002C6BBC">
        <w:rPr>
          <w:sz w:val="22"/>
          <w:szCs w:val="22"/>
          <w:lang w:val="el-GR"/>
        </w:rPr>
        <w:t xml:space="preserve">Η δονεπεζίλη ενδείκνυται για τη συμπτωματική θεραπεία της ήπιας έως μέτριας βαρύτητας άνοιας </w:t>
      </w:r>
      <w:r w:rsidRPr="002C6BBC">
        <w:rPr>
          <w:sz w:val="22"/>
          <w:szCs w:val="22"/>
        </w:rPr>
        <w:t>Alzheimer</w:t>
      </w:r>
      <w:r w:rsidRPr="002C6BBC">
        <w:rPr>
          <w:sz w:val="22"/>
          <w:szCs w:val="22"/>
          <w:lang w:val="el-GR"/>
        </w:rPr>
        <w:t>.</w:t>
      </w:r>
    </w:p>
    <w:p w:rsidR="005D4757" w:rsidRPr="002C6BBC" w:rsidRDefault="005D4757" w:rsidP="00C612DC">
      <w:pPr>
        <w:jc w:val="both"/>
        <w:rPr>
          <w:szCs w:val="22"/>
        </w:rPr>
      </w:pPr>
    </w:p>
    <w:p w:rsidR="005D4757" w:rsidRPr="002C6BBC" w:rsidRDefault="005D4757" w:rsidP="00C612DC">
      <w:pPr>
        <w:numPr>
          <w:ilvl w:val="1"/>
          <w:numId w:val="1"/>
        </w:numPr>
        <w:jc w:val="both"/>
        <w:rPr>
          <w:b/>
          <w:szCs w:val="22"/>
        </w:rPr>
      </w:pPr>
      <w:r w:rsidRPr="002C6BBC">
        <w:rPr>
          <w:b/>
          <w:szCs w:val="22"/>
        </w:rPr>
        <w:t>Δοσολογία και τρόπος χορήγησης</w:t>
      </w:r>
    </w:p>
    <w:p w:rsidR="005D4757" w:rsidRPr="002C6BBC" w:rsidRDefault="005D4757" w:rsidP="00C612DC">
      <w:pPr>
        <w:jc w:val="both"/>
        <w:rPr>
          <w:szCs w:val="22"/>
        </w:rPr>
      </w:pPr>
    </w:p>
    <w:p w:rsidR="00816969" w:rsidRPr="002C6BBC" w:rsidRDefault="00816969" w:rsidP="00C612DC">
      <w:pPr>
        <w:pStyle w:val="MGGTextLeft"/>
        <w:jc w:val="both"/>
        <w:rPr>
          <w:b/>
          <w:bCs/>
          <w:sz w:val="22"/>
          <w:szCs w:val="22"/>
          <w:u w:val="single"/>
          <w:lang w:val="el-GR"/>
        </w:rPr>
      </w:pPr>
      <w:r w:rsidRPr="002C6BBC">
        <w:rPr>
          <w:b/>
          <w:bCs/>
          <w:sz w:val="22"/>
          <w:szCs w:val="22"/>
          <w:u w:val="single"/>
          <w:lang w:val="el-GR"/>
        </w:rPr>
        <w:t>Δοσολογία</w:t>
      </w:r>
    </w:p>
    <w:p w:rsidR="00816969" w:rsidRPr="002C6BBC" w:rsidRDefault="00816969" w:rsidP="00C612DC">
      <w:pPr>
        <w:pStyle w:val="MGGTextLeft"/>
        <w:jc w:val="both"/>
        <w:rPr>
          <w:bCs/>
          <w:sz w:val="22"/>
          <w:szCs w:val="22"/>
          <w:u w:val="single"/>
          <w:lang w:val="el-GR"/>
        </w:rPr>
      </w:pPr>
    </w:p>
    <w:p w:rsidR="005D4757" w:rsidRPr="002C6BBC" w:rsidRDefault="005D4757" w:rsidP="00C612DC">
      <w:pPr>
        <w:pStyle w:val="MGGTextLeft"/>
        <w:jc w:val="both"/>
        <w:rPr>
          <w:bCs/>
          <w:sz w:val="22"/>
          <w:szCs w:val="22"/>
          <w:u w:val="single"/>
          <w:lang w:val="el-GR"/>
        </w:rPr>
      </w:pPr>
      <w:r w:rsidRPr="002C6BBC">
        <w:rPr>
          <w:bCs/>
          <w:sz w:val="22"/>
          <w:szCs w:val="22"/>
          <w:u w:val="single"/>
          <w:lang w:val="el-GR"/>
        </w:rPr>
        <w:t>Ενήλικες / Ηλικιωμένοι:</w:t>
      </w:r>
    </w:p>
    <w:p w:rsidR="005D4757" w:rsidRPr="002C6BBC" w:rsidRDefault="005D4757" w:rsidP="00C612DC">
      <w:pPr>
        <w:pStyle w:val="MGGTextLeft"/>
        <w:jc w:val="both"/>
        <w:rPr>
          <w:sz w:val="22"/>
          <w:szCs w:val="22"/>
          <w:lang w:val="el-GR"/>
        </w:rPr>
      </w:pPr>
      <w:r w:rsidRPr="002C6BBC">
        <w:rPr>
          <w:sz w:val="22"/>
          <w:szCs w:val="22"/>
          <w:lang w:val="el-GR"/>
        </w:rPr>
        <w:t xml:space="preserve">Η θεραπεία αρχίζει με χορήγηση 5 </w:t>
      </w:r>
      <w:r w:rsidRPr="002C6BBC">
        <w:rPr>
          <w:sz w:val="22"/>
          <w:szCs w:val="22"/>
        </w:rPr>
        <w:t>mg</w:t>
      </w:r>
      <w:r w:rsidRPr="002C6BBC">
        <w:rPr>
          <w:sz w:val="22"/>
          <w:szCs w:val="22"/>
          <w:lang w:val="el-GR"/>
        </w:rPr>
        <w:t xml:space="preserve">/ημέρα (εφάπαξ ημερήσια δόση). Η δόση των 5 </w:t>
      </w:r>
      <w:r w:rsidRPr="002C6BBC">
        <w:rPr>
          <w:sz w:val="22"/>
          <w:szCs w:val="22"/>
        </w:rPr>
        <w:t>mg</w:t>
      </w:r>
      <w:r w:rsidRPr="002C6BBC">
        <w:rPr>
          <w:sz w:val="22"/>
          <w:szCs w:val="22"/>
          <w:lang w:val="el-GR"/>
        </w:rPr>
        <w:t xml:space="preserve">/ημέρα πρέπει να διατηρείται για τουλάχιστον ένα μήνα ώστε να εκτιμηθεί η αρχική κλινική ανταπόκριση στη θεραπεία και να σταθεροποιηθούν τα επίπεδα συγκεντρώσεως της υδροχλωρικής δονεπεζίλης. Μετά από εκτίμηση της κλινικής ανταπόκρισης σε θεραπεία ενός μηνός στη δόση των 5 </w:t>
      </w:r>
      <w:r w:rsidRPr="002C6BBC">
        <w:rPr>
          <w:sz w:val="22"/>
          <w:szCs w:val="22"/>
        </w:rPr>
        <w:t>mg</w:t>
      </w:r>
      <w:r w:rsidRPr="002C6BBC">
        <w:rPr>
          <w:sz w:val="22"/>
          <w:szCs w:val="22"/>
          <w:lang w:val="el-GR"/>
        </w:rPr>
        <w:t xml:space="preserve">/ημέρα, η δόση μπορεί να αυξηθεί σε 10 </w:t>
      </w:r>
      <w:r w:rsidRPr="002C6BBC">
        <w:rPr>
          <w:sz w:val="22"/>
          <w:szCs w:val="22"/>
        </w:rPr>
        <w:t>mg</w:t>
      </w:r>
      <w:r w:rsidRPr="002C6BBC">
        <w:rPr>
          <w:sz w:val="22"/>
          <w:szCs w:val="22"/>
          <w:lang w:val="el-GR"/>
        </w:rPr>
        <w:t xml:space="preserve">/ημέρα (εφάπαξ ημερήσια δόση). Η μέγιστη ημερήσια συνιστώμενη δόση είναι 10 </w:t>
      </w:r>
      <w:r w:rsidRPr="002C6BBC">
        <w:rPr>
          <w:sz w:val="22"/>
          <w:szCs w:val="22"/>
        </w:rPr>
        <w:t>mg</w:t>
      </w:r>
      <w:r w:rsidRPr="002C6BBC">
        <w:rPr>
          <w:sz w:val="22"/>
          <w:szCs w:val="22"/>
          <w:lang w:val="el-GR"/>
        </w:rPr>
        <w:t xml:space="preserve">. Δεν έχουν γίνει κλινικές μελέτες με δόσεις μεγαλύτερες από 10 </w:t>
      </w:r>
      <w:r w:rsidRPr="002C6BBC">
        <w:rPr>
          <w:sz w:val="22"/>
          <w:szCs w:val="22"/>
        </w:rPr>
        <w:t>mg</w:t>
      </w:r>
      <w:r w:rsidRPr="002C6BBC">
        <w:rPr>
          <w:sz w:val="22"/>
          <w:szCs w:val="22"/>
          <w:lang w:val="el-GR"/>
        </w:rPr>
        <w:t>/ημέρα.</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xml:space="preserve">Η έναρξη και η παρακολούθηση της θεραπείας θα πρέπει να γίνεται από ιατρό έμπειρο στη διάγνωση και στη θεραπεία της άνοιας </w:t>
      </w:r>
      <w:r w:rsidRPr="002C6BBC">
        <w:rPr>
          <w:sz w:val="22"/>
          <w:szCs w:val="22"/>
        </w:rPr>
        <w:t>Alzheimer</w:t>
      </w:r>
      <w:r w:rsidRPr="002C6BBC">
        <w:rPr>
          <w:sz w:val="22"/>
          <w:szCs w:val="22"/>
          <w:lang w:val="el-GR"/>
        </w:rPr>
        <w:t xml:space="preserve">. Η διάγνωση θα πρέπει να γίνεται σύμφωνα με τις αποδεκτές κατευθυντήριες οδηγίες (π.χ. </w:t>
      </w:r>
      <w:r w:rsidRPr="002C6BBC">
        <w:rPr>
          <w:sz w:val="22"/>
          <w:szCs w:val="22"/>
        </w:rPr>
        <w:t>DSM</w:t>
      </w:r>
      <w:r w:rsidRPr="002C6BBC">
        <w:rPr>
          <w:sz w:val="22"/>
          <w:szCs w:val="22"/>
          <w:lang w:val="el-GR"/>
        </w:rPr>
        <w:t xml:space="preserve"> </w:t>
      </w:r>
      <w:r w:rsidRPr="002C6BBC">
        <w:rPr>
          <w:sz w:val="22"/>
          <w:szCs w:val="22"/>
        </w:rPr>
        <w:t>IV</w:t>
      </w:r>
      <w:r w:rsidRPr="002C6BBC">
        <w:rPr>
          <w:sz w:val="22"/>
          <w:szCs w:val="22"/>
          <w:lang w:val="el-GR"/>
        </w:rPr>
        <w:t xml:space="preserve">, </w:t>
      </w:r>
      <w:r w:rsidRPr="002C6BBC">
        <w:rPr>
          <w:sz w:val="22"/>
          <w:szCs w:val="22"/>
        </w:rPr>
        <w:t>ICD</w:t>
      </w:r>
      <w:r w:rsidRPr="002C6BBC">
        <w:rPr>
          <w:sz w:val="22"/>
          <w:szCs w:val="22"/>
          <w:lang w:val="el-GR"/>
        </w:rPr>
        <w:t xml:space="preserve"> 10). Η θεραπεία με τη δονεπεζίλη πρέπει να ξεκινά μόνο εφόσον υπάρχει άτομο που θα φροντίζει τον ασθενή και θα </w:t>
      </w:r>
      <w:r w:rsidRPr="002C6BBC">
        <w:rPr>
          <w:sz w:val="22"/>
          <w:szCs w:val="22"/>
          <w:lang w:val="el-GR"/>
        </w:rPr>
        <w:lastRenderedPageBreak/>
        <w:t>παρακολουθεί τακτικά τη λήψη του φαρμάκου από τον ασθενή. Η θεραπεία συντήρησης μπορεί να συνεχίζεται για όσο διάστημα υπάρχει θεραπευτικό όφελος για τον ασθενή. Κατά συνέπεια, το κλινικό όφελος της δονεπεζίλης θα πρέπει να επανεκτιμάται σε τακτική βάση. Όταν δεν παρατηρείται πλέον θεραπευτική δράση, θα πρέπει να εξετάζεται το ενδεχόμενο διακοπής της θεραπευτικής αγωγής. Η ατομική ανταπόκριση στη δονεπεζίλη δεν είναι δυνατό να προκαθοριστεί.</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Κατά τη διακοπή της θεραπευτικής αγωγής, παρατηρείται μία σταδιακή μείωση των ευεργετικών αποτελεσμάτων της δονεπεζίλης.</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u w:val="single"/>
          <w:lang w:val="el-GR"/>
        </w:rPr>
      </w:pPr>
      <w:r w:rsidRPr="002C6BBC">
        <w:rPr>
          <w:bCs/>
          <w:sz w:val="22"/>
          <w:szCs w:val="22"/>
          <w:u w:val="single"/>
          <w:lang w:val="el-GR"/>
        </w:rPr>
        <w:t xml:space="preserve">Νεφρική και ηπατική </w:t>
      </w:r>
      <w:r w:rsidR="003E2934" w:rsidRPr="002C6BBC">
        <w:rPr>
          <w:bCs/>
          <w:sz w:val="22"/>
          <w:szCs w:val="22"/>
          <w:u w:val="single"/>
          <w:lang w:val="el-GR"/>
        </w:rPr>
        <w:t>δυσλειτουργία</w:t>
      </w:r>
      <w:r w:rsidRPr="002C6BBC">
        <w:rPr>
          <w:bCs/>
          <w:sz w:val="22"/>
          <w:szCs w:val="22"/>
          <w:u w:val="single"/>
          <w:lang w:val="el-GR"/>
        </w:rPr>
        <w:t>:</w:t>
      </w:r>
    </w:p>
    <w:p w:rsidR="005D4757" w:rsidRPr="002C6BBC" w:rsidRDefault="005D4757" w:rsidP="00C612DC">
      <w:pPr>
        <w:pStyle w:val="MGGTextLeft"/>
        <w:jc w:val="both"/>
        <w:rPr>
          <w:sz w:val="22"/>
          <w:szCs w:val="22"/>
          <w:lang w:val="el-GR"/>
        </w:rPr>
      </w:pPr>
      <w:r w:rsidRPr="002C6BBC">
        <w:rPr>
          <w:sz w:val="22"/>
          <w:szCs w:val="22"/>
          <w:lang w:val="el-GR"/>
        </w:rPr>
        <w:t xml:space="preserve">Είναι δυνατό να χρησιμοποιηθεί παρόμοιο δοσολογικό σχήμα σε ασθενείς με νεφρική </w:t>
      </w:r>
      <w:r w:rsidR="003E2934" w:rsidRPr="002C6BBC">
        <w:rPr>
          <w:bCs/>
          <w:sz w:val="22"/>
          <w:szCs w:val="22"/>
          <w:u w:val="single"/>
          <w:lang w:val="el-GR"/>
        </w:rPr>
        <w:t>δυσλειτουργία</w:t>
      </w:r>
      <w:r w:rsidRPr="002C6BBC">
        <w:rPr>
          <w:sz w:val="22"/>
          <w:szCs w:val="22"/>
          <w:lang w:val="el-GR"/>
        </w:rPr>
        <w:t>, καθώς η κάθαρση της υδροχλωρικής δονεπεζίλης δεν επηρεάζεται από αυτή την κατάσταση.</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xml:space="preserve">Λόγω της πιθανής αυξημένης έκθεσης στο φάρμακο ασθενών με ήπια έως μέτρια ηπατική </w:t>
      </w:r>
      <w:r w:rsidR="00BC7CD4" w:rsidRPr="002C6BBC">
        <w:rPr>
          <w:bCs/>
          <w:sz w:val="22"/>
          <w:szCs w:val="22"/>
          <w:u w:val="single"/>
          <w:lang w:val="el-GR"/>
        </w:rPr>
        <w:t>δυσλειτουργία</w:t>
      </w:r>
      <w:r w:rsidRPr="002C6BBC">
        <w:rPr>
          <w:sz w:val="22"/>
          <w:szCs w:val="22"/>
          <w:lang w:val="el-GR"/>
        </w:rPr>
        <w:t xml:space="preserve"> (</w:t>
      </w:r>
      <w:r w:rsidR="00634BC1" w:rsidRPr="002C6BBC">
        <w:rPr>
          <w:sz w:val="22"/>
          <w:szCs w:val="22"/>
          <w:lang w:val="el-GR"/>
        </w:rPr>
        <w:t>βλ.</w:t>
      </w:r>
      <w:r w:rsidRPr="002C6BBC">
        <w:rPr>
          <w:sz w:val="22"/>
          <w:szCs w:val="22"/>
          <w:lang w:val="el-GR"/>
        </w:rPr>
        <w:t xml:space="preserve"> παράγραφο 5.2), η αύξηση της δόσης θα πρέπει να πραγματοποιείται ανάλογα με την ανοχή του κάθε ασθενούς. Δεν υπάρχουν δεδομένα για ασθενείς με βαριά ηπατική </w:t>
      </w:r>
      <w:r w:rsidR="00BC7CD4" w:rsidRPr="002C6BBC">
        <w:rPr>
          <w:bCs/>
          <w:sz w:val="22"/>
          <w:szCs w:val="22"/>
          <w:u w:val="single"/>
          <w:lang w:val="el-GR"/>
        </w:rPr>
        <w:t>δυσλειτουργία</w:t>
      </w:r>
      <w:r w:rsidRPr="002C6BBC">
        <w:rPr>
          <w:sz w:val="22"/>
          <w:szCs w:val="22"/>
          <w:lang w:val="el-GR"/>
        </w:rPr>
        <w:t>.</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bCs/>
          <w:sz w:val="22"/>
          <w:szCs w:val="22"/>
          <w:u w:val="single"/>
          <w:lang w:val="el-GR"/>
        </w:rPr>
      </w:pPr>
      <w:r w:rsidRPr="002C6BBC">
        <w:rPr>
          <w:bCs/>
          <w:sz w:val="22"/>
          <w:szCs w:val="22"/>
          <w:u w:val="single"/>
          <w:lang w:val="el-GR"/>
        </w:rPr>
        <w:t>Παιδιά και έφηβοι:</w:t>
      </w:r>
    </w:p>
    <w:p w:rsidR="005D4757" w:rsidRPr="002C6BBC" w:rsidRDefault="005D4757" w:rsidP="00C612DC">
      <w:pPr>
        <w:pStyle w:val="MGGTextLeft"/>
        <w:jc w:val="both"/>
        <w:rPr>
          <w:sz w:val="22"/>
          <w:szCs w:val="22"/>
          <w:lang w:val="el-GR"/>
        </w:rPr>
      </w:pPr>
      <w:r w:rsidRPr="002C6BBC">
        <w:rPr>
          <w:sz w:val="22"/>
          <w:szCs w:val="22"/>
          <w:lang w:val="el-GR"/>
        </w:rPr>
        <w:t>Η χρήση της δονεπεζίλης δε συνιστάται στα παιδιά και στους εφήβους ηλικίας κάτω των 18 ετών.</w:t>
      </w:r>
    </w:p>
    <w:p w:rsidR="00816969" w:rsidRPr="002C6BBC" w:rsidRDefault="00816969" w:rsidP="00C612DC">
      <w:pPr>
        <w:pStyle w:val="MGGTextLeft"/>
        <w:jc w:val="both"/>
        <w:rPr>
          <w:sz w:val="22"/>
          <w:szCs w:val="22"/>
          <w:lang w:val="el-GR"/>
        </w:rPr>
      </w:pPr>
    </w:p>
    <w:p w:rsidR="00816969" w:rsidRPr="002C6BBC" w:rsidRDefault="00816969" w:rsidP="00C612DC">
      <w:pPr>
        <w:jc w:val="both"/>
        <w:rPr>
          <w:noProof/>
          <w:szCs w:val="22"/>
          <w:u w:val="single"/>
        </w:rPr>
      </w:pPr>
      <w:r w:rsidRPr="002C6BBC">
        <w:rPr>
          <w:noProof/>
          <w:szCs w:val="22"/>
          <w:u w:val="single"/>
        </w:rPr>
        <w:t>Τρόπος χορήγησης</w:t>
      </w:r>
    </w:p>
    <w:p w:rsidR="00816969" w:rsidRPr="002C6BBC" w:rsidRDefault="00816969" w:rsidP="00C612DC">
      <w:pPr>
        <w:pStyle w:val="MGGTextLeft"/>
        <w:jc w:val="both"/>
        <w:rPr>
          <w:sz w:val="22"/>
          <w:szCs w:val="22"/>
          <w:lang w:val="el-GR"/>
        </w:rPr>
      </w:pPr>
      <w:r w:rsidRPr="002C6BBC">
        <w:rPr>
          <w:sz w:val="22"/>
          <w:szCs w:val="22"/>
          <w:lang w:val="el-GR"/>
        </w:rPr>
        <w:t>Το επικαλυμμένο με λεπτό υμένιο δισκίο θα πρέπει να λαμβάνεται από το στόμα, το βράδυ, αμέσως μόλις πριν από την κατάκλιση.</w:t>
      </w:r>
    </w:p>
    <w:p w:rsidR="005D4757" w:rsidRPr="002C6BBC" w:rsidRDefault="005D4757" w:rsidP="00C612DC">
      <w:pPr>
        <w:jc w:val="both"/>
        <w:rPr>
          <w:noProof/>
          <w:szCs w:val="22"/>
        </w:rPr>
      </w:pPr>
    </w:p>
    <w:p w:rsidR="005D4757" w:rsidRPr="002C6BBC" w:rsidRDefault="005D4757" w:rsidP="00C612DC">
      <w:pPr>
        <w:jc w:val="both"/>
        <w:rPr>
          <w:szCs w:val="22"/>
        </w:rPr>
      </w:pPr>
      <w:r w:rsidRPr="002C6BBC">
        <w:rPr>
          <w:b/>
          <w:szCs w:val="22"/>
        </w:rPr>
        <w:t>4.3</w:t>
      </w:r>
      <w:r w:rsidRPr="002C6BBC">
        <w:rPr>
          <w:b/>
          <w:szCs w:val="22"/>
        </w:rPr>
        <w:tab/>
        <w:t>Αντενδείξεις</w:t>
      </w:r>
    </w:p>
    <w:p w:rsidR="005D4757" w:rsidRPr="002C6BBC" w:rsidRDefault="005D4757" w:rsidP="00C612DC">
      <w:pPr>
        <w:jc w:val="both"/>
        <w:rPr>
          <w:szCs w:val="22"/>
        </w:rPr>
      </w:pPr>
    </w:p>
    <w:p w:rsidR="005D4757" w:rsidRPr="002C6BBC" w:rsidRDefault="005D4757" w:rsidP="00C612DC">
      <w:pPr>
        <w:pStyle w:val="MGGTextLeft"/>
        <w:jc w:val="both"/>
        <w:rPr>
          <w:sz w:val="22"/>
          <w:szCs w:val="22"/>
          <w:lang w:val="el-GR"/>
        </w:rPr>
      </w:pPr>
      <w:r w:rsidRPr="002C6BBC">
        <w:rPr>
          <w:sz w:val="22"/>
          <w:szCs w:val="22"/>
          <w:lang w:val="el-GR"/>
        </w:rPr>
        <w:t>Υπερευαισθησία στη δραστική ουσία, στα παράγωγα της πιπεριδίνης, στη σόγια, στα φιστίκια, ή σε κάποιο από τα έκδοχα</w:t>
      </w:r>
      <w:r w:rsidR="00F16388" w:rsidRPr="002C6BBC">
        <w:rPr>
          <w:sz w:val="22"/>
          <w:szCs w:val="22"/>
          <w:lang w:val="el-GR"/>
        </w:rPr>
        <w:t xml:space="preserve"> που αναφέρονται στην παράγραφο 6.1</w:t>
      </w:r>
      <w:r w:rsidRPr="002C6BBC">
        <w:rPr>
          <w:sz w:val="22"/>
          <w:szCs w:val="22"/>
          <w:lang w:val="el-GR"/>
        </w:rPr>
        <w:t>.</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4.4</w:t>
      </w:r>
      <w:r w:rsidRPr="002C6BBC">
        <w:rPr>
          <w:b/>
          <w:szCs w:val="22"/>
        </w:rPr>
        <w:tab/>
        <w:t>Ειδικές προειδοποιήσεις και προφυλάξεις κατά τη χρήση</w:t>
      </w:r>
    </w:p>
    <w:p w:rsidR="005D4757" w:rsidRPr="002C6BBC" w:rsidRDefault="005D4757" w:rsidP="00C612DC">
      <w:pPr>
        <w:jc w:val="both"/>
        <w:rPr>
          <w:szCs w:val="22"/>
        </w:rPr>
      </w:pPr>
    </w:p>
    <w:p w:rsidR="005D4757" w:rsidRPr="002C6BBC" w:rsidRDefault="005D4757" w:rsidP="00C612DC">
      <w:pPr>
        <w:pStyle w:val="MGGTextLeft"/>
        <w:jc w:val="both"/>
        <w:rPr>
          <w:sz w:val="22"/>
          <w:szCs w:val="22"/>
          <w:lang w:val="el-GR"/>
        </w:rPr>
      </w:pPr>
      <w:r w:rsidRPr="002C6BBC">
        <w:rPr>
          <w:sz w:val="22"/>
          <w:szCs w:val="22"/>
          <w:lang w:val="el-GR"/>
        </w:rPr>
        <w:t xml:space="preserve">Η χρήση της δονεπεζίλης σε ασθενείς με σοβαρού βαθμού άνοια </w:t>
      </w:r>
      <w:r w:rsidRPr="002C6BBC">
        <w:rPr>
          <w:sz w:val="22"/>
          <w:szCs w:val="22"/>
        </w:rPr>
        <w:t>Alzheimer</w:t>
      </w:r>
      <w:r w:rsidRPr="002C6BBC">
        <w:rPr>
          <w:sz w:val="22"/>
          <w:szCs w:val="22"/>
          <w:lang w:val="el-GR"/>
        </w:rPr>
        <w:t>, με άλλες μορφές άνοιας ή άλλες μορφές διαταραχής της μνήμης (π.χ. εξασθένηση της γνωστικής λειτουργίας λόγω ηλικίας), δεν έχει διερευνηθεί.</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 xml:space="preserve">Αναισθησία: </w:t>
      </w:r>
    </w:p>
    <w:p w:rsidR="005D4757" w:rsidRPr="002C6BBC" w:rsidRDefault="005D4757" w:rsidP="00C612DC">
      <w:pPr>
        <w:pStyle w:val="MGGTextLeft"/>
        <w:jc w:val="both"/>
        <w:rPr>
          <w:sz w:val="22"/>
          <w:szCs w:val="22"/>
          <w:lang w:val="el-GR"/>
        </w:rPr>
      </w:pPr>
      <w:r w:rsidRPr="002C6BBC">
        <w:rPr>
          <w:sz w:val="22"/>
          <w:szCs w:val="22"/>
          <w:lang w:val="el-GR"/>
        </w:rPr>
        <w:t>Η δονεπεζίλη, ως αναστολέας της χολινεστεράσης, είναι πιθανό να επιτείνει τη μυοχάλαση τύπου σουκινυλοχολίνης κατά τη διάρκεια της αναισθησίας.</w:t>
      </w:r>
    </w:p>
    <w:p w:rsidR="005D4757" w:rsidRPr="002C6BBC" w:rsidRDefault="005D4757" w:rsidP="00C612DC">
      <w:pPr>
        <w:pStyle w:val="MGGTextLeft"/>
        <w:jc w:val="both"/>
        <w:rPr>
          <w:sz w:val="22"/>
          <w:szCs w:val="22"/>
          <w:lang w:val="en-US"/>
        </w:rPr>
      </w:pPr>
    </w:p>
    <w:p w:rsidR="007674CA" w:rsidRPr="002C6BBC" w:rsidRDefault="007674CA" w:rsidP="00C612DC">
      <w:pPr>
        <w:pStyle w:val="MGGTextLeft"/>
        <w:jc w:val="both"/>
        <w:rPr>
          <w:sz w:val="22"/>
          <w:szCs w:val="22"/>
          <w:lang w:val="en-US"/>
        </w:rPr>
      </w:pPr>
    </w:p>
    <w:p w:rsidR="007674CA" w:rsidRPr="002C6BBC" w:rsidRDefault="005D4757" w:rsidP="007674CA">
      <w:pPr>
        <w:pStyle w:val="MGGTextLeft"/>
        <w:rPr>
          <w:bCs/>
          <w:i/>
          <w:iCs/>
          <w:sz w:val="22"/>
          <w:szCs w:val="22"/>
          <w:lang w:val="en-US"/>
        </w:rPr>
      </w:pPr>
      <w:r w:rsidRPr="002C6BBC">
        <w:rPr>
          <w:bCs/>
          <w:i/>
          <w:iCs/>
          <w:sz w:val="22"/>
          <w:szCs w:val="22"/>
          <w:lang w:val="el-GR"/>
        </w:rPr>
        <w:t>Καρδιαγγειακές καταστάσεις:</w:t>
      </w:r>
    </w:p>
    <w:p w:rsidR="005D4757" w:rsidRPr="002C6BBC" w:rsidRDefault="005D4757" w:rsidP="007674CA">
      <w:pPr>
        <w:pStyle w:val="MGGTextLeft"/>
        <w:jc w:val="both"/>
        <w:rPr>
          <w:sz w:val="22"/>
          <w:szCs w:val="22"/>
          <w:lang w:val="el-GR"/>
        </w:rPr>
      </w:pPr>
      <w:r w:rsidRPr="002C6BBC">
        <w:rPr>
          <w:sz w:val="22"/>
          <w:szCs w:val="22"/>
          <w:lang w:val="el-GR"/>
        </w:rPr>
        <w:t xml:space="preserve">Λόγω της φαρμακολογικής τους δράσης, οι αναστολείς της χολινεστεράσης μπορεί να έχουν παρασυμπαθητικομιμητική δράση στην καρδιακή συχνότητα (π.χ. βραδυκαρδία). Η πιθανότητα εμφάνισης της δράσης αυτής μπορεί να είναι ιδιαίτερα σημαντική σε ασθενείς με «σύνδρομο νοσούντος φλεβόκομβου» ή άλλες υπερκοιλιακές διαταραχές της καρδιακής αγωγιμότητας, όπως φλεβοκομβοκολπικό ή κολποκοιλιακό αποκλεισμό. Υπάρχουν αναφορές συγκοπής και σπασμών. Κατά τη μελέτη των ασθενών αυτών πρέπει να εξετάζεται η πιθανότητα ανάπτυξης </w:t>
      </w:r>
      <w:r w:rsidR="00BC7CD4" w:rsidRPr="002C6BBC">
        <w:rPr>
          <w:sz w:val="22"/>
          <w:szCs w:val="22"/>
          <w:lang w:val="el-GR"/>
        </w:rPr>
        <w:t>καρδιακού</w:t>
      </w:r>
      <w:r w:rsidRPr="002C6BBC">
        <w:rPr>
          <w:sz w:val="22"/>
          <w:szCs w:val="22"/>
          <w:lang w:val="el-GR"/>
        </w:rPr>
        <w:t xml:space="preserve"> αποκλεισμού ή μακρών διακοπών της αγωγιμότητας.</w:t>
      </w:r>
    </w:p>
    <w:p w:rsidR="005D4757" w:rsidRPr="002C6BBC" w:rsidRDefault="005D4757" w:rsidP="00C612DC">
      <w:pPr>
        <w:pStyle w:val="MGGTextLeft"/>
        <w:jc w:val="both"/>
        <w:rPr>
          <w:sz w:val="22"/>
          <w:szCs w:val="22"/>
          <w:lang w:val="el-GR"/>
        </w:rPr>
      </w:pPr>
    </w:p>
    <w:p w:rsidR="007674CA" w:rsidRPr="002C6BBC" w:rsidRDefault="005D4757" w:rsidP="00C612DC">
      <w:pPr>
        <w:pStyle w:val="MGGTextLeft"/>
        <w:jc w:val="both"/>
        <w:rPr>
          <w:bCs/>
          <w:i/>
          <w:sz w:val="22"/>
          <w:szCs w:val="22"/>
          <w:lang w:val="en-US"/>
        </w:rPr>
      </w:pPr>
      <w:r w:rsidRPr="002C6BBC">
        <w:rPr>
          <w:bCs/>
          <w:i/>
          <w:sz w:val="22"/>
          <w:szCs w:val="22"/>
          <w:lang w:val="el-GR"/>
        </w:rPr>
        <w:t>Γαστρεντερικές καταστάσεις:</w:t>
      </w:r>
    </w:p>
    <w:p w:rsidR="005D4757" w:rsidRPr="002C6BBC" w:rsidRDefault="005D4757" w:rsidP="00C612DC">
      <w:pPr>
        <w:pStyle w:val="MGGTextLeft"/>
        <w:jc w:val="both"/>
        <w:rPr>
          <w:sz w:val="22"/>
          <w:szCs w:val="22"/>
          <w:lang w:val="el-GR"/>
        </w:rPr>
      </w:pPr>
      <w:r w:rsidRPr="002C6BBC">
        <w:rPr>
          <w:sz w:val="22"/>
          <w:szCs w:val="22"/>
          <w:lang w:val="el-GR"/>
        </w:rPr>
        <w:lastRenderedPageBreak/>
        <w:t>Ασθενείς με αυξημένο κίνδυνο για εμφάνιση έλκους, π.χ. αυτοί με ιστορικό έλκους ή εκείνοι που λαμβάνουν ταυτόχρονα μη στεροειδή αντιφλεγμονώδη φάρμακα (ΜΣΑΦ), πρέπει να παρακολουθούνται για τυχόν εμφάνιση σχετικών συμπτωμάτων. Ωστόσο, οι κλινικές μελέτες με τη δονεπεζίλη δεν έδειξαν κάποια αύξηση, σε σχέση με το εικονικό φάρμακο (</w:t>
      </w:r>
      <w:r w:rsidRPr="002C6BBC">
        <w:rPr>
          <w:sz w:val="22"/>
          <w:szCs w:val="22"/>
        </w:rPr>
        <w:t>placebo</w:t>
      </w:r>
      <w:r w:rsidRPr="002C6BBC">
        <w:rPr>
          <w:sz w:val="22"/>
          <w:szCs w:val="22"/>
          <w:lang w:val="el-GR"/>
        </w:rPr>
        <w:t>), της συχνότητας ανάπτυξης πεπτικού έλκους ή αιμορραγίας από το γαστρεντερικό.</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Ουροποιογεννητικό σύστημα:</w:t>
      </w:r>
    </w:p>
    <w:p w:rsidR="005D4757" w:rsidRPr="002C6BBC" w:rsidRDefault="005D4757" w:rsidP="00C612DC">
      <w:pPr>
        <w:pStyle w:val="MGGTextLeft"/>
        <w:jc w:val="both"/>
        <w:rPr>
          <w:sz w:val="22"/>
          <w:szCs w:val="22"/>
          <w:lang w:val="el-GR"/>
        </w:rPr>
      </w:pPr>
      <w:r w:rsidRPr="002C6BBC">
        <w:rPr>
          <w:sz w:val="22"/>
          <w:szCs w:val="22"/>
          <w:lang w:val="el-GR"/>
        </w:rPr>
        <w:t>Αν και δεν έχει παρατηρηθεί σε κλινικές μελέτες με δονεπεζίλη, τα χολινομιμητικά φάρμακα μπορούν να παρεμποδίσουν την εκροή των ούρων από την ουροδόχο κύστη.</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Νευρολογικές Καταστάσεις:</w:t>
      </w:r>
    </w:p>
    <w:p w:rsidR="005D4757" w:rsidRPr="002C6BBC" w:rsidRDefault="005D4757" w:rsidP="00C612DC">
      <w:pPr>
        <w:pStyle w:val="MGGTextLeft"/>
        <w:jc w:val="both"/>
        <w:rPr>
          <w:sz w:val="22"/>
          <w:szCs w:val="22"/>
          <w:lang w:val="el-GR"/>
        </w:rPr>
      </w:pPr>
      <w:r w:rsidRPr="002C6BBC">
        <w:rPr>
          <w:sz w:val="22"/>
          <w:szCs w:val="22"/>
          <w:lang w:val="el-GR"/>
        </w:rPr>
        <w:t xml:space="preserve">Σπασμοί: τα χολινομιμητικά φάρμακα πιστεύεται ότι έχουν τη δυνατότητα να προκαλούν γενικευμένους σπασμούς. Ωστόσο, η εμφάνιση σπασμών μπορεί επίσης να αποτελεί εκδήλωση της νόσου </w:t>
      </w:r>
      <w:r w:rsidRPr="002C6BBC">
        <w:rPr>
          <w:sz w:val="22"/>
          <w:szCs w:val="22"/>
        </w:rPr>
        <w:t>Alzheimer</w:t>
      </w:r>
      <w:r w:rsidRPr="002C6BBC">
        <w:rPr>
          <w:sz w:val="22"/>
          <w:szCs w:val="22"/>
          <w:lang w:val="el-GR"/>
        </w:rPr>
        <w:t>.</w:t>
      </w:r>
    </w:p>
    <w:p w:rsidR="005D4757" w:rsidRPr="002C6BBC" w:rsidRDefault="005D4757" w:rsidP="00C612DC">
      <w:pPr>
        <w:pStyle w:val="MGGTextLeft"/>
        <w:jc w:val="both"/>
        <w:rPr>
          <w:sz w:val="22"/>
          <w:szCs w:val="22"/>
          <w:lang w:val="el-GR"/>
        </w:rPr>
      </w:pPr>
      <w:r w:rsidRPr="002C6BBC">
        <w:rPr>
          <w:sz w:val="22"/>
          <w:szCs w:val="22"/>
          <w:lang w:val="el-GR"/>
        </w:rPr>
        <w:t>Τα χολινομιμητικά μπορεί να έχουν τη δυνατότητα να επιδεινώσουν ή να επάγουν εξωπυραμιδικά συμπτώματα.</w:t>
      </w:r>
    </w:p>
    <w:p w:rsidR="00BC7CD4" w:rsidRPr="002C6BBC" w:rsidRDefault="00BC7CD4" w:rsidP="00C612DC">
      <w:pPr>
        <w:pStyle w:val="MGGTextLeft"/>
        <w:jc w:val="both"/>
        <w:rPr>
          <w:rStyle w:val="hps"/>
          <w:color w:val="333333"/>
          <w:sz w:val="22"/>
          <w:szCs w:val="22"/>
          <w:lang w:val="el-GR"/>
        </w:rPr>
      </w:pPr>
    </w:p>
    <w:p w:rsidR="005D4757" w:rsidRPr="002C6BBC" w:rsidRDefault="00BC7CD4" w:rsidP="00C612DC">
      <w:pPr>
        <w:pStyle w:val="MGGTextLeft"/>
        <w:jc w:val="both"/>
        <w:rPr>
          <w:color w:val="333333"/>
          <w:sz w:val="22"/>
          <w:szCs w:val="22"/>
          <w:lang w:val="el-GR"/>
        </w:rPr>
      </w:pPr>
      <w:r w:rsidRPr="002C6BBC">
        <w:rPr>
          <w:rStyle w:val="hps"/>
          <w:i/>
          <w:color w:val="333333"/>
          <w:sz w:val="22"/>
          <w:szCs w:val="22"/>
          <w:lang w:val="el-GR"/>
        </w:rPr>
        <w:t>Νευροληπτικό Κακόηθες Σύνδρομο (</w:t>
      </w:r>
      <w:r w:rsidRPr="002C6BBC">
        <w:rPr>
          <w:rStyle w:val="hps"/>
          <w:i/>
          <w:color w:val="333333"/>
          <w:sz w:val="22"/>
          <w:szCs w:val="22"/>
          <w:lang w:val="en-US"/>
        </w:rPr>
        <w:t>NMS</w:t>
      </w:r>
      <w:r w:rsidRPr="002C6BBC">
        <w:rPr>
          <w:i/>
          <w:color w:val="333333"/>
          <w:sz w:val="22"/>
          <w:szCs w:val="22"/>
          <w:lang w:val="el-GR"/>
        </w:rPr>
        <w:t>)</w:t>
      </w:r>
      <w:r w:rsidRPr="002C6BBC">
        <w:rPr>
          <w:color w:val="333333"/>
          <w:sz w:val="22"/>
          <w:szCs w:val="22"/>
          <w:lang w:val="el-GR"/>
        </w:rPr>
        <w:t xml:space="preserve">: το </w:t>
      </w:r>
      <w:r w:rsidRPr="002C6BBC">
        <w:rPr>
          <w:rStyle w:val="hps"/>
          <w:color w:val="333333"/>
          <w:sz w:val="22"/>
          <w:szCs w:val="22"/>
          <w:lang w:val="en-US"/>
        </w:rPr>
        <w:t>NMS</w:t>
      </w:r>
      <w:r w:rsidRPr="002C6BBC">
        <w:rPr>
          <w:color w:val="333333"/>
          <w:sz w:val="22"/>
          <w:szCs w:val="22"/>
          <w:lang w:val="el-GR"/>
        </w:rPr>
        <w:t xml:space="preserve">, </w:t>
      </w:r>
      <w:r w:rsidRPr="002C6BBC">
        <w:rPr>
          <w:rStyle w:val="hps"/>
          <w:color w:val="333333"/>
          <w:sz w:val="22"/>
          <w:szCs w:val="22"/>
          <w:lang w:val="el-GR"/>
        </w:rPr>
        <w:t>μια</w:t>
      </w:r>
      <w:r w:rsidRPr="002C6BBC">
        <w:rPr>
          <w:color w:val="333333"/>
          <w:sz w:val="22"/>
          <w:szCs w:val="22"/>
          <w:lang w:val="el-GR"/>
        </w:rPr>
        <w:t xml:space="preserve"> </w:t>
      </w:r>
      <w:r w:rsidRPr="002C6BBC">
        <w:rPr>
          <w:rStyle w:val="hps"/>
          <w:color w:val="333333"/>
          <w:sz w:val="22"/>
          <w:szCs w:val="22"/>
          <w:lang w:val="el-GR"/>
        </w:rPr>
        <w:t>δυνητικά</w:t>
      </w:r>
      <w:r w:rsidRPr="002C6BBC">
        <w:rPr>
          <w:color w:val="333333"/>
          <w:sz w:val="22"/>
          <w:szCs w:val="22"/>
          <w:lang w:val="el-GR"/>
        </w:rPr>
        <w:t xml:space="preserve"> </w:t>
      </w:r>
      <w:r w:rsidRPr="002C6BBC">
        <w:rPr>
          <w:rStyle w:val="hps"/>
          <w:color w:val="333333"/>
          <w:sz w:val="22"/>
          <w:szCs w:val="22"/>
          <w:lang w:val="el-GR"/>
        </w:rPr>
        <w:t>απειλητική για τη ζωή</w:t>
      </w:r>
      <w:r w:rsidRPr="002C6BBC">
        <w:rPr>
          <w:color w:val="333333"/>
          <w:sz w:val="22"/>
          <w:szCs w:val="22"/>
          <w:lang w:val="el-GR"/>
        </w:rPr>
        <w:t xml:space="preserve"> </w:t>
      </w:r>
      <w:r w:rsidRPr="002C6BBC">
        <w:rPr>
          <w:rStyle w:val="hps"/>
          <w:color w:val="333333"/>
          <w:sz w:val="22"/>
          <w:szCs w:val="22"/>
          <w:lang w:val="el-GR"/>
        </w:rPr>
        <w:t>κατάσταση που χαρακτηρίζεται από</w:t>
      </w:r>
      <w:r w:rsidRPr="002C6BBC">
        <w:rPr>
          <w:color w:val="333333"/>
          <w:sz w:val="22"/>
          <w:szCs w:val="22"/>
          <w:lang w:val="el-GR"/>
        </w:rPr>
        <w:t xml:space="preserve"> </w:t>
      </w:r>
      <w:r w:rsidRPr="002C6BBC">
        <w:rPr>
          <w:rStyle w:val="hps"/>
          <w:color w:val="333333"/>
          <w:sz w:val="22"/>
          <w:szCs w:val="22"/>
          <w:lang w:val="el-GR"/>
        </w:rPr>
        <w:t>υπερθερμία</w:t>
      </w:r>
      <w:r w:rsidRPr="002C6BBC">
        <w:rPr>
          <w:color w:val="333333"/>
          <w:sz w:val="22"/>
          <w:szCs w:val="22"/>
          <w:lang w:val="el-GR"/>
        </w:rPr>
        <w:t xml:space="preserve">, </w:t>
      </w:r>
      <w:r w:rsidRPr="002C6BBC">
        <w:rPr>
          <w:rStyle w:val="hps"/>
          <w:color w:val="333333"/>
          <w:sz w:val="22"/>
          <w:szCs w:val="22"/>
          <w:lang w:val="el-GR"/>
        </w:rPr>
        <w:t>μυϊκή ακαμψία</w:t>
      </w:r>
      <w:r w:rsidRPr="002C6BBC">
        <w:rPr>
          <w:color w:val="333333"/>
          <w:sz w:val="22"/>
          <w:szCs w:val="22"/>
          <w:lang w:val="el-GR"/>
        </w:rPr>
        <w:t xml:space="preserve">, </w:t>
      </w:r>
      <w:r w:rsidRPr="002C6BBC">
        <w:rPr>
          <w:rStyle w:val="hps"/>
          <w:color w:val="333333"/>
          <w:sz w:val="22"/>
          <w:szCs w:val="22"/>
          <w:lang w:val="el-GR"/>
        </w:rPr>
        <w:t>αστάθεια του αυτόνομου νευρικού</w:t>
      </w:r>
      <w:r w:rsidRPr="002C6BBC">
        <w:rPr>
          <w:color w:val="333333"/>
          <w:sz w:val="22"/>
          <w:szCs w:val="22"/>
          <w:lang w:val="el-GR"/>
        </w:rPr>
        <w:t xml:space="preserve"> </w:t>
      </w:r>
      <w:r w:rsidRPr="002C6BBC">
        <w:rPr>
          <w:rStyle w:val="hps"/>
          <w:color w:val="333333"/>
          <w:sz w:val="22"/>
          <w:szCs w:val="22"/>
          <w:lang w:val="el-GR"/>
        </w:rPr>
        <w:t>συστήματος, μεταβληθείσα συνείδηση</w:t>
      </w:r>
      <w:r w:rsidRPr="002C6BBC">
        <w:rPr>
          <w:color w:val="333333"/>
          <w:sz w:val="22"/>
          <w:szCs w:val="22"/>
          <w:lang w:val="el-GR"/>
        </w:rPr>
        <w:t xml:space="preserve"> </w:t>
      </w:r>
      <w:r w:rsidRPr="002C6BBC">
        <w:rPr>
          <w:rStyle w:val="hps"/>
          <w:color w:val="333333"/>
          <w:sz w:val="22"/>
          <w:szCs w:val="22"/>
          <w:lang w:val="el-GR"/>
        </w:rPr>
        <w:t>και</w:t>
      </w:r>
      <w:r w:rsidRPr="002C6BBC">
        <w:rPr>
          <w:color w:val="333333"/>
          <w:sz w:val="22"/>
          <w:szCs w:val="22"/>
          <w:lang w:val="el-GR"/>
        </w:rPr>
        <w:t xml:space="preserve"> </w:t>
      </w:r>
      <w:r w:rsidRPr="002C6BBC">
        <w:rPr>
          <w:rStyle w:val="hps"/>
          <w:color w:val="333333"/>
          <w:sz w:val="22"/>
          <w:szCs w:val="22"/>
          <w:lang w:val="el-GR"/>
        </w:rPr>
        <w:t>αυξημένα επίπεδα της</w:t>
      </w:r>
      <w:r w:rsidRPr="002C6BBC">
        <w:rPr>
          <w:color w:val="333333"/>
          <w:sz w:val="22"/>
          <w:szCs w:val="22"/>
          <w:lang w:val="el-GR"/>
        </w:rPr>
        <w:t xml:space="preserve"> </w:t>
      </w:r>
      <w:r w:rsidRPr="002C6BBC">
        <w:rPr>
          <w:rStyle w:val="hps"/>
          <w:color w:val="333333"/>
          <w:sz w:val="22"/>
          <w:szCs w:val="22"/>
          <w:lang w:val="el-GR"/>
        </w:rPr>
        <w:t>κρεατινοφωσφοκινάσης στον ορό</w:t>
      </w:r>
      <w:r w:rsidRPr="002C6BBC">
        <w:rPr>
          <w:color w:val="333333"/>
          <w:sz w:val="22"/>
          <w:szCs w:val="22"/>
          <w:lang w:val="el-GR"/>
        </w:rPr>
        <w:t xml:space="preserve">, </w:t>
      </w:r>
      <w:r w:rsidRPr="002C6BBC">
        <w:rPr>
          <w:rStyle w:val="hps"/>
          <w:color w:val="333333"/>
          <w:sz w:val="22"/>
          <w:szCs w:val="22"/>
          <w:lang w:val="el-GR"/>
        </w:rPr>
        <w:t>έχει αναφερθεί</w:t>
      </w:r>
      <w:r w:rsidRPr="002C6BBC">
        <w:rPr>
          <w:color w:val="333333"/>
          <w:sz w:val="22"/>
          <w:szCs w:val="22"/>
          <w:lang w:val="el-GR"/>
        </w:rPr>
        <w:t xml:space="preserve"> </w:t>
      </w:r>
      <w:r w:rsidRPr="002C6BBC">
        <w:rPr>
          <w:rStyle w:val="hps"/>
          <w:color w:val="333333"/>
          <w:sz w:val="22"/>
          <w:szCs w:val="22"/>
          <w:lang w:val="el-GR"/>
        </w:rPr>
        <w:t>να</w:t>
      </w:r>
      <w:r w:rsidRPr="002C6BBC">
        <w:rPr>
          <w:color w:val="333333"/>
          <w:sz w:val="22"/>
          <w:szCs w:val="22"/>
          <w:lang w:val="el-GR"/>
        </w:rPr>
        <w:t xml:space="preserve"> </w:t>
      </w:r>
      <w:r w:rsidRPr="002C6BBC">
        <w:rPr>
          <w:rStyle w:val="hps"/>
          <w:color w:val="333333"/>
          <w:sz w:val="22"/>
          <w:szCs w:val="22"/>
          <w:lang w:val="el-GR"/>
        </w:rPr>
        <w:t>συμβαίνει</w:t>
      </w:r>
      <w:r w:rsidRPr="002C6BBC">
        <w:rPr>
          <w:color w:val="333333"/>
          <w:sz w:val="22"/>
          <w:szCs w:val="22"/>
          <w:lang w:val="el-GR"/>
        </w:rPr>
        <w:t xml:space="preserve"> </w:t>
      </w:r>
      <w:r w:rsidRPr="002C6BBC">
        <w:rPr>
          <w:rStyle w:val="hps"/>
          <w:color w:val="333333"/>
          <w:sz w:val="22"/>
          <w:szCs w:val="22"/>
          <w:lang w:val="el-GR"/>
        </w:rPr>
        <w:t>πολύ</w:t>
      </w:r>
      <w:r w:rsidRPr="002C6BBC">
        <w:rPr>
          <w:color w:val="333333"/>
          <w:sz w:val="22"/>
          <w:szCs w:val="22"/>
          <w:lang w:val="el-GR"/>
        </w:rPr>
        <w:t xml:space="preserve"> </w:t>
      </w:r>
      <w:r w:rsidRPr="002C6BBC">
        <w:rPr>
          <w:rStyle w:val="hps"/>
          <w:color w:val="333333"/>
          <w:sz w:val="22"/>
          <w:szCs w:val="22"/>
          <w:lang w:val="el-GR"/>
        </w:rPr>
        <w:t>σπάνια σε συνδυασμό</w:t>
      </w:r>
      <w:r w:rsidRPr="002C6BBC">
        <w:rPr>
          <w:color w:val="333333"/>
          <w:sz w:val="22"/>
          <w:szCs w:val="22"/>
          <w:lang w:val="el-GR"/>
        </w:rPr>
        <w:t xml:space="preserve"> </w:t>
      </w:r>
      <w:r w:rsidRPr="002C6BBC">
        <w:rPr>
          <w:rStyle w:val="hps"/>
          <w:color w:val="333333"/>
          <w:sz w:val="22"/>
          <w:szCs w:val="22"/>
          <w:lang w:val="el-GR"/>
        </w:rPr>
        <w:t>με</w:t>
      </w:r>
      <w:r w:rsidRPr="002C6BBC">
        <w:rPr>
          <w:color w:val="333333"/>
          <w:sz w:val="22"/>
          <w:szCs w:val="22"/>
          <w:lang w:val="el-GR"/>
        </w:rPr>
        <w:t xml:space="preserve"> </w:t>
      </w:r>
      <w:r w:rsidRPr="002C6BBC">
        <w:rPr>
          <w:rStyle w:val="hps"/>
          <w:color w:val="333333"/>
          <w:sz w:val="22"/>
          <w:szCs w:val="22"/>
          <w:lang w:val="el-GR"/>
        </w:rPr>
        <w:t>δονεπεζίλη</w:t>
      </w:r>
      <w:r w:rsidRPr="002C6BBC">
        <w:rPr>
          <w:color w:val="333333"/>
          <w:sz w:val="22"/>
          <w:szCs w:val="22"/>
          <w:lang w:val="el-GR"/>
        </w:rPr>
        <w:t xml:space="preserve">, </w:t>
      </w:r>
      <w:r w:rsidRPr="002C6BBC">
        <w:rPr>
          <w:rStyle w:val="hps"/>
          <w:color w:val="333333"/>
          <w:sz w:val="22"/>
          <w:szCs w:val="22"/>
          <w:lang w:val="el-GR"/>
        </w:rPr>
        <w:t>ιδιαίτερα</w:t>
      </w:r>
      <w:r w:rsidRPr="002C6BBC">
        <w:rPr>
          <w:color w:val="333333"/>
          <w:sz w:val="22"/>
          <w:szCs w:val="22"/>
          <w:lang w:val="el-GR"/>
        </w:rPr>
        <w:t xml:space="preserve"> </w:t>
      </w:r>
      <w:r w:rsidRPr="002C6BBC">
        <w:rPr>
          <w:rStyle w:val="hps"/>
          <w:color w:val="333333"/>
          <w:sz w:val="22"/>
          <w:szCs w:val="22"/>
          <w:lang w:val="el-GR"/>
        </w:rPr>
        <w:t>σε ασθενείς που</w:t>
      </w:r>
      <w:r w:rsidRPr="002C6BBC">
        <w:rPr>
          <w:color w:val="333333"/>
          <w:sz w:val="22"/>
          <w:szCs w:val="22"/>
          <w:lang w:val="el-GR"/>
        </w:rPr>
        <w:t xml:space="preserve"> </w:t>
      </w:r>
      <w:r w:rsidRPr="002C6BBC">
        <w:rPr>
          <w:rStyle w:val="hps"/>
          <w:color w:val="333333"/>
          <w:sz w:val="22"/>
          <w:szCs w:val="22"/>
          <w:lang w:val="el-GR"/>
        </w:rPr>
        <w:t>επίσης</w:t>
      </w:r>
      <w:r w:rsidRPr="002C6BBC">
        <w:rPr>
          <w:color w:val="333333"/>
          <w:sz w:val="22"/>
          <w:szCs w:val="22"/>
          <w:lang w:val="el-GR"/>
        </w:rPr>
        <w:t xml:space="preserve"> </w:t>
      </w:r>
      <w:r w:rsidRPr="002C6BBC">
        <w:rPr>
          <w:rStyle w:val="hps"/>
          <w:color w:val="333333"/>
          <w:sz w:val="22"/>
          <w:szCs w:val="22"/>
          <w:lang w:val="el-GR"/>
        </w:rPr>
        <w:t>λαμβάνουν ταυτόχρονα</w:t>
      </w:r>
      <w:r w:rsidRPr="002C6BBC">
        <w:rPr>
          <w:color w:val="333333"/>
          <w:sz w:val="22"/>
          <w:szCs w:val="22"/>
          <w:lang w:val="el-GR"/>
        </w:rPr>
        <w:t xml:space="preserve"> </w:t>
      </w:r>
      <w:r w:rsidRPr="002C6BBC">
        <w:rPr>
          <w:rStyle w:val="hps"/>
          <w:color w:val="333333"/>
          <w:sz w:val="22"/>
          <w:szCs w:val="22"/>
          <w:lang w:val="el-GR"/>
        </w:rPr>
        <w:t>αντιψυχωσικά</w:t>
      </w:r>
      <w:r w:rsidRPr="002C6BBC">
        <w:rPr>
          <w:color w:val="333333"/>
          <w:sz w:val="22"/>
          <w:szCs w:val="22"/>
          <w:lang w:val="el-GR"/>
        </w:rPr>
        <w:t xml:space="preserve">. </w:t>
      </w:r>
      <w:r w:rsidRPr="002C6BBC">
        <w:rPr>
          <w:rStyle w:val="hps"/>
          <w:color w:val="333333"/>
          <w:sz w:val="22"/>
          <w:szCs w:val="22"/>
          <w:lang w:val="el-GR"/>
        </w:rPr>
        <w:t>Πρόσθετα σημεία</w:t>
      </w:r>
      <w:r w:rsidRPr="002C6BBC">
        <w:rPr>
          <w:color w:val="333333"/>
          <w:sz w:val="22"/>
          <w:szCs w:val="22"/>
          <w:lang w:val="el-GR"/>
        </w:rPr>
        <w:t xml:space="preserve"> </w:t>
      </w:r>
      <w:r w:rsidRPr="002C6BBC">
        <w:rPr>
          <w:rStyle w:val="hps"/>
          <w:color w:val="333333"/>
          <w:sz w:val="22"/>
          <w:szCs w:val="22"/>
          <w:lang w:val="el-GR"/>
        </w:rPr>
        <w:t>μπορεί να περιλαμβάνουν</w:t>
      </w:r>
      <w:r w:rsidRPr="002C6BBC">
        <w:rPr>
          <w:color w:val="333333"/>
          <w:sz w:val="22"/>
          <w:szCs w:val="22"/>
          <w:lang w:val="el-GR"/>
        </w:rPr>
        <w:t xml:space="preserve"> </w:t>
      </w:r>
      <w:r w:rsidRPr="002C6BBC">
        <w:rPr>
          <w:rStyle w:val="hps"/>
          <w:color w:val="333333"/>
          <w:sz w:val="22"/>
          <w:szCs w:val="22"/>
          <w:lang w:val="el-GR"/>
        </w:rPr>
        <w:t>μυοσφαιρινουρία</w:t>
      </w:r>
      <w:r w:rsidRPr="002C6BBC">
        <w:rPr>
          <w:color w:val="333333"/>
          <w:sz w:val="22"/>
          <w:szCs w:val="22"/>
          <w:lang w:val="el-GR"/>
        </w:rPr>
        <w:t xml:space="preserve"> </w:t>
      </w:r>
      <w:r w:rsidRPr="002C6BBC">
        <w:rPr>
          <w:rStyle w:val="hpsatn"/>
          <w:color w:val="333333"/>
          <w:sz w:val="22"/>
          <w:szCs w:val="22"/>
          <w:lang w:val="el-GR"/>
        </w:rPr>
        <w:t>(</w:t>
      </w:r>
      <w:r w:rsidRPr="002C6BBC">
        <w:rPr>
          <w:color w:val="333333"/>
          <w:sz w:val="22"/>
          <w:szCs w:val="22"/>
          <w:lang w:val="el-GR"/>
        </w:rPr>
        <w:t xml:space="preserve">ραβδομυόλυση) </w:t>
      </w:r>
      <w:r w:rsidRPr="002C6BBC">
        <w:rPr>
          <w:rStyle w:val="hps"/>
          <w:color w:val="333333"/>
          <w:sz w:val="22"/>
          <w:szCs w:val="22"/>
          <w:lang w:val="el-GR"/>
        </w:rPr>
        <w:t>και</w:t>
      </w:r>
      <w:r w:rsidRPr="002C6BBC">
        <w:rPr>
          <w:color w:val="333333"/>
          <w:sz w:val="22"/>
          <w:szCs w:val="22"/>
          <w:lang w:val="el-GR"/>
        </w:rPr>
        <w:t xml:space="preserve"> </w:t>
      </w:r>
      <w:r w:rsidRPr="002C6BBC">
        <w:rPr>
          <w:rStyle w:val="hps"/>
          <w:color w:val="333333"/>
          <w:sz w:val="22"/>
          <w:szCs w:val="22"/>
          <w:lang w:val="el-GR"/>
        </w:rPr>
        <w:t>οξεία νεφρική ανεπάρκεια</w:t>
      </w:r>
      <w:r w:rsidRPr="002C6BBC">
        <w:rPr>
          <w:color w:val="333333"/>
          <w:sz w:val="22"/>
          <w:szCs w:val="22"/>
          <w:lang w:val="el-GR"/>
        </w:rPr>
        <w:t xml:space="preserve">. </w:t>
      </w:r>
      <w:r w:rsidRPr="002C6BBC">
        <w:rPr>
          <w:rStyle w:val="hps"/>
          <w:color w:val="333333"/>
          <w:sz w:val="22"/>
          <w:szCs w:val="22"/>
          <w:lang w:val="el-GR"/>
        </w:rPr>
        <w:t>Εάν κάποιος ασθενής εμφανίσει</w:t>
      </w:r>
      <w:r w:rsidRPr="002C6BBC">
        <w:rPr>
          <w:color w:val="333333"/>
          <w:sz w:val="22"/>
          <w:szCs w:val="22"/>
          <w:lang w:val="el-GR"/>
        </w:rPr>
        <w:t xml:space="preserve"> </w:t>
      </w:r>
      <w:r w:rsidRPr="002C6BBC">
        <w:rPr>
          <w:rStyle w:val="hps"/>
          <w:color w:val="333333"/>
          <w:sz w:val="22"/>
          <w:szCs w:val="22"/>
          <w:lang w:val="el-GR"/>
        </w:rPr>
        <w:t>σημεία και συμπτώματα ενδεικτικά</w:t>
      </w:r>
      <w:r w:rsidRPr="002C6BBC">
        <w:rPr>
          <w:color w:val="333333"/>
          <w:sz w:val="22"/>
          <w:szCs w:val="22"/>
          <w:lang w:val="el-GR"/>
        </w:rPr>
        <w:t xml:space="preserve"> </w:t>
      </w:r>
      <w:r w:rsidRPr="002C6BBC">
        <w:rPr>
          <w:rStyle w:val="hps"/>
          <w:color w:val="333333"/>
          <w:sz w:val="22"/>
          <w:szCs w:val="22"/>
          <w:lang w:val="el-GR"/>
        </w:rPr>
        <w:t>του</w:t>
      </w:r>
      <w:r w:rsidRPr="002C6BBC">
        <w:rPr>
          <w:color w:val="333333"/>
          <w:sz w:val="22"/>
          <w:szCs w:val="22"/>
          <w:lang w:val="el-GR"/>
        </w:rPr>
        <w:t xml:space="preserve"> </w:t>
      </w:r>
      <w:r w:rsidRPr="002C6BBC">
        <w:rPr>
          <w:rStyle w:val="hps"/>
          <w:color w:val="333333"/>
          <w:sz w:val="22"/>
          <w:szCs w:val="22"/>
          <w:lang w:val="en-US"/>
        </w:rPr>
        <w:t>NMS</w:t>
      </w:r>
      <w:r w:rsidRPr="002C6BBC">
        <w:rPr>
          <w:rStyle w:val="hps"/>
          <w:color w:val="333333"/>
          <w:sz w:val="22"/>
          <w:szCs w:val="22"/>
          <w:lang w:val="el-GR"/>
        </w:rPr>
        <w:t xml:space="preserve"> ή</w:t>
      </w:r>
      <w:r w:rsidRPr="002C6BBC">
        <w:rPr>
          <w:color w:val="333333"/>
          <w:sz w:val="22"/>
          <w:szCs w:val="22"/>
          <w:lang w:val="el-GR"/>
        </w:rPr>
        <w:t xml:space="preserve"> </w:t>
      </w:r>
      <w:r w:rsidRPr="002C6BBC">
        <w:rPr>
          <w:rStyle w:val="hps"/>
          <w:color w:val="333333"/>
          <w:sz w:val="22"/>
          <w:szCs w:val="22"/>
          <w:lang w:val="el-GR"/>
        </w:rPr>
        <w:t>ανεξήγητα υψηλό</w:t>
      </w:r>
      <w:r w:rsidRPr="002C6BBC">
        <w:rPr>
          <w:color w:val="333333"/>
          <w:sz w:val="22"/>
          <w:szCs w:val="22"/>
          <w:lang w:val="el-GR"/>
        </w:rPr>
        <w:t xml:space="preserve"> </w:t>
      </w:r>
      <w:r w:rsidRPr="002C6BBC">
        <w:rPr>
          <w:rStyle w:val="hps"/>
          <w:color w:val="333333"/>
          <w:sz w:val="22"/>
          <w:szCs w:val="22"/>
          <w:lang w:val="el-GR"/>
        </w:rPr>
        <w:t>πυρετό χωρίς άλλες επιπρόσθετες</w:t>
      </w:r>
      <w:r w:rsidRPr="002C6BBC">
        <w:rPr>
          <w:color w:val="333333"/>
          <w:sz w:val="22"/>
          <w:szCs w:val="22"/>
          <w:lang w:val="el-GR"/>
        </w:rPr>
        <w:t xml:space="preserve"> </w:t>
      </w:r>
      <w:r w:rsidRPr="002C6BBC">
        <w:rPr>
          <w:rStyle w:val="hps"/>
          <w:color w:val="333333"/>
          <w:sz w:val="22"/>
          <w:szCs w:val="22"/>
          <w:lang w:val="el-GR"/>
        </w:rPr>
        <w:t xml:space="preserve">κλινικές εκδηλώσεις του </w:t>
      </w:r>
      <w:r w:rsidRPr="002C6BBC">
        <w:rPr>
          <w:rStyle w:val="hps"/>
          <w:color w:val="333333"/>
          <w:sz w:val="22"/>
          <w:szCs w:val="22"/>
          <w:lang w:val="en-US"/>
        </w:rPr>
        <w:t>NMS</w:t>
      </w:r>
      <w:r w:rsidRPr="002C6BBC">
        <w:rPr>
          <w:color w:val="333333"/>
          <w:sz w:val="22"/>
          <w:szCs w:val="22"/>
          <w:lang w:val="el-GR"/>
        </w:rPr>
        <w:t xml:space="preserve">, η θεραπεία </w:t>
      </w:r>
      <w:r w:rsidRPr="002C6BBC">
        <w:rPr>
          <w:rStyle w:val="hps"/>
          <w:color w:val="333333"/>
          <w:sz w:val="22"/>
          <w:szCs w:val="22"/>
          <w:lang w:val="el-GR"/>
        </w:rPr>
        <w:t>θα πρέπει να διακόπτεται</w:t>
      </w:r>
      <w:r w:rsidRPr="002C6BBC">
        <w:rPr>
          <w:color w:val="333333"/>
          <w:sz w:val="22"/>
          <w:szCs w:val="22"/>
          <w:lang w:val="el-GR"/>
        </w:rPr>
        <w:t>.</w:t>
      </w:r>
    </w:p>
    <w:p w:rsidR="00BC7CD4" w:rsidRPr="002C6BBC" w:rsidRDefault="00BC7CD4" w:rsidP="00C612DC">
      <w:pPr>
        <w:pStyle w:val="MGGTextLeft"/>
        <w:jc w:val="both"/>
        <w:rPr>
          <w:i/>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Πνευμονικές Καταστάσεις:</w:t>
      </w:r>
    </w:p>
    <w:p w:rsidR="005D4757" w:rsidRPr="002C6BBC" w:rsidRDefault="005D4757" w:rsidP="00C612DC">
      <w:pPr>
        <w:pStyle w:val="MGGTextLeft"/>
        <w:jc w:val="both"/>
        <w:rPr>
          <w:sz w:val="22"/>
          <w:szCs w:val="22"/>
          <w:lang w:val="el-GR"/>
        </w:rPr>
      </w:pPr>
      <w:r w:rsidRPr="002C6BBC">
        <w:rPr>
          <w:sz w:val="22"/>
          <w:szCs w:val="22"/>
          <w:lang w:val="el-GR"/>
        </w:rPr>
        <w:t>Λόγω της χολινομιμητικής δράσης τους, οι αναστολείς της χολινεστεράσης πρέπει να συνταγογραφούνται με προσοχή σε ασθενείς με ιστορικό άσθματος ή αποφρακτικής πνευμονοπάθειας.</w:t>
      </w:r>
    </w:p>
    <w:p w:rsidR="005D4757" w:rsidRPr="002C6BBC" w:rsidRDefault="005D4757" w:rsidP="00C612DC">
      <w:pPr>
        <w:pStyle w:val="MGGTextLeft"/>
        <w:jc w:val="both"/>
        <w:rPr>
          <w:sz w:val="22"/>
          <w:szCs w:val="22"/>
          <w:lang w:val="el-GR"/>
        </w:rPr>
      </w:pPr>
      <w:r w:rsidRPr="002C6BBC">
        <w:rPr>
          <w:sz w:val="22"/>
          <w:szCs w:val="22"/>
          <w:lang w:val="el-GR"/>
        </w:rPr>
        <w:br/>
        <w:t>Η ταυτόχρονη χορήγηση της δονεπεζίλης με άλλους αναστολείς της ακετυλοχολινεστεράσης, αγωνιστές ή ανταγωνιστές του χολινεργικού συστήματος πρέπει να αποφεύγεται.</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 xml:space="preserve">Βαριάς μορφής Ηπατική </w:t>
      </w:r>
      <w:r w:rsidR="00BC7CD4" w:rsidRPr="002C6BBC">
        <w:rPr>
          <w:bCs/>
          <w:i/>
          <w:sz w:val="22"/>
          <w:szCs w:val="22"/>
          <w:lang w:val="el-GR"/>
        </w:rPr>
        <w:t>Δυσλειτουργία</w:t>
      </w:r>
      <w:r w:rsidRPr="002C6BBC">
        <w:rPr>
          <w:bCs/>
          <w:i/>
          <w:sz w:val="22"/>
          <w:szCs w:val="22"/>
          <w:lang w:val="el-GR"/>
        </w:rPr>
        <w:t>:</w:t>
      </w:r>
    </w:p>
    <w:p w:rsidR="005D4757" w:rsidRPr="002C6BBC" w:rsidRDefault="005D4757" w:rsidP="00C612DC">
      <w:pPr>
        <w:pStyle w:val="MGGTextLeft"/>
        <w:jc w:val="both"/>
        <w:rPr>
          <w:sz w:val="22"/>
          <w:szCs w:val="22"/>
          <w:lang w:val="el-GR"/>
        </w:rPr>
      </w:pPr>
      <w:r w:rsidRPr="002C6BBC">
        <w:rPr>
          <w:sz w:val="22"/>
          <w:szCs w:val="22"/>
          <w:lang w:val="el-GR"/>
        </w:rPr>
        <w:t xml:space="preserve">Δεν υπάρχουν στοιχεία για ασθενείς με βαριάς μορφής ηπατική </w:t>
      </w:r>
      <w:r w:rsidR="00BC7CD4" w:rsidRPr="002C6BBC">
        <w:rPr>
          <w:sz w:val="22"/>
          <w:szCs w:val="22"/>
          <w:lang w:val="el-GR"/>
        </w:rPr>
        <w:t>δυσλειτουργία</w:t>
      </w:r>
      <w:r w:rsidRPr="002C6BBC">
        <w:rPr>
          <w:sz w:val="22"/>
          <w:szCs w:val="22"/>
          <w:lang w:val="el-GR"/>
        </w:rPr>
        <w:t>.</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i/>
          <w:sz w:val="22"/>
          <w:szCs w:val="22"/>
          <w:lang w:val="el-GR"/>
        </w:rPr>
      </w:pPr>
      <w:r w:rsidRPr="002C6BBC">
        <w:rPr>
          <w:i/>
          <w:sz w:val="22"/>
          <w:szCs w:val="22"/>
          <w:lang w:val="el-GR"/>
        </w:rPr>
        <w:t>Θνησιμότητα κατά τις Κλινικές Μελέτες Αγγειακής Άνοιας:</w:t>
      </w:r>
    </w:p>
    <w:p w:rsidR="005D4757" w:rsidRPr="002C6BBC" w:rsidRDefault="005D4757" w:rsidP="00C612DC">
      <w:pPr>
        <w:pStyle w:val="2"/>
        <w:spacing w:after="0" w:line="240" w:lineRule="auto"/>
        <w:jc w:val="both"/>
        <w:rPr>
          <w:bCs/>
          <w:iCs/>
          <w:szCs w:val="22"/>
        </w:rPr>
      </w:pPr>
      <w:r w:rsidRPr="002C6BBC">
        <w:rPr>
          <w:bCs/>
          <w:iCs/>
          <w:szCs w:val="22"/>
        </w:rPr>
        <w:t xml:space="preserve">Πραγματοποιήθηκαν τρεις κλινικές μελέτες χρονικής διάρκειας 6 μηνών κατά τις οποίες μελετήθηκαν άτομα που πληρούσαν τα κριτήρια NINDS-AIREN για την πιθανή ή δυνητική αγγειακή άνοια. Τα κριτήρια NINDS-AIREN σχεδιάστηκαν προκειμένου να καταστεί δυνατή η ταυτοποίηση των ασθενών στους οποίους η άνοια δείχνει να οφείλεται αποκλειστικά σε αγγειακά αίτια και να αποκλειστούν οι ασθενείς με νόσο Alzheimer. Κατά την πρώτη μελέτη, τα ποσοστά της θνησιμότητας ήταν 2/198 (1,0%) στους ασθενείς που έλαβαν υδροχλωρική δονεπεζίλη στη δόση των 5 mg, 5/206 (2,4%) στους ασθενείς που έλαβαν υδροχλωρική δονεπεζίλη στη δόση των 10 mg και 7/199 (3,5%) στους ασθενείς που έλαβαν το εικονικό φάρμακο (placebo). Κατά την δεύτερη μελέτη, τα ποσοστά της θνησιμότητας ήταν 4/208 (1,9%) στους ασθενείς που έλαβαν υδροχλωρική δονεπεζίλη στη δόση των 5 mg, 3/215 (1,4%) στους ασθενείς που έλαβαν υδροχλωρική δονεπεζίλη στη δόση των 10 mg και 1/193 (0,5%) στους ασθενείς που έλαβαν το εικονικό φάρμακο (placebo). Κατά την τρίτη μελέτη, τα ποσοστά της θνησιμότητας ήταν 11/648 (1,7%) στους ασθενείς που έλαβαν υδροχλωρική δονεπεζίλη στη δόση των 5 mg και 0/326 (0%) στους ασθενείς που έλαβαν το εικονικό φάρμακο. Το ποσοστό θνησιμότητας στις τρεις κλινικές μελέτες αγγειακής άνοιας συνδυαστικά στην ομάδα των ασθενών που έλαβαν την υδροχλωρική δονεπεζίλη (1,7%) ήταν </w:t>
      </w:r>
      <w:r w:rsidRPr="002C6BBC">
        <w:rPr>
          <w:bCs/>
          <w:iCs/>
          <w:szCs w:val="22"/>
        </w:rPr>
        <w:lastRenderedPageBreak/>
        <w:t xml:space="preserve">αριθμητικά μεγαλύτερο από το αντίστοιχο ποσοστό στην ομάδα των ασθενών που έλαβαν το εικονικό φάρμακο (1,1%), ωστόσο, η διαφορά αυτή δεν ήταν στατιστικώς σημαντική. Η πλειονότητα των περιστατικών θανάτου που σημειώθηκε σε ασθενείς που έλαβαν είτε υδροχλωρική δονεπεζίλη, είτε το εικονικό φάρμακο (placebo) δείχνει να είναι αποτέλεσμα διαφόρων αιτίων που σχετίζονται με τα αγγεία, γεγονός που είναι αναμενόμενο για το συγκεκριμένο πληθυσμό ηλικιωμένων ασθενών με υποκείμενη αγγειακή νόσο. Η ανάλυση όλων των σοβαρών μη θανατηφόρων και θανατηφόρων αγγειακών επεισοδίων δεν κατέδειξε κάποια διαφορά στη συχνότητα εμφάνισης στην ομάδα των ασθενών που έλαβαν υδροχλωρική δονεπεζίλη συγκριτικά με την ομάδα των ασθενών που έλαβαν το εικονικό φάρμακο (placebo). </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xml:space="preserve">Κατά την επεξεργασία των αποτελεσμάτων μελετών που πραγματοποιήθηκαν σε ασθενείς με νόσο </w:t>
      </w:r>
      <w:r w:rsidRPr="002C6BBC">
        <w:rPr>
          <w:sz w:val="22"/>
          <w:szCs w:val="22"/>
          <w:lang w:val="en-US"/>
        </w:rPr>
        <w:t>Alzheimer</w:t>
      </w:r>
      <w:r w:rsidRPr="002C6BBC">
        <w:rPr>
          <w:sz w:val="22"/>
          <w:szCs w:val="22"/>
          <w:lang w:val="el-GR"/>
        </w:rPr>
        <w:t xml:space="preserve"> (</w:t>
      </w:r>
      <w:r w:rsidRPr="002C6BBC">
        <w:rPr>
          <w:sz w:val="22"/>
          <w:szCs w:val="22"/>
          <w:lang w:val="en-US"/>
        </w:rPr>
        <w:t>n</w:t>
      </w:r>
      <w:r w:rsidRPr="002C6BBC">
        <w:rPr>
          <w:sz w:val="22"/>
          <w:szCs w:val="22"/>
          <w:lang w:val="el-GR"/>
        </w:rPr>
        <w:t xml:space="preserve">=4146), και όταν τα αποτελέσματα αυτών των μελετών αντιπαραβλήθηκαν με άλλες μελέτες άνοιας συμπεριλαμβανομένων μελετών αγγειακής άνοιας (συνολικό </w:t>
      </w:r>
      <w:r w:rsidRPr="002C6BBC">
        <w:rPr>
          <w:sz w:val="22"/>
          <w:szCs w:val="22"/>
          <w:lang w:val="en-US"/>
        </w:rPr>
        <w:t>n</w:t>
      </w:r>
      <w:r w:rsidRPr="002C6BBC">
        <w:rPr>
          <w:sz w:val="22"/>
          <w:szCs w:val="22"/>
          <w:lang w:val="el-GR"/>
        </w:rPr>
        <w:t xml:space="preserve">=6888), το ποσοστό θνησιμότητας στις ομάδες των ασθενών που έλαβαν το εικονικό φάρμακο υπερέβαινε αριθμητικά εκείνο που σημειώθηκε στις ομάδες των ασθενών </w:t>
      </w:r>
      <w:r w:rsidRPr="002C6BBC">
        <w:rPr>
          <w:bCs/>
          <w:iCs/>
          <w:sz w:val="22"/>
          <w:szCs w:val="22"/>
          <w:lang w:val="el-GR"/>
        </w:rPr>
        <w:t>που έλαβαν υδροχλωρική δονεπεζίλη</w:t>
      </w:r>
      <w:r w:rsidRPr="002C6BBC">
        <w:rPr>
          <w:sz w:val="22"/>
          <w:szCs w:val="22"/>
          <w:lang w:val="el-GR"/>
        </w:rPr>
        <w:t>.</w:t>
      </w:r>
    </w:p>
    <w:p w:rsidR="005D4757" w:rsidRPr="002C6BBC" w:rsidRDefault="005D4757" w:rsidP="00C612DC">
      <w:pPr>
        <w:pStyle w:val="MGGTextLeft"/>
        <w:jc w:val="both"/>
        <w:rPr>
          <w:bCs/>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Λακτόζη και Γλυκόζη:</w:t>
      </w:r>
    </w:p>
    <w:p w:rsidR="005D4757" w:rsidRPr="002C6BBC" w:rsidRDefault="005D4757" w:rsidP="00C612DC">
      <w:pPr>
        <w:pStyle w:val="MGGTextLeft"/>
        <w:jc w:val="both"/>
        <w:rPr>
          <w:sz w:val="22"/>
          <w:szCs w:val="22"/>
          <w:lang w:val="el-GR"/>
        </w:rPr>
      </w:pPr>
      <w:r w:rsidRPr="002C6BBC">
        <w:rPr>
          <w:bCs/>
          <w:sz w:val="22"/>
          <w:szCs w:val="22"/>
          <w:lang w:val="el-GR"/>
        </w:rPr>
        <w:t xml:space="preserve">Τα επικαλυμμένα με λεπτό υμένιο δισκία </w:t>
      </w:r>
      <w:r w:rsidR="00850564" w:rsidRPr="002C6BBC">
        <w:rPr>
          <w:bCs/>
          <w:sz w:val="22"/>
          <w:szCs w:val="22"/>
        </w:rPr>
        <w:t>PEZALE</w:t>
      </w:r>
      <w:r w:rsidRPr="002C6BBC">
        <w:rPr>
          <w:bCs/>
          <w:sz w:val="22"/>
          <w:szCs w:val="22"/>
          <w:lang w:val="el-GR"/>
        </w:rPr>
        <w:t xml:space="preserve"> περιέχουν λακτόζη και άμυλο αραβοσίτου (πηγή γλυκόζης). </w:t>
      </w:r>
      <w:r w:rsidRPr="002C6BBC">
        <w:rPr>
          <w:sz w:val="22"/>
          <w:szCs w:val="22"/>
          <w:lang w:val="el-GR"/>
        </w:rPr>
        <w:t xml:space="preserve">Οι ασθενείς με σπάνια κληρονομικά προβλήματα δυσανεξίας στη γαλακτόζη, ανεπάρκειας </w:t>
      </w:r>
      <w:r w:rsidRPr="002C6BBC">
        <w:rPr>
          <w:sz w:val="22"/>
          <w:szCs w:val="22"/>
        </w:rPr>
        <w:t>Lapp</w:t>
      </w:r>
      <w:r w:rsidRPr="002C6BBC">
        <w:rPr>
          <w:sz w:val="22"/>
          <w:szCs w:val="22"/>
          <w:lang w:val="el-GR"/>
        </w:rPr>
        <w:t xml:space="preserve"> λακτάσης ή δυσαπορρόφησης γλυκόζης-γαλακτόζης, δε θα πρέπει να λαμβάνουν αυτό το φαρμακευτικό προϊόν. </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4.5</w:t>
      </w:r>
      <w:r w:rsidRPr="002C6BBC">
        <w:rPr>
          <w:b/>
          <w:szCs w:val="22"/>
        </w:rPr>
        <w:tab/>
        <w:t>Αλληλεπιδράσεις με άλλα φαρμακευτικά προϊόντα και άλλες μορφές αλληλεπίδρασης</w:t>
      </w:r>
    </w:p>
    <w:p w:rsidR="005D4757" w:rsidRPr="002C6BBC" w:rsidRDefault="005D4757" w:rsidP="00C612DC">
      <w:pPr>
        <w:jc w:val="both"/>
        <w:rPr>
          <w:szCs w:val="22"/>
        </w:rPr>
      </w:pPr>
    </w:p>
    <w:p w:rsidR="005D4757" w:rsidRPr="002C6BBC" w:rsidRDefault="005D4757" w:rsidP="00C612DC">
      <w:pPr>
        <w:pStyle w:val="MGGTextLeft"/>
        <w:jc w:val="both"/>
        <w:rPr>
          <w:sz w:val="22"/>
          <w:szCs w:val="22"/>
          <w:lang w:val="el-GR"/>
        </w:rPr>
      </w:pPr>
      <w:r w:rsidRPr="002C6BBC">
        <w:rPr>
          <w:sz w:val="22"/>
          <w:szCs w:val="22"/>
          <w:lang w:val="el-GR"/>
        </w:rPr>
        <w:t xml:space="preserve">Η υδροχλωρική δονεπεζίλη και/ή οι μεταβολίτες της δεν αναστέλλουν το μεταβολισμό της θεοφυλλίνης, της βαρφαρίνης, της σιμετιδίνης ή της διγοξίνης στον άνθρωπο. Ο μεταβολισμός της δονεπεζίλης δεν επηρεάζεται από την ταυτόχρονη χορήγηση διγοξίνης ή σιμετιδίνης. Οι </w:t>
      </w:r>
      <w:r w:rsidRPr="002C6BBC">
        <w:rPr>
          <w:i/>
          <w:iCs/>
          <w:sz w:val="22"/>
          <w:szCs w:val="22"/>
          <w:lang w:val="en-US"/>
        </w:rPr>
        <w:t>i</w:t>
      </w:r>
      <w:r w:rsidRPr="002C6BBC">
        <w:rPr>
          <w:i/>
          <w:iCs/>
          <w:sz w:val="22"/>
          <w:szCs w:val="22"/>
        </w:rPr>
        <w:t>n</w:t>
      </w:r>
      <w:r w:rsidRPr="002C6BBC">
        <w:rPr>
          <w:i/>
          <w:iCs/>
          <w:sz w:val="22"/>
          <w:szCs w:val="22"/>
          <w:lang w:val="el-GR"/>
        </w:rPr>
        <w:t xml:space="preserve"> </w:t>
      </w:r>
      <w:r w:rsidRPr="002C6BBC">
        <w:rPr>
          <w:i/>
          <w:iCs/>
          <w:sz w:val="22"/>
          <w:szCs w:val="22"/>
        </w:rPr>
        <w:t>vitro</w:t>
      </w:r>
      <w:r w:rsidRPr="002C6BBC">
        <w:rPr>
          <w:sz w:val="22"/>
          <w:szCs w:val="22"/>
          <w:lang w:val="el-GR"/>
        </w:rPr>
        <w:t xml:space="preserve"> μελέτες έχουν δείξει ότι στο μεταβολισμό της δονεπεζίλης εμπλέκονται τα ισοένζυμα 3</w:t>
      </w:r>
      <w:r w:rsidRPr="002C6BBC">
        <w:rPr>
          <w:sz w:val="22"/>
          <w:szCs w:val="22"/>
        </w:rPr>
        <w:t>A</w:t>
      </w:r>
      <w:r w:rsidRPr="002C6BBC">
        <w:rPr>
          <w:sz w:val="22"/>
          <w:szCs w:val="22"/>
          <w:lang w:val="el-GR"/>
        </w:rPr>
        <w:t xml:space="preserve">4 του κυτοχρώματος </w:t>
      </w:r>
      <w:r w:rsidRPr="002C6BBC">
        <w:rPr>
          <w:sz w:val="22"/>
          <w:szCs w:val="22"/>
        </w:rPr>
        <w:t>P</w:t>
      </w:r>
      <w:r w:rsidRPr="002C6BBC">
        <w:rPr>
          <w:sz w:val="22"/>
          <w:szCs w:val="22"/>
          <w:lang w:val="el-GR"/>
        </w:rPr>
        <w:t>450 και σε μικρότερο βαθμό τα ισοένζυμα 2</w:t>
      </w:r>
      <w:r w:rsidRPr="002C6BBC">
        <w:rPr>
          <w:sz w:val="22"/>
          <w:szCs w:val="22"/>
        </w:rPr>
        <w:t>D</w:t>
      </w:r>
      <w:r w:rsidRPr="002C6BBC">
        <w:rPr>
          <w:sz w:val="22"/>
          <w:szCs w:val="22"/>
          <w:lang w:val="el-GR"/>
        </w:rPr>
        <w:t xml:space="preserve">6. Μελέτες φαρμακευτικών αλληλεπιδράσεων που πραγματοποιήθηκαν </w:t>
      </w:r>
      <w:r w:rsidRPr="002C6BBC">
        <w:rPr>
          <w:i/>
          <w:iCs/>
          <w:sz w:val="22"/>
          <w:szCs w:val="22"/>
        </w:rPr>
        <w:t>in</w:t>
      </w:r>
      <w:r w:rsidRPr="002C6BBC">
        <w:rPr>
          <w:i/>
          <w:iCs/>
          <w:sz w:val="22"/>
          <w:szCs w:val="22"/>
          <w:lang w:val="el-GR"/>
        </w:rPr>
        <w:t xml:space="preserve"> </w:t>
      </w:r>
      <w:r w:rsidRPr="002C6BBC">
        <w:rPr>
          <w:i/>
          <w:iCs/>
          <w:sz w:val="22"/>
          <w:szCs w:val="22"/>
        </w:rPr>
        <w:t>vitro</w:t>
      </w:r>
      <w:r w:rsidRPr="002C6BBC">
        <w:rPr>
          <w:sz w:val="22"/>
          <w:szCs w:val="22"/>
          <w:lang w:val="el-GR"/>
        </w:rPr>
        <w:t xml:space="preserve"> δείχνουν ότι η κετοκοναζόλη και η κινιδίνη, αναστολείς των </w:t>
      </w:r>
      <w:r w:rsidRPr="002C6BBC">
        <w:rPr>
          <w:sz w:val="22"/>
          <w:szCs w:val="22"/>
        </w:rPr>
        <w:t>CYP</w:t>
      </w:r>
      <w:r w:rsidRPr="002C6BBC">
        <w:rPr>
          <w:sz w:val="22"/>
          <w:szCs w:val="22"/>
          <w:lang w:val="el-GR"/>
        </w:rPr>
        <w:t xml:space="preserve"> -3</w:t>
      </w:r>
      <w:r w:rsidRPr="002C6BBC">
        <w:rPr>
          <w:sz w:val="22"/>
          <w:szCs w:val="22"/>
        </w:rPr>
        <w:t>A</w:t>
      </w:r>
      <w:r w:rsidRPr="002C6BBC">
        <w:rPr>
          <w:sz w:val="22"/>
          <w:szCs w:val="22"/>
          <w:lang w:val="el-GR"/>
        </w:rPr>
        <w:t>4 και -2</w:t>
      </w:r>
      <w:r w:rsidRPr="002C6BBC">
        <w:rPr>
          <w:sz w:val="22"/>
          <w:szCs w:val="22"/>
        </w:rPr>
        <w:t>D</w:t>
      </w:r>
      <w:r w:rsidRPr="002C6BBC">
        <w:rPr>
          <w:sz w:val="22"/>
          <w:szCs w:val="22"/>
          <w:lang w:val="el-GR"/>
        </w:rPr>
        <w:t xml:space="preserve">6 αντίστοιχα, αναστέλλουν το μεταβολισμό της δονεπεζίλης. Επομένως, αυτοί και άλλοι αναστολείς του </w:t>
      </w:r>
      <w:r w:rsidRPr="002C6BBC">
        <w:rPr>
          <w:sz w:val="22"/>
          <w:szCs w:val="22"/>
        </w:rPr>
        <w:t>CYP</w:t>
      </w:r>
      <w:r w:rsidRPr="002C6BBC">
        <w:rPr>
          <w:sz w:val="22"/>
          <w:szCs w:val="22"/>
          <w:lang w:val="el-GR"/>
        </w:rPr>
        <w:t>3</w:t>
      </w:r>
      <w:r w:rsidRPr="002C6BBC">
        <w:rPr>
          <w:sz w:val="22"/>
          <w:szCs w:val="22"/>
        </w:rPr>
        <w:t>A</w:t>
      </w:r>
      <w:r w:rsidRPr="002C6BBC">
        <w:rPr>
          <w:sz w:val="22"/>
          <w:szCs w:val="22"/>
          <w:lang w:val="el-GR"/>
        </w:rPr>
        <w:t xml:space="preserve">4, όπως η ιτρακοναζόλη και η ερυθρομυκίνη, καθώς και αναστολείς του </w:t>
      </w:r>
      <w:r w:rsidRPr="002C6BBC">
        <w:rPr>
          <w:sz w:val="22"/>
          <w:szCs w:val="22"/>
        </w:rPr>
        <w:t>CYP</w:t>
      </w:r>
      <w:r w:rsidRPr="002C6BBC">
        <w:rPr>
          <w:sz w:val="22"/>
          <w:szCs w:val="22"/>
          <w:lang w:val="el-GR"/>
        </w:rPr>
        <w:t>2</w:t>
      </w:r>
      <w:r w:rsidRPr="002C6BBC">
        <w:rPr>
          <w:sz w:val="22"/>
          <w:szCs w:val="22"/>
        </w:rPr>
        <w:t>D</w:t>
      </w:r>
      <w:r w:rsidRPr="002C6BBC">
        <w:rPr>
          <w:sz w:val="22"/>
          <w:szCs w:val="22"/>
          <w:lang w:val="el-GR"/>
        </w:rPr>
        <w:t>6, όπως η φλουοξετίνη</w:t>
      </w:r>
      <w:r w:rsidR="005A44A8" w:rsidRPr="002C6BBC">
        <w:rPr>
          <w:sz w:val="22"/>
          <w:szCs w:val="22"/>
          <w:lang w:val="el-GR"/>
        </w:rPr>
        <w:t>,</w:t>
      </w:r>
      <w:r w:rsidRPr="002C6BBC">
        <w:rPr>
          <w:sz w:val="22"/>
          <w:szCs w:val="22"/>
          <w:lang w:val="el-GR"/>
        </w:rPr>
        <w:t xml:space="preserve"> μπορούν να αναστείλουν το μεταβολισμό της δονεπεζίλης. Σε μία μελέτη με υγιείς εθελοντές, η κετοκοναζόλη αύξησε τη μέση συγκέντρωση της δονεπεζίλης περίπου κατά 30%. Επαγωγείς ενζύμων</w:t>
      </w:r>
      <w:r w:rsidR="005A44A8" w:rsidRPr="002C6BBC">
        <w:rPr>
          <w:sz w:val="22"/>
          <w:szCs w:val="22"/>
          <w:lang w:val="el-GR"/>
        </w:rPr>
        <w:t>,</w:t>
      </w:r>
      <w:r w:rsidRPr="002C6BBC">
        <w:rPr>
          <w:sz w:val="22"/>
          <w:szCs w:val="22"/>
          <w:lang w:val="el-GR"/>
        </w:rPr>
        <w:t xml:space="preserve"> όπως η ριφαμπικίνη, η φαινυτοΐνη, η καρβαμαζεπίνη και η αλκοόλη μπορεί να μειώσουν τα επίπεδα της δονεπεζίλης. Καθώς το μέγεθος ενός ενδεχόμενου ανασταλτικού ή επαγωγικού αποτελέσματος δεν είναι γνωστό, τέτοιοι συνδυασμοί φαρμάκων πρέπει να χρησιμοποιούνται με προσοχή. Η υδροχλωρική δονεπεζίλη μπορεί να αλληλεπιδράσει με φάρμακα που έχουν αντιχολινεργική δράση. Υπάρχει επίσης η πιθανότητα συνεργικής δράσης σε ταυτόχρονη θεραπεία που περιλαμβάνει φάρμακα, όπως σουκινυλοχολίνη, άλλους αποκλειστές της νευρομυικής σύναψης ή χολινεργικούς αγωνιστές ή β-</w:t>
      </w:r>
      <w:r w:rsidR="005A44A8" w:rsidRPr="002C6BBC">
        <w:rPr>
          <w:sz w:val="22"/>
          <w:szCs w:val="22"/>
          <w:lang w:val="el-GR"/>
        </w:rPr>
        <w:t>αποκλειστέ</w:t>
      </w:r>
      <w:r w:rsidR="00EE1C3D" w:rsidRPr="002C6BBC">
        <w:rPr>
          <w:sz w:val="22"/>
          <w:szCs w:val="22"/>
          <w:lang w:val="el-GR"/>
        </w:rPr>
        <w:t>ς</w:t>
      </w:r>
      <w:r w:rsidR="005A44A8" w:rsidRPr="002C6BBC">
        <w:rPr>
          <w:sz w:val="22"/>
          <w:szCs w:val="22"/>
          <w:lang w:val="el-GR"/>
        </w:rPr>
        <w:t>;</w:t>
      </w:r>
      <w:r w:rsidRPr="002C6BBC">
        <w:rPr>
          <w:sz w:val="22"/>
          <w:szCs w:val="22"/>
          <w:lang w:val="el-GR"/>
        </w:rPr>
        <w:t>, που έχουν επίδραση στην καρδιακή αγωγιμότητα.</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4.6</w:t>
      </w:r>
      <w:r w:rsidRPr="002C6BBC">
        <w:rPr>
          <w:b/>
          <w:szCs w:val="22"/>
        </w:rPr>
        <w:tab/>
      </w:r>
      <w:r w:rsidR="00F16388" w:rsidRPr="002C6BBC">
        <w:rPr>
          <w:b/>
          <w:szCs w:val="22"/>
        </w:rPr>
        <w:t>Γονιμότητα, κ</w:t>
      </w:r>
      <w:r w:rsidRPr="002C6BBC">
        <w:rPr>
          <w:b/>
          <w:szCs w:val="22"/>
        </w:rPr>
        <w:t>ύηση και γαλουχία</w:t>
      </w:r>
    </w:p>
    <w:p w:rsidR="005D4757" w:rsidRPr="002C6BBC" w:rsidRDefault="005D4757" w:rsidP="00C612DC">
      <w:pPr>
        <w:jc w:val="both"/>
        <w:rPr>
          <w:szCs w:val="22"/>
        </w:rPr>
      </w:pPr>
    </w:p>
    <w:p w:rsidR="005D4757" w:rsidRPr="002C6BBC" w:rsidRDefault="005D4757" w:rsidP="00C612DC">
      <w:pPr>
        <w:pStyle w:val="MGGTextLeft"/>
        <w:jc w:val="both"/>
        <w:rPr>
          <w:bCs/>
          <w:sz w:val="22"/>
          <w:szCs w:val="22"/>
          <w:u w:val="single"/>
          <w:lang w:val="el-GR"/>
        </w:rPr>
      </w:pPr>
      <w:r w:rsidRPr="002C6BBC">
        <w:rPr>
          <w:bCs/>
          <w:sz w:val="22"/>
          <w:szCs w:val="22"/>
          <w:u w:val="single"/>
          <w:lang w:val="el-GR"/>
        </w:rPr>
        <w:t>Κύηση:</w:t>
      </w:r>
    </w:p>
    <w:p w:rsidR="005A44A8" w:rsidRPr="002C6BBC" w:rsidRDefault="005D4757" w:rsidP="00C612DC">
      <w:pPr>
        <w:pStyle w:val="MGGTextLeft"/>
        <w:jc w:val="both"/>
        <w:rPr>
          <w:sz w:val="22"/>
          <w:szCs w:val="22"/>
          <w:lang w:val="el-GR"/>
        </w:rPr>
      </w:pPr>
      <w:r w:rsidRPr="002C6BBC">
        <w:rPr>
          <w:sz w:val="22"/>
          <w:szCs w:val="22"/>
          <w:lang w:val="el-GR"/>
        </w:rPr>
        <w:t xml:space="preserve">Δεν υπάρχουν επαρκή στοιχεία από τη χρήση της δονεπεζίλης σε έγκυες γυναίκες. </w:t>
      </w:r>
    </w:p>
    <w:p w:rsidR="005A44A8" w:rsidRPr="002C6BBC" w:rsidRDefault="005D4757" w:rsidP="00C612DC">
      <w:pPr>
        <w:pStyle w:val="MGGTextLeft"/>
        <w:jc w:val="both"/>
        <w:rPr>
          <w:sz w:val="22"/>
          <w:szCs w:val="22"/>
          <w:lang w:val="el-GR"/>
        </w:rPr>
      </w:pPr>
      <w:r w:rsidRPr="002C6BBC">
        <w:rPr>
          <w:sz w:val="22"/>
          <w:szCs w:val="22"/>
          <w:lang w:val="el-GR"/>
        </w:rPr>
        <w:t>Μελέτες σε ζώα δεν κατέδειξαν κάποια τερατογόνο δράση, έδειξαν όμως περι- και μεταγεννητική τοξικότητα (βλ</w:t>
      </w:r>
      <w:r w:rsidR="00EE1C3D" w:rsidRPr="002C6BBC">
        <w:rPr>
          <w:sz w:val="22"/>
          <w:szCs w:val="22"/>
          <w:lang w:val="el-GR"/>
        </w:rPr>
        <w:t>.</w:t>
      </w:r>
      <w:r w:rsidRPr="002C6BBC">
        <w:rPr>
          <w:sz w:val="22"/>
          <w:szCs w:val="22"/>
          <w:lang w:val="el-GR"/>
        </w:rPr>
        <w:t xml:space="preserve"> παράγραφο 5.3). Ο ενδεχόμενος κίνδυνος για τον άνθρωπο είναι άγνωστος. </w:t>
      </w:r>
    </w:p>
    <w:p w:rsidR="005D4757" w:rsidRPr="002C6BBC" w:rsidRDefault="005D4757" w:rsidP="00C612DC">
      <w:pPr>
        <w:pStyle w:val="MGGTextLeft"/>
        <w:jc w:val="both"/>
        <w:rPr>
          <w:sz w:val="22"/>
          <w:szCs w:val="22"/>
          <w:lang w:val="el-GR"/>
        </w:rPr>
      </w:pPr>
      <w:r w:rsidRPr="002C6BBC">
        <w:rPr>
          <w:sz w:val="22"/>
          <w:szCs w:val="22"/>
          <w:lang w:val="el-GR"/>
        </w:rPr>
        <w:lastRenderedPageBreak/>
        <w:t>Η δονεπεζίλη δεν θα πρέπει να χρησιμοποιείται κατά τη διάρκεια της κύησης εκτός εάν είναι σαφώς απαραίτητο.</w:t>
      </w:r>
    </w:p>
    <w:p w:rsidR="005D4757" w:rsidRPr="002C6BBC" w:rsidRDefault="005D4757" w:rsidP="00C612DC">
      <w:pPr>
        <w:pStyle w:val="MGGTextLeft"/>
        <w:jc w:val="both"/>
        <w:rPr>
          <w:sz w:val="22"/>
          <w:szCs w:val="22"/>
          <w:lang w:val="el-GR"/>
        </w:rPr>
      </w:pPr>
    </w:p>
    <w:p w:rsidR="005D4757" w:rsidRPr="002C6BBC" w:rsidRDefault="00E268D3" w:rsidP="00C612DC">
      <w:pPr>
        <w:pStyle w:val="MGGTextLeft"/>
        <w:jc w:val="both"/>
        <w:rPr>
          <w:bCs/>
          <w:sz w:val="22"/>
          <w:szCs w:val="22"/>
          <w:u w:val="single"/>
          <w:lang w:val="el-GR"/>
        </w:rPr>
      </w:pPr>
      <w:r w:rsidRPr="002C6BBC">
        <w:rPr>
          <w:bCs/>
          <w:sz w:val="22"/>
          <w:szCs w:val="22"/>
          <w:u w:val="single"/>
          <w:lang w:val="el-GR"/>
        </w:rPr>
        <w:t>Θηλασμός:</w:t>
      </w:r>
    </w:p>
    <w:p w:rsidR="005D4757" w:rsidRPr="002C6BBC" w:rsidRDefault="005D4757" w:rsidP="00C612DC">
      <w:pPr>
        <w:pStyle w:val="MGGTextLeft"/>
        <w:jc w:val="both"/>
        <w:rPr>
          <w:sz w:val="22"/>
          <w:szCs w:val="22"/>
          <w:lang w:val="el-GR"/>
        </w:rPr>
      </w:pPr>
      <w:r w:rsidRPr="002C6BBC">
        <w:rPr>
          <w:sz w:val="22"/>
          <w:szCs w:val="22"/>
          <w:lang w:val="el-GR"/>
        </w:rPr>
        <w:t>Η δονεπεζίλη απεκκρίνεται στο γάλα των αρουραίων. Δεν είναι γνωστό εάν η υδροχλωρική δονεπεζίλη απεκκρίνεται στο ανθρώπινο γάλα και δεν υπάρχουν μελέτες σε θηλάζουσες μητέρες. Κατά συνέπεια, οι γυναίκες που λαμβάνουν δονεπεζίλη δε θα πρέπει να θηλάζουν.</w:t>
      </w:r>
    </w:p>
    <w:p w:rsidR="00816969" w:rsidRPr="002C6BBC" w:rsidRDefault="00816969" w:rsidP="00C612DC">
      <w:pPr>
        <w:pStyle w:val="MGGTextLeft"/>
        <w:jc w:val="both"/>
        <w:rPr>
          <w:bCs/>
          <w:sz w:val="22"/>
          <w:szCs w:val="22"/>
          <w:u w:val="single"/>
          <w:lang w:val="el-GR"/>
        </w:rPr>
      </w:pPr>
    </w:p>
    <w:p w:rsidR="00816969" w:rsidRPr="002C6BBC" w:rsidRDefault="00816969" w:rsidP="00C612DC">
      <w:pPr>
        <w:pStyle w:val="MGGTextLeft"/>
        <w:jc w:val="both"/>
        <w:rPr>
          <w:bCs/>
          <w:sz w:val="22"/>
          <w:szCs w:val="22"/>
          <w:u w:val="single"/>
          <w:lang w:val="el-GR"/>
        </w:rPr>
      </w:pPr>
      <w:r w:rsidRPr="002C6BBC">
        <w:rPr>
          <w:bCs/>
          <w:sz w:val="22"/>
          <w:szCs w:val="22"/>
          <w:u w:val="single"/>
          <w:lang w:val="el-GR"/>
        </w:rPr>
        <w:t>Γονιμότητα:</w:t>
      </w:r>
    </w:p>
    <w:p w:rsidR="00816969" w:rsidRPr="002C6BBC" w:rsidRDefault="00816969" w:rsidP="00C612DC">
      <w:pPr>
        <w:pStyle w:val="MGGTextLeft"/>
        <w:jc w:val="both"/>
        <w:rPr>
          <w:bCs/>
          <w:sz w:val="22"/>
          <w:szCs w:val="22"/>
          <w:lang w:val="el-GR"/>
        </w:rPr>
      </w:pPr>
      <w:r w:rsidRPr="002C6BBC">
        <w:rPr>
          <w:bCs/>
          <w:sz w:val="22"/>
          <w:szCs w:val="22"/>
          <w:lang w:val="el-GR"/>
        </w:rPr>
        <w:t xml:space="preserve">Στις μελέτες που πραγματοποιήθηκαν σε ζώα, δεν παρατηρήθηκαν επιδράσεις στη γονιμότητα (βλ. παράγραφο 5.3). Ωστόσο, δεν υπάρχουν επαρκή δεδομένα για τις επιδράσεις στην ανθρώπινη γονιμότητα. </w:t>
      </w:r>
    </w:p>
    <w:p w:rsidR="00816969" w:rsidRPr="002C6BBC" w:rsidRDefault="00816969" w:rsidP="00C612DC">
      <w:pPr>
        <w:jc w:val="both"/>
        <w:rPr>
          <w:szCs w:val="22"/>
          <w:lang w:val="en-US"/>
        </w:rPr>
      </w:pPr>
    </w:p>
    <w:p w:rsidR="005D4757" w:rsidRPr="002C6BBC" w:rsidRDefault="005D4757" w:rsidP="00C612DC">
      <w:pPr>
        <w:jc w:val="both"/>
        <w:rPr>
          <w:szCs w:val="22"/>
        </w:rPr>
      </w:pPr>
      <w:r w:rsidRPr="002C6BBC">
        <w:rPr>
          <w:b/>
          <w:szCs w:val="22"/>
        </w:rPr>
        <w:t>4.7</w:t>
      </w:r>
      <w:r w:rsidRPr="002C6BBC">
        <w:rPr>
          <w:b/>
          <w:szCs w:val="22"/>
        </w:rPr>
        <w:tab/>
        <w:t>Επιδράσεις στην ικανότητα οδήγησης και χειρισμού μηχανών</w:t>
      </w:r>
    </w:p>
    <w:p w:rsidR="005D4757" w:rsidRPr="002C6BBC" w:rsidRDefault="005D4757" w:rsidP="00C612DC">
      <w:pPr>
        <w:pStyle w:val="MGGTextLeft"/>
        <w:ind w:left="709" w:hanging="709"/>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Η δονεπεζίλη έχει μικρή ή μέτρια επίδραση στην ικανότητα οδήγησης και χειρισμού μηχανών. Η άνοια μπορεί να προκαλέσει μείωση της ικανότητας οδήγησης ή χειρισμού μηχανών. Επιπλέον, η δονεπεζίλη μπορεί να προκαλέσει κόπωση, ζάλη και επώδυνες μυικές συσπάσεις (μυικές κράμπες) κυρίως όταν ξεκινάει η θεραπεία ή αυξάνεται η δόση. Ο θεράπων ιατρός πρέπει να εκτιμά σε τακτά χρονικά διαστήματα την ικανότητα των ασθενών που λαμβάνουν δονεπεζίλη να συνεχίζουν την οδήγηση ή το χειρισμό πολύπλοκων μηχανημάτων.</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4.8</w:t>
      </w:r>
      <w:r w:rsidRPr="002C6BBC">
        <w:rPr>
          <w:b/>
          <w:szCs w:val="22"/>
        </w:rPr>
        <w:tab/>
        <w:t>Ανεπιθύμητες ενέργειες</w:t>
      </w:r>
    </w:p>
    <w:p w:rsidR="005D4757" w:rsidRPr="002C6BBC" w:rsidRDefault="005D4757" w:rsidP="00C612DC">
      <w:pPr>
        <w:jc w:val="both"/>
        <w:rPr>
          <w:color w:val="000000"/>
          <w:szCs w:val="22"/>
        </w:rPr>
      </w:pPr>
    </w:p>
    <w:p w:rsidR="005D4757" w:rsidRPr="002C6BBC" w:rsidRDefault="005D4757" w:rsidP="00C612DC">
      <w:pPr>
        <w:pStyle w:val="MGGTextLeft"/>
        <w:jc w:val="both"/>
        <w:rPr>
          <w:sz w:val="22"/>
          <w:szCs w:val="22"/>
          <w:lang w:val="el-GR"/>
        </w:rPr>
      </w:pPr>
      <w:r w:rsidRPr="002C6BBC">
        <w:rPr>
          <w:sz w:val="22"/>
          <w:szCs w:val="22"/>
          <w:lang w:val="el-GR"/>
        </w:rPr>
        <w:t>Οι πιο συχνές ανεπιθύμητες ενέργειες είναι διάρροια, μυικές κράμπες, κόπωση, ναυτία, έμετος, κεφαλαλγία και αϋπνία.</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Οι ανεπιθύμητες ενέργειες που αναφέρθηκαν ως περισσότερες από μία μεμονωμένη περίπτωση, κατατάσσονται παρακάτω ανά οργανικό σύστημα και ανά συχνότητα εμφάνισης.</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xml:space="preserve">Οι συχνότητες ορίζονται ως: </w:t>
      </w:r>
    </w:p>
    <w:p w:rsidR="005D4757" w:rsidRPr="002C6BBC" w:rsidRDefault="005D4757" w:rsidP="00C612DC">
      <w:pPr>
        <w:pStyle w:val="MGGTextLeft"/>
        <w:jc w:val="both"/>
        <w:rPr>
          <w:sz w:val="22"/>
          <w:szCs w:val="22"/>
          <w:lang w:val="el-GR"/>
        </w:rPr>
      </w:pPr>
      <w:r w:rsidRPr="002C6BBC">
        <w:rPr>
          <w:sz w:val="22"/>
          <w:szCs w:val="22"/>
          <w:lang w:val="el-GR"/>
        </w:rPr>
        <w:t>Πολύ συχνές (≥ 1/10)</w:t>
      </w:r>
    </w:p>
    <w:p w:rsidR="005D4757" w:rsidRPr="002C6BBC" w:rsidRDefault="005D4757" w:rsidP="00C612DC">
      <w:pPr>
        <w:pStyle w:val="MGGTextLeft"/>
        <w:jc w:val="both"/>
        <w:rPr>
          <w:sz w:val="22"/>
          <w:szCs w:val="22"/>
          <w:lang w:val="el-GR"/>
        </w:rPr>
      </w:pPr>
      <w:r w:rsidRPr="002C6BBC">
        <w:rPr>
          <w:sz w:val="22"/>
          <w:szCs w:val="22"/>
          <w:lang w:val="el-GR"/>
        </w:rPr>
        <w:t>Συχνές (≥ 1/100 έως &lt; 1/10)</w:t>
      </w:r>
    </w:p>
    <w:p w:rsidR="005D4757" w:rsidRPr="002C6BBC" w:rsidRDefault="005D4757" w:rsidP="00C612DC">
      <w:pPr>
        <w:pStyle w:val="MGGTextLeft"/>
        <w:jc w:val="both"/>
        <w:rPr>
          <w:sz w:val="22"/>
          <w:szCs w:val="22"/>
          <w:lang w:val="el-GR"/>
        </w:rPr>
      </w:pPr>
      <w:r w:rsidRPr="002C6BBC">
        <w:rPr>
          <w:sz w:val="22"/>
          <w:szCs w:val="22"/>
          <w:lang w:val="el-GR"/>
        </w:rPr>
        <w:t>Όχι συχνές (≥ 1/1000 έως &lt; 1/100)</w:t>
      </w:r>
    </w:p>
    <w:p w:rsidR="005D4757" w:rsidRPr="002C6BBC" w:rsidRDefault="005D4757" w:rsidP="00C612DC">
      <w:pPr>
        <w:pStyle w:val="MGGTextLeft"/>
        <w:jc w:val="both"/>
        <w:rPr>
          <w:sz w:val="22"/>
          <w:szCs w:val="22"/>
          <w:lang w:val="el-GR"/>
        </w:rPr>
      </w:pPr>
      <w:r w:rsidRPr="002C6BBC">
        <w:rPr>
          <w:sz w:val="22"/>
          <w:szCs w:val="22"/>
          <w:lang w:val="el-GR"/>
        </w:rPr>
        <w:t>Σπάνιες (≥ 1/10000 έως &lt; 1/1000)</w:t>
      </w:r>
    </w:p>
    <w:p w:rsidR="005D4757" w:rsidRPr="002C6BBC" w:rsidRDefault="005D4757" w:rsidP="00C612DC">
      <w:pPr>
        <w:pStyle w:val="MGGTextLeft"/>
        <w:jc w:val="both"/>
        <w:rPr>
          <w:sz w:val="22"/>
          <w:szCs w:val="22"/>
          <w:lang w:val="el-GR"/>
        </w:rPr>
      </w:pPr>
      <w:r w:rsidRPr="002C6BBC">
        <w:rPr>
          <w:sz w:val="22"/>
          <w:szCs w:val="22"/>
          <w:lang w:val="el-GR"/>
        </w:rPr>
        <w:t>Πολύ σπάνιες (&lt; 1/10000), μη γνωστές (δεν μπορούν να εκτιμηθούν από τα διαθέσιμα δεδομένα).</w:t>
      </w:r>
    </w:p>
    <w:p w:rsidR="005D4757" w:rsidRPr="002C6BBC" w:rsidRDefault="005D4757">
      <w:pPr>
        <w:pStyle w:val="MGGTextLeft"/>
        <w:rPr>
          <w:sz w:val="22"/>
          <w:szCs w:val="22"/>
          <w:lang w:val="el-G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800"/>
        <w:gridCol w:w="1440"/>
        <w:gridCol w:w="1800"/>
        <w:gridCol w:w="1800"/>
      </w:tblGrid>
      <w:tr w:rsidR="00851207" w:rsidRPr="002C6BBC" w:rsidTr="00851207">
        <w:tc>
          <w:tcPr>
            <w:tcW w:w="1620" w:type="dxa"/>
          </w:tcPr>
          <w:p w:rsidR="00851207" w:rsidRPr="002C6BBC" w:rsidRDefault="00851207">
            <w:pPr>
              <w:pStyle w:val="MGGTextLeft"/>
              <w:rPr>
                <w:b/>
                <w:bCs/>
                <w:sz w:val="22"/>
                <w:szCs w:val="22"/>
                <w:lang w:val="el-GR"/>
              </w:rPr>
            </w:pPr>
            <w:r w:rsidRPr="002C6BBC">
              <w:rPr>
                <w:b/>
                <w:sz w:val="22"/>
                <w:szCs w:val="22"/>
                <w:lang w:val="el-GR"/>
              </w:rPr>
              <w:t>Κατηγορία οργανικού συστήματος</w:t>
            </w:r>
          </w:p>
        </w:tc>
        <w:tc>
          <w:tcPr>
            <w:tcW w:w="1260" w:type="dxa"/>
          </w:tcPr>
          <w:p w:rsidR="00851207" w:rsidRPr="002C6BBC" w:rsidRDefault="00851207">
            <w:pPr>
              <w:pStyle w:val="MGGTextLeft"/>
              <w:rPr>
                <w:b/>
                <w:bCs/>
                <w:sz w:val="22"/>
                <w:szCs w:val="22"/>
                <w:lang w:val="el-GR"/>
              </w:rPr>
            </w:pPr>
            <w:r w:rsidRPr="002C6BBC">
              <w:rPr>
                <w:b/>
                <w:bCs/>
                <w:sz w:val="22"/>
                <w:szCs w:val="22"/>
                <w:lang w:val="el-GR"/>
              </w:rPr>
              <w:t>Πολύ Συχνές</w:t>
            </w:r>
          </w:p>
        </w:tc>
        <w:tc>
          <w:tcPr>
            <w:tcW w:w="1800" w:type="dxa"/>
          </w:tcPr>
          <w:p w:rsidR="00851207" w:rsidRPr="002C6BBC" w:rsidRDefault="00851207">
            <w:pPr>
              <w:pStyle w:val="MGGTextLeft"/>
              <w:rPr>
                <w:b/>
                <w:bCs/>
                <w:sz w:val="22"/>
                <w:szCs w:val="22"/>
                <w:lang w:val="el-GR"/>
              </w:rPr>
            </w:pPr>
            <w:r w:rsidRPr="002C6BBC">
              <w:rPr>
                <w:b/>
                <w:bCs/>
                <w:sz w:val="22"/>
                <w:szCs w:val="22"/>
                <w:lang w:val="el-GR"/>
              </w:rPr>
              <w:t>Συχνές</w:t>
            </w:r>
          </w:p>
        </w:tc>
        <w:tc>
          <w:tcPr>
            <w:tcW w:w="1440" w:type="dxa"/>
          </w:tcPr>
          <w:p w:rsidR="00851207" w:rsidRPr="002C6BBC" w:rsidRDefault="00851207">
            <w:pPr>
              <w:pStyle w:val="MGGTextLeft"/>
              <w:rPr>
                <w:b/>
                <w:bCs/>
                <w:sz w:val="22"/>
                <w:szCs w:val="22"/>
                <w:lang w:val="el-GR"/>
              </w:rPr>
            </w:pPr>
            <w:r w:rsidRPr="002C6BBC">
              <w:rPr>
                <w:b/>
                <w:bCs/>
                <w:sz w:val="22"/>
                <w:szCs w:val="22"/>
                <w:lang w:val="el-GR"/>
              </w:rPr>
              <w:t>Όχι συχνές</w:t>
            </w:r>
          </w:p>
        </w:tc>
        <w:tc>
          <w:tcPr>
            <w:tcW w:w="1800" w:type="dxa"/>
          </w:tcPr>
          <w:p w:rsidR="00851207" w:rsidRPr="002C6BBC" w:rsidRDefault="00851207">
            <w:pPr>
              <w:pStyle w:val="MGGTextLeft"/>
              <w:rPr>
                <w:b/>
                <w:bCs/>
                <w:sz w:val="22"/>
                <w:szCs w:val="22"/>
                <w:lang w:val="el-GR"/>
              </w:rPr>
            </w:pPr>
            <w:r w:rsidRPr="002C6BBC">
              <w:rPr>
                <w:b/>
                <w:bCs/>
                <w:sz w:val="22"/>
                <w:szCs w:val="22"/>
                <w:lang w:val="el-GR"/>
              </w:rPr>
              <w:t>Σπάνιες</w:t>
            </w:r>
          </w:p>
        </w:tc>
        <w:tc>
          <w:tcPr>
            <w:tcW w:w="1800" w:type="dxa"/>
          </w:tcPr>
          <w:p w:rsidR="00851207" w:rsidRPr="002C6BBC" w:rsidRDefault="00851207">
            <w:pPr>
              <w:pStyle w:val="MGGTextLeft"/>
              <w:rPr>
                <w:b/>
                <w:bCs/>
                <w:sz w:val="22"/>
                <w:szCs w:val="22"/>
                <w:lang w:val="el-GR"/>
              </w:rPr>
            </w:pPr>
            <w:r w:rsidRPr="002C6BBC">
              <w:rPr>
                <w:b/>
                <w:bCs/>
                <w:sz w:val="22"/>
                <w:szCs w:val="22"/>
                <w:lang w:val="el-GR"/>
              </w:rPr>
              <w:t>Πολύ σπάνιες</w:t>
            </w:r>
          </w:p>
        </w:tc>
      </w:tr>
      <w:tr w:rsidR="00851207" w:rsidRPr="002C6BBC" w:rsidTr="00851207">
        <w:tc>
          <w:tcPr>
            <w:tcW w:w="1620" w:type="dxa"/>
          </w:tcPr>
          <w:p w:rsidR="00851207" w:rsidRPr="002C6BBC" w:rsidRDefault="00851207">
            <w:pPr>
              <w:pStyle w:val="MGGTextLeft"/>
              <w:rPr>
                <w:sz w:val="22"/>
                <w:szCs w:val="22"/>
                <w:lang w:val="el-GR"/>
              </w:rPr>
            </w:pPr>
            <w:r w:rsidRPr="002C6BBC">
              <w:rPr>
                <w:sz w:val="22"/>
                <w:szCs w:val="22"/>
                <w:lang w:val="el-GR"/>
              </w:rPr>
              <w:t>Λοιμώξεις και παρασιτώσεις</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Κοινό κρυολόγημα</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pStyle w:val="MGGTextLeft"/>
              <w:rPr>
                <w:sz w:val="22"/>
                <w:szCs w:val="22"/>
                <w:lang w:val="el-GR"/>
              </w:rPr>
            </w:pPr>
            <w:r w:rsidRPr="002C6BBC">
              <w:rPr>
                <w:noProof/>
                <w:sz w:val="22"/>
                <w:szCs w:val="22"/>
                <w:lang w:val="el-GR"/>
              </w:rPr>
              <w:t>Διαταραχές του μεταβολισμού και της θρέψης</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Ανορεξία</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pStyle w:val="MGGTextLeft"/>
              <w:rPr>
                <w:sz w:val="22"/>
                <w:szCs w:val="22"/>
                <w:lang w:val="el-GR"/>
              </w:rPr>
            </w:pPr>
            <w:r w:rsidRPr="002C6BBC">
              <w:rPr>
                <w:noProof/>
                <w:sz w:val="22"/>
                <w:szCs w:val="22"/>
                <w:lang w:val="el-GR"/>
              </w:rPr>
              <w:t>Ψυχιατρικές</w:t>
            </w:r>
            <w:r w:rsidRPr="002C6BBC">
              <w:rPr>
                <w:noProof/>
                <w:sz w:val="22"/>
                <w:szCs w:val="22"/>
                <w:lang w:val="pt-PT"/>
              </w:rPr>
              <w:t xml:space="preserve"> </w:t>
            </w:r>
            <w:r w:rsidRPr="002C6BBC">
              <w:rPr>
                <w:noProof/>
                <w:sz w:val="22"/>
                <w:szCs w:val="22"/>
                <w:lang w:val="el-GR"/>
              </w:rPr>
              <w:t>διαταραχές</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Ψευδαισθήσεις**</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Διέγερση **</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Επιθετική συμπεριφορά**</w:t>
            </w:r>
          </w:p>
          <w:p w:rsidR="00E268D3" w:rsidRPr="002C6BBC" w:rsidRDefault="00E268D3">
            <w:pPr>
              <w:pStyle w:val="MGGTextLeft"/>
              <w:rPr>
                <w:sz w:val="22"/>
                <w:szCs w:val="22"/>
                <w:lang w:val="el-GR"/>
              </w:rPr>
            </w:pPr>
          </w:p>
          <w:p w:rsidR="00E268D3" w:rsidRPr="002C6BBC" w:rsidRDefault="00E268D3" w:rsidP="00A50414">
            <w:pPr>
              <w:pStyle w:val="MGGTextLeft"/>
              <w:rPr>
                <w:sz w:val="22"/>
                <w:szCs w:val="22"/>
                <w:lang w:val="el-GR"/>
              </w:rPr>
            </w:pPr>
            <w:r w:rsidRPr="002C6BBC">
              <w:rPr>
                <w:sz w:val="22"/>
                <w:szCs w:val="22"/>
                <w:lang w:val="el-GR"/>
              </w:rPr>
              <w:lastRenderedPageBreak/>
              <w:t xml:space="preserve">Μη φυσιολογικά όνειρα και </w:t>
            </w:r>
            <w:r w:rsidR="00A50414" w:rsidRPr="002C6BBC">
              <w:rPr>
                <w:sz w:val="22"/>
                <w:szCs w:val="22"/>
                <w:lang w:val="el-GR"/>
              </w:rPr>
              <w:t>Ε</w:t>
            </w:r>
            <w:r w:rsidRPr="002C6BBC">
              <w:rPr>
                <w:sz w:val="22"/>
                <w:szCs w:val="22"/>
                <w:lang w:val="el-GR"/>
              </w:rPr>
              <w:t>φιάλτες**</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rPr>
                <w:bCs/>
                <w:spacing w:val="2"/>
                <w:szCs w:val="22"/>
              </w:rPr>
            </w:pPr>
            <w:r w:rsidRPr="002C6BBC">
              <w:rPr>
                <w:noProof/>
                <w:szCs w:val="22"/>
              </w:rPr>
              <w:lastRenderedPageBreak/>
              <w:t>Διαταραχές του νευρικού συστήματος</w:t>
            </w:r>
          </w:p>
          <w:p w:rsidR="00851207" w:rsidRPr="002C6BBC" w:rsidRDefault="00851207">
            <w:pPr>
              <w:pStyle w:val="MGGTextLeft"/>
              <w:rPr>
                <w:sz w:val="22"/>
                <w:szCs w:val="22"/>
                <w:lang w:val="el-GR"/>
              </w:rPr>
            </w:pP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Συγκοπή*</w:t>
            </w:r>
          </w:p>
          <w:p w:rsidR="00851207" w:rsidRPr="002C6BBC" w:rsidRDefault="00851207">
            <w:pPr>
              <w:pStyle w:val="MGGTextLeft"/>
              <w:rPr>
                <w:sz w:val="22"/>
                <w:szCs w:val="22"/>
                <w:lang w:val="el-GR"/>
              </w:rPr>
            </w:pPr>
            <w:r w:rsidRPr="002C6BBC">
              <w:rPr>
                <w:sz w:val="22"/>
                <w:szCs w:val="22"/>
                <w:lang w:val="el-GR"/>
              </w:rPr>
              <w:br/>
              <w:t>Ζάλη</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Αϋπνία</w:t>
            </w:r>
          </w:p>
        </w:tc>
        <w:tc>
          <w:tcPr>
            <w:tcW w:w="1440" w:type="dxa"/>
          </w:tcPr>
          <w:p w:rsidR="00851207" w:rsidRPr="002C6BBC" w:rsidRDefault="00851207">
            <w:pPr>
              <w:pStyle w:val="MGGTextLeft"/>
              <w:rPr>
                <w:sz w:val="22"/>
                <w:szCs w:val="22"/>
                <w:lang w:val="el-GR"/>
              </w:rPr>
            </w:pPr>
            <w:r w:rsidRPr="002C6BBC">
              <w:rPr>
                <w:sz w:val="22"/>
                <w:szCs w:val="22"/>
                <w:lang w:val="el-GR"/>
              </w:rPr>
              <w:t>Σπασμοί*</w:t>
            </w:r>
          </w:p>
        </w:tc>
        <w:tc>
          <w:tcPr>
            <w:tcW w:w="1800" w:type="dxa"/>
          </w:tcPr>
          <w:p w:rsidR="00851207" w:rsidRPr="002C6BBC" w:rsidRDefault="00851207">
            <w:pPr>
              <w:pStyle w:val="MGGTextLeft"/>
              <w:rPr>
                <w:sz w:val="22"/>
                <w:szCs w:val="22"/>
                <w:lang w:val="el-GR"/>
              </w:rPr>
            </w:pPr>
            <w:r w:rsidRPr="002C6BBC">
              <w:rPr>
                <w:sz w:val="22"/>
                <w:szCs w:val="22"/>
                <w:lang w:val="el-GR"/>
              </w:rPr>
              <w:t>Εξωπυραμιδικά συμπτώματα</w:t>
            </w:r>
          </w:p>
        </w:tc>
        <w:tc>
          <w:tcPr>
            <w:tcW w:w="1800" w:type="dxa"/>
          </w:tcPr>
          <w:p w:rsidR="00851207" w:rsidRPr="002C6BBC" w:rsidRDefault="005A44A8">
            <w:pPr>
              <w:pStyle w:val="MGGTextLeft"/>
              <w:rPr>
                <w:sz w:val="22"/>
                <w:szCs w:val="22"/>
                <w:lang w:val="el-GR"/>
              </w:rPr>
            </w:pPr>
            <w:r w:rsidRPr="002C6BBC">
              <w:rPr>
                <w:rStyle w:val="hps"/>
                <w:color w:val="333333"/>
                <w:sz w:val="22"/>
                <w:szCs w:val="22"/>
                <w:lang w:val="el-GR"/>
              </w:rPr>
              <w:t>Νευρολη</w:t>
            </w:r>
            <w:r w:rsidR="00851207" w:rsidRPr="002C6BBC">
              <w:rPr>
                <w:rStyle w:val="hps"/>
                <w:color w:val="333333"/>
                <w:sz w:val="22"/>
                <w:szCs w:val="22"/>
                <w:lang w:val="el-GR"/>
              </w:rPr>
              <w:t>πτικό</w:t>
            </w:r>
            <w:r w:rsidR="00851207" w:rsidRPr="002C6BBC">
              <w:rPr>
                <w:color w:val="333333"/>
                <w:sz w:val="22"/>
                <w:szCs w:val="22"/>
                <w:lang w:val="el-GR"/>
              </w:rPr>
              <w:t xml:space="preserve"> </w:t>
            </w:r>
            <w:r w:rsidR="00851207" w:rsidRPr="002C6BBC">
              <w:rPr>
                <w:rStyle w:val="hps"/>
                <w:color w:val="333333"/>
                <w:sz w:val="22"/>
                <w:szCs w:val="22"/>
                <w:lang w:val="el-GR"/>
              </w:rPr>
              <w:t>Κακόηθες Σύνδρομο</w:t>
            </w:r>
          </w:p>
        </w:tc>
      </w:tr>
      <w:tr w:rsidR="00851207" w:rsidRPr="002C6BBC" w:rsidTr="00851207">
        <w:tc>
          <w:tcPr>
            <w:tcW w:w="1620" w:type="dxa"/>
          </w:tcPr>
          <w:p w:rsidR="00851207" w:rsidRPr="002C6BBC" w:rsidRDefault="00851207">
            <w:pPr>
              <w:pStyle w:val="MGGTextLeft"/>
              <w:rPr>
                <w:sz w:val="22"/>
                <w:szCs w:val="22"/>
                <w:lang w:val="el-GR"/>
              </w:rPr>
            </w:pPr>
            <w:r w:rsidRPr="002C6BBC">
              <w:rPr>
                <w:noProof/>
                <w:sz w:val="22"/>
                <w:szCs w:val="22"/>
                <w:lang w:val="el-GR"/>
              </w:rPr>
              <w:t>Καρδιακές</w:t>
            </w:r>
            <w:r w:rsidRPr="002C6BBC">
              <w:rPr>
                <w:noProof/>
                <w:sz w:val="22"/>
                <w:szCs w:val="22"/>
                <w:lang w:val="es-ES"/>
              </w:rPr>
              <w:t xml:space="preserve"> </w:t>
            </w:r>
            <w:r w:rsidRPr="002C6BBC">
              <w:rPr>
                <w:noProof/>
                <w:sz w:val="22"/>
                <w:szCs w:val="22"/>
                <w:lang w:val="el-GR"/>
              </w:rPr>
              <w:t>διαταραχές</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440" w:type="dxa"/>
          </w:tcPr>
          <w:p w:rsidR="00851207" w:rsidRPr="002C6BBC" w:rsidRDefault="00851207">
            <w:pPr>
              <w:pStyle w:val="MGGTextLeft"/>
              <w:rPr>
                <w:sz w:val="22"/>
                <w:szCs w:val="22"/>
                <w:lang w:val="el-GR"/>
              </w:rPr>
            </w:pPr>
            <w:r w:rsidRPr="002C6BBC">
              <w:rPr>
                <w:sz w:val="22"/>
                <w:szCs w:val="22"/>
                <w:lang w:val="el-GR"/>
              </w:rPr>
              <w:t>Βραδυκαρδία</w:t>
            </w:r>
          </w:p>
        </w:tc>
        <w:tc>
          <w:tcPr>
            <w:tcW w:w="1800" w:type="dxa"/>
          </w:tcPr>
          <w:p w:rsidR="00851207" w:rsidRPr="002C6BBC" w:rsidRDefault="00851207">
            <w:pPr>
              <w:pStyle w:val="MGGTextLeft"/>
              <w:rPr>
                <w:sz w:val="22"/>
                <w:szCs w:val="22"/>
                <w:lang w:val="el-GR"/>
              </w:rPr>
            </w:pPr>
            <w:r w:rsidRPr="002C6BBC">
              <w:rPr>
                <w:sz w:val="22"/>
                <w:szCs w:val="22"/>
                <w:lang w:val="el-GR"/>
              </w:rPr>
              <w:t>Φλεβοκομβοκολπι-κός αποκλεισμός</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Κολποκοιλιακός αποκλεισμός</w:t>
            </w: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rPr>
                <w:bCs/>
                <w:spacing w:val="2"/>
                <w:szCs w:val="22"/>
              </w:rPr>
            </w:pPr>
            <w:r w:rsidRPr="002C6BBC">
              <w:rPr>
                <w:noProof/>
                <w:szCs w:val="22"/>
              </w:rPr>
              <w:t>Διαταραχές του γαστρεντερικού συστήματος</w:t>
            </w:r>
          </w:p>
          <w:p w:rsidR="00851207" w:rsidRPr="002C6BBC" w:rsidRDefault="00851207">
            <w:pPr>
              <w:pStyle w:val="MGGTextLeft"/>
              <w:rPr>
                <w:sz w:val="22"/>
                <w:szCs w:val="22"/>
                <w:lang w:val="el-GR"/>
              </w:rPr>
            </w:pPr>
          </w:p>
        </w:tc>
        <w:tc>
          <w:tcPr>
            <w:tcW w:w="1260" w:type="dxa"/>
          </w:tcPr>
          <w:p w:rsidR="00851207" w:rsidRPr="002C6BBC" w:rsidRDefault="00851207">
            <w:pPr>
              <w:pStyle w:val="MGGTextLeft"/>
              <w:rPr>
                <w:sz w:val="22"/>
                <w:szCs w:val="22"/>
                <w:lang w:val="el-GR"/>
              </w:rPr>
            </w:pPr>
            <w:r w:rsidRPr="002C6BBC">
              <w:rPr>
                <w:sz w:val="22"/>
                <w:szCs w:val="22"/>
                <w:lang w:val="el-GR"/>
              </w:rPr>
              <w:t>Διάρροια</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rPr>
              <w:t>N</w:t>
            </w:r>
            <w:r w:rsidRPr="002C6BBC">
              <w:rPr>
                <w:sz w:val="22"/>
                <w:szCs w:val="22"/>
                <w:lang w:val="el-GR"/>
              </w:rPr>
              <w:t>αυτία</w:t>
            </w:r>
          </w:p>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Έμετος</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Κοιλιακές διαταραχές</w:t>
            </w:r>
          </w:p>
        </w:tc>
        <w:tc>
          <w:tcPr>
            <w:tcW w:w="1440" w:type="dxa"/>
          </w:tcPr>
          <w:p w:rsidR="00851207" w:rsidRPr="002C6BBC" w:rsidRDefault="00851207">
            <w:pPr>
              <w:pStyle w:val="MGGTextLeft"/>
              <w:rPr>
                <w:sz w:val="22"/>
                <w:szCs w:val="22"/>
                <w:lang w:val="el-GR"/>
              </w:rPr>
            </w:pPr>
            <w:r w:rsidRPr="002C6BBC">
              <w:rPr>
                <w:sz w:val="22"/>
                <w:szCs w:val="22"/>
                <w:lang w:val="el-GR"/>
              </w:rPr>
              <w:t>Γαστρεντερική αιμορραγία</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Γαστρικά και δωδεκαδακτυ</w:t>
            </w:r>
            <w:r w:rsidR="005A44A8" w:rsidRPr="002C6BBC">
              <w:rPr>
                <w:sz w:val="22"/>
                <w:szCs w:val="22"/>
                <w:lang w:val="el-GR"/>
              </w:rPr>
              <w:t>-</w:t>
            </w:r>
            <w:r w:rsidRPr="002C6BBC">
              <w:rPr>
                <w:sz w:val="22"/>
                <w:szCs w:val="22"/>
                <w:lang w:val="el-GR"/>
              </w:rPr>
              <w:t>λικά έλκη</w:t>
            </w: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rPr>
                <w:bCs/>
                <w:spacing w:val="2"/>
                <w:szCs w:val="22"/>
              </w:rPr>
            </w:pPr>
            <w:r w:rsidRPr="002C6BBC">
              <w:rPr>
                <w:noProof/>
                <w:szCs w:val="22"/>
              </w:rPr>
              <w:t>Διαταραχές του ήπατος και των χοληφόρων</w:t>
            </w:r>
          </w:p>
          <w:p w:rsidR="00851207" w:rsidRPr="002C6BBC" w:rsidRDefault="00851207">
            <w:pPr>
              <w:pStyle w:val="MGGTextLeft"/>
              <w:rPr>
                <w:sz w:val="22"/>
                <w:szCs w:val="22"/>
                <w:lang w:val="el-GR"/>
              </w:rPr>
            </w:pP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Ηπατική δυσλειτουργία συμπεριλαμβανο</w:t>
            </w:r>
            <w:r w:rsidR="005A44A8" w:rsidRPr="002C6BBC">
              <w:rPr>
                <w:sz w:val="22"/>
                <w:szCs w:val="22"/>
                <w:lang w:val="el-GR"/>
              </w:rPr>
              <w:t>-</w:t>
            </w:r>
            <w:r w:rsidRPr="002C6BBC">
              <w:rPr>
                <w:sz w:val="22"/>
                <w:szCs w:val="22"/>
                <w:lang w:val="el-GR"/>
              </w:rPr>
              <w:t>μένης ηπατίτιδας***</w:t>
            </w: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rPr>
                <w:bCs/>
                <w:spacing w:val="2"/>
                <w:szCs w:val="22"/>
              </w:rPr>
            </w:pPr>
            <w:r w:rsidRPr="002C6BBC">
              <w:rPr>
                <w:noProof/>
                <w:szCs w:val="22"/>
              </w:rPr>
              <w:t>Διαταραχές του δέρματος και του υποδόριου ιστού</w:t>
            </w:r>
          </w:p>
          <w:p w:rsidR="00851207" w:rsidRPr="002C6BBC" w:rsidRDefault="00851207">
            <w:pPr>
              <w:pStyle w:val="MGGTextLeft"/>
              <w:rPr>
                <w:sz w:val="22"/>
                <w:szCs w:val="22"/>
                <w:lang w:val="el-GR"/>
              </w:rPr>
            </w:pP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Εξάνθημα</w:t>
            </w:r>
          </w:p>
          <w:p w:rsidR="00851207" w:rsidRPr="002C6BBC" w:rsidRDefault="00851207">
            <w:pPr>
              <w:pStyle w:val="MGGTextLeft"/>
              <w:rPr>
                <w:sz w:val="22"/>
                <w:szCs w:val="22"/>
                <w:lang w:val="el-GR"/>
              </w:rPr>
            </w:pPr>
            <w:r w:rsidRPr="002C6BBC">
              <w:rPr>
                <w:sz w:val="22"/>
                <w:szCs w:val="22"/>
                <w:lang w:val="el-GR"/>
              </w:rPr>
              <w:br/>
              <w:t>Κνησμός</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pStyle w:val="MGGTextLeft"/>
              <w:rPr>
                <w:sz w:val="22"/>
                <w:szCs w:val="22"/>
                <w:lang w:val="el-GR"/>
              </w:rPr>
            </w:pPr>
            <w:r w:rsidRPr="002C6BBC">
              <w:rPr>
                <w:noProof/>
                <w:sz w:val="22"/>
                <w:szCs w:val="22"/>
                <w:lang w:val="el-GR"/>
              </w:rPr>
              <w:t>Διαταραχές του μυοσκελετικού συστήματος και του συνδετικού ιστού</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Μυϊκές κράμπες</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7674CA" w:rsidP="007674CA">
            <w:pPr>
              <w:pStyle w:val="MGGTextLeft"/>
              <w:rPr>
                <w:sz w:val="22"/>
                <w:szCs w:val="22"/>
                <w:lang w:val="el-GR"/>
              </w:rPr>
            </w:pPr>
            <w:r w:rsidRPr="002C6BBC">
              <w:rPr>
                <w:sz w:val="22"/>
                <w:szCs w:val="22"/>
                <w:lang w:val="el-GR"/>
              </w:rPr>
              <w:t>Ραβδομυόλυση****</w:t>
            </w:r>
          </w:p>
        </w:tc>
      </w:tr>
      <w:tr w:rsidR="00851207" w:rsidRPr="002C6BBC" w:rsidTr="00851207">
        <w:tc>
          <w:tcPr>
            <w:tcW w:w="1620" w:type="dxa"/>
          </w:tcPr>
          <w:p w:rsidR="00851207" w:rsidRPr="002C6BBC" w:rsidRDefault="00851207">
            <w:pPr>
              <w:rPr>
                <w:bCs/>
                <w:spacing w:val="2"/>
                <w:szCs w:val="22"/>
              </w:rPr>
            </w:pPr>
            <w:r w:rsidRPr="002C6BBC">
              <w:rPr>
                <w:noProof/>
                <w:szCs w:val="22"/>
              </w:rPr>
              <w:t>Διαταραχές των νεφρών και των ουροφόρων οδών</w:t>
            </w:r>
          </w:p>
          <w:p w:rsidR="00851207" w:rsidRPr="002C6BBC" w:rsidRDefault="00851207">
            <w:pPr>
              <w:pStyle w:val="MGGTextLeft"/>
              <w:rPr>
                <w:sz w:val="22"/>
                <w:szCs w:val="22"/>
                <w:lang w:val="el-GR"/>
              </w:rPr>
            </w:pP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Ακράτεια ούρων</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rPr>
                <w:bCs/>
                <w:spacing w:val="2"/>
                <w:szCs w:val="22"/>
              </w:rPr>
            </w:pPr>
            <w:r w:rsidRPr="002C6BBC">
              <w:rPr>
                <w:noProof/>
                <w:szCs w:val="22"/>
              </w:rPr>
              <w:t>Γενικές διαταραχές και καταστάσεις της οδού χορήγησης</w:t>
            </w:r>
          </w:p>
          <w:p w:rsidR="00851207" w:rsidRPr="002C6BBC" w:rsidRDefault="00851207">
            <w:pPr>
              <w:pStyle w:val="MGGTextLeft"/>
              <w:rPr>
                <w:sz w:val="22"/>
                <w:szCs w:val="22"/>
                <w:lang w:val="el-GR"/>
              </w:rPr>
            </w:pPr>
          </w:p>
        </w:tc>
        <w:tc>
          <w:tcPr>
            <w:tcW w:w="1260" w:type="dxa"/>
          </w:tcPr>
          <w:p w:rsidR="00851207" w:rsidRPr="002C6BBC" w:rsidRDefault="00851207">
            <w:pPr>
              <w:pStyle w:val="MGGTextLeft"/>
              <w:rPr>
                <w:sz w:val="22"/>
                <w:szCs w:val="22"/>
                <w:lang w:val="el-GR"/>
              </w:rPr>
            </w:pPr>
            <w:r w:rsidRPr="002C6BBC">
              <w:rPr>
                <w:sz w:val="22"/>
                <w:szCs w:val="22"/>
                <w:lang w:val="el-GR"/>
              </w:rPr>
              <w:t>Κεφαλαλγία</w:t>
            </w:r>
          </w:p>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Κόπωση</w:t>
            </w:r>
          </w:p>
          <w:p w:rsidR="00851207" w:rsidRPr="002C6BBC" w:rsidRDefault="00851207">
            <w:pPr>
              <w:pStyle w:val="MGGTextLeft"/>
              <w:rPr>
                <w:sz w:val="22"/>
                <w:szCs w:val="22"/>
                <w:lang w:val="el-GR"/>
              </w:rPr>
            </w:pPr>
          </w:p>
          <w:p w:rsidR="00851207" w:rsidRPr="002C6BBC" w:rsidRDefault="00851207">
            <w:pPr>
              <w:pStyle w:val="MGGTextLeft"/>
              <w:rPr>
                <w:sz w:val="22"/>
                <w:szCs w:val="22"/>
                <w:lang w:val="el-GR"/>
              </w:rPr>
            </w:pPr>
            <w:r w:rsidRPr="002C6BBC">
              <w:rPr>
                <w:sz w:val="22"/>
                <w:szCs w:val="22"/>
                <w:lang w:val="el-GR"/>
              </w:rPr>
              <w:t>Άλγος</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pStyle w:val="MGGTextLeft"/>
              <w:rPr>
                <w:sz w:val="22"/>
                <w:szCs w:val="22"/>
                <w:lang w:val="el-GR"/>
              </w:rPr>
            </w:pPr>
            <w:r w:rsidRPr="002C6BBC">
              <w:rPr>
                <w:sz w:val="22"/>
                <w:szCs w:val="22"/>
                <w:lang w:val="el-GR"/>
              </w:rPr>
              <w:t>Παρακλινικές εξετάσεις</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440" w:type="dxa"/>
          </w:tcPr>
          <w:p w:rsidR="00851207" w:rsidRPr="002C6BBC" w:rsidRDefault="00851207">
            <w:pPr>
              <w:pStyle w:val="MGGTextLeft"/>
              <w:rPr>
                <w:sz w:val="22"/>
                <w:szCs w:val="22"/>
                <w:lang w:val="el-GR"/>
              </w:rPr>
            </w:pPr>
            <w:r w:rsidRPr="002C6BBC">
              <w:rPr>
                <w:sz w:val="22"/>
                <w:szCs w:val="22"/>
                <w:lang w:val="el-GR"/>
              </w:rPr>
              <w:t xml:space="preserve">Μικρή αύξηση της συγκέντρωσης στον ορό της φωσφορικής </w:t>
            </w:r>
            <w:r w:rsidRPr="002C6BBC">
              <w:rPr>
                <w:sz w:val="22"/>
                <w:szCs w:val="22"/>
                <w:lang w:val="el-GR"/>
              </w:rPr>
              <w:lastRenderedPageBreak/>
              <w:t>κινάσης της κρεατινίνης (</w:t>
            </w:r>
            <w:r w:rsidRPr="002C6BBC">
              <w:rPr>
                <w:sz w:val="22"/>
                <w:szCs w:val="22"/>
                <w:lang w:val="en-US"/>
              </w:rPr>
              <w:t>CPK</w:t>
            </w:r>
            <w:r w:rsidRPr="002C6BBC">
              <w:rPr>
                <w:sz w:val="22"/>
                <w:szCs w:val="22"/>
                <w:lang w:val="el-GR"/>
              </w:rPr>
              <w:t>)</w:t>
            </w: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r w:rsidR="00851207" w:rsidRPr="002C6BBC" w:rsidTr="00851207">
        <w:tc>
          <w:tcPr>
            <w:tcW w:w="1620" w:type="dxa"/>
          </w:tcPr>
          <w:p w:rsidR="00851207" w:rsidRPr="002C6BBC" w:rsidRDefault="00851207">
            <w:pPr>
              <w:pStyle w:val="MGGTextLeft"/>
              <w:rPr>
                <w:sz w:val="22"/>
                <w:szCs w:val="22"/>
                <w:lang w:val="el-GR"/>
              </w:rPr>
            </w:pPr>
            <w:r w:rsidRPr="002C6BBC">
              <w:rPr>
                <w:noProof/>
                <w:sz w:val="22"/>
                <w:szCs w:val="22"/>
                <w:lang w:val="el-GR"/>
              </w:rPr>
              <w:lastRenderedPageBreak/>
              <w:t>Κακώσεις και δηλητηριάσεις</w:t>
            </w:r>
          </w:p>
        </w:tc>
        <w:tc>
          <w:tcPr>
            <w:tcW w:w="126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r w:rsidRPr="002C6BBC">
              <w:rPr>
                <w:sz w:val="22"/>
                <w:szCs w:val="22"/>
                <w:lang w:val="el-GR"/>
              </w:rPr>
              <w:t>Ατύχημα</w:t>
            </w:r>
          </w:p>
        </w:tc>
        <w:tc>
          <w:tcPr>
            <w:tcW w:w="144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c>
          <w:tcPr>
            <w:tcW w:w="1800" w:type="dxa"/>
          </w:tcPr>
          <w:p w:rsidR="00851207" w:rsidRPr="002C6BBC" w:rsidRDefault="00851207">
            <w:pPr>
              <w:pStyle w:val="MGGTextLeft"/>
              <w:rPr>
                <w:sz w:val="22"/>
                <w:szCs w:val="22"/>
                <w:lang w:val="el-GR"/>
              </w:rPr>
            </w:pPr>
          </w:p>
        </w:tc>
      </w:tr>
    </w:tbl>
    <w:p w:rsidR="005D4757" w:rsidRPr="002C6BBC" w:rsidRDefault="005D4757">
      <w:pPr>
        <w:pStyle w:val="MGGTextLeft"/>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Σε περίπτωση διερεύνησης των ασθενών για συγκοπή ή σπασμούς, θα πρέπει να εξετάζεται η πιθανότητα καρδιακού αποκλεισμού ή παρατεταμένων φλεβοκομβικών παύσεων (βλέπε παράγραφο 4.4)</w:t>
      </w:r>
    </w:p>
    <w:p w:rsidR="005D4757" w:rsidRPr="002C6BBC" w:rsidRDefault="005D4757" w:rsidP="00C612DC">
      <w:pPr>
        <w:pStyle w:val="MGGTextLeft"/>
        <w:jc w:val="both"/>
        <w:rPr>
          <w:sz w:val="22"/>
          <w:szCs w:val="22"/>
          <w:lang w:val="el-GR"/>
        </w:rPr>
      </w:pPr>
      <w:r w:rsidRPr="002C6BBC">
        <w:rPr>
          <w:sz w:val="22"/>
          <w:szCs w:val="22"/>
          <w:lang w:val="el-GR"/>
        </w:rPr>
        <w:t xml:space="preserve">** Τα περιστατικά ψευδαισθήσεων, </w:t>
      </w:r>
      <w:r w:rsidR="00E268D3" w:rsidRPr="002C6BBC">
        <w:rPr>
          <w:sz w:val="22"/>
          <w:szCs w:val="22"/>
          <w:lang w:val="el-GR"/>
        </w:rPr>
        <w:t>μη φυσιολογικών ονείρων</w:t>
      </w:r>
      <w:r w:rsidR="00DE59F8" w:rsidRPr="002C6BBC">
        <w:rPr>
          <w:sz w:val="22"/>
          <w:szCs w:val="22"/>
          <w:lang w:val="el-GR"/>
        </w:rPr>
        <w:t xml:space="preserve"> και</w:t>
      </w:r>
      <w:r w:rsidR="00E268D3" w:rsidRPr="002C6BBC">
        <w:rPr>
          <w:sz w:val="22"/>
          <w:szCs w:val="22"/>
          <w:lang w:val="el-GR"/>
        </w:rPr>
        <w:t xml:space="preserve"> εφιαλτών, </w:t>
      </w:r>
      <w:r w:rsidRPr="002C6BBC">
        <w:rPr>
          <w:sz w:val="22"/>
          <w:szCs w:val="22"/>
          <w:lang w:val="el-GR"/>
        </w:rPr>
        <w:t>διέγερσης και επιθετικής συμπεριφοράς που αναφέρθηκαν, υποχώρησαν έπειτα από μείωση της δόσης ή διακοπή της θεραπευτικής αγωγής.</w:t>
      </w:r>
    </w:p>
    <w:p w:rsidR="005D4757" w:rsidRPr="002C6BBC" w:rsidRDefault="005D4757" w:rsidP="00C612DC">
      <w:pPr>
        <w:jc w:val="both"/>
        <w:rPr>
          <w:szCs w:val="22"/>
        </w:rPr>
      </w:pPr>
      <w:r w:rsidRPr="002C6BBC">
        <w:rPr>
          <w:szCs w:val="22"/>
        </w:rPr>
        <w:t>*** Σε περίπτωση που εμφανιστεί ηπατική δυσλειτουργία άγνωστης αιτιολογίας, θα πρέπει να εξεταστεί το ενδεχόμενο διακοπής της δονεπεζίλης.</w:t>
      </w:r>
    </w:p>
    <w:p w:rsidR="007674CA" w:rsidRPr="002C6BBC" w:rsidRDefault="007674CA" w:rsidP="00C612DC">
      <w:pPr>
        <w:jc w:val="both"/>
        <w:rPr>
          <w:szCs w:val="22"/>
        </w:rPr>
      </w:pPr>
      <w:r w:rsidRPr="002C6BBC">
        <w:rPr>
          <w:szCs w:val="22"/>
        </w:rPr>
        <w:t>**** Ραβδομυόλυση έχει αναφερθεί ότι συμβαίνει ανεξάρτητα από κακόηθες νευροληπτικό σύνδρομο και σε στενή χρονική συσχέτιση με την έναρξη ή αύξηση της δόσης της δονεπεζίλης.</w:t>
      </w:r>
    </w:p>
    <w:p w:rsidR="00E268D3" w:rsidRPr="002C6BBC" w:rsidRDefault="00E268D3" w:rsidP="00C612DC">
      <w:pPr>
        <w:jc w:val="both"/>
        <w:rPr>
          <w:szCs w:val="22"/>
          <w:u w:val="single"/>
        </w:rPr>
      </w:pPr>
    </w:p>
    <w:p w:rsidR="00E64641" w:rsidRPr="002C6BBC" w:rsidRDefault="00E64641" w:rsidP="00C612DC">
      <w:pPr>
        <w:pStyle w:val="Style9"/>
        <w:jc w:val="both"/>
        <w:rPr>
          <w:color w:val="000000"/>
          <w:sz w:val="22"/>
          <w:szCs w:val="22"/>
        </w:rPr>
      </w:pPr>
      <w:r w:rsidRPr="002C6BBC">
        <w:rPr>
          <w:color w:val="000000"/>
          <w:sz w:val="22"/>
          <w:szCs w:val="22"/>
        </w:rPr>
        <w:t>Αναφορά πιθανολογούμενων ανεπιθύμητων ενεργειών</w:t>
      </w:r>
    </w:p>
    <w:p w:rsidR="00E64641" w:rsidRPr="002C6BBC" w:rsidRDefault="00E64641" w:rsidP="00C612DC">
      <w:pPr>
        <w:autoSpaceDE w:val="0"/>
        <w:autoSpaceDN w:val="0"/>
        <w:adjustRightInd w:val="0"/>
        <w:jc w:val="both"/>
        <w:rPr>
          <w:szCs w:val="22"/>
        </w:rPr>
      </w:pPr>
      <w:r w:rsidRPr="002C6BBC">
        <w:rPr>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w:t>
      </w:r>
      <w:r w:rsidRPr="002C6BBC">
        <w:rPr>
          <w:rFonts w:eastAsia="Calibri"/>
          <w:noProof/>
          <w:szCs w:val="22"/>
          <w:lang w:eastAsia="zh-CN"/>
        </w:rPr>
        <w:t xml:space="preserve">Εθνικός Οργανισμός Φαρμάκων, Μεσογείων 284, GR-15562 Χολαργός, Αθήνα. Τηλ: + 30 </w:t>
      </w:r>
      <w:r w:rsidRPr="002C6BBC">
        <w:rPr>
          <w:rFonts w:eastAsia="Calibri"/>
          <w:szCs w:val="22"/>
          <w:lang w:eastAsia="zh-CN"/>
        </w:rPr>
        <w:t>21 32040380/337, Φαξ</w:t>
      </w:r>
      <w:r w:rsidRPr="002C6BBC">
        <w:rPr>
          <w:rFonts w:eastAsia="Calibri"/>
          <w:noProof/>
          <w:szCs w:val="22"/>
          <w:lang w:eastAsia="zh-CN"/>
        </w:rPr>
        <w:t xml:space="preserve">: + 30 </w:t>
      </w:r>
      <w:r w:rsidRPr="002C6BBC">
        <w:rPr>
          <w:rFonts w:eastAsia="Calibri"/>
          <w:szCs w:val="22"/>
          <w:lang w:eastAsia="zh-CN"/>
        </w:rPr>
        <w:t>21 06549585, Ιστότοπος</w:t>
      </w:r>
      <w:r w:rsidRPr="002C6BBC">
        <w:rPr>
          <w:rFonts w:eastAsia="Calibri"/>
          <w:noProof/>
          <w:szCs w:val="22"/>
          <w:lang w:eastAsia="zh-CN"/>
        </w:rPr>
        <w:t xml:space="preserve">: </w:t>
      </w:r>
      <w:hyperlink r:id="rId14" w:history="1">
        <w:r w:rsidRPr="002C6BBC">
          <w:rPr>
            <w:rFonts w:eastAsia="Calibri"/>
            <w:szCs w:val="22"/>
            <w:u w:val="single"/>
            <w:lang w:eastAsia="zh-CN"/>
          </w:rPr>
          <w:t>http://www.eof.gr</w:t>
        </w:r>
      </w:hyperlink>
    </w:p>
    <w:p w:rsidR="005D4757" w:rsidRPr="002C6BBC" w:rsidRDefault="005D4757" w:rsidP="00C612DC">
      <w:pPr>
        <w:jc w:val="both"/>
        <w:rPr>
          <w:color w:val="000000"/>
          <w:szCs w:val="22"/>
          <w:lang w:val="en-US"/>
        </w:rPr>
      </w:pPr>
    </w:p>
    <w:p w:rsidR="005D4757" w:rsidRPr="002C6BBC" w:rsidRDefault="005D4757" w:rsidP="00C612DC">
      <w:pPr>
        <w:ind w:left="720" w:hanging="720"/>
        <w:jc w:val="both"/>
        <w:rPr>
          <w:b/>
          <w:szCs w:val="22"/>
        </w:rPr>
      </w:pPr>
      <w:r w:rsidRPr="002C6BBC">
        <w:rPr>
          <w:b/>
          <w:szCs w:val="22"/>
        </w:rPr>
        <w:t>4.9</w:t>
      </w:r>
      <w:r w:rsidRPr="002C6BBC">
        <w:rPr>
          <w:b/>
          <w:szCs w:val="22"/>
        </w:rPr>
        <w:tab/>
        <w:t>Υπερδοσολογία</w:t>
      </w:r>
    </w:p>
    <w:p w:rsidR="005D4757" w:rsidRPr="002C6BBC" w:rsidRDefault="005D4757" w:rsidP="00C612DC">
      <w:pPr>
        <w:pStyle w:val="MGGTextLeft"/>
        <w:jc w:val="both"/>
        <w:rPr>
          <w:color w:val="000000"/>
          <w:sz w:val="22"/>
          <w:szCs w:val="22"/>
          <w:lang w:val="el-GR"/>
        </w:rPr>
      </w:pPr>
    </w:p>
    <w:p w:rsidR="005D4757" w:rsidRPr="002C6BBC" w:rsidRDefault="005D4757" w:rsidP="00C612DC">
      <w:pPr>
        <w:pStyle w:val="MGGTextLeft"/>
        <w:jc w:val="both"/>
        <w:rPr>
          <w:color w:val="000000"/>
          <w:sz w:val="22"/>
          <w:szCs w:val="22"/>
          <w:lang w:val="el-GR"/>
        </w:rPr>
      </w:pPr>
      <w:r w:rsidRPr="002C6BBC">
        <w:rPr>
          <w:color w:val="000000"/>
          <w:sz w:val="22"/>
          <w:szCs w:val="22"/>
          <w:lang w:val="el-GR"/>
        </w:rPr>
        <w:t xml:space="preserve">Η υπολογισθείσα </w:t>
      </w:r>
      <w:r w:rsidR="005A44A8" w:rsidRPr="002C6BBC">
        <w:rPr>
          <w:color w:val="000000"/>
          <w:sz w:val="22"/>
          <w:szCs w:val="22"/>
          <w:lang w:val="el-GR"/>
        </w:rPr>
        <w:t xml:space="preserve">διάμεσος </w:t>
      </w:r>
      <w:r w:rsidRPr="002C6BBC">
        <w:rPr>
          <w:color w:val="000000"/>
          <w:sz w:val="22"/>
          <w:szCs w:val="22"/>
          <w:lang w:val="el-GR"/>
        </w:rPr>
        <w:t xml:space="preserve">θανατηφόρος δόση της υδροχλωρικής δονεπεζίλης </w:t>
      </w:r>
      <w:r w:rsidRPr="002C6BBC">
        <w:rPr>
          <w:sz w:val="22"/>
          <w:szCs w:val="22"/>
          <w:lang w:val="el-GR"/>
        </w:rPr>
        <w:t>μετά από τη χορήγηση μίας μονήρους από του στόματος δόσης σε ποντικούς και αρουραίους είναι</w:t>
      </w:r>
      <w:r w:rsidRPr="002C6BBC">
        <w:rPr>
          <w:color w:val="000000"/>
          <w:sz w:val="22"/>
          <w:szCs w:val="22"/>
          <w:lang w:val="el-GR"/>
        </w:rPr>
        <w:t xml:space="preserve"> 45 και 32 </w:t>
      </w:r>
      <w:r w:rsidRPr="002C6BBC">
        <w:rPr>
          <w:color w:val="000000"/>
          <w:sz w:val="22"/>
          <w:szCs w:val="22"/>
        </w:rPr>
        <w:t>mg</w:t>
      </w:r>
      <w:r w:rsidRPr="002C6BBC">
        <w:rPr>
          <w:color w:val="000000"/>
          <w:sz w:val="22"/>
          <w:szCs w:val="22"/>
          <w:lang w:val="el-GR"/>
        </w:rPr>
        <w:t>/</w:t>
      </w:r>
      <w:r w:rsidRPr="002C6BBC">
        <w:rPr>
          <w:color w:val="000000"/>
          <w:sz w:val="22"/>
          <w:szCs w:val="22"/>
        </w:rPr>
        <w:t>kg</w:t>
      </w:r>
      <w:r w:rsidRPr="002C6BBC">
        <w:rPr>
          <w:color w:val="000000"/>
          <w:sz w:val="22"/>
          <w:szCs w:val="22"/>
          <w:lang w:val="el-GR"/>
        </w:rPr>
        <w:t xml:space="preserve">, αντίστοιχα, ή περίπου 225 και 160 φορές μεγαλύτερη της μέγιστης συνιστώμενης δόσης των 10 </w:t>
      </w:r>
      <w:r w:rsidRPr="002C6BBC">
        <w:rPr>
          <w:color w:val="000000"/>
          <w:sz w:val="22"/>
          <w:szCs w:val="22"/>
        </w:rPr>
        <w:t>mg</w:t>
      </w:r>
      <w:r w:rsidRPr="002C6BBC">
        <w:rPr>
          <w:color w:val="000000"/>
          <w:sz w:val="22"/>
          <w:szCs w:val="22"/>
          <w:lang w:val="el-GR"/>
        </w:rPr>
        <w:t xml:space="preserve"> ημερησίως στον άνθρωπο. </w:t>
      </w:r>
    </w:p>
    <w:p w:rsidR="005D4757" w:rsidRPr="002C6BBC" w:rsidRDefault="005D4757" w:rsidP="00C612DC">
      <w:pPr>
        <w:pStyle w:val="MGGTextLeft"/>
        <w:jc w:val="both"/>
        <w:rPr>
          <w:color w:val="000000"/>
          <w:sz w:val="22"/>
          <w:szCs w:val="22"/>
          <w:lang w:val="el-GR"/>
        </w:rPr>
      </w:pPr>
    </w:p>
    <w:p w:rsidR="005D4757" w:rsidRPr="002C6BBC" w:rsidRDefault="005D4757" w:rsidP="00C612DC">
      <w:pPr>
        <w:pStyle w:val="MGGTextLeft"/>
        <w:jc w:val="both"/>
        <w:rPr>
          <w:color w:val="000000"/>
          <w:sz w:val="22"/>
          <w:szCs w:val="22"/>
          <w:u w:val="single"/>
          <w:lang w:val="el-GR"/>
        </w:rPr>
      </w:pPr>
      <w:r w:rsidRPr="002C6BBC">
        <w:rPr>
          <w:color w:val="000000"/>
          <w:sz w:val="22"/>
          <w:szCs w:val="22"/>
          <w:u w:val="single"/>
          <w:lang w:val="el-GR"/>
        </w:rPr>
        <w:t>Συμπτώματα:</w:t>
      </w:r>
    </w:p>
    <w:p w:rsidR="005D4757" w:rsidRPr="002C6BBC" w:rsidRDefault="005D4757" w:rsidP="00C612DC">
      <w:pPr>
        <w:pStyle w:val="MGGTextLeft"/>
        <w:jc w:val="both"/>
        <w:rPr>
          <w:color w:val="000000"/>
          <w:sz w:val="22"/>
          <w:szCs w:val="22"/>
          <w:lang w:val="el-GR"/>
        </w:rPr>
      </w:pPr>
      <w:r w:rsidRPr="002C6BBC">
        <w:rPr>
          <w:color w:val="000000"/>
          <w:sz w:val="22"/>
          <w:szCs w:val="22"/>
          <w:lang w:val="el-GR"/>
        </w:rPr>
        <w:t>Σημεία χολινεργικής διέγερσης, δοσοεξαρτώμενα, παρατηρήθηκαν σε ζώα και περιλαμβάνουν μειωμένη αυτόματη κινητικότητα, πρηνή θέση, ασταθή βηματισμό, δακρύρροια, κλονικούς σπασμούς, καταστολή της αναπνευστικής λειτουργίας, σιελόρροια, μύση, μυϊκές δεσμιδώσεις, μείωση επιφανειακής θερμοκρασίας του κατώτερου μέρους του σώματος.</w:t>
      </w:r>
    </w:p>
    <w:p w:rsidR="005D4757" w:rsidRPr="002C6BBC" w:rsidRDefault="005D4757" w:rsidP="00C612DC">
      <w:pPr>
        <w:pStyle w:val="MGGTextLeft"/>
        <w:jc w:val="both"/>
        <w:rPr>
          <w:sz w:val="22"/>
          <w:szCs w:val="22"/>
          <w:lang w:val="el-GR"/>
        </w:rPr>
      </w:pPr>
      <w:r w:rsidRPr="002C6BBC">
        <w:rPr>
          <w:sz w:val="22"/>
          <w:szCs w:val="22"/>
          <w:lang w:val="el-GR"/>
        </w:rPr>
        <w:t>Η υπερδοσολογία με αναστολείς της χολινεστεράσης μπορεί να οδηγήσει σε χολινεργική κρίση, που χαρακτηρίζεται από σοβαρή ναυτία, έμετο, σιελόρροια, εφίδρωση, βραδυκαρδία, υπόταση, αναπνευστική καταστολή, κατέρρειψη και σπασμούς. Είναι πιθανή η αυξημένη μυϊκή αδυναμία και η τελευταία μπορεί να οδηγήσει σε θάνατο εάν προσβληθούν οι αναπνευστικοί μύες.</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u w:val="single"/>
          <w:lang w:val="el-GR"/>
        </w:rPr>
      </w:pPr>
      <w:r w:rsidRPr="002C6BBC">
        <w:rPr>
          <w:sz w:val="22"/>
          <w:szCs w:val="22"/>
          <w:u w:val="single"/>
          <w:lang w:val="el-GR"/>
        </w:rPr>
        <w:t>Αντιμετώπιση:</w:t>
      </w:r>
    </w:p>
    <w:p w:rsidR="005D4757" w:rsidRPr="002C6BBC" w:rsidRDefault="005D4757" w:rsidP="00C612DC">
      <w:pPr>
        <w:pStyle w:val="MGGTextLeft"/>
        <w:jc w:val="both"/>
        <w:rPr>
          <w:sz w:val="22"/>
          <w:szCs w:val="22"/>
          <w:lang w:val="el-GR"/>
        </w:rPr>
      </w:pPr>
      <w:r w:rsidRPr="002C6BBC">
        <w:rPr>
          <w:sz w:val="22"/>
          <w:szCs w:val="22"/>
          <w:lang w:val="el-GR"/>
        </w:rPr>
        <w:t xml:space="preserve">Όπως σε όλες τις περιπτώσεις υπερδοσολογίας, πρέπει να εφαρμοστούν γενικά μέτρα υποστήριξης. Τριτοταγή αντιχολινεργικά, όπως η ατροπίνη μπορούν να χρησιμοποιηθούν ως αντίδοτα σε περίπτωση υπερδοσολογίας με δονεπεζίλη. Συνιστάται η ενδοφλέβια χορήγηση θειικής ατροπίνης με τιτλοποίηση της δόσης μέχρι να επιτευχθεί το επιθυμητό αποτέλεσμα: μία αρχική δόση των 1,0 έως 2,0 </w:t>
      </w:r>
      <w:r w:rsidRPr="002C6BBC">
        <w:rPr>
          <w:sz w:val="22"/>
          <w:szCs w:val="22"/>
        </w:rPr>
        <w:t>mg</w:t>
      </w:r>
      <w:r w:rsidRPr="002C6BBC">
        <w:rPr>
          <w:sz w:val="22"/>
          <w:szCs w:val="22"/>
          <w:lang w:val="el-GR"/>
        </w:rPr>
        <w:t xml:space="preserve"> ενδοφλέβια και στη συνέχεια χορηγούνται δόσεις που βασίζονται στην κλινική ανταπόκριση. Άτυπες ανταποκρίσεις στην πίεση του αίματος και στην καρδιακή συχνότητα έχουν αναφερθεί με άλλα χολινομιμητικά φάρμακα όταν </w:t>
      </w:r>
      <w:r w:rsidRPr="002C6BBC">
        <w:rPr>
          <w:sz w:val="22"/>
          <w:szCs w:val="22"/>
          <w:lang w:val="el-GR"/>
        </w:rPr>
        <w:lastRenderedPageBreak/>
        <w:t xml:space="preserve">χορηγήθηκαν μαζί με τεταρτοταγή αντιχολινεργικά, όπως </w:t>
      </w:r>
      <w:r w:rsidRPr="002C6BBC">
        <w:rPr>
          <w:sz w:val="22"/>
          <w:szCs w:val="22"/>
        </w:rPr>
        <w:t>glycopyrrolate</w:t>
      </w:r>
      <w:r w:rsidRPr="002C6BBC">
        <w:rPr>
          <w:sz w:val="22"/>
          <w:szCs w:val="22"/>
          <w:lang w:val="el-GR"/>
        </w:rPr>
        <w:t>. Δεν είναι γνωστό εάν η υδροχλωρική δονεπεζίλη και/ή οι μεταβολίτες της μπορούν να απομακρυνθούν με διύλιση (αιμοδιύλιση, περιτοναϊκή διύλιση ή αιμοδιήθηση).</w:t>
      </w:r>
    </w:p>
    <w:p w:rsidR="00C612DC" w:rsidRPr="002C6BBC" w:rsidRDefault="00C612DC" w:rsidP="00C612DC">
      <w:pPr>
        <w:jc w:val="both"/>
        <w:rPr>
          <w:b/>
          <w:szCs w:val="22"/>
          <w:lang w:val="en-US"/>
        </w:rPr>
      </w:pPr>
    </w:p>
    <w:p w:rsidR="00C612DC" w:rsidRPr="002C6BBC" w:rsidRDefault="00C612DC" w:rsidP="00C612DC">
      <w:pPr>
        <w:jc w:val="both"/>
        <w:rPr>
          <w:b/>
          <w:szCs w:val="22"/>
          <w:lang w:val="en-US"/>
        </w:rPr>
      </w:pPr>
    </w:p>
    <w:p w:rsidR="005D4757" w:rsidRPr="002C6BBC" w:rsidRDefault="005D4757" w:rsidP="00C612DC">
      <w:pPr>
        <w:jc w:val="both"/>
        <w:rPr>
          <w:szCs w:val="22"/>
        </w:rPr>
      </w:pPr>
      <w:r w:rsidRPr="002C6BBC">
        <w:rPr>
          <w:b/>
          <w:szCs w:val="22"/>
        </w:rPr>
        <w:t>5.</w:t>
      </w:r>
      <w:r w:rsidRPr="002C6BBC">
        <w:rPr>
          <w:b/>
          <w:szCs w:val="22"/>
        </w:rPr>
        <w:tab/>
        <w:t>ΦΑΡΜΑΚΟΛΟΓΙΚΕΣ ΙΔΙΟΤΗΤΕΣ</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5.1</w:t>
      </w:r>
      <w:r w:rsidRPr="002C6BBC">
        <w:rPr>
          <w:b/>
          <w:szCs w:val="22"/>
        </w:rPr>
        <w:tab/>
        <w:t>Φαρμακοδυναμικές ιδιότητες</w:t>
      </w:r>
    </w:p>
    <w:p w:rsidR="005D4757" w:rsidRPr="002C6BBC" w:rsidRDefault="005D4757" w:rsidP="00C612DC">
      <w:pPr>
        <w:jc w:val="both"/>
        <w:rPr>
          <w:szCs w:val="22"/>
        </w:rPr>
      </w:pPr>
    </w:p>
    <w:p w:rsidR="005D4757" w:rsidRPr="002C6BBC" w:rsidRDefault="005D4757" w:rsidP="00C612DC">
      <w:pPr>
        <w:pStyle w:val="MGGTextLeft"/>
        <w:jc w:val="both"/>
        <w:rPr>
          <w:sz w:val="22"/>
          <w:szCs w:val="22"/>
          <w:lang w:val="el-GR"/>
        </w:rPr>
      </w:pPr>
      <w:r w:rsidRPr="002C6BBC">
        <w:rPr>
          <w:sz w:val="22"/>
          <w:szCs w:val="22"/>
          <w:lang w:val="el-GR"/>
        </w:rPr>
        <w:t>Φαρμακοθεραπευτική κατηγορία: φάρμακα κατά της άνοιας, αντιχολινεστερ</w:t>
      </w:r>
      <w:r w:rsidR="005A44A8" w:rsidRPr="002C6BBC">
        <w:rPr>
          <w:sz w:val="22"/>
          <w:szCs w:val="22"/>
          <w:lang w:val="el-GR"/>
        </w:rPr>
        <w:t>άσες</w:t>
      </w:r>
    </w:p>
    <w:p w:rsidR="005D4757" w:rsidRPr="002C6BBC" w:rsidRDefault="005D4757" w:rsidP="00C612DC">
      <w:pPr>
        <w:pStyle w:val="MGGTextLeft"/>
        <w:jc w:val="both"/>
        <w:rPr>
          <w:sz w:val="22"/>
          <w:szCs w:val="22"/>
          <w:lang w:val="el-GR"/>
        </w:rPr>
      </w:pPr>
      <w:r w:rsidRPr="002C6BBC">
        <w:rPr>
          <w:sz w:val="22"/>
          <w:szCs w:val="22"/>
          <w:lang w:val="el-GR"/>
        </w:rPr>
        <w:t xml:space="preserve">Κωδικός </w:t>
      </w:r>
      <w:r w:rsidRPr="002C6BBC">
        <w:rPr>
          <w:sz w:val="22"/>
          <w:szCs w:val="22"/>
        </w:rPr>
        <w:t>ATC</w:t>
      </w:r>
      <w:r w:rsidRPr="002C6BBC">
        <w:rPr>
          <w:sz w:val="22"/>
          <w:szCs w:val="22"/>
          <w:lang w:val="el-GR"/>
        </w:rPr>
        <w:t xml:space="preserve">: </w:t>
      </w:r>
      <w:r w:rsidRPr="002C6BBC">
        <w:rPr>
          <w:sz w:val="22"/>
          <w:szCs w:val="22"/>
        </w:rPr>
        <w:t>N</w:t>
      </w:r>
      <w:r w:rsidRPr="002C6BBC">
        <w:rPr>
          <w:sz w:val="22"/>
          <w:szCs w:val="22"/>
          <w:lang w:val="el-GR"/>
        </w:rPr>
        <w:t>06</w:t>
      </w:r>
      <w:r w:rsidRPr="002C6BBC">
        <w:rPr>
          <w:sz w:val="22"/>
          <w:szCs w:val="22"/>
        </w:rPr>
        <w:t>DA</w:t>
      </w:r>
      <w:r w:rsidRPr="002C6BBC">
        <w:rPr>
          <w:sz w:val="22"/>
          <w:szCs w:val="22"/>
          <w:lang w:val="el-GR"/>
        </w:rPr>
        <w:t>02</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xml:space="preserve">Η υδροχλωρική δονεπεζίλη είναι ένας ειδικός και αναστρέψιμος αναστολέας της ακετυλοχολινεστεράσης, που αποτελεί την προέχουσα χολινεστεράση στον εγκέφαλο. Η υδροχλωρική δονεπεζίλη είναι </w:t>
      </w:r>
      <w:r w:rsidRPr="002C6BBC">
        <w:rPr>
          <w:i/>
          <w:iCs/>
          <w:sz w:val="22"/>
          <w:szCs w:val="22"/>
        </w:rPr>
        <w:t>in</w:t>
      </w:r>
      <w:r w:rsidRPr="002C6BBC">
        <w:rPr>
          <w:i/>
          <w:iCs/>
          <w:sz w:val="22"/>
          <w:szCs w:val="22"/>
          <w:lang w:val="el-GR"/>
        </w:rPr>
        <w:t xml:space="preserve"> </w:t>
      </w:r>
      <w:r w:rsidRPr="002C6BBC">
        <w:rPr>
          <w:i/>
          <w:iCs/>
          <w:sz w:val="22"/>
          <w:szCs w:val="22"/>
        </w:rPr>
        <w:t>vitro</w:t>
      </w:r>
      <w:r w:rsidRPr="002C6BBC">
        <w:rPr>
          <w:sz w:val="22"/>
          <w:szCs w:val="22"/>
          <w:lang w:val="el-GR"/>
        </w:rPr>
        <w:t xml:space="preserve"> περισσότερο από 1000 φορές πιο ισχυρός αναστολέας αυτού του ενζύμου από τη βουτυλοχολινεστεράση, ένα ένζυμο που εντοπίζεται κυρίως εκτός του κεντρικού νευρικού συστήματος.</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lang w:val="el-GR"/>
        </w:rPr>
        <w:t xml:space="preserve">Σε ασθενείς με άνοια </w:t>
      </w:r>
      <w:r w:rsidRPr="002C6BBC">
        <w:rPr>
          <w:sz w:val="22"/>
          <w:szCs w:val="22"/>
        </w:rPr>
        <w:t>Alzheimer</w:t>
      </w:r>
      <w:r w:rsidRPr="002C6BBC">
        <w:rPr>
          <w:sz w:val="22"/>
          <w:szCs w:val="22"/>
          <w:lang w:val="el-GR"/>
        </w:rPr>
        <w:t xml:space="preserve"> που έλαβαν μέρος σε κλινικές δοκιμές, η χορήγηση μονήρων ημερήσιων δόσεων των 5 </w:t>
      </w:r>
      <w:r w:rsidRPr="002C6BBC">
        <w:rPr>
          <w:sz w:val="22"/>
          <w:szCs w:val="22"/>
        </w:rPr>
        <w:t>mg</w:t>
      </w:r>
      <w:r w:rsidRPr="002C6BBC">
        <w:rPr>
          <w:sz w:val="22"/>
          <w:szCs w:val="22"/>
          <w:lang w:val="el-GR"/>
        </w:rPr>
        <w:t xml:space="preserve"> ή 10 </w:t>
      </w:r>
      <w:r w:rsidRPr="002C6BBC">
        <w:rPr>
          <w:sz w:val="22"/>
          <w:szCs w:val="22"/>
        </w:rPr>
        <w:t>mg</w:t>
      </w:r>
      <w:r w:rsidRPr="002C6BBC">
        <w:rPr>
          <w:sz w:val="22"/>
          <w:szCs w:val="22"/>
          <w:lang w:val="el-GR"/>
        </w:rPr>
        <w:t xml:space="preserve"> υδροχλωρικής δονεπεζίλης είχε ως αποτέλεσμα την αναστολή της δραστικότητας της ακετυλοχολινεστεράσης (μετρούμενης στις μεμβράνες των ερυθροκυττάρων) σε σταθεροποιημένα επίπεδα, ίση προς 63,6 % και 77,3% αντίστοιχα, όταν μετρήθηκε μετά τη χορήγηση των δόσεων. Η προκαλούμενη από την υδροχλωρική δονεπεζίλη αναστολή της ακετυλοχολινεστεράσης (</w:t>
      </w:r>
      <w:r w:rsidRPr="002C6BBC">
        <w:rPr>
          <w:sz w:val="22"/>
          <w:szCs w:val="22"/>
        </w:rPr>
        <w:t>AchE</w:t>
      </w:r>
      <w:r w:rsidRPr="002C6BBC">
        <w:rPr>
          <w:sz w:val="22"/>
          <w:szCs w:val="22"/>
          <w:lang w:val="el-GR"/>
        </w:rPr>
        <w:t xml:space="preserve">) στα ερυθροκύτταρα έχει αποδειχθεί ότι συσχετίζεται με αλλαγές της </w:t>
      </w:r>
      <w:r w:rsidRPr="002C6BBC">
        <w:rPr>
          <w:sz w:val="22"/>
          <w:szCs w:val="22"/>
        </w:rPr>
        <w:t>ADAS</w:t>
      </w:r>
      <w:r w:rsidRPr="002C6BBC">
        <w:rPr>
          <w:sz w:val="22"/>
          <w:szCs w:val="22"/>
          <w:lang w:val="el-GR"/>
        </w:rPr>
        <w:t>-</w:t>
      </w:r>
      <w:r w:rsidRPr="002C6BBC">
        <w:rPr>
          <w:sz w:val="22"/>
          <w:szCs w:val="22"/>
        </w:rPr>
        <w:t>cog</w:t>
      </w:r>
      <w:r w:rsidRPr="002C6BBC">
        <w:rPr>
          <w:sz w:val="22"/>
          <w:szCs w:val="22"/>
          <w:lang w:val="el-GR"/>
        </w:rPr>
        <w:t>, μίας ευαίσθητης κλίμακας που εξετάζει εκλεκτικά κάποιες πλευρές της γνωστικής λειτουργίας. Η δυνατότητα της υδροχλωρικής δονεπεζίλης να τροποποιεί την πορεία της υποκείμενης νευροπαθολογίας δεν έχει μελετηθεί. Κατά συνέπεια, η δονεπεζίλη δεν μπορεί να θεωρηθεί ότι έχει κάποιο αποτέλεσμα επί της εξέλιξης της νόσου.</w:t>
      </w:r>
    </w:p>
    <w:p w:rsidR="005D4757" w:rsidRPr="002C6BBC" w:rsidRDefault="005D4757" w:rsidP="00C612DC">
      <w:pPr>
        <w:pStyle w:val="MGGTextLeft"/>
        <w:jc w:val="both"/>
        <w:rPr>
          <w:sz w:val="22"/>
          <w:szCs w:val="22"/>
          <w:lang w:val="el-GR"/>
        </w:rPr>
      </w:pPr>
      <w:r w:rsidRPr="002C6BBC">
        <w:rPr>
          <w:sz w:val="22"/>
          <w:szCs w:val="22"/>
          <w:lang w:val="el-GR"/>
        </w:rPr>
        <w:t xml:space="preserve">Η αποτελεσματικότητα της θεραπείας με τη δονεπεζίλη </w:t>
      </w:r>
      <w:r w:rsidR="005A44A8" w:rsidRPr="002C6BBC">
        <w:rPr>
          <w:bCs/>
          <w:iCs/>
          <w:sz w:val="22"/>
          <w:szCs w:val="22"/>
          <w:lang w:val="el-GR"/>
        </w:rPr>
        <w:t xml:space="preserve">επί της άνοιας </w:t>
      </w:r>
      <w:r w:rsidR="005A44A8" w:rsidRPr="002C6BBC">
        <w:rPr>
          <w:bCs/>
          <w:iCs/>
          <w:sz w:val="22"/>
          <w:szCs w:val="22"/>
        </w:rPr>
        <w:t>Alzheimer</w:t>
      </w:r>
      <w:r w:rsidR="005A44A8" w:rsidRPr="002C6BBC">
        <w:rPr>
          <w:sz w:val="22"/>
          <w:szCs w:val="22"/>
          <w:lang w:val="el-GR"/>
        </w:rPr>
        <w:t xml:space="preserve"> </w:t>
      </w:r>
      <w:r w:rsidRPr="002C6BBC">
        <w:rPr>
          <w:sz w:val="22"/>
          <w:szCs w:val="22"/>
          <w:lang w:val="el-GR"/>
        </w:rPr>
        <w:t>έχει μελετηθεί σε τέσσερις ελεγχόμενες με εικονικό φάρμακο (</w:t>
      </w:r>
      <w:r w:rsidRPr="002C6BBC">
        <w:rPr>
          <w:sz w:val="22"/>
          <w:szCs w:val="22"/>
          <w:lang w:val="en-US"/>
        </w:rPr>
        <w:t>placebo</w:t>
      </w:r>
      <w:r w:rsidRPr="002C6BBC">
        <w:rPr>
          <w:sz w:val="22"/>
          <w:szCs w:val="22"/>
          <w:lang w:val="el-GR"/>
        </w:rPr>
        <w:t>) μελέτες, 2 μελέτες διάρκειας 6 μηνών και 2 μελέτες διάρκειας 1 έτους.</w:t>
      </w:r>
    </w:p>
    <w:p w:rsidR="005D4757" w:rsidRPr="002C6BBC" w:rsidRDefault="005D4757" w:rsidP="00C612DC">
      <w:pPr>
        <w:pStyle w:val="MGGTextLeft"/>
        <w:jc w:val="both"/>
        <w:rPr>
          <w:sz w:val="22"/>
          <w:szCs w:val="22"/>
          <w:lang w:val="el-GR"/>
        </w:rPr>
      </w:pPr>
      <w:r w:rsidRPr="002C6BBC">
        <w:rPr>
          <w:sz w:val="22"/>
          <w:szCs w:val="22"/>
          <w:lang w:val="el-GR"/>
        </w:rPr>
        <w:t>Στην εξάμηνη κλινική μελέτη</w:t>
      </w:r>
      <w:r w:rsidR="001F00EF" w:rsidRPr="002C6BBC">
        <w:rPr>
          <w:sz w:val="22"/>
          <w:szCs w:val="22"/>
          <w:lang w:val="el-GR"/>
        </w:rPr>
        <w:t>,</w:t>
      </w:r>
      <w:r w:rsidRPr="002C6BBC">
        <w:rPr>
          <w:sz w:val="22"/>
          <w:szCs w:val="22"/>
          <w:lang w:val="el-GR"/>
        </w:rPr>
        <w:t xml:space="preserve"> έγινε ανάλυση των αποτελεσμάτων στο τέλος της θεραπείας με δονεπεζίλη χρησιμοποιώντας συνδυασμό τριών κριτηρίων αποτελεσματικότητας: του </w:t>
      </w:r>
      <w:r w:rsidRPr="002C6BBC">
        <w:rPr>
          <w:sz w:val="22"/>
          <w:szCs w:val="22"/>
        </w:rPr>
        <w:t>ADAS</w:t>
      </w:r>
      <w:r w:rsidRPr="002C6BBC">
        <w:rPr>
          <w:sz w:val="22"/>
          <w:szCs w:val="22"/>
          <w:lang w:val="el-GR"/>
        </w:rPr>
        <w:t>-</w:t>
      </w:r>
      <w:r w:rsidRPr="002C6BBC">
        <w:rPr>
          <w:sz w:val="22"/>
          <w:szCs w:val="22"/>
          <w:lang w:val="en-US"/>
        </w:rPr>
        <w:t>C</w:t>
      </w:r>
      <w:r w:rsidRPr="002C6BBC">
        <w:rPr>
          <w:sz w:val="22"/>
          <w:szCs w:val="22"/>
        </w:rPr>
        <w:t>og</w:t>
      </w:r>
      <w:r w:rsidRPr="002C6BBC">
        <w:rPr>
          <w:sz w:val="22"/>
          <w:szCs w:val="22"/>
          <w:lang w:val="el-GR"/>
        </w:rPr>
        <w:t xml:space="preserve"> (μέτρο της γνωστικής λειτουργίας), του “</w:t>
      </w:r>
      <w:r w:rsidRPr="002C6BBC">
        <w:rPr>
          <w:sz w:val="22"/>
          <w:szCs w:val="22"/>
          <w:lang w:val="en-US"/>
        </w:rPr>
        <w:t>Clinician</w:t>
      </w:r>
      <w:r w:rsidRPr="002C6BBC">
        <w:rPr>
          <w:sz w:val="22"/>
          <w:szCs w:val="22"/>
          <w:lang w:val="el-GR"/>
        </w:rPr>
        <w:t xml:space="preserve"> </w:t>
      </w:r>
      <w:r w:rsidRPr="002C6BBC">
        <w:rPr>
          <w:sz w:val="22"/>
          <w:szCs w:val="22"/>
          <w:lang w:val="en-US"/>
        </w:rPr>
        <w:t>Interview</w:t>
      </w:r>
      <w:r w:rsidRPr="002C6BBC">
        <w:rPr>
          <w:sz w:val="22"/>
          <w:szCs w:val="22"/>
          <w:lang w:val="el-GR"/>
        </w:rPr>
        <w:t xml:space="preserve"> </w:t>
      </w:r>
      <w:r w:rsidRPr="002C6BBC">
        <w:rPr>
          <w:sz w:val="22"/>
          <w:szCs w:val="22"/>
          <w:lang w:val="en-US"/>
        </w:rPr>
        <w:t>Based</w:t>
      </w:r>
      <w:r w:rsidRPr="002C6BBC">
        <w:rPr>
          <w:sz w:val="22"/>
          <w:szCs w:val="22"/>
          <w:lang w:val="el-GR"/>
        </w:rPr>
        <w:t xml:space="preserve"> </w:t>
      </w:r>
      <w:r w:rsidRPr="002C6BBC">
        <w:rPr>
          <w:sz w:val="22"/>
          <w:szCs w:val="22"/>
          <w:lang w:val="en-US"/>
        </w:rPr>
        <w:t>Impression</w:t>
      </w:r>
      <w:r w:rsidRPr="002C6BBC">
        <w:rPr>
          <w:sz w:val="22"/>
          <w:szCs w:val="22"/>
          <w:lang w:val="el-GR"/>
        </w:rPr>
        <w:t xml:space="preserve"> </w:t>
      </w:r>
      <w:r w:rsidRPr="002C6BBC">
        <w:rPr>
          <w:sz w:val="22"/>
          <w:szCs w:val="22"/>
          <w:lang w:val="en-US"/>
        </w:rPr>
        <w:t>of</w:t>
      </w:r>
      <w:r w:rsidRPr="002C6BBC">
        <w:rPr>
          <w:sz w:val="22"/>
          <w:szCs w:val="22"/>
          <w:lang w:val="el-GR"/>
        </w:rPr>
        <w:t xml:space="preserve"> </w:t>
      </w:r>
      <w:r w:rsidRPr="002C6BBC">
        <w:rPr>
          <w:sz w:val="22"/>
          <w:szCs w:val="22"/>
          <w:lang w:val="en-US"/>
        </w:rPr>
        <w:t>Change</w:t>
      </w:r>
      <w:r w:rsidRPr="002C6BBC">
        <w:rPr>
          <w:sz w:val="22"/>
          <w:szCs w:val="22"/>
          <w:lang w:val="el-GR"/>
        </w:rPr>
        <w:t xml:space="preserve"> </w:t>
      </w:r>
      <w:r w:rsidRPr="002C6BBC">
        <w:rPr>
          <w:sz w:val="22"/>
          <w:szCs w:val="22"/>
          <w:lang w:val="en-US"/>
        </w:rPr>
        <w:t>with</w:t>
      </w:r>
      <w:r w:rsidRPr="002C6BBC">
        <w:rPr>
          <w:sz w:val="22"/>
          <w:szCs w:val="22"/>
          <w:lang w:val="el-GR"/>
        </w:rPr>
        <w:t xml:space="preserve"> </w:t>
      </w:r>
      <w:r w:rsidRPr="002C6BBC">
        <w:rPr>
          <w:sz w:val="22"/>
          <w:szCs w:val="22"/>
          <w:lang w:val="en-US"/>
        </w:rPr>
        <w:t>Caregiver</w:t>
      </w:r>
      <w:r w:rsidRPr="002C6BBC">
        <w:rPr>
          <w:sz w:val="22"/>
          <w:szCs w:val="22"/>
          <w:lang w:val="el-GR"/>
        </w:rPr>
        <w:t xml:space="preserve"> </w:t>
      </w:r>
      <w:r w:rsidRPr="002C6BBC">
        <w:rPr>
          <w:sz w:val="22"/>
          <w:szCs w:val="22"/>
          <w:lang w:val="en-US"/>
        </w:rPr>
        <w:t>Input</w:t>
      </w:r>
      <w:r w:rsidRPr="002C6BBC">
        <w:rPr>
          <w:sz w:val="22"/>
          <w:szCs w:val="22"/>
          <w:lang w:val="el-GR"/>
        </w:rPr>
        <w:t>” (</w:t>
      </w:r>
      <w:r w:rsidRPr="002C6BBC">
        <w:rPr>
          <w:sz w:val="22"/>
          <w:szCs w:val="22"/>
          <w:lang w:val="en-US"/>
        </w:rPr>
        <w:t>CIBIC</w:t>
      </w:r>
      <w:r w:rsidRPr="002C6BBC">
        <w:rPr>
          <w:sz w:val="22"/>
          <w:szCs w:val="22"/>
          <w:lang w:val="el-GR"/>
        </w:rPr>
        <w:t xml:space="preserve">) (κριτήριο της συνολικής λειτουργικότητας) και της </w:t>
      </w:r>
      <w:r w:rsidRPr="002C6BBC">
        <w:rPr>
          <w:sz w:val="22"/>
          <w:szCs w:val="22"/>
          <w:lang w:val="en-US"/>
        </w:rPr>
        <w:t>Y</w:t>
      </w:r>
      <w:r w:rsidRPr="002C6BBC">
        <w:rPr>
          <w:sz w:val="22"/>
          <w:szCs w:val="22"/>
          <w:lang w:val="el-GR"/>
        </w:rPr>
        <w:t>ποκλίμακας “</w:t>
      </w:r>
      <w:r w:rsidRPr="002C6BBC">
        <w:rPr>
          <w:sz w:val="22"/>
          <w:szCs w:val="22"/>
          <w:lang w:val="en-US"/>
        </w:rPr>
        <w:t>Activities</w:t>
      </w:r>
      <w:r w:rsidRPr="002C6BBC">
        <w:rPr>
          <w:sz w:val="22"/>
          <w:szCs w:val="22"/>
          <w:lang w:val="el-GR"/>
        </w:rPr>
        <w:t xml:space="preserve"> </w:t>
      </w:r>
      <w:r w:rsidRPr="002C6BBC">
        <w:rPr>
          <w:sz w:val="22"/>
          <w:szCs w:val="22"/>
          <w:lang w:val="en-US"/>
        </w:rPr>
        <w:t>of</w:t>
      </w:r>
      <w:r w:rsidRPr="002C6BBC">
        <w:rPr>
          <w:sz w:val="22"/>
          <w:szCs w:val="22"/>
          <w:lang w:val="el-GR"/>
        </w:rPr>
        <w:t xml:space="preserve"> </w:t>
      </w:r>
      <w:r w:rsidRPr="002C6BBC">
        <w:rPr>
          <w:sz w:val="22"/>
          <w:szCs w:val="22"/>
          <w:lang w:val="en-US"/>
        </w:rPr>
        <w:t>Daily</w:t>
      </w:r>
      <w:r w:rsidRPr="002C6BBC">
        <w:rPr>
          <w:sz w:val="22"/>
          <w:szCs w:val="22"/>
          <w:lang w:val="el-GR"/>
        </w:rPr>
        <w:t xml:space="preserve"> </w:t>
      </w:r>
      <w:r w:rsidRPr="002C6BBC">
        <w:rPr>
          <w:sz w:val="22"/>
          <w:szCs w:val="22"/>
          <w:lang w:val="en-US"/>
        </w:rPr>
        <w:t>Living</w:t>
      </w:r>
      <w:r w:rsidRPr="002C6BBC">
        <w:rPr>
          <w:sz w:val="22"/>
          <w:szCs w:val="22"/>
          <w:lang w:val="el-GR"/>
        </w:rPr>
        <w:t>” (</w:t>
      </w:r>
      <w:r w:rsidRPr="002C6BBC">
        <w:rPr>
          <w:sz w:val="22"/>
          <w:szCs w:val="22"/>
          <w:lang w:val="en-US"/>
        </w:rPr>
        <w:t>ADL</w:t>
      </w:r>
      <w:r w:rsidRPr="002C6BBC">
        <w:rPr>
          <w:sz w:val="22"/>
          <w:szCs w:val="22"/>
          <w:lang w:val="el-GR"/>
        </w:rPr>
        <w:t>) της Κλίμακας Κλινικής Σταδιοποίησης της Άνοιας (μέτρο ικανότητας σε θέματα κοινωνικά, οικιακά, προσωπικού ενδιαφέροντος, καθώς και προσωπικής φροντίδας).</w:t>
      </w:r>
    </w:p>
    <w:p w:rsidR="005D4757" w:rsidRPr="002C6BBC" w:rsidRDefault="005D4757" w:rsidP="00C612DC">
      <w:pPr>
        <w:pStyle w:val="MGGTextLeft"/>
        <w:jc w:val="both"/>
        <w:rPr>
          <w:sz w:val="22"/>
          <w:szCs w:val="22"/>
          <w:lang w:val="el-GR"/>
        </w:rPr>
      </w:pPr>
      <w:r w:rsidRPr="002C6BBC">
        <w:rPr>
          <w:sz w:val="22"/>
          <w:szCs w:val="22"/>
          <w:lang w:val="el-GR"/>
        </w:rPr>
        <w:t>Οι ασθενείς που εκπλήρωσαν τα κάτωθι κριτήρια θεωρήθηκαν ως ανταποκρινόμενοι στη θεραπεία:</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tabs>
          <w:tab w:val="left" w:pos="1620"/>
        </w:tabs>
        <w:ind w:left="1620" w:hanging="1620"/>
        <w:jc w:val="both"/>
        <w:rPr>
          <w:sz w:val="22"/>
          <w:szCs w:val="22"/>
          <w:lang w:val="el-GR"/>
        </w:rPr>
      </w:pPr>
      <w:r w:rsidRPr="002C6BBC">
        <w:rPr>
          <w:sz w:val="22"/>
          <w:szCs w:val="22"/>
          <w:lang w:val="el-GR"/>
        </w:rPr>
        <w:t xml:space="preserve">Ανταπόκριση = </w:t>
      </w:r>
      <w:r w:rsidRPr="002C6BBC">
        <w:rPr>
          <w:sz w:val="22"/>
          <w:szCs w:val="22"/>
          <w:lang w:val="el-GR"/>
        </w:rPr>
        <w:tab/>
        <w:t xml:space="preserve"> Βελτίωση τουλάχιστον 4 βαθμών στην κλίμακα </w:t>
      </w:r>
      <w:r w:rsidRPr="002C6BBC">
        <w:rPr>
          <w:sz w:val="22"/>
          <w:szCs w:val="22"/>
        </w:rPr>
        <w:t>ADAS</w:t>
      </w:r>
      <w:r w:rsidRPr="002C6BBC">
        <w:rPr>
          <w:sz w:val="22"/>
          <w:szCs w:val="22"/>
          <w:lang w:val="el-GR"/>
        </w:rPr>
        <w:t>-</w:t>
      </w:r>
      <w:r w:rsidRPr="002C6BBC">
        <w:rPr>
          <w:sz w:val="22"/>
          <w:szCs w:val="22"/>
        </w:rPr>
        <w:t>Cog</w:t>
      </w:r>
    </w:p>
    <w:p w:rsidR="005D4757" w:rsidRPr="002C6BBC" w:rsidRDefault="001F00EF" w:rsidP="00C612DC">
      <w:pPr>
        <w:pStyle w:val="MGGTextLeft"/>
        <w:tabs>
          <w:tab w:val="left" w:pos="1620"/>
        </w:tabs>
        <w:ind w:left="1620" w:hanging="1620"/>
        <w:jc w:val="both"/>
        <w:rPr>
          <w:sz w:val="22"/>
          <w:szCs w:val="22"/>
          <w:lang w:val="el-GR"/>
        </w:rPr>
      </w:pPr>
      <w:r w:rsidRPr="002C6BBC">
        <w:rPr>
          <w:sz w:val="22"/>
          <w:szCs w:val="22"/>
          <w:lang w:val="el-GR"/>
        </w:rPr>
        <w:tab/>
      </w:r>
      <w:r w:rsidR="005D4757" w:rsidRPr="002C6BBC">
        <w:rPr>
          <w:sz w:val="22"/>
          <w:szCs w:val="22"/>
          <w:lang w:val="el-GR"/>
        </w:rPr>
        <w:t xml:space="preserve"> Μη επιδείνωση στη </w:t>
      </w:r>
      <w:r w:rsidR="005D4757" w:rsidRPr="002C6BBC">
        <w:rPr>
          <w:sz w:val="22"/>
          <w:szCs w:val="22"/>
        </w:rPr>
        <w:t>CIBIC</w:t>
      </w:r>
      <w:r w:rsidR="00816969" w:rsidRPr="002C6BBC">
        <w:rPr>
          <w:sz w:val="22"/>
          <w:szCs w:val="22"/>
          <w:lang w:val="el-GR"/>
        </w:rPr>
        <w:t>+</w:t>
      </w:r>
    </w:p>
    <w:p w:rsidR="005D4757" w:rsidRPr="002C6BBC" w:rsidRDefault="001F00EF" w:rsidP="00C612DC">
      <w:pPr>
        <w:pStyle w:val="MGGTextLeft"/>
        <w:tabs>
          <w:tab w:val="left" w:pos="1620"/>
        </w:tabs>
        <w:ind w:left="1620" w:hanging="1620"/>
        <w:jc w:val="both"/>
        <w:rPr>
          <w:sz w:val="22"/>
          <w:szCs w:val="22"/>
          <w:lang w:val="el-GR"/>
        </w:rPr>
      </w:pPr>
      <w:r w:rsidRPr="002C6BBC">
        <w:rPr>
          <w:sz w:val="22"/>
          <w:szCs w:val="22"/>
          <w:lang w:val="el-GR"/>
        </w:rPr>
        <w:tab/>
      </w:r>
      <w:r w:rsidR="005D4757" w:rsidRPr="002C6BBC">
        <w:rPr>
          <w:sz w:val="22"/>
          <w:szCs w:val="22"/>
          <w:lang w:val="el-GR"/>
        </w:rPr>
        <w:t xml:space="preserve"> Μη επιδείνωση στην υποκλίμακα </w:t>
      </w:r>
      <w:r w:rsidR="005D4757" w:rsidRPr="002C6BBC">
        <w:rPr>
          <w:sz w:val="22"/>
          <w:szCs w:val="22"/>
          <w:lang w:val="en-US"/>
        </w:rPr>
        <w:t>ADL</w:t>
      </w:r>
      <w:r w:rsidR="005D4757" w:rsidRPr="002C6BBC">
        <w:rPr>
          <w:sz w:val="22"/>
          <w:szCs w:val="22"/>
          <w:lang w:val="el-GR"/>
        </w:rPr>
        <w:t xml:space="preserve"> της Κλίμακας   </w:t>
      </w:r>
    </w:p>
    <w:p w:rsidR="005D4757" w:rsidRPr="002C6BBC" w:rsidRDefault="001F00EF" w:rsidP="00C612DC">
      <w:pPr>
        <w:pStyle w:val="MGGTextLeft"/>
        <w:tabs>
          <w:tab w:val="left" w:pos="1620"/>
        </w:tabs>
        <w:ind w:left="1620" w:hanging="1620"/>
        <w:jc w:val="both"/>
        <w:rPr>
          <w:sz w:val="22"/>
          <w:szCs w:val="22"/>
          <w:lang w:val="el-GR"/>
        </w:rPr>
      </w:pPr>
      <w:r w:rsidRPr="002C6BBC">
        <w:rPr>
          <w:sz w:val="22"/>
          <w:szCs w:val="22"/>
          <w:lang w:val="el-GR"/>
        </w:rPr>
        <w:tab/>
      </w:r>
      <w:r w:rsidR="005D4757" w:rsidRPr="002C6BBC">
        <w:rPr>
          <w:sz w:val="22"/>
          <w:szCs w:val="22"/>
          <w:lang w:val="el-GR"/>
        </w:rPr>
        <w:t xml:space="preserve">  Κλινικής Σταδιοποίησης της Άνοιας</w:t>
      </w:r>
    </w:p>
    <w:p w:rsidR="005D4757" w:rsidRPr="002C6BBC" w:rsidRDefault="005D4757" w:rsidP="00C612DC">
      <w:pPr>
        <w:pStyle w:val="MGGTextLeft"/>
        <w:jc w:val="both"/>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880"/>
        <w:gridCol w:w="2340"/>
      </w:tblGrid>
      <w:tr w:rsidR="005D4757" w:rsidRPr="002C6BBC">
        <w:trPr>
          <w:cantSplit/>
        </w:trPr>
        <w:tc>
          <w:tcPr>
            <w:tcW w:w="3168" w:type="dxa"/>
            <w:vMerge w:val="restart"/>
          </w:tcPr>
          <w:p w:rsidR="005D4757" w:rsidRPr="002C6BBC" w:rsidRDefault="005D4757" w:rsidP="00C612DC">
            <w:pPr>
              <w:pStyle w:val="MGGTextLeft"/>
              <w:jc w:val="both"/>
              <w:rPr>
                <w:sz w:val="22"/>
                <w:szCs w:val="22"/>
                <w:lang w:val="el-GR"/>
              </w:rPr>
            </w:pPr>
          </w:p>
        </w:tc>
        <w:tc>
          <w:tcPr>
            <w:tcW w:w="5220" w:type="dxa"/>
            <w:gridSpan w:val="2"/>
          </w:tcPr>
          <w:p w:rsidR="005D4757" w:rsidRPr="002C6BBC" w:rsidRDefault="005D4757" w:rsidP="00C612DC">
            <w:pPr>
              <w:pStyle w:val="MGGTextLeft"/>
              <w:jc w:val="both"/>
              <w:rPr>
                <w:sz w:val="22"/>
                <w:szCs w:val="22"/>
                <w:lang w:val="el-GR"/>
              </w:rPr>
            </w:pPr>
            <w:r w:rsidRPr="002C6BBC">
              <w:rPr>
                <w:sz w:val="22"/>
                <w:szCs w:val="22"/>
                <w:lang w:val="el-GR"/>
              </w:rPr>
              <w:t>% Ανταπόκριση</w:t>
            </w:r>
          </w:p>
        </w:tc>
      </w:tr>
      <w:tr w:rsidR="005D4757" w:rsidRPr="002C6BBC">
        <w:trPr>
          <w:cantSplit/>
        </w:trPr>
        <w:tc>
          <w:tcPr>
            <w:tcW w:w="3168" w:type="dxa"/>
            <w:vMerge/>
          </w:tcPr>
          <w:p w:rsidR="005D4757" w:rsidRPr="002C6BBC" w:rsidRDefault="005D4757" w:rsidP="00C612DC">
            <w:pPr>
              <w:pStyle w:val="MGGTextLeft"/>
              <w:jc w:val="both"/>
              <w:rPr>
                <w:sz w:val="22"/>
                <w:szCs w:val="22"/>
                <w:lang w:val="el-GR"/>
              </w:rPr>
            </w:pPr>
          </w:p>
        </w:tc>
        <w:tc>
          <w:tcPr>
            <w:tcW w:w="2880" w:type="dxa"/>
          </w:tcPr>
          <w:p w:rsidR="005D4757" w:rsidRPr="002C6BBC" w:rsidRDefault="005D4757" w:rsidP="00C612DC">
            <w:pPr>
              <w:pStyle w:val="MGGTextLeft"/>
              <w:jc w:val="both"/>
              <w:rPr>
                <w:sz w:val="22"/>
                <w:szCs w:val="22"/>
                <w:lang w:val="el-GR"/>
              </w:rPr>
            </w:pPr>
            <w:r w:rsidRPr="002C6BBC">
              <w:rPr>
                <w:sz w:val="22"/>
                <w:szCs w:val="22"/>
                <w:lang w:val="el-GR"/>
              </w:rPr>
              <w:t>Πληθυσμός ασθενών προγραμματισμένων για θεραπεία (</w:t>
            </w:r>
            <w:r w:rsidRPr="002C6BBC">
              <w:rPr>
                <w:sz w:val="22"/>
                <w:szCs w:val="22"/>
              </w:rPr>
              <w:t>Intent</w:t>
            </w:r>
            <w:r w:rsidRPr="002C6BBC">
              <w:rPr>
                <w:sz w:val="22"/>
                <w:szCs w:val="22"/>
                <w:lang w:val="el-GR"/>
              </w:rPr>
              <w:t xml:space="preserve"> </w:t>
            </w:r>
            <w:r w:rsidRPr="002C6BBC">
              <w:rPr>
                <w:sz w:val="22"/>
                <w:szCs w:val="22"/>
              </w:rPr>
              <w:t>to</w:t>
            </w:r>
            <w:r w:rsidRPr="002C6BBC">
              <w:rPr>
                <w:sz w:val="22"/>
                <w:szCs w:val="22"/>
                <w:lang w:val="el-GR"/>
              </w:rPr>
              <w:t xml:space="preserve"> </w:t>
            </w:r>
            <w:r w:rsidRPr="002C6BBC">
              <w:rPr>
                <w:sz w:val="22"/>
                <w:szCs w:val="22"/>
              </w:rPr>
              <w:t>Treat</w:t>
            </w:r>
            <w:r w:rsidRPr="002C6BBC">
              <w:rPr>
                <w:sz w:val="22"/>
                <w:szCs w:val="22"/>
                <w:lang w:val="el-GR"/>
              </w:rPr>
              <w:t>)</w:t>
            </w:r>
          </w:p>
          <w:p w:rsidR="005D4757" w:rsidRPr="002C6BBC" w:rsidRDefault="005D4757" w:rsidP="00C612DC">
            <w:pPr>
              <w:pStyle w:val="MGGTextLeft"/>
              <w:jc w:val="both"/>
              <w:rPr>
                <w:sz w:val="22"/>
                <w:szCs w:val="22"/>
                <w:lang w:val="el-GR"/>
              </w:rPr>
            </w:pPr>
            <w:r w:rsidRPr="002C6BBC">
              <w:rPr>
                <w:sz w:val="22"/>
                <w:szCs w:val="22"/>
              </w:rPr>
              <w:t>n</w:t>
            </w:r>
            <w:r w:rsidRPr="002C6BBC">
              <w:rPr>
                <w:sz w:val="22"/>
                <w:szCs w:val="22"/>
                <w:lang w:val="el-GR"/>
              </w:rPr>
              <w:t xml:space="preserve"> = 365</w:t>
            </w:r>
          </w:p>
        </w:tc>
        <w:tc>
          <w:tcPr>
            <w:tcW w:w="2340" w:type="dxa"/>
          </w:tcPr>
          <w:p w:rsidR="005D4757" w:rsidRPr="002C6BBC" w:rsidRDefault="005D4757" w:rsidP="00C612DC">
            <w:pPr>
              <w:pStyle w:val="MGGTextLeft"/>
              <w:jc w:val="both"/>
              <w:rPr>
                <w:sz w:val="22"/>
                <w:szCs w:val="22"/>
                <w:lang w:val="el-GR"/>
              </w:rPr>
            </w:pPr>
            <w:r w:rsidRPr="002C6BBC">
              <w:rPr>
                <w:sz w:val="22"/>
                <w:szCs w:val="22"/>
                <w:lang w:val="el-GR"/>
              </w:rPr>
              <w:t>Αξιολογήσιμος πληθυσμός</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sz w:val="22"/>
                <w:szCs w:val="22"/>
                <w:lang w:val="el-GR"/>
              </w:rPr>
            </w:pPr>
            <w:r w:rsidRPr="002C6BBC">
              <w:rPr>
                <w:sz w:val="22"/>
                <w:szCs w:val="22"/>
              </w:rPr>
              <w:t>n</w:t>
            </w:r>
            <w:r w:rsidRPr="002C6BBC">
              <w:rPr>
                <w:sz w:val="22"/>
                <w:szCs w:val="22"/>
                <w:lang w:val="el-GR"/>
              </w:rPr>
              <w:t xml:space="preserve"> = 352</w:t>
            </w:r>
          </w:p>
        </w:tc>
      </w:tr>
      <w:tr w:rsidR="005D4757" w:rsidRPr="002C6BBC">
        <w:tc>
          <w:tcPr>
            <w:tcW w:w="3168" w:type="dxa"/>
          </w:tcPr>
          <w:p w:rsidR="005D4757" w:rsidRPr="002C6BBC" w:rsidRDefault="005D4757" w:rsidP="00C612DC">
            <w:pPr>
              <w:pStyle w:val="MGGTextLeft"/>
              <w:jc w:val="both"/>
              <w:rPr>
                <w:sz w:val="22"/>
                <w:szCs w:val="22"/>
                <w:lang w:val="el-GR"/>
              </w:rPr>
            </w:pPr>
            <w:r w:rsidRPr="002C6BBC">
              <w:rPr>
                <w:sz w:val="22"/>
                <w:szCs w:val="22"/>
                <w:lang w:val="el-GR"/>
              </w:rPr>
              <w:t xml:space="preserve">Ομάδα </w:t>
            </w:r>
            <w:r w:rsidRPr="002C6BBC">
              <w:rPr>
                <w:sz w:val="22"/>
                <w:szCs w:val="22"/>
              </w:rPr>
              <w:t>Placebo</w:t>
            </w:r>
            <w:r w:rsidRPr="002C6BBC">
              <w:rPr>
                <w:sz w:val="22"/>
                <w:szCs w:val="22"/>
                <w:lang w:val="el-GR"/>
              </w:rPr>
              <w:t xml:space="preserve"> </w:t>
            </w:r>
          </w:p>
        </w:tc>
        <w:tc>
          <w:tcPr>
            <w:tcW w:w="2880" w:type="dxa"/>
          </w:tcPr>
          <w:p w:rsidR="005D4757" w:rsidRPr="002C6BBC" w:rsidRDefault="005D4757" w:rsidP="00C612DC">
            <w:pPr>
              <w:pStyle w:val="MGGTextLeft"/>
              <w:jc w:val="both"/>
              <w:rPr>
                <w:sz w:val="22"/>
                <w:szCs w:val="22"/>
                <w:lang w:val="el-GR"/>
              </w:rPr>
            </w:pPr>
            <w:r w:rsidRPr="002C6BBC">
              <w:rPr>
                <w:sz w:val="22"/>
                <w:szCs w:val="22"/>
                <w:lang w:val="el-GR"/>
              </w:rPr>
              <w:t>10%</w:t>
            </w:r>
          </w:p>
        </w:tc>
        <w:tc>
          <w:tcPr>
            <w:tcW w:w="2340" w:type="dxa"/>
          </w:tcPr>
          <w:p w:rsidR="005D4757" w:rsidRPr="002C6BBC" w:rsidRDefault="005D4757" w:rsidP="00C612DC">
            <w:pPr>
              <w:pStyle w:val="MGGTextLeft"/>
              <w:jc w:val="both"/>
              <w:rPr>
                <w:sz w:val="22"/>
                <w:szCs w:val="22"/>
                <w:lang w:val="el-GR"/>
              </w:rPr>
            </w:pPr>
            <w:r w:rsidRPr="002C6BBC">
              <w:rPr>
                <w:sz w:val="22"/>
                <w:szCs w:val="22"/>
                <w:lang w:val="el-GR"/>
              </w:rPr>
              <w:t>10%</w:t>
            </w:r>
          </w:p>
        </w:tc>
      </w:tr>
      <w:tr w:rsidR="005D4757" w:rsidRPr="002C6BBC">
        <w:tc>
          <w:tcPr>
            <w:tcW w:w="3168" w:type="dxa"/>
          </w:tcPr>
          <w:p w:rsidR="005D4757" w:rsidRPr="002C6BBC" w:rsidRDefault="005D4757" w:rsidP="00C612DC">
            <w:pPr>
              <w:pStyle w:val="MGGTextLeft"/>
              <w:jc w:val="both"/>
              <w:rPr>
                <w:sz w:val="22"/>
                <w:szCs w:val="22"/>
                <w:lang w:val="el-GR"/>
              </w:rPr>
            </w:pPr>
            <w:r w:rsidRPr="002C6BBC">
              <w:rPr>
                <w:sz w:val="22"/>
                <w:szCs w:val="22"/>
                <w:lang w:val="el-GR"/>
              </w:rPr>
              <w:t xml:space="preserve">Ομάδα Υδροχλωρικής </w:t>
            </w:r>
            <w:r w:rsidRPr="002C6BBC">
              <w:rPr>
                <w:sz w:val="22"/>
                <w:szCs w:val="22"/>
                <w:lang w:val="el-GR"/>
              </w:rPr>
              <w:lastRenderedPageBreak/>
              <w:t xml:space="preserve">Δονεπεζίλης 5 </w:t>
            </w:r>
            <w:r w:rsidRPr="002C6BBC">
              <w:rPr>
                <w:sz w:val="22"/>
                <w:szCs w:val="22"/>
              </w:rPr>
              <w:t>mg</w:t>
            </w:r>
            <w:r w:rsidRPr="002C6BBC">
              <w:rPr>
                <w:sz w:val="22"/>
                <w:szCs w:val="22"/>
                <w:lang w:val="el-GR"/>
              </w:rPr>
              <w:t xml:space="preserve"> </w:t>
            </w:r>
          </w:p>
        </w:tc>
        <w:tc>
          <w:tcPr>
            <w:tcW w:w="2880" w:type="dxa"/>
          </w:tcPr>
          <w:p w:rsidR="005D4757" w:rsidRPr="002C6BBC" w:rsidRDefault="005D4757" w:rsidP="00C612DC">
            <w:pPr>
              <w:pStyle w:val="MGGTextLeft"/>
              <w:jc w:val="both"/>
              <w:rPr>
                <w:sz w:val="22"/>
                <w:szCs w:val="22"/>
                <w:lang w:val="el-GR"/>
              </w:rPr>
            </w:pPr>
            <w:r w:rsidRPr="002C6BBC">
              <w:rPr>
                <w:sz w:val="22"/>
                <w:szCs w:val="22"/>
                <w:lang w:val="el-GR"/>
              </w:rPr>
              <w:lastRenderedPageBreak/>
              <w:t>18%*</w:t>
            </w:r>
          </w:p>
        </w:tc>
        <w:tc>
          <w:tcPr>
            <w:tcW w:w="2340" w:type="dxa"/>
          </w:tcPr>
          <w:p w:rsidR="005D4757" w:rsidRPr="002C6BBC" w:rsidRDefault="005D4757" w:rsidP="00C612DC">
            <w:pPr>
              <w:pStyle w:val="MGGTextLeft"/>
              <w:jc w:val="both"/>
              <w:rPr>
                <w:sz w:val="22"/>
                <w:szCs w:val="22"/>
                <w:lang w:val="el-GR"/>
              </w:rPr>
            </w:pPr>
            <w:r w:rsidRPr="002C6BBC">
              <w:rPr>
                <w:sz w:val="22"/>
                <w:szCs w:val="22"/>
                <w:lang w:val="el-GR"/>
              </w:rPr>
              <w:t>18%*</w:t>
            </w:r>
          </w:p>
        </w:tc>
      </w:tr>
      <w:tr w:rsidR="005D4757" w:rsidRPr="002C6BBC">
        <w:tc>
          <w:tcPr>
            <w:tcW w:w="3168" w:type="dxa"/>
          </w:tcPr>
          <w:p w:rsidR="005D4757" w:rsidRPr="002C6BBC" w:rsidRDefault="005D4757" w:rsidP="00C612DC">
            <w:pPr>
              <w:pStyle w:val="MGGTextLeft"/>
              <w:jc w:val="both"/>
              <w:rPr>
                <w:sz w:val="22"/>
                <w:szCs w:val="22"/>
                <w:lang w:val="el-GR"/>
              </w:rPr>
            </w:pPr>
            <w:r w:rsidRPr="002C6BBC">
              <w:rPr>
                <w:sz w:val="22"/>
                <w:szCs w:val="22"/>
                <w:lang w:val="el-GR"/>
              </w:rPr>
              <w:lastRenderedPageBreak/>
              <w:t xml:space="preserve">Ομάδα Υδροχλωρικής Δονεπεζίλης 10 </w:t>
            </w:r>
            <w:r w:rsidRPr="002C6BBC">
              <w:rPr>
                <w:sz w:val="22"/>
                <w:szCs w:val="22"/>
              </w:rPr>
              <w:t>mg</w:t>
            </w:r>
          </w:p>
        </w:tc>
        <w:tc>
          <w:tcPr>
            <w:tcW w:w="2880" w:type="dxa"/>
          </w:tcPr>
          <w:p w:rsidR="005D4757" w:rsidRPr="002C6BBC" w:rsidRDefault="005D4757" w:rsidP="00C612DC">
            <w:pPr>
              <w:pStyle w:val="MGGTextLeft"/>
              <w:jc w:val="both"/>
              <w:rPr>
                <w:sz w:val="22"/>
                <w:szCs w:val="22"/>
                <w:lang w:val="el-GR"/>
              </w:rPr>
            </w:pPr>
            <w:r w:rsidRPr="002C6BBC">
              <w:rPr>
                <w:sz w:val="22"/>
                <w:szCs w:val="22"/>
                <w:lang w:val="el-GR"/>
              </w:rPr>
              <w:t>21%*</w:t>
            </w:r>
          </w:p>
        </w:tc>
        <w:tc>
          <w:tcPr>
            <w:tcW w:w="2340" w:type="dxa"/>
          </w:tcPr>
          <w:p w:rsidR="005D4757" w:rsidRPr="002C6BBC" w:rsidRDefault="005D4757" w:rsidP="00C612DC">
            <w:pPr>
              <w:pStyle w:val="MGGTextLeft"/>
              <w:jc w:val="both"/>
              <w:rPr>
                <w:sz w:val="22"/>
                <w:szCs w:val="22"/>
                <w:lang w:val="el-GR"/>
              </w:rPr>
            </w:pPr>
            <w:r w:rsidRPr="002C6BBC">
              <w:rPr>
                <w:sz w:val="22"/>
                <w:szCs w:val="22"/>
                <w:lang w:val="el-GR"/>
              </w:rPr>
              <w:t>22%**</w:t>
            </w:r>
          </w:p>
        </w:tc>
      </w:tr>
    </w:tbl>
    <w:p w:rsidR="005D4757" w:rsidRPr="002C6BBC" w:rsidRDefault="005D4757" w:rsidP="00C612DC">
      <w:pPr>
        <w:pStyle w:val="MGGTextLeft"/>
        <w:ind w:left="360"/>
        <w:jc w:val="both"/>
        <w:rPr>
          <w:sz w:val="22"/>
          <w:szCs w:val="22"/>
          <w:lang w:val="el-GR"/>
        </w:rPr>
      </w:pPr>
      <w:r w:rsidRPr="002C6BBC">
        <w:rPr>
          <w:sz w:val="22"/>
          <w:szCs w:val="22"/>
          <w:lang w:val="el-GR"/>
        </w:rPr>
        <w:t xml:space="preserve">* </w:t>
      </w:r>
      <w:r w:rsidRPr="002C6BBC">
        <w:rPr>
          <w:sz w:val="22"/>
          <w:szCs w:val="22"/>
        </w:rPr>
        <w:t>p</w:t>
      </w:r>
      <w:r w:rsidRPr="002C6BBC">
        <w:rPr>
          <w:sz w:val="22"/>
          <w:szCs w:val="22"/>
          <w:lang w:val="el-GR"/>
        </w:rPr>
        <w:t xml:space="preserve"> &lt; 0,05</w:t>
      </w:r>
    </w:p>
    <w:p w:rsidR="005D4757" w:rsidRPr="002C6BBC" w:rsidRDefault="005D4757" w:rsidP="00C612DC">
      <w:pPr>
        <w:pStyle w:val="MGGTextLeft"/>
        <w:ind w:left="360"/>
        <w:jc w:val="both"/>
        <w:rPr>
          <w:sz w:val="22"/>
          <w:szCs w:val="22"/>
          <w:lang w:val="el-GR"/>
        </w:rPr>
      </w:pPr>
      <w:r w:rsidRPr="002C6BBC">
        <w:rPr>
          <w:sz w:val="22"/>
          <w:szCs w:val="22"/>
          <w:lang w:val="el-GR"/>
        </w:rPr>
        <w:t xml:space="preserve">** </w:t>
      </w:r>
      <w:r w:rsidRPr="002C6BBC">
        <w:rPr>
          <w:sz w:val="22"/>
          <w:szCs w:val="22"/>
        </w:rPr>
        <w:t>p</w:t>
      </w:r>
      <w:r w:rsidRPr="002C6BBC">
        <w:rPr>
          <w:sz w:val="22"/>
          <w:szCs w:val="22"/>
          <w:lang w:val="el-GR"/>
        </w:rPr>
        <w:t xml:space="preserve"> &lt; 0,01</w:t>
      </w:r>
    </w:p>
    <w:p w:rsidR="005D4757" w:rsidRPr="002C6BBC" w:rsidRDefault="005D4757" w:rsidP="00C612DC">
      <w:pPr>
        <w:pStyle w:val="MGGTextLeft"/>
        <w:jc w:val="both"/>
        <w:rPr>
          <w:sz w:val="22"/>
          <w:szCs w:val="22"/>
          <w:lang w:val="el-GR"/>
        </w:rPr>
      </w:pPr>
      <w:r w:rsidRPr="002C6BBC">
        <w:rPr>
          <w:sz w:val="22"/>
          <w:szCs w:val="22"/>
          <w:lang w:val="el-GR"/>
        </w:rPr>
        <w:t>Η δονεπεζίλη προκάλεσε μια δοσοεξαρτώμενη στατιστικά σημαντική αύξηση στο ποσοστό των ασθενών που κρίθηκαν ως ανταποκρινόμενοι στη θεραπευτική αγωγή.</w:t>
      </w:r>
    </w:p>
    <w:p w:rsidR="005D4757" w:rsidRPr="002C6BBC" w:rsidRDefault="005D4757" w:rsidP="00C612DC">
      <w:pPr>
        <w:jc w:val="both"/>
        <w:rPr>
          <w:szCs w:val="22"/>
        </w:rPr>
      </w:pPr>
    </w:p>
    <w:p w:rsidR="005D4757" w:rsidRPr="002C6BBC" w:rsidRDefault="005D4757" w:rsidP="00C612DC">
      <w:pPr>
        <w:ind w:left="567" w:hanging="567"/>
        <w:jc w:val="both"/>
        <w:rPr>
          <w:szCs w:val="22"/>
        </w:rPr>
      </w:pPr>
      <w:r w:rsidRPr="002C6BBC">
        <w:rPr>
          <w:b/>
          <w:szCs w:val="22"/>
        </w:rPr>
        <w:t>5.2</w:t>
      </w:r>
      <w:r w:rsidRPr="002C6BBC">
        <w:rPr>
          <w:b/>
          <w:szCs w:val="22"/>
        </w:rPr>
        <w:tab/>
        <w:t>Φαρμακοκινητικές ιδιότητες</w:t>
      </w:r>
    </w:p>
    <w:p w:rsidR="005D4757" w:rsidRPr="002C6BBC" w:rsidRDefault="005D4757" w:rsidP="00C612DC">
      <w:pPr>
        <w:pStyle w:val="MGGTextLeft"/>
        <w:ind w:left="709" w:hanging="709"/>
        <w:jc w:val="both"/>
        <w:rPr>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Απορρόφηση:</w:t>
      </w:r>
    </w:p>
    <w:p w:rsidR="005D4757" w:rsidRPr="002C6BBC" w:rsidRDefault="005D4757" w:rsidP="00C612DC">
      <w:pPr>
        <w:pStyle w:val="MGGTextLeft"/>
        <w:jc w:val="both"/>
        <w:rPr>
          <w:sz w:val="22"/>
          <w:szCs w:val="22"/>
          <w:lang w:val="el-GR"/>
        </w:rPr>
      </w:pPr>
      <w:r w:rsidRPr="002C6BBC">
        <w:rPr>
          <w:sz w:val="22"/>
          <w:szCs w:val="22"/>
          <w:lang w:val="el-GR"/>
        </w:rPr>
        <w:t xml:space="preserve">Οι μέγιστες συγκεντρώσεις στο πλάσμα επιτυγχάνονται περίπου 3 έως 4 ώρες μετά την από του στόματος χορήγηση. Η συγκέντρωση στο πλάσμα και το εμβαδόν κάτω από την καμπύλη </w:t>
      </w:r>
      <w:r w:rsidRPr="002C6BBC">
        <w:rPr>
          <w:sz w:val="22"/>
          <w:szCs w:val="22"/>
          <w:lang w:val="en-US"/>
        </w:rPr>
        <w:t>AUC</w:t>
      </w:r>
      <w:r w:rsidRPr="002C6BBC">
        <w:rPr>
          <w:sz w:val="22"/>
          <w:szCs w:val="22"/>
          <w:lang w:val="el-GR"/>
        </w:rPr>
        <w:t xml:space="preserve"> αυξάνονται ανάλογα με τη δόση. Ο τελικός χρόνος ημίσειας ζωής της κατανομής του φαρμάκου στον οργανισμό είναι περίπου 70 ώρες, κατά συνέπεια, η χορήγηση πολλαπλών μονήρων ημερήσιων δόσεων οδηγεί βαθμιαία σε σταθεροποιημένη κατάσταση. Κατά προσέγγιση, η σταθεροποιημένη κατάσταση επιτυγχάνεται εντός 3 εβδομάδων από την έναρξη της θεραπείας. Μετά την επίτευξη της σταθεροποιημένης κατάστασης, οι συγκεντρώσεις της υδροχλωρικής δονεπεζίλης στο πλάσμα και η σχετική φαρμακοδυναμική της δραστηριότητα παρουσιάζουν πολύ μικρή διαφοροποίηση κατά τη διάρκεια της ημέρας.</w:t>
      </w:r>
    </w:p>
    <w:p w:rsidR="005D4757" w:rsidRPr="002C6BBC" w:rsidRDefault="005D4757" w:rsidP="00C612DC">
      <w:pPr>
        <w:pStyle w:val="MGGTextLeft"/>
        <w:jc w:val="both"/>
        <w:rPr>
          <w:sz w:val="22"/>
          <w:szCs w:val="22"/>
          <w:lang w:val="el-GR"/>
        </w:rPr>
      </w:pPr>
      <w:r w:rsidRPr="002C6BBC">
        <w:rPr>
          <w:sz w:val="22"/>
          <w:szCs w:val="22"/>
          <w:lang w:val="el-GR"/>
        </w:rPr>
        <w:t>Η λήψη τροφής δεν επηρέασε την απορρόφηση της υδροχλωρικής δονεπεζίλης.</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bCs/>
          <w:i/>
          <w:sz w:val="22"/>
          <w:szCs w:val="22"/>
          <w:lang w:val="el-GR"/>
        </w:rPr>
      </w:pPr>
      <w:r w:rsidRPr="002C6BBC">
        <w:rPr>
          <w:bCs/>
          <w:i/>
          <w:sz w:val="22"/>
          <w:szCs w:val="22"/>
          <w:lang w:val="el-GR"/>
        </w:rPr>
        <w:t>Κατανομή:</w:t>
      </w:r>
    </w:p>
    <w:p w:rsidR="005D4757" w:rsidRPr="002C6BBC" w:rsidRDefault="005D4757" w:rsidP="00C612DC">
      <w:pPr>
        <w:pStyle w:val="MGGTextLeft"/>
        <w:jc w:val="both"/>
        <w:rPr>
          <w:sz w:val="22"/>
          <w:szCs w:val="22"/>
          <w:lang w:val="el-GR"/>
        </w:rPr>
      </w:pPr>
      <w:r w:rsidRPr="002C6BBC">
        <w:rPr>
          <w:sz w:val="22"/>
          <w:szCs w:val="22"/>
          <w:lang w:val="el-GR"/>
        </w:rPr>
        <w:t>Η υδροχλωρική δονεπεζίλη δεσμεύεται σε ποσοστό περίπου 95 % από τις πρωτεΐνες του πλάσματος στον άνθρωπο. Δεν είναι γνωστός ο βαθμός δέσμευσης του ενεργού μεταβολίτη 6-</w:t>
      </w:r>
      <w:r w:rsidRPr="002C6BBC">
        <w:rPr>
          <w:sz w:val="22"/>
          <w:szCs w:val="22"/>
        </w:rPr>
        <w:t>O</w:t>
      </w:r>
      <w:r w:rsidRPr="002C6BBC">
        <w:rPr>
          <w:sz w:val="22"/>
          <w:szCs w:val="22"/>
          <w:lang w:val="el-GR"/>
        </w:rPr>
        <w:t xml:space="preserve">-απομεθυλιωμένη δονεπεζίλη με τις πρωτεΐνες του πλάσματος. Η κατανομή της υδροχλωρικής δονεπεζίλης στους διάφορους ιστούς του σώματος δεν έχει μελετηθεί επακριβώς. Ωστόσο, σε μία μελέτη με αντικείμενο τη συνολική κατανομή του φαρμάκου στο σώμα που έγινε σε υγιείς άρρενες εθελοντές, 240 ώρες μετά από τη χορήγηση μονήρους δόσης 5 </w:t>
      </w:r>
      <w:r w:rsidRPr="002C6BBC">
        <w:rPr>
          <w:sz w:val="22"/>
          <w:szCs w:val="22"/>
        </w:rPr>
        <w:t>mg</w:t>
      </w:r>
      <w:r w:rsidRPr="002C6BBC">
        <w:rPr>
          <w:sz w:val="22"/>
          <w:szCs w:val="22"/>
          <w:lang w:val="el-GR"/>
        </w:rPr>
        <w:t xml:space="preserve"> </w:t>
      </w:r>
      <w:r w:rsidRPr="002C6BBC">
        <w:rPr>
          <w:sz w:val="22"/>
          <w:szCs w:val="22"/>
          <w:vertAlign w:val="superscript"/>
          <w:lang w:val="el-GR"/>
        </w:rPr>
        <w:t>14</w:t>
      </w:r>
      <w:r w:rsidRPr="002C6BBC">
        <w:rPr>
          <w:sz w:val="22"/>
          <w:szCs w:val="22"/>
        </w:rPr>
        <w:t>C</w:t>
      </w:r>
      <w:r w:rsidRPr="002C6BBC">
        <w:rPr>
          <w:sz w:val="22"/>
          <w:szCs w:val="22"/>
          <w:lang w:val="el-GR"/>
        </w:rPr>
        <w:t>- σεσημασμένης υδροχλωρικής δονεπεζίλης, περίπου 28 % της ραδιοσεσημασμένης ποσότητας παρέμενε στον οργανισμό. Το γεγονός αυτό υποδεικνύει ότι η υδροχλωρική δονεπεζίλη και/ή οι μεταβολίτες τ</w:t>
      </w:r>
      <w:r w:rsidR="007D4F3A" w:rsidRPr="002C6BBC">
        <w:rPr>
          <w:sz w:val="22"/>
          <w:szCs w:val="22"/>
          <w:lang w:val="el-GR"/>
        </w:rPr>
        <w:t>ης</w:t>
      </w:r>
      <w:r w:rsidRPr="002C6BBC">
        <w:rPr>
          <w:sz w:val="22"/>
          <w:szCs w:val="22"/>
          <w:lang w:val="el-GR"/>
        </w:rPr>
        <w:t xml:space="preserve"> μπορούν να παραμείνουν στον οργανισμό για περισσότερες από 10 ημέρες. </w:t>
      </w:r>
    </w:p>
    <w:p w:rsidR="005D4757" w:rsidRPr="002C6BBC" w:rsidRDefault="005D4757" w:rsidP="00C612DC">
      <w:pPr>
        <w:pStyle w:val="MGGTextLeft"/>
        <w:jc w:val="both"/>
        <w:rPr>
          <w:sz w:val="22"/>
          <w:szCs w:val="22"/>
          <w:lang w:val="el-GR"/>
        </w:rPr>
      </w:pPr>
    </w:p>
    <w:p w:rsidR="005D4757" w:rsidRPr="002C6BBC" w:rsidRDefault="00816969" w:rsidP="00C612DC">
      <w:pPr>
        <w:pStyle w:val="MGGTextLeft"/>
        <w:jc w:val="both"/>
        <w:rPr>
          <w:bCs/>
          <w:i/>
          <w:sz w:val="22"/>
          <w:szCs w:val="22"/>
          <w:lang w:val="el-GR"/>
        </w:rPr>
      </w:pPr>
      <w:r w:rsidRPr="002C6BBC">
        <w:rPr>
          <w:bCs/>
          <w:i/>
          <w:sz w:val="22"/>
          <w:szCs w:val="22"/>
          <w:lang w:val="el-GR"/>
        </w:rPr>
        <w:t>Βιομετατροπή / Αποβολή</w:t>
      </w:r>
      <w:r w:rsidR="005D4757" w:rsidRPr="002C6BBC">
        <w:rPr>
          <w:bCs/>
          <w:i/>
          <w:sz w:val="22"/>
          <w:szCs w:val="22"/>
          <w:lang w:val="el-GR"/>
        </w:rPr>
        <w:t>:</w:t>
      </w:r>
    </w:p>
    <w:p w:rsidR="005D4757" w:rsidRPr="002C6BBC" w:rsidRDefault="005D4757" w:rsidP="00C612DC">
      <w:pPr>
        <w:pStyle w:val="MGGTextLeft"/>
        <w:jc w:val="both"/>
        <w:rPr>
          <w:sz w:val="22"/>
          <w:szCs w:val="22"/>
          <w:lang w:val="el-GR"/>
        </w:rPr>
      </w:pPr>
      <w:r w:rsidRPr="002C6BBC">
        <w:rPr>
          <w:sz w:val="22"/>
          <w:szCs w:val="22"/>
          <w:lang w:val="el-GR"/>
        </w:rPr>
        <w:t xml:space="preserve">Η υδροχλωρική δονεπεζίλη απεκκρίνεται αφ’ ενός μεν αναλλοίωτη στα ούρα, αφ’ ετέρου δε, μεταβολίζεται από το σύστημα του κυτοχρώματος </w:t>
      </w:r>
      <w:r w:rsidRPr="002C6BBC">
        <w:rPr>
          <w:sz w:val="22"/>
          <w:szCs w:val="22"/>
        </w:rPr>
        <w:t>P</w:t>
      </w:r>
      <w:r w:rsidRPr="002C6BBC">
        <w:rPr>
          <w:sz w:val="22"/>
          <w:szCs w:val="22"/>
          <w:lang w:val="el-GR"/>
        </w:rPr>
        <w:t xml:space="preserve">450 σε διάφορους μεταβολίτες, εκ των οποίων ορισμένοι δεν έχουν ταυτοποιηθεί. Μετά από χορήγηση μίας μονήρους δόσης 5 </w:t>
      </w:r>
      <w:r w:rsidRPr="002C6BBC">
        <w:rPr>
          <w:sz w:val="22"/>
          <w:szCs w:val="22"/>
        </w:rPr>
        <w:t>mg</w:t>
      </w:r>
      <w:r w:rsidRPr="002C6BBC">
        <w:rPr>
          <w:sz w:val="22"/>
          <w:szCs w:val="22"/>
          <w:lang w:val="el-GR"/>
        </w:rPr>
        <w:t xml:space="preserve"> </w:t>
      </w:r>
      <w:r w:rsidRPr="002C6BBC">
        <w:rPr>
          <w:sz w:val="22"/>
          <w:szCs w:val="22"/>
          <w:vertAlign w:val="superscript"/>
          <w:lang w:val="el-GR"/>
        </w:rPr>
        <w:t>14</w:t>
      </w:r>
      <w:r w:rsidRPr="002C6BBC">
        <w:rPr>
          <w:sz w:val="22"/>
          <w:szCs w:val="22"/>
        </w:rPr>
        <w:t>C</w:t>
      </w:r>
      <w:r w:rsidRPr="002C6BBC">
        <w:rPr>
          <w:sz w:val="22"/>
          <w:szCs w:val="22"/>
          <w:lang w:val="el-GR"/>
        </w:rPr>
        <w:t>-σημασμένης υδροχλωρικής δονεπεζίλης, η ραδιενέργ</w:t>
      </w:r>
      <w:r w:rsidR="006E6A2B" w:rsidRPr="002C6BBC">
        <w:rPr>
          <w:sz w:val="22"/>
          <w:szCs w:val="22"/>
          <w:lang w:val="el-GR"/>
        </w:rPr>
        <w:t>εια</w:t>
      </w:r>
      <w:r w:rsidRPr="002C6BBC">
        <w:rPr>
          <w:sz w:val="22"/>
          <w:szCs w:val="22"/>
          <w:lang w:val="el-GR"/>
        </w:rPr>
        <w:t xml:space="preserve"> που ανιχνεύτηκε στο πλάσμα, εκφρασμένη ως ποσοστό της χορηγούμενης δόσης, οφείλεται κυρίως στην αναλλοίωτη υδροχλωρική δονεπεζίλη (30%), στην 6-</w:t>
      </w:r>
      <w:r w:rsidRPr="002C6BBC">
        <w:rPr>
          <w:sz w:val="22"/>
          <w:szCs w:val="22"/>
        </w:rPr>
        <w:t>O</w:t>
      </w:r>
      <w:r w:rsidRPr="002C6BBC">
        <w:rPr>
          <w:sz w:val="22"/>
          <w:szCs w:val="22"/>
          <w:lang w:val="el-GR"/>
        </w:rPr>
        <w:t xml:space="preserve">-απομεθυλιωμένη δονεπεζίλη (11% - ο μόνος μεταβολίτης που επιδεικνύει παρόμοια δράση με την υδροχλωρική δονεπεζίλη), στο </w:t>
      </w:r>
      <w:r w:rsidRPr="002C6BBC">
        <w:rPr>
          <w:sz w:val="22"/>
          <w:szCs w:val="22"/>
        </w:rPr>
        <w:t>donepezil</w:t>
      </w:r>
      <w:r w:rsidRPr="002C6BBC">
        <w:rPr>
          <w:sz w:val="22"/>
          <w:szCs w:val="22"/>
          <w:lang w:val="el-GR"/>
        </w:rPr>
        <w:t>-</w:t>
      </w:r>
      <w:r w:rsidRPr="002C6BBC">
        <w:rPr>
          <w:sz w:val="22"/>
          <w:szCs w:val="22"/>
        </w:rPr>
        <w:t>cis</w:t>
      </w:r>
      <w:r w:rsidRPr="002C6BBC">
        <w:rPr>
          <w:sz w:val="22"/>
          <w:szCs w:val="22"/>
          <w:lang w:val="el-GR"/>
        </w:rPr>
        <w:t>-</w:t>
      </w:r>
      <w:r w:rsidRPr="002C6BBC">
        <w:rPr>
          <w:sz w:val="22"/>
          <w:szCs w:val="22"/>
        </w:rPr>
        <w:t>N</w:t>
      </w:r>
      <w:r w:rsidRPr="002C6BBC">
        <w:rPr>
          <w:sz w:val="22"/>
          <w:szCs w:val="22"/>
          <w:lang w:val="el-GR"/>
        </w:rPr>
        <w:t>-</w:t>
      </w:r>
      <w:r w:rsidRPr="002C6BBC">
        <w:rPr>
          <w:sz w:val="22"/>
          <w:szCs w:val="22"/>
        </w:rPr>
        <w:t>oxide</w:t>
      </w:r>
      <w:r w:rsidRPr="002C6BBC">
        <w:rPr>
          <w:sz w:val="22"/>
          <w:szCs w:val="22"/>
          <w:lang w:val="el-GR"/>
        </w:rPr>
        <w:t xml:space="preserve"> (9%), στην 5-</w:t>
      </w:r>
      <w:r w:rsidRPr="002C6BBC">
        <w:rPr>
          <w:sz w:val="22"/>
          <w:szCs w:val="22"/>
        </w:rPr>
        <w:t>O</w:t>
      </w:r>
      <w:r w:rsidRPr="002C6BBC">
        <w:rPr>
          <w:sz w:val="22"/>
          <w:szCs w:val="22"/>
          <w:lang w:val="el-GR"/>
        </w:rPr>
        <w:t>- απομεθυλιωμένη δονεπεζίλη (7%) και στο συζευγμένο γλυκουρονίδιο της 5-</w:t>
      </w:r>
      <w:r w:rsidRPr="002C6BBC">
        <w:rPr>
          <w:sz w:val="22"/>
          <w:szCs w:val="22"/>
        </w:rPr>
        <w:t>O</w:t>
      </w:r>
      <w:r w:rsidRPr="002C6BBC">
        <w:rPr>
          <w:sz w:val="22"/>
          <w:szCs w:val="22"/>
          <w:lang w:val="el-GR"/>
        </w:rPr>
        <w:t>- απομεθυλιωμένης δονεπεζίλης (3%). Ποσοστό περίπου 57% της ολικής χορηγούμενης ραδιενεργού δόσης ανακτήθηκε στα ούρα (17% ως αναλλοίωτη δονεπεζίλη) και 14,5% ανακτήθηκε στα κόπρανα, υποδεικνύοντας ότι η βιομετατροπή και η απέκκριση μέσω των ούρων είναι οι κύριες απεκκριτικές οδοί. Δεν υπάρχουν ενδείξεις εντεροηπατικής επανακυκλοφορίας της υδροχλωρικής δονεπεζίλης και/ή των μεταβολιτών της.</w:t>
      </w:r>
      <w:r w:rsidRPr="002C6BBC">
        <w:rPr>
          <w:sz w:val="22"/>
          <w:szCs w:val="22"/>
          <w:lang w:val="el-GR"/>
        </w:rPr>
        <w:br/>
        <w:t>Οι συγκεντρώσεις της δονεπεζίλης στο πλάσμα ελαττώνονται με χρόνο ημιζωής περίπου 70 ώρες.</w:t>
      </w:r>
    </w:p>
    <w:p w:rsidR="005D4757" w:rsidRPr="002C6BBC" w:rsidRDefault="005D4757" w:rsidP="00C612DC">
      <w:pPr>
        <w:pStyle w:val="MGGTextLeft"/>
        <w:jc w:val="both"/>
        <w:rPr>
          <w:sz w:val="22"/>
          <w:szCs w:val="22"/>
          <w:lang w:val="el-GR"/>
        </w:rPr>
      </w:pPr>
      <w:r w:rsidRPr="002C6BBC">
        <w:rPr>
          <w:sz w:val="22"/>
          <w:szCs w:val="22"/>
          <w:lang w:val="el-GR"/>
        </w:rPr>
        <w:t xml:space="preserve">Το φύλο, η φυλή και η ύπαρξη ιστορικού καπνίσματος δεν έχουν κλινικώς σημαντική επίδραση στις συγκεντρώσεις της υδροχλωρικής δονεπεζίλης στο πλάσμα. Η φαρμακοκινητική της δονεπεζίλης δεν έχει μελετηθεί επίσημα σε υγιή ηλικιωμένα άτομα ή σε </w:t>
      </w:r>
      <w:r w:rsidRPr="002C6BBC">
        <w:rPr>
          <w:sz w:val="22"/>
          <w:szCs w:val="22"/>
          <w:lang w:val="el-GR"/>
        </w:rPr>
        <w:lastRenderedPageBreak/>
        <w:t xml:space="preserve">ασθενείς με αγγειακή άνοια </w:t>
      </w:r>
      <w:r w:rsidRPr="002C6BBC">
        <w:rPr>
          <w:sz w:val="22"/>
          <w:szCs w:val="22"/>
        </w:rPr>
        <w:t>Alzheimer</w:t>
      </w:r>
      <w:r w:rsidRPr="002C6BBC">
        <w:rPr>
          <w:sz w:val="22"/>
          <w:szCs w:val="22"/>
          <w:lang w:val="el-GR"/>
        </w:rPr>
        <w:t>. Ωστόσο, η μέση συγκέντρωση στο πλάσμα των ασθενών ήταν παρόμοια σε μεγάλο βαθμό με αυτή των νεαρών υγιών εθελοντών.</w:t>
      </w:r>
    </w:p>
    <w:p w:rsidR="005D4757" w:rsidRPr="002C6BBC" w:rsidRDefault="005D4757" w:rsidP="00C612DC">
      <w:pPr>
        <w:pStyle w:val="MGGTextLeft"/>
        <w:jc w:val="both"/>
        <w:rPr>
          <w:sz w:val="22"/>
          <w:szCs w:val="22"/>
          <w:lang w:val="el-GR"/>
        </w:rPr>
      </w:pPr>
      <w:r w:rsidRPr="002C6BBC">
        <w:rPr>
          <w:sz w:val="22"/>
          <w:szCs w:val="22"/>
          <w:lang w:val="el-GR"/>
        </w:rPr>
        <w:t xml:space="preserve">Οι ασθενείς με ήπιας έως μέτριας βαρύτητας ηπατική ανεπάρκεια εμφάνισαν αυξημένες συγκεντρώσεις δονεπεζίλης στη σταθεροποιημένη κατάσταση: αύξηση της μέσης </w:t>
      </w:r>
      <w:r w:rsidRPr="002C6BBC">
        <w:rPr>
          <w:sz w:val="22"/>
          <w:szCs w:val="22"/>
        </w:rPr>
        <w:t>AUC</w:t>
      </w:r>
      <w:r w:rsidRPr="002C6BBC">
        <w:rPr>
          <w:sz w:val="22"/>
          <w:szCs w:val="22"/>
          <w:lang w:val="el-GR"/>
        </w:rPr>
        <w:t xml:space="preserve"> κατά 48% και της μέσης </w:t>
      </w:r>
      <w:r w:rsidRPr="002C6BBC">
        <w:rPr>
          <w:sz w:val="22"/>
          <w:szCs w:val="22"/>
        </w:rPr>
        <w:t>C</w:t>
      </w:r>
      <w:r w:rsidRPr="002C6BBC">
        <w:rPr>
          <w:sz w:val="22"/>
          <w:szCs w:val="22"/>
          <w:vertAlign w:val="subscript"/>
        </w:rPr>
        <w:t>max</w:t>
      </w:r>
      <w:r w:rsidRPr="002C6BBC">
        <w:rPr>
          <w:sz w:val="22"/>
          <w:szCs w:val="22"/>
          <w:lang w:val="el-GR"/>
        </w:rPr>
        <w:t xml:space="preserve"> κατά 39% (βλέπε παράγραφο 4.2).</w:t>
      </w:r>
    </w:p>
    <w:p w:rsidR="005D4757" w:rsidRPr="002C6BBC" w:rsidRDefault="005D4757" w:rsidP="00C612DC">
      <w:pPr>
        <w:jc w:val="both"/>
        <w:rPr>
          <w:b/>
          <w:szCs w:val="22"/>
        </w:rPr>
      </w:pPr>
    </w:p>
    <w:p w:rsidR="005D4757" w:rsidRPr="002C6BBC" w:rsidRDefault="005D4757" w:rsidP="00C612DC">
      <w:pPr>
        <w:jc w:val="both"/>
        <w:rPr>
          <w:szCs w:val="22"/>
        </w:rPr>
      </w:pPr>
      <w:r w:rsidRPr="002C6BBC">
        <w:rPr>
          <w:b/>
          <w:szCs w:val="22"/>
        </w:rPr>
        <w:t>5.3</w:t>
      </w:r>
      <w:r w:rsidRPr="002C6BBC">
        <w:rPr>
          <w:b/>
          <w:szCs w:val="22"/>
        </w:rPr>
        <w:tab/>
        <w:t>Προκλινικά δεδομένα για την ασφάλεια</w:t>
      </w:r>
    </w:p>
    <w:p w:rsidR="005D4757" w:rsidRPr="002C6BBC" w:rsidRDefault="005D4757" w:rsidP="00C612DC">
      <w:pPr>
        <w:jc w:val="both"/>
        <w:rPr>
          <w:iCs/>
          <w:szCs w:val="22"/>
        </w:rPr>
      </w:pPr>
    </w:p>
    <w:p w:rsidR="005D4757" w:rsidRPr="002C6BBC" w:rsidRDefault="005D4757" w:rsidP="00C612DC">
      <w:pPr>
        <w:pStyle w:val="MGGTextLeft"/>
        <w:jc w:val="both"/>
        <w:rPr>
          <w:sz w:val="22"/>
          <w:szCs w:val="22"/>
          <w:lang w:val="el-GR"/>
        </w:rPr>
      </w:pPr>
      <w:r w:rsidRPr="002C6BBC">
        <w:rPr>
          <w:sz w:val="22"/>
          <w:szCs w:val="22"/>
          <w:lang w:val="el-GR"/>
        </w:rPr>
        <w:t xml:space="preserve">Εκτεταμένοι έλεγχοι σε πειραματόζωα έδειξαν ότι αυτό το φάρμακο έχει ελάχιστες επιδράσεις εκτός από την επιθυμητή φαρμακολογική δράση του, που είναι σύμφωνη με το ρόλο του ως χολινεργικός διεγέρτης (βλέπε παράγραφο 4.9). Η δονεπεζίλη δεν είναι μεταλλαξιογόνος σε δοκιμασίες μετάλλαξης σε βακτηριακά κύτταρα ή κύτταρα θηλαστικών. Θραύση χρωμοσωμάτων </w:t>
      </w:r>
      <w:r w:rsidRPr="002C6BBC">
        <w:rPr>
          <w:i/>
          <w:iCs/>
          <w:sz w:val="22"/>
          <w:szCs w:val="22"/>
        </w:rPr>
        <w:t>in</w:t>
      </w:r>
      <w:r w:rsidRPr="002C6BBC">
        <w:rPr>
          <w:i/>
          <w:iCs/>
          <w:sz w:val="22"/>
          <w:szCs w:val="22"/>
          <w:lang w:val="el-GR"/>
        </w:rPr>
        <w:t xml:space="preserve"> </w:t>
      </w:r>
      <w:r w:rsidRPr="002C6BBC">
        <w:rPr>
          <w:i/>
          <w:iCs/>
          <w:sz w:val="22"/>
          <w:szCs w:val="22"/>
        </w:rPr>
        <w:t>vitro</w:t>
      </w:r>
      <w:r w:rsidRPr="002C6BBC">
        <w:rPr>
          <w:sz w:val="22"/>
          <w:szCs w:val="22"/>
          <w:lang w:val="el-GR"/>
        </w:rPr>
        <w:t xml:space="preserve"> παρουσιάστηκε σε κάποιο βαθμό σε συγκεντρώσεις εμφανώς τοξικές για τα κύτταρα και περισσότερο από 3</w:t>
      </w:r>
      <w:r w:rsidR="006E6A2B" w:rsidRPr="002C6BBC">
        <w:rPr>
          <w:sz w:val="22"/>
          <w:szCs w:val="22"/>
          <w:lang w:val="el-GR"/>
        </w:rPr>
        <w:t>.</w:t>
      </w:r>
      <w:r w:rsidRPr="002C6BBC">
        <w:rPr>
          <w:sz w:val="22"/>
          <w:szCs w:val="22"/>
          <w:lang w:val="el-GR"/>
        </w:rPr>
        <w:t xml:space="preserve">000 φορές υψηλότερες από τις συγκεντρώσεις στη σταθεροποιημένη κατάσταση στο πλάσμα. Δεν παρατηρήθηκε θραύση χρωμοσωμάτων ή άλλες γονοτοξικές επιδράσεις στο μοντέλο μελέτης μικροπυρήνων κυττάρων ποντικών </w:t>
      </w:r>
      <w:r w:rsidRPr="002C6BBC">
        <w:rPr>
          <w:i/>
          <w:iCs/>
          <w:sz w:val="22"/>
          <w:szCs w:val="22"/>
        </w:rPr>
        <w:t>in</w:t>
      </w:r>
      <w:r w:rsidRPr="002C6BBC">
        <w:rPr>
          <w:i/>
          <w:iCs/>
          <w:sz w:val="22"/>
          <w:szCs w:val="22"/>
          <w:lang w:val="el-GR"/>
        </w:rPr>
        <w:t xml:space="preserve"> </w:t>
      </w:r>
      <w:r w:rsidRPr="002C6BBC">
        <w:rPr>
          <w:i/>
          <w:iCs/>
          <w:sz w:val="22"/>
          <w:szCs w:val="22"/>
        </w:rPr>
        <w:t>vivo</w:t>
      </w:r>
      <w:r w:rsidRPr="002C6BBC">
        <w:rPr>
          <w:sz w:val="22"/>
          <w:szCs w:val="22"/>
          <w:lang w:val="el-GR"/>
        </w:rPr>
        <w:t>. Οι μακροχρόνιες μελέτες καρκινογένεσης που πραγματοποιήθηκαν σε αρουραίους και σε ποντίκια, δεν έδειξαν πιθανή ογκογόνο δράση.</w:t>
      </w:r>
    </w:p>
    <w:p w:rsidR="005D4757" w:rsidRPr="002C6BBC" w:rsidRDefault="005D4757" w:rsidP="00C612DC">
      <w:pPr>
        <w:pStyle w:val="MGGTextLeft"/>
        <w:jc w:val="both"/>
        <w:rPr>
          <w:sz w:val="22"/>
          <w:szCs w:val="22"/>
          <w:lang w:val="el-GR"/>
        </w:rPr>
      </w:pPr>
      <w:r w:rsidRPr="002C6BBC">
        <w:rPr>
          <w:sz w:val="22"/>
          <w:szCs w:val="22"/>
          <w:lang w:val="el-GR"/>
        </w:rPr>
        <w:t>Η υδροχλωρική δονεπεζίλη δεν είχε καμία επίδραση στη γονιμότητα σε αρουραίους και δεν παρουσίασε τερατογόνο δράση σε αρουραίους ή κουνέλια, αλλά είχε μία μικρή επίδραση στον αριθμό των θνησιγενών εμβρύων και των πρώιμων νεογνών που επιβίωσαν, όταν χορηγήθηκε σε εγκύους αρουραίους, σε δόσεις 50 φορές μεγαλύτερες της ανθρώπινης δόσης (βλέπε παράγραφο 4.6).</w:t>
      </w:r>
    </w:p>
    <w:p w:rsidR="005D4757" w:rsidRPr="002C6BBC" w:rsidRDefault="005D4757" w:rsidP="00C612DC">
      <w:pPr>
        <w:pStyle w:val="a3"/>
        <w:tabs>
          <w:tab w:val="clear" w:pos="4153"/>
          <w:tab w:val="clear" w:pos="8306"/>
        </w:tabs>
        <w:jc w:val="both"/>
        <w:rPr>
          <w:szCs w:val="22"/>
          <w:lang w:val="en-US"/>
        </w:rPr>
      </w:pPr>
    </w:p>
    <w:p w:rsidR="005D4757" w:rsidRPr="002C6BBC" w:rsidRDefault="005D4757" w:rsidP="00C612DC">
      <w:pPr>
        <w:jc w:val="both"/>
        <w:rPr>
          <w:szCs w:val="22"/>
        </w:rPr>
      </w:pPr>
      <w:r w:rsidRPr="002C6BBC">
        <w:rPr>
          <w:b/>
          <w:szCs w:val="22"/>
        </w:rPr>
        <w:t>6.</w:t>
      </w:r>
      <w:r w:rsidRPr="002C6BBC">
        <w:rPr>
          <w:b/>
          <w:szCs w:val="22"/>
        </w:rPr>
        <w:tab/>
        <w:t>ΦΑΡΜΑΚΕΥΤΙΚΕΣ ΠΛΗΡΟΦΟΡΙΕΣ</w:t>
      </w:r>
    </w:p>
    <w:p w:rsidR="005D4757" w:rsidRPr="002C6BBC" w:rsidRDefault="005D4757" w:rsidP="00C612DC">
      <w:pPr>
        <w:jc w:val="both"/>
        <w:rPr>
          <w:szCs w:val="22"/>
        </w:rPr>
      </w:pPr>
    </w:p>
    <w:p w:rsidR="005D4757" w:rsidRPr="002C6BBC" w:rsidRDefault="005D4757" w:rsidP="00C612DC">
      <w:pPr>
        <w:jc w:val="both"/>
        <w:rPr>
          <w:szCs w:val="22"/>
        </w:rPr>
      </w:pPr>
      <w:r w:rsidRPr="002C6BBC">
        <w:rPr>
          <w:b/>
          <w:szCs w:val="22"/>
        </w:rPr>
        <w:t>6.1</w:t>
      </w:r>
      <w:r w:rsidRPr="002C6BBC">
        <w:rPr>
          <w:b/>
          <w:szCs w:val="22"/>
        </w:rPr>
        <w:tab/>
        <w:t>Κατάλογος εκδόχων</w:t>
      </w:r>
    </w:p>
    <w:p w:rsidR="005D4757" w:rsidRPr="002C6BBC" w:rsidRDefault="005D4757" w:rsidP="00C612DC">
      <w:pPr>
        <w:pStyle w:val="MGGTextLeft"/>
        <w:jc w:val="both"/>
        <w:rPr>
          <w:sz w:val="22"/>
          <w:szCs w:val="22"/>
          <w:lang w:val="el-GR"/>
        </w:rPr>
      </w:pPr>
    </w:p>
    <w:p w:rsidR="005D4757" w:rsidRPr="002C6BBC" w:rsidRDefault="005D4757" w:rsidP="00C612DC">
      <w:pPr>
        <w:pStyle w:val="MGGTextLeft"/>
        <w:jc w:val="both"/>
        <w:rPr>
          <w:i/>
          <w:sz w:val="22"/>
          <w:szCs w:val="22"/>
          <w:lang w:val="el-GR"/>
        </w:rPr>
      </w:pPr>
      <w:r w:rsidRPr="002C6BBC">
        <w:rPr>
          <w:i/>
          <w:sz w:val="22"/>
          <w:szCs w:val="22"/>
          <w:lang w:val="el-GR"/>
        </w:rPr>
        <w:t>Πυρήνας δισκίου:</w:t>
      </w:r>
    </w:p>
    <w:p w:rsidR="005D4757" w:rsidRPr="002C6BBC" w:rsidRDefault="005D4757" w:rsidP="00C612DC">
      <w:pPr>
        <w:pStyle w:val="MGGTextLeft"/>
        <w:jc w:val="both"/>
        <w:rPr>
          <w:sz w:val="22"/>
          <w:szCs w:val="22"/>
          <w:lang w:val="el-GR"/>
        </w:rPr>
      </w:pPr>
      <w:r w:rsidRPr="002C6BBC">
        <w:rPr>
          <w:sz w:val="22"/>
          <w:szCs w:val="22"/>
          <w:lang w:val="el-GR"/>
        </w:rPr>
        <w:t xml:space="preserve">Κυτταρίνη, μικροκρυσταλλική </w:t>
      </w:r>
    </w:p>
    <w:p w:rsidR="005D4757" w:rsidRPr="002C6BBC" w:rsidRDefault="005D4757" w:rsidP="00C612DC">
      <w:pPr>
        <w:pStyle w:val="MGGTextLeft"/>
        <w:jc w:val="both"/>
        <w:rPr>
          <w:sz w:val="22"/>
          <w:szCs w:val="22"/>
          <w:lang w:val="el-GR"/>
        </w:rPr>
      </w:pPr>
      <w:r w:rsidRPr="002C6BBC">
        <w:rPr>
          <w:sz w:val="22"/>
          <w:szCs w:val="22"/>
          <w:lang w:val="el-GR"/>
        </w:rPr>
        <w:t xml:space="preserve">Λακτόζη μονοϋδρική </w:t>
      </w:r>
    </w:p>
    <w:p w:rsidR="005D4757" w:rsidRPr="002C6BBC" w:rsidRDefault="005D4757" w:rsidP="00C612DC">
      <w:pPr>
        <w:pStyle w:val="MGGTextLeft"/>
        <w:jc w:val="both"/>
        <w:rPr>
          <w:sz w:val="22"/>
          <w:szCs w:val="22"/>
          <w:lang w:val="el-GR"/>
        </w:rPr>
      </w:pPr>
      <w:r w:rsidRPr="002C6BBC">
        <w:rPr>
          <w:sz w:val="22"/>
          <w:szCs w:val="22"/>
          <w:lang w:val="el-GR"/>
        </w:rPr>
        <w:t xml:space="preserve">Άμυλο αραβοσίτου </w:t>
      </w:r>
    </w:p>
    <w:p w:rsidR="005D4757" w:rsidRPr="002C6BBC" w:rsidRDefault="005D4757" w:rsidP="00C612DC">
      <w:pPr>
        <w:pStyle w:val="MGGTextLeft"/>
        <w:jc w:val="both"/>
        <w:rPr>
          <w:sz w:val="22"/>
          <w:szCs w:val="22"/>
          <w:lang w:val="el-GR"/>
        </w:rPr>
      </w:pPr>
      <w:r w:rsidRPr="002C6BBC">
        <w:rPr>
          <w:sz w:val="22"/>
          <w:szCs w:val="22"/>
          <w:lang w:val="el-GR"/>
        </w:rPr>
        <w:t xml:space="preserve">Μαγνήσιο </w:t>
      </w:r>
      <w:r w:rsidR="00F23FBF" w:rsidRPr="002C6BBC">
        <w:rPr>
          <w:sz w:val="22"/>
          <w:szCs w:val="22"/>
          <w:lang w:val="el-GR"/>
        </w:rPr>
        <w:t>σ</w:t>
      </w:r>
      <w:r w:rsidRPr="002C6BBC">
        <w:rPr>
          <w:sz w:val="22"/>
          <w:szCs w:val="22"/>
          <w:lang w:val="el-GR"/>
        </w:rPr>
        <w:t xml:space="preserve">τεατικό </w:t>
      </w:r>
    </w:p>
    <w:p w:rsidR="005D4757" w:rsidRPr="002C6BBC" w:rsidRDefault="005D4757" w:rsidP="00C612DC">
      <w:pPr>
        <w:pStyle w:val="MGGTextLeft"/>
        <w:jc w:val="both"/>
        <w:rPr>
          <w:sz w:val="22"/>
          <w:szCs w:val="22"/>
          <w:lang w:val="el-GR"/>
        </w:rPr>
      </w:pPr>
    </w:p>
    <w:p w:rsidR="007674CA" w:rsidRPr="002C6BBC" w:rsidRDefault="005D4757" w:rsidP="00C612DC">
      <w:pPr>
        <w:pStyle w:val="MGGTextLeft"/>
        <w:jc w:val="both"/>
        <w:rPr>
          <w:bCs/>
          <w:i/>
          <w:sz w:val="22"/>
          <w:szCs w:val="22"/>
          <w:lang w:val="el-GR"/>
        </w:rPr>
      </w:pPr>
      <w:r w:rsidRPr="002C6BBC">
        <w:rPr>
          <w:bCs/>
          <w:i/>
          <w:sz w:val="22"/>
          <w:szCs w:val="22"/>
          <w:lang w:val="el-GR"/>
        </w:rPr>
        <w:t>Επικάλυψη δισκίου:</w:t>
      </w:r>
    </w:p>
    <w:p w:rsidR="005D4757" w:rsidRPr="002C6BBC" w:rsidRDefault="00816F3E" w:rsidP="00C612DC">
      <w:pPr>
        <w:pStyle w:val="MGGTextLeft"/>
        <w:jc w:val="both"/>
        <w:rPr>
          <w:i/>
          <w:sz w:val="22"/>
          <w:szCs w:val="22"/>
          <w:lang w:val="el-GR"/>
        </w:rPr>
      </w:pPr>
      <w:r w:rsidRPr="002C6BBC">
        <w:rPr>
          <w:i/>
          <w:sz w:val="22"/>
          <w:szCs w:val="22"/>
        </w:rPr>
        <w:t>PEZALE</w:t>
      </w:r>
      <w:r w:rsidR="005D4757" w:rsidRPr="002C6BBC">
        <w:rPr>
          <w:i/>
          <w:sz w:val="22"/>
          <w:szCs w:val="22"/>
          <w:lang w:val="el-GR"/>
        </w:rPr>
        <w:t xml:space="preserve"> 5 </w:t>
      </w:r>
      <w:r w:rsidR="005D4757" w:rsidRPr="002C6BBC">
        <w:rPr>
          <w:i/>
          <w:sz w:val="22"/>
          <w:szCs w:val="22"/>
        </w:rPr>
        <w:t>mg</w:t>
      </w:r>
      <w:r w:rsidR="005D4757" w:rsidRPr="002C6BBC">
        <w:rPr>
          <w:i/>
          <w:sz w:val="22"/>
          <w:szCs w:val="22"/>
          <w:lang w:val="el-GR"/>
        </w:rPr>
        <w:t>:</w:t>
      </w:r>
    </w:p>
    <w:p w:rsidR="005D4757" w:rsidRPr="002C6BBC" w:rsidRDefault="005D4757" w:rsidP="00C612DC">
      <w:pPr>
        <w:jc w:val="both"/>
        <w:rPr>
          <w:szCs w:val="22"/>
        </w:rPr>
      </w:pPr>
      <w:r w:rsidRPr="002C6BBC">
        <w:rPr>
          <w:szCs w:val="22"/>
        </w:rPr>
        <w:t>Αλκοόλη πολυβινυλική</w:t>
      </w:r>
    </w:p>
    <w:p w:rsidR="005D4757" w:rsidRPr="002C6BBC" w:rsidRDefault="005D4757" w:rsidP="00C612DC">
      <w:pPr>
        <w:jc w:val="both"/>
        <w:rPr>
          <w:szCs w:val="22"/>
        </w:rPr>
      </w:pPr>
      <w:r w:rsidRPr="002C6BBC">
        <w:rPr>
          <w:szCs w:val="22"/>
        </w:rPr>
        <w:t>Τάλκης</w:t>
      </w:r>
    </w:p>
    <w:p w:rsidR="005D4757" w:rsidRPr="002C6BBC" w:rsidRDefault="005D4757" w:rsidP="00C612DC">
      <w:pPr>
        <w:jc w:val="both"/>
        <w:rPr>
          <w:szCs w:val="22"/>
        </w:rPr>
      </w:pPr>
      <w:r w:rsidRPr="002C6BBC">
        <w:rPr>
          <w:szCs w:val="22"/>
        </w:rPr>
        <w:t>Τιτανίου διοξείδιο (Ε 171)</w:t>
      </w:r>
    </w:p>
    <w:p w:rsidR="005D4757" w:rsidRPr="002C6BBC" w:rsidRDefault="005D4757" w:rsidP="00C612DC">
      <w:pPr>
        <w:jc w:val="both"/>
        <w:rPr>
          <w:szCs w:val="22"/>
        </w:rPr>
      </w:pPr>
      <w:r w:rsidRPr="002C6BBC">
        <w:rPr>
          <w:szCs w:val="22"/>
        </w:rPr>
        <w:t>Πολυαιθυλενογλυκόλη 3350</w:t>
      </w:r>
    </w:p>
    <w:p w:rsidR="005D4757" w:rsidRPr="002C6BBC" w:rsidRDefault="005D4757" w:rsidP="00C612DC">
      <w:pPr>
        <w:jc w:val="both"/>
        <w:rPr>
          <w:szCs w:val="22"/>
        </w:rPr>
      </w:pPr>
      <w:r w:rsidRPr="002C6BBC">
        <w:rPr>
          <w:szCs w:val="22"/>
        </w:rPr>
        <w:t>Λεκιθίνη σόγιας</w:t>
      </w:r>
    </w:p>
    <w:p w:rsidR="005D4757" w:rsidRPr="002C6BBC" w:rsidRDefault="005D4757" w:rsidP="00C612DC">
      <w:pPr>
        <w:pStyle w:val="MGGTextLeft"/>
        <w:jc w:val="both"/>
        <w:rPr>
          <w:i/>
          <w:sz w:val="22"/>
          <w:szCs w:val="22"/>
          <w:lang w:val="el-GR"/>
        </w:rPr>
      </w:pPr>
    </w:p>
    <w:p w:rsidR="005D4757" w:rsidRPr="002C6BBC" w:rsidRDefault="00816F3E" w:rsidP="00C612DC">
      <w:pPr>
        <w:pStyle w:val="MGGTextLeft"/>
        <w:jc w:val="both"/>
        <w:rPr>
          <w:i/>
          <w:sz w:val="22"/>
          <w:szCs w:val="22"/>
          <w:lang w:val="el-GR"/>
        </w:rPr>
      </w:pPr>
      <w:r w:rsidRPr="002C6BBC">
        <w:rPr>
          <w:i/>
          <w:sz w:val="22"/>
          <w:szCs w:val="22"/>
        </w:rPr>
        <w:t>PEZALE</w:t>
      </w:r>
      <w:r w:rsidR="005D4757" w:rsidRPr="002C6BBC">
        <w:rPr>
          <w:i/>
          <w:sz w:val="22"/>
          <w:szCs w:val="22"/>
          <w:lang w:val="el-GR"/>
        </w:rPr>
        <w:t xml:space="preserve"> 10 </w:t>
      </w:r>
      <w:r w:rsidR="005D4757" w:rsidRPr="002C6BBC">
        <w:rPr>
          <w:i/>
          <w:sz w:val="22"/>
          <w:szCs w:val="22"/>
        </w:rPr>
        <w:t>mg</w:t>
      </w:r>
      <w:r w:rsidR="005D4757" w:rsidRPr="002C6BBC">
        <w:rPr>
          <w:i/>
          <w:sz w:val="22"/>
          <w:szCs w:val="22"/>
          <w:lang w:val="el-GR"/>
        </w:rPr>
        <w:t>:</w:t>
      </w:r>
    </w:p>
    <w:p w:rsidR="005D4757" w:rsidRPr="002C6BBC" w:rsidRDefault="005D4757" w:rsidP="00C612DC">
      <w:pPr>
        <w:jc w:val="both"/>
        <w:rPr>
          <w:szCs w:val="22"/>
        </w:rPr>
      </w:pPr>
      <w:r w:rsidRPr="002C6BBC">
        <w:rPr>
          <w:szCs w:val="22"/>
        </w:rPr>
        <w:t>Αλκοόλη πολυβινυλική</w:t>
      </w:r>
    </w:p>
    <w:p w:rsidR="005D4757" w:rsidRPr="002C6BBC" w:rsidRDefault="005D4757" w:rsidP="00C612DC">
      <w:pPr>
        <w:jc w:val="both"/>
        <w:rPr>
          <w:szCs w:val="22"/>
        </w:rPr>
      </w:pPr>
      <w:r w:rsidRPr="002C6BBC">
        <w:rPr>
          <w:szCs w:val="22"/>
        </w:rPr>
        <w:t>Τάλκης</w:t>
      </w:r>
    </w:p>
    <w:p w:rsidR="005D4757" w:rsidRPr="002C6BBC" w:rsidRDefault="005D4757" w:rsidP="00C612DC">
      <w:pPr>
        <w:jc w:val="both"/>
        <w:rPr>
          <w:szCs w:val="22"/>
        </w:rPr>
      </w:pPr>
      <w:r w:rsidRPr="002C6BBC">
        <w:rPr>
          <w:szCs w:val="22"/>
        </w:rPr>
        <w:t>Τιτανίου διοξείδιο (Ε 171)</w:t>
      </w:r>
    </w:p>
    <w:p w:rsidR="005D4757" w:rsidRPr="002C6BBC" w:rsidRDefault="005D4757" w:rsidP="00C612DC">
      <w:pPr>
        <w:jc w:val="both"/>
        <w:rPr>
          <w:szCs w:val="22"/>
        </w:rPr>
      </w:pPr>
      <w:r w:rsidRPr="002C6BBC">
        <w:rPr>
          <w:szCs w:val="22"/>
        </w:rPr>
        <w:t>Πολυαιθυλενογλυκόλη 3350</w:t>
      </w:r>
    </w:p>
    <w:p w:rsidR="005D4757" w:rsidRPr="002C6BBC" w:rsidRDefault="005D4757" w:rsidP="00C612DC">
      <w:pPr>
        <w:jc w:val="both"/>
        <w:rPr>
          <w:szCs w:val="22"/>
        </w:rPr>
      </w:pPr>
      <w:r w:rsidRPr="002C6BBC">
        <w:rPr>
          <w:szCs w:val="22"/>
        </w:rPr>
        <w:t>Λεκιθίνη σόγιας</w:t>
      </w:r>
    </w:p>
    <w:p w:rsidR="005D4757" w:rsidRPr="002C6BBC" w:rsidRDefault="005D4757" w:rsidP="00C612DC">
      <w:pPr>
        <w:jc w:val="both"/>
        <w:rPr>
          <w:szCs w:val="22"/>
        </w:rPr>
      </w:pPr>
      <w:r w:rsidRPr="002C6BBC">
        <w:rPr>
          <w:szCs w:val="22"/>
        </w:rPr>
        <w:t>Σιδήρου οξείδιο κίτρινο (Ε 172)</w:t>
      </w:r>
    </w:p>
    <w:p w:rsidR="005D4757" w:rsidRPr="002C6BBC" w:rsidRDefault="005D4757" w:rsidP="00C612DC">
      <w:pPr>
        <w:jc w:val="both"/>
        <w:rPr>
          <w:b/>
          <w:szCs w:val="22"/>
        </w:rPr>
      </w:pPr>
    </w:p>
    <w:p w:rsidR="005D4757" w:rsidRPr="002C6BBC" w:rsidRDefault="005D4757" w:rsidP="00C612DC">
      <w:pPr>
        <w:jc w:val="both"/>
        <w:rPr>
          <w:szCs w:val="22"/>
        </w:rPr>
      </w:pPr>
      <w:r w:rsidRPr="002C6BBC">
        <w:rPr>
          <w:b/>
          <w:szCs w:val="22"/>
        </w:rPr>
        <w:t>6.2</w:t>
      </w:r>
      <w:r w:rsidRPr="002C6BBC">
        <w:rPr>
          <w:b/>
          <w:szCs w:val="22"/>
        </w:rPr>
        <w:tab/>
        <w:t>Ασυμβατότητες</w:t>
      </w:r>
    </w:p>
    <w:p w:rsidR="005D4757" w:rsidRPr="002C6BBC" w:rsidRDefault="005D4757" w:rsidP="00C612DC">
      <w:pPr>
        <w:jc w:val="both"/>
        <w:rPr>
          <w:szCs w:val="22"/>
        </w:rPr>
      </w:pPr>
    </w:p>
    <w:p w:rsidR="005D4757" w:rsidRPr="002C6BBC" w:rsidRDefault="005D4757" w:rsidP="00C612DC">
      <w:pPr>
        <w:pStyle w:val="a3"/>
        <w:tabs>
          <w:tab w:val="clear" w:pos="4153"/>
          <w:tab w:val="clear" w:pos="8306"/>
        </w:tabs>
        <w:jc w:val="both"/>
        <w:rPr>
          <w:szCs w:val="22"/>
        </w:rPr>
      </w:pPr>
      <w:r w:rsidRPr="002C6BBC">
        <w:rPr>
          <w:szCs w:val="22"/>
        </w:rPr>
        <w:t xml:space="preserve">Δεν </w:t>
      </w:r>
      <w:r w:rsidR="00F23FBF" w:rsidRPr="002C6BBC">
        <w:rPr>
          <w:szCs w:val="22"/>
        </w:rPr>
        <w:t>εφαρμόζεται</w:t>
      </w:r>
      <w:r w:rsidRPr="002C6BBC">
        <w:rPr>
          <w:szCs w:val="22"/>
        </w:rPr>
        <w:t>.</w:t>
      </w:r>
    </w:p>
    <w:p w:rsidR="005D4757" w:rsidRPr="002C6BBC" w:rsidRDefault="005D4757" w:rsidP="00C612DC">
      <w:pPr>
        <w:pStyle w:val="a3"/>
        <w:tabs>
          <w:tab w:val="clear" w:pos="4153"/>
          <w:tab w:val="clear" w:pos="8306"/>
        </w:tabs>
        <w:jc w:val="both"/>
        <w:rPr>
          <w:szCs w:val="22"/>
        </w:rPr>
      </w:pPr>
    </w:p>
    <w:p w:rsidR="005D4757" w:rsidRPr="002C6BBC" w:rsidRDefault="005D4757" w:rsidP="00C612DC">
      <w:pPr>
        <w:jc w:val="both"/>
        <w:rPr>
          <w:szCs w:val="22"/>
        </w:rPr>
      </w:pPr>
      <w:r w:rsidRPr="002C6BBC">
        <w:rPr>
          <w:b/>
          <w:szCs w:val="22"/>
        </w:rPr>
        <w:t>6.3</w:t>
      </w:r>
      <w:r w:rsidRPr="002C6BBC">
        <w:rPr>
          <w:b/>
          <w:szCs w:val="22"/>
        </w:rPr>
        <w:tab/>
        <w:t>Διάρκεια ζωής</w:t>
      </w:r>
    </w:p>
    <w:p w:rsidR="005D4757" w:rsidRPr="002C6BBC" w:rsidRDefault="005D4757" w:rsidP="00C612DC">
      <w:pPr>
        <w:jc w:val="both"/>
        <w:rPr>
          <w:szCs w:val="22"/>
        </w:rPr>
      </w:pPr>
    </w:p>
    <w:p w:rsidR="005D4757" w:rsidRPr="002C6BBC" w:rsidRDefault="00F23FBF" w:rsidP="00C612DC">
      <w:pPr>
        <w:jc w:val="both"/>
        <w:rPr>
          <w:szCs w:val="22"/>
        </w:rPr>
      </w:pPr>
      <w:r w:rsidRPr="002C6BBC">
        <w:rPr>
          <w:szCs w:val="22"/>
        </w:rPr>
        <w:t>2 χρόνια</w:t>
      </w:r>
    </w:p>
    <w:p w:rsidR="005D4757" w:rsidRPr="002C6BBC" w:rsidRDefault="005D4757" w:rsidP="00C612DC">
      <w:pPr>
        <w:jc w:val="both"/>
        <w:rPr>
          <w:szCs w:val="22"/>
        </w:rPr>
      </w:pPr>
    </w:p>
    <w:p w:rsidR="005D4757" w:rsidRPr="002C6BBC" w:rsidRDefault="005D4757" w:rsidP="00C612DC">
      <w:pPr>
        <w:jc w:val="both"/>
        <w:rPr>
          <w:szCs w:val="22"/>
        </w:rPr>
      </w:pPr>
      <w:r w:rsidRPr="002C6BBC">
        <w:rPr>
          <w:szCs w:val="22"/>
        </w:rPr>
        <w:t>6 μήνες μετά από το πρώτο άνοιγμα της φιάλης υψηλής πυκνότητας πολυαιθυλενίου (</w:t>
      </w:r>
      <w:r w:rsidRPr="002C6BBC">
        <w:rPr>
          <w:szCs w:val="22"/>
          <w:lang w:val="en-GB"/>
        </w:rPr>
        <w:t>HDPE</w:t>
      </w:r>
      <w:r w:rsidRPr="002C6BBC">
        <w:rPr>
          <w:szCs w:val="22"/>
        </w:rPr>
        <w:t>)</w:t>
      </w:r>
    </w:p>
    <w:p w:rsidR="005D4757" w:rsidRPr="002C6BBC" w:rsidRDefault="005D4757" w:rsidP="00C612DC">
      <w:pPr>
        <w:jc w:val="both"/>
        <w:rPr>
          <w:szCs w:val="22"/>
          <w:lang w:val="en-US"/>
        </w:rPr>
      </w:pPr>
    </w:p>
    <w:p w:rsidR="00C612DC" w:rsidRPr="002C6BBC" w:rsidRDefault="00C612DC" w:rsidP="00C612DC">
      <w:pPr>
        <w:jc w:val="both"/>
        <w:rPr>
          <w:szCs w:val="22"/>
          <w:lang w:val="en-US"/>
        </w:rPr>
      </w:pPr>
    </w:p>
    <w:p w:rsidR="005D4757" w:rsidRPr="002C6BBC" w:rsidRDefault="005D4757" w:rsidP="00C612DC">
      <w:pPr>
        <w:numPr>
          <w:ilvl w:val="1"/>
          <w:numId w:val="5"/>
        </w:numPr>
        <w:jc w:val="both"/>
        <w:rPr>
          <w:b/>
          <w:szCs w:val="22"/>
        </w:rPr>
      </w:pPr>
      <w:r w:rsidRPr="002C6BBC">
        <w:rPr>
          <w:b/>
          <w:szCs w:val="22"/>
        </w:rPr>
        <w:t>Ιδιαίτερες προφυλάξεις κατά τη φύλαξη του προϊόντος</w:t>
      </w:r>
    </w:p>
    <w:p w:rsidR="005D4757" w:rsidRPr="002C6BBC" w:rsidRDefault="005D4757" w:rsidP="00C612DC">
      <w:pPr>
        <w:jc w:val="both"/>
        <w:rPr>
          <w:b/>
          <w:szCs w:val="22"/>
        </w:rPr>
      </w:pPr>
    </w:p>
    <w:p w:rsidR="005D4757" w:rsidRPr="002C6BBC" w:rsidRDefault="005D4757" w:rsidP="00C612DC">
      <w:pPr>
        <w:jc w:val="both"/>
        <w:rPr>
          <w:szCs w:val="22"/>
        </w:rPr>
      </w:pPr>
      <w:r w:rsidRPr="002C6BBC">
        <w:rPr>
          <w:noProof/>
          <w:szCs w:val="22"/>
        </w:rPr>
        <w:t>Μη φυλάσσετε σε θερμοκρασία μεγαλύτερη των 25</w:t>
      </w:r>
      <w:r w:rsidRPr="002C6BBC">
        <w:rPr>
          <w:noProof/>
          <w:szCs w:val="22"/>
          <w:vertAlign w:val="superscript"/>
        </w:rPr>
        <w:t>ο</w:t>
      </w:r>
      <w:r w:rsidRPr="002C6BBC">
        <w:rPr>
          <w:noProof/>
          <w:szCs w:val="22"/>
          <w:lang w:val="en-GB"/>
        </w:rPr>
        <w:t>C</w:t>
      </w:r>
      <w:r w:rsidRPr="002C6BBC">
        <w:rPr>
          <w:noProof/>
          <w:szCs w:val="22"/>
        </w:rPr>
        <w:t>.</w:t>
      </w:r>
    </w:p>
    <w:p w:rsidR="005D4757" w:rsidRPr="002C6BBC" w:rsidRDefault="005D4757" w:rsidP="00C612DC">
      <w:pPr>
        <w:jc w:val="both"/>
        <w:rPr>
          <w:b/>
          <w:szCs w:val="22"/>
        </w:rPr>
      </w:pPr>
    </w:p>
    <w:p w:rsidR="005D4757" w:rsidRPr="002C6BBC" w:rsidRDefault="005D4757" w:rsidP="00C612DC">
      <w:pPr>
        <w:jc w:val="both"/>
        <w:rPr>
          <w:szCs w:val="22"/>
        </w:rPr>
      </w:pPr>
      <w:r w:rsidRPr="002C6BBC">
        <w:rPr>
          <w:b/>
          <w:szCs w:val="22"/>
        </w:rPr>
        <w:t>6.5</w:t>
      </w:r>
      <w:r w:rsidRPr="002C6BBC">
        <w:rPr>
          <w:b/>
          <w:szCs w:val="22"/>
        </w:rPr>
        <w:tab/>
        <w:t>Φύση και συστατικά του περιέκτη</w:t>
      </w:r>
    </w:p>
    <w:p w:rsidR="005D4757" w:rsidRPr="002C6BBC" w:rsidRDefault="005D4757" w:rsidP="00C612DC">
      <w:pPr>
        <w:jc w:val="both"/>
        <w:rPr>
          <w:noProof/>
          <w:szCs w:val="22"/>
        </w:rPr>
      </w:pPr>
    </w:p>
    <w:p w:rsidR="005D4757" w:rsidRPr="002C6BBC" w:rsidRDefault="005D4757" w:rsidP="00C612DC">
      <w:pPr>
        <w:pStyle w:val="MGGTextLeft"/>
        <w:jc w:val="both"/>
        <w:rPr>
          <w:sz w:val="22"/>
          <w:szCs w:val="22"/>
          <w:lang w:val="el-GR"/>
        </w:rPr>
      </w:pPr>
      <w:r w:rsidRPr="002C6BBC">
        <w:rPr>
          <w:sz w:val="22"/>
          <w:szCs w:val="22"/>
          <w:lang w:val="el-GR"/>
        </w:rPr>
        <w:t>Κυψέλη (</w:t>
      </w:r>
      <w:r w:rsidRPr="002C6BBC">
        <w:rPr>
          <w:sz w:val="22"/>
          <w:szCs w:val="22"/>
        </w:rPr>
        <w:t>blister</w:t>
      </w:r>
      <w:r w:rsidRPr="002C6BBC">
        <w:rPr>
          <w:sz w:val="22"/>
          <w:szCs w:val="22"/>
          <w:lang w:val="el-GR"/>
        </w:rPr>
        <w:t xml:space="preserve">) από </w:t>
      </w:r>
      <w:r w:rsidRPr="002C6BBC">
        <w:rPr>
          <w:sz w:val="22"/>
          <w:szCs w:val="22"/>
        </w:rPr>
        <w:t>PVC</w:t>
      </w:r>
      <w:r w:rsidRPr="002C6BBC">
        <w:rPr>
          <w:sz w:val="22"/>
          <w:szCs w:val="22"/>
          <w:lang w:val="el-GR"/>
        </w:rPr>
        <w:t xml:space="preserve">/ </w:t>
      </w:r>
      <w:r w:rsidRPr="002C6BBC">
        <w:rPr>
          <w:sz w:val="22"/>
          <w:szCs w:val="22"/>
        </w:rPr>
        <w:t>A</w:t>
      </w:r>
      <w:r w:rsidRPr="002C6BBC">
        <w:rPr>
          <w:sz w:val="22"/>
          <w:szCs w:val="22"/>
          <w:lang w:val="el-GR"/>
        </w:rPr>
        <w:t xml:space="preserve">λουμίνιο </w:t>
      </w:r>
    </w:p>
    <w:p w:rsidR="005D4757" w:rsidRPr="002C6BBC" w:rsidRDefault="005D4757" w:rsidP="00C612DC">
      <w:pPr>
        <w:pStyle w:val="MGGTextLeft"/>
        <w:jc w:val="both"/>
        <w:rPr>
          <w:sz w:val="22"/>
          <w:szCs w:val="22"/>
          <w:lang w:val="el-GR"/>
        </w:rPr>
      </w:pPr>
      <w:r w:rsidRPr="002C6BBC">
        <w:rPr>
          <w:sz w:val="22"/>
          <w:szCs w:val="22"/>
          <w:lang w:val="el-GR"/>
        </w:rPr>
        <w:t xml:space="preserve">Μεγέθη συσκευασίας των </w:t>
      </w:r>
      <w:r w:rsidRPr="002C6BBC">
        <w:rPr>
          <w:color w:val="000000"/>
          <w:sz w:val="22"/>
          <w:szCs w:val="22"/>
          <w:lang w:val="el-GR"/>
        </w:rPr>
        <w:t xml:space="preserve">7, 10, 14, 28, 30, 50, 56, 60, 84, 90, 98, 100, 100 </w:t>
      </w:r>
      <w:r w:rsidRPr="002C6BBC">
        <w:rPr>
          <w:color w:val="000000"/>
          <w:sz w:val="22"/>
          <w:szCs w:val="22"/>
        </w:rPr>
        <w:t>x</w:t>
      </w:r>
      <w:r w:rsidRPr="002C6BBC">
        <w:rPr>
          <w:color w:val="000000"/>
          <w:sz w:val="22"/>
          <w:szCs w:val="22"/>
          <w:lang w:val="el-GR"/>
        </w:rPr>
        <w:t xml:space="preserve"> 1 ή 120 </w:t>
      </w:r>
      <w:r w:rsidRPr="002C6BBC">
        <w:rPr>
          <w:sz w:val="22"/>
          <w:szCs w:val="22"/>
          <w:lang w:val="el-GR"/>
        </w:rPr>
        <w:t>επικαλυμμένων με λεπτό υμένιο δισκίων.</w:t>
      </w:r>
    </w:p>
    <w:p w:rsidR="005D4757" w:rsidRPr="002C6BBC" w:rsidRDefault="005D4757" w:rsidP="00C612DC">
      <w:pPr>
        <w:pStyle w:val="MGGTextLeft"/>
        <w:jc w:val="both"/>
        <w:rPr>
          <w:sz w:val="22"/>
          <w:szCs w:val="22"/>
          <w:lang w:val="el-GR"/>
        </w:rPr>
      </w:pPr>
    </w:p>
    <w:p w:rsidR="005D4757" w:rsidRPr="002C6BBC" w:rsidRDefault="005D4757" w:rsidP="00C612DC">
      <w:pPr>
        <w:jc w:val="both"/>
        <w:rPr>
          <w:szCs w:val="22"/>
        </w:rPr>
      </w:pPr>
      <w:r w:rsidRPr="002C6BBC">
        <w:rPr>
          <w:szCs w:val="22"/>
        </w:rPr>
        <w:t>Φιάλη υψηλής πυκνότητας πολυαιθυλενίου (</w:t>
      </w:r>
      <w:r w:rsidRPr="002C6BBC">
        <w:rPr>
          <w:szCs w:val="22"/>
          <w:lang w:val="en-GB"/>
        </w:rPr>
        <w:t>HDPE</w:t>
      </w:r>
      <w:r w:rsidRPr="002C6BBC">
        <w:rPr>
          <w:szCs w:val="22"/>
        </w:rPr>
        <w:t>), η οποία φέρει βιδωτό πώμα από πολυπροπυλένιο (</w:t>
      </w:r>
      <w:r w:rsidRPr="002C6BBC">
        <w:rPr>
          <w:szCs w:val="22"/>
          <w:lang w:val="en-GB"/>
        </w:rPr>
        <w:t>PP</w:t>
      </w:r>
      <w:r w:rsidRPr="002C6BBC">
        <w:rPr>
          <w:szCs w:val="22"/>
        </w:rPr>
        <w:t>) ή βιδωτό πώμα από υψηλής πυκνότητας πολυαιθυλένιο (</w:t>
      </w:r>
      <w:r w:rsidRPr="002C6BBC">
        <w:rPr>
          <w:szCs w:val="22"/>
          <w:lang w:val="en-GB"/>
        </w:rPr>
        <w:t>HDPE</w:t>
      </w:r>
      <w:r w:rsidRPr="002C6BBC">
        <w:rPr>
          <w:szCs w:val="22"/>
        </w:rPr>
        <w:t>)</w:t>
      </w:r>
    </w:p>
    <w:p w:rsidR="005D4757" w:rsidRPr="002C6BBC" w:rsidRDefault="005D4757" w:rsidP="00C612DC">
      <w:pPr>
        <w:jc w:val="both"/>
        <w:rPr>
          <w:b/>
          <w:szCs w:val="22"/>
        </w:rPr>
      </w:pPr>
      <w:r w:rsidRPr="002C6BBC">
        <w:rPr>
          <w:szCs w:val="22"/>
        </w:rPr>
        <w:t xml:space="preserve">Μέγεθος συσκευασίας των </w:t>
      </w:r>
      <w:r w:rsidRPr="002C6BBC">
        <w:rPr>
          <w:color w:val="000000"/>
          <w:szCs w:val="22"/>
        </w:rPr>
        <w:t xml:space="preserve">100 </w:t>
      </w:r>
      <w:r w:rsidR="00F23FBF" w:rsidRPr="002C6BBC">
        <w:rPr>
          <w:color w:val="000000"/>
          <w:szCs w:val="22"/>
        </w:rPr>
        <w:t xml:space="preserve">ή 250 </w:t>
      </w:r>
      <w:r w:rsidRPr="002C6BBC">
        <w:rPr>
          <w:szCs w:val="22"/>
        </w:rPr>
        <w:t>επικαλυμμένων με λεπτό υμένιο δισκίων.</w:t>
      </w:r>
    </w:p>
    <w:p w:rsidR="005D4757" w:rsidRPr="002C6BBC" w:rsidRDefault="005D4757" w:rsidP="00C612DC">
      <w:pPr>
        <w:jc w:val="both"/>
        <w:rPr>
          <w:noProof/>
          <w:szCs w:val="22"/>
        </w:rPr>
      </w:pPr>
    </w:p>
    <w:p w:rsidR="005D4757" w:rsidRPr="002C6BBC" w:rsidRDefault="005D4757" w:rsidP="00C612DC">
      <w:pPr>
        <w:jc w:val="both"/>
        <w:rPr>
          <w:b/>
          <w:noProof/>
          <w:szCs w:val="22"/>
        </w:rPr>
      </w:pPr>
      <w:r w:rsidRPr="002C6BBC">
        <w:rPr>
          <w:noProof/>
          <w:szCs w:val="22"/>
        </w:rPr>
        <w:t>Μπορεί να μην κυκλοφορούν όλες οι συσκευασίες.</w:t>
      </w:r>
    </w:p>
    <w:p w:rsidR="005D4757" w:rsidRPr="002C6BBC" w:rsidRDefault="005D4757" w:rsidP="00C612DC">
      <w:pPr>
        <w:jc w:val="both"/>
        <w:rPr>
          <w:b/>
          <w:szCs w:val="22"/>
        </w:rPr>
      </w:pPr>
    </w:p>
    <w:p w:rsidR="005D4757" w:rsidRPr="002C6BBC" w:rsidRDefault="005D4757" w:rsidP="00C612DC">
      <w:pPr>
        <w:jc w:val="both"/>
        <w:rPr>
          <w:szCs w:val="22"/>
        </w:rPr>
      </w:pPr>
      <w:r w:rsidRPr="002C6BBC">
        <w:rPr>
          <w:b/>
          <w:szCs w:val="22"/>
        </w:rPr>
        <w:t>6.6</w:t>
      </w:r>
      <w:r w:rsidRPr="002C6BBC">
        <w:rPr>
          <w:b/>
          <w:szCs w:val="22"/>
        </w:rPr>
        <w:tab/>
        <w:t>Ιδιαίτερες προφυλάξεις απόρριψης και άλλος χειρισμός</w:t>
      </w:r>
    </w:p>
    <w:p w:rsidR="005D4757" w:rsidRPr="002C6BBC" w:rsidRDefault="005D4757" w:rsidP="00C612DC">
      <w:pPr>
        <w:jc w:val="both"/>
        <w:rPr>
          <w:szCs w:val="22"/>
        </w:rPr>
      </w:pPr>
    </w:p>
    <w:p w:rsidR="005D4757" w:rsidRPr="002C6BBC" w:rsidRDefault="005D4757" w:rsidP="00C612DC">
      <w:pPr>
        <w:jc w:val="both"/>
        <w:rPr>
          <w:szCs w:val="22"/>
        </w:rPr>
      </w:pPr>
      <w:r w:rsidRPr="002C6BBC">
        <w:rPr>
          <w:szCs w:val="22"/>
        </w:rPr>
        <w:t>Καμία ειδική υποχρέωση.</w:t>
      </w:r>
    </w:p>
    <w:p w:rsidR="005D4757" w:rsidRPr="002C6BBC" w:rsidRDefault="005D4757" w:rsidP="00C612DC">
      <w:pPr>
        <w:jc w:val="both"/>
        <w:rPr>
          <w:szCs w:val="22"/>
          <w:lang w:val="en-US"/>
        </w:rPr>
      </w:pPr>
    </w:p>
    <w:p w:rsidR="005D4757" w:rsidRPr="002C6BBC" w:rsidRDefault="005D4757" w:rsidP="00C612DC">
      <w:pPr>
        <w:jc w:val="both"/>
        <w:rPr>
          <w:szCs w:val="22"/>
        </w:rPr>
      </w:pPr>
      <w:r w:rsidRPr="002C6BBC">
        <w:rPr>
          <w:b/>
          <w:szCs w:val="22"/>
        </w:rPr>
        <w:t>7.</w:t>
      </w:r>
      <w:r w:rsidRPr="002C6BBC">
        <w:rPr>
          <w:b/>
          <w:szCs w:val="22"/>
        </w:rPr>
        <w:tab/>
        <w:t>ΚΑΤΟΧΟΣ ΤΗΣ ΑΔΕΙΑΣ ΚΥΚΛΟΦΟΡΙΑΣ</w:t>
      </w:r>
    </w:p>
    <w:p w:rsidR="005D4757" w:rsidRPr="002C6BBC" w:rsidRDefault="005D4757" w:rsidP="00C612DC">
      <w:pPr>
        <w:jc w:val="both"/>
        <w:rPr>
          <w:noProof/>
          <w:szCs w:val="22"/>
        </w:rPr>
      </w:pPr>
    </w:p>
    <w:p w:rsidR="005D4757" w:rsidRPr="002C6BBC" w:rsidRDefault="005D4757" w:rsidP="00C612DC">
      <w:pPr>
        <w:jc w:val="both"/>
        <w:rPr>
          <w:szCs w:val="22"/>
        </w:rPr>
      </w:pPr>
      <w:r w:rsidRPr="002C6BBC">
        <w:rPr>
          <w:szCs w:val="22"/>
          <w:lang w:val="en-US"/>
        </w:rPr>
        <w:t>Sandoz</w:t>
      </w:r>
      <w:r w:rsidRPr="002C6BBC">
        <w:rPr>
          <w:szCs w:val="22"/>
        </w:rPr>
        <w:t xml:space="preserve"> </w:t>
      </w:r>
      <w:r w:rsidRPr="002C6BBC">
        <w:rPr>
          <w:szCs w:val="22"/>
          <w:lang w:val="en-US"/>
        </w:rPr>
        <w:t>GmbH</w:t>
      </w:r>
    </w:p>
    <w:p w:rsidR="005D4757" w:rsidRPr="002C6BBC" w:rsidRDefault="005D4757" w:rsidP="00C612DC">
      <w:pPr>
        <w:jc w:val="both"/>
        <w:rPr>
          <w:szCs w:val="22"/>
        </w:rPr>
      </w:pPr>
      <w:r w:rsidRPr="002C6BBC">
        <w:rPr>
          <w:szCs w:val="22"/>
          <w:lang w:val="en-US"/>
        </w:rPr>
        <w:t>Biochemiestrasse</w:t>
      </w:r>
      <w:r w:rsidRPr="002C6BBC">
        <w:rPr>
          <w:szCs w:val="22"/>
        </w:rPr>
        <w:t xml:space="preserve"> 10</w:t>
      </w:r>
    </w:p>
    <w:p w:rsidR="005D4757" w:rsidRPr="002C6BBC" w:rsidRDefault="005D4757" w:rsidP="00C612DC">
      <w:pPr>
        <w:jc w:val="both"/>
        <w:rPr>
          <w:szCs w:val="22"/>
        </w:rPr>
      </w:pPr>
      <w:r w:rsidRPr="002C6BBC">
        <w:rPr>
          <w:szCs w:val="22"/>
        </w:rPr>
        <w:t>6250 Kundl,</w:t>
      </w:r>
    </w:p>
    <w:p w:rsidR="005D4757" w:rsidRPr="002C6BBC" w:rsidRDefault="005D4757" w:rsidP="00C612DC">
      <w:pPr>
        <w:jc w:val="both"/>
        <w:rPr>
          <w:szCs w:val="22"/>
        </w:rPr>
      </w:pPr>
      <w:r w:rsidRPr="002C6BBC">
        <w:rPr>
          <w:szCs w:val="22"/>
        </w:rPr>
        <w:t>Αυστρία</w:t>
      </w:r>
    </w:p>
    <w:p w:rsidR="005D4757" w:rsidRPr="002C6BBC" w:rsidRDefault="005D4757" w:rsidP="00C612DC">
      <w:pPr>
        <w:jc w:val="both"/>
        <w:rPr>
          <w:szCs w:val="22"/>
          <w:lang w:val="en-US"/>
        </w:rPr>
      </w:pPr>
    </w:p>
    <w:p w:rsidR="005D4757" w:rsidRPr="002C6BBC" w:rsidRDefault="005D4757" w:rsidP="00C612DC">
      <w:pPr>
        <w:jc w:val="both"/>
        <w:rPr>
          <w:szCs w:val="22"/>
        </w:rPr>
      </w:pPr>
      <w:r w:rsidRPr="002C6BBC">
        <w:rPr>
          <w:b/>
          <w:szCs w:val="22"/>
        </w:rPr>
        <w:t>8.</w:t>
      </w:r>
      <w:r w:rsidRPr="002C6BBC">
        <w:rPr>
          <w:b/>
          <w:szCs w:val="22"/>
        </w:rPr>
        <w:tab/>
        <w:t>ΑΡΙΘΜΟΣ(ΟΙ) ΑΔΕΙΑΣ ΚΥΚΛΟΦΟΡΙΑΣ</w:t>
      </w:r>
    </w:p>
    <w:p w:rsidR="005D4757" w:rsidRPr="002C6BBC" w:rsidRDefault="005D4757" w:rsidP="00C612DC">
      <w:pPr>
        <w:jc w:val="both"/>
        <w:rPr>
          <w:szCs w:val="22"/>
        </w:rPr>
      </w:pPr>
    </w:p>
    <w:p w:rsidR="007674CA" w:rsidRPr="002C6BBC" w:rsidRDefault="007674CA" w:rsidP="007674CA">
      <w:pPr>
        <w:jc w:val="both"/>
        <w:rPr>
          <w:szCs w:val="22"/>
        </w:rPr>
      </w:pPr>
    </w:p>
    <w:p w:rsidR="007674CA" w:rsidRPr="002C6BBC" w:rsidRDefault="007674CA" w:rsidP="007674CA">
      <w:pPr>
        <w:jc w:val="both"/>
        <w:rPr>
          <w:szCs w:val="22"/>
        </w:rPr>
      </w:pPr>
      <w:r w:rsidRPr="002C6BBC">
        <w:rPr>
          <w:szCs w:val="22"/>
        </w:rPr>
        <w:t>PEZALE 5 mg, επικαλυμμένα με λεπτό υμένιο δισκία</w:t>
      </w:r>
    </w:p>
    <w:p w:rsidR="007674CA" w:rsidRPr="002C6BBC" w:rsidRDefault="007674CA" w:rsidP="007674CA">
      <w:pPr>
        <w:jc w:val="both"/>
        <w:rPr>
          <w:szCs w:val="22"/>
        </w:rPr>
      </w:pPr>
      <w:r w:rsidRPr="002C6BBC">
        <w:rPr>
          <w:szCs w:val="22"/>
        </w:rPr>
        <w:t>14644</w:t>
      </w:r>
    </w:p>
    <w:p w:rsidR="007674CA" w:rsidRPr="002C6BBC" w:rsidRDefault="007674CA" w:rsidP="007674CA">
      <w:pPr>
        <w:jc w:val="both"/>
        <w:rPr>
          <w:szCs w:val="22"/>
        </w:rPr>
      </w:pPr>
    </w:p>
    <w:p w:rsidR="007674CA" w:rsidRPr="002C6BBC" w:rsidRDefault="007674CA" w:rsidP="007674CA">
      <w:pPr>
        <w:jc w:val="both"/>
        <w:rPr>
          <w:szCs w:val="22"/>
        </w:rPr>
      </w:pPr>
      <w:r w:rsidRPr="002C6BBC">
        <w:rPr>
          <w:szCs w:val="22"/>
        </w:rPr>
        <w:t>PEZALE 10 mg, επικαλυμμένα με λεπτό υμένιο δισκία</w:t>
      </w:r>
    </w:p>
    <w:p w:rsidR="007674CA" w:rsidRPr="002C6BBC" w:rsidRDefault="007674CA" w:rsidP="007674CA">
      <w:pPr>
        <w:jc w:val="both"/>
        <w:rPr>
          <w:szCs w:val="22"/>
        </w:rPr>
      </w:pPr>
      <w:r w:rsidRPr="002C6BBC">
        <w:rPr>
          <w:szCs w:val="22"/>
        </w:rPr>
        <w:t>14646</w:t>
      </w:r>
    </w:p>
    <w:p w:rsidR="005D4757" w:rsidRPr="002C6BBC" w:rsidRDefault="005D4757" w:rsidP="00C612DC">
      <w:pPr>
        <w:jc w:val="both"/>
        <w:rPr>
          <w:szCs w:val="22"/>
        </w:rPr>
      </w:pPr>
    </w:p>
    <w:p w:rsidR="00DB7417" w:rsidRPr="002C6BBC" w:rsidRDefault="00DB7417" w:rsidP="00C612DC">
      <w:pPr>
        <w:jc w:val="both"/>
        <w:rPr>
          <w:szCs w:val="22"/>
        </w:rPr>
      </w:pPr>
    </w:p>
    <w:p w:rsidR="005D4757" w:rsidRPr="002C6BBC" w:rsidRDefault="005D4757" w:rsidP="00C612DC">
      <w:pPr>
        <w:jc w:val="both"/>
        <w:rPr>
          <w:szCs w:val="22"/>
        </w:rPr>
      </w:pPr>
      <w:r w:rsidRPr="002C6BBC">
        <w:rPr>
          <w:b/>
          <w:szCs w:val="22"/>
        </w:rPr>
        <w:t>9.</w:t>
      </w:r>
      <w:r w:rsidRPr="002C6BBC">
        <w:rPr>
          <w:b/>
          <w:szCs w:val="22"/>
        </w:rPr>
        <w:tab/>
        <w:t>ΗΜΕΡΟΜΗΝΙΑ ΠΡΩΤΗΣ ΕΓΚΡΙΣΗΣ / ΑΝΑΝΕΩΣΗΣ ΤΗΣ ΑΔΕΙΑΣ</w:t>
      </w:r>
    </w:p>
    <w:p w:rsidR="005D4757" w:rsidRPr="002C6BBC" w:rsidRDefault="005D4757" w:rsidP="00C612DC">
      <w:pPr>
        <w:jc w:val="both"/>
        <w:rPr>
          <w:szCs w:val="22"/>
        </w:rPr>
      </w:pPr>
    </w:p>
    <w:p w:rsidR="007674CA" w:rsidRPr="002C6BBC" w:rsidRDefault="007674CA" w:rsidP="007674CA">
      <w:pPr>
        <w:jc w:val="both"/>
        <w:rPr>
          <w:szCs w:val="22"/>
        </w:rPr>
      </w:pPr>
      <w:r w:rsidRPr="002C6BBC">
        <w:rPr>
          <w:szCs w:val="22"/>
        </w:rPr>
        <w:t>PEZALE 5 mg, επικαλυμμένα με λεπτό υμένιο δισκία</w:t>
      </w:r>
    </w:p>
    <w:p w:rsidR="007674CA" w:rsidRPr="002C6BBC" w:rsidRDefault="007674CA" w:rsidP="007674CA">
      <w:pPr>
        <w:jc w:val="both"/>
        <w:rPr>
          <w:szCs w:val="22"/>
        </w:rPr>
      </w:pPr>
      <w:r w:rsidRPr="002C6BBC">
        <w:rPr>
          <w:szCs w:val="22"/>
        </w:rPr>
        <w:t>Πρώτη έγκριση: 23 Φεβρουαρίου 2009</w:t>
      </w:r>
    </w:p>
    <w:p w:rsidR="007674CA" w:rsidRPr="002C6BBC" w:rsidRDefault="007674CA" w:rsidP="007674CA">
      <w:pPr>
        <w:jc w:val="both"/>
        <w:rPr>
          <w:szCs w:val="22"/>
        </w:rPr>
      </w:pPr>
    </w:p>
    <w:p w:rsidR="007674CA" w:rsidRPr="002C6BBC" w:rsidRDefault="007674CA" w:rsidP="007674CA">
      <w:pPr>
        <w:jc w:val="both"/>
        <w:rPr>
          <w:szCs w:val="22"/>
        </w:rPr>
      </w:pPr>
      <w:r w:rsidRPr="002C6BBC">
        <w:rPr>
          <w:szCs w:val="22"/>
        </w:rPr>
        <w:t>PEZALE 10 mg, επικαλυμμένα με λεπτό υμένιο δισκία</w:t>
      </w:r>
    </w:p>
    <w:p w:rsidR="007674CA" w:rsidRPr="002C6BBC" w:rsidRDefault="007674CA" w:rsidP="007674CA">
      <w:pPr>
        <w:jc w:val="both"/>
        <w:rPr>
          <w:szCs w:val="22"/>
        </w:rPr>
      </w:pPr>
      <w:r w:rsidRPr="002C6BBC">
        <w:rPr>
          <w:szCs w:val="22"/>
        </w:rPr>
        <w:t xml:space="preserve">Πρώτη έγκριση: </w:t>
      </w:r>
      <w:r w:rsidR="007171C1" w:rsidRPr="002C6BBC">
        <w:rPr>
          <w:szCs w:val="22"/>
        </w:rPr>
        <w:t>23 Φεβρουαρίου 2009</w:t>
      </w:r>
    </w:p>
    <w:p w:rsidR="005D4757" w:rsidRPr="002C6BBC" w:rsidRDefault="005D4757" w:rsidP="00C612DC">
      <w:pPr>
        <w:jc w:val="both"/>
        <w:rPr>
          <w:szCs w:val="22"/>
        </w:rPr>
      </w:pPr>
    </w:p>
    <w:p w:rsidR="00F23FBF" w:rsidRPr="002C6BBC" w:rsidRDefault="00F23FBF" w:rsidP="00C612DC">
      <w:pPr>
        <w:jc w:val="both"/>
        <w:rPr>
          <w:szCs w:val="22"/>
        </w:rPr>
      </w:pPr>
    </w:p>
    <w:p w:rsidR="005D4757" w:rsidRPr="007171C1" w:rsidRDefault="005D4757" w:rsidP="00C612DC">
      <w:pPr>
        <w:jc w:val="both"/>
        <w:rPr>
          <w:b/>
          <w:szCs w:val="22"/>
        </w:rPr>
      </w:pPr>
      <w:r w:rsidRPr="002C6BBC">
        <w:rPr>
          <w:b/>
          <w:szCs w:val="22"/>
        </w:rPr>
        <w:t>10.</w:t>
      </w:r>
      <w:r w:rsidRPr="002C6BBC">
        <w:rPr>
          <w:b/>
          <w:szCs w:val="22"/>
        </w:rPr>
        <w:tab/>
        <w:t>ΗΜΕΡΟΜΗΝΙΑ ΑΝΑΘΕΩΡΗΣΗΣ ΤΟΥ ΚΕΙΜΕΝΟΥ</w:t>
      </w:r>
    </w:p>
    <w:p w:rsidR="005D4757" w:rsidRPr="002C6BBC" w:rsidRDefault="005D4757" w:rsidP="00C612DC">
      <w:pPr>
        <w:jc w:val="both"/>
        <w:rPr>
          <w:bCs/>
          <w:szCs w:val="22"/>
        </w:rPr>
      </w:pPr>
    </w:p>
    <w:p w:rsidR="005D4757" w:rsidRPr="002C6BBC" w:rsidRDefault="005D4757" w:rsidP="00C612DC">
      <w:pPr>
        <w:jc w:val="both"/>
        <w:rPr>
          <w:szCs w:val="22"/>
        </w:rPr>
      </w:pPr>
    </w:p>
    <w:sectPr w:rsidR="005D4757" w:rsidRPr="002C6BBC">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E8" w:rsidRDefault="009204E8">
      <w:r>
        <w:separator/>
      </w:r>
    </w:p>
  </w:endnote>
  <w:endnote w:type="continuationSeparator" w:id="0">
    <w:p w:rsidR="009204E8" w:rsidRDefault="0092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68" w:rsidRDefault="00C25B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5B68" w:rsidRDefault="00C25B6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68" w:rsidRDefault="00C25B6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4480">
      <w:rPr>
        <w:rStyle w:val="a5"/>
        <w:noProof/>
      </w:rPr>
      <w:t>1</w:t>
    </w:r>
    <w:r>
      <w:rPr>
        <w:rStyle w:val="a5"/>
      </w:rPr>
      <w:fldChar w:fldCharType="end"/>
    </w:r>
  </w:p>
  <w:p w:rsidR="00C25B68" w:rsidRDefault="00C25B6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E8" w:rsidRDefault="009204E8">
      <w:r>
        <w:separator/>
      </w:r>
    </w:p>
  </w:footnote>
  <w:footnote w:type="continuationSeparator" w:id="0">
    <w:p w:rsidR="009204E8" w:rsidRDefault="00920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FC7"/>
    <w:multiLevelType w:val="hybridMultilevel"/>
    <w:tmpl w:val="F17E28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695A71"/>
    <w:multiLevelType w:val="hybridMultilevel"/>
    <w:tmpl w:val="AFE0C8D0"/>
    <w:lvl w:ilvl="0" w:tplc="5B928DC4">
      <w:start w:val="4"/>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198A6E9C"/>
    <w:multiLevelType w:val="hybridMultilevel"/>
    <w:tmpl w:val="4ED6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C7CDB"/>
    <w:multiLevelType w:val="hybridMultilevel"/>
    <w:tmpl w:val="526C6CBA"/>
    <w:lvl w:ilvl="0" w:tplc="5B928DC4">
      <w:start w:val="4"/>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nsid w:val="304C0F15"/>
    <w:multiLevelType w:val="hybridMultilevel"/>
    <w:tmpl w:val="22601E26"/>
    <w:lvl w:ilvl="0" w:tplc="214A67AC">
      <w:start w:val="1"/>
      <w:numFmt w:val="decimal"/>
      <w:lvlText w:val="%1."/>
      <w:lvlJc w:val="left"/>
      <w:pPr>
        <w:tabs>
          <w:tab w:val="num" w:pos="720"/>
        </w:tabs>
        <w:ind w:left="720" w:hanging="360"/>
      </w:pPr>
    </w:lvl>
    <w:lvl w:ilvl="1" w:tplc="8FA07DBE">
      <w:numFmt w:val="none"/>
      <w:lvlText w:val=""/>
      <w:lvlJc w:val="left"/>
      <w:pPr>
        <w:tabs>
          <w:tab w:val="num" w:pos="360"/>
        </w:tabs>
      </w:pPr>
    </w:lvl>
    <w:lvl w:ilvl="2" w:tplc="4FCA7994">
      <w:numFmt w:val="none"/>
      <w:lvlText w:val=""/>
      <w:lvlJc w:val="left"/>
      <w:pPr>
        <w:tabs>
          <w:tab w:val="num" w:pos="360"/>
        </w:tabs>
      </w:pPr>
    </w:lvl>
    <w:lvl w:ilvl="3" w:tplc="98B000B0">
      <w:numFmt w:val="none"/>
      <w:lvlText w:val=""/>
      <w:lvlJc w:val="left"/>
      <w:pPr>
        <w:tabs>
          <w:tab w:val="num" w:pos="360"/>
        </w:tabs>
      </w:pPr>
    </w:lvl>
    <w:lvl w:ilvl="4" w:tplc="A4D29AD0">
      <w:numFmt w:val="none"/>
      <w:lvlText w:val=""/>
      <w:lvlJc w:val="left"/>
      <w:pPr>
        <w:tabs>
          <w:tab w:val="num" w:pos="360"/>
        </w:tabs>
      </w:pPr>
    </w:lvl>
    <w:lvl w:ilvl="5" w:tplc="AD146230">
      <w:numFmt w:val="none"/>
      <w:lvlText w:val=""/>
      <w:lvlJc w:val="left"/>
      <w:pPr>
        <w:tabs>
          <w:tab w:val="num" w:pos="360"/>
        </w:tabs>
      </w:pPr>
    </w:lvl>
    <w:lvl w:ilvl="6" w:tplc="2E7C9FAE">
      <w:numFmt w:val="none"/>
      <w:lvlText w:val=""/>
      <w:lvlJc w:val="left"/>
      <w:pPr>
        <w:tabs>
          <w:tab w:val="num" w:pos="360"/>
        </w:tabs>
      </w:pPr>
    </w:lvl>
    <w:lvl w:ilvl="7" w:tplc="515A4F5C">
      <w:numFmt w:val="none"/>
      <w:lvlText w:val=""/>
      <w:lvlJc w:val="left"/>
      <w:pPr>
        <w:tabs>
          <w:tab w:val="num" w:pos="360"/>
        </w:tabs>
      </w:pPr>
    </w:lvl>
    <w:lvl w:ilvl="8" w:tplc="160A0194">
      <w:numFmt w:val="none"/>
      <w:lvlText w:val=""/>
      <w:lvlJc w:val="left"/>
      <w:pPr>
        <w:tabs>
          <w:tab w:val="num" w:pos="360"/>
        </w:tabs>
      </w:pPr>
    </w:lvl>
  </w:abstractNum>
  <w:abstractNum w:abstractNumId="5">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0E1335E"/>
    <w:multiLevelType w:val="hybridMultilevel"/>
    <w:tmpl w:val="D4AEC808"/>
    <w:lvl w:ilvl="0" w:tplc="8BFCC20A">
      <w:start w:val="1"/>
      <w:numFmt w:val="decimal"/>
      <w:lvlText w:val="%1."/>
      <w:lvlJc w:val="left"/>
      <w:pPr>
        <w:tabs>
          <w:tab w:val="num" w:pos="1440"/>
        </w:tabs>
        <w:ind w:left="1440" w:hanging="360"/>
      </w:pPr>
    </w:lvl>
    <w:lvl w:ilvl="1" w:tplc="A824F222">
      <w:numFmt w:val="none"/>
      <w:lvlText w:val=""/>
      <w:lvlJc w:val="left"/>
      <w:pPr>
        <w:tabs>
          <w:tab w:val="num" w:pos="360"/>
        </w:tabs>
      </w:pPr>
    </w:lvl>
    <w:lvl w:ilvl="2" w:tplc="88C43890">
      <w:numFmt w:val="none"/>
      <w:lvlText w:val=""/>
      <w:lvlJc w:val="left"/>
      <w:pPr>
        <w:tabs>
          <w:tab w:val="num" w:pos="360"/>
        </w:tabs>
      </w:pPr>
    </w:lvl>
    <w:lvl w:ilvl="3" w:tplc="72D49566">
      <w:numFmt w:val="none"/>
      <w:lvlText w:val=""/>
      <w:lvlJc w:val="left"/>
      <w:pPr>
        <w:tabs>
          <w:tab w:val="num" w:pos="360"/>
        </w:tabs>
      </w:pPr>
    </w:lvl>
    <w:lvl w:ilvl="4" w:tplc="EB7A51D4">
      <w:numFmt w:val="none"/>
      <w:lvlText w:val=""/>
      <w:lvlJc w:val="left"/>
      <w:pPr>
        <w:tabs>
          <w:tab w:val="num" w:pos="360"/>
        </w:tabs>
      </w:pPr>
    </w:lvl>
    <w:lvl w:ilvl="5" w:tplc="922E8B5A">
      <w:numFmt w:val="none"/>
      <w:lvlText w:val=""/>
      <w:lvlJc w:val="left"/>
      <w:pPr>
        <w:tabs>
          <w:tab w:val="num" w:pos="360"/>
        </w:tabs>
      </w:pPr>
    </w:lvl>
    <w:lvl w:ilvl="6" w:tplc="82243474">
      <w:numFmt w:val="none"/>
      <w:lvlText w:val=""/>
      <w:lvlJc w:val="left"/>
      <w:pPr>
        <w:tabs>
          <w:tab w:val="num" w:pos="360"/>
        </w:tabs>
      </w:pPr>
    </w:lvl>
    <w:lvl w:ilvl="7" w:tplc="A906CB80">
      <w:numFmt w:val="none"/>
      <w:lvlText w:val=""/>
      <w:lvlJc w:val="left"/>
      <w:pPr>
        <w:tabs>
          <w:tab w:val="num" w:pos="360"/>
        </w:tabs>
      </w:pPr>
    </w:lvl>
    <w:lvl w:ilvl="8" w:tplc="9998C27E">
      <w:numFmt w:val="none"/>
      <w:lvlText w:val=""/>
      <w:lvlJc w:val="left"/>
      <w:pPr>
        <w:tabs>
          <w:tab w:val="num" w:pos="360"/>
        </w:tabs>
      </w:pPr>
    </w:lvl>
  </w:abstractNum>
  <w:abstractNum w:abstractNumId="7">
    <w:nsid w:val="57B1761B"/>
    <w:multiLevelType w:val="hybridMultilevel"/>
    <w:tmpl w:val="631A60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4F55B93"/>
    <w:multiLevelType w:val="hybridMultilevel"/>
    <w:tmpl w:val="BA4EE4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3500D62"/>
    <w:multiLevelType w:val="multilevel"/>
    <w:tmpl w:val="4CE2EA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8EE0A2D"/>
    <w:multiLevelType w:val="hybridMultilevel"/>
    <w:tmpl w:val="21F63F64"/>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5"/>
  </w:num>
  <w:num w:numId="2">
    <w:abstractNumId w:val="7"/>
  </w:num>
  <w:num w:numId="3">
    <w:abstractNumId w:val="0"/>
  </w:num>
  <w:num w:numId="4">
    <w:abstractNumId w:val="8"/>
  </w:num>
  <w:num w:numId="5">
    <w:abstractNumId w:val="9"/>
  </w:num>
  <w:num w:numId="6">
    <w:abstractNumId w:val="1"/>
  </w:num>
  <w:num w:numId="7">
    <w:abstractNumId w:val="3"/>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AE"/>
    <w:rsid w:val="000E4480"/>
    <w:rsid w:val="0017534E"/>
    <w:rsid w:val="00182F31"/>
    <w:rsid w:val="001B0149"/>
    <w:rsid w:val="001B690B"/>
    <w:rsid w:val="001F00EF"/>
    <w:rsid w:val="001F4DD1"/>
    <w:rsid w:val="00262ADF"/>
    <w:rsid w:val="002702E2"/>
    <w:rsid w:val="0027246C"/>
    <w:rsid w:val="002B1251"/>
    <w:rsid w:val="002C5897"/>
    <w:rsid w:val="002C6BBC"/>
    <w:rsid w:val="003344F7"/>
    <w:rsid w:val="00336EC3"/>
    <w:rsid w:val="00343634"/>
    <w:rsid w:val="0035786C"/>
    <w:rsid w:val="003E2934"/>
    <w:rsid w:val="004037AE"/>
    <w:rsid w:val="00472816"/>
    <w:rsid w:val="004A2EF4"/>
    <w:rsid w:val="005A44A8"/>
    <w:rsid w:val="005C14B3"/>
    <w:rsid w:val="005D4757"/>
    <w:rsid w:val="006057DF"/>
    <w:rsid w:val="00634BC1"/>
    <w:rsid w:val="00676347"/>
    <w:rsid w:val="00683763"/>
    <w:rsid w:val="00696922"/>
    <w:rsid w:val="006A0CEC"/>
    <w:rsid w:val="006E6A2B"/>
    <w:rsid w:val="007171C1"/>
    <w:rsid w:val="007556E1"/>
    <w:rsid w:val="00762653"/>
    <w:rsid w:val="007674CA"/>
    <w:rsid w:val="007751EC"/>
    <w:rsid w:val="00785695"/>
    <w:rsid w:val="007C17B1"/>
    <w:rsid w:val="007D4F3A"/>
    <w:rsid w:val="00812D45"/>
    <w:rsid w:val="00816969"/>
    <w:rsid w:val="00816F3E"/>
    <w:rsid w:val="0082188E"/>
    <w:rsid w:val="008252DC"/>
    <w:rsid w:val="00845437"/>
    <w:rsid w:val="00850564"/>
    <w:rsid w:val="00851207"/>
    <w:rsid w:val="00902AA1"/>
    <w:rsid w:val="00904CE8"/>
    <w:rsid w:val="009204E8"/>
    <w:rsid w:val="009338B9"/>
    <w:rsid w:val="00965C1D"/>
    <w:rsid w:val="009A5307"/>
    <w:rsid w:val="009C7DAC"/>
    <w:rsid w:val="00A33A29"/>
    <w:rsid w:val="00A50414"/>
    <w:rsid w:val="00A71DE4"/>
    <w:rsid w:val="00AE56A7"/>
    <w:rsid w:val="00B47321"/>
    <w:rsid w:val="00BC21C3"/>
    <w:rsid w:val="00BC7CD4"/>
    <w:rsid w:val="00BE0DA1"/>
    <w:rsid w:val="00C25B68"/>
    <w:rsid w:val="00C612DC"/>
    <w:rsid w:val="00CB20E7"/>
    <w:rsid w:val="00CE1FEF"/>
    <w:rsid w:val="00CF2A7B"/>
    <w:rsid w:val="00D37A59"/>
    <w:rsid w:val="00D475FA"/>
    <w:rsid w:val="00DB7417"/>
    <w:rsid w:val="00DD3140"/>
    <w:rsid w:val="00DE13DE"/>
    <w:rsid w:val="00DE59F8"/>
    <w:rsid w:val="00DF0CCB"/>
    <w:rsid w:val="00E2105A"/>
    <w:rsid w:val="00E268D3"/>
    <w:rsid w:val="00E619CA"/>
    <w:rsid w:val="00E64641"/>
    <w:rsid w:val="00EE1C3D"/>
    <w:rsid w:val="00EF66F4"/>
    <w:rsid w:val="00F16388"/>
    <w:rsid w:val="00F23FBF"/>
    <w:rsid w:val="00F705EA"/>
    <w:rsid w:val="00F8240A"/>
    <w:rsid w:val="00F92255"/>
    <w:rsid w:val="00FA0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ind w:left="46"/>
      <w:outlineLvl w:val="0"/>
    </w:pPr>
    <w:rPr>
      <w:b/>
      <w:bCs/>
      <w:noProof/>
    </w:rPr>
  </w:style>
  <w:style w:type="paragraph" w:styleId="3">
    <w:name w:val="heading 3"/>
    <w:basedOn w:val="a"/>
    <w:next w:val="a"/>
    <w:qFormat/>
    <w:pPr>
      <w:keepNext/>
      <w:widowControl/>
      <w:spacing w:before="240" w:after="60"/>
      <w:outlineLvl w:val="2"/>
    </w:pPr>
    <w:rPr>
      <w:rFonts w:ascii="Arial" w:hAnsi="Arial" w:cs="Arial"/>
      <w:b/>
      <w:bCs/>
      <w:sz w:val="26"/>
      <w:szCs w:val="26"/>
      <w:lang w:val="en-GB"/>
    </w:rPr>
  </w:style>
  <w:style w:type="paragraph" w:styleId="8">
    <w:name w:val="heading 8"/>
    <w:basedOn w:val="a"/>
    <w:next w:val="a"/>
    <w:qFormat/>
    <w:pPr>
      <w:widowControl/>
      <w:spacing w:before="240" w:after="60"/>
      <w:outlineLvl w:val="7"/>
    </w:pPr>
    <w:rPr>
      <w:i/>
      <w:iCs/>
      <w:sz w:val="24"/>
      <w:szCs w:val="24"/>
      <w:lang w:val="en-GB"/>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widowControl/>
      <w:tabs>
        <w:tab w:val="center" w:pos="4536"/>
        <w:tab w:val="right" w:pos="9072"/>
      </w:tabs>
    </w:pPr>
    <w:rPr>
      <w:lang w:val="en-GB"/>
    </w:rPr>
  </w:style>
  <w:style w:type="character" w:styleId="a5">
    <w:name w:val="page number"/>
    <w:basedOn w:val="a0"/>
  </w:style>
  <w:style w:type="paragraph" w:styleId="30">
    <w:name w:val="Body Text 3"/>
    <w:basedOn w:val="a"/>
    <w:pPr>
      <w:widowControl/>
      <w:jc w:val="both"/>
    </w:pPr>
    <w:rPr>
      <w:sz w:val="20"/>
      <w:szCs w:val="22"/>
      <w:lang w:val="en-GB"/>
    </w:rPr>
  </w:style>
  <w:style w:type="paragraph" w:customStyle="1" w:styleId="Letter">
    <w:name w:val="Letter"/>
    <w:basedOn w:val="a"/>
    <w:pPr>
      <w:widowControl/>
    </w:pPr>
    <w:rPr>
      <w:rFonts w:ascii="Arial" w:hAnsi="Arial"/>
      <w:lang w:val="en-GB"/>
    </w:rPr>
  </w:style>
  <w:style w:type="paragraph" w:styleId="a6">
    <w:name w:val="footnote text"/>
    <w:basedOn w:val="a"/>
    <w:semiHidden/>
    <w:pPr>
      <w:widowControl/>
    </w:pPr>
    <w:rPr>
      <w:rFonts w:ascii="Arial" w:hAnsi="Arial"/>
      <w:sz w:val="20"/>
      <w:lang w:val="en-US"/>
    </w:rPr>
  </w:style>
  <w:style w:type="paragraph" w:styleId="a7">
    <w:name w:val="Body Text Indent"/>
    <w:basedOn w:val="a"/>
    <w:pPr>
      <w:spacing w:after="120"/>
      <w:ind w:left="283"/>
    </w:pPr>
  </w:style>
  <w:style w:type="paragraph" w:styleId="a8">
    <w:name w:val="Body Text"/>
    <w:basedOn w:val="a"/>
    <w:pPr>
      <w:jc w:val="both"/>
    </w:pPr>
  </w:style>
  <w:style w:type="paragraph" w:customStyle="1" w:styleId="MGGTextLeft">
    <w:name w:val="MGG Text Left"/>
    <w:basedOn w:val="a8"/>
    <w:pPr>
      <w:widowControl/>
      <w:jc w:val="left"/>
    </w:pPr>
    <w:rPr>
      <w:sz w:val="24"/>
      <w:szCs w:val="24"/>
      <w:lang w:val="en-GB"/>
    </w:rPr>
  </w:style>
  <w:style w:type="paragraph" w:styleId="2">
    <w:name w:val="Body Text 2"/>
    <w:basedOn w:val="a"/>
    <w:pPr>
      <w:spacing w:after="120" w:line="480" w:lineRule="auto"/>
    </w:pPr>
  </w:style>
  <w:style w:type="character" w:styleId="a9">
    <w:name w:val="annotation reference"/>
    <w:semiHidden/>
    <w:rsid w:val="004037AE"/>
    <w:rPr>
      <w:sz w:val="16"/>
      <w:szCs w:val="16"/>
    </w:rPr>
  </w:style>
  <w:style w:type="paragraph" w:styleId="aa">
    <w:name w:val="annotation text"/>
    <w:basedOn w:val="a"/>
    <w:semiHidden/>
    <w:rsid w:val="004037AE"/>
    <w:rPr>
      <w:sz w:val="20"/>
    </w:rPr>
  </w:style>
  <w:style w:type="paragraph" w:styleId="ab">
    <w:name w:val="annotation subject"/>
    <w:basedOn w:val="aa"/>
    <w:next w:val="aa"/>
    <w:semiHidden/>
    <w:rsid w:val="004037AE"/>
    <w:rPr>
      <w:b/>
      <w:bCs/>
    </w:rPr>
  </w:style>
  <w:style w:type="paragraph" w:styleId="ac">
    <w:name w:val="Balloon Text"/>
    <w:basedOn w:val="a"/>
    <w:semiHidden/>
    <w:rsid w:val="004037AE"/>
    <w:rPr>
      <w:rFonts w:ascii="Tahoma" w:hAnsi="Tahoma" w:cs="Tahoma"/>
      <w:sz w:val="16"/>
      <w:szCs w:val="16"/>
    </w:rPr>
  </w:style>
  <w:style w:type="character" w:customStyle="1" w:styleId="hps">
    <w:name w:val="hps"/>
    <w:basedOn w:val="a0"/>
    <w:rsid w:val="00BC7CD4"/>
  </w:style>
  <w:style w:type="character" w:customStyle="1" w:styleId="hpsatn">
    <w:name w:val="hps atn"/>
    <w:basedOn w:val="a0"/>
    <w:rsid w:val="00BC7CD4"/>
  </w:style>
  <w:style w:type="paragraph" w:customStyle="1" w:styleId="Style9">
    <w:name w:val="Style9"/>
    <w:basedOn w:val="a"/>
    <w:rsid w:val="00E64641"/>
    <w:pPr>
      <w:autoSpaceDE w:val="0"/>
      <w:autoSpaceDN w:val="0"/>
      <w:adjustRightInd w:val="0"/>
      <w:spacing w:line="282" w:lineRule="exact"/>
    </w:pPr>
    <w:rPr>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ind w:left="46"/>
      <w:outlineLvl w:val="0"/>
    </w:pPr>
    <w:rPr>
      <w:b/>
      <w:bCs/>
      <w:noProof/>
    </w:rPr>
  </w:style>
  <w:style w:type="paragraph" w:styleId="3">
    <w:name w:val="heading 3"/>
    <w:basedOn w:val="a"/>
    <w:next w:val="a"/>
    <w:qFormat/>
    <w:pPr>
      <w:keepNext/>
      <w:widowControl/>
      <w:spacing w:before="240" w:after="60"/>
      <w:outlineLvl w:val="2"/>
    </w:pPr>
    <w:rPr>
      <w:rFonts w:ascii="Arial" w:hAnsi="Arial" w:cs="Arial"/>
      <w:b/>
      <w:bCs/>
      <w:sz w:val="26"/>
      <w:szCs w:val="26"/>
      <w:lang w:val="en-GB"/>
    </w:rPr>
  </w:style>
  <w:style w:type="paragraph" w:styleId="8">
    <w:name w:val="heading 8"/>
    <w:basedOn w:val="a"/>
    <w:next w:val="a"/>
    <w:qFormat/>
    <w:pPr>
      <w:widowControl/>
      <w:spacing w:before="240" w:after="60"/>
      <w:outlineLvl w:val="7"/>
    </w:pPr>
    <w:rPr>
      <w:i/>
      <w:iCs/>
      <w:sz w:val="24"/>
      <w:szCs w:val="24"/>
      <w:lang w:val="en-GB"/>
    </w:r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widowControl/>
      <w:tabs>
        <w:tab w:val="center" w:pos="4536"/>
        <w:tab w:val="right" w:pos="9072"/>
      </w:tabs>
    </w:pPr>
    <w:rPr>
      <w:lang w:val="en-GB"/>
    </w:rPr>
  </w:style>
  <w:style w:type="character" w:styleId="a5">
    <w:name w:val="page number"/>
    <w:basedOn w:val="a0"/>
  </w:style>
  <w:style w:type="paragraph" w:styleId="30">
    <w:name w:val="Body Text 3"/>
    <w:basedOn w:val="a"/>
    <w:pPr>
      <w:widowControl/>
      <w:jc w:val="both"/>
    </w:pPr>
    <w:rPr>
      <w:sz w:val="20"/>
      <w:szCs w:val="22"/>
      <w:lang w:val="en-GB"/>
    </w:rPr>
  </w:style>
  <w:style w:type="paragraph" w:customStyle="1" w:styleId="Letter">
    <w:name w:val="Letter"/>
    <w:basedOn w:val="a"/>
    <w:pPr>
      <w:widowControl/>
    </w:pPr>
    <w:rPr>
      <w:rFonts w:ascii="Arial" w:hAnsi="Arial"/>
      <w:lang w:val="en-GB"/>
    </w:rPr>
  </w:style>
  <w:style w:type="paragraph" w:styleId="a6">
    <w:name w:val="footnote text"/>
    <w:basedOn w:val="a"/>
    <w:semiHidden/>
    <w:pPr>
      <w:widowControl/>
    </w:pPr>
    <w:rPr>
      <w:rFonts w:ascii="Arial" w:hAnsi="Arial"/>
      <w:sz w:val="20"/>
      <w:lang w:val="en-US"/>
    </w:rPr>
  </w:style>
  <w:style w:type="paragraph" w:styleId="a7">
    <w:name w:val="Body Text Indent"/>
    <w:basedOn w:val="a"/>
    <w:pPr>
      <w:spacing w:after="120"/>
      <w:ind w:left="283"/>
    </w:pPr>
  </w:style>
  <w:style w:type="paragraph" w:styleId="a8">
    <w:name w:val="Body Text"/>
    <w:basedOn w:val="a"/>
    <w:pPr>
      <w:jc w:val="both"/>
    </w:pPr>
  </w:style>
  <w:style w:type="paragraph" w:customStyle="1" w:styleId="MGGTextLeft">
    <w:name w:val="MGG Text Left"/>
    <w:basedOn w:val="a8"/>
    <w:pPr>
      <w:widowControl/>
      <w:jc w:val="left"/>
    </w:pPr>
    <w:rPr>
      <w:sz w:val="24"/>
      <w:szCs w:val="24"/>
      <w:lang w:val="en-GB"/>
    </w:rPr>
  </w:style>
  <w:style w:type="paragraph" w:styleId="2">
    <w:name w:val="Body Text 2"/>
    <w:basedOn w:val="a"/>
    <w:pPr>
      <w:spacing w:after="120" w:line="480" w:lineRule="auto"/>
    </w:pPr>
  </w:style>
  <w:style w:type="character" w:styleId="a9">
    <w:name w:val="annotation reference"/>
    <w:semiHidden/>
    <w:rsid w:val="004037AE"/>
    <w:rPr>
      <w:sz w:val="16"/>
      <w:szCs w:val="16"/>
    </w:rPr>
  </w:style>
  <w:style w:type="paragraph" w:styleId="aa">
    <w:name w:val="annotation text"/>
    <w:basedOn w:val="a"/>
    <w:semiHidden/>
    <w:rsid w:val="004037AE"/>
    <w:rPr>
      <w:sz w:val="20"/>
    </w:rPr>
  </w:style>
  <w:style w:type="paragraph" w:styleId="ab">
    <w:name w:val="annotation subject"/>
    <w:basedOn w:val="aa"/>
    <w:next w:val="aa"/>
    <w:semiHidden/>
    <w:rsid w:val="004037AE"/>
    <w:rPr>
      <w:b/>
      <w:bCs/>
    </w:rPr>
  </w:style>
  <w:style w:type="paragraph" w:styleId="ac">
    <w:name w:val="Balloon Text"/>
    <w:basedOn w:val="a"/>
    <w:semiHidden/>
    <w:rsid w:val="004037AE"/>
    <w:rPr>
      <w:rFonts w:ascii="Tahoma" w:hAnsi="Tahoma" w:cs="Tahoma"/>
      <w:sz w:val="16"/>
      <w:szCs w:val="16"/>
    </w:rPr>
  </w:style>
  <w:style w:type="character" w:customStyle="1" w:styleId="hps">
    <w:name w:val="hps"/>
    <w:basedOn w:val="a0"/>
    <w:rsid w:val="00BC7CD4"/>
  </w:style>
  <w:style w:type="character" w:customStyle="1" w:styleId="hpsatn">
    <w:name w:val="hps atn"/>
    <w:basedOn w:val="a0"/>
    <w:rsid w:val="00BC7CD4"/>
  </w:style>
  <w:style w:type="paragraph" w:customStyle="1" w:styleId="Style9">
    <w:name w:val="Style9"/>
    <w:basedOn w:val="a"/>
    <w:rsid w:val="00E64641"/>
    <w:pPr>
      <w:autoSpaceDE w:val="0"/>
      <w:autoSpaceDN w:val="0"/>
      <w:adjustRightInd w:val="0"/>
      <w:spacing w:line="282" w:lineRule="exact"/>
    </w:pPr>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c7c4cc62-fbcb-456f-bb74-e93246472908">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VERSION_NO xmlns="d52fe416-899e-4c85-a0f9-2de703e63d7f" xsi:nil="true"/>
    <Investigator xmlns="d52fe416-899e-4c85-a0f9-2de703e63d7f" xsi:nil="true"/>
    <VERSION_ID xmlns="d52fe416-899e-4c85-a0f9-2de703e63d7f">1</VERSION_ID>
    <DOCNUMBER xmlns="d52fe416-899e-4c85-a0f9-2de703e63d7f" xsi:nil="true"/>
    <ZSubSubCategory xmlns="d52fe416-899e-4c85-a0f9-2de703e63d7f" xsi:nil="true"/>
    <Folder xmlns="face7759-4ded-4110-9a19-ea2d44295ab2">
      <Value xmlns="face7759-4ded-4110-9a19-ea2d44295ab2">5</Value>
      <Value xmlns="face7759-4ded-4110-9a19-ea2d44295ab2">18</Value>
    </Folder>
    <DM_SYSTEM_ID xmlns="d52fe416-899e-4c85-a0f9-2de703e63d7f" xsi:nil="true"/>
    <Customer xmlns="d52fe416-899e-4c85-a0f9-2de703e63d7f" xsi:nil="true"/>
    <Country xmlns="d52fe416-899e-4c85-a0f9-2de703e63d7f">21</Country>
    <Project xmlns="d52fe416-899e-4c85-a0f9-2de703e63d7f">8</Project>
    <ZCategory xmlns="d52fe416-899e-4c85-a0f9-2de703e63d7f">318</ZCategory>
    <ZDepartment xmlns="d52fe416-899e-4c85-a0f9-2de703e63d7f">35</ZDepartment>
    <Product xmlns="d52fe416-899e-4c85-a0f9-2de703e63d7f">69</Product>
    <ZSubCategory xmlns="d52fe416-899e-4c85-a0f9-2de703e63d7f">1283</ZSubCategory>
    <shortDescription xmlns="d52fe416-899e-4c85-a0f9-2de703e63d7f">  ΙΒ/011: κείμενο αναφοράς: κίτρινο / QRD templates: πράσινο  &amp; ΙΒ/010:track / old vars: comments</shortDescript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6BED7B54D63143A33523A8624A69A4" ma:contentTypeVersion="5" ma:contentTypeDescription="Create a new document." ma:contentTypeScope="" ma:versionID="fc0f35d40f5d1b1ffa913b982b78555e">
  <xsd:schema xmlns:xsd="http://www.w3.org/2001/XMLSchema" xmlns:xs="http://www.w3.org/2001/XMLSchema" xmlns:p="http://schemas.microsoft.com/office/2006/metadata/properties" xmlns:ns1="http://schemas.microsoft.com/sharepoint/v3" xmlns:ns2="d52fe416-899e-4c85-a0f9-2de703e63d7f" xmlns:ns3="face7759-4ded-4110-9a19-ea2d44295ab2" targetNamespace="http://schemas.microsoft.com/office/2006/metadata/properties" ma:root="true" ma:fieldsID="6cdbccf2fe317dc210723315a26cce2c" ns1:_="" ns2:_="" ns3:_="">
    <xsd:import namespace="http://schemas.microsoft.com/sharepoint/v3"/>
    <xsd:import namespace="d52fe416-899e-4c85-a0f9-2de703e63d7f"/>
    <xsd:import namespace="face7759-4ded-4110-9a19-ea2d44295ab2"/>
    <xsd:element name="properties">
      <xsd:complexType>
        <xsd:sequence>
          <xsd:element name="documentManagement">
            <xsd:complexType>
              <xsd:all>
                <xsd:element ref="ns2:shortDescription" minOccurs="0"/>
                <xsd:element ref="ns2:Project" minOccurs="0"/>
                <xsd:element ref="ns2:Product"/>
                <xsd:element ref="ns2:Investigator" minOccurs="0"/>
                <xsd:element ref="ns2:Country" minOccurs="0"/>
                <xsd:element ref="ns2:VERSION_NO" minOccurs="0"/>
                <xsd:element ref="ns2:VERSION_ID" minOccurs="0"/>
                <xsd:element ref="ns2:DOCNUMBER" minOccurs="0"/>
                <xsd:element ref="ns2:DM_SYSTEM_ID" minOccurs="0"/>
                <xsd:element ref="ns2:Customer" minOccurs="0"/>
                <xsd:element ref="ns2:ZDepartment" minOccurs="0"/>
                <xsd:element ref="ns2:ZCategory"/>
                <xsd:element ref="ns2:ZSubCategory"/>
                <xsd:element ref="ns2:ZSubSubCategory" minOccurs="0"/>
                <xsd:element ref="ns3:Fold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fe416-899e-4c85-a0f9-2de703e63d7f" elementFormDefault="qualified">
    <xsd:import namespace="http://schemas.microsoft.com/office/2006/documentManagement/types"/>
    <xsd:import namespace="http://schemas.microsoft.com/office/infopath/2007/PartnerControls"/>
    <xsd:element name="shortDescription" ma:index="2" nillable="true" ma:displayName="Short Description" ma:default="-" ma:internalName="shortDescription">
      <xsd:simpleType>
        <xsd:restriction base="dms:Note">
          <xsd:maxLength value="255"/>
        </xsd:restriction>
      </xsd:simpleType>
    </xsd:element>
    <xsd:element name="Project" ma:index="3" nillable="true" ma:displayName="Project" ma:indexed="true" ma:list="{4964E1B6-CD13-4E44-8704-255169ABEAF3}" ma:internalName="Project" ma:showField="LinkTitleNoMenu" ma:web="{face7759-4ded-4110-9a19-ea2d44295ab2}">
      <xsd:simpleType>
        <xsd:restriction base="dms:Lookup"/>
      </xsd:simpleType>
    </xsd:element>
    <xsd:element name="Product" ma:index="4" ma:displayName="Product" ma:default="136;#ΔΙΑΦΟΡΑ" ma:description="Product" ma:indexed="true" ma:list="{99275F1D-BFAE-4EDC-A514-553C60D37046}" ma:internalName="Product" ma:showField="LinkTitleNoMenu" ma:web="{face7759-4ded-4110-9a19-ea2d44295ab2}">
      <xsd:simpleType>
        <xsd:restriction base="dms:Lookup"/>
      </xsd:simpleType>
    </xsd:element>
    <xsd:element name="Investigator" ma:index="5" nillable="true" ma:displayName="Investigator" ma:description="Investigator" ma:indexed="true" ma:list="{F93EF9FE-690E-44EC-A47B-CD7CEFBFFE09}" ma:internalName="Investigator" ma:showField="LinkTitleNoMenu" ma:web="{face7759-4ded-4110-9a19-ea2d44295ab2}">
      <xsd:simpleType>
        <xsd:restriction base="dms:Lookup"/>
      </xsd:simpleType>
    </xsd:element>
    <xsd:element name="Country" ma:index="6" nillable="true" ma:displayName="Region" ma:description="Country or Region" ma:indexed="true" ma:list="{9CFC48BA-902F-4B23-81E4-20FC2483D16F}" ma:internalName="Country" ma:showField="LinkTitleNoMenu" ma:web="{face7759-4ded-4110-9a19-ea2d44295ab2}">
      <xsd:simpleType>
        <xsd:restriction base="dms:Lookup"/>
      </xsd:simpleType>
    </xsd:element>
    <xsd:element name="VERSION_NO" ma:index="7" nillable="true" ma:displayName="VERSION_NO" ma:decimals="0" ma:internalName="VERSION_NO">
      <xsd:simpleType>
        <xsd:restriction base="dms:Number">
          <xsd:minInclusive value="0"/>
        </xsd:restriction>
      </xsd:simpleType>
    </xsd:element>
    <xsd:element name="VERSION_ID" ma:index="8" nillable="true" ma:displayName="VERSION_ID" ma:decimals="0" ma:internalName="VERSION_ID">
      <xsd:simpleType>
        <xsd:restriction base="dms:Number">
          <xsd:minInclusive value="0"/>
        </xsd:restriction>
      </xsd:simpleType>
    </xsd:element>
    <xsd:element name="DOCNUMBER" ma:index="9" nillable="true" ma:displayName="DOCNUMBER" ma:decimals="0" ma:internalName="DOCNUMBER">
      <xsd:simpleType>
        <xsd:restriction base="dms:Number">
          <xsd:minInclusive value="0"/>
        </xsd:restriction>
      </xsd:simpleType>
    </xsd:element>
    <xsd:element name="DM_SYSTEM_ID" ma:index="10" nillable="true" ma:displayName="DM_SYSTEM_ID" ma:decimals="0" ma:internalName="DM_SYSTEM_ID">
      <xsd:simpleType>
        <xsd:restriction base="dms:Number">
          <xsd:minInclusive value="0"/>
        </xsd:restriction>
      </xsd:simpleType>
    </xsd:element>
    <xsd:element name="Customer" ma:index="17" nillable="true" ma:displayName="Customer" ma:indexed="true" ma:list="{5A6FBCAA-7BC6-4E9D-B969-C63F58CE8570}" ma:internalName="Customer" ma:showField="LinkTitleNoMenu" ma:web="{face7759-4ded-4110-9a19-ea2d44295ab2}">
      <xsd:simpleType>
        <xsd:restriction base="dms:Lookup"/>
      </xsd:simpleType>
    </xsd:element>
    <xsd:element name="ZDepartment" ma:index="18" nillable="true" ma:displayName="Department" ma:indexed="true" ma:list="{05027470-00A8-4312-97E0-1A587FD1CDE8}" ma:internalName="ZDepartment" ma:showField="LinkTitleNoMenu" ma:web="{face7759-4ded-4110-9a19-ea2d44295ab2}">
      <xsd:simpleType>
        <xsd:restriction base="dms:Lookup"/>
      </xsd:simpleType>
    </xsd:element>
    <xsd:element name="ZCategory" ma:index="19" ma:displayName="Category" ma:indexed="true" ma:list="{CAA0189A-8147-4244-B0BA-E7078475CA07}" ma:internalName="ZCategory" ma:showField="LinkTitleNoMenu" ma:web="{face7759-4ded-4110-9a19-ea2d44295ab2}">
      <xsd:simpleType>
        <xsd:restriction base="dms:Lookup"/>
      </xsd:simpleType>
    </xsd:element>
    <xsd:element name="ZSubCategory" ma:index="20" ma:displayName="SubCategory" ma:indexed="true" ma:list="{34E24AF1-FA82-4F1F-9AE5-4B92E1418792}" ma:internalName="ZSubCategory" ma:showField="LinkTitleNoMenu" ma:web="{face7759-4ded-4110-9a19-ea2d44295ab2}">
      <xsd:simpleType>
        <xsd:restriction base="dms:Lookup"/>
      </xsd:simpleType>
    </xsd:element>
    <xsd:element name="ZSubSubCategory" ma:index="21" nillable="true" ma:displayName="SubSubCategory" ma:indexed="true" ma:list="{77355523-92A0-435D-AD2C-373B77D86BA9}" ma:internalName="ZSubSubCategory" ma:showField="LinkTitleNoMenu" ma:web="{face7759-4ded-4110-9a19-ea2d44295a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ce7759-4ded-4110-9a19-ea2d44295ab2" elementFormDefault="qualified">
    <xsd:import namespace="http://schemas.microsoft.com/office/2006/documentManagement/types"/>
    <xsd:import namespace="http://schemas.microsoft.com/office/infopath/2007/PartnerControls"/>
    <xsd:element name="Folder" ma:index="22" nillable="true" ma:displayName="Folder" ma:list="{92ce69cb-9dd6-4c48-a61d-91565a0c8f98}" ma:internalName="Folder" ma:showField="LinkTitleNoMenu" ma:web="face7759-4ded-4110-9a19-ea2d44295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05C40-AE54-4EB9-A281-F50004C910C9}">
  <ds:schemaRefs>
    <ds:schemaRef ds:uri="http://schemas.microsoft.com/sharepoint/events"/>
  </ds:schemaRefs>
</ds:datastoreItem>
</file>

<file path=customXml/itemProps2.xml><?xml version="1.0" encoding="utf-8"?>
<ds:datastoreItem xmlns:ds="http://schemas.openxmlformats.org/officeDocument/2006/customXml" ds:itemID="{0F94CE33-E55E-49A5-9C11-92FAF6413587}">
  <ds:schemaRefs>
    <ds:schemaRef ds:uri="office.server.policy"/>
  </ds:schemaRefs>
</ds:datastoreItem>
</file>

<file path=customXml/itemProps3.xml><?xml version="1.0" encoding="utf-8"?>
<ds:datastoreItem xmlns:ds="http://schemas.openxmlformats.org/officeDocument/2006/customXml" ds:itemID="{62636823-52ED-4E2B-8BC0-69B407FD0EF2}">
  <ds:schemaRefs>
    <ds:schemaRef ds:uri="http://schemas.microsoft.com/office/2006/metadata/longProperties"/>
  </ds:schemaRefs>
</ds:datastoreItem>
</file>

<file path=customXml/itemProps4.xml><?xml version="1.0" encoding="utf-8"?>
<ds:datastoreItem xmlns:ds="http://schemas.openxmlformats.org/officeDocument/2006/customXml" ds:itemID="{BF691AEF-AD6C-4692-B906-DF3A7B2812FF}">
  <ds:schemaRefs>
    <ds:schemaRef ds:uri="http://schemas.microsoft.com/office/2006/metadata/properties"/>
    <ds:schemaRef ds:uri="d52fe416-899e-4c85-a0f9-2de703e63d7f"/>
    <ds:schemaRef ds:uri="face7759-4ded-4110-9a19-ea2d44295ab2"/>
  </ds:schemaRefs>
</ds:datastoreItem>
</file>

<file path=customXml/itemProps5.xml><?xml version="1.0" encoding="utf-8"?>
<ds:datastoreItem xmlns:ds="http://schemas.openxmlformats.org/officeDocument/2006/customXml" ds:itemID="{4037DE9A-9DA7-4F24-A9CE-83DCF589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fe416-899e-4c85-a0f9-2de703e63d7f"/>
    <ds:schemaRef ds:uri="face7759-4ded-4110-9a19-ea2d44295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DEA38D-DC8D-4CBC-A162-1048B8C03C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4221</Words>
  <Characters>22799</Characters>
  <Application>Microsoft Office Word</Application>
  <DocSecurity>0</DocSecurity>
  <Lines>189</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Donepezil fc tabs var 11 SPC-eop (El)</vt:lpstr>
      <vt:lpstr>Donepezil fc tabs var 11 SPC-eop (El)</vt:lpstr>
    </vt:vector>
  </TitlesOfParts>
  <Company>GLOBAL SPC TRANSLATIONS</Company>
  <LinksUpToDate>false</LinksUpToDate>
  <CharactersWithSpaces>26967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Donepezil fc tabs var 11 SPC-eop (El)</dc:title>
  <dc:creator>AIKATERINI GONIDOU</dc:creator>
  <cp:lastModifiedBy>pc</cp:lastModifiedBy>
  <cp:revision>2</cp:revision>
  <cp:lastPrinted>2014-06-03T11:37:00Z</cp:lastPrinted>
  <dcterms:created xsi:type="dcterms:W3CDTF">2016-08-24T08:36:00Z</dcterms:created>
  <dcterms:modified xsi:type="dcterms:W3CDTF">2016-08-24T08:36:00Z</dcterms:modified>
</cp:coreProperties>
</file>