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bookmarkStart w:id="0" w:name="_GoBack"/>
      <w:bookmarkEnd w:id="0"/>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s>
        <w:spacing w:line="240" w:lineRule="auto"/>
        <w:jc w:val="center"/>
        <w:rPr>
          <w:noProof/>
          <w:lang w:val="el-GR"/>
        </w:rPr>
      </w:pPr>
    </w:p>
    <w:p w:rsidR="009B62E6" w:rsidRPr="00C862E9" w:rsidRDefault="009B62E6">
      <w:pPr>
        <w:tabs>
          <w:tab w:val="clear" w:pos="567"/>
          <w:tab w:val="left" w:pos="-1440"/>
          <w:tab w:val="left" w:pos="-720"/>
        </w:tabs>
        <w:spacing w:line="240" w:lineRule="auto"/>
        <w:jc w:val="center"/>
        <w:rPr>
          <w:noProof/>
          <w:lang w:val="el-GR"/>
        </w:rPr>
      </w:pPr>
    </w:p>
    <w:p w:rsidR="009B62E6" w:rsidRPr="007C3B3C" w:rsidRDefault="009B62E6">
      <w:pPr>
        <w:tabs>
          <w:tab w:val="clear" w:pos="567"/>
          <w:tab w:val="left" w:pos="-1440"/>
          <w:tab w:val="left" w:pos="-720"/>
        </w:tabs>
        <w:spacing w:line="240" w:lineRule="auto"/>
        <w:jc w:val="center"/>
        <w:rPr>
          <w:noProof/>
          <w:lang w:val="en-US"/>
        </w:rPr>
      </w:pPr>
    </w:p>
    <w:p w:rsidR="009B62E6" w:rsidRPr="00C862E9" w:rsidRDefault="009B62E6">
      <w:pPr>
        <w:tabs>
          <w:tab w:val="clear" w:pos="567"/>
          <w:tab w:val="left" w:pos="-1440"/>
          <w:tab w:val="left" w:pos="-720"/>
        </w:tabs>
        <w:spacing w:line="240" w:lineRule="auto"/>
        <w:jc w:val="center"/>
        <w:rPr>
          <w:noProof/>
          <w:lang w:val="el-GR"/>
        </w:rPr>
      </w:pPr>
      <w:r w:rsidRPr="00C862E9">
        <w:rPr>
          <w:b/>
          <w:bCs/>
          <w:lang w:val="el-GR"/>
        </w:rPr>
        <w:t>ΠΕΡΙΛΗΨΗ ΤΩΝ ΧΑΡΑΚΤΗΡΙΣΤΙΚΩΝ ΤΟΥ ΠΡΟΪΟΝΤΟΣ</w:t>
      </w:r>
    </w:p>
    <w:p w:rsidR="009B62E6" w:rsidRPr="00C862E9" w:rsidRDefault="009B62E6">
      <w:pPr>
        <w:tabs>
          <w:tab w:val="clear" w:pos="567"/>
          <w:tab w:val="left" w:pos="-1440"/>
          <w:tab w:val="left" w:pos="-720"/>
        </w:tabs>
        <w:spacing w:line="240" w:lineRule="auto"/>
        <w:jc w:val="center"/>
        <w:rPr>
          <w:noProof/>
          <w:lang w:val="el-GR"/>
        </w:rPr>
      </w:pPr>
      <w:r w:rsidRPr="00C862E9">
        <w:rPr>
          <w:noProof/>
          <w:lang w:val="el-GR"/>
        </w:rPr>
        <w:br w:type="page"/>
      </w:r>
    </w:p>
    <w:p w:rsidR="009B62E6" w:rsidRPr="00C862E9" w:rsidRDefault="009B62E6">
      <w:pPr>
        <w:widowControl w:val="0"/>
        <w:outlineLvl w:val="0"/>
        <w:rPr>
          <w:b/>
          <w:bCs/>
          <w:lang w:val="el-GR"/>
        </w:rPr>
      </w:pPr>
      <w:r w:rsidRPr="00C862E9">
        <w:rPr>
          <w:b/>
          <w:bCs/>
          <w:noProof/>
          <w:lang w:val="el-GR"/>
        </w:rPr>
        <w:lastRenderedPageBreak/>
        <w:t>1</w:t>
      </w:r>
      <w:r w:rsidRPr="00C862E9">
        <w:rPr>
          <w:b/>
          <w:bCs/>
          <w:i/>
          <w:iCs/>
          <w:noProof/>
          <w:lang w:val="el-GR"/>
        </w:rPr>
        <w:t>.</w:t>
      </w:r>
      <w:r w:rsidRPr="00C862E9">
        <w:rPr>
          <w:b/>
          <w:bCs/>
          <w:i/>
          <w:iCs/>
          <w:noProof/>
          <w:lang w:val="el-GR"/>
        </w:rPr>
        <w:tab/>
      </w:r>
      <w:r w:rsidRPr="00C862E9">
        <w:rPr>
          <w:b/>
          <w:bCs/>
          <w:lang w:val="el-GR"/>
        </w:rPr>
        <w:t>ΟΝΟΜΑΣΙΑ ΤΟΥ ΦΑΡΜΑΚΕΥΤΙΚΟΥ ΠΡΟΪΟΝΤΟΣ</w:t>
      </w:r>
    </w:p>
    <w:p w:rsidR="009B62E6" w:rsidRPr="00C862E9" w:rsidRDefault="009B62E6">
      <w:pPr>
        <w:tabs>
          <w:tab w:val="clear" w:pos="567"/>
        </w:tabs>
        <w:spacing w:line="240" w:lineRule="auto"/>
        <w:rPr>
          <w:noProof/>
          <w:lang w:val="el-GR"/>
        </w:rPr>
      </w:pPr>
    </w:p>
    <w:p w:rsidR="009B62E6" w:rsidRPr="00C862E9" w:rsidRDefault="009B62E6">
      <w:pPr>
        <w:pStyle w:val="Default"/>
        <w:rPr>
          <w:sz w:val="22"/>
          <w:szCs w:val="22"/>
          <w:lang w:val="el-GR"/>
        </w:rPr>
      </w:pPr>
      <w:proofErr w:type="spellStart"/>
      <w:r w:rsidRPr="00C862E9">
        <w:rPr>
          <w:sz w:val="22"/>
          <w:szCs w:val="22"/>
          <w:lang w:val="en-GB"/>
        </w:rPr>
        <w:t>Helides</w:t>
      </w:r>
      <w:proofErr w:type="spellEnd"/>
      <w:r w:rsidRPr="00C862E9">
        <w:rPr>
          <w:sz w:val="22"/>
          <w:szCs w:val="22"/>
          <w:lang w:val="el-GR"/>
        </w:rPr>
        <w:t xml:space="preserve"> 20</w:t>
      </w:r>
      <w:r w:rsidRPr="00C862E9">
        <w:rPr>
          <w:sz w:val="22"/>
          <w:szCs w:val="22"/>
          <w:lang w:val="en-GB"/>
        </w:rPr>
        <w:t> mg</w:t>
      </w:r>
      <w:r w:rsidRPr="00C862E9">
        <w:rPr>
          <w:sz w:val="22"/>
          <w:szCs w:val="22"/>
          <w:lang w:val="el-GR"/>
        </w:rPr>
        <w:t xml:space="preserve"> </w:t>
      </w:r>
      <w:proofErr w:type="spellStart"/>
      <w:r w:rsidRPr="00C862E9">
        <w:rPr>
          <w:sz w:val="22"/>
          <w:szCs w:val="22"/>
          <w:lang w:val="el-GR"/>
        </w:rPr>
        <w:t>γαστροανθεκτικά</w:t>
      </w:r>
      <w:proofErr w:type="spellEnd"/>
      <w:r w:rsidRPr="00C862E9">
        <w:rPr>
          <w:sz w:val="22"/>
          <w:szCs w:val="22"/>
          <w:lang w:val="el-GR"/>
        </w:rPr>
        <w:t xml:space="preserve"> καψάκια, σκληρά</w:t>
      </w:r>
    </w:p>
    <w:p w:rsidR="009B62E6" w:rsidRPr="00C862E9" w:rsidRDefault="009B62E6">
      <w:pPr>
        <w:widowControl w:val="0"/>
        <w:tabs>
          <w:tab w:val="clear" w:pos="567"/>
        </w:tabs>
        <w:spacing w:line="240" w:lineRule="auto"/>
        <w:rPr>
          <w:lang w:val="el-GR"/>
        </w:rPr>
      </w:pPr>
      <w:proofErr w:type="spellStart"/>
      <w:r w:rsidRPr="00C862E9">
        <w:rPr>
          <w:highlight w:val="lightGray"/>
        </w:rPr>
        <w:t>Helides</w:t>
      </w:r>
      <w:proofErr w:type="spellEnd"/>
      <w:r w:rsidRPr="00C862E9">
        <w:rPr>
          <w:highlight w:val="lightGray"/>
          <w:lang w:val="el-GR"/>
        </w:rPr>
        <w:t xml:space="preserve"> 40 </w:t>
      </w:r>
      <w:r w:rsidRPr="00C862E9">
        <w:rPr>
          <w:highlight w:val="lightGray"/>
        </w:rPr>
        <w:t>mg</w:t>
      </w:r>
      <w:r w:rsidRPr="00C862E9">
        <w:rPr>
          <w:highlight w:val="lightGray"/>
          <w:lang w:val="el-GR"/>
        </w:rPr>
        <w:t xml:space="preserve"> </w:t>
      </w:r>
      <w:proofErr w:type="spellStart"/>
      <w:r w:rsidRPr="00C862E9">
        <w:rPr>
          <w:highlight w:val="lightGray"/>
          <w:lang w:val="el-GR"/>
        </w:rPr>
        <w:t>γαστροανθεκτικά</w:t>
      </w:r>
      <w:proofErr w:type="spellEnd"/>
      <w:r w:rsidRPr="00C862E9">
        <w:rPr>
          <w:highlight w:val="lightGray"/>
          <w:lang w:val="el-GR"/>
        </w:rPr>
        <w:t xml:space="preserve"> καψάκια, σκληρά</w:t>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p>
    <w:p w:rsidR="009B62E6" w:rsidRPr="00C862E9" w:rsidRDefault="009B62E6">
      <w:pPr>
        <w:widowControl w:val="0"/>
        <w:outlineLvl w:val="0"/>
        <w:rPr>
          <w:b/>
          <w:bCs/>
          <w:noProof/>
          <w:lang w:val="el-GR"/>
        </w:rPr>
      </w:pPr>
      <w:r w:rsidRPr="00C862E9">
        <w:rPr>
          <w:b/>
          <w:bCs/>
          <w:noProof/>
          <w:lang w:val="el-GR"/>
        </w:rPr>
        <w:t>2</w:t>
      </w:r>
      <w:r w:rsidRPr="00C862E9">
        <w:rPr>
          <w:b/>
          <w:bCs/>
          <w:i/>
          <w:iCs/>
          <w:noProof/>
          <w:lang w:val="el-GR"/>
        </w:rPr>
        <w:t>.</w:t>
      </w:r>
      <w:r w:rsidRPr="00C862E9">
        <w:rPr>
          <w:b/>
          <w:bCs/>
          <w:i/>
          <w:iCs/>
          <w:noProof/>
          <w:lang w:val="el-GR"/>
        </w:rPr>
        <w:tab/>
      </w:r>
      <w:r w:rsidRPr="00C862E9">
        <w:rPr>
          <w:b/>
          <w:bCs/>
          <w:lang w:val="el-GR"/>
        </w:rPr>
        <w:t>ΠΟΙΟΤΙΚΗ ΚΑΙ ΠΟΣΟΤΙΚΗ ΣΥΝΘΕΣΗ</w:t>
      </w:r>
    </w:p>
    <w:p w:rsidR="009B62E6" w:rsidRPr="00C862E9" w:rsidRDefault="009B62E6">
      <w:pPr>
        <w:tabs>
          <w:tab w:val="clear" w:pos="567"/>
        </w:tabs>
        <w:spacing w:line="240" w:lineRule="auto"/>
        <w:rPr>
          <w:noProof/>
          <w:lang w:val="el-GR"/>
        </w:rPr>
      </w:pPr>
    </w:p>
    <w:p w:rsidR="009B62E6" w:rsidRPr="00800E0B" w:rsidRDefault="009B62E6">
      <w:pPr>
        <w:pStyle w:val="Default"/>
        <w:rPr>
          <w:sz w:val="22"/>
          <w:szCs w:val="22"/>
          <w:lang w:val="el-GR"/>
        </w:rPr>
      </w:pPr>
      <w:r w:rsidRPr="00800E0B">
        <w:rPr>
          <w:sz w:val="22"/>
          <w:szCs w:val="22"/>
          <w:lang w:val="el-GR"/>
        </w:rPr>
        <w:t>Κάθε καψάκιο περιέχει 20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(ως </w:t>
      </w:r>
      <w:proofErr w:type="spellStart"/>
      <w:r w:rsidRPr="00800E0B">
        <w:rPr>
          <w:sz w:val="22"/>
          <w:szCs w:val="22"/>
          <w:lang w:val="el-GR"/>
        </w:rPr>
        <w:t>διένυδρο</w:t>
      </w:r>
      <w:proofErr w:type="spellEnd"/>
      <w:r w:rsidRPr="00800E0B">
        <w:rPr>
          <w:sz w:val="22"/>
          <w:szCs w:val="22"/>
          <w:lang w:val="el-GR"/>
        </w:rPr>
        <w:t xml:space="preserve"> μαγνήσιο). </w:t>
      </w:r>
    </w:p>
    <w:p w:rsidR="009B62E6" w:rsidRPr="00C862E9" w:rsidRDefault="009B62E6">
      <w:pPr>
        <w:pStyle w:val="a6"/>
        <w:spacing w:after="0"/>
        <w:ind w:left="0"/>
        <w:rPr>
          <w:lang w:val="el-GR"/>
        </w:rPr>
      </w:pPr>
      <w:r w:rsidRPr="00800E0B">
        <w:rPr>
          <w:lang w:val="el-GR"/>
        </w:rPr>
        <w:t>Έκδοχο: κάθε καψάκιο περιέχει 8,05</w:t>
      </w:r>
      <w:r w:rsidRPr="00800E0B">
        <w:t> mg</w:t>
      </w:r>
      <w:r w:rsidRPr="00800E0B">
        <w:rPr>
          <w:lang w:val="el-GR"/>
        </w:rPr>
        <w:t xml:space="preserve"> σακχαρόζης, 1,85 μικρογραμμάρια </w:t>
      </w:r>
      <w:r w:rsidRPr="00800E0B">
        <w:rPr>
          <w:lang w:val="en-US"/>
        </w:rPr>
        <w:t>methyl</w:t>
      </w:r>
      <w:r w:rsidRPr="00800E0B">
        <w:rPr>
          <w:lang w:val="el-GR"/>
        </w:rPr>
        <w:t>-</w:t>
      </w:r>
      <w:r w:rsidRPr="00800E0B">
        <w:rPr>
          <w:lang w:val="en-US"/>
        </w:rPr>
        <w:t>p</w:t>
      </w:r>
      <w:r w:rsidRPr="00800E0B">
        <w:rPr>
          <w:lang w:val="el-GR"/>
        </w:rPr>
        <w:t>-</w:t>
      </w:r>
      <w:proofErr w:type="spellStart"/>
      <w:r w:rsidRPr="00800E0B">
        <w:rPr>
          <w:lang w:val="en-US"/>
        </w:rPr>
        <w:t>hydroxybenzoate</w:t>
      </w:r>
      <w:proofErr w:type="spellEnd"/>
      <w:r w:rsidRPr="00800E0B">
        <w:rPr>
          <w:lang w:val="el-GR"/>
        </w:rPr>
        <w:t xml:space="preserve"> (</w:t>
      </w:r>
      <w:r w:rsidRPr="00800E0B">
        <w:rPr>
          <w:lang w:val="en-US"/>
        </w:rPr>
        <w:t>E</w:t>
      </w:r>
      <w:r w:rsidRPr="00800E0B">
        <w:rPr>
          <w:lang w:val="el-GR"/>
        </w:rPr>
        <w:t xml:space="preserve">218) και 0,56 μικρογραμμάρια </w:t>
      </w:r>
      <w:r w:rsidRPr="00800E0B">
        <w:rPr>
          <w:lang w:val="en-US"/>
        </w:rPr>
        <w:t>propyl</w:t>
      </w:r>
      <w:r w:rsidRPr="00800E0B">
        <w:rPr>
          <w:lang w:val="el-GR"/>
        </w:rPr>
        <w:t>-</w:t>
      </w:r>
      <w:r w:rsidRPr="00800E0B">
        <w:rPr>
          <w:lang w:val="en-US"/>
        </w:rPr>
        <w:t>p</w:t>
      </w:r>
      <w:r w:rsidRPr="00800E0B">
        <w:rPr>
          <w:lang w:val="el-GR"/>
        </w:rPr>
        <w:t>-</w:t>
      </w:r>
      <w:proofErr w:type="spellStart"/>
      <w:r w:rsidRPr="00800E0B">
        <w:rPr>
          <w:lang w:val="en-US"/>
        </w:rPr>
        <w:t>hydroxybenzoate</w:t>
      </w:r>
      <w:proofErr w:type="spellEnd"/>
      <w:r w:rsidRPr="00800E0B">
        <w:rPr>
          <w:lang w:val="el-GR"/>
        </w:rPr>
        <w:t xml:space="preserve"> (</w:t>
      </w:r>
      <w:r w:rsidRPr="00800E0B">
        <w:rPr>
          <w:lang w:val="en-US"/>
        </w:rPr>
        <w:t>E</w:t>
      </w:r>
      <w:r w:rsidRPr="00800E0B">
        <w:rPr>
          <w:lang w:val="el-GR"/>
        </w:rPr>
        <w:t>216).</w:t>
      </w:r>
      <w:r w:rsidRPr="00C862E9">
        <w:rPr>
          <w:lang w:val="el-GR"/>
        </w:rPr>
        <w:t xml:space="preserve"> </w:t>
      </w:r>
      <w:r w:rsidRPr="00C862E9">
        <w:rPr>
          <w:lang w:val="el-GR"/>
        </w:rPr>
        <w:tab/>
      </w:r>
    </w:p>
    <w:p w:rsidR="009B62E6" w:rsidRPr="00C862E9" w:rsidRDefault="009B62E6">
      <w:pPr>
        <w:tabs>
          <w:tab w:val="clear" w:pos="567"/>
        </w:tabs>
        <w:spacing w:line="240" w:lineRule="auto"/>
        <w:rPr>
          <w:noProof/>
          <w:lang w:val="el-GR"/>
        </w:rPr>
      </w:pPr>
    </w:p>
    <w:p w:rsidR="009B62E6" w:rsidRPr="00C862E9" w:rsidRDefault="009B62E6">
      <w:pPr>
        <w:pStyle w:val="Default"/>
        <w:rPr>
          <w:sz w:val="22"/>
          <w:szCs w:val="22"/>
          <w:lang w:val="el-GR"/>
        </w:rPr>
      </w:pPr>
      <w:r w:rsidRPr="00C862E9">
        <w:rPr>
          <w:sz w:val="22"/>
          <w:szCs w:val="22"/>
          <w:highlight w:val="lightGray"/>
          <w:lang w:val="el-GR"/>
        </w:rPr>
        <w:t xml:space="preserve">Κάθε καψάκιο περιέχει 40 </w:t>
      </w:r>
      <w:r w:rsidRPr="00C862E9">
        <w:rPr>
          <w:sz w:val="22"/>
          <w:szCs w:val="22"/>
          <w:highlight w:val="lightGray"/>
          <w:lang w:val="en-GB"/>
        </w:rPr>
        <w:t>mg</w:t>
      </w:r>
      <w:r w:rsidRPr="00C862E9">
        <w:rPr>
          <w:sz w:val="22"/>
          <w:szCs w:val="22"/>
          <w:highlight w:val="lightGray"/>
          <w:lang w:val="el-GR"/>
        </w:rPr>
        <w:t xml:space="preserve"> </w:t>
      </w:r>
      <w:proofErr w:type="spellStart"/>
      <w:r w:rsidRPr="00C862E9">
        <w:rPr>
          <w:sz w:val="22"/>
          <w:szCs w:val="22"/>
          <w:highlight w:val="lightGray"/>
          <w:lang w:val="el-GR"/>
        </w:rPr>
        <w:t>εσομεπραζόλης</w:t>
      </w:r>
      <w:proofErr w:type="spellEnd"/>
      <w:r w:rsidRPr="00C862E9">
        <w:rPr>
          <w:sz w:val="22"/>
          <w:szCs w:val="22"/>
          <w:highlight w:val="lightGray"/>
          <w:lang w:val="el-GR"/>
        </w:rPr>
        <w:t xml:space="preserve"> (ως </w:t>
      </w:r>
      <w:proofErr w:type="spellStart"/>
      <w:r w:rsidRPr="00C862E9">
        <w:rPr>
          <w:sz w:val="22"/>
          <w:szCs w:val="22"/>
          <w:highlight w:val="lightGray"/>
          <w:lang w:val="el-GR"/>
        </w:rPr>
        <w:t>διένυδρο</w:t>
      </w:r>
      <w:proofErr w:type="spellEnd"/>
      <w:r w:rsidRPr="00C862E9">
        <w:rPr>
          <w:sz w:val="22"/>
          <w:szCs w:val="22"/>
          <w:highlight w:val="lightGray"/>
          <w:lang w:val="el-GR"/>
        </w:rPr>
        <w:t xml:space="preserve"> μαγνήσιο). </w:t>
      </w:r>
    </w:p>
    <w:p w:rsidR="009B62E6" w:rsidRPr="00C862E9" w:rsidRDefault="009B62E6">
      <w:pPr>
        <w:tabs>
          <w:tab w:val="clear" w:pos="567"/>
        </w:tabs>
        <w:spacing w:line="240" w:lineRule="auto"/>
        <w:rPr>
          <w:lang w:val="el-GR"/>
        </w:rPr>
      </w:pPr>
      <w:r w:rsidRPr="00C862E9">
        <w:rPr>
          <w:highlight w:val="lightGray"/>
          <w:lang w:val="el-GR"/>
        </w:rPr>
        <w:t xml:space="preserve">Έκδοχο: κάθε καψάκιο περιέχει 16,09 </w:t>
      </w:r>
      <w:r w:rsidRPr="00C862E9">
        <w:rPr>
          <w:highlight w:val="lightGray"/>
        </w:rPr>
        <w:t>mg</w:t>
      </w:r>
      <w:r w:rsidRPr="00C862E9">
        <w:rPr>
          <w:highlight w:val="lightGray"/>
          <w:lang w:val="el-GR"/>
        </w:rPr>
        <w:t xml:space="preserve"> </w:t>
      </w:r>
      <w:r>
        <w:rPr>
          <w:highlight w:val="lightGray"/>
          <w:lang w:val="el-GR"/>
        </w:rPr>
        <w:t>σακχαρόζης</w:t>
      </w:r>
      <w:r w:rsidRPr="00882259">
        <w:rPr>
          <w:highlight w:val="lightGray"/>
          <w:lang w:val="el-GR"/>
        </w:rPr>
        <w:t xml:space="preserve">, </w:t>
      </w:r>
      <w:r w:rsidRPr="00800E0B">
        <w:rPr>
          <w:highlight w:val="lightGray"/>
          <w:lang w:val="el-GR"/>
        </w:rPr>
        <w:t xml:space="preserve">3,65 μικρογραμμάρια </w:t>
      </w:r>
      <w:r w:rsidRPr="00800E0B">
        <w:rPr>
          <w:highlight w:val="lightGray"/>
          <w:lang w:val="en-US"/>
        </w:rPr>
        <w:t>methyl</w:t>
      </w:r>
      <w:r w:rsidRPr="00800E0B">
        <w:rPr>
          <w:highlight w:val="lightGray"/>
          <w:lang w:val="el-GR"/>
        </w:rPr>
        <w:t>-</w:t>
      </w:r>
      <w:r w:rsidRPr="00800E0B">
        <w:rPr>
          <w:highlight w:val="lightGray"/>
          <w:lang w:val="en-US"/>
        </w:rPr>
        <w:t>p</w:t>
      </w:r>
      <w:r w:rsidRPr="00800E0B">
        <w:rPr>
          <w:highlight w:val="lightGray"/>
          <w:lang w:val="el-GR"/>
        </w:rPr>
        <w:t>-</w:t>
      </w:r>
      <w:proofErr w:type="spellStart"/>
      <w:r w:rsidRPr="00800E0B">
        <w:rPr>
          <w:highlight w:val="lightGray"/>
          <w:lang w:val="en-US"/>
        </w:rPr>
        <w:t>hydroxybenzoate</w:t>
      </w:r>
      <w:proofErr w:type="spellEnd"/>
      <w:r w:rsidRPr="00800E0B">
        <w:rPr>
          <w:highlight w:val="lightGray"/>
          <w:lang w:val="el-GR"/>
        </w:rPr>
        <w:t xml:space="preserve"> (</w:t>
      </w:r>
      <w:r w:rsidRPr="00800E0B">
        <w:rPr>
          <w:highlight w:val="lightGray"/>
          <w:lang w:val="en-US"/>
        </w:rPr>
        <w:t>E</w:t>
      </w:r>
      <w:r w:rsidRPr="00800E0B">
        <w:rPr>
          <w:highlight w:val="lightGray"/>
          <w:lang w:val="el-GR"/>
        </w:rPr>
        <w:t xml:space="preserve">218) και 1,1 μικρογραμμάρια </w:t>
      </w:r>
      <w:r w:rsidRPr="00800E0B">
        <w:rPr>
          <w:highlight w:val="lightGray"/>
          <w:lang w:val="en-US"/>
        </w:rPr>
        <w:t>propyl</w:t>
      </w:r>
      <w:r w:rsidRPr="00800E0B">
        <w:rPr>
          <w:highlight w:val="lightGray"/>
          <w:lang w:val="el-GR"/>
        </w:rPr>
        <w:t>-</w:t>
      </w:r>
      <w:r w:rsidRPr="00800E0B">
        <w:rPr>
          <w:highlight w:val="lightGray"/>
          <w:lang w:val="en-US"/>
        </w:rPr>
        <w:t>p</w:t>
      </w:r>
      <w:r w:rsidRPr="00800E0B">
        <w:rPr>
          <w:highlight w:val="lightGray"/>
          <w:lang w:val="el-GR"/>
        </w:rPr>
        <w:t>-</w:t>
      </w:r>
      <w:proofErr w:type="spellStart"/>
      <w:r w:rsidRPr="00800E0B">
        <w:rPr>
          <w:highlight w:val="lightGray"/>
          <w:lang w:val="en-US"/>
        </w:rPr>
        <w:t>hydroxybenzoate</w:t>
      </w:r>
      <w:proofErr w:type="spellEnd"/>
      <w:r w:rsidRPr="00800E0B">
        <w:rPr>
          <w:highlight w:val="lightGray"/>
          <w:lang w:val="el-GR"/>
        </w:rPr>
        <w:t xml:space="preserve"> (</w:t>
      </w:r>
      <w:r w:rsidRPr="00800E0B">
        <w:rPr>
          <w:highlight w:val="lightGray"/>
          <w:lang w:val="en-US"/>
        </w:rPr>
        <w:t>E</w:t>
      </w:r>
      <w:r w:rsidRPr="00800E0B">
        <w:rPr>
          <w:highlight w:val="lightGray"/>
          <w:lang w:val="el-GR"/>
        </w:rPr>
        <w:t>216).</w:t>
      </w:r>
      <w:r w:rsidRPr="00C862E9">
        <w:rPr>
          <w:lang w:val="el-GR"/>
        </w:rPr>
        <w:tab/>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r w:rsidRPr="00C862E9">
        <w:rPr>
          <w:lang w:val="el-GR"/>
        </w:rPr>
        <w:t>Για τον πλήρη κατάλογο των εκδόχων, βλ. παράγραφο 6.1.</w:t>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p>
    <w:p w:rsidR="009B62E6" w:rsidRPr="00C862E9" w:rsidRDefault="009B62E6">
      <w:pPr>
        <w:widowControl w:val="0"/>
        <w:outlineLvl w:val="0"/>
        <w:rPr>
          <w:b/>
          <w:bCs/>
          <w:noProof/>
          <w:lang w:val="el-GR"/>
        </w:rPr>
      </w:pPr>
      <w:r w:rsidRPr="00C862E9">
        <w:rPr>
          <w:b/>
          <w:bCs/>
          <w:noProof/>
          <w:lang w:val="el-GR"/>
        </w:rPr>
        <w:t>3</w:t>
      </w:r>
      <w:r w:rsidRPr="00C862E9">
        <w:rPr>
          <w:b/>
          <w:bCs/>
          <w:i/>
          <w:iCs/>
          <w:noProof/>
          <w:lang w:val="el-GR"/>
        </w:rPr>
        <w:t xml:space="preserve">. </w:t>
      </w:r>
      <w:r w:rsidRPr="00C862E9">
        <w:rPr>
          <w:b/>
          <w:bCs/>
          <w:i/>
          <w:iCs/>
          <w:noProof/>
          <w:lang w:val="el-GR"/>
        </w:rPr>
        <w:tab/>
      </w:r>
      <w:r w:rsidRPr="00C862E9">
        <w:rPr>
          <w:b/>
          <w:bCs/>
          <w:lang w:val="el-GR"/>
        </w:rPr>
        <w:t>ΦΑΡΜΑΚΟΤΕΧΝΙΚΗ ΜΟΡΦΗ</w:t>
      </w:r>
    </w:p>
    <w:p w:rsidR="009B62E6" w:rsidRPr="00C862E9" w:rsidRDefault="009B62E6">
      <w:pPr>
        <w:tabs>
          <w:tab w:val="clear" w:pos="567"/>
        </w:tabs>
        <w:spacing w:line="240" w:lineRule="auto"/>
        <w:rPr>
          <w:noProof/>
          <w:lang w:val="el-GR"/>
        </w:rPr>
      </w:pPr>
    </w:p>
    <w:p w:rsidR="009B62E6" w:rsidRPr="00C862E9" w:rsidRDefault="009B62E6">
      <w:pPr>
        <w:rPr>
          <w:noProof/>
          <w:lang w:val="el-GR"/>
        </w:rPr>
      </w:pPr>
      <w:proofErr w:type="spellStart"/>
      <w:r w:rsidRPr="00C862E9">
        <w:rPr>
          <w:lang w:val="el-GR"/>
        </w:rPr>
        <w:t>Γαστροανθεκτικό</w:t>
      </w:r>
      <w:proofErr w:type="spellEnd"/>
      <w:r w:rsidRPr="00C862E9">
        <w:rPr>
          <w:lang w:val="el-GR"/>
        </w:rPr>
        <w:t xml:space="preserve"> καψάκιο, σκληρό</w:t>
      </w:r>
    </w:p>
    <w:p w:rsidR="009B62E6" w:rsidRPr="00C862E9" w:rsidRDefault="009B62E6">
      <w:pPr>
        <w:tabs>
          <w:tab w:val="clear" w:pos="567"/>
        </w:tabs>
        <w:spacing w:line="240" w:lineRule="auto"/>
        <w:rPr>
          <w:noProof/>
          <w:lang w:val="el-GR"/>
        </w:rPr>
      </w:pPr>
    </w:p>
    <w:p w:rsidR="009B62E6" w:rsidRPr="00C862E9" w:rsidRDefault="009B62E6">
      <w:pPr>
        <w:pStyle w:val="Default"/>
        <w:rPr>
          <w:color w:val="auto"/>
          <w:sz w:val="22"/>
          <w:szCs w:val="22"/>
          <w:lang w:val="el-GR"/>
        </w:rPr>
      </w:pPr>
      <w:r w:rsidRPr="00C862E9">
        <w:rPr>
          <w:color w:val="auto"/>
          <w:sz w:val="22"/>
          <w:szCs w:val="22"/>
          <w:lang w:val="el-GR"/>
        </w:rPr>
        <w:t xml:space="preserve">Καψάκιο με αδιαφανές κίτρινο κάλυμμα και αδιαφανές λευκό κύριο μέρος, με χαραγμένη την ένδειξη «20 </w:t>
      </w:r>
      <w:r w:rsidRPr="00C862E9">
        <w:rPr>
          <w:color w:val="auto"/>
          <w:sz w:val="22"/>
          <w:szCs w:val="22"/>
          <w:lang w:val="en-GB"/>
        </w:rPr>
        <w:t>mg</w:t>
      </w:r>
      <w:r w:rsidRPr="00C862E9">
        <w:rPr>
          <w:color w:val="auto"/>
          <w:sz w:val="22"/>
          <w:szCs w:val="22"/>
          <w:lang w:val="el-GR"/>
        </w:rPr>
        <w:t>» με μαύρο χρώμα στο κάλυμμα, καθώς και στο κύριο μέρος</w:t>
      </w:r>
      <w:r w:rsidRPr="00800E0B">
        <w:rPr>
          <w:color w:val="auto"/>
          <w:sz w:val="22"/>
          <w:szCs w:val="22"/>
          <w:lang w:val="el-GR"/>
        </w:rPr>
        <w:t>.</w:t>
      </w:r>
      <w:bookmarkStart w:id="1" w:name="OLE_LINK6"/>
      <w:bookmarkStart w:id="2" w:name="OLE_LINK7"/>
      <w:r w:rsidRPr="00800E0B">
        <w:rPr>
          <w:color w:val="auto"/>
          <w:sz w:val="22"/>
          <w:szCs w:val="22"/>
          <w:lang w:val="el-GR"/>
        </w:rPr>
        <w:t xml:space="preserve"> Το καψάκιο περιέχει υπόλευκα έως γκρι σφαιρικά </w:t>
      </w:r>
      <w:proofErr w:type="spellStart"/>
      <w:r w:rsidRPr="00800E0B">
        <w:rPr>
          <w:color w:val="auto"/>
          <w:sz w:val="22"/>
          <w:szCs w:val="22"/>
          <w:lang w:val="el-GR"/>
        </w:rPr>
        <w:t>μικροκοκκία</w:t>
      </w:r>
      <w:proofErr w:type="spellEnd"/>
      <w:r w:rsidRPr="00800E0B">
        <w:rPr>
          <w:color w:val="auto"/>
          <w:sz w:val="22"/>
          <w:szCs w:val="22"/>
          <w:lang w:val="el-GR"/>
        </w:rPr>
        <w:t>.</w:t>
      </w:r>
      <w:bookmarkEnd w:id="1"/>
      <w:bookmarkEnd w:id="2"/>
    </w:p>
    <w:p w:rsidR="009B62E6" w:rsidRPr="00C862E9" w:rsidRDefault="009B62E6">
      <w:pPr>
        <w:tabs>
          <w:tab w:val="clear" w:pos="567"/>
        </w:tabs>
        <w:spacing w:line="240" w:lineRule="auto"/>
        <w:rPr>
          <w:noProof/>
          <w:lang w:val="el-GR"/>
        </w:rPr>
      </w:pPr>
    </w:p>
    <w:p w:rsidR="009B62E6" w:rsidRPr="00800E0B" w:rsidRDefault="009B62E6">
      <w:pPr>
        <w:pStyle w:val="Default"/>
        <w:rPr>
          <w:sz w:val="22"/>
          <w:szCs w:val="22"/>
          <w:highlight w:val="lightGray"/>
          <w:lang w:val="el-GR"/>
        </w:rPr>
      </w:pPr>
      <w:r w:rsidRPr="00C862E9">
        <w:rPr>
          <w:sz w:val="22"/>
          <w:szCs w:val="22"/>
          <w:highlight w:val="lightGray"/>
          <w:lang w:val="el-GR"/>
        </w:rPr>
        <w:t xml:space="preserve">Καψάκιο με αδιαφανές κίτρινο κάλυμμα και αδιαφανές λευκό κύριο μέρος, με χαραγμένη την ένδειξη «40 </w:t>
      </w:r>
      <w:r w:rsidRPr="00C862E9">
        <w:rPr>
          <w:sz w:val="22"/>
          <w:szCs w:val="22"/>
          <w:highlight w:val="lightGray"/>
          <w:lang w:val="en-GB"/>
        </w:rPr>
        <w:t>mg</w:t>
      </w:r>
      <w:r w:rsidRPr="00C862E9">
        <w:rPr>
          <w:sz w:val="22"/>
          <w:szCs w:val="22"/>
          <w:highlight w:val="lightGray"/>
          <w:lang w:val="el-GR"/>
        </w:rPr>
        <w:t>» με μαύρο χρώμα στο κάλυ</w:t>
      </w:r>
      <w:r w:rsidRPr="00882259">
        <w:rPr>
          <w:sz w:val="22"/>
          <w:szCs w:val="22"/>
          <w:highlight w:val="lightGray"/>
          <w:lang w:val="el-GR"/>
        </w:rPr>
        <w:t>μμα, καθώς και στο κύριο μέρος.</w:t>
      </w:r>
      <w:r w:rsidRPr="00882259">
        <w:rPr>
          <w:color w:val="auto"/>
          <w:sz w:val="22"/>
          <w:szCs w:val="22"/>
          <w:highlight w:val="lightGray"/>
          <w:lang w:val="el-GR"/>
        </w:rPr>
        <w:t xml:space="preserve"> </w:t>
      </w:r>
      <w:r w:rsidRPr="00800E0B">
        <w:rPr>
          <w:color w:val="auto"/>
          <w:sz w:val="22"/>
          <w:szCs w:val="22"/>
          <w:highlight w:val="lightGray"/>
          <w:lang w:val="el-GR"/>
        </w:rPr>
        <w:t xml:space="preserve">Το καψάκιο περιέχει υπόλευκα έως γκρι σφαιρικά </w:t>
      </w:r>
      <w:proofErr w:type="spellStart"/>
      <w:r w:rsidRPr="00800E0B">
        <w:rPr>
          <w:color w:val="auto"/>
          <w:sz w:val="22"/>
          <w:szCs w:val="22"/>
          <w:highlight w:val="lightGray"/>
          <w:lang w:val="el-GR"/>
        </w:rPr>
        <w:t>μικροκοκκία</w:t>
      </w:r>
      <w:proofErr w:type="spellEnd"/>
      <w:r w:rsidRPr="00800E0B">
        <w:rPr>
          <w:color w:val="auto"/>
          <w:sz w:val="22"/>
          <w:szCs w:val="22"/>
          <w:highlight w:val="lightGray"/>
          <w:lang w:val="el-GR"/>
        </w:rPr>
        <w:t>.</w:t>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p>
    <w:p w:rsidR="009B62E6" w:rsidRPr="00C862E9" w:rsidRDefault="009B62E6">
      <w:pPr>
        <w:widowControl w:val="0"/>
        <w:outlineLvl w:val="0"/>
        <w:rPr>
          <w:b/>
          <w:bCs/>
          <w:noProof/>
          <w:lang w:val="el-GR"/>
        </w:rPr>
      </w:pPr>
      <w:r w:rsidRPr="00C862E9">
        <w:rPr>
          <w:b/>
          <w:bCs/>
          <w:noProof/>
          <w:lang w:val="el-GR"/>
        </w:rPr>
        <w:t>4</w:t>
      </w:r>
      <w:r w:rsidRPr="00C862E9">
        <w:rPr>
          <w:b/>
          <w:bCs/>
          <w:i/>
          <w:iCs/>
          <w:noProof/>
          <w:lang w:val="el-GR"/>
        </w:rPr>
        <w:t>.</w:t>
      </w:r>
      <w:r w:rsidRPr="00C862E9">
        <w:rPr>
          <w:b/>
          <w:bCs/>
          <w:i/>
          <w:iCs/>
          <w:noProof/>
          <w:lang w:val="el-GR"/>
        </w:rPr>
        <w:tab/>
      </w:r>
      <w:r w:rsidRPr="00C862E9">
        <w:rPr>
          <w:b/>
          <w:bCs/>
          <w:lang w:val="el-GR"/>
        </w:rPr>
        <w:t>ΚΛΙΝΙΚΕΣ ΠΛΗΡΟΦΟΡΙΕΣ</w:t>
      </w:r>
    </w:p>
    <w:p w:rsidR="009B62E6" w:rsidRPr="00C862E9" w:rsidRDefault="009B62E6">
      <w:pPr>
        <w:tabs>
          <w:tab w:val="clear" w:pos="567"/>
        </w:tabs>
        <w:spacing w:line="240" w:lineRule="auto"/>
        <w:rPr>
          <w:noProof/>
          <w:lang w:val="el-GR"/>
        </w:rPr>
      </w:pPr>
    </w:p>
    <w:p w:rsidR="009B62E6" w:rsidRPr="00C862E9" w:rsidRDefault="009B62E6">
      <w:pPr>
        <w:widowControl w:val="0"/>
        <w:tabs>
          <w:tab w:val="left" w:pos="600"/>
        </w:tabs>
        <w:outlineLvl w:val="1"/>
        <w:rPr>
          <w:b/>
          <w:bCs/>
          <w:noProof/>
          <w:lang w:val="el-GR"/>
        </w:rPr>
      </w:pPr>
      <w:r w:rsidRPr="00C862E9">
        <w:rPr>
          <w:b/>
          <w:bCs/>
          <w:noProof/>
          <w:lang w:val="el-GR"/>
        </w:rPr>
        <w:t>4.1</w:t>
      </w:r>
      <w:r w:rsidRPr="00C862E9">
        <w:rPr>
          <w:b/>
          <w:bCs/>
          <w:i/>
          <w:iCs/>
          <w:noProof/>
          <w:lang w:val="el-GR"/>
        </w:rPr>
        <w:tab/>
      </w:r>
      <w:r w:rsidRPr="00C862E9">
        <w:rPr>
          <w:b/>
          <w:bCs/>
          <w:lang w:val="el-GR"/>
        </w:rPr>
        <w:t>Θεραπευτικές ενδείξεις</w:t>
      </w:r>
    </w:p>
    <w:p w:rsidR="009B62E6" w:rsidRPr="00C862E9" w:rsidRDefault="009B62E6">
      <w:pPr>
        <w:tabs>
          <w:tab w:val="clear" w:pos="567"/>
        </w:tabs>
        <w:spacing w:line="240" w:lineRule="auto"/>
        <w:rPr>
          <w:noProof/>
          <w:lang w:val="el-GR"/>
        </w:rPr>
      </w:pPr>
    </w:p>
    <w:p w:rsidR="009B62E6" w:rsidRPr="00C862E9" w:rsidRDefault="009B62E6">
      <w:pPr>
        <w:pStyle w:val="Default"/>
        <w:rPr>
          <w:sz w:val="22"/>
          <w:szCs w:val="22"/>
          <w:lang w:val="el-GR"/>
        </w:rPr>
      </w:pPr>
      <w:r w:rsidRPr="00C862E9">
        <w:rPr>
          <w:sz w:val="22"/>
          <w:szCs w:val="22"/>
          <w:lang w:val="el-GR"/>
        </w:rPr>
        <w:t xml:space="preserve">Τα καψάκια </w:t>
      </w:r>
      <w:proofErr w:type="spellStart"/>
      <w:r w:rsidRPr="00C862E9">
        <w:rPr>
          <w:sz w:val="22"/>
          <w:szCs w:val="22"/>
          <w:lang w:val="en-GB"/>
        </w:rPr>
        <w:t>Helides</w:t>
      </w:r>
      <w:proofErr w:type="spellEnd"/>
      <w:r w:rsidRPr="00C862E9">
        <w:rPr>
          <w:sz w:val="22"/>
          <w:szCs w:val="22"/>
          <w:lang w:val="el-GR"/>
        </w:rPr>
        <w:t xml:space="preserve"> ενδείκνυνται για:</w:t>
      </w:r>
    </w:p>
    <w:p w:rsidR="009B62E6" w:rsidRPr="00C862E9" w:rsidRDefault="009B62E6">
      <w:pPr>
        <w:tabs>
          <w:tab w:val="clear" w:pos="567"/>
        </w:tabs>
        <w:spacing w:line="240" w:lineRule="auto"/>
        <w:rPr>
          <w:noProof/>
          <w:lang w:val="el-GR"/>
        </w:rPr>
      </w:pPr>
    </w:p>
    <w:p w:rsidR="009B62E6" w:rsidRPr="00C862E9" w:rsidRDefault="009B62E6">
      <w:pPr>
        <w:pStyle w:val="Default"/>
        <w:rPr>
          <w:sz w:val="22"/>
          <w:szCs w:val="22"/>
          <w:lang w:val="el-GR"/>
        </w:rPr>
      </w:pPr>
      <w:bookmarkStart w:id="3" w:name="OLE_LINK1"/>
      <w:bookmarkStart w:id="4" w:name="OLE_LINK2"/>
      <w:proofErr w:type="spellStart"/>
      <w:r w:rsidRPr="00C862E9">
        <w:rPr>
          <w:sz w:val="22"/>
          <w:szCs w:val="22"/>
          <w:u w:val="single"/>
          <w:lang w:val="el-GR"/>
        </w:rPr>
        <w:t>Γαστροοισοφαγική</w:t>
      </w:r>
      <w:proofErr w:type="spellEnd"/>
      <w:r w:rsidRPr="00C862E9">
        <w:rPr>
          <w:sz w:val="22"/>
          <w:szCs w:val="22"/>
          <w:u w:val="single"/>
          <w:lang w:val="el-GR"/>
        </w:rPr>
        <w:t xml:space="preserve"> παλινδρόμηση (ΓΟΠ) </w:t>
      </w:r>
    </w:p>
    <w:bookmarkEnd w:id="3"/>
    <w:bookmarkEnd w:id="4"/>
    <w:p w:rsidR="009B62E6" w:rsidRPr="00C862E9" w:rsidRDefault="009B62E6">
      <w:pPr>
        <w:pStyle w:val="Default"/>
        <w:tabs>
          <w:tab w:val="left" w:pos="360"/>
        </w:tabs>
        <w:rPr>
          <w:sz w:val="22"/>
          <w:szCs w:val="22"/>
          <w:lang w:val="el-GR"/>
        </w:rPr>
      </w:pPr>
      <w:r w:rsidRPr="00C862E9">
        <w:rPr>
          <w:sz w:val="22"/>
          <w:szCs w:val="22"/>
          <w:lang w:val="el-GR"/>
        </w:rPr>
        <w:t>-</w:t>
      </w:r>
      <w:r w:rsidRPr="00C862E9">
        <w:rPr>
          <w:sz w:val="22"/>
          <w:szCs w:val="22"/>
          <w:lang w:val="el-GR"/>
        </w:rPr>
        <w:tab/>
        <w:t xml:space="preserve">θεραπεία της διαβρωτικής οισοφαγίτιδας από παλινδρόμηση </w:t>
      </w:r>
    </w:p>
    <w:p w:rsidR="009B62E6" w:rsidRPr="00C862E9" w:rsidRDefault="009B62E6" w:rsidP="001B1C22">
      <w:pPr>
        <w:pStyle w:val="Default"/>
        <w:tabs>
          <w:tab w:val="left" w:pos="360"/>
        </w:tabs>
        <w:ind w:left="360" w:hanging="360"/>
        <w:rPr>
          <w:sz w:val="22"/>
          <w:szCs w:val="22"/>
          <w:lang w:val="el-GR"/>
        </w:rPr>
      </w:pPr>
      <w:r w:rsidRPr="00C862E9">
        <w:rPr>
          <w:sz w:val="22"/>
          <w:szCs w:val="22"/>
          <w:lang w:val="el-GR"/>
        </w:rPr>
        <w:t>-</w:t>
      </w:r>
      <w:r w:rsidRPr="00C862E9">
        <w:rPr>
          <w:sz w:val="22"/>
          <w:szCs w:val="22"/>
          <w:lang w:val="el-GR"/>
        </w:rPr>
        <w:tab/>
        <w:t xml:space="preserve">μακροχρόνια αντιμετώπιση ασθενών με επουλωμένη οισοφαγίτιδα ώστε να προληφθεί η υποτροπή </w:t>
      </w:r>
    </w:p>
    <w:p w:rsidR="009B62E6" w:rsidRPr="00C862E9" w:rsidRDefault="009B62E6">
      <w:pPr>
        <w:pStyle w:val="Default"/>
        <w:tabs>
          <w:tab w:val="left" w:pos="360"/>
        </w:tabs>
        <w:rPr>
          <w:sz w:val="22"/>
          <w:szCs w:val="22"/>
          <w:lang w:val="el-GR"/>
        </w:rPr>
      </w:pPr>
      <w:r w:rsidRPr="00C862E9">
        <w:rPr>
          <w:sz w:val="22"/>
          <w:szCs w:val="22"/>
          <w:lang w:val="el-GR"/>
        </w:rPr>
        <w:t>-</w:t>
      </w:r>
      <w:r w:rsidRPr="00C862E9">
        <w:rPr>
          <w:sz w:val="22"/>
          <w:szCs w:val="22"/>
          <w:lang w:val="el-GR"/>
        </w:rPr>
        <w:tab/>
        <w:t xml:space="preserve">συμπτωματική θεραπεία </w:t>
      </w:r>
      <w:proofErr w:type="spellStart"/>
      <w:r w:rsidRPr="00C862E9">
        <w:rPr>
          <w:sz w:val="22"/>
          <w:szCs w:val="22"/>
          <w:lang w:val="el-GR"/>
        </w:rPr>
        <w:t>γαστροοισοφαγικής</w:t>
      </w:r>
      <w:proofErr w:type="spellEnd"/>
      <w:r w:rsidRPr="00C862E9">
        <w:rPr>
          <w:sz w:val="22"/>
          <w:szCs w:val="22"/>
          <w:lang w:val="el-GR"/>
        </w:rPr>
        <w:t xml:space="preserve"> παλινδρόμησης (ΓΟΠ) </w:t>
      </w:r>
    </w:p>
    <w:p w:rsidR="009B62E6" w:rsidRPr="00C862E9" w:rsidRDefault="009B62E6">
      <w:pPr>
        <w:tabs>
          <w:tab w:val="clear" w:pos="567"/>
        </w:tabs>
        <w:spacing w:line="240" w:lineRule="auto"/>
        <w:rPr>
          <w:noProof/>
          <w:lang w:val="el-GR"/>
        </w:rPr>
      </w:pPr>
    </w:p>
    <w:p w:rsidR="009B62E6" w:rsidRPr="00C862E9" w:rsidRDefault="009B62E6">
      <w:pPr>
        <w:pStyle w:val="Default"/>
        <w:rPr>
          <w:sz w:val="22"/>
          <w:szCs w:val="22"/>
          <w:lang w:val="el-GR"/>
        </w:rPr>
      </w:pPr>
      <w:r w:rsidRPr="00C862E9">
        <w:rPr>
          <w:sz w:val="22"/>
          <w:szCs w:val="22"/>
          <w:u w:val="single"/>
          <w:lang w:val="el-GR"/>
        </w:rPr>
        <w:t xml:space="preserve">Σε συνδυασμό με κατάλληλα </w:t>
      </w:r>
      <w:proofErr w:type="spellStart"/>
      <w:r w:rsidRPr="00C862E9">
        <w:rPr>
          <w:sz w:val="22"/>
          <w:szCs w:val="22"/>
          <w:u w:val="single"/>
          <w:lang w:val="el-GR"/>
        </w:rPr>
        <w:t>αντιβακτηριακά</w:t>
      </w:r>
      <w:proofErr w:type="spellEnd"/>
      <w:r w:rsidRPr="00C862E9">
        <w:rPr>
          <w:sz w:val="22"/>
          <w:szCs w:val="22"/>
          <w:u w:val="single"/>
          <w:lang w:val="el-GR"/>
        </w:rPr>
        <w:t xml:space="preserve"> θεραπευτικά σχήματα για την εκρίζωση του </w:t>
      </w:r>
      <w:r w:rsidRPr="00C862E9">
        <w:rPr>
          <w:i/>
          <w:iCs/>
          <w:sz w:val="22"/>
          <w:szCs w:val="22"/>
          <w:u w:val="single"/>
          <w:lang w:val="en-GB"/>
        </w:rPr>
        <w:t>Helicobacter</w:t>
      </w:r>
      <w:r w:rsidRPr="00C862E9">
        <w:rPr>
          <w:i/>
          <w:iCs/>
          <w:sz w:val="22"/>
          <w:szCs w:val="22"/>
          <w:u w:val="single"/>
          <w:lang w:val="el-GR"/>
        </w:rPr>
        <w:t xml:space="preserve"> </w:t>
      </w:r>
      <w:r w:rsidRPr="00C862E9">
        <w:rPr>
          <w:i/>
          <w:iCs/>
          <w:sz w:val="22"/>
          <w:szCs w:val="22"/>
          <w:u w:val="single"/>
          <w:lang w:val="en-GB"/>
        </w:rPr>
        <w:t>pylori</w:t>
      </w:r>
      <w:r w:rsidRPr="00C862E9">
        <w:rPr>
          <w:i/>
          <w:iCs/>
          <w:sz w:val="22"/>
          <w:szCs w:val="22"/>
          <w:u w:val="single"/>
          <w:lang w:val="el-GR"/>
        </w:rPr>
        <w:t xml:space="preserve"> </w:t>
      </w:r>
      <w:r w:rsidRPr="00C862E9">
        <w:rPr>
          <w:sz w:val="22"/>
          <w:szCs w:val="22"/>
          <w:u w:val="single"/>
          <w:lang w:val="el-GR"/>
        </w:rPr>
        <w:t xml:space="preserve">και </w:t>
      </w:r>
    </w:p>
    <w:p w:rsidR="009B62E6" w:rsidRPr="00C862E9" w:rsidRDefault="009B62E6">
      <w:pPr>
        <w:pStyle w:val="Default"/>
        <w:tabs>
          <w:tab w:val="left" w:pos="360"/>
        </w:tabs>
        <w:rPr>
          <w:sz w:val="22"/>
          <w:szCs w:val="22"/>
          <w:lang w:val="el-GR"/>
        </w:rPr>
      </w:pPr>
      <w:r w:rsidRPr="00C862E9">
        <w:rPr>
          <w:sz w:val="22"/>
          <w:szCs w:val="22"/>
          <w:lang w:val="el-GR"/>
        </w:rPr>
        <w:t>-</w:t>
      </w:r>
      <w:r w:rsidRPr="00C862E9">
        <w:rPr>
          <w:sz w:val="22"/>
          <w:szCs w:val="22"/>
          <w:lang w:val="el-GR"/>
        </w:rPr>
        <w:tab/>
        <w:t xml:space="preserve">επούλωση του έλκους δωδεκαδακτύλου που σχετίζεται με </w:t>
      </w:r>
      <w:r w:rsidRPr="00C862E9">
        <w:rPr>
          <w:i/>
          <w:iCs/>
          <w:sz w:val="22"/>
          <w:szCs w:val="22"/>
          <w:lang w:val="en-GB"/>
        </w:rPr>
        <w:t>Helicobacter</w:t>
      </w:r>
      <w:r w:rsidRPr="00C862E9">
        <w:rPr>
          <w:i/>
          <w:iCs/>
          <w:sz w:val="22"/>
          <w:szCs w:val="22"/>
          <w:lang w:val="el-GR"/>
        </w:rPr>
        <w:t xml:space="preserve"> </w:t>
      </w:r>
      <w:r w:rsidRPr="00C862E9">
        <w:rPr>
          <w:i/>
          <w:iCs/>
          <w:sz w:val="22"/>
          <w:szCs w:val="22"/>
          <w:lang w:val="en-GB"/>
        </w:rPr>
        <w:t>pylori</w:t>
      </w:r>
      <w:r w:rsidRPr="00C862E9">
        <w:rPr>
          <w:i/>
          <w:iCs/>
          <w:sz w:val="22"/>
          <w:szCs w:val="22"/>
          <w:lang w:val="el-GR"/>
        </w:rPr>
        <w:t xml:space="preserve"> </w:t>
      </w:r>
      <w:r w:rsidRPr="00C862E9">
        <w:rPr>
          <w:sz w:val="22"/>
          <w:szCs w:val="22"/>
          <w:lang w:val="el-GR"/>
        </w:rPr>
        <w:t xml:space="preserve">και </w:t>
      </w:r>
    </w:p>
    <w:p w:rsidR="009B62E6" w:rsidRPr="00C862E9" w:rsidRDefault="009B62E6" w:rsidP="001B1C22">
      <w:pPr>
        <w:pStyle w:val="Default"/>
        <w:tabs>
          <w:tab w:val="left" w:pos="360"/>
        </w:tabs>
        <w:ind w:left="360" w:hanging="360"/>
        <w:rPr>
          <w:sz w:val="22"/>
          <w:szCs w:val="22"/>
          <w:lang w:val="el-GR"/>
        </w:rPr>
      </w:pPr>
      <w:r w:rsidRPr="00C862E9">
        <w:rPr>
          <w:sz w:val="22"/>
          <w:szCs w:val="22"/>
          <w:lang w:val="el-GR"/>
        </w:rPr>
        <w:t>-</w:t>
      </w:r>
      <w:r w:rsidRPr="00C862E9">
        <w:rPr>
          <w:sz w:val="22"/>
          <w:szCs w:val="22"/>
          <w:lang w:val="el-GR"/>
        </w:rPr>
        <w:tab/>
        <w:t xml:space="preserve">πρόληψη της υποτροπής πεπτικών ελκών σε ασθενείς με έλκη που σχετίζονται με </w:t>
      </w:r>
      <w:r w:rsidRPr="00C862E9">
        <w:rPr>
          <w:i/>
          <w:iCs/>
          <w:sz w:val="22"/>
          <w:szCs w:val="22"/>
          <w:lang w:val="en-GB"/>
        </w:rPr>
        <w:t>Helicobacter</w:t>
      </w:r>
      <w:r w:rsidRPr="00C862E9">
        <w:rPr>
          <w:i/>
          <w:iCs/>
          <w:sz w:val="22"/>
          <w:szCs w:val="22"/>
          <w:lang w:val="el-GR"/>
        </w:rPr>
        <w:t xml:space="preserve"> </w:t>
      </w:r>
      <w:r w:rsidRPr="00C862E9">
        <w:rPr>
          <w:i/>
          <w:iCs/>
          <w:sz w:val="22"/>
          <w:szCs w:val="22"/>
          <w:lang w:val="en-GB"/>
        </w:rPr>
        <w:t>pylori</w:t>
      </w:r>
      <w:r w:rsidRPr="00C862E9">
        <w:rPr>
          <w:sz w:val="22"/>
          <w:szCs w:val="22"/>
          <w:lang w:val="el-GR"/>
        </w:rPr>
        <w:t xml:space="preserve"> </w:t>
      </w:r>
    </w:p>
    <w:p w:rsidR="009B62E6" w:rsidRPr="00C862E9" w:rsidRDefault="009B62E6">
      <w:pPr>
        <w:tabs>
          <w:tab w:val="clear" w:pos="567"/>
        </w:tabs>
        <w:spacing w:line="240" w:lineRule="auto"/>
        <w:rPr>
          <w:noProof/>
          <w:lang w:val="el-GR"/>
        </w:rPr>
      </w:pPr>
    </w:p>
    <w:p w:rsidR="009B62E6" w:rsidRPr="00C862E9" w:rsidRDefault="009B62E6">
      <w:pPr>
        <w:pStyle w:val="Default"/>
        <w:rPr>
          <w:sz w:val="22"/>
          <w:szCs w:val="22"/>
          <w:lang w:val="el-GR"/>
        </w:rPr>
      </w:pPr>
      <w:r w:rsidRPr="00C862E9">
        <w:rPr>
          <w:sz w:val="22"/>
          <w:szCs w:val="22"/>
          <w:u w:val="single"/>
          <w:lang w:val="el-GR"/>
        </w:rPr>
        <w:t xml:space="preserve">Ασθενείς οι οποίοι χρειάζονται συνεχιζόμενη αγωγή με ΜΣΑΦ </w:t>
      </w:r>
    </w:p>
    <w:p w:rsidR="009B62E6" w:rsidRPr="00C862E9" w:rsidRDefault="009B62E6">
      <w:pPr>
        <w:pStyle w:val="Default"/>
        <w:rPr>
          <w:sz w:val="22"/>
          <w:szCs w:val="22"/>
          <w:lang w:val="el-GR"/>
        </w:rPr>
      </w:pPr>
      <w:r w:rsidRPr="00C862E9">
        <w:rPr>
          <w:sz w:val="22"/>
          <w:szCs w:val="22"/>
          <w:lang w:val="el-GR"/>
        </w:rPr>
        <w:t xml:space="preserve">Επούλωση γαστρικών ελκών που σχετίζονται με αγωγή με ΜΣΑΦ. </w:t>
      </w:r>
    </w:p>
    <w:p w:rsidR="009B62E6" w:rsidRPr="00C862E9" w:rsidRDefault="009B62E6">
      <w:pPr>
        <w:pStyle w:val="Default"/>
        <w:rPr>
          <w:sz w:val="22"/>
          <w:szCs w:val="22"/>
          <w:lang w:val="el-GR"/>
        </w:rPr>
      </w:pPr>
      <w:r w:rsidRPr="00C862E9">
        <w:rPr>
          <w:sz w:val="22"/>
          <w:szCs w:val="22"/>
          <w:lang w:val="el-GR"/>
        </w:rPr>
        <w:t xml:space="preserve">Πρόληψη των γαστρικών και δωδεκαδακτυλικών ελκών που σχετίζονται με αγωγή με ΜΣΑΦ, σε ασθενείς που διατρέχουν κίνδυνο. </w:t>
      </w:r>
    </w:p>
    <w:p w:rsidR="009B62E6" w:rsidRPr="00C862E9" w:rsidRDefault="009B62E6">
      <w:pPr>
        <w:tabs>
          <w:tab w:val="clear" w:pos="567"/>
        </w:tabs>
        <w:spacing w:line="240" w:lineRule="auto"/>
        <w:rPr>
          <w:noProof/>
          <w:lang w:val="el-GR"/>
        </w:rPr>
      </w:pPr>
    </w:p>
    <w:p w:rsidR="009B62E6" w:rsidRPr="00C862E9" w:rsidRDefault="009B62E6">
      <w:pPr>
        <w:autoSpaceDE w:val="0"/>
        <w:autoSpaceDN w:val="0"/>
        <w:adjustRightInd w:val="0"/>
        <w:rPr>
          <w:lang w:val="el-GR"/>
        </w:rPr>
      </w:pPr>
      <w:r w:rsidRPr="00C862E9">
        <w:rPr>
          <w:color w:val="000000"/>
          <w:u w:val="single"/>
          <w:lang w:val="el-GR"/>
        </w:rPr>
        <w:t xml:space="preserve">Παρατεταμένη θεραπεία μετά την αποτροπή της επανεμφάνισης πεπτικών ελκών με χρήση ενδοφλέβιων φαρμάκων. </w:t>
      </w:r>
    </w:p>
    <w:p w:rsidR="009B62E6" w:rsidRPr="00C862E9" w:rsidRDefault="009B62E6">
      <w:pPr>
        <w:tabs>
          <w:tab w:val="clear" w:pos="567"/>
        </w:tabs>
        <w:spacing w:line="240" w:lineRule="auto"/>
        <w:rPr>
          <w:noProof/>
          <w:lang w:val="el-GR"/>
        </w:rPr>
      </w:pPr>
    </w:p>
    <w:p w:rsidR="009B62E6" w:rsidRPr="00800E0B" w:rsidRDefault="009B62E6">
      <w:pPr>
        <w:pStyle w:val="Default"/>
        <w:rPr>
          <w:sz w:val="22"/>
          <w:szCs w:val="22"/>
          <w:lang w:val="el-GR"/>
        </w:rPr>
      </w:pPr>
      <w:r w:rsidRPr="00800E0B">
        <w:rPr>
          <w:sz w:val="22"/>
          <w:szCs w:val="22"/>
          <w:u w:val="single"/>
          <w:lang w:val="el-GR"/>
        </w:rPr>
        <w:t xml:space="preserve">Θεραπεία συνδρόμου </w:t>
      </w:r>
      <w:proofErr w:type="spellStart"/>
      <w:r w:rsidRPr="00800E0B">
        <w:rPr>
          <w:sz w:val="22"/>
          <w:szCs w:val="22"/>
          <w:u w:val="single"/>
          <w:lang w:val="en-US"/>
        </w:rPr>
        <w:t>Zollinger</w:t>
      </w:r>
      <w:proofErr w:type="spellEnd"/>
      <w:r w:rsidRPr="00800E0B">
        <w:rPr>
          <w:sz w:val="22"/>
          <w:szCs w:val="22"/>
          <w:u w:val="single"/>
          <w:lang w:val="el-GR"/>
        </w:rPr>
        <w:t xml:space="preserve"> </w:t>
      </w:r>
      <w:r w:rsidRPr="00800E0B">
        <w:rPr>
          <w:sz w:val="22"/>
          <w:szCs w:val="22"/>
          <w:u w:val="single"/>
          <w:lang w:val="en-US"/>
        </w:rPr>
        <w:t>Ellison</w:t>
      </w:r>
      <w:r w:rsidRPr="00800E0B">
        <w:rPr>
          <w:sz w:val="22"/>
          <w:szCs w:val="22"/>
          <w:u w:val="single"/>
          <w:lang w:val="el-GR"/>
        </w:rPr>
        <w:t xml:space="preserve">  </w:t>
      </w:r>
    </w:p>
    <w:p w:rsidR="009B62E6" w:rsidRPr="00800E0B" w:rsidRDefault="009B62E6">
      <w:pPr>
        <w:tabs>
          <w:tab w:val="clear" w:pos="567"/>
        </w:tabs>
        <w:spacing w:line="240" w:lineRule="auto"/>
        <w:rPr>
          <w:lang w:val="el-GR"/>
        </w:rPr>
      </w:pPr>
    </w:p>
    <w:p w:rsidR="009B62E6" w:rsidRPr="00800E0B" w:rsidRDefault="009B62E6">
      <w:pPr>
        <w:widowControl w:val="0"/>
        <w:tabs>
          <w:tab w:val="left" w:pos="600"/>
        </w:tabs>
        <w:outlineLvl w:val="1"/>
        <w:rPr>
          <w:b/>
          <w:bCs/>
          <w:noProof/>
          <w:lang w:val="el-GR"/>
        </w:rPr>
      </w:pPr>
      <w:r w:rsidRPr="00800E0B">
        <w:rPr>
          <w:b/>
          <w:bCs/>
          <w:noProof/>
          <w:lang w:val="el-GR"/>
        </w:rPr>
        <w:t>4.2</w:t>
      </w:r>
      <w:r w:rsidRPr="00800E0B">
        <w:rPr>
          <w:b/>
          <w:bCs/>
          <w:i/>
          <w:iCs/>
          <w:noProof/>
          <w:lang w:val="el-GR"/>
        </w:rPr>
        <w:tab/>
      </w:r>
      <w:r w:rsidRPr="00800E0B">
        <w:rPr>
          <w:b/>
          <w:bCs/>
          <w:lang w:val="el-GR"/>
        </w:rPr>
        <w:t>Δοσολογία και τρόπος χορήγησης</w:t>
      </w:r>
    </w:p>
    <w:p w:rsidR="009B62E6" w:rsidRPr="00800E0B" w:rsidRDefault="009B62E6">
      <w:pPr>
        <w:tabs>
          <w:tab w:val="clear" w:pos="567"/>
        </w:tabs>
        <w:spacing w:line="240" w:lineRule="auto"/>
        <w:rPr>
          <w:b/>
          <w:bCs/>
          <w:noProof/>
          <w:lang w:val="el-GR"/>
        </w:rPr>
      </w:pPr>
    </w:p>
    <w:p w:rsidR="009B62E6" w:rsidRPr="00800E0B" w:rsidRDefault="009B62E6">
      <w:pPr>
        <w:pStyle w:val="Default"/>
        <w:rPr>
          <w:sz w:val="22"/>
          <w:szCs w:val="22"/>
          <w:lang w:val="el-GR"/>
        </w:rPr>
      </w:pPr>
      <w:r w:rsidRPr="00800E0B">
        <w:rPr>
          <w:sz w:val="22"/>
          <w:szCs w:val="22"/>
          <w:lang w:val="el-GR"/>
        </w:rPr>
        <w:t xml:space="preserve">Τα καψάκια θα πρέπει να καταπίνονται ολόκληρα με υγρά. Τα καψάκια δεν θα πρέπει να </w:t>
      </w:r>
      <w:proofErr w:type="spellStart"/>
      <w:r w:rsidRPr="00800E0B">
        <w:rPr>
          <w:sz w:val="22"/>
          <w:szCs w:val="22"/>
          <w:lang w:val="el-GR"/>
        </w:rPr>
        <w:t>μασώνται</w:t>
      </w:r>
      <w:proofErr w:type="spellEnd"/>
      <w:r w:rsidRPr="00800E0B">
        <w:rPr>
          <w:sz w:val="22"/>
          <w:szCs w:val="22"/>
          <w:lang w:val="el-GR"/>
        </w:rPr>
        <w:t xml:space="preserve"> ή να συνθλίβονται.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Για τους ασθενείς που έχουν δυσκολία στην κατάποση, τα καψάκια μπορούν να ανοιχτούν και το περιεχόμενό τους να </w:t>
      </w:r>
      <w:proofErr w:type="spellStart"/>
      <w:r w:rsidRPr="00800E0B">
        <w:rPr>
          <w:sz w:val="22"/>
          <w:szCs w:val="22"/>
          <w:lang w:val="el-GR"/>
        </w:rPr>
        <w:t>διασπαρεί</w:t>
      </w:r>
      <w:proofErr w:type="spellEnd"/>
      <w:r w:rsidRPr="00800E0B">
        <w:rPr>
          <w:sz w:val="22"/>
          <w:szCs w:val="22"/>
          <w:lang w:val="el-GR"/>
        </w:rPr>
        <w:t xml:space="preserve"> σε μισό ποτήρι μη ανθρακούχου νερού. Δεν θα πρέπει να χρησιμοποιούνται άλλα υγρά καθώς η εντερική επικάλυψη είναι δυνατόν να διαλυθεί. Αναμείξτε και καταπιείτε το υγρό με τα σφαιρίδια αμέσως ή εντός 30 λεπτών. </w:t>
      </w:r>
      <w:proofErr w:type="spellStart"/>
      <w:r w:rsidRPr="00800E0B">
        <w:rPr>
          <w:sz w:val="22"/>
          <w:szCs w:val="22"/>
          <w:lang w:val="el-GR"/>
        </w:rPr>
        <w:t>Εκπλύνετε</w:t>
      </w:r>
      <w:proofErr w:type="spellEnd"/>
      <w:r w:rsidRPr="00800E0B">
        <w:rPr>
          <w:sz w:val="22"/>
          <w:szCs w:val="22"/>
          <w:lang w:val="el-GR"/>
        </w:rPr>
        <w:t xml:space="preserve"> το ποτήρι με μισό ποτήρι νερό και πιείτε το. Τα σφαιρίδια δεν πρέπει να </w:t>
      </w:r>
      <w:proofErr w:type="spellStart"/>
      <w:r w:rsidRPr="00800E0B">
        <w:rPr>
          <w:sz w:val="22"/>
          <w:szCs w:val="22"/>
          <w:lang w:val="el-GR"/>
        </w:rPr>
        <w:t>μασώνται</w:t>
      </w:r>
      <w:proofErr w:type="spellEnd"/>
      <w:r w:rsidRPr="00800E0B">
        <w:rPr>
          <w:sz w:val="22"/>
          <w:szCs w:val="22"/>
          <w:lang w:val="el-GR"/>
        </w:rPr>
        <w:t xml:space="preserve"> ή να συνθλίβονται. </w:t>
      </w:r>
    </w:p>
    <w:p w:rsidR="009B62E6" w:rsidRPr="00800E0B" w:rsidRDefault="009B62E6">
      <w:pPr>
        <w:pStyle w:val="Default"/>
        <w:rPr>
          <w:sz w:val="22"/>
          <w:szCs w:val="22"/>
          <w:lang w:val="el-GR"/>
        </w:rPr>
      </w:pPr>
      <w:r w:rsidRPr="00800E0B">
        <w:rPr>
          <w:sz w:val="22"/>
          <w:szCs w:val="22"/>
          <w:lang w:val="el-GR"/>
        </w:rPr>
        <w:t xml:space="preserve">Για τους ασθενείς που δεν μπορούν να καταπιούν, το περιεχόμενο των καψακίων μπορεί να </w:t>
      </w:r>
      <w:proofErr w:type="spellStart"/>
      <w:r w:rsidRPr="00800E0B">
        <w:rPr>
          <w:sz w:val="22"/>
          <w:szCs w:val="22"/>
          <w:lang w:val="el-GR"/>
        </w:rPr>
        <w:t>διασπαρεί</w:t>
      </w:r>
      <w:proofErr w:type="spellEnd"/>
      <w:r w:rsidRPr="00800E0B">
        <w:rPr>
          <w:sz w:val="22"/>
          <w:szCs w:val="22"/>
          <w:lang w:val="el-GR"/>
        </w:rPr>
        <w:t xml:space="preserve"> σε μη ανθρακούχο νερό και να χορηγηθεί μέσω γαστρικού σωλήνα. </w:t>
      </w:r>
      <w:r w:rsidRPr="00800E0B">
        <w:rPr>
          <w:sz w:val="22"/>
          <w:szCs w:val="22"/>
          <w:u w:val="single"/>
          <w:lang w:val="el-GR"/>
        </w:rPr>
        <w:t>Είναι σημαντικό να ελέγχεται προσεκτικά η καταλληλότητα της επιλεγμένης σύριγγας και σωλήνα.</w:t>
      </w:r>
      <w:r w:rsidRPr="00800E0B">
        <w:rPr>
          <w:sz w:val="22"/>
          <w:szCs w:val="22"/>
          <w:lang w:val="el-GR"/>
        </w:rPr>
        <w:t xml:space="preserve"> Για τις οδηγίες παρασκευής και χορήγησης, βλ. παράγραφο 6.6.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u w:val="single"/>
          <w:lang w:val="el-GR"/>
        </w:rPr>
        <w:t>Ενήλικες και έφηβοι από την ηλικία των 12 ετών</w:t>
      </w:r>
      <w:r w:rsidRPr="00800E0B">
        <w:rPr>
          <w:sz w:val="22"/>
          <w:szCs w:val="22"/>
          <w:lang w:val="el-GR"/>
        </w:rPr>
        <w:t xml:space="preserve"> </w:t>
      </w:r>
    </w:p>
    <w:p w:rsidR="009B62E6" w:rsidRPr="00800E0B" w:rsidRDefault="009B62E6">
      <w:pPr>
        <w:pStyle w:val="Default"/>
        <w:rPr>
          <w:sz w:val="22"/>
          <w:szCs w:val="22"/>
          <w:lang w:val="el-GR"/>
        </w:rPr>
      </w:pPr>
      <w:proofErr w:type="spellStart"/>
      <w:r w:rsidRPr="00800E0B">
        <w:rPr>
          <w:i/>
          <w:iCs/>
          <w:sz w:val="22"/>
          <w:szCs w:val="22"/>
          <w:lang w:val="el-GR"/>
        </w:rPr>
        <w:t>Γαστροοισοφαγική</w:t>
      </w:r>
      <w:proofErr w:type="spellEnd"/>
      <w:r w:rsidRPr="00800E0B">
        <w:rPr>
          <w:i/>
          <w:iCs/>
          <w:sz w:val="22"/>
          <w:szCs w:val="22"/>
          <w:lang w:val="el-GR"/>
        </w:rPr>
        <w:t xml:space="preserve"> παλινδρόμηση (ΓΟΠ) </w:t>
      </w:r>
    </w:p>
    <w:p w:rsidR="009B62E6" w:rsidRPr="00800E0B" w:rsidRDefault="009B62E6">
      <w:pPr>
        <w:pStyle w:val="Default"/>
        <w:tabs>
          <w:tab w:val="left" w:pos="360"/>
        </w:tabs>
        <w:rPr>
          <w:sz w:val="22"/>
          <w:szCs w:val="22"/>
          <w:lang w:val="el-GR"/>
        </w:rPr>
      </w:pPr>
      <w:r w:rsidRPr="00800E0B">
        <w:rPr>
          <w:sz w:val="22"/>
          <w:szCs w:val="22"/>
          <w:lang w:val="el-GR"/>
        </w:rPr>
        <w:t>-</w:t>
      </w:r>
      <w:r w:rsidRPr="00800E0B">
        <w:rPr>
          <w:sz w:val="22"/>
          <w:szCs w:val="22"/>
          <w:lang w:val="el-GR"/>
        </w:rPr>
        <w:tab/>
        <w:t>θεραπεία της διαβρωτικής οισοφαγίτιδας από παλινδρόμηση</w:t>
      </w:r>
      <w:r w:rsidRPr="00800E0B">
        <w:rPr>
          <w:sz w:val="22"/>
          <w:szCs w:val="22"/>
          <w:u w:val="single"/>
          <w:lang w:val="el-GR"/>
        </w:rPr>
        <w:t xml:space="preserve"> </w:t>
      </w:r>
    </w:p>
    <w:p w:rsidR="009B62E6" w:rsidRPr="00800E0B" w:rsidRDefault="009B62E6">
      <w:pPr>
        <w:pStyle w:val="Default"/>
        <w:ind w:left="360"/>
        <w:rPr>
          <w:sz w:val="22"/>
          <w:szCs w:val="22"/>
          <w:lang w:val="el-GR"/>
        </w:rPr>
      </w:pPr>
      <w:r w:rsidRPr="00800E0B">
        <w:rPr>
          <w:sz w:val="22"/>
          <w:szCs w:val="22"/>
          <w:lang w:val="el-GR"/>
        </w:rPr>
        <w:t>40 </w:t>
      </w:r>
      <w:proofErr w:type="spellStart"/>
      <w:r w:rsidRPr="00800E0B">
        <w:rPr>
          <w:sz w:val="22"/>
          <w:szCs w:val="22"/>
          <w:lang w:val="el-GR"/>
        </w:rPr>
        <w:t>mg</w:t>
      </w:r>
      <w:proofErr w:type="spellEnd"/>
      <w:r w:rsidRPr="00800E0B">
        <w:rPr>
          <w:sz w:val="22"/>
          <w:szCs w:val="22"/>
          <w:lang w:val="el-GR"/>
        </w:rPr>
        <w:t xml:space="preserve"> μία φορά την ημέρα επί 4 εβδομάδες. </w:t>
      </w:r>
    </w:p>
    <w:p w:rsidR="009B62E6" w:rsidRPr="00800E0B" w:rsidRDefault="009B62E6">
      <w:pPr>
        <w:pStyle w:val="Default"/>
        <w:ind w:left="360"/>
        <w:rPr>
          <w:sz w:val="22"/>
          <w:szCs w:val="22"/>
          <w:lang w:val="el-GR"/>
        </w:rPr>
      </w:pPr>
      <w:r w:rsidRPr="00800E0B">
        <w:rPr>
          <w:sz w:val="22"/>
          <w:szCs w:val="22"/>
          <w:lang w:val="el-GR"/>
        </w:rPr>
        <w:t xml:space="preserve">Συνιστάται θεραπεία για επιπλέον 4 εβδομάδες για ασθενείς στους οποίους δεν έχει επουλωθεί η οισοφαγίτιδα ή οι οποίοι έχουν επίμονα συμπτώματα. </w:t>
      </w:r>
    </w:p>
    <w:p w:rsidR="009B62E6" w:rsidRPr="00800E0B" w:rsidRDefault="009B62E6">
      <w:pPr>
        <w:pStyle w:val="Default"/>
        <w:rPr>
          <w:sz w:val="22"/>
          <w:szCs w:val="22"/>
          <w:lang w:val="el-GR"/>
        </w:rPr>
      </w:pPr>
    </w:p>
    <w:p w:rsidR="009B62E6" w:rsidRPr="00800E0B" w:rsidRDefault="009B62E6" w:rsidP="008F1D8B">
      <w:pPr>
        <w:pStyle w:val="Default"/>
        <w:tabs>
          <w:tab w:val="left" w:pos="360"/>
        </w:tabs>
        <w:ind w:left="360" w:hanging="360"/>
        <w:rPr>
          <w:sz w:val="22"/>
          <w:szCs w:val="22"/>
          <w:u w:val="single"/>
          <w:lang w:val="el-GR"/>
        </w:rPr>
      </w:pPr>
      <w:r w:rsidRPr="00800E0B">
        <w:rPr>
          <w:sz w:val="22"/>
          <w:szCs w:val="22"/>
          <w:lang w:val="el-GR"/>
        </w:rPr>
        <w:t>-</w:t>
      </w:r>
      <w:r w:rsidRPr="00800E0B">
        <w:rPr>
          <w:sz w:val="22"/>
          <w:szCs w:val="22"/>
          <w:lang w:val="el-GR"/>
        </w:rPr>
        <w:tab/>
        <w:t xml:space="preserve">μακροχρόνια αντιμετώπιση ασθενών με επουλωμένη οισοφαγίτιδα ώστε να προληφθεί η υποτροπή </w:t>
      </w:r>
    </w:p>
    <w:p w:rsidR="009B62E6" w:rsidRPr="00800E0B" w:rsidRDefault="009B62E6">
      <w:pPr>
        <w:pStyle w:val="Default"/>
        <w:ind w:firstLine="360"/>
        <w:rPr>
          <w:sz w:val="22"/>
          <w:szCs w:val="22"/>
          <w:lang w:val="el-GR"/>
        </w:rPr>
      </w:pPr>
      <w:r w:rsidRPr="00800E0B">
        <w:rPr>
          <w:sz w:val="22"/>
          <w:szCs w:val="22"/>
          <w:lang w:val="el-GR"/>
        </w:rPr>
        <w:t>20 </w:t>
      </w:r>
      <w:proofErr w:type="spellStart"/>
      <w:r w:rsidRPr="00800E0B">
        <w:rPr>
          <w:sz w:val="22"/>
          <w:szCs w:val="22"/>
          <w:lang w:val="el-GR"/>
        </w:rPr>
        <w:t>mg</w:t>
      </w:r>
      <w:proofErr w:type="spellEnd"/>
      <w:r w:rsidRPr="00800E0B">
        <w:rPr>
          <w:sz w:val="22"/>
          <w:szCs w:val="22"/>
          <w:lang w:val="el-GR"/>
        </w:rPr>
        <w:t xml:space="preserve"> μία φορά την ημέρα. </w:t>
      </w:r>
    </w:p>
    <w:p w:rsidR="009B62E6" w:rsidRPr="00800E0B" w:rsidRDefault="009B62E6">
      <w:pPr>
        <w:pStyle w:val="Default"/>
        <w:rPr>
          <w:sz w:val="22"/>
          <w:szCs w:val="22"/>
          <w:lang w:val="el-GR"/>
        </w:rPr>
      </w:pPr>
    </w:p>
    <w:p w:rsidR="009B62E6" w:rsidRPr="00800E0B" w:rsidRDefault="009B62E6">
      <w:pPr>
        <w:pStyle w:val="Default"/>
        <w:tabs>
          <w:tab w:val="left" w:pos="360"/>
        </w:tabs>
        <w:rPr>
          <w:sz w:val="22"/>
          <w:szCs w:val="22"/>
          <w:lang w:val="el-GR"/>
        </w:rPr>
      </w:pPr>
      <w:r w:rsidRPr="00800E0B">
        <w:rPr>
          <w:sz w:val="22"/>
          <w:szCs w:val="22"/>
          <w:lang w:val="el-GR"/>
        </w:rPr>
        <w:t>-</w:t>
      </w:r>
      <w:r w:rsidRPr="00800E0B">
        <w:rPr>
          <w:sz w:val="22"/>
          <w:szCs w:val="22"/>
          <w:lang w:val="el-GR"/>
        </w:rPr>
        <w:tab/>
        <w:t xml:space="preserve">συμπτωματική θεραπεία </w:t>
      </w:r>
      <w:proofErr w:type="spellStart"/>
      <w:r w:rsidRPr="00800E0B">
        <w:rPr>
          <w:sz w:val="22"/>
          <w:szCs w:val="22"/>
          <w:lang w:val="el-GR"/>
        </w:rPr>
        <w:t>γαστροοισοφαγικής</w:t>
      </w:r>
      <w:proofErr w:type="spellEnd"/>
      <w:r w:rsidRPr="00800E0B">
        <w:rPr>
          <w:sz w:val="22"/>
          <w:szCs w:val="22"/>
          <w:lang w:val="el-GR"/>
        </w:rPr>
        <w:t xml:space="preserve"> παλινδρόμησης (ΓΟΠ) </w:t>
      </w:r>
    </w:p>
    <w:p w:rsidR="009B62E6" w:rsidRPr="00800E0B" w:rsidRDefault="009B62E6">
      <w:pPr>
        <w:pStyle w:val="Default"/>
        <w:ind w:left="360"/>
        <w:rPr>
          <w:sz w:val="22"/>
          <w:szCs w:val="22"/>
          <w:lang w:val="el-GR"/>
        </w:rPr>
      </w:pPr>
      <w:r w:rsidRPr="00800E0B">
        <w:rPr>
          <w:sz w:val="22"/>
          <w:szCs w:val="22"/>
          <w:lang w:val="el-GR"/>
        </w:rPr>
        <w:t>20 </w:t>
      </w:r>
      <w:proofErr w:type="spellStart"/>
      <w:r w:rsidRPr="00800E0B">
        <w:rPr>
          <w:sz w:val="22"/>
          <w:szCs w:val="22"/>
          <w:lang w:val="el-GR"/>
        </w:rPr>
        <w:t>mg</w:t>
      </w:r>
      <w:proofErr w:type="spellEnd"/>
      <w:r w:rsidRPr="00800E0B">
        <w:rPr>
          <w:sz w:val="22"/>
          <w:szCs w:val="22"/>
          <w:lang w:val="el-GR"/>
        </w:rPr>
        <w:t xml:space="preserve"> μία φορά την ημέρα σε ασθενείς χωρίς οισοφαγίτιδα. Εάν δεν έχει επιτευχθεί ο έλεγχος των συμπτωμάτων μετά από 4 εβδομάδες, ο ασθενής θα πρέπει να διερευνηθεί περαιτέρω. Όταν υποχωρήσουν τα συμπτώματα, ο επακόλουθος έλεγχος των συμπτωμάτων μπορεί να επιτευχθεί με χρήση 20 </w:t>
      </w:r>
      <w:proofErr w:type="spellStart"/>
      <w:r w:rsidRPr="00800E0B">
        <w:rPr>
          <w:sz w:val="22"/>
          <w:szCs w:val="22"/>
          <w:lang w:val="el-GR"/>
        </w:rPr>
        <w:t>mg</w:t>
      </w:r>
      <w:proofErr w:type="spellEnd"/>
      <w:r w:rsidRPr="00800E0B">
        <w:rPr>
          <w:sz w:val="22"/>
          <w:szCs w:val="22"/>
          <w:lang w:val="el-GR"/>
        </w:rPr>
        <w:t xml:space="preserve"> μία φορά την ημέρα. Σε ενήλικες, μπορεί να χρησιμοποιηθεί ένα σχήμα κατ’ επίκληση, με λήψη 20 </w:t>
      </w:r>
      <w:proofErr w:type="spellStart"/>
      <w:r w:rsidRPr="00800E0B">
        <w:rPr>
          <w:sz w:val="22"/>
          <w:szCs w:val="22"/>
          <w:lang w:val="el-GR"/>
        </w:rPr>
        <w:t>mg</w:t>
      </w:r>
      <w:proofErr w:type="spellEnd"/>
      <w:r w:rsidRPr="00800E0B">
        <w:rPr>
          <w:sz w:val="22"/>
          <w:szCs w:val="22"/>
          <w:lang w:val="el-GR"/>
        </w:rPr>
        <w:t xml:space="preserve"> μία φορά την ημέρα, όταν απαιτείται. Σε ασθενείς που λαμβάνουν θεραπεία με ΜΣΑΦ, οι οποίοι διατρέχουν κίνδυνο ανάπτυξης γαστρικών και δωδεκαδακτυλικών ελκών, δεν συνιστάται ο επακόλουθος έλεγχος συμπτωμάτων με σχήμα κατ’ επίκληση. </w:t>
      </w:r>
    </w:p>
    <w:p w:rsidR="009B62E6" w:rsidRPr="00800E0B" w:rsidRDefault="009B62E6">
      <w:pPr>
        <w:pStyle w:val="Default"/>
        <w:ind w:firstLine="567"/>
        <w:rPr>
          <w:sz w:val="22"/>
          <w:szCs w:val="22"/>
          <w:lang w:val="el-GR"/>
        </w:rPr>
      </w:pPr>
    </w:p>
    <w:p w:rsidR="009B62E6" w:rsidRPr="00800E0B" w:rsidRDefault="009B62E6">
      <w:pPr>
        <w:pStyle w:val="Default"/>
        <w:rPr>
          <w:sz w:val="22"/>
          <w:szCs w:val="22"/>
          <w:lang w:val="el-GR"/>
        </w:rPr>
      </w:pPr>
      <w:r w:rsidRPr="00800E0B">
        <w:rPr>
          <w:sz w:val="22"/>
          <w:szCs w:val="22"/>
          <w:u w:val="single"/>
          <w:lang w:val="el-GR"/>
        </w:rPr>
        <w:t xml:space="preserve">Ενήλικες </w:t>
      </w:r>
    </w:p>
    <w:p w:rsidR="009B62E6" w:rsidRPr="00800E0B" w:rsidRDefault="009B62E6">
      <w:pPr>
        <w:pStyle w:val="Default"/>
        <w:rPr>
          <w:sz w:val="22"/>
          <w:szCs w:val="22"/>
          <w:lang w:val="el-GR"/>
        </w:rPr>
      </w:pPr>
      <w:r w:rsidRPr="00800E0B">
        <w:rPr>
          <w:i/>
          <w:iCs/>
          <w:sz w:val="22"/>
          <w:szCs w:val="22"/>
          <w:lang w:val="el-GR"/>
        </w:rPr>
        <w:t xml:space="preserve">Σε συνδυασμό με κατάλληλα </w:t>
      </w:r>
      <w:proofErr w:type="spellStart"/>
      <w:r w:rsidRPr="00800E0B">
        <w:rPr>
          <w:i/>
          <w:iCs/>
          <w:sz w:val="22"/>
          <w:szCs w:val="22"/>
          <w:lang w:val="el-GR"/>
        </w:rPr>
        <w:t>αντιβακτηριακά</w:t>
      </w:r>
      <w:proofErr w:type="spellEnd"/>
      <w:r w:rsidRPr="00800E0B">
        <w:rPr>
          <w:i/>
          <w:iCs/>
          <w:sz w:val="22"/>
          <w:szCs w:val="22"/>
          <w:lang w:val="el-GR"/>
        </w:rPr>
        <w:t xml:space="preserve"> θεραπευτικά σχήματα για την εκρίζωση του </w:t>
      </w:r>
      <w:r w:rsidRPr="00800E0B">
        <w:rPr>
          <w:i/>
          <w:iCs/>
          <w:sz w:val="22"/>
          <w:szCs w:val="22"/>
          <w:lang w:val="en-GB"/>
        </w:rPr>
        <w:t>Helicobacter</w:t>
      </w:r>
      <w:r w:rsidRPr="00800E0B">
        <w:rPr>
          <w:i/>
          <w:iCs/>
          <w:sz w:val="22"/>
          <w:szCs w:val="22"/>
          <w:lang w:val="el-GR"/>
        </w:rPr>
        <w:t xml:space="preserve"> </w:t>
      </w:r>
      <w:r w:rsidRPr="00800E0B">
        <w:rPr>
          <w:i/>
          <w:iCs/>
          <w:sz w:val="22"/>
          <w:szCs w:val="22"/>
          <w:lang w:val="en-GB"/>
        </w:rPr>
        <w:t>pylori</w:t>
      </w:r>
      <w:r w:rsidRPr="00800E0B">
        <w:rPr>
          <w:i/>
          <w:iCs/>
          <w:sz w:val="22"/>
          <w:szCs w:val="22"/>
          <w:lang w:val="el-GR"/>
        </w:rPr>
        <w:t xml:space="preserve"> και </w:t>
      </w:r>
    </w:p>
    <w:p w:rsidR="009B62E6" w:rsidRPr="00800E0B" w:rsidRDefault="009B62E6">
      <w:pPr>
        <w:pStyle w:val="Default"/>
        <w:tabs>
          <w:tab w:val="left" w:pos="360"/>
        </w:tabs>
        <w:rPr>
          <w:i/>
          <w:iCs/>
          <w:sz w:val="22"/>
          <w:szCs w:val="22"/>
          <w:lang w:val="el-GR"/>
        </w:rPr>
      </w:pPr>
      <w:r w:rsidRPr="00800E0B">
        <w:rPr>
          <w:i/>
          <w:iCs/>
          <w:sz w:val="22"/>
          <w:szCs w:val="22"/>
          <w:lang w:val="el-GR"/>
        </w:rPr>
        <w:t>-</w:t>
      </w:r>
      <w:r w:rsidRPr="00800E0B">
        <w:rPr>
          <w:i/>
          <w:iCs/>
          <w:sz w:val="22"/>
          <w:szCs w:val="22"/>
          <w:lang w:val="el-GR"/>
        </w:rPr>
        <w:tab/>
      </w:r>
      <w:r w:rsidRPr="00800E0B">
        <w:rPr>
          <w:sz w:val="22"/>
          <w:szCs w:val="22"/>
          <w:lang w:val="el-GR"/>
        </w:rPr>
        <w:t xml:space="preserve">επούλωση του έλκους δωδεκαδακτύλου που σχετίζεται με </w:t>
      </w:r>
      <w:r w:rsidRPr="00800E0B">
        <w:rPr>
          <w:i/>
          <w:iCs/>
          <w:sz w:val="22"/>
          <w:szCs w:val="22"/>
          <w:lang w:val="en-GB"/>
        </w:rPr>
        <w:t>Helicobacter</w:t>
      </w:r>
      <w:r w:rsidRPr="00800E0B">
        <w:rPr>
          <w:i/>
          <w:iCs/>
          <w:sz w:val="22"/>
          <w:szCs w:val="22"/>
          <w:lang w:val="el-GR"/>
        </w:rPr>
        <w:t xml:space="preserve"> </w:t>
      </w:r>
      <w:r w:rsidRPr="00800E0B">
        <w:rPr>
          <w:i/>
          <w:iCs/>
          <w:sz w:val="22"/>
          <w:szCs w:val="22"/>
          <w:lang w:val="en-GB"/>
        </w:rPr>
        <w:t>pylori</w:t>
      </w:r>
      <w:r w:rsidRPr="00800E0B">
        <w:rPr>
          <w:i/>
          <w:iCs/>
          <w:sz w:val="22"/>
          <w:szCs w:val="22"/>
          <w:lang w:val="el-GR"/>
        </w:rPr>
        <w:t xml:space="preserve"> </w:t>
      </w:r>
      <w:r w:rsidRPr="00800E0B">
        <w:rPr>
          <w:sz w:val="22"/>
          <w:szCs w:val="22"/>
          <w:lang w:val="el-GR"/>
        </w:rPr>
        <w:t xml:space="preserve">και </w:t>
      </w:r>
    </w:p>
    <w:p w:rsidR="009B62E6" w:rsidRPr="00800E0B" w:rsidRDefault="009B62E6">
      <w:pPr>
        <w:pStyle w:val="Default"/>
        <w:tabs>
          <w:tab w:val="left" w:pos="360"/>
        </w:tabs>
        <w:rPr>
          <w:i/>
          <w:iCs/>
          <w:sz w:val="22"/>
          <w:szCs w:val="22"/>
          <w:lang w:val="el-GR"/>
        </w:rPr>
      </w:pPr>
      <w:r w:rsidRPr="00800E0B">
        <w:rPr>
          <w:i/>
          <w:iCs/>
          <w:sz w:val="22"/>
          <w:szCs w:val="22"/>
          <w:lang w:val="el-GR"/>
        </w:rPr>
        <w:t>-</w:t>
      </w:r>
      <w:r w:rsidRPr="00800E0B">
        <w:rPr>
          <w:i/>
          <w:iCs/>
          <w:sz w:val="22"/>
          <w:szCs w:val="22"/>
          <w:lang w:val="el-GR"/>
        </w:rPr>
        <w:tab/>
      </w:r>
      <w:r w:rsidRPr="00800E0B">
        <w:rPr>
          <w:sz w:val="22"/>
          <w:szCs w:val="22"/>
          <w:lang w:val="el-GR"/>
        </w:rPr>
        <w:t xml:space="preserve">πρόληψη της υποτροπής πεπτικών ελκών σε ασθενείς με έλκη που σχετίζονται με </w:t>
      </w:r>
      <w:r w:rsidRPr="00800E0B">
        <w:rPr>
          <w:i/>
          <w:iCs/>
          <w:sz w:val="22"/>
          <w:szCs w:val="22"/>
          <w:lang w:val="en-GB"/>
        </w:rPr>
        <w:t>Helicobacter</w:t>
      </w:r>
      <w:r w:rsidRPr="00800E0B">
        <w:rPr>
          <w:i/>
          <w:iCs/>
          <w:sz w:val="22"/>
          <w:szCs w:val="22"/>
          <w:lang w:val="el-GR"/>
        </w:rPr>
        <w:t xml:space="preserve"> </w:t>
      </w:r>
      <w:r w:rsidRPr="00800E0B">
        <w:rPr>
          <w:i/>
          <w:iCs/>
          <w:sz w:val="22"/>
          <w:szCs w:val="22"/>
          <w:lang w:val="en-GB"/>
        </w:rPr>
        <w:t>pylori</w:t>
      </w:r>
      <w:r w:rsidRPr="00800E0B">
        <w:rPr>
          <w:i/>
          <w:iCs/>
          <w:sz w:val="22"/>
          <w:szCs w:val="22"/>
          <w:lang w:val="el-GR"/>
        </w:rPr>
        <w:t xml:space="preserve">. </w:t>
      </w:r>
    </w:p>
    <w:p w:rsidR="009B62E6" w:rsidRPr="00800E0B" w:rsidRDefault="009B62E6">
      <w:pPr>
        <w:pStyle w:val="Default"/>
        <w:rPr>
          <w:sz w:val="22"/>
          <w:szCs w:val="22"/>
          <w:lang w:val="el-GR"/>
        </w:rPr>
      </w:pPr>
      <w:r w:rsidRPr="00800E0B">
        <w:rPr>
          <w:sz w:val="22"/>
          <w:szCs w:val="22"/>
          <w:lang w:val="el-GR"/>
        </w:rPr>
        <w:t>20</w:t>
      </w:r>
      <w:r w:rsidRPr="00800E0B">
        <w:rPr>
          <w:sz w:val="22"/>
          <w:szCs w:val="22"/>
          <w:lang w:val="en-GB"/>
        </w:rPr>
        <w:t> mg</w:t>
      </w:r>
      <w:r w:rsidRPr="00800E0B">
        <w:rPr>
          <w:sz w:val="22"/>
          <w:szCs w:val="22"/>
          <w:lang w:val="el-GR"/>
        </w:rPr>
        <w:t xml:space="preserve"> </w:t>
      </w:r>
      <w:proofErr w:type="spellStart"/>
      <w:r w:rsidRPr="00800E0B">
        <w:rPr>
          <w:sz w:val="22"/>
          <w:szCs w:val="22"/>
          <w:lang w:val="en-GB"/>
        </w:rPr>
        <w:t>Helides</w:t>
      </w:r>
      <w:proofErr w:type="spellEnd"/>
      <w:r w:rsidRPr="00800E0B">
        <w:rPr>
          <w:sz w:val="22"/>
          <w:szCs w:val="22"/>
          <w:lang w:val="el-GR"/>
        </w:rPr>
        <w:t xml:space="preserve"> σε συνδυασμό με </w:t>
      </w:r>
      <w:smartTag w:uri="urn:schemas-microsoft-com:office:smarttags" w:element="metricconverter">
        <w:smartTagPr>
          <w:attr w:name="ProductID" w:val="1ﾠg"/>
        </w:smartTagPr>
        <w:r w:rsidRPr="00800E0B">
          <w:rPr>
            <w:sz w:val="22"/>
            <w:szCs w:val="22"/>
            <w:lang w:val="el-GR"/>
          </w:rPr>
          <w:t>1</w:t>
        </w:r>
        <w:r w:rsidRPr="00800E0B">
          <w:rPr>
            <w:sz w:val="22"/>
            <w:szCs w:val="22"/>
            <w:lang w:val="en-GB"/>
          </w:rPr>
          <w:t> g</w:t>
        </w:r>
      </w:smartTag>
      <w:r w:rsidRPr="00800E0B">
        <w:rPr>
          <w:sz w:val="22"/>
          <w:szCs w:val="22"/>
          <w:lang w:val="el-GR"/>
        </w:rPr>
        <w:t xml:space="preserve"> </w:t>
      </w:r>
      <w:proofErr w:type="spellStart"/>
      <w:r w:rsidRPr="00800E0B">
        <w:rPr>
          <w:sz w:val="22"/>
          <w:szCs w:val="22"/>
          <w:lang w:val="el-GR"/>
        </w:rPr>
        <w:t>αμοξυκιλλίνης</w:t>
      </w:r>
      <w:proofErr w:type="spellEnd"/>
      <w:r w:rsidRPr="00800E0B">
        <w:rPr>
          <w:sz w:val="22"/>
          <w:szCs w:val="22"/>
          <w:lang w:val="el-GR"/>
        </w:rPr>
        <w:t xml:space="preserve"> και 500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κλαριθρομυκίνης</w:t>
      </w:r>
      <w:proofErr w:type="spellEnd"/>
      <w:r w:rsidRPr="00800E0B">
        <w:rPr>
          <w:sz w:val="22"/>
          <w:szCs w:val="22"/>
          <w:lang w:val="el-GR"/>
        </w:rPr>
        <w:t xml:space="preserve">, όλα δύο φορές την ημέρα επί 7 ημέρες.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i/>
          <w:iCs/>
          <w:sz w:val="22"/>
          <w:szCs w:val="22"/>
          <w:lang w:val="el-GR"/>
        </w:rPr>
        <w:t xml:space="preserve">Ασθενείς οι οποίοι χρειάζονται συνεχιζόμενη αγωγή με ΜΣΑΦ </w:t>
      </w:r>
    </w:p>
    <w:p w:rsidR="009B62E6" w:rsidRPr="00800E0B" w:rsidRDefault="009B62E6">
      <w:pPr>
        <w:pStyle w:val="Default"/>
        <w:rPr>
          <w:sz w:val="22"/>
          <w:szCs w:val="22"/>
          <w:lang w:val="el-GR"/>
        </w:rPr>
      </w:pPr>
      <w:r w:rsidRPr="00800E0B">
        <w:rPr>
          <w:sz w:val="22"/>
          <w:szCs w:val="22"/>
          <w:lang w:val="el-GR"/>
        </w:rPr>
        <w:t>Επούλωση γαστρικών ελκών που σχετίζονται με αγωγή με ΜΣΑΦ: Η συνηθισμένη δόση είναι 20</w:t>
      </w:r>
      <w:r w:rsidRPr="00800E0B">
        <w:rPr>
          <w:sz w:val="22"/>
          <w:szCs w:val="22"/>
          <w:lang w:val="en-GB"/>
        </w:rPr>
        <w:t> mg</w:t>
      </w:r>
      <w:r w:rsidRPr="00800E0B">
        <w:rPr>
          <w:sz w:val="22"/>
          <w:szCs w:val="22"/>
          <w:lang w:val="el-GR"/>
        </w:rPr>
        <w:t xml:space="preserve"> μία φορά την ημέρα. Η διάρκεια της θεραπείας είναι 4-8 εβδομάδες. </w:t>
      </w:r>
    </w:p>
    <w:p w:rsidR="009B62E6" w:rsidRPr="00800E0B" w:rsidRDefault="009B62E6">
      <w:pPr>
        <w:pStyle w:val="Default"/>
        <w:rPr>
          <w:sz w:val="22"/>
          <w:szCs w:val="22"/>
          <w:lang w:val="el-GR"/>
        </w:rPr>
      </w:pPr>
      <w:r w:rsidRPr="00800E0B">
        <w:rPr>
          <w:sz w:val="22"/>
          <w:szCs w:val="22"/>
          <w:lang w:val="el-GR"/>
        </w:rPr>
        <w:t>Πρόληψη των γαστρικών και δωδεκαδακτυλικών ελκών που σχετίζονται με αγωγή με ΜΣΑΦ, σε ασθενείς που διατρέχουν κίνδυνο: 20</w:t>
      </w:r>
      <w:r w:rsidRPr="00800E0B">
        <w:rPr>
          <w:sz w:val="22"/>
          <w:szCs w:val="22"/>
          <w:lang w:val="en-GB"/>
        </w:rPr>
        <w:t> mg</w:t>
      </w:r>
      <w:r w:rsidRPr="00800E0B">
        <w:rPr>
          <w:sz w:val="22"/>
          <w:szCs w:val="22"/>
          <w:lang w:val="el-GR"/>
        </w:rPr>
        <w:t xml:space="preserve"> μία φορά την ημέρα. </w:t>
      </w:r>
    </w:p>
    <w:p w:rsidR="009B62E6" w:rsidRPr="00800E0B" w:rsidRDefault="009B62E6">
      <w:pPr>
        <w:autoSpaceDE w:val="0"/>
        <w:autoSpaceDN w:val="0"/>
        <w:adjustRightInd w:val="0"/>
        <w:rPr>
          <w:lang w:val="el-GR"/>
        </w:rPr>
      </w:pPr>
      <w:r w:rsidRPr="00800E0B">
        <w:rPr>
          <w:color w:val="000000"/>
          <w:lang w:val="el-GR"/>
        </w:rPr>
        <w:br w:type="page"/>
      </w:r>
      <w:r w:rsidRPr="00800E0B">
        <w:rPr>
          <w:i/>
          <w:iCs/>
          <w:color w:val="000000"/>
          <w:lang w:val="el-GR"/>
        </w:rPr>
        <w:lastRenderedPageBreak/>
        <w:t xml:space="preserve">Παρατεταμένη θεραπεία μετά την αποτροπή της επανεμφάνισης πεπτικών ελκών με χρήση ενδοφλέβιων φαρμάκων. </w:t>
      </w:r>
    </w:p>
    <w:p w:rsidR="009B62E6" w:rsidRPr="00800E0B" w:rsidRDefault="009B62E6">
      <w:pPr>
        <w:autoSpaceDE w:val="0"/>
        <w:autoSpaceDN w:val="0"/>
        <w:adjustRightInd w:val="0"/>
        <w:rPr>
          <w:lang w:val="el-GR"/>
        </w:rPr>
      </w:pPr>
      <w:r w:rsidRPr="00800E0B">
        <w:rPr>
          <w:color w:val="000000"/>
          <w:lang w:val="el-GR"/>
        </w:rPr>
        <w:t>40</w:t>
      </w:r>
      <w:r w:rsidRPr="00800E0B">
        <w:rPr>
          <w:color w:val="000000"/>
        </w:rPr>
        <w:t> mg</w:t>
      </w:r>
      <w:r w:rsidRPr="00800E0B">
        <w:rPr>
          <w:color w:val="000000"/>
          <w:lang w:val="el-GR"/>
        </w:rPr>
        <w:t xml:space="preserve"> μία φορά την ημέρα επί 4 εβδομάδες μετά την αποτροπή της επανεμφάνισης πεπτικών ελκών με χρήση ενδοφλέβιων φαρμάκων. </w:t>
      </w:r>
    </w:p>
    <w:p w:rsidR="009B62E6" w:rsidRPr="00800E0B" w:rsidRDefault="009B62E6">
      <w:pPr>
        <w:pStyle w:val="Default"/>
        <w:rPr>
          <w:i/>
          <w:iCs/>
          <w:sz w:val="22"/>
          <w:szCs w:val="22"/>
          <w:lang w:val="el-GR"/>
        </w:rPr>
      </w:pPr>
    </w:p>
    <w:p w:rsidR="009B62E6" w:rsidRPr="00800E0B" w:rsidRDefault="009B62E6">
      <w:pPr>
        <w:pStyle w:val="Default"/>
        <w:rPr>
          <w:sz w:val="22"/>
          <w:szCs w:val="22"/>
          <w:lang w:val="el-GR"/>
        </w:rPr>
      </w:pPr>
      <w:r w:rsidRPr="00800E0B">
        <w:rPr>
          <w:i/>
          <w:iCs/>
          <w:sz w:val="22"/>
          <w:szCs w:val="22"/>
          <w:lang w:val="el-GR"/>
        </w:rPr>
        <w:t xml:space="preserve">Θεραπεία συνδρόμου </w:t>
      </w:r>
      <w:proofErr w:type="spellStart"/>
      <w:r w:rsidRPr="00800E0B">
        <w:rPr>
          <w:i/>
          <w:iCs/>
          <w:sz w:val="22"/>
          <w:szCs w:val="22"/>
          <w:lang w:val="en-US"/>
        </w:rPr>
        <w:t>Zollinger</w:t>
      </w:r>
      <w:proofErr w:type="spellEnd"/>
      <w:r w:rsidRPr="00800E0B">
        <w:rPr>
          <w:i/>
          <w:iCs/>
          <w:sz w:val="22"/>
          <w:szCs w:val="22"/>
          <w:lang w:val="el-GR"/>
        </w:rPr>
        <w:t xml:space="preserve"> </w:t>
      </w:r>
      <w:r w:rsidRPr="00800E0B">
        <w:rPr>
          <w:i/>
          <w:iCs/>
          <w:sz w:val="22"/>
          <w:szCs w:val="22"/>
          <w:lang w:val="en-US"/>
        </w:rPr>
        <w:t>Ellison</w:t>
      </w:r>
      <w:r w:rsidRPr="00800E0B">
        <w:rPr>
          <w:i/>
          <w:iCs/>
          <w:sz w:val="22"/>
          <w:szCs w:val="22"/>
          <w:lang w:val="el-GR"/>
        </w:rPr>
        <w:t xml:space="preserve">  </w:t>
      </w:r>
    </w:p>
    <w:p w:rsidR="009B62E6" w:rsidRPr="00800E0B" w:rsidRDefault="009B62E6">
      <w:pPr>
        <w:pStyle w:val="Default"/>
        <w:rPr>
          <w:sz w:val="22"/>
          <w:szCs w:val="22"/>
          <w:lang w:val="el-GR"/>
        </w:rPr>
      </w:pPr>
      <w:r w:rsidRPr="00800E0B">
        <w:rPr>
          <w:sz w:val="22"/>
          <w:szCs w:val="22"/>
          <w:lang w:val="el-GR"/>
        </w:rPr>
        <w:t>Η συνιστώμενη αρχική δοσολογία είναι 40</w:t>
      </w:r>
      <w:r w:rsidRPr="00800E0B">
        <w:rPr>
          <w:sz w:val="22"/>
          <w:szCs w:val="22"/>
          <w:lang w:val="en-GB"/>
        </w:rPr>
        <w:t> mg</w:t>
      </w:r>
      <w:r w:rsidRPr="00800E0B">
        <w:rPr>
          <w:sz w:val="22"/>
          <w:szCs w:val="22"/>
          <w:lang w:val="el-GR"/>
        </w:rPr>
        <w:t xml:space="preserve"> </w:t>
      </w:r>
      <w:proofErr w:type="spellStart"/>
      <w:r w:rsidRPr="00800E0B">
        <w:rPr>
          <w:sz w:val="22"/>
          <w:szCs w:val="22"/>
          <w:lang w:val="en-GB"/>
        </w:rPr>
        <w:t>Helides</w:t>
      </w:r>
      <w:proofErr w:type="spellEnd"/>
      <w:r w:rsidRPr="00800E0B">
        <w:rPr>
          <w:sz w:val="22"/>
          <w:szCs w:val="22"/>
          <w:lang w:val="el-GR"/>
        </w:rPr>
        <w:t xml:space="preserve"> δύο φορές την ημέρα. Η δοσολογία θα πρέπει στη συνέχεια να προσαρμόζεται στο άτομο και η θεραπεία να συνεχίζεται για όσο διάστημα ενδείκνυται κλινικά. Με βάση τα διαθέσιμα κλινικά δεδομένα, η πλειονότητα των ασθενών μπορούν να ελεγχθούν με δόσεις μεταξύ 80 έως 160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ημερησίως. Με δόσεις υψηλότερες από 80</w:t>
      </w:r>
      <w:r w:rsidRPr="00800E0B">
        <w:rPr>
          <w:sz w:val="22"/>
          <w:szCs w:val="22"/>
          <w:lang w:val="en-GB"/>
        </w:rPr>
        <w:t> mg</w:t>
      </w:r>
      <w:r w:rsidRPr="00800E0B">
        <w:rPr>
          <w:sz w:val="22"/>
          <w:szCs w:val="22"/>
          <w:lang w:val="el-GR"/>
        </w:rPr>
        <w:t xml:space="preserve"> ημερησίως, η δόση θα πρέπει να διαιρείται και να δίνεται δύο φορές την ημέρα.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u w:val="single"/>
          <w:lang w:val="el-GR"/>
        </w:rPr>
        <w:t xml:space="preserve">Παιδιά ηλικίας κάτω των 12 ετών </w:t>
      </w:r>
    </w:p>
    <w:p w:rsidR="009B62E6" w:rsidRPr="00800E0B" w:rsidRDefault="009B62E6">
      <w:pPr>
        <w:pStyle w:val="Default"/>
        <w:rPr>
          <w:sz w:val="22"/>
          <w:szCs w:val="22"/>
          <w:lang w:val="el-GR"/>
        </w:rPr>
      </w:pPr>
      <w:r w:rsidRPr="00800E0B">
        <w:rPr>
          <w:sz w:val="22"/>
          <w:szCs w:val="22"/>
          <w:lang w:val="el-GR"/>
        </w:rPr>
        <w:t xml:space="preserve">Το </w:t>
      </w:r>
      <w:proofErr w:type="spellStart"/>
      <w:r w:rsidRPr="00800E0B">
        <w:rPr>
          <w:sz w:val="22"/>
          <w:szCs w:val="22"/>
          <w:lang w:val="en-GB"/>
        </w:rPr>
        <w:t>Helides</w:t>
      </w:r>
      <w:proofErr w:type="spellEnd"/>
      <w:r w:rsidRPr="00800E0B">
        <w:rPr>
          <w:sz w:val="22"/>
          <w:szCs w:val="22"/>
          <w:lang w:val="el-GR"/>
        </w:rPr>
        <w:t xml:space="preserve"> δεν θα πρέπει να χρησιμοποιείται σε παιδιά μικρότερα από 12 ετών εφόσον δεν υπάρχουν διαθέσιμα δεδομένα.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u w:val="single"/>
          <w:lang w:val="el-GR"/>
        </w:rPr>
        <w:t xml:space="preserve">Νεφρική δυσλειτουργία </w:t>
      </w:r>
    </w:p>
    <w:p w:rsidR="009B62E6" w:rsidRPr="00800E0B" w:rsidRDefault="009B62E6">
      <w:pPr>
        <w:pStyle w:val="Default"/>
        <w:rPr>
          <w:sz w:val="22"/>
          <w:szCs w:val="22"/>
          <w:lang w:val="el-GR"/>
        </w:rPr>
      </w:pPr>
      <w:r w:rsidRPr="00800E0B">
        <w:rPr>
          <w:sz w:val="22"/>
          <w:szCs w:val="22"/>
          <w:lang w:val="el-GR"/>
        </w:rPr>
        <w:t xml:space="preserve">Δεν απαιτείται προσαρμογή δόσης σε ασθενείς με νεφρική δυσλειτουργία. Λόγω περιορισμένης εμπειρίας σε ασθενείς με βαριάς μορφής νεφρική ανεπάρκεια, αυτοί οι ασθενείς θα πρέπει να υποβάλλονται σε θεραπεία με προσοχή. (Βλ. παράγραφο 5.2).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u w:val="single"/>
          <w:lang w:val="el-GR"/>
        </w:rPr>
        <w:t xml:space="preserve">Ηπατική δυσλειτουργία </w:t>
      </w:r>
    </w:p>
    <w:p w:rsidR="009B62E6" w:rsidRPr="00800E0B" w:rsidRDefault="009B62E6">
      <w:pPr>
        <w:pStyle w:val="Default"/>
        <w:rPr>
          <w:sz w:val="22"/>
          <w:szCs w:val="22"/>
          <w:lang w:val="el-GR"/>
        </w:rPr>
      </w:pPr>
      <w:r w:rsidRPr="00800E0B">
        <w:rPr>
          <w:sz w:val="22"/>
          <w:szCs w:val="22"/>
          <w:lang w:val="el-GR"/>
        </w:rPr>
        <w:t>Δεν απαιτείται προσαρμογή δόσης σε ασθενείς με ήπια έως μέτρια ηπατική δυσλειτουργία. Για τους ασθενείς με βαριάς μορφής ηπατική δυσλειτουργία, δεν θα πρέπει να γίνεται υπέρβαση μιας μέγιστης δόσης ίσης με 20</w:t>
      </w:r>
      <w:r w:rsidRPr="00800E0B">
        <w:rPr>
          <w:sz w:val="22"/>
          <w:szCs w:val="22"/>
          <w:lang w:val="en-GB"/>
        </w:rPr>
        <w:t> mg</w:t>
      </w:r>
      <w:r w:rsidRPr="00800E0B">
        <w:rPr>
          <w:sz w:val="22"/>
          <w:szCs w:val="22"/>
          <w:lang w:val="el-GR"/>
        </w:rPr>
        <w:t xml:space="preserve"> </w:t>
      </w:r>
      <w:bookmarkStart w:id="5" w:name="OLE_LINK4"/>
      <w:bookmarkStart w:id="6" w:name="OLE_LINK5"/>
      <w:proofErr w:type="spellStart"/>
      <w:r w:rsidRPr="00800E0B">
        <w:rPr>
          <w:sz w:val="22"/>
          <w:szCs w:val="22"/>
          <w:lang w:val="en-GB"/>
        </w:rPr>
        <w:t>Helides</w:t>
      </w:r>
      <w:bookmarkEnd w:id="5"/>
      <w:bookmarkEnd w:id="6"/>
      <w:proofErr w:type="spellEnd"/>
      <w:r w:rsidRPr="00800E0B">
        <w:rPr>
          <w:sz w:val="22"/>
          <w:szCs w:val="22"/>
          <w:lang w:val="el-GR"/>
        </w:rPr>
        <w:t xml:space="preserve">. (Βλ. παράγραφο 5.2).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u w:val="single"/>
          <w:lang w:val="el-GR"/>
        </w:rPr>
        <w:t xml:space="preserve">Ηλικιωμένοι </w:t>
      </w:r>
    </w:p>
    <w:p w:rsidR="009B62E6" w:rsidRPr="00800E0B" w:rsidRDefault="009B62E6">
      <w:pPr>
        <w:pStyle w:val="Default"/>
        <w:rPr>
          <w:sz w:val="22"/>
          <w:szCs w:val="22"/>
          <w:lang w:val="el-GR"/>
        </w:rPr>
      </w:pPr>
      <w:r w:rsidRPr="00800E0B">
        <w:rPr>
          <w:sz w:val="22"/>
          <w:szCs w:val="22"/>
          <w:lang w:val="el-GR"/>
        </w:rPr>
        <w:t xml:space="preserve">Δεν απαιτείται προσαρμογή δόσης στους ηλικιωμένους. </w:t>
      </w:r>
    </w:p>
    <w:p w:rsidR="009B62E6" w:rsidRPr="00800E0B" w:rsidRDefault="009B62E6">
      <w:pPr>
        <w:tabs>
          <w:tab w:val="clear" w:pos="567"/>
        </w:tabs>
        <w:spacing w:line="240" w:lineRule="auto"/>
        <w:rPr>
          <w:noProof/>
          <w:lang w:val="el-GR"/>
        </w:rPr>
      </w:pPr>
    </w:p>
    <w:p w:rsidR="009B62E6" w:rsidRPr="00800E0B" w:rsidRDefault="009B62E6">
      <w:pPr>
        <w:widowControl w:val="0"/>
        <w:outlineLvl w:val="1"/>
        <w:rPr>
          <w:noProof/>
          <w:lang w:val="el-GR"/>
        </w:rPr>
      </w:pPr>
      <w:r w:rsidRPr="00800E0B">
        <w:rPr>
          <w:b/>
          <w:bCs/>
          <w:noProof/>
          <w:lang w:val="el-GR"/>
        </w:rPr>
        <w:t>4.3</w:t>
      </w:r>
      <w:r w:rsidRPr="00800E0B">
        <w:rPr>
          <w:b/>
          <w:bCs/>
          <w:i/>
          <w:iCs/>
          <w:noProof/>
          <w:lang w:val="el-GR"/>
        </w:rPr>
        <w:tab/>
      </w:r>
      <w:r w:rsidRPr="00800E0B">
        <w:rPr>
          <w:b/>
          <w:bCs/>
          <w:lang w:val="el-GR"/>
        </w:rPr>
        <w:t>Αντενδείξεις</w:t>
      </w:r>
    </w:p>
    <w:p w:rsidR="009B62E6" w:rsidRPr="00800E0B" w:rsidRDefault="009B62E6">
      <w:pPr>
        <w:tabs>
          <w:tab w:val="clear" w:pos="567"/>
        </w:tabs>
        <w:spacing w:line="240" w:lineRule="auto"/>
        <w:rPr>
          <w:noProof/>
          <w:lang w:val="el-GR"/>
        </w:rPr>
      </w:pPr>
    </w:p>
    <w:p w:rsidR="009B62E6" w:rsidRPr="00800E0B" w:rsidRDefault="009B62E6">
      <w:pPr>
        <w:pStyle w:val="Default"/>
        <w:rPr>
          <w:sz w:val="22"/>
          <w:szCs w:val="22"/>
          <w:lang w:val="el-GR"/>
        </w:rPr>
      </w:pPr>
      <w:r w:rsidRPr="00800E0B">
        <w:rPr>
          <w:sz w:val="22"/>
          <w:szCs w:val="22"/>
          <w:lang w:val="el-GR"/>
        </w:rPr>
        <w:t xml:space="preserve">Γνωστή υπερευαισθησία σε </w:t>
      </w:r>
      <w:proofErr w:type="spellStart"/>
      <w:r w:rsidRPr="00800E0B">
        <w:rPr>
          <w:sz w:val="22"/>
          <w:szCs w:val="22"/>
          <w:lang w:val="el-GR"/>
        </w:rPr>
        <w:t>εσομεπραζόλη</w:t>
      </w:r>
      <w:proofErr w:type="spellEnd"/>
      <w:r w:rsidRPr="00800E0B">
        <w:rPr>
          <w:sz w:val="22"/>
          <w:szCs w:val="22"/>
          <w:lang w:val="el-GR"/>
        </w:rPr>
        <w:t xml:space="preserve">, υποκαταστημένες </w:t>
      </w:r>
      <w:proofErr w:type="spellStart"/>
      <w:r w:rsidRPr="00800E0B">
        <w:rPr>
          <w:sz w:val="22"/>
          <w:szCs w:val="22"/>
          <w:lang w:val="el-GR"/>
        </w:rPr>
        <w:t>βενζιμιδαζόλες</w:t>
      </w:r>
      <w:proofErr w:type="spellEnd"/>
      <w:r w:rsidRPr="00800E0B">
        <w:rPr>
          <w:sz w:val="22"/>
          <w:szCs w:val="22"/>
          <w:lang w:val="el-GR"/>
        </w:rPr>
        <w:t xml:space="preserve"> ή σε οποιοδήποτε άλλο συστατικό του ιδιοσκευάσματος. </w:t>
      </w: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δεν θα πρέπει να χρησιμοποιείται ταυτόχρονα με </w:t>
      </w:r>
      <w:proofErr w:type="spellStart"/>
      <w:r w:rsidRPr="00800E0B">
        <w:rPr>
          <w:sz w:val="22"/>
          <w:szCs w:val="22"/>
          <w:lang w:val="el-GR"/>
        </w:rPr>
        <w:t>νελφιναβίρη</w:t>
      </w:r>
      <w:proofErr w:type="spellEnd"/>
      <w:r w:rsidRPr="00800E0B">
        <w:rPr>
          <w:sz w:val="22"/>
          <w:szCs w:val="22"/>
          <w:lang w:val="el-GR"/>
        </w:rPr>
        <w:t xml:space="preserve"> (βλ. παράγραφο 4.5). </w:t>
      </w:r>
    </w:p>
    <w:p w:rsidR="009B62E6" w:rsidRPr="00800E0B" w:rsidRDefault="009B62E6">
      <w:pPr>
        <w:pStyle w:val="Default"/>
        <w:rPr>
          <w:noProof/>
          <w:sz w:val="22"/>
          <w:szCs w:val="22"/>
          <w:lang w:val="el-GR"/>
        </w:rPr>
      </w:pPr>
    </w:p>
    <w:p w:rsidR="009B62E6" w:rsidRPr="00800E0B" w:rsidRDefault="009B62E6">
      <w:pPr>
        <w:widowControl w:val="0"/>
        <w:outlineLvl w:val="1"/>
        <w:rPr>
          <w:b/>
          <w:bCs/>
          <w:noProof/>
          <w:lang w:val="el-GR"/>
        </w:rPr>
      </w:pPr>
      <w:r w:rsidRPr="00800E0B">
        <w:rPr>
          <w:b/>
          <w:bCs/>
          <w:noProof/>
          <w:lang w:val="el-GR"/>
        </w:rPr>
        <w:t>4.4</w:t>
      </w:r>
      <w:r w:rsidRPr="00800E0B">
        <w:rPr>
          <w:b/>
          <w:bCs/>
          <w:i/>
          <w:iCs/>
          <w:noProof/>
          <w:lang w:val="el-GR"/>
        </w:rPr>
        <w:tab/>
      </w:r>
      <w:r w:rsidRPr="00800E0B">
        <w:rPr>
          <w:b/>
          <w:bCs/>
          <w:lang w:val="el-GR"/>
        </w:rPr>
        <w:t>Ειδικές προειδοποιήσεις και προφυλάξεις κατά τη χρήση</w:t>
      </w:r>
    </w:p>
    <w:p w:rsidR="009B62E6" w:rsidRPr="00800E0B" w:rsidRDefault="009B62E6">
      <w:pPr>
        <w:rPr>
          <w:lang w:val="el-GR"/>
        </w:rPr>
      </w:pPr>
    </w:p>
    <w:p w:rsidR="009B62E6" w:rsidRPr="00800E0B" w:rsidRDefault="009B62E6">
      <w:pPr>
        <w:pStyle w:val="Default"/>
        <w:rPr>
          <w:sz w:val="22"/>
          <w:szCs w:val="22"/>
          <w:lang w:val="el-GR"/>
        </w:rPr>
      </w:pPr>
      <w:r w:rsidRPr="00800E0B">
        <w:rPr>
          <w:sz w:val="22"/>
          <w:szCs w:val="22"/>
          <w:lang w:val="el-GR"/>
        </w:rPr>
        <w:t xml:space="preserve">Παρουσία οποιουδήποτε ανησυχητικού συμπτώματος (π.χ. σημαντική, μη σκόπιμη απώλεια βάρους, υποτροπιάζοντες έμετοι, δυσφαγία, αιματέμεση ή μέλαινες κενώσεις) και όταν υπάρχει υποψία ή παρουσία γαστρικού έλκους, θα πρέπει να αποκλειστεί η κακοήθεια, καθώς η θεραπεία με </w:t>
      </w:r>
      <w:proofErr w:type="spellStart"/>
      <w:r w:rsidRPr="00800E0B">
        <w:rPr>
          <w:sz w:val="22"/>
          <w:szCs w:val="22"/>
          <w:lang w:val="el-GR"/>
        </w:rPr>
        <w:t>εσομεπραζόλη</w:t>
      </w:r>
      <w:proofErr w:type="spellEnd"/>
      <w:r w:rsidRPr="00800E0B">
        <w:rPr>
          <w:sz w:val="22"/>
          <w:szCs w:val="22"/>
          <w:lang w:val="el-GR"/>
        </w:rPr>
        <w:t xml:space="preserve"> ενδέχεται να ανακουφίσει τα συμπτώματα και να καθυστερήσει τη διάγνωση.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Οι ασθενείς σε μακροχρόνια θεραπεία (ειδικά εκείνοι οι οποίοι λαμβάνουν θεραπεία για περισσότερο από ένα έτος) θα πρέπει να παραμένουν υπό στενή παρακολούθηση.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Οι ασθενείς σε θεραπεία κατ’ επίκληση θα πρέπει να λάβουν οδηγίες ώστε να έρχονται σε επαφή με τον ιατρό τους εάν αλλάξει ο χαρακτήρας των συμπτωμάτων τους. Κατά τη </w:t>
      </w:r>
      <w:proofErr w:type="spellStart"/>
      <w:r w:rsidRPr="00800E0B">
        <w:rPr>
          <w:sz w:val="22"/>
          <w:szCs w:val="22"/>
          <w:lang w:val="el-GR"/>
        </w:rPr>
        <w:t>συνταγογράφηση</w:t>
      </w:r>
      <w:proofErr w:type="spellEnd"/>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για θεραπεία κατ’ επίκληση, θα πρέπει να εξεταστεί το ενδεχόμενο συμμετοχής της σε αλληλεπιδράσεις με άλλες φαρμακευτικές ουσίες, λόγω των κυμαινόμενων συγκεντρώσεων της </w:t>
      </w:r>
      <w:proofErr w:type="spellStart"/>
      <w:r w:rsidRPr="00800E0B">
        <w:rPr>
          <w:sz w:val="22"/>
          <w:szCs w:val="22"/>
          <w:lang w:val="el-GR"/>
        </w:rPr>
        <w:t>εσομεπραζόλης</w:t>
      </w:r>
      <w:proofErr w:type="spellEnd"/>
      <w:r w:rsidRPr="00800E0B">
        <w:rPr>
          <w:sz w:val="22"/>
          <w:szCs w:val="22"/>
          <w:lang w:val="el-GR"/>
        </w:rPr>
        <w:t xml:space="preserve"> στο πλάσμα. (βλ. παράγραφο 4.5).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Κατά τη </w:t>
      </w:r>
      <w:proofErr w:type="spellStart"/>
      <w:r w:rsidRPr="00800E0B">
        <w:rPr>
          <w:sz w:val="22"/>
          <w:szCs w:val="22"/>
          <w:lang w:val="el-GR"/>
        </w:rPr>
        <w:t>συνταγογράφηση</w:t>
      </w:r>
      <w:proofErr w:type="spellEnd"/>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για την εκρίζωση του </w:t>
      </w:r>
      <w:proofErr w:type="spellStart"/>
      <w:r w:rsidRPr="00800E0B">
        <w:rPr>
          <w:i/>
          <w:iCs/>
          <w:sz w:val="22"/>
          <w:szCs w:val="22"/>
          <w:lang w:val="el-GR"/>
        </w:rPr>
        <w:t>Helicobacter</w:t>
      </w:r>
      <w:proofErr w:type="spellEnd"/>
      <w:r w:rsidRPr="00800E0B">
        <w:rPr>
          <w:i/>
          <w:iCs/>
          <w:sz w:val="22"/>
          <w:szCs w:val="22"/>
          <w:lang w:val="el-GR"/>
        </w:rPr>
        <w:t xml:space="preserve"> </w:t>
      </w:r>
      <w:proofErr w:type="spellStart"/>
      <w:r w:rsidRPr="00800E0B">
        <w:rPr>
          <w:i/>
          <w:iCs/>
          <w:sz w:val="22"/>
          <w:szCs w:val="22"/>
          <w:lang w:val="el-GR"/>
        </w:rPr>
        <w:t>pylori</w:t>
      </w:r>
      <w:proofErr w:type="spellEnd"/>
      <w:r w:rsidRPr="00800E0B">
        <w:rPr>
          <w:sz w:val="22"/>
          <w:szCs w:val="22"/>
          <w:lang w:val="el-GR"/>
        </w:rPr>
        <w:t xml:space="preserve"> θα πρέπει να εξεταστεί το ενδεχόμενο πιθανών φαρμακευτικών αλληλεπιδράσεων για όλα τα επιμέρους στοιχεία της τριπλής αγωγής. Η </w:t>
      </w:r>
      <w:proofErr w:type="spellStart"/>
      <w:r w:rsidRPr="00800E0B">
        <w:rPr>
          <w:sz w:val="22"/>
          <w:szCs w:val="22"/>
          <w:lang w:val="el-GR"/>
        </w:rPr>
        <w:t>κλαριθρομυκίνη</w:t>
      </w:r>
      <w:proofErr w:type="spellEnd"/>
      <w:r w:rsidRPr="00800E0B">
        <w:rPr>
          <w:sz w:val="22"/>
          <w:szCs w:val="22"/>
          <w:lang w:val="el-GR"/>
        </w:rPr>
        <w:t xml:space="preserve"> είναι ένας ισχυρός αναστολέας του κυτοχρώματος CYP3A4 και, επομένως, θα πρέπει να εξετάζονται οι αντενδείξεις και οι αλληλεπιδράσεις για την </w:t>
      </w:r>
      <w:proofErr w:type="spellStart"/>
      <w:r w:rsidRPr="00800E0B">
        <w:rPr>
          <w:sz w:val="22"/>
          <w:szCs w:val="22"/>
          <w:lang w:val="el-GR"/>
        </w:rPr>
        <w:t>κλαριθρομυκίνη</w:t>
      </w:r>
      <w:proofErr w:type="spellEnd"/>
      <w:r w:rsidRPr="00800E0B">
        <w:rPr>
          <w:sz w:val="22"/>
          <w:szCs w:val="22"/>
          <w:lang w:val="el-GR"/>
        </w:rPr>
        <w:t xml:space="preserve"> όταν χρησιμοποιείται η τριπλή αγωγή σε ασθενείς που λαμβάνουν ταυτόχρονα άλλα φάρμακα που μεταβολίζονται μέσω του κυτοχρώματος CYP3A4, όπως η </w:t>
      </w:r>
      <w:proofErr w:type="spellStart"/>
      <w:r w:rsidRPr="00800E0B">
        <w:rPr>
          <w:sz w:val="22"/>
          <w:szCs w:val="22"/>
          <w:lang w:val="el-GR"/>
        </w:rPr>
        <w:t>σισαπρίδη</w:t>
      </w:r>
      <w:proofErr w:type="spellEnd"/>
      <w:r w:rsidRPr="00800E0B">
        <w:rPr>
          <w:sz w:val="22"/>
          <w:szCs w:val="22"/>
          <w:lang w:val="el-GR"/>
        </w:rPr>
        <w:t xml:space="preserve">.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Αυτό το φαρμακευτικό προϊόν περιέχει σακχαρόζη. Οι ασθενείς με σπάνια κληρονομικά προβλήματα δυσανεξίας στη φρουκτόζη, </w:t>
      </w:r>
      <w:proofErr w:type="spellStart"/>
      <w:r w:rsidRPr="00800E0B">
        <w:rPr>
          <w:sz w:val="22"/>
          <w:szCs w:val="22"/>
          <w:lang w:val="el-GR"/>
        </w:rPr>
        <w:t>δυσαπορρόφησης</w:t>
      </w:r>
      <w:proofErr w:type="spellEnd"/>
      <w:r w:rsidRPr="00800E0B">
        <w:rPr>
          <w:sz w:val="22"/>
          <w:szCs w:val="22"/>
          <w:lang w:val="el-GR"/>
        </w:rPr>
        <w:t xml:space="preserve"> γλυκόζης-γαλακτόζης ή ανεπάρκειας </w:t>
      </w:r>
      <w:proofErr w:type="spellStart"/>
      <w:r w:rsidRPr="00800E0B">
        <w:rPr>
          <w:sz w:val="22"/>
          <w:szCs w:val="22"/>
          <w:lang w:val="el-GR"/>
        </w:rPr>
        <w:t>σακχαράσης</w:t>
      </w:r>
      <w:proofErr w:type="spellEnd"/>
      <w:r w:rsidRPr="00800E0B">
        <w:rPr>
          <w:sz w:val="22"/>
          <w:szCs w:val="22"/>
          <w:lang w:val="el-GR"/>
        </w:rPr>
        <w:t>-</w:t>
      </w:r>
      <w:proofErr w:type="spellStart"/>
      <w:r w:rsidRPr="00800E0B">
        <w:rPr>
          <w:sz w:val="22"/>
          <w:szCs w:val="22"/>
          <w:lang w:val="el-GR"/>
        </w:rPr>
        <w:t>ισομαλτάσης</w:t>
      </w:r>
      <w:proofErr w:type="spellEnd"/>
      <w:r w:rsidRPr="00800E0B">
        <w:rPr>
          <w:sz w:val="22"/>
          <w:szCs w:val="22"/>
          <w:lang w:val="el-GR"/>
        </w:rPr>
        <w:t xml:space="preserve"> δεν θα πρέπει να λαμβάνουν αυτό το φάρμακο.</w:t>
      </w:r>
    </w:p>
    <w:p w:rsidR="009B62E6" w:rsidRPr="00800E0B" w:rsidRDefault="009B62E6">
      <w:pPr>
        <w:jc w:val="both"/>
        <w:rPr>
          <w:lang w:val="el-GR"/>
        </w:rPr>
      </w:pPr>
      <w:r w:rsidRPr="00800E0B">
        <w:rPr>
          <w:lang w:val="el-GR"/>
        </w:rPr>
        <w:t xml:space="preserve">Αυτό το προϊόν περιέχει </w:t>
      </w:r>
      <w:proofErr w:type="spellStart"/>
      <w:r w:rsidRPr="00800E0B">
        <w:rPr>
          <w:lang w:val="el-GR"/>
        </w:rPr>
        <w:t>παραϋδροξυβενζοϊκά</w:t>
      </w:r>
      <w:proofErr w:type="spellEnd"/>
      <w:r w:rsidRPr="00800E0B">
        <w:rPr>
          <w:lang w:val="el-GR"/>
        </w:rPr>
        <w:t>, τα οποία ενδέχεται να προκαλέσουν αλλεργικές αντιδράσεις (πιθανώς καθυστερημένες).</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Η θεραπεία με αναστολείς της αντλίας πρωτονίων ενδέχεται να οδηγήσει σε ελαφρώς αυξημένο κίνδυνο γαστρεντερικών λοιμώξεων όπως από σαλμονέλα και </w:t>
      </w:r>
      <w:proofErr w:type="spellStart"/>
      <w:r w:rsidRPr="00800E0B">
        <w:rPr>
          <w:sz w:val="22"/>
          <w:szCs w:val="22"/>
          <w:lang w:val="el-GR"/>
        </w:rPr>
        <w:t>καμπυλοβακτηρίδιο</w:t>
      </w:r>
      <w:proofErr w:type="spellEnd"/>
      <w:r w:rsidRPr="00800E0B">
        <w:rPr>
          <w:sz w:val="22"/>
          <w:szCs w:val="22"/>
          <w:lang w:val="el-GR"/>
        </w:rPr>
        <w:t xml:space="preserve"> (βλ. παράγραφο 5.1). </w:t>
      </w:r>
    </w:p>
    <w:p w:rsidR="009B62E6" w:rsidRPr="00800E0B" w:rsidRDefault="009B62E6">
      <w:pPr>
        <w:tabs>
          <w:tab w:val="clear" w:pos="567"/>
        </w:tabs>
        <w:spacing w:line="240" w:lineRule="auto"/>
        <w:rPr>
          <w:noProof/>
          <w:lang w:val="el-GR"/>
        </w:rPr>
      </w:pPr>
    </w:p>
    <w:p w:rsidR="009B62E6" w:rsidRPr="00800E0B" w:rsidRDefault="009B62E6">
      <w:pPr>
        <w:autoSpaceDE w:val="0"/>
        <w:autoSpaceDN w:val="0"/>
        <w:adjustRightInd w:val="0"/>
        <w:rPr>
          <w:color w:val="000000"/>
          <w:lang w:val="el-GR"/>
        </w:rPr>
      </w:pPr>
      <w:r w:rsidRPr="00800E0B">
        <w:rPr>
          <w:color w:val="000000"/>
          <w:lang w:val="el-GR"/>
        </w:rPr>
        <w:t xml:space="preserve">Η </w:t>
      </w:r>
      <w:proofErr w:type="spellStart"/>
      <w:r w:rsidRPr="00800E0B">
        <w:rPr>
          <w:color w:val="000000"/>
          <w:lang w:val="el-GR"/>
        </w:rPr>
        <w:t>συγχορήγηση</w:t>
      </w:r>
      <w:proofErr w:type="spellEnd"/>
      <w:r w:rsidRPr="00800E0B">
        <w:rPr>
          <w:color w:val="000000"/>
          <w:lang w:val="el-GR"/>
        </w:rPr>
        <w:t xml:space="preserve"> </w:t>
      </w:r>
      <w:proofErr w:type="spellStart"/>
      <w:r w:rsidRPr="00800E0B">
        <w:rPr>
          <w:color w:val="000000"/>
          <w:lang w:val="el-GR"/>
        </w:rPr>
        <w:t>εσομεπραζόλης</w:t>
      </w:r>
      <w:proofErr w:type="spellEnd"/>
      <w:r w:rsidRPr="00800E0B">
        <w:rPr>
          <w:color w:val="000000"/>
          <w:lang w:val="el-GR"/>
        </w:rPr>
        <w:t xml:space="preserve"> με </w:t>
      </w:r>
      <w:proofErr w:type="spellStart"/>
      <w:r w:rsidRPr="00800E0B">
        <w:rPr>
          <w:color w:val="000000"/>
          <w:lang w:val="el-GR"/>
        </w:rPr>
        <w:t>αταζαναβίρη</w:t>
      </w:r>
      <w:proofErr w:type="spellEnd"/>
      <w:r w:rsidRPr="00800E0B">
        <w:rPr>
          <w:color w:val="000000"/>
          <w:lang w:val="el-GR"/>
        </w:rPr>
        <w:t xml:space="preserve"> δεν συνιστάται (βλ. παράγραφο 4.5). Εάν κριθεί αναπόφευκτος ο συνδυασμός </w:t>
      </w:r>
      <w:proofErr w:type="spellStart"/>
      <w:r w:rsidRPr="00800E0B">
        <w:rPr>
          <w:color w:val="000000"/>
          <w:lang w:val="el-GR"/>
        </w:rPr>
        <w:t>αταζαναβίρης</w:t>
      </w:r>
      <w:proofErr w:type="spellEnd"/>
      <w:r w:rsidRPr="00800E0B">
        <w:rPr>
          <w:color w:val="000000"/>
          <w:lang w:val="el-GR"/>
        </w:rPr>
        <w:t xml:space="preserve"> με αναστολέα αντλίας πρωτονίων, συνιστάται στενή κλινική παρακολούθηση σε συνδυασμό με αύξηση της δόσης της </w:t>
      </w:r>
      <w:proofErr w:type="spellStart"/>
      <w:r w:rsidRPr="00800E0B">
        <w:rPr>
          <w:color w:val="000000"/>
          <w:lang w:val="el-GR"/>
        </w:rPr>
        <w:t>αταζαναβίρης</w:t>
      </w:r>
      <w:proofErr w:type="spellEnd"/>
      <w:r w:rsidRPr="00800E0B">
        <w:rPr>
          <w:color w:val="000000"/>
          <w:lang w:val="el-GR"/>
        </w:rPr>
        <w:t xml:space="preserve"> σε 400 </w:t>
      </w:r>
      <w:proofErr w:type="spellStart"/>
      <w:r w:rsidRPr="00800E0B">
        <w:rPr>
          <w:color w:val="000000"/>
          <w:lang w:val="el-GR"/>
        </w:rPr>
        <w:t>mg</w:t>
      </w:r>
      <w:proofErr w:type="spellEnd"/>
      <w:r w:rsidRPr="00800E0B">
        <w:rPr>
          <w:color w:val="000000"/>
          <w:lang w:val="el-GR"/>
        </w:rPr>
        <w:t xml:space="preserve"> με 100 </w:t>
      </w:r>
      <w:proofErr w:type="spellStart"/>
      <w:r w:rsidRPr="00800E0B">
        <w:rPr>
          <w:color w:val="000000"/>
          <w:lang w:val="el-GR"/>
        </w:rPr>
        <w:t>mg</w:t>
      </w:r>
      <w:proofErr w:type="spellEnd"/>
      <w:r w:rsidRPr="00800E0B">
        <w:rPr>
          <w:color w:val="000000"/>
          <w:lang w:val="el-GR"/>
        </w:rPr>
        <w:t xml:space="preserve"> </w:t>
      </w:r>
      <w:proofErr w:type="spellStart"/>
      <w:r w:rsidRPr="00800E0B">
        <w:rPr>
          <w:color w:val="000000"/>
          <w:lang w:val="el-GR"/>
        </w:rPr>
        <w:t>ριτοναβίρης</w:t>
      </w:r>
      <w:proofErr w:type="spellEnd"/>
      <w:r w:rsidRPr="00800E0B">
        <w:rPr>
          <w:color w:val="000000"/>
          <w:lang w:val="el-GR"/>
        </w:rPr>
        <w:t xml:space="preserve">. Η δόση της </w:t>
      </w:r>
      <w:proofErr w:type="spellStart"/>
      <w:r w:rsidRPr="00800E0B">
        <w:rPr>
          <w:color w:val="000000"/>
          <w:lang w:val="el-GR"/>
        </w:rPr>
        <w:t>εσομεπραζόλης</w:t>
      </w:r>
      <w:proofErr w:type="spellEnd"/>
      <w:r w:rsidRPr="00800E0B">
        <w:rPr>
          <w:color w:val="000000"/>
          <w:lang w:val="el-GR"/>
        </w:rPr>
        <w:t xml:space="preserve"> δεν θα πρέπει να υπερβαίνει τα 20 </w:t>
      </w:r>
      <w:proofErr w:type="spellStart"/>
      <w:r w:rsidRPr="00800E0B">
        <w:rPr>
          <w:color w:val="000000"/>
          <w:lang w:val="el-GR"/>
        </w:rPr>
        <w:t>mg</w:t>
      </w:r>
      <w:proofErr w:type="spellEnd"/>
      <w:r w:rsidRPr="00800E0B">
        <w:rPr>
          <w:color w:val="000000"/>
          <w:lang w:val="el-GR"/>
        </w:rPr>
        <w:t xml:space="preserve">. </w:t>
      </w:r>
    </w:p>
    <w:p w:rsidR="009B62E6" w:rsidRPr="00800E0B" w:rsidRDefault="009B62E6">
      <w:pPr>
        <w:autoSpaceDE w:val="0"/>
        <w:autoSpaceDN w:val="0"/>
        <w:adjustRightInd w:val="0"/>
        <w:rPr>
          <w:color w:val="000000"/>
          <w:lang w:val="el-GR"/>
        </w:rPr>
      </w:pPr>
    </w:p>
    <w:p w:rsidR="009B62E6" w:rsidRPr="00800E0B" w:rsidRDefault="009B62E6">
      <w:pPr>
        <w:autoSpaceDE w:val="0"/>
        <w:autoSpaceDN w:val="0"/>
        <w:adjustRightInd w:val="0"/>
        <w:rPr>
          <w:color w:val="000000"/>
          <w:lang w:val="el-GR"/>
        </w:rPr>
      </w:pPr>
      <w:r w:rsidRPr="00800E0B">
        <w:rPr>
          <w:color w:val="000000"/>
          <w:lang w:val="el-GR"/>
        </w:rPr>
        <w:t xml:space="preserve">Η </w:t>
      </w:r>
      <w:proofErr w:type="spellStart"/>
      <w:r w:rsidRPr="00800E0B">
        <w:rPr>
          <w:color w:val="000000"/>
          <w:lang w:val="el-GR"/>
        </w:rPr>
        <w:t>εσομεπραζόλη</w:t>
      </w:r>
      <w:proofErr w:type="spellEnd"/>
      <w:r w:rsidRPr="00800E0B">
        <w:rPr>
          <w:color w:val="000000"/>
          <w:lang w:val="el-GR"/>
        </w:rPr>
        <w:t xml:space="preserve"> είναι ένας αναστολέας του </w:t>
      </w:r>
      <w:r w:rsidRPr="00800E0B">
        <w:rPr>
          <w:color w:val="000000"/>
          <w:lang w:val="en-US"/>
        </w:rPr>
        <w:t>CYP</w:t>
      </w:r>
      <w:r w:rsidRPr="00800E0B">
        <w:rPr>
          <w:color w:val="000000"/>
          <w:lang w:val="el-GR"/>
        </w:rPr>
        <w:t>2</w:t>
      </w:r>
      <w:r w:rsidRPr="00800E0B">
        <w:rPr>
          <w:color w:val="000000"/>
          <w:lang w:val="en-US"/>
        </w:rPr>
        <w:t>C</w:t>
      </w:r>
      <w:r w:rsidRPr="00800E0B">
        <w:rPr>
          <w:color w:val="000000"/>
          <w:lang w:val="el-GR"/>
        </w:rPr>
        <w:t xml:space="preserve">19. Κατά την έναρξη ή τη λήξη της αγωγής με </w:t>
      </w:r>
      <w:proofErr w:type="spellStart"/>
      <w:r w:rsidRPr="00800E0B">
        <w:rPr>
          <w:color w:val="000000"/>
          <w:lang w:val="el-GR"/>
        </w:rPr>
        <w:t>εσομεπραζόλη</w:t>
      </w:r>
      <w:proofErr w:type="spellEnd"/>
      <w:r w:rsidRPr="00800E0B">
        <w:rPr>
          <w:color w:val="000000"/>
          <w:lang w:val="el-GR"/>
        </w:rPr>
        <w:t xml:space="preserve">, θα πρέπει να εξετάζεται η πιθανότητα αλληλεπιδράσεων με φάρμακα που μεταβολίζονται μέσω του </w:t>
      </w:r>
      <w:r w:rsidRPr="00800E0B">
        <w:rPr>
          <w:color w:val="000000"/>
          <w:lang w:val="en-US"/>
        </w:rPr>
        <w:t>CYP</w:t>
      </w:r>
      <w:r w:rsidRPr="00800E0B">
        <w:rPr>
          <w:color w:val="000000"/>
          <w:lang w:val="el-GR"/>
        </w:rPr>
        <w:t>2</w:t>
      </w:r>
      <w:r w:rsidRPr="00800E0B">
        <w:rPr>
          <w:color w:val="000000"/>
          <w:lang w:val="en-US"/>
        </w:rPr>
        <w:t>C</w:t>
      </w:r>
      <w:r w:rsidRPr="00800E0B">
        <w:rPr>
          <w:color w:val="000000"/>
          <w:lang w:val="el-GR"/>
        </w:rPr>
        <w:t xml:space="preserve">19. Μια αλληλεπίδραση παρατηρείται μεταξύ της </w:t>
      </w:r>
      <w:proofErr w:type="spellStart"/>
      <w:r w:rsidRPr="00800E0B">
        <w:rPr>
          <w:color w:val="000000"/>
          <w:lang w:val="el-GR"/>
        </w:rPr>
        <w:t>κλοπιδογρέλης</w:t>
      </w:r>
      <w:proofErr w:type="spellEnd"/>
      <w:r w:rsidRPr="00800E0B">
        <w:rPr>
          <w:color w:val="000000"/>
          <w:lang w:val="el-GR"/>
        </w:rPr>
        <w:t xml:space="preserve"> και της </w:t>
      </w:r>
      <w:proofErr w:type="spellStart"/>
      <w:r w:rsidRPr="00800E0B">
        <w:rPr>
          <w:color w:val="000000"/>
          <w:lang w:val="el-GR"/>
        </w:rPr>
        <w:t>ομεπραζόλης</w:t>
      </w:r>
      <w:proofErr w:type="spellEnd"/>
      <w:r w:rsidRPr="00800E0B">
        <w:rPr>
          <w:color w:val="000000"/>
          <w:lang w:val="el-GR"/>
        </w:rPr>
        <w:t xml:space="preserve"> (βλ. παράγραφο 4.5). Η κλινική συσχέτιση της αλληλεπίδρασης αυτής είναι ανεξακρίβωτη. Ως προφύλαξη, η ταυτόχρονη χρήση </w:t>
      </w:r>
      <w:proofErr w:type="spellStart"/>
      <w:r w:rsidRPr="00800E0B">
        <w:rPr>
          <w:color w:val="000000"/>
          <w:lang w:val="el-GR"/>
        </w:rPr>
        <w:t>εσομεπραζόλης</w:t>
      </w:r>
      <w:proofErr w:type="spellEnd"/>
      <w:r w:rsidRPr="00800E0B">
        <w:rPr>
          <w:color w:val="000000"/>
          <w:lang w:val="el-GR"/>
        </w:rPr>
        <w:t xml:space="preserve"> και </w:t>
      </w:r>
      <w:proofErr w:type="spellStart"/>
      <w:r w:rsidRPr="00800E0B">
        <w:rPr>
          <w:color w:val="000000"/>
          <w:lang w:val="el-GR"/>
        </w:rPr>
        <w:t>κλοπιδογρέλης</w:t>
      </w:r>
      <w:proofErr w:type="spellEnd"/>
      <w:r w:rsidRPr="00800E0B">
        <w:rPr>
          <w:color w:val="000000"/>
          <w:lang w:val="el-GR"/>
        </w:rPr>
        <w:t xml:space="preserve"> θα πρέπει να αποθαρρύνεται.</w:t>
      </w:r>
    </w:p>
    <w:p w:rsidR="009B62E6" w:rsidRPr="004D5650" w:rsidRDefault="009B62E6">
      <w:pPr>
        <w:autoSpaceDE w:val="0"/>
        <w:autoSpaceDN w:val="0"/>
        <w:adjustRightInd w:val="0"/>
        <w:rPr>
          <w:i/>
          <w:lang w:val="el-GR"/>
        </w:rPr>
      </w:pPr>
    </w:p>
    <w:p w:rsidR="009B62E6" w:rsidRPr="00800E0B" w:rsidRDefault="009B62E6">
      <w:pPr>
        <w:autoSpaceDE w:val="0"/>
        <w:autoSpaceDN w:val="0"/>
        <w:adjustRightInd w:val="0"/>
        <w:rPr>
          <w:i/>
          <w:lang w:val="el-GR"/>
        </w:rPr>
      </w:pPr>
      <w:r w:rsidRPr="00800E0B">
        <w:rPr>
          <w:i/>
          <w:lang w:val="el-GR"/>
        </w:rPr>
        <w:t>Επίδραση σε εργαστηριακές εξετάσεις</w:t>
      </w:r>
    </w:p>
    <w:p w:rsidR="009B62E6" w:rsidRPr="00800E0B" w:rsidRDefault="009B62E6">
      <w:pPr>
        <w:autoSpaceDE w:val="0"/>
        <w:autoSpaceDN w:val="0"/>
        <w:adjustRightInd w:val="0"/>
        <w:rPr>
          <w:lang w:val="el-GR"/>
        </w:rPr>
      </w:pPr>
      <w:r w:rsidRPr="00800E0B">
        <w:rPr>
          <w:lang w:val="el-GR"/>
        </w:rPr>
        <w:t xml:space="preserve">Αυξημένα επίπεδα </w:t>
      </w:r>
      <w:proofErr w:type="spellStart"/>
      <w:r w:rsidRPr="00800E0B">
        <w:rPr>
          <w:lang w:val="en-US"/>
        </w:rPr>
        <w:t>CgA</w:t>
      </w:r>
      <w:proofErr w:type="spellEnd"/>
      <w:r w:rsidRPr="00800E0B">
        <w:rPr>
          <w:lang w:val="el-GR"/>
        </w:rPr>
        <w:t xml:space="preserve"> ενδέχεται να παρατηρηθούν σε κλινικές εξετάσεις για </w:t>
      </w:r>
      <w:proofErr w:type="spellStart"/>
      <w:r w:rsidRPr="00800E0B">
        <w:rPr>
          <w:lang w:val="el-GR"/>
        </w:rPr>
        <w:t>νευρο</w:t>
      </w:r>
      <w:proofErr w:type="spellEnd"/>
      <w:r w:rsidRPr="00800E0B">
        <w:rPr>
          <w:lang w:val="el-GR"/>
        </w:rPr>
        <w:t xml:space="preserve">-ενδοκρινείς όγκους. Για να αποφευχθεί η επίδραση αυτή, η αγωγή </w:t>
      </w:r>
      <w:proofErr w:type="spellStart"/>
      <w:r w:rsidRPr="00800E0B">
        <w:rPr>
          <w:lang w:val="el-GR"/>
        </w:rPr>
        <w:t>εσομεπραζόλης</w:t>
      </w:r>
      <w:proofErr w:type="spellEnd"/>
      <w:r w:rsidRPr="00800E0B">
        <w:rPr>
          <w:lang w:val="el-GR"/>
        </w:rPr>
        <w:t xml:space="preserve"> θα πρέπει προσωρινά να διακοπεί για τουλάχιστον πέντε ημέρες πριν τις μετρήσεις του </w:t>
      </w:r>
      <w:proofErr w:type="spellStart"/>
      <w:r w:rsidRPr="00800E0B">
        <w:rPr>
          <w:lang w:val="en-US"/>
        </w:rPr>
        <w:t>CgA</w:t>
      </w:r>
      <w:proofErr w:type="spellEnd"/>
      <w:r w:rsidRPr="00800E0B">
        <w:rPr>
          <w:lang w:val="el-GR"/>
        </w:rPr>
        <w:t>.</w:t>
      </w:r>
    </w:p>
    <w:p w:rsidR="009B62E6" w:rsidRPr="00800E0B" w:rsidRDefault="009B62E6">
      <w:pPr>
        <w:autoSpaceDE w:val="0"/>
        <w:autoSpaceDN w:val="0"/>
        <w:adjustRightInd w:val="0"/>
        <w:rPr>
          <w:lang w:val="el-GR"/>
        </w:rPr>
      </w:pPr>
    </w:p>
    <w:p w:rsidR="009B62E6" w:rsidRPr="00800E0B" w:rsidRDefault="009B62E6">
      <w:pPr>
        <w:autoSpaceDE w:val="0"/>
        <w:autoSpaceDN w:val="0"/>
        <w:adjustRightInd w:val="0"/>
        <w:rPr>
          <w:lang w:val="el-GR"/>
        </w:rPr>
      </w:pPr>
      <w:r w:rsidRPr="00800E0B">
        <w:rPr>
          <w:lang w:val="el-GR"/>
        </w:rPr>
        <w:t xml:space="preserve">Η </w:t>
      </w:r>
      <w:proofErr w:type="spellStart"/>
      <w:r w:rsidRPr="00800E0B">
        <w:rPr>
          <w:lang w:val="el-GR"/>
        </w:rPr>
        <w:t>εσομεπραζόλη</w:t>
      </w:r>
      <w:proofErr w:type="spellEnd"/>
      <w:r w:rsidRPr="00800E0B">
        <w:rPr>
          <w:lang w:val="el-GR"/>
        </w:rPr>
        <w:t>, όπως όλα τα φάρμακα που αποκλείουν τα οξέα, πιθανώς να μειώσει την απορρόφηση της βιταμίνης Β12 (</w:t>
      </w:r>
      <w:proofErr w:type="spellStart"/>
      <w:r w:rsidRPr="00800E0B">
        <w:rPr>
          <w:lang w:val="el-GR"/>
        </w:rPr>
        <w:t>κυανοκοβαλαμίνη</w:t>
      </w:r>
      <w:proofErr w:type="spellEnd"/>
      <w:r w:rsidRPr="00800E0B">
        <w:rPr>
          <w:lang w:val="el-GR"/>
        </w:rPr>
        <w:t xml:space="preserve">) λόγω </w:t>
      </w:r>
      <w:proofErr w:type="spellStart"/>
      <w:r w:rsidRPr="00800E0B">
        <w:rPr>
          <w:lang w:val="el-GR"/>
        </w:rPr>
        <w:t>ύπο</w:t>
      </w:r>
      <w:proofErr w:type="spellEnd"/>
      <w:r w:rsidRPr="00800E0B">
        <w:rPr>
          <w:lang w:val="el-GR"/>
        </w:rPr>
        <w:t xml:space="preserve">- ή </w:t>
      </w:r>
      <w:proofErr w:type="spellStart"/>
      <w:r w:rsidRPr="00800E0B">
        <w:rPr>
          <w:lang w:val="el-GR"/>
        </w:rPr>
        <w:t>αχλωρυδρίας</w:t>
      </w:r>
      <w:proofErr w:type="spellEnd"/>
      <w:r w:rsidRPr="00800E0B">
        <w:rPr>
          <w:lang w:val="el-GR"/>
        </w:rPr>
        <w:t>. Αυτό πρέπει να λαμβάνεται υπόψη σε ασθενείς με μειωμένες σωματικές αποθήκες ή με παράγοντες κινδύνου για μειωμένη απορρόφηση βιταμίνης Β12 σε μακροχρόνια θεραπεία.</w:t>
      </w:r>
    </w:p>
    <w:p w:rsidR="009B62E6" w:rsidRPr="00800E0B" w:rsidRDefault="009B62E6">
      <w:pPr>
        <w:tabs>
          <w:tab w:val="clear" w:pos="567"/>
        </w:tabs>
        <w:spacing w:line="240" w:lineRule="auto"/>
        <w:rPr>
          <w:noProof/>
          <w:lang w:val="el-GR"/>
        </w:rPr>
      </w:pPr>
    </w:p>
    <w:p w:rsidR="009B62E6" w:rsidRPr="00800E0B" w:rsidRDefault="009B62E6">
      <w:pPr>
        <w:widowControl w:val="0"/>
        <w:outlineLvl w:val="1"/>
        <w:rPr>
          <w:b/>
          <w:bCs/>
          <w:noProof/>
          <w:lang w:val="el-GR"/>
        </w:rPr>
      </w:pPr>
      <w:r w:rsidRPr="00800E0B">
        <w:rPr>
          <w:b/>
          <w:bCs/>
          <w:lang w:val="el-GR"/>
        </w:rPr>
        <w:t>4.5      Αλληλεπιδράσεις με άλλα φαρμακευτικά προϊόντα και άλλες μορφές αλληλεπίδρασης</w:t>
      </w:r>
    </w:p>
    <w:p w:rsidR="009B62E6" w:rsidRPr="00800E0B" w:rsidRDefault="009B62E6">
      <w:pPr>
        <w:tabs>
          <w:tab w:val="clear" w:pos="567"/>
        </w:tabs>
        <w:spacing w:line="240" w:lineRule="auto"/>
        <w:rPr>
          <w:noProof/>
          <w:lang w:val="el-GR"/>
        </w:rPr>
      </w:pPr>
    </w:p>
    <w:p w:rsidR="009B62E6" w:rsidRPr="00800E0B" w:rsidRDefault="009B62E6">
      <w:pPr>
        <w:pStyle w:val="Default"/>
        <w:rPr>
          <w:sz w:val="22"/>
          <w:szCs w:val="22"/>
          <w:u w:val="single"/>
          <w:lang w:val="el-GR"/>
        </w:rPr>
      </w:pPr>
      <w:r w:rsidRPr="00800E0B">
        <w:rPr>
          <w:sz w:val="22"/>
          <w:szCs w:val="22"/>
          <w:u w:val="single"/>
          <w:lang w:val="el-GR"/>
        </w:rPr>
        <w:t xml:space="preserve">Επιδράσεις της </w:t>
      </w:r>
      <w:proofErr w:type="spellStart"/>
      <w:r w:rsidRPr="00800E0B">
        <w:rPr>
          <w:sz w:val="22"/>
          <w:szCs w:val="22"/>
          <w:u w:val="single"/>
          <w:lang w:val="el-GR"/>
        </w:rPr>
        <w:t>εσομεπραζόλης</w:t>
      </w:r>
      <w:proofErr w:type="spellEnd"/>
      <w:r w:rsidRPr="00800E0B">
        <w:rPr>
          <w:sz w:val="22"/>
          <w:szCs w:val="22"/>
          <w:u w:val="single"/>
          <w:lang w:val="el-GR"/>
        </w:rPr>
        <w:t xml:space="preserve"> στη </w:t>
      </w:r>
      <w:proofErr w:type="spellStart"/>
      <w:r w:rsidRPr="00800E0B">
        <w:rPr>
          <w:sz w:val="22"/>
          <w:szCs w:val="22"/>
          <w:u w:val="single"/>
          <w:lang w:val="el-GR"/>
        </w:rPr>
        <w:t>φαρμακοκινητική</w:t>
      </w:r>
      <w:proofErr w:type="spellEnd"/>
      <w:r w:rsidRPr="00800E0B">
        <w:rPr>
          <w:sz w:val="22"/>
          <w:szCs w:val="22"/>
          <w:u w:val="single"/>
          <w:lang w:val="el-GR"/>
        </w:rPr>
        <w:t xml:space="preserve"> άλλων φαρμάκων</w:t>
      </w:r>
    </w:p>
    <w:p w:rsidR="009B62E6" w:rsidRPr="00800E0B" w:rsidRDefault="009B62E6">
      <w:pPr>
        <w:pStyle w:val="Default"/>
        <w:rPr>
          <w:i/>
          <w:iCs/>
          <w:sz w:val="22"/>
          <w:szCs w:val="22"/>
          <w:lang w:val="el-GR"/>
        </w:rPr>
      </w:pPr>
    </w:p>
    <w:p w:rsidR="009B62E6" w:rsidRPr="00800E0B" w:rsidRDefault="009B62E6">
      <w:pPr>
        <w:pStyle w:val="Default"/>
        <w:rPr>
          <w:i/>
          <w:iCs/>
          <w:sz w:val="22"/>
          <w:szCs w:val="22"/>
          <w:lang w:val="el-GR"/>
        </w:rPr>
      </w:pPr>
      <w:r w:rsidRPr="00800E0B">
        <w:rPr>
          <w:i/>
          <w:iCs/>
          <w:sz w:val="22"/>
          <w:szCs w:val="22"/>
          <w:lang w:val="el-GR"/>
        </w:rPr>
        <w:t xml:space="preserve">Φαρμακευτικά προϊόντα με απορρόφηση που εξαρτάται από το </w:t>
      </w:r>
      <w:proofErr w:type="spellStart"/>
      <w:r w:rsidRPr="00800E0B">
        <w:rPr>
          <w:i/>
          <w:iCs/>
          <w:sz w:val="22"/>
          <w:szCs w:val="22"/>
          <w:lang w:val="el-GR"/>
        </w:rPr>
        <w:t>pH</w:t>
      </w:r>
      <w:proofErr w:type="spellEnd"/>
    </w:p>
    <w:p w:rsidR="009B62E6" w:rsidRPr="00800E0B" w:rsidRDefault="009B62E6">
      <w:pPr>
        <w:pStyle w:val="Default"/>
        <w:rPr>
          <w:sz w:val="22"/>
          <w:szCs w:val="22"/>
          <w:lang w:val="el-GR"/>
        </w:rPr>
      </w:pPr>
      <w:r w:rsidRPr="00800E0B">
        <w:rPr>
          <w:sz w:val="22"/>
          <w:szCs w:val="22"/>
          <w:lang w:val="el-GR"/>
        </w:rPr>
        <w:t xml:space="preserve">Η μειωμένη </w:t>
      </w:r>
      <w:proofErr w:type="spellStart"/>
      <w:r w:rsidRPr="00800E0B">
        <w:rPr>
          <w:sz w:val="22"/>
          <w:szCs w:val="22"/>
          <w:lang w:val="el-GR"/>
        </w:rPr>
        <w:t>ενδογαστρική</w:t>
      </w:r>
      <w:proofErr w:type="spellEnd"/>
      <w:r w:rsidRPr="00800E0B">
        <w:rPr>
          <w:sz w:val="22"/>
          <w:szCs w:val="22"/>
          <w:lang w:val="el-GR"/>
        </w:rPr>
        <w:t xml:space="preserve"> οξύτητα κατά τη διάρκεια της θεραπείας με </w:t>
      </w:r>
      <w:proofErr w:type="spellStart"/>
      <w:r w:rsidRPr="00800E0B">
        <w:rPr>
          <w:sz w:val="22"/>
          <w:szCs w:val="22"/>
          <w:lang w:val="el-GR"/>
        </w:rPr>
        <w:t>εσομεπραζόλη</w:t>
      </w:r>
      <w:proofErr w:type="spellEnd"/>
      <w:r w:rsidRPr="00800E0B">
        <w:rPr>
          <w:sz w:val="22"/>
          <w:szCs w:val="22"/>
          <w:lang w:val="el-GR"/>
        </w:rPr>
        <w:t xml:space="preserve"> ενδέχεται να αυξήσει ή να μειώσει την απορρόφηση φαρμάκων εάν επηρεαστεί ο μηχανισμός απορρόφησης από τη γαστρική οξύτητα. Όπως και με τη χρήση άλλων αναστολέων της έκκρισης οξέος ή </w:t>
      </w:r>
      <w:proofErr w:type="spellStart"/>
      <w:r w:rsidRPr="00800E0B">
        <w:rPr>
          <w:sz w:val="22"/>
          <w:szCs w:val="22"/>
          <w:lang w:val="el-GR"/>
        </w:rPr>
        <w:t>αντιόξινων</w:t>
      </w:r>
      <w:proofErr w:type="spellEnd"/>
      <w:r w:rsidRPr="00800E0B">
        <w:rPr>
          <w:sz w:val="22"/>
          <w:szCs w:val="22"/>
          <w:lang w:val="el-GR"/>
        </w:rPr>
        <w:t xml:space="preserve">, η απορρόφηση </w:t>
      </w:r>
      <w:proofErr w:type="spellStart"/>
      <w:r w:rsidRPr="00800E0B">
        <w:rPr>
          <w:sz w:val="22"/>
          <w:szCs w:val="22"/>
          <w:lang w:val="el-GR"/>
        </w:rPr>
        <w:t>κετοκοναζόλης</w:t>
      </w:r>
      <w:proofErr w:type="spellEnd"/>
      <w:r w:rsidRPr="00800E0B">
        <w:rPr>
          <w:sz w:val="22"/>
          <w:szCs w:val="22"/>
          <w:lang w:val="el-GR"/>
        </w:rPr>
        <w:t xml:space="preserve"> και </w:t>
      </w:r>
      <w:proofErr w:type="spellStart"/>
      <w:r w:rsidRPr="00800E0B">
        <w:rPr>
          <w:sz w:val="22"/>
          <w:szCs w:val="22"/>
          <w:lang w:val="el-GR"/>
        </w:rPr>
        <w:t>ιτρακοναζόλης</w:t>
      </w:r>
      <w:proofErr w:type="spellEnd"/>
      <w:r w:rsidRPr="00800E0B">
        <w:rPr>
          <w:sz w:val="22"/>
          <w:szCs w:val="22"/>
          <w:lang w:val="el-GR"/>
        </w:rPr>
        <w:t xml:space="preserve"> μπορεί να μειωθεί </w:t>
      </w:r>
      <w:r w:rsidRPr="00DF12EF">
        <w:rPr>
          <w:color w:val="auto"/>
          <w:sz w:val="22"/>
          <w:szCs w:val="22"/>
          <w:lang w:val="el-GR"/>
        </w:rPr>
        <w:t xml:space="preserve">και η απορρόφηση της </w:t>
      </w:r>
      <w:proofErr w:type="spellStart"/>
      <w:r w:rsidRPr="00DF12EF">
        <w:rPr>
          <w:color w:val="auto"/>
          <w:sz w:val="22"/>
          <w:szCs w:val="22"/>
          <w:lang w:val="el-GR"/>
        </w:rPr>
        <w:t>διγοξίνης</w:t>
      </w:r>
      <w:proofErr w:type="spellEnd"/>
      <w:r w:rsidRPr="00DF12EF">
        <w:rPr>
          <w:color w:val="auto"/>
          <w:sz w:val="22"/>
          <w:szCs w:val="22"/>
          <w:lang w:val="el-GR"/>
        </w:rPr>
        <w:t xml:space="preserve"> μπορεί να αυξηθεί κατά τη διάρκεια της θεραπείας με </w:t>
      </w:r>
      <w:proofErr w:type="spellStart"/>
      <w:r w:rsidRPr="00DF12EF">
        <w:rPr>
          <w:color w:val="auto"/>
          <w:sz w:val="22"/>
          <w:szCs w:val="22"/>
          <w:lang w:val="el-GR"/>
        </w:rPr>
        <w:t>εσομεπραζόλ</w:t>
      </w:r>
      <w:r w:rsidRPr="00800E0B">
        <w:rPr>
          <w:sz w:val="22"/>
          <w:szCs w:val="22"/>
          <w:lang w:val="el-GR"/>
        </w:rPr>
        <w:t>η</w:t>
      </w:r>
      <w:proofErr w:type="spellEnd"/>
      <w:r w:rsidRPr="00800E0B">
        <w:rPr>
          <w:sz w:val="22"/>
          <w:szCs w:val="22"/>
          <w:lang w:val="el-GR"/>
        </w:rPr>
        <w:t xml:space="preserve">. Η ταυτόχρονη αγωγή με </w:t>
      </w:r>
      <w:proofErr w:type="spellStart"/>
      <w:r w:rsidRPr="00800E0B">
        <w:rPr>
          <w:sz w:val="22"/>
          <w:szCs w:val="22"/>
          <w:lang w:val="el-GR"/>
        </w:rPr>
        <w:t>ομεπραζόλη</w:t>
      </w:r>
      <w:proofErr w:type="spellEnd"/>
      <w:r w:rsidRPr="00800E0B">
        <w:rPr>
          <w:sz w:val="22"/>
          <w:szCs w:val="22"/>
          <w:lang w:val="el-GR"/>
        </w:rPr>
        <w:t xml:space="preserve"> (20 </w:t>
      </w:r>
      <w:r w:rsidRPr="00800E0B">
        <w:rPr>
          <w:sz w:val="22"/>
          <w:szCs w:val="22"/>
          <w:lang w:val="en-US"/>
        </w:rPr>
        <w:t>mg</w:t>
      </w:r>
      <w:r w:rsidRPr="00800E0B">
        <w:rPr>
          <w:sz w:val="22"/>
          <w:szCs w:val="22"/>
          <w:lang w:val="el-GR"/>
        </w:rPr>
        <w:t xml:space="preserve"> ημερησίως) και </w:t>
      </w:r>
      <w:proofErr w:type="spellStart"/>
      <w:r w:rsidRPr="00800E0B">
        <w:rPr>
          <w:sz w:val="22"/>
          <w:szCs w:val="22"/>
          <w:lang w:val="el-GR"/>
        </w:rPr>
        <w:t>διγοξίνη</w:t>
      </w:r>
      <w:proofErr w:type="spellEnd"/>
      <w:r w:rsidRPr="00800E0B">
        <w:rPr>
          <w:sz w:val="22"/>
          <w:szCs w:val="22"/>
          <w:lang w:val="el-GR"/>
        </w:rPr>
        <w:t xml:space="preserve"> σε υγιή άτομα αύξησε τη βιοδιαθεσιμότητα της </w:t>
      </w:r>
      <w:proofErr w:type="spellStart"/>
      <w:r w:rsidRPr="00800E0B">
        <w:rPr>
          <w:sz w:val="22"/>
          <w:szCs w:val="22"/>
          <w:lang w:val="el-GR"/>
        </w:rPr>
        <w:t>διγοξίνης</w:t>
      </w:r>
      <w:proofErr w:type="spellEnd"/>
      <w:r w:rsidRPr="00800E0B">
        <w:rPr>
          <w:sz w:val="22"/>
          <w:szCs w:val="22"/>
          <w:lang w:val="el-GR"/>
        </w:rPr>
        <w:t xml:space="preserve"> κατά 10% (έως 30% σε δύο από τα δέκα άτομα). Τοξικότητα από τη </w:t>
      </w:r>
      <w:proofErr w:type="spellStart"/>
      <w:r w:rsidRPr="00800E0B">
        <w:rPr>
          <w:sz w:val="22"/>
          <w:szCs w:val="22"/>
          <w:lang w:val="el-GR"/>
        </w:rPr>
        <w:t>διγοξίνη</w:t>
      </w:r>
      <w:proofErr w:type="spellEnd"/>
      <w:r w:rsidRPr="00800E0B">
        <w:rPr>
          <w:sz w:val="22"/>
          <w:szCs w:val="22"/>
          <w:lang w:val="el-GR"/>
        </w:rPr>
        <w:t xml:space="preserve"> έχει σπάνια αναφερθεί. </w:t>
      </w:r>
    </w:p>
    <w:p w:rsidR="009B62E6" w:rsidRPr="00800E0B" w:rsidRDefault="009B62E6">
      <w:pPr>
        <w:pStyle w:val="Default"/>
        <w:rPr>
          <w:sz w:val="22"/>
          <w:szCs w:val="22"/>
          <w:lang w:val="el-GR"/>
        </w:rPr>
      </w:pPr>
      <w:r w:rsidRPr="00800E0B">
        <w:rPr>
          <w:sz w:val="22"/>
          <w:szCs w:val="22"/>
          <w:lang w:val="el-GR"/>
        </w:rPr>
        <w:t xml:space="preserve">Ωστόσο, προσοχή πρέπει να δίνεται όταν η </w:t>
      </w:r>
      <w:proofErr w:type="spellStart"/>
      <w:r w:rsidRPr="00800E0B">
        <w:rPr>
          <w:sz w:val="22"/>
          <w:szCs w:val="22"/>
          <w:lang w:val="el-GR"/>
        </w:rPr>
        <w:t>εσομεπραζόλη</w:t>
      </w:r>
      <w:proofErr w:type="spellEnd"/>
      <w:r w:rsidRPr="00800E0B">
        <w:rPr>
          <w:sz w:val="22"/>
          <w:szCs w:val="22"/>
          <w:lang w:val="el-GR"/>
        </w:rPr>
        <w:t xml:space="preserve"> δίνεται σε υψηλές δόσεις σε ηλικιωμένους ασθενείς. Η θεραπευτική φαρμακευτική παρακολούθηση της </w:t>
      </w:r>
      <w:proofErr w:type="spellStart"/>
      <w:r w:rsidRPr="00800E0B">
        <w:rPr>
          <w:sz w:val="22"/>
          <w:szCs w:val="22"/>
          <w:lang w:val="el-GR"/>
        </w:rPr>
        <w:t>διγοξίνης</w:t>
      </w:r>
      <w:proofErr w:type="spellEnd"/>
      <w:r w:rsidRPr="00800E0B">
        <w:rPr>
          <w:sz w:val="22"/>
          <w:szCs w:val="22"/>
          <w:lang w:val="el-GR"/>
        </w:rPr>
        <w:t xml:space="preserve"> θα πρέπει τότε να ενισχύεται.</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ομεπραζόλη</w:t>
      </w:r>
      <w:proofErr w:type="spellEnd"/>
      <w:r w:rsidRPr="00800E0B">
        <w:rPr>
          <w:sz w:val="22"/>
          <w:szCs w:val="22"/>
          <w:lang w:val="el-GR"/>
        </w:rPr>
        <w:t xml:space="preserve"> έχει αναφερθεί ότι αλληλεπιδρά με κάποιους αναστολείς </w:t>
      </w:r>
      <w:proofErr w:type="spellStart"/>
      <w:r w:rsidRPr="00800E0B">
        <w:rPr>
          <w:sz w:val="22"/>
          <w:szCs w:val="22"/>
          <w:lang w:val="el-GR"/>
        </w:rPr>
        <w:t>πρωτεασών</w:t>
      </w:r>
      <w:proofErr w:type="spellEnd"/>
      <w:r w:rsidRPr="00800E0B">
        <w:rPr>
          <w:sz w:val="22"/>
          <w:szCs w:val="22"/>
          <w:lang w:val="el-GR"/>
        </w:rPr>
        <w:t xml:space="preserve">. Η κλινική σημασία και οι μηχανισμοί πίσω από αυτές τις αναφερόμενες αλληλεπιδράσεις δεν είναι πάντοτε γνωστοί. Το αυξημένο γαστρικό </w:t>
      </w:r>
      <w:proofErr w:type="spellStart"/>
      <w:r w:rsidRPr="00800E0B">
        <w:rPr>
          <w:sz w:val="22"/>
          <w:szCs w:val="22"/>
          <w:lang w:val="el-GR"/>
        </w:rPr>
        <w:t>pH</w:t>
      </w:r>
      <w:proofErr w:type="spellEnd"/>
      <w:r w:rsidRPr="00800E0B">
        <w:rPr>
          <w:sz w:val="22"/>
          <w:szCs w:val="22"/>
          <w:lang w:val="el-GR"/>
        </w:rPr>
        <w:t xml:space="preserve"> κατά τη διάρκεια της θεραπείας με </w:t>
      </w:r>
      <w:proofErr w:type="spellStart"/>
      <w:r w:rsidRPr="00800E0B">
        <w:rPr>
          <w:sz w:val="22"/>
          <w:szCs w:val="22"/>
          <w:lang w:val="el-GR"/>
        </w:rPr>
        <w:t>ομεπραζόλη</w:t>
      </w:r>
      <w:proofErr w:type="spellEnd"/>
      <w:r w:rsidRPr="00800E0B">
        <w:rPr>
          <w:sz w:val="22"/>
          <w:szCs w:val="22"/>
          <w:lang w:val="el-GR"/>
        </w:rPr>
        <w:t xml:space="preserve"> ενδέχεται να μεταβάλλει την απορρόφηση των αναστολέων </w:t>
      </w:r>
      <w:proofErr w:type="spellStart"/>
      <w:r w:rsidRPr="00800E0B">
        <w:rPr>
          <w:sz w:val="22"/>
          <w:szCs w:val="22"/>
          <w:lang w:val="el-GR"/>
        </w:rPr>
        <w:t>πρωτεασών</w:t>
      </w:r>
      <w:proofErr w:type="spellEnd"/>
      <w:r w:rsidRPr="00800E0B">
        <w:rPr>
          <w:sz w:val="22"/>
          <w:szCs w:val="22"/>
          <w:lang w:val="el-GR"/>
        </w:rPr>
        <w:t xml:space="preserve">. Άλλοι πιθανοί μηχανισμοί αλληλεπίδρασης είναι μέσω της αναστολής του κυτοχρώματος CYP 2C19. Για την </w:t>
      </w:r>
      <w:proofErr w:type="spellStart"/>
      <w:r w:rsidRPr="00800E0B">
        <w:rPr>
          <w:sz w:val="22"/>
          <w:szCs w:val="22"/>
          <w:lang w:val="el-GR"/>
        </w:rPr>
        <w:t>αταζαναβίρη</w:t>
      </w:r>
      <w:proofErr w:type="spellEnd"/>
      <w:r w:rsidRPr="00800E0B">
        <w:rPr>
          <w:sz w:val="22"/>
          <w:szCs w:val="22"/>
          <w:lang w:val="el-GR"/>
        </w:rPr>
        <w:t xml:space="preserve"> και τη </w:t>
      </w:r>
      <w:proofErr w:type="spellStart"/>
      <w:r w:rsidRPr="00800E0B">
        <w:rPr>
          <w:sz w:val="22"/>
          <w:szCs w:val="22"/>
          <w:lang w:val="el-GR"/>
        </w:rPr>
        <w:t>νελφιναβίρη</w:t>
      </w:r>
      <w:proofErr w:type="spellEnd"/>
      <w:r w:rsidRPr="00800E0B">
        <w:rPr>
          <w:sz w:val="22"/>
          <w:szCs w:val="22"/>
          <w:lang w:val="el-GR"/>
        </w:rPr>
        <w:t xml:space="preserve">, έχουν αναφερθεί μειωμένα επίπεδα στον ορό όταν </w:t>
      </w:r>
      <w:proofErr w:type="spellStart"/>
      <w:r w:rsidRPr="00800E0B">
        <w:rPr>
          <w:sz w:val="22"/>
          <w:szCs w:val="22"/>
          <w:lang w:val="el-GR"/>
        </w:rPr>
        <w:t>συγχορηγούνται</w:t>
      </w:r>
      <w:proofErr w:type="spellEnd"/>
      <w:r w:rsidRPr="00800E0B">
        <w:rPr>
          <w:sz w:val="22"/>
          <w:szCs w:val="22"/>
          <w:lang w:val="el-GR"/>
        </w:rPr>
        <w:t xml:space="preserve"> με </w:t>
      </w:r>
      <w:proofErr w:type="spellStart"/>
      <w:r w:rsidRPr="00800E0B">
        <w:rPr>
          <w:sz w:val="22"/>
          <w:szCs w:val="22"/>
          <w:lang w:val="el-GR"/>
        </w:rPr>
        <w:t>ομεπραζόλη</w:t>
      </w:r>
      <w:proofErr w:type="spellEnd"/>
      <w:r w:rsidRPr="00800E0B">
        <w:rPr>
          <w:sz w:val="22"/>
          <w:szCs w:val="22"/>
          <w:lang w:val="el-GR"/>
        </w:rPr>
        <w:t xml:space="preserve"> και η ταυτόχρονη χορήγηση δεν συνιστάται. Η </w:t>
      </w:r>
      <w:proofErr w:type="spellStart"/>
      <w:r w:rsidRPr="00800E0B">
        <w:rPr>
          <w:sz w:val="22"/>
          <w:szCs w:val="22"/>
          <w:lang w:val="el-GR"/>
        </w:rPr>
        <w:t>συγχορήγηση</w:t>
      </w:r>
      <w:proofErr w:type="spellEnd"/>
      <w:r w:rsidRPr="00800E0B">
        <w:rPr>
          <w:sz w:val="22"/>
          <w:szCs w:val="22"/>
          <w:lang w:val="el-GR"/>
        </w:rPr>
        <w:t xml:space="preserve"> </w:t>
      </w:r>
      <w:proofErr w:type="spellStart"/>
      <w:r w:rsidRPr="00800E0B">
        <w:rPr>
          <w:sz w:val="22"/>
          <w:szCs w:val="22"/>
          <w:lang w:val="el-GR"/>
        </w:rPr>
        <w:t>ομεπραζόλης</w:t>
      </w:r>
      <w:proofErr w:type="spellEnd"/>
      <w:r w:rsidRPr="00800E0B">
        <w:rPr>
          <w:sz w:val="22"/>
          <w:szCs w:val="22"/>
          <w:lang w:val="el-GR"/>
        </w:rPr>
        <w:t xml:space="preserve"> (40 </w:t>
      </w:r>
      <w:proofErr w:type="spellStart"/>
      <w:r w:rsidRPr="00800E0B">
        <w:rPr>
          <w:sz w:val="22"/>
          <w:szCs w:val="22"/>
          <w:lang w:val="el-GR"/>
        </w:rPr>
        <w:t>mg</w:t>
      </w:r>
      <w:proofErr w:type="spellEnd"/>
      <w:r w:rsidRPr="00800E0B">
        <w:rPr>
          <w:sz w:val="22"/>
          <w:szCs w:val="22"/>
          <w:lang w:val="el-GR"/>
        </w:rPr>
        <w:t xml:space="preserve"> μία φορά την </w:t>
      </w:r>
      <w:r w:rsidRPr="00800E0B">
        <w:rPr>
          <w:sz w:val="22"/>
          <w:szCs w:val="22"/>
          <w:lang w:val="el-GR"/>
        </w:rPr>
        <w:lastRenderedPageBreak/>
        <w:t>ημέρα) με 300 </w:t>
      </w:r>
      <w:proofErr w:type="spellStart"/>
      <w:r w:rsidRPr="00800E0B">
        <w:rPr>
          <w:sz w:val="22"/>
          <w:szCs w:val="22"/>
          <w:lang w:val="el-GR"/>
        </w:rPr>
        <w:t>mg</w:t>
      </w:r>
      <w:proofErr w:type="spellEnd"/>
      <w:r w:rsidRPr="00800E0B">
        <w:rPr>
          <w:sz w:val="22"/>
          <w:szCs w:val="22"/>
          <w:lang w:val="el-GR"/>
        </w:rPr>
        <w:t xml:space="preserve"> αταζαναβίρης/100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ριτοναβίρης</w:t>
      </w:r>
      <w:proofErr w:type="spellEnd"/>
      <w:r w:rsidRPr="00800E0B">
        <w:rPr>
          <w:sz w:val="22"/>
          <w:szCs w:val="22"/>
          <w:lang w:val="el-GR"/>
        </w:rPr>
        <w:t xml:space="preserve"> σε υγιείς εθελοντές οδήγησε σε σημαντική μείωση της έκθεσης σε </w:t>
      </w:r>
      <w:proofErr w:type="spellStart"/>
      <w:r w:rsidRPr="00800E0B">
        <w:rPr>
          <w:sz w:val="22"/>
          <w:szCs w:val="22"/>
          <w:lang w:val="el-GR"/>
        </w:rPr>
        <w:t>αταζαναβίρη</w:t>
      </w:r>
      <w:proofErr w:type="spellEnd"/>
      <w:r w:rsidRPr="00800E0B">
        <w:rPr>
          <w:sz w:val="22"/>
          <w:szCs w:val="22"/>
          <w:lang w:val="el-GR"/>
        </w:rPr>
        <w:t xml:space="preserve"> (μείωση περίπου 75% σε AUC, </w:t>
      </w:r>
      <w:proofErr w:type="spellStart"/>
      <w:r w:rsidRPr="00800E0B">
        <w:rPr>
          <w:sz w:val="22"/>
          <w:szCs w:val="22"/>
          <w:lang w:val="el-GR"/>
        </w:rPr>
        <w:t>C</w:t>
      </w:r>
      <w:r w:rsidRPr="00800E0B">
        <w:rPr>
          <w:sz w:val="22"/>
          <w:szCs w:val="22"/>
          <w:vertAlign w:val="subscript"/>
          <w:lang w:val="el-GR"/>
        </w:rPr>
        <w:t>max</w:t>
      </w:r>
      <w:proofErr w:type="spellEnd"/>
      <w:r w:rsidRPr="00800E0B">
        <w:rPr>
          <w:sz w:val="22"/>
          <w:szCs w:val="22"/>
          <w:lang w:val="el-GR"/>
        </w:rPr>
        <w:t xml:space="preserve"> και </w:t>
      </w:r>
      <w:proofErr w:type="spellStart"/>
      <w:r w:rsidRPr="00800E0B">
        <w:rPr>
          <w:sz w:val="22"/>
          <w:szCs w:val="22"/>
          <w:lang w:val="el-GR"/>
        </w:rPr>
        <w:t>C</w:t>
      </w:r>
      <w:r w:rsidRPr="00800E0B">
        <w:rPr>
          <w:sz w:val="22"/>
          <w:szCs w:val="22"/>
          <w:vertAlign w:val="subscript"/>
          <w:lang w:val="el-GR"/>
        </w:rPr>
        <w:t>min</w:t>
      </w:r>
      <w:proofErr w:type="spellEnd"/>
      <w:r w:rsidRPr="00800E0B">
        <w:rPr>
          <w:sz w:val="22"/>
          <w:szCs w:val="22"/>
          <w:lang w:val="el-GR"/>
        </w:rPr>
        <w:t xml:space="preserve">). Η αύξηση της δόσης της </w:t>
      </w:r>
      <w:proofErr w:type="spellStart"/>
      <w:r w:rsidRPr="00800E0B">
        <w:rPr>
          <w:sz w:val="22"/>
          <w:szCs w:val="22"/>
          <w:lang w:val="el-GR"/>
        </w:rPr>
        <w:t>αταζαναβίρης</w:t>
      </w:r>
      <w:proofErr w:type="spellEnd"/>
      <w:r w:rsidRPr="00800E0B">
        <w:rPr>
          <w:sz w:val="22"/>
          <w:szCs w:val="22"/>
          <w:lang w:val="el-GR"/>
        </w:rPr>
        <w:t xml:space="preserve"> σε 400 </w:t>
      </w:r>
      <w:proofErr w:type="spellStart"/>
      <w:r w:rsidRPr="00800E0B">
        <w:rPr>
          <w:sz w:val="22"/>
          <w:szCs w:val="22"/>
          <w:lang w:val="el-GR"/>
        </w:rPr>
        <w:t>mg</w:t>
      </w:r>
      <w:proofErr w:type="spellEnd"/>
      <w:r w:rsidRPr="00800E0B">
        <w:rPr>
          <w:sz w:val="22"/>
          <w:szCs w:val="22"/>
          <w:lang w:val="el-GR"/>
        </w:rPr>
        <w:t xml:space="preserve"> δεν αντιστάθμισε την επίδραση της </w:t>
      </w:r>
      <w:proofErr w:type="spellStart"/>
      <w:r w:rsidRPr="00800E0B">
        <w:rPr>
          <w:sz w:val="22"/>
          <w:szCs w:val="22"/>
          <w:lang w:val="el-GR"/>
        </w:rPr>
        <w:t>ομεπραζόλης</w:t>
      </w:r>
      <w:proofErr w:type="spellEnd"/>
      <w:r w:rsidRPr="00800E0B">
        <w:rPr>
          <w:sz w:val="22"/>
          <w:szCs w:val="22"/>
          <w:lang w:val="el-GR"/>
        </w:rPr>
        <w:t xml:space="preserve"> στην έκθεση σε </w:t>
      </w:r>
      <w:proofErr w:type="spellStart"/>
      <w:r w:rsidRPr="00800E0B">
        <w:rPr>
          <w:sz w:val="22"/>
          <w:szCs w:val="22"/>
          <w:lang w:val="el-GR"/>
        </w:rPr>
        <w:t>αταζαναβίρη</w:t>
      </w:r>
      <w:proofErr w:type="spellEnd"/>
      <w:r w:rsidRPr="00800E0B">
        <w:rPr>
          <w:sz w:val="22"/>
          <w:szCs w:val="22"/>
          <w:lang w:val="el-GR"/>
        </w:rPr>
        <w:t xml:space="preserve">. Η </w:t>
      </w:r>
      <w:proofErr w:type="spellStart"/>
      <w:r w:rsidRPr="00800E0B">
        <w:rPr>
          <w:sz w:val="22"/>
          <w:szCs w:val="22"/>
          <w:lang w:val="el-GR"/>
        </w:rPr>
        <w:t>συγχορήγηση</w:t>
      </w:r>
      <w:proofErr w:type="spellEnd"/>
      <w:r w:rsidRPr="00800E0B">
        <w:rPr>
          <w:sz w:val="22"/>
          <w:szCs w:val="22"/>
          <w:lang w:val="el-GR"/>
        </w:rPr>
        <w:t xml:space="preserve"> </w:t>
      </w:r>
      <w:proofErr w:type="spellStart"/>
      <w:r w:rsidRPr="00800E0B">
        <w:rPr>
          <w:sz w:val="22"/>
          <w:szCs w:val="22"/>
          <w:lang w:val="el-GR"/>
        </w:rPr>
        <w:t>ομεπραζόλης</w:t>
      </w:r>
      <w:proofErr w:type="spellEnd"/>
      <w:r w:rsidRPr="00800E0B">
        <w:rPr>
          <w:sz w:val="22"/>
          <w:szCs w:val="22"/>
          <w:lang w:val="el-GR"/>
        </w:rPr>
        <w:t xml:space="preserve"> (20 </w:t>
      </w:r>
      <w:proofErr w:type="spellStart"/>
      <w:r w:rsidRPr="00800E0B">
        <w:rPr>
          <w:sz w:val="22"/>
          <w:szCs w:val="22"/>
          <w:lang w:val="el-GR"/>
        </w:rPr>
        <w:t>mg</w:t>
      </w:r>
      <w:proofErr w:type="spellEnd"/>
      <w:r w:rsidRPr="00800E0B">
        <w:rPr>
          <w:sz w:val="22"/>
          <w:szCs w:val="22"/>
          <w:lang w:val="el-GR"/>
        </w:rPr>
        <w:t xml:space="preserve"> κάθε ημέρα) με 400 </w:t>
      </w:r>
      <w:proofErr w:type="spellStart"/>
      <w:r w:rsidRPr="00800E0B">
        <w:rPr>
          <w:sz w:val="22"/>
          <w:szCs w:val="22"/>
          <w:lang w:val="el-GR"/>
        </w:rPr>
        <w:t>mg</w:t>
      </w:r>
      <w:proofErr w:type="spellEnd"/>
      <w:r w:rsidRPr="00800E0B">
        <w:rPr>
          <w:sz w:val="22"/>
          <w:szCs w:val="22"/>
          <w:lang w:val="el-GR"/>
        </w:rPr>
        <w:t xml:space="preserve"> αταζαναβίρης/100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ριτοναβίρης</w:t>
      </w:r>
      <w:proofErr w:type="spellEnd"/>
      <w:r w:rsidRPr="00800E0B">
        <w:rPr>
          <w:sz w:val="22"/>
          <w:szCs w:val="22"/>
          <w:lang w:val="el-GR"/>
        </w:rPr>
        <w:t xml:space="preserve"> σε υγιείς εθελοντές οδήγησε σε μείωση κατά περίπου 30% στη έκθεση σε </w:t>
      </w:r>
      <w:proofErr w:type="spellStart"/>
      <w:r w:rsidRPr="00800E0B">
        <w:rPr>
          <w:sz w:val="22"/>
          <w:szCs w:val="22"/>
          <w:lang w:val="el-GR"/>
        </w:rPr>
        <w:t>αταζαναβίρη</w:t>
      </w:r>
      <w:proofErr w:type="spellEnd"/>
      <w:r w:rsidRPr="00800E0B">
        <w:rPr>
          <w:sz w:val="22"/>
          <w:szCs w:val="22"/>
          <w:lang w:val="el-GR"/>
        </w:rPr>
        <w:t xml:space="preserve"> συγκριτικά με την έκθεση που παρατηρείται με τη δόση 300 </w:t>
      </w:r>
      <w:proofErr w:type="spellStart"/>
      <w:r w:rsidRPr="00800E0B">
        <w:rPr>
          <w:sz w:val="22"/>
          <w:szCs w:val="22"/>
          <w:lang w:val="el-GR"/>
        </w:rPr>
        <w:t>mg</w:t>
      </w:r>
      <w:proofErr w:type="spellEnd"/>
      <w:r w:rsidRPr="00800E0B">
        <w:rPr>
          <w:sz w:val="22"/>
          <w:szCs w:val="22"/>
          <w:lang w:val="el-GR"/>
        </w:rPr>
        <w:t xml:space="preserve"> αταζαναβίρης/100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ριτοναβίρης</w:t>
      </w:r>
      <w:proofErr w:type="spellEnd"/>
      <w:r w:rsidRPr="00800E0B">
        <w:rPr>
          <w:sz w:val="22"/>
          <w:szCs w:val="22"/>
          <w:lang w:val="el-GR"/>
        </w:rPr>
        <w:t xml:space="preserve"> κάθε ημέρα χωρίς λήψη 20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ομεπραζόλης</w:t>
      </w:r>
      <w:proofErr w:type="spellEnd"/>
      <w:r w:rsidRPr="00800E0B">
        <w:rPr>
          <w:sz w:val="22"/>
          <w:szCs w:val="22"/>
          <w:lang w:val="el-GR"/>
        </w:rPr>
        <w:t xml:space="preserve"> κάθε ημέρα. Η </w:t>
      </w:r>
      <w:proofErr w:type="spellStart"/>
      <w:r w:rsidRPr="00800E0B">
        <w:rPr>
          <w:sz w:val="22"/>
          <w:szCs w:val="22"/>
          <w:lang w:val="el-GR"/>
        </w:rPr>
        <w:t>συγχορήγηση</w:t>
      </w:r>
      <w:proofErr w:type="spellEnd"/>
      <w:r w:rsidRPr="00800E0B">
        <w:rPr>
          <w:sz w:val="22"/>
          <w:szCs w:val="22"/>
          <w:lang w:val="el-GR"/>
        </w:rPr>
        <w:t xml:space="preserve"> </w:t>
      </w:r>
      <w:proofErr w:type="spellStart"/>
      <w:r w:rsidRPr="00800E0B">
        <w:rPr>
          <w:sz w:val="22"/>
          <w:szCs w:val="22"/>
          <w:lang w:val="el-GR"/>
        </w:rPr>
        <w:t>ομεπραζόλης</w:t>
      </w:r>
      <w:proofErr w:type="spellEnd"/>
      <w:r w:rsidRPr="00800E0B">
        <w:rPr>
          <w:sz w:val="22"/>
          <w:szCs w:val="22"/>
          <w:lang w:val="el-GR"/>
        </w:rPr>
        <w:t xml:space="preserve"> (40</w:t>
      </w:r>
      <w:r w:rsidRPr="00800E0B">
        <w:rPr>
          <w:sz w:val="22"/>
          <w:szCs w:val="22"/>
        </w:rPr>
        <w:t> mg</w:t>
      </w:r>
      <w:r w:rsidRPr="00800E0B">
        <w:rPr>
          <w:sz w:val="22"/>
          <w:szCs w:val="22"/>
          <w:lang w:val="el-GR"/>
        </w:rPr>
        <w:t xml:space="preserve"> κάθε ημέρα) μείωσε τη μέση τιμή </w:t>
      </w:r>
      <w:r w:rsidRPr="00800E0B">
        <w:rPr>
          <w:sz w:val="22"/>
          <w:szCs w:val="22"/>
        </w:rPr>
        <w:t>AUC</w:t>
      </w:r>
      <w:r w:rsidRPr="00800E0B">
        <w:rPr>
          <w:sz w:val="22"/>
          <w:szCs w:val="22"/>
          <w:lang w:val="el-GR"/>
        </w:rPr>
        <w:t xml:space="preserve">, </w:t>
      </w:r>
      <w:proofErr w:type="spellStart"/>
      <w:r w:rsidRPr="00800E0B">
        <w:rPr>
          <w:sz w:val="22"/>
          <w:szCs w:val="22"/>
        </w:rPr>
        <w:t>C</w:t>
      </w:r>
      <w:r w:rsidRPr="00800E0B">
        <w:rPr>
          <w:sz w:val="22"/>
          <w:szCs w:val="22"/>
          <w:vertAlign w:val="subscript"/>
        </w:rPr>
        <w:t>max</w:t>
      </w:r>
      <w:proofErr w:type="spellEnd"/>
      <w:r w:rsidRPr="00800E0B">
        <w:rPr>
          <w:sz w:val="22"/>
          <w:szCs w:val="22"/>
          <w:lang w:val="el-GR"/>
        </w:rPr>
        <w:t xml:space="preserve"> και </w:t>
      </w:r>
      <w:proofErr w:type="spellStart"/>
      <w:r w:rsidRPr="00800E0B">
        <w:rPr>
          <w:sz w:val="22"/>
          <w:szCs w:val="22"/>
        </w:rPr>
        <w:t>C</w:t>
      </w:r>
      <w:r w:rsidRPr="00800E0B">
        <w:rPr>
          <w:sz w:val="22"/>
          <w:szCs w:val="22"/>
          <w:vertAlign w:val="subscript"/>
        </w:rPr>
        <w:t>min</w:t>
      </w:r>
      <w:proofErr w:type="spellEnd"/>
      <w:r w:rsidRPr="00800E0B">
        <w:rPr>
          <w:sz w:val="22"/>
          <w:szCs w:val="22"/>
          <w:lang w:val="el-GR"/>
        </w:rPr>
        <w:t xml:space="preserve"> της </w:t>
      </w:r>
      <w:proofErr w:type="spellStart"/>
      <w:r w:rsidRPr="00800E0B">
        <w:rPr>
          <w:sz w:val="22"/>
          <w:szCs w:val="22"/>
          <w:lang w:val="el-GR"/>
        </w:rPr>
        <w:t>νελφιναβίρης</w:t>
      </w:r>
      <w:proofErr w:type="spellEnd"/>
      <w:r w:rsidRPr="00800E0B">
        <w:rPr>
          <w:sz w:val="22"/>
          <w:szCs w:val="22"/>
          <w:lang w:val="el-GR"/>
        </w:rPr>
        <w:t xml:space="preserve"> κατά 36</w:t>
      </w:r>
      <w:r w:rsidRPr="00800E0B">
        <w:rPr>
          <w:sz w:val="22"/>
          <w:szCs w:val="22"/>
          <w:lang w:val="el-GR"/>
        </w:rPr>
        <w:noBreakHyphen/>
        <w:t xml:space="preserve">39 % και τη μέση τιμή </w:t>
      </w:r>
      <w:r w:rsidRPr="00800E0B">
        <w:rPr>
          <w:sz w:val="22"/>
          <w:szCs w:val="22"/>
        </w:rPr>
        <w:t>AUC</w:t>
      </w:r>
      <w:r w:rsidRPr="00800E0B">
        <w:rPr>
          <w:sz w:val="22"/>
          <w:szCs w:val="22"/>
          <w:lang w:val="el-GR"/>
        </w:rPr>
        <w:t xml:space="preserve">, </w:t>
      </w:r>
      <w:proofErr w:type="spellStart"/>
      <w:r w:rsidRPr="00800E0B">
        <w:rPr>
          <w:sz w:val="22"/>
          <w:szCs w:val="22"/>
        </w:rPr>
        <w:t>C</w:t>
      </w:r>
      <w:r w:rsidRPr="00800E0B">
        <w:rPr>
          <w:sz w:val="22"/>
          <w:szCs w:val="22"/>
          <w:vertAlign w:val="subscript"/>
        </w:rPr>
        <w:t>max</w:t>
      </w:r>
      <w:proofErr w:type="spellEnd"/>
      <w:r w:rsidRPr="00800E0B">
        <w:rPr>
          <w:sz w:val="22"/>
          <w:szCs w:val="22"/>
          <w:lang w:val="el-GR"/>
        </w:rPr>
        <w:t xml:space="preserve"> και </w:t>
      </w:r>
      <w:proofErr w:type="spellStart"/>
      <w:r w:rsidRPr="00800E0B">
        <w:rPr>
          <w:sz w:val="22"/>
          <w:szCs w:val="22"/>
        </w:rPr>
        <w:t>C</w:t>
      </w:r>
      <w:r w:rsidRPr="00800E0B">
        <w:rPr>
          <w:sz w:val="22"/>
          <w:szCs w:val="22"/>
          <w:vertAlign w:val="subscript"/>
        </w:rPr>
        <w:t>min</w:t>
      </w:r>
      <w:proofErr w:type="spellEnd"/>
      <w:r w:rsidRPr="00800E0B">
        <w:rPr>
          <w:sz w:val="22"/>
          <w:szCs w:val="22"/>
          <w:lang w:val="el-GR"/>
        </w:rPr>
        <w:t xml:space="preserve"> για τον φαρμακολογικά δραστικό μεταβολίτη </w:t>
      </w:r>
      <w:r w:rsidRPr="00800E0B">
        <w:rPr>
          <w:sz w:val="22"/>
          <w:szCs w:val="22"/>
        </w:rPr>
        <w:t>M</w:t>
      </w:r>
      <w:r w:rsidRPr="00800E0B">
        <w:rPr>
          <w:sz w:val="22"/>
          <w:szCs w:val="22"/>
          <w:lang w:val="el-GR"/>
        </w:rPr>
        <w:t>8 μειώθηκε κατά 75</w:t>
      </w:r>
      <w:r w:rsidRPr="00800E0B">
        <w:rPr>
          <w:sz w:val="22"/>
          <w:szCs w:val="22"/>
          <w:lang w:val="el-GR"/>
        </w:rPr>
        <w:noBreakHyphen/>
        <w:t xml:space="preserve">92%. Για τη </w:t>
      </w:r>
      <w:proofErr w:type="spellStart"/>
      <w:r w:rsidRPr="00800E0B">
        <w:rPr>
          <w:sz w:val="22"/>
          <w:szCs w:val="22"/>
          <w:lang w:val="el-GR"/>
        </w:rPr>
        <w:t>σακιναβίρη</w:t>
      </w:r>
      <w:proofErr w:type="spellEnd"/>
      <w:r w:rsidRPr="00800E0B">
        <w:rPr>
          <w:sz w:val="22"/>
          <w:szCs w:val="22"/>
          <w:lang w:val="el-GR"/>
        </w:rPr>
        <w:t xml:space="preserve"> (με συνοδό </w:t>
      </w:r>
      <w:proofErr w:type="spellStart"/>
      <w:r w:rsidRPr="00800E0B">
        <w:rPr>
          <w:sz w:val="22"/>
          <w:szCs w:val="22"/>
          <w:lang w:val="el-GR"/>
        </w:rPr>
        <w:t>ριτοναβίρη</w:t>
      </w:r>
      <w:proofErr w:type="spellEnd"/>
      <w:r w:rsidRPr="00800E0B">
        <w:rPr>
          <w:sz w:val="22"/>
          <w:szCs w:val="22"/>
          <w:lang w:val="el-GR"/>
        </w:rPr>
        <w:t>), έχουν αναφερθεί αυξημένα επίπεδα στον ορό (80</w:t>
      </w:r>
      <w:r w:rsidRPr="00800E0B">
        <w:rPr>
          <w:sz w:val="22"/>
          <w:szCs w:val="22"/>
          <w:lang w:val="el-GR"/>
        </w:rPr>
        <w:noBreakHyphen/>
        <w:t xml:space="preserve">100%) κατά τη διάρκεια της ταυτόχρονης θεραπείας με </w:t>
      </w:r>
      <w:proofErr w:type="spellStart"/>
      <w:r w:rsidRPr="00800E0B">
        <w:rPr>
          <w:sz w:val="22"/>
          <w:szCs w:val="22"/>
          <w:lang w:val="el-GR"/>
        </w:rPr>
        <w:t>ομεπραζόλη</w:t>
      </w:r>
      <w:proofErr w:type="spellEnd"/>
      <w:r w:rsidRPr="00800E0B">
        <w:rPr>
          <w:sz w:val="22"/>
          <w:szCs w:val="22"/>
          <w:lang w:val="el-GR"/>
        </w:rPr>
        <w:t xml:space="preserve"> (40</w:t>
      </w:r>
      <w:r w:rsidRPr="00800E0B">
        <w:rPr>
          <w:sz w:val="22"/>
          <w:szCs w:val="22"/>
        </w:rPr>
        <w:t> mg</w:t>
      </w:r>
      <w:r w:rsidRPr="00800E0B">
        <w:rPr>
          <w:sz w:val="22"/>
          <w:szCs w:val="22"/>
          <w:lang w:val="el-GR"/>
        </w:rPr>
        <w:t xml:space="preserve"> κάθε ημέρα). Η θεραπεία με 20</w:t>
      </w:r>
      <w:r w:rsidRPr="00800E0B">
        <w:rPr>
          <w:sz w:val="22"/>
          <w:szCs w:val="22"/>
        </w:rPr>
        <w:t> mg</w:t>
      </w:r>
      <w:r w:rsidRPr="00800E0B">
        <w:rPr>
          <w:sz w:val="22"/>
          <w:szCs w:val="22"/>
          <w:lang w:val="el-GR"/>
        </w:rPr>
        <w:t xml:space="preserve"> </w:t>
      </w:r>
      <w:proofErr w:type="spellStart"/>
      <w:r w:rsidRPr="00800E0B">
        <w:rPr>
          <w:sz w:val="22"/>
          <w:szCs w:val="22"/>
          <w:lang w:val="el-GR"/>
        </w:rPr>
        <w:t>ομεπραζόλης</w:t>
      </w:r>
      <w:proofErr w:type="spellEnd"/>
      <w:r w:rsidRPr="00800E0B">
        <w:rPr>
          <w:sz w:val="22"/>
          <w:szCs w:val="22"/>
          <w:lang w:val="el-GR"/>
        </w:rPr>
        <w:t xml:space="preserve"> κάθε ημέρα δεν είχε καμία επίδραση στην έκθεση σε </w:t>
      </w:r>
      <w:proofErr w:type="spellStart"/>
      <w:r w:rsidRPr="00800E0B">
        <w:rPr>
          <w:sz w:val="22"/>
          <w:szCs w:val="22"/>
          <w:lang w:val="el-GR"/>
        </w:rPr>
        <w:t>δαρουναβίρη</w:t>
      </w:r>
      <w:proofErr w:type="spellEnd"/>
      <w:r w:rsidRPr="00800E0B">
        <w:rPr>
          <w:sz w:val="22"/>
          <w:szCs w:val="22"/>
          <w:lang w:val="el-GR"/>
        </w:rPr>
        <w:t xml:space="preserve"> (με συνοδό </w:t>
      </w:r>
      <w:proofErr w:type="spellStart"/>
      <w:r w:rsidRPr="00800E0B">
        <w:rPr>
          <w:sz w:val="22"/>
          <w:szCs w:val="22"/>
          <w:lang w:val="el-GR"/>
        </w:rPr>
        <w:t>ριτοναβίρη</w:t>
      </w:r>
      <w:proofErr w:type="spellEnd"/>
      <w:r w:rsidRPr="00800E0B">
        <w:rPr>
          <w:sz w:val="22"/>
          <w:szCs w:val="22"/>
          <w:lang w:val="el-GR"/>
        </w:rPr>
        <w:t xml:space="preserve">) και σε </w:t>
      </w:r>
      <w:proofErr w:type="spellStart"/>
      <w:r w:rsidRPr="00800E0B">
        <w:rPr>
          <w:sz w:val="22"/>
          <w:szCs w:val="22"/>
          <w:lang w:val="el-GR"/>
        </w:rPr>
        <w:t>αμπρεναβίρη</w:t>
      </w:r>
      <w:proofErr w:type="spellEnd"/>
      <w:r w:rsidRPr="00800E0B">
        <w:rPr>
          <w:sz w:val="22"/>
          <w:szCs w:val="22"/>
          <w:lang w:val="el-GR"/>
        </w:rPr>
        <w:t xml:space="preserve"> (με συνοδό </w:t>
      </w:r>
      <w:proofErr w:type="spellStart"/>
      <w:r w:rsidRPr="00800E0B">
        <w:rPr>
          <w:sz w:val="22"/>
          <w:szCs w:val="22"/>
          <w:lang w:val="el-GR"/>
        </w:rPr>
        <w:t>ριτοναβίρη</w:t>
      </w:r>
      <w:proofErr w:type="spellEnd"/>
      <w:r w:rsidRPr="00800E0B">
        <w:rPr>
          <w:sz w:val="22"/>
          <w:szCs w:val="22"/>
          <w:lang w:val="el-GR"/>
        </w:rPr>
        <w:t>). Η θεραπεία με 20</w:t>
      </w:r>
      <w:r w:rsidRPr="00800E0B">
        <w:rPr>
          <w:sz w:val="22"/>
          <w:szCs w:val="22"/>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κάθε ημέρα δεν είχε καμία επίδραση στην έκθεση σε </w:t>
      </w:r>
      <w:proofErr w:type="spellStart"/>
      <w:r w:rsidRPr="00800E0B">
        <w:rPr>
          <w:sz w:val="22"/>
          <w:szCs w:val="22"/>
          <w:lang w:val="el-GR"/>
        </w:rPr>
        <w:t>αμπρεναβίρη</w:t>
      </w:r>
      <w:proofErr w:type="spellEnd"/>
      <w:r w:rsidRPr="00800E0B">
        <w:rPr>
          <w:sz w:val="22"/>
          <w:szCs w:val="22"/>
          <w:lang w:val="el-GR"/>
        </w:rPr>
        <w:t xml:space="preserve"> (με και χωρίς συνοδό </w:t>
      </w:r>
      <w:proofErr w:type="spellStart"/>
      <w:r w:rsidRPr="00800E0B">
        <w:rPr>
          <w:sz w:val="22"/>
          <w:szCs w:val="22"/>
          <w:lang w:val="el-GR"/>
        </w:rPr>
        <w:t>ριτοναβίρη</w:t>
      </w:r>
      <w:proofErr w:type="spellEnd"/>
      <w:r w:rsidRPr="00800E0B">
        <w:rPr>
          <w:sz w:val="22"/>
          <w:szCs w:val="22"/>
          <w:lang w:val="el-GR"/>
        </w:rPr>
        <w:t xml:space="preserve">). Η θεραπεία με 40 </w:t>
      </w:r>
      <w:r w:rsidRPr="00800E0B">
        <w:rPr>
          <w:sz w:val="22"/>
          <w:szCs w:val="22"/>
        </w:rPr>
        <w:t>mg</w:t>
      </w:r>
      <w:r w:rsidRPr="00800E0B">
        <w:rPr>
          <w:sz w:val="22"/>
          <w:szCs w:val="22"/>
          <w:lang w:val="el-GR"/>
        </w:rPr>
        <w:t xml:space="preserve"> </w:t>
      </w:r>
      <w:proofErr w:type="spellStart"/>
      <w:r w:rsidRPr="00800E0B">
        <w:rPr>
          <w:sz w:val="22"/>
          <w:szCs w:val="22"/>
          <w:lang w:val="el-GR"/>
        </w:rPr>
        <w:t>ομεπραζόλης</w:t>
      </w:r>
      <w:proofErr w:type="spellEnd"/>
      <w:r w:rsidRPr="00800E0B">
        <w:rPr>
          <w:sz w:val="22"/>
          <w:szCs w:val="22"/>
          <w:lang w:val="el-GR"/>
        </w:rPr>
        <w:t xml:space="preserve"> κάθε ημέρα δεν είχε καμία επίδραση στην έκθεση σε </w:t>
      </w:r>
      <w:proofErr w:type="spellStart"/>
      <w:r w:rsidRPr="00800E0B">
        <w:rPr>
          <w:sz w:val="22"/>
          <w:szCs w:val="22"/>
          <w:lang w:val="el-GR"/>
        </w:rPr>
        <w:t>λοπιναβίρη</w:t>
      </w:r>
      <w:proofErr w:type="spellEnd"/>
      <w:r w:rsidRPr="00800E0B">
        <w:rPr>
          <w:sz w:val="22"/>
          <w:szCs w:val="22"/>
          <w:lang w:val="el-GR"/>
        </w:rPr>
        <w:t xml:space="preserve"> (με και χωρίς συνοδό </w:t>
      </w:r>
      <w:proofErr w:type="spellStart"/>
      <w:r w:rsidRPr="00800E0B">
        <w:rPr>
          <w:sz w:val="22"/>
          <w:szCs w:val="22"/>
          <w:lang w:val="el-GR"/>
        </w:rPr>
        <w:t>ριτοναβίρη</w:t>
      </w:r>
      <w:proofErr w:type="spellEnd"/>
      <w:r w:rsidRPr="00800E0B">
        <w:rPr>
          <w:sz w:val="22"/>
          <w:szCs w:val="22"/>
          <w:lang w:val="el-GR"/>
        </w:rPr>
        <w:t xml:space="preserve">). Λόγω των παρόμοιων φαρμακοδυναμικών επιδράσεων και των </w:t>
      </w:r>
      <w:proofErr w:type="spellStart"/>
      <w:r w:rsidRPr="00800E0B">
        <w:rPr>
          <w:sz w:val="22"/>
          <w:szCs w:val="22"/>
          <w:lang w:val="el-GR"/>
        </w:rPr>
        <w:t>φαρμακοκινητικών</w:t>
      </w:r>
      <w:proofErr w:type="spellEnd"/>
      <w:r w:rsidRPr="00800E0B">
        <w:rPr>
          <w:sz w:val="22"/>
          <w:szCs w:val="22"/>
          <w:lang w:val="el-GR"/>
        </w:rPr>
        <w:t xml:space="preserve"> ιδιοτήτων της </w:t>
      </w:r>
      <w:proofErr w:type="spellStart"/>
      <w:r w:rsidRPr="00800E0B">
        <w:rPr>
          <w:sz w:val="22"/>
          <w:szCs w:val="22"/>
          <w:lang w:val="el-GR"/>
        </w:rPr>
        <w:t>ομεπραζόλης</w:t>
      </w:r>
      <w:proofErr w:type="spellEnd"/>
      <w:r w:rsidRPr="00800E0B">
        <w:rPr>
          <w:sz w:val="22"/>
          <w:szCs w:val="22"/>
          <w:lang w:val="el-GR"/>
        </w:rPr>
        <w:t xml:space="preserve"> και της </w:t>
      </w:r>
      <w:proofErr w:type="spellStart"/>
      <w:r w:rsidRPr="00800E0B">
        <w:rPr>
          <w:sz w:val="22"/>
          <w:szCs w:val="22"/>
          <w:lang w:val="el-GR"/>
        </w:rPr>
        <w:t>εσομεπραζόλης</w:t>
      </w:r>
      <w:proofErr w:type="spellEnd"/>
      <w:r w:rsidRPr="00800E0B">
        <w:rPr>
          <w:sz w:val="22"/>
          <w:szCs w:val="22"/>
          <w:lang w:val="el-GR"/>
        </w:rPr>
        <w:t xml:space="preserve">, η ταυτόχρονη χορήγηση </w:t>
      </w:r>
      <w:proofErr w:type="spellStart"/>
      <w:r w:rsidRPr="00800E0B">
        <w:rPr>
          <w:sz w:val="22"/>
          <w:szCs w:val="22"/>
          <w:lang w:val="el-GR"/>
        </w:rPr>
        <w:t>εσομεπραζόλης</w:t>
      </w:r>
      <w:proofErr w:type="spellEnd"/>
      <w:r w:rsidRPr="00800E0B">
        <w:rPr>
          <w:sz w:val="22"/>
          <w:szCs w:val="22"/>
          <w:lang w:val="el-GR"/>
        </w:rPr>
        <w:t xml:space="preserve"> με </w:t>
      </w:r>
      <w:proofErr w:type="spellStart"/>
      <w:r w:rsidRPr="00800E0B">
        <w:rPr>
          <w:sz w:val="22"/>
          <w:szCs w:val="22"/>
          <w:lang w:val="el-GR"/>
        </w:rPr>
        <w:t>αταζαναβίρη</w:t>
      </w:r>
      <w:proofErr w:type="spellEnd"/>
      <w:r w:rsidRPr="00800E0B">
        <w:rPr>
          <w:sz w:val="22"/>
          <w:szCs w:val="22"/>
          <w:lang w:val="el-GR"/>
        </w:rPr>
        <w:t xml:space="preserve"> δεν συνιστάται και η ταυτόχρονη χορήγηση με </w:t>
      </w:r>
      <w:proofErr w:type="spellStart"/>
      <w:r w:rsidRPr="00800E0B">
        <w:rPr>
          <w:sz w:val="22"/>
          <w:szCs w:val="22"/>
          <w:lang w:val="el-GR"/>
        </w:rPr>
        <w:t>εσομεπραζόλη</w:t>
      </w:r>
      <w:proofErr w:type="spellEnd"/>
      <w:r w:rsidRPr="00800E0B">
        <w:rPr>
          <w:sz w:val="22"/>
          <w:szCs w:val="22"/>
          <w:lang w:val="el-GR"/>
        </w:rPr>
        <w:t xml:space="preserve"> και </w:t>
      </w:r>
      <w:proofErr w:type="spellStart"/>
      <w:r w:rsidRPr="00800E0B">
        <w:rPr>
          <w:sz w:val="22"/>
          <w:szCs w:val="22"/>
          <w:lang w:val="el-GR"/>
        </w:rPr>
        <w:t>νελφιναβίρη</w:t>
      </w:r>
      <w:proofErr w:type="spellEnd"/>
      <w:r w:rsidRPr="00800E0B">
        <w:rPr>
          <w:sz w:val="22"/>
          <w:szCs w:val="22"/>
          <w:lang w:val="el-GR"/>
        </w:rPr>
        <w:t xml:space="preserve"> αντενδείκνυται.</w:t>
      </w:r>
    </w:p>
    <w:p w:rsidR="009B62E6" w:rsidRPr="00800E0B" w:rsidRDefault="009B62E6">
      <w:pPr>
        <w:pStyle w:val="Default"/>
        <w:rPr>
          <w:sz w:val="22"/>
          <w:szCs w:val="22"/>
          <w:lang w:val="el-GR"/>
        </w:rPr>
      </w:pPr>
    </w:p>
    <w:p w:rsidR="009B62E6" w:rsidRPr="00800E0B" w:rsidRDefault="009B62E6">
      <w:pPr>
        <w:pStyle w:val="Default"/>
        <w:rPr>
          <w:i/>
          <w:iCs/>
          <w:sz w:val="22"/>
          <w:szCs w:val="22"/>
          <w:lang w:val="el-GR"/>
        </w:rPr>
      </w:pPr>
      <w:r w:rsidRPr="00800E0B">
        <w:rPr>
          <w:i/>
          <w:iCs/>
          <w:sz w:val="22"/>
          <w:szCs w:val="22"/>
          <w:lang w:val="el-GR"/>
        </w:rPr>
        <w:t>Φάρμακα που μεταβολίζονται μέσω του κυτοχρώματος CYP2C19</w:t>
      </w: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αναστέλλει το κυτόχρωμα CYP2C19, το κύριο ένζυμο μεταβολισμού της </w:t>
      </w:r>
      <w:proofErr w:type="spellStart"/>
      <w:r w:rsidRPr="00800E0B">
        <w:rPr>
          <w:sz w:val="22"/>
          <w:szCs w:val="22"/>
          <w:lang w:val="el-GR"/>
        </w:rPr>
        <w:t>εσομεπραζόλης</w:t>
      </w:r>
      <w:proofErr w:type="spellEnd"/>
      <w:r w:rsidRPr="00800E0B">
        <w:rPr>
          <w:sz w:val="22"/>
          <w:szCs w:val="22"/>
          <w:lang w:val="el-GR"/>
        </w:rPr>
        <w:t xml:space="preserve">. Επομένως, όταν η </w:t>
      </w:r>
      <w:proofErr w:type="spellStart"/>
      <w:r w:rsidRPr="00800E0B">
        <w:rPr>
          <w:sz w:val="22"/>
          <w:szCs w:val="22"/>
          <w:lang w:val="el-GR"/>
        </w:rPr>
        <w:t>εσομεπραζόλη</w:t>
      </w:r>
      <w:proofErr w:type="spellEnd"/>
      <w:r w:rsidRPr="00800E0B">
        <w:rPr>
          <w:sz w:val="22"/>
          <w:szCs w:val="22"/>
          <w:lang w:val="el-GR"/>
        </w:rPr>
        <w:t xml:space="preserve"> συνδυάζεται με φάρμακα που μεταβολίζονται από το κυτόχρωμα CYP2C19, όπως η </w:t>
      </w:r>
      <w:proofErr w:type="spellStart"/>
      <w:r w:rsidRPr="00800E0B">
        <w:rPr>
          <w:sz w:val="22"/>
          <w:szCs w:val="22"/>
          <w:lang w:val="el-GR"/>
        </w:rPr>
        <w:t>διαζεπάμη</w:t>
      </w:r>
      <w:proofErr w:type="spellEnd"/>
      <w:r w:rsidRPr="00800E0B">
        <w:rPr>
          <w:sz w:val="22"/>
          <w:szCs w:val="22"/>
          <w:lang w:val="el-GR"/>
        </w:rPr>
        <w:t xml:space="preserve">, η </w:t>
      </w:r>
      <w:proofErr w:type="spellStart"/>
      <w:r w:rsidRPr="00800E0B">
        <w:rPr>
          <w:sz w:val="22"/>
          <w:szCs w:val="22"/>
          <w:lang w:val="el-GR"/>
        </w:rPr>
        <w:t>σιταλοπράμη</w:t>
      </w:r>
      <w:proofErr w:type="spellEnd"/>
      <w:r w:rsidRPr="00800E0B">
        <w:rPr>
          <w:sz w:val="22"/>
          <w:szCs w:val="22"/>
          <w:lang w:val="el-GR"/>
        </w:rPr>
        <w:t xml:space="preserve">, η </w:t>
      </w:r>
      <w:proofErr w:type="spellStart"/>
      <w:r w:rsidRPr="00800E0B">
        <w:rPr>
          <w:sz w:val="22"/>
          <w:szCs w:val="22"/>
          <w:lang w:val="el-GR"/>
        </w:rPr>
        <w:t>ιμιπραμίνη</w:t>
      </w:r>
      <w:proofErr w:type="spellEnd"/>
      <w:r w:rsidRPr="00800E0B">
        <w:rPr>
          <w:sz w:val="22"/>
          <w:szCs w:val="22"/>
          <w:lang w:val="el-GR"/>
        </w:rPr>
        <w:t xml:space="preserve">, η </w:t>
      </w:r>
      <w:proofErr w:type="spellStart"/>
      <w:r w:rsidRPr="00800E0B">
        <w:rPr>
          <w:sz w:val="22"/>
          <w:szCs w:val="22"/>
          <w:lang w:val="el-GR"/>
        </w:rPr>
        <w:t>κλομιπραμίνη</w:t>
      </w:r>
      <w:proofErr w:type="spellEnd"/>
      <w:r w:rsidRPr="00800E0B">
        <w:rPr>
          <w:sz w:val="22"/>
          <w:szCs w:val="22"/>
          <w:lang w:val="el-GR"/>
        </w:rPr>
        <w:t xml:space="preserve">, η </w:t>
      </w:r>
      <w:proofErr w:type="spellStart"/>
      <w:r w:rsidRPr="00800E0B">
        <w:rPr>
          <w:sz w:val="22"/>
          <w:szCs w:val="22"/>
          <w:lang w:val="el-GR"/>
        </w:rPr>
        <w:t>φαινυτοΐνη</w:t>
      </w:r>
      <w:proofErr w:type="spellEnd"/>
      <w:r w:rsidRPr="00800E0B">
        <w:rPr>
          <w:sz w:val="22"/>
          <w:szCs w:val="22"/>
          <w:lang w:val="el-GR"/>
        </w:rPr>
        <w:t xml:space="preserve"> κ.λπ., οι συγκεντρώσεις αυτών των φαρμάκων στο πλάσμα ενδέχεται να αυξηθούν και θα μπορούσε να χρειαστεί μείωση της δόσης. Αυτό θα πρέπει να λαμβάνεται υπόψη ειδικά όταν </w:t>
      </w:r>
      <w:proofErr w:type="spellStart"/>
      <w:r w:rsidRPr="00800E0B">
        <w:rPr>
          <w:sz w:val="22"/>
          <w:szCs w:val="22"/>
          <w:lang w:val="el-GR"/>
        </w:rPr>
        <w:t>συνταγογραφείται</w:t>
      </w:r>
      <w:proofErr w:type="spellEnd"/>
      <w:r w:rsidRPr="00800E0B">
        <w:rPr>
          <w:sz w:val="22"/>
          <w:szCs w:val="22"/>
          <w:lang w:val="el-GR"/>
        </w:rPr>
        <w:t xml:space="preserve"> η </w:t>
      </w:r>
      <w:proofErr w:type="spellStart"/>
      <w:r w:rsidRPr="00800E0B">
        <w:rPr>
          <w:sz w:val="22"/>
          <w:szCs w:val="22"/>
          <w:lang w:val="el-GR"/>
        </w:rPr>
        <w:t>εσομεπραζόλη</w:t>
      </w:r>
      <w:proofErr w:type="spellEnd"/>
      <w:r w:rsidRPr="00800E0B">
        <w:rPr>
          <w:sz w:val="22"/>
          <w:szCs w:val="22"/>
          <w:lang w:val="el-GR"/>
        </w:rPr>
        <w:t xml:space="preserve"> για αγωγή κατ’ επίκληση. Η ταυτόχρονη χορήγηση 30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οδήγησε σε μείωση κατά 45% στην κάθαρση της </w:t>
      </w:r>
      <w:proofErr w:type="spellStart"/>
      <w:r w:rsidRPr="00800E0B">
        <w:rPr>
          <w:sz w:val="22"/>
          <w:szCs w:val="22"/>
          <w:lang w:val="el-GR"/>
        </w:rPr>
        <w:t>διαζεπάμης</w:t>
      </w:r>
      <w:proofErr w:type="spellEnd"/>
      <w:r w:rsidRPr="00800E0B">
        <w:rPr>
          <w:sz w:val="22"/>
          <w:szCs w:val="22"/>
          <w:lang w:val="el-GR"/>
        </w:rPr>
        <w:t xml:space="preserve"> που είναι υπόστρωμα του κυτοχρώματος CYP2C19. Η ταυτόχρονη χορήγηση 40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οδήγησε σε αύξηση κατά 13% στα ελάχιστα επίπεδα πλάσματος της </w:t>
      </w:r>
      <w:proofErr w:type="spellStart"/>
      <w:r w:rsidRPr="00800E0B">
        <w:rPr>
          <w:sz w:val="22"/>
          <w:szCs w:val="22"/>
          <w:lang w:val="el-GR"/>
        </w:rPr>
        <w:t>φαινυτοΐνης</w:t>
      </w:r>
      <w:proofErr w:type="spellEnd"/>
      <w:r w:rsidRPr="00800E0B">
        <w:rPr>
          <w:sz w:val="22"/>
          <w:szCs w:val="22"/>
          <w:lang w:val="el-GR"/>
        </w:rPr>
        <w:t xml:space="preserve"> σε επιληπτικούς ασθενείς. Συνιστάται η παρακολούθηση των συγκεντρώσεων της </w:t>
      </w:r>
      <w:proofErr w:type="spellStart"/>
      <w:r w:rsidRPr="00800E0B">
        <w:rPr>
          <w:sz w:val="22"/>
          <w:szCs w:val="22"/>
          <w:lang w:val="el-GR"/>
        </w:rPr>
        <w:t>φαινυτοΐνης</w:t>
      </w:r>
      <w:proofErr w:type="spellEnd"/>
      <w:r w:rsidRPr="00800E0B">
        <w:rPr>
          <w:sz w:val="22"/>
          <w:szCs w:val="22"/>
          <w:lang w:val="el-GR"/>
        </w:rPr>
        <w:t xml:space="preserve"> στο πλάσμα όταν εισάγεται ή αποσύρεται η θεραπεία με </w:t>
      </w:r>
      <w:proofErr w:type="spellStart"/>
      <w:r w:rsidRPr="00800E0B">
        <w:rPr>
          <w:sz w:val="22"/>
          <w:szCs w:val="22"/>
          <w:lang w:val="el-GR"/>
        </w:rPr>
        <w:t>εσομεπραζόλη</w:t>
      </w:r>
      <w:proofErr w:type="spellEnd"/>
      <w:r w:rsidRPr="00800E0B">
        <w:rPr>
          <w:sz w:val="22"/>
          <w:szCs w:val="22"/>
          <w:lang w:val="el-GR"/>
        </w:rPr>
        <w:t xml:space="preserve">. Η </w:t>
      </w:r>
      <w:proofErr w:type="spellStart"/>
      <w:r w:rsidRPr="00800E0B">
        <w:rPr>
          <w:sz w:val="22"/>
          <w:szCs w:val="22"/>
          <w:lang w:val="el-GR"/>
        </w:rPr>
        <w:t>ομεπραζόλη</w:t>
      </w:r>
      <w:proofErr w:type="spellEnd"/>
      <w:r w:rsidRPr="00800E0B">
        <w:rPr>
          <w:sz w:val="22"/>
          <w:szCs w:val="22"/>
          <w:lang w:val="el-GR"/>
        </w:rPr>
        <w:t xml:space="preserve"> (40 </w:t>
      </w:r>
      <w:proofErr w:type="spellStart"/>
      <w:r w:rsidRPr="00800E0B">
        <w:rPr>
          <w:sz w:val="22"/>
          <w:szCs w:val="22"/>
          <w:lang w:val="el-GR"/>
        </w:rPr>
        <w:t>mg</w:t>
      </w:r>
      <w:proofErr w:type="spellEnd"/>
      <w:r w:rsidRPr="00800E0B">
        <w:rPr>
          <w:sz w:val="22"/>
          <w:szCs w:val="22"/>
          <w:lang w:val="el-GR"/>
        </w:rPr>
        <w:t xml:space="preserve"> μία φορά την ημέρα) αύξησε τη </w:t>
      </w:r>
      <w:proofErr w:type="spellStart"/>
      <w:r w:rsidRPr="00800E0B">
        <w:rPr>
          <w:sz w:val="22"/>
          <w:szCs w:val="22"/>
          <w:lang w:val="el-GR"/>
        </w:rPr>
        <w:t>C</w:t>
      </w:r>
      <w:r w:rsidRPr="00800E0B">
        <w:rPr>
          <w:sz w:val="22"/>
          <w:szCs w:val="22"/>
          <w:vertAlign w:val="subscript"/>
          <w:lang w:val="el-GR"/>
        </w:rPr>
        <w:t>max</w:t>
      </w:r>
      <w:proofErr w:type="spellEnd"/>
      <w:r w:rsidRPr="00800E0B">
        <w:rPr>
          <w:sz w:val="22"/>
          <w:szCs w:val="22"/>
          <w:lang w:val="el-GR"/>
        </w:rPr>
        <w:t xml:space="preserve"> και το </w:t>
      </w:r>
      <w:proofErr w:type="spellStart"/>
      <w:r w:rsidRPr="00800E0B">
        <w:rPr>
          <w:sz w:val="22"/>
          <w:szCs w:val="22"/>
          <w:lang w:val="el-GR"/>
        </w:rPr>
        <w:t>AUC</w:t>
      </w:r>
      <w:r w:rsidRPr="00800E0B">
        <w:rPr>
          <w:sz w:val="22"/>
          <w:szCs w:val="22"/>
          <w:vertAlign w:val="subscript"/>
          <w:lang w:val="el-GR"/>
        </w:rPr>
        <w:t>τ</w:t>
      </w:r>
      <w:proofErr w:type="spellEnd"/>
      <w:r w:rsidRPr="00800E0B">
        <w:rPr>
          <w:sz w:val="22"/>
          <w:szCs w:val="22"/>
          <w:lang w:val="el-GR"/>
        </w:rPr>
        <w:t xml:space="preserve"> της </w:t>
      </w:r>
      <w:proofErr w:type="spellStart"/>
      <w:r w:rsidRPr="00800E0B">
        <w:rPr>
          <w:sz w:val="22"/>
          <w:szCs w:val="22"/>
          <w:lang w:val="el-GR"/>
        </w:rPr>
        <w:t>βορικοναζόλης</w:t>
      </w:r>
      <w:proofErr w:type="spellEnd"/>
      <w:r w:rsidRPr="00800E0B">
        <w:rPr>
          <w:sz w:val="22"/>
          <w:szCs w:val="22"/>
          <w:lang w:val="el-GR"/>
        </w:rPr>
        <w:t xml:space="preserve"> (υπόστρωμα κυτοχρώματος CYP2C19) κατά 15% και 41%, αντίστοιχα.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Η ταυτόχρονη χορήγηση 40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σε ασθενείς οι οποίοι λάμβαναν θεραπεία με </w:t>
      </w:r>
      <w:proofErr w:type="spellStart"/>
      <w:r w:rsidRPr="00800E0B">
        <w:rPr>
          <w:sz w:val="22"/>
          <w:szCs w:val="22"/>
          <w:lang w:val="el-GR"/>
        </w:rPr>
        <w:t>βαρφαρίνη</w:t>
      </w:r>
      <w:proofErr w:type="spellEnd"/>
      <w:r w:rsidRPr="00800E0B">
        <w:rPr>
          <w:sz w:val="22"/>
          <w:szCs w:val="22"/>
          <w:lang w:val="el-GR"/>
        </w:rPr>
        <w:t xml:space="preserve"> σε μια κλινική δοκιμή έδειξε ότι οι χρόνοι πήξης βρίσκονταν εντός του αποδεκτού εύρους. Ωστόσο, μετά την κυκλοφορία στην αγορά, έχουν αναφερθεί λίγες μεμονωμένες περιπτώσεις αυξημένου INR κλινικής σημασίας κατά τη διάρκεια της ταυτόχρονης θεραπείας. Συνιστάται παρακολούθηση κατά την έναρξη και τη λήξη ταυτόχρονης θεραπείας με </w:t>
      </w:r>
      <w:proofErr w:type="spellStart"/>
      <w:r w:rsidRPr="00800E0B">
        <w:rPr>
          <w:sz w:val="22"/>
          <w:szCs w:val="22"/>
          <w:lang w:val="el-GR"/>
        </w:rPr>
        <w:t>εσομεπραζόλη</w:t>
      </w:r>
      <w:proofErr w:type="spellEnd"/>
      <w:r w:rsidRPr="00800E0B">
        <w:rPr>
          <w:sz w:val="22"/>
          <w:szCs w:val="22"/>
          <w:lang w:val="el-GR"/>
        </w:rPr>
        <w:t xml:space="preserve"> κατά τη διάρκεια της θεραπείας με </w:t>
      </w:r>
      <w:proofErr w:type="spellStart"/>
      <w:r w:rsidRPr="00800E0B">
        <w:rPr>
          <w:sz w:val="22"/>
          <w:szCs w:val="22"/>
          <w:lang w:val="el-GR"/>
        </w:rPr>
        <w:t>βαρφαρίνη</w:t>
      </w:r>
      <w:proofErr w:type="spellEnd"/>
      <w:r w:rsidRPr="00800E0B">
        <w:rPr>
          <w:sz w:val="22"/>
          <w:szCs w:val="22"/>
          <w:lang w:val="el-GR"/>
        </w:rPr>
        <w:t xml:space="preserve"> ή άλλα παράγωγα </w:t>
      </w:r>
      <w:proofErr w:type="spellStart"/>
      <w:r w:rsidRPr="00800E0B">
        <w:rPr>
          <w:sz w:val="22"/>
          <w:szCs w:val="22"/>
          <w:lang w:val="el-GR"/>
        </w:rPr>
        <w:t>κουμαρίνης</w:t>
      </w:r>
      <w:proofErr w:type="spellEnd"/>
      <w:r w:rsidRPr="00800E0B">
        <w:rPr>
          <w:sz w:val="22"/>
          <w:szCs w:val="22"/>
          <w:lang w:val="el-GR"/>
        </w:rPr>
        <w:t xml:space="preserve">.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Σε υγιείς εθελοντές, η ταυτόχρονη χορήγηση 40 </w:t>
      </w:r>
      <w:proofErr w:type="spellStart"/>
      <w:r w:rsidRPr="00800E0B">
        <w:rPr>
          <w:sz w:val="22"/>
          <w:szCs w:val="22"/>
          <w:lang w:val="el-GR"/>
        </w:rPr>
        <w:t>mg</w:t>
      </w:r>
      <w:proofErr w:type="spellEnd"/>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οδήγησε σε αύξηση κατά 32% στο εμβαδό κάτω από την καμπύλη συγκέντρωσης στο πλάσμα-χρόνου (AUC) και παράταση κατά 31% του χρόνου ημίσειας ζωής αποβολής (t</w:t>
      </w:r>
      <w:r w:rsidRPr="00800E0B">
        <w:rPr>
          <w:sz w:val="22"/>
          <w:szCs w:val="22"/>
          <w:vertAlign w:val="subscript"/>
          <w:lang w:val="el-GR"/>
        </w:rPr>
        <w:t>1/2</w:t>
      </w:r>
      <w:r w:rsidRPr="00800E0B">
        <w:rPr>
          <w:sz w:val="22"/>
          <w:szCs w:val="22"/>
          <w:lang w:val="el-GR"/>
        </w:rPr>
        <w:t xml:space="preserve">) αλλά καμία σημαντική αύξηση στα μέγιστα επίπεδα </w:t>
      </w:r>
      <w:proofErr w:type="spellStart"/>
      <w:r w:rsidRPr="00800E0B">
        <w:rPr>
          <w:sz w:val="22"/>
          <w:szCs w:val="22"/>
          <w:lang w:val="el-GR"/>
        </w:rPr>
        <w:t>σισαπρίδης</w:t>
      </w:r>
      <w:proofErr w:type="spellEnd"/>
      <w:r w:rsidRPr="00800E0B">
        <w:rPr>
          <w:sz w:val="22"/>
          <w:szCs w:val="22"/>
          <w:lang w:val="el-GR"/>
        </w:rPr>
        <w:t xml:space="preserve"> στο πλάσμα. Η ελαφριά παράταση του διαστήματος </w:t>
      </w:r>
      <w:proofErr w:type="spellStart"/>
      <w:r w:rsidRPr="00800E0B">
        <w:rPr>
          <w:sz w:val="22"/>
          <w:szCs w:val="22"/>
          <w:lang w:val="el-GR"/>
        </w:rPr>
        <w:t>QTc</w:t>
      </w:r>
      <w:proofErr w:type="spellEnd"/>
      <w:r w:rsidRPr="00800E0B">
        <w:rPr>
          <w:sz w:val="22"/>
          <w:szCs w:val="22"/>
          <w:lang w:val="el-GR"/>
        </w:rPr>
        <w:t xml:space="preserve"> που παρατηρήθηκε μετά τη μεμονωμένη χορήγηση </w:t>
      </w:r>
      <w:proofErr w:type="spellStart"/>
      <w:r w:rsidRPr="00800E0B">
        <w:rPr>
          <w:sz w:val="22"/>
          <w:szCs w:val="22"/>
          <w:lang w:val="el-GR"/>
        </w:rPr>
        <w:t>σισαπρίδης</w:t>
      </w:r>
      <w:proofErr w:type="spellEnd"/>
      <w:r w:rsidRPr="00800E0B">
        <w:rPr>
          <w:sz w:val="22"/>
          <w:szCs w:val="22"/>
          <w:lang w:val="el-GR"/>
        </w:rPr>
        <w:t xml:space="preserve">, δεν παρατάθηκε περαιτέρω κατά τη χορήγηση </w:t>
      </w:r>
      <w:proofErr w:type="spellStart"/>
      <w:r w:rsidRPr="00800E0B">
        <w:rPr>
          <w:sz w:val="22"/>
          <w:szCs w:val="22"/>
          <w:lang w:val="el-GR"/>
        </w:rPr>
        <w:t>σισαπρίδης</w:t>
      </w:r>
      <w:proofErr w:type="spellEnd"/>
      <w:r w:rsidRPr="00800E0B">
        <w:rPr>
          <w:sz w:val="22"/>
          <w:szCs w:val="22"/>
          <w:lang w:val="el-GR"/>
        </w:rPr>
        <w:t xml:space="preserve"> σε συνδυασμό με </w:t>
      </w:r>
      <w:proofErr w:type="spellStart"/>
      <w:r w:rsidRPr="00800E0B">
        <w:rPr>
          <w:sz w:val="22"/>
          <w:szCs w:val="22"/>
          <w:lang w:val="el-GR"/>
        </w:rPr>
        <w:t>εσομεπραζόλη</w:t>
      </w:r>
      <w:proofErr w:type="spellEnd"/>
      <w:r w:rsidRPr="00800E0B">
        <w:rPr>
          <w:sz w:val="22"/>
          <w:szCs w:val="22"/>
          <w:lang w:val="el-GR"/>
        </w:rPr>
        <w:t xml:space="preserve"> (βλ. επίσης παράγραφο 4.4).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έχει φανεί ότι δεν έχει κλινικά σχετικές επιδράσεις στη </w:t>
      </w:r>
      <w:proofErr w:type="spellStart"/>
      <w:r w:rsidRPr="00800E0B">
        <w:rPr>
          <w:sz w:val="22"/>
          <w:szCs w:val="22"/>
          <w:lang w:val="el-GR"/>
        </w:rPr>
        <w:t>φαρμακοκινητική</w:t>
      </w:r>
      <w:proofErr w:type="spellEnd"/>
      <w:r w:rsidRPr="00800E0B">
        <w:rPr>
          <w:sz w:val="22"/>
          <w:szCs w:val="22"/>
          <w:lang w:val="el-GR"/>
        </w:rPr>
        <w:t xml:space="preserve"> της </w:t>
      </w:r>
      <w:proofErr w:type="spellStart"/>
      <w:r w:rsidRPr="00800E0B">
        <w:rPr>
          <w:sz w:val="22"/>
          <w:szCs w:val="22"/>
          <w:lang w:val="el-GR"/>
        </w:rPr>
        <w:t>αμοξυκιλλίνης</w:t>
      </w:r>
      <w:proofErr w:type="spellEnd"/>
      <w:r w:rsidRPr="00800E0B">
        <w:rPr>
          <w:sz w:val="22"/>
          <w:szCs w:val="22"/>
          <w:lang w:val="el-GR"/>
        </w:rPr>
        <w:t xml:space="preserve"> και της </w:t>
      </w:r>
      <w:proofErr w:type="spellStart"/>
      <w:r w:rsidRPr="00800E0B">
        <w:rPr>
          <w:sz w:val="22"/>
          <w:szCs w:val="22"/>
          <w:lang w:val="el-GR"/>
        </w:rPr>
        <w:t>κινιδίνης</w:t>
      </w:r>
      <w:proofErr w:type="spellEnd"/>
      <w:r w:rsidRPr="00800E0B">
        <w:rPr>
          <w:sz w:val="22"/>
          <w:szCs w:val="22"/>
          <w:lang w:val="el-GR"/>
        </w:rPr>
        <w:t xml:space="preserve">.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Μελέτες που αξιολόγησαν την ταυτόχρονη χορήγηση της </w:t>
      </w:r>
      <w:proofErr w:type="spellStart"/>
      <w:r w:rsidRPr="00800E0B">
        <w:rPr>
          <w:sz w:val="22"/>
          <w:szCs w:val="22"/>
          <w:lang w:val="el-GR"/>
        </w:rPr>
        <w:t>εσομεπραζόλης</w:t>
      </w:r>
      <w:proofErr w:type="spellEnd"/>
      <w:r w:rsidRPr="00800E0B">
        <w:rPr>
          <w:sz w:val="22"/>
          <w:szCs w:val="22"/>
          <w:lang w:val="el-GR"/>
        </w:rPr>
        <w:t xml:space="preserve"> και της </w:t>
      </w:r>
      <w:proofErr w:type="spellStart"/>
      <w:r w:rsidRPr="00800E0B">
        <w:rPr>
          <w:sz w:val="22"/>
          <w:szCs w:val="22"/>
          <w:lang w:val="el-GR"/>
        </w:rPr>
        <w:t>ναπροξένης</w:t>
      </w:r>
      <w:proofErr w:type="spellEnd"/>
      <w:r w:rsidRPr="00800E0B">
        <w:rPr>
          <w:sz w:val="22"/>
          <w:szCs w:val="22"/>
          <w:lang w:val="el-GR"/>
        </w:rPr>
        <w:t xml:space="preserve"> ή της </w:t>
      </w:r>
      <w:proofErr w:type="spellStart"/>
      <w:r w:rsidRPr="00800E0B">
        <w:rPr>
          <w:sz w:val="22"/>
          <w:szCs w:val="22"/>
          <w:lang w:val="el-GR"/>
        </w:rPr>
        <w:t>ροφεκοξίμπης</w:t>
      </w:r>
      <w:proofErr w:type="spellEnd"/>
      <w:r w:rsidRPr="00800E0B">
        <w:rPr>
          <w:sz w:val="22"/>
          <w:szCs w:val="22"/>
          <w:lang w:val="el-GR"/>
        </w:rPr>
        <w:t xml:space="preserve"> δεν αναγνώρισαν τυχόν κλινικά σχετικές </w:t>
      </w:r>
      <w:proofErr w:type="spellStart"/>
      <w:r w:rsidRPr="00800E0B">
        <w:rPr>
          <w:sz w:val="22"/>
          <w:szCs w:val="22"/>
          <w:lang w:val="el-GR"/>
        </w:rPr>
        <w:t>φαρμακοκινητικές</w:t>
      </w:r>
      <w:proofErr w:type="spellEnd"/>
      <w:r w:rsidRPr="00800E0B">
        <w:rPr>
          <w:sz w:val="22"/>
          <w:szCs w:val="22"/>
          <w:lang w:val="el-GR"/>
        </w:rPr>
        <w:t xml:space="preserve"> αλληλεπιδράσεις κατά τη διάρκεια βραχυχρόνιων μελετών.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Σε μια διασταυρούμενη κλινική μελέτη, η </w:t>
      </w:r>
      <w:proofErr w:type="spellStart"/>
      <w:r w:rsidRPr="00800E0B">
        <w:rPr>
          <w:sz w:val="22"/>
          <w:szCs w:val="22"/>
          <w:lang w:val="el-GR"/>
        </w:rPr>
        <w:t>κλοπιδογρέλη</w:t>
      </w:r>
      <w:proofErr w:type="spellEnd"/>
      <w:r w:rsidRPr="00800E0B">
        <w:rPr>
          <w:sz w:val="22"/>
          <w:szCs w:val="22"/>
          <w:lang w:val="el-GR"/>
        </w:rPr>
        <w:t xml:space="preserve"> (300 </w:t>
      </w:r>
      <w:r w:rsidRPr="00800E0B">
        <w:rPr>
          <w:sz w:val="22"/>
          <w:szCs w:val="22"/>
          <w:lang w:val="en-US"/>
        </w:rPr>
        <w:t>mg</w:t>
      </w:r>
      <w:r w:rsidRPr="00800E0B">
        <w:rPr>
          <w:sz w:val="22"/>
          <w:szCs w:val="22"/>
          <w:lang w:val="el-GR"/>
        </w:rPr>
        <w:t xml:space="preserve"> δόση φόρτισης που ακολουθήθηκε από 75 </w:t>
      </w:r>
      <w:r w:rsidRPr="00800E0B">
        <w:rPr>
          <w:sz w:val="22"/>
          <w:szCs w:val="22"/>
          <w:lang w:val="en-US"/>
        </w:rPr>
        <w:t>mg</w:t>
      </w:r>
      <w:r w:rsidRPr="00800E0B">
        <w:rPr>
          <w:sz w:val="22"/>
          <w:szCs w:val="22"/>
          <w:lang w:val="el-GR"/>
        </w:rPr>
        <w:t xml:space="preserve">/ημέρα) μόνη και μαζί με την </w:t>
      </w:r>
      <w:proofErr w:type="spellStart"/>
      <w:r w:rsidRPr="00800E0B">
        <w:rPr>
          <w:sz w:val="22"/>
          <w:szCs w:val="22"/>
          <w:lang w:val="el-GR"/>
        </w:rPr>
        <w:t>ομεπραζόλη</w:t>
      </w:r>
      <w:proofErr w:type="spellEnd"/>
      <w:r w:rsidRPr="00800E0B">
        <w:rPr>
          <w:sz w:val="22"/>
          <w:szCs w:val="22"/>
          <w:lang w:val="el-GR"/>
        </w:rPr>
        <w:t xml:space="preserve"> (80 </w:t>
      </w:r>
      <w:r w:rsidRPr="00800E0B">
        <w:rPr>
          <w:sz w:val="22"/>
          <w:szCs w:val="22"/>
          <w:lang w:val="en-US"/>
        </w:rPr>
        <w:t>mg</w:t>
      </w:r>
      <w:r w:rsidRPr="00800E0B">
        <w:rPr>
          <w:sz w:val="22"/>
          <w:szCs w:val="22"/>
          <w:lang w:val="el-GR"/>
        </w:rPr>
        <w:t xml:space="preserve"> την ίδια ώρα όπως η </w:t>
      </w:r>
      <w:proofErr w:type="spellStart"/>
      <w:r w:rsidRPr="00800E0B">
        <w:rPr>
          <w:sz w:val="22"/>
          <w:szCs w:val="22"/>
          <w:lang w:val="el-GR"/>
        </w:rPr>
        <w:t>κλοπιδογρέλη</w:t>
      </w:r>
      <w:proofErr w:type="spellEnd"/>
      <w:r w:rsidRPr="00800E0B">
        <w:rPr>
          <w:sz w:val="22"/>
          <w:szCs w:val="22"/>
          <w:lang w:val="el-GR"/>
        </w:rPr>
        <w:t xml:space="preserve">) </w:t>
      </w:r>
      <w:r w:rsidRPr="00800E0B">
        <w:rPr>
          <w:sz w:val="22"/>
          <w:szCs w:val="22"/>
          <w:lang w:val="el-GR"/>
        </w:rPr>
        <w:lastRenderedPageBreak/>
        <w:t xml:space="preserve">χορηγήθηκαν για 5 ημέρες. Η έκθεση στο δραστικό μεταβολίτη της </w:t>
      </w:r>
      <w:proofErr w:type="spellStart"/>
      <w:r w:rsidRPr="00800E0B">
        <w:rPr>
          <w:sz w:val="22"/>
          <w:szCs w:val="22"/>
          <w:lang w:val="el-GR"/>
        </w:rPr>
        <w:t>κλοπιδογρέλης</w:t>
      </w:r>
      <w:proofErr w:type="spellEnd"/>
      <w:r w:rsidRPr="00800E0B">
        <w:rPr>
          <w:sz w:val="22"/>
          <w:szCs w:val="22"/>
          <w:lang w:val="el-GR"/>
        </w:rPr>
        <w:t xml:space="preserve"> μειώθηκε κατά 46% (Ημέρα 1) και 42% (Ημέρα 5) όταν η </w:t>
      </w:r>
      <w:proofErr w:type="spellStart"/>
      <w:r w:rsidRPr="00800E0B">
        <w:rPr>
          <w:sz w:val="22"/>
          <w:szCs w:val="22"/>
          <w:lang w:val="el-GR"/>
        </w:rPr>
        <w:t>κλοπιδογρέλη</w:t>
      </w:r>
      <w:proofErr w:type="spellEnd"/>
      <w:r w:rsidRPr="00800E0B">
        <w:rPr>
          <w:sz w:val="22"/>
          <w:szCs w:val="22"/>
          <w:lang w:val="el-GR"/>
        </w:rPr>
        <w:t xml:space="preserve"> και η </w:t>
      </w:r>
      <w:proofErr w:type="spellStart"/>
      <w:r w:rsidRPr="00800E0B">
        <w:rPr>
          <w:sz w:val="22"/>
          <w:szCs w:val="22"/>
          <w:lang w:val="el-GR"/>
        </w:rPr>
        <w:t>ομεπραζόλη</w:t>
      </w:r>
      <w:proofErr w:type="spellEnd"/>
      <w:r w:rsidRPr="00800E0B">
        <w:rPr>
          <w:sz w:val="22"/>
          <w:szCs w:val="22"/>
          <w:lang w:val="el-GR"/>
        </w:rPr>
        <w:t xml:space="preserve"> χορηγήθηκαν μαζί. Η μέση αναστολή της συσσώρευσης αιμοπεταλίων (</w:t>
      </w:r>
      <w:r w:rsidRPr="00800E0B">
        <w:rPr>
          <w:sz w:val="22"/>
          <w:szCs w:val="22"/>
          <w:lang w:val="en-US"/>
        </w:rPr>
        <w:t>IPA</w:t>
      </w:r>
      <w:r w:rsidRPr="00800E0B">
        <w:rPr>
          <w:sz w:val="22"/>
          <w:szCs w:val="22"/>
          <w:lang w:val="el-GR"/>
        </w:rPr>
        <w:t xml:space="preserve">) μειώθηκε κατά 47% (24 ώρες) και 30% (Ημέρα 5) όταν η </w:t>
      </w:r>
      <w:proofErr w:type="spellStart"/>
      <w:r w:rsidRPr="00800E0B">
        <w:rPr>
          <w:sz w:val="22"/>
          <w:szCs w:val="22"/>
          <w:lang w:val="el-GR"/>
        </w:rPr>
        <w:t>κλοπιδογρέλη</w:t>
      </w:r>
      <w:proofErr w:type="spellEnd"/>
      <w:r w:rsidRPr="00800E0B">
        <w:rPr>
          <w:sz w:val="22"/>
          <w:szCs w:val="22"/>
          <w:lang w:val="el-GR"/>
        </w:rPr>
        <w:t xml:space="preserve"> και η </w:t>
      </w:r>
      <w:proofErr w:type="spellStart"/>
      <w:r w:rsidRPr="00800E0B">
        <w:rPr>
          <w:sz w:val="22"/>
          <w:szCs w:val="22"/>
          <w:lang w:val="el-GR"/>
        </w:rPr>
        <w:t>ομεπραζόλη</w:t>
      </w:r>
      <w:proofErr w:type="spellEnd"/>
      <w:r w:rsidRPr="00800E0B">
        <w:rPr>
          <w:sz w:val="22"/>
          <w:szCs w:val="22"/>
          <w:lang w:val="el-GR"/>
        </w:rPr>
        <w:t xml:space="preserve"> χορηγήθηκαν μαζί. Σε μια άλλη μελέτη, καταδείχθηκε ότι η χορήγηση </w:t>
      </w:r>
      <w:proofErr w:type="spellStart"/>
      <w:r w:rsidRPr="00800E0B">
        <w:rPr>
          <w:sz w:val="22"/>
          <w:szCs w:val="22"/>
          <w:lang w:val="el-GR"/>
        </w:rPr>
        <w:t>κλοπιδογρέλης</w:t>
      </w:r>
      <w:proofErr w:type="spellEnd"/>
      <w:r w:rsidRPr="00800E0B">
        <w:rPr>
          <w:sz w:val="22"/>
          <w:szCs w:val="22"/>
          <w:lang w:val="el-GR"/>
        </w:rPr>
        <w:t xml:space="preserve"> και </w:t>
      </w:r>
      <w:proofErr w:type="spellStart"/>
      <w:r w:rsidRPr="00800E0B">
        <w:rPr>
          <w:sz w:val="22"/>
          <w:szCs w:val="22"/>
          <w:lang w:val="el-GR"/>
        </w:rPr>
        <w:t>ομεπραζόλης</w:t>
      </w:r>
      <w:proofErr w:type="spellEnd"/>
      <w:r w:rsidRPr="00800E0B">
        <w:rPr>
          <w:sz w:val="22"/>
          <w:szCs w:val="22"/>
          <w:lang w:val="el-GR"/>
        </w:rPr>
        <w:t xml:space="preserve"> σε διαφορετικές ώρες δεν απέτρεψε την αλληλεπίδρασή τους που πιθανά προκαλείται από την ανασταλτική δράση της </w:t>
      </w:r>
      <w:proofErr w:type="spellStart"/>
      <w:r w:rsidRPr="00800E0B">
        <w:rPr>
          <w:sz w:val="22"/>
          <w:szCs w:val="22"/>
          <w:lang w:val="el-GR"/>
        </w:rPr>
        <w:t>ομεπραζόλης</w:t>
      </w:r>
      <w:proofErr w:type="spellEnd"/>
      <w:r w:rsidRPr="00800E0B">
        <w:rPr>
          <w:sz w:val="22"/>
          <w:szCs w:val="22"/>
          <w:lang w:val="el-GR"/>
        </w:rPr>
        <w:t xml:space="preserve"> στο </w:t>
      </w:r>
      <w:r w:rsidRPr="00800E0B">
        <w:rPr>
          <w:sz w:val="22"/>
          <w:szCs w:val="22"/>
          <w:lang w:val="en-US"/>
        </w:rPr>
        <w:t>CYP</w:t>
      </w:r>
      <w:r w:rsidRPr="00800E0B">
        <w:rPr>
          <w:sz w:val="22"/>
          <w:szCs w:val="22"/>
          <w:lang w:val="el-GR"/>
        </w:rPr>
        <w:t>2</w:t>
      </w:r>
      <w:r w:rsidRPr="00800E0B">
        <w:rPr>
          <w:sz w:val="22"/>
          <w:szCs w:val="22"/>
          <w:lang w:val="en-US"/>
        </w:rPr>
        <w:t>C</w:t>
      </w:r>
      <w:r w:rsidRPr="00800E0B">
        <w:rPr>
          <w:sz w:val="22"/>
          <w:szCs w:val="22"/>
          <w:lang w:val="el-GR"/>
        </w:rPr>
        <w:t xml:space="preserve">19. Αντιφατικά δεδομένα έχουν αναφερθεί για τις κλινικές επιπτώσεις αυτής της ΦΚ/ΦΔ αλληλεπίδρασης αναφορικά με μείζονα καρδιαγγειακά </w:t>
      </w:r>
      <w:proofErr w:type="spellStart"/>
      <w:r w:rsidRPr="00800E0B">
        <w:rPr>
          <w:sz w:val="22"/>
          <w:szCs w:val="22"/>
          <w:lang w:val="el-GR"/>
        </w:rPr>
        <w:t>συμβάματα</w:t>
      </w:r>
      <w:proofErr w:type="spellEnd"/>
      <w:r w:rsidRPr="00800E0B">
        <w:rPr>
          <w:sz w:val="22"/>
          <w:szCs w:val="22"/>
          <w:lang w:val="el-GR"/>
        </w:rPr>
        <w:t xml:space="preserve"> από μελέτες παρατήρησης και κλινικές μελέτες.</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 xml:space="preserve">Επιδράσεις άλλων φαρμάκων στη </w:t>
      </w:r>
      <w:proofErr w:type="spellStart"/>
      <w:r w:rsidRPr="00800E0B">
        <w:rPr>
          <w:sz w:val="22"/>
          <w:szCs w:val="22"/>
          <w:u w:val="single"/>
          <w:lang w:val="el-GR"/>
        </w:rPr>
        <w:t>φαρμακοκινητική</w:t>
      </w:r>
      <w:proofErr w:type="spellEnd"/>
      <w:r w:rsidRPr="00800E0B">
        <w:rPr>
          <w:sz w:val="22"/>
          <w:szCs w:val="22"/>
          <w:u w:val="single"/>
          <w:lang w:val="el-GR"/>
        </w:rPr>
        <w:t xml:space="preserve"> της </w:t>
      </w:r>
      <w:proofErr w:type="spellStart"/>
      <w:r w:rsidRPr="00800E0B">
        <w:rPr>
          <w:sz w:val="22"/>
          <w:szCs w:val="22"/>
          <w:u w:val="single"/>
          <w:lang w:val="el-GR"/>
        </w:rPr>
        <w:t>εσομεπραζόλης</w:t>
      </w:r>
      <w:proofErr w:type="spellEnd"/>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μεταβολίζεται μέσω των κυτοχρωμάτων CYP2C19 και CYP3A4. Η ταυτόχρονη χορήγηση </w:t>
      </w:r>
      <w:proofErr w:type="spellStart"/>
      <w:r w:rsidRPr="00800E0B">
        <w:rPr>
          <w:sz w:val="22"/>
          <w:szCs w:val="22"/>
          <w:lang w:val="el-GR"/>
        </w:rPr>
        <w:t>εσομεπραζόλης</w:t>
      </w:r>
      <w:proofErr w:type="spellEnd"/>
      <w:r w:rsidRPr="00800E0B">
        <w:rPr>
          <w:sz w:val="22"/>
          <w:szCs w:val="22"/>
          <w:lang w:val="el-GR"/>
        </w:rPr>
        <w:t xml:space="preserve"> και ενός αναστολέα του κυτοχρώματος CYP3A4, της </w:t>
      </w:r>
      <w:proofErr w:type="spellStart"/>
      <w:r w:rsidRPr="00800E0B">
        <w:rPr>
          <w:sz w:val="22"/>
          <w:szCs w:val="22"/>
          <w:lang w:val="el-GR"/>
        </w:rPr>
        <w:t>κλαριθρομυκίνης</w:t>
      </w:r>
      <w:proofErr w:type="spellEnd"/>
      <w:r w:rsidRPr="00800E0B">
        <w:rPr>
          <w:sz w:val="22"/>
          <w:szCs w:val="22"/>
          <w:lang w:val="el-GR"/>
        </w:rPr>
        <w:t xml:space="preserve"> (500 </w:t>
      </w:r>
      <w:proofErr w:type="spellStart"/>
      <w:r w:rsidRPr="00800E0B">
        <w:rPr>
          <w:sz w:val="22"/>
          <w:szCs w:val="22"/>
          <w:lang w:val="el-GR"/>
        </w:rPr>
        <w:t>mg</w:t>
      </w:r>
      <w:proofErr w:type="spellEnd"/>
      <w:r w:rsidRPr="00800E0B">
        <w:rPr>
          <w:sz w:val="22"/>
          <w:szCs w:val="22"/>
          <w:lang w:val="el-GR"/>
        </w:rPr>
        <w:t xml:space="preserve"> δύο φορές την ημέρα), οδήγησε σε διπλασιασμό της έκθεσης (AUC) στην </w:t>
      </w:r>
      <w:proofErr w:type="spellStart"/>
      <w:r w:rsidRPr="00800E0B">
        <w:rPr>
          <w:sz w:val="22"/>
          <w:szCs w:val="22"/>
          <w:lang w:val="el-GR"/>
        </w:rPr>
        <w:t>εσομεπραζόλη</w:t>
      </w:r>
      <w:proofErr w:type="spellEnd"/>
      <w:r w:rsidRPr="00800E0B">
        <w:rPr>
          <w:sz w:val="22"/>
          <w:szCs w:val="22"/>
          <w:lang w:val="el-GR"/>
        </w:rPr>
        <w:t xml:space="preserve">. Η ταυτόχρονη χορήγηση </w:t>
      </w:r>
      <w:proofErr w:type="spellStart"/>
      <w:r w:rsidRPr="00800E0B">
        <w:rPr>
          <w:sz w:val="22"/>
          <w:szCs w:val="22"/>
          <w:lang w:val="el-GR"/>
        </w:rPr>
        <w:t>εσομεπραζόλης</w:t>
      </w:r>
      <w:proofErr w:type="spellEnd"/>
      <w:r w:rsidRPr="00800E0B">
        <w:rPr>
          <w:sz w:val="22"/>
          <w:szCs w:val="22"/>
          <w:lang w:val="el-GR"/>
        </w:rPr>
        <w:t xml:space="preserve"> και ενός συνδυαστικού αναστολέα των κυτοχρωμάτων CYP2C19 και CYP3A4 ενδέχεται να οδηγήσει σε περισσότερο από διπλασιασμό της έκθεσης στην </w:t>
      </w:r>
      <w:proofErr w:type="spellStart"/>
      <w:r w:rsidRPr="00800E0B">
        <w:rPr>
          <w:sz w:val="22"/>
          <w:szCs w:val="22"/>
          <w:lang w:val="el-GR"/>
        </w:rPr>
        <w:t>εσομεπραζόλη</w:t>
      </w:r>
      <w:proofErr w:type="spellEnd"/>
      <w:r w:rsidRPr="00800E0B">
        <w:rPr>
          <w:sz w:val="22"/>
          <w:szCs w:val="22"/>
          <w:lang w:val="el-GR"/>
        </w:rPr>
        <w:t xml:space="preserve">. Η </w:t>
      </w:r>
      <w:proofErr w:type="spellStart"/>
      <w:r w:rsidRPr="00800E0B">
        <w:rPr>
          <w:sz w:val="22"/>
          <w:szCs w:val="22"/>
          <w:lang w:val="el-GR"/>
        </w:rPr>
        <w:t>βορικοναζόλη</w:t>
      </w:r>
      <w:proofErr w:type="spellEnd"/>
      <w:r w:rsidRPr="00800E0B">
        <w:rPr>
          <w:sz w:val="22"/>
          <w:szCs w:val="22"/>
          <w:lang w:val="el-GR"/>
        </w:rPr>
        <w:t xml:space="preserve">, που είναι αναστολέας των κυτοχρωμάτων CYP2C19 και CYP3A4, αύξησε το </w:t>
      </w:r>
      <w:proofErr w:type="spellStart"/>
      <w:r w:rsidRPr="00800E0B">
        <w:rPr>
          <w:sz w:val="22"/>
          <w:szCs w:val="22"/>
          <w:lang w:val="el-GR"/>
        </w:rPr>
        <w:t>AUC</w:t>
      </w:r>
      <w:r w:rsidRPr="00800E0B">
        <w:rPr>
          <w:sz w:val="22"/>
          <w:szCs w:val="22"/>
          <w:vertAlign w:val="subscript"/>
          <w:lang w:val="el-GR"/>
        </w:rPr>
        <w:t>τ</w:t>
      </w:r>
      <w:proofErr w:type="spellEnd"/>
      <w:r w:rsidRPr="00800E0B">
        <w:rPr>
          <w:sz w:val="22"/>
          <w:szCs w:val="22"/>
          <w:lang w:val="el-GR"/>
        </w:rPr>
        <w:t xml:space="preserve"> της </w:t>
      </w:r>
      <w:proofErr w:type="spellStart"/>
      <w:r w:rsidRPr="00800E0B">
        <w:rPr>
          <w:sz w:val="22"/>
          <w:szCs w:val="22"/>
          <w:lang w:val="el-GR"/>
        </w:rPr>
        <w:t>ομεπραζόλης</w:t>
      </w:r>
      <w:proofErr w:type="spellEnd"/>
      <w:r w:rsidRPr="00800E0B">
        <w:rPr>
          <w:sz w:val="22"/>
          <w:szCs w:val="22"/>
          <w:lang w:val="el-GR"/>
        </w:rPr>
        <w:t xml:space="preserve"> κατά 280%. Δεν απαιτείται τακτικά προσαρμογή δόσης της </w:t>
      </w:r>
      <w:proofErr w:type="spellStart"/>
      <w:r w:rsidRPr="00800E0B">
        <w:rPr>
          <w:sz w:val="22"/>
          <w:szCs w:val="22"/>
          <w:lang w:val="el-GR"/>
        </w:rPr>
        <w:t>εσομεπραζόλης</w:t>
      </w:r>
      <w:proofErr w:type="spellEnd"/>
      <w:r w:rsidRPr="00800E0B">
        <w:rPr>
          <w:sz w:val="22"/>
          <w:szCs w:val="22"/>
          <w:lang w:val="el-GR"/>
        </w:rPr>
        <w:t xml:space="preserve"> σε οποιαδήποτε από αυτές τις καταστάσεις. Ωστόσο, θα πρέπει να εξετάζεται το ενδεχόμενο προσαρμογής δόσης σε ασθενείς με βαριά ηπατική δυσλειτουργία και εάν υπάρχει ένδειξη μακροχρόνιας θεραπείας. </w:t>
      </w:r>
    </w:p>
    <w:p w:rsidR="009B62E6" w:rsidRPr="00800E0B" w:rsidRDefault="009B62E6">
      <w:pPr>
        <w:tabs>
          <w:tab w:val="clear" w:pos="567"/>
        </w:tabs>
        <w:spacing w:line="240" w:lineRule="auto"/>
        <w:rPr>
          <w:noProof/>
          <w:lang w:val="el-GR"/>
        </w:rPr>
      </w:pPr>
    </w:p>
    <w:p w:rsidR="009B62E6" w:rsidRPr="00800E0B" w:rsidRDefault="009B62E6">
      <w:pPr>
        <w:tabs>
          <w:tab w:val="clear" w:pos="567"/>
        </w:tabs>
        <w:spacing w:line="240" w:lineRule="auto"/>
        <w:rPr>
          <w:noProof/>
          <w:lang w:val="el-GR"/>
        </w:rPr>
      </w:pPr>
      <w:r w:rsidRPr="00800E0B">
        <w:rPr>
          <w:noProof/>
          <w:lang w:val="el-GR"/>
        </w:rPr>
        <w:t xml:space="preserve">Φάρμακα που είναι γνωστό ότι επάγουν το </w:t>
      </w:r>
      <w:r w:rsidRPr="00800E0B">
        <w:rPr>
          <w:noProof/>
          <w:lang w:val="en-US"/>
        </w:rPr>
        <w:t>CYP</w:t>
      </w:r>
      <w:r w:rsidRPr="00800E0B">
        <w:rPr>
          <w:noProof/>
          <w:lang w:val="el-GR"/>
        </w:rPr>
        <w:t>2</w:t>
      </w:r>
      <w:r w:rsidRPr="00800E0B">
        <w:rPr>
          <w:noProof/>
          <w:lang w:val="en-US"/>
        </w:rPr>
        <w:t>C</w:t>
      </w:r>
      <w:r w:rsidRPr="00800E0B">
        <w:rPr>
          <w:noProof/>
          <w:lang w:val="el-GR"/>
        </w:rPr>
        <w:t xml:space="preserve">19 ή το </w:t>
      </w:r>
      <w:r w:rsidRPr="00800E0B">
        <w:rPr>
          <w:noProof/>
          <w:lang w:val="en-US"/>
        </w:rPr>
        <w:t>CYP</w:t>
      </w:r>
      <w:r w:rsidRPr="00800E0B">
        <w:rPr>
          <w:noProof/>
          <w:lang w:val="el-GR"/>
        </w:rPr>
        <w:t>3</w:t>
      </w:r>
      <w:r w:rsidRPr="00800E0B">
        <w:rPr>
          <w:noProof/>
          <w:lang w:val="en-US"/>
        </w:rPr>
        <w:t>A</w:t>
      </w:r>
      <w:r w:rsidRPr="00800E0B">
        <w:rPr>
          <w:noProof/>
          <w:lang w:val="el-GR"/>
        </w:rPr>
        <w:t xml:space="preserve">4 ή και τα δύο (όπως η ριφαμπικίνη και το </w:t>
      </w:r>
      <w:bookmarkStart w:id="7" w:name="OLE_LINK8"/>
      <w:bookmarkStart w:id="8" w:name="OLE_LINK9"/>
      <w:r w:rsidRPr="00800E0B">
        <w:rPr>
          <w:noProof/>
          <w:lang w:val="el-GR"/>
        </w:rPr>
        <w:t xml:space="preserve">βότανο </w:t>
      </w:r>
      <w:r w:rsidRPr="00800E0B">
        <w:rPr>
          <w:noProof/>
          <w:lang w:val="en-US"/>
        </w:rPr>
        <w:t>St</w:t>
      </w:r>
      <w:r w:rsidRPr="00800E0B">
        <w:rPr>
          <w:noProof/>
          <w:lang w:val="el-GR"/>
        </w:rPr>
        <w:t xml:space="preserve">. </w:t>
      </w:r>
      <w:r w:rsidRPr="00800E0B">
        <w:rPr>
          <w:noProof/>
          <w:lang w:val="en-US"/>
        </w:rPr>
        <w:t>John</w:t>
      </w:r>
      <w:bookmarkEnd w:id="7"/>
      <w:bookmarkEnd w:id="8"/>
      <w:r w:rsidRPr="00800E0B">
        <w:rPr>
          <w:noProof/>
          <w:lang w:val="el-GR"/>
        </w:rPr>
        <w:t>) ενδέχεται να οδηγήσουν σε μείωση των επιπέδων εσομεπραζόλης στον ορό αυξάνοντας το μεταβολισμό της εσομεπραζόλης.</w:t>
      </w:r>
    </w:p>
    <w:p w:rsidR="009B62E6" w:rsidRPr="00800E0B" w:rsidRDefault="009B62E6">
      <w:pPr>
        <w:tabs>
          <w:tab w:val="clear" w:pos="567"/>
        </w:tabs>
        <w:spacing w:line="240" w:lineRule="auto"/>
        <w:rPr>
          <w:noProof/>
          <w:lang w:val="el-GR"/>
        </w:rPr>
      </w:pPr>
    </w:p>
    <w:p w:rsidR="009B62E6" w:rsidRPr="00800E0B" w:rsidRDefault="009B62E6">
      <w:pPr>
        <w:widowControl w:val="0"/>
        <w:outlineLvl w:val="1"/>
        <w:rPr>
          <w:b/>
          <w:bCs/>
          <w:noProof/>
          <w:lang w:val="el-GR"/>
        </w:rPr>
      </w:pPr>
      <w:r w:rsidRPr="00800E0B">
        <w:rPr>
          <w:b/>
          <w:bCs/>
          <w:noProof/>
          <w:lang w:val="el-GR"/>
        </w:rPr>
        <w:t>4.6</w:t>
      </w:r>
      <w:r w:rsidRPr="00800E0B">
        <w:rPr>
          <w:b/>
          <w:bCs/>
          <w:i/>
          <w:iCs/>
          <w:noProof/>
          <w:lang w:val="el-GR"/>
        </w:rPr>
        <w:tab/>
      </w:r>
      <w:r w:rsidRPr="00800E0B">
        <w:rPr>
          <w:b/>
          <w:bCs/>
          <w:lang w:val="el-GR"/>
        </w:rPr>
        <w:t>Κύηση και γαλουχία</w:t>
      </w:r>
    </w:p>
    <w:p w:rsidR="009B62E6" w:rsidRPr="00800E0B" w:rsidRDefault="009B62E6">
      <w:pPr>
        <w:rPr>
          <w:lang w:val="el-GR"/>
        </w:rPr>
      </w:pPr>
    </w:p>
    <w:p w:rsidR="009B62E6" w:rsidRPr="00800E0B" w:rsidRDefault="009B62E6">
      <w:pPr>
        <w:pStyle w:val="Default"/>
        <w:rPr>
          <w:sz w:val="22"/>
          <w:szCs w:val="22"/>
          <w:lang w:val="el-GR"/>
        </w:rPr>
      </w:pPr>
      <w:r w:rsidRPr="00800E0B">
        <w:rPr>
          <w:sz w:val="22"/>
          <w:szCs w:val="22"/>
          <w:lang w:val="el-GR"/>
        </w:rPr>
        <w:t xml:space="preserve">Για την </w:t>
      </w:r>
      <w:proofErr w:type="spellStart"/>
      <w:r w:rsidRPr="00800E0B">
        <w:rPr>
          <w:sz w:val="22"/>
          <w:szCs w:val="22"/>
          <w:lang w:val="el-GR"/>
        </w:rPr>
        <w:t>εσομεπραζόλη</w:t>
      </w:r>
      <w:proofErr w:type="spellEnd"/>
      <w:r w:rsidRPr="00800E0B">
        <w:rPr>
          <w:sz w:val="22"/>
          <w:szCs w:val="22"/>
          <w:lang w:val="el-GR"/>
        </w:rPr>
        <w:t xml:space="preserve">, τα κλινικά δεδομένα σχετικά με τις κυήσεις που έχουν εκτεθεί σε αυτήν είναι ανεπαρκή. Με το </w:t>
      </w:r>
      <w:proofErr w:type="spellStart"/>
      <w:r w:rsidRPr="00800E0B">
        <w:rPr>
          <w:sz w:val="22"/>
          <w:szCs w:val="22"/>
          <w:lang w:val="el-GR"/>
        </w:rPr>
        <w:t>ρακεμικό</w:t>
      </w:r>
      <w:proofErr w:type="spellEnd"/>
      <w:r w:rsidRPr="00800E0B">
        <w:rPr>
          <w:sz w:val="22"/>
          <w:szCs w:val="22"/>
          <w:lang w:val="el-GR"/>
        </w:rPr>
        <w:t xml:space="preserve"> μείγμα, την </w:t>
      </w:r>
      <w:proofErr w:type="spellStart"/>
      <w:r w:rsidRPr="00800E0B">
        <w:rPr>
          <w:sz w:val="22"/>
          <w:szCs w:val="22"/>
          <w:lang w:val="el-GR"/>
        </w:rPr>
        <w:t>ομεπραζόλη</w:t>
      </w:r>
      <w:proofErr w:type="spellEnd"/>
      <w:r w:rsidRPr="00800E0B">
        <w:rPr>
          <w:sz w:val="22"/>
          <w:szCs w:val="22"/>
          <w:lang w:val="el-GR"/>
        </w:rPr>
        <w:t xml:space="preserve">, τα δεδομένα σε μεγαλύτερο αριθμό εκτιθέμενων κυήσεων από επιδημιολογικές μελέτες υποδεικνύουν ότι δεν υπάρχει </w:t>
      </w:r>
      <w:proofErr w:type="spellStart"/>
      <w:r w:rsidRPr="00800E0B">
        <w:rPr>
          <w:sz w:val="22"/>
          <w:szCs w:val="22"/>
          <w:lang w:val="el-GR"/>
        </w:rPr>
        <w:t>δυπλαστική</w:t>
      </w:r>
      <w:proofErr w:type="spellEnd"/>
      <w:r w:rsidRPr="00800E0B">
        <w:rPr>
          <w:sz w:val="22"/>
          <w:szCs w:val="22"/>
          <w:lang w:val="el-GR"/>
        </w:rPr>
        <w:t xml:space="preserve"> ή </w:t>
      </w:r>
      <w:proofErr w:type="spellStart"/>
      <w:r w:rsidRPr="00800E0B">
        <w:rPr>
          <w:sz w:val="22"/>
          <w:szCs w:val="22"/>
          <w:lang w:val="el-GR"/>
        </w:rPr>
        <w:t>εμβρυοτοξική</w:t>
      </w:r>
      <w:proofErr w:type="spellEnd"/>
      <w:r w:rsidRPr="00800E0B">
        <w:rPr>
          <w:sz w:val="22"/>
          <w:szCs w:val="22"/>
          <w:lang w:val="el-GR"/>
        </w:rPr>
        <w:t xml:space="preserve"> επίδραση. Μελέτες σε ζώα με την </w:t>
      </w:r>
      <w:proofErr w:type="spellStart"/>
      <w:r w:rsidRPr="00800E0B">
        <w:rPr>
          <w:sz w:val="22"/>
          <w:szCs w:val="22"/>
          <w:lang w:val="el-GR"/>
        </w:rPr>
        <w:t>εσομεπραζόλη</w:t>
      </w:r>
      <w:proofErr w:type="spellEnd"/>
      <w:r w:rsidRPr="00800E0B">
        <w:rPr>
          <w:sz w:val="22"/>
          <w:szCs w:val="22"/>
          <w:lang w:val="el-GR"/>
        </w:rPr>
        <w:t xml:space="preserve"> δεν υποδεικνύουν άμεσες ή έμμεσες επιβλαβείς επιδράσεις όσον αφορά την ανάπτυξη του εμβρύου/κυήματος. Μελέτες σε ζώα με το </w:t>
      </w:r>
      <w:proofErr w:type="spellStart"/>
      <w:r w:rsidRPr="00800E0B">
        <w:rPr>
          <w:sz w:val="22"/>
          <w:szCs w:val="22"/>
          <w:lang w:val="el-GR"/>
        </w:rPr>
        <w:t>ρακεμικό</w:t>
      </w:r>
      <w:proofErr w:type="spellEnd"/>
      <w:r w:rsidRPr="00800E0B">
        <w:rPr>
          <w:sz w:val="22"/>
          <w:szCs w:val="22"/>
          <w:lang w:val="el-GR"/>
        </w:rPr>
        <w:t xml:space="preserve"> μείγμα δεν υποδεικνύουν άμεσες ή έμμεσες επιβλαβείς επιδράσεις όσον αφορά την κύηση, τον τοκετό ή τη μεταγεννητική ανάπτυξη. Θα πρέπει να δίνεται προσοχή όταν </w:t>
      </w:r>
      <w:proofErr w:type="spellStart"/>
      <w:r w:rsidRPr="00800E0B">
        <w:rPr>
          <w:sz w:val="22"/>
          <w:szCs w:val="22"/>
          <w:lang w:val="el-GR"/>
        </w:rPr>
        <w:t>συνταγογραφείται</w:t>
      </w:r>
      <w:proofErr w:type="spellEnd"/>
      <w:r w:rsidRPr="00800E0B">
        <w:rPr>
          <w:sz w:val="22"/>
          <w:szCs w:val="22"/>
          <w:lang w:val="el-GR"/>
        </w:rPr>
        <w:t xml:space="preserve"> σε έγκυες γυναίκες.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Δεν είναι γνωστό εάν η </w:t>
      </w:r>
      <w:proofErr w:type="spellStart"/>
      <w:r w:rsidRPr="00800E0B">
        <w:rPr>
          <w:sz w:val="22"/>
          <w:szCs w:val="22"/>
          <w:lang w:val="el-GR"/>
        </w:rPr>
        <w:t>εσομεπραζόλη</w:t>
      </w:r>
      <w:proofErr w:type="spellEnd"/>
      <w:r w:rsidRPr="00800E0B">
        <w:rPr>
          <w:sz w:val="22"/>
          <w:szCs w:val="22"/>
          <w:lang w:val="el-GR"/>
        </w:rPr>
        <w:t xml:space="preserve"> εκκρίνεται στο ανθρώπινο μητρικό γάλα. Δεν έχουν πραγματοποιηθεί μελέτες σε θηλάζουσες γυναίκες. Επομένως, το </w:t>
      </w:r>
      <w:proofErr w:type="spellStart"/>
      <w:r w:rsidRPr="00800E0B">
        <w:rPr>
          <w:sz w:val="22"/>
          <w:szCs w:val="22"/>
          <w:lang w:val="en-GB"/>
        </w:rPr>
        <w:t>Helides</w:t>
      </w:r>
      <w:proofErr w:type="spellEnd"/>
      <w:r w:rsidRPr="00800E0B">
        <w:rPr>
          <w:sz w:val="22"/>
          <w:szCs w:val="22"/>
          <w:lang w:val="el-GR"/>
        </w:rPr>
        <w:t xml:space="preserve"> δεν θα πρέπει να χρησιμοποιείται κατά τη διάρκεια του θηλασμού. </w:t>
      </w:r>
    </w:p>
    <w:p w:rsidR="009B62E6" w:rsidRPr="00800E0B" w:rsidRDefault="009B62E6">
      <w:pPr>
        <w:pStyle w:val="Default"/>
        <w:rPr>
          <w:noProof/>
          <w:sz w:val="22"/>
          <w:szCs w:val="22"/>
          <w:lang w:val="el-GR"/>
        </w:rPr>
      </w:pPr>
    </w:p>
    <w:p w:rsidR="009B62E6" w:rsidRPr="00800E0B" w:rsidRDefault="009B62E6">
      <w:pPr>
        <w:widowControl w:val="0"/>
        <w:outlineLvl w:val="1"/>
        <w:rPr>
          <w:b/>
          <w:bCs/>
          <w:noProof/>
          <w:lang w:val="el-GR"/>
        </w:rPr>
      </w:pPr>
      <w:r w:rsidRPr="00800E0B">
        <w:rPr>
          <w:b/>
          <w:bCs/>
          <w:noProof/>
          <w:lang w:val="el-GR"/>
        </w:rPr>
        <w:t>4.7</w:t>
      </w:r>
      <w:r w:rsidRPr="00800E0B">
        <w:rPr>
          <w:b/>
          <w:bCs/>
          <w:i/>
          <w:iCs/>
          <w:noProof/>
          <w:lang w:val="el-GR"/>
        </w:rPr>
        <w:tab/>
      </w:r>
      <w:r w:rsidRPr="00800E0B">
        <w:rPr>
          <w:b/>
          <w:bCs/>
          <w:lang w:val="el-GR"/>
        </w:rPr>
        <w:t>Επιδράσεις στην ικανότητα οδήγησης και χειρισμού μηχανών</w:t>
      </w:r>
    </w:p>
    <w:p w:rsidR="009B62E6" w:rsidRPr="00800E0B" w:rsidRDefault="009B62E6">
      <w:pPr>
        <w:tabs>
          <w:tab w:val="clear" w:pos="567"/>
        </w:tabs>
        <w:spacing w:line="240" w:lineRule="auto"/>
        <w:rPr>
          <w:noProof/>
          <w:lang w:val="el-GR"/>
        </w:rPr>
      </w:pPr>
    </w:p>
    <w:p w:rsidR="009B62E6" w:rsidRPr="00800E0B" w:rsidRDefault="009B62E6">
      <w:pPr>
        <w:pStyle w:val="Default"/>
        <w:rPr>
          <w:sz w:val="22"/>
          <w:szCs w:val="22"/>
          <w:lang w:val="el-GR"/>
        </w:rPr>
      </w:pPr>
      <w:r w:rsidRPr="00800E0B">
        <w:rPr>
          <w:sz w:val="22"/>
          <w:szCs w:val="22"/>
          <w:lang w:val="el-GR"/>
        </w:rPr>
        <w:t xml:space="preserve">Δεν έχει παρατηρηθεί καμία επίδραση. </w:t>
      </w:r>
    </w:p>
    <w:p w:rsidR="009B62E6" w:rsidRPr="00800E0B" w:rsidRDefault="009B62E6">
      <w:pPr>
        <w:pStyle w:val="Default"/>
        <w:rPr>
          <w:sz w:val="22"/>
          <w:szCs w:val="22"/>
          <w:lang w:val="el-GR"/>
        </w:rPr>
      </w:pPr>
    </w:p>
    <w:p w:rsidR="009B62E6" w:rsidRPr="00800E0B" w:rsidRDefault="009B62E6">
      <w:pPr>
        <w:widowControl w:val="0"/>
        <w:outlineLvl w:val="1"/>
        <w:rPr>
          <w:b/>
          <w:bCs/>
          <w:noProof/>
          <w:lang w:val="el-GR"/>
        </w:rPr>
      </w:pPr>
      <w:r w:rsidRPr="00800E0B">
        <w:rPr>
          <w:b/>
          <w:bCs/>
          <w:noProof/>
          <w:lang w:val="el-GR"/>
        </w:rPr>
        <w:t>4.8</w:t>
      </w:r>
      <w:r w:rsidRPr="00800E0B">
        <w:rPr>
          <w:b/>
          <w:bCs/>
          <w:i/>
          <w:iCs/>
          <w:noProof/>
          <w:lang w:val="el-GR"/>
        </w:rPr>
        <w:tab/>
      </w:r>
      <w:r w:rsidRPr="00800E0B">
        <w:rPr>
          <w:b/>
          <w:bCs/>
          <w:lang w:val="el-GR"/>
        </w:rPr>
        <w:t>Ανεπιθύμητες ενέργειες</w:t>
      </w:r>
    </w:p>
    <w:p w:rsidR="009B62E6" w:rsidRPr="00800E0B" w:rsidRDefault="009B62E6">
      <w:pPr>
        <w:rPr>
          <w:lang w:val="el-GR"/>
        </w:rPr>
      </w:pPr>
    </w:p>
    <w:p w:rsidR="009B62E6" w:rsidRPr="00800E0B" w:rsidRDefault="009B62E6">
      <w:pPr>
        <w:pStyle w:val="Default"/>
        <w:rPr>
          <w:sz w:val="22"/>
          <w:szCs w:val="22"/>
          <w:lang w:val="el-GR"/>
        </w:rPr>
      </w:pPr>
      <w:r w:rsidRPr="00800E0B">
        <w:rPr>
          <w:sz w:val="22"/>
          <w:szCs w:val="22"/>
          <w:lang w:val="el-GR"/>
        </w:rPr>
        <w:t xml:space="preserve">Έχουν αναγνωριστεί ή πιθανολογηθεί οι παρακάτω ανεπιθύμητες αντιδράσεις στο φάρμακο στο πρόγραμμα κλινικών δοκιμών για την </w:t>
      </w:r>
      <w:proofErr w:type="spellStart"/>
      <w:r w:rsidRPr="00800E0B">
        <w:rPr>
          <w:sz w:val="22"/>
          <w:szCs w:val="22"/>
          <w:lang w:val="el-GR"/>
        </w:rPr>
        <w:t>εσομεπραζόλη</w:t>
      </w:r>
      <w:proofErr w:type="spellEnd"/>
      <w:r w:rsidRPr="00800E0B">
        <w:rPr>
          <w:sz w:val="22"/>
          <w:szCs w:val="22"/>
          <w:lang w:val="el-GR"/>
        </w:rPr>
        <w:t xml:space="preserve"> και μετά την κυκλοφορία στην αγορά. Καμία από αυτές δεν αποδείχτηκε ότι σχετίζεται με τη δόση. Οι αντιδράσεις ταξινομούνται σύμφωνα με τη συχνότητα [πολύ συχνές &gt;1/10, συχνές ≥1/100 έως &lt;1/10, όχι συχνές ≥1/1000 έως &lt;1/100, σπάνιες ≥1/10.000 έως &lt;1/1000, πολύ σπάνιες &lt;1/10.000, μη γνωστές (δεν μπορούν να εκτιμηθούν με βάση τα διαθέσιμα δεδομένα)]. </w:t>
      </w:r>
    </w:p>
    <w:p w:rsidR="009B62E6" w:rsidRPr="00800E0B" w:rsidRDefault="009B62E6">
      <w:pPr>
        <w:pStyle w:val="Default"/>
        <w:rPr>
          <w:sz w:val="22"/>
          <w:szCs w:val="22"/>
          <w:lang w:val="el-GR"/>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2009"/>
        <w:gridCol w:w="4511"/>
      </w:tblGrid>
      <w:tr w:rsidR="009B62E6" w:rsidRPr="00800E0B"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του αιμοποιητικού και λεμφικού συστήματος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proofErr w:type="spellStart"/>
            <w:r w:rsidRPr="00800E0B">
              <w:rPr>
                <w:sz w:val="22"/>
                <w:szCs w:val="22"/>
                <w:lang w:val="el-GR"/>
              </w:rPr>
              <w:t>Λευκοπενία</w:t>
            </w:r>
            <w:proofErr w:type="spellEnd"/>
            <w:r w:rsidRPr="00800E0B">
              <w:rPr>
                <w:sz w:val="22"/>
                <w:szCs w:val="22"/>
                <w:lang w:val="el-GR"/>
              </w:rPr>
              <w:t xml:space="preserve">, </w:t>
            </w:r>
            <w:proofErr w:type="spellStart"/>
            <w:r w:rsidRPr="00800E0B">
              <w:rPr>
                <w:sz w:val="22"/>
                <w:szCs w:val="22"/>
                <w:lang w:val="el-GR"/>
              </w:rPr>
              <w:t>θρομβοπενία</w:t>
            </w:r>
            <w:proofErr w:type="spellEnd"/>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proofErr w:type="spellStart"/>
            <w:r w:rsidRPr="00800E0B">
              <w:rPr>
                <w:sz w:val="22"/>
                <w:szCs w:val="22"/>
                <w:lang w:val="el-GR"/>
              </w:rPr>
              <w:t>Ακοκκιοκυτταραιμία</w:t>
            </w:r>
            <w:proofErr w:type="spellEnd"/>
            <w:r w:rsidRPr="00800E0B">
              <w:rPr>
                <w:sz w:val="22"/>
                <w:szCs w:val="22"/>
                <w:lang w:val="el-GR"/>
              </w:rPr>
              <w:t xml:space="preserve">, </w:t>
            </w:r>
            <w:proofErr w:type="spellStart"/>
            <w:r w:rsidRPr="00800E0B">
              <w:rPr>
                <w:sz w:val="22"/>
                <w:szCs w:val="22"/>
                <w:lang w:val="el-GR"/>
              </w:rPr>
              <w:t>πανκυτταροπενία</w:t>
            </w:r>
            <w:proofErr w:type="spellEnd"/>
          </w:p>
        </w:tc>
      </w:tr>
      <w:tr w:rsidR="009B62E6" w:rsidRPr="004D5650"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του ανοσοποιητικού συστήματος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 xml:space="preserve">Αντιδράσεις υπερευαισθησίας, π.χ. πυρετός, </w:t>
            </w:r>
            <w:proofErr w:type="spellStart"/>
            <w:r w:rsidRPr="00800E0B">
              <w:rPr>
                <w:sz w:val="22"/>
                <w:szCs w:val="22"/>
                <w:lang w:val="el-GR"/>
              </w:rPr>
              <w:t>αγγειοοίδημα</w:t>
            </w:r>
            <w:proofErr w:type="spellEnd"/>
            <w:r w:rsidRPr="00800E0B">
              <w:rPr>
                <w:sz w:val="22"/>
                <w:szCs w:val="22"/>
                <w:lang w:val="el-GR"/>
              </w:rPr>
              <w:t xml:space="preserve"> και </w:t>
            </w:r>
            <w:proofErr w:type="spellStart"/>
            <w:r w:rsidRPr="00800E0B">
              <w:rPr>
                <w:sz w:val="22"/>
                <w:szCs w:val="22"/>
                <w:lang w:val="el-GR"/>
              </w:rPr>
              <w:t>αναφυλακτική</w:t>
            </w:r>
            <w:proofErr w:type="spellEnd"/>
            <w:r w:rsidRPr="00800E0B">
              <w:rPr>
                <w:sz w:val="22"/>
                <w:szCs w:val="22"/>
                <w:lang w:val="el-GR"/>
              </w:rPr>
              <w:t xml:space="preserve"> αντίδραση/σοκ</w:t>
            </w:r>
          </w:p>
        </w:tc>
      </w:tr>
      <w:tr w:rsidR="009B62E6" w:rsidRPr="00800E0B"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lastRenderedPageBreak/>
              <w:t>Διαταραχές του μεταβολισμού και της θρέψης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Περιφερικό οίδημα</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proofErr w:type="spellStart"/>
            <w:r w:rsidRPr="00800E0B">
              <w:rPr>
                <w:sz w:val="22"/>
                <w:szCs w:val="22"/>
                <w:lang w:val="el-GR"/>
              </w:rPr>
              <w:t>Υπονατριαιμία</w:t>
            </w:r>
            <w:proofErr w:type="spellEnd"/>
          </w:p>
        </w:tc>
      </w:tr>
      <w:tr w:rsidR="009B62E6" w:rsidRPr="004D5650"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proofErr w:type="spellStart"/>
            <w:r w:rsidRPr="00800E0B">
              <w:rPr>
                <w:sz w:val="22"/>
                <w:szCs w:val="22"/>
                <w:lang w:val="el-GR"/>
              </w:rPr>
              <w:t>Υπομαγνησιαιμία</w:t>
            </w:r>
            <w:proofErr w:type="spellEnd"/>
            <w:r w:rsidRPr="00800E0B">
              <w:rPr>
                <w:lang w:val="el-GR"/>
              </w:rPr>
              <w:t xml:space="preserve"> </w:t>
            </w:r>
            <w:r w:rsidRPr="00800E0B">
              <w:rPr>
                <w:sz w:val="22"/>
                <w:szCs w:val="22"/>
                <w:lang w:val="el-GR"/>
              </w:rPr>
              <w:t xml:space="preserve">(βλ. παράγραφο 4.4) σοβαρή </w:t>
            </w:r>
            <w:proofErr w:type="spellStart"/>
            <w:r w:rsidRPr="00800E0B">
              <w:rPr>
                <w:sz w:val="22"/>
                <w:szCs w:val="22"/>
                <w:lang w:val="el-GR"/>
              </w:rPr>
              <w:t>υπομαγνησιαιμία</w:t>
            </w:r>
            <w:proofErr w:type="spellEnd"/>
            <w:r w:rsidRPr="00800E0B">
              <w:rPr>
                <w:sz w:val="22"/>
                <w:szCs w:val="22"/>
                <w:lang w:val="el-GR"/>
              </w:rPr>
              <w:t xml:space="preserve"> μπορεί να συσχετιστεί με την </w:t>
            </w:r>
            <w:proofErr w:type="spellStart"/>
            <w:r w:rsidRPr="00800E0B">
              <w:rPr>
                <w:sz w:val="22"/>
                <w:szCs w:val="22"/>
                <w:lang w:val="el-GR"/>
              </w:rPr>
              <w:t>υπασβεστιαιμία</w:t>
            </w:r>
            <w:proofErr w:type="spellEnd"/>
          </w:p>
        </w:tc>
      </w:tr>
      <w:tr w:rsidR="009B62E6" w:rsidRPr="00800E0B"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Ψυχιατρικές διαταραχές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Αϋπνία</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Ευερεθιστότητα, σύγχυση, κατάθλιψη</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l-GR"/>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Επιθετικότητα, ψευδαισθήσεις</w:t>
            </w:r>
          </w:p>
        </w:tc>
      </w:tr>
      <w:tr w:rsidR="009B62E6" w:rsidRPr="00800E0B"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του νευρικού συστήματος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Κεφαλαλγία</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Ζάλη, παραισθησία, υπνηλία</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l-GR"/>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Διαταραχή γεύσης</w:t>
            </w:r>
          </w:p>
        </w:tc>
      </w:tr>
      <w:tr w:rsidR="009B62E6" w:rsidRPr="00800E0B"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Οφθαλμικές διαταραχές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Θολή όραση</w:t>
            </w:r>
          </w:p>
        </w:tc>
      </w:tr>
      <w:tr w:rsidR="009B62E6" w:rsidRPr="00800E0B"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 xml:space="preserve">Διαταραχές του </w:t>
            </w:r>
            <w:proofErr w:type="spellStart"/>
            <w:r w:rsidRPr="00800E0B">
              <w:rPr>
                <w:sz w:val="22"/>
                <w:szCs w:val="22"/>
                <w:lang w:val="el-GR"/>
              </w:rPr>
              <w:t>ωτός</w:t>
            </w:r>
            <w:proofErr w:type="spellEnd"/>
            <w:r w:rsidRPr="00800E0B">
              <w:rPr>
                <w:sz w:val="22"/>
                <w:szCs w:val="22"/>
                <w:lang w:val="el-GR"/>
              </w:rPr>
              <w:t xml:space="preserve"> και του λαβυρίνθου</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Ίλιγγος</w:t>
            </w:r>
          </w:p>
        </w:tc>
      </w:tr>
      <w:tr w:rsidR="009B62E6" w:rsidRPr="00800E0B"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 xml:space="preserve">Διαταραχές του αναπνευστικού συστήματος, του θώρακα και του </w:t>
            </w:r>
            <w:proofErr w:type="spellStart"/>
            <w:r w:rsidRPr="00800E0B">
              <w:rPr>
                <w:sz w:val="22"/>
                <w:szCs w:val="22"/>
                <w:lang w:val="el-GR"/>
              </w:rPr>
              <w:t>μεσοθωρακίου</w:t>
            </w:r>
            <w:proofErr w:type="spellEnd"/>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proofErr w:type="spellStart"/>
            <w:r w:rsidRPr="00800E0B">
              <w:rPr>
                <w:sz w:val="22"/>
                <w:szCs w:val="22"/>
                <w:lang w:val="el-GR"/>
              </w:rPr>
              <w:t>Βρογχόσπασμος</w:t>
            </w:r>
            <w:proofErr w:type="spellEnd"/>
          </w:p>
        </w:tc>
      </w:tr>
      <w:tr w:rsidR="009B62E6" w:rsidRPr="004D5650"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του γαστρεντερικού</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Κοιλιακό άλγος, δυσκοιλιότητα, διάρροια, μετεωρισμός, ναυτία/έμετος</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l-GR"/>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Ξηροστομία</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 xml:space="preserve">Στοματίτιδα, γαστρεντερική </w:t>
            </w:r>
            <w:proofErr w:type="spellStart"/>
            <w:r w:rsidRPr="00800E0B">
              <w:rPr>
                <w:sz w:val="22"/>
                <w:szCs w:val="22"/>
                <w:lang w:val="el-GR"/>
              </w:rPr>
              <w:t>καντιντίαση</w:t>
            </w:r>
            <w:proofErr w:type="spellEnd"/>
          </w:p>
        </w:tc>
      </w:tr>
      <w:tr w:rsidR="009B62E6" w:rsidRPr="00800E0B"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του ήπατος και των χοληφόρων</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Αυξημένα ηπατικά ένζυμα</w:t>
            </w:r>
          </w:p>
        </w:tc>
      </w:tr>
      <w:tr w:rsidR="009B62E6" w:rsidRPr="004D5650" w:rsidTr="00BF4541">
        <w:tc>
          <w:tcPr>
            <w:tcW w:w="3259" w:type="dxa"/>
            <w:vMerge/>
          </w:tcPr>
          <w:p w:rsidR="009B62E6" w:rsidRPr="00800E0B" w:rsidRDefault="009B62E6">
            <w:pPr>
              <w:pStyle w:val="Default"/>
              <w:tabs>
                <w:tab w:val="left" w:pos="567"/>
              </w:tabs>
              <w:spacing w:line="260" w:lineRule="exact"/>
              <w:rPr>
                <w:sz w:val="22"/>
                <w:szCs w:val="22"/>
                <w:lang w:val="el-GR"/>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Ηπατίτιδα με ή χωρίς ίκτερο</w:t>
            </w:r>
          </w:p>
        </w:tc>
      </w:tr>
      <w:tr w:rsidR="009B62E6" w:rsidRPr="004D5650" w:rsidTr="00BF4541">
        <w:tc>
          <w:tcPr>
            <w:tcW w:w="3259" w:type="dxa"/>
            <w:vMerge/>
          </w:tcPr>
          <w:p w:rsidR="009B62E6" w:rsidRPr="00800E0B" w:rsidRDefault="009B62E6">
            <w:pPr>
              <w:pStyle w:val="Default"/>
              <w:tabs>
                <w:tab w:val="left" w:pos="567"/>
              </w:tabs>
              <w:spacing w:line="260" w:lineRule="exact"/>
              <w:rPr>
                <w:sz w:val="22"/>
                <w:szCs w:val="22"/>
                <w:lang w:val="el-GR"/>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Ηπατική ανεπάρκεια, εγκεφαλοπάθεια σε ασθενείς με προϋπάρχουσα ηπατική νόσο</w:t>
            </w:r>
          </w:p>
        </w:tc>
      </w:tr>
      <w:tr w:rsidR="009B62E6" w:rsidRPr="00800E0B" w:rsidTr="00BF4541">
        <w:tc>
          <w:tcPr>
            <w:tcW w:w="3259" w:type="dxa"/>
            <w:vMerge w:val="restart"/>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Διαταραχές του δέρματος και του υποδόριου ιστού</w:t>
            </w:r>
          </w:p>
        </w:tc>
        <w:tc>
          <w:tcPr>
            <w:tcW w:w="2009" w:type="dxa"/>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Όχι συχνές</w:t>
            </w:r>
          </w:p>
        </w:tc>
        <w:tc>
          <w:tcPr>
            <w:tcW w:w="4511" w:type="dxa"/>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Δερματίτιδα, κνησμός, εξάνθημα, κνίδωση</w:t>
            </w:r>
          </w:p>
        </w:tc>
      </w:tr>
      <w:tr w:rsidR="009B62E6" w:rsidRPr="00800E0B" w:rsidTr="00BF4541">
        <w:tc>
          <w:tcPr>
            <w:tcW w:w="3259" w:type="dxa"/>
            <w:vMerge/>
          </w:tcPr>
          <w:p w:rsidR="009B62E6" w:rsidRPr="00800E0B" w:rsidRDefault="009B62E6">
            <w:pPr>
              <w:pStyle w:val="Default"/>
              <w:keepNext/>
              <w:tabs>
                <w:tab w:val="left" w:pos="567"/>
              </w:tabs>
              <w:spacing w:line="260" w:lineRule="exact"/>
              <w:rPr>
                <w:sz w:val="22"/>
                <w:szCs w:val="22"/>
                <w:lang w:val="el-GR"/>
              </w:rPr>
            </w:pPr>
          </w:p>
        </w:tc>
        <w:tc>
          <w:tcPr>
            <w:tcW w:w="2009" w:type="dxa"/>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Αλωπεκία, φωτοευαισθησία</w:t>
            </w:r>
          </w:p>
        </w:tc>
      </w:tr>
      <w:tr w:rsidR="009B62E6" w:rsidRPr="004D5650" w:rsidTr="00BF4541">
        <w:tc>
          <w:tcPr>
            <w:tcW w:w="3259" w:type="dxa"/>
            <w:vMerge/>
          </w:tcPr>
          <w:p w:rsidR="009B62E6" w:rsidRPr="00800E0B" w:rsidRDefault="009B62E6">
            <w:pPr>
              <w:pStyle w:val="Default"/>
              <w:keepNext/>
              <w:tabs>
                <w:tab w:val="left" w:pos="567"/>
              </w:tabs>
              <w:spacing w:line="260" w:lineRule="exact"/>
              <w:rPr>
                <w:sz w:val="22"/>
                <w:szCs w:val="22"/>
                <w:lang w:val="en-GB"/>
              </w:rPr>
            </w:pPr>
          </w:p>
        </w:tc>
        <w:tc>
          <w:tcPr>
            <w:tcW w:w="2009" w:type="dxa"/>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keepNext/>
              <w:tabs>
                <w:tab w:val="left" w:pos="567"/>
              </w:tabs>
              <w:spacing w:line="260" w:lineRule="exact"/>
              <w:rPr>
                <w:sz w:val="22"/>
                <w:szCs w:val="22"/>
                <w:lang w:val="el-GR"/>
              </w:rPr>
            </w:pPr>
            <w:r w:rsidRPr="00800E0B">
              <w:rPr>
                <w:sz w:val="22"/>
                <w:szCs w:val="22"/>
                <w:lang w:val="el-GR"/>
              </w:rPr>
              <w:t xml:space="preserve">Πολύμορφο ερύθημα, σύνδρομο </w:t>
            </w:r>
            <w:proofErr w:type="spellStart"/>
            <w:r w:rsidRPr="00800E0B">
              <w:rPr>
                <w:sz w:val="22"/>
                <w:szCs w:val="22"/>
                <w:lang w:val="el-GR"/>
              </w:rPr>
              <w:t>Stevens</w:t>
            </w:r>
            <w:proofErr w:type="spellEnd"/>
            <w:r w:rsidRPr="00800E0B">
              <w:rPr>
                <w:sz w:val="22"/>
                <w:szCs w:val="22"/>
                <w:lang w:val="el-GR"/>
              </w:rPr>
              <w:t>-</w:t>
            </w:r>
            <w:proofErr w:type="spellStart"/>
            <w:r w:rsidRPr="00800E0B">
              <w:rPr>
                <w:sz w:val="22"/>
                <w:szCs w:val="22"/>
                <w:lang w:val="el-GR"/>
              </w:rPr>
              <w:t>Johnson</w:t>
            </w:r>
            <w:proofErr w:type="spellEnd"/>
            <w:r w:rsidRPr="00800E0B">
              <w:rPr>
                <w:sz w:val="22"/>
                <w:szCs w:val="22"/>
                <w:lang w:val="el-GR"/>
              </w:rPr>
              <w:t xml:space="preserve">, τοξική επιδερμική </w:t>
            </w:r>
            <w:proofErr w:type="spellStart"/>
            <w:r w:rsidRPr="00800E0B">
              <w:rPr>
                <w:sz w:val="22"/>
                <w:szCs w:val="22"/>
                <w:lang w:val="el-GR"/>
              </w:rPr>
              <w:t>νεκρόλυση</w:t>
            </w:r>
            <w:proofErr w:type="spellEnd"/>
            <w:r w:rsidRPr="00800E0B">
              <w:rPr>
                <w:sz w:val="22"/>
                <w:szCs w:val="22"/>
                <w:lang w:val="el-GR"/>
              </w:rPr>
              <w:t xml:space="preserve"> (TEN)</w:t>
            </w:r>
          </w:p>
        </w:tc>
      </w:tr>
      <w:tr w:rsidR="009B62E6" w:rsidRPr="00800E0B" w:rsidTr="00BF4541">
        <w:tc>
          <w:tcPr>
            <w:tcW w:w="3259" w:type="dxa"/>
            <w:vMerge w:val="restart"/>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 xml:space="preserve">Διαταραχές του </w:t>
            </w:r>
            <w:proofErr w:type="spellStart"/>
            <w:r w:rsidRPr="00800E0B">
              <w:rPr>
                <w:sz w:val="22"/>
                <w:szCs w:val="22"/>
                <w:lang w:val="el-GR"/>
              </w:rPr>
              <w:t>μυοσκελετικού</w:t>
            </w:r>
            <w:proofErr w:type="spellEnd"/>
            <w:r w:rsidRPr="00800E0B">
              <w:rPr>
                <w:sz w:val="22"/>
                <w:szCs w:val="22"/>
                <w:lang w:val="el-GR"/>
              </w:rPr>
              <w:t xml:space="preserve"> συστήματος, του συνδετικού ιστού και των οστών</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Αρθραλγία, μυαλγία</w:t>
            </w:r>
          </w:p>
        </w:tc>
      </w:tr>
      <w:tr w:rsidR="009B62E6" w:rsidRPr="00800E0B" w:rsidTr="00BF4541">
        <w:tc>
          <w:tcPr>
            <w:tcW w:w="3259" w:type="dxa"/>
            <w:vMerge/>
          </w:tcPr>
          <w:p w:rsidR="009B62E6" w:rsidRPr="00800E0B" w:rsidRDefault="009B62E6">
            <w:pPr>
              <w:pStyle w:val="Default"/>
              <w:tabs>
                <w:tab w:val="left" w:pos="567"/>
              </w:tabs>
              <w:spacing w:line="260" w:lineRule="exact"/>
              <w:rPr>
                <w:sz w:val="22"/>
                <w:szCs w:val="22"/>
                <w:lang w:val="en-GB"/>
              </w:rPr>
            </w:pP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Μυϊκή αδυναμία</w:t>
            </w:r>
          </w:p>
        </w:tc>
      </w:tr>
      <w:tr w:rsidR="009B62E6" w:rsidRPr="00800E0B"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των νεφρών και των ουροφόρων οδών</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Διάμεση νεφρίτιδα</w:t>
            </w:r>
          </w:p>
        </w:tc>
      </w:tr>
      <w:tr w:rsidR="009B62E6" w:rsidRPr="00800E0B"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Διαταραχές του αναπαραγωγικού συστήματος και του μαστού</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Πολύ 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Γυναικομαστία</w:t>
            </w:r>
          </w:p>
        </w:tc>
      </w:tr>
      <w:tr w:rsidR="009B62E6" w:rsidRPr="00800E0B" w:rsidTr="00BF4541">
        <w:tc>
          <w:tcPr>
            <w:tcW w:w="325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Γενικές διαταραχές και καταστάσεις της οδού χορήγησης</w:t>
            </w:r>
          </w:p>
        </w:tc>
        <w:tc>
          <w:tcPr>
            <w:tcW w:w="2009"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Σπάνιες</w:t>
            </w:r>
          </w:p>
        </w:tc>
        <w:tc>
          <w:tcPr>
            <w:tcW w:w="4511" w:type="dxa"/>
          </w:tcPr>
          <w:p w:rsidR="009B62E6" w:rsidRPr="00800E0B" w:rsidRDefault="009B62E6">
            <w:pPr>
              <w:pStyle w:val="Default"/>
              <w:tabs>
                <w:tab w:val="left" w:pos="567"/>
              </w:tabs>
              <w:spacing w:line="260" w:lineRule="exact"/>
              <w:rPr>
                <w:sz w:val="22"/>
                <w:szCs w:val="22"/>
                <w:lang w:val="el-GR"/>
              </w:rPr>
            </w:pPr>
            <w:r w:rsidRPr="00800E0B">
              <w:rPr>
                <w:sz w:val="22"/>
                <w:szCs w:val="22"/>
                <w:lang w:val="el-GR"/>
              </w:rPr>
              <w:t>Αδιαθεσία, αυξημένη εφίδρωση</w:t>
            </w:r>
          </w:p>
        </w:tc>
      </w:tr>
    </w:tbl>
    <w:p w:rsidR="009B62E6" w:rsidRPr="00800E0B" w:rsidRDefault="009B62E6">
      <w:pPr>
        <w:widowControl w:val="0"/>
        <w:outlineLvl w:val="1"/>
        <w:rPr>
          <w:b/>
          <w:bCs/>
          <w:noProof/>
          <w:lang w:val="el-GR"/>
        </w:rPr>
      </w:pPr>
    </w:p>
    <w:p w:rsidR="009B62E6" w:rsidRPr="00800E0B" w:rsidRDefault="009B62E6">
      <w:pPr>
        <w:widowControl w:val="0"/>
        <w:outlineLvl w:val="1"/>
        <w:rPr>
          <w:b/>
          <w:bCs/>
          <w:noProof/>
        </w:rPr>
      </w:pPr>
      <w:r w:rsidRPr="00800E0B">
        <w:rPr>
          <w:b/>
          <w:bCs/>
          <w:noProof/>
        </w:rPr>
        <w:t>4.9.</w:t>
      </w:r>
      <w:r w:rsidRPr="00800E0B">
        <w:rPr>
          <w:b/>
          <w:bCs/>
          <w:noProof/>
        </w:rPr>
        <w:tab/>
      </w:r>
      <w:proofErr w:type="spellStart"/>
      <w:r w:rsidRPr="00800E0B">
        <w:rPr>
          <w:b/>
          <w:bCs/>
          <w:lang w:val="el-GR"/>
        </w:rPr>
        <w:t>Υπερδοσολογία</w:t>
      </w:r>
      <w:proofErr w:type="spellEnd"/>
    </w:p>
    <w:p w:rsidR="009B62E6" w:rsidRPr="00800E0B" w:rsidRDefault="009B62E6">
      <w:pPr>
        <w:tabs>
          <w:tab w:val="clear" w:pos="567"/>
        </w:tabs>
        <w:spacing w:line="240" w:lineRule="auto"/>
        <w:rPr>
          <w:noProof/>
          <w:lang w:val="el-GR"/>
        </w:rPr>
      </w:pPr>
    </w:p>
    <w:p w:rsidR="009B62E6" w:rsidRPr="00800E0B" w:rsidRDefault="009B62E6">
      <w:pPr>
        <w:pStyle w:val="Default"/>
        <w:rPr>
          <w:sz w:val="22"/>
          <w:szCs w:val="22"/>
          <w:lang w:val="el-GR"/>
        </w:rPr>
      </w:pPr>
      <w:r w:rsidRPr="00800E0B">
        <w:rPr>
          <w:sz w:val="22"/>
          <w:szCs w:val="22"/>
          <w:lang w:val="el-GR"/>
        </w:rPr>
        <w:t xml:space="preserve">Υπάρχει περιορισμένη εμπειρία έως σήμερα σχετικά με τη σκόπιμη </w:t>
      </w:r>
      <w:proofErr w:type="spellStart"/>
      <w:r w:rsidRPr="00800E0B">
        <w:rPr>
          <w:sz w:val="22"/>
          <w:szCs w:val="22"/>
          <w:lang w:val="el-GR"/>
        </w:rPr>
        <w:t>υπερδοσολογία</w:t>
      </w:r>
      <w:proofErr w:type="spellEnd"/>
      <w:r w:rsidRPr="00800E0B">
        <w:rPr>
          <w:sz w:val="22"/>
          <w:szCs w:val="22"/>
          <w:lang w:val="el-GR"/>
        </w:rPr>
        <w:t>. Τα συμπτώματα που περιγράφηκαν σε σχέση με δόση 280</w:t>
      </w:r>
      <w:r w:rsidRPr="00800E0B">
        <w:rPr>
          <w:sz w:val="22"/>
          <w:szCs w:val="22"/>
          <w:lang w:val="en-GB"/>
        </w:rPr>
        <w:t> mg</w:t>
      </w:r>
      <w:r w:rsidRPr="00800E0B">
        <w:rPr>
          <w:sz w:val="22"/>
          <w:szCs w:val="22"/>
          <w:lang w:val="el-GR"/>
        </w:rPr>
        <w:t xml:space="preserve"> ήταν γαστρεντερικά συμπτώματα και αδυναμία. Εφάπαξ δόσεις 80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δεν προκάλεσαν κάποιο συμβάν. Δεν είναι γνωστό κάποιο ειδικό αντίδοτο. Η </w:t>
      </w:r>
      <w:proofErr w:type="spellStart"/>
      <w:r w:rsidRPr="00800E0B">
        <w:rPr>
          <w:sz w:val="22"/>
          <w:szCs w:val="22"/>
          <w:lang w:val="el-GR"/>
        </w:rPr>
        <w:t>εσομεπραζόλη</w:t>
      </w:r>
      <w:proofErr w:type="spellEnd"/>
      <w:r w:rsidRPr="00800E0B">
        <w:rPr>
          <w:sz w:val="22"/>
          <w:szCs w:val="22"/>
          <w:lang w:val="el-GR"/>
        </w:rPr>
        <w:t xml:space="preserve"> δεσμεύεται σε μεγάλο βαθμό στις πρωτεΐνες του πλάσματος και είναι, επομένως, εύκολα, διαλυτή. Όπως σε οποιαδήποτε περίπτωση </w:t>
      </w:r>
      <w:proofErr w:type="spellStart"/>
      <w:r w:rsidRPr="00800E0B">
        <w:rPr>
          <w:sz w:val="22"/>
          <w:szCs w:val="22"/>
          <w:lang w:val="el-GR"/>
        </w:rPr>
        <w:t>υπερδοσολογίας</w:t>
      </w:r>
      <w:proofErr w:type="spellEnd"/>
      <w:r w:rsidRPr="00800E0B">
        <w:rPr>
          <w:sz w:val="22"/>
          <w:szCs w:val="22"/>
          <w:lang w:val="el-GR"/>
        </w:rPr>
        <w:t xml:space="preserve">, η θεραπεία θα πρέπει να είναι συμπτωματική και θα πρέπει να χρησιμοποιούνται γενικά υποστηρικτικά μέτρα. </w:t>
      </w:r>
    </w:p>
    <w:p w:rsidR="009B62E6" w:rsidRPr="00800E0B" w:rsidRDefault="009B62E6">
      <w:pPr>
        <w:tabs>
          <w:tab w:val="clear" w:pos="567"/>
        </w:tabs>
        <w:spacing w:line="240" w:lineRule="auto"/>
        <w:rPr>
          <w:noProof/>
          <w:lang w:val="el-GR"/>
        </w:rPr>
      </w:pPr>
    </w:p>
    <w:p w:rsidR="009B62E6" w:rsidRPr="00800E0B" w:rsidRDefault="009B62E6">
      <w:pPr>
        <w:tabs>
          <w:tab w:val="clear" w:pos="567"/>
        </w:tabs>
        <w:spacing w:line="240" w:lineRule="auto"/>
        <w:rPr>
          <w:noProof/>
          <w:lang w:val="el-GR"/>
        </w:rPr>
      </w:pPr>
    </w:p>
    <w:p w:rsidR="009B62E6" w:rsidRPr="00800E0B" w:rsidRDefault="009B62E6">
      <w:pPr>
        <w:widowControl w:val="0"/>
        <w:outlineLvl w:val="0"/>
        <w:rPr>
          <w:b/>
          <w:bCs/>
          <w:noProof/>
          <w:lang w:val="el-GR"/>
        </w:rPr>
      </w:pPr>
      <w:r w:rsidRPr="00800E0B">
        <w:rPr>
          <w:b/>
          <w:bCs/>
          <w:noProof/>
          <w:lang w:val="el-GR"/>
        </w:rPr>
        <w:t>5.</w:t>
      </w:r>
      <w:r w:rsidRPr="00800E0B">
        <w:rPr>
          <w:b/>
          <w:bCs/>
          <w:i/>
          <w:iCs/>
          <w:noProof/>
          <w:lang w:val="el-GR"/>
        </w:rPr>
        <w:tab/>
      </w:r>
      <w:r w:rsidRPr="00800E0B">
        <w:rPr>
          <w:b/>
          <w:bCs/>
          <w:lang w:val="el-GR"/>
        </w:rPr>
        <w:t>ΦΑΡΜΑΚΟΛΟΓΙΚΕΣ ΙΔΙΟΤΗΤΕΣ</w:t>
      </w:r>
    </w:p>
    <w:p w:rsidR="009B62E6" w:rsidRPr="00800E0B" w:rsidRDefault="009B62E6">
      <w:pPr>
        <w:tabs>
          <w:tab w:val="clear" w:pos="567"/>
        </w:tabs>
        <w:spacing w:line="240" w:lineRule="auto"/>
        <w:rPr>
          <w:noProof/>
          <w:lang w:val="el-GR"/>
        </w:rPr>
      </w:pPr>
    </w:p>
    <w:p w:rsidR="009B62E6" w:rsidRPr="00800E0B" w:rsidRDefault="009B62E6">
      <w:pPr>
        <w:widowControl w:val="0"/>
        <w:tabs>
          <w:tab w:val="left" w:pos="600"/>
        </w:tabs>
        <w:outlineLvl w:val="1"/>
        <w:rPr>
          <w:noProof/>
          <w:lang w:val="el-GR"/>
        </w:rPr>
      </w:pPr>
      <w:r w:rsidRPr="00800E0B">
        <w:rPr>
          <w:b/>
          <w:bCs/>
          <w:noProof/>
          <w:lang w:val="el-GR"/>
        </w:rPr>
        <w:t>5.1</w:t>
      </w:r>
      <w:r w:rsidRPr="00800E0B">
        <w:rPr>
          <w:b/>
          <w:bCs/>
          <w:noProof/>
          <w:lang w:val="el-GR"/>
        </w:rPr>
        <w:tab/>
      </w:r>
      <w:r w:rsidRPr="00800E0B">
        <w:rPr>
          <w:b/>
          <w:bCs/>
          <w:lang w:val="el-GR"/>
        </w:rPr>
        <w:t>Φαρμακοδυναμικές ιδιότητες</w:t>
      </w:r>
    </w:p>
    <w:p w:rsidR="009B62E6" w:rsidRPr="00800E0B" w:rsidRDefault="009B62E6">
      <w:pPr>
        <w:tabs>
          <w:tab w:val="clear" w:pos="567"/>
        </w:tabs>
        <w:spacing w:line="240" w:lineRule="auto"/>
        <w:rPr>
          <w:noProof/>
          <w:lang w:val="el-GR"/>
        </w:rPr>
      </w:pPr>
    </w:p>
    <w:p w:rsidR="009B62E6" w:rsidRPr="00800E0B" w:rsidRDefault="009B62E6">
      <w:pPr>
        <w:pStyle w:val="Default"/>
        <w:rPr>
          <w:sz w:val="22"/>
          <w:szCs w:val="22"/>
          <w:lang w:val="el-GR"/>
        </w:rPr>
      </w:pPr>
      <w:proofErr w:type="spellStart"/>
      <w:r w:rsidRPr="00800E0B">
        <w:rPr>
          <w:sz w:val="22"/>
          <w:szCs w:val="22"/>
          <w:lang w:val="el-GR"/>
        </w:rPr>
        <w:t>Φαρμακοθεραπευτική</w:t>
      </w:r>
      <w:proofErr w:type="spellEnd"/>
      <w:r w:rsidRPr="00800E0B">
        <w:rPr>
          <w:sz w:val="22"/>
          <w:szCs w:val="22"/>
          <w:lang w:val="el-GR"/>
        </w:rPr>
        <w:t xml:space="preserve"> κατηγορία: αναστολέας αντλίας πρωτονίων</w:t>
      </w:r>
    </w:p>
    <w:p w:rsidR="009B62E6" w:rsidRPr="00800E0B" w:rsidRDefault="009B62E6">
      <w:pPr>
        <w:pStyle w:val="Default"/>
        <w:rPr>
          <w:sz w:val="22"/>
          <w:szCs w:val="22"/>
          <w:lang w:val="el-GR"/>
        </w:rPr>
      </w:pPr>
      <w:r w:rsidRPr="00800E0B">
        <w:rPr>
          <w:sz w:val="22"/>
          <w:szCs w:val="22"/>
          <w:lang w:val="el-GR"/>
        </w:rPr>
        <w:t xml:space="preserve">Κωδικός </w:t>
      </w:r>
      <w:r w:rsidRPr="00800E0B">
        <w:rPr>
          <w:sz w:val="22"/>
          <w:szCs w:val="22"/>
          <w:lang w:val="en-GB"/>
        </w:rPr>
        <w:t>ATC</w:t>
      </w:r>
      <w:r w:rsidRPr="00800E0B">
        <w:rPr>
          <w:sz w:val="22"/>
          <w:szCs w:val="22"/>
          <w:lang w:val="el-GR"/>
        </w:rPr>
        <w:t xml:space="preserve">: </w:t>
      </w:r>
      <w:r w:rsidRPr="00800E0B">
        <w:rPr>
          <w:sz w:val="22"/>
          <w:szCs w:val="22"/>
          <w:lang w:val="en-GB"/>
        </w:rPr>
        <w:t>A</w:t>
      </w:r>
      <w:r w:rsidRPr="00800E0B">
        <w:rPr>
          <w:sz w:val="22"/>
          <w:szCs w:val="22"/>
          <w:lang w:val="el-GR"/>
        </w:rPr>
        <w:t>02</w:t>
      </w:r>
      <w:r w:rsidRPr="00800E0B">
        <w:rPr>
          <w:sz w:val="22"/>
          <w:szCs w:val="22"/>
          <w:lang w:val="en-GB"/>
        </w:rPr>
        <w:t>B</w:t>
      </w:r>
      <w:r w:rsidRPr="00800E0B">
        <w:rPr>
          <w:sz w:val="22"/>
          <w:szCs w:val="22"/>
          <w:lang w:val="el-GR"/>
        </w:rPr>
        <w:t xml:space="preserve"> </w:t>
      </w:r>
      <w:r w:rsidRPr="00800E0B">
        <w:rPr>
          <w:sz w:val="22"/>
          <w:szCs w:val="22"/>
          <w:lang w:val="en-GB"/>
        </w:rPr>
        <w:t>C</w:t>
      </w:r>
      <w:r w:rsidRPr="00800E0B">
        <w:rPr>
          <w:sz w:val="22"/>
          <w:szCs w:val="22"/>
          <w:lang w:val="el-GR"/>
        </w:rPr>
        <w:t>05</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είναι το </w:t>
      </w:r>
      <w:r w:rsidRPr="00800E0B">
        <w:rPr>
          <w:sz w:val="22"/>
          <w:szCs w:val="22"/>
          <w:lang w:val="en-GB"/>
        </w:rPr>
        <w:t>S</w:t>
      </w:r>
      <w:r w:rsidRPr="00800E0B">
        <w:rPr>
          <w:sz w:val="22"/>
          <w:szCs w:val="22"/>
          <w:lang w:val="el-GR"/>
        </w:rPr>
        <w:t xml:space="preserve"> ισομερές της </w:t>
      </w:r>
      <w:proofErr w:type="spellStart"/>
      <w:r w:rsidRPr="00800E0B">
        <w:rPr>
          <w:sz w:val="22"/>
          <w:szCs w:val="22"/>
          <w:lang w:val="el-GR"/>
        </w:rPr>
        <w:t>ομεπραζόλης</w:t>
      </w:r>
      <w:proofErr w:type="spellEnd"/>
      <w:r w:rsidRPr="00800E0B">
        <w:rPr>
          <w:sz w:val="22"/>
          <w:szCs w:val="22"/>
          <w:lang w:val="el-GR"/>
        </w:rPr>
        <w:t xml:space="preserve"> και μειώνει την έκκριση γαστρικού οξέος μέσω ενός ειδικού </w:t>
      </w:r>
      <w:proofErr w:type="spellStart"/>
      <w:r w:rsidRPr="00800E0B">
        <w:rPr>
          <w:sz w:val="22"/>
          <w:szCs w:val="22"/>
          <w:lang w:val="el-GR"/>
        </w:rPr>
        <w:t>στοχευμένου</w:t>
      </w:r>
      <w:proofErr w:type="spellEnd"/>
      <w:r w:rsidRPr="00800E0B">
        <w:rPr>
          <w:sz w:val="22"/>
          <w:szCs w:val="22"/>
          <w:lang w:val="el-GR"/>
        </w:rPr>
        <w:t xml:space="preserve"> μηχανισμού δράσης. Είναι ειδικός αναστολέας της αντλίας οξέος στο τοιχωματικό κύτταρο. Τόσο το </w:t>
      </w:r>
      <w:r w:rsidRPr="00800E0B">
        <w:rPr>
          <w:sz w:val="22"/>
          <w:szCs w:val="22"/>
          <w:lang w:val="en-GB"/>
        </w:rPr>
        <w:t>R</w:t>
      </w:r>
      <w:r w:rsidRPr="00800E0B">
        <w:rPr>
          <w:sz w:val="22"/>
          <w:szCs w:val="22"/>
          <w:lang w:val="el-GR"/>
        </w:rPr>
        <w:t xml:space="preserve">- όσο και το </w:t>
      </w:r>
      <w:r w:rsidRPr="00800E0B">
        <w:rPr>
          <w:sz w:val="22"/>
          <w:szCs w:val="22"/>
          <w:lang w:val="en-GB"/>
        </w:rPr>
        <w:t>S</w:t>
      </w:r>
      <w:r w:rsidRPr="00800E0B">
        <w:rPr>
          <w:sz w:val="22"/>
          <w:szCs w:val="22"/>
          <w:lang w:val="el-GR"/>
        </w:rPr>
        <w:t xml:space="preserve">-ισομερές της </w:t>
      </w:r>
      <w:proofErr w:type="spellStart"/>
      <w:r w:rsidRPr="00800E0B">
        <w:rPr>
          <w:sz w:val="22"/>
          <w:szCs w:val="22"/>
          <w:lang w:val="el-GR"/>
        </w:rPr>
        <w:t>ομεπραζόλης</w:t>
      </w:r>
      <w:proofErr w:type="spellEnd"/>
      <w:r w:rsidRPr="00800E0B">
        <w:rPr>
          <w:sz w:val="22"/>
          <w:szCs w:val="22"/>
          <w:lang w:val="el-GR"/>
        </w:rPr>
        <w:t xml:space="preserve"> έχουν παρόμοια φαρμακοδυναμική δραστικότητα. </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Θέση και μηχανισμός δράσης</w:t>
      </w: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είναι μια ασθενής βάση και συμπυκνώνεται και μετατρέπεται στη δραστική μορφή στο εξαιρετικά όξινο περιβάλλον των εκκριτικών σωληναρίων του τοιχωματικού κυττάρου, όπου αναστέλλει το ένζυμο </w:t>
      </w:r>
      <w:r w:rsidRPr="00800E0B">
        <w:rPr>
          <w:sz w:val="22"/>
          <w:szCs w:val="22"/>
          <w:lang w:val="en-GB"/>
        </w:rPr>
        <w:t>H</w:t>
      </w:r>
      <w:r w:rsidRPr="00800E0B">
        <w:rPr>
          <w:sz w:val="22"/>
          <w:szCs w:val="22"/>
          <w:vertAlign w:val="superscript"/>
          <w:lang w:val="el-GR"/>
        </w:rPr>
        <w:t>+</w:t>
      </w:r>
      <w:r w:rsidRPr="00800E0B">
        <w:rPr>
          <w:sz w:val="22"/>
          <w:szCs w:val="22"/>
          <w:lang w:val="en-GB"/>
        </w:rPr>
        <w:t>K</w:t>
      </w:r>
      <w:r w:rsidRPr="00800E0B">
        <w:rPr>
          <w:sz w:val="22"/>
          <w:szCs w:val="22"/>
          <w:vertAlign w:val="superscript"/>
          <w:lang w:val="el-GR"/>
        </w:rPr>
        <w:t>+</w:t>
      </w:r>
      <w:r w:rsidRPr="00800E0B">
        <w:rPr>
          <w:sz w:val="22"/>
          <w:szCs w:val="22"/>
          <w:lang w:val="el-GR"/>
        </w:rPr>
        <w:t>-</w:t>
      </w:r>
      <w:r w:rsidRPr="00800E0B">
        <w:rPr>
          <w:sz w:val="22"/>
          <w:szCs w:val="22"/>
          <w:lang w:val="en-GB"/>
        </w:rPr>
        <w:t>ATP</w:t>
      </w:r>
      <w:proofErr w:type="spellStart"/>
      <w:r w:rsidRPr="00800E0B">
        <w:rPr>
          <w:sz w:val="22"/>
          <w:szCs w:val="22"/>
          <w:lang w:val="el-GR"/>
        </w:rPr>
        <w:t>άση</w:t>
      </w:r>
      <w:proofErr w:type="spellEnd"/>
      <w:r w:rsidRPr="00800E0B">
        <w:rPr>
          <w:sz w:val="22"/>
          <w:szCs w:val="22"/>
          <w:lang w:val="el-GR"/>
        </w:rPr>
        <w:t xml:space="preserve"> – την αντλία οξέων και αναστέλλει τη βασική, καθώς και τη διεγερμένη έκκριση οξέος. </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Επίδραση στην έκκριση γαστρικού οξέος</w:t>
      </w:r>
    </w:p>
    <w:p w:rsidR="009B62E6" w:rsidRPr="00800E0B" w:rsidRDefault="009B62E6">
      <w:pPr>
        <w:pStyle w:val="Default"/>
        <w:rPr>
          <w:sz w:val="22"/>
          <w:szCs w:val="22"/>
          <w:lang w:val="el-GR"/>
        </w:rPr>
      </w:pPr>
      <w:r w:rsidRPr="00800E0B">
        <w:rPr>
          <w:sz w:val="22"/>
          <w:szCs w:val="22"/>
          <w:lang w:val="el-GR"/>
        </w:rPr>
        <w:t>Μετά τη χορήγηση δόσης 20</w:t>
      </w:r>
      <w:r w:rsidRPr="00800E0B">
        <w:rPr>
          <w:sz w:val="22"/>
          <w:szCs w:val="22"/>
          <w:lang w:val="en-GB"/>
        </w:rPr>
        <w:t> mg</w:t>
      </w:r>
      <w:r w:rsidRPr="00800E0B">
        <w:rPr>
          <w:sz w:val="22"/>
          <w:szCs w:val="22"/>
          <w:lang w:val="el-GR"/>
        </w:rPr>
        <w:t xml:space="preserve"> και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από του στόματος, η έναρξη της δράσης πραγματοποιείται εντός μίας ώρας. Μετά από επαναλαμβανόμενη χορήγηση 20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μία φορά την ημέρα επί πέντε ημέρες, η μέση μέγιστη παραγωγή οξέος μετά από διέγερση </w:t>
      </w:r>
      <w:proofErr w:type="spellStart"/>
      <w:r w:rsidRPr="00800E0B">
        <w:rPr>
          <w:sz w:val="22"/>
          <w:szCs w:val="22"/>
          <w:lang w:val="el-GR"/>
        </w:rPr>
        <w:t>πενταγαστρίνης</w:t>
      </w:r>
      <w:proofErr w:type="spellEnd"/>
      <w:r w:rsidRPr="00800E0B">
        <w:rPr>
          <w:sz w:val="22"/>
          <w:szCs w:val="22"/>
          <w:lang w:val="el-GR"/>
        </w:rPr>
        <w:t xml:space="preserve"> μειώνεται κατά 90% όταν μετράται 6</w:t>
      </w:r>
      <w:r w:rsidRPr="00800E0B">
        <w:rPr>
          <w:sz w:val="22"/>
          <w:szCs w:val="22"/>
          <w:lang w:val="el-GR"/>
        </w:rPr>
        <w:noBreakHyphen/>
        <w:t>7 ώρες μετά τη χορήγηση της δόσης κατά την ημέρα πέντε.</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Μετά από πέντε ημέρες χορήγησης δόσης από του στόματος με 20</w:t>
      </w:r>
      <w:r w:rsidRPr="00800E0B">
        <w:rPr>
          <w:sz w:val="22"/>
          <w:szCs w:val="22"/>
          <w:lang w:val="en-GB"/>
        </w:rPr>
        <w:t> mg</w:t>
      </w:r>
      <w:r w:rsidRPr="00800E0B">
        <w:rPr>
          <w:sz w:val="22"/>
          <w:szCs w:val="22"/>
          <w:lang w:val="el-GR"/>
        </w:rPr>
        <w:t xml:space="preserve"> και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διατηρήθηκε </w:t>
      </w:r>
      <w:proofErr w:type="spellStart"/>
      <w:r w:rsidRPr="00800E0B">
        <w:rPr>
          <w:sz w:val="22"/>
          <w:szCs w:val="22"/>
          <w:lang w:val="el-GR"/>
        </w:rPr>
        <w:t>ενδογαστρικό</w:t>
      </w:r>
      <w:proofErr w:type="spellEnd"/>
      <w:r w:rsidRPr="00800E0B">
        <w:rPr>
          <w:sz w:val="22"/>
          <w:szCs w:val="22"/>
          <w:lang w:val="el-GR"/>
        </w:rPr>
        <w:t xml:space="preserve"> </w:t>
      </w:r>
      <w:r w:rsidRPr="00800E0B">
        <w:rPr>
          <w:sz w:val="22"/>
          <w:szCs w:val="22"/>
          <w:lang w:val="en-GB"/>
        </w:rPr>
        <w:t>pH</w:t>
      </w:r>
      <w:r w:rsidRPr="00800E0B">
        <w:rPr>
          <w:sz w:val="22"/>
          <w:szCs w:val="22"/>
          <w:lang w:val="el-GR"/>
        </w:rPr>
        <w:t xml:space="preserve"> υψηλότερο από 4 για μέσο χρόνο 13 ωρών και 17 ωρών, αντίστοιχα, σε διάστημα 24 ωρών σε ασθενείς με συμπτωματική ΓΟΠ. Η αναλογία των ασθενών που διατηρούν το </w:t>
      </w:r>
      <w:proofErr w:type="spellStart"/>
      <w:r w:rsidRPr="00800E0B">
        <w:rPr>
          <w:sz w:val="22"/>
          <w:szCs w:val="22"/>
          <w:lang w:val="el-GR"/>
        </w:rPr>
        <w:t>ενδογαστρικό</w:t>
      </w:r>
      <w:proofErr w:type="spellEnd"/>
      <w:r w:rsidRPr="00800E0B">
        <w:rPr>
          <w:sz w:val="22"/>
          <w:szCs w:val="22"/>
          <w:lang w:val="el-GR"/>
        </w:rPr>
        <w:t xml:space="preserve"> </w:t>
      </w:r>
      <w:r w:rsidRPr="00800E0B">
        <w:rPr>
          <w:sz w:val="22"/>
          <w:szCs w:val="22"/>
          <w:lang w:val="en-GB"/>
        </w:rPr>
        <w:t>pH</w:t>
      </w:r>
      <w:r w:rsidRPr="00800E0B">
        <w:rPr>
          <w:sz w:val="22"/>
          <w:szCs w:val="22"/>
          <w:lang w:val="el-GR"/>
        </w:rPr>
        <w:t xml:space="preserve"> υψηλότερο από 4 επί 8, 12 και 16 ώρες τουλάχιστον, αντίστοιχα, ήταν για 20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76%, 54% και 24%. Οι αντίστοιχες αναλογίες για τα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ήταν 97%, 92% και 56%.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Με τη χρήση του </w:t>
      </w:r>
      <w:r w:rsidRPr="00800E0B">
        <w:rPr>
          <w:sz w:val="22"/>
          <w:szCs w:val="22"/>
          <w:lang w:val="en-GB"/>
        </w:rPr>
        <w:t>AUC</w:t>
      </w:r>
      <w:r w:rsidRPr="00800E0B">
        <w:rPr>
          <w:sz w:val="22"/>
          <w:szCs w:val="22"/>
          <w:lang w:val="el-GR"/>
        </w:rPr>
        <w:t xml:space="preserve"> ως αναπληρωματικής παραμέτρου για τη συγκέντρωση στο πλάσμα, έχει φανεί μια σχέση μεταξύ της αναστολής της έκκρισης οξέος και της έκθεσης. </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Θεραπευτικές επιδράσεις της αναστολής του οξέος</w:t>
      </w:r>
    </w:p>
    <w:p w:rsidR="009B62E6" w:rsidRPr="00800E0B" w:rsidRDefault="009B62E6">
      <w:pPr>
        <w:pStyle w:val="Default"/>
        <w:rPr>
          <w:sz w:val="22"/>
          <w:szCs w:val="22"/>
          <w:lang w:val="el-GR"/>
        </w:rPr>
      </w:pPr>
      <w:r w:rsidRPr="00800E0B">
        <w:rPr>
          <w:sz w:val="22"/>
          <w:szCs w:val="22"/>
          <w:lang w:val="el-GR"/>
        </w:rPr>
        <w:t>Η επούλωση της οισοφαγίτιδας από παλινδρόμηση με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παρατηρείται σε περίπου 78% ασθενών μετά από τέσσερις εβδομάδες και σε 93% μετά από οκτώ εβδομάδες.</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Η θεραπεία διάρκειας μίας εβδομάδας με 20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δύο φορές την ημέρα και κατάλληλα αντιβιοτικά, οδηγεί σε επιτυχημένη εκρίζωση του </w:t>
      </w:r>
      <w:r w:rsidRPr="00800E0B">
        <w:rPr>
          <w:i/>
          <w:iCs/>
          <w:sz w:val="22"/>
          <w:szCs w:val="22"/>
          <w:lang w:val="en-GB"/>
        </w:rPr>
        <w:t>H</w:t>
      </w:r>
      <w:r w:rsidRPr="00800E0B">
        <w:rPr>
          <w:i/>
          <w:iCs/>
          <w:sz w:val="22"/>
          <w:szCs w:val="22"/>
          <w:lang w:val="el-GR"/>
        </w:rPr>
        <w:t xml:space="preserve">. </w:t>
      </w:r>
      <w:r w:rsidRPr="00800E0B">
        <w:rPr>
          <w:i/>
          <w:iCs/>
          <w:sz w:val="22"/>
          <w:szCs w:val="22"/>
          <w:lang w:val="en-GB"/>
        </w:rPr>
        <w:t>pylori</w:t>
      </w:r>
      <w:r w:rsidRPr="00800E0B">
        <w:rPr>
          <w:i/>
          <w:iCs/>
          <w:sz w:val="22"/>
          <w:szCs w:val="22"/>
          <w:lang w:val="el-GR"/>
        </w:rPr>
        <w:t xml:space="preserve"> </w:t>
      </w:r>
      <w:r w:rsidRPr="00800E0B">
        <w:rPr>
          <w:sz w:val="22"/>
          <w:szCs w:val="22"/>
          <w:lang w:val="el-GR"/>
        </w:rPr>
        <w:t xml:space="preserve">σε περίπου 90% των ασθενών. </w:t>
      </w:r>
    </w:p>
    <w:p w:rsidR="009B62E6" w:rsidRPr="00800E0B" w:rsidRDefault="009B62E6">
      <w:pPr>
        <w:pStyle w:val="Default"/>
        <w:rPr>
          <w:sz w:val="22"/>
          <w:szCs w:val="22"/>
          <w:lang w:val="el-GR"/>
        </w:rPr>
      </w:pPr>
      <w:r w:rsidRPr="00800E0B">
        <w:rPr>
          <w:sz w:val="22"/>
          <w:szCs w:val="22"/>
          <w:lang w:val="el-GR"/>
        </w:rPr>
        <w:t xml:space="preserve">Μετά τη θεραπεία εκρίζωσης για μία εβδομάδα, δεν υπάρχει ανάγκη για επακόλουθη </w:t>
      </w:r>
      <w:proofErr w:type="spellStart"/>
      <w:r w:rsidRPr="00800E0B">
        <w:rPr>
          <w:sz w:val="22"/>
          <w:szCs w:val="22"/>
          <w:lang w:val="el-GR"/>
        </w:rPr>
        <w:t>μονοθεραπεία</w:t>
      </w:r>
      <w:proofErr w:type="spellEnd"/>
      <w:r w:rsidRPr="00800E0B">
        <w:rPr>
          <w:sz w:val="22"/>
          <w:szCs w:val="22"/>
          <w:lang w:val="el-GR"/>
        </w:rPr>
        <w:t xml:space="preserve"> με </w:t>
      </w:r>
      <w:proofErr w:type="spellStart"/>
      <w:r w:rsidRPr="00800E0B">
        <w:rPr>
          <w:sz w:val="22"/>
          <w:szCs w:val="22"/>
          <w:lang w:val="el-GR"/>
        </w:rPr>
        <w:t>αντιεκκριτικά</w:t>
      </w:r>
      <w:proofErr w:type="spellEnd"/>
      <w:r w:rsidRPr="00800E0B">
        <w:rPr>
          <w:sz w:val="22"/>
          <w:szCs w:val="22"/>
          <w:lang w:val="el-GR"/>
        </w:rPr>
        <w:t xml:space="preserve"> φάρμακα για αποτελεσματική επούλωση του έλκους και υποχώρηση των συμπτωμάτων σε μη </w:t>
      </w:r>
      <w:proofErr w:type="spellStart"/>
      <w:r w:rsidRPr="00800E0B">
        <w:rPr>
          <w:sz w:val="22"/>
          <w:szCs w:val="22"/>
          <w:lang w:val="el-GR"/>
        </w:rPr>
        <w:t>επιπλεγμένα</w:t>
      </w:r>
      <w:proofErr w:type="spellEnd"/>
      <w:r w:rsidRPr="00800E0B">
        <w:rPr>
          <w:sz w:val="22"/>
          <w:szCs w:val="22"/>
          <w:lang w:val="el-GR"/>
        </w:rPr>
        <w:t xml:space="preserve"> έλκη δωδεκαδακτύλου. </w:t>
      </w:r>
    </w:p>
    <w:p w:rsidR="009B62E6" w:rsidRPr="00800E0B" w:rsidRDefault="009B62E6">
      <w:pPr>
        <w:pStyle w:val="Default"/>
        <w:rPr>
          <w:sz w:val="22"/>
          <w:szCs w:val="22"/>
          <w:lang w:val="el-GR"/>
        </w:rPr>
      </w:pPr>
    </w:p>
    <w:p w:rsidR="009B62E6" w:rsidRPr="00800E0B" w:rsidRDefault="009B62E6">
      <w:pPr>
        <w:autoSpaceDE w:val="0"/>
        <w:autoSpaceDN w:val="0"/>
        <w:adjustRightInd w:val="0"/>
        <w:rPr>
          <w:lang w:val="el-GR"/>
        </w:rPr>
      </w:pPr>
      <w:r w:rsidRPr="00800E0B">
        <w:rPr>
          <w:color w:val="000000"/>
          <w:lang w:val="el-GR"/>
        </w:rPr>
        <w:t xml:space="preserve">Σε μια τυχαιοποιημένη, διπλή τυφλή κλινική μελέτη με έλεγχο εικονικού φαρμάκου, οι ασθενείς με ενδοσκοπικά επιβεβαιωμένη αιμορραγία από πεπτικό έλκος οι οποίοι χαρακτηρίζονται ως </w:t>
      </w:r>
      <w:r w:rsidRPr="00800E0B">
        <w:rPr>
          <w:color w:val="000000"/>
        </w:rPr>
        <w:t>Forrest</w:t>
      </w:r>
      <w:r w:rsidRPr="00800E0B">
        <w:rPr>
          <w:color w:val="000000"/>
          <w:lang w:val="el-GR"/>
        </w:rPr>
        <w:t xml:space="preserve"> </w:t>
      </w:r>
      <w:r w:rsidRPr="00800E0B">
        <w:rPr>
          <w:color w:val="000000"/>
        </w:rPr>
        <w:t>I</w:t>
      </w:r>
      <w:r w:rsidRPr="00800E0B">
        <w:rPr>
          <w:color w:val="000000"/>
          <w:lang w:val="el-GR"/>
        </w:rPr>
        <w:t xml:space="preserve">α, </w:t>
      </w:r>
      <w:r w:rsidRPr="00800E0B">
        <w:rPr>
          <w:color w:val="000000"/>
        </w:rPr>
        <w:t>I</w:t>
      </w:r>
      <w:r w:rsidRPr="00800E0B">
        <w:rPr>
          <w:color w:val="000000"/>
          <w:lang w:val="el-GR"/>
        </w:rPr>
        <w:t xml:space="preserve">β, </w:t>
      </w:r>
      <w:r w:rsidRPr="00800E0B">
        <w:rPr>
          <w:color w:val="000000"/>
        </w:rPr>
        <w:t>II</w:t>
      </w:r>
      <w:r w:rsidRPr="00800E0B">
        <w:rPr>
          <w:color w:val="000000"/>
          <w:lang w:val="el-GR"/>
        </w:rPr>
        <w:t xml:space="preserve">α ή </w:t>
      </w:r>
      <w:r w:rsidRPr="00800E0B">
        <w:rPr>
          <w:color w:val="000000"/>
        </w:rPr>
        <w:t>II</w:t>
      </w:r>
      <w:r w:rsidRPr="00800E0B">
        <w:rPr>
          <w:color w:val="000000"/>
          <w:lang w:val="el-GR"/>
        </w:rPr>
        <w:t xml:space="preserve">β (9%, 43%, 38% και 10 %, αντίστοιχα) </w:t>
      </w:r>
      <w:proofErr w:type="spellStart"/>
      <w:r w:rsidRPr="00800E0B">
        <w:rPr>
          <w:color w:val="000000"/>
          <w:lang w:val="el-GR"/>
        </w:rPr>
        <w:t>τυχαιοποιήθηκαν</w:t>
      </w:r>
      <w:proofErr w:type="spellEnd"/>
      <w:r w:rsidRPr="00800E0B">
        <w:rPr>
          <w:color w:val="000000"/>
          <w:lang w:val="el-GR"/>
        </w:rPr>
        <w:t xml:space="preserve"> ώστε να λάβουν διάλυμα </w:t>
      </w:r>
      <w:proofErr w:type="spellStart"/>
      <w:r w:rsidRPr="00800E0B">
        <w:rPr>
          <w:color w:val="000000"/>
          <w:lang w:val="el-GR"/>
        </w:rPr>
        <w:t>εσομεπραζόλης</w:t>
      </w:r>
      <w:proofErr w:type="spellEnd"/>
      <w:r w:rsidRPr="00800E0B">
        <w:rPr>
          <w:color w:val="000000"/>
          <w:lang w:val="el-GR"/>
        </w:rPr>
        <w:t xml:space="preserve"> προς έγχυση (</w:t>
      </w:r>
      <w:r w:rsidRPr="00800E0B">
        <w:rPr>
          <w:color w:val="000000"/>
        </w:rPr>
        <w:t>n</w:t>
      </w:r>
      <w:r w:rsidRPr="00800E0B">
        <w:rPr>
          <w:color w:val="000000"/>
          <w:lang w:val="el-GR"/>
        </w:rPr>
        <w:t>=375) ή εικονικό φάρμακο (</w:t>
      </w:r>
      <w:r w:rsidRPr="00800E0B">
        <w:rPr>
          <w:color w:val="000000"/>
        </w:rPr>
        <w:t>n</w:t>
      </w:r>
      <w:r w:rsidRPr="00800E0B">
        <w:rPr>
          <w:color w:val="000000"/>
          <w:lang w:val="el-GR"/>
        </w:rPr>
        <w:t>=389). Μετά από ενδοσκοπική αιμόσταση, οι ασθενείς έλαβαν είτε 80</w:t>
      </w:r>
      <w:r w:rsidRPr="00800E0B">
        <w:rPr>
          <w:color w:val="000000"/>
        </w:rPr>
        <w:t> mg</w:t>
      </w:r>
      <w:r w:rsidRPr="00800E0B">
        <w:rPr>
          <w:color w:val="000000"/>
          <w:lang w:val="el-GR"/>
        </w:rPr>
        <w:t xml:space="preserve"> </w:t>
      </w:r>
      <w:proofErr w:type="spellStart"/>
      <w:r w:rsidRPr="00800E0B">
        <w:rPr>
          <w:color w:val="000000"/>
          <w:lang w:val="el-GR"/>
        </w:rPr>
        <w:t>εσομεπραζόλης</w:t>
      </w:r>
      <w:proofErr w:type="spellEnd"/>
      <w:r w:rsidRPr="00800E0B">
        <w:rPr>
          <w:color w:val="000000"/>
          <w:lang w:val="el-GR"/>
        </w:rPr>
        <w:t xml:space="preserve"> ως ενδοφλέβια έγχυση σε διάστημα 30 λεπτών ακολουθούμενη από συνεχή έγχυση 8 </w:t>
      </w:r>
      <w:r w:rsidRPr="00800E0B">
        <w:rPr>
          <w:color w:val="000000"/>
        </w:rPr>
        <w:t>mg</w:t>
      </w:r>
      <w:r w:rsidRPr="00800E0B">
        <w:rPr>
          <w:color w:val="000000"/>
          <w:lang w:val="el-GR"/>
        </w:rPr>
        <w:t xml:space="preserve"> ανά ώρα είτε εικονικό φάρμακο επί 72 ώρες. Μετά από την αρχική περίοδο 72 ωρών, όλοι οι ασθενείς έλαβαν ανοικτή θεραπεία με 40</w:t>
      </w:r>
      <w:r w:rsidRPr="00800E0B">
        <w:rPr>
          <w:color w:val="000000"/>
        </w:rPr>
        <w:t> mg</w:t>
      </w:r>
      <w:r w:rsidRPr="00800E0B">
        <w:rPr>
          <w:color w:val="000000"/>
          <w:lang w:val="el-GR"/>
        </w:rPr>
        <w:t xml:space="preserve"> </w:t>
      </w:r>
      <w:proofErr w:type="spellStart"/>
      <w:r w:rsidRPr="00800E0B">
        <w:rPr>
          <w:color w:val="000000"/>
          <w:lang w:val="el-GR"/>
        </w:rPr>
        <w:t>εσομεπραζόλης</w:t>
      </w:r>
      <w:proofErr w:type="spellEnd"/>
      <w:r w:rsidRPr="00800E0B">
        <w:rPr>
          <w:color w:val="000000"/>
          <w:lang w:val="el-GR"/>
        </w:rPr>
        <w:t xml:space="preserve"> από του στόματος επί 27 ημέρες για καταστολή του οξέος. Η εμφάνιση επανάληψης της αιμορραγίας εντός 3 ημερών ήταν 5,9% στην ομάδα που έλαβε θεραπεία με </w:t>
      </w:r>
      <w:proofErr w:type="spellStart"/>
      <w:r w:rsidRPr="00800E0B">
        <w:rPr>
          <w:color w:val="000000"/>
          <w:lang w:val="el-GR"/>
        </w:rPr>
        <w:t>εσομεπραζόλη</w:t>
      </w:r>
      <w:proofErr w:type="spellEnd"/>
      <w:r w:rsidRPr="00800E0B">
        <w:rPr>
          <w:color w:val="000000"/>
          <w:lang w:val="el-GR"/>
        </w:rPr>
        <w:t xml:space="preserve"> συγκριτικά με 10,3% για την ομάδα του εικονικού φαρμάκου. Στις 30 ημέρες μετά τη θεραπεία, η εμφάνιση επανάληψης της αιμορραγίας στην ομάδα που έλαβε θεραπεία με </w:t>
      </w:r>
      <w:proofErr w:type="spellStart"/>
      <w:r w:rsidRPr="00800E0B">
        <w:rPr>
          <w:color w:val="000000"/>
          <w:lang w:val="el-GR"/>
        </w:rPr>
        <w:t>εσομεπραζόλη</w:t>
      </w:r>
      <w:proofErr w:type="spellEnd"/>
      <w:r w:rsidRPr="00800E0B">
        <w:rPr>
          <w:color w:val="000000"/>
          <w:lang w:val="el-GR"/>
        </w:rPr>
        <w:t xml:space="preserve"> έναντι της ομάδας που έλαβε θεραπεία με εικονικό φάρμακο ήταν 7,7% έναντι 13,6%. </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Άλλες επιδράσεις που σχετίζονταν με αναστολή οξέος</w:t>
      </w:r>
    </w:p>
    <w:p w:rsidR="009B62E6" w:rsidRPr="00800E0B" w:rsidRDefault="009B62E6">
      <w:pPr>
        <w:pStyle w:val="Default"/>
        <w:rPr>
          <w:sz w:val="22"/>
          <w:szCs w:val="22"/>
          <w:lang w:val="el-GR"/>
        </w:rPr>
      </w:pPr>
      <w:r w:rsidRPr="00800E0B">
        <w:rPr>
          <w:sz w:val="22"/>
          <w:szCs w:val="22"/>
          <w:lang w:val="el-GR"/>
        </w:rPr>
        <w:t xml:space="preserve">Κατά τη διάρκεια της θεραπείας με </w:t>
      </w:r>
      <w:proofErr w:type="spellStart"/>
      <w:r w:rsidRPr="00800E0B">
        <w:rPr>
          <w:sz w:val="22"/>
          <w:szCs w:val="22"/>
          <w:lang w:val="el-GR"/>
        </w:rPr>
        <w:t>αντιεκκριτικά</w:t>
      </w:r>
      <w:proofErr w:type="spellEnd"/>
      <w:r w:rsidRPr="00800E0B">
        <w:rPr>
          <w:sz w:val="22"/>
          <w:szCs w:val="22"/>
          <w:lang w:val="el-GR"/>
        </w:rPr>
        <w:t xml:space="preserve"> φάρμακα η </w:t>
      </w:r>
      <w:proofErr w:type="spellStart"/>
      <w:r w:rsidRPr="00800E0B">
        <w:rPr>
          <w:sz w:val="22"/>
          <w:szCs w:val="22"/>
          <w:lang w:val="el-GR"/>
        </w:rPr>
        <w:t>γαστρίνη</w:t>
      </w:r>
      <w:proofErr w:type="spellEnd"/>
      <w:r w:rsidRPr="00800E0B">
        <w:rPr>
          <w:sz w:val="22"/>
          <w:szCs w:val="22"/>
          <w:lang w:val="el-GR"/>
        </w:rPr>
        <w:t xml:space="preserve"> του ορού αυξάνει ως απάντηση στη μειωμένη έκκριση οξέος.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lastRenderedPageBreak/>
        <w:t xml:space="preserve">Κατά τη διάρκεια μακροχρόνιας θεραπείας με </w:t>
      </w:r>
      <w:proofErr w:type="spellStart"/>
      <w:r w:rsidRPr="00800E0B">
        <w:rPr>
          <w:sz w:val="22"/>
          <w:szCs w:val="22"/>
          <w:lang w:val="el-GR"/>
        </w:rPr>
        <w:t>εσομεπραζόλη</w:t>
      </w:r>
      <w:proofErr w:type="spellEnd"/>
      <w:r w:rsidRPr="00800E0B">
        <w:rPr>
          <w:sz w:val="22"/>
          <w:szCs w:val="22"/>
          <w:lang w:val="el-GR"/>
        </w:rPr>
        <w:t xml:space="preserve">, έχει παρατηρηθεί σε ορισμένους ασθενείς αυξημένος αριθμός κυττάρων </w:t>
      </w:r>
      <w:r w:rsidRPr="00800E0B">
        <w:rPr>
          <w:sz w:val="22"/>
          <w:szCs w:val="22"/>
          <w:lang w:val="en-GB"/>
        </w:rPr>
        <w:t>ECL</w:t>
      </w:r>
      <w:r w:rsidRPr="00800E0B">
        <w:rPr>
          <w:sz w:val="22"/>
          <w:szCs w:val="22"/>
          <w:lang w:val="el-GR"/>
        </w:rPr>
        <w:t xml:space="preserve"> που πιθανώς σχετίζονται με τα αυξημένα επίπεδα </w:t>
      </w:r>
      <w:proofErr w:type="spellStart"/>
      <w:r w:rsidRPr="00800E0B">
        <w:rPr>
          <w:sz w:val="22"/>
          <w:szCs w:val="22"/>
          <w:lang w:val="el-GR"/>
        </w:rPr>
        <w:t>γαστρίνης</w:t>
      </w:r>
      <w:proofErr w:type="spellEnd"/>
      <w:r w:rsidRPr="00800E0B">
        <w:rPr>
          <w:sz w:val="22"/>
          <w:szCs w:val="22"/>
          <w:lang w:val="el-GR"/>
        </w:rPr>
        <w:t xml:space="preserve"> ορού.</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Κατά τη διάρκεια της μακροχρόνιας θεραπείας με </w:t>
      </w:r>
      <w:proofErr w:type="spellStart"/>
      <w:r w:rsidRPr="00800E0B">
        <w:rPr>
          <w:sz w:val="22"/>
          <w:szCs w:val="22"/>
          <w:lang w:val="el-GR"/>
        </w:rPr>
        <w:t>αντιεκκριτικά</w:t>
      </w:r>
      <w:proofErr w:type="spellEnd"/>
      <w:r w:rsidRPr="00800E0B">
        <w:rPr>
          <w:sz w:val="22"/>
          <w:szCs w:val="22"/>
          <w:lang w:val="el-GR"/>
        </w:rPr>
        <w:t xml:space="preserve"> φάρμακα, έχει αναφερθεί ότι παρατηρούνται γαστρικές αδενικές κύστεις με κάπως αυξημένη συχνότητα. Αυτές οι αλλαγές είναι μια φυσιολογική συνέπεια της έντονης αναστολής της έκκρισης οξέος, είναι καλοήθεις και φαίνεται ότι είναι αναστρέψιμες.</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Η μειωμένη γαστρική οξύτητα λόγω οποιουδήποτε μέσου, συμπεριλαμβανομένων των αναστολέων της αντλίας πρωτονίων, αυξάνει τον αριθμό των βακτηρίων στο στόμαχο που είναι φυσιολογικά παρόντα στο γαστρεντερικό σωλήνα. Η θεραπεία με αναστολείς τις αντλίας πρωτονίων ενδέχεται να οδηγήσει σε ελαφρώς αυξημένο κίνδυνο γαστρεντερικών λοιμώξεων όπως από </w:t>
      </w:r>
      <w:r w:rsidRPr="00800E0B">
        <w:rPr>
          <w:i/>
          <w:iCs/>
          <w:sz w:val="22"/>
          <w:szCs w:val="22"/>
          <w:lang w:val="el-GR"/>
        </w:rPr>
        <w:t xml:space="preserve">σαλμονέλα </w:t>
      </w:r>
      <w:r w:rsidRPr="00800E0B">
        <w:rPr>
          <w:sz w:val="22"/>
          <w:szCs w:val="22"/>
          <w:lang w:val="el-GR"/>
        </w:rPr>
        <w:t xml:space="preserve">και </w:t>
      </w:r>
      <w:proofErr w:type="spellStart"/>
      <w:r w:rsidRPr="00800E0B">
        <w:rPr>
          <w:i/>
          <w:iCs/>
          <w:sz w:val="22"/>
          <w:szCs w:val="22"/>
          <w:lang w:val="el-GR"/>
        </w:rPr>
        <w:t>καμπυλοβακτηρίδιο</w:t>
      </w:r>
      <w:proofErr w:type="spellEnd"/>
      <w:r w:rsidRPr="00800E0B">
        <w:rPr>
          <w:sz w:val="22"/>
          <w:szCs w:val="22"/>
          <w:lang w:val="el-GR"/>
        </w:rPr>
        <w:t xml:space="preserve">.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Σε δύο μελέτες με </w:t>
      </w:r>
      <w:proofErr w:type="spellStart"/>
      <w:r w:rsidRPr="00800E0B">
        <w:rPr>
          <w:sz w:val="22"/>
          <w:szCs w:val="22"/>
          <w:lang w:val="el-GR"/>
        </w:rPr>
        <w:t>ρανιτιδίνη</w:t>
      </w:r>
      <w:proofErr w:type="spellEnd"/>
      <w:r w:rsidRPr="00800E0B">
        <w:rPr>
          <w:sz w:val="22"/>
          <w:szCs w:val="22"/>
          <w:lang w:val="el-GR"/>
        </w:rPr>
        <w:t xml:space="preserve"> ως δραστική συγκριτική ουσία, η </w:t>
      </w:r>
      <w:proofErr w:type="spellStart"/>
      <w:r w:rsidRPr="00800E0B">
        <w:rPr>
          <w:sz w:val="22"/>
          <w:szCs w:val="22"/>
          <w:lang w:val="el-GR"/>
        </w:rPr>
        <w:t>εσομεπραζόλη</w:t>
      </w:r>
      <w:proofErr w:type="spellEnd"/>
      <w:r w:rsidRPr="00800E0B">
        <w:rPr>
          <w:sz w:val="22"/>
          <w:szCs w:val="22"/>
          <w:lang w:val="el-GR"/>
        </w:rPr>
        <w:t xml:space="preserve"> κατέδειξε καλύτερη επίδραση στην επούλωση γαστρικών ελκών σε ασθενείς που χρησιμοποιούν ΜΣΑΦ, συμπεριλαμβανομένων των εκλεκτικών ΜΣΑΦ έναντι της κυκλοξυγενάσης-2 (</w:t>
      </w:r>
      <w:r w:rsidRPr="00800E0B">
        <w:rPr>
          <w:sz w:val="22"/>
          <w:szCs w:val="22"/>
          <w:lang w:val="en-GB"/>
        </w:rPr>
        <w:t>COX</w:t>
      </w:r>
      <w:r w:rsidRPr="00800E0B">
        <w:rPr>
          <w:sz w:val="22"/>
          <w:szCs w:val="22"/>
          <w:lang w:val="el-GR"/>
        </w:rPr>
        <w:t xml:space="preserve">-2).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Σε δύο μελέτες με εικονικό φάρμακο ως συγκριτική ουσία, η </w:t>
      </w:r>
      <w:proofErr w:type="spellStart"/>
      <w:r w:rsidRPr="00800E0B">
        <w:rPr>
          <w:sz w:val="22"/>
          <w:szCs w:val="22"/>
          <w:lang w:val="el-GR"/>
        </w:rPr>
        <w:t>εσομεπραζόλη</w:t>
      </w:r>
      <w:proofErr w:type="spellEnd"/>
      <w:r w:rsidRPr="00800E0B">
        <w:rPr>
          <w:sz w:val="22"/>
          <w:szCs w:val="22"/>
          <w:lang w:val="el-GR"/>
        </w:rPr>
        <w:t xml:space="preserve"> κατέδειξε καλύτερη επίδραση στην πρόληψη γαστρικών και δωδεκαδακτυλικών ελκών σε ασθενείς που χρησιμοποιούν ΜΣΑΦ (ηλικίας &gt;60 και/ή με προηγούμενο έλκος), συμπεριλαμβανομένων των εκλεκτικών ΜΣΑΦ έναντι της κυκλοξυγενάσης-2 (</w:t>
      </w:r>
      <w:r w:rsidRPr="00800E0B">
        <w:rPr>
          <w:sz w:val="22"/>
          <w:szCs w:val="22"/>
          <w:lang w:val="en-GB"/>
        </w:rPr>
        <w:t>COX</w:t>
      </w:r>
      <w:r w:rsidRPr="00800E0B">
        <w:rPr>
          <w:sz w:val="22"/>
          <w:szCs w:val="22"/>
          <w:lang w:val="el-GR"/>
        </w:rPr>
        <w:t xml:space="preserve">-2). </w:t>
      </w:r>
    </w:p>
    <w:p w:rsidR="009B62E6" w:rsidRPr="00800E0B" w:rsidRDefault="009B62E6">
      <w:pPr>
        <w:numPr>
          <w:ilvl w:val="12"/>
          <w:numId w:val="0"/>
        </w:numPr>
        <w:ind w:right="-2"/>
        <w:rPr>
          <w:noProof/>
          <w:lang w:val="el-GR"/>
        </w:rPr>
      </w:pPr>
    </w:p>
    <w:p w:rsidR="009B62E6" w:rsidRPr="00800E0B" w:rsidRDefault="009B62E6">
      <w:pPr>
        <w:widowControl w:val="0"/>
        <w:tabs>
          <w:tab w:val="left" w:pos="600"/>
        </w:tabs>
        <w:outlineLvl w:val="1"/>
        <w:rPr>
          <w:b/>
          <w:bCs/>
          <w:noProof/>
          <w:lang w:val="el-GR"/>
        </w:rPr>
      </w:pPr>
      <w:r w:rsidRPr="00800E0B">
        <w:rPr>
          <w:b/>
          <w:bCs/>
          <w:noProof/>
          <w:lang w:val="el-GR"/>
        </w:rPr>
        <w:t>5.2</w:t>
      </w:r>
      <w:r w:rsidRPr="00800E0B">
        <w:rPr>
          <w:b/>
          <w:bCs/>
          <w:i/>
          <w:iCs/>
          <w:noProof/>
          <w:lang w:val="el-GR"/>
        </w:rPr>
        <w:tab/>
      </w:r>
      <w:proofErr w:type="spellStart"/>
      <w:r w:rsidRPr="00800E0B">
        <w:rPr>
          <w:b/>
          <w:bCs/>
          <w:lang w:val="el-GR"/>
        </w:rPr>
        <w:t>Φαρμακοκινητικές</w:t>
      </w:r>
      <w:proofErr w:type="spellEnd"/>
      <w:r w:rsidRPr="00800E0B">
        <w:rPr>
          <w:b/>
          <w:bCs/>
          <w:lang w:val="el-GR"/>
        </w:rPr>
        <w:t xml:space="preserve"> ιδιότητες</w:t>
      </w:r>
    </w:p>
    <w:p w:rsidR="009B62E6" w:rsidRPr="00800E0B" w:rsidRDefault="009B62E6">
      <w:pPr>
        <w:numPr>
          <w:ilvl w:val="12"/>
          <w:numId w:val="0"/>
        </w:numPr>
        <w:ind w:right="-2"/>
        <w:rPr>
          <w:noProof/>
          <w:lang w:val="el-GR"/>
        </w:rPr>
      </w:pPr>
    </w:p>
    <w:p w:rsidR="009B62E6" w:rsidRPr="00800E0B" w:rsidRDefault="009B62E6">
      <w:pPr>
        <w:pStyle w:val="Default"/>
        <w:rPr>
          <w:noProof/>
          <w:color w:val="auto"/>
          <w:sz w:val="22"/>
          <w:szCs w:val="22"/>
          <w:u w:val="single"/>
          <w:lang w:val="el-GR"/>
        </w:rPr>
      </w:pPr>
      <w:r w:rsidRPr="00800E0B">
        <w:rPr>
          <w:color w:val="auto"/>
          <w:sz w:val="22"/>
          <w:szCs w:val="22"/>
          <w:u w:val="single"/>
          <w:lang w:val="el-GR"/>
        </w:rPr>
        <w:t>Απορρόφηση και κατανομή</w:t>
      </w: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είναι ασταθής σε όξινο περιβάλλον και χορηγείται από του στόματος σε σφαιρίδια με επικάλυψη για αποδέσμευση στο έντερο. Η </w:t>
      </w:r>
      <w:r w:rsidRPr="00800E0B">
        <w:rPr>
          <w:i/>
          <w:iCs/>
          <w:sz w:val="22"/>
          <w:szCs w:val="22"/>
          <w:lang w:val="en-US"/>
        </w:rPr>
        <w:t>in</w:t>
      </w:r>
      <w:r w:rsidRPr="00800E0B">
        <w:rPr>
          <w:i/>
          <w:iCs/>
          <w:sz w:val="22"/>
          <w:szCs w:val="22"/>
          <w:lang w:val="el-GR"/>
        </w:rPr>
        <w:t xml:space="preserve"> </w:t>
      </w:r>
      <w:r w:rsidRPr="00800E0B">
        <w:rPr>
          <w:i/>
          <w:iCs/>
          <w:sz w:val="22"/>
          <w:szCs w:val="22"/>
          <w:lang w:val="en-US"/>
        </w:rPr>
        <w:t>vivo</w:t>
      </w:r>
      <w:r w:rsidRPr="00800E0B">
        <w:rPr>
          <w:sz w:val="22"/>
          <w:szCs w:val="22"/>
          <w:lang w:val="el-GR"/>
        </w:rPr>
        <w:t xml:space="preserve"> μετατροπή στο </w:t>
      </w:r>
      <w:r w:rsidRPr="00800E0B">
        <w:rPr>
          <w:sz w:val="22"/>
          <w:szCs w:val="22"/>
          <w:lang w:val="en-US"/>
        </w:rPr>
        <w:t>R</w:t>
      </w:r>
      <w:r w:rsidRPr="00800E0B">
        <w:rPr>
          <w:sz w:val="22"/>
          <w:szCs w:val="22"/>
          <w:lang w:val="el-GR"/>
        </w:rPr>
        <w:t xml:space="preserve">-ισομερές είναι αμελητέα. Η απορρόφηση της </w:t>
      </w:r>
      <w:proofErr w:type="spellStart"/>
      <w:r w:rsidRPr="00800E0B">
        <w:rPr>
          <w:sz w:val="22"/>
          <w:szCs w:val="22"/>
          <w:lang w:val="el-GR"/>
        </w:rPr>
        <w:t>εσομεπραζόλης</w:t>
      </w:r>
      <w:proofErr w:type="spellEnd"/>
      <w:r w:rsidRPr="00800E0B">
        <w:rPr>
          <w:sz w:val="22"/>
          <w:szCs w:val="22"/>
          <w:lang w:val="el-GR"/>
        </w:rPr>
        <w:t xml:space="preserve"> είναι ταχεία, με τα μέγιστα επίπεδα στο πλάσμα να παρατηρούνται περίπου 1-2 ώρες μετά τη δόση. Η απόλυτη βιοδιαθεσιμότητα είναι 64% μετά από εφάπαξ δόση 40</w:t>
      </w:r>
      <w:r w:rsidRPr="00800E0B">
        <w:rPr>
          <w:sz w:val="22"/>
          <w:szCs w:val="22"/>
          <w:lang w:val="en-US"/>
        </w:rPr>
        <w:t> mg</w:t>
      </w:r>
      <w:r w:rsidRPr="00800E0B">
        <w:rPr>
          <w:sz w:val="22"/>
          <w:szCs w:val="22"/>
          <w:lang w:val="el-GR"/>
        </w:rPr>
        <w:t xml:space="preserve"> και αυξάνει σε 89% μετά από επαναλαμβανόμενη χορήγηση μία φορά την ημέρα. Για 20</w:t>
      </w:r>
      <w:r w:rsidRPr="00800E0B">
        <w:rPr>
          <w:sz w:val="22"/>
          <w:szCs w:val="22"/>
          <w:lang w:val="en-US"/>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οι αντίστοιχες τιμές είναι 50% και 68%, αντίστοιχα. Ο φαινομενικός όγκος κατανομής σε σταθερή κατάσταση, σε υγιείς ασθενείς, είναι περίπου 0,22</w:t>
      </w:r>
      <w:r w:rsidRPr="00800E0B">
        <w:rPr>
          <w:sz w:val="22"/>
          <w:szCs w:val="22"/>
          <w:lang w:val="en-US"/>
        </w:rPr>
        <w:t> l</w:t>
      </w:r>
      <w:r w:rsidRPr="00800E0B">
        <w:rPr>
          <w:sz w:val="22"/>
          <w:szCs w:val="22"/>
          <w:lang w:val="el-GR"/>
        </w:rPr>
        <w:t>/</w:t>
      </w:r>
      <w:r w:rsidRPr="00800E0B">
        <w:rPr>
          <w:sz w:val="22"/>
          <w:szCs w:val="22"/>
          <w:lang w:val="en-US"/>
        </w:rPr>
        <w:t>kg</w:t>
      </w:r>
      <w:r w:rsidRPr="00800E0B">
        <w:rPr>
          <w:sz w:val="22"/>
          <w:szCs w:val="22"/>
          <w:lang w:val="el-GR"/>
        </w:rPr>
        <w:t xml:space="preserve"> σωματικού βάρους. Η </w:t>
      </w:r>
      <w:proofErr w:type="spellStart"/>
      <w:r w:rsidRPr="00800E0B">
        <w:rPr>
          <w:sz w:val="22"/>
          <w:szCs w:val="22"/>
          <w:lang w:val="el-GR"/>
        </w:rPr>
        <w:t>εσομεπραζόλη</w:t>
      </w:r>
      <w:proofErr w:type="spellEnd"/>
      <w:r w:rsidRPr="00800E0B">
        <w:rPr>
          <w:sz w:val="22"/>
          <w:szCs w:val="22"/>
          <w:lang w:val="el-GR"/>
        </w:rPr>
        <w:t xml:space="preserve"> δεσμεύεται σε πρωτεΐνες πλάσματος κατά 97%.</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Η πρόσληψη τροφής καθυστερεί και μειώνει την απορρόφηση της </w:t>
      </w:r>
      <w:proofErr w:type="spellStart"/>
      <w:r w:rsidRPr="00800E0B">
        <w:rPr>
          <w:sz w:val="22"/>
          <w:szCs w:val="22"/>
          <w:lang w:val="el-GR"/>
        </w:rPr>
        <w:t>εσομεπραζόλης</w:t>
      </w:r>
      <w:proofErr w:type="spellEnd"/>
      <w:r w:rsidRPr="00800E0B">
        <w:rPr>
          <w:sz w:val="22"/>
          <w:szCs w:val="22"/>
          <w:lang w:val="el-GR"/>
        </w:rPr>
        <w:t xml:space="preserve"> μολονότι αυτό δεν έχει σημαντικό αντίκτυπο στην επίδραση της </w:t>
      </w:r>
      <w:proofErr w:type="spellStart"/>
      <w:r w:rsidRPr="00800E0B">
        <w:rPr>
          <w:sz w:val="22"/>
          <w:szCs w:val="22"/>
          <w:lang w:val="el-GR"/>
        </w:rPr>
        <w:t>εσομεπραζόλης</w:t>
      </w:r>
      <w:proofErr w:type="spellEnd"/>
      <w:r w:rsidRPr="00800E0B">
        <w:rPr>
          <w:sz w:val="22"/>
          <w:szCs w:val="22"/>
          <w:lang w:val="el-GR"/>
        </w:rPr>
        <w:t xml:space="preserve"> στην </w:t>
      </w:r>
      <w:proofErr w:type="spellStart"/>
      <w:r w:rsidRPr="00800E0B">
        <w:rPr>
          <w:sz w:val="22"/>
          <w:szCs w:val="22"/>
          <w:lang w:val="el-GR"/>
        </w:rPr>
        <w:t>ενδογαστρική</w:t>
      </w:r>
      <w:proofErr w:type="spellEnd"/>
      <w:r w:rsidRPr="00800E0B">
        <w:rPr>
          <w:sz w:val="22"/>
          <w:szCs w:val="22"/>
          <w:lang w:val="el-GR"/>
        </w:rPr>
        <w:t xml:space="preserve"> οξύτητα.</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Μεταβολισμός και απέκκριση</w:t>
      </w:r>
    </w:p>
    <w:p w:rsidR="009B62E6" w:rsidRPr="00800E0B" w:rsidRDefault="009B62E6">
      <w:pPr>
        <w:pStyle w:val="Default"/>
        <w:rPr>
          <w:sz w:val="22"/>
          <w:szCs w:val="22"/>
          <w:lang w:val="el-GR"/>
        </w:rPr>
      </w:pPr>
      <w:r w:rsidRPr="00800E0B">
        <w:rPr>
          <w:sz w:val="22"/>
          <w:szCs w:val="22"/>
          <w:lang w:val="el-GR"/>
        </w:rPr>
        <w:t xml:space="preserve">Η </w:t>
      </w:r>
      <w:proofErr w:type="spellStart"/>
      <w:r w:rsidRPr="00800E0B">
        <w:rPr>
          <w:sz w:val="22"/>
          <w:szCs w:val="22"/>
          <w:lang w:val="el-GR"/>
        </w:rPr>
        <w:t>εσομεπραζόλη</w:t>
      </w:r>
      <w:proofErr w:type="spellEnd"/>
      <w:r w:rsidRPr="00800E0B">
        <w:rPr>
          <w:sz w:val="22"/>
          <w:szCs w:val="22"/>
          <w:lang w:val="el-GR"/>
        </w:rPr>
        <w:t xml:space="preserve"> μεταβολίζεται πλήρως από το σύστημα του κυτοχρώματος </w:t>
      </w:r>
      <w:r w:rsidRPr="00800E0B">
        <w:rPr>
          <w:sz w:val="22"/>
          <w:szCs w:val="22"/>
          <w:lang w:val="en-GB"/>
        </w:rPr>
        <w:t>P</w:t>
      </w:r>
      <w:r w:rsidRPr="00800E0B">
        <w:rPr>
          <w:sz w:val="22"/>
          <w:szCs w:val="22"/>
          <w:lang w:val="el-GR"/>
        </w:rPr>
        <w:t>450 (</w:t>
      </w:r>
      <w:r w:rsidRPr="00800E0B">
        <w:rPr>
          <w:sz w:val="22"/>
          <w:szCs w:val="22"/>
          <w:lang w:val="en-GB"/>
        </w:rPr>
        <w:t>CYP</w:t>
      </w:r>
      <w:r w:rsidRPr="00800E0B">
        <w:rPr>
          <w:sz w:val="22"/>
          <w:szCs w:val="22"/>
          <w:lang w:val="el-GR"/>
        </w:rPr>
        <w:t xml:space="preserve">). Το κύριο τμήμα του μεταβολισμού της </w:t>
      </w:r>
      <w:proofErr w:type="spellStart"/>
      <w:r w:rsidRPr="00800E0B">
        <w:rPr>
          <w:sz w:val="22"/>
          <w:szCs w:val="22"/>
          <w:lang w:val="el-GR"/>
        </w:rPr>
        <w:t>εσομεπραζόλης</w:t>
      </w:r>
      <w:proofErr w:type="spellEnd"/>
      <w:r w:rsidRPr="00800E0B">
        <w:rPr>
          <w:sz w:val="22"/>
          <w:szCs w:val="22"/>
          <w:lang w:val="el-GR"/>
        </w:rPr>
        <w:t xml:space="preserve"> εξαρτάται από το πολυμορφικό </w:t>
      </w:r>
      <w:r w:rsidRPr="00800E0B">
        <w:rPr>
          <w:sz w:val="22"/>
          <w:szCs w:val="22"/>
          <w:lang w:val="en-GB"/>
        </w:rPr>
        <w:t>CYP</w:t>
      </w:r>
      <w:r w:rsidRPr="00800E0B">
        <w:rPr>
          <w:sz w:val="22"/>
          <w:szCs w:val="22"/>
          <w:lang w:val="el-GR"/>
        </w:rPr>
        <w:t>2</w:t>
      </w:r>
      <w:r w:rsidRPr="00800E0B">
        <w:rPr>
          <w:sz w:val="22"/>
          <w:szCs w:val="22"/>
          <w:lang w:val="en-GB"/>
        </w:rPr>
        <w:t>C</w:t>
      </w:r>
      <w:r w:rsidRPr="00800E0B">
        <w:rPr>
          <w:sz w:val="22"/>
          <w:szCs w:val="22"/>
          <w:lang w:val="el-GR"/>
        </w:rPr>
        <w:t xml:space="preserve">19, το οποίο είναι υπεύθυνο για το σχηματισμό </w:t>
      </w:r>
      <w:proofErr w:type="spellStart"/>
      <w:r w:rsidRPr="00800E0B">
        <w:rPr>
          <w:sz w:val="22"/>
          <w:szCs w:val="22"/>
          <w:lang w:val="el-GR"/>
        </w:rPr>
        <w:t>υδροξυ</w:t>
      </w:r>
      <w:proofErr w:type="spellEnd"/>
      <w:r w:rsidRPr="00800E0B">
        <w:rPr>
          <w:sz w:val="22"/>
          <w:szCs w:val="22"/>
          <w:lang w:val="el-GR"/>
        </w:rPr>
        <w:t xml:space="preserve">- μεταβολιτών και </w:t>
      </w:r>
      <w:proofErr w:type="spellStart"/>
      <w:r w:rsidRPr="00800E0B">
        <w:rPr>
          <w:sz w:val="22"/>
          <w:szCs w:val="22"/>
          <w:lang w:val="el-GR"/>
        </w:rPr>
        <w:t>απομεθυλιωμένων</w:t>
      </w:r>
      <w:proofErr w:type="spellEnd"/>
      <w:r w:rsidRPr="00800E0B">
        <w:rPr>
          <w:sz w:val="22"/>
          <w:szCs w:val="22"/>
          <w:lang w:val="el-GR"/>
        </w:rPr>
        <w:t xml:space="preserve"> μεταβολιτών της </w:t>
      </w:r>
      <w:proofErr w:type="spellStart"/>
      <w:r w:rsidRPr="00800E0B">
        <w:rPr>
          <w:sz w:val="22"/>
          <w:szCs w:val="22"/>
          <w:lang w:val="el-GR"/>
        </w:rPr>
        <w:t>εσομεπραζόλης</w:t>
      </w:r>
      <w:proofErr w:type="spellEnd"/>
      <w:r w:rsidRPr="00800E0B">
        <w:rPr>
          <w:sz w:val="22"/>
          <w:szCs w:val="22"/>
          <w:lang w:val="el-GR"/>
        </w:rPr>
        <w:t xml:space="preserve">. Το υπόλοιπο τμήμα εξαρτάται από μια άλλη ειδική </w:t>
      </w:r>
      <w:proofErr w:type="spellStart"/>
      <w:r w:rsidRPr="00800E0B">
        <w:rPr>
          <w:sz w:val="22"/>
          <w:szCs w:val="22"/>
          <w:lang w:val="el-GR"/>
        </w:rPr>
        <w:t>ισομορφή</w:t>
      </w:r>
      <w:proofErr w:type="spellEnd"/>
      <w:r w:rsidRPr="00800E0B">
        <w:rPr>
          <w:sz w:val="22"/>
          <w:szCs w:val="22"/>
          <w:lang w:val="el-GR"/>
        </w:rPr>
        <w:t xml:space="preserve">, το </w:t>
      </w:r>
      <w:r w:rsidRPr="00800E0B">
        <w:rPr>
          <w:sz w:val="22"/>
          <w:szCs w:val="22"/>
          <w:lang w:val="en-GB"/>
        </w:rPr>
        <w:t>CYP</w:t>
      </w:r>
      <w:r w:rsidRPr="00800E0B">
        <w:rPr>
          <w:sz w:val="22"/>
          <w:szCs w:val="22"/>
          <w:lang w:val="el-GR"/>
        </w:rPr>
        <w:t>3</w:t>
      </w:r>
      <w:r w:rsidRPr="00800E0B">
        <w:rPr>
          <w:sz w:val="22"/>
          <w:szCs w:val="22"/>
          <w:lang w:val="en-GB"/>
        </w:rPr>
        <w:t>A</w:t>
      </w:r>
      <w:r w:rsidRPr="00800E0B">
        <w:rPr>
          <w:sz w:val="22"/>
          <w:szCs w:val="22"/>
          <w:lang w:val="el-GR"/>
        </w:rPr>
        <w:t xml:space="preserve">4, το οποίο είναι υπεύθυνο για το σχηματισμό της </w:t>
      </w:r>
      <w:proofErr w:type="spellStart"/>
      <w:r w:rsidRPr="00800E0B">
        <w:rPr>
          <w:sz w:val="22"/>
          <w:szCs w:val="22"/>
          <w:lang w:val="el-GR"/>
        </w:rPr>
        <w:t>σουλφόνης</w:t>
      </w:r>
      <w:proofErr w:type="spellEnd"/>
      <w:r w:rsidRPr="00800E0B">
        <w:rPr>
          <w:sz w:val="22"/>
          <w:szCs w:val="22"/>
          <w:lang w:val="el-GR"/>
        </w:rPr>
        <w:t xml:space="preserve"> της </w:t>
      </w:r>
      <w:proofErr w:type="spellStart"/>
      <w:r w:rsidRPr="00800E0B">
        <w:rPr>
          <w:sz w:val="22"/>
          <w:szCs w:val="22"/>
          <w:lang w:val="el-GR"/>
        </w:rPr>
        <w:t>εσομεπραζόλης</w:t>
      </w:r>
      <w:proofErr w:type="spellEnd"/>
      <w:r w:rsidRPr="00800E0B">
        <w:rPr>
          <w:sz w:val="22"/>
          <w:szCs w:val="22"/>
          <w:lang w:val="el-GR"/>
        </w:rPr>
        <w:t>, του κύριου μεταβολίτη στο πλάσμα.</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Οι παρακάτω παράμετροι αντανακλούν κυρίως τη </w:t>
      </w:r>
      <w:proofErr w:type="spellStart"/>
      <w:r w:rsidRPr="00800E0B">
        <w:rPr>
          <w:sz w:val="22"/>
          <w:szCs w:val="22"/>
          <w:lang w:val="el-GR"/>
        </w:rPr>
        <w:t>φαρμακοκινητική</w:t>
      </w:r>
      <w:proofErr w:type="spellEnd"/>
      <w:r w:rsidRPr="00800E0B">
        <w:rPr>
          <w:sz w:val="22"/>
          <w:szCs w:val="22"/>
          <w:lang w:val="el-GR"/>
        </w:rPr>
        <w:t xml:space="preserve"> σε άτομα με λειτουργικό ένζυμο </w:t>
      </w:r>
      <w:r w:rsidRPr="00800E0B">
        <w:rPr>
          <w:sz w:val="22"/>
          <w:szCs w:val="22"/>
          <w:lang w:val="en-GB"/>
        </w:rPr>
        <w:t>CYP</w:t>
      </w:r>
      <w:r w:rsidRPr="00800E0B">
        <w:rPr>
          <w:sz w:val="22"/>
          <w:szCs w:val="22"/>
          <w:lang w:val="el-GR"/>
        </w:rPr>
        <w:t>2</w:t>
      </w:r>
      <w:r w:rsidRPr="00800E0B">
        <w:rPr>
          <w:sz w:val="22"/>
          <w:szCs w:val="22"/>
          <w:lang w:val="en-GB"/>
        </w:rPr>
        <w:t>C</w:t>
      </w:r>
      <w:r w:rsidRPr="00800E0B">
        <w:rPr>
          <w:sz w:val="22"/>
          <w:szCs w:val="22"/>
          <w:lang w:val="el-GR"/>
        </w:rPr>
        <w:t xml:space="preserve">19, τα άτομα που παρουσιάζουν εκτεταμένο μεταβολισμό.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Η ολική κάθαρση στο πλάσμα είναι περίπου 17</w:t>
      </w:r>
      <w:r w:rsidRPr="00800E0B">
        <w:rPr>
          <w:sz w:val="22"/>
          <w:szCs w:val="22"/>
          <w:lang w:val="en-GB"/>
        </w:rPr>
        <w:t> l</w:t>
      </w:r>
      <w:r w:rsidRPr="00800E0B">
        <w:rPr>
          <w:sz w:val="22"/>
          <w:szCs w:val="22"/>
          <w:lang w:val="el-GR"/>
        </w:rPr>
        <w:t>/</w:t>
      </w:r>
      <w:r w:rsidRPr="00800E0B">
        <w:rPr>
          <w:sz w:val="22"/>
          <w:szCs w:val="22"/>
          <w:lang w:val="en-GB"/>
        </w:rPr>
        <w:t>h</w:t>
      </w:r>
      <w:r w:rsidRPr="00800E0B">
        <w:rPr>
          <w:sz w:val="22"/>
          <w:szCs w:val="22"/>
          <w:lang w:val="el-GR"/>
        </w:rPr>
        <w:t xml:space="preserve"> μετά από εφάπαξ δόση και περίπου 9</w:t>
      </w:r>
      <w:r w:rsidRPr="00800E0B">
        <w:rPr>
          <w:sz w:val="22"/>
          <w:szCs w:val="22"/>
          <w:lang w:val="en-GB"/>
        </w:rPr>
        <w:t> l</w:t>
      </w:r>
      <w:r w:rsidRPr="00800E0B">
        <w:rPr>
          <w:sz w:val="22"/>
          <w:szCs w:val="22"/>
          <w:lang w:val="el-GR"/>
        </w:rPr>
        <w:t>/</w:t>
      </w:r>
      <w:r w:rsidRPr="00800E0B">
        <w:rPr>
          <w:sz w:val="22"/>
          <w:szCs w:val="22"/>
          <w:lang w:val="en-GB"/>
        </w:rPr>
        <w:t>h</w:t>
      </w:r>
      <w:r w:rsidRPr="00800E0B">
        <w:rPr>
          <w:sz w:val="22"/>
          <w:szCs w:val="22"/>
          <w:lang w:val="el-GR"/>
        </w:rPr>
        <w:t xml:space="preserve"> μετά από επαναλαμβανόμενη χορήγηση. Ο χρόνος ημίσειας ζωής αποβολής στο πλάσμα είναι περίπου 1,3 ώρες μετά από επαναλαμβανόμενη χορήγηση δόσης μία φορά την ημέρα. Η </w:t>
      </w:r>
      <w:proofErr w:type="spellStart"/>
      <w:r w:rsidRPr="00800E0B">
        <w:rPr>
          <w:sz w:val="22"/>
          <w:szCs w:val="22"/>
          <w:lang w:val="el-GR"/>
        </w:rPr>
        <w:t>φαρμακοκινητική</w:t>
      </w:r>
      <w:proofErr w:type="spellEnd"/>
      <w:r w:rsidRPr="00800E0B">
        <w:rPr>
          <w:sz w:val="22"/>
          <w:szCs w:val="22"/>
          <w:lang w:val="el-GR"/>
        </w:rPr>
        <w:t xml:space="preserve"> της </w:t>
      </w:r>
      <w:proofErr w:type="spellStart"/>
      <w:r w:rsidRPr="00800E0B">
        <w:rPr>
          <w:sz w:val="22"/>
          <w:szCs w:val="22"/>
          <w:lang w:val="el-GR"/>
        </w:rPr>
        <w:t>εσομεπραζόλης</w:t>
      </w:r>
      <w:proofErr w:type="spellEnd"/>
      <w:r w:rsidRPr="00800E0B">
        <w:rPr>
          <w:sz w:val="22"/>
          <w:szCs w:val="22"/>
          <w:lang w:val="el-GR"/>
        </w:rPr>
        <w:t xml:space="preserve"> έχει μελετηθεί σε δόσεις έως και 40</w:t>
      </w:r>
      <w:r w:rsidRPr="00800E0B">
        <w:rPr>
          <w:sz w:val="22"/>
          <w:szCs w:val="22"/>
          <w:lang w:val="en-GB"/>
        </w:rPr>
        <w:t> mg</w:t>
      </w:r>
      <w:r w:rsidRPr="00800E0B">
        <w:rPr>
          <w:sz w:val="22"/>
          <w:szCs w:val="22"/>
          <w:lang w:val="el-GR"/>
        </w:rPr>
        <w:t xml:space="preserve"> δύο φορές την ημέρα.  Το εμβαδόν κάτω από την καμπύλη συγκέντρωσης στο πλάσμα-χρόνου αυξάνει με την επαναλαμβανόμενη χορήγηση </w:t>
      </w:r>
      <w:proofErr w:type="spellStart"/>
      <w:r w:rsidRPr="00800E0B">
        <w:rPr>
          <w:sz w:val="22"/>
          <w:szCs w:val="22"/>
          <w:lang w:val="el-GR"/>
        </w:rPr>
        <w:t>εσομεπραζόλης</w:t>
      </w:r>
      <w:proofErr w:type="spellEnd"/>
      <w:r w:rsidRPr="00800E0B">
        <w:rPr>
          <w:sz w:val="22"/>
          <w:szCs w:val="22"/>
          <w:lang w:val="el-GR"/>
        </w:rPr>
        <w:t xml:space="preserve">. Αυτή η αύξηση είναι </w:t>
      </w:r>
      <w:proofErr w:type="spellStart"/>
      <w:r w:rsidRPr="00800E0B">
        <w:rPr>
          <w:sz w:val="22"/>
          <w:szCs w:val="22"/>
          <w:lang w:val="el-GR"/>
        </w:rPr>
        <w:t>δοσοεξαρτώμενη</w:t>
      </w:r>
      <w:proofErr w:type="spellEnd"/>
      <w:r w:rsidRPr="00800E0B">
        <w:rPr>
          <w:sz w:val="22"/>
          <w:szCs w:val="22"/>
          <w:lang w:val="el-GR"/>
        </w:rPr>
        <w:t xml:space="preserve"> και οδηγεί σε μεγαλύτερη από αναλογική αύξηση του </w:t>
      </w:r>
      <w:r w:rsidRPr="00800E0B">
        <w:rPr>
          <w:sz w:val="22"/>
          <w:szCs w:val="22"/>
          <w:lang w:val="en-GB"/>
        </w:rPr>
        <w:t>AUC</w:t>
      </w:r>
      <w:r w:rsidRPr="00800E0B">
        <w:rPr>
          <w:sz w:val="22"/>
          <w:szCs w:val="22"/>
          <w:lang w:val="el-GR"/>
        </w:rPr>
        <w:t xml:space="preserve"> σε σχέση με τη δόση μετά από επαναλαμβανόμενη χορήγηση. Αυτή η εξάρτηση </w:t>
      </w:r>
      <w:r w:rsidRPr="00800E0B">
        <w:rPr>
          <w:sz w:val="22"/>
          <w:szCs w:val="22"/>
          <w:lang w:val="el-GR"/>
        </w:rPr>
        <w:lastRenderedPageBreak/>
        <w:t xml:space="preserve">από το χρόνο και τη δόση οφείλεται σε μείωση του μεταβολισμού πρώτης διόδου και της συστηματικής κάθαρσης που πιθανώς προκαλείται από αναστολή του ενζύμου </w:t>
      </w:r>
      <w:r w:rsidRPr="00800E0B">
        <w:rPr>
          <w:sz w:val="22"/>
          <w:szCs w:val="22"/>
          <w:lang w:val="en-GB"/>
        </w:rPr>
        <w:t>CYP</w:t>
      </w:r>
      <w:r w:rsidRPr="00800E0B">
        <w:rPr>
          <w:sz w:val="22"/>
          <w:szCs w:val="22"/>
          <w:lang w:val="el-GR"/>
        </w:rPr>
        <w:t>2</w:t>
      </w:r>
      <w:r w:rsidRPr="00800E0B">
        <w:rPr>
          <w:sz w:val="22"/>
          <w:szCs w:val="22"/>
          <w:lang w:val="en-GB"/>
        </w:rPr>
        <w:t>C</w:t>
      </w:r>
      <w:r w:rsidRPr="00800E0B">
        <w:rPr>
          <w:sz w:val="22"/>
          <w:szCs w:val="22"/>
          <w:lang w:val="el-GR"/>
        </w:rPr>
        <w:t xml:space="preserve">19 από την </w:t>
      </w:r>
      <w:proofErr w:type="spellStart"/>
      <w:r w:rsidRPr="00800E0B">
        <w:rPr>
          <w:sz w:val="22"/>
          <w:szCs w:val="22"/>
          <w:lang w:val="el-GR"/>
        </w:rPr>
        <w:t>εσομεπραζόλη</w:t>
      </w:r>
      <w:proofErr w:type="spellEnd"/>
      <w:r w:rsidRPr="00800E0B">
        <w:rPr>
          <w:sz w:val="22"/>
          <w:szCs w:val="22"/>
          <w:lang w:val="el-GR"/>
        </w:rPr>
        <w:t xml:space="preserve"> και/ή το </w:t>
      </w:r>
      <w:proofErr w:type="spellStart"/>
      <w:r w:rsidRPr="00800E0B">
        <w:rPr>
          <w:sz w:val="22"/>
          <w:szCs w:val="22"/>
          <w:lang w:val="el-GR"/>
        </w:rPr>
        <w:t>σουλφονικό</w:t>
      </w:r>
      <w:proofErr w:type="spellEnd"/>
      <w:r w:rsidRPr="00800E0B">
        <w:rPr>
          <w:sz w:val="22"/>
          <w:szCs w:val="22"/>
          <w:lang w:val="el-GR"/>
        </w:rPr>
        <w:t xml:space="preserve"> μεταβολίτη της. Η </w:t>
      </w:r>
      <w:proofErr w:type="spellStart"/>
      <w:r w:rsidRPr="00800E0B">
        <w:rPr>
          <w:sz w:val="22"/>
          <w:szCs w:val="22"/>
          <w:lang w:val="el-GR"/>
        </w:rPr>
        <w:t>εσομεπραζόλη</w:t>
      </w:r>
      <w:proofErr w:type="spellEnd"/>
      <w:r w:rsidRPr="00800E0B">
        <w:rPr>
          <w:sz w:val="22"/>
          <w:szCs w:val="22"/>
          <w:lang w:val="el-GR"/>
        </w:rPr>
        <w:t xml:space="preserve"> αποβάλλεται πλήρως από το πλάσμα μεταξύ των δόσεων χωρίς τάση για συσσώρευση κατά τη διάρκεια της χορήγησης μία φορά την ημέρα. </w:t>
      </w:r>
    </w:p>
    <w:p w:rsidR="009B62E6" w:rsidRPr="00800E0B" w:rsidRDefault="009B62E6">
      <w:pPr>
        <w:pStyle w:val="Default"/>
        <w:rPr>
          <w:sz w:val="22"/>
          <w:szCs w:val="22"/>
          <w:lang w:val="el-GR"/>
        </w:rPr>
      </w:pPr>
      <w:r w:rsidRPr="00800E0B">
        <w:rPr>
          <w:sz w:val="22"/>
          <w:szCs w:val="22"/>
          <w:lang w:val="el-GR"/>
        </w:rPr>
        <w:t xml:space="preserve">Οι κύριοι μεταβολίτες της </w:t>
      </w:r>
      <w:proofErr w:type="spellStart"/>
      <w:r w:rsidRPr="00800E0B">
        <w:rPr>
          <w:sz w:val="22"/>
          <w:szCs w:val="22"/>
          <w:lang w:val="el-GR"/>
        </w:rPr>
        <w:t>εσομεπραζόλης</w:t>
      </w:r>
      <w:proofErr w:type="spellEnd"/>
      <w:r w:rsidRPr="00800E0B">
        <w:rPr>
          <w:sz w:val="22"/>
          <w:szCs w:val="22"/>
          <w:lang w:val="el-GR"/>
        </w:rPr>
        <w:t xml:space="preserve"> δεν έχουν καμία επίδραση στην έκκριση γαστρικού οξέος. Περίπου το 80% της δόσης </w:t>
      </w:r>
      <w:proofErr w:type="spellStart"/>
      <w:r w:rsidRPr="00800E0B">
        <w:rPr>
          <w:sz w:val="22"/>
          <w:szCs w:val="22"/>
          <w:lang w:val="el-GR"/>
        </w:rPr>
        <w:t>εσομεπραζόλης</w:t>
      </w:r>
      <w:proofErr w:type="spellEnd"/>
      <w:r w:rsidRPr="00800E0B">
        <w:rPr>
          <w:sz w:val="22"/>
          <w:szCs w:val="22"/>
          <w:lang w:val="el-GR"/>
        </w:rPr>
        <w:t xml:space="preserve"> από του στόματος απεκκρίνεται ως μεταβολίτες στα ούρα και το υπόλοιπο στα κόπρανα. Λιγότερο από 1% του μητρικού φαρμάκου ανευρίσκεται στα ούρα. </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Ειδικοί πληθυσμοί ασθενών</w:t>
      </w:r>
    </w:p>
    <w:p w:rsidR="009B62E6" w:rsidRPr="00800E0B" w:rsidRDefault="009B62E6">
      <w:pPr>
        <w:pStyle w:val="Default"/>
        <w:rPr>
          <w:sz w:val="22"/>
          <w:szCs w:val="22"/>
          <w:lang w:val="el-GR"/>
        </w:rPr>
      </w:pPr>
      <w:r w:rsidRPr="00800E0B">
        <w:rPr>
          <w:sz w:val="22"/>
          <w:szCs w:val="22"/>
          <w:lang w:val="el-GR"/>
        </w:rPr>
        <w:t xml:space="preserve">Περίπου το 2,9±1,5% του πληθυσμού στερείται λειτουργικού ενζύμου </w:t>
      </w:r>
      <w:r w:rsidRPr="00800E0B">
        <w:rPr>
          <w:sz w:val="22"/>
          <w:szCs w:val="22"/>
          <w:lang w:val="en-GB"/>
        </w:rPr>
        <w:t>CYP</w:t>
      </w:r>
      <w:r w:rsidRPr="00800E0B">
        <w:rPr>
          <w:sz w:val="22"/>
          <w:szCs w:val="22"/>
          <w:lang w:val="el-GR"/>
        </w:rPr>
        <w:t>2</w:t>
      </w:r>
      <w:r w:rsidRPr="00800E0B">
        <w:rPr>
          <w:sz w:val="22"/>
          <w:szCs w:val="22"/>
          <w:lang w:val="en-GB"/>
        </w:rPr>
        <w:t>C</w:t>
      </w:r>
      <w:r w:rsidRPr="00800E0B">
        <w:rPr>
          <w:sz w:val="22"/>
          <w:szCs w:val="22"/>
          <w:lang w:val="el-GR"/>
        </w:rPr>
        <w:t xml:space="preserve">19 και θεωρούνται άτομα που παρουσιάζουν πτωχό μεταβολισμό. Σε αυτά τα άτομα, ο μεταβολισμός της </w:t>
      </w:r>
      <w:proofErr w:type="spellStart"/>
      <w:r w:rsidRPr="00800E0B">
        <w:rPr>
          <w:sz w:val="22"/>
          <w:szCs w:val="22"/>
          <w:lang w:val="el-GR"/>
        </w:rPr>
        <w:t>εσομεπραζόλης</w:t>
      </w:r>
      <w:proofErr w:type="spellEnd"/>
      <w:r w:rsidRPr="00800E0B">
        <w:rPr>
          <w:sz w:val="22"/>
          <w:szCs w:val="22"/>
          <w:lang w:val="el-GR"/>
        </w:rPr>
        <w:t xml:space="preserve"> πιθανώς να καταλύεται κυρίως από το </w:t>
      </w:r>
      <w:r w:rsidRPr="00800E0B">
        <w:rPr>
          <w:sz w:val="22"/>
          <w:szCs w:val="22"/>
          <w:lang w:val="en-GB"/>
        </w:rPr>
        <w:t>CYP</w:t>
      </w:r>
      <w:r w:rsidRPr="00800E0B">
        <w:rPr>
          <w:sz w:val="22"/>
          <w:szCs w:val="22"/>
          <w:lang w:val="el-GR"/>
        </w:rPr>
        <w:t>3</w:t>
      </w:r>
      <w:r w:rsidRPr="00800E0B">
        <w:rPr>
          <w:sz w:val="22"/>
          <w:szCs w:val="22"/>
          <w:lang w:val="en-GB"/>
        </w:rPr>
        <w:t>A</w:t>
      </w:r>
      <w:r w:rsidRPr="00800E0B">
        <w:rPr>
          <w:sz w:val="22"/>
          <w:szCs w:val="22"/>
          <w:lang w:val="el-GR"/>
        </w:rPr>
        <w:t>4. Μετά την επαναλαμβανόμενη χορήγηση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μία φορά την ημέρα, το μέσο εμβαδόν κάτω από την καμπύλη συγκέντρωσης στο πλάσμα-χρόνου ήταν περίπου 100% υψηλότερο στα άτομα που παρουσιάζουν πτωχό μεταβολισμό παρά σε ασθενείς που διαθέτουν λειτουργικό ένζυμο </w:t>
      </w:r>
      <w:r w:rsidRPr="00800E0B">
        <w:rPr>
          <w:sz w:val="22"/>
          <w:szCs w:val="22"/>
          <w:lang w:val="en-GB"/>
        </w:rPr>
        <w:t>CYP</w:t>
      </w:r>
      <w:r w:rsidRPr="00800E0B">
        <w:rPr>
          <w:sz w:val="22"/>
          <w:szCs w:val="22"/>
          <w:lang w:val="el-GR"/>
        </w:rPr>
        <w:t>2</w:t>
      </w:r>
      <w:r w:rsidRPr="00800E0B">
        <w:rPr>
          <w:sz w:val="22"/>
          <w:szCs w:val="22"/>
          <w:lang w:val="en-GB"/>
        </w:rPr>
        <w:t>C</w:t>
      </w:r>
      <w:r w:rsidRPr="00800E0B">
        <w:rPr>
          <w:sz w:val="22"/>
          <w:szCs w:val="22"/>
          <w:lang w:val="el-GR"/>
        </w:rPr>
        <w:t>19 (άτομα που παρουσιάζουν εκτεταμένο μεταβολισμό). Οι μέσες μέγιστες συγκεντρώσεις στο πλάσμα αυξήθηκαν κατά περίπου 60%.</w:t>
      </w:r>
    </w:p>
    <w:p w:rsidR="009B62E6" w:rsidRPr="00800E0B" w:rsidRDefault="009B62E6">
      <w:pPr>
        <w:pStyle w:val="Default"/>
        <w:rPr>
          <w:sz w:val="22"/>
          <w:szCs w:val="22"/>
          <w:lang w:val="el-GR"/>
        </w:rPr>
      </w:pPr>
      <w:r w:rsidRPr="00800E0B">
        <w:rPr>
          <w:sz w:val="22"/>
          <w:szCs w:val="22"/>
          <w:lang w:val="el-GR"/>
        </w:rPr>
        <w:t xml:space="preserve">Αυτά τα ευρήματα δεν έχουν καμία επίπτωση στη δοσολογία της </w:t>
      </w:r>
      <w:proofErr w:type="spellStart"/>
      <w:r w:rsidRPr="00800E0B">
        <w:rPr>
          <w:sz w:val="22"/>
          <w:szCs w:val="22"/>
          <w:lang w:val="el-GR"/>
        </w:rPr>
        <w:t>εσομεπραζόλης</w:t>
      </w:r>
      <w:proofErr w:type="spellEnd"/>
      <w:r w:rsidRPr="00800E0B">
        <w:rPr>
          <w:sz w:val="22"/>
          <w:szCs w:val="22"/>
          <w:lang w:val="el-GR"/>
        </w:rPr>
        <w:t xml:space="preserve">. </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Ο μεταβολισμός της </w:t>
      </w:r>
      <w:proofErr w:type="spellStart"/>
      <w:r w:rsidRPr="00800E0B">
        <w:rPr>
          <w:sz w:val="22"/>
          <w:szCs w:val="22"/>
          <w:lang w:val="el-GR"/>
        </w:rPr>
        <w:t>εσομεπραζόλης</w:t>
      </w:r>
      <w:proofErr w:type="spellEnd"/>
      <w:r w:rsidRPr="00800E0B">
        <w:rPr>
          <w:sz w:val="22"/>
          <w:szCs w:val="22"/>
          <w:lang w:val="el-GR"/>
        </w:rPr>
        <w:t xml:space="preserve"> δεν μεταβάλλεται σημαντικά σε ηλικιωμένους ασθενείς (ηλικίας 71-80 ετών).</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Μετά από εφάπαξ δόση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xml:space="preserve">, το μέσο εμβαδόν κάτω από την καμπύλη συγκέντρωσης στο πλάσμα-χρόνου είναι περίπου 30% υψηλότερο σε γυναίκες παρά σε άνδρες. Δεν παρατηρείται διαφορά μεταξύ των φύλων μετά από επαναλαμβανόμενη χορήγηση μία φορά την ημέρα. Αυτά τα ευρήματα δεν έχουν επιπτώσεις στη δοσολογία της </w:t>
      </w:r>
      <w:proofErr w:type="spellStart"/>
      <w:r w:rsidRPr="00800E0B">
        <w:rPr>
          <w:sz w:val="22"/>
          <w:szCs w:val="22"/>
          <w:lang w:val="el-GR"/>
        </w:rPr>
        <w:t>εσομεπραζόλης</w:t>
      </w:r>
      <w:proofErr w:type="spellEnd"/>
      <w:r w:rsidRPr="00800E0B">
        <w:rPr>
          <w:sz w:val="22"/>
          <w:szCs w:val="22"/>
          <w:lang w:val="el-GR"/>
        </w:rPr>
        <w:t>.</w:t>
      </w:r>
    </w:p>
    <w:p w:rsidR="009B62E6" w:rsidRPr="00800E0B" w:rsidRDefault="009B62E6">
      <w:pPr>
        <w:pStyle w:val="Default"/>
        <w:rPr>
          <w:sz w:val="22"/>
          <w:szCs w:val="22"/>
          <w:lang w:val="el-GR"/>
        </w:rPr>
      </w:pPr>
    </w:p>
    <w:p w:rsidR="009B62E6" w:rsidRPr="00800E0B" w:rsidRDefault="009B62E6">
      <w:pPr>
        <w:pStyle w:val="Default"/>
        <w:rPr>
          <w:sz w:val="22"/>
          <w:szCs w:val="22"/>
          <w:u w:val="single"/>
          <w:lang w:val="el-GR"/>
        </w:rPr>
      </w:pPr>
      <w:r w:rsidRPr="00800E0B">
        <w:rPr>
          <w:sz w:val="22"/>
          <w:szCs w:val="22"/>
          <w:u w:val="single"/>
          <w:lang w:val="el-GR"/>
        </w:rPr>
        <w:t>Δυσλειτουργία οργάνων</w:t>
      </w:r>
    </w:p>
    <w:p w:rsidR="009B62E6" w:rsidRPr="00800E0B" w:rsidRDefault="009B62E6">
      <w:pPr>
        <w:pStyle w:val="Default"/>
        <w:rPr>
          <w:sz w:val="22"/>
          <w:szCs w:val="22"/>
          <w:lang w:val="el-GR"/>
        </w:rPr>
      </w:pPr>
      <w:r w:rsidRPr="00800E0B">
        <w:rPr>
          <w:sz w:val="22"/>
          <w:szCs w:val="22"/>
          <w:lang w:val="el-GR"/>
        </w:rPr>
        <w:t xml:space="preserve">Ο μεταβολισμός της </w:t>
      </w:r>
      <w:proofErr w:type="spellStart"/>
      <w:r w:rsidRPr="00800E0B">
        <w:rPr>
          <w:sz w:val="22"/>
          <w:szCs w:val="22"/>
          <w:lang w:val="el-GR"/>
        </w:rPr>
        <w:t>εσομεπραζόλης</w:t>
      </w:r>
      <w:proofErr w:type="spellEnd"/>
      <w:r w:rsidRPr="00800E0B">
        <w:rPr>
          <w:sz w:val="22"/>
          <w:szCs w:val="22"/>
          <w:lang w:val="el-GR"/>
        </w:rPr>
        <w:t xml:space="preserve"> σε ασθενείς με ήπια έως μέτρια ηπατική δυσλειτουργία ενδέχεται να είναι μειωμένος. Ο ρυθμός του μεταβολισμού μειώνεται σε ασθενείς με βαριά ηπατική δυσλειτουργία καταλήγοντας σε διπλασιασμό του εμβαδού κάτω από την καμπύλη συγκέντρωσης στο πλάσμα-χρόνου της </w:t>
      </w:r>
      <w:proofErr w:type="spellStart"/>
      <w:r w:rsidRPr="00800E0B">
        <w:rPr>
          <w:sz w:val="22"/>
          <w:szCs w:val="22"/>
          <w:lang w:val="el-GR"/>
        </w:rPr>
        <w:t>εσομεπραζόλης</w:t>
      </w:r>
      <w:proofErr w:type="spellEnd"/>
      <w:r w:rsidRPr="00800E0B">
        <w:rPr>
          <w:sz w:val="22"/>
          <w:szCs w:val="22"/>
          <w:lang w:val="el-GR"/>
        </w:rPr>
        <w:t>. Επομένως, δεν θα πρέπει να γίνεται υπέρβαση της μέγιστης δόσης των 20</w:t>
      </w:r>
      <w:r w:rsidRPr="00800E0B">
        <w:rPr>
          <w:sz w:val="22"/>
          <w:szCs w:val="22"/>
          <w:lang w:val="en-GB"/>
        </w:rPr>
        <w:t> mg</w:t>
      </w:r>
      <w:r w:rsidRPr="00800E0B">
        <w:rPr>
          <w:sz w:val="22"/>
          <w:szCs w:val="22"/>
          <w:lang w:val="el-GR"/>
        </w:rPr>
        <w:t xml:space="preserve"> σε ασθενείς με βαριά δυσλειτουργία. Η </w:t>
      </w:r>
      <w:proofErr w:type="spellStart"/>
      <w:r w:rsidRPr="00800E0B">
        <w:rPr>
          <w:sz w:val="22"/>
          <w:szCs w:val="22"/>
          <w:lang w:val="el-GR"/>
        </w:rPr>
        <w:t>εσομεπραζόλη</w:t>
      </w:r>
      <w:proofErr w:type="spellEnd"/>
      <w:r w:rsidRPr="00800E0B">
        <w:rPr>
          <w:sz w:val="22"/>
          <w:szCs w:val="22"/>
          <w:lang w:val="el-GR"/>
        </w:rPr>
        <w:t xml:space="preserve"> ή οι κύριοι μεταβολίτες της δεν δείχνουν καμία τάση για συσσώρευση με τη χορήγηση δόσης μία φορά την ημέρα.</w:t>
      </w:r>
    </w:p>
    <w:p w:rsidR="009B62E6" w:rsidRPr="00800E0B" w:rsidRDefault="009B62E6">
      <w:pPr>
        <w:pStyle w:val="Default"/>
        <w:rPr>
          <w:sz w:val="22"/>
          <w:szCs w:val="22"/>
          <w:lang w:val="el-GR"/>
        </w:rPr>
      </w:pPr>
    </w:p>
    <w:p w:rsidR="009B62E6" w:rsidRPr="00800E0B" w:rsidRDefault="009B62E6">
      <w:pPr>
        <w:pStyle w:val="Default"/>
        <w:rPr>
          <w:sz w:val="22"/>
          <w:szCs w:val="22"/>
          <w:lang w:val="el-GR"/>
        </w:rPr>
      </w:pPr>
      <w:r w:rsidRPr="00800E0B">
        <w:rPr>
          <w:sz w:val="22"/>
          <w:szCs w:val="22"/>
          <w:lang w:val="el-GR"/>
        </w:rPr>
        <w:t xml:space="preserve">Δεν έχουν πραγματοποιηθεί μελέτες σε ασθενείς με μειωμένη νεφρική λειτουργία. Εφόσον ο νεφρός είναι υπεύθυνος για την απέκκριση των μεταβολιτών της </w:t>
      </w:r>
      <w:proofErr w:type="spellStart"/>
      <w:r w:rsidRPr="00800E0B">
        <w:rPr>
          <w:sz w:val="22"/>
          <w:szCs w:val="22"/>
          <w:lang w:val="el-GR"/>
        </w:rPr>
        <w:t>εσομεπραζόλης</w:t>
      </w:r>
      <w:proofErr w:type="spellEnd"/>
      <w:r w:rsidRPr="00800E0B">
        <w:rPr>
          <w:sz w:val="22"/>
          <w:szCs w:val="22"/>
          <w:lang w:val="el-GR"/>
        </w:rPr>
        <w:t xml:space="preserve"> αλλά όχι για την αποβολή της μητρικής ουσίας, ο μεταβολισμός της </w:t>
      </w:r>
      <w:proofErr w:type="spellStart"/>
      <w:r w:rsidRPr="00800E0B">
        <w:rPr>
          <w:sz w:val="22"/>
          <w:szCs w:val="22"/>
          <w:lang w:val="el-GR"/>
        </w:rPr>
        <w:t>εσομεπραζόλης</w:t>
      </w:r>
      <w:proofErr w:type="spellEnd"/>
      <w:r w:rsidRPr="00800E0B">
        <w:rPr>
          <w:sz w:val="22"/>
          <w:szCs w:val="22"/>
          <w:lang w:val="el-GR"/>
        </w:rPr>
        <w:t xml:space="preserve"> δεν αναμένεται να αλλάξει σε ασθενείς με νεφρική δυσλειτουργία. </w:t>
      </w:r>
    </w:p>
    <w:p w:rsidR="009B62E6" w:rsidRPr="00800E0B" w:rsidRDefault="009B62E6">
      <w:pPr>
        <w:pStyle w:val="Default"/>
        <w:rPr>
          <w:sz w:val="22"/>
          <w:szCs w:val="22"/>
          <w:u w:val="single"/>
          <w:lang w:val="el-GR"/>
        </w:rPr>
      </w:pPr>
    </w:p>
    <w:p w:rsidR="009B62E6" w:rsidRPr="00800E0B" w:rsidRDefault="009B62E6">
      <w:pPr>
        <w:pStyle w:val="Default"/>
        <w:rPr>
          <w:sz w:val="22"/>
          <w:szCs w:val="22"/>
          <w:u w:val="single"/>
          <w:lang w:val="el-GR"/>
        </w:rPr>
      </w:pPr>
      <w:r w:rsidRPr="00800E0B">
        <w:rPr>
          <w:sz w:val="22"/>
          <w:szCs w:val="22"/>
          <w:u w:val="single"/>
          <w:lang w:val="el-GR"/>
        </w:rPr>
        <w:t>Παιδιατρικοί ασθενείς</w:t>
      </w:r>
    </w:p>
    <w:p w:rsidR="009B62E6" w:rsidRPr="00800E0B" w:rsidRDefault="009B62E6">
      <w:pPr>
        <w:pStyle w:val="Default"/>
        <w:rPr>
          <w:sz w:val="22"/>
          <w:szCs w:val="22"/>
          <w:lang w:val="el-GR"/>
        </w:rPr>
      </w:pPr>
      <w:r w:rsidRPr="00800E0B">
        <w:rPr>
          <w:sz w:val="22"/>
          <w:szCs w:val="22"/>
          <w:u w:val="single"/>
          <w:lang w:val="el-GR"/>
        </w:rPr>
        <w:t xml:space="preserve">Έφηβοι ηλικίας 12-18 ετών:  </w:t>
      </w:r>
    </w:p>
    <w:p w:rsidR="009B62E6" w:rsidRPr="00800E0B" w:rsidRDefault="009B62E6">
      <w:pPr>
        <w:pStyle w:val="Default"/>
        <w:rPr>
          <w:sz w:val="22"/>
          <w:szCs w:val="22"/>
          <w:lang w:val="el-GR"/>
        </w:rPr>
      </w:pPr>
      <w:r w:rsidRPr="00800E0B">
        <w:rPr>
          <w:sz w:val="22"/>
          <w:szCs w:val="22"/>
          <w:lang w:val="el-GR"/>
        </w:rPr>
        <w:t>Μετά από επαναλαμβανόμενη χορήγηση δόσης 20</w:t>
      </w:r>
      <w:r w:rsidRPr="00800E0B">
        <w:rPr>
          <w:sz w:val="22"/>
          <w:szCs w:val="22"/>
          <w:lang w:val="en-GB"/>
        </w:rPr>
        <w:t> mg</w:t>
      </w:r>
      <w:r w:rsidRPr="00800E0B">
        <w:rPr>
          <w:sz w:val="22"/>
          <w:szCs w:val="22"/>
          <w:lang w:val="el-GR"/>
        </w:rPr>
        <w:t xml:space="preserve"> και 40</w:t>
      </w:r>
      <w:r w:rsidRPr="00800E0B">
        <w:rPr>
          <w:sz w:val="22"/>
          <w:szCs w:val="22"/>
          <w:lang w:val="en-GB"/>
        </w:rPr>
        <w:t> mg</w:t>
      </w:r>
      <w:r w:rsidRPr="00800E0B">
        <w:rPr>
          <w:sz w:val="22"/>
          <w:szCs w:val="22"/>
          <w:lang w:val="el-GR"/>
        </w:rPr>
        <w:t xml:space="preserve"> </w:t>
      </w:r>
      <w:proofErr w:type="spellStart"/>
      <w:r w:rsidRPr="00800E0B">
        <w:rPr>
          <w:sz w:val="22"/>
          <w:szCs w:val="22"/>
          <w:lang w:val="el-GR"/>
        </w:rPr>
        <w:t>εσομεπραζόλης</w:t>
      </w:r>
      <w:proofErr w:type="spellEnd"/>
      <w:r w:rsidRPr="00800E0B">
        <w:rPr>
          <w:sz w:val="22"/>
          <w:szCs w:val="22"/>
          <w:lang w:val="el-GR"/>
        </w:rPr>
        <w:t>, η ολική έκθεση (</w:t>
      </w:r>
      <w:r w:rsidRPr="00800E0B">
        <w:rPr>
          <w:sz w:val="22"/>
          <w:szCs w:val="22"/>
          <w:lang w:val="en-GB"/>
        </w:rPr>
        <w:t>AUC</w:t>
      </w:r>
      <w:r w:rsidRPr="00800E0B">
        <w:rPr>
          <w:sz w:val="22"/>
          <w:szCs w:val="22"/>
          <w:lang w:val="el-GR"/>
        </w:rPr>
        <w:t>) και ο χρόνος για την επίτευξη της μέγιστης συγκέντρωσης του φαρμάκου στο πλάσμα (</w:t>
      </w:r>
      <w:proofErr w:type="spellStart"/>
      <w:r w:rsidRPr="00800E0B">
        <w:rPr>
          <w:sz w:val="22"/>
          <w:szCs w:val="22"/>
          <w:lang w:val="en-GB"/>
        </w:rPr>
        <w:t>t</w:t>
      </w:r>
      <w:r w:rsidRPr="00800E0B">
        <w:rPr>
          <w:sz w:val="22"/>
          <w:szCs w:val="22"/>
          <w:vertAlign w:val="subscript"/>
          <w:lang w:val="en-GB"/>
        </w:rPr>
        <w:t>max</w:t>
      </w:r>
      <w:proofErr w:type="spellEnd"/>
      <w:r w:rsidRPr="00800E0B">
        <w:rPr>
          <w:sz w:val="22"/>
          <w:szCs w:val="22"/>
          <w:lang w:val="el-GR"/>
        </w:rPr>
        <w:t xml:space="preserve">) σε άτομα ηλικίας 12 έως 18 ετών ήταν παρόμοιοι με εκείνους σε ενήλικες και για τις δύο δόσεις </w:t>
      </w:r>
      <w:proofErr w:type="spellStart"/>
      <w:r w:rsidRPr="00800E0B">
        <w:rPr>
          <w:sz w:val="22"/>
          <w:szCs w:val="22"/>
          <w:lang w:val="el-GR"/>
        </w:rPr>
        <w:t>εσομεπραζόλης</w:t>
      </w:r>
      <w:proofErr w:type="spellEnd"/>
      <w:r w:rsidRPr="00800E0B">
        <w:rPr>
          <w:sz w:val="22"/>
          <w:szCs w:val="22"/>
          <w:lang w:val="el-GR"/>
        </w:rPr>
        <w:t xml:space="preserve">. </w:t>
      </w:r>
    </w:p>
    <w:p w:rsidR="009B62E6" w:rsidRPr="00800E0B" w:rsidRDefault="009B62E6">
      <w:pPr>
        <w:numPr>
          <w:ilvl w:val="12"/>
          <w:numId w:val="0"/>
        </w:numPr>
        <w:ind w:right="-2"/>
        <w:rPr>
          <w:noProof/>
          <w:lang w:val="el-GR"/>
        </w:rPr>
      </w:pPr>
    </w:p>
    <w:p w:rsidR="009B62E6" w:rsidRPr="00800E0B" w:rsidRDefault="009B62E6">
      <w:pPr>
        <w:widowControl w:val="0"/>
        <w:tabs>
          <w:tab w:val="left" w:pos="600"/>
        </w:tabs>
        <w:outlineLvl w:val="1"/>
        <w:rPr>
          <w:b/>
          <w:bCs/>
          <w:noProof/>
          <w:lang w:val="el-GR"/>
        </w:rPr>
      </w:pPr>
      <w:r w:rsidRPr="00800E0B">
        <w:rPr>
          <w:b/>
          <w:bCs/>
          <w:noProof/>
          <w:lang w:val="el-GR"/>
        </w:rPr>
        <w:t>5.3</w:t>
      </w:r>
      <w:r w:rsidRPr="00800E0B">
        <w:rPr>
          <w:b/>
          <w:bCs/>
          <w:i/>
          <w:iCs/>
          <w:noProof/>
          <w:lang w:val="el-GR"/>
        </w:rPr>
        <w:tab/>
      </w:r>
      <w:proofErr w:type="spellStart"/>
      <w:r w:rsidRPr="00800E0B">
        <w:rPr>
          <w:b/>
          <w:bCs/>
          <w:lang w:val="el-GR"/>
        </w:rPr>
        <w:t>Προκλινικά</w:t>
      </w:r>
      <w:proofErr w:type="spellEnd"/>
      <w:r w:rsidRPr="00800E0B">
        <w:rPr>
          <w:b/>
          <w:bCs/>
          <w:lang w:val="el-GR"/>
        </w:rPr>
        <w:t xml:space="preserve"> δεδομένα για την ασφάλεια</w:t>
      </w:r>
    </w:p>
    <w:p w:rsidR="009B62E6" w:rsidRPr="00800E0B" w:rsidRDefault="009B62E6">
      <w:pPr>
        <w:tabs>
          <w:tab w:val="clear" w:pos="567"/>
        </w:tabs>
        <w:rPr>
          <w:noProof/>
          <w:lang w:val="el-GR"/>
        </w:rPr>
      </w:pPr>
    </w:p>
    <w:p w:rsidR="009B62E6" w:rsidRPr="00800E0B" w:rsidRDefault="009B62E6">
      <w:pPr>
        <w:pStyle w:val="Default"/>
        <w:rPr>
          <w:sz w:val="22"/>
          <w:szCs w:val="22"/>
          <w:lang w:val="el-GR"/>
        </w:rPr>
      </w:pPr>
      <w:proofErr w:type="spellStart"/>
      <w:r w:rsidRPr="00800E0B">
        <w:rPr>
          <w:sz w:val="22"/>
          <w:szCs w:val="22"/>
          <w:lang w:val="el-GR"/>
        </w:rPr>
        <w:t>Προκλινικές</w:t>
      </w:r>
      <w:proofErr w:type="spellEnd"/>
      <w:r w:rsidRPr="00800E0B">
        <w:rPr>
          <w:sz w:val="22"/>
          <w:szCs w:val="22"/>
          <w:lang w:val="el-GR"/>
        </w:rPr>
        <w:t xml:space="preserve"> μελέτες γεφύρωσης αποκαλύπτουν ότι δεν υπάρχει συγκεκριμένος κίνδυνος για ανθρώπους με βάση συμβατικές μελέτες για την τοξικότητα της επαναλαμβανόμενης δόσης, τη </w:t>
      </w:r>
      <w:proofErr w:type="spellStart"/>
      <w:r w:rsidRPr="00800E0B">
        <w:rPr>
          <w:sz w:val="22"/>
          <w:szCs w:val="22"/>
          <w:lang w:val="el-GR"/>
        </w:rPr>
        <w:t>γονοτοξικότητα</w:t>
      </w:r>
      <w:proofErr w:type="spellEnd"/>
      <w:r w:rsidRPr="00800E0B">
        <w:rPr>
          <w:sz w:val="22"/>
          <w:szCs w:val="22"/>
          <w:lang w:val="el-GR"/>
        </w:rPr>
        <w:t xml:space="preserve"> και την τοξικότητα στην αναπαραγωγή. Μελέτες καρκινογένεσης σε αρουραίους με το </w:t>
      </w:r>
      <w:proofErr w:type="spellStart"/>
      <w:r w:rsidRPr="00800E0B">
        <w:rPr>
          <w:sz w:val="22"/>
          <w:szCs w:val="22"/>
          <w:lang w:val="el-GR"/>
        </w:rPr>
        <w:t>ρακεμικό</w:t>
      </w:r>
      <w:proofErr w:type="spellEnd"/>
      <w:r w:rsidRPr="00800E0B">
        <w:rPr>
          <w:sz w:val="22"/>
          <w:szCs w:val="22"/>
          <w:lang w:val="el-GR"/>
        </w:rPr>
        <w:t xml:space="preserve"> μείγμα έδειξαν υπερπλασία των γαστρικών κυττάρων ECL και καρκινοειδή. Αυτές οι γαστρικές επιδράσεις στους αρουραίους είναι αποτέλεσμα της παρατεταμένης, έκδηλης </w:t>
      </w:r>
      <w:proofErr w:type="spellStart"/>
      <w:r w:rsidRPr="00800E0B">
        <w:rPr>
          <w:sz w:val="22"/>
          <w:szCs w:val="22"/>
          <w:lang w:val="el-GR"/>
        </w:rPr>
        <w:t>υπεργαστριναιμίας</w:t>
      </w:r>
      <w:proofErr w:type="spellEnd"/>
      <w:r w:rsidRPr="00800E0B">
        <w:rPr>
          <w:sz w:val="22"/>
          <w:szCs w:val="22"/>
          <w:lang w:val="el-GR"/>
        </w:rPr>
        <w:t xml:space="preserve"> </w:t>
      </w:r>
      <w:proofErr w:type="spellStart"/>
      <w:r w:rsidRPr="00800E0B">
        <w:rPr>
          <w:sz w:val="22"/>
          <w:szCs w:val="22"/>
          <w:lang w:val="el-GR"/>
        </w:rPr>
        <w:t>συνεπείια</w:t>
      </w:r>
      <w:proofErr w:type="spellEnd"/>
      <w:r w:rsidRPr="00800E0B">
        <w:rPr>
          <w:sz w:val="22"/>
          <w:szCs w:val="22"/>
          <w:lang w:val="el-GR"/>
        </w:rPr>
        <w:t xml:space="preserve"> μειωμένης παραγωγής του γαστρικού οξέος και παρατηρούνται μετά από μακροχρόνια θεραπεία σε αρουραίους με αναστολείς της έκκρισης γαστρικού οξέος. </w:t>
      </w:r>
    </w:p>
    <w:p w:rsidR="009B62E6" w:rsidRPr="00800E0B" w:rsidRDefault="009B62E6">
      <w:pPr>
        <w:tabs>
          <w:tab w:val="clear" w:pos="567"/>
        </w:tabs>
        <w:rPr>
          <w:noProof/>
          <w:lang w:val="el-GR"/>
        </w:rPr>
      </w:pPr>
    </w:p>
    <w:p w:rsidR="009B62E6" w:rsidRPr="00800E0B" w:rsidRDefault="009B62E6">
      <w:pPr>
        <w:tabs>
          <w:tab w:val="clear" w:pos="567"/>
        </w:tabs>
        <w:rPr>
          <w:noProof/>
          <w:lang w:val="el-GR"/>
        </w:rPr>
      </w:pPr>
    </w:p>
    <w:p w:rsidR="009B62E6" w:rsidRPr="00800E0B" w:rsidRDefault="009B62E6">
      <w:pPr>
        <w:widowControl w:val="0"/>
        <w:outlineLvl w:val="0"/>
        <w:rPr>
          <w:noProof/>
          <w:lang w:val="el-GR"/>
        </w:rPr>
      </w:pPr>
      <w:r w:rsidRPr="00800E0B">
        <w:rPr>
          <w:b/>
          <w:bCs/>
          <w:noProof/>
          <w:lang w:val="el-GR"/>
        </w:rPr>
        <w:t>6.</w:t>
      </w:r>
      <w:r w:rsidRPr="00800E0B">
        <w:rPr>
          <w:b/>
          <w:bCs/>
          <w:i/>
          <w:iCs/>
          <w:noProof/>
          <w:lang w:val="el-GR"/>
        </w:rPr>
        <w:tab/>
      </w:r>
      <w:r w:rsidRPr="00800E0B">
        <w:rPr>
          <w:b/>
          <w:bCs/>
          <w:lang w:val="el-GR"/>
        </w:rPr>
        <w:t>ΦΑΡΜΑΚΕΥΤΙΚΕΣ ΠΛΗΡΟΦΟΡΙΕΣ</w:t>
      </w:r>
    </w:p>
    <w:p w:rsidR="009B62E6" w:rsidRPr="00800E0B" w:rsidRDefault="009B62E6">
      <w:pPr>
        <w:rPr>
          <w:lang w:val="el-GR"/>
        </w:rPr>
      </w:pPr>
    </w:p>
    <w:p w:rsidR="009B62E6" w:rsidRPr="00800E0B" w:rsidRDefault="009B62E6">
      <w:pPr>
        <w:widowControl w:val="0"/>
        <w:tabs>
          <w:tab w:val="left" w:pos="600"/>
        </w:tabs>
        <w:outlineLvl w:val="1"/>
        <w:rPr>
          <w:b/>
          <w:bCs/>
          <w:noProof/>
          <w:lang w:val="el-GR"/>
        </w:rPr>
      </w:pPr>
      <w:r w:rsidRPr="00800E0B">
        <w:rPr>
          <w:b/>
          <w:bCs/>
          <w:noProof/>
          <w:lang w:val="el-GR"/>
        </w:rPr>
        <w:t>6.1</w:t>
      </w:r>
      <w:r w:rsidRPr="00800E0B">
        <w:rPr>
          <w:b/>
          <w:bCs/>
          <w:i/>
          <w:iCs/>
          <w:noProof/>
          <w:lang w:val="el-GR"/>
        </w:rPr>
        <w:tab/>
      </w:r>
      <w:r w:rsidRPr="00800E0B">
        <w:rPr>
          <w:b/>
          <w:bCs/>
          <w:lang w:val="el-GR"/>
        </w:rPr>
        <w:t>Κατάλογος εκδόχων</w:t>
      </w:r>
    </w:p>
    <w:p w:rsidR="009B62E6" w:rsidRPr="00800E0B" w:rsidRDefault="009B62E6">
      <w:pPr>
        <w:rPr>
          <w:lang w:val="el-GR"/>
        </w:rPr>
      </w:pPr>
    </w:p>
    <w:p w:rsidR="009B62E6" w:rsidRPr="00800E0B" w:rsidRDefault="009B62E6">
      <w:pPr>
        <w:tabs>
          <w:tab w:val="clear" w:pos="567"/>
        </w:tabs>
        <w:spacing w:line="240" w:lineRule="auto"/>
        <w:rPr>
          <w:lang w:val="el-GR"/>
        </w:rPr>
      </w:pPr>
      <w:r w:rsidRPr="00800E0B">
        <w:rPr>
          <w:lang w:val="el-GR"/>
        </w:rPr>
        <w:t>Περιεχόμενο καψακίου:</w:t>
      </w:r>
    </w:p>
    <w:p w:rsidR="009B62E6" w:rsidRPr="00800E0B" w:rsidRDefault="009B62E6">
      <w:pPr>
        <w:tabs>
          <w:tab w:val="clear" w:pos="567"/>
        </w:tabs>
        <w:spacing w:line="240" w:lineRule="auto"/>
        <w:rPr>
          <w:noProof/>
          <w:lang w:val="el-GR"/>
        </w:rPr>
      </w:pPr>
      <w:r w:rsidRPr="00800E0B">
        <w:rPr>
          <w:lang w:val="el-GR"/>
        </w:rPr>
        <w:t>Σφαίρες σακχάρου (σακχαρόζη και άμυλο αραβοσίτου)</w:t>
      </w:r>
    </w:p>
    <w:p w:rsidR="009B62E6" w:rsidRPr="00800E0B" w:rsidRDefault="009B62E6">
      <w:pPr>
        <w:tabs>
          <w:tab w:val="clear" w:pos="567"/>
        </w:tabs>
        <w:spacing w:line="240" w:lineRule="auto"/>
        <w:rPr>
          <w:noProof/>
          <w:lang w:val="el-GR"/>
        </w:rPr>
      </w:pPr>
      <w:proofErr w:type="spellStart"/>
      <w:r w:rsidRPr="00800E0B">
        <w:rPr>
          <w:lang w:val="el-GR"/>
        </w:rPr>
        <w:t>Υπρομελλόζη</w:t>
      </w:r>
      <w:proofErr w:type="spellEnd"/>
    </w:p>
    <w:p w:rsidR="009B62E6" w:rsidRPr="00800E0B" w:rsidRDefault="009B62E6">
      <w:pPr>
        <w:tabs>
          <w:tab w:val="clear" w:pos="567"/>
        </w:tabs>
        <w:spacing w:line="240" w:lineRule="auto"/>
        <w:rPr>
          <w:noProof/>
          <w:lang w:val="el-GR"/>
        </w:rPr>
      </w:pPr>
      <w:r w:rsidRPr="00800E0B">
        <w:rPr>
          <w:lang w:val="el-GR"/>
        </w:rPr>
        <w:t xml:space="preserve">Γαλάκτωμα </w:t>
      </w:r>
      <w:proofErr w:type="spellStart"/>
      <w:r w:rsidRPr="00800E0B">
        <w:rPr>
          <w:lang w:val="el-GR"/>
        </w:rPr>
        <w:t>διμεθικόνης</w:t>
      </w:r>
      <w:proofErr w:type="spellEnd"/>
      <w:r w:rsidRPr="00800E0B">
        <w:rPr>
          <w:lang w:val="el-GR"/>
        </w:rPr>
        <w:t xml:space="preserve"> 35% που περιέχει </w:t>
      </w:r>
      <w:proofErr w:type="spellStart"/>
      <w:r w:rsidRPr="00800E0B">
        <w:rPr>
          <w:lang w:val="el-GR"/>
        </w:rPr>
        <w:t>διμεθικόνη</w:t>
      </w:r>
      <w:proofErr w:type="spellEnd"/>
      <w:r w:rsidRPr="00800E0B">
        <w:rPr>
          <w:lang w:val="el-GR"/>
        </w:rPr>
        <w:t xml:space="preserve">, </w:t>
      </w:r>
      <w:proofErr w:type="spellStart"/>
      <w:r w:rsidRPr="00800E0B">
        <w:rPr>
          <w:lang w:val="el-GR"/>
        </w:rPr>
        <w:t>προπυλο</w:t>
      </w:r>
      <w:proofErr w:type="spellEnd"/>
      <w:r w:rsidRPr="00800E0B">
        <w:rPr>
          <w:lang w:val="el-GR"/>
        </w:rPr>
        <w:t>-</w:t>
      </w:r>
      <w:r w:rsidRPr="00800E0B">
        <w:t>p</w:t>
      </w:r>
      <w:r w:rsidRPr="00800E0B">
        <w:rPr>
          <w:lang w:val="el-GR"/>
        </w:rPr>
        <w:t>-</w:t>
      </w:r>
      <w:proofErr w:type="spellStart"/>
      <w:r w:rsidRPr="00800E0B">
        <w:rPr>
          <w:lang w:val="el-GR"/>
        </w:rPr>
        <w:t>υδροξυβενζοϊκό</w:t>
      </w:r>
      <w:proofErr w:type="spellEnd"/>
      <w:r w:rsidRPr="00800E0B">
        <w:rPr>
          <w:lang w:val="el-GR"/>
        </w:rPr>
        <w:t xml:space="preserve"> (</w:t>
      </w:r>
      <w:r w:rsidRPr="00800E0B">
        <w:t>E</w:t>
      </w:r>
      <w:r w:rsidRPr="00800E0B">
        <w:rPr>
          <w:lang w:val="el-GR"/>
        </w:rPr>
        <w:t xml:space="preserve">216), </w:t>
      </w:r>
      <w:proofErr w:type="spellStart"/>
      <w:r w:rsidRPr="00800E0B">
        <w:rPr>
          <w:lang w:val="el-GR"/>
        </w:rPr>
        <w:t>μεθυλο</w:t>
      </w:r>
      <w:proofErr w:type="spellEnd"/>
      <w:r w:rsidRPr="00800E0B">
        <w:rPr>
          <w:lang w:val="el-GR"/>
        </w:rPr>
        <w:t>-</w:t>
      </w:r>
      <w:r w:rsidRPr="00800E0B">
        <w:t>p</w:t>
      </w:r>
      <w:r w:rsidRPr="00800E0B">
        <w:rPr>
          <w:lang w:val="el-GR"/>
        </w:rPr>
        <w:t>-</w:t>
      </w:r>
      <w:proofErr w:type="spellStart"/>
      <w:r w:rsidRPr="00800E0B">
        <w:rPr>
          <w:lang w:val="el-GR"/>
        </w:rPr>
        <w:t>υδροξυβενζοϊκό</w:t>
      </w:r>
      <w:proofErr w:type="spellEnd"/>
      <w:r w:rsidRPr="00800E0B">
        <w:rPr>
          <w:lang w:val="el-GR"/>
        </w:rPr>
        <w:t xml:space="preserve"> (</w:t>
      </w:r>
      <w:r w:rsidRPr="00800E0B">
        <w:t>E</w:t>
      </w:r>
      <w:r w:rsidRPr="00800E0B">
        <w:rPr>
          <w:lang w:val="el-GR"/>
        </w:rPr>
        <w:t xml:space="preserve">218), </w:t>
      </w:r>
      <w:proofErr w:type="spellStart"/>
      <w:r w:rsidRPr="00800E0B">
        <w:rPr>
          <w:lang w:val="el-GR"/>
        </w:rPr>
        <w:t>σορβικό</w:t>
      </w:r>
      <w:proofErr w:type="spellEnd"/>
      <w:r w:rsidRPr="00800E0B">
        <w:rPr>
          <w:lang w:val="el-GR"/>
        </w:rPr>
        <w:t xml:space="preserve"> οξύ, </w:t>
      </w:r>
      <w:proofErr w:type="spellStart"/>
      <w:r w:rsidRPr="00800E0B">
        <w:rPr>
          <w:lang w:val="el-GR"/>
        </w:rPr>
        <w:t>βενζοϊκό</w:t>
      </w:r>
      <w:proofErr w:type="spellEnd"/>
      <w:r w:rsidRPr="00800E0B">
        <w:rPr>
          <w:lang w:val="el-GR"/>
        </w:rPr>
        <w:t xml:space="preserve"> νάτριο, </w:t>
      </w:r>
      <w:proofErr w:type="spellStart"/>
      <w:r w:rsidRPr="00800E0B">
        <w:rPr>
          <w:lang w:val="el-GR"/>
        </w:rPr>
        <w:t>μονολαυρική</w:t>
      </w:r>
      <w:proofErr w:type="spellEnd"/>
      <w:r w:rsidRPr="00800E0B">
        <w:rPr>
          <w:lang w:val="el-GR"/>
        </w:rPr>
        <w:t xml:space="preserve"> </w:t>
      </w:r>
      <w:proofErr w:type="spellStart"/>
      <w:r w:rsidRPr="00800E0B">
        <w:rPr>
          <w:lang w:val="el-GR"/>
        </w:rPr>
        <w:t>σορβιτάνη</w:t>
      </w:r>
      <w:proofErr w:type="spellEnd"/>
      <w:r w:rsidRPr="00800E0B">
        <w:rPr>
          <w:lang w:val="el-GR"/>
        </w:rPr>
        <w:t xml:space="preserve"> </w:t>
      </w:r>
      <w:proofErr w:type="spellStart"/>
      <w:r w:rsidRPr="00800E0B">
        <w:rPr>
          <w:lang w:val="el-GR"/>
        </w:rPr>
        <w:t>πολυαιθυλενογλυκόλης</w:t>
      </w:r>
      <w:proofErr w:type="spellEnd"/>
      <w:r w:rsidRPr="00800E0B">
        <w:rPr>
          <w:lang w:val="el-GR"/>
        </w:rPr>
        <w:t xml:space="preserve">, </w:t>
      </w:r>
      <w:proofErr w:type="spellStart"/>
      <w:r w:rsidRPr="00800E0B">
        <w:rPr>
          <w:lang w:val="el-GR"/>
        </w:rPr>
        <w:t>οκτυλ</w:t>
      </w:r>
      <w:proofErr w:type="spellEnd"/>
      <w:r w:rsidRPr="00800E0B">
        <w:rPr>
          <w:lang w:val="el-GR"/>
        </w:rPr>
        <w:t>-</w:t>
      </w:r>
      <w:proofErr w:type="spellStart"/>
      <w:r w:rsidRPr="00800E0B">
        <w:rPr>
          <w:lang w:val="el-GR"/>
        </w:rPr>
        <w:t>φαινοξυ</w:t>
      </w:r>
      <w:proofErr w:type="spellEnd"/>
      <w:r w:rsidRPr="00800E0B">
        <w:rPr>
          <w:lang w:val="el-GR"/>
        </w:rPr>
        <w:t>-</w:t>
      </w:r>
      <w:proofErr w:type="spellStart"/>
      <w:r w:rsidRPr="00800E0B">
        <w:rPr>
          <w:lang w:val="el-GR"/>
        </w:rPr>
        <w:t>πολυαιθοξυαιθανόλη</w:t>
      </w:r>
      <w:proofErr w:type="spellEnd"/>
      <w:r w:rsidRPr="00800E0B">
        <w:rPr>
          <w:lang w:val="el-GR"/>
        </w:rPr>
        <w:t xml:space="preserve"> και </w:t>
      </w:r>
      <w:proofErr w:type="spellStart"/>
      <w:r w:rsidRPr="00800E0B">
        <w:rPr>
          <w:lang w:val="el-GR"/>
        </w:rPr>
        <w:t>προπυλενογλυκόλη</w:t>
      </w:r>
      <w:proofErr w:type="spellEnd"/>
    </w:p>
    <w:p w:rsidR="009B62E6" w:rsidRPr="00800E0B" w:rsidRDefault="009B62E6">
      <w:pPr>
        <w:tabs>
          <w:tab w:val="clear" w:pos="567"/>
        </w:tabs>
        <w:spacing w:line="240" w:lineRule="auto"/>
        <w:rPr>
          <w:noProof/>
          <w:lang w:val="el-GR"/>
        </w:rPr>
      </w:pPr>
      <w:proofErr w:type="spellStart"/>
      <w:r w:rsidRPr="00800E0B">
        <w:rPr>
          <w:lang w:val="el-GR"/>
        </w:rPr>
        <w:t>Πολυσορβικό</w:t>
      </w:r>
      <w:proofErr w:type="spellEnd"/>
      <w:r w:rsidRPr="00800E0B">
        <w:rPr>
          <w:lang w:val="el-GR"/>
        </w:rPr>
        <w:t xml:space="preserve"> 80</w:t>
      </w:r>
    </w:p>
    <w:p w:rsidR="009B62E6" w:rsidRPr="00800E0B" w:rsidRDefault="009B62E6">
      <w:pPr>
        <w:tabs>
          <w:tab w:val="clear" w:pos="567"/>
        </w:tabs>
        <w:spacing w:line="240" w:lineRule="auto"/>
        <w:rPr>
          <w:noProof/>
          <w:lang w:val="el-GR"/>
        </w:rPr>
      </w:pPr>
      <w:proofErr w:type="spellStart"/>
      <w:r w:rsidRPr="00800E0B">
        <w:rPr>
          <w:lang w:val="el-GR"/>
        </w:rPr>
        <w:t>Μαννιτόλη</w:t>
      </w:r>
      <w:proofErr w:type="spellEnd"/>
    </w:p>
    <w:p w:rsidR="009B62E6" w:rsidRPr="00800E0B" w:rsidRDefault="009B62E6">
      <w:pPr>
        <w:tabs>
          <w:tab w:val="clear" w:pos="567"/>
        </w:tabs>
        <w:spacing w:line="240" w:lineRule="auto"/>
        <w:rPr>
          <w:noProof/>
          <w:lang w:val="el-GR"/>
        </w:rPr>
      </w:pPr>
      <w:proofErr w:type="spellStart"/>
      <w:r w:rsidRPr="00800E0B">
        <w:rPr>
          <w:lang w:val="el-GR"/>
        </w:rPr>
        <w:t>Διακετυλιωμένα</w:t>
      </w:r>
      <w:proofErr w:type="spellEnd"/>
      <w:r w:rsidRPr="00800E0B">
        <w:rPr>
          <w:lang w:val="el-GR"/>
        </w:rPr>
        <w:t xml:space="preserve"> </w:t>
      </w:r>
      <w:proofErr w:type="spellStart"/>
      <w:r w:rsidRPr="00800E0B">
        <w:rPr>
          <w:lang w:val="el-GR"/>
        </w:rPr>
        <w:t>μονογλυκερίδια</w:t>
      </w:r>
      <w:proofErr w:type="spellEnd"/>
    </w:p>
    <w:p w:rsidR="009B62E6" w:rsidRPr="00800E0B" w:rsidRDefault="009B62E6">
      <w:pPr>
        <w:tabs>
          <w:tab w:val="clear" w:pos="567"/>
        </w:tabs>
        <w:spacing w:line="240" w:lineRule="auto"/>
        <w:rPr>
          <w:noProof/>
          <w:lang w:val="el-GR"/>
        </w:rPr>
      </w:pPr>
      <w:proofErr w:type="spellStart"/>
      <w:r w:rsidRPr="00800E0B">
        <w:rPr>
          <w:lang w:val="el-GR"/>
        </w:rPr>
        <w:t>Τάλκης</w:t>
      </w:r>
      <w:proofErr w:type="spellEnd"/>
    </w:p>
    <w:p w:rsidR="009B62E6" w:rsidRPr="00800E0B" w:rsidRDefault="009B62E6">
      <w:pPr>
        <w:tabs>
          <w:tab w:val="clear" w:pos="567"/>
        </w:tabs>
        <w:spacing w:line="240" w:lineRule="auto"/>
        <w:rPr>
          <w:noProof/>
          <w:lang w:val="el-GR"/>
        </w:rPr>
      </w:pPr>
      <w:r w:rsidRPr="00800E0B">
        <w:rPr>
          <w:lang w:val="el-GR"/>
        </w:rPr>
        <w:t xml:space="preserve">Εναιώρημα 30% </w:t>
      </w:r>
      <w:proofErr w:type="spellStart"/>
      <w:r w:rsidRPr="00800E0B">
        <w:rPr>
          <w:lang w:val="el-GR"/>
        </w:rPr>
        <w:t>συμπολυμερούς</w:t>
      </w:r>
      <w:proofErr w:type="spellEnd"/>
      <w:r w:rsidRPr="00800E0B">
        <w:rPr>
          <w:lang w:val="el-GR"/>
        </w:rPr>
        <w:t xml:space="preserve"> </w:t>
      </w:r>
      <w:proofErr w:type="spellStart"/>
      <w:r w:rsidRPr="00800E0B">
        <w:rPr>
          <w:lang w:val="el-GR"/>
        </w:rPr>
        <w:t>μεθακρυλικού</w:t>
      </w:r>
      <w:proofErr w:type="spellEnd"/>
      <w:r w:rsidRPr="00800E0B">
        <w:rPr>
          <w:lang w:val="el-GR"/>
        </w:rPr>
        <w:t xml:space="preserve"> οξέος-</w:t>
      </w:r>
      <w:proofErr w:type="spellStart"/>
      <w:r w:rsidRPr="00800E0B">
        <w:rPr>
          <w:lang w:val="el-GR"/>
        </w:rPr>
        <w:t>αιθυλοακρυλικού</w:t>
      </w:r>
      <w:proofErr w:type="spellEnd"/>
      <w:r w:rsidRPr="00800E0B">
        <w:rPr>
          <w:lang w:val="el-GR"/>
        </w:rPr>
        <w:t xml:space="preserve"> (1:1) που περιέχει </w:t>
      </w:r>
      <w:proofErr w:type="spellStart"/>
      <w:r w:rsidRPr="00800E0B">
        <w:rPr>
          <w:lang w:val="el-GR"/>
        </w:rPr>
        <w:t>συμπολυμερές</w:t>
      </w:r>
      <w:proofErr w:type="spellEnd"/>
      <w:r w:rsidRPr="00800E0B">
        <w:rPr>
          <w:lang w:val="el-GR"/>
        </w:rPr>
        <w:t xml:space="preserve"> </w:t>
      </w:r>
      <w:proofErr w:type="spellStart"/>
      <w:r w:rsidRPr="00800E0B">
        <w:rPr>
          <w:lang w:val="el-GR"/>
        </w:rPr>
        <w:t>μεθακρυλικού</w:t>
      </w:r>
      <w:proofErr w:type="spellEnd"/>
      <w:r w:rsidRPr="00800E0B">
        <w:rPr>
          <w:lang w:val="el-GR"/>
        </w:rPr>
        <w:t xml:space="preserve"> οξέος και </w:t>
      </w:r>
      <w:proofErr w:type="spellStart"/>
      <w:r w:rsidRPr="00800E0B">
        <w:rPr>
          <w:lang w:val="el-GR"/>
        </w:rPr>
        <w:t>αιθυλοακρυλικό</w:t>
      </w:r>
      <w:proofErr w:type="spellEnd"/>
      <w:r w:rsidRPr="00800E0B">
        <w:rPr>
          <w:lang w:val="el-GR"/>
        </w:rPr>
        <w:t xml:space="preserve">, </w:t>
      </w:r>
      <w:proofErr w:type="spellStart"/>
      <w:r w:rsidRPr="00800E0B">
        <w:rPr>
          <w:lang w:val="el-GR"/>
        </w:rPr>
        <w:t>λαουρυλοθειικό</w:t>
      </w:r>
      <w:proofErr w:type="spellEnd"/>
      <w:r w:rsidRPr="00800E0B">
        <w:rPr>
          <w:lang w:val="el-GR"/>
        </w:rPr>
        <w:t xml:space="preserve"> νάτριο και </w:t>
      </w:r>
      <w:proofErr w:type="spellStart"/>
      <w:r w:rsidRPr="00800E0B">
        <w:rPr>
          <w:lang w:val="el-GR"/>
        </w:rPr>
        <w:t>πολυσορβικό</w:t>
      </w:r>
      <w:proofErr w:type="spellEnd"/>
      <w:r w:rsidRPr="00800E0B">
        <w:rPr>
          <w:lang w:val="el-GR"/>
        </w:rPr>
        <w:t xml:space="preserve"> 80</w:t>
      </w:r>
    </w:p>
    <w:p w:rsidR="009B62E6" w:rsidRPr="00800E0B" w:rsidRDefault="009B62E6">
      <w:pPr>
        <w:tabs>
          <w:tab w:val="clear" w:pos="567"/>
        </w:tabs>
        <w:spacing w:line="240" w:lineRule="auto"/>
        <w:rPr>
          <w:noProof/>
          <w:lang w:val="el-GR"/>
        </w:rPr>
      </w:pPr>
      <w:proofErr w:type="spellStart"/>
      <w:r w:rsidRPr="00800E0B">
        <w:rPr>
          <w:lang w:val="el-GR"/>
        </w:rPr>
        <w:t>Τριαιθυλοκιτρικό</w:t>
      </w:r>
      <w:proofErr w:type="spellEnd"/>
    </w:p>
    <w:p w:rsidR="009B62E6" w:rsidRPr="00800E0B" w:rsidRDefault="009B62E6">
      <w:pPr>
        <w:tabs>
          <w:tab w:val="clear" w:pos="567"/>
        </w:tabs>
        <w:spacing w:line="240" w:lineRule="auto"/>
        <w:rPr>
          <w:noProof/>
          <w:lang w:val="el-GR"/>
        </w:rPr>
      </w:pPr>
      <w:r w:rsidRPr="00800E0B">
        <w:rPr>
          <w:lang w:val="el-GR"/>
        </w:rPr>
        <w:t xml:space="preserve">Μίγμα εστέρων </w:t>
      </w:r>
      <w:proofErr w:type="spellStart"/>
      <w:r w:rsidRPr="00800E0B">
        <w:rPr>
          <w:lang w:val="el-GR"/>
        </w:rPr>
        <w:t>γλυκερόλης</w:t>
      </w:r>
      <w:proofErr w:type="spellEnd"/>
      <w:r w:rsidRPr="00800E0B">
        <w:rPr>
          <w:lang w:val="el-GR"/>
        </w:rPr>
        <w:t xml:space="preserve"> και </w:t>
      </w:r>
      <w:proofErr w:type="spellStart"/>
      <w:r w:rsidRPr="00800E0B">
        <w:rPr>
          <w:lang w:val="el-GR"/>
        </w:rPr>
        <w:t>πολυαιθυλενογλυκόλης</w:t>
      </w:r>
      <w:proofErr w:type="spellEnd"/>
      <w:r w:rsidRPr="00800E0B">
        <w:rPr>
          <w:lang w:val="el-GR"/>
        </w:rPr>
        <w:t xml:space="preserve"> με στατικό οξύ</w:t>
      </w:r>
    </w:p>
    <w:p w:rsidR="009B62E6" w:rsidRPr="00800E0B" w:rsidRDefault="009B62E6">
      <w:pPr>
        <w:tabs>
          <w:tab w:val="clear" w:pos="567"/>
        </w:tabs>
        <w:spacing w:line="240" w:lineRule="auto"/>
        <w:rPr>
          <w:lang w:val="el-GR"/>
        </w:rPr>
      </w:pPr>
    </w:p>
    <w:p w:rsidR="009B62E6" w:rsidRPr="00800E0B" w:rsidRDefault="009B62E6">
      <w:pPr>
        <w:tabs>
          <w:tab w:val="clear" w:pos="567"/>
        </w:tabs>
        <w:spacing w:line="240" w:lineRule="auto"/>
        <w:rPr>
          <w:lang w:val="el-GR"/>
        </w:rPr>
      </w:pPr>
      <w:r w:rsidRPr="00800E0B">
        <w:rPr>
          <w:lang w:val="el-GR"/>
        </w:rPr>
        <w:t>Κέλυφος καψακίου:</w:t>
      </w:r>
    </w:p>
    <w:p w:rsidR="009B62E6" w:rsidRPr="00800E0B" w:rsidRDefault="009B62E6">
      <w:pPr>
        <w:tabs>
          <w:tab w:val="clear" w:pos="567"/>
        </w:tabs>
        <w:spacing w:line="240" w:lineRule="auto"/>
        <w:rPr>
          <w:lang w:val="el-GR"/>
        </w:rPr>
      </w:pPr>
      <w:r w:rsidRPr="00800E0B">
        <w:rPr>
          <w:lang w:val="el-GR"/>
        </w:rPr>
        <w:t>Σιδήρου οξείδιο μέλαν (E172)</w:t>
      </w:r>
    </w:p>
    <w:p w:rsidR="009B62E6" w:rsidRPr="00800E0B" w:rsidRDefault="009B62E6">
      <w:pPr>
        <w:tabs>
          <w:tab w:val="clear" w:pos="567"/>
        </w:tabs>
        <w:spacing w:line="240" w:lineRule="auto"/>
        <w:rPr>
          <w:lang w:val="el-GR"/>
        </w:rPr>
      </w:pPr>
      <w:proofErr w:type="spellStart"/>
      <w:r w:rsidRPr="00800E0B">
        <w:rPr>
          <w:lang w:val="el-GR"/>
        </w:rPr>
        <w:t>Κόμμεα</w:t>
      </w:r>
      <w:proofErr w:type="spellEnd"/>
      <w:r w:rsidRPr="00800E0B">
        <w:rPr>
          <w:lang w:val="el-GR"/>
        </w:rPr>
        <w:t xml:space="preserve"> λάκκας</w:t>
      </w:r>
    </w:p>
    <w:p w:rsidR="009B62E6" w:rsidRPr="00800E0B" w:rsidRDefault="009B62E6">
      <w:pPr>
        <w:tabs>
          <w:tab w:val="clear" w:pos="567"/>
        </w:tabs>
        <w:spacing w:line="240" w:lineRule="auto"/>
        <w:rPr>
          <w:noProof/>
          <w:lang w:val="el-GR"/>
        </w:rPr>
      </w:pPr>
      <w:r w:rsidRPr="00800E0B">
        <w:rPr>
          <w:lang w:val="el-GR"/>
        </w:rPr>
        <w:t>Κίτρινο οξείδιο σιδήρου (</w:t>
      </w:r>
      <w:r w:rsidRPr="00800E0B">
        <w:t>E</w:t>
      </w:r>
      <w:r w:rsidRPr="00800E0B">
        <w:rPr>
          <w:lang w:val="el-GR"/>
        </w:rPr>
        <w:t xml:space="preserve"> 172)</w:t>
      </w:r>
    </w:p>
    <w:p w:rsidR="009B62E6" w:rsidRPr="00800E0B" w:rsidRDefault="009B62E6">
      <w:pPr>
        <w:tabs>
          <w:tab w:val="clear" w:pos="567"/>
        </w:tabs>
        <w:spacing w:line="240" w:lineRule="auto"/>
        <w:rPr>
          <w:noProof/>
          <w:lang w:val="el-GR"/>
        </w:rPr>
      </w:pPr>
      <w:r w:rsidRPr="00800E0B">
        <w:rPr>
          <w:lang w:val="el-GR"/>
        </w:rPr>
        <w:t>Διοξείδιο τιτανίου (</w:t>
      </w:r>
      <w:r w:rsidRPr="00800E0B">
        <w:t>E</w:t>
      </w:r>
      <w:r w:rsidRPr="00800E0B">
        <w:rPr>
          <w:lang w:val="el-GR"/>
        </w:rPr>
        <w:t xml:space="preserve"> 171)</w:t>
      </w:r>
      <w:r w:rsidRPr="00800E0B">
        <w:rPr>
          <w:noProof/>
          <w:lang w:val="el-GR"/>
        </w:rPr>
        <w:t xml:space="preserve"> </w:t>
      </w:r>
    </w:p>
    <w:p w:rsidR="009B62E6" w:rsidRPr="00800E0B" w:rsidRDefault="009B62E6">
      <w:pPr>
        <w:tabs>
          <w:tab w:val="clear" w:pos="567"/>
        </w:tabs>
        <w:spacing w:line="240" w:lineRule="auto"/>
        <w:rPr>
          <w:noProof/>
          <w:lang w:val="el-GR"/>
        </w:rPr>
      </w:pPr>
      <w:r w:rsidRPr="00800E0B">
        <w:rPr>
          <w:lang w:val="el-GR"/>
        </w:rPr>
        <w:t>Ζελατίνη</w:t>
      </w:r>
    </w:p>
    <w:p w:rsidR="009B62E6" w:rsidRPr="00800E0B" w:rsidRDefault="009B62E6">
      <w:pPr>
        <w:tabs>
          <w:tab w:val="clear" w:pos="567"/>
        </w:tabs>
        <w:spacing w:line="240" w:lineRule="auto"/>
        <w:rPr>
          <w:noProof/>
          <w:lang w:val="el-GR"/>
        </w:rPr>
      </w:pPr>
    </w:p>
    <w:p w:rsidR="009B62E6" w:rsidRPr="00800E0B" w:rsidRDefault="009B62E6">
      <w:pPr>
        <w:widowControl w:val="0"/>
        <w:tabs>
          <w:tab w:val="left" w:pos="600"/>
        </w:tabs>
        <w:outlineLvl w:val="1"/>
        <w:rPr>
          <w:b/>
          <w:bCs/>
          <w:noProof/>
          <w:lang w:val="el-GR"/>
        </w:rPr>
      </w:pPr>
      <w:r w:rsidRPr="00800E0B">
        <w:rPr>
          <w:b/>
          <w:bCs/>
          <w:noProof/>
          <w:lang w:val="el-GR"/>
        </w:rPr>
        <w:t>6.2</w:t>
      </w:r>
      <w:r w:rsidRPr="00800E0B">
        <w:rPr>
          <w:b/>
          <w:bCs/>
          <w:i/>
          <w:iCs/>
          <w:noProof/>
          <w:lang w:val="el-GR"/>
        </w:rPr>
        <w:tab/>
      </w:r>
      <w:r w:rsidRPr="00800E0B">
        <w:rPr>
          <w:b/>
          <w:bCs/>
          <w:lang w:val="el-GR"/>
        </w:rPr>
        <w:t>Ασυμβατότητες</w:t>
      </w:r>
    </w:p>
    <w:p w:rsidR="009B62E6" w:rsidRPr="00800E0B" w:rsidRDefault="009B62E6">
      <w:pPr>
        <w:tabs>
          <w:tab w:val="clear" w:pos="567"/>
        </w:tabs>
        <w:spacing w:line="240" w:lineRule="auto"/>
        <w:rPr>
          <w:noProof/>
          <w:lang w:val="el-GR"/>
        </w:rPr>
      </w:pPr>
    </w:p>
    <w:p w:rsidR="009B62E6" w:rsidRPr="00800E0B" w:rsidRDefault="009B62E6">
      <w:pPr>
        <w:tabs>
          <w:tab w:val="clear" w:pos="567"/>
        </w:tabs>
        <w:spacing w:line="240" w:lineRule="auto"/>
        <w:rPr>
          <w:noProof/>
          <w:lang w:val="el-GR"/>
        </w:rPr>
      </w:pPr>
      <w:r w:rsidRPr="00800E0B">
        <w:rPr>
          <w:lang w:val="el-GR"/>
        </w:rPr>
        <w:t>Δεν εφαρμόζεται.</w:t>
      </w:r>
    </w:p>
    <w:p w:rsidR="009B62E6" w:rsidRPr="00800E0B" w:rsidRDefault="009B62E6">
      <w:pPr>
        <w:tabs>
          <w:tab w:val="clear" w:pos="567"/>
        </w:tabs>
        <w:spacing w:line="240" w:lineRule="auto"/>
        <w:rPr>
          <w:noProof/>
          <w:lang w:val="el-GR"/>
        </w:rPr>
      </w:pPr>
    </w:p>
    <w:p w:rsidR="009B62E6" w:rsidRPr="00800E0B" w:rsidRDefault="009B62E6">
      <w:pPr>
        <w:widowControl w:val="0"/>
        <w:tabs>
          <w:tab w:val="left" w:pos="600"/>
        </w:tabs>
        <w:outlineLvl w:val="1"/>
        <w:rPr>
          <w:noProof/>
          <w:lang w:val="el-GR"/>
        </w:rPr>
      </w:pPr>
      <w:r w:rsidRPr="00800E0B">
        <w:rPr>
          <w:b/>
          <w:bCs/>
          <w:noProof/>
          <w:lang w:val="el-GR"/>
        </w:rPr>
        <w:t>6.3</w:t>
      </w:r>
      <w:r w:rsidRPr="00800E0B">
        <w:rPr>
          <w:b/>
          <w:bCs/>
          <w:i/>
          <w:iCs/>
          <w:noProof/>
          <w:lang w:val="el-GR"/>
        </w:rPr>
        <w:tab/>
      </w:r>
      <w:r w:rsidRPr="00800E0B">
        <w:rPr>
          <w:b/>
          <w:bCs/>
          <w:lang w:val="el-GR"/>
        </w:rPr>
        <w:t>Διάρκεια ζωής</w:t>
      </w:r>
    </w:p>
    <w:p w:rsidR="009B62E6" w:rsidRPr="00800E0B" w:rsidRDefault="009B62E6">
      <w:pPr>
        <w:tabs>
          <w:tab w:val="clear" w:pos="567"/>
        </w:tabs>
        <w:spacing w:line="240" w:lineRule="auto"/>
        <w:rPr>
          <w:noProof/>
          <w:lang w:val="el-GR"/>
        </w:rPr>
      </w:pPr>
    </w:p>
    <w:p w:rsidR="009B62E6" w:rsidRPr="00800E0B" w:rsidRDefault="009B62E6">
      <w:pPr>
        <w:tabs>
          <w:tab w:val="clear" w:pos="567"/>
        </w:tabs>
        <w:spacing w:line="240" w:lineRule="auto"/>
        <w:rPr>
          <w:lang w:val="el-GR"/>
        </w:rPr>
      </w:pPr>
      <w:r w:rsidRPr="00800E0B">
        <w:rPr>
          <w:lang w:val="el-GR"/>
        </w:rPr>
        <w:t>Κυψέλες:</w:t>
      </w:r>
    </w:p>
    <w:p w:rsidR="009B62E6" w:rsidRPr="00800E0B" w:rsidRDefault="009B62E6">
      <w:pPr>
        <w:tabs>
          <w:tab w:val="clear" w:pos="567"/>
        </w:tabs>
        <w:spacing w:line="240" w:lineRule="auto"/>
        <w:rPr>
          <w:lang w:val="el-GR"/>
        </w:rPr>
      </w:pPr>
      <w:r w:rsidRPr="00800E0B">
        <w:rPr>
          <w:lang w:val="el-GR"/>
        </w:rPr>
        <w:t>2 χρόνια</w:t>
      </w:r>
    </w:p>
    <w:p w:rsidR="009B62E6" w:rsidRPr="00800E0B" w:rsidRDefault="009B62E6">
      <w:pPr>
        <w:tabs>
          <w:tab w:val="clear" w:pos="567"/>
        </w:tabs>
        <w:spacing w:line="240" w:lineRule="auto"/>
        <w:rPr>
          <w:lang w:val="el-GR"/>
        </w:rPr>
      </w:pPr>
    </w:p>
    <w:p w:rsidR="009B62E6" w:rsidRPr="00800E0B" w:rsidRDefault="009B62E6">
      <w:pPr>
        <w:tabs>
          <w:tab w:val="clear" w:pos="567"/>
        </w:tabs>
        <w:spacing w:line="240" w:lineRule="auto"/>
        <w:rPr>
          <w:lang w:val="el-GR"/>
        </w:rPr>
      </w:pPr>
      <w:r w:rsidRPr="00800E0B">
        <w:rPr>
          <w:lang w:val="el-GR"/>
        </w:rPr>
        <w:t>Φιάλες:</w:t>
      </w:r>
    </w:p>
    <w:p w:rsidR="009B62E6" w:rsidRPr="00800E0B" w:rsidRDefault="009B62E6">
      <w:pPr>
        <w:tabs>
          <w:tab w:val="clear" w:pos="567"/>
        </w:tabs>
        <w:spacing w:line="240" w:lineRule="auto"/>
        <w:rPr>
          <w:lang w:val="el-GR"/>
        </w:rPr>
      </w:pPr>
      <w:r w:rsidRPr="00800E0B">
        <w:rPr>
          <w:lang w:val="el-GR"/>
        </w:rPr>
        <w:t>Πριν από το άνοιγμα της φιάλης: 2 χρόνια</w:t>
      </w:r>
    </w:p>
    <w:p w:rsidR="009B62E6" w:rsidRPr="00800E0B" w:rsidRDefault="009B62E6">
      <w:pPr>
        <w:tabs>
          <w:tab w:val="clear" w:pos="567"/>
        </w:tabs>
        <w:spacing w:line="240" w:lineRule="auto"/>
        <w:rPr>
          <w:noProof/>
          <w:lang w:val="el-GR"/>
        </w:rPr>
      </w:pPr>
      <w:r w:rsidRPr="00800E0B">
        <w:rPr>
          <w:lang w:val="el-GR"/>
        </w:rPr>
        <w:t>Μετά το άνοιγμα της φιάλης: 3 μήνες</w:t>
      </w:r>
    </w:p>
    <w:p w:rsidR="009B62E6" w:rsidRPr="00800E0B" w:rsidRDefault="009B62E6">
      <w:pPr>
        <w:rPr>
          <w:lang w:val="el-GR"/>
        </w:rPr>
      </w:pPr>
    </w:p>
    <w:p w:rsidR="009B62E6" w:rsidRPr="00800E0B" w:rsidRDefault="009B62E6">
      <w:pPr>
        <w:widowControl w:val="0"/>
        <w:tabs>
          <w:tab w:val="left" w:pos="600"/>
        </w:tabs>
        <w:outlineLvl w:val="1"/>
        <w:rPr>
          <w:b/>
          <w:bCs/>
          <w:noProof/>
          <w:lang w:val="el-GR"/>
        </w:rPr>
      </w:pPr>
      <w:r w:rsidRPr="00800E0B">
        <w:rPr>
          <w:b/>
          <w:bCs/>
          <w:noProof/>
          <w:lang w:val="el-GR"/>
        </w:rPr>
        <w:t>6.4</w:t>
      </w:r>
      <w:r w:rsidRPr="00800E0B">
        <w:rPr>
          <w:b/>
          <w:bCs/>
          <w:i/>
          <w:iCs/>
          <w:noProof/>
          <w:lang w:val="el-GR"/>
        </w:rPr>
        <w:tab/>
      </w:r>
      <w:r w:rsidRPr="00800E0B">
        <w:rPr>
          <w:b/>
          <w:bCs/>
          <w:lang w:val="el-GR"/>
        </w:rPr>
        <w:t>Ιδιαίτερες προφυλάξεις κατά την φύλαξη του προϊόντος</w:t>
      </w:r>
    </w:p>
    <w:p w:rsidR="009B62E6" w:rsidRPr="00800E0B" w:rsidRDefault="009B62E6">
      <w:pPr>
        <w:rPr>
          <w:lang w:val="el-GR"/>
        </w:rPr>
      </w:pPr>
    </w:p>
    <w:p w:rsidR="009B62E6" w:rsidRPr="00800E0B" w:rsidRDefault="009B62E6">
      <w:pPr>
        <w:tabs>
          <w:tab w:val="clear" w:pos="567"/>
        </w:tabs>
        <w:spacing w:line="240" w:lineRule="auto"/>
        <w:rPr>
          <w:lang w:val="el-GR"/>
        </w:rPr>
      </w:pPr>
      <w:r w:rsidRPr="00800E0B">
        <w:rPr>
          <w:lang w:val="el-GR"/>
        </w:rPr>
        <w:t>Μη φυλάσσετε σε θερμοκρασία μεγαλύτερη των 25 °C.</w:t>
      </w:r>
    </w:p>
    <w:p w:rsidR="009B62E6" w:rsidRPr="00800E0B" w:rsidRDefault="009B62E6">
      <w:pPr>
        <w:tabs>
          <w:tab w:val="clear" w:pos="567"/>
        </w:tabs>
        <w:spacing w:line="240" w:lineRule="auto"/>
        <w:rPr>
          <w:noProof/>
          <w:lang w:val="el-GR"/>
        </w:rPr>
      </w:pPr>
      <w:r w:rsidRPr="00800E0B">
        <w:rPr>
          <w:lang w:val="el-GR"/>
        </w:rPr>
        <w:t xml:space="preserve">Διατηρείτε τον </w:t>
      </w:r>
      <w:proofErr w:type="spellStart"/>
      <w:r w:rsidRPr="00800E0B">
        <w:rPr>
          <w:lang w:val="el-GR"/>
        </w:rPr>
        <w:t>περιέκτη</w:t>
      </w:r>
      <w:proofErr w:type="spellEnd"/>
      <w:r w:rsidRPr="00800E0B">
        <w:rPr>
          <w:lang w:val="el-GR"/>
        </w:rPr>
        <w:t xml:space="preserve"> καλά κλεισμένο για να προστατεύεται από την υγρασία (φιάλη).</w:t>
      </w:r>
      <w:r w:rsidRPr="00800E0B">
        <w:rPr>
          <w:noProof/>
          <w:lang w:val="el-GR"/>
        </w:rPr>
        <w:t xml:space="preserve"> </w:t>
      </w:r>
      <w:r w:rsidRPr="00800E0B">
        <w:rPr>
          <w:lang w:val="el-GR"/>
        </w:rPr>
        <w:t xml:space="preserve">Φυλάσσετε στην αρχική συσκευασία για να προστατεύεται από την υγρασία (συσκευασία τύπου </w:t>
      </w:r>
      <w:proofErr w:type="spellStart"/>
      <w:r w:rsidRPr="00800E0B">
        <w:rPr>
          <w:lang w:val="el-GR"/>
        </w:rPr>
        <w:t>blister</w:t>
      </w:r>
      <w:proofErr w:type="spellEnd"/>
      <w:r w:rsidRPr="00800E0B">
        <w:rPr>
          <w:lang w:val="el-GR"/>
        </w:rPr>
        <w:t>).</w:t>
      </w:r>
    </w:p>
    <w:p w:rsidR="009B62E6" w:rsidRPr="00800E0B" w:rsidRDefault="009B62E6">
      <w:pPr>
        <w:tabs>
          <w:tab w:val="clear" w:pos="567"/>
        </w:tabs>
        <w:spacing w:line="240" w:lineRule="auto"/>
        <w:rPr>
          <w:noProof/>
          <w:lang w:val="el-GR"/>
        </w:rPr>
      </w:pPr>
    </w:p>
    <w:p w:rsidR="009B62E6" w:rsidRPr="00800E0B" w:rsidRDefault="009B62E6">
      <w:pPr>
        <w:widowControl w:val="0"/>
        <w:tabs>
          <w:tab w:val="left" w:pos="600"/>
        </w:tabs>
        <w:outlineLvl w:val="1"/>
        <w:rPr>
          <w:b/>
          <w:bCs/>
          <w:noProof/>
          <w:lang w:val="el-GR"/>
        </w:rPr>
      </w:pPr>
      <w:r w:rsidRPr="00800E0B">
        <w:rPr>
          <w:b/>
          <w:bCs/>
          <w:noProof/>
          <w:lang w:val="el-GR"/>
        </w:rPr>
        <w:t>6.5</w:t>
      </w:r>
      <w:r w:rsidRPr="00800E0B">
        <w:rPr>
          <w:b/>
          <w:bCs/>
          <w:i/>
          <w:iCs/>
          <w:noProof/>
          <w:lang w:val="el-GR"/>
        </w:rPr>
        <w:tab/>
      </w:r>
      <w:r w:rsidRPr="00800E0B">
        <w:rPr>
          <w:b/>
          <w:bCs/>
          <w:lang w:val="el-GR"/>
        </w:rPr>
        <w:t xml:space="preserve">Φύση και συστατικά του </w:t>
      </w:r>
      <w:proofErr w:type="spellStart"/>
      <w:r w:rsidRPr="00800E0B">
        <w:rPr>
          <w:b/>
          <w:bCs/>
          <w:lang w:val="el-GR"/>
        </w:rPr>
        <w:t>περιέκτη</w:t>
      </w:r>
      <w:proofErr w:type="spellEnd"/>
    </w:p>
    <w:p w:rsidR="009B62E6" w:rsidRPr="00800E0B" w:rsidRDefault="009B62E6">
      <w:pPr>
        <w:spacing w:line="240" w:lineRule="auto"/>
        <w:rPr>
          <w:noProof/>
          <w:lang w:val="el-GR"/>
        </w:rPr>
      </w:pPr>
    </w:p>
    <w:p w:rsidR="009B62E6" w:rsidRPr="00800E0B" w:rsidRDefault="009B62E6">
      <w:pPr>
        <w:spacing w:line="240" w:lineRule="auto"/>
        <w:rPr>
          <w:lang w:val="el-GR"/>
        </w:rPr>
      </w:pPr>
      <w:r w:rsidRPr="00800E0B">
        <w:rPr>
          <w:lang w:val="el-GR"/>
        </w:rPr>
        <w:t xml:space="preserve">Φιάλες </w:t>
      </w:r>
      <w:r w:rsidRPr="00800E0B">
        <w:rPr>
          <w:i/>
          <w:iCs/>
          <w:lang w:val="en-US"/>
        </w:rPr>
        <w:t>HDPE</w:t>
      </w:r>
      <w:r w:rsidRPr="00800E0B">
        <w:rPr>
          <w:i/>
          <w:iCs/>
          <w:lang w:val="el-GR"/>
        </w:rPr>
        <w:t xml:space="preserve"> </w:t>
      </w:r>
      <w:r w:rsidRPr="00800E0B">
        <w:rPr>
          <w:lang w:val="el-GR"/>
        </w:rPr>
        <w:t>που περιέχουν αποξηραντικό από πήγμα πυριτίου οξειδίου και κλείνουν με λευκό πώμα ΡΡ. Το άνοιγμα της φιάλης σφραγίζεται με αεροστεγές σφράγισμα αλουμινίου.</w:t>
      </w:r>
    </w:p>
    <w:p w:rsidR="009B62E6" w:rsidRPr="00800E0B" w:rsidRDefault="009B62E6">
      <w:pPr>
        <w:tabs>
          <w:tab w:val="clear" w:pos="567"/>
        </w:tabs>
        <w:spacing w:line="240" w:lineRule="auto"/>
        <w:rPr>
          <w:lang w:val="el-GR"/>
        </w:rPr>
      </w:pPr>
      <w:r w:rsidRPr="00800E0B">
        <w:rPr>
          <w:lang w:val="el-GR"/>
        </w:rPr>
        <w:t>Μεγέθη συσκευασιών: 28, 30, 90 ή 98 καψάκια</w:t>
      </w:r>
    </w:p>
    <w:p w:rsidR="009B62E6" w:rsidRPr="00800E0B" w:rsidRDefault="009B62E6">
      <w:pPr>
        <w:spacing w:line="240" w:lineRule="auto"/>
        <w:rPr>
          <w:lang w:val="el-GR"/>
        </w:rPr>
      </w:pPr>
    </w:p>
    <w:p w:rsidR="009B62E6" w:rsidRPr="00800E0B" w:rsidRDefault="009B62E6">
      <w:pPr>
        <w:spacing w:line="240" w:lineRule="auto"/>
        <w:rPr>
          <w:lang w:val="el-GR"/>
        </w:rPr>
      </w:pPr>
      <w:r w:rsidRPr="00800E0B">
        <w:rPr>
          <w:lang w:val="el-GR"/>
        </w:rPr>
        <w:t xml:space="preserve">Συσκευασίες τύπου </w:t>
      </w:r>
      <w:r w:rsidRPr="00800E0B">
        <w:t>blister</w:t>
      </w:r>
      <w:r w:rsidRPr="00800E0B">
        <w:rPr>
          <w:lang w:val="el-GR"/>
        </w:rPr>
        <w:t xml:space="preserve"> από </w:t>
      </w:r>
      <w:r w:rsidRPr="00800E0B">
        <w:t>PA</w:t>
      </w:r>
      <w:r w:rsidRPr="00800E0B">
        <w:rPr>
          <w:lang w:val="el-GR"/>
        </w:rPr>
        <w:t>-αλουμίνιο-</w:t>
      </w:r>
      <w:r w:rsidRPr="00800E0B">
        <w:t>PVC</w:t>
      </w:r>
      <w:r w:rsidRPr="00800E0B">
        <w:rPr>
          <w:lang w:val="el-GR"/>
        </w:rPr>
        <w:t>/θήκη αλουμινίου</w:t>
      </w:r>
    </w:p>
    <w:p w:rsidR="009B62E6" w:rsidRPr="00800E0B" w:rsidRDefault="009B62E6">
      <w:pPr>
        <w:tabs>
          <w:tab w:val="clear" w:pos="567"/>
        </w:tabs>
        <w:spacing w:line="240" w:lineRule="auto"/>
        <w:rPr>
          <w:lang w:val="el-GR"/>
        </w:rPr>
      </w:pPr>
      <w:r w:rsidRPr="00800E0B">
        <w:rPr>
          <w:lang w:val="el-GR"/>
        </w:rPr>
        <w:t>Μεγέθη συσκευασιών: 3, 7, 14, 15, 25, 28, 30, 50, 56, 60, 90, 98, 100 ή 140 καψάκια</w:t>
      </w:r>
    </w:p>
    <w:p w:rsidR="009B62E6" w:rsidRPr="00800E0B"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r w:rsidRPr="00800E0B">
        <w:rPr>
          <w:lang w:val="el-GR"/>
        </w:rPr>
        <w:t>Μπορεί να μην κυκλοφορούν όλες οι συσκευασίες.</w:t>
      </w:r>
    </w:p>
    <w:p w:rsidR="009B62E6" w:rsidRPr="00C862E9" w:rsidRDefault="009B62E6">
      <w:pPr>
        <w:tabs>
          <w:tab w:val="clear" w:pos="567"/>
        </w:tabs>
        <w:spacing w:line="240" w:lineRule="auto"/>
        <w:rPr>
          <w:noProof/>
          <w:lang w:val="el-GR"/>
        </w:rPr>
      </w:pPr>
    </w:p>
    <w:p w:rsidR="009B62E6" w:rsidRPr="00C862E9" w:rsidRDefault="009B62E6">
      <w:pPr>
        <w:keepNext/>
        <w:widowControl w:val="0"/>
        <w:tabs>
          <w:tab w:val="left" w:pos="600"/>
        </w:tabs>
        <w:outlineLvl w:val="1"/>
        <w:rPr>
          <w:b/>
          <w:bCs/>
          <w:noProof/>
          <w:lang w:val="el-GR"/>
        </w:rPr>
      </w:pPr>
      <w:r w:rsidRPr="00C862E9">
        <w:rPr>
          <w:b/>
          <w:bCs/>
          <w:noProof/>
          <w:lang w:val="el-GR"/>
        </w:rPr>
        <w:lastRenderedPageBreak/>
        <w:t>6.6</w:t>
      </w:r>
      <w:r w:rsidRPr="00C862E9">
        <w:rPr>
          <w:b/>
          <w:bCs/>
          <w:noProof/>
          <w:lang w:val="el-GR"/>
        </w:rPr>
        <w:tab/>
      </w:r>
      <w:r w:rsidRPr="00C862E9">
        <w:rPr>
          <w:b/>
          <w:bCs/>
          <w:noProof/>
          <w:lang w:val="el-GR"/>
        </w:rPr>
        <w:tab/>
      </w:r>
      <w:r w:rsidRPr="00C862E9">
        <w:rPr>
          <w:b/>
          <w:bCs/>
          <w:lang w:val="el-GR"/>
        </w:rPr>
        <w:t>Ιδιαίτερες προφυλάξεις απόρριψης και άλλος χειρισμός</w:t>
      </w:r>
    </w:p>
    <w:p w:rsidR="009B62E6" w:rsidRPr="00C862E9" w:rsidRDefault="009B62E6">
      <w:pPr>
        <w:keepNext/>
        <w:tabs>
          <w:tab w:val="clear" w:pos="567"/>
        </w:tabs>
        <w:spacing w:line="240" w:lineRule="auto"/>
        <w:rPr>
          <w:noProof/>
          <w:lang w:val="el-GR"/>
        </w:rPr>
      </w:pPr>
    </w:p>
    <w:p w:rsidR="009B62E6" w:rsidRPr="00C862E9" w:rsidRDefault="009B62E6">
      <w:pPr>
        <w:pStyle w:val="Default"/>
        <w:keepNext/>
        <w:rPr>
          <w:sz w:val="22"/>
          <w:szCs w:val="22"/>
          <w:lang w:val="el-GR"/>
        </w:rPr>
      </w:pPr>
      <w:r w:rsidRPr="00C862E9">
        <w:rPr>
          <w:sz w:val="22"/>
          <w:szCs w:val="22"/>
          <w:u w:val="single"/>
          <w:lang w:val="el-GR"/>
        </w:rPr>
        <w:t xml:space="preserve">Χορήγηση μέσω γαστρικού σωλήνα </w:t>
      </w:r>
    </w:p>
    <w:p w:rsidR="009B62E6" w:rsidRPr="00C862E9" w:rsidRDefault="009B62E6">
      <w:pPr>
        <w:pStyle w:val="Default"/>
        <w:rPr>
          <w:sz w:val="22"/>
          <w:szCs w:val="22"/>
          <w:lang w:val="el-GR"/>
        </w:rPr>
      </w:pPr>
    </w:p>
    <w:tbl>
      <w:tblPr>
        <w:tblW w:w="0" w:type="auto"/>
        <w:tblLayout w:type="fixed"/>
        <w:tblLook w:val="0000" w:firstRow="0" w:lastRow="0" w:firstColumn="0" w:lastColumn="0" w:noHBand="0" w:noVBand="0"/>
      </w:tblPr>
      <w:tblGrid>
        <w:gridCol w:w="8699"/>
      </w:tblGrid>
      <w:tr w:rsidR="009B62E6" w:rsidRPr="00C862E9" w:rsidTr="00D00F9A">
        <w:trPr>
          <w:trHeight w:val="4406"/>
        </w:trPr>
        <w:tc>
          <w:tcPr>
            <w:tcW w:w="8699" w:type="dxa"/>
          </w:tcPr>
          <w:p w:rsidR="009B62E6" w:rsidRPr="00C862E9" w:rsidRDefault="009B62E6" w:rsidP="003C47D1">
            <w:pPr>
              <w:tabs>
                <w:tab w:val="clear" w:pos="567"/>
                <w:tab w:val="left" w:pos="492"/>
              </w:tabs>
              <w:spacing w:line="240" w:lineRule="auto"/>
              <w:rPr>
                <w:noProof/>
                <w:lang w:val="el-GR"/>
              </w:rPr>
            </w:pPr>
            <w:r w:rsidRPr="00C862E9">
              <w:rPr>
                <w:noProof/>
                <w:lang w:val="el-GR"/>
              </w:rPr>
              <w:t>1.</w:t>
            </w:r>
            <w:r w:rsidRPr="00C862E9">
              <w:rPr>
                <w:noProof/>
                <w:lang w:val="el-GR"/>
              </w:rPr>
              <w:tab/>
            </w:r>
            <w:r w:rsidRPr="00C862E9">
              <w:rPr>
                <w:lang w:val="el-GR"/>
              </w:rPr>
              <w:t>Προσθέστε το περιεχόμενο ενός καψακίου σε περίπου 25</w:t>
            </w:r>
            <w:r w:rsidRPr="00C862E9">
              <w:rPr>
                <w:lang w:val="en-US"/>
              </w:rPr>
              <w:t> ml</w:t>
            </w:r>
            <w:r w:rsidRPr="00C862E9">
              <w:rPr>
                <w:lang w:val="el-GR"/>
              </w:rPr>
              <w:t xml:space="preserve"> ή 50</w:t>
            </w:r>
            <w:r w:rsidRPr="00C862E9">
              <w:rPr>
                <w:lang w:val="en-US"/>
              </w:rPr>
              <w:t> ml</w:t>
            </w:r>
            <w:r w:rsidRPr="00C862E9">
              <w:rPr>
                <w:lang w:val="el-GR"/>
              </w:rPr>
              <w:t xml:space="preserve"> νερού.</w:t>
            </w:r>
            <w:r w:rsidRPr="00C862E9">
              <w:rPr>
                <w:noProof/>
                <w:lang w:val="el-GR"/>
              </w:rPr>
              <w:t xml:space="preserve"> </w:t>
            </w:r>
            <w:r w:rsidRPr="00C862E9">
              <w:rPr>
                <w:lang w:val="el-GR"/>
              </w:rPr>
              <w:t>(Για κάποιους</w:t>
            </w:r>
            <w:r w:rsidRPr="00C862E9">
              <w:rPr>
                <w:noProof/>
                <w:lang w:val="el-GR"/>
              </w:rPr>
              <w:t xml:space="preserve"> </w:t>
            </w:r>
            <w:r w:rsidRPr="00C862E9">
              <w:rPr>
                <w:lang w:val="el-GR"/>
              </w:rPr>
              <w:t>σωλήνες, απαιτείται διασπορά σε 50 ml νερού για να αποτραπεί η απόφραξη του σωλήνα από τα σφαιρίδια).</w:t>
            </w:r>
            <w:r w:rsidRPr="00C862E9">
              <w:rPr>
                <w:noProof/>
                <w:lang w:val="el-GR"/>
              </w:rPr>
              <w:t xml:space="preserve"> </w:t>
            </w:r>
            <w:r w:rsidRPr="00C862E9">
              <w:rPr>
                <w:lang w:val="el-GR"/>
              </w:rPr>
              <w:t>Αναμείξτε.</w:t>
            </w:r>
          </w:p>
          <w:p w:rsidR="009B62E6" w:rsidRDefault="009B62E6" w:rsidP="00882259">
            <w:pPr>
              <w:pStyle w:val="Web"/>
              <w:spacing w:before="0" w:beforeAutospacing="0" w:after="0"/>
              <w:rPr>
                <w:noProof/>
                <w:color w:val="auto"/>
                <w:sz w:val="22"/>
                <w:szCs w:val="22"/>
                <w:lang w:val="el-GR"/>
              </w:rPr>
            </w:pPr>
            <w:r w:rsidRPr="00C862E9">
              <w:rPr>
                <w:noProof/>
                <w:color w:val="auto"/>
                <w:sz w:val="22"/>
                <w:szCs w:val="22"/>
                <w:lang w:val="el-GR"/>
              </w:rPr>
              <w:t>2.</w:t>
            </w:r>
            <w:r w:rsidRPr="00C862E9">
              <w:rPr>
                <w:noProof/>
                <w:sz w:val="22"/>
                <w:szCs w:val="22"/>
                <w:lang w:val="el-GR"/>
              </w:rPr>
              <w:tab/>
            </w:r>
            <w:r w:rsidRPr="00C862E9">
              <w:rPr>
                <w:color w:val="auto"/>
                <w:sz w:val="22"/>
                <w:szCs w:val="22"/>
                <w:lang w:val="el-GR"/>
              </w:rPr>
              <w:t>Αναρροφήστε το εναιώρημα σε μια σύριγγα και προσθέστε περίπου 5 ml αέρα.</w:t>
            </w:r>
          </w:p>
          <w:p w:rsidR="009B62E6" w:rsidRDefault="009B62E6" w:rsidP="00882259">
            <w:pPr>
              <w:pStyle w:val="Web"/>
              <w:spacing w:before="0" w:beforeAutospacing="0" w:after="0"/>
              <w:rPr>
                <w:noProof/>
                <w:sz w:val="22"/>
                <w:szCs w:val="22"/>
                <w:lang w:val="el-GR"/>
              </w:rPr>
            </w:pPr>
            <w:r w:rsidRPr="00C862E9">
              <w:rPr>
                <w:noProof/>
                <w:color w:val="auto"/>
                <w:sz w:val="22"/>
                <w:szCs w:val="22"/>
                <w:lang w:val="el-GR"/>
              </w:rPr>
              <w:t xml:space="preserve">3. </w:t>
            </w:r>
            <w:r w:rsidRPr="00C862E9">
              <w:rPr>
                <w:noProof/>
                <w:sz w:val="22"/>
                <w:szCs w:val="22"/>
                <w:lang w:val="el-GR"/>
              </w:rPr>
              <w:tab/>
            </w:r>
            <w:r w:rsidRPr="00C862E9">
              <w:rPr>
                <w:color w:val="auto"/>
                <w:sz w:val="22"/>
                <w:szCs w:val="22"/>
                <w:lang w:val="el-GR"/>
              </w:rPr>
              <w:t xml:space="preserve">Αναμείξτε αμέσως τη σύριγγα για περίπου 2 λεπτά για να διασπείρετε τα </w:t>
            </w:r>
            <w:r w:rsidRPr="00C862E9">
              <w:rPr>
                <w:sz w:val="22"/>
                <w:szCs w:val="22"/>
                <w:lang w:val="el-GR"/>
              </w:rPr>
              <w:t>σφαιρίδια</w:t>
            </w:r>
            <w:r w:rsidRPr="00C862E9">
              <w:rPr>
                <w:color w:val="auto"/>
                <w:sz w:val="22"/>
                <w:szCs w:val="22"/>
                <w:lang w:val="el-GR"/>
              </w:rPr>
              <w:t>.</w:t>
            </w:r>
            <w:r w:rsidRPr="00C862E9">
              <w:rPr>
                <w:noProof/>
                <w:color w:val="auto"/>
                <w:sz w:val="22"/>
                <w:szCs w:val="22"/>
                <w:lang w:val="el-GR"/>
              </w:rPr>
              <w:t xml:space="preserve"> </w:t>
            </w:r>
          </w:p>
          <w:p w:rsidR="009B62E6" w:rsidRDefault="009B62E6" w:rsidP="00882259">
            <w:pPr>
              <w:pStyle w:val="Web"/>
              <w:spacing w:before="0" w:beforeAutospacing="0" w:after="0"/>
              <w:rPr>
                <w:noProof/>
                <w:sz w:val="22"/>
                <w:szCs w:val="22"/>
                <w:lang w:val="el-GR"/>
              </w:rPr>
            </w:pPr>
            <w:r w:rsidRPr="00C862E9">
              <w:rPr>
                <w:noProof/>
                <w:color w:val="auto"/>
                <w:sz w:val="22"/>
                <w:szCs w:val="22"/>
                <w:lang w:val="el-GR"/>
              </w:rPr>
              <w:t xml:space="preserve">4. </w:t>
            </w:r>
            <w:r w:rsidRPr="00C862E9">
              <w:rPr>
                <w:noProof/>
                <w:sz w:val="22"/>
                <w:szCs w:val="22"/>
                <w:lang w:val="el-GR"/>
              </w:rPr>
              <w:tab/>
            </w:r>
            <w:r w:rsidRPr="00C862E9">
              <w:rPr>
                <w:color w:val="auto"/>
                <w:sz w:val="22"/>
                <w:szCs w:val="22"/>
                <w:lang w:val="el-GR"/>
              </w:rPr>
              <w:t>Κρατήστε τη σύριγγα με το άκρο προς τα άνω και ελέγξτε ότι δεν έχει αποφραχθεί το άκρο.</w:t>
            </w:r>
            <w:r w:rsidRPr="00C862E9">
              <w:rPr>
                <w:noProof/>
                <w:color w:val="auto"/>
                <w:sz w:val="22"/>
                <w:szCs w:val="22"/>
                <w:lang w:val="el-GR"/>
              </w:rPr>
              <w:t xml:space="preserve"> </w:t>
            </w:r>
          </w:p>
          <w:p w:rsidR="009B62E6" w:rsidRDefault="009B62E6" w:rsidP="00882259">
            <w:pPr>
              <w:pStyle w:val="Web"/>
              <w:spacing w:before="0" w:beforeAutospacing="0" w:after="0"/>
              <w:rPr>
                <w:noProof/>
                <w:sz w:val="22"/>
                <w:szCs w:val="22"/>
                <w:lang w:val="el-GR"/>
              </w:rPr>
            </w:pPr>
            <w:r w:rsidRPr="00C862E9">
              <w:rPr>
                <w:noProof/>
                <w:color w:val="auto"/>
                <w:sz w:val="22"/>
                <w:szCs w:val="22"/>
                <w:lang w:val="el-GR"/>
              </w:rPr>
              <w:t xml:space="preserve">5. </w:t>
            </w:r>
            <w:r w:rsidRPr="00C862E9">
              <w:rPr>
                <w:noProof/>
                <w:sz w:val="22"/>
                <w:szCs w:val="22"/>
                <w:lang w:val="el-GR"/>
              </w:rPr>
              <w:tab/>
            </w:r>
            <w:r w:rsidRPr="00C862E9">
              <w:rPr>
                <w:color w:val="auto"/>
                <w:sz w:val="22"/>
                <w:szCs w:val="22"/>
                <w:lang w:val="el-GR"/>
              </w:rPr>
              <w:t>Προσαρτήστε τη σύριγγα στο σωλήνα ενώ διατηρείτε την παραπάνω θέση.</w:t>
            </w:r>
            <w:r w:rsidRPr="00C862E9">
              <w:rPr>
                <w:noProof/>
                <w:color w:val="auto"/>
                <w:sz w:val="22"/>
                <w:szCs w:val="22"/>
                <w:lang w:val="el-GR"/>
              </w:rPr>
              <w:t xml:space="preserve"> </w:t>
            </w:r>
          </w:p>
          <w:p w:rsidR="009B62E6" w:rsidRDefault="009B62E6" w:rsidP="00882259">
            <w:pPr>
              <w:pStyle w:val="Web"/>
              <w:spacing w:before="0" w:beforeAutospacing="0" w:after="0"/>
              <w:rPr>
                <w:noProof/>
                <w:sz w:val="22"/>
                <w:szCs w:val="22"/>
                <w:lang w:val="el-GR"/>
              </w:rPr>
            </w:pPr>
            <w:r w:rsidRPr="00C862E9">
              <w:rPr>
                <w:noProof/>
                <w:color w:val="auto"/>
                <w:sz w:val="22"/>
                <w:szCs w:val="22"/>
                <w:lang w:val="el-GR"/>
              </w:rPr>
              <w:t xml:space="preserve">6. </w:t>
            </w:r>
            <w:r w:rsidRPr="00C862E9">
              <w:rPr>
                <w:noProof/>
                <w:sz w:val="22"/>
                <w:szCs w:val="22"/>
                <w:lang w:val="el-GR"/>
              </w:rPr>
              <w:tab/>
            </w:r>
            <w:r w:rsidRPr="00C862E9">
              <w:rPr>
                <w:color w:val="auto"/>
                <w:sz w:val="22"/>
                <w:szCs w:val="22"/>
                <w:lang w:val="el-GR"/>
              </w:rPr>
              <w:t>Ανακινήστε τη σύριγγα και τοποθετήστε την με το άκρο στραμμένο προς τα κάτω.</w:t>
            </w:r>
            <w:r w:rsidRPr="00C862E9">
              <w:rPr>
                <w:noProof/>
                <w:color w:val="auto"/>
                <w:sz w:val="22"/>
                <w:szCs w:val="22"/>
                <w:lang w:val="el-GR"/>
              </w:rPr>
              <w:t xml:space="preserve"> </w:t>
            </w:r>
            <w:proofErr w:type="spellStart"/>
            <w:r w:rsidRPr="00C862E9">
              <w:rPr>
                <w:color w:val="auto"/>
                <w:sz w:val="22"/>
                <w:szCs w:val="22"/>
                <w:lang w:val="el-GR"/>
              </w:rPr>
              <w:t>Εγχύστε</w:t>
            </w:r>
            <w:proofErr w:type="spellEnd"/>
            <w:r w:rsidRPr="00C862E9">
              <w:rPr>
                <w:color w:val="auto"/>
                <w:sz w:val="22"/>
                <w:szCs w:val="22"/>
                <w:lang w:val="el-GR"/>
              </w:rPr>
              <w:t xml:space="preserve"> αμέσως 5</w:t>
            </w:r>
            <w:r w:rsidRPr="00C862E9">
              <w:rPr>
                <w:color w:val="auto"/>
                <w:sz w:val="22"/>
                <w:szCs w:val="22"/>
                <w:lang w:val="el-GR"/>
              </w:rPr>
              <w:noBreakHyphen/>
              <w:t>10 ml</w:t>
            </w:r>
            <w:r w:rsidRPr="00C862E9">
              <w:rPr>
                <w:noProof/>
                <w:color w:val="auto"/>
                <w:sz w:val="22"/>
                <w:szCs w:val="22"/>
                <w:lang w:val="el-GR"/>
              </w:rPr>
              <w:t xml:space="preserve"> </w:t>
            </w:r>
            <w:r w:rsidRPr="00C862E9">
              <w:rPr>
                <w:color w:val="auto"/>
                <w:sz w:val="22"/>
                <w:szCs w:val="22"/>
                <w:lang w:val="el-GR"/>
              </w:rPr>
              <w:t>στο σωλήνα.</w:t>
            </w:r>
            <w:r w:rsidRPr="00C862E9">
              <w:rPr>
                <w:noProof/>
                <w:color w:val="auto"/>
                <w:sz w:val="22"/>
                <w:szCs w:val="22"/>
                <w:lang w:val="el-GR"/>
              </w:rPr>
              <w:t xml:space="preserve"> </w:t>
            </w:r>
            <w:r w:rsidRPr="00C862E9">
              <w:rPr>
                <w:color w:val="auto"/>
                <w:sz w:val="22"/>
                <w:szCs w:val="22"/>
                <w:lang w:val="el-GR"/>
              </w:rPr>
              <w:t>Αναστρέψτε τη σύριγγα μετά την έγχυση και ανακινήστε (η σύριγγα πρέπει να διατηρείται με</w:t>
            </w:r>
            <w:r w:rsidRPr="00C862E9">
              <w:rPr>
                <w:noProof/>
                <w:color w:val="auto"/>
                <w:sz w:val="22"/>
                <w:szCs w:val="22"/>
                <w:lang w:val="el-GR"/>
              </w:rPr>
              <w:t xml:space="preserve"> </w:t>
            </w:r>
            <w:r w:rsidRPr="00C862E9">
              <w:rPr>
                <w:color w:val="auto"/>
                <w:sz w:val="22"/>
                <w:szCs w:val="22"/>
                <w:lang w:val="el-GR"/>
              </w:rPr>
              <w:t>το άκρο στραμμένο προς τα επάνω για να αποφύγετε την απόφραξη του άκρου).</w:t>
            </w:r>
            <w:r w:rsidRPr="00C862E9">
              <w:rPr>
                <w:noProof/>
                <w:color w:val="auto"/>
                <w:sz w:val="22"/>
                <w:szCs w:val="22"/>
                <w:lang w:val="el-GR"/>
              </w:rPr>
              <w:t xml:space="preserve"> </w:t>
            </w:r>
          </w:p>
          <w:p w:rsidR="009B62E6" w:rsidRDefault="009B62E6" w:rsidP="00882259">
            <w:pPr>
              <w:pStyle w:val="Web"/>
              <w:spacing w:before="0" w:beforeAutospacing="0" w:after="0"/>
              <w:rPr>
                <w:noProof/>
                <w:sz w:val="22"/>
                <w:szCs w:val="22"/>
                <w:lang w:val="el-GR"/>
              </w:rPr>
            </w:pPr>
            <w:r w:rsidRPr="00C862E9">
              <w:rPr>
                <w:noProof/>
                <w:color w:val="auto"/>
                <w:sz w:val="22"/>
                <w:szCs w:val="22"/>
                <w:lang w:val="el-GR"/>
              </w:rPr>
              <w:t xml:space="preserve">7. </w:t>
            </w:r>
            <w:r w:rsidRPr="00C862E9">
              <w:rPr>
                <w:noProof/>
                <w:sz w:val="22"/>
                <w:szCs w:val="22"/>
                <w:lang w:val="el-GR"/>
              </w:rPr>
              <w:tab/>
            </w:r>
            <w:r w:rsidRPr="00C862E9">
              <w:rPr>
                <w:color w:val="auto"/>
                <w:sz w:val="22"/>
                <w:szCs w:val="22"/>
                <w:lang w:val="el-GR"/>
              </w:rPr>
              <w:t xml:space="preserve">Στρέψτε τη σύριγγα με το άκρο προς τα κάτω και </w:t>
            </w:r>
            <w:proofErr w:type="spellStart"/>
            <w:r w:rsidRPr="00C862E9">
              <w:rPr>
                <w:color w:val="auto"/>
                <w:sz w:val="22"/>
                <w:szCs w:val="22"/>
                <w:lang w:val="el-GR"/>
              </w:rPr>
              <w:t>εγχύστε</w:t>
            </w:r>
            <w:proofErr w:type="spellEnd"/>
            <w:r w:rsidRPr="00C862E9">
              <w:rPr>
                <w:color w:val="auto"/>
                <w:sz w:val="22"/>
                <w:szCs w:val="22"/>
                <w:lang w:val="el-GR"/>
              </w:rPr>
              <w:t xml:space="preserve"> αμέσως ακόμα 5</w:t>
            </w:r>
            <w:r w:rsidRPr="00C862E9">
              <w:rPr>
                <w:color w:val="auto"/>
                <w:sz w:val="22"/>
                <w:szCs w:val="22"/>
                <w:lang w:val="el-GR"/>
              </w:rPr>
              <w:noBreakHyphen/>
              <w:t>10 ml στο σωλήνα.</w:t>
            </w:r>
            <w:r w:rsidRPr="00C862E9">
              <w:rPr>
                <w:noProof/>
                <w:color w:val="auto"/>
                <w:sz w:val="22"/>
                <w:szCs w:val="22"/>
                <w:lang w:val="el-GR"/>
              </w:rPr>
              <w:t xml:space="preserve"> </w:t>
            </w:r>
            <w:r w:rsidRPr="00C862E9">
              <w:rPr>
                <w:color w:val="auto"/>
                <w:sz w:val="22"/>
                <w:szCs w:val="22"/>
                <w:lang w:val="el-GR"/>
              </w:rPr>
              <w:t>Επαναλάβετε αυτή τη διαδικασία μέχρι να αδειάσει η σύριγγα.</w:t>
            </w:r>
            <w:r w:rsidRPr="00C862E9">
              <w:rPr>
                <w:noProof/>
                <w:color w:val="auto"/>
                <w:sz w:val="22"/>
                <w:szCs w:val="22"/>
                <w:lang w:val="el-GR"/>
              </w:rPr>
              <w:t xml:space="preserve"> </w:t>
            </w:r>
          </w:p>
          <w:p w:rsidR="009B62E6" w:rsidRDefault="009B62E6" w:rsidP="00882259">
            <w:pPr>
              <w:pStyle w:val="Web"/>
              <w:spacing w:before="0" w:beforeAutospacing="0" w:after="0"/>
            </w:pPr>
            <w:r w:rsidRPr="00C862E9">
              <w:rPr>
                <w:noProof/>
                <w:color w:val="auto"/>
                <w:sz w:val="22"/>
                <w:szCs w:val="22"/>
                <w:lang w:val="el-GR"/>
              </w:rPr>
              <w:t xml:space="preserve">8. </w:t>
            </w:r>
            <w:r w:rsidRPr="00C862E9">
              <w:rPr>
                <w:noProof/>
                <w:sz w:val="22"/>
                <w:szCs w:val="22"/>
                <w:lang w:val="el-GR"/>
              </w:rPr>
              <w:tab/>
            </w:r>
            <w:r w:rsidRPr="00C862E9">
              <w:rPr>
                <w:color w:val="auto"/>
                <w:sz w:val="22"/>
                <w:szCs w:val="22"/>
                <w:lang w:val="el-GR"/>
              </w:rPr>
              <w:t xml:space="preserve">Πληρώστε τη σύριγγα με 25 ml νερού και 5 ml αέρα και επαναλάβετε το βήμα 6 εάν είναι απαραίτητο για να </w:t>
            </w:r>
            <w:proofErr w:type="spellStart"/>
            <w:r w:rsidRPr="00C862E9">
              <w:rPr>
                <w:color w:val="auto"/>
                <w:sz w:val="22"/>
                <w:szCs w:val="22"/>
                <w:lang w:val="el-GR"/>
              </w:rPr>
              <w:t>εκπλύνετε</w:t>
            </w:r>
            <w:proofErr w:type="spellEnd"/>
            <w:r w:rsidRPr="00C862E9">
              <w:rPr>
                <w:noProof/>
                <w:color w:val="auto"/>
                <w:sz w:val="22"/>
                <w:szCs w:val="22"/>
                <w:lang w:val="el-GR"/>
              </w:rPr>
              <w:t xml:space="preserve"> </w:t>
            </w:r>
            <w:r w:rsidRPr="00C862E9">
              <w:rPr>
                <w:color w:val="auto"/>
                <w:sz w:val="22"/>
                <w:szCs w:val="22"/>
                <w:lang w:val="el-GR"/>
              </w:rPr>
              <w:t>τυχόν ίζημα που έχει απομείνει στη σύριγγα.</w:t>
            </w:r>
            <w:r w:rsidRPr="00C862E9">
              <w:rPr>
                <w:noProof/>
                <w:color w:val="auto"/>
                <w:sz w:val="22"/>
                <w:szCs w:val="22"/>
                <w:lang w:val="el-GR"/>
              </w:rPr>
              <w:t xml:space="preserve"> </w:t>
            </w:r>
            <w:r w:rsidRPr="00C862E9">
              <w:rPr>
                <w:color w:val="auto"/>
                <w:sz w:val="22"/>
                <w:szCs w:val="22"/>
                <w:lang w:val="el-GR"/>
              </w:rPr>
              <w:t>Για κάποιους σωλήνες, απαιτούνται 50 ml νερού.</w:t>
            </w:r>
          </w:p>
        </w:tc>
      </w:tr>
    </w:tbl>
    <w:p w:rsidR="009B62E6" w:rsidRDefault="009B62E6">
      <w:pPr>
        <w:tabs>
          <w:tab w:val="clear" w:pos="567"/>
        </w:tabs>
        <w:spacing w:line="240" w:lineRule="auto"/>
        <w:rPr>
          <w:lang w:val="el-GR"/>
        </w:rPr>
      </w:pPr>
    </w:p>
    <w:p w:rsidR="009B62E6" w:rsidRPr="00C862E9" w:rsidRDefault="009B62E6">
      <w:pPr>
        <w:tabs>
          <w:tab w:val="clear" w:pos="567"/>
        </w:tabs>
        <w:spacing w:line="240" w:lineRule="auto"/>
        <w:rPr>
          <w:noProof/>
          <w:lang w:val="el-GR"/>
        </w:rPr>
      </w:pPr>
      <w:r w:rsidRPr="00C862E9">
        <w:rPr>
          <w:lang w:val="el-GR"/>
        </w:rPr>
        <w:t>Κάθε προϊόν που δεν έχει χρησιμοποιηθεί ή υπόλειμμα πρέπει να απορριφθεί σύμφωνα με τις κατά τόπους ισχύουσες σχετικές διατάξεις.</w:t>
      </w:r>
    </w:p>
    <w:p w:rsidR="009B62E6" w:rsidRPr="00C862E9" w:rsidRDefault="009B62E6">
      <w:pPr>
        <w:tabs>
          <w:tab w:val="clear" w:pos="567"/>
        </w:tabs>
        <w:spacing w:line="240" w:lineRule="auto"/>
        <w:rPr>
          <w:noProof/>
          <w:lang w:val="el-GR"/>
        </w:rPr>
      </w:pPr>
    </w:p>
    <w:p w:rsidR="009B62E6" w:rsidRPr="00C862E9" w:rsidRDefault="009B62E6">
      <w:pPr>
        <w:rPr>
          <w:noProof/>
          <w:lang w:val="el-GR"/>
        </w:rPr>
      </w:pPr>
      <w:r w:rsidRPr="00C862E9">
        <w:rPr>
          <w:u w:val="single"/>
          <w:lang w:val="el-GR"/>
        </w:rPr>
        <w:t xml:space="preserve">Ιδιαίτερες προφυλάξεις για την απόρριψη </w:t>
      </w:r>
    </w:p>
    <w:p w:rsidR="009B62E6" w:rsidRPr="00C862E9" w:rsidRDefault="009B62E6">
      <w:pPr>
        <w:rPr>
          <w:noProof/>
          <w:lang w:val="el-GR"/>
        </w:rPr>
      </w:pPr>
      <w:r w:rsidRPr="00C862E9">
        <w:rPr>
          <w:lang w:val="el-GR"/>
        </w:rPr>
        <w:t>Καμία ειδική υποχρέωση</w:t>
      </w:r>
      <w:r>
        <w:rPr>
          <w:lang w:val="el-GR"/>
        </w:rPr>
        <w:t>.</w:t>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p>
    <w:p w:rsidR="009B62E6" w:rsidRPr="00C041DC" w:rsidRDefault="009B62E6">
      <w:pPr>
        <w:widowControl w:val="0"/>
        <w:outlineLvl w:val="0"/>
        <w:rPr>
          <w:b/>
          <w:bCs/>
          <w:noProof/>
          <w:lang w:val="el-GR"/>
        </w:rPr>
      </w:pPr>
      <w:r>
        <w:rPr>
          <w:b/>
          <w:bCs/>
          <w:noProof/>
          <w:lang w:val="el-GR"/>
        </w:rPr>
        <w:t>7</w:t>
      </w:r>
      <w:r>
        <w:rPr>
          <w:b/>
          <w:bCs/>
          <w:i/>
          <w:iCs/>
          <w:noProof/>
          <w:lang w:val="el-GR"/>
        </w:rPr>
        <w:t>.</w:t>
      </w:r>
      <w:r>
        <w:rPr>
          <w:b/>
          <w:bCs/>
          <w:i/>
          <w:iCs/>
          <w:noProof/>
          <w:lang w:val="el-GR"/>
        </w:rPr>
        <w:tab/>
      </w:r>
      <w:r w:rsidRPr="00C862E9">
        <w:rPr>
          <w:b/>
          <w:bCs/>
          <w:lang w:val="el-GR"/>
        </w:rPr>
        <w:t>ΚΑΤΟΧΟΣ</w:t>
      </w:r>
      <w:r>
        <w:rPr>
          <w:b/>
          <w:bCs/>
          <w:lang w:val="el-GR"/>
        </w:rPr>
        <w:t xml:space="preserve"> </w:t>
      </w:r>
      <w:r w:rsidRPr="00C862E9">
        <w:rPr>
          <w:b/>
          <w:bCs/>
          <w:lang w:val="el-GR"/>
        </w:rPr>
        <w:t>ΤΗΣ</w:t>
      </w:r>
      <w:r>
        <w:rPr>
          <w:b/>
          <w:bCs/>
          <w:lang w:val="el-GR"/>
        </w:rPr>
        <w:t xml:space="preserve"> </w:t>
      </w:r>
      <w:r w:rsidRPr="00C862E9">
        <w:rPr>
          <w:b/>
          <w:bCs/>
          <w:lang w:val="el-GR"/>
        </w:rPr>
        <w:t>ΑΔΕΙΑΣ</w:t>
      </w:r>
      <w:r>
        <w:rPr>
          <w:b/>
          <w:bCs/>
          <w:lang w:val="el-GR"/>
        </w:rPr>
        <w:t xml:space="preserve"> </w:t>
      </w:r>
      <w:r w:rsidRPr="00C862E9">
        <w:rPr>
          <w:b/>
          <w:bCs/>
          <w:lang w:val="el-GR"/>
        </w:rPr>
        <w:t>ΚΥΚΛΟΦΟΡΙΑΣ</w:t>
      </w:r>
    </w:p>
    <w:p w:rsidR="009B62E6" w:rsidRPr="00C041DC" w:rsidRDefault="009B62E6">
      <w:pPr>
        <w:tabs>
          <w:tab w:val="clear" w:pos="567"/>
        </w:tabs>
        <w:spacing w:line="240" w:lineRule="auto"/>
        <w:rPr>
          <w:noProof/>
          <w:lang w:val="el-GR"/>
        </w:rPr>
      </w:pPr>
    </w:p>
    <w:p w:rsidR="009B62E6" w:rsidRPr="003C47D1" w:rsidRDefault="009B62E6" w:rsidP="00C041DC">
      <w:pPr>
        <w:autoSpaceDE w:val="0"/>
        <w:autoSpaceDN w:val="0"/>
        <w:adjustRightInd w:val="0"/>
        <w:jc w:val="both"/>
        <w:rPr>
          <w:rFonts w:eastAsia="MS Mincho"/>
          <w:bCs/>
          <w:color w:val="000000"/>
          <w:lang w:val="el-GR"/>
        </w:rPr>
      </w:pPr>
      <w:proofErr w:type="spellStart"/>
      <w:r w:rsidRPr="003C47D1">
        <w:rPr>
          <w:rFonts w:eastAsia="MS Mincho"/>
          <w:bCs/>
          <w:color w:val="000000"/>
          <w:lang w:val="en-US"/>
        </w:rPr>
        <w:t>sanofi</w:t>
      </w:r>
      <w:proofErr w:type="spellEnd"/>
      <w:r w:rsidRPr="003C47D1">
        <w:rPr>
          <w:rFonts w:eastAsia="MS Mincho"/>
          <w:bCs/>
          <w:color w:val="000000"/>
          <w:lang w:val="el-GR"/>
        </w:rPr>
        <w:t>-</w:t>
      </w:r>
      <w:proofErr w:type="spellStart"/>
      <w:r w:rsidRPr="003C47D1">
        <w:rPr>
          <w:rFonts w:eastAsia="MS Mincho"/>
          <w:bCs/>
          <w:color w:val="000000"/>
          <w:lang w:val="en-US"/>
        </w:rPr>
        <w:t>aventis</w:t>
      </w:r>
      <w:proofErr w:type="spellEnd"/>
      <w:r w:rsidRPr="003C47D1">
        <w:rPr>
          <w:rFonts w:eastAsia="MS Mincho"/>
          <w:bCs/>
          <w:color w:val="000000"/>
          <w:lang w:val="el-GR"/>
        </w:rPr>
        <w:t xml:space="preserve"> </w:t>
      </w:r>
      <w:r w:rsidRPr="003C47D1">
        <w:rPr>
          <w:rFonts w:eastAsia="MS Mincho"/>
          <w:bCs/>
          <w:color w:val="000000"/>
          <w:lang w:val="en-US"/>
        </w:rPr>
        <w:t>AEBE</w:t>
      </w:r>
    </w:p>
    <w:p w:rsidR="009B62E6" w:rsidRPr="004F3BB0" w:rsidRDefault="009B62E6" w:rsidP="00C041DC">
      <w:pPr>
        <w:autoSpaceDE w:val="0"/>
        <w:autoSpaceDN w:val="0"/>
        <w:adjustRightInd w:val="0"/>
        <w:ind w:firstLine="11"/>
        <w:jc w:val="both"/>
        <w:rPr>
          <w:rFonts w:eastAsia="MS Mincho"/>
          <w:color w:val="000000"/>
          <w:lang w:val="el-GR"/>
        </w:rPr>
      </w:pPr>
      <w:proofErr w:type="spellStart"/>
      <w:r w:rsidRPr="004F3BB0">
        <w:rPr>
          <w:rFonts w:eastAsia="MS Mincho"/>
          <w:color w:val="000000"/>
          <w:lang w:val="el-GR"/>
        </w:rPr>
        <w:t>Λεωφ</w:t>
      </w:r>
      <w:proofErr w:type="spellEnd"/>
      <w:r w:rsidRPr="004F3BB0">
        <w:rPr>
          <w:rFonts w:eastAsia="MS Mincho"/>
          <w:color w:val="000000"/>
          <w:lang w:val="el-GR"/>
        </w:rPr>
        <w:t>. Συγγρού 348 – Κτίριο Α</w:t>
      </w:r>
    </w:p>
    <w:p w:rsidR="009B62E6" w:rsidRPr="004F3BB0" w:rsidRDefault="009B62E6" w:rsidP="00C041DC">
      <w:pPr>
        <w:autoSpaceDE w:val="0"/>
        <w:autoSpaceDN w:val="0"/>
        <w:adjustRightInd w:val="0"/>
        <w:ind w:firstLine="11"/>
        <w:jc w:val="both"/>
        <w:rPr>
          <w:rFonts w:eastAsia="MS Mincho"/>
          <w:color w:val="000000"/>
          <w:lang w:val="el-GR"/>
        </w:rPr>
      </w:pPr>
      <w:r w:rsidRPr="004F3BB0">
        <w:rPr>
          <w:rFonts w:eastAsia="MS Mincho"/>
          <w:color w:val="000000"/>
          <w:lang w:val="el-GR"/>
        </w:rPr>
        <w:t xml:space="preserve">176 74 Καλλιθέα – Αθήνα </w:t>
      </w:r>
    </w:p>
    <w:p w:rsidR="009B62E6" w:rsidRPr="00C862E9" w:rsidRDefault="009B62E6">
      <w:pPr>
        <w:tabs>
          <w:tab w:val="clear" w:pos="567"/>
        </w:tabs>
        <w:spacing w:line="240" w:lineRule="auto"/>
        <w:rPr>
          <w:noProof/>
          <w:lang w:val="el-GR"/>
        </w:rPr>
      </w:pPr>
      <w:proofErr w:type="spellStart"/>
      <w:r w:rsidRPr="004F3BB0">
        <w:rPr>
          <w:rFonts w:eastAsia="MS Mincho"/>
          <w:color w:val="000000"/>
          <w:lang w:val="el-GR"/>
        </w:rPr>
        <w:t>Τηλ</w:t>
      </w:r>
      <w:proofErr w:type="spellEnd"/>
      <w:r w:rsidRPr="004F3BB0">
        <w:rPr>
          <w:rFonts w:eastAsia="MS Mincho"/>
          <w:color w:val="000000"/>
          <w:lang w:val="el-GR"/>
        </w:rPr>
        <w:t>.: +30 210 90 01 600</w:t>
      </w:r>
      <w:r w:rsidRPr="00C862E9" w:rsidDel="00A04105">
        <w:rPr>
          <w:lang w:val="el-GR"/>
        </w:rPr>
        <w:t xml:space="preserve"> </w:t>
      </w:r>
    </w:p>
    <w:p w:rsidR="009B62E6" w:rsidRPr="00353B8D" w:rsidRDefault="009B62E6">
      <w:pPr>
        <w:tabs>
          <w:tab w:val="clear" w:pos="567"/>
        </w:tabs>
        <w:spacing w:line="240" w:lineRule="auto"/>
        <w:rPr>
          <w:noProof/>
          <w:lang w:val="el-GR"/>
        </w:rPr>
      </w:pPr>
    </w:p>
    <w:p w:rsidR="009B62E6" w:rsidRPr="00353B8D" w:rsidRDefault="009B62E6">
      <w:pPr>
        <w:tabs>
          <w:tab w:val="clear" w:pos="567"/>
        </w:tabs>
        <w:spacing w:line="240" w:lineRule="auto"/>
        <w:rPr>
          <w:noProof/>
          <w:lang w:val="el-GR"/>
        </w:rPr>
      </w:pPr>
    </w:p>
    <w:p w:rsidR="009B62E6" w:rsidRPr="00C862E9" w:rsidRDefault="009B62E6">
      <w:pPr>
        <w:widowControl w:val="0"/>
        <w:outlineLvl w:val="0"/>
        <w:rPr>
          <w:b/>
          <w:bCs/>
          <w:noProof/>
          <w:lang w:val="el-GR"/>
        </w:rPr>
      </w:pPr>
      <w:r w:rsidRPr="00C862E9">
        <w:rPr>
          <w:b/>
          <w:bCs/>
          <w:noProof/>
          <w:lang w:val="el-GR"/>
        </w:rPr>
        <w:t>8</w:t>
      </w:r>
      <w:r w:rsidRPr="00C862E9">
        <w:rPr>
          <w:b/>
          <w:bCs/>
          <w:i/>
          <w:iCs/>
          <w:noProof/>
          <w:lang w:val="el-GR"/>
        </w:rPr>
        <w:t>.</w:t>
      </w:r>
      <w:r w:rsidRPr="00C862E9">
        <w:rPr>
          <w:b/>
          <w:bCs/>
          <w:i/>
          <w:iCs/>
          <w:noProof/>
          <w:lang w:val="el-GR"/>
        </w:rPr>
        <w:tab/>
      </w:r>
      <w:r w:rsidRPr="00C862E9">
        <w:rPr>
          <w:b/>
          <w:bCs/>
          <w:lang w:val="el-GR"/>
        </w:rPr>
        <w:t>ΑΡΙΘΜΟΣ(ΟΙ) ΑΔΕΙΑΣ ΚΥΚΛΟΦΟΡΙΑΣ</w:t>
      </w:r>
      <w:r w:rsidRPr="00C862E9">
        <w:rPr>
          <w:b/>
          <w:bCs/>
          <w:noProof/>
          <w:lang w:val="el-GR"/>
        </w:rPr>
        <w:t xml:space="preserve"> </w:t>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r w:rsidRPr="00C862E9">
        <w:rPr>
          <w:noProof/>
          <w:lang w:val="el-GR"/>
        </w:rPr>
        <w:tab/>
      </w:r>
    </w:p>
    <w:p w:rsidR="009B62E6" w:rsidRPr="00C862E9" w:rsidRDefault="009B62E6">
      <w:pPr>
        <w:tabs>
          <w:tab w:val="clear" w:pos="567"/>
        </w:tabs>
        <w:spacing w:line="240" w:lineRule="auto"/>
        <w:rPr>
          <w:noProof/>
          <w:lang w:val="el-GR"/>
        </w:rPr>
      </w:pPr>
    </w:p>
    <w:p w:rsidR="009B62E6" w:rsidRPr="00C862E9" w:rsidRDefault="009B62E6">
      <w:pPr>
        <w:tabs>
          <w:tab w:val="clear" w:pos="567"/>
        </w:tabs>
        <w:spacing w:line="240" w:lineRule="auto"/>
        <w:rPr>
          <w:noProof/>
          <w:lang w:val="el-GR"/>
        </w:rPr>
      </w:pPr>
    </w:p>
    <w:p w:rsidR="009B62E6" w:rsidRPr="00C862E9" w:rsidRDefault="009B62E6">
      <w:pPr>
        <w:widowControl w:val="0"/>
        <w:outlineLvl w:val="0"/>
        <w:rPr>
          <w:b/>
          <w:bCs/>
          <w:i/>
          <w:iCs/>
          <w:noProof/>
          <w:lang w:val="el-GR"/>
        </w:rPr>
      </w:pPr>
      <w:r w:rsidRPr="00C862E9">
        <w:rPr>
          <w:b/>
          <w:bCs/>
          <w:noProof/>
          <w:lang w:val="el-GR"/>
        </w:rPr>
        <w:t>9.</w:t>
      </w:r>
      <w:r w:rsidRPr="00C862E9">
        <w:rPr>
          <w:b/>
          <w:bCs/>
          <w:i/>
          <w:iCs/>
          <w:noProof/>
          <w:lang w:val="el-GR"/>
        </w:rPr>
        <w:tab/>
      </w:r>
      <w:r w:rsidRPr="00C862E9">
        <w:rPr>
          <w:b/>
          <w:bCs/>
          <w:lang w:val="el-GR"/>
        </w:rPr>
        <w:t>ΗΜΕΡΟΜΗΝΙΑ ΠΡΩΤΗΣ ΕΓΚΡΙΣΗΣ / ΑΝΑΝΕΩΣΗΣ ΤΗΣ ΑΔΕΙΑΣ</w:t>
      </w:r>
    </w:p>
    <w:p w:rsidR="009B62E6" w:rsidRPr="00C862E9" w:rsidRDefault="009B62E6">
      <w:pPr>
        <w:tabs>
          <w:tab w:val="clear" w:pos="567"/>
        </w:tabs>
        <w:spacing w:line="240" w:lineRule="auto"/>
        <w:rPr>
          <w:noProof/>
          <w:lang w:val="el-GR"/>
        </w:rPr>
      </w:pPr>
    </w:p>
    <w:p w:rsidR="009B62E6" w:rsidRDefault="009B62E6">
      <w:pPr>
        <w:tabs>
          <w:tab w:val="clear" w:pos="567"/>
        </w:tabs>
        <w:spacing w:line="240" w:lineRule="auto"/>
        <w:rPr>
          <w:noProof/>
          <w:lang w:val="el-GR"/>
        </w:rPr>
      </w:pPr>
      <w:r>
        <w:rPr>
          <w:lang w:val="el-GR"/>
        </w:rPr>
        <w:t>Ημερομηνία πρώτης έγκρισης: 16 Μαΐου 2011</w:t>
      </w:r>
    </w:p>
    <w:p w:rsidR="009B62E6" w:rsidRPr="00353B8D" w:rsidRDefault="009B62E6">
      <w:pPr>
        <w:tabs>
          <w:tab w:val="clear" w:pos="567"/>
        </w:tabs>
        <w:spacing w:line="240" w:lineRule="auto"/>
        <w:rPr>
          <w:noProof/>
          <w:lang w:val="el-GR"/>
        </w:rPr>
      </w:pPr>
    </w:p>
    <w:p w:rsidR="009B62E6" w:rsidRPr="00353B8D" w:rsidRDefault="009B62E6">
      <w:pPr>
        <w:tabs>
          <w:tab w:val="clear" w:pos="567"/>
        </w:tabs>
        <w:spacing w:line="240" w:lineRule="auto"/>
        <w:rPr>
          <w:noProof/>
          <w:lang w:val="el-GR"/>
        </w:rPr>
      </w:pPr>
    </w:p>
    <w:p w:rsidR="009B62E6" w:rsidRPr="00C862E9" w:rsidRDefault="009B62E6">
      <w:pPr>
        <w:widowControl w:val="0"/>
        <w:outlineLvl w:val="0"/>
        <w:rPr>
          <w:b/>
          <w:bCs/>
          <w:noProof/>
          <w:lang w:val="el-GR"/>
        </w:rPr>
      </w:pPr>
      <w:r w:rsidRPr="00C862E9">
        <w:rPr>
          <w:b/>
          <w:bCs/>
          <w:noProof/>
          <w:lang w:val="el-GR"/>
        </w:rPr>
        <w:t>10</w:t>
      </w:r>
      <w:r w:rsidRPr="00C862E9">
        <w:rPr>
          <w:b/>
          <w:bCs/>
          <w:i/>
          <w:iCs/>
          <w:noProof/>
          <w:lang w:val="el-GR"/>
        </w:rPr>
        <w:t>.</w:t>
      </w:r>
      <w:r w:rsidRPr="00C862E9">
        <w:rPr>
          <w:b/>
          <w:bCs/>
          <w:i/>
          <w:iCs/>
          <w:noProof/>
          <w:lang w:val="el-GR"/>
        </w:rPr>
        <w:tab/>
      </w:r>
      <w:r w:rsidRPr="00C862E9">
        <w:rPr>
          <w:b/>
          <w:bCs/>
          <w:i/>
          <w:iCs/>
          <w:noProof/>
          <w:lang w:val="el-GR"/>
        </w:rPr>
        <w:tab/>
      </w:r>
      <w:r w:rsidRPr="00C862E9">
        <w:rPr>
          <w:b/>
          <w:bCs/>
          <w:lang w:val="el-GR"/>
        </w:rPr>
        <w:t>ΗΜΕΡΟΜΗΝΙΑ ΑΝΑΘΕΩΡΗΣΗΣ ΤΟΥ ΚΕΙΜΕΝΟΥ</w:t>
      </w:r>
    </w:p>
    <w:p w:rsidR="009B62E6" w:rsidRPr="00C862E9" w:rsidRDefault="009B62E6">
      <w:pPr>
        <w:tabs>
          <w:tab w:val="clear" w:pos="567"/>
        </w:tabs>
        <w:spacing w:line="240" w:lineRule="auto"/>
        <w:rPr>
          <w:noProof/>
          <w:lang w:val="el-GR"/>
        </w:rPr>
      </w:pPr>
    </w:p>
    <w:p w:rsidR="009B62E6" w:rsidRPr="00882259" w:rsidRDefault="009B62E6" w:rsidP="000968D9"/>
    <w:sectPr w:rsidR="009B62E6" w:rsidRPr="00882259" w:rsidSect="009F019D">
      <w:footerReference w:type="even" r:id="rId8"/>
      <w:footerReference w:type="default" r:id="rId9"/>
      <w:footerReference w:type="first" r:id="rId10"/>
      <w:endnotePr>
        <w:numFmt w:val="decimal"/>
      </w:endnotePr>
      <w:pgSz w:w="11907" w:h="16840" w:code="9"/>
      <w:pgMar w:top="1134" w:right="1418" w:bottom="1134" w:left="1418" w:header="737" w:footer="737"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47" w:rsidRDefault="00857747">
      <w:pPr>
        <w:spacing w:line="240" w:lineRule="auto"/>
        <w:rPr>
          <w:rFonts w:ascii="Calibri" w:hAnsi="Calibri" w:cs="Calibri"/>
        </w:rPr>
      </w:pPr>
      <w:r>
        <w:rPr>
          <w:rFonts w:ascii="Calibri" w:hAnsi="Calibri" w:cs="Calibri"/>
        </w:rPr>
        <w:separator/>
      </w:r>
    </w:p>
  </w:endnote>
  <w:endnote w:type="continuationSeparator" w:id="0">
    <w:p w:rsidR="00857747" w:rsidRDefault="00857747">
      <w:pPr>
        <w:spacing w:line="240" w:lineRule="auto"/>
        <w:rPr>
          <w:rFonts w:ascii="Calibri" w:hAnsi="Calibri" w:cs="Calibri"/>
        </w:rPr>
      </w:pPr>
      <w:r>
        <w:rPr>
          <w:rFonts w:ascii="Calibri" w:hAnsi="Calibri"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E6" w:rsidRDefault="009B62E6" w:rsidP="00D068C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62E6" w:rsidRDefault="009B62E6" w:rsidP="003257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E6" w:rsidRDefault="009B62E6" w:rsidP="00D068C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77A7">
      <w:rPr>
        <w:rStyle w:val="a5"/>
        <w:noProof/>
      </w:rPr>
      <w:t>2</w:t>
    </w:r>
    <w:r>
      <w:rPr>
        <w:rStyle w:val="a5"/>
      </w:rPr>
      <w:fldChar w:fldCharType="end"/>
    </w:r>
  </w:p>
  <w:p w:rsidR="009B62E6" w:rsidRPr="008841B0" w:rsidRDefault="009B62E6" w:rsidP="00614573">
    <w:pPr>
      <w:pStyle w:val="a4"/>
      <w:ind w:right="360"/>
      <w:rPr>
        <w:rFonts w:ascii="Arial" w:hAnsi="Arial" w:cs="Arial"/>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E6" w:rsidRDefault="009B62E6">
    <w:pPr>
      <w:pStyle w:val="a4"/>
      <w:rPr>
        <w:rFonts w:ascii="Calibri" w:hAnsi="Calibri" w:cs="Calibri"/>
      </w:rPr>
    </w:pPr>
    <w:r>
      <w:fldChar w:fldCharType="begin"/>
    </w:r>
    <w:r>
      <w:instrText xml:space="preserve"> EQ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47" w:rsidRDefault="00857747">
      <w:pPr>
        <w:spacing w:line="240" w:lineRule="auto"/>
        <w:rPr>
          <w:rFonts w:ascii="Calibri" w:hAnsi="Calibri" w:cs="Calibri"/>
        </w:rPr>
      </w:pPr>
      <w:r>
        <w:rPr>
          <w:rFonts w:ascii="Calibri" w:hAnsi="Calibri" w:cs="Calibri"/>
        </w:rPr>
        <w:separator/>
      </w:r>
    </w:p>
  </w:footnote>
  <w:footnote w:type="continuationSeparator" w:id="0">
    <w:p w:rsidR="00857747" w:rsidRDefault="00857747">
      <w:pPr>
        <w:spacing w:line="240" w:lineRule="auto"/>
        <w:rPr>
          <w:rFonts w:ascii="Calibri" w:hAnsi="Calibri" w:cs="Calibri"/>
        </w:rPr>
      </w:pPr>
      <w:r>
        <w:rPr>
          <w:rFonts w:ascii="Calibri" w:hAnsi="Calibri" w:cs="Calibr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2D4D"/>
    <w:multiLevelType w:val="hybridMultilevel"/>
    <w:tmpl w:val="F2346CDE"/>
    <w:lvl w:ilvl="0" w:tplc="4F5CD996">
      <w:numFmt w:val="bullet"/>
      <w:lvlText w:val="-"/>
      <w:lvlJc w:val="left"/>
      <w:pPr>
        <w:tabs>
          <w:tab w:val="num" w:pos="1065"/>
        </w:tabs>
        <w:ind w:left="1065" w:hanging="705"/>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3E2F57AB"/>
    <w:multiLevelType w:val="hybridMultilevel"/>
    <w:tmpl w:val="5D46A142"/>
    <w:lvl w:ilvl="0" w:tplc="083C24A6">
      <w:start w:val="1"/>
      <w:numFmt w:val="decimal"/>
      <w:lvlText w:val="%1)"/>
      <w:lvlJc w:val="left"/>
      <w:pPr>
        <w:ind w:left="927" w:hanging="360"/>
      </w:pPr>
      <w:rPr>
        <w:rFonts w:cs="Times New Roman" w:hint="default"/>
      </w:rPr>
    </w:lvl>
    <w:lvl w:ilvl="1" w:tplc="04080019">
      <w:start w:val="1"/>
      <w:numFmt w:val="lowerLetter"/>
      <w:lvlText w:val="%2."/>
      <w:lvlJc w:val="left"/>
      <w:pPr>
        <w:ind w:left="1647" w:hanging="360"/>
      </w:pPr>
      <w:rPr>
        <w:rFonts w:cs="Times New Roman"/>
      </w:rPr>
    </w:lvl>
    <w:lvl w:ilvl="2" w:tplc="0408001B">
      <w:start w:val="1"/>
      <w:numFmt w:val="lowerRoman"/>
      <w:lvlText w:val="%3."/>
      <w:lvlJc w:val="right"/>
      <w:pPr>
        <w:ind w:left="2367" w:hanging="180"/>
      </w:pPr>
      <w:rPr>
        <w:rFonts w:cs="Times New Roman"/>
      </w:rPr>
    </w:lvl>
    <w:lvl w:ilvl="3" w:tplc="0408000F">
      <w:start w:val="1"/>
      <w:numFmt w:val="decimal"/>
      <w:lvlText w:val="%4."/>
      <w:lvlJc w:val="left"/>
      <w:pPr>
        <w:ind w:left="3087" w:hanging="360"/>
      </w:pPr>
      <w:rPr>
        <w:rFonts w:cs="Times New Roman"/>
      </w:rPr>
    </w:lvl>
    <w:lvl w:ilvl="4" w:tplc="04080019">
      <w:start w:val="1"/>
      <w:numFmt w:val="lowerLetter"/>
      <w:lvlText w:val="%5."/>
      <w:lvlJc w:val="left"/>
      <w:pPr>
        <w:ind w:left="3807" w:hanging="360"/>
      </w:pPr>
      <w:rPr>
        <w:rFonts w:cs="Times New Roman"/>
      </w:rPr>
    </w:lvl>
    <w:lvl w:ilvl="5" w:tplc="0408001B">
      <w:start w:val="1"/>
      <w:numFmt w:val="lowerRoman"/>
      <w:lvlText w:val="%6."/>
      <w:lvlJc w:val="right"/>
      <w:pPr>
        <w:ind w:left="4527" w:hanging="180"/>
      </w:pPr>
      <w:rPr>
        <w:rFonts w:cs="Times New Roman"/>
      </w:rPr>
    </w:lvl>
    <w:lvl w:ilvl="6" w:tplc="0408000F">
      <w:start w:val="1"/>
      <w:numFmt w:val="decimal"/>
      <w:lvlText w:val="%7."/>
      <w:lvlJc w:val="left"/>
      <w:pPr>
        <w:ind w:left="5247" w:hanging="360"/>
      </w:pPr>
      <w:rPr>
        <w:rFonts w:cs="Times New Roman"/>
      </w:rPr>
    </w:lvl>
    <w:lvl w:ilvl="7" w:tplc="04080019">
      <w:start w:val="1"/>
      <w:numFmt w:val="lowerLetter"/>
      <w:lvlText w:val="%8."/>
      <w:lvlJc w:val="left"/>
      <w:pPr>
        <w:ind w:left="5967" w:hanging="360"/>
      </w:pPr>
      <w:rPr>
        <w:rFonts w:cs="Times New Roman"/>
      </w:rPr>
    </w:lvl>
    <w:lvl w:ilvl="8" w:tplc="0408001B">
      <w:start w:val="1"/>
      <w:numFmt w:val="lowerRoman"/>
      <w:lvlText w:val="%9."/>
      <w:lvlJc w:val="right"/>
      <w:pPr>
        <w:ind w:left="6687"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567"/>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B5"/>
    <w:rsid w:val="00003B06"/>
    <w:rsid w:val="00004568"/>
    <w:rsid w:val="00005A6B"/>
    <w:rsid w:val="00013A05"/>
    <w:rsid w:val="00013A0B"/>
    <w:rsid w:val="000175CD"/>
    <w:rsid w:val="00030BEB"/>
    <w:rsid w:val="0003490F"/>
    <w:rsid w:val="00046280"/>
    <w:rsid w:val="000546B1"/>
    <w:rsid w:val="00054D12"/>
    <w:rsid w:val="000613CE"/>
    <w:rsid w:val="00066250"/>
    <w:rsid w:val="00071884"/>
    <w:rsid w:val="000726C0"/>
    <w:rsid w:val="0007379A"/>
    <w:rsid w:val="00083519"/>
    <w:rsid w:val="00085049"/>
    <w:rsid w:val="00086F86"/>
    <w:rsid w:val="00093619"/>
    <w:rsid w:val="000968D9"/>
    <w:rsid w:val="000A03CD"/>
    <w:rsid w:val="000B1653"/>
    <w:rsid w:val="000B30F7"/>
    <w:rsid w:val="000B506E"/>
    <w:rsid w:val="000B5072"/>
    <w:rsid w:val="000C453F"/>
    <w:rsid w:val="000D1EA4"/>
    <w:rsid w:val="000D419B"/>
    <w:rsid w:val="000D55EC"/>
    <w:rsid w:val="000E4967"/>
    <w:rsid w:val="000E6B50"/>
    <w:rsid w:val="000F2E40"/>
    <w:rsid w:val="00100A38"/>
    <w:rsid w:val="00100F7C"/>
    <w:rsid w:val="00104212"/>
    <w:rsid w:val="00107157"/>
    <w:rsid w:val="00110052"/>
    <w:rsid w:val="00115E10"/>
    <w:rsid w:val="0012344D"/>
    <w:rsid w:val="001245CC"/>
    <w:rsid w:val="00126390"/>
    <w:rsid w:val="001264B6"/>
    <w:rsid w:val="0013171F"/>
    <w:rsid w:val="00131E14"/>
    <w:rsid w:val="00132061"/>
    <w:rsid w:val="001339F7"/>
    <w:rsid w:val="0014339E"/>
    <w:rsid w:val="00146408"/>
    <w:rsid w:val="00150A70"/>
    <w:rsid w:val="001531EC"/>
    <w:rsid w:val="001632F1"/>
    <w:rsid w:val="00170889"/>
    <w:rsid w:val="00171E14"/>
    <w:rsid w:val="00181399"/>
    <w:rsid w:val="00183C1A"/>
    <w:rsid w:val="00196C61"/>
    <w:rsid w:val="001A0A8A"/>
    <w:rsid w:val="001A260C"/>
    <w:rsid w:val="001A3242"/>
    <w:rsid w:val="001A54E6"/>
    <w:rsid w:val="001B0568"/>
    <w:rsid w:val="001B1C22"/>
    <w:rsid w:val="001B4CBB"/>
    <w:rsid w:val="001B6AB3"/>
    <w:rsid w:val="001C162B"/>
    <w:rsid w:val="001C47F6"/>
    <w:rsid w:val="001D0C77"/>
    <w:rsid w:val="001D139C"/>
    <w:rsid w:val="001D292A"/>
    <w:rsid w:val="001D2F00"/>
    <w:rsid w:val="001D32C0"/>
    <w:rsid w:val="001D4403"/>
    <w:rsid w:val="001E00C6"/>
    <w:rsid w:val="001E092F"/>
    <w:rsid w:val="001E70E1"/>
    <w:rsid w:val="001F5D79"/>
    <w:rsid w:val="0020000F"/>
    <w:rsid w:val="00200197"/>
    <w:rsid w:val="0020325E"/>
    <w:rsid w:val="002207BF"/>
    <w:rsid w:val="00220DFB"/>
    <w:rsid w:val="00230776"/>
    <w:rsid w:val="00235DDE"/>
    <w:rsid w:val="00235FC2"/>
    <w:rsid w:val="00236B22"/>
    <w:rsid w:val="00244577"/>
    <w:rsid w:val="0025348D"/>
    <w:rsid w:val="00256E2B"/>
    <w:rsid w:val="00261308"/>
    <w:rsid w:val="00265DBE"/>
    <w:rsid w:val="00266BDD"/>
    <w:rsid w:val="002671D3"/>
    <w:rsid w:val="0027046D"/>
    <w:rsid w:val="00271993"/>
    <w:rsid w:val="00290E51"/>
    <w:rsid w:val="00291059"/>
    <w:rsid w:val="0029308C"/>
    <w:rsid w:val="002A4936"/>
    <w:rsid w:val="002A6346"/>
    <w:rsid w:val="002B5252"/>
    <w:rsid w:val="002B612C"/>
    <w:rsid w:val="002B7EE3"/>
    <w:rsid w:val="002C1549"/>
    <w:rsid w:val="002C3C7E"/>
    <w:rsid w:val="002D0640"/>
    <w:rsid w:val="002D6B37"/>
    <w:rsid w:val="002E3549"/>
    <w:rsid w:val="002F140E"/>
    <w:rsid w:val="002F312B"/>
    <w:rsid w:val="002F5A00"/>
    <w:rsid w:val="0030014E"/>
    <w:rsid w:val="00302333"/>
    <w:rsid w:val="00302788"/>
    <w:rsid w:val="0030453A"/>
    <w:rsid w:val="003124BA"/>
    <w:rsid w:val="00314378"/>
    <w:rsid w:val="00314B16"/>
    <w:rsid w:val="003251D8"/>
    <w:rsid w:val="00325731"/>
    <w:rsid w:val="00327903"/>
    <w:rsid w:val="00332B0E"/>
    <w:rsid w:val="00335A82"/>
    <w:rsid w:val="0033653E"/>
    <w:rsid w:val="00342CD2"/>
    <w:rsid w:val="00345231"/>
    <w:rsid w:val="00345263"/>
    <w:rsid w:val="00351EFE"/>
    <w:rsid w:val="00353B8D"/>
    <w:rsid w:val="00362510"/>
    <w:rsid w:val="00364014"/>
    <w:rsid w:val="00364404"/>
    <w:rsid w:val="003649A6"/>
    <w:rsid w:val="00367D39"/>
    <w:rsid w:val="00373AF2"/>
    <w:rsid w:val="00373BE5"/>
    <w:rsid w:val="00377CAA"/>
    <w:rsid w:val="00383FE5"/>
    <w:rsid w:val="00390CE2"/>
    <w:rsid w:val="00391480"/>
    <w:rsid w:val="00393FFC"/>
    <w:rsid w:val="003964FE"/>
    <w:rsid w:val="003A0D71"/>
    <w:rsid w:val="003A487C"/>
    <w:rsid w:val="003C2036"/>
    <w:rsid w:val="003C47D1"/>
    <w:rsid w:val="003C5BCB"/>
    <w:rsid w:val="003D48FF"/>
    <w:rsid w:val="003E2615"/>
    <w:rsid w:val="003E4768"/>
    <w:rsid w:val="003E74F4"/>
    <w:rsid w:val="003F0057"/>
    <w:rsid w:val="003F5405"/>
    <w:rsid w:val="00402C5D"/>
    <w:rsid w:val="0040484E"/>
    <w:rsid w:val="004071A8"/>
    <w:rsid w:val="00407FD0"/>
    <w:rsid w:val="00416C4C"/>
    <w:rsid w:val="0041787E"/>
    <w:rsid w:val="004232A9"/>
    <w:rsid w:val="00433A59"/>
    <w:rsid w:val="00435F5F"/>
    <w:rsid w:val="004405D1"/>
    <w:rsid w:val="0044311E"/>
    <w:rsid w:val="004517DA"/>
    <w:rsid w:val="00461602"/>
    <w:rsid w:val="004622D6"/>
    <w:rsid w:val="00463C7C"/>
    <w:rsid w:val="00463D81"/>
    <w:rsid w:val="00467883"/>
    <w:rsid w:val="004710AF"/>
    <w:rsid w:val="004728C7"/>
    <w:rsid w:val="0047315F"/>
    <w:rsid w:val="0047617F"/>
    <w:rsid w:val="00477A34"/>
    <w:rsid w:val="004802B1"/>
    <w:rsid w:val="00480630"/>
    <w:rsid w:val="004917AC"/>
    <w:rsid w:val="00493701"/>
    <w:rsid w:val="004A18C1"/>
    <w:rsid w:val="004A5275"/>
    <w:rsid w:val="004B6906"/>
    <w:rsid w:val="004B78F7"/>
    <w:rsid w:val="004C624E"/>
    <w:rsid w:val="004D11D3"/>
    <w:rsid w:val="004D5650"/>
    <w:rsid w:val="004D7B3A"/>
    <w:rsid w:val="004E0817"/>
    <w:rsid w:val="004E1218"/>
    <w:rsid w:val="004F1C72"/>
    <w:rsid w:val="004F3BB0"/>
    <w:rsid w:val="004F5C03"/>
    <w:rsid w:val="0050116A"/>
    <w:rsid w:val="00501CD9"/>
    <w:rsid w:val="00505755"/>
    <w:rsid w:val="00521394"/>
    <w:rsid w:val="005251E9"/>
    <w:rsid w:val="0053493C"/>
    <w:rsid w:val="005366B0"/>
    <w:rsid w:val="005377F5"/>
    <w:rsid w:val="00546229"/>
    <w:rsid w:val="00550703"/>
    <w:rsid w:val="0055717F"/>
    <w:rsid w:val="0056522D"/>
    <w:rsid w:val="00565D62"/>
    <w:rsid w:val="005714E6"/>
    <w:rsid w:val="00580E84"/>
    <w:rsid w:val="00585304"/>
    <w:rsid w:val="00591FF3"/>
    <w:rsid w:val="005951BA"/>
    <w:rsid w:val="005A0BBD"/>
    <w:rsid w:val="005A3805"/>
    <w:rsid w:val="005B322A"/>
    <w:rsid w:val="005B77AA"/>
    <w:rsid w:val="005B7E6C"/>
    <w:rsid w:val="005C3DB8"/>
    <w:rsid w:val="005C5E5F"/>
    <w:rsid w:val="005C675B"/>
    <w:rsid w:val="005D46D2"/>
    <w:rsid w:val="005E0305"/>
    <w:rsid w:val="005E1633"/>
    <w:rsid w:val="005E32D5"/>
    <w:rsid w:val="005F07AD"/>
    <w:rsid w:val="005F0D54"/>
    <w:rsid w:val="00603896"/>
    <w:rsid w:val="0060680F"/>
    <w:rsid w:val="00614573"/>
    <w:rsid w:val="00636314"/>
    <w:rsid w:val="00637F57"/>
    <w:rsid w:val="00640350"/>
    <w:rsid w:val="006422CE"/>
    <w:rsid w:val="00642731"/>
    <w:rsid w:val="00645793"/>
    <w:rsid w:val="00650EE4"/>
    <w:rsid w:val="00651C23"/>
    <w:rsid w:val="00652406"/>
    <w:rsid w:val="00655DA1"/>
    <w:rsid w:val="00657209"/>
    <w:rsid w:val="00657B1C"/>
    <w:rsid w:val="00657C32"/>
    <w:rsid w:val="00657EC9"/>
    <w:rsid w:val="00663E73"/>
    <w:rsid w:val="0066435A"/>
    <w:rsid w:val="0066505E"/>
    <w:rsid w:val="00674138"/>
    <w:rsid w:val="0067480E"/>
    <w:rsid w:val="00683418"/>
    <w:rsid w:val="00686A59"/>
    <w:rsid w:val="006913D3"/>
    <w:rsid w:val="006A4893"/>
    <w:rsid w:val="006B17BA"/>
    <w:rsid w:val="006B4399"/>
    <w:rsid w:val="006B4E52"/>
    <w:rsid w:val="006C0E7F"/>
    <w:rsid w:val="006D30F0"/>
    <w:rsid w:val="006D51BB"/>
    <w:rsid w:val="006D6A49"/>
    <w:rsid w:val="006E0C66"/>
    <w:rsid w:val="006E5519"/>
    <w:rsid w:val="006E77A7"/>
    <w:rsid w:val="006F36F0"/>
    <w:rsid w:val="006F4C40"/>
    <w:rsid w:val="006F5A2B"/>
    <w:rsid w:val="0070012F"/>
    <w:rsid w:val="00700B3F"/>
    <w:rsid w:val="00707552"/>
    <w:rsid w:val="00712FAD"/>
    <w:rsid w:val="0072216B"/>
    <w:rsid w:val="00724A59"/>
    <w:rsid w:val="00742506"/>
    <w:rsid w:val="00745703"/>
    <w:rsid w:val="00755092"/>
    <w:rsid w:val="007551A9"/>
    <w:rsid w:val="0076218F"/>
    <w:rsid w:val="00763463"/>
    <w:rsid w:val="00765F7E"/>
    <w:rsid w:val="00772D67"/>
    <w:rsid w:val="00782BB0"/>
    <w:rsid w:val="00785594"/>
    <w:rsid w:val="00786298"/>
    <w:rsid w:val="0079209C"/>
    <w:rsid w:val="00792F6D"/>
    <w:rsid w:val="007A3B2A"/>
    <w:rsid w:val="007C3B3C"/>
    <w:rsid w:val="007C4842"/>
    <w:rsid w:val="007C6901"/>
    <w:rsid w:val="007D397D"/>
    <w:rsid w:val="007E464D"/>
    <w:rsid w:val="007E554A"/>
    <w:rsid w:val="007E785F"/>
    <w:rsid w:val="007F02E2"/>
    <w:rsid w:val="007F7A5D"/>
    <w:rsid w:val="00800E0B"/>
    <w:rsid w:val="00804365"/>
    <w:rsid w:val="008071BC"/>
    <w:rsid w:val="00810926"/>
    <w:rsid w:val="00810967"/>
    <w:rsid w:val="00812054"/>
    <w:rsid w:val="008136D7"/>
    <w:rsid w:val="00814C49"/>
    <w:rsid w:val="008231BF"/>
    <w:rsid w:val="00823716"/>
    <w:rsid w:val="00826B2C"/>
    <w:rsid w:val="00834162"/>
    <w:rsid w:val="008377B7"/>
    <w:rsid w:val="00852C47"/>
    <w:rsid w:val="00857747"/>
    <w:rsid w:val="00863E66"/>
    <w:rsid w:val="0087101A"/>
    <w:rsid w:val="00872337"/>
    <w:rsid w:val="008760B9"/>
    <w:rsid w:val="00882259"/>
    <w:rsid w:val="008841B0"/>
    <w:rsid w:val="008868ED"/>
    <w:rsid w:val="00892577"/>
    <w:rsid w:val="008A1B10"/>
    <w:rsid w:val="008A7361"/>
    <w:rsid w:val="008B1EDB"/>
    <w:rsid w:val="008B78D7"/>
    <w:rsid w:val="008B79BB"/>
    <w:rsid w:val="008C38D1"/>
    <w:rsid w:val="008C3D4E"/>
    <w:rsid w:val="008C7458"/>
    <w:rsid w:val="008D025B"/>
    <w:rsid w:val="008D05A7"/>
    <w:rsid w:val="008D642F"/>
    <w:rsid w:val="008E2F91"/>
    <w:rsid w:val="008E5ACD"/>
    <w:rsid w:val="008E5BB4"/>
    <w:rsid w:val="008E7653"/>
    <w:rsid w:val="008F1D8B"/>
    <w:rsid w:val="008F574F"/>
    <w:rsid w:val="008F7FE5"/>
    <w:rsid w:val="009049FD"/>
    <w:rsid w:val="0090575B"/>
    <w:rsid w:val="009122B0"/>
    <w:rsid w:val="009154E5"/>
    <w:rsid w:val="00923C15"/>
    <w:rsid w:val="00924A2B"/>
    <w:rsid w:val="009278E1"/>
    <w:rsid w:val="0094335D"/>
    <w:rsid w:val="009513FD"/>
    <w:rsid w:val="00954F65"/>
    <w:rsid w:val="00956F96"/>
    <w:rsid w:val="0096684C"/>
    <w:rsid w:val="00967FD9"/>
    <w:rsid w:val="00971417"/>
    <w:rsid w:val="00973E70"/>
    <w:rsid w:val="00975C7C"/>
    <w:rsid w:val="00977040"/>
    <w:rsid w:val="009775C3"/>
    <w:rsid w:val="009779F1"/>
    <w:rsid w:val="00980808"/>
    <w:rsid w:val="00982992"/>
    <w:rsid w:val="00987DFC"/>
    <w:rsid w:val="00993D3E"/>
    <w:rsid w:val="00996540"/>
    <w:rsid w:val="009A0733"/>
    <w:rsid w:val="009A0D1D"/>
    <w:rsid w:val="009A5EA6"/>
    <w:rsid w:val="009B62E6"/>
    <w:rsid w:val="009C0836"/>
    <w:rsid w:val="009C48ED"/>
    <w:rsid w:val="009D22ED"/>
    <w:rsid w:val="009D5C25"/>
    <w:rsid w:val="009D7166"/>
    <w:rsid w:val="009E42D4"/>
    <w:rsid w:val="009F019D"/>
    <w:rsid w:val="009F4053"/>
    <w:rsid w:val="009F57CF"/>
    <w:rsid w:val="00A04105"/>
    <w:rsid w:val="00A04CA4"/>
    <w:rsid w:val="00A1042C"/>
    <w:rsid w:val="00A12586"/>
    <w:rsid w:val="00A16108"/>
    <w:rsid w:val="00A1723E"/>
    <w:rsid w:val="00A234BD"/>
    <w:rsid w:val="00A246AF"/>
    <w:rsid w:val="00A24B8F"/>
    <w:rsid w:val="00A2794A"/>
    <w:rsid w:val="00A305A9"/>
    <w:rsid w:val="00A31F48"/>
    <w:rsid w:val="00A34781"/>
    <w:rsid w:val="00A349B2"/>
    <w:rsid w:val="00A35ECE"/>
    <w:rsid w:val="00A40538"/>
    <w:rsid w:val="00A42A2A"/>
    <w:rsid w:val="00A44B89"/>
    <w:rsid w:val="00A50AA5"/>
    <w:rsid w:val="00A50CEC"/>
    <w:rsid w:val="00A56B4A"/>
    <w:rsid w:val="00A64C6F"/>
    <w:rsid w:val="00A657BE"/>
    <w:rsid w:val="00A7486C"/>
    <w:rsid w:val="00A74FD3"/>
    <w:rsid w:val="00A91441"/>
    <w:rsid w:val="00A95AF1"/>
    <w:rsid w:val="00AA02C0"/>
    <w:rsid w:val="00AA0D12"/>
    <w:rsid w:val="00AA521D"/>
    <w:rsid w:val="00AA7590"/>
    <w:rsid w:val="00AA7E29"/>
    <w:rsid w:val="00AC4E4C"/>
    <w:rsid w:val="00AD4192"/>
    <w:rsid w:val="00AE499C"/>
    <w:rsid w:val="00B0212D"/>
    <w:rsid w:val="00B03796"/>
    <w:rsid w:val="00B046DE"/>
    <w:rsid w:val="00B216FC"/>
    <w:rsid w:val="00B26502"/>
    <w:rsid w:val="00B32A2B"/>
    <w:rsid w:val="00B422FB"/>
    <w:rsid w:val="00B471B7"/>
    <w:rsid w:val="00B4791F"/>
    <w:rsid w:val="00B53AD2"/>
    <w:rsid w:val="00B63BFB"/>
    <w:rsid w:val="00B64A48"/>
    <w:rsid w:val="00B64F32"/>
    <w:rsid w:val="00B7357E"/>
    <w:rsid w:val="00B745AE"/>
    <w:rsid w:val="00B816E0"/>
    <w:rsid w:val="00B81A17"/>
    <w:rsid w:val="00B84395"/>
    <w:rsid w:val="00B93866"/>
    <w:rsid w:val="00B947E2"/>
    <w:rsid w:val="00BA30FB"/>
    <w:rsid w:val="00BA4B97"/>
    <w:rsid w:val="00BA6583"/>
    <w:rsid w:val="00BA76CA"/>
    <w:rsid w:val="00BB16E2"/>
    <w:rsid w:val="00BC4679"/>
    <w:rsid w:val="00BC5961"/>
    <w:rsid w:val="00BC7298"/>
    <w:rsid w:val="00BC7402"/>
    <w:rsid w:val="00BD07B1"/>
    <w:rsid w:val="00BD0F66"/>
    <w:rsid w:val="00BD46FA"/>
    <w:rsid w:val="00BD728F"/>
    <w:rsid w:val="00BE55D1"/>
    <w:rsid w:val="00BE7D8B"/>
    <w:rsid w:val="00BF0275"/>
    <w:rsid w:val="00BF4541"/>
    <w:rsid w:val="00BF7A38"/>
    <w:rsid w:val="00C036C3"/>
    <w:rsid w:val="00C03D5E"/>
    <w:rsid w:val="00C041DC"/>
    <w:rsid w:val="00C04A3D"/>
    <w:rsid w:val="00C13D42"/>
    <w:rsid w:val="00C23F9C"/>
    <w:rsid w:val="00C25137"/>
    <w:rsid w:val="00C2597D"/>
    <w:rsid w:val="00C278A3"/>
    <w:rsid w:val="00C403AB"/>
    <w:rsid w:val="00C44AB9"/>
    <w:rsid w:val="00C453BF"/>
    <w:rsid w:val="00C53460"/>
    <w:rsid w:val="00C55BAD"/>
    <w:rsid w:val="00C60054"/>
    <w:rsid w:val="00C6008A"/>
    <w:rsid w:val="00C66593"/>
    <w:rsid w:val="00C67347"/>
    <w:rsid w:val="00C77619"/>
    <w:rsid w:val="00C77CE2"/>
    <w:rsid w:val="00C862E9"/>
    <w:rsid w:val="00C93D25"/>
    <w:rsid w:val="00C9514C"/>
    <w:rsid w:val="00CA4DD3"/>
    <w:rsid w:val="00CA6409"/>
    <w:rsid w:val="00CA7C1A"/>
    <w:rsid w:val="00CB1896"/>
    <w:rsid w:val="00CB50DF"/>
    <w:rsid w:val="00CC5A1F"/>
    <w:rsid w:val="00CC6504"/>
    <w:rsid w:val="00CC6E69"/>
    <w:rsid w:val="00CD4043"/>
    <w:rsid w:val="00CD5BEF"/>
    <w:rsid w:val="00CD7714"/>
    <w:rsid w:val="00CF4843"/>
    <w:rsid w:val="00D00F9A"/>
    <w:rsid w:val="00D05DDA"/>
    <w:rsid w:val="00D068C7"/>
    <w:rsid w:val="00D16443"/>
    <w:rsid w:val="00D1702C"/>
    <w:rsid w:val="00D30578"/>
    <w:rsid w:val="00D32D24"/>
    <w:rsid w:val="00D335B0"/>
    <w:rsid w:val="00D40DDF"/>
    <w:rsid w:val="00D42935"/>
    <w:rsid w:val="00D50C01"/>
    <w:rsid w:val="00D52DB5"/>
    <w:rsid w:val="00D54418"/>
    <w:rsid w:val="00D572B8"/>
    <w:rsid w:val="00D613BA"/>
    <w:rsid w:val="00D67E4E"/>
    <w:rsid w:val="00D712A8"/>
    <w:rsid w:val="00D747A2"/>
    <w:rsid w:val="00D74CD4"/>
    <w:rsid w:val="00D97CD8"/>
    <w:rsid w:val="00DA7758"/>
    <w:rsid w:val="00DB0042"/>
    <w:rsid w:val="00DC670C"/>
    <w:rsid w:val="00DD0D44"/>
    <w:rsid w:val="00DD32CD"/>
    <w:rsid w:val="00DE0AD6"/>
    <w:rsid w:val="00DE0FA8"/>
    <w:rsid w:val="00DE310E"/>
    <w:rsid w:val="00DE3972"/>
    <w:rsid w:val="00DE6FC1"/>
    <w:rsid w:val="00DF0840"/>
    <w:rsid w:val="00DF12EF"/>
    <w:rsid w:val="00DF3FAC"/>
    <w:rsid w:val="00DF6575"/>
    <w:rsid w:val="00DF660F"/>
    <w:rsid w:val="00E06AE1"/>
    <w:rsid w:val="00E1370E"/>
    <w:rsid w:val="00E140D2"/>
    <w:rsid w:val="00E163A1"/>
    <w:rsid w:val="00E317E0"/>
    <w:rsid w:val="00E32C44"/>
    <w:rsid w:val="00E35058"/>
    <w:rsid w:val="00E36376"/>
    <w:rsid w:val="00E4231C"/>
    <w:rsid w:val="00E43482"/>
    <w:rsid w:val="00E45165"/>
    <w:rsid w:val="00E5769B"/>
    <w:rsid w:val="00E615EE"/>
    <w:rsid w:val="00E7373A"/>
    <w:rsid w:val="00E771A5"/>
    <w:rsid w:val="00E8166D"/>
    <w:rsid w:val="00E900EA"/>
    <w:rsid w:val="00E9285C"/>
    <w:rsid w:val="00E95823"/>
    <w:rsid w:val="00EA56DB"/>
    <w:rsid w:val="00EB5039"/>
    <w:rsid w:val="00EB5767"/>
    <w:rsid w:val="00EC034B"/>
    <w:rsid w:val="00EC5886"/>
    <w:rsid w:val="00ED0C71"/>
    <w:rsid w:val="00ED7962"/>
    <w:rsid w:val="00EE0B47"/>
    <w:rsid w:val="00EE0E11"/>
    <w:rsid w:val="00EE4171"/>
    <w:rsid w:val="00EF306F"/>
    <w:rsid w:val="00EF5CCB"/>
    <w:rsid w:val="00F01B1D"/>
    <w:rsid w:val="00F01EA0"/>
    <w:rsid w:val="00F026AB"/>
    <w:rsid w:val="00F04C83"/>
    <w:rsid w:val="00F052F1"/>
    <w:rsid w:val="00F1208D"/>
    <w:rsid w:val="00F16F54"/>
    <w:rsid w:val="00F21234"/>
    <w:rsid w:val="00F27041"/>
    <w:rsid w:val="00F33501"/>
    <w:rsid w:val="00F345DA"/>
    <w:rsid w:val="00F468A5"/>
    <w:rsid w:val="00F46D6D"/>
    <w:rsid w:val="00F509B1"/>
    <w:rsid w:val="00F533CC"/>
    <w:rsid w:val="00F54A94"/>
    <w:rsid w:val="00F54FA3"/>
    <w:rsid w:val="00F6414A"/>
    <w:rsid w:val="00F70C2D"/>
    <w:rsid w:val="00F73EDD"/>
    <w:rsid w:val="00F76056"/>
    <w:rsid w:val="00F760A7"/>
    <w:rsid w:val="00F85D7F"/>
    <w:rsid w:val="00F95CD0"/>
    <w:rsid w:val="00FA7B5D"/>
    <w:rsid w:val="00FB249B"/>
    <w:rsid w:val="00FB5C09"/>
    <w:rsid w:val="00FB6AA9"/>
    <w:rsid w:val="00FC1E11"/>
    <w:rsid w:val="00FC25EC"/>
    <w:rsid w:val="00FC47C5"/>
    <w:rsid w:val="00FC6020"/>
    <w:rsid w:val="00FC6DC5"/>
    <w:rsid w:val="00FC7CA3"/>
    <w:rsid w:val="00FD29AB"/>
    <w:rsid w:val="00FD3AE0"/>
    <w:rsid w:val="00FD59A1"/>
    <w:rsid w:val="00FD6D57"/>
    <w:rsid w:val="00FD7222"/>
    <w:rsid w:val="00FE06CE"/>
    <w:rsid w:val="00FE1749"/>
    <w:rsid w:val="00FE3964"/>
    <w:rsid w:val="00FE56FB"/>
    <w:rsid w:val="00FF0ACC"/>
    <w:rsid w:val="00FF3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A7"/>
    <w:pPr>
      <w:tabs>
        <w:tab w:val="left" w:pos="567"/>
      </w:tabs>
      <w:spacing w:line="260" w:lineRule="exact"/>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05A7"/>
    <w:pPr>
      <w:tabs>
        <w:tab w:val="center" w:pos="4153"/>
        <w:tab w:val="right" w:pos="8306"/>
      </w:tabs>
      <w:spacing w:line="240" w:lineRule="auto"/>
    </w:pPr>
    <w:rPr>
      <w:rFonts w:ascii="Helvetica" w:hAnsi="Helvetica" w:cs="Helvetica"/>
      <w:sz w:val="20"/>
      <w:szCs w:val="20"/>
    </w:rPr>
  </w:style>
  <w:style w:type="character" w:customStyle="1" w:styleId="Char">
    <w:name w:val="Κεφαλίδα Char"/>
    <w:basedOn w:val="a0"/>
    <w:link w:val="a3"/>
    <w:uiPriority w:val="99"/>
    <w:locked/>
    <w:rsid w:val="008D05A7"/>
    <w:rPr>
      <w:rFonts w:ascii="Helvetica" w:hAnsi="Helvetica" w:cs="Helvetica"/>
      <w:sz w:val="20"/>
      <w:szCs w:val="20"/>
      <w:lang w:val="en-GB"/>
    </w:rPr>
  </w:style>
  <w:style w:type="paragraph" w:styleId="a4">
    <w:name w:val="footer"/>
    <w:basedOn w:val="a"/>
    <w:link w:val="Char0"/>
    <w:uiPriority w:val="99"/>
    <w:rsid w:val="008D05A7"/>
    <w:pPr>
      <w:tabs>
        <w:tab w:val="center" w:pos="4536"/>
        <w:tab w:val="center" w:pos="8930"/>
      </w:tabs>
      <w:spacing w:line="240" w:lineRule="auto"/>
    </w:pPr>
    <w:rPr>
      <w:rFonts w:ascii="Helvetica" w:hAnsi="Helvetica" w:cs="Helvetica"/>
      <w:sz w:val="16"/>
      <w:szCs w:val="16"/>
    </w:rPr>
  </w:style>
  <w:style w:type="character" w:customStyle="1" w:styleId="Char0">
    <w:name w:val="Υποσέλιδο Char"/>
    <w:basedOn w:val="a0"/>
    <w:link w:val="a4"/>
    <w:uiPriority w:val="99"/>
    <w:locked/>
    <w:rsid w:val="008D05A7"/>
    <w:rPr>
      <w:rFonts w:ascii="Helvetica" w:hAnsi="Helvetica" w:cs="Helvetica"/>
      <w:sz w:val="20"/>
      <w:szCs w:val="20"/>
      <w:lang w:val="en-GB"/>
    </w:rPr>
  </w:style>
  <w:style w:type="character" w:styleId="a5">
    <w:name w:val="page number"/>
    <w:basedOn w:val="a0"/>
    <w:uiPriority w:val="99"/>
    <w:rsid w:val="008D05A7"/>
    <w:rPr>
      <w:rFonts w:cs="Times New Roman"/>
    </w:rPr>
  </w:style>
  <w:style w:type="paragraph" w:customStyle="1" w:styleId="Default">
    <w:name w:val="Default"/>
    <w:uiPriority w:val="99"/>
    <w:rsid w:val="008D05A7"/>
    <w:pPr>
      <w:autoSpaceDE w:val="0"/>
      <w:autoSpaceDN w:val="0"/>
      <w:adjustRightInd w:val="0"/>
    </w:pPr>
    <w:rPr>
      <w:color w:val="000000"/>
      <w:sz w:val="24"/>
      <w:szCs w:val="24"/>
      <w:lang w:val="fr-FR"/>
    </w:rPr>
  </w:style>
  <w:style w:type="paragraph" w:styleId="a6">
    <w:name w:val="Normal Indent"/>
    <w:basedOn w:val="a"/>
    <w:uiPriority w:val="99"/>
    <w:rsid w:val="008D05A7"/>
    <w:pPr>
      <w:tabs>
        <w:tab w:val="clear" w:pos="567"/>
      </w:tabs>
      <w:spacing w:after="120" w:line="240" w:lineRule="auto"/>
      <w:ind w:left="720"/>
    </w:pPr>
  </w:style>
  <w:style w:type="paragraph" w:styleId="Web">
    <w:name w:val="Normal (Web)"/>
    <w:basedOn w:val="a"/>
    <w:uiPriority w:val="99"/>
    <w:rsid w:val="008D05A7"/>
    <w:pPr>
      <w:tabs>
        <w:tab w:val="clear" w:pos="567"/>
      </w:tabs>
      <w:spacing w:before="100" w:beforeAutospacing="1" w:after="60" w:line="240" w:lineRule="auto"/>
    </w:pPr>
    <w:rPr>
      <w:color w:val="000000"/>
      <w:sz w:val="24"/>
      <w:szCs w:val="24"/>
      <w:lang w:val="fr-FR"/>
    </w:rPr>
  </w:style>
  <w:style w:type="paragraph" w:styleId="a7">
    <w:name w:val="Balloon Text"/>
    <w:basedOn w:val="a"/>
    <w:link w:val="Char1"/>
    <w:uiPriority w:val="99"/>
    <w:semiHidden/>
    <w:rsid w:val="008D05A7"/>
    <w:rPr>
      <w:sz w:val="16"/>
      <w:szCs w:val="16"/>
    </w:rPr>
  </w:style>
  <w:style w:type="character" w:customStyle="1" w:styleId="Char1">
    <w:name w:val="Κείμενο πλαισίου Char"/>
    <w:basedOn w:val="a0"/>
    <w:link w:val="a7"/>
    <w:uiPriority w:val="99"/>
    <w:semiHidden/>
    <w:locked/>
    <w:rsid w:val="008D05A7"/>
    <w:rPr>
      <w:rFonts w:ascii="Times New Roman" w:hAnsi="Times New Roman" w:cs="Times New Roman"/>
      <w:sz w:val="2"/>
      <w:szCs w:val="2"/>
      <w:lang w:val="en-GB"/>
    </w:rPr>
  </w:style>
  <w:style w:type="character" w:customStyle="1" w:styleId="tw4winMark">
    <w:name w:val="tw4winMark"/>
    <w:uiPriority w:val="99"/>
    <w:rsid w:val="008D05A7"/>
    <w:rPr>
      <w:rFonts w:ascii="Courier New" w:hAnsi="Courier New"/>
      <w:vanish/>
      <w:color w:val="800080"/>
      <w:sz w:val="24"/>
      <w:vertAlign w:val="subscript"/>
    </w:rPr>
  </w:style>
  <w:style w:type="character" w:customStyle="1" w:styleId="tw4winError">
    <w:name w:val="tw4winError"/>
    <w:uiPriority w:val="99"/>
    <w:rsid w:val="008D05A7"/>
    <w:rPr>
      <w:rFonts w:ascii="Courier New" w:hAnsi="Courier New"/>
      <w:color w:val="00FF00"/>
      <w:sz w:val="40"/>
    </w:rPr>
  </w:style>
  <w:style w:type="character" w:customStyle="1" w:styleId="tw4winTerm">
    <w:name w:val="tw4winTerm"/>
    <w:uiPriority w:val="99"/>
    <w:rsid w:val="008D05A7"/>
    <w:rPr>
      <w:color w:val="0000FF"/>
    </w:rPr>
  </w:style>
  <w:style w:type="character" w:customStyle="1" w:styleId="tw4winPopup">
    <w:name w:val="tw4winPopup"/>
    <w:uiPriority w:val="99"/>
    <w:rsid w:val="008D05A7"/>
    <w:rPr>
      <w:rFonts w:ascii="Courier New" w:hAnsi="Courier New"/>
      <w:noProof/>
      <w:color w:val="008000"/>
    </w:rPr>
  </w:style>
  <w:style w:type="character" w:customStyle="1" w:styleId="tw4winJump">
    <w:name w:val="tw4winJump"/>
    <w:uiPriority w:val="99"/>
    <w:rsid w:val="008D05A7"/>
    <w:rPr>
      <w:rFonts w:ascii="Courier New" w:hAnsi="Courier New"/>
      <w:noProof/>
      <w:color w:val="008080"/>
    </w:rPr>
  </w:style>
  <w:style w:type="character" w:customStyle="1" w:styleId="tw4winExternal">
    <w:name w:val="tw4winExternal"/>
    <w:uiPriority w:val="99"/>
    <w:rsid w:val="008D05A7"/>
    <w:rPr>
      <w:rFonts w:ascii="Courier New" w:hAnsi="Courier New"/>
      <w:noProof/>
      <w:color w:val="808080"/>
    </w:rPr>
  </w:style>
  <w:style w:type="character" w:customStyle="1" w:styleId="tw4winInternal">
    <w:name w:val="tw4winInternal"/>
    <w:uiPriority w:val="99"/>
    <w:rsid w:val="008D05A7"/>
    <w:rPr>
      <w:rFonts w:ascii="Courier New" w:hAnsi="Courier New"/>
      <w:noProof/>
      <w:color w:val="FF0000"/>
    </w:rPr>
  </w:style>
  <w:style w:type="character" w:customStyle="1" w:styleId="DONOTTRANSLATE">
    <w:name w:val="DO_NOT_TRANSLATE"/>
    <w:uiPriority w:val="99"/>
    <w:rsid w:val="008D05A7"/>
    <w:rPr>
      <w:rFonts w:ascii="Courier New" w:hAnsi="Courier New"/>
      <w:noProof/>
      <w:color w:val="800000"/>
    </w:rPr>
  </w:style>
  <w:style w:type="character" w:customStyle="1" w:styleId="shorttext1">
    <w:name w:val="short_text1"/>
    <w:basedOn w:val="a0"/>
    <w:uiPriority w:val="99"/>
    <w:rsid w:val="00D747A2"/>
    <w:rPr>
      <w:rFonts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A7"/>
    <w:pPr>
      <w:tabs>
        <w:tab w:val="left" w:pos="567"/>
      </w:tabs>
      <w:spacing w:line="260" w:lineRule="exact"/>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05A7"/>
    <w:pPr>
      <w:tabs>
        <w:tab w:val="center" w:pos="4153"/>
        <w:tab w:val="right" w:pos="8306"/>
      </w:tabs>
      <w:spacing w:line="240" w:lineRule="auto"/>
    </w:pPr>
    <w:rPr>
      <w:rFonts w:ascii="Helvetica" w:hAnsi="Helvetica" w:cs="Helvetica"/>
      <w:sz w:val="20"/>
      <w:szCs w:val="20"/>
    </w:rPr>
  </w:style>
  <w:style w:type="character" w:customStyle="1" w:styleId="Char">
    <w:name w:val="Κεφαλίδα Char"/>
    <w:basedOn w:val="a0"/>
    <w:link w:val="a3"/>
    <w:uiPriority w:val="99"/>
    <w:locked/>
    <w:rsid w:val="008D05A7"/>
    <w:rPr>
      <w:rFonts w:ascii="Helvetica" w:hAnsi="Helvetica" w:cs="Helvetica"/>
      <w:sz w:val="20"/>
      <w:szCs w:val="20"/>
      <w:lang w:val="en-GB"/>
    </w:rPr>
  </w:style>
  <w:style w:type="paragraph" w:styleId="a4">
    <w:name w:val="footer"/>
    <w:basedOn w:val="a"/>
    <w:link w:val="Char0"/>
    <w:uiPriority w:val="99"/>
    <w:rsid w:val="008D05A7"/>
    <w:pPr>
      <w:tabs>
        <w:tab w:val="center" w:pos="4536"/>
        <w:tab w:val="center" w:pos="8930"/>
      </w:tabs>
      <w:spacing w:line="240" w:lineRule="auto"/>
    </w:pPr>
    <w:rPr>
      <w:rFonts w:ascii="Helvetica" w:hAnsi="Helvetica" w:cs="Helvetica"/>
      <w:sz w:val="16"/>
      <w:szCs w:val="16"/>
    </w:rPr>
  </w:style>
  <w:style w:type="character" w:customStyle="1" w:styleId="Char0">
    <w:name w:val="Υποσέλιδο Char"/>
    <w:basedOn w:val="a0"/>
    <w:link w:val="a4"/>
    <w:uiPriority w:val="99"/>
    <w:locked/>
    <w:rsid w:val="008D05A7"/>
    <w:rPr>
      <w:rFonts w:ascii="Helvetica" w:hAnsi="Helvetica" w:cs="Helvetica"/>
      <w:sz w:val="20"/>
      <w:szCs w:val="20"/>
      <w:lang w:val="en-GB"/>
    </w:rPr>
  </w:style>
  <w:style w:type="character" w:styleId="a5">
    <w:name w:val="page number"/>
    <w:basedOn w:val="a0"/>
    <w:uiPriority w:val="99"/>
    <w:rsid w:val="008D05A7"/>
    <w:rPr>
      <w:rFonts w:cs="Times New Roman"/>
    </w:rPr>
  </w:style>
  <w:style w:type="paragraph" w:customStyle="1" w:styleId="Default">
    <w:name w:val="Default"/>
    <w:uiPriority w:val="99"/>
    <w:rsid w:val="008D05A7"/>
    <w:pPr>
      <w:autoSpaceDE w:val="0"/>
      <w:autoSpaceDN w:val="0"/>
      <w:adjustRightInd w:val="0"/>
    </w:pPr>
    <w:rPr>
      <w:color w:val="000000"/>
      <w:sz w:val="24"/>
      <w:szCs w:val="24"/>
      <w:lang w:val="fr-FR"/>
    </w:rPr>
  </w:style>
  <w:style w:type="paragraph" w:styleId="a6">
    <w:name w:val="Normal Indent"/>
    <w:basedOn w:val="a"/>
    <w:uiPriority w:val="99"/>
    <w:rsid w:val="008D05A7"/>
    <w:pPr>
      <w:tabs>
        <w:tab w:val="clear" w:pos="567"/>
      </w:tabs>
      <w:spacing w:after="120" w:line="240" w:lineRule="auto"/>
      <w:ind w:left="720"/>
    </w:pPr>
  </w:style>
  <w:style w:type="paragraph" w:styleId="Web">
    <w:name w:val="Normal (Web)"/>
    <w:basedOn w:val="a"/>
    <w:uiPriority w:val="99"/>
    <w:rsid w:val="008D05A7"/>
    <w:pPr>
      <w:tabs>
        <w:tab w:val="clear" w:pos="567"/>
      </w:tabs>
      <w:spacing w:before="100" w:beforeAutospacing="1" w:after="60" w:line="240" w:lineRule="auto"/>
    </w:pPr>
    <w:rPr>
      <w:color w:val="000000"/>
      <w:sz w:val="24"/>
      <w:szCs w:val="24"/>
      <w:lang w:val="fr-FR"/>
    </w:rPr>
  </w:style>
  <w:style w:type="paragraph" w:styleId="a7">
    <w:name w:val="Balloon Text"/>
    <w:basedOn w:val="a"/>
    <w:link w:val="Char1"/>
    <w:uiPriority w:val="99"/>
    <w:semiHidden/>
    <w:rsid w:val="008D05A7"/>
    <w:rPr>
      <w:sz w:val="16"/>
      <w:szCs w:val="16"/>
    </w:rPr>
  </w:style>
  <w:style w:type="character" w:customStyle="1" w:styleId="Char1">
    <w:name w:val="Κείμενο πλαισίου Char"/>
    <w:basedOn w:val="a0"/>
    <w:link w:val="a7"/>
    <w:uiPriority w:val="99"/>
    <w:semiHidden/>
    <w:locked/>
    <w:rsid w:val="008D05A7"/>
    <w:rPr>
      <w:rFonts w:ascii="Times New Roman" w:hAnsi="Times New Roman" w:cs="Times New Roman"/>
      <w:sz w:val="2"/>
      <w:szCs w:val="2"/>
      <w:lang w:val="en-GB"/>
    </w:rPr>
  </w:style>
  <w:style w:type="character" w:customStyle="1" w:styleId="tw4winMark">
    <w:name w:val="tw4winMark"/>
    <w:uiPriority w:val="99"/>
    <w:rsid w:val="008D05A7"/>
    <w:rPr>
      <w:rFonts w:ascii="Courier New" w:hAnsi="Courier New"/>
      <w:vanish/>
      <w:color w:val="800080"/>
      <w:sz w:val="24"/>
      <w:vertAlign w:val="subscript"/>
    </w:rPr>
  </w:style>
  <w:style w:type="character" w:customStyle="1" w:styleId="tw4winError">
    <w:name w:val="tw4winError"/>
    <w:uiPriority w:val="99"/>
    <w:rsid w:val="008D05A7"/>
    <w:rPr>
      <w:rFonts w:ascii="Courier New" w:hAnsi="Courier New"/>
      <w:color w:val="00FF00"/>
      <w:sz w:val="40"/>
    </w:rPr>
  </w:style>
  <w:style w:type="character" w:customStyle="1" w:styleId="tw4winTerm">
    <w:name w:val="tw4winTerm"/>
    <w:uiPriority w:val="99"/>
    <w:rsid w:val="008D05A7"/>
    <w:rPr>
      <w:color w:val="0000FF"/>
    </w:rPr>
  </w:style>
  <w:style w:type="character" w:customStyle="1" w:styleId="tw4winPopup">
    <w:name w:val="tw4winPopup"/>
    <w:uiPriority w:val="99"/>
    <w:rsid w:val="008D05A7"/>
    <w:rPr>
      <w:rFonts w:ascii="Courier New" w:hAnsi="Courier New"/>
      <w:noProof/>
      <w:color w:val="008000"/>
    </w:rPr>
  </w:style>
  <w:style w:type="character" w:customStyle="1" w:styleId="tw4winJump">
    <w:name w:val="tw4winJump"/>
    <w:uiPriority w:val="99"/>
    <w:rsid w:val="008D05A7"/>
    <w:rPr>
      <w:rFonts w:ascii="Courier New" w:hAnsi="Courier New"/>
      <w:noProof/>
      <w:color w:val="008080"/>
    </w:rPr>
  </w:style>
  <w:style w:type="character" w:customStyle="1" w:styleId="tw4winExternal">
    <w:name w:val="tw4winExternal"/>
    <w:uiPriority w:val="99"/>
    <w:rsid w:val="008D05A7"/>
    <w:rPr>
      <w:rFonts w:ascii="Courier New" w:hAnsi="Courier New"/>
      <w:noProof/>
      <w:color w:val="808080"/>
    </w:rPr>
  </w:style>
  <w:style w:type="character" w:customStyle="1" w:styleId="tw4winInternal">
    <w:name w:val="tw4winInternal"/>
    <w:uiPriority w:val="99"/>
    <w:rsid w:val="008D05A7"/>
    <w:rPr>
      <w:rFonts w:ascii="Courier New" w:hAnsi="Courier New"/>
      <w:noProof/>
      <w:color w:val="FF0000"/>
    </w:rPr>
  </w:style>
  <w:style w:type="character" w:customStyle="1" w:styleId="DONOTTRANSLATE">
    <w:name w:val="DO_NOT_TRANSLATE"/>
    <w:uiPriority w:val="99"/>
    <w:rsid w:val="008D05A7"/>
    <w:rPr>
      <w:rFonts w:ascii="Courier New" w:hAnsi="Courier New"/>
      <w:noProof/>
      <w:color w:val="800000"/>
    </w:rPr>
  </w:style>
  <w:style w:type="character" w:customStyle="1" w:styleId="shorttext1">
    <w:name w:val="short_text1"/>
    <w:basedOn w:val="a0"/>
    <w:uiPriority w:val="99"/>
    <w:rsid w:val="00D747A2"/>
    <w:rPr>
      <w:rFonts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8671">
      <w:marLeft w:val="0"/>
      <w:marRight w:val="0"/>
      <w:marTop w:val="0"/>
      <w:marBottom w:val="0"/>
      <w:divBdr>
        <w:top w:val="none" w:sz="0" w:space="0" w:color="auto"/>
        <w:left w:val="none" w:sz="0" w:space="0" w:color="auto"/>
        <w:bottom w:val="none" w:sz="0" w:space="0" w:color="auto"/>
        <w:right w:val="none" w:sz="0" w:space="0" w:color="auto"/>
      </w:divBdr>
    </w:div>
    <w:div w:id="1204518672">
      <w:marLeft w:val="0"/>
      <w:marRight w:val="0"/>
      <w:marTop w:val="0"/>
      <w:marBottom w:val="0"/>
      <w:divBdr>
        <w:top w:val="none" w:sz="0" w:space="0" w:color="auto"/>
        <w:left w:val="none" w:sz="0" w:space="0" w:color="auto"/>
        <w:bottom w:val="none" w:sz="0" w:space="0" w:color="auto"/>
        <w:right w:val="none" w:sz="0" w:space="0" w:color="auto"/>
      </w:divBdr>
    </w:div>
    <w:div w:id="1204518673">
      <w:marLeft w:val="0"/>
      <w:marRight w:val="0"/>
      <w:marTop w:val="0"/>
      <w:marBottom w:val="0"/>
      <w:divBdr>
        <w:top w:val="none" w:sz="0" w:space="0" w:color="auto"/>
        <w:left w:val="none" w:sz="0" w:space="0" w:color="auto"/>
        <w:bottom w:val="none" w:sz="0" w:space="0" w:color="auto"/>
        <w:right w:val="none" w:sz="0" w:space="0" w:color="auto"/>
      </w:divBdr>
    </w:div>
    <w:div w:id="1204518674">
      <w:marLeft w:val="0"/>
      <w:marRight w:val="0"/>
      <w:marTop w:val="0"/>
      <w:marBottom w:val="0"/>
      <w:divBdr>
        <w:top w:val="none" w:sz="0" w:space="0" w:color="auto"/>
        <w:left w:val="none" w:sz="0" w:space="0" w:color="auto"/>
        <w:bottom w:val="none" w:sz="0" w:space="0" w:color="auto"/>
        <w:right w:val="none" w:sz="0" w:space="0" w:color="auto"/>
      </w:divBdr>
    </w:div>
    <w:div w:id="1204518675">
      <w:marLeft w:val="0"/>
      <w:marRight w:val="0"/>
      <w:marTop w:val="0"/>
      <w:marBottom w:val="0"/>
      <w:divBdr>
        <w:top w:val="none" w:sz="0" w:space="0" w:color="auto"/>
        <w:left w:val="none" w:sz="0" w:space="0" w:color="auto"/>
        <w:bottom w:val="none" w:sz="0" w:space="0" w:color="auto"/>
        <w:right w:val="none" w:sz="0" w:space="0" w:color="auto"/>
      </w:divBdr>
    </w:div>
    <w:div w:id="1204518676">
      <w:marLeft w:val="0"/>
      <w:marRight w:val="0"/>
      <w:marTop w:val="0"/>
      <w:marBottom w:val="0"/>
      <w:divBdr>
        <w:top w:val="none" w:sz="0" w:space="0" w:color="auto"/>
        <w:left w:val="none" w:sz="0" w:space="0" w:color="auto"/>
        <w:bottom w:val="none" w:sz="0" w:space="0" w:color="auto"/>
        <w:right w:val="none" w:sz="0" w:space="0" w:color="auto"/>
      </w:divBdr>
    </w:div>
    <w:div w:id="1204518677">
      <w:marLeft w:val="0"/>
      <w:marRight w:val="0"/>
      <w:marTop w:val="0"/>
      <w:marBottom w:val="0"/>
      <w:divBdr>
        <w:top w:val="none" w:sz="0" w:space="0" w:color="auto"/>
        <w:left w:val="none" w:sz="0" w:space="0" w:color="auto"/>
        <w:bottom w:val="none" w:sz="0" w:space="0" w:color="auto"/>
        <w:right w:val="none" w:sz="0" w:space="0" w:color="auto"/>
      </w:divBdr>
    </w:div>
    <w:div w:id="1204518678">
      <w:marLeft w:val="0"/>
      <w:marRight w:val="0"/>
      <w:marTop w:val="0"/>
      <w:marBottom w:val="0"/>
      <w:divBdr>
        <w:top w:val="none" w:sz="0" w:space="0" w:color="auto"/>
        <w:left w:val="none" w:sz="0" w:space="0" w:color="auto"/>
        <w:bottom w:val="none" w:sz="0" w:space="0" w:color="auto"/>
        <w:right w:val="none" w:sz="0" w:space="0" w:color="auto"/>
      </w:divBdr>
    </w:div>
    <w:div w:id="1204518679">
      <w:marLeft w:val="0"/>
      <w:marRight w:val="0"/>
      <w:marTop w:val="0"/>
      <w:marBottom w:val="0"/>
      <w:divBdr>
        <w:top w:val="none" w:sz="0" w:space="0" w:color="auto"/>
        <w:left w:val="none" w:sz="0" w:space="0" w:color="auto"/>
        <w:bottom w:val="none" w:sz="0" w:space="0" w:color="auto"/>
        <w:right w:val="none" w:sz="0" w:space="0" w:color="auto"/>
      </w:divBdr>
    </w:div>
    <w:div w:id="120451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5723</Words>
  <Characters>30906</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Hewlett-Packard Company</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gudlaugb</dc:creator>
  <cp:lastModifiedBy>user254</cp:lastModifiedBy>
  <cp:revision>7</cp:revision>
  <cp:lastPrinted>2013-04-26T07:47:00Z</cp:lastPrinted>
  <dcterms:created xsi:type="dcterms:W3CDTF">2013-04-26T06:33:00Z</dcterms:created>
  <dcterms:modified xsi:type="dcterms:W3CDTF">2013-09-25T07:35:00Z</dcterms:modified>
</cp:coreProperties>
</file>