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00" w:rsidRPr="00123257" w:rsidRDefault="00582A00" w:rsidP="00123257">
      <w:pPr>
        <w:tabs>
          <w:tab w:val="clear" w:pos="567"/>
          <w:tab w:val="left" w:pos="-1440"/>
          <w:tab w:val="left" w:pos="-720"/>
        </w:tabs>
        <w:spacing w:line="240" w:lineRule="auto"/>
        <w:rPr>
          <w:rFonts w:ascii="Calibri" w:hAnsi="Calibri" w:cs="Calibri"/>
          <w:noProof/>
          <w:lang w:val="en-US"/>
        </w:rPr>
      </w:pPr>
    </w:p>
    <w:p w:rsidR="00F13BC4" w:rsidRPr="00B733CC" w:rsidRDefault="00F13BC4" w:rsidP="00F13BC4">
      <w:pPr>
        <w:tabs>
          <w:tab w:val="clear" w:pos="567"/>
          <w:tab w:val="left" w:pos="-1440"/>
          <w:tab w:val="left" w:pos="-720"/>
        </w:tabs>
        <w:spacing w:line="240" w:lineRule="auto"/>
        <w:jc w:val="center"/>
        <w:rPr>
          <w:b/>
          <w:bCs/>
          <w:noProof/>
          <w:lang w:val="el-GR"/>
        </w:rPr>
      </w:pPr>
      <w:r w:rsidRPr="00B733CC">
        <w:rPr>
          <w:b/>
          <w:bCs/>
          <w:noProof/>
          <w:lang w:val="el-GR"/>
        </w:rPr>
        <w:t>ΠΕΡΙΛΗΨΗ ΧΑΡΑΚΤΗΡΙΣΤΙΚΩΝ ΤΟΥ ΠΡΟΪΟΝΤΟΣ</w:t>
      </w:r>
    </w:p>
    <w:p w:rsidR="00F13BC4" w:rsidRDefault="00F13BC4" w:rsidP="00F13BC4">
      <w:pPr>
        <w:tabs>
          <w:tab w:val="clear" w:pos="567"/>
          <w:tab w:val="left" w:pos="-1440"/>
          <w:tab w:val="left" w:pos="-720"/>
        </w:tabs>
        <w:spacing w:line="240" w:lineRule="auto"/>
        <w:rPr>
          <w:rFonts w:ascii="Calibri" w:hAnsi="Calibri" w:cs="Calibri"/>
          <w:noProof/>
          <w:lang w:val="el-GR"/>
        </w:rPr>
      </w:pPr>
    </w:p>
    <w:p w:rsidR="00582A00" w:rsidRPr="00123257" w:rsidRDefault="00582A00" w:rsidP="00123257">
      <w:pPr>
        <w:tabs>
          <w:tab w:val="clear" w:pos="567"/>
          <w:tab w:val="left" w:pos="-1440"/>
          <w:tab w:val="left" w:pos="-720"/>
        </w:tabs>
        <w:spacing w:line="240" w:lineRule="auto"/>
        <w:rPr>
          <w:rFonts w:ascii="Calibri" w:hAnsi="Calibri" w:cs="Calibri"/>
          <w:noProof/>
          <w:lang w:val="el-GR"/>
        </w:rPr>
      </w:pPr>
      <w:r w:rsidRPr="005B77AA">
        <w:rPr>
          <w:b/>
          <w:bCs/>
          <w:noProof/>
          <w:lang w:val="el-GR"/>
        </w:rPr>
        <w:t>1</w:t>
      </w:r>
      <w:r w:rsidRPr="005B77AA">
        <w:rPr>
          <w:b/>
          <w:bCs/>
          <w:i/>
          <w:iCs/>
          <w:noProof/>
          <w:lang w:val="el-GR"/>
        </w:rPr>
        <w:t>.</w:t>
      </w:r>
      <w:r w:rsidRPr="005B77AA">
        <w:rPr>
          <w:b/>
          <w:bCs/>
          <w:i/>
          <w:iCs/>
          <w:noProof/>
          <w:lang w:val="el-GR"/>
        </w:rPr>
        <w:tab/>
      </w:r>
      <w:r>
        <w:rPr>
          <w:b/>
          <w:bCs/>
          <w:lang w:val="el-GR"/>
        </w:rPr>
        <w:t>ΟΝΟΜΑΣΙΑ ΤΟΥ ΦΑΡΜΑΚΕΥΤΙΚΟΥ ΠΡΟΪΟΝΤΟΣ</w:t>
      </w:r>
    </w:p>
    <w:p w:rsidR="00582A00" w:rsidRPr="005B77AA" w:rsidRDefault="000B645F">
      <w:pPr>
        <w:pStyle w:val="Default"/>
        <w:rPr>
          <w:rFonts w:ascii="Calibri" w:hAnsi="Calibri" w:cs="Calibri"/>
          <w:sz w:val="22"/>
          <w:szCs w:val="22"/>
          <w:lang w:val="el-GR"/>
        </w:rPr>
      </w:pPr>
      <w:r>
        <w:rPr>
          <w:sz w:val="22"/>
          <w:szCs w:val="22"/>
          <w:lang w:val="en-GB"/>
        </w:rPr>
        <w:t>ESACTIVE</w:t>
      </w:r>
      <w:r w:rsidR="00582A00" w:rsidRPr="005B77AA">
        <w:rPr>
          <w:sz w:val="22"/>
          <w:szCs w:val="22"/>
          <w:lang w:val="el-GR"/>
        </w:rPr>
        <w:t xml:space="preserve"> 20</w:t>
      </w:r>
      <w:r w:rsidR="00582A00">
        <w:rPr>
          <w:sz w:val="22"/>
          <w:szCs w:val="22"/>
          <w:lang w:val="en-GB"/>
        </w:rPr>
        <w:t> mg</w:t>
      </w:r>
      <w:r w:rsidR="00582A00" w:rsidRPr="005B77AA">
        <w:rPr>
          <w:sz w:val="22"/>
          <w:szCs w:val="22"/>
          <w:lang w:val="el-GR"/>
        </w:rPr>
        <w:t xml:space="preserve"> </w:t>
      </w:r>
      <w:r w:rsidR="00582A00">
        <w:rPr>
          <w:sz w:val="22"/>
          <w:szCs w:val="22"/>
          <w:lang w:val="el-GR"/>
        </w:rPr>
        <w:t xml:space="preserve">γαστροανθεκτικά </w:t>
      </w:r>
      <w:r w:rsidR="002F206E">
        <w:rPr>
          <w:sz w:val="22"/>
          <w:szCs w:val="22"/>
          <w:lang w:val="el-GR"/>
        </w:rPr>
        <w:t>δισκία</w:t>
      </w:r>
    </w:p>
    <w:p w:rsidR="00582A00" w:rsidRPr="005B77AA" w:rsidRDefault="000B645F">
      <w:pPr>
        <w:widowControl w:val="0"/>
        <w:tabs>
          <w:tab w:val="clear" w:pos="567"/>
        </w:tabs>
        <w:spacing w:line="240" w:lineRule="auto"/>
        <w:rPr>
          <w:rFonts w:ascii="Calibri" w:hAnsi="Calibri" w:cs="Calibri"/>
          <w:lang w:val="el-GR"/>
        </w:rPr>
      </w:pPr>
      <w:r w:rsidRPr="00BC7265">
        <w:t>ESACTIVE</w:t>
      </w:r>
      <w:r w:rsidR="00582A00" w:rsidRPr="00BC7265">
        <w:rPr>
          <w:lang w:val="el-GR"/>
        </w:rPr>
        <w:t xml:space="preserve"> 40 </w:t>
      </w:r>
      <w:r w:rsidR="00582A00" w:rsidRPr="00BC7265">
        <w:t>mg</w:t>
      </w:r>
      <w:r w:rsidR="00582A00" w:rsidRPr="00BC7265">
        <w:rPr>
          <w:lang w:val="el-GR"/>
        </w:rPr>
        <w:t xml:space="preserve"> γαστροανθεκτικά </w:t>
      </w:r>
      <w:r w:rsidR="002F206E" w:rsidRPr="00BC7265">
        <w:rPr>
          <w:lang w:val="el-GR"/>
        </w:rPr>
        <w:t>δισκία</w:t>
      </w:r>
    </w:p>
    <w:p w:rsidR="00582A00" w:rsidRPr="00123257" w:rsidRDefault="00582A00">
      <w:pPr>
        <w:tabs>
          <w:tab w:val="clear" w:pos="567"/>
        </w:tabs>
        <w:spacing w:line="240" w:lineRule="auto"/>
        <w:rPr>
          <w:rFonts w:ascii="Calibri" w:hAnsi="Calibri" w:cs="Calibri"/>
          <w:noProof/>
          <w:lang w:val="el-GR"/>
        </w:rPr>
      </w:pPr>
    </w:p>
    <w:p w:rsidR="00582A00" w:rsidRPr="00123257" w:rsidRDefault="00582A00" w:rsidP="00123257">
      <w:pPr>
        <w:widowControl w:val="0"/>
        <w:outlineLvl w:val="0"/>
        <w:rPr>
          <w:rFonts w:ascii="Calibri" w:hAnsi="Calibri" w:cs="Calibri"/>
          <w:noProof/>
          <w:lang w:val="el-GR"/>
        </w:rPr>
      </w:pPr>
      <w:r w:rsidRPr="005B77AA">
        <w:rPr>
          <w:b/>
          <w:bCs/>
          <w:noProof/>
          <w:lang w:val="el-GR"/>
        </w:rPr>
        <w:t>2</w:t>
      </w:r>
      <w:r w:rsidRPr="005B77AA">
        <w:rPr>
          <w:b/>
          <w:bCs/>
          <w:i/>
          <w:iCs/>
          <w:noProof/>
          <w:lang w:val="el-GR"/>
        </w:rPr>
        <w:t>.</w:t>
      </w:r>
      <w:r w:rsidRPr="005B77AA">
        <w:rPr>
          <w:b/>
          <w:bCs/>
          <w:i/>
          <w:iCs/>
          <w:noProof/>
          <w:lang w:val="el-GR"/>
        </w:rPr>
        <w:tab/>
      </w:r>
      <w:r>
        <w:rPr>
          <w:b/>
          <w:bCs/>
          <w:lang w:val="el-GR"/>
        </w:rPr>
        <w:t>ΠΟΙΟΤΙΚΗ ΚΑΙ ΠΟΣΟΤΙΚΗ ΣΥΝΘΕΣΗ</w:t>
      </w:r>
    </w:p>
    <w:p w:rsidR="00582A00" w:rsidRPr="005B77AA" w:rsidRDefault="00582A00">
      <w:pPr>
        <w:pStyle w:val="Default"/>
        <w:rPr>
          <w:rFonts w:ascii="Calibri" w:hAnsi="Calibri" w:cs="Calibri"/>
          <w:lang w:val="el-GR"/>
        </w:rPr>
      </w:pPr>
      <w:r>
        <w:rPr>
          <w:sz w:val="22"/>
          <w:szCs w:val="22"/>
          <w:lang w:val="el-GR"/>
        </w:rPr>
        <w:t xml:space="preserve">Κάθε </w:t>
      </w:r>
      <w:r w:rsidR="002F206E">
        <w:rPr>
          <w:sz w:val="22"/>
          <w:szCs w:val="22"/>
          <w:lang w:val="el-GR"/>
        </w:rPr>
        <w:t>δισκίο</w:t>
      </w:r>
      <w:r>
        <w:rPr>
          <w:sz w:val="22"/>
          <w:szCs w:val="22"/>
          <w:lang w:val="el-GR"/>
        </w:rPr>
        <w:t xml:space="preserve"> περιέχει</w:t>
      </w:r>
      <w:r w:rsidRPr="005B77AA">
        <w:rPr>
          <w:sz w:val="22"/>
          <w:szCs w:val="22"/>
          <w:lang w:val="el-GR"/>
        </w:rPr>
        <w:t xml:space="preserve"> 20</w:t>
      </w:r>
      <w:r>
        <w:rPr>
          <w:rFonts w:ascii="Calibri" w:hAnsi="Calibri" w:cs="Calibri"/>
          <w:sz w:val="20"/>
          <w:szCs w:val="20"/>
          <w:lang w:val="en-GB"/>
        </w:rPr>
        <w:t> </w:t>
      </w:r>
      <w:r>
        <w:rPr>
          <w:sz w:val="22"/>
          <w:szCs w:val="22"/>
          <w:lang w:val="en-GB"/>
        </w:rPr>
        <w:t>mg</w:t>
      </w:r>
      <w:r w:rsidRPr="005B77AA">
        <w:rPr>
          <w:sz w:val="22"/>
          <w:szCs w:val="22"/>
          <w:lang w:val="el-GR"/>
        </w:rPr>
        <w:t xml:space="preserve"> </w:t>
      </w:r>
      <w:r w:rsidR="001329CD">
        <w:rPr>
          <w:sz w:val="22"/>
          <w:szCs w:val="22"/>
          <w:lang w:val="el-GR"/>
        </w:rPr>
        <w:t xml:space="preserve">ή 40 </w:t>
      </w:r>
      <w:r w:rsidR="001329CD">
        <w:rPr>
          <w:sz w:val="22"/>
          <w:szCs w:val="22"/>
          <w:lang w:val="en-US"/>
        </w:rPr>
        <w:t>mg</w:t>
      </w:r>
      <w:r w:rsidR="001329CD" w:rsidRPr="001329CD">
        <w:rPr>
          <w:sz w:val="22"/>
          <w:szCs w:val="22"/>
          <w:lang w:val="el-GR"/>
        </w:rPr>
        <w:t xml:space="preserve"> </w:t>
      </w:r>
      <w:r>
        <w:rPr>
          <w:sz w:val="22"/>
          <w:szCs w:val="22"/>
          <w:lang w:val="el-GR"/>
        </w:rPr>
        <w:t>εσομεπραζόλης</w:t>
      </w:r>
      <w:r w:rsidRPr="005B77AA">
        <w:rPr>
          <w:sz w:val="22"/>
          <w:szCs w:val="22"/>
          <w:lang w:val="el-GR"/>
        </w:rPr>
        <w:t xml:space="preserve"> (</w:t>
      </w:r>
      <w:r>
        <w:rPr>
          <w:sz w:val="22"/>
          <w:szCs w:val="22"/>
          <w:lang w:val="el-GR"/>
        </w:rPr>
        <w:t>ως διένυδρο μαγνήσιο</w:t>
      </w:r>
      <w:r w:rsidRPr="005B77AA">
        <w:rPr>
          <w:sz w:val="22"/>
          <w:szCs w:val="22"/>
          <w:lang w:val="el-GR"/>
        </w:rPr>
        <w:t xml:space="preserve">). </w:t>
      </w:r>
    </w:p>
    <w:p w:rsidR="001329CD" w:rsidRPr="007B05C6" w:rsidRDefault="001329CD">
      <w:pPr>
        <w:pStyle w:val="a6"/>
        <w:spacing w:after="0"/>
        <w:ind w:left="0"/>
        <w:rPr>
          <w:lang w:val="el-GR"/>
        </w:rPr>
      </w:pPr>
      <w:r>
        <w:rPr>
          <w:lang w:val="el-GR"/>
        </w:rPr>
        <w:t>Έκδοχα</w:t>
      </w:r>
      <w:r w:rsidR="00582A00" w:rsidRPr="005B77AA">
        <w:rPr>
          <w:lang w:val="el-GR"/>
        </w:rPr>
        <w:t xml:space="preserve">: </w:t>
      </w:r>
    </w:p>
    <w:p w:rsidR="00582A00" w:rsidRPr="007B05C6" w:rsidRDefault="00B733CC">
      <w:pPr>
        <w:pStyle w:val="a6"/>
        <w:spacing w:after="0"/>
        <w:ind w:left="0"/>
        <w:rPr>
          <w:lang w:val="el-GR"/>
        </w:rPr>
      </w:pPr>
      <w:r>
        <w:rPr>
          <w:lang w:val="el-GR"/>
        </w:rPr>
        <w:t xml:space="preserve">Το </w:t>
      </w:r>
      <w:r w:rsidR="001329CD">
        <w:rPr>
          <w:lang w:val="en-US"/>
        </w:rPr>
        <w:t>Esactive</w:t>
      </w:r>
      <w:r w:rsidR="001329CD" w:rsidRPr="007B05C6">
        <w:rPr>
          <w:lang w:val="el-GR"/>
        </w:rPr>
        <w:t xml:space="preserve"> 20 </w:t>
      </w:r>
      <w:r w:rsidR="001329CD">
        <w:rPr>
          <w:lang w:val="en-US"/>
        </w:rPr>
        <w:t>mg</w:t>
      </w:r>
      <w:r w:rsidR="001329CD" w:rsidRPr="007B05C6">
        <w:rPr>
          <w:lang w:val="el-GR"/>
        </w:rPr>
        <w:t xml:space="preserve"> </w:t>
      </w:r>
      <w:r w:rsidR="00582A00">
        <w:rPr>
          <w:lang w:val="el-GR"/>
        </w:rPr>
        <w:t>περιέχει</w:t>
      </w:r>
      <w:r w:rsidR="00582A00" w:rsidRPr="007B05C6">
        <w:rPr>
          <w:lang w:val="el-GR"/>
        </w:rPr>
        <w:t xml:space="preserve"> </w:t>
      </w:r>
      <w:r w:rsidR="001329CD" w:rsidRPr="007B05C6">
        <w:rPr>
          <w:lang w:val="el-GR"/>
        </w:rPr>
        <w:t>3</w:t>
      </w:r>
      <w:r w:rsidR="00582A00" w:rsidRPr="007B05C6">
        <w:rPr>
          <w:lang w:val="el-GR"/>
        </w:rPr>
        <w:t>,</w:t>
      </w:r>
      <w:r w:rsidR="001329CD" w:rsidRPr="007B05C6">
        <w:rPr>
          <w:lang w:val="el-GR"/>
        </w:rPr>
        <w:t>796</w:t>
      </w:r>
      <w:r w:rsidR="00582A00">
        <w:rPr>
          <w:rFonts w:ascii="Calibri" w:hAnsi="Calibri" w:cs="Calibri"/>
        </w:rPr>
        <w:t> </w:t>
      </w:r>
      <w:r w:rsidR="00582A00">
        <w:t>mg</w:t>
      </w:r>
      <w:r w:rsidR="00582A00" w:rsidRPr="007B05C6">
        <w:rPr>
          <w:lang w:val="el-GR"/>
        </w:rPr>
        <w:t xml:space="preserve"> </w:t>
      </w:r>
      <w:r w:rsidR="001329CD">
        <w:rPr>
          <w:lang w:val="el-GR"/>
        </w:rPr>
        <w:t>μαννιτόλης</w:t>
      </w:r>
      <w:r w:rsidR="001329CD" w:rsidRPr="007B05C6">
        <w:rPr>
          <w:lang w:val="el-GR"/>
        </w:rPr>
        <w:t xml:space="preserve"> </w:t>
      </w:r>
      <w:r w:rsidR="001329CD">
        <w:rPr>
          <w:lang w:val="el-GR"/>
        </w:rPr>
        <w:t>και</w:t>
      </w:r>
      <w:r w:rsidR="001329CD" w:rsidRPr="007B05C6">
        <w:rPr>
          <w:lang w:val="el-GR"/>
        </w:rPr>
        <w:t xml:space="preserve"> 12,394 </w:t>
      </w:r>
      <w:r w:rsidR="001329CD">
        <w:rPr>
          <w:lang w:val="en-US"/>
        </w:rPr>
        <w:t>mg</w:t>
      </w:r>
      <w:r w:rsidR="001329CD" w:rsidRPr="007B05C6">
        <w:rPr>
          <w:lang w:val="el-GR"/>
        </w:rPr>
        <w:t xml:space="preserve"> </w:t>
      </w:r>
      <w:r w:rsidR="00582A00">
        <w:rPr>
          <w:lang w:val="el-GR"/>
        </w:rPr>
        <w:t>σακχαρόζης</w:t>
      </w:r>
      <w:r w:rsidR="001329CD" w:rsidRPr="007B05C6">
        <w:rPr>
          <w:lang w:val="el-GR"/>
        </w:rPr>
        <w:t>.</w:t>
      </w:r>
      <w:r w:rsidR="00582A00" w:rsidRPr="007B05C6">
        <w:rPr>
          <w:lang w:val="el-GR"/>
        </w:rPr>
        <w:t xml:space="preserve"> </w:t>
      </w:r>
      <w:r w:rsidR="00582A00" w:rsidRPr="007B05C6">
        <w:rPr>
          <w:lang w:val="el-GR"/>
        </w:rPr>
        <w:tab/>
      </w:r>
    </w:p>
    <w:p w:rsidR="00582A00" w:rsidRPr="00123257" w:rsidRDefault="00B733CC" w:rsidP="00123257">
      <w:pPr>
        <w:pStyle w:val="a6"/>
        <w:spacing w:after="0"/>
        <w:ind w:left="0"/>
        <w:rPr>
          <w:noProof/>
          <w:lang w:val="el-GR"/>
        </w:rPr>
      </w:pPr>
      <w:r>
        <w:rPr>
          <w:lang w:val="el-GR"/>
        </w:rPr>
        <w:t xml:space="preserve">Το </w:t>
      </w:r>
      <w:r w:rsidR="001329CD">
        <w:rPr>
          <w:lang w:val="en-US"/>
        </w:rPr>
        <w:t>Esactive</w:t>
      </w:r>
      <w:r w:rsidR="001329CD" w:rsidRPr="007B05C6">
        <w:rPr>
          <w:lang w:val="el-GR"/>
        </w:rPr>
        <w:t xml:space="preserve"> 40 </w:t>
      </w:r>
      <w:r w:rsidR="001329CD">
        <w:rPr>
          <w:lang w:val="en-US"/>
        </w:rPr>
        <w:t>mg</w:t>
      </w:r>
      <w:r w:rsidR="001329CD" w:rsidRPr="007B05C6">
        <w:rPr>
          <w:lang w:val="el-GR"/>
        </w:rPr>
        <w:t xml:space="preserve"> </w:t>
      </w:r>
      <w:r w:rsidR="001329CD">
        <w:rPr>
          <w:lang w:val="el-GR"/>
        </w:rPr>
        <w:t>περιέχει</w:t>
      </w:r>
      <w:r w:rsidR="001329CD" w:rsidRPr="007B05C6">
        <w:rPr>
          <w:lang w:val="el-GR"/>
        </w:rPr>
        <w:t xml:space="preserve"> 7,591</w:t>
      </w:r>
      <w:r w:rsidR="001329CD">
        <w:rPr>
          <w:rFonts w:ascii="Calibri" w:hAnsi="Calibri" w:cs="Calibri"/>
        </w:rPr>
        <w:t> </w:t>
      </w:r>
      <w:r w:rsidR="001329CD">
        <w:t>mg</w:t>
      </w:r>
      <w:r w:rsidR="001329CD" w:rsidRPr="007B05C6">
        <w:rPr>
          <w:lang w:val="el-GR"/>
        </w:rPr>
        <w:t xml:space="preserve"> </w:t>
      </w:r>
      <w:r w:rsidR="001329CD">
        <w:rPr>
          <w:lang w:val="el-GR"/>
        </w:rPr>
        <w:t>μαννιτόλης</w:t>
      </w:r>
      <w:r w:rsidR="001329CD" w:rsidRPr="007B05C6">
        <w:rPr>
          <w:lang w:val="el-GR"/>
        </w:rPr>
        <w:t xml:space="preserve"> </w:t>
      </w:r>
      <w:r w:rsidR="001329CD">
        <w:rPr>
          <w:lang w:val="el-GR"/>
        </w:rPr>
        <w:t>και</w:t>
      </w:r>
      <w:r w:rsidR="001329CD" w:rsidRPr="007B05C6">
        <w:rPr>
          <w:lang w:val="el-GR"/>
        </w:rPr>
        <w:t xml:space="preserve"> 24,788 </w:t>
      </w:r>
      <w:r w:rsidR="001329CD">
        <w:rPr>
          <w:lang w:val="en-US"/>
        </w:rPr>
        <w:t>mg</w:t>
      </w:r>
      <w:r w:rsidR="001329CD" w:rsidRPr="007B05C6">
        <w:rPr>
          <w:lang w:val="el-GR"/>
        </w:rPr>
        <w:t xml:space="preserve"> </w:t>
      </w:r>
      <w:r w:rsidR="001329CD">
        <w:rPr>
          <w:lang w:val="el-GR"/>
        </w:rPr>
        <w:t>σακχαρόζης</w:t>
      </w:r>
      <w:r w:rsidR="001329CD" w:rsidRPr="007B05C6">
        <w:rPr>
          <w:lang w:val="el-GR"/>
        </w:rPr>
        <w:t xml:space="preserve">. </w:t>
      </w:r>
      <w:r w:rsidR="001329CD" w:rsidRPr="007B05C6">
        <w:rPr>
          <w:lang w:val="el-GR"/>
        </w:rPr>
        <w:tab/>
      </w:r>
    </w:p>
    <w:p w:rsidR="00582A00" w:rsidRPr="005B77AA" w:rsidRDefault="00582A00">
      <w:pPr>
        <w:tabs>
          <w:tab w:val="clear" w:pos="567"/>
        </w:tabs>
        <w:spacing w:line="240" w:lineRule="auto"/>
        <w:rPr>
          <w:rFonts w:ascii="Calibri" w:hAnsi="Calibri" w:cs="Calibri"/>
          <w:noProof/>
          <w:lang w:val="el-GR"/>
        </w:rPr>
      </w:pPr>
      <w:r>
        <w:rPr>
          <w:lang w:val="el-GR"/>
        </w:rPr>
        <w:t>Για τον πλήρη κατάλογο των εκδόχων</w:t>
      </w:r>
      <w:r w:rsidRPr="005B77AA">
        <w:rPr>
          <w:lang w:val="el-GR"/>
        </w:rPr>
        <w:t xml:space="preserve">, </w:t>
      </w:r>
      <w:r>
        <w:rPr>
          <w:lang w:val="el-GR"/>
        </w:rPr>
        <w:t>βλ</w:t>
      </w:r>
      <w:r w:rsidRPr="005B77AA">
        <w:rPr>
          <w:lang w:val="el-GR"/>
        </w:rPr>
        <w:t xml:space="preserve">. </w:t>
      </w:r>
      <w:r>
        <w:rPr>
          <w:lang w:val="el-GR"/>
        </w:rPr>
        <w:t>παράγραφο</w:t>
      </w:r>
      <w:r w:rsidRPr="005B77AA">
        <w:rPr>
          <w:lang w:val="el-GR"/>
        </w:rPr>
        <w:t xml:space="preserve"> 6.1.</w:t>
      </w:r>
    </w:p>
    <w:p w:rsidR="00582A00" w:rsidRPr="00123257" w:rsidRDefault="00582A00">
      <w:pPr>
        <w:tabs>
          <w:tab w:val="clear" w:pos="567"/>
        </w:tabs>
        <w:spacing w:line="240" w:lineRule="auto"/>
        <w:rPr>
          <w:rFonts w:ascii="Calibri" w:hAnsi="Calibri" w:cs="Calibri"/>
          <w:noProof/>
          <w:lang w:val="el-GR"/>
        </w:rPr>
      </w:pPr>
    </w:p>
    <w:p w:rsidR="00582A00" w:rsidRPr="00123257" w:rsidRDefault="00582A00" w:rsidP="00123257">
      <w:pPr>
        <w:widowControl w:val="0"/>
        <w:outlineLvl w:val="0"/>
        <w:rPr>
          <w:rFonts w:ascii="Calibri" w:hAnsi="Calibri" w:cs="Calibri"/>
          <w:noProof/>
          <w:lang w:val="el-GR"/>
        </w:rPr>
      </w:pPr>
      <w:r w:rsidRPr="005B77AA">
        <w:rPr>
          <w:b/>
          <w:bCs/>
          <w:noProof/>
          <w:lang w:val="el-GR"/>
        </w:rPr>
        <w:t>3</w:t>
      </w:r>
      <w:r w:rsidRPr="005B77AA">
        <w:rPr>
          <w:b/>
          <w:bCs/>
          <w:i/>
          <w:iCs/>
          <w:noProof/>
          <w:lang w:val="el-GR"/>
        </w:rPr>
        <w:t xml:space="preserve">. </w:t>
      </w:r>
      <w:r w:rsidRPr="005B77AA">
        <w:rPr>
          <w:b/>
          <w:bCs/>
          <w:i/>
          <w:iCs/>
          <w:noProof/>
          <w:lang w:val="el-GR"/>
        </w:rPr>
        <w:tab/>
      </w:r>
      <w:r>
        <w:rPr>
          <w:b/>
          <w:bCs/>
          <w:lang w:val="el-GR"/>
        </w:rPr>
        <w:t xml:space="preserve">ΦΑΡΜΑΚΟΤΕΧΝΙΚΗ </w:t>
      </w:r>
      <w:r w:rsidRPr="001B1C22">
        <w:rPr>
          <w:b/>
          <w:bCs/>
          <w:lang w:val="el-GR"/>
        </w:rPr>
        <w:t>ΜΟΡΦΗ</w:t>
      </w:r>
    </w:p>
    <w:p w:rsidR="00582A00" w:rsidRPr="00123257" w:rsidRDefault="00582A00" w:rsidP="00123257">
      <w:pPr>
        <w:rPr>
          <w:rFonts w:ascii="Calibri" w:hAnsi="Calibri" w:cs="Calibri"/>
          <w:noProof/>
          <w:lang w:val="el-GR"/>
        </w:rPr>
      </w:pPr>
      <w:r>
        <w:rPr>
          <w:lang w:val="el-GR"/>
        </w:rPr>
        <w:t xml:space="preserve">Γαστροανθεκτικό </w:t>
      </w:r>
      <w:r w:rsidR="001329CD">
        <w:rPr>
          <w:lang w:val="el-GR"/>
        </w:rPr>
        <w:t>δισκίο</w:t>
      </w:r>
    </w:p>
    <w:p w:rsidR="00582A00" w:rsidRPr="001329CD" w:rsidRDefault="001329CD">
      <w:pPr>
        <w:pStyle w:val="Default"/>
        <w:rPr>
          <w:rFonts w:ascii="Calibri" w:hAnsi="Calibri" w:cs="Calibri"/>
          <w:color w:val="auto"/>
          <w:sz w:val="22"/>
          <w:szCs w:val="22"/>
          <w:lang w:val="el-GR"/>
        </w:rPr>
      </w:pPr>
      <w:r>
        <w:rPr>
          <w:color w:val="auto"/>
          <w:sz w:val="22"/>
          <w:szCs w:val="22"/>
          <w:lang w:val="el-GR"/>
        </w:rPr>
        <w:t xml:space="preserve">20 </w:t>
      </w:r>
      <w:r>
        <w:rPr>
          <w:color w:val="auto"/>
          <w:sz w:val="22"/>
          <w:szCs w:val="22"/>
          <w:lang w:val="en-US"/>
        </w:rPr>
        <w:t>mg</w:t>
      </w:r>
      <w:r w:rsidRPr="001329CD">
        <w:rPr>
          <w:color w:val="auto"/>
          <w:sz w:val="22"/>
          <w:szCs w:val="22"/>
          <w:lang w:val="el-GR"/>
        </w:rPr>
        <w:t xml:space="preserve">: </w:t>
      </w:r>
      <w:r>
        <w:rPr>
          <w:color w:val="auto"/>
          <w:sz w:val="22"/>
          <w:szCs w:val="22"/>
          <w:lang w:val="el-GR"/>
        </w:rPr>
        <w:t xml:space="preserve">Ροζ, οβάλ επικαλυμμένα με λεπτό υμένιο δισκία με </w:t>
      </w:r>
      <w:r w:rsidR="00B733CC">
        <w:rPr>
          <w:color w:val="auto"/>
          <w:sz w:val="22"/>
          <w:szCs w:val="22"/>
          <w:lang w:val="el-GR"/>
        </w:rPr>
        <w:t>μέσες</w:t>
      </w:r>
      <w:r>
        <w:rPr>
          <w:color w:val="auto"/>
          <w:sz w:val="22"/>
          <w:szCs w:val="22"/>
          <w:lang w:val="el-GR"/>
        </w:rPr>
        <w:t xml:space="preserve"> διαστάσεις 14.0</w:t>
      </w:r>
      <w:r w:rsidRPr="001329CD">
        <w:rPr>
          <w:color w:val="auto"/>
          <w:sz w:val="22"/>
          <w:szCs w:val="22"/>
          <w:lang w:val="el-GR"/>
        </w:rPr>
        <w:t xml:space="preserve"> </w:t>
      </w:r>
      <w:r>
        <w:rPr>
          <w:color w:val="auto"/>
          <w:sz w:val="22"/>
          <w:szCs w:val="22"/>
          <w:lang w:val="en-US"/>
        </w:rPr>
        <w:t>mm</w:t>
      </w:r>
      <w:r w:rsidRPr="001329CD">
        <w:rPr>
          <w:color w:val="auto"/>
          <w:sz w:val="22"/>
          <w:szCs w:val="22"/>
          <w:lang w:val="el-GR"/>
        </w:rPr>
        <w:t xml:space="preserve"> </w:t>
      </w:r>
      <w:r>
        <w:rPr>
          <w:color w:val="auto"/>
          <w:sz w:val="22"/>
          <w:szCs w:val="22"/>
          <w:lang w:val="en-US"/>
        </w:rPr>
        <w:t>x</w:t>
      </w:r>
      <w:r w:rsidRPr="001329CD">
        <w:rPr>
          <w:color w:val="auto"/>
          <w:sz w:val="22"/>
          <w:szCs w:val="22"/>
          <w:lang w:val="el-GR"/>
        </w:rPr>
        <w:t xml:space="preserve"> 7.0 </w:t>
      </w:r>
      <w:r>
        <w:rPr>
          <w:color w:val="auto"/>
          <w:sz w:val="22"/>
          <w:szCs w:val="22"/>
          <w:lang w:val="en-US"/>
        </w:rPr>
        <w:t>mm</w:t>
      </w:r>
      <w:r w:rsidRPr="001329CD">
        <w:rPr>
          <w:color w:val="auto"/>
          <w:sz w:val="22"/>
          <w:szCs w:val="22"/>
          <w:lang w:val="el-GR"/>
        </w:rPr>
        <w:t>.</w:t>
      </w:r>
    </w:p>
    <w:p w:rsidR="001329CD" w:rsidRPr="001329CD" w:rsidRDefault="001329CD" w:rsidP="001329CD">
      <w:pPr>
        <w:pStyle w:val="Default"/>
        <w:rPr>
          <w:rFonts w:ascii="Calibri" w:hAnsi="Calibri" w:cs="Calibri"/>
          <w:color w:val="auto"/>
          <w:sz w:val="22"/>
          <w:szCs w:val="22"/>
          <w:lang w:val="el-GR"/>
        </w:rPr>
      </w:pPr>
      <w:r w:rsidRPr="001329CD">
        <w:rPr>
          <w:color w:val="auto"/>
          <w:sz w:val="22"/>
          <w:szCs w:val="22"/>
          <w:lang w:val="el-GR"/>
        </w:rPr>
        <w:t>4</w:t>
      </w:r>
      <w:r>
        <w:rPr>
          <w:color w:val="auto"/>
          <w:sz w:val="22"/>
          <w:szCs w:val="22"/>
          <w:lang w:val="el-GR"/>
        </w:rPr>
        <w:t xml:space="preserve">0 </w:t>
      </w:r>
      <w:r>
        <w:rPr>
          <w:color w:val="auto"/>
          <w:sz w:val="22"/>
          <w:szCs w:val="22"/>
          <w:lang w:val="en-US"/>
        </w:rPr>
        <w:t>mg</w:t>
      </w:r>
      <w:r w:rsidRPr="001329CD">
        <w:rPr>
          <w:color w:val="auto"/>
          <w:sz w:val="22"/>
          <w:szCs w:val="22"/>
          <w:lang w:val="el-GR"/>
        </w:rPr>
        <w:t xml:space="preserve">: </w:t>
      </w:r>
      <w:r>
        <w:rPr>
          <w:color w:val="auto"/>
          <w:sz w:val="22"/>
          <w:szCs w:val="22"/>
          <w:lang w:val="el-GR"/>
        </w:rPr>
        <w:t xml:space="preserve">Ροζ, οβάλ επικαλυμμένα με λεπτό υμένιο δισκία με </w:t>
      </w:r>
      <w:r w:rsidR="00B733CC">
        <w:rPr>
          <w:color w:val="auto"/>
          <w:sz w:val="22"/>
          <w:szCs w:val="22"/>
          <w:lang w:val="el-GR"/>
        </w:rPr>
        <w:t>μέσες</w:t>
      </w:r>
      <w:r>
        <w:rPr>
          <w:color w:val="auto"/>
          <w:sz w:val="22"/>
          <w:szCs w:val="22"/>
          <w:lang w:val="el-GR"/>
        </w:rPr>
        <w:t xml:space="preserve"> διαστάσεις 1</w:t>
      </w:r>
      <w:r w:rsidRPr="001329CD">
        <w:rPr>
          <w:color w:val="auto"/>
          <w:sz w:val="22"/>
          <w:szCs w:val="22"/>
          <w:lang w:val="el-GR"/>
        </w:rPr>
        <w:t>7</w:t>
      </w:r>
      <w:r>
        <w:rPr>
          <w:color w:val="auto"/>
          <w:sz w:val="22"/>
          <w:szCs w:val="22"/>
          <w:lang w:val="el-GR"/>
        </w:rPr>
        <w:t>.</w:t>
      </w:r>
      <w:r w:rsidRPr="001329CD">
        <w:rPr>
          <w:color w:val="auto"/>
          <w:sz w:val="22"/>
          <w:szCs w:val="22"/>
          <w:lang w:val="el-GR"/>
        </w:rPr>
        <w:t xml:space="preserve">6 </w:t>
      </w:r>
      <w:r>
        <w:rPr>
          <w:color w:val="auto"/>
          <w:sz w:val="22"/>
          <w:szCs w:val="22"/>
          <w:lang w:val="en-US"/>
        </w:rPr>
        <w:t>mm</w:t>
      </w:r>
      <w:r w:rsidRPr="001329CD">
        <w:rPr>
          <w:color w:val="auto"/>
          <w:sz w:val="22"/>
          <w:szCs w:val="22"/>
          <w:lang w:val="el-GR"/>
        </w:rPr>
        <w:t xml:space="preserve"> </w:t>
      </w:r>
      <w:r>
        <w:rPr>
          <w:color w:val="auto"/>
          <w:sz w:val="22"/>
          <w:szCs w:val="22"/>
          <w:lang w:val="en-US"/>
        </w:rPr>
        <w:t>x</w:t>
      </w:r>
      <w:r w:rsidRPr="001329CD">
        <w:rPr>
          <w:color w:val="auto"/>
          <w:sz w:val="22"/>
          <w:szCs w:val="22"/>
          <w:lang w:val="el-GR"/>
        </w:rPr>
        <w:t xml:space="preserve"> 8.8 </w:t>
      </w:r>
      <w:r>
        <w:rPr>
          <w:color w:val="auto"/>
          <w:sz w:val="22"/>
          <w:szCs w:val="22"/>
          <w:lang w:val="en-US"/>
        </w:rPr>
        <w:t>mm</w:t>
      </w:r>
      <w:r w:rsidRPr="001329CD">
        <w:rPr>
          <w:color w:val="auto"/>
          <w:sz w:val="22"/>
          <w:szCs w:val="22"/>
          <w:lang w:val="el-GR"/>
        </w:rPr>
        <w:t>.</w:t>
      </w:r>
    </w:p>
    <w:p w:rsidR="00582A00" w:rsidRDefault="00582A00">
      <w:pPr>
        <w:tabs>
          <w:tab w:val="clear" w:pos="567"/>
        </w:tabs>
        <w:spacing w:line="240" w:lineRule="auto"/>
        <w:rPr>
          <w:rFonts w:ascii="Calibri" w:hAnsi="Calibri" w:cs="Calibri"/>
          <w:noProof/>
          <w:lang w:val="el-GR"/>
        </w:rPr>
      </w:pPr>
    </w:p>
    <w:p w:rsidR="00582A00" w:rsidRPr="00123257" w:rsidRDefault="00582A00" w:rsidP="00123257">
      <w:pPr>
        <w:widowControl w:val="0"/>
        <w:outlineLvl w:val="0"/>
        <w:rPr>
          <w:rFonts w:ascii="Calibri" w:hAnsi="Calibri" w:cs="Calibri"/>
          <w:noProof/>
          <w:lang w:val="el-GR"/>
        </w:rPr>
      </w:pPr>
      <w:r w:rsidRPr="005B77AA">
        <w:rPr>
          <w:b/>
          <w:bCs/>
          <w:noProof/>
          <w:lang w:val="el-GR"/>
        </w:rPr>
        <w:t>4</w:t>
      </w:r>
      <w:r w:rsidRPr="005B77AA">
        <w:rPr>
          <w:b/>
          <w:bCs/>
          <w:i/>
          <w:iCs/>
          <w:noProof/>
          <w:lang w:val="el-GR"/>
        </w:rPr>
        <w:t>.</w:t>
      </w:r>
      <w:r w:rsidRPr="005B77AA">
        <w:rPr>
          <w:b/>
          <w:bCs/>
          <w:i/>
          <w:iCs/>
          <w:noProof/>
          <w:lang w:val="el-GR"/>
        </w:rPr>
        <w:tab/>
      </w:r>
      <w:r w:rsidRPr="001B1C22">
        <w:rPr>
          <w:b/>
          <w:bCs/>
          <w:lang w:val="el-GR"/>
        </w:rPr>
        <w:t>ΚΛΙΝΙΚΕΣ ΠΛΗΡΟΦΟΡΙΕΣ</w:t>
      </w:r>
    </w:p>
    <w:p w:rsidR="00582A00" w:rsidRPr="00123257" w:rsidRDefault="00582A00" w:rsidP="00123257">
      <w:pPr>
        <w:widowControl w:val="0"/>
        <w:tabs>
          <w:tab w:val="left" w:pos="600"/>
        </w:tabs>
        <w:outlineLvl w:val="1"/>
        <w:rPr>
          <w:rFonts w:ascii="Calibri" w:hAnsi="Calibri" w:cs="Calibri"/>
          <w:noProof/>
          <w:lang w:val="el-GR"/>
        </w:rPr>
      </w:pPr>
      <w:r w:rsidRPr="005B77AA">
        <w:rPr>
          <w:b/>
          <w:bCs/>
          <w:noProof/>
          <w:lang w:val="el-GR"/>
        </w:rPr>
        <w:t>4.1</w:t>
      </w:r>
      <w:r w:rsidRPr="005B77AA">
        <w:rPr>
          <w:b/>
          <w:bCs/>
          <w:i/>
          <w:iCs/>
          <w:noProof/>
          <w:lang w:val="el-GR"/>
        </w:rPr>
        <w:tab/>
      </w:r>
      <w:r>
        <w:rPr>
          <w:b/>
          <w:bCs/>
          <w:lang w:val="el-GR"/>
        </w:rPr>
        <w:t>Θεραπευτικές ενδείξεις</w:t>
      </w:r>
    </w:p>
    <w:p w:rsidR="00582A00" w:rsidRPr="00123257" w:rsidRDefault="00582A00">
      <w:pPr>
        <w:pStyle w:val="Default"/>
        <w:rPr>
          <w:sz w:val="22"/>
          <w:szCs w:val="22"/>
          <w:lang w:val="el-GR"/>
        </w:rPr>
      </w:pPr>
      <w:r>
        <w:rPr>
          <w:sz w:val="22"/>
          <w:szCs w:val="22"/>
          <w:lang w:val="el-GR"/>
        </w:rPr>
        <w:t xml:space="preserve">Τα </w:t>
      </w:r>
      <w:r w:rsidR="001329CD">
        <w:rPr>
          <w:sz w:val="22"/>
          <w:szCs w:val="22"/>
          <w:lang w:val="el-GR"/>
        </w:rPr>
        <w:t>γαστροανθεκτικά δισκία</w:t>
      </w:r>
      <w:r>
        <w:rPr>
          <w:sz w:val="22"/>
          <w:szCs w:val="22"/>
          <w:lang w:val="el-GR"/>
        </w:rPr>
        <w:t xml:space="preserve"> </w:t>
      </w:r>
      <w:r w:rsidR="000B645F">
        <w:rPr>
          <w:sz w:val="22"/>
          <w:szCs w:val="22"/>
          <w:lang w:val="en-GB"/>
        </w:rPr>
        <w:t>ESACTIVE</w:t>
      </w:r>
      <w:r w:rsidR="000B645F">
        <w:rPr>
          <w:sz w:val="22"/>
          <w:szCs w:val="22"/>
          <w:lang w:val="el-GR"/>
        </w:rPr>
        <w:t xml:space="preserve"> </w:t>
      </w:r>
      <w:r>
        <w:rPr>
          <w:sz w:val="22"/>
          <w:szCs w:val="22"/>
          <w:lang w:val="el-GR"/>
        </w:rPr>
        <w:t xml:space="preserve">ενδείκνυνται </w:t>
      </w:r>
      <w:r w:rsidR="00FA06F7">
        <w:rPr>
          <w:sz w:val="22"/>
          <w:szCs w:val="22"/>
          <w:lang w:val="el-GR"/>
        </w:rPr>
        <w:t>σε</w:t>
      </w:r>
      <w:r w:rsidRPr="005B77AA">
        <w:rPr>
          <w:sz w:val="22"/>
          <w:szCs w:val="22"/>
          <w:lang w:val="el-GR"/>
        </w:rPr>
        <w:t>:</w:t>
      </w:r>
    </w:p>
    <w:p w:rsidR="00123257" w:rsidRPr="00123257" w:rsidRDefault="00123257">
      <w:pPr>
        <w:pStyle w:val="Default"/>
        <w:rPr>
          <w:sz w:val="22"/>
          <w:szCs w:val="22"/>
          <w:lang w:val="el-GR"/>
        </w:rPr>
      </w:pPr>
    </w:p>
    <w:p w:rsidR="001329CD" w:rsidRPr="001329CD" w:rsidRDefault="001329CD">
      <w:pPr>
        <w:pStyle w:val="Default"/>
        <w:rPr>
          <w:rFonts w:ascii="Calibri" w:hAnsi="Calibri" w:cs="Calibri"/>
          <w:b/>
          <w:bCs/>
          <w:i/>
          <w:iCs/>
          <w:sz w:val="22"/>
          <w:szCs w:val="22"/>
          <w:lang w:val="el-GR"/>
        </w:rPr>
      </w:pPr>
      <w:r w:rsidRPr="001329CD">
        <w:rPr>
          <w:b/>
          <w:bCs/>
          <w:i/>
          <w:iCs/>
          <w:sz w:val="22"/>
          <w:szCs w:val="22"/>
          <w:lang w:val="el-GR"/>
        </w:rPr>
        <w:t>Ενήλικες</w:t>
      </w:r>
    </w:p>
    <w:p w:rsidR="00582A00" w:rsidRPr="005B77AA" w:rsidRDefault="00582A00">
      <w:pPr>
        <w:pStyle w:val="Default"/>
        <w:rPr>
          <w:rFonts w:ascii="Calibri" w:hAnsi="Calibri" w:cs="Calibri"/>
          <w:lang w:val="el-GR"/>
        </w:rPr>
      </w:pPr>
      <w:bookmarkStart w:id="0" w:name="OLE_LINK1"/>
      <w:bookmarkStart w:id="1" w:name="OLE_LINK2"/>
      <w:r>
        <w:rPr>
          <w:sz w:val="22"/>
          <w:szCs w:val="22"/>
          <w:u w:val="single"/>
          <w:lang w:val="el-GR"/>
        </w:rPr>
        <w:t>Γαστροοισοφαγική παλινδρόμηση</w:t>
      </w:r>
      <w:r w:rsidRPr="005B77AA">
        <w:rPr>
          <w:sz w:val="22"/>
          <w:szCs w:val="22"/>
          <w:u w:val="single"/>
          <w:lang w:val="el-GR"/>
        </w:rPr>
        <w:t xml:space="preserve"> (</w:t>
      </w:r>
      <w:r>
        <w:rPr>
          <w:sz w:val="22"/>
          <w:szCs w:val="22"/>
          <w:u w:val="single"/>
          <w:lang w:val="el-GR"/>
        </w:rPr>
        <w:t>ΓΟΠ</w:t>
      </w:r>
      <w:r w:rsidRPr="005B77AA">
        <w:rPr>
          <w:sz w:val="22"/>
          <w:szCs w:val="22"/>
          <w:u w:val="single"/>
          <w:lang w:val="el-GR"/>
        </w:rPr>
        <w:t xml:space="preserve">) </w:t>
      </w:r>
    </w:p>
    <w:bookmarkEnd w:id="0"/>
    <w:bookmarkEnd w:id="1"/>
    <w:p w:rsidR="00582A00" w:rsidRPr="005B77AA" w:rsidRDefault="00582A00">
      <w:pPr>
        <w:pStyle w:val="Default"/>
        <w:tabs>
          <w:tab w:val="left" w:pos="360"/>
        </w:tabs>
        <w:rPr>
          <w:sz w:val="22"/>
          <w:szCs w:val="22"/>
          <w:lang w:val="el-GR"/>
        </w:rPr>
      </w:pPr>
      <w:r w:rsidRPr="005B77AA">
        <w:rPr>
          <w:sz w:val="22"/>
          <w:szCs w:val="22"/>
          <w:lang w:val="el-GR"/>
        </w:rPr>
        <w:t>-</w:t>
      </w:r>
      <w:r w:rsidRPr="005B77AA">
        <w:rPr>
          <w:sz w:val="22"/>
          <w:szCs w:val="22"/>
          <w:lang w:val="el-GR"/>
        </w:rPr>
        <w:tab/>
      </w:r>
      <w:r w:rsidR="000B645F">
        <w:rPr>
          <w:sz w:val="22"/>
          <w:szCs w:val="22"/>
          <w:lang w:val="el-GR"/>
        </w:rPr>
        <w:t>Θ</w:t>
      </w:r>
      <w:r>
        <w:rPr>
          <w:sz w:val="22"/>
          <w:szCs w:val="22"/>
          <w:lang w:val="el-GR"/>
        </w:rPr>
        <w:t>εραπεία της διαβρωτικής οισοφαγίτιδας από παλινδρόμηση</w:t>
      </w:r>
      <w:r w:rsidRPr="005B77AA">
        <w:rPr>
          <w:sz w:val="22"/>
          <w:szCs w:val="22"/>
          <w:lang w:val="el-GR"/>
        </w:rPr>
        <w:t xml:space="preserve"> </w:t>
      </w:r>
    </w:p>
    <w:p w:rsidR="00582A00" w:rsidRPr="005B77AA" w:rsidRDefault="00582A00" w:rsidP="001B1C22">
      <w:pPr>
        <w:pStyle w:val="Default"/>
        <w:tabs>
          <w:tab w:val="left" w:pos="360"/>
        </w:tabs>
        <w:ind w:left="360" w:hanging="360"/>
        <w:rPr>
          <w:sz w:val="22"/>
          <w:szCs w:val="22"/>
          <w:lang w:val="el-GR"/>
        </w:rPr>
      </w:pPr>
      <w:r w:rsidRPr="005B77AA">
        <w:rPr>
          <w:sz w:val="22"/>
          <w:szCs w:val="22"/>
          <w:lang w:val="el-GR"/>
        </w:rPr>
        <w:t>-</w:t>
      </w:r>
      <w:r w:rsidRPr="005B77AA">
        <w:rPr>
          <w:sz w:val="22"/>
          <w:szCs w:val="22"/>
          <w:lang w:val="el-GR"/>
        </w:rPr>
        <w:tab/>
      </w:r>
      <w:r w:rsidR="000B645F">
        <w:rPr>
          <w:sz w:val="22"/>
          <w:szCs w:val="22"/>
          <w:lang w:val="el-GR"/>
        </w:rPr>
        <w:t>Μ</w:t>
      </w:r>
      <w:r>
        <w:rPr>
          <w:sz w:val="22"/>
          <w:szCs w:val="22"/>
          <w:lang w:val="el-GR"/>
        </w:rPr>
        <w:t>ακροχρόνια αντιμετώπιση ασθενών με επουλωμένη οισοφαγίτιδα ώστε να προληφθεί η υποτροπή</w:t>
      </w:r>
      <w:r w:rsidRPr="005B77AA">
        <w:rPr>
          <w:sz w:val="22"/>
          <w:szCs w:val="22"/>
          <w:lang w:val="el-GR"/>
        </w:rPr>
        <w:t xml:space="preserve"> </w:t>
      </w:r>
    </w:p>
    <w:p w:rsidR="00582A00" w:rsidRPr="005B77AA" w:rsidRDefault="00582A00">
      <w:pPr>
        <w:pStyle w:val="Default"/>
        <w:tabs>
          <w:tab w:val="left" w:pos="360"/>
        </w:tabs>
        <w:rPr>
          <w:sz w:val="22"/>
          <w:szCs w:val="22"/>
          <w:lang w:val="el-GR"/>
        </w:rPr>
      </w:pPr>
      <w:r w:rsidRPr="005B77AA">
        <w:rPr>
          <w:sz w:val="22"/>
          <w:szCs w:val="22"/>
          <w:lang w:val="el-GR"/>
        </w:rPr>
        <w:t>-</w:t>
      </w:r>
      <w:r w:rsidRPr="005B77AA">
        <w:rPr>
          <w:sz w:val="22"/>
          <w:szCs w:val="22"/>
          <w:lang w:val="el-GR"/>
        </w:rPr>
        <w:tab/>
      </w:r>
      <w:r w:rsidR="000B645F">
        <w:rPr>
          <w:sz w:val="22"/>
          <w:szCs w:val="22"/>
          <w:lang w:val="el-GR"/>
        </w:rPr>
        <w:t>Σ</w:t>
      </w:r>
      <w:r>
        <w:rPr>
          <w:sz w:val="22"/>
          <w:szCs w:val="22"/>
          <w:lang w:val="el-GR"/>
        </w:rPr>
        <w:t>υμπτωματική θεραπεία γαστροοισοφαγικής παλινδρόμησης</w:t>
      </w:r>
      <w:r w:rsidRPr="005B77AA">
        <w:rPr>
          <w:sz w:val="22"/>
          <w:szCs w:val="22"/>
          <w:lang w:val="el-GR"/>
        </w:rPr>
        <w:t xml:space="preserve"> (</w:t>
      </w:r>
      <w:r>
        <w:rPr>
          <w:sz w:val="22"/>
          <w:szCs w:val="22"/>
          <w:lang w:val="el-GR"/>
        </w:rPr>
        <w:t>ΓΟΠ</w:t>
      </w:r>
      <w:r w:rsidRPr="005B77AA">
        <w:rPr>
          <w:sz w:val="22"/>
          <w:szCs w:val="22"/>
          <w:lang w:val="el-GR"/>
        </w:rPr>
        <w:t xml:space="preserve">) </w:t>
      </w:r>
    </w:p>
    <w:p w:rsidR="00582A00" w:rsidRDefault="00582A00">
      <w:pPr>
        <w:tabs>
          <w:tab w:val="clear" w:pos="567"/>
        </w:tabs>
        <w:spacing w:line="240" w:lineRule="auto"/>
        <w:rPr>
          <w:rFonts w:ascii="Calibri" w:hAnsi="Calibri" w:cs="Calibri"/>
          <w:noProof/>
          <w:lang w:val="el-GR"/>
        </w:rPr>
      </w:pPr>
    </w:p>
    <w:p w:rsidR="00582A00" w:rsidRPr="005B77AA" w:rsidRDefault="00582A00">
      <w:pPr>
        <w:pStyle w:val="Default"/>
        <w:rPr>
          <w:rFonts w:ascii="Calibri" w:hAnsi="Calibri" w:cs="Calibri"/>
          <w:lang w:val="el-GR"/>
        </w:rPr>
      </w:pPr>
      <w:r>
        <w:rPr>
          <w:sz w:val="22"/>
          <w:szCs w:val="22"/>
          <w:u w:val="single"/>
          <w:lang w:val="el-GR"/>
        </w:rPr>
        <w:t xml:space="preserve">Σε συνδυασμό με κατάλληλα αντιβακτηριακά θεραπευτικά σχήματα για την εκρίζωση του </w:t>
      </w:r>
      <w:r>
        <w:rPr>
          <w:i/>
          <w:iCs/>
          <w:sz w:val="22"/>
          <w:szCs w:val="22"/>
          <w:u w:val="single"/>
          <w:lang w:val="en-GB"/>
        </w:rPr>
        <w:t>Helicobacter</w:t>
      </w:r>
      <w:r w:rsidRPr="005B77AA">
        <w:rPr>
          <w:i/>
          <w:iCs/>
          <w:sz w:val="22"/>
          <w:szCs w:val="22"/>
          <w:u w:val="single"/>
          <w:lang w:val="el-GR"/>
        </w:rPr>
        <w:t xml:space="preserve"> </w:t>
      </w:r>
      <w:r>
        <w:rPr>
          <w:i/>
          <w:iCs/>
          <w:sz w:val="22"/>
          <w:szCs w:val="22"/>
          <w:u w:val="single"/>
          <w:lang w:val="en-GB"/>
        </w:rPr>
        <w:t>pylori</w:t>
      </w:r>
      <w:r w:rsidRPr="005B77AA">
        <w:rPr>
          <w:i/>
          <w:iCs/>
          <w:sz w:val="22"/>
          <w:szCs w:val="22"/>
          <w:u w:val="single"/>
          <w:lang w:val="el-GR"/>
        </w:rPr>
        <w:t xml:space="preserve"> </w:t>
      </w:r>
      <w:r>
        <w:rPr>
          <w:sz w:val="22"/>
          <w:szCs w:val="22"/>
          <w:u w:val="single"/>
          <w:lang w:val="el-GR"/>
        </w:rPr>
        <w:t>και</w:t>
      </w:r>
      <w:r w:rsidRPr="005B77AA">
        <w:rPr>
          <w:sz w:val="22"/>
          <w:szCs w:val="22"/>
          <w:u w:val="single"/>
          <w:lang w:val="el-GR"/>
        </w:rPr>
        <w:t xml:space="preserve"> </w:t>
      </w:r>
    </w:p>
    <w:p w:rsidR="00582A00" w:rsidRPr="005B77AA" w:rsidRDefault="00582A00">
      <w:pPr>
        <w:pStyle w:val="Default"/>
        <w:tabs>
          <w:tab w:val="left" w:pos="360"/>
        </w:tabs>
        <w:rPr>
          <w:sz w:val="22"/>
          <w:szCs w:val="22"/>
          <w:lang w:val="el-GR"/>
        </w:rPr>
      </w:pPr>
      <w:r w:rsidRPr="005B77AA">
        <w:rPr>
          <w:sz w:val="22"/>
          <w:szCs w:val="22"/>
          <w:lang w:val="el-GR"/>
        </w:rPr>
        <w:t>-</w:t>
      </w:r>
      <w:r w:rsidRPr="005B77AA">
        <w:rPr>
          <w:sz w:val="22"/>
          <w:szCs w:val="22"/>
          <w:lang w:val="el-GR"/>
        </w:rPr>
        <w:tab/>
      </w:r>
      <w:r w:rsidR="000B645F">
        <w:rPr>
          <w:sz w:val="22"/>
          <w:szCs w:val="22"/>
          <w:lang w:val="el-GR"/>
        </w:rPr>
        <w:t>Ε</w:t>
      </w:r>
      <w:r>
        <w:rPr>
          <w:sz w:val="22"/>
          <w:szCs w:val="22"/>
          <w:lang w:val="el-GR"/>
        </w:rPr>
        <w:t xml:space="preserve">πούλωση του έλκους δωδεκαδακτύλου που σχετίζεται με </w:t>
      </w:r>
      <w:r>
        <w:rPr>
          <w:i/>
          <w:iCs/>
          <w:sz w:val="22"/>
          <w:szCs w:val="22"/>
          <w:lang w:val="en-GB"/>
        </w:rPr>
        <w:t>Helicobacter</w:t>
      </w:r>
      <w:r w:rsidRPr="005B77AA">
        <w:rPr>
          <w:i/>
          <w:iCs/>
          <w:sz w:val="22"/>
          <w:szCs w:val="22"/>
          <w:lang w:val="el-GR"/>
        </w:rPr>
        <w:t xml:space="preserve"> </w:t>
      </w:r>
      <w:r>
        <w:rPr>
          <w:i/>
          <w:iCs/>
          <w:sz w:val="22"/>
          <w:szCs w:val="22"/>
          <w:lang w:val="en-GB"/>
        </w:rPr>
        <w:t>pylori</w:t>
      </w:r>
      <w:r w:rsidRPr="005B77AA">
        <w:rPr>
          <w:i/>
          <w:iCs/>
          <w:sz w:val="22"/>
          <w:szCs w:val="22"/>
          <w:lang w:val="el-GR"/>
        </w:rPr>
        <w:t xml:space="preserve"> </w:t>
      </w:r>
      <w:r>
        <w:rPr>
          <w:sz w:val="22"/>
          <w:szCs w:val="22"/>
          <w:lang w:val="el-GR"/>
        </w:rPr>
        <w:t>και</w:t>
      </w:r>
      <w:r w:rsidRPr="005B77AA">
        <w:rPr>
          <w:sz w:val="22"/>
          <w:szCs w:val="22"/>
          <w:lang w:val="el-GR"/>
        </w:rPr>
        <w:t xml:space="preserve"> </w:t>
      </w:r>
    </w:p>
    <w:p w:rsidR="00582A00" w:rsidRPr="005B77AA" w:rsidRDefault="00582A00" w:rsidP="001B1C22">
      <w:pPr>
        <w:pStyle w:val="Default"/>
        <w:tabs>
          <w:tab w:val="left" w:pos="360"/>
        </w:tabs>
        <w:ind w:left="360" w:hanging="360"/>
        <w:rPr>
          <w:sz w:val="22"/>
          <w:szCs w:val="22"/>
          <w:lang w:val="el-GR"/>
        </w:rPr>
      </w:pPr>
      <w:r w:rsidRPr="005B77AA">
        <w:rPr>
          <w:sz w:val="22"/>
          <w:szCs w:val="22"/>
          <w:lang w:val="el-GR"/>
        </w:rPr>
        <w:t>-</w:t>
      </w:r>
      <w:r w:rsidRPr="005B77AA">
        <w:rPr>
          <w:sz w:val="22"/>
          <w:szCs w:val="22"/>
          <w:lang w:val="el-GR"/>
        </w:rPr>
        <w:tab/>
      </w:r>
      <w:r w:rsidR="000B645F">
        <w:rPr>
          <w:sz w:val="22"/>
          <w:szCs w:val="22"/>
          <w:lang w:val="el-GR"/>
        </w:rPr>
        <w:t>Π</w:t>
      </w:r>
      <w:r>
        <w:rPr>
          <w:sz w:val="22"/>
          <w:szCs w:val="22"/>
          <w:lang w:val="el-GR"/>
        </w:rPr>
        <w:t xml:space="preserve">ρόληψη της υποτροπής πεπτικών ελκών σε ασθενείς με έλκη που σχετίζονται με </w:t>
      </w:r>
      <w:r>
        <w:rPr>
          <w:i/>
          <w:iCs/>
          <w:sz w:val="22"/>
          <w:szCs w:val="22"/>
          <w:lang w:val="en-GB"/>
        </w:rPr>
        <w:t>Helicobacter</w:t>
      </w:r>
      <w:r w:rsidRPr="005B77AA">
        <w:rPr>
          <w:i/>
          <w:iCs/>
          <w:sz w:val="22"/>
          <w:szCs w:val="22"/>
          <w:lang w:val="el-GR"/>
        </w:rPr>
        <w:t xml:space="preserve"> </w:t>
      </w:r>
      <w:r>
        <w:rPr>
          <w:i/>
          <w:iCs/>
          <w:sz w:val="22"/>
          <w:szCs w:val="22"/>
          <w:lang w:val="en-GB"/>
        </w:rPr>
        <w:t>pylori</w:t>
      </w:r>
      <w:r w:rsidRPr="005B77AA">
        <w:rPr>
          <w:sz w:val="22"/>
          <w:szCs w:val="22"/>
          <w:lang w:val="el-GR"/>
        </w:rPr>
        <w:t xml:space="preserve"> </w:t>
      </w:r>
    </w:p>
    <w:p w:rsidR="00582A00" w:rsidRDefault="00582A00">
      <w:pPr>
        <w:tabs>
          <w:tab w:val="clear" w:pos="567"/>
        </w:tabs>
        <w:spacing w:line="240" w:lineRule="auto"/>
        <w:rPr>
          <w:rFonts w:ascii="Calibri" w:hAnsi="Calibri" w:cs="Calibri"/>
          <w:noProof/>
          <w:lang w:val="el-GR"/>
        </w:rPr>
      </w:pPr>
    </w:p>
    <w:p w:rsidR="00582A00" w:rsidRPr="005B77AA" w:rsidRDefault="00582A00">
      <w:pPr>
        <w:pStyle w:val="Default"/>
        <w:rPr>
          <w:rFonts w:ascii="Calibri" w:hAnsi="Calibri" w:cs="Calibri"/>
          <w:lang w:val="el-GR"/>
        </w:rPr>
      </w:pPr>
      <w:r>
        <w:rPr>
          <w:sz w:val="22"/>
          <w:szCs w:val="22"/>
          <w:u w:val="single"/>
          <w:lang w:val="el-GR"/>
        </w:rPr>
        <w:t>Ασθενείς οι οποίοι χρειάζονται συνεχιζόμενη αγωγή με ΜΣΑΦ</w:t>
      </w:r>
      <w:r w:rsidRPr="005B77AA">
        <w:rPr>
          <w:sz w:val="22"/>
          <w:szCs w:val="22"/>
          <w:u w:val="single"/>
          <w:lang w:val="el-GR"/>
        </w:rPr>
        <w:t xml:space="preserve"> </w:t>
      </w:r>
    </w:p>
    <w:p w:rsidR="00582A00" w:rsidRPr="005B77AA" w:rsidRDefault="00582A00">
      <w:pPr>
        <w:pStyle w:val="Default"/>
        <w:rPr>
          <w:rFonts w:ascii="Calibri" w:hAnsi="Calibri" w:cs="Calibri"/>
          <w:lang w:val="el-GR"/>
        </w:rPr>
      </w:pPr>
      <w:r>
        <w:rPr>
          <w:sz w:val="22"/>
          <w:szCs w:val="22"/>
          <w:lang w:val="el-GR"/>
        </w:rPr>
        <w:t>Επούλωση γαστρικών ελκών που σχετίζονται με αγωγή με ΜΣΑΦ</w:t>
      </w:r>
      <w:r w:rsidRPr="005B77AA">
        <w:rPr>
          <w:sz w:val="22"/>
          <w:szCs w:val="22"/>
          <w:lang w:val="el-GR"/>
        </w:rPr>
        <w:t xml:space="preserve">. </w:t>
      </w:r>
    </w:p>
    <w:p w:rsidR="00582A00" w:rsidRPr="005B77AA" w:rsidRDefault="00582A00">
      <w:pPr>
        <w:pStyle w:val="Default"/>
        <w:rPr>
          <w:rFonts w:ascii="Calibri" w:hAnsi="Calibri" w:cs="Calibri"/>
          <w:lang w:val="el-GR"/>
        </w:rPr>
      </w:pPr>
      <w:r>
        <w:rPr>
          <w:sz w:val="22"/>
          <w:szCs w:val="22"/>
          <w:lang w:val="el-GR"/>
        </w:rPr>
        <w:t>Πρόληψη των γαστρικών και δωδεκαδακτυλικών ελκών που σχετίζονται με αγωγή με ΜΣΑΦ</w:t>
      </w:r>
      <w:r w:rsidRPr="005B77AA">
        <w:rPr>
          <w:sz w:val="22"/>
          <w:szCs w:val="22"/>
          <w:lang w:val="el-GR"/>
        </w:rPr>
        <w:t xml:space="preserve">, </w:t>
      </w:r>
      <w:r>
        <w:rPr>
          <w:sz w:val="22"/>
          <w:szCs w:val="22"/>
          <w:lang w:val="el-GR"/>
        </w:rPr>
        <w:t>σε ασθενείς που διατρέχουν κίνδυνο</w:t>
      </w:r>
      <w:r w:rsidRPr="005B77AA">
        <w:rPr>
          <w:sz w:val="22"/>
          <w:szCs w:val="22"/>
          <w:lang w:val="el-GR"/>
        </w:rPr>
        <w:t xml:space="preserve">. </w:t>
      </w:r>
    </w:p>
    <w:p w:rsidR="00582A00" w:rsidRDefault="00582A00">
      <w:pPr>
        <w:tabs>
          <w:tab w:val="clear" w:pos="567"/>
        </w:tabs>
        <w:spacing w:line="240" w:lineRule="auto"/>
        <w:rPr>
          <w:rFonts w:ascii="Calibri" w:hAnsi="Calibri" w:cs="Calibri"/>
          <w:noProof/>
          <w:lang w:val="el-GR"/>
        </w:rPr>
      </w:pPr>
    </w:p>
    <w:p w:rsidR="00582A00" w:rsidRPr="005B77AA" w:rsidRDefault="00582A00">
      <w:pPr>
        <w:autoSpaceDE w:val="0"/>
        <w:autoSpaceDN w:val="0"/>
        <w:adjustRightInd w:val="0"/>
        <w:rPr>
          <w:rFonts w:ascii="Calibri" w:hAnsi="Calibri" w:cs="Calibri"/>
          <w:lang w:val="el-GR"/>
        </w:rPr>
      </w:pPr>
      <w:r w:rsidRPr="001B1C22">
        <w:rPr>
          <w:color w:val="000000"/>
          <w:u w:val="single"/>
          <w:lang w:val="el-GR"/>
        </w:rPr>
        <w:t>Παρατεταμένη θεραπεία μετά την αποτροπή της επανεμφάνισης πεπτικών ελκών με χρήση ενδοφλέβιων φαρμάκων</w:t>
      </w:r>
      <w:r w:rsidRPr="005B77AA">
        <w:rPr>
          <w:color w:val="000000"/>
          <w:u w:val="single"/>
          <w:lang w:val="el-GR"/>
        </w:rPr>
        <w:t xml:space="preserve">. </w:t>
      </w:r>
    </w:p>
    <w:p w:rsidR="00582A00" w:rsidRDefault="00582A00">
      <w:pPr>
        <w:tabs>
          <w:tab w:val="clear" w:pos="567"/>
        </w:tabs>
        <w:spacing w:line="240" w:lineRule="auto"/>
        <w:rPr>
          <w:rFonts w:ascii="Calibri" w:hAnsi="Calibri" w:cs="Calibri"/>
          <w:noProof/>
          <w:lang w:val="el-GR"/>
        </w:rPr>
      </w:pPr>
    </w:p>
    <w:p w:rsidR="001329CD" w:rsidRDefault="00582A00">
      <w:pPr>
        <w:pStyle w:val="Default"/>
        <w:rPr>
          <w:sz w:val="22"/>
          <w:szCs w:val="22"/>
          <w:u w:val="single"/>
          <w:lang w:val="el-GR"/>
        </w:rPr>
      </w:pPr>
      <w:r>
        <w:rPr>
          <w:sz w:val="22"/>
          <w:szCs w:val="22"/>
          <w:u w:val="single"/>
          <w:lang w:val="el-GR"/>
        </w:rPr>
        <w:t xml:space="preserve">Θεραπεία συνδρόμου </w:t>
      </w:r>
      <w:r>
        <w:rPr>
          <w:sz w:val="22"/>
          <w:szCs w:val="22"/>
          <w:u w:val="single"/>
          <w:lang w:val="en-US"/>
        </w:rPr>
        <w:t>Zollinger</w:t>
      </w:r>
      <w:r w:rsidRPr="005B77AA">
        <w:rPr>
          <w:sz w:val="22"/>
          <w:szCs w:val="22"/>
          <w:u w:val="single"/>
          <w:lang w:val="el-GR"/>
        </w:rPr>
        <w:t xml:space="preserve"> </w:t>
      </w:r>
      <w:r>
        <w:rPr>
          <w:sz w:val="22"/>
          <w:szCs w:val="22"/>
          <w:u w:val="single"/>
          <w:lang w:val="en-US"/>
        </w:rPr>
        <w:t>Ellison</w:t>
      </w:r>
      <w:r w:rsidRPr="005B77AA">
        <w:rPr>
          <w:sz w:val="22"/>
          <w:szCs w:val="22"/>
          <w:u w:val="single"/>
          <w:lang w:val="el-GR"/>
        </w:rPr>
        <w:t xml:space="preserve"> </w:t>
      </w:r>
    </w:p>
    <w:p w:rsidR="001329CD" w:rsidRDefault="001329CD">
      <w:pPr>
        <w:pStyle w:val="Default"/>
        <w:rPr>
          <w:sz w:val="22"/>
          <w:szCs w:val="22"/>
          <w:u w:val="single"/>
          <w:lang w:val="el-GR"/>
        </w:rPr>
      </w:pPr>
    </w:p>
    <w:p w:rsidR="001329CD" w:rsidRDefault="001329CD">
      <w:pPr>
        <w:pStyle w:val="Default"/>
        <w:rPr>
          <w:b/>
          <w:bCs/>
          <w:i/>
          <w:iCs/>
          <w:sz w:val="22"/>
          <w:szCs w:val="22"/>
          <w:lang w:val="el-GR"/>
        </w:rPr>
      </w:pPr>
      <w:r w:rsidRPr="001329CD">
        <w:rPr>
          <w:b/>
          <w:bCs/>
          <w:i/>
          <w:iCs/>
          <w:sz w:val="22"/>
          <w:szCs w:val="22"/>
          <w:lang w:val="el-GR"/>
        </w:rPr>
        <w:t>Έφηβοι από την ηλικία των 12</w:t>
      </w:r>
      <w:r w:rsidR="00FA06F7">
        <w:rPr>
          <w:b/>
          <w:bCs/>
          <w:i/>
          <w:iCs/>
          <w:sz w:val="22"/>
          <w:szCs w:val="22"/>
          <w:lang w:val="el-GR"/>
        </w:rPr>
        <w:t xml:space="preserve"> ετών</w:t>
      </w:r>
    </w:p>
    <w:p w:rsidR="00B01F76" w:rsidRPr="00B01F76" w:rsidRDefault="00B01F76">
      <w:pPr>
        <w:pStyle w:val="Default"/>
        <w:rPr>
          <w:sz w:val="22"/>
          <w:szCs w:val="22"/>
          <w:u w:val="single"/>
          <w:lang w:val="el-GR"/>
        </w:rPr>
      </w:pPr>
      <w:r w:rsidRPr="00FA06F7">
        <w:rPr>
          <w:sz w:val="22"/>
          <w:szCs w:val="22"/>
          <w:u w:val="single"/>
          <w:lang w:val="el-GR"/>
        </w:rPr>
        <w:t>Γαστροοισοφαγική παλινδρόμηση (ΓΟΠ)</w:t>
      </w:r>
    </w:p>
    <w:p w:rsidR="00076253" w:rsidRPr="005B77AA" w:rsidRDefault="00076253" w:rsidP="00076253">
      <w:pPr>
        <w:pStyle w:val="Default"/>
        <w:tabs>
          <w:tab w:val="left" w:pos="360"/>
        </w:tabs>
        <w:rPr>
          <w:sz w:val="22"/>
          <w:szCs w:val="22"/>
          <w:lang w:val="el-GR"/>
        </w:rPr>
      </w:pPr>
      <w:r w:rsidRPr="005B77AA">
        <w:rPr>
          <w:sz w:val="22"/>
          <w:szCs w:val="22"/>
          <w:lang w:val="el-GR"/>
        </w:rPr>
        <w:t>-</w:t>
      </w:r>
      <w:r w:rsidRPr="005B77AA">
        <w:rPr>
          <w:sz w:val="22"/>
          <w:szCs w:val="22"/>
          <w:lang w:val="el-GR"/>
        </w:rPr>
        <w:tab/>
      </w:r>
      <w:r>
        <w:rPr>
          <w:sz w:val="22"/>
          <w:szCs w:val="22"/>
          <w:lang w:val="el-GR"/>
        </w:rPr>
        <w:t>Θεραπεία της διαβρωτικής οισοφαγίτιδας από παλινδρόμηση</w:t>
      </w:r>
      <w:r w:rsidRPr="005B77AA">
        <w:rPr>
          <w:sz w:val="22"/>
          <w:szCs w:val="22"/>
          <w:lang w:val="el-GR"/>
        </w:rPr>
        <w:t xml:space="preserve"> </w:t>
      </w:r>
    </w:p>
    <w:p w:rsidR="00076253" w:rsidRPr="005B77AA" w:rsidRDefault="00076253" w:rsidP="00076253">
      <w:pPr>
        <w:pStyle w:val="Default"/>
        <w:tabs>
          <w:tab w:val="left" w:pos="360"/>
        </w:tabs>
        <w:ind w:left="360" w:hanging="360"/>
        <w:rPr>
          <w:sz w:val="22"/>
          <w:szCs w:val="22"/>
          <w:lang w:val="el-GR"/>
        </w:rPr>
      </w:pPr>
      <w:r w:rsidRPr="005B77AA">
        <w:rPr>
          <w:sz w:val="22"/>
          <w:szCs w:val="22"/>
          <w:lang w:val="el-GR"/>
        </w:rPr>
        <w:t>-</w:t>
      </w:r>
      <w:r w:rsidRPr="005B77AA">
        <w:rPr>
          <w:sz w:val="22"/>
          <w:szCs w:val="22"/>
          <w:lang w:val="el-GR"/>
        </w:rPr>
        <w:tab/>
      </w:r>
      <w:r>
        <w:rPr>
          <w:sz w:val="22"/>
          <w:szCs w:val="22"/>
          <w:lang w:val="el-GR"/>
        </w:rPr>
        <w:t>Μακροχρόνια αντιμετώπιση ασθενών με επουλωμένη οισοφαγίτιδα ώστε να προληφθεί η υποτροπή</w:t>
      </w:r>
      <w:r w:rsidRPr="005B77AA">
        <w:rPr>
          <w:sz w:val="22"/>
          <w:szCs w:val="22"/>
          <w:lang w:val="el-GR"/>
        </w:rPr>
        <w:t xml:space="preserve"> </w:t>
      </w:r>
    </w:p>
    <w:p w:rsidR="00076253" w:rsidRDefault="00076253" w:rsidP="00076253">
      <w:pPr>
        <w:pStyle w:val="Default"/>
        <w:tabs>
          <w:tab w:val="left" w:pos="360"/>
        </w:tabs>
        <w:rPr>
          <w:sz w:val="22"/>
          <w:szCs w:val="22"/>
          <w:lang w:val="el-GR"/>
        </w:rPr>
      </w:pPr>
      <w:r w:rsidRPr="005B77AA">
        <w:rPr>
          <w:sz w:val="22"/>
          <w:szCs w:val="22"/>
          <w:lang w:val="el-GR"/>
        </w:rPr>
        <w:t>-</w:t>
      </w:r>
      <w:r w:rsidRPr="005B77AA">
        <w:rPr>
          <w:sz w:val="22"/>
          <w:szCs w:val="22"/>
          <w:lang w:val="el-GR"/>
        </w:rPr>
        <w:tab/>
      </w:r>
      <w:r>
        <w:rPr>
          <w:sz w:val="22"/>
          <w:szCs w:val="22"/>
          <w:lang w:val="el-GR"/>
        </w:rPr>
        <w:t>Συμπτωματική θεραπεία γαστροοισοφαγικής παλινδρόμησης</w:t>
      </w:r>
      <w:r w:rsidRPr="005B77AA">
        <w:rPr>
          <w:sz w:val="22"/>
          <w:szCs w:val="22"/>
          <w:lang w:val="el-GR"/>
        </w:rPr>
        <w:t xml:space="preserve"> (</w:t>
      </w:r>
      <w:r>
        <w:rPr>
          <w:sz w:val="22"/>
          <w:szCs w:val="22"/>
          <w:lang w:val="el-GR"/>
        </w:rPr>
        <w:t>ΓΟΠ</w:t>
      </w:r>
      <w:r w:rsidRPr="005B77AA">
        <w:rPr>
          <w:sz w:val="22"/>
          <w:szCs w:val="22"/>
          <w:lang w:val="el-GR"/>
        </w:rPr>
        <w:t xml:space="preserve">) </w:t>
      </w:r>
    </w:p>
    <w:p w:rsidR="00081573" w:rsidRDefault="00081573" w:rsidP="00076253">
      <w:pPr>
        <w:pStyle w:val="Default"/>
        <w:tabs>
          <w:tab w:val="left" w:pos="360"/>
        </w:tabs>
        <w:rPr>
          <w:sz w:val="22"/>
          <w:szCs w:val="22"/>
          <w:lang w:val="el-GR"/>
        </w:rPr>
      </w:pPr>
    </w:p>
    <w:p w:rsidR="00192BC0" w:rsidRPr="00877987" w:rsidRDefault="00192BC0" w:rsidP="00076253">
      <w:pPr>
        <w:pStyle w:val="Default"/>
        <w:tabs>
          <w:tab w:val="left" w:pos="360"/>
        </w:tabs>
        <w:rPr>
          <w:sz w:val="22"/>
          <w:szCs w:val="22"/>
          <w:u w:val="single"/>
          <w:lang w:val="el-GR"/>
        </w:rPr>
      </w:pPr>
      <w:r w:rsidRPr="00877987">
        <w:rPr>
          <w:sz w:val="22"/>
          <w:szCs w:val="22"/>
          <w:u w:val="single"/>
          <w:lang w:val="el-GR"/>
        </w:rPr>
        <w:t xml:space="preserve">Σε συνδυασμό με αντιβιοτικά για τη θεραπεία του έλκους δωδεκαδακτύλου που σχετίζεται με </w:t>
      </w:r>
      <w:r w:rsidRPr="00877987">
        <w:rPr>
          <w:i/>
          <w:iCs/>
          <w:sz w:val="22"/>
          <w:szCs w:val="22"/>
          <w:u w:val="single"/>
          <w:lang w:val="en-US"/>
        </w:rPr>
        <w:t>Helicobacter</w:t>
      </w:r>
      <w:r w:rsidRPr="00877987">
        <w:rPr>
          <w:i/>
          <w:iCs/>
          <w:sz w:val="22"/>
          <w:szCs w:val="22"/>
          <w:u w:val="single"/>
          <w:lang w:val="el-GR"/>
        </w:rPr>
        <w:t xml:space="preserve"> </w:t>
      </w:r>
      <w:r w:rsidRPr="00877987">
        <w:rPr>
          <w:i/>
          <w:iCs/>
          <w:sz w:val="22"/>
          <w:szCs w:val="22"/>
          <w:u w:val="single"/>
          <w:lang w:val="en-US"/>
        </w:rPr>
        <w:t>pylori</w:t>
      </w:r>
      <w:r w:rsidRPr="00877987">
        <w:rPr>
          <w:sz w:val="22"/>
          <w:szCs w:val="22"/>
          <w:u w:val="single"/>
          <w:lang w:val="el-GR"/>
        </w:rPr>
        <w:t>.</w:t>
      </w:r>
    </w:p>
    <w:p w:rsidR="00582A00" w:rsidRPr="00192BC0" w:rsidRDefault="00582A00">
      <w:pPr>
        <w:tabs>
          <w:tab w:val="clear" w:pos="567"/>
        </w:tabs>
        <w:spacing w:line="240" w:lineRule="auto"/>
        <w:rPr>
          <w:rFonts w:ascii="Calibri" w:hAnsi="Calibri" w:cs="Calibri"/>
          <w:lang w:val="el-GR"/>
        </w:rPr>
      </w:pPr>
    </w:p>
    <w:p w:rsidR="00582A00" w:rsidRPr="00123257" w:rsidRDefault="00582A00" w:rsidP="00123257">
      <w:pPr>
        <w:widowControl w:val="0"/>
        <w:tabs>
          <w:tab w:val="left" w:pos="600"/>
        </w:tabs>
        <w:outlineLvl w:val="1"/>
        <w:rPr>
          <w:rFonts w:ascii="Calibri" w:hAnsi="Calibri" w:cs="Calibri"/>
          <w:b/>
          <w:bCs/>
          <w:noProof/>
          <w:lang w:val="en-US"/>
        </w:rPr>
      </w:pPr>
      <w:r w:rsidRPr="005B77AA">
        <w:rPr>
          <w:b/>
          <w:bCs/>
          <w:noProof/>
          <w:lang w:val="el-GR"/>
        </w:rPr>
        <w:t>4.2</w:t>
      </w:r>
      <w:r w:rsidRPr="005B77AA">
        <w:rPr>
          <w:b/>
          <w:bCs/>
          <w:i/>
          <w:iCs/>
          <w:noProof/>
          <w:lang w:val="el-GR"/>
        </w:rPr>
        <w:tab/>
      </w:r>
      <w:r>
        <w:rPr>
          <w:b/>
          <w:bCs/>
          <w:lang w:val="el-GR"/>
        </w:rPr>
        <w:t>Δοσολογία και τρόπος χορήγησης</w:t>
      </w:r>
    </w:p>
    <w:p w:rsidR="00192BC0" w:rsidRPr="00192BC0" w:rsidRDefault="00192BC0">
      <w:pPr>
        <w:tabs>
          <w:tab w:val="clear" w:pos="567"/>
        </w:tabs>
        <w:spacing w:line="240" w:lineRule="auto"/>
        <w:rPr>
          <w:b/>
          <w:bCs/>
          <w:noProof/>
          <w:lang w:val="el-GR"/>
        </w:rPr>
      </w:pPr>
      <w:r w:rsidRPr="00192BC0">
        <w:rPr>
          <w:b/>
          <w:bCs/>
          <w:noProof/>
          <w:lang w:val="el-GR"/>
        </w:rPr>
        <w:t>Δοσολογία</w:t>
      </w:r>
    </w:p>
    <w:p w:rsidR="00582A00" w:rsidRPr="005B77AA" w:rsidRDefault="00582A00">
      <w:pPr>
        <w:pStyle w:val="Default"/>
        <w:rPr>
          <w:rFonts w:ascii="Calibri" w:hAnsi="Calibri" w:cs="Calibri"/>
          <w:lang w:val="el-GR"/>
        </w:rPr>
      </w:pPr>
      <w:r>
        <w:rPr>
          <w:sz w:val="22"/>
          <w:szCs w:val="22"/>
          <w:u w:val="single"/>
          <w:lang w:val="el-GR"/>
        </w:rPr>
        <w:t>Ενήλικες και έφηβοι από την ηλικία των</w:t>
      </w:r>
      <w:r w:rsidRPr="005B77AA">
        <w:rPr>
          <w:sz w:val="22"/>
          <w:szCs w:val="22"/>
          <w:u w:val="single"/>
          <w:lang w:val="el-GR"/>
        </w:rPr>
        <w:t xml:space="preserve"> 12 </w:t>
      </w:r>
      <w:r>
        <w:rPr>
          <w:sz w:val="22"/>
          <w:szCs w:val="22"/>
          <w:u w:val="single"/>
          <w:lang w:val="el-GR"/>
        </w:rPr>
        <w:t>ετών</w:t>
      </w:r>
      <w:r w:rsidRPr="005B77AA">
        <w:rPr>
          <w:sz w:val="22"/>
          <w:szCs w:val="22"/>
          <w:lang w:val="el-GR"/>
        </w:rPr>
        <w:t xml:space="preserve"> </w:t>
      </w:r>
    </w:p>
    <w:p w:rsidR="00582A00" w:rsidRPr="005B77AA" w:rsidRDefault="00582A00">
      <w:pPr>
        <w:pStyle w:val="Default"/>
        <w:rPr>
          <w:rFonts w:ascii="Calibri" w:hAnsi="Calibri" w:cs="Calibri"/>
          <w:lang w:val="el-GR"/>
        </w:rPr>
      </w:pPr>
      <w:r>
        <w:rPr>
          <w:i/>
          <w:iCs/>
          <w:sz w:val="22"/>
          <w:szCs w:val="22"/>
          <w:lang w:val="el-GR"/>
        </w:rPr>
        <w:lastRenderedPageBreak/>
        <w:t>Γαστροοισοφαγική παλινδρόμηση</w:t>
      </w:r>
      <w:r w:rsidRPr="005B77AA">
        <w:rPr>
          <w:i/>
          <w:iCs/>
          <w:sz w:val="22"/>
          <w:szCs w:val="22"/>
          <w:lang w:val="el-GR"/>
        </w:rPr>
        <w:t xml:space="preserve"> (</w:t>
      </w:r>
      <w:r>
        <w:rPr>
          <w:i/>
          <w:iCs/>
          <w:sz w:val="22"/>
          <w:szCs w:val="22"/>
          <w:lang w:val="el-GR"/>
        </w:rPr>
        <w:t>ΓΟΠ</w:t>
      </w:r>
      <w:r w:rsidRPr="005B77AA">
        <w:rPr>
          <w:i/>
          <w:iCs/>
          <w:sz w:val="22"/>
          <w:szCs w:val="22"/>
          <w:lang w:val="el-GR"/>
        </w:rPr>
        <w:t xml:space="preserve">) </w:t>
      </w:r>
    </w:p>
    <w:p w:rsidR="00582A00" w:rsidRPr="005B77AA" w:rsidRDefault="00582A00">
      <w:pPr>
        <w:pStyle w:val="Default"/>
        <w:tabs>
          <w:tab w:val="left" w:pos="360"/>
        </w:tabs>
        <w:rPr>
          <w:rFonts w:ascii="Calibri" w:hAnsi="Calibri" w:cs="Calibri"/>
          <w:sz w:val="22"/>
          <w:szCs w:val="22"/>
          <w:lang w:val="el-GR"/>
        </w:rPr>
      </w:pPr>
      <w:r w:rsidRPr="005B77AA">
        <w:rPr>
          <w:sz w:val="22"/>
          <w:szCs w:val="22"/>
          <w:lang w:val="el-GR"/>
        </w:rPr>
        <w:t>-</w:t>
      </w:r>
      <w:r w:rsidRPr="005B77AA">
        <w:rPr>
          <w:sz w:val="22"/>
          <w:szCs w:val="22"/>
          <w:lang w:val="el-GR"/>
        </w:rPr>
        <w:tab/>
      </w:r>
      <w:r w:rsidR="000B645F">
        <w:rPr>
          <w:sz w:val="22"/>
          <w:szCs w:val="22"/>
          <w:lang w:val="el-GR"/>
        </w:rPr>
        <w:t>Θ</w:t>
      </w:r>
      <w:r>
        <w:rPr>
          <w:sz w:val="22"/>
          <w:szCs w:val="22"/>
          <w:lang w:val="el-GR"/>
        </w:rPr>
        <w:t>εραπεία της διαβρωτικής οισοφαγίτιδας από παλινδρόμηση</w:t>
      </w:r>
      <w:r w:rsidRPr="005B77AA">
        <w:rPr>
          <w:sz w:val="22"/>
          <w:szCs w:val="22"/>
          <w:u w:val="single"/>
          <w:lang w:val="el-GR"/>
        </w:rPr>
        <w:t xml:space="preserve"> </w:t>
      </w:r>
    </w:p>
    <w:p w:rsidR="00582A00" w:rsidRDefault="00582A00">
      <w:pPr>
        <w:pStyle w:val="Default"/>
        <w:ind w:left="360"/>
        <w:rPr>
          <w:lang w:val="el-GR"/>
        </w:rPr>
      </w:pPr>
      <w:r>
        <w:rPr>
          <w:sz w:val="22"/>
          <w:szCs w:val="22"/>
          <w:lang w:val="el-GR"/>
        </w:rPr>
        <w:t xml:space="preserve">40 mg μία φορά την ημέρα επί 4 εβδομάδες. </w:t>
      </w:r>
    </w:p>
    <w:p w:rsidR="00582A00" w:rsidRDefault="00582A00">
      <w:pPr>
        <w:pStyle w:val="Default"/>
        <w:ind w:left="360"/>
        <w:rPr>
          <w:lang w:val="el-GR"/>
        </w:rPr>
      </w:pPr>
      <w:r>
        <w:rPr>
          <w:sz w:val="22"/>
          <w:szCs w:val="22"/>
          <w:lang w:val="el-GR"/>
        </w:rPr>
        <w:t xml:space="preserve">Συνιστάται θεραπεία για επιπλέον 4 εβδομάδες για ασθενείς στους οποίους δεν έχει επουλωθεί η οισοφαγίτιδα ή οι οποίοι έχουν επίμονα συμπτώματα. </w:t>
      </w:r>
    </w:p>
    <w:p w:rsidR="00582A00" w:rsidRDefault="00582A00">
      <w:pPr>
        <w:pStyle w:val="Default"/>
        <w:rPr>
          <w:sz w:val="22"/>
          <w:szCs w:val="22"/>
          <w:lang w:val="el-GR"/>
        </w:rPr>
      </w:pPr>
    </w:p>
    <w:p w:rsidR="00582A00" w:rsidRDefault="00582A00" w:rsidP="008F1D8B">
      <w:pPr>
        <w:pStyle w:val="Default"/>
        <w:tabs>
          <w:tab w:val="left" w:pos="360"/>
        </w:tabs>
        <w:ind w:left="360" w:hanging="360"/>
        <w:rPr>
          <w:sz w:val="22"/>
          <w:szCs w:val="22"/>
          <w:u w:val="single"/>
          <w:lang w:val="el-GR"/>
        </w:rPr>
      </w:pPr>
      <w:r>
        <w:rPr>
          <w:sz w:val="22"/>
          <w:szCs w:val="22"/>
          <w:lang w:val="el-GR"/>
        </w:rPr>
        <w:t>-</w:t>
      </w:r>
      <w:r>
        <w:rPr>
          <w:sz w:val="22"/>
          <w:szCs w:val="22"/>
          <w:lang w:val="el-GR"/>
        </w:rPr>
        <w:tab/>
      </w:r>
      <w:r w:rsidR="000B645F">
        <w:rPr>
          <w:sz w:val="22"/>
          <w:szCs w:val="22"/>
          <w:lang w:val="el-GR"/>
        </w:rPr>
        <w:t>Μ</w:t>
      </w:r>
      <w:r>
        <w:rPr>
          <w:sz w:val="22"/>
          <w:szCs w:val="22"/>
          <w:lang w:val="el-GR"/>
        </w:rPr>
        <w:t xml:space="preserve">ακροχρόνια αντιμετώπιση ασθενών με επουλωμένη οισοφαγίτιδα ώστε να προληφθεί η υποτροπή </w:t>
      </w:r>
    </w:p>
    <w:p w:rsidR="00582A00" w:rsidRDefault="00582A00">
      <w:pPr>
        <w:pStyle w:val="Default"/>
        <w:ind w:firstLine="360"/>
        <w:rPr>
          <w:lang w:val="el-GR"/>
        </w:rPr>
      </w:pPr>
      <w:r>
        <w:rPr>
          <w:sz w:val="22"/>
          <w:szCs w:val="22"/>
          <w:lang w:val="el-GR"/>
        </w:rPr>
        <w:t xml:space="preserve">20 mg μία φορά την ημέρα. </w:t>
      </w:r>
    </w:p>
    <w:p w:rsidR="00582A00" w:rsidRDefault="00582A00">
      <w:pPr>
        <w:pStyle w:val="Default"/>
        <w:rPr>
          <w:sz w:val="22"/>
          <w:szCs w:val="22"/>
          <w:lang w:val="el-GR"/>
        </w:rPr>
      </w:pPr>
    </w:p>
    <w:p w:rsidR="00582A00" w:rsidRDefault="00582A00">
      <w:pPr>
        <w:pStyle w:val="Default"/>
        <w:tabs>
          <w:tab w:val="left" w:pos="360"/>
        </w:tabs>
        <w:rPr>
          <w:sz w:val="22"/>
          <w:szCs w:val="22"/>
          <w:lang w:val="el-GR"/>
        </w:rPr>
      </w:pPr>
      <w:r>
        <w:rPr>
          <w:sz w:val="22"/>
          <w:szCs w:val="22"/>
          <w:lang w:val="el-GR"/>
        </w:rPr>
        <w:t>-</w:t>
      </w:r>
      <w:r>
        <w:rPr>
          <w:sz w:val="22"/>
          <w:szCs w:val="22"/>
          <w:lang w:val="el-GR"/>
        </w:rPr>
        <w:tab/>
      </w:r>
      <w:r w:rsidR="000B645F">
        <w:rPr>
          <w:sz w:val="22"/>
          <w:szCs w:val="22"/>
          <w:lang w:val="el-GR"/>
        </w:rPr>
        <w:t>Σ</w:t>
      </w:r>
      <w:r>
        <w:rPr>
          <w:sz w:val="22"/>
          <w:szCs w:val="22"/>
          <w:lang w:val="el-GR"/>
        </w:rPr>
        <w:t xml:space="preserve">υμπτωματική θεραπεία γαστροοισοφαγικής παλινδρόμησης (ΓΟΠ) </w:t>
      </w:r>
    </w:p>
    <w:p w:rsidR="00582A00" w:rsidRDefault="00582A00">
      <w:pPr>
        <w:pStyle w:val="Default"/>
        <w:ind w:left="360"/>
        <w:rPr>
          <w:lang w:val="el-GR"/>
        </w:rPr>
      </w:pPr>
      <w:r>
        <w:rPr>
          <w:sz w:val="22"/>
          <w:szCs w:val="22"/>
          <w:lang w:val="el-GR"/>
        </w:rPr>
        <w:t xml:space="preserve">20 mg μία φορά την ημέρα σε ασθενείς </w:t>
      </w:r>
      <w:r w:rsidR="00582E6F">
        <w:rPr>
          <w:sz w:val="22"/>
          <w:szCs w:val="22"/>
          <w:lang w:val="el-GR"/>
        </w:rPr>
        <w:t>χωρίς</w:t>
      </w:r>
      <w:r>
        <w:rPr>
          <w:sz w:val="22"/>
          <w:szCs w:val="22"/>
          <w:lang w:val="el-GR"/>
        </w:rPr>
        <w:t xml:space="preserve"> οισοφαγίτιδα. Εάν δεν έχει επιτευχθεί ο έλεγχος των συμπτωμάτων μετά από 4 εβδομάδες, ο ασθενής θα πρέπει να διερευνηθεί περαιτέρω. Όταν υποχωρήσουν τα συμπτώματα, ο επακόλουθος έλεγχος των συμπτωμάτων μπορεί να επιτευχθεί με χρήση 20 mg μία φορά την ημέρα. Σε ενήλικες, μπορεί να χρησιμοποιηθεί ένα σχήμα κατ’ επίκληση, με λήψη 20 mg μία φορά την ημέρα, όταν απαιτείται. Σε ασθενείς που λαμβάνουν θεραπεία με ΜΣΑΦ, οι οποίοι διατρέχουν κίνδυνο ανάπτυξης γαστρικών και δωδεκαδακτυλικών ελκών, δεν συνιστάται ο επακόλουθος έλεγχος συμπτωμάτων με σχήμα κατ’ επίκληση. </w:t>
      </w:r>
    </w:p>
    <w:p w:rsidR="00582A00" w:rsidRDefault="00582A00">
      <w:pPr>
        <w:pStyle w:val="Default"/>
        <w:ind w:firstLine="567"/>
        <w:rPr>
          <w:sz w:val="22"/>
          <w:szCs w:val="22"/>
          <w:lang w:val="el-GR"/>
        </w:rPr>
      </w:pPr>
    </w:p>
    <w:p w:rsidR="00582A00" w:rsidRDefault="00582A00">
      <w:pPr>
        <w:pStyle w:val="Default"/>
        <w:rPr>
          <w:lang w:val="el-GR"/>
        </w:rPr>
      </w:pPr>
      <w:r>
        <w:rPr>
          <w:sz w:val="22"/>
          <w:szCs w:val="22"/>
          <w:u w:val="single"/>
          <w:lang w:val="el-GR"/>
        </w:rPr>
        <w:t xml:space="preserve">Ενήλικες </w:t>
      </w:r>
    </w:p>
    <w:p w:rsidR="00582A00" w:rsidRDefault="00582A00">
      <w:pPr>
        <w:pStyle w:val="Default"/>
        <w:rPr>
          <w:lang w:val="el-GR"/>
        </w:rPr>
      </w:pPr>
      <w:r>
        <w:rPr>
          <w:i/>
          <w:iCs/>
          <w:sz w:val="22"/>
          <w:szCs w:val="22"/>
          <w:lang w:val="el-GR"/>
        </w:rPr>
        <w:t xml:space="preserve">Σε συνδυασμό με κατάλληλα αντιβακτηριακά θεραπευτικά σχήματα για την εκρίζωση του </w:t>
      </w:r>
      <w:r>
        <w:rPr>
          <w:i/>
          <w:iCs/>
          <w:sz w:val="22"/>
          <w:szCs w:val="22"/>
          <w:lang w:val="en-GB"/>
        </w:rPr>
        <w:t>Helicobacter</w:t>
      </w:r>
      <w:r w:rsidRPr="005B77AA">
        <w:rPr>
          <w:i/>
          <w:iCs/>
          <w:sz w:val="22"/>
          <w:szCs w:val="22"/>
          <w:lang w:val="el-GR"/>
        </w:rPr>
        <w:t xml:space="preserve"> </w:t>
      </w:r>
      <w:r>
        <w:rPr>
          <w:i/>
          <w:iCs/>
          <w:sz w:val="22"/>
          <w:szCs w:val="22"/>
          <w:lang w:val="en-GB"/>
        </w:rPr>
        <w:t>pylori</w:t>
      </w:r>
      <w:r w:rsidRPr="005B77AA">
        <w:rPr>
          <w:i/>
          <w:iCs/>
          <w:sz w:val="22"/>
          <w:szCs w:val="22"/>
          <w:lang w:val="el-GR"/>
        </w:rPr>
        <w:t xml:space="preserve"> </w:t>
      </w:r>
      <w:r>
        <w:rPr>
          <w:i/>
          <w:iCs/>
          <w:sz w:val="22"/>
          <w:szCs w:val="22"/>
          <w:lang w:val="el-GR"/>
        </w:rPr>
        <w:t xml:space="preserve">και </w:t>
      </w:r>
    </w:p>
    <w:p w:rsidR="00582A00" w:rsidRDefault="00582A00">
      <w:pPr>
        <w:pStyle w:val="Default"/>
        <w:tabs>
          <w:tab w:val="left" w:pos="360"/>
        </w:tabs>
        <w:rPr>
          <w:i/>
          <w:iCs/>
          <w:sz w:val="22"/>
          <w:szCs w:val="22"/>
          <w:lang w:val="el-GR"/>
        </w:rPr>
      </w:pPr>
      <w:r>
        <w:rPr>
          <w:i/>
          <w:iCs/>
          <w:sz w:val="22"/>
          <w:szCs w:val="22"/>
          <w:lang w:val="el-GR"/>
        </w:rPr>
        <w:t>-</w:t>
      </w:r>
      <w:r>
        <w:rPr>
          <w:i/>
          <w:iCs/>
          <w:sz w:val="22"/>
          <w:szCs w:val="22"/>
          <w:lang w:val="el-GR"/>
        </w:rPr>
        <w:tab/>
      </w:r>
      <w:r w:rsidR="000B645F">
        <w:rPr>
          <w:sz w:val="22"/>
          <w:szCs w:val="22"/>
          <w:lang w:val="el-GR"/>
        </w:rPr>
        <w:t>Ε</w:t>
      </w:r>
      <w:r>
        <w:rPr>
          <w:sz w:val="22"/>
          <w:szCs w:val="22"/>
          <w:lang w:val="el-GR"/>
        </w:rPr>
        <w:t xml:space="preserve">πούλωση του έλκους δωδεκαδακτύλου που σχετίζεται με </w:t>
      </w:r>
      <w:r>
        <w:rPr>
          <w:i/>
          <w:iCs/>
          <w:sz w:val="22"/>
          <w:szCs w:val="22"/>
          <w:lang w:val="en-GB"/>
        </w:rPr>
        <w:t>Helicobacter</w:t>
      </w:r>
      <w:r w:rsidRPr="005B77AA">
        <w:rPr>
          <w:i/>
          <w:iCs/>
          <w:sz w:val="22"/>
          <w:szCs w:val="22"/>
          <w:lang w:val="el-GR"/>
        </w:rPr>
        <w:t xml:space="preserve"> </w:t>
      </w:r>
      <w:r>
        <w:rPr>
          <w:i/>
          <w:iCs/>
          <w:sz w:val="22"/>
          <w:szCs w:val="22"/>
          <w:lang w:val="en-GB"/>
        </w:rPr>
        <w:t>pylori</w:t>
      </w:r>
      <w:r w:rsidRPr="005B77AA">
        <w:rPr>
          <w:i/>
          <w:iCs/>
          <w:sz w:val="22"/>
          <w:szCs w:val="22"/>
          <w:lang w:val="el-GR"/>
        </w:rPr>
        <w:t xml:space="preserve"> </w:t>
      </w:r>
      <w:r>
        <w:rPr>
          <w:sz w:val="22"/>
          <w:szCs w:val="22"/>
          <w:lang w:val="el-GR"/>
        </w:rPr>
        <w:t xml:space="preserve">και </w:t>
      </w:r>
    </w:p>
    <w:p w:rsidR="00582A00" w:rsidRDefault="00582A00">
      <w:pPr>
        <w:pStyle w:val="Default"/>
        <w:tabs>
          <w:tab w:val="left" w:pos="360"/>
        </w:tabs>
        <w:rPr>
          <w:i/>
          <w:iCs/>
          <w:sz w:val="22"/>
          <w:szCs w:val="22"/>
          <w:lang w:val="el-GR"/>
        </w:rPr>
      </w:pPr>
      <w:r>
        <w:rPr>
          <w:i/>
          <w:iCs/>
          <w:sz w:val="22"/>
          <w:szCs w:val="22"/>
          <w:lang w:val="el-GR"/>
        </w:rPr>
        <w:t>-</w:t>
      </w:r>
      <w:r>
        <w:rPr>
          <w:i/>
          <w:iCs/>
          <w:sz w:val="22"/>
          <w:szCs w:val="22"/>
          <w:lang w:val="el-GR"/>
        </w:rPr>
        <w:tab/>
      </w:r>
      <w:r w:rsidR="000B645F">
        <w:rPr>
          <w:sz w:val="22"/>
          <w:szCs w:val="22"/>
          <w:lang w:val="el-GR"/>
        </w:rPr>
        <w:t>Π</w:t>
      </w:r>
      <w:r>
        <w:rPr>
          <w:sz w:val="22"/>
          <w:szCs w:val="22"/>
          <w:lang w:val="el-GR"/>
        </w:rPr>
        <w:t xml:space="preserve">ρόληψη της υποτροπής πεπτικών ελκών σε ασθενείς με έλκη που σχετίζονται με </w:t>
      </w:r>
      <w:r>
        <w:rPr>
          <w:i/>
          <w:iCs/>
          <w:sz w:val="22"/>
          <w:szCs w:val="22"/>
          <w:lang w:val="en-GB"/>
        </w:rPr>
        <w:t>Helicobacter</w:t>
      </w:r>
      <w:r w:rsidRPr="005B77AA">
        <w:rPr>
          <w:i/>
          <w:iCs/>
          <w:sz w:val="22"/>
          <w:szCs w:val="22"/>
          <w:lang w:val="el-GR"/>
        </w:rPr>
        <w:t xml:space="preserve"> </w:t>
      </w:r>
      <w:r>
        <w:rPr>
          <w:i/>
          <w:iCs/>
          <w:sz w:val="22"/>
          <w:szCs w:val="22"/>
          <w:lang w:val="en-GB"/>
        </w:rPr>
        <w:t>pylori</w:t>
      </w:r>
      <w:r>
        <w:rPr>
          <w:i/>
          <w:iCs/>
          <w:sz w:val="22"/>
          <w:szCs w:val="22"/>
          <w:lang w:val="el-GR"/>
        </w:rPr>
        <w:t xml:space="preserve">. </w:t>
      </w:r>
    </w:p>
    <w:p w:rsidR="00582A00" w:rsidRDefault="00582A00">
      <w:pPr>
        <w:pStyle w:val="Default"/>
        <w:rPr>
          <w:lang w:val="el-GR"/>
        </w:rPr>
      </w:pPr>
      <w:r>
        <w:rPr>
          <w:sz w:val="22"/>
          <w:szCs w:val="22"/>
          <w:lang w:val="el-GR"/>
        </w:rPr>
        <w:t>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n-GB"/>
        </w:rPr>
        <w:t>Es</w:t>
      </w:r>
      <w:r w:rsidR="001659C2">
        <w:rPr>
          <w:sz w:val="22"/>
          <w:szCs w:val="22"/>
          <w:lang w:val="en-US"/>
        </w:rPr>
        <w:t>active</w:t>
      </w:r>
      <w:r w:rsidRPr="005B77AA">
        <w:rPr>
          <w:sz w:val="22"/>
          <w:szCs w:val="22"/>
          <w:lang w:val="el-GR"/>
        </w:rPr>
        <w:t xml:space="preserve"> </w:t>
      </w:r>
      <w:r>
        <w:rPr>
          <w:sz w:val="22"/>
          <w:szCs w:val="22"/>
          <w:lang w:val="el-GR"/>
        </w:rPr>
        <w:t>σε συνδυασμό με 1</w:t>
      </w:r>
      <w:r>
        <w:rPr>
          <w:rFonts w:ascii="Calibri" w:hAnsi="Calibri" w:cs="Calibri"/>
          <w:sz w:val="22"/>
          <w:szCs w:val="22"/>
          <w:lang w:val="en-GB"/>
        </w:rPr>
        <w:t> </w:t>
      </w:r>
      <w:r>
        <w:rPr>
          <w:sz w:val="22"/>
          <w:szCs w:val="22"/>
          <w:lang w:val="en-GB"/>
        </w:rPr>
        <w:t>g</w:t>
      </w:r>
      <w:r w:rsidRPr="005B77AA">
        <w:rPr>
          <w:sz w:val="22"/>
          <w:szCs w:val="22"/>
          <w:lang w:val="el-GR"/>
        </w:rPr>
        <w:t xml:space="preserve"> </w:t>
      </w:r>
      <w:r>
        <w:rPr>
          <w:sz w:val="22"/>
          <w:szCs w:val="22"/>
          <w:lang w:val="el-GR"/>
        </w:rPr>
        <w:t>αμοξυκιλλίνης και 500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 xml:space="preserve">κλαριθρομυκίνης, όλα δύο φορές την ημέρα επί 7 ημέρες. </w:t>
      </w:r>
    </w:p>
    <w:p w:rsidR="00582A00" w:rsidRDefault="00582A00">
      <w:pPr>
        <w:pStyle w:val="Default"/>
        <w:rPr>
          <w:sz w:val="22"/>
          <w:szCs w:val="22"/>
          <w:lang w:val="el-GR"/>
        </w:rPr>
      </w:pPr>
    </w:p>
    <w:p w:rsidR="00582A00" w:rsidRDefault="00582A00">
      <w:pPr>
        <w:pStyle w:val="Default"/>
        <w:rPr>
          <w:lang w:val="el-GR"/>
        </w:rPr>
      </w:pPr>
      <w:r>
        <w:rPr>
          <w:i/>
          <w:iCs/>
          <w:sz w:val="22"/>
          <w:szCs w:val="22"/>
          <w:lang w:val="el-GR"/>
        </w:rPr>
        <w:t xml:space="preserve">Ασθενείς οι οποίοι χρειάζονται συνεχιζόμενη αγωγή με ΜΣΑΦ </w:t>
      </w:r>
    </w:p>
    <w:p w:rsidR="00582A00" w:rsidRDefault="00582A00">
      <w:pPr>
        <w:pStyle w:val="Default"/>
        <w:rPr>
          <w:lang w:val="el-GR"/>
        </w:rPr>
      </w:pPr>
      <w:r>
        <w:rPr>
          <w:sz w:val="22"/>
          <w:szCs w:val="22"/>
          <w:lang w:val="el-GR"/>
        </w:rPr>
        <w:t>Επούλωση γαστρικών ελκών που σχετίζονται με αγωγή με ΜΣΑΦ: Η συνηθισμένη δόση είναι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 xml:space="preserve">μία φορά την ημέρα. Η διάρκεια της θεραπείας είναι 4-8 εβδομάδες. </w:t>
      </w:r>
    </w:p>
    <w:p w:rsidR="00582A00" w:rsidRDefault="00582A00">
      <w:pPr>
        <w:pStyle w:val="Default"/>
        <w:rPr>
          <w:lang w:val="el-GR"/>
        </w:rPr>
      </w:pPr>
      <w:r>
        <w:rPr>
          <w:sz w:val="22"/>
          <w:szCs w:val="22"/>
          <w:lang w:val="el-GR"/>
        </w:rPr>
        <w:t>Πρόληψη των γαστρικών και δωδεκαδακτυλικών ελκών που σχετίζονται με αγωγή με ΜΣΑΦ, σε ασθενείς που διατρέχουν κίνδυνο: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 xml:space="preserve">μία φορά την ημέρα. </w:t>
      </w:r>
    </w:p>
    <w:p w:rsidR="00582A00" w:rsidRDefault="00582A00">
      <w:pPr>
        <w:pStyle w:val="Default"/>
        <w:rPr>
          <w:sz w:val="22"/>
          <w:szCs w:val="22"/>
          <w:lang w:val="el-GR"/>
        </w:rPr>
      </w:pPr>
    </w:p>
    <w:p w:rsidR="00582A00" w:rsidRPr="008F1D8B" w:rsidRDefault="00582A00">
      <w:pPr>
        <w:autoSpaceDE w:val="0"/>
        <w:autoSpaceDN w:val="0"/>
        <w:adjustRightInd w:val="0"/>
        <w:rPr>
          <w:lang w:val="el-GR"/>
        </w:rPr>
      </w:pPr>
      <w:r w:rsidRPr="008F1D8B">
        <w:rPr>
          <w:i/>
          <w:iCs/>
          <w:color w:val="000000"/>
          <w:lang w:val="el-GR"/>
        </w:rPr>
        <w:t xml:space="preserve">Παρατεταμένη θεραπεία μετά την αποτροπή της επανεμφάνισης πεπτικών ελκών με χρήση ενδοφλέβιων φαρμάκων. </w:t>
      </w:r>
    </w:p>
    <w:p w:rsidR="00582A00" w:rsidRDefault="00582A00">
      <w:pPr>
        <w:autoSpaceDE w:val="0"/>
        <w:autoSpaceDN w:val="0"/>
        <w:adjustRightInd w:val="0"/>
        <w:rPr>
          <w:lang w:val="el-GR"/>
        </w:rPr>
      </w:pPr>
      <w:r>
        <w:rPr>
          <w:color w:val="000000"/>
          <w:lang w:val="el-GR"/>
        </w:rPr>
        <w:t>40</w:t>
      </w:r>
      <w:r>
        <w:rPr>
          <w:rFonts w:ascii="Calibri" w:hAnsi="Calibri" w:cs="Calibri"/>
          <w:color w:val="000000"/>
        </w:rPr>
        <w:t> </w:t>
      </w:r>
      <w:r>
        <w:rPr>
          <w:color w:val="000000"/>
        </w:rPr>
        <w:t>mg</w:t>
      </w:r>
      <w:r w:rsidRPr="005B77AA">
        <w:rPr>
          <w:color w:val="000000"/>
          <w:lang w:val="el-GR"/>
        </w:rPr>
        <w:t xml:space="preserve"> </w:t>
      </w:r>
      <w:r>
        <w:rPr>
          <w:color w:val="000000"/>
          <w:lang w:val="el-GR"/>
        </w:rPr>
        <w:t xml:space="preserve">μία φορά την ημέρα επί 4 εβδομάδες μετά την αποτροπή της επανεμφάνισης πεπτικών ελκών με χρήση ενδοφλέβιων φαρμάκων. </w:t>
      </w:r>
    </w:p>
    <w:p w:rsidR="00582A00" w:rsidRDefault="00582A00">
      <w:pPr>
        <w:pStyle w:val="Default"/>
        <w:rPr>
          <w:sz w:val="22"/>
          <w:szCs w:val="22"/>
          <w:lang w:val="el-GR"/>
        </w:rPr>
      </w:pPr>
    </w:p>
    <w:p w:rsidR="00582A00" w:rsidRPr="005B77AA" w:rsidRDefault="00582A00">
      <w:pPr>
        <w:pStyle w:val="Default"/>
        <w:rPr>
          <w:rFonts w:ascii="Calibri" w:hAnsi="Calibri" w:cs="Calibri"/>
          <w:lang w:val="el-GR"/>
        </w:rPr>
      </w:pPr>
      <w:r>
        <w:rPr>
          <w:i/>
          <w:iCs/>
          <w:sz w:val="22"/>
          <w:szCs w:val="22"/>
          <w:lang w:val="el-GR"/>
        </w:rPr>
        <w:t xml:space="preserve">Θεραπεία συνδρόμου </w:t>
      </w:r>
      <w:r>
        <w:rPr>
          <w:i/>
          <w:iCs/>
          <w:sz w:val="22"/>
          <w:szCs w:val="22"/>
          <w:lang w:val="en-US"/>
        </w:rPr>
        <w:t>Zollinger</w:t>
      </w:r>
      <w:r w:rsidRPr="005B77AA">
        <w:rPr>
          <w:i/>
          <w:iCs/>
          <w:sz w:val="22"/>
          <w:szCs w:val="22"/>
          <w:lang w:val="el-GR"/>
        </w:rPr>
        <w:t xml:space="preserve"> </w:t>
      </w:r>
      <w:r>
        <w:rPr>
          <w:i/>
          <w:iCs/>
          <w:sz w:val="22"/>
          <w:szCs w:val="22"/>
          <w:lang w:val="en-US"/>
        </w:rPr>
        <w:t>Ellison</w:t>
      </w:r>
      <w:r w:rsidRPr="005B77AA">
        <w:rPr>
          <w:i/>
          <w:iCs/>
          <w:sz w:val="22"/>
          <w:szCs w:val="22"/>
          <w:lang w:val="el-GR"/>
        </w:rPr>
        <w:t xml:space="preserve">  </w:t>
      </w:r>
    </w:p>
    <w:p w:rsidR="00582A00" w:rsidRPr="005B77AA" w:rsidRDefault="00582A00">
      <w:pPr>
        <w:pStyle w:val="Default"/>
        <w:rPr>
          <w:rFonts w:ascii="Calibri" w:hAnsi="Calibri" w:cs="Calibri"/>
          <w:lang w:val="el-GR"/>
        </w:rPr>
      </w:pPr>
      <w:r>
        <w:rPr>
          <w:sz w:val="22"/>
          <w:szCs w:val="22"/>
          <w:lang w:val="el-GR"/>
        </w:rPr>
        <w:t>Η συνιστώμενη αρχική δοσολογία είναι</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sidR="000B645F">
        <w:rPr>
          <w:sz w:val="22"/>
          <w:szCs w:val="22"/>
          <w:lang w:val="en-GB"/>
        </w:rPr>
        <w:t>ESACTIVE</w:t>
      </w:r>
      <w:r w:rsidR="000B645F">
        <w:rPr>
          <w:sz w:val="22"/>
          <w:szCs w:val="22"/>
          <w:lang w:val="el-GR"/>
        </w:rPr>
        <w:t xml:space="preserve"> </w:t>
      </w:r>
      <w:r>
        <w:rPr>
          <w:sz w:val="22"/>
          <w:szCs w:val="22"/>
          <w:lang w:val="el-GR"/>
        </w:rPr>
        <w:t>δύο φορές την ημέρα</w:t>
      </w:r>
      <w:r w:rsidRPr="005B77AA">
        <w:rPr>
          <w:sz w:val="22"/>
          <w:szCs w:val="22"/>
          <w:lang w:val="el-GR"/>
        </w:rPr>
        <w:t xml:space="preserve">. </w:t>
      </w:r>
      <w:r>
        <w:rPr>
          <w:sz w:val="22"/>
          <w:szCs w:val="22"/>
          <w:lang w:val="el-GR"/>
        </w:rPr>
        <w:t>Η δοσολογία θα πρέπει στη συνέχεια να προσαρμόζεται στο άτομο και η θεραπεία να συνεχίζεται για όσο διάστημα ενδείκνυται κλινικά</w:t>
      </w:r>
      <w:r w:rsidRPr="005B77AA">
        <w:rPr>
          <w:sz w:val="22"/>
          <w:szCs w:val="22"/>
          <w:lang w:val="el-GR"/>
        </w:rPr>
        <w:t xml:space="preserve">. </w:t>
      </w:r>
      <w:r>
        <w:rPr>
          <w:sz w:val="22"/>
          <w:szCs w:val="22"/>
          <w:lang w:val="el-GR"/>
        </w:rPr>
        <w:t>Με βάση τα διαθέσιμα κλινικά δεδομένα</w:t>
      </w:r>
      <w:r w:rsidRPr="005B77AA">
        <w:rPr>
          <w:sz w:val="22"/>
          <w:szCs w:val="22"/>
          <w:lang w:val="el-GR"/>
        </w:rPr>
        <w:t xml:space="preserve">, </w:t>
      </w:r>
      <w:r>
        <w:rPr>
          <w:sz w:val="22"/>
          <w:szCs w:val="22"/>
          <w:lang w:val="el-GR"/>
        </w:rPr>
        <w:t>η πλειονότητα των ασθενών μπορούν να ελεγχθούν με δόσεις μεταξύ</w:t>
      </w:r>
      <w:r w:rsidRPr="005B77AA">
        <w:rPr>
          <w:sz w:val="22"/>
          <w:szCs w:val="22"/>
          <w:lang w:val="el-GR"/>
        </w:rPr>
        <w:t xml:space="preserve"> 80 </w:t>
      </w:r>
      <w:r>
        <w:rPr>
          <w:sz w:val="22"/>
          <w:szCs w:val="22"/>
          <w:lang w:val="el-GR"/>
        </w:rPr>
        <w:t>έως</w:t>
      </w:r>
      <w:r w:rsidRPr="005B77AA">
        <w:rPr>
          <w:sz w:val="22"/>
          <w:szCs w:val="22"/>
          <w:lang w:val="el-GR"/>
        </w:rPr>
        <w:t xml:space="preserve"> 160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ημερησίως</w:t>
      </w:r>
      <w:r w:rsidRPr="005B77AA">
        <w:rPr>
          <w:sz w:val="22"/>
          <w:szCs w:val="22"/>
          <w:lang w:val="el-GR"/>
        </w:rPr>
        <w:t xml:space="preserve">. </w:t>
      </w:r>
      <w:r>
        <w:rPr>
          <w:sz w:val="22"/>
          <w:szCs w:val="22"/>
          <w:lang w:val="el-GR"/>
        </w:rPr>
        <w:t>Με δόσεις υψηλότερες από</w:t>
      </w:r>
      <w:r w:rsidRPr="005B77AA">
        <w:rPr>
          <w:sz w:val="22"/>
          <w:szCs w:val="22"/>
          <w:lang w:val="el-GR"/>
        </w:rPr>
        <w:t xml:space="preserve"> 80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ημερησίως</w:t>
      </w:r>
      <w:r w:rsidRPr="005B77AA">
        <w:rPr>
          <w:sz w:val="22"/>
          <w:szCs w:val="22"/>
          <w:lang w:val="el-GR"/>
        </w:rPr>
        <w:t xml:space="preserve">, </w:t>
      </w:r>
      <w:r>
        <w:rPr>
          <w:sz w:val="22"/>
          <w:szCs w:val="22"/>
          <w:lang w:val="el-GR"/>
        </w:rPr>
        <w:t>η δόση θα πρέπει να διαιρείται και να δίνεται δύο φορές την ημέρα</w:t>
      </w:r>
      <w:r w:rsidRPr="005B77AA">
        <w:rPr>
          <w:sz w:val="22"/>
          <w:szCs w:val="22"/>
          <w:lang w:val="el-GR"/>
        </w:rPr>
        <w:t xml:space="preserve">. </w:t>
      </w:r>
    </w:p>
    <w:p w:rsidR="00582A00" w:rsidRPr="00DC171C" w:rsidRDefault="00582A00">
      <w:pPr>
        <w:pStyle w:val="Default"/>
        <w:rPr>
          <w:rFonts w:ascii="Calibri" w:hAnsi="Calibri" w:cs="Calibri"/>
          <w:sz w:val="22"/>
          <w:szCs w:val="22"/>
          <w:lang w:val="el-GR"/>
        </w:rPr>
      </w:pPr>
    </w:p>
    <w:p w:rsidR="0065274A" w:rsidRPr="0065274A" w:rsidRDefault="0065274A" w:rsidP="0065274A">
      <w:pPr>
        <w:pStyle w:val="Default"/>
        <w:rPr>
          <w:sz w:val="22"/>
          <w:szCs w:val="22"/>
          <w:u w:val="single"/>
          <w:lang w:val="el-GR"/>
        </w:rPr>
      </w:pPr>
      <w:r w:rsidRPr="0065274A">
        <w:rPr>
          <w:sz w:val="22"/>
          <w:szCs w:val="22"/>
          <w:u w:val="single"/>
          <w:lang w:val="el-GR"/>
        </w:rPr>
        <w:t>Έφηβοι από την ηλικία των 12</w:t>
      </w:r>
      <w:r w:rsidR="00AF2DBD">
        <w:rPr>
          <w:sz w:val="22"/>
          <w:szCs w:val="22"/>
          <w:u w:val="single"/>
          <w:lang w:val="el-GR"/>
        </w:rPr>
        <w:t xml:space="preserve"> ετών</w:t>
      </w:r>
    </w:p>
    <w:p w:rsidR="0065274A" w:rsidRDefault="0065274A" w:rsidP="0065274A">
      <w:pPr>
        <w:pStyle w:val="Default"/>
        <w:rPr>
          <w:sz w:val="22"/>
          <w:szCs w:val="22"/>
          <w:lang w:val="el-GR"/>
        </w:rPr>
      </w:pPr>
      <w:r>
        <w:rPr>
          <w:sz w:val="22"/>
          <w:szCs w:val="22"/>
          <w:lang w:val="el-GR"/>
        </w:rPr>
        <w:t xml:space="preserve">Επούλωση του έλκους δωδεκαδακτύλου που σχετίζεται με </w:t>
      </w:r>
      <w:r w:rsidRPr="00192BC0">
        <w:rPr>
          <w:i/>
          <w:iCs/>
          <w:sz w:val="22"/>
          <w:szCs w:val="22"/>
          <w:lang w:val="en-US"/>
        </w:rPr>
        <w:t>Helicobacter</w:t>
      </w:r>
      <w:r w:rsidRPr="00192BC0">
        <w:rPr>
          <w:i/>
          <w:iCs/>
          <w:sz w:val="22"/>
          <w:szCs w:val="22"/>
          <w:lang w:val="el-GR"/>
        </w:rPr>
        <w:t xml:space="preserve"> </w:t>
      </w:r>
      <w:r w:rsidRPr="00192BC0">
        <w:rPr>
          <w:i/>
          <w:iCs/>
          <w:sz w:val="22"/>
          <w:szCs w:val="22"/>
          <w:lang w:val="en-US"/>
        </w:rPr>
        <w:t>pylori</w:t>
      </w:r>
      <w:r>
        <w:rPr>
          <w:sz w:val="22"/>
          <w:szCs w:val="22"/>
          <w:lang w:val="el-GR"/>
        </w:rPr>
        <w:t xml:space="preserve">. </w:t>
      </w:r>
      <w:r w:rsidR="00AF2DBD">
        <w:rPr>
          <w:sz w:val="22"/>
          <w:szCs w:val="22"/>
          <w:lang w:val="el-GR"/>
        </w:rPr>
        <w:t>Κατά την επιλογή</w:t>
      </w:r>
      <w:r>
        <w:rPr>
          <w:sz w:val="22"/>
          <w:szCs w:val="22"/>
          <w:lang w:val="el-GR"/>
        </w:rPr>
        <w:t xml:space="preserve"> </w:t>
      </w:r>
      <w:r w:rsidR="00AF2DBD">
        <w:rPr>
          <w:sz w:val="22"/>
          <w:szCs w:val="22"/>
          <w:lang w:val="el-GR"/>
        </w:rPr>
        <w:t>τ</w:t>
      </w:r>
      <w:r>
        <w:rPr>
          <w:sz w:val="22"/>
          <w:szCs w:val="22"/>
          <w:lang w:val="el-GR"/>
        </w:rPr>
        <w:t>η</w:t>
      </w:r>
      <w:r w:rsidR="00AF2DBD">
        <w:rPr>
          <w:sz w:val="22"/>
          <w:szCs w:val="22"/>
          <w:lang w:val="el-GR"/>
        </w:rPr>
        <w:t>ς</w:t>
      </w:r>
      <w:r>
        <w:rPr>
          <w:sz w:val="22"/>
          <w:szCs w:val="22"/>
          <w:lang w:val="el-GR"/>
        </w:rPr>
        <w:t xml:space="preserve"> κατάλληλη</w:t>
      </w:r>
      <w:r w:rsidR="00AF2DBD">
        <w:rPr>
          <w:sz w:val="22"/>
          <w:szCs w:val="22"/>
          <w:lang w:val="el-GR"/>
        </w:rPr>
        <w:t>ς</w:t>
      </w:r>
      <w:r>
        <w:rPr>
          <w:sz w:val="22"/>
          <w:szCs w:val="22"/>
          <w:lang w:val="el-GR"/>
        </w:rPr>
        <w:t xml:space="preserve"> θεραπεία</w:t>
      </w:r>
      <w:r w:rsidR="00AF2DBD">
        <w:rPr>
          <w:sz w:val="22"/>
          <w:szCs w:val="22"/>
          <w:lang w:val="el-GR"/>
        </w:rPr>
        <w:t>ς</w:t>
      </w:r>
      <w:r>
        <w:rPr>
          <w:sz w:val="22"/>
          <w:szCs w:val="22"/>
          <w:lang w:val="el-GR"/>
        </w:rPr>
        <w:t xml:space="preserve"> συνδυασμού θα πρέπει να δίνεται προσοχή στις επίσημες εθνικές, περιφερειακές και τοπικές οδηγίες σχετικά με τη μικροβιακή αντοχή, τη διάρκεια της θεραπείας (πιο συχνά 7 μέρες αλλά μερικές φορές μέχρι 14 μέρες), και στην κατάλληλη χρήση των αντιμικροβιακών παραγόντων. </w:t>
      </w:r>
      <w:r w:rsidR="00516636" w:rsidRPr="00AF2DBD">
        <w:rPr>
          <w:sz w:val="22"/>
          <w:szCs w:val="22"/>
          <w:lang w:val="el-GR"/>
        </w:rPr>
        <w:t>Η θεραπεία θα πρέπει να παρακολουθείται από έναν ειδικό.</w:t>
      </w:r>
      <w:r w:rsidR="00516636">
        <w:rPr>
          <w:sz w:val="22"/>
          <w:szCs w:val="22"/>
          <w:lang w:val="el-GR"/>
        </w:rPr>
        <w:t xml:space="preserve"> </w:t>
      </w:r>
    </w:p>
    <w:p w:rsidR="00D2087C" w:rsidRDefault="00D2087C" w:rsidP="0065274A">
      <w:pPr>
        <w:pStyle w:val="Default"/>
        <w:rPr>
          <w:sz w:val="22"/>
          <w:szCs w:val="22"/>
          <w:lang w:val="el-GR"/>
        </w:rPr>
      </w:pPr>
      <w:r>
        <w:rPr>
          <w:sz w:val="22"/>
          <w:szCs w:val="22"/>
          <w:lang w:val="el-GR"/>
        </w:rPr>
        <w:t>Η προτεινόμενη δοσολογία είναι:</w:t>
      </w:r>
    </w:p>
    <w:p w:rsidR="00D2087C" w:rsidRDefault="00D2087C" w:rsidP="0065274A">
      <w:pPr>
        <w:pStyle w:val="Default"/>
        <w:rPr>
          <w:sz w:val="22"/>
          <w:szCs w:val="22"/>
          <w:lang w:val="el-GR"/>
        </w:rPr>
      </w:pPr>
    </w:p>
    <w:tbl>
      <w:tblPr>
        <w:tblStyle w:val="a8"/>
        <w:tblW w:w="5000" w:type="pct"/>
        <w:tblLook w:val="01E0"/>
      </w:tblPr>
      <w:tblGrid>
        <w:gridCol w:w="1474"/>
        <w:gridCol w:w="8523"/>
      </w:tblGrid>
      <w:tr w:rsidR="00D2087C">
        <w:tc>
          <w:tcPr>
            <w:tcW w:w="737" w:type="pct"/>
          </w:tcPr>
          <w:p w:rsidR="00D2087C" w:rsidRDefault="00D2087C" w:rsidP="0065274A">
            <w:pPr>
              <w:pStyle w:val="Default"/>
              <w:spacing w:line="260" w:lineRule="exact"/>
              <w:rPr>
                <w:sz w:val="22"/>
                <w:szCs w:val="22"/>
                <w:lang w:val="el-GR"/>
              </w:rPr>
            </w:pPr>
            <w:r>
              <w:rPr>
                <w:sz w:val="22"/>
                <w:szCs w:val="22"/>
                <w:lang w:val="el-GR"/>
              </w:rPr>
              <w:t>Βάρος</w:t>
            </w:r>
          </w:p>
        </w:tc>
        <w:tc>
          <w:tcPr>
            <w:tcW w:w="4263" w:type="pct"/>
          </w:tcPr>
          <w:p w:rsidR="00D2087C" w:rsidRDefault="00D2087C" w:rsidP="0065274A">
            <w:pPr>
              <w:pStyle w:val="Default"/>
              <w:spacing w:line="260" w:lineRule="exact"/>
              <w:rPr>
                <w:sz w:val="22"/>
                <w:szCs w:val="22"/>
                <w:lang w:val="el-GR"/>
              </w:rPr>
            </w:pPr>
            <w:r>
              <w:rPr>
                <w:sz w:val="22"/>
                <w:szCs w:val="22"/>
                <w:lang w:val="el-GR"/>
              </w:rPr>
              <w:t>Δοσολογία</w:t>
            </w:r>
          </w:p>
        </w:tc>
      </w:tr>
      <w:tr w:rsidR="00D2087C">
        <w:tc>
          <w:tcPr>
            <w:tcW w:w="737" w:type="pct"/>
          </w:tcPr>
          <w:p w:rsidR="00D2087C" w:rsidRPr="00D2087C" w:rsidRDefault="00D2087C" w:rsidP="0065274A">
            <w:pPr>
              <w:pStyle w:val="Default"/>
              <w:spacing w:line="260" w:lineRule="exact"/>
              <w:rPr>
                <w:sz w:val="22"/>
                <w:szCs w:val="22"/>
                <w:lang w:val="en-US"/>
              </w:rPr>
            </w:pPr>
            <w:r>
              <w:rPr>
                <w:sz w:val="22"/>
                <w:szCs w:val="22"/>
                <w:lang w:val="el-GR"/>
              </w:rPr>
              <w:t xml:space="preserve">30 – 40 </w:t>
            </w:r>
            <w:r>
              <w:rPr>
                <w:sz w:val="22"/>
                <w:szCs w:val="22"/>
                <w:lang w:val="en-US"/>
              </w:rPr>
              <w:t>kg</w:t>
            </w:r>
          </w:p>
        </w:tc>
        <w:tc>
          <w:tcPr>
            <w:tcW w:w="4263" w:type="pct"/>
          </w:tcPr>
          <w:p w:rsidR="00D2087C" w:rsidRPr="00D2087C" w:rsidRDefault="00D2087C" w:rsidP="0065274A">
            <w:pPr>
              <w:pStyle w:val="Default"/>
              <w:spacing w:line="260" w:lineRule="exact"/>
              <w:rPr>
                <w:sz w:val="22"/>
                <w:szCs w:val="22"/>
                <w:lang w:val="el-GR"/>
              </w:rPr>
            </w:pPr>
            <w:r>
              <w:rPr>
                <w:sz w:val="22"/>
                <w:szCs w:val="22"/>
                <w:lang w:val="el-GR"/>
              </w:rPr>
              <w:t xml:space="preserve">Συνδυασμός </w:t>
            </w:r>
            <w:r w:rsidR="00AF2DBD">
              <w:rPr>
                <w:sz w:val="22"/>
                <w:szCs w:val="22"/>
                <w:lang w:val="el-GR"/>
              </w:rPr>
              <w:t xml:space="preserve">με </w:t>
            </w:r>
            <w:r>
              <w:rPr>
                <w:sz w:val="22"/>
                <w:szCs w:val="22"/>
                <w:lang w:val="el-GR"/>
              </w:rPr>
              <w:t>δυο αντιβιοτικ</w:t>
            </w:r>
            <w:r w:rsidR="00AF2DBD">
              <w:rPr>
                <w:sz w:val="22"/>
                <w:szCs w:val="22"/>
                <w:lang w:val="el-GR"/>
              </w:rPr>
              <w:t>ά:</w:t>
            </w:r>
            <w:r>
              <w:rPr>
                <w:sz w:val="22"/>
                <w:szCs w:val="22"/>
                <w:lang w:val="el-GR"/>
              </w:rPr>
              <w:t xml:space="preserve"> </w:t>
            </w:r>
            <w:r>
              <w:rPr>
                <w:sz w:val="22"/>
                <w:szCs w:val="22"/>
                <w:lang w:val="en-US"/>
              </w:rPr>
              <w:t>Esactive</w:t>
            </w:r>
            <w:r w:rsidRPr="00D2087C">
              <w:rPr>
                <w:sz w:val="22"/>
                <w:szCs w:val="22"/>
                <w:lang w:val="el-GR"/>
              </w:rPr>
              <w:t xml:space="preserve"> 20 </w:t>
            </w:r>
            <w:r>
              <w:rPr>
                <w:sz w:val="22"/>
                <w:szCs w:val="22"/>
                <w:lang w:val="en-US"/>
              </w:rPr>
              <w:t>mg</w:t>
            </w:r>
            <w:r w:rsidRPr="00D2087C">
              <w:rPr>
                <w:sz w:val="22"/>
                <w:szCs w:val="22"/>
                <w:lang w:val="el-GR"/>
              </w:rPr>
              <w:t xml:space="preserve">, </w:t>
            </w:r>
            <w:r>
              <w:rPr>
                <w:sz w:val="22"/>
                <w:szCs w:val="22"/>
                <w:lang w:val="el-GR"/>
              </w:rPr>
              <w:t>αμο</w:t>
            </w:r>
            <w:r w:rsidR="00AC4F1E">
              <w:rPr>
                <w:sz w:val="22"/>
                <w:szCs w:val="22"/>
                <w:lang w:val="el-GR"/>
              </w:rPr>
              <w:t>ξυ</w:t>
            </w:r>
            <w:r>
              <w:rPr>
                <w:sz w:val="22"/>
                <w:szCs w:val="22"/>
                <w:lang w:val="el-GR"/>
              </w:rPr>
              <w:t xml:space="preserve">κιλλίνη 750 </w:t>
            </w:r>
            <w:r>
              <w:rPr>
                <w:sz w:val="22"/>
                <w:szCs w:val="22"/>
                <w:lang w:val="en-US"/>
              </w:rPr>
              <w:t>mg</w:t>
            </w:r>
            <w:r w:rsidRPr="00D2087C">
              <w:rPr>
                <w:sz w:val="22"/>
                <w:szCs w:val="22"/>
                <w:lang w:val="el-GR"/>
              </w:rPr>
              <w:t xml:space="preserve"> </w:t>
            </w:r>
            <w:r>
              <w:rPr>
                <w:sz w:val="22"/>
                <w:szCs w:val="22"/>
                <w:lang w:val="el-GR"/>
              </w:rPr>
              <w:t xml:space="preserve">και κλαριθρομυκίνη 7.5 </w:t>
            </w:r>
            <w:r>
              <w:rPr>
                <w:sz w:val="22"/>
                <w:szCs w:val="22"/>
                <w:lang w:val="en-US"/>
              </w:rPr>
              <w:t>mg</w:t>
            </w:r>
            <w:r w:rsidRPr="00D2087C">
              <w:rPr>
                <w:sz w:val="22"/>
                <w:szCs w:val="22"/>
                <w:lang w:val="el-GR"/>
              </w:rPr>
              <w:t>/</w:t>
            </w:r>
            <w:r>
              <w:rPr>
                <w:sz w:val="22"/>
                <w:szCs w:val="22"/>
                <w:lang w:val="en-US"/>
              </w:rPr>
              <w:t>kg</w:t>
            </w:r>
            <w:r>
              <w:rPr>
                <w:sz w:val="22"/>
                <w:szCs w:val="22"/>
                <w:lang w:val="el-GR"/>
              </w:rPr>
              <w:t xml:space="preserve"> σωματικού βάρους χορηγούμενα όλα μαζί 2 φορές την ημέρα για μια εβδομάδα.</w:t>
            </w:r>
          </w:p>
        </w:tc>
      </w:tr>
      <w:tr w:rsidR="00D2087C">
        <w:tc>
          <w:tcPr>
            <w:tcW w:w="737" w:type="pct"/>
          </w:tcPr>
          <w:p w:rsidR="00D2087C" w:rsidRPr="00D2087C" w:rsidRDefault="00D2087C" w:rsidP="0065274A">
            <w:pPr>
              <w:pStyle w:val="Default"/>
              <w:spacing w:line="260" w:lineRule="exact"/>
              <w:rPr>
                <w:sz w:val="22"/>
                <w:szCs w:val="22"/>
                <w:lang w:val="en-US"/>
              </w:rPr>
            </w:pPr>
            <w:r>
              <w:rPr>
                <w:sz w:val="22"/>
                <w:szCs w:val="22"/>
                <w:lang w:val="en-US"/>
              </w:rPr>
              <w:t>&gt; 40 kg</w:t>
            </w:r>
          </w:p>
        </w:tc>
        <w:tc>
          <w:tcPr>
            <w:tcW w:w="4263" w:type="pct"/>
          </w:tcPr>
          <w:p w:rsidR="00D2087C" w:rsidRDefault="00D2087C" w:rsidP="0065274A">
            <w:pPr>
              <w:pStyle w:val="Default"/>
              <w:spacing w:line="260" w:lineRule="exact"/>
              <w:rPr>
                <w:sz w:val="22"/>
                <w:szCs w:val="22"/>
                <w:lang w:val="el-GR"/>
              </w:rPr>
            </w:pPr>
            <w:r>
              <w:rPr>
                <w:sz w:val="22"/>
                <w:szCs w:val="22"/>
                <w:lang w:val="el-GR"/>
              </w:rPr>
              <w:t xml:space="preserve">Συνδυασμός </w:t>
            </w:r>
            <w:r w:rsidR="00AF2DBD">
              <w:rPr>
                <w:sz w:val="22"/>
                <w:szCs w:val="22"/>
                <w:lang w:val="el-GR"/>
              </w:rPr>
              <w:t xml:space="preserve">με </w:t>
            </w:r>
            <w:r>
              <w:rPr>
                <w:sz w:val="22"/>
                <w:szCs w:val="22"/>
                <w:lang w:val="el-GR"/>
              </w:rPr>
              <w:t>δυο αντιβιοτικ</w:t>
            </w:r>
            <w:r w:rsidR="00AF2DBD">
              <w:rPr>
                <w:sz w:val="22"/>
                <w:szCs w:val="22"/>
                <w:lang w:val="el-GR"/>
              </w:rPr>
              <w:t>ά</w:t>
            </w:r>
            <w:r>
              <w:rPr>
                <w:sz w:val="22"/>
                <w:szCs w:val="22"/>
                <w:lang w:val="el-GR"/>
              </w:rPr>
              <w:t xml:space="preserve">: </w:t>
            </w:r>
            <w:r>
              <w:rPr>
                <w:sz w:val="22"/>
                <w:szCs w:val="22"/>
                <w:lang w:val="en-US"/>
              </w:rPr>
              <w:t>Esactive</w:t>
            </w:r>
            <w:r w:rsidRPr="00D2087C">
              <w:rPr>
                <w:sz w:val="22"/>
                <w:szCs w:val="22"/>
                <w:lang w:val="el-GR"/>
              </w:rPr>
              <w:t xml:space="preserve"> 20 </w:t>
            </w:r>
            <w:r>
              <w:rPr>
                <w:sz w:val="22"/>
                <w:szCs w:val="22"/>
                <w:lang w:val="en-US"/>
              </w:rPr>
              <w:t>mg</w:t>
            </w:r>
            <w:r w:rsidRPr="00D2087C">
              <w:rPr>
                <w:sz w:val="22"/>
                <w:szCs w:val="22"/>
                <w:lang w:val="el-GR"/>
              </w:rPr>
              <w:t xml:space="preserve">, </w:t>
            </w:r>
            <w:r>
              <w:rPr>
                <w:sz w:val="22"/>
                <w:szCs w:val="22"/>
                <w:lang w:val="el-GR"/>
              </w:rPr>
              <w:t>αμοξ</w:t>
            </w:r>
            <w:r w:rsidR="00AC4F1E">
              <w:rPr>
                <w:sz w:val="22"/>
                <w:szCs w:val="22"/>
                <w:lang w:val="el-GR"/>
              </w:rPr>
              <w:t>υ</w:t>
            </w:r>
            <w:r>
              <w:rPr>
                <w:sz w:val="22"/>
                <w:szCs w:val="22"/>
                <w:lang w:val="el-GR"/>
              </w:rPr>
              <w:t xml:space="preserve">κιλλίνη 1 </w:t>
            </w:r>
            <w:r>
              <w:rPr>
                <w:sz w:val="22"/>
                <w:szCs w:val="22"/>
                <w:lang w:val="en-US"/>
              </w:rPr>
              <w:t>g</w:t>
            </w:r>
            <w:r w:rsidRPr="00D2087C">
              <w:rPr>
                <w:sz w:val="22"/>
                <w:szCs w:val="22"/>
                <w:lang w:val="el-GR"/>
              </w:rPr>
              <w:t xml:space="preserve"> </w:t>
            </w:r>
            <w:r>
              <w:rPr>
                <w:sz w:val="22"/>
                <w:szCs w:val="22"/>
                <w:lang w:val="el-GR"/>
              </w:rPr>
              <w:t xml:space="preserve">και κλαριθρομυκίνη 500 </w:t>
            </w:r>
            <w:r>
              <w:rPr>
                <w:sz w:val="22"/>
                <w:szCs w:val="22"/>
                <w:lang w:val="en-US"/>
              </w:rPr>
              <w:lastRenderedPageBreak/>
              <w:t>mg</w:t>
            </w:r>
            <w:r>
              <w:rPr>
                <w:sz w:val="22"/>
                <w:szCs w:val="22"/>
                <w:lang w:val="el-GR"/>
              </w:rPr>
              <w:t xml:space="preserve"> χορηγούμενα όλα μαζί 2 φορές την ημέρα για μια εβδομάδα.</w:t>
            </w:r>
          </w:p>
        </w:tc>
      </w:tr>
    </w:tbl>
    <w:p w:rsidR="0065274A" w:rsidRDefault="0065274A">
      <w:pPr>
        <w:pStyle w:val="Default"/>
        <w:rPr>
          <w:sz w:val="22"/>
          <w:szCs w:val="22"/>
          <w:u w:val="single"/>
          <w:lang w:val="el-GR"/>
        </w:rPr>
      </w:pPr>
    </w:p>
    <w:p w:rsidR="00582A00" w:rsidRPr="005B77AA" w:rsidRDefault="00582A00">
      <w:pPr>
        <w:pStyle w:val="Default"/>
        <w:rPr>
          <w:rFonts w:ascii="Calibri" w:hAnsi="Calibri" w:cs="Calibri"/>
          <w:lang w:val="el-GR"/>
        </w:rPr>
      </w:pPr>
      <w:r>
        <w:rPr>
          <w:sz w:val="22"/>
          <w:szCs w:val="22"/>
          <w:u w:val="single"/>
          <w:lang w:val="el-GR"/>
        </w:rPr>
        <w:t>Παιδιά ηλικίας κάτω των</w:t>
      </w:r>
      <w:r w:rsidRPr="005B77AA">
        <w:rPr>
          <w:sz w:val="22"/>
          <w:szCs w:val="22"/>
          <w:u w:val="single"/>
          <w:lang w:val="el-GR"/>
        </w:rPr>
        <w:t xml:space="preserve"> 12 </w:t>
      </w:r>
      <w:r>
        <w:rPr>
          <w:sz w:val="22"/>
          <w:szCs w:val="22"/>
          <w:u w:val="single"/>
          <w:lang w:val="el-GR"/>
        </w:rPr>
        <w:t>ετών</w:t>
      </w:r>
      <w:r w:rsidRPr="005B77AA">
        <w:rPr>
          <w:sz w:val="22"/>
          <w:szCs w:val="22"/>
          <w:u w:val="single"/>
          <w:lang w:val="el-GR"/>
        </w:rPr>
        <w:t xml:space="preserve"> </w:t>
      </w:r>
    </w:p>
    <w:p w:rsidR="00582A00" w:rsidRPr="005B77AA" w:rsidRDefault="00582A00">
      <w:pPr>
        <w:pStyle w:val="Default"/>
        <w:rPr>
          <w:rFonts w:ascii="Calibri" w:hAnsi="Calibri" w:cs="Calibri"/>
          <w:lang w:val="el-GR"/>
        </w:rPr>
      </w:pPr>
      <w:r>
        <w:rPr>
          <w:sz w:val="22"/>
          <w:szCs w:val="22"/>
          <w:lang w:val="el-GR"/>
        </w:rPr>
        <w:t xml:space="preserve">Το </w:t>
      </w:r>
      <w:r w:rsidR="000B645F">
        <w:rPr>
          <w:sz w:val="22"/>
          <w:szCs w:val="22"/>
          <w:lang w:val="en-GB"/>
        </w:rPr>
        <w:t>ESACTIVE</w:t>
      </w:r>
      <w:r w:rsidR="000B645F">
        <w:rPr>
          <w:sz w:val="22"/>
          <w:szCs w:val="22"/>
          <w:lang w:val="el-GR"/>
        </w:rPr>
        <w:t xml:space="preserve"> </w:t>
      </w:r>
      <w:r>
        <w:rPr>
          <w:sz w:val="22"/>
          <w:szCs w:val="22"/>
          <w:lang w:val="el-GR"/>
        </w:rPr>
        <w:t>δεν θα πρέπει να χρησιμοποιείται σε παιδιά μικρότερα από</w:t>
      </w:r>
      <w:r w:rsidRPr="005B77AA">
        <w:rPr>
          <w:sz w:val="22"/>
          <w:szCs w:val="22"/>
          <w:lang w:val="el-GR"/>
        </w:rPr>
        <w:t xml:space="preserve"> 12 </w:t>
      </w:r>
      <w:r>
        <w:rPr>
          <w:sz w:val="22"/>
          <w:szCs w:val="22"/>
          <w:lang w:val="el-GR"/>
        </w:rPr>
        <w:t xml:space="preserve">ετών </w:t>
      </w:r>
      <w:r w:rsidR="00AF2DBD">
        <w:rPr>
          <w:sz w:val="22"/>
          <w:szCs w:val="22"/>
          <w:lang w:val="el-GR"/>
        </w:rPr>
        <w:t>καθώς</w:t>
      </w:r>
      <w:r>
        <w:rPr>
          <w:sz w:val="22"/>
          <w:szCs w:val="22"/>
          <w:lang w:val="el-GR"/>
        </w:rPr>
        <w:t xml:space="preserve"> δεν υπάρχουν διαθέσιμα δεδομένα</w:t>
      </w:r>
      <w:r w:rsidRPr="005B77AA">
        <w:rPr>
          <w:sz w:val="22"/>
          <w:szCs w:val="22"/>
          <w:lang w:val="el-GR"/>
        </w:rPr>
        <w:t xml:space="preserve">. </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lang w:val="el-GR"/>
        </w:rPr>
      </w:pPr>
      <w:r>
        <w:rPr>
          <w:sz w:val="22"/>
          <w:szCs w:val="22"/>
          <w:u w:val="single"/>
          <w:lang w:val="el-GR"/>
        </w:rPr>
        <w:t>Νεφρική δυσλειτουργία</w:t>
      </w:r>
      <w:r w:rsidRPr="005B77AA">
        <w:rPr>
          <w:sz w:val="22"/>
          <w:szCs w:val="22"/>
          <w:u w:val="single"/>
          <w:lang w:val="el-GR"/>
        </w:rPr>
        <w:t xml:space="preserve"> </w:t>
      </w:r>
    </w:p>
    <w:p w:rsidR="00582A00" w:rsidRPr="005B77AA" w:rsidRDefault="00582A00">
      <w:pPr>
        <w:pStyle w:val="Default"/>
        <w:rPr>
          <w:rFonts w:ascii="Calibri" w:hAnsi="Calibri" w:cs="Calibri"/>
          <w:lang w:val="el-GR"/>
        </w:rPr>
      </w:pPr>
      <w:r>
        <w:rPr>
          <w:sz w:val="22"/>
          <w:szCs w:val="22"/>
          <w:lang w:val="el-GR"/>
        </w:rPr>
        <w:t xml:space="preserve">Δεν απαιτείται προσαρμογή </w:t>
      </w:r>
      <w:r w:rsidR="00AF2DBD">
        <w:rPr>
          <w:sz w:val="22"/>
          <w:szCs w:val="22"/>
          <w:lang w:val="el-GR"/>
        </w:rPr>
        <w:t xml:space="preserve">της </w:t>
      </w:r>
      <w:r>
        <w:rPr>
          <w:sz w:val="22"/>
          <w:szCs w:val="22"/>
          <w:lang w:val="el-GR"/>
        </w:rPr>
        <w:t>δόσης σε ασθενείς με νεφρική δυσλειτουργία</w:t>
      </w:r>
      <w:r w:rsidRPr="005B77AA">
        <w:rPr>
          <w:sz w:val="22"/>
          <w:szCs w:val="22"/>
          <w:lang w:val="el-GR"/>
        </w:rPr>
        <w:t xml:space="preserve">. </w:t>
      </w:r>
      <w:r>
        <w:rPr>
          <w:sz w:val="22"/>
          <w:szCs w:val="22"/>
          <w:lang w:val="el-GR"/>
        </w:rPr>
        <w:t xml:space="preserve">Λόγω περιορισμένης εμπειρίας σε ασθενείς με </w:t>
      </w:r>
      <w:r w:rsidR="00AF2DBD">
        <w:rPr>
          <w:sz w:val="22"/>
          <w:szCs w:val="22"/>
          <w:lang w:val="el-GR"/>
        </w:rPr>
        <w:t>σοβαρή</w:t>
      </w:r>
      <w:r>
        <w:rPr>
          <w:sz w:val="22"/>
          <w:szCs w:val="22"/>
          <w:lang w:val="el-GR"/>
        </w:rPr>
        <w:t xml:space="preserve"> νεφρική ανεπάρκεια</w:t>
      </w:r>
      <w:r w:rsidRPr="005B77AA">
        <w:rPr>
          <w:sz w:val="22"/>
          <w:szCs w:val="22"/>
          <w:lang w:val="el-GR"/>
        </w:rPr>
        <w:t xml:space="preserve">, </w:t>
      </w:r>
      <w:r>
        <w:rPr>
          <w:sz w:val="22"/>
          <w:szCs w:val="22"/>
          <w:lang w:val="el-GR"/>
        </w:rPr>
        <w:t>αυτοί οι ασθενείς θα πρέπει να υποβάλλονται σε θεραπεία με προσοχή</w:t>
      </w:r>
      <w:r w:rsidRPr="005B77AA">
        <w:rPr>
          <w:sz w:val="22"/>
          <w:szCs w:val="22"/>
          <w:lang w:val="el-GR"/>
        </w:rPr>
        <w:t xml:space="preserve"> (</w:t>
      </w:r>
      <w:r>
        <w:rPr>
          <w:sz w:val="22"/>
          <w:szCs w:val="22"/>
          <w:lang w:val="el-GR"/>
        </w:rPr>
        <w:t>Βλ</w:t>
      </w:r>
      <w:r w:rsidRPr="005B77AA">
        <w:rPr>
          <w:sz w:val="22"/>
          <w:szCs w:val="22"/>
          <w:lang w:val="el-GR"/>
        </w:rPr>
        <w:t xml:space="preserve">. </w:t>
      </w:r>
      <w:r>
        <w:rPr>
          <w:sz w:val="22"/>
          <w:szCs w:val="22"/>
          <w:lang w:val="el-GR"/>
        </w:rPr>
        <w:t>παράγραφο</w:t>
      </w:r>
      <w:r w:rsidRPr="005B77AA">
        <w:rPr>
          <w:sz w:val="22"/>
          <w:szCs w:val="22"/>
          <w:lang w:val="el-GR"/>
        </w:rPr>
        <w:t xml:space="preserve"> 5.2). </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lang w:val="el-GR"/>
        </w:rPr>
      </w:pPr>
      <w:r>
        <w:rPr>
          <w:sz w:val="22"/>
          <w:szCs w:val="22"/>
          <w:u w:val="single"/>
          <w:lang w:val="el-GR"/>
        </w:rPr>
        <w:t>Ηπατική δυσλειτουργία</w:t>
      </w:r>
      <w:r w:rsidRPr="005B77AA">
        <w:rPr>
          <w:sz w:val="22"/>
          <w:szCs w:val="22"/>
          <w:u w:val="single"/>
          <w:lang w:val="el-GR"/>
        </w:rPr>
        <w:t xml:space="preserve"> </w:t>
      </w:r>
    </w:p>
    <w:p w:rsidR="00582A00" w:rsidRPr="005B77AA" w:rsidRDefault="00582A00">
      <w:pPr>
        <w:pStyle w:val="Default"/>
        <w:rPr>
          <w:rFonts w:ascii="Calibri" w:hAnsi="Calibri" w:cs="Calibri"/>
          <w:lang w:val="el-GR"/>
        </w:rPr>
      </w:pPr>
      <w:r>
        <w:rPr>
          <w:sz w:val="22"/>
          <w:szCs w:val="22"/>
          <w:lang w:val="el-GR"/>
        </w:rPr>
        <w:t xml:space="preserve">Δεν απαιτείται προσαρμογή </w:t>
      </w:r>
      <w:r w:rsidR="00AF2DBD">
        <w:rPr>
          <w:sz w:val="22"/>
          <w:szCs w:val="22"/>
          <w:lang w:val="el-GR"/>
        </w:rPr>
        <w:t xml:space="preserve">της </w:t>
      </w:r>
      <w:r>
        <w:rPr>
          <w:sz w:val="22"/>
          <w:szCs w:val="22"/>
          <w:lang w:val="el-GR"/>
        </w:rPr>
        <w:t>δόσης σε ασθενείς με ήπια έως μέτρια ηπατική δυσλειτουργία</w:t>
      </w:r>
      <w:r w:rsidRPr="005B77AA">
        <w:rPr>
          <w:sz w:val="22"/>
          <w:szCs w:val="22"/>
          <w:lang w:val="el-GR"/>
        </w:rPr>
        <w:t xml:space="preserve">. </w:t>
      </w:r>
      <w:r>
        <w:rPr>
          <w:sz w:val="22"/>
          <w:szCs w:val="22"/>
          <w:lang w:val="el-GR"/>
        </w:rPr>
        <w:t xml:space="preserve">Για τους ασθενείς με </w:t>
      </w:r>
      <w:r w:rsidR="00AF2DBD">
        <w:rPr>
          <w:sz w:val="22"/>
          <w:szCs w:val="22"/>
          <w:lang w:val="el-GR"/>
        </w:rPr>
        <w:t>σοβαρή</w:t>
      </w:r>
      <w:r>
        <w:rPr>
          <w:sz w:val="22"/>
          <w:szCs w:val="22"/>
          <w:lang w:val="el-GR"/>
        </w:rPr>
        <w:t xml:space="preserve"> ηπατική δυσλειτουργία</w:t>
      </w:r>
      <w:r w:rsidRPr="005B77AA">
        <w:rPr>
          <w:sz w:val="22"/>
          <w:szCs w:val="22"/>
          <w:lang w:val="el-GR"/>
        </w:rPr>
        <w:t xml:space="preserve">, </w:t>
      </w:r>
      <w:r>
        <w:rPr>
          <w:sz w:val="22"/>
          <w:szCs w:val="22"/>
          <w:lang w:val="el-GR"/>
        </w:rPr>
        <w:t xml:space="preserve">δεν θα πρέπει να γίνεται υπέρβαση μιας μέγιστης δόσης </w:t>
      </w:r>
      <w:r w:rsidR="00E57420">
        <w:rPr>
          <w:sz w:val="22"/>
          <w:szCs w:val="22"/>
          <w:lang w:val="el-GR"/>
        </w:rPr>
        <w:t>των</w:t>
      </w:r>
      <w:r>
        <w:rPr>
          <w:sz w:val="22"/>
          <w:szCs w:val="22"/>
          <w:lang w:val="el-GR"/>
        </w:rPr>
        <w:t xml:space="preserve"> </w:t>
      </w:r>
      <w:r w:rsidRPr="005B77AA">
        <w:rPr>
          <w:sz w:val="22"/>
          <w:szCs w:val="22"/>
          <w:lang w:val="el-GR"/>
        </w:rPr>
        <w:t>20</w:t>
      </w:r>
      <w:r>
        <w:rPr>
          <w:rFonts w:ascii="Calibri" w:hAnsi="Calibri" w:cs="Calibri"/>
          <w:sz w:val="22"/>
          <w:szCs w:val="22"/>
          <w:lang w:val="en-GB"/>
        </w:rPr>
        <w:t> </w:t>
      </w:r>
      <w:r>
        <w:rPr>
          <w:sz w:val="22"/>
          <w:szCs w:val="22"/>
          <w:lang w:val="en-GB"/>
        </w:rPr>
        <w:t>mg</w:t>
      </w:r>
      <w:r w:rsidRPr="005B77AA">
        <w:rPr>
          <w:sz w:val="22"/>
          <w:szCs w:val="22"/>
          <w:lang w:val="el-GR"/>
        </w:rPr>
        <w:t xml:space="preserve"> </w:t>
      </w:r>
      <w:r w:rsidR="000B645F">
        <w:rPr>
          <w:sz w:val="22"/>
          <w:szCs w:val="22"/>
          <w:lang w:val="en-GB"/>
        </w:rPr>
        <w:t>ESACTIVE</w:t>
      </w:r>
      <w:r w:rsidRPr="005B77AA">
        <w:rPr>
          <w:sz w:val="22"/>
          <w:szCs w:val="22"/>
          <w:lang w:val="el-GR"/>
        </w:rPr>
        <w:t xml:space="preserve"> (</w:t>
      </w:r>
      <w:r>
        <w:rPr>
          <w:sz w:val="22"/>
          <w:szCs w:val="22"/>
          <w:lang w:val="el-GR"/>
        </w:rPr>
        <w:t>Βλ</w:t>
      </w:r>
      <w:r w:rsidRPr="005B77AA">
        <w:rPr>
          <w:sz w:val="22"/>
          <w:szCs w:val="22"/>
          <w:lang w:val="el-GR"/>
        </w:rPr>
        <w:t xml:space="preserve">. </w:t>
      </w:r>
      <w:r>
        <w:rPr>
          <w:sz w:val="22"/>
          <w:szCs w:val="22"/>
          <w:lang w:val="el-GR"/>
        </w:rPr>
        <w:t>παράγραφο</w:t>
      </w:r>
      <w:r w:rsidRPr="005B77AA">
        <w:rPr>
          <w:sz w:val="22"/>
          <w:szCs w:val="22"/>
          <w:lang w:val="el-GR"/>
        </w:rPr>
        <w:t xml:space="preserve"> 5.2). </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lang w:val="el-GR"/>
        </w:rPr>
      </w:pPr>
      <w:r>
        <w:rPr>
          <w:sz w:val="22"/>
          <w:szCs w:val="22"/>
          <w:u w:val="single"/>
          <w:lang w:val="el-GR"/>
        </w:rPr>
        <w:t>Ηλικιωμένοι</w:t>
      </w:r>
      <w:r w:rsidRPr="005B77AA">
        <w:rPr>
          <w:sz w:val="22"/>
          <w:szCs w:val="22"/>
          <w:u w:val="single"/>
          <w:lang w:val="el-GR"/>
        </w:rPr>
        <w:t xml:space="preserve"> </w:t>
      </w:r>
    </w:p>
    <w:p w:rsidR="00582A00" w:rsidRPr="005B77AA" w:rsidRDefault="00582A00">
      <w:pPr>
        <w:pStyle w:val="Default"/>
        <w:rPr>
          <w:rFonts w:ascii="Calibri" w:hAnsi="Calibri" w:cs="Calibri"/>
          <w:lang w:val="el-GR"/>
        </w:rPr>
      </w:pPr>
      <w:r>
        <w:rPr>
          <w:sz w:val="22"/>
          <w:szCs w:val="22"/>
          <w:lang w:val="el-GR"/>
        </w:rPr>
        <w:t xml:space="preserve">Δεν απαιτείται προσαρμογή </w:t>
      </w:r>
      <w:r w:rsidR="00E57420">
        <w:rPr>
          <w:sz w:val="22"/>
          <w:szCs w:val="22"/>
          <w:lang w:val="el-GR"/>
        </w:rPr>
        <w:t xml:space="preserve">της </w:t>
      </w:r>
      <w:r>
        <w:rPr>
          <w:sz w:val="22"/>
          <w:szCs w:val="22"/>
          <w:lang w:val="el-GR"/>
        </w:rPr>
        <w:t>δόσης στους ηλικιωμένους</w:t>
      </w:r>
      <w:r w:rsidRPr="005B77AA">
        <w:rPr>
          <w:sz w:val="22"/>
          <w:szCs w:val="22"/>
          <w:lang w:val="el-GR"/>
        </w:rPr>
        <w:t xml:space="preserve">. </w:t>
      </w:r>
    </w:p>
    <w:p w:rsidR="00582A00" w:rsidRDefault="00582A00">
      <w:pPr>
        <w:tabs>
          <w:tab w:val="clear" w:pos="567"/>
        </w:tabs>
        <w:spacing w:line="240" w:lineRule="auto"/>
        <w:rPr>
          <w:rFonts w:ascii="Calibri" w:hAnsi="Calibri" w:cs="Calibri"/>
          <w:noProof/>
          <w:lang w:val="el-GR"/>
        </w:rPr>
      </w:pPr>
    </w:p>
    <w:p w:rsidR="00F23259" w:rsidRDefault="00F23259">
      <w:pPr>
        <w:tabs>
          <w:tab w:val="clear" w:pos="567"/>
        </w:tabs>
        <w:spacing w:line="240" w:lineRule="auto"/>
        <w:rPr>
          <w:b/>
          <w:bCs/>
          <w:noProof/>
          <w:lang w:val="el-GR"/>
        </w:rPr>
      </w:pPr>
      <w:r>
        <w:rPr>
          <w:b/>
          <w:bCs/>
          <w:noProof/>
          <w:lang w:val="el-GR"/>
        </w:rPr>
        <w:t>Τρόπος χορήγησης</w:t>
      </w:r>
    </w:p>
    <w:p w:rsidR="00F23259" w:rsidRPr="00F23259" w:rsidRDefault="00F23259" w:rsidP="00F23259">
      <w:pPr>
        <w:pStyle w:val="Default"/>
        <w:rPr>
          <w:rFonts w:ascii="Calibri" w:hAnsi="Calibri" w:cs="Calibri"/>
          <w:lang w:val="el-GR"/>
        </w:rPr>
      </w:pPr>
      <w:r w:rsidRPr="00F23259">
        <w:rPr>
          <w:sz w:val="22"/>
          <w:szCs w:val="22"/>
          <w:lang w:val="el-GR"/>
        </w:rPr>
        <w:t xml:space="preserve">Τα </w:t>
      </w:r>
      <w:r w:rsidR="00A1771C">
        <w:rPr>
          <w:sz w:val="22"/>
          <w:szCs w:val="22"/>
          <w:lang w:val="el-GR"/>
        </w:rPr>
        <w:t>δισκία</w:t>
      </w:r>
      <w:r w:rsidRPr="00F23259">
        <w:rPr>
          <w:sz w:val="22"/>
          <w:szCs w:val="22"/>
          <w:lang w:val="el-GR"/>
        </w:rPr>
        <w:t xml:space="preserve"> θα πρέπει να καταπίνονται ολόκληρα με </w:t>
      </w:r>
      <w:r w:rsidR="00E57420">
        <w:rPr>
          <w:sz w:val="22"/>
          <w:szCs w:val="22"/>
          <w:lang w:val="el-GR"/>
        </w:rPr>
        <w:t>κάποιο υγρό</w:t>
      </w:r>
      <w:r w:rsidRPr="00F23259">
        <w:rPr>
          <w:sz w:val="22"/>
          <w:szCs w:val="22"/>
          <w:lang w:val="el-GR"/>
        </w:rPr>
        <w:t xml:space="preserve">. Τα </w:t>
      </w:r>
      <w:r w:rsidR="00A1771C">
        <w:rPr>
          <w:sz w:val="22"/>
          <w:szCs w:val="22"/>
          <w:lang w:val="el-GR"/>
        </w:rPr>
        <w:t>δισκία</w:t>
      </w:r>
      <w:r w:rsidRPr="00F23259">
        <w:rPr>
          <w:sz w:val="22"/>
          <w:szCs w:val="22"/>
          <w:lang w:val="el-GR"/>
        </w:rPr>
        <w:t xml:space="preserve"> δεν θα πρέπει να μασώνται ή να συνθλίβονται. </w:t>
      </w:r>
    </w:p>
    <w:p w:rsidR="00F23259" w:rsidRPr="00F23259" w:rsidRDefault="00F23259" w:rsidP="00F23259">
      <w:pPr>
        <w:pStyle w:val="Default"/>
        <w:rPr>
          <w:rFonts w:ascii="Calibri" w:hAnsi="Calibri" w:cs="Calibri"/>
          <w:sz w:val="22"/>
          <w:szCs w:val="22"/>
          <w:lang w:val="el-GR"/>
        </w:rPr>
      </w:pPr>
    </w:p>
    <w:p w:rsidR="00F23259" w:rsidRPr="00F23259" w:rsidRDefault="00F23259" w:rsidP="00F23259">
      <w:pPr>
        <w:pStyle w:val="Default"/>
        <w:rPr>
          <w:rFonts w:ascii="Calibri" w:hAnsi="Calibri" w:cs="Calibri"/>
          <w:lang w:val="el-GR"/>
        </w:rPr>
      </w:pPr>
      <w:r w:rsidRPr="00F23259">
        <w:rPr>
          <w:sz w:val="22"/>
          <w:szCs w:val="22"/>
          <w:lang w:val="el-GR"/>
        </w:rPr>
        <w:t xml:space="preserve">Για τους ασθενείς που έχουν δυσκολία στην κατάποση, τα </w:t>
      </w:r>
      <w:r w:rsidR="00A1771C">
        <w:rPr>
          <w:sz w:val="22"/>
          <w:szCs w:val="22"/>
          <w:lang w:val="el-GR"/>
        </w:rPr>
        <w:t>δισκία</w:t>
      </w:r>
      <w:r w:rsidRPr="00F23259">
        <w:rPr>
          <w:sz w:val="22"/>
          <w:szCs w:val="22"/>
          <w:lang w:val="el-GR"/>
        </w:rPr>
        <w:t xml:space="preserve"> μπορούν</w:t>
      </w:r>
      <w:r w:rsidR="00A1771C">
        <w:rPr>
          <w:sz w:val="22"/>
          <w:szCs w:val="22"/>
          <w:lang w:val="el-GR"/>
        </w:rPr>
        <w:t xml:space="preserve"> ν</w:t>
      </w:r>
      <w:r w:rsidRPr="00F23259">
        <w:rPr>
          <w:sz w:val="22"/>
          <w:szCs w:val="22"/>
          <w:lang w:val="el-GR"/>
        </w:rPr>
        <w:t xml:space="preserve">α </w:t>
      </w:r>
      <w:r w:rsidR="00A1771C">
        <w:rPr>
          <w:sz w:val="22"/>
          <w:szCs w:val="22"/>
          <w:lang w:val="el-GR"/>
        </w:rPr>
        <w:t>διαλυθούν</w:t>
      </w:r>
      <w:r w:rsidRPr="00F23259">
        <w:rPr>
          <w:sz w:val="22"/>
          <w:szCs w:val="22"/>
          <w:lang w:val="el-GR"/>
        </w:rPr>
        <w:t xml:space="preserve"> σε μισό ποτήρι μη ανθρακούχου νερού. Δεν θα πρέπει να χρησιμοποιούνται άλλα υγρά καθώς η εντερική επικάλυψη είναι δυνατόν να διαλυθεί. Αναμείξτε </w:t>
      </w:r>
      <w:r w:rsidR="008A18EB" w:rsidRPr="00E57420">
        <w:rPr>
          <w:sz w:val="22"/>
          <w:szCs w:val="22"/>
          <w:lang w:val="el-GR"/>
        </w:rPr>
        <w:t>μέχρι να διαλυθούν τα δισκία</w:t>
      </w:r>
      <w:r w:rsidR="008A18EB">
        <w:rPr>
          <w:sz w:val="22"/>
          <w:szCs w:val="22"/>
          <w:lang w:val="el-GR"/>
        </w:rPr>
        <w:t xml:space="preserve"> </w:t>
      </w:r>
      <w:r w:rsidRPr="00F23259">
        <w:rPr>
          <w:sz w:val="22"/>
          <w:szCs w:val="22"/>
          <w:lang w:val="el-GR"/>
        </w:rPr>
        <w:t xml:space="preserve">και καταπιείτε το υγρό με τα σφαιρίδια αμέσως ή εντός 30 λεπτών. Εκπλύνετε το ποτήρι με μισό ποτήρι νερό και πιείτε το. Τα σφαιρίδια δεν πρέπει να μασώνται ή να συνθλίβονται. </w:t>
      </w:r>
    </w:p>
    <w:p w:rsidR="00F23259" w:rsidRPr="005B77AA" w:rsidRDefault="00F23259" w:rsidP="00F23259">
      <w:pPr>
        <w:pStyle w:val="Default"/>
        <w:rPr>
          <w:rFonts w:ascii="Calibri" w:hAnsi="Calibri" w:cs="Calibri"/>
          <w:lang w:val="el-GR"/>
        </w:rPr>
      </w:pPr>
      <w:r w:rsidRPr="00F23259">
        <w:rPr>
          <w:sz w:val="22"/>
          <w:szCs w:val="22"/>
          <w:lang w:val="el-GR"/>
        </w:rPr>
        <w:t xml:space="preserve">Για τους ασθενείς που δεν μπορούν να καταπιούν, </w:t>
      </w:r>
      <w:r w:rsidR="00E57420">
        <w:rPr>
          <w:sz w:val="22"/>
          <w:szCs w:val="22"/>
          <w:lang w:val="el-GR"/>
        </w:rPr>
        <w:t xml:space="preserve">τα δισκία </w:t>
      </w:r>
      <w:r w:rsidRPr="00F23259">
        <w:rPr>
          <w:sz w:val="22"/>
          <w:szCs w:val="22"/>
          <w:lang w:val="el-GR"/>
        </w:rPr>
        <w:t>μπορ</w:t>
      </w:r>
      <w:r w:rsidR="00E57420">
        <w:rPr>
          <w:sz w:val="22"/>
          <w:szCs w:val="22"/>
          <w:lang w:val="el-GR"/>
        </w:rPr>
        <w:t>ούν</w:t>
      </w:r>
      <w:r w:rsidRPr="00F23259">
        <w:rPr>
          <w:sz w:val="22"/>
          <w:szCs w:val="22"/>
          <w:lang w:val="el-GR"/>
        </w:rPr>
        <w:t xml:space="preserve"> να δια</w:t>
      </w:r>
      <w:r w:rsidR="00A1771C">
        <w:rPr>
          <w:sz w:val="22"/>
          <w:szCs w:val="22"/>
          <w:lang w:val="el-GR"/>
        </w:rPr>
        <w:t>λυθ</w:t>
      </w:r>
      <w:r w:rsidR="00E57420">
        <w:rPr>
          <w:sz w:val="22"/>
          <w:szCs w:val="22"/>
          <w:lang w:val="el-GR"/>
        </w:rPr>
        <w:t>ούν</w:t>
      </w:r>
      <w:r w:rsidRPr="00F23259">
        <w:rPr>
          <w:sz w:val="22"/>
          <w:szCs w:val="22"/>
          <w:lang w:val="el-GR"/>
        </w:rPr>
        <w:t xml:space="preserve"> σε μη ανθρακούχο νερό και να χορηγηθ</w:t>
      </w:r>
      <w:r w:rsidR="00E57420">
        <w:rPr>
          <w:sz w:val="22"/>
          <w:szCs w:val="22"/>
          <w:lang w:val="el-GR"/>
        </w:rPr>
        <w:t>ούν</w:t>
      </w:r>
      <w:r w:rsidRPr="00F23259">
        <w:rPr>
          <w:sz w:val="22"/>
          <w:szCs w:val="22"/>
          <w:lang w:val="el-GR"/>
        </w:rPr>
        <w:t xml:space="preserve"> μέσω γαστρικού σωλήνα. </w:t>
      </w:r>
      <w:r w:rsidRPr="00F23259">
        <w:rPr>
          <w:sz w:val="22"/>
          <w:szCs w:val="22"/>
          <w:u w:val="single"/>
          <w:lang w:val="el-GR"/>
        </w:rPr>
        <w:t>Είναι σημαντικό να ελέγχεται προσεκτικά η καταλληλότητα της επιλεγμένης σύριγγας και σωλήνα.</w:t>
      </w:r>
      <w:r w:rsidRPr="00F23259">
        <w:rPr>
          <w:sz w:val="22"/>
          <w:szCs w:val="22"/>
          <w:lang w:val="el-GR"/>
        </w:rPr>
        <w:t xml:space="preserve"> Για τις οδηγίες παρασκευής και χορήγησης, βλ. παράγραφο 6.6.</w:t>
      </w:r>
      <w:r w:rsidRPr="005B77AA">
        <w:rPr>
          <w:sz w:val="22"/>
          <w:szCs w:val="22"/>
          <w:lang w:val="el-GR"/>
        </w:rPr>
        <w:t xml:space="preserve"> </w:t>
      </w:r>
    </w:p>
    <w:p w:rsidR="00F23259" w:rsidRPr="00F23259" w:rsidRDefault="00F23259">
      <w:pPr>
        <w:tabs>
          <w:tab w:val="clear" w:pos="567"/>
        </w:tabs>
        <w:spacing w:line="240" w:lineRule="auto"/>
        <w:rPr>
          <w:b/>
          <w:bCs/>
          <w:noProof/>
          <w:lang w:val="el-GR"/>
        </w:rPr>
      </w:pPr>
    </w:p>
    <w:p w:rsidR="00582A00" w:rsidRPr="00123257" w:rsidRDefault="00582A00" w:rsidP="00123257">
      <w:pPr>
        <w:widowControl w:val="0"/>
        <w:outlineLvl w:val="1"/>
        <w:rPr>
          <w:rFonts w:ascii="Calibri" w:hAnsi="Calibri" w:cs="Calibri"/>
          <w:noProof/>
          <w:lang w:val="en-US"/>
        </w:rPr>
      </w:pPr>
      <w:r w:rsidRPr="005B77AA">
        <w:rPr>
          <w:b/>
          <w:bCs/>
          <w:noProof/>
          <w:lang w:val="el-GR"/>
        </w:rPr>
        <w:t>4.3</w:t>
      </w:r>
      <w:r w:rsidRPr="005B77AA">
        <w:rPr>
          <w:b/>
          <w:bCs/>
          <w:i/>
          <w:iCs/>
          <w:noProof/>
          <w:lang w:val="el-GR"/>
        </w:rPr>
        <w:tab/>
      </w:r>
      <w:r>
        <w:rPr>
          <w:b/>
          <w:bCs/>
          <w:lang w:val="el-GR"/>
        </w:rPr>
        <w:t>Αντενδείξεις</w:t>
      </w:r>
    </w:p>
    <w:p w:rsidR="00582A00" w:rsidRPr="005B77AA" w:rsidRDefault="00582A00">
      <w:pPr>
        <w:pStyle w:val="Default"/>
        <w:rPr>
          <w:rFonts w:ascii="Calibri" w:hAnsi="Calibri" w:cs="Calibri"/>
          <w:lang w:val="el-GR"/>
        </w:rPr>
      </w:pPr>
      <w:r>
        <w:rPr>
          <w:sz w:val="22"/>
          <w:szCs w:val="22"/>
          <w:lang w:val="el-GR"/>
        </w:rPr>
        <w:t>Γνωστή υπερευαισθησία σε εσομεπραζόλη</w:t>
      </w:r>
      <w:r w:rsidRPr="005B77AA">
        <w:rPr>
          <w:sz w:val="22"/>
          <w:szCs w:val="22"/>
          <w:lang w:val="el-GR"/>
        </w:rPr>
        <w:t xml:space="preserve">, </w:t>
      </w:r>
      <w:r>
        <w:rPr>
          <w:sz w:val="22"/>
          <w:szCs w:val="22"/>
          <w:lang w:val="el-GR"/>
        </w:rPr>
        <w:t xml:space="preserve">υποκαταστημένες βενζιμιδαζόλες ή σε </w:t>
      </w:r>
      <w:r w:rsidR="0023388E">
        <w:rPr>
          <w:sz w:val="22"/>
          <w:szCs w:val="22"/>
          <w:lang w:val="el-GR"/>
        </w:rPr>
        <w:t>οποι</w:t>
      </w:r>
      <w:r w:rsidR="00AD7730">
        <w:rPr>
          <w:sz w:val="22"/>
          <w:szCs w:val="22"/>
          <w:lang w:val="el-GR"/>
        </w:rPr>
        <w:t>ο</w:t>
      </w:r>
      <w:r w:rsidR="0023388E">
        <w:rPr>
          <w:sz w:val="22"/>
          <w:szCs w:val="22"/>
          <w:lang w:val="el-GR"/>
        </w:rPr>
        <w:t xml:space="preserve">δήποτε </w:t>
      </w:r>
      <w:r w:rsidR="00E57420">
        <w:rPr>
          <w:sz w:val="22"/>
          <w:szCs w:val="22"/>
          <w:lang w:val="el-GR"/>
        </w:rPr>
        <w:t>από τα</w:t>
      </w:r>
      <w:r w:rsidR="0023388E">
        <w:rPr>
          <w:sz w:val="22"/>
          <w:szCs w:val="22"/>
          <w:lang w:val="el-GR"/>
        </w:rPr>
        <w:t xml:space="preserve"> έκδοχα</w:t>
      </w:r>
      <w:r w:rsidRPr="005B77AA">
        <w:rPr>
          <w:sz w:val="22"/>
          <w:szCs w:val="22"/>
          <w:lang w:val="el-GR"/>
        </w:rPr>
        <w:t xml:space="preserve">. </w:t>
      </w:r>
    </w:p>
    <w:p w:rsidR="00582A00" w:rsidRPr="005B77AA" w:rsidRDefault="00582A00">
      <w:pPr>
        <w:pStyle w:val="Default"/>
        <w:rPr>
          <w:rFonts w:ascii="Calibri" w:hAnsi="Calibri" w:cs="Calibri"/>
          <w:lang w:val="el-GR"/>
        </w:rPr>
      </w:pPr>
      <w:r>
        <w:rPr>
          <w:sz w:val="22"/>
          <w:szCs w:val="22"/>
          <w:lang w:val="el-GR"/>
        </w:rPr>
        <w:t>Η εσομεπραζόλη δεν θα πρέπει να χρησιμοποιείται ταυτόχρονα με νελφιναβίρη</w:t>
      </w:r>
      <w:r w:rsidRPr="005B77AA">
        <w:rPr>
          <w:sz w:val="22"/>
          <w:szCs w:val="22"/>
          <w:lang w:val="el-GR"/>
        </w:rPr>
        <w:t xml:space="preserve"> (</w:t>
      </w:r>
      <w:r>
        <w:rPr>
          <w:sz w:val="22"/>
          <w:szCs w:val="22"/>
          <w:lang w:val="el-GR"/>
        </w:rPr>
        <w:t>βλ</w:t>
      </w:r>
      <w:r w:rsidRPr="005B77AA">
        <w:rPr>
          <w:sz w:val="22"/>
          <w:szCs w:val="22"/>
          <w:lang w:val="el-GR"/>
        </w:rPr>
        <w:t xml:space="preserve">. </w:t>
      </w:r>
      <w:r>
        <w:rPr>
          <w:sz w:val="22"/>
          <w:szCs w:val="22"/>
          <w:lang w:val="el-GR"/>
        </w:rPr>
        <w:t>παράγραφο</w:t>
      </w:r>
      <w:r w:rsidRPr="005B77AA">
        <w:rPr>
          <w:sz w:val="22"/>
          <w:szCs w:val="22"/>
          <w:lang w:val="el-GR"/>
        </w:rPr>
        <w:t xml:space="preserve"> 4.5). </w:t>
      </w:r>
    </w:p>
    <w:p w:rsidR="00582A00" w:rsidRDefault="00582A00">
      <w:pPr>
        <w:pStyle w:val="Default"/>
        <w:rPr>
          <w:rFonts w:ascii="Calibri" w:hAnsi="Calibri" w:cs="Calibri"/>
          <w:noProof/>
          <w:lang w:val="el-GR"/>
        </w:rPr>
      </w:pPr>
    </w:p>
    <w:p w:rsidR="00582A00" w:rsidRPr="00123257" w:rsidRDefault="00582A00" w:rsidP="00123257">
      <w:pPr>
        <w:widowControl w:val="0"/>
        <w:outlineLvl w:val="1"/>
        <w:rPr>
          <w:lang w:val="en-US"/>
        </w:rPr>
      </w:pPr>
      <w:r w:rsidRPr="005B77AA">
        <w:rPr>
          <w:b/>
          <w:bCs/>
          <w:noProof/>
          <w:lang w:val="el-GR"/>
        </w:rPr>
        <w:t>4.4</w:t>
      </w:r>
      <w:r w:rsidRPr="005B77AA">
        <w:rPr>
          <w:b/>
          <w:bCs/>
          <w:i/>
          <w:iCs/>
          <w:noProof/>
          <w:lang w:val="el-GR"/>
        </w:rPr>
        <w:tab/>
      </w:r>
      <w:r>
        <w:rPr>
          <w:b/>
          <w:bCs/>
          <w:lang w:val="el-GR"/>
        </w:rPr>
        <w:t>Ειδικές προειδοποιήσεις και προφυλάξεις κατά τη χρήση</w:t>
      </w:r>
    </w:p>
    <w:p w:rsidR="00582A00" w:rsidRPr="00123257" w:rsidRDefault="00582A00">
      <w:pPr>
        <w:pStyle w:val="Default"/>
        <w:rPr>
          <w:sz w:val="22"/>
          <w:szCs w:val="22"/>
          <w:lang w:val="en-US"/>
        </w:rPr>
      </w:pPr>
      <w:r>
        <w:rPr>
          <w:sz w:val="22"/>
          <w:szCs w:val="22"/>
          <w:lang w:val="el-GR"/>
        </w:rPr>
        <w:t xml:space="preserve">Παρουσία οποιουδήποτε ανησυχητικού συμπτώματος (π.χ. σημαντική, μη σκόπιμη απώλεια βάρους, υποτροπιάζοντες έμετοι, δυσφαγία, αιματέμεση ή μέλαινες κενώσεις) και όταν υπάρχει υποψία ή παρουσία γαστρικού έλκους, θα πρέπει να αποκλειστεί η κακοήθεια, καθώς η θεραπεία με εσομεπραζόλη ενδέχεται να ανακουφίσει τα συμπτώματα και να καθυστερήσει τη διάγνωση. </w:t>
      </w:r>
    </w:p>
    <w:p w:rsidR="00582A00" w:rsidRPr="00123257" w:rsidRDefault="00582A00">
      <w:pPr>
        <w:pStyle w:val="Default"/>
        <w:rPr>
          <w:sz w:val="22"/>
          <w:szCs w:val="22"/>
          <w:lang w:val="en-US"/>
        </w:rPr>
      </w:pPr>
      <w:r>
        <w:rPr>
          <w:sz w:val="22"/>
          <w:szCs w:val="22"/>
          <w:lang w:val="el-GR"/>
        </w:rPr>
        <w:t xml:space="preserve">Οι ασθενείς σε μακροχρόνια θεραπεία (ειδικά εκείνοι οι οποίοι λαμβάνουν θεραπεία για περισσότερο από ένα έτος) θα πρέπει να </w:t>
      </w:r>
      <w:r w:rsidR="00B87440">
        <w:rPr>
          <w:sz w:val="22"/>
          <w:szCs w:val="22"/>
          <w:lang w:val="el-GR"/>
        </w:rPr>
        <w:t>να παρακολουθούνται σε τακτά διαστήματα</w:t>
      </w:r>
      <w:r>
        <w:rPr>
          <w:sz w:val="22"/>
          <w:szCs w:val="22"/>
          <w:lang w:val="el-GR"/>
        </w:rPr>
        <w:t xml:space="preserve">. </w:t>
      </w:r>
    </w:p>
    <w:p w:rsidR="00582A00" w:rsidRPr="00123257" w:rsidRDefault="00582A00">
      <w:pPr>
        <w:pStyle w:val="Default"/>
        <w:rPr>
          <w:sz w:val="22"/>
          <w:szCs w:val="22"/>
          <w:lang w:val="en-US"/>
        </w:rPr>
      </w:pPr>
      <w:r>
        <w:rPr>
          <w:sz w:val="22"/>
          <w:szCs w:val="22"/>
          <w:lang w:val="el-GR"/>
        </w:rPr>
        <w:t xml:space="preserve">Οι ασθενείς σε θεραπεία κατ’ επίκληση θα πρέπει να λάβουν οδηγίες ώστε να έρχονται σε επαφή με τον ιατρό τους εάν αλλάξει ο χαρακτήρας των συμπτωμάτων τους. Κατά τη συνταγογράφηση εσομεπραζόλης για θεραπεία κατ’ επίκληση, </w:t>
      </w:r>
      <w:r w:rsidRPr="004A2D92">
        <w:rPr>
          <w:sz w:val="22"/>
          <w:szCs w:val="22"/>
          <w:lang w:val="el-GR"/>
        </w:rPr>
        <w:t xml:space="preserve">θα πρέπει να </w:t>
      </w:r>
      <w:r w:rsidR="00B87440">
        <w:rPr>
          <w:sz w:val="22"/>
          <w:szCs w:val="22"/>
          <w:lang w:val="el-GR"/>
        </w:rPr>
        <w:t>εξετάζεται</w:t>
      </w:r>
      <w:r w:rsidRPr="004A2D92">
        <w:rPr>
          <w:sz w:val="22"/>
          <w:szCs w:val="22"/>
          <w:lang w:val="el-GR"/>
        </w:rPr>
        <w:t xml:space="preserve"> το ενδεχόμενο αλληλεπιδράσ</w:t>
      </w:r>
      <w:r w:rsidR="00B87440">
        <w:rPr>
          <w:sz w:val="22"/>
          <w:szCs w:val="22"/>
          <w:lang w:val="el-GR"/>
        </w:rPr>
        <w:t>εων</w:t>
      </w:r>
      <w:r w:rsidRPr="004A2D92">
        <w:rPr>
          <w:sz w:val="22"/>
          <w:szCs w:val="22"/>
          <w:lang w:val="el-GR"/>
        </w:rPr>
        <w:t xml:space="preserve"> με </w:t>
      </w:r>
      <w:r w:rsidR="00B87440">
        <w:rPr>
          <w:sz w:val="22"/>
          <w:szCs w:val="22"/>
          <w:lang w:val="el-GR"/>
        </w:rPr>
        <w:t>άλλα</w:t>
      </w:r>
      <w:r w:rsidRPr="004A2D92">
        <w:rPr>
          <w:sz w:val="22"/>
          <w:szCs w:val="22"/>
          <w:lang w:val="el-GR"/>
        </w:rPr>
        <w:t xml:space="preserve"> </w:t>
      </w:r>
      <w:r w:rsidR="00B87440">
        <w:rPr>
          <w:sz w:val="22"/>
          <w:szCs w:val="22"/>
          <w:lang w:val="el-GR"/>
        </w:rPr>
        <w:t>φάρμακα</w:t>
      </w:r>
      <w:r w:rsidRPr="004A2D92">
        <w:rPr>
          <w:sz w:val="22"/>
          <w:szCs w:val="22"/>
          <w:lang w:val="el-GR"/>
        </w:rPr>
        <w:t xml:space="preserve">, λόγω των κυμαινόμενων συγκεντρώσεων της εσομεπραζόλης στο πλάσμα </w:t>
      </w:r>
      <w:r w:rsidR="00B87440">
        <w:rPr>
          <w:sz w:val="22"/>
          <w:szCs w:val="22"/>
          <w:lang w:val="el-GR"/>
        </w:rPr>
        <w:t>(</w:t>
      </w:r>
      <w:r w:rsidRPr="004A2D92">
        <w:rPr>
          <w:sz w:val="22"/>
          <w:szCs w:val="22"/>
          <w:lang w:val="el-GR"/>
        </w:rPr>
        <w:t>Βλ. παράγραφο 4.5</w:t>
      </w:r>
      <w:r w:rsidR="00B87440">
        <w:rPr>
          <w:sz w:val="22"/>
          <w:szCs w:val="22"/>
          <w:lang w:val="el-GR"/>
        </w:rPr>
        <w:t>)</w:t>
      </w:r>
      <w:r w:rsidRPr="004A2D92">
        <w:rPr>
          <w:sz w:val="22"/>
          <w:szCs w:val="22"/>
          <w:lang w:val="el-GR"/>
        </w:rPr>
        <w:t>.</w:t>
      </w:r>
      <w:r>
        <w:rPr>
          <w:sz w:val="22"/>
          <w:szCs w:val="22"/>
          <w:lang w:val="el-GR"/>
        </w:rPr>
        <w:t xml:space="preserve"> </w:t>
      </w:r>
    </w:p>
    <w:p w:rsidR="00123257" w:rsidRDefault="00582A00">
      <w:pPr>
        <w:pStyle w:val="Default"/>
        <w:rPr>
          <w:lang w:val="el-GR"/>
        </w:rPr>
      </w:pPr>
      <w:r>
        <w:rPr>
          <w:sz w:val="22"/>
          <w:szCs w:val="22"/>
          <w:lang w:val="el-GR"/>
        </w:rPr>
        <w:t xml:space="preserve">Κατά τη συνταγογράφηση εσομεπραζόλης για την εκρίζωση του </w:t>
      </w:r>
      <w:r>
        <w:rPr>
          <w:i/>
          <w:iCs/>
          <w:sz w:val="22"/>
          <w:szCs w:val="22"/>
          <w:lang w:val="el-GR"/>
        </w:rPr>
        <w:t>Helicobacter pylori</w:t>
      </w:r>
      <w:r>
        <w:rPr>
          <w:sz w:val="22"/>
          <w:szCs w:val="22"/>
          <w:lang w:val="el-GR"/>
        </w:rPr>
        <w:t xml:space="preserve"> θα πρέπει να </w:t>
      </w:r>
      <w:r w:rsidR="00585550">
        <w:rPr>
          <w:sz w:val="22"/>
          <w:szCs w:val="22"/>
          <w:lang w:val="el-GR"/>
        </w:rPr>
        <w:t>εξετάζεται</w:t>
      </w:r>
      <w:r>
        <w:rPr>
          <w:sz w:val="22"/>
          <w:szCs w:val="22"/>
          <w:lang w:val="el-GR"/>
        </w:rPr>
        <w:t xml:space="preserve"> το ενδεχόμενο πιθανών φαρμακευτικών αλληλεπιδράσεων για όλα τα επιμέρους στοιχεία της τριπλής αγωγής. Η κλαριθρομυκίνη είναι ένας ισχυρός αναστολέας του κυτοχρώματος CYP3A4 και, επομένως, θα πρέπει να εξετάζονται οι αντενδείξεις και οι αλληλεπιδράσεις για την κλαριθρομυκίνη όταν χρησιμοποιείται η τριπλή αγωγή σε ασθενείς που λαμβάνουν ταυτόχρονα άλλα φάρμακα που μεταβολίζονται μέσω του κυτοχρώματος CYP3A4, όπως η σισαπρίδη. </w:t>
      </w:r>
    </w:p>
    <w:p w:rsidR="00582A00" w:rsidRPr="00123257" w:rsidRDefault="00582A00">
      <w:pPr>
        <w:pStyle w:val="Default"/>
        <w:rPr>
          <w:sz w:val="22"/>
          <w:szCs w:val="22"/>
          <w:lang w:val="en-US"/>
        </w:rPr>
      </w:pPr>
      <w:r>
        <w:rPr>
          <w:sz w:val="22"/>
          <w:szCs w:val="22"/>
          <w:lang w:val="el-GR"/>
        </w:rPr>
        <w:lastRenderedPageBreak/>
        <w:t>Αυτό το φαρμακευτικό προϊόν περιέχει σακχαρόζη. Οι ασθενείς με σπάνια κληρονομικά προβλήματα δυσανεξίας στη φρουκτόζη, δυσαπορρόφησης γλυκόζης-γαλακτόζης ή ανεπάρκειας σακχαράσης-ισομαλτάσης δεν θα πρέπει να λαμβάνουν αυτό το φάρμακο.</w:t>
      </w:r>
    </w:p>
    <w:p w:rsidR="00582A00" w:rsidRPr="00123257" w:rsidRDefault="00582A00" w:rsidP="00123257">
      <w:pPr>
        <w:pStyle w:val="Default"/>
        <w:rPr>
          <w:noProof/>
        </w:rPr>
      </w:pPr>
      <w:r>
        <w:rPr>
          <w:sz w:val="22"/>
          <w:szCs w:val="22"/>
          <w:lang w:val="el-GR"/>
        </w:rPr>
        <w:t xml:space="preserve">Η θεραπεία με αναστολείς τις αντλίας πρωτονίων ενδέχεται να οδηγήσει σε ελαφρώς αυξημένο κίνδυνο γαστρεντερικών λοιμώξεων όπως από σαλμονέλα και καμπυλοβακτηρίδιο (βλ. παράγραφο 5.1). </w:t>
      </w:r>
    </w:p>
    <w:p w:rsidR="0023388E" w:rsidRPr="00123257" w:rsidRDefault="00582A00">
      <w:pPr>
        <w:autoSpaceDE w:val="0"/>
        <w:autoSpaceDN w:val="0"/>
        <w:adjustRightInd w:val="0"/>
        <w:rPr>
          <w:color w:val="000000"/>
          <w:lang w:val="en-US"/>
        </w:rPr>
      </w:pPr>
      <w:r>
        <w:rPr>
          <w:color w:val="000000"/>
          <w:lang w:val="el-GR"/>
        </w:rPr>
        <w:t xml:space="preserve">Η συγχορήγηση εσομεπραζόλης με αταζαναβίρη δεν συνιστάται (βλ. παράγραφο 4.5). Εάν κριθεί αναπόφευκτος ο συνδυασμός αταζαναβίρης με αναστολέα αντλίας πρωτονίων, συνιστάται στενή κλινική παρακολούθηση σε συνδυασμό με αύξηση της δόσης της αταζαναβίρης σε 400 mg </w:t>
      </w:r>
      <w:r w:rsidRPr="00DA311C">
        <w:rPr>
          <w:color w:val="000000"/>
          <w:lang w:val="el-GR"/>
        </w:rPr>
        <w:t>με 100 mg ριτοναβίρης. Η δόση της εσομεπραζόλης δεν θα πρέπει να υπερβαίνει τα 20 mg.</w:t>
      </w:r>
      <w:r>
        <w:rPr>
          <w:color w:val="000000"/>
          <w:lang w:val="el-GR"/>
        </w:rPr>
        <w:t xml:space="preserve"> </w:t>
      </w:r>
    </w:p>
    <w:p w:rsidR="0023388E" w:rsidRDefault="0023388E">
      <w:pPr>
        <w:autoSpaceDE w:val="0"/>
        <w:autoSpaceDN w:val="0"/>
        <w:adjustRightInd w:val="0"/>
        <w:rPr>
          <w:color w:val="000000"/>
          <w:lang w:val="el-GR"/>
        </w:rPr>
      </w:pPr>
      <w:r>
        <w:rPr>
          <w:color w:val="000000"/>
          <w:lang w:val="el-GR"/>
        </w:rPr>
        <w:t xml:space="preserve">Η εσομεπραζόλη είναι </w:t>
      </w:r>
      <w:r w:rsidR="00CC5824">
        <w:rPr>
          <w:color w:val="000000"/>
          <w:lang w:val="el-GR"/>
        </w:rPr>
        <w:t xml:space="preserve">ένας </w:t>
      </w:r>
      <w:r>
        <w:rPr>
          <w:color w:val="000000"/>
          <w:lang w:val="el-GR"/>
        </w:rPr>
        <w:t xml:space="preserve">αναστολέας του </w:t>
      </w:r>
      <w:r w:rsidR="00CC5824">
        <w:rPr>
          <w:color w:val="000000"/>
          <w:lang w:val="el-GR"/>
        </w:rPr>
        <w:t xml:space="preserve">κυτοχρώματος </w:t>
      </w:r>
      <w:r>
        <w:rPr>
          <w:color w:val="000000"/>
          <w:lang w:val="en-US"/>
        </w:rPr>
        <w:t>CYP</w:t>
      </w:r>
      <w:r w:rsidRPr="0023388E">
        <w:rPr>
          <w:color w:val="000000"/>
          <w:lang w:val="el-GR"/>
        </w:rPr>
        <w:t>2</w:t>
      </w:r>
      <w:r>
        <w:rPr>
          <w:color w:val="000000"/>
          <w:lang w:val="en-US"/>
        </w:rPr>
        <w:t>C</w:t>
      </w:r>
      <w:r w:rsidRPr="0023388E">
        <w:rPr>
          <w:color w:val="000000"/>
          <w:lang w:val="el-GR"/>
        </w:rPr>
        <w:t xml:space="preserve">19. </w:t>
      </w:r>
      <w:r>
        <w:rPr>
          <w:color w:val="000000"/>
          <w:lang w:val="el-GR"/>
        </w:rPr>
        <w:t>Κατά την έναρξη ή τ</w:t>
      </w:r>
      <w:r w:rsidR="00CC5824">
        <w:rPr>
          <w:color w:val="000000"/>
          <w:lang w:val="el-GR"/>
        </w:rPr>
        <w:t>ην</w:t>
      </w:r>
      <w:r>
        <w:rPr>
          <w:color w:val="000000"/>
          <w:lang w:val="el-GR"/>
        </w:rPr>
        <w:t xml:space="preserve"> </w:t>
      </w:r>
      <w:r w:rsidR="00CC5824">
        <w:rPr>
          <w:color w:val="000000"/>
          <w:lang w:val="el-GR"/>
        </w:rPr>
        <w:t>λήξη</w:t>
      </w:r>
      <w:r>
        <w:rPr>
          <w:color w:val="000000"/>
          <w:lang w:val="el-GR"/>
        </w:rPr>
        <w:t xml:space="preserve"> της θεραπείας με εσομεπραζόλη, </w:t>
      </w:r>
      <w:r w:rsidR="00CC5824">
        <w:rPr>
          <w:color w:val="000000"/>
          <w:lang w:val="el-GR"/>
        </w:rPr>
        <w:t xml:space="preserve">θα πρέπει να εξετάζεται </w:t>
      </w:r>
      <w:r>
        <w:rPr>
          <w:color w:val="000000"/>
          <w:lang w:val="el-GR"/>
        </w:rPr>
        <w:t xml:space="preserve">η πιθανότητα </w:t>
      </w:r>
      <w:r w:rsidR="00CC5824">
        <w:rPr>
          <w:color w:val="000000"/>
          <w:lang w:val="el-GR"/>
        </w:rPr>
        <w:t>αλληλεπιδράσεων</w:t>
      </w:r>
      <w:r>
        <w:rPr>
          <w:color w:val="000000"/>
          <w:lang w:val="el-GR"/>
        </w:rPr>
        <w:t xml:space="preserve"> με φάρμακα που μεταβολίζονται μέσω του </w:t>
      </w:r>
      <w:r w:rsidR="00CC5824">
        <w:rPr>
          <w:color w:val="000000"/>
          <w:lang w:val="el-GR"/>
        </w:rPr>
        <w:t xml:space="preserve">κυτοχρώματος </w:t>
      </w:r>
      <w:r>
        <w:rPr>
          <w:color w:val="000000"/>
          <w:lang w:val="en-US"/>
        </w:rPr>
        <w:t>CYP</w:t>
      </w:r>
      <w:r w:rsidRPr="0023388E">
        <w:rPr>
          <w:color w:val="000000"/>
          <w:lang w:val="el-GR"/>
        </w:rPr>
        <w:t>2</w:t>
      </w:r>
      <w:r>
        <w:rPr>
          <w:color w:val="000000"/>
          <w:lang w:val="en-US"/>
        </w:rPr>
        <w:t>C</w:t>
      </w:r>
      <w:r w:rsidRPr="0023388E">
        <w:rPr>
          <w:color w:val="000000"/>
          <w:lang w:val="el-GR"/>
        </w:rPr>
        <w:t>19</w:t>
      </w:r>
      <w:r>
        <w:rPr>
          <w:color w:val="000000"/>
          <w:lang w:val="el-GR"/>
        </w:rPr>
        <w:t xml:space="preserve">. Αλληλεπίδραση παρατηρείται μεταξύ κλοπιδογρέλης και </w:t>
      </w:r>
      <w:r w:rsidR="00CC5824">
        <w:rPr>
          <w:color w:val="000000"/>
          <w:lang w:val="el-GR"/>
        </w:rPr>
        <w:t>ο</w:t>
      </w:r>
      <w:r>
        <w:rPr>
          <w:color w:val="000000"/>
          <w:lang w:val="el-GR"/>
        </w:rPr>
        <w:t>μεπραζόλης (βλ. παρ. 4.5). Η κλινική σ</w:t>
      </w:r>
      <w:r w:rsidR="00CC5824">
        <w:rPr>
          <w:color w:val="000000"/>
          <w:lang w:val="el-GR"/>
        </w:rPr>
        <w:t>υσχέτιση</w:t>
      </w:r>
      <w:r>
        <w:rPr>
          <w:color w:val="000000"/>
          <w:lang w:val="el-GR"/>
        </w:rPr>
        <w:t xml:space="preserve"> της αλληλεπίδρασης αυτής </w:t>
      </w:r>
      <w:r w:rsidR="00CC5824">
        <w:rPr>
          <w:color w:val="000000"/>
          <w:lang w:val="el-GR"/>
        </w:rPr>
        <w:t xml:space="preserve">δεν </w:t>
      </w:r>
      <w:r>
        <w:rPr>
          <w:color w:val="000000"/>
          <w:lang w:val="el-GR"/>
        </w:rPr>
        <w:t>είναι βέβαιη. Ως προληπτικό μέτρο, η ταυτόχρονη χρήση εσομεπραζόλης και κλοπιδογρέλης θα πρέπει να απο</w:t>
      </w:r>
      <w:r w:rsidR="00CC5824">
        <w:rPr>
          <w:color w:val="000000"/>
          <w:lang w:val="el-GR"/>
        </w:rPr>
        <w:t>φεύγεται</w:t>
      </w:r>
      <w:r>
        <w:rPr>
          <w:color w:val="000000"/>
          <w:lang w:val="el-GR"/>
        </w:rPr>
        <w:t>.</w:t>
      </w:r>
    </w:p>
    <w:p w:rsidR="0023388E" w:rsidRDefault="0023388E">
      <w:pPr>
        <w:autoSpaceDE w:val="0"/>
        <w:autoSpaceDN w:val="0"/>
        <w:adjustRightInd w:val="0"/>
        <w:rPr>
          <w:color w:val="000000"/>
          <w:lang w:val="el-GR"/>
        </w:rPr>
      </w:pPr>
    </w:p>
    <w:p w:rsidR="0023388E" w:rsidRDefault="00DA6D97">
      <w:pPr>
        <w:autoSpaceDE w:val="0"/>
        <w:autoSpaceDN w:val="0"/>
        <w:adjustRightInd w:val="0"/>
        <w:rPr>
          <w:color w:val="000000"/>
          <w:u w:val="single"/>
          <w:lang w:val="el-GR"/>
        </w:rPr>
      </w:pPr>
      <w:r>
        <w:rPr>
          <w:color w:val="000000"/>
          <w:u w:val="single"/>
          <w:lang w:val="el-GR"/>
        </w:rPr>
        <w:t>Επίδραση</w:t>
      </w:r>
      <w:r w:rsidR="0023388E" w:rsidRPr="0023388E">
        <w:rPr>
          <w:color w:val="000000"/>
          <w:u w:val="single"/>
          <w:lang w:val="el-GR"/>
        </w:rPr>
        <w:t xml:space="preserve"> </w:t>
      </w:r>
      <w:r>
        <w:rPr>
          <w:color w:val="000000"/>
          <w:u w:val="single"/>
          <w:lang w:val="el-GR"/>
        </w:rPr>
        <w:t>σ</w:t>
      </w:r>
      <w:r w:rsidR="0023388E" w:rsidRPr="0023388E">
        <w:rPr>
          <w:color w:val="000000"/>
          <w:u w:val="single"/>
          <w:lang w:val="el-GR"/>
        </w:rPr>
        <w:t>ε εργαστηριακές εξετάσεις</w:t>
      </w:r>
    </w:p>
    <w:p w:rsidR="0023388E" w:rsidRPr="0023388E" w:rsidRDefault="0023388E">
      <w:pPr>
        <w:autoSpaceDE w:val="0"/>
        <w:autoSpaceDN w:val="0"/>
        <w:adjustRightInd w:val="0"/>
        <w:rPr>
          <w:lang w:val="el-GR"/>
        </w:rPr>
      </w:pPr>
      <w:r>
        <w:rPr>
          <w:color w:val="000000"/>
          <w:lang w:val="el-GR"/>
        </w:rPr>
        <w:t xml:space="preserve">Αυξημένο επίπεδο </w:t>
      </w:r>
      <w:r>
        <w:rPr>
          <w:color w:val="000000"/>
          <w:lang w:val="en-US"/>
        </w:rPr>
        <w:t>CgA</w:t>
      </w:r>
      <w:r w:rsidRPr="0023388E">
        <w:rPr>
          <w:color w:val="000000"/>
          <w:lang w:val="el-GR"/>
        </w:rPr>
        <w:t xml:space="preserve"> </w:t>
      </w:r>
      <w:r>
        <w:rPr>
          <w:color w:val="000000"/>
          <w:lang w:val="el-GR"/>
        </w:rPr>
        <w:t xml:space="preserve">μπορεί να παρεμποδίσει τις μελέτες για νευροενδοκρινείς όγκους. Για να αποφευχθεί αυτή η </w:t>
      </w:r>
      <w:r w:rsidR="00DA6D97">
        <w:rPr>
          <w:color w:val="000000"/>
          <w:lang w:val="el-GR"/>
        </w:rPr>
        <w:t>επίδραση</w:t>
      </w:r>
      <w:r>
        <w:rPr>
          <w:color w:val="000000"/>
          <w:lang w:val="el-GR"/>
        </w:rPr>
        <w:t xml:space="preserve">, </w:t>
      </w:r>
      <w:r w:rsidR="00DA6D97">
        <w:rPr>
          <w:color w:val="000000"/>
          <w:lang w:val="el-GR"/>
        </w:rPr>
        <w:t xml:space="preserve">θα πρέπει </w:t>
      </w:r>
      <w:r>
        <w:rPr>
          <w:color w:val="000000"/>
          <w:lang w:val="el-GR"/>
        </w:rPr>
        <w:t xml:space="preserve">η θεραπεία με εσομεπραζόλη να διακοπεί προσωρινά για τουλάχιστον 5 μέρες πριν από τις </w:t>
      </w:r>
      <w:r w:rsidR="00DA6D97">
        <w:rPr>
          <w:color w:val="000000"/>
          <w:lang w:val="el-GR"/>
        </w:rPr>
        <w:t xml:space="preserve">μετρήσεις </w:t>
      </w:r>
      <w:r>
        <w:rPr>
          <w:color w:val="000000"/>
          <w:lang w:val="en-US"/>
        </w:rPr>
        <w:t>CgA</w:t>
      </w:r>
      <w:r>
        <w:rPr>
          <w:color w:val="000000"/>
          <w:lang w:val="el-GR"/>
        </w:rPr>
        <w:t>.</w:t>
      </w:r>
    </w:p>
    <w:p w:rsidR="00582A00" w:rsidRDefault="00582A00">
      <w:pPr>
        <w:tabs>
          <w:tab w:val="clear" w:pos="567"/>
        </w:tabs>
        <w:spacing w:line="240" w:lineRule="auto"/>
        <w:rPr>
          <w:rFonts w:ascii="Calibri" w:hAnsi="Calibri" w:cs="Calibri"/>
          <w:noProof/>
          <w:lang w:val="el-GR"/>
        </w:rPr>
      </w:pPr>
    </w:p>
    <w:p w:rsidR="00582A00" w:rsidRPr="005B77AA" w:rsidRDefault="00582A00">
      <w:pPr>
        <w:widowControl w:val="0"/>
        <w:outlineLvl w:val="1"/>
        <w:rPr>
          <w:rFonts w:ascii="Calibri" w:hAnsi="Calibri" w:cs="Calibri"/>
          <w:b/>
          <w:bCs/>
          <w:noProof/>
          <w:lang w:val="el-GR"/>
        </w:rPr>
      </w:pPr>
      <w:r>
        <w:rPr>
          <w:b/>
          <w:bCs/>
          <w:lang w:val="el-GR"/>
        </w:rPr>
        <w:t>4.5      Αλληλεπιδράσεις με άλλα φαρμακευτικά προϊόντα και άλλες μορφές αλληλεπίδρασης</w:t>
      </w:r>
    </w:p>
    <w:p w:rsidR="00582A00" w:rsidRPr="00E616CF" w:rsidRDefault="00E616CF">
      <w:pPr>
        <w:tabs>
          <w:tab w:val="clear" w:pos="567"/>
        </w:tabs>
        <w:spacing w:line="240" w:lineRule="auto"/>
        <w:rPr>
          <w:noProof/>
          <w:lang w:val="el-GR"/>
        </w:rPr>
      </w:pPr>
      <w:r>
        <w:rPr>
          <w:noProof/>
          <w:lang w:val="el-GR"/>
        </w:rPr>
        <w:t>Μελέτες αλληλεπίδρασης έχουν διεξαχθεί μόνο σε ενήλικες.</w:t>
      </w:r>
    </w:p>
    <w:p w:rsidR="00F90F9C" w:rsidRDefault="00F90F9C">
      <w:pPr>
        <w:pStyle w:val="Default"/>
        <w:rPr>
          <w:sz w:val="22"/>
          <w:szCs w:val="22"/>
          <w:u w:val="single"/>
          <w:lang w:val="el-GR"/>
        </w:rPr>
      </w:pPr>
    </w:p>
    <w:p w:rsidR="00582A00" w:rsidRPr="00123257" w:rsidRDefault="00582A00">
      <w:pPr>
        <w:pStyle w:val="Default"/>
        <w:rPr>
          <w:i/>
          <w:iCs/>
          <w:sz w:val="22"/>
          <w:szCs w:val="22"/>
          <w:lang w:val="en-US"/>
        </w:rPr>
      </w:pPr>
      <w:r>
        <w:rPr>
          <w:sz w:val="22"/>
          <w:szCs w:val="22"/>
          <w:u w:val="single"/>
          <w:lang w:val="el-GR"/>
        </w:rPr>
        <w:t>Επιδράσεις της εσομεπραζόλης στη φαρμακοκινητική άλλων φαρμάκων</w:t>
      </w:r>
    </w:p>
    <w:p w:rsidR="00582A00" w:rsidRDefault="00582A00">
      <w:pPr>
        <w:pStyle w:val="Default"/>
        <w:rPr>
          <w:i/>
          <w:iCs/>
          <w:sz w:val="22"/>
          <w:szCs w:val="22"/>
          <w:lang w:val="el-GR"/>
        </w:rPr>
      </w:pPr>
      <w:r>
        <w:rPr>
          <w:i/>
          <w:iCs/>
          <w:sz w:val="22"/>
          <w:szCs w:val="22"/>
          <w:lang w:val="el-GR"/>
        </w:rPr>
        <w:t>Φαρμακευτικά προϊόντα με απορρόφηση που εξαρτάται από το pH</w:t>
      </w:r>
    </w:p>
    <w:p w:rsidR="00582A00" w:rsidRDefault="00582A00">
      <w:pPr>
        <w:pStyle w:val="Default"/>
        <w:rPr>
          <w:lang w:val="el-GR"/>
        </w:rPr>
      </w:pPr>
      <w:r>
        <w:rPr>
          <w:sz w:val="22"/>
          <w:szCs w:val="22"/>
          <w:lang w:val="el-GR"/>
        </w:rPr>
        <w:t xml:space="preserve">Η μειωμένη ενδογαστρική οξύτητα κατά τη διάρκεια της θεραπείας με εσομεπραζόλη ενδέχεται να αυξήσει ή να μειώσει την απορρόφηση φαρμάκων εάν επηρεαστεί ο μηχανισμός απορρόφησης από τη γαστρική οξύτητα. Όπως και με τη χρήση άλλων αναστολέων της έκκρισης οξέος ή αντιόξινων, η απορρόφηση κετοκοναζόλης και ιτρακοναζόλης μπορεί να μειωθεί </w:t>
      </w:r>
      <w:r w:rsidR="009338E5" w:rsidRPr="00677EE5">
        <w:rPr>
          <w:sz w:val="22"/>
          <w:szCs w:val="22"/>
          <w:lang w:val="el-GR"/>
        </w:rPr>
        <w:t>και η απορρόφηση διγοξίνης μπορεί να αυξηθεί</w:t>
      </w:r>
      <w:r w:rsidR="009338E5">
        <w:rPr>
          <w:sz w:val="22"/>
          <w:szCs w:val="22"/>
          <w:lang w:val="el-GR"/>
        </w:rPr>
        <w:t xml:space="preserve"> </w:t>
      </w:r>
      <w:r>
        <w:rPr>
          <w:sz w:val="22"/>
          <w:szCs w:val="22"/>
          <w:lang w:val="el-GR"/>
        </w:rPr>
        <w:t xml:space="preserve">κατά τη διάρκεια της θεραπείας με εσομεπραζόλη. </w:t>
      </w:r>
    </w:p>
    <w:p w:rsidR="00582A00" w:rsidRPr="003607E6" w:rsidRDefault="003607E6">
      <w:pPr>
        <w:pStyle w:val="Default"/>
        <w:rPr>
          <w:sz w:val="22"/>
          <w:szCs w:val="22"/>
          <w:lang w:val="el-GR"/>
        </w:rPr>
      </w:pPr>
      <w:r>
        <w:rPr>
          <w:sz w:val="22"/>
          <w:szCs w:val="22"/>
          <w:lang w:val="el-GR"/>
        </w:rPr>
        <w:t>Ταυτόχρονη θεραπεία με ομεπραζόλη (20</w:t>
      </w:r>
      <w:r w:rsidRPr="003607E6">
        <w:rPr>
          <w:sz w:val="22"/>
          <w:szCs w:val="22"/>
          <w:lang w:val="el-GR"/>
        </w:rPr>
        <w:t xml:space="preserve"> </w:t>
      </w:r>
      <w:r>
        <w:rPr>
          <w:sz w:val="22"/>
          <w:szCs w:val="22"/>
          <w:lang w:val="en-US"/>
        </w:rPr>
        <w:t>mg</w:t>
      </w:r>
      <w:r w:rsidRPr="003607E6">
        <w:rPr>
          <w:sz w:val="22"/>
          <w:szCs w:val="22"/>
          <w:lang w:val="el-GR"/>
        </w:rPr>
        <w:t xml:space="preserve"> </w:t>
      </w:r>
      <w:r>
        <w:rPr>
          <w:sz w:val="22"/>
          <w:szCs w:val="22"/>
          <w:lang w:val="el-GR"/>
        </w:rPr>
        <w:t xml:space="preserve">ημερησίως) και διγοξίνη σε υγιείς </w:t>
      </w:r>
      <w:r w:rsidR="00C75A41">
        <w:rPr>
          <w:sz w:val="22"/>
          <w:szCs w:val="22"/>
          <w:lang w:val="el-GR"/>
        </w:rPr>
        <w:t>εθελοντές</w:t>
      </w:r>
      <w:r>
        <w:rPr>
          <w:sz w:val="22"/>
          <w:szCs w:val="22"/>
          <w:lang w:val="el-GR"/>
        </w:rPr>
        <w:t xml:space="preserve"> αύξησε τη βιοδιαθεσιμότητα της διγοξίνης κατά 10% (μέχρι 30% σε 2 από τ</w:t>
      </w:r>
      <w:r w:rsidR="00C75A41">
        <w:rPr>
          <w:sz w:val="22"/>
          <w:szCs w:val="22"/>
          <w:lang w:val="el-GR"/>
        </w:rPr>
        <w:t>α</w:t>
      </w:r>
      <w:r>
        <w:rPr>
          <w:sz w:val="22"/>
          <w:szCs w:val="22"/>
          <w:lang w:val="el-GR"/>
        </w:rPr>
        <w:t xml:space="preserve"> 10 </w:t>
      </w:r>
      <w:r w:rsidR="00C75A41">
        <w:rPr>
          <w:sz w:val="22"/>
          <w:szCs w:val="22"/>
          <w:lang w:val="el-GR"/>
        </w:rPr>
        <w:t>άτομα</w:t>
      </w:r>
      <w:r>
        <w:rPr>
          <w:sz w:val="22"/>
          <w:szCs w:val="22"/>
          <w:lang w:val="el-GR"/>
        </w:rPr>
        <w:t xml:space="preserve">). Σπάνια έχει αναφερθεί τοξικότητα της διγοξίνης. Ωστόσο, </w:t>
      </w:r>
      <w:r w:rsidR="00C75A41">
        <w:rPr>
          <w:sz w:val="22"/>
          <w:szCs w:val="22"/>
          <w:lang w:val="el-GR"/>
        </w:rPr>
        <w:t xml:space="preserve">θα πρέπει να δίνεται προσοχή </w:t>
      </w:r>
      <w:r>
        <w:rPr>
          <w:sz w:val="22"/>
          <w:szCs w:val="22"/>
          <w:lang w:val="el-GR"/>
        </w:rPr>
        <w:t xml:space="preserve">όταν χορηγείται </w:t>
      </w:r>
      <w:r w:rsidRPr="00C75A41">
        <w:rPr>
          <w:sz w:val="22"/>
          <w:szCs w:val="22"/>
          <w:lang w:val="el-GR"/>
        </w:rPr>
        <w:t>εσομεπραζόλη</w:t>
      </w:r>
      <w:r>
        <w:rPr>
          <w:sz w:val="22"/>
          <w:szCs w:val="22"/>
          <w:lang w:val="el-GR"/>
        </w:rPr>
        <w:t xml:space="preserve"> σε </w:t>
      </w:r>
      <w:r w:rsidR="00E83C17">
        <w:rPr>
          <w:sz w:val="22"/>
          <w:szCs w:val="22"/>
          <w:lang w:val="el-GR"/>
        </w:rPr>
        <w:t xml:space="preserve">μεγάλες δόσεις σε </w:t>
      </w:r>
      <w:r>
        <w:rPr>
          <w:sz w:val="22"/>
          <w:szCs w:val="22"/>
          <w:lang w:val="el-GR"/>
        </w:rPr>
        <w:t xml:space="preserve">ηλικιωμένους ασθενείς. Η παρακολούθηση της </w:t>
      </w:r>
      <w:r w:rsidR="00E83C17">
        <w:rPr>
          <w:sz w:val="22"/>
          <w:szCs w:val="22"/>
          <w:lang w:val="el-GR"/>
        </w:rPr>
        <w:t xml:space="preserve">θεραπευτικής δράσης της </w:t>
      </w:r>
      <w:r>
        <w:rPr>
          <w:sz w:val="22"/>
          <w:szCs w:val="22"/>
          <w:lang w:val="el-GR"/>
        </w:rPr>
        <w:t xml:space="preserve">διγοξίνης θα πρέπει </w:t>
      </w:r>
      <w:r w:rsidR="00E83C17">
        <w:rPr>
          <w:sz w:val="22"/>
          <w:szCs w:val="22"/>
          <w:lang w:val="el-GR"/>
        </w:rPr>
        <w:t xml:space="preserve">τότε </w:t>
      </w:r>
      <w:r>
        <w:rPr>
          <w:sz w:val="22"/>
          <w:szCs w:val="22"/>
          <w:lang w:val="el-GR"/>
        </w:rPr>
        <w:t>να ενισχυθεί.</w:t>
      </w:r>
    </w:p>
    <w:p w:rsidR="00582A00" w:rsidRPr="005B77AA" w:rsidRDefault="00582A00">
      <w:pPr>
        <w:pStyle w:val="Default"/>
        <w:rPr>
          <w:rFonts w:ascii="Calibri" w:hAnsi="Calibri" w:cs="Calibri"/>
          <w:lang w:val="el-GR"/>
        </w:rPr>
      </w:pPr>
      <w:r>
        <w:rPr>
          <w:sz w:val="22"/>
          <w:szCs w:val="22"/>
          <w:lang w:val="el-GR"/>
        </w:rPr>
        <w:t>Η ομεπραζόλη έχει αναφερθεί ότι αλληλεπιδρά με κάποιους αναστολείς πρωτεασών. Η κλινική σημασία και οι μηχανισμοί πίσω από αυτές τις αναφερόμενες αλληλεπιδράσεις δεν είναι πάντοτε γνωστοί. Το αυξημένο γαστρικό pH κατά τη διάρκεια της θεραπείας με ομεπραζόλη ενδέχεται να μεταβάλλει την απορρόφηση των αναστολέων πρωτεασών. Άλλοι πιθανοί μηχανισμοί αλληλεπίδρασης είναι μέσω της αναστολής του κυτοχρώματος CYP 2C19. Για την αταζαναβίρη και τη νελφιναβίρη, έχουν αναφερθεί μειωμένα επίπεδα στον ορό όταν συγχορηγούνται με ομεπραζόλη και η ταυτόχρονη χορήγηση δεν συνιστάται. Η συγχορήγηση ομεπραζόλης (40 mg μία φορά την ημέρα) με 300 mg αταζαναβίρης/100 mg ριτοναβίρης σε υγιείς εθελοντές οδήγησε σε σημαντική μείωση της έκθεσης σε αταζαναβίρη (μείωση περίπου 75% σε AUC, C</w:t>
      </w:r>
      <w:r>
        <w:rPr>
          <w:sz w:val="22"/>
          <w:szCs w:val="22"/>
          <w:vertAlign w:val="subscript"/>
          <w:lang w:val="el-GR"/>
        </w:rPr>
        <w:t>max</w:t>
      </w:r>
      <w:r>
        <w:rPr>
          <w:sz w:val="22"/>
          <w:szCs w:val="22"/>
          <w:lang w:val="el-GR"/>
        </w:rPr>
        <w:t xml:space="preserve"> και C</w:t>
      </w:r>
      <w:r>
        <w:rPr>
          <w:sz w:val="22"/>
          <w:szCs w:val="22"/>
          <w:vertAlign w:val="subscript"/>
          <w:lang w:val="el-GR"/>
        </w:rPr>
        <w:t>min</w:t>
      </w:r>
      <w:r>
        <w:rPr>
          <w:sz w:val="22"/>
          <w:szCs w:val="22"/>
          <w:lang w:val="el-GR"/>
        </w:rPr>
        <w:t>). Η αύξηση της δόσης της αταζαναβίρης σε 400 mg δεν αντιστάθμισε την επίδραση της ομεπραζόλης στην έκθεση σε αταζαναβίρη. Η συγχορήγηση ομεπραζόλης (20 mg κάθε ημέρα) με 400 mg αταζαναβίρης/100 mg ριτοναβίρης σε υγιείς εθελοντές οδήγησε σε μείωση κατά περίπου 30% στη</w:t>
      </w:r>
      <w:r w:rsidR="00C96FF6">
        <w:rPr>
          <w:sz w:val="22"/>
          <w:szCs w:val="22"/>
          <w:lang w:val="el-GR"/>
        </w:rPr>
        <w:t>ν</w:t>
      </w:r>
      <w:r>
        <w:rPr>
          <w:sz w:val="22"/>
          <w:szCs w:val="22"/>
          <w:lang w:val="el-GR"/>
        </w:rPr>
        <w:t xml:space="preserve"> έκθεση σε αταζαναβίρη συγκριτικά με την έκθεση που παρατηρείται με τη δόση 300 mg αταζαναβίρης/100 mg ριτοναβίρης κάθε ημέρα χωρίς λήψη 20 mg ομεπραζόλης κάθε ημέρα. Η συγχορήγηση ομεπραζόλης</w:t>
      </w:r>
      <w:r w:rsidRPr="005B77AA">
        <w:rPr>
          <w:sz w:val="22"/>
          <w:szCs w:val="22"/>
          <w:lang w:val="el-GR"/>
        </w:rPr>
        <w:t xml:space="preserve"> (40</w:t>
      </w:r>
      <w:r>
        <w:rPr>
          <w:sz w:val="22"/>
          <w:szCs w:val="22"/>
        </w:rPr>
        <w:t> mg</w:t>
      </w:r>
      <w:r w:rsidRPr="005B77AA">
        <w:rPr>
          <w:sz w:val="22"/>
          <w:szCs w:val="22"/>
          <w:lang w:val="el-GR"/>
        </w:rPr>
        <w:t xml:space="preserve"> </w:t>
      </w:r>
      <w:r>
        <w:rPr>
          <w:sz w:val="22"/>
          <w:szCs w:val="22"/>
          <w:lang w:val="el-GR"/>
        </w:rPr>
        <w:t>κάθε ημέρα</w:t>
      </w:r>
      <w:r w:rsidRPr="005B77AA">
        <w:rPr>
          <w:sz w:val="22"/>
          <w:szCs w:val="22"/>
          <w:lang w:val="el-GR"/>
        </w:rPr>
        <w:t xml:space="preserve">) </w:t>
      </w:r>
      <w:r>
        <w:rPr>
          <w:sz w:val="22"/>
          <w:szCs w:val="22"/>
          <w:lang w:val="el-GR"/>
        </w:rPr>
        <w:t>μείωσε τη μέση τιμή</w:t>
      </w:r>
      <w:r w:rsidRPr="005B77AA">
        <w:rPr>
          <w:sz w:val="22"/>
          <w:szCs w:val="22"/>
          <w:lang w:val="el-GR"/>
        </w:rPr>
        <w:t xml:space="preserve"> </w:t>
      </w:r>
      <w:r>
        <w:rPr>
          <w:sz w:val="22"/>
          <w:szCs w:val="22"/>
        </w:rPr>
        <w:t>AUC</w:t>
      </w:r>
      <w:r w:rsidRPr="005B77AA">
        <w:rPr>
          <w:sz w:val="22"/>
          <w:szCs w:val="22"/>
          <w:lang w:val="el-GR"/>
        </w:rPr>
        <w:t xml:space="preserve">, </w:t>
      </w:r>
      <w:r>
        <w:rPr>
          <w:sz w:val="22"/>
          <w:szCs w:val="22"/>
        </w:rPr>
        <w:t>C</w:t>
      </w:r>
      <w:r>
        <w:rPr>
          <w:sz w:val="22"/>
          <w:szCs w:val="22"/>
          <w:vertAlign w:val="subscript"/>
        </w:rPr>
        <w:t>max</w:t>
      </w:r>
      <w:r w:rsidRPr="005B77AA">
        <w:rPr>
          <w:sz w:val="22"/>
          <w:szCs w:val="22"/>
          <w:lang w:val="el-GR"/>
        </w:rPr>
        <w:t xml:space="preserve"> </w:t>
      </w:r>
      <w:r>
        <w:rPr>
          <w:sz w:val="22"/>
          <w:szCs w:val="22"/>
          <w:lang w:val="el-GR"/>
        </w:rPr>
        <w:t>και</w:t>
      </w:r>
      <w:r w:rsidRPr="005B77AA">
        <w:rPr>
          <w:sz w:val="22"/>
          <w:szCs w:val="22"/>
          <w:lang w:val="el-GR"/>
        </w:rPr>
        <w:t xml:space="preserve"> </w:t>
      </w:r>
      <w:r>
        <w:rPr>
          <w:sz w:val="22"/>
          <w:szCs w:val="22"/>
        </w:rPr>
        <w:t>C</w:t>
      </w:r>
      <w:r>
        <w:rPr>
          <w:sz w:val="22"/>
          <w:szCs w:val="22"/>
          <w:vertAlign w:val="subscript"/>
        </w:rPr>
        <w:t>min</w:t>
      </w:r>
      <w:r w:rsidRPr="005B77AA">
        <w:rPr>
          <w:sz w:val="22"/>
          <w:szCs w:val="22"/>
          <w:lang w:val="el-GR"/>
        </w:rPr>
        <w:t xml:space="preserve"> </w:t>
      </w:r>
      <w:r>
        <w:rPr>
          <w:sz w:val="22"/>
          <w:szCs w:val="22"/>
          <w:lang w:val="el-GR"/>
        </w:rPr>
        <w:t>της νελφιναβίρης κατά</w:t>
      </w:r>
      <w:r w:rsidRPr="005B77AA">
        <w:rPr>
          <w:sz w:val="22"/>
          <w:szCs w:val="22"/>
          <w:lang w:val="el-GR"/>
        </w:rPr>
        <w:t xml:space="preserve"> 36</w:t>
      </w:r>
      <w:r w:rsidRPr="005B77AA">
        <w:rPr>
          <w:sz w:val="22"/>
          <w:szCs w:val="22"/>
          <w:lang w:val="el-GR"/>
        </w:rPr>
        <w:noBreakHyphen/>
        <w:t xml:space="preserve">39 % </w:t>
      </w:r>
      <w:r>
        <w:rPr>
          <w:sz w:val="22"/>
          <w:szCs w:val="22"/>
          <w:lang w:val="el-GR"/>
        </w:rPr>
        <w:t>και τη μέση τιμή</w:t>
      </w:r>
      <w:r w:rsidRPr="005B77AA">
        <w:rPr>
          <w:sz w:val="22"/>
          <w:szCs w:val="22"/>
          <w:lang w:val="el-GR"/>
        </w:rPr>
        <w:t xml:space="preserve"> </w:t>
      </w:r>
      <w:r>
        <w:rPr>
          <w:sz w:val="22"/>
          <w:szCs w:val="22"/>
        </w:rPr>
        <w:t>AUC</w:t>
      </w:r>
      <w:r w:rsidRPr="005B77AA">
        <w:rPr>
          <w:sz w:val="22"/>
          <w:szCs w:val="22"/>
          <w:lang w:val="el-GR"/>
        </w:rPr>
        <w:t xml:space="preserve">, </w:t>
      </w:r>
      <w:r>
        <w:rPr>
          <w:sz w:val="22"/>
          <w:szCs w:val="22"/>
        </w:rPr>
        <w:t>C</w:t>
      </w:r>
      <w:r>
        <w:rPr>
          <w:sz w:val="22"/>
          <w:szCs w:val="22"/>
          <w:vertAlign w:val="subscript"/>
        </w:rPr>
        <w:t>max</w:t>
      </w:r>
      <w:r w:rsidRPr="005B77AA">
        <w:rPr>
          <w:sz w:val="22"/>
          <w:szCs w:val="22"/>
          <w:lang w:val="el-GR"/>
        </w:rPr>
        <w:t xml:space="preserve"> </w:t>
      </w:r>
      <w:r>
        <w:rPr>
          <w:sz w:val="22"/>
          <w:szCs w:val="22"/>
          <w:lang w:val="el-GR"/>
        </w:rPr>
        <w:t>και</w:t>
      </w:r>
      <w:r w:rsidRPr="005B77AA">
        <w:rPr>
          <w:sz w:val="22"/>
          <w:szCs w:val="22"/>
          <w:lang w:val="el-GR"/>
        </w:rPr>
        <w:t xml:space="preserve"> </w:t>
      </w:r>
      <w:r>
        <w:rPr>
          <w:sz w:val="22"/>
          <w:szCs w:val="22"/>
        </w:rPr>
        <w:t>C</w:t>
      </w:r>
      <w:r>
        <w:rPr>
          <w:sz w:val="22"/>
          <w:szCs w:val="22"/>
          <w:vertAlign w:val="subscript"/>
        </w:rPr>
        <w:t>min</w:t>
      </w:r>
      <w:r w:rsidRPr="005B77AA">
        <w:rPr>
          <w:sz w:val="22"/>
          <w:szCs w:val="22"/>
          <w:lang w:val="el-GR"/>
        </w:rPr>
        <w:t xml:space="preserve"> </w:t>
      </w:r>
      <w:r>
        <w:rPr>
          <w:sz w:val="22"/>
          <w:szCs w:val="22"/>
          <w:lang w:val="el-GR"/>
        </w:rPr>
        <w:t>για τον φαρμακολογικά δραστικό μεταβολίτη</w:t>
      </w:r>
      <w:r w:rsidRPr="005B77AA">
        <w:rPr>
          <w:sz w:val="22"/>
          <w:szCs w:val="22"/>
          <w:lang w:val="el-GR"/>
        </w:rPr>
        <w:t xml:space="preserve"> </w:t>
      </w:r>
      <w:r>
        <w:rPr>
          <w:sz w:val="22"/>
          <w:szCs w:val="22"/>
        </w:rPr>
        <w:t>M</w:t>
      </w:r>
      <w:r w:rsidRPr="005B77AA">
        <w:rPr>
          <w:sz w:val="22"/>
          <w:szCs w:val="22"/>
          <w:lang w:val="el-GR"/>
        </w:rPr>
        <w:t xml:space="preserve">8 </w:t>
      </w:r>
      <w:r>
        <w:rPr>
          <w:sz w:val="22"/>
          <w:szCs w:val="22"/>
          <w:lang w:val="el-GR"/>
        </w:rPr>
        <w:t>μειώθηκε κατά</w:t>
      </w:r>
      <w:r w:rsidRPr="005B77AA">
        <w:rPr>
          <w:sz w:val="22"/>
          <w:szCs w:val="22"/>
          <w:lang w:val="el-GR"/>
        </w:rPr>
        <w:t xml:space="preserve"> 75</w:t>
      </w:r>
      <w:r w:rsidRPr="005B77AA">
        <w:rPr>
          <w:sz w:val="22"/>
          <w:szCs w:val="22"/>
          <w:lang w:val="el-GR"/>
        </w:rPr>
        <w:noBreakHyphen/>
        <w:t xml:space="preserve">92%. </w:t>
      </w:r>
      <w:r>
        <w:rPr>
          <w:sz w:val="22"/>
          <w:szCs w:val="22"/>
          <w:lang w:val="el-GR"/>
        </w:rPr>
        <w:t>Για τη σακιναβίρη</w:t>
      </w:r>
      <w:r w:rsidRPr="005B77AA">
        <w:rPr>
          <w:sz w:val="22"/>
          <w:szCs w:val="22"/>
          <w:lang w:val="el-GR"/>
        </w:rPr>
        <w:t xml:space="preserve"> (</w:t>
      </w:r>
      <w:r>
        <w:rPr>
          <w:sz w:val="22"/>
          <w:szCs w:val="22"/>
          <w:lang w:val="el-GR"/>
        </w:rPr>
        <w:t>με συνοδό ριτοναβίρη</w:t>
      </w:r>
      <w:r w:rsidRPr="005B77AA">
        <w:rPr>
          <w:sz w:val="22"/>
          <w:szCs w:val="22"/>
          <w:lang w:val="el-GR"/>
        </w:rPr>
        <w:t xml:space="preserve">), </w:t>
      </w:r>
      <w:r>
        <w:rPr>
          <w:sz w:val="22"/>
          <w:szCs w:val="22"/>
          <w:lang w:val="el-GR"/>
        </w:rPr>
        <w:t>έχουν αναφερθεί αυξημένα επίπεδα στον ορό</w:t>
      </w:r>
      <w:r w:rsidRPr="005B77AA">
        <w:rPr>
          <w:sz w:val="22"/>
          <w:szCs w:val="22"/>
          <w:lang w:val="el-GR"/>
        </w:rPr>
        <w:t xml:space="preserve"> (80</w:t>
      </w:r>
      <w:r w:rsidRPr="005B77AA">
        <w:rPr>
          <w:sz w:val="22"/>
          <w:szCs w:val="22"/>
          <w:lang w:val="el-GR"/>
        </w:rPr>
        <w:noBreakHyphen/>
        <w:t xml:space="preserve">100%) </w:t>
      </w:r>
      <w:r>
        <w:rPr>
          <w:sz w:val="22"/>
          <w:szCs w:val="22"/>
          <w:lang w:val="el-GR"/>
        </w:rPr>
        <w:t>κατά τη διάρκεια της ταυτόχρονης θεραπείας με ομεπραζόλη</w:t>
      </w:r>
      <w:r w:rsidRPr="005B77AA">
        <w:rPr>
          <w:sz w:val="22"/>
          <w:szCs w:val="22"/>
          <w:lang w:val="el-GR"/>
        </w:rPr>
        <w:t xml:space="preserve"> (40</w:t>
      </w:r>
      <w:r>
        <w:rPr>
          <w:sz w:val="22"/>
          <w:szCs w:val="22"/>
        </w:rPr>
        <w:t> mg</w:t>
      </w:r>
      <w:r w:rsidRPr="005B77AA">
        <w:rPr>
          <w:sz w:val="22"/>
          <w:szCs w:val="22"/>
          <w:lang w:val="el-GR"/>
        </w:rPr>
        <w:t xml:space="preserve"> </w:t>
      </w:r>
      <w:r>
        <w:rPr>
          <w:sz w:val="22"/>
          <w:szCs w:val="22"/>
          <w:lang w:val="el-GR"/>
        </w:rPr>
        <w:t>κάθε ημέρα</w:t>
      </w:r>
      <w:r w:rsidRPr="005B77AA">
        <w:rPr>
          <w:sz w:val="22"/>
          <w:szCs w:val="22"/>
          <w:lang w:val="el-GR"/>
        </w:rPr>
        <w:t xml:space="preserve">). </w:t>
      </w:r>
      <w:r>
        <w:rPr>
          <w:sz w:val="22"/>
          <w:szCs w:val="22"/>
          <w:lang w:val="el-GR"/>
        </w:rPr>
        <w:t>Η θεραπεία με</w:t>
      </w:r>
      <w:r w:rsidRPr="005B77AA">
        <w:rPr>
          <w:sz w:val="22"/>
          <w:szCs w:val="22"/>
          <w:lang w:val="el-GR"/>
        </w:rPr>
        <w:t xml:space="preserve"> 20</w:t>
      </w:r>
      <w:r>
        <w:rPr>
          <w:sz w:val="22"/>
          <w:szCs w:val="22"/>
        </w:rPr>
        <w:t> mg</w:t>
      </w:r>
      <w:r w:rsidRPr="005B77AA">
        <w:rPr>
          <w:sz w:val="22"/>
          <w:szCs w:val="22"/>
          <w:lang w:val="el-GR"/>
        </w:rPr>
        <w:t xml:space="preserve"> </w:t>
      </w:r>
      <w:r>
        <w:rPr>
          <w:sz w:val="22"/>
          <w:szCs w:val="22"/>
          <w:lang w:val="el-GR"/>
        </w:rPr>
        <w:t>ομεπραζόλης κάθε ημέρα δεν είχε καμία επίδραση στην έκθεση σε δαρουναβίρη</w:t>
      </w:r>
      <w:r w:rsidRPr="005B77AA">
        <w:rPr>
          <w:sz w:val="22"/>
          <w:szCs w:val="22"/>
          <w:lang w:val="el-GR"/>
        </w:rPr>
        <w:t xml:space="preserve"> (</w:t>
      </w:r>
      <w:r>
        <w:rPr>
          <w:sz w:val="22"/>
          <w:szCs w:val="22"/>
          <w:lang w:val="el-GR"/>
        </w:rPr>
        <w:t>με συνοδό ριτοναβίρη</w:t>
      </w:r>
      <w:r w:rsidRPr="005B77AA">
        <w:rPr>
          <w:sz w:val="22"/>
          <w:szCs w:val="22"/>
          <w:lang w:val="el-GR"/>
        </w:rPr>
        <w:t xml:space="preserve">) </w:t>
      </w:r>
      <w:r>
        <w:rPr>
          <w:sz w:val="22"/>
          <w:szCs w:val="22"/>
          <w:lang w:val="el-GR"/>
        </w:rPr>
        <w:t>και σε αμπρεναβίρη</w:t>
      </w:r>
      <w:r w:rsidRPr="005B77AA">
        <w:rPr>
          <w:sz w:val="22"/>
          <w:szCs w:val="22"/>
          <w:lang w:val="el-GR"/>
        </w:rPr>
        <w:t xml:space="preserve"> (</w:t>
      </w:r>
      <w:r>
        <w:rPr>
          <w:sz w:val="22"/>
          <w:szCs w:val="22"/>
          <w:lang w:val="el-GR"/>
        </w:rPr>
        <w:t>με συνοδό ριτοναβίρη</w:t>
      </w:r>
      <w:r w:rsidRPr="005B77AA">
        <w:rPr>
          <w:sz w:val="22"/>
          <w:szCs w:val="22"/>
          <w:lang w:val="el-GR"/>
        </w:rPr>
        <w:t xml:space="preserve">). </w:t>
      </w:r>
      <w:r>
        <w:rPr>
          <w:sz w:val="22"/>
          <w:szCs w:val="22"/>
          <w:lang w:val="el-GR"/>
        </w:rPr>
        <w:t>Η θεραπεία με</w:t>
      </w:r>
      <w:r w:rsidRPr="005B77AA">
        <w:rPr>
          <w:sz w:val="22"/>
          <w:szCs w:val="22"/>
          <w:lang w:val="el-GR"/>
        </w:rPr>
        <w:t xml:space="preserve"> 20</w:t>
      </w:r>
      <w:r>
        <w:rPr>
          <w:sz w:val="22"/>
          <w:szCs w:val="22"/>
        </w:rPr>
        <w:t> mg</w:t>
      </w:r>
      <w:r w:rsidRPr="005B77AA">
        <w:rPr>
          <w:sz w:val="22"/>
          <w:szCs w:val="22"/>
          <w:lang w:val="el-GR"/>
        </w:rPr>
        <w:t xml:space="preserve"> </w:t>
      </w:r>
      <w:r>
        <w:rPr>
          <w:sz w:val="22"/>
          <w:szCs w:val="22"/>
          <w:lang w:val="el-GR"/>
        </w:rPr>
        <w:t>εσομεπραζόλης κάθε ημέρα δεν είχε καμία επίδραση στην έκθεση σε αμπρεναβίρη</w:t>
      </w:r>
      <w:r w:rsidRPr="005B77AA">
        <w:rPr>
          <w:sz w:val="22"/>
          <w:szCs w:val="22"/>
          <w:lang w:val="el-GR"/>
        </w:rPr>
        <w:t xml:space="preserve"> (</w:t>
      </w:r>
      <w:r>
        <w:rPr>
          <w:sz w:val="22"/>
          <w:szCs w:val="22"/>
          <w:lang w:val="el-GR"/>
        </w:rPr>
        <w:t>με και χωρίς συνοδό ριτοναβίρη</w:t>
      </w:r>
      <w:r w:rsidRPr="005B77AA">
        <w:rPr>
          <w:sz w:val="22"/>
          <w:szCs w:val="22"/>
          <w:lang w:val="el-GR"/>
        </w:rPr>
        <w:t xml:space="preserve">). </w:t>
      </w:r>
      <w:r>
        <w:rPr>
          <w:sz w:val="22"/>
          <w:szCs w:val="22"/>
          <w:lang w:val="el-GR"/>
        </w:rPr>
        <w:t>Η θεραπεία με</w:t>
      </w:r>
      <w:r w:rsidRPr="005B77AA">
        <w:rPr>
          <w:sz w:val="22"/>
          <w:szCs w:val="22"/>
          <w:lang w:val="el-GR"/>
        </w:rPr>
        <w:t xml:space="preserve"> 40 </w:t>
      </w:r>
      <w:r>
        <w:rPr>
          <w:sz w:val="22"/>
          <w:szCs w:val="22"/>
        </w:rPr>
        <w:t>mg</w:t>
      </w:r>
      <w:r w:rsidRPr="005B77AA">
        <w:rPr>
          <w:sz w:val="22"/>
          <w:szCs w:val="22"/>
          <w:lang w:val="el-GR"/>
        </w:rPr>
        <w:t xml:space="preserve"> </w:t>
      </w:r>
      <w:r>
        <w:rPr>
          <w:sz w:val="22"/>
          <w:szCs w:val="22"/>
          <w:lang w:val="el-GR"/>
        </w:rPr>
        <w:t>ομεπραζόλης κάθε ημέρα δεν είχε καμία επίδραση στην έκθεση σε λοπιναβίρη</w:t>
      </w:r>
      <w:r w:rsidRPr="005B77AA">
        <w:rPr>
          <w:sz w:val="22"/>
          <w:szCs w:val="22"/>
          <w:lang w:val="el-GR"/>
        </w:rPr>
        <w:t xml:space="preserve"> (</w:t>
      </w:r>
      <w:r>
        <w:rPr>
          <w:sz w:val="22"/>
          <w:szCs w:val="22"/>
          <w:lang w:val="el-GR"/>
        </w:rPr>
        <w:t>με και χωρίς συνοδό ριτοναβίρη</w:t>
      </w:r>
      <w:r w:rsidRPr="005B77AA">
        <w:rPr>
          <w:sz w:val="22"/>
          <w:szCs w:val="22"/>
          <w:lang w:val="el-GR"/>
        </w:rPr>
        <w:t xml:space="preserve">). </w:t>
      </w:r>
      <w:r>
        <w:rPr>
          <w:sz w:val="22"/>
          <w:szCs w:val="22"/>
          <w:lang w:val="el-GR"/>
        </w:rPr>
        <w:t>Λόγω των παρόμοιων φαρμακοδυναμικών επιδράσεων και των φαρμακοκινητικών ιδιοτήτων της ομεπραζόλης και της εσομεπραζόλης</w:t>
      </w:r>
      <w:r w:rsidRPr="005B77AA">
        <w:rPr>
          <w:sz w:val="22"/>
          <w:szCs w:val="22"/>
          <w:lang w:val="el-GR"/>
        </w:rPr>
        <w:t xml:space="preserve">, </w:t>
      </w:r>
      <w:r>
        <w:rPr>
          <w:sz w:val="22"/>
          <w:szCs w:val="22"/>
          <w:lang w:val="el-GR"/>
        </w:rPr>
        <w:t xml:space="preserve">η ταυτόχρονη </w:t>
      </w:r>
      <w:r>
        <w:rPr>
          <w:sz w:val="22"/>
          <w:szCs w:val="22"/>
          <w:lang w:val="el-GR"/>
        </w:rPr>
        <w:lastRenderedPageBreak/>
        <w:t>χορήγηση εσομεπραζόλης με αταζαναβίρη δεν συνιστάται και η ταυτόχρονη χορήγηση με εσομεπραζόλη και νελφιναβίρη αντενδείκνυται</w:t>
      </w:r>
      <w:r w:rsidRPr="005B77AA">
        <w:rPr>
          <w:sz w:val="22"/>
          <w:szCs w:val="22"/>
          <w:lang w:val="el-GR"/>
        </w:rPr>
        <w:t>.</w:t>
      </w:r>
    </w:p>
    <w:p w:rsidR="00582A00" w:rsidRPr="005B77AA" w:rsidRDefault="00582A00">
      <w:pPr>
        <w:pStyle w:val="Default"/>
        <w:rPr>
          <w:rFonts w:ascii="Calibri" w:hAnsi="Calibri" w:cs="Calibri"/>
          <w:sz w:val="22"/>
          <w:szCs w:val="22"/>
          <w:lang w:val="el-GR"/>
        </w:rPr>
      </w:pPr>
    </w:p>
    <w:p w:rsidR="00582A00" w:rsidRDefault="00582A00">
      <w:pPr>
        <w:pStyle w:val="Default"/>
        <w:rPr>
          <w:i/>
          <w:iCs/>
          <w:sz w:val="22"/>
          <w:szCs w:val="22"/>
          <w:lang w:val="el-GR"/>
        </w:rPr>
      </w:pPr>
      <w:r>
        <w:rPr>
          <w:i/>
          <w:iCs/>
          <w:sz w:val="22"/>
          <w:szCs w:val="22"/>
          <w:lang w:val="el-GR"/>
        </w:rPr>
        <w:t>Φάρμακα που μεταβολίζονται μέσω του κυτοχρώματος CYP2C19</w:t>
      </w:r>
    </w:p>
    <w:p w:rsidR="00582A00" w:rsidRPr="00123257" w:rsidRDefault="00582A00">
      <w:pPr>
        <w:pStyle w:val="Default"/>
        <w:rPr>
          <w:sz w:val="22"/>
          <w:szCs w:val="22"/>
          <w:lang w:val="en-US"/>
        </w:rPr>
      </w:pPr>
      <w:r>
        <w:rPr>
          <w:sz w:val="22"/>
          <w:szCs w:val="22"/>
          <w:lang w:val="el-GR"/>
        </w:rPr>
        <w:t xml:space="preserve">Η εσομεπραζόλη αναστέλλει το κυτόχρωμα CYP2C19, το κύριο ένζυμο μεταβολισμού της εσομεπραζόλης. Επομένως, όταν η εσομεπραζόλη συνδυάζεται με φάρμακα που μεταβολίζονται από το κυτόχρωμα CYP2C19, όπως η διαζεπάμη, η σιταλοπράμη, η ιμιπραμίνη, η κλομιπραμίνη, η φαινυτοΐνη κ.λπ., οι συγκεντρώσεις αυτών των φαρμάκων στο πλάσμα ενδέχεται να αυξηθούν και θα μπορούσε να χρειαστεί μείωση της δόσης. Αυτό θα πρέπει να λαμβάνεται υπόψη ειδικά όταν συνταγογραφείται η εσομεπραζόλη για αγωγή κατ’ επίκληση. Η ταυτόχρονη χορήγηση 30 mg εσομεπραζόλης οδήγησε σε μείωση κατά 45% στην κάθαρση της διαζεπάμης που είναι υπόστρωμα του κυτοχρώματος CYP2C19. Η ταυτόχρονη χορήγηση 40 mg εσομεπραζόλης οδήγησε σε </w:t>
      </w:r>
      <w:r w:rsidR="002B6C10">
        <w:rPr>
          <w:sz w:val="22"/>
          <w:szCs w:val="22"/>
          <w:lang w:val="el-GR"/>
        </w:rPr>
        <w:t xml:space="preserve">αύξηση </w:t>
      </w:r>
      <w:r>
        <w:rPr>
          <w:sz w:val="22"/>
          <w:szCs w:val="22"/>
          <w:lang w:val="el-GR"/>
        </w:rPr>
        <w:t>κατά 13% στα ελάχιστα επίπεδα πλάσματος της φαινυτοΐνης σε επιληπτικούς ασθενείς. Συνιστάται η παρακολούθηση των συγκεντρώσεων της φαινυτοΐνης στο πλάσμα όταν εισάγεται ή αποσύρεται η θεραπεία με εσομεπραζόλη. Η ομεπραζόλη (40 mg μία φορά την ημέρα) αύξησε τη C</w:t>
      </w:r>
      <w:r>
        <w:rPr>
          <w:sz w:val="22"/>
          <w:szCs w:val="22"/>
          <w:vertAlign w:val="subscript"/>
          <w:lang w:val="el-GR"/>
        </w:rPr>
        <w:t>max</w:t>
      </w:r>
      <w:r>
        <w:rPr>
          <w:sz w:val="22"/>
          <w:szCs w:val="22"/>
          <w:lang w:val="el-GR"/>
        </w:rPr>
        <w:t xml:space="preserve"> και το AUC</w:t>
      </w:r>
      <w:r>
        <w:rPr>
          <w:sz w:val="22"/>
          <w:szCs w:val="22"/>
          <w:vertAlign w:val="subscript"/>
          <w:lang w:val="el-GR"/>
        </w:rPr>
        <w:t>τ</w:t>
      </w:r>
      <w:r>
        <w:rPr>
          <w:sz w:val="22"/>
          <w:szCs w:val="22"/>
          <w:lang w:val="el-GR"/>
        </w:rPr>
        <w:t xml:space="preserve"> της βορικοναζόλης (υπόστρωμα κυτοχρώματος CYP2C19) κατά 15% και 41%, αντίστοιχα. </w:t>
      </w:r>
    </w:p>
    <w:p w:rsidR="00582A00" w:rsidRPr="00123257" w:rsidRDefault="00582A00">
      <w:pPr>
        <w:pStyle w:val="Default"/>
        <w:rPr>
          <w:sz w:val="22"/>
          <w:szCs w:val="22"/>
          <w:lang w:val="en-US"/>
        </w:rPr>
      </w:pPr>
      <w:r>
        <w:rPr>
          <w:sz w:val="22"/>
          <w:szCs w:val="22"/>
          <w:lang w:val="el-GR"/>
        </w:rPr>
        <w:t xml:space="preserve">Η ταυτόχρονη χορήγηση 40 mg εσομεπραζόλης σε ασθενείς οι οποίοι λάμβαναν θεραπεία με βαρφαρίνη σε μια κλινική δοκιμή έδειξε ότι οι χρόνοι πήξης βρίσκονταν εντός του αποδεκτού εύρους. Ωστόσο, μετά την κυκλοφορία στην αγορά, έχουν αναφερθεί λίγες μεμονωμένες περιπτώσεις αυξημένου INR κλινικής σημασίας κατά τη διάρκεια της ταυτόχρονης θεραπείας. Συνιστάται παρακολούθηση κατά την έναρξη και τη λήξη ταυτόχρονης θεραπείας με εσομεπραζόλη κατά τη διάρκεια της θεραπείας με βαρφαρίνη ή άλλα παράγωγα κουμαρίνης. </w:t>
      </w:r>
    </w:p>
    <w:p w:rsidR="00582A00" w:rsidRPr="00123257" w:rsidRDefault="00582A00">
      <w:pPr>
        <w:pStyle w:val="Default"/>
        <w:rPr>
          <w:sz w:val="22"/>
          <w:szCs w:val="22"/>
          <w:lang w:val="en-US"/>
        </w:rPr>
      </w:pPr>
      <w:r>
        <w:rPr>
          <w:sz w:val="22"/>
          <w:szCs w:val="22"/>
          <w:lang w:val="el-GR"/>
        </w:rPr>
        <w:t>Σε υγιείς εθελοντές, η ταυτόχρονη χορήγηση 40 mg εσομεπραζόλης οδήγησε σε αύξηση κατά 32% στο εμβαδό κάτω από την καμπύλη συγκέντρωσης στο πλάσμα-χρόνου (AUC) και παράταση κατά 31% του χρόνου ημίσειας ζωής αποβολής (t</w:t>
      </w:r>
      <w:r>
        <w:rPr>
          <w:sz w:val="22"/>
          <w:szCs w:val="22"/>
          <w:vertAlign w:val="subscript"/>
          <w:lang w:val="el-GR"/>
        </w:rPr>
        <w:t>1/2</w:t>
      </w:r>
      <w:r>
        <w:rPr>
          <w:sz w:val="22"/>
          <w:szCs w:val="22"/>
          <w:lang w:val="el-GR"/>
        </w:rPr>
        <w:t xml:space="preserve">) αλλά καμία σημαντική αύξηση στα μέγιστα επίπεδα σισαπρίδης στο πλάσμα. Η ελαφριά παράταση του διαστήματος QTc που παρατηρήθηκε μετά τη μεμονωμένη χορήγηση σισαπρίδης, δεν παρατάθηκε περαιτέρω κατά τη χορήγηση σισαπρίδης σε συνδυασμό με εσομεπραζόλη (βλ. επίσης παράγραφο 4.4). </w:t>
      </w:r>
    </w:p>
    <w:p w:rsidR="00582A00" w:rsidRPr="00123257" w:rsidRDefault="00582A00">
      <w:pPr>
        <w:pStyle w:val="Default"/>
        <w:rPr>
          <w:sz w:val="22"/>
          <w:szCs w:val="22"/>
          <w:lang w:val="en-US"/>
        </w:rPr>
      </w:pPr>
      <w:r>
        <w:rPr>
          <w:sz w:val="22"/>
          <w:szCs w:val="22"/>
          <w:lang w:val="el-GR"/>
        </w:rPr>
        <w:t xml:space="preserve">Η εσομεπραζόλη έχει φανεί ότι δεν έχει κλινικά σχετικές επιδράσεις στη φαρμακοκινητική της αμοξυκιλλίνης και της κινιδίνης. </w:t>
      </w:r>
    </w:p>
    <w:p w:rsidR="00582A00" w:rsidRDefault="00582A00">
      <w:pPr>
        <w:pStyle w:val="Default"/>
        <w:rPr>
          <w:lang w:val="el-GR"/>
        </w:rPr>
      </w:pPr>
      <w:r>
        <w:rPr>
          <w:sz w:val="22"/>
          <w:szCs w:val="22"/>
          <w:lang w:val="el-GR"/>
        </w:rPr>
        <w:t xml:space="preserve">Μελέτες που αξιολόγησαν την ταυτόχρονη χορήγηση της εσομεπραζόλης και της ναπροξένης ή της ροφεκοξίμπης δεν αναγνώρισαν τυχόν κλινικά σχετικές φαρμακοκινητικές αλληλεπιδράσεις κατά τη διάρκεια βραχυχρόνιων μελετών. </w:t>
      </w:r>
    </w:p>
    <w:p w:rsidR="00582A00" w:rsidRDefault="00321C63">
      <w:pPr>
        <w:pStyle w:val="Default"/>
        <w:rPr>
          <w:sz w:val="22"/>
          <w:szCs w:val="22"/>
          <w:lang w:val="el-GR"/>
        </w:rPr>
      </w:pPr>
      <w:r>
        <w:rPr>
          <w:sz w:val="22"/>
          <w:szCs w:val="22"/>
          <w:lang w:val="el-GR"/>
        </w:rPr>
        <w:t>Σε μι</w:t>
      </w:r>
      <w:r w:rsidR="00E3460F">
        <w:rPr>
          <w:sz w:val="22"/>
          <w:szCs w:val="22"/>
          <w:lang w:val="el-GR"/>
        </w:rPr>
        <w:t>α διασταυρούμενη κλινική μελέτη</w:t>
      </w:r>
      <w:r>
        <w:rPr>
          <w:sz w:val="22"/>
          <w:szCs w:val="22"/>
          <w:lang w:val="el-GR"/>
        </w:rPr>
        <w:t xml:space="preserve"> </w:t>
      </w:r>
      <w:r w:rsidR="00E3460F">
        <w:rPr>
          <w:sz w:val="22"/>
          <w:szCs w:val="22"/>
          <w:lang w:val="el-GR"/>
        </w:rPr>
        <w:t xml:space="preserve">χορηγήθηκε για 5 ημέρες </w:t>
      </w:r>
      <w:r>
        <w:rPr>
          <w:sz w:val="22"/>
          <w:szCs w:val="22"/>
          <w:lang w:val="el-GR"/>
        </w:rPr>
        <w:t>κλοπιδογρέλη (300</w:t>
      </w:r>
      <w:r w:rsidRPr="00321C63">
        <w:rPr>
          <w:sz w:val="22"/>
          <w:szCs w:val="22"/>
          <w:lang w:val="el-GR"/>
        </w:rPr>
        <w:t xml:space="preserve"> </w:t>
      </w:r>
      <w:r>
        <w:rPr>
          <w:sz w:val="22"/>
          <w:szCs w:val="22"/>
          <w:lang w:val="en-US"/>
        </w:rPr>
        <w:t>mg</w:t>
      </w:r>
      <w:r w:rsidRPr="00321C63">
        <w:rPr>
          <w:sz w:val="22"/>
          <w:szCs w:val="22"/>
          <w:lang w:val="el-GR"/>
        </w:rPr>
        <w:t xml:space="preserve"> </w:t>
      </w:r>
      <w:r w:rsidR="00E3460F">
        <w:rPr>
          <w:sz w:val="22"/>
          <w:szCs w:val="22"/>
          <w:lang w:val="el-GR"/>
        </w:rPr>
        <w:t xml:space="preserve">αρχική </w:t>
      </w:r>
      <w:r>
        <w:rPr>
          <w:sz w:val="22"/>
          <w:szCs w:val="22"/>
          <w:lang w:val="el-GR"/>
        </w:rPr>
        <w:t xml:space="preserve">δόση ακολουθούμενη από 75 </w:t>
      </w:r>
      <w:r>
        <w:rPr>
          <w:sz w:val="22"/>
          <w:szCs w:val="22"/>
          <w:lang w:val="en-US"/>
        </w:rPr>
        <w:t>mg</w:t>
      </w:r>
      <w:r w:rsidR="00E3460F">
        <w:rPr>
          <w:sz w:val="22"/>
          <w:szCs w:val="22"/>
          <w:lang w:val="el-GR"/>
        </w:rPr>
        <w:t xml:space="preserve"> την </w:t>
      </w:r>
      <w:r>
        <w:rPr>
          <w:sz w:val="22"/>
          <w:szCs w:val="22"/>
          <w:lang w:val="el-GR"/>
        </w:rPr>
        <w:t xml:space="preserve">ημέρα) μόνη </w:t>
      </w:r>
      <w:r w:rsidR="00E3460F">
        <w:rPr>
          <w:sz w:val="22"/>
          <w:szCs w:val="22"/>
          <w:lang w:val="el-GR"/>
        </w:rPr>
        <w:t xml:space="preserve">της </w:t>
      </w:r>
      <w:r>
        <w:rPr>
          <w:sz w:val="22"/>
          <w:szCs w:val="22"/>
          <w:lang w:val="el-GR"/>
        </w:rPr>
        <w:t xml:space="preserve">και με ομεπραζόλη (80 </w:t>
      </w:r>
      <w:r>
        <w:rPr>
          <w:sz w:val="22"/>
          <w:szCs w:val="22"/>
          <w:lang w:val="en-US"/>
        </w:rPr>
        <w:t>mg</w:t>
      </w:r>
      <w:r w:rsidRPr="00321C63">
        <w:rPr>
          <w:sz w:val="22"/>
          <w:szCs w:val="22"/>
          <w:lang w:val="el-GR"/>
        </w:rPr>
        <w:t xml:space="preserve"> </w:t>
      </w:r>
      <w:r w:rsidR="00E3460F">
        <w:rPr>
          <w:sz w:val="22"/>
          <w:szCs w:val="22"/>
          <w:lang w:val="el-GR"/>
        </w:rPr>
        <w:t>ταυτόχρονα με την</w:t>
      </w:r>
      <w:r>
        <w:rPr>
          <w:sz w:val="22"/>
          <w:szCs w:val="22"/>
          <w:lang w:val="el-GR"/>
        </w:rPr>
        <w:t xml:space="preserve"> κλοπιδογρέλη). </w:t>
      </w:r>
      <w:r w:rsidR="00E3460F">
        <w:rPr>
          <w:sz w:val="22"/>
          <w:szCs w:val="22"/>
          <w:lang w:val="el-GR"/>
        </w:rPr>
        <w:t>Όταν κλοπιδογρέλη και ομεπραζόλη χορηγήθηκαν ταυτόχρονα, η</w:t>
      </w:r>
      <w:r>
        <w:rPr>
          <w:sz w:val="22"/>
          <w:szCs w:val="22"/>
          <w:lang w:val="el-GR"/>
        </w:rPr>
        <w:t xml:space="preserve"> έκθεση στο</w:t>
      </w:r>
      <w:r w:rsidR="00E3460F">
        <w:rPr>
          <w:sz w:val="22"/>
          <w:szCs w:val="22"/>
          <w:lang w:val="el-GR"/>
        </w:rPr>
        <w:t xml:space="preserve">ν ενεργό </w:t>
      </w:r>
      <w:r>
        <w:rPr>
          <w:sz w:val="22"/>
          <w:szCs w:val="22"/>
          <w:lang w:val="el-GR"/>
        </w:rPr>
        <w:t>μεταβολίτη της κλοπιδογρέλης μειώθηκε κατά 46% (</w:t>
      </w:r>
      <w:r w:rsidR="00E3460F">
        <w:rPr>
          <w:sz w:val="22"/>
          <w:szCs w:val="22"/>
          <w:lang w:val="el-GR"/>
        </w:rPr>
        <w:t>1</w:t>
      </w:r>
      <w:r w:rsidR="00E3460F" w:rsidRPr="00E3460F">
        <w:rPr>
          <w:sz w:val="22"/>
          <w:szCs w:val="22"/>
          <w:vertAlign w:val="superscript"/>
          <w:lang w:val="el-GR"/>
        </w:rPr>
        <w:t>η</w:t>
      </w:r>
      <w:r>
        <w:rPr>
          <w:sz w:val="22"/>
          <w:szCs w:val="22"/>
          <w:lang w:val="el-GR"/>
        </w:rPr>
        <w:t xml:space="preserve"> </w:t>
      </w:r>
      <w:r w:rsidR="00E3460F">
        <w:rPr>
          <w:sz w:val="22"/>
          <w:szCs w:val="22"/>
          <w:lang w:val="el-GR"/>
        </w:rPr>
        <w:t>η</w:t>
      </w:r>
      <w:r>
        <w:rPr>
          <w:sz w:val="22"/>
          <w:szCs w:val="22"/>
          <w:lang w:val="el-GR"/>
        </w:rPr>
        <w:t>μέρα) και 42% (</w:t>
      </w:r>
      <w:bookmarkStart w:id="2" w:name="OLE_LINK3"/>
      <w:bookmarkStart w:id="3" w:name="OLE_LINK4"/>
      <w:r w:rsidR="00E3460F">
        <w:rPr>
          <w:sz w:val="22"/>
          <w:szCs w:val="22"/>
          <w:lang w:val="el-GR"/>
        </w:rPr>
        <w:t>5</w:t>
      </w:r>
      <w:r w:rsidR="00E3460F" w:rsidRPr="00E3460F">
        <w:rPr>
          <w:sz w:val="22"/>
          <w:szCs w:val="22"/>
          <w:vertAlign w:val="superscript"/>
          <w:lang w:val="el-GR"/>
        </w:rPr>
        <w:t>η</w:t>
      </w:r>
      <w:r w:rsidR="00E3460F">
        <w:rPr>
          <w:sz w:val="22"/>
          <w:szCs w:val="22"/>
          <w:lang w:val="el-GR"/>
        </w:rPr>
        <w:t xml:space="preserve"> ημέρα</w:t>
      </w:r>
      <w:bookmarkEnd w:id="2"/>
      <w:bookmarkEnd w:id="3"/>
      <w:r w:rsidR="00E3460F">
        <w:rPr>
          <w:sz w:val="22"/>
          <w:szCs w:val="22"/>
          <w:lang w:val="el-GR"/>
        </w:rPr>
        <w:t>)</w:t>
      </w:r>
      <w:r>
        <w:rPr>
          <w:sz w:val="22"/>
          <w:szCs w:val="22"/>
          <w:lang w:val="el-GR"/>
        </w:rPr>
        <w:t xml:space="preserve">. </w:t>
      </w:r>
      <w:r w:rsidR="00E3460F">
        <w:rPr>
          <w:sz w:val="22"/>
          <w:szCs w:val="22"/>
          <w:lang w:val="el-GR"/>
        </w:rPr>
        <w:t>Όταν κλοπιδογρέλη και ομεπραζόλη χορηγήθηκαν ταυτόχρονα, ο</w:t>
      </w:r>
      <w:r>
        <w:rPr>
          <w:sz w:val="22"/>
          <w:szCs w:val="22"/>
          <w:lang w:val="el-GR"/>
        </w:rPr>
        <w:t xml:space="preserve"> μέσ</w:t>
      </w:r>
      <w:r w:rsidR="00E3460F">
        <w:rPr>
          <w:sz w:val="22"/>
          <w:szCs w:val="22"/>
          <w:lang w:val="el-GR"/>
        </w:rPr>
        <w:t>ος</w:t>
      </w:r>
      <w:r>
        <w:rPr>
          <w:sz w:val="22"/>
          <w:szCs w:val="22"/>
          <w:lang w:val="el-GR"/>
        </w:rPr>
        <w:t xml:space="preserve"> </w:t>
      </w:r>
      <w:r w:rsidR="00E3460F">
        <w:rPr>
          <w:sz w:val="22"/>
          <w:szCs w:val="22"/>
          <w:lang w:val="el-GR"/>
        </w:rPr>
        <w:t xml:space="preserve">όρος </w:t>
      </w:r>
      <w:r>
        <w:rPr>
          <w:sz w:val="22"/>
          <w:szCs w:val="22"/>
          <w:lang w:val="el-GR"/>
        </w:rPr>
        <w:t>αναστολή</w:t>
      </w:r>
      <w:r w:rsidR="00E3460F">
        <w:rPr>
          <w:sz w:val="22"/>
          <w:szCs w:val="22"/>
          <w:lang w:val="el-GR"/>
        </w:rPr>
        <w:t>ς</w:t>
      </w:r>
      <w:r>
        <w:rPr>
          <w:sz w:val="22"/>
          <w:szCs w:val="22"/>
          <w:lang w:val="el-GR"/>
        </w:rPr>
        <w:t xml:space="preserve"> της συσσώρευσης των αιμοπεταλίων μειώθηκε κατά 47% (24 ώρες) και κατά 30% (</w:t>
      </w:r>
      <w:r w:rsidR="00E3460F">
        <w:rPr>
          <w:sz w:val="22"/>
          <w:szCs w:val="22"/>
          <w:lang w:val="el-GR"/>
        </w:rPr>
        <w:t>5</w:t>
      </w:r>
      <w:r w:rsidR="00E3460F" w:rsidRPr="00E3460F">
        <w:rPr>
          <w:sz w:val="22"/>
          <w:szCs w:val="22"/>
          <w:vertAlign w:val="superscript"/>
          <w:lang w:val="el-GR"/>
        </w:rPr>
        <w:t>η</w:t>
      </w:r>
      <w:r w:rsidR="00E3460F">
        <w:rPr>
          <w:sz w:val="22"/>
          <w:szCs w:val="22"/>
          <w:lang w:val="el-GR"/>
        </w:rPr>
        <w:t xml:space="preserve"> ημέρα</w:t>
      </w:r>
      <w:r>
        <w:rPr>
          <w:sz w:val="22"/>
          <w:szCs w:val="22"/>
          <w:lang w:val="el-GR"/>
        </w:rPr>
        <w:t>).</w:t>
      </w:r>
    </w:p>
    <w:p w:rsidR="00321C63" w:rsidRDefault="00321C63">
      <w:pPr>
        <w:pStyle w:val="Default"/>
        <w:rPr>
          <w:sz w:val="22"/>
          <w:szCs w:val="22"/>
          <w:lang w:val="el-GR"/>
        </w:rPr>
      </w:pPr>
      <w:r>
        <w:rPr>
          <w:sz w:val="22"/>
          <w:szCs w:val="22"/>
          <w:lang w:val="el-GR"/>
        </w:rPr>
        <w:t xml:space="preserve">Μια άλλη μελέτη έδειξε ότι χορήγηση κλοπιδογρέλης και ομεπραζόλης </w:t>
      </w:r>
      <w:r w:rsidR="009E24FA">
        <w:rPr>
          <w:sz w:val="22"/>
          <w:szCs w:val="22"/>
          <w:lang w:val="el-GR"/>
        </w:rPr>
        <w:t>σε διαφορετικ</w:t>
      </w:r>
      <w:r w:rsidR="00E3460F">
        <w:rPr>
          <w:sz w:val="22"/>
          <w:szCs w:val="22"/>
          <w:lang w:val="el-GR"/>
        </w:rPr>
        <w:t>ούς χρόνους</w:t>
      </w:r>
      <w:r w:rsidR="009E24FA">
        <w:rPr>
          <w:sz w:val="22"/>
          <w:szCs w:val="22"/>
          <w:lang w:val="el-GR"/>
        </w:rPr>
        <w:t xml:space="preserve"> δεν εμπόδισε την αλληλεπίδραση τους </w:t>
      </w:r>
      <w:r w:rsidR="00E3460F">
        <w:rPr>
          <w:sz w:val="22"/>
          <w:szCs w:val="22"/>
          <w:lang w:val="el-GR"/>
        </w:rPr>
        <w:t>η οποία</w:t>
      </w:r>
      <w:r w:rsidR="009E24FA">
        <w:rPr>
          <w:sz w:val="22"/>
          <w:szCs w:val="22"/>
          <w:lang w:val="el-GR"/>
        </w:rPr>
        <w:t xml:space="preserve"> πιθανόν να </w:t>
      </w:r>
      <w:r w:rsidR="00AB7C9E">
        <w:rPr>
          <w:sz w:val="22"/>
          <w:szCs w:val="22"/>
          <w:lang w:val="el-GR"/>
        </w:rPr>
        <w:t>οφείλεται</w:t>
      </w:r>
      <w:r w:rsidR="009E24FA">
        <w:rPr>
          <w:sz w:val="22"/>
          <w:szCs w:val="22"/>
          <w:lang w:val="el-GR"/>
        </w:rPr>
        <w:t xml:space="preserve"> </w:t>
      </w:r>
      <w:r w:rsidR="00AB7C9E">
        <w:rPr>
          <w:sz w:val="22"/>
          <w:szCs w:val="22"/>
          <w:lang w:val="el-GR"/>
        </w:rPr>
        <w:t>σ</w:t>
      </w:r>
      <w:r w:rsidR="009E24FA">
        <w:rPr>
          <w:sz w:val="22"/>
          <w:szCs w:val="22"/>
          <w:lang w:val="el-GR"/>
        </w:rPr>
        <w:t>την ανασταλτική δρ</w:t>
      </w:r>
      <w:r w:rsidR="00AB7C9E">
        <w:rPr>
          <w:sz w:val="22"/>
          <w:szCs w:val="22"/>
          <w:lang w:val="el-GR"/>
        </w:rPr>
        <w:t>ά</w:t>
      </w:r>
      <w:r w:rsidR="009E24FA">
        <w:rPr>
          <w:sz w:val="22"/>
          <w:szCs w:val="22"/>
          <w:lang w:val="el-GR"/>
        </w:rPr>
        <w:t xml:space="preserve">ση της ομεπραζόλης στο </w:t>
      </w:r>
      <w:r w:rsidR="00AB7C9E">
        <w:rPr>
          <w:sz w:val="22"/>
          <w:szCs w:val="22"/>
          <w:lang w:val="el-GR"/>
        </w:rPr>
        <w:t xml:space="preserve">κυτόχρωμα </w:t>
      </w:r>
      <w:r w:rsidR="009E24FA">
        <w:rPr>
          <w:sz w:val="22"/>
          <w:szCs w:val="22"/>
          <w:lang w:val="en-US"/>
        </w:rPr>
        <w:t>CYP</w:t>
      </w:r>
      <w:r w:rsidR="009E24FA" w:rsidRPr="009E24FA">
        <w:rPr>
          <w:sz w:val="22"/>
          <w:szCs w:val="22"/>
          <w:lang w:val="el-GR"/>
        </w:rPr>
        <w:t>2</w:t>
      </w:r>
      <w:r w:rsidR="009E24FA">
        <w:rPr>
          <w:sz w:val="22"/>
          <w:szCs w:val="22"/>
          <w:lang w:val="en-US"/>
        </w:rPr>
        <w:t>C</w:t>
      </w:r>
      <w:r w:rsidR="009E24FA" w:rsidRPr="009E24FA">
        <w:rPr>
          <w:sz w:val="22"/>
          <w:szCs w:val="22"/>
          <w:lang w:val="el-GR"/>
        </w:rPr>
        <w:t xml:space="preserve">19. </w:t>
      </w:r>
      <w:r w:rsidR="009E24FA">
        <w:rPr>
          <w:sz w:val="22"/>
          <w:szCs w:val="22"/>
          <w:lang w:val="el-GR"/>
        </w:rPr>
        <w:t>Α</w:t>
      </w:r>
      <w:r w:rsidR="00AB7C9E">
        <w:rPr>
          <w:sz w:val="22"/>
          <w:szCs w:val="22"/>
          <w:lang w:val="el-GR"/>
        </w:rPr>
        <w:t>συνεπή δεδομένα</w:t>
      </w:r>
      <w:r w:rsidR="009E24FA">
        <w:rPr>
          <w:sz w:val="22"/>
          <w:szCs w:val="22"/>
          <w:lang w:val="el-GR"/>
        </w:rPr>
        <w:t xml:space="preserve"> </w:t>
      </w:r>
      <w:r w:rsidR="00AB7C9E">
        <w:rPr>
          <w:sz w:val="22"/>
          <w:szCs w:val="22"/>
          <w:lang w:val="el-GR"/>
        </w:rPr>
        <w:t>ως προς</w:t>
      </w:r>
      <w:r w:rsidR="009E24FA">
        <w:rPr>
          <w:sz w:val="22"/>
          <w:szCs w:val="22"/>
          <w:lang w:val="el-GR"/>
        </w:rPr>
        <w:t xml:space="preserve"> τις κλινικές επιπτώσεις αυτής της </w:t>
      </w:r>
      <w:r w:rsidR="00AB7C9E">
        <w:rPr>
          <w:sz w:val="22"/>
          <w:szCs w:val="22"/>
          <w:lang w:val="el-GR"/>
        </w:rPr>
        <w:t>φαρμακοκινητικής/φαρμακοδυναμικής</w:t>
      </w:r>
      <w:r w:rsidR="009E24FA" w:rsidRPr="009E24FA">
        <w:rPr>
          <w:sz w:val="22"/>
          <w:szCs w:val="22"/>
          <w:lang w:val="el-GR"/>
        </w:rPr>
        <w:t xml:space="preserve"> </w:t>
      </w:r>
      <w:r w:rsidR="009E24FA">
        <w:rPr>
          <w:sz w:val="22"/>
          <w:szCs w:val="22"/>
          <w:lang w:val="el-GR"/>
        </w:rPr>
        <w:t xml:space="preserve">αλληλεπίδρασης όσον αφορά μείζονα καρδιαγγειακά συμβάντα έχουν αναφερθεί από </w:t>
      </w:r>
      <w:r w:rsidR="00AB7C9E">
        <w:rPr>
          <w:sz w:val="22"/>
          <w:szCs w:val="22"/>
          <w:lang w:val="el-GR"/>
        </w:rPr>
        <w:t xml:space="preserve">μελέτες </w:t>
      </w:r>
      <w:r w:rsidR="009E24FA">
        <w:rPr>
          <w:sz w:val="22"/>
          <w:szCs w:val="22"/>
          <w:lang w:val="el-GR"/>
        </w:rPr>
        <w:t>παρατ</w:t>
      </w:r>
      <w:r w:rsidR="00AB7C9E">
        <w:rPr>
          <w:sz w:val="22"/>
          <w:szCs w:val="22"/>
          <w:lang w:val="el-GR"/>
        </w:rPr>
        <w:t>ή</w:t>
      </w:r>
      <w:r w:rsidR="009E24FA">
        <w:rPr>
          <w:sz w:val="22"/>
          <w:szCs w:val="22"/>
          <w:lang w:val="el-GR"/>
        </w:rPr>
        <w:t>ρη</w:t>
      </w:r>
      <w:r w:rsidR="00AB7C9E">
        <w:rPr>
          <w:sz w:val="22"/>
          <w:szCs w:val="22"/>
          <w:lang w:val="el-GR"/>
        </w:rPr>
        <w:t>σης</w:t>
      </w:r>
      <w:r w:rsidR="009E24FA">
        <w:rPr>
          <w:sz w:val="22"/>
          <w:szCs w:val="22"/>
          <w:lang w:val="el-GR"/>
        </w:rPr>
        <w:t xml:space="preserve"> και κλινικές μελέτες.</w:t>
      </w:r>
    </w:p>
    <w:p w:rsidR="009E24FA" w:rsidRPr="009E24FA" w:rsidRDefault="009E24FA">
      <w:pPr>
        <w:pStyle w:val="Default"/>
        <w:rPr>
          <w:sz w:val="22"/>
          <w:szCs w:val="22"/>
          <w:lang w:val="el-GR"/>
        </w:rPr>
      </w:pPr>
    </w:p>
    <w:p w:rsidR="00582A00" w:rsidRDefault="00582A00">
      <w:pPr>
        <w:pStyle w:val="Default"/>
        <w:rPr>
          <w:sz w:val="22"/>
          <w:szCs w:val="22"/>
          <w:u w:val="single"/>
          <w:lang w:val="el-GR"/>
        </w:rPr>
      </w:pPr>
      <w:r>
        <w:rPr>
          <w:sz w:val="22"/>
          <w:szCs w:val="22"/>
          <w:u w:val="single"/>
          <w:lang w:val="el-GR"/>
        </w:rPr>
        <w:t>Επιδράσεις άλλων φαρμάκων στη φαρμακοκινητική της εσομεπραζόλης</w:t>
      </w:r>
    </w:p>
    <w:p w:rsidR="00C36DBF" w:rsidRPr="00B0540A" w:rsidRDefault="00582A00">
      <w:pPr>
        <w:pStyle w:val="Default"/>
        <w:rPr>
          <w:sz w:val="22"/>
          <w:szCs w:val="22"/>
          <w:lang w:val="el-GR"/>
        </w:rPr>
      </w:pPr>
      <w:r>
        <w:rPr>
          <w:sz w:val="22"/>
          <w:szCs w:val="22"/>
          <w:lang w:val="el-GR"/>
        </w:rPr>
        <w:t xml:space="preserve">Η εσομεπραζόλη μεταβολίζεται μέσω των κυτοχρωμάτων CYP2C19 και CYP3A4. Η ταυτόχρονη χορήγηση εσομεπραζόλης και ενός αναστολέα του κυτοχρώματος CYP3A4, της κλαριθρομυκίνης (500 mg δύο φορές την ημέρα), οδήγησε σε διπλασιασμό της έκθεσης (AUC) στην εσομεπραζόλη. Η ταυτόχρονη χορήγηση εσομεπραζόλης και ενός συνδυαστικού αναστολέα των κυτοχρωμάτων CYP2C19 και CYP3A4 ενδέχεται να οδηγήσει σε περισσότερο από διπλασιασμό της έκθεσης στην εσομεπραζόλη. Η βορικοναζόλη, που είναι αναστολέας των κυτοχρωμάτων CYP2C19 και CYP3A4, αύξησε το </w:t>
      </w:r>
      <w:r w:rsidRPr="00CA0C64">
        <w:rPr>
          <w:sz w:val="22"/>
          <w:szCs w:val="22"/>
          <w:lang w:val="el-GR"/>
        </w:rPr>
        <w:t>AUC</w:t>
      </w:r>
      <w:r w:rsidRPr="00CA0C64">
        <w:rPr>
          <w:sz w:val="22"/>
          <w:szCs w:val="22"/>
          <w:vertAlign w:val="subscript"/>
          <w:lang w:val="el-GR"/>
        </w:rPr>
        <w:t>τ</w:t>
      </w:r>
      <w:r>
        <w:rPr>
          <w:sz w:val="22"/>
          <w:szCs w:val="22"/>
          <w:lang w:val="el-GR"/>
        </w:rPr>
        <w:t xml:space="preserve"> της ομεπραζόλης κατά 280%. Δεν απαιτείται τακτικά προσαρμογή δόσης της εσομεπραζόλης σε οποιαδήποτε από αυτές τις καταστάσεις. Ωστόσο, θα πρέπει να εξετάζεται το ενδεχόμενο προσαρμογής δόσης σε ασθενείς με βαριά ηπατική δυσλειτουργία και εάν υπάρχει ένδειξη μακροχρόνιας θεραπείας.</w:t>
      </w:r>
    </w:p>
    <w:p w:rsidR="00C36DBF" w:rsidRPr="00B0540A" w:rsidRDefault="00C36DBF">
      <w:pPr>
        <w:pStyle w:val="Default"/>
        <w:rPr>
          <w:sz w:val="22"/>
          <w:szCs w:val="22"/>
          <w:lang w:val="el-GR"/>
        </w:rPr>
      </w:pPr>
    </w:p>
    <w:p w:rsidR="00582A00" w:rsidRDefault="00C36DBF">
      <w:pPr>
        <w:pStyle w:val="Default"/>
        <w:rPr>
          <w:lang w:val="el-GR"/>
        </w:rPr>
      </w:pPr>
      <w:r w:rsidRPr="005B6256">
        <w:rPr>
          <w:sz w:val="22"/>
          <w:szCs w:val="22"/>
          <w:lang w:val="el-GR"/>
        </w:rPr>
        <w:lastRenderedPageBreak/>
        <w:t xml:space="preserve">Φάρμακα που είναι γνωστό ότι επάγουν το κυτόχρωμα </w:t>
      </w:r>
      <w:r w:rsidRPr="005B6256">
        <w:rPr>
          <w:sz w:val="22"/>
          <w:szCs w:val="22"/>
          <w:lang w:val="en-US"/>
        </w:rPr>
        <w:t>CYP</w:t>
      </w:r>
      <w:r w:rsidRPr="005B6256">
        <w:rPr>
          <w:sz w:val="22"/>
          <w:szCs w:val="22"/>
          <w:lang w:val="el-GR"/>
        </w:rPr>
        <w:t>2</w:t>
      </w:r>
      <w:r w:rsidRPr="005B6256">
        <w:rPr>
          <w:sz w:val="22"/>
          <w:szCs w:val="22"/>
          <w:lang w:val="en-US"/>
        </w:rPr>
        <w:t>C</w:t>
      </w:r>
      <w:r w:rsidRPr="005B6256">
        <w:rPr>
          <w:sz w:val="22"/>
          <w:szCs w:val="22"/>
          <w:lang w:val="el-GR"/>
        </w:rPr>
        <w:t xml:space="preserve">19 ή </w:t>
      </w:r>
      <w:r w:rsidRPr="005B6256">
        <w:rPr>
          <w:sz w:val="22"/>
          <w:szCs w:val="22"/>
          <w:lang w:val="en-US"/>
        </w:rPr>
        <w:t>CYP</w:t>
      </w:r>
      <w:r w:rsidRPr="005B6256">
        <w:rPr>
          <w:sz w:val="22"/>
          <w:szCs w:val="22"/>
          <w:lang w:val="el-GR"/>
        </w:rPr>
        <w:t>3</w:t>
      </w:r>
      <w:r w:rsidRPr="005B6256">
        <w:rPr>
          <w:sz w:val="22"/>
          <w:szCs w:val="22"/>
          <w:lang w:val="en-US"/>
        </w:rPr>
        <w:t>A</w:t>
      </w:r>
      <w:r w:rsidRPr="005B6256">
        <w:rPr>
          <w:sz w:val="22"/>
          <w:szCs w:val="22"/>
          <w:lang w:val="el-GR"/>
        </w:rPr>
        <w:t xml:space="preserve">4 ή και τα δυο (όπως η ριφαμπικίνη και το </w:t>
      </w:r>
      <w:r w:rsidR="0012022C">
        <w:rPr>
          <w:sz w:val="22"/>
          <w:szCs w:val="22"/>
          <w:lang w:val="el-GR"/>
        </w:rPr>
        <w:t>βαλσαμόχορτο-</w:t>
      </w:r>
      <w:r w:rsidRPr="005B6256">
        <w:rPr>
          <w:sz w:val="22"/>
          <w:szCs w:val="22"/>
          <w:lang w:val="en-US"/>
        </w:rPr>
        <w:t>St</w:t>
      </w:r>
      <w:r w:rsidRPr="005B6256">
        <w:rPr>
          <w:sz w:val="22"/>
          <w:szCs w:val="22"/>
          <w:lang w:val="el-GR"/>
        </w:rPr>
        <w:t xml:space="preserve">. </w:t>
      </w:r>
      <w:r w:rsidRPr="005B6256">
        <w:rPr>
          <w:sz w:val="22"/>
          <w:szCs w:val="22"/>
          <w:lang w:val="en-US"/>
        </w:rPr>
        <w:t>John</w:t>
      </w:r>
      <w:r w:rsidRPr="005B6256">
        <w:rPr>
          <w:sz w:val="22"/>
          <w:szCs w:val="22"/>
          <w:lang w:val="el-GR"/>
        </w:rPr>
        <w:t>’</w:t>
      </w:r>
      <w:r w:rsidRPr="005B6256">
        <w:rPr>
          <w:sz w:val="22"/>
          <w:szCs w:val="22"/>
          <w:lang w:val="en-US"/>
        </w:rPr>
        <w:t>s</w:t>
      </w:r>
      <w:r w:rsidRPr="005B6256">
        <w:rPr>
          <w:sz w:val="22"/>
          <w:szCs w:val="22"/>
          <w:lang w:val="el-GR"/>
        </w:rPr>
        <w:t xml:space="preserve"> </w:t>
      </w:r>
      <w:r w:rsidRPr="005B6256">
        <w:rPr>
          <w:sz w:val="22"/>
          <w:szCs w:val="22"/>
          <w:lang w:val="en-US"/>
        </w:rPr>
        <w:t>wort</w:t>
      </w:r>
      <w:r w:rsidR="000151BD">
        <w:rPr>
          <w:sz w:val="22"/>
          <w:szCs w:val="22"/>
          <w:lang w:val="el-GR"/>
        </w:rPr>
        <w:t>)</w:t>
      </w:r>
      <w:r w:rsidRPr="005B6256">
        <w:rPr>
          <w:sz w:val="22"/>
          <w:szCs w:val="22"/>
          <w:lang w:val="el-GR"/>
        </w:rPr>
        <w:t xml:space="preserve"> μπορούν να οδηγήσουν σε μ</w:t>
      </w:r>
      <w:r w:rsidR="0012022C">
        <w:rPr>
          <w:sz w:val="22"/>
          <w:szCs w:val="22"/>
          <w:lang w:val="el-GR"/>
        </w:rPr>
        <w:t>ειωμένα επίπεδα</w:t>
      </w:r>
      <w:r w:rsidRPr="005B6256">
        <w:rPr>
          <w:sz w:val="22"/>
          <w:szCs w:val="22"/>
          <w:lang w:val="el-GR"/>
        </w:rPr>
        <w:t xml:space="preserve"> εσομεπραζόλης στον ορό </w:t>
      </w:r>
      <w:r w:rsidR="0012022C">
        <w:rPr>
          <w:sz w:val="22"/>
          <w:szCs w:val="22"/>
          <w:lang w:val="el-GR"/>
        </w:rPr>
        <w:t>αυξάνοντας</w:t>
      </w:r>
      <w:r w:rsidRPr="005B6256">
        <w:rPr>
          <w:sz w:val="22"/>
          <w:szCs w:val="22"/>
          <w:lang w:val="el-GR"/>
        </w:rPr>
        <w:t xml:space="preserve"> το</w:t>
      </w:r>
      <w:r w:rsidR="0012022C">
        <w:rPr>
          <w:sz w:val="22"/>
          <w:szCs w:val="22"/>
          <w:lang w:val="el-GR"/>
        </w:rPr>
        <w:t>ν</w:t>
      </w:r>
      <w:r w:rsidRPr="005B6256">
        <w:rPr>
          <w:sz w:val="22"/>
          <w:szCs w:val="22"/>
          <w:lang w:val="el-GR"/>
        </w:rPr>
        <w:t xml:space="preserve"> μεταβολισμ</w:t>
      </w:r>
      <w:r w:rsidR="0012022C">
        <w:rPr>
          <w:sz w:val="22"/>
          <w:szCs w:val="22"/>
          <w:lang w:val="el-GR"/>
        </w:rPr>
        <w:t>ό</w:t>
      </w:r>
      <w:r w:rsidRPr="005B6256">
        <w:rPr>
          <w:sz w:val="22"/>
          <w:szCs w:val="22"/>
          <w:lang w:val="el-GR"/>
        </w:rPr>
        <w:t xml:space="preserve"> της εσομεπραζόλης.</w:t>
      </w:r>
      <w:r w:rsidR="00582A00">
        <w:rPr>
          <w:sz w:val="22"/>
          <w:szCs w:val="22"/>
          <w:lang w:val="el-GR"/>
        </w:rPr>
        <w:t xml:space="preserve"> </w:t>
      </w:r>
    </w:p>
    <w:p w:rsidR="00582A00" w:rsidRDefault="00582A00">
      <w:pPr>
        <w:tabs>
          <w:tab w:val="clear" w:pos="567"/>
        </w:tabs>
        <w:spacing w:line="240" w:lineRule="auto"/>
        <w:rPr>
          <w:rFonts w:ascii="Calibri" w:hAnsi="Calibri" w:cs="Calibri"/>
          <w:noProof/>
          <w:lang w:val="el-GR"/>
        </w:rPr>
      </w:pPr>
    </w:p>
    <w:p w:rsidR="00582A00" w:rsidRPr="005B77AA" w:rsidRDefault="00582A00">
      <w:pPr>
        <w:widowControl w:val="0"/>
        <w:outlineLvl w:val="1"/>
        <w:rPr>
          <w:rFonts w:ascii="Calibri" w:hAnsi="Calibri" w:cs="Calibri"/>
          <w:b/>
          <w:bCs/>
          <w:noProof/>
          <w:lang w:val="el-GR"/>
        </w:rPr>
      </w:pPr>
      <w:r w:rsidRPr="005B77AA">
        <w:rPr>
          <w:b/>
          <w:bCs/>
          <w:noProof/>
          <w:lang w:val="el-GR"/>
        </w:rPr>
        <w:t>4.6</w:t>
      </w:r>
      <w:r w:rsidRPr="005B77AA">
        <w:rPr>
          <w:b/>
          <w:bCs/>
          <w:i/>
          <w:iCs/>
          <w:noProof/>
          <w:lang w:val="el-GR"/>
        </w:rPr>
        <w:tab/>
      </w:r>
      <w:r w:rsidR="00DC171C">
        <w:rPr>
          <w:b/>
          <w:bCs/>
          <w:noProof/>
          <w:lang w:val="el-GR"/>
        </w:rPr>
        <w:t xml:space="preserve">Γονιμότητα, </w:t>
      </w:r>
      <w:r w:rsidR="00DC171C">
        <w:rPr>
          <w:b/>
          <w:bCs/>
          <w:lang w:val="el-GR"/>
        </w:rPr>
        <w:t>κ</w:t>
      </w:r>
      <w:r>
        <w:rPr>
          <w:b/>
          <w:bCs/>
          <w:lang w:val="el-GR"/>
        </w:rPr>
        <w:t>ύηση και γαλουχία</w:t>
      </w:r>
    </w:p>
    <w:p w:rsidR="00582A00" w:rsidRPr="00DC171C" w:rsidRDefault="00DC171C">
      <w:pPr>
        <w:rPr>
          <w:lang w:val="el-GR"/>
        </w:rPr>
      </w:pPr>
      <w:r>
        <w:rPr>
          <w:lang w:val="el-GR"/>
        </w:rPr>
        <w:t>Κύηση</w:t>
      </w:r>
    </w:p>
    <w:p w:rsidR="00582A00" w:rsidRPr="005B77AA" w:rsidRDefault="00582A00">
      <w:pPr>
        <w:pStyle w:val="Default"/>
        <w:rPr>
          <w:rFonts w:ascii="Calibri" w:hAnsi="Calibri" w:cs="Calibri"/>
          <w:lang w:val="el-GR"/>
        </w:rPr>
      </w:pPr>
      <w:r>
        <w:rPr>
          <w:sz w:val="22"/>
          <w:szCs w:val="22"/>
          <w:lang w:val="el-GR"/>
        </w:rPr>
        <w:t>Για την εσομεπραζόλη</w:t>
      </w:r>
      <w:r w:rsidRPr="005B77AA">
        <w:rPr>
          <w:sz w:val="22"/>
          <w:szCs w:val="22"/>
          <w:lang w:val="el-GR"/>
        </w:rPr>
        <w:t xml:space="preserve">, </w:t>
      </w:r>
      <w:r>
        <w:rPr>
          <w:sz w:val="22"/>
          <w:szCs w:val="22"/>
          <w:lang w:val="el-GR"/>
        </w:rPr>
        <w:t>τα κλινικά δεδομένα σχετικά με τις κυήσεις που έχουν εκτεθεί σε αυτήν είναι ανεπαρκή</w:t>
      </w:r>
      <w:r w:rsidRPr="005B77AA">
        <w:rPr>
          <w:sz w:val="22"/>
          <w:szCs w:val="22"/>
          <w:lang w:val="el-GR"/>
        </w:rPr>
        <w:t xml:space="preserve">. </w:t>
      </w:r>
      <w:r>
        <w:rPr>
          <w:sz w:val="22"/>
          <w:szCs w:val="22"/>
          <w:lang w:val="el-GR"/>
        </w:rPr>
        <w:t>Με το ρακεμικό μείγμα</w:t>
      </w:r>
      <w:r w:rsidRPr="005B77AA">
        <w:rPr>
          <w:sz w:val="22"/>
          <w:szCs w:val="22"/>
          <w:lang w:val="el-GR"/>
        </w:rPr>
        <w:t xml:space="preserve">, </w:t>
      </w:r>
      <w:r>
        <w:rPr>
          <w:sz w:val="22"/>
          <w:szCs w:val="22"/>
          <w:lang w:val="el-GR"/>
        </w:rPr>
        <w:t>την ομεπραζόλη</w:t>
      </w:r>
      <w:r w:rsidRPr="005B77AA">
        <w:rPr>
          <w:sz w:val="22"/>
          <w:szCs w:val="22"/>
          <w:lang w:val="el-GR"/>
        </w:rPr>
        <w:t xml:space="preserve">, </w:t>
      </w:r>
      <w:r>
        <w:rPr>
          <w:sz w:val="22"/>
          <w:szCs w:val="22"/>
          <w:lang w:val="el-GR"/>
        </w:rPr>
        <w:t>τα δεδομένα σε μεγαλύτερο αριθμό εκτιθέμενων κυήσεων από επιδημιολογικές μελέτες υποδεικνύουν ότι δεν υπάρχει δυπλαστική ή εμβρυοτοξική επίδραση</w:t>
      </w:r>
      <w:r w:rsidRPr="005B77AA">
        <w:rPr>
          <w:sz w:val="22"/>
          <w:szCs w:val="22"/>
          <w:lang w:val="el-GR"/>
        </w:rPr>
        <w:t xml:space="preserve">. </w:t>
      </w:r>
      <w:r>
        <w:rPr>
          <w:sz w:val="22"/>
          <w:szCs w:val="22"/>
          <w:lang w:val="el-GR"/>
        </w:rPr>
        <w:t>Μελέτες σε ζώα με την εσομεπραζόλη δεν υποδεικνύουν άμεσες ή έμμεσες επιβλαβείς επιδράσεις όσον αφορά την ανάπτυξη του εμβρύου/κυήματος</w:t>
      </w:r>
      <w:r w:rsidRPr="005B77AA">
        <w:rPr>
          <w:sz w:val="22"/>
          <w:szCs w:val="22"/>
          <w:lang w:val="el-GR"/>
        </w:rPr>
        <w:t xml:space="preserve">. </w:t>
      </w:r>
      <w:r>
        <w:rPr>
          <w:sz w:val="22"/>
          <w:szCs w:val="22"/>
          <w:lang w:val="el-GR"/>
        </w:rPr>
        <w:t>Μελέτες σε ζώα με το ρακεμικό μείγμα δεν υποδεικνύουν άμεσες ή έμμεσες επιβλαβείς επιδράσεις όσον αφορά την κύηση</w:t>
      </w:r>
      <w:r w:rsidRPr="005B77AA">
        <w:rPr>
          <w:sz w:val="22"/>
          <w:szCs w:val="22"/>
          <w:lang w:val="el-GR"/>
        </w:rPr>
        <w:t xml:space="preserve">, </w:t>
      </w:r>
      <w:r>
        <w:rPr>
          <w:sz w:val="22"/>
          <w:szCs w:val="22"/>
          <w:lang w:val="el-GR"/>
        </w:rPr>
        <w:t>τον τοκετό ή τη μεταγεννητική ανάπτυξη</w:t>
      </w:r>
      <w:r w:rsidRPr="005B77AA">
        <w:rPr>
          <w:sz w:val="22"/>
          <w:szCs w:val="22"/>
          <w:lang w:val="el-GR"/>
        </w:rPr>
        <w:t xml:space="preserve">. </w:t>
      </w:r>
      <w:r>
        <w:rPr>
          <w:sz w:val="22"/>
          <w:szCs w:val="22"/>
          <w:lang w:val="el-GR"/>
        </w:rPr>
        <w:t>Θα πρέπει να δίνεται προσοχή όταν συνταγογραφείται σε έγκυες γυναίκες</w:t>
      </w:r>
      <w:r w:rsidRPr="005B77AA">
        <w:rPr>
          <w:sz w:val="22"/>
          <w:szCs w:val="22"/>
          <w:lang w:val="el-GR"/>
        </w:rPr>
        <w:t xml:space="preserve">. </w:t>
      </w:r>
    </w:p>
    <w:p w:rsidR="00582A00" w:rsidRPr="00E438D7" w:rsidRDefault="00E438D7">
      <w:pPr>
        <w:pStyle w:val="Default"/>
        <w:rPr>
          <w:sz w:val="22"/>
          <w:szCs w:val="22"/>
          <w:lang w:val="el-GR"/>
        </w:rPr>
      </w:pPr>
      <w:r>
        <w:rPr>
          <w:sz w:val="22"/>
          <w:szCs w:val="22"/>
          <w:lang w:val="el-GR"/>
        </w:rPr>
        <w:t>Γαλουχία</w:t>
      </w:r>
    </w:p>
    <w:p w:rsidR="00582A00" w:rsidRPr="005B77AA" w:rsidRDefault="00582A00">
      <w:pPr>
        <w:pStyle w:val="Default"/>
        <w:rPr>
          <w:rFonts w:ascii="Calibri" w:hAnsi="Calibri" w:cs="Calibri"/>
          <w:lang w:val="el-GR"/>
        </w:rPr>
      </w:pPr>
      <w:r>
        <w:rPr>
          <w:sz w:val="22"/>
          <w:szCs w:val="22"/>
          <w:lang w:val="el-GR"/>
        </w:rPr>
        <w:t>Δεν είναι γνωστό εάν η εσομεπραζόλη εκκρίνεται στο ανθρώπινο μητρικό γάλα</w:t>
      </w:r>
      <w:r w:rsidRPr="005B77AA">
        <w:rPr>
          <w:sz w:val="22"/>
          <w:szCs w:val="22"/>
          <w:lang w:val="el-GR"/>
        </w:rPr>
        <w:t xml:space="preserve">. </w:t>
      </w:r>
      <w:r>
        <w:rPr>
          <w:sz w:val="22"/>
          <w:szCs w:val="22"/>
          <w:lang w:val="el-GR"/>
        </w:rPr>
        <w:t>Δεν έχουν πραγματοποιηθεί μελέτες σε θηλάζουσες γυναίκες</w:t>
      </w:r>
      <w:r w:rsidRPr="005B77AA">
        <w:rPr>
          <w:sz w:val="22"/>
          <w:szCs w:val="22"/>
          <w:lang w:val="el-GR"/>
        </w:rPr>
        <w:t xml:space="preserve">. </w:t>
      </w:r>
      <w:r>
        <w:rPr>
          <w:sz w:val="22"/>
          <w:szCs w:val="22"/>
          <w:lang w:val="el-GR"/>
        </w:rPr>
        <w:t>Επομένως</w:t>
      </w:r>
      <w:r w:rsidRPr="005B77AA">
        <w:rPr>
          <w:sz w:val="22"/>
          <w:szCs w:val="22"/>
          <w:lang w:val="el-GR"/>
        </w:rPr>
        <w:t xml:space="preserve">, </w:t>
      </w:r>
      <w:r>
        <w:rPr>
          <w:sz w:val="22"/>
          <w:szCs w:val="22"/>
          <w:lang w:val="el-GR"/>
        </w:rPr>
        <w:t xml:space="preserve">το </w:t>
      </w:r>
      <w:r w:rsidR="00651F54">
        <w:rPr>
          <w:sz w:val="22"/>
          <w:szCs w:val="22"/>
          <w:lang w:val="en-GB"/>
        </w:rPr>
        <w:t>ESACTIVE</w:t>
      </w:r>
      <w:r w:rsidR="00651F54">
        <w:rPr>
          <w:sz w:val="22"/>
          <w:szCs w:val="22"/>
          <w:lang w:val="el-GR"/>
        </w:rPr>
        <w:t xml:space="preserve"> </w:t>
      </w:r>
      <w:r>
        <w:rPr>
          <w:sz w:val="22"/>
          <w:szCs w:val="22"/>
          <w:lang w:val="el-GR"/>
        </w:rPr>
        <w:t>δεν θα πρέπει να χρησιμοποιείται κατά τη διάρκεια του θηλασμού</w:t>
      </w:r>
      <w:r w:rsidRPr="005B77AA">
        <w:rPr>
          <w:sz w:val="22"/>
          <w:szCs w:val="22"/>
          <w:lang w:val="el-GR"/>
        </w:rPr>
        <w:t xml:space="preserve">. </w:t>
      </w:r>
    </w:p>
    <w:p w:rsidR="00582A00" w:rsidRDefault="00582A00">
      <w:pPr>
        <w:pStyle w:val="Default"/>
        <w:rPr>
          <w:rFonts w:ascii="Calibri" w:hAnsi="Calibri" w:cs="Calibri"/>
          <w:noProof/>
          <w:lang w:val="el-GR"/>
        </w:rPr>
      </w:pPr>
    </w:p>
    <w:p w:rsidR="00582A00" w:rsidRPr="00123257" w:rsidRDefault="00582A00" w:rsidP="00123257">
      <w:pPr>
        <w:widowControl w:val="0"/>
        <w:outlineLvl w:val="1"/>
        <w:rPr>
          <w:rFonts w:ascii="Calibri" w:hAnsi="Calibri" w:cs="Calibri"/>
          <w:noProof/>
          <w:lang w:val="en-US"/>
        </w:rPr>
      </w:pPr>
      <w:r w:rsidRPr="005B77AA">
        <w:rPr>
          <w:b/>
          <w:bCs/>
          <w:noProof/>
          <w:lang w:val="el-GR"/>
        </w:rPr>
        <w:t>4.7</w:t>
      </w:r>
      <w:r w:rsidRPr="005B77AA">
        <w:rPr>
          <w:b/>
          <w:bCs/>
          <w:i/>
          <w:iCs/>
          <w:noProof/>
          <w:lang w:val="el-GR"/>
        </w:rPr>
        <w:tab/>
      </w:r>
      <w:r>
        <w:rPr>
          <w:b/>
          <w:bCs/>
          <w:lang w:val="el-GR"/>
        </w:rPr>
        <w:t>Επιδράσεις στην ικανότητα οδήγησης και χειρισμού μηχανών</w:t>
      </w:r>
    </w:p>
    <w:p w:rsidR="00582A00" w:rsidRDefault="00582A00">
      <w:pPr>
        <w:pStyle w:val="Default"/>
        <w:rPr>
          <w:lang w:val="el-GR"/>
        </w:rPr>
      </w:pPr>
      <w:r>
        <w:rPr>
          <w:sz w:val="22"/>
          <w:szCs w:val="22"/>
          <w:lang w:val="el-GR"/>
        </w:rPr>
        <w:t xml:space="preserve">Δεν έχει παρατηρηθεί καμία επίδραση. </w:t>
      </w:r>
    </w:p>
    <w:p w:rsidR="00582A00" w:rsidRDefault="00582A00">
      <w:pPr>
        <w:pStyle w:val="Default"/>
        <w:rPr>
          <w:sz w:val="22"/>
          <w:szCs w:val="22"/>
          <w:lang w:val="el-GR"/>
        </w:rPr>
      </w:pPr>
    </w:p>
    <w:p w:rsidR="00582A00" w:rsidRPr="00123257" w:rsidRDefault="00582A00" w:rsidP="00123257">
      <w:pPr>
        <w:widowControl w:val="0"/>
        <w:outlineLvl w:val="1"/>
        <w:rPr>
          <w:lang w:val="en-US"/>
        </w:rPr>
      </w:pPr>
      <w:r w:rsidRPr="005B77AA">
        <w:rPr>
          <w:b/>
          <w:bCs/>
          <w:noProof/>
          <w:lang w:val="el-GR"/>
        </w:rPr>
        <w:t>4.8</w:t>
      </w:r>
      <w:r w:rsidRPr="005B77AA">
        <w:rPr>
          <w:b/>
          <w:bCs/>
          <w:i/>
          <w:iCs/>
          <w:noProof/>
          <w:lang w:val="el-GR"/>
        </w:rPr>
        <w:tab/>
      </w:r>
      <w:r>
        <w:rPr>
          <w:b/>
          <w:bCs/>
          <w:lang w:val="el-GR"/>
        </w:rPr>
        <w:t>Ανεπιθύμητες ενέργειες</w:t>
      </w:r>
    </w:p>
    <w:p w:rsidR="00582A00" w:rsidRDefault="00582A00">
      <w:pPr>
        <w:pStyle w:val="Default"/>
        <w:rPr>
          <w:lang w:val="el-GR"/>
        </w:rPr>
      </w:pPr>
      <w:r>
        <w:rPr>
          <w:sz w:val="22"/>
          <w:szCs w:val="22"/>
          <w:lang w:val="el-GR"/>
        </w:rPr>
        <w:t>Έχουν αναγνωριστεί ή πιθανολογηθεί οι παρακάτω ανεπιθύμητες αντιδράσεις στο φάρμακο στο πρόγραμμα κλινικών δοκιμών για την εσομεπραζόλη και μετά την κυκλοφορία στην αγορά. Καμία από αυτές δεν αποδείχτηκε ότι σχετίζεται με τη δόση. Οι αντιδράσεις ταξινομούνται σύμφωνα με τη συχνότητα</w:t>
      </w:r>
      <w:r w:rsidR="00B07AEB">
        <w:rPr>
          <w:sz w:val="22"/>
          <w:szCs w:val="22"/>
          <w:lang w:val="el-GR"/>
        </w:rPr>
        <w:t>:</w:t>
      </w:r>
      <w:r>
        <w:rPr>
          <w:sz w:val="22"/>
          <w:szCs w:val="22"/>
          <w:lang w:val="el-GR"/>
        </w:rPr>
        <w:t xml:space="preserve"> </w:t>
      </w:r>
      <w:r w:rsidR="00B07AEB">
        <w:rPr>
          <w:sz w:val="22"/>
          <w:szCs w:val="22"/>
          <w:lang w:val="el-GR"/>
        </w:rPr>
        <w:t xml:space="preserve">πολύ συχνές (≥1/10, </w:t>
      </w:r>
      <w:r>
        <w:rPr>
          <w:sz w:val="22"/>
          <w:szCs w:val="22"/>
          <w:lang w:val="el-GR"/>
        </w:rPr>
        <w:t>συχνές ≥1/100 έως &lt;1/10, όχι συχνές ≥1/1000 έως &lt;1/100, σπάνιες ≥1/10.000 έως &lt;1/1000, πολύ σπάνιες &lt;1/10.000)</w:t>
      </w:r>
      <w:r w:rsidR="00B07AEB">
        <w:rPr>
          <w:sz w:val="22"/>
          <w:szCs w:val="22"/>
          <w:lang w:val="el-GR"/>
        </w:rPr>
        <w:t xml:space="preserve">, </w:t>
      </w:r>
      <w:r w:rsidR="006752AB">
        <w:rPr>
          <w:sz w:val="22"/>
          <w:szCs w:val="22"/>
          <w:lang w:val="el-GR"/>
        </w:rPr>
        <w:t>μη γνωστές</w:t>
      </w:r>
      <w:r w:rsidR="00B07AEB">
        <w:rPr>
          <w:sz w:val="22"/>
          <w:szCs w:val="22"/>
          <w:lang w:val="el-GR"/>
        </w:rPr>
        <w:t xml:space="preserve"> (</w:t>
      </w:r>
      <w:r w:rsidR="006752AB">
        <w:rPr>
          <w:sz w:val="22"/>
          <w:szCs w:val="22"/>
          <w:lang w:val="el-GR"/>
        </w:rPr>
        <w:t xml:space="preserve">η συχνότητα </w:t>
      </w:r>
      <w:r w:rsidR="00B07AEB">
        <w:rPr>
          <w:sz w:val="22"/>
          <w:szCs w:val="22"/>
          <w:lang w:val="el-GR"/>
        </w:rPr>
        <w:t>δεν μπορ</w:t>
      </w:r>
      <w:r w:rsidR="006752AB">
        <w:rPr>
          <w:sz w:val="22"/>
          <w:szCs w:val="22"/>
          <w:lang w:val="el-GR"/>
        </w:rPr>
        <w:t>εί</w:t>
      </w:r>
      <w:r w:rsidR="00B07AEB">
        <w:rPr>
          <w:sz w:val="22"/>
          <w:szCs w:val="22"/>
          <w:lang w:val="el-GR"/>
        </w:rPr>
        <w:t xml:space="preserve"> να </w:t>
      </w:r>
      <w:r w:rsidR="006752AB">
        <w:rPr>
          <w:sz w:val="22"/>
          <w:szCs w:val="22"/>
          <w:lang w:val="el-GR"/>
        </w:rPr>
        <w:t>εκτιμηθεί</w:t>
      </w:r>
      <w:r w:rsidR="00B07AEB">
        <w:rPr>
          <w:sz w:val="22"/>
          <w:szCs w:val="22"/>
          <w:lang w:val="el-GR"/>
        </w:rPr>
        <w:t xml:space="preserve"> από τα διαθέσιμα </w:t>
      </w:r>
      <w:r w:rsidR="006752AB">
        <w:rPr>
          <w:sz w:val="22"/>
          <w:szCs w:val="22"/>
          <w:lang w:val="el-GR"/>
        </w:rPr>
        <w:t>δεδομένα</w:t>
      </w:r>
      <w:r w:rsidR="00B07AEB">
        <w:rPr>
          <w:sz w:val="22"/>
          <w:szCs w:val="22"/>
          <w:lang w:val="el-GR"/>
        </w:rPr>
        <w:t>)</w:t>
      </w:r>
      <w:r>
        <w:rPr>
          <w:sz w:val="22"/>
          <w:szCs w:val="22"/>
          <w:lang w:val="el-GR"/>
        </w:rPr>
        <w:t xml:space="preserve">. </w:t>
      </w:r>
    </w:p>
    <w:p w:rsidR="00582A00" w:rsidRDefault="00582A00">
      <w:pPr>
        <w:pStyle w:val="Default"/>
        <w:rPr>
          <w:sz w:val="22"/>
          <w:szCs w:val="22"/>
          <w:lang w:val="el-GR"/>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9"/>
        <w:gridCol w:w="2009"/>
        <w:gridCol w:w="4511"/>
      </w:tblGrid>
      <w:tr w:rsidR="00582A00">
        <w:tc>
          <w:tcPr>
            <w:tcW w:w="3259" w:type="dxa"/>
            <w:vMerge w:val="restart"/>
          </w:tcPr>
          <w:p w:rsidR="00582A00" w:rsidRPr="00785594" w:rsidRDefault="00582A00">
            <w:pPr>
              <w:pStyle w:val="Default"/>
              <w:tabs>
                <w:tab w:val="left" w:pos="567"/>
              </w:tabs>
              <w:spacing w:line="260" w:lineRule="exact"/>
              <w:rPr>
                <w:lang w:val="el-GR"/>
              </w:rPr>
            </w:pPr>
            <w:r w:rsidRPr="00785594">
              <w:rPr>
                <w:sz w:val="22"/>
                <w:szCs w:val="22"/>
                <w:lang w:val="el-GR"/>
              </w:rPr>
              <w:t>Διαταραχές του αιμοποιητικού και λεμφικού συστήματος</w:t>
            </w: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Λευκοπενία, θρομβοκυτταροπενία</w:t>
            </w:r>
          </w:p>
        </w:tc>
      </w:tr>
      <w:tr w:rsidR="00582A00">
        <w:tc>
          <w:tcPr>
            <w:tcW w:w="3259" w:type="dxa"/>
            <w:vMerge/>
          </w:tcPr>
          <w:p w:rsidR="00582A00" w:rsidRPr="00785594" w:rsidRDefault="00582A00">
            <w:pPr>
              <w:pStyle w:val="Default"/>
              <w:tabs>
                <w:tab w:val="left" w:pos="567"/>
              </w:tabs>
              <w:spacing w:line="260" w:lineRule="exact"/>
              <w:rPr>
                <w:rFonts w:ascii="Calibri" w:hAnsi="Calibri" w:cs="Calibri"/>
                <w:sz w:val="22"/>
                <w:szCs w:val="22"/>
                <w:lang w:val="en-GB"/>
              </w:rPr>
            </w:pPr>
          </w:p>
        </w:tc>
        <w:tc>
          <w:tcPr>
            <w:tcW w:w="2009" w:type="dxa"/>
          </w:tcPr>
          <w:p w:rsidR="00582A00" w:rsidRDefault="00582A00">
            <w:pPr>
              <w:pStyle w:val="Defaul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Ακοκκιοκυτταραιμία, πανκυτταροπενία</w:t>
            </w:r>
          </w:p>
        </w:tc>
      </w:tr>
      <w:tr w:rsidR="00582A00" w:rsidRPr="000B645F">
        <w:tc>
          <w:tcPr>
            <w:tcW w:w="3259" w:type="dxa"/>
          </w:tcPr>
          <w:p w:rsidR="00582A00" w:rsidRPr="00785594" w:rsidRDefault="00582A00">
            <w:pPr>
              <w:pStyle w:val="Default"/>
              <w:tabs>
                <w:tab w:val="left" w:pos="567"/>
              </w:tabs>
              <w:spacing w:line="260" w:lineRule="exact"/>
              <w:rPr>
                <w:lang w:val="el-GR"/>
              </w:rPr>
            </w:pPr>
            <w:r w:rsidRPr="00785594">
              <w:rPr>
                <w:sz w:val="22"/>
                <w:szCs w:val="22"/>
                <w:lang w:val="el-GR"/>
              </w:rPr>
              <w:t>Διαταραχές του ανοσοποιητικού συστήματος</w:t>
            </w: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Αντιδράσεις υπερευαισθησίας, π.χ. πυρετός, αγγειοοίδημα και αναφυλακτική αντίδραση/σοκ</w:t>
            </w:r>
          </w:p>
        </w:tc>
      </w:tr>
      <w:tr w:rsidR="002A52FE">
        <w:tc>
          <w:tcPr>
            <w:tcW w:w="3259" w:type="dxa"/>
            <w:vMerge w:val="restart"/>
          </w:tcPr>
          <w:p w:rsidR="002A52FE" w:rsidRPr="00785594" w:rsidRDefault="002A52FE">
            <w:pPr>
              <w:pStyle w:val="Default"/>
              <w:tabs>
                <w:tab w:val="left" w:pos="567"/>
              </w:tabs>
              <w:spacing w:line="260" w:lineRule="exact"/>
              <w:rPr>
                <w:lang w:val="el-GR"/>
              </w:rPr>
            </w:pPr>
            <w:r w:rsidRPr="00785594">
              <w:rPr>
                <w:sz w:val="22"/>
                <w:szCs w:val="22"/>
                <w:lang w:val="el-GR"/>
              </w:rPr>
              <w:t>Διαταραχές του μεταβολισμού και της διατροφής</w:t>
            </w:r>
          </w:p>
        </w:tc>
        <w:tc>
          <w:tcPr>
            <w:tcW w:w="2009" w:type="dxa"/>
          </w:tcPr>
          <w:p w:rsidR="002A52FE" w:rsidRDefault="002A52FE">
            <w:pPr>
              <w:pStyle w:val="Default"/>
              <w:tabs>
                <w:tab w:val="left" w:pos="567"/>
              </w:tabs>
              <w:spacing w:line="260" w:lineRule="exact"/>
              <w:rPr>
                <w:lang w:val="el-GR"/>
              </w:rPr>
            </w:pPr>
            <w:r>
              <w:rPr>
                <w:sz w:val="22"/>
                <w:szCs w:val="22"/>
                <w:lang w:val="el-GR"/>
              </w:rPr>
              <w:t>Όχι συχνές</w:t>
            </w:r>
          </w:p>
        </w:tc>
        <w:tc>
          <w:tcPr>
            <w:tcW w:w="4511" w:type="dxa"/>
          </w:tcPr>
          <w:p w:rsidR="002A52FE" w:rsidRDefault="002A52FE">
            <w:pPr>
              <w:pStyle w:val="Default"/>
              <w:tabs>
                <w:tab w:val="left" w:pos="567"/>
              </w:tabs>
              <w:spacing w:line="260" w:lineRule="exact"/>
              <w:rPr>
                <w:lang w:val="el-GR"/>
              </w:rPr>
            </w:pPr>
            <w:r>
              <w:rPr>
                <w:sz w:val="22"/>
                <w:szCs w:val="22"/>
                <w:lang w:val="el-GR"/>
              </w:rPr>
              <w:t>Περιφερικό οίδημα</w:t>
            </w:r>
          </w:p>
        </w:tc>
      </w:tr>
      <w:tr w:rsidR="002A52FE">
        <w:tc>
          <w:tcPr>
            <w:tcW w:w="3259" w:type="dxa"/>
            <w:vMerge/>
          </w:tcPr>
          <w:p w:rsidR="002A52FE" w:rsidRPr="00785594" w:rsidRDefault="002A52FE">
            <w:pPr>
              <w:pStyle w:val="Default"/>
              <w:tabs>
                <w:tab w:val="left" w:pos="567"/>
              </w:tabs>
              <w:spacing w:line="260" w:lineRule="exact"/>
              <w:rPr>
                <w:rFonts w:ascii="Calibri" w:hAnsi="Calibri" w:cs="Calibri"/>
                <w:sz w:val="22"/>
                <w:szCs w:val="22"/>
                <w:lang w:val="en-GB"/>
              </w:rPr>
            </w:pPr>
          </w:p>
        </w:tc>
        <w:tc>
          <w:tcPr>
            <w:tcW w:w="2009" w:type="dxa"/>
          </w:tcPr>
          <w:p w:rsidR="002A52FE" w:rsidRDefault="002A52FE">
            <w:pPr>
              <w:pStyle w:val="Default"/>
              <w:tabs>
                <w:tab w:val="left" w:pos="567"/>
              </w:tabs>
              <w:spacing w:line="260" w:lineRule="exact"/>
              <w:rPr>
                <w:lang w:val="el-GR"/>
              </w:rPr>
            </w:pPr>
            <w:r>
              <w:rPr>
                <w:sz w:val="22"/>
                <w:szCs w:val="22"/>
                <w:lang w:val="el-GR"/>
              </w:rPr>
              <w:t>Σπάνιες</w:t>
            </w:r>
          </w:p>
        </w:tc>
        <w:tc>
          <w:tcPr>
            <w:tcW w:w="4511" w:type="dxa"/>
          </w:tcPr>
          <w:p w:rsidR="002A52FE" w:rsidRDefault="002A52FE">
            <w:pPr>
              <w:pStyle w:val="Default"/>
              <w:tabs>
                <w:tab w:val="left" w:pos="567"/>
              </w:tabs>
              <w:spacing w:line="260" w:lineRule="exact"/>
              <w:rPr>
                <w:lang w:val="el-GR"/>
              </w:rPr>
            </w:pPr>
            <w:r>
              <w:rPr>
                <w:sz w:val="22"/>
                <w:szCs w:val="22"/>
                <w:lang w:val="el-GR"/>
              </w:rPr>
              <w:t>Υπονατριαιμία</w:t>
            </w:r>
          </w:p>
        </w:tc>
      </w:tr>
      <w:tr w:rsidR="002A52FE">
        <w:tc>
          <w:tcPr>
            <w:tcW w:w="3259" w:type="dxa"/>
            <w:vMerge/>
          </w:tcPr>
          <w:p w:rsidR="002A52FE" w:rsidRPr="00785594" w:rsidRDefault="002A52FE">
            <w:pPr>
              <w:pStyle w:val="Default"/>
              <w:tabs>
                <w:tab w:val="left" w:pos="567"/>
              </w:tabs>
              <w:spacing w:line="260" w:lineRule="exact"/>
              <w:rPr>
                <w:rFonts w:ascii="Calibri" w:hAnsi="Calibri" w:cs="Calibri"/>
                <w:sz w:val="22"/>
                <w:szCs w:val="22"/>
                <w:lang w:val="en-GB"/>
              </w:rPr>
            </w:pPr>
          </w:p>
        </w:tc>
        <w:tc>
          <w:tcPr>
            <w:tcW w:w="2009" w:type="dxa"/>
          </w:tcPr>
          <w:p w:rsidR="002A52FE" w:rsidRDefault="002A52FE">
            <w:pPr>
              <w:pStyle w:val="Default"/>
              <w:tabs>
                <w:tab w:val="left" w:pos="567"/>
              </w:tabs>
              <w:spacing w:line="260" w:lineRule="exact"/>
              <w:rPr>
                <w:sz w:val="22"/>
                <w:szCs w:val="22"/>
                <w:lang w:val="el-GR"/>
              </w:rPr>
            </w:pPr>
            <w:r>
              <w:rPr>
                <w:sz w:val="22"/>
                <w:szCs w:val="22"/>
                <w:lang w:val="el-GR"/>
              </w:rPr>
              <w:t>Πολύ σπάνιες</w:t>
            </w:r>
          </w:p>
        </w:tc>
        <w:tc>
          <w:tcPr>
            <w:tcW w:w="4511" w:type="dxa"/>
          </w:tcPr>
          <w:p w:rsidR="002A52FE" w:rsidRDefault="002A52FE">
            <w:pPr>
              <w:pStyle w:val="Default"/>
              <w:tabs>
                <w:tab w:val="left" w:pos="567"/>
              </w:tabs>
              <w:spacing w:line="260" w:lineRule="exact"/>
              <w:rPr>
                <w:sz w:val="22"/>
                <w:szCs w:val="22"/>
                <w:lang w:val="el-GR"/>
              </w:rPr>
            </w:pPr>
            <w:r>
              <w:rPr>
                <w:sz w:val="22"/>
                <w:szCs w:val="22"/>
                <w:lang w:val="el-GR"/>
              </w:rPr>
              <w:t>Υπομαγνησιαιμία</w:t>
            </w:r>
          </w:p>
        </w:tc>
      </w:tr>
      <w:tr w:rsidR="00582A00">
        <w:tc>
          <w:tcPr>
            <w:tcW w:w="3259" w:type="dxa"/>
            <w:vMerge w:val="restart"/>
          </w:tcPr>
          <w:p w:rsidR="00582A00" w:rsidRPr="00785594" w:rsidRDefault="00582A00">
            <w:pPr>
              <w:pStyle w:val="Default"/>
              <w:tabs>
                <w:tab w:val="left" w:pos="567"/>
              </w:tabs>
              <w:spacing w:line="260" w:lineRule="exact"/>
              <w:rPr>
                <w:lang w:val="el-GR"/>
              </w:rPr>
            </w:pPr>
            <w:r w:rsidRPr="00785594">
              <w:rPr>
                <w:sz w:val="22"/>
                <w:szCs w:val="22"/>
                <w:lang w:val="el-GR"/>
              </w:rPr>
              <w:t>Ψυχιατρικές διαταραχές</w:t>
            </w:r>
          </w:p>
        </w:tc>
        <w:tc>
          <w:tcPr>
            <w:tcW w:w="2009" w:type="dxa"/>
          </w:tcPr>
          <w:p w:rsidR="00582A00" w:rsidRDefault="00582A00">
            <w:pPr>
              <w:pStyle w:val="Default"/>
              <w:tabs>
                <w:tab w:val="left" w:pos="567"/>
              </w:tabs>
              <w:spacing w:line="260" w:lineRule="exact"/>
              <w:rPr>
                <w:lang w:val="el-GR"/>
              </w:rPr>
            </w:pPr>
            <w:r>
              <w:rPr>
                <w:sz w:val="22"/>
                <w:szCs w:val="22"/>
                <w:lang w:val="el-GR"/>
              </w:rPr>
              <w:t>Όχι συχνές</w:t>
            </w:r>
          </w:p>
        </w:tc>
        <w:tc>
          <w:tcPr>
            <w:tcW w:w="4511" w:type="dxa"/>
          </w:tcPr>
          <w:p w:rsidR="00582A00" w:rsidRDefault="00582A00">
            <w:pPr>
              <w:pStyle w:val="Default"/>
              <w:tabs>
                <w:tab w:val="left" w:pos="567"/>
              </w:tabs>
              <w:spacing w:line="260" w:lineRule="exact"/>
              <w:rPr>
                <w:lang w:val="el-GR"/>
              </w:rPr>
            </w:pPr>
            <w:r>
              <w:rPr>
                <w:sz w:val="22"/>
                <w:szCs w:val="22"/>
                <w:lang w:val="el-GR"/>
              </w:rPr>
              <w:t>Αϋπνία</w:t>
            </w:r>
          </w:p>
        </w:tc>
      </w:tr>
      <w:tr w:rsidR="00582A00">
        <w:tc>
          <w:tcPr>
            <w:tcW w:w="3259" w:type="dxa"/>
            <w:vMerge/>
          </w:tcPr>
          <w:p w:rsidR="00582A00" w:rsidRPr="00785594" w:rsidRDefault="00582A00">
            <w:pPr>
              <w:pStyle w:val="Default"/>
              <w:tabs>
                <w:tab w:val="left" w:pos="567"/>
              </w:tabs>
              <w:spacing w:line="260" w:lineRule="exact"/>
              <w:rPr>
                <w:rFonts w:ascii="Calibri" w:hAnsi="Calibri" w:cs="Calibri"/>
                <w:sz w:val="22"/>
                <w:szCs w:val="22"/>
                <w:lang w:val="en-GB"/>
              </w:rPr>
            </w:pP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Ευερεθιστότητα, σύγχυση, κατάθλιψη</w:t>
            </w:r>
          </w:p>
        </w:tc>
      </w:tr>
      <w:tr w:rsidR="00582A00">
        <w:tc>
          <w:tcPr>
            <w:tcW w:w="3259" w:type="dxa"/>
            <w:vMerge/>
          </w:tcPr>
          <w:p w:rsidR="00582A00" w:rsidRPr="00785594" w:rsidRDefault="00582A00">
            <w:pPr>
              <w:pStyle w:val="Default"/>
              <w:tabs>
                <w:tab w:val="left" w:pos="567"/>
              </w:tabs>
              <w:spacing w:line="260" w:lineRule="exact"/>
              <w:rPr>
                <w:sz w:val="22"/>
                <w:szCs w:val="22"/>
                <w:lang w:val="el-GR"/>
              </w:rPr>
            </w:pPr>
          </w:p>
        </w:tc>
        <w:tc>
          <w:tcPr>
            <w:tcW w:w="2009" w:type="dxa"/>
          </w:tcPr>
          <w:p w:rsidR="00582A00" w:rsidRDefault="00582A00">
            <w:pPr>
              <w:pStyle w:val="Defaul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Επιθετικότητα, ψευδαισθήσεις</w:t>
            </w:r>
          </w:p>
        </w:tc>
      </w:tr>
      <w:tr w:rsidR="00582A00">
        <w:tc>
          <w:tcPr>
            <w:tcW w:w="3259" w:type="dxa"/>
            <w:vMerge w:val="restart"/>
          </w:tcPr>
          <w:p w:rsidR="00582A00" w:rsidRPr="00785594" w:rsidRDefault="00582A00">
            <w:pPr>
              <w:pStyle w:val="Default"/>
              <w:tabs>
                <w:tab w:val="left" w:pos="567"/>
              </w:tabs>
              <w:spacing w:line="260" w:lineRule="exact"/>
              <w:rPr>
                <w:lang w:val="el-GR"/>
              </w:rPr>
            </w:pPr>
            <w:r w:rsidRPr="00785594">
              <w:rPr>
                <w:sz w:val="22"/>
                <w:szCs w:val="22"/>
                <w:lang w:val="el-GR"/>
              </w:rPr>
              <w:t>Διαταραχές του νευρικού συστήματος</w:t>
            </w:r>
          </w:p>
        </w:tc>
        <w:tc>
          <w:tcPr>
            <w:tcW w:w="2009" w:type="dxa"/>
          </w:tcPr>
          <w:p w:rsidR="00582A00" w:rsidRDefault="00582A00">
            <w:pPr>
              <w:pStyle w:val="Default"/>
              <w:tabs>
                <w:tab w:val="left" w:pos="567"/>
              </w:tabs>
              <w:spacing w:line="260" w:lineRule="exact"/>
              <w:rPr>
                <w:lang w:val="el-GR"/>
              </w:rPr>
            </w:pPr>
            <w:r>
              <w:rPr>
                <w:sz w:val="22"/>
                <w:szCs w:val="22"/>
                <w:lang w:val="el-GR"/>
              </w:rPr>
              <w:t>Συχνές</w:t>
            </w:r>
          </w:p>
        </w:tc>
        <w:tc>
          <w:tcPr>
            <w:tcW w:w="4511" w:type="dxa"/>
          </w:tcPr>
          <w:p w:rsidR="00582A00" w:rsidRDefault="00582A00">
            <w:pPr>
              <w:pStyle w:val="Default"/>
              <w:tabs>
                <w:tab w:val="left" w:pos="567"/>
              </w:tabs>
              <w:spacing w:line="260" w:lineRule="exact"/>
              <w:rPr>
                <w:lang w:val="el-GR"/>
              </w:rPr>
            </w:pPr>
            <w:r>
              <w:rPr>
                <w:sz w:val="22"/>
                <w:szCs w:val="22"/>
                <w:lang w:val="el-GR"/>
              </w:rPr>
              <w:t>Κεφαλαλγία</w:t>
            </w:r>
          </w:p>
        </w:tc>
      </w:tr>
      <w:tr w:rsidR="00582A00">
        <w:tc>
          <w:tcPr>
            <w:tcW w:w="3259" w:type="dxa"/>
            <w:vMerge/>
          </w:tcPr>
          <w:p w:rsidR="00582A00" w:rsidRPr="00785594" w:rsidRDefault="00582A00">
            <w:pPr>
              <w:pStyle w:val="Default"/>
              <w:tabs>
                <w:tab w:val="left" w:pos="567"/>
              </w:tabs>
              <w:spacing w:line="260" w:lineRule="exact"/>
              <w:rPr>
                <w:rFonts w:ascii="Calibri" w:hAnsi="Calibri" w:cs="Calibri"/>
                <w:sz w:val="22"/>
                <w:szCs w:val="22"/>
                <w:lang w:val="en-GB"/>
              </w:rPr>
            </w:pPr>
          </w:p>
        </w:tc>
        <w:tc>
          <w:tcPr>
            <w:tcW w:w="2009" w:type="dxa"/>
          </w:tcPr>
          <w:p w:rsidR="00582A00" w:rsidRDefault="00582A00">
            <w:pPr>
              <w:pStyle w:val="Default"/>
              <w:tabs>
                <w:tab w:val="left" w:pos="567"/>
              </w:tabs>
              <w:spacing w:line="260" w:lineRule="exact"/>
              <w:rPr>
                <w:lang w:val="el-GR"/>
              </w:rPr>
            </w:pPr>
            <w:r>
              <w:rPr>
                <w:sz w:val="22"/>
                <w:szCs w:val="22"/>
                <w:lang w:val="el-GR"/>
              </w:rPr>
              <w:t>Όχι συχνές</w:t>
            </w:r>
          </w:p>
        </w:tc>
        <w:tc>
          <w:tcPr>
            <w:tcW w:w="4511" w:type="dxa"/>
          </w:tcPr>
          <w:p w:rsidR="00582A00" w:rsidRDefault="00582A00">
            <w:pPr>
              <w:pStyle w:val="Default"/>
              <w:tabs>
                <w:tab w:val="left" w:pos="567"/>
              </w:tabs>
              <w:spacing w:line="260" w:lineRule="exact"/>
              <w:rPr>
                <w:lang w:val="el-GR"/>
              </w:rPr>
            </w:pPr>
            <w:r>
              <w:rPr>
                <w:sz w:val="22"/>
                <w:szCs w:val="22"/>
                <w:lang w:val="el-GR"/>
              </w:rPr>
              <w:t>Ζάλη, παραισθησία, υπνηλία</w:t>
            </w:r>
          </w:p>
        </w:tc>
      </w:tr>
      <w:tr w:rsidR="00582A00">
        <w:tc>
          <w:tcPr>
            <w:tcW w:w="3259" w:type="dxa"/>
            <w:vMerge/>
          </w:tcPr>
          <w:p w:rsidR="00582A00" w:rsidRPr="00785594" w:rsidRDefault="00582A00">
            <w:pPr>
              <w:pStyle w:val="Default"/>
              <w:tabs>
                <w:tab w:val="left" w:pos="567"/>
              </w:tabs>
              <w:spacing w:line="260" w:lineRule="exact"/>
              <w:rPr>
                <w:sz w:val="22"/>
                <w:szCs w:val="22"/>
                <w:lang w:val="el-GR"/>
              </w:rPr>
            </w:pP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Διαταραχή γεύσης</w:t>
            </w:r>
          </w:p>
        </w:tc>
      </w:tr>
      <w:tr w:rsidR="00582A00">
        <w:tc>
          <w:tcPr>
            <w:tcW w:w="3259" w:type="dxa"/>
          </w:tcPr>
          <w:p w:rsidR="00582A00" w:rsidRPr="00785594" w:rsidRDefault="00582A00">
            <w:pPr>
              <w:pStyle w:val="Default"/>
              <w:tabs>
                <w:tab w:val="left" w:pos="567"/>
              </w:tabs>
              <w:spacing w:line="260" w:lineRule="exact"/>
              <w:rPr>
                <w:lang w:val="el-GR"/>
              </w:rPr>
            </w:pPr>
            <w:r w:rsidRPr="00785594">
              <w:rPr>
                <w:sz w:val="22"/>
                <w:szCs w:val="22"/>
                <w:lang w:val="el-GR"/>
              </w:rPr>
              <w:t>Οφθαλμικές διαταραχές</w:t>
            </w: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Θολή όραση</w:t>
            </w:r>
          </w:p>
        </w:tc>
      </w:tr>
      <w:tr w:rsidR="00582A00">
        <w:tc>
          <w:tcPr>
            <w:tcW w:w="3259" w:type="dxa"/>
          </w:tcPr>
          <w:p w:rsidR="00582A00" w:rsidRPr="005B77AA" w:rsidRDefault="00582A00">
            <w:pPr>
              <w:pStyle w:val="Default"/>
              <w:tabs>
                <w:tab w:val="left" w:pos="567"/>
              </w:tabs>
              <w:spacing w:line="260" w:lineRule="exact"/>
              <w:rPr>
                <w:rFonts w:ascii="Calibri" w:hAnsi="Calibri" w:cs="Calibri"/>
                <w:lang w:val="el-GR"/>
              </w:rPr>
            </w:pPr>
            <w:r w:rsidRPr="00785594">
              <w:rPr>
                <w:sz w:val="22"/>
                <w:szCs w:val="22"/>
                <w:lang w:val="el-GR"/>
              </w:rPr>
              <w:t>Διαταραχές του ωτός και του λαβυρίνθου</w:t>
            </w:r>
          </w:p>
        </w:tc>
        <w:tc>
          <w:tcPr>
            <w:tcW w:w="2009" w:type="dxa"/>
          </w:tcPr>
          <w:p w:rsidR="00582A00" w:rsidRDefault="00582A00">
            <w:pPr>
              <w:pStyle w:val="Default"/>
              <w:tabs>
                <w:tab w:val="left" w:pos="567"/>
              </w:tabs>
              <w:spacing w:line="260" w:lineRule="exact"/>
              <w:rPr>
                <w:lang w:val="el-GR"/>
              </w:rPr>
            </w:pPr>
            <w:r>
              <w:rPr>
                <w:sz w:val="22"/>
                <w:szCs w:val="22"/>
                <w:lang w:val="el-GR"/>
              </w:rPr>
              <w:t>Όχι συχνές</w:t>
            </w:r>
          </w:p>
        </w:tc>
        <w:tc>
          <w:tcPr>
            <w:tcW w:w="4511" w:type="dxa"/>
          </w:tcPr>
          <w:p w:rsidR="00582A00" w:rsidRDefault="00582A00">
            <w:pPr>
              <w:pStyle w:val="Default"/>
              <w:tabs>
                <w:tab w:val="left" w:pos="567"/>
              </w:tabs>
              <w:spacing w:line="260" w:lineRule="exact"/>
              <w:rPr>
                <w:lang w:val="el-GR"/>
              </w:rPr>
            </w:pPr>
            <w:r>
              <w:rPr>
                <w:sz w:val="22"/>
                <w:szCs w:val="22"/>
                <w:lang w:val="el-GR"/>
              </w:rPr>
              <w:t>Ίλιγγος</w:t>
            </w:r>
          </w:p>
        </w:tc>
      </w:tr>
      <w:tr w:rsidR="00582A00">
        <w:tc>
          <w:tcPr>
            <w:tcW w:w="3259" w:type="dxa"/>
          </w:tcPr>
          <w:p w:rsidR="00582A00" w:rsidRPr="005B77AA" w:rsidRDefault="00582A00">
            <w:pPr>
              <w:pStyle w:val="Default"/>
              <w:tabs>
                <w:tab w:val="left" w:pos="567"/>
              </w:tabs>
              <w:spacing w:line="260" w:lineRule="exact"/>
              <w:rPr>
                <w:rFonts w:ascii="Calibri" w:hAnsi="Calibri" w:cs="Calibri"/>
                <w:lang w:val="el-GR"/>
              </w:rPr>
            </w:pPr>
            <w:r w:rsidRPr="00785594">
              <w:rPr>
                <w:sz w:val="22"/>
                <w:szCs w:val="22"/>
                <w:lang w:val="el-GR"/>
              </w:rPr>
              <w:t>Διαταραχές του αναπνευστικού συστήματος</w:t>
            </w:r>
            <w:r w:rsidRPr="005B77AA">
              <w:rPr>
                <w:sz w:val="22"/>
                <w:szCs w:val="22"/>
                <w:lang w:val="el-GR"/>
              </w:rPr>
              <w:t xml:space="preserve">, </w:t>
            </w:r>
            <w:r w:rsidRPr="00785594">
              <w:rPr>
                <w:sz w:val="22"/>
                <w:szCs w:val="22"/>
                <w:lang w:val="el-GR"/>
              </w:rPr>
              <w:t>του θώρακα και του μεσοθωρακίου</w:t>
            </w: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Βρογχόσπασμος</w:t>
            </w:r>
          </w:p>
        </w:tc>
      </w:tr>
      <w:tr w:rsidR="00582A00" w:rsidRPr="000B645F">
        <w:tc>
          <w:tcPr>
            <w:tcW w:w="3259" w:type="dxa"/>
            <w:vMerge w:val="restart"/>
          </w:tcPr>
          <w:p w:rsidR="00582A00" w:rsidRPr="00785594" w:rsidRDefault="00582A00">
            <w:pPr>
              <w:pStyle w:val="Default"/>
              <w:tabs>
                <w:tab w:val="left" w:pos="567"/>
              </w:tabs>
              <w:spacing w:line="260" w:lineRule="exact"/>
              <w:rPr>
                <w:lang w:val="el-GR"/>
              </w:rPr>
            </w:pPr>
            <w:r w:rsidRPr="00785594">
              <w:rPr>
                <w:sz w:val="22"/>
                <w:szCs w:val="22"/>
                <w:lang w:val="el-GR"/>
              </w:rPr>
              <w:t>Διαταραχές του γαστρεντερικού</w:t>
            </w:r>
          </w:p>
        </w:tc>
        <w:tc>
          <w:tcPr>
            <w:tcW w:w="2009" w:type="dxa"/>
          </w:tcPr>
          <w:p w:rsidR="00582A00" w:rsidRDefault="00582A00">
            <w:pPr>
              <w:pStyle w:val="Default"/>
              <w:tabs>
                <w:tab w:val="left" w:pos="567"/>
              </w:tabs>
              <w:spacing w:line="260" w:lineRule="exact"/>
              <w:rPr>
                <w:lang w:val="el-GR"/>
              </w:rPr>
            </w:pPr>
            <w:r>
              <w:rPr>
                <w:sz w:val="22"/>
                <w:szCs w:val="22"/>
                <w:lang w:val="el-GR"/>
              </w:rPr>
              <w:t>Συχνές</w:t>
            </w:r>
          </w:p>
        </w:tc>
        <w:tc>
          <w:tcPr>
            <w:tcW w:w="4511" w:type="dxa"/>
          </w:tcPr>
          <w:p w:rsidR="00582A00" w:rsidRDefault="00582A00">
            <w:pPr>
              <w:pStyle w:val="Default"/>
              <w:tabs>
                <w:tab w:val="left" w:pos="567"/>
              </w:tabs>
              <w:spacing w:line="260" w:lineRule="exact"/>
              <w:rPr>
                <w:lang w:val="el-GR"/>
              </w:rPr>
            </w:pPr>
            <w:r>
              <w:rPr>
                <w:sz w:val="22"/>
                <w:szCs w:val="22"/>
                <w:lang w:val="el-GR"/>
              </w:rPr>
              <w:t>Κοιλιακό άλγος, δυσκοιλιότητα, διάρροια, μετεωρισμός, ναυτία/έμετος</w:t>
            </w:r>
          </w:p>
        </w:tc>
      </w:tr>
      <w:tr w:rsidR="00582A00">
        <w:tc>
          <w:tcPr>
            <w:tcW w:w="3259" w:type="dxa"/>
            <w:vMerge/>
          </w:tcPr>
          <w:p w:rsidR="00582A00" w:rsidRPr="00785594" w:rsidRDefault="00582A00">
            <w:pPr>
              <w:pStyle w:val="Default"/>
              <w:tabs>
                <w:tab w:val="left" w:pos="567"/>
              </w:tabs>
              <w:spacing w:line="260" w:lineRule="exact"/>
              <w:rPr>
                <w:sz w:val="22"/>
                <w:szCs w:val="22"/>
                <w:lang w:val="el-GR"/>
              </w:rPr>
            </w:pPr>
          </w:p>
        </w:tc>
        <w:tc>
          <w:tcPr>
            <w:tcW w:w="2009" w:type="dxa"/>
          </w:tcPr>
          <w:p w:rsidR="00582A00" w:rsidRDefault="00582A00">
            <w:pPr>
              <w:pStyle w:val="Default"/>
              <w:tabs>
                <w:tab w:val="left" w:pos="567"/>
              </w:tabs>
              <w:spacing w:line="260" w:lineRule="exact"/>
              <w:rPr>
                <w:lang w:val="el-GR"/>
              </w:rPr>
            </w:pPr>
            <w:r>
              <w:rPr>
                <w:sz w:val="22"/>
                <w:szCs w:val="22"/>
                <w:lang w:val="el-GR"/>
              </w:rPr>
              <w:t>Όχι συχνές</w:t>
            </w:r>
          </w:p>
        </w:tc>
        <w:tc>
          <w:tcPr>
            <w:tcW w:w="4511" w:type="dxa"/>
          </w:tcPr>
          <w:p w:rsidR="00582A00" w:rsidRDefault="00582A00">
            <w:pPr>
              <w:pStyle w:val="Default"/>
              <w:tabs>
                <w:tab w:val="left" w:pos="567"/>
              </w:tabs>
              <w:spacing w:line="260" w:lineRule="exact"/>
              <w:rPr>
                <w:lang w:val="el-GR"/>
              </w:rPr>
            </w:pPr>
            <w:r>
              <w:rPr>
                <w:sz w:val="22"/>
                <w:szCs w:val="22"/>
                <w:lang w:val="el-GR"/>
              </w:rPr>
              <w:t>Ξηροστομία</w:t>
            </w:r>
          </w:p>
        </w:tc>
      </w:tr>
      <w:tr w:rsidR="00582A00">
        <w:tc>
          <w:tcPr>
            <w:tcW w:w="3259" w:type="dxa"/>
            <w:vMerge/>
          </w:tcPr>
          <w:p w:rsidR="00582A00" w:rsidRPr="00785594" w:rsidRDefault="00582A00">
            <w:pPr>
              <w:pStyle w:val="Default"/>
              <w:tabs>
                <w:tab w:val="left" w:pos="567"/>
              </w:tabs>
              <w:spacing w:line="260" w:lineRule="exact"/>
              <w:rPr>
                <w:rFonts w:ascii="Calibri" w:hAnsi="Calibri" w:cs="Calibri"/>
                <w:sz w:val="22"/>
                <w:szCs w:val="22"/>
                <w:lang w:val="en-GB"/>
              </w:rPr>
            </w:pP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Στοματίτιδα, γαστρεντερική καντιντίαση</w:t>
            </w:r>
          </w:p>
        </w:tc>
      </w:tr>
      <w:tr w:rsidR="00582A00">
        <w:tc>
          <w:tcPr>
            <w:tcW w:w="3259" w:type="dxa"/>
            <w:vMerge w:val="restart"/>
          </w:tcPr>
          <w:p w:rsidR="00582A00" w:rsidRPr="00785594" w:rsidRDefault="00582A00">
            <w:pPr>
              <w:pStyle w:val="Default"/>
              <w:tabs>
                <w:tab w:val="left" w:pos="567"/>
              </w:tabs>
              <w:spacing w:line="260" w:lineRule="exact"/>
              <w:rPr>
                <w:lang w:val="el-GR"/>
              </w:rPr>
            </w:pPr>
            <w:r w:rsidRPr="00785594">
              <w:rPr>
                <w:sz w:val="22"/>
                <w:szCs w:val="22"/>
                <w:lang w:val="el-GR"/>
              </w:rPr>
              <w:t>Διαταραχές του ήπατος και των χοληφόρων</w:t>
            </w:r>
          </w:p>
        </w:tc>
        <w:tc>
          <w:tcPr>
            <w:tcW w:w="2009" w:type="dxa"/>
          </w:tcPr>
          <w:p w:rsidR="00582A00" w:rsidRDefault="00582A00">
            <w:pPr>
              <w:pStyle w:val="Default"/>
              <w:tabs>
                <w:tab w:val="left" w:pos="567"/>
              </w:tabs>
              <w:spacing w:line="260" w:lineRule="exact"/>
              <w:rPr>
                <w:lang w:val="el-GR"/>
              </w:rPr>
            </w:pPr>
            <w:r>
              <w:rPr>
                <w:sz w:val="22"/>
                <w:szCs w:val="22"/>
                <w:lang w:val="el-GR"/>
              </w:rPr>
              <w:t>Όχι συχνές</w:t>
            </w:r>
          </w:p>
        </w:tc>
        <w:tc>
          <w:tcPr>
            <w:tcW w:w="4511" w:type="dxa"/>
          </w:tcPr>
          <w:p w:rsidR="00582A00" w:rsidRDefault="00582A00">
            <w:pPr>
              <w:pStyle w:val="Default"/>
              <w:tabs>
                <w:tab w:val="left" w:pos="567"/>
              </w:tabs>
              <w:spacing w:line="260" w:lineRule="exact"/>
              <w:rPr>
                <w:lang w:val="el-GR"/>
              </w:rPr>
            </w:pPr>
            <w:r>
              <w:rPr>
                <w:sz w:val="22"/>
                <w:szCs w:val="22"/>
                <w:lang w:val="el-GR"/>
              </w:rPr>
              <w:t>Αυξημένα ηπατικά ένζυμα</w:t>
            </w:r>
          </w:p>
        </w:tc>
      </w:tr>
      <w:tr w:rsidR="00582A00" w:rsidRPr="000B645F">
        <w:tc>
          <w:tcPr>
            <w:tcW w:w="3259" w:type="dxa"/>
            <w:vMerge/>
          </w:tcPr>
          <w:p w:rsidR="00582A00" w:rsidRPr="00785594" w:rsidRDefault="00582A00">
            <w:pPr>
              <w:pStyle w:val="Default"/>
              <w:tabs>
                <w:tab w:val="left" w:pos="567"/>
              </w:tabs>
              <w:spacing w:line="260" w:lineRule="exact"/>
              <w:rPr>
                <w:sz w:val="22"/>
                <w:szCs w:val="22"/>
                <w:lang w:val="el-GR"/>
              </w:rPr>
            </w:pP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Ηπατίτιδα με ή χωρίς ίκτερο</w:t>
            </w:r>
          </w:p>
        </w:tc>
      </w:tr>
      <w:tr w:rsidR="00582A00" w:rsidRPr="000B645F">
        <w:tc>
          <w:tcPr>
            <w:tcW w:w="3259" w:type="dxa"/>
            <w:vMerge/>
          </w:tcPr>
          <w:p w:rsidR="00582A00" w:rsidRPr="00785594" w:rsidRDefault="00582A00">
            <w:pPr>
              <w:pStyle w:val="Default"/>
              <w:tabs>
                <w:tab w:val="left" w:pos="567"/>
              </w:tabs>
              <w:spacing w:line="260" w:lineRule="exact"/>
              <w:rPr>
                <w:sz w:val="22"/>
                <w:szCs w:val="22"/>
                <w:lang w:val="el-GR"/>
              </w:rPr>
            </w:pPr>
          </w:p>
        </w:tc>
        <w:tc>
          <w:tcPr>
            <w:tcW w:w="2009" w:type="dxa"/>
          </w:tcPr>
          <w:p w:rsidR="00582A00" w:rsidRDefault="00582A00">
            <w:pPr>
              <w:pStyle w:val="Defaul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Ηπατική ανεπάρκεια, εγκεφαλοπάθεια σε ασθενείς με προϋπάρχουσα ηπατική νόσο</w:t>
            </w:r>
          </w:p>
        </w:tc>
      </w:tr>
      <w:tr w:rsidR="00582A00">
        <w:tc>
          <w:tcPr>
            <w:tcW w:w="3259" w:type="dxa"/>
            <w:vMerge w:val="restart"/>
          </w:tcPr>
          <w:p w:rsidR="00582A00" w:rsidRPr="00785594" w:rsidRDefault="00582A00">
            <w:pPr>
              <w:pStyle w:val="Default"/>
              <w:keepNext/>
              <w:tabs>
                <w:tab w:val="left" w:pos="567"/>
              </w:tabs>
              <w:spacing w:line="260" w:lineRule="exact"/>
              <w:rPr>
                <w:lang w:val="el-GR"/>
              </w:rPr>
            </w:pPr>
            <w:r w:rsidRPr="00785594">
              <w:rPr>
                <w:sz w:val="22"/>
                <w:szCs w:val="22"/>
                <w:lang w:val="el-GR"/>
              </w:rPr>
              <w:lastRenderedPageBreak/>
              <w:t>Διαταραχές του δέρματος και του υποδόριου ιστού</w:t>
            </w:r>
          </w:p>
        </w:tc>
        <w:tc>
          <w:tcPr>
            <w:tcW w:w="2009" w:type="dxa"/>
          </w:tcPr>
          <w:p w:rsidR="00582A00" w:rsidRDefault="00582A00">
            <w:pPr>
              <w:pStyle w:val="Default"/>
              <w:keepNext/>
              <w:tabs>
                <w:tab w:val="left" w:pos="567"/>
              </w:tabs>
              <w:spacing w:line="260" w:lineRule="exact"/>
              <w:rPr>
                <w:lang w:val="el-GR"/>
              </w:rPr>
            </w:pPr>
            <w:r>
              <w:rPr>
                <w:sz w:val="22"/>
                <w:szCs w:val="22"/>
                <w:lang w:val="el-GR"/>
              </w:rPr>
              <w:t>Όχι συχνές</w:t>
            </w:r>
          </w:p>
        </w:tc>
        <w:tc>
          <w:tcPr>
            <w:tcW w:w="4511" w:type="dxa"/>
          </w:tcPr>
          <w:p w:rsidR="00582A00" w:rsidRDefault="00582A00">
            <w:pPr>
              <w:pStyle w:val="Default"/>
              <w:keepNext/>
              <w:tabs>
                <w:tab w:val="left" w:pos="567"/>
              </w:tabs>
              <w:spacing w:line="260" w:lineRule="exact"/>
              <w:rPr>
                <w:lang w:val="el-GR"/>
              </w:rPr>
            </w:pPr>
            <w:r>
              <w:rPr>
                <w:sz w:val="22"/>
                <w:szCs w:val="22"/>
                <w:lang w:val="el-GR"/>
              </w:rPr>
              <w:t>Δερματίτιδα, κνησμός, εξάνθημα, κνίδωση</w:t>
            </w:r>
          </w:p>
        </w:tc>
      </w:tr>
      <w:tr w:rsidR="00582A00">
        <w:tc>
          <w:tcPr>
            <w:tcW w:w="3259" w:type="dxa"/>
            <w:vMerge/>
          </w:tcPr>
          <w:p w:rsidR="00582A00" w:rsidRPr="00785594" w:rsidRDefault="00582A00">
            <w:pPr>
              <w:pStyle w:val="Default"/>
              <w:keepNext/>
              <w:tabs>
                <w:tab w:val="left" w:pos="567"/>
              </w:tabs>
              <w:spacing w:line="260" w:lineRule="exact"/>
              <w:rPr>
                <w:sz w:val="22"/>
                <w:szCs w:val="22"/>
                <w:lang w:val="el-GR"/>
              </w:rPr>
            </w:pPr>
          </w:p>
        </w:tc>
        <w:tc>
          <w:tcPr>
            <w:tcW w:w="2009" w:type="dxa"/>
          </w:tcPr>
          <w:p w:rsidR="00582A00" w:rsidRDefault="00582A00">
            <w:pPr>
              <w:pStyle w:val="Default"/>
              <w:keepNex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keepNext/>
              <w:tabs>
                <w:tab w:val="left" w:pos="567"/>
              </w:tabs>
              <w:spacing w:line="260" w:lineRule="exact"/>
              <w:rPr>
                <w:lang w:val="el-GR"/>
              </w:rPr>
            </w:pPr>
            <w:r>
              <w:rPr>
                <w:sz w:val="22"/>
                <w:szCs w:val="22"/>
                <w:lang w:val="el-GR"/>
              </w:rPr>
              <w:t>Αλωπεκία, φωτοευαισθησία</w:t>
            </w:r>
          </w:p>
        </w:tc>
      </w:tr>
      <w:tr w:rsidR="00582A00" w:rsidRPr="000B645F">
        <w:tc>
          <w:tcPr>
            <w:tcW w:w="3259" w:type="dxa"/>
            <w:vMerge/>
          </w:tcPr>
          <w:p w:rsidR="00582A00" w:rsidRPr="00785594" w:rsidRDefault="00582A00">
            <w:pPr>
              <w:pStyle w:val="Default"/>
              <w:keepNext/>
              <w:tabs>
                <w:tab w:val="left" w:pos="567"/>
              </w:tabs>
              <w:spacing w:line="260" w:lineRule="exact"/>
              <w:rPr>
                <w:rFonts w:ascii="Calibri" w:hAnsi="Calibri" w:cs="Calibri"/>
                <w:sz w:val="22"/>
                <w:szCs w:val="22"/>
                <w:lang w:val="en-GB"/>
              </w:rPr>
            </w:pPr>
          </w:p>
        </w:tc>
        <w:tc>
          <w:tcPr>
            <w:tcW w:w="2009" w:type="dxa"/>
          </w:tcPr>
          <w:p w:rsidR="00582A00" w:rsidRDefault="00582A00">
            <w:pPr>
              <w:pStyle w:val="Default"/>
              <w:keepNex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keepNext/>
              <w:tabs>
                <w:tab w:val="left" w:pos="567"/>
              </w:tabs>
              <w:spacing w:line="260" w:lineRule="exact"/>
              <w:rPr>
                <w:lang w:val="el-GR"/>
              </w:rPr>
            </w:pPr>
            <w:r>
              <w:rPr>
                <w:sz w:val="22"/>
                <w:szCs w:val="22"/>
                <w:lang w:val="el-GR"/>
              </w:rPr>
              <w:t>Πολύμορφο ερύθημα, σύνδρομο Stevens-Johnson, τοξική επιδερμική νεκρόλυση (TEN)</w:t>
            </w:r>
          </w:p>
        </w:tc>
      </w:tr>
      <w:tr w:rsidR="00582A00">
        <w:tc>
          <w:tcPr>
            <w:tcW w:w="3259" w:type="dxa"/>
            <w:vMerge w:val="restart"/>
          </w:tcPr>
          <w:p w:rsidR="00582A00" w:rsidRPr="00785594" w:rsidRDefault="00582A00">
            <w:pPr>
              <w:pStyle w:val="Default"/>
              <w:tabs>
                <w:tab w:val="left" w:pos="567"/>
              </w:tabs>
              <w:spacing w:line="260" w:lineRule="exact"/>
              <w:rPr>
                <w:lang w:val="el-GR"/>
              </w:rPr>
            </w:pPr>
            <w:r w:rsidRPr="00785594">
              <w:rPr>
                <w:sz w:val="22"/>
                <w:szCs w:val="22"/>
                <w:lang w:val="el-GR"/>
              </w:rPr>
              <w:t>Διαταραχές του μυοσκελετικού συστήματος, του συνδετικού ιστού και των οστών</w:t>
            </w: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Αρθραλγία, μυαλγία</w:t>
            </w:r>
          </w:p>
        </w:tc>
      </w:tr>
      <w:tr w:rsidR="00582A00">
        <w:tc>
          <w:tcPr>
            <w:tcW w:w="3259" w:type="dxa"/>
            <w:vMerge/>
          </w:tcPr>
          <w:p w:rsidR="00582A00" w:rsidRPr="00785594" w:rsidRDefault="00582A00">
            <w:pPr>
              <w:pStyle w:val="Default"/>
              <w:tabs>
                <w:tab w:val="left" w:pos="567"/>
              </w:tabs>
              <w:spacing w:line="260" w:lineRule="exact"/>
              <w:rPr>
                <w:rFonts w:ascii="Calibri" w:hAnsi="Calibri" w:cs="Calibri"/>
                <w:sz w:val="22"/>
                <w:szCs w:val="22"/>
                <w:lang w:val="en-GB"/>
              </w:rPr>
            </w:pPr>
          </w:p>
        </w:tc>
        <w:tc>
          <w:tcPr>
            <w:tcW w:w="2009" w:type="dxa"/>
          </w:tcPr>
          <w:p w:rsidR="00582A00" w:rsidRDefault="00582A00">
            <w:pPr>
              <w:pStyle w:val="Defaul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Μυϊκή αδυναμία</w:t>
            </w:r>
          </w:p>
        </w:tc>
      </w:tr>
      <w:tr w:rsidR="00582A00">
        <w:tc>
          <w:tcPr>
            <w:tcW w:w="3259" w:type="dxa"/>
          </w:tcPr>
          <w:p w:rsidR="00582A00" w:rsidRPr="005B77AA" w:rsidRDefault="00582A00">
            <w:pPr>
              <w:pStyle w:val="Default"/>
              <w:tabs>
                <w:tab w:val="left" w:pos="567"/>
              </w:tabs>
              <w:spacing w:line="260" w:lineRule="exact"/>
              <w:rPr>
                <w:rFonts w:ascii="Calibri" w:hAnsi="Calibri" w:cs="Calibri"/>
                <w:lang w:val="el-GR"/>
              </w:rPr>
            </w:pPr>
            <w:r w:rsidRPr="00785594">
              <w:rPr>
                <w:sz w:val="22"/>
                <w:szCs w:val="22"/>
                <w:lang w:val="el-GR"/>
              </w:rPr>
              <w:t>Διαταραχές των νεφρών και των ουροφόρων οδών</w:t>
            </w:r>
          </w:p>
        </w:tc>
        <w:tc>
          <w:tcPr>
            <w:tcW w:w="2009" w:type="dxa"/>
          </w:tcPr>
          <w:p w:rsidR="00582A00" w:rsidRDefault="00582A00">
            <w:pPr>
              <w:pStyle w:val="Defaul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Διάμεση νεφρίτιδα</w:t>
            </w:r>
          </w:p>
        </w:tc>
      </w:tr>
      <w:tr w:rsidR="00582A00">
        <w:tc>
          <w:tcPr>
            <w:tcW w:w="3259" w:type="dxa"/>
          </w:tcPr>
          <w:p w:rsidR="00582A00" w:rsidRPr="005B77AA" w:rsidRDefault="00582A00">
            <w:pPr>
              <w:pStyle w:val="Default"/>
              <w:tabs>
                <w:tab w:val="left" w:pos="567"/>
              </w:tabs>
              <w:spacing w:line="260" w:lineRule="exact"/>
              <w:rPr>
                <w:rFonts w:ascii="Calibri" w:hAnsi="Calibri" w:cs="Calibri"/>
                <w:lang w:val="el-GR"/>
              </w:rPr>
            </w:pPr>
            <w:r w:rsidRPr="00785594">
              <w:rPr>
                <w:sz w:val="22"/>
                <w:szCs w:val="22"/>
                <w:lang w:val="el-GR"/>
              </w:rPr>
              <w:t>Διαταραχές του αναπαραγωγικού συστήματος και του μαστού</w:t>
            </w:r>
          </w:p>
        </w:tc>
        <w:tc>
          <w:tcPr>
            <w:tcW w:w="2009" w:type="dxa"/>
          </w:tcPr>
          <w:p w:rsidR="00582A00" w:rsidRDefault="00582A00">
            <w:pPr>
              <w:pStyle w:val="Default"/>
              <w:tabs>
                <w:tab w:val="left" w:pos="567"/>
              </w:tabs>
              <w:spacing w:line="260" w:lineRule="exact"/>
              <w:rPr>
                <w:lang w:val="el-GR"/>
              </w:rPr>
            </w:pPr>
            <w:r>
              <w:rPr>
                <w:sz w:val="22"/>
                <w:szCs w:val="22"/>
                <w:lang w:val="el-GR"/>
              </w:rPr>
              <w:t>Πολύ 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Γυναικομαστία</w:t>
            </w:r>
          </w:p>
        </w:tc>
      </w:tr>
      <w:tr w:rsidR="00582A00">
        <w:tc>
          <w:tcPr>
            <w:tcW w:w="3259" w:type="dxa"/>
          </w:tcPr>
          <w:p w:rsidR="00582A00" w:rsidRPr="005B77AA" w:rsidRDefault="00582A00">
            <w:pPr>
              <w:pStyle w:val="Default"/>
              <w:tabs>
                <w:tab w:val="left" w:pos="567"/>
              </w:tabs>
              <w:spacing w:line="260" w:lineRule="exact"/>
              <w:rPr>
                <w:rFonts w:ascii="Calibri" w:hAnsi="Calibri" w:cs="Calibri"/>
                <w:lang w:val="el-GR"/>
              </w:rPr>
            </w:pPr>
            <w:r w:rsidRPr="00785594">
              <w:rPr>
                <w:sz w:val="22"/>
                <w:szCs w:val="22"/>
                <w:lang w:val="el-GR"/>
              </w:rPr>
              <w:t>Γενικές διαταραχές και καταστάσεις της οδού χορήγησης</w:t>
            </w:r>
          </w:p>
        </w:tc>
        <w:tc>
          <w:tcPr>
            <w:tcW w:w="2009" w:type="dxa"/>
          </w:tcPr>
          <w:p w:rsidR="00582A00" w:rsidRDefault="00582A00">
            <w:pPr>
              <w:pStyle w:val="Default"/>
              <w:tabs>
                <w:tab w:val="left" w:pos="567"/>
              </w:tabs>
              <w:spacing w:line="260" w:lineRule="exact"/>
              <w:rPr>
                <w:lang w:val="el-GR"/>
              </w:rPr>
            </w:pPr>
            <w:r>
              <w:rPr>
                <w:sz w:val="22"/>
                <w:szCs w:val="22"/>
                <w:lang w:val="el-GR"/>
              </w:rPr>
              <w:t>Σπάνιες</w:t>
            </w:r>
          </w:p>
        </w:tc>
        <w:tc>
          <w:tcPr>
            <w:tcW w:w="4511" w:type="dxa"/>
          </w:tcPr>
          <w:p w:rsidR="00582A00" w:rsidRDefault="00582A00">
            <w:pPr>
              <w:pStyle w:val="Default"/>
              <w:tabs>
                <w:tab w:val="left" w:pos="567"/>
              </w:tabs>
              <w:spacing w:line="260" w:lineRule="exact"/>
              <w:rPr>
                <w:lang w:val="el-GR"/>
              </w:rPr>
            </w:pPr>
            <w:r>
              <w:rPr>
                <w:sz w:val="22"/>
                <w:szCs w:val="22"/>
                <w:lang w:val="el-GR"/>
              </w:rPr>
              <w:t>Αδιαθεσία, αυξημένη εφίδρωση</w:t>
            </w:r>
          </w:p>
        </w:tc>
      </w:tr>
    </w:tbl>
    <w:p w:rsidR="00582A00" w:rsidRDefault="00582A00">
      <w:pPr>
        <w:tabs>
          <w:tab w:val="clear" w:pos="567"/>
        </w:tabs>
        <w:spacing w:line="240" w:lineRule="auto"/>
        <w:rPr>
          <w:rFonts w:ascii="Calibri" w:hAnsi="Calibri" w:cs="Calibri"/>
          <w:b/>
          <w:bCs/>
          <w:noProof/>
          <w:lang w:val="el-GR"/>
        </w:rPr>
      </w:pPr>
    </w:p>
    <w:p w:rsidR="00582A00" w:rsidRPr="00123257" w:rsidRDefault="00582A00" w:rsidP="00123257">
      <w:pPr>
        <w:widowControl w:val="0"/>
        <w:outlineLvl w:val="1"/>
        <w:rPr>
          <w:rFonts w:ascii="Calibri" w:hAnsi="Calibri" w:cs="Calibri"/>
          <w:noProof/>
          <w:lang w:val="en-US"/>
        </w:rPr>
      </w:pPr>
      <w:r w:rsidRPr="00785594">
        <w:rPr>
          <w:b/>
          <w:bCs/>
          <w:noProof/>
        </w:rPr>
        <w:t>4.9.</w:t>
      </w:r>
      <w:r w:rsidRPr="00785594">
        <w:rPr>
          <w:b/>
          <w:bCs/>
          <w:noProof/>
        </w:rPr>
        <w:tab/>
      </w:r>
      <w:r w:rsidRPr="00785594">
        <w:rPr>
          <w:b/>
          <w:bCs/>
          <w:lang w:val="el-GR"/>
        </w:rPr>
        <w:t>Υπερδοσολογία</w:t>
      </w:r>
    </w:p>
    <w:p w:rsidR="00582A00" w:rsidRDefault="00582A00">
      <w:pPr>
        <w:pStyle w:val="Default"/>
        <w:rPr>
          <w:lang w:val="el-GR"/>
        </w:rPr>
      </w:pPr>
      <w:r>
        <w:rPr>
          <w:sz w:val="22"/>
          <w:szCs w:val="22"/>
          <w:lang w:val="el-GR"/>
        </w:rPr>
        <w:t>Υπάρχει περιορισμένη εμπειρία έως σήμερα σχετικά με τη σκόπιμη υπερδοσολογία. Τα συμπτώματα που περιγράφηκαν σε σχέση με δόση 280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ήταν γαστρεντερικά συμπτώματα και αδυναμία. Εφάπαξ δόσεις 80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δεν προκάλεσαν κάποιο συμβάν. Δεν είναι γνωστό κάποιο ειδικό αντίδοτο. Η εσομεπραζόλη δεσμεύεται σε μεγάλο βαθμό στις πρωτεΐνες του πλάσματος και</w:t>
      </w:r>
      <w:r w:rsidR="00E556BC">
        <w:rPr>
          <w:sz w:val="22"/>
          <w:szCs w:val="22"/>
          <w:lang w:val="el-GR"/>
        </w:rPr>
        <w:t xml:space="preserve"> </w:t>
      </w:r>
      <w:r w:rsidR="00C87E8B">
        <w:rPr>
          <w:sz w:val="22"/>
          <w:szCs w:val="22"/>
          <w:lang w:val="el-GR"/>
        </w:rPr>
        <w:t>επομένως δεν μπορεί να απομακρυνθεί εύκολα με αιμοδιύλιση</w:t>
      </w:r>
      <w:r w:rsidRPr="00C87E8B">
        <w:rPr>
          <w:sz w:val="22"/>
          <w:szCs w:val="22"/>
          <w:lang w:val="el-GR"/>
        </w:rPr>
        <w:t>.</w:t>
      </w:r>
      <w:r>
        <w:rPr>
          <w:sz w:val="22"/>
          <w:szCs w:val="22"/>
          <w:lang w:val="el-GR"/>
        </w:rPr>
        <w:t xml:space="preserve"> Όπως σε οποιαδήποτε περίπτωση υπερδοσολογίας, η θεραπεία θα πρέπει να είναι συμπτωματική και θα πρέπει να χρησιμοποιούνται γενικά υποστηρικτικά μέτρα. </w:t>
      </w:r>
    </w:p>
    <w:p w:rsidR="00582A00" w:rsidRPr="00123257" w:rsidRDefault="00582A00">
      <w:pPr>
        <w:tabs>
          <w:tab w:val="clear" w:pos="567"/>
        </w:tabs>
        <w:spacing w:line="240" w:lineRule="auto"/>
        <w:rPr>
          <w:rFonts w:ascii="Calibri" w:hAnsi="Calibri" w:cs="Calibri"/>
          <w:noProof/>
          <w:lang w:val="en-US"/>
        </w:rPr>
      </w:pPr>
    </w:p>
    <w:p w:rsidR="00582A00" w:rsidRPr="00123257" w:rsidRDefault="00582A00" w:rsidP="00123257">
      <w:pPr>
        <w:widowControl w:val="0"/>
        <w:outlineLvl w:val="0"/>
        <w:rPr>
          <w:rFonts w:ascii="Calibri" w:hAnsi="Calibri" w:cs="Calibri"/>
          <w:noProof/>
          <w:lang w:val="en-US"/>
        </w:rPr>
      </w:pPr>
      <w:r w:rsidRPr="005B77AA">
        <w:rPr>
          <w:b/>
          <w:bCs/>
          <w:noProof/>
          <w:lang w:val="el-GR"/>
        </w:rPr>
        <w:t>5.</w:t>
      </w:r>
      <w:r w:rsidRPr="005B77AA">
        <w:rPr>
          <w:b/>
          <w:bCs/>
          <w:i/>
          <w:iCs/>
          <w:noProof/>
          <w:lang w:val="el-GR"/>
        </w:rPr>
        <w:tab/>
      </w:r>
      <w:r>
        <w:rPr>
          <w:b/>
          <w:bCs/>
          <w:lang w:val="el-GR"/>
        </w:rPr>
        <w:t>ΦΑΡΜΑΚΟΛΟΓΙΚΕΣ ΙΔΙΟΤΗΤΕΣ</w:t>
      </w:r>
    </w:p>
    <w:p w:rsidR="00582A00" w:rsidRPr="00123257" w:rsidRDefault="00582A00" w:rsidP="00123257">
      <w:pPr>
        <w:widowControl w:val="0"/>
        <w:tabs>
          <w:tab w:val="left" w:pos="600"/>
        </w:tabs>
        <w:outlineLvl w:val="1"/>
        <w:rPr>
          <w:rFonts w:ascii="Calibri" w:hAnsi="Calibri" w:cs="Calibri"/>
          <w:noProof/>
          <w:lang w:val="en-US"/>
        </w:rPr>
      </w:pPr>
      <w:r w:rsidRPr="005B77AA">
        <w:rPr>
          <w:b/>
          <w:bCs/>
          <w:noProof/>
          <w:lang w:val="el-GR"/>
        </w:rPr>
        <w:t>5.1</w:t>
      </w:r>
      <w:r w:rsidRPr="005B77AA">
        <w:rPr>
          <w:b/>
          <w:bCs/>
          <w:noProof/>
          <w:lang w:val="el-GR"/>
        </w:rPr>
        <w:tab/>
      </w:r>
      <w:r>
        <w:rPr>
          <w:b/>
          <w:bCs/>
          <w:lang w:val="el-GR"/>
        </w:rPr>
        <w:t>Φαρμακοδυναμικές ιδιότητες</w:t>
      </w:r>
    </w:p>
    <w:p w:rsidR="00582A00" w:rsidRDefault="00582A00">
      <w:pPr>
        <w:pStyle w:val="Default"/>
        <w:rPr>
          <w:lang w:val="el-GR"/>
        </w:rPr>
      </w:pPr>
      <w:r>
        <w:rPr>
          <w:sz w:val="22"/>
          <w:szCs w:val="22"/>
          <w:lang w:val="el-GR"/>
        </w:rPr>
        <w:t>Φαρμακοθεραπευτική κατηγορία: αναστολέας αντλίας πρωτονίων</w:t>
      </w:r>
    </w:p>
    <w:p w:rsidR="00582A00" w:rsidRPr="00123257" w:rsidRDefault="00582A00">
      <w:pPr>
        <w:pStyle w:val="Default"/>
        <w:rPr>
          <w:sz w:val="22"/>
          <w:szCs w:val="22"/>
          <w:lang w:val="en-US"/>
        </w:rPr>
      </w:pPr>
      <w:r>
        <w:rPr>
          <w:sz w:val="22"/>
          <w:szCs w:val="22"/>
          <w:lang w:val="el-GR"/>
        </w:rPr>
        <w:t xml:space="preserve">Κωδικός </w:t>
      </w:r>
      <w:r>
        <w:rPr>
          <w:sz w:val="22"/>
          <w:szCs w:val="22"/>
          <w:lang w:val="en-GB"/>
        </w:rPr>
        <w:t>ATC</w:t>
      </w:r>
      <w:r>
        <w:rPr>
          <w:sz w:val="22"/>
          <w:szCs w:val="22"/>
          <w:lang w:val="el-GR"/>
        </w:rPr>
        <w:t xml:space="preserve">: </w:t>
      </w:r>
      <w:r>
        <w:rPr>
          <w:sz w:val="22"/>
          <w:szCs w:val="22"/>
          <w:lang w:val="en-GB"/>
        </w:rPr>
        <w:t>A</w:t>
      </w:r>
      <w:r>
        <w:rPr>
          <w:sz w:val="22"/>
          <w:szCs w:val="22"/>
          <w:lang w:val="el-GR"/>
        </w:rPr>
        <w:t>02</w:t>
      </w:r>
      <w:r>
        <w:rPr>
          <w:sz w:val="22"/>
          <w:szCs w:val="22"/>
          <w:lang w:val="en-GB"/>
        </w:rPr>
        <w:t>B</w:t>
      </w:r>
      <w:r w:rsidRPr="005B77AA">
        <w:rPr>
          <w:sz w:val="22"/>
          <w:szCs w:val="22"/>
          <w:lang w:val="el-GR"/>
        </w:rPr>
        <w:t xml:space="preserve"> </w:t>
      </w:r>
      <w:r>
        <w:rPr>
          <w:sz w:val="22"/>
          <w:szCs w:val="22"/>
          <w:lang w:val="en-GB"/>
        </w:rPr>
        <w:t>C</w:t>
      </w:r>
      <w:r>
        <w:rPr>
          <w:sz w:val="22"/>
          <w:szCs w:val="22"/>
          <w:lang w:val="el-GR"/>
        </w:rPr>
        <w:t>05</w:t>
      </w:r>
    </w:p>
    <w:p w:rsidR="00582A00" w:rsidRDefault="00582A00">
      <w:pPr>
        <w:pStyle w:val="Default"/>
        <w:rPr>
          <w:lang w:val="el-GR"/>
        </w:rPr>
      </w:pPr>
      <w:r>
        <w:rPr>
          <w:sz w:val="22"/>
          <w:szCs w:val="22"/>
          <w:lang w:val="el-GR"/>
        </w:rPr>
        <w:t xml:space="preserve">Η εσομεπραζόλη είναι το </w:t>
      </w:r>
      <w:r>
        <w:rPr>
          <w:sz w:val="22"/>
          <w:szCs w:val="22"/>
          <w:lang w:val="en-GB"/>
        </w:rPr>
        <w:t>S</w:t>
      </w:r>
      <w:r w:rsidRPr="005B77AA">
        <w:rPr>
          <w:sz w:val="22"/>
          <w:szCs w:val="22"/>
          <w:lang w:val="el-GR"/>
        </w:rPr>
        <w:t xml:space="preserve"> </w:t>
      </w:r>
      <w:r>
        <w:rPr>
          <w:sz w:val="22"/>
          <w:szCs w:val="22"/>
          <w:lang w:val="el-GR"/>
        </w:rPr>
        <w:t xml:space="preserve">ισομερές της ομεπραζόλης και μειώνει την έκκριση γαστρικού οξέος μέσω ενός ειδικού στοχευμένου μηχανισμού δράσης. Είναι ειδικός αναστολέας της αντλίας οξέος στο τοιχωματικό κύτταρο. Τόσο το </w:t>
      </w:r>
      <w:r>
        <w:rPr>
          <w:sz w:val="22"/>
          <w:szCs w:val="22"/>
          <w:lang w:val="en-GB"/>
        </w:rPr>
        <w:t>R</w:t>
      </w:r>
      <w:r>
        <w:rPr>
          <w:sz w:val="22"/>
          <w:szCs w:val="22"/>
          <w:lang w:val="el-GR"/>
        </w:rPr>
        <w:t xml:space="preserve">- όσο και το </w:t>
      </w:r>
      <w:r>
        <w:rPr>
          <w:sz w:val="22"/>
          <w:szCs w:val="22"/>
          <w:lang w:val="en-GB"/>
        </w:rPr>
        <w:t>S</w:t>
      </w:r>
      <w:r>
        <w:rPr>
          <w:sz w:val="22"/>
          <w:szCs w:val="22"/>
          <w:lang w:val="el-GR"/>
        </w:rPr>
        <w:t xml:space="preserve">-ισομερές της ομεπραζόλης έχουν παρόμοια φαρμακοδυναμική δραστικότητα. </w:t>
      </w:r>
    </w:p>
    <w:p w:rsidR="00582A00" w:rsidRDefault="00582A00">
      <w:pPr>
        <w:pStyle w:val="Default"/>
        <w:rPr>
          <w:sz w:val="22"/>
          <w:szCs w:val="22"/>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Θέση και μηχανισμός δράσης</w:t>
      </w:r>
    </w:p>
    <w:p w:rsidR="00582A00" w:rsidRPr="005B77AA" w:rsidRDefault="00582A00">
      <w:pPr>
        <w:pStyle w:val="Default"/>
        <w:rPr>
          <w:rFonts w:ascii="Calibri" w:hAnsi="Calibri" w:cs="Calibri"/>
          <w:lang w:val="el-GR"/>
        </w:rPr>
      </w:pPr>
      <w:r>
        <w:rPr>
          <w:sz w:val="22"/>
          <w:szCs w:val="22"/>
          <w:lang w:val="el-GR"/>
        </w:rPr>
        <w:t>Η εσομεπραζόλη είναι μια ασθενής βάση και συμπυκνώνεται και μετατρέπεται στη δραστική μορφή στο εξαιρετικά όξινο περιβάλλον των εκκριτικών σωληναρίων του τοιχωματικού κυττάρου</w:t>
      </w:r>
      <w:r w:rsidRPr="005B77AA">
        <w:rPr>
          <w:sz w:val="22"/>
          <w:szCs w:val="22"/>
          <w:lang w:val="el-GR"/>
        </w:rPr>
        <w:t xml:space="preserve">, </w:t>
      </w:r>
      <w:r>
        <w:rPr>
          <w:sz w:val="22"/>
          <w:szCs w:val="22"/>
          <w:lang w:val="el-GR"/>
        </w:rPr>
        <w:t xml:space="preserve">όπου αναστέλλει το ένζυμο </w:t>
      </w:r>
      <w:r>
        <w:rPr>
          <w:sz w:val="22"/>
          <w:szCs w:val="22"/>
          <w:lang w:val="en-GB"/>
        </w:rPr>
        <w:t>H</w:t>
      </w:r>
      <w:r w:rsidRPr="005B77AA">
        <w:rPr>
          <w:sz w:val="22"/>
          <w:szCs w:val="22"/>
          <w:vertAlign w:val="superscript"/>
          <w:lang w:val="el-GR"/>
        </w:rPr>
        <w:t>+</w:t>
      </w:r>
      <w:r>
        <w:rPr>
          <w:sz w:val="22"/>
          <w:szCs w:val="22"/>
          <w:lang w:val="en-GB"/>
        </w:rPr>
        <w:t>K</w:t>
      </w:r>
      <w:r w:rsidRPr="005B77AA">
        <w:rPr>
          <w:sz w:val="22"/>
          <w:szCs w:val="22"/>
          <w:vertAlign w:val="superscript"/>
          <w:lang w:val="el-GR"/>
        </w:rPr>
        <w:t>+</w:t>
      </w:r>
      <w:r w:rsidRPr="005B77AA">
        <w:rPr>
          <w:sz w:val="22"/>
          <w:szCs w:val="22"/>
          <w:lang w:val="el-GR"/>
        </w:rPr>
        <w:t>-</w:t>
      </w:r>
      <w:r>
        <w:rPr>
          <w:sz w:val="22"/>
          <w:szCs w:val="22"/>
          <w:lang w:val="en-GB"/>
        </w:rPr>
        <w:t>ATP</w:t>
      </w:r>
      <w:r>
        <w:rPr>
          <w:sz w:val="22"/>
          <w:szCs w:val="22"/>
          <w:lang w:val="el-GR"/>
        </w:rPr>
        <w:t xml:space="preserve">άση </w:t>
      </w:r>
      <w:r w:rsidRPr="005B77AA">
        <w:rPr>
          <w:sz w:val="22"/>
          <w:szCs w:val="22"/>
          <w:lang w:val="el-GR"/>
        </w:rPr>
        <w:t xml:space="preserve">– </w:t>
      </w:r>
      <w:r>
        <w:rPr>
          <w:sz w:val="22"/>
          <w:szCs w:val="22"/>
          <w:lang w:val="el-GR"/>
        </w:rPr>
        <w:t>την αντλία οξέων και αναστέλλει τη βασική, καθώς και τη διεγερμένη έκκριση οξέος</w:t>
      </w:r>
      <w:r w:rsidRPr="005B77AA">
        <w:rPr>
          <w:sz w:val="22"/>
          <w:szCs w:val="22"/>
          <w:lang w:val="el-GR"/>
        </w:rPr>
        <w:t xml:space="preserve">. </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Επίδραση στην έκκριση γαστρικού οξέος</w:t>
      </w:r>
    </w:p>
    <w:p w:rsidR="00582A00" w:rsidRPr="00123257" w:rsidRDefault="00582A00">
      <w:pPr>
        <w:pStyle w:val="Default"/>
        <w:rPr>
          <w:rFonts w:ascii="Calibri" w:hAnsi="Calibri" w:cs="Calibri"/>
          <w:sz w:val="22"/>
          <w:szCs w:val="22"/>
          <w:lang w:val="en-US"/>
        </w:rPr>
      </w:pPr>
      <w:r>
        <w:rPr>
          <w:sz w:val="22"/>
          <w:szCs w:val="22"/>
          <w:lang w:val="el-GR"/>
        </w:rPr>
        <w:t>Μετά τη χορήγηση δόσης</w:t>
      </w:r>
      <w:r w:rsidRPr="005B77AA">
        <w:rPr>
          <w:sz w:val="22"/>
          <w:szCs w:val="22"/>
          <w:lang w:val="el-GR"/>
        </w:rPr>
        <w:t xml:space="preserve">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και</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από του στόματος</w:t>
      </w:r>
      <w:r w:rsidRPr="005B77AA">
        <w:rPr>
          <w:sz w:val="22"/>
          <w:szCs w:val="22"/>
          <w:lang w:val="el-GR"/>
        </w:rPr>
        <w:t xml:space="preserve">, </w:t>
      </w:r>
      <w:r>
        <w:rPr>
          <w:sz w:val="22"/>
          <w:szCs w:val="22"/>
          <w:lang w:val="el-GR"/>
        </w:rPr>
        <w:t>η έναρξη της δράσης πραγματοποιείται εντός μίας ώρας</w:t>
      </w:r>
      <w:r w:rsidRPr="005B77AA">
        <w:rPr>
          <w:sz w:val="22"/>
          <w:szCs w:val="22"/>
          <w:lang w:val="el-GR"/>
        </w:rPr>
        <w:t xml:space="preserve">. </w:t>
      </w:r>
      <w:r>
        <w:rPr>
          <w:sz w:val="22"/>
          <w:szCs w:val="22"/>
          <w:lang w:val="el-GR"/>
        </w:rPr>
        <w:t>Μετά από επαναλαμβανόμενη χορήγηση</w:t>
      </w:r>
      <w:r w:rsidRPr="005B77AA">
        <w:rPr>
          <w:sz w:val="22"/>
          <w:szCs w:val="22"/>
          <w:lang w:val="el-GR"/>
        </w:rPr>
        <w:t xml:space="preserve">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μία φορά την ημέρα επί πέντε ημέρες</w:t>
      </w:r>
      <w:r w:rsidRPr="005B77AA">
        <w:rPr>
          <w:sz w:val="22"/>
          <w:szCs w:val="22"/>
          <w:lang w:val="el-GR"/>
        </w:rPr>
        <w:t xml:space="preserve">, </w:t>
      </w:r>
      <w:r>
        <w:rPr>
          <w:sz w:val="22"/>
          <w:szCs w:val="22"/>
          <w:lang w:val="el-GR"/>
        </w:rPr>
        <w:t>η μέση μέγιστη παραγωγή οξέος μετά από διέγερση πενταγαστρίνης μειώνεται κατά</w:t>
      </w:r>
      <w:r w:rsidRPr="005B77AA">
        <w:rPr>
          <w:sz w:val="22"/>
          <w:szCs w:val="22"/>
          <w:lang w:val="el-GR"/>
        </w:rPr>
        <w:t xml:space="preserve"> 90% </w:t>
      </w:r>
      <w:r>
        <w:rPr>
          <w:sz w:val="22"/>
          <w:szCs w:val="22"/>
          <w:lang w:val="el-GR"/>
        </w:rPr>
        <w:t>όταν μετράται</w:t>
      </w:r>
      <w:r w:rsidRPr="005B77AA">
        <w:rPr>
          <w:sz w:val="22"/>
          <w:szCs w:val="22"/>
          <w:lang w:val="el-GR"/>
        </w:rPr>
        <w:t xml:space="preserve"> 6</w:t>
      </w:r>
      <w:r w:rsidRPr="005B77AA">
        <w:rPr>
          <w:sz w:val="22"/>
          <w:szCs w:val="22"/>
          <w:lang w:val="el-GR"/>
        </w:rPr>
        <w:noBreakHyphen/>
        <w:t xml:space="preserve">7 </w:t>
      </w:r>
      <w:r>
        <w:rPr>
          <w:sz w:val="22"/>
          <w:szCs w:val="22"/>
          <w:lang w:val="el-GR"/>
        </w:rPr>
        <w:t>ώρες μετά τη χορήγηση της δόσης κατά την ημέρα πέντε</w:t>
      </w:r>
      <w:r w:rsidRPr="005B77AA">
        <w:rPr>
          <w:sz w:val="22"/>
          <w:szCs w:val="22"/>
          <w:lang w:val="el-GR"/>
        </w:rPr>
        <w:t>.</w:t>
      </w:r>
    </w:p>
    <w:p w:rsidR="00582A00" w:rsidRPr="00123257" w:rsidRDefault="00582A00">
      <w:pPr>
        <w:pStyle w:val="Default"/>
        <w:rPr>
          <w:rFonts w:ascii="Calibri" w:hAnsi="Calibri" w:cs="Calibri"/>
          <w:sz w:val="22"/>
          <w:szCs w:val="22"/>
          <w:lang w:val="en-US"/>
        </w:rPr>
      </w:pPr>
      <w:r>
        <w:rPr>
          <w:sz w:val="22"/>
          <w:szCs w:val="22"/>
          <w:lang w:val="el-GR"/>
        </w:rPr>
        <w:t>Μετά από πέντε ημέρες χορήγησης δόσης από του στόματος με</w:t>
      </w:r>
      <w:r w:rsidRPr="005B77AA">
        <w:rPr>
          <w:sz w:val="22"/>
          <w:szCs w:val="22"/>
          <w:lang w:val="el-GR"/>
        </w:rPr>
        <w:t xml:space="preserve">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και</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w:t>
      </w:r>
      <w:r w:rsidRPr="005B77AA">
        <w:rPr>
          <w:sz w:val="22"/>
          <w:szCs w:val="22"/>
          <w:lang w:val="el-GR"/>
        </w:rPr>
        <w:t xml:space="preserve">, </w:t>
      </w:r>
      <w:r>
        <w:rPr>
          <w:sz w:val="22"/>
          <w:szCs w:val="22"/>
          <w:lang w:val="el-GR"/>
        </w:rPr>
        <w:t xml:space="preserve">διατηρήθηκε ενδογαστρικό </w:t>
      </w:r>
      <w:r>
        <w:rPr>
          <w:sz w:val="22"/>
          <w:szCs w:val="22"/>
          <w:lang w:val="en-GB"/>
        </w:rPr>
        <w:t>pH</w:t>
      </w:r>
      <w:r w:rsidRPr="005B77AA">
        <w:rPr>
          <w:sz w:val="22"/>
          <w:szCs w:val="22"/>
          <w:lang w:val="el-GR"/>
        </w:rPr>
        <w:t xml:space="preserve"> </w:t>
      </w:r>
      <w:r>
        <w:rPr>
          <w:sz w:val="22"/>
          <w:szCs w:val="22"/>
          <w:lang w:val="el-GR"/>
        </w:rPr>
        <w:t>υψηλότερο από</w:t>
      </w:r>
      <w:r w:rsidRPr="005B77AA">
        <w:rPr>
          <w:sz w:val="22"/>
          <w:szCs w:val="22"/>
          <w:lang w:val="el-GR"/>
        </w:rPr>
        <w:t xml:space="preserve"> 4 </w:t>
      </w:r>
      <w:r>
        <w:rPr>
          <w:sz w:val="22"/>
          <w:szCs w:val="22"/>
          <w:lang w:val="el-GR"/>
        </w:rPr>
        <w:t>για μέσο χρόνο</w:t>
      </w:r>
      <w:r w:rsidRPr="005B77AA">
        <w:rPr>
          <w:sz w:val="22"/>
          <w:szCs w:val="22"/>
          <w:lang w:val="el-GR"/>
        </w:rPr>
        <w:t xml:space="preserve"> 13 </w:t>
      </w:r>
      <w:r>
        <w:rPr>
          <w:sz w:val="22"/>
          <w:szCs w:val="22"/>
          <w:lang w:val="el-GR"/>
        </w:rPr>
        <w:t>ωρών και</w:t>
      </w:r>
      <w:r w:rsidRPr="005B77AA">
        <w:rPr>
          <w:sz w:val="22"/>
          <w:szCs w:val="22"/>
          <w:lang w:val="el-GR"/>
        </w:rPr>
        <w:t xml:space="preserve"> 17 </w:t>
      </w:r>
      <w:r>
        <w:rPr>
          <w:sz w:val="22"/>
          <w:szCs w:val="22"/>
          <w:lang w:val="el-GR"/>
        </w:rPr>
        <w:t>ωρών</w:t>
      </w:r>
      <w:r w:rsidRPr="005B77AA">
        <w:rPr>
          <w:sz w:val="22"/>
          <w:szCs w:val="22"/>
          <w:lang w:val="el-GR"/>
        </w:rPr>
        <w:t xml:space="preserve">, </w:t>
      </w:r>
      <w:r>
        <w:rPr>
          <w:sz w:val="22"/>
          <w:szCs w:val="22"/>
          <w:lang w:val="el-GR"/>
        </w:rPr>
        <w:t>αντίστοιχα</w:t>
      </w:r>
      <w:r w:rsidRPr="005B77AA">
        <w:rPr>
          <w:sz w:val="22"/>
          <w:szCs w:val="22"/>
          <w:lang w:val="el-GR"/>
        </w:rPr>
        <w:t xml:space="preserve">, </w:t>
      </w:r>
      <w:r>
        <w:rPr>
          <w:sz w:val="22"/>
          <w:szCs w:val="22"/>
          <w:lang w:val="el-GR"/>
        </w:rPr>
        <w:t>σε διάστημα</w:t>
      </w:r>
      <w:r w:rsidRPr="005B77AA">
        <w:rPr>
          <w:sz w:val="22"/>
          <w:szCs w:val="22"/>
          <w:lang w:val="el-GR"/>
        </w:rPr>
        <w:t xml:space="preserve"> 24 </w:t>
      </w:r>
      <w:r>
        <w:rPr>
          <w:sz w:val="22"/>
          <w:szCs w:val="22"/>
          <w:lang w:val="el-GR"/>
        </w:rPr>
        <w:t>ωρών σε ασθενείς με συμπτωματική ΓΟΠ</w:t>
      </w:r>
      <w:r w:rsidRPr="005B77AA">
        <w:rPr>
          <w:sz w:val="22"/>
          <w:szCs w:val="22"/>
          <w:lang w:val="el-GR"/>
        </w:rPr>
        <w:t xml:space="preserve">. </w:t>
      </w:r>
      <w:r>
        <w:rPr>
          <w:sz w:val="22"/>
          <w:szCs w:val="22"/>
          <w:lang w:val="el-GR"/>
        </w:rPr>
        <w:t xml:space="preserve">Η αναλογία των ασθενών που διατηρούν το ενδογαστρικό </w:t>
      </w:r>
      <w:r>
        <w:rPr>
          <w:sz w:val="22"/>
          <w:szCs w:val="22"/>
          <w:lang w:val="en-GB"/>
        </w:rPr>
        <w:t>pH</w:t>
      </w:r>
      <w:r w:rsidRPr="005B77AA">
        <w:rPr>
          <w:sz w:val="22"/>
          <w:szCs w:val="22"/>
          <w:lang w:val="el-GR"/>
        </w:rPr>
        <w:t xml:space="preserve"> </w:t>
      </w:r>
      <w:r>
        <w:rPr>
          <w:sz w:val="22"/>
          <w:szCs w:val="22"/>
          <w:lang w:val="el-GR"/>
        </w:rPr>
        <w:t>υψηλότερο από</w:t>
      </w:r>
      <w:r w:rsidRPr="005B77AA">
        <w:rPr>
          <w:sz w:val="22"/>
          <w:szCs w:val="22"/>
          <w:lang w:val="el-GR"/>
        </w:rPr>
        <w:t xml:space="preserve"> 4 </w:t>
      </w:r>
      <w:r>
        <w:rPr>
          <w:sz w:val="22"/>
          <w:szCs w:val="22"/>
          <w:lang w:val="el-GR"/>
        </w:rPr>
        <w:t>επί</w:t>
      </w:r>
      <w:r w:rsidRPr="005B77AA">
        <w:rPr>
          <w:sz w:val="22"/>
          <w:szCs w:val="22"/>
          <w:lang w:val="el-GR"/>
        </w:rPr>
        <w:t xml:space="preserve"> 8, 12 </w:t>
      </w:r>
      <w:r>
        <w:rPr>
          <w:sz w:val="22"/>
          <w:szCs w:val="22"/>
          <w:lang w:val="el-GR"/>
        </w:rPr>
        <w:t>και</w:t>
      </w:r>
      <w:r w:rsidRPr="005B77AA">
        <w:rPr>
          <w:sz w:val="22"/>
          <w:szCs w:val="22"/>
          <w:lang w:val="el-GR"/>
        </w:rPr>
        <w:t xml:space="preserve"> 16 </w:t>
      </w:r>
      <w:r>
        <w:rPr>
          <w:sz w:val="22"/>
          <w:szCs w:val="22"/>
          <w:lang w:val="el-GR"/>
        </w:rPr>
        <w:t>ώρες τουλάχιστον</w:t>
      </w:r>
      <w:r w:rsidRPr="005B77AA">
        <w:rPr>
          <w:sz w:val="22"/>
          <w:szCs w:val="22"/>
          <w:lang w:val="el-GR"/>
        </w:rPr>
        <w:t xml:space="preserve">, </w:t>
      </w:r>
      <w:r>
        <w:rPr>
          <w:sz w:val="22"/>
          <w:szCs w:val="22"/>
          <w:lang w:val="el-GR"/>
        </w:rPr>
        <w:t>αντίστοιχα</w:t>
      </w:r>
      <w:r w:rsidRPr="005B77AA">
        <w:rPr>
          <w:sz w:val="22"/>
          <w:szCs w:val="22"/>
          <w:lang w:val="el-GR"/>
        </w:rPr>
        <w:t xml:space="preserve">, </w:t>
      </w:r>
      <w:r>
        <w:rPr>
          <w:sz w:val="22"/>
          <w:szCs w:val="22"/>
          <w:lang w:val="el-GR"/>
        </w:rPr>
        <w:t>ήταν για</w:t>
      </w:r>
      <w:r w:rsidRPr="005B77AA">
        <w:rPr>
          <w:sz w:val="22"/>
          <w:szCs w:val="22"/>
          <w:lang w:val="el-GR"/>
        </w:rPr>
        <w:t xml:space="preserve">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w:t>
      </w:r>
      <w:r w:rsidRPr="005B77AA">
        <w:rPr>
          <w:sz w:val="22"/>
          <w:szCs w:val="22"/>
          <w:lang w:val="el-GR"/>
        </w:rPr>
        <w:t xml:space="preserve"> 76%, 54% </w:t>
      </w:r>
      <w:r>
        <w:rPr>
          <w:sz w:val="22"/>
          <w:szCs w:val="22"/>
          <w:lang w:val="el-GR"/>
        </w:rPr>
        <w:t>και</w:t>
      </w:r>
      <w:r w:rsidRPr="005B77AA">
        <w:rPr>
          <w:sz w:val="22"/>
          <w:szCs w:val="22"/>
          <w:lang w:val="el-GR"/>
        </w:rPr>
        <w:t xml:space="preserve"> 24%. </w:t>
      </w:r>
      <w:r>
        <w:rPr>
          <w:sz w:val="22"/>
          <w:szCs w:val="22"/>
          <w:lang w:val="el-GR"/>
        </w:rPr>
        <w:t>Οι αντίστοιχες αναλογίες για τα</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ήταν</w:t>
      </w:r>
      <w:r w:rsidRPr="005B77AA">
        <w:rPr>
          <w:sz w:val="22"/>
          <w:szCs w:val="22"/>
          <w:lang w:val="el-GR"/>
        </w:rPr>
        <w:t xml:space="preserve"> 97%, 92% </w:t>
      </w:r>
      <w:r>
        <w:rPr>
          <w:sz w:val="22"/>
          <w:szCs w:val="22"/>
          <w:lang w:val="el-GR"/>
        </w:rPr>
        <w:t>και</w:t>
      </w:r>
      <w:r w:rsidRPr="005B77AA">
        <w:rPr>
          <w:sz w:val="22"/>
          <w:szCs w:val="22"/>
          <w:lang w:val="el-GR"/>
        </w:rPr>
        <w:t xml:space="preserve"> 56%. </w:t>
      </w:r>
    </w:p>
    <w:p w:rsidR="00582A00" w:rsidRPr="005B77AA" w:rsidRDefault="00582A00">
      <w:pPr>
        <w:pStyle w:val="Default"/>
        <w:rPr>
          <w:rFonts w:ascii="Calibri" w:hAnsi="Calibri" w:cs="Calibri"/>
          <w:lang w:val="el-GR"/>
        </w:rPr>
      </w:pPr>
      <w:r>
        <w:rPr>
          <w:sz w:val="22"/>
          <w:szCs w:val="22"/>
          <w:lang w:val="el-GR"/>
        </w:rPr>
        <w:t xml:space="preserve">Με τη χρήση του </w:t>
      </w:r>
      <w:r>
        <w:rPr>
          <w:sz w:val="22"/>
          <w:szCs w:val="22"/>
          <w:lang w:val="en-GB"/>
        </w:rPr>
        <w:t>AUC</w:t>
      </w:r>
      <w:r w:rsidRPr="005B77AA">
        <w:rPr>
          <w:sz w:val="22"/>
          <w:szCs w:val="22"/>
          <w:lang w:val="el-GR"/>
        </w:rPr>
        <w:t xml:space="preserve"> </w:t>
      </w:r>
      <w:r>
        <w:rPr>
          <w:sz w:val="22"/>
          <w:szCs w:val="22"/>
          <w:lang w:val="el-GR"/>
        </w:rPr>
        <w:t>ως αναπληρωματικής παραμέτρου για τη συγκέντρωση στο πλάσμα</w:t>
      </w:r>
      <w:r w:rsidRPr="005B77AA">
        <w:rPr>
          <w:sz w:val="22"/>
          <w:szCs w:val="22"/>
          <w:lang w:val="el-GR"/>
        </w:rPr>
        <w:t xml:space="preserve">, </w:t>
      </w:r>
      <w:r>
        <w:rPr>
          <w:sz w:val="22"/>
          <w:szCs w:val="22"/>
          <w:lang w:val="el-GR"/>
        </w:rPr>
        <w:t>έχει φανεί μια σχέση μεταξύ της αναστολής της έκκρισης οξέος και της έκθεσης</w:t>
      </w:r>
      <w:r w:rsidRPr="005B77AA">
        <w:rPr>
          <w:sz w:val="22"/>
          <w:szCs w:val="22"/>
          <w:lang w:val="el-GR"/>
        </w:rPr>
        <w:t xml:space="preserve">. </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Θεραπευτικές επιδράσεις της αναστολής του οξέος</w:t>
      </w:r>
    </w:p>
    <w:p w:rsidR="00582A00" w:rsidRPr="005B77AA" w:rsidRDefault="00582A00">
      <w:pPr>
        <w:pStyle w:val="Default"/>
        <w:rPr>
          <w:rFonts w:ascii="Calibri" w:hAnsi="Calibri" w:cs="Calibri"/>
          <w:sz w:val="22"/>
          <w:szCs w:val="22"/>
          <w:lang w:val="el-GR"/>
        </w:rPr>
      </w:pPr>
      <w:r>
        <w:rPr>
          <w:sz w:val="22"/>
          <w:szCs w:val="22"/>
          <w:lang w:val="el-GR"/>
        </w:rPr>
        <w:t>Η επούλωση της οισοφαγίτιδας από παλινδρόμηση με</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παρατηρείται σε περίπου</w:t>
      </w:r>
      <w:r w:rsidRPr="005B77AA">
        <w:rPr>
          <w:sz w:val="22"/>
          <w:szCs w:val="22"/>
          <w:lang w:val="el-GR"/>
        </w:rPr>
        <w:t xml:space="preserve"> 78% </w:t>
      </w:r>
      <w:r>
        <w:rPr>
          <w:sz w:val="22"/>
          <w:szCs w:val="22"/>
          <w:lang w:val="el-GR"/>
        </w:rPr>
        <w:t>ασθενών μετά από τέσσερις εβδομάδες και σε</w:t>
      </w:r>
      <w:r w:rsidRPr="005B77AA">
        <w:rPr>
          <w:sz w:val="22"/>
          <w:szCs w:val="22"/>
          <w:lang w:val="el-GR"/>
        </w:rPr>
        <w:t xml:space="preserve"> 93% </w:t>
      </w:r>
      <w:r>
        <w:rPr>
          <w:sz w:val="22"/>
          <w:szCs w:val="22"/>
          <w:lang w:val="el-GR"/>
        </w:rPr>
        <w:t>μετά από οκτώ εβδομάδες</w:t>
      </w:r>
      <w:r w:rsidRPr="005B77AA">
        <w:rPr>
          <w:sz w:val="22"/>
          <w:szCs w:val="22"/>
          <w:lang w:val="el-GR"/>
        </w:rPr>
        <w:t>.</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lang w:val="el-GR"/>
        </w:rPr>
      </w:pPr>
      <w:r>
        <w:rPr>
          <w:sz w:val="22"/>
          <w:szCs w:val="22"/>
          <w:lang w:val="el-GR"/>
        </w:rPr>
        <w:lastRenderedPageBreak/>
        <w:t>Η θεραπεία διάρκειας μίας εβδομάδας με</w:t>
      </w:r>
      <w:r w:rsidRPr="005B77AA">
        <w:rPr>
          <w:sz w:val="22"/>
          <w:szCs w:val="22"/>
          <w:lang w:val="el-GR"/>
        </w:rPr>
        <w:t xml:space="preserve">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δύο φορές την ημέρα και κατάλληλα αντιβιοτικά</w:t>
      </w:r>
      <w:r w:rsidRPr="005B77AA">
        <w:rPr>
          <w:sz w:val="22"/>
          <w:szCs w:val="22"/>
          <w:lang w:val="el-GR"/>
        </w:rPr>
        <w:t xml:space="preserve">, </w:t>
      </w:r>
      <w:r>
        <w:rPr>
          <w:sz w:val="22"/>
          <w:szCs w:val="22"/>
          <w:lang w:val="el-GR"/>
        </w:rPr>
        <w:t xml:space="preserve">οδηγεί σε επιτυχημένη εκρίζωση του </w:t>
      </w:r>
      <w:r>
        <w:rPr>
          <w:i/>
          <w:iCs/>
          <w:sz w:val="22"/>
          <w:szCs w:val="22"/>
          <w:lang w:val="en-GB"/>
        </w:rPr>
        <w:t>H</w:t>
      </w:r>
      <w:r w:rsidRPr="005B77AA">
        <w:rPr>
          <w:i/>
          <w:iCs/>
          <w:sz w:val="22"/>
          <w:szCs w:val="22"/>
          <w:lang w:val="el-GR"/>
        </w:rPr>
        <w:t xml:space="preserve">. </w:t>
      </w:r>
      <w:r>
        <w:rPr>
          <w:i/>
          <w:iCs/>
          <w:sz w:val="22"/>
          <w:szCs w:val="22"/>
          <w:lang w:val="en-GB"/>
        </w:rPr>
        <w:t>pylori</w:t>
      </w:r>
      <w:r w:rsidRPr="005B77AA">
        <w:rPr>
          <w:i/>
          <w:iCs/>
          <w:sz w:val="22"/>
          <w:szCs w:val="22"/>
          <w:lang w:val="el-GR"/>
        </w:rPr>
        <w:t xml:space="preserve"> </w:t>
      </w:r>
      <w:r>
        <w:rPr>
          <w:sz w:val="22"/>
          <w:szCs w:val="22"/>
          <w:lang w:val="el-GR"/>
        </w:rPr>
        <w:t>σε περίπου</w:t>
      </w:r>
      <w:r w:rsidRPr="005B77AA">
        <w:rPr>
          <w:sz w:val="22"/>
          <w:szCs w:val="22"/>
          <w:lang w:val="el-GR"/>
        </w:rPr>
        <w:t xml:space="preserve"> 90% </w:t>
      </w:r>
      <w:r>
        <w:rPr>
          <w:sz w:val="22"/>
          <w:szCs w:val="22"/>
          <w:lang w:val="el-GR"/>
        </w:rPr>
        <w:t>των ασθενών</w:t>
      </w:r>
      <w:r w:rsidRPr="005B77AA">
        <w:rPr>
          <w:sz w:val="22"/>
          <w:szCs w:val="22"/>
          <w:lang w:val="el-GR"/>
        </w:rPr>
        <w:t xml:space="preserve">. </w:t>
      </w:r>
    </w:p>
    <w:p w:rsidR="00582A00" w:rsidRPr="00123257" w:rsidRDefault="00582A00">
      <w:pPr>
        <w:pStyle w:val="Default"/>
        <w:rPr>
          <w:rFonts w:ascii="Calibri" w:hAnsi="Calibri" w:cs="Calibri"/>
          <w:sz w:val="22"/>
          <w:szCs w:val="22"/>
          <w:lang w:val="en-US"/>
        </w:rPr>
      </w:pPr>
      <w:r>
        <w:rPr>
          <w:sz w:val="22"/>
          <w:szCs w:val="22"/>
          <w:lang w:val="el-GR"/>
        </w:rPr>
        <w:t>Μετά τη θεραπεία εκρίζωσης για μία εβδομάδα</w:t>
      </w:r>
      <w:r w:rsidRPr="005B77AA">
        <w:rPr>
          <w:sz w:val="22"/>
          <w:szCs w:val="22"/>
          <w:lang w:val="el-GR"/>
        </w:rPr>
        <w:t xml:space="preserve">, </w:t>
      </w:r>
      <w:r>
        <w:rPr>
          <w:sz w:val="22"/>
          <w:szCs w:val="22"/>
          <w:lang w:val="el-GR"/>
        </w:rPr>
        <w:t>δεν υπάρχει ανάγκη για επακόλουθη μονοθεραπεία με αντιεκκριτικά φάρμακα για αποτελεσματική επούλωση του έλκους και υποχώρηση των συμπτωμάτων σε μη επιπλεγμένα έλκη δωδεκαδακτύλου</w:t>
      </w:r>
      <w:r w:rsidRPr="005B77AA">
        <w:rPr>
          <w:sz w:val="22"/>
          <w:szCs w:val="22"/>
          <w:lang w:val="el-GR"/>
        </w:rPr>
        <w:t xml:space="preserve">. </w:t>
      </w:r>
    </w:p>
    <w:p w:rsidR="00582A00" w:rsidRPr="005B77AA" w:rsidRDefault="00582A00">
      <w:pPr>
        <w:autoSpaceDE w:val="0"/>
        <w:autoSpaceDN w:val="0"/>
        <w:adjustRightInd w:val="0"/>
        <w:rPr>
          <w:rFonts w:ascii="Calibri" w:hAnsi="Calibri" w:cs="Calibri"/>
          <w:lang w:val="el-GR"/>
        </w:rPr>
      </w:pPr>
      <w:r>
        <w:rPr>
          <w:color w:val="000000"/>
          <w:lang w:val="el-GR"/>
        </w:rPr>
        <w:t>Σε μια τυχαιοποιημένη</w:t>
      </w:r>
      <w:r w:rsidRPr="005B77AA">
        <w:rPr>
          <w:color w:val="000000"/>
          <w:lang w:val="el-GR"/>
        </w:rPr>
        <w:t xml:space="preserve">, </w:t>
      </w:r>
      <w:r>
        <w:rPr>
          <w:color w:val="000000"/>
          <w:lang w:val="el-GR"/>
        </w:rPr>
        <w:t>διπλή τυφλή κλινική μελέτη με έλεγχο εικονικού φαρμάκου</w:t>
      </w:r>
      <w:r w:rsidRPr="005B77AA">
        <w:rPr>
          <w:color w:val="000000"/>
          <w:lang w:val="el-GR"/>
        </w:rPr>
        <w:t xml:space="preserve">, </w:t>
      </w:r>
      <w:r>
        <w:rPr>
          <w:color w:val="000000"/>
          <w:lang w:val="el-GR"/>
        </w:rPr>
        <w:t xml:space="preserve">οι ασθενείς με ενδοσκοπικά επιβεβαιωμένη αιμορραγία από πεπτικό έλκος οι οποίοι χαρακτηρίζονται ως </w:t>
      </w:r>
      <w:r>
        <w:rPr>
          <w:color w:val="000000"/>
        </w:rPr>
        <w:t>Forrest</w:t>
      </w:r>
      <w:r w:rsidRPr="005B77AA">
        <w:rPr>
          <w:color w:val="000000"/>
          <w:lang w:val="el-GR"/>
        </w:rPr>
        <w:t xml:space="preserve"> </w:t>
      </w:r>
      <w:r>
        <w:rPr>
          <w:color w:val="000000"/>
        </w:rPr>
        <w:t>I</w:t>
      </w:r>
      <w:r>
        <w:rPr>
          <w:color w:val="000000"/>
          <w:lang w:val="el-GR"/>
        </w:rPr>
        <w:t>α</w:t>
      </w:r>
      <w:r w:rsidRPr="005B77AA">
        <w:rPr>
          <w:color w:val="000000"/>
          <w:lang w:val="el-GR"/>
        </w:rPr>
        <w:t xml:space="preserve">, </w:t>
      </w:r>
      <w:r>
        <w:rPr>
          <w:color w:val="000000"/>
        </w:rPr>
        <w:t>I</w:t>
      </w:r>
      <w:r>
        <w:rPr>
          <w:color w:val="000000"/>
          <w:lang w:val="el-GR"/>
        </w:rPr>
        <w:t>β</w:t>
      </w:r>
      <w:r w:rsidRPr="005B77AA">
        <w:rPr>
          <w:color w:val="000000"/>
          <w:lang w:val="el-GR"/>
        </w:rPr>
        <w:t xml:space="preserve">, </w:t>
      </w:r>
      <w:r>
        <w:rPr>
          <w:color w:val="000000"/>
        </w:rPr>
        <w:t>II</w:t>
      </w:r>
      <w:r>
        <w:rPr>
          <w:color w:val="000000"/>
          <w:lang w:val="el-GR"/>
        </w:rPr>
        <w:t xml:space="preserve">α ή </w:t>
      </w:r>
      <w:r>
        <w:rPr>
          <w:color w:val="000000"/>
        </w:rPr>
        <w:t>II</w:t>
      </w:r>
      <w:r>
        <w:rPr>
          <w:color w:val="000000"/>
          <w:lang w:val="el-GR"/>
        </w:rPr>
        <w:t>β</w:t>
      </w:r>
      <w:r w:rsidRPr="005B77AA">
        <w:rPr>
          <w:color w:val="000000"/>
          <w:lang w:val="el-GR"/>
        </w:rPr>
        <w:t xml:space="preserve"> (9%, 43%, 38% </w:t>
      </w:r>
      <w:r>
        <w:rPr>
          <w:color w:val="000000"/>
          <w:lang w:val="el-GR"/>
        </w:rPr>
        <w:t>και</w:t>
      </w:r>
      <w:r w:rsidRPr="005B77AA">
        <w:rPr>
          <w:color w:val="000000"/>
          <w:lang w:val="el-GR"/>
        </w:rPr>
        <w:t xml:space="preserve"> 10 %, </w:t>
      </w:r>
      <w:r>
        <w:rPr>
          <w:color w:val="000000"/>
          <w:lang w:val="el-GR"/>
        </w:rPr>
        <w:t>αντίστοιχα</w:t>
      </w:r>
      <w:r w:rsidRPr="005B77AA">
        <w:rPr>
          <w:color w:val="000000"/>
          <w:lang w:val="el-GR"/>
        </w:rPr>
        <w:t xml:space="preserve">) </w:t>
      </w:r>
      <w:r>
        <w:rPr>
          <w:color w:val="000000"/>
          <w:lang w:val="el-GR"/>
        </w:rPr>
        <w:t>τυχαιοποιήθηκαν ώστε να λάβουν διάλυμα εσομεπραζόλης προς έγχυση</w:t>
      </w:r>
      <w:r w:rsidRPr="005B77AA">
        <w:rPr>
          <w:color w:val="000000"/>
          <w:lang w:val="el-GR"/>
        </w:rPr>
        <w:t xml:space="preserve"> (</w:t>
      </w:r>
      <w:r>
        <w:rPr>
          <w:color w:val="000000"/>
        </w:rPr>
        <w:t>n</w:t>
      </w:r>
      <w:r w:rsidRPr="005B77AA">
        <w:rPr>
          <w:color w:val="000000"/>
          <w:lang w:val="el-GR"/>
        </w:rPr>
        <w:t xml:space="preserve">=375) </w:t>
      </w:r>
      <w:r>
        <w:rPr>
          <w:color w:val="000000"/>
          <w:lang w:val="el-GR"/>
        </w:rPr>
        <w:t>ή εικονικό φάρμακο</w:t>
      </w:r>
      <w:r w:rsidRPr="005B77AA">
        <w:rPr>
          <w:color w:val="000000"/>
          <w:lang w:val="el-GR"/>
        </w:rPr>
        <w:t xml:space="preserve"> (</w:t>
      </w:r>
      <w:r>
        <w:rPr>
          <w:color w:val="000000"/>
        </w:rPr>
        <w:t>n</w:t>
      </w:r>
      <w:r w:rsidRPr="005B77AA">
        <w:rPr>
          <w:color w:val="000000"/>
          <w:lang w:val="el-GR"/>
        </w:rPr>
        <w:t xml:space="preserve">=389). </w:t>
      </w:r>
      <w:r>
        <w:rPr>
          <w:color w:val="000000"/>
          <w:lang w:val="el-GR"/>
        </w:rPr>
        <w:t>Μετά από ενδοσκοπική αιμόσταση</w:t>
      </w:r>
      <w:r w:rsidRPr="005B77AA">
        <w:rPr>
          <w:color w:val="000000"/>
          <w:lang w:val="el-GR"/>
        </w:rPr>
        <w:t xml:space="preserve">, </w:t>
      </w:r>
      <w:r>
        <w:rPr>
          <w:color w:val="000000"/>
          <w:lang w:val="el-GR"/>
        </w:rPr>
        <w:t>οι ασθενείς έλαβαν είτε</w:t>
      </w:r>
      <w:r w:rsidRPr="005B77AA">
        <w:rPr>
          <w:color w:val="000000"/>
          <w:lang w:val="el-GR"/>
        </w:rPr>
        <w:t xml:space="preserve"> 80</w:t>
      </w:r>
      <w:r>
        <w:rPr>
          <w:rFonts w:ascii="Calibri" w:hAnsi="Calibri" w:cs="Calibri"/>
          <w:color w:val="000000"/>
        </w:rPr>
        <w:t> </w:t>
      </w:r>
      <w:r>
        <w:rPr>
          <w:color w:val="000000"/>
        </w:rPr>
        <w:t>mg</w:t>
      </w:r>
      <w:r w:rsidRPr="005B77AA">
        <w:rPr>
          <w:color w:val="000000"/>
          <w:lang w:val="el-GR"/>
        </w:rPr>
        <w:t xml:space="preserve"> </w:t>
      </w:r>
      <w:r>
        <w:rPr>
          <w:color w:val="000000"/>
          <w:lang w:val="el-GR"/>
        </w:rPr>
        <w:t>εσομεπραζόλης ως ενδοφλέβια έγχυση σε διάστημα</w:t>
      </w:r>
      <w:r w:rsidRPr="005B77AA">
        <w:rPr>
          <w:color w:val="000000"/>
          <w:lang w:val="el-GR"/>
        </w:rPr>
        <w:t xml:space="preserve"> 30 </w:t>
      </w:r>
      <w:r>
        <w:rPr>
          <w:color w:val="000000"/>
          <w:lang w:val="el-GR"/>
        </w:rPr>
        <w:t>λεπτών ακολουθούμενη από συνεχή έγχυση</w:t>
      </w:r>
      <w:r w:rsidRPr="005B77AA">
        <w:rPr>
          <w:color w:val="000000"/>
          <w:lang w:val="el-GR"/>
        </w:rPr>
        <w:t xml:space="preserve"> 8 </w:t>
      </w:r>
      <w:r>
        <w:rPr>
          <w:color w:val="000000"/>
        </w:rPr>
        <w:t>mg</w:t>
      </w:r>
      <w:r w:rsidRPr="005B77AA">
        <w:rPr>
          <w:color w:val="000000"/>
          <w:lang w:val="el-GR"/>
        </w:rPr>
        <w:t xml:space="preserve"> </w:t>
      </w:r>
      <w:r>
        <w:rPr>
          <w:color w:val="000000"/>
          <w:lang w:val="el-GR"/>
        </w:rPr>
        <w:t>ανά ώρα είτε εικονικό φάρμακο επί</w:t>
      </w:r>
      <w:r w:rsidRPr="005B77AA">
        <w:rPr>
          <w:color w:val="000000"/>
          <w:lang w:val="el-GR"/>
        </w:rPr>
        <w:t xml:space="preserve"> 72 </w:t>
      </w:r>
      <w:r>
        <w:rPr>
          <w:color w:val="000000"/>
          <w:lang w:val="el-GR"/>
        </w:rPr>
        <w:t>ώρες</w:t>
      </w:r>
      <w:r w:rsidRPr="005B77AA">
        <w:rPr>
          <w:color w:val="000000"/>
          <w:lang w:val="el-GR"/>
        </w:rPr>
        <w:t xml:space="preserve">. </w:t>
      </w:r>
      <w:r>
        <w:rPr>
          <w:color w:val="000000"/>
          <w:lang w:val="el-GR"/>
        </w:rPr>
        <w:t>Μετά από την αρχική περίοδο</w:t>
      </w:r>
      <w:r w:rsidRPr="005B77AA">
        <w:rPr>
          <w:color w:val="000000"/>
          <w:lang w:val="el-GR"/>
        </w:rPr>
        <w:t xml:space="preserve"> 72 </w:t>
      </w:r>
      <w:r>
        <w:rPr>
          <w:color w:val="000000"/>
          <w:lang w:val="el-GR"/>
        </w:rPr>
        <w:t>ωρών</w:t>
      </w:r>
      <w:r w:rsidRPr="005B77AA">
        <w:rPr>
          <w:color w:val="000000"/>
          <w:lang w:val="el-GR"/>
        </w:rPr>
        <w:t xml:space="preserve">, </w:t>
      </w:r>
      <w:r>
        <w:rPr>
          <w:color w:val="000000"/>
          <w:lang w:val="el-GR"/>
        </w:rPr>
        <w:t>όλοι οι ασθενείς έλαβαν ανοικτή θεραπεία με</w:t>
      </w:r>
      <w:r w:rsidRPr="005B77AA">
        <w:rPr>
          <w:color w:val="000000"/>
          <w:lang w:val="el-GR"/>
        </w:rPr>
        <w:t xml:space="preserve"> 40</w:t>
      </w:r>
      <w:r>
        <w:rPr>
          <w:rFonts w:ascii="Calibri" w:hAnsi="Calibri" w:cs="Calibri"/>
          <w:color w:val="000000"/>
        </w:rPr>
        <w:t> </w:t>
      </w:r>
      <w:r>
        <w:rPr>
          <w:color w:val="000000"/>
        </w:rPr>
        <w:t>mg</w:t>
      </w:r>
      <w:r w:rsidRPr="005B77AA">
        <w:rPr>
          <w:color w:val="000000"/>
          <w:lang w:val="el-GR"/>
        </w:rPr>
        <w:t xml:space="preserve"> </w:t>
      </w:r>
      <w:r>
        <w:rPr>
          <w:color w:val="000000"/>
          <w:lang w:val="el-GR"/>
        </w:rPr>
        <w:t>εσομεπραζόλης από του στόματος επί</w:t>
      </w:r>
      <w:r w:rsidRPr="005B77AA">
        <w:rPr>
          <w:color w:val="000000"/>
          <w:lang w:val="el-GR"/>
        </w:rPr>
        <w:t xml:space="preserve"> 27 </w:t>
      </w:r>
      <w:r>
        <w:rPr>
          <w:color w:val="000000"/>
          <w:lang w:val="el-GR"/>
        </w:rPr>
        <w:t>ημέρες για καταστολή του οξέος</w:t>
      </w:r>
      <w:r w:rsidRPr="005B77AA">
        <w:rPr>
          <w:color w:val="000000"/>
          <w:lang w:val="el-GR"/>
        </w:rPr>
        <w:t xml:space="preserve">. </w:t>
      </w:r>
      <w:r>
        <w:rPr>
          <w:color w:val="000000"/>
          <w:lang w:val="el-GR"/>
        </w:rPr>
        <w:t>Η εμφάνιση επανάληψης της αιμορραγίας εντός</w:t>
      </w:r>
      <w:r w:rsidRPr="005B77AA">
        <w:rPr>
          <w:color w:val="000000"/>
          <w:lang w:val="el-GR"/>
        </w:rPr>
        <w:t xml:space="preserve"> 3 </w:t>
      </w:r>
      <w:r>
        <w:rPr>
          <w:color w:val="000000"/>
          <w:lang w:val="el-GR"/>
        </w:rPr>
        <w:t>ημερών ήταν</w:t>
      </w:r>
      <w:r w:rsidRPr="005B77AA">
        <w:rPr>
          <w:color w:val="000000"/>
          <w:lang w:val="el-GR"/>
        </w:rPr>
        <w:t xml:space="preserve"> 5,9% </w:t>
      </w:r>
      <w:r>
        <w:rPr>
          <w:color w:val="000000"/>
          <w:lang w:val="el-GR"/>
        </w:rPr>
        <w:t>στην ομάδα που έλαβε θεραπεία με εσομεπραζόλη συγκριτικά με</w:t>
      </w:r>
      <w:r w:rsidRPr="005B77AA">
        <w:rPr>
          <w:color w:val="000000"/>
          <w:lang w:val="el-GR"/>
        </w:rPr>
        <w:t xml:space="preserve"> 10,3% </w:t>
      </w:r>
      <w:r>
        <w:rPr>
          <w:color w:val="000000"/>
          <w:lang w:val="el-GR"/>
        </w:rPr>
        <w:t>για την ομάδα του εικονικού φαρμάκου</w:t>
      </w:r>
      <w:r w:rsidRPr="005B77AA">
        <w:rPr>
          <w:color w:val="000000"/>
          <w:lang w:val="el-GR"/>
        </w:rPr>
        <w:t xml:space="preserve">. </w:t>
      </w:r>
      <w:r>
        <w:rPr>
          <w:color w:val="000000"/>
          <w:lang w:val="el-GR"/>
        </w:rPr>
        <w:t>Στις</w:t>
      </w:r>
      <w:r w:rsidRPr="005B77AA">
        <w:rPr>
          <w:color w:val="000000"/>
          <w:lang w:val="el-GR"/>
        </w:rPr>
        <w:t xml:space="preserve"> 30 </w:t>
      </w:r>
      <w:r>
        <w:rPr>
          <w:color w:val="000000"/>
          <w:lang w:val="el-GR"/>
        </w:rPr>
        <w:t>ημέρες μετά τη θεραπεία</w:t>
      </w:r>
      <w:r w:rsidRPr="005B77AA">
        <w:rPr>
          <w:color w:val="000000"/>
          <w:lang w:val="el-GR"/>
        </w:rPr>
        <w:t xml:space="preserve">, </w:t>
      </w:r>
      <w:r>
        <w:rPr>
          <w:color w:val="000000"/>
          <w:lang w:val="el-GR"/>
        </w:rPr>
        <w:t>η εμφάνιση επανάληψης της αιμορραγίας στην ομάδα που έλαβε θεραπεία με εσομεπραζόλη έναντι της ομάδας που έλαβε θεραπεία με εικονικό φάρμακο ήταν</w:t>
      </w:r>
      <w:r w:rsidRPr="005B77AA">
        <w:rPr>
          <w:color w:val="000000"/>
          <w:lang w:val="el-GR"/>
        </w:rPr>
        <w:t xml:space="preserve"> 7,7% </w:t>
      </w:r>
      <w:r>
        <w:rPr>
          <w:color w:val="000000"/>
          <w:lang w:val="el-GR"/>
        </w:rPr>
        <w:t>έναντι</w:t>
      </w:r>
      <w:r w:rsidRPr="005B77AA">
        <w:rPr>
          <w:color w:val="000000"/>
          <w:lang w:val="el-GR"/>
        </w:rPr>
        <w:t xml:space="preserve"> 13,6%. </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Άλλες επιδράσεις που σχετίζονταν με αναστολή οξέος</w:t>
      </w:r>
    </w:p>
    <w:p w:rsidR="00582A00" w:rsidRPr="00123257" w:rsidRDefault="00582A00">
      <w:pPr>
        <w:pStyle w:val="Default"/>
        <w:rPr>
          <w:rFonts w:ascii="Calibri" w:hAnsi="Calibri" w:cs="Calibri"/>
          <w:sz w:val="22"/>
          <w:szCs w:val="22"/>
          <w:lang w:val="en-US"/>
        </w:rPr>
      </w:pPr>
      <w:r>
        <w:rPr>
          <w:sz w:val="22"/>
          <w:szCs w:val="22"/>
          <w:lang w:val="el-GR"/>
        </w:rPr>
        <w:t>Κατά τη διάρκεια της θεραπείας με αντιεκκριτικά φάρμακα η γαστρίνη του ορού αυξάνε</w:t>
      </w:r>
      <w:r w:rsidR="00585550">
        <w:rPr>
          <w:sz w:val="22"/>
          <w:szCs w:val="22"/>
          <w:lang w:val="el-GR"/>
        </w:rPr>
        <w:t>τα</w:t>
      </w:r>
      <w:r>
        <w:rPr>
          <w:sz w:val="22"/>
          <w:szCs w:val="22"/>
          <w:lang w:val="el-GR"/>
        </w:rPr>
        <w:t>ι ως απάντηση στη μειωμένη έκκριση οξέος</w:t>
      </w:r>
      <w:r w:rsidRPr="005B77AA">
        <w:rPr>
          <w:sz w:val="22"/>
          <w:szCs w:val="22"/>
          <w:lang w:val="el-GR"/>
        </w:rPr>
        <w:t xml:space="preserve">. </w:t>
      </w:r>
      <w:r w:rsidR="001C3D46" w:rsidRPr="00585550">
        <w:rPr>
          <w:sz w:val="22"/>
          <w:szCs w:val="22"/>
          <w:lang w:val="el-GR"/>
        </w:rPr>
        <w:t>Η χρωμογρανίνη Α (</w:t>
      </w:r>
      <w:r w:rsidR="001C3D46" w:rsidRPr="00585550">
        <w:rPr>
          <w:sz w:val="22"/>
          <w:szCs w:val="22"/>
          <w:lang w:val="en-US"/>
        </w:rPr>
        <w:t>CgA</w:t>
      </w:r>
      <w:r w:rsidR="001C3D46" w:rsidRPr="00585550">
        <w:rPr>
          <w:sz w:val="22"/>
          <w:szCs w:val="22"/>
          <w:lang w:val="el-GR"/>
        </w:rPr>
        <w:t>) επίσης αυξάνε</w:t>
      </w:r>
      <w:r w:rsidR="00572641">
        <w:rPr>
          <w:sz w:val="22"/>
          <w:szCs w:val="22"/>
          <w:lang w:val="el-GR"/>
        </w:rPr>
        <w:t>τα</w:t>
      </w:r>
      <w:r w:rsidR="001C3D46" w:rsidRPr="00585550">
        <w:rPr>
          <w:sz w:val="22"/>
          <w:szCs w:val="22"/>
          <w:lang w:val="el-GR"/>
        </w:rPr>
        <w:t xml:space="preserve">ι </w:t>
      </w:r>
      <w:r w:rsidR="008B21BC" w:rsidRPr="00585550">
        <w:rPr>
          <w:sz w:val="22"/>
          <w:szCs w:val="22"/>
          <w:lang w:val="el-GR"/>
        </w:rPr>
        <w:t>λόγω της μειωμένης</w:t>
      </w:r>
      <w:r w:rsidR="001C3D46" w:rsidRPr="00585550">
        <w:rPr>
          <w:sz w:val="22"/>
          <w:szCs w:val="22"/>
          <w:lang w:val="el-GR"/>
        </w:rPr>
        <w:t xml:space="preserve"> γαστρικής οξύτητας.</w:t>
      </w:r>
    </w:p>
    <w:p w:rsidR="00582A00" w:rsidRPr="00123257" w:rsidRDefault="00582A00">
      <w:pPr>
        <w:pStyle w:val="Default"/>
        <w:rPr>
          <w:rFonts w:ascii="Calibri" w:hAnsi="Calibri" w:cs="Calibri"/>
          <w:sz w:val="22"/>
          <w:szCs w:val="22"/>
          <w:lang w:val="en-US"/>
        </w:rPr>
      </w:pPr>
      <w:r>
        <w:rPr>
          <w:sz w:val="22"/>
          <w:szCs w:val="22"/>
          <w:lang w:val="el-GR"/>
        </w:rPr>
        <w:t>Κατά τη διάρκεια μακροχρόνιας θεραπείας με εσομεπραζόλη</w:t>
      </w:r>
      <w:r w:rsidRPr="005B77AA">
        <w:rPr>
          <w:sz w:val="22"/>
          <w:szCs w:val="22"/>
          <w:lang w:val="el-GR"/>
        </w:rPr>
        <w:t xml:space="preserve">, </w:t>
      </w:r>
      <w:r>
        <w:rPr>
          <w:sz w:val="22"/>
          <w:szCs w:val="22"/>
          <w:lang w:val="el-GR"/>
        </w:rPr>
        <w:t xml:space="preserve">έχει παρατηρηθεί σε ορισμένους ασθενείς αυξημένος αριθμός κυττάρων </w:t>
      </w:r>
      <w:r>
        <w:rPr>
          <w:sz w:val="22"/>
          <w:szCs w:val="22"/>
          <w:lang w:val="en-GB"/>
        </w:rPr>
        <w:t>ECL</w:t>
      </w:r>
      <w:r w:rsidRPr="005B77AA">
        <w:rPr>
          <w:sz w:val="22"/>
          <w:szCs w:val="22"/>
          <w:lang w:val="el-GR"/>
        </w:rPr>
        <w:t xml:space="preserve"> </w:t>
      </w:r>
      <w:r>
        <w:rPr>
          <w:sz w:val="22"/>
          <w:szCs w:val="22"/>
          <w:lang w:val="el-GR"/>
        </w:rPr>
        <w:t>που πιθανώς σχετίζονται με τα αυξημένα επίπεδα γαστρίνης ορού</w:t>
      </w:r>
      <w:r w:rsidRPr="005B77AA">
        <w:rPr>
          <w:sz w:val="22"/>
          <w:szCs w:val="22"/>
          <w:lang w:val="el-GR"/>
        </w:rPr>
        <w:t>.</w:t>
      </w:r>
    </w:p>
    <w:p w:rsidR="00582A00" w:rsidRPr="00123257" w:rsidRDefault="00582A00">
      <w:pPr>
        <w:pStyle w:val="Default"/>
        <w:rPr>
          <w:rFonts w:ascii="Calibri" w:hAnsi="Calibri" w:cs="Calibri"/>
          <w:sz w:val="22"/>
          <w:szCs w:val="22"/>
          <w:lang w:val="en-US"/>
        </w:rPr>
      </w:pPr>
      <w:r>
        <w:rPr>
          <w:sz w:val="22"/>
          <w:szCs w:val="22"/>
          <w:lang w:val="el-GR"/>
        </w:rPr>
        <w:t>Κατά τη διάρκεια της μακροχρόνιας θεραπείας με αντιεκκριτικά φάρμακα</w:t>
      </w:r>
      <w:r w:rsidRPr="005B77AA">
        <w:rPr>
          <w:sz w:val="22"/>
          <w:szCs w:val="22"/>
          <w:lang w:val="el-GR"/>
        </w:rPr>
        <w:t xml:space="preserve">, </w:t>
      </w:r>
      <w:r>
        <w:rPr>
          <w:sz w:val="22"/>
          <w:szCs w:val="22"/>
          <w:lang w:val="el-GR"/>
        </w:rPr>
        <w:t>έχει αναφερθεί ότι παρατηρούνται γαστρικές αδενικές κύστεις με κάπως αυξημένη συχνότητα</w:t>
      </w:r>
      <w:r w:rsidRPr="005B77AA">
        <w:rPr>
          <w:sz w:val="22"/>
          <w:szCs w:val="22"/>
          <w:lang w:val="el-GR"/>
        </w:rPr>
        <w:t xml:space="preserve">. </w:t>
      </w:r>
      <w:r>
        <w:rPr>
          <w:sz w:val="22"/>
          <w:szCs w:val="22"/>
          <w:lang w:val="el-GR"/>
        </w:rPr>
        <w:t>Αυτές οι αλλαγές είναι μια φυσιολογική συνέπεια της έντονης αναστολής της έκκρισης οξέος</w:t>
      </w:r>
      <w:r w:rsidRPr="005B77AA">
        <w:rPr>
          <w:sz w:val="22"/>
          <w:szCs w:val="22"/>
          <w:lang w:val="el-GR"/>
        </w:rPr>
        <w:t xml:space="preserve">, </w:t>
      </w:r>
      <w:r>
        <w:rPr>
          <w:sz w:val="22"/>
          <w:szCs w:val="22"/>
          <w:lang w:val="el-GR"/>
        </w:rPr>
        <w:t>είναι καλοήθεις και φαίνεται ότι είναι αναστρέψιμες</w:t>
      </w:r>
      <w:r w:rsidRPr="005B77AA">
        <w:rPr>
          <w:sz w:val="22"/>
          <w:szCs w:val="22"/>
          <w:lang w:val="el-GR"/>
        </w:rPr>
        <w:t>.</w:t>
      </w:r>
    </w:p>
    <w:p w:rsidR="00582A00" w:rsidRPr="00123257" w:rsidRDefault="00582A00">
      <w:pPr>
        <w:pStyle w:val="Default"/>
        <w:rPr>
          <w:rFonts w:ascii="Calibri" w:hAnsi="Calibri" w:cs="Calibri"/>
          <w:sz w:val="22"/>
          <w:szCs w:val="22"/>
          <w:lang w:val="en-US"/>
        </w:rPr>
      </w:pPr>
      <w:r>
        <w:rPr>
          <w:sz w:val="22"/>
          <w:szCs w:val="22"/>
          <w:lang w:val="el-GR"/>
        </w:rPr>
        <w:t>Η μειωμένη γαστρική οξύτητα λόγω οποιουδήποτε μέσου</w:t>
      </w:r>
      <w:r w:rsidRPr="005B77AA">
        <w:rPr>
          <w:sz w:val="22"/>
          <w:szCs w:val="22"/>
          <w:lang w:val="el-GR"/>
        </w:rPr>
        <w:t xml:space="preserve">, </w:t>
      </w:r>
      <w:r>
        <w:rPr>
          <w:sz w:val="22"/>
          <w:szCs w:val="22"/>
          <w:lang w:val="el-GR"/>
        </w:rPr>
        <w:t>συμπεριλαμβανομένων των αναστολέων της αντλίας πρωτονίων</w:t>
      </w:r>
      <w:r w:rsidRPr="005B77AA">
        <w:rPr>
          <w:sz w:val="22"/>
          <w:szCs w:val="22"/>
          <w:lang w:val="el-GR"/>
        </w:rPr>
        <w:t xml:space="preserve">, </w:t>
      </w:r>
      <w:r>
        <w:rPr>
          <w:sz w:val="22"/>
          <w:szCs w:val="22"/>
          <w:lang w:val="el-GR"/>
        </w:rPr>
        <w:t>αυξάνει τον αριθμό των βακτηρίων στο στόμαχο που είναι φυσιολογικά παρόντα στο γαστρεντερικό σωλήνα</w:t>
      </w:r>
      <w:r w:rsidRPr="005B77AA">
        <w:rPr>
          <w:sz w:val="22"/>
          <w:szCs w:val="22"/>
          <w:lang w:val="el-GR"/>
        </w:rPr>
        <w:t xml:space="preserve">. </w:t>
      </w:r>
      <w:r>
        <w:rPr>
          <w:sz w:val="22"/>
          <w:szCs w:val="22"/>
          <w:lang w:val="el-GR"/>
        </w:rPr>
        <w:t xml:space="preserve">Η θεραπεία με αναστολείς τις αντλίας πρωτονίων ενδέχεται να οδηγήσει σε ελαφρώς αυξημένο κίνδυνο γαστρεντερικών λοιμώξεων όπως από </w:t>
      </w:r>
      <w:r>
        <w:rPr>
          <w:i/>
          <w:iCs/>
          <w:sz w:val="22"/>
          <w:szCs w:val="22"/>
          <w:lang w:val="el-GR"/>
        </w:rPr>
        <w:t xml:space="preserve">σαλμονέλα </w:t>
      </w:r>
      <w:r>
        <w:rPr>
          <w:sz w:val="22"/>
          <w:szCs w:val="22"/>
          <w:lang w:val="el-GR"/>
        </w:rPr>
        <w:t xml:space="preserve">και </w:t>
      </w:r>
      <w:r>
        <w:rPr>
          <w:i/>
          <w:iCs/>
          <w:sz w:val="22"/>
          <w:szCs w:val="22"/>
          <w:lang w:val="el-GR"/>
        </w:rPr>
        <w:t>καμπυλοβακτηρίδιο</w:t>
      </w:r>
      <w:r w:rsidRPr="005B77AA">
        <w:rPr>
          <w:sz w:val="22"/>
          <w:szCs w:val="22"/>
          <w:lang w:val="el-GR"/>
        </w:rPr>
        <w:t xml:space="preserve">. </w:t>
      </w:r>
    </w:p>
    <w:p w:rsidR="00582A00" w:rsidRPr="00123257" w:rsidRDefault="00582A00">
      <w:pPr>
        <w:pStyle w:val="Default"/>
        <w:rPr>
          <w:rFonts w:ascii="Calibri" w:hAnsi="Calibri" w:cs="Calibri"/>
          <w:sz w:val="22"/>
          <w:szCs w:val="22"/>
          <w:lang w:val="en-US"/>
        </w:rPr>
      </w:pPr>
      <w:r>
        <w:rPr>
          <w:sz w:val="22"/>
          <w:szCs w:val="22"/>
          <w:lang w:val="el-GR"/>
        </w:rPr>
        <w:t>Σε δύο μελέτες με ρανιτιδίνη ως δραστική συγκριτική ουσία</w:t>
      </w:r>
      <w:r w:rsidRPr="005B77AA">
        <w:rPr>
          <w:sz w:val="22"/>
          <w:szCs w:val="22"/>
          <w:lang w:val="el-GR"/>
        </w:rPr>
        <w:t xml:space="preserve">, </w:t>
      </w:r>
      <w:r>
        <w:rPr>
          <w:sz w:val="22"/>
          <w:szCs w:val="22"/>
          <w:lang w:val="el-GR"/>
        </w:rPr>
        <w:t>η εσομεπραζόλη κατέδειξε καλύτερη επίδραση στην επούλωση γαστρικών ελκών σε ασθενείς που χρησιμοποιούν ΜΣΑΦ</w:t>
      </w:r>
      <w:r w:rsidRPr="005B77AA">
        <w:rPr>
          <w:sz w:val="22"/>
          <w:szCs w:val="22"/>
          <w:lang w:val="el-GR"/>
        </w:rPr>
        <w:t xml:space="preserve">, </w:t>
      </w:r>
      <w:r>
        <w:rPr>
          <w:sz w:val="22"/>
          <w:szCs w:val="22"/>
          <w:lang w:val="el-GR"/>
        </w:rPr>
        <w:t>συμπεριλαμβανομένων των εκλεκτικών ΜΣΑΦ έναντι της κυκλοξυγενάσης-2 (</w:t>
      </w:r>
      <w:r>
        <w:rPr>
          <w:sz w:val="22"/>
          <w:szCs w:val="22"/>
          <w:lang w:val="en-GB"/>
        </w:rPr>
        <w:t>COX</w:t>
      </w:r>
      <w:r w:rsidRPr="005B77AA">
        <w:rPr>
          <w:sz w:val="22"/>
          <w:szCs w:val="22"/>
          <w:lang w:val="el-GR"/>
        </w:rPr>
        <w:t>-2</w:t>
      </w:r>
      <w:r>
        <w:rPr>
          <w:sz w:val="22"/>
          <w:szCs w:val="22"/>
          <w:lang w:val="el-GR"/>
        </w:rPr>
        <w:t>)</w:t>
      </w:r>
      <w:r w:rsidRPr="005B77AA">
        <w:rPr>
          <w:sz w:val="22"/>
          <w:szCs w:val="22"/>
          <w:lang w:val="el-GR"/>
        </w:rPr>
        <w:t xml:space="preserve">. </w:t>
      </w:r>
    </w:p>
    <w:p w:rsidR="00582A00" w:rsidRPr="005B77AA" w:rsidRDefault="00582A00">
      <w:pPr>
        <w:pStyle w:val="Default"/>
        <w:rPr>
          <w:rFonts w:ascii="Calibri" w:hAnsi="Calibri" w:cs="Calibri"/>
          <w:lang w:val="el-GR"/>
        </w:rPr>
      </w:pPr>
      <w:r>
        <w:rPr>
          <w:sz w:val="22"/>
          <w:szCs w:val="22"/>
          <w:lang w:val="el-GR"/>
        </w:rPr>
        <w:t>Σε δύο μελέτες με εικονικό φάρμακο ως συγκριτική ουσία</w:t>
      </w:r>
      <w:r w:rsidRPr="005B77AA">
        <w:rPr>
          <w:sz w:val="22"/>
          <w:szCs w:val="22"/>
          <w:lang w:val="el-GR"/>
        </w:rPr>
        <w:t xml:space="preserve">, </w:t>
      </w:r>
      <w:r>
        <w:rPr>
          <w:sz w:val="22"/>
          <w:szCs w:val="22"/>
          <w:lang w:val="el-GR"/>
        </w:rPr>
        <w:t>η εσομεπραζόλη κατέδειξε καλύτερη επίδραση στην πρόληψη γαστρικών και δωδεκαδακτυλικών ελκών σε ασθενείς που χρησιμοποιούν ΜΣΑΦ</w:t>
      </w:r>
      <w:r w:rsidRPr="005B77AA">
        <w:rPr>
          <w:sz w:val="22"/>
          <w:szCs w:val="22"/>
          <w:lang w:val="el-GR"/>
        </w:rPr>
        <w:t xml:space="preserve"> (</w:t>
      </w:r>
      <w:r>
        <w:rPr>
          <w:sz w:val="22"/>
          <w:szCs w:val="22"/>
          <w:lang w:val="el-GR"/>
        </w:rPr>
        <w:t>ηλικίας</w:t>
      </w:r>
      <w:r w:rsidRPr="005B77AA">
        <w:rPr>
          <w:sz w:val="22"/>
          <w:szCs w:val="22"/>
          <w:lang w:val="el-GR"/>
        </w:rPr>
        <w:t xml:space="preserve"> &gt;60 </w:t>
      </w:r>
      <w:r>
        <w:rPr>
          <w:sz w:val="22"/>
          <w:szCs w:val="22"/>
          <w:lang w:val="el-GR"/>
        </w:rPr>
        <w:t>και</w:t>
      </w:r>
      <w:r w:rsidRPr="005B77AA">
        <w:rPr>
          <w:sz w:val="22"/>
          <w:szCs w:val="22"/>
          <w:lang w:val="el-GR"/>
        </w:rPr>
        <w:t>/</w:t>
      </w:r>
      <w:r>
        <w:rPr>
          <w:sz w:val="22"/>
          <w:szCs w:val="22"/>
          <w:lang w:val="el-GR"/>
        </w:rPr>
        <w:t>ή με προηγούμενο έλκος</w:t>
      </w:r>
      <w:r w:rsidRPr="005B77AA">
        <w:rPr>
          <w:sz w:val="22"/>
          <w:szCs w:val="22"/>
          <w:lang w:val="el-GR"/>
        </w:rPr>
        <w:t xml:space="preserve">), </w:t>
      </w:r>
      <w:r>
        <w:rPr>
          <w:sz w:val="22"/>
          <w:szCs w:val="22"/>
          <w:lang w:val="el-GR"/>
        </w:rPr>
        <w:t>συμπεριλαμβανομένων των εκλεκτικών ΜΣΑΦ έναντι της κυκλοξυγενάσης-2 (</w:t>
      </w:r>
      <w:r>
        <w:rPr>
          <w:sz w:val="22"/>
          <w:szCs w:val="22"/>
          <w:lang w:val="en-GB"/>
        </w:rPr>
        <w:t>COX</w:t>
      </w:r>
      <w:r w:rsidRPr="005B77AA">
        <w:rPr>
          <w:sz w:val="22"/>
          <w:szCs w:val="22"/>
          <w:lang w:val="el-GR"/>
        </w:rPr>
        <w:t>-2</w:t>
      </w:r>
      <w:r>
        <w:rPr>
          <w:sz w:val="22"/>
          <w:szCs w:val="22"/>
          <w:lang w:val="el-GR"/>
        </w:rPr>
        <w:t>)</w:t>
      </w:r>
      <w:r w:rsidRPr="005B77AA">
        <w:rPr>
          <w:sz w:val="22"/>
          <w:szCs w:val="22"/>
          <w:lang w:val="el-GR"/>
        </w:rPr>
        <w:t xml:space="preserve">. </w:t>
      </w:r>
    </w:p>
    <w:p w:rsidR="00582A00" w:rsidRDefault="00582A00">
      <w:pPr>
        <w:numPr>
          <w:ilvl w:val="12"/>
          <w:numId w:val="0"/>
        </w:numPr>
        <w:ind w:right="-2"/>
        <w:rPr>
          <w:rFonts w:ascii="Calibri" w:hAnsi="Calibri" w:cs="Calibri"/>
          <w:noProof/>
          <w:lang w:val="el-GR"/>
        </w:rPr>
      </w:pPr>
    </w:p>
    <w:p w:rsidR="00582A00" w:rsidRPr="00123257" w:rsidRDefault="00582A00" w:rsidP="00123257">
      <w:pPr>
        <w:widowControl w:val="0"/>
        <w:tabs>
          <w:tab w:val="left" w:pos="600"/>
        </w:tabs>
        <w:outlineLvl w:val="1"/>
        <w:rPr>
          <w:rFonts w:ascii="Calibri" w:hAnsi="Calibri" w:cs="Calibri"/>
          <w:noProof/>
          <w:lang w:val="en-US"/>
        </w:rPr>
      </w:pPr>
      <w:r w:rsidRPr="005B77AA">
        <w:rPr>
          <w:b/>
          <w:bCs/>
          <w:noProof/>
          <w:lang w:val="el-GR"/>
        </w:rPr>
        <w:t>5.2</w:t>
      </w:r>
      <w:r w:rsidRPr="005B77AA">
        <w:rPr>
          <w:b/>
          <w:bCs/>
          <w:i/>
          <w:iCs/>
          <w:noProof/>
          <w:lang w:val="el-GR"/>
        </w:rPr>
        <w:tab/>
      </w:r>
      <w:r>
        <w:rPr>
          <w:b/>
          <w:bCs/>
          <w:lang w:val="el-GR"/>
        </w:rPr>
        <w:t>Φαρμακοκινητικές ιδιότητες</w:t>
      </w:r>
    </w:p>
    <w:p w:rsidR="00582A00" w:rsidRPr="005B77AA" w:rsidRDefault="00582A00">
      <w:pPr>
        <w:pStyle w:val="Default"/>
        <w:rPr>
          <w:rFonts w:ascii="Calibri" w:hAnsi="Calibri" w:cs="Calibri"/>
          <w:noProof/>
          <w:color w:val="auto"/>
          <w:sz w:val="22"/>
          <w:szCs w:val="22"/>
          <w:u w:val="single"/>
          <w:lang w:val="el-GR"/>
        </w:rPr>
      </w:pPr>
      <w:r>
        <w:rPr>
          <w:color w:val="auto"/>
          <w:sz w:val="22"/>
          <w:szCs w:val="22"/>
          <w:u w:val="single"/>
          <w:lang w:val="el-GR"/>
        </w:rPr>
        <w:t>Απορρόφηση και κατανομή</w:t>
      </w:r>
    </w:p>
    <w:p w:rsidR="00582A00" w:rsidRPr="00123257" w:rsidRDefault="00582A00">
      <w:pPr>
        <w:pStyle w:val="Default"/>
        <w:rPr>
          <w:rFonts w:ascii="Calibri" w:hAnsi="Calibri" w:cs="Calibri"/>
          <w:sz w:val="22"/>
          <w:szCs w:val="22"/>
          <w:lang w:val="en-US"/>
        </w:rPr>
      </w:pPr>
      <w:r>
        <w:rPr>
          <w:sz w:val="22"/>
          <w:szCs w:val="22"/>
          <w:lang w:val="el-GR"/>
        </w:rPr>
        <w:t>Η εσομεπραζόλη είναι ασταθής σε όξινο περιβάλλον και χορηγείται από του στόματος σε σφαιρίδια με επικάλυψη για αποδέσμευση στο έντερο</w:t>
      </w:r>
      <w:r w:rsidRPr="005B77AA">
        <w:rPr>
          <w:sz w:val="22"/>
          <w:szCs w:val="22"/>
          <w:lang w:val="el-GR"/>
        </w:rPr>
        <w:t xml:space="preserve">. </w:t>
      </w:r>
      <w:r>
        <w:rPr>
          <w:sz w:val="22"/>
          <w:szCs w:val="22"/>
          <w:lang w:val="el-GR"/>
        </w:rPr>
        <w:t xml:space="preserve">Η </w:t>
      </w:r>
      <w:r>
        <w:rPr>
          <w:i/>
          <w:iCs/>
          <w:sz w:val="22"/>
          <w:szCs w:val="22"/>
          <w:lang w:val="en-US"/>
        </w:rPr>
        <w:t>in</w:t>
      </w:r>
      <w:r w:rsidRPr="005B77AA">
        <w:rPr>
          <w:i/>
          <w:iCs/>
          <w:sz w:val="22"/>
          <w:szCs w:val="22"/>
          <w:lang w:val="el-GR"/>
        </w:rPr>
        <w:t xml:space="preserve"> </w:t>
      </w:r>
      <w:r>
        <w:rPr>
          <w:i/>
          <w:iCs/>
          <w:sz w:val="22"/>
          <w:szCs w:val="22"/>
          <w:lang w:val="en-US"/>
        </w:rPr>
        <w:t>vivo</w:t>
      </w:r>
      <w:r w:rsidRPr="005B77AA">
        <w:rPr>
          <w:sz w:val="22"/>
          <w:szCs w:val="22"/>
          <w:lang w:val="el-GR"/>
        </w:rPr>
        <w:t xml:space="preserve"> </w:t>
      </w:r>
      <w:r>
        <w:rPr>
          <w:sz w:val="22"/>
          <w:szCs w:val="22"/>
          <w:lang w:val="el-GR"/>
        </w:rPr>
        <w:t xml:space="preserve">μετατροπή στο </w:t>
      </w:r>
      <w:r>
        <w:rPr>
          <w:sz w:val="22"/>
          <w:szCs w:val="22"/>
          <w:lang w:val="en-US"/>
        </w:rPr>
        <w:t>R</w:t>
      </w:r>
      <w:r w:rsidRPr="005B77AA">
        <w:rPr>
          <w:sz w:val="22"/>
          <w:szCs w:val="22"/>
          <w:lang w:val="el-GR"/>
        </w:rPr>
        <w:t>-</w:t>
      </w:r>
      <w:r>
        <w:rPr>
          <w:sz w:val="22"/>
          <w:szCs w:val="22"/>
          <w:lang w:val="el-GR"/>
        </w:rPr>
        <w:t>ισομερές είναι αμελητέα</w:t>
      </w:r>
      <w:r w:rsidRPr="005B77AA">
        <w:rPr>
          <w:sz w:val="22"/>
          <w:szCs w:val="22"/>
          <w:lang w:val="el-GR"/>
        </w:rPr>
        <w:t xml:space="preserve">. </w:t>
      </w:r>
      <w:r>
        <w:rPr>
          <w:sz w:val="22"/>
          <w:szCs w:val="22"/>
          <w:lang w:val="el-GR"/>
        </w:rPr>
        <w:t>Η απορρόφηση της εσομεπραζόλης είναι ταχεία</w:t>
      </w:r>
      <w:r w:rsidRPr="005B77AA">
        <w:rPr>
          <w:sz w:val="22"/>
          <w:szCs w:val="22"/>
          <w:lang w:val="el-GR"/>
        </w:rPr>
        <w:t xml:space="preserve">, </w:t>
      </w:r>
      <w:r>
        <w:rPr>
          <w:sz w:val="22"/>
          <w:szCs w:val="22"/>
          <w:lang w:val="el-GR"/>
        </w:rPr>
        <w:t>με τα μέγιστα επίπεδα στο πλάσμα να παρατηρούνται περίπου</w:t>
      </w:r>
      <w:r w:rsidRPr="005B77AA">
        <w:rPr>
          <w:sz w:val="22"/>
          <w:szCs w:val="22"/>
          <w:lang w:val="el-GR"/>
        </w:rPr>
        <w:t xml:space="preserve"> 1-2 </w:t>
      </w:r>
      <w:r>
        <w:rPr>
          <w:sz w:val="22"/>
          <w:szCs w:val="22"/>
          <w:lang w:val="el-GR"/>
        </w:rPr>
        <w:t>ώρες μετά τη δόση</w:t>
      </w:r>
      <w:r w:rsidRPr="005B77AA">
        <w:rPr>
          <w:sz w:val="22"/>
          <w:szCs w:val="22"/>
          <w:lang w:val="el-GR"/>
        </w:rPr>
        <w:t xml:space="preserve">. </w:t>
      </w:r>
      <w:r>
        <w:rPr>
          <w:sz w:val="22"/>
          <w:szCs w:val="22"/>
          <w:lang w:val="el-GR"/>
        </w:rPr>
        <w:t>Η απόλυτη βιοδιαθεσιμότητα είναι</w:t>
      </w:r>
      <w:r w:rsidRPr="005B77AA">
        <w:rPr>
          <w:sz w:val="22"/>
          <w:szCs w:val="22"/>
          <w:lang w:val="el-GR"/>
        </w:rPr>
        <w:t xml:space="preserve"> 64% </w:t>
      </w:r>
      <w:r>
        <w:rPr>
          <w:sz w:val="22"/>
          <w:szCs w:val="22"/>
          <w:lang w:val="el-GR"/>
        </w:rPr>
        <w:t>μετά από εφάπαξ δόση</w:t>
      </w:r>
      <w:r w:rsidRPr="005B77AA">
        <w:rPr>
          <w:sz w:val="22"/>
          <w:szCs w:val="22"/>
          <w:lang w:val="el-GR"/>
        </w:rPr>
        <w:t xml:space="preserve"> 40</w:t>
      </w:r>
      <w:r>
        <w:rPr>
          <w:rFonts w:ascii="Calibri" w:hAnsi="Calibri" w:cs="Calibri"/>
          <w:sz w:val="22"/>
          <w:szCs w:val="22"/>
          <w:lang w:val="en-US"/>
        </w:rPr>
        <w:t> </w:t>
      </w:r>
      <w:r>
        <w:rPr>
          <w:sz w:val="22"/>
          <w:szCs w:val="22"/>
          <w:lang w:val="en-US"/>
        </w:rPr>
        <w:t>mg</w:t>
      </w:r>
      <w:r w:rsidRPr="005B77AA">
        <w:rPr>
          <w:sz w:val="22"/>
          <w:szCs w:val="22"/>
          <w:lang w:val="el-GR"/>
        </w:rPr>
        <w:t xml:space="preserve"> </w:t>
      </w:r>
      <w:r>
        <w:rPr>
          <w:sz w:val="22"/>
          <w:szCs w:val="22"/>
          <w:lang w:val="el-GR"/>
        </w:rPr>
        <w:t>και αυξάνει σε</w:t>
      </w:r>
      <w:r w:rsidRPr="005B77AA">
        <w:rPr>
          <w:sz w:val="22"/>
          <w:szCs w:val="22"/>
          <w:lang w:val="el-GR"/>
        </w:rPr>
        <w:t xml:space="preserve"> 89% </w:t>
      </w:r>
      <w:r>
        <w:rPr>
          <w:sz w:val="22"/>
          <w:szCs w:val="22"/>
          <w:lang w:val="el-GR"/>
        </w:rPr>
        <w:t>μετά από επαναλαμβανόμενη χορήγηση μία φορά την ημέρα</w:t>
      </w:r>
      <w:r w:rsidRPr="005B77AA">
        <w:rPr>
          <w:sz w:val="22"/>
          <w:szCs w:val="22"/>
          <w:lang w:val="el-GR"/>
        </w:rPr>
        <w:t xml:space="preserve">. </w:t>
      </w:r>
      <w:r>
        <w:rPr>
          <w:sz w:val="22"/>
          <w:szCs w:val="22"/>
          <w:lang w:val="el-GR"/>
        </w:rPr>
        <w:t>Για</w:t>
      </w:r>
      <w:r w:rsidRPr="005B77AA">
        <w:rPr>
          <w:sz w:val="22"/>
          <w:szCs w:val="22"/>
          <w:lang w:val="el-GR"/>
        </w:rPr>
        <w:t xml:space="preserve"> 20</w:t>
      </w:r>
      <w:r>
        <w:rPr>
          <w:rFonts w:ascii="Calibri" w:hAnsi="Calibri" w:cs="Calibri"/>
          <w:sz w:val="22"/>
          <w:szCs w:val="22"/>
          <w:lang w:val="en-US"/>
        </w:rPr>
        <w:t> </w:t>
      </w:r>
      <w:r>
        <w:rPr>
          <w:sz w:val="22"/>
          <w:szCs w:val="22"/>
          <w:lang w:val="en-US"/>
        </w:rPr>
        <w:t>mg</w:t>
      </w:r>
      <w:r w:rsidRPr="005B77AA">
        <w:rPr>
          <w:sz w:val="22"/>
          <w:szCs w:val="22"/>
          <w:lang w:val="el-GR"/>
        </w:rPr>
        <w:t xml:space="preserve"> </w:t>
      </w:r>
      <w:r>
        <w:rPr>
          <w:sz w:val="22"/>
          <w:szCs w:val="22"/>
          <w:lang w:val="el-GR"/>
        </w:rPr>
        <w:t>εσομεπραζόλης</w:t>
      </w:r>
      <w:r w:rsidRPr="005B77AA">
        <w:rPr>
          <w:sz w:val="22"/>
          <w:szCs w:val="22"/>
          <w:lang w:val="el-GR"/>
        </w:rPr>
        <w:t xml:space="preserve">, </w:t>
      </w:r>
      <w:r>
        <w:rPr>
          <w:sz w:val="22"/>
          <w:szCs w:val="22"/>
          <w:lang w:val="el-GR"/>
        </w:rPr>
        <w:t>οι αντίστοιχες τιμές είναι</w:t>
      </w:r>
      <w:r w:rsidRPr="005B77AA">
        <w:rPr>
          <w:sz w:val="22"/>
          <w:szCs w:val="22"/>
          <w:lang w:val="el-GR"/>
        </w:rPr>
        <w:t xml:space="preserve"> 50% </w:t>
      </w:r>
      <w:r>
        <w:rPr>
          <w:sz w:val="22"/>
          <w:szCs w:val="22"/>
          <w:lang w:val="el-GR"/>
        </w:rPr>
        <w:t>και</w:t>
      </w:r>
      <w:r w:rsidRPr="005B77AA">
        <w:rPr>
          <w:sz w:val="22"/>
          <w:szCs w:val="22"/>
          <w:lang w:val="el-GR"/>
        </w:rPr>
        <w:t xml:space="preserve"> 68%, </w:t>
      </w:r>
      <w:r>
        <w:rPr>
          <w:sz w:val="22"/>
          <w:szCs w:val="22"/>
          <w:lang w:val="el-GR"/>
        </w:rPr>
        <w:t>αντίστοιχα</w:t>
      </w:r>
      <w:r w:rsidRPr="005B77AA">
        <w:rPr>
          <w:sz w:val="22"/>
          <w:szCs w:val="22"/>
          <w:lang w:val="el-GR"/>
        </w:rPr>
        <w:t xml:space="preserve">. </w:t>
      </w:r>
      <w:r>
        <w:rPr>
          <w:sz w:val="22"/>
          <w:szCs w:val="22"/>
          <w:lang w:val="el-GR"/>
        </w:rPr>
        <w:t>Ο φαινομενικός όγκος κατανομής σε σταθερή κατάσταση, σε υγιείς ασθενείς, είναι περίπου</w:t>
      </w:r>
      <w:r w:rsidRPr="005B77AA">
        <w:rPr>
          <w:sz w:val="22"/>
          <w:szCs w:val="22"/>
          <w:lang w:val="el-GR"/>
        </w:rPr>
        <w:t xml:space="preserve"> 0,22</w:t>
      </w:r>
      <w:r>
        <w:rPr>
          <w:rFonts w:ascii="Calibri" w:hAnsi="Calibri" w:cs="Calibri"/>
          <w:sz w:val="22"/>
          <w:szCs w:val="22"/>
          <w:lang w:val="en-US"/>
        </w:rPr>
        <w:t> </w:t>
      </w:r>
      <w:r>
        <w:rPr>
          <w:sz w:val="22"/>
          <w:szCs w:val="22"/>
          <w:lang w:val="en-US"/>
        </w:rPr>
        <w:t>l</w:t>
      </w:r>
      <w:r w:rsidRPr="005B77AA">
        <w:rPr>
          <w:sz w:val="22"/>
          <w:szCs w:val="22"/>
          <w:lang w:val="el-GR"/>
        </w:rPr>
        <w:t>/</w:t>
      </w:r>
      <w:r>
        <w:rPr>
          <w:sz w:val="22"/>
          <w:szCs w:val="22"/>
          <w:lang w:val="en-US"/>
        </w:rPr>
        <w:t>kg</w:t>
      </w:r>
      <w:r w:rsidRPr="005B77AA">
        <w:rPr>
          <w:sz w:val="22"/>
          <w:szCs w:val="22"/>
          <w:lang w:val="el-GR"/>
        </w:rPr>
        <w:t xml:space="preserve"> </w:t>
      </w:r>
      <w:r>
        <w:rPr>
          <w:sz w:val="22"/>
          <w:szCs w:val="22"/>
          <w:lang w:val="el-GR"/>
        </w:rPr>
        <w:t>σωματικού βάρους</w:t>
      </w:r>
      <w:r w:rsidRPr="005B77AA">
        <w:rPr>
          <w:sz w:val="22"/>
          <w:szCs w:val="22"/>
          <w:lang w:val="el-GR"/>
        </w:rPr>
        <w:t xml:space="preserve">. </w:t>
      </w:r>
      <w:r>
        <w:rPr>
          <w:sz w:val="22"/>
          <w:szCs w:val="22"/>
          <w:lang w:val="el-GR"/>
        </w:rPr>
        <w:t>Η εσομεπραζόλη δεσμεύεται σε πρωτεΐνες πλάσματος κατά</w:t>
      </w:r>
      <w:r w:rsidRPr="005B77AA">
        <w:rPr>
          <w:sz w:val="22"/>
          <w:szCs w:val="22"/>
          <w:lang w:val="el-GR"/>
        </w:rPr>
        <w:t xml:space="preserve"> 97%.</w:t>
      </w:r>
    </w:p>
    <w:p w:rsidR="00582A00" w:rsidRPr="005B77AA" w:rsidRDefault="00582A00">
      <w:pPr>
        <w:pStyle w:val="Default"/>
        <w:rPr>
          <w:rFonts w:ascii="Calibri" w:hAnsi="Calibri" w:cs="Calibri"/>
          <w:sz w:val="22"/>
          <w:szCs w:val="22"/>
          <w:lang w:val="el-GR"/>
        </w:rPr>
      </w:pPr>
      <w:r>
        <w:rPr>
          <w:sz w:val="22"/>
          <w:szCs w:val="22"/>
          <w:lang w:val="el-GR"/>
        </w:rPr>
        <w:t>Η πρόσληψη τροφής καθυστερεί και μειώνει την απορρόφηση της εσομεπραζόλης μολονότι αυτό δεν έχει σημαντικό αντίκτυπο στην επίδραση της εσομεπραζόλης στην ενδογαστρική οξύτητα</w:t>
      </w:r>
      <w:r w:rsidRPr="005B77AA">
        <w:rPr>
          <w:sz w:val="22"/>
          <w:szCs w:val="22"/>
          <w:lang w:val="el-GR"/>
        </w:rPr>
        <w:t>.</w:t>
      </w:r>
    </w:p>
    <w:p w:rsidR="00582A00" w:rsidRPr="005B77AA" w:rsidRDefault="00582A00">
      <w:pPr>
        <w:pStyle w:val="Default"/>
        <w:rPr>
          <w:rFonts w:ascii="Calibri" w:hAnsi="Calibri" w:cs="Calibri"/>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Μεταβολισμός και απέκκριση</w:t>
      </w:r>
    </w:p>
    <w:p w:rsidR="00582A00" w:rsidRPr="005B77AA" w:rsidRDefault="00582A00">
      <w:pPr>
        <w:pStyle w:val="Default"/>
        <w:rPr>
          <w:rFonts w:ascii="Calibri" w:hAnsi="Calibri" w:cs="Calibri"/>
          <w:lang w:val="el-GR"/>
        </w:rPr>
      </w:pPr>
      <w:r>
        <w:rPr>
          <w:sz w:val="22"/>
          <w:szCs w:val="22"/>
          <w:lang w:val="el-GR"/>
        </w:rPr>
        <w:t xml:space="preserve">Η εσομεπραζόλη μεταβολίζεται πλήρως από το σύστημα του κυτοχρώματος </w:t>
      </w:r>
      <w:r>
        <w:rPr>
          <w:sz w:val="22"/>
          <w:szCs w:val="22"/>
          <w:lang w:val="en-GB"/>
        </w:rPr>
        <w:t>P</w:t>
      </w:r>
      <w:r w:rsidRPr="005B77AA">
        <w:rPr>
          <w:sz w:val="22"/>
          <w:szCs w:val="22"/>
          <w:lang w:val="el-GR"/>
        </w:rPr>
        <w:t>450 (</w:t>
      </w:r>
      <w:r>
        <w:rPr>
          <w:sz w:val="22"/>
          <w:szCs w:val="22"/>
          <w:lang w:val="en-GB"/>
        </w:rPr>
        <w:t>CYP</w:t>
      </w:r>
      <w:r w:rsidRPr="005B77AA">
        <w:rPr>
          <w:sz w:val="22"/>
          <w:szCs w:val="22"/>
          <w:lang w:val="el-GR"/>
        </w:rPr>
        <w:t xml:space="preserve">). </w:t>
      </w:r>
      <w:r>
        <w:rPr>
          <w:sz w:val="22"/>
          <w:szCs w:val="22"/>
          <w:lang w:val="el-GR"/>
        </w:rPr>
        <w:t xml:space="preserve">Το κύριο τμήμα του μεταβολισμού της εσομεπραζόλης εξαρτάται από το πολυμορφικό </w:t>
      </w:r>
      <w:r>
        <w:rPr>
          <w:sz w:val="22"/>
          <w:szCs w:val="22"/>
          <w:lang w:val="en-GB"/>
        </w:rPr>
        <w:t>CYP</w:t>
      </w:r>
      <w:r w:rsidRPr="005B77AA">
        <w:rPr>
          <w:sz w:val="22"/>
          <w:szCs w:val="22"/>
          <w:lang w:val="el-GR"/>
        </w:rPr>
        <w:t>2</w:t>
      </w:r>
      <w:r>
        <w:rPr>
          <w:sz w:val="22"/>
          <w:szCs w:val="22"/>
          <w:lang w:val="en-GB"/>
        </w:rPr>
        <w:t>C</w:t>
      </w:r>
      <w:r w:rsidRPr="005B77AA">
        <w:rPr>
          <w:sz w:val="22"/>
          <w:szCs w:val="22"/>
          <w:lang w:val="el-GR"/>
        </w:rPr>
        <w:t xml:space="preserve">19, </w:t>
      </w:r>
      <w:r>
        <w:rPr>
          <w:sz w:val="22"/>
          <w:szCs w:val="22"/>
          <w:lang w:val="el-GR"/>
        </w:rPr>
        <w:t>το οποίο είναι υπεύθυνο για το σχηματισμό υδροξυ</w:t>
      </w:r>
      <w:r w:rsidRPr="005B77AA">
        <w:rPr>
          <w:sz w:val="22"/>
          <w:szCs w:val="22"/>
          <w:lang w:val="el-GR"/>
        </w:rPr>
        <w:t xml:space="preserve">- </w:t>
      </w:r>
      <w:r>
        <w:rPr>
          <w:sz w:val="22"/>
          <w:szCs w:val="22"/>
          <w:lang w:val="el-GR"/>
        </w:rPr>
        <w:t>μεταβολιτών και απομεθυλιωμένων μεταβολιτών της εσομεπραζόλης</w:t>
      </w:r>
      <w:r w:rsidRPr="005B77AA">
        <w:rPr>
          <w:sz w:val="22"/>
          <w:szCs w:val="22"/>
          <w:lang w:val="el-GR"/>
        </w:rPr>
        <w:t xml:space="preserve">. </w:t>
      </w:r>
      <w:r>
        <w:rPr>
          <w:sz w:val="22"/>
          <w:szCs w:val="22"/>
          <w:lang w:val="el-GR"/>
        </w:rPr>
        <w:t>Το υπόλοιπο τμήμα εξαρτάται από μια άλλη ειδική ισομορφή</w:t>
      </w:r>
      <w:r w:rsidRPr="005B77AA">
        <w:rPr>
          <w:sz w:val="22"/>
          <w:szCs w:val="22"/>
          <w:lang w:val="el-GR"/>
        </w:rPr>
        <w:t xml:space="preserve">, </w:t>
      </w:r>
      <w:r>
        <w:rPr>
          <w:sz w:val="22"/>
          <w:szCs w:val="22"/>
          <w:lang w:val="el-GR"/>
        </w:rPr>
        <w:t xml:space="preserve">το </w:t>
      </w:r>
      <w:r>
        <w:rPr>
          <w:sz w:val="22"/>
          <w:szCs w:val="22"/>
          <w:lang w:val="en-GB"/>
        </w:rPr>
        <w:t>CYP</w:t>
      </w:r>
      <w:r w:rsidRPr="005B77AA">
        <w:rPr>
          <w:sz w:val="22"/>
          <w:szCs w:val="22"/>
          <w:lang w:val="el-GR"/>
        </w:rPr>
        <w:t>3</w:t>
      </w:r>
      <w:r>
        <w:rPr>
          <w:sz w:val="22"/>
          <w:szCs w:val="22"/>
          <w:lang w:val="en-GB"/>
        </w:rPr>
        <w:t>A</w:t>
      </w:r>
      <w:r w:rsidRPr="005B77AA">
        <w:rPr>
          <w:sz w:val="22"/>
          <w:szCs w:val="22"/>
          <w:lang w:val="el-GR"/>
        </w:rPr>
        <w:t xml:space="preserve">4, </w:t>
      </w:r>
      <w:r>
        <w:rPr>
          <w:sz w:val="22"/>
          <w:szCs w:val="22"/>
          <w:lang w:val="el-GR"/>
        </w:rPr>
        <w:t>το οποίο είναι υπεύθυνο για το σχηματισμό της σουλφόνης της εσομεπραζόλης</w:t>
      </w:r>
      <w:r w:rsidRPr="005B77AA">
        <w:rPr>
          <w:sz w:val="22"/>
          <w:szCs w:val="22"/>
          <w:lang w:val="el-GR"/>
        </w:rPr>
        <w:t xml:space="preserve">, </w:t>
      </w:r>
      <w:r>
        <w:rPr>
          <w:sz w:val="22"/>
          <w:szCs w:val="22"/>
          <w:lang w:val="el-GR"/>
        </w:rPr>
        <w:t>του κύριου μεταβολίτη στο πλάσμα</w:t>
      </w:r>
      <w:r w:rsidRPr="005B77AA">
        <w:rPr>
          <w:sz w:val="22"/>
          <w:szCs w:val="22"/>
          <w:lang w:val="el-GR"/>
        </w:rPr>
        <w:t>.</w:t>
      </w:r>
    </w:p>
    <w:p w:rsidR="00582A00" w:rsidRPr="005B77AA" w:rsidRDefault="00582A00">
      <w:pPr>
        <w:pStyle w:val="Default"/>
        <w:rPr>
          <w:rFonts w:ascii="Calibri" w:hAnsi="Calibri" w:cs="Calibri"/>
          <w:sz w:val="22"/>
          <w:szCs w:val="22"/>
          <w:lang w:val="el-GR"/>
        </w:rPr>
      </w:pPr>
    </w:p>
    <w:p w:rsidR="00582A00" w:rsidRPr="00123257" w:rsidRDefault="00582A00">
      <w:pPr>
        <w:pStyle w:val="Default"/>
        <w:rPr>
          <w:rFonts w:ascii="Calibri" w:hAnsi="Calibri" w:cs="Calibri"/>
          <w:lang w:val="en-US"/>
        </w:rPr>
      </w:pPr>
      <w:r>
        <w:rPr>
          <w:sz w:val="22"/>
          <w:szCs w:val="22"/>
          <w:lang w:val="el-GR"/>
        </w:rPr>
        <w:t xml:space="preserve">Οι παρακάτω παράμετροι αντανακλούν κυρίως τη φαρμακοκινητική σε άτομα με λειτουργικό ένζυμο </w:t>
      </w:r>
      <w:r>
        <w:rPr>
          <w:sz w:val="22"/>
          <w:szCs w:val="22"/>
          <w:lang w:val="en-GB"/>
        </w:rPr>
        <w:t>CYP</w:t>
      </w:r>
      <w:r w:rsidRPr="005B77AA">
        <w:rPr>
          <w:sz w:val="22"/>
          <w:szCs w:val="22"/>
          <w:lang w:val="el-GR"/>
        </w:rPr>
        <w:t>2</w:t>
      </w:r>
      <w:r>
        <w:rPr>
          <w:sz w:val="22"/>
          <w:szCs w:val="22"/>
          <w:lang w:val="en-GB"/>
        </w:rPr>
        <w:t>C</w:t>
      </w:r>
      <w:r w:rsidRPr="005B77AA">
        <w:rPr>
          <w:sz w:val="22"/>
          <w:szCs w:val="22"/>
          <w:lang w:val="el-GR"/>
        </w:rPr>
        <w:t xml:space="preserve">19, </w:t>
      </w:r>
      <w:r>
        <w:rPr>
          <w:sz w:val="22"/>
          <w:szCs w:val="22"/>
          <w:lang w:val="el-GR"/>
        </w:rPr>
        <w:t>τα άτομα που παρουσιάζουν εκτεταμένο μεταβολισμό</w:t>
      </w:r>
      <w:r w:rsidRPr="005B77AA">
        <w:rPr>
          <w:sz w:val="22"/>
          <w:szCs w:val="22"/>
          <w:lang w:val="el-GR"/>
        </w:rPr>
        <w:t xml:space="preserve">. </w:t>
      </w:r>
    </w:p>
    <w:p w:rsidR="00582A00" w:rsidRPr="005B77AA" w:rsidRDefault="00582A00">
      <w:pPr>
        <w:pStyle w:val="Default"/>
        <w:rPr>
          <w:rFonts w:ascii="Calibri" w:hAnsi="Calibri" w:cs="Calibri"/>
          <w:lang w:val="el-GR"/>
        </w:rPr>
      </w:pPr>
      <w:r>
        <w:rPr>
          <w:sz w:val="22"/>
          <w:szCs w:val="22"/>
          <w:lang w:val="el-GR"/>
        </w:rPr>
        <w:t>Η ολική κάθαρση στο πλάσμα είναι περίπου</w:t>
      </w:r>
      <w:r w:rsidRPr="005B77AA">
        <w:rPr>
          <w:sz w:val="22"/>
          <w:szCs w:val="22"/>
          <w:lang w:val="el-GR"/>
        </w:rPr>
        <w:t xml:space="preserve"> 17</w:t>
      </w:r>
      <w:r>
        <w:rPr>
          <w:rFonts w:ascii="Calibri" w:hAnsi="Calibri" w:cs="Calibri"/>
          <w:sz w:val="22"/>
          <w:szCs w:val="22"/>
          <w:lang w:val="en-GB"/>
        </w:rPr>
        <w:t> </w:t>
      </w:r>
      <w:r>
        <w:rPr>
          <w:sz w:val="22"/>
          <w:szCs w:val="22"/>
          <w:lang w:val="en-GB"/>
        </w:rPr>
        <w:t>l</w:t>
      </w:r>
      <w:r w:rsidRPr="005B77AA">
        <w:rPr>
          <w:sz w:val="22"/>
          <w:szCs w:val="22"/>
          <w:lang w:val="el-GR"/>
        </w:rPr>
        <w:t>/</w:t>
      </w:r>
      <w:r>
        <w:rPr>
          <w:sz w:val="22"/>
          <w:szCs w:val="22"/>
          <w:lang w:val="en-GB"/>
        </w:rPr>
        <w:t>h</w:t>
      </w:r>
      <w:r w:rsidRPr="005B77AA">
        <w:rPr>
          <w:sz w:val="22"/>
          <w:szCs w:val="22"/>
          <w:lang w:val="el-GR"/>
        </w:rPr>
        <w:t xml:space="preserve"> </w:t>
      </w:r>
      <w:r>
        <w:rPr>
          <w:sz w:val="22"/>
          <w:szCs w:val="22"/>
          <w:lang w:val="el-GR"/>
        </w:rPr>
        <w:t>μετά από εφάπαξ δόση και περίπου</w:t>
      </w:r>
      <w:r w:rsidRPr="005B77AA">
        <w:rPr>
          <w:sz w:val="22"/>
          <w:szCs w:val="22"/>
          <w:lang w:val="el-GR"/>
        </w:rPr>
        <w:t xml:space="preserve"> 9</w:t>
      </w:r>
      <w:r>
        <w:rPr>
          <w:rFonts w:ascii="Calibri" w:hAnsi="Calibri" w:cs="Calibri"/>
          <w:sz w:val="22"/>
          <w:szCs w:val="22"/>
          <w:lang w:val="en-GB"/>
        </w:rPr>
        <w:t> </w:t>
      </w:r>
      <w:r>
        <w:rPr>
          <w:sz w:val="22"/>
          <w:szCs w:val="22"/>
          <w:lang w:val="en-GB"/>
        </w:rPr>
        <w:t>l</w:t>
      </w:r>
      <w:r w:rsidRPr="005B77AA">
        <w:rPr>
          <w:sz w:val="22"/>
          <w:szCs w:val="22"/>
          <w:lang w:val="el-GR"/>
        </w:rPr>
        <w:t>/</w:t>
      </w:r>
      <w:r>
        <w:rPr>
          <w:sz w:val="22"/>
          <w:szCs w:val="22"/>
          <w:lang w:val="en-GB"/>
        </w:rPr>
        <w:t>h</w:t>
      </w:r>
      <w:r w:rsidRPr="005B77AA">
        <w:rPr>
          <w:sz w:val="22"/>
          <w:szCs w:val="22"/>
          <w:lang w:val="el-GR"/>
        </w:rPr>
        <w:t xml:space="preserve"> </w:t>
      </w:r>
      <w:r>
        <w:rPr>
          <w:sz w:val="22"/>
          <w:szCs w:val="22"/>
          <w:lang w:val="el-GR"/>
        </w:rPr>
        <w:t>μετά από επαναλαμβανόμενη χορήγηση</w:t>
      </w:r>
      <w:r w:rsidRPr="005B77AA">
        <w:rPr>
          <w:sz w:val="22"/>
          <w:szCs w:val="22"/>
          <w:lang w:val="el-GR"/>
        </w:rPr>
        <w:t xml:space="preserve">. </w:t>
      </w:r>
      <w:r>
        <w:rPr>
          <w:sz w:val="22"/>
          <w:szCs w:val="22"/>
          <w:lang w:val="el-GR"/>
        </w:rPr>
        <w:t>Ο χρόνος ημίσειας ζωής αποβολής στο πλάσμα είναι περίπου</w:t>
      </w:r>
      <w:r w:rsidRPr="005B77AA">
        <w:rPr>
          <w:sz w:val="22"/>
          <w:szCs w:val="22"/>
          <w:lang w:val="el-GR"/>
        </w:rPr>
        <w:t xml:space="preserve"> 1,3 </w:t>
      </w:r>
      <w:r>
        <w:rPr>
          <w:sz w:val="22"/>
          <w:szCs w:val="22"/>
          <w:lang w:val="el-GR"/>
        </w:rPr>
        <w:t>ώρες μετά από επαναλαμβανόμενη χορήγηση δόσης μία φορά την ημέρα</w:t>
      </w:r>
      <w:r w:rsidRPr="005B77AA">
        <w:rPr>
          <w:sz w:val="22"/>
          <w:szCs w:val="22"/>
          <w:lang w:val="el-GR"/>
        </w:rPr>
        <w:t xml:space="preserve">. </w:t>
      </w:r>
      <w:r>
        <w:rPr>
          <w:sz w:val="22"/>
          <w:szCs w:val="22"/>
          <w:lang w:val="el-GR"/>
        </w:rPr>
        <w:t>Η φαρμακοκινητική της εσομεπραζόλης έχει μελετηθεί σε δόσεις έως και</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δύο φορές την ημέρα</w:t>
      </w:r>
      <w:r w:rsidRPr="005B77AA">
        <w:rPr>
          <w:sz w:val="22"/>
          <w:szCs w:val="22"/>
          <w:lang w:val="el-GR"/>
        </w:rPr>
        <w:t xml:space="preserve">.  </w:t>
      </w:r>
      <w:r>
        <w:rPr>
          <w:sz w:val="22"/>
          <w:szCs w:val="22"/>
          <w:lang w:val="el-GR"/>
        </w:rPr>
        <w:t>Το εμβαδόν κάτω από την καμπύλη συγκέντρωσης στο πλάσμα</w:t>
      </w:r>
      <w:r w:rsidRPr="005B77AA">
        <w:rPr>
          <w:sz w:val="22"/>
          <w:szCs w:val="22"/>
          <w:lang w:val="el-GR"/>
        </w:rPr>
        <w:t>-</w:t>
      </w:r>
      <w:r>
        <w:rPr>
          <w:sz w:val="22"/>
          <w:szCs w:val="22"/>
          <w:lang w:val="el-GR"/>
        </w:rPr>
        <w:t>χρόνου αυξάνει με την επαναλαμβανόμενη χορήγηση εσομεπραζόλης</w:t>
      </w:r>
      <w:r w:rsidRPr="005B77AA">
        <w:rPr>
          <w:sz w:val="22"/>
          <w:szCs w:val="22"/>
          <w:lang w:val="el-GR"/>
        </w:rPr>
        <w:t xml:space="preserve">. </w:t>
      </w:r>
      <w:r>
        <w:rPr>
          <w:sz w:val="22"/>
          <w:szCs w:val="22"/>
          <w:lang w:val="el-GR"/>
        </w:rPr>
        <w:t xml:space="preserve">Αυτή η αύξηση είναι δοσοεξαρτώμενη και οδηγεί σε μεγαλύτερη από αναλογική αύξηση του </w:t>
      </w:r>
      <w:r>
        <w:rPr>
          <w:sz w:val="22"/>
          <w:szCs w:val="22"/>
          <w:lang w:val="en-GB"/>
        </w:rPr>
        <w:t>AUC</w:t>
      </w:r>
      <w:r w:rsidRPr="005B77AA">
        <w:rPr>
          <w:sz w:val="22"/>
          <w:szCs w:val="22"/>
          <w:lang w:val="el-GR"/>
        </w:rPr>
        <w:t xml:space="preserve"> </w:t>
      </w:r>
      <w:r>
        <w:rPr>
          <w:sz w:val="22"/>
          <w:szCs w:val="22"/>
          <w:lang w:val="el-GR"/>
        </w:rPr>
        <w:t>σε σχέση με τη δόση μετά από επαναλαμβανόμενη χορήγηση</w:t>
      </w:r>
      <w:r w:rsidRPr="005B77AA">
        <w:rPr>
          <w:sz w:val="22"/>
          <w:szCs w:val="22"/>
          <w:lang w:val="el-GR"/>
        </w:rPr>
        <w:t xml:space="preserve">. </w:t>
      </w:r>
      <w:r>
        <w:rPr>
          <w:sz w:val="22"/>
          <w:szCs w:val="22"/>
          <w:lang w:val="el-GR"/>
        </w:rPr>
        <w:t xml:space="preserve">Αυτή η εξάρτηση από το χρόνο και τη δόση οφείλεται σε μείωση του μεταβολισμού πρώτης διόδου και της συστηματικής κάθαρσης που πιθανώς προκαλείται από αναστολή του ενζύμου </w:t>
      </w:r>
      <w:r>
        <w:rPr>
          <w:sz w:val="22"/>
          <w:szCs w:val="22"/>
          <w:lang w:val="en-GB"/>
        </w:rPr>
        <w:t>CYP</w:t>
      </w:r>
      <w:r w:rsidRPr="005B77AA">
        <w:rPr>
          <w:sz w:val="22"/>
          <w:szCs w:val="22"/>
          <w:lang w:val="el-GR"/>
        </w:rPr>
        <w:t>2</w:t>
      </w:r>
      <w:r>
        <w:rPr>
          <w:sz w:val="22"/>
          <w:szCs w:val="22"/>
          <w:lang w:val="en-GB"/>
        </w:rPr>
        <w:t>C</w:t>
      </w:r>
      <w:r w:rsidRPr="005B77AA">
        <w:rPr>
          <w:sz w:val="22"/>
          <w:szCs w:val="22"/>
          <w:lang w:val="el-GR"/>
        </w:rPr>
        <w:t xml:space="preserve">19 </w:t>
      </w:r>
      <w:r>
        <w:rPr>
          <w:sz w:val="22"/>
          <w:szCs w:val="22"/>
          <w:lang w:val="el-GR"/>
        </w:rPr>
        <w:t>από την εσομεπραζόλη και</w:t>
      </w:r>
      <w:r w:rsidRPr="005B77AA">
        <w:rPr>
          <w:sz w:val="22"/>
          <w:szCs w:val="22"/>
          <w:lang w:val="el-GR"/>
        </w:rPr>
        <w:t>/</w:t>
      </w:r>
      <w:r>
        <w:rPr>
          <w:sz w:val="22"/>
          <w:szCs w:val="22"/>
          <w:lang w:val="el-GR"/>
        </w:rPr>
        <w:t>ή το σουλφονικό μεταβολίτη της</w:t>
      </w:r>
      <w:r w:rsidRPr="005B77AA">
        <w:rPr>
          <w:sz w:val="22"/>
          <w:szCs w:val="22"/>
          <w:lang w:val="el-GR"/>
        </w:rPr>
        <w:t xml:space="preserve">. </w:t>
      </w:r>
      <w:r>
        <w:rPr>
          <w:sz w:val="22"/>
          <w:szCs w:val="22"/>
          <w:lang w:val="el-GR"/>
        </w:rPr>
        <w:t>Η εσομεπραζόλη αποβάλλεται πλήρως από το πλάσμα μεταξύ των δόσεων χωρίς τάση για συσσώρευση κατά τη διάρκεια της χορήγησης μία φορά την ημέρα</w:t>
      </w:r>
      <w:r w:rsidRPr="005B77AA">
        <w:rPr>
          <w:sz w:val="22"/>
          <w:szCs w:val="22"/>
          <w:lang w:val="el-GR"/>
        </w:rPr>
        <w:t xml:space="preserve">. </w:t>
      </w:r>
    </w:p>
    <w:p w:rsidR="00582A00" w:rsidRPr="005B77AA" w:rsidRDefault="00582A00">
      <w:pPr>
        <w:pStyle w:val="Default"/>
        <w:rPr>
          <w:rFonts w:ascii="Calibri" w:hAnsi="Calibri" w:cs="Calibri"/>
          <w:lang w:val="el-GR"/>
        </w:rPr>
      </w:pPr>
      <w:r>
        <w:rPr>
          <w:sz w:val="22"/>
          <w:szCs w:val="22"/>
          <w:lang w:val="el-GR"/>
        </w:rPr>
        <w:t>Οι κύριοι μεταβολίτες της εσομεπραζόλης δεν έχουν καμία επίδραση στην έκκριση γαστρικού οξέος</w:t>
      </w:r>
      <w:r w:rsidRPr="005B77AA">
        <w:rPr>
          <w:sz w:val="22"/>
          <w:szCs w:val="22"/>
          <w:lang w:val="el-GR"/>
        </w:rPr>
        <w:t xml:space="preserve">. </w:t>
      </w:r>
      <w:r>
        <w:rPr>
          <w:sz w:val="22"/>
          <w:szCs w:val="22"/>
          <w:lang w:val="el-GR"/>
        </w:rPr>
        <w:t>Περίπου το</w:t>
      </w:r>
      <w:r w:rsidRPr="005B77AA">
        <w:rPr>
          <w:sz w:val="22"/>
          <w:szCs w:val="22"/>
          <w:lang w:val="el-GR"/>
        </w:rPr>
        <w:t xml:space="preserve"> 80% </w:t>
      </w:r>
      <w:r>
        <w:rPr>
          <w:sz w:val="22"/>
          <w:szCs w:val="22"/>
          <w:lang w:val="el-GR"/>
        </w:rPr>
        <w:t>της δόσης εσομεπραζόλης από του στόματος απεκκρίνεται ως μεταβολίτες στα ούρα και το υπόλοιπο στα κόπρανα</w:t>
      </w:r>
      <w:r w:rsidRPr="005B77AA">
        <w:rPr>
          <w:sz w:val="22"/>
          <w:szCs w:val="22"/>
          <w:lang w:val="el-GR"/>
        </w:rPr>
        <w:t xml:space="preserve">. </w:t>
      </w:r>
      <w:r>
        <w:rPr>
          <w:sz w:val="22"/>
          <w:szCs w:val="22"/>
          <w:lang w:val="el-GR"/>
        </w:rPr>
        <w:t>Λιγότερο από</w:t>
      </w:r>
      <w:r w:rsidRPr="005B77AA">
        <w:rPr>
          <w:sz w:val="22"/>
          <w:szCs w:val="22"/>
          <w:lang w:val="el-GR"/>
        </w:rPr>
        <w:t xml:space="preserve"> 1% </w:t>
      </w:r>
      <w:r>
        <w:rPr>
          <w:sz w:val="22"/>
          <w:szCs w:val="22"/>
          <w:lang w:val="el-GR"/>
        </w:rPr>
        <w:t>του μητρικού φαρμάκου ανευρίσκεται στα ούρα</w:t>
      </w:r>
      <w:r w:rsidRPr="005B77AA">
        <w:rPr>
          <w:sz w:val="22"/>
          <w:szCs w:val="22"/>
          <w:lang w:val="el-GR"/>
        </w:rPr>
        <w:t xml:space="preserve">. </w:t>
      </w:r>
    </w:p>
    <w:p w:rsidR="00582A00" w:rsidRPr="005B77AA" w:rsidRDefault="00582A00">
      <w:pPr>
        <w:pStyle w:val="Default"/>
        <w:rPr>
          <w:rFonts w:ascii="Calibri" w:hAnsi="Calibri" w:cs="Calibri"/>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Ειδικοί πληθυσμοί ασθενών</w:t>
      </w:r>
    </w:p>
    <w:p w:rsidR="00582A00" w:rsidRPr="005B77AA" w:rsidRDefault="00582A00">
      <w:pPr>
        <w:pStyle w:val="Default"/>
        <w:rPr>
          <w:rFonts w:ascii="Calibri" w:hAnsi="Calibri" w:cs="Calibri"/>
          <w:lang w:val="el-GR"/>
        </w:rPr>
      </w:pPr>
      <w:r>
        <w:rPr>
          <w:sz w:val="22"/>
          <w:szCs w:val="22"/>
          <w:lang w:val="el-GR"/>
        </w:rPr>
        <w:t>Περίπου το</w:t>
      </w:r>
      <w:r w:rsidRPr="005B77AA">
        <w:rPr>
          <w:sz w:val="22"/>
          <w:szCs w:val="22"/>
          <w:lang w:val="el-GR"/>
        </w:rPr>
        <w:t xml:space="preserve"> 2,9±1,5% </w:t>
      </w:r>
      <w:r>
        <w:rPr>
          <w:sz w:val="22"/>
          <w:szCs w:val="22"/>
          <w:lang w:val="el-GR"/>
        </w:rPr>
        <w:t xml:space="preserve">του πληθυσμού στερείται λειτουργικού ενζύμου </w:t>
      </w:r>
      <w:r>
        <w:rPr>
          <w:sz w:val="22"/>
          <w:szCs w:val="22"/>
          <w:lang w:val="en-GB"/>
        </w:rPr>
        <w:t>CYP</w:t>
      </w:r>
      <w:r w:rsidRPr="005B77AA">
        <w:rPr>
          <w:sz w:val="22"/>
          <w:szCs w:val="22"/>
          <w:lang w:val="el-GR"/>
        </w:rPr>
        <w:t>2</w:t>
      </w:r>
      <w:r>
        <w:rPr>
          <w:sz w:val="22"/>
          <w:szCs w:val="22"/>
          <w:lang w:val="en-GB"/>
        </w:rPr>
        <w:t>C</w:t>
      </w:r>
      <w:r w:rsidRPr="005B77AA">
        <w:rPr>
          <w:sz w:val="22"/>
          <w:szCs w:val="22"/>
          <w:lang w:val="el-GR"/>
        </w:rPr>
        <w:t xml:space="preserve">19 </w:t>
      </w:r>
      <w:r>
        <w:rPr>
          <w:sz w:val="22"/>
          <w:szCs w:val="22"/>
          <w:lang w:val="el-GR"/>
        </w:rPr>
        <w:t>και θεωρούνται άτομα που παρουσιάζουν πτωχό μεταβολισμό</w:t>
      </w:r>
      <w:r w:rsidRPr="005B77AA">
        <w:rPr>
          <w:sz w:val="22"/>
          <w:szCs w:val="22"/>
          <w:lang w:val="el-GR"/>
        </w:rPr>
        <w:t xml:space="preserve">. </w:t>
      </w:r>
      <w:r>
        <w:rPr>
          <w:sz w:val="22"/>
          <w:szCs w:val="22"/>
          <w:lang w:val="el-GR"/>
        </w:rPr>
        <w:t>Σε αυτά τα άτομα</w:t>
      </w:r>
      <w:r w:rsidRPr="005B77AA">
        <w:rPr>
          <w:sz w:val="22"/>
          <w:szCs w:val="22"/>
          <w:lang w:val="el-GR"/>
        </w:rPr>
        <w:t xml:space="preserve">, </w:t>
      </w:r>
      <w:r>
        <w:rPr>
          <w:sz w:val="22"/>
          <w:szCs w:val="22"/>
          <w:lang w:val="el-GR"/>
        </w:rPr>
        <w:t xml:space="preserve">ο μεταβολισμός της εσομεπραζόλης πιθανώς να καταλύεται κυρίως από το </w:t>
      </w:r>
      <w:r>
        <w:rPr>
          <w:sz w:val="22"/>
          <w:szCs w:val="22"/>
          <w:lang w:val="en-GB"/>
        </w:rPr>
        <w:t>CYP</w:t>
      </w:r>
      <w:r w:rsidRPr="005B77AA">
        <w:rPr>
          <w:sz w:val="22"/>
          <w:szCs w:val="22"/>
          <w:lang w:val="el-GR"/>
        </w:rPr>
        <w:t>3</w:t>
      </w:r>
      <w:r>
        <w:rPr>
          <w:sz w:val="22"/>
          <w:szCs w:val="22"/>
          <w:lang w:val="en-GB"/>
        </w:rPr>
        <w:t>A</w:t>
      </w:r>
      <w:r w:rsidRPr="005B77AA">
        <w:rPr>
          <w:sz w:val="22"/>
          <w:szCs w:val="22"/>
          <w:lang w:val="el-GR"/>
        </w:rPr>
        <w:t xml:space="preserve">4. </w:t>
      </w:r>
      <w:r>
        <w:rPr>
          <w:sz w:val="22"/>
          <w:szCs w:val="22"/>
          <w:lang w:val="el-GR"/>
        </w:rPr>
        <w:t>Μετά την επαναλαμβανόμενη χορήγηση</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 μία φορά την ημέρα</w:t>
      </w:r>
      <w:r w:rsidRPr="005B77AA">
        <w:rPr>
          <w:sz w:val="22"/>
          <w:szCs w:val="22"/>
          <w:lang w:val="el-GR"/>
        </w:rPr>
        <w:t xml:space="preserve">, </w:t>
      </w:r>
      <w:r>
        <w:rPr>
          <w:sz w:val="22"/>
          <w:szCs w:val="22"/>
          <w:lang w:val="el-GR"/>
        </w:rPr>
        <w:t>το μέσο εμβαδόν κάτω από την καμπύλη συγκέντρωσης στο πλάσμα</w:t>
      </w:r>
      <w:r w:rsidRPr="005B77AA">
        <w:rPr>
          <w:sz w:val="22"/>
          <w:szCs w:val="22"/>
          <w:lang w:val="el-GR"/>
        </w:rPr>
        <w:t>-</w:t>
      </w:r>
      <w:r>
        <w:rPr>
          <w:sz w:val="22"/>
          <w:szCs w:val="22"/>
          <w:lang w:val="el-GR"/>
        </w:rPr>
        <w:t>χρόνου ήταν περίπου</w:t>
      </w:r>
      <w:r w:rsidRPr="005B77AA">
        <w:rPr>
          <w:sz w:val="22"/>
          <w:szCs w:val="22"/>
          <w:lang w:val="el-GR"/>
        </w:rPr>
        <w:t xml:space="preserve"> 100% </w:t>
      </w:r>
      <w:r>
        <w:rPr>
          <w:sz w:val="22"/>
          <w:szCs w:val="22"/>
          <w:lang w:val="el-GR"/>
        </w:rPr>
        <w:t xml:space="preserve">υψηλότερο στα άτομα που παρουσιάζουν πτωχό μεταβολισμό παρά σε ασθενείς που διαθέτουν λειτουργικό ένζυμο </w:t>
      </w:r>
      <w:r>
        <w:rPr>
          <w:sz w:val="22"/>
          <w:szCs w:val="22"/>
          <w:lang w:val="en-GB"/>
        </w:rPr>
        <w:t>CYP</w:t>
      </w:r>
      <w:r w:rsidRPr="005B77AA">
        <w:rPr>
          <w:sz w:val="22"/>
          <w:szCs w:val="22"/>
          <w:lang w:val="el-GR"/>
        </w:rPr>
        <w:t>2</w:t>
      </w:r>
      <w:r>
        <w:rPr>
          <w:sz w:val="22"/>
          <w:szCs w:val="22"/>
          <w:lang w:val="en-GB"/>
        </w:rPr>
        <w:t>C</w:t>
      </w:r>
      <w:r w:rsidRPr="005B77AA">
        <w:rPr>
          <w:sz w:val="22"/>
          <w:szCs w:val="22"/>
          <w:lang w:val="el-GR"/>
        </w:rPr>
        <w:t>19 (</w:t>
      </w:r>
      <w:r>
        <w:rPr>
          <w:sz w:val="22"/>
          <w:szCs w:val="22"/>
          <w:lang w:val="el-GR"/>
        </w:rPr>
        <w:t>άτομα που παρουσιάζουν εκτεταμένο μεταβολισμό</w:t>
      </w:r>
      <w:r w:rsidRPr="005B77AA">
        <w:rPr>
          <w:sz w:val="22"/>
          <w:szCs w:val="22"/>
          <w:lang w:val="el-GR"/>
        </w:rPr>
        <w:t xml:space="preserve">). </w:t>
      </w:r>
      <w:r>
        <w:rPr>
          <w:sz w:val="22"/>
          <w:szCs w:val="22"/>
          <w:lang w:val="el-GR"/>
        </w:rPr>
        <w:t>Οι μέσες μέγιστες συγκεντρώσεις στο πλάσμα αυξήθηκαν κατά περίπου</w:t>
      </w:r>
      <w:r w:rsidRPr="005B77AA">
        <w:rPr>
          <w:sz w:val="22"/>
          <w:szCs w:val="22"/>
          <w:lang w:val="el-GR"/>
        </w:rPr>
        <w:t xml:space="preserve"> 60%.</w:t>
      </w:r>
    </w:p>
    <w:p w:rsidR="00582A00" w:rsidRPr="00123257" w:rsidRDefault="00582A00">
      <w:pPr>
        <w:pStyle w:val="Default"/>
        <w:rPr>
          <w:rFonts w:ascii="Calibri" w:hAnsi="Calibri" w:cs="Calibri"/>
          <w:sz w:val="22"/>
          <w:szCs w:val="22"/>
          <w:lang w:val="en-US"/>
        </w:rPr>
      </w:pPr>
      <w:r>
        <w:rPr>
          <w:sz w:val="22"/>
          <w:szCs w:val="22"/>
          <w:lang w:val="el-GR"/>
        </w:rPr>
        <w:t>Αυτά τα ευρήματα δεν έχουν καμία επίπτωση στη δοσολογία της εσομεπραζόλης</w:t>
      </w:r>
      <w:r w:rsidRPr="005B77AA">
        <w:rPr>
          <w:sz w:val="22"/>
          <w:szCs w:val="22"/>
          <w:lang w:val="el-GR"/>
        </w:rPr>
        <w:t xml:space="preserve">. </w:t>
      </w:r>
    </w:p>
    <w:p w:rsidR="00582A00" w:rsidRPr="00123257" w:rsidRDefault="00582A00">
      <w:pPr>
        <w:pStyle w:val="Default"/>
        <w:rPr>
          <w:rFonts w:ascii="Calibri" w:hAnsi="Calibri" w:cs="Calibri"/>
          <w:sz w:val="22"/>
          <w:szCs w:val="22"/>
          <w:lang w:val="en-US"/>
        </w:rPr>
      </w:pPr>
      <w:r>
        <w:rPr>
          <w:sz w:val="22"/>
          <w:szCs w:val="22"/>
          <w:lang w:val="el-GR"/>
        </w:rPr>
        <w:t>Ο μεταβολισμός της εσομεπραζόλης δεν μεταβάλλεται σημαντικά σε ηλικιωμένους ασθενείς</w:t>
      </w:r>
      <w:r w:rsidRPr="005B77AA">
        <w:rPr>
          <w:sz w:val="22"/>
          <w:szCs w:val="22"/>
          <w:lang w:val="el-GR"/>
        </w:rPr>
        <w:t xml:space="preserve"> (</w:t>
      </w:r>
      <w:r>
        <w:rPr>
          <w:sz w:val="22"/>
          <w:szCs w:val="22"/>
          <w:lang w:val="el-GR"/>
        </w:rPr>
        <w:t>ηλικίας</w:t>
      </w:r>
      <w:r w:rsidRPr="005B77AA">
        <w:rPr>
          <w:sz w:val="22"/>
          <w:szCs w:val="22"/>
          <w:lang w:val="el-GR"/>
        </w:rPr>
        <w:t xml:space="preserve"> 71-80 </w:t>
      </w:r>
      <w:r>
        <w:rPr>
          <w:sz w:val="22"/>
          <w:szCs w:val="22"/>
          <w:lang w:val="el-GR"/>
        </w:rPr>
        <w:t>ετών</w:t>
      </w:r>
      <w:r w:rsidRPr="005B77AA">
        <w:rPr>
          <w:sz w:val="22"/>
          <w:szCs w:val="22"/>
          <w:lang w:val="el-GR"/>
        </w:rPr>
        <w:t>).</w:t>
      </w:r>
    </w:p>
    <w:p w:rsidR="00582A00" w:rsidRPr="005B77AA" w:rsidRDefault="00582A00">
      <w:pPr>
        <w:pStyle w:val="Default"/>
        <w:rPr>
          <w:rFonts w:ascii="Calibri" w:hAnsi="Calibri" w:cs="Calibri"/>
          <w:lang w:val="el-GR"/>
        </w:rPr>
      </w:pPr>
      <w:r>
        <w:rPr>
          <w:sz w:val="22"/>
          <w:szCs w:val="22"/>
          <w:lang w:val="el-GR"/>
        </w:rPr>
        <w:t>Μετά από εφάπαξ δόση</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w:t>
      </w:r>
      <w:r w:rsidRPr="005B77AA">
        <w:rPr>
          <w:sz w:val="22"/>
          <w:szCs w:val="22"/>
          <w:lang w:val="el-GR"/>
        </w:rPr>
        <w:t xml:space="preserve">, </w:t>
      </w:r>
      <w:r>
        <w:rPr>
          <w:sz w:val="22"/>
          <w:szCs w:val="22"/>
          <w:lang w:val="el-GR"/>
        </w:rPr>
        <w:t>το μέσο εμβαδόν κάτω από την καμπύλη συγκέντρωσης στο πλάσμα</w:t>
      </w:r>
      <w:r w:rsidRPr="005B77AA">
        <w:rPr>
          <w:sz w:val="22"/>
          <w:szCs w:val="22"/>
          <w:lang w:val="el-GR"/>
        </w:rPr>
        <w:t>-</w:t>
      </w:r>
      <w:r>
        <w:rPr>
          <w:sz w:val="22"/>
          <w:szCs w:val="22"/>
          <w:lang w:val="el-GR"/>
        </w:rPr>
        <w:t>χρόνου είναι περίπου</w:t>
      </w:r>
      <w:r w:rsidRPr="005B77AA">
        <w:rPr>
          <w:sz w:val="22"/>
          <w:szCs w:val="22"/>
          <w:lang w:val="el-GR"/>
        </w:rPr>
        <w:t xml:space="preserve"> 30% </w:t>
      </w:r>
      <w:r>
        <w:rPr>
          <w:sz w:val="22"/>
          <w:szCs w:val="22"/>
          <w:lang w:val="el-GR"/>
        </w:rPr>
        <w:t>υψηλότερο σε γυναίκες παρά σε άνδρες</w:t>
      </w:r>
      <w:r w:rsidRPr="005B77AA">
        <w:rPr>
          <w:sz w:val="22"/>
          <w:szCs w:val="22"/>
          <w:lang w:val="el-GR"/>
        </w:rPr>
        <w:t xml:space="preserve">. </w:t>
      </w:r>
      <w:r>
        <w:rPr>
          <w:sz w:val="22"/>
          <w:szCs w:val="22"/>
          <w:lang w:val="el-GR"/>
        </w:rPr>
        <w:t>Δεν παρατηρείται διαφορά μεταξύ των φύλων μετά από επαναλαμβανόμενη χορήγηση μία φορά την ημέρα</w:t>
      </w:r>
      <w:r w:rsidRPr="005B77AA">
        <w:rPr>
          <w:sz w:val="22"/>
          <w:szCs w:val="22"/>
          <w:lang w:val="el-GR"/>
        </w:rPr>
        <w:t xml:space="preserve">. </w:t>
      </w:r>
      <w:r>
        <w:rPr>
          <w:sz w:val="22"/>
          <w:szCs w:val="22"/>
          <w:lang w:val="el-GR"/>
        </w:rPr>
        <w:t>Αυτά τα ευρήματα δεν έχουν επιπτώσεις στη δοσολογία της εσομεπραζόλης</w:t>
      </w:r>
      <w:r w:rsidRPr="005B77AA">
        <w:rPr>
          <w:sz w:val="22"/>
          <w:szCs w:val="22"/>
          <w:lang w:val="el-GR"/>
        </w:rPr>
        <w:t>.</w:t>
      </w:r>
    </w:p>
    <w:p w:rsidR="00582A00" w:rsidRPr="005B77AA" w:rsidRDefault="00582A00">
      <w:pPr>
        <w:pStyle w:val="Default"/>
        <w:rPr>
          <w:rFonts w:ascii="Calibri" w:hAnsi="Calibri" w:cs="Calibri"/>
          <w:sz w:val="22"/>
          <w:szCs w:val="22"/>
          <w:lang w:val="el-GR"/>
        </w:rPr>
      </w:pPr>
    </w:p>
    <w:p w:rsidR="00582A00" w:rsidRPr="005B77AA" w:rsidRDefault="00582A00">
      <w:pPr>
        <w:pStyle w:val="Default"/>
        <w:rPr>
          <w:rFonts w:ascii="Calibri" w:hAnsi="Calibri" w:cs="Calibri"/>
          <w:sz w:val="22"/>
          <w:szCs w:val="22"/>
          <w:u w:val="single"/>
          <w:lang w:val="el-GR"/>
        </w:rPr>
      </w:pPr>
      <w:r>
        <w:rPr>
          <w:sz w:val="22"/>
          <w:szCs w:val="22"/>
          <w:u w:val="single"/>
          <w:lang w:val="el-GR"/>
        </w:rPr>
        <w:t>Δυσλειτουργία οργάνων</w:t>
      </w:r>
    </w:p>
    <w:p w:rsidR="00582A00" w:rsidRPr="00123257" w:rsidRDefault="00582A00">
      <w:pPr>
        <w:pStyle w:val="Default"/>
        <w:rPr>
          <w:rFonts w:ascii="Calibri" w:hAnsi="Calibri" w:cs="Calibri"/>
          <w:sz w:val="22"/>
          <w:szCs w:val="22"/>
          <w:lang w:val="en-US"/>
        </w:rPr>
      </w:pPr>
      <w:r>
        <w:rPr>
          <w:sz w:val="22"/>
          <w:szCs w:val="22"/>
          <w:lang w:val="el-GR"/>
        </w:rPr>
        <w:t>Ο μεταβολισμός της εσομεπραζόλης σε ασθενείς με ήπια έως μέτρια ηπατική δυσλειτουργία ενδέχεται να είναι μειωμένος</w:t>
      </w:r>
      <w:r w:rsidRPr="005B77AA">
        <w:rPr>
          <w:sz w:val="22"/>
          <w:szCs w:val="22"/>
          <w:lang w:val="el-GR"/>
        </w:rPr>
        <w:t xml:space="preserve">. </w:t>
      </w:r>
      <w:r>
        <w:rPr>
          <w:sz w:val="22"/>
          <w:szCs w:val="22"/>
          <w:lang w:val="el-GR"/>
        </w:rPr>
        <w:t>Ο ρυθμός του μεταβολισμού μειώνεται σε ασθενείς με βαριά ηπατική δυσλειτουργία καταλήγοντας σε διπλασιασμό του εμβαδού κάτω από την καμπύλη συγκέντρωσης στο πλάσμα</w:t>
      </w:r>
      <w:r w:rsidRPr="005B77AA">
        <w:rPr>
          <w:sz w:val="22"/>
          <w:szCs w:val="22"/>
          <w:lang w:val="el-GR"/>
        </w:rPr>
        <w:t>-</w:t>
      </w:r>
      <w:r>
        <w:rPr>
          <w:sz w:val="22"/>
          <w:szCs w:val="22"/>
          <w:lang w:val="el-GR"/>
        </w:rPr>
        <w:t>χρόνου της εσομεπραζόλης</w:t>
      </w:r>
      <w:r w:rsidRPr="005B77AA">
        <w:rPr>
          <w:sz w:val="22"/>
          <w:szCs w:val="22"/>
          <w:lang w:val="el-GR"/>
        </w:rPr>
        <w:t xml:space="preserve">. </w:t>
      </w:r>
      <w:r>
        <w:rPr>
          <w:sz w:val="22"/>
          <w:szCs w:val="22"/>
          <w:lang w:val="el-GR"/>
        </w:rPr>
        <w:t>Επομένως</w:t>
      </w:r>
      <w:r w:rsidRPr="005B77AA">
        <w:rPr>
          <w:sz w:val="22"/>
          <w:szCs w:val="22"/>
          <w:lang w:val="el-GR"/>
        </w:rPr>
        <w:t xml:space="preserve">, </w:t>
      </w:r>
      <w:r>
        <w:rPr>
          <w:sz w:val="22"/>
          <w:szCs w:val="22"/>
          <w:lang w:val="el-GR"/>
        </w:rPr>
        <w:t xml:space="preserve">δεν θα πρέπει να γίνεται υπέρβαση της μέγιστης δόσης των </w:t>
      </w:r>
      <w:r w:rsidRPr="005B77AA">
        <w:rPr>
          <w:sz w:val="22"/>
          <w:szCs w:val="22"/>
          <w:lang w:val="el-GR"/>
        </w:rPr>
        <w:t>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σε ασθενείς με βαριά δυσλειτουργία</w:t>
      </w:r>
      <w:r w:rsidRPr="005B77AA">
        <w:rPr>
          <w:sz w:val="22"/>
          <w:szCs w:val="22"/>
          <w:lang w:val="el-GR"/>
        </w:rPr>
        <w:t xml:space="preserve">. </w:t>
      </w:r>
      <w:r>
        <w:rPr>
          <w:sz w:val="22"/>
          <w:szCs w:val="22"/>
          <w:lang w:val="el-GR"/>
        </w:rPr>
        <w:t>Η εσομεπραζόλη ή οι κύριοι μεταβολίτες της δεν δείχνουν καμία τάση για συσσώρευση με τη χορήγηση δόσης μία φορά την ημέρα</w:t>
      </w:r>
      <w:r w:rsidRPr="005B77AA">
        <w:rPr>
          <w:sz w:val="22"/>
          <w:szCs w:val="22"/>
          <w:lang w:val="el-GR"/>
        </w:rPr>
        <w:t>.</w:t>
      </w:r>
    </w:p>
    <w:p w:rsidR="00582A00" w:rsidRPr="005B77AA" w:rsidRDefault="00582A00">
      <w:pPr>
        <w:pStyle w:val="Default"/>
        <w:rPr>
          <w:rFonts w:ascii="Calibri" w:hAnsi="Calibri" w:cs="Calibri"/>
          <w:lang w:val="el-GR"/>
        </w:rPr>
      </w:pPr>
      <w:r>
        <w:rPr>
          <w:sz w:val="22"/>
          <w:szCs w:val="22"/>
          <w:lang w:val="el-GR"/>
        </w:rPr>
        <w:t>Δεν έχουν πραγματοποιηθεί μελέτες σε ασθενείς με μειωμένη νεφρική λειτουργία</w:t>
      </w:r>
      <w:r w:rsidRPr="005B77AA">
        <w:rPr>
          <w:sz w:val="22"/>
          <w:szCs w:val="22"/>
          <w:lang w:val="el-GR"/>
        </w:rPr>
        <w:t xml:space="preserve">. </w:t>
      </w:r>
      <w:r>
        <w:rPr>
          <w:sz w:val="22"/>
          <w:szCs w:val="22"/>
          <w:lang w:val="el-GR"/>
        </w:rPr>
        <w:t>Εφόσον ο νεφρός είναι υπεύθυνος για την απέκκριση των μεταβολιτών της εσομεπραζόλης αλλά όχι για την αποβολή της μητρικής ουσίας</w:t>
      </w:r>
      <w:r w:rsidRPr="005B77AA">
        <w:rPr>
          <w:sz w:val="22"/>
          <w:szCs w:val="22"/>
          <w:lang w:val="el-GR"/>
        </w:rPr>
        <w:t xml:space="preserve">, </w:t>
      </w:r>
      <w:r>
        <w:rPr>
          <w:sz w:val="22"/>
          <w:szCs w:val="22"/>
          <w:lang w:val="el-GR"/>
        </w:rPr>
        <w:t>ο μεταβολισμός της εσομεπραζόλης δεν αναμένεται να αλλάξει σε ασθενείς με νεφρική δυσλειτουργία</w:t>
      </w:r>
      <w:r w:rsidRPr="005B77AA">
        <w:rPr>
          <w:sz w:val="22"/>
          <w:szCs w:val="22"/>
          <w:lang w:val="el-GR"/>
        </w:rPr>
        <w:t xml:space="preserve">. </w:t>
      </w:r>
    </w:p>
    <w:p w:rsidR="00582A00" w:rsidRPr="005B77AA" w:rsidRDefault="00582A00">
      <w:pPr>
        <w:pStyle w:val="Default"/>
        <w:rPr>
          <w:rFonts w:ascii="Calibri" w:hAnsi="Calibri" w:cs="Calibri"/>
          <w:sz w:val="22"/>
          <w:szCs w:val="22"/>
          <w:lang w:val="el-GR"/>
        </w:rPr>
      </w:pPr>
    </w:p>
    <w:p w:rsidR="00582A00" w:rsidRPr="005B77AA" w:rsidRDefault="00011993">
      <w:pPr>
        <w:pStyle w:val="Default"/>
        <w:rPr>
          <w:rFonts w:ascii="Calibri" w:hAnsi="Calibri" w:cs="Calibri"/>
          <w:sz w:val="22"/>
          <w:szCs w:val="22"/>
          <w:u w:val="single"/>
          <w:lang w:val="el-GR"/>
        </w:rPr>
      </w:pPr>
      <w:r>
        <w:rPr>
          <w:sz w:val="22"/>
          <w:szCs w:val="22"/>
          <w:u w:val="single"/>
          <w:lang w:val="el-GR"/>
        </w:rPr>
        <w:t>Παιδιατρικός πληθυσμός</w:t>
      </w:r>
    </w:p>
    <w:p w:rsidR="00582A00" w:rsidRPr="005B77AA" w:rsidRDefault="00582A00">
      <w:pPr>
        <w:pStyle w:val="Default"/>
        <w:rPr>
          <w:rFonts w:ascii="Calibri" w:hAnsi="Calibri" w:cs="Calibri"/>
          <w:lang w:val="el-GR"/>
        </w:rPr>
      </w:pPr>
      <w:r>
        <w:rPr>
          <w:sz w:val="22"/>
          <w:szCs w:val="22"/>
          <w:u w:val="single"/>
          <w:lang w:val="el-GR"/>
        </w:rPr>
        <w:t>Έφηβοι ηλικίας</w:t>
      </w:r>
      <w:r w:rsidRPr="005B77AA">
        <w:rPr>
          <w:sz w:val="22"/>
          <w:szCs w:val="22"/>
          <w:u w:val="single"/>
          <w:lang w:val="el-GR"/>
        </w:rPr>
        <w:t xml:space="preserve"> 12-18 </w:t>
      </w:r>
      <w:r>
        <w:rPr>
          <w:sz w:val="22"/>
          <w:szCs w:val="22"/>
          <w:u w:val="single"/>
          <w:lang w:val="el-GR"/>
        </w:rPr>
        <w:t>ετών</w:t>
      </w:r>
      <w:r w:rsidRPr="005B77AA">
        <w:rPr>
          <w:sz w:val="22"/>
          <w:szCs w:val="22"/>
          <w:u w:val="single"/>
          <w:lang w:val="el-GR"/>
        </w:rPr>
        <w:t xml:space="preserve">:  </w:t>
      </w:r>
    </w:p>
    <w:p w:rsidR="00582A00" w:rsidRPr="005B77AA" w:rsidRDefault="00582A00">
      <w:pPr>
        <w:pStyle w:val="Default"/>
        <w:rPr>
          <w:rFonts w:ascii="Calibri" w:hAnsi="Calibri" w:cs="Calibri"/>
          <w:lang w:val="el-GR"/>
        </w:rPr>
      </w:pPr>
      <w:r>
        <w:rPr>
          <w:sz w:val="22"/>
          <w:szCs w:val="22"/>
          <w:lang w:val="el-GR"/>
        </w:rPr>
        <w:t>Μετά από επαναλαμβανόμενη χορήγηση δόσης</w:t>
      </w:r>
      <w:r w:rsidRPr="005B77AA">
        <w:rPr>
          <w:sz w:val="22"/>
          <w:szCs w:val="22"/>
          <w:lang w:val="el-GR"/>
        </w:rPr>
        <w:t xml:space="preserve"> 20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και</w:t>
      </w:r>
      <w:r w:rsidRPr="005B77AA">
        <w:rPr>
          <w:sz w:val="22"/>
          <w:szCs w:val="22"/>
          <w:lang w:val="el-GR"/>
        </w:rPr>
        <w:t xml:space="preserve"> 40</w:t>
      </w:r>
      <w:r>
        <w:rPr>
          <w:rFonts w:ascii="Calibri" w:hAnsi="Calibri" w:cs="Calibri"/>
          <w:sz w:val="22"/>
          <w:szCs w:val="22"/>
          <w:lang w:val="en-GB"/>
        </w:rPr>
        <w:t> </w:t>
      </w:r>
      <w:r>
        <w:rPr>
          <w:sz w:val="22"/>
          <w:szCs w:val="22"/>
          <w:lang w:val="en-GB"/>
        </w:rPr>
        <w:t>mg</w:t>
      </w:r>
      <w:r w:rsidRPr="005B77AA">
        <w:rPr>
          <w:sz w:val="22"/>
          <w:szCs w:val="22"/>
          <w:lang w:val="el-GR"/>
        </w:rPr>
        <w:t xml:space="preserve"> </w:t>
      </w:r>
      <w:r>
        <w:rPr>
          <w:sz w:val="22"/>
          <w:szCs w:val="22"/>
          <w:lang w:val="el-GR"/>
        </w:rPr>
        <w:t>εσομεπραζόλης</w:t>
      </w:r>
      <w:r w:rsidRPr="005B77AA">
        <w:rPr>
          <w:sz w:val="22"/>
          <w:szCs w:val="22"/>
          <w:lang w:val="el-GR"/>
        </w:rPr>
        <w:t xml:space="preserve">, </w:t>
      </w:r>
      <w:r>
        <w:rPr>
          <w:sz w:val="22"/>
          <w:szCs w:val="22"/>
          <w:lang w:val="el-GR"/>
        </w:rPr>
        <w:t>η ολική έκθεση</w:t>
      </w:r>
      <w:r w:rsidRPr="005B77AA">
        <w:rPr>
          <w:sz w:val="22"/>
          <w:szCs w:val="22"/>
          <w:lang w:val="el-GR"/>
        </w:rPr>
        <w:t xml:space="preserve"> (</w:t>
      </w:r>
      <w:r>
        <w:rPr>
          <w:sz w:val="22"/>
          <w:szCs w:val="22"/>
          <w:lang w:val="en-GB"/>
        </w:rPr>
        <w:t>AUC</w:t>
      </w:r>
      <w:r w:rsidRPr="005B77AA">
        <w:rPr>
          <w:sz w:val="22"/>
          <w:szCs w:val="22"/>
          <w:lang w:val="el-GR"/>
        </w:rPr>
        <w:t xml:space="preserve">) </w:t>
      </w:r>
      <w:r>
        <w:rPr>
          <w:sz w:val="22"/>
          <w:szCs w:val="22"/>
          <w:lang w:val="el-GR"/>
        </w:rPr>
        <w:t>και ο χρόνος για την επίτευξη της μέγιστης συγκέντρωσης του φαρμάκου στο πλάσμα</w:t>
      </w:r>
      <w:r w:rsidRPr="005B77AA">
        <w:rPr>
          <w:sz w:val="22"/>
          <w:szCs w:val="22"/>
          <w:lang w:val="el-GR"/>
        </w:rPr>
        <w:t xml:space="preserve"> (</w:t>
      </w:r>
      <w:r>
        <w:rPr>
          <w:sz w:val="22"/>
          <w:szCs w:val="22"/>
          <w:lang w:val="en-GB"/>
        </w:rPr>
        <w:t>t</w:t>
      </w:r>
      <w:r>
        <w:rPr>
          <w:sz w:val="22"/>
          <w:szCs w:val="22"/>
          <w:vertAlign w:val="subscript"/>
          <w:lang w:val="en-GB"/>
        </w:rPr>
        <w:t>max</w:t>
      </w:r>
      <w:r w:rsidRPr="005B77AA">
        <w:rPr>
          <w:sz w:val="22"/>
          <w:szCs w:val="22"/>
          <w:lang w:val="el-GR"/>
        </w:rPr>
        <w:t xml:space="preserve">) </w:t>
      </w:r>
      <w:r>
        <w:rPr>
          <w:sz w:val="22"/>
          <w:szCs w:val="22"/>
          <w:lang w:val="el-GR"/>
        </w:rPr>
        <w:t>σε άτομα ηλικίας</w:t>
      </w:r>
      <w:r w:rsidRPr="005B77AA">
        <w:rPr>
          <w:sz w:val="22"/>
          <w:szCs w:val="22"/>
          <w:lang w:val="el-GR"/>
        </w:rPr>
        <w:t xml:space="preserve"> 12 </w:t>
      </w:r>
      <w:r>
        <w:rPr>
          <w:sz w:val="22"/>
          <w:szCs w:val="22"/>
          <w:lang w:val="el-GR"/>
        </w:rPr>
        <w:t>έως</w:t>
      </w:r>
      <w:r w:rsidRPr="005B77AA">
        <w:rPr>
          <w:sz w:val="22"/>
          <w:szCs w:val="22"/>
          <w:lang w:val="el-GR"/>
        </w:rPr>
        <w:t xml:space="preserve"> 18 </w:t>
      </w:r>
      <w:r>
        <w:rPr>
          <w:sz w:val="22"/>
          <w:szCs w:val="22"/>
          <w:lang w:val="el-GR"/>
        </w:rPr>
        <w:t xml:space="preserve">ετών ήταν </w:t>
      </w:r>
      <w:r w:rsidRPr="00072549">
        <w:rPr>
          <w:sz w:val="22"/>
          <w:szCs w:val="22"/>
          <w:lang w:val="el-GR"/>
        </w:rPr>
        <w:t>παρόμοι</w:t>
      </w:r>
      <w:r w:rsidR="00572641">
        <w:rPr>
          <w:sz w:val="22"/>
          <w:szCs w:val="22"/>
          <w:lang w:val="el-GR"/>
        </w:rPr>
        <w:t>α</w:t>
      </w:r>
      <w:r>
        <w:rPr>
          <w:sz w:val="22"/>
          <w:szCs w:val="22"/>
          <w:lang w:val="el-GR"/>
        </w:rPr>
        <w:t xml:space="preserve"> με εκείν</w:t>
      </w:r>
      <w:r w:rsidR="00572641">
        <w:rPr>
          <w:sz w:val="22"/>
          <w:szCs w:val="22"/>
          <w:lang w:val="el-GR"/>
        </w:rPr>
        <w:t>α</w:t>
      </w:r>
      <w:r>
        <w:rPr>
          <w:sz w:val="22"/>
          <w:szCs w:val="22"/>
          <w:lang w:val="el-GR"/>
        </w:rPr>
        <w:t xml:space="preserve"> σε ενήλικες και για τις δύο δόσεις εσομεπραζόλης</w:t>
      </w:r>
      <w:r w:rsidRPr="005B77AA">
        <w:rPr>
          <w:sz w:val="22"/>
          <w:szCs w:val="22"/>
          <w:lang w:val="el-GR"/>
        </w:rPr>
        <w:t xml:space="preserve">. </w:t>
      </w:r>
    </w:p>
    <w:p w:rsidR="00582A00" w:rsidRDefault="00582A00">
      <w:pPr>
        <w:numPr>
          <w:ilvl w:val="12"/>
          <w:numId w:val="0"/>
        </w:numPr>
        <w:ind w:right="-2"/>
        <w:rPr>
          <w:rFonts w:ascii="Calibri" w:hAnsi="Calibri" w:cs="Calibri"/>
          <w:noProof/>
          <w:lang w:val="el-GR"/>
        </w:rPr>
      </w:pPr>
    </w:p>
    <w:p w:rsidR="00582A00" w:rsidRPr="00123257" w:rsidRDefault="00582A00" w:rsidP="00123257">
      <w:pPr>
        <w:widowControl w:val="0"/>
        <w:tabs>
          <w:tab w:val="left" w:pos="600"/>
        </w:tabs>
        <w:outlineLvl w:val="1"/>
        <w:rPr>
          <w:rFonts w:ascii="Calibri" w:hAnsi="Calibri" w:cs="Calibri"/>
          <w:noProof/>
          <w:lang w:val="en-US"/>
        </w:rPr>
      </w:pPr>
      <w:r w:rsidRPr="005B77AA">
        <w:rPr>
          <w:b/>
          <w:bCs/>
          <w:noProof/>
          <w:lang w:val="el-GR"/>
        </w:rPr>
        <w:t>5.3</w:t>
      </w:r>
      <w:r w:rsidRPr="005B77AA">
        <w:rPr>
          <w:b/>
          <w:bCs/>
          <w:i/>
          <w:iCs/>
          <w:noProof/>
          <w:lang w:val="el-GR"/>
        </w:rPr>
        <w:tab/>
      </w:r>
      <w:r>
        <w:rPr>
          <w:b/>
          <w:bCs/>
          <w:lang w:val="el-GR"/>
        </w:rPr>
        <w:t>Προκλινικά δεδομένα για την ασφάλεια</w:t>
      </w:r>
    </w:p>
    <w:p w:rsidR="00582A00" w:rsidRDefault="00582A00">
      <w:pPr>
        <w:pStyle w:val="Default"/>
        <w:rPr>
          <w:lang w:val="el-GR"/>
        </w:rPr>
      </w:pPr>
      <w:r>
        <w:rPr>
          <w:sz w:val="22"/>
          <w:szCs w:val="22"/>
          <w:lang w:val="el-GR"/>
        </w:rPr>
        <w:t xml:space="preserve">Προκλινικές μελέτες γεφύρωσης αποκαλύπτουν ότι δεν υπάρχει συγκεκριμένος κίνδυνος για ανθρώπους με βάση συμβατικές μελέτες για την τοξικότητα της επαναλαμβανόμενης δόσης, τη γονοτοξικότητα και την τοξικότητα στην αναπαραγωγή. Μελέτες καρκινογένεσης σε αρουραίους με το ρακεμικό μείγμα έδειξαν </w:t>
      </w:r>
      <w:r>
        <w:rPr>
          <w:sz w:val="22"/>
          <w:szCs w:val="22"/>
          <w:lang w:val="el-GR"/>
        </w:rPr>
        <w:lastRenderedPageBreak/>
        <w:t xml:space="preserve">υπερπλασία των γαστρικών κυττάρων ECL και καρκινοειδή. Αυτές οι γαστρικές επιδράσεις στους αρουραίους είναι αποτέλεσμα της παρατεταμένης, έκδηλης υπεργαστριναιμίας συνεπεία μειωμένης παραγωγής του γαστρικού οξέος και παρατηρούνται μετά από μακροχρόνια θεραπεία σε αρουραίους με αναστολείς της έκκρισης γαστρικού οξέος. </w:t>
      </w:r>
    </w:p>
    <w:p w:rsidR="00582A00" w:rsidRPr="00123257" w:rsidRDefault="00582A00">
      <w:pPr>
        <w:tabs>
          <w:tab w:val="clear" w:pos="567"/>
        </w:tabs>
        <w:rPr>
          <w:rFonts w:ascii="Calibri" w:hAnsi="Calibri" w:cs="Calibri"/>
          <w:noProof/>
          <w:lang w:val="en-US"/>
        </w:rPr>
      </w:pPr>
    </w:p>
    <w:p w:rsidR="00582A00" w:rsidRPr="005B77AA" w:rsidRDefault="00582A00">
      <w:pPr>
        <w:widowControl w:val="0"/>
        <w:outlineLvl w:val="0"/>
        <w:rPr>
          <w:rFonts w:ascii="Calibri" w:hAnsi="Calibri" w:cs="Calibri"/>
          <w:noProof/>
          <w:lang w:val="el-GR"/>
        </w:rPr>
      </w:pPr>
      <w:r w:rsidRPr="005B77AA">
        <w:rPr>
          <w:b/>
          <w:bCs/>
          <w:noProof/>
          <w:lang w:val="el-GR"/>
        </w:rPr>
        <w:t>6.</w:t>
      </w:r>
      <w:r w:rsidRPr="005B77AA">
        <w:rPr>
          <w:b/>
          <w:bCs/>
          <w:i/>
          <w:iCs/>
          <w:noProof/>
          <w:lang w:val="el-GR"/>
        </w:rPr>
        <w:tab/>
      </w:r>
      <w:r>
        <w:rPr>
          <w:b/>
          <w:bCs/>
          <w:lang w:val="el-GR"/>
        </w:rPr>
        <w:t>ΦΑΡΜΑΚΕΥΤΙΚΕΣ ΠΛΗΡΟΦΟΡΙΕΣ</w:t>
      </w:r>
    </w:p>
    <w:p w:rsidR="00582A00" w:rsidRDefault="00582A00">
      <w:pPr>
        <w:rPr>
          <w:lang w:val="el-GR"/>
        </w:rPr>
      </w:pPr>
    </w:p>
    <w:p w:rsidR="00582A00" w:rsidRPr="00123257" w:rsidRDefault="00582A00" w:rsidP="00123257">
      <w:pPr>
        <w:widowControl w:val="0"/>
        <w:tabs>
          <w:tab w:val="left" w:pos="600"/>
        </w:tabs>
        <w:outlineLvl w:val="1"/>
        <w:rPr>
          <w:lang w:val="en-US"/>
        </w:rPr>
      </w:pPr>
      <w:r w:rsidRPr="005B77AA">
        <w:rPr>
          <w:b/>
          <w:bCs/>
          <w:noProof/>
          <w:lang w:val="el-GR"/>
        </w:rPr>
        <w:t>6.1</w:t>
      </w:r>
      <w:r w:rsidRPr="005B77AA">
        <w:rPr>
          <w:b/>
          <w:bCs/>
          <w:i/>
          <w:iCs/>
          <w:noProof/>
          <w:lang w:val="el-GR"/>
        </w:rPr>
        <w:tab/>
      </w:r>
      <w:r>
        <w:rPr>
          <w:b/>
          <w:bCs/>
          <w:lang w:val="el-GR"/>
        </w:rPr>
        <w:t>Κατάλογος εκδόχων</w:t>
      </w:r>
    </w:p>
    <w:p w:rsidR="00F95FE4" w:rsidRPr="00DE1543" w:rsidRDefault="00F95FE4">
      <w:pPr>
        <w:tabs>
          <w:tab w:val="clear" w:pos="567"/>
        </w:tabs>
        <w:spacing w:line="240" w:lineRule="auto"/>
        <w:rPr>
          <w:lang w:val="el-GR"/>
        </w:rPr>
      </w:pPr>
      <w:r>
        <w:rPr>
          <w:lang w:val="en-US"/>
        </w:rPr>
        <w:t>Glyceryl</w:t>
      </w:r>
      <w:r w:rsidRPr="00DE1543">
        <w:rPr>
          <w:lang w:val="el-GR"/>
        </w:rPr>
        <w:t xml:space="preserve"> </w:t>
      </w:r>
      <w:r>
        <w:rPr>
          <w:lang w:val="en-US"/>
        </w:rPr>
        <w:t>monostearate</w:t>
      </w:r>
    </w:p>
    <w:p w:rsidR="00F95FE4" w:rsidRDefault="00F95FE4">
      <w:pPr>
        <w:tabs>
          <w:tab w:val="clear" w:pos="567"/>
        </w:tabs>
        <w:spacing w:line="240" w:lineRule="auto"/>
        <w:rPr>
          <w:lang w:val="en-US"/>
        </w:rPr>
      </w:pPr>
      <w:r>
        <w:rPr>
          <w:lang w:val="en-US"/>
        </w:rPr>
        <w:t>Hypromellose</w:t>
      </w:r>
    </w:p>
    <w:p w:rsidR="00F95FE4" w:rsidRDefault="00F95FE4">
      <w:pPr>
        <w:tabs>
          <w:tab w:val="clear" w:pos="567"/>
        </w:tabs>
        <w:spacing w:line="240" w:lineRule="auto"/>
        <w:rPr>
          <w:lang w:val="en-US"/>
        </w:rPr>
      </w:pPr>
      <w:r>
        <w:rPr>
          <w:lang w:val="en-US"/>
        </w:rPr>
        <w:t>Iron oxide red (E 172)</w:t>
      </w:r>
    </w:p>
    <w:p w:rsidR="00F95FE4" w:rsidRDefault="00F95FE4">
      <w:pPr>
        <w:tabs>
          <w:tab w:val="clear" w:pos="567"/>
        </w:tabs>
        <w:spacing w:line="240" w:lineRule="auto"/>
        <w:rPr>
          <w:lang w:val="en-US"/>
        </w:rPr>
      </w:pPr>
      <w:r>
        <w:rPr>
          <w:lang w:val="en-US"/>
        </w:rPr>
        <w:t>Iron oxide yellow (E 172)</w:t>
      </w:r>
    </w:p>
    <w:p w:rsidR="00F95FE4" w:rsidRDefault="00F95FE4">
      <w:pPr>
        <w:tabs>
          <w:tab w:val="clear" w:pos="567"/>
        </w:tabs>
        <w:spacing w:line="240" w:lineRule="auto"/>
        <w:rPr>
          <w:lang w:val="en-US"/>
        </w:rPr>
      </w:pPr>
      <w:r>
        <w:rPr>
          <w:lang w:val="en-US"/>
        </w:rPr>
        <w:t>Mannitol (E 421)</w:t>
      </w:r>
    </w:p>
    <w:p w:rsidR="00F95FE4" w:rsidRDefault="00F95FE4">
      <w:pPr>
        <w:tabs>
          <w:tab w:val="clear" w:pos="567"/>
        </w:tabs>
        <w:spacing w:line="240" w:lineRule="auto"/>
        <w:rPr>
          <w:lang w:val="en-US"/>
        </w:rPr>
      </w:pPr>
      <w:r>
        <w:rPr>
          <w:lang w:val="en-US"/>
        </w:rPr>
        <w:t>Methacrylic acid-ethyl acrylate copolymer</w:t>
      </w:r>
    </w:p>
    <w:p w:rsidR="00F95FE4" w:rsidRDefault="00F95FE4">
      <w:pPr>
        <w:tabs>
          <w:tab w:val="clear" w:pos="567"/>
        </w:tabs>
        <w:spacing w:line="240" w:lineRule="auto"/>
        <w:rPr>
          <w:lang w:val="en-US"/>
        </w:rPr>
      </w:pPr>
      <w:r>
        <w:rPr>
          <w:lang w:val="en-US"/>
        </w:rPr>
        <w:t>Cellulose</w:t>
      </w:r>
    </w:p>
    <w:p w:rsidR="00F95FE4" w:rsidRDefault="00F95FE4">
      <w:pPr>
        <w:tabs>
          <w:tab w:val="clear" w:pos="567"/>
        </w:tabs>
        <w:spacing w:line="240" w:lineRule="auto"/>
        <w:rPr>
          <w:lang w:val="en-US"/>
        </w:rPr>
      </w:pPr>
      <w:r>
        <w:rPr>
          <w:lang w:val="en-US"/>
        </w:rPr>
        <w:t>Paraffin, hard</w:t>
      </w:r>
    </w:p>
    <w:p w:rsidR="00F95FE4" w:rsidRDefault="00F95FE4">
      <w:pPr>
        <w:tabs>
          <w:tab w:val="clear" w:pos="567"/>
        </w:tabs>
        <w:spacing w:line="240" w:lineRule="auto"/>
        <w:rPr>
          <w:lang w:val="en-US"/>
        </w:rPr>
      </w:pPr>
      <w:r>
        <w:rPr>
          <w:lang w:val="en-US"/>
        </w:rPr>
        <w:t>Macrogol 4000</w:t>
      </w:r>
    </w:p>
    <w:p w:rsidR="00F95FE4" w:rsidRDefault="00F95FE4">
      <w:pPr>
        <w:tabs>
          <w:tab w:val="clear" w:pos="567"/>
        </w:tabs>
        <w:spacing w:line="240" w:lineRule="auto"/>
        <w:rPr>
          <w:lang w:val="en-US"/>
        </w:rPr>
      </w:pPr>
      <w:r>
        <w:rPr>
          <w:lang w:val="en-US"/>
        </w:rPr>
        <w:t>Polysorbate 80</w:t>
      </w:r>
    </w:p>
    <w:p w:rsidR="00F95FE4" w:rsidRDefault="00F95FE4">
      <w:pPr>
        <w:tabs>
          <w:tab w:val="clear" w:pos="567"/>
        </w:tabs>
        <w:spacing w:line="240" w:lineRule="auto"/>
        <w:rPr>
          <w:lang w:val="en-US"/>
        </w:rPr>
      </w:pPr>
      <w:r>
        <w:rPr>
          <w:lang w:val="en-US"/>
        </w:rPr>
        <w:t>Povidone</w:t>
      </w:r>
    </w:p>
    <w:p w:rsidR="00F95FE4" w:rsidRDefault="00F95FE4">
      <w:pPr>
        <w:tabs>
          <w:tab w:val="clear" w:pos="567"/>
        </w:tabs>
        <w:spacing w:line="240" w:lineRule="auto"/>
        <w:rPr>
          <w:lang w:val="en-US"/>
        </w:rPr>
      </w:pPr>
      <w:r>
        <w:rPr>
          <w:lang w:val="en-US"/>
        </w:rPr>
        <w:t>Sodium stearyl fumarate</w:t>
      </w:r>
    </w:p>
    <w:p w:rsidR="00F95FE4" w:rsidRDefault="00F95FE4">
      <w:pPr>
        <w:tabs>
          <w:tab w:val="clear" w:pos="567"/>
        </w:tabs>
        <w:spacing w:line="240" w:lineRule="auto"/>
        <w:rPr>
          <w:lang w:val="en-US"/>
        </w:rPr>
      </w:pPr>
      <w:r>
        <w:rPr>
          <w:lang w:val="en-US"/>
        </w:rPr>
        <w:t>Sugar spheres (sucrose and maize starch)</w:t>
      </w:r>
    </w:p>
    <w:p w:rsidR="00F95FE4" w:rsidRDefault="00F95FE4">
      <w:pPr>
        <w:tabs>
          <w:tab w:val="clear" w:pos="567"/>
        </w:tabs>
        <w:spacing w:line="240" w:lineRule="auto"/>
        <w:rPr>
          <w:lang w:val="en-US"/>
        </w:rPr>
      </w:pPr>
      <w:r>
        <w:rPr>
          <w:lang w:val="en-US"/>
        </w:rPr>
        <w:t>Talc</w:t>
      </w:r>
    </w:p>
    <w:p w:rsidR="00F95FE4" w:rsidRDefault="00F95FE4">
      <w:pPr>
        <w:tabs>
          <w:tab w:val="clear" w:pos="567"/>
        </w:tabs>
        <w:spacing w:line="240" w:lineRule="auto"/>
        <w:rPr>
          <w:lang w:val="en-US"/>
        </w:rPr>
      </w:pPr>
      <w:r>
        <w:rPr>
          <w:lang w:val="en-US"/>
        </w:rPr>
        <w:t>Titanium dioxide (E 171)</w:t>
      </w:r>
    </w:p>
    <w:p w:rsidR="00F95FE4" w:rsidRPr="00F95FE4" w:rsidRDefault="00F95FE4">
      <w:pPr>
        <w:tabs>
          <w:tab w:val="clear" w:pos="567"/>
        </w:tabs>
        <w:spacing w:line="240" w:lineRule="auto"/>
        <w:rPr>
          <w:rFonts w:ascii="Calibri" w:hAnsi="Calibri" w:cs="Calibri"/>
          <w:noProof/>
          <w:lang w:val="en-US"/>
        </w:rPr>
      </w:pPr>
      <w:r>
        <w:rPr>
          <w:lang w:val="en-US"/>
        </w:rPr>
        <w:t>Triethyl citrate</w:t>
      </w:r>
    </w:p>
    <w:p w:rsidR="00582A00" w:rsidRPr="00F95FE4" w:rsidRDefault="00582A00">
      <w:pPr>
        <w:tabs>
          <w:tab w:val="clear" w:pos="567"/>
        </w:tabs>
        <w:spacing w:line="240" w:lineRule="auto"/>
        <w:rPr>
          <w:rFonts w:ascii="Calibri" w:hAnsi="Calibri" w:cs="Calibri"/>
          <w:noProof/>
        </w:rPr>
      </w:pPr>
    </w:p>
    <w:p w:rsidR="00582A00" w:rsidRPr="00123257" w:rsidRDefault="00582A00" w:rsidP="00123257">
      <w:pPr>
        <w:widowControl w:val="0"/>
        <w:tabs>
          <w:tab w:val="left" w:pos="600"/>
        </w:tabs>
        <w:outlineLvl w:val="1"/>
        <w:rPr>
          <w:rFonts w:ascii="Calibri" w:hAnsi="Calibri" w:cs="Calibri"/>
          <w:noProof/>
          <w:lang w:val="en-US"/>
        </w:rPr>
      </w:pPr>
      <w:r w:rsidRPr="00123257">
        <w:rPr>
          <w:b/>
          <w:bCs/>
          <w:noProof/>
          <w:lang w:val="el-GR"/>
        </w:rPr>
        <w:t>6.2</w:t>
      </w:r>
      <w:r w:rsidRPr="00123257">
        <w:rPr>
          <w:b/>
          <w:bCs/>
          <w:i/>
          <w:iCs/>
          <w:noProof/>
          <w:lang w:val="el-GR"/>
        </w:rPr>
        <w:tab/>
      </w:r>
      <w:r>
        <w:rPr>
          <w:b/>
          <w:bCs/>
          <w:lang w:val="el-GR"/>
        </w:rPr>
        <w:t>Ασυμβατότητες</w:t>
      </w:r>
    </w:p>
    <w:p w:rsidR="00582A00" w:rsidRPr="005B77AA" w:rsidRDefault="00582A00">
      <w:pPr>
        <w:tabs>
          <w:tab w:val="clear" w:pos="567"/>
        </w:tabs>
        <w:spacing w:line="240" w:lineRule="auto"/>
        <w:rPr>
          <w:rFonts w:ascii="Calibri" w:hAnsi="Calibri" w:cs="Calibri"/>
          <w:noProof/>
          <w:lang w:val="el-GR"/>
        </w:rPr>
      </w:pPr>
      <w:r>
        <w:rPr>
          <w:lang w:val="el-GR"/>
        </w:rPr>
        <w:t>Δεν εφαρμόζεται.</w:t>
      </w:r>
    </w:p>
    <w:p w:rsidR="00582A00" w:rsidRDefault="00582A00">
      <w:pPr>
        <w:tabs>
          <w:tab w:val="clear" w:pos="567"/>
        </w:tabs>
        <w:spacing w:line="240" w:lineRule="auto"/>
        <w:rPr>
          <w:rFonts w:ascii="Calibri" w:hAnsi="Calibri" w:cs="Calibri"/>
          <w:noProof/>
          <w:lang w:val="el-GR"/>
        </w:rPr>
      </w:pPr>
    </w:p>
    <w:p w:rsidR="00582A00" w:rsidRPr="00123257" w:rsidRDefault="00582A00" w:rsidP="00123257">
      <w:pPr>
        <w:widowControl w:val="0"/>
        <w:tabs>
          <w:tab w:val="left" w:pos="600"/>
        </w:tabs>
        <w:outlineLvl w:val="1"/>
        <w:rPr>
          <w:rFonts w:ascii="Calibri" w:hAnsi="Calibri" w:cs="Calibri"/>
          <w:noProof/>
          <w:lang w:val="en-US"/>
        </w:rPr>
      </w:pPr>
      <w:r w:rsidRPr="005B77AA">
        <w:rPr>
          <w:b/>
          <w:bCs/>
          <w:noProof/>
          <w:lang w:val="el-GR"/>
        </w:rPr>
        <w:t>6.3</w:t>
      </w:r>
      <w:r w:rsidRPr="005B77AA">
        <w:rPr>
          <w:b/>
          <w:bCs/>
          <w:i/>
          <w:iCs/>
          <w:noProof/>
          <w:lang w:val="el-GR"/>
        </w:rPr>
        <w:tab/>
      </w:r>
      <w:r>
        <w:rPr>
          <w:b/>
          <w:bCs/>
          <w:lang w:val="el-GR"/>
        </w:rPr>
        <w:t>Διάρκεια ζωής</w:t>
      </w:r>
    </w:p>
    <w:p w:rsidR="00582A00" w:rsidRPr="005B77AA" w:rsidRDefault="00582A00">
      <w:pPr>
        <w:tabs>
          <w:tab w:val="clear" w:pos="567"/>
        </w:tabs>
        <w:spacing w:line="240" w:lineRule="auto"/>
        <w:rPr>
          <w:rFonts w:ascii="Calibri" w:hAnsi="Calibri" w:cs="Calibri"/>
          <w:noProof/>
          <w:lang w:val="el-GR"/>
        </w:rPr>
      </w:pPr>
      <w:r>
        <w:rPr>
          <w:lang w:val="el-GR"/>
        </w:rPr>
        <w:t>2 έτη</w:t>
      </w:r>
    </w:p>
    <w:p w:rsidR="00582A00" w:rsidRDefault="00582A00">
      <w:pPr>
        <w:rPr>
          <w:lang w:val="el-GR"/>
        </w:rPr>
      </w:pPr>
    </w:p>
    <w:p w:rsidR="00582A00" w:rsidRPr="00123257" w:rsidRDefault="00582A00" w:rsidP="00123257">
      <w:pPr>
        <w:widowControl w:val="0"/>
        <w:tabs>
          <w:tab w:val="left" w:pos="600"/>
        </w:tabs>
        <w:outlineLvl w:val="1"/>
        <w:rPr>
          <w:lang w:val="en-US"/>
        </w:rPr>
      </w:pPr>
      <w:r w:rsidRPr="005B77AA">
        <w:rPr>
          <w:b/>
          <w:bCs/>
          <w:noProof/>
          <w:lang w:val="el-GR"/>
        </w:rPr>
        <w:t>6.4</w:t>
      </w:r>
      <w:r w:rsidRPr="005B77AA">
        <w:rPr>
          <w:b/>
          <w:bCs/>
          <w:i/>
          <w:iCs/>
          <w:noProof/>
          <w:lang w:val="el-GR"/>
        </w:rPr>
        <w:tab/>
      </w:r>
      <w:r>
        <w:rPr>
          <w:b/>
          <w:bCs/>
          <w:lang w:val="el-GR"/>
        </w:rPr>
        <w:t>Ιδιαίτερες προφυλάξεις κατά την φύλαξη του προϊόντος</w:t>
      </w:r>
    </w:p>
    <w:p w:rsidR="00582A00" w:rsidRDefault="0007778B">
      <w:pPr>
        <w:tabs>
          <w:tab w:val="clear" w:pos="567"/>
        </w:tabs>
        <w:spacing w:line="240" w:lineRule="auto"/>
        <w:rPr>
          <w:lang w:val="el-GR"/>
        </w:rPr>
      </w:pPr>
      <w:r>
        <w:rPr>
          <w:lang w:val="el-GR"/>
        </w:rPr>
        <w:t>Να</w:t>
      </w:r>
      <w:r w:rsidR="00582A00">
        <w:rPr>
          <w:lang w:val="el-GR"/>
        </w:rPr>
        <w:t xml:space="preserve"> φυλάσσετ</w:t>
      </w:r>
      <w:r w:rsidR="006E02C0">
        <w:rPr>
          <w:lang w:val="el-GR"/>
        </w:rPr>
        <w:t>αι</w:t>
      </w:r>
      <w:r w:rsidR="00582A00">
        <w:rPr>
          <w:lang w:val="el-GR"/>
        </w:rPr>
        <w:t xml:space="preserve"> σε θερμοκρασία </w:t>
      </w:r>
      <w:r>
        <w:rPr>
          <w:lang w:val="el-GR"/>
        </w:rPr>
        <w:t>μικρότερη</w:t>
      </w:r>
      <w:r w:rsidR="00582A00">
        <w:rPr>
          <w:lang w:val="el-GR"/>
        </w:rPr>
        <w:t xml:space="preserve"> των 30 °C.</w:t>
      </w:r>
    </w:p>
    <w:p w:rsidR="00582A00" w:rsidRPr="005B77AA" w:rsidRDefault="00582A00">
      <w:pPr>
        <w:tabs>
          <w:tab w:val="clear" w:pos="567"/>
        </w:tabs>
        <w:spacing w:line="240" w:lineRule="auto"/>
        <w:rPr>
          <w:rFonts w:ascii="Calibri" w:hAnsi="Calibri" w:cs="Calibri"/>
          <w:noProof/>
          <w:lang w:val="el-GR"/>
        </w:rPr>
      </w:pPr>
      <w:r>
        <w:rPr>
          <w:lang w:val="el-GR"/>
        </w:rPr>
        <w:t>Φυλάσσετ</w:t>
      </w:r>
      <w:r w:rsidR="00572641">
        <w:rPr>
          <w:lang w:val="el-GR"/>
        </w:rPr>
        <w:t>αι</w:t>
      </w:r>
      <w:r>
        <w:rPr>
          <w:lang w:val="el-GR"/>
        </w:rPr>
        <w:t xml:space="preserve"> στην αρχική συσκευασία για να προστατεύεται από την υγρασία.</w:t>
      </w:r>
    </w:p>
    <w:p w:rsidR="00582A00" w:rsidRDefault="00582A00">
      <w:pPr>
        <w:tabs>
          <w:tab w:val="clear" w:pos="567"/>
        </w:tabs>
        <w:spacing w:line="240" w:lineRule="auto"/>
        <w:rPr>
          <w:rFonts w:ascii="Calibri" w:hAnsi="Calibri" w:cs="Calibri"/>
          <w:noProof/>
          <w:lang w:val="el-GR"/>
        </w:rPr>
      </w:pPr>
    </w:p>
    <w:p w:rsidR="00582A00" w:rsidRPr="00123257" w:rsidRDefault="00582A00" w:rsidP="00123257">
      <w:pPr>
        <w:widowControl w:val="0"/>
        <w:tabs>
          <w:tab w:val="left" w:pos="600"/>
        </w:tabs>
        <w:outlineLvl w:val="1"/>
        <w:rPr>
          <w:lang w:val="en-US"/>
        </w:rPr>
      </w:pPr>
      <w:r w:rsidRPr="005B77AA">
        <w:rPr>
          <w:b/>
          <w:bCs/>
          <w:noProof/>
          <w:lang w:val="el-GR"/>
        </w:rPr>
        <w:t>6.5</w:t>
      </w:r>
      <w:r w:rsidRPr="005B77AA">
        <w:rPr>
          <w:b/>
          <w:bCs/>
          <w:i/>
          <w:iCs/>
          <w:noProof/>
          <w:lang w:val="el-GR"/>
        </w:rPr>
        <w:tab/>
      </w:r>
      <w:r>
        <w:rPr>
          <w:b/>
          <w:bCs/>
          <w:lang w:val="el-GR"/>
        </w:rPr>
        <w:t>Φύση και συστατικά του περιέκτη</w:t>
      </w:r>
    </w:p>
    <w:p w:rsidR="00A5478B" w:rsidRPr="00A5478B" w:rsidRDefault="00A5478B">
      <w:pPr>
        <w:spacing w:line="240" w:lineRule="auto"/>
        <w:rPr>
          <w:rFonts w:ascii="Calibri" w:hAnsi="Calibri" w:cs="Calibri"/>
          <w:lang w:val="el-GR"/>
        </w:rPr>
      </w:pPr>
      <w:r>
        <w:rPr>
          <w:lang w:val="en-US"/>
        </w:rPr>
        <w:t>Alu</w:t>
      </w:r>
      <w:r w:rsidRPr="00A5478B">
        <w:rPr>
          <w:lang w:val="el-GR"/>
        </w:rPr>
        <w:t>-</w:t>
      </w:r>
      <w:r>
        <w:rPr>
          <w:lang w:val="en-US"/>
        </w:rPr>
        <w:t>Alu</w:t>
      </w:r>
      <w:r w:rsidRPr="00A5478B">
        <w:rPr>
          <w:lang w:val="el-GR"/>
        </w:rPr>
        <w:t xml:space="preserve"> </w:t>
      </w:r>
      <w:r>
        <w:rPr>
          <w:lang w:val="en-US"/>
        </w:rPr>
        <w:t>blister</w:t>
      </w:r>
    </w:p>
    <w:p w:rsidR="00582A00" w:rsidRPr="00A5478B" w:rsidRDefault="00582A00">
      <w:pPr>
        <w:tabs>
          <w:tab w:val="clear" w:pos="567"/>
        </w:tabs>
        <w:spacing w:line="240" w:lineRule="auto"/>
        <w:rPr>
          <w:rFonts w:ascii="Calibri" w:hAnsi="Calibri" w:cs="Calibri"/>
          <w:lang w:val="el-GR"/>
        </w:rPr>
      </w:pPr>
      <w:r>
        <w:rPr>
          <w:lang w:val="el-GR"/>
        </w:rPr>
        <w:t>Μεγέθη συσκευασιών</w:t>
      </w:r>
      <w:r w:rsidRPr="005B77AA">
        <w:rPr>
          <w:lang w:val="el-GR"/>
        </w:rPr>
        <w:t xml:space="preserve">: </w:t>
      </w:r>
      <w:r w:rsidR="00A5478B" w:rsidRPr="00A5478B">
        <w:rPr>
          <w:lang w:val="el-GR"/>
        </w:rPr>
        <w:t xml:space="preserve">7, 14 </w:t>
      </w:r>
      <w:r w:rsidR="00A5478B">
        <w:rPr>
          <w:lang w:val="el-GR"/>
        </w:rPr>
        <w:t xml:space="preserve">ή 28 επικαλυμμένα </w:t>
      </w:r>
      <w:r w:rsidR="006F42F9">
        <w:rPr>
          <w:lang w:val="el-GR"/>
        </w:rPr>
        <w:t xml:space="preserve">με λεπτό υμένιο </w:t>
      </w:r>
      <w:r w:rsidR="00A5478B">
        <w:rPr>
          <w:lang w:val="el-GR"/>
        </w:rPr>
        <w:t>δισκία</w:t>
      </w:r>
    </w:p>
    <w:p w:rsidR="00582A00" w:rsidRPr="005B77AA" w:rsidRDefault="00582A00">
      <w:pPr>
        <w:tabs>
          <w:tab w:val="clear" w:pos="567"/>
        </w:tabs>
        <w:spacing w:line="240" w:lineRule="auto"/>
        <w:rPr>
          <w:rFonts w:ascii="Calibri" w:hAnsi="Calibri" w:cs="Calibri"/>
          <w:noProof/>
          <w:lang w:val="el-GR"/>
        </w:rPr>
      </w:pPr>
      <w:r>
        <w:rPr>
          <w:lang w:val="el-GR"/>
        </w:rPr>
        <w:t>Μπορεί να μην κυκλοφορούν όλες οι συσκευασίες.</w:t>
      </w:r>
    </w:p>
    <w:p w:rsidR="00582A00" w:rsidRDefault="00582A00">
      <w:pPr>
        <w:tabs>
          <w:tab w:val="clear" w:pos="567"/>
        </w:tabs>
        <w:spacing w:line="240" w:lineRule="auto"/>
        <w:rPr>
          <w:rFonts w:ascii="Calibri" w:hAnsi="Calibri" w:cs="Calibri"/>
          <w:noProof/>
          <w:lang w:val="el-GR"/>
        </w:rPr>
      </w:pPr>
    </w:p>
    <w:p w:rsidR="00582A00" w:rsidRPr="005B77AA" w:rsidRDefault="00582A00">
      <w:pPr>
        <w:keepNext/>
        <w:widowControl w:val="0"/>
        <w:tabs>
          <w:tab w:val="left" w:pos="600"/>
        </w:tabs>
        <w:outlineLvl w:val="1"/>
        <w:rPr>
          <w:rFonts w:ascii="Calibri" w:hAnsi="Calibri" w:cs="Calibri"/>
          <w:b/>
          <w:bCs/>
          <w:noProof/>
          <w:lang w:val="el-GR"/>
        </w:rPr>
      </w:pPr>
      <w:r w:rsidRPr="005B77AA">
        <w:rPr>
          <w:b/>
          <w:bCs/>
          <w:noProof/>
          <w:lang w:val="el-GR"/>
        </w:rPr>
        <w:t>6.6</w:t>
      </w:r>
      <w:r w:rsidRPr="005B77AA">
        <w:rPr>
          <w:b/>
          <w:bCs/>
          <w:noProof/>
          <w:lang w:val="el-GR"/>
        </w:rPr>
        <w:tab/>
      </w:r>
      <w:r w:rsidRPr="005B77AA">
        <w:rPr>
          <w:b/>
          <w:bCs/>
          <w:noProof/>
          <w:lang w:val="el-GR"/>
        </w:rPr>
        <w:tab/>
      </w:r>
      <w:r w:rsidR="00A5478B">
        <w:rPr>
          <w:b/>
          <w:bCs/>
          <w:noProof/>
          <w:lang w:val="el-GR"/>
        </w:rPr>
        <w:t>Οδηγίες χρήσης, χειρισμού και απόρριψης (ανάλογα με την περίπτωση)</w:t>
      </w:r>
    </w:p>
    <w:p w:rsidR="00582A00" w:rsidRDefault="00582A00">
      <w:pPr>
        <w:keepNext/>
        <w:tabs>
          <w:tab w:val="clear" w:pos="567"/>
        </w:tabs>
        <w:spacing w:line="240" w:lineRule="auto"/>
        <w:rPr>
          <w:rFonts w:ascii="Calibri" w:hAnsi="Calibri" w:cs="Calibri"/>
          <w:noProof/>
          <w:lang w:val="el-GR"/>
        </w:rPr>
      </w:pPr>
    </w:p>
    <w:p w:rsidR="00582A00" w:rsidRPr="00123257" w:rsidRDefault="00582A00" w:rsidP="00123257">
      <w:pPr>
        <w:pStyle w:val="Default"/>
        <w:keepNext/>
        <w:rPr>
          <w:sz w:val="22"/>
          <w:szCs w:val="22"/>
          <w:lang w:val="en-US"/>
        </w:rPr>
      </w:pPr>
      <w:r>
        <w:rPr>
          <w:sz w:val="22"/>
          <w:szCs w:val="22"/>
          <w:u w:val="single"/>
          <w:lang w:val="el-GR"/>
        </w:rPr>
        <w:t xml:space="preserve">Χορήγηση μέσω γαστρικού σωλήνα </w:t>
      </w:r>
    </w:p>
    <w:tbl>
      <w:tblPr>
        <w:tblW w:w="0" w:type="auto"/>
        <w:tblLayout w:type="fixed"/>
        <w:tblLook w:val="0000"/>
      </w:tblPr>
      <w:tblGrid>
        <w:gridCol w:w="8699"/>
      </w:tblGrid>
      <w:tr w:rsidR="00582A00" w:rsidRPr="00FE115F">
        <w:trPr>
          <w:trHeight w:val="719"/>
        </w:trPr>
        <w:tc>
          <w:tcPr>
            <w:tcW w:w="8699" w:type="dxa"/>
          </w:tcPr>
          <w:p w:rsidR="00582A00" w:rsidRPr="005B77AA" w:rsidRDefault="00582A00">
            <w:pPr>
              <w:tabs>
                <w:tab w:val="clear" w:pos="567"/>
                <w:tab w:val="left" w:pos="492"/>
              </w:tabs>
              <w:spacing w:line="240" w:lineRule="auto"/>
              <w:rPr>
                <w:rFonts w:ascii="Calibri" w:hAnsi="Calibri" w:cs="Calibri"/>
                <w:noProof/>
                <w:lang w:val="el-GR"/>
              </w:rPr>
            </w:pPr>
            <w:r w:rsidRPr="005B77AA">
              <w:rPr>
                <w:noProof/>
                <w:lang w:val="el-GR"/>
              </w:rPr>
              <w:t>1.</w:t>
            </w:r>
            <w:r w:rsidRPr="005B77AA">
              <w:rPr>
                <w:noProof/>
                <w:lang w:val="el-GR"/>
              </w:rPr>
              <w:tab/>
            </w:r>
            <w:r w:rsidR="001736C0">
              <w:rPr>
                <w:lang w:val="el-GR"/>
              </w:rPr>
              <w:t xml:space="preserve">Τοποθετήστε το δισκίο στην κατάλληλη σύριγγα και γεμίστε την με περίπου </w:t>
            </w:r>
            <w:r w:rsidR="001736C0" w:rsidRPr="001736C0">
              <w:rPr>
                <w:lang w:val="el-GR"/>
              </w:rPr>
              <w:t xml:space="preserve">25 </w:t>
            </w:r>
            <w:r w:rsidR="001736C0">
              <w:rPr>
                <w:lang w:val="en-US"/>
              </w:rPr>
              <w:t>ml</w:t>
            </w:r>
            <w:r w:rsidR="001736C0" w:rsidRPr="001736C0">
              <w:rPr>
                <w:lang w:val="el-GR"/>
              </w:rPr>
              <w:t xml:space="preserve"> </w:t>
            </w:r>
            <w:r w:rsidR="001736C0">
              <w:rPr>
                <w:lang w:val="el-GR"/>
              </w:rPr>
              <w:t xml:space="preserve">νερό </w:t>
            </w:r>
            <w:r w:rsidR="00465B0E">
              <w:rPr>
                <w:lang w:val="el-GR"/>
              </w:rPr>
              <w:t xml:space="preserve">και 5 </w:t>
            </w:r>
            <w:r w:rsidR="00465B0E">
              <w:rPr>
                <w:lang w:val="en-US"/>
              </w:rPr>
              <w:t>ml</w:t>
            </w:r>
            <w:r w:rsidR="00465B0E" w:rsidRPr="00465B0E">
              <w:rPr>
                <w:lang w:val="el-GR"/>
              </w:rPr>
              <w:t xml:space="preserve"> </w:t>
            </w:r>
            <w:r w:rsidR="00465B0E">
              <w:rPr>
                <w:lang w:val="el-GR"/>
              </w:rPr>
              <w:t>αέρα</w:t>
            </w:r>
            <w:r>
              <w:rPr>
                <w:lang w:val="el-GR"/>
              </w:rPr>
              <w:t>.</w:t>
            </w:r>
            <w:r w:rsidRPr="005B77AA">
              <w:rPr>
                <w:noProof/>
                <w:lang w:val="el-GR"/>
              </w:rPr>
              <w:t xml:space="preserve"> </w:t>
            </w:r>
            <w:r>
              <w:rPr>
                <w:lang w:val="el-GR"/>
              </w:rPr>
              <w:t>Για κάποιους</w:t>
            </w:r>
            <w:r w:rsidRPr="005B77AA">
              <w:rPr>
                <w:noProof/>
                <w:lang w:val="el-GR"/>
              </w:rPr>
              <w:t xml:space="preserve"> </w:t>
            </w:r>
            <w:r>
              <w:rPr>
                <w:lang w:val="el-GR"/>
              </w:rPr>
              <w:t>σωλήνες, για να αποτραπεί η απόφραξη του σωλήνα από τα σφαιρίδια</w:t>
            </w:r>
            <w:r w:rsidR="00465B0E">
              <w:rPr>
                <w:lang w:val="el-GR"/>
              </w:rPr>
              <w:t xml:space="preserve"> απαιτείται η διάλυση να γίνεται σε 50 </w:t>
            </w:r>
            <w:r w:rsidR="00465B0E">
              <w:rPr>
                <w:lang w:val="en-US"/>
              </w:rPr>
              <w:t>ml</w:t>
            </w:r>
            <w:r w:rsidR="00465B0E" w:rsidRPr="00465B0E">
              <w:rPr>
                <w:lang w:val="el-GR"/>
              </w:rPr>
              <w:t xml:space="preserve"> </w:t>
            </w:r>
            <w:r w:rsidR="00465B0E" w:rsidRPr="0010203F">
              <w:rPr>
                <w:lang w:val="el-GR"/>
              </w:rPr>
              <w:t>νερό</w:t>
            </w:r>
            <w:r>
              <w:rPr>
                <w:lang w:val="el-GR"/>
              </w:rPr>
              <w:t>.</w:t>
            </w:r>
          </w:p>
          <w:p w:rsidR="00582A00" w:rsidRPr="005B77AA" w:rsidRDefault="00582A00">
            <w:pPr>
              <w:pStyle w:val="Web"/>
              <w:rPr>
                <w:rFonts w:ascii="Calibri" w:hAnsi="Calibri" w:cs="Calibri"/>
                <w:noProof/>
                <w:lang w:val="el-GR"/>
              </w:rPr>
            </w:pPr>
            <w:r w:rsidRPr="005B77AA">
              <w:rPr>
                <w:noProof/>
                <w:color w:val="auto"/>
                <w:sz w:val="22"/>
                <w:szCs w:val="22"/>
                <w:lang w:val="el-GR"/>
              </w:rPr>
              <w:t>2.</w:t>
            </w:r>
            <w:r w:rsidRPr="005B77AA">
              <w:rPr>
                <w:rFonts w:ascii="Calibri" w:hAnsi="Calibri" w:cs="Calibri"/>
                <w:noProof/>
                <w:lang w:val="el-GR"/>
              </w:rPr>
              <w:tab/>
            </w:r>
            <w:r w:rsidR="0065488F">
              <w:rPr>
                <w:noProof/>
                <w:sz w:val="22"/>
                <w:szCs w:val="22"/>
                <w:lang w:val="el-GR"/>
              </w:rPr>
              <w:t xml:space="preserve">Ανακινήστε αμέσως τη σύριγγα περίπου για 5 λεπτά για να διαλυθεί το δισκίο. </w:t>
            </w:r>
            <w:r w:rsidRPr="005B77AA">
              <w:rPr>
                <w:noProof/>
                <w:color w:val="auto"/>
                <w:sz w:val="22"/>
                <w:szCs w:val="22"/>
                <w:lang w:val="el-GR"/>
              </w:rPr>
              <w:t xml:space="preserve"> </w:t>
            </w:r>
          </w:p>
          <w:p w:rsidR="00582A00" w:rsidRPr="005B77AA" w:rsidRDefault="00FE115F">
            <w:pPr>
              <w:pStyle w:val="Web"/>
              <w:rPr>
                <w:rFonts w:ascii="Calibri" w:hAnsi="Calibri" w:cs="Calibri"/>
                <w:noProof/>
                <w:lang w:val="el-GR"/>
              </w:rPr>
            </w:pPr>
            <w:r>
              <w:rPr>
                <w:noProof/>
                <w:color w:val="auto"/>
                <w:sz w:val="22"/>
                <w:szCs w:val="22"/>
                <w:lang w:val="el-GR"/>
              </w:rPr>
              <w:t>3.</w:t>
            </w:r>
            <w:r w:rsidR="00582A00" w:rsidRPr="005B77AA">
              <w:rPr>
                <w:noProof/>
                <w:color w:val="auto"/>
                <w:sz w:val="22"/>
                <w:szCs w:val="22"/>
                <w:lang w:val="el-GR"/>
              </w:rPr>
              <w:t xml:space="preserve"> </w:t>
            </w:r>
            <w:r w:rsidR="00582A00" w:rsidRPr="005B77AA">
              <w:rPr>
                <w:rFonts w:ascii="Calibri" w:hAnsi="Calibri" w:cs="Calibri"/>
                <w:noProof/>
                <w:lang w:val="el-GR"/>
              </w:rPr>
              <w:tab/>
            </w:r>
            <w:r w:rsidR="00582A00">
              <w:rPr>
                <w:color w:val="auto"/>
                <w:sz w:val="22"/>
                <w:szCs w:val="22"/>
                <w:lang w:val="el-GR"/>
              </w:rPr>
              <w:t>Κρατήστε τη σύριγγα με το άκρο προς τα άνω και ελέγξτε ότι δεν έχει αποφραχθεί το άκρο.</w:t>
            </w:r>
            <w:r w:rsidR="00582A00" w:rsidRPr="005B77AA">
              <w:rPr>
                <w:noProof/>
                <w:color w:val="auto"/>
                <w:sz w:val="22"/>
                <w:szCs w:val="22"/>
                <w:lang w:val="el-GR"/>
              </w:rPr>
              <w:t xml:space="preserve"> </w:t>
            </w:r>
          </w:p>
          <w:p w:rsidR="00582A00" w:rsidRPr="005B77AA" w:rsidRDefault="00FE115F">
            <w:pPr>
              <w:pStyle w:val="Web"/>
              <w:rPr>
                <w:rFonts w:ascii="Calibri" w:hAnsi="Calibri" w:cs="Calibri"/>
                <w:noProof/>
                <w:lang w:val="el-GR"/>
              </w:rPr>
            </w:pPr>
            <w:r>
              <w:rPr>
                <w:noProof/>
                <w:color w:val="auto"/>
                <w:sz w:val="22"/>
                <w:szCs w:val="22"/>
                <w:lang w:val="el-GR"/>
              </w:rPr>
              <w:t>4.</w:t>
            </w:r>
            <w:r w:rsidR="00582A00" w:rsidRPr="005B77AA">
              <w:rPr>
                <w:noProof/>
                <w:color w:val="auto"/>
                <w:sz w:val="22"/>
                <w:szCs w:val="22"/>
                <w:lang w:val="el-GR"/>
              </w:rPr>
              <w:t xml:space="preserve"> </w:t>
            </w:r>
            <w:r w:rsidR="00582A00" w:rsidRPr="005B77AA">
              <w:rPr>
                <w:rFonts w:ascii="Calibri" w:hAnsi="Calibri" w:cs="Calibri"/>
                <w:noProof/>
                <w:lang w:val="el-GR"/>
              </w:rPr>
              <w:tab/>
            </w:r>
            <w:r w:rsidR="00582A00">
              <w:rPr>
                <w:color w:val="auto"/>
                <w:sz w:val="22"/>
                <w:szCs w:val="22"/>
                <w:lang w:val="el-GR"/>
              </w:rPr>
              <w:t>Προσαρτήστε τη σύριγγα στο σωλήνα ενώ διατηρείτε την παραπάνω θέση.</w:t>
            </w:r>
            <w:r w:rsidR="00582A00" w:rsidRPr="005B77AA">
              <w:rPr>
                <w:noProof/>
                <w:color w:val="auto"/>
                <w:sz w:val="22"/>
                <w:szCs w:val="22"/>
                <w:lang w:val="el-GR"/>
              </w:rPr>
              <w:t xml:space="preserve"> </w:t>
            </w:r>
          </w:p>
          <w:p w:rsidR="00582A00" w:rsidRPr="005B77AA" w:rsidRDefault="00FE115F">
            <w:pPr>
              <w:pStyle w:val="Web"/>
              <w:rPr>
                <w:rFonts w:ascii="Calibri" w:hAnsi="Calibri" w:cs="Calibri"/>
                <w:noProof/>
                <w:lang w:val="el-GR"/>
              </w:rPr>
            </w:pPr>
            <w:r>
              <w:rPr>
                <w:noProof/>
                <w:color w:val="auto"/>
                <w:sz w:val="22"/>
                <w:szCs w:val="22"/>
                <w:lang w:val="el-GR"/>
              </w:rPr>
              <w:t>5.</w:t>
            </w:r>
            <w:r w:rsidR="00582A00" w:rsidRPr="005B77AA">
              <w:rPr>
                <w:noProof/>
                <w:color w:val="auto"/>
                <w:sz w:val="22"/>
                <w:szCs w:val="22"/>
                <w:lang w:val="el-GR"/>
              </w:rPr>
              <w:t xml:space="preserve"> </w:t>
            </w:r>
            <w:r w:rsidR="00582A00" w:rsidRPr="005B77AA">
              <w:rPr>
                <w:rFonts w:ascii="Calibri" w:hAnsi="Calibri" w:cs="Calibri"/>
                <w:noProof/>
                <w:lang w:val="el-GR"/>
              </w:rPr>
              <w:tab/>
            </w:r>
            <w:r w:rsidR="00582A00">
              <w:rPr>
                <w:color w:val="auto"/>
                <w:sz w:val="22"/>
                <w:szCs w:val="22"/>
                <w:lang w:val="el-GR"/>
              </w:rPr>
              <w:t>Ανακινήστε τη σύριγγα και τοποθετήστε την με το άκρο στραμμένο προς τα κάτω.</w:t>
            </w:r>
            <w:r w:rsidR="00582A00" w:rsidRPr="005B77AA">
              <w:rPr>
                <w:noProof/>
                <w:color w:val="auto"/>
                <w:sz w:val="22"/>
                <w:szCs w:val="22"/>
                <w:lang w:val="el-GR"/>
              </w:rPr>
              <w:t xml:space="preserve"> </w:t>
            </w:r>
            <w:r w:rsidR="00582A00">
              <w:rPr>
                <w:color w:val="auto"/>
                <w:sz w:val="22"/>
                <w:szCs w:val="22"/>
                <w:lang w:val="el-GR"/>
              </w:rPr>
              <w:t>Εγχύστε αμέσως 5</w:t>
            </w:r>
            <w:r w:rsidR="00582A00">
              <w:rPr>
                <w:color w:val="auto"/>
                <w:sz w:val="22"/>
                <w:szCs w:val="22"/>
                <w:lang w:val="el-GR"/>
              </w:rPr>
              <w:noBreakHyphen/>
              <w:t>10 ml</w:t>
            </w:r>
            <w:r w:rsidR="00582A00" w:rsidRPr="005B77AA">
              <w:rPr>
                <w:noProof/>
                <w:color w:val="auto"/>
                <w:sz w:val="22"/>
                <w:szCs w:val="22"/>
                <w:lang w:val="el-GR"/>
              </w:rPr>
              <w:t xml:space="preserve"> </w:t>
            </w:r>
            <w:r w:rsidR="00582A00">
              <w:rPr>
                <w:color w:val="auto"/>
                <w:sz w:val="22"/>
                <w:szCs w:val="22"/>
                <w:lang w:val="el-GR"/>
              </w:rPr>
              <w:t>στο σωλήνα.</w:t>
            </w:r>
            <w:r w:rsidR="00582A00" w:rsidRPr="005B77AA">
              <w:rPr>
                <w:noProof/>
                <w:color w:val="auto"/>
                <w:sz w:val="22"/>
                <w:szCs w:val="22"/>
                <w:lang w:val="el-GR"/>
              </w:rPr>
              <w:t xml:space="preserve"> </w:t>
            </w:r>
            <w:r w:rsidR="00582A00">
              <w:rPr>
                <w:color w:val="auto"/>
                <w:sz w:val="22"/>
                <w:szCs w:val="22"/>
                <w:lang w:val="el-GR"/>
              </w:rPr>
              <w:t xml:space="preserve">Αναστρέψτε τη σύριγγα μετά την έγχυση και </w:t>
            </w:r>
            <w:r w:rsidR="00582A00">
              <w:rPr>
                <w:color w:val="auto"/>
                <w:sz w:val="22"/>
                <w:szCs w:val="22"/>
                <w:lang w:val="el-GR"/>
              </w:rPr>
              <w:lastRenderedPageBreak/>
              <w:t>ανακινήστε (η σύριγγα πρέπει να διατηρείται με</w:t>
            </w:r>
            <w:r w:rsidR="00582A00" w:rsidRPr="005B77AA">
              <w:rPr>
                <w:noProof/>
                <w:color w:val="auto"/>
                <w:sz w:val="22"/>
                <w:szCs w:val="22"/>
                <w:lang w:val="el-GR"/>
              </w:rPr>
              <w:t xml:space="preserve"> </w:t>
            </w:r>
            <w:r w:rsidR="00582A00">
              <w:rPr>
                <w:color w:val="auto"/>
                <w:sz w:val="22"/>
                <w:szCs w:val="22"/>
                <w:lang w:val="el-GR"/>
              </w:rPr>
              <w:t>το άκρο στραμμένο προς τα επάνω για να αποφύγετε την απόφραξη του άκρου).</w:t>
            </w:r>
            <w:r w:rsidR="00582A00" w:rsidRPr="005B77AA">
              <w:rPr>
                <w:noProof/>
                <w:color w:val="auto"/>
                <w:sz w:val="22"/>
                <w:szCs w:val="22"/>
                <w:lang w:val="el-GR"/>
              </w:rPr>
              <w:t xml:space="preserve"> </w:t>
            </w:r>
          </w:p>
          <w:p w:rsidR="00582A00" w:rsidRPr="005B77AA" w:rsidRDefault="00FE115F">
            <w:pPr>
              <w:pStyle w:val="Web"/>
              <w:rPr>
                <w:rFonts w:ascii="Calibri" w:hAnsi="Calibri" w:cs="Calibri"/>
                <w:noProof/>
                <w:lang w:val="el-GR"/>
              </w:rPr>
            </w:pPr>
            <w:r>
              <w:rPr>
                <w:noProof/>
                <w:color w:val="auto"/>
                <w:sz w:val="22"/>
                <w:szCs w:val="22"/>
                <w:lang w:val="el-GR"/>
              </w:rPr>
              <w:t>6.</w:t>
            </w:r>
            <w:r w:rsidR="00582A00" w:rsidRPr="005B77AA">
              <w:rPr>
                <w:noProof/>
                <w:color w:val="auto"/>
                <w:sz w:val="22"/>
                <w:szCs w:val="22"/>
                <w:lang w:val="el-GR"/>
              </w:rPr>
              <w:t xml:space="preserve"> </w:t>
            </w:r>
            <w:r w:rsidR="00582A00" w:rsidRPr="005B77AA">
              <w:rPr>
                <w:rFonts w:ascii="Calibri" w:hAnsi="Calibri" w:cs="Calibri"/>
                <w:noProof/>
                <w:lang w:val="el-GR"/>
              </w:rPr>
              <w:tab/>
            </w:r>
            <w:r w:rsidR="00582A00">
              <w:rPr>
                <w:color w:val="auto"/>
                <w:sz w:val="22"/>
                <w:szCs w:val="22"/>
                <w:lang w:val="el-GR"/>
              </w:rPr>
              <w:t>Στρέψτε τη σύριγγα με το άκρο προς τα κάτω και εγχύστε αμέσως ακόμα 5</w:t>
            </w:r>
            <w:r w:rsidR="00582A00">
              <w:rPr>
                <w:color w:val="auto"/>
                <w:sz w:val="22"/>
                <w:szCs w:val="22"/>
                <w:lang w:val="el-GR"/>
              </w:rPr>
              <w:noBreakHyphen/>
              <w:t>10 ml στο σωλήνα.</w:t>
            </w:r>
            <w:r w:rsidR="00582A00" w:rsidRPr="005B77AA">
              <w:rPr>
                <w:noProof/>
                <w:color w:val="auto"/>
                <w:sz w:val="22"/>
                <w:szCs w:val="22"/>
                <w:lang w:val="el-GR"/>
              </w:rPr>
              <w:t xml:space="preserve"> </w:t>
            </w:r>
            <w:r w:rsidR="00582A00">
              <w:rPr>
                <w:color w:val="auto"/>
                <w:sz w:val="22"/>
                <w:szCs w:val="22"/>
                <w:lang w:val="el-GR"/>
              </w:rPr>
              <w:t>Επαναλάβετε αυτή τη διαδικασία μέχρι να αδειάσει η σύριγγα.</w:t>
            </w:r>
            <w:r w:rsidR="00582A00" w:rsidRPr="005B77AA">
              <w:rPr>
                <w:noProof/>
                <w:color w:val="auto"/>
                <w:sz w:val="22"/>
                <w:szCs w:val="22"/>
                <w:lang w:val="el-GR"/>
              </w:rPr>
              <w:t xml:space="preserve"> </w:t>
            </w:r>
          </w:p>
          <w:p w:rsidR="00582A00" w:rsidRDefault="00FE115F">
            <w:pPr>
              <w:pStyle w:val="Web"/>
              <w:rPr>
                <w:lang w:val="el-GR"/>
              </w:rPr>
            </w:pPr>
            <w:r>
              <w:rPr>
                <w:noProof/>
                <w:color w:val="auto"/>
                <w:sz w:val="22"/>
                <w:szCs w:val="22"/>
                <w:lang w:val="el-GR"/>
              </w:rPr>
              <w:t>7.</w:t>
            </w:r>
            <w:r w:rsidR="00582A00" w:rsidRPr="005B77AA">
              <w:rPr>
                <w:noProof/>
                <w:color w:val="auto"/>
                <w:sz w:val="22"/>
                <w:szCs w:val="22"/>
                <w:lang w:val="el-GR"/>
              </w:rPr>
              <w:t xml:space="preserve"> </w:t>
            </w:r>
            <w:r w:rsidR="00582A00" w:rsidRPr="005B77AA">
              <w:rPr>
                <w:rFonts w:ascii="Calibri" w:hAnsi="Calibri" w:cs="Calibri"/>
                <w:noProof/>
                <w:lang w:val="el-GR"/>
              </w:rPr>
              <w:tab/>
            </w:r>
            <w:r>
              <w:rPr>
                <w:noProof/>
                <w:sz w:val="22"/>
                <w:szCs w:val="22"/>
                <w:lang w:val="el-GR"/>
              </w:rPr>
              <w:t>Γεμίστε</w:t>
            </w:r>
            <w:r w:rsidR="00582A00">
              <w:rPr>
                <w:color w:val="auto"/>
                <w:sz w:val="22"/>
                <w:szCs w:val="22"/>
                <w:lang w:val="el-GR"/>
              </w:rPr>
              <w:t xml:space="preserve"> τη σύριγγα με 25 ml νερού και 5 ml αέρα και επαναλάβετε το βήμα </w:t>
            </w:r>
            <w:r>
              <w:rPr>
                <w:color w:val="auto"/>
                <w:sz w:val="22"/>
                <w:szCs w:val="22"/>
                <w:lang w:val="el-GR"/>
              </w:rPr>
              <w:t>5</w:t>
            </w:r>
            <w:r w:rsidR="00582A00">
              <w:rPr>
                <w:color w:val="auto"/>
                <w:sz w:val="22"/>
                <w:szCs w:val="22"/>
                <w:lang w:val="el-GR"/>
              </w:rPr>
              <w:t xml:space="preserve"> εάν είναι απαραίτητο για να εκπλύνετε</w:t>
            </w:r>
            <w:r w:rsidR="00582A00" w:rsidRPr="005B77AA">
              <w:rPr>
                <w:noProof/>
                <w:color w:val="auto"/>
                <w:sz w:val="22"/>
                <w:szCs w:val="22"/>
                <w:lang w:val="el-GR"/>
              </w:rPr>
              <w:t xml:space="preserve"> </w:t>
            </w:r>
            <w:r w:rsidR="00582A00">
              <w:rPr>
                <w:color w:val="auto"/>
                <w:sz w:val="22"/>
                <w:szCs w:val="22"/>
                <w:lang w:val="el-GR"/>
              </w:rPr>
              <w:t>τυχόν ίζημα που έχει απομείνει στη σύριγγα.</w:t>
            </w:r>
            <w:r w:rsidR="00582A00" w:rsidRPr="005B77AA">
              <w:rPr>
                <w:noProof/>
                <w:color w:val="auto"/>
                <w:sz w:val="22"/>
                <w:szCs w:val="22"/>
                <w:lang w:val="el-GR"/>
              </w:rPr>
              <w:t xml:space="preserve"> </w:t>
            </w:r>
            <w:r w:rsidR="00582A00">
              <w:rPr>
                <w:color w:val="auto"/>
                <w:sz w:val="22"/>
                <w:szCs w:val="22"/>
                <w:lang w:val="el-GR"/>
              </w:rPr>
              <w:t>Για κάποιους σωλήνες, απαιτούνται 50 ml νερού.</w:t>
            </w:r>
          </w:p>
          <w:p w:rsidR="00582A00" w:rsidRDefault="00582A00">
            <w:pPr>
              <w:pStyle w:val="Default"/>
              <w:rPr>
                <w:sz w:val="22"/>
                <w:szCs w:val="22"/>
                <w:lang w:val="el-GR"/>
              </w:rPr>
            </w:pPr>
          </w:p>
        </w:tc>
      </w:tr>
    </w:tbl>
    <w:p w:rsidR="00582A00" w:rsidRDefault="00582A00">
      <w:pPr>
        <w:tabs>
          <w:tab w:val="clear" w:pos="567"/>
        </w:tabs>
        <w:spacing w:line="240" w:lineRule="auto"/>
        <w:rPr>
          <w:rFonts w:ascii="Calibri" w:hAnsi="Calibri" w:cs="Calibri"/>
          <w:noProof/>
          <w:lang w:val="el-GR"/>
        </w:rPr>
      </w:pPr>
    </w:p>
    <w:p w:rsidR="00582A00" w:rsidRPr="005B77AA" w:rsidRDefault="00582A00">
      <w:pPr>
        <w:widowControl w:val="0"/>
        <w:outlineLvl w:val="0"/>
        <w:rPr>
          <w:rFonts w:ascii="Calibri" w:hAnsi="Calibri" w:cs="Calibri"/>
          <w:b/>
          <w:bCs/>
          <w:noProof/>
          <w:lang w:val="el-GR"/>
        </w:rPr>
      </w:pPr>
      <w:r w:rsidRPr="005B77AA">
        <w:rPr>
          <w:b/>
          <w:bCs/>
          <w:noProof/>
          <w:lang w:val="el-GR"/>
        </w:rPr>
        <w:t>7</w:t>
      </w:r>
      <w:r w:rsidRPr="005B77AA">
        <w:rPr>
          <w:b/>
          <w:bCs/>
          <w:i/>
          <w:iCs/>
          <w:noProof/>
          <w:lang w:val="el-GR"/>
        </w:rPr>
        <w:t>.</w:t>
      </w:r>
      <w:r w:rsidRPr="005B77AA">
        <w:rPr>
          <w:b/>
          <w:bCs/>
          <w:i/>
          <w:iCs/>
          <w:noProof/>
          <w:lang w:val="el-GR"/>
        </w:rPr>
        <w:tab/>
      </w:r>
      <w:r>
        <w:rPr>
          <w:b/>
          <w:bCs/>
          <w:lang w:val="el-GR"/>
        </w:rPr>
        <w:t>ΚΑΤΟΧΟΣ ΤΗΣ ΑΔΕΙΑΣ ΚΥΚΛΟΦΟΡΙΑΣ</w:t>
      </w:r>
    </w:p>
    <w:p w:rsidR="00582A00" w:rsidRDefault="00582A00">
      <w:pPr>
        <w:tabs>
          <w:tab w:val="clear" w:pos="567"/>
        </w:tabs>
        <w:spacing w:line="240" w:lineRule="auto"/>
        <w:rPr>
          <w:rFonts w:ascii="Calibri" w:hAnsi="Calibri" w:cs="Calibri"/>
          <w:noProof/>
          <w:lang w:val="el-GR"/>
        </w:rPr>
      </w:pPr>
    </w:p>
    <w:p w:rsidR="00582A00" w:rsidRDefault="00DA311C">
      <w:pPr>
        <w:tabs>
          <w:tab w:val="clear" w:pos="567"/>
        </w:tabs>
        <w:spacing w:line="240" w:lineRule="auto"/>
        <w:rPr>
          <w:lang w:val="el-GR"/>
        </w:rPr>
      </w:pPr>
      <w:r>
        <w:rPr>
          <w:lang w:val="en-US"/>
        </w:rPr>
        <w:t>ELPEN</w:t>
      </w:r>
      <w:r w:rsidRPr="00DA311C">
        <w:rPr>
          <w:lang w:val="el-GR"/>
        </w:rPr>
        <w:t xml:space="preserve"> </w:t>
      </w:r>
      <w:r>
        <w:rPr>
          <w:lang w:val="en-US"/>
        </w:rPr>
        <w:t>AE</w:t>
      </w:r>
      <w:r w:rsidRPr="00DA311C">
        <w:rPr>
          <w:lang w:val="el-GR"/>
        </w:rPr>
        <w:t xml:space="preserve"> </w:t>
      </w:r>
      <w:r>
        <w:rPr>
          <w:lang w:val="el-GR"/>
        </w:rPr>
        <w:t>Φαρμακευτική Βιομηχανία</w:t>
      </w:r>
    </w:p>
    <w:p w:rsidR="00DA311C" w:rsidRDefault="00DA311C">
      <w:pPr>
        <w:tabs>
          <w:tab w:val="clear" w:pos="567"/>
        </w:tabs>
        <w:spacing w:line="240" w:lineRule="auto"/>
        <w:rPr>
          <w:lang w:val="el-GR"/>
        </w:rPr>
      </w:pPr>
      <w:r>
        <w:rPr>
          <w:lang w:val="el-GR"/>
        </w:rPr>
        <w:t>Λεωφ. Μαραθώνος 95</w:t>
      </w:r>
    </w:p>
    <w:p w:rsidR="00DA311C" w:rsidRPr="00DA311C" w:rsidRDefault="00DA311C">
      <w:pPr>
        <w:tabs>
          <w:tab w:val="clear" w:pos="567"/>
        </w:tabs>
        <w:spacing w:line="240" w:lineRule="auto"/>
        <w:rPr>
          <w:rFonts w:ascii="Calibri" w:hAnsi="Calibri" w:cs="Calibri"/>
          <w:noProof/>
          <w:lang w:val="el-GR"/>
        </w:rPr>
      </w:pPr>
      <w:r>
        <w:rPr>
          <w:lang w:val="el-GR"/>
        </w:rPr>
        <w:t>19009 Πικέρμι Αττικής</w:t>
      </w:r>
    </w:p>
    <w:p w:rsidR="00582A00" w:rsidRDefault="00582A00">
      <w:pPr>
        <w:tabs>
          <w:tab w:val="clear" w:pos="567"/>
        </w:tabs>
        <w:spacing w:line="240" w:lineRule="auto"/>
        <w:rPr>
          <w:rFonts w:ascii="Calibri" w:hAnsi="Calibri" w:cs="Calibri"/>
          <w:noProof/>
          <w:lang w:val="el-GR"/>
        </w:rPr>
      </w:pPr>
    </w:p>
    <w:p w:rsidR="00582A00" w:rsidRDefault="00582A00">
      <w:pPr>
        <w:tabs>
          <w:tab w:val="clear" w:pos="567"/>
        </w:tabs>
        <w:spacing w:line="240" w:lineRule="auto"/>
        <w:rPr>
          <w:rFonts w:ascii="Calibri" w:hAnsi="Calibri" w:cs="Calibri"/>
          <w:noProof/>
          <w:lang w:val="el-GR"/>
        </w:rPr>
      </w:pPr>
    </w:p>
    <w:p w:rsidR="00582A00" w:rsidRPr="005B77AA" w:rsidRDefault="00582A00">
      <w:pPr>
        <w:widowControl w:val="0"/>
        <w:outlineLvl w:val="0"/>
        <w:rPr>
          <w:b/>
          <w:bCs/>
          <w:noProof/>
          <w:lang w:val="el-GR"/>
        </w:rPr>
      </w:pPr>
      <w:r w:rsidRPr="005B77AA">
        <w:rPr>
          <w:b/>
          <w:bCs/>
          <w:noProof/>
          <w:lang w:val="el-GR"/>
        </w:rPr>
        <w:t>8</w:t>
      </w:r>
      <w:r w:rsidRPr="005B77AA">
        <w:rPr>
          <w:b/>
          <w:bCs/>
          <w:i/>
          <w:iCs/>
          <w:noProof/>
          <w:lang w:val="el-GR"/>
        </w:rPr>
        <w:t>.</w:t>
      </w:r>
      <w:r w:rsidRPr="005B77AA">
        <w:rPr>
          <w:b/>
          <w:bCs/>
          <w:i/>
          <w:iCs/>
          <w:noProof/>
          <w:lang w:val="el-GR"/>
        </w:rPr>
        <w:tab/>
      </w:r>
      <w:r>
        <w:rPr>
          <w:b/>
          <w:bCs/>
          <w:lang w:val="el-GR"/>
        </w:rPr>
        <w:t>ΑΡΙΘΜΟΣ</w:t>
      </w:r>
      <w:r w:rsidRPr="005B77AA">
        <w:rPr>
          <w:b/>
          <w:bCs/>
          <w:lang w:val="el-GR"/>
        </w:rPr>
        <w:t>(</w:t>
      </w:r>
      <w:r>
        <w:rPr>
          <w:b/>
          <w:bCs/>
          <w:lang w:val="el-GR"/>
        </w:rPr>
        <w:t>ΟΙ</w:t>
      </w:r>
      <w:r w:rsidRPr="005B77AA">
        <w:rPr>
          <w:b/>
          <w:bCs/>
          <w:lang w:val="el-GR"/>
        </w:rPr>
        <w:t xml:space="preserve">) </w:t>
      </w:r>
      <w:r>
        <w:rPr>
          <w:b/>
          <w:bCs/>
          <w:lang w:val="el-GR"/>
        </w:rPr>
        <w:t>ΑΔΕΙΑΣ ΚΥΚΛΟΦΟΡΙΑΣ</w:t>
      </w:r>
      <w:r w:rsidRPr="005B77AA">
        <w:rPr>
          <w:b/>
          <w:bCs/>
          <w:noProof/>
          <w:lang w:val="el-GR"/>
        </w:rPr>
        <w:t xml:space="preserve"> </w:t>
      </w:r>
    </w:p>
    <w:p w:rsidR="00582A00" w:rsidRDefault="00582A00">
      <w:pPr>
        <w:tabs>
          <w:tab w:val="clear" w:pos="567"/>
        </w:tabs>
        <w:spacing w:line="240" w:lineRule="auto"/>
        <w:rPr>
          <w:rFonts w:ascii="Calibri" w:hAnsi="Calibri" w:cs="Calibri"/>
          <w:noProof/>
          <w:lang w:val="el-GR"/>
        </w:rPr>
      </w:pPr>
    </w:p>
    <w:p w:rsidR="00582A00" w:rsidRPr="002B6C10" w:rsidRDefault="00DA311C">
      <w:pPr>
        <w:tabs>
          <w:tab w:val="clear" w:pos="567"/>
        </w:tabs>
        <w:spacing w:line="240" w:lineRule="auto"/>
        <w:rPr>
          <w:rFonts w:ascii="Calibri" w:hAnsi="Calibri" w:cs="Calibri"/>
          <w:noProof/>
          <w:lang w:val="el-GR"/>
        </w:rPr>
      </w:pPr>
      <w:r>
        <w:rPr>
          <w:lang w:val="en-US"/>
        </w:rPr>
        <w:t>Esactive</w:t>
      </w:r>
      <w:r w:rsidRPr="002B6C10">
        <w:rPr>
          <w:lang w:val="el-GR"/>
        </w:rPr>
        <w:t xml:space="preserve"> 20</w:t>
      </w:r>
      <w:r>
        <w:rPr>
          <w:lang w:val="en-US"/>
        </w:rPr>
        <w:t>mg</w:t>
      </w:r>
      <w:r w:rsidRPr="002B6C10">
        <w:rPr>
          <w:lang w:val="el-GR"/>
        </w:rPr>
        <w:t xml:space="preserve">: </w:t>
      </w:r>
    </w:p>
    <w:p w:rsidR="00DA311C" w:rsidRPr="002B6C10" w:rsidRDefault="00DA311C" w:rsidP="00DA311C">
      <w:pPr>
        <w:tabs>
          <w:tab w:val="clear" w:pos="567"/>
        </w:tabs>
        <w:spacing w:line="240" w:lineRule="auto"/>
        <w:rPr>
          <w:rFonts w:ascii="Calibri" w:hAnsi="Calibri" w:cs="Calibri"/>
          <w:noProof/>
          <w:lang w:val="el-GR"/>
        </w:rPr>
      </w:pPr>
      <w:r>
        <w:rPr>
          <w:lang w:val="en-US"/>
        </w:rPr>
        <w:t>Esactive</w:t>
      </w:r>
      <w:r w:rsidRPr="002B6C10">
        <w:rPr>
          <w:lang w:val="el-GR"/>
        </w:rPr>
        <w:t xml:space="preserve"> 40</w:t>
      </w:r>
      <w:r>
        <w:rPr>
          <w:lang w:val="en-US"/>
        </w:rPr>
        <w:t>mg</w:t>
      </w:r>
      <w:r w:rsidRPr="002B6C10">
        <w:rPr>
          <w:lang w:val="el-GR"/>
        </w:rPr>
        <w:t xml:space="preserve">: </w:t>
      </w:r>
    </w:p>
    <w:p w:rsidR="00582A00" w:rsidRPr="005B77AA" w:rsidRDefault="00582A00">
      <w:pPr>
        <w:tabs>
          <w:tab w:val="clear" w:pos="567"/>
        </w:tabs>
        <w:spacing w:line="240" w:lineRule="auto"/>
        <w:rPr>
          <w:rFonts w:ascii="Calibri" w:hAnsi="Calibri" w:cs="Calibri"/>
          <w:noProof/>
          <w:lang w:val="el-GR"/>
        </w:rPr>
      </w:pPr>
    </w:p>
    <w:p w:rsidR="00582A00" w:rsidRPr="005B77AA" w:rsidRDefault="00582A00">
      <w:pPr>
        <w:widowControl w:val="0"/>
        <w:outlineLvl w:val="0"/>
        <w:rPr>
          <w:rFonts w:ascii="Calibri" w:hAnsi="Calibri" w:cs="Calibri"/>
          <w:b/>
          <w:bCs/>
          <w:i/>
          <w:iCs/>
          <w:noProof/>
          <w:lang w:val="el-GR"/>
        </w:rPr>
      </w:pPr>
      <w:r w:rsidRPr="005B77AA">
        <w:rPr>
          <w:b/>
          <w:bCs/>
          <w:noProof/>
          <w:lang w:val="el-GR"/>
        </w:rPr>
        <w:t>9.</w:t>
      </w:r>
      <w:r w:rsidRPr="005B77AA">
        <w:rPr>
          <w:b/>
          <w:bCs/>
          <w:i/>
          <w:iCs/>
          <w:noProof/>
          <w:lang w:val="el-GR"/>
        </w:rPr>
        <w:tab/>
      </w:r>
      <w:r w:rsidRPr="00785594">
        <w:rPr>
          <w:b/>
          <w:bCs/>
          <w:lang w:val="el-GR"/>
        </w:rPr>
        <w:t>ΗΜΕΡΟΜΗΝΙΑ ΠΡΩΤΗΣ ΕΓΚΡΙΣΗΣ</w:t>
      </w:r>
      <w:r w:rsidRPr="005B77AA">
        <w:rPr>
          <w:b/>
          <w:bCs/>
          <w:lang w:val="el-GR"/>
        </w:rPr>
        <w:t xml:space="preserve"> / </w:t>
      </w:r>
      <w:r w:rsidRPr="00785594">
        <w:rPr>
          <w:b/>
          <w:bCs/>
          <w:lang w:val="el-GR"/>
        </w:rPr>
        <w:t>ΑΝΑΝΕΩΣΗΣ ΤΗΣ ΑΔΕΙΑΣ</w:t>
      </w:r>
    </w:p>
    <w:p w:rsidR="00582A00" w:rsidRDefault="00582A00">
      <w:pPr>
        <w:tabs>
          <w:tab w:val="clear" w:pos="567"/>
        </w:tabs>
        <w:spacing w:line="240" w:lineRule="auto"/>
        <w:rPr>
          <w:rFonts w:ascii="Calibri" w:hAnsi="Calibri" w:cs="Calibri"/>
          <w:noProof/>
          <w:lang w:val="el-GR"/>
        </w:rPr>
      </w:pPr>
    </w:p>
    <w:p w:rsidR="00582A00" w:rsidRPr="002B6C10" w:rsidRDefault="00582A00">
      <w:pPr>
        <w:tabs>
          <w:tab w:val="clear" w:pos="567"/>
        </w:tabs>
        <w:spacing w:line="240" w:lineRule="auto"/>
        <w:rPr>
          <w:rFonts w:ascii="Calibri" w:hAnsi="Calibri" w:cs="Calibri"/>
          <w:noProof/>
          <w:lang w:val="el-GR"/>
        </w:rPr>
      </w:pPr>
    </w:p>
    <w:p w:rsidR="00582A00" w:rsidRDefault="00582A00">
      <w:pPr>
        <w:tabs>
          <w:tab w:val="clear" w:pos="567"/>
        </w:tabs>
        <w:spacing w:line="240" w:lineRule="auto"/>
        <w:rPr>
          <w:rFonts w:ascii="Calibri" w:hAnsi="Calibri" w:cs="Calibri"/>
          <w:noProof/>
          <w:lang w:val="el-GR"/>
        </w:rPr>
      </w:pPr>
    </w:p>
    <w:p w:rsidR="00582A00" w:rsidRPr="005B77AA" w:rsidRDefault="00582A00">
      <w:pPr>
        <w:widowControl w:val="0"/>
        <w:outlineLvl w:val="0"/>
        <w:rPr>
          <w:rFonts w:ascii="Calibri" w:hAnsi="Calibri" w:cs="Calibri"/>
          <w:b/>
          <w:bCs/>
          <w:noProof/>
          <w:lang w:val="el-GR"/>
        </w:rPr>
      </w:pPr>
      <w:r w:rsidRPr="005B77AA">
        <w:rPr>
          <w:b/>
          <w:bCs/>
          <w:noProof/>
          <w:lang w:val="el-GR"/>
        </w:rPr>
        <w:t>10</w:t>
      </w:r>
      <w:r w:rsidRPr="005B77AA">
        <w:rPr>
          <w:b/>
          <w:bCs/>
          <w:i/>
          <w:iCs/>
          <w:noProof/>
          <w:lang w:val="el-GR"/>
        </w:rPr>
        <w:t>.</w:t>
      </w:r>
      <w:r w:rsidRPr="005B77AA">
        <w:rPr>
          <w:b/>
          <w:bCs/>
          <w:i/>
          <w:iCs/>
          <w:noProof/>
          <w:lang w:val="el-GR"/>
        </w:rPr>
        <w:tab/>
      </w:r>
      <w:r w:rsidRPr="005B77AA">
        <w:rPr>
          <w:b/>
          <w:bCs/>
          <w:i/>
          <w:iCs/>
          <w:noProof/>
          <w:lang w:val="el-GR"/>
        </w:rPr>
        <w:tab/>
      </w:r>
      <w:r w:rsidRPr="00785594">
        <w:rPr>
          <w:b/>
          <w:bCs/>
          <w:lang w:val="el-GR"/>
        </w:rPr>
        <w:t>ΗΜΕΡΟΜΗΝΙΑ ΑΝΑΘΕΩΡΗΣΗΣ ΤΟΥ ΚΕΙΜΕΝΟΥ</w:t>
      </w:r>
    </w:p>
    <w:p w:rsidR="00582A00" w:rsidRDefault="00582A00">
      <w:pPr>
        <w:tabs>
          <w:tab w:val="clear" w:pos="567"/>
        </w:tabs>
        <w:spacing w:line="240" w:lineRule="auto"/>
        <w:rPr>
          <w:rFonts w:ascii="Calibri" w:hAnsi="Calibri" w:cs="Calibri"/>
          <w:noProof/>
          <w:lang w:val="el-GR"/>
        </w:rPr>
      </w:pPr>
    </w:p>
    <w:p w:rsidR="00582A00" w:rsidRDefault="00582A00" w:rsidP="004E4231">
      <w:pPr>
        <w:rPr>
          <w:lang w:val="el-GR"/>
        </w:rPr>
      </w:pPr>
    </w:p>
    <w:sectPr w:rsidR="00582A00" w:rsidSect="00123257">
      <w:footerReference w:type="default" r:id="rId7"/>
      <w:footerReference w:type="first" r:id="rId8"/>
      <w:endnotePr>
        <w:numFmt w:val="decimal"/>
      </w:endnotePr>
      <w:pgSz w:w="11907" w:h="16840" w:code="9"/>
      <w:pgMar w:top="1134" w:right="992" w:bottom="1134" w:left="1134" w:header="737" w:footer="73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4B" w:rsidRDefault="0064124B">
      <w:pPr>
        <w:spacing w:line="240" w:lineRule="auto"/>
        <w:rPr>
          <w:rFonts w:ascii="Calibri" w:hAnsi="Calibri" w:cs="Calibri"/>
        </w:rPr>
      </w:pPr>
      <w:r>
        <w:rPr>
          <w:rFonts w:ascii="Calibri" w:hAnsi="Calibri" w:cs="Calibri"/>
        </w:rPr>
        <w:separator/>
      </w:r>
    </w:p>
  </w:endnote>
  <w:endnote w:type="continuationSeparator" w:id="0">
    <w:p w:rsidR="0064124B" w:rsidRDefault="0064124B">
      <w:pPr>
        <w:spacing w:line="240" w:lineRule="auto"/>
        <w:rPr>
          <w:rFonts w:ascii="Calibri" w:hAnsi="Calibri" w:cs="Calibri"/>
        </w:rPr>
      </w:pPr>
      <w:r>
        <w:rPr>
          <w:rFonts w:ascii="Calibri" w:hAnsi="Calibri" w:cs="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Helvetica">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39533"/>
      <w:docPartObj>
        <w:docPartGallery w:val="Page Numbers (Bottom of Page)"/>
        <w:docPartUnique/>
      </w:docPartObj>
    </w:sdtPr>
    <w:sdtContent>
      <w:p w:rsidR="00123257" w:rsidRDefault="00D44A07">
        <w:pPr>
          <w:pStyle w:val="a4"/>
          <w:jc w:val="center"/>
        </w:pPr>
        <w:r>
          <w:fldChar w:fldCharType="begin"/>
        </w:r>
        <w:r w:rsidR="00123257">
          <w:instrText xml:space="preserve"> PAGE   \* MERGEFORMAT </w:instrText>
        </w:r>
        <w:r>
          <w:fldChar w:fldCharType="separate"/>
        </w:r>
        <w:r w:rsidR="002A5529">
          <w:rPr>
            <w:noProof/>
          </w:rPr>
          <w:t>11</w:t>
        </w:r>
        <w:r>
          <w:fldChar w:fldCharType="end"/>
        </w:r>
      </w:p>
    </w:sdtContent>
  </w:sdt>
  <w:p w:rsidR="00C75A41" w:rsidRDefault="00C75A41">
    <w:pPr>
      <w:pStyle w:val="a4"/>
      <w:rPr>
        <w:rFonts w:ascii="Calibri" w:hAnsi="Calibri" w:cs="Calibr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1" w:rsidRDefault="00D44A07">
    <w:pPr>
      <w:pStyle w:val="a4"/>
      <w:rPr>
        <w:rFonts w:ascii="Calibri" w:hAnsi="Calibri" w:cs="Calibri"/>
      </w:rPr>
    </w:pPr>
    <w:r>
      <w:fldChar w:fldCharType="begin"/>
    </w:r>
    <w:r w:rsidR="00C75A41">
      <w:instrText xml:space="preserve"> EQ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4B" w:rsidRDefault="0064124B">
      <w:pPr>
        <w:spacing w:line="240" w:lineRule="auto"/>
        <w:rPr>
          <w:rFonts w:ascii="Calibri" w:hAnsi="Calibri" w:cs="Calibri"/>
        </w:rPr>
      </w:pPr>
      <w:r>
        <w:rPr>
          <w:rFonts w:ascii="Calibri" w:hAnsi="Calibri" w:cs="Calibri"/>
        </w:rPr>
        <w:separator/>
      </w:r>
    </w:p>
  </w:footnote>
  <w:footnote w:type="continuationSeparator" w:id="0">
    <w:p w:rsidR="0064124B" w:rsidRDefault="0064124B">
      <w:pPr>
        <w:spacing w:line="240" w:lineRule="auto"/>
        <w:rPr>
          <w:rFonts w:ascii="Calibri" w:hAnsi="Calibri" w:cs="Calibri"/>
        </w:rPr>
      </w:pPr>
      <w:r>
        <w:rPr>
          <w:rFonts w:ascii="Calibri" w:hAnsi="Calibri" w:cs="Calibr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2D4D"/>
    <w:multiLevelType w:val="hybridMultilevel"/>
    <w:tmpl w:val="F2346CDE"/>
    <w:lvl w:ilvl="0" w:tplc="4F5CD996">
      <w:numFmt w:val="bullet"/>
      <w:lvlText w:val="-"/>
      <w:lvlJc w:val="left"/>
      <w:pPr>
        <w:tabs>
          <w:tab w:val="num" w:pos="1065"/>
        </w:tabs>
        <w:ind w:left="1065" w:hanging="705"/>
      </w:pPr>
      <w:rPr>
        <w:rFonts w:ascii="Times New Roman" w:eastAsia="Times New Roman" w:hAnsi="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E2F57AB"/>
    <w:multiLevelType w:val="hybridMultilevel"/>
    <w:tmpl w:val="5D46A142"/>
    <w:lvl w:ilvl="0" w:tplc="083C24A6">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567"/>
  <w:hyphenationZone w:val="425"/>
  <w:doNotHyphenateCaps/>
  <w:characterSpacingControl w:val="doNotCompress"/>
  <w:doNotValidateAgainstSchema/>
  <w:doNotDemarcateInvalidXml/>
  <w:footnotePr>
    <w:footnote w:id="-1"/>
    <w:footnote w:id="0"/>
  </w:footnotePr>
  <w:endnotePr>
    <w:numFmt w:val="decimal"/>
    <w:endnote w:id="-1"/>
    <w:endnote w:id="0"/>
  </w:endnotePr>
  <w:compat/>
  <w:rsids>
    <w:rsidRoot w:val="00D52DB5"/>
    <w:rsid w:val="000033C8"/>
    <w:rsid w:val="00003B06"/>
    <w:rsid w:val="00011993"/>
    <w:rsid w:val="00013A05"/>
    <w:rsid w:val="000151BD"/>
    <w:rsid w:val="00030BEB"/>
    <w:rsid w:val="00046280"/>
    <w:rsid w:val="000613CE"/>
    <w:rsid w:val="00071884"/>
    <w:rsid w:val="00072549"/>
    <w:rsid w:val="00076253"/>
    <w:rsid w:val="0007778B"/>
    <w:rsid w:val="00081573"/>
    <w:rsid w:val="00083519"/>
    <w:rsid w:val="00086246"/>
    <w:rsid w:val="00093619"/>
    <w:rsid w:val="00096A87"/>
    <w:rsid w:val="000A5726"/>
    <w:rsid w:val="000B5072"/>
    <w:rsid w:val="000B645F"/>
    <w:rsid w:val="000C1BD1"/>
    <w:rsid w:val="000D1EA4"/>
    <w:rsid w:val="000E6B50"/>
    <w:rsid w:val="000F2E40"/>
    <w:rsid w:val="00100F7C"/>
    <w:rsid w:val="0010203F"/>
    <w:rsid w:val="00110052"/>
    <w:rsid w:val="0012022C"/>
    <w:rsid w:val="00123257"/>
    <w:rsid w:val="0012344D"/>
    <w:rsid w:val="00126390"/>
    <w:rsid w:val="0013171F"/>
    <w:rsid w:val="00131E14"/>
    <w:rsid w:val="00132061"/>
    <w:rsid w:val="001329CD"/>
    <w:rsid w:val="001411D0"/>
    <w:rsid w:val="001531EC"/>
    <w:rsid w:val="001659C2"/>
    <w:rsid w:val="00170889"/>
    <w:rsid w:val="00171E14"/>
    <w:rsid w:val="001736C0"/>
    <w:rsid w:val="00187AFF"/>
    <w:rsid w:val="00192BC0"/>
    <w:rsid w:val="00196C61"/>
    <w:rsid w:val="001A0A8A"/>
    <w:rsid w:val="001B1C22"/>
    <w:rsid w:val="001C162B"/>
    <w:rsid w:val="001C3D46"/>
    <w:rsid w:val="001C3DDA"/>
    <w:rsid w:val="001C47F6"/>
    <w:rsid w:val="001D139C"/>
    <w:rsid w:val="001D292A"/>
    <w:rsid w:val="001D32C0"/>
    <w:rsid w:val="001D4403"/>
    <w:rsid w:val="001E00C6"/>
    <w:rsid w:val="001E092F"/>
    <w:rsid w:val="001F5556"/>
    <w:rsid w:val="001F5D79"/>
    <w:rsid w:val="0020000F"/>
    <w:rsid w:val="00200197"/>
    <w:rsid w:val="00220DFB"/>
    <w:rsid w:val="00230776"/>
    <w:rsid w:val="0023388E"/>
    <w:rsid w:val="00235FC2"/>
    <w:rsid w:val="00236B22"/>
    <w:rsid w:val="002404D1"/>
    <w:rsid w:val="00244577"/>
    <w:rsid w:val="0025348D"/>
    <w:rsid w:val="00261308"/>
    <w:rsid w:val="00265DBE"/>
    <w:rsid w:val="0027046D"/>
    <w:rsid w:val="0027407D"/>
    <w:rsid w:val="00291059"/>
    <w:rsid w:val="0029308C"/>
    <w:rsid w:val="002A52FE"/>
    <w:rsid w:val="002A5529"/>
    <w:rsid w:val="002B41B8"/>
    <w:rsid w:val="002B612C"/>
    <w:rsid w:val="002B6C10"/>
    <w:rsid w:val="002C3C7E"/>
    <w:rsid w:val="002D0640"/>
    <w:rsid w:val="002E3549"/>
    <w:rsid w:val="002F140E"/>
    <w:rsid w:val="002F206E"/>
    <w:rsid w:val="002F312B"/>
    <w:rsid w:val="002F39C0"/>
    <w:rsid w:val="002F5A00"/>
    <w:rsid w:val="0030014E"/>
    <w:rsid w:val="00302333"/>
    <w:rsid w:val="00312E5D"/>
    <w:rsid w:val="00314378"/>
    <w:rsid w:val="00314B16"/>
    <w:rsid w:val="00315AF2"/>
    <w:rsid w:val="00321C63"/>
    <w:rsid w:val="003251D8"/>
    <w:rsid w:val="00327903"/>
    <w:rsid w:val="00332B0E"/>
    <w:rsid w:val="00335A82"/>
    <w:rsid w:val="0034053A"/>
    <w:rsid w:val="00345231"/>
    <w:rsid w:val="00347DCC"/>
    <w:rsid w:val="00351EFE"/>
    <w:rsid w:val="00357599"/>
    <w:rsid w:val="003607E6"/>
    <w:rsid w:val="00362510"/>
    <w:rsid w:val="00364014"/>
    <w:rsid w:val="003649A6"/>
    <w:rsid w:val="00367D39"/>
    <w:rsid w:val="00373BE5"/>
    <w:rsid w:val="00391480"/>
    <w:rsid w:val="003964FE"/>
    <w:rsid w:val="003A0D71"/>
    <w:rsid w:val="003A2201"/>
    <w:rsid w:val="003C5BCB"/>
    <w:rsid w:val="003D48FF"/>
    <w:rsid w:val="0040484E"/>
    <w:rsid w:val="00416C4C"/>
    <w:rsid w:val="00433A59"/>
    <w:rsid w:val="00433C85"/>
    <w:rsid w:val="004405D1"/>
    <w:rsid w:val="0044311E"/>
    <w:rsid w:val="004517DA"/>
    <w:rsid w:val="00461602"/>
    <w:rsid w:val="0046292D"/>
    <w:rsid w:val="00463D81"/>
    <w:rsid w:val="00465B0E"/>
    <w:rsid w:val="004728C7"/>
    <w:rsid w:val="004750FE"/>
    <w:rsid w:val="0047617F"/>
    <w:rsid w:val="00477A34"/>
    <w:rsid w:val="004917AC"/>
    <w:rsid w:val="00493701"/>
    <w:rsid w:val="004A0473"/>
    <w:rsid w:val="004A18C1"/>
    <w:rsid w:val="004A2D92"/>
    <w:rsid w:val="004A5275"/>
    <w:rsid w:val="004B6906"/>
    <w:rsid w:val="004E0817"/>
    <w:rsid w:val="004E1218"/>
    <w:rsid w:val="004E4231"/>
    <w:rsid w:val="004F1C72"/>
    <w:rsid w:val="004F5C03"/>
    <w:rsid w:val="00501CD9"/>
    <w:rsid w:val="00505755"/>
    <w:rsid w:val="00516636"/>
    <w:rsid w:val="00521394"/>
    <w:rsid w:val="00524D10"/>
    <w:rsid w:val="005251E9"/>
    <w:rsid w:val="0053493C"/>
    <w:rsid w:val="005377F5"/>
    <w:rsid w:val="00546229"/>
    <w:rsid w:val="00550703"/>
    <w:rsid w:val="0055717F"/>
    <w:rsid w:val="0056522D"/>
    <w:rsid w:val="00565E4F"/>
    <w:rsid w:val="00572641"/>
    <w:rsid w:val="00580E84"/>
    <w:rsid w:val="00582A00"/>
    <w:rsid w:val="00582CAC"/>
    <w:rsid w:val="00582E6F"/>
    <w:rsid w:val="00585550"/>
    <w:rsid w:val="0059719A"/>
    <w:rsid w:val="005A3805"/>
    <w:rsid w:val="005B322A"/>
    <w:rsid w:val="005B6256"/>
    <w:rsid w:val="005B77AA"/>
    <w:rsid w:val="005B7D91"/>
    <w:rsid w:val="005E32D5"/>
    <w:rsid w:val="00640350"/>
    <w:rsid w:val="0064124B"/>
    <w:rsid w:val="00645793"/>
    <w:rsid w:val="00651F54"/>
    <w:rsid w:val="0065274A"/>
    <w:rsid w:val="0065488F"/>
    <w:rsid w:val="00657B1C"/>
    <w:rsid w:val="00660B9D"/>
    <w:rsid w:val="0066435A"/>
    <w:rsid w:val="006752AB"/>
    <w:rsid w:val="00677EE5"/>
    <w:rsid w:val="00683418"/>
    <w:rsid w:val="00686A59"/>
    <w:rsid w:val="006A4893"/>
    <w:rsid w:val="006C0E7F"/>
    <w:rsid w:val="006D30F0"/>
    <w:rsid w:val="006D6A49"/>
    <w:rsid w:val="006E02C0"/>
    <w:rsid w:val="006E0C66"/>
    <w:rsid w:val="006F2CCC"/>
    <w:rsid w:val="006F33A0"/>
    <w:rsid w:val="006F42F9"/>
    <w:rsid w:val="0070012F"/>
    <w:rsid w:val="00700B3F"/>
    <w:rsid w:val="00707552"/>
    <w:rsid w:val="00724A59"/>
    <w:rsid w:val="00742506"/>
    <w:rsid w:val="007551A9"/>
    <w:rsid w:val="00763463"/>
    <w:rsid w:val="00772D67"/>
    <w:rsid w:val="00785594"/>
    <w:rsid w:val="007B05C6"/>
    <w:rsid w:val="007B4D4C"/>
    <w:rsid w:val="007C0F8F"/>
    <w:rsid w:val="007C4842"/>
    <w:rsid w:val="007C6901"/>
    <w:rsid w:val="007E464D"/>
    <w:rsid w:val="007E554A"/>
    <w:rsid w:val="007F02E2"/>
    <w:rsid w:val="00810967"/>
    <w:rsid w:val="00812054"/>
    <w:rsid w:val="008136D7"/>
    <w:rsid w:val="0082238E"/>
    <w:rsid w:val="00842C2A"/>
    <w:rsid w:val="00851944"/>
    <w:rsid w:val="0085348A"/>
    <w:rsid w:val="0087101A"/>
    <w:rsid w:val="008760B9"/>
    <w:rsid w:val="008771F0"/>
    <w:rsid w:val="00877987"/>
    <w:rsid w:val="008868ED"/>
    <w:rsid w:val="008A18EB"/>
    <w:rsid w:val="008A1B10"/>
    <w:rsid w:val="008A7361"/>
    <w:rsid w:val="008B1EDB"/>
    <w:rsid w:val="008B21BC"/>
    <w:rsid w:val="008B79BB"/>
    <w:rsid w:val="008D025B"/>
    <w:rsid w:val="008D05A7"/>
    <w:rsid w:val="008E2F91"/>
    <w:rsid w:val="008E5BB4"/>
    <w:rsid w:val="008F1D8B"/>
    <w:rsid w:val="008F7FE5"/>
    <w:rsid w:val="009154E5"/>
    <w:rsid w:val="009203ED"/>
    <w:rsid w:val="00923C15"/>
    <w:rsid w:val="00924A2B"/>
    <w:rsid w:val="009338E5"/>
    <w:rsid w:val="0094335D"/>
    <w:rsid w:val="009513FD"/>
    <w:rsid w:val="009544FA"/>
    <w:rsid w:val="00954F65"/>
    <w:rsid w:val="00956F96"/>
    <w:rsid w:val="0096684C"/>
    <w:rsid w:val="00967FD9"/>
    <w:rsid w:val="00973E70"/>
    <w:rsid w:val="009747E4"/>
    <w:rsid w:val="00980808"/>
    <w:rsid w:val="0098191F"/>
    <w:rsid w:val="00982992"/>
    <w:rsid w:val="00987DFC"/>
    <w:rsid w:val="00996BD7"/>
    <w:rsid w:val="009A0733"/>
    <w:rsid w:val="009A5EA6"/>
    <w:rsid w:val="009C745E"/>
    <w:rsid w:val="009D22ED"/>
    <w:rsid w:val="009D5C25"/>
    <w:rsid w:val="009D7166"/>
    <w:rsid w:val="009E24FA"/>
    <w:rsid w:val="009F019D"/>
    <w:rsid w:val="009F57CF"/>
    <w:rsid w:val="00A04CA4"/>
    <w:rsid w:val="00A12586"/>
    <w:rsid w:val="00A16108"/>
    <w:rsid w:val="00A1771C"/>
    <w:rsid w:val="00A234BD"/>
    <w:rsid w:val="00A34781"/>
    <w:rsid w:val="00A44B89"/>
    <w:rsid w:val="00A5478B"/>
    <w:rsid w:val="00A608B0"/>
    <w:rsid w:val="00A64C6F"/>
    <w:rsid w:val="00A657BE"/>
    <w:rsid w:val="00A75674"/>
    <w:rsid w:val="00A87E45"/>
    <w:rsid w:val="00A91441"/>
    <w:rsid w:val="00A95AF1"/>
    <w:rsid w:val="00AA0D12"/>
    <w:rsid w:val="00AB7C9E"/>
    <w:rsid w:val="00AC4F1E"/>
    <w:rsid w:val="00AD7730"/>
    <w:rsid w:val="00AF2DBD"/>
    <w:rsid w:val="00B01F76"/>
    <w:rsid w:val="00B0540A"/>
    <w:rsid w:val="00B07AEB"/>
    <w:rsid w:val="00B37076"/>
    <w:rsid w:val="00B422FB"/>
    <w:rsid w:val="00B454FB"/>
    <w:rsid w:val="00B471B7"/>
    <w:rsid w:val="00B53AD2"/>
    <w:rsid w:val="00B63BFB"/>
    <w:rsid w:val="00B64978"/>
    <w:rsid w:val="00B64A48"/>
    <w:rsid w:val="00B65597"/>
    <w:rsid w:val="00B733CC"/>
    <w:rsid w:val="00B745AE"/>
    <w:rsid w:val="00B8027B"/>
    <w:rsid w:val="00B84395"/>
    <w:rsid w:val="00B87440"/>
    <w:rsid w:val="00B93866"/>
    <w:rsid w:val="00B947E2"/>
    <w:rsid w:val="00BA30FB"/>
    <w:rsid w:val="00BA4B97"/>
    <w:rsid w:val="00BA76CA"/>
    <w:rsid w:val="00BB16E2"/>
    <w:rsid w:val="00BC7265"/>
    <w:rsid w:val="00BC7402"/>
    <w:rsid w:val="00BD07B1"/>
    <w:rsid w:val="00BD0F66"/>
    <w:rsid w:val="00BD46FA"/>
    <w:rsid w:val="00BD7C05"/>
    <w:rsid w:val="00BE55D1"/>
    <w:rsid w:val="00BE7D8B"/>
    <w:rsid w:val="00BF0275"/>
    <w:rsid w:val="00BF45F4"/>
    <w:rsid w:val="00C00331"/>
    <w:rsid w:val="00C04A3D"/>
    <w:rsid w:val="00C13D42"/>
    <w:rsid w:val="00C23F9C"/>
    <w:rsid w:val="00C278A3"/>
    <w:rsid w:val="00C36DBF"/>
    <w:rsid w:val="00C403AB"/>
    <w:rsid w:val="00C44B60"/>
    <w:rsid w:val="00C75A41"/>
    <w:rsid w:val="00C77CE2"/>
    <w:rsid w:val="00C87E8B"/>
    <w:rsid w:val="00C96FF6"/>
    <w:rsid w:val="00CA0C64"/>
    <w:rsid w:val="00CA4DD3"/>
    <w:rsid w:val="00CA6409"/>
    <w:rsid w:val="00CB50DF"/>
    <w:rsid w:val="00CC5824"/>
    <w:rsid w:val="00CC6504"/>
    <w:rsid w:val="00CC6E69"/>
    <w:rsid w:val="00CF33B0"/>
    <w:rsid w:val="00D1702C"/>
    <w:rsid w:val="00D2087C"/>
    <w:rsid w:val="00D30578"/>
    <w:rsid w:val="00D40DDF"/>
    <w:rsid w:val="00D42974"/>
    <w:rsid w:val="00D44A07"/>
    <w:rsid w:val="00D52DB5"/>
    <w:rsid w:val="00D572B8"/>
    <w:rsid w:val="00D67E4E"/>
    <w:rsid w:val="00D73AFE"/>
    <w:rsid w:val="00D74CD4"/>
    <w:rsid w:val="00D939D9"/>
    <w:rsid w:val="00DA311C"/>
    <w:rsid w:val="00DA672D"/>
    <w:rsid w:val="00DA6D97"/>
    <w:rsid w:val="00DC171C"/>
    <w:rsid w:val="00DD0D44"/>
    <w:rsid w:val="00DD32CD"/>
    <w:rsid w:val="00DE03D1"/>
    <w:rsid w:val="00DE0AD6"/>
    <w:rsid w:val="00DE0FA8"/>
    <w:rsid w:val="00DE1543"/>
    <w:rsid w:val="00DE6FC1"/>
    <w:rsid w:val="00DF3FAC"/>
    <w:rsid w:val="00E07E68"/>
    <w:rsid w:val="00E26344"/>
    <w:rsid w:val="00E317E0"/>
    <w:rsid w:val="00E32C44"/>
    <w:rsid w:val="00E3460F"/>
    <w:rsid w:val="00E35058"/>
    <w:rsid w:val="00E438D7"/>
    <w:rsid w:val="00E556BC"/>
    <w:rsid w:val="00E57420"/>
    <w:rsid w:val="00E5769B"/>
    <w:rsid w:val="00E616CF"/>
    <w:rsid w:val="00E62F5D"/>
    <w:rsid w:val="00E7373A"/>
    <w:rsid w:val="00E771A5"/>
    <w:rsid w:val="00E8166D"/>
    <w:rsid w:val="00E83C17"/>
    <w:rsid w:val="00E96C8A"/>
    <w:rsid w:val="00EA56DB"/>
    <w:rsid w:val="00EB5039"/>
    <w:rsid w:val="00EB5767"/>
    <w:rsid w:val="00EC034B"/>
    <w:rsid w:val="00EC14AF"/>
    <w:rsid w:val="00EC3CF7"/>
    <w:rsid w:val="00EC5886"/>
    <w:rsid w:val="00ED7962"/>
    <w:rsid w:val="00EE0B47"/>
    <w:rsid w:val="00EE0E11"/>
    <w:rsid w:val="00F026AB"/>
    <w:rsid w:val="00F04C83"/>
    <w:rsid w:val="00F052F1"/>
    <w:rsid w:val="00F13BC4"/>
    <w:rsid w:val="00F23259"/>
    <w:rsid w:val="00F27041"/>
    <w:rsid w:val="00F468A5"/>
    <w:rsid w:val="00F46D6D"/>
    <w:rsid w:val="00F533CC"/>
    <w:rsid w:val="00F54A94"/>
    <w:rsid w:val="00F70C2D"/>
    <w:rsid w:val="00F76056"/>
    <w:rsid w:val="00F85D7F"/>
    <w:rsid w:val="00F87991"/>
    <w:rsid w:val="00F87B1A"/>
    <w:rsid w:val="00F90F9C"/>
    <w:rsid w:val="00F95CD0"/>
    <w:rsid w:val="00F95FE4"/>
    <w:rsid w:val="00FA06F7"/>
    <w:rsid w:val="00FB5C09"/>
    <w:rsid w:val="00FB6AA9"/>
    <w:rsid w:val="00FC1E11"/>
    <w:rsid w:val="00FC6DC5"/>
    <w:rsid w:val="00FD45BD"/>
    <w:rsid w:val="00FD59A1"/>
    <w:rsid w:val="00FD6D57"/>
    <w:rsid w:val="00FE06CE"/>
    <w:rsid w:val="00FE115F"/>
    <w:rsid w:val="00FE1749"/>
    <w:rsid w:val="00FE56FB"/>
    <w:rsid w:val="00FF0ACC"/>
    <w:rsid w:val="00FF1427"/>
    <w:rsid w:val="00FF30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A7"/>
    <w:pPr>
      <w:tabs>
        <w:tab w:val="left" w:pos="567"/>
      </w:tabs>
      <w:spacing w:after="0" w:line="260" w:lineRule="exact"/>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05A7"/>
    <w:pPr>
      <w:tabs>
        <w:tab w:val="center" w:pos="4153"/>
        <w:tab w:val="right" w:pos="8306"/>
      </w:tabs>
      <w:spacing w:line="240" w:lineRule="auto"/>
    </w:pPr>
    <w:rPr>
      <w:rFonts w:ascii="Helvetica" w:hAnsi="Helvetica" w:cs="Helvetica"/>
      <w:sz w:val="20"/>
      <w:szCs w:val="20"/>
    </w:rPr>
  </w:style>
  <w:style w:type="character" w:customStyle="1" w:styleId="Char">
    <w:name w:val="Κεφαλίδα Char"/>
    <w:basedOn w:val="a0"/>
    <w:link w:val="a3"/>
    <w:uiPriority w:val="99"/>
    <w:locked/>
    <w:rsid w:val="008D05A7"/>
    <w:rPr>
      <w:rFonts w:ascii="Helvetica" w:hAnsi="Helvetica" w:cs="Helvetica"/>
      <w:sz w:val="20"/>
      <w:szCs w:val="20"/>
      <w:lang w:val="en-GB"/>
    </w:rPr>
  </w:style>
  <w:style w:type="paragraph" w:styleId="a4">
    <w:name w:val="footer"/>
    <w:basedOn w:val="a"/>
    <w:link w:val="Char0"/>
    <w:uiPriority w:val="99"/>
    <w:rsid w:val="008D05A7"/>
    <w:pPr>
      <w:tabs>
        <w:tab w:val="center" w:pos="4536"/>
        <w:tab w:val="center" w:pos="8930"/>
      </w:tabs>
      <w:spacing w:line="240" w:lineRule="auto"/>
    </w:pPr>
    <w:rPr>
      <w:rFonts w:ascii="Helvetica" w:hAnsi="Helvetica" w:cs="Helvetica"/>
      <w:sz w:val="16"/>
      <w:szCs w:val="16"/>
    </w:rPr>
  </w:style>
  <w:style w:type="character" w:customStyle="1" w:styleId="Char0">
    <w:name w:val="Υποσέλιδο Char"/>
    <w:basedOn w:val="a0"/>
    <w:link w:val="a4"/>
    <w:uiPriority w:val="99"/>
    <w:locked/>
    <w:rsid w:val="008D05A7"/>
    <w:rPr>
      <w:rFonts w:ascii="Helvetica" w:hAnsi="Helvetica" w:cs="Helvetica"/>
      <w:sz w:val="20"/>
      <w:szCs w:val="20"/>
      <w:lang w:val="en-GB"/>
    </w:rPr>
  </w:style>
  <w:style w:type="character" w:styleId="a5">
    <w:name w:val="page number"/>
    <w:basedOn w:val="a0"/>
    <w:uiPriority w:val="99"/>
    <w:rsid w:val="008D05A7"/>
  </w:style>
  <w:style w:type="paragraph" w:customStyle="1" w:styleId="Default">
    <w:name w:val="Default"/>
    <w:uiPriority w:val="99"/>
    <w:rsid w:val="008D05A7"/>
    <w:pPr>
      <w:autoSpaceDE w:val="0"/>
      <w:autoSpaceDN w:val="0"/>
      <w:adjustRightInd w:val="0"/>
      <w:spacing w:after="0" w:line="240" w:lineRule="auto"/>
    </w:pPr>
    <w:rPr>
      <w:color w:val="000000"/>
      <w:sz w:val="24"/>
      <w:szCs w:val="24"/>
      <w:lang w:val="fr-FR"/>
    </w:rPr>
  </w:style>
  <w:style w:type="paragraph" w:styleId="a6">
    <w:name w:val="Normal Indent"/>
    <w:basedOn w:val="a"/>
    <w:uiPriority w:val="99"/>
    <w:rsid w:val="008D05A7"/>
    <w:pPr>
      <w:tabs>
        <w:tab w:val="clear" w:pos="567"/>
      </w:tabs>
      <w:spacing w:after="120" w:line="240" w:lineRule="auto"/>
      <w:ind w:left="720"/>
    </w:pPr>
  </w:style>
  <w:style w:type="paragraph" w:styleId="Web">
    <w:name w:val="Normal (Web)"/>
    <w:basedOn w:val="a"/>
    <w:uiPriority w:val="99"/>
    <w:rsid w:val="008D05A7"/>
    <w:pPr>
      <w:tabs>
        <w:tab w:val="clear" w:pos="567"/>
      </w:tabs>
      <w:spacing w:before="100" w:beforeAutospacing="1" w:after="60" w:line="240" w:lineRule="auto"/>
    </w:pPr>
    <w:rPr>
      <w:color w:val="000000"/>
      <w:sz w:val="24"/>
      <w:szCs w:val="24"/>
      <w:lang w:val="fr-FR"/>
    </w:rPr>
  </w:style>
  <w:style w:type="paragraph" w:styleId="a7">
    <w:name w:val="Balloon Text"/>
    <w:basedOn w:val="a"/>
    <w:link w:val="Char1"/>
    <w:uiPriority w:val="99"/>
    <w:semiHidden/>
    <w:rsid w:val="008D05A7"/>
    <w:rPr>
      <w:sz w:val="16"/>
      <w:szCs w:val="16"/>
    </w:rPr>
  </w:style>
  <w:style w:type="character" w:customStyle="1" w:styleId="Char1">
    <w:name w:val="Κείμενο πλαισίου Char"/>
    <w:basedOn w:val="a0"/>
    <w:link w:val="a7"/>
    <w:uiPriority w:val="99"/>
    <w:semiHidden/>
    <w:locked/>
    <w:rsid w:val="008D05A7"/>
    <w:rPr>
      <w:rFonts w:ascii="Times New Roman" w:hAnsi="Times New Roman" w:cs="Times New Roman"/>
      <w:sz w:val="2"/>
      <w:szCs w:val="2"/>
      <w:lang w:val="en-GB"/>
    </w:rPr>
  </w:style>
  <w:style w:type="character" w:customStyle="1" w:styleId="tw4winMark">
    <w:name w:val="tw4winMark"/>
    <w:uiPriority w:val="99"/>
    <w:rsid w:val="008D05A7"/>
    <w:rPr>
      <w:rFonts w:ascii="Courier New" w:hAnsi="Courier New" w:cs="Courier New"/>
      <w:vanish/>
      <w:color w:val="800080"/>
      <w:sz w:val="24"/>
      <w:szCs w:val="24"/>
      <w:vertAlign w:val="subscript"/>
    </w:rPr>
  </w:style>
  <w:style w:type="character" w:customStyle="1" w:styleId="tw4winError">
    <w:name w:val="tw4winError"/>
    <w:uiPriority w:val="99"/>
    <w:rsid w:val="008D05A7"/>
    <w:rPr>
      <w:rFonts w:ascii="Courier New" w:hAnsi="Courier New" w:cs="Courier New"/>
      <w:color w:val="00FF00"/>
      <w:sz w:val="40"/>
      <w:szCs w:val="40"/>
    </w:rPr>
  </w:style>
  <w:style w:type="character" w:customStyle="1" w:styleId="tw4winTerm">
    <w:name w:val="tw4winTerm"/>
    <w:uiPriority w:val="99"/>
    <w:rsid w:val="008D05A7"/>
    <w:rPr>
      <w:color w:val="0000FF"/>
    </w:rPr>
  </w:style>
  <w:style w:type="character" w:customStyle="1" w:styleId="tw4winPopup">
    <w:name w:val="tw4winPopup"/>
    <w:uiPriority w:val="99"/>
    <w:rsid w:val="008D05A7"/>
    <w:rPr>
      <w:rFonts w:ascii="Courier New" w:hAnsi="Courier New" w:cs="Courier New"/>
      <w:noProof/>
      <w:color w:val="008000"/>
    </w:rPr>
  </w:style>
  <w:style w:type="character" w:customStyle="1" w:styleId="tw4winJump">
    <w:name w:val="tw4winJump"/>
    <w:uiPriority w:val="99"/>
    <w:rsid w:val="008D05A7"/>
    <w:rPr>
      <w:rFonts w:ascii="Courier New" w:hAnsi="Courier New" w:cs="Courier New"/>
      <w:noProof/>
      <w:color w:val="008080"/>
    </w:rPr>
  </w:style>
  <w:style w:type="character" w:customStyle="1" w:styleId="tw4winExternal">
    <w:name w:val="tw4winExternal"/>
    <w:uiPriority w:val="99"/>
    <w:rsid w:val="008D05A7"/>
    <w:rPr>
      <w:rFonts w:ascii="Courier New" w:hAnsi="Courier New" w:cs="Courier New"/>
      <w:noProof/>
      <w:color w:val="808080"/>
    </w:rPr>
  </w:style>
  <w:style w:type="character" w:customStyle="1" w:styleId="tw4winInternal">
    <w:name w:val="tw4winInternal"/>
    <w:uiPriority w:val="99"/>
    <w:rsid w:val="008D05A7"/>
    <w:rPr>
      <w:rFonts w:ascii="Courier New" w:hAnsi="Courier New" w:cs="Courier New"/>
      <w:noProof/>
      <w:color w:val="FF0000"/>
    </w:rPr>
  </w:style>
  <w:style w:type="character" w:customStyle="1" w:styleId="DONOTTRANSLATE">
    <w:name w:val="DO_NOT_TRANSLATE"/>
    <w:uiPriority w:val="99"/>
    <w:rsid w:val="008D05A7"/>
    <w:rPr>
      <w:rFonts w:ascii="Courier New" w:hAnsi="Courier New" w:cs="Courier New"/>
      <w:noProof/>
      <w:color w:val="800000"/>
    </w:rPr>
  </w:style>
  <w:style w:type="table" w:styleId="a8">
    <w:name w:val="Table Grid"/>
    <w:basedOn w:val="a1"/>
    <w:uiPriority w:val="99"/>
    <w:locked/>
    <w:rsid w:val="00D2087C"/>
    <w:pPr>
      <w:tabs>
        <w:tab w:val="left" w:pos="567"/>
      </w:tabs>
      <w:spacing w:after="0"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41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5590</Words>
  <Characters>30192</Characters>
  <Application>Microsoft Office Word</Application>
  <DocSecurity>0</DocSecurity>
  <Lines>251</Lines>
  <Paragraphs>71</Paragraphs>
  <ScaleCrop>false</ScaleCrop>
  <Company>Hewlett-Packard Company</Company>
  <LinksUpToDate>false</LinksUpToDate>
  <CharactersWithSpaces>35711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gudlaugb</dc:creator>
  <cp:lastModifiedBy>user146</cp:lastModifiedBy>
  <cp:revision>6</cp:revision>
  <cp:lastPrinted>2013-02-27T13:01:00Z</cp:lastPrinted>
  <dcterms:created xsi:type="dcterms:W3CDTF">2013-02-27T12:58:00Z</dcterms:created>
  <dcterms:modified xsi:type="dcterms:W3CDTF">2013-03-19T12:28:00Z</dcterms:modified>
</cp:coreProperties>
</file>