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D5" w:rsidRPr="009C33D5" w:rsidRDefault="009C33D5" w:rsidP="009C33D5">
      <w:pPr>
        <w:spacing w:after="0" w:line="240" w:lineRule="auto"/>
        <w:jc w:val="center"/>
        <w:rPr>
          <w:rFonts w:ascii="Times New Roman" w:hAnsi="Times New Roman" w:cs="Times New Roman"/>
          <w:b/>
        </w:rPr>
      </w:pPr>
      <w:bookmarkStart w:id="0" w:name="_GoBack"/>
      <w:bookmarkEnd w:id="0"/>
      <w:r w:rsidRPr="009C33D5">
        <w:rPr>
          <w:rFonts w:ascii="Times New Roman" w:hAnsi="Times New Roman" w:cs="Times New Roman"/>
          <w:b/>
        </w:rPr>
        <w:t>ΠΕΡΙΛΗΨΗ ΤΩΝ ΧΑΡΑΚΤΗΡΙΣΤΙΚΩΝ ΤΟΥ ΠΡΟΪΟΝΤΟΣ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1.</w:t>
      </w:r>
      <w:r w:rsidRPr="009C33D5">
        <w:rPr>
          <w:rFonts w:ascii="Times New Roman" w:hAnsi="Times New Roman" w:cs="Times New Roman"/>
          <w:b/>
        </w:rPr>
        <w:tab/>
        <w:t>ΟΝΟΜΑΣΙΑ ΤΟΥ ΦΑΡΜΑΚΕΥΤΙΚΟΥ ΠΡΟΪΟΝΤΟΣ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Epiduo </w:t>
      </w:r>
      <w:r w:rsidR="00144D1C" w:rsidRPr="00314ACD">
        <w:rPr>
          <w:rFonts w:ascii="Times New Roman" w:hAnsi="Times New Roman" w:cs="Times New Roman"/>
        </w:rPr>
        <w:t>(</w:t>
      </w:r>
      <w:r w:rsidRPr="009C33D5">
        <w:rPr>
          <w:rFonts w:ascii="Times New Roman" w:hAnsi="Times New Roman" w:cs="Times New Roman"/>
        </w:rPr>
        <w:t>0,1</w:t>
      </w:r>
      <w:r w:rsidR="00144D1C" w:rsidRPr="00314ACD">
        <w:rPr>
          <w:rFonts w:ascii="Times New Roman" w:hAnsi="Times New Roman" w:cs="Times New Roman"/>
        </w:rPr>
        <w:t>+</w:t>
      </w:r>
      <w:r w:rsidR="004132F5" w:rsidRPr="00314ACD">
        <w:rPr>
          <w:rFonts w:ascii="Times New Roman" w:hAnsi="Times New Roman" w:cs="Times New Roman"/>
        </w:rPr>
        <w:t xml:space="preserve"> </w:t>
      </w:r>
      <w:r w:rsidRPr="009C33D5">
        <w:rPr>
          <w:rFonts w:ascii="Times New Roman" w:hAnsi="Times New Roman" w:cs="Times New Roman"/>
        </w:rPr>
        <w:t>2,5</w:t>
      </w:r>
      <w:r w:rsidR="00144D1C" w:rsidRPr="00314ACD">
        <w:rPr>
          <w:rFonts w:ascii="Times New Roman" w:hAnsi="Times New Roman" w:cs="Times New Roman"/>
        </w:rPr>
        <w:t>)</w:t>
      </w:r>
      <w:r w:rsidRPr="009C33D5">
        <w:rPr>
          <w:rFonts w:ascii="Times New Roman" w:hAnsi="Times New Roman" w:cs="Times New Roman"/>
        </w:rPr>
        <w:t xml:space="preserve">% </w:t>
      </w:r>
      <w:r w:rsidR="00144D1C">
        <w:rPr>
          <w:rFonts w:ascii="Times New Roman" w:hAnsi="Times New Roman" w:cs="Times New Roman"/>
          <w:lang w:val="en-US"/>
        </w:rPr>
        <w:t>w</w:t>
      </w:r>
      <w:r w:rsidR="00144D1C" w:rsidRPr="00314ACD">
        <w:rPr>
          <w:rFonts w:ascii="Times New Roman" w:hAnsi="Times New Roman" w:cs="Times New Roman"/>
        </w:rPr>
        <w:t>/</w:t>
      </w:r>
      <w:r w:rsidR="00144D1C">
        <w:rPr>
          <w:rFonts w:ascii="Times New Roman" w:hAnsi="Times New Roman" w:cs="Times New Roman"/>
          <w:lang w:val="en-US"/>
        </w:rPr>
        <w:t>w</w:t>
      </w:r>
      <w:r w:rsidR="00144D1C" w:rsidRPr="00314ACD">
        <w:rPr>
          <w:rFonts w:ascii="Times New Roman" w:hAnsi="Times New Roman" w:cs="Times New Roman"/>
        </w:rPr>
        <w:t xml:space="preserve"> </w:t>
      </w:r>
      <w:r w:rsidRPr="009C33D5">
        <w:rPr>
          <w:rFonts w:ascii="Times New Roman" w:hAnsi="Times New Roman" w:cs="Times New Roman"/>
        </w:rPr>
        <w:t>γέλη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2.</w:t>
      </w:r>
      <w:r w:rsidRPr="009C33D5">
        <w:rPr>
          <w:rFonts w:ascii="Times New Roman" w:hAnsi="Times New Roman" w:cs="Times New Roman"/>
          <w:b/>
        </w:rPr>
        <w:tab/>
        <w:t>ΠΟΙΟΤΙΚΗ ΚΑΙ ΠΟΣΟΤΙΚΗ ΣΥΝΘΕΣΗ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1 g γέλης περιέχει:</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Ανταπαλένη 1 mg (0,1%)</w:t>
      </w:r>
    </w:p>
    <w:p w:rsidR="009C33D5" w:rsidRPr="009C33D5" w:rsidRDefault="009C33D5" w:rsidP="00AC3FFB">
      <w:pPr>
        <w:spacing w:after="0" w:line="240" w:lineRule="auto"/>
        <w:rPr>
          <w:rFonts w:ascii="Times New Roman" w:hAnsi="Times New Roman" w:cs="Times New Roman"/>
        </w:rPr>
      </w:pPr>
      <w:r w:rsidRPr="009C33D5">
        <w:rPr>
          <w:rFonts w:ascii="Times New Roman" w:hAnsi="Times New Roman" w:cs="Times New Roman"/>
        </w:rPr>
        <w:t xml:space="preserve">Υπεροξείδιο </w:t>
      </w:r>
      <w:r w:rsidR="00144D1C">
        <w:rPr>
          <w:rFonts w:ascii="Times New Roman" w:hAnsi="Times New Roman" w:cs="Times New Roman"/>
        </w:rPr>
        <w:t>του β</w:t>
      </w:r>
      <w:r w:rsidR="00144D1C" w:rsidRPr="009C33D5">
        <w:rPr>
          <w:rFonts w:ascii="Times New Roman" w:hAnsi="Times New Roman" w:cs="Times New Roman"/>
        </w:rPr>
        <w:t xml:space="preserve">ενζοϋλίου </w:t>
      </w:r>
      <w:r w:rsidRPr="009C33D5">
        <w:rPr>
          <w:rFonts w:ascii="Times New Roman" w:hAnsi="Times New Roman" w:cs="Times New Roman"/>
        </w:rPr>
        <w:t>25 mg (2,5%)</w:t>
      </w:r>
    </w:p>
    <w:p w:rsidR="009C33D5" w:rsidRPr="009C33D5" w:rsidRDefault="009C33D5">
      <w:pPr>
        <w:spacing w:after="0" w:line="240" w:lineRule="auto"/>
        <w:rPr>
          <w:rFonts w:ascii="Times New Roman" w:hAnsi="Times New Roman" w:cs="Times New Roman"/>
        </w:rPr>
      </w:pPr>
    </w:p>
    <w:p w:rsidR="009C33D5" w:rsidRPr="009C33D5" w:rsidRDefault="009C33D5" w:rsidP="00314ACD">
      <w:pPr>
        <w:pStyle w:val="EMEAEnBodyText"/>
        <w:autoSpaceDE w:val="0"/>
        <w:autoSpaceDN w:val="0"/>
        <w:adjustRightInd w:val="0"/>
        <w:spacing w:before="0" w:after="0"/>
        <w:rPr>
          <w:lang w:val="el-GR"/>
        </w:rPr>
      </w:pPr>
      <w:r w:rsidRPr="009C33D5">
        <w:rPr>
          <w:lang w:val="el-GR"/>
        </w:rPr>
        <w:t>Έκδοχο με γνωστ</w:t>
      </w:r>
      <w:r w:rsidR="004132F5">
        <w:rPr>
          <w:lang w:val="el-GR"/>
        </w:rPr>
        <w:t>ή</w:t>
      </w:r>
      <w:r w:rsidRPr="009C33D5">
        <w:rPr>
          <w:lang w:val="el-GR"/>
        </w:rPr>
        <w:t xml:space="preserve"> δράσ</w:t>
      </w:r>
      <w:r w:rsidR="004132F5">
        <w:rPr>
          <w:lang w:val="el-GR"/>
        </w:rPr>
        <w:t>η</w:t>
      </w:r>
      <w:r w:rsidRPr="009C33D5">
        <w:rPr>
          <w:lang w:val="el-GR"/>
        </w:rPr>
        <w:t>: Προπυλενογλυκόλη</w:t>
      </w:r>
      <w:r w:rsidR="004132F5">
        <w:rPr>
          <w:lang w:val="el-GR"/>
        </w:rPr>
        <w:t xml:space="preserve"> (Ε1520</w:t>
      </w:r>
      <w:r w:rsidR="00144D1C">
        <w:rPr>
          <w:lang w:val="el-GR"/>
        </w:rPr>
        <w:t>,</w:t>
      </w:r>
      <w:r w:rsidR="004132F5" w:rsidRPr="00314ACD">
        <w:rPr>
          <w:lang w:val="el-GR"/>
        </w:rPr>
        <w:t xml:space="preserve"> 4,00%)</w:t>
      </w:r>
      <w:r w:rsidRPr="009C33D5">
        <w:rPr>
          <w:lang w:val="el-GR"/>
        </w:rPr>
        <w:t>.</w:t>
      </w:r>
    </w:p>
    <w:p w:rsidR="009C33D5" w:rsidRPr="009C33D5" w:rsidRDefault="009C33D5" w:rsidP="00AC3FFB">
      <w:pPr>
        <w:spacing w:after="0" w:line="240" w:lineRule="auto"/>
        <w:rPr>
          <w:rFonts w:ascii="Times New Roman" w:hAnsi="Times New Roman" w:cs="Times New Roman"/>
        </w:rPr>
      </w:pPr>
    </w:p>
    <w:p w:rsidR="009C33D5" w:rsidRPr="004132F5" w:rsidRDefault="009C33D5" w:rsidP="009C33D5">
      <w:pPr>
        <w:spacing w:after="0" w:line="240" w:lineRule="auto"/>
        <w:rPr>
          <w:rFonts w:ascii="Times New Roman" w:hAnsi="Times New Roman" w:cs="Times New Roman"/>
        </w:rPr>
      </w:pPr>
      <w:r w:rsidRPr="009C33D5">
        <w:rPr>
          <w:rFonts w:ascii="Times New Roman" w:hAnsi="Times New Roman" w:cs="Times New Roman"/>
        </w:rPr>
        <w:t>Για τον πλήρη κατάλογο των εκδόχων, βλ. παράγραφο 6.1.</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3.</w:t>
      </w:r>
      <w:r w:rsidRPr="009C33D5">
        <w:rPr>
          <w:rFonts w:ascii="Times New Roman" w:hAnsi="Times New Roman" w:cs="Times New Roman"/>
          <w:b/>
        </w:rPr>
        <w:tab/>
        <w:t>ΦΑΡΜΑΚΟΤΕΧΝΙΚΗ ΜΟΡΦΗ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Γέλη.</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Λευκή έως </w:t>
      </w:r>
      <w:r w:rsidRPr="009C33D5">
        <w:rPr>
          <w:rFonts w:ascii="Times New Roman" w:hAnsi="Times New Roman" w:cs="Times New Roman"/>
          <w:bCs/>
        </w:rPr>
        <w:t xml:space="preserve">ελαφρά υποκίτρινη </w:t>
      </w:r>
      <w:r w:rsidRPr="009C33D5">
        <w:rPr>
          <w:rFonts w:ascii="Times New Roman" w:hAnsi="Times New Roman" w:cs="Times New Roman"/>
        </w:rPr>
        <w:t>αδιαφανής γέλη.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w:t>
      </w:r>
      <w:r w:rsidRPr="009C33D5">
        <w:rPr>
          <w:rFonts w:ascii="Times New Roman" w:hAnsi="Times New Roman" w:cs="Times New Roman"/>
          <w:b/>
        </w:rPr>
        <w:tab/>
        <w:t>ΚΛΙΝΙΚΕΣ ΠΛΗΡΟΦΟΡΙΕΣ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4.1</w:t>
      </w:r>
      <w:r w:rsidRPr="009C33D5">
        <w:rPr>
          <w:rFonts w:ascii="Times New Roman" w:hAnsi="Times New Roman" w:cs="Times New Roman"/>
          <w:b/>
        </w:rPr>
        <w:tab/>
        <w:t>Θεραπευτικές ενδείξεις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Τοπική θεραπεία της κοινής ακμής </w:t>
      </w:r>
      <w:r w:rsidRPr="009C33D5">
        <w:rPr>
          <w:rFonts w:ascii="Times New Roman" w:hAnsi="Times New Roman" w:cs="Times New Roman"/>
          <w:i/>
          <w:iCs/>
        </w:rPr>
        <w:t>(</w:t>
      </w:r>
      <w:r w:rsidR="0025497F">
        <w:rPr>
          <w:rFonts w:ascii="Times New Roman" w:hAnsi="Times New Roman" w:cs="Times New Roman"/>
          <w:i/>
          <w:iCs/>
          <w:lang w:val="en-US"/>
        </w:rPr>
        <w:t>A</w:t>
      </w:r>
      <w:r w:rsidRPr="009C33D5">
        <w:rPr>
          <w:rFonts w:ascii="Times New Roman" w:hAnsi="Times New Roman" w:cs="Times New Roman"/>
          <w:i/>
          <w:iCs/>
        </w:rPr>
        <w:t>cne vulgaris)</w:t>
      </w:r>
      <w:r w:rsidRPr="009C33D5">
        <w:rPr>
          <w:rFonts w:ascii="Times New Roman" w:hAnsi="Times New Roman" w:cs="Times New Roman"/>
          <w:iCs/>
        </w:rPr>
        <w:t xml:space="preserve"> </w:t>
      </w:r>
      <w:r w:rsidRPr="009C33D5">
        <w:rPr>
          <w:rFonts w:ascii="Times New Roman" w:hAnsi="Times New Roman" w:cs="Times New Roman"/>
        </w:rPr>
        <w:t>όπου επικρατούν οι φαγέσωρες, οι βλατίδες και οι φλύκταινες (βλ</w:t>
      </w:r>
      <w:r w:rsidR="004132F5" w:rsidRPr="00314ACD">
        <w:rPr>
          <w:rFonts w:ascii="Times New Roman" w:hAnsi="Times New Roman" w:cs="Times New Roman"/>
        </w:rPr>
        <w:t>.</w:t>
      </w:r>
      <w:r w:rsidRPr="009C33D5">
        <w:rPr>
          <w:rFonts w:ascii="Times New Roman" w:hAnsi="Times New Roman" w:cs="Times New Roman"/>
        </w:rPr>
        <w:t xml:space="preserve"> παράγραφο 5.1).</w:t>
      </w:r>
    </w:p>
    <w:p w:rsidR="009C33D5" w:rsidRDefault="004132F5" w:rsidP="009C33D5">
      <w:pPr>
        <w:spacing w:after="0" w:line="240" w:lineRule="auto"/>
        <w:rPr>
          <w:rFonts w:ascii="Times New Roman" w:hAnsi="Times New Roman" w:cs="Times New Roman"/>
        </w:rPr>
      </w:pPr>
      <w:r>
        <w:rPr>
          <w:rFonts w:ascii="Times New Roman" w:hAnsi="Times New Roman" w:cs="Times New Roman"/>
        </w:rPr>
        <w:t xml:space="preserve">Το </w:t>
      </w:r>
      <w:r>
        <w:rPr>
          <w:rFonts w:ascii="Times New Roman" w:hAnsi="Times New Roman" w:cs="Times New Roman"/>
          <w:lang w:val="en-US"/>
        </w:rPr>
        <w:t>Epiduo</w:t>
      </w:r>
      <w:r w:rsidRPr="00314ACD">
        <w:rPr>
          <w:rFonts w:ascii="Times New Roman" w:hAnsi="Times New Roman" w:cs="Times New Roman"/>
        </w:rPr>
        <w:t xml:space="preserve"> </w:t>
      </w:r>
      <w:r>
        <w:rPr>
          <w:rFonts w:ascii="Times New Roman" w:hAnsi="Times New Roman" w:cs="Times New Roman"/>
        </w:rPr>
        <w:t>ενδείκνυται για χρήση σε ενήλικες, εφήβους και παιδιά ηλικίας 9 ετών και άνω.</w:t>
      </w:r>
    </w:p>
    <w:p w:rsidR="004132F5" w:rsidRPr="004132F5" w:rsidRDefault="004132F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4.2</w:t>
      </w:r>
      <w:r w:rsidRPr="009C33D5">
        <w:rPr>
          <w:rFonts w:ascii="Times New Roman" w:hAnsi="Times New Roman" w:cs="Times New Roman"/>
          <w:b/>
        </w:rPr>
        <w:tab/>
        <w:t>Δοσολογία και τρόπος χορήγησης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Το Epiduo πρέπει να εφαρμόζεται σε ολόκληρ</w:t>
      </w:r>
      <w:r w:rsidR="006C11DE">
        <w:rPr>
          <w:rFonts w:ascii="Times New Roman" w:hAnsi="Times New Roman" w:cs="Times New Roman"/>
        </w:rPr>
        <w:t>ες</w:t>
      </w:r>
      <w:r w:rsidRPr="009C33D5">
        <w:rPr>
          <w:rFonts w:ascii="Times New Roman" w:hAnsi="Times New Roman" w:cs="Times New Roman"/>
        </w:rPr>
        <w:t xml:space="preserve"> τ</w:t>
      </w:r>
      <w:r w:rsidR="006C11DE">
        <w:rPr>
          <w:rFonts w:ascii="Times New Roman" w:hAnsi="Times New Roman" w:cs="Times New Roman"/>
        </w:rPr>
        <w:t>ις</w:t>
      </w:r>
      <w:r w:rsidRPr="009C33D5">
        <w:rPr>
          <w:rFonts w:ascii="Times New Roman" w:hAnsi="Times New Roman" w:cs="Times New Roman"/>
        </w:rPr>
        <w:t xml:space="preserve"> πάσχουσ</w:t>
      </w:r>
      <w:r w:rsidR="006C11DE">
        <w:rPr>
          <w:rFonts w:ascii="Times New Roman" w:hAnsi="Times New Roman" w:cs="Times New Roman"/>
        </w:rPr>
        <w:t>ες</w:t>
      </w:r>
      <w:r w:rsidRPr="009C33D5">
        <w:rPr>
          <w:rFonts w:ascii="Times New Roman" w:hAnsi="Times New Roman" w:cs="Times New Roman"/>
        </w:rPr>
        <w:t xml:space="preserve"> από ακμή περιοχ</w:t>
      </w:r>
      <w:r w:rsidR="006C11DE">
        <w:rPr>
          <w:rFonts w:ascii="Times New Roman" w:hAnsi="Times New Roman" w:cs="Times New Roman"/>
        </w:rPr>
        <w:t>ές</w:t>
      </w:r>
      <w:r w:rsidRPr="009C33D5">
        <w:rPr>
          <w:rFonts w:ascii="Times New Roman" w:hAnsi="Times New Roman" w:cs="Times New Roman"/>
        </w:rPr>
        <w:t>, μία φορά την ημέρα το βράδυ σε καθαρό και στεγνό δέρμα. Πρέπει να εφαρμόζεται ένα λεπτό στρώμα γέλης με τα ακροδάχτυλα, αποφεύγοντας τα μάτια και τα χείλη (βλ</w:t>
      </w:r>
      <w:r w:rsidR="004132F5">
        <w:rPr>
          <w:rFonts w:ascii="Times New Roman" w:hAnsi="Times New Roman" w:cs="Times New Roman"/>
        </w:rPr>
        <w:t>.</w:t>
      </w:r>
      <w:r w:rsidRPr="009C33D5">
        <w:rPr>
          <w:rFonts w:ascii="Times New Roman" w:hAnsi="Times New Roman" w:cs="Times New Roman"/>
        </w:rPr>
        <w:t xml:space="preserve"> παράγραφο 4.4).</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Εάν εμφανιστεί ερεθισμός, πρέπει να συσταθεί στον ασθενή να εφαρμόσει μη</w:t>
      </w:r>
      <w:r w:rsidR="003E4561">
        <w:rPr>
          <w:rFonts w:ascii="Times New Roman" w:hAnsi="Times New Roman" w:cs="Times New Roman"/>
        </w:rPr>
        <w:t xml:space="preserve"> </w:t>
      </w:r>
      <w:r w:rsidRPr="009C33D5">
        <w:rPr>
          <w:rFonts w:ascii="Times New Roman" w:hAnsi="Times New Roman" w:cs="Times New Roman"/>
        </w:rPr>
        <w:t>φαγεσωρογόνα ενυδατικά, να χρησιμοποιεί την αγωγή λιγότερο συχνά (π.χ. κάθε δεύτερη μέρα), να αναβάλει προσωρινά τη χρήση ή να τη διακόψει εντελώς.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Η διάρκεια της θεραπείας πρέπει να αποφασίζεται από το</w:t>
      </w:r>
      <w:r w:rsidR="009339D9">
        <w:rPr>
          <w:rFonts w:ascii="Times New Roman" w:hAnsi="Times New Roman" w:cs="Times New Roman"/>
        </w:rPr>
        <w:t>ν</w:t>
      </w:r>
      <w:r w:rsidRPr="009C33D5">
        <w:rPr>
          <w:rFonts w:ascii="Times New Roman" w:hAnsi="Times New Roman" w:cs="Times New Roman"/>
        </w:rPr>
        <w:t xml:space="preserve"> γιατρό με βάση την κλινική κατάσταση. Πρώιμα σημεία κλινικής βελτίωσης εμφανίζονται συνήθως μετά από 1 έως 4 εβδομάδες θεραπείας.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Η ασφάλεια και η αποτελεσματικότητα του Epiduo δεν έχουν μελετηθεί σε παιδιά ηλικίας κάτω των 9 ετών.</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4.3</w:t>
      </w:r>
      <w:r w:rsidRPr="009C33D5">
        <w:rPr>
          <w:rFonts w:ascii="Times New Roman" w:hAnsi="Times New Roman" w:cs="Times New Roman"/>
          <w:b/>
        </w:rPr>
        <w:tab/>
        <w:t>Αντενδείξεις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lastRenderedPageBreak/>
        <w:t>Υπερευαισθησία στις δραστικές ουσίες ή σε κάποιο από τα έκδοχα που αναφέρονται στην παράγραφο 6.1.</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bookmarkStart w:id="1" w:name="_Ref229198500"/>
      <w:r w:rsidRPr="009C33D5">
        <w:rPr>
          <w:rFonts w:ascii="Times New Roman" w:hAnsi="Times New Roman" w:cs="Times New Roman"/>
          <w:b/>
        </w:rPr>
        <w:t>4.4</w:t>
      </w:r>
      <w:r w:rsidRPr="009C33D5">
        <w:rPr>
          <w:rFonts w:ascii="Times New Roman" w:hAnsi="Times New Roman" w:cs="Times New Roman"/>
          <w:b/>
        </w:rPr>
        <w:tab/>
      </w:r>
      <w:bookmarkEnd w:id="1"/>
      <w:r w:rsidRPr="009C33D5">
        <w:rPr>
          <w:rFonts w:ascii="Times New Roman" w:hAnsi="Times New Roman" w:cs="Times New Roman"/>
          <w:b/>
        </w:rPr>
        <w:t>Ειδικές προειδοποιήσεις και προφυλάξεις κατά τη χρήση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Η </w:t>
      </w:r>
      <w:r w:rsidR="003E4561" w:rsidRPr="009C33D5">
        <w:rPr>
          <w:rFonts w:ascii="Times New Roman" w:hAnsi="Times New Roman" w:cs="Times New Roman"/>
        </w:rPr>
        <w:t>γ</w:t>
      </w:r>
      <w:r w:rsidRPr="009C33D5">
        <w:rPr>
          <w:rFonts w:ascii="Times New Roman" w:hAnsi="Times New Roman" w:cs="Times New Roman"/>
        </w:rPr>
        <w:t>έλη Epiduo δεν πρέπει να εφαρμόζεται σε δέρμα με βλάβη, είτε δέρμα του οποίου η συνέχεια έχει λυθεί (κοψίματα ή εκδορές) είτε εκζεματώδες δέρμα.</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Το Epiduo δεν πρέπει να έρθει σε επαφή με τα μάτια, το στόμα, τους ρώθωνες ή τους βλεννογόνους. Εάν το προϊόν εισέλθει στα μάτια, ξεπλύνετε αμέσως με ζεστό νερό.</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Αυτό το προϊόν περιέχει προπυλενογλυκόλη (E1520) που μπορεί να προκαλέσει </w:t>
      </w:r>
      <w:r w:rsidR="0003069B">
        <w:rPr>
          <w:rFonts w:ascii="Times New Roman" w:hAnsi="Times New Roman" w:cs="Times New Roman"/>
        </w:rPr>
        <w:t xml:space="preserve">δερματικό </w:t>
      </w:r>
      <w:r w:rsidRPr="009C33D5">
        <w:rPr>
          <w:rFonts w:ascii="Times New Roman" w:hAnsi="Times New Roman" w:cs="Times New Roman"/>
        </w:rPr>
        <w:t>ερεθισμό.</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Εάν εμφανιστεί αντίδραση που υποδεικνύει ευαισθησία σε οποιοδήποτε συστατικό της σύνθεσης, η χρήση του Epiduo πρέπει να διακοπεί.</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Εκτεταμένη έκθεση στο ηλιακό φως ή σε UV ακτινοβολία πρέπει να αποφεύγεται.</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Το Epiduo δεν πρέπει να έρθει σε επαφή με οποιοδήποτε χρωματιστό υλικό</w:t>
      </w:r>
      <w:r w:rsidR="0003069B">
        <w:rPr>
          <w:rFonts w:ascii="Times New Roman" w:hAnsi="Times New Roman" w:cs="Times New Roman"/>
        </w:rPr>
        <w:t>,</w:t>
      </w:r>
      <w:r w:rsidRPr="009C33D5">
        <w:rPr>
          <w:rFonts w:ascii="Times New Roman" w:hAnsi="Times New Roman" w:cs="Times New Roman"/>
        </w:rPr>
        <w:t xml:space="preserve"> συμπεριλαμβάνοντας τα μαλλιά και τα βαμμένα υφάσματα</w:t>
      </w:r>
      <w:r w:rsidR="0003069B">
        <w:rPr>
          <w:rFonts w:ascii="Times New Roman" w:hAnsi="Times New Roman" w:cs="Times New Roman"/>
        </w:rPr>
        <w:t>,</w:t>
      </w:r>
      <w:r w:rsidRPr="009C33D5">
        <w:rPr>
          <w:rFonts w:ascii="Times New Roman" w:hAnsi="Times New Roman" w:cs="Times New Roman"/>
        </w:rPr>
        <w:t xml:space="preserve"> καθώς μπορεί να έχει ως αποτέλεσμα αποχρωματισμό και ξεθώριασμα.</w:t>
      </w:r>
    </w:p>
    <w:p w:rsidR="009C33D5" w:rsidRPr="009C33D5" w:rsidRDefault="009C33D5" w:rsidP="009C33D5">
      <w:pPr>
        <w:spacing w:after="0" w:line="240" w:lineRule="auto"/>
        <w:rPr>
          <w:rFonts w:ascii="Times New Roman" w:hAnsi="Times New Roman" w:cs="Times New Roman"/>
          <w:iCs/>
        </w:rPr>
      </w:pPr>
    </w:p>
    <w:p w:rsidR="009C33D5" w:rsidRPr="009C33D5" w:rsidRDefault="009C33D5" w:rsidP="009C33D5">
      <w:pPr>
        <w:spacing w:after="0" w:line="240" w:lineRule="auto"/>
        <w:ind w:left="709" w:hanging="709"/>
        <w:rPr>
          <w:rFonts w:ascii="Times New Roman" w:hAnsi="Times New Roman" w:cs="Times New Roman"/>
          <w:b/>
          <w:iCs/>
        </w:rPr>
      </w:pPr>
      <w:r w:rsidRPr="009C33D5">
        <w:rPr>
          <w:rFonts w:ascii="Times New Roman" w:hAnsi="Times New Roman" w:cs="Times New Roman"/>
          <w:b/>
        </w:rPr>
        <w:t>4.5</w:t>
      </w:r>
      <w:r w:rsidRPr="009C33D5">
        <w:rPr>
          <w:rFonts w:ascii="Times New Roman" w:hAnsi="Times New Roman" w:cs="Times New Roman"/>
          <w:b/>
        </w:rPr>
        <w:tab/>
        <w:t>Αλληλεπιδράσεις με άλλα φαρμακευτικά προϊόντα και άλλες μορφές αλληλεπίδρασης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Δεν έχουν </w:t>
      </w:r>
      <w:r w:rsidR="003804A9">
        <w:rPr>
          <w:rFonts w:ascii="Times New Roman" w:hAnsi="Times New Roman" w:cs="Times New Roman"/>
        </w:rPr>
        <w:t>πραγματοποιηθεί</w:t>
      </w:r>
      <w:r w:rsidRPr="009C33D5">
        <w:rPr>
          <w:rFonts w:ascii="Times New Roman" w:hAnsi="Times New Roman" w:cs="Times New Roman"/>
        </w:rPr>
        <w:t xml:space="preserve"> μελέτες αλληλεπ</w:t>
      </w:r>
      <w:r w:rsidR="003804A9">
        <w:rPr>
          <w:rFonts w:ascii="Times New Roman" w:hAnsi="Times New Roman" w:cs="Times New Roman"/>
        </w:rPr>
        <w:t>ιδράσεων</w:t>
      </w:r>
      <w:r w:rsidRPr="009C33D5">
        <w:rPr>
          <w:rFonts w:ascii="Times New Roman" w:hAnsi="Times New Roman" w:cs="Times New Roman"/>
        </w:rPr>
        <w:t>.</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Από προηγούμενη εμπειρία με ανταπαλένη και υπεροξείδιο</w:t>
      </w:r>
      <w:r w:rsidR="00CC15F6" w:rsidRPr="00CC15F6">
        <w:rPr>
          <w:rFonts w:ascii="Times New Roman" w:hAnsi="Times New Roman" w:cs="Times New Roman"/>
        </w:rPr>
        <w:t xml:space="preserve"> </w:t>
      </w:r>
      <w:r w:rsidR="00CC15F6">
        <w:rPr>
          <w:rFonts w:ascii="Times New Roman" w:hAnsi="Times New Roman" w:cs="Times New Roman"/>
        </w:rPr>
        <w:t xml:space="preserve">του </w:t>
      </w:r>
      <w:r w:rsidR="00CC15F6" w:rsidRPr="009C33D5">
        <w:rPr>
          <w:rFonts w:ascii="Times New Roman" w:hAnsi="Times New Roman" w:cs="Times New Roman"/>
        </w:rPr>
        <w:t>βενζοϋλίου</w:t>
      </w:r>
      <w:r w:rsidRPr="009C33D5">
        <w:rPr>
          <w:rFonts w:ascii="Times New Roman" w:hAnsi="Times New Roman" w:cs="Times New Roman"/>
        </w:rPr>
        <w:t xml:space="preserve">, δεν υπάρχουν γνωστές αλληλεπιδράσεις με άλλα φαρμακευτικά προϊόντα που μπορεί να χρησιμοποιηθούν τοπικά και ταυτόχρονα με το Epiduo. Ωστόσο, άλλα ρετινοειδή ή υπεροξείδιο </w:t>
      </w:r>
      <w:r w:rsidR="00CC15F6">
        <w:rPr>
          <w:rFonts w:ascii="Times New Roman" w:hAnsi="Times New Roman" w:cs="Times New Roman"/>
        </w:rPr>
        <w:t xml:space="preserve">του </w:t>
      </w:r>
      <w:r w:rsidR="00CC15F6" w:rsidRPr="009C33D5">
        <w:rPr>
          <w:rFonts w:ascii="Times New Roman" w:hAnsi="Times New Roman" w:cs="Times New Roman"/>
        </w:rPr>
        <w:t xml:space="preserve">βενζοϋλίου </w:t>
      </w:r>
      <w:r w:rsidRPr="009C33D5">
        <w:rPr>
          <w:rFonts w:ascii="Times New Roman" w:hAnsi="Times New Roman" w:cs="Times New Roman"/>
        </w:rPr>
        <w:t>ή φάρμακα με παρόμοιο τρόπο δράσης δεν πρέπει να χρησιμοποιούνται ταυτόχρονα. Πρέπει να δίνεται προσοχή αν χρησιμοποιούνται καλλυντικά με απολεπιστική, ερεθιστική ή ξηραντική δράση, καθώς μπορεί να έχουν προσθετική ερεθιστική δράση με το Epiduo.</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Η απορρόφηση της ανταπαλένης μέσω της ανθρώπινης επιδερμίδας είναι χαμηλή (βλ</w:t>
      </w:r>
      <w:r w:rsidR="003804A9">
        <w:rPr>
          <w:rFonts w:ascii="Times New Roman" w:hAnsi="Times New Roman" w:cs="Times New Roman"/>
        </w:rPr>
        <w:t>.</w:t>
      </w:r>
      <w:r w:rsidRPr="009C33D5">
        <w:rPr>
          <w:rFonts w:ascii="Times New Roman" w:hAnsi="Times New Roman" w:cs="Times New Roman"/>
        </w:rPr>
        <w:t xml:space="preserve"> παράγραφο 5.2) και</w:t>
      </w:r>
      <w:r w:rsidR="00CC15F6">
        <w:rPr>
          <w:rFonts w:ascii="Times New Roman" w:hAnsi="Times New Roman" w:cs="Times New Roman"/>
        </w:rPr>
        <w:t>,</w:t>
      </w:r>
      <w:r w:rsidRPr="009C33D5">
        <w:rPr>
          <w:rFonts w:ascii="Times New Roman" w:hAnsi="Times New Roman" w:cs="Times New Roman"/>
        </w:rPr>
        <w:t xml:space="preserve"> ως εκ τούτου</w:t>
      </w:r>
      <w:r w:rsidR="00A1708B">
        <w:rPr>
          <w:rFonts w:ascii="Times New Roman" w:hAnsi="Times New Roman" w:cs="Times New Roman"/>
        </w:rPr>
        <w:t>,</w:t>
      </w:r>
      <w:r w:rsidRPr="009C33D5">
        <w:rPr>
          <w:rFonts w:ascii="Times New Roman" w:hAnsi="Times New Roman" w:cs="Times New Roman"/>
        </w:rPr>
        <w:t xml:space="preserve"> η αλληλεπίδραση με συστηματικά φαρμακευτικά προϊόντα δεν είναι πιθανή.</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Η διαδερμική διείσδυση του υπεροξειδίου </w:t>
      </w:r>
      <w:r w:rsidR="00CC15F6">
        <w:rPr>
          <w:rFonts w:ascii="Times New Roman" w:hAnsi="Times New Roman" w:cs="Times New Roman"/>
        </w:rPr>
        <w:t xml:space="preserve">του </w:t>
      </w:r>
      <w:r w:rsidR="00CC15F6" w:rsidRPr="009C33D5">
        <w:rPr>
          <w:rFonts w:ascii="Times New Roman" w:hAnsi="Times New Roman" w:cs="Times New Roman"/>
        </w:rPr>
        <w:t xml:space="preserve">βενζοϋλίου </w:t>
      </w:r>
      <w:r w:rsidRPr="009C33D5">
        <w:rPr>
          <w:rFonts w:ascii="Times New Roman" w:hAnsi="Times New Roman" w:cs="Times New Roman"/>
        </w:rPr>
        <w:t>στο δέρμα είναι χαμηλή και η φαρμακευτική ουσία μεταβολίζεται πλήρως σε βενζοϊκό οξύ που απεκκρίνεται ταχέως. Ως εκ τούτου, η ενδεχόμενη αλληλεπίδραση του βενζοϊκού οξέος με συστηματικά φαρμακευτικά προϊόντα είναι απίθανο να συμβεί.</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4.6</w:t>
      </w:r>
      <w:r w:rsidRPr="009C33D5">
        <w:rPr>
          <w:rFonts w:ascii="Times New Roman" w:hAnsi="Times New Roman" w:cs="Times New Roman"/>
          <w:b/>
        </w:rPr>
        <w:tab/>
        <w:t>Γονιμότητα, κύηση και γαλουχία</w:t>
      </w:r>
    </w:p>
    <w:p w:rsidR="009C33D5" w:rsidRPr="009C33D5" w:rsidRDefault="009C33D5" w:rsidP="009C33D5">
      <w:pPr>
        <w:spacing w:after="0" w:line="240" w:lineRule="auto"/>
        <w:rPr>
          <w:rFonts w:ascii="Times New Roman" w:hAnsi="Times New Roman" w:cs="Times New Roman"/>
        </w:rPr>
      </w:pPr>
    </w:p>
    <w:p w:rsidR="009C33D5" w:rsidRPr="009C33D5" w:rsidRDefault="003804A9" w:rsidP="009C33D5">
      <w:pPr>
        <w:spacing w:after="0" w:line="240" w:lineRule="auto"/>
        <w:rPr>
          <w:rFonts w:ascii="Times New Roman" w:hAnsi="Times New Roman" w:cs="Times New Roman"/>
          <w:b/>
        </w:rPr>
      </w:pPr>
      <w:r w:rsidRPr="00314ACD">
        <w:rPr>
          <w:rFonts w:ascii="Times New Roman" w:hAnsi="Times New Roman" w:cs="Times New Roman"/>
          <w:u w:val="single"/>
        </w:rPr>
        <w:t>Κύηση</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Μελέτες σε ζώα με από του στόματος χορήγηση έδειξαν τοξικότητα στην αναπαραγωγική ικανότητα κατά την υψηλή συστηματική έκθεση (βλ</w:t>
      </w:r>
      <w:r w:rsidR="002577C8">
        <w:rPr>
          <w:rFonts w:ascii="Times New Roman" w:hAnsi="Times New Roman" w:cs="Times New Roman"/>
        </w:rPr>
        <w:t>.</w:t>
      </w:r>
      <w:r w:rsidRPr="009C33D5">
        <w:rPr>
          <w:rFonts w:ascii="Times New Roman" w:hAnsi="Times New Roman" w:cs="Times New Roman"/>
        </w:rPr>
        <w:t xml:space="preserve"> παράγραφο 5.3).</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Η κλινική εμπειρία από τοπική εφαρμογή ανταπαλένης και υπεροξειδίου </w:t>
      </w:r>
      <w:r w:rsidR="00977470">
        <w:rPr>
          <w:rFonts w:ascii="Times New Roman" w:hAnsi="Times New Roman" w:cs="Times New Roman"/>
        </w:rPr>
        <w:t xml:space="preserve">του </w:t>
      </w:r>
      <w:r w:rsidR="00977470" w:rsidRPr="009C33D5">
        <w:rPr>
          <w:rFonts w:ascii="Times New Roman" w:hAnsi="Times New Roman" w:cs="Times New Roman"/>
        </w:rPr>
        <w:t xml:space="preserve">βενζοϋλίου </w:t>
      </w:r>
      <w:r w:rsidRPr="009C33D5">
        <w:rPr>
          <w:rFonts w:ascii="Times New Roman" w:hAnsi="Times New Roman" w:cs="Times New Roman"/>
        </w:rPr>
        <w:t>κατά την εγκυμοσύνη είναι περιορισμένη</w:t>
      </w:r>
      <w:r w:rsidR="002577C8">
        <w:rPr>
          <w:rFonts w:ascii="Times New Roman" w:hAnsi="Times New Roman" w:cs="Times New Roman"/>
        </w:rPr>
        <w:t>,</w:t>
      </w:r>
      <w:r w:rsidRPr="009C33D5">
        <w:rPr>
          <w:rFonts w:ascii="Times New Roman" w:hAnsi="Times New Roman" w:cs="Times New Roman"/>
        </w:rPr>
        <w:t xml:space="preserve"> αλλά τα λίγα διαθέσιμα δεδομένα δεν υποδεικνύουν δυσμενείς επιδράσεις για τις ασθενείς που εκτίθενται κατά τα πρώτα στάδια της εγκυμοσύνης.</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Λόγω των περιορισμένων διαθέσιμων δεδομένων και επειδή μια πολύ ασθενής επιδερμική διείσδυση ανταπαλένης είναι πιθανή, το Epiduo δεν πρέπει να χρησιμοποιείται κατά τη διάρκεια της εγκυμοσύνης.</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Σε περίπτωση απροσδόκητης εγκυμοσύνης, η θεραπεία πρέπει να διακόπτεται.</w:t>
      </w:r>
    </w:p>
    <w:p w:rsidR="009C33D5" w:rsidRPr="009C33D5" w:rsidRDefault="009C33D5" w:rsidP="009C33D5">
      <w:pPr>
        <w:spacing w:after="0" w:line="240" w:lineRule="auto"/>
        <w:rPr>
          <w:rFonts w:ascii="Times New Roman" w:hAnsi="Times New Roman" w:cs="Times New Roman"/>
        </w:rPr>
      </w:pPr>
    </w:p>
    <w:p w:rsidR="009C33D5" w:rsidRPr="00314ACD" w:rsidRDefault="009C33D5" w:rsidP="009C33D5">
      <w:pPr>
        <w:spacing w:after="0" w:line="240" w:lineRule="auto"/>
        <w:rPr>
          <w:rFonts w:ascii="Times New Roman" w:hAnsi="Times New Roman" w:cs="Times New Roman"/>
          <w:u w:val="single"/>
        </w:rPr>
      </w:pPr>
      <w:r w:rsidRPr="00314ACD">
        <w:rPr>
          <w:rFonts w:ascii="Times New Roman" w:hAnsi="Times New Roman" w:cs="Times New Roman"/>
          <w:u w:val="single"/>
        </w:rPr>
        <w:t>Θηλασμός</w:t>
      </w:r>
    </w:p>
    <w:p w:rsidR="009C33D5" w:rsidRPr="009C33D5" w:rsidRDefault="009C33D5" w:rsidP="009C33D5">
      <w:pPr>
        <w:autoSpaceDE w:val="0"/>
        <w:autoSpaceDN w:val="0"/>
        <w:adjustRightInd w:val="0"/>
        <w:spacing w:after="0" w:line="240" w:lineRule="auto"/>
        <w:rPr>
          <w:rFonts w:ascii="Times New Roman" w:hAnsi="Times New Roman" w:cs="Times New Roman"/>
        </w:rPr>
      </w:pPr>
      <w:r w:rsidRPr="009C33D5">
        <w:rPr>
          <w:rFonts w:ascii="Times New Roman" w:hAnsi="Times New Roman" w:cs="Times New Roman"/>
        </w:rPr>
        <w:t xml:space="preserve">Δεν έχει διεξαχθεί μελέτη μεταφοράς στο μητρικό γάλα σε ζώα ή στον άνθρωπο μετά από </w:t>
      </w:r>
      <w:r w:rsidR="001142C8">
        <w:rPr>
          <w:rFonts w:ascii="Times New Roman" w:hAnsi="Times New Roman" w:cs="Times New Roman"/>
        </w:rPr>
        <w:t xml:space="preserve">δερματική </w:t>
      </w:r>
      <w:r w:rsidRPr="009C33D5">
        <w:rPr>
          <w:rFonts w:ascii="Times New Roman" w:hAnsi="Times New Roman" w:cs="Times New Roman"/>
        </w:rPr>
        <w:t xml:space="preserve">εφαρμογή </w:t>
      </w:r>
      <w:r w:rsidR="00412D89" w:rsidRPr="009C33D5">
        <w:rPr>
          <w:rFonts w:ascii="Times New Roman" w:hAnsi="Times New Roman" w:cs="Times New Roman"/>
        </w:rPr>
        <w:t>γ</w:t>
      </w:r>
      <w:r w:rsidRPr="009C33D5">
        <w:rPr>
          <w:rFonts w:ascii="Times New Roman" w:hAnsi="Times New Roman" w:cs="Times New Roman"/>
        </w:rPr>
        <w:t>έλης Epiduo (ανταπαλένη/ υπεροξείδιο</w:t>
      </w:r>
      <w:r w:rsidR="00412D89" w:rsidRPr="00412D89">
        <w:rPr>
          <w:rFonts w:ascii="Times New Roman" w:hAnsi="Times New Roman" w:cs="Times New Roman"/>
        </w:rPr>
        <w:t xml:space="preserve"> </w:t>
      </w:r>
      <w:r w:rsidR="00412D89">
        <w:rPr>
          <w:rFonts w:ascii="Times New Roman" w:hAnsi="Times New Roman" w:cs="Times New Roman"/>
        </w:rPr>
        <w:t xml:space="preserve">του </w:t>
      </w:r>
      <w:r w:rsidR="00412D89" w:rsidRPr="009C33D5">
        <w:rPr>
          <w:rFonts w:ascii="Times New Roman" w:hAnsi="Times New Roman" w:cs="Times New Roman"/>
        </w:rPr>
        <w:t>βενζοϋλίου</w:t>
      </w:r>
      <w:r w:rsidRPr="009C33D5">
        <w:rPr>
          <w:rFonts w:ascii="Times New Roman" w:hAnsi="Times New Roman" w:cs="Times New Roman"/>
        </w:rPr>
        <w:t>).</w:t>
      </w:r>
    </w:p>
    <w:p w:rsidR="009C33D5" w:rsidRPr="009C33D5" w:rsidRDefault="009C33D5" w:rsidP="009C33D5">
      <w:pPr>
        <w:autoSpaceDE w:val="0"/>
        <w:autoSpaceDN w:val="0"/>
        <w:adjustRightInd w:val="0"/>
        <w:spacing w:after="0" w:line="240" w:lineRule="auto"/>
        <w:rPr>
          <w:rFonts w:ascii="Times New Roman" w:hAnsi="Times New Roman" w:cs="Times New Roman"/>
        </w:rPr>
      </w:pPr>
      <w:r w:rsidRPr="009C33D5">
        <w:rPr>
          <w:rFonts w:ascii="Times New Roman" w:hAnsi="Times New Roman" w:cs="Times New Roman"/>
        </w:rPr>
        <w:t>Δεν αναμένονται επιδράσεις σε θηλάζοντα παιδιά</w:t>
      </w:r>
      <w:r w:rsidR="00412D89">
        <w:rPr>
          <w:rFonts w:ascii="Times New Roman" w:hAnsi="Times New Roman" w:cs="Times New Roman"/>
        </w:rPr>
        <w:t>,</w:t>
      </w:r>
      <w:r w:rsidRPr="009C33D5">
        <w:rPr>
          <w:rFonts w:ascii="Times New Roman" w:hAnsi="Times New Roman" w:cs="Times New Roman"/>
        </w:rPr>
        <w:t xml:space="preserve"> καθώς η συστηματική έκθεση της θηλάζουσας μητέρας στο Epiduo είναι αμελητέα. Το Epiduo μπορεί να χρησιμοποιηθεί κατά τη διάρκεια του θηλασμού.</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bCs/>
          <w:lang w:eastAsia="fr-FR"/>
        </w:rPr>
        <w:t>Για να αποφευχθεί η έκθεση του βρέφους από επαφή, η εφαρμογή του Epiduo στο στήθος πρέπει να αποφεύγεται κατά τη διάρκεια του θηλασμού.</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4.7</w:t>
      </w:r>
      <w:r w:rsidRPr="009C33D5">
        <w:rPr>
          <w:rFonts w:ascii="Times New Roman" w:hAnsi="Times New Roman" w:cs="Times New Roman"/>
          <w:b/>
        </w:rPr>
        <w:tab/>
        <w:t>Επιδράσεις στην ικανότητα οδήγησης και χειρισμού μηχαν</w:t>
      </w:r>
      <w:r w:rsidR="002577C8">
        <w:rPr>
          <w:rFonts w:ascii="Times New Roman" w:hAnsi="Times New Roman" w:cs="Times New Roman"/>
          <w:b/>
        </w:rPr>
        <w:t>ημάτων</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Δεν εφαρμόζεται.</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4.8</w:t>
      </w:r>
      <w:r w:rsidRPr="009C33D5">
        <w:rPr>
          <w:rFonts w:ascii="Times New Roman" w:hAnsi="Times New Roman" w:cs="Times New Roman"/>
          <w:b/>
        </w:rPr>
        <w:tab/>
        <w:t>Ανεπιθύμητες ενέργειες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Το Epiduo μπορεί να προκαλέσει τις ακόλουθες ανεπιθύμητες ενέργειες στη</w:t>
      </w:r>
      <w:r w:rsidR="00057252">
        <w:rPr>
          <w:rFonts w:ascii="Times New Roman" w:hAnsi="Times New Roman" w:cs="Times New Roman"/>
        </w:rPr>
        <w:t>ν περιοχή της</w:t>
      </w:r>
      <w:r w:rsidRPr="009C33D5">
        <w:rPr>
          <w:rFonts w:ascii="Times New Roman" w:hAnsi="Times New Roman" w:cs="Times New Roman"/>
        </w:rPr>
        <w:t xml:space="preserve"> εφαρμογής:</w:t>
      </w:r>
    </w:p>
    <w:p w:rsidR="009C33D5" w:rsidRPr="009C33D5" w:rsidRDefault="009C33D5" w:rsidP="009C33D5">
      <w:pPr>
        <w:spacing w:after="0" w:line="240" w:lineRule="auto"/>
        <w:rPr>
          <w:rFonts w:ascii="Times New Roman" w:hAnsi="Times New Roman" w:cs="Times New Rom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18"/>
        <w:gridCol w:w="3544"/>
      </w:tblGrid>
      <w:tr w:rsidR="009C33D5" w:rsidRPr="009C33D5" w:rsidTr="004132F5">
        <w:tc>
          <w:tcPr>
            <w:tcW w:w="2235" w:type="dxa"/>
          </w:tcPr>
          <w:p w:rsidR="009C33D5" w:rsidRPr="009C33D5" w:rsidRDefault="009C33D5" w:rsidP="004132F5">
            <w:pPr>
              <w:spacing w:after="0" w:line="240" w:lineRule="auto"/>
              <w:rPr>
                <w:rFonts w:ascii="Times New Roman" w:hAnsi="Times New Roman" w:cs="Times New Roman"/>
                <w:i/>
              </w:rPr>
            </w:pPr>
            <w:r w:rsidRPr="009C33D5">
              <w:rPr>
                <w:rFonts w:ascii="Times New Roman" w:hAnsi="Times New Roman" w:cs="Times New Roman"/>
                <w:i/>
              </w:rPr>
              <w:t xml:space="preserve"> </w:t>
            </w:r>
          </w:p>
          <w:p w:rsidR="009C33D5" w:rsidRPr="009C33D5" w:rsidRDefault="000920D0" w:rsidP="004132F5">
            <w:pPr>
              <w:spacing w:after="0" w:line="240" w:lineRule="auto"/>
              <w:rPr>
                <w:rFonts w:ascii="Times New Roman" w:hAnsi="Times New Roman" w:cs="Times New Roman"/>
                <w:i/>
              </w:rPr>
            </w:pPr>
            <w:r>
              <w:rPr>
                <w:rFonts w:ascii="Times New Roman" w:hAnsi="Times New Roman" w:cs="Times New Roman"/>
                <w:i/>
              </w:rPr>
              <w:t>Κατηγορία/</w:t>
            </w:r>
            <w:r w:rsidR="009C33D5" w:rsidRPr="009C33D5">
              <w:rPr>
                <w:rFonts w:ascii="Times New Roman" w:hAnsi="Times New Roman" w:cs="Times New Roman"/>
                <w:i/>
              </w:rPr>
              <w:t>Οργανικό Σύστημα (MedDRA)</w:t>
            </w:r>
          </w:p>
          <w:p w:rsidR="009C33D5" w:rsidRPr="009C33D5" w:rsidRDefault="009C33D5" w:rsidP="004132F5">
            <w:pPr>
              <w:spacing w:after="0" w:line="240" w:lineRule="auto"/>
              <w:rPr>
                <w:rFonts w:ascii="Times New Roman" w:hAnsi="Times New Roman" w:cs="Times New Roman"/>
                <w:i/>
              </w:rPr>
            </w:pPr>
          </w:p>
        </w:tc>
        <w:tc>
          <w:tcPr>
            <w:tcW w:w="3118" w:type="dxa"/>
          </w:tcPr>
          <w:p w:rsidR="009C33D5" w:rsidRPr="009C33D5" w:rsidRDefault="009C33D5" w:rsidP="004132F5">
            <w:pPr>
              <w:spacing w:after="0" w:line="240" w:lineRule="auto"/>
              <w:rPr>
                <w:rFonts w:ascii="Times New Roman" w:hAnsi="Times New Roman" w:cs="Times New Roman"/>
                <w:i/>
              </w:rPr>
            </w:pPr>
          </w:p>
          <w:p w:rsidR="009C33D5" w:rsidRPr="009C33D5" w:rsidRDefault="009C33D5" w:rsidP="004132F5">
            <w:pPr>
              <w:spacing w:after="0" w:line="240" w:lineRule="auto"/>
              <w:rPr>
                <w:rFonts w:ascii="Times New Roman" w:hAnsi="Times New Roman" w:cs="Times New Roman"/>
                <w:i/>
              </w:rPr>
            </w:pPr>
            <w:r w:rsidRPr="009C33D5">
              <w:rPr>
                <w:rFonts w:ascii="Times New Roman" w:hAnsi="Times New Roman" w:cs="Times New Roman"/>
                <w:i/>
              </w:rPr>
              <w:t>Συχνότητα εμφάνισης</w:t>
            </w:r>
          </w:p>
        </w:tc>
        <w:tc>
          <w:tcPr>
            <w:tcW w:w="3544" w:type="dxa"/>
          </w:tcPr>
          <w:p w:rsidR="009C33D5" w:rsidRPr="009C33D5" w:rsidRDefault="009C33D5" w:rsidP="004132F5">
            <w:pPr>
              <w:spacing w:after="0" w:line="240" w:lineRule="auto"/>
              <w:rPr>
                <w:rFonts w:ascii="Times New Roman" w:hAnsi="Times New Roman" w:cs="Times New Roman"/>
                <w:i/>
              </w:rPr>
            </w:pPr>
          </w:p>
          <w:p w:rsidR="009C33D5" w:rsidRPr="009C33D5" w:rsidRDefault="009C33D5" w:rsidP="004132F5">
            <w:pPr>
              <w:spacing w:after="0" w:line="240" w:lineRule="auto"/>
              <w:rPr>
                <w:rFonts w:ascii="Times New Roman" w:hAnsi="Times New Roman" w:cs="Times New Roman"/>
                <w:i/>
              </w:rPr>
            </w:pPr>
            <w:r w:rsidRPr="009C33D5">
              <w:rPr>
                <w:rFonts w:ascii="Times New Roman" w:hAnsi="Times New Roman" w:cs="Times New Roman"/>
                <w:i/>
              </w:rPr>
              <w:t>Ανεπιθύμητη Ενέργεια Φαρμάκου</w:t>
            </w:r>
          </w:p>
        </w:tc>
      </w:tr>
      <w:tr w:rsidR="009C33D5" w:rsidRPr="009C33D5" w:rsidTr="004132F5">
        <w:tc>
          <w:tcPr>
            <w:tcW w:w="2235" w:type="dxa"/>
          </w:tcPr>
          <w:p w:rsidR="009C33D5" w:rsidRPr="009C33D5" w:rsidRDefault="009C33D5" w:rsidP="004132F5">
            <w:pPr>
              <w:spacing w:after="0" w:line="240" w:lineRule="auto"/>
              <w:rPr>
                <w:rFonts w:ascii="Times New Roman" w:hAnsi="Times New Roman" w:cs="Times New Roman"/>
              </w:rPr>
            </w:pPr>
            <w:r w:rsidRPr="009C33D5">
              <w:rPr>
                <w:rFonts w:ascii="Times New Roman" w:hAnsi="Times New Roman"/>
              </w:rPr>
              <w:t>Οφθαλμικές διαταραχές</w:t>
            </w:r>
          </w:p>
        </w:tc>
        <w:tc>
          <w:tcPr>
            <w:tcW w:w="3118" w:type="dxa"/>
          </w:tcPr>
          <w:p w:rsidR="009C33D5" w:rsidRPr="009C33D5" w:rsidRDefault="009C33D5" w:rsidP="003D78DF">
            <w:pPr>
              <w:spacing w:after="0" w:line="240" w:lineRule="auto"/>
              <w:rPr>
                <w:rFonts w:ascii="Times New Roman" w:hAnsi="Times New Roman" w:cs="Times New Roman"/>
              </w:rPr>
            </w:pPr>
            <w:r w:rsidRPr="009C33D5">
              <w:rPr>
                <w:rFonts w:ascii="Times New Roman" w:hAnsi="Times New Roman" w:cs="Times New Roman"/>
              </w:rPr>
              <w:t>Μη γνωστ</w:t>
            </w:r>
            <w:r w:rsidR="001142C8">
              <w:rPr>
                <w:rFonts w:ascii="Times New Roman" w:hAnsi="Times New Roman" w:cs="Times New Roman"/>
              </w:rPr>
              <w:t>ή</w:t>
            </w:r>
            <w:r w:rsidRPr="009C33D5">
              <w:rPr>
                <w:rFonts w:ascii="Times New Roman" w:hAnsi="Times New Roman" w:cs="Times New Roman"/>
              </w:rPr>
              <w:t>ς</w:t>
            </w:r>
            <w:r w:rsidR="003D78DF">
              <w:rPr>
                <w:rFonts w:ascii="Times New Roman" w:hAnsi="Times New Roman" w:cs="Times New Roman"/>
              </w:rPr>
              <w:t xml:space="preserve"> </w:t>
            </w:r>
            <w:r w:rsidR="001142C8">
              <w:rPr>
                <w:rFonts w:ascii="Times New Roman" w:hAnsi="Times New Roman" w:cs="Times New Roman"/>
              </w:rPr>
              <w:t xml:space="preserve">συχνότητας </w:t>
            </w:r>
            <w:r w:rsidR="003D78DF">
              <w:rPr>
                <w:rFonts w:ascii="Times New Roman" w:hAnsi="Times New Roman" w:cs="Times New Roman"/>
              </w:rPr>
              <w:t>(δεν μπορεί να εκτιμηθεί με βάση τα διαθέσιμα δεδομένα)</w:t>
            </w:r>
            <w:r w:rsidRPr="009C33D5">
              <w:rPr>
                <w:rFonts w:ascii="Times New Roman" w:hAnsi="Times New Roman" w:cs="Times New Roman"/>
              </w:rPr>
              <w:t>*</w:t>
            </w:r>
          </w:p>
        </w:tc>
        <w:tc>
          <w:tcPr>
            <w:tcW w:w="3544" w:type="dxa"/>
          </w:tcPr>
          <w:p w:rsidR="009C33D5" w:rsidRPr="009C33D5" w:rsidRDefault="009C33D5" w:rsidP="004132F5">
            <w:pPr>
              <w:spacing w:line="240" w:lineRule="auto"/>
              <w:rPr>
                <w:rFonts w:ascii="Times New Roman" w:hAnsi="Times New Roman" w:cs="Times New Roman"/>
              </w:rPr>
            </w:pPr>
            <w:r w:rsidRPr="009C33D5">
              <w:rPr>
                <w:rFonts w:ascii="Times New Roman" w:hAnsi="Times New Roman" w:cs="Times New Roman"/>
              </w:rPr>
              <w:t>Οίδημα βλεφάρου</w:t>
            </w:r>
          </w:p>
        </w:tc>
      </w:tr>
      <w:tr w:rsidR="009C33D5" w:rsidRPr="009C33D5" w:rsidTr="004132F5">
        <w:tc>
          <w:tcPr>
            <w:tcW w:w="2235" w:type="dxa"/>
          </w:tcPr>
          <w:p w:rsidR="009C33D5" w:rsidRPr="009C33D5" w:rsidRDefault="009C33D5" w:rsidP="004132F5">
            <w:pPr>
              <w:spacing w:after="0" w:line="240" w:lineRule="auto"/>
              <w:rPr>
                <w:rFonts w:ascii="Times New Roman" w:hAnsi="Times New Roman" w:cs="Times New Roman"/>
              </w:rPr>
            </w:pPr>
            <w:r w:rsidRPr="009C33D5">
              <w:rPr>
                <w:rFonts w:ascii="Times New Roman" w:hAnsi="Times New Roman"/>
              </w:rPr>
              <w:t>Διαταραχές του αναπνευστικού συστήματος, του θώρακα και του μεσοθωράκιου</w:t>
            </w:r>
          </w:p>
        </w:tc>
        <w:tc>
          <w:tcPr>
            <w:tcW w:w="3118" w:type="dxa"/>
          </w:tcPr>
          <w:p w:rsidR="009C33D5" w:rsidRPr="009C33D5" w:rsidRDefault="009C33D5" w:rsidP="003D78DF">
            <w:pPr>
              <w:spacing w:after="0" w:line="240" w:lineRule="auto"/>
              <w:rPr>
                <w:rFonts w:ascii="Times New Roman" w:hAnsi="Times New Roman" w:cs="Times New Roman"/>
              </w:rPr>
            </w:pPr>
            <w:r w:rsidRPr="009C33D5">
              <w:rPr>
                <w:rFonts w:ascii="Times New Roman" w:hAnsi="Times New Roman" w:cs="Times New Roman"/>
              </w:rPr>
              <w:t>Μη γνωστ</w:t>
            </w:r>
            <w:r w:rsidR="001142C8">
              <w:rPr>
                <w:rFonts w:ascii="Times New Roman" w:hAnsi="Times New Roman" w:cs="Times New Roman"/>
              </w:rPr>
              <w:t>ή</w:t>
            </w:r>
            <w:r w:rsidRPr="009C33D5">
              <w:rPr>
                <w:rFonts w:ascii="Times New Roman" w:hAnsi="Times New Roman" w:cs="Times New Roman"/>
              </w:rPr>
              <w:t>ς</w:t>
            </w:r>
            <w:r w:rsidR="003D78DF">
              <w:rPr>
                <w:rFonts w:ascii="Times New Roman" w:hAnsi="Times New Roman" w:cs="Times New Roman"/>
              </w:rPr>
              <w:t xml:space="preserve"> </w:t>
            </w:r>
            <w:r w:rsidR="001142C8">
              <w:rPr>
                <w:rFonts w:ascii="Times New Roman" w:hAnsi="Times New Roman" w:cs="Times New Roman"/>
              </w:rPr>
              <w:t xml:space="preserve">συχνότητας </w:t>
            </w:r>
            <w:r w:rsidR="003D78DF">
              <w:rPr>
                <w:rFonts w:ascii="Times New Roman" w:hAnsi="Times New Roman" w:cs="Times New Roman"/>
              </w:rPr>
              <w:t>(δεν μπορεί να εκτιμηθεί με βάση τα διαθέσιμα δεδομένα)</w:t>
            </w:r>
            <w:r w:rsidRPr="009C33D5">
              <w:rPr>
                <w:rFonts w:ascii="Times New Roman" w:hAnsi="Times New Roman" w:cs="Times New Roman"/>
              </w:rPr>
              <w:t>*</w:t>
            </w:r>
          </w:p>
        </w:tc>
        <w:tc>
          <w:tcPr>
            <w:tcW w:w="3544" w:type="dxa"/>
          </w:tcPr>
          <w:p w:rsidR="009C33D5" w:rsidRPr="009C33D5" w:rsidRDefault="009C33D5" w:rsidP="004132F5">
            <w:pPr>
              <w:spacing w:line="240" w:lineRule="auto"/>
              <w:rPr>
                <w:rFonts w:ascii="Times New Roman" w:hAnsi="Times New Roman" w:cs="Times New Roman"/>
              </w:rPr>
            </w:pPr>
            <w:r w:rsidRPr="009C33D5">
              <w:rPr>
                <w:rFonts w:ascii="Times New Roman" w:hAnsi="Times New Roman" w:cs="Times New Roman"/>
              </w:rPr>
              <w:t>Συσφιγκτικό αίσθημα λαιμού</w:t>
            </w:r>
          </w:p>
        </w:tc>
      </w:tr>
      <w:tr w:rsidR="009C33D5" w:rsidRPr="009C33D5" w:rsidTr="004132F5">
        <w:tc>
          <w:tcPr>
            <w:tcW w:w="2235" w:type="dxa"/>
            <w:vMerge w:val="restart"/>
          </w:tcPr>
          <w:p w:rsidR="009C33D5" w:rsidRPr="009C33D5" w:rsidRDefault="009C33D5" w:rsidP="004132F5">
            <w:pPr>
              <w:spacing w:after="0" w:line="240" w:lineRule="auto"/>
              <w:rPr>
                <w:rFonts w:ascii="Times New Roman" w:hAnsi="Times New Roman" w:cs="Times New Roman"/>
              </w:rPr>
            </w:pPr>
            <w:r w:rsidRPr="009C33D5">
              <w:rPr>
                <w:rFonts w:ascii="Times New Roman" w:hAnsi="Times New Roman" w:cs="Times New Roman"/>
              </w:rPr>
              <w:t>Διαταραχές του δέρματος και του υποδόριου ιστού</w:t>
            </w:r>
          </w:p>
        </w:tc>
        <w:tc>
          <w:tcPr>
            <w:tcW w:w="3118" w:type="dxa"/>
          </w:tcPr>
          <w:p w:rsidR="009C33D5" w:rsidRPr="009C33D5" w:rsidRDefault="009C33D5" w:rsidP="004132F5">
            <w:pPr>
              <w:spacing w:after="0" w:line="240" w:lineRule="auto"/>
              <w:rPr>
                <w:rFonts w:ascii="Times New Roman" w:hAnsi="Times New Roman" w:cs="Times New Roman"/>
              </w:rPr>
            </w:pPr>
            <w:r w:rsidRPr="009C33D5">
              <w:rPr>
                <w:rFonts w:ascii="Times New Roman" w:hAnsi="Times New Roman" w:cs="Times New Roman"/>
              </w:rPr>
              <w:t>Συχνές (≥ 1/100 έως &lt; 1/10)</w:t>
            </w:r>
          </w:p>
        </w:tc>
        <w:tc>
          <w:tcPr>
            <w:tcW w:w="3544" w:type="dxa"/>
          </w:tcPr>
          <w:p w:rsidR="009C33D5" w:rsidRPr="009C33D5" w:rsidRDefault="009C33D5" w:rsidP="004132F5">
            <w:pPr>
              <w:spacing w:line="240" w:lineRule="auto"/>
              <w:rPr>
                <w:rFonts w:ascii="Times New Roman" w:hAnsi="Times New Roman" w:cs="Times New Roman"/>
              </w:rPr>
            </w:pPr>
            <w:r w:rsidRPr="009C33D5">
              <w:rPr>
                <w:rFonts w:ascii="Times New Roman" w:hAnsi="Times New Roman" w:cs="Times New Roman"/>
              </w:rPr>
              <w:t>Ξηροδερμία, ερεθιστική δερματίτιδα εξ επαφής, ερεθισμός δέρματος, αίσθηση δερματικού καύσου, ερύθημα, αποφολίδωση του δέρματος (απολέπιση)</w:t>
            </w:r>
          </w:p>
        </w:tc>
      </w:tr>
      <w:tr w:rsidR="009C33D5" w:rsidRPr="009C33D5" w:rsidTr="004132F5">
        <w:tc>
          <w:tcPr>
            <w:tcW w:w="2235" w:type="dxa"/>
            <w:vMerge/>
          </w:tcPr>
          <w:p w:rsidR="009C33D5" w:rsidRPr="009C33D5" w:rsidRDefault="009C33D5" w:rsidP="004132F5">
            <w:pPr>
              <w:spacing w:after="0" w:line="240" w:lineRule="auto"/>
              <w:rPr>
                <w:rFonts w:ascii="Times New Roman" w:hAnsi="Times New Roman" w:cs="Times New Roman"/>
              </w:rPr>
            </w:pPr>
          </w:p>
        </w:tc>
        <w:tc>
          <w:tcPr>
            <w:tcW w:w="3118" w:type="dxa"/>
          </w:tcPr>
          <w:p w:rsidR="009C33D5" w:rsidRPr="009C33D5" w:rsidRDefault="009C33D5" w:rsidP="004132F5">
            <w:pPr>
              <w:spacing w:after="0" w:line="240" w:lineRule="auto"/>
              <w:rPr>
                <w:rFonts w:ascii="Times New Roman" w:hAnsi="Times New Roman" w:cs="Times New Roman"/>
              </w:rPr>
            </w:pPr>
            <w:r w:rsidRPr="009C33D5">
              <w:rPr>
                <w:rFonts w:ascii="Times New Roman" w:hAnsi="Times New Roman" w:cs="Times New Roman"/>
              </w:rPr>
              <w:t>Όχι συχνές (</w:t>
            </w:r>
            <w:r w:rsidRPr="009C33D5">
              <w:rPr>
                <w:rFonts w:ascii="Times New Roman" w:hAnsi="Times New Roman" w:cs="Times New Roman"/>
              </w:rPr>
              <w:sym w:font="Symbol" w:char="F0B3"/>
            </w:r>
            <w:r w:rsidRPr="009C33D5">
              <w:rPr>
                <w:rFonts w:ascii="Times New Roman" w:hAnsi="Times New Roman" w:cs="Times New Roman"/>
              </w:rPr>
              <w:t> 1/1.000 έως &lt; 1/100)</w:t>
            </w:r>
          </w:p>
        </w:tc>
        <w:tc>
          <w:tcPr>
            <w:tcW w:w="3544" w:type="dxa"/>
          </w:tcPr>
          <w:p w:rsidR="009C33D5" w:rsidRPr="009C33D5" w:rsidRDefault="009C33D5" w:rsidP="004132F5">
            <w:pPr>
              <w:spacing w:line="240" w:lineRule="auto"/>
              <w:rPr>
                <w:rFonts w:ascii="Times New Roman" w:hAnsi="Times New Roman" w:cs="Times New Roman"/>
              </w:rPr>
            </w:pPr>
            <w:r w:rsidRPr="009C33D5">
              <w:rPr>
                <w:rFonts w:ascii="Times New Roman" w:hAnsi="Times New Roman" w:cs="Times New Roman"/>
              </w:rPr>
              <w:t>Κνησμός, έγκαυμα από ηλιακή ακτινοβολία</w:t>
            </w:r>
          </w:p>
        </w:tc>
      </w:tr>
      <w:tr w:rsidR="009C33D5" w:rsidRPr="009C33D5" w:rsidTr="004132F5">
        <w:tc>
          <w:tcPr>
            <w:tcW w:w="2235" w:type="dxa"/>
            <w:vMerge/>
          </w:tcPr>
          <w:p w:rsidR="009C33D5" w:rsidRPr="009C33D5" w:rsidRDefault="009C33D5" w:rsidP="004132F5">
            <w:pPr>
              <w:spacing w:after="0" w:line="240" w:lineRule="auto"/>
              <w:rPr>
                <w:rFonts w:ascii="Times New Roman" w:hAnsi="Times New Roman" w:cs="Times New Roman"/>
              </w:rPr>
            </w:pPr>
          </w:p>
        </w:tc>
        <w:tc>
          <w:tcPr>
            <w:tcW w:w="3118" w:type="dxa"/>
          </w:tcPr>
          <w:p w:rsidR="009C33D5" w:rsidRPr="009C33D5" w:rsidRDefault="009C33D5" w:rsidP="00CE3FB4">
            <w:pPr>
              <w:spacing w:after="0" w:line="240" w:lineRule="auto"/>
              <w:rPr>
                <w:rFonts w:ascii="Times New Roman" w:hAnsi="Times New Roman" w:cs="Times New Roman"/>
              </w:rPr>
            </w:pPr>
            <w:r w:rsidRPr="009C33D5">
              <w:rPr>
                <w:rFonts w:ascii="Times New Roman" w:hAnsi="Times New Roman" w:cs="Times New Roman"/>
              </w:rPr>
              <w:t>Μη γνωστ</w:t>
            </w:r>
            <w:r w:rsidR="001142C8">
              <w:rPr>
                <w:rFonts w:ascii="Times New Roman" w:hAnsi="Times New Roman" w:cs="Times New Roman"/>
              </w:rPr>
              <w:t>ή</w:t>
            </w:r>
            <w:r w:rsidRPr="009C33D5">
              <w:rPr>
                <w:rFonts w:ascii="Times New Roman" w:hAnsi="Times New Roman" w:cs="Times New Roman"/>
              </w:rPr>
              <w:t>ς</w:t>
            </w:r>
            <w:r w:rsidR="00CE3FB4">
              <w:rPr>
                <w:rFonts w:ascii="Times New Roman" w:hAnsi="Times New Roman" w:cs="Times New Roman"/>
              </w:rPr>
              <w:t xml:space="preserve"> </w:t>
            </w:r>
            <w:r w:rsidR="001142C8">
              <w:rPr>
                <w:rFonts w:ascii="Times New Roman" w:hAnsi="Times New Roman" w:cs="Times New Roman"/>
              </w:rPr>
              <w:t xml:space="preserve">συχνότητας </w:t>
            </w:r>
            <w:r w:rsidR="00CE3FB4">
              <w:rPr>
                <w:rFonts w:ascii="Times New Roman" w:hAnsi="Times New Roman" w:cs="Times New Roman"/>
              </w:rPr>
              <w:t>(δεν μπορεί να εκτιμηθεί με βάση τα διαθέσιμα δεδομένα)</w:t>
            </w:r>
            <w:r w:rsidRPr="009C33D5">
              <w:rPr>
                <w:rFonts w:ascii="Times New Roman" w:hAnsi="Times New Roman" w:cs="Times New Roman"/>
              </w:rPr>
              <w:t>*</w:t>
            </w:r>
          </w:p>
        </w:tc>
        <w:tc>
          <w:tcPr>
            <w:tcW w:w="3544" w:type="dxa"/>
          </w:tcPr>
          <w:p w:rsidR="009C33D5" w:rsidRPr="009C33D5" w:rsidRDefault="009C33D5" w:rsidP="004132F5">
            <w:pPr>
              <w:spacing w:line="240" w:lineRule="auto"/>
              <w:rPr>
                <w:rFonts w:ascii="Times New Roman" w:hAnsi="Times New Roman" w:cs="Times New Roman"/>
              </w:rPr>
            </w:pPr>
            <w:r w:rsidRPr="009C33D5">
              <w:rPr>
                <w:rFonts w:ascii="Times New Roman" w:hAnsi="Times New Roman" w:cs="Times New Roman"/>
              </w:rPr>
              <w:t>Αλλεργική δερματίτιδα εξ επαφής, οίδημα προσώπου, δερματικό άλγος (άλγος δήγματος), φλύκταινες (κυστίδια)</w:t>
            </w:r>
          </w:p>
        </w:tc>
      </w:tr>
    </w:tbl>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*Δεδομένα από την παρακολούθηση μετά την κυκλοφορία του προϊόντος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Εάν εμφανιστεί ερεθισμός του δέρματος μετά την εφαρμογή του Epiduo, η ένταση είναι γενικώς ήπια ή μέτρια, με σημεία και συμπτώματα τοπικής ανοχής (ερύθημα, ξηρότητα, απολέπιση, αίσθημα καύσου και δερματικό άλγος (άλγος δήγματος)) που φτάνουν σε έξαρση κατά τη διάρκεια της πρώτης εβδομάδας και στη συνέχεια υποχωρούν αυθόρμητα.</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u w:val="single"/>
        </w:rPr>
      </w:pPr>
      <w:r w:rsidRPr="009C33D5">
        <w:rPr>
          <w:rFonts w:ascii="Times New Roman" w:hAnsi="Times New Roman" w:cs="Times New Roman"/>
          <w:u w:val="single"/>
        </w:rPr>
        <w:lastRenderedPageBreak/>
        <w:t>Αναφορά πιθανολογούμενων ανεπιθύμητων ενεργειών</w:t>
      </w:r>
    </w:p>
    <w:p w:rsidR="00CA341E"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057252">
        <w:rPr>
          <w:rFonts w:ascii="Times New Roman" w:hAnsi="Times New Roman" w:cs="Times New Roman"/>
        </w:rPr>
        <w:t>υγείας</w:t>
      </w:r>
      <w:r w:rsidRPr="009C33D5">
        <w:rPr>
          <w:rFonts w:ascii="Times New Roman" w:hAnsi="Times New Roman" w:cs="Times New Roman"/>
        </w:rPr>
        <w:t xml:space="preserve"> να αναφέρουν οποιεσδήποτε πιθανολογούμενες ανεπιθύμητες ενέργειες</w:t>
      </w:r>
      <w:r w:rsidR="00CA341E">
        <w:rPr>
          <w:rFonts w:ascii="Times New Roman" w:hAnsi="Times New Roman" w:cs="Times New Roman"/>
        </w:rPr>
        <w:t xml:space="preserve"> μέσω του εθνικού συστήματος αναφοράς:</w:t>
      </w:r>
    </w:p>
    <w:p w:rsidR="00CA341E" w:rsidRDefault="00CA341E" w:rsidP="009C33D5">
      <w:pPr>
        <w:spacing w:after="0" w:line="240" w:lineRule="auto"/>
        <w:rPr>
          <w:rFonts w:ascii="Times New Roman" w:hAnsi="Times New Roman" w:cs="Times New Roman"/>
        </w:rPr>
      </w:pPr>
    </w:p>
    <w:p w:rsidR="003B2768" w:rsidRPr="00314ACD" w:rsidRDefault="003B2768" w:rsidP="009C33D5">
      <w:pPr>
        <w:spacing w:after="0" w:line="240" w:lineRule="auto"/>
        <w:rPr>
          <w:rFonts w:ascii="Times New Roman" w:hAnsi="Times New Roman" w:cs="Times New Roman"/>
          <w:b/>
        </w:rPr>
      </w:pPr>
      <w:r w:rsidRPr="00314ACD">
        <w:rPr>
          <w:rFonts w:ascii="Times New Roman" w:hAnsi="Times New Roman" w:cs="Times New Roman"/>
          <w:b/>
        </w:rPr>
        <w:t>Ελλάδα</w:t>
      </w:r>
    </w:p>
    <w:p w:rsidR="003B2768" w:rsidRDefault="009C33D5" w:rsidP="009C33D5">
      <w:pPr>
        <w:spacing w:after="0" w:line="240" w:lineRule="auto"/>
        <w:rPr>
          <w:rFonts w:ascii="Times New Roman" w:hAnsi="Times New Roman" w:cs="Times New Roman"/>
        </w:rPr>
      </w:pPr>
      <w:r w:rsidRPr="009C33D5">
        <w:rPr>
          <w:rFonts w:ascii="Times New Roman" w:hAnsi="Times New Roman" w:cs="Times New Roman"/>
        </w:rPr>
        <w:t>Εθνικό</w:t>
      </w:r>
      <w:r w:rsidR="003B2768">
        <w:rPr>
          <w:rFonts w:ascii="Times New Roman" w:hAnsi="Times New Roman" w:cs="Times New Roman"/>
        </w:rPr>
        <w:t>ς</w:t>
      </w:r>
      <w:r w:rsidRPr="009C33D5">
        <w:rPr>
          <w:rFonts w:ascii="Times New Roman" w:hAnsi="Times New Roman" w:cs="Times New Roman"/>
        </w:rPr>
        <w:t xml:space="preserve"> </w:t>
      </w:r>
      <w:r w:rsidRPr="009C33D5">
        <w:rPr>
          <w:rFonts w:ascii="Times New Roman" w:eastAsia="Times New Roman" w:hAnsi="Times New Roman" w:cs="Times New Roman"/>
          <w:lang w:eastAsia="el-GR"/>
        </w:rPr>
        <w:t>Οργανισμ</w:t>
      </w:r>
      <w:r w:rsidRPr="009C33D5">
        <w:rPr>
          <w:rFonts w:ascii="Times New Roman" w:hAnsi="Times New Roman" w:cs="Times New Roman"/>
        </w:rPr>
        <w:t>ό</w:t>
      </w:r>
      <w:r w:rsidR="003B2768">
        <w:rPr>
          <w:rFonts w:ascii="Times New Roman" w:hAnsi="Times New Roman" w:cs="Times New Roman"/>
        </w:rPr>
        <w:t>ς</w:t>
      </w:r>
      <w:r w:rsidRPr="009C33D5">
        <w:rPr>
          <w:rFonts w:ascii="Times New Roman" w:eastAsia="Times New Roman" w:hAnsi="Times New Roman" w:cs="Times New Roman"/>
          <w:lang w:eastAsia="el-GR"/>
        </w:rPr>
        <w:t xml:space="preserve"> Φαρμάκων</w:t>
      </w:r>
      <w:r w:rsidR="003B2768">
        <w:rPr>
          <w:rFonts w:ascii="Times New Roman" w:hAnsi="Times New Roman" w:cs="Times New Roman"/>
        </w:rPr>
        <w:t xml:space="preserve"> </w:t>
      </w:r>
    </w:p>
    <w:p w:rsidR="003B2768" w:rsidRDefault="009C33D5" w:rsidP="009C33D5">
      <w:pPr>
        <w:spacing w:after="0" w:line="240" w:lineRule="auto"/>
        <w:rPr>
          <w:rFonts w:ascii="Times New Roman" w:hAnsi="Times New Roman" w:cs="Times New Roman"/>
        </w:rPr>
      </w:pPr>
      <w:r w:rsidRPr="009C33D5">
        <w:rPr>
          <w:rFonts w:ascii="Times New Roman" w:eastAsia="Times New Roman" w:hAnsi="Times New Roman" w:cs="Times New Roman"/>
          <w:lang w:eastAsia="el-GR"/>
        </w:rPr>
        <w:t>Μεσογείων</w:t>
      </w:r>
      <w:r w:rsidRPr="009C33D5">
        <w:rPr>
          <w:rFonts w:ascii="Times New Roman" w:hAnsi="Times New Roman" w:cs="Times New Roman"/>
        </w:rPr>
        <w:t> </w:t>
      </w:r>
      <w:r w:rsidRPr="009C33D5">
        <w:rPr>
          <w:rFonts w:ascii="Times New Roman" w:eastAsia="Times New Roman" w:hAnsi="Times New Roman" w:cs="Times New Roman"/>
          <w:lang w:eastAsia="el-GR"/>
        </w:rPr>
        <w:t>284</w:t>
      </w:r>
    </w:p>
    <w:p w:rsidR="003B2768" w:rsidRPr="00314ACD" w:rsidRDefault="003B2768" w:rsidP="009C33D5">
      <w:pPr>
        <w:spacing w:after="0" w:line="240" w:lineRule="auto"/>
        <w:rPr>
          <w:rFonts w:ascii="Times New Roman" w:hAnsi="Times New Roman" w:cs="Times New Roman"/>
        </w:rPr>
      </w:pPr>
      <w:r>
        <w:rPr>
          <w:rFonts w:ascii="Times New Roman" w:hAnsi="Times New Roman" w:cs="Times New Roman"/>
          <w:lang w:val="en-US"/>
        </w:rPr>
        <w:t>GR</w:t>
      </w:r>
      <w:r w:rsidRPr="00314ACD">
        <w:rPr>
          <w:rFonts w:ascii="Times New Roman" w:hAnsi="Times New Roman" w:cs="Times New Roman"/>
        </w:rPr>
        <w:t>-</w:t>
      </w:r>
      <w:r w:rsidR="009C33D5" w:rsidRPr="009C33D5">
        <w:rPr>
          <w:rFonts w:ascii="Times New Roman" w:eastAsia="Times New Roman" w:hAnsi="Times New Roman" w:cs="Times New Roman"/>
          <w:lang w:eastAsia="el-GR"/>
        </w:rPr>
        <w:t>15562 Χολαργός, Αθήνα</w:t>
      </w:r>
    </w:p>
    <w:p w:rsidR="003B2768" w:rsidRPr="00314ACD" w:rsidRDefault="009C33D5" w:rsidP="009C33D5">
      <w:pPr>
        <w:spacing w:after="0" w:line="240" w:lineRule="auto"/>
        <w:rPr>
          <w:rFonts w:ascii="Times New Roman" w:hAnsi="Times New Roman" w:cs="Times New Roman"/>
        </w:rPr>
      </w:pPr>
      <w:r w:rsidRPr="009C33D5">
        <w:rPr>
          <w:rFonts w:ascii="Times New Roman" w:eastAsia="Times New Roman" w:hAnsi="Times New Roman" w:cs="Times New Roman"/>
          <w:lang w:eastAsia="el-GR"/>
        </w:rPr>
        <w:t>Τηλ:</w:t>
      </w:r>
      <w:r w:rsidRPr="009C33D5">
        <w:rPr>
          <w:rFonts w:ascii="Times New Roman" w:hAnsi="Times New Roman" w:cs="Times New Roman"/>
        </w:rPr>
        <w:t> </w:t>
      </w:r>
      <w:r w:rsidRPr="009C33D5">
        <w:rPr>
          <w:rFonts w:ascii="Times New Roman" w:eastAsia="Times New Roman" w:hAnsi="Times New Roman" w:cs="Times New Roman"/>
          <w:lang w:eastAsia="el-GR"/>
        </w:rPr>
        <w:t>+</w:t>
      </w:r>
      <w:r w:rsidRPr="009C33D5">
        <w:rPr>
          <w:rFonts w:ascii="Times New Roman" w:hAnsi="Times New Roman" w:cs="Times New Roman"/>
        </w:rPr>
        <w:t> </w:t>
      </w:r>
      <w:r w:rsidRPr="009C33D5">
        <w:rPr>
          <w:rFonts w:ascii="Times New Roman" w:eastAsia="Times New Roman" w:hAnsi="Times New Roman" w:cs="Times New Roman"/>
          <w:lang w:eastAsia="el-GR"/>
        </w:rPr>
        <w:t>30</w:t>
      </w:r>
      <w:r w:rsidRPr="009C33D5">
        <w:rPr>
          <w:rFonts w:ascii="Times New Roman" w:hAnsi="Times New Roman" w:cs="Times New Roman"/>
        </w:rPr>
        <w:t> </w:t>
      </w:r>
      <w:r w:rsidRPr="009C33D5">
        <w:rPr>
          <w:rFonts w:ascii="Times New Roman" w:eastAsia="Times New Roman" w:hAnsi="Times New Roman" w:cs="Times New Roman"/>
          <w:lang w:eastAsia="el-GR"/>
        </w:rPr>
        <w:t>21</w:t>
      </w:r>
      <w:r w:rsidR="003B2768" w:rsidRPr="00314ACD">
        <w:rPr>
          <w:rFonts w:ascii="Times New Roman" w:eastAsia="Times New Roman" w:hAnsi="Times New Roman" w:cs="Times New Roman"/>
          <w:lang w:eastAsia="el-GR"/>
        </w:rPr>
        <w:t xml:space="preserve"> </w:t>
      </w:r>
      <w:r w:rsidRPr="009C33D5">
        <w:rPr>
          <w:rFonts w:ascii="Times New Roman" w:eastAsia="Times New Roman" w:hAnsi="Times New Roman" w:cs="Times New Roman"/>
          <w:lang w:eastAsia="el-GR"/>
        </w:rPr>
        <w:t>32040380/337</w:t>
      </w:r>
    </w:p>
    <w:p w:rsidR="003B2768" w:rsidRPr="00314ACD" w:rsidRDefault="009C33D5" w:rsidP="009C33D5">
      <w:pPr>
        <w:spacing w:after="0" w:line="240" w:lineRule="auto"/>
        <w:rPr>
          <w:rFonts w:ascii="Times New Roman" w:eastAsia="Times New Roman" w:hAnsi="Times New Roman" w:cs="Times New Roman"/>
          <w:lang w:eastAsia="el-GR"/>
        </w:rPr>
      </w:pPr>
      <w:r w:rsidRPr="009C33D5">
        <w:rPr>
          <w:rFonts w:ascii="Times New Roman" w:eastAsia="Times New Roman" w:hAnsi="Times New Roman" w:cs="Times New Roman"/>
          <w:lang w:eastAsia="el-GR"/>
        </w:rPr>
        <w:t>Φαξ:</w:t>
      </w:r>
      <w:r w:rsidRPr="009C33D5">
        <w:rPr>
          <w:rFonts w:ascii="Times New Roman" w:hAnsi="Times New Roman" w:cs="Times New Roman"/>
        </w:rPr>
        <w:t> </w:t>
      </w:r>
      <w:r w:rsidRPr="009C33D5">
        <w:rPr>
          <w:rFonts w:ascii="Times New Roman" w:eastAsia="Times New Roman" w:hAnsi="Times New Roman" w:cs="Times New Roman"/>
          <w:lang w:eastAsia="el-GR"/>
        </w:rPr>
        <w:t>+</w:t>
      </w:r>
      <w:r w:rsidRPr="009C33D5">
        <w:rPr>
          <w:rFonts w:ascii="Times New Roman" w:hAnsi="Times New Roman" w:cs="Times New Roman"/>
        </w:rPr>
        <w:t> </w:t>
      </w:r>
      <w:r w:rsidRPr="009C33D5">
        <w:rPr>
          <w:rFonts w:ascii="Times New Roman" w:eastAsia="Times New Roman" w:hAnsi="Times New Roman" w:cs="Times New Roman"/>
          <w:lang w:eastAsia="el-GR"/>
        </w:rPr>
        <w:t>30</w:t>
      </w:r>
      <w:r w:rsidRPr="009C33D5">
        <w:rPr>
          <w:rFonts w:ascii="Times New Roman" w:hAnsi="Times New Roman" w:cs="Times New Roman"/>
        </w:rPr>
        <w:t> </w:t>
      </w:r>
      <w:r w:rsidRPr="009C33D5">
        <w:rPr>
          <w:rFonts w:ascii="Times New Roman" w:eastAsia="Times New Roman" w:hAnsi="Times New Roman" w:cs="Times New Roman"/>
          <w:lang w:eastAsia="el-GR"/>
        </w:rPr>
        <w:t>21</w:t>
      </w:r>
      <w:r w:rsidR="003B2768" w:rsidRPr="00314ACD">
        <w:rPr>
          <w:rFonts w:ascii="Times New Roman" w:eastAsia="Times New Roman" w:hAnsi="Times New Roman" w:cs="Times New Roman"/>
          <w:lang w:eastAsia="el-GR"/>
        </w:rPr>
        <w:t xml:space="preserve"> </w:t>
      </w:r>
      <w:r w:rsidRPr="009C33D5">
        <w:rPr>
          <w:rFonts w:ascii="Times New Roman" w:eastAsia="Times New Roman" w:hAnsi="Times New Roman" w:cs="Times New Roman"/>
          <w:lang w:eastAsia="el-GR"/>
        </w:rPr>
        <w:t>06549585</w:t>
      </w:r>
    </w:p>
    <w:p w:rsidR="00A035DB" w:rsidRPr="00314ACD" w:rsidRDefault="009C33D5" w:rsidP="009C33D5">
      <w:pPr>
        <w:spacing w:after="0" w:line="240" w:lineRule="auto"/>
        <w:rPr>
          <w:rFonts w:ascii="Times New Roman" w:hAnsi="Times New Roman" w:cs="Times New Roman"/>
        </w:rPr>
      </w:pPr>
      <w:r w:rsidRPr="009C33D5">
        <w:rPr>
          <w:rFonts w:ascii="Times New Roman" w:hAnsi="Times New Roman" w:cs="Times New Roman"/>
          <w:lang w:eastAsia="zh-CN"/>
        </w:rPr>
        <w:t xml:space="preserve">Ιστότοπος: </w:t>
      </w:r>
      <w:hyperlink r:id="rId8" w:history="1">
        <w:r w:rsidRPr="009C33D5">
          <w:rPr>
            <w:rFonts w:ascii="Times New Roman" w:hAnsi="Times New Roman" w:cs="Times New Roman"/>
            <w:color w:val="0000FF"/>
            <w:u w:val="single"/>
            <w:lang w:eastAsia="zh-CN"/>
          </w:rPr>
          <w:t>http://www.eof.gr</w:t>
        </w:r>
      </w:hyperlink>
    </w:p>
    <w:p w:rsidR="004D42F2" w:rsidRPr="00314ACD" w:rsidRDefault="004D42F2" w:rsidP="009C33D5">
      <w:pPr>
        <w:spacing w:after="0" w:line="240" w:lineRule="auto"/>
        <w:rPr>
          <w:rFonts w:ascii="Times New Roman" w:hAnsi="Times New Roman" w:cs="Times New Roman"/>
        </w:rPr>
      </w:pPr>
    </w:p>
    <w:p w:rsidR="00A035DB" w:rsidRPr="00A035DB" w:rsidRDefault="00A035DB" w:rsidP="00A035DB">
      <w:pPr>
        <w:spacing w:after="0" w:line="240" w:lineRule="auto"/>
        <w:rPr>
          <w:rFonts w:ascii="Times New Roman" w:eastAsia="Times New Roman" w:hAnsi="Times New Roman" w:cs="Times New Roman"/>
          <w:b/>
          <w:noProof/>
        </w:rPr>
      </w:pPr>
      <w:r w:rsidRPr="00A035DB">
        <w:rPr>
          <w:rFonts w:ascii="Times New Roman" w:eastAsia="Calibri" w:hAnsi="Times New Roman" w:cs="Times New Roman"/>
          <w:b/>
          <w:noProof/>
          <w:lang w:eastAsia="zh-CN"/>
        </w:rPr>
        <w:t>Κύπρος</w:t>
      </w:r>
    </w:p>
    <w:p w:rsidR="00A035DB" w:rsidRPr="00A035DB" w:rsidRDefault="00A035DB" w:rsidP="00A035DB">
      <w:pPr>
        <w:spacing w:after="0" w:line="240" w:lineRule="auto"/>
        <w:rPr>
          <w:rFonts w:ascii="Times New Roman" w:eastAsia="Calibri" w:hAnsi="Times New Roman" w:cs="Times New Roman"/>
          <w:szCs w:val="20"/>
          <w:lang w:eastAsia="zh-CN"/>
        </w:rPr>
      </w:pPr>
      <w:r w:rsidRPr="00A035DB">
        <w:rPr>
          <w:rFonts w:ascii="Times New Roman" w:eastAsia="Calibri" w:hAnsi="Times New Roman" w:cs="Times New Roman"/>
          <w:szCs w:val="20"/>
          <w:lang w:eastAsia="zh-CN"/>
        </w:rPr>
        <w:t>Φαρμακευτικές Υπηρεσίες</w:t>
      </w:r>
    </w:p>
    <w:p w:rsidR="00A035DB" w:rsidRPr="00A035DB" w:rsidRDefault="00A035DB" w:rsidP="00A035DB">
      <w:pPr>
        <w:spacing w:after="0" w:line="240" w:lineRule="auto"/>
        <w:rPr>
          <w:rFonts w:ascii="Times New Roman" w:eastAsia="Calibri" w:hAnsi="Times New Roman" w:cs="Times New Roman"/>
          <w:szCs w:val="20"/>
          <w:lang w:eastAsia="zh-CN"/>
        </w:rPr>
      </w:pPr>
      <w:r w:rsidRPr="00A035DB">
        <w:rPr>
          <w:rFonts w:ascii="Times New Roman" w:eastAsia="Calibri" w:hAnsi="Times New Roman" w:cs="Times New Roman"/>
          <w:szCs w:val="20"/>
          <w:lang w:eastAsia="zh-CN"/>
        </w:rPr>
        <w:t>Υπουργείο Υγείας</w:t>
      </w:r>
    </w:p>
    <w:p w:rsidR="00A035DB" w:rsidRPr="00A035DB" w:rsidRDefault="00A035DB" w:rsidP="00A035DB">
      <w:pPr>
        <w:spacing w:after="0" w:line="240" w:lineRule="auto"/>
        <w:rPr>
          <w:rFonts w:ascii="Times New Roman" w:eastAsia="Calibri" w:hAnsi="Times New Roman" w:cs="Times New Roman"/>
          <w:noProof/>
          <w:lang w:eastAsia="zh-CN"/>
        </w:rPr>
      </w:pPr>
      <w:r w:rsidRPr="00A035DB">
        <w:rPr>
          <w:rFonts w:ascii="Times New Roman" w:eastAsia="Calibri" w:hAnsi="Times New Roman" w:cs="Times New Roman"/>
          <w:noProof/>
          <w:lang w:val="en-GB" w:eastAsia="zh-CN"/>
        </w:rPr>
        <w:t>CY</w:t>
      </w:r>
      <w:r w:rsidRPr="00A035DB">
        <w:rPr>
          <w:rFonts w:ascii="Times New Roman" w:eastAsia="Calibri" w:hAnsi="Times New Roman" w:cs="Times New Roman"/>
          <w:noProof/>
          <w:lang w:eastAsia="zh-CN"/>
        </w:rPr>
        <w:t xml:space="preserve">-1475 </w:t>
      </w:r>
      <w:r w:rsidRPr="00A035DB">
        <w:rPr>
          <w:rFonts w:ascii="Times New Roman" w:eastAsia="Calibri" w:hAnsi="Times New Roman" w:cs="Times New Roman"/>
          <w:szCs w:val="20"/>
          <w:lang w:eastAsia="zh-CN"/>
        </w:rPr>
        <w:t>Λευκωσία</w:t>
      </w:r>
    </w:p>
    <w:p w:rsidR="00A035DB" w:rsidRPr="00A035DB" w:rsidRDefault="00A035DB" w:rsidP="00A035DB">
      <w:pPr>
        <w:spacing w:after="0" w:line="240" w:lineRule="auto"/>
        <w:rPr>
          <w:rFonts w:ascii="Times New Roman" w:eastAsia="Calibri" w:hAnsi="Times New Roman" w:cs="Times New Roman"/>
          <w:lang w:eastAsia="zh-CN"/>
        </w:rPr>
      </w:pPr>
      <w:r w:rsidRPr="00A035DB">
        <w:rPr>
          <w:rFonts w:ascii="Times New Roman" w:eastAsia="Calibri" w:hAnsi="Times New Roman" w:cs="Times New Roman"/>
          <w:szCs w:val="20"/>
          <w:lang w:eastAsia="zh-CN"/>
        </w:rPr>
        <w:t>Φαξ</w:t>
      </w:r>
      <w:r w:rsidRPr="00A035DB">
        <w:rPr>
          <w:rFonts w:ascii="Times New Roman" w:eastAsia="Calibri" w:hAnsi="Times New Roman" w:cs="Times New Roman"/>
          <w:noProof/>
          <w:lang w:eastAsia="zh-CN"/>
        </w:rPr>
        <w:t xml:space="preserve">: + </w:t>
      </w:r>
      <w:r w:rsidRPr="00A035DB">
        <w:rPr>
          <w:rFonts w:ascii="Times New Roman" w:eastAsia="Calibri" w:hAnsi="Times New Roman" w:cs="Times New Roman"/>
          <w:lang w:eastAsia="zh-CN"/>
        </w:rPr>
        <w:t>357 22608649</w:t>
      </w:r>
    </w:p>
    <w:p w:rsidR="00A035DB" w:rsidRPr="00314ACD" w:rsidRDefault="00A035DB" w:rsidP="009C33D5">
      <w:pPr>
        <w:spacing w:after="0" w:line="240" w:lineRule="auto"/>
        <w:rPr>
          <w:rFonts w:ascii="Times New Roman" w:eastAsia="Calibri" w:hAnsi="Times New Roman" w:cs="Times New Roman"/>
          <w:lang w:eastAsia="zh-CN"/>
        </w:rPr>
      </w:pPr>
      <w:r w:rsidRPr="00A035DB">
        <w:rPr>
          <w:rFonts w:ascii="Times New Roman" w:eastAsia="Calibri" w:hAnsi="Times New Roman" w:cs="Times New Roman"/>
          <w:szCs w:val="20"/>
          <w:lang w:eastAsia="zh-CN"/>
        </w:rPr>
        <w:t>Ιστότοπος</w:t>
      </w:r>
      <w:r w:rsidRPr="00A035DB">
        <w:rPr>
          <w:rFonts w:ascii="Times New Roman" w:eastAsia="Calibri" w:hAnsi="Times New Roman" w:cs="Times New Roman"/>
          <w:noProof/>
          <w:lang w:eastAsia="zh-CN"/>
        </w:rPr>
        <w:t xml:space="preserve">: </w:t>
      </w:r>
      <w:hyperlink r:id="rId9" w:history="1">
        <w:r w:rsidRPr="00A035DB">
          <w:rPr>
            <w:rFonts w:ascii="Times New Roman" w:eastAsia="Calibri" w:hAnsi="Times New Roman" w:cs="Times New Roman"/>
            <w:color w:val="0000FF"/>
            <w:u w:val="single"/>
            <w:lang w:val="en-US" w:eastAsia="zh-CN"/>
          </w:rPr>
          <w:t>www</w:t>
        </w:r>
        <w:r w:rsidRPr="00A035DB">
          <w:rPr>
            <w:rFonts w:ascii="Times New Roman" w:eastAsia="Calibri" w:hAnsi="Times New Roman" w:cs="Times New Roman"/>
            <w:color w:val="0000FF"/>
            <w:u w:val="single"/>
            <w:lang w:eastAsia="zh-CN"/>
          </w:rPr>
          <w:t>.</w:t>
        </w:r>
        <w:r w:rsidRPr="00A035DB">
          <w:rPr>
            <w:rFonts w:ascii="Times New Roman" w:eastAsia="Calibri" w:hAnsi="Times New Roman" w:cs="Times New Roman"/>
            <w:color w:val="0000FF"/>
            <w:u w:val="single"/>
            <w:lang w:val="en-US" w:eastAsia="zh-CN"/>
          </w:rPr>
          <w:t>moh</w:t>
        </w:r>
        <w:r w:rsidRPr="00A035DB">
          <w:rPr>
            <w:rFonts w:ascii="Times New Roman" w:eastAsia="Calibri" w:hAnsi="Times New Roman" w:cs="Times New Roman"/>
            <w:color w:val="0000FF"/>
            <w:u w:val="single"/>
            <w:lang w:eastAsia="zh-CN"/>
          </w:rPr>
          <w:t>.</w:t>
        </w:r>
        <w:r w:rsidRPr="00A035DB">
          <w:rPr>
            <w:rFonts w:ascii="Times New Roman" w:eastAsia="Calibri" w:hAnsi="Times New Roman" w:cs="Times New Roman"/>
            <w:color w:val="0000FF"/>
            <w:u w:val="single"/>
            <w:lang w:val="en-US" w:eastAsia="zh-CN"/>
          </w:rPr>
          <w:t>gov</w:t>
        </w:r>
        <w:r w:rsidRPr="00A035DB">
          <w:rPr>
            <w:rFonts w:ascii="Times New Roman" w:eastAsia="Calibri" w:hAnsi="Times New Roman" w:cs="Times New Roman"/>
            <w:color w:val="0000FF"/>
            <w:u w:val="single"/>
            <w:lang w:eastAsia="zh-CN"/>
          </w:rPr>
          <w:t>.</w:t>
        </w:r>
        <w:r w:rsidRPr="00A035DB">
          <w:rPr>
            <w:rFonts w:ascii="Times New Roman" w:eastAsia="Calibri" w:hAnsi="Times New Roman" w:cs="Times New Roman"/>
            <w:color w:val="0000FF"/>
            <w:u w:val="single"/>
            <w:lang w:val="en-US" w:eastAsia="zh-CN"/>
          </w:rPr>
          <w:t>cy</w:t>
        </w:r>
        <w:r w:rsidRPr="00A035DB">
          <w:rPr>
            <w:rFonts w:ascii="Times New Roman" w:eastAsia="Calibri" w:hAnsi="Times New Roman" w:cs="Times New Roman"/>
            <w:color w:val="0000FF"/>
            <w:u w:val="single"/>
            <w:lang w:eastAsia="zh-CN"/>
          </w:rPr>
          <w:t>/</w:t>
        </w:r>
        <w:r w:rsidRPr="00A035DB">
          <w:rPr>
            <w:rFonts w:ascii="Times New Roman" w:eastAsia="Calibri" w:hAnsi="Times New Roman" w:cs="Times New Roman"/>
            <w:color w:val="0000FF"/>
            <w:u w:val="single"/>
            <w:lang w:val="en-US" w:eastAsia="zh-CN"/>
          </w:rPr>
          <w:t>phs</w:t>
        </w:r>
      </w:hyperlink>
    </w:p>
    <w:p w:rsidR="009C33D5" w:rsidRPr="00A035DB"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4.9</w:t>
      </w:r>
      <w:r w:rsidRPr="009C33D5">
        <w:rPr>
          <w:rFonts w:ascii="Times New Roman" w:hAnsi="Times New Roman" w:cs="Times New Roman"/>
          <w:b/>
        </w:rPr>
        <w:tab/>
        <w:t>Υπερδοσολογία</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Το Epiduo είναι μόνο για δερματική χρήση μία φορά ημερησίως.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Σε περίπτωση τυχαίας κατάποσης, πρέπει να λαμβάνονται κατάλληλα συμπτωματικά μέτρα.</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5.</w:t>
      </w:r>
      <w:r w:rsidRPr="009C33D5">
        <w:rPr>
          <w:rFonts w:ascii="Times New Roman" w:hAnsi="Times New Roman" w:cs="Times New Roman"/>
          <w:b/>
        </w:rPr>
        <w:tab/>
        <w:t>ΦΑΡΜΑΚΟΛΟΓΙΚΕΣ ΙΔΙΟΤΗΤΕΣ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bookmarkStart w:id="2" w:name="_Ref229197905"/>
      <w:r w:rsidRPr="009C33D5">
        <w:rPr>
          <w:rFonts w:ascii="Times New Roman" w:hAnsi="Times New Roman" w:cs="Times New Roman"/>
          <w:b/>
        </w:rPr>
        <w:t>5.1</w:t>
      </w:r>
      <w:r w:rsidRPr="009C33D5">
        <w:rPr>
          <w:rFonts w:ascii="Times New Roman" w:hAnsi="Times New Roman" w:cs="Times New Roman"/>
          <w:b/>
        </w:rPr>
        <w:tab/>
      </w:r>
      <w:bookmarkEnd w:id="2"/>
      <w:r w:rsidRPr="009C33D5">
        <w:rPr>
          <w:rFonts w:ascii="Times New Roman" w:hAnsi="Times New Roman" w:cs="Times New Roman"/>
          <w:b/>
        </w:rPr>
        <w:t>Φαρμακοδυναμικές ιδιότητες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Φαρμακοθεραπευτική κατηγορία: </w:t>
      </w:r>
      <w:r w:rsidR="0025497F">
        <w:rPr>
          <w:rFonts w:ascii="Times New Roman" w:hAnsi="Times New Roman" w:cs="Times New Roman"/>
        </w:rPr>
        <w:t>Παρα</w:t>
      </w:r>
      <w:hyperlink r:id="rId10" w:history="1">
        <w:r w:rsidRPr="009C33D5">
          <w:rPr>
            <w:rFonts w:ascii="Times New Roman" w:hAnsi="Times New Roman" w:cs="Times New Roman"/>
          </w:rPr>
          <w:t>σκευάσματα</w:t>
        </w:r>
      </w:hyperlink>
      <w:r w:rsidRPr="009C33D5">
        <w:rPr>
          <w:rFonts w:ascii="Times New Roman" w:hAnsi="Times New Roman" w:cs="Times New Roman"/>
        </w:rPr>
        <w:t xml:space="preserve"> κατά της ακμής για τοπική χρήση</w:t>
      </w:r>
      <w:r w:rsidR="0025497F">
        <w:rPr>
          <w:rFonts w:ascii="Times New Roman" w:hAnsi="Times New Roman" w:cs="Times New Roman"/>
        </w:rPr>
        <w:t xml:space="preserve">, </w:t>
      </w:r>
      <w:r w:rsidR="0025497F">
        <w:rPr>
          <w:rFonts w:ascii="Times New Roman" w:hAnsi="Times New Roman" w:cs="Times New Roman"/>
          <w:lang w:val="en-US"/>
        </w:rPr>
        <w:t>D</w:t>
      </w:r>
      <w:r w:rsidR="0025497F" w:rsidRPr="00314ACD">
        <w:rPr>
          <w:rFonts w:ascii="Times New Roman" w:hAnsi="Times New Roman" w:cs="Times New Roman"/>
        </w:rPr>
        <w:t>10</w:t>
      </w:r>
      <w:r w:rsidR="0025497F">
        <w:rPr>
          <w:rFonts w:ascii="Times New Roman" w:hAnsi="Times New Roman" w:cs="Times New Roman"/>
          <w:lang w:val="en-US"/>
        </w:rPr>
        <w:t>AD</w:t>
      </w:r>
      <w:r w:rsidR="0025497F" w:rsidRPr="00314ACD">
        <w:rPr>
          <w:rFonts w:ascii="Times New Roman" w:hAnsi="Times New Roman" w:cs="Times New Roman"/>
        </w:rPr>
        <w:t xml:space="preserve"> </w:t>
      </w:r>
      <w:r w:rsidR="0025497F">
        <w:rPr>
          <w:rFonts w:ascii="Times New Roman" w:hAnsi="Times New Roman" w:cs="Times New Roman"/>
        </w:rPr>
        <w:t>Ρετινοειδή για τοπική χρήση στην ακμή</w:t>
      </w:r>
      <w:r w:rsidRPr="009C33D5">
        <w:rPr>
          <w:rFonts w:ascii="Times New Roman" w:hAnsi="Times New Roman" w:cs="Times New Roman"/>
        </w:rPr>
        <w:t>.</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Κωδικός ATC: D10AD53</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314ACD">
        <w:rPr>
          <w:rFonts w:ascii="Times New Roman" w:hAnsi="Times New Roman" w:cs="Times New Roman"/>
          <w:bCs/>
          <w:iCs/>
          <w:u w:val="single"/>
        </w:rPr>
        <w:t>Μηχανισμός δράσης και Φαρμακοδυναμικές επιδράσεις</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Το Epiduo συνδυάζει δύο δραστικές ουσίες, οι οποίες δρουν μέσω διαφορετικών, αλλά συμπληρωματικών, μηχανισμών δράσης.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9C33D5">
        <w:rPr>
          <w:rFonts w:ascii="Times New Roman" w:hAnsi="Times New Roman" w:cs="Times New Roman"/>
          <w:b/>
          <w:i/>
          <w:iCs/>
        </w:rPr>
        <w:noBreakHyphen/>
        <w:t> Ανταπαλένη</w:t>
      </w:r>
      <w:r w:rsidRPr="009C33D5">
        <w:rPr>
          <w:rFonts w:ascii="Times New Roman" w:hAnsi="Times New Roman" w:cs="Times New Roman"/>
          <w:b/>
        </w:rPr>
        <w:t>:</w:t>
      </w:r>
      <w:r w:rsidRPr="009C33D5">
        <w:rPr>
          <w:rFonts w:ascii="Times New Roman" w:hAnsi="Times New Roman" w:cs="Times New Roman"/>
        </w:rPr>
        <w:t xml:space="preserve"> Η ανταπαλένη είναι χημικώς σταθερό παράγωγο του ναφθοϊκού οξέος με δράση που ομοιάζει με αυτή των ρετινοειδών. Μελέτες του βιοχημικού και φαρμακολογικού προφίλ έχουν επιδείξει ότι η ανταπαλένη δρα στην παθολογία της κοινής ακμής (</w:t>
      </w:r>
      <w:r w:rsidRPr="009C33D5">
        <w:rPr>
          <w:rFonts w:ascii="Times New Roman" w:hAnsi="Times New Roman" w:cs="Times New Roman"/>
          <w:i/>
          <w:iCs/>
        </w:rPr>
        <w:t>A</w:t>
      </w:r>
      <w:r w:rsidRPr="009C33D5">
        <w:rPr>
          <w:rFonts w:ascii="Times New Roman" w:hAnsi="Times New Roman" w:cs="Times New Roman"/>
          <w:i/>
        </w:rPr>
        <w:t>cne vulgaris</w:t>
      </w:r>
      <w:r w:rsidRPr="009C33D5">
        <w:rPr>
          <w:rFonts w:ascii="Times New Roman" w:hAnsi="Times New Roman" w:cs="Times New Roman"/>
        </w:rPr>
        <w:t>):</w:t>
      </w:r>
      <w:r w:rsidRPr="009C33D5">
        <w:rPr>
          <w:rFonts w:ascii="Times New Roman" w:hAnsi="Times New Roman" w:cs="Times New Roman"/>
          <w:i/>
        </w:rPr>
        <w:t xml:space="preserve"> </w:t>
      </w:r>
      <w:r w:rsidRPr="009C33D5">
        <w:rPr>
          <w:rFonts w:ascii="Times New Roman" w:hAnsi="Times New Roman" w:cs="Times New Roman"/>
        </w:rPr>
        <w:t xml:space="preserve">είναι ισχυρός ρυθμιστής της κυτταρικής διαφοροποίησης και κερατινοποίησης και έχει αντιφλεγμονώδεις ιδιότητες. Μηχανιστικά, η ανταπαλένη δεσμεύεται σε ειδικούς πυρηνικούς υποδοχείς του ρετινοϊκού οξέος. Τα σύγχρονα ευρήματα υποδεικνύουν ότι τοπικά η ανταπαλένη ομαλοποιεί τη διαφοροποίηση των θυλακοειδών επιθηλιακών κυττάρων με αποτέλεσμα τη μείωση του σχηματισμού μικροφαγεσώρων. Η ανταπαλένη αναστέλλει τη χημειοτακτική (κατευθυντική) και χημειοκινητική (τυχαία) απόκριση των ανθρώπινων πολυμορφοπύρηνων λευκοκυττάρων σε </w:t>
      </w:r>
      <w:r w:rsidRPr="009C33D5">
        <w:rPr>
          <w:rFonts w:ascii="Times New Roman" w:hAnsi="Times New Roman" w:cs="Times New Roman"/>
          <w:i/>
        </w:rPr>
        <w:t>in vitro</w:t>
      </w:r>
      <w:r w:rsidRPr="009C33D5">
        <w:rPr>
          <w:rFonts w:ascii="Times New Roman" w:hAnsi="Times New Roman" w:cs="Times New Roman"/>
        </w:rPr>
        <w:t xml:space="preserve"> μοντέλα προσδιορισμού. Αναστέλλει, επίσης, τον μεταβολισμό του αραχιδονικού οξέος προς φλεγμονώδεις μεσολαβητές. </w:t>
      </w:r>
      <w:r w:rsidRPr="009C33D5">
        <w:rPr>
          <w:rFonts w:ascii="Times New Roman" w:hAnsi="Times New Roman" w:cs="Times New Roman"/>
          <w:i/>
        </w:rPr>
        <w:t>In vitro</w:t>
      </w:r>
      <w:r w:rsidRPr="009C33D5">
        <w:rPr>
          <w:rFonts w:ascii="Times New Roman" w:hAnsi="Times New Roman" w:cs="Times New Roman"/>
        </w:rPr>
        <w:t xml:space="preserve"> μελέτες έχουν δείξει </w:t>
      </w:r>
      <w:r w:rsidRPr="009C33D5">
        <w:rPr>
          <w:rFonts w:ascii="Times New Roman" w:hAnsi="Times New Roman" w:cs="Times New Roman"/>
        </w:rPr>
        <w:lastRenderedPageBreak/>
        <w:t>αναστολή των AP-1 παραγόντων και αναστολή της έκφρασης των TLR-2. Αυτό το προφίλ υποδεικνύει ότι το κυτταρικό φλεγμονώδες συστατικό της ακμής μειώνεται από την ανταπαλένη.</w:t>
      </w:r>
    </w:p>
    <w:p w:rsidR="009C33D5" w:rsidRPr="00314ACD" w:rsidRDefault="009C33D5" w:rsidP="009C33D5">
      <w:pPr>
        <w:spacing w:after="0" w:line="240" w:lineRule="auto"/>
        <w:rPr>
          <w:rFonts w:ascii="Times New Roman" w:hAnsi="Times New Roman" w:cs="Times New Roman"/>
          <w:i/>
        </w:rPr>
      </w:pPr>
    </w:p>
    <w:p w:rsidR="009C33D5" w:rsidRPr="009C33D5" w:rsidRDefault="009C33D5" w:rsidP="009C33D5">
      <w:pPr>
        <w:spacing w:after="0" w:line="240" w:lineRule="auto"/>
        <w:rPr>
          <w:rFonts w:ascii="Times New Roman" w:hAnsi="Times New Roman" w:cs="Times New Roman"/>
        </w:rPr>
      </w:pPr>
      <w:r w:rsidRPr="00CC431C">
        <w:rPr>
          <w:rFonts w:ascii="Times New Roman" w:hAnsi="Times New Roman" w:cs="Times New Roman"/>
          <w:b/>
          <w:i/>
          <w:iCs/>
        </w:rPr>
        <w:noBreakHyphen/>
        <w:t> </w:t>
      </w:r>
      <w:r w:rsidR="00CC431C" w:rsidRPr="00CC431C">
        <w:rPr>
          <w:rFonts w:ascii="Times New Roman" w:hAnsi="Times New Roman" w:cs="Times New Roman"/>
          <w:b/>
          <w:i/>
          <w:iCs/>
        </w:rPr>
        <w:t>Υ</w:t>
      </w:r>
      <w:r w:rsidRPr="00CC431C">
        <w:rPr>
          <w:rFonts w:ascii="Times New Roman" w:hAnsi="Times New Roman" w:cs="Times New Roman"/>
          <w:b/>
          <w:i/>
          <w:iCs/>
        </w:rPr>
        <w:t>περοξείδιο</w:t>
      </w:r>
      <w:r w:rsidR="00CC431C">
        <w:rPr>
          <w:rFonts w:ascii="Times New Roman" w:hAnsi="Times New Roman" w:cs="Times New Roman"/>
          <w:b/>
          <w:i/>
          <w:iCs/>
        </w:rPr>
        <w:t xml:space="preserve"> του β</w:t>
      </w:r>
      <w:r w:rsidR="00CC431C" w:rsidRPr="009C33D5">
        <w:rPr>
          <w:rFonts w:ascii="Times New Roman" w:hAnsi="Times New Roman" w:cs="Times New Roman"/>
          <w:b/>
          <w:i/>
          <w:iCs/>
        </w:rPr>
        <w:t>ενζοϋλίου</w:t>
      </w:r>
      <w:r w:rsidRPr="009C33D5">
        <w:rPr>
          <w:rFonts w:ascii="Times New Roman" w:hAnsi="Times New Roman" w:cs="Times New Roman"/>
        </w:rPr>
        <w:t xml:space="preserve">: </w:t>
      </w:r>
      <w:r w:rsidR="00DD7B44">
        <w:rPr>
          <w:rFonts w:ascii="Times New Roman" w:hAnsi="Times New Roman" w:cs="Times New Roman"/>
        </w:rPr>
        <w:t xml:space="preserve">Έχει </w:t>
      </w:r>
      <w:r w:rsidR="0025497F">
        <w:rPr>
          <w:rFonts w:ascii="Times New Roman" w:hAnsi="Times New Roman" w:cs="Times New Roman"/>
        </w:rPr>
        <w:t>δειχθεί ότι τ</w:t>
      </w:r>
      <w:r w:rsidRPr="009C33D5">
        <w:rPr>
          <w:rFonts w:ascii="Times New Roman" w:hAnsi="Times New Roman" w:cs="Times New Roman"/>
        </w:rPr>
        <w:t xml:space="preserve">ο υπεροξείδιο </w:t>
      </w:r>
      <w:r w:rsidR="00CC431C">
        <w:rPr>
          <w:rFonts w:ascii="Times New Roman" w:hAnsi="Times New Roman" w:cs="Times New Roman"/>
        </w:rPr>
        <w:t xml:space="preserve">του </w:t>
      </w:r>
      <w:r w:rsidR="00CC431C" w:rsidRPr="009C33D5">
        <w:rPr>
          <w:rFonts w:ascii="Times New Roman" w:hAnsi="Times New Roman" w:cs="Times New Roman"/>
        </w:rPr>
        <w:t xml:space="preserve">βενζοϋλίου </w:t>
      </w:r>
      <w:r w:rsidRPr="009C33D5">
        <w:rPr>
          <w:rFonts w:ascii="Times New Roman" w:hAnsi="Times New Roman" w:cs="Times New Roman"/>
        </w:rPr>
        <w:t xml:space="preserve">έχει αντιμικροβιακή δράση. Συγκεκριμένα έναντι του </w:t>
      </w:r>
      <w:r w:rsidRPr="009C33D5">
        <w:rPr>
          <w:rFonts w:ascii="Times New Roman" w:hAnsi="Times New Roman" w:cs="Times New Roman"/>
          <w:i/>
          <w:iCs/>
        </w:rPr>
        <w:t>P. acnes</w:t>
      </w:r>
      <w:r w:rsidRPr="009C33D5">
        <w:rPr>
          <w:rFonts w:ascii="Times New Roman" w:hAnsi="Times New Roman" w:cs="Times New Roman"/>
        </w:rPr>
        <w:t xml:space="preserve">, το οποίο βρίσκεται μη φυσιολογικά στους θυλάκους των τριχών και τους σμηματογόνους αδένες που έχουν προσβληθεί από ακμή. Επιπλέον, το υπεροξείδιο </w:t>
      </w:r>
      <w:r w:rsidR="00CC431C">
        <w:rPr>
          <w:rFonts w:ascii="Times New Roman" w:hAnsi="Times New Roman" w:cs="Times New Roman"/>
        </w:rPr>
        <w:t xml:space="preserve">του </w:t>
      </w:r>
      <w:r w:rsidR="00CC431C" w:rsidRPr="009C33D5">
        <w:rPr>
          <w:rFonts w:ascii="Times New Roman" w:hAnsi="Times New Roman" w:cs="Times New Roman"/>
        </w:rPr>
        <w:t xml:space="preserve">βενζοϋλίου </w:t>
      </w:r>
      <w:r w:rsidRPr="009C33D5">
        <w:rPr>
          <w:rFonts w:ascii="Times New Roman" w:hAnsi="Times New Roman" w:cs="Times New Roman"/>
        </w:rPr>
        <w:t xml:space="preserve">έχει επιδείξει απολεπιστικές και κερατινολυτικές δράσεις. Το υπεροξείδιο </w:t>
      </w:r>
      <w:r w:rsidR="00CC431C">
        <w:rPr>
          <w:rFonts w:ascii="Times New Roman" w:hAnsi="Times New Roman" w:cs="Times New Roman"/>
        </w:rPr>
        <w:t xml:space="preserve">του </w:t>
      </w:r>
      <w:r w:rsidR="00CC431C" w:rsidRPr="009C33D5">
        <w:rPr>
          <w:rFonts w:ascii="Times New Roman" w:hAnsi="Times New Roman" w:cs="Times New Roman"/>
        </w:rPr>
        <w:t xml:space="preserve">βενζοϋλίου </w:t>
      </w:r>
      <w:r w:rsidRPr="009C33D5">
        <w:rPr>
          <w:rFonts w:ascii="Times New Roman" w:hAnsi="Times New Roman" w:cs="Times New Roman"/>
        </w:rPr>
        <w:t xml:space="preserve">είναι επίσης σμηγματοστατικό, προλαμβάνοντας την </w:t>
      </w:r>
      <w:r w:rsidR="00CC431C">
        <w:rPr>
          <w:rFonts w:ascii="Times New Roman" w:hAnsi="Times New Roman" w:cs="Times New Roman"/>
        </w:rPr>
        <w:t>υπερβολική</w:t>
      </w:r>
      <w:r w:rsidR="00CC431C" w:rsidRPr="009C33D5">
        <w:rPr>
          <w:rFonts w:ascii="Times New Roman" w:hAnsi="Times New Roman" w:cs="Times New Roman"/>
        </w:rPr>
        <w:t xml:space="preserve"> </w:t>
      </w:r>
      <w:r w:rsidRPr="009C33D5">
        <w:rPr>
          <w:rFonts w:ascii="Times New Roman" w:hAnsi="Times New Roman" w:cs="Times New Roman"/>
        </w:rPr>
        <w:t>παραγωγή σμήγματος που συνδέεται με την ακμή.</w:t>
      </w:r>
    </w:p>
    <w:p w:rsidR="009C33D5" w:rsidRPr="009C33D5" w:rsidRDefault="009C33D5" w:rsidP="009C33D5">
      <w:pPr>
        <w:spacing w:after="0" w:line="240" w:lineRule="auto"/>
        <w:rPr>
          <w:rFonts w:ascii="Times New Roman" w:hAnsi="Times New Roman" w:cs="Times New Roman"/>
        </w:rPr>
      </w:pPr>
    </w:p>
    <w:p w:rsidR="009C33D5" w:rsidRPr="00314ACD" w:rsidRDefault="009C33D5" w:rsidP="009C33D5">
      <w:pPr>
        <w:spacing w:after="0" w:line="240" w:lineRule="auto"/>
        <w:rPr>
          <w:rFonts w:ascii="Times New Roman" w:hAnsi="Times New Roman" w:cs="Times New Roman"/>
          <w:u w:val="single"/>
        </w:rPr>
      </w:pPr>
      <w:r w:rsidRPr="00314ACD">
        <w:rPr>
          <w:rFonts w:ascii="Times New Roman" w:hAnsi="Times New Roman" w:cs="Times New Roman"/>
          <w:bCs/>
          <w:iCs/>
          <w:u w:val="single"/>
        </w:rPr>
        <w:t>Κλινική αποτελεσματικότητα του Epiduo σε ασθενείς ηλικίας 12 ετών και άνω</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Η ασφάλεια και η αποτελεσματικότητα του Epiduo που εφαρμόζεται μία φορά ημερησίως για τη θεραπεία της κοινής ακμής προσδιορίστηκαν σε δύο 12 εβδομάδων, πολυκεντρικές, ελεγχόμενες κλινικές μελέτες όμοιου σχεδιασμού, συγκρίνοντας το Epiduo με </w:t>
      </w:r>
      <w:r w:rsidR="00DD7B44">
        <w:rPr>
          <w:rFonts w:ascii="Times New Roman" w:hAnsi="Times New Roman" w:cs="Times New Roman"/>
        </w:rPr>
        <w:t>καθένα</w:t>
      </w:r>
      <w:r w:rsidRPr="009C33D5">
        <w:rPr>
          <w:rFonts w:ascii="Times New Roman" w:hAnsi="Times New Roman" w:cs="Times New Roman"/>
        </w:rPr>
        <w:t xml:space="preserve"> μεμονωμένα από τα δύο </w:t>
      </w:r>
      <w:r w:rsidR="00DD7B44">
        <w:rPr>
          <w:rFonts w:ascii="Times New Roman" w:hAnsi="Times New Roman" w:cs="Times New Roman"/>
        </w:rPr>
        <w:t xml:space="preserve">δραστικά </w:t>
      </w:r>
      <w:r w:rsidRPr="009C33D5">
        <w:rPr>
          <w:rFonts w:ascii="Times New Roman" w:hAnsi="Times New Roman" w:cs="Times New Roman"/>
        </w:rPr>
        <w:t>συστατικά του, την ανταπαλένη και το υπεροξείδιο</w:t>
      </w:r>
      <w:r w:rsidR="00CC431C" w:rsidRPr="00CC431C">
        <w:rPr>
          <w:rFonts w:ascii="Times New Roman" w:hAnsi="Times New Roman" w:cs="Times New Roman"/>
        </w:rPr>
        <w:t xml:space="preserve"> </w:t>
      </w:r>
      <w:r w:rsidR="00CC431C">
        <w:rPr>
          <w:rFonts w:ascii="Times New Roman" w:hAnsi="Times New Roman" w:cs="Times New Roman"/>
        </w:rPr>
        <w:t xml:space="preserve">του </w:t>
      </w:r>
      <w:r w:rsidR="00CC431C" w:rsidRPr="009C33D5">
        <w:rPr>
          <w:rFonts w:ascii="Times New Roman" w:hAnsi="Times New Roman" w:cs="Times New Roman"/>
        </w:rPr>
        <w:t>βενζοϋλίου</w:t>
      </w:r>
      <w:r w:rsidRPr="009C33D5">
        <w:rPr>
          <w:rFonts w:ascii="Times New Roman" w:hAnsi="Times New Roman" w:cs="Times New Roman"/>
        </w:rPr>
        <w:t xml:space="preserve">, και με τη γέλη όχημα σε ασθενείς με ακμή. Ένα σύνολο </w:t>
      </w:r>
      <w:r w:rsidRPr="009C33D5">
        <w:rPr>
          <w:rFonts w:ascii="Times New Roman" w:hAnsi="Times New Roman" w:cs="Times New Roman"/>
          <w:bCs/>
        </w:rPr>
        <w:t xml:space="preserve">2.185 ασθενών εντάχθηκαν στη Μελέτη 1 και στη Μελέτη 2. Η κατανομή των ασθενών στις δύο μελέτες ήταν περίπου </w:t>
      </w:r>
      <w:r w:rsidRPr="009C33D5">
        <w:rPr>
          <w:rFonts w:ascii="Times New Roman" w:hAnsi="Times New Roman" w:cs="Times New Roman"/>
        </w:rPr>
        <w:t>49% άντρες και 51% γυναίκες, ηλικίας 12 ετών ή μεγαλύτεροι (μέση ηλικία: 18,3 ετών, εύρος 12 – 50), που εμφάνιζαν 20 με 50 φλεγμονώδεις βλάβες και 30 με 100 μη</w:t>
      </w:r>
      <w:r w:rsidR="00CC431C">
        <w:rPr>
          <w:rFonts w:ascii="Times New Roman" w:hAnsi="Times New Roman" w:cs="Times New Roman"/>
        </w:rPr>
        <w:t xml:space="preserve"> </w:t>
      </w:r>
      <w:r w:rsidRPr="009C33D5">
        <w:rPr>
          <w:rFonts w:ascii="Times New Roman" w:hAnsi="Times New Roman" w:cs="Times New Roman"/>
        </w:rPr>
        <w:t>φλεγμονώδεις βλάβες στην αρχική κατάσταση. Οι ασθενείς εφάρμοζαν τη θεραπεία στο πρόσωπο και σε άλλες περιοχές με ακμή σύμφωνα με τις ανάγκες, μία φορά ημερησίως το βράδυ.</w:t>
      </w:r>
    </w:p>
    <w:p w:rsidR="009C33D5" w:rsidRPr="009C33D5" w:rsidRDefault="009C33D5" w:rsidP="009C33D5">
      <w:pPr>
        <w:spacing w:after="0" w:line="240" w:lineRule="auto"/>
        <w:rPr>
          <w:rFonts w:ascii="Times New Roman" w:hAnsi="Times New Roman" w:cs="Times New Roman"/>
          <w:bCs/>
        </w:rPr>
      </w:pPr>
    </w:p>
    <w:p w:rsidR="009C33D5" w:rsidRPr="009C33D5" w:rsidRDefault="009C33D5" w:rsidP="009C33D5">
      <w:pPr>
        <w:spacing w:after="0" w:line="240" w:lineRule="auto"/>
        <w:rPr>
          <w:rFonts w:ascii="Times New Roman" w:hAnsi="Times New Roman" w:cs="Times New Roman"/>
          <w:bCs/>
        </w:rPr>
      </w:pPr>
      <w:r w:rsidRPr="009C33D5">
        <w:rPr>
          <w:rFonts w:ascii="Times New Roman" w:hAnsi="Times New Roman" w:cs="Times New Roman"/>
          <w:bCs/>
        </w:rPr>
        <w:t>Τα κριτήρια αποτελεσματικότητας ήταν:</w:t>
      </w:r>
    </w:p>
    <w:p w:rsidR="009C33D5" w:rsidRPr="009C33D5" w:rsidRDefault="009C33D5" w:rsidP="009C33D5">
      <w:pPr>
        <w:pStyle w:val="a3"/>
        <w:numPr>
          <w:ilvl w:val="0"/>
          <w:numId w:val="2"/>
        </w:numPr>
        <w:spacing w:after="0" w:line="240" w:lineRule="auto"/>
        <w:ind w:left="567" w:hanging="567"/>
        <w:rPr>
          <w:rFonts w:ascii="Times New Roman" w:hAnsi="Times New Roman" w:cs="Times New Roman"/>
          <w:bCs/>
        </w:rPr>
      </w:pPr>
      <w:r w:rsidRPr="009C33D5">
        <w:rPr>
          <w:rFonts w:ascii="Times New Roman" w:hAnsi="Times New Roman" w:cs="Times New Roman"/>
          <w:bCs/>
        </w:rPr>
        <w:t>Ποσοστό επιτυχίας, επί τοις εκατό των ασθενών που θεωρήθηκαν ‘Καθαροί’ και ‘Σχεδόν Καθαροί’ την Εβδομάδα 12 με βάση τη Συνολική Εκτίμηση του Μελετητή (Investigator’s Global Assessment (IGA)).</w:t>
      </w:r>
    </w:p>
    <w:p w:rsidR="009C33D5" w:rsidRPr="009C33D5" w:rsidRDefault="009C33D5" w:rsidP="009C33D5">
      <w:pPr>
        <w:pStyle w:val="a3"/>
        <w:numPr>
          <w:ilvl w:val="0"/>
          <w:numId w:val="2"/>
        </w:numPr>
        <w:spacing w:after="0" w:line="240" w:lineRule="auto"/>
        <w:ind w:left="567" w:hanging="567"/>
        <w:rPr>
          <w:rFonts w:ascii="Times New Roman" w:hAnsi="Times New Roman" w:cs="Times New Roman"/>
          <w:bCs/>
        </w:rPr>
      </w:pPr>
      <w:r w:rsidRPr="009C33D5">
        <w:rPr>
          <w:rFonts w:ascii="Times New Roman" w:hAnsi="Times New Roman" w:cs="Times New Roman"/>
          <w:bCs/>
        </w:rPr>
        <w:t>Μεταβολή και ποσοστό μεταβολής από την αρχική κατάσταση την Εβδομάδα 12 σε</w:t>
      </w:r>
    </w:p>
    <w:p w:rsidR="009C33D5" w:rsidRPr="009C33D5" w:rsidRDefault="009C33D5" w:rsidP="009C33D5">
      <w:pPr>
        <w:pStyle w:val="a3"/>
        <w:numPr>
          <w:ilvl w:val="0"/>
          <w:numId w:val="1"/>
        </w:numPr>
        <w:spacing w:after="0" w:line="240" w:lineRule="auto"/>
        <w:ind w:left="1134" w:hanging="567"/>
        <w:rPr>
          <w:rFonts w:ascii="Times New Roman" w:hAnsi="Times New Roman" w:cs="Times New Roman"/>
          <w:bCs/>
        </w:rPr>
      </w:pPr>
      <w:r w:rsidRPr="009C33D5">
        <w:rPr>
          <w:rFonts w:ascii="Times New Roman" w:hAnsi="Times New Roman" w:cs="Times New Roman"/>
        </w:rPr>
        <w:t>Αριθμό φλεγμονωδών βλαβών</w:t>
      </w:r>
    </w:p>
    <w:p w:rsidR="009C33D5" w:rsidRPr="009C33D5" w:rsidRDefault="009C33D5" w:rsidP="009C33D5">
      <w:pPr>
        <w:pStyle w:val="a3"/>
        <w:numPr>
          <w:ilvl w:val="0"/>
          <w:numId w:val="1"/>
        </w:numPr>
        <w:spacing w:after="0" w:line="240" w:lineRule="auto"/>
        <w:ind w:left="1134" w:hanging="567"/>
        <w:rPr>
          <w:rFonts w:ascii="Times New Roman" w:hAnsi="Times New Roman" w:cs="Times New Roman"/>
          <w:bCs/>
        </w:rPr>
      </w:pPr>
      <w:r w:rsidRPr="009C33D5">
        <w:rPr>
          <w:rFonts w:ascii="Times New Roman" w:hAnsi="Times New Roman" w:cs="Times New Roman"/>
        </w:rPr>
        <w:t>Αριθμό μη</w:t>
      </w:r>
      <w:r w:rsidR="00CC431C">
        <w:rPr>
          <w:rFonts w:ascii="Times New Roman" w:hAnsi="Times New Roman" w:cs="Times New Roman"/>
        </w:rPr>
        <w:t xml:space="preserve"> </w:t>
      </w:r>
      <w:r w:rsidRPr="009C33D5">
        <w:rPr>
          <w:rFonts w:ascii="Times New Roman" w:hAnsi="Times New Roman" w:cs="Times New Roman"/>
        </w:rPr>
        <w:t>φλεγμονωδών βλαβών</w:t>
      </w:r>
    </w:p>
    <w:p w:rsidR="009C33D5" w:rsidRPr="009C33D5" w:rsidRDefault="009C33D5" w:rsidP="009C33D5">
      <w:pPr>
        <w:pStyle w:val="a3"/>
        <w:numPr>
          <w:ilvl w:val="0"/>
          <w:numId w:val="1"/>
        </w:numPr>
        <w:spacing w:after="0" w:line="240" w:lineRule="auto"/>
        <w:ind w:left="1134" w:hanging="567"/>
        <w:rPr>
          <w:rFonts w:ascii="Times New Roman" w:hAnsi="Times New Roman" w:cs="Times New Roman"/>
          <w:bCs/>
        </w:rPr>
      </w:pPr>
      <w:r w:rsidRPr="009C33D5">
        <w:rPr>
          <w:rFonts w:ascii="Times New Roman" w:hAnsi="Times New Roman" w:cs="Times New Roman"/>
        </w:rPr>
        <w:t>Συνολικό αριθμό βλαβών</w:t>
      </w:r>
      <w:r w:rsidR="00DD7B44">
        <w:rPr>
          <w:rFonts w:ascii="Times New Roman" w:hAnsi="Times New Roman" w:cs="Times New Roman"/>
        </w:rPr>
        <w:t>.</w:t>
      </w:r>
    </w:p>
    <w:p w:rsidR="009C33D5" w:rsidRPr="009C33D5" w:rsidRDefault="009C33D5" w:rsidP="009C33D5">
      <w:pPr>
        <w:spacing w:after="0" w:line="240" w:lineRule="auto"/>
        <w:rPr>
          <w:rFonts w:ascii="Times New Roman" w:hAnsi="Times New Roman" w:cs="Times New Roman"/>
          <w:bCs/>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bCs/>
        </w:rPr>
        <w:t xml:space="preserve">Τα αποτελέσματα της κάθε μελέτης για την αποτελεσματικότητα παρουσιάζονται στον Πίνακα 1 και τα συνδυασμένα ευρήματα στον Πίνακα 2. Το </w:t>
      </w:r>
      <w:r w:rsidRPr="009C33D5">
        <w:rPr>
          <w:rFonts w:ascii="Times New Roman" w:hAnsi="Times New Roman" w:cs="Times New Roman"/>
        </w:rPr>
        <w:t>Epiduo αποδείχθηκε ότι είναι πιο αποτελεσματικό σε σύγκριση με τις μονάδες του και τη γέλη όχημα και στις δύο μελέτες. Συνολικά, η καθαρή ευεργετική δράση (δραστικές μεί</w:t>
      </w:r>
      <w:r w:rsidR="00462F7B">
        <w:rPr>
          <w:rFonts w:ascii="Times New Roman" w:hAnsi="Times New Roman" w:cs="Times New Roman"/>
        </w:rPr>
        <w:t>ο</w:t>
      </w:r>
      <w:r w:rsidRPr="009C33D5">
        <w:rPr>
          <w:rFonts w:ascii="Times New Roman" w:hAnsi="Times New Roman" w:cs="Times New Roman"/>
        </w:rPr>
        <w:t>ν όχημα) που επιτεύχθηκε από το Epiduo ήταν μεγαλύτερη από το άθροισμα της καθαρής ευεργετικής δράσης που επιτεύχθηκε από τα συστατικά ξεχωριστά, υποδεικνύοντας έτσι την ενίσχυση της θεραπευτικής δράσης αυτών των ουσιών όταν χρησιμοποιούνται σ</w:t>
      </w:r>
      <w:r w:rsidR="006C1434">
        <w:rPr>
          <w:rFonts w:ascii="Times New Roman" w:hAnsi="Times New Roman" w:cs="Times New Roman"/>
        </w:rPr>
        <w:t>’</w:t>
      </w:r>
      <w:r w:rsidR="00462F7B">
        <w:rPr>
          <w:rFonts w:ascii="Times New Roman" w:hAnsi="Times New Roman" w:cs="Times New Roman"/>
        </w:rPr>
        <w:t xml:space="preserve"> </w:t>
      </w:r>
      <w:r w:rsidRPr="009C33D5">
        <w:rPr>
          <w:rFonts w:ascii="Times New Roman" w:hAnsi="Times New Roman" w:cs="Times New Roman"/>
        </w:rPr>
        <w:t>έναν συνδυασμό σταθερής δόσης. Μία πρώιμη επίδραση της θεραπείας με Epiduo παρατηρήθηκε σταθερά στη Μελέτη 1 και στη Μελέτη 2 για τις Φλεγμονώδεις Βλάβες την Εβδομάδα 1 της θεραπείας. Οι μη φλεγμονώδεις βλάβες (ανοιχτοί και κλειστοί φαγέσωρες) αποκρίνονταν εμφανώς μεταξύ της πρώτης και της τέταρτης εβδομάδας θεραπείας. Τα οφέλη στα οζίδια της ακμής δεν έχουν τεκμηριωθεί.</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i/>
        </w:rPr>
      </w:pPr>
      <w:r w:rsidRPr="009C33D5">
        <w:rPr>
          <w:rFonts w:ascii="Times New Roman" w:hAnsi="Times New Roman" w:cs="Times New Roman"/>
          <w:b/>
          <w:i/>
        </w:rPr>
        <w:t>Πίνακας </w:t>
      </w:r>
      <w:r w:rsidRPr="009C33D5">
        <w:rPr>
          <w:rFonts w:ascii="Times New Roman" w:hAnsi="Times New Roman" w:cs="Times New Roman"/>
          <w:b/>
          <w:i/>
        </w:rPr>
        <w:fldChar w:fldCharType="begin"/>
      </w:r>
      <w:r w:rsidRPr="009C33D5">
        <w:rPr>
          <w:rFonts w:ascii="Times New Roman" w:hAnsi="Times New Roman" w:cs="Times New Roman"/>
          <w:b/>
          <w:i/>
        </w:rPr>
        <w:instrText xml:space="preserve"> SEQ Table \* ARABIC </w:instrText>
      </w:r>
      <w:r w:rsidRPr="009C33D5">
        <w:rPr>
          <w:rFonts w:ascii="Times New Roman" w:hAnsi="Times New Roman" w:cs="Times New Roman"/>
          <w:b/>
          <w:i/>
        </w:rPr>
        <w:fldChar w:fldCharType="separate"/>
      </w:r>
      <w:r w:rsidRPr="009C33D5">
        <w:rPr>
          <w:rFonts w:ascii="Times New Roman" w:hAnsi="Times New Roman" w:cs="Times New Roman"/>
          <w:b/>
          <w:i/>
        </w:rPr>
        <w:t>1</w:t>
      </w:r>
      <w:r w:rsidRPr="009C33D5">
        <w:rPr>
          <w:rFonts w:ascii="Times New Roman" w:hAnsi="Times New Roman" w:cs="Times New Roman"/>
          <w:b/>
          <w:i/>
        </w:rPr>
        <w:fldChar w:fldCharType="end"/>
      </w:r>
      <w:r w:rsidRPr="009C33D5">
        <w:rPr>
          <w:rFonts w:ascii="Times New Roman" w:hAnsi="Times New Roman" w:cs="Times New Roman"/>
          <w:b/>
          <w:i/>
        </w:rPr>
        <w:tab/>
        <w:t>Κλινική αποτελεσματικότητα σε δύο συγκριτικές δοκιμές</w:t>
      </w:r>
    </w:p>
    <w:tbl>
      <w:tblPr>
        <w:tblW w:w="95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3609"/>
        <w:gridCol w:w="1860"/>
        <w:gridCol w:w="1295"/>
        <w:gridCol w:w="1295"/>
        <w:gridCol w:w="1512"/>
      </w:tblGrid>
      <w:tr w:rsidR="009C33D5" w:rsidRPr="009C33D5" w:rsidTr="004132F5">
        <w:trPr>
          <w:trHeight w:val="37"/>
          <w:jc w:val="center"/>
        </w:trPr>
        <w:tc>
          <w:tcPr>
            <w:tcW w:w="9571" w:type="dxa"/>
            <w:gridSpan w:val="5"/>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lastRenderedPageBreak/>
              <w:t>Μελέτη 1</w:t>
            </w:r>
          </w:p>
        </w:tc>
      </w:tr>
      <w:tr w:rsidR="009C33D5" w:rsidRPr="009C33D5" w:rsidTr="004132F5">
        <w:trPr>
          <w:jc w:val="center"/>
        </w:trPr>
        <w:tc>
          <w:tcPr>
            <w:tcW w:w="3609" w:type="dxa"/>
            <w:vAlign w:val="center"/>
          </w:tcPr>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Μελέτη 1</w:t>
            </w:r>
          </w:p>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Εβδομάδα 12 LOCF; ITT</w:t>
            </w:r>
          </w:p>
        </w:tc>
        <w:tc>
          <w:tcPr>
            <w:tcW w:w="1860" w:type="dxa"/>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Ανταπαλένη+BPO</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N=149</w:t>
            </w:r>
          </w:p>
        </w:tc>
        <w:tc>
          <w:tcPr>
            <w:tcW w:w="1295" w:type="dxa"/>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Ανταπαλένη</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N=148</w:t>
            </w:r>
          </w:p>
        </w:tc>
        <w:tc>
          <w:tcPr>
            <w:tcW w:w="1295" w:type="dxa"/>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BPO</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N=149</w:t>
            </w:r>
          </w:p>
        </w:tc>
        <w:tc>
          <w:tcPr>
            <w:tcW w:w="1512" w:type="dxa"/>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Όχημα</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N=71</w:t>
            </w:r>
          </w:p>
        </w:tc>
      </w:tr>
      <w:tr w:rsidR="009C33D5" w:rsidRPr="009C33D5" w:rsidTr="004132F5">
        <w:trPr>
          <w:trHeight w:val="380"/>
          <w:jc w:val="center"/>
        </w:trPr>
        <w:tc>
          <w:tcPr>
            <w:tcW w:w="3609" w:type="dxa"/>
            <w:tcBorders>
              <w:bottom w:val="single" w:sz="6" w:space="0" w:color="auto"/>
            </w:tcBorders>
            <w:vAlign w:val="center"/>
          </w:tcPr>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Επιτυχία (Καθαροί, Σχεδόν Καθαροί)</w:t>
            </w:r>
          </w:p>
        </w:tc>
        <w:tc>
          <w:tcPr>
            <w:tcW w:w="1860"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41 (27,5%)</w:t>
            </w:r>
          </w:p>
          <w:p w:rsidR="009C33D5" w:rsidRPr="009C33D5" w:rsidRDefault="009C33D5" w:rsidP="004132F5">
            <w:pPr>
              <w:pStyle w:val="TableText"/>
              <w:keepNext/>
              <w:jc w:val="center"/>
              <w:rPr>
                <w:rFonts w:ascii="Times New Roman" w:eastAsia="MS Mincho" w:hAnsi="Times New Roman"/>
                <w:sz w:val="22"/>
                <w:szCs w:val="22"/>
                <w:lang w:val="el-GR" w:eastAsia="ja-JP"/>
              </w:rPr>
            </w:pPr>
          </w:p>
        </w:tc>
        <w:tc>
          <w:tcPr>
            <w:tcW w:w="1295"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23 (15,5%)</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p=0,008</w:t>
            </w:r>
          </w:p>
        </w:tc>
        <w:tc>
          <w:tcPr>
            <w:tcW w:w="1295"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23 (15,4%)</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p=0,003</w:t>
            </w:r>
          </w:p>
        </w:tc>
        <w:tc>
          <w:tcPr>
            <w:tcW w:w="1512"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7 (9,9%)</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p=0,002</w:t>
            </w:r>
          </w:p>
        </w:tc>
      </w:tr>
      <w:tr w:rsidR="009C33D5" w:rsidRPr="009C33D5" w:rsidTr="004132F5">
        <w:trPr>
          <w:trHeight w:val="37"/>
          <w:jc w:val="center"/>
        </w:trPr>
        <w:tc>
          <w:tcPr>
            <w:tcW w:w="3609" w:type="dxa"/>
            <w:tcBorders>
              <w:top w:val="single" w:sz="6" w:space="0" w:color="auto"/>
              <w:bottom w:val="single" w:sz="6" w:space="0" w:color="auto"/>
              <w:right w:val="nil"/>
            </w:tcBorders>
            <w:vAlign w:val="center"/>
          </w:tcPr>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Διάμεση Μείωση (% Μείωση) σε</w:t>
            </w:r>
          </w:p>
        </w:tc>
        <w:tc>
          <w:tcPr>
            <w:tcW w:w="1860" w:type="dxa"/>
            <w:tcBorders>
              <w:top w:val="single" w:sz="6" w:space="0" w:color="auto"/>
              <w:left w:val="nil"/>
              <w:bottom w:val="single" w:sz="6" w:space="0" w:color="auto"/>
              <w:right w:val="nil"/>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p>
        </w:tc>
        <w:tc>
          <w:tcPr>
            <w:tcW w:w="1295" w:type="dxa"/>
            <w:tcBorders>
              <w:top w:val="single" w:sz="6" w:space="0" w:color="auto"/>
              <w:left w:val="nil"/>
              <w:bottom w:val="single" w:sz="6" w:space="0" w:color="auto"/>
              <w:right w:val="nil"/>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p>
        </w:tc>
        <w:tc>
          <w:tcPr>
            <w:tcW w:w="1295" w:type="dxa"/>
            <w:tcBorders>
              <w:top w:val="single" w:sz="6" w:space="0" w:color="auto"/>
              <w:left w:val="nil"/>
              <w:bottom w:val="single" w:sz="6" w:space="0" w:color="auto"/>
              <w:right w:val="nil"/>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p>
        </w:tc>
        <w:tc>
          <w:tcPr>
            <w:tcW w:w="1512" w:type="dxa"/>
            <w:tcBorders>
              <w:top w:val="single" w:sz="6" w:space="0" w:color="auto"/>
              <w:left w:val="nil"/>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p>
        </w:tc>
      </w:tr>
      <w:tr w:rsidR="009C33D5" w:rsidRPr="009C33D5" w:rsidTr="004132F5">
        <w:trPr>
          <w:trHeight w:val="290"/>
          <w:jc w:val="center"/>
        </w:trPr>
        <w:tc>
          <w:tcPr>
            <w:tcW w:w="3609" w:type="dxa"/>
            <w:tcBorders>
              <w:top w:val="single" w:sz="6" w:space="0" w:color="auto"/>
            </w:tcBorders>
            <w:vAlign w:val="center"/>
          </w:tcPr>
          <w:p w:rsidR="009C33D5" w:rsidRPr="009C33D5" w:rsidRDefault="009C33D5" w:rsidP="004132F5">
            <w:pPr>
              <w:pStyle w:val="TableText"/>
              <w:keepNext/>
              <w:rPr>
                <w:rFonts w:ascii="Times New Roman" w:hAnsi="Times New Roman"/>
                <w:sz w:val="22"/>
                <w:szCs w:val="22"/>
                <w:lang w:val="el-GR"/>
              </w:rPr>
            </w:pPr>
            <w:r w:rsidRPr="009C33D5">
              <w:rPr>
                <w:rFonts w:ascii="Times New Roman" w:hAnsi="Times New Roman"/>
                <w:sz w:val="22"/>
                <w:szCs w:val="22"/>
                <w:lang w:val="el-GR"/>
              </w:rPr>
              <w:t>Αριθμός Φλεγμονωδών Βλαβών</w:t>
            </w:r>
          </w:p>
        </w:tc>
        <w:tc>
          <w:tcPr>
            <w:tcW w:w="1860"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17 (62,8%)</w:t>
            </w:r>
          </w:p>
        </w:tc>
        <w:tc>
          <w:tcPr>
            <w:tcW w:w="1295"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13 (45,7%)</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295"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13 (43,6%)</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512"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11 (37,8%)</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r>
      <w:tr w:rsidR="009C33D5" w:rsidRPr="009C33D5" w:rsidTr="004132F5">
        <w:trPr>
          <w:trHeight w:val="344"/>
          <w:jc w:val="center"/>
        </w:trPr>
        <w:tc>
          <w:tcPr>
            <w:tcW w:w="3609" w:type="dxa"/>
            <w:vAlign w:val="center"/>
          </w:tcPr>
          <w:p w:rsidR="009C33D5" w:rsidRPr="009C33D5" w:rsidRDefault="009C33D5" w:rsidP="004132F5">
            <w:pPr>
              <w:pStyle w:val="TableText"/>
              <w:keepNext/>
              <w:rPr>
                <w:rFonts w:ascii="Times New Roman" w:hAnsi="Times New Roman"/>
                <w:sz w:val="22"/>
                <w:szCs w:val="22"/>
                <w:lang w:val="el-GR"/>
              </w:rPr>
            </w:pPr>
            <w:r w:rsidRPr="009C33D5">
              <w:rPr>
                <w:rFonts w:ascii="Times New Roman" w:hAnsi="Times New Roman"/>
                <w:sz w:val="22"/>
                <w:szCs w:val="22"/>
                <w:lang w:val="el-GR"/>
              </w:rPr>
              <w:t>Αριθμός Μη</w:t>
            </w:r>
            <w:r w:rsidR="00462F7B">
              <w:rPr>
                <w:rFonts w:ascii="Times New Roman" w:hAnsi="Times New Roman"/>
                <w:sz w:val="22"/>
                <w:szCs w:val="22"/>
                <w:lang w:val="el-GR"/>
              </w:rPr>
              <w:t xml:space="preserve"> </w:t>
            </w:r>
            <w:r w:rsidRPr="009C33D5">
              <w:rPr>
                <w:rFonts w:ascii="Times New Roman" w:hAnsi="Times New Roman"/>
                <w:sz w:val="22"/>
                <w:szCs w:val="22"/>
                <w:lang w:val="el-GR"/>
              </w:rPr>
              <w:t>Φλεγμονωδών Βλαβών</w:t>
            </w:r>
          </w:p>
        </w:tc>
        <w:tc>
          <w:tcPr>
            <w:tcW w:w="1860"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22 (51,2%)</w:t>
            </w:r>
          </w:p>
        </w:tc>
        <w:tc>
          <w:tcPr>
            <w:tcW w:w="1295"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17 (33,3%)</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295"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16 (36,4%)</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512"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14 (37,5%)</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r>
      <w:tr w:rsidR="009C33D5" w:rsidRPr="009C33D5" w:rsidTr="004132F5">
        <w:trPr>
          <w:trHeight w:val="344"/>
          <w:jc w:val="center"/>
        </w:trPr>
        <w:tc>
          <w:tcPr>
            <w:tcW w:w="3609" w:type="dxa"/>
            <w:tcBorders>
              <w:bottom w:val="double" w:sz="4" w:space="0" w:color="auto"/>
            </w:tcBorders>
            <w:vAlign w:val="center"/>
          </w:tcPr>
          <w:p w:rsidR="009C33D5" w:rsidRPr="009C33D5" w:rsidRDefault="009C33D5" w:rsidP="004132F5">
            <w:pPr>
              <w:pStyle w:val="TableText"/>
              <w:keepNext/>
              <w:rPr>
                <w:rFonts w:ascii="Times New Roman" w:hAnsi="Times New Roman"/>
                <w:sz w:val="22"/>
                <w:szCs w:val="22"/>
                <w:lang w:val="el-GR"/>
              </w:rPr>
            </w:pPr>
            <w:r w:rsidRPr="009C33D5">
              <w:rPr>
                <w:rFonts w:ascii="Times New Roman" w:hAnsi="Times New Roman"/>
                <w:sz w:val="22"/>
                <w:szCs w:val="22"/>
                <w:lang w:val="el-GR"/>
              </w:rPr>
              <w:t>Συνολικός Αριθμός Βλαβών</w:t>
            </w:r>
          </w:p>
        </w:tc>
        <w:tc>
          <w:tcPr>
            <w:tcW w:w="1860" w:type="dxa"/>
            <w:tcBorders>
              <w:bottom w:val="double" w:sz="4"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40 (51,0%)</w:t>
            </w:r>
          </w:p>
        </w:tc>
        <w:tc>
          <w:tcPr>
            <w:tcW w:w="1295" w:type="dxa"/>
            <w:tcBorders>
              <w:bottom w:val="double" w:sz="4"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29 (35,4%)</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295" w:type="dxa"/>
            <w:tcBorders>
              <w:bottom w:val="double" w:sz="4"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27 (35,6%)</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512" w:type="dxa"/>
            <w:tcBorders>
              <w:bottom w:val="double" w:sz="4"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26 (31,0%)</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r>
      <w:tr w:rsidR="009C33D5" w:rsidRPr="009C33D5" w:rsidTr="004132F5">
        <w:trPr>
          <w:jc w:val="center"/>
        </w:trPr>
        <w:tc>
          <w:tcPr>
            <w:tcW w:w="9571" w:type="dxa"/>
            <w:gridSpan w:val="5"/>
            <w:tcBorders>
              <w:top w:val="double" w:sz="4" w:space="0" w:color="auto"/>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Μελέτη 2</w:t>
            </w:r>
          </w:p>
        </w:tc>
      </w:tr>
      <w:tr w:rsidR="009C33D5" w:rsidRPr="009C33D5" w:rsidTr="004132F5">
        <w:trPr>
          <w:trHeight w:val="344"/>
          <w:jc w:val="center"/>
        </w:trPr>
        <w:tc>
          <w:tcPr>
            <w:tcW w:w="3609" w:type="dxa"/>
            <w:tcBorders>
              <w:top w:val="single" w:sz="6" w:space="0" w:color="auto"/>
            </w:tcBorders>
            <w:vAlign w:val="center"/>
          </w:tcPr>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Μελέτη 2</w:t>
            </w:r>
          </w:p>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Εβδομάδα 12 LOCF; ITT</w:t>
            </w:r>
          </w:p>
        </w:tc>
        <w:tc>
          <w:tcPr>
            <w:tcW w:w="1860"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Ανταπαλένη+BPO</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N=415</w:t>
            </w:r>
          </w:p>
        </w:tc>
        <w:tc>
          <w:tcPr>
            <w:tcW w:w="1295"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Ανταπαλένη</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N=420</w:t>
            </w:r>
          </w:p>
        </w:tc>
        <w:tc>
          <w:tcPr>
            <w:tcW w:w="1295"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BPO</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N=415</w:t>
            </w:r>
          </w:p>
        </w:tc>
        <w:tc>
          <w:tcPr>
            <w:tcW w:w="1512"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Όχημα</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N=418</w:t>
            </w:r>
          </w:p>
        </w:tc>
      </w:tr>
      <w:tr w:rsidR="009C33D5" w:rsidRPr="009C33D5" w:rsidTr="004132F5">
        <w:trPr>
          <w:trHeight w:val="344"/>
          <w:jc w:val="center"/>
        </w:trPr>
        <w:tc>
          <w:tcPr>
            <w:tcW w:w="3609" w:type="dxa"/>
            <w:tcBorders>
              <w:bottom w:val="single" w:sz="6" w:space="0" w:color="auto"/>
            </w:tcBorders>
            <w:vAlign w:val="center"/>
          </w:tcPr>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Επιτυχία (Καθαροί, Σχεδόν Καθαροί)</w:t>
            </w:r>
          </w:p>
        </w:tc>
        <w:tc>
          <w:tcPr>
            <w:tcW w:w="1860"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125 (30,1%)</w:t>
            </w:r>
          </w:p>
        </w:tc>
        <w:tc>
          <w:tcPr>
            <w:tcW w:w="1295"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83 (19,8%)</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295"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92 (22,2%)</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p=0,006</w:t>
            </w:r>
          </w:p>
        </w:tc>
        <w:tc>
          <w:tcPr>
            <w:tcW w:w="1512" w:type="dxa"/>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47 (11,3%)</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r>
      <w:tr w:rsidR="009C33D5" w:rsidRPr="009C33D5" w:rsidTr="004132F5">
        <w:trPr>
          <w:trHeight w:val="37"/>
          <w:jc w:val="center"/>
        </w:trPr>
        <w:tc>
          <w:tcPr>
            <w:tcW w:w="3609" w:type="dxa"/>
            <w:tcBorders>
              <w:top w:val="single" w:sz="6" w:space="0" w:color="auto"/>
              <w:bottom w:val="single" w:sz="6" w:space="0" w:color="auto"/>
              <w:right w:val="nil"/>
            </w:tcBorders>
            <w:vAlign w:val="center"/>
          </w:tcPr>
          <w:p w:rsidR="009C33D5" w:rsidRPr="009C33D5" w:rsidRDefault="009C33D5" w:rsidP="004132F5">
            <w:pPr>
              <w:pStyle w:val="TableText"/>
              <w:keepNext/>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Διάμεση Μείωση (% Μείωση) σε</w:t>
            </w:r>
          </w:p>
        </w:tc>
        <w:tc>
          <w:tcPr>
            <w:tcW w:w="5962" w:type="dxa"/>
            <w:gridSpan w:val="4"/>
            <w:tcBorders>
              <w:top w:val="single" w:sz="6" w:space="0" w:color="auto"/>
              <w:left w:val="nil"/>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p>
        </w:tc>
      </w:tr>
      <w:tr w:rsidR="009C33D5" w:rsidRPr="009C33D5" w:rsidTr="004132F5">
        <w:trPr>
          <w:trHeight w:val="37"/>
          <w:jc w:val="center"/>
        </w:trPr>
        <w:tc>
          <w:tcPr>
            <w:tcW w:w="3609" w:type="dxa"/>
            <w:tcBorders>
              <w:top w:val="single" w:sz="6" w:space="0" w:color="auto"/>
            </w:tcBorders>
            <w:vAlign w:val="center"/>
          </w:tcPr>
          <w:p w:rsidR="009C33D5" w:rsidRPr="009C33D5" w:rsidRDefault="009C33D5" w:rsidP="004132F5">
            <w:pPr>
              <w:pStyle w:val="TableText"/>
              <w:keepNext/>
              <w:rPr>
                <w:rFonts w:ascii="Times New Roman" w:eastAsia="MS Mincho" w:hAnsi="Times New Roman"/>
                <w:sz w:val="22"/>
                <w:szCs w:val="22"/>
                <w:lang w:val="el-GR" w:eastAsia="ja-JP"/>
              </w:rPr>
            </w:pPr>
            <w:r w:rsidRPr="009C33D5">
              <w:rPr>
                <w:rFonts w:ascii="Times New Roman" w:hAnsi="Times New Roman"/>
                <w:sz w:val="22"/>
                <w:szCs w:val="22"/>
                <w:lang w:val="el-GR"/>
              </w:rPr>
              <w:t>Αριθμός Φλεγμονωδών Βλαβών</w:t>
            </w:r>
          </w:p>
        </w:tc>
        <w:tc>
          <w:tcPr>
            <w:tcW w:w="1860"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16 (62,1%)</w:t>
            </w:r>
          </w:p>
        </w:tc>
        <w:tc>
          <w:tcPr>
            <w:tcW w:w="1295"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14 (50,0%)</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295"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16 (55,6%)</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p=0,068</w:t>
            </w:r>
          </w:p>
        </w:tc>
        <w:tc>
          <w:tcPr>
            <w:tcW w:w="1512" w:type="dxa"/>
            <w:tcBorders>
              <w:top w:val="single" w:sz="6" w:space="0" w:color="auto"/>
            </w:tcBorders>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10 (34,3%)</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r>
      <w:tr w:rsidR="009C33D5" w:rsidRPr="009C33D5" w:rsidTr="004132F5">
        <w:trPr>
          <w:trHeight w:val="538"/>
          <w:jc w:val="center"/>
        </w:trPr>
        <w:tc>
          <w:tcPr>
            <w:tcW w:w="3609" w:type="dxa"/>
            <w:vAlign w:val="center"/>
          </w:tcPr>
          <w:p w:rsidR="009C33D5" w:rsidRPr="009C33D5" w:rsidRDefault="009C33D5" w:rsidP="004132F5">
            <w:pPr>
              <w:pStyle w:val="TableText"/>
              <w:keepNext/>
              <w:rPr>
                <w:rFonts w:ascii="Times New Roman" w:eastAsia="MS Mincho" w:hAnsi="Times New Roman"/>
                <w:sz w:val="22"/>
                <w:szCs w:val="22"/>
                <w:lang w:val="el-GR" w:eastAsia="ja-JP"/>
              </w:rPr>
            </w:pPr>
            <w:r w:rsidRPr="009C33D5">
              <w:rPr>
                <w:rFonts w:ascii="Times New Roman" w:hAnsi="Times New Roman"/>
                <w:sz w:val="22"/>
                <w:szCs w:val="22"/>
                <w:lang w:val="el-GR"/>
              </w:rPr>
              <w:t>Αριθμός Μη</w:t>
            </w:r>
            <w:r w:rsidR="00462F7B">
              <w:rPr>
                <w:rFonts w:ascii="Times New Roman" w:hAnsi="Times New Roman"/>
                <w:sz w:val="22"/>
                <w:szCs w:val="22"/>
                <w:lang w:val="el-GR"/>
              </w:rPr>
              <w:t xml:space="preserve"> </w:t>
            </w:r>
            <w:r w:rsidRPr="009C33D5">
              <w:rPr>
                <w:rFonts w:ascii="Times New Roman" w:hAnsi="Times New Roman"/>
                <w:sz w:val="22"/>
                <w:szCs w:val="22"/>
                <w:lang w:val="el-GR"/>
              </w:rPr>
              <w:t>Φλεγμονωδών Βλαβών</w:t>
            </w:r>
          </w:p>
        </w:tc>
        <w:tc>
          <w:tcPr>
            <w:tcW w:w="1860"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24 (53,8%)</w:t>
            </w:r>
          </w:p>
        </w:tc>
        <w:tc>
          <w:tcPr>
            <w:tcW w:w="1295"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22 (49,1%)</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p=0,048</w:t>
            </w:r>
          </w:p>
        </w:tc>
        <w:tc>
          <w:tcPr>
            <w:tcW w:w="1295"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20 (44,1%)</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512"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14 (29,5%)</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r>
      <w:tr w:rsidR="009C33D5" w:rsidRPr="009C33D5" w:rsidTr="004132F5">
        <w:trPr>
          <w:trHeight w:val="344"/>
          <w:jc w:val="center"/>
        </w:trPr>
        <w:tc>
          <w:tcPr>
            <w:tcW w:w="3609" w:type="dxa"/>
            <w:vAlign w:val="center"/>
          </w:tcPr>
          <w:p w:rsidR="009C33D5" w:rsidRPr="009C33D5" w:rsidRDefault="009C33D5" w:rsidP="004132F5">
            <w:pPr>
              <w:pStyle w:val="TableText"/>
              <w:keepNext/>
              <w:rPr>
                <w:rFonts w:ascii="Times New Roman" w:eastAsia="MS Mincho" w:hAnsi="Times New Roman"/>
                <w:sz w:val="22"/>
                <w:szCs w:val="22"/>
                <w:lang w:val="el-GR" w:eastAsia="ja-JP"/>
              </w:rPr>
            </w:pPr>
            <w:r w:rsidRPr="009C33D5">
              <w:rPr>
                <w:rFonts w:ascii="Times New Roman" w:hAnsi="Times New Roman"/>
                <w:sz w:val="22"/>
                <w:szCs w:val="22"/>
                <w:lang w:val="el-GR"/>
              </w:rPr>
              <w:t>Συνολικός Αριθμός Βλαβών</w:t>
            </w:r>
          </w:p>
        </w:tc>
        <w:tc>
          <w:tcPr>
            <w:tcW w:w="1860"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45 (56,3%)</w:t>
            </w:r>
          </w:p>
        </w:tc>
        <w:tc>
          <w:tcPr>
            <w:tcW w:w="1295"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39 (46,9%)</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p=0,002</w:t>
            </w:r>
          </w:p>
        </w:tc>
        <w:tc>
          <w:tcPr>
            <w:tcW w:w="1295"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38 (48,1%)</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c>
          <w:tcPr>
            <w:tcW w:w="1512" w:type="dxa"/>
            <w:vAlign w:val="center"/>
          </w:tcPr>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eastAsia="MS Mincho" w:hAnsi="Times New Roman"/>
                <w:sz w:val="22"/>
                <w:szCs w:val="22"/>
                <w:lang w:val="el-GR" w:eastAsia="ja-JP"/>
              </w:rPr>
              <w:t>24 (28,0%)</w:t>
            </w:r>
          </w:p>
          <w:p w:rsidR="009C33D5" w:rsidRPr="009C33D5" w:rsidRDefault="009C33D5" w:rsidP="004132F5">
            <w:pPr>
              <w:pStyle w:val="TableText"/>
              <w:keepNext/>
              <w:jc w:val="center"/>
              <w:rPr>
                <w:rFonts w:ascii="Times New Roman" w:eastAsia="MS Mincho" w:hAnsi="Times New Roman"/>
                <w:sz w:val="22"/>
                <w:szCs w:val="22"/>
                <w:lang w:val="el-GR" w:eastAsia="ja-JP"/>
              </w:rPr>
            </w:pPr>
            <w:r w:rsidRPr="009C33D5">
              <w:rPr>
                <w:rFonts w:ascii="Times New Roman" w:hAnsi="Times New Roman"/>
                <w:sz w:val="22"/>
                <w:szCs w:val="22"/>
                <w:lang w:val="el-GR"/>
              </w:rPr>
              <w:t>p&lt;0,001</w:t>
            </w:r>
          </w:p>
        </w:tc>
      </w:tr>
    </w:tbl>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i/>
        </w:rPr>
      </w:pPr>
      <w:bookmarkStart w:id="3" w:name="_Ref229198319"/>
      <w:r w:rsidRPr="009C33D5">
        <w:rPr>
          <w:rFonts w:ascii="Times New Roman" w:hAnsi="Times New Roman" w:cs="Times New Roman"/>
          <w:b/>
          <w:i/>
        </w:rPr>
        <w:t>Πίνακας </w:t>
      </w:r>
      <w:r w:rsidRPr="009C33D5">
        <w:rPr>
          <w:rFonts w:ascii="Times New Roman" w:hAnsi="Times New Roman" w:cs="Times New Roman"/>
          <w:b/>
          <w:i/>
        </w:rPr>
        <w:fldChar w:fldCharType="begin"/>
      </w:r>
      <w:r w:rsidRPr="009C33D5">
        <w:rPr>
          <w:rFonts w:ascii="Times New Roman" w:hAnsi="Times New Roman" w:cs="Times New Roman"/>
          <w:b/>
          <w:i/>
        </w:rPr>
        <w:instrText xml:space="preserve"> SEQ Table \* ARABIC </w:instrText>
      </w:r>
      <w:r w:rsidRPr="009C33D5">
        <w:rPr>
          <w:rFonts w:ascii="Times New Roman" w:hAnsi="Times New Roman" w:cs="Times New Roman"/>
          <w:b/>
          <w:i/>
        </w:rPr>
        <w:fldChar w:fldCharType="separate"/>
      </w:r>
      <w:r w:rsidRPr="009C33D5">
        <w:rPr>
          <w:rFonts w:ascii="Times New Roman" w:hAnsi="Times New Roman" w:cs="Times New Roman"/>
          <w:b/>
          <w:i/>
        </w:rPr>
        <w:t>2</w:t>
      </w:r>
      <w:r w:rsidRPr="009C33D5">
        <w:rPr>
          <w:rFonts w:ascii="Times New Roman" w:hAnsi="Times New Roman" w:cs="Times New Roman"/>
          <w:b/>
          <w:i/>
        </w:rPr>
        <w:fldChar w:fldCharType="end"/>
      </w:r>
      <w:bookmarkEnd w:id="3"/>
      <w:r w:rsidRPr="009C33D5">
        <w:rPr>
          <w:rFonts w:ascii="Times New Roman" w:hAnsi="Times New Roman" w:cs="Times New Roman"/>
          <w:b/>
          <w:i/>
        </w:rPr>
        <w:tab/>
        <w:t>Κλινική αποτελεσματικότητα σε συνδυασμένες συγκριτικές δοκιμές</w:t>
      </w:r>
    </w:p>
    <w:tbl>
      <w:tblPr>
        <w:tblW w:w="93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8" w:type="dxa"/>
          <w:left w:w="57" w:type="dxa"/>
          <w:bottom w:w="28" w:type="dxa"/>
          <w:right w:w="57" w:type="dxa"/>
        </w:tblCellMar>
        <w:tblLook w:val="01E0" w:firstRow="1" w:lastRow="1" w:firstColumn="1" w:lastColumn="1" w:noHBand="0" w:noVBand="0"/>
      </w:tblPr>
      <w:tblGrid>
        <w:gridCol w:w="3538"/>
        <w:gridCol w:w="1843"/>
        <w:gridCol w:w="1302"/>
        <w:gridCol w:w="1229"/>
        <w:gridCol w:w="1442"/>
      </w:tblGrid>
      <w:tr w:rsidR="009C33D5" w:rsidRPr="009C33D5" w:rsidTr="004132F5">
        <w:trPr>
          <w:jc w:val="center"/>
        </w:trPr>
        <w:tc>
          <w:tcPr>
            <w:tcW w:w="1891" w:type="pct"/>
            <w:vAlign w:val="center"/>
          </w:tcPr>
          <w:p w:rsidR="009C33D5" w:rsidRPr="009C33D5" w:rsidRDefault="009C33D5" w:rsidP="004132F5">
            <w:pPr>
              <w:pStyle w:val="TableText"/>
              <w:keepNext/>
              <w:rPr>
                <w:rFonts w:ascii="Times New Roman" w:eastAsia="MS Mincho" w:hAnsi="Times New Roman"/>
                <w:b/>
                <w:sz w:val="22"/>
                <w:szCs w:val="22"/>
                <w:lang w:val="el-GR" w:eastAsia="ja-JP"/>
              </w:rPr>
            </w:pPr>
          </w:p>
        </w:tc>
        <w:tc>
          <w:tcPr>
            <w:tcW w:w="985" w:type="pct"/>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Ανταπαλένη+BPO</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N=564</w:t>
            </w:r>
          </w:p>
        </w:tc>
        <w:tc>
          <w:tcPr>
            <w:tcW w:w="696" w:type="pct"/>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Ανταπαλένη</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N=568</w:t>
            </w:r>
          </w:p>
        </w:tc>
        <w:tc>
          <w:tcPr>
            <w:tcW w:w="657" w:type="pct"/>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BPO</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N=564</w:t>
            </w:r>
          </w:p>
        </w:tc>
        <w:tc>
          <w:tcPr>
            <w:tcW w:w="771" w:type="pct"/>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Γέλη Όχημα</w:t>
            </w:r>
          </w:p>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N=489</w:t>
            </w:r>
          </w:p>
        </w:tc>
      </w:tr>
      <w:tr w:rsidR="009C33D5" w:rsidRPr="009C33D5" w:rsidTr="004132F5">
        <w:trPr>
          <w:jc w:val="center"/>
        </w:trPr>
        <w:tc>
          <w:tcPr>
            <w:tcW w:w="1891" w:type="pct"/>
            <w:tcBorders>
              <w:bottom w:val="single" w:sz="6" w:space="0" w:color="auto"/>
            </w:tcBorders>
            <w:vAlign w:val="center"/>
          </w:tcPr>
          <w:p w:rsidR="009C33D5" w:rsidRPr="009C33D5" w:rsidRDefault="009C33D5" w:rsidP="004132F5">
            <w:pPr>
              <w:pStyle w:val="TableText"/>
              <w:keepNext/>
              <w:rPr>
                <w:rFonts w:ascii="Times New Roman" w:hAnsi="Times New Roman"/>
                <w:b/>
                <w:sz w:val="22"/>
                <w:szCs w:val="22"/>
                <w:lang w:val="el-GR"/>
              </w:rPr>
            </w:pPr>
            <w:r w:rsidRPr="009C33D5">
              <w:rPr>
                <w:rFonts w:ascii="Times New Roman" w:eastAsia="MS Mincho" w:hAnsi="Times New Roman"/>
                <w:b/>
                <w:sz w:val="22"/>
                <w:szCs w:val="22"/>
                <w:lang w:val="el-GR" w:eastAsia="ja-JP"/>
              </w:rPr>
              <w:t>Επιτυχία (Καθαροί, Σχεδόν Καθαροί)</w:t>
            </w:r>
          </w:p>
        </w:tc>
        <w:tc>
          <w:tcPr>
            <w:tcW w:w="985" w:type="pct"/>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sz w:val="22"/>
                <w:szCs w:val="22"/>
                <w:lang w:val="el-GR" w:eastAsia="ja-JP"/>
              </w:rPr>
              <w:t>166 (29,4%)</w:t>
            </w:r>
          </w:p>
        </w:tc>
        <w:tc>
          <w:tcPr>
            <w:tcW w:w="696" w:type="pct"/>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sz w:val="22"/>
                <w:szCs w:val="22"/>
                <w:lang w:val="el-GR" w:eastAsia="ja-JP"/>
              </w:rPr>
              <w:t>106 (18,7%)</w:t>
            </w:r>
          </w:p>
        </w:tc>
        <w:tc>
          <w:tcPr>
            <w:tcW w:w="657" w:type="pct"/>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sz w:val="22"/>
                <w:szCs w:val="22"/>
                <w:lang w:val="el-GR" w:eastAsia="ja-JP"/>
              </w:rPr>
              <w:t>115 (20,4%)</w:t>
            </w:r>
          </w:p>
        </w:tc>
        <w:tc>
          <w:tcPr>
            <w:tcW w:w="771" w:type="pct"/>
            <w:tcBorders>
              <w:bottom w:val="single" w:sz="6" w:space="0" w:color="auto"/>
            </w:tcBorders>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sz w:val="22"/>
                <w:szCs w:val="22"/>
                <w:lang w:val="el-GR" w:eastAsia="ja-JP"/>
              </w:rPr>
              <w:t>54 (11,1%)</w:t>
            </w:r>
          </w:p>
        </w:tc>
      </w:tr>
      <w:tr w:rsidR="009C33D5" w:rsidRPr="009C33D5" w:rsidTr="004132F5">
        <w:trPr>
          <w:jc w:val="center"/>
        </w:trPr>
        <w:tc>
          <w:tcPr>
            <w:tcW w:w="1891" w:type="pct"/>
            <w:tcBorders>
              <w:top w:val="single" w:sz="6" w:space="0" w:color="auto"/>
              <w:bottom w:val="single" w:sz="6" w:space="0" w:color="auto"/>
              <w:right w:val="nil"/>
            </w:tcBorders>
            <w:vAlign w:val="center"/>
          </w:tcPr>
          <w:p w:rsidR="009C33D5" w:rsidRPr="009C33D5" w:rsidRDefault="009C33D5" w:rsidP="004132F5">
            <w:pPr>
              <w:pStyle w:val="TableText"/>
              <w:keepNext/>
              <w:rPr>
                <w:rFonts w:ascii="Times New Roman" w:hAnsi="Times New Roman"/>
                <w:b/>
                <w:sz w:val="22"/>
                <w:szCs w:val="22"/>
                <w:lang w:val="el-GR"/>
              </w:rPr>
            </w:pPr>
            <w:r w:rsidRPr="009C33D5">
              <w:rPr>
                <w:rFonts w:ascii="Times New Roman" w:eastAsia="MS Mincho" w:hAnsi="Times New Roman"/>
                <w:b/>
                <w:sz w:val="22"/>
                <w:szCs w:val="22"/>
                <w:lang w:val="el-GR" w:eastAsia="ja-JP"/>
              </w:rPr>
              <w:t>Διάμεση Μείωση (% Μείωση) σε</w:t>
            </w:r>
          </w:p>
        </w:tc>
        <w:tc>
          <w:tcPr>
            <w:tcW w:w="3109" w:type="pct"/>
            <w:gridSpan w:val="4"/>
            <w:tcBorders>
              <w:top w:val="single" w:sz="6" w:space="0" w:color="auto"/>
              <w:left w:val="nil"/>
              <w:bottom w:val="single" w:sz="6" w:space="0" w:color="auto"/>
            </w:tcBorders>
            <w:vAlign w:val="center"/>
          </w:tcPr>
          <w:p w:rsidR="009C33D5" w:rsidRPr="009C33D5" w:rsidRDefault="009C33D5" w:rsidP="004132F5">
            <w:pPr>
              <w:pStyle w:val="TableText"/>
              <w:keepNext/>
              <w:rPr>
                <w:rFonts w:ascii="Times New Roman" w:hAnsi="Times New Roman"/>
                <w:sz w:val="22"/>
                <w:szCs w:val="22"/>
                <w:lang w:val="el-GR"/>
              </w:rPr>
            </w:pPr>
          </w:p>
        </w:tc>
      </w:tr>
      <w:tr w:rsidR="009C33D5" w:rsidRPr="009C33D5" w:rsidTr="004132F5">
        <w:trPr>
          <w:jc w:val="center"/>
        </w:trPr>
        <w:tc>
          <w:tcPr>
            <w:tcW w:w="1891" w:type="pct"/>
            <w:tcBorders>
              <w:top w:val="single" w:sz="6" w:space="0" w:color="auto"/>
            </w:tcBorders>
            <w:vAlign w:val="center"/>
          </w:tcPr>
          <w:p w:rsidR="009C33D5" w:rsidRPr="009C33D5" w:rsidRDefault="009C33D5" w:rsidP="004132F5">
            <w:pPr>
              <w:pStyle w:val="TableText"/>
              <w:keepNext/>
              <w:spacing w:before="120"/>
              <w:outlineLvl w:val="0"/>
              <w:rPr>
                <w:rFonts w:ascii="Times New Roman" w:hAnsi="Times New Roman"/>
                <w:b/>
                <w:sz w:val="22"/>
                <w:szCs w:val="22"/>
                <w:lang w:val="el-GR"/>
              </w:rPr>
            </w:pPr>
            <w:r w:rsidRPr="009C33D5">
              <w:rPr>
                <w:rFonts w:ascii="Times New Roman" w:hAnsi="Times New Roman"/>
                <w:sz w:val="22"/>
                <w:szCs w:val="22"/>
                <w:lang w:val="el-GR"/>
              </w:rPr>
              <w:t>Αριθμός Φλεγμονωδών Βλαβών</w:t>
            </w:r>
          </w:p>
        </w:tc>
        <w:tc>
          <w:tcPr>
            <w:tcW w:w="985" w:type="pct"/>
            <w:tcBorders>
              <w:top w:val="single" w:sz="6" w:space="0" w:color="auto"/>
            </w:tcBorders>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16,0 (62,1)</w:t>
            </w:r>
          </w:p>
        </w:tc>
        <w:tc>
          <w:tcPr>
            <w:tcW w:w="696" w:type="pct"/>
            <w:tcBorders>
              <w:top w:val="single" w:sz="6" w:space="0" w:color="auto"/>
            </w:tcBorders>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14,0 (50,0)</w:t>
            </w:r>
          </w:p>
        </w:tc>
        <w:tc>
          <w:tcPr>
            <w:tcW w:w="657" w:type="pct"/>
            <w:tcBorders>
              <w:top w:val="single" w:sz="6" w:space="0" w:color="auto"/>
            </w:tcBorders>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15,0 (54,0)</w:t>
            </w:r>
          </w:p>
        </w:tc>
        <w:tc>
          <w:tcPr>
            <w:tcW w:w="771" w:type="pct"/>
            <w:tcBorders>
              <w:top w:val="single" w:sz="6" w:space="0" w:color="auto"/>
            </w:tcBorders>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10,0 (35,0)</w:t>
            </w:r>
          </w:p>
        </w:tc>
      </w:tr>
      <w:tr w:rsidR="009C33D5" w:rsidRPr="009C33D5" w:rsidTr="004132F5">
        <w:trPr>
          <w:jc w:val="center"/>
        </w:trPr>
        <w:tc>
          <w:tcPr>
            <w:tcW w:w="1891" w:type="pct"/>
            <w:vAlign w:val="center"/>
          </w:tcPr>
          <w:p w:rsidR="009C33D5" w:rsidRPr="009C33D5" w:rsidRDefault="009C33D5" w:rsidP="004132F5">
            <w:pPr>
              <w:pStyle w:val="TableText"/>
              <w:keepNext/>
              <w:spacing w:before="120"/>
              <w:outlineLvl w:val="0"/>
              <w:rPr>
                <w:rFonts w:ascii="Times New Roman" w:hAnsi="Times New Roman"/>
                <w:b/>
                <w:sz w:val="22"/>
                <w:szCs w:val="22"/>
                <w:lang w:val="el-GR"/>
              </w:rPr>
            </w:pPr>
            <w:r w:rsidRPr="009C33D5">
              <w:rPr>
                <w:rFonts w:ascii="Times New Roman" w:hAnsi="Times New Roman"/>
                <w:sz w:val="22"/>
                <w:szCs w:val="22"/>
                <w:lang w:val="el-GR"/>
              </w:rPr>
              <w:t>Αριθμός Μη</w:t>
            </w:r>
            <w:r w:rsidR="00462F7B">
              <w:rPr>
                <w:rFonts w:ascii="Times New Roman" w:hAnsi="Times New Roman"/>
                <w:sz w:val="22"/>
                <w:szCs w:val="22"/>
                <w:lang w:val="el-GR"/>
              </w:rPr>
              <w:t xml:space="preserve"> </w:t>
            </w:r>
            <w:r w:rsidRPr="009C33D5">
              <w:rPr>
                <w:rFonts w:ascii="Times New Roman" w:hAnsi="Times New Roman"/>
                <w:sz w:val="22"/>
                <w:szCs w:val="22"/>
                <w:lang w:val="el-GR"/>
              </w:rPr>
              <w:t>Φλεγμονωδών Βλαβών</w:t>
            </w:r>
          </w:p>
        </w:tc>
        <w:tc>
          <w:tcPr>
            <w:tcW w:w="985"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23,5 (52,8)</w:t>
            </w:r>
          </w:p>
        </w:tc>
        <w:tc>
          <w:tcPr>
            <w:tcW w:w="696"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21,0 (45,0)</w:t>
            </w:r>
          </w:p>
        </w:tc>
        <w:tc>
          <w:tcPr>
            <w:tcW w:w="657"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19,0 (42,5)</w:t>
            </w:r>
          </w:p>
        </w:tc>
        <w:tc>
          <w:tcPr>
            <w:tcW w:w="771"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14,0 (30,7)</w:t>
            </w:r>
          </w:p>
        </w:tc>
      </w:tr>
      <w:tr w:rsidR="009C33D5" w:rsidRPr="009C33D5" w:rsidTr="004132F5">
        <w:trPr>
          <w:jc w:val="center"/>
        </w:trPr>
        <w:tc>
          <w:tcPr>
            <w:tcW w:w="1891" w:type="pct"/>
            <w:vAlign w:val="center"/>
          </w:tcPr>
          <w:p w:rsidR="009C33D5" w:rsidRPr="009C33D5" w:rsidRDefault="009C33D5" w:rsidP="004132F5">
            <w:pPr>
              <w:pStyle w:val="TableText"/>
              <w:keepNext/>
              <w:spacing w:before="120"/>
              <w:outlineLvl w:val="0"/>
              <w:rPr>
                <w:rFonts w:ascii="Times New Roman" w:hAnsi="Times New Roman"/>
                <w:sz w:val="22"/>
                <w:szCs w:val="22"/>
                <w:lang w:val="el-GR"/>
              </w:rPr>
            </w:pPr>
            <w:r w:rsidRPr="009C33D5">
              <w:rPr>
                <w:rFonts w:ascii="Times New Roman" w:hAnsi="Times New Roman"/>
                <w:sz w:val="22"/>
                <w:szCs w:val="22"/>
                <w:lang w:val="el-GR"/>
              </w:rPr>
              <w:t>Συνολικός Αριθμός Βλαβών</w:t>
            </w:r>
          </w:p>
        </w:tc>
        <w:tc>
          <w:tcPr>
            <w:tcW w:w="985"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41,0 (54,8)</w:t>
            </w:r>
          </w:p>
        </w:tc>
        <w:tc>
          <w:tcPr>
            <w:tcW w:w="696"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34,0 (44,0)</w:t>
            </w:r>
          </w:p>
        </w:tc>
        <w:tc>
          <w:tcPr>
            <w:tcW w:w="657"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33,0 (44,9)</w:t>
            </w:r>
          </w:p>
        </w:tc>
        <w:tc>
          <w:tcPr>
            <w:tcW w:w="771" w:type="pct"/>
            <w:vAlign w:val="center"/>
          </w:tcPr>
          <w:p w:rsidR="009C33D5" w:rsidRPr="009C33D5" w:rsidRDefault="009C33D5" w:rsidP="004132F5">
            <w:pPr>
              <w:pStyle w:val="TableText"/>
              <w:keepNext/>
              <w:jc w:val="center"/>
              <w:rPr>
                <w:rFonts w:ascii="Times New Roman" w:hAnsi="Times New Roman"/>
                <w:b/>
                <w:sz w:val="22"/>
                <w:szCs w:val="22"/>
                <w:lang w:val="el-GR"/>
              </w:rPr>
            </w:pPr>
            <w:r w:rsidRPr="009C33D5">
              <w:rPr>
                <w:rFonts w:ascii="Times New Roman" w:hAnsi="Times New Roman"/>
                <w:sz w:val="22"/>
                <w:szCs w:val="22"/>
                <w:lang w:val="el-GR"/>
              </w:rPr>
              <w:t>23,0 (29,1)</w:t>
            </w:r>
          </w:p>
        </w:tc>
      </w:tr>
    </w:tbl>
    <w:p w:rsidR="009C33D5" w:rsidRPr="009C33D5" w:rsidRDefault="009C33D5" w:rsidP="009C33D5">
      <w:pPr>
        <w:spacing w:after="0" w:line="240" w:lineRule="auto"/>
        <w:rPr>
          <w:rFonts w:ascii="Times New Roman" w:hAnsi="Times New Roman" w:cs="Times New Roman"/>
        </w:rPr>
      </w:pPr>
    </w:p>
    <w:p w:rsidR="009C33D5" w:rsidRPr="00314ACD" w:rsidRDefault="009C33D5" w:rsidP="009C33D5">
      <w:pPr>
        <w:spacing w:after="0" w:line="240" w:lineRule="auto"/>
        <w:rPr>
          <w:rFonts w:ascii="Times New Roman" w:hAnsi="Times New Roman" w:cs="Times New Roman"/>
          <w:u w:val="single"/>
        </w:rPr>
      </w:pPr>
      <w:r w:rsidRPr="00314ACD">
        <w:rPr>
          <w:rFonts w:ascii="Times New Roman" w:hAnsi="Times New Roman" w:cs="Times New Roman"/>
          <w:bCs/>
          <w:iCs/>
          <w:u w:val="single"/>
        </w:rPr>
        <w:t>Κλινική αποτελεσματικότητα του Epiduo σε παιδιά ηλικίας 9 έως 11 ετών</w:t>
      </w:r>
    </w:p>
    <w:p w:rsidR="009C33D5" w:rsidRPr="00314ACD" w:rsidRDefault="009C33D5" w:rsidP="009C33D5">
      <w:pPr>
        <w:spacing w:after="0" w:line="240" w:lineRule="auto"/>
        <w:rPr>
          <w:rFonts w:ascii="Times New Roman" w:hAnsi="Times New Roman" w:cs="Times New Roman"/>
          <w:u w:val="single"/>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Κατά τη διάρκεια μιας παιδιατρικής κλινικής δοκιμής, 285 παιδιά με κοινή ακμή </w:t>
      </w:r>
      <w:r w:rsidRPr="009C33D5">
        <w:rPr>
          <w:rFonts w:ascii="Times New Roman" w:hAnsi="Times New Roman" w:cs="Times New Roman"/>
          <w:i/>
          <w:iCs/>
        </w:rPr>
        <w:t>(</w:t>
      </w:r>
      <w:r w:rsidR="00462F7B" w:rsidRPr="009C33D5">
        <w:rPr>
          <w:rFonts w:ascii="Times New Roman" w:hAnsi="Times New Roman" w:cs="Times New Roman"/>
          <w:i/>
          <w:iCs/>
        </w:rPr>
        <w:t>A</w:t>
      </w:r>
      <w:r w:rsidRPr="009C33D5">
        <w:rPr>
          <w:rFonts w:ascii="Times New Roman" w:hAnsi="Times New Roman" w:cs="Times New Roman"/>
          <w:i/>
          <w:iCs/>
        </w:rPr>
        <w:t>cne vulgaris)</w:t>
      </w:r>
      <w:r w:rsidRPr="009C33D5">
        <w:rPr>
          <w:rFonts w:ascii="Times New Roman" w:hAnsi="Times New Roman" w:cs="Times New Roman"/>
          <w:iCs/>
        </w:rPr>
        <w:t xml:space="preserve">, </w:t>
      </w:r>
      <w:r w:rsidRPr="009C33D5">
        <w:rPr>
          <w:rFonts w:ascii="Times New Roman" w:hAnsi="Times New Roman" w:cs="Times New Roman"/>
        </w:rPr>
        <w:t>ηλικίας 9</w:t>
      </w:r>
      <w:r w:rsidRPr="009C33D5">
        <w:rPr>
          <w:rFonts w:ascii="Times New Roman" w:hAnsi="Times New Roman" w:cs="Times New Roman"/>
        </w:rPr>
        <w:noBreakHyphen/>
        <w:t xml:space="preserve">11 ετών (το 53% των ασθενών ήταν ηλικίας 11 ετών, το 33% ήταν ηλικίας 10 ετών και το 14% ήταν ηλικίας 9 ετών) με βαθμολογία 3 (μέτρια) στην κλίμακα IGA και με ελάχιστο συνολικό αριθμό βλαβών </w:t>
      </w:r>
      <w:r w:rsidRPr="009C33D5">
        <w:rPr>
          <w:rFonts w:ascii="Times New Roman" w:hAnsi="Times New Roman" w:cs="Times New Roman"/>
        </w:rPr>
        <w:lastRenderedPageBreak/>
        <w:t>20</w:t>
      </w:r>
      <w:r w:rsidR="00462F7B">
        <w:rPr>
          <w:rFonts w:ascii="Times New Roman" w:hAnsi="Times New Roman" w:cs="Times New Roman"/>
        </w:rPr>
        <w:t>,</w:t>
      </w:r>
      <w:r w:rsidRPr="009C33D5">
        <w:rPr>
          <w:rFonts w:ascii="Times New Roman" w:hAnsi="Times New Roman" w:cs="Times New Roman"/>
        </w:rPr>
        <w:t> αλλά όχι μεγαλύτερο από 100 (Μη</w:t>
      </w:r>
      <w:r w:rsidR="00462F7B">
        <w:rPr>
          <w:rFonts w:ascii="Times New Roman" w:hAnsi="Times New Roman" w:cs="Times New Roman"/>
        </w:rPr>
        <w:t xml:space="preserve"> </w:t>
      </w:r>
      <w:r w:rsidRPr="009C33D5">
        <w:rPr>
          <w:rFonts w:ascii="Times New Roman" w:hAnsi="Times New Roman" w:cs="Times New Roman"/>
        </w:rPr>
        <w:t>Φλεγμονώδεις και/ή Φλεγμονώδεις) στο πρόσωπο (συμπεριλαμβανομένης της μύτης) κατά την έναρξη</w:t>
      </w:r>
      <w:r w:rsidR="00462F7B">
        <w:rPr>
          <w:rFonts w:ascii="Times New Roman" w:hAnsi="Times New Roman" w:cs="Times New Roman"/>
        </w:rPr>
        <w:t>,</w:t>
      </w:r>
      <w:r w:rsidRPr="009C33D5">
        <w:rPr>
          <w:rFonts w:ascii="Times New Roman" w:hAnsi="Times New Roman" w:cs="Times New Roman"/>
        </w:rPr>
        <w:t xml:space="preserve"> έλαβαν θεραπεία με </w:t>
      </w:r>
      <w:r w:rsidR="00462F7B" w:rsidRPr="009C33D5">
        <w:rPr>
          <w:rFonts w:ascii="Times New Roman" w:hAnsi="Times New Roman" w:cs="Times New Roman"/>
        </w:rPr>
        <w:t>γ</w:t>
      </w:r>
      <w:r w:rsidRPr="009C33D5">
        <w:rPr>
          <w:rFonts w:ascii="Times New Roman" w:hAnsi="Times New Roman" w:cs="Times New Roman"/>
        </w:rPr>
        <w:t>έλη Epiduo μια φορά την ημέρα για 12 εβδομάδες.</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Η μελέτη καταλήγει στο συμπέρασμα ότι τα προφίλ αποτελεσματικότητας και ασφάλειας της </w:t>
      </w:r>
      <w:r w:rsidR="00462F7B" w:rsidRPr="009C33D5">
        <w:rPr>
          <w:rFonts w:ascii="Times New Roman" w:hAnsi="Times New Roman" w:cs="Times New Roman"/>
        </w:rPr>
        <w:t>γ</w:t>
      </w:r>
      <w:r w:rsidRPr="009C33D5">
        <w:rPr>
          <w:rFonts w:ascii="Times New Roman" w:hAnsi="Times New Roman" w:cs="Times New Roman"/>
        </w:rPr>
        <w:t xml:space="preserve">έλης Epiduo στη θεραπεία της ακμής του προσώπου στη συγκεκριμένη νεαρότερης ηλικίας ομάδα είναι σύμφωνες με τα αποτελέσματα άλλων πιλοτικών μελετών σε ασθενείς με κοινή ακμή </w:t>
      </w:r>
      <w:r w:rsidRPr="009C33D5">
        <w:rPr>
          <w:rFonts w:ascii="Times New Roman" w:hAnsi="Times New Roman" w:cs="Times New Roman"/>
          <w:i/>
          <w:iCs/>
        </w:rPr>
        <w:t>(</w:t>
      </w:r>
      <w:r w:rsidR="00462F7B" w:rsidRPr="009C33D5">
        <w:rPr>
          <w:rFonts w:ascii="Times New Roman" w:hAnsi="Times New Roman" w:cs="Times New Roman"/>
          <w:i/>
          <w:iCs/>
        </w:rPr>
        <w:t>A</w:t>
      </w:r>
      <w:r w:rsidRPr="009C33D5">
        <w:rPr>
          <w:rFonts w:ascii="Times New Roman" w:hAnsi="Times New Roman" w:cs="Times New Roman"/>
          <w:i/>
          <w:iCs/>
        </w:rPr>
        <w:t>cne vulgaris)</w:t>
      </w:r>
      <w:r w:rsidRPr="009C33D5">
        <w:rPr>
          <w:rFonts w:ascii="Times New Roman" w:hAnsi="Times New Roman" w:cs="Times New Roman"/>
        </w:rPr>
        <w:t xml:space="preserve"> ηλικίας 12 ετών και άνω που δείχνουν σημαντική αποτελεσματικότητα με αποδεκτή ανοχή. Παρατηρήθηκε σταθερά από την αρχή της θεραπείας μία παρατεταμένη δράση της </w:t>
      </w:r>
      <w:r w:rsidR="00462F7B" w:rsidRPr="009C33D5">
        <w:rPr>
          <w:rFonts w:ascii="Times New Roman" w:hAnsi="Times New Roman" w:cs="Times New Roman"/>
        </w:rPr>
        <w:t>γ</w:t>
      </w:r>
      <w:r w:rsidRPr="009C33D5">
        <w:rPr>
          <w:rFonts w:ascii="Times New Roman" w:hAnsi="Times New Roman" w:cs="Times New Roman"/>
        </w:rPr>
        <w:t xml:space="preserve">έλης Epiduo σε σύγκριση με τη </w:t>
      </w:r>
      <w:r w:rsidR="00462F7B" w:rsidRPr="009C33D5">
        <w:rPr>
          <w:rFonts w:ascii="Times New Roman" w:hAnsi="Times New Roman" w:cs="Times New Roman"/>
        </w:rPr>
        <w:t>γ</w:t>
      </w:r>
      <w:r w:rsidRPr="009C33D5">
        <w:rPr>
          <w:rFonts w:ascii="Times New Roman" w:hAnsi="Times New Roman" w:cs="Times New Roman"/>
        </w:rPr>
        <w:t xml:space="preserve">έλη </w:t>
      </w:r>
      <w:r w:rsidR="00462F7B" w:rsidRPr="009C33D5">
        <w:rPr>
          <w:rFonts w:ascii="Times New Roman" w:hAnsi="Times New Roman" w:cs="Times New Roman"/>
        </w:rPr>
        <w:t>ό</w:t>
      </w:r>
      <w:r w:rsidRPr="009C33D5">
        <w:rPr>
          <w:rFonts w:ascii="Times New Roman" w:hAnsi="Times New Roman" w:cs="Times New Roman"/>
        </w:rPr>
        <w:t>χημα για όλες τις βλάβες (Φλεγμονώδεις, Μη</w:t>
      </w:r>
      <w:r w:rsidR="00462F7B">
        <w:rPr>
          <w:rFonts w:ascii="Times New Roman" w:hAnsi="Times New Roman" w:cs="Times New Roman"/>
        </w:rPr>
        <w:t xml:space="preserve"> </w:t>
      </w:r>
      <w:r w:rsidRPr="009C33D5">
        <w:rPr>
          <w:rFonts w:ascii="Times New Roman" w:hAnsi="Times New Roman" w:cs="Times New Roman"/>
        </w:rPr>
        <w:t>Φλεγμονώδεις και Συνολικές) την Εβδομάδα 1 και συνεχίστηκε έως και την Εβδομάδα 12.</w:t>
      </w:r>
    </w:p>
    <w:p w:rsidR="009C33D5" w:rsidRPr="009C33D5" w:rsidRDefault="009C33D5" w:rsidP="009C33D5">
      <w:pPr>
        <w:spacing w:after="0" w:line="240" w:lineRule="auto"/>
        <w:rPr>
          <w:rFonts w:ascii="Times New Roman" w:hAnsi="Times New Roman" w:cs="Times New Roman"/>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76"/>
        <w:gridCol w:w="1895"/>
      </w:tblGrid>
      <w:tr w:rsidR="009C33D5" w:rsidRPr="009C33D5" w:rsidTr="004132F5">
        <w:trPr>
          <w:jc w:val="center"/>
        </w:trPr>
        <w:tc>
          <w:tcPr>
            <w:tcW w:w="6029" w:type="dxa"/>
            <w:gridSpan w:val="3"/>
            <w:shd w:val="clear" w:color="auto" w:fill="auto"/>
            <w:vAlign w:val="center"/>
          </w:tcPr>
          <w:p w:rsidR="009C33D5" w:rsidRPr="009C33D5" w:rsidRDefault="009C33D5" w:rsidP="004132F5">
            <w:pPr>
              <w:spacing w:after="0" w:line="240" w:lineRule="auto"/>
              <w:jc w:val="center"/>
              <w:rPr>
                <w:rFonts w:ascii="Times New Roman" w:hAnsi="Times New Roman" w:cs="Times New Roman"/>
                <w:b/>
              </w:rPr>
            </w:pPr>
            <w:r w:rsidRPr="009C33D5">
              <w:rPr>
                <w:rFonts w:ascii="Times New Roman" w:eastAsia="MS Mincho" w:hAnsi="Times New Roman" w:cs="Times New Roman"/>
                <w:b/>
                <w:lang w:eastAsia="ja-JP"/>
              </w:rPr>
              <w:t>Μελέτη </w:t>
            </w:r>
            <w:r w:rsidRPr="009C33D5">
              <w:rPr>
                <w:rFonts w:ascii="Times New Roman" w:hAnsi="Times New Roman" w:cs="Times New Roman"/>
                <w:b/>
              </w:rPr>
              <w:t>3</w:t>
            </w:r>
          </w:p>
        </w:tc>
      </w:tr>
      <w:tr w:rsidR="009C33D5" w:rsidRPr="009C33D5" w:rsidTr="004132F5">
        <w:trPr>
          <w:jc w:val="center"/>
        </w:trPr>
        <w:tc>
          <w:tcPr>
            <w:tcW w:w="2158" w:type="dxa"/>
            <w:vAlign w:val="center"/>
          </w:tcPr>
          <w:p w:rsidR="009C33D5" w:rsidRPr="009C33D5" w:rsidRDefault="009C33D5" w:rsidP="004132F5">
            <w:pPr>
              <w:spacing w:after="0" w:line="240" w:lineRule="auto"/>
              <w:rPr>
                <w:rFonts w:ascii="Times New Roman" w:hAnsi="Times New Roman" w:cs="Times New Roman"/>
              </w:rPr>
            </w:pPr>
            <w:r w:rsidRPr="009C33D5">
              <w:rPr>
                <w:rFonts w:ascii="Times New Roman" w:eastAsia="MS Mincho" w:hAnsi="Times New Roman" w:cs="Times New Roman"/>
                <w:b/>
                <w:lang w:eastAsia="ja-JP"/>
              </w:rPr>
              <w:t>Εβδομάδα 12 LOCF; ITT</w:t>
            </w:r>
          </w:p>
        </w:tc>
        <w:tc>
          <w:tcPr>
            <w:tcW w:w="1976" w:type="dxa"/>
            <w:shd w:val="clear" w:color="auto" w:fill="auto"/>
            <w:vAlign w:val="center"/>
          </w:tcPr>
          <w:p w:rsidR="009C33D5" w:rsidRPr="009C33D5" w:rsidRDefault="009C33D5" w:rsidP="004132F5">
            <w:pPr>
              <w:pStyle w:val="TableText"/>
              <w:keepNext/>
              <w:jc w:val="center"/>
              <w:rPr>
                <w:rFonts w:ascii="Times New Roman" w:eastAsia="MS Mincho" w:hAnsi="Times New Roman"/>
                <w:b/>
                <w:sz w:val="22"/>
                <w:szCs w:val="22"/>
                <w:lang w:val="el-GR" w:eastAsia="ja-JP"/>
              </w:rPr>
            </w:pPr>
            <w:r w:rsidRPr="009C33D5">
              <w:rPr>
                <w:rFonts w:ascii="Times New Roman" w:eastAsia="MS Mincho" w:hAnsi="Times New Roman"/>
                <w:b/>
                <w:sz w:val="22"/>
                <w:szCs w:val="22"/>
                <w:lang w:val="el-GR" w:eastAsia="ja-JP"/>
              </w:rPr>
              <w:t>Ανταπαλένη+BPO</w:t>
            </w:r>
          </w:p>
          <w:p w:rsidR="009C33D5" w:rsidRPr="009C33D5" w:rsidRDefault="009C33D5" w:rsidP="004132F5">
            <w:pPr>
              <w:keepNext/>
              <w:tabs>
                <w:tab w:val="left" w:pos="284"/>
              </w:tabs>
              <w:autoSpaceDE w:val="0"/>
              <w:autoSpaceDN w:val="0"/>
              <w:adjustRightInd w:val="0"/>
              <w:spacing w:after="0" w:line="240" w:lineRule="auto"/>
              <w:jc w:val="center"/>
              <w:rPr>
                <w:rFonts w:ascii="Times New Roman" w:hAnsi="Times New Roman" w:cs="Times New Roman"/>
                <w:b/>
              </w:rPr>
            </w:pPr>
            <w:r w:rsidRPr="009C33D5">
              <w:rPr>
                <w:rFonts w:ascii="Times New Roman" w:hAnsi="Times New Roman" w:cs="Times New Roman"/>
                <w:b/>
              </w:rPr>
              <w:t>N=142</w:t>
            </w:r>
          </w:p>
        </w:tc>
        <w:tc>
          <w:tcPr>
            <w:tcW w:w="1895" w:type="dxa"/>
            <w:shd w:val="clear" w:color="auto" w:fill="auto"/>
            <w:vAlign w:val="center"/>
          </w:tcPr>
          <w:p w:rsidR="009C33D5" w:rsidRPr="009C33D5" w:rsidRDefault="009C33D5" w:rsidP="004132F5">
            <w:pPr>
              <w:keepNext/>
              <w:tabs>
                <w:tab w:val="left" w:pos="284"/>
              </w:tabs>
              <w:autoSpaceDE w:val="0"/>
              <w:autoSpaceDN w:val="0"/>
              <w:adjustRightInd w:val="0"/>
              <w:spacing w:after="0" w:line="240" w:lineRule="auto"/>
              <w:jc w:val="center"/>
              <w:rPr>
                <w:rFonts w:ascii="Times New Roman" w:eastAsia="MS Mincho" w:hAnsi="Times New Roman" w:cs="Times New Roman"/>
                <w:b/>
                <w:lang w:eastAsia="ja-JP"/>
              </w:rPr>
            </w:pPr>
            <w:r w:rsidRPr="009C33D5">
              <w:rPr>
                <w:rFonts w:ascii="Times New Roman" w:eastAsia="MS Mincho" w:hAnsi="Times New Roman" w:cs="Times New Roman"/>
                <w:b/>
                <w:lang w:eastAsia="ja-JP"/>
              </w:rPr>
              <w:t>Γέλη Όχημα</w:t>
            </w:r>
          </w:p>
          <w:p w:rsidR="009C33D5" w:rsidRPr="009C33D5" w:rsidRDefault="009C33D5" w:rsidP="004132F5">
            <w:pPr>
              <w:keepNext/>
              <w:tabs>
                <w:tab w:val="left" w:pos="284"/>
              </w:tabs>
              <w:autoSpaceDE w:val="0"/>
              <w:autoSpaceDN w:val="0"/>
              <w:adjustRightInd w:val="0"/>
              <w:spacing w:after="0" w:line="240" w:lineRule="auto"/>
              <w:jc w:val="center"/>
              <w:rPr>
                <w:rFonts w:ascii="Times New Roman" w:hAnsi="Times New Roman" w:cs="Times New Roman"/>
                <w:b/>
              </w:rPr>
            </w:pPr>
            <w:r w:rsidRPr="009C33D5">
              <w:rPr>
                <w:rFonts w:ascii="Times New Roman" w:eastAsia="MS Mincho" w:hAnsi="Times New Roman" w:cs="Times New Roman"/>
                <w:b/>
                <w:lang w:eastAsia="ja-JP"/>
              </w:rPr>
              <w:t>N=143</w:t>
            </w:r>
          </w:p>
        </w:tc>
      </w:tr>
      <w:tr w:rsidR="009C33D5" w:rsidRPr="009C33D5" w:rsidTr="004132F5">
        <w:trPr>
          <w:jc w:val="center"/>
        </w:trPr>
        <w:tc>
          <w:tcPr>
            <w:tcW w:w="2158" w:type="dxa"/>
            <w:vAlign w:val="center"/>
          </w:tcPr>
          <w:p w:rsidR="009C33D5" w:rsidRPr="009C33D5" w:rsidRDefault="009C33D5" w:rsidP="004132F5">
            <w:pPr>
              <w:spacing w:after="0" w:line="240" w:lineRule="auto"/>
              <w:rPr>
                <w:rFonts w:ascii="Times New Roman" w:hAnsi="Times New Roman" w:cs="Times New Roman"/>
              </w:rPr>
            </w:pPr>
            <w:r w:rsidRPr="009C33D5">
              <w:rPr>
                <w:rFonts w:ascii="Times New Roman" w:eastAsia="MS Mincho" w:hAnsi="Times New Roman" w:cs="Times New Roman"/>
                <w:b/>
                <w:lang w:eastAsia="ja-JP"/>
              </w:rPr>
              <w:t>Επιτυχία (Καθαροί, Σχεδόν Καθαροί)</w:t>
            </w:r>
          </w:p>
        </w:tc>
        <w:tc>
          <w:tcPr>
            <w:tcW w:w="1976"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67 (47,2%)</w:t>
            </w:r>
          </w:p>
        </w:tc>
        <w:tc>
          <w:tcPr>
            <w:tcW w:w="1895"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22 (15,4%)</w:t>
            </w:r>
          </w:p>
        </w:tc>
      </w:tr>
      <w:tr w:rsidR="009C33D5" w:rsidRPr="009C33D5" w:rsidTr="004132F5">
        <w:trPr>
          <w:jc w:val="center"/>
        </w:trPr>
        <w:tc>
          <w:tcPr>
            <w:tcW w:w="2158" w:type="dxa"/>
            <w:vAlign w:val="center"/>
          </w:tcPr>
          <w:p w:rsidR="009C33D5" w:rsidRPr="009C33D5" w:rsidRDefault="009C33D5" w:rsidP="004132F5">
            <w:pPr>
              <w:spacing w:after="0" w:line="240" w:lineRule="auto"/>
              <w:rPr>
                <w:rFonts w:ascii="Times New Roman" w:hAnsi="Times New Roman" w:cs="Times New Roman"/>
              </w:rPr>
            </w:pPr>
            <w:r w:rsidRPr="009C33D5">
              <w:rPr>
                <w:rFonts w:ascii="Times New Roman" w:eastAsia="MS Mincho" w:hAnsi="Times New Roman" w:cs="Times New Roman"/>
                <w:b/>
                <w:lang w:eastAsia="ja-JP"/>
              </w:rPr>
              <w:t>Διάμεση Μείωση (% Μείωση) σε</w:t>
            </w:r>
          </w:p>
        </w:tc>
        <w:tc>
          <w:tcPr>
            <w:tcW w:w="3871" w:type="dxa"/>
            <w:gridSpan w:val="2"/>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p>
        </w:tc>
      </w:tr>
      <w:tr w:rsidR="009C33D5" w:rsidRPr="009C33D5" w:rsidTr="004132F5">
        <w:trPr>
          <w:jc w:val="center"/>
        </w:trPr>
        <w:tc>
          <w:tcPr>
            <w:tcW w:w="2158" w:type="dxa"/>
            <w:vAlign w:val="center"/>
          </w:tcPr>
          <w:p w:rsidR="009C33D5" w:rsidRPr="009C33D5" w:rsidRDefault="009C33D5" w:rsidP="004132F5">
            <w:pPr>
              <w:spacing w:after="0" w:line="240" w:lineRule="auto"/>
              <w:rPr>
                <w:rFonts w:ascii="Times New Roman" w:hAnsi="Times New Roman" w:cs="Times New Roman"/>
              </w:rPr>
            </w:pPr>
            <w:r w:rsidRPr="009C33D5">
              <w:rPr>
                <w:rFonts w:ascii="Times New Roman" w:hAnsi="Times New Roman" w:cs="Times New Roman"/>
              </w:rPr>
              <w:t>Αριθμός Φλεγμονωδών Βλαβών</w:t>
            </w:r>
          </w:p>
        </w:tc>
        <w:tc>
          <w:tcPr>
            <w:tcW w:w="1976"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6 (62,5%)</w:t>
            </w:r>
          </w:p>
        </w:tc>
        <w:tc>
          <w:tcPr>
            <w:tcW w:w="1895"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1 (11,5%)</w:t>
            </w:r>
          </w:p>
        </w:tc>
      </w:tr>
      <w:tr w:rsidR="009C33D5" w:rsidRPr="009C33D5" w:rsidTr="004132F5">
        <w:trPr>
          <w:jc w:val="center"/>
        </w:trPr>
        <w:tc>
          <w:tcPr>
            <w:tcW w:w="2158" w:type="dxa"/>
            <w:vAlign w:val="center"/>
          </w:tcPr>
          <w:p w:rsidR="009C33D5" w:rsidRPr="009C33D5" w:rsidRDefault="009C33D5">
            <w:pPr>
              <w:spacing w:after="0" w:line="240" w:lineRule="auto"/>
              <w:rPr>
                <w:rFonts w:ascii="Times New Roman" w:hAnsi="Times New Roman" w:cs="Times New Roman"/>
              </w:rPr>
            </w:pPr>
            <w:r w:rsidRPr="009C33D5">
              <w:rPr>
                <w:rFonts w:ascii="Times New Roman" w:hAnsi="Times New Roman" w:cs="Times New Roman"/>
              </w:rPr>
              <w:t>Αριθμός Μη</w:t>
            </w:r>
            <w:r w:rsidR="00462F7B">
              <w:rPr>
                <w:rFonts w:ascii="Times New Roman" w:hAnsi="Times New Roman" w:cs="Times New Roman"/>
              </w:rPr>
              <w:t xml:space="preserve"> </w:t>
            </w:r>
            <w:r w:rsidRPr="009C33D5">
              <w:rPr>
                <w:rFonts w:ascii="Times New Roman" w:hAnsi="Times New Roman" w:cs="Times New Roman"/>
              </w:rPr>
              <w:t>Φλεγμονωδών Βλαβών</w:t>
            </w:r>
          </w:p>
        </w:tc>
        <w:tc>
          <w:tcPr>
            <w:tcW w:w="1976"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19 (67,6%)</w:t>
            </w:r>
          </w:p>
        </w:tc>
        <w:tc>
          <w:tcPr>
            <w:tcW w:w="1895"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5 (13,2%)</w:t>
            </w:r>
          </w:p>
        </w:tc>
      </w:tr>
      <w:tr w:rsidR="009C33D5" w:rsidRPr="009C33D5" w:rsidTr="004132F5">
        <w:trPr>
          <w:jc w:val="center"/>
        </w:trPr>
        <w:tc>
          <w:tcPr>
            <w:tcW w:w="2158" w:type="dxa"/>
            <w:vAlign w:val="center"/>
          </w:tcPr>
          <w:p w:rsidR="009C33D5" w:rsidRPr="009C33D5" w:rsidRDefault="009C33D5" w:rsidP="004132F5">
            <w:pPr>
              <w:spacing w:after="0" w:line="240" w:lineRule="auto"/>
              <w:rPr>
                <w:rFonts w:ascii="Times New Roman" w:hAnsi="Times New Roman" w:cs="Times New Roman"/>
              </w:rPr>
            </w:pPr>
            <w:r w:rsidRPr="009C33D5">
              <w:rPr>
                <w:rFonts w:ascii="Times New Roman" w:hAnsi="Times New Roman" w:cs="Times New Roman"/>
              </w:rPr>
              <w:t>Συνολικός Αριθμός Βλαβών</w:t>
            </w:r>
          </w:p>
        </w:tc>
        <w:tc>
          <w:tcPr>
            <w:tcW w:w="1976"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26 (66,9%)</w:t>
            </w:r>
          </w:p>
        </w:tc>
        <w:tc>
          <w:tcPr>
            <w:tcW w:w="1895" w:type="dxa"/>
            <w:vAlign w:val="center"/>
          </w:tcPr>
          <w:p w:rsidR="009C33D5" w:rsidRPr="009C33D5" w:rsidRDefault="009C33D5" w:rsidP="004132F5">
            <w:pPr>
              <w:keepNext/>
              <w:tabs>
                <w:tab w:val="left" w:pos="284"/>
              </w:tabs>
              <w:adjustRightInd w:val="0"/>
              <w:spacing w:after="0" w:line="240" w:lineRule="auto"/>
              <w:jc w:val="center"/>
              <w:rPr>
                <w:rFonts w:ascii="Times New Roman" w:hAnsi="Times New Roman" w:cs="Times New Roman"/>
              </w:rPr>
            </w:pPr>
            <w:r w:rsidRPr="009C33D5">
              <w:rPr>
                <w:rFonts w:ascii="Times New Roman" w:hAnsi="Times New Roman" w:cs="Times New Roman"/>
              </w:rPr>
              <w:t>8 (18,4%)</w:t>
            </w:r>
          </w:p>
        </w:tc>
      </w:tr>
    </w:tbl>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bookmarkStart w:id="4" w:name="_Ref229198010"/>
      <w:r w:rsidRPr="009C33D5">
        <w:rPr>
          <w:rFonts w:ascii="Times New Roman" w:hAnsi="Times New Roman" w:cs="Times New Roman"/>
          <w:b/>
        </w:rPr>
        <w:t>5.2</w:t>
      </w:r>
      <w:r w:rsidRPr="009C33D5">
        <w:rPr>
          <w:rFonts w:ascii="Times New Roman" w:hAnsi="Times New Roman" w:cs="Times New Roman"/>
          <w:b/>
        </w:rPr>
        <w:tab/>
      </w:r>
      <w:bookmarkEnd w:id="4"/>
      <w:r w:rsidRPr="009C33D5">
        <w:rPr>
          <w:rFonts w:ascii="Times New Roman" w:hAnsi="Times New Roman" w:cs="Times New Roman"/>
          <w:b/>
        </w:rPr>
        <w:t>Φαρμακοκινητικές ιδιότητες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Οι φαρμακοκινητικές (ΦΚ) ιδιότητες του Epiduo είναι παρόμοιες με το ΦΚ προφίλ της γέλης ανταπαλένης 0,1% μόνης της.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Σε μια ΦΚ κλινική μελέτη 30 ημερών, που διεξήχθη σε ασθενείς με ακμή οι οποίοι δοκιμάστηκαν είτε με τη γέλη του σταθερού συνδυασμού ή με παρόμοια σύνθεση ανταπαλένης 0,1% υπό μεγιστοποιημένες συνθήκες (με εφαρμογή 2 g γέλης ανά ημέρα), η ανταπαλένη δεν ήταν ανιχνεύσιμη στην πλειονότητα των δειγμάτων πλάσματος (όριο ανίχνευσης 0,1 ng/ml). Χαμηλά επίπεδα ανταπαλένης (C</w:t>
      </w:r>
      <w:r w:rsidRPr="009C33D5">
        <w:rPr>
          <w:rFonts w:ascii="Times New Roman" w:hAnsi="Times New Roman" w:cs="Times New Roman"/>
          <w:vertAlign w:val="subscript"/>
        </w:rPr>
        <w:t>max</w:t>
      </w:r>
      <w:r w:rsidRPr="009C33D5">
        <w:rPr>
          <w:rFonts w:ascii="Times New Roman" w:hAnsi="Times New Roman" w:cs="Times New Roman"/>
        </w:rPr>
        <w:t xml:space="preserve"> μεταξύ 0,1 και 0,2 ng/ml) μετρήθηκαν σε δύο δείγματα αίματος που λήφθηκαν από άτομα στα οποία χορηγήθηκε Epiduo και σε τρία δείγματα από άτομα στα οποία χορηγήθηκε </w:t>
      </w:r>
      <w:r w:rsidR="004219A7" w:rsidRPr="009C33D5">
        <w:rPr>
          <w:rFonts w:ascii="Times New Roman" w:hAnsi="Times New Roman" w:cs="Times New Roman"/>
        </w:rPr>
        <w:t>γ</w:t>
      </w:r>
      <w:r w:rsidRPr="009C33D5">
        <w:rPr>
          <w:rFonts w:ascii="Times New Roman" w:hAnsi="Times New Roman" w:cs="Times New Roman"/>
        </w:rPr>
        <w:t xml:space="preserve">έλη </w:t>
      </w:r>
      <w:r w:rsidR="004219A7" w:rsidRPr="009C33D5">
        <w:rPr>
          <w:rFonts w:ascii="Times New Roman" w:hAnsi="Times New Roman" w:cs="Times New Roman"/>
        </w:rPr>
        <w:t>α</w:t>
      </w:r>
      <w:r w:rsidRPr="009C33D5">
        <w:rPr>
          <w:rFonts w:ascii="Times New Roman" w:hAnsi="Times New Roman" w:cs="Times New Roman"/>
        </w:rPr>
        <w:t xml:space="preserve">νταπαλένης 0,1%. Η μέγιστη </w:t>
      </w:r>
      <w:r w:rsidR="004219A7">
        <w:rPr>
          <w:rFonts w:ascii="Times New Roman" w:hAnsi="Times New Roman" w:cs="Times New Roman"/>
        </w:rPr>
        <w:t>τιμή</w:t>
      </w:r>
      <w:r w:rsidR="004219A7" w:rsidRPr="009C33D5">
        <w:rPr>
          <w:rFonts w:ascii="Times New Roman" w:hAnsi="Times New Roman" w:cs="Times New Roman"/>
        </w:rPr>
        <w:t xml:space="preserve"> </w:t>
      </w:r>
      <w:r w:rsidRPr="009C33D5">
        <w:rPr>
          <w:rFonts w:ascii="Times New Roman" w:hAnsi="Times New Roman" w:cs="Times New Roman"/>
        </w:rPr>
        <w:t>AUC</w:t>
      </w:r>
      <w:r w:rsidRPr="009C33D5">
        <w:rPr>
          <w:rFonts w:ascii="Times New Roman" w:hAnsi="Times New Roman" w:cs="Times New Roman"/>
          <w:vertAlign w:val="subscript"/>
        </w:rPr>
        <w:t>0-24h</w:t>
      </w:r>
      <w:r w:rsidRPr="009C33D5">
        <w:rPr>
          <w:rFonts w:ascii="Times New Roman" w:hAnsi="Times New Roman" w:cs="Times New Roman"/>
        </w:rPr>
        <w:t xml:space="preserve"> </w:t>
      </w:r>
      <w:r w:rsidR="004219A7" w:rsidRPr="009C33D5">
        <w:rPr>
          <w:rFonts w:ascii="Times New Roman" w:hAnsi="Times New Roman" w:cs="Times New Roman"/>
        </w:rPr>
        <w:t xml:space="preserve">ανταπαλένης </w:t>
      </w:r>
      <w:r w:rsidRPr="009C33D5">
        <w:rPr>
          <w:rFonts w:ascii="Times New Roman" w:hAnsi="Times New Roman" w:cs="Times New Roman"/>
        </w:rPr>
        <w:t>που προσδιορίστηκε στην ομάδα του σταθερού συνδυασμού ήταν 1,99 ng</w:t>
      </w:r>
      <w:r w:rsidR="004219A7">
        <w:rPr>
          <w:rFonts w:ascii="Times New Roman" w:hAnsi="Times New Roman" w:cs="Times New Roman"/>
        </w:rPr>
        <w:t>×</w:t>
      </w:r>
      <w:r w:rsidRPr="009C33D5">
        <w:rPr>
          <w:rFonts w:ascii="Times New Roman" w:hAnsi="Times New Roman" w:cs="Times New Roman"/>
        </w:rPr>
        <w:t>h/ml.</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Αυτά τα αποτελέσματα είναι συγκρίσιμα με αυτά που λήφθηκαν σε προηγούμενες ΦΚ κλινικές μελέτες με διάφορες συνθέσεις ανταπαλένης 0,1%, όπου η συστηματική έκθεση στην ανταπαλένη ήταν σταθερά χαμηλή.</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Η διαδερμική διείσδυση του υπεροξειδίου </w:t>
      </w:r>
      <w:r w:rsidR="004219A7">
        <w:rPr>
          <w:rFonts w:ascii="Times New Roman" w:hAnsi="Times New Roman" w:cs="Times New Roman"/>
        </w:rPr>
        <w:t xml:space="preserve">του </w:t>
      </w:r>
      <w:r w:rsidR="004219A7" w:rsidRPr="009C33D5">
        <w:rPr>
          <w:rFonts w:ascii="Times New Roman" w:hAnsi="Times New Roman" w:cs="Times New Roman"/>
        </w:rPr>
        <w:t xml:space="preserve">βενζοϋλίου </w:t>
      </w:r>
      <w:r w:rsidRPr="009C33D5">
        <w:rPr>
          <w:rFonts w:ascii="Times New Roman" w:hAnsi="Times New Roman" w:cs="Times New Roman"/>
        </w:rPr>
        <w:t>είναι χαμηλή. Όταν εφαρμόζεται στο δέρμα, μετατρέπεται πλήρως σε βενζοϊκό οξύ που απεκκρίνεται ταχέως.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bookmarkStart w:id="5" w:name="_Ref229198030"/>
      <w:r w:rsidRPr="009C33D5">
        <w:rPr>
          <w:rFonts w:ascii="Times New Roman" w:hAnsi="Times New Roman" w:cs="Times New Roman"/>
          <w:b/>
        </w:rPr>
        <w:t>5.3</w:t>
      </w:r>
      <w:r w:rsidRPr="009C33D5">
        <w:rPr>
          <w:rFonts w:ascii="Times New Roman" w:hAnsi="Times New Roman" w:cs="Times New Roman"/>
          <w:b/>
        </w:rPr>
        <w:tab/>
      </w:r>
      <w:bookmarkEnd w:id="5"/>
      <w:r w:rsidRPr="009C33D5">
        <w:rPr>
          <w:rFonts w:ascii="Times New Roman" w:hAnsi="Times New Roman" w:cs="Times New Roman"/>
          <w:b/>
        </w:rPr>
        <w:t>Προκλινικά δεδομένα για την ασφάλεια</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lastRenderedPageBreak/>
        <w:t>Τα προκλινικά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φωτοτοξικότητας ή καρκινογένεσης.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Μελέτες </w:t>
      </w:r>
      <w:r w:rsidR="004219A7">
        <w:rPr>
          <w:rFonts w:ascii="Times New Roman" w:hAnsi="Times New Roman" w:cs="Times New Roman"/>
        </w:rPr>
        <w:t xml:space="preserve">αναπαραγωγικής </w:t>
      </w:r>
      <w:r w:rsidRPr="009C33D5">
        <w:rPr>
          <w:rFonts w:ascii="Times New Roman" w:hAnsi="Times New Roman" w:cs="Times New Roman"/>
        </w:rPr>
        <w:t>τοξικότητας με ανταπαλένη έχουν πραγματοποιηθεί μέσω της από του στόματος και της δερματικής οδού χορήγησης σε αρουραίους και κουνέλια. Επιδείχθηκε μία τερατογόνος δράση σε υψηλή συστηματική έκθεση (από του στόματος δόσεις από 25 mg/kg/ημέρα). Σε μειωμένη έκθεση (δερματική δόση των 6 mg/kg/ημέρα), παρατηρήθηκαν μεταβολές στον αριθμό των πλευρών και των σπονδύλων.</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Μελέτες σε ζώα πραγματοποιήθηκαν με Epiduo περιλαμβάνουν μελέτες τοπικής ανοχής και δερματικής τοξικότητας επαναλαμβανόμενης δόσης σε αρουραίους, σκυλιά και ινδικά χοιρίδια έως και για 13 εβδομάδες και εμφάνισαν τοπικό ερεθισμό και ικανότητα για ευαισθητοποίηση, όπως αναμένεται </w:t>
      </w:r>
      <w:r w:rsidR="00D737C3">
        <w:rPr>
          <w:rFonts w:ascii="Times New Roman" w:hAnsi="Times New Roman" w:cs="Times New Roman"/>
        </w:rPr>
        <w:t>για</w:t>
      </w:r>
      <w:r w:rsidRPr="009C33D5">
        <w:rPr>
          <w:rFonts w:ascii="Times New Roman" w:hAnsi="Times New Roman" w:cs="Times New Roman"/>
        </w:rPr>
        <w:t xml:space="preserve"> έναν συνδυασμό που περιέχει υπεροξείδιο</w:t>
      </w:r>
      <w:r w:rsidR="006F2DF7" w:rsidRPr="006F2DF7">
        <w:rPr>
          <w:rFonts w:ascii="Times New Roman" w:hAnsi="Times New Roman" w:cs="Times New Roman"/>
        </w:rPr>
        <w:t xml:space="preserve"> </w:t>
      </w:r>
      <w:r w:rsidR="006F2DF7">
        <w:rPr>
          <w:rFonts w:ascii="Times New Roman" w:hAnsi="Times New Roman" w:cs="Times New Roman"/>
        </w:rPr>
        <w:t xml:space="preserve">του </w:t>
      </w:r>
      <w:r w:rsidR="006F2DF7" w:rsidRPr="009C33D5">
        <w:rPr>
          <w:rFonts w:ascii="Times New Roman" w:hAnsi="Times New Roman" w:cs="Times New Roman"/>
        </w:rPr>
        <w:t>βενζοϋλίου</w:t>
      </w:r>
      <w:r w:rsidRPr="009C33D5">
        <w:rPr>
          <w:rFonts w:ascii="Times New Roman" w:hAnsi="Times New Roman" w:cs="Times New Roman"/>
        </w:rPr>
        <w:t xml:space="preserve">. Η συστηματική έκθεση στην ανταπαλένη μετά από επαναλαμβανόμενη δερματική εφαρμογή του σταθερού συνδυασμού σε ζώα είναι πολύ χαμηλή, σε συμφωνία με τα κλινικά φαρμακοκινητικά δεδομένα. Το υπεροξείδιο </w:t>
      </w:r>
      <w:r w:rsidR="006F2DF7">
        <w:rPr>
          <w:rFonts w:ascii="Times New Roman" w:hAnsi="Times New Roman" w:cs="Times New Roman"/>
        </w:rPr>
        <w:t xml:space="preserve">του </w:t>
      </w:r>
      <w:r w:rsidR="006F2DF7" w:rsidRPr="009C33D5">
        <w:rPr>
          <w:rFonts w:ascii="Times New Roman" w:hAnsi="Times New Roman" w:cs="Times New Roman"/>
        </w:rPr>
        <w:t xml:space="preserve">βενζοϋλίου </w:t>
      </w:r>
      <w:r w:rsidRPr="009C33D5">
        <w:rPr>
          <w:rFonts w:ascii="Times New Roman" w:hAnsi="Times New Roman" w:cs="Times New Roman"/>
        </w:rPr>
        <w:t>μετατρέπεται ταχέως και πλήρως σε βενζοϊκό οξύ στο δέρμα και μετά την απορρόφηση απεκκρίνεται στα ούρα, με περιορισμένη συστηματική έκθεση.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6.</w:t>
      </w:r>
      <w:r w:rsidRPr="009C33D5">
        <w:rPr>
          <w:rFonts w:ascii="Times New Roman" w:hAnsi="Times New Roman" w:cs="Times New Roman"/>
          <w:b/>
        </w:rPr>
        <w:tab/>
        <w:t>ΦΑΡΜΑΚΕΥΤΙΚΕΣ ΠΛΗΡΟΦΟΡΙΕΣ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bookmarkStart w:id="6" w:name="_Ref229197875"/>
      <w:r w:rsidRPr="009C33D5">
        <w:rPr>
          <w:rFonts w:ascii="Times New Roman" w:hAnsi="Times New Roman" w:cs="Times New Roman"/>
          <w:b/>
        </w:rPr>
        <w:t>6.1</w:t>
      </w:r>
      <w:r w:rsidRPr="009C33D5">
        <w:rPr>
          <w:rFonts w:ascii="Times New Roman" w:hAnsi="Times New Roman" w:cs="Times New Roman"/>
          <w:b/>
        </w:rPr>
        <w:tab/>
      </w:r>
      <w:bookmarkEnd w:id="6"/>
      <w:r w:rsidRPr="009C33D5">
        <w:rPr>
          <w:rFonts w:ascii="Times New Roman" w:hAnsi="Times New Roman" w:cs="Times New Roman"/>
          <w:b/>
        </w:rPr>
        <w:t>Κατάλογος εκδόχων</w:t>
      </w:r>
    </w:p>
    <w:p w:rsidR="00F205E6" w:rsidRDefault="00F205E6" w:rsidP="009C33D5">
      <w:pPr>
        <w:spacing w:after="0" w:line="240" w:lineRule="auto"/>
        <w:rPr>
          <w:rFonts w:ascii="Times New Roman" w:hAnsi="Times New Roman" w:cs="Times New Roman"/>
        </w:rPr>
      </w:pPr>
      <w:bookmarkStart w:id="7" w:name="OLE_LINK1"/>
      <w:bookmarkStart w:id="8" w:name="OLE_LINK4"/>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Αιθυλενοδιαμινοτετραοξικό δινάτριο άλας</w:t>
      </w:r>
    </w:p>
    <w:p w:rsidR="009C33D5" w:rsidRPr="009C33D5" w:rsidRDefault="00BA5DEC" w:rsidP="009C33D5">
      <w:pPr>
        <w:spacing w:after="0" w:line="240" w:lineRule="auto"/>
        <w:rPr>
          <w:rFonts w:ascii="Times New Roman" w:hAnsi="Times New Roman" w:cs="Times New Roman"/>
        </w:rPr>
      </w:pPr>
      <w:r>
        <w:rPr>
          <w:rFonts w:ascii="Times New Roman" w:hAnsi="Times New Roman" w:cs="Times New Roman"/>
        </w:rPr>
        <w:t>Δ</w:t>
      </w:r>
      <w:r w:rsidRPr="009C33D5">
        <w:rPr>
          <w:rFonts w:ascii="Times New Roman" w:hAnsi="Times New Roman" w:cs="Times New Roman"/>
        </w:rPr>
        <w:t>οκουσικό</w:t>
      </w:r>
      <w:r>
        <w:rPr>
          <w:rFonts w:ascii="Times New Roman" w:hAnsi="Times New Roman" w:cs="Times New Roman"/>
        </w:rPr>
        <w:t xml:space="preserve"> νάτριο</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Γλυκερ</w:t>
      </w:r>
      <w:r w:rsidR="00F205E6">
        <w:rPr>
          <w:rFonts w:ascii="Times New Roman" w:hAnsi="Times New Roman" w:cs="Times New Roman"/>
        </w:rPr>
        <w:t>όλη</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Πολοξαμερή</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Προπυλενογλυκόλη (E1520)</w:t>
      </w:r>
    </w:p>
    <w:bookmarkEnd w:id="7"/>
    <w:bookmarkEnd w:id="8"/>
    <w:p w:rsidR="009C33D5" w:rsidRPr="009C33D5" w:rsidRDefault="009C33D5" w:rsidP="009C33D5">
      <w:pPr>
        <w:spacing w:after="0" w:line="240" w:lineRule="auto"/>
        <w:rPr>
          <w:rFonts w:ascii="Times New Roman" w:hAnsi="Times New Roman" w:cs="Times New Roman"/>
          <w:lang w:eastAsia="nl-NL"/>
        </w:rPr>
      </w:pPr>
      <w:r w:rsidRPr="009C33D5">
        <w:rPr>
          <w:rFonts w:ascii="Times New Roman" w:hAnsi="Times New Roman" w:cs="Times New Roman"/>
          <w:lang w:eastAsia="nl-NL"/>
        </w:rPr>
        <w:t xml:space="preserve">Simulgel 600PHA (συμπολυμερές </w:t>
      </w:r>
      <w:r w:rsidRPr="009C33D5">
        <w:rPr>
          <w:rFonts w:ascii="Times New Roman" w:hAnsi="Times New Roman" w:cs="Times New Roman"/>
          <w:bCs/>
          <w:lang w:eastAsia="nl-NL"/>
        </w:rPr>
        <w:t xml:space="preserve">ακρυλαμιδίου και </w:t>
      </w:r>
      <w:r w:rsidR="006F2DF7">
        <w:rPr>
          <w:rFonts w:ascii="Times New Roman" w:hAnsi="Times New Roman" w:cs="Times New Roman"/>
          <w:bCs/>
          <w:lang w:eastAsia="nl-NL"/>
        </w:rPr>
        <w:t>ακρυλοϋλοδιμεθυλοταυρικού νατρίου</w:t>
      </w:r>
      <w:r w:rsidRPr="009C33D5">
        <w:rPr>
          <w:rFonts w:ascii="Times New Roman" w:hAnsi="Times New Roman" w:cs="Times New Roman"/>
          <w:bCs/>
          <w:lang w:eastAsia="nl-NL"/>
        </w:rPr>
        <w:t>, ισοδεκαεξάνιο</w:t>
      </w:r>
      <w:r w:rsidRPr="009C33D5">
        <w:rPr>
          <w:rFonts w:ascii="Times New Roman" w:hAnsi="Times New Roman" w:cs="Times New Roman"/>
          <w:lang w:eastAsia="nl-NL"/>
        </w:rPr>
        <w:t>, πολυσορβικό 80,</w:t>
      </w:r>
      <w:r w:rsidRPr="009C33D5">
        <w:t xml:space="preserve"> </w:t>
      </w:r>
      <w:r w:rsidRPr="009C33D5">
        <w:rPr>
          <w:rFonts w:ascii="Times New Roman" w:hAnsi="Times New Roman" w:cs="Times New Roman"/>
          <w:lang w:eastAsia="nl-NL"/>
        </w:rPr>
        <w:t>ελαϊκός εστέρας</w:t>
      </w:r>
      <w:r w:rsidR="006F2DF7" w:rsidRPr="006F2DF7">
        <w:rPr>
          <w:rFonts w:ascii="Times New Roman" w:hAnsi="Times New Roman" w:cs="Times New Roman"/>
          <w:lang w:eastAsia="nl-NL"/>
        </w:rPr>
        <w:t xml:space="preserve"> </w:t>
      </w:r>
      <w:r w:rsidR="006F2DF7" w:rsidRPr="009C33D5">
        <w:rPr>
          <w:rFonts w:ascii="Times New Roman" w:hAnsi="Times New Roman" w:cs="Times New Roman"/>
          <w:lang w:eastAsia="nl-NL"/>
        </w:rPr>
        <w:t>σορβιτάνης</w:t>
      </w:r>
      <w:r w:rsidRPr="009C33D5">
        <w:rPr>
          <w:rFonts w:ascii="Times New Roman" w:hAnsi="Times New Roman" w:cs="Times New Roman"/>
          <w:lang w:eastAsia="nl-NL"/>
        </w:rPr>
        <w:t>)</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Κεκαθαρμένο ύδωρ</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6.2</w:t>
      </w:r>
      <w:r w:rsidRPr="009C33D5">
        <w:rPr>
          <w:rFonts w:ascii="Times New Roman" w:hAnsi="Times New Roman" w:cs="Times New Roman"/>
          <w:b/>
        </w:rPr>
        <w:tab/>
        <w:t>Ασυμβατότητες</w:t>
      </w:r>
    </w:p>
    <w:p w:rsidR="00F205E6" w:rsidRDefault="00F205E6"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Δεν εφαρμόζεται.</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6.3</w:t>
      </w:r>
      <w:r w:rsidRPr="009C33D5">
        <w:rPr>
          <w:rFonts w:ascii="Times New Roman" w:hAnsi="Times New Roman" w:cs="Times New Roman"/>
          <w:b/>
        </w:rPr>
        <w:tab/>
        <w:t>Διάρκεια ζωής</w:t>
      </w:r>
    </w:p>
    <w:p w:rsidR="00F205E6" w:rsidRDefault="00F205E6"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2 χρόνια.</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Η σταθερότητα του εν χρήσει Epiduo είναι τουλάχιστον 6 μήνες μετά το πρώτο άνοιγμα.</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6.4</w:t>
      </w:r>
      <w:r w:rsidRPr="009C33D5">
        <w:rPr>
          <w:rFonts w:ascii="Times New Roman" w:hAnsi="Times New Roman" w:cs="Times New Roman"/>
          <w:b/>
        </w:rPr>
        <w:tab/>
        <w:t>Ιδιαίτερες προφυλάξεις κατά τη φύλαξη του προϊόντος</w:t>
      </w:r>
    </w:p>
    <w:p w:rsidR="00F205E6" w:rsidRDefault="00F205E6" w:rsidP="009C33D5">
      <w:pPr>
        <w:spacing w:after="0" w:line="240" w:lineRule="auto"/>
        <w:rPr>
          <w:rFonts w:ascii="Times New Roman" w:eastAsia="Calibri" w:hAnsi="Times New Roman" w:cs="Times New Roman"/>
          <w:iCs/>
        </w:rPr>
      </w:pPr>
    </w:p>
    <w:p w:rsidR="009C33D5" w:rsidRPr="009C33D5" w:rsidRDefault="009C33D5" w:rsidP="009C33D5">
      <w:pPr>
        <w:spacing w:after="0" w:line="240" w:lineRule="auto"/>
        <w:rPr>
          <w:rFonts w:ascii="Times New Roman" w:hAnsi="Times New Roman" w:cs="Times New Roman"/>
          <w:iCs/>
        </w:rPr>
      </w:pPr>
      <w:r w:rsidRPr="009C33D5">
        <w:rPr>
          <w:rFonts w:ascii="Times New Roman" w:eastAsia="Calibri" w:hAnsi="Times New Roman" w:cs="Times New Roman"/>
          <w:iCs/>
        </w:rPr>
        <w:t>Μη</w:t>
      </w:r>
      <w:r w:rsidR="000C045F">
        <w:rPr>
          <w:rFonts w:ascii="Times New Roman" w:eastAsia="Calibri" w:hAnsi="Times New Roman" w:cs="Times New Roman"/>
          <w:iCs/>
        </w:rPr>
        <w:t>ν</w:t>
      </w:r>
      <w:r w:rsidRPr="009C33D5">
        <w:rPr>
          <w:rFonts w:ascii="Times New Roman" w:eastAsia="Calibri" w:hAnsi="Times New Roman" w:cs="Times New Roman"/>
          <w:iCs/>
        </w:rPr>
        <w:t xml:space="preserve"> φυλάσσετε σε θερμοκρασία μεγαλύτερη των 25°C</w:t>
      </w:r>
      <w:r w:rsidRPr="009C33D5">
        <w:rPr>
          <w:rFonts w:ascii="Times New Roman" w:hAnsi="Times New Roman" w:cs="Times New Roman"/>
          <w:iCs/>
        </w:rPr>
        <w:t>.</w:t>
      </w:r>
    </w:p>
    <w:p w:rsidR="009C33D5" w:rsidRPr="009C33D5" w:rsidRDefault="009C33D5" w:rsidP="009C33D5">
      <w:pPr>
        <w:spacing w:after="0" w:line="240" w:lineRule="auto"/>
        <w:rPr>
          <w:rFonts w:ascii="Times New Roman" w:hAnsi="Times New Roman" w:cs="Times New Roman"/>
          <w:iCs/>
        </w:rPr>
      </w:pPr>
    </w:p>
    <w:p w:rsidR="009C33D5" w:rsidRPr="009C33D5" w:rsidRDefault="009C33D5" w:rsidP="009C33D5">
      <w:pPr>
        <w:spacing w:after="0" w:line="240" w:lineRule="auto"/>
        <w:rPr>
          <w:rFonts w:ascii="Times New Roman" w:hAnsi="Times New Roman" w:cs="Times New Roman"/>
          <w:b/>
          <w:iCs/>
        </w:rPr>
      </w:pPr>
      <w:r w:rsidRPr="009C33D5">
        <w:rPr>
          <w:rFonts w:ascii="Times New Roman" w:hAnsi="Times New Roman" w:cs="Times New Roman"/>
          <w:b/>
        </w:rPr>
        <w:t>6.5</w:t>
      </w:r>
      <w:r w:rsidRPr="009C33D5">
        <w:rPr>
          <w:rFonts w:ascii="Times New Roman" w:hAnsi="Times New Roman" w:cs="Times New Roman"/>
          <w:b/>
        </w:rPr>
        <w:tab/>
        <w:t>Φύση και συστατικά του περιέκτη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Το Epiduo διατίθεται σε δύο τύπους περιέκτη:</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Σωληνάριο:</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lastRenderedPageBreak/>
        <w:t xml:space="preserve">Λευκά πλαστικά σωληνάρια των 5 g, 15 g, 30 g, 45 g, 60 g και 90 g που έχουν δομή σώματος </w:t>
      </w:r>
      <w:r w:rsidR="00310A0E" w:rsidRPr="009C33D5">
        <w:rPr>
          <w:rFonts w:ascii="Times New Roman" w:hAnsi="Times New Roman" w:cs="Times New Roman"/>
        </w:rPr>
        <w:t xml:space="preserve">από υψηλής πυκνότητας πολυαιθυλένιο </w:t>
      </w:r>
      <w:r w:rsidRPr="009C33D5">
        <w:rPr>
          <w:rFonts w:ascii="Times New Roman" w:hAnsi="Times New Roman" w:cs="Times New Roman"/>
        </w:rPr>
        <w:t>με κεφαλή από υψηλής πυκνότητας πολυαιθυλένιο, που κλείνει μ</w:t>
      </w:r>
      <w:r w:rsidR="00D737C3">
        <w:rPr>
          <w:rFonts w:ascii="Times New Roman" w:hAnsi="Times New Roman" w:cs="Times New Roman"/>
        </w:rPr>
        <w:t>’</w:t>
      </w:r>
      <w:r w:rsidR="000C045F">
        <w:rPr>
          <w:rFonts w:ascii="Times New Roman" w:hAnsi="Times New Roman" w:cs="Times New Roman"/>
        </w:rPr>
        <w:t xml:space="preserve"> </w:t>
      </w:r>
      <w:r w:rsidRPr="009C33D5">
        <w:rPr>
          <w:rFonts w:ascii="Times New Roman" w:hAnsi="Times New Roman" w:cs="Times New Roman"/>
        </w:rPr>
        <w:t>ένα λευκό βιδωτό πώμα πολυπροπυλενίου.</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Περιέκτης πολλαπλών δόσεων με αντλία χωρίς χρήση αέρα:</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Λευκός περιέκτης πολλαπλών δόσεων με αντλία χωρίς χρήση αέρα και αποσπώμενο πώμα των 15 g, 30 g, 45 g και 60 g</w:t>
      </w:r>
      <w:r w:rsidR="00D737C3">
        <w:rPr>
          <w:rFonts w:ascii="Times New Roman" w:hAnsi="Times New Roman" w:cs="Times New Roman"/>
        </w:rPr>
        <w:t>,</w:t>
      </w:r>
      <w:r w:rsidRPr="009C33D5">
        <w:rPr>
          <w:rFonts w:ascii="Times New Roman" w:hAnsi="Times New Roman" w:cs="Times New Roman"/>
        </w:rPr>
        <w:t xml:space="preserve"> που κατασκευάζεται από πολυπροπυλένιο, χαμηλής πυκνότητας πολυαιθυλένιο και υψηλής πυκνότητας πολυαιθυλένιο.</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Μπορεί να μην κυκλοφορούν όλες οι συσκευασίες.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6.6</w:t>
      </w:r>
      <w:r w:rsidRPr="009C33D5">
        <w:rPr>
          <w:rFonts w:ascii="Times New Roman" w:hAnsi="Times New Roman" w:cs="Times New Roman"/>
          <w:b/>
        </w:rPr>
        <w:tab/>
        <w:t>Ιδιαίτερες προφυλάξεις απόρριψης και άλλος χειρισμός</w:t>
      </w:r>
    </w:p>
    <w:p w:rsidR="00F205E6" w:rsidRDefault="00F205E6"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Καμία ειδική υποχρέωση.</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Κάθε αχρησιμοποίητο φαρμακευτικό προϊόν ή υπόλειμμα πρέπει να απορρίπτεται σύμφωνα με τις κατά τόπους ισχύουσες σχετικές διατάξεις.</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7.</w:t>
      </w:r>
      <w:r w:rsidRPr="009C33D5">
        <w:rPr>
          <w:rFonts w:ascii="Times New Roman" w:hAnsi="Times New Roman" w:cs="Times New Roman"/>
          <w:b/>
        </w:rPr>
        <w:tab/>
        <w:t>ΚΑΤΟΧΟΣ ΤΗΣ ΑΔΕΙΑΣ ΚΥΚΛΟΦΟΡΙΑΣ</w:t>
      </w:r>
    </w:p>
    <w:p w:rsidR="00F205E6" w:rsidRDefault="00F205E6" w:rsidP="009C33D5">
      <w:pPr>
        <w:spacing w:after="0" w:line="240" w:lineRule="auto"/>
        <w:rPr>
          <w:rFonts w:ascii="Times New Roman" w:hAnsi="Times New Roman" w:cs="Times New Roman"/>
          <w:b/>
        </w:rPr>
      </w:pPr>
    </w:p>
    <w:p w:rsidR="003D4EBF" w:rsidRPr="00314ACD" w:rsidRDefault="003D4EBF" w:rsidP="009C33D5">
      <w:pPr>
        <w:spacing w:after="0" w:line="240" w:lineRule="auto"/>
        <w:rPr>
          <w:rFonts w:ascii="Times New Roman" w:hAnsi="Times New Roman" w:cs="Times New Roman"/>
          <w:b/>
        </w:rPr>
      </w:pPr>
      <w:r w:rsidRPr="00314ACD">
        <w:rPr>
          <w:rFonts w:ascii="Times New Roman" w:hAnsi="Times New Roman" w:cs="Times New Roman"/>
          <w:b/>
        </w:rPr>
        <w:t>Ελλάδα</w:t>
      </w:r>
    </w:p>
    <w:p w:rsidR="009C33D5" w:rsidRPr="00F205E6" w:rsidRDefault="009C33D5" w:rsidP="009C33D5">
      <w:pPr>
        <w:spacing w:after="0" w:line="240" w:lineRule="auto"/>
        <w:rPr>
          <w:rFonts w:ascii="Times New Roman" w:hAnsi="Times New Roman" w:cs="Times New Roman"/>
        </w:rPr>
      </w:pPr>
      <w:r w:rsidRPr="00314ACD">
        <w:rPr>
          <w:rFonts w:ascii="Times New Roman" w:hAnsi="Times New Roman" w:cs="Times New Roman"/>
        </w:rPr>
        <w:t>GALDERMA ΕΛΛΑΣ Α.Ε.</w:t>
      </w:r>
    </w:p>
    <w:p w:rsidR="009C33D5" w:rsidRPr="00314ACD" w:rsidRDefault="009C33D5" w:rsidP="009C33D5">
      <w:pPr>
        <w:spacing w:after="0" w:line="240" w:lineRule="auto"/>
        <w:rPr>
          <w:rFonts w:ascii="Times New Roman" w:hAnsi="Times New Roman" w:cs="Times New Roman"/>
        </w:rPr>
      </w:pPr>
      <w:r w:rsidRPr="009C33D5">
        <w:rPr>
          <w:rFonts w:ascii="Times New Roman" w:hAnsi="Times New Roman" w:cs="Times New Roman"/>
        </w:rPr>
        <w:t xml:space="preserve">Λεωφ. Πεντέλης </w:t>
      </w:r>
      <w:r w:rsidRPr="00314ACD">
        <w:rPr>
          <w:rFonts w:ascii="Times New Roman" w:hAnsi="Times New Roman" w:cs="Times New Roman"/>
        </w:rPr>
        <w:t>31</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152 35 Βριλήσσια</w:t>
      </w:r>
    </w:p>
    <w:p w:rsidR="009C33D5" w:rsidRPr="009C33D5" w:rsidRDefault="009C33D5" w:rsidP="009C33D5">
      <w:pPr>
        <w:spacing w:after="0" w:line="240" w:lineRule="auto"/>
        <w:rPr>
          <w:rFonts w:ascii="Times New Roman" w:hAnsi="Times New Roman" w:cs="Times New Roman"/>
        </w:rPr>
      </w:pPr>
      <w:r w:rsidRPr="009C33D5">
        <w:rPr>
          <w:rFonts w:ascii="Times New Roman" w:hAnsi="Times New Roman" w:cs="Times New Roman"/>
        </w:rPr>
        <w:t>Ελλάδα</w:t>
      </w:r>
    </w:p>
    <w:p w:rsidR="003D4EBF" w:rsidRDefault="003D4EBF" w:rsidP="003D4EBF">
      <w:pPr>
        <w:spacing w:after="0" w:line="240" w:lineRule="auto"/>
        <w:rPr>
          <w:rFonts w:ascii="Times New Roman" w:eastAsia="Calibri" w:hAnsi="Times New Roman" w:cs="Times New Roman"/>
        </w:rPr>
      </w:pPr>
    </w:p>
    <w:p w:rsidR="003D4EBF" w:rsidRPr="00314ACD" w:rsidRDefault="003D4EBF" w:rsidP="003D4EBF">
      <w:pPr>
        <w:spacing w:after="0" w:line="240" w:lineRule="auto"/>
        <w:rPr>
          <w:rFonts w:ascii="Times New Roman" w:eastAsia="Calibri" w:hAnsi="Times New Roman" w:cs="Times New Roman"/>
          <w:b/>
        </w:rPr>
      </w:pPr>
      <w:r w:rsidRPr="00314ACD">
        <w:rPr>
          <w:rFonts w:ascii="Times New Roman" w:eastAsia="Calibri" w:hAnsi="Times New Roman" w:cs="Times New Roman"/>
          <w:b/>
        </w:rPr>
        <w:t>Κύπρος</w:t>
      </w:r>
    </w:p>
    <w:p w:rsidR="003D4EBF" w:rsidRPr="00314ACD" w:rsidRDefault="003D4EBF" w:rsidP="003D4EBF">
      <w:pPr>
        <w:tabs>
          <w:tab w:val="left" w:pos="360"/>
        </w:tabs>
        <w:spacing w:after="0" w:line="240" w:lineRule="auto"/>
        <w:rPr>
          <w:rFonts w:ascii="Times New Roman" w:eastAsia="Calibri" w:hAnsi="Times New Roman" w:cs="Times New Roman"/>
          <w:bCs/>
        </w:rPr>
      </w:pPr>
      <w:r>
        <w:rPr>
          <w:rFonts w:ascii="Times New Roman" w:eastAsia="Calibri" w:hAnsi="Times New Roman" w:cs="Times New Roman"/>
          <w:bCs/>
          <w:lang w:val="en-US"/>
        </w:rPr>
        <w:t>GALDERMA</w:t>
      </w:r>
      <w:r w:rsidRPr="00314ACD">
        <w:rPr>
          <w:rFonts w:ascii="Times New Roman" w:eastAsia="Calibri" w:hAnsi="Times New Roman" w:cs="Times New Roman"/>
          <w:bCs/>
        </w:rPr>
        <w:t xml:space="preserve"> </w:t>
      </w:r>
      <w:r>
        <w:rPr>
          <w:rFonts w:ascii="Times New Roman" w:eastAsia="Calibri" w:hAnsi="Times New Roman" w:cs="Times New Roman"/>
          <w:bCs/>
          <w:lang w:val="en-US"/>
        </w:rPr>
        <w:t>INTERNATIONAL</w:t>
      </w:r>
    </w:p>
    <w:p w:rsidR="003D4EBF" w:rsidRPr="003D4EBF" w:rsidRDefault="003D4EBF" w:rsidP="003D4EBF">
      <w:pPr>
        <w:tabs>
          <w:tab w:val="left" w:pos="360"/>
        </w:tabs>
        <w:spacing w:after="0" w:line="240" w:lineRule="auto"/>
        <w:rPr>
          <w:rFonts w:ascii="Times New Roman" w:eastAsia="Calibri" w:hAnsi="Times New Roman" w:cs="Times New Roman"/>
          <w:bCs/>
          <w:lang w:val="en-US"/>
        </w:rPr>
      </w:pPr>
      <w:r w:rsidRPr="003D4EBF">
        <w:rPr>
          <w:rFonts w:ascii="Times New Roman" w:eastAsia="Calibri" w:hAnsi="Times New Roman" w:cs="Times New Roman"/>
          <w:bCs/>
          <w:lang w:val="en-US"/>
        </w:rPr>
        <w:t>Tour Europlaza, 20 avenue André Prothin - La Défense 4</w:t>
      </w:r>
    </w:p>
    <w:p w:rsidR="003D4EBF" w:rsidRDefault="003D4EBF" w:rsidP="003D4EBF">
      <w:pPr>
        <w:tabs>
          <w:tab w:val="left" w:pos="360"/>
        </w:tabs>
        <w:spacing w:after="0" w:line="240" w:lineRule="auto"/>
        <w:rPr>
          <w:rFonts w:ascii="Times New Roman" w:eastAsia="Calibri" w:hAnsi="Times New Roman" w:cs="Times New Roman"/>
          <w:bCs/>
        </w:rPr>
      </w:pPr>
      <w:r w:rsidRPr="00314ACD">
        <w:rPr>
          <w:rFonts w:ascii="Times New Roman" w:eastAsia="Calibri" w:hAnsi="Times New Roman" w:cs="Times New Roman"/>
          <w:bCs/>
        </w:rPr>
        <w:t xml:space="preserve">92 927 </w:t>
      </w:r>
      <w:r w:rsidRPr="003D4EBF">
        <w:rPr>
          <w:rFonts w:ascii="Times New Roman" w:eastAsia="Calibri" w:hAnsi="Times New Roman" w:cs="Times New Roman"/>
          <w:bCs/>
          <w:lang w:val="en-US"/>
        </w:rPr>
        <w:t>La</w:t>
      </w:r>
      <w:r w:rsidRPr="00314ACD">
        <w:rPr>
          <w:rFonts w:ascii="Times New Roman" w:eastAsia="Calibri" w:hAnsi="Times New Roman" w:cs="Times New Roman"/>
          <w:bCs/>
        </w:rPr>
        <w:t xml:space="preserve"> </w:t>
      </w:r>
      <w:r w:rsidRPr="003D4EBF">
        <w:rPr>
          <w:rFonts w:ascii="Times New Roman" w:eastAsia="Calibri" w:hAnsi="Times New Roman" w:cs="Times New Roman"/>
          <w:bCs/>
          <w:lang w:val="en-US"/>
        </w:rPr>
        <w:t>D</w:t>
      </w:r>
      <w:r w:rsidRPr="00314ACD">
        <w:rPr>
          <w:rFonts w:ascii="Times New Roman" w:eastAsia="Calibri" w:hAnsi="Times New Roman" w:cs="Times New Roman"/>
          <w:bCs/>
        </w:rPr>
        <w:t>é</w:t>
      </w:r>
      <w:r w:rsidRPr="003D4EBF">
        <w:rPr>
          <w:rFonts w:ascii="Times New Roman" w:eastAsia="Calibri" w:hAnsi="Times New Roman" w:cs="Times New Roman"/>
          <w:bCs/>
          <w:lang w:val="en-US"/>
        </w:rPr>
        <w:t>fense</w:t>
      </w:r>
      <w:r w:rsidRPr="00314ACD">
        <w:rPr>
          <w:rFonts w:ascii="Times New Roman" w:eastAsia="Calibri" w:hAnsi="Times New Roman" w:cs="Times New Roman"/>
          <w:bCs/>
        </w:rPr>
        <w:t xml:space="preserve"> </w:t>
      </w:r>
      <w:r w:rsidRPr="003D4EBF">
        <w:rPr>
          <w:rFonts w:ascii="Times New Roman" w:eastAsia="Calibri" w:hAnsi="Times New Roman" w:cs="Times New Roman"/>
          <w:bCs/>
          <w:lang w:val="en-US"/>
        </w:rPr>
        <w:t>CEDEX</w:t>
      </w:r>
    </w:p>
    <w:p w:rsidR="003D4EBF" w:rsidRPr="003D4EBF" w:rsidRDefault="003D4EBF" w:rsidP="003D4EBF">
      <w:pPr>
        <w:tabs>
          <w:tab w:val="left" w:pos="360"/>
        </w:tabs>
        <w:spacing w:after="0" w:line="240" w:lineRule="auto"/>
        <w:rPr>
          <w:rFonts w:ascii="Times New Roman" w:eastAsia="Calibri" w:hAnsi="Times New Roman" w:cs="Times New Roman"/>
          <w:bCs/>
        </w:rPr>
      </w:pPr>
      <w:r w:rsidRPr="003D4EBF">
        <w:rPr>
          <w:rFonts w:ascii="Times New Roman" w:eastAsia="Calibri" w:hAnsi="Times New Roman" w:cs="Times New Roman"/>
          <w:bCs/>
        </w:rPr>
        <w:t>Γαλλία</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8.</w:t>
      </w:r>
      <w:r w:rsidRPr="009C33D5">
        <w:rPr>
          <w:rFonts w:ascii="Times New Roman" w:hAnsi="Times New Roman" w:cs="Times New Roman"/>
          <w:b/>
        </w:rPr>
        <w:tab/>
        <w:t>ΑΡΙΘΜΟΣ(ΟΙ) ΑΔΕΙΑΣ ΚΥΚΛΟΦΟΡΙΑΣ</w:t>
      </w:r>
    </w:p>
    <w:p w:rsidR="009C33D5" w:rsidRPr="009C33D5" w:rsidRDefault="009C33D5" w:rsidP="009C33D5">
      <w:pPr>
        <w:spacing w:after="0" w:line="240" w:lineRule="auto"/>
        <w:rPr>
          <w:rFonts w:ascii="Times New Roman" w:hAnsi="Times New Roman" w:cs="Times New Roman"/>
        </w:rPr>
      </w:pPr>
    </w:p>
    <w:p w:rsidR="00CC20BD" w:rsidRPr="00314ACD" w:rsidRDefault="00347A87" w:rsidP="009C33D5">
      <w:pPr>
        <w:spacing w:after="0" w:line="240" w:lineRule="auto"/>
        <w:rPr>
          <w:rFonts w:ascii="Times New Roman" w:hAnsi="Times New Roman" w:cs="Times New Roman"/>
          <w:b/>
        </w:rPr>
      </w:pPr>
      <w:r w:rsidRPr="00314ACD">
        <w:rPr>
          <w:rFonts w:ascii="Times New Roman" w:hAnsi="Times New Roman" w:cs="Times New Roman"/>
          <w:b/>
        </w:rPr>
        <w:t>Ελλάδα</w:t>
      </w:r>
    </w:p>
    <w:p w:rsidR="00CC20BD" w:rsidRPr="00314ACD" w:rsidRDefault="00B66064" w:rsidP="009C33D5">
      <w:pPr>
        <w:spacing w:after="0" w:line="240" w:lineRule="auto"/>
        <w:rPr>
          <w:rFonts w:ascii="Times New Roman" w:hAnsi="Times New Roman" w:cs="Times New Roman"/>
        </w:rPr>
      </w:pPr>
      <w:r w:rsidRPr="00B66064">
        <w:rPr>
          <w:rFonts w:ascii="Times New Roman" w:hAnsi="Times New Roman" w:cs="Times New Roman"/>
        </w:rPr>
        <w:t>18790/23-02-2016</w:t>
      </w:r>
    </w:p>
    <w:p w:rsidR="00C94688" w:rsidRPr="004D42F2" w:rsidRDefault="00C94688" w:rsidP="009C33D5">
      <w:pPr>
        <w:spacing w:after="0" w:line="240" w:lineRule="auto"/>
        <w:rPr>
          <w:rFonts w:ascii="Times New Roman" w:hAnsi="Times New Roman" w:cs="Times New Roman"/>
        </w:rPr>
      </w:pPr>
    </w:p>
    <w:p w:rsidR="00CC20BD" w:rsidRPr="00314ACD" w:rsidRDefault="00CC20BD" w:rsidP="009C33D5">
      <w:pPr>
        <w:spacing w:after="0" w:line="240" w:lineRule="auto"/>
        <w:rPr>
          <w:rFonts w:ascii="Times New Roman" w:hAnsi="Times New Roman" w:cs="Times New Roman"/>
          <w:b/>
        </w:rPr>
      </w:pPr>
      <w:r w:rsidRPr="00314ACD">
        <w:rPr>
          <w:rFonts w:ascii="Times New Roman" w:hAnsi="Times New Roman" w:cs="Times New Roman"/>
          <w:b/>
        </w:rPr>
        <w:t xml:space="preserve">Κύπρος </w:t>
      </w:r>
    </w:p>
    <w:p w:rsidR="00CC20BD" w:rsidRPr="00C94688" w:rsidRDefault="003D4EBF" w:rsidP="009C33D5">
      <w:pPr>
        <w:spacing w:after="0" w:line="240" w:lineRule="auto"/>
        <w:rPr>
          <w:rFonts w:ascii="Times New Roman" w:hAnsi="Times New Roman" w:cs="Times New Roman"/>
        </w:rPr>
      </w:pPr>
      <w:r>
        <w:rPr>
          <w:rFonts w:ascii="Times New Roman" w:hAnsi="Times New Roman" w:cs="Times New Roman"/>
        </w:rPr>
        <w:t>0</w:t>
      </w:r>
      <w:r w:rsidR="00CC20BD">
        <w:rPr>
          <w:rFonts w:ascii="Times New Roman" w:hAnsi="Times New Roman" w:cs="Times New Roman"/>
        </w:rPr>
        <w:t>22596</w:t>
      </w: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rPr>
      </w:pPr>
    </w:p>
    <w:p w:rsidR="009C33D5" w:rsidRPr="009C33D5" w:rsidRDefault="009C33D5" w:rsidP="009C33D5">
      <w:pPr>
        <w:spacing w:after="0" w:line="240" w:lineRule="auto"/>
        <w:rPr>
          <w:rFonts w:ascii="Times New Roman" w:hAnsi="Times New Roman" w:cs="Times New Roman"/>
          <w:b/>
        </w:rPr>
      </w:pPr>
      <w:r w:rsidRPr="009C33D5">
        <w:rPr>
          <w:rFonts w:ascii="Times New Roman" w:hAnsi="Times New Roman" w:cs="Times New Roman"/>
          <w:b/>
        </w:rPr>
        <w:t>9.</w:t>
      </w:r>
      <w:r w:rsidRPr="009C33D5">
        <w:rPr>
          <w:rFonts w:ascii="Times New Roman" w:hAnsi="Times New Roman" w:cs="Times New Roman"/>
          <w:b/>
        </w:rPr>
        <w:tab/>
        <w:t>ΗΜΕΡΟΜΗΝΙΑ ΠΡΩΤΗΣ ΕΓΚΡΙΣΗΣ/ΑΝΑΝΕΩΣΗΣ ΤΗΣ ΑΔΕΙΑΣ</w:t>
      </w:r>
    </w:p>
    <w:p w:rsidR="009C33D5" w:rsidRPr="009C33D5" w:rsidRDefault="009C33D5" w:rsidP="009C33D5">
      <w:pPr>
        <w:spacing w:after="0" w:line="240" w:lineRule="auto"/>
        <w:rPr>
          <w:rFonts w:ascii="Times New Roman" w:hAnsi="Times New Roman" w:cs="Times New Roman"/>
        </w:rPr>
      </w:pPr>
    </w:p>
    <w:p w:rsidR="00CC20BD" w:rsidRPr="00314ACD" w:rsidRDefault="00CC20BD" w:rsidP="009C33D5">
      <w:pPr>
        <w:spacing w:after="0" w:line="240" w:lineRule="auto"/>
        <w:rPr>
          <w:rFonts w:ascii="Times New Roman" w:hAnsi="Times New Roman" w:cs="Times New Roman"/>
          <w:b/>
        </w:rPr>
      </w:pPr>
      <w:r w:rsidRPr="00314ACD">
        <w:rPr>
          <w:rFonts w:ascii="Times New Roman" w:hAnsi="Times New Roman" w:cs="Times New Roman"/>
          <w:b/>
        </w:rPr>
        <w:t>Ελλάδα</w:t>
      </w:r>
    </w:p>
    <w:p w:rsidR="009C33D5" w:rsidRPr="009C33D5" w:rsidRDefault="00310A0E" w:rsidP="009C33D5">
      <w:pPr>
        <w:spacing w:after="0" w:line="240" w:lineRule="auto"/>
        <w:rPr>
          <w:rFonts w:ascii="Times New Roman" w:hAnsi="Times New Roman" w:cs="Times New Roman"/>
        </w:rPr>
      </w:pPr>
      <w:r>
        <w:rPr>
          <w:rFonts w:ascii="Times New Roman" w:hAnsi="Times New Roman" w:cs="Times New Roman"/>
        </w:rPr>
        <w:t>Ημερομηνία πρώτης έγκρισης</w:t>
      </w:r>
      <w:r w:rsidRPr="00314ACD">
        <w:rPr>
          <w:rFonts w:ascii="Times New Roman" w:hAnsi="Times New Roman" w:cs="Times New Roman"/>
        </w:rPr>
        <w:t>:</w:t>
      </w:r>
      <w:r w:rsidR="00CC20BD">
        <w:rPr>
          <w:rFonts w:ascii="Times New Roman" w:hAnsi="Times New Roman" w:cs="Times New Roman"/>
        </w:rPr>
        <w:t xml:space="preserve"> </w:t>
      </w:r>
      <w:r w:rsidR="009C33D5" w:rsidRPr="009C33D5">
        <w:rPr>
          <w:rFonts w:ascii="Times New Roman" w:hAnsi="Times New Roman" w:cs="Times New Roman"/>
        </w:rPr>
        <w:t>27</w:t>
      </w:r>
      <w:r>
        <w:rPr>
          <w:rFonts w:ascii="Times New Roman" w:hAnsi="Times New Roman" w:cs="Times New Roman"/>
        </w:rPr>
        <w:t xml:space="preserve"> Οκτωβρίου</w:t>
      </w:r>
      <w:r w:rsidR="00CC20BD">
        <w:rPr>
          <w:rFonts w:ascii="Times New Roman" w:hAnsi="Times New Roman" w:cs="Times New Roman"/>
        </w:rPr>
        <w:t xml:space="preserve"> </w:t>
      </w:r>
      <w:r w:rsidR="009C33D5" w:rsidRPr="009C33D5">
        <w:rPr>
          <w:rFonts w:ascii="Times New Roman" w:hAnsi="Times New Roman" w:cs="Times New Roman"/>
        </w:rPr>
        <w:t>2010</w:t>
      </w:r>
    </w:p>
    <w:p w:rsidR="009C33D5" w:rsidRPr="00310A0E" w:rsidRDefault="00310A0E" w:rsidP="009C33D5">
      <w:pPr>
        <w:spacing w:after="0" w:line="240" w:lineRule="auto"/>
        <w:rPr>
          <w:rFonts w:ascii="Times New Roman" w:hAnsi="Times New Roman" w:cs="Times New Roman"/>
        </w:rPr>
      </w:pPr>
      <w:r>
        <w:rPr>
          <w:rFonts w:ascii="Times New Roman" w:hAnsi="Times New Roman" w:cs="Times New Roman"/>
        </w:rPr>
        <w:t>Ημερομηνία τελευταίας ανανέωσης</w:t>
      </w:r>
      <w:r w:rsidRPr="00314ACD">
        <w:rPr>
          <w:rFonts w:ascii="Times New Roman" w:hAnsi="Times New Roman" w:cs="Times New Roman"/>
        </w:rPr>
        <w:t>:</w:t>
      </w:r>
      <w:r>
        <w:rPr>
          <w:rFonts w:ascii="Times New Roman" w:hAnsi="Times New Roman" w:cs="Times New Roman"/>
        </w:rPr>
        <w:t xml:space="preserve"> 23 Φεβρουαρίου 2016</w:t>
      </w:r>
    </w:p>
    <w:p w:rsidR="009C33D5" w:rsidRDefault="009C33D5" w:rsidP="009C33D5">
      <w:pPr>
        <w:spacing w:after="0" w:line="240" w:lineRule="auto"/>
        <w:rPr>
          <w:rFonts w:ascii="Times New Roman" w:hAnsi="Times New Roman" w:cs="Times New Roman"/>
        </w:rPr>
      </w:pPr>
    </w:p>
    <w:p w:rsidR="00CC20BD" w:rsidRPr="00314ACD" w:rsidRDefault="00CC20BD" w:rsidP="009C33D5">
      <w:pPr>
        <w:spacing w:after="0" w:line="240" w:lineRule="auto"/>
        <w:rPr>
          <w:rFonts w:ascii="Times New Roman" w:hAnsi="Times New Roman" w:cs="Times New Roman"/>
          <w:b/>
        </w:rPr>
      </w:pPr>
      <w:r w:rsidRPr="00314ACD">
        <w:rPr>
          <w:rFonts w:ascii="Times New Roman" w:hAnsi="Times New Roman" w:cs="Times New Roman"/>
          <w:b/>
        </w:rPr>
        <w:t>Κύπρος</w:t>
      </w:r>
    </w:p>
    <w:p w:rsidR="00CC20BD" w:rsidRDefault="00CC20BD" w:rsidP="009C33D5">
      <w:pPr>
        <w:spacing w:after="0" w:line="240" w:lineRule="auto"/>
        <w:rPr>
          <w:rFonts w:ascii="Times New Roman" w:hAnsi="Times New Roman" w:cs="Times New Roman"/>
        </w:rPr>
      </w:pPr>
      <w:r>
        <w:rPr>
          <w:rFonts w:ascii="Times New Roman" w:hAnsi="Times New Roman" w:cs="Times New Roman"/>
        </w:rPr>
        <w:t>Ημερομηνία πρώτης έγκρισης</w:t>
      </w:r>
      <w:r w:rsidRPr="00F17C4D">
        <w:rPr>
          <w:rFonts w:ascii="Times New Roman" w:hAnsi="Times New Roman" w:cs="Times New Roman"/>
        </w:rPr>
        <w:t>:</w:t>
      </w:r>
      <w:r>
        <w:rPr>
          <w:rFonts w:ascii="Times New Roman" w:hAnsi="Times New Roman" w:cs="Times New Roman"/>
        </w:rPr>
        <w:t xml:space="preserve"> 20 Ιουλίου </w:t>
      </w:r>
      <w:r w:rsidRPr="009C33D5">
        <w:rPr>
          <w:rFonts w:ascii="Times New Roman" w:hAnsi="Times New Roman" w:cs="Times New Roman"/>
        </w:rPr>
        <w:t>201</w:t>
      </w:r>
      <w:r>
        <w:rPr>
          <w:rFonts w:ascii="Times New Roman" w:hAnsi="Times New Roman" w:cs="Times New Roman"/>
        </w:rPr>
        <w:t>7</w:t>
      </w:r>
    </w:p>
    <w:p w:rsidR="00CC20BD" w:rsidRPr="009C33D5" w:rsidRDefault="00CC20BD" w:rsidP="009C33D5">
      <w:pPr>
        <w:spacing w:after="0" w:line="240" w:lineRule="auto"/>
        <w:rPr>
          <w:rFonts w:ascii="Times New Roman" w:hAnsi="Times New Roman" w:cs="Times New Roman"/>
        </w:rPr>
      </w:pPr>
    </w:p>
    <w:p w:rsidR="009C33D5" w:rsidRPr="00D91613" w:rsidRDefault="009C33D5" w:rsidP="009C33D5">
      <w:pPr>
        <w:spacing w:after="0" w:line="240" w:lineRule="auto"/>
        <w:rPr>
          <w:rFonts w:ascii="Times New Roman" w:hAnsi="Times New Roman" w:cs="Times New Roman"/>
          <w:b/>
        </w:rPr>
      </w:pPr>
      <w:r w:rsidRPr="009C33D5">
        <w:rPr>
          <w:rFonts w:ascii="Times New Roman" w:hAnsi="Times New Roman" w:cs="Times New Roman"/>
          <w:b/>
        </w:rPr>
        <w:lastRenderedPageBreak/>
        <w:t>10.</w:t>
      </w:r>
      <w:r w:rsidRPr="009C33D5">
        <w:rPr>
          <w:rFonts w:ascii="Times New Roman" w:hAnsi="Times New Roman" w:cs="Times New Roman"/>
          <w:b/>
        </w:rPr>
        <w:tab/>
        <w:t>ΗΜΕΡΟΜΗΝΙΑ ΑΝΑΘΕΩΡΗΣΗΣ ΤΟΥ ΚΕΙΜΕΝΟΥ</w:t>
      </w:r>
    </w:p>
    <w:p w:rsidR="00C94688" w:rsidRPr="00314ACD" w:rsidRDefault="00C94688" w:rsidP="00314ACD">
      <w:pPr>
        <w:spacing w:after="0" w:line="240" w:lineRule="auto"/>
        <w:rPr>
          <w:rFonts w:ascii="Times New Roman" w:hAnsi="Times New Roman" w:cs="Times New Roman"/>
          <w:lang w:val="en-US"/>
        </w:rPr>
      </w:pPr>
    </w:p>
    <w:sectPr w:rsidR="00C94688" w:rsidRPr="00314AC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01" w:rsidRDefault="007E4901" w:rsidP="00314ACD">
      <w:pPr>
        <w:spacing w:after="0" w:line="240" w:lineRule="auto"/>
      </w:pPr>
      <w:r>
        <w:separator/>
      </w:r>
    </w:p>
  </w:endnote>
  <w:endnote w:type="continuationSeparator" w:id="0">
    <w:p w:rsidR="007E4901" w:rsidRDefault="007E4901" w:rsidP="0031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17188"/>
      <w:docPartObj>
        <w:docPartGallery w:val="Page Numbers (Bottom of Page)"/>
        <w:docPartUnique/>
      </w:docPartObj>
    </w:sdtPr>
    <w:sdtContent>
      <w:p w:rsidR="00314ACD" w:rsidRDefault="00314ACD">
        <w:pPr>
          <w:pStyle w:val="a6"/>
          <w:jc w:val="center"/>
        </w:pPr>
        <w:r>
          <w:fldChar w:fldCharType="begin"/>
        </w:r>
        <w:r>
          <w:instrText>PAGE   \* MERGEFORMAT</w:instrText>
        </w:r>
        <w:r>
          <w:fldChar w:fldCharType="separate"/>
        </w:r>
        <w:r>
          <w:rPr>
            <w:noProof/>
          </w:rPr>
          <w:t>2</w:t>
        </w:r>
        <w:r>
          <w:fldChar w:fldCharType="end"/>
        </w:r>
      </w:p>
    </w:sdtContent>
  </w:sdt>
  <w:p w:rsidR="00314ACD" w:rsidRDefault="00314A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01" w:rsidRDefault="007E4901" w:rsidP="00314ACD">
      <w:pPr>
        <w:spacing w:after="0" w:line="240" w:lineRule="auto"/>
      </w:pPr>
      <w:r>
        <w:separator/>
      </w:r>
    </w:p>
  </w:footnote>
  <w:footnote w:type="continuationSeparator" w:id="0">
    <w:p w:rsidR="007E4901" w:rsidRDefault="007E4901" w:rsidP="00314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2464"/>
    <w:multiLevelType w:val="hybridMultilevel"/>
    <w:tmpl w:val="A82E74A8"/>
    <w:lvl w:ilvl="0" w:tplc="BF76818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6304810"/>
    <w:multiLevelType w:val="hybridMultilevel"/>
    <w:tmpl w:val="83F4C8A2"/>
    <w:lvl w:ilvl="0" w:tplc="04080001">
      <w:start w:val="1"/>
      <w:numFmt w:val="bullet"/>
      <w:lvlText w:val=""/>
      <w:lvlJc w:val="left"/>
      <w:pPr>
        <w:ind w:left="1494" w:hanging="360"/>
      </w:pPr>
      <w:rPr>
        <w:rFonts w:ascii="Symbol" w:hAnsi="Symbo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D5"/>
    <w:rsid w:val="000044B0"/>
    <w:rsid w:val="00011042"/>
    <w:rsid w:val="00011845"/>
    <w:rsid w:val="00020C36"/>
    <w:rsid w:val="000233DC"/>
    <w:rsid w:val="00026377"/>
    <w:rsid w:val="0003069B"/>
    <w:rsid w:val="00031D7E"/>
    <w:rsid w:val="00034E87"/>
    <w:rsid w:val="000408B1"/>
    <w:rsid w:val="00041755"/>
    <w:rsid w:val="00042B9D"/>
    <w:rsid w:val="00043DD6"/>
    <w:rsid w:val="000444D3"/>
    <w:rsid w:val="000542C5"/>
    <w:rsid w:val="00057252"/>
    <w:rsid w:val="00060E67"/>
    <w:rsid w:val="00061287"/>
    <w:rsid w:val="0006391D"/>
    <w:rsid w:val="00071D4E"/>
    <w:rsid w:val="00072089"/>
    <w:rsid w:val="00076DB6"/>
    <w:rsid w:val="00082960"/>
    <w:rsid w:val="00082B6F"/>
    <w:rsid w:val="00083C0A"/>
    <w:rsid w:val="00087A5A"/>
    <w:rsid w:val="00090A84"/>
    <w:rsid w:val="000920D0"/>
    <w:rsid w:val="000973F3"/>
    <w:rsid w:val="000A0B66"/>
    <w:rsid w:val="000A571B"/>
    <w:rsid w:val="000A5BA8"/>
    <w:rsid w:val="000A5C8B"/>
    <w:rsid w:val="000B642D"/>
    <w:rsid w:val="000B6EC5"/>
    <w:rsid w:val="000B77AF"/>
    <w:rsid w:val="000C045F"/>
    <w:rsid w:val="000C04E8"/>
    <w:rsid w:val="000C0594"/>
    <w:rsid w:val="000C26FD"/>
    <w:rsid w:val="000C5979"/>
    <w:rsid w:val="000C5ADC"/>
    <w:rsid w:val="000D0F3E"/>
    <w:rsid w:val="000D1D12"/>
    <w:rsid w:val="000D4DD2"/>
    <w:rsid w:val="000D5D7D"/>
    <w:rsid w:val="000D7694"/>
    <w:rsid w:val="000D7C4C"/>
    <w:rsid w:val="000E4DC4"/>
    <w:rsid w:val="000F10A6"/>
    <w:rsid w:val="000F127F"/>
    <w:rsid w:val="000F1A79"/>
    <w:rsid w:val="000F261C"/>
    <w:rsid w:val="000F3D75"/>
    <w:rsid w:val="000F62B7"/>
    <w:rsid w:val="001020F5"/>
    <w:rsid w:val="00104232"/>
    <w:rsid w:val="00112D57"/>
    <w:rsid w:val="001142C8"/>
    <w:rsid w:val="00116E79"/>
    <w:rsid w:val="001204A1"/>
    <w:rsid w:val="00120E6D"/>
    <w:rsid w:val="001230FD"/>
    <w:rsid w:val="00123133"/>
    <w:rsid w:val="001243E2"/>
    <w:rsid w:val="00126B4B"/>
    <w:rsid w:val="001270DF"/>
    <w:rsid w:val="00127352"/>
    <w:rsid w:val="00127598"/>
    <w:rsid w:val="001278B7"/>
    <w:rsid w:val="00135FBD"/>
    <w:rsid w:val="00137A96"/>
    <w:rsid w:val="00144D1C"/>
    <w:rsid w:val="001500D8"/>
    <w:rsid w:val="001523DF"/>
    <w:rsid w:val="00154854"/>
    <w:rsid w:val="00154DD2"/>
    <w:rsid w:val="001560C5"/>
    <w:rsid w:val="00157A46"/>
    <w:rsid w:val="00161188"/>
    <w:rsid w:val="00166783"/>
    <w:rsid w:val="00172807"/>
    <w:rsid w:val="001748C3"/>
    <w:rsid w:val="00176EC0"/>
    <w:rsid w:val="00180207"/>
    <w:rsid w:val="00180F5C"/>
    <w:rsid w:val="00182440"/>
    <w:rsid w:val="00185C42"/>
    <w:rsid w:val="001872BE"/>
    <w:rsid w:val="001903B4"/>
    <w:rsid w:val="001A15B4"/>
    <w:rsid w:val="001A39BF"/>
    <w:rsid w:val="001A3BAA"/>
    <w:rsid w:val="001B319D"/>
    <w:rsid w:val="001B36B1"/>
    <w:rsid w:val="001B3A8B"/>
    <w:rsid w:val="001B40A9"/>
    <w:rsid w:val="001B4328"/>
    <w:rsid w:val="001B57DC"/>
    <w:rsid w:val="001B6500"/>
    <w:rsid w:val="001B6EEA"/>
    <w:rsid w:val="001C238D"/>
    <w:rsid w:val="001C2487"/>
    <w:rsid w:val="001C2EEC"/>
    <w:rsid w:val="001C4833"/>
    <w:rsid w:val="001C6E74"/>
    <w:rsid w:val="001D649F"/>
    <w:rsid w:val="001D7DD8"/>
    <w:rsid w:val="001E0630"/>
    <w:rsid w:val="001E0FDD"/>
    <w:rsid w:val="001E14D5"/>
    <w:rsid w:val="001E3700"/>
    <w:rsid w:val="001E3950"/>
    <w:rsid w:val="001E39D1"/>
    <w:rsid w:val="001E5FD8"/>
    <w:rsid w:val="001E6A28"/>
    <w:rsid w:val="001E6A6B"/>
    <w:rsid w:val="001F1907"/>
    <w:rsid w:val="001F64D6"/>
    <w:rsid w:val="001F7399"/>
    <w:rsid w:val="001F75F6"/>
    <w:rsid w:val="001F7776"/>
    <w:rsid w:val="002002E2"/>
    <w:rsid w:val="002010C2"/>
    <w:rsid w:val="00205136"/>
    <w:rsid w:val="0021225E"/>
    <w:rsid w:val="002169BF"/>
    <w:rsid w:val="00216ADF"/>
    <w:rsid w:val="0022002F"/>
    <w:rsid w:val="00227CE8"/>
    <w:rsid w:val="00230402"/>
    <w:rsid w:val="0023240D"/>
    <w:rsid w:val="00232FD5"/>
    <w:rsid w:val="00243120"/>
    <w:rsid w:val="0024577C"/>
    <w:rsid w:val="00250027"/>
    <w:rsid w:val="00253659"/>
    <w:rsid w:val="00253DDB"/>
    <w:rsid w:val="0025497F"/>
    <w:rsid w:val="00255ACF"/>
    <w:rsid w:val="00255C24"/>
    <w:rsid w:val="002577C8"/>
    <w:rsid w:val="00260D66"/>
    <w:rsid w:val="0027561E"/>
    <w:rsid w:val="0027681B"/>
    <w:rsid w:val="00277A00"/>
    <w:rsid w:val="00281B5B"/>
    <w:rsid w:val="00282239"/>
    <w:rsid w:val="00283F23"/>
    <w:rsid w:val="00284D29"/>
    <w:rsid w:val="002A14BE"/>
    <w:rsid w:val="002A4FA7"/>
    <w:rsid w:val="002A7A2E"/>
    <w:rsid w:val="002B0B01"/>
    <w:rsid w:val="002B4F73"/>
    <w:rsid w:val="002B7EA6"/>
    <w:rsid w:val="002C10FC"/>
    <w:rsid w:val="002C5695"/>
    <w:rsid w:val="002C64EE"/>
    <w:rsid w:val="002C671F"/>
    <w:rsid w:val="002C68DE"/>
    <w:rsid w:val="002D28DD"/>
    <w:rsid w:val="002D4CD4"/>
    <w:rsid w:val="002D4DEA"/>
    <w:rsid w:val="002E5410"/>
    <w:rsid w:val="002E7A6B"/>
    <w:rsid w:val="002F6A88"/>
    <w:rsid w:val="0030020C"/>
    <w:rsid w:val="0030030D"/>
    <w:rsid w:val="0030199E"/>
    <w:rsid w:val="003026CE"/>
    <w:rsid w:val="00310A0E"/>
    <w:rsid w:val="00310C92"/>
    <w:rsid w:val="0031101F"/>
    <w:rsid w:val="00314ACD"/>
    <w:rsid w:val="003157C0"/>
    <w:rsid w:val="00315C8B"/>
    <w:rsid w:val="00316A84"/>
    <w:rsid w:val="00316B1C"/>
    <w:rsid w:val="00317071"/>
    <w:rsid w:val="00320A68"/>
    <w:rsid w:val="003211CB"/>
    <w:rsid w:val="00321AE3"/>
    <w:rsid w:val="00322E58"/>
    <w:rsid w:val="00323DB7"/>
    <w:rsid w:val="00326F19"/>
    <w:rsid w:val="00330C0D"/>
    <w:rsid w:val="00332D58"/>
    <w:rsid w:val="00333A5C"/>
    <w:rsid w:val="00333F1F"/>
    <w:rsid w:val="003348BE"/>
    <w:rsid w:val="00336652"/>
    <w:rsid w:val="003421C0"/>
    <w:rsid w:val="00344D47"/>
    <w:rsid w:val="00347A87"/>
    <w:rsid w:val="00351D3B"/>
    <w:rsid w:val="00354705"/>
    <w:rsid w:val="00356009"/>
    <w:rsid w:val="003566A8"/>
    <w:rsid w:val="00366639"/>
    <w:rsid w:val="003709FA"/>
    <w:rsid w:val="00371CA9"/>
    <w:rsid w:val="003723E3"/>
    <w:rsid w:val="003804A9"/>
    <w:rsid w:val="003813B5"/>
    <w:rsid w:val="003822A2"/>
    <w:rsid w:val="00384FEB"/>
    <w:rsid w:val="00387854"/>
    <w:rsid w:val="00395E4D"/>
    <w:rsid w:val="003977AC"/>
    <w:rsid w:val="003977DB"/>
    <w:rsid w:val="00397DAB"/>
    <w:rsid w:val="003A0188"/>
    <w:rsid w:val="003A18B6"/>
    <w:rsid w:val="003A34E0"/>
    <w:rsid w:val="003A571B"/>
    <w:rsid w:val="003A5A92"/>
    <w:rsid w:val="003A7444"/>
    <w:rsid w:val="003B0293"/>
    <w:rsid w:val="003B2768"/>
    <w:rsid w:val="003B6BB4"/>
    <w:rsid w:val="003C0851"/>
    <w:rsid w:val="003C0DB2"/>
    <w:rsid w:val="003C2A0F"/>
    <w:rsid w:val="003C2A83"/>
    <w:rsid w:val="003C3F1C"/>
    <w:rsid w:val="003C69C5"/>
    <w:rsid w:val="003D049C"/>
    <w:rsid w:val="003D4EBF"/>
    <w:rsid w:val="003D78DF"/>
    <w:rsid w:val="003E3CCB"/>
    <w:rsid w:val="003E4561"/>
    <w:rsid w:val="003E5810"/>
    <w:rsid w:val="003E619A"/>
    <w:rsid w:val="003F18F1"/>
    <w:rsid w:val="003F5103"/>
    <w:rsid w:val="004024A4"/>
    <w:rsid w:val="00403BFE"/>
    <w:rsid w:val="00404050"/>
    <w:rsid w:val="00404CD3"/>
    <w:rsid w:val="00406148"/>
    <w:rsid w:val="004062B0"/>
    <w:rsid w:val="00406F60"/>
    <w:rsid w:val="004070DD"/>
    <w:rsid w:val="004073BC"/>
    <w:rsid w:val="00410C20"/>
    <w:rsid w:val="00412D89"/>
    <w:rsid w:val="00412DDC"/>
    <w:rsid w:val="004132F5"/>
    <w:rsid w:val="00416B91"/>
    <w:rsid w:val="0042112F"/>
    <w:rsid w:val="004219A7"/>
    <w:rsid w:val="00422291"/>
    <w:rsid w:val="004231D2"/>
    <w:rsid w:val="004254FB"/>
    <w:rsid w:val="004260A7"/>
    <w:rsid w:val="00440204"/>
    <w:rsid w:val="00441903"/>
    <w:rsid w:val="00444012"/>
    <w:rsid w:val="004470C4"/>
    <w:rsid w:val="00453941"/>
    <w:rsid w:val="004539EC"/>
    <w:rsid w:val="00461C25"/>
    <w:rsid w:val="00462F7B"/>
    <w:rsid w:val="0046319B"/>
    <w:rsid w:val="0046680B"/>
    <w:rsid w:val="00466D8F"/>
    <w:rsid w:val="004765AA"/>
    <w:rsid w:val="00481057"/>
    <w:rsid w:val="00481B00"/>
    <w:rsid w:val="004837E4"/>
    <w:rsid w:val="00484257"/>
    <w:rsid w:val="0048480E"/>
    <w:rsid w:val="004873FF"/>
    <w:rsid w:val="004906F0"/>
    <w:rsid w:val="00493E1A"/>
    <w:rsid w:val="00493FF4"/>
    <w:rsid w:val="00497D62"/>
    <w:rsid w:val="004A27F1"/>
    <w:rsid w:val="004A2D4D"/>
    <w:rsid w:val="004B142D"/>
    <w:rsid w:val="004B1E7E"/>
    <w:rsid w:val="004B2E0F"/>
    <w:rsid w:val="004B348B"/>
    <w:rsid w:val="004B35A0"/>
    <w:rsid w:val="004C1923"/>
    <w:rsid w:val="004D42F2"/>
    <w:rsid w:val="004E05A6"/>
    <w:rsid w:val="004E0613"/>
    <w:rsid w:val="004E0933"/>
    <w:rsid w:val="004E5187"/>
    <w:rsid w:val="005027F2"/>
    <w:rsid w:val="00511C9E"/>
    <w:rsid w:val="00512850"/>
    <w:rsid w:val="00514C18"/>
    <w:rsid w:val="00530656"/>
    <w:rsid w:val="00534674"/>
    <w:rsid w:val="005359B5"/>
    <w:rsid w:val="00537C5F"/>
    <w:rsid w:val="005416CC"/>
    <w:rsid w:val="00543887"/>
    <w:rsid w:val="00550EDB"/>
    <w:rsid w:val="005545AB"/>
    <w:rsid w:val="005550F6"/>
    <w:rsid w:val="005606E1"/>
    <w:rsid w:val="0056264D"/>
    <w:rsid w:val="00562C60"/>
    <w:rsid w:val="00567BA1"/>
    <w:rsid w:val="005718D9"/>
    <w:rsid w:val="00571993"/>
    <w:rsid w:val="00571CEE"/>
    <w:rsid w:val="005730B4"/>
    <w:rsid w:val="005752EF"/>
    <w:rsid w:val="0058083B"/>
    <w:rsid w:val="00584DC7"/>
    <w:rsid w:val="005915FE"/>
    <w:rsid w:val="0059181A"/>
    <w:rsid w:val="00594E1A"/>
    <w:rsid w:val="005965F7"/>
    <w:rsid w:val="005A30D4"/>
    <w:rsid w:val="005A38C6"/>
    <w:rsid w:val="005B739E"/>
    <w:rsid w:val="005D4540"/>
    <w:rsid w:val="005E0745"/>
    <w:rsid w:val="005E4075"/>
    <w:rsid w:val="005F0461"/>
    <w:rsid w:val="005F0482"/>
    <w:rsid w:val="005F58E0"/>
    <w:rsid w:val="005F5A57"/>
    <w:rsid w:val="00604E7F"/>
    <w:rsid w:val="006109EA"/>
    <w:rsid w:val="00610E46"/>
    <w:rsid w:val="0061235D"/>
    <w:rsid w:val="00612946"/>
    <w:rsid w:val="006130AA"/>
    <w:rsid w:val="00614452"/>
    <w:rsid w:val="0061577F"/>
    <w:rsid w:val="0061772C"/>
    <w:rsid w:val="00624C0C"/>
    <w:rsid w:val="00626DF3"/>
    <w:rsid w:val="00626F07"/>
    <w:rsid w:val="00627236"/>
    <w:rsid w:val="006324B1"/>
    <w:rsid w:val="00632A39"/>
    <w:rsid w:val="00632E70"/>
    <w:rsid w:val="00637A08"/>
    <w:rsid w:val="00641C6F"/>
    <w:rsid w:val="00645136"/>
    <w:rsid w:val="006503E3"/>
    <w:rsid w:val="00654E69"/>
    <w:rsid w:val="00661BCE"/>
    <w:rsid w:val="00662381"/>
    <w:rsid w:val="006626EF"/>
    <w:rsid w:val="00662A0C"/>
    <w:rsid w:val="00665F87"/>
    <w:rsid w:val="00667AAD"/>
    <w:rsid w:val="00672240"/>
    <w:rsid w:val="00672805"/>
    <w:rsid w:val="00672BFB"/>
    <w:rsid w:val="006738E9"/>
    <w:rsid w:val="006858B3"/>
    <w:rsid w:val="0068673B"/>
    <w:rsid w:val="0068689F"/>
    <w:rsid w:val="006A0EF7"/>
    <w:rsid w:val="006A3439"/>
    <w:rsid w:val="006B0D91"/>
    <w:rsid w:val="006B45A7"/>
    <w:rsid w:val="006B4AA3"/>
    <w:rsid w:val="006B5B25"/>
    <w:rsid w:val="006C11DE"/>
    <w:rsid w:val="006C1434"/>
    <w:rsid w:val="006C176B"/>
    <w:rsid w:val="006C1BCA"/>
    <w:rsid w:val="006C4A32"/>
    <w:rsid w:val="006D34B5"/>
    <w:rsid w:val="006D4AAC"/>
    <w:rsid w:val="006D57DA"/>
    <w:rsid w:val="006D6197"/>
    <w:rsid w:val="006E0A05"/>
    <w:rsid w:val="006E2BF9"/>
    <w:rsid w:val="006F198A"/>
    <w:rsid w:val="006F2292"/>
    <w:rsid w:val="006F2DF7"/>
    <w:rsid w:val="006F426E"/>
    <w:rsid w:val="006F7768"/>
    <w:rsid w:val="00703075"/>
    <w:rsid w:val="00703132"/>
    <w:rsid w:val="007048A7"/>
    <w:rsid w:val="00705445"/>
    <w:rsid w:val="00705D7F"/>
    <w:rsid w:val="007068EF"/>
    <w:rsid w:val="007111E5"/>
    <w:rsid w:val="00714853"/>
    <w:rsid w:val="00717B74"/>
    <w:rsid w:val="007202A6"/>
    <w:rsid w:val="00725EEB"/>
    <w:rsid w:val="0072626C"/>
    <w:rsid w:val="00734142"/>
    <w:rsid w:val="00740311"/>
    <w:rsid w:val="00741813"/>
    <w:rsid w:val="00746046"/>
    <w:rsid w:val="0075147F"/>
    <w:rsid w:val="007538D5"/>
    <w:rsid w:val="00753961"/>
    <w:rsid w:val="007543A0"/>
    <w:rsid w:val="00755426"/>
    <w:rsid w:val="00755B60"/>
    <w:rsid w:val="00757D57"/>
    <w:rsid w:val="00761813"/>
    <w:rsid w:val="00765667"/>
    <w:rsid w:val="00765A5C"/>
    <w:rsid w:val="00773106"/>
    <w:rsid w:val="00773C80"/>
    <w:rsid w:val="0077473D"/>
    <w:rsid w:val="007749A3"/>
    <w:rsid w:val="00774B7F"/>
    <w:rsid w:val="00775168"/>
    <w:rsid w:val="00775AB9"/>
    <w:rsid w:val="00775DAA"/>
    <w:rsid w:val="00776815"/>
    <w:rsid w:val="00780C35"/>
    <w:rsid w:val="00783C64"/>
    <w:rsid w:val="007871A3"/>
    <w:rsid w:val="00791450"/>
    <w:rsid w:val="00791942"/>
    <w:rsid w:val="00795B6C"/>
    <w:rsid w:val="0079646E"/>
    <w:rsid w:val="007978A9"/>
    <w:rsid w:val="00797969"/>
    <w:rsid w:val="007A3360"/>
    <w:rsid w:val="007A4CE7"/>
    <w:rsid w:val="007A596D"/>
    <w:rsid w:val="007B2F90"/>
    <w:rsid w:val="007B4ACB"/>
    <w:rsid w:val="007B5F8A"/>
    <w:rsid w:val="007C1686"/>
    <w:rsid w:val="007C2E82"/>
    <w:rsid w:val="007D10B8"/>
    <w:rsid w:val="007D12E6"/>
    <w:rsid w:val="007D43B6"/>
    <w:rsid w:val="007D49A3"/>
    <w:rsid w:val="007E3430"/>
    <w:rsid w:val="007E4901"/>
    <w:rsid w:val="007F237E"/>
    <w:rsid w:val="007F2BD7"/>
    <w:rsid w:val="007F2D4A"/>
    <w:rsid w:val="007F6F87"/>
    <w:rsid w:val="00801C67"/>
    <w:rsid w:val="00801E33"/>
    <w:rsid w:val="0080237E"/>
    <w:rsid w:val="00803598"/>
    <w:rsid w:val="00803EA3"/>
    <w:rsid w:val="00805E86"/>
    <w:rsid w:val="00806BD8"/>
    <w:rsid w:val="00812FB6"/>
    <w:rsid w:val="00813293"/>
    <w:rsid w:val="00813EA8"/>
    <w:rsid w:val="00815F23"/>
    <w:rsid w:val="008167F7"/>
    <w:rsid w:val="00816A3D"/>
    <w:rsid w:val="00816DC2"/>
    <w:rsid w:val="00820612"/>
    <w:rsid w:val="00822944"/>
    <w:rsid w:val="008334CE"/>
    <w:rsid w:val="00833DBF"/>
    <w:rsid w:val="00836ADF"/>
    <w:rsid w:val="00836E55"/>
    <w:rsid w:val="00837653"/>
    <w:rsid w:val="008377E1"/>
    <w:rsid w:val="00840E06"/>
    <w:rsid w:val="00851EE2"/>
    <w:rsid w:val="00852234"/>
    <w:rsid w:val="0085299C"/>
    <w:rsid w:val="008530F8"/>
    <w:rsid w:val="008541C6"/>
    <w:rsid w:val="00854DD9"/>
    <w:rsid w:val="0085513B"/>
    <w:rsid w:val="00861B04"/>
    <w:rsid w:val="00863BB5"/>
    <w:rsid w:val="00864A5B"/>
    <w:rsid w:val="0086729B"/>
    <w:rsid w:val="00867523"/>
    <w:rsid w:val="00872B38"/>
    <w:rsid w:val="00873684"/>
    <w:rsid w:val="0087477F"/>
    <w:rsid w:val="00875BC7"/>
    <w:rsid w:val="00877EE9"/>
    <w:rsid w:val="008846C0"/>
    <w:rsid w:val="00885922"/>
    <w:rsid w:val="00886829"/>
    <w:rsid w:val="00886CD9"/>
    <w:rsid w:val="00892C36"/>
    <w:rsid w:val="008949C6"/>
    <w:rsid w:val="00895686"/>
    <w:rsid w:val="00895C64"/>
    <w:rsid w:val="008971D5"/>
    <w:rsid w:val="008A1FD8"/>
    <w:rsid w:val="008A6231"/>
    <w:rsid w:val="008B2CB7"/>
    <w:rsid w:val="008C4A2F"/>
    <w:rsid w:val="008C5B80"/>
    <w:rsid w:val="008D17B1"/>
    <w:rsid w:val="008D36AF"/>
    <w:rsid w:val="008D46AF"/>
    <w:rsid w:val="008E05E4"/>
    <w:rsid w:val="008E1465"/>
    <w:rsid w:val="008E4276"/>
    <w:rsid w:val="008E6147"/>
    <w:rsid w:val="008F16CD"/>
    <w:rsid w:val="00902D12"/>
    <w:rsid w:val="009042FD"/>
    <w:rsid w:val="00904E42"/>
    <w:rsid w:val="00906C71"/>
    <w:rsid w:val="009115CE"/>
    <w:rsid w:val="0091299B"/>
    <w:rsid w:val="0091448C"/>
    <w:rsid w:val="00914AFB"/>
    <w:rsid w:val="00915E01"/>
    <w:rsid w:val="00916110"/>
    <w:rsid w:val="009174CD"/>
    <w:rsid w:val="0092109E"/>
    <w:rsid w:val="00921578"/>
    <w:rsid w:val="009241B7"/>
    <w:rsid w:val="00925AE2"/>
    <w:rsid w:val="00927EE7"/>
    <w:rsid w:val="009305A2"/>
    <w:rsid w:val="0093228C"/>
    <w:rsid w:val="00933716"/>
    <w:rsid w:val="009339D9"/>
    <w:rsid w:val="009462DB"/>
    <w:rsid w:val="009469D4"/>
    <w:rsid w:val="00947192"/>
    <w:rsid w:val="0095138B"/>
    <w:rsid w:val="00951833"/>
    <w:rsid w:val="00953824"/>
    <w:rsid w:val="00955E3C"/>
    <w:rsid w:val="00956A66"/>
    <w:rsid w:val="00966964"/>
    <w:rsid w:val="00971304"/>
    <w:rsid w:val="00972E68"/>
    <w:rsid w:val="00973C5E"/>
    <w:rsid w:val="00973D4F"/>
    <w:rsid w:val="00973FCA"/>
    <w:rsid w:val="00976D9C"/>
    <w:rsid w:val="00977293"/>
    <w:rsid w:val="00977470"/>
    <w:rsid w:val="00977E4D"/>
    <w:rsid w:val="009806FE"/>
    <w:rsid w:val="0098235C"/>
    <w:rsid w:val="00984981"/>
    <w:rsid w:val="00985218"/>
    <w:rsid w:val="00987143"/>
    <w:rsid w:val="00991E40"/>
    <w:rsid w:val="009930EB"/>
    <w:rsid w:val="00994E8B"/>
    <w:rsid w:val="00997083"/>
    <w:rsid w:val="009972D5"/>
    <w:rsid w:val="00997DC7"/>
    <w:rsid w:val="009A07E8"/>
    <w:rsid w:val="009A1686"/>
    <w:rsid w:val="009A491D"/>
    <w:rsid w:val="009A7571"/>
    <w:rsid w:val="009B0F52"/>
    <w:rsid w:val="009B1EF3"/>
    <w:rsid w:val="009B31F3"/>
    <w:rsid w:val="009B57C6"/>
    <w:rsid w:val="009B7A3C"/>
    <w:rsid w:val="009C2C09"/>
    <w:rsid w:val="009C324F"/>
    <w:rsid w:val="009C33D5"/>
    <w:rsid w:val="009C43A7"/>
    <w:rsid w:val="009C6040"/>
    <w:rsid w:val="009C7E3D"/>
    <w:rsid w:val="009D0FE6"/>
    <w:rsid w:val="009D39B4"/>
    <w:rsid w:val="009D4244"/>
    <w:rsid w:val="009D7B4D"/>
    <w:rsid w:val="009E38D4"/>
    <w:rsid w:val="009E6C8F"/>
    <w:rsid w:val="009F0103"/>
    <w:rsid w:val="009F020B"/>
    <w:rsid w:val="009F152F"/>
    <w:rsid w:val="009F2D80"/>
    <w:rsid w:val="009F33DF"/>
    <w:rsid w:val="009F7177"/>
    <w:rsid w:val="00A00955"/>
    <w:rsid w:val="00A035DB"/>
    <w:rsid w:val="00A041B3"/>
    <w:rsid w:val="00A04989"/>
    <w:rsid w:val="00A0680D"/>
    <w:rsid w:val="00A07455"/>
    <w:rsid w:val="00A154AA"/>
    <w:rsid w:val="00A16245"/>
    <w:rsid w:val="00A1708B"/>
    <w:rsid w:val="00A203A6"/>
    <w:rsid w:val="00A20821"/>
    <w:rsid w:val="00A217A3"/>
    <w:rsid w:val="00A21D3F"/>
    <w:rsid w:val="00A32733"/>
    <w:rsid w:val="00A32C97"/>
    <w:rsid w:val="00A34713"/>
    <w:rsid w:val="00A40614"/>
    <w:rsid w:val="00A4221D"/>
    <w:rsid w:val="00A42672"/>
    <w:rsid w:val="00A464D9"/>
    <w:rsid w:val="00A6072E"/>
    <w:rsid w:val="00A6159F"/>
    <w:rsid w:val="00A61B3D"/>
    <w:rsid w:val="00A621B8"/>
    <w:rsid w:val="00A62D5F"/>
    <w:rsid w:val="00A6482F"/>
    <w:rsid w:val="00A64F38"/>
    <w:rsid w:val="00A67688"/>
    <w:rsid w:val="00A677BF"/>
    <w:rsid w:val="00A714B7"/>
    <w:rsid w:val="00A75A02"/>
    <w:rsid w:val="00A76126"/>
    <w:rsid w:val="00A811BD"/>
    <w:rsid w:val="00A83507"/>
    <w:rsid w:val="00A847F5"/>
    <w:rsid w:val="00A8529C"/>
    <w:rsid w:val="00A85B6E"/>
    <w:rsid w:val="00A8688E"/>
    <w:rsid w:val="00A92AA6"/>
    <w:rsid w:val="00A92AFD"/>
    <w:rsid w:val="00A93517"/>
    <w:rsid w:val="00A964D7"/>
    <w:rsid w:val="00A96597"/>
    <w:rsid w:val="00A97646"/>
    <w:rsid w:val="00AA0B25"/>
    <w:rsid w:val="00AA1164"/>
    <w:rsid w:val="00AA3A1F"/>
    <w:rsid w:val="00AA6C63"/>
    <w:rsid w:val="00AA7744"/>
    <w:rsid w:val="00AB0428"/>
    <w:rsid w:val="00AB118F"/>
    <w:rsid w:val="00AB7219"/>
    <w:rsid w:val="00AB79D6"/>
    <w:rsid w:val="00AC1916"/>
    <w:rsid w:val="00AC25B7"/>
    <w:rsid w:val="00AC3FFB"/>
    <w:rsid w:val="00AC5CA2"/>
    <w:rsid w:val="00AC6247"/>
    <w:rsid w:val="00AC6C13"/>
    <w:rsid w:val="00AD4187"/>
    <w:rsid w:val="00AD5C6C"/>
    <w:rsid w:val="00AD78FB"/>
    <w:rsid w:val="00AD7B87"/>
    <w:rsid w:val="00AE62D2"/>
    <w:rsid w:val="00AF278C"/>
    <w:rsid w:val="00B003C7"/>
    <w:rsid w:val="00B07FC9"/>
    <w:rsid w:val="00B14E5A"/>
    <w:rsid w:val="00B17D96"/>
    <w:rsid w:val="00B260A1"/>
    <w:rsid w:val="00B265E8"/>
    <w:rsid w:val="00B340F9"/>
    <w:rsid w:val="00B34C8B"/>
    <w:rsid w:val="00B3643D"/>
    <w:rsid w:val="00B41043"/>
    <w:rsid w:val="00B43DF2"/>
    <w:rsid w:val="00B440AB"/>
    <w:rsid w:val="00B44FD9"/>
    <w:rsid w:val="00B51158"/>
    <w:rsid w:val="00B51D37"/>
    <w:rsid w:val="00B552D9"/>
    <w:rsid w:val="00B649FA"/>
    <w:rsid w:val="00B66064"/>
    <w:rsid w:val="00B72280"/>
    <w:rsid w:val="00B80D15"/>
    <w:rsid w:val="00B8116E"/>
    <w:rsid w:val="00B82E01"/>
    <w:rsid w:val="00B8684B"/>
    <w:rsid w:val="00B875EC"/>
    <w:rsid w:val="00B954FF"/>
    <w:rsid w:val="00B959CD"/>
    <w:rsid w:val="00B96398"/>
    <w:rsid w:val="00B97DFB"/>
    <w:rsid w:val="00BA2B85"/>
    <w:rsid w:val="00BA416E"/>
    <w:rsid w:val="00BA5DEC"/>
    <w:rsid w:val="00BB549E"/>
    <w:rsid w:val="00BC2965"/>
    <w:rsid w:val="00BC57CF"/>
    <w:rsid w:val="00BD535D"/>
    <w:rsid w:val="00BD6EEC"/>
    <w:rsid w:val="00BE1434"/>
    <w:rsid w:val="00BE5F9F"/>
    <w:rsid w:val="00BF0FFE"/>
    <w:rsid w:val="00BF1CB7"/>
    <w:rsid w:val="00BF4143"/>
    <w:rsid w:val="00C0159D"/>
    <w:rsid w:val="00C02522"/>
    <w:rsid w:val="00C04898"/>
    <w:rsid w:val="00C124AA"/>
    <w:rsid w:val="00C14336"/>
    <w:rsid w:val="00C16922"/>
    <w:rsid w:val="00C17FC4"/>
    <w:rsid w:val="00C216D5"/>
    <w:rsid w:val="00C257B1"/>
    <w:rsid w:val="00C2677A"/>
    <w:rsid w:val="00C312D4"/>
    <w:rsid w:val="00C317F1"/>
    <w:rsid w:val="00C3214D"/>
    <w:rsid w:val="00C37E41"/>
    <w:rsid w:val="00C40CF1"/>
    <w:rsid w:val="00C458A5"/>
    <w:rsid w:val="00C45E39"/>
    <w:rsid w:val="00C47E9D"/>
    <w:rsid w:val="00C50C00"/>
    <w:rsid w:val="00C53754"/>
    <w:rsid w:val="00C57643"/>
    <w:rsid w:val="00C601E2"/>
    <w:rsid w:val="00C66FD7"/>
    <w:rsid w:val="00C673BF"/>
    <w:rsid w:val="00C7216B"/>
    <w:rsid w:val="00C75A81"/>
    <w:rsid w:val="00C76BFC"/>
    <w:rsid w:val="00C83B1C"/>
    <w:rsid w:val="00C8455E"/>
    <w:rsid w:val="00C85446"/>
    <w:rsid w:val="00C86971"/>
    <w:rsid w:val="00C879FF"/>
    <w:rsid w:val="00C91C34"/>
    <w:rsid w:val="00C94688"/>
    <w:rsid w:val="00C94C5A"/>
    <w:rsid w:val="00C96897"/>
    <w:rsid w:val="00CA03FF"/>
    <w:rsid w:val="00CA0BE3"/>
    <w:rsid w:val="00CA214F"/>
    <w:rsid w:val="00CA30B5"/>
    <w:rsid w:val="00CA3352"/>
    <w:rsid w:val="00CA341E"/>
    <w:rsid w:val="00CA3750"/>
    <w:rsid w:val="00CA438C"/>
    <w:rsid w:val="00CA52C3"/>
    <w:rsid w:val="00CB0476"/>
    <w:rsid w:val="00CB226F"/>
    <w:rsid w:val="00CB4AB9"/>
    <w:rsid w:val="00CB628E"/>
    <w:rsid w:val="00CC15F6"/>
    <w:rsid w:val="00CC1C9B"/>
    <w:rsid w:val="00CC20BD"/>
    <w:rsid w:val="00CC38DE"/>
    <w:rsid w:val="00CC431C"/>
    <w:rsid w:val="00CC4CAA"/>
    <w:rsid w:val="00CC5BAC"/>
    <w:rsid w:val="00CD45C0"/>
    <w:rsid w:val="00CD6362"/>
    <w:rsid w:val="00CE3FB4"/>
    <w:rsid w:val="00CF2064"/>
    <w:rsid w:val="00CF3DE4"/>
    <w:rsid w:val="00CF5A9C"/>
    <w:rsid w:val="00D00166"/>
    <w:rsid w:val="00D01635"/>
    <w:rsid w:val="00D01EBB"/>
    <w:rsid w:val="00D0540D"/>
    <w:rsid w:val="00D06591"/>
    <w:rsid w:val="00D06CF0"/>
    <w:rsid w:val="00D10433"/>
    <w:rsid w:val="00D105C3"/>
    <w:rsid w:val="00D13D08"/>
    <w:rsid w:val="00D13E71"/>
    <w:rsid w:val="00D17B5B"/>
    <w:rsid w:val="00D20339"/>
    <w:rsid w:val="00D216E9"/>
    <w:rsid w:val="00D24065"/>
    <w:rsid w:val="00D24650"/>
    <w:rsid w:val="00D313B9"/>
    <w:rsid w:val="00D3147D"/>
    <w:rsid w:val="00D357EE"/>
    <w:rsid w:val="00D4365D"/>
    <w:rsid w:val="00D444AC"/>
    <w:rsid w:val="00D4496D"/>
    <w:rsid w:val="00D52086"/>
    <w:rsid w:val="00D52792"/>
    <w:rsid w:val="00D53422"/>
    <w:rsid w:val="00D548DD"/>
    <w:rsid w:val="00D558D4"/>
    <w:rsid w:val="00D56B77"/>
    <w:rsid w:val="00D60337"/>
    <w:rsid w:val="00D61BEF"/>
    <w:rsid w:val="00D62BE8"/>
    <w:rsid w:val="00D64FE0"/>
    <w:rsid w:val="00D70FBB"/>
    <w:rsid w:val="00D737C3"/>
    <w:rsid w:val="00D825E2"/>
    <w:rsid w:val="00D839ED"/>
    <w:rsid w:val="00D846AE"/>
    <w:rsid w:val="00D84ECB"/>
    <w:rsid w:val="00D87C20"/>
    <w:rsid w:val="00D90114"/>
    <w:rsid w:val="00D9211D"/>
    <w:rsid w:val="00D96832"/>
    <w:rsid w:val="00DA31B2"/>
    <w:rsid w:val="00DA3D91"/>
    <w:rsid w:val="00DA46E9"/>
    <w:rsid w:val="00DA76BC"/>
    <w:rsid w:val="00DB458B"/>
    <w:rsid w:val="00DB5DEE"/>
    <w:rsid w:val="00DC4265"/>
    <w:rsid w:val="00DC5A67"/>
    <w:rsid w:val="00DC770B"/>
    <w:rsid w:val="00DD1210"/>
    <w:rsid w:val="00DD6D82"/>
    <w:rsid w:val="00DD7B44"/>
    <w:rsid w:val="00DE0282"/>
    <w:rsid w:val="00DE5B95"/>
    <w:rsid w:val="00DF34EC"/>
    <w:rsid w:val="00DF440C"/>
    <w:rsid w:val="00DF5A91"/>
    <w:rsid w:val="00E10AAB"/>
    <w:rsid w:val="00E112FF"/>
    <w:rsid w:val="00E1222F"/>
    <w:rsid w:val="00E14E12"/>
    <w:rsid w:val="00E2367C"/>
    <w:rsid w:val="00E23820"/>
    <w:rsid w:val="00E267C3"/>
    <w:rsid w:val="00E26941"/>
    <w:rsid w:val="00E30726"/>
    <w:rsid w:val="00E30EF9"/>
    <w:rsid w:val="00E345EB"/>
    <w:rsid w:val="00E403D0"/>
    <w:rsid w:val="00E41E43"/>
    <w:rsid w:val="00E4236A"/>
    <w:rsid w:val="00E44026"/>
    <w:rsid w:val="00E4474A"/>
    <w:rsid w:val="00E44E75"/>
    <w:rsid w:val="00E46F58"/>
    <w:rsid w:val="00E5560C"/>
    <w:rsid w:val="00E57295"/>
    <w:rsid w:val="00E619A6"/>
    <w:rsid w:val="00E62639"/>
    <w:rsid w:val="00E742CE"/>
    <w:rsid w:val="00E76129"/>
    <w:rsid w:val="00E76FE2"/>
    <w:rsid w:val="00E802D2"/>
    <w:rsid w:val="00E80726"/>
    <w:rsid w:val="00E81AD7"/>
    <w:rsid w:val="00E83848"/>
    <w:rsid w:val="00E86259"/>
    <w:rsid w:val="00E95563"/>
    <w:rsid w:val="00EA1768"/>
    <w:rsid w:val="00EA5E71"/>
    <w:rsid w:val="00EA61D4"/>
    <w:rsid w:val="00EA63BF"/>
    <w:rsid w:val="00EB2D93"/>
    <w:rsid w:val="00EB36E3"/>
    <w:rsid w:val="00EB50E1"/>
    <w:rsid w:val="00EC3544"/>
    <w:rsid w:val="00EC5832"/>
    <w:rsid w:val="00EC7033"/>
    <w:rsid w:val="00ED7882"/>
    <w:rsid w:val="00EE0399"/>
    <w:rsid w:val="00EE1828"/>
    <w:rsid w:val="00EE1D83"/>
    <w:rsid w:val="00EF080D"/>
    <w:rsid w:val="00EF24C1"/>
    <w:rsid w:val="00F15E07"/>
    <w:rsid w:val="00F205E6"/>
    <w:rsid w:val="00F23E7F"/>
    <w:rsid w:val="00F3051C"/>
    <w:rsid w:val="00F31908"/>
    <w:rsid w:val="00F33640"/>
    <w:rsid w:val="00F45808"/>
    <w:rsid w:val="00F47D8F"/>
    <w:rsid w:val="00F50959"/>
    <w:rsid w:val="00F5379E"/>
    <w:rsid w:val="00F53A01"/>
    <w:rsid w:val="00F5504A"/>
    <w:rsid w:val="00F573C9"/>
    <w:rsid w:val="00F6058D"/>
    <w:rsid w:val="00F60DC2"/>
    <w:rsid w:val="00F61566"/>
    <w:rsid w:val="00F64EA0"/>
    <w:rsid w:val="00F650FD"/>
    <w:rsid w:val="00F65891"/>
    <w:rsid w:val="00F71F96"/>
    <w:rsid w:val="00F7377A"/>
    <w:rsid w:val="00F73C7A"/>
    <w:rsid w:val="00F73F6B"/>
    <w:rsid w:val="00F74489"/>
    <w:rsid w:val="00F744B8"/>
    <w:rsid w:val="00F76173"/>
    <w:rsid w:val="00F8598D"/>
    <w:rsid w:val="00F8694B"/>
    <w:rsid w:val="00F91B3B"/>
    <w:rsid w:val="00FA66FE"/>
    <w:rsid w:val="00FB08B4"/>
    <w:rsid w:val="00FB314A"/>
    <w:rsid w:val="00FB48D9"/>
    <w:rsid w:val="00FB502E"/>
    <w:rsid w:val="00FC08C7"/>
    <w:rsid w:val="00FC097A"/>
    <w:rsid w:val="00FC0B52"/>
    <w:rsid w:val="00FC1D01"/>
    <w:rsid w:val="00FC3814"/>
    <w:rsid w:val="00FC384D"/>
    <w:rsid w:val="00FC3E06"/>
    <w:rsid w:val="00FC47AD"/>
    <w:rsid w:val="00FC4D5D"/>
    <w:rsid w:val="00FC7B14"/>
    <w:rsid w:val="00FD00E5"/>
    <w:rsid w:val="00FD0252"/>
    <w:rsid w:val="00FE355E"/>
    <w:rsid w:val="00FE3B15"/>
    <w:rsid w:val="00FE617C"/>
    <w:rsid w:val="00FE650D"/>
    <w:rsid w:val="00FE7B61"/>
    <w:rsid w:val="00FF020C"/>
    <w:rsid w:val="00FF215C"/>
    <w:rsid w:val="00FF51F9"/>
    <w:rsid w:val="00FF7661"/>
    <w:rsid w:val="00FF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D5"/>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9C33D5"/>
    <w:pPr>
      <w:keepLines/>
      <w:spacing w:after="0" w:line="240" w:lineRule="auto"/>
    </w:pPr>
    <w:rPr>
      <w:rFonts w:ascii="Arial Narrow" w:eastAsia="Times New Roman" w:hAnsi="Arial Narrow" w:cs="Times New Roman"/>
      <w:sz w:val="20"/>
      <w:szCs w:val="20"/>
      <w:lang w:val="en-US"/>
    </w:rPr>
  </w:style>
  <w:style w:type="paragraph" w:styleId="a3">
    <w:name w:val="List Paragraph"/>
    <w:basedOn w:val="a"/>
    <w:uiPriority w:val="34"/>
    <w:qFormat/>
    <w:rsid w:val="009C33D5"/>
    <w:pPr>
      <w:ind w:left="720"/>
      <w:contextualSpacing/>
    </w:pPr>
  </w:style>
  <w:style w:type="paragraph" w:customStyle="1" w:styleId="EMEAEnBodyText">
    <w:name w:val="EMEA En Body Text"/>
    <w:basedOn w:val="a"/>
    <w:rsid w:val="009C33D5"/>
    <w:pPr>
      <w:spacing w:before="120" w:after="120" w:line="240" w:lineRule="auto"/>
      <w:jc w:val="both"/>
    </w:pPr>
    <w:rPr>
      <w:rFonts w:ascii="Times New Roman" w:eastAsia="Times New Roman" w:hAnsi="Times New Roman" w:cs="Times New Roman"/>
      <w:szCs w:val="20"/>
      <w:lang w:val="en-US"/>
    </w:rPr>
  </w:style>
  <w:style w:type="paragraph" w:styleId="a4">
    <w:name w:val="Balloon Text"/>
    <w:basedOn w:val="a"/>
    <w:link w:val="Char"/>
    <w:uiPriority w:val="99"/>
    <w:semiHidden/>
    <w:unhideWhenUsed/>
    <w:rsid w:val="009C33D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C33D5"/>
    <w:rPr>
      <w:rFonts w:ascii="Tahoma" w:hAnsi="Tahoma" w:cs="Tahoma"/>
      <w:sz w:val="16"/>
      <w:szCs w:val="16"/>
      <w:lang w:val="el-GR"/>
    </w:rPr>
  </w:style>
  <w:style w:type="paragraph" w:styleId="a5">
    <w:name w:val="header"/>
    <w:basedOn w:val="a"/>
    <w:link w:val="Char0"/>
    <w:uiPriority w:val="99"/>
    <w:unhideWhenUsed/>
    <w:rsid w:val="00314ACD"/>
    <w:pPr>
      <w:tabs>
        <w:tab w:val="center" w:pos="4153"/>
        <w:tab w:val="right" w:pos="8306"/>
      </w:tabs>
      <w:spacing w:after="0" w:line="240" w:lineRule="auto"/>
    </w:pPr>
  </w:style>
  <w:style w:type="character" w:customStyle="1" w:styleId="Char0">
    <w:name w:val="Κεφαλίδα Char"/>
    <w:basedOn w:val="a0"/>
    <w:link w:val="a5"/>
    <w:uiPriority w:val="99"/>
    <w:rsid w:val="00314ACD"/>
    <w:rPr>
      <w:lang w:val="el-GR"/>
    </w:rPr>
  </w:style>
  <w:style w:type="paragraph" w:styleId="a6">
    <w:name w:val="footer"/>
    <w:basedOn w:val="a"/>
    <w:link w:val="Char1"/>
    <w:uiPriority w:val="99"/>
    <w:unhideWhenUsed/>
    <w:rsid w:val="00314ACD"/>
    <w:pPr>
      <w:tabs>
        <w:tab w:val="center" w:pos="4153"/>
        <w:tab w:val="right" w:pos="8306"/>
      </w:tabs>
      <w:spacing w:after="0" w:line="240" w:lineRule="auto"/>
    </w:pPr>
  </w:style>
  <w:style w:type="character" w:customStyle="1" w:styleId="Char1">
    <w:name w:val="Υποσέλιδο Char"/>
    <w:basedOn w:val="a0"/>
    <w:link w:val="a6"/>
    <w:uiPriority w:val="99"/>
    <w:rsid w:val="00314ACD"/>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D5"/>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9C33D5"/>
    <w:pPr>
      <w:keepLines/>
      <w:spacing w:after="0" w:line="240" w:lineRule="auto"/>
    </w:pPr>
    <w:rPr>
      <w:rFonts w:ascii="Arial Narrow" w:eastAsia="Times New Roman" w:hAnsi="Arial Narrow" w:cs="Times New Roman"/>
      <w:sz w:val="20"/>
      <w:szCs w:val="20"/>
      <w:lang w:val="en-US"/>
    </w:rPr>
  </w:style>
  <w:style w:type="paragraph" w:styleId="a3">
    <w:name w:val="List Paragraph"/>
    <w:basedOn w:val="a"/>
    <w:uiPriority w:val="34"/>
    <w:qFormat/>
    <w:rsid w:val="009C33D5"/>
    <w:pPr>
      <w:ind w:left="720"/>
      <w:contextualSpacing/>
    </w:pPr>
  </w:style>
  <w:style w:type="paragraph" w:customStyle="1" w:styleId="EMEAEnBodyText">
    <w:name w:val="EMEA En Body Text"/>
    <w:basedOn w:val="a"/>
    <w:rsid w:val="009C33D5"/>
    <w:pPr>
      <w:spacing w:before="120" w:after="120" w:line="240" w:lineRule="auto"/>
      <w:jc w:val="both"/>
    </w:pPr>
    <w:rPr>
      <w:rFonts w:ascii="Times New Roman" w:eastAsia="Times New Roman" w:hAnsi="Times New Roman" w:cs="Times New Roman"/>
      <w:szCs w:val="20"/>
      <w:lang w:val="en-US"/>
    </w:rPr>
  </w:style>
  <w:style w:type="paragraph" w:styleId="a4">
    <w:name w:val="Balloon Text"/>
    <w:basedOn w:val="a"/>
    <w:link w:val="Char"/>
    <w:uiPriority w:val="99"/>
    <w:semiHidden/>
    <w:unhideWhenUsed/>
    <w:rsid w:val="009C33D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C33D5"/>
    <w:rPr>
      <w:rFonts w:ascii="Tahoma" w:hAnsi="Tahoma" w:cs="Tahoma"/>
      <w:sz w:val="16"/>
      <w:szCs w:val="16"/>
      <w:lang w:val="el-GR"/>
    </w:rPr>
  </w:style>
  <w:style w:type="paragraph" w:styleId="a5">
    <w:name w:val="header"/>
    <w:basedOn w:val="a"/>
    <w:link w:val="Char0"/>
    <w:uiPriority w:val="99"/>
    <w:unhideWhenUsed/>
    <w:rsid w:val="00314ACD"/>
    <w:pPr>
      <w:tabs>
        <w:tab w:val="center" w:pos="4153"/>
        <w:tab w:val="right" w:pos="8306"/>
      </w:tabs>
      <w:spacing w:after="0" w:line="240" w:lineRule="auto"/>
    </w:pPr>
  </w:style>
  <w:style w:type="character" w:customStyle="1" w:styleId="Char0">
    <w:name w:val="Κεφαλίδα Char"/>
    <w:basedOn w:val="a0"/>
    <w:link w:val="a5"/>
    <w:uiPriority w:val="99"/>
    <w:rsid w:val="00314ACD"/>
    <w:rPr>
      <w:lang w:val="el-GR"/>
    </w:rPr>
  </w:style>
  <w:style w:type="paragraph" w:styleId="a6">
    <w:name w:val="footer"/>
    <w:basedOn w:val="a"/>
    <w:link w:val="Char1"/>
    <w:uiPriority w:val="99"/>
    <w:unhideWhenUsed/>
    <w:rsid w:val="00314ACD"/>
    <w:pPr>
      <w:tabs>
        <w:tab w:val="center" w:pos="4153"/>
        <w:tab w:val="right" w:pos="8306"/>
      </w:tabs>
      <w:spacing w:after="0" w:line="240" w:lineRule="auto"/>
    </w:pPr>
  </w:style>
  <w:style w:type="character" w:customStyle="1" w:styleId="Char1">
    <w:name w:val="Υποσέλιδο Char"/>
    <w:basedOn w:val="a0"/>
    <w:link w:val="a6"/>
    <w:uiPriority w:val="99"/>
    <w:rsid w:val="00314ACD"/>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occ.no/atcddd/indexdatabase/index.php?query=D10A" TargetMode="Externa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10</Pages>
  <Words>2990</Words>
  <Characters>16149</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Galderma</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VLANTI ANNA (EXT)</dc:creator>
  <cp:lastModifiedBy>ΚΑΡΥΔΑ ΕΥΑΓΓΕΛΙΑ</cp:lastModifiedBy>
  <cp:revision>24</cp:revision>
  <dcterms:created xsi:type="dcterms:W3CDTF">2017-11-21T08:55:00Z</dcterms:created>
  <dcterms:modified xsi:type="dcterms:W3CDTF">2018-05-14T06:10:00Z</dcterms:modified>
</cp:coreProperties>
</file>