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A8" w:rsidRPr="00FF35A7" w:rsidRDefault="001F46A8" w:rsidP="00B23525">
      <w:pPr>
        <w:pStyle w:val="a4"/>
        <w:ind w:right="576"/>
        <w:jc w:val="both"/>
        <w:rPr>
          <w:rFonts w:ascii="Times New Roman" w:hAnsi="Times New Roman"/>
          <w:color w:val="auto"/>
          <w:sz w:val="24"/>
          <w:lang w:val="el-GR"/>
        </w:rPr>
      </w:pPr>
    </w:p>
    <w:p w:rsidR="001F46A8"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1.</w:t>
      </w:r>
      <w:r w:rsidR="00C70860" w:rsidRPr="00FF35A7">
        <w:rPr>
          <w:rFonts w:ascii="Times New Roman" w:hAnsi="Times New Roman"/>
          <w:b/>
          <w:bCs/>
          <w:color w:val="auto"/>
          <w:sz w:val="24"/>
          <w:lang w:val="el-GR"/>
        </w:rPr>
        <w:tab/>
      </w:r>
      <w:r w:rsidRPr="00FF35A7">
        <w:rPr>
          <w:rFonts w:ascii="Times New Roman" w:hAnsi="Times New Roman"/>
          <w:b/>
          <w:bCs/>
          <w:color w:val="auto"/>
          <w:sz w:val="24"/>
          <w:lang w:val="el-GR"/>
        </w:rPr>
        <w:t>ΟΝΟΜΑΣΙΑ ΤΟΥ ΦΑΡΜΑΚΕΥΤΙΚΟΥ ΠΡΟΪΟΝΤΟΣ</w:t>
      </w:r>
    </w:p>
    <w:p w:rsidR="00884F3C" w:rsidRPr="00FF35A7" w:rsidRDefault="00833418" w:rsidP="00B23525">
      <w:pPr>
        <w:pStyle w:val="a4"/>
        <w:ind w:right="-1"/>
        <w:jc w:val="both"/>
        <w:rPr>
          <w:rFonts w:ascii="Times New Roman" w:hAnsi="Times New Roman"/>
          <w:color w:val="auto"/>
          <w:sz w:val="24"/>
          <w:lang w:val="el-GR"/>
        </w:rPr>
      </w:pPr>
      <w:proofErr w:type="spellStart"/>
      <w:r>
        <w:rPr>
          <w:rFonts w:ascii="Times New Roman" w:hAnsi="Times New Roman"/>
          <w:color w:val="auto"/>
          <w:sz w:val="24"/>
          <w:lang w:val="en-GB"/>
        </w:rPr>
        <w:t>Lutrate</w:t>
      </w:r>
      <w:proofErr w:type="spellEnd"/>
      <w:r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lang w:val="en-GB"/>
        </w:rPr>
        <w:t>Depot</w:t>
      </w:r>
      <w:r w:rsidR="00884F3C" w:rsidRPr="00FF35A7">
        <w:rPr>
          <w:rFonts w:ascii="Times New Roman" w:hAnsi="Times New Roman"/>
          <w:color w:val="auto"/>
          <w:sz w:val="24"/>
          <w:lang w:val="el-GR"/>
        </w:rPr>
        <w:t xml:space="preserve"> 3</w:t>
      </w:r>
      <w:proofErr w:type="gramStart"/>
      <w:r w:rsidR="006468CE" w:rsidRPr="00FF35A7">
        <w:rPr>
          <w:rFonts w:ascii="Times New Roman" w:hAnsi="Times New Roman"/>
          <w:color w:val="auto"/>
          <w:sz w:val="24"/>
          <w:lang w:val="el-GR"/>
        </w:rPr>
        <w:t>,</w:t>
      </w:r>
      <w:r w:rsidR="00884F3C" w:rsidRPr="00FF35A7">
        <w:rPr>
          <w:rFonts w:ascii="Times New Roman" w:hAnsi="Times New Roman"/>
          <w:color w:val="auto"/>
          <w:sz w:val="24"/>
          <w:lang w:val="el-GR"/>
        </w:rPr>
        <w:t>75</w:t>
      </w:r>
      <w:proofErr w:type="gramEnd"/>
      <w:r w:rsidR="00884F3C" w:rsidRPr="00FF35A7">
        <w:rPr>
          <w:rFonts w:ascii="Times New Roman" w:hAnsi="Times New Roman"/>
          <w:color w:val="auto"/>
          <w:sz w:val="24"/>
          <w:lang w:val="el-GR"/>
        </w:rPr>
        <w:t xml:space="preserve"> </w:t>
      </w:r>
      <w:r w:rsidR="00884F3C" w:rsidRPr="00FF35A7">
        <w:rPr>
          <w:rFonts w:ascii="Times New Roman" w:hAnsi="Times New Roman"/>
          <w:color w:val="auto"/>
          <w:sz w:val="24"/>
          <w:lang w:val="en-GB"/>
        </w:rPr>
        <w:t>mg</w:t>
      </w:r>
      <w:r w:rsidR="00884F3C" w:rsidRPr="00FF35A7">
        <w:rPr>
          <w:rFonts w:ascii="Times New Roman" w:hAnsi="Times New Roman"/>
          <w:color w:val="auto"/>
          <w:sz w:val="24"/>
          <w:lang w:val="el-GR"/>
        </w:rPr>
        <w:t xml:space="preserve"> κόνις και διαλύτης για </w:t>
      </w:r>
      <w:r w:rsidR="006468CE" w:rsidRPr="00FF35A7">
        <w:rPr>
          <w:rFonts w:ascii="Times New Roman" w:hAnsi="Times New Roman"/>
          <w:color w:val="auto"/>
          <w:sz w:val="24"/>
          <w:lang w:val="el-GR"/>
        </w:rPr>
        <w:t xml:space="preserve">παρασκευή </w:t>
      </w:r>
      <w:r w:rsidR="00162BF7" w:rsidRPr="00FF35A7">
        <w:rPr>
          <w:rFonts w:ascii="Times New Roman" w:hAnsi="Times New Roman"/>
          <w:color w:val="auto"/>
          <w:sz w:val="24"/>
          <w:lang w:val="el-GR"/>
        </w:rPr>
        <w:t>ενέσιμου</w:t>
      </w:r>
      <w:r w:rsidR="006468CE" w:rsidRPr="00FF35A7">
        <w:rPr>
          <w:rFonts w:ascii="Times New Roman" w:hAnsi="Times New Roman"/>
          <w:color w:val="auto"/>
          <w:sz w:val="24"/>
          <w:lang w:val="el-GR"/>
        </w:rPr>
        <w:t xml:space="preserve"> εναιωρήματος παρατεταμένης αποδέσμευσης</w:t>
      </w:r>
      <w:r w:rsidR="00884F3C" w:rsidRPr="00FF35A7">
        <w:rPr>
          <w:rFonts w:ascii="Times New Roman" w:hAnsi="Times New Roman"/>
          <w:color w:val="auto"/>
          <w:sz w:val="24"/>
          <w:lang w:val="el-GR"/>
        </w:rPr>
        <w:t>.</w:t>
      </w:r>
    </w:p>
    <w:p w:rsidR="001F46A8" w:rsidRPr="00FF35A7" w:rsidRDefault="001F46A8" w:rsidP="00B23525">
      <w:pPr>
        <w:pStyle w:val="a4"/>
        <w:ind w:right="-1"/>
        <w:jc w:val="both"/>
        <w:rPr>
          <w:rFonts w:ascii="Times New Roman" w:hAnsi="Times New Roman"/>
          <w:b/>
          <w:bCs/>
          <w:color w:val="auto"/>
          <w:sz w:val="24"/>
          <w:lang w:val="el-GR"/>
        </w:rPr>
      </w:pPr>
    </w:p>
    <w:p w:rsidR="001F46A8"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2.</w:t>
      </w:r>
      <w:r w:rsidR="00C70860"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ΠΟΙΟΤΙΚΗ ΚΑΙ ΠΟΣΟΤΙΚΗ ΣΥΝΘΕΣΗ </w:t>
      </w:r>
    </w:p>
    <w:p w:rsidR="00884F3C"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Κάθε φιαλίδιο περιέχει </w:t>
      </w:r>
      <w:r w:rsidR="00884F3C" w:rsidRPr="00FF35A7">
        <w:rPr>
          <w:rFonts w:ascii="Times New Roman" w:hAnsi="Times New Roman"/>
          <w:color w:val="auto"/>
          <w:sz w:val="24"/>
          <w:lang w:val="el-GR"/>
        </w:rPr>
        <w:t>3</w:t>
      </w:r>
      <w:r w:rsidR="00473F21" w:rsidRPr="00FF35A7">
        <w:rPr>
          <w:rFonts w:ascii="Times New Roman" w:hAnsi="Times New Roman"/>
          <w:color w:val="auto"/>
          <w:sz w:val="24"/>
          <w:lang w:val="el-GR"/>
        </w:rPr>
        <w:t>,</w:t>
      </w:r>
      <w:r w:rsidR="00884F3C" w:rsidRPr="00FF35A7">
        <w:rPr>
          <w:rFonts w:ascii="Times New Roman" w:hAnsi="Times New Roman"/>
          <w:color w:val="auto"/>
          <w:sz w:val="24"/>
          <w:lang w:val="el-GR"/>
        </w:rPr>
        <w:t xml:space="preserve">75 </w:t>
      </w:r>
      <w:r w:rsidR="00884F3C" w:rsidRPr="00FF35A7">
        <w:rPr>
          <w:rFonts w:ascii="Times New Roman" w:hAnsi="Times New Roman"/>
          <w:color w:val="auto"/>
          <w:sz w:val="24"/>
          <w:lang w:val="en-GB"/>
        </w:rPr>
        <w:t>mg</w:t>
      </w:r>
      <w:r w:rsidR="00884F3C" w:rsidRPr="00FF35A7">
        <w:rPr>
          <w:rFonts w:ascii="Times New Roman" w:hAnsi="Times New Roman"/>
          <w:color w:val="auto"/>
          <w:sz w:val="24"/>
          <w:lang w:val="el-GR"/>
        </w:rPr>
        <w:t xml:space="preserve"> </w:t>
      </w:r>
      <w:proofErr w:type="spellStart"/>
      <w:r w:rsidR="00884F3C" w:rsidRPr="00FF35A7">
        <w:rPr>
          <w:rFonts w:ascii="Times New Roman" w:hAnsi="Times New Roman"/>
          <w:color w:val="auto"/>
          <w:sz w:val="24"/>
          <w:lang w:val="en-GB"/>
        </w:rPr>
        <w:t>leuprorelin</w:t>
      </w:r>
      <w:proofErr w:type="spellEnd"/>
      <w:r w:rsidR="00884F3C" w:rsidRPr="00FF35A7">
        <w:rPr>
          <w:rFonts w:ascii="Times New Roman" w:hAnsi="Times New Roman"/>
          <w:color w:val="auto"/>
          <w:sz w:val="24"/>
          <w:lang w:val="el-GR"/>
        </w:rPr>
        <w:t xml:space="preserve"> </w:t>
      </w:r>
      <w:r w:rsidR="00884F3C" w:rsidRPr="00FF35A7">
        <w:rPr>
          <w:rFonts w:ascii="Times New Roman" w:hAnsi="Times New Roman"/>
          <w:color w:val="auto"/>
          <w:sz w:val="24"/>
          <w:lang w:val="en-GB"/>
        </w:rPr>
        <w:t>acetate</w:t>
      </w:r>
      <w:r w:rsidRPr="00FF35A7">
        <w:rPr>
          <w:rFonts w:ascii="Times New Roman" w:hAnsi="Times New Roman"/>
          <w:color w:val="auto"/>
          <w:sz w:val="24"/>
          <w:lang w:val="el-GR"/>
        </w:rPr>
        <w:t xml:space="preserve"> </w:t>
      </w:r>
      <w:r w:rsidR="00884F3C" w:rsidRPr="00FF35A7">
        <w:rPr>
          <w:rFonts w:ascii="Times New Roman" w:hAnsi="Times New Roman"/>
          <w:color w:val="auto"/>
          <w:sz w:val="24"/>
          <w:lang w:val="el-GR"/>
        </w:rPr>
        <w:t>(ισοδύναμο με 3</w:t>
      </w:r>
      <w:r w:rsidR="006468CE" w:rsidRPr="00FF35A7">
        <w:rPr>
          <w:rFonts w:ascii="Times New Roman" w:hAnsi="Times New Roman"/>
          <w:color w:val="auto"/>
          <w:sz w:val="24"/>
          <w:lang w:val="el-GR"/>
        </w:rPr>
        <w:t>,57</w:t>
      </w:r>
      <w:r w:rsidR="006468CE" w:rsidRPr="00FF35A7">
        <w:rPr>
          <w:rFonts w:ascii="Times New Roman" w:hAnsi="Times New Roman"/>
          <w:color w:val="auto"/>
          <w:sz w:val="24"/>
        </w:rPr>
        <w:t>mg</w:t>
      </w:r>
      <w:r w:rsidR="006468CE" w:rsidRPr="00FF35A7">
        <w:rPr>
          <w:rFonts w:ascii="Times New Roman" w:hAnsi="Times New Roman"/>
          <w:color w:val="auto"/>
          <w:sz w:val="24"/>
          <w:lang w:val="el-GR"/>
        </w:rPr>
        <w:t xml:space="preserve"> </w:t>
      </w:r>
      <w:r w:rsidR="006B1673" w:rsidRPr="00FF35A7">
        <w:rPr>
          <w:rFonts w:ascii="Times New Roman" w:hAnsi="Times New Roman"/>
          <w:color w:val="auto"/>
          <w:sz w:val="24"/>
          <w:lang w:val="el-GR"/>
        </w:rPr>
        <w:t xml:space="preserve">ελεύθερης βάσης </w:t>
      </w:r>
      <w:proofErr w:type="spellStart"/>
      <w:r w:rsidR="00884F3C" w:rsidRPr="00FF35A7">
        <w:rPr>
          <w:rFonts w:ascii="Times New Roman" w:hAnsi="Times New Roman"/>
          <w:color w:val="auto"/>
          <w:sz w:val="24"/>
        </w:rPr>
        <w:t>leuprorelin</w:t>
      </w:r>
      <w:proofErr w:type="spellEnd"/>
      <w:r w:rsidR="00884F3C" w:rsidRPr="00FF35A7">
        <w:rPr>
          <w:rFonts w:ascii="Times New Roman" w:hAnsi="Times New Roman"/>
          <w:color w:val="auto"/>
          <w:sz w:val="24"/>
          <w:lang w:val="el-GR"/>
        </w:rPr>
        <w:t xml:space="preserve"> ).</w:t>
      </w:r>
    </w:p>
    <w:p w:rsidR="00884F3C" w:rsidRPr="00FF35A7" w:rsidRDefault="00884F3C"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1</w:t>
      </w:r>
      <w:r w:rsidRPr="00FF35A7">
        <w:rPr>
          <w:rFonts w:ascii="Times New Roman" w:hAnsi="Times New Roman"/>
          <w:color w:val="auto"/>
          <w:sz w:val="24"/>
        </w:rPr>
        <w:t>ml</w:t>
      </w:r>
      <w:r w:rsidRPr="00FF35A7">
        <w:rPr>
          <w:rFonts w:ascii="Times New Roman" w:hAnsi="Times New Roman"/>
          <w:color w:val="auto"/>
          <w:sz w:val="24"/>
          <w:lang w:val="el-GR"/>
        </w:rPr>
        <w:t xml:space="preserve"> ανασυσταμένου εναιωρήματος περιέχει 1</w:t>
      </w:r>
      <w:r w:rsidR="006468CE" w:rsidRPr="00FF35A7">
        <w:rPr>
          <w:rFonts w:ascii="Times New Roman" w:hAnsi="Times New Roman"/>
          <w:color w:val="auto"/>
          <w:sz w:val="24"/>
          <w:lang w:val="el-GR"/>
        </w:rPr>
        <w:t>,</w:t>
      </w:r>
      <w:r w:rsidRPr="00FF35A7">
        <w:rPr>
          <w:rFonts w:ascii="Times New Roman" w:hAnsi="Times New Roman"/>
          <w:color w:val="auto"/>
          <w:sz w:val="24"/>
          <w:lang w:val="el-GR"/>
        </w:rPr>
        <w:t>875</w:t>
      </w:r>
      <w:r w:rsidRPr="00FF35A7">
        <w:rPr>
          <w:rFonts w:ascii="Times New Roman" w:hAnsi="Times New Roman"/>
          <w:color w:val="auto"/>
          <w:sz w:val="24"/>
        </w:rPr>
        <w:t>mg</w:t>
      </w:r>
      <w:r w:rsidRPr="00FF35A7">
        <w:rPr>
          <w:rFonts w:ascii="Times New Roman" w:hAnsi="Times New Roman"/>
          <w:color w:val="auto"/>
          <w:sz w:val="24"/>
          <w:lang w:val="el-GR"/>
        </w:rPr>
        <w:t xml:space="preserve">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w:t>
      </w:r>
    </w:p>
    <w:p w:rsidR="005440F2" w:rsidRPr="00FF35A7" w:rsidRDefault="005440F2" w:rsidP="00B23525">
      <w:pPr>
        <w:pStyle w:val="a4"/>
        <w:ind w:right="-1"/>
        <w:jc w:val="both"/>
        <w:rPr>
          <w:rFonts w:ascii="Times New Roman" w:hAnsi="Times New Roman"/>
          <w:color w:val="auto"/>
          <w:sz w:val="24"/>
          <w:lang w:val="el-GR"/>
        </w:rPr>
      </w:pPr>
    </w:p>
    <w:p w:rsidR="00884F3C" w:rsidRPr="00FF35A7" w:rsidRDefault="006468CE" w:rsidP="00B23525">
      <w:pPr>
        <w:pStyle w:val="a4"/>
        <w:ind w:right="-1"/>
        <w:jc w:val="both"/>
        <w:rPr>
          <w:rFonts w:ascii="Times New Roman" w:hAnsi="Times New Roman"/>
          <w:noProof/>
          <w:color w:val="auto"/>
          <w:sz w:val="24"/>
          <w:lang w:val="el-GR"/>
        </w:rPr>
      </w:pPr>
      <w:r w:rsidRPr="00FF35A7">
        <w:rPr>
          <w:rFonts w:ascii="Times New Roman" w:hAnsi="Times New Roman"/>
          <w:noProof/>
          <w:color w:val="auto"/>
          <w:sz w:val="24"/>
          <w:u w:val="single"/>
          <w:lang w:val="el-GR"/>
        </w:rPr>
        <w:t>Έκδοχα με γνωστές δράσεις</w:t>
      </w:r>
      <w:r w:rsidR="00884F3C" w:rsidRPr="00FF35A7">
        <w:rPr>
          <w:rFonts w:ascii="Times New Roman" w:hAnsi="Times New Roman"/>
          <w:noProof/>
          <w:color w:val="auto"/>
          <w:sz w:val="24"/>
          <w:lang w:val="el-GR"/>
        </w:rPr>
        <w:t xml:space="preserve"> </w:t>
      </w:r>
    </w:p>
    <w:p w:rsidR="00884F3C" w:rsidRPr="00FF35A7" w:rsidRDefault="00884F3C" w:rsidP="00B23525">
      <w:pPr>
        <w:pStyle w:val="a4"/>
        <w:ind w:right="-1"/>
        <w:jc w:val="both"/>
        <w:rPr>
          <w:rFonts w:ascii="Times New Roman" w:hAnsi="Times New Roman"/>
          <w:noProof/>
          <w:color w:val="auto"/>
          <w:sz w:val="24"/>
          <w:lang w:val="el-GR"/>
        </w:rPr>
      </w:pPr>
      <w:r w:rsidRPr="00FF35A7">
        <w:rPr>
          <w:rFonts w:ascii="Times New Roman" w:hAnsi="Times New Roman"/>
          <w:noProof/>
          <w:color w:val="auto"/>
          <w:sz w:val="24"/>
          <w:lang w:val="el-GR"/>
        </w:rPr>
        <w:t xml:space="preserve">Κάθε φιαλίδιο περιέχει </w:t>
      </w:r>
      <w:r w:rsidR="001F46A8" w:rsidRPr="00FF35A7">
        <w:rPr>
          <w:rFonts w:ascii="Times New Roman" w:hAnsi="Times New Roman"/>
          <w:noProof/>
          <w:color w:val="auto"/>
          <w:sz w:val="24"/>
          <w:lang w:val="el-GR"/>
        </w:rPr>
        <w:t>1</w:t>
      </w:r>
      <w:r w:rsidR="006468CE" w:rsidRPr="00FF35A7">
        <w:rPr>
          <w:rFonts w:ascii="Times New Roman" w:hAnsi="Times New Roman"/>
          <w:noProof/>
          <w:color w:val="auto"/>
          <w:sz w:val="24"/>
          <w:lang w:val="el-GR"/>
        </w:rPr>
        <w:t>,</w:t>
      </w:r>
      <w:r w:rsidR="001F46A8" w:rsidRPr="00FF35A7">
        <w:rPr>
          <w:rFonts w:ascii="Times New Roman" w:hAnsi="Times New Roman"/>
          <w:noProof/>
          <w:color w:val="auto"/>
          <w:sz w:val="24"/>
          <w:lang w:val="el-GR"/>
        </w:rPr>
        <w:t xml:space="preserve">3 έως </w:t>
      </w:r>
      <w:r w:rsidRPr="00FF35A7">
        <w:rPr>
          <w:rFonts w:ascii="Times New Roman" w:hAnsi="Times New Roman"/>
          <w:noProof/>
          <w:color w:val="auto"/>
          <w:sz w:val="24"/>
          <w:lang w:val="el-GR"/>
        </w:rPr>
        <w:t>2</w:t>
      </w:r>
      <w:r w:rsidR="006468CE" w:rsidRPr="00FF35A7">
        <w:rPr>
          <w:rFonts w:ascii="Times New Roman" w:hAnsi="Times New Roman"/>
          <w:noProof/>
          <w:color w:val="auto"/>
          <w:sz w:val="24"/>
          <w:lang w:val="el-GR"/>
        </w:rPr>
        <w:t>,</w:t>
      </w:r>
      <w:r w:rsidRPr="00FF35A7">
        <w:rPr>
          <w:rFonts w:ascii="Times New Roman" w:hAnsi="Times New Roman"/>
          <w:noProof/>
          <w:color w:val="auto"/>
          <w:sz w:val="24"/>
          <w:lang w:val="el-GR"/>
        </w:rPr>
        <w:t>2</w:t>
      </w:r>
      <w:r w:rsidRPr="00FF35A7">
        <w:rPr>
          <w:rFonts w:ascii="Times New Roman" w:hAnsi="Times New Roman"/>
          <w:noProof/>
          <w:color w:val="auto"/>
          <w:sz w:val="24"/>
        </w:rPr>
        <w:t>mg</w:t>
      </w:r>
      <w:r w:rsidRPr="00FF35A7">
        <w:rPr>
          <w:rFonts w:ascii="Times New Roman" w:hAnsi="Times New Roman"/>
          <w:noProof/>
          <w:color w:val="auto"/>
          <w:sz w:val="24"/>
          <w:lang w:val="el-GR"/>
        </w:rPr>
        <w:t xml:space="preserve"> (&lt;1</w:t>
      </w:r>
      <w:r w:rsidRPr="00FF35A7">
        <w:rPr>
          <w:rFonts w:ascii="Times New Roman" w:hAnsi="Times New Roman"/>
          <w:noProof/>
          <w:color w:val="auto"/>
          <w:sz w:val="24"/>
        </w:rPr>
        <w:t>mmol</w:t>
      </w:r>
      <w:r w:rsidRPr="00FF35A7">
        <w:rPr>
          <w:rFonts w:ascii="Times New Roman" w:hAnsi="Times New Roman"/>
          <w:noProof/>
          <w:color w:val="auto"/>
          <w:sz w:val="24"/>
          <w:lang w:val="el-GR"/>
        </w:rPr>
        <w:t xml:space="preserve">) </w:t>
      </w:r>
      <w:r w:rsidR="006B1673" w:rsidRPr="00FF35A7">
        <w:rPr>
          <w:rFonts w:ascii="Times New Roman" w:hAnsi="Times New Roman"/>
          <w:noProof/>
          <w:color w:val="auto"/>
          <w:sz w:val="24"/>
          <w:lang w:val="el-GR"/>
        </w:rPr>
        <w:t xml:space="preserve">νατρίου </w:t>
      </w:r>
      <w:r w:rsidR="006468CE" w:rsidRPr="00FF35A7">
        <w:rPr>
          <w:rFonts w:ascii="Times New Roman" w:hAnsi="Times New Roman"/>
          <w:noProof/>
          <w:color w:val="auto"/>
          <w:sz w:val="24"/>
          <w:lang w:val="el-GR"/>
        </w:rPr>
        <w:t xml:space="preserve">(ως </w:t>
      </w:r>
      <w:r w:rsidR="006468CE" w:rsidRPr="00FF35A7">
        <w:rPr>
          <w:rFonts w:ascii="Times New Roman" w:hAnsi="Times New Roman"/>
          <w:noProof/>
          <w:color w:val="auto"/>
          <w:sz w:val="24"/>
          <w:lang w:val="es-ES"/>
        </w:rPr>
        <w:t>carmellose</w:t>
      </w:r>
      <w:r w:rsidR="006468CE" w:rsidRPr="00FF35A7">
        <w:rPr>
          <w:rFonts w:ascii="Times New Roman" w:hAnsi="Times New Roman"/>
          <w:noProof/>
          <w:color w:val="auto"/>
          <w:sz w:val="24"/>
          <w:lang w:val="el-GR"/>
        </w:rPr>
        <w:t xml:space="preserve"> </w:t>
      </w:r>
      <w:r w:rsidR="006468CE" w:rsidRPr="00FF35A7">
        <w:rPr>
          <w:rFonts w:ascii="Times New Roman" w:hAnsi="Times New Roman"/>
          <w:noProof/>
          <w:color w:val="auto"/>
          <w:sz w:val="24"/>
          <w:lang w:val="es-ES"/>
        </w:rPr>
        <w:t>sodium</w:t>
      </w:r>
      <w:r w:rsidR="006468CE" w:rsidRPr="00FF35A7">
        <w:rPr>
          <w:rFonts w:ascii="Times New Roman" w:hAnsi="Times New Roman"/>
          <w:noProof/>
          <w:color w:val="auto"/>
          <w:sz w:val="24"/>
          <w:lang w:val="el-GR"/>
        </w:rPr>
        <w:t>).</w:t>
      </w:r>
      <w:r w:rsidRPr="00FF35A7">
        <w:rPr>
          <w:rFonts w:ascii="Times New Roman" w:hAnsi="Times New Roman"/>
          <w:noProof/>
          <w:color w:val="auto"/>
          <w:sz w:val="24"/>
          <w:lang w:val="el-GR"/>
        </w:rPr>
        <w:t>.</w:t>
      </w:r>
    </w:p>
    <w:p w:rsidR="005440F2" w:rsidRPr="00FF35A7" w:rsidRDefault="005440F2" w:rsidP="00B23525">
      <w:pPr>
        <w:pStyle w:val="a4"/>
        <w:ind w:right="-1"/>
        <w:jc w:val="both"/>
        <w:rPr>
          <w:rFonts w:ascii="Times New Roman" w:hAnsi="Times New Roman"/>
          <w:noProof/>
          <w:color w:val="auto"/>
          <w:sz w:val="24"/>
          <w:lang w:val="el-GR"/>
        </w:rPr>
      </w:pPr>
      <w:r w:rsidRPr="00FF35A7">
        <w:rPr>
          <w:rFonts w:ascii="Times New Roman" w:hAnsi="Times New Roman"/>
          <w:noProof/>
          <w:color w:val="auto"/>
          <w:sz w:val="24"/>
          <w:lang w:val="el-GR"/>
        </w:rPr>
        <w:t>Για τον πλήρη κατάλογο των εκδόχων, βλ. παράγραφο 6.1</w:t>
      </w:r>
    </w:p>
    <w:p w:rsidR="00CD1CFF" w:rsidRPr="00FF35A7" w:rsidRDefault="00CD1CFF" w:rsidP="00B23525">
      <w:pPr>
        <w:pStyle w:val="a4"/>
        <w:ind w:right="-1"/>
        <w:jc w:val="both"/>
        <w:rPr>
          <w:rFonts w:ascii="Times New Roman" w:hAnsi="Times New Roman"/>
          <w:b/>
          <w:bCs/>
          <w:color w:val="auto"/>
          <w:sz w:val="24"/>
          <w:lang w:val="el-GR"/>
        </w:rPr>
      </w:pPr>
    </w:p>
    <w:p w:rsidR="00CD1CFF"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3.</w:t>
      </w:r>
      <w:r w:rsidR="00C70860"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ΦΑΡΜΑΚΟΤΕΧΝΙΚΗ ΜΟΡΦΗ </w:t>
      </w:r>
    </w:p>
    <w:p w:rsidR="00473F21" w:rsidRPr="00FF35A7" w:rsidRDefault="005440F2" w:rsidP="00B23525">
      <w:pPr>
        <w:pStyle w:val="a4"/>
        <w:ind w:right="-1"/>
        <w:jc w:val="both"/>
        <w:rPr>
          <w:rFonts w:ascii="Times New Roman" w:hAnsi="Times New Roman"/>
          <w:color w:val="auto"/>
          <w:sz w:val="24"/>
          <w:lang w:val="el-GR"/>
        </w:rPr>
      </w:pPr>
      <w:proofErr w:type="gramStart"/>
      <w:r w:rsidRPr="00FF35A7">
        <w:rPr>
          <w:rFonts w:ascii="Times New Roman" w:hAnsi="Times New Roman"/>
          <w:color w:val="auto"/>
          <w:sz w:val="24"/>
        </w:rPr>
        <w:t>K</w:t>
      </w:r>
      <w:r w:rsidRPr="00FF35A7">
        <w:rPr>
          <w:rFonts w:ascii="Times New Roman" w:hAnsi="Times New Roman"/>
          <w:color w:val="auto"/>
          <w:sz w:val="24"/>
          <w:lang w:val="el-GR"/>
        </w:rPr>
        <w:t xml:space="preserve">όνις </w:t>
      </w:r>
      <w:r w:rsidR="006E734B" w:rsidRPr="00FF35A7">
        <w:rPr>
          <w:rFonts w:ascii="Times New Roman" w:hAnsi="Times New Roman"/>
          <w:color w:val="auto"/>
          <w:sz w:val="24"/>
          <w:lang w:val="el-GR"/>
        </w:rPr>
        <w:t xml:space="preserve">και διαλύτης για παρασκευή </w:t>
      </w:r>
      <w:r w:rsidR="00FF35A7" w:rsidRPr="00FF35A7">
        <w:rPr>
          <w:rFonts w:ascii="Times New Roman" w:hAnsi="Times New Roman"/>
          <w:color w:val="auto"/>
          <w:sz w:val="24"/>
          <w:lang w:val="el-GR"/>
        </w:rPr>
        <w:t>ενέσιμου</w:t>
      </w:r>
      <w:r w:rsidR="006E734B" w:rsidRPr="00FF35A7">
        <w:rPr>
          <w:rFonts w:ascii="Times New Roman" w:hAnsi="Times New Roman"/>
          <w:color w:val="auto"/>
          <w:sz w:val="24"/>
          <w:lang w:val="el-GR"/>
        </w:rPr>
        <w:t xml:space="preserve"> εναιωρήματος παρατεταμένης αποδέσμευσης.</w:t>
      </w:r>
      <w:proofErr w:type="gramEnd"/>
    </w:p>
    <w:p w:rsidR="00884F3C" w:rsidRPr="00FF35A7" w:rsidRDefault="00CD1CFF"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Σκόνη</w:t>
      </w:r>
      <w:r w:rsidR="00884F3C" w:rsidRPr="00FF35A7">
        <w:rPr>
          <w:rFonts w:ascii="Times New Roman" w:hAnsi="Times New Roman"/>
          <w:color w:val="auto"/>
          <w:sz w:val="24"/>
          <w:lang w:val="el-GR"/>
        </w:rPr>
        <w:t xml:space="preserve">: λευκή </w:t>
      </w:r>
      <w:r w:rsidRPr="00FF35A7">
        <w:rPr>
          <w:rFonts w:ascii="Times New Roman" w:hAnsi="Times New Roman"/>
          <w:color w:val="auto"/>
          <w:sz w:val="24"/>
          <w:lang w:val="el-GR"/>
        </w:rPr>
        <w:t>έως</w:t>
      </w:r>
      <w:r w:rsidR="00884F3C" w:rsidRPr="00FF35A7">
        <w:rPr>
          <w:rFonts w:ascii="Times New Roman" w:hAnsi="Times New Roman"/>
          <w:color w:val="auto"/>
          <w:sz w:val="24"/>
          <w:lang w:val="el-GR"/>
        </w:rPr>
        <w:t xml:space="preserve"> υπόλευκη σκόνη</w:t>
      </w:r>
    </w:p>
    <w:p w:rsidR="005440F2" w:rsidRPr="00FF35A7" w:rsidRDefault="00884F3C"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Διαλύτης: άχρωμο διαυγές διάλυμα</w:t>
      </w:r>
      <w:r w:rsidR="005440F2" w:rsidRPr="00FF35A7">
        <w:rPr>
          <w:rFonts w:ascii="Times New Roman" w:hAnsi="Times New Roman"/>
          <w:color w:val="auto"/>
          <w:sz w:val="24"/>
          <w:lang w:val="el-GR"/>
        </w:rPr>
        <w:t xml:space="preserve"> </w:t>
      </w:r>
      <w:r w:rsidR="006468CE" w:rsidRPr="00FF35A7">
        <w:rPr>
          <w:rFonts w:ascii="Times New Roman" w:hAnsi="Times New Roman"/>
          <w:color w:val="auto"/>
          <w:sz w:val="24"/>
          <w:lang w:val="el-GR"/>
        </w:rPr>
        <w:t>(</w:t>
      </w:r>
      <w:r w:rsidR="006468CE" w:rsidRPr="00FF35A7">
        <w:rPr>
          <w:rFonts w:ascii="Times New Roman" w:hAnsi="Times New Roman"/>
          <w:color w:val="auto"/>
          <w:sz w:val="24"/>
          <w:lang w:val="es-ES"/>
        </w:rPr>
        <w:t>pH</w:t>
      </w:r>
      <w:r w:rsidR="006468CE" w:rsidRPr="00FF35A7">
        <w:rPr>
          <w:rFonts w:ascii="Times New Roman" w:hAnsi="Times New Roman"/>
          <w:color w:val="auto"/>
          <w:sz w:val="24"/>
          <w:lang w:val="el-GR"/>
        </w:rPr>
        <w:t xml:space="preserve"> 5,0 – 7,0)</w:t>
      </w:r>
      <w:r w:rsidR="005440F2" w:rsidRPr="00FF35A7">
        <w:rPr>
          <w:rFonts w:ascii="Times New Roman" w:hAnsi="Times New Roman"/>
          <w:color w:val="auto"/>
          <w:sz w:val="24"/>
          <w:lang w:val="el-GR"/>
        </w:rPr>
        <w:t xml:space="preserve"> </w:t>
      </w:r>
    </w:p>
    <w:p w:rsidR="00CD1CFF" w:rsidRPr="00FF35A7" w:rsidRDefault="00CD1CFF" w:rsidP="00B23525">
      <w:pPr>
        <w:pStyle w:val="a4"/>
        <w:ind w:right="-1"/>
        <w:jc w:val="both"/>
        <w:rPr>
          <w:rFonts w:ascii="Times New Roman" w:hAnsi="Times New Roman"/>
          <w:b/>
          <w:bCs/>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4. ΚΛΙΝΙΚΕΣ ΠΛΗΡΟΦΟΡΙΕΣ</w:t>
      </w:r>
    </w:p>
    <w:p w:rsidR="005440F2" w:rsidRPr="00FF35A7" w:rsidRDefault="005440F2" w:rsidP="00B23525">
      <w:pPr>
        <w:pStyle w:val="a4"/>
        <w:ind w:right="-1"/>
        <w:jc w:val="both"/>
        <w:rPr>
          <w:rFonts w:ascii="Times New Roman" w:hAnsi="Times New Roman"/>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4.1 Θεραπευτικές ενδείξεις</w:t>
      </w:r>
    </w:p>
    <w:p w:rsidR="005440F2" w:rsidRPr="00FF35A7" w:rsidRDefault="005440F2" w:rsidP="00B23525">
      <w:pPr>
        <w:pStyle w:val="a4"/>
        <w:ind w:right="-1"/>
        <w:jc w:val="both"/>
        <w:rPr>
          <w:rFonts w:ascii="Times New Roman" w:hAnsi="Times New Roman"/>
          <w:color w:val="auto"/>
          <w:sz w:val="24"/>
          <w:highlight w:val="darkGray"/>
          <w:lang w:val="el-GR"/>
        </w:rPr>
      </w:pPr>
      <w:proofErr w:type="gramStart"/>
      <w:r w:rsidRPr="00FF35A7">
        <w:rPr>
          <w:rFonts w:ascii="Times New Roman" w:hAnsi="Times New Roman"/>
          <w:color w:val="auto"/>
          <w:sz w:val="24"/>
        </w:rPr>
        <w:t>To</w:t>
      </w:r>
      <w:r w:rsidRPr="00FF35A7">
        <w:rPr>
          <w:rFonts w:ascii="Times New Roman" w:hAnsi="Times New Roman"/>
          <w:color w:val="auto"/>
          <w:sz w:val="24"/>
          <w:lang w:val="el-GR"/>
        </w:rPr>
        <w:t xml:space="preserve"> </w:t>
      </w:r>
      <w:proofErr w:type="spellStart"/>
      <w:r w:rsidR="00833418">
        <w:rPr>
          <w:rFonts w:ascii="Times New Roman" w:hAnsi="Times New Roman"/>
          <w:color w:val="auto"/>
          <w:sz w:val="24"/>
          <w:lang w:val="en-GB"/>
        </w:rPr>
        <w:t>Lutrate</w:t>
      </w:r>
      <w:proofErr w:type="spellEnd"/>
      <w:r w:rsidR="00833418"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lang w:val="en-GB"/>
        </w:rPr>
        <w:t>Depot</w:t>
      </w:r>
      <w:r w:rsidR="006468CE" w:rsidRPr="00FF35A7">
        <w:rPr>
          <w:rFonts w:ascii="Times New Roman" w:hAnsi="Times New Roman"/>
          <w:color w:val="auto"/>
          <w:sz w:val="24"/>
          <w:lang w:val="el-GR"/>
        </w:rPr>
        <w:t xml:space="preserve"> </w:t>
      </w:r>
      <w:r w:rsidRPr="00FF35A7">
        <w:rPr>
          <w:rFonts w:ascii="Times New Roman" w:hAnsi="Times New Roman"/>
          <w:color w:val="auto"/>
          <w:sz w:val="24"/>
          <w:lang w:val="el-GR"/>
        </w:rPr>
        <w:t xml:space="preserve">ενδείκνυται στην παρηγορική θεραπεία του </w:t>
      </w:r>
      <w:r w:rsidR="006B1673" w:rsidRPr="00FF35A7">
        <w:rPr>
          <w:rFonts w:ascii="Times New Roman" w:hAnsi="Times New Roman"/>
          <w:color w:val="auto"/>
          <w:sz w:val="24"/>
          <w:lang w:val="el-GR"/>
        </w:rPr>
        <w:t xml:space="preserve">τοπικά </w:t>
      </w:r>
      <w:r w:rsidRPr="00FF35A7">
        <w:rPr>
          <w:rFonts w:ascii="Times New Roman" w:hAnsi="Times New Roman"/>
          <w:color w:val="auto"/>
          <w:sz w:val="24"/>
          <w:lang w:val="el-GR"/>
        </w:rPr>
        <w:t>προχωρημένου</w:t>
      </w:r>
      <w:r w:rsidR="006468CE" w:rsidRPr="00FF35A7">
        <w:rPr>
          <w:rFonts w:ascii="Times New Roman" w:hAnsi="Times New Roman"/>
          <w:sz w:val="24"/>
          <w:lang w:val="el-GR"/>
        </w:rPr>
        <w:t xml:space="preserve"> </w:t>
      </w:r>
      <w:r w:rsidR="006468CE" w:rsidRPr="00FF35A7">
        <w:rPr>
          <w:rFonts w:ascii="Times New Roman" w:hAnsi="Times New Roman"/>
          <w:color w:val="auto"/>
          <w:sz w:val="24"/>
          <w:lang w:val="el-GR"/>
        </w:rPr>
        <w:t>ή μεταστατικού</w:t>
      </w:r>
      <w:r w:rsidRPr="00FF35A7">
        <w:rPr>
          <w:rFonts w:ascii="Times New Roman" w:hAnsi="Times New Roman"/>
          <w:color w:val="auto"/>
          <w:sz w:val="24"/>
          <w:lang w:val="el-GR"/>
        </w:rPr>
        <w:t xml:space="preserve"> καρκίνου του προστάτου.</w:t>
      </w:r>
      <w:proofErr w:type="gramEnd"/>
    </w:p>
    <w:p w:rsidR="005440F2" w:rsidRPr="00FF35A7" w:rsidRDefault="005440F2" w:rsidP="00B23525">
      <w:pPr>
        <w:pStyle w:val="a4"/>
        <w:ind w:right="-1"/>
        <w:jc w:val="both"/>
        <w:rPr>
          <w:rFonts w:ascii="Times New Roman" w:hAnsi="Times New Roman"/>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4.2</w:t>
      </w:r>
      <w:r w:rsidR="00C70860" w:rsidRPr="00FF35A7">
        <w:rPr>
          <w:rFonts w:ascii="Times New Roman" w:hAnsi="Times New Roman"/>
          <w:b/>
          <w:bCs/>
          <w:color w:val="auto"/>
          <w:sz w:val="24"/>
          <w:lang w:val="el-GR"/>
        </w:rPr>
        <w:tab/>
      </w:r>
      <w:r w:rsidRPr="00FF35A7">
        <w:rPr>
          <w:rFonts w:ascii="Times New Roman" w:hAnsi="Times New Roman"/>
          <w:b/>
          <w:bCs/>
          <w:color w:val="auto"/>
          <w:sz w:val="24"/>
          <w:lang w:val="el-GR"/>
        </w:rPr>
        <w:t>Δοσολογία και τρόπος χορήγησης</w:t>
      </w:r>
    </w:p>
    <w:p w:rsidR="00072B95" w:rsidRPr="00FF35A7" w:rsidRDefault="00072B95" w:rsidP="00B23525">
      <w:pPr>
        <w:pStyle w:val="a4"/>
        <w:ind w:right="-1"/>
        <w:jc w:val="both"/>
        <w:rPr>
          <w:rFonts w:ascii="Times New Roman" w:hAnsi="Times New Roman"/>
          <w:color w:val="auto"/>
          <w:sz w:val="24"/>
          <w:u w:val="single"/>
          <w:lang w:val="el-GR"/>
        </w:rPr>
      </w:pPr>
      <w:r w:rsidRPr="00FF35A7">
        <w:rPr>
          <w:rFonts w:ascii="Times New Roman" w:hAnsi="Times New Roman"/>
          <w:color w:val="auto"/>
          <w:sz w:val="24"/>
          <w:u w:val="single"/>
          <w:lang w:val="el-GR"/>
        </w:rPr>
        <w:t>Δοσολογία</w:t>
      </w:r>
    </w:p>
    <w:p w:rsidR="006468CE" w:rsidRPr="00FF35A7" w:rsidRDefault="006468CE" w:rsidP="00B23525">
      <w:pPr>
        <w:ind w:right="-1"/>
        <w:jc w:val="both"/>
        <w:rPr>
          <w:lang w:val="el-GR"/>
        </w:rPr>
      </w:pPr>
      <w:r w:rsidRPr="00FF35A7">
        <w:rPr>
          <w:lang w:val="el-GR"/>
        </w:rPr>
        <w:t xml:space="preserve">Η συνήθης συνιστώμενη δόση του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είναι 3,</w:t>
      </w:r>
      <w:r w:rsidR="00D47CA0" w:rsidRPr="00FF35A7">
        <w:rPr>
          <w:lang w:val="el-GR"/>
        </w:rPr>
        <w:t>75</w:t>
      </w:r>
      <w:r w:rsidRPr="00FF35A7">
        <w:rPr>
          <w:lang w:val="el-GR"/>
        </w:rPr>
        <w:t xml:space="preserve"> </w:t>
      </w:r>
      <w:r w:rsidRPr="00FF35A7">
        <w:t>mg</w:t>
      </w:r>
      <w:r w:rsidRPr="00FF35A7">
        <w:rPr>
          <w:lang w:val="el-GR"/>
        </w:rPr>
        <w:t xml:space="preserve"> με τη μορφή μιας μηνιαίας ένεσης </w:t>
      </w:r>
      <w:r w:rsidRPr="00FF35A7">
        <w:t>depot</w:t>
      </w:r>
      <w:r w:rsidRPr="00FF35A7">
        <w:rPr>
          <w:lang w:val="el-GR"/>
        </w:rPr>
        <w:t xml:space="preserve"> και χορηγείται ως μία </w:t>
      </w:r>
      <w:r w:rsidR="006B1673" w:rsidRPr="00FF35A7">
        <w:rPr>
          <w:lang w:val="el-GR"/>
        </w:rPr>
        <w:t xml:space="preserve">μόνη </w:t>
      </w:r>
      <w:r w:rsidRPr="00FF35A7">
        <w:rPr>
          <w:lang w:val="el-GR"/>
        </w:rPr>
        <w:t>ενδομυϊκή ένεση κάθε μήνα.</w:t>
      </w:r>
      <w:r w:rsidR="006B1673" w:rsidRPr="00FF35A7">
        <w:rPr>
          <w:lang w:val="el-GR"/>
        </w:rPr>
        <w:t xml:space="preserve"> </w:t>
      </w:r>
      <w:r w:rsidRPr="00FF35A7">
        <w:rPr>
          <w:lang w:val="el-GR"/>
        </w:rPr>
        <w:t xml:space="preserve">Το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πρέπει να χορηγείται υπό ιατρική παρακολούθηση</w:t>
      </w:r>
      <w:r w:rsidR="006B1673" w:rsidRPr="00FF35A7">
        <w:rPr>
          <w:lang w:val="el-GR"/>
        </w:rPr>
        <w:t xml:space="preserve"> ή από ειδικευμένο επαγγελματία υγείας</w:t>
      </w:r>
      <w:r w:rsidRPr="00FF35A7">
        <w:rPr>
          <w:lang w:val="el-GR"/>
        </w:rPr>
        <w:t>.</w:t>
      </w:r>
    </w:p>
    <w:p w:rsidR="00AC5084" w:rsidRPr="00FF35A7" w:rsidRDefault="00072B95"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δόση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rPr>
        <w:t>Depot</w:t>
      </w:r>
      <w:r w:rsidRPr="00FF35A7">
        <w:rPr>
          <w:rFonts w:ascii="Times New Roman" w:hAnsi="Times New Roman"/>
          <w:color w:val="auto"/>
          <w:sz w:val="24"/>
          <w:lang w:val="el-GR"/>
        </w:rPr>
        <w:t xml:space="preserve"> που επιτρέπει τη συνεχή απελευθέρωση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στη διάρκεια ενός μήνα επιτυγχάνεται με τη χρήση μίας</w:t>
      </w:r>
      <w:r w:rsidR="00AC5084" w:rsidRPr="00FF35A7">
        <w:rPr>
          <w:rFonts w:ascii="Times New Roman" w:hAnsi="Times New Roman"/>
          <w:color w:val="auto"/>
          <w:sz w:val="24"/>
          <w:lang w:val="el-GR"/>
        </w:rPr>
        <w:t xml:space="preserve"> </w:t>
      </w:r>
      <w:r w:rsidRPr="00FF35A7">
        <w:rPr>
          <w:rFonts w:ascii="Times New Roman" w:hAnsi="Times New Roman"/>
          <w:color w:val="auto"/>
          <w:sz w:val="24"/>
        </w:rPr>
        <w:t>depot</w:t>
      </w:r>
      <w:r w:rsidRPr="00FF35A7">
        <w:rPr>
          <w:rFonts w:ascii="Times New Roman" w:hAnsi="Times New Roman"/>
          <w:color w:val="auto"/>
          <w:sz w:val="24"/>
          <w:lang w:val="el-GR"/>
        </w:rPr>
        <w:t xml:space="preserve"> </w:t>
      </w:r>
      <w:r w:rsidR="006B1673" w:rsidRPr="00FF35A7">
        <w:rPr>
          <w:rFonts w:ascii="Times New Roman" w:hAnsi="Times New Roman"/>
          <w:color w:val="auto"/>
          <w:sz w:val="24"/>
          <w:lang w:val="el-GR"/>
        </w:rPr>
        <w:t>μορφής</w:t>
      </w:r>
      <w:r w:rsidRPr="00FF35A7">
        <w:rPr>
          <w:rFonts w:ascii="Times New Roman" w:hAnsi="Times New Roman"/>
          <w:color w:val="auto"/>
          <w:sz w:val="24"/>
          <w:lang w:val="el-GR"/>
        </w:rPr>
        <w:t xml:space="preserve">. </w:t>
      </w:r>
      <w:r w:rsidR="007721F6" w:rsidRPr="00FF35A7">
        <w:rPr>
          <w:rFonts w:ascii="Times New Roman" w:hAnsi="Times New Roman"/>
          <w:color w:val="auto"/>
          <w:sz w:val="24"/>
          <w:lang w:val="el-GR"/>
        </w:rPr>
        <w:t>Μετά την ανασύσταση της</w:t>
      </w:r>
      <w:r w:rsidRPr="00FF35A7">
        <w:rPr>
          <w:rFonts w:ascii="Times New Roman" w:hAnsi="Times New Roman"/>
          <w:color w:val="auto"/>
          <w:sz w:val="24"/>
          <w:lang w:val="el-GR"/>
        </w:rPr>
        <w:t>, η λυ</w:t>
      </w:r>
      <w:r w:rsidR="006B1673" w:rsidRPr="00FF35A7">
        <w:rPr>
          <w:rFonts w:ascii="Times New Roman" w:hAnsi="Times New Roman"/>
          <w:color w:val="auto"/>
          <w:sz w:val="24"/>
          <w:lang w:val="el-GR"/>
        </w:rPr>
        <w:t>ο</w:t>
      </w:r>
      <w:r w:rsidRPr="00FF35A7">
        <w:rPr>
          <w:rFonts w:ascii="Times New Roman" w:hAnsi="Times New Roman"/>
          <w:color w:val="auto"/>
          <w:sz w:val="24"/>
          <w:lang w:val="el-GR"/>
        </w:rPr>
        <w:t xml:space="preserve">φιλοποιημένη σκόνη </w:t>
      </w:r>
      <w:r w:rsidR="00AC5084" w:rsidRPr="00FF35A7">
        <w:rPr>
          <w:rFonts w:ascii="Times New Roman" w:hAnsi="Times New Roman"/>
          <w:color w:val="auto"/>
          <w:sz w:val="24"/>
          <w:lang w:val="el-GR"/>
        </w:rPr>
        <w:t xml:space="preserve">(μικροσφαίρια) </w:t>
      </w:r>
      <w:r w:rsidRPr="00FF35A7">
        <w:rPr>
          <w:rFonts w:ascii="Times New Roman" w:hAnsi="Times New Roman"/>
          <w:color w:val="auto"/>
          <w:sz w:val="24"/>
          <w:lang w:val="el-GR"/>
        </w:rPr>
        <w:t>θα πρέπει να χορηγείται</w:t>
      </w:r>
      <w:r w:rsidRPr="00FF35A7">
        <w:rPr>
          <w:rFonts w:ascii="Times New Roman" w:hAnsi="Times New Roman"/>
          <w:b/>
          <w:bCs/>
          <w:color w:val="auto"/>
          <w:sz w:val="24"/>
          <w:lang w:val="el-GR"/>
        </w:rPr>
        <w:t xml:space="preserve"> μηνιαίως </w:t>
      </w:r>
      <w:r w:rsidRPr="00FF35A7">
        <w:rPr>
          <w:rFonts w:ascii="Times New Roman" w:hAnsi="Times New Roman"/>
          <w:color w:val="auto"/>
          <w:sz w:val="24"/>
          <w:lang w:val="el-GR"/>
        </w:rPr>
        <w:t>με</w:t>
      </w:r>
      <w:r w:rsidR="00AC5084" w:rsidRPr="00FF35A7">
        <w:rPr>
          <w:rFonts w:ascii="Times New Roman" w:hAnsi="Times New Roman"/>
          <w:color w:val="auto"/>
          <w:sz w:val="24"/>
          <w:lang w:val="el-GR"/>
        </w:rPr>
        <w:t xml:space="preserve"> μία</w:t>
      </w:r>
      <w:r w:rsidRPr="00FF35A7">
        <w:rPr>
          <w:rFonts w:ascii="Times New Roman" w:hAnsi="Times New Roman"/>
          <w:color w:val="auto"/>
          <w:sz w:val="24"/>
          <w:lang w:val="el-GR"/>
        </w:rPr>
        <w:t xml:space="preserve"> εφάπαξ ενδομυϊκή ένεση</w:t>
      </w:r>
      <w:r w:rsidR="00AC5084" w:rsidRPr="00FF35A7">
        <w:rPr>
          <w:rFonts w:ascii="Times New Roman" w:hAnsi="Times New Roman"/>
          <w:color w:val="auto"/>
          <w:sz w:val="24"/>
          <w:lang w:val="el-GR"/>
        </w:rPr>
        <w:t xml:space="preserve">. Η ενδοαρτηριακή ή ενδοφλέβια χορήγηση πρέπει να αποφεύγεται. Η ανασύσταση της σκόνης (μικροσφαίρια) του φιαλιδίου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rPr>
        <w:t>Depot</w:t>
      </w:r>
      <w:r w:rsidR="00AC5084" w:rsidRPr="00FF35A7">
        <w:rPr>
          <w:rFonts w:ascii="Times New Roman" w:hAnsi="Times New Roman"/>
          <w:color w:val="auto"/>
          <w:sz w:val="24"/>
          <w:lang w:val="el-GR"/>
        </w:rPr>
        <w:t xml:space="preserve"> πρέπει να γίνεται αμέσως πριν τη χορήγηση </w:t>
      </w:r>
      <w:r w:rsidR="00CD1CFF" w:rsidRPr="00FF35A7">
        <w:rPr>
          <w:rFonts w:ascii="Times New Roman" w:hAnsi="Times New Roman"/>
          <w:color w:val="auto"/>
          <w:sz w:val="24"/>
          <w:lang w:val="el-GR"/>
        </w:rPr>
        <w:t xml:space="preserve">του εναιωρήματος </w:t>
      </w:r>
      <w:r w:rsidR="00AC5084" w:rsidRPr="00FF35A7">
        <w:rPr>
          <w:rFonts w:ascii="Times New Roman" w:hAnsi="Times New Roman"/>
          <w:color w:val="auto"/>
          <w:sz w:val="24"/>
          <w:lang w:val="el-GR"/>
        </w:rPr>
        <w:t xml:space="preserve">με ενδομυϊκή ένεση. Όπως και με άλλα σκευάσματα που χορηγούνται με ένεση τακτικά, το σημείο της ένεσης πρέπει να αλλάζει περιοδικά. </w:t>
      </w:r>
    </w:p>
    <w:p w:rsidR="00AC5084" w:rsidRPr="00FF35A7" w:rsidRDefault="00AC5084"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θεραπεία με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rPr>
        <w:t>Depot</w:t>
      </w:r>
      <w:r w:rsidRPr="00FF35A7">
        <w:rPr>
          <w:rFonts w:ascii="Times New Roman" w:hAnsi="Times New Roman"/>
          <w:color w:val="auto"/>
          <w:sz w:val="24"/>
          <w:lang w:val="el-GR"/>
        </w:rPr>
        <w:t xml:space="preserve"> δεν πρέπει να διακόπτεται όταν παρατηρείται </w:t>
      </w:r>
      <w:r w:rsidR="00CD1CFF" w:rsidRPr="00FF35A7">
        <w:rPr>
          <w:rFonts w:ascii="Times New Roman" w:hAnsi="Times New Roman"/>
          <w:color w:val="auto"/>
          <w:sz w:val="24"/>
          <w:lang w:val="el-GR"/>
        </w:rPr>
        <w:t>ύφεση</w:t>
      </w:r>
      <w:r w:rsidRPr="00FF35A7">
        <w:rPr>
          <w:rFonts w:ascii="Times New Roman" w:hAnsi="Times New Roman"/>
          <w:color w:val="auto"/>
          <w:sz w:val="24"/>
          <w:lang w:val="el-GR"/>
        </w:rPr>
        <w:t xml:space="preserve"> ή βελτίωση στον ασθενή.</w:t>
      </w:r>
    </w:p>
    <w:p w:rsidR="00853811" w:rsidRPr="00FF35A7" w:rsidRDefault="00AC5084"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ανταπόκριση στη θεραπεία με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6468CE" w:rsidRPr="00FF35A7">
        <w:rPr>
          <w:rFonts w:ascii="Times New Roman" w:hAnsi="Times New Roman"/>
          <w:color w:val="auto"/>
          <w:sz w:val="24"/>
          <w:lang w:val="el-GR"/>
        </w:rPr>
        <w:t xml:space="preserve"> </w:t>
      </w:r>
      <w:r w:rsidR="006468CE" w:rsidRPr="00FF35A7">
        <w:rPr>
          <w:rFonts w:ascii="Times New Roman" w:hAnsi="Times New Roman"/>
          <w:color w:val="auto"/>
          <w:sz w:val="24"/>
        </w:rPr>
        <w:t>Depot</w:t>
      </w:r>
      <w:r w:rsidRPr="00FF35A7">
        <w:rPr>
          <w:rFonts w:ascii="Times New Roman" w:hAnsi="Times New Roman"/>
          <w:color w:val="auto"/>
          <w:sz w:val="24"/>
          <w:lang w:val="el-GR"/>
        </w:rPr>
        <w:t xml:space="preserve"> </w:t>
      </w:r>
      <w:r w:rsidR="00217A53" w:rsidRPr="00FF35A7">
        <w:rPr>
          <w:rFonts w:ascii="Times New Roman" w:hAnsi="Times New Roman"/>
          <w:color w:val="auto"/>
          <w:sz w:val="24"/>
          <w:lang w:val="el-GR"/>
        </w:rPr>
        <w:t xml:space="preserve">πρέπει να </w:t>
      </w:r>
      <w:r w:rsidR="00070CDA" w:rsidRPr="00FF35A7">
        <w:rPr>
          <w:rFonts w:ascii="Times New Roman" w:hAnsi="Times New Roman"/>
          <w:color w:val="auto"/>
          <w:sz w:val="24"/>
          <w:lang w:val="el-GR"/>
        </w:rPr>
        <w:t>αξιολογείται</w:t>
      </w:r>
      <w:r w:rsidR="00217A53" w:rsidRPr="00FF35A7">
        <w:rPr>
          <w:rFonts w:ascii="Times New Roman" w:hAnsi="Times New Roman"/>
          <w:color w:val="auto"/>
          <w:sz w:val="24"/>
          <w:lang w:val="el-GR"/>
        </w:rPr>
        <w:t xml:space="preserve"> με την τακτική μέτρηση των επιπέδων της τεστοστερόνης </w:t>
      </w:r>
      <w:r w:rsidR="00092027" w:rsidRPr="00FF35A7">
        <w:rPr>
          <w:rFonts w:ascii="Times New Roman" w:hAnsi="Times New Roman"/>
          <w:color w:val="auto"/>
          <w:sz w:val="24"/>
          <w:lang w:val="el-GR"/>
        </w:rPr>
        <w:t xml:space="preserve">όπως επίσης </w:t>
      </w:r>
      <w:r w:rsidR="00217A53" w:rsidRPr="00FF35A7">
        <w:rPr>
          <w:rFonts w:ascii="Times New Roman" w:hAnsi="Times New Roman"/>
          <w:color w:val="auto"/>
          <w:sz w:val="24"/>
          <w:lang w:val="el-GR"/>
        </w:rPr>
        <w:t>και του ειδικού προστατικού αντιγόνου (</w:t>
      </w:r>
      <w:r w:rsidR="00217A53" w:rsidRPr="00FF35A7">
        <w:rPr>
          <w:rFonts w:ascii="Times New Roman" w:hAnsi="Times New Roman"/>
          <w:color w:val="auto"/>
          <w:sz w:val="24"/>
        </w:rPr>
        <w:t>PSA</w:t>
      </w:r>
      <w:r w:rsidR="00217A53" w:rsidRPr="00FF35A7">
        <w:rPr>
          <w:rFonts w:ascii="Times New Roman" w:hAnsi="Times New Roman"/>
          <w:color w:val="auto"/>
          <w:sz w:val="24"/>
          <w:lang w:val="el-GR"/>
        </w:rPr>
        <w:t>)</w:t>
      </w:r>
      <w:r w:rsidRPr="00FF35A7">
        <w:rPr>
          <w:rFonts w:ascii="Times New Roman" w:hAnsi="Times New Roman"/>
          <w:color w:val="auto"/>
          <w:sz w:val="24"/>
          <w:lang w:val="el-GR"/>
        </w:rPr>
        <w:t xml:space="preserve"> </w:t>
      </w:r>
      <w:r w:rsidR="00217A53" w:rsidRPr="00FF35A7">
        <w:rPr>
          <w:rFonts w:ascii="Times New Roman" w:hAnsi="Times New Roman"/>
          <w:color w:val="auto"/>
          <w:sz w:val="24"/>
          <w:lang w:val="el-GR"/>
        </w:rPr>
        <w:t>στον ορό του αίματος. Κλινικές μελέτες έδειξαν ότι</w:t>
      </w:r>
      <w:r w:rsidR="00B07FD9" w:rsidRPr="00FF35A7">
        <w:rPr>
          <w:rFonts w:ascii="Times New Roman" w:hAnsi="Times New Roman"/>
          <w:color w:val="auto"/>
          <w:sz w:val="24"/>
          <w:lang w:val="el-GR"/>
        </w:rPr>
        <w:t>,</w:t>
      </w:r>
      <w:r w:rsidR="00217A53" w:rsidRPr="00FF35A7">
        <w:rPr>
          <w:rFonts w:ascii="Times New Roman" w:hAnsi="Times New Roman"/>
          <w:color w:val="auto"/>
          <w:sz w:val="24"/>
          <w:lang w:val="el-GR"/>
        </w:rPr>
        <w:t xml:space="preserve"> </w:t>
      </w:r>
      <w:r w:rsidR="00204758" w:rsidRPr="00FF35A7">
        <w:rPr>
          <w:rFonts w:ascii="Times New Roman" w:hAnsi="Times New Roman"/>
          <w:color w:val="auto"/>
          <w:sz w:val="24"/>
          <w:lang w:val="el-GR"/>
        </w:rPr>
        <w:t>στην πλειοψηφία των ασθενών που δεν έχουν υποβληθεί σε ορχεκτο</w:t>
      </w:r>
      <w:r w:rsidR="007721F6" w:rsidRPr="00FF35A7">
        <w:rPr>
          <w:rFonts w:ascii="Times New Roman" w:hAnsi="Times New Roman"/>
          <w:color w:val="auto"/>
          <w:sz w:val="24"/>
          <w:lang w:val="el-GR"/>
        </w:rPr>
        <w:t xml:space="preserve">μή, </w:t>
      </w:r>
      <w:r w:rsidR="00B07FD9" w:rsidRPr="00FF35A7">
        <w:rPr>
          <w:rFonts w:ascii="Times New Roman" w:hAnsi="Times New Roman"/>
          <w:color w:val="auto"/>
          <w:sz w:val="24"/>
          <w:lang w:val="el-GR"/>
        </w:rPr>
        <w:t xml:space="preserve">τα επίπεδα τεστοστερόνης αυξήθηκαν κατά τις πρώτες 4 μέρες της θεραπείας </w:t>
      </w:r>
      <w:r w:rsidR="007721F6" w:rsidRPr="00FF35A7">
        <w:rPr>
          <w:rFonts w:ascii="Times New Roman" w:hAnsi="Times New Roman"/>
          <w:color w:val="auto"/>
          <w:sz w:val="24"/>
          <w:lang w:val="el-GR"/>
        </w:rPr>
        <w:t xml:space="preserve">και στη συνέχεια </w:t>
      </w:r>
      <w:r w:rsidR="00B07FD9" w:rsidRPr="00FF35A7">
        <w:rPr>
          <w:rFonts w:ascii="Times New Roman" w:hAnsi="Times New Roman"/>
          <w:color w:val="auto"/>
          <w:sz w:val="24"/>
          <w:lang w:val="el-GR"/>
        </w:rPr>
        <w:t>μειώθηκαν</w:t>
      </w:r>
      <w:r w:rsidR="007721F6" w:rsidRPr="00FF35A7">
        <w:rPr>
          <w:rFonts w:ascii="Times New Roman" w:hAnsi="Times New Roman"/>
          <w:color w:val="auto"/>
          <w:sz w:val="24"/>
          <w:lang w:val="el-GR"/>
        </w:rPr>
        <w:t>. Τα επίπεδα ευνουχισμού (</w:t>
      </w:r>
      <w:r w:rsidR="00BF7D9A" w:rsidRPr="00FF35A7">
        <w:rPr>
          <w:rFonts w:ascii="Times New Roman" w:hAnsi="Times New Roman"/>
          <w:color w:val="auto"/>
          <w:sz w:val="24"/>
          <w:lang w:val="el-GR"/>
        </w:rPr>
        <w:t>τεστοστερόνη</w:t>
      </w:r>
      <w:r w:rsidR="007721F6" w:rsidRPr="00FF35A7">
        <w:rPr>
          <w:rFonts w:ascii="Times New Roman" w:hAnsi="Times New Roman"/>
          <w:color w:val="auto"/>
          <w:sz w:val="24"/>
          <w:lang w:val="el-GR"/>
        </w:rPr>
        <w:t xml:space="preserve"> μικρότερη των 0.5</w:t>
      </w:r>
      <w:proofErr w:type="spellStart"/>
      <w:r w:rsidR="007721F6" w:rsidRPr="00FF35A7">
        <w:rPr>
          <w:rFonts w:ascii="Times New Roman" w:hAnsi="Times New Roman"/>
          <w:color w:val="auto"/>
          <w:sz w:val="24"/>
        </w:rPr>
        <w:t>ng</w:t>
      </w:r>
      <w:proofErr w:type="spellEnd"/>
      <w:r w:rsidR="007721F6" w:rsidRPr="00FF35A7">
        <w:rPr>
          <w:rFonts w:ascii="Times New Roman" w:hAnsi="Times New Roman"/>
          <w:color w:val="auto"/>
          <w:sz w:val="24"/>
          <w:lang w:val="el-GR"/>
        </w:rPr>
        <w:t>/</w:t>
      </w:r>
      <w:r w:rsidR="007721F6" w:rsidRPr="00FF35A7">
        <w:rPr>
          <w:rFonts w:ascii="Times New Roman" w:hAnsi="Times New Roman"/>
          <w:color w:val="auto"/>
          <w:sz w:val="24"/>
        </w:rPr>
        <w:t>ml</w:t>
      </w:r>
      <w:r w:rsidR="007721F6" w:rsidRPr="00FF35A7">
        <w:rPr>
          <w:rFonts w:ascii="Times New Roman" w:hAnsi="Times New Roman"/>
          <w:color w:val="auto"/>
          <w:sz w:val="24"/>
          <w:lang w:val="el-GR"/>
        </w:rPr>
        <w:t>) επιτ</w:t>
      </w:r>
      <w:r w:rsidR="00B07FD9" w:rsidRPr="00FF35A7">
        <w:rPr>
          <w:rFonts w:ascii="Times New Roman" w:hAnsi="Times New Roman"/>
          <w:color w:val="auto"/>
          <w:sz w:val="24"/>
          <w:lang w:val="el-GR"/>
        </w:rPr>
        <w:t>εύχθηκαν</w:t>
      </w:r>
      <w:r w:rsidR="007721F6" w:rsidRPr="00FF35A7">
        <w:rPr>
          <w:rFonts w:ascii="Times New Roman" w:hAnsi="Times New Roman"/>
          <w:color w:val="auto"/>
          <w:sz w:val="24"/>
          <w:lang w:val="el-GR"/>
        </w:rPr>
        <w:t xml:space="preserve"> </w:t>
      </w:r>
      <w:r w:rsidR="000E273F" w:rsidRPr="00FF35A7">
        <w:rPr>
          <w:rFonts w:ascii="Times New Roman" w:hAnsi="Times New Roman"/>
          <w:color w:val="auto"/>
          <w:sz w:val="24"/>
          <w:lang w:val="el-GR"/>
        </w:rPr>
        <w:t xml:space="preserve">3 </w:t>
      </w:r>
      <w:r w:rsidR="007721F6" w:rsidRPr="00FF35A7">
        <w:rPr>
          <w:rFonts w:ascii="Times New Roman" w:hAnsi="Times New Roman"/>
          <w:color w:val="auto"/>
          <w:sz w:val="24"/>
          <w:lang w:val="el-GR"/>
        </w:rPr>
        <w:t>έως 4 εβδομάδες μετά την έναρξη θεραπείας και διατηρ</w:t>
      </w:r>
      <w:r w:rsidR="00B07FD9" w:rsidRPr="00FF35A7">
        <w:rPr>
          <w:rFonts w:ascii="Times New Roman" w:hAnsi="Times New Roman"/>
          <w:color w:val="auto"/>
          <w:sz w:val="24"/>
          <w:lang w:val="el-GR"/>
        </w:rPr>
        <w:t>ήθηκαν</w:t>
      </w:r>
      <w:r w:rsidR="007721F6" w:rsidRPr="00FF35A7">
        <w:rPr>
          <w:rFonts w:ascii="Times New Roman" w:hAnsi="Times New Roman"/>
          <w:color w:val="auto"/>
          <w:sz w:val="24"/>
          <w:lang w:val="el-GR"/>
        </w:rPr>
        <w:t xml:space="preserve"> όσο ο</w:t>
      </w:r>
      <w:r w:rsidR="00B07FD9" w:rsidRPr="00FF35A7">
        <w:rPr>
          <w:rFonts w:ascii="Times New Roman" w:hAnsi="Times New Roman"/>
          <w:color w:val="auto"/>
          <w:sz w:val="24"/>
          <w:lang w:val="el-GR"/>
        </w:rPr>
        <w:t>ι</w:t>
      </w:r>
      <w:r w:rsidR="007721F6" w:rsidRPr="00FF35A7">
        <w:rPr>
          <w:rFonts w:ascii="Times New Roman" w:hAnsi="Times New Roman"/>
          <w:color w:val="auto"/>
          <w:sz w:val="24"/>
          <w:lang w:val="el-GR"/>
        </w:rPr>
        <w:t xml:space="preserve"> ασθεν</w:t>
      </w:r>
      <w:r w:rsidR="00B07FD9" w:rsidRPr="00FF35A7">
        <w:rPr>
          <w:rFonts w:ascii="Times New Roman" w:hAnsi="Times New Roman"/>
          <w:color w:val="auto"/>
          <w:sz w:val="24"/>
          <w:lang w:val="el-GR"/>
        </w:rPr>
        <w:t>εί</w:t>
      </w:r>
      <w:r w:rsidR="007721F6" w:rsidRPr="00FF35A7">
        <w:rPr>
          <w:rFonts w:ascii="Times New Roman" w:hAnsi="Times New Roman"/>
          <w:color w:val="auto"/>
          <w:sz w:val="24"/>
          <w:lang w:val="el-GR"/>
        </w:rPr>
        <w:t xml:space="preserve">ς </w:t>
      </w:r>
      <w:r w:rsidR="00B07FD9" w:rsidRPr="00FF35A7">
        <w:rPr>
          <w:rFonts w:ascii="Times New Roman" w:hAnsi="Times New Roman"/>
          <w:color w:val="auto"/>
          <w:sz w:val="24"/>
          <w:lang w:val="el-GR"/>
        </w:rPr>
        <w:t>συνέχισαν τη θεραπεία</w:t>
      </w:r>
      <w:r w:rsidR="007721F6" w:rsidRPr="00FF35A7">
        <w:rPr>
          <w:rFonts w:ascii="Times New Roman" w:hAnsi="Times New Roman"/>
          <w:color w:val="auto"/>
          <w:sz w:val="24"/>
          <w:lang w:val="el-GR"/>
        </w:rPr>
        <w:t>.</w:t>
      </w:r>
    </w:p>
    <w:p w:rsidR="00853811" w:rsidRPr="00FF35A7" w:rsidRDefault="0085381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Εάν η ανταπόκριση του ασθενούς δεν είναι η αναμενόμενη, </w:t>
      </w:r>
      <w:r w:rsidR="00092027" w:rsidRPr="00FF35A7">
        <w:rPr>
          <w:rFonts w:ascii="Times New Roman" w:hAnsi="Times New Roman"/>
          <w:color w:val="auto"/>
          <w:sz w:val="24"/>
          <w:lang w:val="el-GR"/>
        </w:rPr>
        <w:t xml:space="preserve">τότε θα ήταν σκόπιμο </w:t>
      </w:r>
      <w:r w:rsidRPr="00FF35A7">
        <w:rPr>
          <w:rFonts w:ascii="Times New Roman" w:hAnsi="Times New Roman"/>
          <w:color w:val="auto"/>
          <w:sz w:val="24"/>
          <w:lang w:val="el-GR"/>
        </w:rPr>
        <w:t xml:space="preserve"> να επιβεβαιωθεί ότι τα επίπεδα τεστοστερόνης στον ορό του αίματος έχουν φτάσει ή παραμένουν σε επίπεδο ευνουχισμού. Παροδικ</w:t>
      </w:r>
      <w:r w:rsidR="00092027" w:rsidRPr="00FF35A7">
        <w:rPr>
          <w:rFonts w:ascii="Times New Roman" w:hAnsi="Times New Roman"/>
          <w:color w:val="auto"/>
          <w:sz w:val="24"/>
          <w:lang w:val="el-GR"/>
        </w:rPr>
        <w:t>ές</w:t>
      </w:r>
      <w:r w:rsidRPr="00FF35A7">
        <w:rPr>
          <w:rFonts w:ascii="Times New Roman" w:hAnsi="Times New Roman"/>
          <w:color w:val="auto"/>
          <w:sz w:val="24"/>
          <w:lang w:val="el-GR"/>
        </w:rPr>
        <w:t xml:space="preserve"> α</w:t>
      </w:r>
      <w:r w:rsidR="00092027" w:rsidRPr="00FF35A7">
        <w:rPr>
          <w:rFonts w:ascii="Times New Roman" w:hAnsi="Times New Roman"/>
          <w:color w:val="auto"/>
          <w:sz w:val="24"/>
          <w:lang w:val="el-GR"/>
        </w:rPr>
        <w:t>υ</w:t>
      </w:r>
      <w:r w:rsidRPr="00FF35A7">
        <w:rPr>
          <w:rFonts w:ascii="Times New Roman" w:hAnsi="Times New Roman"/>
          <w:color w:val="auto"/>
          <w:sz w:val="24"/>
          <w:lang w:val="el-GR"/>
        </w:rPr>
        <w:t>ξ</w:t>
      </w:r>
      <w:r w:rsidR="00092027" w:rsidRPr="00FF35A7">
        <w:rPr>
          <w:rFonts w:ascii="Times New Roman" w:hAnsi="Times New Roman"/>
          <w:color w:val="auto"/>
          <w:sz w:val="24"/>
          <w:lang w:val="el-GR"/>
        </w:rPr>
        <w:t>ή</w:t>
      </w:r>
      <w:r w:rsidRPr="00FF35A7">
        <w:rPr>
          <w:rFonts w:ascii="Times New Roman" w:hAnsi="Times New Roman"/>
          <w:color w:val="auto"/>
          <w:sz w:val="24"/>
          <w:lang w:val="el-GR"/>
        </w:rPr>
        <w:t>σ</w:t>
      </w:r>
      <w:r w:rsidR="00092027" w:rsidRPr="00FF35A7">
        <w:rPr>
          <w:rFonts w:ascii="Times New Roman" w:hAnsi="Times New Roman"/>
          <w:color w:val="auto"/>
          <w:sz w:val="24"/>
          <w:lang w:val="el-GR"/>
        </w:rPr>
        <w:t>εις</w:t>
      </w:r>
      <w:r w:rsidRPr="00FF35A7">
        <w:rPr>
          <w:rFonts w:ascii="Times New Roman" w:hAnsi="Times New Roman"/>
          <w:color w:val="auto"/>
          <w:sz w:val="24"/>
          <w:lang w:val="el-GR"/>
        </w:rPr>
        <w:t xml:space="preserve"> της όξινης προστατικής </w:t>
      </w:r>
      <w:r w:rsidRPr="00FF35A7">
        <w:rPr>
          <w:rFonts w:ascii="Times New Roman" w:hAnsi="Times New Roman"/>
          <w:color w:val="auto"/>
          <w:sz w:val="24"/>
          <w:lang w:val="el-GR"/>
        </w:rPr>
        <w:lastRenderedPageBreak/>
        <w:t>φωσφατάσης προκύπτ</w:t>
      </w:r>
      <w:r w:rsidR="00092027" w:rsidRPr="00FF35A7">
        <w:rPr>
          <w:rFonts w:ascii="Times New Roman" w:hAnsi="Times New Roman"/>
          <w:color w:val="auto"/>
          <w:sz w:val="24"/>
          <w:lang w:val="el-GR"/>
        </w:rPr>
        <w:t>ουν</w:t>
      </w:r>
      <w:r w:rsidRPr="00FF35A7">
        <w:rPr>
          <w:rFonts w:ascii="Times New Roman" w:hAnsi="Times New Roman"/>
          <w:color w:val="auto"/>
          <w:sz w:val="24"/>
          <w:lang w:val="el-GR"/>
        </w:rPr>
        <w:t xml:space="preserve"> μερικές φορές στην αρχή της θεραπείας</w:t>
      </w:r>
      <w:r w:rsidR="00BF7D9A" w:rsidRPr="00FF35A7">
        <w:rPr>
          <w:rFonts w:ascii="Times New Roman" w:hAnsi="Times New Roman"/>
          <w:color w:val="auto"/>
          <w:sz w:val="24"/>
          <w:lang w:val="el-GR"/>
        </w:rPr>
        <w:t>, ό</w:t>
      </w:r>
      <w:r w:rsidRPr="00FF35A7">
        <w:rPr>
          <w:rFonts w:ascii="Times New Roman" w:hAnsi="Times New Roman"/>
          <w:color w:val="auto"/>
          <w:sz w:val="24"/>
          <w:lang w:val="el-GR"/>
        </w:rPr>
        <w:t>μως, ως την 4η εβδομάδα, τα επίπεδα επανέρχονται συνήθως στις φυσιολογικές τιμές ή γύρω σ'</w:t>
      </w:r>
      <w:r w:rsidR="00BF7D9A" w:rsidRPr="00FF35A7">
        <w:rPr>
          <w:rFonts w:ascii="Times New Roman" w:hAnsi="Times New Roman"/>
          <w:color w:val="auto"/>
          <w:sz w:val="24"/>
          <w:lang w:val="el-GR"/>
        </w:rPr>
        <w:t xml:space="preserve"> </w:t>
      </w:r>
      <w:r w:rsidRPr="00FF35A7">
        <w:rPr>
          <w:rFonts w:ascii="Times New Roman" w:hAnsi="Times New Roman"/>
          <w:color w:val="auto"/>
          <w:sz w:val="24"/>
          <w:lang w:val="el-GR"/>
        </w:rPr>
        <w:t>αυτές.</w:t>
      </w:r>
    </w:p>
    <w:p w:rsidR="00853811" w:rsidRPr="00FF35A7" w:rsidRDefault="00853811" w:rsidP="00B23525">
      <w:pPr>
        <w:pStyle w:val="a4"/>
        <w:ind w:right="-1"/>
        <w:jc w:val="both"/>
        <w:rPr>
          <w:rFonts w:ascii="Times New Roman" w:hAnsi="Times New Roman"/>
          <w:color w:val="auto"/>
          <w:sz w:val="24"/>
          <w:lang w:val="el-GR"/>
        </w:rPr>
      </w:pPr>
    </w:p>
    <w:p w:rsidR="00853811" w:rsidRPr="00FF35A7" w:rsidRDefault="00853811" w:rsidP="00B23525">
      <w:pPr>
        <w:pStyle w:val="a4"/>
        <w:ind w:right="-1"/>
        <w:jc w:val="both"/>
        <w:rPr>
          <w:rFonts w:ascii="Times New Roman" w:hAnsi="Times New Roman"/>
          <w:color w:val="auto"/>
          <w:sz w:val="24"/>
          <w:lang w:val="el-GR"/>
        </w:rPr>
      </w:pPr>
      <w:r w:rsidRPr="00FF35A7">
        <w:rPr>
          <w:rFonts w:ascii="Times New Roman" w:hAnsi="Times New Roman"/>
          <w:color w:val="auto"/>
          <w:sz w:val="24"/>
          <w:u w:val="single"/>
          <w:lang w:val="el-GR"/>
        </w:rPr>
        <w:t>Διάρκεια θεραπείας</w:t>
      </w:r>
    </w:p>
    <w:p w:rsidR="00853811" w:rsidRPr="00FF35A7" w:rsidRDefault="0085381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rPr>
        <w:t>Depot</w:t>
      </w:r>
      <w:r w:rsidRPr="00FF35A7">
        <w:rPr>
          <w:rFonts w:ascii="Times New Roman" w:hAnsi="Times New Roman"/>
          <w:color w:val="auto"/>
          <w:sz w:val="24"/>
          <w:lang w:val="el-GR"/>
        </w:rPr>
        <w:t xml:space="preserve"> χορηγείται με </w:t>
      </w:r>
      <w:r w:rsidR="00BF7D9A" w:rsidRPr="00FF35A7">
        <w:rPr>
          <w:rFonts w:ascii="Times New Roman" w:hAnsi="Times New Roman"/>
          <w:color w:val="auto"/>
          <w:sz w:val="24"/>
          <w:lang w:val="el-GR"/>
        </w:rPr>
        <w:t>ενδομυϊκή</w:t>
      </w:r>
      <w:r w:rsidRPr="00FF35A7">
        <w:rPr>
          <w:rFonts w:ascii="Times New Roman" w:hAnsi="Times New Roman"/>
          <w:color w:val="auto"/>
          <w:sz w:val="24"/>
          <w:lang w:val="el-GR"/>
        </w:rPr>
        <w:t xml:space="preserve"> ένεση μηνιαίως.</w:t>
      </w:r>
    </w:p>
    <w:p w:rsidR="00853811" w:rsidRPr="00FF35A7" w:rsidRDefault="00853811" w:rsidP="00B23525">
      <w:pPr>
        <w:pStyle w:val="a4"/>
        <w:ind w:right="-1"/>
        <w:jc w:val="both"/>
        <w:rPr>
          <w:rFonts w:ascii="Times New Roman" w:hAnsi="Times New Roman"/>
          <w:color w:val="auto"/>
          <w:sz w:val="24"/>
          <w:lang w:val="el-GR"/>
        </w:rPr>
      </w:pPr>
    </w:p>
    <w:p w:rsidR="00853811" w:rsidRPr="00FF35A7" w:rsidRDefault="00853811" w:rsidP="00B23525">
      <w:pPr>
        <w:pStyle w:val="a4"/>
        <w:ind w:right="-1"/>
        <w:jc w:val="both"/>
        <w:rPr>
          <w:rFonts w:ascii="Times New Roman" w:hAnsi="Times New Roman"/>
          <w:color w:val="auto"/>
          <w:sz w:val="24"/>
          <w:lang w:val="el-GR"/>
        </w:rPr>
      </w:pPr>
      <w:r w:rsidRPr="00FF35A7">
        <w:rPr>
          <w:rFonts w:ascii="Times New Roman" w:hAnsi="Times New Roman"/>
          <w:color w:val="auto"/>
          <w:sz w:val="24"/>
          <w:u w:val="single"/>
          <w:lang w:val="el-GR"/>
        </w:rPr>
        <w:t>Ειδικοί πληθυσμοί</w:t>
      </w:r>
    </w:p>
    <w:p w:rsidR="000E273F" w:rsidRPr="00FF35A7" w:rsidRDefault="000E273F" w:rsidP="00B23525">
      <w:pPr>
        <w:pStyle w:val="a4"/>
        <w:ind w:right="-1"/>
        <w:jc w:val="both"/>
        <w:rPr>
          <w:rFonts w:ascii="Times New Roman" w:hAnsi="Times New Roman"/>
          <w:i/>
          <w:color w:val="auto"/>
          <w:sz w:val="24"/>
          <w:lang w:val="el-GR"/>
        </w:rPr>
      </w:pPr>
    </w:p>
    <w:p w:rsidR="00853811" w:rsidRPr="00FF35A7" w:rsidRDefault="00AB15A1" w:rsidP="00B23525">
      <w:pPr>
        <w:pStyle w:val="a4"/>
        <w:ind w:right="-1"/>
        <w:jc w:val="both"/>
        <w:rPr>
          <w:rFonts w:ascii="Times New Roman" w:hAnsi="Times New Roman"/>
          <w:i/>
          <w:color w:val="auto"/>
          <w:sz w:val="24"/>
          <w:lang w:val="el-GR"/>
        </w:rPr>
      </w:pPr>
      <w:r w:rsidRPr="00FF35A7">
        <w:rPr>
          <w:rFonts w:ascii="Times New Roman" w:hAnsi="Times New Roman"/>
          <w:i/>
          <w:color w:val="auto"/>
          <w:sz w:val="24"/>
          <w:lang w:val="el-GR"/>
        </w:rPr>
        <w:t>Παιδιατρική χρήση</w:t>
      </w:r>
    </w:p>
    <w:p w:rsidR="00AB15A1" w:rsidRPr="00FF35A7" w:rsidRDefault="00AB15A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w:t>
      </w:r>
      <w:r w:rsidR="00BF7D9A" w:rsidRPr="00FF35A7">
        <w:rPr>
          <w:rFonts w:ascii="Times New Roman" w:hAnsi="Times New Roman"/>
          <w:color w:val="auto"/>
          <w:sz w:val="24"/>
          <w:lang w:val="el-GR"/>
        </w:rPr>
        <w:t>ασφάλεια και αποτελεσματικότητα</w:t>
      </w:r>
      <w:r w:rsidRPr="00FF35A7">
        <w:rPr>
          <w:rFonts w:ascii="Times New Roman" w:hAnsi="Times New Roman"/>
          <w:color w:val="auto"/>
          <w:sz w:val="24"/>
          <w:lang w:val="el-GR"/>
        </w:rPr>
        <w:t xml:space="preserve">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rPr>
        <w:t>Depot</w:t>
      </w:r>
      <w:r w:rsidRPr="00FF35A7">
        <w:rPr>
          <w:rFonts w:ascii="Times New Roman" w:hAnsi="Times New Roman"/>
          <w:color w:val="auto"/>
          <w:sz w:val="24"/>
          <w:lang w:val="el-GR"/>
        </w:rPr>
        <w:t xml:space="preserve"> </w:t>
      </w:r>
      <w:r w:rsidR="000E273F" w:rsidRPr="00FF35A7">
        <w:rPr>
          <w:rFonts w:ascii="Times New Roman" w:hAnsi="Times New Roman"/>
          <w:color w:val="auto"/>
          <w:sz w:val="24"/>
          <w:lang w:val="el-GR"/>
        </w:rPr>
        <w:t>σε παιδιατρικούς ασθενείς δεν έχει τεκμηριωθεί. Επομένως,</w:t>
      </w:r>
      <w:r w:rsidRPr="00FF35A7">
        <w:rPr>
          <w:rFonts w:ascii="Times New Roman" w:hAnsi="Times New Roman"/>
          <w:color w:val="auto"/>
          <w:sz w:val="24"/>
          <w:lang w:val="el-GR"/>
        </w:rPr>
        <w:t xml:space="preserve"> Επομένως, 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rPr>
        <w:t>Depot</w:t>
      </w:r>
      <w:r w:rsidRPr="00FF35A7">
        <w:rPr>
          <w:rFonts w:ascii="Times New Roman" w:hAnsi="Times New Roman"/>
          <w:color w:val="auto"/>
          <w:sz w:val="24"/>
          <w:lang w:val="el-GR"/>
        </w:rPr>
        <w:t xml:space="preserve"> δε</w:t>
      </w:r>
      <w:r w:rsidR="000E273F" w:rsidRPr="00FF35A7">
        <w:rPr>
          <w:rFonts w:ascii="Times New Roman" w:hAnsi="Times New Roman"/>
          <w:color w:val="auto"/>
          <w:sz w:val="24"/>
          <w:lang w:val="el-GR"/>
        </w:rPr>
        <w:t>ν</w:t>
      </w:r>
      <w:r w:rsidRPr="00FF35A7">
        <w:rPr>
          <w:rFonts w:ascii="Times New Roman" w:hAnsi="Times New Roman"/>
          <w:color w:val="auto"/>
          <w:sz w:val="24"/>
          <w:lang w:val="el-GR"/>
        </w:rPr>
        <w:t xml:space="preserve"> συνιστάται η χρήση σε παιδιά ή εφήβους μέχρι να υπάρξουν επαρκή δεδομένα που επιβεβαιώνουν την ασφάλεια και αποτελεσματικότητα της θεραπείας.</w:t>
      </w:r>
    </w:p>
    <w:p w:rsidR="00853811" w:rsidRPr="00FF35A7" w:rsidRDefault="00853811" w:rsidP="00B23525">
      <w:pPr>
        <w:pStyle w:val="a4"/>
        <w:ind w:right="-1"/>
        <w:jc w:val="both"/>
        <w:rPr>
          <w:rFonts w:ascii="Times New Roman" w:hAnsi="Times New Roman"/>
          <w:color w:val="auto"/>
          <w:sz w:val="24"/>
          <w:lang w:val="el-GR"/>
        </w:rPr>
      </w:pPr>
    </w:p>
    <w:p w:rsidR="00853811" w:rsidRPr="00FF35A7" w:rsidRDefault="00AB15A1" w:rsidP="00B23525">
      <w:pPr>
        <w:pStyle w:val="a4"/>
        <w:ind w:right="-1"/>
        <w:jc w:val="both"/>
        <w:rPr>
          <w:rFonts w:ascii="Times New Roman" w:hAnsi="Times New Roman"/>
          <w:i/>
          <w:color w:val="auto"/>
          <w:sz w:val="24"/>
          <w:lang w:val="el-GR"/>
        </w:rPr>
      </w:pPr>
      <w:r w:rsidRPr="00FF35A7">
        <w:rPr>
          <w:rFonts w:ascii="Times New Roman" w:hAnsi="Times New Roman"/>
          <w:i/>
          <w:color w:val="auto"/>
          <w:sz w:val="24"/>
          <w:lang w:val="el-GR"/>
        </w:rPr>
        <w:t>Νεφρική</w:t>
      </w:r>
      <w:r w:rsidR="00BF7D9A" w:rsidRPr="00FF35A7">
        <w:rPr>
          <w:rFonts w:ascii="Times New Roman" w:hAnsi="Times New Roman"/>
          <w:i/>
          <w:color w:val="auto"/>
          <w:sz w:val="24"/>
          <w:lang w:val="el-GR"/>
        </w:rPr>
        <w:t xml:space="preserve"> </w:t>
      </w:r>
      <w:r w:rsidRPr="00FF35A7">
        <w:rPr>
          <w:rFonts w:ascii="Times New Roman" w:hAnsi="Times New Roman"/>
          <w:i/>
          <w:color w:val="auto"/>
          <w:sz w:val="24"/>
          <w:lang w:val="el-GR"/>
        </w:rPr>
        <w:t>/</w:t>
      </w:r>
      <w:r w:rsidR="00BF7D9A" w:rsidRPr="00FF35A7">
        <w:rPr>
          <w:rFonts w:ascii="Times New Roman" w:hAnsi="Times New Roman"/>
          <w:i/>
          <w:color w:val="auto"/>
          <w:sz w:val="24"/>
          <w:lang w:val="el-GR"/>
        </w:rPr>
        <w:t>η</w:t>
      </w:r>
      <w:r w:rsidRPr="00FF35A7">
        <w:rPr>
          <w:rFonts w:ascii="Times New Roman" w:hAnsi="Times New Roman"/>
          <w:i/>
          <w:color w:val="auto"/>
          <w:sz w:val="24"/>
          <w:lang w:val="el-GR"/>
        </w:rPr>
        <w:t>πατική ανεπάρκεια</w:t>
      </w:r>
    </w:p>
    <w:p w:rsidR="00853811" w:rsidRPr="00FF35A7" w:rsidRDefault="00AB15A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φαρμακοκινητική συμπεριφορά του </w:t>
      </w:r>
      <w:r w:rsidR="00833418">
        <w:rPr>
          <w:rFonts w:ascii="Times New Roman" w:hAnsi="Times New Roman"/>
          <w:color w:val="auto"/>
          <w:sz w:val="24"/>
          <w:lang w:val="es-ES"/>
        </w:rPr>
        <w:t>Lutrate</w:t>
      </w:r>
      <w:r w:rsidR="00833418" w:rsidRPr="00833418">
        <w:rPr>
          <w:rFonts w:ascii="Times New Roman" w:hAnsi="Times New Roman"/>
          <w:color w:val="auto"/>
          <w:sz w:val="24"/>
          <w:vertAlign w:val="superscript"/>
          <w:lang w:val="es-ES"/>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lang w:val="es-ES"/>
        </w:rPr>
        <w:t>Depot</w:t>
      </w:r>
      <w:r w:rsidR="000E273F" w:rsidRPr="00FF35A7">
        <w:rPr>
          <w:rFonts w:ascii="Times New Roman" w:hAnsi="Times New Roman"/>
          <w:color w:val="auto"/>
          <w:sz w:val="24"/>
          <w:lang w:val="el-GR"/>
        </w:rPr>
        <w:t xml:space="preserve"> </w:t>
      </w:r>
      <w:r w:rsidRPr="00FF35A7">
        <w:rPr>
          <w:rFonts w:ascii="Times New Roman" w:hAnsi="Times New Roman"/>
          <w:color w:val="auto"/>
          <w:sz w:val="24"/>
          <w:lang w:val="el-GR"/>
        </w:rPr>
        <w:t xml:space="preserve">σε ασθενείς με ηπατική ή νεφρική </w:t>
      </w:r>
      <w:r w:rsidR="008C5F5D" w:rsidRPr="00FF35A7">
        <w:rPr>
          <w:rFonts w:ascii="Times New Roman" w:hAnsi="Times New Roman"/>
          <w:color w:val="auto"/>
          <w:sz w:val="24"/>
          <w:lang w:val="el-GR"/>
        </w:rPr>
        <w:t xml:space="preserve">βλάβη </w:t>
      </w:r>
      <w:r w:rsidRPr="00FF35A7">
        <w:rPr>
          <w:rFonts w:ascii="Times New Roman" w:hAnsi="Times New Roman"/>
          <w:color w:val="auto"/>
          <w:sz w:val="24"/>
          <w:lang w:val="el-GR"/>
        </w:rPr>
        <w:t>δεν έχει μελετηθεί.</w:t>
      </w:r>
    </w:p>
    <w:p w:rsidR="00AB15A1" w:rsidRPr="00FF35A7" w:rsidRDefault="00AB15A1" w:rsidP="00B23525">
      <w:pPr>
        <w:pStyle w:val="a4"/>
        <w:ind w:right="-1"/>
        <w:jc w:val="both"/>
        <w:rPr>
          <w:rFonts w:ascii="Times New Roman" w:hAnsi="Times New Roman"/>
          <w:color w:val="auto"/>
          <w:sz w:val="24"/>
          <w:lang w:val="el-GR"/>
        </w:rPr>
      </w:pPr>
    </w:p>
    <w:p w:rsidR="00AB15A1" w:rsidRPr="00FF35A7" w:rsidRDefault="00AB15A1" w:rsidP="00B23525">
      <w:pPr>
        <w:pStyle w:val="a4"/>
        <w:ind w:right="-1"/>
        <w:jc w:val="both"/>
        <w:rPr>
          <w:rFonts w:ascii="Times New Roman" w:hAnsi="Times New Roman"/>
          <w:i/>
          <w:color w:val="auto"/>
          <w:sz w:val="24"/>
          <w:lang w:val="el-GR"/>
        </w:rPr>
      </w:pPr>
      <w:r w:rsidRPr="00FF35A7">
        <w:rPr>
          <w:rFonts w:ascii="Times New Roman" w:hAnsi="Times New Roman"/>
          <w:i/>
          <w:color w:val="auto"/>
          <w:sz w:val="24"/>
          <w:lang w:val="el-GR"/>
        </w:rPr>
        <w:t>Ηλικιωμένοι</w:t>
      </w:r>
    </w:p>
    <w:p w:rsidR="00AB15A1" w:rsidRPr="00FF35A7" w:rsidRDefault="00AB15A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Στ</w:t>
      </w:r>
      <w:r w:rsidR="00BF7D9A" w:rsidRPr="00FF35A7">
        <w:rPr>
          <w:rFonts w:ascii="Times New Roman" w:hAnsi="Times New Roman"/>
          <w:color w:val="auto"/>
          <w:sz w:val="24"/>
          <w:lang w:val="el-GR"/>
        </w:rPr>
        <w:t>ην</w:t>
      </w:r>
      <w:r w:rsidRPr="00FF35A7">
        <w:rPr>
          <w:rFonts w:ascii="Times New Roman" w:hAnsi="Times New Roman"/>
          <w:color w:val="auto"/>
          <w:sz w:val="24"/>
          <w:lang w:val="el-GR"/>
        </w:rPr>
        <w:t xml:space="preserve"> κλινικ</w:t>
      </w:r>
      <w:r w:rsidR="00BF7D9A" w:rsidRPr="00FF35A7">
        <w:rPr>
          <w:rFonts w:ascii="Times New Roman" w:hAnsi="Times New Roman"/>
          <w:color w:val="auto"/>
          <w:sz w:val="24"/>
          <w:lang w:val="el-GR"/>
        </w:rPr>
        <w:t>ή</w:t>
      </w:r>
      <w:r w:rsidRPr="00FF35A7">
        <w:rPr>
          <w:rFonts w:ascii="Times New Roman" w:hAnsi="Times New Roman"/>
          <w:color w:val="auto"/>
          <w:sz w:val="24"/>
          <w:lang w:val="el-GR"/>
        </w:rPr>
        <w:t xml:space="preserve"> δοκιμ</w:t>
      </w:r>
      <w:r w:rsidR="008C5F5D" w:rsidRPr="00FF35A7">
        <w:rPr>
          <w:rFonts w:ascii="Times New Roman" w:hAnsi="Times New Roman"/>
          <w:color w:val="auto"/>
          <w:sz w:val="24"/>
          <w:lang w:val="el-GR"/>
        </w:rPr>
        <w:t>ή</w:t>
      </w:r>
      <w:r w:rsidRPr="00FF35A7">
        <w:rPr>
          <w:rFonts w:ascii="Times New Roman" w:hAnsi="Times New Roman"/>
          <w:color w:val="auto"/>
          <w:sz w:val="24"/>
          <w:lang w:val="el-GR"/>
        </w:rPr>
        <w:t xml:space="preserve">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rPr>
        <w:t>Depot</w:t>
      </w:r>
      <w:r w:rsidR="00BF7D9A" w:rsidRPr="00FF35A7">
        <w:rPr>
          <w:rFonts w:ascii="Times New Roman" w:hAnsi="Times New Roman"/>
          <w:color w:val="auto"/>
          <w:sz w:val="24"/>
          <w:lang w:val="el-GR"/>
        </w:rPr>
        <w:t>,</w:t>
      </w:r>
      <w:r w:rsidRPr="00FF35A7">
        <w:rPr>
          <w:rFonts w:ascii="Times New Roman" w:hAnsi="Times New Roman"/>
          <w:color w:val="auto"/>
          <w:sz w:val="24"/>
          <w:lang w:val="el-GR"/>
        </w:rPr>
        <w:t xml:space="preserve"> ο μέσος όρος ηλικίας των </w:t>
      </w:r>
      <w:r w:rsidR="00BF7D9A" w:rsidRPr="00FF35A7">
        <w:rPr>
          <w:rFonts w:ascii="Times New Roman" w:hAnsi="Times New Roman"/>
          <w:color w:val="auto"/>
          <w:sz w:val="24"/>
          <w:lang w:val="el-GR"/>
        </w:rPr>
        <w:t>ατόμων</w:t>
      </w:r>
      <w:r w:rsidRPr="00FF35A7">
        <w:rPr>
          <w:rFonts w:ascii="Times New Roman" w:hAnsi="Times New Roman"/>
          <w:color w:val="auto"/>
          <w:sz w:val="24"/>
          <w:lang w:val="el-GR"/>
        </w:rPr>
        <w:t xml:space="preserve"> ήταν 71</w:t>
      </w:r>
      <w:r w:rsidR="00D47CA0" w:rsidRPr="00FF35A7">
        <w:rPr>
          <w:rFonts w:ascii="Times New Roman" w:hAnsi="Times New Roman"/>
          <w:color w:val="auto"/>
          <w:sz w:val="24"/>
          <w:lang w:val="el-GR"/>
        </w:rPr>
        <w:t>,</w:t>
      </w:r>
      <w:r w:rsidRPr="00FF35A7">
        <w:rPr>
          <w:rFonts w:ascii="Times New Roman" w:hAnsi="Times New Roman"/>
          <w:color w:val="auto"/>
          <w:sz w:val="24"/>
          <w:lang w:val="el-GR"/>
        </w:rPr>
        <w:t>6±9</w:t>
      </w:r>
      <w:r w:rsidR="00D47CA0" w:rsidRPr="00FF35A7">
        <w:rPr>
          <w:rFonts w:ascii="Times New Roman" w:hAnsi="Times New Roman"/>
          <w:color w:val="auto"/>
          <w:sz w:val="24"/>
          <w:lang w:val="el-GR"/>
        </w:rPr>
        <w:t>,</w:t>
      </w:r>
      <w:r w:rsidRPr="00FF35A7">
        <w:rPr>
          <w:rFonts w:ascii="Times New Roman" w:hAnsi="Times New Roman"/>
          <w:color w:val="auto"/>
          <w:sz w:val="24"/>
          <w:lang w:val="el-GR"/>
        </w:rPr>
        <w:t xml:space="preserve">2 </w:t>
      </w:r>
      <w:r w:rsidR="008C5F5D" w:rsidRPr="00FF35A7">
        <w:rPr>
          <w:rFonts w:ascii="Times New Roman" w:hAnsi="Times New Roman"/>
          <w:color w:val="auto"/>
          <w:sz w:val="24"/>
          <w:lang w:val="el-GR"/>
        </w:rPr>
        <w:t>έ</w:t>
      </w:r>
      <w:r w:rsidRPr="00FF35A7">
        <w:rPr>
          <w:rFonts w:ascii="Times New Roman" w:hAnsi="Times New Roman"/>
          <w:color w:val="auto"/>
          <w:sz w:val="24"/>
          <w:lang w:val="el-GR"/>
        </w:rPr>
        <w:t>τ</w:t>
      </w:r>
      <w:r w:rsidR="008C5F5D" w:rsidRPr="00FF35A7">
        <w:rPr>
          <w:rFonts w:ascii="Times New Roman" w:hAnsi="Times New Roman"/>
          <w:color w:val="auto"/>
          <w:sz w:val="24"/>
          <w:lang w:val="el-GR"/>
        </w:rPr>
        <w:t>η</w:t>
      </w:r>
      <w:r w:rsidRPr="00FF35A7">
        <w:rPr>
          <w:rFonts w:ascii="Times New Roman" w:hAnsi="Times New Roman"/>
          <w:color w:val="auto"/>
          <w:sz w:val="24"/>
          <w:lang w:val="el-GR"/>
        </w:rPr>
        <w:t xml:space="preserve">. Επομένως, </w:t>
      </w:r>
      <w:r w:rsidR="008C5F5D" w:rsidRPr="00FF35A7">
        <w:rPr>
          <w:rFonts w:ascii="Times New Roman" w:hAnsi="Times New Roman"/>
          <w:color w:val="auto"/>
          <w:sz w:val="24"/>
          <w:lang w:val="el-GR"/>
        </w:rPr>
        <w:t>οι οδηγίες</w:t>
      </w:r>
      <w:r w:rsidRPr="00FF35A7">
        <w:rPr>
          <w:rFonts w:ascii="Times New Roman" w:hAnsi="Times New Roman"/>
          <w:color w:val="auto"/>
          <w:sz w:val="24"/>
          <w:lang w:val="el-GR"/>
        </w:rPr>
        <w:t xml:space="preserve"> </w:t>
      </w:r>
      <w:r w:rsidR="00BF7D9A" w:rsidRPr="00FF35A7">
        <w:rPr>
          <w:rFonts w:ascii="Times New Roman" w:hAnsi="Times New Roman"/>
          <w:color w:val="auto"/>
          <w:sz w:val="24"/>
          <w:lang w:val="el-GR"/>
        </w:rPr>
        <w:t>αντικατοπτρίζ</w:t>
      </w:r>
      <w:r w:rsidR="008C5F5D" w:rsidRPr="00FF35A7">
        <w:rPr>
          <w:rFonts w:ascii="Times New Roman" w:hAnsi="Times New Roman"/>
          <w:color w:val="auto"/>
          <w:sz w:val="24"/>
          <w:lang w:val="el-GR"/>
        </w:rPr>
        <w:t>ουν</w:t>
      </w:r>
      <w:r w:rsidRPr="00FF35A7">
        <w:rPr>
          <w:rFonts w:ascii="Times New Roman" w:hAnsi="Times New Roman"/>
          <w:color w:val="auto"/>
          <w:sz w:val="24"/>
          <w:lang w:val="el-GR"/>
        </w:rPr>
        <w:t xml:space="preserve"> τη φαρμακοκινητική συμπεριφορά, τ αποτελεσματικότητα και  ασφάλεια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0E273F" w:rsidRPr="00FF35A7">
        <w:rPr>
          <w:rFonts w:ascii="Times New Roman" w:hAnsi="Times New Roman"/>
          <w:color w:val="auto"/>
          <w:sz w:val="24"/>
          <w:lang w:val="el-GR"/>
        </w:rPr>
        <w:t xml:space="preserve"> </w:t>
      </w:r>
      <w:r w:rsidR="000E273F" w:rsidRPr="00FF35A7">
        <w:rPr>
          <w:rFonts w:ascii="Times New Roman" w:hAnsi="Times New Roman"/>
          <w:color w:val="auto"/>
          <w:sz w:val="24"/>
        </w:rPr>
        <w:t>Depot</w:t>
      </w:r>
      <w:r w:rsidRPr="00FF35A7">
        <w:rPr>
          <w:rFonts w:ascii="Times New Roman" w:hAnsi="Times New Roman"/>
          <w:color w:val="auto"/>
          <w:sz w:val="24"/>
          <w:lang w:val="el-GR"/>
        </w:rPr>
        <w:t xml:space="preserve"> σε αυτόν τον πληθυσμό.</w:t>
      </w:r>
    </w:p>
    <w:p w:rsidR="00AB15A1" w:rsidRPr="00FF35A7" w:rsidRDefault="00AB15A1" w:rsidP="00B23525">
      <w:pPr>
        <w:pStyle w:val="a4"/>
        <w:ind w:right="-1"/>
        <w:jc w:val="both"/>
        <w:rPr>
          <w:rFonts w:ascii="Times New Roman" w:hAnsi="Times New Roman"/>
          <w:color w:val="auto"/>
          <w:sz w:val="24"/>
          <w:lang w:val="el-GR"/>
        </w:rPr>
      </w:pPr>
    </w:p>
    <w:p w:rsidR="008C5F5D" w:rsidRPr="00FF35A7" w:rsidRDefault="000E273F" w:rsidP="00B23525">
      <w:pPr>
        <w:ind w:right="-1"/>
        <w:jc w:val="both"/>
        <w:rPr>
          <w:u w:val="single"/>
          <w:lang w:val="el-GR"/>
        </w:rPr>
      </w:pPr>
      <w:r w:rsidRPr="00FF35A7">
        <w:rPr>
          <w:u w:val="single"/>
          <w:lang w:val="el-GR"/>
        </w:rPr>
        <w:t>Τρόπος χορήγησης</w:t>
      </w:r>
    </w:p>
    <w:p w:rsidR="008A297F" w:rsidRPr="00FF35A7" w:rsidRDefault="008A297F" w:rsidP="00B23525">
      <w:pPr>
        <w:ind w:right="-1"/>
        <w:jc w:val="both"/>
        <w:rPr>
          <w:lang w:val="el-GR"/>
        </w:rPr>
      </w:pPr>
      <w:r w:rsidRPr="00FF35A7">
        <w:rPr>
          <w:lang w:val="el-GR"/>
        </w:rPr>
        <w:t xml:space="preserve">Το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πρέπει να χορηγείται μόνο μέσω ενδομυϊκής οδού. Μην το χορηγείτε με κανέναν άλλο τρόπο. Σε περίπτωση ακούσιας υποδόριας χορήγησης, ο ασθενής πρέπει να παρακολουθείται </w:t>
      </w:r>
      <w:r w:rsidR="00C71F17" w:rsidRPr="00FF35A7">
        <w:rPr>
          <w:lang w:val="el-GR"/>
        </w:rPr>
        <w:t>στενά</w:t>
      </w:r>
      <w:r w:rsidRPr="00FF35A7">
        <w:rPr>
          <w:lang w:val="el-GR"/>
        </w:rPr>
        <w:t xml:space="preserve">, επειδή δεν υπάρχουν διαθέσιμα δεδομένα για το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σχετικά με άλλες οδούς χορήγησης εκτός από την ενδομυϊκή. Για οδηγίες σχετικά με την ανασύσταση του φαρμακευτικού προϊόντος πριν από τη χορήγηση, βλ. παράγραφο 6.6.</w:t>
      </w:r>
    </w:p>
    <w:p w:rsidR="00AB15A1" w:rsidRPr="00FF35A7" w:rsidRDefault="00AB15A1" w:rsidP="00B23525">
      <w:pPr>
        <w:pStyle w:val="a4"/>
        <w:ind w:right="-1"/>
        <w:jc w:val="both"/>
        <w:rPr>
          <w:rFonts w:ascii="Times New Roman" w:hAnsi="Times New Roman"/>
          <w:color w:val="auto"/>
          <w:sz w:val="24"/>
          <w:lang w:val="el-GR"/>
        </w:rPr>
      </w:pPr>
    </w:p>
    <w:p w:rsidR="00AB15A1" w:rsidRPr="00FF35A7" w:rsidRDefault="00AB15A1" w:rsidP="00B23525">
      <w:pPr>
        <w:pStyle w:val="a4"/>
        <w:ind w:right="-1"/>
        <w:jc w:val="both"/>
        <w:rPr>
          <w:rFonts w:ascii="Times New Roman" w:hAnsi="Times New Roman"/>
          <w:b/>
          <w:bCs/>
          <w:color w:val="auto"/>
          <w:sz w:val="24"/>
          <w:lang w:val="el-GR"/>
        </w:rPr>
      </w:pPr>
      <w:r w:rsidRPr="00FF35A7">
        <w:rPr>
          <w:rFonts w:ascii="Times New Roman" w:hAnsi="Times New Roman"/>
          <w:b/>
          <w:bCs/>
          <w:color w:val="auto"/>
          <w:sz w:val="24"/>
          <w:lang w:val="el-GR"/>
        </w:rPr>
        <w:t>4.3 Αντενδείξεις</w:t>
      </w:r>
    </w:p>
    <w:p w:rsidR="00AB15A1" w:rsidRPr="00FF35A7" w:rsidRDefault="008A297F"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Υπερευαισθησία στη δραστική ουσία, στα ανάλογα της </w:t>
      </w:r>
      <w:r w:rsidR="008C5F5D" w:rsidRPr="00FF35A7">
        <w:rPr>
          <w:rFonts w:ascii="Times New Roman" w:hAnsi="Times New Roman"/>
          <w:color w:val="auto"/>
          <w:sz w:val="24"/>
          <w:lang w:val="el-GR"/>
        </w:rPr>
        <w:t>εκλυτικής</w:t>
      </w:r>
      <w:r w:rsidRPr="00FF35A7">
        <w:rPr>
          <w:rFonts w:ascii="Times New Roman" w:hAnsi="Times New Roman"/>
          <w:color w:val="auto"/>
          <w:sz w:val="24"/>
          <w:lang w:val="el-GR"/>
        </w:rPr>
        <w:t xml:space="preserve"> </w:t>
      </w:r>
      <w:r w:rsidR="008C5F5D" w:rsidRPr="00FF35A7">
        <w:rPr>
          <w:rFonts w:ascii="Times New Roman" w:hAnsi="Times New Roman"/>
          <w:color w:val="auto"/>
          <w:sz w:val="24"/>
          <w:lang w:val="el-GR"/>
        </w:rPr>
        <w:t xml:space="preserve">ορμόνης </w:t>
      </w:r>
      <w:r w:rsidRPr="00FF35A7">
        <w:rPr>
          <w:rFonts w:ascii="Times New Roman" w:hAnsi="Times New Roman"/>
          <w:color w:val="auto"/>
          <w:sz w:val="24"/>
          <w:lang w:val="el-GR"/>
        </w:rPr>
        <w:t>της ωχρινοποιητικής ορμόνης (LHRH) ή σε κάποιο από τα έκδοχα που αναφέρονται στην παράγραφο 6.1. Έχουν αναφερθεί στη βιβλιογραφία περιπτώσεις αναφυλαξίας στη συνθετική LHRH ή στα ανάλογα των αγωνιστών της LHRH</w:t>
      </w:r>
      <w:r w:rsidR="00AB15A1" w:rsidRPr="00FF35A7">
        <w:rPr>
          <w:rFonts w:ascii="Times New Roman" w:hAnsi="Times New Roman"/>
          <w:color w:val="auto"/>
          <w:sz w:val="24"/>
          <w:lang w:val="el-GR"/>
        </w:rPr>
        <w:t xml:space="preserve">. </w:t>
      </w:r>
    </w:p>
    <w:p w:rsidR="00AB15A1" w:rsidRPr="00FF35A7" w:rsidRDefault="008A297F" w:rsidP="00B23525">
      <w:pPr>
        <w:pStyle w:val="a4"/>
        <w:numPr>
          <w:ilvl w:val="1"/>
          <w:numId w:val="29"/>
        </w:numPr>
        <w:tabs>
          <w:tab w:val="clear" w:pos="397"/>
          <w:tab w:val="num" w:pos="0"/>
        </w:tabs>
        <w:ind w:left="0" w:right="-1"/>
        <w:jc w:val="both"/>
        <w:rPr>
          <w:rFonts w:ascii="Times New Roman" w:hAnsi="Times New Roman"/>
          <w:color w:val="auto"/>
          <w:sz w:val="24"/>
          <w:lang w:val="el-GR"/>
        </w:rPr>
      </w:pPr>
      <w:r w:rsidRPr="00FF35A7">
        <w:rPr>
          <w:rFonts w:ascii="Times New Roman" w:hAnsi="Times New Roman"/>
          <w:color w:val="auto"/>
          <w:sz w:val="24"/>
          <w:lang w:val="el-GR"/>
        </w:rPr>
        <w:t xml:space="preserve">Ασθενείς </w:t>
      </w:r>
      <w:r w:rsidR="00AB15A1" w:rsidRPr="00FF35A7">
        <w:rPr>
          <w:rFonts w:ascii="Times New Roman" w:hAnsi="Times New Roman"/>
          <w:color w:val="auto"/>
          <w:sz w:val="24"/>
          <w:lang w:val="el-GR"/>
        </w:rPr>
        <w:t>που έχουν υποβληθεί σε προηγούμενη ορχεκτομή.</w:t>
      </w:r>
    </w:p>
    <w:p w:rsidR="00AB15A1" w:rsidRPr="00FF35A7" w:rsidRDefault="00AB15A1" w:rsidP="00B23525">
      <w:pPr>
        <w:pStyle w:val="a4"/>
        <w:numPr>
          <w:ilvl w:val="1"/>
          <w:numId w:val="29"/>
        </w:numPr>
        <w:tabs>
          <w:tab w:val="clear" w:pos="397"/>
          <w:tab w:val="num" w:pos="0"/>
        </w:tabs>
        <w:ind w:left="0" w:right="-1"/>
        <w:jc w:val="both"/>
        <w:rPr>
          <w:rFonts w:ascii="Times New Roman" w:hAnsi="Times New Roman"/>
          <w:color w:val="auto"/>
          <w:sz w:val="24"/>
          <w:lang w:val="el-GR"/>
        </w:rPr>
      </w:pPr>
      <w:r w:rsidRPr="00FF35A7">
        <w:rPr>
          <w:rFonts w:ascii="Times New Roman" w:hAnsi="Times New Roman"/>
          <w:color w:val="auto"/>
          <w:sz w:val="24"/>
        </w:rPr>
        <w:t>To</w:t>
      </w:r>
      <w:r w:rsidRPr="00FF35A7">
        <w:rPr>
          <w:rFonts w:ascii="Times New Roman" w:hAnsi="Times New Roman"/>
          <w:color w:val="auto"/>
          <w:sz w:val="24"/>
          <w:lang w:val="el-GR"/>
        </w:rPr>
        <w:t xml:space="preserve">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A297F" w:rsidRPr="00FF35A7">
        <w:rPr>
          <w:rFonts w:ascii="Times New Roman" w:hAnsi="Times New Roman"/>
          <w:color w:val="auto"/>
          <w:sz w:val="24"/>
          <w:lang w:val="el-GR"/>
        </w:rPr>
        <w:t xml:space="preserve"> </w:t>
      </w:r>
      <w:r w:rsidR="008A297F" w:rsidRPr="00FF35A7">
        <w:rPr>
          <w:rFonts w:ascii="Times New Roman" w:hAnsi="Times New Roman"/>
          <w:color w:val="auto"/>
          <w:sz w:val="24"/>
        </w:rPr>
        <w:t>Depot</w:t>
      </w:r>
      <w:r w:rsidRPr="00FF35A7">
        <w:rPr>
          <w:rFonts w:ascii="Times New Roman" w:hAnsi="Times New Roman"/>
          <w:color w:val="auto"/>
          <w:sz w:val="24"/>
          <w:lang w:val="el-GR"/>
        </w:rPr>
        <w:t xml:space="preserve"> δεν πρέπει να χρησιμοποιείται</w:t>
      </w:r>
      <w:r w:rsidR="00F8375C" w:rsidRPr="00FF35A7">
        <w:rPr>
          <w:rFonts w:ascii="Times New Roman" w:hAnsi="Times New Roman"/>
          <w:color w:val="auto"/>
          <w:sz w:val="24"/>
          <w:lang w:val="el-GR"/>
        </w:rPr>
        <w:t xml:space="preserve"> μόνο του</w:t>
      </w:r>
      <w:r w:rsidRPr="00FF35A7">
        <w:rPr>
          <w:rFonts w:ascii="Times New Roman" w:hAnsi="Times New Roman"/>
          <w:color w:val="auto"/>
          <w:sz w:val="24"/>
          <w:lang w:val="el-GR"/>
        </w:rPr>
        <w:t xml:space="preserve"> ως θεραπεία σε ασθενείς με καρκίνο του προστάτου και ενδείξεις </w:t>
      </w:r>
      <w:r w:rsidR="00F8375C" w:rsidRPr="00FF35A7">
        <w:rPr>
          <w:rFonts w:ascii="Times New Roman" w:hAnsi="Times New Roman"/>
          <w:color w:val="auto"/>
          <w:sz w:val="24"/>
          <w:lang w:val="el-GR"/>
        </w:rPr>
        <w:t>συμπίεσης του νωτιαίου μυελού</w:t>
      </w:r>
      <w:r w:rsidR="00F8375C" w:rsidRPr="00FF35A7">
        <w:rPr>
          <w:rFonts w:ascii="Times New Roman" w:hAnsi="Times New Roman"/>
          <w:bCs/>
          <w:color w:val="auto"/>
          <w:sz w:val="24"/>
          <w:lang w:val="el-GR"/>
        </w:rPr>
        <w:t xml:space="preserve"> ή </w:t>
      </w:r>
      <w:r w:rsidR="00F8375C" w:rsidRPr="00FF35A7">
        <w:rPr>
          <w:rFonts w:ascii="Times New Roman" w:hAnsi="Times New Roman"/>
          <w:color w:val="auto"/>
          <w:sz w:val="24"/>
          <w:lang w:val="el-GR"/>
        </w:rPr>
        <w:t>μετ</w:t>
      </w:r>
      <w:r w:rsidR="006475CF" w:rsidRPr="00FF35A7">
        <w:rPr>
          <w:rFonts w:ascii="Times New Roman" w:hAnsi="Times New Roman"/>
          <w:color w:val="auto"/>
          <w:sz w:val="24"/>
          <w:lang w:val="el-GR"/>
        </w:rPr>
        <w:t>άστασης</w:t>
      </w:r>
      <w:r w:rsidR="00F8375C" w:rsidRPr="00FF35A7">
        <w:rPr>
          <w:rFonts w:ascii="Times New Roman" w:hAnsi="Times New Roman"/>
          <w:color w:val="auto"/>
          <w:sz w:val="24"/>
          <w:lang w:val="el-GR"/>
        </w:rPr>
        <w:t xml:space="preserve"> στο νωτιαίο μυελό.</w:t>
      </w:r>
    </w:p>
    <w:p w:rsidR="00AB15A1" w:rsidRPr="00FF35A7" w:rsidRDefault="00AB15A1" w:rsidP="00B23525">
      <w:pPr>
        <w:pStyle w:val="a4"/>
        <w:numPr>
          <w:ilvl w:val="1"/>
          <w:numId w:val="29"/>
        </w:numPr>
        <w:tabs>
          <w:tab w:val="clear" w:pos="397"/>
          <w:tab w:val="num" w:pos="0"/>
        </w:tabs>
        <w:ind w:left="0" w:right="-1"/>
        <w:jc w:val="both"/>
        <w:rPr>
          <w:rFonts w:ascii="Times New Roman" w:hAnsi="Times New Roman"/>
          <w:color w:val="auto"/>
          <w:sz w:val="24"/>
          <w:lang w:val="el-GR"/>
        </w:rPr>
      </w:pPr>
      <w:r w:rsidRPr="00FF35A7">
        <w:rPr>
          <w:rFonts w:ascii="Times New Roman" w:hAnsi="Times New Roman"/>
          <w:color w:val="auto"/>
          <w:sz w:val="24"/>
          <w:lang w:val="el-GR"/>
        </w:rPr>
        <w:t xml:space="preserve">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C70860" w:rsidRPr="00FF35A7">
        <w:rPr>
          <w:rFonts w:ascii="Times New Roman" w:hAnsi="Times New Roman"/>
          <w:color w:val="auto"/>
          <w:sz w:val="24"/>
          <w:lang w:val="el-GR"/>
        </w:rPr>
        <w:t xml:space="preserve"> </w:t>
      </w:r>
      <w:r w:rsidR="00C70860" w:rsidRPr="00FF35A7">
        <w:rPr>
          <w:rFonts w:ascii="Times New Roman" w:hAnsi="Times New Roman"/>
          <w:color w:val="auto"/>
          <w:sz w:val="24"/>
        </w:rPr>
        <w:t>Depot</w:t>
      </w:r>
      <w:r w:rsidRPr="00FF35A7">
        <w:rPr>
          <w:rFonts w:ascii="Times New Roman" w:hAnsi="Times New Roman"/>
          <w:color w:val="auto"/>
          <w:sz w:val="24"/>
          <w:lang w:val="el-GR"/>
        </w:rPr>
        <w:t xml:space="preserve"> δεν ενδείκνυται για χρήση σε γυναίκες.</w:t>
      </w:r>
    </w:p>
    <w:p w:rsidR="00217A53" w:rsidRPr="00FF35A7" w:rsidRDefault="00AB15A1" w:rsidP="00B23525">
      <w:pPr>
        <w:pStyle w:val="a4"/>
        <w:numPr>
          <w:ilvl w:val="1"/>
          <w:numId w:val="29"/>
        </w:numPr>
        <w:tabs>
          <w:tab w:val="clear" w:pos="397"/>
          <w:tab w:val="num" w:pos="0"/>
        </w:tabs>
        <w:ind w:left="720" w:right="-1" w:hanging="720"/>
        <w:jc w:val="both"/>
        <w:rPr>
          <w:rFonts w:ascii="Times New Roman" w:hAnsi="Times New Roman"/>
          <w:color w:val="auto"/>
          <w:sz w:val="24"/>
          <w:lang w:val="el-GR"/>
        </w:rPr>
      </w:pPr>
      <w:r w:rsidRPr="00FF35A7">
        <w:rPr>
          <w:rFonts w:ascii="Times New Roman" w:hAnsi="Times New Roman"/>
          <w:color w:val="auto"/>
          <w:sz w:val="24"/>
          <w:lang w:val="el-GR"/>
        </w:rPr>
        <w:t xml:space="preserve">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C70860" w:rsidRPr="00FF35A7">
        <w:rPr>
          <w:rFonts w:ascii="Times New Roman" w:hAnsi="Times New Roman"/>
          <w:color w:val="auto"/>
          <w:sz w:val="24"/>
          <w:lang w:val="el-GR"/>
        </w:rPr>
        <w:t xml:space="preserve"> </w:t>
      </w:r>
      <w:r w:rsidR="00C70860" w:rsidRPr="00FF35A7">
        <w:rPr>
          <w:rFonts w:ascii="Times New Roman" w:hAnsi="Times New Roman"/>
          <w:color w:val="auto"/>
          <w:sz w:val="24"/>
        </w:rPr>
        <w:t>Depot</w:t>
      </w:r>
      <w:r w:rsidRPr="00FF35A7">
        <w:rPr>
          <w:rFonts w:ascii="Times New Roman" w:hAnsi="Times New Roman"/>
          <w:color w:val="auto"/>
          <w:sz w:val="24"/>
          <w:lang w:val="el-GR"/>
        </w:rPr>
        <w:t xml:space="preserve"> δεν ενδείκνυται για παιδιατρική χρήση.</w:t>
      </w:r>
    </w:p>
    <w:p w:rsidR="00FF35A7" w:rsidRPr="00FF35A7" w:rsidRDefault="00FF35A7" w:rsidP="00B23525">
      <w:pPr>
        <w:pStyle w:val="a4"/>
        <w:ind w:left="720" w:right="-1"/>
        <w:jc w:val="both"/>
        <w:rPr>
          <w:rFonts w:ascii="Times New Roman" w:hAnsi="Times New Roman"/>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4.4 Ειδικές προειδοποιήσεις και προφυλάξεις κατά τη χρήση</w:t>
      </w:r>
      <w:r w:rsidRPr="00FF35A7">
        <w:rPr>
          <w:rFonts w:ascii="Times New Roman" w:hAnsi="Times New Roman"/>
          <w:color w:val="auto"/>
          <w:sz w:val="24"/>
          <w:lang w:val="el-GR"/>
        </w:rPr>
        <w:t xml:space="preserve"> </w:t>
      </w:r>
    </w:p>
    <w:p w:rsidR="00FA6BFF" w:rsidRPr="00FF35A7" w:rsidRDefault="00FA6BFF"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Κατά την </w:t>
      </w:r>
      <w:r w:rsidR="00FF35A7" w:rsidRPr="00FF35A7">
        <w:rPr>
          <w:rFonts w:ascii="Times New Roman" w:hAnsi="Times New Roman"/>
          <w:color w:val="auto"/>
          <w:sz w:val="24"/>
          <w:lang w:val="el-GR"/>
        </w:rPr>
        <w:t>α</w:t>
      </w:r>
      <w:r w:rsidR="00162BF7" w:rsidRPr="00FF35A7">
        <w:rPr>
          <w:rFonts w:ascii="Times New Roman" w:hAnsi="Times New Roman"/>
          <w:color w:val="auto"/>
          <w:sz w:val="24"/>
          <w:lang w:val="el-GR"/>
        </w:rPr>
        <w:t xml:space="preserve">ρχική </w:t>
      </w:r>
      <w:r w:rsidRPr="00FF35A7">
        <w:rPr>
          <w:rFonts w:ascii="Times New Roman" w:hAnsi="Times New Roman"/>
          <w:color w:val="auto"/>
          <w:sz w:val="24"/>
          <w:lang w:val="el-GR"/>
        </w:rPr>
        <w:t xml:space="preserve">φάση της θεραπείας με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A297F" w:rsidRPr="00FF35A7">
        <w:rPr>
          <w:rFonts w:ascii="Times New Roman" w:hAnsi="Times New Roman"/>
          <w:color w:val="auto"/>
          <w:sz w:val="24"/>
          <w:lang w:val="el-GR"/>
        </w:rPr>
        <w:t xml:space="preserve"> </w:t>
      </w:r>
      <w:r w:rsidR="008A297F" w:rsidRPr="00FF35A7">
        <w:rPr>
          <w:rFonts w:ascii="Times New Roman" w:hAnsi="Times New Roman"/>
          <w:color w:val="auto"/>
          <w:sz w:val="24"/>
        </w:rPr>
        <w:t>Depot</w:t>
      </w:r>
      <w:r w:rsidRPr="00FF35A7">
        <w:rPr>
          <w:rFonts w:ascii="Times New Roman" w:hAnsi="Times New Roman"/>
          <w:color w:val="auto"/>
          <w:sz w:val="24"/>
          <w:lang w:val="el-GR"/>
        </w:rPr>
        <w:t xml:space="preserve">, όπως και στη θεραπεία με άλλους αγωνιστές της </w:t>
      </w:r>
      <w:r w:rsidRPr="00FF35A7">
        <w:rPr>
          <w:rFonts w:ascii="Times New Roman" w:hAnsi="Times New Roman"/>
          <w:color w:val="auto"/>
          <w:sz w:val="24"/>
        </w:rPr>
        <w:t>LHRH</w:t>
      </w:r>
      <w:r w:rsidRPr="00FF35A7">
        <w:rPr>
          <w:rFonts w:ascii="Times New Roman" w:hAnsi="Times New Roman"/>
          <w:color w:val="auto"/>
          <w:sz w:val="24"/>
          <w:lang w:val="el-GR"/>
        </w:rPr>
        <w:t xml:space="preserve">, μπορεί να παρουσιαστεί αύξηση των επιπέδων τεστοστερόνης. Σε κάποιες περιπτώσεις, αυτό </w:t>
      </w:r>
      <w:r w:rsidR="006475CF" w:rsidRPr="00FF35A7">
        <w:rPr>
          <w:rFonts w:ascii="Times New Roman" w:hAnsi="Times New Roman"/>
          <w:color w:val="auto"/>
          <w:sz w:val="24"/>
          <w:lang w:val="el-GR"/>
        </w:rPr>
        <w:t>μπορεί να προκαλέσει</w:t>
      </w:r>
      <w:r w:rsidRPr="00FF35A7">
        <w:rPr>
          <w:rFonts w:ascii="Times New Roman" w:hAnsi="Times New Roman"/>
          <w:color w:val="auto"/>
          <w:sz w:val="24"/>
          <w:lang w:val="el-GR"/>
        </w:rPr>
        <w:t xml:space="preserve"> μία </w:t>
      </w:r>
      <w:r w:rsidR="00A14E3C" w:rsidRPr="00FF35A7">
        <w:rPr>
          <w:rFonts w:ascii="Times New Roman" w:hAnsi="Times New Roman"/>
          <w:color w:val="auto"/>
          <w:sz w:val="24"/>
          <w:lang w:val="el-GR"/>
        </w:rPr>
        <w:t>έξαρση</w:t>
      </w:r>
      <w:r w:rsidRPr="00FF35A7">
        <w:rPr>
          <w:rFonts w:ascii="Times New Roman" w:hAnsi="Times New Roman"/>
          <w:color w:val="auto"/>
          <w:sz w:val="24"/>
          <w:lang w:val="el-GR"/>
        </w:rPr>
        <w:t xml:space="preserve"> </w:t>
      </w:r>
      <w:r w:rsidR="00A14E3C" w:rsidRPr="00FF35A7">
        <w:rPr>
          <w:rFonts w:ascii="Times New Roman" w:hAnsi="Times New Roman"/>
          <w:color w:val="auto"/>
          <w:sz w:val="24"/>
          <w:lang w:val="el-GR"/>
        </w:rPr>
        <w:t>ή</w:t>
      </w:r>
      <w:r w:rsidRPr="00FF35A7">
        <w:rPr>
          <w:rFonts w:ascii="Times New Roman" w:hAnsi="Times New Roman"/>
          <w:color w:val="auto"/>
          <w:sz w:val="24"/>
          <w:lang w:val="el-GR"/>
        </w:rPr>
        <w:t xml:space="preserve"> </w:t>
      </w:r>
      <w:r w:rsidR="00A14E3C" w:rsidRPr="00FF35A7">
        <w:rPr>
          <w:rFonts w:ascii="Times New Roman" w:hAnsi="Times New Roman"/>
          <w:color w:val="auto"/>
          <w:sz w:val="24"/>
          <w:lang w:val="el-GR"/>
        </w:rPr>
        <w:t>παρόξυνση της αύξησης του όγκου</w:t>
      </w:r>
      <w:r w:rsidR="00E265AF" w:rsidRPr="00FF35A7">
        <w:rPr>
          <w:rFonts w:ascii="Times New Roman" w:hAnsi="Times New Roman"/>
          <w:color w:val="auto"/>
          <w:sz w:val="24"/>
          <w:lang w:val="el-GR"/>
        </w:rPr>
        <w:t>,</w:t>
      </w:r>
      <w:r w:rsidRPr="00FF35A7">
        <w:rPr>
          <w:rFonts w:ascii="Times New Roman" w:hAnsi="Times New Roman"/>
          <w:color w:val="auto"/>
          <w:sz w:val="24"/>
          <w:lang w:val="el-GR"/>
        </w:rPr>
        <w:t xml:space="preserve"> που έχει σαν αποτέλεσμα την προσωρινή επιδείνωση των συμπτωμάτων του καρκίνου του προστάτου. Συνήθως, τα συμπτώματα υποχωρούν με τη συνέχιση της θεραπείας. </w:t>
      </w:r>
      <w:r w:rsidR="00E265AF" w:rsidRPr="00FF35A7">
        <w:rPr>
          <w:rFonts w:ascii="Times New Roman" w:hAnsi="Times New Roman"/>
          <w:color w:val="auto"/>
          <w:sz w:val="24"/>
          <w:lang w:val="el-GR"/>
        </w:rPr>
        <w:t xml:space="preserve">Σε κάποιες περιπτώσεις η έξαρση μπορεί να εκδηλωθεί με συστημικά ή νευρολογικά συμπτώματα </w:t>
      </w:r>
      <w:r w:rsidRPr="00FF35A7">
        <w:rPr>
          <w:rFonts w:ascii="Times New Roman" w:hAnsi="Times New Roman"/>
          <w:color w:val="auto"/>
          <w:sz w:val="24"/>
          <w:lang w:val="el-GR"/>
        </w:rPr>
        <w:t>(</w:t>
      </w:r>
      <w:r w:rsidR="00E265AF" w:rsidRPr="00FF35A7">
        <w:rPr>
          <w:rFonts w:ascii="Times New Roman" w:hAnsi="Times New Roman"/>
          <w:color w:val="auto"/>
          <w:sz w:val="24"/>
          <w:lang w:val="el-GR"/>
        </w:rPr>
        <w:t>όπως πόνος στα οστά</w:t>
      </w:r>
      <w:r w:rsidRPr="00FF35A7">
        <w:rPr>
          <w:rFonts w:ascii="Times New Roman" w:hAnsi="Times New Roman"/>
          <w:color w:val="auto"/>
          <w:sz w:val="24"/>
          <w:lang w:val="el-GR"/>
        </w:rPr>
        <w:t>…)</w:t>
      </w:r>
      <w:r w:rsidR="008A297F" w:rsidRPr="00FF35A7">
        <w:rPr>
          <w:rFonts w:ascii="Times New Roman" w:hAnsi="Times New Roman"/>
          <w:color w:val="auto"/>
          <w:sz w:val="24"/>
          <w:lang w:val="el-GR"/>
        </w:rPr>
        <w:t>. Επίσης, έχουν αναφερθεί περιπτώσεις ατροφίας των όρχεων και γυναικομαστίας κατά τη θεραπεία με άλλους αγωνιστές της LHRH.</w:t>
      </w:r>
    </w:p>
    <w:p w:rsidR="00FA6BFF" w:rsidRPr="00FF35A7" w:rsidRDefault="00FA6BFF" w:rsidP="00B23525">
      <w:pPr>
        <w:pStyle w:val="a4"/>
        <w:ind w:right="-1"/>
        <w:jc w:val="both"/>
        <w:rPr>
          <w:rFonts w:ascii="Times New Roman" w:hAnsi="Times New Roman"/>
          <w:b/>
          <w:bCs/>
          <w:color w:val="auto"/>
          <w:sz w:val="24"/>
          <w:lang w:val="el-GR"/>
        </w:rPr>
      </w:pPr>
    </w:p>
    <w:p w:rsidR="008A297F" w:rsidRPr="00FF35A7" w:rsidRDefault="008A297F" w:rsidP="00B23525">
      <w:pPr>
        <w:pStyle w:val="a4"/>
        <w:ind w:right="-1"/>
        <w:jc w:val="both"/>
        <w:rPr>
          <w:rFonts w:ascii="Times New Roman" w:hAnsi="Times New Roman"/>
          <w:b/>
          <w:bCs/>
          <w:color w:val="auto"/>
          <w:sz w:val="24"/>
          <w:lang w:val="el-GR"/>
        </w:rPr>
      </w:pPr>
      <w:r w:rsidRPr="00FF35A7">
        <w:rPr>
          <w:rFonts w:ascii="Times New Roman" w:hAnsi="Times New Roman"/>
          <w:b/>
          <w:bCs/>
          <w:color w:val="auto"/>
          <w:sz w:val="24"/>
          <w:lang w:val="el-GR"/>
        </w:rPr>
        <w:t xml:space="preserve">Η θεραπεία πρέπει να διακοπεί άμεσα αν ο ασθενής παρουσιάσει ενδεικτικά σημάδια ή συμπτώματα  αναφυλαξίας/αναφυλακτικής αντίδρασης (δύσπνοια, άσθμα, ρινίτιδα, αγγειονευρωτικό οίδημα ή οίδημα της γλωττίδας, υπόταση, κνίδωση, εξάνθημα, κνησμός ή διάμεση πνευμονοπάθεια). Οι ασθενείς πρέπει να ενημερώνονται πριν από την έναρξη της θεραπείας και να πληροφορούνται ότι πρέπει να την διακόψουν και να συμβουλευτούν το γιατρό τους, αν παρουσιαστεί οποιοδήποτε από τα παραπάνω συμπτώματα. Οι ασθενείς που έχουν παρουσιάσει αντιδράσεις υπερευαισθησίας στο leuprolide πρέπει να παρακολουθούνται </w:t>
      </w:r>
      <w:r w:rsidR="00C71F17" w:rsidRPr="00FF35A7">
        <w:rPr>
          <w:rFonts w:ascii="Times New Roman" w:hAnsi="Times New Roman"/>
          <w:b/>
          <w:bCs/>
          <w:color w:val="auto"/>
          <w:sz w:val="24"/>
          <w:lang w:val="el-GR"/>
        </w:rPr>
        <w:t>στενά</w:t>
      </w:r>
      <w:r w:rsidRPr="00FF35A7">
        <w:rPr>
          <w:rFonts w:ascii="Times New Roman" w:hAnsi="Times New Roman"/>
          <w:b/>
          <w:bCs/>
          <w:color w:val="auto"/>
          <w:sz w:val="24"/>
          <w:lang w:val="el-GR"/>
        </w:rPr>
        <w:t xml:space="preserve"> και δεν πρέπει να υποβάλλονται σε δοκιμασία επαναπρόκλησης με το </w:t>
      </w:r>
      <w:r w:rsidR="00833418">
        <w:rPr>
          <w:rFonts w:ascii="Times New Roman" w:hAnsi="Times New Roman"/>
          <w:b/>
          <w:bCs/>
          <w:color w:val="auto"/>
          <w:sz w:val="24"/>
          <w:lang w:val="el-GR"/>
        </w:rPr>
        <w:t>Lutrate</w:t>
      </w:r>
      <w:r w:rsidR="00833418" w:rsidRPr="00833418">
        <w:rPr>
          <w:rFonts w:ascii="Times New Roman" w:hAnsi="Times New Roman"/>
          <w:b/>
          <w:bCs/>
          <w:color w:val="auto"/>
          <w:sz w:val="24"/>
          <w:vertAlign w:val="superscript"/>
          <w:lang w:val="el-GR"/>
        </w:rPr>
        <w:t>®</w:t>
      </w:r>
      <w:r w:rsidRPr="00FF35A7">
        <w:rPr>
          <w:rFonts w:ascii="Times New Roman" w:hAnsi="Times New Roman"/>
          <w:b/>
          <w:bCs/>
          <w:color w:val="auto"/>
          <w:sz w:val="24"/>
          <w:lang w:val="el-GR"/>
        </w:rPr>
        <w:t xml:space="preserve"> Depot.</w:t>
      </w:r>
    </w:p>
    <w:p w:rsidR="00FA6BFF" w:rsidRPr="00B23525" w:rsidRDefault="008A297F" w:rsidP="00B23525">
      <w:pPr>
        <w:pStyle w:val="a4"/>
        <w:ind w:right="-1"/>
        <w:jc w:val="both"/>
        <w:rPr>
          <w:rFonts w:ascii="Times New Roman" w:hAnsi="Times New Roman"/>
          <w:color w:val="auto"/>
          <w:sz w:val="24"/>
          <w:lang w:val="el-GR"/>
        </w:rPr>
      </w:pPr>
      <w:r w:rsidRPr="00FF35A7">
        <w:rPr>
          <w:rFonts w:ascii="Times New Roman" w:hAnsi="Times New Roman"/>
          <w:bCs/>
          <w:color w:val="auto"/>
          <w:sz w:val="24"/>
          <w:lang w:val="el-GR"/>
        </w:rPr>
        <w:t xml:space="preserve">Σε ασθενείς που υποβάλλονται σε θεραπεία με leuprorelin acetate, έχουν αναφερθεί μεμονωμένες περιπτώσεις απόφραξης των ουροφόρων οδών </w:t>
      </w:r>
      <w:r w:rsidR="00FA6BFF" w:rsidRPr="00FF35A7">
        <w:rPr>
          <w:rFonts w:ascii="Times New Roman" w:hAnsi="Times New Roman"/>
          <w:bCs/>
          <w:color w:val="auto"/>
          <w:sz w:val="24"/>
          <w:lang w:val="el-GR"/>
        </w:rPr>
        <w:t>(με ή χωρίς αιματουρία)</w:t>
      </w:r>
      <w:r w:rsidR="00A14E3C" w:rsidRPr="00FF35A7">
        <w:rPr>
          <w:rFonts w:ascii="Times New Roman" w:hAnsi="Times New Roman"/>
          <w:bCs/>
          <w:color w:val="auto"/>
          <w:sz w:val="24"/>
          <w:lang w:val="el-GR"/>
        </w:rPr>
        <w:t xml:space="preserve"> και</w:t>
      </w:r>
      <w:r w:rsidR="00FA6BFF" w:rsidRPr="00FF35A7">
        <w:rPr>
          <w:rFonts w:ascii="Times New Roman" w:hAnsi="Times New Roman"/>
          <w:bCs/>
          <w:color w:val="auto"/>
          <w:sz w:val="24"/>
          <w:lang w:val="el-GR"/>
        </w:rPr>
        <w:t xml:space="preserve"> </w:t>
      </w:r>
      <w:r w:rsidR="00A14E3C" w:rsidRPr="00FF35A7">
        <w:rPr>
          <w:rFonts w:ascii="Times New Roman" w:hAnsi="Times New Roman"/>
          <w:color w:val="auto"/>
          <w:sz w:val="24"/>
          <w:lang w:val="el-GR"/>
        </w:rPr>
        <w:t>συμπίεση</w:t>
      </w:r>
      <w:r w:rsidR="006475CF" w:rsidRPr="00FF35A7">
        <w:rPr>
          <w:rFonts w:ascii="Times New Roman" w:hAnsi="Times New Roman"/>
          <w:color w:val="auto"/>
          <w:sz w:val="24"/>
          <w:lang w:val="el-GR"/>
        </w:rPr>
        <w:t>ς</w:t>
      </w:r>
      <w:r w:rsidR="00A14E3C" w:rsidRPr="00FF35A7">
        <w:rPr>
          <w:rFonts w:ascii="Times New Roman" w:hAnsi="Times New Roman"/>
          <w:color w:val="auto"/>
          <w:sz w:val="24"/>
          <w:lang w:val="el-GR"/>
        </w:rPr>
        <w:t xml:space="preserve"> του νωτιαίου μυελού</w:t>
      </w:r>
      <w:r w:rsidR="00FA6BFF" w:rsidRPr="00FF35A7">
        <w:rPr>
          <w:rFonts w:ascii="Times New Roman" w:hAnsi="Times New Roman"/>
          <w:bCs/>
          <w:color w:val="auto"/>
          <w:sz w:val="24"/>
          <w:lang w:val="el-GR"/>
        </w:rPr>
        <w:t xml:space="preserve"> </w:t>
      </w:r>
      <w:r w:rsidR="00A14E3C" w:rsidRPr="00FF35A7">
        <w:rPr>
          <w:rFonts w:ascii="Times New Roman" w:hAnsi="Times New Roman"/>
          <w:bCs/>
          <w:color w:val="auto"/>
          <w:sz w:val="24"/>
          <w:lang w:val="el-GR"/>
        </w:rPr>
        <w:t>ή</w:t>
      </w:r>
      <w:r w:rsidR="00FA6BFF" w:rsidRPr="00FF35A7">
        <w:rPr>
          <w:rFonts w:ascii="Times New Roman" w:hAnsi="Times New Roman"/>
          <w:bCs/>
          <w:color w:val="auto"/>
          <w:sz w:val="24"/>
          <w:lang w:val="el-GR"/>
        </w:rPr>
        <w:t xml:space="preserve"> </w:t>
      </w:r>
      <w:r w:rsidR="00FA6BFF" w:rsidRPr="00FF35A7">
        <w:rPr>
          <w:rFonts w:ascii="Times New Roman" w:hAnsi="Times New Roman"/>
          <w:color w:val="auto"/>
          <w:sz w:val="24"/>
          <w:lang w:val="el-GR"/>
        </w:rPr>
        <w:t>μεταστατικές αλλοιώσεις στη σπονδυλική στήλη</w:t>
      </w:r>
      <w:r w:rsidR="00FA6BFF" w:rsidRPr="00FF35A7">
        <w:rPr>
          <w:rFonts w:ascii="Times New Roman" w:hAnsi="Times New Roman"/>
          <w:bCs/>
          <w:color w:val="auto"/>
          <w:sz w:val="24"/>
          <w:lang w:val="el-GR"/>
        </w:rPr>
        <w:t>, που μπορούν να προκαλέσουν παράλυση</w:t>
      </w:r>
      <w:r w:rsidR="00A14E3C" w:rsidRPr="00FF35A7">
        <w:rPr>
          <w:rFonts w:ascii="Times New Roman" w:hAnsi="Times New Roman"/>
          <w:bCs/>
          <w:color w:val="auto"/>
          <w:sz w:val="24"/>
          <w:lang w:val="el-GR"/>
        </w:rPr>
        <w:t>,</w:t>
      </w:r>
      <w:r w:rsidR="00FA6BFF" w:rsidRPr="00FF35A7">
        <w:rPr>
          <w:rFonts w:ascii="Times New Roman" w:hAnsi="Times New Roman"/>
          <w:bCs/>
          <w:color w:val="auto"/>
          <w:sz w:val="24"/>
          <w:lang w:val="el-GR"/>
        </w:rPr>
        <w:t xml:space="preserve"> με ή χωρίς θανατηφόρες επιπλοκές. </w:t>
      </w:r>
      <w:r w:rsidRPr="00FF35A7">
        <w:rPr>
          <w:rFonts w:ascii="Times New Roman" w:hAnsi="Times New Roman"/>
          <w:color w:val="auto"/>
          <w:sz w:val="24"/>
          <w:lang w:val="el-GR"/>
        </w:rPr>
        <w:t xml:space="preserve">Οι ασθενείς που διατρέχουν κίνδυνο εμφάνισης απόφραξης των ουροφόρων οδών, συμπίεσης του νωτιαίου μυελού ή μεταστατικών αλλοιώσεων στη σπονδυλική στήλη θα πρέπει να εξετάζονται προσεκτικά και να παρακολουθούνται </w:t>
      </w:r>
      <w:r w:rsidR="00C71F17" w:rsidRPr="00FF35A7">
        <w:rPr>
          <w:rFonts w:ascii="Times New Roman" w:hAnsi="Times New Roman"/>
          <w:color w:val="auto"/>
          <w:sz w:val="24"/>
          <w:lang w:val="el-GR"/>
        </w:rPr>
        <w:t>στενά</w:t>
      </w:r>
      <w:r w:rsidRPr="00FF35A7">
        <w:rPr>
          <w:rFonts w:ascii="Times New Roman" w:hAnsi="Times New Roman"/>
          <w:color w:val="auto"/>
          <w:sz w:val="24"/>
          <w:lang w:val="el-GR"/>
        </w:rPr>
        <w:t xml:space="preserve"> κατά τις πρώτες εβδομάδες της θεραπείας. Για τους ασθενείς αυτούς θα πρέπει να εξετάζεται το ενδεχόμενο χορήγησης θεραπείας προφύλαξης με αντι-ανδρογόνα</w:t>
      </w:r>
      <w:r w:rsidR="006E1639" w:rsidRPr="00FF35A7">
        <w:rPr>
          <w:rFonts w:ascii="Times New Roman" w:hAnsi="Times New Roman"/>
          <w:color w:val="auto"/>
          <w:sz w:val="24"/>
          <w:lang w:val="el-GR"/>
        </w:rPr>
        <w:t>.</w:t>
      </w:r>
    </w:p>
    <w:p w:rsidR="006E1639" w:rsidRPr="00FF35A7" w:rsidRDefault="006E1639" w:rsidP="00B23525">
      <w:pPr>
        <w:pStyle w:val="a4"/>
        <w:ind w:right="-1"/>
        <w:jc w:val="both"/>
        <w:rPr>
          <w:rFonts w:ascii="Times New Roman" w:hAnsi="Times New Roman"/>
          <w:bCs/>
          <w:color w:val="auto"/>
          <w:sz w:val="24"/>
          <w:lang w:val="el-GR"/>
        </w:rPr>
      </w:pPr>
      <w:r w:rsidRPr="00FF35A7">
        <w:rPr>
          <w:rFonts w:ascii="Times New Roman" w:hAnsi="Times New Roman"/>
          <w:bCs/>
          <w:color w:val="auto"/>
          <w:sz w:val="24"/>
          <w:lang w:val="el-GR"/>
        </w:rPr>
        <w:t xml:space="preserve">Εάν παρουσιαστούν ουρολογικές ή νευρολογικές περιπλοκές, θα πρέπει να αντιμετωπίζονται με κατάλληλα </w:t>
      </w:r>
      <w:r w:rsidR="00D12E35" w:rsidRPr="00FF35A7">
        <w:rPr>
          <w:rFonts w:ascii="Times New Roman" w:hAnsi="Times New Roman"/>
          <w:bCs/>
          <w:color w:val="auto"/>
          <w:sz w:val="24"/>
          <w:lang w:val="el-GR"/>
        </w:rPr>
        <w:t xml:space="preserve">και συγκεκριμένα </w:t>
      </w:r>
      <w:r w:rsidRPr="00FF35A7">
        <w:rPr>
          <w:rFonts w:ascii="Times New Roman" w:hAnsi="Times New Roman"/>
          <w:bCs/>
          <w:color w:val="auto"/>
          <w:sz w:val="24"/>
          <w:lang w:val="el-GR"/>
        </w:rPr>
        <w:t>μέ</w:t>
      </w:r>
      <w:r w:rsidR="004E59F8" w:rsidRPr="00FF35A7">
        <w:rPr>
          <w:rFonts w:ascii="Times New Roman" w:hAnsi="Times New Roman"/>
          <w:bCs/>
          <w:color w:val="auto"/>
          <w:sz w:val="24"/>
          <w:lang w:val="el-GR"/>
        </w:rPr>
        <w:t>τρ</w:t>
      </w:r>
      <w:r w:rsidRPr="00FF35A7">
        <w:rPr>
          <w:rFonts w:ascii="Times New Roman" w:hAnsi="Times New Roman"/>
          <w:bCs/>
          <w:color w:val="auto"/>
          <w:sz w:val="24"/>
          <w:lang w:val="el-GR"/>
        </w:rPr>
        <w:t>α.</w:t>
      </w:r>
    </w:p>
    <w:p w:rsidR="008A297F" w:rsidRPr="00B23525" w:rsidRDefault="008A297F" w:rsidP="00B23525">
      <w:pPr>
        <w:ind w:right="-1"/>
        <w:jc w:val="both"/>
        <w:rPr>
          <w:lang w:val="el-GR"/>
        </w:rPr>
      </w:pPr>
      <w:r w:rsidRPr="00FF35A7">
        <w:rPr>
          <w:lang w:val="el-GR"/>
        </w:rPr>
        <w:t xml:space="preserve">Υπάρχει αυξημένος κίνδυνος δευτερογενούς κατάθλιψης (η οποία ενδέχεται να είναι σοβαρή) σε ασθενείς που υποβάλλονται σε θεραπεία με αγωνιστές της </w:t>
      </w:r>
      <w:proofErr w:type="spellStart"/>
      <w:r w:rsidRPr="00FF35A7">
        <w:t>GnRH</w:t>
      </w:r>
      <w:proofErr w:type="spellEnd"/>
      <w:r w:rsidRPr="00FF35A7">
        <w:rPr>
          <w:lang w:val="el-GR"/>
        </w:rPr>
        <w:t xml:space="preserve">, όπως το </w:t>
      </w:r>
      <w:proofErr w:type="spellStart"/>
      <w:r w:rsidRPr="00FF35A7">
        <w:t>leuprolide</w:t>
      </w:r>
      <w:proofErr w:type="spellEnd"/>
      <w:r w:rsidRPr="00FF35A7">
        <w:rPr>
          <w:lang w:val="el-GR"/>
        </w:rPr>
        <w:t xml:space="preserve"> </w:t>
      </w:r>
      <w:r w:rsidRPr="00FF35A7">
        <w:t>acetate</w:t>
      </w:r>
      <w:r w:rsidRPr="00FF35A7">
        <w:rPr>
          <w:lang w:val="el-GR"/>
        </w:rPr>
        <w:t>. Οι ασθενείς πρέπει να ενημερώνονται ανάλογα και να αντιμετωπίζονται κατάλληλα, αν παρουσιάσουν συμπτώματα.</w:t>
      </w:r>
    </w:p>
    <w:p w:rsidR="00070CDA" w:rsidRPr="00FF35A7" w:rsidRDefault="008478EA" w:rsidP="00B23525">
      <w:pPr>
        <w:pStyle w:val="a4"/>
        <w:ind w:right="-1"/>
        <w:jc w:val="both"/>
        <w:rPr>
          <w:rFonts w:ascii="Times New Roman" w:hAnsi="Times New Roman"/>
          <w:bCs/>
          <w:color w:val="auto"/>
          <w:sz w:val="24"/>
          <w:lang w:val="el-GR"/>
        </w:rPr>
      </w:pPr>
      <w:r w:rsidRPr="00FF35A7">
        <w:rPr>
          <w:rFonts w:ascii="Times New Roman" w:hAnsi="Times New Roman"/>
          <w:bCs/>
          <w:color w:val="auto"/>
          <w:sz w:val="24"/>
          <w:lang w:val="el-GR"/>
        </w:rPr>
        <w:t>Έχει αναφερθεί στη</w:t>
      </w:r>
      <w:r w:rsidR="004E59F8" w:rsidRPr="00FF35A7">
        <w:rPr>
          <w:rFonts w:ascii="Times New Roman" w:hAnsi="Times New Roman"/>
          <w:bCs/>
          <w:color w:val="auto"/>
          <w:sz w:val="24"/>
          <w:lang w:val="el-GR"/>
        </w:rPr>
        <w:t>ν ιατρική</w:t>
      </w:r>
      <w:r w:rsidRPr="00FF35A7">
        <w:rPr>
          <w:rFonts w:ascii="Times New Roman" w:hAnsi="Times New Roman"/>
          <w:bCs/>
          <w:color w:val="auto"/>
          <w:sz w:val="24"/>
          <w:lang w:val="el-GR"/>
        </w:rPr>
        <w:t xml:space="preserve"> βιβλιογραφία μείωση της οστικής πυκνότητας στους άντρες που έχουν υποβληθεί σε ορχεκτομή </w:t>
      </w:r>
      <w:r w:rsidR="00070CDA" w:rsidRPr="00FF35A7">
        <w:rPr>
          <w:rFonts w:ascii="Times New Roman" w:hAnsi="Times New Roman"/>
          <w:bCs/>
          <w:color w:val="auto"/>
          <w:sz w:val="24"/>
          <w:lang w:val="el-GR"/>
        </w:rPr>
        <w:t>ή</w:t>
      </w:r>
      <w:r w:rsidRPr="00FF35A7">
        <w:rPr>
          <w:rFonts w:ascii="Times New Roman" w:hAnsi="Times New Roman"/>
          <w:bCs/>
          <w:color w:val="auto"/>
          <w:sz w:val="24"/>
          <w:lang w:val="el-GR"/>
        </w:rPr>
        <w:t xml:space="preserve"> σε θεραπεία με αγωνιστή της </w:t>
      </w:r>
      <w:r w:rsidRPr="00FF35A7">
        <w:rPr>
          <w:rFonts w:ascii="Times New Roman" w:hAnsi="Times New Roman"/>
          <w:bCs/>
          <w:color w:val="auto"/>
          <w:sz w:val="24"/>
        </w:rPr>
        <w:t>LHRH</w:t>
      </w:r>
      <w:r w:rsidRPr="00FF35A7">
        <w:rPr>
          <w:rFonts w:ascii="Times New Roman" w:hAnsi="Times New Roman"/>
          <w:bCs/>
          <w:color w:val="auto"/>
          <w:sz w:val="24"/>
          <w:lang w:val="el-GR"/>
        </w:rPr>
        <w:t>. Η πρ</w:t>
      </w:r>
      <w:r w:rsidR="00012A61" w:rsidRPr="00FF35A7">
        <w:rPr>
          <w:rFonts w:ascii="Times New Roman" w:hAnsi="Times New Roman"/>
          <w:bCs/>
          <w:color w:val="auto"/>
          <w:sz w:val="24"/>
          <w:lang w:val="el-GR"/>
        </w:rPr>
        <w:t>ο</w:t>
      </w:r>
      <w:r w:rsidRPr="00FF35A7">
        <w:rPr>
          <w:rFonts w:ascii="Times New Roman" w:hAnsi="Times New Roman"/>
          <w:bCs/>
          <w:color w:val="auto"/>
          <w:sz w:val="24"/>
          <w:lang w:val="el-GR"/>
        </w:rPr>
        <w:t>σθ</w:t>
      </w:r>
      <w:r w:rsidR="00012A61" w:rsidRPr="00FF35A7">
        <w:rPr>
          <w:rFonts w:ascii="Times New Roman" w:hAnsi="Times New Roman"/>
          <w:bCs/>
          <w:color w:val="auto"/>
          <w:sz w:val="24"/>
          <w:lang w:val="el-GR"/>
        </w:rPr>
        <w:t>ήκ</w:t>
      </w:r>
      <w:r w:rsidRPr="00FF35A7">
        <w:rPr>
          <w:rFonts w:ascii="Times New Roman" w:hAnsi="Times New Roman"/>
          <w:bCs/>
          <w:color w:val="auto"/>
          <w:sz w:val="24"/>
          <w:lang w:val="el-GR"/>
        </w:rPr>
        <w:t>η αντι</w:t>
      </w:r>
      <w:r w:rsidR="00D12E35" w:rsidRPr="00FF35A7">
        <w:rPr>
          <w:rFonts w:ascii="Times New Roman" w:hAnsi="Times New Roman"/>
          <w:bCs/>
          <w:color w:val="auto"/>
          <w:sz w:val="24"/>
          <w:lang w:val="el-GR"/>
        </w:rPr>
        <w:t>-</w:t>
      </w:r>
      <w:r w:rsidRPr="00FF35A7">
        <w:rPr>
          <w:rFonts w:ascii="Times New Roman" w:hAnsi="Times New Roman"/>
          <w:bCs/>
          <w:color w:val="auto"/>
          <w:sz w:val="24"/>
          <w:lang w:val="el-GR"/>
        </w:rPr>
        <w:t xml:space="preserve">ανδρογονικής θεραπείας στο θεραπευτικό σχήμα </w:t>
      </w:r>
      <w:r w:rsidR="00012A61" w:rsidRPr="00FF35A7">
        <w:rPr>
          <w:rFonts w:ascii="Times New Roman" w:hAnsi="Times New Roman"/>
          <w:bCs/>
          <w:color w:val="auto"/>
          <w:sz w:val="24"/>
          <w:lang w:val="el-GR"/>
        </w:rPr>
        <w:t>προλαμβάνει</w:t>
      </w:r>
      <w:r w:rsidRPr="00FF35A7">
        <w:rPr>
          <w:rFonts w:ascii="Times New Roman" w:hAnsi="Times New Roman"/>
          <w:bCs/>
          <w:color w:val="auto"/>
          <w:sz w:val="24"/>
          <w:lang w:val="el-GR"/>
        </w:rPr>
        <w:t xml:space="preserve"> τη μείωση της οστικής πυκνότητας αλλά αυξάνει τον κίνδυνο άλλων ανεπιθύμητων ενεργειών</w:t>
      </w:r>
      <w:r w:rsidR="00070CDA" w:rsidRPr="00FF35A7">
        <w:rPr>
          <w:rFonts w:ascii="Times New Roman" w:hAnsi="Times New Roman"/>
          <w:bCs/>
          <w:color w:val="auto"/>
          <w:sz w:val="24"/>
          <w:lang w:val="el-GR"/>
        </w:rPr>
        <w:t>,</w:t>
      </w:r>
      <w:r w:rsidRPr="00FF35A7">
        <w:rPr>
          <w:rFonts w:ascii="Times New Roman" w:hAnsi="Times New Roman"/>
          <w:bCs/>
          <w:color w:val="auto"/>
          <w:sz w:val="24"/>
          <w:lang w:val="el-GR"/>
        </w:rPr>
        <w:t xml:space="preserve"> όπως προβλήματα θρόμβωσης και οίδημα. Εάν γίνεται χρήση αντιανδρογόνου για μεγάλο </w:t>
      </w:r>
      <w:r w:rsidR="004E59F8" w:rsidRPr="00FF35A7">
        <w:rPr>
          <w:rFonts w:ascii="Times New Roman" w:hAnsi="Times New Roman"/>
          <w:bCs/>
          <w:color w:val="auto"/>
          <w:sz w:val="24"/>
          <w:lang w:val="el-GR"/>
        </w:rPr>
        <w:t xml:space="preserve"> </w:t>
      </w:r>
      <w:r w:rsidRPr="00FF35A7">
        <w:rPr>
          <w:rFonts w:ascii="Times New Roman" w:hAnsi="Times New Roman"/>
          <w:bCs/>
          <w:color w:val="auto"/>
          <w:sz w:val="24"/>
          <w:lang w:val="el-GR"/>
        </w:rPr>
        <w:t xml:space="preserve">χρονικό διάστημα θα πρέπει να λαμβάνονται </w:t>
      </w:r>
      <w:r w:rsidR="00D12E35" w:rsidRPr="00FF35A7">
        <w:rPr>
          <w:rFonts w:ascii="Times New Roman" w:hAnsi="Times New Roman"/>
          <w:bCs/>
          <w:color w:val="auto"/>
          <w:sz w:val="24"/>
          <w:lang w:val="el-GR"/>
        </w:rPr>
        <w:t xml:space="preserve">προσεκτικά </w:t>
      </w:r>
      <w:r w:rsidRPr="00FF35A7">
        <w:rPr>
          <w:rFonts w:ascii="Times New Roman" w:hAnsi="Times New Roman"/>
          <w:bCs/>
          <w:color w:val="auto"/>
          <w:sz w:val="24"/>
          <w:lang w:val="el-GR"/>
        </w:rPr>
        <w:t xml:space="preserve">υπόψη οι αντενδείξεις και οι προειδοποιήσεις που σχετίζονται με την παρατεταμένη χρήση του. Οι ασθενείς </w:t>
      </w:r>
      <w:r w:rsidR="00D12E35" w:rsidRPr="00FF35A7">
        <w:rPr>
          <w:rFonts w:ascii="Times New Roman" w:hAnsi="Times New Roman"/>
          <w:bCs/>
          <w:color w:val="auto"/>
          <w:sz w:val="24"/>
          <w:lang w:val="el-GR"/>
        </w:rPr>
        <w:t>μ</w:t>
      </w:r>
      <w:r w:rsidRPr="00FF35A7">
        <w:rPr>
          <w:rFonts w:ascii="Times New Roman" w:hAnsi="Times New Roman"/>
          <w:bCs/>
          <w:color w:val="auto"/>
          <w:sz w:val="24"/>
          <w:lang w:val="el-GR"/>
        </w:rPr>
        <w:t xml:space="preserve">ε κίνδυνο ή ιατρικό ιστορικό οστεοπόρωσης, </w:t>
      </w:r>
      <w:r w:rsidR="00D12E35" w:rsidRPr="00FF35A7">
        <w:rPr>
          <w:rFonts w:ascii="Times New Roman" w:hAnsi="Times New Roman"/>
          <w:color w:val="auto"/>
          <w:sz w:val="24"/>
          <w:lang w:val="el-GR"/>
        </w:rPr>
        <w:t xml:space="preserve">θα πρέπει να εξετάζονται προσεκτικά και να παρακολουθούνται </w:t>
      </w:r>
      <w:r w:rsidR="00C71F17" w:rsidRPr="00FF35A7">
        <w:rPr>
          <w:rFonts w:ascii="Times New Roman" w:hAnsi="Times New Roman"/>
          <w:color w:val="auto"/>
          <w:sz w:val="24"/>
          <w:lang w:val="el-GR"/>
        </w:rPr>
        <w:t>στενά</w:t>
      </w:r>
      <w:r w:rsidR="00070CDA" w:rsidRPr="00FF35A7">
        <w:rPr>
          <w:rFonts w:ascii="Times New Roman" w:hAnsi="Times New Roman"/>
          <w:bCs/>
          <w:color w:val="auto"/>
          <w:sz w:val="24"/>
          <w:lang w:val="el-GR"/>
        </w:rPr>
        <w:t xml:space="preserve"> κατά τη θεραπεία τους με </w:t>
      </w:r>
      <w:proofErr w:type="spellStart"/>
      <w:r w:rsidR="00070CDA" w:rsidRPr="00FF35A7">
        <w:rPr>
          <w:rFonts w:ascii="Times New Roman" w:hAnsi="Times New Roman"/>
          <w:bCs/>
          <w:color w:val="auto"/>
          <w:sz w:val="24"/>
        </w:rPr>
        <w:t>leuprorelin</w:t>
      </w:r>
      <w:proofErr w:type="spellEnd"/>
      <w:r w:rsidR="00070CDA" w:rsidRPr="00FF35A7">
        <w:rPr>
          <w:rFonts w:ascii="Times New Roman" w:hAnsi="Times New Roman"/>
          <w:bCs/>
          <w:color w:val="auto"/>
          <w:sz w:val="24"/>
          <w:lang w:val="el-GR"/>
        </w:rPr>
        <w:t xml:space="preserve"> </w:t>
      </w:r>
      <w:r w:rsidR="00070CDA" w:rsidRPr="00FF35A7">
        <w:rPr>
          <w:rFonts w:ascii="Times New Roman" w:hAnsi="Times New Roman"/>
          <w:bCs/>
          <w:color w:val="auto"/>
          <w:sz w:val="24"/>
        </w:rPr>
        <w:t>acetate</w:t>
      </w:r>
      <w:r w:rsidR="00070CDA" w:rsidRPr="00FF35A7">
        <w:rPr>
          <w:rFonts w:ascii="Times New Roman" w:hAnsi="Times New Roman"/>
          <w:bCs/>
          <w:color w:val="auto"/>
          <w:sz w:val="24"/>
          <w:lang w:val="el-GR"/>
        </w:rPr>
        <w:t>.</w:t>
      </w:r>
    </w:p>
    <w:p w:rsidR="00070CDA" w:rsidRPr="00FF35A7" w:rsidRDefault="00070CDA" w:rsidP="00B23525">
      <w:pPr>
        <w:pStyle w:val="a4"/>
        <w:ind w:right="-1"/>
        <w:jc w:val="both"/>
        <w:rPr>
          <w:rFonts w:ascii="Times New Roman" w:hAnsi="Times New Roman"/>
          <w:bCs/>
          <w:color w:val="auto"/>
          <w:sz w:val="24"/>
          <w:lang w:val="el-GR"/>
        </w:rPr>
      </w:pPr>
      <w:r w:rsidRPr="00FF35A7">
        <w:rPr>
          <w:rFonts w:ascii="Times New Roman" w:hAnsi="Times New Roman"/>
          <w:bCs/>
          <w:color w:val="auto"/>
          <w:sz w:val="24"/>
          <w:lang w:val="el-GR"/>
        </w:rPr>
        <w:t>Έχουν αναφερθεί περιπτώσεις ηπατικής δυσλειτουργίας και ίκτερου με αυξημέν</w:t>
      </w:r>
      <w:r w:rsidR="004E59F8" w:rsidRPr="00FF35A7">
        <w:rPr>
          <w:rFonts w:ascii="Times New Roman" w:hAnsi="Times New Roman"/>
          <w:bCs/>
          <w:color w:val="auto"/>
          <w:sz w:val="24"/>
          <w:lang w:val="el-GR"/>
        </w:rPr>
        <w:t>α επίπεδα</w:t>
      </w:r>
      <w:r w:rsidRPr="00FF35A7">
        <w:rPr>
          <w:rFonts w:ascii="Times New Roman" w:hAnsi="Times New Roman"/>
          <w:bCs/>
          <w:color w:val="auto"/>
          <w:sz w:val="24"/>
          <w:lang w:val="el-GR"/>
        </w:rPr>
        <w:t xml:space="preserve"> ηπατικ</w:t>
      </w:r>
      <w:r w:rsidR="004E59F8" w:rsidRPr="00FF35A7">
        <w:rPr>
          <w:rFonts w:ascii="Times New Roman" w:hAnsi="Times New Roman"/>
          <w:bCs/>
          <w:color w:val="auto"/>
          <w:sz w:val="24"/>
          <w:lang w:val="el-GR"/>
        </w:rPr>
        <w:t>ών</w:t>
      </w:r>
      <w:r w:rsidRPr="00FF35A7">
        <w:rPr>
          <w:rFonts w:ascii="Times New Roman" w:hAnsi="Times New Roman"/>
          <w:bCs/>
          <w:color w:val="auto"/>
          <w:sz w:val="24"/>
          <w:lang w:val="el-GR"/>
        </w:rPr>
        <w:t xml:space="preserve"> </w:t>
      </w:r>
      <w:r w:rsidR="004E59F8" w:rsidRPr="00FF35A7">
        <w:rPr>
          <w:rFonts w:ascii="Times New Roman" w:hAnsi="Times New Roman"/>
          <w:bCs/>
          <w:color w:val="auto"/>
          <w:sz w:val="24"/>
          <w:lang w:val="el-GR"/>
        </w:rPr>
        <w:t>ε</w:t>
      </w:r>
      <w:r w:rsidRPr="00FF35A7">
        <w:rPr>
          <w:rFonts w:ascii="Times New Roman" w:hAnsi="Times New Roman"/>
          <w:bCs/>
          <w:color w:val="auto"/>
          <w:sz w:val="24"/>
          <w:lang w:val="el-GR"/>
        </w:rPr>
        <w:t>νζ</w:t>
      </w:r>
      <w:r w:rsidR="004E59F8" w:rsidRPr="00FF35A7">
        <w:rPr>
          <w:rFonts w:ascii="Times New Roman" w:hAnsi="Times New Roman"/>
          <w:bCs/>
          <w:color w:val="auto"/>
          <w:sz w:val="24"/>
          <w:lang w:val="el-GR"/>
        </w:rPr>
        <w:t>ύ</w:t>
      </w:r>
      <w:r w:rsidRPr="00FF35A7">
        <w:rPr>
          <w:rFonts w:ascii="Times New Roman" w:hAnsi="Times New Roman"/>
          <w:bCs/>
          <w:color w:val="auto"/>
          <w:sz w:val="24"/>
          <w:lang w:val="el-GR"/>
        </w:rPr>
        <w:t>μ</w:t>
      </w:r>
      <w:r w:rsidR="004E59F8" w:rsidRPr="00FF35A7">
        <w:rPr>
          <w:rFonts w:ascii="Times New Roman" w:hAnsi="Times New Roman"/>
          <w:bCs/>
          <w:color w:val="auto"/>
          <w:sz w:val="24"/>
          <w:lang w:val="el-GR"/>
        </w:rPr>
        <w:t>ων</w:t>
      </w:r>
      <w:r w:rsidRPr="00FF35A7">
        <w:rPr>
          <w:rFonts w:ascii="Times New Roman" w:hAnsi="Times New Roman"/>
          <w:bCs/>
          <w:color w:val="auto"/>
          <w:sz w:val="24"/>
          <w:lang w:val="el-GR"/>
        </w:rPr>
        <w:t xml:space="preserve">, που σχετίζονται με τη χρήση </w:t>
      </w:r>
      <w:proofErr w:type="spellStart"/>
      <w:r w:rsidRPr="00FF35A7">
        <w:rPr>
          <w:rFonts w:ascii="Times New Roman" w:hAnsi="Times New Roman"/>
          <w:bCs/>
          <w:color w:val="auto"/>
          <w:sz w:val="24"/>
        </w:rPr>
        <w:t>leuprorelin</w:t>
      </w:r>
      <w:proofErr w:type="spellEnd"/>
      <w:r w:rsidRPr="00FF35A7">
        <w:rPr>
          <w:rFonts w:ascii="Times New Roman" w:hAnsi="Times New Roman"/>
          <w:bCs/>
          <w:color w:val="auto"/>
          <w:sz w:val="24"/>
          <w:lang w:val="el-GR"/>
        </w:rPr>
        <w:t xml:space="preserve"> </w:t>
      </w:r>
      <w:r w:rsidRPr="00FF35A7">
        <w:rPr>
          <w:rFonts w:ascii="Times New Roman" w:hAnsi="Times New Roman"/>
          <w:bCs/>
          <w:color w:val="auto"/>
          <w:sz w:val="24"/>
        </w:rPr>
        <w:t>acetate</w:t>
      </w:r>
      <w:r w:rsidRPr="00FF35A7">
        <w:rPr>
          <w:rFonts w:ascii="Times New Roman" w:hAnsi="Times New Roman"/>
          <w:bCs/>
          <w:color w:val="auto"/>
          <w:sz w:val="24"/>
          <w:lang w:val="el-GR"/>
        </w:rPr>
        <w:t xml:space="preserve">. Σε τέτοιες περιπτώσεις, απαιτείται </w:t>
      </w:r>
      <w:r w:rsidR="00012A61" w:rsidRPr="00FF35A7">
        <w:rPr>
          <w:rFonts w:ascii="Times New Roman" w:hAnsi="Times New Roman"/>
          <w:bCs/>
          <w:color w:val="auto"/>
          <w:sz w:val="24"/>
          <w:lang w:val="el-GR"/>
        </w:rPr>
        <w:t>στεν</w:t>
      </w:r>
      <w:r w:rsidRPr="00FF35A7">
        <w:rPr>
          <w:rFonts w:ascii="Times New Roman" w:hAnsi="Times New Roman"/>
          <w:bCs/>
          <w:color w:val="auto"/>
          <w:sz w:val="24"/>
          <w:lang w:val="el-GR"/>
        </w:rPr>
        <w:t>ή παρακολούθηση και</w:t>
      </w:r>
      <w:r w:rsidR="00D12E35" w:rsidRPr="00FF35A7">
        <w:rPr>
          <w:rFonts w:ascii="Times New Roman" w:hAnsi="Times New Roman"/>
          <w:bCs/>
          <w:color w:val="auto"/>
          <w:sz w:val="24"/>
          <w:lang w:val="el-GR"/>
        </w:rPr>
        <w:t>, εφόσον χρειαστεί,</w:t>
      </w:r>
      <w:r w:rsidRPr="00FF35A7">
        <w:rPr>
          <w:rFonts w:ascii="Times New Roman" w:hAnsi="Times New Roman"/>
          <w:bCs/>
          <w:color w:val="auto"/>
          <w:sz w:val="24"/>
          <w:lang w:val="el-GR"/>
        </w:rPr>
        <w:t xml:space="preserve"> κατάλληλη αντιμετώπιση.</w:t>
      </w:r>
    </w:p>
    <w:p w:rsidR="00070CDA" w:rsidRPr="00FF35A7" w:rsidRDefault="00070CDA"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ανταπόκριση στη θεραπεία με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A297F" w:rsidRPr="00FF35A7">
        <w:rPr>
          <w:rFonts w:ascii="Times New Roman" w:hAnsi="Times New Roman"/>
          <w:color w:val="auto"/>
          <w:sz w:val="24"/>
          <w:lang w:val="el-GR"/>
        </w:rPr>
        <w:t xml:space="preserve"> </w:t>
      </w:r>
      <w:r w:rsidR="008A297F" w:rsidRPr="00FF35A7">
        <w:rPr>
          <w:rFonts w:ascii="Times New Roman" w:hAnsi="Times New Roman"/>
          <w:color w:val="auto"/>
          <w:sz w:val="24"/>
        </w:rPr>
        <w:t>Depot</w:t>
      </w:r>
      <w:r w:rsidRPr="00FF35A7">
        <w:rPr>
          <w:rFonts w:ascii="Times New Roman" w:hAnsi="Times New Roman"/>
          <w:color w:val="auto"/>
          <w:sz w:val="24"/>
          <w:lang w:val="el-GR"/>
        </w:rPr>
        <w:t xml:space="preserve"> πρέπει να αξιολογείται σύμφωνα με κλινικές παραμέτρους και με την τακτική μέτρηση των επιπέδων της τεστοστερόνης και του ειδικού προστατικού αντιγόνου (</w:t>
      </w:r>
      <w:r w:rsidRPr="00FF35A7">
        <w:rPr>
          <w:rFonts w:ascii="Times New Roman" w:hAnsi="Times New Roman"/>
          <w:color w:val="auto"/>
          <w:sz w:val="24"/>
        </w:rPr>
        <w:t>PSA</w:t>
      </w:r>
      <w:r w:rsidRPr="00FF35A7">
        <w:rPr>
          <w:rFonts w:ascii="Times New Roman" w:hAnsi="Times New Roman"/>
          <w:color w:val="auto"/>
          <w:sz w:val="24"/>
          <w:lang w:val="el-GR"/>
        </w:rPr>
        <w:t xml:space="preserve">) στον ορό του αίματος. </w:t>
      </w:r>
    </w:p>
    <w:p w:rsidR="00070CDA" w:rsidRPr="00FF35A7" w:rsidRDefault="00070CDA"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Οι ασθενείς μπορεί να </w:t>
      </w:r>
      <w:r w:rsidR="00D12E35" w:rsidRPr="00FF35A7">
        <w:rPr>
          <w:rFonts w:ascii="Times New Roman" w:hAnsi="Times New Roman"/>
          <w:color w:val="auto"/>
          <w:sz w:val="24"/>
          <w:lang w:val="el-GR"/>
        </w:rPr>
        <w:t>παρουσιάσουν</w:t>
      </w:r>
      <w:r w:rsidRPr="00FF35A7">
        <w:rPr>
          <w:rFonts w:ascii="Times New Roman" w:hAnsi="Times New Roman"/>
          <w:color w:val="auto"/>
          <w:sz w:val="24"/>
          <w:lang w:val="el-GR"/>
        </w:rPr>
        <w:t xml:space="preserve"> μεταβολικές αλλαγές (π.χ. δυσανεξία στη γλυκόζη ή επιδείνωση προϋπάρχοντος διαβήτη) </w:t>
      </w:r>
      <w:r w:rsidR="00800332" w:rsidRPr="00FF35A7">
        <w:rPr>
          <w:rFonts w:ascii="Times New Roman" w:hAnsi="Times New Roman"/>
          <w:color w:val="auto"/>
          <w:sz w:val="24"/>
          <w:lang w:val="el-GR"/>
        </w:rPr>
        <w:t xml:space="preserve">υπέρταση, μεταβολές στο βάρος και καρδιαγγειακές διαταραχές. Όπως αναμένεται σε αυτήν την κατηγορία φαρμάκων, ενδέχεται να παρουσιαστεί εμφάνιση ή επιδείνωση του διαβήτη και επομένως, οι διαβητικοί ασθενείς ενδέχεται να χρειάζονται συχνότερη παρακολούθηση της γλυκόζης αίματος κατά τη θεραπεία με το </w:t>
      </w:r>
      <w:r w:rsidR="00833418">
        <w:rPr>
          <w:rFonts w:ascii="Times New Roman" w:hAnsi="Times New Roman"/>
          <w:color w:val="auto"/>
          <w:sz w:val="24"/>
          <w:lang w:val="el-GR"/>
        </w:rPr>
        <w:t>Lutrate</w:t>
      </w:r>
      <w:r w:rsidR="00833418" w:rsidRPr="00833418">
        <w:rPr>
          <w:rFonts w:ascii="Times New Roman" w:hAnsi="Times New Roman"/>
          <w:color w:val="auto"/>
          <w:sz w:val="24"/>
          <w:vertAlign w:val="superscript"/>
          <w:lang w:val="el-GR"/>
        </w:rPr>
        <w:t>®</w:t>
      </w:r>
      <w:r w:rsidR="00800332" w:rsidRPr="00FF35A7">
        <w:rPr>
          <w:rFonts w:ascii="Times New Roman" w:hAnsi="Times New Roman"/>
          <w:color w:val="auto"/>
          <w:sz w:val="24"/>
          <w:lang w:val="el-GR"/>
        </w:rPr>
        <w:t xml:space="preserve"> Depot</w:t>
      </w:r>
      <w:r w:rsidRPr="00FF35A7">
        <w:rPr>
          <w:rFonts w:ascii="Times New Roman" w:hAnsi="Times New Roman"/>
          <w:color w:val="auto"/>
          <w:sz w:val="24"/>
          <w:lang w:val="el-GR"/>
        </w:rPr>
        <w:t xml:space="preserve">. Οι ασθενείς που διατρέχουν κίνδυνο </w:t>
      </w:r>
      <w:r w:rsidR="00D12E35" w:rsidRPr="00FF35A7">
        <w:rPr>
          <w:rFonts w:ascii="Times New Roman" w:hAnsi="Times New Roman"/>
          <w:color w:val="auto"/>
          <w:sz w:val="24"/>
          <w:lang w:val="el-GR"/>
        </w:rPr>
        <w:t>εμφάνισης</w:t>
      </w:r>
      <w:r w:rsidRPr="00FF35A7">
        <w:rPr>
          <w:rFonts w:ascii="Times New Roman" w:hAnsi="Times New Roman"/>
          <w:color w:val="auto"/>
          <w:sz w:val="24"/>
          <w:lang w:val="el-GR"/>
        </w:rPr>
        <w:t xml:space="preserve"> μεταβολικών και καρδιαγγειακών παθήσεων θα πρέπει να αξιολογούνται </w:t>
      </w:r>
      <w:r w:rsidR="00D12E35" w:rsidRPr="00FF35A7">
        <w:rPr>
          <w:rFonts w:ascii="Times New Roman" w:hAnsi="Times New Roman"/>
          <w:color w:val="auto"/>
          <w:sz w:val="24"/>
          <w:lang w:val="el-GR"/>
        </w:rPr>
        <w:t xml:space="preserve">προσεκτικά </w:t>
      </w:r>
      <w:r w:rsidRPr="00FF35A7">
        <w:rPr>
          <w:rFonts w:ascii="Times New Roman" w:hAnsi="Times New Roman"/>
          <w:color w:val="auto"/>
          <w:sz w:val="24"/>
          <w:lang w:val="el-GR"/>
        </w:rPr>
        <w:t xml:space="preserve">πριν την έναρξη της θεραπείας τους και να παρακολουθούνται επαρκώς κατά τη θεραπεία στέρησης ανδρογόνων. Η θεραπεία με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w:t>
      </w:r>
      <w:r w:rsidR="00451D23" w:rsidRPr="00FF35A7">
        <w:rPr>
          <w:rFonts w:ascii="Times New Roman" w:hAnsi="Times New Roman"/>
          <w:color w:val="auto"/>
          <w:sz w:val="24"/>
          <w:lang w:val="el-GR"/>
        </w:rPr>
        <w:t xml:space="preserve">έχει ως αποτέλεσμα την καταστολή </w:t>
      </w:r>
      <w:r w:rsidR="004545C9" w:rsidRPr="00FF35A7">
        <w:rPr>
          <w:rFonts w:ascii="Times New Roman" w:hAnsi="Times New Roman"/>
          <w:color w:val="auto"/>
          <w:sz w:val="24"/>
          <w:lang w:val="el-GR"/>
        </w:rPr>
        <w:t>του συστήματος υπόφυσης-γονάδων</w:t>
      </w:r>
      <w:r w:rsidR="00451D23" w:rsidRPr="00FF35A7">
        <w:rPr>
          <w:rFonts w:ascii="Times New Roman" w:hAnsi="Times New Roman"/>
          <w:color w:val="auto"/>
          <w:sz w:val="24"/>
          <w:lang w:val="el-GR"/>
        </w:rPr>
        <w:t xml:space="preserve">. Διαγνωστικές εξετάσεις των </w:t>
      </w:r>
      <w:r w:rsidR="004E59F8" w:rsidRPr="00FF35A7">
        <w:rPr>
          <w:rFonts w:ascii="Times New Roman" w:hAnsi="Times New Roman"/>
          <w:color w:val="auto"/>
          <w:sz w:val="24"/>
          <w:lang w:val="el-GR"/>
        </w:rPr>
        <w:t xml:space="preserve">γοναδοτρόπων </w:t>
      </w:r>
      <w:r w:rsidR="00451D23" w:rsidRPr="00FF35A7">
        <w:rPr>
          <w:rFonts w:ascii="Times New Roman" w:hAnsi="Times New Roman"/>
          <w:color w:val="auto"/>
          <w:sz w:val="24"/>
          <w:lang w:val="el-GR"/>
        </w:rPr>
        <w:t xml:space="preserve">λειτουργιών της </w:t>
      </w:r>
      <w:r w:rsidR="004E59F8" w:rsidRPr="00FF35A7">
        <w:rPr>
          <w:rFonts w:ascii="Times New Roman" w:hAnsi="Times New Roman"/>
          <w:color w:val="auto"/>
          <w:sz w:val="24"/>
          <w:lang w:val="el-GR"/>
        </w:rPr>
        <w:t xml:space="preserve"> </w:t>
      </w:r>
      <w:r w:rsidR="00451D23" w:rsidRPr="00FF35A7">
        <w:rPr>
          <w:rFonts w:ascii="Times New Roman" w:hAnsi="Times New Roman"/>
          <w:color w:val="auto"/>
          <w:sz w:val="24"/>
          <w:lang w:val="el-GR"/>
        </w:rPr>
        <w:t xml:space="preserve">υπόφυσης </w:t>
      </w:r>
      <w:r w:rsidR="00451D23" w:rsidRPr="00FF35A7">
        <w:rPr>
          <w:rFonts w:ascii="Times New Roman" w:hAnsi="Times New Roman"/>
          <w:color w:val="auto"/>
          <w:sz w:val="24"/>
          <w:lang w:val="el-GR"/>
        </w:rPr>
        <w:lastRenderedPageBreak/>
        <w:t xml:space="preserve">και </w:t>
      </w:r>
      <w:r w:rsidR="004545C9" w:rsidRPr="00FF35A7">
        <w:rPr>
          <w:rFonts w:ascii="Times New Roman" w:hAnsi="Times New Roman"/>
          <w:color w:val="auto"/>
          <w:sz w:val="24"/>
          <w:lang w:val="el-GR"/>
        </w:rPr>
        <w:t xml:space="preserve">των </w:t>
      </w:r>
      <w:r w:rsidR="004E59F8" w:rsidRPr="00FF35A7">
        <w:rPr>
          <w:rFonts w:ascii="Times New Roman" w:hAnsi="Times New Roman"/>
          <w:color w:val="auto"/>
          <w:sz w:val="24"/>
          <w:lang w:val="el-GR"/>
        </w:rPr>
        <w:t xml:space="preserve">λειτουργιών των </w:t>
      </w:r>
      <w:r w:rsidR="004545C9" w:rsidRPr="00FF35A7">
        <w:rPr>
          <w:rFonts w:ascii="Times New Roman" w:hAnsi="Times New Roman"/>
          <w:color w:val="auto"/>
          <w:sz w:val="24"/>
          <w:lang w:val="el-GR"/>
        </w:rPr>
        <w:t>γονάδων</w:t>
      </w:r>
      <w:r w:rsidR="00451D23" w:rsidRPr="00FF35A7">
        <w:rPr>
          <w:rFonts w:ascii="Times New Roman" w:hAnsi="Times New Roman"/>
          <w:color w:val="auto"/>
          <w:sz w:val="24"/>
          <w:lang w:val="el-GR"/>
        </w:rPr>
        <w:t xml:space="preserve"> κατά τη διάρκεια της θεραπείας ή μετά τη διακοπή της, μπορεί να οδηγήσουν σε λανθασμένα συμπεράσματα.</w:t>
      </w:r>
    </w:p>
    <w:p w:rsidR="00451D23" w:rsidRPr="00FF35A7" w:rsidRDefault="00451D23" w:rsidP="00B23525">
      <w:pPr>
        <w:pStyle w:val="a4"/>
        <w:ind w:right="-1"/>
        <w:jc w:val="both"/>
        <w:rPr>
          <w:rFonts w:ascii="Times New Roman" w:hAnsi="Times New Roman"/>
          <w:color w:val="auto"/>
          <w:sz w:val="24"/>
          <w:lang w:val="el-GR"/>
        </w:rPr>
      </w:pPr>
    </w:p>
    <w:p w:rsidR="00451D23" w:rsidRPr="00FF35A7" w:rsidRDefault="004545C9"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Έχει αναφερθεί α</w:t>
      </w:r>
      <w:r w:rsidR="00451D23" w:rsidRPr="00FF35A7">
        <w:rPr>
          <w:rFonts w:ascii="Times New Roman" w:hAnsi="Times New Roman"/>
          <w:color w:val="auto"/>
          <w:sz w:val="24"/>
          <w:lang w:val="el-GR"/>
        </w:rPr>
        <w:t xml:space="preserve">ύξηση του χρόνου προθρομβίνης σε ασθενείς που βρίσκονται σε θεραπεία με </w:t>
      </w:r>
      <w:proofErr w:type="spellStart"/>
      <w:r w:rsidR="00451D23" w:rsidRPr="00FF35A7">
        <w:rPr>
          <w:rFonts w:ascii="Times New Roman" w:hAnsi="Times New Roman"/>
          <w:color w:val="auto"/>
          <w:sz w:val="24"/>
        </w:rPr>
        <w:t>leuprorelin</w:t>
      </w:r>
      <w:proofErr w:type="spellEnd"/>
      <w:r w:rsidR="00451D23" w:rsidRPr="00FF35A7">
        <w:rPr>
          <w:rFonts w:ascii="Times New Roman" w:hAnsi="Times New Roman"/>
          <w:color w:val="auto"/>
          <w:sz w:val="24"/>
          <w:lang w:val="el-GR"/>
        </w:rPr>
        <w:t xml:space="preserve"> </w:t>
      </w:r>
      <w:r w:rsidR="00451D23" w:rsidRPr="00FF35A7">
        <w:rPr>
          <w:rFonts w:ascii="Times New Roman" w:hAnsi="Times New Roman"/>
          <w:color w:val="auto"/>
          <w:sz w:val="24"/>
        </w:rPr>
        <w:t>acetate</w:t>
      </w:r>
      <w:r w:rsidR="00451D23" w:rsidRPr="00FF35A7">
        <w:rPr>
          <w:rFonts w:ascii="Times New Roman" w:hAnsi="Times New Roman"/>
          <w:color w:val="auto"/>
          <w:sz w:val="24"/>
          <w:lang w:val="el-GR"/>
        </w:rPr>
        <w:t>.</w:t>
      </w:r>
    </w:p>
    <w:p w:rsidR="00054421" w:rsidRPr="00FF35A7" w:rsidRDefault="00451D23"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Έχει αναφερθεί </w:t>
      </w:r>
      <w:r w:rsidR="00A525F3" w:rsidRPr="00FF35A7">
        <w:rPr>
          <w:rFonts w:ascii="Times New Roman" w:hAnsi="Times New Roman"/>
          <w:color w:val="auto"/>
          <w:sz w:val="24"/>
          <w:lang w:val="el-GR"/>
        </w:rPr>
        <w:t xml:space="preserve">ότι η θεραπεία με </w:t>
      </w:r>
      <w:proofErr w:type="spellStart"/>
      <w:r w:rsidR="00FF35A7" w:rsidRPr="00FF35A7">
        <w:rPr>
          <w:rFonts w:ascii="Times New Roman" w:hAnsi="Times New Roman"/>
          <w:color w:val="auto"/>
          <w:sz w:val="24"/>
        </w:rPr>
        <w:t>leuprorelin</w:t>
      </w:r>
      <w:proofErr w:type="spellEnd"/>
      <w:r w:rsidR="00A525F3" w:rsidRPr="00FF35A7">
        <w:rPr>
          <w:rFonts w:ascii="Times New Roman" w:hAnsi="Times New Roman"/>
          <w:color w:val="auto"/>
          <w:sz w:val="24"/>
          <w:lang w:val="el-GR"/>
        </w:rPr>
        <w:t xml:space="preserve"> </w:t>
      </w:r>
      <w:r w:rsidR="00A525F3" w:rsidRPr="00FF35A7">
        <w:rPr>
          <w:rFonts w:ascii="Times New Roman" w:hAnsi="Times New Roman"/>
          <w:color w:val="auto"/>
          <w:sz w:val="24"/>
        </w:rPr>
        <w:t>acetate</w:t>
      </w:r>
      <w:r w:rsidR="00A525F3" w:rsidRPr="00FF35A7">
        <w:rPr>
          <w:rFonts w:ascii="Times New Roman" w:hAnsi="Times New Roman"/>
          <w:color w:val="auto"/>
          <w:sz w:val="24"/>
          <w:lang w:val="el-GR"/>
        </w:rPr>
        <w:t xml:space="preserve"> </w:t>
      </w:r>
      <w:r w:rsidR="004545C9" w:rsidRPr="00FF35A7">
        <w:rPr>
          <w:rFonts w:ascii="Times New Roman" w:hAnsi="Times New Roman"/>
          <w:color w:val="auto"/>
          <w:sz w:val="24"/>
          <w:lang w:val="el-GR"/>
        </w:rPr>
        <w:t>σχετίζεται</w:t>
      </w:r>
      <w:r w:rsidR="00A525F3" w:rsidRPr="00FF35A7">
        <w:rPr>
          <w:rFonts w:ascii="Times New Roman" w:hAnsi="Times New Roman"/>
          <w:color w:val="auto"/>
          <w:sz w:val="24"/>
          <w:lang w:val="el-GR"/>
        </w:rPr>
        <w:t xml:space="preserve"> με την</w:t>
      </w:r>
      <w:r w:rsidRPr="00FF35A7">
        <w:rPr>
          <w:rFonts w:ascii="Times New Roman" w:hAnsi="Times New Roman"/>
          <w:color w:val="auto"/>
          <w:sz w:val="24"/>
          <w:lang w:val="el-GR"/>
        </w:rPr>
        <w:t xml:space="preserve"> εμφάνιση </w:t>
      </w:r>
      <w:r w:rsidR="00A525F3" w:rsidRPr="00FF35A7">
        <w:rPr>
          <w:rFonts w:ascii="Times New Roman" w:hAnsi="Times New Roman"/>
          <w:color w:val="auto"/>
          <w:sz w:val="24"/>
          <w:lang w:val="el-GR"/>
        </w:rPr>
        <w:t>παροξυσμών.</w:t>
      </w:r>
      <w:r w:rsidRPr="00FF35A7">
        <w:rPr>
          <w:rFonts w:ascii="Times New Roman" w:hAnsi="Times New Roman"/>
          <w:color w:val="auto"/>
          <w:sz w:val="24"/>
          <w:lang w:val="el-GR"/>
        </w:rPr>
        <w:t xml:space="preserve"> Τέτοι</w:t>
      </w:r>
      <w:r w:rsidR="004545C9" w:rsidRPr="00FF35A7">
        <w:rPr>
          <w:rFonts w:ascii="Times New Roman" w:hAnsi="Times New Roman"/>
          <w:color w:val="auto"/>
          <w:sz w:val="24"/>
          <w:lang w:val="el-GR"/>
        </w:rPr>
        <w:t>α περιστατικά</w:t>
      </w:r>
      <w:r w:rsidRPr="00FF35A7">
        <w:rPr>
          <w:rFonts w:ascii="Times New Roman" w:hAnsi="Times New Roman"/>
          <w:color w:val="auto"/>
          <w:sz w:val="24"/>
          <w:lang w:val="el-GR"/>
        </w:rPr>
        <w:t xml:space="preserve"> παρουσιάστηκαν σε ασθενείς </w:t>
      </w:r>
      <w:r w:rsidR="0013600A" w:rsidRPr="00FF35A7">
        <w:rPr>
          <w:rFonts w:ascii="Times New Roman" w:hAnsi="Times New Roman"/>
          <w:color w:val="auto"/>
          <w:sz w:val="24"/>
          <w:lang w:val="el-GR"/>
        </w:rPr>
        <w:t>που είχαν</w:t>
      </w:r>
      <w:r w:rsidRPr="00FF35A7">
        <w:rPr>
          <w:rFonts w:ascii="Times New Roman" w:hAnsi="Times New Roman"/>
          <w:color w:val="auto"/>
          <w:sz w:val="24"/>
          <w:lang w:val="el-GR"/>
        </w:rPr>
        <w:t xml:space="preserve"> ιστορικό </w:t>
      </w:r>
      <w:r w:rsidR="0013600A" w:rsidRPr="00FF35A7">
        <w:rPr>
          <w:rFonts w:ascii="Times New Roman" w:hAnsi="Times New Roman"/>
          <w:color w:val="auto"/>
          <w:sz w:val="24"/>
          <w:lang w:val="el-GR"/>
        </w:rPr>
        <w:t>μ</w:t>
      </w:r>
      <w:r w:rsidRPr="00FF35A7">
        <w:rPr>
          <w:rFonts w:ascii="Times New Roman" w:hAnsi="Times New Roman"/>
          <w:color w:val="auto"/>
          <w:sz w:val="24"/>
          <w:lang w:val="el-GR"/>
        </w:rPr>
        <w:t xml:space="preserve">ε </w:t>
      </w:r>
      <w:r w:rsidR="00054421" w:rsidRPr="00FF35A7">
        <w:rPr>
          <w:rFonts w:ascii="Times New Roman" w:hAnsi="Times New Roman"/>
          <w:color w:val="auto"/>
          <w:sz w:val="24"/>
          <w:lang w:val="el-GR"/>
        </w:rPr>
        <w:t>παροξυσμούς</w:t>
      </w:r>
      <w:r w:rsidRPr="00FF35A7">
        <w:rPr>
          <w:rFonts w:ascii="Times New Roman" w:hAnsi="Times New Roman"/>
          <w:color w:val="auto"/>
          <w:sz w:val="24"/>
          <w:lang w:val="el-GR"/>
        </w:rPr>
        <w:t>, επιληψία, εγκεφαλικές δυσλειτουργίες, ανωμαλίες ή όγκους στο κεντρικό νευρικό σύστημα και σε ασθενείς στους οποίο</w:t>
      </w:r>
      <w:r w:rsidR="0013600A" w:rsidRPr="00FF35A7">
        <w:rPr>
          <w:rFonts w:ascii="Times New Roman" w:hAnsi="Times New Roman"/>
          <w:color w:val="auto"/>
          <w:sz w:val="24"/>
          <w:lang w:val="el-GR"/>
        </w:rPr>
        <w:t>υ</w:t>
      </w:r>
      <w:r w:rsidRPr="00FF35A7">
        <w:rPr>
          <w:rFonts w:ascii="Times New Roman" w:hAnsi="Times New Roman"/>
          <w:color w:val="auto"/>
          <w:sz w:val="24"/>
          <w:lang w:val="el-GR"/>
        </w:rPr>
        <w:t xml:space="preserve">ς είχαν συγχορηγηθεί φάρμακα που σχετίζονται με </w:t>
      </w:r>
      <w:r w:rsidR="00054421" w:rsidRPr="00FF35A7">
        <w:rPr>
          <w:rFonts w:ascii="Times New Roman" w:hAnsi="Times New Roman"/>
          <w:color w:val="auto"/>
          <w:sz w:val="24"/>
          <w:lang w:val="el-GR"/>
        </w:rPr>
        <w:t>παροξυσμούς</w:t>
      </w:r>
      <w:r w:rsidRPr="00FF35A7">
        <w:rPr>
          <w:rFonts w:ascii="Times New Roman" w:hAnsi="Times New Roman"/>
          <w:color w:val="auto"/>
          <w:sz w:val="24"/>
          <w:lang w:val="el-GR"/>
        </w:rPr>
        <w:t xml:space="preserve">, όπως το </w:t>
      </w:r>
      <w:proofErr w:type="spellStart"/>
      <w:r w:rsidRPr="00FF35A7">
        <w:rPr>
          <w:rFonts w:ascii="Times New Roman" w:hAnsi="Times New Roman"/>
          <w:color w:val="auto"/>
          <w:sz w:val="24"/>
        </w:rPr>
        <w:t>b</w:t>
      </w:r>
      <w:r w:rsidR="004E59F8" w:rsidRPr="00FF35A7">
        <w:rPr>
          <w:rFonts w:ascii="Times New Roman" w:hAnsi="Times New Roman"/>
          <w:color w:val="auto"/>
          <w:sz w:val="24"/>
        </w:rPr>
        <w:t>u</w:t>
      </w:r>
      <w:r w:rsidRPr="00FF35A7">
        <w:rPr>
          <w:rFonts w:ascii="Times New Roman" w:hAnsi="Times New Roman"/>
          <w:color w:val="auto"/>
          <w:sz w:val="24"/>
        </w:rPr>
        <w:t>propion</w:t>
      </w:r>
      <w:proofErr w:type="spellEnd"/>
      <w:r w:rsidRPr="00FF35A7">
        <w:rPr>
          <w:rFonts w:ascii="Times New Roman" w:hAnsi="Times New Roman"/>
          <w:color w:val="auto"/>
          <w:sz w:val="24"/>
          <w:lang w:val="el-GR"/>
        </w:rPr>
        <w:t xml:space="preserve"> και </w:t>
      </w:r>
      <w:r w:rsidR="00054421" w:rsidRPr="00FF35A7">
        <w:rPr>
          <w:rFonts w:ascii="Times New Roman" w:hAnsi="Times New Roman"/>
          <w:color w:val="auto"/>
          <w:sz w:val="24"/>
          <w:lang w:val="el-GR"/>
        </w:rPr>
        <w:t xml:space="preserve">οι </w:t>
      </w:r>
      <w:r w:rsidRPr="00FF35A7">
        <w:rPr>
          <w:rFonts w:ascii="Times New Roman" w:hAnsi="Times New Roman"/>
          <w:color w:val="auto"/>
          <w:sz w:val="24"/>
          <w:lang w:val="el-GR"/>
        </w:rPr>
        <w:t>ε</w:t>
      </w:r>
      <w:r w:rsidR="004E59F8" w:rsidRPr="00FF35A7">
        <w:rPr>
          <w:rFonts w:ascii="Times New Roman" w:hAnsi="Times New Roman"/>
          <w:color w:val="auto"/>
          <w:sz w:val="24"/>
          <w:lang w:val="el-GR"/>
        </w:rPr>
        <w:t>κλεκτ</w:t>
      </w:r>
      <w:r w:rsidRPr="00FF35A7">
        <w:rPr>
          <w:rFonts w:ascii="Times New Roman" w:hAnsi="Times New Roman"/>
          <w:color w:val="auto"/>
          <w:sz w:val="24"/>
          <w:lang w:val="el-GR"/>
        </w:rPr>
        <w:t>ικ</w:t>
      </w:r>
      <w:r w:rsidR="00054421" w:rsidRPr="00FF35A7">
        <w:rPr>
          <w:rFonts w:ascii="Times New Roman" w:hAnsi="Times New Roman"/>
          <w:color w:val="auto"/>
          <w:sz w:val="24"/>
          <w:lang w:val="el-GR"/>
        </w:rPr>
        <w:t>οί</w:t>
      </w:r>
      <w:r w:rsidRPr="00FF35A7">
        <w:rPr>
          <w:rFonts w:ascii="Times New Roman" w:hAnsi="Times New Roman"/>
          <w:color w:val="auto"/>
          <w:sz w:val="24"/>
          <w:lang w:val="el-GR"/>
        </w:rPr>
        <w:t xml:space="preserve"> αναστολείς επαναπρόσληψης σεροτονίνης (</w:t>
      </w:r>
      <w:r w:rsidRPr="00FF35A7">
        <w:rPr>
          <w:rFonts w:ascii="Times New Roman" w:hAnsi="Times New Roman"/>
          <w:color w:val="auto"/>
          <w:sz w:val="24"/>
        </w:rPr>
        <w:t>SSRI</w:t>
      </w:r>
      <w:r w:rsidRPr="00FF35A7">
        <w:rPr>
          <w:rFonts w:ascii="Times New Roman" w:hAnsi="Times New Roman"/>
          <w:color w:val="auto"/>
          <w:sz w:val="24"/>
          <w:lang w:val="el-GR"/>
        </w:rPr>
        <w:t>).</w:t>
      </w:r>
      <w:r w:rsidR="00054421" w:rsidRPr="00FF35A7">
        <w:rPr>
          <w:rFonts w:ascii="Times New Roman" w:hAnsi="Times New Roman"/>
          <w:color w:val="auto"/>
          <w:sz w:val="24"/>
          <w:lang w:val="el-GR"/>
        </w:rPr>
        <w:t xml:space="preserve"> </w:t>
      </w:r>
      <w:r w:rsidR="00800332" w:rsidRPr="00FF35A7">
        <w:rPr>
          <w:rFonts w:ascii="Times New Roman" w:hAnsi="Times New Roman"/>
          <w:color w:val="auto"/>
          <w:sz w:val="24"/>
          <w:lang w:val="el-GR"/>
        </w:rPr>
        <w:t>Επίσης, παροξυσμοί έχουν αναφερθεί και σε ασθενείς που δεν έπασχαν ποτέ από κάποια από τις παραπάνω παθήσεις</w:t>
      </w:r>
      <w:r w:rsidR="00054421" w:rsidRPr="00FF35A7">
        <w:rPr>
          <w:rFonts w:ascii="Times New Roman" w:hAnsi="Times New Roman"/>
          <w:color w:val="auto"/>
          <w:sz w:val="24"/>
          <w:lang w:val="el-GR"/>
        </w:rPr>
        <w:t>.</w:t>
      </w:r>
    </w:p>
    <w:p w:rsidR="00054421" w:rsidRPr="00FF35A7" w:rsidRDefault="00054421"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Το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πρέπει να χρησιμοποιείται με προσοχή σε ασθενείς που πάσχουν από καρδιαγγειακές παθήσεις (συμπεριλαμβανομένης της συμφορητικής καρδιακής ανεπάρκειας), θρομβοεμβολή, οίδημα, κατάθλιψη και αποπληξία της υπόφυσης.</w:t>
      </w:r>
    </w:p>
    <w:p w:rsidR="00460B69" w:rsidRPr="00FF35A7" w:rsidRDefault="00FF35A7" w:rsidP="00B23525">
      <w:pPr>
        <w:pStyle w:val="a4"/>
        <w:ind w:right="-1"/>
        <w:jc w:val="both"/>
        <w:rPr>
          <w:rFonts w:ascii="Times New Roman" w:hAnsi="Times New Roman"/>
          <w:color w:val="auto"/>
          <w:sz w:val="24"/>
          <w:lang w:val="el-GR"/>
        </w:rPr>
      </w:pPr>
      <w:r>
        <w:rPr>
          <w:rFonts w:ascii="Times New Roman" w:hAnsi="Times New Roman"/>
          <w:color w:val="auto"/>
          <w:sz w:val="24"/>
          <w:lang w:val="el-GR"/>
        </w:rPr>
        <w:t xml:space="preserve">Το </w:t>
      </w:r>
      <w:proofErr w:type="spellStart"/>
      <w:r w:rsidRPr="00FF35A7">
        <w:rPr>
          <w:rFonts w:ascii="Times New Roman" w:hAnsi="Times New Roman"/>
          <w:color w:val="auto"/>
          <w:sz w:val="24"/>
        </w:rPr>
        <w:t>leuprorelin</w:t>
      </w:r>
      <w:proofErr w:type="spellEnd"/>
      <w:r w:rsidR="00800332" w:rsidRPr="00FF35A7">
        <w:rPr>
          <w:rFonts w:ascii="Times New Roman" w:hAnsi="Times New Roman"/>
          <w:color w:val="auto"/>
          <w:sz w:val="24"/>
          <w:lang w:val="el-GR"/>
        </w:rPr>
        <w:t xml:space="preserve"> acetate πρέπει να χρησιμοποιείται με προσοχή σε ασθενείς με γνωστές αιμορραγικές διαταραχές, θρομβοκυτοπενία ή σε ασθενείς που υποβάλλονται σε θεραπεία με αντιπηκτικά.</w:t>
      </w:r>
      <w:r w:rsidR="00054421" w:rsidRPr="00FF35A7">
        <w:rPr>
          <w:rFonts w:ascii="Times New Roman" w:hAnsi="Times New Roman"/>
          <w:color w:val="auto"/>
          <w:sz w:val="24"/>
          <w:lang w:val="el-GR"/>
        </w:rPr>
        <w:t xml:space="preserve">Οι αθλητές θα πρέπει να ενημερώνονται ότι 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C70860" w:rsidRPr="00FF35A7">
        <w:rPr>
          <w:rFonts w:ascii="Times New Roman" w:hAnsi="Times New Roman"/>
          <w:color w:val="auto"/>
          <w:sz w:val="24"/>
          <w:lang w:val="el-GR"/>
        </w:rPr>
        <w:t xml:space="preserve"> </w:t>
      </w:r>
      <w:r w:rsidR="00C70860" w:rsidRPr="00FF35A7">
        <w:rPr>
          <w:rFonts w:ascii="Times New Roman" w:hAnsi="Times New Roman"/>
          <w:color w:val="auto"/>
          <w:sz w:val="24"/>
        </w:rPr>
        <w:t>Depot</w:t>
      </w:r>
      <w:r w:rsidR="00054421" w:rsidRPr="00FF35A7">
        <w:rPr>
          <w:rFonts w:ascii="Times New Roman" w:hAnsi="Times New Roman"/>
          <w:color w:val="auto"/>
          <w:sz w:val="24"/>
          <w:lang w:val="el-GR"/>
        </w:rPr>
        <w:t xml:space="preserve"> περιέχει κάποια ουσία που μπορεί να οδηγήσει σε θετική δοκιμασία</w:t>
      </w:r>
      <w:r w:rsidR="00B81B1E" w:rsidRPr="00FF35A7">
        <w:rPr>
          <w:rFonts w:ascii="Times New Roman" w:hAnsi="Times New Roman"/>
          <w:color w:val="auto"/>
          <w:sz w:val="24"/>
          <w:lang w:val="el-GR"/>
        </w:rPr>
        <w:t xml:space="preserve"> αναβολικών</w:t>
      </w:r>
      <w:r w:rsidR="00054421" w:rsidRPr="00FF35A7">
        <w:rPr>
          <w:rFonts w:ascii="Times New Roman" w:hAnsi="Times New Roman"/>
          <w:color w:val="auto"/>
          <w:sz w:val="24"/>
          <w:lang w:val="el-GR"/>
        </w:rPr>
        <w:t xml:space="preserve">. </w:t>
      </w:r>
    </w:p>
    <w:p w:rsidR="00460B69" w:rsidRPr="00FF35A7" w:rsidRDefault="00460B69"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Το φάρμακο περιέχει λιγότερο από 1</w:t>
      </w:r>
      <w:proofErr w:type="spellStart"/>
      <w:r w:rsidRPr="00FF35A7">
        <w:rPr>
          <w:rFonts w:ascii="Times New Roman" w:hAnsi="Times New Roman"/>
          <w:color w:val="auto"/>
          <w:sz w:val="24"/>
        </w:rPr>
        <w:t>mmol</w:t>
      </w:r>
      <w:proofErr w:type="spellEnd"/>
      <w:r w:rsidRPr="00FF35A7">
        <w:rPr>
          <w:rFonts w:ascii="Times New Roman" w:hAnsi="Times New Roman"/>
          <w:color w:val="auto"/>
          <w:sz w:val="24"/>
          <w:lang w:val="el-GR"/>
        </w:rPr>
        <w:t xml:space="preserve"> νατρίου (23</w:t>
      </w:r>
      <w:r w:rsidRPr="00FF35A7">
        <w:rPr>
          <w:rFonts w:ascii="Times New Roman" w:hAnsi="Times New Roman"/>
          <w:color w:val="auto"/>
          <w:sz w:val="24"/>
        </w:rPr>
        <w:t>mg</w:t>
      </w:r>
      <w:r w:rsidRPr="00FF35A7">
        <w:rPr>
          <w:rFonts w:ascii="Times New Roman" w:hAnsi="Times New Roman"/>
          <w:color w:val="auto"/>
          <w:sz w:val="24"/>
          <w:lang w:val="el-GR"/>
        </w:rPr>
        <w:t xml:space="preserve">) ανά φιαλίδιο, δηλαδή είναι ουσιαστικά </w:t>
      </w:r>
      <w:r w:rsidR="0013600A" w:rsidRPr="00FF35A7">
        <w:rPr>
          <w:rFonts w:ascii="Times New Roman" w:hAnsi="Times New Roman"/>
          <w:color w:val="auto"/>
          <w:sz w:val="24"/>
          <w:lang w:val="el-GR"/>
        </w:rPr>
        <w:t>‘</w:t>
      </w:r>
      <w:r w:rsidRPr="00FF35A7">
        <w:rPr>
          <w:rFonts w:ascii="Times New Roman" w:hAnsi="Times New Roman"/>
          <w:color w:val="auto"/>
          <w:sz w:val="24"/>
          <w:lang w:val="el-GR"/>
        </w:rPr>
        <w:t>χωρίς νάτριο</w:t>
      </w:r>
      <w:r w:rsidR="0013600A" w:rsidRPr="00FF35A7">
        <w:rPr>
          <w:rFonts w:ascii="Times New Roman" w:hAnsi="Times New Roman"/>
          <w:color w:val="auto"/>
          <w:sz w:val="24"/>
          <w:lang w:val="el-GR"/>
        </w:rPr>
        <w:t>’</w:t>
      </w:r>
      <w:r w:rsidRPr="00FF35A7">
        <w:rPr>
          <w:rFonts w:ascii="Times New Roman" w:hAnsi="Times New Roman"/>
          <w:color w:val="auto"/>
          <w:sz w:val="24"/>
          <w:lang w:val="el-GR"/>
        </w:rPr>
        <w:t>.</w:t>
      </w:r>
    </w:p>
    <w:p w:rsidR="005440F2" w:rsidRPr="00FF35A7" w:rsidRDefault="005440F2" w:rsidP="00B23525">
      <w:pPr>
        <w:pStyle w:val="a4"/>
        <w:ind w:right="-1"/>
        <w:jc w:val="both"/>
        <w:rPr>
          <w:rFonts w:ascii="Times New Roman" w:hAnsi="Times New Roman"/>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 xml:space="preserve">4.5 Αλληλεπιδράσεις με άλλα φαρμακευτικά προϊόντα και άλλες μορφές αλληλεπίδρασης </w:t>
      </w:r>
    </w:p>
    <w:p w:rsidR="000F49E8"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Δεν έχουν πραγματοποιηθεί μελέτες φαρμακοκινητικής αλληλεπίδρασης με το </w:t>
      </w:r>
      <w:proofErr w:type="spellStart"/>
      <w:r w:rsidR="0013600A" w:rsidRPr="00FF35A7">
        <w:rPr>
          <w:rFonts w:ascii="Times New Roman" w:hAnsi="Times New Roman"/>
          <w:color w:val="auto"/>
          <w:sz w:val="24"/>
        </w:rPr>
        <w:t>l</w:t>
      </w:r>
      <w:r w:rsidR="000F49E8" w:rsidRPr="00FF35A7">
        <w:rPr>
          <w:rFonts w:ascii="Times New Roman" w:hAnsi="Times New Roman"/>
          <w:color w:val="auto"/>
          <w:sz w:val="24"/>
        </w:rPr>
        <w:t>euprorelin</w:t>
      </w:r>
      <w:proofErr w:type="spellEnd"/>
      <w:r w:rsidR="000F49E8" w:rsidRPr="00FF35A7">
        <w:rPr>
          <w:rFonts w:ascii="Times New Roman" w:hAnsi="Times New Roman"/>
          <w:color w:val="auto"/>
          <w:sz w:val="24"/>
          <w:lang w:val="el-GR"/>
        </w:rPr>
        <w:t xml:space="preserve"> </w:t>
      </w:r>
      <w:r w:rsidR="000F49E8" w:rsidRPr="00FF35A7">
        <w:rPr>
          <w:rFonts w:ascii="Times New Roman" w:hAnsi="Times New Roman"/>
          <w:color w:val="auto"/>
          <w:sz w:val="24"/>
        </w:rPr>
        <w:t>acetate</w:t>
      </w:r>
      <w:r w:rsidRPr="00FF35A7">
        <w:rPr>
          <w:rFonts w:ascii="Times New Roman" w:hAnsi="Times New Roman"/>
          <w:color w:val="auto"/>
          <w:sz w:val="24"/>
          <w:lang w:val="el-GR"/>
        </w:rPr>
        <w:t xml:space="preserve">. Επειδή το </w:t>
      </w:r>
      <w:proofErr w:type="spellStart"/>
      <w:r w:rsidR="0013600A" w:rsidRPr="00FF35A7">
        <w:rPr>
          <w:rFonts w:ascii="Times New Roman" w:hAnsi="Times New Roman"/>
          <w:color w:val="auto"/>
          <w:sz w:val="24"/>
        </w:rPr>
        <w:t>l</w:t>
      </w:r>
      <w:r w:rsidRPr="00FF35A7">
        <w:rPr>
          <w:rFonts w:ascii="Times New Roman" w:hAnsi="Times New Roman"/>
          <w:color w:val="auto"/>
          <w:sz w:val="24"/>
        </w:rPr>
        <w:t>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είναι ένα πεπτίδιο που διασπάται </w:t>
      </w:r>
      <w:r w:rsidR="0013600A" w:rsidRPr="00FF35A7">
        <w:rPr>
          <w:rFonts w:ascii="Times New Roman" w:hAnsi="Times New Roman"/>
          <w:color w:val="auto"/>
          <w:sz w:val="24"/>
          <w:lang w:val="el-GR"/>
        </w:rPr>
        <w:t xml:space="preserve">κυρίως </w:t>
      </w:r>
      <w:r w:rsidRPr="00FF35A7">
        <w:rPr>
          <w:rFonts w:ascii="Times New Roman" w:hAnsi="Times New Roman"/>
          <w:color w:val="auto"/>
          <w:sz w:val="24"/>
          <w:lang w:val="el-GR"/>
        </w:rPr>
        <w:t xml:space="preserve">από την πεπτιδάση και όχι από τα ένζυμα του κυτοχρώματος </w:t>
      </w:r>
      <w:r w:rsidRPr="00FF35A7">
        <w:rPr>
          <w:rFonts w:ascii="Times New Roman" w:hAnsi="Times New Roman"/>
          <w:color w:val="auto"/>
          <w:sz w:val="24"/>
        </w:rPr>
        <w:t>P</w:t>
      </w:r>
      <w:r w:rsidRPr="00FF35A7">
        <w:rPr>
          <w:rFonts w:ascii="Times New Roman" w:hAnsi="Times New Roman"/>
          <w:color w:val="auto"/>
          <w:sz w:val="24"/>
          <w:lang w:val="el-GR"/>
        </w:rPr>
        <w:t>-450</w:t>
      </w:r>
      <w:r w:rsidR="0013600A" w:rsidRPr="00FF35A7">
        <w:rPr>
          <w:rFonts w:ascii="Times New Roman" w:hAnsi="Times New Roman"/>
          <w:color w:val="auto"/>
          <w:sz w:val="24"/>
          <w:lang w:val="el-GR"/>
        </w:rPr>
        <w:t>,</w:t>
      </w:r>
      <w:r w:rsidRPr="00FF35A7">
        <w:rPr>
          <w:rFonts w:ascii="Times New Roman" w:hAnsi="Times New Roman"/>
          <w:color w:val="auto"/>
          <w:sz w:val="24"/>
          <w:lang w:val="el-GR"/>
        </w:rPr>
        <w:t xml:space="preserve"> όπως έχει αναφερθεί σε ειδικές μελέτες, και επειδή το φάρμακο συνδέεται με τις πρωτεΐνες του πλάσματος σε ποσοστό της τάξεως του 46% μόνο, </w:t>
      </w:r>
      <w:r w:rsidR="00800332" w:rsidRPr="00FF35A7">
        <w:rPr>
          <w:rFonts w:ascii="Times New Roman" w:hAnsi="Times New Roman"/>
          <w:color w:val="auto"/>
          <w:sz w:val="24"/>
          <w:lang w:val="el-GR"/>
        </w:rPr>
        <w:t>δεν αναμένονται φαρμακοκινητικές αλληλεπιδράσεις του φαρμάκου</w:t>
      </w:r>
      <w:r w:rsidRPr="00FF35A7">
        <w:rPr>
          <w:rFonts w:ascii="Times New Roman" w:hAnsi="Times New Roman"/>
          <w:color w:val="auto"/>
          <w:sz w:val="24"/>
          <w:lang w:val="el-GR"/>
        </w:rPr>
        <w:t>.</w:t>
      </w:r>
    </w:p>
    <w:p w:rsidR="005440F2" w:rsidRPr="00FF35A7" w:rsidRDefault="005440F2" w:rsidP="00B23525">
      <w:pPr>
        <w:pStyle w:val="a4"/>
        <w:ind w:right="-1"/>
        <w:jc w:val="both"/>
        <w:rPr>
          <w:rFonts w:ascii="Times New Roman" w:hAnsi="Times New Roman"/>
          <w:color w:val="auto"/>
          <w:sz w:val="24"/>
          <w:lang w:val="el-GR"/>
        </w:rPr>
      </w:pPr>
    </w:p>
    <w:p w:rsidR="005440F2"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 xml:space="preserve">4.6  </w:t>
      </w:r>
      <w:r w:rsidR="000F49E8" w:rsidRPr="00FF35A7">
        <w:rPr>
          <w:rFonts w:ascii="Times New Roman" w:hAnsi="Times New Roman"/>
          <w:b/>
          <w:bCs/>
          <w:color w:val="auto"/>
          <w:sz w:val="24"/>
          <w:lang w:val="el-GR"/>
        </w:rPr>
        <w:t>Γονιμότητα, κ</w:t>
      </w:r>
      <w:r w:rsidRPr="00FF35A7">
        <w:rPr>
          <w:rFonts w:ascii="Times New Roman" w:hAnsi="Times New Roman"/>
          <w:b/>
          <w:bCs/>
          <w:color w:val="auto"/>
          <w:sz w:val="24"/>
          <w:lang w:val="el-GR"/>
        </w:rPr>
        <w:t>ύηση και γαλουχία</w:t>
      </w:r>
    </w:p>
    <w:p w:rsidR="00CF29F0" w:rsidRPr="00FF35A7" w:rsidRDefault="00CF29F0"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00332" w:rsidRPr="00FF35A7">
        <w:rPr>
          <w:rFonts w:ascii="Times New Roman" w:hAnsi="Times New Roman"/>
          <w:color w:val="auto"/>
          <w:sz w:val="24"/>
          <w:lang w:val="el-GR"/>
        </w:rPr>
        <w:t xml:space="preserve"> </w:t>
      </w:r>
      <w:r w:rsidR="00800332" w:rsidRPr="00FF35A7">
        <w:rPr>
          <w:rFonts w:ascii="Times New Roman" w:hAnsi="Times New Roman"/>
          <w:color w:val="auto"/>
          <w:sz w:val="24"/>
        </w:rPr>
        <w:t>Depot</w:t>
      </w:r>
      <w:r w:rsidRPr="00FF35A7">
        <w:rPr>
          <w:rFonts w:ascii="Times New Roman" w:hAnsi="Times New Roman"/>
          <w:color w:val="auto"/>
          <w:sz w:val="24"/>
          <w:lang w:val="el-GR"/>
        </w:rPr>
        <w:t xml:space="preserve"> 3</w:t>
      </w:r>
      <w:r w:rsidR="00800332" w:rsidRPr="00FF35A7">
        <w:rPr>
          <w:rFonts w:ascii="Times New Roman" w:hAnsi="Times New Roman"/>
          <w:color w:val="auto"/>
          <w:sz w:val="24"/>
          <w:lang w:val="el-GR"/>
        </w:rPr>
        <w:t>,</w:t>
      </w:r>
      <w:r w:rsidRPr="00FF35A7">
        <w:rPr>
          <w:rFonts w:ascii="Times New Roman" w:hAnsi="Times New Roman"/>
          <w:color w:val="auto"/>
          <w:sz w:val="24"/>
          <w:lang w:val="el-GR"/>
        </w:rPr>
        <w:t>75</w:t>
      </w:r>
      <w:r w:rsidRPr="00FF35A7">
        <w:rPr>
          <w:rFonts w:ascii="Times New Roman" w:hAnsi="Times New Roman"/>
          <w:color w:val="auto"/>
          <w:sz w:val="24"/>
        </w:rPr>
        <w:t>mg</w:t>
      </w:r>
      <w:r w:rsidRPr="00FF35A7">
        <w:rPr>
          <w:rFonts w:ascii="Times New Roman" w:hAnsi="Times New Roman"/>
          <w:color w:val="auto"/>
          <w:sz w:val="24"/>
          <w:lang w:val="el-GR"/>
        </w:rPr>
        <w:t xml:space="preserve"> δεν ενδείκνυται για χρήση σε γυναίκες.</w:t>
      </w:r>
    </w:p>
    <w:p w:rsidR="00CF29F0" w:rsidRPr="00FF35A7" w:rsidRDefault="00CF29F0"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Το ενέσιμο </w:t>
      </w:r>
      <w:proofErr w:type="spellStart"/>
      <w:r w:rsidR="0013600A" w:rsidRPr="00FF35A7">
        <w:rPr>
          <w:rFonts w:ascii="Times New Roman" w:hAnsi="Times New Roman"/>
          <w:color w:val="auto"/>
          <w:sz w:val="24"/>
        </w:rPr>
        <w:t>l</w:t>
      </w:r>
      <w:r w:rsidRPr="00FF35A7">
        <w:rPr>
          <w:rFonts w:ascii="Times New Roman" w:hAnsi="Times New Roman"/>
          <w:color w:val="auto"/>
          <w:sz w:val="24"/>
        </w:rPr>
        <w:t>euprorel</w:t>
      </w:r>
      <w:r w:rsidR="00FF35A7" w:rsidRPr="00FF35A7">
        <w:rPr>
          <w:rFonts w:ascii="Times New Roman" w:hAnsi="Times New Roman"/>
          <w:color w:val="auto"/>
          <w:sz w:val="24"/>
        </w:rPr>
        <w:t>i</w:t>
      </w:r>
      <w:r w:rsidRPr="00FF35A7">
        <w:rPr>
          <w:rFonts w:ascii="Times New Roman" w:hAnsi="Times New Roman"/>
          <w:color w:val="auto"/>
          <w:sz w:val="24"/>
        </w:rPr>
        <w:t>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μπορεί  να </w:t>
      </w:r>
      <w:r w:rsidR="008567C1" w:rsidRPr="00FF35A7">
        <w:rPr>
          <w:rFonts w:ascii="Times New Roman" w:hAnsi="Times New Roman"/>
          <w:color w:val="auto"/>
          <w:sz w:val="24"/>
          <w:lang w:val="el-GR"/>
        </w:rPr>
        <w:t xml:space="preserve">βλάψει το έμβρυο εάν χορηγηθεί σε έγκυο. Είναι πιθανό να </w:t>
      </w:r>
      <w:r w:rsidR="00B81B1E" w:rsidRPr="00FF35A7">
        <w:rPr>
          <w:rFonts w:ascii="Times New Roman" w:hAnsi="Times New Roman"/>
          <w:color w:val="auto"/>
          <w:sz w:val="24"/>
          <w:lang w:val="el-GR"/>
        </w:rPr>
        <w:t xml:space="preserve">συμβεί αυτόματη </w:t>
      </w:r>
      <w:r w:rsidR="008567C1" w:rsidRPr="00FF35A7">
        <w:rPr>
          <w:rFonts w:ascii="Times New Roman" w:hAnsi="Times New Roman"/>
          <w:color w:val="auto"/>
          <w:sz w:val="24"/>
          <w:lang w:val="el-GR"/>
        </w:rPr>
        <w:t>αποβολή όταν το φάρμακο χορηγείται κατά τη διάρκεια της εγκυμοσύνης.</w:t>
      </w:r>
    </w:p>
    <w:p w:rsidR="005440F2" w:rsidRPr="00FF35A7" w:rsidRDefault="005440F2" w:rsidP="00B23525">
      <w:pPr>
        <w:pStyle w:val="a4"/>
        <w:ind w:right="-1"/>
        <w:jc w:val="both"/>
        <w:rPr>
          <w:rFonts w:ascii="Times New Roman" w:hAnsi="Times New Roman"/>
          <w:color w:val="auto"/>
          <w:sz w:val="24"/>
          <w:lang w:val="el-GR"/>
        </w:rPr>
      </w:pPr>
    </w:p>
    <w:p w:rsidR="001F0829" w:rsidRPr="00FF35A7" w:rsidRDefault="005440F2" w:rsidP="00B23525">
      <w:pPr>
        <w:pStyle w:val="a4"/>
        <w:ind w:right="-1"/>
        <w:jc w:val="both"/>
        <w:rPr>
          <w:rFonts w:ascii="Times New Roman" w:hAnsi="Times New Roman"/>
          <w:color w:val="auto"/>
          <w:sz w:val="24"/>
          <w:lang w:val="el-GR"/>
        </w:rPr>
      </w:pPr>
      <w:r w:rsidRPr="00FF35A7">
        <w:rPr>
          <w:rFonts w:ascii="Times New Roman" w:hAnsi="Times New Roman"/>
          <w:b/>
          <w:bCs/>
          <w:color w:val="auto"/>
          <w:sz w:val="24"/>
          <w:lang w:val="el-GR"/>
        </w:rPr>
        <w:t>4.7 Επιδράσεις στην ικανότητα οδήγησης και χειρισμού μηχανών</w:t>
      </w:r>
    </w:p>
    <w:p w:rsidR="005440F2" w:rsidRPr="00FF35A7" w:rsidRDefault="00460B69"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Η ικανότητα οδήγησης και χειρισμού μηχανών μπορεί να επηρεαστεί λόγω ζάλης και </w:t>
      </w:r>
      <w:r w:rsidR="00B81B1E" w:rsidRPr="00FF35A7">
        <w:rPr>
          <w:rFonts w:ascii="Times New Roman" w:hAnsi="Times New Roman"/>
          <w:color w:val="auto"/>
          <w:sz w:val="24"/>
          <w:lang w:val="el-GR"/>
        </w:rPr>
        <w:t xml:space="preserve">οπτικών </w:t>
      </w:r>
      <w:r w:rsidR="00D059D4" w:rsidRPr="00FF35A7">
        <w:rPr>
          <w:rFonts w:ascii="Times New Roman" w:hAnsi="Times New Roman"/>
          <w:color w:val="auto"/>
          <w:sz w:val="24"/>
          <w:lang w:val="el-GR"/>
        </w:rPr>
        <w:t>διαταραχ</w:t>
      </w:r>
      <w:r w:rsidR="001F0829" w:rsidRPr="00FF35A7">
        <w:rPr>
          <w:rFonts w:ascii="Times New Roman" w:hAnsi="Times New Roman"/>
          <w:color w:val="auto"/>
          <w:sz w:val="24"/>
          <w:lang w:val="el-GR"/>
        </w:rPr>
        <w:t>ών</w:t>
      </w:r>
      <w:r w:rsidRPr="00FF35A7">
        <w:rPr>
          <w:rFonts w:ascii="Times New Roman" w:hAnsi="Times New Roman"/>
          <w:color w:val="auto"/>
          <w:sz w:val="24"/>
          <w:lang w:val="el-GR"/>
        </w:rPr>
        <w:t>.</w:t>
      </w:r>
    </w:p>
    <w:p w:rsidR="005440F2" w:rsidRPr="00FF35A7" w:rsidRDefault="005440F2" w:rsidP="00B23525">
      <w:pPr>
        <w:pStyle w:val="a4"/>
        <w:ind w:right="-1"/>
        <w:rPr>
          <w:rFonts w:ascii="Times New Roman" w:hAnsi="Times New Roman"/>
          <w:b/>
          <w:bCs/>
          <w:color w:val="auto"/>
          <w:sz w:val="24"/>
          <w:lang w:val="el-GR"/>
        </w:rPr>
      </w:pPr>
    </w:p>
    <w:p w:rsidR="005440F2" w:rsidRPr="00FF35A7" w:rsidRDefault="005440F2" w:rsidP="00B23525">
      <w:pPr>
        <w:pStyle w:val="a4"/>
        <w:ind w:right="-1"/>
        <w:rPr>
          <w:rFonts w:ascii="Times New Roman" w:hAnsi="Times New Roman"/>
          <w:color w:val="auto"/>
          <w:sz w:val="24"/>
          <w:lang w:val="el-GR"/>
        </w:rPr>
      </w:pPr>
      <w:r w:rsidRPr="00FF35A7">
        <w:rPr>
          <w:rFonts w:ascii="Times New Roman" w:hAnsi="Times New Roman"/>
          <w:b/>
          <w:bCs/>
          <w:color w:val="auto"/>
          <w:sz w:val="24"/>
          <w:lang w:val="el-GR"/>
        </w:rPr>
        <w:t>4.8 Ανεπιθύμητες ενέργειες</w:t>
      </w:r>
    </w:p>
    <w:p w:rsidR="00A21EC5" w:rsidRPr="00FF35A7" w:rsidRDefault="00E265AF"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Τ</w:t>
      </w:r>
      <w:r w:rsidR="00B81B1E" w:rsidRPr="00FF35A7">
        <w:rPr>
          <w:rFonts w:ascii="Times New Roman" w:hAnsi="Times New Roman"/>
          <w:color w:val="auto"/>
          <w:sz w:val="24"/>
          <w:lang w:val="el-GR"/>
        </w:rPr>
        <w:t>α</w:t>
      </w:r>
      <w:r w:rsidRPr="00FF35A7">
        <w:rPr>
          <w:rFonts w:ascii="Times New Roman" w:hAnsi="Times New Roman"/>
          <w:color w:val="auto"/>
          <w:sz w:val="24"/>
          <w:lang w:val="el-GR"/>
        </w:rPr>
        <w:t xml:space="preserve"> </w:t>
      </w:r>
      <w:r w:rsidR="00A21EC5" w:rsidRPr="00FF35A7">
        <w:rPr>
          <w:rFonts w:ascii="Times New Roman" w:hAnsi="Times New Roman"/>
          <w:color w:val="auto"/>
          <w:sz w:val="24"/>
          <w:lang w:val="el-GR"/>
        </w:rPr>
        <w:t xml:space="preserve">παρακάτω </w:t>
      </w:r>
      <w:r w:rsidR="00B81B1E" w:rsidRPr="00FF35A7">
        <w:rPr>
          <w:rFonts w:ascii="Times New Roman" w:hAnsi="Times New Roman"/>
          <w:color w:val="auto"/>
          <w:sz w:val="24"/>
          <w:lang w:val="el-GR"/>
        </w:rPr>
        <w:t>χαρακτηριστικά</w:t>
      </w:r>
      <w:r w:rsidRPr="00FF35A7">
        <w:rPr>
          <w:rFonts w:ascii="Times New Roman" w:hAnsi="Times New Roman"/>
          <w:color w:val="auto"/>
          <w:sz w:val="24"/>
          <w:lang w:val="el-GR"/>
        </w:rPr>
        <w:t xml:space="preserve"> ασφαλείας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00332" w:rsidRPr="00FF35A7">
        <w:rPr>
          <w:rFonts w:ascii="Times New Roman" w:hAnsi="Times New Roman"/>
          <w:color w:val="auto"/>
          <w:sz w:val="24"/>
          <w:lang w:val="el-GR"/>
        </w:rPr>
        <w:t xml:space="preserve"> </w:t>
      </w:r>
      <w:r w:rsidR="00800332" w:rsidRPr="00FF35A7">
        <w:rPr>
          <w:rFonts w:ascii="Times New Roman" w:hAnsi="Times New Roman"/>
          <w:color w:val="auto"/>
          <w:sz w:val="24"/>
        </w:rPr>
        <w:t>Depot</w:t>
      </w:r>
      <w:r w:rsidR="00145649" w:rsidRPr="00FF35A7">
        <w:rPr>
          <w:rFonts w:ascii="Times New Roman" w:hAnsi="Times New Roman"/>
          <w:color w:val="auto"/>
          <w:sz w:val="24"/>
          <w:lang w:val="el-GR"/>
        </w:rPr>
        <w:t xml:space="preserve"> </w:t>
      </w:r>
      <w:r w:rsidRPr="00FF35A7">
        <w:rPr>
          <w:rFonts w:ascii="Times New Roman" w:hAnsi="Times New Roman"/>
          <w:color w:val="auto"/>
          <w:sz w:val="24"/>
          <w:lang w:val="el-GR"/>
        </w:rPr>
        <w:t>βασίζ</w:t>
      </w:r>
      <w:r w:rsidR="00B81B1E" w:rsidRPr="00FF35A7">
        <w:rPr>
          <w:rFonts w:ascii="Times New Roman" w:hAnsi="Times New Roman"/>
          <w:color w:val="auto"/>
          <w:sz w:val="24"/>
          <w:lang w:val="el-GR"/>
        </w:rPr>
        <w:t>ον</w:t>
      </w:r>
      <w:r w:rsidRPr="00FF35A7">
        <w:rPr>
          <w:rFonts w:ascii="Times New Roman" w:hAnsi="Times New Roman"/>
          <w:color w:val="auto"/>
          <w:sz w:val="24"/>
          <w:lang w:val="el-GR"/>
        </w:rPr>
        <w:t>ται στα αποτελέσματα μίας κλινικής δοκιμής Φάσης ΙΙΙ, όπου</w:t>
      </w:r>
      <w:r w:rsidR="007B5649" w:rsidRPr="00FF35A7">
        <w:rPr>
          <w:rFonts w:ascii="Times New Roman" w:hAnsi="Times New Roman"/>
          <w:color w:val="auto"/>
          <w:sz w:val="24"/>
          <w:lang w:val="el-GR"/>
        </w:rPr>
        <w:t xml:space="preserve"> </w:t>
      </w:r>
      <w:r w:rsidRPr="00FF35A7">
        <w:rPr>
          <w:rFonts w:ascii="Times New Roman" w:hAnsi="Times New Roman"/>
          <w:color w:val="auto"/>
          <w:sz w:val="24"/>
          <w:lang w:val="el-GR"/>
        </w:rPr>
        <w:t xml:space="preserve">ασθενείς με καρκίνο του προστάτου </w:t>
      </w:r>
      <w:r w:rsidR="007B5649" w:rsidRPr="00FF35A7">
        <w:rPr>
          <w:rFonts w:ascii="Times New Roman" w:hAnsi="Times New Roman"/>
          <w:color w:val="auto"/>
          <w:sz w:val="24"/>
          <w:lang w:val="el-GR"/>
        </w:rPr>
        <w:t>έλαβαν θεραπεία έξι μηνιαί</w:t>
      </w:r>
      <w:r w:rsidR="00145649" w:rsidRPr="00FF35A7">
        <w:rPr>
          <w:rFonts w:ascii="Times New Roman" w:hAnsi="Times New Roman"/>
          <w:color w:val="auto"/>
          <w:sz w:val="24"/>
          <w:lang w:val="el-GR"/>
        </w:rPr>
        <w:t>ων</w:t>
      </w:r>
      <w:r w:rsidR="007B5649" w:rsidRPr="00FF35A7">
        <w:rPr>
          <w:rFonts w:ascii="Times New Roman" w:hAnsi="Times New Roman"/>
          <w:color w:val="auto"/>
          <w:sz w:val="24"/>
          <w:lang w:val="el-GR"/>
        </w:rPr>
        <w:t xml:space="preserve"> δόσε</w:t>
      </w:r>
      <w:r w:rsidR="00145649" w:rsidRPr="00FF35A7">
        <w:rPr>
          <w:rFonts w:ascii="Times New Roman" w:hAnsi="Times New Roman"/>
          <w:color w:val="auto"/>
          <w:sz w:val="24"/>
          <w:lang w:val="el-GR"/>
        </w:rPr>
        <w:t>ων</w:t>
      </w:r>
      <w:r w:rsidR="007B5649" w:rsidRPr="00FF35A7">
        <w:rPr>
          <w:rFonts w:ascii="Times New Roman" w:hAnsi="Times New Roman"/>
          <w:color w:val="auto"/>
          <w:sz w:val="24"/>
          <w:lang w:val="el-GR"/>
        </w:rPr>
        <w:t xml:space="preserve"> </w:t>
      </w:r>
      <w:r w:rsidR="00833418">
        <w:rPr>
          <w:rFonts w:ascii="Times New Roman" w:hAnsi="Times New Roman"/>
          <w:color w:val="auto"/>
          <w:sz w:val="24"/>
          <w:lang w:val="es-ES"/>
        </w:rPr>
        <w:t>Lutrate</w:t>
      </w:r>
      <w:r w:rsidR="00833418" w:rsidRPr="00833418">
        <w:rPr>
          <w:rFonts w:ascii="Times New Roman" w:hAnsi="Times New Roman"/>
          <w:color w:val="auto"/>
          <w:sz w:val="24"/>
          <w:vertAlign w:val="superscript"/>
          <w:lang w:val="es-ES"/>
        </w:rPr>
        <w:t>®</w:t>
      </w:r>
      <w:r w:rsidR="00800332" w:rsidRPr="00FF35A7">
        <w:rPr>
          <w:rFonts w:ascii="Times New Roman" w:hAnsi="Times New Roman"/>
          <w:color w:val="auto"/>
          <w:sz w:val="24"/>
          <w:lang w:val="el-GR"/>
        </w:rPr>
        <w:t xml:space="preserve"> </w:t>
      </w:r>
      <w:r w:rsidR="00800332" w:rsidRPr="00FF35A7">
        <w:rPr>
          <w:rFonts w:ascii="Times New Roman" w:hAnsi="Times New Roman"/>
          <w:color w:val="auto"/>
          <w:sz w:val="24"/>
          <w:lang w:val="es-ES"/>
        </w:rPr>
        <w:t>Depot</w:t>
      </w:r>
      <w:r w:rsidR="00A21EC5" w:rsidRPr="00FF35A7">
        <w:rPr>
          <w:rFonts w:ascii="Times New Roman" w:hAnsi="Times New Roman"/>
          <w:color w:val="auto"/>
          <w:sz w:val="24"/>
          <w:lang w:val="el-GR"/>
        </w:rPr>
        <w:t xml:space="preserve"> με ενδομυϊκή ένεση</w:t>
      </w:r>
      <w:r w:rsidR="00C975E2" w:rsidRPr="00FF35A7">
        <w:rPr>
          <w:rFonts w:ascii="Times New Roman" w:hAnsi="Times New Roman"/>
          <w:color w:val="auto"/>
          <w:sz w:val="24"/>
          <w:lang w:val="el-GR"/>
        </w:rPr>
        <w:t xml:space="preserve">. Οι ασθενείς παρέμειναν υπό παρακολούθηση για 26 εβδομάδες συνολικά. </w:t>
      </w:r>
      <w:r w:rsidR="00A21EC5" w:rsidRPr="00FF35A7">
        <w:rPr>
          <w:rFonts w:ascii="Times New Roman" w:hAnsi="Times New Roman"/>
          <w:color w:val="auto"/>
          <w:sz w:val="24"/>
          <w:lang w:val="el-GR"/>
        </w:rPr>
        <w:t xml:space="preserve">Οι περισσότερες ανεπιθύμητες ενέργειες που αναφέρθηκαν σε σχέση με τη θεραπεία ήταν όμοιες με αυτές που αναφέρονται συνήθως σε θεραπείες καταστολής της τεστοστερόνης. </w:t>
      </w:r>
    </w:p>
    <w:p w:rsidR="00145649" w:rsidRPr="00FF35A7" w:rsidRDefault="00A21EC5"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t xml:space="preserve">Οι ανεπιθύμητες ενέργειες που αναφέρονται συχνότερα με 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00332" w:rsidRPr="00FF35A7">
        <w:rPr>
          <w:rFonts w:ascii="Times New Roman" w:hAnsi="Times New Roman"/>
          <w:color w:val="auto"/>
          <w:sz w:val="24"/>
          <w:lang w:val="el-GR"/>
        </w:rPr>
        <w:t xml:space="preserve"> </w:t>
      </w:r>
      <w:r w:rsidR="00800332" w:rsidRPr="00FF35A7">
        <w:rPr>
          <w:rFonts w:ascii="Times New Roman" w:hAnsi="Times New Roman"/>
          <w:color w:val="auto"/>
          <w:sz w:val="24"/>
        </w:rPr>
        <w:t>Depot</w:t>
      </w:r>
      <w:r w:rsidRPr="00FF35A7">
        <w:rPr>
          <w:rFonts w:ascii="Times New Roman" w:hAnsi="Times New Roman"/>
          <w:color w:val="auto"/>
          <w:sz w:val="24"/>
          <w:lang w:val="el-GR"/>
        </w:rPr>
        <w:t xml:space="preserve">, είναι οι εξάψεις, ο πόνος στο σημείο της ένεσης, ο ερεθισμός στο σημείο της ένεσης, η νυχτερινή εφίδρωση και η κεφαλαλγία. </w:t>
      </w:r>
    </w:p>
    <w:p w:rsidR="00145649" w:rsidRPr="00FF35A7" w:rsidRDefault="00145649" w:rsidP="00B23525">
      <w:pPr>
        <w:pStyle w:val="a4"/>
        <w:ind w:right="-1"/>
        <w:jc w:val="both"/>
        <w:rPr>
          <w:rFonts w:ascii="Times New Roman" w:hAnsi="Times New Roman"/>
          <w:color w:val="auto"/>
          <w:sz w:val="24"/>
          <w:lang w:val="el-GR"/>
        </w:rPr>
      </w:pPr>
    </w:p>
    <w:p w:rsidR="005E52FD" w:rsidRPr="00FF35A7" w:rsidRDefault="00145649" w:rsidP="00B23525">
      <w:pPr>
        <w:pStyle w:val="a4"/>
        <w:ind w:right="-1"/>
        <w:jc w:val="both"/>
        <w:rPr>
          <w:rFonts w:ascii="Times New Roman" w:hAnsi="Times New Roman"/>
          <w:color w:val="auto"/>
          <w:sz w:val="24"/>
          <w:lang w:val="el-GR"/>
        </w:rPr>
      </w:pPr>
      <w:r w:rsidRPr="00FF35A7">
        <w:rPr>
          <w:rFonts w:ascii="Times New Roman" w:hAnsi="Times New Roman"/>
          <w:color w:val="auto"/>
          <w:sz w:val="24"/>
          <w:lang w:val="el-GR"/>
        </w:rPr>
        <w:lastRenderedPageBreak/>
        <w:t>Οι ανεπιθύμητες ενέργειες που προέκυψαν από τις κλινικές έρευνες, παρουσιάζονται στον παρακάτω πίνακα ανά κατηγορία οργανικού συστήματος και με φθίνουσα συχνότητα εμφάνισης (</w:t>
      </w:r>
      <w:r w:rsidR="00B5122C" w:rsidRPr="00FF35A7">
        <w:rPr>
          <w:rFonts w:ascii="Times New Roman" w:hAnsi="Times New Roman"/>
          <w:color w:val="auto"/>
          <w:sz w:val="24"/>
          <w:lang w:val="el-GR"/>
        </w:rPr>
        <w:t>πολύ συχνές</w:t>
      </w:r>
      <w:r w:rsidR="00B5122C" w:rsidRPr="00FF35A7">
        <w:rPr>
          <w:rFonts w:ascii="Times New Roman" w:hAnsi="Times New Roman"/>
          <w:color w:val="auto"/>
          <w:sz w:val="24"/>
          <w:lang w:val="el-GR"/>
        </w:rPr>
        <w:tab/>
        <w:t xml:space="preserve">: </w:t>
      </w:r>
      <w:r w:rsidR="00B5122C" w:rsidRPr="00FF35A7">
        <w:rPr>
          <w:rFonts w:ascii="Times New Roman" w:hAnsi="Times New Roman"/>
          <w:color w:val="auto"/>
          <w:sz w:val="24"/>
          <w:u w:val="single"/>
          <w:lang w:val="el-GR"/>
        </w:rPr>
        <w:t>&gt;</w:t>
      </w:r>
      <w:r w:rsidR="00B5122C" w:rsidRPr="00FF35A7">
        <w:rPr>
          <w:rFonts w:ascii="Times New Roman" w:hAnsi="Times New Roman"/>
          <w:color w:val="auto"/>
          <w:sz w:val="24"/>
          <w:lang w:val="el-GR"/>
        </w:rPr>
        <w:t xml:space="preserve">1/10; συχνές: </w:t>
      </w:r>
      <w:r w:rsidR="00B5122C" w:rsidRPr="00FF35A7">
        <w:rPr>
          <w:rFonts w:ascii="Times New Roman" w:hAnsi="Times New Roman"/>
          <w:color w:val="auto"/>
          <w:sz w:val="24"/>
          <w:u w:val="single"/>
          <w:lang w:val="el-GR"/>
        </w:rPr>
        <w:t>&gt;</w:t>
      </w:r>
      <w:r w:rsidR="00B5122C" w:rsidRPr="00FF35A7">
        <w:rPr>
          <w:rFonts w:ascii="Times New Roman" w:hAnsi="Times New Roman"/>
          <w:color w:val="auto"/>
          <w:sz w:val="24"/>
          <w:lang w:val="el-GR"/>
        </w:rPr>
        <w:t xml:space="preserve">1/100 με &lt;1/10; </w:t>
      </w:r>
      <w:r w:rsidR="00B81B1E" w:rsidRPr="00FF35A7">
        <w:rPr>
          <w:rFonts w:ascii="Times New Roman" w:hAnsi="Times New Roman"/>
          <w:color w:val="auto"/>
          <w:sz w:val="24"/>
          <w:lang w:val="el-GR"/>
        </w:rPr>
        <w:t>μη-</w:t>
      </w:r>
      <w:r w:rsidR="00B5122C" w:rsidRPr="00FF35A7">
        <w:rPr>
          <w:rFonts w:ascii="Times New Roman" w:hAnsi="Times New Roman"/>
          <w:color w:val="auto"/>
          <w:sz w:val="24"/>
          <w:lang w:val="el-GR"/>
        </w:rPr>
        <w:t xml:space="preserve">συχνές: </w:t>
      </w:r>
      <w:r w:rsidR="00B5122C" w:rsidRPr="00FF35A7">
        <w:rPr>
          <w:rFonts w:ascii="Times New Roman" w:hAnsi="Times New Roman"/>
          <w:color w:val="auto"/>
          <w:sz w:val="24"/>
          <w:u w:val="single"/>
          <w:lang w:val="el-GR"/>
        </w:rPr>
        <w:t>&gt;</w:t>
      </w:r>
      <w:r w:rsidR="00B5122C" w:rsidRPr="00FF35A7">
        <w:rPr>
          <w:rFonts w:ascii="Times New Roman" w:hAnsi="Times New Roman"/>
          <w:color w:val="auto"/>
          <w:sz w:val="24"/>
          <w:lang w:val="el-GR"/>
        </w:rPr>
        <w:t>1/1000 εώς &lt;1/100; σπάνιες</w:t>
      </w:r>
      <w:r w:rsidR="00B5122C" w:rsidRPr="00FF35A7">
        <w:rPr>
          <w:rFonts w:ascii="Times New Roman" w:hAnsi="Times New Roman"/>
          <w:color w:val="auto"/>
          <w:sz w:val="24"/>
          <w:lang w:val="el-GR"/>
        </w:rPr>
        <w:tab/>
        <w:t xml:space="preserve">: </w:t>
      </w:r>
      <w:r w:rsidR="00B5122C" w:rsidRPr="00FF35A7">
        <w:rPr>
          <w:rFonts w:ascii="Times New Roman" w:hAnsi="Times New Roman"/>
          <w:color w:val="auto"/>
          <w:sz w:val="24"/>
          <w:u w:val="single"/>
          <w:lang w:val="el-GR"/>
        </w:rPr>
        <w:t>&gt;</w:t>
      </w:r>
      <w:r w:rsidR="00B5122C" w:rsidRPr="00FF35A7">
        <w:rPr>
          <w:rFonts w:ascii="Times New Roman" w:hAnsi="Times New Roman"/>
          <w:color w:val="auto"/>
          <w:sz w:val="24"/>
          <w:lang w:val="el-GR"/>
        </w:rPr>
        <w:t>1/10000 εώς &lt;1/1000; πολύ σπάνιες: &lt;1/10000).</w:t>
      </w:r>
    </w:p>
    <w:p w:rsidR="00C975E2" w:rsidRPr="00FF35A7" w:rsidRDefault="00C975E2" w:rsidP="00B23525">
      <w:pPr>
        <w:pStyle w:val="a4"/>
        <w:ind w:right="-1"/>
        <w:jc w:val="both"/>
        <w:rPr>
          <w:rFonts w:ascii="Times New Roman" w:hAnsi="Times New Roman"/>
          <w:color w:val="auto"/>
          <w:sz w:val="24"/>
          <w:lang w:val="el-GR"/>
        </w:rPr>
      </w:pPr>
    </w:p>
    <w:p w:rsidR="005E52FD" w:rsidRPr="00FF35A7" w:rsidRDefault="005E52FD" w:rsidP="00B23525">
      <w:pPr>
        <w:pStyle w:val="a4"/>
        <w:ind w:right="-1"/>
        <w:jc w:val="both"/>
        <w:rPr>
          <w:rFonts w:ascii="Times New Roman" w:hAnsi="Times New Roman"/>
          <w:b/>
          <w:color w:val="auto"/>
          <w:sz w:val="24"/>
          <w:lang w:val="el-GR"/>
        </w:rPr>
      </w:pPr>
      <w:r w:rsidRPr="00FF35A7">
        <w:rPr>
          <w:rFonts w:ascii="Times New Roman" w:hAnsi="Times New Roman"/>
          <w:b/>
          <w:color w:val="auto"/>
          <w:sz w:val="24"/>
          <w:lang w:val="el-GR"/>
        </w:rPr>
        <w:t xml:space="preserve">Πίνακας1. Αριθμός και συχνότητα των ανεπιθύμητων ενεργειών κατά τη θεραπεία με </w:t>
      </w:r>
      <w:proofErr w:type="spellStart"/>
      <w:r w:rsidR="00833418">
        <w:rPr>
          <w:rFonts w:ascii="Times New Roman" w:hAnsi="Times New Roman"/>
          <w:b/>
          <w:color w:val="auto"/>
          <w:sz w:val="24"/>
        </w:rPr>
        <w:t>Lutrate</w:t>
      </w:r>
      <w:proofErr w:type="spellEnd"/>
      <w:r w:rsidR="00833418" w:rsidRPr="00833418">
        <w:rPr>
          <w:rFonts w:ascii="Times New Roman" w:hAnsi="Times New Roman"/>
          <w:b/>
          <w:color w:val="auto"/>
          <w:sz w:val="24"/>
          <w:vertAlign w:val="superscript"/>
          <w:lang w:val="el-GR"/>
        </w:rPr>
        <w:t>®</w:t>
      </w:r>
      <w:r w:rsidR="00800332" w:rsidRPr="00FF35A7">
        <w:rPr>
          <w:rFonts w:ascii="Times New Roman" w:hAnsi="Times New Roman"/>
          <w:b/>
          <w:color w:val="auto"/>
          <w:sz w:val="24"/>
          <w:lang w:val="el-GR"/>
        </w:rPr>
        <w:t xml:space="preserve"> </w:t>
      </w:r>
      <w:r w:rsidR="00800332" w:rsidRPr="00FF35A7">
        <w:rPr>
          <w:rFonts w:ascii="Times New Roman" w:hAnsi="Times New Roman"/>
          <w:b/>
          <w:color w:val="auto"/>
          <w:sz w:val="24"/>
        </w:rPr>
        <w:t>Depot</w:t>
      </w:r>
      <w:r w:rsidR="005036E5" w:rsidRPr="00FF35A7">
        <w:rPr>
          <w:rFonts w:ascii="Times New Roman" w:hAnsi="Times New Roman"/>
          <w:b/>
          <w:color w:val="auto"/>
          <w:sz w:val="24"/>
          <w:lang w:val="el-GR"/>
        </w:rPr>
        <w:t xml:space="preserve"> 3</w:t>
      </w:r>
      <w:r w:rsidR="00800332" w:rsidRPr="00FF35A7">
        <w:rPr>
          <w:rFonts w:ascii="Times New Roman" w:hAnsi="Times New Roman"/>
          <w:b/>
          <w:color w:val="auto"/>
          <w:sz w:val="24"/>
          <w:lang w:val="el-GR"/>
        </w:rPr>
        <w:t>,</w:t>
      </w:r>
      <w:r w:rsidR="005036E5" w:rsidRPr="00FF35A7">
        <w:rPr>
          <w:rFonts w:ascii="Times New Roman" w:hAnsi="Times New Roman"/>
          <w:b/>
          <w:color w:val="auto"/>
          <w:sz w:val="24"/>
          <w:lang w:val="el-GR"/>
        </w:rPr>
        <w:t>75</w:t>
      </w:r>
      <w:r w:rsidR="005036E5" w:rsidRPr="00FF35A7">
        <w:rPr>
          <w:rFonts w:ascii="Times New Roman" w:hAnsi="Times New Roman"/>
          <w:b/>
          <w:color w:val="auto"/>
          <w:sz w:val="24"/>
        </w:rPr>
        <w:t>mg</w:t>
      </w:r>
      <w:r w:rsidRPr="00FF35A7">
        <w:rPr>
          <w:rFonts w:ascii="Times New Roman" w:hAnsi="Times New Roman"/>
          <w:b/>
          <w:color w:val="auto"/>
          <w:sz w:val="24"/>
          <w:lang w:val="el-GR"/>
        </w:rPr>
        <w:t>.</w:t>
      </w:r>
    </w:p>
    <w:p w:rsidR="00B5122C" w:rsidRPr="00FF35A7" w:rsidRDefault="00B5122C" w:rsidP="00B23525">
      <w:pPr>
        <w:pStyle w:val="a4"/>
        <w:ind w:right="-1"/>
        <w:jc w:val="both"/>
        <w:rPr>
          <w:rFonts w:ascii="Times New Roman" w:hAnsi="Times New Roman"/>
          <w:color w:val="auto"/>
          <w:sz w:val="24"/>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800332" w:rsidRPr="00FF35A7" w:rsidTr="00B27F78">
        <w:trPr>
          <w:trHeight w:val="703"/>
          <w:jc w:val="center"/>
        </w:trPr>
        <w:tc>
          <w:tcPr>
            <w:tcW w:w="8613" w:type="dxa"/>
            <w:vAlign w:val="center"/>
          </w:tcPr>
          <w:p w:rsidR="00800332" w:rsidRPr="00FF35A7" w:rsidRDefault="00800332" w:rsidP="00B23525">
            <w:pPr>
              <w:jc w:val="both"/>
              <w:rPr>
                <w:b/>
                <w:vertAlign w:val="superscript"/>
              </w:rPr>
            </w:pPr>
            <w:proofErr w:type="spellStart"/>
            <w:r w:rsidRPr="00FF35A7">
              <w:rPr>
                <w:b/>
              </w:rPr>
              <w:t>Κατηγορία</w:t>
            </w:r>
            <w:proofErr w:type="spellEnd"/>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Κατηγορία οργανικού συστήματος (</w:t>
            </w:r>
            <w:r w:rsidRPr="00FF35A7">
              <w:rPr>
                <w:b/>
              </w:rPr>
              <w:t>SOC</w:t>
            </w:r>
            <w:r w:rsidRPr="00FF35A7">
              <w:rPr>
                <w:b/>
                <w:lang w:val="el-GR"/>
              </w:rPr>
              <w:t>)</w:t>
            </w:r>
          </w:p>
          <w:p w:rsidR="00800332" w:rsidRPr="00FF35A7" w:rsidRDefault="00800332" w:rsidP="00B23525">
            <w:pPr>
              <w:ind w:left="515"/>
              <w:jc w:val="both"/>
              <w:rPr>
                <w:lang w:val="el-GR"/>
              </w:rPr>
            </w:pPr>
            <w:r w:rsidRPr="00FF35A7">
              <w:rPr>
                <w:lang w:val="el-GR"/>
              </w:rPr>
              <w:t>Συχνότητα: Προτιμώμενοι όροι (</w:t>
            </w:r>
            <w:r w:rsidRPr="00FF35A7">
              <w:t>PT</w:t>
            </w:r>
            <w:r w:rsidRPr="00FF35A7">
              <w:rPr>
                <w:lang w:val="el-GR"/>
              </w:rPr>
              <w:t>)</w:t>
            </w:r>
          </w:p>
        </w:tc>
      </w:tr>
      <w:tr w:rsidR="00800332" w:rsidRPr="00643CAD" w:rsidTr="00B27F78">
        <w:trPr>
          <w:trHeight w:val="703"/>
          <w:jc w:val="center"/>
        </w:trPr>
        <w:tc>
          <w:tcPr>
            <w:tcW w:w="8613" w:type="dxa"/>
          </w:tcPr>
          <w:p w:rsidR="00800332" w:rsidRPr="00FF35A7" w:rsidRDefault="00800332" w:rsidP="00B23525">
            <w:pPr>
              <w:jc w:val="both"/>
              <w:rPr>
                <w:lang w:val="el-GR"/>
              </w:rPr>
            </w:pPr>
            <w:r w:rsidRPr="00FF35A7">
              <w:rPr>
                <w:b/>
                <w:lang w:val="el-GR"/>
              </w:rPr>
              <w:t>Διαταραχές μεταβολισμού και διατροφής</w:t>
            </w:r>
          </w:p>
          <w:p w:rsidR="00800332" w:rsidRPr="00FF35A7" w:rsidRDefault="00800332" w:rsidP="00B23525">
            <w:pPr>
              <w:ind w:left="515"/>
              <w:jc w:val="both"/>
              <w:rPr>
                <w:lang w:val="el-GR"/>
              </w:rPr>
            </w:pPr>
            <w:r w:rsidRPr="00FF35A7">
              <w:rPr>
                <w:lang w:val="el-GR"/>
              </w:rPr>
              <w:t xml:space="preserve"> Συχνές: αυξημένη όρεξη</w:t>
            </w:r>
          </w:p>
          <w:p w:rsidR="00800332" w:rsidRPr="00FF35A7" w:rsidDel="00DE4023" w:rsidRDefault="00B81B1E" w:rsidP="00B23525">
            <w:pPr>
              <w:ind w:left="515"/>
              <w:jc w:val="both"/>
              <w:rPr>
                <w:b/>
                <w:lang w:val="el-GR"/>
              </w:rPr>
            </w:pPr>
            <w:r w:rsidRPr="00FF35A7">
              <w:rPr>
                <w:lang w:val="el-GR"/>
              </w:rPr>
              <w:t>Μη-σ</w:t>
            </w:r>
            <w:r w:rsidR="00800332" w:rsidRPr="00FF35A7">
              <w:rPr>
                <w:lang w:val="el-GR"/>
              </w:rPr>
              <w:t xml:space="preserve">υχνές: ανορεξία, </w:t>
            </w:r>
            <w:r w:rsidR="00FF35A7">
              <w:rPr>
                <w:lang w:val="el-GR"/>
              </w:rPr>
              <w:t>υ</w:t>
            </w:r>
            <w:r w:rsidR="00FF35A7" w:rsidRPr="00FF35A7">
              <w:rPr>
                <w:lang w:val="el-GR"/>
              </w:rPr>
              <w:t>περχοληστεριναιμία</w:t>
            </w:r>
            <w:r w:rsidR="00800332" w:rsidRPr="00FF35A7">
              <w:rPr>
                <w:lang w:val="el-GR"/>
              </w:rPr>
              <w:t>, υπερλιπιδαιμία</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Ψυχιατρικές διαταραχές</w:t>
            </w:r>
          </w:p>
          <w:p w:rsidR="00800332" w:rsidRPr="00FF35A7" w:rsidDel="00DE4023" w:rsidRDefault="00B81B1E" w:rsidP="00B23525">
            <w:pPr>
              <w:ind w:left="515"/>
              <w:jc w:val="both"/>
              <w:rPr>
                <w:b/>
                <w:lang w:val="el-GR"/>
              </w:rPr>
            </w:pPr>
            <w:r w:rsidRPr="00FF35A7">
              <w:rPr>
                <w:lang w:val="el-GR"/>
              </w:rPr>
              <w:t>Μη-σ</w:t>
            </w:r>
            <w:r w:rsidR="00800332" w:rsidRPr="00FF35A7">
              <w:rPr>
                <w:lang w:val="el-GR"/>
              </w:rPr>
              <w:t xml:space="preserve">υχνές: διαταραχές στον ύπνο, αϋπνία, μειωμένη </w:t>
            </w:r>
            <w:r w:rsidR="00800332" w:rsidRPr="00FF35A7">
              <w:t>libido</w:t>
            </w:r>
            <w:r w:rsidR="00800332" w:rsidRPr="00FF35A7">
              <w:rPr>
                <w:lang w:val="el-GR"/>
              </w:rPr>
              <w:t>, αλλαγές διάθεσης και κατάθλιψη*</w:t>
            </w:r>
          </w:p>
        </w:tc>
      </w:tr>
      <w:tr w:rsidR="00800332" w:rsidRPr="00FF35A7"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νευρικού συστήματος</w:t>
            </w:r>
          </w:p>
          <w:p w:rsidR="00800332" w:rsidRPr="00FF35A7" w:rsidRDefault="00800332" w:rsidP="00B23525">
            <w:pPr>
              <w:ind w:left="515"/>
              <w:jc w:val="both"/>
              <w:rPr>
                <w:lang w:val="el-GR"/>
              </w:rPr>
            </w:pPr>
            <w:r w:rsidRPr="00FF35A7">
              <w:rPr>
                <w:lang w:val="el-GR"/>
              </w:rPr>
              <w:t>Συχνές: κεφαλαλγία</w:t>
            </w:r>
          </w:p>
          <w:p w:rsidR="00800332" w:rsidRPr="00FF35A7" w:rsidDel="00DE4023" w:rsidRDefault="00B81B1E" w:rsidP="00B23525">
            <w:pPr>
              <w:ind w:left="515"/>
              <w:jc w:val="both"/>
              <w:rPr>
                <w:b/>
              </w:rPr>
            </w:pPr>
            <w:proofErr w:type="spellStart"/>
            <w:r w:rsidRPr="00FF35A7">
              <w:t>Μη-σ</w:t>
            </w:r>
            <w:r w:rsidR="00800332" w:rsidRPr="00FF35A7">
              <w:t>υχνές</w:t>
            </w:r>
            <w:proofErr w:type="spellEnd"/>
            <w:r w:rsidR="00800332" w:rsidRPr="00FF35A7">
              <w:t xml:space="preserve">: </w:t>
            </w:r>
            <w:proofErr w:type="spellStart"/>
            <w:r w:rsidR="00800332" w:rsidRPr="00FF35A7">
              <w:t>υπνηλία</w:t>
            </w:r>
            <w:proofErr w:type="spellEnd"/>
          </w:p>
        </w:tc>
      </w:tr>
      <w:tr w:rsidR="00800332" w:rsidRPr="00FF35A7"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ωτός και του λαβυρίνθου</w:t>
            </w:r>
          </w:p>
          <w:p w:rsidR="00800332" w:rsidRPr="00FF35A7" w:rsidDel="00DE4023" w:rsidRDefault="00B81B1E" w:rsidP="00B23525">
            <w:pPr>
              <w:ind w:left="515"/>
              <w:jc w:val="both"/>
              <w:rPr>
                <w:b/>
              </w:rPr>
            </w:pPr>
            <w:proofErr w:type="spellStart"/>
            <w:r w:rsidRPr="00FF35A7">
              <w:t>Μη-σ</w:t>
            </w:r>
            <w:r w:rsidR="00800332" w:rsidRPr="00FF35A7">
              <w:t>υχνές</w:t>
            </w:r>
            <w:proofErr w:type="spellEnd"/>
            <w:r w:rsidR="00800332" w:rsidRPr="00FF35A7">
              <w:t xml:space="preserve">: </w:t>
            </w:r>
            <w:proofErr w:type="spellStart"/>
            <w:r w:rsidR="00800332" w:rsidRPr="00FF35A7">
              <w:t>ίλιγγος</w:t>
            </w:r>
            <w:proofErr w:type="spellEnd"/>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Αγγειακές διαταραχές</w:t>
            </w:r>
          </w:p>
          <w:p w:rsidR="00800332" w:rsidRPr="00FF35A7" w:rsidRDefault="00800332" w:rsidP="00B23525">
            <w:pPr>
              <w:ind w:left="515"/>
              <w:jc w:val="both"/>
              <w:rPr>
                <w:b/>
                <w:lang w:val="el-GR"/>
              </w:rPr>
            </w:pPr>
            <w:r w:rsidRPr="00FF35A7">
              <w:rPr>
                <w:lang w:val="el-GR"/>
              </w:rPr>
              <w:t>Πολύ συχνές: εξάψεις</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Γαστρεντερικές διαταραχές</w:t>
            </w:r>
          </w:p>
          <w:p w:rsidR="00800332" w:rsidRPr="00FF35A7" w:rsidRDefault="00B81B1E" w:rsidP="00B23525">
            <w:pPr>
              <w:ind w:left="515"/>
              <w:jc w:val="both"/>
              <w:rPr>
                <w:b/>
                <w:lang w:val="el-GR"/>
              </w:rPr>
            </w:pPr>
            <w:r w:rsidRPr="00FF35A7">
              <w:rPr>
                <w:lang w:val="el-GR"/>
              </w:rPr>
              <w:t>Μη-σ</w:t>
            </w:r>
            <w:r w:rsidR="00800332" w:rsidRPr="00FF35A7">
              <w:rPr>
                <w:lang w:val="el-GR"/>
              </w:rPr>
              <w:t>υχνές: κοιλιακό άλγος (κ</w:t>
            </w:r>
            <w:r w:rsidR="00B206CC" w:rsidRPr="00FF35A7">
              <w:rPr>
                <w:lang w:val="el-GR"/>
              </w:rPr>
              <w:t>α</w:t>
            </w:r>
            <w:r w:rsidR="00800332" w:rsidRPr="00FF35A7">
              <w:rPr>
                <w:lang w:val="el-GR"/>
              </w:rPr>
              <w:t>τ</w:t>
            </w:r>
            <w:r w:rsidR="00B206CC" w:rsidRPr="00FF35A7">
              <w:rPr>
                <w:lang w:val="el-GR"/>
              </w:rPr>
              <w:t>ώτερα</w:t>
            </w:r>
            <w:r w:rsidR="00800332" w:rsidRPr="00FF35A7">
              <w:rPr>
                <w:lang w:val="el-GR"/>
              </w:rPr>
              <w:t>), διάρροια, ναυτία, έμετος</w:t>
            </w:r>
          </w:p>
        </w:tc>
      </w:tr>
      <w:tr w:rsidR="00800332" w:rsidRPr="00FF35A7"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ήπατος και των χοληφόρων</w:t>
            </w:r>
          </w:p>
          <w:p w:rsidR="00800332" w:rsidRPr="00FF35A7" w:rsidRDefault="00B81B1E" w:rsidP="00B23525">
            <w:pPr>
              <w:ind w:left="515"/>
              <w:jc w:val="both"/>
              <w:rPr>
                <w:b/>
              </w:rPr>
            </w:pPr>
            <w:proofErr w:type="spellStart"/>
            <w:r w:rsidRPr="00FF35A7">
              <w:t>Μη-σ</w:t>
            </w:r>
            <w:r w:rsidR="00800332" w:rsidRPr="00FF35A7">
              <w:t>υχνές</w:t>
            </w:r>
            <w:proofErr w:type="spellEnd"/>
            <w:r w:rsidR="00800332" w:rsidRPr="00FF35A7">
              <w:t xml:space="preserve">: </w:t>
            </w:r>
            <w:proofErr w:type="spellStart"/>
            <w:r w:rsidR="00800332" w:rsidRPr="00FF35A7">
              <w:t>Υπερχολερυθριναιμία</w:t>
            </w:r>
            <w:proofErr w:type="spellEnd"/>
            <w:r w:rsidR="00800332" w:rsidRPr="00FF35A7">
              <w:rPr>
                <w:b/>
              </w:rPr>
              <w:t xml:space="preserve"> </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δέρματος και του υποδόριου ιστού</w:t>
            </w:r>
          </w:p>
          <w:p w:rsidR="00800332" w:rsidRPr="00FF35A7" w:rsidRDefault="00800332" w:rsidP="00B23525">
            <w:pPr>
              <w:ind w:left="515"/>
              <w:jc w:val="both"/>
              <w:rPr>
                <w:lang w:val="el-GR"/>
              </w:rPr>
            </w:pPr>
            <w:r w:rsidRPr="00FF35A7">
              <w:rPr>
                <w:lang w:val="el-GR"/>
              </w:rPr>
              <w:t>Συχνές: υπερίδρωση, νυχτερινή εφίδρωση, κρύος ιδρώτας</w:t>
            </w:r>
          </w:p>
          <w:p w:rsidR="00800332" w:rsidRPr="00FF35A7" w:rsidRDefault="00B81B1E" w:rsidP="00B23525">
            <w:pPr>
              <w:ind w:left="515"/>
              <w:jc w:val="both"/>
              <w:rPr>
                <w:b/>
                <w:lang w:val="el-GR"/>
              </w:rPr>
            </w:pPr>
            <w:r w:rsidRPr="00FF35A7">
              <w:rPr>
                <w:lang w:val="el-GR"/>
              </w:rPr>
              <w:t>Μη-σ</w:t>
            </w:r>
            <w:r w:rsidR="00800332" w:rsidRPr="00FF35A7">
              <w:rPr>
                <w:lang w:val="el-GR"/>
              </w:rPr>
              <w:t>υχνές: περικογχικό οίδημα, κνίδωση, κνησμός</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μυοσκελετικού συστήματος και του συνδετικού ιστού</w:t>
            </w:r>
          </w:p>
          <w:p w:rsidR="00800332" w:rsidRPr="00FF35A7" w:rsidRDefault="00800332" w:rsidP="00B23525">
            <w:pPr>
              <w:ind w:left="515"/>
              <w:jc w:val="both"/>
              <w:rPr>
                <w:lang w:val="el-GR"/>
              </w:rPr>
            </w:pPr>
            <w:r w:rsidRPr="00FF35A7">
              <w:rPr>
                <w:lang w:val="el-GR"/>
              </w:rPr>
              <w:t>Συχνές: πόνος στην πλάτη</w:t>
            </w:r>
          </w:p>
          <w:p w:rsidR="00800332" w:rsidRPr="00FF35A7" w:rsidRDefault="00B81B1E" w:rsidP="00B23525">
            <w:pPr>
              <w:ind w:left="515"/>
              <w:jc w:val="both"/>
              <w:rPr>
                <w:b/>
                <w:lang w:val="el-GR"/>
              </w:rPr>
            </w:pPr>
            <w:r w:rsidRPr="00FF35A7">
              <w:rPr>
                <w:lang w:val="el-GR"/>
              </w:rPr>
              <w:t>Μη-σ</w:t>
            </w:r>
            <w:r w:rsidR="00800332" w:rsidRPr="00FF35A7">
              <w:rPr>
                <w:lang w:val="el-GR"/>
              </w:rPr>
              <w:t>υχνές: αρθραλγία, μυϊκοί σπασμοί, άλγος στα άκρα</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των νεφρών και των ουροφόρων οδών</w:t>
            </w:r>
          </w:p>
          <w:p w:rsidR="00800332" w:rsidRPr="00FF35A7" w:rsidRDefault="00B81B1E" w:rsidP="00B23525">
            <w:pPr>
              <w:ind w:left="515"/>
              <w:jc w:val="both"/>
              <w:rPr>
                <w:b/>
                <w:lang w:val="el-GR"/>
              </w:rPr>
            </w:pPr>
            <w:r w:rsidRPr="00FF35A7">
              <w:rPr>
                <w:lang w:val="el-GR"/>
              </w:rPr>
              <w:t>Μη-σ</w:t>
            </w:r>
            <w:r w:rsidR="00800332" w:rsidRPr="00FF35A7">
              <w:rPr>
                <w:lang w:val="el-GR"/>
              </w:rPr>
              <w:t>υχνές: κατακράτηση ούρων, ακράτεια ούρων, συχνοουρία</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Διαταραχές του αναπαραγωγικού συστήματος και του μαστού</w:t>
            </w:r>
          </w:p>
          <w:p w:rsidR="00800332" w:rsidRPr="00FF35A7" w:rsidRDefault="00800332" w:rsidP="00B23525">
            <w:pPr>
              <w:ind w:left="515"/>
              <w:jc w:val="both"/>
              <w:rPr>
                <w:lang w:val="el-GR"/>
              </w:rPr>
            </w:pPr>
            <w:r w:rsidRPr="00FF35A7">
              <w:rPr>
                <w:lang w:val="el-GR"/>
              </w:rPr>
              <w:t>Συχνές: στυτική δυσλειτουργία</w:t>
            </w:r>
          </w:p>
          <w:p w:rsidR="00800332" w:rsidRPr="00FF35A7" w:rsidRDefault="00B81B1E" w:rsidP="00B23525">
            <w:pPr>
              <w:ind w:left="515"/>
              <w:jc w:val="both"/>
              <w:rPr>
                <w:b/>
                <w:lang w:val="el-GR"/>
              </w:rPr>
            </w:pPr>
            <w:r w:rsidRPr="00FF35A7">
              <w:rPr>
                <w:lang w:val="el-GR"/>
              </w:rPr>
              <w:t>Μη-σ</w:t>
            </w:r>
            <w:r w:rsidR="00800332" w:rsidRPr="00FF35A7">
              <w:rPr>
                <w:lang w:val="el-GR"/>
              </w:rPr>
              <w:t>υχνές: οίδημα στο στήθος, ευαισθησία στο στήθος, αδυναμία εκσπερμάτισης</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t>Γενικές διαταραχές και ενοχλήσεις στο σημείο χορήγησης</w:t>
            </w:r>
          </w:p>
          <w:p w:rsidR="00800332" w:rsidRPr="00FF35A7" w:rsidRDefault="00800332" w:rsidP="00B23525">
            <w:pPr>
              <w:ind w:left="515"/>
              <w:jc w:val="both"/>
              <w:rPr>
                <w:lang w:val="el-GR"/>
              </w:rPr>
            </w:pPr>
            <w:r w:rsidRPr="00FF35A7">
              <w:rPr>
                <w:lang w:val="el-GR"/>
              </w:rPr>
              <w:t>Συχνές: κόπωση, εξασθέν</w:t>
            </w:r>
            <w:r w:rsidR="00B206CC" w:rsidRPr="00FF35A7">
              <w:rPr>
                <w:lang w:val="el-GR"/>
              </w:rPr>
              <w:t>η</w:t>
            </w:r>
            <w:r w:rsidRPr="00FF35A7">
              <w:rPr>
                <w:lang w:val="el-GR"/>
              </w:rPr>
              <w:t>ση, πυρεξία, τοπικές ανεπιθύμητες ενέργειες (βλ. Πίνακα 2)</w:t>
            </w:r>
          </w:p>
          <w:p w:rsidR="00800332" w:rsidRPr="00FF35A7" w:rsidRDefault="00B81B1E" w:rsidP="00B23525">
            <w:pPr>
              <w:ind w:left="515"/>
              <w:jc w:val="both"/>
              <w:rPr>
                <w:lang w:val="el-GR"/>
              </w:rPr>
            </w:pPr>
            <w:r w:rsidRPr="00FF35A7">
              <w:rPr>
                <w:lang w:val="el-GR"/>
              </w:rPr>
              <w:t>Μη-σ</w:t>
            </w:r>
            <w:r w:rsidR="00800332" w:rsidRPr="00FF35A7">
              <w:rPr>
                <w:lang w:val="el-GR"/>
              </w:rPr>
              <w:t>υχνές: αδυναμία, αίσθημα θερμού και ψυχρού, αίσθηση εκνευρισμού</w:t>
            </w:r>
          </w:p>
        </w:tc>
      </w:tr>
      <w:tr w:rsidR="00800332" w:rsidRPr="00643CAD" w:rsidTr="00B27F78">
        <w:trPr>
          <w:trHeight w:val="703"/>
          <w:jc w:val="center"/>
        </w:trPr>
        <w:tc>
          <w:tcPr>
            <w:tcW w:w="8613" w:type="dxa"/>
            <w:vAlign w:val="center"/>
          </w:tcPr>
          <w:p w:rsidR="00800332" w:rsidRPr="00FF35A7" w:rsidRDefault="00800332" w:rsidP="00B23525">
            <w:pPr>
              <w:jc w:val="both"/>
              <w:rPr>
                <w:b/>
                <w:lang w:val="el-GR"/>
              </w:rPr>
            </w:pPr>
            <w:r w:rsidRPr="00FF35A7">
              <w:rPr>
                <w:b/>
                <w:lang w:val="el-GR"/>
              </w:rPr>
              <w:lastRenderedPageBreak/>
              <w:t>Έρευνες</w:t>
            </w:r>
          </w:p>
          <w:p w:rsidR="00800332" w:rsidRPr="00FF35A7" w:rsidRDefault="00B81B1E" w:rsidP="00B23525">
            <w:pPr>
              <w:ind w:left="515"/>
              <w:jc w:val="both"/>
              <w:rPr>
                <w:lang w:val="el-GR"/>
              </w:rPr>
            </w:pPr>
            <w:r w:rsidRPr="00FF35A7">
              <w:rPr>
                <w:lang w:val="el-GR"/>
              </w:rPr>
              <w:t>Μη-σ</w:t>
            </w:r>
            <w:r w:rsidR="00800332" w:rsidRPr="00FF35A7">
              <w:rPr>
                <w:lang w:val="el-GR"/>
              </w:rPr>
              <w:t>υχνές: αυξημένη ασπαρτική αμινοτραν</w:t>
            </w:r>
            <w:r w:rsidR="00FF35A7">
              <w:rPr>
                <w:lang w:val="el-GR"/>
              </w:rPr>
              <w:t>σ</w:t>
            </w:r>
            <w:r w:rsidR="00800332" w:rsidRPr="00FF35A7">
              <w:rPr>
                <w:lang w:val="el-GR"/>
              </w:rPr>
              <w:t>φεράση (Α</w:t>
            </w:r>
            <w:r w:rsidR="00800332" w:rsidRPr="00FF35A7">
              <w:t>ST</w:t>
            </w:r>
            <w:r w:rsidR="00800332" w:rsidRPr="00FF35A7">
              <w:rPr>
                <w:lang w:val="el-GR"/>
              </w:rPr>
              <w:t>), αυξημένη αμινοτραν</w:t>
            </w:r>
            <w:r w:rsidR="00FF35A7">
              <w:rPr>
                <w:lang w:val="el-GR"/>
              </w:rPr>
              <w:t>σ</w:t>
            </w:r>
            <w:r w:rsidR="00800332" w:rsidRPr="00FF35A7">
              <w:rPr>
                <w:lang w:val="el-GR"/>
              </w:rPr>
              <w:t>φεράση της αλανίνης (</w:t>
            </w:r>
            <w:r w:rsidR="00800332" w:rsidRPr="00FF35A7">
              <w:t>ALT</w:t>
            </w:r>
            <w:r w:rsidR="00800332" w:rsidRPr="00FF35A7">
              <w:rPr>
                <w:lang w:val="el-GR"/>
              </w:rPr>
              <w:t>), αυξημένη χολερυθρίνη, αυξημένη γάμμα-γλουταμυλ</w:t>
            </w:r>
            <w:r w:rsidR="00800332" w:rsidRPr="00FF35A7">
              <w:t>o</w:t>
            </w:r>
            <w:r w:rsidR="00800332" w:rsidRPr="00FF35A7">
              <w:rPr>
                <w:lang w:val="el-GR"/>
              </w:rPr>
              <w:t>τρανσφεράση</w:t>
            </w:r>
            <w:r w:rsidR="00800332" w:rsidRPr="00FF35A7">
              <w:rPr>
                <w:b/>
                <w:lang w:val="el-GR"/>
              </w:rPr>
              <w:t xml:space="preserve"> </w:t>
            </w:r>
          </w:p>
        </w:tc>
      </w:tr>
    </w:tbl>
    <w:p w:rsidR="00800332" w:rsidRPr="00FF35A7" w:rsidRDefault="00800332" w:rsidP="00B23525">
      <w:pPr>
        <w:autoSpaceDE w:val="0"/>
        <w:autoSpaceDN w:val="0"/>
        <w:adjustRightInd w:val="0"/>
        <w:jc w:val="both"/>
        <w:rPr>
          <w:rFonts w:eastAsia="MS Mincho"/>
          <w:lang w:val="el-GR" w:eastAsia="es-ES"/>
        </w:rPr>
      </w:pPr>
      <w:r w:rsidRPr="00FF35A7">
        <w:rPr>
          <w:rFonts w:eastAsia="MS Mincho"/>
          <w:lang w:val="el-GR" w:eastAsia="es-ES"/>
        </w:rPr>
        <w:t xml:space="preserve">* σε μια μελέτη μετά την κυκλοφορία, </w:t>
      </w:r>
      <w:r w:rsidR="005769AE" w:rsidRPr="00FF35A7">
        <w:rPr>
          <w:rFonts w:eastAsia="MS Mincho"/>
          <w:lang w:val="el-GR" w:eastAsia="es-ES"/>
        </w:rPr>
        <w:t>η συχνότητα</w:t>
      </w:r>
      <w:r w:rsidRPr="00FF35A7">
        <w:rPr>
          <w:rFonts w:eastAsia="MS Mincho"/>
          <w:lang w:val="el-GR" w:eastAsia="es-ES"/>
        </w:rPr>
        <w:t xml:space="preserve"> αλλαγ</w:t>
      </w:r>
      <w:r w:rsidR="005769AE" w:rsidRPr="00FF35A7">
        <w:rPr>
          <w:rFonts w:eastAsia="MS Mincho"/>
          <w:lang w:val="el-GR" w:eastAsia="es-ES"/>
        </w:rPr>
        <w:t>ών</w:t>
      </w:r>
      <w:r w:rsidRPr="00FF35A7">
        <w:rPr>
          <w:rFonts w:eastAsia="MS Mincho"/>
          <w:lang w:val="el-GR" w:eastAsia="es-ES"/>
        </w:rPr>
        <w:t xml:space="preserve"> διάθεσης και  κατάθλιψη</w:t>
      </w:r>
      <w:r w:rsidR="005769AE" w:rsidRPr="00FF35A7">
        <w:rPr>
          <w:rFonts w:eastAsia="MS Mincho"/>
          <w:lang w:val="el-GR" w:eastAsia="es-ES"/>
        </w:rPr>
        <w:t>ς</w:t>
      </w:r>
      <w:r w:rsidRPr="00FF35A7">
        <w:rPr>
          <w:rFonts w:eastAsia="MS Mincho"/>
          <w:lang w:val="el-GR" w:eastAsia="es-ES"/>
        </w:rPr>
        <w:t xml:space="preserve"> σε μακροχρόνιους χρήστες ήταν συχνές.</w:t>
      </w:r>
    </w:p>
    <w:p w:rsidR="009C26D5" w:rsidRPr="00FF35A7" w:rsidRDefault="009C26D5" w:rsidP="00B23525">
      <w:pPr>
        <w:pStyle w:val="a4"/>
        <w:jc w:val="both"/>
        <w:rPr>
          <w:rFonts w:ascii="Times New Roman" w:hAnsi="Times New Roman"/>
          <w:color w:val="auto"/>
          <w:sz w:val="24"/>
          <w:lang w:val="el-GR"/>
        </w:rPr>
      </w:pPr>
    </w:p>
    <w:p w:rsidR="009C26D5" w:rsidRPr="00FF35A7" w:rsidRDefault="009C26D5"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Η σοβαρότητα του 98% όλων των ανεπιθύμητων ενεργειών που σχετίζονται με τη θεραπεία, </w:t>
      </w:r>
      <w:r w:rsidR="005E52FD" w:rsidRPr="00FF35A7">
        <w:rPr>
          <w:rFonts w:ascii="Times New Roman" w:hAnsi="Times New Roman"/>
          <w:color w:val="auto"/>
          <w:sz w:val="24"/>
          <w:lang w:val="el-GR"/>
        </w:rPr>
        <w:t>ήταν</w:t>
      </w:r>
      <w:r w:rsidRPr="00FF35A7">
        <w:rPr>
          <w:rFonts w:ascii="Times New Roman" w:hAnsi="Times New Roman"/>
          <w:color w:val="auto"/>
          <w:sz w:val="24"/>
          <w:lang w:val="el-GR"/>
        </w:rPr>
        <w:t xml:space="preserve"> ήπιου εώς μετρίου βαθμού. Από τις εξάψεις που αναφέρθηκαν, το 89% </w:t>
      </w:r>
      <w:r w:rsidR="005769AE" w:rsidRPr="00FF35A7">
        <w:rPr>
          <w:rFonts w:ascii="Times New Roman" w:hAnsi="Times New Roman"/>
          <w:color w:val="auto"/>
          <w:sz w:val="24"/>
          <w:lang w:val="el-GR"/>
        </w:rPr>
        <w:t>αναφέρθ</w:t>
      </w:r>
      <w:r w:rsidRPr="00FF35A7">
        <w:rPr>
          <w:rFonts w:ascii="Times New Roman" w:hAnsi="Times New Roman"/>
          <w:color w:val="auto"/>
          <w:sz w:val="24"/>
          <w:lang w:val="el-GR"/>
        </w:rPr>
        <w:t>ηκαν ως ήπιες και το 9% ως μέτριες. Μόνο το 0</w:t>
      </w:r>
      <w:r w:rsidR="00D47CA0" w:rsidRPr="00FF35A7">
        <w:rPr>
          <w:rFonts w:ascii="Times New Roman" w:hAnsi="Times New Roman"/>
          <w:color w:val="auto"/>
          <w:sz w:val="24"/>
          <w:lang w:val="el-GR"/>
        </w:rPr>
        <w:t>,</w:t>
      </w:r>
      <w:r w:rsidRPr="00FF35A7">
        <w:rPr>
          <w:rFonts w:ascii="Times New Roman" w:hAnsi="Times New Roman"/>
          <w:color w:val="auto"/>
          <w:sz w:val="24"/>
          <w:lang w:val="el-GR"/>
        </w:rPr>
        <w:t>2% των εξάψεων χαρακτηρίστηκαν ως σοβαρές.</w:t>
      </w:r>
    </w:p>
    <w:p w:rsidR="009C26D5" w:rsidRPr="00FF35A7" w:rsidRDefault="009C26D5" w:rsidP="00B23525">
      <w:pPr>
        <w:pStyle w:val="a4"/>
        <w:jc w:val="both"/>
        <w:rPr>
          <w:rFonts w:ascii="Times New Roman" w:hAnsi="Times New Roman"/>
          <w:color w:val="auto"/>
          <w:sz w:val="24"/>
          <w:lang w:val="el-GR"/>
        </w:rPr>
      </w:pPr>
    </w:p>
    <w:p w:rsidR="009C26D5" w:rsidRPr="00FF35A7" w:rsidRDefault="009C26D5"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Συνολικά, αναφέρθηκαν 35 τοπικές ανεπιθύμητες ενέργειες (</w:t>
      </w:r>
      <w:r w:rsidRPr="00FF35A7">
        <w:rPr>
          <w:rFonts w:ascii="Times New Roman" w:hAnsi="Times New Roman"/>
          <w:color w:val="auto"/>
          <w:sz w:val="24"/>
        </w:rPr>
        <w:t>LAR</w:t>
      </w:r>
      <w:r w:rsidRPr="00FF35A7">
        <w:rPr>
          <w:rFonts w:ascii="Times New Roman" w:hAnsi="Times New Roman"/>
          <w:color w:val="auto"/>
          <w:sz w:val="24"/>
          <w:lang w:val="el-GR"/>
        </w:rPr>
        <w:t>) στο σημείο της ένεσης από 29 ασθενείς (18</w:t>
      </w:r>
      <w:r w:rsidR="00D47CA0" w:rsidRPr="00FF35A7">
        <w:rPr>
          <w:rFonts w:ascii="Times New Roman" w:hAnsi="Times New Roman"/>
          <w:color w:val="auto"/>
          <w:sz w:val="24"/>
          <w:lang w:val="el-GR"/>
        </w:rPr>
        <w:t>,</w:t>
      </w:r>
      <w:r w:rsidRPr="00FF35A7">
        <w:rPr>
          <w:rFonts w:ascii="Times New Roman" w:hAnsi="Times New Roman"/>
          <w:color w:val="auto"/>
          <w:sz w:val="24"/>
          <w:lang w:val="el-GR"/>
        </w:rPr>
        <w:t>1%) κατά τη διάρκεια της μελέτης.</w:t>
      </w:r>
    </w:p>
    <w:p w:rsidR="009C26D5" w:rsidRPr="00FF35A7" w:rsidRDefault="009C26D5" w:rsidP="00B23525">
      <w:pPr>
        <w:pStyle w:val="a4"/>
        <w:jc w:val="both"/>
        <w:rPr>
          <w:rFonts w:ascii="Times New Roman" w:hAnsi="Times New Roman"/>
          <w:color w:val="auto"/>
          <w:sz w:val="24"/>
          <w:lang w:val="el-GR"/>
        </w:rPr>
      </w:pPr>
    </w:p>
    <w:p w:rsidR="00A20F4B" w:rsidRPr="00FF35A7" w:rsidRDefault="009C26D5"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Οι </w:t>
      </w:r>
      <w:r w:rsidR="00394B9E" w:rsidRPr="00FF35A7">
        <w:rPr>
          <w:rFonts w:ascii="Times New Roman" w:hAnsi="Times New Roman"/>
          <w:color w:val="auto"/>
          <w:sz w:val="24"/>
          <w:lang w:val="el-GR"/>
        </w:rPr>
        <w:t xml:space="preserve">τοπικές ανεπιθύμητες ενέργειες που αναφέρθηκαν μετά τη χορήγηση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800332" w:rsidRPr="00FF35A7">
        <w:rPr>
          <w:rFonts w:ascii="Times New Roman" w:hAnsi="Times New Roman"/>
          <w:color w:val="auto"/>
          <w:sz w:val="24"/>
          <w:lang w:val="el-GR"/>
        </w:rPr>
        <w:t xml:space="preserve"> </w:t>
      </w:r>
      <w:r w:rsidR="00800332" w:rsidRPr="00FF35A7">
        <w:rPr>
          <w:rFonts w:ascii="Times New Roman" w:hAnsi="Times New Roman"/>
          <w:color w:val="auto"/>
          <w:sz w:val="24"/>
        </w:rPr>
        <w:t>Depot</w:t>
      </w:r>
      <w:r w:rsidR="005036E5" w:rsidRPr="00FF35A7">
        <w:rPr>
          <w:rFonts w:ascii="Times New Roman" w:hAnsi="Times New Roman"/>
          <w:color w:val="auto"/>
          <w:sz w:val="24"/>
          <w:lang w:val="el-GR"/>
        </w:rPr>
        <w:t xml:space="preserve"> 3</w:t>
      </w:r>
      <w:r w:rsidR="00800332" w:rsidRPr="00FF35A7">
        <w:rPr>
          <w:rFonts w:ascii="Times New Roman" w:hAnsi="Times New Roman"/>
          <w:color w:val="auto"/>
          <w:sz w:val="24"/>
          <w:lang w:val="el-GR"/>
        </w:rPr>
        <w:t>,</w:t>
      </w:r>
      <w:r w:rsidR="005036E5" w:rsidRPr="00FF35A7">
        <w:rPr>
          <w:rFonts w:ascii="Times New Roman" w:hAnsi="Times New Roman"/>
          <w:color w:val="auto"/>
          <w:sz w:val="24"/>
          <w:lang w:val="el-GR"/>
        </w:rPr>
        <w:t>75</w:t>
      </w:r>
      <w:r w:rsidR="005036E5" w:rsidRPr="00FF35A7">
        <w:rPr>
          <w:rFonts w:ascii="Times New Roman" w:hAnsi="Times New Roman"/>
          <w:color w:val="auto"/>
          <w:sz w:val="24"/>
        </w:rPr>
        <w:t>mg</w:t>
      </w:r>
      <w:r w:rsidR="00394B9E" w:rsidRPr="00FF35A7">
        <w:rPr>
          <w:rFonts w:ascii="Times New Roman" w:hAnsi="Times New Roman"/>
          <w:color w:val="auto"/>
          <w:sz w:val="24"/>
          <w:lang w:val="el-GR"/>
        </w:rPr>
        <w:t xml:space="preserve">, ήταν </w:t>
      </w:r>
      <w:r w:rsidR="00073EB0" w:rsidRPr="00FF35A7">
        <w:rPr>
          <w:rFonts w:ascii="Times New Roman" w:hAnsi="Times New Roman"/>
          <w:color w:val="auto"/>
          <w:sz w:val="24"/>
          <w:lang w:val="el-GR"/>
        </w:rPr>
        <w:t xml:space="preserve">όμοιες με </w:t>
      </w:r>
      <w:r w:rsidR="00394B9E" w:rsidRPr="00FF35A7">
        <w:rPr>
          <w:rFonts w:ascii="Times New Roman" w:hAnsi="Times New Roman"/>
          <w:color w:val="auto"/>
          <w:sz w:val="24"/>
          <w:lang w:val="el-GR"/>
        </w:rPr>
        <w:t>αυτές που αναφέρονται</w:t>
      </w:r>
      <w:r w:rsidR="005E52FD" w:rsidRPr="00FF35A7">
        <w:rPr>
          <w:rFonts w:ascii="Times New Roman" w:hAnsi="Times New Roman"/>
          <w:color w:val="auto"/>
          <w:sz w:val="24"/>
          <w:lang w:val="el-GR"/>
        </w:rPr>
        <w:t xml:space="preserve"> συνήθως</w:t>
      </w:r>
      <w:r w:rsidR="00394B9E" w:rsidRPr="00FF35A7">
        <w:rPr>
          <w:rFonts w:ascii="Times New Roman" w:hAnsi="Times New Roman"/>
          <w:color w:val="auto"/>
          <w:sz w:val="24"/>
          <w:lang w:val="el-GR"/>
        </w:rPr>
        <w:t xml:space="preserve"> για παρόμοια προϊόντα που χορηγούνται με ενδομυϊκή ένεση. Οι πιο συχνές τοπικές ανεπιθύμητες ενέργειες που αναφέρθηκαν ήταν πόνος στο σημείο ένεσης, ερεθισμός στο σημείο ένεσης, ενόχληση στο σημείο ένεσης, μώλωπας στο σημείο ένεσης και ερύθημα. Οι </w:t>
      </w:r>
      <w:r w:rsidR="00B81B1E" w:rsidRPr="00FF35A7">
        <w:rPr>
          <w:rFonts w:ascii="Times New Roman" w:hAnsi="Times New Roman"/>
          <w:color w:val="auto"/>
          <w:sz w:val="24"/>
          <w:lang w:val="el-GR"/>
        </w:rPr>
        <w:t>μη-σ</w:t>
      </w:r>
      <w:r w:rsidR="00394B9E" w:rsidRPr="00FF35A7">
        <w:rPr>
          <w:rFonts w:ascii="Times New Roman" w:hAnsi="Times New Roman"/>
          <w:color w:val="auto"/>
          <w:sz w:val="24"/>
          <w:lang w:val="el-GR"/>
        </w:rPr>
        <w:t>υχνές τοπικές ανεπιθύμητες ενέργειες που αναφέρθηκαν ήταν αντίδραση στο σημείο ένεσης, πρήξιμο, τραύμα και αιμορραγία</w:t>
      </w:r>
      <w:r w:rsidR="005E52FD" w:rsidRPr="00FF35A7">
        <w:rPr>
          <w:rFonts w:ascii="Times New Roman" w:hAnsi="Times New Roman"/>
          <w:color w:val="auto"/>
          <w:sz w:val="24"/>
          <w:lang w:val="el-GR"/>
        </w:rPr>
        <w:t xml:space="preserve"> (Πίνακας 2)</w:t>
      </w:r>
      <w:r w:rsidR="00394B9E" w:rsidRPr="00FF35A7">
        <w:rPr>
          <w:rFonts w:ascii="Times New Roman" w:hAnsi="Times New Roman"/>
          <w:color w:val="auto"/>
          <w:sz w:val="24"/>
          <w:lang w:val="el-GR"/>
        </w:rPr>
        <w:t>.</w:t>
      </w:r>
    </w:p>
    <w:p w:rsidR="00800332" w:rsidRPr="00FF35A7" w:rsidRDefault="00800332" w:rsidP="00B23525">
      <w:pPr>
        <w:pStyle w:val="a4"/>
        <w:jc w:val="both"/>
        <w:rPr>
          <w:rFonts w:ascii="Times New Roman" w:hAnsi="Times New Roman"/>
          <w:color w:val="auto"/>
          <w:sz w:val="24"/>
          <w:lang w:val="el-GR"/>
        </w:rPr>
      </w:pPr>
    </w:p>
    <w:p w:rsidR="005E52FD" w:rsidRPr="00FF35A7" w:rsidRDefault="005E52FD" w:rsidP="00B23525">
      <w:pPr>
        <w:pStyle w:val="a4"/>
        <w:jc w:val="both"/>
        <w:rPr>
          <w:rFonts w:ascii="Times New Roman" w:hAnsi="Times New Roman"/>
          <w:b/>
          <w:color w:val="auto"/>
          <w:sz w:val="24"/>
          <w:lang w:val="el-GR"/>
        </w:rPr>
      </w:pPr>
      <w:r w:rsidRPr="00FF35A7">
        <w:rPr>
          <w:rFonts w:ascii="Times New Roman" w:hAnsi="Times New Roman"/>
          <w:b/>
          <w:color w:val="auto"/>
          <w:sz w:val="24"/>
          <w:lang w:val="el-GR"/>
        </w:rPr>
        <w:t xml:space="preserve">Πίνακας1. Συχνότητα των ασθενών που παρουσίασαν τοπικές ανεπιθύμητες ενέργειες κατά τη θεραπεία με </w:t>
      </w:r>
      <w:proofErr w:type="spellStart"/>
      <w:r w:rsidR="00833418">
        <w:rPr>
          <w:rFonts w:ascii="Times New Roman" w:hAnsi="Times New Roman"/>
          <w:b/>
          <w:color w:val="auto"/>
          <w:sz w:val="24"/>
        </w:rPr>
        <w:t>Lutrate</w:t>
      </w:r>
      <w:proofErr w:type="spellEnd"/>
      <w:r w:rsidR="00833418" w:rsidRPr="00833418">
        <w:rPr>
          <w:rFonts w:ascii="Times New Roman" w:hAnsi="Times New Roman"/>
          <w:b/>
          <w:color w:val="auto"/>
          <w:sz w:val="24"/>
          <w:vertAlign w:val="superscript"/>
          <w:lang w:val="el-GR"/>
        </w:rPr>
        <w:t>®</w:t>
      </w:r>
      <w:r w:rsidR="00800332" w:rsidRPr="00FF35A7">
        <w:rPr>
          <w:rFonts w:ascii="Times New Roman" w:hAnsi="Times New Roman"/>
          <w:b/>
          <w:color w:val="auto"/>
          <w:sz w:val="24"/>
          <w:lang w:val="el-GR"/>
        </w:rPr>
        <w:t xml:space="preserve"> </w:t>
      </w:r>
      <w:r w:rsidR="00800332" w:rsidRPr="00FF35A7">
        <w:rPr>
          <w:rFonts w:ascii="Times New Roman" w:hAnsi="Times New Roman"/>
          <w:b/>
          <w:color w:val="auto"/>
          <w:sz w:val="24"/>
        </w:rPr>
        <w:t>Depot</w:t>
      </w:r>
      <w:r w:rsidRPr="00FF35A7">
        <w:rPr>
          <w:rFonts w:ascii="Times New Roman" w:hAnsi="Times New Roman"/>
          <w:b/>
          <w:color w:val="auto"/>
          <w:sz w:val="24"/>
          <w:lang w:val="el-GR"/>
        </w:rPr>
        <w:t>.</w:t>
      </w:r>
    </w:p>
    <w:p w:rsidR="005E52FD" w:rsidRPr="00FF35A7" w:rsidRDefault="005E52FD" w:rsidP="00B23525">
      <w:pPr>
        <w:pStyle w:val="a4"/>
        <w:ind w:right="576"/>
        <w:jc w:val="both"/>
        <w:rPr>
          <w:rFonts w:ascii="Times New Roman" w:hAnsi="Times New Roman"/>
          <w:b/>
          <w:color w:val="auto"/>
          <w:sz w:val="24"/>
          <w:lang w:val="el-GR"/>
        </w:rPr>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4606"/>
      </w:tblGrid>
      <w:tr w:rsidR="005E52FD" w:rsidRPr="00643CAD" w:rsidTr="00441962">
        <w:trPr>
          <w:jc w:val="center"/>
        </w:trPr>
        <w:tc>
          <w:tcPr>
            <w:tcW w:w="2265" w:type="pct"/>
            <w:vMerge w:val="restart"/>
            <w:tcBorders>
              <w:left w:val="single" w:sz="4" w:space="0" w:color="auto"/>
              <w:right w:val="nil"/>
            </w:tcBorders>
            <w:vAlign w:val="bottom"/>
          </w:tcPr>
          <w:p w:rsidR="00B1122A" w:rsidRPr="00FF35A7" w:rsidRDefault="00B1122A" w:rsidP="00B23525">
            <w:pPr>
              <w:jc w:val="both"/>
              <w:rPr>
                <w:b/>
                <w:lang w:val="el-GR"/>
              </w:rPr>
            </w:pPr>
            <w:r w:rsidRPr="00FF35A7">
              <w:rPr>
                <w:b/>
                <w:lang w:val="el-GR"/>
              </w:rPr>
              <w:t>Κύρια Κατηγορία οργανικού συστήματος (</w:t>
            </w:r>
            <w:r w:rsidRPr="00FF35A7">
              <w:rPr>
                <w:b/>
              </w:rPr>
              <w:t>SOC</w:t>
            </w:r>
            <w:r w:rsidRPr="00FF35A7">
              <w:rPr>
                <w:b/>
                <w:lang w:val="el-GR"/>
              </w:rPr>
              <w:t>)*</w:t>
            </w:r>
          </w:p>
          <w:p w:rsidR="005E52FD" w:rsidRPr="00FF35A7" w:rsidRDefault="00B1122A" w:rsidP="00B23525">
            <w:pPr>
              <w:jc w:val="both"/>
              <w:rPr>
                <w:b/>
                <w:lang w:val="el-GR"/>
              </w:rPr>
            </w:pPr>
            <w:r w:rsidRPr="00FF35A7">
              <w:rPr>
                <w:b/>
                <w:lang w:val="el-GR"/>
              </w:rPr>
              <w:t>Προτιμώμενοι όροι (</w:t>
            </w:r>
            <w:r w:rsidRPr="00FF35A7">
              <w:rPr>
                <w:b/>
              </w:rPr>
              <w:t>PT</w:t>
            </w:r>
            <w:r w:rsidRPr="00FF35A7">
              <w:rPr>
                <w:b/>
                <w:lang w:val="el-GR"/>
              </w:rPr>
              <w:t>): Γενικές διαταραχές και ενοχλήσεις στο σημείο χορήγησης</w:t>
            </w:r>
          </w:p>
        </w:tc>
        <w:tc>
          <w:tcPr>
            <w:tcW w:w="2735" w:type="pct"/>
            <w:tcBorders>
              <w:left w:val="nil"/>
              <w:right w:val="single" w:sz="4" w:space="0" w:color="auto"/>
            </w:tcBorders>
          </w:tcPr>
          <w:p w:rsidR="005E52FD" w:rsidRPr="00FF35A7" w:rsidRDefault="005E52FD" w:rsidP="00B23525">
            <w:pPr>
              <w:jc w:val="both"/>
              <w:rPr>
                <w:b/>
                <w:lang w:val="el-GR"/>
              </w:rPr>
            </w:pPr>
            <w:r w:rsidRPr="00FF35A7">
              <w:rPr>
                <w:b/>
                <w:lang w:val="el-GR"/>
              </w:rPr>
              <w:t>Ασθενείς που εμφάνισαν την τοπική ανεπιθύμητη ενέργεια</w:t>
            </w:r>
            <w:r w:rsidR="00B1122A" w:rsidRPr="00FF35A7">
              <w:rPr>
                <w:b/>
                <w:lang w:val="el-GR"/>
              </w:rPr>
              <w:t xml:space="preserve"> (</w:t>
            </w:r>
            <w:r w:rsidR="00B1122A" w:rsidRPr="00FF35A7">
              <w:rPr>
                <w:b/>
                <w:lang w:val="es-ES"/>
              </w:rPr>
              <w:t>LAR</w:t>
            </w:r>
            <w:r w:rsidR="00B1122A" w:rsidRPr="00FF35A7">
              <w:rPr>
                <w:b/>
                <w:lang w:val="el-GR"/>
              </w:rPr>
              <w:t>)</w:t>
            </w:r>
          </w:p>
        </w:tc>
      </w:tr>
      <w:tr w:rsidR="005E52FD" w:rsidRPr="00FF35A7" w:rsidTr="00441962">
        <w:trPr>
          <w:jc w:val="center"/>
        </w:trPr>
        <w:tc>
          <w:tcPr>
            <w:tcW w:w="2265" w:type="pct"/>
            <w:vMerge/>
            <w:tcBorders>
              <w:left w:val="single" w:sz="4" w:space="0" w:color="auto"/>
              <w:bottom w:val="single" w:sz="4" w:space="0" w:color="auto"/>
              <w:right w:val="nil"/>
            </w:tcBorders>
          </w:tcPr>
          <w:p w:rsidR="005E52FD" w:rsidRPr="00FF35A7" w:rsidRDefault="005E52FD" w:rsidP="00B23525">
            <w:pPr>
              <w:jc w:val="both"/>
              <w:rPr>
                <w:b/>
                <w:lang w:val="el-GR"/>
              </w:rPr>
            </w:pPr>
          </w:p>
        </w:tc>
        <w:tc>
          <w:tcPr>
            <w:tcW w:w="2735" w:type="pct"/>
            <w:tcBorders>
              <w:left w:val="nil"/>
              <w:bottom w:val="single" w:sz="4" w:space="0" w:color="auto"/>
              <w:right w:val="single" w:sz="4" w:space="0" w:color="auto"/>
            </w:tcBorders>
            <w:vAlign w:val="center"/>
          </w:tcPr>
          <w:p w:rsidR="005E52FD" w:rsidRPr="00FF35A7" w:rsidRDefault="005E52FD" w:rsidP="00B23525">
            <w:pPr>
              <w:jc w:val="both"/>
              <w:rPr>
                <w:b/>
              </w:rPr>
            </w:pPr>
            <w:r w:rsidRPr="00FF35A7">
              <w:rPr>
                <w:b/>
              </w:rPr>
              <w:t>%</w:t>
            </w:r>
          </w:p>
        </w:tc>
      </w:tr>
      <w:tr w:rsidR="005E52FD" w:rsidRPr="00FF35A7" w:rsidTr="00441962">
        <w:trPr>
          <w:jc w:val="center"/>
        </w:trPr>
        <w:tc>
          <w:tcPr>
            <w:tcW w:w="2265" w:type="pct"/>
            <w:tcBorders>
              <w:left w:val="single" w:sz="4" w:space="0" w:color="auto"/>
              <w:bottom w:val="nil"/>
              <w:right w:val="nil"/>
            </w:tcBorders>
          </w:tcPr>
          <w:p w:rsidR="005E52FD" w:rsidRPr="00FF35A7" w:rsidRDefault="005E52FD" w:rsidP="00B23525">
            <w:pPr>
              <w:jc w:val="both"/>
              <w:rPr>
                <w:b/>
                <w:i/>
                <w:lang w:val="el-GR"/>
              </w:rPr>
            </w:pPr>
            <w:r w:rsidRPr="00FF35A7">
              <w:rPr>
                <w:b/>
                <w:i/>
                <w:lang w:val="el-GR"/>
              </w:rPr>
              <w:t>Συχνές</w:t>
            </w:r>
          </w:p>
          <w:p w:rsidR="005E52FD" w:rsidRPr="00FF35A7" w:rsidRDefault="005E52FD" w:rsidP="00B23525">
            <w:pPr>
              <w:jc w:val="both"/>
              <w:rPr>
                <w:lang w:val="el-GR"/>
              </w:rPr>
            </w:pPr>
            <w:r w:rsidRPr="00FF35A7">
              <w:rPr>
                <w:lang w:val="el-GR"/>
              </w:rPr>
              <w:t>πόνος στο σημείο ένεσης</w:t>
            </w:r>
          </w:p>
        </w:tc>
        <w:tc>
          <w:tcPr>
            <w:tcW w:w="2735" w:type="pct"/>
            <w:tcBorders>
              <w:left w:val="nil"/>
              <w:bottom w:val="nil"/>
              <w:right w:val="single" w:sz="4" w:space="0" w:color="auto"/>
            </w:tcBorders>
            <w:vAlign w:val="center"/>
          </w:tcPr>
          <w:p w:rsidR="005E52FD" w:rsidRPr="00FF35A7" w:rsidRDefault="005E52FD" w:rsidP="00B23525">
            <w:pPr>
              <w:jc w:val="both"/>
              <w:rPr>
                <w:lang w:val="el-GR"/>
              </w:rPr>
            </w:pPr>
          </w:p>
          <w:p w:rsidR="005E52FD" w:rsidRPr="00FF35A7" w:rsidRDefault="005E52FD" w:rsidP="00B23525">
            <w:pPr>
              <w:jc w:val="both"/>
            </w:pPr>
            <w:r w:rsidRPr="00FF35A7">
              <w:rPr>
                <w:lang w:val="el-GR"/>
              </w:rPr>
              <w:t xml:space="preserve"> </w:t>
            </w:r>
            <w:r w:rsidRPr="00FF35A7">
              <w:t>8.1</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pPr>
              <w:jc w:val="both"/>
            </w:pPr>
            <w:r w:rsidRPr="00FF35A7">
              <w:rPr>
                <w:lang w:val="el-GR"/>
              </w:rPr>
              <w:t>ερεθισμός στο σημείο ένεσης</w:t>
            </w:r>
          </w:p>
        </w:tc>
        <w:tc>
          <w:tcPr>
            <w:tcW w:w="2735" w:type="pct"/>
            <w:tcBorders>
              <w:top w:val="nil"/>
              <w:left w:val="nil"/>
              <w:bottom w:val="nil"/>
              <w:right w:val="single" w:sz="4" w:space="0" w:color="auto"/>
            </w:tcBorders>
            <w:vAlign w:val="center"/>
          </w:tcPr>
          <w:p w:rsidR="005E52FD" w:rsidRPr="00FF35A7" w:rsidRDefault="005E52FD" w:rsidP="00B23525">
            <w:pPr>
              <w:jc w:val="both"/>
            </w:pPr>
            <w:r w:rsidRPr="00FF35A7">
              <w:t xml:space="preserve"> 4.4</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pPr>
              <w:jc w:val="both"/>
            </w:pPr>
            <w:r w:rsidRPr="00FF35A7">
              <w:rPr>
                <w:lang w:val="el-GR"/>
              </w:rPr>
              <w:t>ενόχληση στο σημείο ένεσης</w:t>
            </w:r>
          </w:p>
        </w:tc>
        <w:tc>
          <w:tcPr>
            <w:tcW w:w="2735" w:type="pct"/>
            <w:tcBorders>
              <w:top w:val="nil"/>
              <w:left w:val="nil"/>
              <w:bottom w:val="nil"/>
              <w:right w:val="single" w:sz="4" w:space="0" w:color="auto"/>
            </w:tcBorders>
            <w:vAlign w:val="center"/>
          </w:tcPr>
          <w:p w:rsidR="005E52FD" w:rsidRPr="00FF35A7" w:rsidRDefault="005E52FD" w:rsidP="00B23525">
            <w:pPr>
              <w:jc w:val="both"/>
            </w:pPr>
            <w:r w:rsidRPr="00FF35A7">
              <w:t xml:space="preserve"> 1.9</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pPr>
              <w:jc w:val="both"/>
              <w:rPr>
                <w:lang w:val="el-GR"/>
              </w:rPr>
            </w:pPr>
            <w:r w:rsidRPr="00FF35A7">
              <w:rPr>
                <w:lang w:val="el-GR"/>
              </w:rPr>
              <w:t xml:space="preserve">ερύθημα στο σημείο ένεσης </w:t>
            </w:r>
            <w:r w:rsidRPr="00FF35A7">
              <w:t>a</w:t>
            </w:r>
          </w:p>
        </w:tc>
        <w:tc>
          <w:tcPr>
            <w:tcW w:w="2735" w:type="pct"/>
            <w:tcBorders>
              <w:top w:val="nil"/>
              <w:left w:val="nil"/>
              <w:bottom w:val="nil"/>
              <w:right w:val="single" w:sz="4" w:space="0" w:color="auto"/>
            </w:tcBorders>
            <w:vAlign w:val="center"/>
          </w:tcPr>
          <w:p w:rsidR="005E52FD" w:rsidRPr="00FF35A7" w:rsidRDefault="005E52FD" w:rsidP="00B23525">
            <w:pPr>
              <w:jc w:val="both"/>
            </w:pPr>
            <w:r w:rsidRPr="00FF35A7">
              <w:rPr>
                <w:lang w:val="el-GR"/>
              </w:rPr>
              <w:t xml:space="preserve"> </w:t>
            </w:r>
            <w:r w:rsidRPr="00FF35A7">
              <w:t>1.3</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pPr>
              <w:jc w:val="both"/>
            </w:pPr>
            <w:r w:rsidRPr="00FF35A7">
              <w:rPr>
                <w:lang w:val="el-GR"/>
              </w:rPr>
              <w:t>μώλωπας στο σημείο ένεσης</w:t>
            </w:r>
          </w:p>
        </w:tc>
        <w:tc>
          <w:tcPr>
            <w:tcW w:w="2735" w:type="pct"/>
            <w:tcBorders>
              <w:top w:val="nil"/>
              <w:left w:val="nil"/>
              <w:bottom w:val="nil"/>
              <w:right w:val="single" w:sz="4" w:space="0" w:color="auto"/>
            </w:tcBorders>
            <w:vAlign w:val="center"/>
          </w:tcPr>
          <w:p w:rsidR="005E52FD" w:rsidRPr="00FF35A7" w:rsidRDefault="005E52FD" w:rsidP="00B23525">
            <w:pPr>
              <w:jc w:val="both"/>
            </w:pPr>
            <w:r w:rsidRPr="00FF35A7">
              <w:t xml:space="preserve"> 1.3</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pPr>
              <w:jc w:val="both"/>
            </w:pPr>
          </w:p>
        </w:tc>
        <w:tc>
          <w:tcPr>
            <w:tcW w:w="2735" w:type="pct"/>
            <w:tcBorders>
              <w:top w:val="nil"/>
              <w:left w:val="nil"/>
              <w:bottom w:val="nil"/>
              <w:right w:val="single" w:sz="4" w:space="0" w:color="auto"/>
            </w:tcBorders>
            <w:vAlign w:val="center"/>
          </w:tcPr>
          <w:p w:rsidR="005E52FD" w:rsidRPr="00FF35A7" w:rsidRDefault="005E52FD" w:rsidP="00B23525">
            <w:pPr>
              <w:jc w:val="both"/>
            </w:pP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B81B1E" w:rsidP="00B23525">
            <w:pPr>
              <w:rPr>
                <w:b/>
                <w:i/>
                <w:lang w:val="el-GR"/>
              </w:rPr>
            </w:pPr>
            <w:r w:rsidRPr="00FF35A7">
              <w:rPr>
                <w:b/>
                <w:i/>
                <w:lang w:val="el-GR"/>
              </w:rPr>
              <w:t>Μη-σ</w:t>
            </w:r>
            <w:r w:rsidR="005E52FD" w:rsidRPr="00FF35A7">
              <w:rPr>
                <w:b/>
                <w:i/>
                <w:lang w:val="el-GR"/>
              </w:rPr>
              <w:t>υχνές</w:t>
            </w:r>
          </w:p>
          <w:p w:rsidR="005E52FD" w:rsidRPr="00FF35A7" w:rsidRDefault="00441962" w:rsidP="00B23525">
            <w:pPr>
              <w:rPr>
                <w:lang w:val="el-GR"/>
              </w:rPr>
            </w:pPr>
            <w:r w:rsidRPr="00FF35A7">
              <w:rPr>
                <w:lang w:val="el-GR"/>
              </w:rPr>
              <w:t xml:space="preserve">αντίδραση στο σημείο ένεσης </w:t>
            </w:r>
          </w:p>
        </w:tc>
        <w:tc>
          <w:tcPr>
            <w:tcW w:w="2735" w:type="pct"/>
            <w:tcBorders>
              <w:top w:val="nil"/>
              <w:left w:val="nil"/>
              <w:bottom w:val="nil"/>
              <w:right w:val="single" w:sz="4" w:space="0" w:color="auto"/>
            </w:tcBorders>
            <w:vAlign w:val="center"/>
          </w:tcPr>
          <w:p w:rsidR="00441962" w:rsidRPr="00FF35A7" w:rsidRDefault="005E52FD" w:rsidP="00B23525">
            <w:pPr>
              <w:jc w:val="both"/>
              <w:rPr>
                <w:lang w:val="el-GR"/>
              </w:rPr>
            </w:pPr>
            <w:r w:rsidRPr="00FF35A7">
              <w:rPr>
                <w:lang w:val="el-GR"/>
              </w:rPr>
              <w:t xml:space="preserve"> </w:t>
            </w:r>
          </w:p>
          <w:p w:rsidR="005E52FD" w:rsidRPr="00FF35A7" w:rsidRDefault="00441962" w:rsidP="00B23525">
            <w:pPr>
              <w:jc w:val="both"/>
              <w:rPr>
                <w:lang w:val="el-GR"/>
              </w:rPr>
            </w:pPr>
            <w:r w:rsidRPr="00FF35A7">
              <w:rPr>
                <w:lang w:val="el-GR"/>
              </w:rPr>
              <w:t xml:space="preserve"> </w:t>
            </w:r>
            <w:r w:rsidR="005E52FD" w:rsidRPr="00FF35A7">
              <w:t>0.6</w:t>
            </w:r>
          </w:p>
        </w:tc>
      </w:tr>
      <w:tr w:rsidR="00441962" w:rsidRPr="00FF35A7" w:rsidTr="00441962">
        <w:trPr>
          <w:jc w:val="center"/>
        </w:trPr>
        <w:tc>
          <w:tcPr>
            <w:tcW w:w="2265" w:type="pct"/>
            <w:tcBorders>
              <w:top w:val="nil"/>
              <w:left w:val="single" w:sz="4" w:space="0" w:color="auto"/>
              <w:bottom w:val="nil"/>
              <w:right w:val="nil"/>
            </w:tcBorders>
          </w:tcPr>
          <w:p w:rsidR="00441962" w:rsidRPr="00FF35A7" w:rsidRDefault="00441962" w:rsidP="00B23525">
            <w:pPr>
              <w:rPr>
                <w:lang w:val="el-GR"/>
              </w:rPr>
            </w:pPr>
            <w:r w:rsidRPr="00FF35A7">
              <w:rPr>
                <w:lang w:val="el-GR"/>
              </w:rPr>
              <w:t>πρήξιμο στο σημείο ένεσης</w:t>
            </w:r>
          </w:p>
        </w:tc>
        <w:tc>
          <w:tcPr>
            <w:tcW w:w="2735" w:type="pct"/>
            <w:tcBorders>
              <w:top w:val="nil"/>
              <w:left w:val="nil"/>
              <w:bottom w:val="nil"/>
              <w:right w:val="single" w:sz="4" w:space="0" w:color="auto"/>
            </w:tcBorders>
            <w:vAlign w:val="center"/>
          </w:tcPr>
          <w:p w:rsidR="00441962" w:rsidRPr="00FF35A7" w:rsidRDefault="00441962" w:rsidP="00B23525">
            <w:pPr>
              <w:jc w:val="both"/>
            </w:pPr>
            <w:r w:rsidRPr="00FF35A7">
              <w:rPr>
                <w:lang w:val="el-GR"/>
              </w:rPr>
              <w:t xml:space="preserve"> </w:t>
            </w:r>
            <w:r w:rsidRPr="00FF35A7">
              <w:t>0.6</w:t>
            </w:r>
          </w:p>
        </w:tc>
      </w:tr>
      <w:tr w:rsidR="005E52FD" w:rsidRPr="00FF35A7" w:rsidTr="00441962">
        <w:trPr>
          <w:jc w:val="center"/>
        </w:trPr>
        <w:tc>
          <w:tcPr>
            <w:tcW w:w="2265" w:type="pct"/>
            <w:tcBorders>
              <w:top w:val="nil"/>
              <w:left w:val="single" w:sz="4" w:space="0" w:color="auto"/>
              <w:bottom w:val="nil"/>
              <w:right w:val="nil"/>
            </w:tcBorders>
          </w:tcPr>
          <w:p w:rsidR="005E52FD" w:rsidRPr="00FF35A7" w:rsidRDefault="005E52FD" w:rsidP="00B23525">
            <w:r w:rsidRPr="00FF35A7">
              <w:rPr>
                <w:lang w:val="el-GR"/>
              </w:rPr>
              <w:t>τραύμα στο σημείο ένεσης</w:t>
            </w:r>
          </w:p>
        </w:tc>
        <w:tc>
          <w:tcPr>
            <w:tcW w:w="2735" w:type="pct"/>
            <w:tcBorders>
              <w:top w:val="nil"/>
              <w:left w:val="nil"/>
              <w:bottom w:val="nil"/>
              <w:right w:val="single" w:sz="4" w:space="0" w:color="auto"/>
            </w:tcBorders>
            <w:vAlign w:val="center"/>
          </w:tcPr>
          <w:p w:rsidR="005E52FD" w:rsidRPr="00FF35A7" w:rsidRDefault="005E52FD" w:rsidP="00B23525">
            <w:pPr>
              <w:jc w:val="both"/>
            </w:pPr>
            <w:r w:rsidRPr="00FF35A7">
              <w:t xml:space="preserve"> 0.6</w:t>
            </w:r>
          </w:p>
        </w:tc>
      </w:tr>
      <w:tr w:rsidR="005E52FD" w:rsidRPr="00FF35A7" w:rsidTr="00441962">
        <w:trPr>
          <w:jc w:val="center"/>
        </w:trPr>
        <w:tc>
          <w:tcPr>
            <w:tcW w:w="2265" w:type="pct"/>
            <w:tcBorders>
              <w:top w:val="nil"/>
              <w:left w:val="single" w:sz="4" w:space="0" w:color="auto"/>
              <w:right w:val="nil"/>
            </w:tcBorders>
          </w:tcPr>
          <w:p w:rsidR="005E52FD" w:rsidRPr="00FF35A7" w:rsidRDefault="005E52FD" w:rsidP="00B23525">
            <w:pPr>
              <w:rPr>
                <w:lang w:val="el-GR"/>
              </w:rPr>
            </w:pPr>
            <w:r w:rsidRPr="00FF35A7">
              <w:rPr>
                <w:lang w:val="el-GR"/>
              </w:rPr>
              <w:t>αιμορραγία στο σημείο ένεσης</w:t>
            </w:r>
            <w:r w:rsidRPr="00FF35A7">
              <w:t xml:space="preserve"> </w:t>
            </w:r>
          </w:p>
        </w:tc>
        <w:tc>
          <w:tcPr>
            <w:tcW w:w="2735" w:type="pct"/>
            <w:tcBorders>
              <w:top w:val="nil"/>
              <w:left w:val="nil"/>
              <w:right w:val="single" w:sz="4" w:space="0" w:color="auto"/>
            </w:tcBorders>
            <w:vAlign w:val="center"/>
          </w:tcPr>
          <w:p w:rsidR="005E52FD" w:rsidRPr="00FF35A7" w:rsidRDefault="005E52FD" w:rsidP="00B23525">
            <w:pPr>
              <w:jc w:val="both"/>
            </w:pPr>
            <w:r w:rsidRPr="00FF35A7">
              <w:t xml:space="preserve"> 0.6</w:t>
            </w:r>
          </w:p>
        </w:tc>
      </w:tr>
    </w:tbl>
    <w:p w:rsidR="00B1122A" w:rsidRPr="00FF35A7" w:rsidRDefault="00B1122A" w:rsidP="00B23525">
      <w:pPr>
        <w:jc w:val="both"/>
        <w:rPr>
          <w:lang w:val="el-GR"/>
        </w:rPr>
      </w:pPr>
      <w:r w:rsidRPr="00FF35A7">
        <w:rPr>
          <w:lang w:val="el-GR"/>
        </w:rPr>
        <w:t xml:space="preserve">*Ο κάθε ασθενής μπορεί να ανήκει σε περισσότερες από μία κατηγορία. </w:t>
      </w:r>
      <w:r w:rsidRPr="00FF35A7">
        <w:t>LAR</w:t>
      </w:r>
      <w:r w:rsidRPr="00FF35A7">
        <w:rPr>
          <w:lang w:val="el-GR"/>
        </w:rPr>
        <w:t xml:space="preserve">: Τοπικές ανεπιθύμητες ενέργειες, </w:t>
      </w:r>
      <w:r w:rsidRPr="00FF35A7">
        <w:t>SOC</w:t>
      </w:r>
      <w:r w:rsidRPr="00FF35A7">
        <w:rPr>
          <w:lang w:val="el-GR"/>
        </w:rPr>
        <w:t>: Κατηγορία οργανικού συστήματος.</w:t>
      </w:r>
    </w:p>
    <w:p w:rsidR="002B3EDF" w:rsidRPr="00FF35A7" w:rsidRDefault="002B3EDF" w:rsidP="00B23525">
      <w:pPr>
        <w:pStyle w:val="a4"/>
        <w:jc w:val="both"/>
        <w:rPr>
          <w:rFonts w:ascii="Times New Roman" w:hAnsi="Times New Roman"/>
          <w:color w:val="auto"/>
          <w:sz w:val="24"/>
          <w:lang w:val="el-GR"/>
        </w:rPr>
      </w:pPr>
    </w:p>
    <w:p w:rsidR="002B3EDF" w:rsidRPr="00FF35A7" w:rsidRDefault="002B3EDF"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Στην επαναλαμβανόμενη χορήγηση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B1122A" w:rsidRPr="00FF35A7">
        <w:rPr>
          <w:rFonts w:ascii="Times New Roman" w:hAnsi="Times New Roman"/>
          <w:color w:val="auto"/>
          <w:sz w:val="24"/>
          <w:lang w:val="el-GR"/>
        </w:rPr>
        <w:t xml:space="preserve"> </w:t>
      </w:r>
      <w:r w:rsidR="00B1122A" w:rsidRPr="00FF35A7">
        <w:rPr>
          <w:rFonts w:ascii="Times New Roman" w:hAnsi="Times New Roman"/>
          <w:color w:val="auto"/>
          <w:sz w:val="24"/>
        </w:rPr>
        <w:t>Depot</w:t>
      </w:r>
      <w:r w:rsidRPr="00FF35A7">
        <w:rPr>
          <w:rFonts w:ascii="Times New Roman" w:hAnsi="Times New Roman"/>
          <w:color w:val="auto"/>
          <w:sz w:val="24"/>
          <w:lang w:val="el-GR"/>
        </w:rPr>
        <w:t>,</w:t>
      </w:r>
      <w:r w:rsidR="00073EB0" w:rsidRPr="00FF35A7">
        <w:rPr>
          <w:rFonts w:ascii="Times New Roman" w:hAnsi="Times New Roman"/>
          <w:color w:val="auto"/>
          <w:sz w:val="24"/>
          <w:lang w:val="el-GR"/>
        </w:rPr>
        <w:t xml:space="preserve"> </w:t>
      </w:r>
      <w:r w:rsidRPr="00FF35A7">
        <w:rPr>
          <w:rFonts w:ascii="Times New Roman" w:hAnsi="Times New Roman"/>
          <w:color w:val="auto"/>
          <w:sz w:val="24"/>
          <w:lang w:val="el-GR"/>
        </w:rPr>
        <w:t>το πρήξιμο (0</w:t>
      </w:r>
      <w:r w:rsidR="00D47CA0" w:rsidRPr="00FF35A7">
        <w:rPr>
          <w:rFonts w:ascii="Times New Roman" w:hAnsi="Times New Roman"/>
          <w:color w:val="auto"/>
          <w:sz w:val="24"/>
          <w:lang w:val="el-GR"/>
        </w:rPr>
        <w:t>,</w:t>
      </w:r>
      <w:r w:rsidRPr="00FF35A7">
        <w:rPr>
          <w:rFonts w:ascii="Times New Roman" w:hAnsi="Times New Roman"/>
          <w:color w:val="auto"/>
          <w:sz w:val="24"/>
          <w:lang w:val="el-GR"/>
        </w:rPr>
        <w:t>6%), ο πόνος (0</w:t>
      </w:r>
      <w:r w:rsidR="00D47CA0" w:rsidRPr="00FF35A7">
        <w:rPr>
          <w:rFonts w:ascii="Times New Roman" w:hAnsi="Times New Roman"/>
          <w:color w:val="auto"/>
          <w:sz w:val="24"/>
          <w:lang w:val="el-GR"/>
        </w:rPr>
        <w:t>,</w:t>
      </w:r>
      <w:r w:rsidRPr="00FF35A7">
        <w:rPr>
          <w:rFonts w:ascii="Times New Roman" w:hAnsi="Times New Roman"/>
          <w:color w:val="auto"/>
          <w:sz w:val="24"/>
          <w:lang w:val="el-GR"/>
        </w:rPr>
        <w:t>6%), ο μώλωπας (0</w:t>
      </w:r>
      <w:r w:rsidR="00D47CA0" w:rsidRPr="00FF35A7">
        <w:rPr>
          <w:rFonts w:ascii="Times New Roman" w:hAnsi="Times New Roman"/>
          <w:color w:val="auto"/>
          <w:sz w:val="24"/>
          <w:lang w:val="el-GR"/>
        </w:rPr>
        <w:t>,</w:t>
      </w:r>
      <w:r w:rsidRPr="00FF35A7">
        <w:rPr>
          <w:rFonts w:ascii="Times New Roman" w:hAnsi="Times New Roman"/>
          <w:color w:val="auto"/>
          <w:sz w:val="24"/>
          <w:lang w:val="el-GR"/>
        </w:rPr>
        <w:t>6%) και ο ερεθισμός (0</w:t>
      </w:r>
      <w:r w:rsidR="00D47CA0" w:rsidRPr="00FF35A7">
        <w:rPr>
          <w:rFonts w:ascii="Times New Roman" w:hAnsi="Times New Roman"/>
          <w:color w:val="auto"/>
          <w:sz w:val="24"/>
          <w:lang w:val="el-GR"/>
        </w:rPr>
        <w:t>,</w:t>
      </w:r>
      <w:r w:rsidRPr="00FF35A7">
        <w:rPr>
          <w:rFonts w:ascii="Times New Roman" w:hAnsi="Times New Roman"/>
          <w:color w:val="auto"/>
          <w:sz w:val="24"/>
          <w:lang w:val="el-GR"/>
        </w:rPr>
        <w:t>6%), αναφέρθηκαν ως επαναλαμβανόμενες τοπικές ανεπιθύμητες ενέργειες. Σε όλες αυτές τις περιπτώσεις, οι ενέργειες χαρακτηρίστηκαν από ήπιες έως μέτριες.  Κανένας ασθενής δε διέκοψε τη θεραπεία λόγω των τοπικών ανεπιθύμητων ενεργειών.</w:t>
      </w:r>
    </w:p>
    <w:p w:rsidR="00A47FF5" w:rsidRPr="00FF35A7" w:rsidRDefault="00A47FF5" w:rsidP="00B23525">
      <w:pPr>
        <w:pStyle w:val="a4"/>
        <w:jc w:val="both"/>
        <w:rPr>
          <w:rFonts w:ascii="Times New Roman" w:hAnsi="Times New Roman"/>
          <w:color w:val="auto"/>
          <w:sz w:val="24"/>
          <w:lang w:val="el-GR"/>
        </w:rPr>
      </w:pPr>
    </w:p>
    <w:p w:rsidR="00A47FF5" w:rsidRPr="00FF35A7" w:rsidRDefault="00A47FF5"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lastRenderedPageBreak/>
        <w:t>Στη Φάση Ι</w:t>
      </w:r>
      <w:r w:rsidR="00073EB0" w:rsidRPr="00FF35A7">
        <w:rPr>
          <w:rFonts w:ascii="Times New Roman" w:hAnsi="Times New Roman"/>
          <w:color w:val="auto"/>
          <w:sz w:val="24"/>
          <w:lang w:val="el-GR"/>
        </w:rPr>
        <w:t xml:space="preserve"> </w:t>
      </w:r>
      <w:r w:rsidRPr="00FF35A7">
        <w:rPr>
          <w:rFonts w:ascii="Times New Roman" w:hAnsi="Times New Roman"/>
          <w:color w:val="auto"/>
          <w:sz w:val="24"/>
          <w:lang w:val="el-GR"/>
        </w:rPr>
        <w:t xml:space="preserve">της κλινικής δοκιμής με αριθμό </w:t>
      </w:r>
      <w:r w:rsidRPr="00FF35A7">
        <w:rPr>
          <w:rFonts w:ascii="Times New Roman" w:hAnsi="Times New Roman"/>
          <w:color w:val="auto"/>
          <w:sz w:val="24"/>
        </w:rPr>
        <w:t>CRO</w:t>
      </w:r>
      <w:r w:rsidRPr="00FF35A7">
        <w:rPr>
          <w:rFonts w:ascii="Times New Roman" w:hAnsi="Times New Roman"/>
          <w:color w:val="auto"/>
          <w:sz w:val="24"/>
          <w:lang w:val="el-GR"/>
        </w:rPr>
        <w:t xml:space="preserve">-02-43 που έγινε σε </w:t>
      </w:r>
      <w:r w:rsidR="00A20F4B" w:rsidRPr="00FF35A7">
        <w:rPr>
          <w:rFonts w:ascii="Times New Roman" w:hAnsi="Times New Roman"/>
          <w:color w:val="auto"/>
          <w:sz w:val="24"/>
          <w:lang w:val="el-GR"/>
        </w:rPr>
        <w:t>υγιή</w:t>
      </w:r>
      <w:r w:rsidRPr="00FF35A7">
        <w:rPr>
          <w:rFonts w:ascii="Times New Roman" w:hAnsi="Times New Roman"/>
          <w:color w:val="auto"/>
          <w:sz w:val="24"/>
          <w:lang w:val="el-GR"/>
        </w:rPr>
        <w:t xml:space="preserve"> </w:t>
      </w:r>
      <w:r w:rsidR="00A20F4B" w:rsidRPr="00FF35A7">
        <w:rPr>
          <w:rFonts w:ascii="Times New Roman" w:hAnsi="Times New Roman"/>
          <w:color w:val="auto"/>
          <w:sz w:val="24"/>
          <w:lang w:val="el-GR"/>
        </w:rPr>
        <w:t>άτομα</w:t>
      </w:r>
      <w:r w:rsidRPr="00FF35A7">
        <w:rPr>
          <w:rFonts w:ascii="Times New Roman" w:hAnsi="Times New Roman"/>
          <w:color w:val="auto"/>
          <w:sz w:val="24"/>
          <w:lang w:val="el-GR"/>
        </w:rPr>
        <w:t xml:space="preserve">  με χορήγηση μίας δόσης </w:t>
      </w:r>
      <w:proofErr w:type="spellStart"/>
      <w:r w:rsidR="005036E5" w:rsidRPr="00FF35A7">
        <w:rPr>
          <w:rFonts w:ascii="Times New Roman" w:hAnsi="Times New Roman"/>
          <w:color w:val="auto"/>
          <w:sz w:val="24"/>
        </w:rPr>
        <w:t>Leuprolide</w:t>
      </w:r>
      <w:proofErr w:type="spellEnd"/>
      <w:r w:rsidR="005036E5" w:rsidRPr="00FF35A7">
        <w:rPr>
          <w:rFonts w:ascii="Times New Roman" w:hAnsi="Times New Roman"/>
          <w:color w:val="auto"/>
          <w:sz w:val="24"/>
          <w:lang w:val="el-GR"/>
        </w:rPr>
        <w:t xml:space="preserve"> </w:t>
      </w:r>
      <w:r w:rsidR="005036E5" w:rsidRPr="00FF35A7">
        <w:rPr>
          <w:rFonts w:ascii="Times New Roman" w:hAnsi="Times New Roman"/>
          <w:color w:val="auto"/>
          <w:sz w:val="24"/>
        </w:rPr>
        <w:t>Depot</w:t>
      </w:r>
      <w:r w:rsidR="005036E5" w:rsidRPr="00FF35A7">
        <w:rPr>
          <w:rFonts w:ascii="Times New Roman" w:hAnsi="Times New Roman"/>
          <w:color w:val="auto"/>
          <w:sz w:val="24"/>
          <w:lang w:val="el-GR"/>
        </w:rPr>
        <w:t xml:space="preserve"> </w:t>
      </w:r>
      <w:r w:rsidR="005036E5" w:rsidRPr="00FF35A7">
        <w:rPr>
          <w:rFonts w:ascii="Times New Roman" w:hAnsi="Times New Roman"/>
          <w:color w:val="auto"/>
          <w:sz w:val="24"/>
        </w:rPr>
        <w:t>GP</w:t>
      </w:r>
      <w:r w:rsidR="005036E5" w:rsidRPr="00FF35A7">
        <w:rPr>
          <w:rFonts w:ascii="Times New Roman" w:hAnsi="Times New Roman"/>
          <w:color w:val="auto"/>
          <w:sz w:val="24"/>
          <w:lang w:val="el-GR"/>
        </w:rPr>
        <w:t>-</w:t>
      </w:r>
      <w:proofErr w:type="spellStart"/>
      <w:r w:rsidR="005036E5" w:rsidRPr="00FF35A7">
        <w:rPr>
          <w:rFonts w:ascii="Times New Roman" w:hAnsi="Times New Roman"/>
          <w:color w:val="auto"/>
          <w:sz w:val="24"/>
        </w:rPr>
        <w:t>Pharm</w:t>
      </w:r>
      <w:proofErr w:type="spellEnd"/>
      <w:r w:rsidR="005036E5" w:rsidRPr="00FF35A7">
        <w:rPr>
          <w:rFonts w:ascii="Times New Roman" w:hAnsi="Times New Roman"/>
          <w:color w:val="auto"/>
          <w:sz w:val="24"/>
          <w:lang w:val="el-GR"/>
        </w:rPr>
        <w:t xml:space="preserve"> 7.5</w:t>
      </w:r>
      <w:r w:rsidR="005036E5" w:rsidRPr="00FF35A7">
        <w:rPr>
          <w:rFonts w:ascii="Times New Roman" w:hAnsi="Times New Roman"/>
          <w:color w:val="auto"/>
          <w:sz w:val="24"/>
        </w:rPr>
        <w:t>mg</w:t>
      </w:r>
      <w:r w:rsidRPr="00FF35A7">
        <w:rPr>
          <w:rFonts w:ascii="Times New Roman" w:hAnsi="Times New Roman"/>
          <w:color w:val="auto"/>
          <w:sz w:val="24"/>
          <w:lang w:val="el-GR"/>
        </w:rPr>
        <w:t>, υπήρξε μία περίπτωση σκλήρυνσης στο σημείο της ένεσης.</w:t>
      </w:r>
    </w:p>
    <w:p w:rsidR="009C26D5" w:rsidRPr="00FF35A7" w:rsidRDefault="00A47FF5" w:rsidP="00B23525">
      <w:pPr>
        <w:pStyle w:val="a4"/>
        <w:jc w:val="both"/>
        <w:rPr>
          <w:rFonts w:ascii="Times New Roman" w:hAnsi="Times New Roman"/>
          <w:iCs/>
          <w:color w:val="auto"/>
          <w:sz w:val="24"/>
          <w:lang w:val="el-GR"/>
        </w:rPr>
      </w:pPr>
      <w:r w:rsidRPr="00FF35A7">
        <w:rPr>
          <w:rFonts w:ascii="Times New Roman" w:hAnsi="Times New Roman"/>
          <w:color w:val="auto"/>
          <w:sz w:val="24"/>
          <w:lang w:val="el-GR"/>
        </w:rPr>
        <w:t xml:space="preserve">Άλλες ανεπιθύμητες ενέργειες που αναφέρθηκαν σχετικά με τη θεραπεία με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συμπεριλαμβάνουν ανικανότητα, μείωση της </w:t>
      </w:r>
      <w:r w:rsidRPr="00FF35A7">
        <w:rPr>
          <w:rFonts w:ascii="Times New Roman" w:hAnsi="Times New Roman"/>
          <w:color w:val="auto"/>
          <w:sz w:val="24"/>
        </w:rPr>
        <w:t>libido</w:t>
      </w:r>
      <w:r w:rsidRPr="00FF35A7">
        <w:rPr>
          <w:rFonts w:ascii="Times New Roman" w:hAnsi="Times New Roman"/>
          <w:color w:val="auto"/>
          <w:sz w:val="24"/>
          <w:lang w:val="el-GR"/>
        </w:rPr>
        <w:t xml:space="preserve"> (οι δύο αυ</w:t>
      </w:r>
      <w:r w:rsidR="009E1E57" w:rsidRPr="00FF35A7">
        <w:rPr>
          <w:rFonts w:ascii="Times New Roman" w:hAnsi="Times New Roman"/>
          <w:color w:val="auto"/>
          <w:sz w:val="24"/>
          <w:lang w:val="el-GR"/>
        </w:rPr>
        <w:t xml:space="preserve">τές </w:t>
      </w:r>
      <w:r w:rsidR="00073EB0" w:rsidRPr="00FF35A7">
        <w:rPr>
          <w:rFonts w:ascii="Times New Roman" w:hAnsi="Times New Roman"/>
          <w:color w:val="auto"/>
          <w:sz w:val="24"/>
          <w:lang w:val="el-GR"/>
        </w:rPr>
        <w:t>περιπτώσεις</w:t>
      </w:r>
      <w:r w:rsidR="009E1E57" w:rsidRPr="00FF35A7">
        <w:rPr>
          <w:rFonts w:ascii="Times New Roman" w:hAnsi="Times New Roman"/>
          <w:color w:val="auto"/>
          <w:sz w:val="24"/>
          <w:lang w:val="el-GR"/>
        </w:rPr>
        <w:t xml:space="preserve"> σχετίζονται με τη</w:t>
      </w:r>
      <w:r w:rsidRPr="00FF35A7">
        <w:rPr>
          <w:rFonts w:ascii="Times New Roman" w:hAnsi="Times New Roman"/>
          <w:color w:val="auto"/>
          <w:sz w:val="24"/>
          <w:lang w:val="el-GR"/>
        </w:rPr>
        <w:t xml:space="preserve"> </w:t>
      </w:r>
      <w:r w:rsidR="009E1E57" w:rsidRPr="00FF35A7">
        <w:rPr>
          <w:rFonts w:ascii="Times New Roman" w:hAnsi="Times New Roman"/>
          <w:color w:val="auto"/>
          <w:sz w:val="24"/>
          <w:lang w:val="el-GR"/>
        </w:rPr>
        <w:t>στέρηση</w:t>
      </w:r>
      <w:r w:rsidRPr="00FF35A7">
        <w:rPr>
          <w:rFonts w:ascii="Times New Roman" w:hAnsi="Times New Roman"/>
          <w:color w:val="auto"/>
          <w:sz w:val="24"/>
          <w:lang w:val="el-GR"/>
        </w:rPr>
        <w:t xml:space="preserve"> τεστοστερόνης), </w:t>
      </w:r>
      <w:r w:rsidR="00D059D4" w:rsidRPr="00FF35A7">
        <w:rPr>
          <w:rFonts w:ascii="Times New Roman" w:hAnsi="Times New Roman"/>
          <w:color w:val="auto"/>
          <w:sz w:val="24"/>
          <w:lang w:val="el-GR"/>
        </w:rPr>
        <w:t xml:space="preserve">περιφερικό οίδημα, πνευμονική εμβολή, αίσθημα παλμών, μυαλγία, αδυναμία μυών, κρυάδες, δύσπνοια, περιφερικός ίλιγγος, εξάνθημα, αμνησία, διαταραχές στην όραση και αίσθημα του δέρματος. </w:t>
      </w:r>
      <w:r w:rsidR="00164033" w:rsidRPr="00FF35A7">
        <w:rPr>
          <w:rFonts w:ascii="Times New Roman" w:hAnsi="Times New Roman"/>
          <w:color w:val="auto"/>
          <w:sz w:val="24"/>
          <w:lang w:val="el-GR"/>
        </w:rPr>
        <w:t>Έχουν υπάρξει σπάνιες αναφορές για έ</w:t>
      </w:r>
      <w:r w:rsidR="005A253E" w:rsidRPr="00FF35A7">
        <w:rPr>
          <w:rFonts w:ascii="Times New Roman" w:hAnsi="Times New Roman"/>
          <w:iCs/>
          <w:color w:val="auto"/>
          <w:sz w:val="24"/>
          <w:lang w:val="el-GR"/>
        </w:rPr>
        <w:t>µφραγµα</w:t>
      </w:r>
      <w:r w:rsidR="005A253E" w:rsidRPr="00FF35A7">
        <w:rPr>
          <w:rFonts w:ascii="Times New Roman" w:hAnsi="Times New Roman"/>
          <w:color w:val="auto"/>
          <w:sz w:val="24"/>
          <w:lang w:val="el-GR"/>
        </w:rPr>
        <w:t xml:space="preserve"> </w:t>
      </w:r>
      <w:r w:rsidR="00164033" w:rsidRPr="00FF35A7">
        <w:rPr>
          <w:rFonts w:ascii="Times New Roman" w:hAnsi="Times New Roman"/>
          <w:color w:val="auto"/>
          <w:sz w:val="24"/>
          <w:lang w:val="el-GR"/>
        </w:rPr>
        <w:t>προϋπάρχοντος</w:t>
      </w:r>
      <w:r w:rsidR="005A253E" w:rsidRPr="00FF35A7">
        <w:rPr>
          <w:rFonts w:ascii="Times New Roman" w:hAnsi="Times New Roman"/>
          <w:color w:val="auto"/>
          <w:sz w:val="24"/>
          <w:lang w:val="el-GR"/>
        </w:rPr>
        <w:t xml:space="preserve"> </w:t>
      </w:r>
      <w:r w:rsidR="005A253E" w:rsidRPr="00FF35A7">
        <w:rPr>
          <w:rFonts w:ascii="Times New Roman" w:hAnsi="Times New Roman"/>
          <w:iCs/>
          <w:color w:val="auto"/>
          <w:sz w:val="24"/>
          <w:lang w:val="el-GR"/>
        </w:rPr>
        <w:t>αδενώµατος της υπόφυσης μετά από χορήγηση</w:t>
      </w:r>
      <w:r w:rsidR="00073EB0" w:rsidRPr="00FF35A7">
        <w:rPr>
          <w:rFonts w:ascii="Times New Roman" w:hAnsi="Times New Roman"/>
          <w:iCs/>
          <w:color w:val="auto"/>
          <w:sz w:val="24"/>
          <w:lang w:val="el-GR"/>
        </w:rPr>
        <w:t xml:space="preserve"> μικρής ή μακράς δράσης</w:t>
      </w:r>
      <w:r w:rsidR="005A253E" w:rsidRPr="00FF35A7">
        <w:rPr>
          <w:rFonts w:ascii="Times New Roman" w:hAnsi="Times New Roman"/>
          <w:iCs/>
          <w:color w:val="auto"/>
          <w:sz w:val="24"/>
          <w:lang w:val="el-GR"/>
        </w:rPr>
        <w:t xml:space="preserve"> αγωνιστών</w:t>
      </w:r>
      <w:r w:rsidR="00073EB0" w:rsidRPr="00FF35A7">
        <w:rPr>
          <w:rFonts w:ascii="Times New Roman" w:hAnsi="Times New Roman"/>
          <w:iCs/>
          <w:color w:val="auto"/>
          <w:sz w:val="24"/>
          <w:lang w:val="el-GR"/>
        </w:rPr>
        <w:t xml:space="preserve"> της</w:t>
      </w:r>
      <w:r w:rsidR="005A253E" w:rsidRPr="00FF35A7">
        <w:rPr>
          <w:rFonts w:ascii="Times New Roman" w:hAnsi="Times New Roman"/>
          <w:iCs/>
          <w:color w:val="auto"/>
          <w:sz w:val="24"/>
          <w:lang w:val="el-GR"/>
        </w:rPr>
        <w:t xml:space="preserve"> </w:t>
      </w:r>
      <w:r w:rsidR="005A253E" w:rsidRPr="00FF35A7">
        <w:rPr>
          <w:rFonts w:ascii="Times New Roman" w:hAnsi="Times New Roman"/>
          <w:iCs/>
          <w:color w:val="auto"/>
          <w:sz w:val="24"/>
        </w:rPr>
        <w:t>LHRH</w:t>
      </w:r>
      <w:r w:rsidR="005A253E" w:rsidRPr="00FF35A7">
        <w:rPr>
          <w:rFonts w:ascii="Times New Roman" w:hAnsi="Times New Roman"/>
          <w:iCs/>
          <w:color w:val="auto"/>
          <w:sz w:val="24"/>
          <w:lang w:val="el-GR"/>
        </w:rPr>
        <w:t>.</w:t>
      </w:r>
      <w:r w:rsidR="00164033" w:rsidRPr="00FF35A7">
        <w:rPr>
          <w:rFonts w:ascii="Times New Roman" w:hAnsi="Times New Roman"/>
          <w:iCs/>
          <w:color w:val="auto"/>
          <w:sz w:val="24"/>
          <w:lang w:val="el-GR"/>
        </w:rPr>
        <w:t xml:space="preserve"> Έχουν υπάρξει σπάνιες αναφορές για θρομβοκυτοπενία και λευκοπενία. Έχουν αναφερθεί αλλαγές στην ανοχή της γλυκόζης.</w:t>
      </w:r>
    </w:p>
    <w:p w:rsidR="005440F2" w:rsidRPr="00FF35A7" w:rsidRDefault="005440F2" w:rsidP="00B23525">
      <w:pPr>
        <w:pStyle w:val="a4"/>
        <w:rPr>
          <w:rFonts w:ascii="Times New Roman" w:hAnsi="Times New Roman"/>
          <w:color w:val="auto"/>
          <w:sz w:val="24"/>
          <w:lang w:val="el-GR"/>
        </w:rPr>
      </w:pPr>
    </w:p>
    <w:p w:rsidR="005440F2" w:rsidRPr="00FF35A7" w:rsidRDefault="005440F2" w:rsidP="00B23525">
      <w:pPr>
        <w:pStyle w:val="a4"/>
        <w:jc w:val="both"/>
        <w:rPr>
          <w:rFonts w:ascii="Times New Roman" w:hAnsi="Times New Roman"/>
          <w:color w:val="auto"/>
          <w:sz w:val="24"/>
          <w:lang w:val="el-GR"/>
        </w:rPr>
      </w:pPr>
      <w:r w:rsidRPr="00FF35A7">
        <w:rPr>
          <w:rFonts w:ascii="Times New Roman" w:hAnsi="Times New Roman"/>
          <w:b/>
          <w:bCs/>
          <w:color w:val="auto"/>
          <w:sz w:val="24"/>
          <w:lang w:val="el-GR"/>
        </w:rPr>
        <w:t>4.9 Υπερδοσολογία</w:t>
      </w:r>
      <w:r w:rsidRPr="00FF35A7">
        <w:rPr>
          <w:rFonts w:ascii="Times New Roman" w:hAnsi="Times New Roman"/>
          <w:color w:val="auto"/>
          <w:sz w:val="24"/>
          <w:lang w:val="el-GR"/>
        </w:rPr>
        <w:t xml:space="preserve">  </w:t>
      </w:r>
    </w:p>
    <w:p w:rsidR="00E07AD8" w:rsidRPr="00FF35A7" w:rsidRDefault="005440F2"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Δεν υπάρχ</w:t>
      </w:r>
      <w:r w:rsidR="00BD7385" w:rsidRPr="00FF35A7">
        <w:rPr>
          <w:rFonts w:ascii="Times New Roman" w:hAnsi="Times New Roman"/>
          <w:color w:val="auto"/>
          <w:sz w:val="24"/>
          <w:lang w:val="el-GR"/>
        </w:rPr>
        <w:t xml:space="preserve">ει κλινική εμπειρία </w:t>
      </w:r>
      <w:r w:rsidR="00E07AD8" w:rsidRPr="00FF35A7">
        <w:rPr>
          <w:rFonts w:ascii="Times New Roman" w:hAnsi="Times New Roman"/>
          <w:color w:val="auto"/>
          <w:sz w:val="24"/>
          <w:lang w:val="el-GR"/>
        </w:rPr>
        <w:t xml:space="preserve">οξείας </w:t>
      </w:r>
      <w:r w:rsidR="00BD7385" w:rsidRPr="00FF35A7">
        <w:rPr>
          <w:rFonts w:ascii="Times New Roman" w:hAnsi="Times New Roman"/>
          <w:color w:val="auto"/>
          <w:sz w:val="24"/>
          <w:lang w:val="el-GR"/>
        </w:rPr>
        <w:t>υπερδοσολογίας</w:t>
      </w:r>
      <w:r w:rsidR="00E07AD8" w:rsidRPr="00FF35A7">
        <w:rPr>
          <w:rFonts w:ascii="Times New Roman" w:hAnsi="Times New Roman"/>
          <w:color w:val="auto"/>
          <w:sz w:val="24"/>
          <w:lang w:val="el-GR"/>
        </w:rPr>
        <w:t xml:space="preserve"> με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B1122A" w:rsidRPr="00FF35A7">
        <w:rPr>
          <w:rFonts w:ascii="Times New Roman" w:hAnsi="Times New Roman"/>
          <w:color w:val="auto"/>
          <w:sz w:val="24"/>
          <w:lang w:val="el-GR"/>
        </w:rPr>
        <w:t xml:space="preserve"> </w:t>
      </w:r>
      <w:r w:rsidR="00B1122A" w:rsidRPr="00FF35A7">
        <w:rPr>
          <w:rFonts w:ascii="Times New Roman" w:hAnsi="Times New Roman"/>
          <w:color w:val="auto"/>
          <w:sz w:val="24"/>
        </w:rPr>
        <w:t>Depot</w:t>
      </w:r>
      <w:r w:rsidR="00E07AD8" w:rsidRPr="00FF35A7">
        <w:rPr>
          <w:rFonts w:ascii="Times New Roman" w:hAnsi="Times New Roman"/>
          <w:color w:val="auto"/>
          <w:sz w:val="24"/>
          <w:lang w:val="el-GR"/>
        </w:rPr>
        <w:t xml:space="preserve"> ή </w:t>
      </w:r>
      <w:proofErr w:type="spellStart"/>
      <w:r w:rsidR="00E07AD8" w:rsidRPr="00FF35A7">
        <w:rPr>
          <w:rFonts w:ascii="Times New Roman" w:hAnsi="Times New Roman"/>
          <w:color w:val="auto"/>
          <w:sz w:val="24"/>
        </w:rPr>
        <w:t>leuprorelin</w:t>
      </w:r>
      <w:proofErr w:type="spellEnd"/>
      <w:r w:rsidR="00E07AD8" w:rsidRPr="00FF35A7">
        <w:rPr>
          <w:rFonts w:ascii="Times New Roman" w:hAnsi="Times New Roman"/>
          <w:color w:val="auto"/>
          <w:sz w:val="24"/>
          <w:lang w:val="el-GR"/>
        </w:rPr>
        <w:t xml:space="preserve"> </w:t>
      </w:r>
      <w:r w:rsidR="00E07AD8" w:rsidRPr="00FF35A7">
        <w:rPr>
          <w:rFonts w:ascii="Times New Roman" w:hAnsi="Times New Roman"/>
          <w:color w:val="auto"/>
          <w:sz w:val="24"/>
        </w:rPr>
        <w:t>acetate</w:t>
      </w:r>
      <w:r w:rsidRPr="00FF35A7">
        <w:rPr>
          <w:rFonts w:ascii="Times New Roman" w:hAnsi="Times New Roman"/>
          <w:color w:val="auto"/>
          <w:sz w:val="24"/>
          <w:lang w:val="el-GR"/>
        </w:rPr>
        <w:t xml:space="preserve">. Σε πρώιμες κλινικές δοκιμασίες σε ασθενείς με καρκίνο του προστάτου με ημερήσιες </w:t>
      </w:r>
      <w:r w:rsidR="006E1639" w:rsidRPr="00FF35A7">
        <w:rPr>
          <w:rFonts w:ascii="Times New Roman" w:hAnsi="Times New Roman"/>
          <w:color w:val="auto"/>
          <w:sz w:val="24"/>
          <w:lang w:val="el-GR"/>
        </w:rPr>
        <w:t xml:space="preserve">υποδόριες </w:t>
      </w:r>
      <w:r w:rsidRPr="00FF35A7">
        <w:rPr>
          <w:rFonts w:ascii="Times New Roman" w:hAnsi="Times New Roman"/>
          <w:color w:val="auto"/>
          <w:sz w:val="24"/>
          <w:lang w:val="el-GR"/>
        </w:rPr>
        <w:t xml:space="preserve">δόσεις </w:t>
      </w:r>
      <w:proofErr w:type="spellStart"/>
      <w:r w:rsidR="00E07AD8" w:rsidRPr="00FF35A7">
        <w:rPr>
          <w:rFonts w:ascii="Times New Roman" w:hAnsi="Times New Roman"/>
          <w:color w:val="auto"/>
          <w:sz w:val="24"/>
        </w:rPr>
        <w:t>leuprorelin</w:t>
      </w:r>
      <w:proofErr w:type="spellEnd"/>
      <w:r w:rsidR="00E07AD8" w:rsidRPr="00FF35A7">
        <w:rPr>
          <w:rFonts w:ascii="Times New Roman" w:hAnsi="Times New Roman"/>
          <w:color w:val="auto"/>
          <w:sz w:val="24"/>
          <w:lang w:val="el-GR"/>
        </w:rPr>
        <w:t xml:space="preserve"> </w:t>
      </w:r>
      <w:r w:rsidR="00E07AD8" w:rsidRPr="00FF35A7">
        <w:rPr>
          <w:rFonts w:ascii="Times New Roman" w:hAnsi="Times New Roman"/>
          <w:color w:val="auto"/>
          <w:sz w:val="24"/>
        </w:rPr>
        <w:t>acetate</w:t>
      </w:r>
      <w:r w:rsidRPr="00FF35A7">
        <w:rPr>
          <w:rFonts w:ascii="Times New Roman" w:hAnsi="Times New Roman"/>
          <w:color w:val="auto"/>
          <w:sz w:val="24"/>
          <w:lang w:val="el-GR"/>
        </w:rPr>
        <w:t xml:space="preserve"> της τάξεως των 20</w:t>
      </w:r>
      <w:r w:rsidRPr="00FF35A7">
        <w:rPr>
          <w:rFonts w:ascii="Times New Roman" w:hAnsi="Times New Roman"/>
          <w:color w:val="auto"/>
          <w:sz w:val="24"/>
        </w:rPr>
        <w:t>mg</w:t>
      </w:r>
      <w:r w:rsidR="00A20F4B" w:rsidRPr="00FF35A7">
        <w:rPr>
          <w:rFonts w:ascii="Times New Roman" w:hAnsi="Times New Roman"/>
          <w:color w:val="auto"/>
          <w:sz w:val="24"/>
          <w:lang w:val="el-GR"/>
        </w:rPr>
        <w:t>/ημέρα</w:t>
      </w:r>
      <w:r w:rsidRPr="00FF35A7">
        <w:rPr>
          <w:rFonts w:ascii="Times New Roman" w:hAnsi="Times New Roman"/>
          <w:color w:val="auto"/>
          <w:sz w:val="24"/>
          <w:lang w:val="el-GR"/>
        </w:rPr>
        <w:t xml:space="preserve"> για θεραπεία 2 ετών και επάνω, δεν παρατηρήθηκαν διαφορετικές παρενέργειες απ' αυτές με </w:t>
      </w:r>
      <w:r w:rsidR="00A20F4B" w:rsidRPr="00FF35A7">
        <w:rPr>
          <w:rFonts w:ascii="Times New Roman" w:hAnsi="Times New Roman"/>
          <w:color w:val="auto"/>
          <w:sz w:val="24"/>
          <w:lang w:val="el-GR"/>
        </w:rPr>
        <w:t xml:space="preserve">δόση </w:t>
      </w:r>
      <w:r w:rsidRPr="00FF35A7">
        <w:rPr>
          <w:rFonts w:ascii="Times New Roman" w:hAnsi="Times New Roman"/>
          <w:color w:val="auto"/>
          <w:sz w:val="24"/>
          <w:lang w:val="el-GR"/>
        </w:rPr>
        <w:t>1</w:t>
      </w:r>
      <w:r w:rsidRPr="00FF35A7">
        <w:rPr>
          <w:rFonts w:ascii="Times New Roman" w:hAnsi="Times New Roman"/>
          <w:color w:val="auto"/>
          <w:sz w:val="24"/>
        </w:rPr>
        <w:t>mg</w:t>
      </w:r>
      <w:r w:rsidRPr="00FF35A7">
        <w:rPr>
          <w:rFonts w:ascii="Times New Roman" w:hAnsi="Times New Roman"/>
          <w:color w:val="auto"/>
          <w:sz w:val="24"/>
          <w:lang w:val="el-GR"/>
        </w:rPr>
        <w:t xml:space="preserve"> ημερησίως. </w:t>
      </w:r>
    </w:p>
    <w:p w:rsidR="005440F2" w:rsidRPr="00FF35A7" w:rsidRDefault="00E07AD8"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Μελέτες σε ζώα, με δόσεις μέχρι 500 φορές μεγαλύτερες από τις συνιστώμενες στον άνθρωπο, οδήγησ</w:t>
      </w:r>
      <w:r w:rsidR="00A20F4B" w:rsidRPr="00FF35A7">
        <w:rPr>
          <w:rFonts w:ascii="Times New Roman" w:hAnsi="Times New Roman"/>
          <w:color w:val="auto"/>
          <w:sz w:val="24"/>
          <w:lang w:val="el-GR"/>
        </w:rPr>
        <w:t>αν</w:t>
      </w:r>
      <w:r w:rsidRPr="00FF35A7">
        <w:rPr>
          <w:rFonts w:ascii="Times New Roman" w:hAnsi="Times New Roman"/>
          <w:color w:val="auto"/>
          <w:sz w:val="24"/>
          <w:lang w:val="el-GR"/>
        </w:rPr>
        <w:t xml:space="preserve"> σε δύσπνοια, ελάττωση της δραστηριότητ</w:t>
      </w:r>
      <w:r w:rsidR="00A20F4B" w:rsidRPr="00FF35A7">
        <w:rPr>
          <w:rFonts w:ascii="Times New Roman" w:hAnsi="Times New Roman"/>
          <w:color w:val="auto"/>
          <w:sz w:val="24"/>
          <w:lang w:val="el-GR"/>
        </w:rPr>
        <w:t>α</w:t>
      </w:r>
      <w:r w:rsidRPr="00FF35A7">
        <w:rPr>
          <w:rFonts w:ascii="Times New Roman" w:hAnsi="Times New Roman"/>
          <w:color w:val="auto"/>
          <w:sz w:val="24"/>
          <w:lang w:val="el-GR"/>
        </w:rPr>
        <w:t xml:space="preserve">ς και τοπικό ερεθισμό στο σημείο </w:t>
      </w:r>
      <w:r w:rsidR="00A20F4B" w:rsidRPr="00FF35A7">
        <w:rPr>
          <w:rFonts w:ascii="Times New Roman" w:hAnsi="Times New Roman"/>
          <w:color w:val="auto"/>
          <w:sz w:val="24"/>
          <w:lang w:val="el-GR"/>
        </w:rPr>
        <w:t>ένεσης</w:t>
      </w:r>
      <w:r w:rsidRPr="00FF35A7">
        <w:rPr>
          <w:rFonts w:ascii="Times New Roman" w:hAnsi="Times New Roman"/>
          <w:color w:val="auto"/>
          <w:sz w:val="24"/>
          <w:lang w:val="el-GR"/>
        </w:rPr>
        <w:t xml:space="preserve">. Σε περιπτώσεις υπερδοσολογίας, ο ασθενής πρέπει να παρακολουθείται </w:t>
      </w:r>
      <w:r w:rsidR="00C71F17" w:rsidRPr="00FF35A7">
        <w:rPr>
          <w:rFonts w:ascii="Times New Roman" w:hAnsi="Times New Roman"/>
          <w:color w:val="auto"/>
          <w:sz w:val="24"/>
          <w:lang w:val="el-GR"/>
        </w:rPr>
        <w:t>στενά</w:t>
      </w:r>
      <w:r w:rsidRPr="00FF35A7">
        <w:rPr>
          <w:rFonts w:ascii="Times New Roman" w:hAnsi="Times New Roman"/>
          <w:color w:val="auto"/>
          <w:sz w:val="24"/>
          <w:lang w:val="el-GR"/>
        </w:rPr>
        <w:t xml:space="preserve"> και η αντιμετώπιση πρέπει να είναι συμπτωματική και υποστηρικτική.</w:t>
      </w:r>
      <w:r w:rsidR="005440F2" w:rsidRPr="00FF35A7">
        <w:rPr>
          <w:rFonts w:ascii="Times New Roman" w:hAnsi="Times New Roman"/>
          <w:color w:val="auto"/>
          <w:sz w:val="24"/>
          <w:lang w:val="el-GR"/>
        </w:rPr>
        <w:t xml:space="preserve">       </w:t>
      </w:r>
    </w:p>
    <w:p w:rsidR="005440F2" w:rsidRPr="00FF35A7" w:rsidRDefault="005440F2"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Σε περίπτωση τυχαίας ή εκούσιας λήψεως μεγάλης ποσότητας του φαρμάκου, λεπτομερείς οδηγίες δίνει το "Κέντρο Δηλητηριάσεων" Αρ. Τηλεφώνου 210 7793777, Αθήνα.</w:t>
      </w:r>
    </w:p>
    <w:p w:rsidR="00A20F4B" w:rsidRPr="00FF35A7" w:rsidRDefault="00A20F4B" w:rsidP="00B23525">
      <w:pPr>
        <w:pStyle w:val="a4"/>
        <w:jc w:val="both"/>
        <w:rPr>
          <w:rFonts w:ascii="Times New Roman" w:hAnsi="Times New Roman"/>
          <w:color w:val="auto"/>
          <w:sz w:val="24"/>
          <w:lang w:val="el-GR"/>
        </w:rPr>
      </w:pPr>
    </w:p>
    <w:p w:rsidR="005440F2" w:rsidRPr="00FF35A7" w:rsidRDefault="005440F2" w:rsidP="00B23525">
      <w:pPr>
        <w:pStyle w:val="a4"/>
        <w:jc w:val="both"/>
        <w:rPr>
          <w:rFonts w:ascii="Times New Roman" w:hAnsi="Times New Roman"/>
          <w:color w:val="auto"/>
          <w:sz w:val="24"/>
          <w:lang w:val="el-GR"/>
        </w:rPr>
      </w:pPr>
      <w:r w:rsidRPr="00FF35A7">
        <w:rPr>
          <w:rFonts w:ascii="Times New Roman" w:hAnsi="Times New Roman"/>
          <w:b/>
          <w:bCs/>
          <w:color w:val="auto"/>
          <w:sz w:val="24"/>
          <w:lang w:val="el-GR"/>
        </w:rPr>
        <w:t>5.</w:t>
      </w:r>
      <w:r w:rsidR="00B1122A" w:rsidRPr="00FF35A7">
        <w:rPr>
          <w:rFonts w:ascii="Times New Roman" w:hAnsi="Times New Roman"/>
          <w:b/>
          <w:bCs/>
          <w:color w:val="auto"/>
          <w:sz w:val="24"/>
          <w:lang w:val="el-GR"/>
        </w:rPr>
        <w:tab/>
      </w:r>
      <w:r w:rsidRPr="00FF35A7">
        <w:rPr>
          <w:rFonts w:ascii="Times New Roman" w:hAnsi="Times New Roman"/>
          <w:b/>
          <w:bCs/>
          <w:color w:val="auto"/>
          <w:sz w:val="24"/>
          <w:lang w:val="el-GR"/>
        </w:rPr>
        <w:t>ΦΑΡΜΑΚΟΛΟΓΙΚΕΣ ΙΔΙΟΤΗΤΕΣ</w:t>
      </w:r>
    </w:p>
    <w:p w:rsidR="005440F2" w:rsidRPr="00FF35A7" w:rsidRDefault="005440F2" w:rsidP="00B23525">
      <w:pPr>
        <w:pStyle w:val="a4"/>
        <w:jc w:val="both"/>
        <w:rPr>
          <w:rFonts w:ascii="Times New Roman" w:hAnsi="Times New Roman"/>
          <w:color w:val="auto"/>
          <w:sz w:val="24"/>
          <w:lang w:val="el-GR"/>
        </w:rPr>
      </w:pPr>
    </w:p>
    <w:p w:rsidR="005440F2" w:rsidRPr="00FF35A7" w:rsidRDefault="005440F2" w:rsidP="00B23525">
      <w:pPr>
        <w:pStyle w:val="a4"/>
        <w:jc w:val="both"/>
        <w:rPr>
          <w:rFonts w:ascii="Times New Roman" w:hAnsi="Times New Roman"/>
          <w:b/>
          <w:bCs/>
          <w:color w:val="auto"/>
          <w:sz w:val="24"/>
          <w:lang w:val="el-GR"/>
        </w:rPr>
      </w:pPr>
      <w:r w:rsidRPr="00FF35A7">
        <w:rPr>
          <w:rFonts w:ascii="Times New Roman" w:hAnsi="Times New Roman"/>
          <w:b/>
          <w:bCs/>
          <w:color w:val="auto"/>
          <w:sz w:val="24"/>
          <w:lang w:val="el-GR"/>
        </w:rPr>
        <w:t>5.1</w:t>
      </w:r>
      <w:r w:rsidR="00B1122A" w:rsidRPr="00FF35A7">
        <w:rPr>
          <w:rFonts w:ascii="Times New Roman" w:hAnsi="Times New Roman"/>
          <w:b/>
          <w:bCs/>
          <w:color w:val="auto"/>
          <w:sz w:val="24"/>
          <w:lang w:val="el-GR"/>
        </w:rPr>
        <w:tab/>
      </w:r>
      <w:r w:rsidRPr="00FF35A7">
        <w:rPr>
          <w:rFonts w:ascii="Times New Roman" w:hAnsi="Times New Roman"/>
          <w:b/>
          <w:bCs/>
          <w:color w:val="auto"/>
          <w:sz w:val="24"/>
          <w:lang w:val="el-GR"/>
        </w:rPr>
        <w:t>Φαρμακοδυναμικές ιδιότητες</w:t>
      </w:r>
    </w:p>
    <w:p w:rsidR="001E6071" w:rsidRPr="00FF35A7" w:rsidRDefault="001E6071"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Φαρμακοθεραπευτική </w:t>
      </w:r>
      <w:r w:rsidR="00A20F4B" w:rsidRPr="00FF35A7">
        <w:rPr>
          <w:rFonts w:ascii="Times New Roman" w:hAnsi="Times New Roman"/>
          <w:color w:val="auto"/>
          <w:sz w:val="24"/>
          <w:lang w:val="el-GR"/>
        </w:rPr>
        <w:t>κατηγορία</w:t>
      </w:r>
      <w:r w:rsidRPr="00FF35A7">
        <w:rPr>
          <w:rFonts w:ascii="Times New Roman" w:hAnsi="Times New Roman"/>
          <w:color w:val="auto"/>
          <w:sz w:val="24"/>
          <w:lang w:val="el-GR"/>
        </w:rPr>
        <w:t>: Ενδοκρινική θεραπεία. Ορμόνες και συναφείς παράγοντες. Ανάλογα της εκλυτικής ορμόνης των γοναδοτρο</w:t>
      </w:r>
      <w:r w:rsidR="00C71F17" w:rsidRPr="00FF35A7">
        <w:rPr>
          <w:rFonts w:ascii="Times New Roman" w:hAnsi="Times New Roman"/>
          <w:color w:val="auto"/>
          <w:sz w:val="24"/>
          <w:lang w:val="el-GR"/>
        </w:rPr>
        <w:t>π</w:t>
      </w:r>
      <w:r w:rsidRPr="00FF35A7">
        <w:rPr>
          <w:rFonts w:ascii="Times New Roman" w:hAnsi="Times New Roman"/>
          <w:color w:val="auto"/>
          <w:sz w:val="24"/>
          <w:lang w:val="el-GR"/>
        </w:rPr>
        <w:t xml:space="preserve">ινών. Κωδικός </w:t>
      </w:r>
      <w:r w:rsidRPr="00FF35A7">
        <w:rPr>
          <w:rFonts w:ascii="Times New Roman" w:hAnsi="Times New Roman"/>
          <w:color w:val="auto"/>
          <w:sz w:val="24"/>
        </w:rPr>
        <w:t>ATC</w:t>
      </w:r>
      <w:r w:rsidRPr="00FF35A7">
        <w:rPr>
          <w:rFonts w:ascii="Times New Roman" w:hAnsi="Times New Roman"/>
          <w:color w:val="auto"/>
          <w:sz w:val="24"/>
          <w:lang w:val="el-GR"/>
        </w:rPr>
        <w:t xml:space="preserve">: </w:t>
      </w:r>
      <w:r w:rsidRPr="00FF35A7">
        <w:rPr>
          <w:rFonts w:ascii="Times New Roman" w:hAnsi="Times New Roman"/>
          <w:color w:val="auto"/>
          <w:sz w:val="24"/>
        </w:rPr>
        <w:t>L</w:t>
      </w:r>
      <w:r w:rsidRPr="00FF35A7">
        <w:rPr>
          <w:rFonts w:ascii="Times New Roman" w:hAnsi="Times New Roman"/>
          <w:color w:val="auto"/>
          <w:sz w:val="24"/>
          <w:lang w:val="el-GR"/>
        </w:rPr>
        <w:t>02</w:t>
      </w:r>
      <w:r w:rsidRPr="00FF35A7">
        <w:rPr>
          <w:rFonts w:ascii="Times New Roman" w:hAnsi="Times New Roman"/>
          <w:color w:val="auto"/>
          <w:sz w:val="24"/>
        </w:rPr>
        <w:t>AE</w:t>
      </w:r>
      <w:r w:rsidRPr="00FF35A7">
        <w:rPr>
          <w:rFonts w:ascii="Times New Roman" w:hAnsi="Times New Roman"/>
          <w:color w:val="auto"/>
          <w:sz w:val="24"/>
          <w:lang w:val="el-GR"/>
        </w:rPr>
        <w:t>02</w:t>
      </w:r>
    </w:p>
    <w:p w:rsidR="001E6071" w:rsidRPr="00FF35A7" w:rsidRDefault="001E6071"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Η χημική ονομασία του </w:t>
      </w:r>
      <w:proofErr w:type="spellStart"/>
      <w:r w:rsidRPr="00FF35A7">
        <w:rPr>
          <w:rFonts w:ascii="Times New Roman" w:hAnsi="Times New Roman"/>
          <w:color w:val="auto"/>
          <w:sz w:val="24"/>
        </w:rPr>
        <w:t>leuprorelin</w:t>
      </w:r>
      <w:proofErr w:type="spellEnd"/>
      <w:r w:rsidRPr="00FF35A7">
        <w:rPr>
          <w:rFonts w:ascii="Times New Roman" w:hAnsi="Times New Roman"/>
          <w:color w:val="auto"/>
          <w:sz w:val="24"/>
          <w:lang w:val="el-GR"/>
        </w:rPr>
        <w:t xml:space="preserve"> </w:t>
      </w:r>
      <w:r w:rsidRPr="00FF35A7">
        <w:rPr>
          <w:rFonts w:ascii="Times New Roman" w:hAnsi="Times New Roman"/>
          <w:color w:val="auto"/>
          <w:sz w:val="24"/>
        </w:rPr>
        <w:t>acetate</w:t>
      </w:r>
      <w:r w:rsidRPr="00FF35A7">
        <w:rPr>
          <w:rFonts w:ascii="Times New Roman" w:hAnsi="Times New Roman"/>
          <w:color w:val="auto"/>
          <w:sz w:val="24"/>
          <w:lang w:val="el-GR"/>
        </w:rPr>
        <w:t xml:space="preserve"> (οξική λευπρορελίνη) είναι 5-</w:t>
      </w:r>
      <w:proofErr w:type="spellStart"/>
      <w:r w:rsidRPr="00FF35A7">
        <w:rPr>
          <w:rFonts w:ascii="Times New Roman" w:hAnsi="Times New Roman"/>
          <w:color w:val="auto"/>
          <w:sz w:val="24"/>
          <w:lang w:val="en-GB"/>
        </w:rPr>
        <w:t>oxo</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prolyl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histidyl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tryptophyl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seryl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tyrosyl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D</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leucyl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leucyl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arginyl</w:t>
      </w:r>
      <w:proofErr w:type="spellEnd"/>
      <w:r w:rsidRPr="00FF35A7">
        <w:rPr>
          <w:rFonts w:ascii="Times New Roman" w:hAnsi="Times New Roman"/>
          <w:color w:val="auto"/>
          <w:sz w:val="24"/>
          <w:lang w:val="el-GR"/>
        </w:rPr>
        <w:t>-</w:t>
      </w:r>
      <w:r w:rsidRPr="00FF35A7">
        <w:rPr>
          <w:rFonts w:ascii="Times New Roman" w:hAnsi="Times New Roman"/>
          <w:color w:val="auto"/>
          <w:sz w:val="24"/>
          <w:lang w:val="en-GB"/>
        </w:rPr>
        <w:t>L</w:t>
      </w:r>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prolyl</w:t>
      </w:r>
      <w:proofErr w:type="spellEnd"/>
      <w:r w:rsidRPr="00FF35A7">
        <w:rPr>
          <w:rFonts w:ascii="Times New Roman" w:hAnsi="Times New Roman"/>
          <w:color w:val="auto"/>
          <w:sz w:val="24"/>
          <w:lang w:val="el-GR"/>
        </w:rPr>
        <w:t>-</w:t>
      </w:r>
      <w:proofErr w:type="spellStart"/>
      <w:r w:rsidRPr="00FF35A7">
        <w:rPr>
          <w:rFonts w:ascii="Times New Roman" w:hAnsi="Times New Roman"/>
          <w:color w:val="auto"/>
          <w:sz w:val="24"/>
          <w:lang w:val="en-GB"/>
        </w:rPr>
        <w:t>ethylamide</w:t>
      </w:r>
      <w:proofErr w:type="spellEnd"/>
      <w:r w:rsidRPr="00FF35A7">
        <w:rPr>
          <w:rFonts w:ascii="Times New Roman" w:hAnsi="Times New Roman"/>
          <w:color w:val="auto"/>
          <w:sz w:val="24"/>
          <w:lang w:val="el-GR"/>
        </w:rPr>
        <w:t>.</w:t>
      </w:r>
    </w:p>
    <w:p w:rsidR="008A7652" w:rsidRPr="00FF35A7" w:rsidRDefault="001E6071"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Η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είναι ανενεργή όταν χορηγείται από του στόματος λόγω της περιορισμένης διαπερατότητας </w:t>
      </w:r>
      <w:r w:rsidR="008A7652" w:rsidRPr="00FF35A7">
        <w:rPr>
          <w:rFonts w:ascii="Times New Roman" w:hAnsi="Times New Roman"/>
          <w:color w:val="auto"/>
          <w:sz w:val="24"/>
          <w:lang w:val="el-GR"/>
        </w:rPr>
        <w:t>της κυτταρικ</w:t>
      </w:r>
      <w:r w:rsidR="00A20F4B" w:rsidRPr="00FF35A7">
        <w:rPr>
          <w:rFonts w:ascii="Times New Roman" w:hAnsi="Times New Roman"/>
          <w:color w:val="auto"/>
          <w:sz w:val="24"/>
          <w:lang w:val="el-GR"/>
        </w:rPr>
        <w:t xml:space="preserve">ής μεμβράνης και της </w:t>
      </w:r>
      <w:r w:rsidR="00C71F17" w:rsidRPr="00FF35A7">
        <w:rPr>
          <w:rFonts w:ascii="Times New Roman" w:hAnsi="Times New Roman"/>
          <w:color w:val="auto"/>
          <w:sz w:val="24"/>
          <w:lang w:val="el-GR"/>
        </w:rPr>
        <w:t>σχεδόν πλήρους</w:t>
      </w:r>
      <w:r w:rsidR="00A20F4B" w:rsidRPr="00FF35A7">
        <w:rPr>
          <w:rFonts w:ascii="Times New Roman" w:hAnsi="Times New Roman"/>
          <w:color w:val="auto"/>
          <w:sz w:val="24"/>
          <w:lang w:val="el-GR"/>
        </w:rPr>
        <w:t xml:space="preserve"> </w:t>
      </w:r>
      <w:r w:rsidR="00C71F17" w:rsidRPr="00FF35A7">
        <w:rPr>
          <w:rFonts w:ascii="Times New Roman" w:hAnsi="Times New Roman"/>
          <w:color w:val="auto"/>
          <w:sz w:val="24"/>
          <w:lang w:val="el-GR"/>
        </w:rPr>
        <w:t>αν</w:t>
      </w:r>
      <w:r w:rsidR="008A7652" w:rsidRPr="00FF35A7">
        <w:rPr>
          <w:rFonts w:ascii="Times New Roman" w:hAnsi="Times New Roman"/>
          <w:color w:val="auto"/>
          <w:sz w:val="24"/>
          <w:lang w:val="el-GR"/>
        </w:rPr>
        <w:t xml:space="preserve">ενεργοποίησης της </w:t>
      </w:r>
      <w:r w:rsidR="00A20F4B" w:rsidRPr="00FF35A7">
        <w:rPr>
          <w:rFonts w:ascii="Times New Roman" w:hAnsi="Times New Roman"/>
          <w:color w:val="auto"/>
          <w:sz w:val="24"/>
          <w:lang w:val="el-GR"/>
        </w:rPr>
        <w:t xml:space="preserve">ουσίας </w:t>
      </w:r>
      <w:r w:rsidR="008A7652" w:rsidRPr="00FF35A7">
        <w:rPr>
          <w:rFonts w:ascii="Times New Roman" w:hAnsi="Times New Roman"/>
          <w:color w:val="auto"/>
          <w:sz w:val="24"/>
          <w:lang w:val="el-GR"/>
        </w:rPr>
        <w:t>από τα πρωτεολυτικά ένζυμα του εντέρου.</w:t>
      </w:r>
    </w:p>
    <w:p w:rsidR="005212FA" w:rsidRPr="00FF35A7" w:rsidRDefault="008A7652"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Η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έχει ισχυρές ιδιότητες αγωνιστή της </w:t>
      </w:r>
      <w:r w:rsidRPr="00FF35A7">
        <w:rPr>
          <w:rFonts w:ascii="Times New Roman" w:hAnsi="Times New Roman"/>
          <w:color w:val="auto"/>
          <w:sz w:val="24"/>
        </w:rPr>
        <w:t>LHRH</w:t>
      </w:r>
      <w:r w:rsidRPr="00FF35A7">
        <w:rPr>
          <w:rFonts w:ascii="Times New Roman" w:hAnsi="Times New Roman"/>
          <w:color w:val="auto"/>
          <w:sz w:val="24"/>
          <w:lang w:val="el-GR"/>
        </w:rPr>
        <w:t>, όταν χορηγείται σε μικρής διαρκείας διαλείπουσα θεραπεία αλλά</w:t>
      </w:r>
      <w:r w:rsidR="005212FA" w:rsidRPr="00FF35A7">
        <w:rPr>
          <w:rFonts w:ascii="Times New Roman" w:hAnsi="Times New Roman"/>
          <w:color w:val="auto"/>
          <w:sz w:val="24"/>
          <w:lang w:val="el-GR"/>
        </w:rPr>
        <w:t xml:space="preserve">, όταν χορηγείται </w:t>
      </w:r>
      <w:r w:rsidR="00450FD4" w:rsidRPr="00FF35A7">
        <w:rPr>
          <w:rFonts w:ascii="Times New Roman" w:hAnsi="Times New Roman"/>
          <w:color w:val="auto"/>
          <w:sz w:val="24"/>
          <w:lang w:val="el-GR"/>
        </w:rPr>
        <w:t>με συνεχείς και σταθερές</w:t>
      </w:r>
      <w:r w:rsidR="005212FA" w:rsidRPr="00FF35A7">
        <w:rPr>
          <w:rFonts w:ascii="Times New Roman" w:hAnsi="Times New Roman"/>
          <w:color w:val="auto"/>
          <w:sz w:val="24"/>
          <w:lang w:val="el-GR"/>
        </w:rPr>
        <w:t xml:space="preserve"> θεραπευτικές δόσεις, </w:t>
      </w:r>
      <w:r w:rsidR="0004656C" w:rsidRPr="00FF35A7">
        <w:rPr>
          <w:rFonts w:ascii="Times New Roman" w:hAnsi="Times New Roman"/>
          <w:color w:val="auto"/>
          <w:sz w:val="24"/>
          <w:lang w:val="el-GR"/>
        </w:rPr>
        <w:t xml:space="preserve">τα ανάλογα της </w:t>
      </w:r>
      <w:r w:rsidR="0004656C" w:rsidRPr="00FF35A7">
        <w:rPr>
          <w:rFonts w:ascii="Times New Roman" w:hAnsi="Times New Roman"/>
          <w:color w:val="auto"/>
          <w:sz w:val="24"/>
        </w:rPr>
        <w:t>LHRH</w:t>
      </w:r>
      <w:r w:rsidR="0004656C" w:rsidRPr="00FF35A7">
        <w:rPr>
          <w:rFonts w:ascii="Times New Roman" w:hAnsi="Times New Roman"/>
          <w:color w:val="auto"/>
          <w:sz w:val="24"/>
          <w:lang w:val="el-GR"/>
        </w:rPr>
        <w:t xml:space="preserve"> προκαλούν αναστολή</w:t>
      </w:r>
      <w:r w:rsidRPr="00FF35A7">
        <w:rPr>
          <w:rFonts w:ascii="Times New Roman" w:hAnsi="Times New Roman"/>
          <w:color w:val="auto"/>
          <w:sz w:val="24"/>
          <w:lang w:val="el-GR"/>
        </w:rPr>
        <w:t xml:space="preserve"> της έκκρισης γοναδοτροπινών</w:t>
      </w:r>
      <w:r w:rsidR="005212FA" w:rsidRPr="00FF35A7">
        <w:rPr>
          <w:rFonts w:ascii="Times New Roman" w:hAnsi="Times New Roman"/>
          <w:color w:val="auto"/>
          <w:sz w:val="24"/>
          <w:lang w:val="el-GR"/>
        </w:rPr>
        <w:t xml:space="preserve"> και καταστολή της στεροειδ</w:t>
      </w:r>
      <w:r w:rsidR="00C71F17" w:rsidRPr="00FF35A7">
        <w:rPr>
          <w:rFonts w:ascii="Times New Roman" w:hAnsi="Times New Roman"/>
          <w:color w:val="auto"/>
          <w:sz w:val="24"/>
          <w:lang w:val="el-GR"/>
        </w:rPr>
        <w:t>ογένεσης</w:t>
      </w:r>
      <w:r w:rsidR="005212FA" w:rsidRPr="00FF35A7">
        <w:rPr>
          <w:rFonts w:ascii="Times New Roman" w:hAnsi="Times New Roman"/>
          <w:color w:val="auto"/>
          <w:sz w:val="24"/>
          <w:lang w:val="el-GR"/>
        </w:rPr>
        <w:t xml:space="preserve"> από τους όρχεις.</w:t>
      </w:r>
    </w:p>
    <w:p w:rsidR="00FF7984" w:rsidRPr="00FF35A7" w:rsidRDefault="005212FA" w:rsidP="00B23525">
      <w:pPr>
        <w:pStyle w:val="a4"/>
        <w:jc w:val="both"/>
        <w:rPr>
          <w:rFonts w:ascii="Times New Roman" w:hAnsi="Times New Roman"/>
          <w:bCs/>
          <w:color w:val="auto"/>
          <w:sz w:val="24"/>
          <w:lang w:val="el-GR"/>
        </w:rPr>
      </w:pPr>
      <w:r w:rsidRPr="00FF35A7">
        <w:rPr>
          <w:rFonts w:ascii="Times New Roman" w:hAnsi="Times New Roman"/>
          <w:color w:val="auto"/>
          <w:sz w:val="24"/>
          <w:lang w:val="el-GR"/>
        </w:rPr>
        <w:t xml:space="preserve">Μόλις συνδεθεί με τους υποδοχείς </w:t>
      </w:r>
      <w:r w:rsidR="00FF7984" w:rsidRPr="00FF35A7">
        <w:rPr>
          <w:rFonts w:ascii="Times New Roman" w:hAnsi="Times New Roman"/>
          <w:color w:val="auto"/>
          <w:sz w:val="24"/>
          <w:lang w:val="el-GR"/>
        </w:rPr>
        <w:t xml:space="preserve">της </w:t>
      </w:r>
      <w:r w:rsidRPr="00FF35A7">
        <w:rPr>
          <w:rFonts w:ascii="Times New Roman" w:hAnsi="Times New Roman"/>
          <w:color w:val="auto"/>
          <w:sz w:val="24"/>
        </w:rPr>
        <w:t>LHRH</w:t>
      </w:r>
      <w:r w:rsidRPr="00FF35A7">
        <w:rPr>
          <w:rFonts w:ascii="Times New Roman" w:hAnsi="Times New Roman"/>
          <w:color w:val="auto"/>
          <w:sz w:val="24"/>
          <w:lang w:val="el-GR"/>
        </w:rPr>
        <w:t xml:space="preserve"> </w:t>
      </w:r>
      <w:r w:rsidR="00FF7984" w:rsidRPr="00FF35A7">
        <w:rPr>
          <w:rFonts w:ascii="Times New Roman" w:hAnsi="Times New Roman"/>
          <w:color w:val="auto"/>
          <w:sz w:val="24"/>
          <w:lang w:val="el-GR"/>
        </w:rPr>
        <w:t>στην</w:t>
      </w:r>
      <w:r w:rsidRPr="00FF35A7">
        <w:rPr>
          <w:rFonts w:ascii="Times New Roman" w:hAnsi="Times New Roman"/>
          <w:color w:val="auto"/>
          <w:sz w:val="24"/>
          <w:lang w:val="el-GR"/>
        </w:rPr>
        <w:t xml:space="preserve"> υπ</w:t>
      </w:r>
      <w:r w:rsidR="00FF7984" w:rsidRPr="00FF35A7">
        <w:rPr>
          <w:rFonts w:ascii="Times New Roman" w:hAnsi="Times New Roman"/>
          <w:color w:val="auto"/>
          <w:sz w:val="24"/>
          <w:lang w:val="el-GR"/>
        </w:rPr>
        <w:t>όφυση</w:t>
      </w:r>
      <w:r w:rsidRPr="00FF35A7">
        <w:rPr>
          <w:rFonts w:ascii="Times New Roman" w:hAnsi="Times New Roman"/>
          <w:color w:val="auto"/>
          <w:sz w:val="24"/>
          <w:lang w:val="el-GR"/>
        </w:rPr>
        <w:t xml:space="preserve">, η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οδηγεί σε αρχική αύξηση των επιπέδων </w:t>
      </w:r>
      <w:r w:rsidR="00FD3244" w:rsidRPr="00FF35A7">
        <w:rPr>
          <w:rFonts w:ascii="Times New Roman" w:hAnsi="Times New Roman"/>
          <w:bCs/>
          <w:color w:val="auto"/>
          <w:sz w:val="24"/>
          <w:lang w:val="el-GR"/>
        </w:rPr>
        <w:t>ωχρινοποιητική</w:t>
      </w:r>
      <w:r w:rsidR="00FD3244" w:rsidRPr="00FF35A7">
        <w:rPr>
          <w:rFonts w:ascii="Times New Roman" w:hAnsi="Times New Roman"/>
          <w:color w:val="auto"/>
          <w:sz w:val="24"/>
          <w:lang w:val="el-GR"/>
        </w:rPr>
        <w:t xml:space="preserve">ς ορμόνης </w:t>
      </w:r>
      <w:r w:rsidRPr="00FF35A7">
        <w:rPr>
          <w:rFonts w:ascii="Times New Roman" w:hAnsi="Times New Roman"/>
          <w:color w:val="auto"/>
          <w:sz w:val="24"/>
          <w:lang w:val="el-GR"/>
        </w:rPr>
        <w:t>(</w:t>
      </w:r>
      <w:r w:rsidRPr="00FF35A7">
        <w:rPr>
          <w:rFonts w:ascii="Times New Roman" w:hAnsi="Times New Roman"/>
          <w:color w:val="auto"/>
          <w:sz w:val="24"/>
        </w:rPr>
        <w:t>LH</w:t>
      </w:r>
      <w:r w:rsidRPr="00FF35A7">
        <w:rPr>
          <w:rFonts w:ascii="Times New Roman" w:hAnsi="Times New Roman"/>
          <w:color w:val="auto"/>
          <w:sz w:val="24"/>
          <w:lang w:val="el-GR"/>
        </w:rPr>
        <w:t xml:space="preserve">) και </w:t>
      </w:r>
      <w:r w:rsidR="00FD3244" w:rsidRPr="00FF35A7">
        <w:rPr>
          <w:rFonts w:ascii="Times New Roman" w:hAnsi="Times New Roman"/>
          <w:bCs/>
          <w:color w:val="auto"/>
          <w:sz w:val="24"/>
          <w:lang w:val="el-GR"/>
        </w:rPr>
        <w:t xml:space="preserve">ωοθυλακιοτρόποου ορμόνης </w:t>
      </w:r>
      <w:r w:rsidRPr="00FF35A7">
        <w:rPr>
          <w:rFonts w:ascii="Times New Roman" w:hAnsi="Times New Roman"/>
          <w:color w:val="auto"/>
          <w:sz w:val="24"/>
          <w:lang w:val="el-GR"/>
        </w:rPr>
        <w:t>(</w:t>
      </w:r>
      <w:r w:rsidRPr="00FF35A7">
        <w:rPr>
          <w:rFonts w:ascii="Times New Roman" w:hAnsi="Times New Roman"/>
          <w:color w:val="auto"/>
          <w:sz w:val="24"/>
        </w:rPr>
        <w:t>FSH</w:t>
      </w:r>
      <w:r w:rsidRPr="00FF35A7">
        <w:rPr>
          <w:rFonts w:ascii="Times New Roman" w:hAnsi="Times New Roman"/>
          <w:color w:val="auto"/>
          <w:sz w:val="24"/>
          <w:lang w:val="el-GR"/>
        </w:rPr>
        <w:t xml:space="preserve">) στην κυκλοφορία, με αποτέλεσμα την </w:t>
      </w:r>
      <w:r w:rsidR="00450FD4" w:rsidRPr="00FF35A7">
        <w:rPr>
          <w:rFonts w:ascii="Times New Roman" w:hAnsi="Times New Roman"/>
          <w:color w:val="auto"/>
          <w:sz w:val="24"/>
          <w:lang w:val="el-GR"/>
        </w:rPr>
        <w:t>απότομη</w:t>
      </w:r>
      <w:r w:rsidRPr="00FF35A7">
        <w:rPr>
          <w:rFonts w:ascii="Times New Roman" w:hAnsi="Times New Roman"/>
          <w:color w:val="auto"/>
          <w:sz w:val="24"/>
          <w:lang w:val="el-GR"/>
        </w:rPr>
        <w:t xml:space="preserve"> αύξηση </w:t>
      </w:r>
      <w:r w:rsidR="00FF7984" w:rsidRPr="00FF35A7">
        <w:rPr>
          <w:rFonts w:ascii="Times New Roman" w:hAnsi="Times New Roman"/>
          <w:color w:val="auto"/>
          <w:sz w:val="24"/>
          <w:lang w:val="el-GR"/>
        </w:rPr>
        <w:t xml:space="preserve">των </w:t>
      </w:r>
      <w:r w:rsidRPr="00FF35A7">
        <w:rPr>
          <w:rFonts w:ascii="Times New Roman" w:hAnsi="Times New Roman"/>
          <w:color w:val="auto"/>
          <w:sz w:val="24"/>
          <w:lang w:val="el-GR"/>
        </w:rPr>
        <w:t>επιπέδων τεστοστερόνης και διυδροτεστοστερόνης</w:t>
      </w:r>
      <w:r w:rsidR="00FF7984" w:rsidRPr="00FF35A7">
        <w:rPr>
          <w:rFonts w:ascii="Times New Roman" w:hAnsi="Times New Roman"/>
          <w:color w:val="auto"/>
          <w:sz w:val="24"/>
          <w:lang w:val="el-GR"/>
        </w:rPr>
        <w:t>. Λίγες</w:t>
      </w:r>
      <w:r w:rsidR="00450FD4" w:rsidRPr="00FF35A7">
        <w:rPr>
          <w:rFonts w:ascii="Times New Roman" w:hAnsi="Times New Roman"/>
          <w:color w:val="auto"/>
          <w:sz w:val="24"/>
          <w:lang w:val="el-GR"/>
        </w:rPr>
        <w:t xml:space="preserve"> (5-8)</w:t>
      </w:r>
      <w:r w:rsidR="00FF7984" w:rsidRPr="00FF35A7">
        <w:rPr>
          <w:rFonts w:ascii="Times New Roman" w:hAnsi="Times New Roman"/>
          <w:color w:val="auto"/>
          <w:sz w:val="24"/>
          <w:lang w:val="el-GR"/>
        </w:rPr>
        <w:t xml:space="preserve"> ημέρες μετά την χορήγηση, όμως, τα ανάλογα της </w:t>
      </w:r>
      <w:r w:rsidR="00FF7984" w:rsidRPr="00FF35A7">
        <w:rPr>
          <w:rFonts w:ascii="Times New Roman" w:hAnsi="Times New Roman"/>
          <w:color w:val="auto"/>
          <w:sz w:val="24"/>
        </w:rPr>
        <w:t>LHRH</w:t>
      </w:r>
      <w:r w:rsidR="00FF7984" w:rsidRPr="00FF35A7">
        <w:rPr>
          <w:rFonts w:ascii="Times New Roman" w:hAnsi="Times New Roman"/>
          <w:color w:val="auto"/>
          <w:sz w:val="24"/>
          <w:lang w:val="el-GR"/>
        </w:rPr>
        <w:t xml:space="preserve"> οδηγούν στην </w:t>
      </w:r>
      <w:r w:rsidR="00FF7984" w:rsidRPr="00FF35A7">
        <w:rPr>
          <w:rFonts w:ascii="Times New Roman" w:hAnsi="Times New Roman"/>
          <w:bCs/>
          <w:color w:val="auto"/>
          <w:sz w:val="24"/>
          <w:lang w:val="el-GR"/>
        </w:rPr>
        <w:t xml:space="preserve">απευαισθητοποίηση των υποδοχέων της </w:t>
      </w:r>
      <w:r w:rsidR="00FF7984" w:rsidRPr="00FF35A7">
        <w:rPr>
          <w:rFonts w:ascii="Times New Roman" w:hAnsi="Times New Roman"/>
          <w:bCs/>
          <w:color w:val="auto"/>
          <w:sz w:val="24"/>
        </w:rPr>
        <w:t>LHRH</w:t>
      </w:r>
      <w:r w:rsidR="00FF7984" w:rsidRPr="00FF35A7">
        <w:rPr>
          <w:rFonts w:ascii="Times New Roman" w:hAnsi="Times New Roman"/>
          <w:bCs/>
          <w:color w:val="auto"/>
          <w:sz w:val="24"/>
          <w:lang w:val="el-GR"/>
        </w:rPr>
        <w:t xml:space="preserve"> </w:t>
      </w:r>
      <w:r w:rsidR="00F3380A" w:rsidRPr="00FF35A7">
        <w:rPr>
          <w:rFonts w:ascii="Times New Roman" w:hAnsi="Times New Roman"/>
          <w:bCs/>
          <w:color w:val="auto"/>
          <w:sz w:val="24"/>
          <w:lang w:val="el-GR"/>
        </w:rPr>
        <w:t>και/</w:t>
      </w:r>
      <w:r w:rsidR="00FD3244" w:rsidRPr="00FF35A7">
        <w:rPr>
          <w:rFonts w:ascii="Times New Roman" w:hAnsi="Times New Roman"/>
          <w:bCs/>
          <w:color w:val="auto"/>
          <w:sz w:val="24"/>
          <w:lang w:val="el-GR"/>
        </w:rPr>
        <w:t>ή</w:t>
      </w:r>
      <w:r w:rsidR="00F3380A" w:rsidRPr="00FF35A7">
        <w:rPr>
          <w:rFonts w:ascii="Times New Roman" w:hAnsi="Times New Roman"/>
          <w:bCs/>
          <w:color w:val="auto"/>
          <w:sz w:val="24"/>
          <w:lang w:val="el-GR"/>
        </w:rPr>
        <w:t xml:space="preserve"> στην καταστολή </w:t>
      </w:r>
      <w:r w:rsidR="0004656C" w:rsidRPr="00FF35A7">
        <w:rPr>
          <w:rFonts w:ascii="Times New Roman" w:hAnsi="Times New Roman"/>
          <w:bCs/>
          <w:color w:val="auto"/>
          <w:sz w:val="24"/>
          <w:lang w:val="el-GR"/>
        </w:rPr>
        <w:t>του πρόσθιου λοβού της υπόφυσης</w:t>
      </w:r>
      <w:r w:rsidR="00450FD4" w:rsidRPr="00FF35A7">
        <w:rPr>
          <w:rFonts w:ascii="Times New Roman" w:hAnsi="Times New Roman"/>
          <w:bCs/>
          <w:color w:val="auto"/>
          <w:sz w:val="24"/>
          <w:lang w:val="el-GR"/>
        </w:rPr>
        <w:t xml:space="preserve"> (αδενοϋπόφυση)</w:t>
      </w:r>
      <w:r w:rsidR="0004656C" w:rsidRPr="00FF35A7">
        <w:rPr>
          <w:rFonts w:ascii="Times New Roman" w:hAnsi="Times New Roman"/>
          <w:bCs/>
          <w:color w:val="auto"/>
          <w:sz w:val="24"/>
          <w:lang w:val="el-GR"/>
        </w:rPr>
        <w:t xml:space="preserve">. </w:t>
      </w:r>
      <w:r w:rsidR="005D0548" w:rsidRPr="00FF35A7">
        <w:rPr>
          <w:rFonts w:ascii="Times New Roman" w:hAnsi="Times New Roman"/>
          <w:bCs/>
          <w:color w:val="auto"/>
          <w:sz w:val="24"/>
          <w:lang w:val="el-GR"/>
        </w:rPr>
        <w:t>Λ</w:t>
      </w:r>
      <w:r w:rsidR="0004656C" w:rsidRPr="00FF35A7">
        <w:rPr>
          <w:rFonts w:ascii="Times New Roman" w:hAnsi="Times New Roman"/>
          <w:bCs/>
          <w:color w:val="auto"/>
          <w:sz w:val="24"/>
          <w:lang w:val="el-GR"/>
        </w:rPr>
        <w:t xml:space="preserve">όγω της μείωσης των υποδοχέων στην επιφάνεια </w:t>
      </w:r>
      <w:r w:rsidR="00F93DFD" w:rsidRPr="00FF35A7">
        <w:rPr>
          <w:rFonts w:ascii="Times New Roman" w:hAnsi="Times New Roman"/>
          <w:bCs/>
          <w:color w:val="auto"/>
          <w:sz w:val="24"/>
          <w:lang w:val="el-GR"/>
        </w:rPr>
        <w:t>των</w:t>
      </w:r>
      <w:r w:rsidR="0004656C" w:rsidRPr="00FF35A7">
        <w:rPr>
          <w:rFonts w:ascii="Times New Roman" w:hAnsi="Times New Roman"/>
          <w:bCs/>
          <w:color w:val="auto"/>
          <w:sz w:val="24"/>
          <w:lang w:val="el-GR"/>
        </w:rPr>
        <w:t xml:space="preserve"> </w:t>
      </w:r>
      <w:r w:rsidR="00F93DFD" w:rsidRPr="00FF35A7">
        <w:rPr>
          <w:rFonts w:ascii="Times New Roman" w:hAnsi="Times New Roman"/>
          <w:bCs/>
          <w:color w:val="auto"/>
          <w:sz w:val="24"/>
          <w:lang w:val="el-GR"/>
        </w:rPr>
        <w:t>κυττάρων</w:t>
      </w:r>
      <w:r w:rsidR="0004656C" w:rsidRPr="00FF35A7">
        <w:rPr>
          <w:rFonts w:ascii="Times New Roman" w:hAnsi="Times New Roman"/>
          <w:bCs/>
          <w:color w:val="auto"/>
          <w:sz w:val="24"/>
          <w:lang w:val="el-GR"/>
        </w:rPr>
        <w:t xml:space="preserve">, μειώνεται η διέγερση </w:t>
      </w:r>
      <w:r w:rsidR="00F93DFD" w:rsidRPr="00FF35A7">
        <w:rPr>
          <w:rFonts w:ascii="Times New Roman" w:hAnsi="Times New Roman"/>
          <w:bCs/>
          <w:color w:val="auto"/>
          <w:sz w:val="24"/>
          <w:lang w:val="el-GR"/>
        </w:rPr>
        <w:t>τους</w:t>
      </w:r>
      <w:r w:rsidR="0004656C" w:rsidRPr="00FF35A7">
        <w:rPr>
          <w:rFonts w:ascii="Times New Roman" w:hAnsi="Times New Roman"/>
          <w:bCs/>
          <w:color w:val="auto"/>
          <w:sz w:val="24"/>
          <w:lang w:val="el-GR"/>
        </w:rPr>
        <w:t xml:space="preserve">, οπότε μειώνεται η σύνθεση και έκκριση </w:t>
      </w:r>
      <w:r w:rsidR="00FD3244" w:rsidRPr="00FF35A7">
        <w:rPr>
          <w:rFonts w:ascii="Times New Roman" w:hAnsi="Times New Roman"/>
          <w:bCs/>
          <w:color w:val="auto"/>
          <w:sz w:val="24"/>
          <w:lang w:val="el-GR"/>
        </w:rPr>
        <w:t xml:space="preserve">των </w:t>
      </w:r>
      <w:r w:rsidR="00C71F17" w:rsidRPr="00FF35A7">
        <w:rPr>
          <w:rFonts w:ascii="Times New Roman" w:hAnsi="Times New Roman"/>
          <w:bCs/>
          <w:color w:val="auto"/>
          <w:sz w:val="24"/>
          <w:lang w:val="el-GR"/>
        </w:rPr>
        <w:t xml:space="preserve">γοναδοτροπινών </w:t>
      </w:r>
      <w:r w:rsidR="00F63CF9" w:rsidRPr="00FF35A7">
        <w:rPr>
          <w:rFonts w:ascii="Times New Roman" w:hAnsi="Times New Roman"/>
          <w:bCs/>
          <w:color w:val="auto"/>
          <w:sz w:val="24"/>
          <w:lang w:val="el-GR"/>
        </w:rPr>
        <w:t>(</w:t>
      </w:r>
      <w:r w:rsidR="00FD3244" w:rsidRPr="00FF35A7">
        <w:rPr>
          <w:rFonts w:ascii="Times New Roman" w:hAnsi="Times New Roman"/>
          <w:bCs/>
          <w:color w:val="auto"/>
          <w:sz w:val="24"/>
        </w:rPr>
        <w:t>LH</w:t>
      </w:r>
      <w:r w:rsidR="00FD3244" w:rsidRPr="00FF35A7">
        <w:rPr>
          <w:rFonts w:ascii="Times New Roman" w:hAnsi="Times New Roman"/>
          <w:bCs/>
          <w:color w:val="auto"/>
          <w:sz w:val="24"/>
          <w:lang w:val="el-GR"/>
        </w:rPr>
        <w:t xml:space="preserve"> και </w:t>
      </w:r>
      <w:r w:rsidR="00FD3244" w:rsidRPr="00FF35A7">
        <w:rPr>
          <w:rFonts w:ascii="Times New Roman" w:hAnsi="Times New Roman"/>
          <w:bCs/>
          <w:color w:val="auto"/>
          <w:sz w:val="24"/>
        </w:rPr>
        <w:t>FSH</w:t>
      </w:r>
      <w:r w:rsidR="00F63CF9" w:rsidRPr="00FF35A7">
        <w:rPr>
          <w:rFonts w:ascii="Times New Roman" w:hAnsi="Times New Roman"/>
          <w:bCs/>
          <w:color w:val="auto"/>
          <w:sz w:val="24"/>
          <w:lang w:val="el-GR"/>
        </w:rPr>
        <w:t>)</w:t>
      </w:r>
      <w:r w:rsidR="0004656C" w:rsidRPr="00FF35A7">
        <w:rPr>
          <w:rFonts w:ascii="Times New Roman" w:hAnsi="Times New Roman"/>
          <w:bCs/>
          <w:color w:val="auto"/>
          <w:sz w:val="24"/>
          <w:lang w:val="el-GR"/>
        </w:rPr>
        <w:t>. Μετά από αρκετές εβδομάδες θεραπείας με αγωνιστ</w:t>
      </w:r>
      <w:r w:rsidR="005D0548" w:rsidRPr="00FF35A7">
        <w:rPr>
          <w:rFonts w:ascii="Times New Roman" w:hAnsi="Times New Roman"/>
          <w:bCs/>
          <w:color w:val="auto"/>
          <w:sz w:val="24"/>
          <w:lang w:val="el-GR"/>
        </w:rPr>
        <w:t>ή</w:t>
      </w:r>
      <w:r w:rsidR="0004656C" w:rsidRPr="00FF35A7">
        <w:rPr>
          <w:rFonts w:ascii="Times New Roman" w:hAnsi="Times New Roman"/>
          <w:bCs/>
          <w:color w:val="auto"/>
          <w:sz w:val="24"/>
          <w:lang w:val="el-GR"/>
        </w:rPr>
        <w:t xml:space="preserve"> της </w:t>
      </w:r>
      <w:r w:rsidR="0004656C" w:rsidRPr="00FF35A7">
        <w:rPr>
          <w:rFonts w:ascii="Times New Roman" w:hAnsi="Times New Roman"/>
          <w:bCs/>
          <w:color w:val="auto"/>
          <w:sz w:val="24"/>
        </w:rPr>
        <w:t>LHRH</w:t>
      </w:r>
      <w:r w:rsidR="0004656C" w:rsidRPr="00FF35A7">
        <w:rPr>
          <w:rFonts w:ascii="Times New Roman" w:hAnsi="Times New Roman"/>
          <w:bCs/>
          <w:color w:val="auto"/>
          <w:sz w:val="24"/>
          <w:lang w:val="el-GR"/>
        </w:rPr>
        <w:t>, καταστέλλεται</w:t>
      </w:r>
      <w:r w:rsidR="00302B65" w:rsidRPr="00FF35A7">
        <w:rPr>
          <w:rFonts w:ascii="Times New Roman" w:hAnsi="Times New Roman"/>
          <w:bCs/>
          <w:color w:val="auto"/>
          <w:sz w:val="24"/>
          <w:lang w:val="el-GR"/>
        </w:rPr>
        <w:t xml:space="preserve"> τελικά</w:t>
      </w:r>
      <w:r w:rsidR="0004656C" w:rsidRPr="00FF35A7">
        <w:rPr>
          <w:rFonts w:ascii="Times New Roman" w:hAnsi="Times New Roman"/>
          <w:bCs/>
          <w:color w:val="auto"/>
          <w:sz w:val="24"/>
          <w:lang w:val="el-GR"/>
        </w:rPr>
        <w:t xml:space="preserve"> η έκκριση των </w:t>
      </w:r>
      <w:r w:rsidR="0004656C" w:rsidRPr="00FF35A7">
        <w:rPr>
          <w:rFonts w:ascii="Times New Roman" w:hAnsi="Times New Roman"/>
          <w:bCs/>
          <w:color w:val="auto"/>
          <w:sz w:val="24"/>
        </w:rPr>
        <w:t>LH</w:t>
      </w:r>
      <w:r w:rsidR="0004656C" w:rsidRPr="00FF35A7">
        <w:rPr>
          <w:rFonts w:ascii="Times New Roman" w:hAnsi="Times New Roman"/>
          <w:bCs/>
          <w:color w:val="auto"/>
          <w:sz w:val="24"/>
          <w:lang w:val="el-GR"/>
        </w:rPr>
        <w:t xml:space="preserve"> και </w:t>
      </w:r>
      <w:r w:rsidR="005D0548" w:rsidRPr="00FF35A7">
        <w:rPr>
          <w:rFonts w:ascii="Times New Roman" w:hAnsi="Times New Roman"/>
          <w:bCs/>
          <w:color w:val="auto"/>
          <w:sz w:val="24"/>
        </w:rPr>
        <w:t>FSH</w:t>
      </w:r>
      <w:r w:rsidR="0004656C" w:rsidRPr="00FF35A7">
        <w:rPr>
          <w:rFonts w:ascii="Times New Roman" w:hAnsi="Times New Roman"/>
          <w:bCs/>
          <w:color w:val="auto"/>
          <w:sz w:val="24"/>
          <w:lang w:val="el-GR"/>
        </w:rPr>
        <w:t>.</w:t>
      </w:r>
      <w:r w:rsidR="00302B65" w:rsidRPr="00FF35A7">
        <w:rPr>
          <w:rFonts w:ascii="Times New Roman" w:hAnsi="Times New Roman"/>
          <w:bCs/>
          <w:color w:val="auto"/>
          <w:sz w:val="24"/>
          <w:lang w:val="el-GR"/>
        </w:rPr>
        <w:t xml:space="preserve"> Αυτό </w:t>
      </w:r>
      <w:r w:rsidR="005D0548" w:rsidRPr="00FF35A7">
        <w:rPr>
          <w:rFonts w:ascii="Times New Roman" w:hAnsi="Times New Roman"/>
          <w:bCs/>
          <w:color w:val="auto"/>
          <w:sz w:val="24"/>
          <w:lang w:val="el-GR"/>
        </w:rPr>
        <w:t>οδηγεί</w:t>
      </w:r>
      <w:r w:rsidR="00302B65" w:rsidRPr="00FF35A7">
        <w:rPr>
          <w:rFonts w:ascii="Times New Roman" w:hAnsi="Times New Roman"/>
          <w:bCs/>
          <w:color w:val="auto"/>
          <w:sz w:val="24"/>
          <w:lang w:val="el-GR"/>
        </w:rPr>
        <w:t xml:space="preserve"> </w:t>
      </w:r>
      <w:r w:rsidR="005D0548" w:rsidRPr="00FF35A7">
        <w:rPr>
          <w:rFonts w:ascii="Times New Roman" w:hAnsi="Times New Roman"/>
          <w:bCs/>
          <w:color w:val="auto"/>
          <w:sz w:val="24"/>
          <w:lang w:val="el-GR"/>
        </w:rPr>
        <w:t xml:space="preserve">σε </w:t>
      </w:r>
      <w:r w:rsidR="00302B65" w:rsidRPr="00FF35A7">
        <w:rPr>
          <w:rFonts w:ascii="Times New Roman" w:hAnsi="Times New Roman"/>
          <w:bCs/>
          <w:color w:val="auto"/>
          <w:sz w:val="24"/>
          <w:lang w:val="el-GR"/>
        </w:rPr>
        <w:t xml:space="preserve">παύση παραγωγής τεστοστερόνης από τα κύτταρα του </w:t>
      </w:r>
      <w:proofErr w:type="spellStart"/>
      <w:r w:rsidR="00302B65" w:rsidRPr="00FF35A7">
        <w:rPr>
          <w:rFonts w:ascii="Times New Roman" w:hAnsi="Times New Roman"/>
          <w:bCs/>
          <w:color w:val="auto"/>
          <w:sz w:val="24"/>
          <w:lang w:val="en-GB"/>
        </w:rPr>
        <w:t>Leydig</w:t>
      </w:r>
      <w:proofErr w:type="spellEnd"/>
      <w:r w:rsidR="00302B65" w:rsidRPr="00FF35A7">
        <w:rPr>
          <w:rFonts w:ascii="Times New Roman" w:hAnsi="Times New Roman"/>
          <w:bCs/>
          <w:color w:val="auto"/>
          <w:sz w:val="24"/>
          <w:lang w:val="el-GR"/>
        </w:rPr>
        <w:t xml:space="preserve"> στους όρχεις και μείωση της συγκέντρωσης τεστοστερόνης στον ορό του αίματος σε επίπεδα ευνουχισμού (</w:t>
      </w:r>
      <w:r w:rsidR="00B07FD9" w:rsidRPr="00FF35A7">
        <w:rPr>
          <w:rFonts w:ascii="Times New Roman" w:hAnsi="Times New Roman"/>
          <w:color w:val="auto"/>
          <w:sz w:val="24"/>
          <w:lang w:val="el-GR"/>
        </w:rPr>
        <w:t>τεστοστερίνη μικρότερη των 0</w:t>
      </w:r>
      <w:r w:rsidR="00D47CA0" w:rsidRPr="00FF35A7">
        <w:rPr>
          <w:rFonts w:ascii="Times New Roman" w:hAnsi="Times New Roman"/>
          <w:color w:val="auto"/>
          <w:sz w:val="24"/>
          <w:lang w:val="el-GR"/>
        </w:rPr>
        <w:t>,</w:t>
      </w:r>
      <w:r w:rsidR="00B07FD9" w:rsidRPr="00FF35A7">
        <w:rPr>
          <w:rFonts w:ascii="Times New Roman" w:hAnsi="Times New Roman"/>
          <w:color w:val="auto"/>
          <w:sz w:val="24"/>
          <w:lang w:val="el-GR"/>
        </w:rPr>
        <w:t>5</w:t>
      </w:r>
      <w:proofErr w:type="spellStart"/>
      <w:r w:rsidR="00B07FD9" w:rsidRPr="00FF35A7">
        <w:rPr>
          <w:rFonts w:ascii="Times New Roman" w:hAnsi="Times New Roman"/>
          <w:color w:val="auto"/>
          <w:sz w:val="24"/>
        </w:rPr>
        <w:t>ng</w:t>
      </w:r>
      <w:proofErr w:type="spellEnd"/>
      <w:r w:rsidR="00B07FD9" w:rsidRPr="00FF35A7">
        <w:rPr>
          <w:rFonts w:ascii="Times New Roman" w:hAnsi="Times New Roman"/>
          <w:color w:val="auto"/>
          <w:sz w:val="24"/>
          <w:lang w:val="el-GR"/>
        </w:rPr>
        <w:t>/</w:t>
      </w:r>
      <w:r w:rsidR="00B07FD9" w:rsidRPr="00FF35A7">
        <w:rPr>
          <w:rFonts w:ascii="Times New Roman" w:hAnsi="Times New Roman"/>
          <w:color w:val="auto"/>
          <w:sz w:val="24"/>
        </w:rPr>
        <w:t>ml</w:t>
      </w:r>
      <w:r w:rsidR="00B07FD9" w:rsidRPr="00FF35A7">
        <w:rPr>
          <w:rFonts w:ascii="Times New Roman" w:hAnsi="Times New Roman"/>
          <w:color w:val="auto"/>
          <w:sz w:val="24"/>
          <w:lang w:val="el-GR"/>
        </w:rPr>
        <w:t>)</w:t>
      </w:r>
      <w:r w:rsidR="00302B65" w:rsidRPr="00FF35A7">
        <w:rPr>
          <w:rFonts w:ascii="Times New Roman" w:hAnsi="Times New Roman"/>
          <w:bCs/>
          <w:color w:val="auto"/>
          <w:sz w:val="24"/>
          <w:lang w:val="el-GR"/>
        </w:rPr>
        <w:t xml:space="preserve"> σε περίπου 2 με 4 εβδομάδες από την έναρξη της θεραπείας.</w:t>
      </w:r>
    </w:p>
    <w:p w:rsidR="00302B65" w:rsidRPr="00FF35A7" w:rsidRDefault="00302B65" w:rsidP="00B23525">
      <w:pPr>
        <w:pStyle w:val="a4"/>
        <w:jc w:val="both"/>
        <w:rPr>
          <w:rFonts w:ascii="Times New Roman" w:hAnsi="Times New Roman"/>
          <w:bCs/>
          <w:color w:val="auto"/>
          <w:sz w:val="24"/>
          <w:lang w:val="el-GR"/>
        </w:rPr>
      </w:pPr>
    </w:p>
    <w:p w:rsidR="009E1E57" w:rsidRPr="00FF35A7" w:rsidRDefault="00302B65" w:rsidP="00B23525">
      <w:pPr>
        <w:pStyle w:val="a4"/>
        <w:jc w:val="both"/>
        <w:rPr>
          <w:rFonts w:ascii="Times New Roman" w:hAnsi="Times New Roman"/>
          <w:bCs/>
          <w:color w:val="auto"/>
          <w:sz w:val="24"/>
          <w:lang w:val="el-GR"/>
        </w:rPr>
      </w:pPr>
      <w:r w:rsidRPr="00FF35A7">
        <w:rPr>
          <w:rFonts w:ascii="Times New Roman" w:hAnsi="Times New Roman"/>
          <w:bCs/>
          <w:color w:val="auto"/>
          <w:sz w:val="24"/>
          <w:lang w:val="el-GR"/>
        </w:rPr>
        <w:t>Σε μί</w:t>
      </w:r>
      <w:r w:rsidR="005D0548" w:rsidRPr="00FF35A7">
        <w:rPr>
          <w:rFonts w:ascii="Times New Roman" w:hAnsi="Times New Roman"/>
          <w:bCs/>
          <w:color w:val="auto"/>
          <w:sz w:val="24"/>
          <w:lang w:val="el-GR"/>
        </w:rPr>
        <w:t>α ανοιχτή, πολυκεντρική κλινική</w:t>
      </w:r>
      <w:r w:rsidRPr="00FF35A7">
        <w:rPr>
          <w:rFonts w:ascii="Times New Roman" w:hAnsi="Times New Roman"/>
          <w:bCs/>
          <w:color w:val="auto"/>
          <w:sz w:val="24"/>
          <w:lang w:val="el-GR"/>
        </w:rPr>
        <w:t xml:space="preserve"> μελέτη πολλαπλών δόσεων με </w:t>
      </w:r>
      <w:proofErr w:type="spellStart"/>
      <w:r w:rsidR="00833418">
        <w:rPr>
          <w:rFonts w:ascii="Times New Roman" w:hAnsi="Times New Roman"/>
          <w:bCs/>
          <w:color w:val="auto"/>
          <w:sz w:val="24"/>
        </w:rPr>
        <w:t>Lutrate</w:t>
      </w:r>
      <w:proofErr w:type="spellEnd"/>
      <w:r w:rsidR="00833418" w:rsidRPr="00833418">
        <w:rPr>
          <w:rFonts w:ascii="Times New Roman" w:hAnsi="Times New Roman"/>
          <w:bCs/>
          <w:color w:val="auto"/>
          <w:sz w:val="24"/>
          <w:vertAlign w:val="superscript"/>
          <w:lang w:val="el-GR"/>
        </w:rPr>
        <w:t>®</w:t>
      </w:r>
      <w:r w:rsidR="00B1122A" w:rsidRPr="00FF35A7">
        <w:rPr>
          <w:rFonts w:ascii="Times New Roman" w:hAnsi="Times New Roman"/>
          <w:bCs/>
          <w:color w:val="auto"/>
          <w:sz w:val="24"/>
          <w:lang w:val="el-GR"/>
        </w:rPr>
        <w:t xml:space="preserve"> </w:t>
      </w:r>
      <w:r w:rsidR="00B1122A" w:rsidRPr="00FF35A7">
        <w:rPr>
          <w:rFonts w:ascii="Times New Roman" w:hAnsi="Times New Roman"/>
          <w:bCs/>
          <w:color w:val="auto"/>
          <w:sz w:val="24"/>
        </w:rPr>
        <w:t>Depot</w:t>
      </w:r>
      <w:r w:rsidRPr="00FF35A7">
        <w:rPr>
          <w:rFonts w:ascii="Times New Roman" w:hAnsi="Times New Roman"/>
          <w:bCs/>
          <w:color w:val="auto"/>
          <w:sz w:val="24"/>
          <w:lang w:val="el-GR"/>
        </w:rPr>
        <w:t xml:space="preserve">, έλαβαν μέρος 160 ασθενείς με καρκίνο του προστάτου, που δεν είχαν υποβληθεί σε προηγούμενη συστηματική θεραπεία του καρκίνου του προστάτου, ορμονική θεραπεία για την αντιμετώπιση του καρκίνου του προστάτου, προηγούμενη εγχείρηση στον προστάτη ή ορχεκτομή. </w:t>
      </w:r>
      <w:r w:rsidR="009E1E57" w:rsidRPr="00FF35A7">
        <w:rPr>
          <w:rFonts w:ascii="Times New Roman" w:hAnsi="Times New Roman"/>
          <w:bCs/>
          <w:color w:val="auto"/>
          <w:sz w:val="24"/>
          <w:lang w:val="el-GR"/>
        </w:rPr>
        <w:t xml:space="preserve">Ο σκοπός της έρευνας ήταν ο καθορισμός της ασφάλειας και της αποτελεσματικότητας του </w:t>
      </w:r>
      <w:proofErr w:type="spellStart"/>
      <w:r w:rsidR="00833418">
        <w:rPr>
          <w:rFonts w:ascii="Times New Roman" w:hAnsi="Times New Roman"/>
          <w:bCs/>
          <w:color w:val="auto"/>
          <w:sz w:val="24"/>
        </w:rPr>
        <w:t>Lutrate</w:t>
      </w:r>
      <w:proofErr w:type="spellEnd"/>
      <w:r w:rsidR="00833418" w:rsidRPr="00833418">
        <w:rPr>
          <w:rFonts w:ascii="Times New Roman" w:hAnsi="Times New Roman"/>
          <w:bCs/>
          <w:color w:val="auto"/>
          <w:sz w:val="24"/>
          <w:vertAlign w:val="superscript"/>
          <w:lang w:val="el-GR"/>
        </w:rPr>
        <w:t>®</w:t>
      </w:r>
      <w:r w:rsidR="00B1122A" w:rsidRPr="00FF35A7">
        <w:rPr>
          <w:rFonts w:ascii="Times New Roman" w:hAnsi="Times New Roman"/>
          <w:bCs/>
          <w:color w:val="auto"/>
          <w:sz w:val="24"/>
          <w:lang w:val="el-GR"/>
        </w:rPr>
        <w:t xml:space="preserve"> </w:t>
      </w:r>
      <w:r w:rsidR="00B1122A" w:rsidRPr="00FF35A7">
        <w:rPr>
          <w:rFonts w:ascii="Times New Roman" w:hAnsi="Times New Roman"/>
          <w:bCs/>
          <w:color w:val="auto"/>
          <w:sz w:val="24"/>
        </w:rPr>
        <w:t>Depot</w:t>
      </w:r>
      <w:r w:rsidR="009E1E57" w:rsidRPr="00FF35A7">
        <w:rPr>
          <w:rFonts w:ascii="Times New Roman" w:hAnsi="Times New Roman"/>
          <w:bCs/>
          <w:color w:val="auto"/>
          <w:sz w:val="24"/>
          <w:lang w:val="el-GR"/>
        </w:rPr>
        <w:t xml:space="preserve"> όταν αυτό χορηγείται σε ασθενείς με καρκίνο του προστάτου που </w:t>
      </w:r>
      <w:r w:rsidR="00F63CF9" w:rsidRPr="00FF35A7">
        <w:rPr>
          <w:rFonts w:ascii="Times New Roman" w:hAnsi="Times New Roman"/>
          <w:bCs/>
          <w:color w:val="auto"/>
          <w:sz w:val="24"/>
          <w:lang w:val="el-GR"/>
        </w:rPr>
        <w:t xml:space="preserve">ήταν </w:t>
      </w:r>
      <w:r w:rsidR="009E1E57" w:rsidRPr="00FF35A7">
        <w:rPr>
          <w:rFonts w:ascii="Times New Roman" w:hAnsi="Times New Roman"/>
          <w:bCs/>
          <w:color w:val="auto"/>
          <w:sz w:val="24"/>
          <w:lang w:val="el-GR"/>
        </w:rPr>
        <w:t xml:space="preserve">πιθανό να ωφεληθούν από τη θεραπεία στέρησης ανδρογόνων. Το </w:t>
      </w:r>
      <w:proofErr w:type="spellStart"/>
      <w:r w:rsidR="00833418">
        <w:rPr>
          <w:rFonts w:ascii="Times New Roman" w:hAnsi="Times New Roman"/>
          <w:bCs/>
          <w:color w:val="auto"/>
          <w:sz w:val="24"/>
        </w:rPr>
        <w:t>Lutrate</w:t>
      </w:r>
      <w:proofErr w:type="spellEnd"/>
      <w:r w:rsidR="00833418" w:rsidRPr="00833418">
        <w:rPr>
          <w:rFonts w:ascii="Times New Roman" w:hAnsi="Times New Roman"/>
          <w:bCs/>
          <w:color w:val="auto"/>
          <w:sz w:val="24"/>
          <w:vertAlign w:val="superscript"/>
          <w:lang w:val="el-GR"/>
        </w:rPr>
        <w:t>®</w:t>
      </w:r>
      <w:r w:rsidR="00B1122A" w:rsidRPr="00FF35A7">
        <w:rPr>
          <w:rFonts w:ascii="Times New Roman" w:hAnsi="Times New Roman"/>
          <w:bCs/>
          <w:color w:val="auto"/>
          <w:sz w:val="24"/>
          <w:lang w:val="el-GR"/>
        </w:rPr>
        <w:t xml:space="preserve"> </w:t>
      </w:r>
      <w:r w:rsidR="00B1122A" w:rsidRPr="00FF35A7">
        <w:rPr>
          <w:rFonts w:ascii="Times New Roman" w:hAnsi="Times New Roman"/>
          <w:bCs/>
          <w:color w:val="auto"/>
          <w:sz w:val="24"/>
        </w:rPr>
        <w:t>Depot</w:t>
      </w:r>
      <w:r w:rsidR="009E1E57" w:rsidRPr="00FF35A7">
        <w:rPr>
          <w:rFonts w:ascii="Times New Roman" w:hAnsi="Times New Roman"/>
          <w:bCs/>
          <w:color w:val="auto"/>
          <w:sz w:val="24"/>
          <w:lang w:val="el-GR"/>
        </w:rPr>
        <w:t xml:space="preserve"> χορηγήθηκε με ενδομυϊκή ένεση σε 6 μηνιαίες δόσεις.</w:t>
      </w:r>
    </w:p>
    <w:p w:rsidR="009E1E57" w:rsidRPr="00FF35A7" w:rsidRDefault="009E1E57" w:rsidP="00B23525">
      <w:pPr>
        <w:pStyle w:val="a4"/>
        <w:jc w:val="both"/>
        <w:rPr>
          <w:rFonts w:ascii="Times New Roman" w:hAnsi="Times New Roman"/>
          <w:bCs/>
          <w:color w:val="auto"/>
          <w:sz w:val="24"/>
          <w:lang w:val="el-GR"/>
        </w:rPr>
      </w:pPr>
      <w:r w:rsidRPr="00FF35A7">
        <w:rPr>
          <w:rFonts w:ascii="Times New Roman" w:hAnsi="Times New Roman"/>
          <w:bCs/>
          <w:color w:val="auto"/>
          <w:sz w:val="24"/>
          <w:lang w:val="el-GR"/>
        </w:rPr>
        <w:t xml:space="preserve">Η παρακολούθηση των επιπέδων τεστοστερόνης έγινε σε διάφορες </w:t>
      </w:r>
      <w:r w:rsidR="00F63CF9" w:rsidRPr="00FF35A7">
        <w:rPr>
          <w:rFonts w:ascii="Times New Roman" w:hAnsi="Times New Roman"/>
          <w:bCs/>
          <w:color w:val="auto"/>
          <w:sz w:val="24"/>
          <w:lang w:val="el-GR"/>
        </w:rPr>
        <w:t xml:space="preserve">ημέρες </w:t>
      </w:r>
      <w:r w:rsidRPr="00FF35A7">
        <w:rPr>
          <w:rFonts w:ascii="Times New Roman" w:hAnsi="Times New Roman"/>
          <w:bCs/>
          <w:color w:val="auto"/>
          <w:sz w:val="24"/>
          <w:lang w:val="el-GR"/>
        </w:rPr>
        <w:t xml:space="preserve">κατά τη διάρκεια των 168 ημερών της μελέτης. </w:t>
      </w:r>
      <w:r w:rsidR="00F63CF9" w:rsidRPr="00FF35A7">
        <w:rPr>
          <w:rFonts w:ascii="Times New Roman" w:hAnsi="Times New Roman"/>
          <w:bCs/>
          <w:color w:val="auto"/>
          <w:sz w:val="24"/>
          <w:lang w:val="el-GR"/>
        </w:rPr>
        <w:t>Όπως αναμενόταν, μ</w:t>
      </w:r>
      <w:r w:rsidRPr="00FF35A7">
        <w:rPr>
          <w:rFonts w:ascii="Times New Roman" w:hAnsi="Times New Roman"/>
          <w:bCs/>
          <w:color w:val="auto"/>
          <w:sz w:val="24"/>
          <w:lang w:val="el-GR"/>
        </w:rPr>
        <w:t xml:space="preserve">ετά την πρώτη ένεση, τα μέσα επίπεδα τεστοστερόνης αυξήθηκαν γρήγορα από τα επίπεδα αναφοράς </w:t>
      </w:r>
      <w:r w:rsidR="00535037" w:rsidRPr="00FF35A7">
        <w:rPr>
          <w:rFonts w:ascii="Times New Roman" w:hAnsi="Times New Roman"/>
          <w:bCs/>
          <w:color w:val="auto"/>
          <w:sz w:val="24"/>
          <w:lang w:val="el-GR"/>
        </w:rPr>
        <w:t>(4</w:t>
      </w:r>
      <w:r w:rsidR="00D47CA0"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119±1</w:t>
      </w:r>
      <w:r w:rsidR="00D47CA0"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 xml:space="preserve">341 </w:t>
      </w:r>
      <w:proofErr w:type="spellStart"/>
      <w:r w:rsidR="00535037" w:rsidRPr="00FF35A7">
        <w:rPr>
          <w:rFonts w:ascii="Times New Roman" w:hAnsi="Times New Roman"/>
          <w:bCs/>
          <w:color w:val="auto"/>
          <w:sz w:val="24"/>
          <w:lang w:val="en-GB"/>
        </w:rPr>
        <w:t>ng</w:t>
      </w:r>
      <w:proofErr w:type="spellEnd"/>
      <w:r w:rsidR="00535037" w:rsidRPr="00FF35A7">
        <w:rPr>
          <w:rFonts w:ascii="Times New Roman" w:hAnsi="Times New Roman"/>
          <w:bCs/>
          <w:color w:val="auto"/>
          <w:sz w:val="24"/>
          <w:lang w:val="el-GR"/>
        </w:rPr>
        <w:t>/</w:t>
      </w:r>
      <w:proofErr w:type="spellStart"/>
      <w:r w:rsidR="00535037" w:rsidRPr="00FF35A7">
        <w:rPr>
          <w:rFonts w:ascii="Times New Roman" w:hAnsi="Times New Roman"/>
          <w:bCs/>
          <w:color w:val="auto"/>
          <w:sz w:val="24"/>
          <w:lang w:val="en-GB"/>
        </w:rPr>
        <w:t>mL</w:t>
      </w:r>
      <w:proofErr w:type="spellEnd"/>
      <w:r w:rsidR="00535037" w:rsidRPr="00FF35A7">
        <w:rPr>
          <w:rFonts w:ascii="Times New Roman" w:hAnsi="Times New Roman"/>
          <w:bCs/>
          <w:color w:val="auto"/>
          <w:sz w:val="24"/>
          <w:lang w:val="el-GR"/>
        </w:rPr>
        <w:t>) και έφτασαν στα υψηλότερα επίπεδα τους (</w:t>
      </w:r>
      <w:proofErr w:type="spellStart"/>
      <w:r w:rsidR="00535037" w:rsidRPr="00FF35A7">
        <w:rPr>
          <w:rFonts w:ascii="Times New Roman" w:hAnsi="Times New Roman"/>
          <w:bCs/>
          <w:color w:val="auto"/>
          <w:sz w:val="24"/>
          <w:lang w:val="en-GB"/>
        </w:rPr>
        <w:t>C</w:t>
      </w:r>
      <w:r w:rsidR="00535037" w:rsidRPr="00FF35A7">
        <w:rPr>
          <w:rFonts w:ascii="Times New Roman" w:hAnsi="Times New Roman"/>
          <w:bCs/>
          <w:color w:val="auto"/>
          <w:sz w:val="24"/>
          <w:vertAlign w:val="subscript"/>
          <w:lang w:val="en-GB"/>
        </w:rPr>
        <w:t>max</w:t>
      </w:r>
      <w:proofErr w:type="spellEnd"/>
      <w:r w:rsidR="00535037" w:rsidRPr="00FF35A7">
        <w:rPr>
          <w:rFonts w:ascii="Times New Roman" w:hAnsi="Times New Roman"/>
          <w:bCs/>
          <w:color w:val="auto"/>
          <w:sz w:val="24"/>
          <w:lang w:val="el-GR"/>
        </w:rPr>
        <w:t>:</w:t>
      </w:r>
      <w:r w:rsidR="00535037" w:rsidRPr="00FF35A7">
        <w:rPr>
          <w:rFonts w:ascii="Times New Roman" w:hAnsi="Times New Roman"/>
          <w:color w:val="auto"/>
          <w:sz w:val="24"/>
          <w:lang w:val="el-GR" w:eastAsia="es-ES"/>
        </w:rPr>
        <w:t xml:space="preserve"> </w:t>
      </w:r>
      <w:r w:rsidR="00535037" w:rsidRPr="00FF35A7">
        <w:rPr>
          <w:rFonts w:ascii="Times New Roman" w:hAnsi="Times New Roman"/>
          <w:bCs/>
          <w:color w:val="auto"/>
          <w:sz w:val="24"/>
          <w:lang w:val="el-GR"/>
        </w:rPr>
        <w:t>6</w:t>
      </w:r>
      <w:r w:rsidR="00D47CA0"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598±2</w:t>
      </w:r>
      <w:r w:rsidR="00D47CA0"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 xml:space="preserve">249 </w:t>
      </w:r>
      <w:proofErr w:type="spellStart"/>
      <w:r w:rsidR="00535037" w:rsidRPr="00FF35A7">
        <w:rPr>
          <w:rFonts w:ascii="Times New Roman" w:hAnsi="Times New Roman"/>
          <w:bCs/>
          <w:color w:val="auto"/>
          <w:sz w:val="24"/>
          <w:lang w:val="en-GB"/>
        </w:rPr>
        <w:t>ng</w:t>
      </w:r>
      <w:proofErr w:type="spellEnd"/>
      <w:r w:rsidR="00535037" w:rsidRPr="00FF35A7">
        <w:rPr>
          <w:rFonts w:ascii="Times New Roman" w:hAnsi="Times New Roman"/>
          <w:bCs/>
          <w:color w:val="auto"/>
          <w:sz w:val="24"/>
          <w:lang w:val="el-GR"/>
        </w:rPr>
        <w:t>/</w:t>
      </w:r>
      <w:proofErr w:type="spellStart"/>
      <w:r w:rsidR="00535037" w:rsidRPr="00FF35A7">
        <w:rPr>
          <w:rFonts w:ascii="Times New Roman" w:hAnsi="Times New Roman"/>
          <w:bCs/>
          <w:color w:val="auto"/>
          <w:sz w:val="24"/>
          <w:lang w:val="en-GB"/>
        </w:rPr>
        <w:t>mL</w:t>
      </w:r>
      <w:proofErr w:type="spellEnd"/>
      <w:r w:rsidR="00535037" w:rsidRPr="00FF35A7">
        <w:rPr>
          <w:rFonts w:ascii="Times New Roman" w:hAnsi="Times New Roman"/>
          <w:bCs/>
          <w:color w:val="auto"/>
          <w:sz w:val="24"/>
          <w:lang w:val="el-GR"/>
        </w:rPr>
        <w:t>) την τρίτη ημέρα. Μετά την κορύφωσή τους, τα επίπεδα τεστοστερόνης μειώθηκαν και μέχρι την 21</w:t>
      </w:r>
      <w:r w:rsidR="00535037" w:rsidRPr="00FF35A7">
        <w:rPr>
          <w:rFonts w:ascii="Times New Roman" w:hAnsi="Times New Roman"/>
          <w:bCs/>
          <w:color w:val="auto"/>
          <w:sz w:val="24"/>
          <w:vertAlign w:val="superscript"/>
          <w:lang w:val="el-GR"/>
        </w:rPr>
        <w:t>η</w:t>
      </w:r>
      <w:r w:rsidR="00535037" w:rsidRPr="00FF35A7">
        <w:rPr>
          <w:rFonts w:ascii="Times New Roman" w:hAnsi="Times New Roman"/>
          <w:bCs/>
          <w:color w:val="auto"/>
          <w:sz w:val="24"/>
          <w:lang w:val="el-GR"/>
        </w:rPr>
        <w:t xml:space="preserve"> </w:t>
      </w:r>
      <w:r w:rsidR="00807B13" w:rsidRPr="00FF35A7">
        <w:rPr>
          <w:rFonts w:ascii="Times New Roman" w:hAnsi="Times New Roman"/>
          <w:bCs/>
          <w:color w:val="auto"/>
          <w:sz w:val="24"/>
          <w:lang w:val="el-GR"/>
        </w:rPr>
        <w:t>η</w:t>
      </w:r>
      <w:r w:rsidR="00535037" w:rsidRPr="00FF35A7">
        <w:rPr>
          <w:rFonts w:ascii="Times New Roman" w:hAnsi="Times New Roman"/>
          <w:bCs/>
          <w:color w:val="auto"/>
          <w:sz w:val="24"/>
          <w:lang w:val="el-GR"/>
        </w:rPr>
        <w:t>μέρα το 78</w:t>
      </w:r>
      <w:r w:rsidR="00D47CA0"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7% των ασθενών είχαν φτάσει σε επίπεδα ιατρικού ευνουχισμού (</w:t>
      </w:r>
      <w:r w:rsidR="00B07FD9" w:rsidRPr="00FF35A7">
        <w:rPr>
          <w:rFonts w:ascii="Times New Roman" w:hAnsi="Times New Roman"/>
          <w:color w:val="auto"/>
          <w:sz w:val="24"/>
          <w:lang w:val="el-GR"/>
        </w:rPr>
        <w:t>τεστοστερίνη μικρότερη των 0</w:t>
      </w:r>
      <w:r w:rsidR="00D47CA0" w:rsidRPr="00FF35A7">
        <w:rPr>
          <w:rFonts w:ascii="Times New Roman" w:hAnsi="Times New Roman"/>
          <w:color w:val="auto"/>
          <w:sz w:val="24"/>
          <w:lang w:val="el-GR"/>
        </w:rPr>
        <w:t>,</w:t>
      </w:r>
      <w:r w:rsidR="00B07FD9" w:rsidRPr="00FF35A7">
        <w:rPr>
          <w:rFonts w:ascii="Times New Roman" w:hAnsi="Times New Roman"/>
          <w:color w:val="auto"/>
          <w:sz w:val="24"/>
          <w:lang w:val="el-GR"/>
        </w:rPr>
        <w:t>5</w:t>
      </w:r>
      <w:proofErr w:type="spellStart"/>
      <w:r w:rsidR="00B07FD9" w:rsidRPr="00FF35A7">
        <w:rPr>
          <w:rFonts w:ascii="Times New Roman" w:hAnsi="Times New Roman"/>
          <w:color w:val="auto"/>
          <w:sz w:val="24"/>
        </w:rPr>
        <w:t>ng</w:t>
      </w:r>
      <w:proofErr w:type="spellEnd"/>
      <w:r w:rsidR="00B07FD9" w:rsidRPr="00FF35A7">
        <w:rPr>
          <w:rFonts w:ascii="Times New Roman" w:hAnsi="Times New Roman"/>
          <w:color w:val="auto"/>
          <w:sz w:val="24"/>
          <w:lang w:val="el-GR"/>
        </w:rPr>
        <w:t>/</w:t>
      </w:r>
      <w:r w:rsidR="00B07FD9" w:rsidRPr="00FF35A7">
        <w:rPr>
          <w:rFonts w:ascii="Times New Roman" w:hAnsi="Times New Roman"/>
          <w:color w:val="auto"/>
          <w:sz w:val="24"/>
        </w:rPr>
        <w:t>ml</w:t>
      </w:r>
      <w:r w:rsidR="00535037" w:rsidRPr="00FF35A7">
        <w:rPr>
          <w:rFonts w:ascii="Times New Roman" w:hAnsi="Times New Roman"/>
          <w:bCs/>
          <w:color w:val="auto"/>
          <w:sz w:val="24"/>
          <w:lang w:val="el-GR"/>
        </w:rPr>
        <w:t>). Μέχρι την 28</w:t>
      </w:r>
      <w:r w:rsidR="00535037" w:rsidRPr="00FF35A7">
        <w:rPr>
          <w:rFonts w:ascii="Times New Roman" w:hAnsi="Times New Roman"/>
          <w:bCs/>
          <w:color w:val="auto"/>
          <w:sz w:val="24"/>
          <w:vertAlign w:val="superscript"/>
          <w:lang w:val="el-GR"/>
        </w:rPr>
        <w:t>η</w:t>
      </w:r>
      <w:r w:rsidR="00535037" w:rsidRPr="00FF35A7">
        <w:rPr>
          <w:rFonts w:ascii="Times New Roman" w:hAnsi="Times New Roman"/>
          <w:bCs/>
          <w:color w:val="auto"/>
          <w:sz w:val="24"/>
          <w:lang w:val="el-GR"/>
        </w:rPr>
        <w:t xml:space="preserve"> ημέρα, το 96</w:t>
      </w:r>
      <w:r w:rsidR="00473F21" w:rsidRPr="00FF35A7">
        <w:rPr>
          <w:rFonts w:ascii="Times New Roman" w:hAnsi="Times New Roman"/>
          <w:bCs/>
          <w:color w:val="auto"/>
          <w:sz w:val="24"/>
          <w:lang w:val="el-GR"/>
        </w:rPr>
        <w:t>,</w:t>
      </w:r>
      <w:r w:rsidR="00535037" w:rsidRPr="00FF35A7">
        <w:rPr>
          <w:rFonts w:ascii="Times New Roman" w:hAnsi="Times New Roman"/>
          <w:bCs/>
          <w:color w:val="auto"/>
          <w:sz w:val="24"/>
          <w:lang w:val="el-GR"/>
        </w:rPr>
        <w:t>8% των ασθενών είχ</w:t>
      </w:r>
      <w:r w:rsidR="00473CEE" w:rsidRPr="00FF35A7">
        <w:rPr>
          <w:rFonts w:ascii="Times New Roman" w:hAnsi="Times New Roman"/>
          <w:bCs/>
          <w:color w:val="auto"/>
          <w:sz w:val="24"/>
          <w:lang w:val="el-GR"/>
        </w:rPr>
        <w:t>ε</w:t>
      </w:r>
      <w:r w:rsidR="00535037" w:rsidRPr="00FF35A7">
        <w:rPr>
          <w:rFonts w:ascii="Times New Roman" w:hAnsi="Times New Roman"/>
          <w:bCs/>
          <w:color w:val="auto"/>
          <w:sz w:val="24"/>
          <w:lang w:val="el-GR"/>
        </w:rPr>
        <w:t xml:space="preserve"> φτάσει σε επίπεδα ιατρικού ευνουχισμού</w:t>
      </w:r>
      <w:r w:rsidR="00473CEE" w:rsidRPr="00FF35A7">
        <w:rPr>
          <w:rFonts w:ascii="Times New Roman" w:hAnsi="Times New Roman"/>
          <w:bCs/>
          <w:color w:val="auto"/>
          <w:sz w:val="24"/>
          <w:lang w:val="el-GR"/>
        </w:rPr>
        <w:t xml:space="preserve"> και το 73</w:t>
      </w:r>
      <w:r w:rsidR="00473F21" w:rsidRPr="00FF35A7">
        <w:rPr>
          <w:rFonts w:ascii="Times New Roman" w:hAnsi="Times New Roman"/>
          <w:bCs/>
          <w:color w:val="auto"/>
          <w:sz w:val="24"/>
          <w:lang w:val="el-GR"/>
        </w:rPr>
        <w:t>,</w:t>
      </w:r>
      <w:r w:rsidR="00473CEE" w:rsidRPr="00FF35A7">
        <w:rPr>
          <w:rFonts w:ascii="Times New Roman" w:hAnsi="Times New Roman"/>
          <w:bCs/>
          <w:color w:val="auto"/>
          <w:sz w:val="24"/>
          <w:lang w:val="el-GR"/>
        </w:rPr>
        <w:t xml:space="preserve">1% είχε φτάσει σε επίπεδα </w:t>
      </w:r>
      <w:r w:rsidR="00473CEE" w:rsidRPr="00FF35A7">
        <w:rPr>
          <w:rFonts w:ascii="Times New Roman" w:hAnsi="Times New Roman"/>
          <w:bCs/>
          <w:color w:val="auto"/>
          <w:sz w:val="24"/>
          <w:u w:val="single"/>
          <w:lang w:val="el-GR"/>
        </w:rPr>
        <w:t>&lt;</w:t>
      </w:r>
      <w:r w:rsidR="00473CEE" w:rsidRPr="00FF35A7">
        <w:rPr>
          <w:rFonts w:ascii="Times New Roman" w:hAnsi="Times New Roman"/>
          <w:bCs/>
          <w:color w:val="auto"/>
          <w:sz w:val="24"/>
          <w:lang w:val="el-GR"/>
        </w:rPr>
        <w:t>0</w:t>
      </w:r>
      <w:r w:rsidR="00473F21" w:rsidRPr="00FF35A7">
        <w:rPr>
          <w:rFonts w:ascii="Times New Roman" w:hAnsi="Times New Roman"/>
          <w:bCs/>
          <w:color w:val="auto"/>
          <w:sz w:val="24"/>
          <w:lang w:val="el-GR"/>
        </w:rPr>
        <w:t>,</w:t>
      </w:r>
      <w:r w:rsidR="00473CEE" w:rsidRPr="00FF35A7">
        <w:rPr>
          <w:rFonts w:ascii="Times New Roman" w:hAnsi="Times New Roman"/>
          <w:bCs/>
          <w:color w:val="auto"/>
          <w:sz w:val="24"/>
          <w:lang w:val="el-GR"/>
        </w:rPr>
        <w:t>2</w:t>
      </w:r>
      <w:proofErr w:type="spellStart"/>
      <w:r w:rsidR="00473CEE" w:rsidRPr="00FF35A7">
        <w:rPr>
          <w:rFonts w:ascii="Times New Roman" w:hAnsi="Times New Roman"/>
          <w:bCs/>
          <w:color w:val="auto"/>
          <w:sz w:val="24"/>
        </w:rPr>
        <w:t>ng</w:t>
      </w:r>
      <w:proofErr w:type="spellEnd"/>
      <w:r w:rsidR="00473CEE" w:rsidRPr="00FF35A7">
        <w:rPr>
          <w:rFonts w:ascii="Times New Roman" w:hAnsi="Times New Roman"/>
          <w:bCs/>
          <w:color w:val="auto"/>
          <w:sz w:val="24"/>
          <w:lang w:val="el-GR"/>
        </w:rPr>
        <w:t>/</w:t>
      </w:r>
      <w:r w:rsidR="00473CEE" w:rsidRPr="00FF35A7">
        <w:rPr>
          <w:rFonts w:ascii="Times New Roman" w:hAnsi="Times New Roman"/>
          <w:bCs/>
          <w:color w:val="auto"/>
          <w:sz w:val="24"/>
        </w:rPr>
        <w:t>ml</w:t>
      </w:r>
      <w:r w:rsidR="00473CEE" w:rsidRPr="00FF35A7">
        <w:rPr>
          <w:rFonts w:ascii="Times New Roman" w:hAnsi="Times New Roman"/>
          <w:bCs/>
          <w:color w:val="auto"/>
          <w:sz w:val="24"/>
          <w:lang w:val="el-GR"/>
        </w:rPr>
        <w:t xml:space="preserve"> (βλ. Διάγραμμα 1).</w:t>
      </w:r>
    </w:p>
    <w:p w:rsidR="00807B13" w:rsidRPr="00FF35A7" w:rsidRDefault="00807B13" w:rsidP="00B23525">
      <w:pPr>
        <w:pStyle w:val="a4"/>
        <w:jc w:val="both"/>
        <w:rPr>
          <w:rFonts w:ascii="Times New Roman" w:hAnsi="Times New Roman"/>
          <w:b/>
          <w:bCs/>
          <w:color w:val="auto"/>
          <w:sz w:val="24"/>
          <w:lang w:val="el-GR"/>
        </w:rPr>
      </w:pPr>
    </w:p>
    <w:p w:rsidR="00473CEE" w:rsidRPr="00FF35A7" w:rsidRDefault="00473CEE" w:rsidP="00B23525">
      <w:pPr>
        <w:pStyle w:val="a4"/>
        <w:jc w:val="both"/>
        <w:rPr>
          <w:rFonts w:ascii="Times New Roman" w:hAnsi="Times New Roman"/>
          <w:b/>
          <w:bCs/>
          <w:color w:val="auto"/>
          <w:sz w:val="24"/>
          <w:lang w:val="el-GR"/>
        </w:rPr>
      </w:pPr>
      <w:r w:rsidRPr="00FF35A7">
        <w:rPr>
          <w:rFonts w:ascii="Times New Roman" w:hAnsi="Times New Roman"/>
          <w:b/>
          <w:bCs/>
          <w:color w:val="auto"/>
          <w:sz w:val="24"/>
          <w:lang w:val="el-GR"/>
        </w:rPr>
        <w:t>Διάγραμμα 1. Μέσα (±</w:t>
      </w:r>
      <w:r w:rsidRPr="00FF35A7">
        <w:rPr>
          <w:rFonts w:ascii="Times New Roman" w:hAnsi="Times New Roman"/>
          <w:b/>
          <w:bCs/>
          <w:color w:val="auto"/>
          <w:sz w:val="24"/>
          <w:lang w:val="en-GB"/>
        </w:rPr>
        <w:t>SD</w:t>
      </w:r>
      <w:r w:rsidRPr="00FF35A7">
        <w:rPr>
          <w:rFonts w:ascii="Times New Roman" w:hAnsi="Times New Roman"/>
          <w:b/>
          <w:bCs/>
          <w:color w:val="auto"/>
          <w:sz w:val="24"/>
          <w:lang w:val="el-GR"/>
        </w:rPr>
        <w:t xml:space="preserve">) επίπεδα τεστοστερόνης στο πλάσμα με θεραπεία 6 μηνιαίων ενδομυϊκών ενέσεων </w:t>
      </w:r>
      <w:proofErr w:type="spellStart"/>
      <w:r w:rsidR="00833418">
        <w:rPr>
          <w:rFonts w:ascii="Times New Roman" w:hAnsi="Times New Roman"/>
          <w:b/>
          <w:bCs/>
          <w:color w:val="auto"/>
          <w:sz w:val="24"/>
        </w:rPr>
        <w:t>Lutrate</w:t>
      </w:r>
      <w:proofErr w:type="spellEnd"/>
      <w:r w:rsidR="00833418" w:rsidRPr="00833418">
        <w:rPr>
          <w:rFonts w:ascii="Times New Roman" w:hAnsi="Times New Roman"/>
          <w:b/>
          <w:bCs/>
          <w:color w:val="auto"/>
          <w:sz w:val="24"/>
          <w:vertAlign w:val="superscript"/>
          <w:lang w:val="el-GR"/>
        </w:rPr>
        <w:t>®</w:t>
      </w:r>
      <w:r w:rsidR="00B1122A" w:rsidRPr="00FF35A7">
        <w:rPr>
          <w:rFonts w:ascii="Times New Roman" w:hAnsi="Times New Roman"/>
          <w:b/>
          <w:bCs/>
          <w:color w:val="auto"/>
          <w:sz w:val="24"/>
          <w:lang w:val="el-GR"/>
        </w:rPr>
        <w:t xml:space="preserve"> </w:t>
      </w:r>
      <w:r w:rsidR="00B1122A" w:rsidRPr="00FF35A7">
        <w:rPr>
          <w:rFonts w:ascii="Times New Roman" w:hAnsi="Times New Roman"/>
          <w:b/>
          <w:bCs/>
          <w:color w:val="auto"/>
          <w:sz w:val="24"/>
        </w:rPr>
        <w:t>Depot</w:t>
      </w:r>
      <w:r w:rsidRPr="00FF35A7">
        <w:rPr>
          <w:rFonts w:ascii="Times New Roman" w:hAnsi="Times New Roman"/>
          <w:b/>
          <w:bCs/>
          <w:color w:val="auto"/>
          <w:sz w:val="24"/>
          <w:lang w:val="el-GR"/>
        </w:rPr>
        <w:t xml:space="preserve"> 3</w:t>
      </w:r>
      <w:r w:rsidR="00B1122A" w:rsidRPr="00FF35A7">
        <w:rPr>
          <w:rFonts w:ascii="Times New Roman" w:hAnsi="Times New Roman"/>
          <w:b/>
          <w:bCs/>
          <w:color w:val="auto"/>
          <w:sz w:val="24"/>
          <w:lang w:val="el-GR"/>
        </w:rPr>
        <w:t>,</w:t>
      </w:r>
      <w:r w:rsidRPr="00FF35A7">
        <w:rPr>
          <w:rFonts w:ascii="Times New Roman" w:hAnsi="Times New Roman"/>
          <w:b/>
          <w:bCs/>
          <w:color w:val="auto"/>
          <w:sz w:val="24"/>
          <w:lang w:val="el-GR"/>
        </w:rPr>
        <w:t>75</w:t>
      </w:r>
      <w:r w:rsidRPr="00FF35A7">
        <w:rPr>
          <w:rFonts w:ascii="Times New Roman" w:hAnsi="Times New Roman"/>
          <w:b/>
          <w:bCs/>
          <w:color w:val="auto"/>
          <w:sz w:val="24"/>
        </w:rPr>
        <w:t>mg</w:t>
      </w:r>
      <w:r w:rsidRPr="00FF35A7">
        <w:rPr>
          <w:rFonts w:ascii="Times New Roman" w:hAnsi="Times New Roman"/>
          <w:b/>
          <w:bCs/>
          <w:color w:val="auto"/>
          <w:sz w:val="24"/>
          <w:lang w:val="el-GR"/>
        </w:rPr>
        <w:t>.</w:t>
      </w:r>
    </w:p>
    <w:p w:rsidR="00473CEE" w:rsidRPr="00FF35A7" w:rsidRDefault="00473CEE" w:rsidP="00B23525">
      <w:pPr>
        <w:pStyle w:val="a4"/>
        <w:jc w:val="both"/>
        <w:rPr>
          <w:rFonts w:ascii="Times New Roman" w:hAnsi="Times New Roman"/>
          <w:bCs/>
          <w:color w:val="auto"/>
          <w:sz w:val="24"/>
          <w:lang w:val="el-GR"/>
        </w:rPr>
      </w:pPr>
    </w:p>
    <w:p w:rsidR="00492225" w:rsidRPr="00FF35A7" w:rsidRDefault="007A5D0D" w:rsidP="00B23525">
      <w:pPr>
        <w:pStyle w:val="a4"/>
        <w:ind w:left="720" w:firstLine="720"/>
        <w:jc w:val="both"/>
        <w:rPr>
          <w:rFonts w:ascii="Times New Roman" w:hAnsi="Times New Roman"/>
          <w:b/>
          <w:bCs/>
          <w:color w:val="auto"/>
          <w:sz w:val="24"/>
          <w:lang w:val="el-GR"/>
        </w:rPr>
      </w:pPr>
      <w:r>
        <w:rPr>
          <w:rFonts w:ascii="Times New Roman" w:hAnsi="Times New Roman"/>
          <w:noProof/>
          <w:color w:val="auto"/>
          <w:sz w:val="24"/>
          <w:lang w:val="el-GR" w:eastAsia="el-GR"/>
        </w:rPr>
        <w:drawing>
          <wp:inline distT="0" distB="0" distL="0" distR="0">
            <wp:extent cx="4095750" cy="2025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0" cy="2025650"/>
                    </a:xfrm>
                    <a:prstGeom prst="rect">
                      <a:avLst/>
                    </a:prstGeom>
                    <a:noFill/>
                    <a:ln w="9525">
                      <a:noFill/>
                      <a:miter lim="800000"/>
                      <a:headEnd/>
                      <a:tailEnd/>
                    </a:ln>
                  </pic:spPr>
                </pic:pic>
              </a:graphicData>
            </a:graphic>
          </wp:inline>
        </w:drawing>
      </w:r>
    </w:p>
    <w:p w:rsidR="005440F2" w:rsidRPr="00B23525" w:rsidRDefault="00473CEE" w:rsidP="00B23525">
      <w:pPr>
        <w:pStyle w:val="a4"/>
        <w:jc w:val="both"/>
        <w:rPr>
          <w:rFonts w:ascii="Times New Roman" w:hAnsi="Times New Roman"/>
          <w:bCs/>
          <w:color w:val="auto"/>
          <w:sz w:val="24"/>
          <w:lang w:val="el-GR"/>
        </w:rPr>
      </w:pPr>
      <w:r w:rsidRPr="00FF35A7">
        <w:rPr>
          <w:rFonts w:ascii="Times New Roman" w:hAnsi="Times New Roman"/>
          <w:bCs/>
          <w:color w:val="auto"/>
          <w:sz w:val="24"/>
          <w:lang w:val="el-GR"/>
        </w:rPr>
        <w:t xml:space="preserve">Τα δευτερεύοντα στοιχεία </w:t>
      </w:r>
      <w:r w:rsidR="00AF7694" w:rsidRPr="00FF35A7">
        <w:rPr>
          <w:rFonts w:ascii="Times New Roman" w:hAnsi="Times New Roman"/>
          <w:bCs/>
          <w:color w:val="auto"/>
          <w:sz w:val="24"/>
          <w:lang w:val="el-GR"/>
        </w:rPr>
        <w:t xml:space="preserve">αποτελεσματικότητας αφορούσαν τον καθορισμό των συγκεντρώσεων των </w:t>
      </w:r>
      <w:r w:rsidR="00AF7694" w:rsidRPr="00FF35A7">
        <w:rPr>
          <w:rFonts w:ascii="Times New Roman" w:hAnsi="Times New Roman"/>
          <w:bCs/>
          <w:color w:val="auto"/>
          <w:sz w:val="24"/>
        </w:rPr>
        <w:t>LH</w:t>
      </w:r>
      <w:r w:rsidR="00AF7694" w:rsidRPr="00FF35A7">
        <w:rPr>
          <w:rFonts w:ascii="Times New Roman" w:hAnsi="Times New Roman"/>
          <w:bCs/>
          <w:color w:val="auto"/>
          <w:sz w:val="24"/>
          <w:lang w:val="el-GR"/>
        </w:rPr>
        <w:t xml:space="preserve">, </w:t>
      </w:r>
      <w:r w:rsidR="00AF7694" w:rsidRPr="00FF35A7">
        <w:rPr>
          <w:rFonts w:ascii="Times New Roman" w:hAnsi="Times New Roman"/>
          <w:bCs/>
          <w:color w:val="auto"/>
          <w:sz w:val="24"/>
        </w:rPr>
        <w:t>FSH</w:t>
      </w:r>
      <w:r w:rsidR="00AF7694" w:rsidRPr="00FF35A7">
        <w:rPr>
          <w:rFonts w:ascii="Times New Roman" w:hAnsi="Times New Roman"/>
          <w:bCs/>
          <w:color w:val="auto"/>
          <w:sz w:val="24"/>
          <w:lang w:val="el-GR"/>
        </w:rPr>
        <w:t xml:space="preserve"> και </w:t>
      </w:r>
      <w:r w:rsidR="00AF7694" w:rsidRPr="00FF35A7">
        <w:rPr>
          <w:rFonts w:ascii="Times New Roman" w:hAnsi="Times New Roman"/>
          <w:bCs/>
          <w:color w:val="auto"/>
          <w:sz w:val="24"/>
        </w:rPr>
        <w:t>PSA</w:t>
      </w:r>
      <w:r w:rsidR="00AF7694" w:rsidRPr="00FF35A7">
        <w:rPr>
          <w:rFonts w:ascii="Times New Roman" w:hAnsi="Times New Roman"/>
          <w:bCs/>
          <w:color w:val="auto"/>
          <w:sz w:val="24"/>
          <w:lang w:val="el-GR"/>
        </w:rPr>
        <w:t xml:space="preserve"> στον ορό του  αίματος. Μέχρι τη 14</w:t>
      </w:r>
      <w:r w:rsidR="00AF7694" w:rsidRPr="00FF35A7">
        <w:rPr>
          <w:rFonts w:ascii="Times New Roman" w:hAnsi="Times New Roman"/>
          <w:bCs/>
          <w:color w:val="auto"/>
          <w:sz w:val="24"/>
          <w:vertAlign w:val="superscript"/>
          <w:lang w:val="el-GR"/>
        </w:rPr>
        <w:t>η</w:t>
      </w:r>
      <w:r w:rsidR="00AF7694" w:rsidRPr="00FF35A7">
        <w:rPr>
          <w:rFonts w:ascii="Times New Roman" w:hAnsi="Times New Roman"/>
          <w:bCs/>
          <w:color w:val="auto"/>
          <w:sz w:val="24"/>
          <w:lang w:val="el-GR"/>
        </w:rPr>
        <w:t xml:space="preserve"> και την 4</w:t>
      </w:r>
      <w:r w:rsidR="00AF7694" w:rsidRPr="00FF35A7">
        <w:rPr>
          <w:rFonts w:ascii="Times New Roman" w:hAnsi="Times New Roman"/>
          <w:bCs/>
          <w:color w:val="auto"/>
          <w:sz w:val="24"/>
          <w:vertAlign w:val="superscript"/>
          <w:lang w:val="el-GR"/>
        </w:rPr>
        <w:t>η</w:t>
      </w:r>
      <w:r w:rsidR="00AF7694" w:rsidRPr="00FF35A7">
        <w:rPr>
          <w:rFonts w:ascii="Times New Roman" w:hAnsi="Times New Roman"/>
          <w:bCs/>
          <w:color w:val="auto"/>
          <w:sz w:val="24"/>
          <w:lang w:val="el-GR"/>
        </w:rPr>
        <w:t xml:space="preserve"> μέρα μετά την πρώτη ένεση με </w:t>
      </w:r>
      <w:proofErr w:type="spellStart"/>
      <w:r w:rsidR="00833418">
        <w:rPr>
          <w:rFonts w:ascii="Times New Roman" w:hAnsi="Times New Roman"/>
          <w:bCs/>
          <w:color w:val="auto"/>
          <w:sz w:val="24"/>
        </w:rPr>
        <w:t>Lutrate</w:t>
      </w:r>
      <w:proofErr w:type="spellEnd"/>
      <w:r w:rsidR="00833418" w:rsidRPr="00833418">
        <w:rPr>
          <w:rFonts w:ascii="Times New Roman" w:hAnsi="Times New Roman"/>
          <w:bCs/>
          <w:color w:val="auto"/>
          <w:sz w:val="24"/>
          <w:vertAlign w:val="superscript"/>
          <w:lang w:val="el-GR"/>
        </w:rPr>
        <w:t>®</w:t>
      </w:r>
      <w:r w:rsidR="00B1122A" w:rsidRPr="00FF35A7">
        <w:rPr>
          <w:rFonts w:ascii="Times New Roman" w:hAnsi="Times New Roman"/>
          <w:bCs/>
          <w:color w:val="auto"/>
          <w:sz w:val="24"/>
          <w:lang w:val="el-GR"/>
        </w:rPr>
        <w:t xml:space="preserve"> </w:t>
      </w:r>
      <w:r w:rsidR="00B1122A" w:rsidRPr="00FF35A7">
        <w:rPr>
          <w:rFonts w:ascii="Times New Roman" w:hAnsi="Times New Roman"/>
          <w:bCs/>
          <w:color w:val="auto"/>
          <w:sz w:val="24"/>
        </w:rPr>
        <w:t>Depot</w:t>
      </w:r>
      <w:r w:rsidR="00AF7694" w:rsidRPr="00FF35A7">
        <w:rPr>
          <w:rFonts w:ascii="Times New Roman" w:hAnsi="Times New Roman"/>
          <w:bCs/>
          <w:color w:val="auto"/>
          <w:sz w:val="24"/>
          <w:lang w:val="el-GR"/>
        </w:rPr>
        <w:t xml:space="preserve">, τα μέσα επίπεδα συγκέντρωσης </w:t>
      </w:r>
      <w:r w:rsidR="00AF7694" w:rsidRPr="00FF35A7">
        <w:rPr>
          <w:rFonts w:ascii="Times New Roman" w:hAnsi="Times New Roman"/>
          <w:bCs/>
          <w:color w:val="auto"/>
          <w:sz w:val="24"/>
        </w:rPr>
        <w:t>LH</w:t>
      </w:r>
      <w:r w:rsidR="00AF7694" w:rsidRPr="00FF35A7">
        <w:rPr>
          <w:rFonts w:ascii="Times New Roman" w:hAnsi="Times New Roman"/>
          <w:bCs/>
          <w:color w:val="auto"/>
          <w:sz w:val="24"/>
          <w:lang w:val="el-GR"/>
        </w:rPr>
        <w:t xml:space="preserve"> και </w:t>
      </w:r>
      <w:r w:rsidR="00AF7694" w:rsidRPr="00FF35A7">
        <w:rPr>
          <w:rFonts w:ascii="Times New Roman" w:hAnsi="Times New Roman"/>
          <w:bCs/>
          <w:color w:val="auto"/>
          <w:sz w:val="24"/>
        </w:rPr>
        <w:t>FSH</w:t>
      </w:r>
      <w:r w:rsidR="00492225" w:rsidRPr="00FF35A7">
        <w:rPr>
          <w:rFonts w:ascii="Times New Roman" w:hAnsi="Times New Roman"/>
          <w:bCs/>
          <w:color w:val="auto"/>
          <w:sz w:val="24"/>
          <w:lang w:val="el-GR"/>
        </w:rPr>
        <w:t>,</w:t>
      </w:r>
      <w:r w:rsidR="00AF7694" w:rsidRPr="00FF35A7">
        <w:rPr>
          <w:rFonts w:ascii="Times New Roman" w:hAnsi="Times New Roman"/>
          <w:bCs/>
          <w:color w:val="auto"/>
          <w:sz w:val="24"/>
          <w:lang w:val="el-GR"/>
        </w:rPr>
        <w:t xml:space="preserve"> στον ορό του αίματος είχαν φτάσει σε επίπεδα χαμηλότερα των σχετικών τιμών αναφοράς. Οι συγκεντρώσεις παρέμειναν κάτω από τις τιμές αναφοράς από την 28</w:t>
      </w:r>
      <w:r w:rsidR="00AF7694" w:rsidRPr="00FF35A7">
        <w:rPr>
          <w:rFonts w:ascii="Times New Roman" w:hAnsi="Times New Roman"/>
          <w:bCs/>
          <w:color w:val="auto"/>
          <w:sz w:val="24"/>
          <w:vertAlign w:val="superscript"/>
          <w:lang w:val="el-GR"/>
        </w:rPr>
        <w:t>η</w:t>
      </w:r>
      <w:r w:rsidR="00AF7694" w:rsidRPr="00FF35A7">
        <w:rPr>
          <w:rFonts w:ascii="Times New Roman" w:hAnsi="Times New Roman"/>
          <w:bCs/>
          <w:color w:val="auto"/>
          <w:sz w:val="24"/>
          <w:lang w:val="el-GR"/>
        </w:rPr>
        <w:t xml:space="preserve"> ημέρα και μέχρι το τέλος της μελέτης. Κατά τη διάρκεια της θεραπείας, η μέση συγκέντρωση </w:t>
      </w:r>
      <w:r w:rsidR="00AF7694" w:rsidRPr="00FF35A7">
        <w:rPr>
          <w:rFonts w:ascii="Times New Roman" w:hAnsi="Times New Roman"/>
          <w:bCs/>
          <w:color w:val="auto"/>
          <w:sz w:val="24"/>
        </w:rPr>
        <w:t>PSA</w:t>
      </w:r>
      <w:r w:rsidR="00AF7694" w:rsidRPr="00FF35A7">
        <w:rPr>
          <w:rFonts w:ascii="Times New Roman" w:hAnsi="Times New Roman"/>
          <w:bCs/>
          <w:color w:val="auto"/>
          <w:sz w:val="24"/>
          <w:lang w:val="el-GR"/>
        </w:rPr>
        <w:t xml:space="preserve"> στον </w:t>
      </w:r>
      <w:r w:rsidR="00492225" w:rsidRPr="00FF35A7">
        <w:rPr>
          <w:rFonts w:ascii="Times New Roman" w:hAnsi="Times New Roman"/>
          <w:bCs/>
          <w:color w:val="auto"/>
          <w:sz w:val="24"/>
          <w:lang w:val="el-GR"/>
        </w:rPr>
        <w:t>ορό</w:t>
      </w:r>
      <w:r w:rsidR="00AF7694" w:rsidRPr="00FF35A7">
        <w:rPr>
          <w:rFonts w:ascii="Times New Roman" w:hAnsi="Times New Roman"/>
          <w:bCs/>
          <w:color w:val="auto"/>
          <w:sz w:val="24"/>
          <w:lang w:val="el-GR"/>
        </w:rPr>
        <w:t xml:space="preserve"> του αίματος μειώθηκε σταδιακά (κατά τον πρώτο μήνα) και μετά παρέμεινε σταθερά κάτω από την τιμή αναφ</w:t>
      </w:r>
      <w:r w:rsidR="00492225" w:rsidRPr="00FF35A7">
        <w:rPr>
          <w:rFonts w:ascii="Times New Roman" w:hAnsi="Times New Roman"/>
          <w:bCs/>
          <w:color w:val="auto"/>
          <w:sz w:val="24"/>
          <w:lang w:val="el-GR"/>
        </w:rPr>
        <w:t>οράς μέχρι το τέλος της μελέτης, ό</w:t>
      </w:r>
      <w:r w:rsidR="00AF7694" w:rsidRPr="00FF35A7">
        <w:rPr>
          <w:rFonts w:ascii="Times New Roman" w:hAnsi="Times New Roman"/>
          <w:bCs/>
          <w:color w:val="auto"/>
          <w:sz w:val="24"/>
          <w:lang w:val="el-GR"/>
        </w:rPr>
        <w:t>μως</w:t>
      </w:r>
      <w:r w:rsidR="00492225" w:rsidRPr="00FF35A7">
        <w:rPr>
          <w:rFonts w:ascii="Times New Roman" w:hAnsi="Times New Roman"/>
          <w:bCs/>
          <w:color w:val="auto"/>
          <w:sz w:val="24"/>
          <w:lang w:val="el-GR"/>
        </w:rPr>
        <w:t>,</w:t>
      </w:r>
      <w:r w:rsidR="00AF7694" w:rsidRPr="00FF35A7">
        <w:rPr>
          <w:rFonts w:ascii="Times New Roman" w:hAnsi="Times New Roman"/>
          <w:bCs/>
          <w:color w:val="auto"/>
          <w:sz w:val="24"/>
          <w:lang w:val="el-GR"/>
        </w:rPr>
        <w:t xml:space="preserve"> παρατηρήθηκε έντονη </w:t>
      </w:r>
      <w:r w:rsidR="00BF19D1" w:rsidRPr="00FF35A7">
        <w:rPr>
          <w:rFonts w:ascii="Times New Roman" w:hAnsi="Times New Roman"/>
          <w:bCs/>
          <w:color w:val="auto"/>
          <w:sz w:val="24"/>
          <w:lang w:val="el-GR"/>
        </w:rPr>
        <w:t>διατομική μεταβλητότητα</w:t>
      </w:r>
      <w:r w:rsidR="00AF7694" w:rsidRPr="00FF35A7">
        <w:rPr>
          <w:rFonts w:ascii="Times New Roman" w:hAnsi="Times New Roman"/>
          <w:bCs/>
          <w:color w:val="auto"/>
          <w:sz w:val="24"/>
          <w:lang w:val="el-GR"/>
        </w:rPr>
        <w:t xml:space="preserve"> στη συγκέντρωση της </w:t>
      </w:r>
      <w:r w:rsidR="00AF7694" w:rsidRPr="00FF35A7">
        <w:rPr>
          <w:rFonts w:ascii="Times New Roman" w:hAnsi="Times New Roman"/>
          <w:bCs/>
          <w:color w:val="auto"/>
          <w:sz w:val="24"/>
        </w:rPr>
        <w:t>PSA</w:t>
      </w:r>
      <w:r w:rsidR="00AF7694" w:rsidRPr="00FF35A7">
        <w:rPr>
          <w:rFonts w:ascii="Times New Roman" w:hAnsi="Times New Roman"/>
          <w:bCs/>
          <w:color w:val="auto"/>
          <w:sz w:val="24"/>
          <w:lang w:val="el-GR"/>
        </w:rPr>
        <w:t xml:space="preserve">  κατά τη διάρκεια της μελέτης.</w:t>
      </w:r>
    </w:p>
    <w:p w:rsidR="00B1122A" w:rsidRPr="00FF35A7" w:rsidRDefault="00B1122A" w:rsidP="00B23525">
      <w:pPr>
        <w:jc w:val="both"/>
        <w:rPr>
          <w:rFonts w:eastAsia="MS Mincho"/>
          <w:lang w:val="el-GR" w:eastAsia="es-ES"/>
        </w:rPr>
      </w:pPr>
      <w:r w:rsidRPr="00FF35A7">
        <w:rPr>
          <w:rFonts w:eastAsia="MS Mincho"/>
          <w:lang w:val="el-GR" w:eastAsia="es-ES"/>
        </w:rPr>
        <w:t>Η συχνότητα οξείας επί χρονίας απόκρισης ανήλθε σε 10,5 % και η συχνότητα απόκρισης στην οξεία αύξηση της τεστοστερόνης ανήλθε σε 11,8 %. Δεν αναφέρθηκαν ανεπιθύμητες ενέργειες που σχετίζονται με το φάρμακο και υποδεικνύουν κλινική αύξηση της τεστοστερόνης (κατακράτηση ούρων, συμπίεση του νωτιαίου μυελού ή επιδείνωση του πόνου στα οστά) σε κανέναν από τους ασθενείς που παρουσίασαν οξεία αύξηση της τεστοστερόνης.</w:t>
      </w:r>
    </w:p>
    <w:p w:rsidR="00B1122A" w:rsidRDefault="00B1122A" w:rsidP="00B23525">
      <w:pPr>
        <w:pStyle w:val="a4"/>
        <w:rPr>
          <w:rFonts w:ascii="Times New Roman" w:hAnsi="Times New Roman"/>
          <w:color w:val="auto"/>
          <w:sz w:val="24"/>
          <w:lang w:val="el-GR"/>
        </w:rPr>
      </w:pPr>
    </w:p>
    <w:p w:rsidR="00B23525" w:rsidRDefault="00B23525" w:rsidP="00B23525">
      <w:pPr>
        <w:pStyle w:val="a4"/>
        <w:rPr>
          <w:rFonts w:ascii="Times New Roman" w:hAnsi="Times New Roman"/>
          <w:color w:val="auto"/>
          <w:sz w:val="24"/>
          <w:lang w:val="el-GR"/>
        </w:rPr>
      </w:pPr>
    </w:p>
    <w:p w:rsidR="00B23525" w:rsidRDefault="00B23525" w:rsidP="00B23525">
      <w:pPr>
        <w:pStyle w:val="a4"/>
        <w:rPr>
          <w:rFonts w:ascii="Times New Roman" w:hAnsi="Times New Roman"/>
          <w:color w:val="auto"/>
          <w:sz w:val="24"/>
          <w:lang w:val="el-GR"/>
        </w:rPr>
      </w:pPr>
    </w:p>
    <w:p w:rsidR="00B23525" w:rsidRPr="00FF35A7" w:rsidRDefault="00B23525" w:rsidP="00B23525">
      <w:pPr>
        <w:pStyle w:val="a4"/>
        <w:rPr>
          <w:rFonts w:ascii="Times New Roman" w:hAnsi="Times New Roman"/>
          <w:color w:val="auto"/>
          <w:sz w:val="24"/>
          <w:lang w:val="el-GR"/>
        </w:rPr>
      </w:pPr>
    </w:p>
    <w:p w:rsidR="005440F2"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lastRenderedPageBreak/>
        <w:t>5.2</w:t>
      </w:r>
      <w:r w:rsidR="00B1122A" w:rsidRPr="00FF35A7">
        <w:rPr>
          <w:rFonts w:ascii="Times New Roman" w:hAnsi="Times New Roman"/>
          <w:b/>
          <w:bCs/>
          <w:color w:val="auto"/>
          <w:sz w:val="24"/>
          <w:lang w:val="el-GR"/>
        </w:rPr>
        <w:tab/>
      </w:r>
      <w:r w:rsidRPr="00FF35A7">
        <w:rPr>
          <w:rFonts w:ascii="Times New Roman" w:hAnsi="Times New Roman"/>
          <w:b/>
          <w:bCs/>
          <w:color w:val="auto"/>
          <w:sz w:val="24"/>
          <w:lang w:val="el-GR"/>
        </w:rPr>
        <w:t>Φαρμακοκινητικές ιδιότητες</w:t>
      </w:r>
      <w:r w:rsidRPr="00FF35A7">
        <w:rPr>
          <w:rFonts w:ascii="Times New Roman" w:hAnsi="Times New Roman"/>
          <w:color w:val="auto"/>
          <w:sz w:val="24"/>
          <w:lang w:val="el-GR"/>
        </w:rPr>
        <w:t xml:space="preserve"> </w:t>
      </w:r>
    </w:p>
    <w:p w:rsidR="00B23525" w:rsidRDefault="005440F2" w:rsidP="00B23525">
      <w:pPr>
        <w:pStyle w:val="a4"/>
        <w:jc w:val="both"/>
        <w:rPr>
          <w:rFonts w:ascii="Times New Roman" w:hAnsi="Times New Roman"/>
          <w:color w:val="auto"/>
          <w:sz w:val="24"/>
          <w:u w:val="single"/>
          <w:lang w:val="el-GR"/>
        </w:rPr>
      </w:pPr>
      <w:r w:rsidRPr="00FF35A7">
        <w:rPr>
          <w:rFonts w:ascii="Times New Roman" w:hAnsi="Times New Roman"/>
          <w:color w:val="auto"/>
          <w:sz w:val="24"/>
          <w:u w:val="single"/>
          <w:lang w:val="el-GR"/>
        </w:rPr>
        <w:t>Απορρόφηση</w:t>
      </w:r>
    </w:p>
    <w:p w:rsidR="00492225" w:rsidRPr="00B23525" w:rsidRDefault="005440F2" w:rsidP="00B23525">
      <w:pPr>
        <w:pStyle w:val="a4"/>
        <w:jc w:val="both"/>
        <w:rPr>
          <w:rFonts w:ascii="Times New Roman" w:hAnsi="Times New Roman"/>
          <w:color w:val="auto"/>
          <w:sz w:val="24"/>
          <w:u w:val="single"/>
          <w:lang w:val="el-GR"/>
        </w:rPr>
      </w:pPr>
      <w:r w:rsidRPr="00FF35A7">
        <w:rPr>
          <w:rFonts w:ascii="Times New Roman" w:hAnsi="Times New Roman"/>
          <w:color w:val="auto"/>
          <w:sz w:val="24"/>
          <w:lang w:val="el-GR"/>
        </w:rPr>
        <w:t xml:space="preserve">Μετά από χορήγηση </w:t>
      </w:r>
      <w:r w:rsidR="00D758C6" w:rsidRPr="00FF35A7">
        <w:rPr>
          <w:rFonts w:ascii="Times New Roman" w:hAnsi="Times New Roman"/>
          <w:color w:val="auto"/>
          <w:sz w:val="24"/>
          <w:lang w:val="el-GR"/>
        </w:rPr>
        <w:t xml:space="preserve">3 μηνιαίων </w:t>
      </w:r>
      <w:r w:rsidRPr="00FF35A7">
        <w:rPr>
          <w:rFonts w:ascii="Times New Roman" w:hAnsi="Times New Roman"/>
          <w:color w:val="auto"/>
          <w:sz w:val="24"/>
          <w:lang w:val="el-GR"/>
        </w:rPr>
        <w:t xml:space="preserve">δόσεων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B1122A" w:rsidRPr="00FF35A7">
        <w:rPr>
          <w:rFonts w:ascii="Times New Roman" w:hAnsi="Times New Roman"/>
          <w:color w:val="auto"/>
          <w:sz w:val="24"/>
          <w:lang w:val="el-GR"/>
        </w:rPr>
        <w:t xml:space="preserve"> </w:t>
      </w:r>
      <w:r w:rsidR="00B1122A" w:rsidRPr="00FF35A7">
        <w:rPr>
          <w:rFonts w:ascii="Times New Roman" w:hAnsi="Times New Roman"/>
          <w:color w:val="auto"/>
          <w:sz w:val="24"/>
        </w:rPr>
        <w:t>Depot</w:t>
      </w:r>
      <w:r w:rsidR="00D758C6" w:rsidRPr="00FF35A7">
        <w:rPr>
          <w:rFonts w:ascii="Times New Roman" w:hAnsi="Times New Roman"/>
          <w:color w:val="auto"/>
          <w:sz w:val="24"/>
          <w:lang w:val="el-GR"/>
        </w:rPr>
        <w:t xml:space="preserve"> σε ένα</w:t>
      </w:r>
      <w:r w:rsidR="00492225" w:rsidRPr="00FF35A7">
        <w:rPr>
          <w:rFonts w:ascii="Times New Roman" w:hAnsi="Times New Roman"/>
          <w:color w:val="auto"/>
          <w:sz w:val="24"/>
          <w:lang w:val="el-GR"/>
        </w:rPr>
        <w:t>ν</w:t>
      </w:r>
      <w:r w:rsidR="00D758C6" w:rsidRPr="00FF35A7">
        <w:rPr>
          <w:rFonts w:ascii="Times New Roman" w:hAnsi="Times New Roman"/>
          <w:color w:val="auto"/>
          <w:sz w:val="24"/>
          <w:lang w:val="el-GR"/>
        </w:rPr>
        <w:t xml:space="preserve"> </w:t>
      </w:r>
      <w:r w:rsidR="00492225" w:rsidRPr="00FF35A7">
        <w:rPr>
          <w:rFonts w:ascii="Times New Roman" w:hAnsi="Times New Roman"/>
          <w:color w:val="auto"/>
          <w:sz w:val="24"/>
          <w:lang w:val="el-GR"/>
        </w:rPr>
        <w:t>αριθμό</w:t>
      </w:r>
      <w:r w:rsidR="00D758C6" w:rsidRPr="00FF35A7">
        <w:rPr>
          <w:rFonts w:ascii="Times New Roman" w:hAnsi="Times New Roman"/>
          <w:color w:val="auto"/>
          <w:sz w:val="24"/>
          <w:lang w:val="el-GR"/>
        </w:rPr>
        <w:t xml:space="preserve"> ασθενών με καρκίνο του προστάτου (Ν=12), παρατηρήθηκε ότι η μέγιστη συγκέντρωση </w:t>
      </w:r>
      <w:proofErr w:type="spellStart"/>
      <w:r w:rsidR="00D758C6" w:rsidRPr="00FF35A7">
        <w:rPr>
          <w:rFonts w:ascii="Times New Roman" w:hAnsi="Times New Roman"/>
          <w:color w:val="auto"/>
          <w:sz w:val="24"/>
        </w:rPr>
        <w:t>leuprorelin</w:t>
      </w:r>
      <w:proofErr w:type="spellEnd"/>
      <w:r w:rsidR="00D758C6" w:rsidRPr="00FF35A7">
        <w:rPr>
          <w:rFonts w:ascii="Times New Roman" w:hAnsi="Times New Roman"/>
          <w:color w:val="auto"/>
          <w:sz w:val="24"/>
          <w:lang w:val="el-GR"/>
        </w:rPr>
        <w:t xml:space="preserve"> </w:t>
      </w:r>
      <w:r w:rsidR="00D758C6" w:rsidRPr="00FF35A7">
        <w:rPr>
          <w:rFonts w:ascii="Times New Roman" w:hAnsi="Times New Roman"/>
          <w:color w:val="auto"/>
          <w:sz w:val="24"/>
        </w:rPr>
        <w:t>acetate</w:t>
      </w:r>
      <w:r w:rsidR="00D758C6" w:rsidRPr="00FF35A7">
        <w:rPr>
          <w:rFonts w:ascii="Times New Roman" w:hAnsi="Times New Roman"/>
          <w:color w:val="auto"/>
          <w:sz w:val="24"/>
          <w:lang w:val="el-GR"/>
        </w:rPr>
        <w:t xml:space="preserve"> στο πλάσμα ήταν παρόμοια μεταξύ των τριών κύκλων χορήγησης. Μετά την πρώτη χορήγηση (</w:t>
      </w:r>
      <w:r w:rsidR="00492225" w:rsidRPr="00FF35A7">
        <w:rPr>
          <w:rFonts w:ascii="Times New Roman" w:hAnsi="Times New Roman"/>
          <w:color w:val="auto"/>
          <w:sz w:val="24"/>
          <w:lang w:val="el-GR"/>
        </w:rPr>
        <w:t>η</w:t>
      </w:r>
      <w:r w:rsidR="00D758C6" w:rsidRPr="00FF35A7">
        <w:rPr>
          <w:rFonts w:ascii="Times New Roman" w:hAnsi="Times New Roman"/>
          <w:color w:val="auto"/>
          <w:sz w:val="24"/>
          <w:lang w:val="el-GR"/>
        </w:rPr>
        <w:t xml:space="preserve">μέρες 0-28), </w:t>
      </w:r>
      <w:r w:rsidR="00492225" w:rsidRPr="00FF35A7">
        <w:rPr>
          <w:rFonts w:ascii="Times New Roman" w:hAnsi="Times New Roman"/>
          <w:color w:val="auto"/>
          <w:sz w:val="24"/>
          <w:lang w:val="el-GR"/>
        </w:rPr>
        <w:t>η</w:t>
      </w:r>
      <w:r w:rsidR="00D758C6" w:rsidRPr="00FF35A7">
        <w:rPr>
          <w:rFonts w:ascii="Times New Roman" w:hAnsi="Times New Roman"/>
          <w:color w:val="auto"/>
          <w:sz w:val="24"/>
          <w:lang w:val="el-GR"/>
        </w:rPr>
        <w:t xml:space="preserve"> </w:t>
      </w:r>
      <w:proofErr w:type="spellStart"/>
      <w:r w:rsidR="00D758C6" w:rsidRPr="00FF35A7">
        <w:rPr>
          <w:rFonts w:ascii="Times New Roman" w:hAnsi="Times New Roman"/>
          <w:color w:val="auto"/>
          <w:sz w:val="24"/>
        </w:rPr>
        <w:t>C</w:t>
      </w:r>
      <w:r w:rsidR="00BF19D1" w:rsidRPr="00FF35A7">
        <w:rPr>
          <w:rFonts w:ascii="Times New Roman" w:hAnsi="Times New Roman"/>
          <w:color w:val="auto"/>
          <w:sz w:val="24"/>
          <w:vertAlign w:val="subscript"/>
        </w:rPr>
        <w:t>max</w:t>
      </w:r>
      <w:proofErr w:type="spellEnd"/>
      <w:r w:rsidR="00D758C6" w:rsidRPr="00FF35A7">
        <w:rPr>
          <w:rFonts w:ascii="Times New Roman" w:hAnsi="Times New Roman"/>
          <w:color w:val="auto"/>
          <w:sz w:val="24"/>
          <w:lang w:val="el-GR"/>
        </w:rPr>
        <w:t xml:space="preserve"> ήταν 13,145.6±3,070.6 </w:t>
      </w:r>
      <w:r w:rsidR="00D758C6" w:rsidRPr="00FF35A7">
        <w:rPr>
          <w:rFonts w:ascii="Times New Roman" w:hAnsi="Times New Roman"/>
          <w:color w:val="auto"/>
          <w:sz w:val="24"/>
          <w:lang w:val="en-GB"/>
        </w:rPr>
        <w:t>pg</w:t>
      </w:r>
      <w:r w:rsidR="00D758C6" w:rsidRPr="00FF35A7">
        <w:rPr>
          <w:rFonts w:ascii="Times New Roman" w:hAnsi="Times New Roman"/>
          <w:color w:val="auto"/>
          <w:sz w:val="24"/>
          <w:lang w:val="el-GR"/>
        </w:rPr>
        <w:t>/</w:t>
      </w:r>
      <w:r w:rsidR="00D758C6" w:rsidRPr="00FF35A7">
        <w:rPr>
          <w:rFonts w:ascii="Times New Roman" w:hAnsi="Times New Roman"/>
          <w:color w:val="auto"/>
          <w:sz w:val="24"/>
          <w:lang w:val="en-GB"/>
        </w:rPr>
        <w:t>ml</w:t>
      </w:r>
      <w:r w:rsidR="00D758C6" w:rsidRPr="00FF35A7">
        <w:rPr>
          <w:rFonts w:ascii="Times New Roman" w:hAnsi="Times New Roman"/>
          <w:color w:val="auto"/>
          <w:sz w:val="24"/>
          <w:lang w:val="el-GR"/>
        </w:rPr>
        <w:t xml:space="preserve">. Ο </w:t>
      </w:r>
      <w:r w:rsidR="00BF19D1" w:rsidRPr="00FF35A7">
        <w:rPr>
          <w:rFonts w:ascii="Times New Roman" w:hAnsi="Times New Roman"/>
          <w:color w:val="auto"/>
          <w:sz w:val="24"/>
          <w:lang w:val="el-GR"/>
        </w:rPr>
        <w:t>διά</w:t>
      </w:r>
      <w:r w:rsidR="00D758C6" w:rsidRPr="00FF35A7">
        <w:rPr>
          <w:rFonts w:ascii="Times New Roman" w:hAnsi="Times New Roman"/>
          <w:color w:val="auto"/>
          <w:sz w:val="24"/>
          <w:lang w:val="el-GR"/>
        </w:rPr>
        <w:t>μ</w:t>
      </w:r>
      <w:r w:rsidR="00BF19D1" w:rsidRPr="00FF35A7">
        <w:rPr>
          <w:rFonts w:ascii="Times New Roman" w:hAnsi="Times New Roman"/>
          <w:color w:val="auto"/>
          <w:sz w:val="24"/>
          <w:lang w:val="el-GR"/>
        </w:rPr>
        <w:t>ε</w:t>
      </w:r>
      <w:r w:rsidR="00D758C6" w:rsidRPr="00FF35A7">
        <w:rPr>
          <w:rFonts w:ascii="Times New Roman" w:hAnsi="Times New Roman"/>
          <w:color w:val="auto"/>
          <w:sz w:val="24"/>
          <w:lang w:val="el-GR"/>
        </w:rPr>
        <w:t xml:space="preserve">σος χρόνος για να επιτευχθεί η συγκέντρωση </w:t>
      </w:r>
      <w:proofErr w:type="spellStart"/>
      <w:r w:rsidR="00D758C6" w:rsidRPr="00FF35A7">
        <w:rPr>
          <w:rFonts w:ascii="Times New Roman" w:hAnsi="Times New Roman"/>
          <w:color w:val="auto"/>
          <w:sz w:val="24"/>
        </w:rPr>
        <w:t>C</w:t>
      </w:r>
      <w:r w:rsidR="00BF19D1" w:rsidRPr="00FF35A7">
        <w:rPr>
          <w:rFonts w:ascii="Times New Roman" w:hAnsi="Times New Roman"/>
          <w:color w:val="auto"/>
          <w:sz w:val="24"/>
          <w:vertAlign w:val="subscript"/>
        </w:rPr>
        <w:t>max</w:t>
      </w:r>
      <w:proofErr w:type="spellEnd"/>
      <w:r w:rsidR="00D758C6" w:rsidRPr="00FF35A7">
        <w:rPr>
          <w:rFonts w:ascii="Times New Roman" w:hAnsi="Times New Roman"/>
          <w:color w:val="auto"/>
          <w:sz w:val="24"/>
          <w:lang w:val="el-GR"/>
        </w:rPr>
        <w:t xml:space="preserve"> (</w:t>
      </w:r>
      <w:proofErr w:type="spellStart"/>
      <w:r w:rsidR="00D758C6" w:rsidRPr="00FF35A7">
        <w:rPr>
          <w:rFonts w:ascii="Times New Roman" w:hAnsi="Times New Roman"/>
          <w:color w:val="auto"/>
          <w:sz w:val="24"/>
        </w:rPr>
        <w:t>T</w:t>
      </w:r>
      <w:r w:rsidR="00BF19D1" w:rsidRPr="00FF35A7">
        <w:rPr>
          <w:rFonts w:ascii="Times New Roman" w:hAnsi="Times New Roman"/>
          <w:color w:val="auto"/>
          <w:sz w:val="24"/>
          <w:vertAlign w:val="subscript"/>
        </w:rPr>
        <w:t>max</w:t>
      </w:r>
      <w:proofErr w:type="spellEnd"/>
      <w:r w:rsidR="00D758C6" w:rsidRPr="00FF35A7">
        <w:rPr>
          <w:rFonts w:ascii="Times New Roman" w:hAnsi="Times New Roman"/>
          <w:color w:val="auto"/>
          <w:sz w:val="24"/>
          <w:lang w:val="el-GR"/>
        </w:rPr>
        <w:t>) ήταν  0</w:t>
      </w:r>
      <w:r w:rsidR="00D47CA0" w:rsidRPr="00FF35A7">
        <w:rPr>
          <w:rFonts w:ascii="Times New Roman" w:hAnsi="Times New Roman"/>
          <w:color w:val="auto"/>
          <w:sz w:val="24"/>
          <w:lang w:val="el-GR"/>
        </w:rPr>
        <w:t>,</w:t>
      </w:r>
      <w:r w:rsidR="00D758C6" w:rsidRPr="00FF35A7">
        <w:rPr>
          <w:rFonts w:ascii="Times New Roman" w:hAnsi="Times New Roman"/>
          <w:color w:val="auto"/>
          <w:sz w:val="24"/>
          <w:lang w:val="el-GR"/>
        </w:rPr>
        <w:t>04 ημέρες, που αντιστοιχούν σε 0</w:t>
      </w:r>
      <w:r w:rsidR="00D47CA0" w:rsidRPr="00FF35A7">
        <w:rPr>
          <w:rFonts w:ascii="Times New Roman" w:hAnsi="Times New Roman"/>
          <w:color w:val="auto"/>
          <w:sz w:val="24"/>
          <w:lang w:val="el-GR"/>
        </w:rPr>
        <w:t>,</w:t>
      </w:r>
      <w:r w:rsidR="00D758C6" w:rsidRPr="00FF35A7">
        <w:rPr>
          <w:rFonts w:ascii="Times New Roman" w:hAnsi="Times New Roman"/>
          <w:color w:val="auto"/>
          <w:sz w:val="24"/>
          <w:lang w:val="el-GR"/>
        </w:rPr>
        <w:t>96 ώρες (εύρος 0</w:t>
      </w:r>
      <w:r w:rsidR="00D47CA0" w:rsidRPr="00FF35A7">
        <w:rPr>
          <w:rFonts w:ascii="Times New Roman" w:hAnsi="Times New Roman"/>
          <w:color w:val="auto"/>
          <w:sz w:val="24"/>
          <w:lang w:val="el-GR"/>
        </w:rPr>
        <w:t>,</w:t>
      </w:r>
      <w:r w:rsidR="00D758C6" w:rsidRPr="00FF35A7">
        <w:rPr>
          <w:rFonts w:ascii="Times New Roman" w:hAnsi="Times New Roman"/>
          <w:color w:val="auto"/>
          <w:sz w:val="24"/>
          <w:lang w:val="el-GR"/>
        </w:rPr>
        <w:t>96-4</w:t>
      </w:r>
      <w:r w:rsidR="00D47CA0" w:rsidRPr="00FF35A7">
        <w:rPr>
          <w:rFonts w:ascii="Times New Roman" w:hAnsi="Times New Roman"/>
          <w:color w:val="auto"/>
          <w:sz w:val="24"/>
          <w:lang w:val="el-GR"/>
        </w:rPr>
        <w:t>,</w:t>
      </w:r>
      <w:r w:rsidR="00D758C6" w:rsidRPr="00FF35A7">
        <w:rPr>
          <w:rFonts w:ascii="Times New Roman" w:hAnsi="Times New Roman"/>
          <w:color w:val="auto"/>
          <w:sz w:val="24"/>
          <w:lang w:val="el-GR"/>
        </w:rPr>
        <w:t xml:space="preserve">08 ώρες). </w:t>
      </w:r>
    </w:p>
    <w:p w:rsidR="00FB05F1" w:rsidRPr="00FF35A7" w:rsidRDefault="00FB05F1" w:rsidP="00B23525">
      <w:pPr>
        <w:pStyle w:val="a4"/>
        <w:rPr>
          <w:rFonts w:ascii="Times New Roman" w:hAnsi="Times New Roman"/>
          <w:color w:val="auto"/>
          <w:sz w:val="24"/>
          <w:u w:val="single"/>
          <w:lang w:val="el-GR"/>
        </w:rPr>
      </w:pPr>
    </w:p>
    <w:p w:rsidR="00FB05F1" w:rsidRPr="00FF35A7" w:rsidRDefault="00FB05F1" w:rsidP="00B23525">
      <w:pPr>
        <w:pStyle w:val="a4"/>
        <w:jc w:val="both"/>
        <w:rPr>
          <w:rFonts w:ascii="Times New Roman" w:hAnsi="Times New Roman"/>
          <w:color w:val="auto"/>
          <w:sz w:val="24"/>
          <w:u w:val="single"/>
          <w:lang w:val="el-GR"/>
        </w:rPr>
      </w:pPr>
      <w:r w:rsidRPr="00FF35A7">
        <w:rPr>
          <w:rFonts w:ascii="Times New Roman" w:hAnsi="Times New Roman"/>
          <w:color w:val="auto"/>
          <w:sz w:val="24"/>
          <w:u w:val="single"/>
          <w:lang w:val="el-GR"/>
        </w:rPr>
        <w:t>Κατανομή</w:t>
      </w:r>
    </w:p>
    <w:p w:rsidR="00FB05F1" w:rsidRPr="00FF35A7" w:rsidRDefault="00FB05F1" w:rsidP="00B23525">
      <w:pPr>
        <w:jc w:val="both"/>
        <w:rPr>
          <w:lang w:val="el-GR"/>
        </w:rPr>
      </w:pPr>
      <w:r w:rsidRPr="00FF35A7">
        <w:rPr>
          <w:lang w:val="el-GR"/>
        </w:rPr>
        <w:t>Δεν έχ</w:t>
      </w:r>
      <w:r w:rsidR="0097436B" w:rsidRPr="00FF35A7">
        <w:rPr>
          <w:lang w:val="el-GR"/>
        </w:rPr>
        <w:t>ουν</w:t>
      </w:r>
      <w:r w:rsidRPr="00FF35A7">
        <w:rPr>
          <w:lang w:val="el-GR"/>
        </w:rPr>
        <w:t xml:space="preserve"> διεξαχθεί μελέτ</w:t>
      </w:r>
      <w:r w:rsidR="0097436B" w:rsidRPr="00FF35A7">
        <w:rPr>
          <w:lang w:val="el-GR"/>
        </w:rPr>
        <w:t>ες</w:t>
      </w:r>
      <w:r w:rsidRPr="00FF35A7">
        <w:rPr>
          <w:lang w:val="el-GR"/>
        </w:rPr>
        <w:t xml:space="preserve"> κατανομής </w:t>
      </w:r>
      <w:r w:rsidR="0097436B" w:rsidRPr="00FF35A7">
        <w:rPr>
          <w:lang w:val="el-GR"/>
        </w:rPr>
        <w:t xml:space="preserve">του φαρμάκου </w:t>
      </w:r>
      <w:r w:rsidR="00BF19D1" w:rsidRPr="00FF35A7">
        <w:rPr>
          <w:lang w:val="el-GR"/>
        </w:rPr>
        <w:t xml:space="preserve">για το </w:t>
      </w:r>
      <w:r w:rsidR="00833418">
        <w:rPr>
          <w:lang w:val="es-ES"/>
        </w:rPr>
        <w:t>Lutrate</w:t>
      </w:r>
      <w:r w:rsidR="00833418" w:rsidRPr="00833418">
        <w:rPr>
          <w:vertAlign w:val="superscript"/>
          <w:lang w:val="es-ES"/>
        </w:rPr>
        <w:t>®</w:t>
      </w:r>
      <w:r w:rsidR="00B1122A" w:rsidRPr="00FF35A7">
        <w:rPr>
          <w:lang w:val="el-GR"/>
        </w:rPr>
        <w:t xml:space="preserve"> </w:t>
      </w:r>
      <w:r w:rsidR="00B1122A" w:rsidRPr="00FF35A7">
        <w:rPr>
          <w:lang w:val="es-ES"/>
        </w:rPr>
        <w:t>Depot</w:t>
      </w:r>
      <w:r w:rsidRPr="00FF35A7">
        <w:rPr>
          <w:lang w:val="el-GR"/>
        </w:rPr>
        <w:t xml:space="preserve">. Όμως, ο μέσος όγκος κατανομής της </w:t>
      </w:r>
      <w:r w:rsidR="00FD52C2">
        <w:rPr>
          <w:lang w:val="el-GR"/>
        </w:rPr>
        <w:t xml:space="preserve">leuprorelin acetate </w:t>
      </w:r>
      <w:r w:rsidRPr="00FF35A7">
        <w:rPr>
          <w:lang w:val="el-GR"/>
        </w:rPr>
        <w:t xml:space="preserve"> σε σταθερή κατάσταση μετά από εφάπαξ ενδοφλέβια χορήγηση σε υγιείς εθελοντές άνδρες ήταν 27 L. Η σύνδεση με τις πρωτεΐνες του πλάσματος </w:t>
      </w:r>
      <w:r w:rsidRPr="00FF35A7">
        <w:rPr>
          <w:i/>
          <w:lang w:val="el-GR"/>
        </w:rPr>
        <w:t>in vitro</w:t>
      </w:r>
      <w:r w:rsidRPr="00FF35A7">
        <w:rPr>
          <w:lang w:val="el-GR"/>
        </w:rPr>
        <w:t xml:space="preserve"> στον άνθρωπο κυμαίνεται από 43% έως 49%.</w:t>
      </w:r>
    </w:p>
    <w:p w:rsidR="00FB05F1" w:rsidRPr="00FF35A7" w:rsidRDefault="00FB05F1" w:rsidP="00B23525">
      <w:pPr>
        <w:jc w:val="both"/>
        <w:rPr>
          <w:lang w:val="el-GR"/>
        </w:rPr>
      </w:pPr>
    </w:p>
    <w:p w:rsidR="00FB05F1" w:rsidRPr="00FF35A7" w:rsidRDefault="00FB05F1" w:rsidP="00B23525">
      <w:pPr>
        <w:jc w:val="both"/>
        <w:rPr>
          <w:u w:val="single"/>
          <w:lang w:val="el-GR"/>
        </w:rPr>
      </w:pPr>
      <w:r w:rsidRPr="00FF35A7">
        <w:rPr>
          <w:u w:val="single"/>
          <w:lang w:val="el-GR"/>
        </w:rPr>
        <w:t>Μεταβολισμός</w:t>
      </w:r>
    </w:p>
    <w:p w:rsidR="00FB05F1" w:rsidRPr="00FF35A7" w:rsidRDefault="0097436B" w:rsidP="00B23525">
      <w:pPr>
        <w:jc w:val="both"/>
        <w:rPr>
          <w:lang w:val="el-GR"/>
        </w:rPr>
      </w:pPr>
      <w:r w:rsidRPr="00FF35A7">
        <w:rPr>
          <w:lang w:val="el-GR"/>
        </w:rPr>
        <w:t>Δεν έχουν διεξαχθεί μελέτες</w:t>
      </w:r>
      <w:r w:rsidR="00FB05F1" w:rsidRPr="00FF35A7">
        <w:rPr>
          <w:lang w:val="el-GR"/>
        </w:rPr>
        <w:t xml:space="preserve"> μεταβολισμού του φαρμάκου </w:t>
      </w:r>
      <w:r w:rsidR="00BF19D1" w:rsidRPr="00FF35A7">
        <w:rPr>
          <w:lang w:val="el-GR"/>
        </w:rPr>
        <w:t>για το</w:t>
      </w:r>
      <w:r w:rsidR="00FB05F1" w:rsidRPr="00FF35A7">
        <w:rPr>
          <w:lang w:val="el-GR"/>
        </w:rPr>
        <w:t xml:space="preserve"> </w:t>
      </w:r>
      <w:proofErr w:type="spellStart"/>
      <w:r w:rsidR="00833418">
        <w:rPr>
          <w:lang w:val="en-US"/>
        </w:rPr>
        <w:t>Lutrate</w:t>
      </w:r>
      <w:proofErr w:type="spellEnd"/>
      <w:r w:rsidR="00833418" w:rsidRPr="00833418">
        <w:rPr>
          <w:vertAlign w:val="superscript"/>
          <w:lang w:val="el-GR"/>
        </w:rPr>
        <w:t>®</w:t>
      </w:r>
      <w:r w:rsidR="00B1122A" w:rsidRPr="00FF35A7">
        <w:rPr>
          <w:lang w:val="el-GR"/>
        </w:rPr>
        <w:t xml:space="preserve"> </w:t>
      </w:r>
      <w:r w:rsidR="00B1122A" w:rsidRPr="00FF35A7">
        <w:rPr>
          <w:lang w:val="en-US"/>
        </w:rPr>
        <w:t>Depot</w:t>
      </w:r>
      <w:r w:rsidR="00FB05F1" w:rsidRPr="00FF35A7">
        <w:rPr>
          <w:lang w:val="el-GR"/>
        </w:rPr>
        <w:t>. Όμως, σε άρρενες υγιείς εθελοντές, μετά α</w:t>
      </w:r>
      <w:r w:rsidRPr="00FF35A7">
        <w:rPr>
          <w:lang w:val="el-GR"/>
        </w:rPr>
        <w:t>πό εφάπαξ ενδοφλέβια χορήγηση 1</w:t>
      </w:r>
      <w:r w:rsidR="00FB05F1" w:rsidRPr="00FF35A7">
        <w:rPr>
          <w:lang w:val="en-US"/>
        </w:rPr>
        <w:t>mg</w:t>
      </w:r>
      <w:r w:rsidR="00FB05F1" w:rsidRPr="00FF35A7">
        <w:rPr>
          <w:lang w:val="el-GR"/>
        </w:rPr>
        <w:t xml:space="preserve"> </w:t>
      </w:r>
      <w:r w:rsidR="00FD52C2">
        <w:rPr>
          <w:lang w:val="el-GR"/>
        </w:rPr>
        <w:t xml:space="preserve">leuprorelin acetate </w:t>
      </w:r>
      <w:r w:rsidR="00FB05F1" w:rsidRPr="00FF35A7">
        <w:rPr>
          <w:lang w:val="el-GR"/>
        </w:rPr>
        <w:t xml:space="preserve"> , η μέση γενική κάθαρση ήταν 7</w:t>
      </w:r>
      <w:r w:rsidR="00D47CA0" w:rsidRPr="00FF35A7">
        <w:rPr>
          <w:lang w:val="el-GR"/>
        </w:rPr>
        <w:t>,</w:t>
      </w:r>
      <w:r w:rsidR="00FB05F1" w:rsidRPr="00FF35A7">
        <w:rPr>
          <w:lang w:val="el-GR"/>
        </w:rPr>
        <w:t>6</w:t>
      </w:r>
      <w:r w:rsidR="00FB05F1" w:rsidRPr="00FF35A7">
        <w:rPr>
          <w:lang w:val="en-US"/>
        </w:rPr>
        <w:t>L</w:t>
      </w:r>
      <w:r w:rsidR="00FB05F1" w:rsidRPr="00FF35A7">
        <w:rPr>
          <w:lang w:val="el-GR"/>
        </w:rPr>
        <w:t>/</w:t>
      </w:r>
      <w:r w:rsidR="00FB05F1" w:rsidRPr="00FF35A7">
        <w:rPr>
          <w:lang w:val="en-US"/>
        </w:rPr>
        <w:t>h</w:t>
      </w:r>
      <w:r w:rsidR="00FB05F1" w:rsidRPr="00FF35A7">
        <w:rPr>
          <w:lang w:val="el-GR"/>
        </w:rPr>
        <w:t xml:space="preserve"> με μία τελική ημιπερίοδο κάθαρσης της τάξης των τριών ωρών σε δι-διαμερισματικό μοντέλο.</w:t>
      </w:r>
    </w:p>
    <w:p w:rsidR="00B1122A" w:rsidRPr="00FF35A7" w:rsidRDefault="00B1122A" w:rsidP="00B23525">
      <w:pPr>
        <w:jc w:val="both"/>
        <w:rPr>
          <w:lang w:val="el-GR"/>
        </w:rPr>
      </w:pPr>
      <w:r w:rsidRPr="00FF35A7">
        <w:rPr>
          <w:lang w:val="el-GR"/>
        </w:rPr>
        <w:t xml:space="preserve">Το </w:t>
      </w:r>
      <w:proofErr w:type="spellStart"/>
      <w:r w:rsidRPr="00FF35A7">
        <w:t>leuprorelin</w:t>
      </w:r>
      <w:proofErr w:type="spellEnd"/>
      <w:r w:rsidRPr="00FF35A7">
        <w:rPr>
          <w:lang w:val="el-GR"/>
        </w:rPr>
        <w:t xml:space="preserve"> αναμένεται να μεταβολιστεί σε μικρότερα ανενεργά πεπτίδια, τα οποία μπορούν να απεκκριθούν ή να καταβολιστούν περαιτέρω.</w:t>
      </w:r>
    </w:p>
    <w:p w:rsidR="005440F2" w:rsidRPr="00FF35A7" w:rsidRDefault="005440F2" w:rsidP="00B23525">
      <w:pPr>
        <w:jc w:val="both"/>
        <w:rPr>
          <w:lang w:val="el-GR"/>
        </w:rPr>
      </w:pPr>
    </w:p>
    <w:p w:rsidR="005440F2" w:rsidRPr="00FF35A7" w:rsidRDefault="005440F2" w:rsidP="00B23525">
      <w:pPr>
        <w:jc w:val="both"/>
        <w:rPr>
          <w:u w:val="single"/>
          <w:lang w:val="el-GR"/>
        </w:rPr>
      </w:pPr>
      <w:r w:rsidRPr="00FF35A7">
        <w:rPr>
          <w:u w:val="single"/>
          <w:lang w:val="el-GR"/>
        </w:rPr>
        <w:t>Απέκκριση</w:t>
      </w:r>
    </w:p>
    <w:p w:rsidR="005440F2" w:rsidRPr="00FF35A7" w:rsidRDefault="0097436B" w:rsidP="00B23525">
      <w:pPr>
        <w:jc w:val="both"/>
        <w:rPr>
          <w:lang w:val="el-GR"/>
        </w:rPr>
      </w:pPr>
      <w:r w:rsidRPr="00FF35A7">
        <w:rPr>
          <w:lang w:val="el-GR"/>
        </w:rPr>
        <w:t>Δεν έχουν διεξαχθεί μελέτες</w:t>
      </w:r>
      <w:r w:rsidR="00FB05F1" w:rsidRPr="00FF35A7">
        <w:rPr>
          <w:lang w:val="el-GR"/>
        </w:rPr>
        <w:t xml:space="preserve"> απέκκρισης του φαρμάκου </w:t>
      </w:r>
      <w:r w:rsidR="00BF19D1" w:rsidRPr="00FF35A7">
        <w:rPr>
          <w:lang w:val="el-GR"/>
        </w:rPr>
        <w:t xml:space="preserve">για το </w:t>
      </w:r>
      <w:proofErr w:type="spellStart"/>
      <w:r w:rsidR="00833418">
        <w:t>Lutrate</w:t>
      </w:r>
      <w:proofErr w:type="spellEnd"/>
      <w:r w:rsidR="00833418" w:rsidRPr="00833418">
        <w:rPr>
          <w:vertAlign w:val="superscript"/>
          <w:lang w:val="el-GR"/>
        </w:rPr>
        <w:t>®</w:t>
      </w:r>
      <w:r w:rsidR="00B1122A" w:rsidRPr="00FF35A7">
        <w:rPr>
          <w:lang w:val="el-GR"/>
        </w:rPr>
        <w:t xml:space="preserve"> </w:t>
      </w:r>
      <w:r w:rsidR="00B1122A" w:rsidRPr="00FF35A7">
        <w:t>Depot</w:t>
      </w:r>
      <w:r w:rsidR="00FB05F1" w:rsidRPr="00FF35A7">
        <w:rPr>
          <w:lang w:val="el-GR"/>
        </w:rPr>
        <w:t>. Όμως, μ</w:t>
      </w:r>
      <w:r w:rsidR="005440F2" w:rsidRPr="00FF35A7">
        <w:rPr>
          <w:lang w:val="el-GR"/>
        </w:rPr>
        <w:t xml:space="preserve">ετά από χορήγηση </w:t>
      </w:r>
      <w:proofErr w:type="spellStart"/>
      <w:r w:rsidR="00B1122A" w:rsidRPr="00FF35A7">
        <w:t>leuprorelin</w:t>
      </w:r>
      <w:proofErr w:type="spellEnd"/>
      <w:r w:rsidR="00B1122A" w:rsidRPr="00FF35A7">
        <w:rPr>
          <w:lang w:val="el-GR"/>
        </w:rPr>
        <w:t xml:space="preserve"> </w:t>
      </w:r>
      <w:r w:rsidR="00B1122A" w:rsidRPr="00FF35A7">
        <w:t>acetate</w:t>
      </w:r>
      <w:r w:rsidR="00B1122A" w:rsidRPr="00FF35A7" w:rsidDel="00B1122A">
        <w:rPr>
          <w:lang w:val="el-GR"/>
        </w:rPr>
        <w:t xml:space="preserve"> </w:t>
      </w:r>
      <w:r w:rsidR="005440F2" w:rsidRPr="00FF35A7">
        <w:rPr>
          <w:lang w:val="el-GR"/>
        </w:rPr>
        <w:t xml:space="preserve">σε τρεις ασθενείς, λιγότερο του 5% της χορηγούμενης δόσης </w:t>
      </w:r>
      <w:r w:rsidR="00BF19D1" w:rsidRPr="00FF35A7">
        <w:rPr>
          <w:lang w:val="el-GR"/>
        </w:rPr>
        <w:t xml:space="preserve">ανακτήθηκε </w:t>
      </w:r>
      <w:r w:rsidR="005440F2" w:rsidRPr="00FF35A7">
        <w:rPr>
          <w:lang w:val="el-GR"/>
        </w:rPr>
        <w:t>στα ούρα ως μητρική ουσία και μεταβολίτης Μ-Ι .</w:t>
      </w:r>
    </w:p>
    <w:p w:rsidR="00FB05F1" w:rsidRPr="00FF35A7" w:rsidRDefault="00FB05F1" w:rsidP="00B23525">
      <w:pPr>
        <w:rPr>
          <w:lang w:val="el-GR"/>
        </w:rPr>
      </w:pPr>
    </w:p>
    <w:p w:rsidR="00FB05F1" w:rsidRPr="00FF35A7" w:rsidRDefault="00FB05F1" w:rsidP="00B23525">
      <w:pPr>
        <w:rPr>
          <w:u w:val="single"/>
          <w:lang w:val="el-GR"/>
        </w:rPr>
      </w:pPr>
      <w:r w:rsidRPr="00FF35A7">
        <w:rPr>
          <w:u w:val="single"/>
          <w:lang w:val="el-GR"/>
        </w:rPr>
        <w:t>Ειδικοί πληθυσμοί</w:t>
      </w:r>
    </w:p>
    <w:p w:rsidR="00AE7908" w:rsidRPr="00FF35A7" w:rsidRDefault="00AE7908" w:rsidP="00B23525">
      <w:pPr>
        <w:rPr>
          <w:i/>
          <w:u w:val="single"/>
          <w:lang w:val="el-GR"/>
        </w:rPr>
      </w:pPr>
      <w:r w:rsidRPr="00FF35A7">
        <w:rPr>
          <w:i/>
          <w:u w:val="single"/>
          <w:lang w:val="el-GR"/>
        </w:rPr>
        <w:t>Νεφρική/Ηπατική ανεπάρκεια</w:t>
      </w:r>
    </w:p>
    <w:p w:rsidR="00AE7908" w:rsidRPr="00FF35A7" w:rsidRDefault="00AE7908" w:rsidP="00B23525">
      <w:pPr>
        <w:jc w:val="both"/>
        <w:rPr>
          <w:lang w:val="el-GR"/>
        </w:rPr>
      </w:pPr>
      <w:r w:rsidRPr="00FF35A7">
        <w:rPr>
          <w:lang w:val="el-GR"/>
        </w:rPr>
        <w:t xml:space="preserve">Η φαρμακοκινητική συμπεριφορά του φαρμάκου σε ασθενείς με ηπατική ή νεφρική </w:t>
      </w:r>
      <w:r w:rsidR="00BF19D1" w:rsidRPr="00FF35A7">
        <w:rPr>
          <w:lang w:val="el-GR"/>
        </w:rPr>
        <w:t xml:space="preserve">βλάβη </w:t>
      </w:r>
      <w:r w:rsidRPr="00FF35A7">
        <w:rPr>
          <w:lang w:val="el-GR"/>
        </w:rPr>
        <w:t>δεν έχει μελετηθεί.</w:t>
      </w:r>
    </w:p>
    <w:p w:rsidR="005440F2" w:rsidRPr="00FF35A7" w:rsidRDefault="005440F2" w:rsidP="00B23525">
      <w:pPr>
        <w:jc w:val="both"/>
        <w:rPr>
          <w:lang w:val="el-GR"/>
        </w:rPr>
      </w:pPr>
    </w:p>
    <w:p w:rsidR="005440F2" w:rsidRPr="00FF35A7" w:rsidRDefault="005440F2" w:rsidP="00B23525">
      <w:pPr>
        <w:pStyle w:val="a4"/>
        <w:jc w:val="both"/>
        <w:rPr>
          <w:rFonts w:ascii="Times New Roman" w:hAnsi="Times New Roman"/>
          <w:color w:val="auto"/>
          <w:sz w:val="24"/>
          <w:lang w:val="el-GR"/>
        </w:rPr>
      </w:pPr>
      <w:r w:rsidRPr="00FF35A7">
        <w:rPr>
          <w:rFonts w:ascii="Times New Roman" w:hAnsi="Times New Roman"/>
          <w:b/>
          <w:bCs/>
          <w:color w:val="auto"/>
          <w:sz w:val="24"/>
          <w:lang w:val="el-GR"/>
        </w:rPr>
        <w:t>5.3</w:t>
      </w:r>
      <w:r w:rsidR="00B1122A"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Προκλινικά δεδομένα για την ασφάλεια </w:t>
      </w:r>
    </w:p>
    <w:p w:rsidR="00BE76CE" w:rsidRPr="00FF35A7" w:rsidRDefault="00B1122A"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Τα μη</w:t>
      </w:r>
      <w:r w:rsidR="00BF19D1" w:rsidRPr="00FF35A7">
        <w:rPr>
          <w:rFonts w:ascii="Times New Roman" w:hAnsi="Times New Roman"/>
          <w:color w:val="auto"/>
          <w:sz w:val="24"/>
          <w:lang w:val="el-GR"/>
        </w:rPr>
        <w:t>-</w:t>
      </w:r>
      <w:r w:rsidRPr="00FF35A7">
        <w:rPr>
          <w:rFonts w:ascii="Times New Roman" w:hAnsi="Times New Roman"/>
          <w:color w:val="auto"/>
          <w:sz w:val="24"/>
          <w:lang w:val="el-GR"/>
        </w:rPr>
        <w:t xml:space="preserve">κλινικά δεδομένα δεν </w:t>
      </w:r>
      <w:r w:rsidR="00BF19D1" w:rsidRPr="00FF35A7">
        <w:rPr>
          <w:rFonts w:ascii="Times New Roman" w:hAnsi="Times New Roman"/>
          <w:color w:val="auto"/>
          <w:sz w:val="24"/>
          <w:lang w:val="el-GR"/>
        </w:rPr>
        <w:t>φανερών</w:t>
      </w:r>
      <w:r w:rsidRPr="00FF35A7">
        <w:rPr>
          <w:rFonts w:ascii="Times New Roman" w:hAnsi="Times New Roman"/>
          <w:color w:val="auto"/>
          <w:sz w:val="24"/>
          <w:lang w:val="el-GR"/>
        </w:rPr>
        <w:t xml:space="preserve">ουν </w:t>
      </w:r>
      <w:r w:rsidR="00BF19D1" w:rsidRPr="00FF35A7">
        <w:rPr>
          <w:rFonts w:ascii="Times New Roman" w:hAnsi="Times New Roman"/>
          <w:color w:val="auto"/>
          <w:sz w:val="24"/>
          <w:lang w:val="el-GR"/>
        </w:rPr>
        <w:t xml:space="preserve">κάποιο </w:t>
      </w:r>
      <w:r w:rsidRPr="00FF35A7">
        <w:rPr>
          <w:rFonts w:ascii="Times New Roman" w:hAnsi="Times New Roman"/>
          <w:color w:val="auto"/>
          <w:sz w:val="24"/>
          <w:lang w:val="el-GR"/>
        </w:rPr>
        <w:t>ιδιαίτερο κίνδυνο για τον άνθρωπο με βάση τις συμβατικές μελέτες φαρμακολογικής ασφάλειας, τοξικότητας επαναλαμβανόμενων δόσεων και γονοτοξικότητας που πραγματοποιήθηκαν με leuprorelin acetate.</w:t>
      </w:r>
      <w:r w:rsidR="00BE76CE" w:rsidRPr="00FF35A7">
        <w:rPr>
          <w:rFonts w:ascii="Times New Roman" w:hAnsi="Times New Roman"/>
          <w:color w:val="auto"/>
          <w:sz w:val="24"/>
          <w:lang w:val="el-GR"/>
        </w:rPr>
        <w:t xml:space="preserve"> </w:t>
      </w:r>
    </w:p>
    <w:p w:rsidR="002E2C31" w:rsidRPr="00FF35A7" w:rsidRDefault="00BE76CE"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Όπως αναμένεται από τις γνωστές φαρμακολογικές ιδιότητες της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ο</w:t>
      </w:r>
      <w:r w:rsidR="0097436B" w:rsidRPr="00FF35A7">
        <w:rPr>
          <w:rFonts w:ascii="Times New Roman" w:hAnsi="Times New Roman"/>
          <w:color w:val="auto"/>
          <w:sz w:val="24"/>
          <w:lang w:val="el-GR"/>
        </w:rPr>
        <w:t>ι μη-</w:t>
      </w:r>
      <w:r w:rsidRPr="00FF35A7">
        <w:rPr>
          <w:rFonts w:ascii="Times New Roman" w:hAnsi="Times New Roman"/>
          <w:color w:val="auto"/>
          <w:sz w:val="24"/>
          <w:lang w:val="el-GR"/>
        </w:rPr>
        <w:t xml:space="preserve">κλινικές μελέτες έδειξαν ότι </w:t>
      </w:r>
      <w:r w:rsidR="002E2C31" w:rsidRPr="00FF35A7">
        <w:rPr>
          <w:rFonts w:ascii="Times New Roman" w:hAnsi="Times New Roman"/>
          <w:color w:val="auto"/>
          <w:sz w:val="24"/>
          <w:lang w:val="el-GR"/>
        </w:rPr>
        <w:t>υ</w:t>
      </w:r>
      <w:r w:rsidRPr="00FF35A7">
        <w:rPr>
          <w:rFonts w:ascii="Times New Roman" w:hAnsi="Times New Roman"/>
          <w:color w:val="auto"/>
          <w:sz w:val="24"/>
          <w:lang w:val="el-GR"/>
        </w:rPr>
        <w:t xml:space="preserve">πήρξαν επιπτώσεις στο αναπαραγωγικό σύστημα οι οποίες ήταν αναστρέψιμες. </w:t>
      </w:r>
      <w:r w:rsidR="002E2C31" w:rsidRPr="00FF35A7">
        <w:rPr>
          <w:rFonts w:ascii="Times New Roman" w:hAnsi="Times New Roman"/>
          <w:color w:val="auto"/>
          <w:sz w:val="24"/>
          <w:lang w:val="el-GR"/>
        </w:rPr>
        <w:t>Οι</w:t>
      </w:r>
      <w:r w:rsidRPr="00FF35A7">
        <w:rPr>
          <w:rFonts w:ascii="Times New Roman" w:hAnsi="Times New Roman"/>
          <w:color w:val="auto"/>
          <w:sz w:val="24"/>
          <w:lang w:val="el-GR"/>
        </w:rPr>
        <w:t xml:space="preserve"> μελέτες τοξικότητας</w:t>
      </w:r>
      <w:r w:rsidR="002E2C31" w:rsidRPr="00FF35A7">
        <w:rPr>
          <w:rFonts w:ascii="Times New Roman" w:hAnsi="Times New Roman"/>
          <w:color w:val="auto"/>
          <w:sz w:val="24"/>
          <w:lang w:val="el-GR"/>
        </w:rPr>
        <w:t xml:space="preserve"> στην</w:t>
      </w:r>
      <w:r w:rsidRPr="00FF35A7">
        <w:rPr>
          <w:rFonts w:ascii="Times New Roman" w:hAnsi="Times New Roman"/>
          <w:color w:val="auto"/>
          <w:sz w:val="24"/>
          <w:lang w:val="el-GR"/>
        </w:rPr>
        <w:t xml:space="preserve"> αναπαραγωγ</w:t>
      </w:r>
      <w:r w:rsidR="002E2C31" w:rsidRPr="00FF35A7">
        <w:rPr>
          <w:rFonts w:ascii="Times New Roman" w:hAnsi="Times New Roman"/>
          <w:color w:val="auto"/>
          <w:sz w:val="24"/>
          <w:lang w:val="el-GR"/>
        </w:rPr>
        <w:t xml:space="preserve">ή έδειξαν ότι η </w:t>
      </w:r>
      <w:proofErr w:type="spellStart"/>
      <w:r w:rsidR="00FF35A7" w:rsidRPr="00FF35A7">
        <w:rPr>
          <w:rFonts w:ascii="Times New Roman" w:hAnsi="Times New Roman"/>
          <w:sz w:val="24"/>
        </w:rPr>
        <w:t>leuprorelin</w:t>
      </w:r>
      <w:proofErr w:type="spellEnd"/>
      <w:r w:rsidR="00FF35A7" w:rsidRPr="00FF35A7">
        <w:rPr>
          <w:rFonts w:ascii="Times New Roman" w:hAnsi="Times New Roman"/>
          <w:sz w:val="24"/>
          <w:lang w:val="el-GR"/>
        </w:rPr>
        <w:t xml:space="preserve"> </w:t>
      </w:r>
      <w:r w:rsidR="00FF35A7" w:rsidRPr="00FF35A7">
        <w:rPr>
          <w:rFonts w:ascii="Times New Roman" w:hAnsi="Times New Roman"/>
          <w:sz w:val="24"/>
        </w:rPr>
        <w:t>acetate</w:t>
      </w:r>
      <w:r w:rsidR="00FF35A7" w:rsidRPr="00FF35A7" w:rsidDel="00B1122A">
        <w:rPr>
          <w:rFonts w:ascii="Times New Roman" w:hAnsi="Times New Roman"/>
          <w:sz w:val="24"/>
          <w:lang w:val="el-GR"/>
        </w:rPr>
        <w:t xml:space="preserve"> </w:t>
      </w:r>
      <w:r w:rsidR="0097436B" w:rsidRPr="00FF35A7">
        <w:rPr>
          <w:rFonts w:ascii="Times New Roman" w:hAnsi="Times New Roman"/>
          <w:color w:val="auto"/>
          <w:sz w:val="24"/>
          <w:lang w:val="el-GR"/>
        </w:rPr>
        <w:t xml:space="preserve">δεν προκαλεί τερατογένεση, </w:t>
      </w:r>
      <w:r w:rsidR="00B1122A" w:rsidRPr="00FF35A7">
        <w:rPr>
          <w:rFonts w:ascii="Times New Roman" w:hAnsi="Times New Roman"/>
          <w:color w:val="auto"/>
          <w:sz w:val="24"/>
          <w:lang w:val="el-GR"/>
        </w:rPr>
        <w:t>Ωστόσο, σε μελέτες που έγιναν σε κουνέλια, παρατηρήθηκε εμβρυοτοξικότητα/ θνησιμότητα.</w:t>
      </w:r>
    </w:p>
    <w:p w:rsidR="007F1E2C" w:rsidRPr="00FF35A7" w:rsidRDefault="002E2C31"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Μελ</w:t>
      </w:r>
      <w:r w:rsidR="007F1E2C" w:rsidRPr="00FF35A7">
        <w:rPr>
          <w:rFonts w:ascii="Times New Roman" w:hAnsi="Times New Roman"/>
          <w:color w:val="auto"/>
          <w:sz w:val="24"/>
          <w:lang w:val="el-GR"/>
        </w:rPr>
        <w:t xml:space="preserve">έτες </w:t>
      </w:r>
      <w:r w:rsidRPr="00FF35A7">
        <w:rPr>
          <w:rFonts w:ascii="Times New Roman" w:hAnsi="Times New Roman"/>
          <w:color w:val="auto"/>
          <w:sz w:val="24"/>
          <w:lang w:val="el-GR"/>
        </w:rPr>
        <w:t xml:space="preserve">για την καρκινονογένεση </w:t>
      </w:r>
      <w:r w:rsidR="007F1E2C" w:rsidRPr="00FF35A7">
        <w:rPr>
          <w:rFonts w:ascii="Times New Roman" w:hAnsi="Times New Roman"/>
          <w:color w:val="auto"/>
          <w:sz w:val="24"/>
          <w:lang w:val="el-GR"/>
        </w:rPr>
        <w:t xml:space="preserve">που έγιναν </w:t>
      </w:r>
      <w:r w:rsidRPr="00FF35A7">
        <w:rPr>
          <w:rFonts w:ascii="Times New Roman" w:hAnsi="Times New Roman"/>
          <w:color w:val="auto"/>
          <w:sz w:val="24"/>
          <w:lang w:val="el-GR"/>
        </w:rPr>
        <w:t xml:space="preserve">σε αρουραίους έδειξαν μια δοσοεξαρτώμενη αύξηση καλοήθους υπερπλασίας και καλοήθων αδενωμάτων στην υπόφυση των αρουραίων μετά από 24 μήνες και για υψηλές ημερήσιες δόσεις (0,6 </w:t>
      </w:r>
      <w:r w:rsidRPr="00FF35A7">
        <w:rPr>
          <w:rFonts w:ascii="Times New Roman" w:hAnsi="Times New Roman"/>
          <w:color w:val="auto"/>
          <w:sz w:val="24"/>
          <w:lang w:val="en-GB"/>
        </w:rPr>
        <w:t>mg</w:t>
      </w:r>
      <w:r w:rsidRPr="00FF35A7">
        <w:rPr>
          <w:rFonts w:ascii="Times New Roman" w:hAnsi="Times New Roman"/>
          <w:color w:val="auto"/>
          <w:sz w:val="24"/>
          <w:lang w:val="el-GR"/>
        </w:rPr>
        <w:t xml:space="preserve"> έως 4 </w:t>
      </w:r>
      <w:r w:rsidRPr="00FF35A7">
        <w:rPr>
          <w:rFonts w:ascii="Times New Roman" w:hAnsi="Times New Roman"/>
          <w:color w:val="auto"/>
          <w:sz w:val="24"/>
          <w:lang w:val="en-GB"/>
        </w:rPr>
        <w:t>mg</w:t>
      </w:r>
      <w:r w:rsidRPr="00FF35A7">
        <w:rPr>
          <w:rFonts w:ascii="Times New Roman" w:hAnsi="Times New Roman"/>
          <w:color w:val="auto"/>
          <w:sz w:val="24"/>
          <w:lang w:val="el-GR"/>
        </w:rPr>
        <w:t>/</w:t>
      </w:r>
      <w:r w:rsidRPr="00FF35A7">
        <w:rPr>
          <w:rFonts w:ascii="Times New Roman" w:hAnsi="Times New Roman"/>
          <w:color w:val="auto"/>
          <w:sz w:val="24"/>
          <w:lang w:val="en-GB"/>
        </w:rPr>
        <w:t>kg</w:t>
      </w:r>
      <w:r w:rsidRPr="00FF35A7">
        <w:rPr>
          <w:rFonts w:ascii="Times New Roman" w:hAnsi="Times New Roman"/>
          <w:color w:val="auto"/>
          <w:sz w:val="24"/>
          <w:lang w:val="el-GR"/>
        </w:rPr>
        <w:t xml:space="preserve">). Υπήρξε σημαντική αλλά μη δοσοεξαρτώμενη αύξηση αδενωμάτων για τα μεν θηλυκά στα παγκρεατικά νησίδια και για τα δε αρσενικά στον ενδιάμεσο ιστό των όρχεων. Το εντονότερο περιστατικό εμφανίστηκε στην ομάδα που έλαβε χαμηλή δόση. Η χορήγηση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w:t>
      </w:r>
      <w:r w:rsidR="007F1E2C" w:rsidRPr="00FF35A7">
        <w:rPr>
          <w:rFonts w:ascii="Times New Roman" w:hAnsi="Times New Roman"/>
          <w:color w:val="auto"/>
          <w:sz w:val="24"/>
          <w:lang w:val="el-GR"/>
        </w:rPr>
        <w:t>απέτρεψε</w:t>
      </w:r>
      <w:r w:rsidR="008576BC" w:rsidRPr="00FF35A7">
        <w:rPr>
          <w:rFonts w:ascii="Times New Roman" w:hAnsi="Times New Roman"/>
          <w:color w:val="auto"/>
          <w:sz w:val="24"/>
          <w:lang w:val="el-GR"/>
        </w:rPr>
        <w:t xml:space="preserve"> </w:t>
      </w:r>
      <w:r w:rsidR="007F1E2C" w:rsidRPr="00FF35A7">
        <w:rPr>
          <w:rFonts w:ascii="Times New Roman" w:hAnsi="Times New Roman"/>
          <w:color w:val="auto"/>
          <w:sz w:val="24"/>
          <w:lang w:val="el-GR"/>
        </w:rPr>
        <w:t>την</w:t>
      </w:r>
      <w:r w:rsidR="008576BC" w:rsidRPr="00FF35A7">
        <w:rPr>
          <w:rFonts w:ascii="Times New Roman" w:hAnsi="Times New Roman"/>
          <w:color w:val="auto"/>
          <w:sz w:val="24"/>
          <w:lang w:val="el-GR"/>
        </w:rPr>
        <w:t xml:space="preserve"> αύξηση κάποιων ορμόνο-εξαρτώμενων όγκων </w:t>
      </w:r>
      <w:r w:rsidR="007F1E2C" w:rsidRPr="00FF35A7">
        <w:rPr>
          <w:rFonts w:ascii="Times New Roman" w:hAnsi="Times New Roman"/>
          <w:color w:val="auto"/>
          <w:sz w:val="24"/>
          <w:lang w:val="el-GR"/>
        </w:rPr>
        <w:t>(</w:t>
      </w:r>
      <w:r w:rsidR="007F1E2C" w:rsidRPr="00FF35A7">
        <w:rPr>
          <w:rFonts w:ascii="Times New Roman" w:hAnsi="Times New Roman"/>
          <w:bCs/>
          <w:color w:val="auto"/>
          <w:sz w:val="24"/>
          <w:lang w:val="el-GR"/>
        </w:rPr>
        <w:t xml:space="preserve">προστατικών όγκων σε </w:t>
      </w:r>
      <w:r w:rsidR="007F1E2C" w:rsidRPr="00FF35A7">
        <w:rPr>
          <w:rFonts w:ascii="Times New Roman" w:hAnsi="Times New Roman"/>
          <w:bCs/>
          <w:color w:val="auto"/>
          <w:sz w:val="24"/>
          <w:lang w:val="en-GB"/>
        </w:rPr>
        <w:t>Noble</w:t>
      </w:r>
      <w:r w:rsidR="007F1E2C" w:rsidRPr="00FF35A7">
        <w:rPr>
          <w:rFonts w:ascii="Times New Roman" w:hAnsi="Times New Roman"/>
          <w:bCs/>
          <w:color w:val="auto"/>
          <w:sz w:val="24"/>
          <w:lang w:val="el-GR"/>
        </w:rPr>
        <w:t xml:space="preserve"> και </w:t>
      </w:r>
      <w:r w:rsidR="007F1E2C" w:rsidRPr="00FF35A7">
        <w:rPr>
          <w:rFonts w:ascii="Times New Roman" w:hAnsi="Times New Roman"/>
          <w:bCs/>
          <w:color w:val="auto"/>
          <w:sz w:val="24"/>
          <w:lang w:val="en-GB"/>
        </w:rPr>
        <w:t>Dunning</w:t>
      </w:r>
      <w:r w:rsidR="007F1E2C" w:rsidRPr="00FF35A7">
        <w:rPr>
          <w:rFonts w:ascii="Times New Roman" w:hAnsi="Times New Roman"/>
          <w:bCs/>
          <w:color w:val="auto"/>
          <w:sz w:val="24"/>
          <w:lang w:val="el-GR"/>
        </w:rPr>
        <w:t xml:space="preserve"> αρσενικά ποντίκια και όγκους του μαστού που προκαλούνται από </w:t>
      </w:r>
      <w:r w:rsidR="007F1E2C" w:rsidRPr="00FF35A7">
        <w:rPr>
          <w:rFonts w:ascii="Times New Roman" w:hAnsi="Times New Roman"/>
          <w:bCs/>
          <w:color w:val="auto"/>
          <w:sz w:val="24"/>
        </w:rPr>
        <w:t>DMBA</w:t>
      </w:r>
      <w:r w:rsidR="007F1E2C" w:rsidRPr="00FF35A7">
        <w:rPr>
          <w:rFonts w:ascii="Times New Roman" w:hAnsi="Times New Roman"/>
          <w:bCs/>
          <w:color w:val="auto"/>
          <w:sz w:val="24"/>
          <w:lang w:val="el-GR"/>
        </w:rPr>
        <w:t xml:space="preserve"> σε θηλυκούς αρουραίους</w:t>
      </w:r>
      <w:r w:rsidR="007F1E2C" w:rsidRPr="00FF35A7">
        <w:rPr>
          <w:rFonts w:ascii="Times New Roman" w:hAnsi="Times New Roman"/>
          <w:color w:val="auto"/>
          <w:sz w:val="24"/>
          <w:lang w:val="el-GR"/>
        </w:rPr>
        <w:t xml:space="preserve">). Δεν παρατηρήθηκαν παρόμοιες επιπτώσεις σε μελέτες </w:t>
      </w:r>
      <w:r w:rsidR="007F1E2C" w:rsidRPr="00FF35A7">
        <w:rPr>
          <w:rFonts w:ascii="Times New Roman" w:hAnsi="Times New Roman"/>
          <w:color w:val="auto"/>
          <w:sz w:val="24"/>
          <w:lang w:val="el-GR"/>
        </w:rPr>
        <w:lastRenderedPageBreak/>
        <w:t xml:space="preserve">καρκινογένεσης που έγιναν σε ποντίκια. Δεν έχουν διεξαχθεί μελέτες καρκινογένεσης </w:t>
      </w:r>
      <w:r w:rsidR="00064B3C" w:rsidRPr="00FF35A7">
        <w:rPr>
          <w:rFonts w:ascii="Times New Roman" w:hAnsi="Times New Roman"/>
          <w:color w:val="auto"/>
          <w:sz w:val="24"/>
          <w:lang w:val="el-GR"/>
        </w:rPr>
        <w:t xml:space="preserve">για το </w:t>
      </w:r>
      <w:proofErr w:type="spellStart"/>
      <w:r w:rsidR="00833418">
        <w:rPr>
          <w:rFonts w:ascii="Times New Roman" w:hAnsi="Times New Roman"/>
          <w:color w:val="auto"/>
          <w:sz w:val="24"/>
        </w:rPr>
        <w:t>Lutrate</w:t>
      </w:r>
      <w:proofErr w:type="spellEnd"/>
      <w:r w:rsidR="00833418" w:rsidRPr="00643CAD">
        <w:rPr>
          <w:rFonts w:ascii="Times New Roman" w:hAnsi="Times New Roman"/>
          <w:color w:val="auto"/>
          <w:sz w:val="24"/>
          <w:vertAlign w:val="superscript"/>
          <w:lang w:val="el-GR"/>
        </w:rPr>
        <w:t>®</w:t>
      </w:r>
      <w:r w:rsidR="007705A1" w:rsidRPr="00FF35A7">
        <w:rPr>
          <w:rFonts w:ascii="Times New Roman" w:hAnsi="Times New Roman"/>
          <w:color w:val="auto"/>
          <w:sz w:val="24"/>
          <w:lang w:val="el-GR"/>
        </w:rPr>
        <w:t xml:space="preserve"> </w:t>
      </w:r>
      <w:r w:rsidR="007705A1" w:rsidRPr="00FF35A7">
        <w:rPr>
          <w:rFonts w:ascii="Times New Roman" w:hAnsi="Times New Roman"/>
          <w:color w:val="auto"/>
          <w:sz w:val="24"/>
        </w:rPr>
        <w:t>Depot</w:t>
      </w:r>
      <w:r w:rsidR="007F1E2C" w:rsidRPr="00FF35A7">
        <w:rPr>
          <w:rFonts w:ascii="Times New Roman" w:hAnsi="Times New Roman"/>
          <w:color w:val="auto"/>
          <w:sz w:val="24"/>
          <w:lang w:val="el-GR"/>
        </w:rPr>
        <w:t>.</w:t>
      </w:r>
    </w:p>
    <w:p w:rsidR="007F1E2C" w:rsidRPr="00FF35A7" w:rsidRDefault="007F1E2C"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Μελέτες με </w:t>
      </w:r>
      <w:r w:rsidR="00FD52C2">
        <w:rPr>
          <w:rFonts w:ascii="Times New Roman" w:hAnsi="Times New Roman"/>
          <w:color w:val="auto"/>
          <w:sz w:val="24"/>
          <w:lang w:val="el-GR"/>
        </w:rPr>
        <w:t xml:space="preserve">leuprorelin acetate </w:t>
      </w:r>
      <w:r w:rsidRPr="00FF35A7">
        <w:rPr>
          <w:rFonts w:ascii="Times New Roman" w:hAnsi="Times New Roman"/>
          <w:color w:val="auto"/>
          <w:sz w:val="24"/>
          <w:lang w:val="el-GR"/>
        </w:rPr>
        <w:t xml:space="preserve">, που περιλάμβαναν μια σειρά δοκιμών </w:t>
      </w:r>
      <w:r w:rsidRPr="00FF35A7">
        <w:rPr>
          <w:rFonts w:ascii="Times New Roman" w:hAnsi="Times New Roman"/>
          <w:i/>
          <w:color w:val="auto"/>
          <w:sz w:val="24"/>
          <w:lang w:val="en-GB"/>
        </w:rPr>
        <w:t>in</w:t>
      </w:r>
      <w:r w:rsidRPr="00FF35A7">
        <w:rPr>
          <w:rFonts w:ascii="Times New Roman" w:hAnsi="Times New Roman"/>
          <w:i/>
          <w:color w:val="auto"/>
          <w:sz w:val="24"/>
          <w:lang w:val="el-GR"/>
        </w:rPr>
        <w:t xml:space="preserve"> </w:t>
      </w:r>
      <w:r w:rsidRPr="00FF35A7">
        <w:rPr>
          <w:rFonts w:ascii="Times New Roman" w:hAnsi="Times New Roman"/>
          <w:i/>
          <w:color w:val="auto"/>
          <w:sz w:val="24"/>
          <w:lang w:val="en-GB"/>
        </w:rPr>
        <w:t>vitro</w:t>
      </w:r>
      <w:r w:rsidRPr="00FF35A7">
        <w:rPr>
          <w:rFonts w:ascii="Times New Roman" w:hAnsi="Times New Roman"/>
          <w:color w:val="auto"/>
          <w:sz w:val="24"/>
          <w:lang w:val="el-GR"/>
        </w:rPr>
        <w:t xml:space="preserve"> και </w:t>
      </w:r>
      <w:r w:rsidRPr="00FF35A7">
        <w:rPr>
          <w:rFonts w:ascii="Times New Roman" w:hAnsi="Times New Roman"/>
          <w:i/>
          <w:color w:val="auto"/>
          <w:sz w:val="24"/>
          <w:lang w:val="en-GB"/>
        </w:rPr>
        <w:t>in</w:t>
      </w:r>
      <w:r w:rsidRPr="00FF35A7">
        <w:rPr>
          <w:rFonts w:ascii="Times New Roman" w:hAnsi="Times New Roman"/>
          <w:i/>
          <w:color w:val="auto"/>
          <w:sz w:val="24"/>
          <w:lang w:val="el-GR"/>
        </w:rPr>
        <w:t xml:space="preserve"> </w:t>
      </w:r>
      <w:proofErr w:type="spellStart"/>
      <w:r w:rsidRPr="00FF35A7">
        <w:rPr>
          <w:rFonts w:ascii="Times New Roman" w:hAnsi="Times New Roman"/>
          <w:i/>
          <w:color w:val="auto"/>
          <w:sz w:val="24"/>
          <w:lang w:val="en-GB"/>
        </w:rPr>
        <w:t>viv</w:t>
      </w:r>
      <w:proofErr w:type="spellEnd"/>
      <w:r w:rsidRPr="00FF35A7">
        <w:rPr>
          <w:rFonts w:ascii="Times New Roman" w:hAnsi="Times New Roman"/>
          <w:i/>
          <w:color w:val="auto"/>
          <w:sz w:val="24"/>
          <w:lang w:val="el-GR"/>
        </w:rPr>
        <w:t>ο</w:t>
      </w:r>
      <w:r w:rsidRPr="00FF35A7">
        <w:rPr>
          <w:rFonts w:ascii="Times New Roman" w:hAnsi="Times New Roman"/>
          <w:color w:val="auto"/>
          <w:sz w:val="24"/>
          <w:lang w:val="el-GR"/>
        </w:rPr>
        <w:t xml:space="preserve">, έδειξαν ότι το προϊόν δεν είναι μεταλλαξιογόνο. Δεν έχουν διεξαχθεί μελέτες </w:t>
      </w:r>
      <w:r w:rsidR="00C975E2" w:rsidRPr="00FF35A7">
        <w:rPr>
          <w:rFonts w:ascii="Times New Roman" w:hAnsi="Times New Roman"/>
          <w:color w:val="auto"/>
          <w:sz w:val="24"/>
          <w:lang w:val="el-GR"/>
        </w:rPr>
        <w:t xml:space="preserve">μεταλλαξιογένεσης </w:t>
      </w:r>
      <w:r w:rsidR="00064B3C" w:rsidRPr="00FF35A7">
        <w:rPr>
          <w:rFonts w:ascii="Times New Roman" w:hAnsi="Times New Roman"/>
          <w:color w:val="auto"/>
          <w:sz w:val="24"/>
          <w:lang w:val="el-GR"/>
        </w:rPr>
        <w:t xml:space="preserve">για το </w:t>
      </w:r>
      <w:proofErr w:type="spellStart"/>
      <w:r w:rsidR="00833418">
        <w:rPr>
          <w:rFonts w:ascii="Times New Roman" w:hAnsi="Times New Roman"/>
          <w:color w:val="auto"/>
          <w:sz w:val="24"/>
        </w:rPr>
        <w:t>Lutrate</w:t>
      </w:r>
      <w:proofErr w:type="spellEnd"/>
      <w:r w:rsidR="00833418" w:rsidRPr="00B23525">
        <w:rPr>
          <w:rFonts w:ascii="Times New Roman" w:hAnsi="Times New Roman"/>
          <w:color w:val="auto"/>
          <w:sz w:val="24"/>
          <w:vertAlign w:val="superscript"/>
          <w:lang w:val="el-GR"/>
        </w:rPr>
        <w:t>®</w:t>
      </w:r>
      <w:r w:rsidR="007705A1" w:rsidRPr="00FF35A7">
        <w:rPr>
          <w:rFonts w:ascii="Times New Roman" w:hAnsi="Times New Roman"/>
          <w:color w:val="auto"/>
          <w:sz w:val="24"/>
          <w:lang w:val="el-GR"/>
        </w:rPr>
        <w:t xml:space="preserve"> </w:t>
      </w:r>
      <w:r w:rsidR="007705A1" w:rsidRPr="00FF35A7">
        <w:rPr>
          <w:rFonts w:ascii="Times New Roman" w:hAnsi="Times New Roman"/>
          <w:color w:val="auto"/>
          <w:sz w:val="24"/>
        </w:rPr>
        <w:t>Depot</w:t>
      </w:r>
      <w:r w:rsidRPr="00FF35A7">
        <w:rPr>
          <w:rFonts w:ascii="Times New Roman" w:hAnsi="Times New Roman"/>
          <w:color w:val="auto"/>
          <w:sz w:val="24"/>
          <w:lang w:val="el-GR"/>
        </w:rPr>
        <w:t>.</w:t>
      </w:r>
    </w:p>
    <w:p w:rsidR="002E2C31" w:rsidRPr="00FF35A7" w:rsidRDefault="002E2C31" w:rsidP="00B23525">
      <w:pPr>
        <w:pStyle w:val="a4"/>
        <w:jc w:val="both"/>
        <w:rPr>
          <w:rFonts w:ascii="Times New Roman" w:hAnsi="Times New Roman"/>
          <w:color w:val="auto"/>
          <w:sz w:val="24"/>
          <w:lang w:val="el-GR"/>
        </w:rPr>
      </w:pPr>
    </w:p>
    <w:p w:rsidR="005440F2"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ΦΑΡΜΑΚΕΥΤΙΚΕΣ ΠΛΗΡΟΦΟΡΙΕΣ </w:t>
      </w:r>
    </w:p>
    <w:p w:rsidR="0007636D"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6.1</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Κατάλογος εκδόχων  </w:t>
      </w:r>
    </w:p>
    <w:p w:rsidR="0007636D" w:rsidRPr="00FF35A7" w:rsidRDefault="0007636D" w:rsidP="00B23525">
      <w:pPr>
        <w:pStyle w:val="a4"/>
        <w:rPr>
          <w:rFonts w:ascii="Times New Roman" w:hAnsi="Times New Roman"/>
          <w:color w:val="auto"/>
          <w:sz w:val="24"/>
          <w:u w:val="single"/>
          <w:lang w:val="el-GR"/>
        </w:rPr>
      </w:pPr>
      <w:r w:rsidRPr="00FF35A7">
        <w:rPr>
          <w:rFonts w:ascii="Times New Roman" w:hAnsi="Times New Roman"/>
          <w:color w:val="auto"/>
          <w:sz w:val="24"/>
          <w:u w:val="single"/>
          <w:lang w:val="el-GR"/>
        </w:rPr>
        <w:t>Έκδοχα για τη λυοφιλοποιημένη σκόνη (φιαλίδιο):</w:t>
      </w:r>
    </w:p>
    <w:p w:rsidR="0007636D" w:rsidRPr="00643CAD" w:rsidRDefault="0007636D" w:rsidP="00B23525">
      <w:pPr>
        <w:jc w:val="both"/>
        <w:rPr>
          <w:lang w:val="en-US"/>
        </w:rPr>
      </w:pPr>
      <w:proofErr w:type="spellStart"/>
      <w:r w:rsidRPr="00FF35A7">
        <w:t>Polysorbate</w:t>
      </w:r>
      <w:proofErr w:type="spellEnd"/>
      <w:r w:rsidRPr="00643CAD">
        <w:rPr>
          <w:lang w:val="en-US"/>
        </w:rPr>
        <w:t xml:space="preserve"> 80</w:t>
      </w:r>
    </w:p>
    <w:p w:rsidR="0007636D" w:rsidRPr="00643CAD" w:rsidRDefault="0007636D" w:rsidP="00B23525">
      <w:pPr>
        <w:jc w:val="both"/>
        <w:rPr>
          <w:lang w:val="en-US"/>
        </w:rPr>
      </w:pPr>
      <w:proofErr w:type="spellStart"/>
      <w:r w:rsidRPr="00FF35A7">
        <w:t>Mannitol</w:t>
      </w:r>
      <w:proofErr w:type="spellEnd"/>
      <w:r w:rsidRPr="00643CAD">
        <w:rPr>
          <w:lang w:val="en-US"/>
        </w:rPr>
        <w:t xml:space="preserve"> (</w:t>
      </w:r>
      <w:r w:rsidRPr="00FF35A7">
        <w:t>E</w:t>
      </w:r>
      <w:r w:rsidRPr="00643CAD">
        <w:rPr>
          <w:lang w:val="en-US"/>
        </w:rPr>
        <w:t>-421)</w:t>
      </w:r>
    </w:p>
    <w:p w:rsidR="0007636D" w:rsidRPr="00643CAD" w:rsidRDefault="0007636D" w:rsidP="00B23525">
      <w:pPr>
        <w:jc w:val="both"/>
        <w:rPr>
          <w:lang w:val="en-US"/>
        </w:rPr>
      </w:pPr>
      <w:proofErr w:type="spellStart"/>
      <w:r w:rsidRPr="00FF35A7">
        <w:t>Carmellose</w:t>
      </w:r>
      <w:proofErr w:type="spellEnd"/>
      <w:r w:rsidRPr="00643CAD">
        <w:rPr>
          <w:lang w:val="en-US"/>
        </w:rPr>
        <w:t xml:space="preserve"> </w:t>
      </w:r>
      <w:r w:rsidRPr="00FF35A7">
        <w:t>sodium</w:t>
      </w:r>
      <w:r w:rsidRPr="00643CAD">
        <w:rPr>
          <w:lang w:val="en-US"/>
        </w:rPr>
        <w:t xml:space="preserve"> (</w:t>
      </w:r>
      <w:r w:rsidRPr="00FF35A7">
        <w:t>E</w:t>
      </w:r>
      <w:r w:rsidRPr="00643CAD">
        <w:rPr>
          <w:lang w:val="en-US"/>
        </w:rPr>
        <w:t>-466)</w:t>
      </w:r>
    </w:p>
    <w:p w:rsidR="0007636D" w:rsidRPr="00643CAD" w:rsidRDefault="0007636D" w:rsidP="00B23525">
      <w:pPr>
        <w:jc w:val="both"/>
        <w:rPr>
          <w:lang w:val="en-US"/>
        </w:rPr>
      </w:pPr>
      <w:proofErr w:type="spellStart"/>
      <w:r w:rsidRPr="00FF35A7">
        <w:t>Triethyl</w:t>
      </w:r>
      <w:proofErr w:type="spellEnd"/>
      <w:r w:rsidRPr="00643CAD">
        <w:rPr>
          <w:lang w:val="en-US"/>
        </w:rPr>
        <w:t xml:space="preserve"> </w:t>
      </w:r>
      <w:r w:rsidRPr="00FF35A7">
        <w:t>citrate</w:t>
      </w:r>
    </w:p>
    <w:p w:rsidR="0007636D" w:rsidRPr="00643CAD" w:rsidRDefault="0007636D" w:rsidP="00B23525">
      <w:pPr>
        <w:jc w:val="both"/>
        <w:rPr>
          <w:lang w:val="en-US"/>
        </w:rPr>
      </w:pPr>
      <w:proofErr w:type="gramStart"/>
      <w:r w:rsidRPr="00FF35A7">
        <w:t>Poly</w:t>
      </w:r>
      <w:r w:rsidRPr="00643CAD">
        <w:rPr>
          <w:lang w:val="en-US"/>
        </w:rPr>
        <w:t>(</w:t>
      </w:r>
      <w:proofErr w:type="gramEnd"/>
      <w:r w:rsidRPr="00FF35A7">
        <w:t>DL</w:t>
      </w:r>
      <w:r w:rsidRPr="00643CAD">
        <w:rPr>
          <w:lang w:val="en-US"/>
        </w:rPr>
        <w:t>-</w:t>
      </w:r>
      <w:proofErr w:type="spellStart"/>
      <w:r w:rsidRPr="00FF35A7">
        <w:t>lactide</w:t>
      </w:r>
      <w:proofErr w:type="spellEnd"/>
      <w:r w:rsidRPr="00643CAD">
        <w:rPr>
          <w:lang w:val="en-US"/>
        </w:rPr>
        <w:t>-</w:t>
      </w:r>
      <w:r w:rsidRPr="00FF35A7">
        <w:t>co</w:t>
      </w:r>
      <w:r w:rsidRPr="00643CAD">
        <w:rPr>
          <w:lang w:val="en-US"/>
        </w:rPr>
        <w:t>-</w:t>
      </w:r>
      <w:proofErr w:type="spellStart"/>
      <w:r w:rsidRPr="00FF35A7">
        <w:t>glycolide</w:t>
      </w:r>
      <w:proofErr w:type="spellEnd"/>
      <w:r w:rsidRPr="00643CAD">
        <w:rPr>
          <w:lang w:val="en-US"/>
        </w:rPr>
        <w:t>) (</w:t>
      </w:r>
      <w:r w:rsidRPr="00FF35A7">
        <w:t>PLGA</w:t>
      </w:r>
      <w:r w:rsidRPr="00643CAD">
        <w:rPr>
          <w:lang w:val="en-US"/>
        </w:rPr>
        <w:t>)</w:t>
      </w:r>
    </w:p>
    <w:p w:rsidR="005440F2" w:rsidRPr="00643CAD" w:rsidRDefault="005440F2" w:rsidP="00B23525">
      <w:pPr>
        <w:pStyle w:val="a4"/>
        <w:rPr>
          <w:rFonts w:ascii="Times New Roman" w:hAnsi="Times New Roman"/>
          <w:color w:val="auto"/>
          <w:sz w:val="24"/>
        </w:rPr>
      </w:pPr>
      <w:r w:rsidRPr="00643CAD">
        <w:rPr>
          <w:rFonts w:ascii="Times New Roman" w:hAnsi="Times New Roman"/>
          <w:color w:val="auto"/>
          <w:sz w:val="24"/>
        </w:rPr>
        <w:t xml:space="preserve">            </w:t>
      </w:r>
    </w:p>
    <w:p w:rsidR="005440F2" w:rsidRPr="00FF35A7" w:rsidRDefault="0007636D" w:rsidP="00B23525">
      <w:pPr>
        <w:pStyle w:val="a4"/>
        <w:rPr>
          <w:rFonts w:ascii="Times New Roman" w:hAnsi="Times New Roman"/>
          <w:color w:val="auto"/>
          <w:sz w:val="24"/>
          <w:u w:val="single"/>
          <w:lang w:val="el-GR"/>
        </w:rPr>
      </w:pPr>
      <w:r w:rsidRPr="00FF35A7">
        <w:rPr>
          <w:rFonts w:ascii="Times New Roman" w:hAnsi="Times New Roman"/>
          <w:color w:val="auto"/>
          <w:sz w:val="24"/>
          <w:u w:val="single"/>
          <w:lang w:val="el-GR"/>
        </w:rPr>
        <w:t>Έκδοχα για το διαλύτη (προγεμισμένη σύριγγα):</w:t>
      </w:r>
      <w:r w:rsidR="005440F2" w:rsidRPr="00FF35A7">
        <w:rPr>
          <w:rFonts w:ascii="Times New Roman" w:hAnsi="Times New Roman"/>
          <w:color w:val="auto"/>
          <w:sz w:val="24"/>
          <w:u w:val="single"/>
          <w:lang w:val="el-GR"/>
        </w:rPr>
        <w:t xml:space="preserve"> </w:t>
      </w:r>
    </w:p>
    <w:p w:rsidR="0007636D" w:rsidRPr="00FF35A7" w:rsidRDefault="0007636D" w:rsidP="00B23525">
      <w:pPr>
        <w:jc w:val="both"/>
        <w:rPr>
          <w:lang w:val="el-GR"/>
        </w:rPr>
      </w:pPr>
      <w:proofErr w:type="spellStart"/>
      <w:r w:rsidRPr="00FF35A7">
        <w:t>Mannitol</w:t>
      </w:r>
      <w:proofErr w:type="spellEnd"/>
      <w:r w:rsidRPr="00FF35A7">
        <w:rPr>
          <w:lang w:val="el-GR"/>
        </w:rPr>
        <w:t xml:space="preserve"> (</w:t>
      </w:r>
      <w:r w:rsidRPr="00FF35A7">
        <w:t>E</w:t>
      </w:r>
      <w:r w:rsidRPr="00FF35A7">
        <w:rPr>
          <w:lang w:val="el-GR"/>
        </w:rPr>
        <w:t>-421)</w:t>
      </w:r>
    </w:p>
    <w:p w:rsidR="007705A1" w:rsidRPr="00FF35A7" w:rsidRDefault="007705A1" w:rsidP="00B23525">
      <w:pPr>
        <w:jc w:val="both"/>
        <w:rPr>
          <w:lang w:val="el-GR"/>
        </w:rPr>
      </w:pPr>
      <w:r w:rsidRPr="00FF35A7">
        <w:t>Sodium</w:t>
      </w:r>
      <w:r w:rsidRPr="00FF35A7">
        <w:rPr>
          <w:lang w:val="el-GR"/>
        </w:rPr>
        <w:t xml:space="preserve"> </w:t>
      </w:r>
      <w:r w:rsidRPr="00FF35A7">
        <w:t>hydroxide</w:t>
      </w:r>
      <w:r w:rsidRPr="00FF35A7">
        <w:rPr>
          <w:lang w:val="el-GR"/>
        </w:rPr>
        <w:t xml:space="preserve"> (για ρύθμιση </w:t>
      </w:r>
      <w:r w:rsidRPr="00FF35A7">
        <w:t>pH</w:t>
      </w:r>
      <w:r w:rsidRPr="00FF35A7">
        <w:rPr>
          <w:lang w:val="el-GR"/>
        </w:rPr>
        <w:t>)</w:t>
      </w:r>
    </w:p>
    <w:p w:rsidR="007705A1" w:rsidRPr="00FF35A7" w:rsidRDefault="007705A1" w:rsidP="00B23525">
      <w:pPr>
        <w:jc w:val="both"/>
        <w:rPr>
          <w:lang w:val="en-US"/>
        </w:rPr>
      </w:pPr>
      <w:r w:rsidRPr="00FF35A7">
        <w:rPr>
          <w:lang w:val="en-US"/>
        </w:rPr>
        <w:t>Hydrochloric acid (</w:t>
      </w:r>
      <w:r w:rsidRPr="00FF35A7">
        <w:rPr>
          <w:lang w:val="el-GR"/>
        </w:rPr>
        <w:t>για</w:t>
      </w:r>
      <w:r w:rsidRPr="00FF35A7">
        <w:rPr>
          <w:lang w:val="en-US"/>
        </w:rPr>
        <w:t xml:space="preserve"> </w:t>
      </w:r>
      <w:r w:rsidRPr="00FF35A7">
        <w:rPr>
          <w:lang w:val="el-GR"/>
        </w:rPr>
        <w:t>ρύθμιση</w:t>
      </w:r>
      <w:r w:rsidRPr="00FF35A7">
        <w:rPr>
          <w:lang w:val="en-US"/>
        </w:rPr>
        <w:t xml:space="preserve"> pH)</w:t>
      </w:r>
    </w:p>
    <w:p w:rsidR="00473F21" w:rsidRPr="00FF35A7" w:rsidRDefault="00473F21" w:rsidP="00B23525">
      <w:pPr>
        <w:jc w:val="both"/>
        <w:rPr>
          <w:lang w:val="el-GR"/>
        </w:rPr>
      </w:pPr>
      <w:r w:rsidRPr="00FF35A7">
        <w:rPr>
          <w:lang w:val="el-GR"/>
        </w:rPr>
        <w:t>Νερό για ενέσεις</w:t>
      </w:r>
    </w:p>
    <w:p w:rsidR="005440F2" w:rsidRPr="00FF35A7" w:rsidRDefault="005440F2" w:rsidP="00B23525">
      <w:pPr>
        <w:rPr>
          <w:lang w:val="el-GR"/>
        </w:rPr>
      </w:pPr>
      <w:r w:rsidRPr="00FF35A7">
        <w:rPr>
          <w:lang w:val="el-GR"/>
        </w:rPr>
        <w:t xml:space="preserve"> </w:t>
      </w:r>
    </w:p>
    <w:p w:rsidR="00C975E2"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6.2</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Ασυμβατότητες</w:t>
      </w:r>
      <w:r w:rsidRPr="00FF35A7">
        <w:rPr>
          <w:rFonts w:ascii="Times New Roman" w:hAnsi="Times New Roman"/>
          <w:color w:val="auto"/>
          <w:sz w:val="24"/>
          <w:lang w:val="el-GR"/>
        </w:rPr>
        <w:t xml:space="preserve"> </w:t>
      </w:r>
    </w:p>
    <w:p w:rsidR="0007636D" w:rsidRPr="00FF35A7" w:rsidRDefault="0007636D"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Δεν </w:t>
      </w:r>
      <w:r w:rsidR="00C975E2" w:rsidRPr="00FF35A7">
        <w:rPr>
          <w:rFonts w:ascii="Times New Roman" w:hAnsi="Times New Roman"/>
          <w:color w:val="auto"/>
          <w:sz w:val="24"/>
          <w:lang w:val="el-GR"/>
        </w:rPr>
        <w:t>έ</w:t>
      </w:r>
      <w:r w:rsidRPr="00FF35A7">
        <w:rPr>
          <w:rFonts w:ascii="Times New Roman" w:hAnsi="Times New Roman"/>
          <w:color w:val="auto"/>
          <w:sz w:val="24"/>
          <w:lang w:val="el-GR"/>
        </w:rPr>
        <w:t xml:space="preserve">χουν διεξαχθεί μελέτες για τη συμβατότητα του προϊόντος. Επομένως, το προϊόν δεν πρέπει να χορηγείται μαζί με άλλα φαρμακευτικά προϊόντα. </w:t>
      </w:r>
    </w:p>
    <w:p w:rsidR="0007636D" w:rsidRPr="00FF35A7" w:rsidRDefault="0007636D"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 xml:space="preserve">Δεν πρέπει να χρησιμοποιείται άλλος διαλύτης για την ανασύσταση της σκόνης του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7705A1" w:rsidRPr="00FF35A7">
        <w:rPr>
          <w:rFonts w:ascii="Times New Roman" w:hAnsi="Times New Roman"/>
          <w:color w:val="auto"/>
          <w:sz w:val="24"/>
          <w:lang w:val="el-GR"/>
        </w:rPr>
        <w:t xml:space="preserve"> </w:t>
      </w:r>
      <w:r w:rsidR="007705A1" w:rsidRPr="00FF35A7">
        <w:rPr>
          <w:rFonts w:ascii="Times New Roman" w:hAnsi="Times New Roman"/>
          <w:color w:val="auto"/>
          <w:sz w:val="24"/>
        </w:rPr>
        <w:t>Depot</w:t>
      </w:r>
      <w:r w:rsidRPr="00FF35A7">
        <w:rPr>
          <w:rFonts w:ascii="Times New Roman" w:hAnsi="Times New Roman"/>
          <w:color w:val="auto"/>
          <w:sz w:val="24"/>
          <w:lang w:val="el-GR"/>
        </w:rPr>
        <w:t xml:space="preserve">, εκτός από το στείρο διαλύτη που παρέχεται για το </w:t>
      </w:r>
      <w:proofErr w:type="spellStart"/>
      <w:r w:rsidR="00833418">
        <w:rPr>
          <w:rFonts w:ascii="Times New Roman" w:hAnsi="Times New Roman"/>
          <w:color w:val="auto"/>
          <w:sz w:val="24"/>
        </w:rPr>
        <w:t>Lutrate</w:t>
      </w:r>
      <w:proofErr w:type="spellEnd"/>
      <w:r w:rsidR="00833418" w:rsidRPr="00833418">
        <w:rPr>
          <w:rFonts w:ascii="Times New Roman" w:hAnsi="Times New Roman"/>
          <w:color w:val="auto"/>
          <w:sz w:val="24"/>
          <w:vertAlign w:val="superscript"/>
          <w:lang w:val="el-GR"/>
        </w:rPr>
        <w:t>®</w:t>
      </w:r>
      <w:r w:rsidR="007705A1" w:rsidRPr="00FF35A7">
        <w:rPr>
          <w:rFonts w:ascii="Times New Roman" w:hAnsi="Times New Roman"/>
          <w:color w:val="auto"/>
          <w:sz w:val="24"/>
          <w:lang w:val="el-GR"/>
        </w:rPr>
        <w:t xml:space="preserve"> </w:t>
      </w:r>
      <w:r w:rsidR="007705A1" w:rsidRPr="00FF35A7">
        <w:rPr>
          <w:rFonts w:ascii="Times New Roman" w:hAnsi="Times New Roman"/>
          <w:color w:val="auto"/>
          <w:sz w:val="24"/>
        </w:rPr>
        <w:t>Depot</w:t>
      </w:r>
      <w:r w:rsidRPr="00FF35A7">
        <w:rPr>
          <w:rFonts w:ascii="Times New Roman" w:hAnsi="Times New Roman"/>
          <w:color w:val="auto"/>
          <w:sz w:val="24"/>
          <w:lang w:val="el-GR"/>
        </w:rPr>
        <w:t xml:space="preserve"> στη συσκευασία. </w:t>
      </w:r>
    </w:p>
    <w:p w:rsidR="00E36F17" w:rsidRPr="00FF35A7" w:rsidRDefault="00E36F17" w:rsidP="00B23525">
      <w:pPr>
        <w:pStyle w:val="a4"/>
        <w:rPr>
          <w:rFonts w:ascii="Times New Roman" w:hAnsi="Times New Roman"/>
          <w:b/>
          <w:bCs/>
          <w:color w:val="auto"/>
          <w:sz w:val="24"/>
          <w:lang w:val="el-GR"/>
        </w:rPr>
      </w:pPr>
    </w:p>
    <w:p w:rsidR="00C975E2" w:rsidRPr="00B23525" w:rsidRDefault="005440F2" w:rsidP="00B23525">
      <w:pPr>
        <w:pStyle w:val="a4"/>
        <w:rPr>
          <w:rFonts w:ascii="Times New Roman" w:hAnsi="Times New Roman"/>
          <w:b/>
          <w:bCs/>
          <w:color w:val="auto"/>
          <w:sz w:val="24"/>
          <w:lang w:val="el-GR"/>
        </w:rPr>
      </w:pPr>
      <w:r w:rsidRPr="00FF35A7">
        <w:rPr>
          <w:rFonts w:ascii="Times New Roman" w:hAnsi="Times New Roman"/>
          <w:b/>
          <w:bCs/>
          <w:color w:val="auto"/>
          <w:sz w:val="24"/>
          <w:lang w:val="el-GR"/>
        </w:rPr>
        <w:t>6.3</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 xml:space="preserve">Διάρκεια ζωής </w:t>
      </w:r>
    </w:p>
    <w:p w:rsidR="0007636D" w:rsidRPr="00FF35A7" w:rsidRDefault="007705A1" w:rsidP="00B23525">
      <w:pPr>
        <w:jc w:val="both"/>
        <w:rPr>
          <w:lang w:val="el-GR"/>
        </w:rPr>
      </w:pPr>
      <w:r w:rsidRPr="00FF35A7">
        <w:rPr>
          <w:lang w:val="el-GR"/>
        </w:rPr>
        <w:t>3 χρόνια σε κλειστή συσκευασία.</w:t>
      </w:r>
      <w:r w:rsidR="0007636D" w:rsidRPr="00FF35A7">
        <w:rPr>
          <w:lang w:val="el-GR"/>
        </w:rPr>
        <w:t>.</w:t>
      </w:r>
    </w:p>
    <w:p w:rsidR="0007636D" w:rsidRPr="00FF35A7" w:rsidRDefault="0007636D" w:rsidP="00B23525">
      <w:pPr>
        <w:pStyle w:val="a4"/>
        <w:rPr>
          <w:rFonts w:ascii="Times New Roman" w:hAnsi="Times New Roman"/>
          <w:color w:val="auto"/>
          <w:sz w:val="24"/>
          <w:lang w:val="el-GR"/>
        </w:rPr>
      </w:pPr>
      <w:r w:rsidRPr="00FF35A7">
        <w:rPr>
          <w:rFonts w:ascii="Times New Roman" w:hAnsi="Times New Roman"/>
          <w:color w:val="auto"/>
          <w:sz w:val="24"/>
          <w:lang w:val="el-GR"/>
        </w:rPr>
        <w:t>Μετά την ανασύσταση με το διαλύτη, το εναιώρημα πρέπει να χορηγείται αμέσως,</w:t>
      </w:r>
    </w:p>
    <w:p w:rsidR="0007636D" w:rsidRPr="00FF35A7" w:rsidRDefault="0007636D" w:rsidP="00B23525">
      <w:pPr>
        <w:pStyle w:val="a4"/>
        <w:rPr>
          <w:rFonts w:ascii="Times New Roman" w:hAnsi="Times New Roman"/>
          <w:color w:val="auto"/>
          <w:sz w:val="24"/>
          <w:lang w:val="el-GR"/>
        </w:rPr>
      </w:pPr>
    </w:p>
    <w:p w:rsidR="00C975E2"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6.4</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Ιδιαίτερες προφυλάξεις κατά τη φύλαξη του προϊόντος</w:t>
      </w:r>
    </w:p>
    <w:p w:rsidR="0007636D" w:rsidRPr="00FF35A7" w:rsidRDefault="0007636D" w:rsidP="00B23525">
      <w:pPr>
        <w:pStyle w:val="a4"/>
        <w:rPr>
          <w:rFonts w:ascii="Times New Roman" w:hAnsi="Times New Roman"/>
          <w:color w:val="auto"/>
          <w:sz w:val="24"/>
          <w:lang w:val="el-GR"/>
        </w:rPr>
      </w:pPr>
      <w:r w:rsidRPr="00FF35A7">
        <w:rPr>
          <w:rFonts w:ascii="Times New Roman" w:hAnsi="Times New Roman"/>
          <w:color w:val="auto"/>
          <w:sz w:val="24"/>
          <w:lang w:val="el-GR"/>
        </w:rPr>
        <w:t>Φυλάσσεται στο ψυγείο (2 º</w:t>
      </w:r>
      <w:r w:rsidRPr="00FF35A7">
        <w:rPr>
          <w:rFonts w:ascii="Times New Roman" w:hAnsi="Times New Roman"/>
          <w:color w:val="auto"/>
          <w:sz w:val="24"/>
          <w:lang w:val="en-GB"/>
        </w:rPr>
        <w:t>C</w:t>
      </w:r>
      <w:r w:rsidRPr="00FF35A7">
        <w:rPr>
          <w:rFonts w:ascii="Times New Roman" w:hAnsi="Times New Roman"/>
          <w:color w:val="auto"/>
          <w:sz w:val="24"/>
          <w:lang w:val="el-GR"/>
        </w:rPr>
        <w:t xml:space="preserve"> - 8 º</w:t>
      </w:r>
      <w:r w:rsidRPr="00FF35A7">
        <w:rPr>
          <w:rFonts w:ascii="Times New Roman" w:hAnsi="Times New Roman"/>
          <w:color w:val="auto"/>
          <w:sz w:val="24"/>
          <w:lang w:val="en-GB"/>
        </w:rPr>
        <w:t>C</w:t>
      </w:r>
      <w:r w:rsidRPr="00FF35A7">
        <w:rPr>
          <w:rFonts w:ascii="Times New Roman" w:hAnsi="Times New Roman"/>
          <w:color w:val="auto"/>
          <w:sz w:val="24"/>
          <w:lang w:val="el-GR"/>
        </w:rPr>
        <w:t>). Να μην καταψύχεται.</w:t>
      </w:r>
    </w:p>
    <w:p w:rsidR="0007636D" w:rsidRPr="00FF35A7" w:rsidRDefault="0007636D" w:rsidP="00B23525">
      <w:pPr>
        <w:pStyle w:val="a4"/>
        <w:rPr>
          <w:rFonts w:ascii="Times New Roman" w:hAnsi="Times New Roman"/>
          <w:color w:val="auto"/>
          <w:sz w:val="24"/>
          <w:lang w:val="el-GR"/>
        </w:rPr>
      </w:pPr>
      <w:r w:rsidRPr="00FF35A7">
        <w:rPr>
          <w:rFonts w:ascii="Times New Roman" w:hAnsi="Times New Roman"/>
          <w:color w:val="auto"/>
          <w:sz w:val="24"/>
          <w:lang w:val="el-GR"/>
        </w:rPr>
        <w:t>Φυλάσσεται στην αρχική του συσκευασία, προστατευμένο από το φως.</w:t>
      </w:r>
    </w:p>
    <w:p w:rsidR="00205A1E" w:rsidRPr="00FF35A7" w:rsidRDefault="00205A1E" w:rsidP="00B23525">
      <w:pPr>
        <w:pStyle w:val="a4"/>
        <w:rPr>
          <w:rFonts w:ascii="Times New Roman" w:hAnsi="Times New Roman"/>
          <w:b/>
          <w:bCs/>
          <w:color w:val="auto"/>
          <w:sz w:val="24"/>
          <w:lang w:val="el-GR"/>
        </w:rPr>
      </w:pPr>
    </w:p>
    <w:p w:rsidR="00C975E2" w:rsidRPr="00B23525"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6.5</w:t>
      </w:r>
      <w:r w:rsidR="007705A1" w:rsidRPr="00FF35A7">
        <w:rPr>
          <w:rFonts w:ascii="Times New Roman" w:hAnsi="Times New Roman"/>
          <w:b/>
          <w:bCs/>
          <w:color w:val="auto"/>
          <w:sz w:val="24"/>
          <w:lang w:val="el-GR"/>
        </w:rPr>
        <w:tab/>
      </w:r>
      <w:r w:rsidRPr="00FF35A7">
        <w:rPr>
          <w:rFonts w:ascii="Times New Roman" w:hAnsi="Times New Roman"/>
          <w:b/>
          <w:bCs/>
          <w:color w:val="auto"/>
          <w:sz w:val="24"/>
          <w:lang w:val="el-GR"/>
        </w:rPr>
        <w:t>Φύση και συστατικά του περιέκτη</w:t>
      </w:r>
    </w:p>
    <w:p w:rsidR="008A4091" w:rsidRPr="00FF35A7" w:rsidRDefault="0007636D" w:rsidP="00B23525">
      <w:pPr>
        <w:rPr>
          <w:noProof/>
          <w:lang w:val="el-GR"/>
        </w:rPr>
      </w:pPr>
      <w:r w:rsidRPr="00FF35A7">
        <w:rPr>
          <w:noProof/>
          <w:lang w:val="el-GR"/>
        </w:rPr>
        <w:t>Κάθε συσκευασία (</w:t>
      </w:r>
      <w:r w:rsidRPr="00FF35A7">
        <w:rPr>
          <w:noProof/>
          <w:lang w:val="en-US"/>
        </w:rPr>
        <w:t>commercial</w:t>
      </w:r>
      <w:r w:rsidRPr="00FF35A7">
        <w:rPr>
          <w:noProof/>
          <w:lang w:val="el-GR"/>
        </w:rPr>
        <w:t xml:space="preserve"> </w:t>
      </w:r>
      <w:r w:rsidRPr="00FF35A7">
        <w:rPr>
          <w:noProof/>
          <w:lang w:val="en-US"/>
        </w:rPr>
        <w:t>kit</w:t>
      </w:r>
      <w:r w:rsidRPr="00FF35A7">
        <w:rPr>
          <w:noProof/>
          <w:lang w:val="el-GR"/>
        </w:rPr>
        <w:t>) περιέχει:</w:t>
      </w:r>
    </w:p>
    <w:p w:rsidR="008A4091" w:rsidRPr="00FF35A7" w:rsidRDefault="0007636D" w:rsidP="00B23525">
      <w:pPr>
        <w:numPr>
          <w:ilvl w:val="0"/>
          <w:numId w:val="42"/>
        </w:numPr>
        <w:rPr>
          <w:noProof/>
          <w:lang w:val="el-GR"/>
        </w:rPr>
      </w:pPr>
      <w:r w:rsidRPr="00FF35A7">
        <w:rPr>
          <w:noProof/>
          <w:lang w:val="el-GR"/>
        </w:rPr>
        <w:t>Ένα</w:t>
      </w:r>
      <w:r w:rsidR="008A4091" w:rsidRPr="00FF35A7">
        <w:rPr>
          <w:noProof/>
          <w:lang w:val="el-GR"/>
        </w:rPr>
        <w:t xml:space="preserve"> (1) γυάλινο φιαλίδιο Τύπου Ι που περιέχει 3</w:t>
      </w:r>
      <w:r w:rsidR="00D47CA0" w:rsidRPr="00FF35A7">
        <w:rPr>
          <w:noProof/>
          <w:lang w:val="el-GR"/>
        </w:rPr>
        <w:t>,</w:t>
      </w:r>
      <w:r w:rsidR="008A4091" w:rsidRPr="00FF35A7">
        <w:rPr>
          <w:noProof/>
          <w:lang w:val="el-GR"/>
        </w:rPr>
        <w:t>75</w:t>
      </w:r>
      <w:r w:rsidR="008A4091" w:rsidRPr="00FF35A7">
        <w:rPr>
          <w:noProof/>
          <w:lang w:val="en-US"/>
        </w:rPr>
        <w:t>mg</w:t>
      </w:r>
      <w:r w:rsidRPr="00FF35A7">
        <w:rPr>
          <w:noProof/>
          <w:lang w:val="el-GR"/>
        </w:rPr>
        <w:t xml:space="preserve"> </w:t>
      </w:r>
      <w:r w:rsidRPr="00FF35A7">
        <w:rPr>
          <w:noProof/>
          <w:lang w:val="en-US"/>
        </w:rPr>
        <w:t>leuprorelin</w:t>
      </w:r>
      <w:r w:rsidRPr="00FF35A7">
        <w:rPr>
          <w:noProof/>
          <w:lang w:val="el-GR"/>
        </w:rPr>
        <w:t xml:space="preserve"> </w:t>
      </w:r>
      <w:r w:rsidRPr="00FF35A7">
        <w:rPr>
          <w:noProof/>
          <w:lang w:val="en-US"/>
        </w:rPr>
        <w:t>acetate</w:t>
      </w:r>
      <w:r w:rsidRPr="00FF35A7">
        <w:rPr>
          <w:noProof/>
          <w:lang w:val="el-GR"/>
        </w:rPr>
        <w:t xml:space="preserve"> σε μορφή </w:t>
      </w:r>
      <w:r w:rsidR="008A4091" w:rsidRPr="00FF35A7">
        <w:rPr>
          <w:noProof/>
          <w:lang w:val="el-GR"/>
        </w:rPr>
        <w:t xml:space="preserve">λυοφιλοποιημένης </w:t>
      </w:r>
      <w:r w:rsidRPr="00FF35A7">
        <w:rPr>
          <w:noProof/>
          <w:lang w:val="el-GR"/>
        </w:rPr>
        <w:t>σκόνης</w:t>
      </w:r>
      <w:r w:rsidR="008A4091" w:rsidRPr="00FF35A7">
        <w:rPr>
          <w:noProof/>
          <w:lang w:val="el-GR"/>
        </w:rPr>
        <w:t>, με πώμα βρωμο</w:t>
      </w:r>
      <w:r w:rsidR="00C975E2" w:rsidRPr="00FF35A7">
        <w:rPr>
          <w:noProof/>
          <w:lang w:val="el-GR"/>
        </w:rPr>
        <w:t>β</w:t>
      </w:r>
      <w:r w:rsidR="008A4091" w:rsidRPr="00FF35A7">
        <w:rPr>
          <w:noProof/>
          <w:lang w:val="el-GR"/>
        </w:rPr>
        <w:t xml:space="preserve">ουτυλίου και σφραγισμένο με </w:t>
      </w:r>
      <w:r w:rsidR="008A4091" w:rsidRPr="00FF35A7">
        <w:rPr>
          <w:bCs/>
          <w:lang w:val="el-GR"/>
        </w:rPr>
        <w:t>‘</w:t>
      </w:r>
      <w:r w:rsidR="008A4091" w:rsidRPr="00FF35A7">
        <w:rPr>
          <w:bCs/>
          <w:lang w:val="en-US"/>
        </w:rPr>
        <w:t>flip</w:t>
      </w:r>
      <w:r w:rsidR="008A4091" w:rsidRPr="00FF35A7">
        <w:rPr>
          <w:bCs/>
          <w:lang w:val="el-GR"/>
        </w:rPr>
        <w:t>-</w:t>
      </w:r>
      <w:r w:rsidR="008A4091" w:rsidRPr="00FF35A7">
        <w:rPr>
          <w:bCs/>
          <w:lang w:val="en-US"/>
        </w:rPr>
        <w:t>off</w:t>
      </w:r>
      <w:r w:rsidR="008A4091" w:rsidRPr="00FF35A7">
        <w:rPr>
          <w:bCs/>
          <w:lang w:val="el-GR"/>
        </w:rPr>
        <w:t>’ κάλυμμα αλουμινίου</w:t>
      </w:r>
      <w:r w:rsidRPr="00FF35A7">
        <w:rPr>
          <w:noProof/>
          <w:lang w:val="el-GR"/>
        </w:rPr>
        <w:t>.</w:t>
      </w:r>
    </w:p>
    <w:p w:rsidR="008A4091" w:rsidRPr="00FF35A7" w:rsidRDefault="0007636D" w:rsidP="00B23525">
      <w:pPr>
        <w:numPr>
          <w:ilvl w:val="0"/>
          <w:numId w:val="42"/>
        </w:numPr>
        <w:rPr>
          <w:noProof/>
          <w:lang w:val="el-GR"/>
        </w:rPr>
      </w:pPr>
      <w:r w:rsidRPr="00FF35A7">
        <w:rPr>
          <w:noProof/>
          <w:lang w:val="el-GR"/>
        </w:rPr>
        <w:t>Μία</w:t>
      </w:r>
      <w:r w:rsidR="008A4091" w:rsidRPr="00FF35A7">
        <w:rPr>
          <w:noProof/>
          <w:lang w:val="el-GR"/>
        </w:rPr>
        <w:t xml:space="preserve"> (1)</w:t>
      </w:r>
      <w:r w:rsidRPr="00FF35A7">
        <w:rPr>
          <w:noProof/>
          <w:lang w:val="el-GR"/>
        </w:rPr>
        <w:t xml:space="preserve"> </w:t>
      </w:r>
      <w:r w:rsidR="008A4091" w:rsidRPr="00FF35A7">
        <w:rPr>
          <w:noProof/>
          <w:lang w:val="el-GR"/>
        </w:rPr>
        <w:t xml:space="preserve">γυάλινη (Τύπου Ι) </w:t>
      </w:r>
      <w:r w:rsidRPr="00FF35A7">
        <w:rPr>
          <w:noProof/>
          <w:lang w:val="el-GR"/>
        </w:rPr>
        <w:t>προγεμισμένη σύριγγα</w:t>
      </w:r>
      <w:r w:rsidR="008A4091" w:rsidRPr="00FF35A7">
        <w:rPr>
          <w:noProof/>
          <w:lang w:val="el-GR"/>
        </w:rPr>
        <w:t xml:space="preserve"> που περιέχει</w:t>
      </w:r>
      <w:r w:rsidRPr="00FF35A7">
        <w:rPr>
          <w:noProof/>
          <w:lang w:val="el-GR"/>
        </w:rPr>
        <w:t xml:space="preserve"> 2</w:t>
      </w:r>
      <w:r w:rsidRPr="00FF35A7">
        <w:rPr>
          <w:noProof/>
          <w:lang w:val="en-US"/>
        </w:rPr>
        <w:t>ml</w:t>
      </w:r>
      <w:r w:rsidRPr="00FF35A7">
        <w:rPr>
          <w:noProof/>
          <w:lang w:val="el-GR"/>
        </w:rPr>
        <w:t xml:space="preserve"> διαλύτη</w:t>
      </w:r>
      <w:r w:rsidR="008A4091" w:rsidRPr="00FF35A7">
        <w:rPr>
          <w:noProof/>
          <w:lang w:val="el-GR"/>
        </w:rPr>
        <w:t>, σφραγισμένη με ελαστομερές κάλυμμα.</w:t>
      </w:r>
    </w:p>
    <w:p w:rsidR="008A4091" w:rsidRPr="00FF35A7" w:rsidRDefault="0007636D" w:rsidP="00B23525">
      <w:pPr>
        <w:numPr>
          <w:ilvl w:val="0"/>
          <w:numId w:val="42"/>
        </w:numPr>
        <w:rPr>
          <w:noProof/>
          <w:lang w:val="el-GR"/>
        </w:rPr>
      </w:pPr>
      <w:r w:rsidRPr="00FF35A7">
        <w:rPr>
          <w:noProof/>
          <w:lang w:val="el-GR"/>
        </w:rPr>
        <w:t>Μία</w:t>
      </w:r>
      <w:r w:rsidR="008A4091" w:rsidRPr="00FF35A7">
        <w:rPr>
          <w:noProof/>
          <w:lang w:val="el-GR"/>
        </w:rPr>
        <w:t xml:space="preserve"> (1) </w:t>
      </w:r>
      <w:r w:rsidR="007705A1" w:rsidRPr="00FF35A7">
        <w:rPr>
          <w:rFonts w:eastAsia="MS Mincho"/>
          <w:lang w:val="el-GR" w:eastAsia="es-ES"/>
        </w:rPr>
        <w:t>συσκευή προσαρμογής από πολυανθρακικό υλικό / πολυαιθυλένιο υψηλής πυκνότητας (</w:t>
      </w:r>
      <w:r w:rsidR="007705A1" w:rsidRPr="00FF35A7">
        <w:rPr>
          <w:rFonts w:eastAsia="MS Mincho"/>
          <w:lang w:val="es-ES" w:eastAsia="es-ES"/>
        </w:rPr>
        <w:t>HDPE</w:t>
      </w:r>
      <w:r w:rsidR="007705A1" w:rsidRPr="00FF35A7">
        <w:rPr>
          <w:rFonts w:eastAsia="MS Mincho"/>
          <w:lang w:val="el-GR" w:eastAsia="es-ES"/>
        </w:rPr>
        <w:t>)</w:t>
      </w:r>
      <w:r w:rsidRPr="00FF35A7">
        <w:rPr>
          <w:noProof/>
          <w:lang w:val="el-GR"/>
        </w:rPr>
        <w:t>.</w:t>
      </w:r>
    </w:p>
    <w:p w:rsidR="008A4091" w:rsidRPr="00FF35A7" w:rsidRDefault="0007636D" w:rsidP="00B23525">
      <w:pPr>
        <w:numPr>
          <w:ilvl w:val="0"/>
          <w:numId w:val="42"/>
        </w:numPr>
        <w:rPr>
          <w:noProof/>
          <w:lang w:val="el-GR"/>
        </w:rPr>
      </w:pPr>
      <w:r w:rsidRPr="00FF35A7">
        <w:rPr>
          <w:noProof/>
          <w:lang w:val="el-GR"/>
        </w:rPr>
        <w:t>Μία</w:t>
      </w:r>
      <w:r w:rsidR="008A4091" w:rsidRPr="00FF35A7">
        <w:rPr>
          <w:noProof/>
          <w:lang w:val="el-GR"/>
        </w:rPr>
        <w:t xml:space="preserve"> (1) </w:t>
      </w:r>
      <w:r w:rsidR="00C975E2" w:rsidRPr="00FF35A7">
        <w:rPr>
          <w:noProof/>
          <w:lang w:val="el-GR"/>
        </w:rPr>
        <w:t xml:space="preserve">στείρα </w:t>
      </w:r>
      <w:r w:rsidRPr="00FF35A7">
        <w:rPr>
          <w:noProof/>
          <w:lang w:val="el-GR"/>
        </w:rPr>
        <w:t>βελόνα</w:t>
      </w:r>
      <w:r w:rsidR="008A4091" w:rsidRPr="00FF35A7">
        <w:rPr>
          <w:noProof/>
          <w:lang w:val="el-GR"/>
        </w:rPr>
        <w:t xml:space="preserve"> 20 </w:t>
      </w:r>
      <w:r w:rsidR="008A4091" w:rsidRPr="00FF35A7">
        <w:rPr>
          <w:noProof/>
          <w:lang w:val="en-US"/>
        </w:rPr>
        <w:t>gauge</w:t>
      </w:r>
    </w:p>
    <w:p w:rsidR="008A4091" w:rsidRPr="00FF35A7" w:rsidRDefault="007A5D0D" w:rsidP="00B23525">
      <w:pPr>
        <w:rPr>
          <w:noProof/>
          <w:lang w:val="el-GR"/>
        </w:rPr>
      </w:pPr>
      <w:r>
        <w:rPr>
          <w:noProof/>
          <w:lang w:val="el-GR" w:eastAsia="el-GR"/>
        </w:rPr>
        <w:lastRenderedPageBreak/>
        <w:drawing>
          <wp:inline distT="0" distB="0" distL="0" distR="0">
            <wp:extent cx="5397500" cy="32448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7500" cy="3244850"/>
                    </a:xfrm>
                    <a:prstGeom prst="rect">
                      <a:avLst/>
                    </a:prstGeom>
                    <a:noFill/>
                    <a:ln w="9525">
                      <a:noFill/>
                      <a:miter lim="800000"/>
                      <a:headEnd/>
                      <a:tailEnd/>
                    </a:ln>
                  </pic:spPr>
                </pic:pic>
              </a:graphicData>
            </a:graphic>
          </wp:inline>
        </w:drawing>
      </w:r>
    </w:p>
    <w:p w:rsidR="005440F2" w:rsidRPr="00FF35A7" w:rsidRDefault="005440F2" w:rsidP="00B23525">
      <w:pPr>
        <w:pStyle w:val="a4"/>
        <w:rPr>
          <w:rFonts w:ascii="Times New Roman" w:hAnsi="Times New Roman"/>
          <w:color w:val="auto"/>
          <w:sz w:val="24"/>
          <w:lang w:val="el-GR"/>
        </w:rPr>
      </w:pPr>
    </w:p>
    <w:p w:rsidR="005440F2" w:rsidRPr="00FF35A7" w:rsidRDefault="005440F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6.6</w:t>
      </w:r>
      <w:r w:rsidR="007705A1" w:rsidRPr="00FF35A7">
        <w:rPr>
          <w:rFonts w:ascii="Times New Roman" w:hAnsi="Times New Roman"/>
          <w:b/>
          <w:bCs/>
          <w:color w:val="auto"/>
          <w:sz w:val="24"/>
          <w:lang w:val="el-GR"/>
        </w:rPr>
        <w:tab/>
      </w:r>
      <w:r w:rsidR="007705A1" w:rsidRPr="00FF35A7">
        <w:rPr>
          <w:rFonts w:ascii="Times New Roman" w:eastAsia="MS Mincho" w:hAnsi="Times New Roman"/>
          <w:b/>
          <w:color w:val="auto"/>
          <w:sz w:val="24"/>
          <w:lang w:val="el-GR" w:eastAsia="es-ES"/>
        </w:rPr>
        <w:t>Ιδιαίτερες προφυλάξεις απόρριψης και άλλος χειρισμός</w:t>
      </w:r>
    </w:p>
    <w:p w:rsidR="005440F2" w:rsidRPr="00FF35A7" w:rsidRDefault="005440F2" w:rsidP="00B23525">
      <w:pPr>
        <w:pStyle w:val="a4"/>
        <w:rPr>
          <w:rFonts w:ascii="Times New Roman" w:hAnsi="Times New Roman"/>
          <w:color w:val="auto"/>
          <w:sz w:val="24"/>
          <w:lang w:val="el-GR"/>
        </w:rPr>
      </w:pPr>
    </w:p>
    <w:p w:rsidR="007705A1" w:rsidRPr="00FF35A7" w:rsidRDefault="007705A1" w:rsidP="00B23525">
      <w:pPr>
        <w:jc w:val="both"/>
        <w:rPr>
          <w:u w:val="single"/>
          <w:lang w:val="el-GR"/>
        </w:rPr>
      </w:pPr>
    </w:p>
    <w:p w:rsidR="007705A1" w:rsidRPr="00FF35A7" w:rsidRDefault="007705A1" w:rsidP="00B23525">
      <w:pPr>
        <w:jc w:val="both"/>
        <w:rPr>
          <w:u w:val="single"/>
          <w:lang w:val="el-GR"/>
        </w:rPr>
      </w:pPr>
      <w:r w:rsidRPr="00FF35A7">
        <w:rPr>
          <w:u w:val="single"/>
          <w:lang w:val="el-GR"/>
        </w:rPr>
        <w:t>Τρόπος χορήγησης</w:t>
      </w:r>
    </w:p>
    <w:p w:rsidR="007705A1" w:rsidRPr="00FF35A7" w:rsidRDefault="007705A1" w:rsidP="00B23525">
      <w:pPr>
        <w:jc w:val="both"/>
        <w:rPr>
          <w:lang w:val="el-GR"/>
        </w:rPr>
      </w:pPr>
      <w:r w:rsidRPr="00FF35A7">
        <w:rPr>
          <w:lang w:val="el-GR"/>
        </w:rPr>
        <w:t>Η ανασύσταση της σκόνης (μικροσφα</w:t>
      </w:r>
      <w:r w:rsidR="00064B3C" w:rsidRPr="00FF35A7">
        <w:rPr>
          <w:lang w:val="el-GR"/>
        </w:rPr>
        <w:t>ι</w:t>
      </w:r>
      <w:r w:rsidRPr="00FF35A7">
        <w:rPr>
          <w:lang w:val="el-GR"/>
        </w:rPr>
        <w:t>ρ</w:t>
      </w:r>
      <w:r w:rsidR="00064B3C" w:rsidRPr="00FF35A7">
        <w:rPr>
          <w:lang w:val="el-GR"/>
        </w:rPr>
        <w:t>ίδ</w:t>
      </w:r>
      <w:r w:rsidRPr="00FF35A7">
        <w:rPr>
          <w:lang w:val="el-GR"/>
        </w:rPr>
        <w:t xml:space="preserve">ια) του φιαλιδίου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πρέπει να γίνεται αμέσως πριν τη χορήγηση του εναιωρήματος με ενδομυϊκή ένεση. Βεβαιωθείτε ότι χρησιμοποιείτε ασηπτική τεχνική.</w:t>
      </w:r>
    </w:p>
    <w:p w:rsidR="007705A1" w:rsidRPr="00FF35A7" w:rsidRDefault="007705A1" w:rsidP="00B23525">
      <w:pPr>
        <w:jc w:val="both"/>
        <w:rPr>
          <w:lang w:val="el-GR"/>
        </w:rPr>
      </w:pPr>
      <w:r w:rsidRPr="00FF35A7">
        <w:rPr>
          <w:lang w:val="el-GR"/>
        </w:rPr>
        <w:t>Το ανασυσταμένο διάλυμα είναι ένα γαλακτ</w:t>
      </w:r>
      <w:r w:rsidR="00C615CF" w:rsidRPr="00FF35A7">
        <w:rPr>
          <w:lang w:val="el-GR"/>
        </w:rPr>
        <w:t>ώδες</w:t>
      </w:r>
      <w:r w:rsidRPr="00FF35A7">
        <w:rPr>
          <w:lang w:val="el-GR"/>
        </w:rPr>
        <w:t>, λευκού χρώματος εναιώρημα.</w:t>
      </w:r>
    </w:p>
    <w:p w:rsidR="007705A1" w:rsidRPr="00FF35A7" w:rsidRDefault="007705A1" w:rsidP="00B23525">
      <w:pPr>
        <w:jc w:val="both"/>
        <w:rPr>
          <w:lang w:val="el-GR"/>
        </w:rPr>
      </w:pPr>
    </w:p>
    <w:p w:rsidR="007705A1" w:rsidRPr="00FF35A7" w:rsidRDefault="007705A1" w:rsidP="00B23525">
      <w:pPr>
        <w:jc w:val="both"/>
        <w:rPr>
          <w:b/>
          <w:lang w:val="el-GR"/>
        </w:rPr>
      </w:pPr>
      <w:r w:rsidRPr="00FF35A7">
        <w:rPr>
          <w:b/>
          <w:lang w:val="el-GR"/>
        </w:rPr>
        <w:t xml:space="preserve">Δεν πρέπει να χρησιμοποιείται άλλος διαλύτης για την ανασύσταση του </w:t>
      </w:r>
      <w:proofErr w:type="spellStart"/>
      <w:r w:rsidR="00833418">
        <w:rPr>
          <w:b/>
        </w:rPr>
        <w:t>Lutrate</w:t>
      </w:r>
      <w:proofErr w:type="spellEnd"/>
      <w:r w:rsidR="00833418" w:rsidRPr="00833418">
        <w:rPr>
          <w:b/>
          <w:vertAlign w:val="superscript"/>
          <w:lang w:val="el-GR"/>
        </w:rPr>
        <w:t>®</w:t>
      </w:r>
      <w:r w:rsidRPr="00FF35A7">
        <w:rPr>
          <w:b/>
          <w:lang w:val="el-GR"/>
        </w:rPr>
        <w:t xml:space="preserve"> </w:t>
      </w:r>
      <w:r w:rsidRPr="00FF35A7">
        <w:rPr>
          <w:b/>
        </w:rPr>
        <w:t>Depot</w:t>
      </w:r>
    </w:p>
    <w:p w:rsidR="007705A1" w:rsidRPr="00FF35A7" w:rsidRDefault="007705A1" w:rsidP="00B23525">
      <w:pPr>
        <w:jc w:val="both"/>
        <w:rPr>
          <w:lang w:val="el-GR"/>
        </w:rPr>
      </w:pPr>
    </w:p>
    <w:p w:rsidR="007705A1" w:rsidRPr="00FF35A7" w:rsidRDefault="007705A1" w:rsidP="00B23525">
      <w:pPr>
        <w:jc w:val="both"/>
        <w:rPr>
          <w:lang w:val="el-GR"/>
        </w:rPr>
      </w:pPr>
      <w:r w:rsidRPr="00FF35A7">
        <w:rPr>
          <w:lang w:val="el-GR"/>
        </w:rPr>
        <w:t xml:space="preserve">Το προϊόν πρέπει </w:t>
      </w:r>
      <w:r w:rsidR="00064B3C" w:rsidRPr="00FF35A7">
        <w:rPr>
          <w:lang w:val="el-GR"/>
        </w:rPr>
        <w:t xml:space="preserve">έχει φθάσει </w:t>
      </w:r>
      <w:r w:rsidRPr="00FF35A7">
        <w:rPr>
          <w:lang w:val="el-GR"/>
        </w:rPr>
        <w:t xml:space="preserve">θερμοκρασία δωματίου από πριν την χορήγηση. Η ανασύσταση του </w:t>
      </w:r>
      <w:proofErr w:type="spellStart"/>
      <w:r w:rsidR="00833418">
        <w:t>Lutrate</w:t>
      </w:r>
      <w:proofErr w:type="spellEnd"/>
      <w:r w:rsidR="00833418" w:rsidRPr="00833418">
        <w:rPr>
          <w:vertAlign w:val="superscript"/>
          <w:lang w:val="el-GR"/>
        </w:rPr>
        <w:t>®</w:t>
      </w:r>
      <w:r w:rsidRPr="00FF35A7">
        <w:rPr>
          <w:lang w:val="el-GR"/>
        </w:rPr>
        <w:t xml:space="preserve"> </w:t>
      </w:r>
      <w:r w:rsidRPr="00FF35A7">
        <w:t>Depot</w:t>
      </w:r>
      <w:r w:rsidRPr="00FF35A7">
        <w:rPr>
          <w:lang w:val="el-GR"/>
        </w:rPr>
        <w:t xml:space="preserve"> πρέπει να γίνει σύμφωνα με τις ακόλουθες οδηγίες: </w:t>
      </w:r>
    </w:p>
    <w:tbl>
      <w:tblPr>
        <w:tblW w:w="0" w:type="auto"/>
        <w:tblLook w:val="04A0"/>
      </w:tblPr>
      <w:tblGrid>
        <w:gridCol w:w="2778"/>
        <w:gridCol w:w="283"/>
        <w:gridCol w:w="2778"/>
        <w:gridCol w:w="284"/>
        <w:gridCol w:w="2916"/>
      </w:tblGrid>
      <w:tr w:rsidR="007705A1" w:rsidRPr="00FF35A7" w:rsidTr="00E77AA1">
        <w:trPr>
          <w:trHeight w:val="171"/>
        </w:trPr>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1</w:t>
            </w:r>
          </w:p>
        </w:tc>
        <w:tc>
          <w:tcPr>
            <w:tcW w:w="283" w:type="dxa"/>
            <w:tcBorders>
              <w:left w:val="single" w:sz="12" w:space="0" w:color="548DD4"/>
              <w:right w:val="single" w:sz="12" w:space="0" w:color="548DD4"/>
            </w:tcBorders>
          </w:tcPr>
          <w:p w:rsidR="007705A1" w:rsidRPr="00FF35A7" w:rsidRDefault="007705A1" w:rsidP="00B23525">
            <w:pPr>
              <w:jc w:val="both"/>
              <w:rPr>
                <w:color w:val="548DD4"/>
                <w:lang w:val="en-US"/>
              </w:rPr>
            </w:pPr>
          </w:p>
        </w:tc>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2</w:t>
            </w:r>
          </w:p>
        </w:tc>
        <w:tc>
          <w:tcPr>
            <w:tcW w:w="284" w:type="dxa"/>
            <w:tcBorders>
              <w:left w:val="single" w:sz="12" w:space="0" w:color="548DD4"/>
              <w:right w:val="single" w:sz="12" w:space="0" w:color="548DD4"/>
            </w:tcBorders>
          </w:tcPr>
          <w:p w:rsidR="007705A1" w:rsidRPr="00FF35A7" w:rsidRDefault="007705A1" w:rsidP="00B23525">
            <w:pPr>
              <w:jc w:val="both"/>
              <w:rPr>
                <w:color w:val="548DD4"/>
                <w:lang w:val="en-US"/>
              </w:rPr>
            </w:pPr>
          </w:p>
        </w:tc>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3</w:t>
            </w:r>
          </w:p>
        </w:tc>
      </w:tr>
      <w:tr w:rsidR="007705A1" w:rsidRPr="00FF35A7" w:rsidTr="00E77AA1">
        <w:tc>
          <w:tcPr>
            <w:tcW w:w="2778"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485900" cy="1035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85900" cy="1035050"/>
                          </a:xfrm>
                          <a:prstGeom prst="rect">
                            <a:avLst/>
                          </a:prstGeom>
                          <a:noFill/>
                          <a:ln w="9525">
                            <a:noFill/>
                            <a:miter lim="800000"/>
                            <a:headEnd/>
                            <a:tailEnd/>
                          </a:ln>
                        </pic:spPr>
                      </pic:pic>
                    </a:graphicData>
                  </a:graphic>
                </wp:inline>
              </w:drawing>
            </w:r>
          </w:p>
        </w:tc>
        <w:tc>
          <w:tcPr>
            <w:tcW w:w="283" w:type="dxa"/>
            <w:tcBorders>
              <w:left w:val="single" w:sz="12" w:space="0" w:color="548DD4"/>
              <w:right w:val="single" w:sz="12" w:space="0" w:color="548DD4"/>
            </w:tcBorders>
            <w:vAlign w:val="center"/>
          </w:tcPr>
          <w:p w:rsidR="007705A1" w:rsidRPr="00FF35A7" w:rsidRDefault="007705A1" w:rsidP="00B23525">
            <w:pPr>
              <w:jc w:val="center"/>
              <w:rPr>
                <w:lang w:val="en-US"/>
              </w:rPr>
            </w:pPr>
          </w:p>
        </w:tc>
        <w:tc>
          <w:tcPr>
            <w:tcW w:w="2778"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536700" cy="996950"/>
                  <wp:effectExtent l="19050" t="0" r="63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36700" cy="996950"/>
                          </a:xfrm>
                          <a:prstGeom prst="rect">
                            <a:avLst/>
                          </a:prstGeom>
                          <a:noFill/>
                          <a:ln w="9525">
                            <a:noFill/>
                            <a:miter lim="800000"/>
                            <a:headEnd/>
                            <a:tailEnd/>
                          </a:ln>
                        </pic:spPr>
                      </pic:pic>
                    </a:graphicData>
                  </a:graphic>
                </wp:inline>
              </w:drawing>
            </w:r>
          </w:p>
        </w:tc>
        <w:tc>
          <w:tcPr>
            <w:tcW w:w="284" w:type="dxa"/>
            <w:tcBorders>
              <w:left w:val="single" w:sz="12" w:space="0" w:color="548DD4"/>
              <w:right w:val="single" w:sz="12" w:space="0" w:color="548DD4"/>
            </w:tcBorders>
            <w:vAlign w:val="center"/>
          </w:tcPr>
          <w:p w:rsidR="007705A1" w:rsidRPr="00FF35A7" w:rsidRDefault="007705A1" w:rsidP="00B23525">
            <w:pPr>
              <w:jc w:val="center"/>
              <w:rPr>
                <w:lang w:val="en-US"/>
              </w:rPr>
            </w:pPr>
          </w:p>
        </w:tc>
        <w:tc>
          <w:tcPr>
            <w:tcW w:w="2778"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695450" cy="95250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95450" cy="952500"/>
                          </a:xfrm>
                          <a:prstGeom prst="rect">
                            <a:avLst/>
                          </a:prstGeom>
                          <a:noFill/>
                          <a:ln w="9525">
                            <a:noFill/>
                            <a:miter lim="800000"/>
                            <a:headEnd/>
                            <a:tailEnd/>
                          </a:ln>
                        </pic:spPr>
                      </pic:pic>
                    </a:graphicData>
                  </a:graphic>
                </wp:inline>
              </w:drawing>
            </w:r>
          </w:p>
        </w:tc>
      </w:tr>
      <w:tr w:rsidR="007705A1" w:rsidRPr="00643CAD" w:rsidTr="00E77AA1">
        <w:tc>
          <w:tcPr>
            <w:tcW w:w="2778" w:type="dxa"/>
            <w:tcBorders>
              <w:left w:val="single" w:sz="12" w:space="0" w:color="548DD4"/>
              <w:bottom w:val="single" w:sz="12" w:space="0" w:color="548DD4"/>
              <w:right w:val="single" w:sz="12" w:space="0" w:color="548DD4"/>
            </w:tcBorders>
            <w:vAlign w:val="center"/>
          </w:tcPr>
          <w:p w:rsidR="007705A1" w:rsidRPr="00FF35A7" w:rsidRDefault="007705A1" w:rsidP="00B23525">
            <w:pPr>
              <w:jc w:val="center"/>
              <w:rPr>
                <w:lang w:val="el-GR"/>
              </w:rPr>
            </w:pPr>
            <w:r w:rsidRPr="00FF35A7">
              <w:rPr>
                <w:lang w:val="el-GR"/>
              </w:rPr>
              <w:t>Αφαιρέστε το μπλε κάλυμμα από το φιαλίδιο.</w:t>
            </w:r>
          </w:p>
        </w:tc>
        <w:tc>
          <w:tcPr>
            <w:tcW w:w="283" w:type="dxa"/>
            <w:tcBorders>
              <w:left w:val="single" w:sz="12" w:space="0" w:color="548DD4"/>
              <w:bottom w:val="nil"/>
              <w:right w:val="single" w:sz="12" w:space="0" w:color="548DD4"/>
            </w:tcBorders>
          </w:tcPr>
          <w:p w:rsidR="007705A1" w:rsidRPr="00FF35A7" w:rsidRDefault="007705A1" w:rsidP="00B23525">
            <w:pPr>
              <w:jc w:val="both"/>
              <w:rPr>
                <w:lang w:val="el-GR"/>
              </w:rPr>
            </w:pPr>
          </w:p>
        </w:tc>
        <w:tc>
          <w:tcPr>
            <w:tcW w:w="2778" w:type="dxa"/>
            <w:tcBorders>
              <w:left w:val="single" w:sz="12" w:space="0" w:color="548DD4"/>
              <w:bottom w:val="single" w:sz="12" w:space="0" w:color="548DD4"/>
              <w:right w:val="single" w:sz="12" w:space="0" w:color="548DD4"/>
            </w:tcBorders>
          </w:tcPr>
          <w:p w:rsidR="007705A1" w:rsidRPr="00FF35A7" w:rsidRDefault="007705A1" w:rsidP="00B23525">
            <w:pPr>
              <w:jc w:val="both"/>
              <w:rPr>
                <w:lang w:val="el-GR"/>
              </w:rPr>
            </w:pPr>
            <w:r w:rsidRPr="00FF35A7">
              <w:rPr>
                <w:lang w:val="el-GR"/>
              </w:rPr>
              <w:t>Συνδέστε τ</w:t>
            </w:r>
            <w:r w:rsidR="00064B3C" w:rsidRPr="00FF35A7">
              <w:rPr>
                <w:lang w:val="el-GR"/>
              </w:rPr>
              <w:t>ο σύστημα του</w:t>
            </w:r>
            <w:r w:rsidRPr="00FF35A7">
              <w:rPr>
                <w:lang w:val="el-GR"/>
              </w:rPr>
              <w:t xml:space="preserve"> προσαρμογ</w:t>
            </w:r>
            <w:r w:rsidR="00064B3C" w:rsidRPr="00FF35A7">
              <w:rPr>
                <w:lang w:val="el-GR"/>
              </w:rPr>
              <w:t>έα</w:t>
            </w:r>
            <w:r w:rsidRPr="00FF35A7">
              <w:rPr>
                <w:lang w:val="el-GR"/>
              </w:rPr>
              <w:t xml:space="preserve"> (μωβ) στο φιαλίδιο μέχρι να ακουστεί ένα </w:t>
            </w:r>
            <w:r w:rsidR="00C615CF" w:rsidRPr="00FF35A7">
              <w:rPr>
                <w:lang w:val="el-GR"/>
              </w:rPr>
              <w:t>«</w:t>
            </w:r>
            <w:r w:rsidRPr="00FF35A7">
              <w:rPr>
                <w:lang w:val="el-GR"/>
              </w:rPr>
              <w:t>κλικ</w:t>
            </w:r>
            <w:r w:rsidR="00C615CF" w:rsidRPr="00FF35A7">
              <w:rPr>
                <w:lang w:val="el-GR"/>
              </w:rPr>
              <w:t>»</w:t>
            </w:r>
            <w:r w:rsidRPr="00FF35A7">
              <w:rPr>
                <w:lang w:val="el-GR"/>
              </w:rPr>
              <w:t>.</w:t>
            </w:r>
          </w:p>
        </w:tc>
        <w:tc>
          <w:tcPr>
            <w:tcW w:w="284" w:type="dxa"/>
            <w:tcBorders>
              <w:left w:val="single" w:sz="12" w:space="0" w:color="548DD4"/>
              <w:bottom w:val="nil"/>
              <w:right w:val="single" w:sz="12" w:space="0" w:color="548DD4"/>
            </w:tcBorders>
          </w:tcPr>
          <w:p w:rsidR="007705A1" w:rsidRPr="00FF35A7" w:rsidRDefault="007705A1" w:rsidP="00B23525">
            <w:pPr>
              <w:jc w:val="both"/>
              <w:rPr>
                <w:lang w:val="el-GR"/>
              </w:rPr>
            </w:pPr>
          </w:p>
        </w:tc>
        <w:tc>
          <w:tcPr>
            <w:tcW w:w="2778" w:type="dxa"/>
            <w:tcBorders>
              <w:left w:val="single" w:sz="12" w:space="0" w:color="548DD4"/>
              <w:bottom w:val="single" w:sz="12" w:space="0" w:color="548DD4"/>
              <w:right w:val="single" w:sz="12" w:space="0" w:color="548DD4"/>
            </w:tcBorders>
          </w:tcPr>
          <w:p w:rsidR="007705A1" w:rsidRPr="00FF35A7" w:rsidRDefault="007705A1" w:rsidP="00B23525">
            <w:pPr>
              <w:jc w:val="both"/>
              <w:rPr>
                <w:lang w:val="el-GR"/>
              </w:rPr>
            </w:pPr>
            <w:r w:rsidRPr="00FF35A7">
              <w:rPr>
                <w:lang w:val="el-GR"/>
              </w:rPr>
              <w:t>Προσαρτήστε τ</w:t>
            </w:r>
            <w:r w:rsidR="00064B3C" w:rsidRPr="00FF35A7">
              <w:rPr>
                <w:lang w:val="el-GR"/>
              </w:rPr>
              <w:t>η</w:t>
            </w:r>
            <w:r w:rsidRPr="00FF35A7">
              <w:rPr>
                <w:lang w:val="el-GR"/>
              </w:rPr>
              <w:t xml:space="preserve"> λευκ</w:t>
            </w:r>
            <w:r w:rsidR="00064B3C" w:rsidRPr="00FF35A7">
              <w:rPr>
                <w:lang w:val="el-GR"/>
              </w:rPr>
              <w:t>ή</w:t>
            </w:r>
            <w:r w:rsidRPr="00FF35A7">
              <w:rPr>
                <w:lang w:val="el-GR"/>
              </w:rPr>
              <w:t xml:space="preserve"> </w:t>
            </w:r>
            <w:r w:rsidR="00064B3C" w:rsidRPr="00FF35A7">
              <w:rPr>
                <w:lang w:val="el-GR"/>
              </w:rPr>
              <w:t>λαβή δακτύλων</w:t>
            </w:r>
            <w:r w:rsidRPr="00FF35A7">
              <w:rPr>
                <w:lang w:val="el-GR"/>
              </w:rPr>
              <w:t xml:space="preserve"> στη σύριγγα που περιέχει τους διαλύτες</w:t>
            </w:r>
          </w:p>
          <w:p w:rsidR="007705A1" w:rsidRPr="00FF35A7" w:rsidRDefault="007705A1" w:rsidP="00B23525">
            <w:pPr>
              <w:jc w:val="both"/>
              <w:rPr>
                <w:lang w:val="el-GR"/>
              </w:rPr>
            </w:pPr>
            <w:r w:rsidRPr="00FF35A7">
              <w:rPr>
                <w:lang w:val="el-GR"/>
              </w:rPr>
              <w:t>Αφαιρέστε το ελαστικό κάλυμμα από τη σύριγγα και συνδέστε τη στ</w:t>
            </w:r>
            <w:r w:rsidR="00064B3C" w:rsidRPr="00FF35A7">
              <w:rPr>
                <w:lang w:val="el-GR"/>
              </w:rPr>
              <w:t>ο σύστημα του προσαρμογέα</w:t>
            </w:r>
          </w:p>
        </w:tc>
      </w:tr>
    </w:tbl>
    <w:p w:rsidR="007705A1" w:rsidRDefault="007705A1" w:rsidP="00B23525">
      <w:pPr>
        <w:jc w:val="both"/>
        <w:rPr>
          <w:lang w:val="el-GR"/>
        </w:rPr>
      </w:pPr>
    </w:p>
    <w:p w:rsidR="00B23525" w:rsidRDefault="00B23525" w:rsidP="00B23525">
      <w:pPr>
        <w:jc w:val="both"/>
        <w:rPr>
          <w:lang w:val="el-GR"/>
        </w:rPr>
      </w:pPr>
    </w:p>
    <w:p w:rsidR="00B23525" w:rsidRPr="00FF35A7" w:rsidRDefault="00B23525" w:rsidP="00B23525">
      <w:pPr>
        <w:jc w:val="both"/>
        <w:rPr>
          <w:lang w:val="el-GR"/>
        </w:rPr>
      </w:pPr>
    </w:p>
    <w:tbl>
      <w:tblPr>
        <w:tblW w:w="0" w:type="auto"/>
        <w:tblLook w:val="04A0"/>
      </w:tblPr>
      <w:tblGrid>
        <w:gridCol w:w="2778"/>
        <w:gridCol w:w="283"/>
        <w:gridCol w:w="2778"/>
        <w:gridCol w:w="284"/>
        <w:gridCol w:w="2778"/>
      </w:tblGrid>
      <w:tr w:rsidR="007705A1" w:rsidRPr="00FF35A7" w:rsidTr="00E77AA1">
        <w:trPr>
          <w:trHeight w:val="171"/>
        </w:trPr>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lastRenderedPageBreak/>
              <w:t>4</w:t>
            </w:r>
          </w:p>
        </w:tc>
        <w:tc>
          <w:tcPr>
            <w:tcW w:w="283" w:type="dxa"/>
            <w:tcBorders>
              <w:left w:val="single" w:sz="12" w:space="0" w:color="548DD4"/>
              <w:right w:val="single" w:sz="12" w:space="0" w:color="548DD4"/>
            </w:tcBorders>
          </w:tcPr>
          <w:p w:rsidR="007705A1" w:rsidRPr="00FF35A7" w:rsidRDefault="007705A1" w:rsidP="00B23525">
            <w:pPr>
              <w:jc w:val="both"/>
              <w:rPr>
                <w:color w:val="548DD4"/>
                <w:lang w:val="en-US"/>
              </w:rPr>
            </w:pPr>
          </w:p>
        </w:tc>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5</w:t>
            </w:r>
          </w:p>
        </w:tc>
        <w:tc>
          <w:tcPr>
            <w:tcW w:w="284" w:type="dxa"/>
            <w:tcBorders>
              <w:left w:val="single" w:sz="12" w:space="0" w:color="548DD4"/>
              <w:right w:val="single" w:sz="12" w:space="0" w:color="548DD4"/>
            </w:tcBorders>
          </w:tcPr>
          <w:p w:rsidR="007705A1" w:rsidRPr="00FF35A7" w:rsidRDefault="007705A1" w:rsidP="00B23525">
            <w:pPr>
              <w:jc w:val="both"/>
              <w:rPr>
                <w:color w:val="548DD4"/>
                <w:lang w:val="en-US"/>
              </w:rPr>
            </w:pPr>
          </w:p>
        </w:tc>
        <w:tc>
          <w:tcPr>
            <w:tcW w:w="2778"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6</w:t>
            </w:r>
          </w:p>
        </w:tc>
      </w:tr>
      <w:tr w:rsidR="007705A1" w:rsidRPr="00FF35A7" w:rsidTr="00E77AA1">
        <w:tc>
          <w:tcPr>
            <w:tcW w:w="2778" w:type="dxa"/>
            <w:tcBorders>
              <w:left w:val="single" w:sz="12" w:space="0" w:color="548DD4"/>
              <w:right w:val="single" w:sz="12" w:space="0" w:color="548DD4"/>
            </w:tcBorders>
            <w:vAlign w:val="center"/>
          </w:tcPr>
          <w:p w:rsidR="007705A1" w:rsidRPr="00FF35A7" w:rsidRDefault="001272EC" w:rsidP="00B23525">
            <w:pPr>
              <w:jc w:val="center"/>
              <w:rPr>
                <w:lang w:val="en-US"/>
              </w:rPr>
            </w:pPr>
            <w:r w:rsidRPr="001272EC">
              <w:rPr>
                <w:noProof/>
              </w:rPr>
              <w:pict>
                <v:rect id="_x0000_s1048" style="position:absolute;left:0;text-align:left;margin-left:2.2pt;margin-top:.7pt;width:16.75pt;height:9.3pt;z-index:251657216;mso-position-horizontal-relative:text;mso-position-vertical-relative:text" strokecolor="white"/>
              </w:pict>
            </w:r>
            <w:r w:rsidR="007A5D0D">
              <w:rPr>
                <w:noProof/>
                <w:lang w:val="el-GR" w:eastAsia="el-GR"/>
              </w:rPr>
              <w:drawing>
                <wp:inline distT="0" distB="0" distL="0" distR="0">
                  <wp:extent cx="1536700" cy="939800"/>
                  <wp:effectExtent l="19050" t="0" r="635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536700" cy="939800"/>
                          </a:xfrm>
                          <a:prstGeom prst="rect">
                            <a:avLst/>
                          </a:prstGeom>
                          <a:noFill/>
                          <a:ln w="9525">
                            <a:noFill/>
                            <a:miter lim="800000"/>
                            <a:headEnd/>
                            <a:tailEnd/>
                          </a:ln>
                        </pic:spPr>
                      </pic:pic>
                    </a:graphicData>
                  </a:graphic>
                </wp:inline>
              </w:drawing>
            </w:r>
          </w:p>
        </w:tc>
        <w:tc>
          <w:tcPr>
            <w:tcW w:w="283" w:type="dxa"/>
            <w:tcBorders>
              <w:left w:val="single" w:sz="12" w:space="0" w:color="548DD4"/>
              <w:right w:val="single" w:sz="12" w:space="0" w:color="548DD4"/>
            </w:tcBorders>
            <w:vAlign w:val="center"/>
          </w:tcPr>
          <w:p w:rsidR="007705A1" w:rsidRPr="00FF35A7" w:rsidRDefault="007705A1" w:rsidP="00B23525">
            <w:pPr>
              <w:jc w:val="center"/>
              <w:rPr>
                <w:lang w:val="en-US"/>
              </w:rPr>
            </w:pPr>
          </w:p>
        </w:tc>
        <w:tc>
          <w:tcPr>
            <w:tcW w:w="2778"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473200" cy="88900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473200" cy="889000"/>
                          </a:xfrm>
                          <a:prstGeom prst="rect">
                            <a:avLst/>
                          </a:prstGeom>
                          <a:noFill/>
                          <a:ln w="9525">
                            <a:noFill/>
                            <a:miter lim="800000"/>
                            <a:headEnd/>
                            <a:tailEnd/>
                          </a:ln>
                        </pic:spPr>
                      </pic:pic>
                    </a:graphicData>
                  </a:graphic>
                </wp:inline>
              </w:drawing>
            </w:r>
          </w:p>
        </w:tc>
        <w:tc>
          <w:tcPr>
            <w:tcW w:w="284" w:type="dxa"/>
            <w:tcBorders>
              <w:left w:val="single" w:sz="12" w:space="0" w:color="548DD4"/>
              <w:right w:val="single" w:sz="12" w:space="0" w:color="548DD4"/>
            </w:tcBorders>
            <w:vAlign w:val="center"/>
          </w:tcPr>
          <w:p w:rsidR="007705A1" w:rsidRPr="00FF35A7" w:rsidRDefault="007705A1" w:rsidP="00B23525">
            <w:pPr>
              <w:jc w:val="center"/>
              <w:rPr>
                <w:lang w:val="en-US"/>
              </w:rPr>
            </w:pPr>
          </w:p>
        </w:tc>
        <w:tc>
          <w:tcPr>
            <w:tcW w:w="2778"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422400" cy="889000"/>
                  <wp:effectExtent l="19050" t="0" r="635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422400" cy="889000"/>
                          </a:xfrm>
                          <a:prstGeom prst="rect">
                            <a:avLst/>
                          </a:prstGeom>
                          <a:noFill/>
                          <a:ln w="9525">
                            <a:noFill/>
                            <a:miter lim="800000"/>
                            <a:headEnd/>
                            <a:tailEnd/>
                          </a:ln>
                        </pic:spPr>
                      </pic:pic>
                    </a:graphicData>
                  </a:graphic>
                </wp:inline>
              </w:drawing>
            </w:r>
          </w:p>
        </w:tc>
      </w:tr>
      <w:tr w:rsidR="007705A1" w:rsidRPr="00643CAD" w:rsidTr="00E77AA1">
        <w:tc>
          <w:tcPr>
            <w:tcW w:w="2778" w:type="dxa"/>
            <w:tcBorders>
              <w:left w:val="single" w:sz="12" w:space="0" w:color="548DD4"/>
              <w:bottom w:val="single" w:sz="12" w:space="0" w:color="548DD4"/>
              <w:right w:val="single" w:sz="12" w:space="0" w:color="548DD4"/>
            </w:tcBorders>
            <w:vAlign w:val="center"/>
          </w:tcPr>
          <w:p w:rsidR="007705A1" w:rsidRPr="00FF35A7" w:rsidRDefault="007705A1" w:rsidP="00B23525">
            <w:pPr>
              <w:jc w:val="both"/>
              <w:rPr>
                <w:lang w:val="el-GR"/>
              </w:rPr>
            </w:pPr>
            <w:r w:rsidRPr="00FF35A7">
              <w:rPr>
                <w:lang w:val="el-GR"/>
              </w:rPr>
              <w:t>Κρατώντας σταθερά τη σύριγγα και το φιαλίδιο ενωμένα σε όρθια θέση, πιέστε το έμβολο ώστε να μεταφερθούν όλοι οι διαλύτες στο φιαλίδιο.</w:t>
            </w:r>
          </w:p>
        </w:tc>
        <w:tc>
          <w:tcPr>
            <w:tcW w:w="283" w:type="dxa"/>
            <w:tcBorders>
              <w:left w:val="single" w:sz="12" w:space="0" w:color="548DD4"/>
              <w:bottom w:val="nil"/>
              <w:right w:val="single" w:sz="12" w:space="0" w:color="548DD4"/>
            </w:tcBorders>
          </w:tcPr>
          <w:p w:rsidR="007705A1" w:rsidRPr="00FF35A7" w:rsidRDefault="007705A1" w:rsidP="00B23525">
            <w:pPr>
              <w:jc w:val="both"/>
              <w:rPr>
                <w:lang w:val="el-GR"/>
              </w:rPr>
            </w:pPr>
          </w:p>
        </w:tc>
        <w:tc>
          <w:tcPr>
            <w:tcW w:w="2778" w:type="dxa"/>
            <w:tcBorders>
              <w:left w:val="single" w:sz="12" w:space="0" w:color="548DD4"/>
              <w:bottom w:val="single" w:sz="12" w:space="0" w:color="548DD4"/>
              <w:right w:val="single" w:sz="12" w:space="0" w:color="548DD4"/>
            </w:tcBorders>
          </w:tcPr>
          <w:p w:rsidR="007705A1" w:rsidRPr="00FF35A7" w:rsidRDefault="007705A1" w:rsidP="00B23525">
            <w:pPr>
              <w:jc w:val="both"/>
              <w:rPr>
                <w:lang w:val="el-GR"/>
              </w:rPr>
            </w:pPr>
            <w:r w:rsidRPr="00FF35A7">
              <w:rPr>
                <w:lang w:val="el-GR"/>
              </w:rPr>
              <w:t>Κρατώντας ακόμα τη σύριγγα και το φιαλίδιο ενωμένα, ανακινήστε ελαφρώς το φιαλίδιο για περίπου ένα λεπτό μέχρι να προκύψει ένα ομοιογενές γαλακτ</w:t>
            </w:r>
            <w:r w:rsidR="00C615CF" w:rsidRPr="00FF35A7">
              <w:rPr>
                <w:lang w:val="el-GR"/>
              </w:rPr>
              <w:t>ώδες</w:t>
            </w:r>
            <w:r w:rsidRPr="00FF35A7">
              <w:rPr>
                <w:lang w:val="el-GR"/>
              </w:rPr>
              <w:t xml:space="preserve"> εναιώρημα.</w:t>
            </w:r>
          </w:p>
        </w:tc>
        <w:tc>
          <w:tcPr>
            <w:tcW w:w="284" w:type="dxa"/>
            <w:tcBorders>
              <w:left w:val="single" w:sz="12" w:space="0" w:color="548DD4"/>
              <w:bottom w:val="nil"/>
              <w:right w:val="single" w:sz="12" w:space="0" w:color="548DD4"/>
            </w:tcBorders>
          </w:tcPr>
          <w:p w:rsidR="007705A1" w:rsidRPr="00FF35A7" w:rsidRDefault="007705A1" w:rsidP="00B23525">
            <w:pPr>
              <w:jc w:val="both"/>
              <w:rPr>
                <w:lang w:val="el-GR"/>
              </w:rPr>
            </w:pPr>
          </w:p>
        </w:tc>
        <w:tc>
          <w:tcPr>
            <w:tcW w:w="2778" w:type="dxa"/>
            <w:tcBorders>
              <w:left w:val="single" w:sz="12" w:space="0" w:color="548DD4"/>
              <w:bottom w:val="single" w:sz="12" w:space="0" w:color="548DD4"/>
              <w:right w:val="single" w:sz="12" w:space="0" w:color="548DD4"/>
            </w:tcBorders>
          </w:tcPr>
          <w:p w:rsidR="007705A1" w:rsidRPr="00FF35A7" w:rsidRDefault="007705A1" w:rsidP="00B23525">
            <w:pPr>
              <w:jc w:val="both"/>
              <w:rPr>
                <w:lang w:val="el-GR"/>
              </w:rPr>
            </w:pPr>
            <w:r w:rsidRPr="00FF35A7">
              <w:rPr>
                <w:lang w:val="el-GR"/>
              </w:rPr>
              <w:t>Αναποδογυρίστε το σύστημα και τραβήξτε προσεκτικά το έμβολο προς τα έξω, για να α</w:t>
            </w:r>
            <w:r w:rsidR="00C615CF" w:rsidRPr="00FF35A7">
              <w:rPr>
                <w:lang w:val="el-GR"/>
              </w:rPr>
              <w:t>να</w:t>
            </w:r>
            <w:r w:rsidR="00FF35A7">
              <w:rPr>
                <w:lang w:val="el-GR"/>
              </w:rPr>
              <w:t>ρροφήσετε το επανα</w:t>
            </w:r>
            <w:r w:rsidR="00541AFB">
              <w:rPr>
                <w:lang w:val="el-GR"/>
              </w:rPr>
              <w:t>πα</w:t>
            </w:r>
            <w:r w:rsidR="00FF35A7">
              <w:rPr>
                <w:lang w:val="el-GR"/>
              </w:rPr>
              <w:t>ιωρημέ</w:t>
            </w:r>
            <w:r w:rsidRPr="00FF35A7">
              <w:rPr>
                <w:lang w:val="el-GR"/>
              </w:rPr>
              <w:t>νο φάρμακο από το φιαλίδιο στη σύριγγα.</w:t>
            </w:r>
          </w:p>
        </w:tc>
      </w:tr>
    </w:tbl>
    <w:p w:rsidR="007705A1" w:rsidRPr="00FF35A7" w:rsidRDefault="007705A1" w:rsidP="00B23525">
      <w:pPr>
        <w:jc w:val="both"/>
        <w:rPr>
          <w:lang w:val="el-GR"/>
        </w:rPr>
      </w:pPr>
    </w:p>
    <w:tbl>
      <w:tblPr>
        <w:tblW w:w="0" w:type="auto"/>
        <w:tblInd w:w="1526" w:type="dxa"/>
        <w:tblLook w:val="04A0"/>
      </w:tblPr>
      <w:tblGrid>
        <w:gridCol w:w="2887"/>
        <w:gridCol w:w="283"/>
        <w:gridCol w:w="3006"/>
      </w:tblGrid>
      <w:tr w:rsidR="007705A1" w:rsidRPr="00FF35A7" w:rsidTr="00E77AA1">
        <w:trPr>
          <w:trHeight w:val="171"/>
        </w:trPr>
        <w:tc>
          <w:tcPr>
            <w:tcW w:w="2887"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7</w:t>
            </w:r>
          </w:p>
        </w:tc>
        <w:tc>
          <w:tcPr>
            <w:tcW w:w="283" w:type="dxa"/>
            <w:tcBorders>
              <w:left w:val="single" w:sz="12" w:space="0" w:color="548DD4"/>
              <w:right w:val="single" w:sz="12" w:space="0" w:color="548DD4"/>
            </w:tcBorders>
          </w:tcPr>
          <w:p w:rsidR="007705A1" w:rsidRPr="00FF35A7" w:rsidRDefault="007705A1" w:rsidP="00B23525">
            <w:pPr>
              <w:jc w:val="both"/>
              <w:rPr>
                <w:color w:val="548DD4"/>
                <w:lang w:val="en-US"/>
              </w:rPr>
            </w:pPr>
          </w:p>
        </w:tc>
        <w:tc>
          <w:tcPr>
            <w:tcW w:w="2841" w:type="dxa"/>
            <w:tcBorders>
              <w:top w:val="single" w:sz="12" w:space="0" w:color="548DD4"/>
              <w:left w:val="single" w:sz="12" w:space="0" w:color="548DD4"/>
              <w:right w:val="single" w:sz="12" w:space="0" w:color="548DD4"/>
            </w:tcBorders>
          </w:tcPr>
          <w:p w:rsidR="007705A1" w:rsidRPr="00FF35A7" w:rsidRDefault="007705A1" w:rsidP="00B23525">
            <w:pPr>
              <w:jc w:val="both"/>
              <w:rPr>
                <w:color w:val="548DD4"/>
                <w:lang w:val="en-US"/>
              </w:rPr>
            </w:pPr>
            <w:r w:rsidRPr="00FF35A7">
              <w:rPr>
                <w:color w:val="548DD4"/>
              </w:rPr>
              <w:t>8</w:t>
            </w:r>
          </w:p>
        </w:tc>
      </w:tr>
      <w:tr w:rsidR="007705A1" w:rsidRPr="00FF35A7" w:rsidTr="00E77AA1">
        <w:tc>
          <w:tcPr>
            <w:tcW w:w="2887"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498600" cy="1009650"/>
                  <wp:effectExtent l="19050" t="0" r="635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498600" cy="1009650"/>
                          </a:xfrm>
                          <a:prstGeom prst="rect">
                            <a:avLst/>
                          </a:prstGeom>
                          <a:noFill/>
                          <a:ln w="9525">
                            <a:noFill/>
                            <a:miter lim="800000"/>
                            <a:headEnd/>
                            <a:tailEnd/>
                          </a:ln>
                        </pic:spPr>
                      </pic:pic>
                    </a:graphicData>
                  </a:graphic>
                </wp:inline>
              </w:drawing>
            </w:r>
            <w:r w:rsidR="001272EC" w:rsidRPr="001272EC">
              <w:rPr>
                <w:noProof/>
              </w:rPr>
              <w:pict>
                <v:rect id="_x0000_s1049" style="position:absolute;left:0;text-align:left;margin-left:2.2pt;margin-top:.7pt;width:16.75pt;height:9.3pt;z-index:251658240;mso-position-horizontal-relative:text;mso-position-vertical-relative:text" strokecolor="white"/>
              </w:pict>
            </w:r>
          </w:p>
        </w:tc>
        <w:tc>
          <w:tcPr>
            <w:tcW w:w="283" w:type="dxa"/>
            <w:tcBorders>
              <w:left w:val="single" w:sz="12" w:space="0" w:color="548DD4"/>
              <w:right w:val="single" w:sz="12" w:space="0" w:color="548DD4"/>
            </w:tcBorders>
            <w:vAlign w:val="center"/>
          </w:tcPr>
          <w:p w:rsidR="007705A1" w:rsidRPr="00FF35A7" w:rsidRDefault="007705A1" w:rsidP="00B23525">
            <w:pPr>
              <w:jc w:val="center"/>
              <w:rPr>
                <w:lang w:val="en-US"/>
              </w:rPr>
            </w:pPr>
          </w:p>
        </w:tc>
        <w:tc>
          <w:tcPr>
            <w:tcW w:w="2841" w:type="dxa"/>
            <w:tcBorders>
              <w:left w:val="single" w:sz="12" w:space="0" w:color="548DD4"/>
              <w:right w:val="single" w:sz="12" w:space="0" w:color="548DD4"/>
            </w:tcBorders>
            <w:vAlign w:val="center"/>
          </w:tcPr>
          <w:p w:rsidR="007705A1" w:rsidRPr="00FF35A7" w:rsidRDefault="007A5D0D" w:rsidP="00B23525">
            <w:pPr>
              <w:jc w:val="center"/>
              <w:rPr>
                <w:lang w:val="en-US"/>
              </w:rPr>
            </w:pPr>
            <w:r>
              <w:rPr>
                <w:noProof/>
                <w:lang w:val="el-GR" w:eastAsia="el-GR"/>
              </w:rPr>
              <w:drawing>
                <wp:inline distT="0" distB="0" distL="0" distR="0">
                  <wp:extent cx="1746250" cy="755650"/>
                  <wp:effectExtent l="19050" t="0" r="635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746250" cy="755650"/>
                          </a:xfrm>
                          <a:prstGeom prst="rect">
                            <a:avLst/>
                          </a:prstGeom>
                          <a:noFill/>
                          <a:ln w="9525">
                            <a:noFill/>
                            <a:miter lim="800000"/>
                            <a:headEnd/>
                            <a:tailEnd/>
                          </a:ln>
                        </pic:spPr>
                      </pic:pic>
                    </a:graphicData>
                  </a:graphic>
                </wp:inline>
              </w:drawing>
            </w:r>
          </w:p>
        </w:tc>
      </w:tr>
      <w:tr w:rsidR="007705A1" w:rsidRPr="00643CAD" w:rsidTr="00E77AA1">
        <w:tc>
          <w:tcPr>
            <w:tcW w:w="2887" w:type="dxa"/>
            <w:tcBorders>
              <w:left w:val="single" w:sz="12" w:space="0" w:color="548DD4"/>
              <w:bottom w:val="single" w:sz="12" w:space="0" w:color="548DD4"/>
              <w:right w:val="single" w:sz="12" w:space="0" w:color="548DD4"/>
            </w:tcBorders>
            <w:vAlign w:val="center"/>
          </w:tcPr>
          <w:p w:rsidR="007705A1" w:rsidRPr="00FF35A7" w:rsidRDefault="00473F21" w:rsidP="00B23525">
            <w:pPr>
              <w:jc w:val="both"/>
              <w:rPr>
                <w:lang w:val="el-GR"/>
              </w:rPr>
            </w:pPr>
            <w:r w:rsidRPr="00FF35A7">
              <w:rPr>
                <w:lang w:val="el-GR"/>
              </w:rPr>
              <w:t>Αποσυνδέστε τη σύριγγα και τη βελόνα από τη συσκευή προσαρμογής στρέφοντας το πάνω μέρος τ</w:t>
            </w:r>
            <w:r w:rsidR="00855E2A" w:rsidRPr="00FF35A7">
              <w:rPr>
                <w:lang w:val="el-GR"/>
              </w:rPr>
              <w:t xml:space="preserve">ου συστήματος </w:t>
            </w:r>
            <w:r w:rsidRPr="00FF35A7">
              <w:rPr>
                <w:lang w:val="el-GR"/>
              </w:rPr>
              <w:t xml:space="preserve"> προσαρμογ</w:t>
            </w:r>
            <w:r w:rsidR="00855E2A" w:rsidRPr="00FF35A7">
              <w:rPr>
                <w:lang w:val="el-GR"/>
              </w:rPr>
              <w:t>έα</w:t>
            </w:r>
            <w:r w:rsidRPr="00FF35A7">
              <w:rPr>
                <w:lang w:val="el-GR"/>
              </w:rPr>
              <w:t xml:space="preserve"> αριστερόστροφα Το φάρμακο είναι έτοιμο προς χρήση.</w:t>
            </w:r>
          </w:p>
        </w:tc>
        <w:tc>
          <w:tcPr>
            <w:tcW w:w="283" w:type="dxa"/>
            <w:tcBorders>
              <w:left w:val="single" w:sz="12" w:space="0" w:color="548DD4"/>
              <w:bottom w:val="nil"/>
              <w:right w:val="single" w:sz="12" w:space="0" w:color="548DD4"/>
            </w:tcBorders>
          </w:tcPr>
          <w:p w:rsidR="007705A1" w:rsidRPr="00FF35A7" w:rsidRDefault="007705A1" w:rsidP="00B23525">
            <w:pPr>
              <w:jc w:val="both"/>
              <w:rPr>
                <w:lang w:val="el-GR"/>
              </w:rPr>
            </w:pPr>
          </w:p>
        </w:tc>
        <w:tc>
          <w:tcPr>
            <w:tcW w:w="2841" w:type="dxa"/>
            <w:tcBorders>
              <w:left w:val="single" w:sz="12" w:space="0" w:color="548DD4"/>
              <w:bottom w:val="single" w:sz="12" w:space="0" w:color="548DD4"/>
              <w:right w:val="single" w:sz="12" w:space="0" w:color="548DD4"/>
            </w:tcBorders>
          </w:tcPr>
          <w:p w:rsidR="00473F21" w:rsidRPr="00FF35A7" w:rsidRDefault="00473F21" w:rsidP="00B23525">
            <w:pPr>
              <w:jc w:val="both"/>
              <w:rPr>
                <w:lang w:val="el-GR"/>
              </w:rPr>
            </w:pPr>
            <w:r w:rsidRPr="00FF35A7">
              <w:rPr>
                <w:lang w:val="el-GR"/>
              </w:rPr>
              <w:t>Καθαρίστε την περιοχή της ένεσης με βαμβάκι εμποτισμένο με οινόπνευμα και αφήστε το δέρμα να στεγνώσει.</w:t>
            </w:r>
          </w:p>
          <w:p w:rsidR="007705A1" w:rsidRPr="00FF35A7" w:rsidRDefault="00473F21" w:rsidP="00B23525">
            <w:pPr>
              <w:jc w:val="both"/>
              <w:rPr>
                <w:lang w:val="el-GR"/>
              </w:rPr>
            </w:pPr>
            <w:r w:rsidRPr="00FF35A7">
              <w:rPr>
                <w:lang w:val="el-GR"/>
              </w:rPr>
              <w:t>Κάντε την ένεση του εναιωρήματος ενδομυϊκά στο πάνω εξωτερικό τεταρτημόριο του γλουτού.</w:t>
            </w:r>
          </w:p>
        </w:tc>
      </w:tr>
    </w:tbl>
    <w:p w:rsidR="007705A1" w:rsidRPr="00FF35A7" w:rsidRDefault="007705A1" w:rsidP="00B23525">
      <w:pPr>
        <w:jc w:val="both"/>
        <w:rPr>
          <w:lang w:val="el-GR"/>
        </w:rPr>
      </w:pPr>
    </w:p>
    <w:p w:rsidR="007705A1" w:rsidRPr="00FF35A7" w:rsidRDefault="007705A1" w:rsidP="00B23525">
      <w:pPr>
        <w:jc w:val="both"/>
        <w:rPr>
          <w:lang w:val="el-GR"/>
        </w:rPr>
      </w:pPr>
      <w:r w:rsidRPr="00FF35A7">
        <w:rPr>
          <w:lang w:val="el-GR"/>
        </w:rPr>
        <w:t xml:space="preserve">Υπολείμματα του προϊόντος μπορεί να παραμείνουν στα τοιχώματα του φιαλιδίου. Αυτό θεωρείται φυσιολογικό. Κατά την παρασκευή του προϊόντος, το φιαλίδιο γεμίζεται με περίσσιο προϊόν, προκειμένου να διασφαλιστεί ότι θα χορηγηθεί η τελική δόση των 3,75 </w:t>
      </w:r>
      <w:r w:rsidRPr="00FF35A7">
        <w:t>mg</w:t>
      </w:r>
      <w:r w:rsidRPr="00FF35A7">
        <w:rPr>
          <w:lang w:val="el-GR"/>
        </w:rPr>
        <w:t xml:space="preserve"> leuprorelin acetate.</w:t>
      </w:r>
    </w:p>
    <w:p w:rsidR="007705A1" w:rsidRPr="00FF35A7" w:rsidRDefault="007705A1" w:rsidP="007A5D0D">
      <w:pPr>
        <w:jc w:val="both"/>
        <w:rPr>
          <w:lang w:val="el-GR"/>
        </w:rPr>
      </w:pPr>
      <w:r w:rsidRPr="00FF35A7">
        <w:rPr>
          <w:lang w:val="el-GR"/>
        </w:rPr>
        <w:t>Το προϊόν προορίζεται για μία μόνο ένεση. Τυχόν υπόλειμμα του προϊόντος πρέπει να απορρίπτεται.</w:t>
      </w:r>
    </w:p>
    <w:p w:rsidR="007705A1" w:rsidRPr="00FF35A7" w:rsidRDefault="007705A1" w:rsidP="00B23525">
      <w:pPr>
        <w:pStyle w:val="a4"/>
        <w:jc w:val="both"/>
        <w:rPr>
          <w:rFonts w:ascii="Times New Roman" w:hAnsi="Times New Roman"/>
          <w:color w:val="auto"/>
          <w:sz w:val="24"/>
          <w:lang w:val="el-GR"/>
        </w:rPr>
      </w:pPr>
      <w:r w:rsidRPr="00FF35A7">
        <w:rPr>
          <w:rFonts w:ascii="Times New Roman" w:hAnsi="Times New Roman"/>
          <w:color w:val="auto"/>
          <w:sz w:val="24"/>
          <w:lang w:val="el-GR"/>
        </w:rPr>
        <w:t>Τυχόν μη χρησιμοποιημένο φαρμακευτικό προϊόν ή υλικό προς απόρριψη θα πρέπει να απορρίπτεται σύμφωνα με τις ισχύουσες τοπικές απαιτήσεις.</w:t>
      </w:r>
    </w:p>
    <w:p w:rsidR="00B27F78" w:rsidRPr="007A5D0D" w:rsidRDefault="00B27F78" w:rsidP="00B23525">
      <w:pPr>
        <w:jc w:val="both"/>
        <w:rPr>
          <w:b/>
          <w:noProof/>
          <w:lang w:val="el-GR"/>
        </w:rPr>
      </w:pPr>
    </w:p>
    <w:p w:rsidR="005440F2" w:rsidRPr="00FF35A7" w:rsidRDefault="00B24E8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7</w:t>
      </w:r>
      <w:r w:rsidR="007705A1" w:rsidRPr="00FF35A7">
        <w:rPr>
          <w:rFonts w:ascii="Times New Roman" w:hAnsi="Times New Roman"/>
          <w:b/>
          <w:bCs/>
          <w:color w:val="auto"/>
          <w:sz w:val="24"/>
          <w:lang w:val="el-GR"/>
        </w:rPr>
        <w:tab/>
      </w:r>
      <w:r w:rsidR="005440F2" w:rsidRPr="00FF35A7">
        <w:rPr>
          <w:rFonts w:ascii="Times New Roman" w:hAnsi="Times New Roman"/>
          <w:b/>
          <w:bCs/>
          <w:color w:val="auto"/>
          <w:sz w:val="24"/>
          <w:lang w:val="el-GR"/>
        </w:rPr>
        <w:t>ΚΑΤΟΧΟΣ ΤΗΣ ΑΔΕΙΑΣ ΚΥΚΛΟΦΟΡΙΑΣ</w:t>
      </w:r>
    </w:p>
    <w:p w:rsidR="00B24E82" w:rsidRPr="00FF35A7" w:rsidRDefault="00B24E82" w:rsidP="00B23525">
      <w:pPr>
        <w:adjustRightInd w:val="0"/>
        <w:jc w:val="both"/>
        <w:rPr>
          <w:bCs/>
          <w:lang w:val="el-GR"/>
        </w:rPr>
      </w:pPr>
      <w:r w:rsidRPr="00FF35A7">
        <w:t>GP</w:t>
      </w:r>
      <w:r w:rsidRPr="00FF35A7">
        <w:rPr>
          <w:lang w:val="el-GR"/>
        </w:rPr>
        <w:t>-</w:t>
      </w:r>
      <w:r w:rsidRPr="00FF35A7">
        <w:t>PHARM</w:t>
      </w:r>
      <w:r w:rsidRPr="00FF35A7">
        <w:rPr>
          <w:lang w:val="el-GR"/>
        </w:rPr>
        <w:t xml:space="preserve">, </w:t>
      </w:r>
      <w:r w:rsidRPr="00FF35A7">
        <w:t>S</w:t>
      </w:r>
      <w:r w:rsidRPr="00FF35A7">
        <w:rPr>
          <w:lang w:val="el-GR"/>
        </w:rPr>
        <w:t>.</w:t>
      </w:r>
      <w:r w:rsidRPr="00FF35A7">
        <w:t>A</w:t>
      </w:r>
      <w:r w:rsidRPr="00FF35A7">
        <w:rPr>
          <w:lang w:val="el-GR"/>
        </w:rPr>
        <w:t>.</w:t>
      </w:r>
    </w:p>
    <w:p w:rsidR="00B24E82" w:rsidRPr="00643CAD" w:rsidRDefault="00B24E82" w:rsidP="00B23525">
      <w:pPr>
        <w:adjustRightInd w:val="0"/>
        <w:jc w:val="both"/>
        <w:rPr>
          <w:bCs/>
          <w:lang w:val="en-US"/>
        </w:rPr>
      </w:pPr>
      <w:proofErr w:type="spellStart"/>
      <w:r w:rsidRPr="00FF35A7">
        <w:t>Pol</w:t>
      </w:r>
      <w:proofErr w:type="spellEnd"/>
      <w:r w:rsidRPr="00643CAD">
        <w:rPr>
          <w:lang w:val="en-US"/>
        </w:rPr>
        <w:t xml:space="preserve"> </w:t>
      </w:r>
      <w:proofErr w:type="spellStart"/>
      <w:proofErr w:type="gramStart"/>
      <w:r w:rsidRPr="00FF35A7">
        <w:t>ind</w:t>
      </w:r>
      <w:proofErr w:type="spellEnd"/>
      <w:proofErr w:type="gramEnd"/>
      <w:r w:rsidRPr="00643CAD">
        <w:rPr>
          <w:lang w:val="en-US"/>
        </w:rPr>
        <w:t xml:space="preserve"> </w:t>
      </w:r>
      <w:proofErr w:type="spellStart"/>
      <w:r w:rsidRPr="00FF35A7">
        <w:t>Els</w:t>
      </w:r>
      <w:proofErr w:type="spellEnd"/>
      <w:r w:rsidRPr="00643CAD">
        <w:rPr>
          <w:lang w:val="en-US"/>
        </w:rPr>
        <w:t xml:space="preserve"> </w:t>
      </w:r>
      <w:proofErr w:type="spellStart"/>
      <w:r w:rsidRPr="00FF35A7">
        <w:t>Vinyets</w:t>
      </w:r>
      <w:proofErr w:type="spellEnd"/>
      <w:r w:rsidRPr="00643CAD">
        <w:rPr>
          <w:lang w:val="en-US"/>
        </w:rPr>
        <w:t xml:space="preserve"> –</w:t>
      </w:r>
      <w:proofErr w:type="spellStart"/>
      <w:r w:rsidRPr="00FF35A7">
        <w:t>els</w:t>
      </w:r>
      <w:proofErr w:type="spellEnd"/>
      <w:r w:rsidRPr="00643CAD">
        <w:rPr>
          <w:lang w:val="en-US"/>
        </w:rPr>
        <w:t xml:space="preserve"> </w:t>
      </w:r>
      <w:proofErr w:type="spellStart"/>
      <w:r w:rsidRPr="00FF35A7">
        <w:t>Fogars</w:t>
      </w:r>
      <w:proofErr w:type="spellEnd"/>
      <w:r w:rsidRPr="00643CAD">
        <w:rPr>
          <w:lang w:val="en-US"/>
        </w:rPr>
        <w:t xml:space="preserve">. </w:t>
      </w:r>
      <w:proofErr w:type="spellStart"/>
      <w:r w:rsidRPr="00FF35A7">
        <w:rPr>
          <w:lang w:val="fr-FR"/>
        </w:rPr>
        <w:t>Sector</w:t>
      </w:r>
      <w:proofErr w:type="spellEnd"/>
      <w:r w:rsidRPr="00643CAD">
        <w:rPr>
          <w:lang w:val="en-US"/>
        </w:rPr>
        <w:t xml:space="preserve"> 2</w:t>
      </w:r>
    </w:p>
    <w:p w:rsidR="00B24E82" w:rsidRPr="00643CAD" w:rsidRDefault="00B24E82" w:rsidP="00B23525">
      <w:pPr>
        <w:jc w:val="both"/>
        <w:rPr>
          <w:lang w:val="en-US"/>
        </w:rPr>
      </w:pPr>
      <w:proofErr w:type="spellStart"/>
      <w:r w:rsidRPr="00FF35A7">
        <w:rPr>
          <w:lang w:val="fr-FR"/>
        </w:rPr>
        <w:t>Carretera</w:t>
      </w:r>
      <w:proofErr w:type="spellEnd"/>
      <w:r w:rsidRPr="00643CAD">
        <w:rPr>
          <w:lang w:val="en-US"/>
        </w:rPr>
        <w:t xml:space="preserve"> </w:t>
      </w:r>
      <w:proofErr w:type="spellStart"/>
      <w:r w:rsidRPr="00FF35A7">
        <w:rPr>
          <w:lang w:val="fr-FR"/>
        </w:rPr>
        <w:t>comarcal</w:t>
      </w:r>
      <w:proofErr w:type="spellEnd"/>
      <w:r w:rsidRPr="00643CAD">
        <w:rPr>
          <w:lang w:val="en-US"/>
        </w:rPr>
        <w:t xml:space="preserve"> 244, </w:t>
      </w:r>
      <w:r w:rsidRPr="00FF35A7">
        <w:rPr>
          <w:lang w:val="fr-FR"/>
        </w:rPr>
        <w:t>km</w:t>
      </w:r>
      <w:r w:rsidRPr="00643CAD">
        <w:rPr>
          <w:lang w:val="en-US"/>
        </w:rPr>
        <w:t>22</w:t>
      </w:r>
    </w:p>
    <w:p w:rsidR="00B24E82" w:rsidRPr="00643CAD" w:rsidRDefault="00B24E82" w:rsidP="00B23525">
      <w:pPr>
        <w:jc w:val="both"/>
        <w:rPr>
          <w:lang w:val="en-US"/>
        </w:rPr>
      </w:pPr>
      <w:proofErr w:type="gramStart"/>
      <w:r w:rsidRPr="00643CAD">
        <w:rPr>
          <w:lang w:val="en-US"/>
        </w:rPr>
        <w:t xml:space="preserve">08777 </w:t>
      </w:r>
      <w:r w:rsidRPr="00FF35A7">
        <w:rPr>
          <w:lang w:val="fr-FR"/>
        </w:rPr>
        <w:t>Sant</w:t>
      </w:r>
      <w:r w:rsidRPr="00643CAD">
        <w:rPr>
          <w:lang w:val="en-US"/>
        </w:rPr>
        <w:t xml:space="preserve"> </w:t>
      </w:r>
      <w:proofErr w:type="spellStart"/>
      <w:r w:rsidRPr="00FF35A7">
        <w:rPr>
          <w:lang w:val="fr-FR"/>
        </w:rPr>
        <w:t>Quinti</w:t>
      </w:r>
      <w:proofErr w:type="spellEnd"/>
      <w:r w:rsidRPr="00643CAD">
        <w:rPr>
          <w:lang w:val="en-US"/>
        </w:rPr>
        <w:t xml:space="preserve"> </w:t>
      </w:r>
      <w:r w:rsidRPr="00FF35A7">
        <w:rPr>
          <w:lang w:val="fr-FR"/>
        </w:rPr>
        <w:t>de</w:t>
      </w:r>
      <w:r w:rsidRPr="00643CAD">
        <w:rPr>
          <w:lang w:val="en-US"/>
        </w:rPr>
        <w:t xml:space="preserve"> </w:t>
      </w:r>
      <w:proofErr w:type="spellStart"/>
      <w:r w:rsidRPr="00FF35A7">
        <w:rPr>
          <w:lang w:val="fr-FR"/>
        </w:rPr>
        <w:t>Mediona</w:t>
      </w:r>
      <w:proofErr w:type="spellEnd"/>
      <w:r w:rsidRPr="00643CAD">
        <w:rPr>
          <w:lang w:val="en-US"/>
        </w:rPr>
        <w:t>.</w:t>
      </w:r>
      <w:proofErr w:type="gramEnd"/>
      <w:r w:rsidRPr="00643CAD">
        <w:rPr>
          <w:lang w:val="en-US"/>
        </w:rPr>
        <w:t xml:space="preserve"> </w:t>
      </w:r>
    </w:p>
    <w:p w:rsidR="00B24E82" w:rsidRPr="00FF35A7" w:rsidRDefault="00B24E82" w:rsidP="00B23525">
      <w:pPr>
        <w:jc w:val="both"/>
        <w:rPr>
          <w:lang w:val="el-GR"/>
        </w:rPr>
      </w:pPr>
      <w:r w:rsidRPr="00FF35A7">
        <w:rPr>
          <w:lang w:val="el-GR"/>
        </w:rPr>
        <w:t>ΙΣΠΑΝΙΑ</w:t>
      </w:r>
    </w:p>
    <w:p w:rsidR="005440F2" w:rsidRPr="00FF35A7" w:rsidRDefault="005440F2" w:rsidP="00B23525">
      <w:pPr>
        <w:pStyle w:val="a4"/>
        <w:rPr>
          <w:rFonts w:ascii="Times New Roman" w:hAnsi="Times New Roman"/>
          <w:color w:val="auto"/>
          <w:sz w:val="24"/>
          <w:lang w:val="el-GR"/>
        </w:rPr>
      </w:pPr>
    </w:p>
    <w:p w:rsidR="005440F2" w:rsidRPr="00FF35A7" w:rsidRDefault="00B24E82" w:rsidP="00B23525">
      <w:pPr>
        <w:pStyle w:val="a4"/>
        <w:rPr>
          <w:rFonts w:ascii="Times New Roman" w:hAnsi="Times New Roman"/>
          <w:color w:val="auto"/>
          <w:sz w:val="24"/>
          <w:lang w:val="el-GR"/>
        </w:rPr>
      </w:pPr>
      <w:r w:rsidRPr="00FF35A7">
        <w:rPr>
          <w:rFonts w:ascii="Times New Roman" w:hAnsi="Times New Roman"/>
          <w:b/>
          <w:bCs/>
          <w:color w:val="auto"/>
          <w:sz w:val="24"/>
          <w:lang w:val="el-GR"/>
        </w:rPr>
        <w:t>8</w:t>
      </w:r>
      <w:r w:rsidR="005440F2" w:rsidRPr="00FF35A7">
        <w:rPr>
          <w:rFonts w:ascii="Times New Roman" w:hAnsi="Times New Roman"/>
          <w:b/>
          <w:bCs/>
          <w:color w:val="auto"/>
          <w:sz w:val="24"/>
          <w:lang w:val="el-GR"/>
        </w:rPr>
        <w:t>. ΑΡΙΘΜΟΣ ΑΔΕΙΑΣ ΚΥΚΛΟΦΟΡΙΑΣ</w:t>
      </w:r>
      <w:r w:rsidR="005440F2" w:rsidRPr="00FF35A7">
        <w:rPr>
          <w:rFonts w:ascii="Times New Roman" w:hAnsi="Times New Roman"/>
          <w:color w:val="auto"/>
          <w:sz w:val="24"/>
          <w:lang w:val="el-GR"/>
        </w:rPr>
        <w:t xml:space="preserve"> </w:t>
      </w:r>
    </w:p>
    <w:p w:rsidR="005440F2" w:rsidRPr="00FF35A7" w:rsidRDefault="005440F2" w:rsidP="00B23525">
      <w:pPr>
        <w:pStyle w:val="a4"/>
        <w:rPr>
          <w:rFonts w:ascii="Times New Roman" w:hAnsi="Times New Roman"/>
          <w:color w:val="auto"/>
          <w:sz w:val="24"/>
          <w:lang w:val="el-GR"/>
        </w:rPr>
      </w:pPr>
    </w:p>
    <w:p w:rsidR="005440F2" w:rsidRPr="00FF35A7" w:rsidRDefault="00B24E82" w:rsidP="00B23525">
      <w:pPr>
        <w:pStyle w:val="a4"/>
        <w:rPr>
          <w:rFonts w:ascii="Times New Roman" w:hAnsi="Times New Roman"/>
          <w:color w:val="auto"/>
          <w:sz w:val="24"/>
          <w:lang w:val="el-GR"/>
        </w:rPr>
      </w:pPr>
      <w:r w:rsidRPr="00FF35A7">
        <w:rPr>
          <w:rFonts w:ascii="Times New Roman" w:hAnsi="Times New Roman"/>
          <w:b/>
          <w:bCs/>
          <w:color w:val="auto"/>
          <w:sz w:val="24"/>
          <w:lang w:val="el-GR"/>
        </w:rPr>
        <w:lastRenderedPageBreak/>
        <w:t>9</w:t>
      </w:r>
      <w:r w:rsidR="005440F2" w:rsidRPr="00FF35A7">
        <w:rPr>
          <w:rFonts w:ascii="Times New Roman" w:hAnsi="Times New Roman"/>
          <w:b/>
          <w:bCs/>
          <w:color w:val="auto"/>
          <w:sz w:val="24"/>
          <w:lang w:val="el-GR"/>
        </w:rPr>
        <w:t xml:space="preserve">. ΗΜΕΡΟΜΗΝΙΑ ΠΡΩΤΗΣ ΕΓΚΡΙΣΗΣ </w:t>
      </w:r>
      <w:r w:rsidR="005440F2" w:rsidRPr="00FF35A7">
        <w:rPr>
          <w:rFonts w:ascii="Times New Roman" w:hAnsi="Times New Roman"/>
          <w:b/>
          <w:noProof/>
          <w:color w:val="auto"/>
          <w:sz w:val="24"/>
          <w:lang w:val="el-GR"/>
        </w:rPr>
        <w:t xml:space="preserve">/ ΑΝΑΝΕΩΣΗΣ ΤΗΣ </w:t>
      </w:r>
      <w:r w:rsidR="005440F2" w:rsidRPr="00FF35A7">
        <w:rPr>
          <w:rFonts w:ascii="Times New Roman" w:hAnsi="Times New Roman"/>
          <w:b/>
          <w:bCs/>
          <w:color w:val="auto"/>
          <w:sz w:val="24"/>
          <w:lang w:val="el-GR"/>
        </w:rPr>
        <w:t xml:space="preserve">ΑΔΕΙΑΣ  </w:t>
      </w:r>
      <w:r w:rsidR="005440F2" w:rsidRPr="00FF35A7">
        <w:rPr>
          <w:rFonts w:ascii="Times New Roman" w:hAnsi="Times New Roman"/>
          <w:color w:val="auto"/>
          <w:sz w:val="24"/>
          <w:lang w:val="el-GR"/>
        </w:rPr>
        <w:t xml:space="preserve">  </w:t>
      </w:r>
    </w:p>
    <w:p w:rsidR="007705A1" w:rsidRPr="00FF35A7" w:rsidRDefault="007705A1" w:rsidP="00B23525">
      <w:pPr>
        <w:jc w:val="both"/>
        <w:rPr>
          <w:lang w:val="el-GR"/>
        </w:rPr>
      </w:pPr>
    </w:p>
    <w:p w:rsidR="007705A1" w:rsidRPr="00B23525" w:rsidRDefault="007705A1" w:rsidP="00B23525">
      <w:pPr>
        <w:jc w:val="both"/>
        <w:rPr>
          <w:lang w:val="el-GR"/>
        </w:rPr>
      </w:pPr>
      <w:r w:rsidRPr="00FF35A7">
        <w:rPr>
          <w:lang w:val="el-GR"/>
        </w:rPr>
        <w:t>Ημερομηνία πρώτης έγκρισης</w:t>
      </w:r>
      <w:r w:rsidRPr="00B23525">
        <w:rPr>
          <w:lang w:val="el-GR"/>
        </w:rPr>
        <w:t>: ΗΗ μήνας ΕΕΕΕ</w:t>
      </w:r>
    </w:p>
    <w:p w:rsidR="005440F2" w:rsidRPr="00B23525" w:rsidRDefault="005440F2" w:rsidP="00B23525">
      <w:pPr>
        <w:pStyle w:val="a4"/>
        <w:rPr>
          <w:rFonts w:ascii="Times New Roman" w:hAnsi="Times New Roman"/>
          <w:color w:val="auto"/>
          <w:sz w:val="24"/>
          <w:lang w:val="el-GR"/>
        </w:rPr>
      </w:pPr>
    </w:p>
    <w:p w:rsidR="005440F2" w:rsidRPr="00B23525" w:rsidRDefault="00B24E82" w:rsidP="00B23525">
      <w:pPr>
        <w:pStyle w:val="a4"/>
        <w:rPr>
          <w:rFonts w:ascii="Times New Roman" w:hAnsi="Times New Roman"/>
          <w:color w:val="auto"/>
          <w:sz w:val="24"/>
          <w:lang w:val="el-GR"/>
        </w:rPr>
      </w:pPr>
      <w:r w:rsidRPr="00B23525">
        <w:rPr>
          <w:rFonts w:ascii="Times New Roman" w:hAnsi="Times New Roman"/>
          <w:b/>
          <w:bCs/>
          <w:color w:val="auto"/>
          <w:sz w:val="24"/>
          <w:lang w:val="el-GR"/>
        </w:rPr>
        <w:t>10</w:t>
      </w:r>
      <w:r w:rsidR="005440F2" w:rsidRPr="00B23525">
        <w:rPr>
          <w:rFonts w:ascii="Times New Roman" w:hAnsi="Times New Roman"/>
          <w:b/>
          <w:bCs/>
          <w:color w:val="auto"/>
          <w:sz w:val="24"/>
          <w:lang w:val="el-GR"/>
        </w:rPr>
        <w:t>. ΗΜΕΡΟΜΗΝΙΑ ΑΝΑΘΕΩΡΗΣΕΩΣ ΤΟΥ ΚΕΙΜΕΝΟΥ</w:t>
      </w:r>
    </w:p>
    <w:p w:rsidR="007705A1" w:rsidRPr="00B23525" w:rsidRDefault="007705A1" w:rsidP="00B23525">
      <w:pPr>
        <w:jc w:val="both"/>
        <w:rPr>
          <w:lang w:val="el-GR"/>
        </w:rPr>
      </w:pPr>
    </w:p>
    <w:p w:rsidR="007705A1" w:rsidRPr="00FF35A7" w:rsidRDefault="007705A1" w:rsidP="00B23525">
      <w:pPr>
        <w:jc w:val="both"/>
        <w:rPr>
          <w:lang w:val="el-GR"/>
        </w:rPr>
      </w:pPr>
      <w:r w:rsidRPr="00B23525">
        <w:rPr>
          <w:lang w:val="el-GR"/>
        </w:rPr>
        <w:t>ΗΗ μήνας ΕΕΕΕ</w:t>
      </w:r>
    </w:p>
    <w:p w:rsidR="005440F2" w:rsidRPr="00FF35A7" w:rsidRDefault="005440F2" w:rsidP="00B23525">
      <w:pPr>
        <w:rPr>
          <w:lang w:val="el-GR"/>
        </w:rPr>
      </w:pPr>
    </w:p>
    <w:p w:rsidR="005440F2" w:rsidRPr="00FF35A7" w:rsidRDefault="005440F2" w:rsidP="00B23525">
      <w:pPr>
        <w:rPr>
          <w:lang w:val="el-GR"/>
        </w:rPr>
      </w:pPr>
    </w:p>
    <w:sectPr w:rsidR="005440F2" w:rsidRPr="00FF35A7" w:rsidSect="00DF2DFC">
      <w:headerReference w:type="default" r:id="rId18"/>
      <w:footerReference w:type="even" r:id="rId19"/>
      <w:headerReference w:type="first" r:id="rId20"/>
      <w:footerReference w:type="first" r:id="rId21"/>
      <w:pgSz w:w="11907" w:h="16840" w:code="9"/>
      <w:pgMar w:top="1245" w:right="1418" w:bottom="1438" w:left="1418" w:header="737" w:footer="7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3B" w:rsidRDefault="0093653B">
      <w:r>
        <w:separator/>
      </w:r>
    </w:p>
  </w:endnote>
  <w:endnote w:type="continuationSeparator" w:id="0">
    <w:p w:rsidR="0093653B" w:rsidRDefault="00936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panose1 w:val="00000000000000000000"/>
    <w:charset w:val="00"/>
    <w:family w:val="swiss"/>
    <w:notTrueType/>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Arial"/>
    <w:panose1 w:val="00000000000000000000"/>
    <w:charset w:val="00"/>
    <w:family w:val="swiss"/>
    <w:notTrueType/>
    <w:pitch w:val="default"/>
    <w:sig w:usb0="00000003" w:usb1="00000000" w:usb2="00000000" w:usb3="00000000" w:csb0="00000001" w:csb1="00000000"/>
  </w:font>
  <w:font w:name="HellasTimes">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A" w:rsidRDefault="001272EC">
    <w:pPr>
      <w:pStyle w:val="a6"/>
      <w:framePr w:wrap="around" w:vAnchor="text" w:hAnchor="margin" w:xAlign="center" w:y="1"/>
      <w:rPr>
        <w:rStyle w:val="a7"/>
      </w:rPr>
    </w:pPr>
    <w:r>
      <w:rPr>
        <w:rStyle w:val="a7"/>
      </w:rPr>
      <w:fldChar w:fldCharType="begin"/>
    </w:r>
    <w:r w:rsidR="00B1122A">
      <w:rPr>
        <w:rStyle w:val="a7"/>
      </w:rPr>
      <w:instrText xml:space="preserve">PAGE  </w:instrText>
    </w:r>
    <w:r>
      <w:rPr>
        <w:rStyle w:val="a7"/>
      </w:rPr>
      <w:fldChar w:fldCharType="separate"/>
    </w:r>
    <w:r w:rsidR="00B1122A">
      <w:rPr>
        <w:rStyle w:val="a7"/>
        <w:noProof/>
      </w:rPr>
      <w:t>1</w:t>
    </w:r>
    <w:r>
      <w:rPr>
        <w:rStyle w:val="a7"/>
      </w:rPr>
      <w:fldChar w:fldCharType="end"/>
    </w:r>
  </w:p>
  <w:p w:rsidR="00B1122A" w:rsidRDefault="00B112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A" w:rsidRDefault="001272EC">
    <w:pPr>
      <w:pStyle w:val="a6"/>
      <w:rPr>
        <w:sz w:val="16"/>
      </w:rPr>
    </w:pPr>
    <w:r>
      <w:rPr>
        <w:sz w:val="16"/>
      </w:rPr>
      <w:fldChar w:fldCharType="begin"/>
    </w:r>
    <w:r w:rsidR="00B1122A">
      <w:rPr>
        <w:sz w:val="16"/>
      </w:rPr>
      <w:instrText xml:space="preserve"> FILENAME \p </w:instrText>
    </w:r>
    <w:r>
      <w:rPr>
        <w:sz w:val="16"/>
      </w:rPr>
      <w:fldChar w:fldCharType="separate"/>
    </w:r>
    <w:r w:rsidR="007A5D0D">
      <w:rPr>
        <w:noProof/>
        <w:sz w:val="16"/>
      </w:rPr>
      <w:t>C:\Users\user146\AppData\Local\Temp\el-spc-v08-clear KG-FinalEditCorr1.doc</w:t>
    </w:r>
    <w:r>
      <w:rPr>
        <w:sz w:val="16"/>
      </w:rPr>
      <w:fldChar w:fldCharType="end"/>
    </w:r>
  </w:p>
  <w:p w:rsidR="00B1122A" w:rsidRDefault="00B1122A">
    <w:pPr>
      <w:pStyle w:val="a6"/>
      <w:rPr>
        <w:sz w:val="16"/>
        <w:lang w:val="en-US"/>
      </w:rPr>
    </w:pPr>
    <w:proofErr w:type="gramStart"/>
    <w:r>
      <w:rPr>
        <w:sz w:val="16"/>
        <w:lang w:val="en-US"/>
      </w:rPr>
      <w:t>based</w:t>
    </w:r>
    <w:proofErr w:type="gramEnd"/>
    <w:r>
      <w:rPr>
        <w:sz w:val="16"/>
        <w:lang w:val="en-US"/>
      </w:rPr>
      <w:t xml:space="preserve"> on MA 3650/29-1-2003</w:t>
    </w:r>
  </w:p>
  <w:p w:rsidR="00B1122A" w:rsidRDefault="00B1122A">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3B" w:rsidRDefault="0093653B">
      <w:r>
        <w:separator/>
      </w:r>
    </w:p>
  </w:footnote>
  <w:footnote w:type="continuationSeparator" w:id="0">
    <w:p w:rsidR="0093653B" w:rsidRDefault="00936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A" w:rsidRPr="00DF2DFC" w:rsidRDefault="00B1122A" w:rsidP="00DF2DFC">
    <w:pPr>
      <w:pStyle w:val="a8"/>
      <w:tabs>
        <w:tab w:val="clear" w:pos="4153"/>
        <w:tab w:val="clear" w:pos="8306"/>
        <w:tab w:val="left" w:pos="7740"/>
      </w:tabs>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A" w:rsidRDefault="001272EC">
    <w:pPr>
      <w:pStyle w:val="a8"/>
    </w:pP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r>
      <w:rPr>
        <w:rStyle w:val="a7"/>
      </w:rPr>
      <w:fldChar w:fldCharType="begin"/>
    </w:r>
    <w:r w:rsidR="00B1122A">
      <w:rPr>
        <w:rStyle w:val="a7"/>
      </w:rPr>
      <w:instrText xml:space="preserve"> PAGE </w:instrText>
    </w:r>
    <w:r>
      <w:rPr>
        <w:rStyle w:val="a7"/>
      </w:rPr>
      <w:fldChar w:fldCharType="separate"/>
    </w:r>
    <w:r w:rsidR="00B1122A">
      <w:rPr>
        <w:rStyle w:val="a7"/>
        <w:noProof/>
      </w:rPr>
      <w:t>1</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4A1F13"/>
    <w:multiLevelType w:val="hybridMultilevel"/>
    <w:tmpl w:val="FCC6FB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11490"/>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03BB47F7"/>
    <w:multiLevelType w:val="hybridMultilevel"/>
    <w:tmpl w:val="32B8438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68F42EE"/>
    <w:multiLevelType w:val="hybridMultilevel"/>
    <w:tmpl w:val="7B8AEE62"/>
    <w:lvl w:ilvl="0" w:tplc="EC9A70FE">
      <w:start w:val="1"/>
      <w:numFmt w:val="decimal"/>
      <w:lvlText w:val="%1."/>
      <w:lvlJc w:val="left"/>
      <w:pPr>
        <w:tabs>
          <w:tab w:val="num" w:pos="397"/>
        </w:tabs>
        <w:ind w:left="397" w:hanging="397"/>
      </w:pPr>
      <w:rPr>
        <w:rFonts w:hint="default"/>
      </w:rPr>
    </w:lvl>
    <w:lvl w:ilvl="1"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248AA"/>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7128654A">
      <w:start w:val="143"/>
      <w:numFmt w:val="bullet"/>
      <w:lvlText w:val="-"/>
      <w:lvlJc w:val="left"/>
      <w:pPr>
        <w:tabs>
          <w:tab w:val="num" w:pos="1077"/>
        </w:tabs>
        <w:ind w:left="1077" w:hanging="51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0B7665DA"/>
    <w:multiLevelType w:val="hybridMultilevel"/>
    <w:tmpl w:val="D7CC3E9A"/>
    <w:lvl w:ilvl="0" w:tplc="0409000F">
      <w:start w:val="1"/>
      <w:numFmt w:val="decimal"/>
      <w:lvlText w:val="%1."/>
      <w:lvlJc w:val="left"/>
      <w:pPr>
        <w:tabs>
          <w:tab w:val="num" w:pos="720"/>
        </w:tabs>
        <w:ind w:left="720" w:hanging="360"/>
      </w:pPr>
    </w:lvl>
    <w:lvl w:ilvl="1" w:tplc="0E680040">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2286E"/>
    <w:multiLevelType w:val="hybridMultilevel"/>
    <w:tmpl w:val="97C00BF4"/>
    <w:lvl w:ilvl="0" w:tplc="AB44BCC4">
      <w:start w:val="143"/>
      <w:numFmt w:val="bullet"/>
      <w:lvlText w:val="-"/>
      <w:lvlJc w:val="left"/>
      <w:pPr>
        <w:tabs>
          <w:tab w:val="num" w:pos="624"/>
        </w:tabs>
        <w:ind w:left="624"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77293"/>
    <w:multiLevelType w:val="hybridMultilevel"/>
    <w:tmpl w:val="7B8AEE62"/>
    <w:lvl w:ilvl="0" w:tplc="EC9A70F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67E21"/>
    <w:multiLevelType w:val="hybridMultilevel"/>
    <w:tmpl w:val="D7CC3E9A"/>
    <w:lvl w:ilvl="0" w:tplc="0409000F">
      <w:start w:val="1"/>
      <w:numFmt w:val="decimal"/>
      <w:lvlText w:val="%1."/>
      <w:lvlJc w:val="left"/>
      <w:pPr>
        <w:tabs>
          <w:tab w:val="num" w:pos="720"/>
        </w:tabs>
        <w:ind w:left="720" w:hanging="360"/>
      </w:pPr>
    </w:lvl>
    <w:lvl w:ilvl="1" w:tplc="0E680040">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67C3E"/>
    <w:multiLevelType w:val="hybridMultilevel"/>
    <w:tmpl w:val="6C6AA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3706F"/>
    <w:multiLevelType w:val="hybridMultilevel"/>
    <w:tmpl w:val="CE0638B6"/>
    <w:lvl w:ilvl="0"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1" w:tplc="15327620">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D934C4"/>
    <w:multiLevelType w:val="multilevel"/>
    <w:tmpl w:val="937EC4F8"/>
    <w:lvl w:ilvl="0">
      <w:start w:val="1"/>
      <w:numFmt w:val="bullet"/>
      <w:lvlText w:val=""/>
      <w:lvlJc w:val="left"/>
      <w:pPr>
        <w:tabs>
          <w:tab w:val="num" w:pos="794"/>
        </w:tabs>
        <w:ind w:left="794" w:hanging="6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4B5A7D"/>
    <w:multiLevelType w:val="hybridMultilevel"/>
    <w:tmpl w:val="5232CBD6"/>
    <w:lvl w:ilvl="0" w:tplc="BD24BB2C">
      <w:start w:val="2"/>
      <w:numFmt w:val="decimal"/>
      <w:lvlText w:val="%1."/>
      <w:lvlJc w:val="left"/>
      <w:pPr>
        <w:tabs>
          <w:tab w:val="num" w:pos="510"/>
        </w:tabs>
        <w:ind w:left="510"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7B2F5A"/>
    <w:multiLevelType w:val="hybridMultilevel"/>
    <w:tmpl w:val="C3B210D0"/>
    <w:lvl w:ilvl="0" w:tplc="DA7C5C28">
      <w:start w:val="1"/>
      <w:numFmt w:val="bullet"/>
      <w:lvlText w:val=""/>
      <w:lvlJc w:val="left"/>
      <w:pPr>
        <w:tabs>
          <w:tab w:val="num" w:pos="794"/>
        </w:tabs>
        <w:ind w:left="794" w:hanging="624"/>
      </w:pPr>
      <w:rPr>
        <w:rFonts w:ascii="Symbol" w:hAnsi="Symbol" w:hint="default"/>
      </w:rPr>
    </w:lvl>
    <w:lvl w:ilvl="1" w:tplc="AB44BCC4">
      <w:start w:val="143"/>
      <w:numFmt w:val="bullet"/>
      <w:lvlText w:val="-"/>
      <w:lvlJc w:val="left"/>
      <w:pPr>
        <w:tabs>
          <w:tab w:val="num" w:pos="397"/>
        </w:tabs>
        <w:ind w:left="39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E1467"/>
    <w:multiLevelType w:val="hybridMultilevel"/>
    <w:tmpl w:val="D7CC3E9A"/>
    <w:lvl w:ilvl="0" w:tplc="0409000F">
      <w:start w:val="1"/>
      <w:numFmt w:val="decimal"/>
      <w:lvlText w:val="%1."/>
      <w:lvlJc w:val="left"/>
      <w:pPr>
        <w:tabs>
          <w:tab w:val="num" w:pos="720"/>
        </w:tabs>
        <w:ind w:left="720" w:hanging="360"/>
      </w:pPr>
    </w:lvl>
    <w:lvl w:ilvl="1" w:tplc="7128654A">
      <w:start w:val="143"/>
      <w:numFmt w:val="bullet"/>
      <w:lvlText w:val="-"/>
      <w:lvlJc w:val="left"/>
      <w:pPr>
        <w:tabs>
          <w:tab w:val="num" w:pos="1077"/>
        </w:tabs>
        <w:ind w:left="1077" w:hanging="51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56387"/>
    <w:multiLevelType w:val="hybridMultilevel"/>
    <w:tmpl w:val="7B8AEE62"/>
    <w:lvl w:ilvl="0" w:tplc="EC9A70FE">
      <w:start w:val="1"/>
      <w:numFmt w:val="decimal"/>
      <w:lvlText w:val="%1."/>
      <w:lvlJc w:val="left"/>
      <w:pPr>
        <w:tabs>
          <w:tab w:val="num" w:pos="397"/>
        </w:tabs>
        <w:ind w:left="397" w:hanging="397"/>
      </w:pPr>
      <w:rPr>
        <w:rFonts w:hint="default"/>
      </w:rPr>
    </w:lvl>
    <w:lvl w:ilvl="1" w:tplc="E74E5B98">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9E365E"/>
    <w:multiLevelType w:val="hybridMultilevel"/>
    <w:tmpl w:val="002011C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332424"/>
    <w:multiLevelType w:val="hybridMultilevel"/>
    <w:tmpl w:val="668EF308"/>
    <w:lvl w:ilvl="0" w:tplc="430EC956">
      <w:start w:val="143"/>
      <w:numFmt w:val="bullet"/>
      <w:lvlText w:val="-"/>
      <w:lvlJc w:val="left"/>
      <w:pPr>
        <w:tabs>
          <w:tab w:val="num" w:pos="927"/>
        </w:tabs>
        <w:ind w:left="90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43765"/>
    <w:multiLevelType w:val="hybridMultilevel"/>
    <w:tmpl w:val="B828760A"/>
    <w:lvl w:ilvl="0" w:tplc="877C4458">
      <w:start w:val="2"/>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9">
    <w:nsid w:val="40C9115B"/>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A61ABA7A">
      <w:start w:val="143"/>
      <w:numFmt w:val="bullet"/>
      <w:lvlText w:val="-"/>
      <w:lvlJc w:val="left"/>
      <w:pPr>
        <w:tabs>
          <w:tab w:val="num" w:pos="927"/>
        </w:tabs>
        <w:ind w:left="907" w:hanging="34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476F2901"/>
    <w:multiLevelType w:val="hybridMultilevel"/>
    <w:tmpl w:val="D7CC3E9A"/>
    <w:lvl w:ilvl="0" w:tplc="0409000F">
      <w:start w:val="1"/>
      <w:numFmt w:val="decimal"/>
      <w:lvlText w:val="%1."/>
      <w:lvlJc w:val="left"/>
      <w:pPr>
        <w:tabs>
          <w:tab w:val="num" w:pos="720"/>
        </w:tabs>
        <w:ind w:left="720" w:hanging="360"/>
      </w:pPr>
    </w:lvl>
    <w:lvl w:ilvl="1" w:tplc="1958BAD2">
      <w:start w:val="143"/>
      <w:numFmt w:val="bullet"/>
      <w:lvlText w:val="-"/>
      <w:lvlJc w:val="left"/>
      <w:pPr>
        <w:tabs>
          <w:tab w:val="num" w:pos="1211"/>
        </w:tabs>
        <w:ind w:left="1191"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BE2CCD"/>
    <w:multiLevelType w:val="hybridMultilevel"/>
    <w:tmpl w:val="FEACB01C"/>
    <w:lvl w:ilvl="0" w:tplc="F74CE652">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8120D"/>
    <w:multiLevelType w:val="hybridMultilevel"/>
    <w:tmpl w:val="1C8CACA2"/>
    <w:lvl w:ilvl="0" w:tplc="0409000F">
      <w:start w:val="1"/>
      <w:numFmt w:val="decimal"/>
      <w:lvlText w:val="%1."/>
      <w:lvlJc w:val="left"/>
      <w:pPr>
        <w:tabs>
          <w:tab w:val="num" w:pos="720"/>
        </w:tabs>
        <w:ind w:left="720" w:hanging="360"/>
      </w:pPr>
      <w:rPr>
        <w:rFonts w:hint="default"/>
      </w:rPr>
    </w:lvl>
    <w:lvl w:ilvl="1" w:tplc="50E6DE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31141A"/>
    <w:multiLevelType w:val="hybridMultilevel"/>
    <w:tmpl w:val="A9C20100"/>
    <w:lvl w:ilvl="0" w:tplc="8B6640B6">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FF62B0"/>
    <w:multiLevelType w:val="hybridMultilevel"/>
    <w:tmpl w:val="983E29EC"/>
    <w:lvl w:ilvl="0" w:tplc="E9D64668">
      <w:start w:val="1"/>
      <w:numFmt w:val="decimal"/>
      <w:lvlText w:val="%1."/>
      <w:lvlJc w:val="left"/>
      <w:pPr>
        <w:tabs>
          <w:tab w:val="num" w:pos="1117"/>
        </w:tabs>
        <w:ind w:left="1117" w:hanging="397"/>
      </w:pPr>
      <w:rPr>
        <w:rFonts w:hint="default"/>
      </w:rPr>
    </w:lvl>
    <w:lvl w:ilvl="1" w:tplc="BD24BB2C">
      <w:start w:val="2"/>
      <w:numFmt w:val="decimal"/>
      <w:lvlText w:val="%2."/>
      <w:lvlJc w:val="left"/>
      <w:pPr>
        <w:tabs>
          <w:tab w:val="num" w:pos="2084"/>
        </w:tabs>
        <w:ind w:left="2084" w:hanging="397"/>
      </w:pPr>
      <w:rPr>
        <w:rFonts w:hint="default"/>
      </w:r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25">
    <w:nsid w:val="56431109"/>
    <w:multiLevelType w:val="hybridMultilevel"/>
    <w:tmpl w:val="937EC4F8"/>
    <w:lvl w:ilvl="0" w:tplc="DA7C5C28">
      <w:start w:val="1"/>
      <w:numFmt w:val="bullet"/>
      <w:lvlText w:val=""/>
      <w:lvlJc w:val="left"/>
      <w:pPr>
        <w:tabs>
          <w:tab w:val="num" w:pos="794"/>
        </w:tabs>
        <w:ind w:left="794"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7E36A48"/>
    <w:multiLevelType w:val="hybridMultilevel"/>
    <w:tmpl w:val="0FB4E952"/>
    <w:lvl w:ilvl="0" w:tplc="3C1EBA24">
      <w:start w:val="143"/>
      <w:numFmt w:val="bullet"/>
      <w:lvlText w:val="-"/>
      <w:lvlJc w:val="left"/>
      <w:pPr>
        <w:tabs>
          <w:tab w:val="num" w:pos="927"/>
        </w:tabs>
        <w:ind w:left="90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3128CD"/>
    <w:multiLevelType w:val="hybridMultilevel"/>
    <w:tmpl w:val="E77AD800"/>
    <w:lvl w:ilvl="0" w:tplc="3BBE6A86">
      <w:start w:val="1"/>
      <w:numFmt w:val="decimal"/>
      <w:lvlText w:val="%1."/>
      <w:lvlJc w:val="left"/>
      <w:pPr>
        <w:tabs>
          <w:tab w:val="num" w:pos="927"/>
        </w:tabs>
        <w:ind w:left="907" w:hanging="340"/>
      </w:pPr>
      <w:rPr>
        <w:rFonts w:hint="default"/>
      </w:rPr>
    </w:lvl>
    <w:lvl w:ilvl="1" w:tplc="04090019">
      <w:start w:val="1"/>
      <w:numFmt w:val="lowerLetter"/>
      <w:lvlText w:val="%2."/>
      <w:lvlJc w:val="left"/>
      <w:pPr>
        <w:tabs>
          <w:tab w:val="num" w:pos="1440"/>
        </w:tabs>
        <w:ind w:left="1440" w:hanging="360"/>
      </w:pPr>
    </w:lvl>
    <w:lvl w:ilvl="2" w:tplc="19A0983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945EB0"/>
    <w:multiLevelType w:val="hybridMultilevel"/>
    <w:tmpl w:val="A9849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CE1791D"/>
    <w:multiLevelType w:val="hybridMultilevel"/>
    <w:tmpl w:val="29EA5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A53EEF"/>
    <w:multiLevelType w:val="hybridMultilevel"/>
    <w:tmpl w:val="E9D880F8"/>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FD33FA"/>
    <w:multiLevelType w:val="hybridMultilevel"/>
    <w:tmpl w:val="D7CC3E9A"/>
    <w:lvl w:ilvl="0" w:tplc="0409000F">
      <w:start w:val="1"/>
      <w:numFmt w:val="decimal"/>
      <w:lvlText w:val="%1."/>
      <w:lvlJc w:val="left"/>
      <w:pPr>
        <w:tabs>
          <w:tab w:val="num" w:pos="720"/>
        </w:tabs>
        <w:ind w:left="720" w:hanging="360"/>
      </w:pPr>
    </w:lvl>
    <w:lvl w:ilvl="1" w:tplc="880A6414">
      <w:start w:val="143"/>
      <w:numFmt w:val="bullet"/>
      <w:lvlText w:val="-"/>
      <w:lvlJc w:val="left"/>
      <w:pPr>
        <w:tabs>
          <w:tab w:val="num" w:pos="1211"/>
        </w:tabs>
        <w:ind w:left="1191"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78593B"/>
    <w:multiLevelType w:val="hybridMultilevel"/>
    <w:tmpl w:val="7B8AEE62"/>
    <w:lvl w:ilvl="0" w:tplc="EC9A70FE">
      <w:start w:val="1"/>
      <w:numFmt w:val="decimal"/>
      <w:lvlText w:val="%1."/>
      <w:lvlJc w:val="left"/>
      <w:pPr>
        <w:tabs>
          <w:tab w:val="num" w:pos="397"/>
        </w:tabs>
        <w:ind w:left="397" w:hanging="397"/>
      </w:pPr>
      <w:rPr>
        <w:rFonts w:hint="default"/>
      </w:rPr>
    </w:lvl>
    <w:lvl w:ilvl="1" w:tplc="A5E4BC1E">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EF18F0"/>
    <w:multiLevelType w:val="hybridMultilevel"/>
    <w:tmpl w:val="CE0638B6"/>
    <w:lvl w:ilvl="0"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F61550"/>
    <w:multiLevelType w:val="hybridMultilevel"/>
    <w:tmpl w:val="C3B210D0"/>
    <w:lvl w:ilvl="0" w:tplc="DA7C5C28">
      <w:start w:val="1"/>
      <w:numFmt w:val="bullet"/>
      <w:lvlText w:val=""/>
      <w:lvlJc w:val="left"/>
      <w:pPr>
        <w:tabs>
          <w:tab w:val="num" w:pos="794"/>
        </w:tabs>
        <w:ind w:left="794" w:hanging="6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6B7067"/>
    <w:multiLevelType w:val="multilevel"/>
    <w:tmpl w:val="5254FBBE"/>
    <w:lvl w:ilvl="0">
      <w:start w:val="1"/>
      <w:numFmt w:val="decimal"/>
      <w:isLgl/>
      <w:lvlText w:val="%1."/>
      <w:lvlJc w:val="left"/>
      <w:pPr>
        <w:tabs>
          <w:tab w:val="num" w:pos="792"/>
        </w:tabs>
        <w:ind w:left="792" w:hanging="432"/>
      </w:pPr>
      <w:rPr>
        <w:rFonts w:ascii="Times New Roman" w:hAnsi="Times New Roman" w:hint="default"/>
        <w:b/>
        <w:i w:val="0"/>
        <w:sz w:val="22"/>
      </w:rPr>
    </w:lvl>
    <w:lvl w:ilvl="1">
      <w:start w:val="1"/>
      <w:numFmt w:val="decimal"/>
      <w:lvlText w:val="%1.%2."/>
      <w:lvlJc w:val="left"/>
      <w:pPr>
        <w:tabs>
          <w:tab w:val="num" w:pos="936"/>
        </w:tabs>
        <w:ind w:left="936" w:hanging="576"/>
      </w:pPr>
      <w:rPr>
        <w:rFonts w:ascii="Times New Roman" w:hAnsi="Times New Roman" w:hint="default"/>
        <w:b/>
        <w:i w:val="0"/>
        <w:sz w:val="22"/>
      </w:rPr>
    </w:lvl>
    <w:lvl w:ilvl="2">
      <w:start w:val="1"/>
      <w:numFmt w:val="decimal"/>
      <w:lvlText w:val="%1.%2.%3"/>
      <w:lvlJc w:val="left"/>
      <w:pPr>
        <w:tabs>
          <w:tab w:val="num" w:pos="1080"/>
        </w:tabs>
        <w:ind w:left="1080" w:hanging="720"/>
      </w:pPr>
      <w:rPr>
        <w:rFonts w:ascii="Times New Roman" w:hAnsi="Times New Roman" w:hint="default"/>
        <w:b/>
        <w:i w:val="0"/>
        <w:sz w:val="22"/>
      </w:rPr>
    </w:lvl>
    <w:lvl w:ilvl="3">
      <w:start w:val="1"/>
      <w:numFmt w:val="decimal"/>
      <w:lvlText w:val="%1.%2.%3.%4"/>
      <w:lvlJc w:val="left"/>
      <w:pPr>
        <w:tabs>
          <w:tab w:val="num" w:pos="1440"/>
        </w:tabs>
        <w:ind w:left="1224" w:hanging="864"/>
      </w:pPr>
      <w:rPr>
        <w:rFonts w:hint="default"/>
      </w:rPr>
    </w:lvl>
    <w:lvl w:ilvl="4">
      <w:start w:val="1"/>
      <w:numFmt w:val="decimal"/>
      <w:lvlText w:val="%1.%2.%3.%4.%5"/>
      <w:lvlJc w:val="left"/>
      <w:pPr>
        <w:tabs>
          <w:tab w:val="num" w:pos="1800"/>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nsid w:val="733E4C60"/>
    <w:multiLevelType w:val="hybridMultilevel"/>
    <w:tmpl w:val="D66EBB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F40CDD"/>
    <w:multiLevelType w:val="hybridMultilevel"/>
    <w:tmpl w:val="2A10223A"/>
    <w:lvl w:ilvl="0" w:tplc="CA1071CC">
      <w:numFmt w:val="bullet"/>
      <w:lvlText w:val=""/>
      <w:lvlJc w:val="left"/>
      <w:pPr>
        <w:tabs>
          <w:tab w:val="num" w:pos="936"/>
        </w:tabs>
        <w:ind w:left="936" w:hanging="360"/>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8">
    <w:nsid w:val="77A30A6C"/>
    <w:multiLevelType w:val="hybridMultilevel"/>
    <w:tmpl w:val="7B8AEE62"/>
    <w:lvl w:ilvl="0" w:tplc="EC9A70FE">
      <w:start w:val="1"/>
      <w:numFmt w:val="decimal"/>
      <w:lvlText w:val="%1."/>
      <w:lvlJc w:val="left"/>
      <w:pPr>
        <w:tabs>
          <w:tab w:val="num" w:pos="397"/>
        </w:tabs>
        <w:ind w:left="397" w:hanging="397"/>
      </w:pPr>
      <w:rPr>
        <w:rFonts w:hint="default"/>
      </w:rPr>
    </w:lvl>
    <w:lvl w:ilvl="1" w:tplc="A5E4BC1E">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FA0A59"/>
    <w:multiLevelType w:val="hybridMultilevel"/>
    <w:tmpl w:val="F57C2342"/>
    <w:lvl w:ilvl="0" w:tplc="F210F394">
      <w:start w:val="1"/>
      <w:numFmt w:val="bullet"/>
      <w:lvlText w:val="-"/>
      <w:lvlJc w:val="left"/>
      <w:pPr>
        <w:tabs>
          <w:tab w:val="num" w:pos="170"/>
        </w:tabs>
        <w:ind w:left="170" w:hanging="170"/>
      </w:pPr>
      <w:rPr>
        <w:rFonts w:ascii="Myriad Pro Cond" w:eastAsia="Myriad Pro Cond" w:hAnsi="Myriad Pro Cond" w:cs="Myriad Pro Cond" w:hint="default"/>
      </w:rPr>
    </w:lvl>
    <w:lvl w:ilvl="1" w:tplc="04080003" w:tentative="1">
      <w:start w:val="1"/>
      <w:numFmt w:val="bullet"/>
      <w:lvlText w:val="o"/>
      <w:lvlJc w:val="left"/>
      <w:pPr>
        <w:tabs>
          <w:tab w:val="num" w:pos="1270"/>
        </w:tabs>
        <w:ind w:left="1270" w:hanging="360"/>
      </w:pPr>
      <w:rPr>
        <w:rFonts w:ascii="Courier New" w:hAnsi="Courier New" w:cs="Courier New" w:hint="default"/>
      </w:rPr>
    </w:lvl>
    <w:lvl w:ilvl="2" w:tplc="04080005" w:tentative="1">
      <w:start w:val="1"/>
      <w:numFmt w:val="bullet"/>
      <w:lvlText w:val=""/>
      <w:lvlJc w:val="left"/>
      <w:pPr>
        <w:tabs>
          <w:tab w:val="num" w:pos="1990"/>
        </w:tabs>
        <w:ind w:left="1990" w:hanging="360"/>
      </w:pPr>
      <w:rPr>
        <w:rFonts w:ascii="Wingdings" w:hAnsi="Wingdings" w:hint="default"/>
      </w:rPr>
    </w:lvl>
    <w:lvl w:ilvl="3" w:tplc="04080001" w:tentative="1">
      <w:start w:val="1"/>
      <w:numFmt w:val="bullet"/>
      <w:lvlText w:val=""/>
      <w:lvlJc w:val="left"/>
      <w:pPr>
        <w:tabs>
          <w:tab w:val="num" w:pos="2710"/>
        </w:tabs>
        <w:ind w:left="2710" w:hanging="360"/>
      </w:pPr>
      <w:rPr>
        <w:rFonts w:ascii="Symbol" w:hAnsi="Symbol" w:hint="default"/>
      </w:rPr>
    </w:lvl>
    <w:lvl w:ilvl="4" w:tplc="04080003" w:tentative="1">
      <w:start w:val="1"/>
      <w:numFmt w:val="bullet"/>
      <w:lvlText w:val="o"/>
      <w:lvlJc w:val="left"/>
      <w:pPr>
        <w:tabs>
          <w:tab w:val="num" w:pos="3430"/>
        </w:tabs>
        <w:ind w:left="3430" w:hanging="360"/>
      </w:pPr>
      <w:rPr>
        <w:rFonts w:ascii="Courier New" w:hAnsi="Courier New" w:cs="Courier New" w:hint="default"/>
      </w:rPr>
    </w:lvl>
    <w:lvl w:ilvl="5" w:tplc="04080005" w:tentative="1">
      <w:start w:val="1"/>
      <w:numFmt w:val="bullet"/>
      <w:lvlText w:val=""/>
      <w:lvlJc w:val="left"/>
      <w:pPr>
        <w:tabs>
          <w:tab w:val="num" w:pos="4150"/>
        </w:tabs>
        <w:ind w:left="4150" w:hanging="360"/>
      </w:pPr>
      <w:rPr>
        <w:rFonts w:ascii="Wingdings" w:hAnsi="Wingdings" w:hint="default"/>
      </w:rPr>
    </w:lvl>
    <w:lvl w:ilvl="6" w:tplc="04080001" w:tentative="1">
      <w:start w:val="1"/>
      <w:numFmt w:val="bullet"/>
      <w:lvlText w:val=""/>
      <w:lvlJc w:val="left"/>
      <w:pPr>
        <w:tabs>
          <w:tab w:val="num" w:pos="4870"/>
        </w:tabs>
        <w:ind w:left="4870" w:hanging="360"/>
      </w:pPr>
      <w:rPr>
        <w:rFonts w:ascii="Symbol" w:hAnsi="Symbol" w:hint="default"/>
      </w:rPr>
    </w:lvl>
    <w:lvl w:ilvl="7" w:tplc="04080003" w:tentative="1">
      <w:start w:val="1"/>
      <w:numFmt w:val="bullet"/>
      <w:lvlText w:val="o"/>
      <w:lvlJc w:val="left"/>
      <w:pPr>
        <w:tabs>
          <w:tab w:val="num" w:pos="5590"/>
        </w:tabs>
        <w:ind w:left="5590" w:hanging="360"/>
      </w:pPr>
      <w:rPr>
        <w:rFonts w:ascii="Courier New" w:hAnsi="Courier New" w:cs="Courier New" w:hint="default"/>
      </w:rPr>
    </w:lvl>
    <w:lvl w:ilvl="8" w:tplc="04080005" w:tentative="1">
      <w:start w:val="1"/>
      <w:numFmt w:val="bullet"/>
      <w:lvlText w:val=""/>
      <w:lvlJc w:val="left"/>
      <w:pPr>
        <w:tabs>
          <w:tab w:val="num" w:pos="6310"/>
        </w:tabs>
        <w:ind w:left="6310" w:hanging="360"/>
      </w:pPr>
      <w:rPr>
        <w:rFonts w:ascii="Wingdings" w:hAnsi="Wingdings" w:hint="default"/>
      </w:rPr>
    </w:lvl>
  </w:abstractNum>
  <w:abstractNum w:abstractNumId="40">
    <w:nsid w:val="79F46746"/>
    <w:multiLevelType w:val="hybridMultilevel"/>
    <w:tmpl w:val="D7CC3E9A"/>
    <w:lvl w:ilvl="0" w:tplc="0409000F">
      <w:start w:val="1"/>
      <w:numFmt w:val="decimal"/>
      <w:lvlText w:val="%1."/>
      <w:lvlJc w:val="left"/>
      <w:pPr>
        <w:tabs>
          <w:tab w:val="num" w:pos="720"/>
        </w:tabs>
        <w:ind w:left="720" w:hanging="360"/>
      </w:pPr>
    </w:lvl>
    <w:lvl w:ilvl="1" w:tplc="51128B2E">
      <w:start w:val="143"/>
      <w:numFmt w:val="bullet"/>
      <w:lvlText w:val="-"/>
      <w:lvlJc w:val="left"/>
      <w:pPr>
        <w:tabs>
          <w:tab w:val="num" w:pos="964"/>
        </w:tabs>
        <w:ind w:left="964"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B471E5"/>
    <w:multiLevelType w:val="hybridMultilevel"/>
    <w:tmpl w:val="3F4A6782"/>
    <w:lvl w:ilvl="0" w:tplc="24D0B2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22"/>
  </w:num>
  <w:num w:numId="4">
    <w:abstractNumId w:val="27"/>
  </w:num>
  <w:num w:numId="5">
    <w:abstractNumId w:val="8"/>
  </w:num>
  <w:num w:numId="6">
    <w:abstractNumId w:val="5"/>
  </w:num>
  <w:num w:numId="7">
    <w:abstractNumId w:val="40"/>
  </w:num>
  <w:num w:numId="8">
    <w:abstractNumId w:val="14"/>
  </w:num>
  <w:num w:numId="9">
    <w:abstractNumId w:val="1"/>
  </w:num>
  <w:num w:numId="10">
    <w:abstractNumId w:val="4"/>
  </w:num>
  <w:num w:numId="11">
    <w:abstractNumId w:val="19"/>
  </w:num>
  <w:num w:numId="12">
    <w:abstractNumId w:val="21"/>
  </w:num>
  <w:num w:numId="13">
    <w:abstractNumId w:val="24"/>
  </w:num>
  <w:num w:numId="14">
    <w:abstractNumId w:val="30"/>
  </w:num>
  <w:num w:numId="15">
    <w:abstractNumId w:val="20"/>
  </w:num>
  <w:num w:numId="16">
    <w:abstractNumId w:val="31"/>
  </w:num>
  <w:num w:numId="17">
    <w:abstractNumId w:val="7"/>
  </w:num>
  <w:num w:numId="18">
    <w:abstractNumId w:val="32"/>
  </w:num>
  <w:num w:numId="19">
    <w:abstractNumId w:val="38"/>
  </w:num>
  <w:num w:numId="20">
    <w:abstractNumId w:val="15"/>
  </w:num>
  <w:num w:numId="21">
    <w:abstractNumId w:val="3"/>
  </w:num>
  <w:num w:numId="22">
    <w:abstractNumId w:val="33"/>
  </w:num>
  <w:num w:numId="23">
    <w:abstractNumId w:val="10"/>
  </w:num>
  <w:num w:numId="24">
    <w:abstractNumId w:val="41"/>
  </w:num>
  <w:num w:numId="25">
    <w:abstractNumId w:val="17"/>
  </w:num>
  <w:num w:numId="26">
    <w:abstractNumId w:val="26"/>
  </w:num>
  <w:num w:numId="27">
    <w:abstractNumId w:val="6"/>
  </w:num>
  <w:num w:numId="28">
    <w:abstractNumId w:val="34"/>
  </w:num>
  <w:num w:numId="29">
    <w:abstractNumId w:val="13"/>
  </w:num>
  <w:num w:numId="30">
    <w:abstractNumId w:val="35"/>
  </w:num>
  <w:num w:numId="31">
    <w:abstractNumId w:val="0"/>
  </w:num>
  <w:num w:numId="32">
    <w:abstractNumId w:val="36"/>
  </w:num>
  <w:num w:numId="33">
    <w:abstractNumId w:val="28"/>
  </w:num>
  <w:num w:numId="34">
    <w:abstractNumId w:val="12"/>
  </w:num>
  <w:num w:numId="35">
    <w:abstractNumId w:val="18"/>
  </w:num>
  <w:num w:numId="36">
    <w:abstractNumId w:val="9"/>
  </w:num>
  <w:num w:numId="37">
    <w:abstractNumId w:val="16"/>
  </w:num>
  <w:num w:numId="38">
    <w:abstractNumId w:val="23"/>
  </w:num>
  <w:num w:numId="39">
    <w:abstractNumId w:val="25"/>
  </w:num>
  <w:num w:numId="40">
    <w:abstractNumId w:val="11"/>
  </w:num>
  <w:num w:numId="41">
    <w:abstractNumId w:val="39"/>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9218">
      <o:colormru v:ext="edit" colors="#9cf,#39f"/>
    </o:shapedefaults>
  </w:hdrShapeDefaults>
  <w:footnotePr>
    <w:footnote w:id="-1"/>
    <w:footnote w:id="0"/>
  </w:footnotePr>
  <w:endnotePr>
    <w:endnote w:id="-1"/>
    <w:endnote w:id="0"/>
  </w:endnotePr>
  <w:compat/>
  <w:rsids>
    <w:rsidRoot w:val="00592ED0"/>
    <w:rsid w:val="00012A61"/>
    <w:rsid w:val="0004656C"/>
    <w:rsid w:val="00054421"/>
    <w:rsid w:val="00064B3C"/>
    <w:rsid w:val="00070CDA"/>
    <w:rsid w:val="00072B95"/>
    <w:rsid w:val="00073EB0"/>
    <w:rsid w:val="0007636D"/>
    <w:rsid w:val="00085DD5"/>
    <w:rsid w:val="00092027"/>
    <w:rsid w:val="000B4E61"/>
    <w:rsid w:val="000C7298"/>
    <w:rsid w:val="000D1541"/>
    <w:rsid w:val="000E273F"/>
    <w:rsid w:val="000F18B6"/>
    <w:rsid w:val="000F18FE"/>
    <w:rsid w:val="000F49E8"/>
    <w:rsid w:val="00104064"/>
    <w:rsid w:val="001272EC"/>
    <w:rsid w:val="0013600A"/>
    <w:rsid w:val="00145649"/>
    <w:rsid w:val="00162BF7"/>
    <w:rsid w:val="00164033"/>
    <w:rsid w:val="001A067E"/>
    <w:rsid w:val="001B5157"/>
    <w:rsid w:val="001B5C3C"/>
    <w:rsid w:val="001E6071"/>
    <w:rsid w:val="001F0829"/>
    <w:rsid w:val="001F46A8"/>
    <w:rsid w:val="00204758"/>
    <w:rsid w:val="00205A1E"/>
    <w:rsid w:val="00217A53"/>
    <w:rsid w:val="0023792F"/>
    <w:rsid w:val="002B3EDF"/>
    <w:rsid w:val="002D4AE9"/>
    <w:rsid w:val="002D79B9"/>
    <w:rsid w:val="002E2C31"/>
    <w:rsid w:val="002E499E"/>
    <w:rsid w:val="002F1888"/>
    <w:rsid w:val="00302B65"/>
    <w:rsid w:val="00346297"/>
    <w:rsid w:val="00394B9E"/>
    <w:rsid w:val="003B666A"/>
    <w:rsid w:val="003C3FA4"/>
    <w:rsid w:val="003C44BE"/>
    <w:rsid w:val="00441962"/>
    <w:rsid w:val="00450FD4"/>
    <w:rsid w:val="00451D23"/>
    <w:rsid w:val="004545C9"/>
    <w:rsid w:val="00460B69"/>
    <w:rsid w:val="00473CEE"/>
    <w:rsid w:val="00473F21"/>
    <w:rsid w:val="0049198F"/>
    <w:rsid w:val="00492225"/>
    <w:rsid w:val="004E59F8"/>
    <w:rsid w:val="005036E5"/>
    <w:rsid w:val="005212FA"/>
    <w:rsid w:val="00535037"/>
    <w:rsid w:val="00541AFB"/>
    <w:rsid w:val="005440F2"/>
    <w:rsid w:val="0057252F"/>
    <w:rsid w:val="005756E3"/>
    <w:rsid w:val="005769AE"/>
    <w:rsid w:val="00592ED0"/>
    <w:rsid w:val="005A253E"/>
    <w:rsid w:val="005C512D"/>
    <w:rsid w:val="005D0548"/>
    <w:rsid w:val="005E52FD"/>
    <w:rsid w:val="005E754C"/>
    <w:rsid w:val="005F11D3"/>
    <w:rsid w:val="005F4A07"/>
    <w:rsid w:val="00643CAD"/>
    <w:rsid w:val="006468CE"/>
    <w:rsid w:val="006475CF"/>
    <w:rsid w:val="006B1673"/>
    <w:rsid w:val="006B6184"/>
    <w:rsid w:val="006D0CF1"/>
    <w:rsid w:val="006E0340"/>
    <w:rsid w:val="006E1639"/>
    <w:rsid w:val="006E734B"/>
    <w:rsid w:val="006F6169"/>
    <w:rsid w:val="0070615F"/>
    <w:rsid w:val="007125E7"/>
    <w:rsid w:val="00757E38"/>
    <w:rsid w:val="007705A1"/>
    <w:rsid w:val="007721F6"/>
    <w:rsid w:val="0077731C"/>
    <w:rsid w:val="0078676C"/>
    <w:rsid w:val="007A4004"/>
    <w:rsid w:val="007A5D0D"/>
    <w:rsid w:val="007B5649"/>
    <w:rsid w:val="007C26E2"/>
    <w:rsid w:val="007F1E2C"/>
    <w:rsid w:val="00800332"/>
    <w:rsid w:val="00804297"/>
    <w:rsid w:val="00807B13"/>
    <w:rsid w:val="00833418"/>
    <w:rsid w:val="008478EA"/>
    <w:rsid w:val="008517A0"/>
    <w:rsid w:val="00853811"/>
    <w:rsid w:val="00855E2A"/>
    <w:rsid w:val="008567C1"/>
    <w:rsid w:val="008576BC"/>
    <w:rsid w:val="00866E75"/>
    <w:rsid w:val="00884F3C"/>
    <w:rsid w:val="008A297F"/>
    <w:rsid w:val="008A4091"/>
    <w:rsid w:val="008A7652"/>
    <w:rsid w:val="008C5F5D"/>
    <w:rsid w:val="008E1579"/>
    <w:rsid w:val="00932BFA"/>
    <w:rsid w:val="0093653B"/>
    <w:rsid w:val="00952694"/>
    <w:rsid w:val="0097436B"/>
    <w:rsid w:val="00981933"/>
    <w:rsid w:val="009B4AE3"/>
    <w:rsid w:val="009C26D5"/>
    <w:rsid w:val="009D4C6C"/>
    <w:rsid w:val="009E1E57"/>
    <w:rsid w:val="00A07CA2"/>
    <w:rsid w:val="00A14E3C"/>
    <w:rsid w:val="00A20F4B"/>
    <w:rsid w:val="00A21EC5"/>
    <w:rsid w:val="00A4743F"/>
    <w:rsid w:val="00A47FF5"/>
    <w:rsid w:val="00A525F3"/>
    <w:rsid w:val="00A96E37"/>
    <w:rsid w:val="00AB15A1"/>
    <w:rsid w:val="00AC5084"/>
    <w:rsid w:val="00AE7908"/>
    <w:rsid w:val="00AF7694"/>
    <w:rsid w:val="00B07FD9"/>
    <w:rsid w:val="00B1122A"/>
    <w:rsid w:val="00B206CC"/>
    <w:rsid w:val="00B23525"/>
    <w:rsid w:val="00B24E82"/>
    <w:rsid w:val="00B27F78"/>
    <w:rsid w:val="00B5122C"/>
    <w:rsid w:val="00B81B1E"/>
    <w:rsid w:val="00BD7385"/>
    <w:rsid w:val="00BE76CE"/>
    <w:rsid w:val="00BF19D1"/>
    <w:rsid w:val="00BF7D9A"/>
    <w:rsid w:val="00C615CF"/>
    <w:rsid w:val="00C70860"/>
    <w:rsid w:val="00C71F17"/>
    <w:rsid w:val="00C75642"/>
    <w:rsid w:val="00C975E2"/>
    <w:rsid w:val="00CD1CFF"/>
    <w:rsid w:val="00CF29F0"/>
    <w:rsid w:val="00D059D4"/>
    <w:rsid w:val="00D12E35"/>
    <w:rsid w:val="00D47CA0"/>
    <w:rsid w:val="00D545BA"/>
    <w:rsid w:val="00D758C6"/>
    <w:rsid w:val="00D872C9"/>
    <w:rsid w:val="00DF2DFC"/>
    <w:rsid w:val="00E07AD8"/>
    <w:rsid w:val="00E13670"/>
    <w:rsid w:val="00E265AF"/>
    <w:rsid w:val="00E36F17"/>
    <w:rsid w:val="00E77AA1"/>
    <w:rsid w:val="00F139A1"/>
    <w:rsid w:val="00F3380A"/>
    <w:rsid w:val="00F63CF9"/>
    <w:rsid w:val="00F6411D"/>
    <w:rsid w:val="00F8375C"/>
    <w:rsid w:val="00F93DFD"/>
    <w:rsid w:val="00F97A16"/>
    <w:rsid w:val="00FA6BFF"/>
    <w:rsid w:val="00FB05F1"/>
    <w:rsid w:val="00FD3244"/>
    <w:rsid w:val="00FD4CB2"/>
    <w:rsid w:val="00FD52C2"/>
    <w:rsid w:val="00FF35A7"/>
    <w:rsid w:val="00FF7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9cf,#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37"/>
    <w:rPr>
      <w:sz w:val="24"/>
      <w:szCs w:val="24"/>
      <w:lang w:val="en-GB" w:eastAsia="en-US"/>
    </w:rPr>
  </w:style>
  <w:style w:type="paragraph" w:styleId="1">
    <w:name w:val="heading 1"/>
    <w:basedOn w:val="a"/>
    <w:next w:val="a"/>
    <w:qFormat/>
    <w:rsid w:val="00A96E37"/>
    <w:pPr>
      <w:keepNext/>
      <w:pBdr>
        <w:bottom w:val="single" w:sz="4" w:space="1" w:color="auto"/>
      </w:pBdr>
      <w:outlineLvl w:val="0"/>
    </w:pPr>
    <w:rPr>
      <w:rFonts w:ascii="Tahoma" w:hAnsi="Tahoma" w:cs="Courier New"/>
      <w:b/>
      <w:bCs/>
      <w:lang w:val="en-US"/>
    </w:rPr>
  </w:style>
  <w:style w:type="paragraph" w:styleId="2">
    <w:name w:val="heading 2"/>
    <w:basedOn w:val="a"/>
    <w:next w:val="a"/>
    <w:qFormat/>
    <w:rsid w:val="00A96E37"/>
    <w:pPr>
      <w:keepNext/>
      <w:widowControl w:val="0"/>
      <w:numPr>
        <w:ilvl w:val="1"/>
        <w:numId w:val="14"/>
      </w:numPr>
      <w:tabs>
        <w:tab w:val="num" w:pos="936"/>
      </w:tabs>
      <w:overflowPunct w:val="0"/>
      <w:autoSpaceDE w:val="0"/>
      <w:autoSpaceDN w:val="0"/>
      <w:adjustRightInd w:val="0"/>
      <w:ind w:left="936" w:hanging="576"/>
      <w:textAlignment w:val="baseline"/>
      <w:outlineLvl w:val="1"/>
    </w:pPr>
    <w:rPr>
      <w:b/>
      <w:sz w:val="22"/>
      <w:szCs w:val="20"/>
      <w:lang w:val="el-GR"/>
    </w:rPr>
  </w:style>
  <w:style w:type="paragraph" w:styleId="3">
    <w:name w:val="heading 3"/>
    <w:basedOn w:val="a"/>
    <w:next w:val="a"/>
    <w:qFormat/>
    <w:rsid w:val="00A96E37"/>
    <w:pPr>
      <w:keepNext/>
      <w:keepLines/>
      <w:autoSpaceDE w:val="0"/>
      <w:autoSpaceDN w:val="0"/>
      <w:adjustRightInd w:val="0"/>
      <w:spacing w:line="240" w:lineRule="atLeast"/>
      <w:outlineLvl w:val="2"/>
    </w:pPr>
    <w:rPr>
      <w:color w:val="000000"/>
      <w:sz w:val="22"/>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96E37"/>
    <w:rPr>
      <w:vertAlign w:val="superscript"/>
    </w:rPr>
  </w:style>
  <w:style w:type="paragraph" w:styleId="a4">
    <w:name w:val="Body Text"/>
    <w:basedOn w:val="a"/>
    <w:rsid w:val="00A96E37"/>
    <w:pPr>
      <w:autoSpaceDE w:val="0"/>
      <w:autoSpaceDN w:val="0"/>
      <w:adjustRightInd w:val="0"/>
    </w:pPr>
    <w:rPr>
      <w:rFonts w:ascii="HellasArial" w:hAnsi="HellasArial"/>
      <w:color w:val="000000"/>
      <w:sz w:val="20"/>
      <w:lang w:val="en-US"/>
    </w:rPr>
  </w:style>
  <w:style w:type="paragraph" w:customStyle="1" w:styleId="TableText">
    <w:name w:val="Table Text"/>
    <w:rsid w:val="00A96E37"/>
    <w:pPr>
      <w:autoSpaceDE w:val="0"/>
      <w:autoSpaceDN w:val="0"/>
      <w:adjustRightInd w:val="0"/>
    </w:pPr>
    <w:rPr>
      <w:rFonts w:ascii="HellasTimes" w:hAnsi="HellasTimes"/>
      <w:color w:val="000000"/>
      <w:szCs w:val="24"/>
      <w:lang w:val="en-US" w:eastAsia="en-US"/>
    </w:rPr>
  </w:style>
  <w:style w:type="paragraph" w:styleId="a5">
    <w:name w:val="footnote text"/>
    <w:basedOn w:val="a"/>
    <w:semiHidden/>
    <w:rsid w:val="00A96E37"/>
    <w:rPr>
      <w:sz w:val="20"/>
      <w:szCs w:val="20"/>
    </w:rPr>
  </w:style>
  <w:style w:type="paragraph" w:styleId="a6">
    <w:name w:val="footer"/>
    <w:basedOn w:val="a"/>
    <w:rsid w:val="00A96E37"/>
    <w:pPr>
      <w:tabs>
        <w:tab w:val="center" w:pos="4153"/>
        <w:tab w:val="right" w:pos="8306"/>
      </w:tabs>
    </w:pPr>
  </w:style>
  <w:style w:type="character" w:styleId="a7">
    <w:name w:val="page number"/>
    <w:basedOn w:val="a0"/>
    <w:rsid w:val="00A96E37"/>
  </w:style>
  <w:style w:type="paragraph" w:styleId="a8">
    <w:name w:val="header"/>
    <w:basedOn w:val="a"/>
    <w:rsid w:val="00A96E37"/>
    <w:pPr>
      <w:tabs>
        <w:tab w:val="center" w:pos="4153"/>
        <w:tab w:val="right" w:pos="8306"/>
      </w:tabs>
    </w:pPr>
  </w:style>
  <w:style w:type="paragraph" w:customStyle="1" w:styleId="Default">
    <w:name w:val="Default"/>
    <w:rsid w:val="00A96E37"/>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Default"/>
    <w:next w:val="Default"/>
    <w:rsid w:val="00A96E37"/>
    <w:rPr>
      <w:rFonts w:cs="Times New Roman"/>
      <w:color w:val="auto"/>
      <w:sz w:val="20"/>
    </w:rPr>
  </w:style>
  <w:style w:type="paragraph" w:styleId="a9">
    <w:name w:val="Plain Text"/>
    <w:basedOn w:val="Default"/>
    <w:next w:val="Default"/>
    <w:rsid w:val="00A96E37"/>
    <w:rPr>
      <w:rFonts w:cs="Times New Roman"/>
      <w:color w:val="auto"/>
      <w:sz w:val="20"/>
    </w:rPr>
  </w:style>
  <w:style w:type="paragraph" w:styleId="aa">
    <w:name w:val="Balloon Text"/>
    <w:basedOn w:val="a"/>
    <w:semiHidden/>
    <w:rsid w:val="001A067E"/>
    <w:rPr>
      <w:rFonts w:ascii="Tahoma" w:hAnsi="Tahoma" w:cs="Tahoma"/>
      <w:sz w:val="16"/>
      <w:szCs w:val="16"/>
    </w:rPr>
  </w:style>
  <w:style w:type="table" w:styleId="ab">
    <w:name w:val="Table Grid"/>
    <w:basedOn w:val="a1"/>
    <w:rsid w:val="00B5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0D1541"/>
    <w:rPr>
      <w:color w:val="0000FF"/>
      <w:u w:val="single"/>
    </w:rPr>
  </w:style>
</w:styles>
</file>

<file path=word/webSettings.xml><?xml version="1.0" encoding="utf-8"?>
<w:webSettings xmlns:r="http://schemas.openxmlformats.org/officeDocument/2006/relationships" xmlns:w="http://schemas.openxmlformats.org/wordprocessingml/2006/main">
  <w:divs>
    <w:div w:id="282924338">
      <w:bodyDiv w:val="1"/>
      <w:marLeft w:val="0"/>
      <w:marRight w:val="0"/>
      <w:marTop w:val="0"/>
      <w:marBottom w:val="0"/>
      <w:divBdr>
        <w:top w:val="none" w:sz="0" w:space="0" w:color="auto"/>
        <w:left w:val="none" w:sz="0" w:space="0" w:color="auto"/>
        <w:bottom w:val="none" w:sz="0" w:space="0" w:color="auto"/>
        <w:right w:val="none" w:sz="0" w:space="0" w:color="auto"/>
      </w:divBdr>
    </w:div>
    <w:div w:id="472985150">
      <w:bodyDiv w:val="1"/>
      <w:marLeft w:val="0"/>
      <w:marRight w:val="0"/>
      <w:marTop w:val="0"/>
      <w:marBottom w:val="0"/>
      <w:divBdr>
        <w:top w:val="none" w:sz="0" w:space="0" w:color="auto"/>
        <w:left w:val="none" w:sz="0" w:space="0" w:color="auto"/>
        <w:bottom w:val="none" w:sz="0" w:space="0" w:color="auto"/>
        <w:right w:val="none" w:sz="0" w:space="0" w:color="auto"/>
      </w:divBdr>
    </w:div>
    <w:div w:id="896281402">
      <w:bodyDiv w:val="1"/>
      <w:marLeft w:val="0"/>
      <w:marRight w:val="0"/>
      <w:marTop w:val="0"/>
      <w:marBottom w:val="0"/>
      <w:divBdr>
        <w:top w:val="none" w:sz="0" w:space="0" w:color="auto"/>
        <w:left w:val="none" w:sz="0" w:space="0" w:color="auto"/>
        <w:bottom w:val="none" w:sz="0" w:space="0" w:color="auto"/>
        <w:right w:val="none" w:sz="0" w:space="0" w:color="auto"/>
      </w:divBdr>
    </w:div>
    <w:div w:id="1638946342">
      <w:bodyDiv w:val="1"/>
      <w:marLeft w:val="0"/>
      <w:marRight w:val="0"/>
      <w:marTop w:val="0"/>
      <w:marBottom w:val="0"/>
      <w:divBdr>
        <w:top w:val="none" w:sz="0" w:space="0" w:color="auto"/>
        <w:left w:val="none" w:sz="0" w:space="0" w:color="auto"/>
        <w:bottom w:val="none" w:sz="0" w:space="0" w:color="auto"/>
        <w:right w:val="none" w:sz="0" w:space="0" w:color="auto"/>
      </w:divBdr>
    </w:div>
    <w:div w:id="17222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74D5-15B8-450C-B7C1-E7234811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4711</Words>
  <Characters>25440</Characters>
  <Application>Microsoft Office Word</Application>
  <DocSecurity>0</DocSecurity>
  <Lines>212</Lines>
  <Paragraphs>60</Paragraphs>
  <ScaleCrop>false</ScaleCrop>
  <HeadingPairs>
    <vt:vector size="6" baseType="variant">
      <vt:variant>
        <vt:lpstr>Τίτλος</vt:lpstr>
      </vt:variant>
      <vt:variant>
        <vt:i4>1</vt:i4>
      </vt:variant>
      <vt:variant>
        <vt:lpstr>Título</vt:lpstr>
      </vt:variant>
      <vt:variant>
        <vt:i4>1</vt:i4>
      </vt:variant>
      <vt:variant>
        <vt:lpstr>Title</vt:lpstr>
      </vt:variant>
      <vt:variant>
        <vt:i4>1</vt:i4>
      </vt:variant>
    </vt:vector>
  </HeadingPairs>
  <TitlesOfParts>
    <vt:vector size="3" baseType="lpstr">
      <vt:lpstr>ΠΕΡΙΛΗΨΗ ΤΩΝ ΧΑΡΑΚΤΗΡΙΣΤΙΚΩ Ν ΤΟΥ ΠΡΟΙΟΝΤΟΣ</vt:lpstr>
      <vt:lpstr>ΠΕΡΙΛΗΨΗ ΤΩΝ ΧΑΡΑΚΤΗΡΙΣΤΙΚΩ Ν ΤΟΥ ΠΡΟΙΟΝΤΟΣ</vt:lpstr>
      <vt:lpstr>ΠΕΡΙΛΗΨΗ ΤΩΝ ΧΑΡΑΚΤΗΡΙΣΤΙΚΩ Ν ΤΟΥ ΠΡΟΙΟΝΤΟΣ</vt:lpstr>
    </vt:vector>
  </TitlesOfParts>
  <Company>Abbott</Company>
  <LinksUpToDate>false</LinksUpToDate>
  <CharactersWithSpaces>30091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 Ν ΤΟΥ ΠΡΟΙΟΝΤΟΣ</dc:title>
  <dc:creator>Abbott</dc:creator>
  <cp:lastModifiedBy>user146</cp:lastModifiedBy>
  <cp:revision>4</cp:revision>
  <cp:lastPrinted>2013-08-28T10:29:00Z</cp:lastPrinted>
  <dcterms:created xsi:type="dcterms:W3CDTF">2013-08-28T10:30:00Z</dcterms:created>
  <dcterms:modified xsi:type="dcterms:W3CDTF">2013-09-27T11:52:00Z</dcterms:modified>
</cp:coreProperties>
</file>