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18" w:rsidRPr="006200CF" w:rsidRDefault="003C7518" w:rsidP="00506AF2">
      <w:pPr>
        <w:rPr>
          <w:rFonts w:ascii="Times New Roman" w:hAnsi="Times New Roman"/>
          <w:b/>
        </w:rPr>
      </w:pPr>
      <w:r w:rsidRPr="006200CF">
        <w:rPr>
          <w:rFonts w:ascii="Times New Roman" w:hAnsi="Times New Roman"/>
          <w:b/>
        </w:rPr>
        <w:t>1. ΟΝΟΜΑΣΙΑ ΤΟΥ ΦΑΡΜΑΚΕΥΤΙΚΟΥ ΠΡΟΪΟΝΤΟΣ</w:t>
      </w:r>
    </w:p>
    <w:p w:rsidR="003C7518" w:rsidRPr="006200CF" w:rsidRDefault="003C7518" w:rsidP="00506AF2">
      <w:pPr>
        <w:rPr>
          <w:rFonts w:ascii="Times New Roman" w:hAnsi="Times New Roman"/>
        </w:rPr>
      </w:pPr>
      <w:r w:rsidRPr="006200CF">
        <w:rPr>
          <w:rFonts w:ascii="Times New Roman" w:hAnsi="Times New Roman"/>
          <w:lang w:val="en-US"/>
        </w:rPr>
        <w:t>Pronzek</w:t>
      </w:r>
      <w:r w:rsidRPr="006200CF">
        <w:rPr>
          <w:rFonts w:ascii="Times New Roman" w:hAnsi="Times New Roman"/>
        </w:rPr>
        <w:t xml:space="preserve">, 40 </w:t>
      </w:r>
      <w:r w:rsidRPr="006200CF">
        <w:rPr>
          <w:rFonts w:ascii="Times New Roman" w:hAnsi="Times New Roman"/>
          <w:lang w:val="en-US"/>
        </w:rPr>
        <w:t>mg</w:t>
      </w:r>
      <w:r w:rsidRPr="006200CF">
        <w:rPr>
          <w:rFonts w:ascii="Times New Roman" w:hAnsi="Times New Roman"/>
        </w:rPr>
        <w:t>, γαστροανθεκτικό δισκίο</w:t>
      </w:r>
    </w:p>
    <w:p w:rsidR="003C7518" w:rsidRPr="006200CF" w:rsidRDefault="003C7518" w:rsidP="00506AF2">
      <w:pPr>
        <w:rPr>
          <w:rFonts w:ascii="Times New Roman" w:hAnsi="Times New Roman"/>
          <w:b/>
        </w:rPr>
      </w:pPr>
      <w:r w:rsidRPr="006200CF">
        <w:rPr>
          <w:rFonts w:ascii="Times New Roman" w:hAnsi="Times New Roman"/>
          <w:b/>
        </w:rPr>
        <w:t xml:space="preserve">2. ΠΟΙΟΤΙΚΗ ΚΑΙ ΠΟΣΟΤΙΚΗ ΣΥΝΘΕΣΗ </w:t>
      </w:r>
    </w:p>
    <w:p w:rsidR="003C7518" w:rsidRDefault="003C7518" w:rsidP="008349AA">
      <w:pPr>
        <w:pStyle w:val="NoSpacing"/>
        <w:rPr>
          <w:rFonts w:ascii="Times New Roman" w:hAnsi="Times New Roman"/>
        </w:rPr>
      </w:pPr>
      <w:r>
        <w:rPr>
          <w:rFonts w:ascii="Times New Roman" w:hAnsi="Times New Roman"/>
        </w:rPr>
        <w:t xml:space="preserve">Κάθε γαστροανθεκτικό δισκίο περιέχει 40 </w:t>
      </w:r>
      <w:r>
        <w:rPr>
          <w:rFonts w:ascii="Times New Roman" w:hAnsi="Times New Roman"/>
          <w:lang w:val="en-US"/>
        </w:rPr>
        <w:t>mg</w:t>
      </w:r>
      <w:r w:rsidRPr="008349AA">
        <w:rPr>
          <w:rFonts w:ascii="Times New Roman" w:hAnsi="Times New Roman"/>
        </w:rPr>
        <w:t xml:space="preserve"> </w:t>
      </w:r>
      <w:r>
        <w:rPr>
          <w:rFonts w:ascii="Times New Roman" w:hAnsi="Times New Roman"/>
        </w:rPr>
        <w:t>παντοπραζόλης (ως νατριούχο σεσκιυδρική).</w:t>
      </w:r>
    </w:p>
    <w:p w:rsidR="003C7518" w:rsidRPr="00A62604" w:rsidRDefault="003C7518" w:rsidP="00506AF2">
      <w:pPr>
        <w:rPr>
          <w:rFonts w:ascii="Times New Roman" w:hAnsi="Times New Roman"/>
        </w:rPr>
      </w:pPr>
    </w:p>
    <w:p w:rsidR="003C7518" w:rsidRPr="006200CF" w:rsidRDefault="003C7518" w:rsidP="00506AF2">
      <w:pPr>
        <w:rPr>
          <w:rFonts w:ascii="Times New Roman" w:hAnsi="Times New Roman"/>
        </w:rPr>
      </w:pPr>
      <w:r w:rsidRPr="006200CF">
        <w:rPr>
          <w:rFonts w:ascii="Times New Roman" w:hAnsi="Times New Roman"/>
        </w:rPr>
        <w:t xml:space="preserve">Για τον πλήρη κατάλογο των εκδόχων, βλ. παράγραφο 6.1. </w:t>
      </w:r>
    </w:p>
    <w:p w:rsidR="003C7518" w:rsidRPr="006200CF" w:rsidRDefault="003C7518" w:rsidP="00506AF2">
      <w:pPr>
        <w:rPr>
          <w:rFonts w:ascii="Times New Roman" w:hAnsi="Times New Roman"/>
          <w:b/>
        </w:rPr>
      </w:pPr>
      <w:r w:rsidRPr="006200CF">
        <w:rPr>
          <w:rFonts w:ascii="Times New Roman" w:hAnsi="Times New Roman"/>
          <w:b/>
        </w:rPr>
        <w:t>3. ΦΑΡΜΑΚΟΤΕΧΝΙΚΗ ΜΟΡΦΗ</w:t>
      </w:r>
    </w:p>
    <w:p w:rsidR="003C7518" w:rsidRPr="006200CF" w:rsidRDefault="003C7518" w:rsidP="00506AF2">
      <w:pPr>
        <w:rPr>
          <w:rFonts w:ascii="Times New Roman" w:hAnsi="Times New Roman"/>
        </w:rPr>
      </w:pPr>
      <w:r w:rsidRPr="006200CF">
        <w:rPr>
          <w:rFonts w:ascii="Times New Roman" w:hAnsi="Times New Roman"/>
        </w:rPr>
        <w:t>Γαστροανθεκτικό δισκίο</w:t>
      </w:r>
      <w:r w:rsidRPr="008349AA">
        <w:rPr>
          <w:rFonts w:ascii="Times New Roman" w:hAnsi="Times New Roman"/>
        </w:rPr>
        <w:t xml:space="preserve"> </w:t>
      </w:r>
      <w:r>
        <w:rPr>
          <w:rFonts w:ascii="Times New Roman" w:hAnsi="Times New Roman"/>
        </w:rPr>
        <w:t>(δισκίο)</w:t>
      </w:r>
      <w:r w:rsidRPr="006200CF">
        <w:rPr>
          <w:rFonts w:ascii="Times New Roman" w:hAnsi="Times New Roman"/>
        </w:rPr>
        <w:t xml:space="preserve">. </w:t>
      </w:r>
    </w:p>
    <w:p w:rsidR="003C7518" w:rsidRPr="006200CF" w:rsidRDefault="003C7518" w:rsidP="00506AF2">
      <w:pPr>
        <w:rPr>
          <w:rFonts w:ascii="Times New Roman" w:hAnsi="Times New Roman"/>
          <w:b/>
        </w:rPr>
      </w:pPr>
      <w:r w:rsidRPr="006200CF">
        <w:rPr>
          <w:rFonts w:ascii="Times New Roman" w:hAnsi="Times New Roman"/>
          <w:b/>
        </w:rPr>
        <w:t>4. ΚΛΙΝΙΚΕΣ ΠΛΗΡΟΦΟΡΙΕΣ</w:t>
      </w:r>
    </w:p>
    <w:p w:rsidR="003C7518" w:rsidRPr="006200CF" w:rsidRDefault="003C7518" w:rsidP="00506AF2">
      <w:pPr>
        <w:rPr>
          <w:rFonts w:ascii="Times New Roman" w:hAnsi="Times New Roman"/>
          <w:b/>
        </w:rPr>
      </w:pPr>
      <w:r w:rsidRPr="006200CF">
        <w:rPr>
          <w:rFonts w:ascii="Times New Roman" w:hAnsi="Times New Roman"/>
          <w:b/>
        </w:rPr>
        <w:t>4.1 θεραπευτικές ενδείξεις</w:t>
      </w:r>
    </w:p>
    <w:p w:rsidR="003C7518" w:rsidRPr="006200CF" w:rsidRDefault="003C7518" w:rsidP="00506AF2">
      <w:pPr>
        <w:pStyle w:val="NoSpacing"/>
        <w:rPr>
          <w:rFonts w:ascii="Times New Roman" w:hAnsi="Times New Roman"/>
        </w:rPr>
      </w:pPr>
      <w:r w:rsidRPr="006200CF">
        <w:rPr>
          <w:rFonts w:ascii="Times New Roman" w:hAnsi="Times New Roman"/>
        </w:rPr>
        <w:t>- Μέτρια και σοβαρή οισοφαγίτιδα από παλινδρόμηση</w:t>
      </w:r>
    </w:p>
    <w:p w:rsidR="003C7518" w:rsidRPr="006200CF" w:rsidRDefault="003C7518" w:rsidP="00506AF2">
      <w:pPr>
        <w:pStyle w:val="NoSpacing"/>
        <w:rPr>
          <w:rFonts w:ascii="Times New Roman" w:hAnsi="Times New Roman"/>
        </w:rPr>
      </w:pPr>
      <w:r w:rsidRPr="006200CF">
        <w:rPr>
          <w:rFonts w:ascii="Times New Roman" w:hAnsi="Times New Roman"/>
        </w:rPr>
        <w:t>- Σε συνδυασμό με δύο κατάλληλα αντιβιοτικά (βλ. παράγραφο 4.2 Δοσολογία και τρόπος</w:t>
      </w:r>
    </w:p>
    <w:p w:rsidR="003C7518" w:rsidRPr="006200CF" w:rsidRDefault="003C7518" w:rsidP="00506AF2">
      <w:pPr>
        <w:pStyle w:val="NoSpacing"/>
        <w:rPr>
          <w:rFonts w:ascii="Times New Roman" w:hAnsi="Times New Roman"/>
        </w:rPr>
      </w:pPr>
      <w:r w:rsidRPr="006200CF">
        <w:rPr>
          <w:rFonts w:ascii="Times New Roman" w:hAnsi="Times New Roman"/>
        </w:rPr>
        <w:t xml:space="preserve">χορήγησης) για την εκρίζωση του </w:t>
      </w:r>
      <w:r w:rsidRPr="006200CF">
        <w:rPr>
          <w:rFonts w:ascii="Times New Roman" w:hAnsi="Times New Roman"/>
          <w:lang w:val="en-US"/>
        </w:rPr>
        <w:t>Helicobacter</w:t>
      </w:r>
      <w:r w:rsidRPr="006200CF">
        <w:rPr>
          <w:rFonts w:ascii="Times New Roman" w:hAnsi="Times New Roman"/>
        </w:rPr>
        <w:t xml:space="preserve"> </w:t>
      </w:r>
      <w:r w:rsidRPr="006200CF">
        <w:rPr>
          <w:rFonts w:ascii="Times New Roman" w:hAnsi="Times New Roman"/>
          <w:lang w:val="en-US"/>
        </w:rPr>
        <w:t>pylori</w:t>
      </w:r>
      <w:r w:rsidRPr="006200CF">
        <w:rPr>
          <w:rFonts w:ascii="Times New Roman" w:hAnsi="Times New Roman"/>
        </w:rPr>
        <w:t xml:space="preserve"> σε ασθενείς με πεπτικά έλκη, με σκοπό να περιοριστεί η υποτροπή δωδεκαδακτυλικών και γαστρικών ελκών που προκαλούνται από αυτόν τον μικροοργανισμό.</w:t>
      </w:r>
    </w:p>
    <w:p w:rsidR="003C7518" w:rsidRPr="006200CF" w:rsidRDefault="003C7518" w:rsidP="00506AF2">
      <w:pPr>
        <w:pStyle w:val="NoSpacing"/>
        <w:rPr>
          <w:rFonts w:ascii="Times New Roman" w:hAnsi="Times New Roman"/>
        </w:rPr>
      </w:pPr>
      <w:r w:rsidRPr="006200CF">
        <w:rPr>
          <w:rFonts w:ascii="Times New Roman" w:hAnsi="Times New Roman"/>
        </w:rPr>
        <w:t>- Δωδεκαδακτυλικό έλκος.</w:t>
      </w:r>
    </w:p>
    <w:p w:rsidR="003C7518" w:rsidRPr="006200CF" w:rsidRDefault="003C7518" w:rsidP="00506AF2">
      <w:pPr>
        <w:pStyle w:val="NoSpacing"/>
        <w:rPr>
          <w:rFonts w:ascii="Times New Roman" w:hAnsi="Times New Roman"/>
        </w:rPr>
      </w:pPr>
      <w:r w:rsidRPr="006200CF">
        <w:rPr>
          <w:rFonts w:ascii="Times New Roman" w:hAnsi="Times New Roman"/>
        </w:rPr>
        <w:t>- Γαστρικό έλκος.</w:t>
      </w:r>
    </w:p>
    <w:p w:rsidR="003C7518" w:rsidRPr="006200CF" w:rsidRDefault="003C7518" w:rsidP="00506AF2">
      <w:pPr>
        <w:pStyle w:val="NoSpacing"/>
        <w:rPr>
          <w:rFonts w:ascii="Times New Roman" w:hAnsi="Times New Roman"/>
        </w:rPr>
      </w:pPr>
      <w:r w:rsidRPr="006200CF">
        <w:rPr>
          <w:rFonts w:ascii="Times New Roman" w:hAnsi="Times New Roman"/>
        </w:rPr>
        <w:t xml:space="preserve">- Σύνδρομο </w:t>
      </w:r>
      <w:r w:rsidRPr="006200CF">
        <w:rPr>
          <w:rFonts w:ascii="Times New Roman" w:hAnsi="Times New Roman"/>
          <w:lang w:val="en-US"/>
        </w:rPr>
        <w:t>Zollinger</w:t>
      </w:r>
      <w:r w:rsidRPr="006200CF">
        <w:rPr>
          <w:rFonts w:ascii="Times New Roman" w:hAnsi="Times New Roman"/>
        </w:rPr>
        <w:t>-</w:t>
      </w:r>
      <w:r w:rsidRPr="006200CF">
        <w:rPr>
          <w:rFonts w:ascii="Times New Roman" w:hAnsi="Times New Roman"/>
          <w:lang w:val="en-US"/>
        </w:rPr>
        <w:t>Ellison</w:t>
      </w:r>
      <w:r w:rsidRPr="006200CF">
        <w:rPr>
          <w:rFonts w:ascii="Times New Roman" w:hAnsi="Times New Roman"/>
        </w:rPr>
        <w:t xml:space="preserve"> και άλλες παθολογικές υπερεκκριτικ</w:t>
      </w:r>
      <w:r>
        <w:rPr>
          <w:rFonts w:ascii="Times New Roman" w:hAnsi="Times New Roman"/>
        </w:rPr>
        <w:t>έ</w:t>
      </w:r>
      <w:r w:rsidRPr="006200CF">
        <w:rPr>
          <w:rFonts w:ascii="Times New Roman" w:hAnsi="Times New Roman"/>
        </w:rPr>
        <w:t>ς καταστάσεις.</w:t>
      </w:r>
    </w:p>
    <w:p w:rsidR="003C7518" w:rsidRPr="006200CF" w:rsidRDefault="003C7518" w:rsidP="00506AF2">
      <w:pPr>
        <w:pStyle w:val="NoSpacing"/>
        <w:rPr>
          <w:rFonts w:ascii="Times New Roman" w:hAnsi="Times New Roman"/>
        </w:rPr>
      </w:pPr>
    </w:p>
    <w:p w:rsidR="003C7518" w:rsidRPr="006200CF" w:rsidRDefault="003C7518" w:rsidP="00506AF2">
      <w:pPr>
        <w:pStyle w:val="NoSpacing"/>
        <w:rPr>
          <w:rFonts w:ascii="Times New Roman" w:hAnsi="Times New Roman"/>
          <w:b/>
        </w:rPr>
      </w:pPr>
      <w:r w:rsidRPr="006200CF">
        <w:rPr>
          <w:rFonts w:ascii="Times New Roman" w:hAnsi="Times New Roman"/>
          <w:b/>
        </w:rPr>
        <w:t>4.2 Δοσολογία και τρόπος χορήγησης</w:t>
      </w:r>
    </w:p>
    <w:p w:rsidR="003C7518" w:rsidRPr="006200CF" w:rsidRDefault="003C7518" w:rsidP="00506AF2">
      <w:pPr>
        <w:pStyle w:val="NoSpacing"/>
        <w:rPr>
          <w:rFonts w:ascii="Times New Roman" w:hAnsi="Times New Roman"/>
        </w:rPr>
      </w:pPr>
    </w:p>
    <w:p w:rsidR="003C7518" w:rsidRPr="006200CF" w:rsidRDefault="003C7518" w:rsidP="00506AF2">
      <w:pPr>
        <w:pStyle w:val="NoSpacing"/>
        <w:rPr>
          <w:rFonts w:ascii="Times New Roman" w:hAnsi="Times New Roman"/>
          <w:b/>
          <w:i/>
        </w:rPr>
      </w:pPr>
      <w:r w:rsidRPr="006200CF">
        <w:rPr>
          <w:rFonts w:ascii="Times New Roman" w:hAnsi="Times New Roman"/>
          <w:b/>
          <w:i/>
        </w:rPr>
        <w:t>Συνιστώμενη δοσολογία:</w:t>
      </w:r>
    </w:p>
    <w:p w:rsidR="003C7518" w:rsidRPr="006200CF" w:rsidRDefault="003C7518" w:rsidP="00506AF2">
      <w:pPr>
        <w:pStyle w:val="NoSpacing"/>
        <w:rPr>
          <w:rFonts w:ascii="Times New Roman" w:hAnsi="Times New Roman"/>
          <w:b/>
        </w:rPr>
      </w:pPr>
    </w:p>
    <w:p w:rsidR="003C7518" w:rsidRPr="006200CF" w:rsidRDefault="003C7518" w:rsidP="00506AF2">
      <w:pPr>
        <w:pStyle w:val="NoSpacing"/>
        <w:rPr>
          <w:rFonts w:ascii="Times New Roman" w:hAnsi="Times New Roman"/>
          <w:b/>
        </w:rPr>
      </w:pPr>
      <w:r w:rsidRPr="006200CF">
        <w:rPr>
          <w:rFonts w:ascii="Times New Roman" w:hAnsi="Times New Roman"/>
          <w:b/>
        </w:rPr>
        <w:t>Ενήλικες και έφηβοι 12 ετών και άνω:</w:t>
      </w:r>
    </w:p>
    <w:p w:rsidR="003C7518" w:rsidRPr="006200CF" w:rsidRDefault="003C7518" w:rsidP="00506AF2">
      <w:pPr>
        <w:pStyle w:val="NoSpacing"/>
        <w:rPr>
          <w:rFonts w:ascii="Times New Roman" w:hAnsi="Times New Roman"/>
          <w:i/>
        </w:rPr>
      </w:pPr>
      <w:r w:rsidRPr="006200CF">
        <w:rPr>
          <w:rFonts w:ascii="Times New Roman" w:hAnsi="Times New Roman"/>
          <w:u w:val="single"/>
        </w:rPr>
        <w:t>Θεραπεία της μέτριας και σοβαρής οισοφαγίτιδας από</w:t>
      </w:r>
      <w:r w:rsidRPr="006200CF">
        <w:rPr>
          <w:rFonts w:ascii="Times New Roman" w:hAnsi="Times New Roman"/>
          <w:i/>
        </w:rPr>
        <w:t xml:space="preserve"> παλινδρόμηση</w:t>
      </w:r>
    </w:p>
    <w:p w:rsidR="003C7518" w:rsidRPr="006200CF" w:rsidRDefault="003C7518" w:rsidP="00506AF2">
      <w:pPr>
        <w:pStyle w:val="NoSpacing"/>
        <w:rPr>
          <w:rFonts w:ascii="Times New Roman" w:hAnsi="Times New Roman"/>
        </w:rPr>
      </w:pPr>
      <w:r w:rsidRPr="006200CF">
        <w:rPr>
          <w:rFonts w:ascii="Times New Roman" w:hAnsi="Times New Roman"/>
        </w:rPr>
        <w:t xml:space="preserve">Ένα γαστροανθεκτικό δισκίο </w:t>
      </w:r>
      <w:r w:rsidRPr="006200CF">
        <w:rPr>
          <w:rFonts w:ascii="Times New Roman" w:hAnsi="Times New Roman"/>
          <w:lang w:val="en-US"/>
        </w:rPr>
        <w:t>Pronzek</w:t>
      </w:r>
      <w:r w:rsidRPr="006200CF">
        <w:rPr>
          <w:rFonts w:ascii="Times New Roman" w:hAnsi="Times New Roman"/>
        </w:rPr>
        <w:t xml:space="preserve"> 40</w:t>
      </w:r>
      <w:r w:rsidRPr="006200CF">
        <w:rPr>
          <w:rFonts w:ascii="Times New Roman" w:hAnsi="Times New Roman"/>
          <w:lang w:val="en-US"/>
        </w:rPr>
        <w:t>mg</w:t>
      </w:r>
      <w:r w:rsidRPr="006200CF">
        <w:rPr>
          <w:rFonts w:ascii="Times New Roman" w:hAnsi="Times New Roman"/>
        </w:rPr>
        <w:t xml:space="preserve"> την ημέρα. Σε μεμονωμένες περιπτώσεις η δόση μπορεί να διπλασιασθεί (αύξηση σε 2 γαστροανθεκτικά δισκία </w:t>
      </w:r>
      <w:r w:rsidRPr="006200CF">
        <w:rPr>
          <w:rFonts w:ascii="Times New Roman" w:hAnsi="Times New Roman"/>
          <w:lang w:val="en-US"/>
        </w:rPr>
        <w:t>Pronzek</w:t>
      </w:r>
      <w:r w:rsidRPr="006200CF">
        <w:rPr>
          <w:rFonts w:ascii="Times New Roman" w:hAnsi="Times New Roman"/>
        </w:rPr>
        <w:t xml:space="preserve"> 40 </w:t>
      </w:r>
      <w:r w:rsidRPr="006200CF">
        <w:rPr>
          <w:rFonts w:ascii="Times New Roman" w:hAnsi="Times New Roman"/>
          <w:lang w:val="en-US"/>
        </w:rPr>
        <w:t>mg</w:t>
      </w:r>
      <w:r w:rsidRPr="006200CF">
        <w:rPr>
          <w:rFonts w:ascii="Times New Roman" w:hAnsi="Times New Roman"/>
        </w:rPr>
        <w:t xml:space="preserve"> την ημέρα), ιδίως όταν δεν έχει υπάρξει ανταπόκριση σε άλλη θεραπεία.</w:t>
      </w:r>
    </w:p>
    <w:p w:rsidR="003C7518" w:rsidRPr="006200CF" w:rsidRDefault="003C7518" w:rsidP="00506AF2">
      <w:pPr>
        <w:pStyle w:val="NoSpacing"/>
        <w:rPr>
          <w:rFonts w:ascii="Times New Roman" w:hAnsi="Times New Roman"/>
        </w:rPr>
      </w:pPr>
    </w:p>
    <w:p w:rsidR="003C7518" w:rsidRPr="006200CF" w:rsidRDefault="003C7518" w:rsidP="00506AF2">
      <w:pPr>
        <w:pStyle w:val="NoSpacing"/>
        <w:rPr>
          <w:rFonts w:ascii="Times New Roman" w:hAnsi="Times New Roman"/>
          <w:b/>
        </w:rPr>
      </w:pPr>
      <w:r w:rsidRPr="006200CF">
        <w:rPr>
          <w:rFonts w:ascii="Times New Roman" w:hAnsi="Times New Roman"/>
          <w:b/>
        </w:rPr>
        <w:t>Ενήλικες:</w:t>
      </w:r>
    </w:p>
    <w:p w:rsidR="003C7518" w:rsidRPr="006200CF" w:rsidRDefault="003C7518" w:rsidP="00506AF2">
      <w:pPr>
        <w:pStyle w:val="NoSpacing"/>
        <w:rPr>
          <w:rFonts w:ascii="Times New Roman" w:hAnsi="Times New Roman"/>
          <w:u w:val="single"/>
        </w:rPr>
      </w:pPr>
      <w:r w:rsidRPr="006200CF">
        <w:rPr>
          <w:rFonts w:ascii="Times New Roman" w:hAnsi="Times New Roman"/>
          <w:u w:val="single"/>
        </w:rPr>
        <w:t xml:space="preserve">Εκρίζωση του </w:t>
      </w:r>
      <w:r w:rsidRPr="006200CF">
        <w:rPr>
          <w:rFonts w:ascii="Times New Roman" w:hAnsi="Times New Roman"/>
          <w:u w:val="single"/>
          <w:lang w:val="en-US"/>
        </w:rPr>
        <w:t>Helicobacter</w:t>
      </w:r>
      <w:r w:rsidRPr="006200CF">
        <w:rPr>
          <w:rFonts w:ascii="Times New Roman" w:hAnsi="Times New Roman"/>
          <w:u w:val="single"/>
        </w:rPr>
        <w:t xml:space="preserve"> </w:t>
      </w:r>
      <w:r w:rsidRPr="006200CF">
        <w:rPr>
          <w:rFonts w:ascii="Times New Roman" w:hAnsi="Times New Roman"/>
          <w:u w:val="single"/>
          <w:lang w:val="en-US"/>
        </w:rPr>
        <w:t>pylori</w:t>
      </w:r>
      <w:r w:rsidRPr="006200CF">
        <w:rPr>
          <w:rFonts w:ascii="Times New Roman" w:hAnsi="Times New Roman"/>
          <w:u w:val="single"/>
        </w:rPr>
        <w:t xml:space="preserve"> σε συνδυασμό με δύο κατάλληλα αντιβιοτικά</w:t>
      </w:r>
    </w:p>
    <w:p w:rsidR="003C7518" w:rsidRPr="006200CF" w:rsidRDefault="003C7518" w:rsidP="00DF7796">
      <w:pPr>
        <w:pStyle w:val="NoSpacing"/>
        <w:rPr>
          <w:rFonts w:ascii="Times New Roman" w:hAnsi="Times New Roman"/>
        </w:rPr>
      </w:pPr>
      <w:r w:rsidRPr="006200CF">
        <w:rPr>
          <w:rFonts w:ascii="Times New Roman" w:hAnsi="Times New Roman"/>
        </w:rPr>
        <w:t xml:space="preserve">Σε ασθενείς με γαστρικά και δωδεκαδακτυλικά έλκη οι οποίοι είναι θετικοί για </w:t>
      </w:r>
      <w:r w:rsidRPr="006200CF">
        <w:rPr>
          <w:rFonts w:ascii="Times New Roman" w:hAnsi="Times New Roman"/>
          <w:lang w:val="en-US"/>
        </w:rPr>
        <w:t>Helicobacter</w:t>
      </w:r>
      <w:r w:rsidRPr="006200CF">
        <w:rPr>
          <w:rFonts w:ascii="Times New Roman" w:hAnsi="Times New Roman"/>
        </w:rPr>
        <w:t xml:space="preserve"> </w:t>
      </w:r>
      <w:r w:rsidRPr="006200CF">
        <w:rPr>
          <w:rFonts w:ascii="Times New Roman" w:hAnsi="Times New Roman"/>
          <w:lang w:val="en-US"/>
        </w:rPr>
        <w:t>pylori</w:t>
      </w:r>
      <w:r w:rsidRPr="006200CF">
        <w:rPr>
          <w:rFonts w:ascii="Times New Roman" w:hAnsi="Times New Roman"/>
        </w:rPr>
        <w:t xml:space="preserve">, θα πρέπει να επιτευχθεί εκρίζωση του βακτηριδίου με συνδυασμένη θεραπεία. Ανάλογα με την αντοχή του μικροβίου, οι πιο κάτω συνδυασμοί μπορούν να συνιστώνται για την εκρίζωση του </w:t>
      </w:r>
      <w:r w:rsidRPr="006200CF">
        <w:rPr>
          <w:rFonts w:ascii="Times New Roman" w:hAnsi="Times New Roman"/>
          <w:lang w:val="en-US"/>
        </w:rPr>
        <w:t>Helicobacter</w:t>
      </w:r>
      <w:r w:rsidRPr="006200CF">
        <w:rPr>
          <w:rFonts w:ascii="Times New Roman" w:hAnsi="Times New Roman"/>
        </w:rPr>
        <w:t xml:space="preserve"> </w:t>
      </w:r>
      <w:r w:rsidRPr="006200CF">
        <w:rPr>
          <w:rFonts w:ascii="Times New Roman" w:hAnsi="Times New Roman"/>
          <w:lang w:val="en-US"/>
        </w:rPr>
        <w:t>pylori</w:t>
      </w:r>
      <w:r w:rsidRPr="006200CF">
        <w:rPr>
          <w:rFonts w:ascii="Times New Roman" w:hAnsi="Times New Roman"/>
        </w:rPr>
        <w:t>:</w:t>
      </w:r>
    </w:p>
    <w:p w:rsidR="003C7518" w:rsidRPr="006200CF" w:rsidRDefault="003C7518" w:rsidP="00DF7796">
      <w:pPr>
        <w:pStyle w:val="NoSpacing"/>
        <w:rPr>
          <w:rFonts w:ascii="Times New Roman" w:hAnsi="Times New Roman"/>
        </w:rPr>
      </w:pPr>
    </w:p>
    <w:p w:rsidR="003C7518" w:rsidRPr="006200CF" w:rsidRDefault="003C7518" w:rsidP="00506AF2">
      <w:pPr>
        <w:pStyle w:val="NoSpacing"/>
        <w:rPr>
          <w:rFonts w:ascii="Times New Roman" w:hAnsi="Times New Roman"/>
        </w:rPr>
      </w:pPr>
      <w:r w:rsidRPr="006200CF">
        <w:rPr>
          <w:rFonts w:ascii="Times New Roman" w:hAnsi="Times New Roman"/>
        </w:rPr>
        <w:t xml:space="preserve">α) ένα γαστροανθεκτικό δισκίο </w:t>
      </w:r>
      <w:r w:rsidRPr="006200CF">
        <w:rPr>
          <w:rFonts w:ascii="Times New Roman" w:hAnsi="Times New Roman"/>
          <w:lang w:val="en-US"/>
        </w:rPr>
        <w:t>Pronzek</w:t>
      </w:r>
      <w:r w:rsidRPr="006200CF">
        <w:rPr>
          <w:rFonts w:ascii="Times New Roman" w:hAnsi="Times New Roman"/>
        </w:rPr>
        <w:t xml:space="preserve"> 40 </w:t>
      </w:r>
      <w:r w:rsidRPr="006200CF">
        <w:rPr>
          <w:rFonts w:ascii="Times New Roman" w:hAnsi="Times New Roman"/>
          <w:lang w:val="en-US"/>
        </w:rPr>
        <w:t>mg</w:t>
      </w:r>
      <w:r w:rsidRPr="006200CF">
        <w:rPr>
          <w:rFonts w:ascii="Times New Roman" w:hAnsi="Times New Roman"/>
        </w:rPr>
        <w:t xml:space="preserve"> δύο φορές την ημέρα</w:t>
      </w:r>
    </w:p>
    <w:p w:rsidR="003C7518" w:rsidRPr="006200CF" w:rsidRDefault="003C7518" w:rsidP="00506AF2">
      <w:pPr>
        <w:pStyle w:val="NoSpacing"/>
        <w:rPr>
          <w:rFonts w:ascii="Times New Roman" w:hAnsi="Times New Roman"/>
        </w:rPr>
      </w:pPr>
      <w:r w:rsidRPr="006200CF">
        <w:rPr>
          <w:rFonts w:ascii="Times New Roman" w:hAnsi="Times New Roman"/>
        </w:rPr>
        <w:t xml:space="preserve">+ 1000 </w:t>
      </w:r>
      <w:r w:rsidRPr="006200CF">
        <w:rPr>
          <w:rFonts w:ascii="Times New Roman" w:hAnsi="Times New Roman"/>
          <w:lang w:val="en-US"/>
        </w:rPr>
        <w:t>mg</w:t>
      </w:r>
      <w:r w:rsidRPr="006200CF">
        <w:rPr>
          <w:rFonts w:ascii="Times New Roman" w:hAnsi="Times New Roman"/>
        </w:rPr>
        <w:t xml:space="preserve"> αμοξυκιλλίνης δύο φορες την ημέρα</w:t>
      </w:r>
    </w:p>
    <w:p w:rsidR="003C7518" w:rsidRPr="006200CF" w:rsidRDefault="003C7518" w:rsidP="00506AF2">
      <w:pPr>
        <w:pStyle w:val="NoSpacing"/>
        <w:rPr>
          <w:rFonts w:ascii="Times New Roman" w:hAnsi="Times New Roman"/>
        </w:rPr>
      </w:pPr>
      <w:r w:rsidRPr="006200CF">
        <w:rPr>
          <w:rFonts w:ascii="Times New Roman" w:hAnsi="Times New Roman"/>
        </w:rPr>
        <w:t xml:space="preserve">+ 500 </w:t>
      </w:r>
      <w:r w:rsidRPr="006200CF">
        <w:rPr>
          <w:rFonts w:ascii="Times New Roman" w:hAnsi="Times New Roman"/>
          <w:lang w:val="en-US"/>
        </w:rPr>
        <w:t>mg</w:t>
      </w:r>
      <w:r w:rsidRPr="006200CF">
        <w:rPr>
          <w:rFonts w:ascii="Times New Roman" w:hAnsi="Times New Roman"/>
        </w:rPr>
        <w:t xml:space="preserve"> κλαριθρομυκίνης δύο φορές την ημέρα.</w:t>
      </w:r>
    </w:p>
    <w:p w:rsidR="003C7518" w:rsidRPr="006200CF" w:rsidRDefault="003C7518" w:rsidP="00506AF2">
      <w:pPr>
        <w:pStyle w:val="NoSpacing"/>
        <w:rPr>
          <w:rFonts w:ascii="Times New Roman" w:hAnsi="Times New Roman"/>
        </w:rPr>
      </w:pPr>
    </w:p>
    <w:p w:rsidR="003C7518" w:rsidRPr="006200CF" w:rsidRDefault="003C7518" w:rsidP="00506AF2">
      <w:pPr>
        <w:pStyle w:val="NoSpacing"/>
        <w:rPr>
          <w:rFonts w:ascii="Times New Roman" w:hAnsi="Times New Roman"/>
        </w:rPr>
      </w:pPr>
    </w:p>
    <w:p w:rsidR="003C7518" w:rsidRPr="006200CF" w:rsidRDefault="003C7518" w:rsidP="006205F5">
      <w:pPr>
        <w:pStyle w:val="NoSpacing"/>
        <w:rPr>
          <w:rFonts w:ascii="Times New Roman" w:hAnsi="Times New Roman"/>
        </w:rPr>
      </w:pPr>
      <w:r w:rsidRPr="006200CF">
        <w:rPr>
          <w:rFonts w:ascii="Times New Roman" w:hAnsi="Times New Roman"/>
        </w:rPr>
        <w:t xml:space="preserve"> β) ένα γαστροανθεκτικό δισκίο </w:t>
      </w:r>
      <w:r w:rsidRPr="006200CF">
        <w:rPr>
          <w:rFonts w:ascii="Times New Roman" w:hAnsi="Times New Roman"/>
          <w:lang w:val="en-US"/>
        </w:rPr>
        <w:t>Pronzek</w:t>
      </w:r>
      <w:r w:rsidRPr="006200CF">
        <w:rPr>
          <w:rFonts w:ascii="Times New Roman" w:hAnsi="Times New Roman"/>
        </w:rPr>
        <w:t xml:space="preserve"> 40 </w:t>
      </w:r>
      <w:r w:rsidRPr="006200CF">
        <w:rPr>
          <w:rFonts w:ascii="Times New Roman" w:hAnsi="Times New Roman"/>
          <w:lang w:val="en-US"/>
        </w:rPr>
        <w:t>mg</w:t>
      </w:r>
      <w:r w:rsidRPr="006200CF">
        <w:rPr>
          <w:rFonts w:ascii="Times New Roman" w:hAnsi="Times New Roman"/>
        </w:rPr>
        <w:t xml:space="preserve"> δύο φορές την ημέρα</w:t>
      </w:r>
    </w:p>
    <w:p w:rsidR="003C7518" w:rsidRPr="006200CF" w:rsidRDefault="003C7518" w:rsidP="006205F5">
      <w:pPr>
        <w:pStyle w:val="NoSpacing"/>
        <w:rPr>
          <w:rFonts w:ascii="Times New Roman" w:hAnsi="Times New Roman"/>
        </w:rPr>
      </w:pPr>
      <w:r w:rsidRPr="006200CF">
        <w:rPr>
          <w:rFonts w:ascii="Times New Roman" w:hAnsi="Times New Roman"/>
        </w:rPr>
        <w:t xml:space="preserve">+ 500 </w:t>
      </w:r>
      <w:r w:rsidRPr="006200CF">
        <w:rPr>
          <w:rFonts w:ascii="Times New Roman" w:hAnsi="Times New Roman"/>
          <w:lang w:val="en-US"/>
        </w:rPr>
        <w:t>mg</w:t>
      </w:r>
      <w:r w:rsidRPr="006200CF">
        <w:rPr>
          <w:rFonts w:ascii="Times New Roman" w:hAnsi="Times New Roman"/>
        </w:rPr>
        <w:t xml:space="preserve"> μετρονιδαζόλης δύο φορές την ημέρα </w:t>
      </w:r>
    </w:p>
    <w:p w:rsidR="003C7518" w:rsidRPr="006200CF" w:rsidRDefault="003C7518" w:rsidP="006205F5">
      <w:pPr>
        <w:pStyle w:val="NoSpacing"/>
        <w:rPr>
          <w:rFonts w:ascii="Times New Roman" w:hAnsi="Times New Roman"/>
        </w:rPr>
      </w:pPr>
      <w:r w:rsidRPr="006200CF">
        <w:rPr>
          <w:rFonts w:ascii="Times New Roman" w:hAnsi="Times New Roman"/>
        </w:rPr>
        <w:t xml:space="preserve">+ 500 </w:t>
      </w:r>
      <w:r w:rsidRPr="006200CF">
        <w:rPr>
          <w:rFonts w:ascii="Times New Roman" w:hAnsi="Times New Roman"/>
          <w:lang w:val="en-US"/>
        </w:rPr>
        <w:t>mg</w:t>
      </w:r>
      <w:r w:rsidRPr="006200CF">
        <w:rPr>
          <w:rFonts w:ascii="Times New Roman" w:hAnsi="Times New Roman"/>
        </w:rPr>
        <w:t xml:space="preserve"> κλαριθρομυκίνης δύο φορές την ημέρα.</w:t>
      </w:r>
    </w:p>
    <w:p w:rsidR="003C7518" w:rsidRPr="006200CF" w:rsidRDefault="003C7518" w:rsidP="006205F5">
      <w:pPr>
        <w:pStyle w:val="NoSpacing"/>
        <w:rPr>
          <w:rFonts w:ascii="Times New Roman" w:hAnsi="Times New Roman"/>
        </w:rPr>
      </w:pPr>
    </w:p>
    <w:p w:rsidR="003C7518" w:rsidRPr="006200CF" w:rsidRDefault="003C7518" w:rsidP="006205F5">
      <w:pPr>
        <w:pStyle w:val="NoSpacing"/>
        <w:rPr>
          <w:rFonts w:ascii="Times New Roman" w:hAnsi="Times New Roman"/>
        </w:rPr>
      </w:pPr>
      <w:r w:rsidRPr="006200CF">
        <w:rPr>
          <w:rFonts w:ascii="Times New Roman" w:hAnsi="Times New Roman"/>
        </w:rPr>
        <w:t xml:space="preserve">γ) ένα γαστροανθεκτικό δισκίο </w:t>
      </w:r>
      <w:r w:rsidRPr="006200CF">
        <w:rPr>
          <w:rFonts w:ascii="Times New Roman" w:hAnsi="Times New Roman"/>
          <w:lang w:val="en-US"/>
        </w:rPr>
        <w:t>Pronzek</w:t>
      </w:r>
      <w:r w:rsidRPr="006200CF">
        <w:rPr>
          <w:rFonts w:ascii="Times New Roman" w:hAnsi="Times New Roman"/>
        </w:rPr>
        <w:t xml:space="preserve"> 40 </w:t>
      </w:r>
      <w:r w:rsidRPr="006200CF">
        <w:rPr>
          <w:rFonts w:ascii="Times New Roman" w:hAnsi="Times New Roman"/>
          <w:lang w:val="en-US"/>
        </w:rPr>
        <w:t>mg</w:t>
      </w:r>
      <w:r w:rsidRPr="006200CF">
        <w:rPr>
          <w:rFonts w:ascii="Times New Roman" w:hAnsi="Times New Roman"/>
        </w:rPr>
        <w:t xml:space="preserve"> δύο φορές την ημέρα</w:t>
      </w:r>
    </w:p>
    <w:p w:rsidR="003C7518" w:rsidRPr="006200CF" w:rsidRDefault="003C7518" w:rsidP="006205F5">
      <w:pPr>
        <w:pStyle w:val="NoSpacing"/>
        <w:rPr>
          <w:rFonts w:ascii="Times New Roman" w:hAnsi="Times New Roman"/>
        </w:rPr>
      </w:pPr>
      <w:r w:rsidRPr="006200CF">
        <w:rPr>
          <w:rFonts w:ascii="Times New Roman" w:hAnsi="Times New Roman"/>
        </w:rPr>
        <w:t xml:space="preserve">+ 1000 </w:t>
      </w:r>
      <w:r w:rsidRPr="006200CF">
        <w:rPr>
          <w:rFonts w:ascii="Times New Roman" w:hAnsi="Times New Roman"/>
          <w:lang w:val="en-US"/>
        </w:rPr>
        <w:t>mg</w:t>
      </w:r>
      <w:r w:rsidRPr="006200CF">
        <w:rPr>
          <w:rFonts w:ascii="Times New Roman" w:hAnsi="Times New Roman"/>
        </w:rPr>
        <w:t xml:space="preserve"> αμοξυκιλλίνης δύο φορές την ημέρα</w:t>
      </w:r>
    </w:p>
    <w:p w:rsidR="003C7518" w:rsidRPr="006200CF" w:rsidRDefault="003C7518" w:rsidP="006205F5">
      <w:pPr>
        <w:pStyle w:val="NoSpacing"/>
        <w:rPr>
          <w:rFonts w:ascii="Times New Roman" w:hAnsi="Times New Roman"/>
        </w:rPr>
      </w:pPr>
      <w:r w:rsidRPr="006200CF">
        <w:rPr>
          <w:rFonts w:ascii="Times New Roman" w:hAnsi="Times New Roman"/>
        </w:rPr>
        <w:t xml:space="preserve">+ 500 </w:t>
      </w:r>
      <w:r w:rsidRPr="006200CF">
        <w:rPr>
          <w:rFonts w:ascii="Times New Roman" w:hAnsi="Times New Roman"/>
          <w:lang w:val="en-US"/>
        </w:rPr>
        <w:t>mg</w:t>
      </w:r>
      <w:r w:rsidRPr="006200CF">
        <w:rPr>
          <w:rFonts w:ascii="Times New Roman" w:hAnsi="Times New Roman"/>
        </w:rPr>
        <w:t xml:space="preserve"> μετρονιδαζόλης δύο φορές την ημέρα.</w:t>
      </w:r>
    </w:p>
    <w:p w:rsidR="003C7518" w:rsidRPr="006200CF" w:rsidRDefault="003C7518" w:rsidP="006205F5">
      <w:pPr>
        <w:pStyle w:val="NoSpacing"/>
        <w:rPr>
          <w:rFonts w:ascii="Times New Roman" w:hAnsi="Times New Roman"/>
        </w:rPr>
      </w:pPr>
    </w:p>
    <w:p w:rsidR="003C7518" w:rsidRPr="006200CF" w:rsidRDefault="003C7518" w:rsidP="006205F5">
      <w:pPr>
        <w:pStyle w:val="NoSpacing"/>
        <w:rPr>
          <w:rFonts w:ascii="Times New Roman" w:hAnsi="Times New Roman"/>
        </w:rPr>
      </w:pPr>
      <w:r w:rsidRPr="006200CF">
        <w:rPr>
          <w:rFonts w:ascii="Times New Roman" w:hAnsi="Times New Roman"/>
        </w:rPr>
        <w:t xml:space="preserve">Αν η συνδυασμένη θεραπεία δεν αποτελεί μία επιλογή, πχ. αν ο ασθενής έχει ελεγχθεί και βρεθεί αρνητικός για </w:t>
      </w:r>
      <w:r w:rsidRPr="006200CF">
        <w:rPr>
          <w:rFonts w:ascii="Times New Roman" w:hAnsi="Times New Roman"/>
          <w:lang w:val="en-US"/>
        </w:rPr>
        <w:t>Helicobacter</w:t>
      </w:r>
      <w:r w:rsidRPr="006200CF">
        <w:rPr>
          <w:rFonts w:ascii="Times New Roman" w:hAnsi="Times New Roman"/>
        </w:rPr>
        <w:t xml:space="preserve"> </w:t>
      </w:r>
      <w:r w:rsidRPr="006200CF">
        <w:rPr>
          <w:rFonts w:ascii="Times New Roman" w:hAnsi="Times New Roman"/>
          <w:lang w:val="en-US"/>
        </w:rPr>
        <w:t>pylori</w:t>
      </w:r>
      <w:r w:rsidRPr="006200CF">
        <w:rPr>
          <w:rFonts w:ascii="Times New Roman" w:hAnsi="Times New Roman"/>
        </w:rPr>
        <w:t xml:space="preserve">, εφαρμόζονται οι πιο κάτω δοσολογικές κατευθυντήριες γραμμές για τη μονοθεραπεία με </w:t>
      </w:r>
      <w:r w:rsidRPr="006200CF">
        <w:rPr>
          <w:rFonts w:ascii="Times New Roman" w:hAnsi="Times New Roman"/>
          <w:lang w:val="en-US"/>
        </w:rPr>
        <w:t>Pronzek</w:t>
      </w:r>
      <w:r w:rsidRPr="006200CF">
        <w:rPr>
          <w:rFonts w:ascii="Times New Roman" w:hAnsi="Times New Roman"/>
        </w:rPr>
        <w:t xml:space="preserve"> 40 </w:t>
      </w:r>
      <w:r w:rsidRPr="006200CF">
        <w:rPr>
          <w:rFonts w:ascii="Times New Roman" w:hAnsi="Times New Roman"/>
          <w:lang w:val="en-US"/>
        </w:rPr>
        <w:t>mg</w:t>
      </w:r>
      <w:r w:rsidRPr="006200CF">
        <w:rPr>
          <w:rFonts w:ascii="Times New Roman" w:hAnsi="Times New Roman"/>
        </w:rPr>
        <w:t>:</w:t>
      </w:r>
    </w:p>
    <w:p w:rsidR="003C7518" w:rsidRPr="006200CF" w:rsidRDefault="003C7518" w:rsidP="006205F5">
      <w:pPr>
        <w:pStyle w:val="NoSpacing"/>
        <w:rPr>
          <w:rFonts w:ascii="Times New Roman" w:hAnsi="Times New Roman"/>
        </w:rPr>
      </w:pPr>
    </w:p>
    <w:p w:rsidR="003C7518" w:rsidRPr="006200CF" w:rsidRDefault="003C7518" w:rsidP="006205F5">
      <w:pPr>
        <w:pStyle w:val="NoSpacing"/>
        <w:rPr>
          <w:rFonts w:ascii="Times New Roman" w:hAnsi="Times New Roman"/>
          <w:u w:val="single"/>
        </w:rPr>
      </w:pPr>
      <w:r w:rsidRPr="006200CF">
        <w:rPr>
          <w:rFonts w:ascii="Times New Roman" w:hAnsi="Times New Roman"/>
          <w:u w:val="single"/>
        </w:rPr>
        <w:t>Επούλωση γαστρικού και δωδεκαδακτυλικού έλκους</w:t>
      </w:r>
    </w:p>
    <w:p w:rsidR="003C7518" w:rsidRPr="006200CF" w:rsidRDefault="003C7518" w:rsidP="006205F5">
      <w:pPr>
        <w:pStyle w:val="NoSpacing"/>
        <w:rPr>
          <w:rFonts w:ascii="Times New Roman" w:hAnsi="Times New Roman"/>
        </w:rPr>
      </w:pPr>
      <w:r w:rsidRPr="006200CF">
        <w:rPr>
          <w:rFonts w:ascii="Times New Roman" w:hAnsi="Times New Roman"/>
        </w:rPr>
        <w:t xml:space="preserve">Ένα γαστροανθεκτικό δισκίο </w:t>
      </w:r>
      <w:r w:rsidRPr="006200CF">
        <w:rPr>
          <w:rFonts w:ascii="Times New Roman" w:hAnsi="Times New Roman"/>
          <w:lang w:val="en-US"/>
        </w:rPr>
        <w:t>Pronzek</w:t>
      </w:r>
      <w:r w:rsidRPr="006200CF">
        <w:rPr>
          <w:rFonts w:ascii="Times New Roman" w:hAnsi="Times New Roman"/>
        </w:rPr>
        <w:t xml:space="preserve"> 40 </w:t>
      </w:r>
      <w:r w:rsidRPr="006200CF">
        <w:rPr>
          <w:rFonts w:ascii="Times New Roman" w:hAnsi="Times New Roman"/>
          <w:lang w:val="en-US"/>
        </w:rPr>
        <w:t>mg</w:t>
      </w:r>
      <w:r w:rsidRPr="006200CF">
        <w:rPr>
          <w:rFonts w:ascii="Times New Roman" w:hAnsi="Times New Roman"/>
        </w:rPr>
        <w:t xml:space="preserve"> την ημέρα. Σε μεμονωμένες περιπτώσεις η δόση μπορεί να διπλασιασθεί (αύξηση σε 2 γαστροανθεκτικά δισκία </w:t>
      </w:r>
      <w:r w:rsidRPr="006200CF">
        <w:rPr>
          <w:rFonts w:ascii="Times New Roman" w:hAnsi="Times New Roman"/>
          <w:lang w:val="en-US"/>
        </w:rPr>
        <w:t>Pronzek</w:t>
      </w:r>
      <w:r w:rsidRPr="006200CF">
        <w:rPr>
          <w:rFonts w:ascii="Times New Roman" w:hAnsi="Times New Roman"/>
        </w:rPr>
        <w:t xml:space="preserve"> 40 </w:t>
      </w:r>
      <w:r w:rsidRPr="006200CF">
        <w:rPr>
          <w:rFonts w:ascii="Times New Roman" w:hAnsi="Times New Roman"/>
          <w:lang w:val="en-US"/>
        </w:rPr>
        <w:t>mg</w:t>
      </w:r>
      <w:r w:rsidRPr="006200CF">
        <w:rPr>
          <w:rFonts w:ascii="Times New Roman" w:hAnsi="Times New Roman"/>
        </w:rPr>
        <w:t xml:space="preserve"> την ημέρα), ιδίως όταν δεν έχει υπάρξει ανταπόκριση σε άλλη θεραπεία.</w:t>
      </w:r>
    </w:p>
    <w:p w:rsidR="003C7518" w:rsidRPr="006200CF" w:rsidRDefault="003C7518" w:rsidP="006205F5">
      <w:pPr>
        <w:pStyle w:val="NoSpacing"/>
        <w:rPr>
          <w:rFonts w:ascii="Times New Roman" w:hAnsi="Times New Roman"/>
        </w:rPr>
      </w:pPr>
    </w:p>
    <w:p w:rsidR="003C7518" w:rsidRPr="006200CF" w:rsidRDefault="003C7518" w:rsidP="006205F5">
      <w:pPr>
        <w:pStyle w:val="NoSpacing"/>
        <w:rPr>
          <w:rFonts w:ascii="Times New Roman" w:hAnsi="Times New Roman"/>
          <w:u w:val="single"/>
        </w:rPr>
      </w:pPr>
      <w:r w:rsidRPr="006200CF">
        <w:rPr>
          <w:rFonts w:ascii="Times New Roman" w:hAnsi="Times New Roman"/>
          <w:u w:val="single"/>
        </w:rPr>
        <w:t xml:space="preserve">Σύνδρομο </w:t>
      </w:r>
      <w:r w:rsidRPr="006200CF">
        <w:rPr>
          <w:rFonts w:ascii="Times New Roman" w:hAnsi="Times New Roman"/>
          <w:u w:val="single"/>
          <w:lang w:val="en-US"/>
        </w:rPr>
        <w:t>Zollinger</w:t>
      </w:r>
      <w:r w:rsidRPr="006200CF">
        <w:rPr>
          <w:rFonts w:ascii="Times New Roman" w:hAnsi="Times New Roman"/>
          <w:u w:val="single"/>
        </w:rPr>
        <w:t>-</w:t>
      </w:r>
      <w:r w:rsidRPr="006200CF">
        <w:rPr>
          <w:rFonts w:ascii="Times New Roman" w:hAnsi="Times New Roman"/>
          <w:u w:val="single"/>
          <w:lang w:val="en-US"/>
        </w:rPr>
        <w:t>Ellison</w:t>
      </w:r>
      <w:r w:rsidRPr="006200CF">
        <w:rPr>
          <w:rFonts w:ascii="Times New Roman" w:hAnsi="Times New Roman"/>
          <w:u w:val="single"/>
        </w:rPr>
        <w:t xml:space="preserve"> και άλλες παθολογικές υπερεκκριτικές καταστάσεις</w:t>
      </w:r>
    </w:p>
    <w:p w:rsidR="003C7518" w:rsidRPr="006200CF" w:rsidRDefault="003C7518" w:rsidP="006205F5">
      <w:pPr>
        <w:pStyle w:val="NoSpacing"/>
        <w:rPr>
          <w:rFonts w:ascii="Times New Roman" w:hAnsi="Times New Roman"/>
        </w:rPr>
      </w:pPr>
      <w:r w:rsidRPr="006200CF">
        <w:rPr>
          <w:rFonts w:ascii="Times New Roman" w:hAnsi="Times New Roman"/>
        </w:rPr>
        <w:t xml:space="preserve">Για τη μακροχρόνια αντιμετώπιση του συνδρόμου </w:t>
      </w:r>
      <w:r w:rsidRPr="006200CF">
        <w:rPr>
          <w:rFonts w:ascii="Times New Roman" w:hAnsi="Times New Roman"/>
          <w:lang w:val="en-US"/>
        </w:rPr>
        <w:t>Zollinger</w:t>
      </w:r>
      <w:r w:rsidRPr="006200CF">
        <w:rPr>
          <w:rFonts w:ascii="Times New Roman" w:hAnsi="Times New Roman"/>
        </w:rPr>
        <w:t>-</w:t>
      </w:r>
      <w:r w:rsidRPr="006200CF">
        <w:rPr>
          <w:rFonts w:ascii="Times New Roman" w:hAnsi="Times New Roman"/>
          <w:lang w:val="en-US"/>
        </w:rPr>
        <w:t>Ellison</w:t>
      </w:r>
      <w:r w:rsidRPr="006200CF">
        <w:rPr>
          <w:rFonts w:ascii="Times New Roman" w:hAnsi="Times New Roman"/>
        </w:rPr>
        <w:t xml:space="preserve"> και άλλων παθολογικών υπερεκκριτικ</w:t>
      </w:r>
      <w:r w:rsidRPr="006200CF">
        <w:rPr>
          <w:rFonts w:ascii="Tahoma" w:hAnsi="Tahoma" w:cs="Tahoma"/>
        </w:rPr>
        <w:t>ὡ</w:t>
      </w:r>
      <w:r w:rsidRPr="006200CF">
        <w:rPr>
          <w:rFonts w:ascii="Times New Roman" w:hAnsi="Times New Roman"/>
        </w:rPr>
        <w:t xml:space="preserve">ν καταστάσεων, η θεραπεία θα πρέπει να ξεκάνει με ημερήσια δόση 80 </w:t>
      </w:r>
      <w:r w:rsidRPr="006200CF">
        <w:rPr>
          <w:rFonts w:ascii="Times New Roman" w:hAnsi="Times New Roman"/>
          <w:lang w:val="en-US"/>
        </w:rPr>
        <w:t>mg</w:t>
      </w:r>
      <w:r w:rsidRPr="006200CF">
        <w:rPr>
          <w:rFonts w:ascii="Times New Roman" w:hAnsi="Times New Roman"/>
        </w:rPr>
        <w:t xml:space="preserve"> (2 δισκία </w:t>
      </w:r>
      <w:r w:rsidRPr="006200CF">
        <w:rPr>
          <w:rFonts w:ascii="Times New Roman" w:hAnsi="Times New Roman"/>
          <w:lang w:val="en-US"/>
        </w:rPr>
        <w:t>Pronzek</w:t>
      </w:r>
      <w:r w:rsidRPr="006200CF">
        <w:rPr>
          <w:rFonts w:ascii="Times New Roman" w:hAnsi="Times New Roman"/>
        </w:rPr>
        <w:t xml:space="preserve"> 40 </w:t>
      </w:r>
      <w:r w:rsidRPr="006200CF">
        <w:rPr>
          <w:rFonts w:ascii="Times New Roman" w:hAnsi="Times New Roman"/>
          <w:lang w:val="en-US"/>
        </w:rPr>
        <w:t>mg</w:t>
      </w:r>
      <w:r w:rsidRPr="006200CF">
        <w:rPr>
          <w:rFonts w:ascii="Times New Roman" w:hAnsi="Times New Roman"/>
        </w:rPr>
        <w:t xml:space="preserve">). Μετέπειτα, η δοσολογία μπορεί να προσδιορίζεται με τιτλοποίηση, αυξανόμενη ή μειούμενη αναλόγως των αναγκών, λαμβάνοντας τις μετρήσεις έκκρισης γαστρικού οξέος ως οδηγό. Με δόσεις άνω των 80 </w:t>
      </w:r>
      <w:r w:rsidRPr="006200CF">
        <w:rPr>
          <w:rFonts w:ascii="Times New Roman" w:hAnsi="Times New Roman"/>
          <w:lang w:val="en-US"/>
        </w:rPr>
        <w:t>mg</w:t>
      </w:r>
      <w:r w:rsidRPr="006200CF">
        <w:rPr>
          <w:rFonts w:ascii="Times New Roman" w:hAnsi="Times New Roman"/>
        </w:rPr>
        <w:t xml:space="preserve"> ημερησίως, η δόση πρέπει να διαιρείται και να χορηγείται δύο φορές ημερησίως. Παροδική αύξηση της δοσολογίας σε άνω των 160 </w:t>
      </w:r>
      <w:r w:rsidRPr="006200CF">
        <w:rPr>
          <w:rFonts w:ascii="Times New Roman" w:hAnsi="Times New Roman"/>
          <w:lang w:val="en-US"/>
        </w:rPr>
        <w:t>mg</w:t>
      </w:r>
      <w:r w:rsidRPr="006200CF">
        <w:rPr>
          <w:rFonts w:ascii="Times New Roman" w:hAnsi="Times New Roman"/>
        </w:rPr>
        <w:t xml:space="preserve"> </w:t>
      </w:r>
      <w:r w:rsidRPr="006200CF">
        <w:rPr>
          <w:rFonts w:ascii="Times New Roman" w:hAnsi="Times New Roman"/>
          <w:lang w:val="en-US"/>
        </w:rPr>
        <w:t>pantoprazole</w:t>
      </w:r>
      <w:r w:rsidRPr="006200CF">
        <w:rPr>
          <w:rFonts w:ascii="Times New Roman" w:hAnsi="Times New Roman"/>
        </w:rPr>
        <w:t xml:space="preserve"> είναι δυνατή αλλά δεν πρέπει να εφαρμόζεται για χρονικό διάστημα μακρύτερο από όσο απαιτείται για τον επαρκή έλεγχο της έκκρισης του γαστρικού οξέος.</w:t>
      </w:r>
    </w:p>
    <w:p w:rsidR="003C7518" w:rsidRPr="006200CF" w:rsidRDefault="003C7518" w:rsidP="006205F5">
      <w:pPr>
        <w:pStyle w:val="NoSpacing"/>
        <w:rPr>
          <w:rFonts w:ascii="Times New Roman" w:hAnsi="Times New Roman"/>
        </w:rPr>
      </w:pPr>
      <w:r w:rsidRPr="006200CF">
        <w:rPr>
          <w:rFonts w:ascii="Times New Roman" w:hAnsi="Times New Roman"/>
        </w:rPr>
        <w:t xml:space="preserve">Η διάρκεια της θεραπείας σε σύνδρομο </w:t>
      </w:r>
      <w:r w:rsidRPr="006200CF">
        <w:rPr>
          <w:rFonts w:ascii="Times New Roman" w:hAnsi="Times New Roman"/>
          <w:lang w:val="en-US"/>
        </w:rPr>
        <w:t>Zollinger</w:t>
      </w:r>
      <w:r w:rsidRPr="006200CF">
        <w:rPr>
          <w:rFonts w:ascii="Times New Roman" w:hAnsi="Times New Roman"/>
        </w:rPr>
        <w:t>-</w:t>
      </w:r>
      <w:r w:rsidRPr="006200CF">
        <w:rPr>
          <w:rFonts w:ascii="Times New Roman" w:hAnsi="Times New Roman"/>
          <w:lang w:val="en-US"/>
        </w:rPr>
        <w:t>Ellison</w:t>
      </w:r>
      <w:r w:rsidRPr="006200CF">
        <w:rPr>
          <w:rFonts w:ascii="Times New Roman" w:hAnsi="Times New Roman"/>
        </w:rPr>
        <w:t xml:space="preserve"> και άλλες παθολογικές υπερεκκριτικές καταστάσεις δεν είναι περιορισμένη και πρέπει να προσαρμόζεται ανάλογα με τις κλινικές ανάγκες.</w:t>
      </w:r>
    </w:p>
    <w:p w:rsidR="003C7518" w:rsidRPr="006200CF" w:rsidRDefault="003C7518" w:rsidP="006205F5">
      <w:pPr>
        <w:pStyle w:val="NoSpacing"/>
        <w:rPr>
          <w:rFonts w:ascii="Times New Roman" w:hAnsi="Times New Roman"/>
        </w:rPr>
      </w:pPr>
    </w:p>
    <w:p w:rsidR="003C7518" w:rsidRPr="006200CF" w:rsidRDefault="003C7518" w:rsidP="006205F5">
      <w:pPr>
        <w:pStyle w:val="NoSpacing"/>
        <w:rPr>
          <w:rFonts w:ascii="Times New Roman" w:hAnsi="Times New Roman"/>
          <w:b/>
        </w:rPr>
      </w:pPr>
      <w:r w:rsidRPr="006200CF">
        <w:rPr>
          <w:rFonts w:ascii="Times New Roman" w:hAnsi="Times New Roman"/>
          <w:b/>
        </w:rPr>
        <w:t>Παιδιά ηλικίας κάτω των 12 ετών:</w:t>
      </w:r>
    </w:p>
    <w:p w:rsidR="003C7518" w:rsidRPr="006200CF" w:rsidRDefault="003C7518" w:rsidP="006205F5">
      <w:pPr>
        <w:pStyle w:val="NoSpacing"/>
        <w:rPr>
          <w:rFonts w:ascii="Times New Roman" w:hAnsi="Times New Roman"/>
        </w:rPr>
      </w:pPr>
      <w:r w:rsidRPr="006200CF">
        <w:rPr>
          <w:rFonts w:ascii="Times New Roman" w:hAnsi="Times New Roman"/>
        </w:rPr>
        <w:t xml:space="preserve">Το γαστροανθεκτικό δισκίο </w:t>
      </w:r>
      <w:r w:rsidRPr="006200CF">
        <w:rPr>
          <w:rFonts w:ascii="Times New Roman" w:hAnsi="Times New Roman"/>
          <w:lang w:val="en-US"/>
        </w:rPr>
        <w:t>Pronzek</w:t>
      </w:r>
      <w:r w:rsidRPr="006200CF">
        <w:rPr>
          <w:rFonts w:ascii="Times New Roman" w:hAnsi="Times New Roman"/>
        </w:rPr>
        <w:t xml:space="preserve"> 4</w:t>
      </w:r>
      <w:r>
        <w:rPr>
          <w:rFonts w:ascii="Times New Roman" w:hAnsi="Times New Roman"/>
        </w:rPr>
        <w:t>0</w:t>
      </w:r>
      <w:r w:rsidRPr="006200CF">
        <w:rPr>
          <w:rFonts w:ascii="Times New Roman" w:hAnsi="Times New Roman"/>
        </w:rPr>
        <w:t xml:space="preserve"> </w:t>
      </w:r>
      <w:r w:rsidRPr="006200CF">
        <w:rPr>
          <w:rFonts w:ascii="Times New Roman" w:hAnsi="Times New Roman"/>
          <w:lang w:val="en-US"/>
        </w:rPr>
        <w:t>mg</w:t>
      </w:r>
      <w:r w:rsidRPr="006200CF">
        <w:rPr>
          <w:rFonts w:ascii="Times New Roman" w:hAnsi="Times New Roman"/>
        </w:rPr>
        <w:t xml:space="preserve"> δεν συνιστάται για χρήση σε παιδιά ηλικίας κάτω των 12 ετών, λόγω περιορισμένων στοιχείων για αυτήν την ηλικιακή ομάδα.</w:t>
      </w:r>
    </w:p>
    <w:p w:rsidR="003C7518" w:rsidRPr="006200CF" w:rsidRDefault="003C7518" w:rsidP="006205F5">
      <w:pPr>
        <w:pStyle w:val="NoSpacing"/>
        <w:rPr>
          <w:rFonts w:ascii="Times New Roman" w:hAnsi="Times New Roman"/>
        </w:rPr>
      </w:pPr>
    </w:p>
    <w:p w:rsidR="003C7518" w:rsidRPr="006200CF" w:rsidRDefault="003C7518" w:rsidP="006205F5">
      <w:pPr>
        <w:pStyle w:val="NoSpacing"/>
        <w:rPr>
          <w:rFonts w:ascii="Times New Roman" w:hAnsi="Times New Roman"/>
          <w:i/>
        </w:rPr>
      </w:pPr>
      <w:r w:rsidRPr="006200CF">
        <w:rPr>
          <w:rFonts w:ascii="Times New Roman" w:hAnsi="Times New Roman"/>
          <w:i/>
        </w:rPr>
        <w:t>Ειδικές ομάδες ασθενών</w:t>
      </w:r>
    </w:p>
    <w:p w:rsidR="003C7518" w:rsidRPr="006200CF" w:rsidRDefault="003C7518" w:rsidP="006205F5">
      <w:pPr>
        <w:pStyle w:val="NoSpacing"/>
        <w:rPr>
          <w:rFonts w:ascii="Times New Roman" w:hAnsi="Times New Roman"/>
        </w:rPr>
      </w:pPr>
      <w:r w:rsidRPr="006200CF">
        <w:rPr>
          <w:rFonts w:ascii="Times New Roman" w:hAnsi="Times New Roman"/>
        </w:rPr>
        <w:t>Σε ασθενείς με σοβαρή ηπατική ανεπάρκεια, η δόση πρέπει να μειώνεται σε 1 δισκίο (40</w:t>
      </w:r>
      <w:r w:rsidRPr="006200CF">
        <w:rPr>
          <w:rFonts w:ascii="Times New Roman" w:hAnsi="Times New Roman"/>
          <w:lang w:val="en-US"/>
        </w:rPr>
        <w:t>mg</w:t>
      </w:r>
    </w:p>
    <w:p w:rsidR="003C7518" w:rsidRPr="006200CF" w:rsidRDefault="003C7518" w:rsidP="006205F5">
      <w:pPr>
        <w:pStyle w:val="NoSpacing"/>
        <w:rPr>
          <w:rFonts w:ascii="Times New Roman" w:hAnsi="Times New Roman"/>
        </w:rPr>
      </w:pPr>
      <w:r w:rsidRPr="006200CF">
        <w:rPr>
          <w:rFonts w:ascii="Times New Roman" w:hAnsi="Times New Roman"/>
          <w:lang w:val="en-US"/>
        </w:rPr>
        <w:t>pantoprazole</w:t>
      </w:r>
      <w:r w:rsidRPr="006200CF">
        <w:rPr>
          <w:rFonts w:ascii="Times New Roman" w:hAnsi="Times New Roman"/>
        </w:rPr>
        <w:t xml:space="preserve">) μέρα παρά μέρα. Επιπλέον, σε αυτούς τους ασθενείς τα ηπατικά ένζυμα θα πρέπει να παρακολουθούνται κατά τη διάρκεια της θεραπείας με </w:t>
      </w:r>
      <w:r w:rsidRPr="006200CF">
        <w:rPr>
          <w:rFonts w:ascii="Times New Roman" w:hAnsi="Times New Roman"/>
          <w:lang w:val="en-US"/>
        </w:rPr>
        <w:t>Pronzek</w:t>
      </w:r>
      <w:r w:rsidRPr="006200CF">
        <w:rPr>
          <w:rFonts w:ascii="Times New Roman" w:hAnsi="Times New Roman"/>
        </w:rPr>
        <w:t xml:space="preserve"> 40 </w:t>
      </w:r>
      <w:r w:rsidRPr="006200CF">
        <w:rPr>
          <w:rFonts w:ascii="Times New Roman" w:hAnsi="Times New Roman"/>
          <w:lang w:val="en-US"/>
        </w:rPr>
        <w:t>mg</w:t>
      </w:r>
      <w:r w:rsidRPr="006200CF">
        <w:rPr>
          <w:rFonts w:ascii="Times New Roman" w:hAnsi="Times New Roman"/>
        </w:rPr>
        <w:t xml:space="preserve">. Σε περίπτωση αύξησης των τιμών των ηπατικών ενζύμων, η χορήγηση </w:t>
      </w:r>
      <w:r w:rsidRPr="006200CF">
        <w:rPr>
          <w:rFonts w:ascii="Times New Roman" w:hAnsi="Times New Roman"/>
          <w:lang w:val="en-US"/>
        </w:rPr>
        <w:t>Pronzek</w:t>
      </w:r>
      <w:r w:rsidRPr="006200CF">
        <w:rPr>
          <w:rFonts w:ascii="Times New Roman" w:hAnsi="Times New Roman"/>
        </w:rPr>
        <w:t xml:space="preserve"> 40 </w:t>
      </w:r>
      <w:r w:rsidRPr="006200CF">
        <w:rPr>
          <w:rFonts w:ascii="Times New Roman" w:hAnsi="Times New Roman"/>
          <w:lang w:val="en-US"/>
        </w:rPr>
        <w:t>mg</w:t>
      </w:r>
      <w:r w:rsidRPr="006200CF">
        <w:rPr>
          <w:rFonts w:ascii="Times New Roman" w:hAnsi="Times New Roman"/>
        </w:rPr>
        <w:t xml:space="preserve"> θα πρέπει να διακοπεί.</w:t>
      </w:r>
    </w:p>
    <w:p w:rsidR="003C7518" w:rsidRPr="006200CF" w:rsidRDefault="003C7518" w:rsidP="006205F5">
      <w:pPr>
        <w:pStyle w:val="NoSpacing"/>
        <w:rPr>
          <w:rFonts w:ascii="Times New Roman" w:hAnsi="Times New Roman"/>
        </w:rPr>
      </w:pPr>
    </w:p>
    <w:p w:rsidR="003C7518" w:rsidRPr="006200CF" w:rsidRDefault="003C7518" w:rsidP="006205F5">
      <w:pPr>
        <w:pStyle w:val="NoSpacing"/>
        <w:rPr>
          <w:rFonts w:ascii="Times New Roman" w:hAnsi="Times New Roman"/>
        </w:rPr>
      </w:pPr>
      <w:r w:rsidRPr="006200CF">
        <w:rPr>
          <w:rFonts w:ascii="Times New Roman" w:hAnsi="Times New Roman"/>
        </w:rPr>
        <w:t xml:space="preserve">Σε ηλικιωμένους ασθενείς ή σε ασθενείς με μειωμένη νεφρική λειτουργία, δεν πρέπει να γίνεται  υπέρβαση της ημερήσιας δόσης των 40 </w:t>
      </w:r>
      <w:r w:rsidRPr="006200CF">
        <w:rPr>
          <w:rFonts w:ascii="Times New Roman" w:hAnsi="Times New Roman"/>
          <w:lang w:val="en-US"/>
        </w:rPr>
        <w:t>mg</w:t>
      </w:r>
      <w:r w:rsidRPr="006200CF">
        <w:rPr>
          <w:rFonts w:ascii="Times New Roman" w:hAnsi="Times New Roman"/>
        </w:rPr>
        <w:t xml:space="preserve"> </w:t>
      </w:r>
      <w:r w:rsidRPr="006200CF">
        <w:rPr>
          <w:rFonts w:ascii="Times New Roman" w:hAnsi="Times New Roman"/>
          <w:lang w:val="en-US"/>
        </w:rPr>
        <w:t>pantoprazole</w:t>
      </w:r>
      <w:r w:rsidRPr="006200CF">
        <w:rPr>
          <w:rFonts w:ascii="Times New Roman" w:hAnsi="Times New Roman"/>
        </w:rPr>
        <w:t>.</w:t>
      </w:r>
    </w:p>
    <w:p w:rsidR="003C7518" w:rsidRPr="006200CF" w:rsidRDefault="003C7518" w:rsidP="006205F5">
      <w:pPr>
        <w:pStyle w:val="NoSpacing"/>
        <w:rPr>
          <w:rFonts w:ascii="Times New Roman" w:hAnsi="Times New Roman"/>
        </w:rPr>
      </w:pPr>
      <w:r w:rsidRPr="006200CF">
        <w:rPr>
          <w:rFonts w:ascii="Times New Roman" w:hAnsi="Times New Roman"/>
        </w:rPr>
        <w:t xml:space="preserve">Εξαίρεση είναι η συνδυασμένη θεραπεία για εκρίζωση του </w:t>
      </w:r>
      <w:r w:rsidRPr="006200CF">
        <w:rPr>
          <w:rFonts w:ascii="Times New Roman" w:hAnsi="Times New Roman"/>
          <w:lang w:val="en-US"/>
        </w:rPr>
        <w:t>Helicobacter</w:t>
      </w:r>
      <w:r w:rsidRPr="006200CF">
        <w:rPr>
          <w:rFonts w:ascii="Times New Roman" w:hAnsi="Times New Roman"/>
        </w:rPr>
        <w:t xml:space="preserve"> </w:t>
      </w:r>
      <w:r w:rsidRPr="006200CF">
        <w:rPr>
          <w:rFonts w:ascii="Times New Roman" w:hAnsi="Times New Roman"/>
          <w:lang w:val="en-US"/>
        </w:rPr>
        <w:t>pylori</w:t>
      </w:r>
      <w:r w:rsidRPr="006200CF">
        <w:rPr>
          <w:rFonts w:ascii="Times New Roman" w:hAnsi="Times New Roman"/>
        </w:rPr>
        <w:t>, όπου και οι</w:t>
      </w:r>
    </w:p>
    <w:p w:rsidR="003C7518" w:rsidRPr="006200CF" w:rsidRDefault="003C7518" w:rsidP="006205F5">
      <w:pPr>
        <w:pStyle w:val="NoSpacing"/>
        <w:rPr>
          <w:rFonts w:ascii="Times New Roman" w:hAnsi="Times New Roman"/>
        </w:rPr>
      </w:pPr>
      <w:r w:rsidRPr="006200CF">
        <w:rPr>
          <w:rFonts w:ascii="Times New Roman" w:hAnsi="Times New Roman"/>
        </w:rPr>
        <w:t xml:space="preserve">ηλικιωμένοι ασθενείς πρέπει να λαμβάνουν τη συνήθη δόση </w:t>
      </w:r>
      <w:r w:rsidRPr="006200CF">
        <w:rPr>
          <w:rFonts w:ascii="Times New Roman" w:hAnsi="Times New Roman"/>
          <w:lang w:val="en-US"/>
        </w:rPr>
        <w:t>pantoprazole</w:t>
      </w:r>
      <w:r w:rsidRPr="006200CF">
        <w:rPr>
          <w:rFonts w:ascii="Times New Roman" w:hAnsi="Times New Roman"/>
        </w:rPr>
        <w:t xml:space="preserve"> (2 </w:t>
      </w:r>
      <w:r w:rsidRPr="006200CF">
        <w:rPr>
          <w:rFonts w:ascii="Times New Roman" w:hAnsi="Times New Roman"/>
          <w:lang w:val="en-US"/>
        </w:rPr>
        <w:t>x</w:t>
      </w:r>
      <w:r w:rsidRPr="006200CF">
        <w:rPr>
          <w:rFonts w:ascii="Times New Roman" w:hAnsi="Times New Roman"/>
        </w:rPr>
        <w:t xml:space="preserve"> 40 </w:t>
      </w:r>
      <w:r w:rsidRPr="006200CF">
        <w:rPr>
          <w:rFonts w:ascii="Times New Roman" w:hAnsi="Times New Roman"/>
          <w:lang w:val="en-US"/>
        </w:rPr>
        <w:t>mg</w:t>
      </w:r>
      <w:r w:rsidRPr="006200CF">
        <w:rPr>
          <w:rFonts w:ascii="Times New Roman" w:hAnsi="Times New Roman"/>
        </w:rPr>
        <w:t xml:space="preserve"> / ημέρα) κατά τη διάρκεια θεραπείας 1 εβδομάδας.</w:t>
      </w:r>
    </w:p>
    <w:p w:rsidR="003C7518" w:rsidRPr="006200CF" w:rsidRDefault="003C7518" w:rsidP="006205F5">
      <w:pPr>
        <w:pStyle w:val="NoSpacing"/>
        <w:rPr>
          <w:rFonts w:ascii="Times New Roman" w:hAnsi="Times New Roman"/>
        </w:rPr>
      </w:pPr>
    </w:p>
    <w:p w:rsidR="003C7518" w:rsidRPr="006200CF" w:rsidRDefault="003C7518" w:rsidP="006205F5">
      <w:pPr>
        <w:pStyle w:val="NoSpacing"/>
        <w:rPr>
          <w:rFonts w:ascii="Times New Roman" w:hAnsi="Times New Roman"/>
          <w:b/>
          <w:i/>
        </w:rPr>
      </w:pPr>
    </w:p>
    <w:p w:rsidR="003C7518" w:rsidRPr="006200CF" w:rsidRDefault="003C7518" w:rsidP="006205F5">
      <w:pPr>
        <w:pStyle w:val="NoSpacing"/>
        <w:rPr>
          <w:rFonts w:ascii="Times New Roman" w:hAnsi="Times New Roman"/>
          <w:b/>
          <w:i/>
        </w:rPr>
      </w:pPr>
    </w:p>
    <w:p w:rsidR="003C7518" w:rsidRPr="006200CF" w:rsidRDefault="003C7518" w:rsidP="006205F5">
      <w:pPr>
        <w:pStyle w:val="NoSpacing"/>
        <w:rPr>
          <w:rFonts w:ascii="Times New Roman" w:hAnsi="Times New Roman"/>
          <w:b/>
          <w:i/>
        </w:rPr>
      </w:pPr>
    </w:p>
    <w:p w:rsidR="003C7518" w:rsidRPr="006200CF" w:rsidRDefault="003C7518" w:rsidP="006205F5">
      <w:pPr>
        <w:pStyle w:val="NoSpacing"/>
        <w:rPr>
          <w:rFonts w:ascii="Times New Roman" w:hAnsi="Times New Roman"/>
          <w:b/>
          <w:i/>
        </w:rPr>
      </w:pPr>
      <w:r w:rsidRPr="006200CF">
        <w:rPr>
          <w:rFonts w:ascii="Times New Roman" w:hAnsi="Times New Roman"/>
          <w:b/>
          <w:i/>
        </w:rPr>
        <w:t xml:space="preserve">Γενικές οδηγίες: </w:t>
      </w:r>
    </w:p>
    <w:p w:rsidR="003C7518" w:rsidRPr="006200CF" w:rsidRDefault="003C7518" w:rsidP="006205F5">
      <w:pPr>
        <w:pStyle w:val="NoSpacing"/>
        <w:rPr>
          <w:rFonts w:ascii="Times New Roman" w:hAnsi="Times New Roman"/>
          <w:b/>
          <w:i/>
        </w:rPr>
      </w:pPr>
    </w:p>
    <w:p w:rsidR="003C7518" w:rsidRPr="006200CF" w:rsidRDefault="003C7518" w:rsidP="006205F5">
      <w:pPr>
        <w:pStyle w:val="NoSpacing"/>
        <w:rPr>
          <w:rFonts w:ascii="Times New Roman" w:hAnsi="Times New Roman"/>
        </w:rPr>
      </w:pPr>
      <w:r w:rsidRPr="006200CF">
        <w:rPr>
          <w:rFonts w:ascii="Times New Roman" w:hAnsi="Times New Roman"/>
        </w:rPr>
        <w:t xml:space="preserve">Τα γαστροανθεκτικά δισκία </w:t>
      </w:r>
      <w:r w:rsidRPr="006200CF">
        <w:rPr>
          <w:rFonts w:ascii="Times New Roman" w:hAnsi="Times New Roman"/>
          <w:lang w:val="en-US"/>
        </w:rPr>
        <w:t>Pronzek</w:t>
      </w:r>
      <w:r w:rsidRPr="006200CF">
        <w:rPr>
          <w:rFonts w:ascii="Times New Roman" w:hAnsi="Times New Roman"/>
        </w:rPr>
        <w:t xml:space="preserve"> 40 </w:t>
      </w:r>
      <w:r w:rsidRPr="006200CF">
        <w:rPr>
          <w:rFonts w:ascii="Times New Roman" w:hAnsi="Times New Roman"/>
          <w:lang w:val="en-US"/>
        </w:rPr>
        <w:t>mg</w:t>
      </w:r>
      <w:r w:rsidRPr="006200CF">
        <w:rPr>
          <w:rFonts w:ascii="Times New Roman" w:hAnsi="Times New Roman"/>
        </w:rPr>
        <w:t xml:space="preserve"> δεν πρέπει να μασώνται ή να συνθλίβονται και πρέπει να καταπίνονται ολόκληρα μαζί με νερό 1 ώρα πριν το πρωινό γεύμα. Στη συνδυασμένη θεραπεία για εκρίζωση του </w:t>
      </w:r>
      <w:r w:rsidRPr="006200CF">
        <w:rPr>
          <w:rFonts w:ascii="Times New Roman" w:hAnsi="Times New Roman"/>
          <w:lang w:val="en-US"/>
        </w:rPr>
        <w:t>Helicobacter</w:t>
      </w:r>
      <w:r w:rsidRPr="006200CF">
        <w:rPr>
          <w:rFonts w:ascii="Times New Roman" w:hAnsi="Times New Roman"/>
        </w:rPr>
        <w:t xml:space="preserve"> </w:t>
      </w:r>
      <w:r w:rsidRPr="006200CF">
        <w:rPr>
          <w:rFonts w:ascii="Times New Roman" w:hAnsi="Times New Roman"/>
          <w:lang w:val="en-US"/>
        </w:rPr>
        <w:t>pylori</w:t>
      </w:r>
      <w:r w:rsidRPr="006200CF">
        <w:rPr>
          <w:rFonts w:ascii="Times New Roman" w:hAnsi="Times New Roman"/>
        </w:rPr>
        <w:t xml:space="preserve">, το δεύτερο δισκίο </w:t>
      </w:r>
      <w:r w:rsidRPr="006200CF">
        <w:rPr>
          <w:rFonts w:ascii="Times New Roman" w:hAnsi="Times New Roman"/>
          <w:lang w:val="en-US"/>
        </w:rPr>
        <w:t>Pronzek</w:t>
      </w:r>
      <w:r w:rsidRPr="006200CF">
        <w:rPr>
          <w:rFonts w:ascii="Times New Roman" w:hAnsi="Times New Roman"/>
        </w:rPr>
        <w:t xml:space="preserve"> 40 </w:t>
      </w:r>
      <w:r w:rsidRPr="006200CF">
        <w:rPr>
          <w:rFonts w:ascii="Times New Roman" w:hAnsi="Times New Roman"/>
          <w:lang w:val="en-US"/>
        </w:rPr>
        <w:t>mg</w:t>
      </w:r>
      <w:r w:rsidRPr="006200CF">
        <w:rPr>
          <w:rFonts w:ascii="Times New Roman" w:hAnsi="Times New Roman"/>
        </w:rPr>
        <w:t xml:space="preserve"> πρέπει να λαμβάνεται πριν το  βραδινό γεύμα. Η συνδυασμένη θεραπεία εφαρμόζεται γενικά για 7 ημέρες και μπορεί να παραταθεί το πολύ μέχρι δύο εβδομάδες. Αν, για να εξασφαλισθεί η επούλωση των ελκών, ενδείκνυται περαιτέρω θεραπεία με </w:t>
      </w:r>
      <w:r w:rsidRPr="006200CF">
        <w:rPr>
          <w:rFonts w:ascii="Times New Roman" w:hAnsi="Times New Roman"/>
          <w:lang w:val="en-US"/>
        </w:rPr>
        <w:t>pantoprazole</w:t>
      </w:r>
      <w:r w:rsidRPr="006200CF">
        <w:rPr>
          <w:rFonts w:ascii="Times New Roman" w:hAnsi="Times New Roman"/>
        </w:rPr>
        <w:t xml:space="preserve">, οι δοσολογικές συστάσεις για δωδεκαδακτυλικά και γαστρικά έλκη θα πρέπει να λαμβάνονται υπόψη. </w:t>
      </w:r>
    </w:p>
    <w:p w:rsidR="003C7518" w:rsidRPr="006200CF" w:rsidRDefault="003C7518" w:rsidP="006205F5">
      <w:pPr>
        <w:pStyle w:val="NoSpacing"/>
        <w:rPr>
          <w:rFonts w:ascii="Times New Roman" w:hAnsi="Times New Roman"/>
        </w:rPr>
      </w:pPr>
    </w:p>
    <w:p w:rsidR="003C7518" w:rsidRPr="006200CF" w:rsidRDefault="003C7518" w:rsidP="00FC3C8D">
      <w:pPr>
        <w:pStyle w:val="NoSpacing"/>
        <w:rPr>
          <w:rFonts w:ascii="Times New Roman" w:hAnsi="Times New Roman"/>
        </w:rPr>
      </w:pPr>
      <w:r w:rsidRPr="006200CF">
        <w:rPr>
          <w:rFonts w:ascii="Times New Roman" w:hAnsi="Times New Roman"/>
        </w:rPr>
        <w:t>Ένα δωδεκαδακτυλικό έλκος επουλώνεται γενικά μέσα σε 2 εβδομάδες.</w:t>
      </w:r>
    </w:p>
    <w:p w:rsidR="003C7518" w:rsidRPr="006200CF" w:rsidRDefault="003C7518" w:rsidP="00FC3C8D">
      <w:pPr>
        <w:pStyle w:val="NoSpacing"/>
        <w:rPr>
          <w:rFonts w:ascii="Times New Roman" w:hAnsi="Times New Roman"/>
        </w:rPr>
      </w:pPr>
      <w:r w:rsidRPr="006200CF">
        <w:rPr>
          <w:rFonts w:ascii="Times New Roman" w:hAnsi="Times New Roman"/>
        </w:rPr>
        <w:t xml:space="preserve">Αν μία περίοδος θεραπείας 2 εβδομάδων δεν είναι επαρκής, η επούλωση θα επιτευχτεί σε όλες σχεδόν τις περιπτώσεις μέσα σε 2 επιπλέον εβδομάδες. </w:t>
      </w:r>
    </w:p>
    <w:p w:rsidR="003C7518" w:rsidRPr="006200CF" w:rsidRDefault="003C7518" w:rsidP="00FC3C8D">
      <w:pPr>
        <w:pStyle w:val="NoSpacing"/>
        <w:rPr>
          <w:rFonts w:ascii="Times New Roman" w:hAnsi="Times New Roman"/>
        </w:rPr>
      </w:pPr>
    </w:p>
    <w:p w:rsidR="003C7518" w:rsidRPr="006200CF" w:rsidRDefault="003C7518" w:rsidP="00FC3C8D">
      <w:pPr>
        <w:pStyle w:val="NoSpacing"/>
        <w:rPr>
          <w:rFonts w:ascii="Times New Roman" w:hAnsi="Times New Roman"/>
        </w:rPr>
      </w:pPr>
      <w:r w:rsidRPr="006200CF">
        <w:rPr>
          <w:rFonts w:ascii="Times New Roman" w:hAnsi="Times New Roman"/>
        </w:rPr>
        <w:t>Μία περίοδος 4 εβδομάδων απαιτείται συνήθως για την επούλωση γαστρικών ελκών και</w:t>
      </w:r>
    </w:p>
    <w:p w:rsidR="003C7518" w:rsidRPr="006200CF" w:rsidRDefault="003C7518" w:rsidP="00FC3C8D">
      <w:pPr>
        <w:pStyle w:val="NoSpacing"/>
        <w:rPr>
          <w:rFonts w:ascii="Times New Roman" w:hAnsi="Times New Roman"/>
        </w:rPr>
      </w:pPr>
      <w:r w:rsidRPr="006200CF">
        <w:rPr>
          <w:rFonts w:ascii="Times New Roman" w:hAnsi="Times New Roman"/>
        </w:rPr>
        <w:t>οισοφαγίτιδας από παλινδρόμηση. Αν αυτή δεν είναι επαρκής, επούλωση θα επιτευχθεί συνήθως μέσα σε 4 επιπλέον εβδομάδες.</w:t>
      </w:r>
    </w:p>
    <w:p w:rsidR="003C7518" w:rsidRPr="006200CF" w:rsidRDefault="003C7518" w:rsidP="00FC3C8D">
      <w:pPr>
        <w:pStyle w:val="NoSpacing"/>
        <w:rPr>
          <w:rFonts w:ascii="Times New Roman" w:hAnsi="Times New Roman"/>
        </w:rPr>
      </w:pPr>
    </w:p>
    <w:p w:rsidR="003C7518" w:rsidRPr="006200CF" w:rsidRDefault="003C7518" w:rsidP="00FC3C8D">
      <w:pPr>
        <w:pStyle w:val="NoSpacing"/>
        <w:rPr>
          <w:rFonts w:ascii="Times New Roman" w:hAnsi="Times New Roman"/>
          <w:b/>
        </w:rPr>
      </w:pPr>
      <w:r w:rsidRPr="006200CF">
        <w:rPr>
          <w:rFonts w:ascii="Times New Roman" w:hAnsi="Times New Roman"/>
          <w:b/>
        </w:rPr>
        <w:t>4.3  Αντενδείξεις</w:t>
      </w:r>
    </w:p>
    <w:p w:rsidR="003C7518" w:rsidRPr="006200CF" w:rsidRDefault="003C7518" w:rsidP="00FC3C8D">
      <w:pPr>
        <w:pStyle w:val="NoSpacing"/>
        <w:rPr>
          <w:rFonts w:ascii="Times New Roman" w:hAnsi="Times New Roman"/>
        </w:rPr>
      </w:pPr>
    </w:p>
    <w:p w:rsidR="003C7518" w:rsidRPr="006200CF" w:rsidRDefault="003C7518" w:rsidP="00FC3C8D">
      <w:pPr>
        <w:pStyle w:val="NoSpacing"/>
        <w:rPr>
          <w:rFonts w:ascii="Times New Roman" w:hAnsi="Times New Roman"/>
        </w:rPr>
      </w:pPr>
      <w:r w:rsidRPr="006200CF">
        <w:rPr>
          <w:rFonts w:ascii="Times New Roman" w:hAnsi="Times New Roman"/>
        </w:rPr>
        <w:t xml:space="preserve">Το </w:t>
      </w:r>
      <w:r w:rsidRPr="006200CF">
        <w:rPr>
          <w:rFonts w:ascii="Times New Roman" w:hAnsi="Times New Roman"/>
          <w:lang w:val="en-US"/>
        </w:rPr>
        <w:t>Pronzek</w:t>
      </w:r>
      <w:r w:rsidRPr="006200CF">
        <w:rPr>
          <w:rFonts w:ascii="Times New Roman" w:hAnsi="Times New Roman"/>
        </w:rPr>
        <w:t xml:space="preserve"> δεν πρέπει να χρησιμοποιείται σε περιπτώσεις γνωστής υπερευαισθησίας σε ένα από τα συστατικά του </w:t>
      </w:r>
      <w:r w:rsidRPr="006200CF">
        <w:rPr>
          <w:rFonts w:ascii="Times New Roman" w:hAnsi="Times New Roman"/>
          <w:lang w:val="en-US"/>
        </w:rPr>
        <w:t>Pronzek</w:t>
      </w:r>
      <w:r w:rsidRPr="006200CF">
        <w:rPr>
          <w:rFonts w:ascii="Times New Roman" w:hAnsi="Times New Roman"/>
        </w:rPr>
        <w:t xml:space="preserve"> ή των άλλων φαρμάκων που χρησιμοποιούνται για τη συνδυασμένη θεραπεία.</w:t>
      </w:r>
    </w:p>
    <w:p w:rsidR="003C7518" w:rsidRPr="006200CF" w:rsidRDefault="003C7518" w:rsidP="00FC3C8D">
      <w:pPr>
        <w:pStyle w:val="NoSpacing"/>
        <w:rPr>
          <w:rFonts w:ascii="Times New Roman" w:hAnsi="Times New Roman"/>
        </w:rPr>
      </w:pPr>
    </w:p>
    <w:p w:rsidR="003C7518" w:rsidRPr="006200CF" w:rsidRDefault="003C7518" w:rsidP="00FC3C8D">
      <w:pPr>
        <w:pStyle w:val="NoSpacing"/>
        <w:rPr>
          <w:rFonts w:ascii="Times New Roman" w:hAnsi="Times New Roman"/>
        </w:rPr>
      </w:pPr>
      <w:r w:rsidRPr="006200CF">
        <w:rPr>
          <w:rFonts w:ascii="Times New Roman" w:hAnsi="Times New Roman"/>
        </w:rPr>
        <w:t xml:space="preserve">Το </w:t>
      </w:r>
      <w:r w:rsidRPr="006200CF">
        <w:rPr>
          <w:rFonts w:ascii="Times New Roman" w:hAnsi="Times New Roman"/>
          <w:lang w:val="en-US"/>
        </w:rPr>
        <w:t>Pronzek</w:t>
      </w:r>
      <w:r w:rsidRPr="006200CF">
        <w:rPr>
          <w:rFonts w:ascii="Times New Roman" w:hAnsi="Times New Roman"/>
        </w:rPr>
        <w:t xml:space="preserve"> δεν πρέπει να χρησιμοποιείται στη συνδυασμένη θεραπεία για εκρίζωση του</w:t>
      </w:r>
    </w:p>
    <w:p w:rsidR="003C7518" w:rsidRPr="006200CF" w:rsidRDefault="003C7518" w:rsidP="00FC3C8D">
      <w:pPr>
        <w:pStyle w:val="NoSpacing"/>
        <w:rPr>
          <w:rFonts w:ascii="Times New Roman" w:hAnsi="Times New Roman"/>
        </w:rPr>
      </w:pPr>
      <w:r w:rsidRPr="006200CF">
        <w:rPr>
          <w:rFonts w:ascii="Times New Roman" w:hAnsi="Times New Roman"/>
          <w:lang w:val="en-US"/>
        </w:rPr>
        <w:t>Helicobacter</w:t>
      </w:r>
      <w:r w:rsidRPr="006200CF">
        <w:rPr>
          <w:rFonts w:ascii="Times New Roman" w:hAnsi="Times New Roman"/>
        </w:rPr>
        <w:t xml:space="preserve"> </w:t>
      </w:r>
      <w:r w:rsidRPr="006200CF">
        <w:rPr>
          <w:rFonts w:ascii="Times New Roman" w:hAnsi="Times New Roman"/>
          <w:lang w:val="en-US"/>
        </w:rPr>
        <w:t>pylori</w:t>
      </w:r>
      <w:r w:rsidRPr="006200CF">
        <w:rPr>
          <w:rFonts w:ascii="Times New Roman" w:hAnsi="Times New Roman"/>
        </w:rPr>
        <w:t xml:space="preserve"> σε ασθενείς με μέτρια έως σοβαρή ηπατική ή νεφρική δυσλειτουργία, επειδή επί του παρόντος δεν υπάρχουν διαθέσιμα στοιχεία για την αποτελεσματικότητα και ασφάλεια του </w:t>
      </w:r>
      <w:r w:rsidRPr="006200CF">
        <w:rPr>
          <w:rFonts w:ascii="Times New Roman" w:hAnsi="Times New Roman"/>
          <w:lang w:val="en-US"/>
        </w:rPr>
        <w:t>Pronzek</w:t>
      </w:r>
      <w:r w:rsidRPr="006200CF">
        <w:rPr>
          <w:rFonts w:ascii="Times New Roman" w:hAnsi="Times New Roman"/>
        </w:rPr>
        <w:t xml:space="preserve"> στη συνδυασμένη θεραπεία αυτών των ασθενών. </w:t>
      </w:r>
    </w:p>
    <w:p w:rsidR="003C7518" w:rsidRPr="006200CF" w:rsidRDefault="003C7518" w:rsidP="00FC3C8D">
      <w:pPr>
        <w:pStyle w:val="NoSpacing"/>
        <w:rPr>
          <w:rFonts w:ascii="Times New Roman" w:hAnsi="Times New Roman"/>
        </w:rPr>
      </w:pPr>
    </w:p>
    <w:p w:rsidR="003C7518" w:rsidRPr="006200CF" w:rsidRDefault="003C7518" w:rsidP="00FC3C8D">
      <w:pPr>
        <w:pStyle w:val="NoSpacing"/>
        <w:rPr>
          <w:rFonts w:ascii="Times New Roman" w:hAnsi="Times New Roman"/>
        </w:rPr>
      </w:pPr>
      <w:r w:rsidRPr="006200CF">
        <w:rPr>
          <w:rFonts w:ascii="Times New Roman" w:hAnsi="Times New Roman"/>
        </w:rPr>
        <w:t xml:space="preserve">Η </w:t>
      </w:r>
      <w:r w:rsidRPr="006200CF">
        <w:rPr>
          <w:rFonts w:ascii="Times New Roman" w:hAnsi="Times New Roman"/>
          <w:lang w:val="en-US"/>
        </w:rPr>
        <w:t>pantoprazole</w:t>
      </w:r>
      <w:r w:rsidRPr="006200CF">
        <w:rPr>
          <w:rFonts w:ascii="Times New Roman" w:hAnsi="Times New Roman"/>
        </w:rPr>
        <w:t>, όπως άλλοι αναστολείς αντλίας πρωτονίων: δεν πρέπει να συγχορηγείται με αταζαναβίρη (βλ. παράγραφο 4.5).</w:t>
      </w:r>
    </w:p>
    <w:p w:rsidR="003C7518" w:rsidRPr="006200CF" w:rsidRDefault="003C7518" w:rsidP="00FC3C8D">
      <w:pPr>
        <w:pStyle w:val="NoSpacing"/>
        <w:rPr>
          <w:rFonts w:ascii="Times New Roman" w:hAnsi="Times New Roman"/>
        </w:rPr>
      </w:pPr>
    </w:p>
    <w:p w:rsidR="003C7518" w:rsidRPr="006200CF" w:rsidRDefault="003C7518" w:rsidP="00FC3C8D">
      <w:pPr>
        <w:pStyle w:val="NoSpacing"/>
        <w:rPr>
          <w:rFonts w:ascii="Times New Roman" w:hAnsi="Times New Roman"/>
          <w:b/>
        </w:rPr>
      </w:pPr>
      <w:r w:rsidRPr="006200CF">
        <w:rPr>
          <w:rFonts w:ascii="Times New Roman" w:hAnsi="Times New Roman"/>
          <w:b/>
        </w:rPr>
        <w:t>4.4 Ειδικές προειδοποιήσεις και προφυλάξεις κατά τη χρήση</w:t>
      </w:r>
    </w:p>
    <w:p w:rsidR="003C7518" w:rsidRPr="006200CF" w:rsidRDefault="003C7518" w:rsidP="00FC3C8D">
      <w:pPr>
        <w:pStyle w:val="NoSpacing"/>
        <w:rPr>
          <w:rFonts w:ascii="Times New Roman" w:hAnsi="Times New Roman"/>
        </w:rPr>
      </w:pPr>
    </w:p>
    <w:p w:rsidR="003C7518" w:rsidRPr="006200CF" w:rsidRDefault="003C7518" w:rsidP="00FC3C8D">
      <w:pPr>
        <w:pStyle w:val="NoSpacing"/>
        <w:rPr>
          <w:rFonts w:ascii="Times New Roman" w:hAnsi="Times New Roman"/>
        </w:rPr>
      </w:pPr>
      <w:r w:rsidRPr="006200CF">
        <w:rPr>
          <w:rFonts w:ascii="Times New Roman" w:hAnsi="Times New Roman"/>
        </w:rPr>
        <w:t xml:space="preserve">Η </w:t>
      </w:r>
      <w:r w:rsidRPr="006200CF">
        <w:rPr>
          <w:rFonts w:ascii="Times New Roman" w:hAnsi="Times New Roman"/>
          <w:lang w:val="en-US"/>
        </w:rPr>
        <w:t>pantoprazole</w:t>
      </w:r>
      <w:r w:rsidRPr="006200CF">
        <w:rPr>
          <w:rFonts w:ascii="Times New Roman" w:hAnsi="Times New Roman"/>
        </w:rPr>
        <w:t xml:space="preserve"> δεν ενδείκνυται για ήπια γαστρεντερικά ενοχλήματα όπως η νευρογενής/ή μη οργανική δυσπεψία.</w:t>
      </w:r>
    </w:p>
    <w:p w:rsidR="003C7518" w:rsidRPr="006200CF" w:rsidRDefault="003C7518" w:rsidP="00FC3C8D">
      <w:pPr>
        <w:pStyle w:val="NoSpacing"/>
        <w:rPr>
          <w:rFonts w:ascii="Times New Roman" w:hAnsi="Times New Roman"/>
        </w:rPr>
      </w:pPr>
    </w:p>
    <w:p w:rsidR="003C7518" w:rsidRPr="006200CF" w:rsidRDefault="003C7518" w:rsidP="00FC3C8D">
      <w:pPr>
        <w:pStyle w:val="NoSpacing"/>
        <w:rPr>
          <w:rFonts w:ascii="Times New Roman" w:hAnsi="Times New Roman"/>
        </w:rPr>
      </w:pPr>
      <w:r w:rsidRPr="006200CF">
        <w:rPr>
          <w:rFonts w:ascii="Times New Roman" w:hAnsi="Times New Roman"/>
        </w:rPr>
        <w:t>Στην περίπτωση της συνδυασμ</w:t>
      </w:r>
      <w:r w:rsidRPr="006200CF">
        <w:rPr>
          <w:rFonts w:ascii="Tahoma" w:hAnsi="Tahoma" w:cs="Tahoma"/>
        </w:rPr>
        <w:t>ἐ</w:t>
      </w:r>
      <w:r w:rsidRPr="006200CF">
        <w:rPr>
          <w:rFonts w:ascii="Times New Roman" w:hAnsi="Times New Roman"/>
        </w:rPr>
        <w:t>νης θεραπείας, οι περιλήψεις χαρακτηριστικών των αντίστοιχων φαρμάκων θα πρέπει να λαμβάνονται υπόψη.</w:t>
      </w:r>
    </w:p>
    <w:p w:rsidR="003C7518" w:rsidRPr="006200CF" w:rsidRDefault="003C7518" w:rsidP="00FC3C8D">
      <w:pPr>
        <w:pStyle w:val="NoSpacing"/>
        <w:rPr>
          <w:rFonts w:ascii="Times New Roman" w:hAnsi="Times New Roman"/>
        </w:rPr>
      </w:pPr>
    </w:p>
    <w:p w:rsidR="003C7518" w:rsidRPr="006200CF" w:rsidRDefault="003C7518" w:rsidP="00FC3C8D">
      <w:pPr>
        <w:pStyle w:val="NoSpacing"/>
        <w:rPr>
          <w:rFonts w:ascii="Times New Roman" w:hAnsi="Times New Roman"/>
        </w:rPr>
      </w:pPr>
      <w:r w:rsidRPr="006200CF">
        <w:rPr>
          <w:rFonts w:ascii="Times New Roman" w:hAnsi="Times New Roman"/>
        </w:rPr>
        <w:t>Σε περίπτωση οποιουδήποτε προειδοποιητικού συμπτώματος (πχ. σημαντικής, μη σκόπιμης</w:t>
      </w:r>
    </w:p>
    <w:p w:rsidR="003C7518" w:rsidRPr="006200CF" w:rsidRDefault="003C7518" w:rsidP="00FC3C8D">
      <w:pPr>
        <w:pStyle w:val="NoSpacing"/>
        <w:rPr>
          <w:rFonts w:ascii="Times New Roman" w:hAnsi="Times New Roman"/>
        </w:rPr>
      </w:pPr>
      <w:r w:rsidRPr="006200CF">
        <w:rPr>
          <w:rFonts w:ascii="Times New Roman" w:hAnsi="Times New Roman"/>
        </w:rPr>
        <w:t xml:space="preserve">απώλειας βάρους, υποτροπιαζόντων εμέτων, δυσφαγίας, αιματέμεσης, αναιμίας ή μέλαινας) και σε περίπτωση γαστρικού έλκους ή υποψίας γαστρικού έλκους, πρέπει να αποκλεισθεί το ενδεχόμενο κακοήθους νόσου, επειδή η θεραπεία με </w:t>
      </w:r>
      <w:r w:rsidRPr="006200CF">
        <w:rPr>
          <w:rFonts w:ascii="Times New Roman" w:hAnsi="Times New Roman"/>
          <w:lang w:val="en-US"/>
        </w:rPr>
        <w:t>pantoprazole</w:t>
      </w:r>
      <w:r w:rsidRPr="006200CF">
        <w:rPr>
          <w:rFonts w:ascii="Times New Roman" w:hAnsi="Times New Roman"/>
        </w:rPr>
        <w:t xml:space="preserve"> μπορεί να ανακουφίσει από τα συμπτώματα και να καθυστερήσει τη διάγνωση.</w:t>
      </w:r>
    </w:p>
    <w:p w:rsidR="003C7518" w:rsidRPr="006200CF" w:rsidRDefault="003C7518" w:rsidP="00FC3C8D">
      <w:pPr>
        <w:pStyle w:val="NoSpacing"/>
        <w:rPr>
          <w:rFonts w:ascii="Times New Roman" w:hAnsi="Times New Roman"/>
        </w:rPr>
      </w:pPr>
    </w:p>
    <w:p w:rsidR="003C7518" w:rsidRPr="006200CF" w:rsidRDefault="003C7518" w:rsidP="00FC3C8D">
      <w:pPr>
        <w:pStyle w:val="NoSpacing"/>
        <w:rPr>
          <w:rFonts w:ascii="Times New Roman" w:hAnsi="Times New Roman"/>
        </w:rPr>
      </w:pPr>
      <w:r w:rsidRPr="006200CF">
        <w:rPr>
          <w:rFonts w:ascii="Times New Roman" w:hAnsi="Times New Roman"/>
        </w:rPr>
        <w:t>Αν τα συμπτώματα επιμένουν, παρά την επαρκή θεραπεία, πρέπει να εξετάζεται το ενδεχόμενο περαιτέρω διερεύνησης.</w:t>
      </w:r>
    </w:p>
    <w:p w:rsidR="003C7518" w:rsidRPr="006200CF" w:rsidRDefault="003C7518" w:rsidP="00FC3C8D">
      <w:pPr>
        <w:pStyle w:val="NoSpacing"/>
        <w:rPr>
          <w:rFonts w:ascii="Times New Roman" w:hAnsi="Times New Roman"/>
        </w:rPr>
      </w:pPr>
    </w:p>
    <w:p w:rsidR="003C7518" w:rsidRPr="006200CF" w:rsidRDefault="003C7518" w:rsidP="00FC3C8D">
      <w:pPr>
        <w:pStyle w:val="NoSpacing"/>
        <w:rPr>
          <w:rFonts w:ascii="Times New Roman" w:hAnsi="Times New Roman"/>
        </w:rPr>
      </w:pPr>
      <w:r w:rsidRPr="006200CF">
        <w:rPr>
          <w:rFonts w:ascii="Times New Roman" w:hAnsi="Times New Roman"/>
        </w:rPr>
        <w:t xml:space="preserve">Σε ασθενείς με σύνδρομο </w:t>
      </w:r>
      <w:r w:rsidRPr="006200CF">
        <w:rPr>
          <w:rFonts w:ascii="Times New Roman" w:hAnsi="Times New Roman"/>
          <w:lang w:val="en-US"/>
        </w:rPr>
        <w:t>Zollinger</w:t>
      </w:r>
      <w:r w:rsidRPr="006200CF">
        <w:rPr>
          <w:rFonts w:ascii="Times New Roman" w:hAnsi="Times New Roman"/>
        </w:rPr>
        <w:t>-</w:t>
      </w:r>
      <w:r w:rsidRPr="006200CF">
        <w:rPr>
          <w:rFonts w:ascii="Times New Roman" w:hAnsi="Times New Roman"/>
          <w:lang w:val="en-US"/>
        </w:rPr>
        <w:t>Ellison</w:t>
      </w:r>
      <w:r w:rsidRPr="006200CF">
        <w:rPr>
          <w:rFonts w:ascii="Times New Roman" w:hAnsi="Times New Roman"/>
        </w:rPr>
        <w:t xml:space="preserve"> και άλλες παθολογικές υπερεκκριτικ</w:t>
      </w:r>
      <w:r w:rsidRPr="006200CF">
        <w:rPr>
          <w:rFonts w:ascii="Tahoma" w:hAnsi="Tahoma" w:cs="Tahoma"/>
        </w:rPr>
        <w:t>ἐ</w:t>
      </w:r>
      <w:r w:rsidRPr="006200CF">
        <w:rPr>
          <w:rFonts w:ascii="Times New Roman" w:hAnsi="Times New Roman"/>
        </w:rPr>
        <w:t xml:space="preserve">ς καταστάσεις που απαιτούν μακροχρόνια θεραπεία, η </w:t>
      </w:r>
      <w:r w:rsidRPr="006200CF">
        <w:rPr>
          <w:rFonts w:ascii="Times New Roman" w:hAnsi="Times New Roman"/>
          <w:lang w:val="en-US"/>
        </w:rPr>
        <w:t>pantoprazole</w:t>
      </w:r>
      <w:r w:rsidRPr="006200CF">
        <w:rPr>
          <w:rFonts w:ascii="Times New Roman" w:hAnsi="Times New Roman"/>
        </w:rPr>
        <w:t>, όπως και όλα τα φάρμακα που είναι αναστολείς οξέος, μπορούν να μειώσουν την απορρόφηση της βιταμίνης Β</w:t>
      </w:r>
      <w:r w:rsidRPr="006200CF">
        <w:rPr>
          <w:rFonts w:ascii="Times New Roman" w:hAnsi="Times New Roman"/>
          <w:vertAlign w:val="subscript"/>
        </w:rPr>
        <w:t>12</w:t>
      </w:r>
      <w:r w:rsidRPr="006200CF">
        <w:rPr>
          <w:rFonts w:ascii="Times New Roman" w:hAnsi="Times New Roman"/>
        </w:rPr>
        <w:t xml:space="preserve"> (κυανοκοβαλαμίνης) λόγω υποχλωρυδρίας ή αχλωρυδρίας. Αυτό θα πρέπει να λαμβάνεται υπόψη εάν παρατηρούνται σχετικά κλινικά συμπτώματα.</w:t>
      </w:r>
    </w:p>
    <w:p w:rsidR="003C7518" w:rsidRPr="006200CF" w:rsidRDefault="003C7518" w:rsidP="00FC3C8D">
      <w:pPr>
        <w:pStyle w:val="NoSpacing"/>
        <w:rPr>
          <w:rFonts w:ascii="Times New Roman" w:hAnsi="Times New Roman"/>
        </w:rPr>
      </w:pPr>
    </w:p>
    <w:p w:rsidR="003C7518" w:rsidRPr="006200CF" w:rsidRDefault="003C7518" w:rsidP="00FC3C8D">
      <w:pPr>
        <w:pStyle w:val="NoSpacing"/>
        <w:rPr>
          <w:rFonts w:ascii="Times New Roman" w:hAnsi="Times New Roman"/>
          <w:b/>
        </w:rPr>
      </w:pPr>
      <w:r w:rsidRPr="006200CF">
        <w:rPr>
          <w:rFonts w:ascii="Times New Roman" w:hAnsi="Times New Roman"/>
          <w:b/>
        </w:rPr>
        <w:t>4.5 Αλληλεπιδράσεις με αλλά φαρμακευτικά προϊόντα και άλλες μορφές αλληλεπίδρασης</w:t>
      </w:r>
    </w:p>
    <w:p w:rsidR="003C7518" w:rsidRPr="006200CF" w:rsidRDefault="003C7518" w:rsidP="00FC3C8D">
      <w:pPr>
        <w:pStyle w:val="NoSpacing"/>
        <w:rPr>
          <w:rFonts w:ascii="Times New Roman" w:hAnsi="Times New Roman"/>
        </w:rPr>
      </w:pPr>
    </w:p>
    <w:p w:rsidR="003C7518" w:rsidRPr="006200CF" w:rsidRDefault="003C7518" w:rsidP="00FC3C8D">
      <w:pPr>
        <w:pStyle w:val="NoSpacing"/>
        <w:rPr>
          <w:rFonts w:ascii="Times New Roman" w:hAnsi="Times New Roman"/>
        </w:rPr>
      </w:pPr>
      <w:r w:rsidRPr="006200CF">
        <w:rPr>
          <w:rFonts w:ascii="Times New Roman" w:hAnsi="Times New Roman"/>
        </w:rPr>
        <w:t xml:space="preserve">Το </w:t>
      </w:r>
      <w:r w:rsidRPr="006200CF">
        <w:rPr>
          <w:rFonts w:ascii="Times New Roman" w:hAnsi="Times New Roman"/>
          <w:lang w:val="en-US"/>
        </w:rPr>
        <w:t>Pronzek</w:t>
      </w:r>
      <w:r w:rsidRPr="006200CF">
        <w:rPr>
          <w:rFonts w:ascii="Times New Roman" w:hAnsi="Times New Roman"/>
        </w:rPr>
        <w:t xml:space="preserve"> μπορεί να μειώσει την απορρόφηση φαρμάκων των οποίων η βιοδιαθεσιμότητα</w:t>
      </w:r>
    </w:p>
    <w:p w:rsidR="003C7518" w:rsidRPr="006200CF" w:rsidRDefault="003C7518" w:rsidP="00FC3C8D">
      <w:pPr>
        <w:pStyle w:val="NoSpacing"/>
        <w:rPr>
          <w:rFonts w:ascii="Times New Roman" w:hAnsi="Times New Roman"/>
        </w:rPr>
      </w:pPr>
      <w:r w:rsidRPr="006200CF">
        <w:rPr>
          <w:rFonts w:ascii="Times New Roman" w:hAnsi="Times New Roman"/>
        </w:rPr>
        <w:t xml:space="preserve">εξαρτάται από το </w:t>
      </w:r>
      <w:r w:rsidRPr="006200CF">
        <w:rPr>
          <w:rFonts w:ascii="Times New Roman" w:hAnsi="Times New Roman"/>
          <w:lang w:val="en-US"/>
        </w:rPr>
        <w:t>p</w:t>
      </w:r>
      <w:r w:rsidRPr="006200CF">
        <w:rPr>
          <w:rFonts w:ascii="Times New Roman" w:hAnsi="Times New Roman"/>
        </w:rPr>
        <w:t>Η (πχ. κετοκοναζόλης).</w:t>
      </w:r>
    </w:p>
    <w:p w:rsidR="003C7518" w:rsidRPr="006200CF" w:rsidRDefault="003C7518" w:rsidP="00FC3C8D">
      <w:pPr>
        <w:pStyle w:val="NoSpacing"/>
        <w:rPr>
          <w:rFonts w:ascii="Times New Roman" w:hAnsi="Times New Roman"/>
        </w:rPr>
      </w:pPr>
    </w:p>
    <w:p w:rsidR="003C7518" w:rsidRPr="006200CF" w:rsidRDefault="003C7518" w:rsidP="003B1DC3">
      <w:pPr>
        <w:pStyle w:val="NoSpacing"/>
        <w:rPr>
          <w:rFonts w:ascii="Times New Roman" w:hAnsi="Times New Roman"/>
        </w:rPr>
      </w:pPr>
      <w:r w:rsidRPr="006200CF">
        <w:rPr>
          <w:rFonts w:ascii="Times New Roman" w:hAnsi="Times New Roman"/>
        </w:rPr>
        <w:t xml:space="preserve">Έχει δειχθεί ότι η συγχορήγηση αταζαναβίρης 300 </w:t>
      </w:r>
      <w:r w:rsidRPr="006200CF">
        <w:rPr>
          <w:rFonts w:ascii="Times New Roman" w:hAnsi="Times New Roman"/>
          <w:lang w:val="en-US"/>
        </w:rPr>
        <w:t>mg</w:t>
      </w:r>
      <w:r w:rsidRPr="006200CF">
        <w:rPr>
          <w:rFonts w:ascii="Times New Roman" w:hAnsi="Times New Roman"/>
        </w:rPr>
        <w:t xml:space="preserve">/ ριτοναβίρης 100 </w:t>
      </w:r>
      <w:r w:rsidRPr="006200CF">
        <w:rPr>
          <w:rFonts w:ascii="Times New Roman" w:hAnsi="Times New Roman"/>
          <w:lang w:val="en-US"/>
        </w:rPr>
        <w:t>mg</w:t>
      </w:r>
      <w:r w:rsidRPr="006200CF">
        <w:rPr>
          <w:rFonts w:ascii="Times New Roman" w:hAnsi="Times New Roman"/>
        </w:rPr>
        <w:t xml:space="preserve"> με ομεπραζόλη (40 </w:t>
      </w:r>
      <w:r w:rsidRPr="006200CF">
        <w:rPr>
          <w:rFonts w:ascii="Times New Roman" w:hAnsi="Times New Roman"/>
          <w:lang w:val="en-US"/>
        </w:rPr>
        <w:t>mg</w:t>
      </w:r>
      <w:r w:rsidRPr="006200CF">
        <w:rPr>
          <w:rFonts w:ascii="Times New Roman" w:hAnsi="Times New Roman"/>
        </w:rPr>
        <w:t xml:space="preserve"> μία φορά την ημέρα) ή η συγχορήγηση αταζαναβίρης 400 </w:t>
      </w:r>
      <w:r w:rsidRPr="006200CF">
        <w:rPr>
          <w:rFonts w:ascii="Times New Roman" w:hAnsi="Times New Roman"/>
          <w:lang w:val="en-US"/>
        </w:rPr>
        <w:t>mg</w:t>
      </w:r>
      <w:r w:rsidRPr="006200CF">
        <w:rPr>
          <w:rFonts w:ascii="Times New Roman" w:hAnsi="Times New Roman"/>
        </w:rPr>
        <w:t xml:space="preserve"> με λανσοπραζόλη (60 </w:t>
      </w:r>
      <w:r w:rsidRPr="006200CF">
        <w:rPr>
          <w:rFonts w:ascii="Times New Roman" w:hAnsi="Times New Roman"/>
          <w:lang w:val="en-US"/>
        </w:rPr>
        <w:t>mg</w:t>
      </w:r>
      <w:r w:rsidRPr="006200CF">
        <w:rPr>
          <w:rFonts w:ascii="Times New Roman" w:hAnsi="Times New Roman"/>
        </w:rPr>
        <w:t xml:space="preserve"> εφάπαξ δόση), σε υγιείς εθελοντές, είχαν ως αποτέλεσμα ουσιαστική μείωση της βιοδιαθεσιμότητας της αταζαναβίρης. Η απορρόφηση της αταζαναβίρης εξαρτάται από το </w:t>
      </w:r>
      <w:r w:rsidRPr="006200CF">
        <w:rPr>
          <w:rFonts w:ascii="Times New Roman" w:hAnsi="Times New Roman"/>
          <w:lang w:val="en-US"/>
        </w:rPr>
        <w:t>pH</w:t>
      </w:r>
      <w:r w:rsidRPr="006200CF">
        <w:rPr>
          <w:rFonts w:ascii="Times New Roman" w:hAnsi="Times New Roman"/>
        </w:rPr>
        <w:t xml:space="preserve">. Γι’ αυτόν το λόγο, οι  αναστολείς αντλίας πρωτονίων, περιλαμβανόμενης της </w:t>
      </w:r>
      <w:r w:rsidRPr="006200CF">
        <w:rPr>
          <w:rFonts w:ascii="Times New Roman" w:hAnsi="Times New Roman"/>
          <w:lang w:val="en-US"/>
        </w:rPr>
        <w:t>pantoprazole</w:t>
      </w:r>
      <w:r w:rsidRPr="006200CF">
        <w:rPr>
          <w:rFonts w:ascii="Times New Roman" w:hAnsi="Times New Roman"/>
        </w:rPr>
        <w:t>, δεν πρέπει να συγχορηγούνται με αταζαναβίρη (βλ. παράγραφο 4.3).</w:t>
      </w:r>
    </w:p>
    <w:p w:rsidR="003C7518" w:rsidRPr="006200CF" w:rsidRDefault="003C7518" w:rsidP="003B1DC3">
      <w:pPr>
        <w:pStyle w:val="NoSpacing"/>
        <w:rPr>
          <w:rFonts w:ascii="Times New Roman" w:hAnsi="Times New Roman"/>
        </w:rPr>
      </w:pPr>
    </w:p>
    <w:p w:rsidR="003C7518" w:rsidRPr="006200CF" w:rsidRDefault="003C7518" w:rsidP="003B1DC3">
      <w:pPr>
        <w:pStyle w:val="NoSpacing"/>
        <w:rPr>
          <w:rFonts w:ascii="Times New Roman" w:hAnsi="Times New Roman"/>
        </w:rPr>
      </w:pPr>
      <w:r w:rsidRPr="006200CF">
        <w:rPr>
          <w:rFonts w:ascii="Times New Roman" w:hAnsi="Times New Roman"/>
        </w:rPr>
        <w:t xml:space="preserve">Η </w:t>
      </w:r>
      <w:r w:rsidRPr="006200CF">
        <w:rPr>
          <w:rFonts w:ascii="Times New Roman" w:hAnsi="Times New Roman"/>
          <w:lang w:val="en-US"/>
        </w:rPr>
        <w:t>pantoprazole</w:t>
      </w:r>
      <w:r w:rsidRPr="006200CF">
        <w:rPr>
          <w:rFonts w:ascii="Times New Roman" w:hAnsi="Times New Roman"/>
        </w:rPr>
        <w:t xml:space="preserve"> μεταβολίζεται στο ήπαρ μέσω του ενζυμικού συστήματος του κυτοχρ</w:t>
      </w:r>
      <w:r w:rsidRPr="006200CF">
        <w:rPr>
          <w:rFonts w:ascii="Tahoma" w:hAnsi="Tahoma" w:cs="Tahoma"/>
        </w:rPr>
        <w:t>ὡ</w:t>
      </w:r>
      <w:r w:rsidRPr="006200CF">
        <w:rPr>
          <w:rFonts w:ascii="Times New Roman" w:hAnsi="Times New Roman"/>
        </w:rPr>
        <w:t xml:space="preserve">ματος Ρ450. Αλληλεπίδραση της </w:t>
      </w:r>
      <w:r w:rsidRPr="006200CF">
        <w:rPr>
          <w:rFonts w:ascii="Times New Roman" w:hAnsi="Times New Roman"/>
          <w:lang w:val="en-US"/>
        </w:rPr>
        <w:t>pantoprazole</w:t>
      </w:r>
      <w:r w:rsidRPr="006200CF">
        <w:rPr>
          <w:rFonts w:ascii="Times New Roman" w:hAnsi="Times New Roman"/>
        </w:rPr>
        <w:t xml:space="preserve"> με άλλα φάρμακα ή ουσίες που μεταβολίζονται με χρήση του ίδιου ενζυμικού συστήματος, δεν μπορεί να αποκλεισθεί. Ωστόσο, δεν παρατηρήθηκαν κλινικώς σημαντικές αλληλεπιδράσεις σε ειδικές δοκιμές με έναν αριθμό τέτοιων φαρμάκων ή ουσιών όπως καρβαμαζεπίνη, καφεΐνη, διαζεπάμη, δικλοφενάκη, διγοξίνη, αιθανόλη, γλιβενκλαμίδη, μετοπρολόλη, ναπροξ</w:t>
      </w:r>
      <w:r w:rsidRPr="006200CF">
        <w:rPr>
          <w:rFonts w:ascii="Tahoma" w:hAnsi="Tahoma" w:cs="Tahoma"/>
        </w:rPr>
        <w:t>ἐ</w:t>
      </w:r>
      <w:r w:rsidRPr="006200CF">
        <w:rPr>
          <w:rFonts w:ascii="Times New Roman" w:hAnsi="Times New Roman"/>
        </w:rPr>
        <w:t>νη, νιφεδιπίνη, φαινυτοΐνη, πιροξικάμη, θεοφυλλίνη και ένα από του στόματος αντισυλληπτικό.</w:t>
      </w:r>
    </w:p>
    <w:p w:rsidR="003C7518" w:rsidRPr="006200CF" w:rsidRDefault="003C7518" w:rsidP="003B1DC3">
      <w:pPr>
        <w:pStyle w:val="NoSpacing"/>
        <w:rPr>
          <w:rFonts w:ascii="Times New Roman" w:hAnsi="Times New Roman"/>
        </w:rPr>
      </w:pPr>
    </w:p>
    <w:p w:rsidR="003C7518" w:rsidRPr="006200CF" w:rsidRDefault="003C7518" w:rsidP="003B1DC3">
      <w:pPr>
        <w:pStyle w:val="NoSpacing"/>
        <w:rPr>
          <w:rFonts w:ascii="Times New Roman" w:hAnsi="Times New Roman"/>
        </w:rPr>
      </w:pPr>
      <w:r w:rsidRPr="006200CF">
        <w:rPr>
          <w:rFonts w:ascii="Times New Roman" w:hAnsi="Times New Roman"/>
        </w:rPr>
        <w:t xml:space="preserve">Παρόλο που σε μελέτες κλινικής φαρμακοκινητικής δεν παρατηρήθηκε καμία αλληλεπίδραση κατά τη διάρκεια συγχορήγησης με φαινπροκουμόνη ή βαρφαρίνη, έχουν αναφερθεί λίγα μεμονωμένα περιστατικά αλλαγών στην τιμή </w:t>
      </w:r>
      <w:r w:rsidRPr="006200CF">
        <w:rPr>
          <w:rFonts w:ascii="Times New Roman" w:hAnsi="Times New Roman"/>
          <w:lang w:val="en-US"/>
        </w:rPr>
        <w:t>INR</w:t>
      </w:r>
      <w:r w:rsidRPr="006200CF">
        <w:rPr>
          <w:rFonts w:ascii="Times New Roman" w:hAnsi="Times New Roman"/>
        </w:rPr>
        <w:t xml:space="preserve"> κατά τη διάρκεια ταυτόχρονης θεραπείας στην περίοδο μετά την κυκλοφορία του φαρμάκου. Ως εκ τούτου, σε ασθενείς που λαμβάνουν κουμαρινικά αντιπηκτικά, η παρακολούθηση του χρόνου προθρομβίνης / τιμής ΙΝ</w:t>
      </w:r>
      <w:r w:rsidRPr="006200CF">
        <w:rPr>
          <w:rFonts w:ascii="Times New Roman" w:hAnsi="Times New Roman"/>
          <w:lang w:val="en-US"/>
        </w:rPr>
        <w:t>R</w:t>
      </w:r>
      <w:r w:rsidRPr="006200CF">
        <w:rPr>
          <w:rFonts w:ascii="Times New Roman" w:hAnsi="Times New Roman"/>
        </w:rPr>
        <w:t xml:space="preserve"> συνιστάται μετά την έναρξη, λήξη ή κατά τη</w:t>
      </w:r>
    </w:p>
    <w:p w:rsidR="003C7518" w:rsidRPr="006200CF" w:rsidRDefault="003C7518" w:rsidP="003B1DC3">
      <w:pPr>
        <w:pStyle w:val="NoSpacing"/>
        <w:rPr>
          <w:rFonts w:ascii="Times New Roman" w:hAnsi="Times New Roman"/>
        </w:rPr>
      </w:pPr>
      <w:r w:rsidRPr="006200CF">
        <w:rPr>
          <w:rFonts w:ascii="Times New Roman" w:hAnsi="Times New Roman"/>
        </w:rPr>
        <w:t>διάρκεια μη τακτικής λήψης παντοπραζόλης.</w:t>
      </w:r>
    </w:p>
    <w:p w:rsidR="003C7518" w:rsidRPr="006200CF" w:rsidRDefault="003C7518" w:rsidP="003B1DC3">
      <w:pPr>
        <w:pStyle w:val="NoSpacing"/>
        <w:rPr>
          <w:rFonts w:ascii="Times New Roman" w:hAnsi="Times New Roman"/>
        </w:rPr>
      </w:pPr>
    </w:p>
    <w:p w:rsidR="003C7518" w:rsidRPr="006200CF" w:rsidRDefault="003C7518" w:rsidP="003B1DC3">
      <w:pPr>
        <w:pStyle w:val="NoSpacing"/>
        <w:rPr>
          <w:rFonts w:ascii="Times New Roman" w:hAnsi="Times New Roman"/>
        </w:rPr>
      </w:pPr>
      <w:r w:rsidRPr="006200CF">
        <w:rPr>
          <w:rFonts w:ascii="Times New Roman" w:hAnsi="Times New Roman"/>
        </w:rPr>
        <w:t>Δεν υπήρξαν επίσης αλληλεπιδράσεις με συγχρόνως χορηγούμενα αντιόξινα.</w:t>
      </w:r>
    </w:p>
    <w:p w:rsidR="003C7518" w:rsidRPr="006200CF" w:rsidRDefault="003C7518" w:rsidP="003B1DC3">
      <w:pPr>
        <w:pStyle w:val="NoSpacing"/>
        <w:rPr>
          <w:rFonts w:ascii="Times New Roman" w:hAnsi="Times New Roman"/>
        </w:rPr>
      </w:pPr>
    </w:p>
    <w:p w:rsidR="003C7518" w:rsidRPr="006200CF" w:rsidRDefault="003C7518" w:rsidP="003B1DC3">
      <w:pPr>
        <w:pStyle w:val="NoSpacing"/>
        <w:rPr>
          <w:rFonts w:ascii="Times New Roman" w:hAnsi="Times New Roman"/>
        </w:rPr>
      </w:pPr>
      <w:r w:rsidRPr="006200CF">
        <w:rPr>
          <w:rFonts w:ascii="Times New Roman" w:hAnsi="Times New Roman"/>
        </w:rPr>
        <w:t xml:space="preserve">Μελέτες φαρμακοκινητικών αλληλεπιδράσεων σε ανθρώπους έχουν γίνει χορηγώντας </w:t>
      </w:r>
      <w:r w:rsidRPr="006200CF">
        <w:rPr>
          <w:rFonts w:ascii="Times New Roman" w:hAnsi="Times New Roman"/>
          <w:lang w:val="en-US"/>
        </w:rPr>
        <w:t>pantoprazole</w:t>
      </w:r>
      <w:r w:rsidRPr="006200CF">
        <w:rPr>
          <w:rFonts w:ascii="Times New Roman" w:hAnsi="Times New Roman"/>
        </w:rPr>
        <w:t xml:space="preserve"> ταυτόχρονα με τα αντίστοιχα αντιβιοτικά (κλαριθρομυκίνη, μετρονιδαζόλη, αμοξυκιλλίνη). Κλινικώς σημαντικές αλληλεπιδράσεις δεν βρέθηκαν.</w:t>
      </w:r>
    </w:p>
    <w:p w:rsidR="003C7518" w:rsidRPr="006200CF" w:rsidRDefault="003C7518" w:rsidP="003B1DC3">
      <w:pPr>
        <w:pStyle w:val="NoSpacing"/>
        <w:rPr>
          <w:rFonts w:ascii="Times New Roman" w:hAnsi="Times New Roman"/>
        </w:rPr>
      </w:pPr>
    </w:p>
    <w:p w:rsidR="003C7518" w:rsidRPr="006200CF" w:rsidRDefault="003C7518" w:rsidP="003B1DC3">
      <w:pPr>
        <w:pStyle w:val="NoSpacing"/>
        <w:rPr>
          <w:rFonts w:ascii="Times New Roman" w:hAnsi="Times New Roman"/>
          <w:b/>
        </w:rPr>
      </w:pPr>
      <w:r w:rsidRPr="006200CF">
        <w:rPr>
          <w:rFonts w:ascii="Times New Roman" w:hAnsi="Times New Roman"/>
          <w:b/>
        </w:rPr>
        <w:t>4.6 Κύηση και γαλουχία</w:t>
      </w:r>
    </w:p>
    <w:p w:rsidR="003C7518" w:rsidRPr="006200CF" w:rsidRDefault="003C7518" w:rsidP="003B1DC3">
      <w:pPr>
        <w:pStyle w:val="NoSpacing"/>
        <w:rPr>
          <w:rFonts w:ascii="Times New Roman" w:hAnsi="Times New Roman"/>
        </w:rPr>
      </w:pPr>
    </w:p>
    <w:p w:rsidR="003C7518" w:rsidRPr="006200CF" w:rsidRDefault="003C7518" w:rsidP="003B1DC3">
      <w:pPr>
        <w:pStyle w:val="NoSpacing"/>
        <w:rPr>
          <w:rFonts w:ascii="Times New Roman" w:hAnsi="Times New Roman"/>
        </w:rPr>
      </w:pPr>
      <w:r w:rsidRPr="006200CF">
        <w:rPr>
          <w:rFonts w:ascii="Times New Roman" w:hAnsi="Times New Roman"/>
        </w:rPr>
        <w:t>Η κλινική εμπειρία σε εγκύους γυναίκες είναι περιορισμένη.</w:t>
      </w:r>
    </w:p>
    <w:p w:rsidR="003C7518" w:rsidRPr="006200CF" w:rsidRDefault="003C7518" w:rsidP="003B1DC3">
      <w:pPr>
        <w:pStyle w:val="NoSpacing"/>
        <w:rPr>
          <w:rFonts w:ascii="Times New Roman" w:hAnsi="Times New Roman"/>
        </w:rPr>
      </w:pPr>
      <w:r w:rsidRPr="006200CF">
        <w:rPr>
          <w:rFonts w:ascii="Times New Roman" w:hAnsi="Times New Roman"/>
        </w:rPr>
        <w:t xml:space="preserve">Σε μελέτες αναπαραγωγής σε ζώα, παρατηρήθηκαν σημεία ελαφράς εμβρυοτοξικότητας σε δόσεις πάνω από 5 </w:t>
      </w:r>
      <w:r w:rsidRPr="006200CF">
        <w:rPr>
          <w:rFonts w:ascii="Times New Roman" w:hAnsi="Times New Roman"/>
          <w:lang w:val="en-US"/>
        </w:rPr>
        <w:t>mg</w:t>
      </w:r>
      <w:r w:rsidRPr="006200CF">
        <w:rPr>
          <w:rFonts w:ascii="Times New Roman" w:hAnsi="Times New Roman"/>
        </w:rPr>
        <w:t>/</w:t>
      </w:r>
      <w:r w:rsidRPr="006200CF">
        <w:rPr>
          <w:rFonts w:ascii="Times New Roman" w:hAnsi="Times New Roman"/>
          <w:lang w:val="en-US"/>
        </w:rPr>
        <w:t>kg</w:t>
      </w:r>
      <w:r w:rsidRPr="006200CF">
        <w:rPr>
          <w:rFonts w:ascii="Times New Roman" w:hAnsi="Times New Roman"/>
        </w:rPr>
        <w:t>.</w:t>
      </w:r>
    </w:p>
    <w:p w:rsidR="003C7518" w:rsidRPr="006200CF" w:rsidRDefault="003C7518" w:rsidP="003B1DC3">
      <w:pPr>
        <w:pStyle w:val="NoSpacing"/>
        <w:rPr>
          <w:rFonts w:ascii="Times New Roman" w:hAnsi="Times New Roman"/>
        </w:rPr>
      </w:pPr>
    </w:p>
    <w:p w:rsidR="003C7518" w:rsidRPr="006200CF" w:rsidRDefault="003C7518" w:rsidP="003B1DC3">
      <w:pPr>
        <w:pStyle w:val="NoSpacing"/>
        <w:rPr>
          <w:rFonts w:ascii="Times New Roman" w:hAnsi="Times New Roman"/>
        </w:rPr>
      </w:pPr>
      <w:r w:rsidRPr="006200CF">
        <w:rPr>
          <w:rFonts w:ascii="Times New Roman" w:hAnsi="Times New Roman"/>
        </w:rPr>
        <w:t xml:space="preserve">Δεν υπάρχουν πληροφορίες για την απέκκριση της </w:t>
      </w:r>
      <w:r w:rsidRPr="006200CF">
        <w:rPr>
          <w:rFonts w:ascii="Times New Roman" w:hAnsi="Times New Roman"/>
          <w:lang w:val="en-US"/>
        </w:rPr>
        <w:t>pantoprazole</w:t>
      </w:r>
      <w:r w:rsidRPr="006200CF">
        <w:rPr>
          <w:rFonts w:ascii="Times New Roman" w:hAnsi="Times New Roman"/>
        </w:rPr>
        <w:t xml:space="preserve"> στο μητρικό γάλα στον άνθρωπο.</w:t>
      </w:r>
    </w:p>
    <w:p w:rsidR="003C7518" w:rsidRPr="006200CF" w:rsidRDefault="003C7518" w:rsidP="003B1DC3">
      <w:pPr>
        <w:pStyle w:val="NoSpacing"/>
        <w:rPr>
          <w:rFonts w:ascii="Times New Roman" w:hAnsi="Times New Roman"/>
        </w:rPr>
      </w:pPr>
    </w:p>
    <w:p w:rsidR="003C7518" w:rsidRPr="006200CF" w:rsidRDefault="003C7518" w:rsidP="003B1DC3">
      <w:pPr>
        <w:pStyle w:val="NoSpacing"/>
        <w:rPr>
          <w:rFonts w:ascii="Times New Roman" w:hAnsi="Times New Roman"/>
        </w:rPr>
      </w:pPr>
      <w:r w:rsidRPr="006200CF">
        <w:rPr>
          <w:rFonts w:ascii="Times New Roman" w:hAnsi="Times New Roman"/>
        </w:rPr>
        <w:t xml:space="preserve">Τα δισκία της </w:t>
      </w:r>
      <w:r w:rsidRPr="006200CF">
        <w:rPr>
          <w:rFonts w:ascii="Times New Roman" w:hAnsi="Times New Roman"/>
          <w:lang w:val="en-US"/>
        </w:rPr>
        <w:t>pantoprazole</w:t>
      </w:r>
      <w:r w:rsidRPr="006200CF">
        <w:rPr>
          <w:rFonts w:ascii="Times New Roman" w:hAnsi="Times New Roman"/>
        </w:rPr>
        <w:t xml:space="preserve"> θα πρέπει να χρησιμοποιούνται μόνο όταν το όφελος για τη μητέρα θεωρείται μεγαλύτερο από τον πιθανό κίνδυνο για το έμβρυο/βρέφος.</w:t>
      </w:r>
    </w:p>
    <w:p w:rsidR="003C7518" w:rsidRPr="006200CF" w:rsidRDefault="003C7518" w:rsidP="003B1DC3">
      <w:pPr>
        <w:pStyle w:val="NoSpacing"/>
        <w:rPr>
          <w:rFonts w:ascii="Times New Roman" w:hAnsi="Times New Roman"/>
        </w:rPr>
      </w:pPr>
    </w:p>
    <w:p w:rsidR="003C7518" w:rsidRPr="006200CF" w:rsidRDefault="003C7518" w:rsidP="003B1DC3">
      <w:pPr>
        <w:pStyle w:val="NoSpacing"/>
        <w:rPr>
          <w:rFonts w:ascii="Times New Roman" w:hAnsi="Times New Roman"/>
          <w:b/>
        </w:rPr>
      </w:pPr>
      <w:r w:rsidRPr="006200CF">
        <w:rPr>
          <w:rFonts w:ascii="Times New Roman" w:hAnsi="Times New Roman"/>
          <w:b/>
        </w:rPr>
        <w:t>4.7  Επιδράσεις στην ικανότητα οδήγησης και χειρισμού μηχανών</w:t>
      </w:r>
    </w:p>
    <w:p w:rsidR="003C7518" w:rsidRPr="006200CF" w:rsidRDefault="003C7518" w:rsidP="003B1DC3">
      <w:pPr>
        <w:pStyle w:val="NoSpacing"/>
        <w:rPr>
          <w:rFonts w:ascii="Times New Roman" w:hAnsi="Times New Roman"/>
        </w:rPr>
      </w:pPr>
    </w:p>
    <w:p w:rsidR="003C7518" w:rsidRPr="006200CF" w:rsidRDefault="003C7518" w:rsidP="003B1DC3">
      <w:pPr>
        <w:pStyle w:val="NoSpacing"/>
        <w:rPr>
          <w:rFonts w:ascii="Times New Roman" w:hAnsi="Times New Roman"/>
        </w:rPr>
      </w:pPr>
      <w:r w:rsidRPr="006200CF">
        <w:rPr>
          <w:rFonts w:ascii="Times New Roman" w:hAnsi="Times New Roman"/>
        </w:rPr>
        <w:t>Δεν υπάρχουν γνωστές επιδράσεις στην ικανότητα οδήγησης και χειρισμού μηχανών.</w:t>
      </w:r>
    </w:p>
    <w:p w:rsidR="003C7518" w:rsidRPr="006200CF" w:rsidRDefault="003C7518" w:rsidP="003B1DC3">
      <w:pPr>
        <w:pStyle w:val="NoSpacing"/>
        <w:rPr>
          <w:rFonts w:ascii="Times New Roman" w:hAnsi="Times New Roman"/>
        </w:rPr>
      </w:pPr>
    </w:p>
    <w:p w:rsidR="003C7518" w:rsidRPr="006200CF" w:rsidRDefault="003C7518" w:rsidP="003B1DC3">
      <w:pPr>
        <w:pStyle w:val="NoSpacing"/>
        <w:rPr>
          <w:rFonts w:ascii="Times New Roman" w:hAnsi="Times New Roman"/>
          <w:b/>
        </w:rPr>
      </w:pPr>
      <w:r w:rsidRPr="006200CF">
        <w:rPr>
          <w:rFonts w:ascii="Times New Roman" w:hAnsi="Times New Roman"/>
          <w:b/>
          <w:lang w:val="en-US"/>
        </w:rPr>
        <w:t>4.8</w:t>
      </w:r>
      <w:r w:rsidRPr="006200CF">
        <w:rPr>
          <w:rFonts w:ascii="Times New Roman" w:hAnsi="Times New Roman"/>
          <w:b/>
        </w:rPr>
        <w:t xml:space="preserve"> </w:t>
      </w:r>
      <w:r w:rsidRPr="006200CF">
        <w:rPr>
          <w:rFonts w:ascii="Times New Roman" w:hAnsi="Times New Roman"/>
          <w:b/>
          <w:lang w:val="en-US"/>
        </w:rPr>
        <w:t xml:space="preserve"> </w:t>
      </w:r>
      <w:r w:rsidRPr="006200CF">
        <w:rPr>
          <w:rFonts w:ascii="Times New Roman" w:hAnsi="Times New Roman"/>
          <w:b/>
        </w:rPr>
        <w:t>Ανεπιθύμητες ενέργειες</w:t>
      </w:r>
    </w:p>
    <w:p w:rsidR="003C7518" w:rsidRPr="006200CF" w:rsidRDefault="003C7518" w:rsidP="003B1DC3">
      <w:pPr>
        <w:pStyle w:val="NoSpacing"/>
        <w:rPr>
          <w:rFonts w:ascii="Times New Roman" w:hAnsi="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9"/>
        <w:gridCol w:w="1561"/>
        <w:gridCol w:w="1560"/>
        <w:gridCol w:w="2126"/>
        <w:gridCol w:w="1984"/>
      </w:tblGrid>
      <w:tr w:rsidR="003C7518" w:rsidRPr="009922BF" w:rsidTr="00D40416">
        <w:trPr>
          <w:cantSplit/>
          <w:trHeight w:val="1134"/>
        </w:trPr>
        <w:tc>
          <w:tcPr>
            <w:tcW w:w="1949" w:type="dxa"/>
            <w:tcBorders>
              <w:tl2br w:val="single" w:sz="4" w:space="0" w:color="auto"/>
            </w:tcBorders>
          </w:tcPr>
          <w:p w:rsidR="003C7518" w:rsidRPr="009922BF" w:rsidRDefault="003C7518" w:rsidP="009A33CE">
            <w:pPr>
              <w:pStyle w:val="NoSpacing"/>
              <w:jc w:val="right"/>
              <w:rPr>
                <w:rFonts w:ascii="Times New Roman" w:hAnsi="Times New Roman"/>
              </w:rPr>
            </w:pPr>
            <w:r w:rsidRPr="009922BF">
              <w:rPr>
                <w:rFonts w:ascii="Times New Roman" w:hAnsi="Times New Roman"/>
              </w:rPr>
              <w:t>Συχνότητα</w:t>
            </w:r>
          </w:p>
          <w:p w:rsidR="003C7518" w:rsidRPr="009922BF" w:rsidRDefault="003C7518" w:rsidP="009A33CE">
            <w:pPr>
              <w:pStyle w:val="NoSpacing"/>
              <w:rPr>
                <w:rFonts w:ascii="Times New Roman" w:hAnsi="Times New Roman"/>
              </w:rPr>
            </w:pPr>
          </w:p>
          <w:p w:rsidR="003C7518" w:rsidRPr="009922BF" w:rsidRDefault="003C7518" w:rsidP="009A33CE">
            <w:pPr>
              <w:pStyle w:val="NoSpacing"/>
              <w:rPr>
                <w:rFonts w:ascii="Times New Roman" w:hAnsi="Times New Roman"/>
              </w:rPr>
            </w:pPr>
          </w:p>
          <w:p w:rsidR="003C7518" w:rsidRPr="009922BF" w:rsidRDefault="003C7518" w:rsidP="009A33CE">
            <w:pPr>
              <w:pStyle w:val="NoSpacing"/>
              <w:rPr>
                <w:rFonts w:ascii="Times New Roman" w:hAnsi="Times New Roman"/>
              </w:rPr>
            </w:pPr>
          </w:p>
          <w:p w:rsidR="003C7518" w:rsidRPr="009922BF" w:rsidRDefault="003C7518" w:rsidP="009A33CE">
            <w:pPr>
              <w:pStyle w:val="NoSpacing"/>
              <w:rPr>
                <w:rFonts w:ascii="Times New Roman" w:hAnsi="Times New Roman"/>
              </w:rPr>
            </w:pPr>
            <w:r w:rsidRPr="009922BF">
              <w:rPr>
                <w:rFonts w:ascii="Times New Roman" w:hAnsi="Times New Roman"/>
              </w:rPr>
              <w:t>Κατηγορία</w:t>
            </w:r>
          </w:p>
          <w:p w:rsidR="003C7518" w:rsidRPr="009922BF" w:rsidRDefault="003C7518" w:rsidP="009A33CE">
            <w:pPr>
              <w:pStyle w:val="NoSpacing"/>
              <w:rPr>
                <w:rFonts w:ascii="Times New Roman" w:hAnsi="Times New Roman"/>
              </w:rPr>
            </w:pPr>
            <w:r w:rsidRPr="009922BF">
              <w:rPr>
                <w:rFonts w:ascii="Times New Roman" w:hAnsi="Times New Roman"/>
              </w:rPr>
              <w:t>Οργάνου</w:t>
            </w:r>
          </w:p>
          <w:p w:rsidR="003C7518" w:rsidRPr="009922BF" w:rsidRDefault="003C7518" w:rsidP="009A33CE">
            <w:pPr>
              <w:pStyle w:val="NoSpacing"/>
              <w:rPr>
                <w:rFonts w:ascii="Times New Roman" w:hAnsi="Times New Roman"/>
                <w:b/>
              </w:rPr>
            </w:pPr>
            <w:r w:rsidRPr="009922BF">
              <w:rPr>
                <w:rFonts w:ascii="Times New Roman" w:hAnsi="Times New Roman"/>
              </w:rPr>
              <w:t>Συστήματος</w:t>
            </w:r>
          </w:p>
        </w:tc>
        <w:tc>
          <w:tcPr>
            <w:tcW w:w="1561" w:type="dxa"/>
          </w:tcPr>
          <w:p w:rsidR="003C7518" w:rsidRPr="009922BF" w:rsidRDefault="003C7518" w:rsidP="009A33CE">
            <w:pPr>
              <w:pStyle w:val="NoSpacing"/>
              <w:rPr>
                <w:rFonts w:ascii="Times New Roman" w:hAnsi="Times New Roman"/>
              </w:rPr>
            </w:pPr>
            <w:r w:rsidRPr="009922BF">
              <w:rPr>
                <w:rFonts w:ascii="Times New Roman" w:hAnsi="Times New Roman"/>
              </w:rPr>
              <w:t>Συχνές</w:t>
            </w:r>
          </w:p>
          <w:p w:rsidR="003C7518" w:rsidRPr="009922BF" w:rsidRDefault="003C7518" w:rsidP="009A33CE">
            <w:pPr>
              <w:pStyle w:val="NoSpacing"/>
              <w:rPr>
                <w:rFonts w:ascii="Times New Roman" w:hAnsi="Times New Roman"/>
                <w:b/>
              </w:rPr>
            </w:pPr>
            <w:r w:rsidRPr="009922BF">
              <w:rPr>
                <w:rFonts w:ascii="Times New Roman" w:hAnsi="Times New Roman"/>
              </w:rPr>
              <w:t>(&gt;1/100, &lt;1/10)</w:t>
            </w:r>
          </w:p>
        </w:tc>
        <w:tc>
          <w:tcPr>
            <w:tcW w:w="1560" w:type="dxa"/>
          </w:tcPr>
          <w:p w:rsidR="003C7518" w:rsidRPr="009922BF" w:rsidRDefault="003C7518" w:rsidP="009A33CE">
            <w:pPr>
              <w:pStyle w:val="NoSpacing"/>
              <w:rPr>
                <w:rFonts w:ascii="Times New Roman" w:hAnsi="Times New Roman"/>
              </w:rPr>
            </w:pPr>
            <w:r w:rsidRPr="009922BF">
              <w:rPr>
                <w:rFonts w:ascii="Times New Roman" w:hAnsi="Times New Roman"/>
              </w:rPr>
              <w:t>Μη συχνές</w:t>
            </w:r>
          </w:p>
          <w:p w:rsidR="003C7518" w:rsidRPr="009922BF" w:rsidRDefault="003C7518" w:rsidP="009A33CE">
            <w:pPr>
              <w:pStyle w:val="NoSpacing"/>
              <w:rPr>
                <w:rFonts w:ascii="Times New Roman" w:hAnsi="Times New Roman"/>
                <w:b/>
              </w:rPr>
            </w:pPr>
            <w:r w:rsidRPr="009922BF">
              <w:rPr>
                <w:rFonts w:ascii="Times New Roman" w:hAnsi="Times New Roman"/>
              </w:rPr>
              <w:t>(&gt;1/1.000, &lt;1/100)</w:t>
            </w:r>
          </w:p>
        </w:tc>
        <w:tc>
          <w:tcPr>
            <w:tcW w:w="2126" w:type="dxa"/>
          </w:tcPr>
          <w:p w:rsidR="003C7518" w:rsidRPr="009922BF" w:rsidRDefault="003C7518" w:rsidP="009A33CE">
            <w:pPr>
              <w:pStyle w:val="NoSpacing"/>
              <w:rPr>
                <w:rFonts w:ascii="Times New Roman" w:hAnsi="Times New Roman"/>
              </w:rPr>
            </w:pPr>
            <w:r w:rsidRPr="009922BF">
              <w:rPr>
                <w:rFonts w:ascii="Times New Roman" w:hAnsi="Times New Roman"/>
              </w:rPr>
              <w:t>Σπάνιες</w:t>
            </w:r>
          </w:p>
          <w:p w:rsidR="003C7518" w:rsidRPr="009922BF" w:rsidRDefault="003C7518" w:rsidP="009A33CE">
            <w:pPr>
              <w:pStyle w:val="NoSpacing"/>
              <w:rPr>
                <w:rFonts w:ascii="Times New Roman" w:hAnsi="Times New Roman"/>
                <w:b/>
              </w:rPr>
            </w:pPr>
            <w:r w:rsidRPr="009922BF">
              <w:rPr>
                <w:rFonts w:ascii="Times New Roman" w:hAnsi="Times New Roman"/>
              </w:rPr>
              <w:t>(&gt;1/10.000,&lt;1/1.000)</w:t>
            </w:r>
          </w:p>
        </w:tc>
        <w:tc>
          <w:tcPr>
            <w:tcW w:w="1984" w:type="dxa"/>
          </w:tcPr>
          <w:p w:rsidR="003C7518" w:rsidRPr="009922BF" w:rsidRDefault="003C7518" w:rsidP="009A33CE">
            <w:pPr>
              <w:pStyle w:val="NoSpacing"/>
              <w:rPr>
                <w:rFonts w:ascii="Times New Roman" w:hAnsi="Times New Roman"/>
              </w:rPr>
            </w:pPr>
            <w:r w:rsidRPr="009922BF">
              <w:rPr>
                <w:rFonts w:ascii="Times New Roman" w:hAnsi="Times New Roman"/>
              </w:rPr>
              <w:t>Πολύ σπάνιες</w:t>
            </w:r>
          </w:p>
          <w:p w:rsidR="003C7518" w:rsidRPr="009922BF" w:rsidRDefault="003C7518" w:rsidP="009A33CE">
            <w:pPr>
              <w:pStyle w:val="NoSpacing"/>
              <w:rPr>
                <w:rFonts w:ascii="Times New Roman" w:hAnsi="Times New Roman"/>
                <w:b/>
              </w:rPr>
            </w:pPr>
            <w:r w:rsidRPr="009922BF">
              <w:rPr>
                <w:rFonts w:ascii="Times New Roman" w:hAnsi="Times New Roman"/>
              </w:rPr>
              <w:t>(&lt;1/10.000, περιλαμβανομένων και μεμονωμένων αναφορών)</w:t>
            </w:r>
          </w:p>
        </w:tc>
      </w:tr>
      <w:tr w:rsidR="003C7518" w:rsidRPr="009922BF" w:rsidTr="00355F3F">
        <w:tc>
          <w:tcPr>
            <w:tcW w:w="1949" w:type="dxa"/>
          </w:tcPr>
          <w:p w:rsidR="003C7518" w:rsidRPr="009922BF" w:rsidRDefault="003C7518" w:rsidP="009A33CE">
            <w:pPr>
              <w:pStyle w:val="NoSpacing"/>
              <w:rPr>
                <w:rFonts w:ascii="Times New Roman" w:hAnsi="Times New Roman"/>
              </w:rPr>
            </w:pPr>
            <w:r w:rsidRPr="009922BF">
              <w:rPr>
                <w:rFonts w:ascii="Times New Roman" w:hAnsi="Times New Roman"/>
              </w:rPr>
              <w:t>Διαταραχές του αιμοποιητικού και του λεμφικού συστήματος</w:t>
            </w:r>
          </w:p>
        </w:tc>
        <w:tc>
          <w:tcPr>
            <w:tcW w:w="1561" w:type="dxa"/>
          </w:tcPr>
          <w:p w:rsidR="003C7518" w:rsidRPr="009922BF" w:rsidRDefault="003C7518" w:rsidP="009A33CE">
            <w:pPr>
              <w:pStyle w:val="NoSpacing"/>
              <w:rPr>
                <w:rFonts w:ascii="Times New Roman" w:hAnsi="Times New Roman"/>
              </w:rPr>
            </w:pPr>
          </w:p>
        </w:tc>
        <w:tc>
          <w:tcPr>
            <w:tcW w:w="1560" w:type="dxa"/>
          </w:tcPr>
          <w:p w:rsidR="003C7518" w:rsidRPr="009922BF" w:rsidRDefault="003C7518" w:rsidP="009A33CE">
            <w:pPr>
              <w:pStyle w:val="NoSpacing"/>
              <w:rPr>
                <w:rFonts w:ascii="Times New Roman" w:hAnsi="Times New Roman"/>
              </w:rPr>
            </w:pPr>
          </w:p>
        </w:tc>
        <w:tc>
          <w:tcPr>
            <w:tcW w:w="2126" w:type="dxa"/>
          </w:tcPr>
          <w:p w:rsidR="003C7518" w:rsidRPr="009922BF" w:rsidRDefault="003C7518" w:rsidP="009A33CE">
            <w:pPr>
              <w:pStyle w:val="NoSpacing"/>
              <w:rPr>
                <w:rFonts w:ascii="Times New Roman" w:hAnsi="Times New Roman"/>
              </w:rPr>
            </w:pPr>
          </w:p>
        </w:tc>
        <w:tc>
          <w:tcPr>
            <w:tcW w:w="1984" w:type="dxa"/>
          </w:tcPr>
          <w:p w:rsidR="003C7518" w:rsidRPr="009922BF" w:rsidRDefault="003C7518" w:rsidP="009A33CE">
            <w:pPr>
              <w:pStyle w:val="NoSpacing"/>
              <w:rPr>
                <w:rFonts w:ascii="Times New Roman" w:hAnsi="Times New Roman"/>
              </w:rPr>
            </w:pPr>
            <w:r w:rsidRPr="009922BF">
              <w:rPr>
                <w:rFonts w:ascii="Times New Roman" w:hAnsi="Times New Roman"/>
              </w:rPr>
              <w:t>Λευκοπενία,</w:t>
            </w:r>
          </w:p>
          <w:p w:rsidR="003C7518" w:rsidRPr="009922BF" w:rsidRDefault="003C7518" w:rsidP="009A33CE">
            <w:pPr>
              <w:pStyle w:val="NoSpacing"/>
              <w:rPr>
                <w:rFonts w:ascii="Times New Roman" w:hAnsi="Times New Roman"/>
              </w:rPr>
            </w:pPr>
            <w:r w:rsidRPr="009922BF">
              <w:rPr>
                <w:rFonts w:ascii="Times New Roman" w:hAnsi="Times New Roman"/>
              </w:rPr>
              <w:t>Θρομβοπενία.</w:t>
            </w:r>
          </w:p>
        </w:tc>
      </w:tr>
      <w:tr w:rsidR="003C7518" w:rsidRPr="009922BF" w:rsidTr="00355F3F">
        <w:tc>
          <w:tcPr>
            <w:tcW w:w="1949" w:type="dxa"/>
          </w:tcPr>
          <w:p w:rsidR="003C7518" w:rsidRPr="009922BF" w:rsidRDefault="003C7518" w:rsidP="009A33CE">
            <w:pPr>
              <w:pStyle w:val="NoSpacing"/>
              <w:rPr>
                <w:rFonts w:ascii="Times New Roman" w:hAnsi="Times New Roman"/>
              </w:rPr>
            </w:pPr>
            <w:r w:rsidRPr="009922BF">
              <w:rPr>
                <w:rFonts w:ascii="Times New Roman" w:hAnsi="Times New Roman"/>
              </w:rPr>
              <w:t>Διαταραχές του γαστρεντερικού συστήματος</w:t>
            </w:r>
          </w:p>
        </w:tc>
        <w:tc>
          <w:tcPr>
            <w:tcW w:w="1561" w:type="dxa"/>
          </w:tcPr>
          <w:p w:rsidR="003C7518" w:rsidRPr="009922BF" w:rsidRDefault="003C7518" w:rsidP="009A33CE">
            <w:pPr>
              <w:pStyle w:val="NoSpacing"/>
              <w:rPr>
                <w:rFonts w:ascii="Times New Roman" w:hAnsi="Times New Roman"/>
              </w:rPr>
            </w:pPr>
            <w:r w:rsidRPr="009922BF">
              <w:rPr>
                <w:rFonts w:ascii="Times New Roman" w:hAnsi="Times New Roman"/>
              </w:rPr>
              <w:t>Πόνος στην άνω κοιλιακή χώρα.</w:t>
            </w:r>
          </w:p>
          <w:p w:rsidR="003C7518" w:rsidRPr="009922BF" w:rsidRDefault="003C7518" w:rsidP="009A33CE">
            <w:pPr>
              <w:pStyle w:val="NoSpacing"/>
              <w:rPr>
                <w:rFonts w:ascii="Times New Roman" w:hAnsi="Times New Roman"/>
              </w:rPr>
            </w:pPr>
            <w:r w:rsidRPr="009922BF">
              <w:rPr>
                <w:rFonts w:ascii="Times New Roman" w:hAnsi="Times New Roman"/>
              </w:rPr>
              <w:t>Διάρροια.</w:t>
            </w:r>
          </w:p>
          <w:p w:rsidR="003C7518" w:rsidRPr="009922BF" w:rsidRDefault="003C7518" w:rsidP="009A33CE">
            <w:pPr>
              <w:pStyle w:val="NoSpacing"/>
              <w:rPr>
                <w:rFonts w:ascii="Times New Roman" w:hAnsi="Times New Roman"/>
              </w:rPr>
            </w:pPr>
            <w:r w:rsidRPr="009922BF">
              <w:rPr>
                <w:rFonts w:ascii="Times New Roman" w:hAnsi="Times New Roman"/>
              </w:rPr>
              <w:t>Δυσκοιλιότητα</w:t>
            </w:r>
          </w:p>
          <w:p w:rsidR="003C7518" w:rsidRPr="009922BF" w:rsidRDefault="003C7518" w:rsidP="009A33CE">
            <w:pPr>
              <w:pStyle w:val="NoSpacing"/>
              <w:rPr>
                <w:rFonts w:ascii="Times New Roman" w:hAnsi="Times New Roman"/>
              </w:rPr>
            </w:pPr>
            <w:r w:rsidRPr="009922BF">
              <w:rPr>
                <w:rFonts w:ascii="Times New Roman" w:hAnsi="Times New Roman"/>
              </w:rPr>
              <w:t>Μετεωρισμός.</w:t>
            </w:r>
          </w:p>
        </w:tc>
        <w:tc>
          <w:tcPr>
            <w:tcW w:w="1560" w:type="dxa"/>
          </w:tcPr>
          <w:p w:rsidR="003C7518" w:rsidRPr="009922BF" w:rsidRDefault="003C7518" w:rsidP="009A33CE">
            <w:pPr>
              <w:pStyle w:val="NoSpacing"/>
              <w:rPr>
                <w:rFonts w:ascii="Times New Roman" w:hAnsi="Times New Roman"/>
              </w:rPr>
            </w:pPr>
            <w:r w:rsidRPr="009922BF">
              <w:rPr>
                <w:rFonts w:ascii="Times New Roman" w:hAnsi="Times New Roman"/>
              </w:rPr>
              <w:t xml:space="preserve">Ναυτία / </w:t>
            </w:r>
          </w:p>
          <w:p w:rsidR="003C7518" w:rsidRPr="009922BF" w:rsidRDefault="003C7518" w:rsidP="009A33CE">
            <w:pPr>
              <w:pStyle w:val="NoSpacing"/>
              <w:rPr>
                <w:rFonts w:ascii="Times New Roman" w:hAnsi="Times New Roman"/>
              </w:rPr>
            </w:pPr>
            <w:r w:rsidRPr="009922BF">
              <w:rPr>
                <w:rFonts w:ascii="Times New Roman" w:hAnsi="Times New Roman"/>
              </w:rPr>
              <w:t>Έμετος</w:t>
            </w:r>
          </w:p>
        </w:tc>
        <w:tc>
          <w:tcPr>
            <w:tcW w:w="2126" w:type="dxa"/>
          </w:tcPr>
          <w:p w:rsidR="003C7518" w:rsidRPr="009922BF" w:rsidRDefault="003C7518" w:rsidP="009A33CE">
            <w:pPr>
              <w:pStyle w:val="NoSpacing"/>
              <w:rPr>
                <w:rFonts w:ascii="Times New Roman" w:hAnsi="Times New Roman"/>
              </w:rPr>
            </w:pPr>
            <w:r w:rsidRPr="009922BF">
              <w:rPr>
                <w:rFonts w:ascii="Times New Roman" w:hAnsi="Times New Roman"/>
              </w:rPr>
              <w:t>Ξηροστομία</w:t>
            </w:r>
          </w:p>
        </w:tc>
        <w:tc>
          <w:tcPr>
            <w:tcW w:w="1984" w:type="dxa"/>
          </w:tcPr>
          <w:p w:rsidR="003C7518" w:rsidRPr="009922BF" w:rsidRDefault="003C7518" w:rsidP="009A33CE">
            <w:pPr>
              <w:pStyle w:val="NoSpacing"/>
              <w:rPr>
                <w:rFonts w:ascii="Times New Roman" w:hAnsi="Times New Roman"/>
              </w:rPr>
            </w:pPr>
          </w:p>
        </w:tc>
      </w:tr>
      <w:tr w:rsidR="003C7518" w:rsidRPr="009922BF" w:rsidTr="00355F3F">
        <w:tc>
          <w:tcPr>
            <w:tcW w:w="1949" w:type="dxa"/>
          </w:tcPr>
          <w:p w:rsidR="003C7518" w:rsidRPr="009922BF" w:rsidRDefault="003C7518" w:rsidP="009A33CE">
            <w:pPr>
              <w:pStyle w:val="NoSpacing"/>
              <w:rPr>
                <w:rFonts w:ascii="Times New Roman" w:hAnsi="Times New Roman"/>
              </w:rPr>
            </w:pPr>
            <w:r w:rsidRPr="009922BF">
              <w:rPr>
                <w:rFonts w:ascii="Times New Roman" w:hAnsi="Times New Roman"/>
              </w:rPr>
              <w:t>Γενικές διαταραχές και καταστάσεις της οδού χορήγησης</w:t>
            </w:r>
          </w:p>
        </w:tc>
        <w:tc>
          <w:tcPr>
            <w:tcW w:w="1561" w:type="dxa"/>
          </w:tcPr>
          <w:p w:rsidR="003C7518" w:rsidRPr="009922BF" w:rsidRDefault="003C7518" w:rsidP="009A33CE">
            <w:pPr>
              <w:pStyle w:val="NoSpacing"/>
              <w:rPr>
                <w:rFonts w:ascii="Times New Roman" w:hAnsi="Times New Roman"/>
              </w:rPr>
            </w:pPr>
          </w:p>
        </w:tc>
        <w:tc>
          <w:tcPr>
            <w:tcW w:w="1560" w:type="dxa"/>
          </w:tcPr>
          <w:p w:rsidR="003C7518" w:rsidRPr="009922BF" w:rsidRDefault="003C7518" w:rsidP="009A33CE">
            <w:pPr>
              <w:pStyle w:val="NoSpacing"/>
              <w:rPr>
                <w:rFonts w:ascii="Times New Roman" w:hAnsi="Times New Roman"/>
              </w:rPr>
            </w:pPr>
          </w:p>
        </w:tc>
        <w:tc>
          <w:tcPr>
            <w:tcW w:w="2126" w:type="dxa"/>
          </w:tcPr>
          <w:p w:rsidR="003C7518" w:rsidRPr="009922BF" w:rsidRDefault="003C7518" w:rsidP="009A33CE">
            <w:pPr>
              <w:pStyle w:val="NoSpacing"/>
              <w:rPr>
                <w:rFonts w:ascii="Times New Roman" w:hAnsi="Times New Roman"/>
              </w:rPr>
            </w:pPr>
          </w:p>
        </w:tc>
        <w:tc>
          <w:tcPr>
            <w:tcW w:w="1984" w:type="dxa"/>
          </w:tcPr>
          <w:p w:rsidR="003C7518" w:rsidRPr="009922BF" w:rsidRDefault="003C7518" w:rsidP="009A33CE">
            <w:pPr>
              <w:pStyle w:val="NoSpacing"/>
              <w:rPr>
                <w:rFonts w:ascii="Times New Roman" w:hAnsi="Times New Roman"/>
              </w:rPr>
            </w:pPr>
            <w:r w:rsidRPr="009922BF">
              <w:rPr>
                <w:rFonts w:ascii="Times New Roman" w:hAnsi="Times New Roman"/>
              </w:rPr>
              <w:t>Περιφερικό οίδημα.</w:t>
            </w:r>
          </w:p>
        </w:tc>
      </w:tr>
      <w:tr w:rsidR="003C7518" w:rsidRPr="009922BF" w:rsidTr="00355F3F">
        <w:tc>
          <w:tcPr>
            <w:tcW w:w="1949" w:type="dxa"/>
          </w:tcPr>
          <w:p w:rsidR="003C7518" w:rsidRPr="009922BF" w:rsidRDefault="003C7518" w:rsidP="009A33CE">
            <w:pPr>
              <w:pStyle w:val="NoSpacing"/>
              <w:rPr>
                <w:rFonts w:ascii="Times New Roman" w:hAnsi="Times New Roman"/>
              </w:rPr>
            </w:pPr>
            <w:r w:rsidRPr="009922BF">
              <w:rPr>
                <w:rFonts w:ascii="Times New Roman" w:hAnsi="Times New Roman"/>
              </w:rPr>
              <w:t>Διαταραχές του ήπατος και των χοληφόρων</w:t>
            </w:r>
          </w:p>
        </w:tc>
        <w:tc>
          <w:tcPr>
            <w:tcW w:w="1561" w:type="dxa"/>
          </w:tcPr>
          <w:p w:rsidR="003C7518" w:rsidRPr="009922BF" w:rsidRDefault="003C7518" w:rsidP="009A33CE">
            <w:pPr>
              <w:pStyle w:val="NoSpacing"/>
              <w:rPr>
                <w:rFonts w:ascii="Times New Roman" w:hAnsi="Times New Roman"/>
              </w:rPr>
            </w:pPr>
          </w:p>
        </w:tc>
        <w:tc>
          <w:tcPr>
            <w:tcW w:w="1560" w:type="dxa"/>
          </w:tcPr>
          <w:p w:rsidR="003C7518" w:rsidRPr="009922BF" w:rsidRDefault="003C7518" w:rsidP="009A33CE">
            <w:pPr>
              <w:pStyle w:val="NoSpacing"/>
              <w:rPr>
                <w:rFonts w:ascii="Times New Roman" w:hAnsi="Times New Roman"/>
              </w:rPr>
            </w:pPr>
          </w:p>
        </w:tc>
        <w:tc>
          <w:tcPr>
            <w:tcW w:w="2126" w:type="dxa"/>
          </w:tcPr>
          <w:p w:rsidR="003C7518" w:rsidRPr="009922BF" w:rsidRDefault="003C7518" w:rsidP="009A33CE">
            <w:pPr>
              <w:pStyle w:val="NoSpacing"/>
              <w:rPr>
                <w:rFonts w:ascii="Times New Roman" w:hAnsi="Times New Roman"/>
              </w:rPr>
            </w:pPr>
          </w:p>
        </w:tc>
        <w:tc>
          <w:tcPr>
            <w:tcW w:w="1984" w:type="dxa"/>
          </w:tcPr>
          <w:p w:rsidR="003C7518" w:rsidRPr="009922BF" w:rsidRDefault="003C7518" w:rsidP="009A33CE">
            <w:pPr>
              <w:pStyle w:val="NoSpacing"/>
              <w:rPr>
                <w:rFonts w:ascii="Times New Roman" w:hAnsi="Times New Roman"/>
              </w:rPr>
            </w:pPr>
            <w:r w:rsidRPr="009922BF">
              <w:rPr>
                <w:rFonts w:ascii="Times New Roman" w:hAnsi="Times New Roman"/>
              </w:rPr>
              <w:t>Σοβαρή ηπατοκυτταρική βλάβη που οδηγεί σε ίκτερο με ή χωρίς ηπατική ανεπάρκεια.</w:t>
            </w:r>
          </w:p>
        </w:tc>
      </w:tr>
      <w:tr w:rsidR="003C7518" w:rsidRPr="009922BF" w:rsidTr="00355F3F">
        <w:tc>
          <w:tcPr>
            <w:tcW w:w="1949" w:type="dxa"/>
          </w:tcPr>
          <w:p w:rsidR="003C7518" w:rsidRPr="009922BF" w:rsidRDefault="003C7518" w:rsidP="009A33CE">
            <w:pPr>
              <w:pStyle w:val="NoSpacing"/>
              <w:rPr>
                <w:rFonts w:ascii="Times New Roman" w:hAnsi="Times New Roman"/>
              </w:rPr>
            </w:pPr>
            <w:r w:rsidRPr="009922BF">
              <w:rPr>
                <w:rFonts w:ascii="Times New Roman" w:hAnsi="Times New Roman"/>
              </w:rPr>
              <w:t xml:space="preserve">Διαταραχές του ανοσοποιητικού συστήματος </w:t>
            </w:r>
          </w:p>
        </w:tc>
        <w:tc>
          <w:tcPr>
            <w:tcW w:w="1561" w:type="dxa"/>
          </w:tcPr>
          <w:p w:rsidR="003C7518" w:rsidRPr="009922BF" w:rsidRDefault="003C7518" w:rsidP="009A33CE">
            <w:pPr>
              <w:pStyle w:val="NoSpacing"/>
              <w:rPr>
                <w:rFonts w:ascii="Times New Roman" w:hAnsi="Times New Roman"/>
              </w:rPr>
            </w:pPr>
          </w:p>
        </w:tc>
        <w:tc>
          <w:tcPr>
            <w:tcW w:w="1560" w:type="dxa"/>
          </w:tcPr>
          <w:p w:rsidR="003C7518" w:rsidRPr="009922BF" w:rsidRDefault="003C7518" w:rsidP="009A33CE">
            <w:pPr>
              <w:pStyle w:val="NoSpacing"/>
              <w:rPr>
                <w:rFonts w:ascii="Times New Roman" w:hAnsi="Times New Roman"/>
              </w:rPr>
            </w:pPr>
          </w:p>
        </w:tc>
        <w:tc>
          <w:tcPr>
            <w:tcW w:w="2126" w:type="dxa"/>
          </w:tcPr>
          <w:p w:rsidR="003C7518" w:rsidRPr="009922BF" w:rsidRDefault="003C7518" w:rsidP="009A33CE">
            <w:pPr>
              <w:pStyle w:val="NoSpacing"/>
              <w:rPr>
                <w:rFonts w:ascii="Times New Roman" w:hAnsi="Times New Roman"/>
              </w:rPr>
            </w:pPr>
          </w:p>
        </w:tc>
        <w:tc>
          <w:tcPr>
            <w:tcW w:w="1984" w:type="dxa"/>
          </w:tcPr>
          <w:p w:rsidR="003C7518" w:rsidRPr="009922BF" w:rsidRDefault="003C7518" w:rsidP="009A33CE">
            <w:pPr>
              <w:pStyle w:val="NoSpacing"/>
              <w:rPr>
                <w:rFonts w:ascii="Times New Roman" w:hAnsi="Times New Roman"/>
              </w:rPr>
            </w:pPr>
            <w:r w:rsidRPr="009922BF">
              <w:rPr>
                <w:rFonts w:ascii="Times New Roman" w:hAnsi="Times New Roman"/>
              </w:rPr>
              <w:t>Αναφυλακτικές αντιδράσεις περιλαμβανόμενης αναφυλατικής καταπληξίας.</w:t>
            </w:r>
          </w:p>
        </w:tc>
      </w:tr>
      <w:tr w:rsidR="003C7518" w:rsidRPr="009922BF" w:rsidTr="00355F3F">
        <w:tc>
          <w:tcPr>
            <w:tcW w:w="1949" w:type="dxa"/>
          </w:tcPr>
          <w:p w:rsidR="003C7518" w:rsidRPr="009922BF" w:rsidRDefault="003C7518" w:rsidP="009A33CE">
            <w:pPr>
              <w:pStyle w:val="NoSpacing"/>
              <w:rPr>
                <w:rFonts w:ascii="Times New Roman" w:hAnsi="Times New Roman"/>
              </w:rPr>
            </w:pPr>
            <w:r w:rsidRPr="009922BF">
              <w:rPr>
                <w:rFonts w:ascii="Times New Roman" w:hAnsi="Times New Roman"/>
              </w:rPr>
              <w:t xml:space="preserve">Παρακλινικές εξετάσεις </w:t>
            </w:r>
          </w:p>
        </w:tc>
        <w:tc>
          <w:tcPr>
            <w:tcW w:w="1561" w:type="dxa"/>
          </w:tcPr>
          <w:p w:rsidR="003C7518" w:rsidRPr="009922BF" w:rsidRDefault="003C7518" w:rsidP="009A33CE">
            <w:pPr>
              <w:pStyle w:val="NoSpacing"/>
              <w:rPr>
                <w:rFonts w:ascii="Times New Roman" w:hAnsi="Times New Roman"/>
              </w:rPr>
            </w:pPr>
          </w:p>
        </w:tc>
        <w:tc>
          <w:tcPr>
            <w:tcW w:w="1560" w:type="dxa"/>
          </w:tcPr>
          <w:p w:rsidR="003C7518" w:rsidRPr="009922BF" w:rsidRDefault="003C7518" w:rsidP="009A33CE">
            <w:pPr>
              <w:pStyle w:val="NoSpacing"/>
              <w:rPr>
                <w:rFonts w:ascii="Times New Roman" w:hAnsi="Times New Roman"/>
              </w:rPr>
            </w:pPr>
          </w:p>
        </w:tc>
        <w:tc>
          <w:tcPr>
            <w:tcW w:w="2126" w:type="dxa"/>
          </w:tcPr>
          <w:p w:rsidR="003C7518" w:rsidRPr="009922BF" w:rsidRDefault="003C7518" w:rsidP="009A33CE">
            <w:pPr>
              <w:pStyle w:val="NoSpacing"/>
              <w:rPr>
                <w:rFonts w:ascii="Times New Roman" w:hAnsi="Times New Roman"/>
              </w:rPr>
            </w:pPr>
          </w:p>
        </w:tc>
        <w:tc>
          <w:tcPr>
            <w:tcW w:w="1984" w:type="dxa"/>
          </w:tcPr>
          <w:p w:rsidR="003C7518" w:rsidRPr="009922BF" w:rsidRDefault="003C7518" w:rsidP="009A33CE">
            <w:pPr>
              <w:pStyle w:val="NoSpacing"/>
              <w:rPr>
                <w:rFonts w:ascii="Times New Roman" w:hAnsi="Times New Roman"/>
              </w:rPr>
            </w:pPr>
            <w:r w:rsidRPr="009922BF">
              <w:rPr>
                <w:rFonts w:ascii="Times New Roman" w:hAnsi="Times New Roman"/>
              </w:rPr>
              <w:t>Αυξημένα ηπατικά ένζυμα (τρασαμινάσες, γ-</w:t>
            </w:r>
            <w:r w:rsidRPr="009922BF">
              <w:rPr>
                <w:rFonts w:ascii="Times New Roman" w:hAnsi="Times New Roman"/>
                <w:lang w:val="en-US"/>
              </w:rPr>
              <w:t>GT</w:t>
            </w:r>
            <w:r w:rsidRPr="009922BF">
              <w:rPr>
                <w:rFonts w:ascii="Times New Roman" w:hAnsi="Times New Roman"/>
              </w:rPr>
              <w:t>), αυξημένα τριγλυκερίδια, αυξημένη θερμοκρασία του σώματος.</w:t>
            </w:r>
          </w:p>
        </w:tc>
      </w:tr>
      <w:tr w:rsidR="003C7518" w:rsidRPr="009922BF" w:rsidTr="00355F3F">
        <w:tc>
          <w:tcPr>
            <w:tcW w:w="1949" w:type="dxa"/>
          </w:tcPr>
          <w:p w:rsidR="003C7518" w:rsidRPr="009922BF" w:rsidRDefault="003C7518" w:rsidP="009A33CE">
            <w:pPr>
              <w:pStyle w:val="NoSpacing"/>
              <w:rPr>
                <w:rFonts w:ascii="Times New Roman" w:hAnsi="Times New Roman"/>
              </w:rPr>
            </w:pPr>
            <w:r w:rsidRPr="009922BF">
              <w:rPr>
                <w:rFonts w:ascii="Times New Roman" w:hAnsi="Times New Roman"/>
              </w:rPr>
              <w:t>Διαταραχές του μυοσκελετικού συστήματος και του συνδετικού ιστού</w:t>
            </w:r>
          </w:p>
        </w:tc>
        <w:tc>
          <w:tcPr>
            <w:tcW w:w="1561" w:type="dxa"/>
          </w:tcPr>
          <w:p w:rsidR="003C7518" w:rsidRPr="009922BF" w:rsidRDefault="003C7518" w:rsidP="009A33CE">
            <w:pPr>
              <w:pStyle w:val="NoSpacing"/>
              <w:rPr>
                <w:rFonts w:ascii="Times New Roman" w:hAnsi="Times New Roman"/>
              </w:rPr>
            </w:pPr>
          </w:p>
        </w:tc>
        <w:tc>
          <w:tcPr>
            <w:tcW w:w="1560" w:type="dxa"/>
          </w:tcPr>
          <w:p w:rsidR="003C7518" w:rsidRPr="009922BF" w:rsidRDefault="003C7518" w:rsidP="009A33CE">
            <w:pPr>
              <w:pStyle w:val="NoSpacing"/>
              <w:rPr>
                <w:rFonts w:ascii="Times New Roman" w:hAnsi="Times New Roman"/>
              </w:rPr>
            </w:pPr>
          </w:p>
        </w:tc>
        <w:tc>
          <w:tcPr>
            <w:tcW w:w="2126" w:type="dxa"/>
          </w:tcPr>
          <w:p w:rsidR="003C7518" w:rsidRPr="009922BF" w:rsidRDefault="003C7518" w:rsidP="009A33CE">
            <w:pPr>
              <w:pStyle w:val="NoSpacing"/>
              <w:rPr>
                <w:rFonts w:ascii="Times New Roman" w:hAnsi="Times New Roman"/>
              </w:rPr>
            </w:pPr>
            <w:r w:rsidRPr="009922BF">
              <w:rPr>
                <w:rFonts w:ascii="Times New Roman" w:hAnsi="Times New Roman"/>
              </w:rPr>
              <w:t>Αρθραλγία.</w:t>
            </w:r>
          </w:p>
        </w:tc>
        <w:tc>
          <w:tcPr>
            <w:tcW w:w="1984" w:type="dxa"/>
          </w:tcPr>
          <w:p w:rsidR="003C7518" w:rsidRPr="009922BF" w:rsidRDefault="003C7518" w:rsidP="009A33CE">
            <w:pPr>
              <w:pStyle w:val="NoSpacing"/>
              <w:rPr>
                <w:rFonts w:ascii="Times New Roman" w:hAnsi="Times New Roman"/>
              </w:rPr>
            </w:pPr>
            <w:r w:rsidRPr="009922BF">
              <w:rPr>
                <w:rFonts w:ascii="Times New Roman" w:hAnsi="Times New Roman"/>
              </w:rPr>
              <w:t>Μυαλγία.</w:t>
            </w:r>
          </w:p>
        </w:tc>
      </w:tr>
      <w:tr w:rsidR="003C7518" w:rsidRPr="009922BF" w:rsidTr="00355F3F">
        <w:tc>
          <w:tcPr>
            <w:tcW w:w="1949" w:type="dxa"/>
          </w:tcPr>
          <w:p w:rsidR="003C7518" w:rsidRPr="009922BF" w:rsidRDefault="003C7518" w:rsidP="009A33CE">
            <w:pPr>
              <w:pStyle w:val="NoSpacing"/>
              <w:rPr>
                <w:rFonts w:ascii="Times New Roman" w:hAnsi="Times New Roman"/>
              </w:rPr>
            </w:pPr>
            <w:r w:rsidRPr="009922BF">
              <w:rPr>
                <w:rFonts w:ascii="Times New Roman" w:hAnsi="Times New Roman"/>
              </w:rPr>
              <w:t xml:space="preserve">Διαταραχές του νευρικού συστήματος </w:t>
            </w:r>
          </w:p>
        </w:tc>
        <w:tc>
          <w:tcPr>
            <w:tcW w:w="1561" w:type="dxa"/>
          </w:tcPr>
          <w:p w:rsidR="003C7518" w:rsidRPr="009922BF" w:rsidRDefault="003C7518" w:rsidP="009A33CE">
            <w:pPr>
              <w:pStyle w:val="NoSpacing"/>
              <w:rPr>
                <w:rFonts w:ascii="Times New Roman" w:hAnsi="Times New Roman"/>
              </w:rPr>
            </w:pPr>
            <w:r w:rsidRPr="009922BF">
              <w:rPr>
                <w:rFonts w:ascii="Times New Roman" w:hAnsi="Times New Roman"/>
              </w:rPr>
              <w:t>Κεφαλαλγία.</w:t>
            </w:r>
          </w:p>
        </w:tc>
        <w:tc>
          <w:tcPr>
            <w:tcW w:w="1560" w:type="dxa"/>
          </w:tcPr>
          <w:p w:rsidR="003C7518" w:rsidRPr="009922BF" w:rsidRDefault="003C7518" w:rsidP="009A33CE">
            <w:pPr>
              <w:pStyle w:val="NoSpacing"/>
              <w:rPr>
                <w:rFonts w:ascii="Times New Roman" w:hAnsi="Times New Roman"/>
              </w:rPr>
            </w:pPr>
            <w:r w:rsidRPr="009922BF">
              <w:rPr>
                <w:rFonts w:ascii="Times New Roman" w:hAnsi="Times New Roman"/>
              </w:rPr>
              <w:t>Ζάλη.</w:t>
            </w:r>
          </w:p>
          <w:p w:rsidR="003C7518" w:rsidRPr="009922BF" w:rsidRDefault="003C7518" w:rsidP="009A33CE">
            <w:pPr>
              <w:pStyle w:val="NoSpacing"/>
              <w:rPr>
                <w:rFonts w:ascii="Times New Roman" w:hAnsi="Times New Roman"/>
              </w:rPr>
            </w:pPr>
            <w:r w:rsidRPr="009922BF">
              <w:rPr>
                <w:rFonts w:ascii="Times New Roman" w:hAnsi="Times New Roman"/>
              </w:rPr>
              <w:t>Διαταραχές της όρασης (θάμβος οράσεως).</w:t>
            </w:r>
          </w:p>
        </w:tc>
        <w:tc>
          <w:tcPr>
            <w:tcW w:w="2126" w:type="dxa"/>
          </w:tcPr>
          <w:p w:rsidR="003C7518" w:rsidRPr="009922BF" w:rsidRDefault="003C7518" w:rsidP="009A33CE">
            <w:pPr>
              <w:pStyle w:val="NoSpacing"/>
              <w:rPr>
                <w:rFonts w:ascii="Times New Roman" w:hAnsi="Times New Roman"/>
              </w:rPr>
            </w:pPr>
          </w:p>
        </w:tc>
        <w:tc>
          <w:tcPr>
            <w:tcW w:w="1984" w:type="dxa"/>
          </w:tcPr>
          <w:p w:rsidR="003C7518" w:rsidRPr="009922BF" w:rsidRDefault="003C7518" w:rsidP="009A33CE">
            <w:pPr>
              <w:pStyle w:val="NoSpacing"/>
              <w:rPr>
                <w:rFonts w:ascii="Times New Roman" w:hAnsi="Times New Roman"/>
              </w:rPr>
            </w:pPr>
          </w:p>
        </w:tc>
      </w:tr>
      <w:tr w:rsidR="003C7518" w:rsidRPr="009922BF" w:rsidTr="00355F3F">
        <w:tc>
          <w:tcPr>
            <w:tcW w:w="1949" w:type="dxa"/>
          </w:tcPr>
          <w:p w:rsidR="003C7518" w:rsidRPr="009922BF" w:rsidRDefault="003C7518" w:rsidP="009A33CE">
            <w:pPr>
              <w:pStyle w:val="NoSpacing"/>
              <w:rPr>
                <w:rFonts w:ascii="Times New Roman" w:hAnsi="Times New Roman"/>
              </w:rPr>
            </w:pPr>
            <w:r w:rsidRPr="009922BF">
              <w:rPr>
                <w:rFonts w:ascii="Times New Roman" w:hAnsi="Times New Roman"/>
              </w:rPr>
              <w:t xml:space="preserve">Ψυχιατρικές διαταραχές </w:t>
            </w:r>
          </w:p>
        </w:tc>
        <w:tc>
          <w:tcPr>
            <w:tcW w:w="1561" w:type="dxa"/>
          </w:tcPr>
          <w:p w:rsidR="003C7518" w:rsidRPr="009922BF" w:rsidRDefault="003C7518" w:rsidP="009A33CE">
            <w:pPr>
              <w:pStyle w:val="NoSpacing"/>
              <w:rPr>
                <w:rFonts w:ascii="Times New Roman" w:hAnsi="Times New Roman"/>
              </w:rPr>
            </w:pPr>
          </w:p>
        </w:tc>
        <w:tc>
          <w:tcPr>
            <w:tcW w:w="1560" w:type="dxa"/>
          </w:tcPr>
          <w:p w:rsidR="003C7518" w:rsidRPr="009922BF" w:rsidRDefault="003C7518" w:rsidP="009A33CE">
            <w:pPr>
              <w:pStyle w:val="NoSpacing"/>
              <w:rPr>
                <w:rFonts w:ascii="Times New Roman" w:hAnsi="Times New Roman"/>
              </w:rPr>
            </w:pPr>
          </w:p>
        </w:tc>
        <w:tc>
          <w:tcPr>
            <w:tcW w:w="2126" w:type="dxa"/>
          </w:tcPr>
          <w:p w:rsidR="003C7518" w:rsidRPr="009922BF" w:rsidRDefault="003C7518" w:rsidP="009A33CE">
            <w:pPr>
              <w:pStyle w:val="NoSpacing"/>
              <w:rPr>
                <w:rFonts w:ascii="Times New Roman" w:hAnsi="Times New Roman"/>
              </w:rPr>
            </w:pPr>
            <w:r w:rsidRPr="009922BF">
              <w:rPr>
                <w:rFonts w:ascii="Times New Roman" w:hAnsi="Times New Roman"/>
              </w:rPr>
              <w:t>Κατάθλιψη.</w:t>
            </w:r>
          </w:p>
          <w:p w:rsidR="003C7518" w:rsidRPr="009922BF" w:rsidRDefault="003C7518" w:rsidP="009A33CE">
            <w:pPr>
              <w:pStyle w:val="NoSpacing"/>
              <w:rPr>
                <w:rFonts w:ascii="Times New Roman" w:hAnsi="Times New Roman"/>
              </w:rPr>
            </w:pPr>
            <w:r w:rsidRPr="009922BF">
              <w:rPr>
                <w:rFonts w:ascii="Times New Roman" w:hAnsi="Times New Roman"/>
              </w:rPr>
              <w:t>Ψευδαίσθηση,</w:t>
            </w:r>
          </w:p>
          <w:p w:rsidR="003C7518" w:rsidRPr="009922BF" w:rsidRDefault="003C7518" w:rsidP="009A33CE">
            <w:pPr>
              <w:pStyle w:val="NoSpacing"/>
              <w:rPr>
                <w:rFonts w:ascii="Times New Roman" w:hAnsi="Times New Roman"/>
              </w:rPr>
            </w:pPr>
            <w:r w:rsidRPr="009922BF">
              <w:rPr>
                <w:rFonts w:ascii="Times New Roman" w:hAnsi="Times New Roman"/>
              </w:rPr>
              <w:t>Αποπροσανατολισμός και Σύγχυση,</w:t>
            </w:r>
          </w:p>
          <w:p w:rsidR="003C7518" w:rsidRPr="009922BF" w:rsidRDefault="003C7518" w:rsidP="009A33CE">
            <w:pPr>
              <w:pStyle w:val="NoSpacing"/>
              <w:rPr>
                <w:rFonts w:ascii="Times New Roman" w:hAnsi="Times New Roman"/>
              </w:rPr>
            </w:pPr>
            <w:r w:rsidRPr="009922BF">
              <w:rPr>
                <w:rFonts w:ascii="Times New Roman" w:hAnsi="Times New Roman"/>
              </w:rPr>
              <w:t>ιδιαίτερα σε ασθενείς με προδιάθεση, καθώς και επιδείνωση αυτών των συμπτωμάτων σε περίπτωση προΰπαρξης αυτών.</w:t>
            </w:r>
          </w:p>
        </w:tc>
        <w:tc>
          <w:tcPr>
            <w:tcW w:w="1984" w:type="dxa"/>
          </w:tcPr>
          <w:p w:rsidR="003C7518" w:rsidRPr="009922BF" w:rsidRDefault="003C7518" w:rsidP="009A33CE">
            <w:pPr>
              <w:pStyle w:val="NoSpacing"/>
              <w:rPr>
                <w:rFonts w:ascii="Times New Roman" w:hAnsi="Times New Roman"/>
              </w:rPr>
            </w:pPr>
          </w:p>
        </w:tc>
      </w:tr>
      <w:tr w:rsidR="003C7518" w:rsidRPr="009922BF" w:rsidTr="00355F3F">
        <w:tc>
          <w:tcPr>
            <w:tcW w:w="1949" w:type="dxa"/>
          </w:tcPr>
          <w:p w:rsidR="003C7518" w:rsidRPr="009922BF" w:rsidRDefault="003C7518" w:rsidP="009A33CE">
            <w:pPr>
              <w:pStyle w:val="NoSpacing"/>
              <w:rPr>
                <w:rFonts w:ascii="Times New Roman" w:hAnsi="Times New Roman"/>
                <w:b/>
              </w:rPr>
            </w:pPr>
            <w:r w:rsidRPr="009922BF">
              <w:rPr>
                <w:rFonts w:ascii="Times New Roman" w:hAnsi="Times New Roman"/>
              </w:rPr>
              <w:t>Διαταραχές των νεφρών και των ουροφόρων οδών</w:t>
            </w:r>
          </w:p>
        </w:tc>
        <w:tc>
          <w:tcPr>
            <w:tcW w:w="1561" w:type="dxa"/>
          </w:tcPr>
          <w:p w:rsidR="003C7518" w:rsidRPr="009922BF" w:rsidRDefault="003C7518" w:rsidP="009A33CE">
            <w:pPr>
              <w:pStyle w:val="NoSpacing"/>
              <w:rPr>
                <w:rFonts w:ascii="Times New Roman" w:hAnsi="Times New Roman"/>
              </w:rPr>
            </w:pPr>
          </w:p>
        </w:tc>
        <w:tc>
          <w:tcPr>
            <w:tcW w:w="1560" w:type="dxa"/>
          </w:tcPr>
          <w:p w:rsidR="003C7518" w:rsidRPr="009922BF" w:rsidRDefault="003C7518" w:rsidP="009A33CE">
            <w:pPr>
              <w:pStyle w:val="NoSpacing"/>
              <w:rPr>
                <w:rFonts w:ascii="Times New Roman" w:hAnsi="Times New Roman"/>
              </w:rPr>
            </w:pPr>
          </w:p>
        </w:tc>
        <w:tc>
          <w:tcPr>
            <w:tcW w:w="2126" w:type="dxa"/>
          </w:tcPr>
          <w:p w:rsidR="003C7518" w:rsidRPr="009922BF" w:rsidRDefault="003C7518" w:rsidP="009A33CE">
            <w:pPr>
              <w:pStyle w:val="NoSpacing"/>
              <w:rPr>
                <w:rFonts w:ascii="Times New Roman" w:hAnsi="Times New Roman"/>
              </w:rPr>
            </w:pPr>
          </w:p>
        </w:tc>
        <w:tc>
          <w:tcPr>
            <w:tcW w:w="1984" w:type="dxa"/>
          </w:tcPr>
          <w:p w:rsidR="003C7518" w:rsidRPr="009922BF" w:rsidRDefault="003C7518" w:rsidP="009A33CE">
            <w:pPr>
              <w:pStyle w:val="NoSpacing"/>
              <w:rPr>
                <w:rFonts w:ascii="Times New Roman" w:hAnsi="Times New Roman"/>
              </w:rPr>
            </w:pPr>
            <w:r w:rsidRPr="009922BF">
              <w:rPr>
                <w:rFonts w:ascii="Times New Roman" w:hAnsi="Times New Roman"/>
              </w:rPr>
              <w:t>Διάμεση νεφρίτιδα.</w:t>
            </w:r>
          </w:p>
        </w:tc>
      </w:tr>
      <w:tr w:rsidR="003C7518" w:rsidRPr="009922BF" w:rsidTr="00355F3F">
        <w:tc>
          <w:tcPr>
            <w:tcW w:w="1949" w:type="dxa"/>
          </w:tcPr>
          <w:p w:rsidR="003C7518" w:rsidRPr="009922BF" w:rsidRDefault="003C7518" w:rsidP="009A33CE">
            <w:pPr>
              <w:pStyle w:val="NoSpacing"/>
              <w:rPr>
                <w:rFonts w:ascii="Times New Roman" w:hAnsi="Times New Roman"/>
              </w:rPr>
            </w:pPr>
            <w:r w:rsidRPr="009922BF">
              <w:rPr>
                <w:rFonts w:ascii="Times New Roman" w:hAnsi="Times New Roman"/>
              </w:rPr>
              <w:t>Διαταραχές του δέρματος και του υποδόριου ιστού</w:t>
            </w:r>
          </w:p>
        </w:tc>
        <w:tc>
          <w:tcPr>
            <w:tcW w:w="1561" w:type="dxa"/>
          </w:tcPr>
          <w:p w:rsidR="003C7518" w:rsidRPr="009922BF" w:rsidRDefault="003C7518" w:rsidP="009A33CE">
            <w:pPr>
              <w:pStyle w:val="NoSpacing"/>
              <w:rPr>
                <w:rFonts w:ascii="Times New Roman" w:hAnsi="Times New Roman"/>
              </w:rPr>
            </w:pPr>
          </w:p>
        </w:tc>
        <w:tc>
          <w:tcPr>
            <w:tcW w:w="1560" w:type="dxa"/>
          </w:tcPr>
          <w:p w:rsidR="003C7518" w:rsidRPr="009922BF" w:rsidRDefault="003C7518" w:rsidP="009A33CE">
            <w:pPr>
              <w:pStyle w:val="NoSpacing"/>
              <w:rPr>
                <w:rFonts w:ascii="Times New Roman" w:hAnsi="Times New Roman"/>
              </w:rPr>
            </w:pPr>
            <w:r w:rsidRPr="009922BF">
              <w:rPr>
                <w:rFonts w:ascii="Times New Roman" w:hAnsi="Times New Roman"/>
              </w:rPr>
              <w:t>Αλλεργικές αντιδράσεις όπως κνησμός και εξάνθημα του δέρματος.</w:t>
            </w:r>
          </w:p>
        </w:tc>
        <w:tc>
          <w:tcPr>
            <w:tcW w:w="2126" w:type="dxa"/>
          </w:tcPr>
          <w:p w:rsidR="003C7518" w:rsidRPr="009922BF" w:rsidRDefault="003C7518" w:rsidP="009A33CE">
            <w:pPr>
              <w:pStyle w:val="NoSpacing"/>
              <w:rPr>
                <w:rFonts w:ascii="Times New Roman" w:hAnsi="Times New Roman"/>
              </w:rPr>
            </w:pPr>
          </w:p>
        </w:tc>
        <w:tc>
          <w:tcPr>
            <w:tcW w:w="1984" w:type="dxa"/>
          </w:tcPr>
          <w:p w:rsidR="003C7518" w:rsidRPr="009922BF" w:rsidRDefault="003C7518" w:rsidP="009A33CE">
            <w:pPr>
              <w:pStyle w:val="NoSpacing"/>
              <w:rPr>
                <w:rFonts w:ascii="Times New Roman" w:hAnsi="Times New Roman"/>
              </w:rPr>
            </w:pPr>
            <w:r w:rsidRPr="009922BF">
              <w:rPr>
                <w:rFonts w:ascii="Times New Roman" w:hAnsi="Times New Roman"/>
              </w:rPr>
              <w:t>Κνίδωση.</w:t>
            </w:r>
          </w:p>
          <w:p w:rsidR="003C7518" w:rsidRPr="009922BF" w:rsidRDefault="003C7518" w:rsidP="009A33CE">
            <w:pPr>
              <w:pStyle w:val="NoSpacing"/>
              <w:rPr>
                <w:rFonts w:ascii="Times New Roman" w:hAnsi="Times New Roman"/>
              </w:rPr>
            </w:pPr>
            <w:r w:rsidRPr="009922BF">
              <w:rPr>
                <w:rFonts w:ascii="Times New Roman" w:hAnsi="Times New Roman"/>
              </w:rPr>
              <w:t>Αγγειοοίδημα.</w:t>
            </w:r>
          </w:p>
          <w:p w:rsidR="003C7518" w:rsidRPr="009922BF" w:rsidRDefault="003C7518" w:rsidP="009A33CE">
            <w:pPr>
              <w:pStyle w:val="NoSpacing"/>
              <w:rPr>
                <w:rFonts w:ascii="Times New Roman" w:hAnsi="Times New Roman"/>
              </w:rPr>
            </w:pPr>
            <w:r w:rsidRPr="009922BF">
              <w:rPr>
                <w:rFonts w:ascii="Times New Roman" w:hAnsi="Times New Roman"/>
              </w:rPr>
              <w:t xml:space="preserve">Σοβαρές δερματικές αντιδράσεις όπως σύνδρομο </w:t>
            </w:r>
            <w:r w:rsidRPr="009922BF">
              <w:rPr>
                <w:rFonts w:ascii="Times New Roman" w:hAnsi="Times New Roman"/>
                <w:lang w:val="en-US"/>
              </w:rPr>
              <w:t>Stevens</w:t>
            </w:r>
            <w:r w:rsidRPr="009922BF">
              <w:rPr>
                <w:rFonts w:ascii="Times New Roman" w:hAnsi="Times New Roman"/>
              </w:rPr>
              <w:t xml:space="preserve">- </w:t>
            </w:r>
            <w:r w:rsidRPr="009922BF">
              <w:rPr>
                <w:rFonts w:ascii="Times New Roman" w:hAnsi="Times New Roman"/>
                <w:lang w:val="en-US"/>
              </w:rPr>
              <w:t>Johnson</w:t>
            </w:r>
            <w:r w:rsidRPr="009922BF">
              <w:rPr>
                <w:rFonts w:ascii="Times New Roman" w:hAnsi="Times New Roman"/>
              </w:rPr>
              <w:t>.</w:t>
            </w:r>
          </w:p>
          <w:p w:rsidR="003C7518" w:rsidRPr="009922BF" w:rsidRDefault="003C7518" w:rsidP="009A33CE">
            <w:pPr>
              <w:pStyle w:val="NoSpacing"/>
              <w:rPr>
                <w:rFonts w:ascii="Times New Roman" w:hAnsi="Times New Roman"/>
              </w:rPr>
            </w:pPr>
            <w:r w:rsidRPr="009922BF">
              <w:rPr>
                <w:rFonts w:ascii="Times New Roman" w:hAnsi="Times New Roman"/>
              </w:rPr>
              <w:t>Πολύμορφο ερύθημα.</w:t>
            </w:r>
          </w:p>
          <w:p w:rsidR="003C7518" w:rsidRPr="009922BF" w:rsidRDefault="003C7518" w:rsidP="009A33CE">
            <w:pPr>
              <w:pStyle w:val="NoSpacing"/>
              <w:rPr>
                <w:rFonts w:ascii="Times New Roman" w:hAnsi="Times New Roman"/>
              </w:rPr>
            </w:pPr>
            <w:r w:rsidRPr="009922BF">
              <w:rPr>
                <w:rFonts w:ascii="Times New Roman" w:hAnsi="Times New Roman"/>
              </w:rPr>
              <w:t>Φωτοευαισθησία.</w:t>
            </w:r>
          </w:p>
          <w:p w:rsidR="003C7518" w:rsidRPr="009922BF" w:rsidRDefault="003C7518" w:rsidP="009A33CE">
            <w:pPr>
              <w:pStyle w:val="NoSpacing"/>
              <w:rPr>
                <w:rFonts w:ascii="Times New Roman" w:hAnsi="Times New Roman"/>
              </w:rPr>
            </w:pPr>
            <w:r w:rsidRPr="009922BF">
              <w:rPr>
                <w:rFonts w:ascii="Times New Roman" w:hAnsi="Times New Roman"/>
              </w:rPr>
              <w:t xml:space="preserve">Σύνδρομο </w:t>
            </w:r>
            <w:r w:rsidRPr="009922BF">
              <w:rPr>
                <w:rFonts w:ascii="Times New Roman" w:hAnsi="Times New Roman"/>
                <w:lang w:val="en-US"/>
              </w:rPr>
              <w:t>Lyell</w:t>
            </w:r>
            <w:r w:rsidRPr="009922BF">
              <w:rPr>
                <w:rFonts w:ascii="Times New Roman" w:hAnsi="Times New Roman"/>
              </w:rPr>
              <w:t>.</w:t>
            </w:r>
          </w:p>
        </w:tc>
      </w:tr>
    </w:tbl>
    <w:p w:rsidR="003C7518" w:rsidRPr="006200CF" w:rsidRDefault="003C7518" w:rsidP="003B1DC3">
      <w:pPr>
        <w:pStyle w:val="NoSpacing"/>
        <w:rPr>
          <w:rFonts w:ascii="Times New Roman" w:hAnsi="Times New Roman"/>
        </w:rPr>
      </w:pPr>
    </w:p>
    <w:p w:rsidR="003C7518" w:rsidRPr="006200CF" w:rsidRDefault="003C7518" w:rsidP="00506AF2">
      <w:pPr>
        <w:pStyle w:val="NoSpacing"/>
        <w:rPr>
          <w:rFonts w:ascii="Times New Roman" w:hAnsi="Times New Roman"/>
        </w:rPr>
      </w:pPr>
    </w:p>
    <w:p w:rsidR="003C7518" w:rsidRPr="006200CF" w:rsidRDefault="003C7518" w:rsidP="004A3A08">
      <w:pPr>
        <w:pStyle w:val="NoSpacing"/>
        <w:rPr>
          <w:rFonts w:ascii="Times New Roman" w:hAnsi="Times New Roman"/>
        </w:rPr>
      </w:pPr>
      <w:r w:rsidRPr="006200CF">
        <w:rPr>
          <w:rFonts w:ascii="Times New Roman" w:hAnsi="Times New Roman"/>
        </w:rPr>
        <w:t xml:space="preserve">Οι συνηθέστερες ανεπιθύμητες ενέργειες που αναφέρθηκαν στις κλινικές μελέτες συνδυασμένης θεραπείας </w:t>
      </w:r>
      <w:r w:rsidRPr="006200CF">
        <w:rPr>
          <w:rFonts w:ascii="Times New Roman" w:hAnsi="Times New Roman"/>
          <w:lang w:val="en-US"/>
        </w:rPr>
        <w:t>pantoprazole</w:t>
      </w:r>
      <w:r w:rsidRPr="006200CF">
        <w:rPr>
          <w:rFonts w:ascii="Times New Roman" w:hAnsi="Times New Roman"/>
        </w:rPr>
        <w:t xml:space="preserve"> με αντιβιοτικά για την εκρίζωση του </w:t>
      </w:r>
      <w:r w:rsidRPr="006200CF">
        <w:rPr>
          <w:rFonts w:ascii="Times New Roman" w:hAnsi="Times New Roman"/>
          <w:lang w:val="en-US"/>
        </w:rPr>
        <w:t>Helicobacter</w:t>
      </w:r>
      <w:r w:rsidRPr="006200CF">
        <w:rPr>
          <w:rFonts w:ascii="Times New Roman" w:hAnsi="Times New Roman"/>
        </w:rPr>
        <w:t xml:space="preserve"> </w:t>
      </w:r>
      <w:r w:rsidRPr="006200CF">
        <w:rPr>
          <w:rFonts w:ascii="Times New Roman" w:hAnsi="Times New Roman"/>
          <w:lang w:val="en-US"/>
        </w:rPr>
        <w:t>pylori</w:t>
      </w:r>
      <w:r w:rsidRPr="006200CF">
        <w:rPr>
          <w:rFonts w:ascii="Times New Roman" w:hAnsi="Times New Roman"/>
        </w:rPr>
        <w:t xml:space="preserve"> ήταν κατά σειρά συχνότητας: </w:t>
      </w:r>
    </w:p>
    <w:p w:rsidR="003C7518" w:rsidRPr="006200CF" w:rsidRDefault="003C7518" w:rsidP="004A3A08">
      <w:pPr>
        <w:pStyle w:val="NoSpacing"/>
        <w:rPr>
          <w:rFonts w:ascii="Times New Roman" w:hAnsi="Times New Roman"/>
        </w:rPr>
      </w:pPr>
    </w:p>
    <w:p w:rsidR="003C7518" w:rsidRPr="006200CF" w:rsidRDefault="003C7518" w:rsidP="004A3A08">
      <w:pPr>
        <w:pStyle w:val="NoSpacing"/>
        <w:rPr>
          <w:rFonts w:ascii="Times New Roman" w:hAnsi="Times New Roman"/>
        </w:rPr>
      </w:pPr>
      <w:r w:rsidRPr="006200CF">
        <w:rPr>
          <w:rFonts w:ascii="Times New Roman" w:hAnsi="Times New Roman"/>
          <w:i/>
        </w:rPr>
        <w:t>Γαστρεντερικό σύστημα</w:t>
      </w:r>
      <w:r w:rsidRPr="006200CF">
        <w:rPr>
          <w:rFonts w:ascii="Times New Roman" w:hAnsi="Times New Roman"/>
        </w:rPr>
        <w:t>: διάρροια, κοιλιακό άλγος, ναυτία/ έμετος, δυσπεψία, μετεωρισμός γλωσσίτιδα/στοματίτιδα, γαστρεντερίτιδα, ξηροστομία.</w:t>
      </w:r>
    </w:p>
    <w:p w:rsidR="003C7518" w:rsidRPr="006200CF" w:rsidRDefault="003C7518" w:rsidP="004A3A08">
      <w:pPr>
        <w:pStyle w:val="NoSpacing"/>
        <w:rPr>
          <w:rFonts w:ascii="Times New Roman" w:hAnsi="Times New Roman"/>
        </w:rPr>
      </w:pPr>
    </w:p>
    <w:p w:rsidR="003C7518" w:rsidRPr="006200CF" w:rsidRDefault="003C7518" w:rsidP="004A3A08">
      <w:pPr>
        <w:pStyle w:val="NoSpacing"/>
        <w:rPr>
          <w:rFonts w:ascii="Times New Roman" w:hAnsi="Times New Roman"/>
        </w:rPr>
      </w:pPr>
      <w:r w:rsidRPr="006200CF">
        <w:rPr>
          <w:rFonts w:ascii="Times New Roman" w:hAnsi="Times New Roman"/>
          <w:i/>
        </w:rPr>
        <w:t>Αυτόνομο νευρικό σύστημα</w:t>
      </w:r>
      <w:r w:rsidRPr="006200CF">
        <w:rPr>
          <w:rFonts w:ascii="Times New Roman" w:hAnsi="Times New Roman"/>
        </w:rPr>
        <w:t>: διάρροια, εφιδρώσεις, ξηροστομία, έμετος.</w:t>
      </w:r>
    </w:p>
    <w:p w:rsidR="003C7518" w:rsidRPr="006200CF" w:rsidRDefault="003C7518" w:rsidP="004A3A08">
      <w:pPr>
        <w:pStyle w:val="NoSpacing"/>
        <w:rPr>
          <w:rFonts w:ascii="Times New Roman" w:hAnsi="Times New Roman"/>
        </w:rPr>
      </w:pPr>
    </w:p>
    <w:p w:rsidR="003C7518" w:rsidRPr="006200CF" w:rsidRDefault="003C7518" w:rsidP="004A3A08">
      <w:pPr>
        <w:pStyle w:val="NoSpacing"/>
        <w:rPr>
          <w:rFonts w:ascii="Times New Roman" w:hAnsi="Times New Roman"/>
        </w:rPr>
      </w:pPr>
      <w:r w:rsidRPr="006200CF">
        <w:rPr>
          <w:rFonts w:ascii="Times New Roman" w:hAnsi="Times New Roman"/>
          <w:i/>
        </w:rPr>
        <w:t>Σώμα ως σύνολο:</w:t>
      </w:r>
      <w:r w:rsidRPr="006200CF">
        <w:rPr>
          <w:rFonts w:ascii="Times New Roman" w:hAnsi="Times New Roman"/>
        </w:rPr>
        <w:t xml:space="preserve"> κοιλιακό άλγος, κεφαλαλγία, κακουχία, εφιδρώσεις, αίσθημα κόπωσης, πυρετός, πόνος και συμπτώματα γρίπης.</w:t>
      </w:r>
    </w:p>
    <w:p w:rsidR="003C7518" w:rsidRPr="006200CF" w:rsidRDefault="003C7518" w:rsidP="004A3A08">
      <w:pPr>
        <w:pStyle w:val="NoSpacing"/>
        <w:rPr>
          <w:rFonts w:ascii="Times New Roman" w:hAnsi="Times New Roman"/>
        </w:rPr>
      </w:pPr>
    </w:p>
    <w:p w:rsidR="003C7518" w:rsidRPr="006200CF" w:rsidRDefault="003C7518" w:rsidP="004A3A08">
      <w:pPr>
        <w:pStyle w:val="NoSpacing"/>
        <w:rPr>
          <w:rFonts w:ascii="Times New Roman" w:hAnsi="Times New Roman"/>
        </w:rPr>
      </w:pPr>
      <w:r w:rsidRPr="006200CF">
        <w:rPr>
          <w:rFonts w:ascii="Times New Roman" w:hAnsi="Times New Roman"/>
          <w:i/>
        </w:rPr>
        <w:t>Αισθητήρια όργανα</w:t>
      </w:r>
      <w:r w:rsidRPr="006200CF">
        <w:rPr>
          <w:rFonts w:ascii="Times New Roman" w:hAnsi="Times New Roman"/>
        </w:rPr>
        <w:t>: αλλοίωση γεύσης (κυρίως πικρή ή μεταλλική γεύση).</w:t>
      </w:r>
    </w:p>
    <w:p w:rsidR="003C7518" w:rsidRPr="006200CF" w:rsidRDefault="003C7518" w:rsidP="004A3A08">
      <w:pPr>
        <w:pStyle w:val="NoSpacing"/>
        <w:rPr>
          <w:rFonts w:ascii="Times New Roman" w:hAnsi="Times New Roman"/>
        </w:rPr>
      </w:pPr>
    </w:p>
    <w:p w:rsidR="003C7518" w:rsidRPr="006200CF" w:rsidRDefault="003C7518" w:rsidP="004A3A08">
      <w:pPr>
        <w:pStyle w:val="NoSpacing"/>
        <w:rPr>
          <w:rFonts w:ascii="Times New Roman" w:hAnsi="Times New Roman"/>
        </w:rPr>
      </w:pPr>
      <w:r w:rsidRPr="006200CF">
        <w:rPr>
          <w:rFonts w:ascii="Times New Roman" w:hAnsi="Times New Roman"/>
          <w:i/>
        </w:rPr>
        <w:t>Κεντρικό και περιφερικό νευρικό σύστημα</w:t>
      </w:r>
      <w:r w:rsidRPr="006200CF">
        <w:rPr>
          <w:rFonts w:ascii="Times New Roman" w:hAnsi="Times New Roman"/>
        </w:rPr>
        <w:t>: κεφαλαλγία, ίλιγγος. διαταραχές ύπνου/αϋπνία και κατάθλιψη.</w:t>
      </w:r>
    </w:p>
    <w:p w:rsidR="003C7518" w:rsidRPr="006200CF" w:rsidRDefault="003C7518" w:rsidP="004A3A08">
      <w:pPr>
        <w:pStyle w:val="NoSpacing"/>
        <w:rPr>
          <w:rFonts w:ascii="Times New Roman" w:hAnsi="Times New Roman"/>
        </w:rPr>
      </w:pPr>
    </w:p>
    <w:p w:rsidR="003C7518" w:rsidRPr="006200CF" w:rsidRDefault="003C7518" w:rsidP="004A3A08">
      <w:pPr>
        <w:pStyle w:val="NoSpacing"/>
        <w:rPr>
          <w:rFonts w:ascii="Times New Roman" w:hAnsi="Times New Roman"/>
        </w:rPr>
      </w:pPr>
      <w:r w:rsidRPr="006200CF">
        <w:rPr>
          <w:rFonts w:ascii="Times New Roman" w:hAnsi="Times New Roman"/>
          <w:i/>
        </w:rPr>
        <w:t>Δέρμα και εξαρτήματα</w:t>
      </w:r>
      <w:r w:rsidRPr="006200CF">
        <w:rPr>
          <w:rFonts w:ascii="Times New Roman" w:hAnsi="Times New Roman"/>
        </w:rPr>
        <w:t>: εξάνθημα κνησμός και εφιδρώσεις.</w:t>
      </w:r>
    </w:p>
    <w:p w:rsidR="003C7518" w:rsidRPr="006200CF" w:rsidRDefault="003C7518" w:rsidP="004A3A08">
      <w:pPr>
        <w:pStyle w:val="NoSpacing"/>
        <w:rPr>
          <w:rFonts w:ascii="Times New Roman" w:hAnsi="Times New Roman"/>
        </w:rPr>
      </w:pPr>
    </w:p>
    <w:p w:rsidR="003C7518" w:rsidRPr="006200CF" w:rsidRDefault="003C7518" w:rsidP="004A3A08">
      <w:pPr>
        <w:pStyle w:val="NoSpacing"/>
        <w:rPr>
          <w:rFonts w:ascii="Times New Roman" w:hAnsi="Times New Roman"/>
        </w:rPr>
      </w:pPr>
      <w:r w:rsidRPr="006200CF">
        <w:rPr>
          <w:rFonts w:ascii="Times New Roman" w:hAnsi="Times New Roman"/>
          <w:i/>
        </w:rPr>
        <w:t>Λοιμώξεις</w:t>
      </w:r>
      <w:r w:rsidRPr="006200CF">
        <w:rPr>
          <w:rFonts w:ascii="Times New Roman" w:hAnsi="Times New Roman"/>
        </w:rPr>
        <w:t>: μονιλίαση, μυκητιασικές λοιμώξεις. φαρυγγίτιδα/βρογχίτιδα και κυστίτιδα.</w:t>
      </w:r>
    </w:p>
    <w:p w:rsidR="003C7518" w:rsidRPr="006200CF" w:rsidRDefault="003C7518" w:rsidP="004A3A08">
      <w:pPr>
        <w:pStyle w:val="NoSpacing"/>
        <w:rPr>
          <w:rFonts w:ascii="Times New Roman" w:hAnsi="Times New Roman"/>
        </w:rPr>
      </w:pPr>
    </w:p>
    <w:p w:rsidR="003C7518" w:rsidRPr="006200CF" w:rsidRDefault="003C7518" w:rsidP="004A3A08">
      <w:pPr>
        <w:pStyle w:val="NoSpacing"/>
        <w:rPr>
          <w:rFonts w:ascii="Times New Roman" w:hAnsi="Times New Roman"/>
        </w:rPr>
      </w:pPr>
      <w:r w:rsidRPr="006200CF">
        <w:rPr>
          <w:rFonts w:ascii="Times New Roman" w:hAnsi="Times New Roman"/>
          <w:i/>
        </w:rPr>
        <w:t>Ήπαρ και χοληφόρα</w:t>
      </w:r>
      <w:r w:rsidRPr="006200CF">
        <w:rPr>
          <w:rFonts w:ascii="Times New Roman" w:hAnsi="Times New Roman"/>
        </w:rPr>
        <w:t>: μετεωρισμός, αυξήσεις των ηπατικών ενζύμων και χολόσταση.</w:t>
      </w:r>
    </w:p>
    <w:p w:rsidR="003C7518" w:rsidRPr="006200CF" w:rsidRDefault="003C7518" w:rsidP="004A3A08">
      <w:pPr>
        <w:pStyle w:val="NoSpacing"/>
        <w:rPr>
          <w:rFonts w:ascii="Times New Roman" w:hAnsi="Times New Roman"/>
        </w:rPr>
      </w:pPr>
    </w:p>
    <w:p w:rsidR="003C7518" w:rsidRPr="006200CF" w:rsidRDefault="003C7518" w:rsidP="004A3A08">
      <w:pPr>
        <w:pStyle w:val="NoSpacing"/>
        <w:rPr>
          <w:rFonts w:ascii="Times New Roman" w:hAnsi="Times New Roman"/>
          <w:b/>
        </w:rPr>
      </w:pPr>
      <w:r w:rsidRPr="006200CF">
        <w:rPr>
          <w:rFonts w:ascii="Times New Roman" w:hAnsi="Times New Roman"/>
          <w:b/>
        </w:rPr>
        <w:t>4.9  Υπερδοσολογία</w:t>
      </w:r>
    </w:p>
    <w:p w:rsidR="003C7518" w:rsidRPr="006200CF" w:rsidRDefault="003C7518" w:rsidP="004A3A08">
      <w:pPr>
        <w:pStyle w:val="NoSpacing"/>
        <w:rPr>
          <w:rFonts w:ascii="Times New Roman" w:hAnsi="Times New Roman"/>
        </w:rPr>
      </w:pPr>
    </w:p>
    <w:p w:rsidR="003C7518" w:rsidRPr="006200CF" w:rsidRDefault="003C7518" w:rsidP="004A3A08">
      <w:pPr>
        <w:pStyle w:val="NoSpacing"/>
        <w:rPr>
          <w:rFonts w:ascii="Times New Roman" w:hAnsi="Times New Roman"/>
        </w:rPr>
      </w:pPr>
      <w:r w:rsidRPr="006200CF">
        <w:rPr>
          <w:rFonts w:ascii="Times New Roman" w:hAnsi="Times New Roman"/>
        </w:rPr>
        <w:t>Δεν υπάρχουν γνωστά συμπτώματα υπερδοσολογίας στον άνθρωπο.</w:t>
      </w:r>
    </w:p>
    <w:p w:rsidR="003C7518" w:rsidRPr="006200CF" w:rsidRDefault="003C7518" w:rsidP="004A3A08">
      <w:pPr>
        <w:pStyle w:val="NoSpacing"/>
        <w:rPr>
          <w:rFonts w:ascii="Times New Roman" w:hAnsi="Times New Roman"/>
        </w:rPr>
      </w:pPr>
    </w:p>
    <w:p w:rsidR="003C7518" w:rsidRPr="006200CF" w:rsidRDefault="003C7518" w:rsidP="004A3A08">
      <w:pPr>
        <w:pStyle w:val="NoSpacing"/>
        <w:rPr>
          <w:rFonts w:ascii="Times New Roman" w:hAnsi="Times New Roman"/>
        </w:rPr>
      </w:pPr>
      <w:r w:rsidRPr="006200CF">
        <w:rPr>
          <w:rFonts w:ascii="Times New Roman" w:hAnsi="Times New Roman"/>
        </w:rPr>
        <w:t xml:space="preserve">Δόσεις έως 240 </w:t>
      </w:r>
      <w:r w:rsidRPr="006200CF">
        <w:rPr>
          <w:rFonts w:ascii="Times New Roman" w:hAnsi="Times New Roman"/>
          <w:lang w:val="en-US"/>
        </w:rPr>
        <w:t>mg</w:t>
      </w:r>
      <w:r w:rsidRPr="006200CF">
        <w:rPr>
          <w:rFonts w:ascii="Times New Roman" w:hAnsi="Times New Roman"/>
        </w:rPr>
        <w:t xml:space="preserve"> χορηγήθηκαν ενδοφλεβίως για 2 λεπτά και έγιναν καλά ανεκτές.</w:t>
      </w:r>
    </w:p>
    <w:p w:rsidR="003C7518" w:rsidRPr="006200CF" w:rsidRDefault="003C7518" w:rsidP="004A3A08">
      <w:pPr>
        <w:pStyle w:val="NoSpacing"/>
        <w:rPr>
          <w:rFonts w:ascii="Times New Roman" w:hAnsi="Times New Roman"/>
        </w:rPr>
      </w:pPr>
    </w:p>
    <w:p w:rsidR="003C7518" w:rsidRPr="006200CF" w:rsidRDefault="003C7518" w:rsidP="004A3A08">
      <w:pPr>
        <w:pStyle w:val="NoSpacing"/>
        <w:rPr>
          <w:rFonts w:ascii="Times New Roman" w:hAnsi="Times New Roman"/>
        </w:rPr>
      </w:pPr>
      <w:r w:rsidRPr="006200CF">
        <w:rPr>
          <w:rFonts w:ascii="Times New Roman" w:hAnsi="Times New Roman"/>
        </w:rPr>
        <w:t>Στην περίπτωση της υπερδοσολογίας με κλινικά σημεία δηλητηρίασης, εφαρμόζονται οι συνήθεις κανόνες για την αντιμετώπιση της δηλητηρίασης.</w:t>
      </w:r>
    </w:p>
    <w:p w:rsidR="003C7518" w:rsidRPr="006200CF" w:rsidRDefault="003C7518" w:rsidP="004A3A08">
      <w:pPr>
        <w:pStyle w:val="NoSpacing"/>
        <w:rPr>
          <w:rFonts w:ascii="Times New Roman" w:hAnsi="Times New Roman"/>
        </w:rPr>
      </w:pPr>
    </w:p>
    <w:p w:rsidR="003C7518" w:rsidRPr="006200CF" w:rsidRDefault="003C7518" w:rsidP="004A3A08">
      <w:pPr>
        <w:pStyle w:val="NoSpacing"/>
        <w:rPr>
          <w:rFonts w:ascii="Times New Roman" w:hAnsi="Times New Roman"/>
          <w:b/>
        </w:rPr>
      </w:pPr>
      <w:r w:rsidRPr="006200CF">
        <w:rPr>
          <w:rFonts w:ascii="Times New Roman" w:hAnsi="Times New Roman"/>
          <w:b/>
        </w:rPr>
        <w:t>5. ΦΑΡΜΑΚΟΛΟΓΙΚΕΣ ΙΔΙΟΤΗΤΕΣ</w:t>
      </w:r>
    </w:p>
    <w:p w:rsidR="003C7518" w:rsidRPr="006200CF" w:rsidRDefault="003C7518" w:rsidP="004A3A08">
      <w:pPr>
        <w:pStyle w:val="NoSpacing"/>
        <w:rPr>
          <w:rFonts w:ascii="Times New Roman" w:hAnsi="Times New Roman"/>
          <w:b/>
        </w:rPr>
      </w:pPr>
    </w:p>
    <w:p w:rsidR="003C7518" w:rsidRPr="006200CF" w:rsidRDefault="003C7518" w:rsidP="004A3A08">
      <w:pPr>
        <w:pStyle w:val="NoSpacing"/>
        <w:rPr>
          <w:rFonts w:ascii="Times New Roman" w:hAnsi="Times New Roman"/>
          <w:b/>
        </w:rPr>
      </w:pPr>
      <w:r w:rsidRPr="006200CF">
        <w:rPr>
          <w:rFonts w:ascii="Times New Roman" w:hAnsi="Times New Roman"/>
          <w:b/>
        </w:rPr>
        <w:t>5.1 Φαρμακοδυναμικές ιδιότητες</w:t>
      </w:r>
    </w:p>
    <w:p w:rsidR="003C7518" w:rsidRPr="006200CF" w:rsidRDefault="003C7518" w:rsidP="004A3A08">
      <w:pPr>
        <w:pStyle w:val="NoSpacing"/>
        <w:rPr>
          <w:rFonts w:ascii="Times New Roman" w:hAnsi="Times New Roman"/>
        </w:rPr>
      </w:pPr>
    </w:p>
    <w:p w:rsidR="003C7518" w:rsidRPr="006200CF" w:rsidRDefault="003C7518" w:rsidP="004A3A08">
      <w:pPr>
        <w:pStyle w:val="NoSpacing"/>
        <w:rPr>
          <w:rFonts w:ascii="Times New Roman" w:hAnsi="Times New Roman"/>
        </w:rPr>
      </w:pPr>
      <w:r w:rsidRPr="006200CF">
        <w:rPr>
          <w:rFonts w:ascii="Times New Roman" w:hAnsi="Times New Roman"/>
        </w:rPr>
        <w:t xml:space="preserve">Φαρμακοθεραπευτική κατηγορία: Αναστολείς αντλίας πρωτονίων, κωδικός </w:t>
      </w:r>
      <w:r w:rsidRPr="006200CF">
        <w:rPr>
          <w:rFonts w:ascii="Times New Roman" w:hAnsi="Times New Roman"/>
          <w:lang w:val="en-US"/>
        </w:rPr>
        <w:t>ATC</w:t>
      </w:r>
      <w:r w:rsidRPr="006200CF">
        <w:rPr>
          <w:rFonts w:ascii="Times New Roman" w:hAnsi="Times New Roman"/>
        </w:rPr>
        <w:t xml:space="preserve">: </w:t>
      </w:r>
      <w:r w:rsidRPr="006200CF">
        <w:rPr>
          <w:rFonts w:ascii="Times New Roman" w:hAnsi="Times New Roman"/>
          <w:lang w:val="en-US"/>
        </w:rPr>
        <w:t>A</w:t>
      </w:r>
      <w:r w:rsidRPr="006200CF">
        <w:rPr>
          <w:rFonts w:ascii="Times New Roman" w:hAnsi="Times New Roman"/>
        </w:rPr>
        <w:t>02</w:t>
      </w:r>
      <w:r w:rsidRPr="006200CF">
        <w:rPr>
          <w:rFonts w:ascii="Times New Roman" w:hAnsi="Times New Roman"/>
          <w:lang w:val="en-US"/>
        </w:rPr>
        <w:t>BC</w:t>
      </w:r>
      <w:r w:rsidRPr="006200CF">
        <w:rPr>
          <w:rFonts w:ascii="Times New Roman" w:hAnsi="Times New Roman"/>
        </w:rPr>
        <w:t>02.</w:t>
      </w:r>
    </w:p>
    <w:p w:rsidR="003C7518" w:rsidRPr="006200CF" w:rsidRDefault="003C7518" w:rsidP="004A3A08">
      <w:pPr>
        <w:pStyle w:val="NoSpacing"/>
        <w:rPr>
          <w:rFonts w:ascii="Times New Roman" w:hAnsi="Times New Roman"/>
        </w:rPr>
      </w:pPr>
    </w:p>
    <w:p w:rsidR="003C7518" w:rsidRPr="006200CF" w:rsidRDefault="003C7518" w:rsidP="004A3A08">
      <w:pPr>
        <w:pStyle w:val="NoSpacing"/>
        <w:rPr>
          <w:rFonts w:ascii="Times New Roman" w:hAnsi="Times New Roman"/>
        </w:rPr>
      </w:pPr>
      <w:r w:rsidRPr="006200CF">
        <w:rPr>
          <w:rFonts w:ascii="Times New Roman" w:hAnsi="Times New Roman"/>
        </w:rPr>
        <w:t xml:space="preserve">Η </w:t>
      </w:r>
      <w:r w:rsidRPr="006200CF">
        <w:rPr>
          <w:rFonts w:ascii="Times New Roman" w:hAnsi="Times New Roman"/>
          <w:lang w:val="en-US"/>
        </w:rPr>
        <w:t>pantoprazole</w:t>
      </w:r>
      <w:r w:rsidRPr="006200CF">
        <w:rPr>
          <w:rFonts w:ascii="Times New Roman" w:hAnsi="Times New Roman"/>
        </w:rPr>
        <w:t xml:space="preserve"> είναι μία υποκατεστημένη βενζιμιδαζόλη η οποία αναστέλλει την έκκριση</w:t>
      </w:r>
    </w:p>
    <w:p w:rsidR="003C7518" w:rsidRPr="006200CF" w:rsidRDefault="003C7518" w:rsidP="004A3A08">
      <w:pPr>
        <w:pStyle w:val="NoSpacing"/>
        <w:rPr>
          <w:rFonts w:ascii="Times New Roman" w:hAnsi="Times New Roman"/>
        </w:rPr>
      </w:pPr>
      <w:r w:rsidRPr="006200CF">
        <w:rPr>
          <w:rFonts w:ascii="Times New Roman" w:hAnsi="Times New Roman"/>
        </w:rPr>
        <w:t>υδροχλωρικού οξέος στο στομάχι με ειδική δράση στις αντλίες πρωτονίων των τοιχωματικών κυττάρων.</w:t>
      </w:r>
    </w:p>
    <w:p w:rsidR="003C7518" w:rsidRPr="006200CF" w:rsidRDefault="003C7518" w:rsidP="004A3A08">
      <w:pPr>
        <w:pStyle w:val="NoSpacing"/>
        <w:rPr>
          <w:rFonts w:ascii="Times New Roman" w:hAnsi="Times New Roman"/>
        </w:rPr>
      </w:pPr>
    </w:p>
    <w:p w:rsidR="003C7518" w:rsidRPr="006200CF" w:rsidRDefault="003C7518" w:rsidP="00F922C3">
      <w:pPr>
        <w:pStyle w:val="NoSpacing"/>
        <w:rPr>
          <w:rFonts w:ascii="Times New Roman" w:hAnsi="Times New Roman"/>
        </w:rPr>
      </w:pPr>
      <w:r w:rsidRPr="006200CF">
        <w:rPr>
          <w:rFonts w:ascii="Times New Roman" w:hAnsi="Times New Roman"/>
        </w:rPr>
        <w:t xml:space="preserve">Η </w:t>
      </w:r>
      <w:r w:rsidRPr="006200CF">
        <w:rPr>
          <w:rFonts w:ascii="Times New Roman" w:hAnsi="Times New Roman"/>
          <w:lang w:val="en-US"/>
        </w:rPr>
        <w:t>pantoprazole</w:t>
      </w:r>
      <w:r w:rsidRPr="006200CF">
        <w:rPr>
          <w:rFonts w:ascii="Times New Roman" w:hAnsi="Times New Roman"/>
        </w:rPr>
        <w:t xml:space="preserve"> μετατρέπεται στην ενεργή της μορφή μέσα στο όξινο περιβάλλον των τοιχωματικών κυττάρων, όπου αναστέλλει το ένζυμο Η</w:t>
      </w:r>
      <w:r w:rsidRPr="006200CF">
        <w:rPr>
          <w:rFonts w:ascii="Times New Roman" w:hAnsi="Times New Roman"/>
          <w:vertAlign w:val="superscript"/>
        </w:rPr>
        <w:t>+</w:t>
      </w:r>
      <w:r w:rsidRPr="006200CF">
        <w:rPr>
          <w:rFonts w:ascii="Times New Roman" w:hAnsi="Times New Roman"/>
        </w:rPr>
        <w:t xml:space="preserve"> , Κ</w:t>
      </w:r>
      <w:r w:rsidRPr="006200CF">
        <w:rPr>
          <w:rFonts w:ascii="Times New Roman" w:hAnsi="Times New Roman"/>
          <w:vertAlign w:val="superscript"/>
        </w:rPr>
        <w:t>+</w:t>
      </w:r>
      <w:r w:rsidRPr="006200CF">
        <w:rPr>
          <w:rFonts w:ascii="Times New Roman" w:hAnsi="Times New Roman"/>
        </w:rPr>
        <w:t xml:space="preserve"> -ΑΤΡάση, δηλαδή το τελικό στάδιο στην παραγωγή υδροχλωρικού οξέος στο στομάχι. Η αναστολή είναι δοσοεξαρτώμενη και επηρεάζει και τη βασική έκκριση οξέος και την έκκριση οξέος μετά από διέγερση. Όπως και με άλλους αναστολείς της  αντλίας πρωτονίων και αναστολείς των Η</w:t>
      </w:r>
      <w:r w:rsidRPr="006200CF">
        <w:rPr>
          <w:rFonts w:ascii="Times New Roman" w:hAnsi="Times New Roman"/>
          <w:vertAlign w:val="subscript"/>
        </w:rPr>
        <w:t>2</w:t>
      </w:r>
      <w:r w:rsidRPr="006200CF">
        <w:rPr>
          <w:rFonts w:ascii="Times New Roman" w:hAnsi="Times New Roman"/>
        </w:rPr>
        <w:t xml:space="preserve">-υποδοχέων, η θεραπεία με </w:t>
      </w:r>
      <w:r w:rsidRPr="006200CF">
        <w:rPr>
          <w:rFonts w:ascii="Times New Roman" w:hAnsi="Times New Roman"/>
          <w:lang w:val="en-US"/>
        </w:rPr>
        <w:t>pantoprazole</w:t>
      </w:r>
      <w:r w:rsidRPr="006200CF">
        <w:rPr>
          <w:rFonts w:ascii="Times New Roman" w:hAnsi="Times New Roman"/>
        </w:rPr>
        <w:t xml:space="preserve"> προκαλεί μείωση της οξύτητας του στομάχου και ως εκ τούτου αύξηση της γαστρίνης, σε αναλογία με την μείωση της οξύτητας.</w:t>
      </w:r>
    </w:p>
    <w:p w:rsidR="003C7518" w:rsidRPr="006200CF" w:rsidRDefault="003C7518" w:rsidP="00F922C3">
      <w:pPr>
        <w:pStyle w:val="NoSpacing"/>
        <w:rPr>
          <w:rFonts w:ascii="Times New Roman" w:hAnsi="Times New Roman"/>
        </w:rPr>
      </w:pPr>
    </w:p>
    <w:p w:rsidR="003C7518" w:rsidRPr="006200CF" w:rsidRDefault="003C7518" w:rsidP="00F922C3">
      <w:pPr>
        <w:pStyle w:val="NoSpacing"/>
        <w:rPr>
          <w:rFonts w:ascii="Times New Roman" w:hAnsi="Times New Roman"/>
        </w:rPr>
      </w:pPr>
      <w:r w:rsidRPr="006200CF">
        <w:rPr>
          <w:rFonts w:ascii="Times New Roman" w:hAnsi="Times New Roman"/>
        </w:rPr>
        <w:t xml:space="preserve">Η αύξηση της γαστρίνης είναι αναστρέψιμη. Επειδή η </w:t>
      </w:r>
      <w:r w:rsidRPr="006200CF">
        <w:rPr>
          <w:rFonts w:ascii="Times New Roman" w:hAnsi="Times New Roman"/>
          <w:lang w:val="en-US"/>
        </w:rPr>
        <w:t>pantoprazole</w:t>
      </w:r>
      <w:r w:rsidRPr="006200CF">
        <w:rPr>
          <w:rFonts w:ascii="Times New Roman" w:hAnsi="Times New Roman"/>
        </w:rPr>
        <w:t xml:space="preserve"> ενώνεται με το ένζυμο μακράν του επιπέδου των κυτταρικών υποδοχέων, η ουσία μπορεί να επιδράσει στην έκκριση υδροχλωρικού οξέος ανεξάρτητα από τη διέγερση από άλλες ουσίες (ακετυλοχολίνη, ισταμίνη, γαστρίνη). Η δράση είναι η ίδια είτε το προϊόν χορηγείται από το στόμα είτε χορηγείται ενδοφλεβίως.</w:t>
      </w:r>
    </w:p>
    <w:p w:rsidR="003C7518" w:rsidRPr="006200CF" w:rsidRDefault="003C7518" w:rsidP="00F922C3">
      <w:pPr>
        <w:pStyle w:val="NoSpacing"/>
        <w:rPr>
          <w:rFonts w:ascii="Times New Roman" w:hAnsi="Times New Roman"/>
        </w:rPr>
      </w:pPr>
    </w:p>
    <w:p w:rsidR="003C7518" w:rsidRPr="006200CF" w:rsidRDefault="003C7518" w:rsidP="00F922C3">
      <w:pPr>
        <w:pStyle w:val="NoSpacing"/>
        <w:rPr>
          <w:rFonts w:ascii="Times New Roman" w:hAnsi="Times New Roman"/>
          <w:b/>
        </w:rPr>
      </w:pPr>
      <w:r w:rsidRPr="006200CF">
        <w:rPr>
          <w:rFonts w:ascii="Times New Roman" w:hAnsi="Times New Roman"/>
          <w:b/>
        </w:rPr>
        <w:t>5.2 Φαρμακοκινητικές ιδιότητες</w:t>
      </w:r>
    </w:p>
    <w:p w:rsidR="003C7518" w:rsidRPr="006200CF" w:rsidRDefault="003C7518" w:rsidP="00F922C3">
      <w:pPr>
        <w:pStyle w:val="NoSpacing"/>
        <w:rPr>
          <w:rFonts w:ascii="Times New Roman" w:hAnsi="Times New Roman"/>
        </w:rPr>
      </w:pPr>
    </w:p>
    <w:p w:rsidR="003C7518" w:rsidRPr="006200CF" w:rsidRDefault="003C7518" w:rsidP="00F922C3">
      <w:pPr>
        <w:pStyle w:val="NoSpacing"/>
        <w:rPr>
          <w:rFonts w:ascii="Times New Roman" w:hAnsi="Times New Roman"/>
          <w:b/>
        </w:rPr>
      </w:pPr>
      <w:r w:rsidRPr="006200CF">
        <w:rPr>
          <w:rFonts w:ascii="Times New Roman" w:hAnsi="Times New Roman"/>
          <w:b/>
        </w:rPr>
        <w:t>Γενική φαρμακοκινητική:</w:t>
      </w:r>
    </w:p>
    <w:p w:rsidR="003C7518" w:rsidRPr="006200CF" w:rsidRDefault="003C7518" w:rsidP="00F922C3">
      <w:pPr>
        <w:pStyle w:val="NoSpacing"/>
        <w:rPr>
          <w:rFonts w:ascii="Times New Roman" w:hAnsi="Times New Roman"/>
          <w:b/>
        </w:rPr>
      </w:pPr>
    </w:p>
    <w:p w:rsidR="003C7518" w:rsidRPr="006200CF" w:rsidRDefault="003C7518" w:rsidP="00F922C3">
      <w:pPr>
        <w:pStyle w:val="NoSpacing"/>
        <w:rPr>
          <w:rFonts w:ascii="Times New Roman" w:hAnsi="Times New Roman"/>
        </w:rPr>
      </w:pPr>
      <w:r w:rsidRPr="006200CF">
        <w:rPr>
          <w:rFonts w:ascii="Times New Roman" w:hAnsi="Times New Roman"/>
        </w:rPr>
        <w:t xml:space="preserve">Η </w:t>
      </w:r>
      <w:r w:rsidRPr="006200CF">
        <w:rPr>
          <w:rFonts w:ascii="Times New Roman" w:hAnsi="Times New Roman"/>
          <w:lang w:val="en-US"/>
        </w:rPr>
        <w:t>pantoprazole</w:t>
      </w:r>
      <w:r w:rsidRPr="006200CF">
        <w:rPr>
          <w:rFonts w:ascii="Times New Roman" w:hAnsi="Times New Roman"/>
        </w:rPr>
        <w:t xml:space="preserve"> απορροφάται ταχέως και η μέγιστη συγκέντρωση στο πλάσμα επιτυγχάνεται ακόμη και ύστερα από μία εφάπαξ δόση 40 </w:t>
      </w:r>
      <w:r w:rsidRPr="006200CF">
        <w:rPr>
          <w:rFonts w:ascii="Times New Roman" w:hAnsi="Times New Roman"/>
          <w:lang w:val="en-US"/>
        </w:rPr>
        <w:t>mg</w:t>
      </w:r>
      <w:r w:rsidRPr="006200CF">
        <w:rPr>
          <w:rFonts w:ascii="Times New Roman" w:hAnsi="Times New Roman"/>
        </w:rPr>
        <w:t xml:space="preserve"> από το στόμα. Κατά μέσο όρο σε περίπου 2,5 </w:t>
      </w:r>
      <w:r w:rsidRPr="006200CF">
        <w:rPr>
          <w:rFonts w:ascii="Times New Roman" w:hAnsi="Times New Roman"/>
          <w:lang w:val="en-US"/>
        </w:rPr>
        <w:t>h</w:t>
      </w:r>
      <w:r w:rsidRPr="006200CF">
        <w:rPr>
          <w:rFonts w:ascii="Times New Roman" w:hAnsi="Times New Roman"/>
        </w:rPr>
        <w:t xml:space="preserve"> μετά τη χορήγηση επιτυγχάνονται οι μέγιστες συγκεντρώσεις στον ορό που είναι περίπου 2 - 3 </w:t>
      </w:r>
      <w:r>
        <w:rPr>
          <w:rFonts w:ascii="Times New Roman" w:hAnsi="Times New Roman"/>
        </w:rPr>
        <w:t>μ</w:t>
      </w:r>
      <w:r w:rsidRPr="006200CF">
        <w:rPr>
          <w:rFonts w:ascii="Times New Roman" w:hAnsi="Times New Roman"/>
          <w:lang w:val="en-US"/>
        </w:rPr>
        <w:t>g</w:t>
      </w:r>
      <w:r w:rsidRPr="006200CF">
        <w:rPr>
          <w:rFonts w:ascii="Times New Roman" w:hAnsi="Times New Roman"/>
        </w:rPr>
        <w:t>/</w:t>
      </w:r>
      <w:r w:rsidRPr="006200CF">
        <w:rPr>
          <w:rFonts w:ascii="Times New Roman" w:hAnsi="Times New Roman"/>
          <w:lang w:val="en-US"/>
        </w:rPr>
        <w:t>ml</w:t>
      </w:r>
      <w:r w:rsidRPr="006200CF">
        <w:rPr>
          <w:rFonts w:ascii="Times New Roman" w:hAnsi="Times New Roman"/>
        </w:rPr>
        <w:t xml:space="preserve"> και αυτές οι τιμές παραμένουν σταθερές μετά πολλαπλή χορήγηση. Ο όγκος κατανομής είναι περίπου 0,15 </w:t>
      </w:r>
      <w:r w:rsidRPr="006200CF">
        <w:rPr>
          <w:rFonts w:ascii="Times New Roman" w:hAnsi="Times New Roman"/>
          <w:lang w:val="en-US"/>
        </w:rPr>
        <w:t>l</w:t>
      </w:r>
      <w:r w:rsidRPr="006200CF">
        <w:rPr>
          <w:rFonts w:ascii="Times New Roman" w:hAnsi="Times New Roman"/>
        </w:rPr>
        <w:t>/</w:t>
      </w:r>
      <w:r w:rsidRPr="006200CF">
        <w:rPr>
          <w:rFonts w:ascii="Times New Roman" w:hAnsi="Times New Roman"/>
          <w:lang w:val="en-US"/>
        </w:rPr>
        <w:t>kg</w:t>
      </w:r>
      <w:r w:rsidRPr="006200CF">
        <w:rPr>
          <w:rFonts w:ascii="Times New Roman" w:hAnsi="Times New Roman"/>
        </w:rPr>
        <w:t xml:space="preserve"> και η κάθαρση είναι περίπου 0,1 </w:t>
      </w:r>
      <w:r w:rsidRPr="006200CF">
        <w:rPr>
          <w:rFonts w:ascii="Times New Roman" w:hAnsi="Times New Roman"/>
          <w:lang w:val="en-US"/>
        </w:rPr>
        <w:t>l</w:t>
      </w:r>
      <w:r w:rsidRPr="006200CF">
        <w:rPr>
          <w:rFonts w:ascii="Times New Roman" w:hAnsi="Times New Roman"/>
        </w:rPr>
        <w:t>/</w:t>
      </w:r>
      <w:r w:rsidRPr="006200CF">
        <w:rPr>
          <w:rFonts w:ascii="Times New Roman" w:hAnsi="Times New Roman"/>
          <w:lang w:val="en-US"/>
        </w:rPr>
        <w:t>h</w:t>
      </w:r>
      <w:r w:rsidRPr="006200CF">
        <w:rPr>
          <w:rFonts w:ascii="Times New Roman" w:hAnsi="Times New Roman"/>
        </w:rPr>
        <w:t>/</w:t>
      </w:r>
      <w:r w:rsidRPr="006200CF">
        <w:rPr>
          <w:rFonts w:ascii="Times New Roman" w:hAnsi="Times New Roman"/>
          <w:lang w:val="en-US"/>
        </w:rPr>
        <w:t>kg</w:t>
      </w:r>
      <w:r w:rsidRPr="006200CF">
        <w:rPr>
          <w:rFonts w:ascii="Times New Roman" w:hAnsi="Times New Roman"/>
        </w:rPr>
        <w:t xml:space="preserve">. Ο τελικός χρόνος ημιζωής είναι περίπου 1 </w:t>
      </w:r>
      <w:r w:rsidRPr="006200CF">
        <w:rPr>
          <w:rFonts w:ascii="Times New Roman" w:hAnsi="Times New Roman"/>
          <w:lang w:val="en-US"/>
        </w:rPr>
        <w:t>h</w:t>
      </w:r>
      <w:r w:rsidRPr="006200CF">
        <w:rPr>
          <w:rFonts w:ascii="Times New Roman" w:hAnsi="Times New Roman"/>
        </w:rPr>
        <w:t>.</w:t>
      </w:r>
    </w:p>
    <w:p w:rsidR="003C7518" w:rsidRPr="006200CF" w:rsidRDefault="003C7518" w:rsidP="00F922C3">
      <w:pPr>
        <w:pStyle w:val="NoSpacing"/>
        <w:rPr>
          <w:rFonts w:ascii="Times New Roman" w:hAnsi="Times New Roman"/>
        </w:rPr>
      </w:pPr>
    </w:p>
    <w:p w:rsidR="003C7518" w:rsidRPr="006200CF" w:rsidRDefault="003C7518" w:rsidP="00F922C3">
      <w:pPr>
        <w:pStyle w:val="NoSpacing"/>
        <w:rPr>
          <w:rFonts w:ascii="Times New Roman" w:hAnsi="Times New Roman"/>
        </w:rPr>
      </w:pPr>
      <w:r w:rsidRPr="006200CF">
        <w:rPr>
          <w:rFonts w:ascii="Times New Roman" w:hAnsi="Times New Roman"/>
        </w:rPr>
        <w:t xml:space="preserve">Υπήρξαν λίγες περιπτώσεις ατόμων με καθυστέρηση στην αποβολή. Λόγω της ειδικής δράσης της </w:t>
      </w:r>
      <w:r w:rsidRPr="006200CF">
        <w:rPr>
          <w:rFonts w:ascii="Times New Roman" w:hAnsi="Times New Roman"/>
          <w:lang w:val="en-US"/>
        </w:rPr>
        <w:t>pantoprazole</w:t>
      </w:r>
      <w:r w:rsidRPr="006200CF">
        <w:rPr>
          <w:rFonts w:ascii="Times New Roman" w:hAnsi="Times New Roman"/>
        </w:rPr>
        <w:t xml:space="preserve"> στο τοιχωματικό κύτταρο, ο χρόνος ημιζωής για την αποβολή δεν συσχετίζεται με την πολύ μεγαλύτερη διάρκεια της δράσης (αναστολή της έκκρισης οξέος). Η φαρμακοκινητική δεν μεταβάλλεται μετά εφάπαξ ή επανειλημμένη χορήγηση. Σε δόσεις μεταξύ 10 και 80 </w:t>
      </w:r>
      <w:r w:rsidRPr="006200CF">
        <w:rPr>
          <w:rFonts w:ascii="Times New Roman" w:hAnsi="Times New Roman"/>
          <w:lang w:val="en-US"/>
        </w:rPr>
        <w:t>mg</w:t>
      </w:r>
      <w:r w:rsidRPr="006200CF">
        <w:rPr>
          <w:rFonts w:ascii="Times New Roman" w:hAnsi="Times New Roman"/>
        </w:rPr>
        <w:t xml:space="preserve">, η κινητική της </w:t>
      </w:r>
      <w:r w:rsidRPr="006200CF">
        <w:rPr>
          <w:rFonts w:ascii="Times New Roman" w:hAnsi="Times New Roman"/>
          <w:lang w:val="en-US"/>
        </w:rPr>
        <w:t>pantoprazole</w:t>
      </w:r>
      <w:r w:rsidRPr="006200CF">
        <w:rPr>
          <w:rFonts w:ascii="Times New Roman" w:hAnsi="Times New Roman"/>
        </w:rPr>
        <w:t xml:space="preserve"> στο πλάσμα είναι ουσιαστικά γραμμική, μετά και την από του στόματος και την ενδοφλέβια χορήγηση.</w:t>
      </w:r>
    </w:p>
    <w:p w:rsidR="003C7518" w:rsidRPr="006200CF" w:rsidRDefault="003C7518" w:rsidP="00F922C3">
      <w:pPr>
        <w:pStyle w:val="NoSpacing"/>
        <w:rPr>
          <w:rFonts w:ascii="Times New Roman" w:hAnsi="Times New Roman"/>
        </w:rPr>
      </w:pPr>
    </w:p>
    <w:p w:rsidR="003C7518" w:rsidRPr="006200CF" w:rsidRDefault="003C7518" w:rsidP="00F922C3">
      <w:pPr>
        <w:pStyle w:val="NoSpacing"/>
        <w:rPr>
          <w:rFonts w:ascii="Times New Roman" w:hAnsi="Times New Roman"/>
        </w:rPr>
      </w:pPr>
      <w:r w:rsidRPr="006200CF">
        <w:rPr>
          <w:rFonts w:ascii="Times New Roman" w:hAnsi="Times New Roman"/>
        </w:rPr>
        <w:t xml:space="preserve">Το ποσοστό δέσμευσης της </w:t>
      </w:r>
      <w:r w:rsidRPr="006200CF">
        <w:rPr>
          <w:rFonts w:ascii="Times New Roman" w:hAnsi="Times New Roman"/>
          <w:lang w:val="en-US"/>
        </w:rPr>
        <w:t>pantoprazole</w:t>
      </w:r>
      <w:r w:rsidRPr="006200CF">
        <w:rPr>
          <w:rFonts w:ascii="Times New Roman" w:hAnsi="Times New Roman"/>
        </w:rPr>
        <w:t xml:space="preserve"> από τις πρωτεΐνες του ορού είναι περίπου 98%. Η ουσία μεταβολίζεται σχεδόν αποκλειστικά στο ήπαρ. Η αποβολή μέσω των νεφρών αντιπροσωπεύει την μείζονα οδό απέκκρισης (περίπου 80 %) για τους μεταβολίτες της </w:t>
      </w:r>
      <w:r w:rsidRPr="006200CF">
        <w:rPr>
          <w:rFonts w:ascii="Times New Roman" w:hAnsi="Times New Roman"/>
          <w:lang w:val="en-US"/>
        </w:rPr>
        <w:t>pantoprazole</w:t>
      </w:r>
      <w:r w:rsidRPr="006200CF">
        <w:rPr>
          <w:rFonts w:ascii="Times New Roman" w:hAnsi="Times New Roman"/>
        </w:rPr>
        <w:t xml:space="preserve">, το υπόλοιπο απεκκρίνεται με τα κόπρανα. Ο κύριος μεταβολίτης και στον ορό και στα ούρα είναι η </w:t>
      </w:r>
      <w:r w:rsidRPr="006200CF">
        <w:rPr>
          <w:rFonts w:ascii="Times New Roman" w:hAnsi="Times New Roman"/>
          <w:lang w:val="en-US"/>
        </w:rPr>
        <w:t>desmethylpantoprazole</w:t>
      </w:r>
      <w:r w:rsidRPr="006200CF">
        <w:rPr>
          <w:rFonts w:ascii="Times New Roman" w:hAnsi="Times New Roman"/>
        </w:rPr>
        <w:t xml:space="preserve"> η οποία συζεύγνυται με θεϊκό ιόν. Ο χρόνος ημιζωής του κύριου μεταβολίτη (περίπου 1,5 </w:t>
      </w:r>
      <w:r w:rsidRPr="006200CF">
        <w:rPr>
          <w:rFonts w:ascii="Times New Roman" w:hAnsi="Times New Roman"/>
          <w:lang w:val="en-US"/>
        </w:rPr>
        <w:t>h</w:t>
      </w:r>
      <w:r w:rsidRPr="006200CF">
        <w:rPr>
          <w:rFonts w:ascii="Times New Roman" w:hAnsi="Times New Roman"/>
        </w:rPr>
        <w:t xml:space="preserve">) δεν είναι πολύ μεγαλύτερος από αυτόν της </w:t>
      </w:r>
      <w:r w:rsidRPr="006200CF">
        <w:rPr>
          <w:rFonts w:ascii="Times New Roman" w:hAnsi="Times New Roman"/>
          <w:lang w:val="en-US"/>
        </w:rPr>
        <w:t>pantoprazole</w:t>
      </w:r>
      <w:r w:rsidRPr="006200CF">
        <w:rPr>
          <w:rFonts w:ascii="Times New Roman" w:hAnsi="Times New Roman"/>
        </w:rPr>
        <w:t>.</w:t>
      </w:r>
    </w:p>
    <w:p w:rsidR="003C7518" w:rsidRPr="006200CF" w:rsidRDefault="003C7518" w:rsidP="00F922C3">
      <w:pPr>
        <w:pStyle w:val="NoSpacing"/>
        <w:rPr>
          <w:rFonts w:ascii="Times New Roman" w:hAnsi="Times New Roman"/>
        </w:rPr>
      </w:pPr>
    </w:p>
    <w:p w:rsidR="003C7518" w:rsidRPr="006200CF" w:rsidRDefault="003C7518" w:rsidP="00F922C3">
      <w:pPr>
        <w:pStyle w:val="NoSpacing"/>
        <w:rPr>
          <w:rFonts w:ascii="Times New Roman" w:hAnsi="Times New Roman"/>
          <w:b/>
          <w:i/>
        </w:rPr>
      </w:pPr>
      <w:r w:rsidRPr="006200CF">
        <w:rPr>
          <w:rFonts w:ascii="Times New Roman" w:hAnsi="Times New Roman"/>
          <w:b/>
          <w:i/>
        </w:rPr>
        <w:t>Βιοδιαθεσιμότητα:</w:t>
      </w:r>
    </w:p>
    <w:p w:rsidR="003C7518" w:rsidRPr="006200CF" w:rsidRDefault="003C7518" w:rsidP="00F922C3">
      <w:pPr>
        <w:pStyle w:val="NoSpacing"/>
        <w:rPr>
          <w:rFonts w:ascii="Times New Roman" w:hAnsi="Times New Roman"/>
        </w:rPr>
      </w:pPr>
    </w:p>
    <w:p w:rsidR="003C7518" w:rsidRPr="006200CF" w:rsidRDefault="003C7518" w:rsidP="00F922C3">
      <w:pPr>
        <w:pStyle w:val="NoSpacing"/>
        <w:rPr>
          <w:rFonts w:ascii="Times New Roman" w:hAnsi="Times New Roman"/>
        </w:rPr>
      </w:pPr>
      <w:r w:rsidRPr="006200CF">
        <w:rPr>
          <w:rFonts w:ascii="Times New Roman" w:hAnsi="Times New Roman"/>
        </w:rPr>
        <w:t xml:space="preserve">Η </w:t>
      </w:r>
      <w:r w:rsidRPr="006200CF">
        <w:rPr>
          <w:rFonts w:ascii="Times New Roman" w:hAnsi="Times New Roman"/>
          <w:lang w:val="en-US"/>
        </w:rPr>
        <w:t>pantoprazole</w:t>
      </w:r>
      <w:r w:rsidRPr="006200CF">
        <w:rPr>
          <w:rFonts w:ascii="Times New Roman" w:hAnsi="Times New Roman"/>
        </w:rPr>
        <w:t xml:space="preserve"> απορροφάται πλήρως μετά από το στόμα χορήγηση. Η απόλυτη βιοδιαθεσιμότητα από το δισκίο βρέθηκε να είναι περίπου 77 %. Η ταυτόχρονη λήψη τροφής δεν είχε επίδραση στην επιφάνεια που διαγράφεται κάτω από την καμπύλη (</w:t>
      </w:r>
      <w:r w:rsidRPr="006200CF">
        <w:rPr>
          <w:rFonts w:ascii="Times New Roman" w:hAnsi="Times New Roman"/>
          <w:lang w:val="en-US"/>
        </w:rPr>
        <w:t>AUC</w:t>
      </w:r>
      <w:r w:rsidRPr="006200CF">
        <w:rPr>
          <w:rFonts w:ascii="Times New Roman" w:hAnsi="Times New Roman"/>
        </w:rPr>
        <w:t>), στη μέγιστη συγκέντρωση στον ορό και συνεπώς στη βιοδιαθεσιμότητα. Μόνο η μεταβλητότητα του λανθάνοντος χρόνου θα αυξηθεί με ταυτόχρονη λήψη τροφής.</w:t>
      </w:r>
    </w:p>
    <w:p w:rsidR="003C7518" w:rsidRPr="006200CF" w:rsidRDefault="003C7518" w:rsidP="00F922C3">
      <w:pPr>
        <w:pStyle w:val="NoSpacing"/>
        <w:rPr>
          <w:rFonts w:ascii="Times New Roman" w:hAnsi="Times New Roman"/>
        </w:rPr>
      </w:pPr>
    </w:p>
    <w:p w:rsidR="003C7518" w:rsidRPr="006200CF" w:rsidRDefault="003C7518" w:rsidP="00F922C3">
      <w:pPr>
        <w:pStyle w:val="NoSpacing"/>
        <w:rPr>
          <w:rFonts w:ascii="Times New Roman" w:hAnsi="Times New Roman"/>
        </w:rPr>
      </w:pPr>
      <w:r w:rsidRPr="006200CF">
        <w:rPr>
          <w:rFonts w:ascii="Times New Roman" w:hAnsi="Times New Roman"/>
          <w:b/>
          <w:i/>
        </w:rPr>
        <w:t>Χαρακτηριστικά σε ασθενείς/ειδικές ομάδες ατόμων:</w:t>
      </w:r>
    </w:p>
    <w:p w:rsidR="003C7518" w:rsidRPr="006200CF" w:rsidRDefault="003C7518" w:rsidP="00F922C3">
      <w:pPr>
        <w:pStyle w:val="NoSpacing"/>
        <w:rPr>
          <w:rFonts w:ascii="Times New Roman" w:hAnsi="Times New Roman"/>
        </w:rPr>
      </w:pPr>
      <w:r w:rsidRPr="006200CF">
        <w:rPr>
          <w:rFonts w:ascii="Times New Roman" w:hAnsi="Times New Roman"/>
        </w:rPr>
        <w:t xml:space="preserve">Δεν απαιτείται μείωση της δόσης όταν η </w:t>
      </w:r>
      <w:r w:rsidRPr="006200CF">
        <w:rPr>
          <w:rFonts w:ascii="Times New Roman" w:hAnsi="Times New Roman"/>
          <w:lang w:val="en-US"/>
        </w:rPr>
        <w:t>pantoprazole</w:t>
      </w:r>
      <w:r w:rsidRPr="006200CF">
        <w:rPr>
          <w:rFonts w:ascii="Times New Roman" w:hAnsi="Times New Roman"/>
        </w:rPr>
        <w:t xml:space="preserve"> χορηγείται σε ασθενείς με περιορισμένη νεφρική λειτουργία (περιλαμβανομένων των ασθενών σε αιμοκάθαρση). Όπως και σε υγιή άτομα ο χρόνος ημιζωής της </w:t>
      </w:r>
      <w:r w:rsidRPr="006200CF">
        <w:rPr>
          <w:rFonts w:ascii="Times New Roman" w:hAnsi="Times New Roman"/>
          <w:lang w:val="en-US"/>
        </w:rPr>
        <w:t>pantoprazole</w:t>
      </w:r>
      <w:r w:rsidRPr="006200CF">
        <w:rPr>
          <w:rFonts w:ascii="Times New Roman" w:hAnsi="Times New Roman"/>
        </w:rPr>
        <w:t xml:space="preserve"> είναι βραχύς. Μόνο πολύ μικρές ποσότητες της </w:t>
      </w:r>
      <w:r w:rsidRPr="006200CF">
        <w:rPr>
          <w:rFonts w:ascii="Times New Roman" w:hAnsi="Times New Roman"/>
          <w:lang w:val="en-US"/>
        </w:rPr>
        <w:t>pantoprazole</w:t>
      </w:r>
      <w:r w:rsidRPr="006200CF">
        <w:rPr>
          <w:rFonts w:ascii="Times New Roman" w:hAnsi="Times New Roman"/>
        </w:rPr>
        <w:t xml:space="preserve"> αιμοκαθάρονται. Παρόλο που ο κύριος μεταβολίτης έχει μία μέτρια καθυστέρηση στο χρόνο ημιζωής (2-3 </w:t>
      </w:r>
      <w:r w:rsidRPr="006200CF">
        <w:rPr>
          <w:rFonts w:ascii="Times New Roman" w:hAnsi="Times New Roman"/>
          <w:lang w:val="en-US"/>
        </w:rPr>
        <w:t>h</w:t>
      </w:r>
      <w:r w:rsidRPr="006200CF">
        <w:rPr>
          <w:rFonts w:ascii="Times New Roman" w:hAnsi="Times New Roman"/>
        </w:rPr>
        <w:t>), η απέκκριση εξακολουθεί να είναι ταχεία και έτσι δεν επέρχεται συσσώρευση.</w:t>
      </w:r>
    </w:p>
    <w:p w:rsidR="003C7518" w:rsidRPr="006200CF" w:rsidRDefault="003C7518" w:rsidP="00F922C3">
      <w:pPr>
        <w:pStyle w:val="NoSpacing"/>
        <w:rPr>
          <w:rFonts w:ascii="Times New Roman" w:hAnsi="Times New Roman"/>
        </w:rPr>
      </w:pPr>
    </w:p>
    <w:p w:rsidR="003C7518" w:rsidRPr="006200CF" w:rsidRDefault="003C7518" w:rsidP="00F922C3">
      <w:pPr>
        <w:pStyle w:val="NoSpacing"/>
        <w:rPr>
          <w:rFonts w:ascii="Times New Roman" w:hAnsi="Times New Roman"/>
        </w:rPr>
      </w:pPr>
      <w:r w:rsidRPr="006200CF">
        <w:rPr>
          <w:rFonts w:ascii="Times New Roman" w:hAnsi="Times New Roman"/>
        </w:rPr>
        <w:t xml:space="preserve">Παρόλο που σε ασθενείς με κίρρωση του ήπατος (κατηγορίες Α και Β κατά </w:t>
      </w:r>
      <w:r w:rsidRPr="006200CF">
        <w:rPr>
          <w:rFonts w:ascii="Times New Roman" w:hAnsi="Times New Roman"/>
          <w:lang w:val="en-US"/>
        </w:rPr>
        <w:t>child</w:t>
      </w:r>
      <w:r w:rsidRPr="006200CF">
        <w:rPr>
          <w:rFonts w:ascii="Times New Roman" w:hAnsi="Times New Roman"/>
        </w:rPr>
        <w:t>), οι τιμές του χρόνου ημιζωής αυξήθηκαν σε 7 - 9 ώρες και οι τιμές της επιφάνειας κάτω από την καμπύλη (</w:t>
      </w:r>
      <w:r w:rsidRPr="006200CF">
        <w:rPr>
          <w:rFonts w:ascii="Times New Roman" w:hAnsi="Times New Roman"/>
          <w:lang w:val="en-US"/>
        </w:rPr>
        <w:t>AUC</w:t>
      </w:r>
      <w:r w:rsidRPr="006200CF">
        <w:rPr>
          <w:rFonts w:ascii="Times New Roman" w:hAnsi="Times New Roman"/>
        </w:rPr>
        <w:t>) αυξήθηκαν κατά ένα συντελεστή 5-7, η μέγιστη συγκέντρωση στον ορό αυξήθηκε μόνον ελαφρά κατά ένα συντελεστή 1,5 σε σύγκριση με υγιή άτομα.</w:t>
      </w:r>
    </w:p>
    <w:p w:rsidR="003C7518" w:rsidRPr="006200CF" w:rsidRDefault="003C7518" w:rsidP="00F922C3">
      <w:pPr>
        <w:pStyle w:val="NoSpacing"/>
        <w:rPr>
          <w:rFonts w:ascii="Times New Roman" w:hAnsi="Times New Roman"/>
        </w:rPr>
      </w:pPr>
    </w:p>
    <w:p w:rsidR="003C7518" w:rsidRPr="006200CF" w:rsidRDefault="003C7518" w:rsidP="00F87C74">
      <w:pPr>
        <w:pStyle w:val="NoSpacing"/>
        <w:rPr>
          <w:rFonts w:ascii="Times New Roman" w:hAnsi="Times New Roman"/>
        </w:rPr>
      </w:pPr>
      <w:r w:rsidRPr="006200CF">
        <w:rPr>
          <w:rFonts w:ascii="Times New Roman" w:hAnsi="Times New Roman"/>
        </w:rPr>
        <w:t>Μία μικρή αύξηση στην επιφάνεια κάτω από την καμπύλη (</w:t>
      </w:r>
      <w:r w:rsidRPr="006200CF">
        <w:rPr>
          <w:rFonts w:ascii="Times New Roman" w:hAnsi="Times New Roman"/>
          <w:lang w:val="en-US"/>
        </w:rPr>
        <w:t>AUC</w:t>
      </w:r>
      <w:r w:rsidRPr="006200CF">
        <w:rPr>
          <w:rFonts w:ascii="Times New Roman" w:hAnsi="Times New Roman"/>
        </w:rPr>
        <w:t xml:space="preserve">) και στην μέγιστη συγκέντρωση </w:t>
      </w:r>
      <w:r>
        <w:rPr>
          <w:rFonts w:ascii="Times New Roman" w:hAnsi="Times New Roman"/>
        </w:rPr>
        <w:t>(</w:t>
      </w:r>
      <w:r w:rsidRPr="006200CF">
        <w:rPr>
          <w:rFonts w:ascii="Times New Roman" w:hAnsi="Times New Roman"/>
          <w:lang w:val="en-US"/>
        </w:rPr>
        <w:t>C</w:t>
      </w:r>
      <w:r w:rsidRPr="006200CF">
        <w:rPr>
          <w:rFonts w:ascii="Times New Roman" w:hAnsi="Times New Roman"/>
          <w:vertAlign w:val="subscript"/>
          <w:lang w:val="en-US"/>
        </w:rPr>
        <w:t>max</w:t>
      </w:r>
      <w:r>
        <w:rPr>
          <w:rFonts w:ascii="Times New Roman" w:hAnsi="Times New Roman"/>
        </w:rPr>
        <w:t>)</w:t>
      </w:r>
      <w:r w:rsidRPr="006200CF">
        <w:rPr>
          <w:rFonts w:ascii="Times New Roman" w:hAnsi="Times New Roman"/>
          <w:vertAlign w:val="subscript"/>
        </w:rPr>
        <w:t xml:space="preserve">  </w:t>
      </w:r>
      <w:r w:rsidRPr="006200CF">
        <w:rPr>
          <w:rFonts w:ascii="Times New Roman" w:hAnsi="Times New Roman"/>
        </w:rPr>
        <w:t>σε ηλικιωμένους εθελοντές σε σύγκριση με νεώτερους εθελοντές, επίσης δεν είναι κλινικώς σημαντική.</w:t>
      </w:r>
    </w:p>
    <w:p w:rsidR="003C7518" w:rsidRPr="006200CF" w:rsidRDefault="003C7518" w:rsidP="00F87C74">
      <w:pPr>
        <w:pStyle w:val="NoSpacing"/>
        <w:rPr>
          <w:rFonts w:ascii="Times New Roman" w:hAnsi="Times New Roman"/>
        </w:rPr>
      </w:pPr>
    </w:p>
    <w:p w:rsidR="003C7518" w:rsidRPr="006200CF" w:rsidRDefault="003C7518" w:rsidP="00F87C74">
      <w:pPr>
        <w:pStyle w:val="NoSpacing"/>
        <w:rPr>
          <w:rFonts w:ascii="Times New Roman" w:hAnsi="Times New Roman"/>
          <w:i/>
        </w:rPr>
      </w:pPr>
      <w:r w:rsidRPr="006200CF">
        <w:rPr>
          <w:rFonts w:ascii="Times New Roman" w:hAnsi="Times New Roman"/>
          <w:i/>
        </w:rPr>
        <w:t>Παιδιά</w:t>
      </w:r>
    </w:p>
    <w:p w:rsidR="003C7518" w:rsidRPr="006200CF" w:rsidRDefault="003C7518" w:rsidP="00F87C74">
      <w:pPr>
        <w:pStyle w:val="NoSpacing"/>
        <w:rPr>
          <w:rFonts w:ascii="Times New Roman" w:hAnsi="Times New Roman"/>
          <w:i/>
        </w:rPr>
      </w:pPr>
    </w:p>
    <w:p w:rsidR="003C7518" w:rsidRPr="006200CF" w:rsidRDefault="003C7518" w:rsidP="00F87C74">
      <w:pPr>
        <w:pStyle w:val="NoSpacing"/>
        <w:rPr>
          <w:rFonts w:ascii="Times New Roman" w:hAnsi="Times New Roman"/>
        </w:rPr>
      </w:pPr>
      <w:r w:rsidRPr="006200CF">
        <w:rPr>
          <w:rFonts w:ascii="Times New Roman" w:hAnsi="Times New Roman"/>
        </w:rPr>
        <w:t xml:space="preserve">Έπειτα από εφάπαξ χορήγηση δόσεων 20 ή 40 </w:t>
      </w:r>
      <w:r w:rsidRPr="006200CF">
        <w:rPr>
          <w:rFonts w:ascii="Times New Roman" w:hAnsi="Times New Roman"/>
          <w:lang w:val="en-US"/>
        </w:rPr>
        <w:t>mg</w:t>
      </w:r>
      <w:r w:rsidRPr="006200CF">
        <w:rPr>
          <w:rFonts w:ascii="Times New Roman" w:hAnsi="Times New Roman"/>
        </w:rPr>
        <w:t xml:space="preserve"> </w:t>
      </w:r>
      <w:r w:rsidRPr="006200CF">
        <w:rPr>
          <w:rFonts w:ascii="Times New Roman" w:hAnsi="Times New Roman"/>
          <w:lang w:val="en-US"/>
        </w:rPr>
        <w:t>pantoprazole</w:t>
      </w:r>
      <w:r w:rsidRPr="006200CF">
        <w:rPr>
          <w:rFonts w:ascii="Times New Roman" w:hAnsi="Times New Roman"/>
        </w:rPr>
        <w:t xml:space="preserve"> από του στόματος, σε παιδιά ηλικίας 5-16 ετών, η </w:t>
      </w:r>
      <w:r w:rsidRPr="006200CF">
        <w:rPr>
          <w:rFonts w:ascii="Times New Roman" w:hAnsi="Times New Roman"/>
          <w:lang w:val="en-US"/>
        </w:rPr>
        <w:t>AUC</w:t>
      </w:r>
      <w:r w:rsidRPr="006200CF">
        <w:rPr>
          <w:rFonts w:ascii="Times New Roman" w:hAnsi="Times New Roman"/>
        </w:rPr>
        <w:t xml:space="preserve"> και η </w:t>
      </w:r>
      <w:r w:rsidRPr="006200CF">
        <w:rPr>
          <w:rFonts w:ascii="Times New Roman" w:hAnsi="Times New Roman"/>
          <w:lang w:val="en-US"/>
        </w:rPr>
        <w:t>C</w:t>
      </w:r>
      <w:r w:rsidRPr="006200CF">
        <w:rPr>
          <w:rFonts w:ascii="Times New Roman" w:hAnsi="Times New Roman"/>
          <w:vertAlign w:val="subscript"/>
          <w:lang w:val="en-US"/>
        </w:rPr>
        <w:t>max</w:t>
      </w:r>
      <w:r w:rsidRPr="006200CF">
        <w:rPr>
          <w:rFonts w:ascii="Times New Roman" w:hAnsi="Times New Roman"/>
        </w:rPr>
        <w:t xml:space="preserve"> ήταν εντός του εύρους των αντίστοιχων τιμών σε ενήλικες. Έπειτα από εφάπαξ χορήγηση ενδοφλέβιων δόσεων </w:t>
      </w:r>
      <w:r w:rsidRPr="006200CF">
        <w:rPr>
          <w:rFonts w:ascii="Times New Roman" w:hAnsi="Times New Roman"/>
          <w:lang w:val="en-US"/>
        </w:rPr>
        <w:t>pantoprazole</w:t>
      </w:r>
      <w:r w:rsidRPr="006200CF">
        <w:rPr>
          <w:rFonts w:ascii="Times New Roman" w:hAnsi="Times New Roman"/>
        </w:rPr>
        <w:t xml:space="preserve"> 0,8 ή 1,6 </w:t>
      </w:r>
      <w:r w:rsidRPr="006200CF">
        <w:rPr>
          <w:rFonts w:ascii="Times New Roman" w:hAnsi="Times New Roman"/>
          <w:lang w:val="en-US"/>
        </w:rPr>
        <w:t>mg</w:t>
      </w:r>
      <w:r w:rsidRPr="006200CF">
        <w:rPr>
          <w:rFonts w:ascii="Times New Roman" w:hAnsi="Times New Roman"/>
        </w:rPr>
        <w:t>/</w:t>
      </w:r>
      <w:r w:rsidRPr="006200CF">
        <w:rPr>
          <w:rFonts w:ascii="Times New Roman" w:hAnsi="Times New Roman"/>
          <w:lang w:val="en-US"/>
        </w:rPr>
        <w:t>kg</w:t>
      </w:r>
      <w:r w:rsidRPr="006200CF">
        <w:rPr>
          <w:rFonts w:ascii="Times New Roman" w:hAnsi="Times New Roman"/>
        </w:rPr>
        <w:t xml:space="preserve"> σε παιδιά ηλικίας 2-16 ετών, δεν υπήρξε σημαντική συσχέτιση μεταξύ της κάθαρσης της </w:t>
      </w:r>
      <w:r w:rsidRPr="006200CF">
        <w:rPr>
          <w:rFonts w:ascii="Times New Roman" w:hAnsi="Times New Roman"/>
          <w:lang w:val="en-US"/>
        </w:rPr>
        <w:t>pantoprazole</w:t>
      </w:r>
      <w:r w:rsidRPr="006200CF">
        <w:rPr>
          <w:rFonts w:ascii="Times New Roman" w:hAnsi="Times New Roman"/>
        </w:rPr>
        <w:t xml:space="preserve"> και της ηλικίας ή του βάρους. Η </w:t>
      </w:r>
      <w:r w:rsidRPr="006200CF">
        <w:rPr>
          <w:rFonts w:ascii="Times New Roman" w:hAnsi="Times New Roman"/>
          <w:lang w:val="en-US"/>
        </w:rPr>
        <w:t>AUC</w:t>
      </w:r>
      <w:r w:rsidRPr="006200CF">
        <w:rPr>
          <w:rFonts w:ascii="Times New Roman" w:hAnsi="Times New Roman"/>
        </w:rPr>
        <w:t xml:space="preserve"> και ο όγκος κατανομής είχαν τιμές αντίστοιχες με αυτές των ενηλίκων.</w:t>
      </w:r>
    </w:p>
    <w:p w:rsidR="003C7518" w:rsidRPr="006200CF" w:rsidRDefault="003C7518" w:rsidP="00F87C74">
      <w:pPr>
        <w:pStyle w:val="NoSpacing"/>
        <w:rPr>
          <w:rFonts w:ascii="Times New Roman" w:hAnsi="Times New Roman"/>
        </w:rPr>
      </w:pPr>
    </w:p>
    <w:p w:rsidR="003C7518" w:rsidRPr="006200CF" w:rsidRDefault="003C7518" w:rsidP="00F87C74">
      <w:pPr>
        <w:pStyle w:val="NoSpacing"/>
        <w:rPr>
          <w:rFonts w:ascii="Times New Roman" w:hAnsi="Times New Roman"/>
        </w:rPr>
      </w:pPr>
    </w:p>
    <w:p w:rsidR="003C7518" w:rsidRPr="006200CF" w:rsidRDefault="003C7518" w:rsidP="00F87C74">
      <w:pPr>
        <w:pStyle w:val="NoSpacing"/>
        <w:rPr>
          <w:rFonts w:ascii="Times New Roman" w:hAnsi="Times New Roman"/>
          <w:b/>
        </w:rPr>
      </w:pPr>
      <w:r w:rsidRPr="006200CF">
        <w:rPr>
          <w:rFonts w:ascii="Times New Roman" w:hAnsi="Times New Roman"/>
          <w:b/>
        </w:rPr>
        <w:t xml:space="preserve">5.3 Προκλινικά δεδομένα για την ασφάλεια </w:t>
      </w:r>
    </w:p>
    <w:p w:rsidR="003C7518" w:rsidRPr="006200CF" w:rsidRDefault="003C7518" w:rsidP="00F87C74">
      <w:pPr>
        <w:pStyle w:val="NoSpacing"/>
        <w:rPr>
          <w:rFonts w:ascii="Times New Roman" w:hAnsi="Times New Roman"/>
        </w:rPr>
      </w:pPr>
    </w:p>
    <w:p w:rsidR="003C7518" w:rsidRPr="006200CF" w:rsidRDefault="003C7518" w:rsidP="00F87C74">
      <w:pPr>
        <w:pStyle w:val="NoSpacing"/>
        <w:rPr>
          <w:rFonts w:ascii="Times New Roman" w:hAnsi="Times New Roman"/>
        </w:rPr>
      </w:pPr>
      <w:r w:rsidRPr="006200CF">
        <w:rPr>
          <w:rFonts w:ascii="Times New Roman" w:hAnsi="Times New Roman"/>
        </w:rPr>
        <w:t>Προκλινικά δεδομένα δεν δείχνουν ιδιαίτερο κίνδυνο για τους ανθρώπους, βάσει συμβατικών μελετών φαρμακολογικής ασφάλειας, τοξικότητας από επανειλημμένη χορήγηση και γονιδιοτοξικότητας.</w:t>
      </w:r>
    </w:p>
    <w:p w:rsidR="003C7518" w:rsidRPr="006200CF" w:rsidRDefault="003C7518" w:rsidP="00F87C74">
      <w:pPr>
        <w:pStyle w:val="NoSpacing"/>
        <w:rPr>
          <w:rFonts w:ascii="Times New Roman" w:hAnsi="Times New Roman"/>
        </w:rPr>
      </w:pPr>
    </w:p>
    <w:p w:rsidR="003C7518" w:rsidRPr="006200CF" w:rsidRDefault="003C7518" w:rsidP="00F87C74">
      <w:pPr>
        <w:pStyle w:val="NoSpacing"/>
        <w:rPr>
          <w:rFonts w:ascii="Times New Roman" w:hAnsi="Times New Roman"/>
        </w:rPr>
      </w:pPr>
      <w:r w:rsidRPr="006200CF">
        <w:rPr>
          <w:rFonts w:ascii="Times New Roman" w:hAnsi="Times New Roman"/>
        </w:rPr>
        <w:t>Σε μία μελέτη καρκινογένεσης διάρκειας δύο ετών σε αρουραίους - η οποία για τους αρουραίους αντιστοιχεί σε θεραπεία για όλη τους τη ζωή - βρέθηκαν νευροενδοκρινικά νεοπλάσματα.</w:t>
      </w:r>
    </w:p>
    <w:p w:rsidR="003C7518" w:rsidRPr="006200CF" w:rsidRDefault="003C7518" w:rsidP="00F87C74">
      <w:pPr>
        <w:pStyle w:val="NoSpacing"/>
        <w:rPr>
          <w:rFonts w:ascii="Times New Roman" w:hAnsi="Times New Roman"/>
        </w:rPr>
      </w:pPr>
      <w:r w:rsidRPr="006200CF">
        <w:rPr>
          <w:rFonts w:ascii="Times New Roman" w:hAnsi="Times New Roman"/>
        </w:rPr>
        <w:t>Επιπροσθέτως, βρέθηκαν θηλώματα από πλακώδη κύτταρα στο πρόσθιο μέρος του στομάχου αρουραίων. Ο μηχανισμός που οδηγεί στο σχηματισμό γαστρικών καρκινοειδών από υποκατεστημένες βενζιμιδαζόλες έχει ερευνηθεί προσεκτικά και επιτρέπει το συμπέρασμα ότι είναι δευτερογενής αντίδραση στην μεγάλη άνοδο των επιπέδων γαστρίνης στον ορό που εμφανίζεται στον αρουραίο κατά τη διάρκεια χρόνιας θεραπείας.</w:t>
      </w:r>
    </w:p>
    <w:p w:rsidR="003C7518" w:rsidRPr="006200CF" w:rsidRDefault="003C7518" w:rsidP="00F87C74">
      <w:pPr>
        <w:pStyle w:val="NoSpacing"/>
        <w:rPr>
          <w:rFonts w:ascii="Times New Roman" w:hAnsi="Times New Roman"/>
        </w:rPr>
      </w:pPr>
      <w:r w:rsidRPr="006200CF">
        <w:rPr>
          <w:rFonts w:ascii="Times New Roman" w:hAnsi="Times New Roman"/>
        </w:rPr>
        <w:t xml:space="preserve">Στις διετείς μελέτες, αυξημένος αριθμός ηπατικών όγκων παρατηρήθηκε σε αρουραίους και σε θηλυκά ποντίκια και ερμηνεύθηκε ότι οφειλόταν στον υψηλό βαθμό μεταβολισμού της </w:t>
      </w:r>
      <w:r w:rsidRPr="006200CF">
        <w:rPr>
          <w:rFonts w:ascii="Times New Roman" w:hAnsi="Times New Roman"/>
          <w:lang w:val="en-US"/>
        </w:rPr>
        <w:t>pantoprazole</w:t>
      </w:r>
      <w:r w:rsidRPr="006200CF">
        <w:rPr>
          <w:rFonts w:ascii="Times New Roman" w:hAnsi="Times New Roman"/>
        </w:rPr>
        <w:t xml:space="preserve"> στο ήπαρ. Από μελέτες μεταλλαξιογένεσης, δοκιμασίες κυτταρικής μεταμόρφωσης και μία μελέτη δέσμευσης του </w:t>
      </w:r>
      <w:r w:rsidRPr="006200CF">
        <w:rPr>
          <w:rFonts w:ascii="Times New Roman" w:hAnsi="Times New Roman"/>
          <w:lang w:val="en-US"/>
        </w:rPr>
        <w:t>DNA</w:t>
      </w:r>
      <w:r w:rsidRPr="006200CF">
        <w:rPr>
          <w:rFonts w:ascii="Times New Roman" w:hAnsi="Times New Roman"/>
        </w:rPr>
        <w:t xml:space="preserve">, συμπεραίνεται ότι η </w:t>
      </w:r>
      <w:r w:rsidRPr="006200CF">
        <w:rPr>
          <w:rFonts w:ascii="Times New Roman" w:hAnsi="Times New Roman"/>
          <w:lang w:val="en-US"/>
        </w:rPr>
        <w:t>pantoprazole</w:t>
      </w:r>
      <w:r w:rsidRPr="006200CF">
        <w:rPr>
          <w:rFonts w:ascii="Times New Roman" w:hAnsi="Times New Roman"/>
        </w:rPr>
        <w:t xml:space="preserve"> δεν έχει γονιδιοτοξικό δυναμικό.</w:t>
      </w:r>
    </w:p>
    <w:p w:rsidR="003C7518" w:rsidRPr="006200CF" w:rsidRDefault="003C7518" w:rsidP="00F87C74">
      <w:pPr>
        <w:pStyle w:val="NoSpacing"/>
        <w:rPr>
          <w:rFonts w:ascii="Times New Roman" w:hAnsi="Times New Roman"/>
        </w:rPr>
      </w:pPr>
      <w:r w:rsidRPr="006200CF">
        <w:rPr>
          <w:rFonts w:ascii="Times New Roman" w:hAnsi="Times New Roman"/>
        </w:rPr>
        <w:t xml:space="preserve">Στην ομάδα των αρουραίων που ελάμβαναν την υψηλότερη δόση, παρατηρήθηκε μία μικρή αύξηση των νεοπλασματικών αλλοιώσεων του θυρεοειδούς. Η ύπαρξη αυτών των νεοπλασμάτων συσχετίζεται με τις μεταβολές που προκλήθηκαν από την </w:t>
      </w:r>
      <w:r w:rsidRPr="006200CF">
        <w:rPr>
          <w:rFonts w:ascii="Times New Roman" w:hAnsi="Times New Roman"/>
          <w:lang w:val="en-US"/>
        </w:rPr>
        <w:t>pantoprazole</w:t>
      </w:r>
      <w:r w:rsidRPr="006200CF">
        <w:rPr>
          <w:rFonts w:ascii="Times New Roman" w:hAnsi="Times New Roman"/>
        </w:rPr>
        <w:t xml:space="preserve"> στη διάσπαση της θυροξίνης στο ήπαρ του αρουραίου. Επειδή η θεραπευτική δόση στον άνθρωπο είναι χαμηλή, δεν αναμένονται παρενέργειες στο θυρεοειδή αδένα.</w:t>
      </w:r>
    </w:p>
    <w:p w:rsidR="003C7518" w:rsidRPr="006200CF" w:rsidRDefault="003C7518" w:rsidP="00F87C74">
      <w:pPr>
        <w:pStyle w:val="NoSpacing"/>
        <w:rPr>
          <w:rFonts w:ascii="Times New Roman" w:hAnsi="Times New Roman"/>
        </w:rPr>
      </w:pPr>
    </w:p>
    <w:p w:rsidR="003C7518" w:rsidRPr="006200CF" w:rsidRDefault="003C7518" w:rsidP="00F87C74">
      <w:pPr>
        <w:pStyle w:val="NoSpacing"/>
        <w:rPr>
          <w:rFonts w:ascii="Times New Roman" w:hAnsi="Times New Roman"/>
        </w:rPr>
      </w:pPr>
      <w:r w:rsidRPr="006200CF">
        <w:rPr>
          <w:rFonts w:ascii="Times New Roman" w:hAnsi="Times New Roman"/>
        </w:rPr>
        <w:t>Έρευνες δεν απέδειξαν μειωμένη γονιμότητα η τερατογόνες ενέργειες.</w:t>
      </w:r>
    </w:p>
    <w:p w:rsidR="003C7518" w:rsidRPr="006200CF" w:rsidRDefault="003C7518" w:rsidP="00F87C74">
      <w:pPr>
        <w:pStyle w:val="NoSpacing"/>
        <w:rPr>
          <w:rFonts w:ascii="Times New Roman" w:hAnsi="Times New Roman"/>
        </w:rPr>
      </w:pPr>
    </w:p>
    <w:p w:rsidR="003C7518" w:rsidRPr="006200CF" w:rsidRDefault="003C7518" w:rsidP="00F87C74">
      <w:pPr>
        <w:pStyle w:val="NoSpacing"/>
        <w:rPr>
          <w:rFonts w:ascii="Times New Roman" w:hAnsi="Times New Roman"/>
        </w:rPr>
      </w:pPr>
      <w:r w:rsidRPr="006200CF">
        <w:rPr>
          <w:rFonts w:ascii="Times New Roman" w:hAnsi="Times New Roman"/>
        </w:rPr>
        <w:t xml:space="preserve">Διερευνήθηκε η διαπερατότητα του πλακούντα στον αρουραίο και βρέθηκε ότι αυξάνεται σε προχωρημένη κύηση. Ως αποτέλεσμα, η συγκέντρωση της </w:t>
      </w:r>
      <w:r w:rsidRPr="006200CF">
        <w:rPr>
          <w:rFonts w:ascii="Times New Roman" w:hAnsi="Times New Roman"/>
          <w:lang w:val="en-US"/>
        </w:rPr>
        <w:t>pantoprazole</w:t>
      </w:r>
      <w:r w:rsidRPr="006200CF">
        <w:rPr>
          <w:rFonts w:ascii="Times New Roman" w:hAnsi="Times New Roman"/>
        </w:rPr>
        <w:t xml:space="preserve"> στο έμβρυο αυξάνεται λίγο πριν τον τοκετό.</w:t>
      </w:r>
    </w:p>
    <w:p w:rsidR="003C7518" w:rsidRPr="006200CF" w:rsidRDefault="003C7518" w:rsidP="00F87C74">
      <w:pPr>
        <w:pStyle w:val="NoSpacing"/>
        <w:rPr>
          <w:rFonts w:ascii="Times New Roman" w:hAnsi="Times New Roman"/>
        </w:rPr>
      </w:pPr>
    </w:p>
    <w:p w:rsidR="003C7518" w:rsidRPr="008349AA" w:rsidRDefault="003C7518" w:rsidP="00F87C74">
      <w:pPr>
        <w:pStyle w:val="NoSpacing"/>
        <w:rPr>
          <w:rFonts w:ascii="Times New Roman" w:hAnsi="Times New Roman"/>
          <w:b/>
        </w:rPr>
      </w:pPr>
    </w:p>
    <w:p w:rsidR="003C7518" w:rsidRPr="008349AA" w:rsidRDefault="003C7518" w:rsidP="00F87C74">
      <w:pPr>
        <w:pStyle w:val="NoSpacing"/>
        <w:rPr>
          <w:rFonts w:ascii="Times New Roman" w:hAnsi="Times New Roman"/>
          <w:b/>
        </w:rPr>
      </w:pPr>
    </w:p>
    <w:p w:rsidR="003C7518" w:rsidRPr="008349AA" w:rsidRDefault="003C7518" w:rsidP="00F87C74">
      <w:pPr>
        <w:pStyle w:val="NoSpacing"/>
        <w:rPr>
          <w:rFonts w:ascii="Times New Roman" w:hAnsi="Times New Roman"/>
          <w:b/>
        </w:rPr>
      </w:pPr>
    </w:p>
    <w:p w:rsidR="003C7518" w:rsidRPr="008349AA" w:rsidRDefault="003C7518" w:rsidP="00F87C74">
      <w:pPr>
        <w:pStyle w:val="NoSpacing"/>
        <w:rPr>
          <w:rFonts w:ascii="Times New Roman" w:hAnsi="Times New Roman"/>
          <w:b/>
        </w:rPr>
      </w:pPr>
    </w:p>
    <w:p w:rsidR="003C7518" w:rsidRPr="006200CF" w:rsidRDefault="003C7518" w:rsidP="00F87C74">
      <w:pPr>
        <w:pStyle w:val="NoSpacing"/>
        <w:rPr>
          <w:rFonts w:ascii="Times New Roman" w:hAnsi="Times New Roman"/>
          <w:b/>
        </w:rPr>
      </w:pPr>
      <w:r w:rsidRPr="006200CF">
        <w:rPr>
          <w:rFonts w:ascii="Times New Roman" w:hAnsi="Times New Roman"/>
          <w:b/>
        </w:rPr>
        <w:t>6. ΦΑΡΜΑΚΕΥΤΙΚΕΣ ΠΛΗΡΟΦΟΡΙΕΣ</w:t>
      </w:r>
    </w:p>
    <w:p w:rsidR="003C7518" w:rsidRPr="008349AA" w:rsidRDefault="003C7518" w:rsidP="00F32EB8">
      <w:pPr>
        <w:pStyle w:val="NoSpacing"/>
        <w:ind w:left="720"/>
        <w:rPr>
          <w:rFonts w:ascii="Times New Roman" w:hAnsi="Times New Roman"/>
          <w:b/>
        </w:rPr>
      </w:pPr>
    </w:p>
    <w:p w:rsidR="003C7518" w:rsidRPr="008349AA" w:rsidRDefault="003C7518" w:rsidP="00F32EB8">
      <w:pPr>
        <w:pStyle w:val="NoSpacing"/>
        <w:rPr>
          <w:rFonts w:ascii="Times New Roman" w:hAnsi="Times New Roman"/>
          <w:b/>
        </w:rPr>
      </w:pPr>
      <w:r w:rsidRPr="008349AA">
        <w:rPr>
          <w:rFonts w:ascii="Times New Roman" w:hAnsi="Times New Roman"/>
          <w:b/>
        </w:rPr>
        <w:t>6.1</w:t>
      </w:r>
      <w:r w:rsidRPr="008349AA">
        <w:rPr>
          <w:rFonts w:ascii="Times New Roman" w:hAnsi="Times New Roman"/>
          <w:b/>
        </w:rPr>
        <w:tab/>
        <w:t xml:space="preserve"> </w:t>
      </w:r>
      <w:r w:rsidRPr="00F32EB8">
        <w:rPr>
          <w:rFonts w:ascii="Times New Roman" w:hAnsi="Times New Roman"/>
          <w:b/>
        </w:rPr>
        <w:t>Κατάλογος</w:t>
      </w:r>
      <w:r w:rsidRPr="008349AA">
        <w:rPr>
          <w:rFonts w:ascii="Times New Roman" w:hAnsi="Times New Roman"/>
          <w:b/>
        </w:rPr>
        <w:t xml:space="preserve"> </w:t>
      </w:r>
      <w:r w:rsidRPr="00F32EB8">
        <w:rPr>
          <w:rFonts w:ascii="Times New Roman" w:hAnsi="Times New Roman"/>
          <w:b/>
        </w:rPr>
        <w:t>εκδόχων</w:t>
      </w:r>
    </w:p>
    <w:p w:rsidR="003C7518" w:rsidRPr="008349AA" w:rsidRDefault="003C7518" w:rsidP="009752C7">
      <w:pPr>
        <w:spacing w:after="0" w:line="240" w:lineRule="auto"/>
        <w:rPr>
          <w:rFonts w:ascii="Times New Roman" w:hAnsi="Times New Roman"/>
          <w:bCs/>
          <w:u w:val="single"/>
        </w:rPr>
      </w:pPr>
      <w:r w:rsidRPr="008349AA">
        <w:rPr>
          <w:rFonts w:ascii="Times New Roman" w:hAnsi="Times New Roman"/>
          <w:bCs/>
        </w:rPr>
        <w:t xml:space="preserve">  </w:t>
      </w:r>
      <w:r w:rsidRPr="008349AA">
        <w:rPr>
          <w:rFonts w:ascii="Times New Roman" w:hAnsi="Times New Roman"/>
          <w:bCs/>
          <w:u w:val="single"/>
        </w:rPr>
        <w:t xml:space="preserve">    </w:t>
      </w:r>
    </w:p>
    <w:p w:rsidR="003C7518" w:rsidRPr="00A96B23" w:rsidRDefault="003C7518" w:rsidP="00A836B4">
      <w:pPr>
        <w:tabs>
          <w:tab w:val="left" w:pos="5105"/>
        </w:tabs>
        <w:spacing w:after="0" w:line="240" w:lineRule="auto"/>
        <w:rPr>
          <w:rFonts w:ascii="Times New Roman" w:hAnsi="Times New Roman"/>
          <w:sz w:val="20"/>
          <w:szCs w:val="20"/>
        </w:rPr>
      </w:pPr>
      <w:r w:rsidRPr="00760F64">
        <w:rPr>
          <w:rFonts w:ascii="Times New Roman" w:hAnsi="Times New Roman"/>
          <w:sz w:val="20"/>
          <w:szCs w:val="20"/>
          <w:lang w:val="en-GB"/>
        </w:rPr>
        <w:t>MANNITOL</w:t>
      </w:r>
      <w:r w:rsidRPr="00A96B23">
        <w:rPr>
          <w:rFonts w:ascii="Times New Roman" w:hAnsi="Times New Roman"/>
          <w:sz w:val="20"/>
          <w:szCs w:val="20"/>
        </w:rPr>
        <w:t xml:space="preserve"> (</w:t>
      </w:r>
      <w:r w:rsidRPr="00760F64">
        <w:rPr>
          <w:rFonts w:ascii="Times New Roman" w:hAnsi="Times New Roman"/>
          <w:sz w:val="20"/>
          <w:szCs w:val="20"/>
          <w:lang w:val="en-GB"/>
        </w:rPr>
        <w:t>PEARLITOL</w:t>
      </w:r>
      <w:r w:rsidRPr="00A96B23">
        <w:rPr>
          <w:rFonts w:ascii="Times New Roman" w:hAnsi="Times New Roman"/>
          <w:sz w:val="20"/>
          <w:szCs w:val="20"/>
        </w:rPr>
        <w:t xml:space="preserve"> </w:t>
      </w:r>
      <w:smartTag w:uri="urn:schemas-microsoft-com:office:smarttags" w:element="metricconverter">
        <w:smartTagPr>
          <w:attr w:name="ProductID" w:val="160 C"/>
        </w:smartTagPr>
        <w:r w:rsidRPr="00A96B23">
          <w:rPr>
            <w:rFonts w:ascii="Times New Roman" w:hAnsi="Times New Roman"/>
            <w:sz w:val="20"/>
            <w:szCs w:val="20"/>
          </w:rPr>
          <w:t xml:space="preserve">160 </w:t>
        </w:r>
        <w:r w:rsidRPr="00760F64">
          <w:rPr>
            <w:rFonts w:ascii="Times New Roman" w:hAnsi="Times New Roman"/>
            <w:sz w:val="20"/>
            <w:szCs w:val="20"/>
            <w:lang w:val="en-GB"/>
          </w:rPr>
          <w:t>C</w:t>
        </w:r>
      </w:smartTag>
      <w:r w:rsidRPr="00A96B23">
        <w:rPr>
          <w:rFonts w:ascii="Times New Roman" w:hAnsi="Times New Roman"/>
          <w:sz w:val="20"/>
          <w:szCs w:val="20"/>
        </w:rPr>
        <w:t xml:space="preserve"> </w:t>
      </w:r>
      <w:r w:rsidRPr="00760F64">
        <w:rPr>
          <w:rFonts w:ascii="Times New Roman" w:hAnsi="Times New Roman"/>
          <w:sz w:val="20"/>
          <w:szCs w:val="20"/>
          <w:lang w:val="en-GB"/>
        </w:rPr>
        <w:t>OR</w:t>
      </w:r>
      <w:r w:rsidRPr="00A96B23">
        <w:rPr>
          <w:rFonts w:ascii="Times New Roman" w:hAnsi="Times New Roman"/>
          <w:sz w:val="20"/>
          <w:szCs w:val="20"/>
        </w:rPr>
        <w:t xml:space="preserve"> </w:t>
      </w:r>
      <w:r w:rsidRPr="00760F64">
        <w:rPr>
          <w:rFonts w:ascii="Times New Roman" w:hAnsi="Times New Roman"/>
          <w:sz w:val="20"/>
          <w:szCs w:val="20"/>
          <w:lang w:val="en-GB"/>
        </w:rPr>
        <w:t>EQUIVALENT</w:t>
      </w:r>
      <w:r w:rsidRPr="00A96B23">
        <w:rPr>
          <w:rFonts w:ascii="Times New Roman" w:hAnsi="Times New Roman"/>
          <w:sz w:val="20"/>
          <w:szCs w:val="20"/>
        </w:rPr>
        <w:t xml:space="preserve">)                                                                 </w:t>
      </w:r>
    </w:p>
    <w:p w:rsidR="003C7518" w:rsidRPr="00760F64" w:rsidRDefault="003C7518" w:rsidP="00A836B4">
      <w:pPr>
        <w:spacing w:after="0" w:line="240" w:lineRule="auto"/>
        <w:rPr>
          <w:rFonts w:ascii="Times New Roman" w:hAnsi="Times New Roman"/>
          <w:sz w:val="20"/>
          <w:szCs w:val="20"/>
          <w:lang w:val="en-GB"/>
        </w:rPr>
      </w:pPr>
      <w:r w:rsidRPr="00760F64">
        <w:rPr>
          <w:rFonts w:ascii="Times New Roman" w:hAnsi="Times New Roman"/>
          <w:sz w:val="20"/>
          <w:szCs w:val="20"/>
          <w:lang w:val="en-GB"/>
        </w:rPr>
        <w:t xml:space="preserve">SODIUM CARBONATE ANHYDROUS                                 </w:t>
      </w:r>
    </w:p>
    <w:p w:rsidR="003C7518" w:rsidRPr="00760F64" w:rsidRDefault="003C7518" w:rsidP="00A836B4">
      <w:pPr>
        <w:spacing w:after="0" w:line="240" w:lineRule="auto"/>
        <w:rPr>
          <w:rFonts w:ascii="Times New Roman" w:hAnsi="Times New Roman"/>
          <w:sz w:val="20"/>
          <w:szCs w:val="20"/>
          <w:lang w:val="en-GB"/>
        </w:rPr>
      </w:pPr>
      <w:r w:rsidRPr="00760F64">
        <w:rPr>
          <w:rFonts w:ascii="Times New Roman" w:hAnsi="Times New Roman"/>
          <w:sz w:val="20"/>
          <w:szCs w:val="20"/>
          <w:lang w:val="en-GB"/>
        </w:rPr>
        <w:t>SODIUM STARCH GLYCOLATE(PRIMOJEL OR EQU</w:t>
      </w:r>
      <w:r>
        <w:rPr>
          <w:rFonts w:ascii="Times New Roman" w:hAnsi="Times New Roman"/>
          <w:sz w:val="20"/>
          <w:szCs w:val="20"/>
          <w:lang w:val="en-GB"/>
        </w:rPr>
        <w:t>I</w:t>
      </w:r>
      <w:r w:rsidRPr="00760F64">
        <w:rPr>
          <w:rFonts w:ascii="Times New Roman" w:hAnsi="Times New Roman"/>
          <w:sz w:val="20"/>
          <w:szCs w:val="20"/>
          <w:lang w:val="en-GB"/>
        </w:rPr>
        <w:t xml:space="preserve">VALENT)                                 </w:t>
      </w:r>
    </w:p>
    <w:p w:rsidR="003C7518" w:rsidRPr="00760F64" w:rsidRDefault="003C7518" w:rsidP="00A836B4">
      <w:pPr>
        <w:spacing w:after="0" w:line="240" w:lineRule="auto"/>
        <w:rPr>
          <w:rFonts w:ascii="Times New Roman" w:hAnsi="Times New Roman"/>
          <w:sz w:val="20"/>
          <w:szCs w:val="20"/>
          <w:lang w:val="en-GB"/>
        </w:rPr>
      </w:pPr>
      <w:r w:rsidRPr="00760F64">
        <w:rPr>
          <w:rFonts w:ascii="Times New Roman" w:hAnsi="Times New Roman"/>
          <w:sz w:val="20"/>
          <w:szCs w:val="20"/>
          <w:lang w:val="en-GB"/>
        </w:rPr>
        <w:tab/>
      </w:r>
    </w:p>
    <w:p w:rsidR="003C7518" w:rsidRPr="00760F64" w:rsidRDefault="003C7518" w:rsidP="00A836B4">
      <w:pPr>
        <w:spacing w:after="0" w:line="240" w:lineRule="auto"/>
        <w:rPr>
          <w:rFonts w:ascii="Times New Roman" w:hAnsi="Times New Roman"/>
          <w:sz w:val="20"/>
          <w:szCs w:val="20"/>
          <w:lang w:val="en-GB"/>
        </w:rPr>
      </w:pPr>
      <w:r w:rsidRPr="00760F64">
        <w:rPr>
          <w:rFonts w:ascii="Times New Roman" w:hAnsi="Times New Roman"/>
          <w:sz w:val="20"/>
          <w:szCs w:val="20"/>
          <w:lang w:val="en-GB"/>
        </w:rPr>
        <w:t xml:space="preserve">METHACRYLIC ACID COPOLYMER  (EUDRAGIT E PO OR EQUIVALENT)                            </w:t>
      </w:r>
    </w:p>
    <w:p w:rsidR="003C7518" w:rsidRPr="00760F64" w:rsidRDefault="003C7518" w:rsidP="00A836B4">
      <w:pPr>
        <w:spacing w:after="0" w:line="240" w:lineRule="auto"/>
        <w:rPr>
          <w:rFonts w:ascii="Times New Roman" w:hAnsi="Times New Roman"/>
          <w:sz w:val="20"/>
          <w:szCs w:val="20"/>
          <w:lang w:val="en-GB"/>
        </w:rPr>
      </w:pPr>
      <w:r w:rsidRPr="00760F64">
        <w:rPr>
          <w:rFonts w:ascii="Times New Roman" w:hAnsi="Times New Roman"/>
          <w:sz w:val="20"/>
          <w:szCs w:val="20"/>
          <w:lang w:val="en-GB"/>
        </w:rPr>
        <w:t xml:space="preserve">CALCIUM STEARATE                                                            </w:t>
      </w:r>
    </w:p>
    <w:p w:rsidR="003C7518" w:rsidRPr="00760F64" w:rsidRDefault="003C7518" w:rsidP="00A836B4">
      <w:pPr>
        <w:spacing w:after="0" w:line="240" w:lineRule="auto"/>
        <w:rPr>
          <w:rFonts w:ascii="Times New Roman" w:hAnsi="Times New Roman"/>
          <w:sz w:val="20"/>
          <w:szCs w:val="20"/>
          <w:lang w:val="en-GB"/>
        </w:rPr>
      </w:pPr>
      <w:r w:rsidRPr="00760F64">
        <w:rPr>
          <w:rFonts w:ascii="Times New Roman" w:hAnsi="Times New Roman"/>
          <w:sz w:val="20"/>
          <w:szCs w:val="20"/>
          <w:lang w:val="en-GB"/>
        </w:rPr>
        <w:t xml:space="preserve">HYPROMELLOSE 3cP                                                           </w:t>
      </w:r>
    </w:p>
    <w:p w:rsidR="003C7518" w:rsidRPr="00760F64" w:rsidRDefault="003C7518" w:rsidP="00A836B4">
      <w:pPr>
        <w:spacing w:after="0" w:line="240" w:lineRule="auto"/>
        <w:rPr>
          <w:rFonts w:ascii="Times New Roman" w:hAnsi="Times New Roman"/>
          <w:sz w:val="20"/>
          <w:szCs w:val="20"/>
          <w:lang w:val="en-GB"/>
        </w:rPr>
      </w:pPr>
      <w:r w:rsidRPr="00760F64">
        <w:rPr>
          <w:rFonts w:ascii="Times New Roman" w:hAnsi="Times New Roman"/>
          <w:sz w:val="20"/>
          <w:szCs w:val="20"/>
          <w:lang w:val="en-GB"/>
        </w:rPr>
        <w:t xml:space="preserve">TITANIUM DIOXIDE                                                               </w:t>
      </w:r>
    </w:p>
    <w:p w:rsidR="003C7518" w:rsidRPr="00760F64" w:rsidRDefault="003C7518" w:rsidP="00A836B4">
      <w:pPr>
        <w:spacing w:after="0" w:line="240" w:lineRule="auto"/>
        <w:rPr>
          <w:rFonts w:ascii="Times New Roman" w:hAnsi="Times New Roman"/>
          <w:sz w:val="20"/>
          <w:szCs w:val="20"/>
          <w:lang w:val="en-GB"/>
        </w:rPr>
      </w:pPr>
      <w:r w:rsidRPr="00760F64">
        <w:rPr>
          <w:rFonts w:ascii="Times New Roman" w:hAnsi="Times New Roman"/>
          <w:sz w:val="20"/>
          <w:szCs w:val="20"/>
          <w:lang w:val="en-GB"/>
        </w:rPr>
        <w:t xml:space="preserve">TALC                                                                                       </w:t>
      </w:r>
    </w:p>
    <w:p w:rsidR="003C7518" w:rsidRPr="00760F64" w:rsidRDefault="003C7518" w:rsidP="00A836B4">
      <w:pPr>
        <w:spacing w:after="0" w:line="240" w:lineRule="auto"/>
        <w:rPr>
          <w:rFonts w:ascii="Times New Roman" w:hAnsi="Times New Roman"/>
          <w:sz w:val="20"/>
          <w:szCs w:val="20"/>
          <w:lang w:val="en-GB"/>
        </w:rPr>
      </w:pPr>
      <w:r w:rsidRPr="00760F64">
        <w:rPr>
          <w:rFonts w:ascii="Times New Roman" w:hAnsi="Times New Roman"/>
          <w:sz w:val="20"/>
          <w:szCs w:val="20"/>
          <w:lang w:val="en-GB"/>
        </w:rPr>
        <w:t xml:space="preserve">MACROGOL / PEG 400                                                          </w:t>
      </w:r>
    </w:p>
    <w:p w:rsidR="003C7518" w:rsidRPr="00760F64" w:rsidRDefault="003C7518" w:rsidP="00A836B4">
      <w:pPr>
        <w:spacing w:after="0" w:line="240" w:lineRule="auto"/>
        <w:rPr>
          <w:rFonts w:ascii="Times New Roman" w:hAnsi="Times New Roman"/>
          <w:sz w:val="20"/>
          <w:szCs w:val="20"/>
          <w:lang w:val="en-GB"/>
        </w:rPr>
      </w:pPr>
      <w:r w:rsidRPr="00760F64">
        <w:rPr>
          <w:rFonts w:ascii="Times New Roman" w:hAnsi="Times New Roman"/>
          <w:sz w:val="20"/>
          <w:szCs w:val="20"/>
          <w:lang w:val="en-GB"/>
        </w:rPr>
        <w:t xml:space="preserve">SODIUM LAURYL SULFATE                                              </w:t>
      </w:r>
    </w:p>
    <w:p w:rsidR="003C7518" w:rsidRPr="00760F64" w:rsidRDefault="003C7518" w:rsidP="00A836B4">
      <w:pPr>
        <w:spacing w:after="0" w:line="240" w:lineRule="auto"/>
        <w:rPr>
          <w:rFonts w:ascii="Times New Roman" w:hAnsi="Times New Roman"/>
          <w:sz w:val="20"/>
          <w:szCs w:val="20"/>
          <w:lang w:val="en-GB"/>
        </w:rPr>
      </w:pPr>
      <w:r w:rsidRPr="00760F64">
        <w:rPr>
          <w:rFonts w:ascii="Times New Roman" w:hAnsi="Times New Roman"/>
          <w:sz w:val="20"/>
          <w:szCs w:val="20"/>
          <w:lang w:val="en-GB"/>
        </w:rPr>
        <w:t xml:space="preserve">METHACRYLIC ACID- ETHYL ACRYLATE COPOLYMER </w:t>
      </w:r>
      <w:r>
        <w:rPr>
          <w:rFonts w:ascii="Times New Roman" w:hAnsi="Times New Roman"/>
          <w:sz w:val="20"/>
          <w:szCs w:val="20"/>
          <w:lang w:val="en-GB"/>
        </w:rPr>
        <w:t>DISPERSION 30% (KOLLICOAT MAE 30 DP OR EQUIVALENT)</w:t>
      </w:r>
      <w:r w:rsidRPr="00760F64">
        <w:rPr>
          <w:rFonts w:ascii="Times New Roman" w:hAnsi="Times New Roman"/>
          <w:sz w:val="20"/>
          <w:szCs w:val="20"/>
          <w:lang w:val="en-GB"/>
        </w:rPr>
        <w:t xml:space="preserve">                                    </w:t>
      </w:r>
    </w:p>
    <w:p w:rsidR="003C7518" w:rsidRPr="00760F64" w:rsidRDefault="003C7518" w:rsidP="00A836B4">
      <w:pPr>
        <w:spacing w:after="0" w:line="240" w:lineRule="auto"/>
        <w:rPr>
          <w:rFonts w:ascii="Times New Roman" w:hAnsi="Times New Roman"/>
          <w:sz w:val="20"/>
          <w:szCs w:val="20"/>
          <w:lang w:val="en-GB"/>
        </w:rPr>
      </w:pPr>
      <w:r w:rsidRPr="00760F64">
        <w:rPr>
          <w:rFonts w:ascii="Times New Roman" w:hAnsi="Times New Roman"/>
          <w:sz w:val="20"/>
          <w:szCs w:val="20"/>
          <w:lang w:val="en-GB"/>
        </w:rPr>
        <w:t xml:space="preserve">PROPYLENE GLYCOL                                                          </w:t>
      </w:r>
    </w:p>
    <w:p w:rsidR="003C7518" w:rsidRPr="00760F64" w:rsidRDefault="003C7518" w:rsidP="00A836B4">
      <w:pPr>
        <w:spacing w:after="0" w:line="240" w:lineRule="auto"/>
        <w:rPr>
          <w:rFonts w:ascii="Times New Roman" w:hAnsi="Times New Roman"/>
          <w:sz w:val="20"/>
          <w:szCs w:val="20"/>
          <w:lang w:val="en-GB"/>
        </w:rPr>
      </w:pPr>
      <w:r w:rsidRPr="00760F64">
        <w:rPr>
          <w:rFonts w:ascii="Times New Roman" w:hAnsi="Times New Roman"/>
          <w:sz w:val="20"/>
          <w:szCs w:val="20"/>
          <w:lang w:val="en-GB"/>
        </w:rPr>
        <w:t xml:space="preserve">YELLOW IRON OXIDE                                                            </w:t>
      </w:r>
    </w:p>
    <w:p w:rsidR="003C7518" w:rsidRPr="00760F64" w:rsidRDefault="003C7518" w:rsidP="00A836B4">
      <w:pPr>
        <w:spacing w:after="0" w:line="240" w:lineRule="auto"/>
        <w:rPr>
          <w:rFonts w:ascii="Times New Roman" w:hAnsi="Times New Roman"/>
          <w:sz w:val="20"/>
          <w:szCs w:val="20"/>
          <w:lang w:val="en-GB"/>
        </w:rPr>
      </w:pPr>
      <w:r w:rsidRPr="00760F64">
        <w:rPr>
          <w:rFonts w:ascii="Times New Roman" w:hAnsi="Times New Roman"/>
          <w:sz w:val="20"/>
          <w:szCs w:val="20"/>
          <w:lang w:val="en-GB"/>
        </w:rPr>
        <w:t xml:space="preserve">TITANIUM </w:t>
      </w:r>
      <w:r>
        <w:rPr>
          <w:rFonts w:ascii="Times New Roman" w:hAnsi="Times New Roman"/>
          <w:sz w:val="20"/>
          <w:szCs w:val="20"/>
          <w:lang w:val="en-GB"/>
        </w:rPr>
        <w:t>DI</w:t>
      </w:r>
      <w:r w:rsidRPr="00760F64">
        <w:rPr>
          <w:rFonts w:ascii="Times New Roman" w:hAnsi="Times New Roman"/>
          <w:sz w:val="20"/>
          <w:szCs w:val="20"/>
          <w:lang w:val="en-GB"/>
        </w:rPr>
        <w:t xml:space="preserve">OXIDE                                                                    </w:t>
      </w:r>
    </w:p>
    <w:p w:rsidR="003C7518" w:rsidRPr="0044757A" w:rsidRDefault="003C7518" w:rsidP="009752C7">
      <w:pPr>
        <w:spacing w:after="0" w:line="240" w:lineRule="auto"/>
        <w:rPr>
          <w:rFonts w:ascii="Times New Roman" w:hAnsi="Times New Roman"/>
          <w:lang w:val="en-US"/>
        </w:rPr>
      </w:pPr>
    </w:p>
    <w:p w:rsidR="003C7518" w:rsidRPr="00F32EB8" w:rsidRDefault="003C7518" w:rsidP="009752C7">
      <w:pPr>
        <w:spacing w:after="0" w:line="240" w:lineRule="auto"/>
        <w:rPr>
          <w:rFonts w:ascii="Times New Roman" w:hAnsi="Times New Roman"/>
          <w:lang w:val="en-GB"/>
        </w:rPr>
      </w:pPr>
      <w:r w:rsidRPr="00F32EB8">
        <w:rPr>
          <w:rFonts w:ascii="Times New Roman" w:hAnsi="Times New Roman"/>
          <w:lang w:val="en-GB"/>
        </w:rPr>
        <w:t xml:space="preserve">                                                                    </w:t>
      </w:r>
    </w:p>
    <w:p w:rsidR="003C7518" w:rsidRPr="00F32EB8" w:rsidRDefault="003C7518" w:rsidP="00F32EB8">
      <w:pPr>
        <w:pStyle w:val="NoSpacing"/>
        <w:rPr>
          <w:rFonts w:ascii="Times New Roman" w:hAnsi="Times New Roman"/>
          <w:b/>
        </w:rPr>
      </w:pPr>
      <w:r w:rsidRPr="00F32EB8">
        <w:rPr>
          <w:rFonts w:ascii="Times New Roman" w:hAnsi="Times New Roman"/>
          <w:b/>
        </w:rPr>
        <w:t>6.2</w:t>
      </w:r>
      <w:r w:rsidRPr="00F32EB8">
        <w:rPr>
          <w:rFonts w:ascii="Times New Roman" w:hAnsi="Times New Roman"/>
          <w:b/>
        </w:rPr>
        <w:tab/>
        <w:t xml:space="preserve"> Ασυμβατότητες</w:t>
      </w:r>
    </w:p>
    <w:p w:rsidR="003C7518" w:rsidRPr="00F32EB8" w:rsidRDefault="003C7518" w:rsidP="00F32EB8">
      <w:pPr>
        <w:pStyle w:val="NoSpacing"/>
        <w:rPr>
          <w:rFonts w:ascii="Times New Roman" w:hAnsi="Times New Roman"/>
        </w:rPr>
      </w:pPr>
    </w:p>
    <w:p w:rsidR="003C7518" w:rsidRPr="00F32EB8" w:rsidRDefault="003C7518" w:rsidP="00F32EB8">
      <w:pPr>
        <w:pStyle w:val="NoSpacing"/>
        <w:rPr>
          <w:rFonts w:ascii="Times New Roman" w:hAnsi="Times New Roman"/>
        </w:rPr>
      </w:pPr>
      <w:r w:rsidRPr="00F32EB8">
        <w:rPr>
          <w:rFonts w:ascii="Times New Roman" w:hAnsi="Times New Roman"/>
        </w:rPr>
        <w:t>Δεν εφαρμόζεται.</w:t>
      </w:r>
    </w:p>
    <w:p w:rsidR="003C7518" w:rsidRPr="00F32EB8" w:rsidRDefault="003C7518" w:rsidP="00F32EB8">
      <w:pPr>
        <w:pStyle w:val="NoSpacing"/>
        <w:rPr>
          <w:rFonts w:ascii="Times New Roman" w:hAnsi="Times New Roman"/>
        </w:rPr>
      </w:pPr>
    </w:p>
    <w:p w:rsidR="003C7518" w:rsidRPr="00F32EB8" w:rsidRDefault="003C7518" w:rsidP="00F32EB8">
      <w:pPr>
        <w:pStyle w:val="NoSpacing"/>
        <w:rPr>
          <w:rFonts w:ascii="Times New Roman" w:hAnsi="Times New Roman"/>
          <w:b/>
        </w:rPr>
      </w:pPr>
      <w:r w:rsidRPr="00F32EB8">
        <w:rPr>
          <w:rFonts w:ascii="Times New Roman" w:hAnsi="Times New Roman"/>
          <w:b/>
        </w:rPr>
        <w:t>6.3 Διάρκεια ζωής</w:t>
      </w:r>
    </w:p>
    <w:p w:rsidR="003C7518" w:rsidRPr="00F32EB8" w:rsidRDefault="003C7518" w:rsidP="00F32EB8">
      <w:pPr>
        <w:pStyle w:val="NoSpacing"/>
        <w:rPr>
          <w:rFonts w:ascii="Times New Roman" w:hAnsi="Times New Roman"/>
        </w:rPr>
      </w:pPr>
    </w:p>
    <w:p w:rsidR="003C7518" w:rsidRPr="00F32EB8" w:rsidRDefault="003C7518" w:rsidP="00F32EB8">
      <w:pPr>
        <w:pStyle w:val="NoSpacing"/>
        <w:rPr>
          <w:rFonts w:ascii="Times New Roman" w:hAnsi="Times New Roman"/>
        </w:rPr>
      </w:pPr>
      <w:r w:rsidRPr="00D100F8">
        <w:rPr>
          <w:rFonts w:ascii="Times New Roman" w:hAnsi="Times New Roman"/>
        </w:rPr>
        <w:t>2</w:t>
      </w:r>
      <w:r w:rsidRPr="00F32EB8">
        <w:rPr>
          <w:rFonts w:ascii="Times New Roman" w:hAnsi="Times New Roman"/>
        </w:rPr>
        <w:t xml:space="preserve"> χρόνια.</w:t>
      </w:r>
    </w:p>
    <w:p w:rsidR="003C7518" w:rsidRPr="00F32EB8" w:rsidRDefault="003C7518" w:rsidP="00F32EB8">
      <w:pPr>
        <w:pStyle w:val="NoSpacing"/>
        <w:rPr>
          <w:rFonts w:ascii="Times New Roman" w:hAnsi="Times New Roman"/>
        </w:rPr>
      </w:pPr>
    </w:p>
    <w:p w:rsidR="003C7518" w:rsidRPr="00F32EB8" w:rsidRDefault="003C7518" w:rsidP="00F32EB8">
      <w:pPr>
        <w:pStyle w:val="NoSpacing"/>
        <w:rPr>
          <w:rFonts w:ascii="Times New Roman" w:hAnsi="Times New Roman"/>
          <w:b/>
        </w:rPr>
      </w:pPr>
      <w:r w:rsidRPr="00F32EB8">
        <w:rPr>
          <w:rFonts w:ascii="Times New Roman" w:hAnsi="Times New Roman"/>
          <w:b/>
        </w:rPr>
        <w:t xml:space="preserve">6.4 </w:t>
      </w:r>
      <w:r w:rsidRPr="00F32EB8">
        <w:rPr>
          <w:rFonts w:ascii="Times New Roman" w:hAnsi="Times New Roman"/>
          <w:b/>
        </w:rPr>
        <w:tab/>
        <w:t>Ιδιαίτερες προφυλάξεις κατά την φύλαξη του προϊόντος</w:t>
      </w:r>
    </w:p>
    <w:p w:rsidR="003C7518" w:rsidRPr="00F32EB8" w:rsidRDefault="003C7518" w:rsidP="00F32EB8">
      <w:pPr>
        <w:pStyle w:val="NoSpacing"/>
        <w:rPr>
          <w:rFonts w:ascii="Times New Roman" w:hAnsi="Times New Roman"/>
        </w:rPr>
      </w:pPr>
    </w:p>
    <w:p w:rsidR="003C7518" w:rsidRPr="00F32EB8" w:rsidRDefault="003C7518" w:rsidP="00F32EB8">
      <w:pPr>
        <w:pStyle w:val="NoSpacing"/>
        <w:rPr>
          <w:rFonts w:ascii="Times New Roman" w:hAnsi="Times New Roman"/>
        </w:rPr>
      </w:pPr>
      <w:r w:rsidRPr="00F32EB8">
        <w:rPr>
          <w:rFonts w:ascii="Times New Roman" w:hAnsi="Times New Roman"/>
        </w:rPr>
        <w:t>Δεν υπάρχουν ειδικές οδηγίες διατήρησης για το προϊόν αυτό.</w:t>
      </w:r>
    </w:p>
    <w:p w:rsidR="003C7518" w:rsidRPr="00F32EB8" w:rsidRDefault="003C7518" w:rsidP="00F32EB8">
      <w:pPr>
        <w:pStyle w:val="NoSpacing"/>
        <w:rPr>
          <w:rFonts w:ascii="Times New Roman" w:hAnsi="Times New Roman"/>
        </w:rPr>
      </w:pPr>
    </w:p>
    <w:p w:rsidR="003C7518" w:rsidRPr="00F32EB8" w:rsidRDefault="003C7518" w:rsidP="00F32EB8">
      <w:pPr>
        <w:pStyle w:val="NoSpacing"/>
        <w:rPr>
          <w:rFonts w:ascii="Times New Roman" w:hAnsi="Times New Roman"/>
          <w:b/>
        </w:rPr>
      </w:pPr>
      <w:r w:rsidRPr="00F32EB8">
        <w:rPr>
          <w:rFonts w:ascii="Times New Roman" w:hAnsi="Times New Roman"/>
          <w:b/>
        </w:rPr>
        <w:t xml:space="preserve">6.5 </w:t>
      </w:r>
      <w:r w:rsidRPr="00F32EB8">
        <w:rPr>
          <w:rFonts w:ascii="Times New Roman" w:hAnsi="Times New Roman"/>
          <w:b/>
        </w:rPr>
        <w:tab/>
        <w:t>Φύση και συστατικά του περιέκτη</w:t>
      </w:r>
    </w:p>
    <w:p w:rsidR="003C7518" w:rsidRPr="00F32EB8" w:rsidRDefault="003C7518" w:rsidP="00F32EB8">
      <w:pPr>
        <w:pStyle w:val="NoSpacing"/>
        <w:rPr>
          <w:rFonts w:ascii="Times New Roman" w:hAnsi="Times New Roman"/>
        </w:rPr>
      </w:pPr>
    </w:p>
    <w:p w:rsidR="003C7518" w:rsidRPr="00F32EB8" w:rsidRDefault="003C7518" w:rsidP="00F32EB8">
      <w:pPr>
        <w:spacing w:line="360" w:lineRule="auto"/>
        <w:jc w:val="both"/>
        <w:rPr>
          <w:rFonts w:ascii="Times New Roman" w:hAnsi="Times New Roman"/>
        </w:rPr>
      </w:pPr>
      <w:r w:rsidRPr="00F32EB8">
        <w:rPr>
          <w:rFonts w:ascii="Times New Roman" w:hAnsi="Times New Roman"/>
        </w:rPr>
        <w:t xml:space="preserve">Το </w:t>
      </w:r>
      <w:r w:rsidRPr="00F32EB8">
        <w:rPr>
          <w:rFonts w:ascii="Times New Roman" w:hAnsi="Times New Roman"/>
          <w:lang w:val="en-US"/>
        </w:rPr>
        <w:t>PRONZEK</w:t>
      </w:r>
      <w:r w:rsidRPr="00F32EB8">
        <w:rPr>
          <w:rFonts w:ascii="Times New Roman" w:hAnsi="Times New Roman"/>
        </w:rPr>
        <w:t xml:space="preserve"> διανέμεται σε φιαλίδια </w:t>
      </w:r>
      <w:r w:rsidRPr="00F32EB8">
        <w:rPr>
          <w:rFonts w:ascii="Times New Roman" w:hAnsi="Times New Roman"/>
          <w:lang w:val="en-US"/>
        </w:rPr>
        <w:t>PE</w:t>
      </w:r>
      <w:r w:rsidRPr="00F32EB8">
        <w:rPr>
          <w:rFonts w:ascii="Times New Roman" w:hAnsi="Times New Roman"/>
        </w:rPr>
        <w:t xml:space="preserve"> ή </w:t>
      </w:r>
      <w:r w:rsidRPr="00F32EB8">
        <w:rPr>
          <w:rFonts w:ascii="Times New Roman" w:hAnsi="Times New Roman"/>
          <w:lang w:val="en-US"/>
        </w:rPr>
        <w:t>ALU</w:t>
      </w:r>
      <w:r w:rsidRPr="00F32EB8">
        <w:rPr>
          <w:rFonts w:ascii="Times New Roman" w:hAnsi="Times New Roman"/>
        </w:rPr>
        <w:t>/</w:t>
      </w:r>
      <w:r w:rsidRPr="00F32EB8">
        <w:rPr>
          <w:rFonts w:ascii="Times New Roman" w:hAnsi="Times New Roman"/>
          <w:lang w:val="en-US"/>
        </w:rPr>
        <w:t>ALU</w:t>
      </w:r>
      <w:r w:rsidRPr="00F32EB8">
        <w:rPr>
          <w:rFonts w:ascii="Times New Roman" w:hAnsi="Times New Roman"/>
        </w:rPr>
        <w:t xml:space="preserve"> </w:t>
      </w:r>
      <w:r w:rsidRPr="00F32EB8">
        <w:rPr>
          <w:rFonts w:ascii="Times New Roman" w:hAnsi="Times New Roman"/>
          <w:lang w:val="en-US"/>
        </w:rPr>
        <w:t>Blisters</w:t>
      </w:r>
      <w:r w:rsidRPr="00F32EB8">
        <w:rPr>
          <w:rFonts w:ascii="Times New Roman" w:hAnsi="Times New Roman"/>
        </w:rPr>
        <w:t xml:space="preserve"> </w:t>
      </w:r>
      <w:bookmarkStart w:id="0" w:name="_GoBack"/>
      <w:bookmarkEnd w:id="0"/>
      <w:r w:rsidRPr="00F32EB8">
        <w:rPr>
          <w:rFonts w:ascii="Times New Roman" w:hAnsi="Times New Roman"/>
        </w:rPr>
        <w:t>, συσκευασμένα σε κουτιά</w:t>
      </w:r>
      <w:r>
        <w:rPr>
          <w:rFonts w:ascii="Times New Roman" w:hAnsi="Times New Roman"/>
        </w:rPr>
        <w:t>,</w:t>
      </w:r>
      <w:r w:rsidRPr="00F32EB8">
        <w:rPr>
          <w:rFonts w:ascii="Times New Roman" w:hAnsi="Times New Roman"/>
        </w:rPr>
        <w:t xml:space="preserve"> </w:t>
      </w:r>
      <w:r w:rsidRPr="00F32EB8">
        <w:rPr>
          <w:rFonts w:ascii="Times New Roman" w:hAnsi="Times New Roman"/>
          <w:lang w:val="en-US"/>
        </w:rPr>
        <w:t>Bt</w:t>
      </w:r>
      <w:r w:rsidRPr="00F32EB8">
        <w:rPr>
          <w:rFonts w:ascii="Times New Roman" w:hAnsi="Times New Roman"/>
        </w:rPr>
        <w:t xml:space="preserve"> </w:t>
      </w:r>
      <w:r w:rsidRPr="00F32EB8">
        <w:rPr>
          <w:rFonts w:ascii="Times New Roman" w:hAnsi="Times New Roman"/>
          <w:lang w:val="en-US"/>
        </w:rPr>
        <w:t>x</w:t>
      </w:r>
      <w:r w:rsidRPr="00F32EB8">
        <w:rPr>
          <w:rFonts w:ascii="Times New Roman" w:hAnsi="Times New Roman"/>
        </w:rPr>
        <w:t xml:space="preserve"> 14 </w:t>
      </w:r>
      <w:r>
        <w:rPr>
          <w:rFonts w:ascii="Times New Roman" w:hAnsi="Times New Roman"/>
        </w:rPr>
        <w:t>ή</w:t>
      </w:r>
      <w:r w:rsidRPr="00F32EB8">
        <w:rPr>
          <w:rFonts w:ascii="Times New Roman" w:hAnsi="Times New Roman"/>
        </w:rPr>
        <w:t xml:space="preserve"> </w:t>
      </w:r>
      <w:r w:rsidRPr="00F32EB8">
        <w:rPr>
          <w:rFonts w:ascii="Times New Roman" w:hAnsi="Times New Roman"/>
          <w:lang w:val="en-US"/>
        </w:rPr>
        <w:t>BT</w:t>
      </w:r>
      <w:r w:rsidRPr="00F32EB8">
        <w:rPr>
          <w:rFonts w:ascii="Times New Roman" w:hAnsi="Times New Roman"/>
        </w:rPr>
        <w:t xml:space="preserve"> </w:t>
      </w:r>
      <w:r>
        <w:rPr>
          <w:rFonts w:ascii="Times New Roman" w:hAnsi="Times New Roman"/>
          <w:lang w:val="en-US"/>
        </w:rPr>
        <w:t>x</w:t>
      </w:r>
      <w:r w:rsidRPr="00F32EB8">
        <w:rPr>
          <w:rFonts w:ascii="Times New Roman" w:hAnsi="Times New Roman"/>
        </w:rPr>
        <w:t>28</w:t>
      </w:r>
      <w:r>
        <w:rPr>
          <w:rFonts w:ascii="Times New Roman" w:hAnsi="Times New Roman"/>
        </w:rPr>
        <w:t>.</w:t>
      </w:r>
    </w:p>
    <w:p w:rsidR="003C7518" w:rsidRPr="00F32EB8" w:rsidRDefault="003C7518" w:rsidP="00F32EB8">
      <w:pPr>
        <w:pStyle w:val="NoSpacing"/>
        <w:rPr>
          <w:rFonts w:ascii="Times New Roman" w:hAnsi="Times New Roman"/>
        </w:rPr>
      </w:pPr>
    </w:p>
    <w:p w:rsidR="003C7518" w:rsidRPr="00F32EB8" w:rsidRDefault="003C7518" w:rsidP="00F32EB8">
      <w:pPr>
        <w:pStyle w:val="NoSpacing"/>
        <w:rPr>
          <w:rFonts w:ascii="Times New Roman" w:hAnsi="Times New Roman"/>
          <w:b/>
        </w:rPr>
      </w:pPr>
      <w:r w:rsidRPr="00F32EB8">
        <w:rPr>
          <w:rFonts w:ascii="Times New Roman" w:hAnsi="Times New Roman"/>
          <w:b/>
        </w:rPr>
        <w:t>6.6</w:t>
      </w:r>
      <w:r w:rsidRPr="00F32EB8">
        <w:rPr>
          <w:rFonts w:ascii="Times New Roman" w:hAnsi="Times New Roman"/>
          <w:b/>
        </w:rPr>
        <w:tab/>
        <w:t>Ιδιαίτερες προφυλάξεις απόρριψης</w:t>
      </w:r>
    </w:p>
    <w:p w:rsidR="003C7518" w:rsidRPr="00F32EB8" w:rsidRDefault="003C7518" w:rsidP="00F32EB8">
      <w:pPr>
        <w:pStyle w:val="NoSpacing"/>
        <w:rPr>
          <w:rFonts w:ascii="Times New Roman" w:hAnsi="Times New Roman"/>
        </w:rPr>
      </w:pPr>
    </w:p>
    <w:p w:rsidR="003C7518" w:rsidRPr="00F32EB8" w:rsidRDefault="003C7518" w:rsidP="00F32EB8">
      <w:pPr>
        <w:pStyle w:val="NoSpacing"/>
        <w:rPr>
          <w:rFonts w:ascii="Times New Roman" w:hAnsi="Times New Roman"/>
        </w:rPr>
      </w:pPr>
      <w:r w:rsidRPr="00F32EB8">
        <w:rPr>
          <w:rFonts w:ascii="Times New Roman" w:hAnsi="Times New Roman"/>
        </w:rPr>
        <w:t>Καμία ειδική υποχρέωση.</w:t>
      </w:r>
    </w:p>
    <w:p w:rsidR="003C7518" w:rsidRPr="00F32EB8" w:rsidRDefault="003C7518" w:rsidP="00F32EB8">
      <w:pPr>
        <w:pStyle w:val="NoSpacing"/>
        <w:rPr>
          <w:rFonts w:ascii="Times New Roman" w:hAnsi="Times New Roman"/>
        </w:rPr>
      </w:pPr>
    </w:p>
    <w:p w:rsidR="003C7518" w:rsidRPr="008349AA" w:rsidRDefault="003C7518" w:rsidP="00F32EB8">
      <w:pPr>
        <w:pStyle w:val="NoSpacing"/>
        <w:rPr>
          <w:rFonts w:ascii="Times New Roman" w:hAnsi="Times New Roman"/>
        </w:rPr>
      </w:pPr>
      <w:r w:rsidRPr="00F32EB8">
        <w:rPr>
          <w:rFonts w:ascii="Times New Roman" w:hAnsi="Times New Roman"/>
        </w:rPr>
        <w:t>Κάθε μη χρησιμοποιηθέν προϊόν ή υπόλειμμα πρέπει να απορριφθεί σύμφωνα με τις κατά τόπους ισχύουσες σχετικές διατάξεις.</w:t>
      </w:r>
    </w:p>
    <w:p w:rsidR="003C7518" w:rsidRPr="008349AA" w:rsidRDefault="003C7518" w:rsidP="00F32EB8">
      <w:pPr>
        <w:pStyle w:val="NoSpacing"/>
        <w:rPr>
          <w:rFonts w:ascii="Times New Roman" w:hAnsi="Times New Roman"/>
        </w:rPr>
      </w:pPr>
    </w:p>
    <w:p w:rsidR="003C7518" w:rsidRPr="006200CF" w:rsidRDefault="003C7518" w:rsidP="00F63441">
      <w:pPr>
        <w:pStyle w:val="NoSpacing"/>
        <w:rPr>
          <w:rFonts w:ascii="Times New Roman" w:hAnsi="Times New Roman"/>
          <w:b/>
        </w:rPr>
      </w:pPr>
      <w:r w:rsidRPr="006200CF">
        <w:rPr>
          <w:rFonts w:ascii="Times New Roman" w:hAnsi="Times New Roman"/>
          <w:b/>
        </w:rPr>
        <w:t>7. ΚΑΤΟΧΟΣ ΤΗΣ ΑΔΕΙΑΣ ΚΥΚΛΟΦΟΡΙΑΣ</w:t>
      </w:r>
    </w:p>
    <w:p w:rsidR="003C7518" w:rsidRPr="006200CF" w:rsidRDefault="003C7518" w:rsidP="00F07372">
      <w:pPr>
        <w:pStyle w:val="NoSpacing"/>
        <w:rPr>
          <w:rFonts w:ascii="Times New Roman" w:hAnsi="Times New Roman"/>
        </w:rPr>
      </w:pPr>
    </w:p>
    <w:p w:rsidR="003C7518" w:rsidRPr="006200CF" w:rsidRDefault="003C7518" w:rsidP="00F07372">
      <w:pPr>
        <w:pStyle w:val="NoSpacing"/>
        <w:rPr>
          <w:rFonts w:ascii="Times New Roman" w:hAnsi="Times New Roman"/>
        </w:rPr>
      </w:pPr>
      <w:r w:rsidRPr="006200CF">
        <w:rPr>
          <w:rFonts w:ascii="Times New Roman" w:hAnsi="Times New Roman"/>
          <w:b/>
          <w:i/>
          <w:u w:val="single"/>
          <w:lang w:val="en-US"/>
        </w:rPr>
        <w:t>Veltipharm</w:t>
      </w:r>
      <w:r w:rsidRPr="006200CF">
        <w:rPr>
          <w:rFonts w:ascii="Times New Roman" w:hAnsi="Times New Roman"/>
          <w:b/>
          <w:i/>
          <w:u w:val="single"/>
        </w:rPr>
        <w:t xml:space="preserve"> ΕΠΕ</w:t>
      </w:r>
      <w:r w:rsidRPr="006200CF">
        <w:rPr>
          <w:rFonts w:ascii="Times New Roman" w:hAnsi="Times New Roman"/>
        </w:rPr>
        <w:t xml:space="preserve"> </w:t>
      </w:r>
    </w:p>
    <w:p w:rsidR="003C7518" w:rsidRPr="006200CF" w:rsidRDefault="003C7518" w:rsidP="00F07372">
      <w:pPr>
        <w:pStyle w:val="NoSpacing"/>
        <w:rPr>
          <w:rFonts w:ascii="Times New Roman" w:hAnsi="Times New Roman"/>
        </w:rPr>
      </w:pPr>
      <w:r w:rsidRPr="006200CF">
        <w:rPr>
          <w:rFonts w:ascii="Times New Roman" w:hAnsi="Times New Roman"/>
        </w:rPr>
        <w:t xml:space="preserve"> Αμφιαράου 25 Αθήνα</w:t>
      </w:r>
    </w:p>
    <w:p w:rsidR="003C7518" w:rsidRPr="006200CF" w:rsidRDefault="003C7518" w:rsidP="00F07372">
      <w:pPr>
        <w:pStyle w:val="NoSpacing"/>
        <w:rPr>
          <w:rFonts w:ascii="Times New Roman" w:hAnsi="Times New Roman"/>
        </w:rPr>
      </w:pPr>
      <w:r w:rsidRPr="006200CF">
        <w:rPr>
          <w:rFonts w:ascii="Times New Roman" w:hAnsi="Times New Roman"/>
        </w:rPr>
        <w:t>Τηλ: 210 5201886</w:t>
      </w:r>
    </w:p>
    <w:p w:rsidR="003C7518" w:rsidRPr="006200CF" w:rsidRDefault="003C7518" w:rsidP="00F07372">
      <w:pPr>
        <w:pStyle w:val="NoSpacing"/>
        <w:rPr>
          <w:rFonts w:ascii="Times New Roman" w:hAnsi="Times New Roman"/>
        </w:rPr>
      </w:pPr>
      <w:r w:rsidRPr="006200CF">
        <w:rPr>
          <w:rFonts w:ascii="Times New Roman" w:hAnsi="Times New Roman"/>
          <w:lang w:val="en-US"/>
        </w:rPr>
        <w:t>Fax</w:t>
      </w:r>
      <w:r w:rsidRPr="006200CF">
        <w:rPr>
          <w:rFonts w:ascii="Times New Roman" w:hAnsi="Times New Roman"/>
        </w:rPr>
        <w:t>: 210 5200539</w:t>
      </w:r>
    </w:p>
    <w:p w:rsidR="003C7518" w:rsidRPr="006200CF" w:rsidRDefault="003C7518" w:rsidP="00F07372">
      <w:pPr>
        <w:pStyle w:val="NoSpacing"/>
        <w:rPr>
          <w:rFonts w:ascii="Times New Roman" w:hAnsi="Times New Roman"/>
        </w:rPr>
      </w:pPr>
      <w:r w:rsidRPr="006200CF">
        <w:rPr>
          <w:rFonts w:ascii="Times New Roman" w:hAnsi="Times New Roman"/>
          <w:lang w:val="en-US"/>
        </w:rPr>
        <w:t>Veltipharmoffice</w:t>
      </w:r>
      <w:r w:rsidRPr="006200CF">
        <w:rPr>
          <w:rFonts w:ascii="Times New Roman" w:hAnsi="Times New Roman"/>
        </w:rPr>
        <w:t>@</w:t>
      </w:r>
      <w:r w:rsidRPr="006200CF">
        <w:rPr>
          <w:rFonts w:ascii="Times New Roman" w:hAnsi="Times New Roman"/>
          <w:lang w:val="en-US"/>
        </w:rPr>
        <w:t>gmail</w:t>
      </w:r>
      <w:r w:rsidRPr="006200CF">
        <w:rPr>
          <w:rFonts w:ascii="Times New Roman" w:hAnsi="Times New Roman"/>
        </w:rPr>
        <w:t>.</w:t>
      </w:r>
      <w:r w:rsidRPr="006200CF">
        <w:rPr>
          <w:rFonts w:ascii="Times New Roman" w:hAnsi="Times New Roman"/>
          <w:lang w:val="en-US"/>
        </w:rPr>
        <w:t>com</w:t>
      </w:r>
    </w:p>
    <w:p w:rsidR="003C7518" w:rsidRPr="006200CF" w:rsidRDefault="003C7518" w:rsidP="00F63441">
      <w:pPr>
        <w:pStyle w:val="NoSpacing"/>
        <w:rPr>
          <w:rFonts w:ascii="Times New Roman" w:hAnsi="Times New Roman"/>
        </w:rPr>
      </w:pPr>
    </w:p>
    <w:p w:rsidR="003C7518" w:rsidRPr="006200CF" w:rsidRDefault="003C7518" w:rsidP="00F63441">
      <w:pPr>
        <w:pStyle w:val="NoSpacing"/>
        <w:rPr>
          <w:rFonts w:ascii="Times New Roman" w:hAnsi="Times New Roman"/>
        </w:rPr>
      </w:pPr>
    </w:p>
    <w:p w:rsidR="003C7518" w:rsidRPr="006200CF" w:rsidRDefault="003C7518" w:rsidP="00F63441">
      <w:pPr>
        <w:pStyle w:val="NoSpacing"/>
        <w:rPr>
          <w:rFonts w:ascii="Times New Roman" w:hAnsi="Times New Roman"/>
          <w:b/>
        </w:rPr>
      </w:pPr>
      <w:r w:rsidRPr="006200CF">
        <w:rPr>
          <w:rFonts w:ascii="Times New Roman" w:hAnsi="Times New Roman"/>
          <w:b/>
        </w:rPr>
        <w:t>8. ΑΡΙΘΜΟΣ(ΟΙ) ΑΔΕΙΑΣ ΚΥΚΛΟΦΟΡΙΑΣ</w:t>
      </w:r>
    </w:p>
    <w:p w:rsidR="003C7518" w:rsidRPr="006200CF" w:rsidRDefault="003C7518" w:rsidP="00F63441">
      <w:pPr>
        <w:pStyle w:val="NoSpacing"/>
        <w:rPr>
          <w:rFonts w:ascii="Times New Roman" w:hAnsi="Times New Roman"/>
        </w:rPr>
      </w:pPr>
    </w:p>
    <w:p w:rsidR="003C7518" w:rsidRPr="006200CF" w:rsidRDefault="003C7518" w:rsidP="00791B88">
      <w:pPr>
        <w:pStyle w:val="NoSpacing"/>
        <w:rPr>
          <w:rFonts w:ascii="Times New Roman" w:hAnsi="Times New Roman"/>
          <w:b/>
        </w:rPr>
      </w:pPr>
      <w:r w:rsidRPr="006200CF">
        <w:rPr>
          <w:rFonts w:ascii="Times New Roman" w:hAnsi="Times New Roman"/>
          <w:b/>
        </w:rPr>
        <w:t>9</w:t>
      </w:r>
      <w:r w:rsidRPr="006200CF">
        <w:rPr>
          <w:rFonts w:ascii="Times New Roman" w:hAnsi="Times New Roman"/>
        </w:rPr>
        <w:t>.</w:t>
      </w:r>
      <w:r w:rsidRPr="006200CF">
        <w:rPr>
          <w:rFonts w:ascii="Times New Roman" w:hAnsi="Times New Roman"/>
          <w:b/>
        </w:rPr>
        <w:t xml:space="preserve"> ΗΜΕΡΟΜΗΝΙΑ ΠΡΩΤΗΣ ΕΓΚΡΙΣΗΣ / ΑΝΑΝΕΩΣΗΣ ΤΗΣ ΑΔΕΙΑΣ</w:t>
      </w:r>
    </w:p>
    <w:p w:rsidR="003C7518" w:rsidRPr="006200CF" w:rsidRDefault="003C7518" w:rsidP="00791B88">
      <w:pPr>
        <w:pStyle w:val="NoSpacing"/>
        <w:rPr>
          <w:rFonts w:ascii="Times New Roman" w:hAnsi="Times New Roman"/>
          <w:b/>
        </w:rPr>
      </w:pPr>
    </w:p>
    <w:p w:rsidR="003C7518" w:rsidRPr="006200CF" w:rsidRDefault="003C7518" w:rsidP="00791B88">
      <w:pPr>
        <w:pStyle w:val="NoSpacing"/>
        <w:rPr>
          <w:rFonts w:ascii="Times New Roman" w:hAnsi="Times New Roman"/>
          <w:b/>
          <w:lang w:val="en-US"/>
        </w:rPr>
      </w:pPr>
      <w:r w:rsidRPr="006200CF">
        <w:rPr>
          <w:rFonts w:ascii="Times New Roman" w:hAnsi="Times New Roman"/>
          <w:b/>
        </w:rPr>
        <w:t>10</w:t>
      </w:r>
      <w:r w:rsidRPr="006200CF">
        <w:rPr>
          <w:rFonts w:ascii="Times New Roman" w:hAnsi="Times New Roman"/>
        </w:rPr>
        <w:t xml:space="preserve">. </w:t>
      </w:r>
      <w:r w:rsidRPr="006200CF">
        <w:rPr>
          <w:rFonts w:ascii="Times New Roman" w:hAnsi="Times New Roman"/>
          <w:b/>
        </w:rPr>
        <w:t>ΗΜΕΡΟΜΗΝΙΑ ΑΝΑΘΕΩΡΗΣΗΣ ΤΟΥ ΚΕΙΜΕΝΟΥ</w:t>
      </w:r>
    </w:p>
    <w:p w:rsidR="003C7518" w:rsidRPr="00362D1D" w:rsidRDefault="003C7518" w:rsidP="00791B88">
      <w:pPr>
        <w:pStyle w:val="NoSpacing"/>
        <w:ind w:left="720"/>
        <w:rPr>
          <w:rFonts w:cs="Calibri"/>
          <w:b/>
        </w:rPr>
      </w:pPr>
    </w:p>
    <w:p w:rsidR="003C7518" w:rsidRDefault="003C7518" w:rsidP="00791B88">
      <w:pPr>
        <w:pStyle w:val="NoSpacing"/>
        <w:rPr>
          <w:rFonts w:ascii="Times New Roman" w:hAnsi="Times New Roman"/>
        </w:rPr>
      </w:pPr>
    </w:p>
    <w:p w:rsidR="003C7518" w:rsidRPr="00791B88" w:rsidRDefault="003C7518" w:rsidP="00F63441">
      <w:pPr>
        <w:pStyle w:val="NoSpacing"/>
      </w:pPr>
    </w:p>
    <w:sectPr w:rsidR="003C7518" w:rsidRPr="00791B88" w:rsidSect="004878F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35AC"/>
    <w:multiLevelType w:val="multilevel"/>
    <w:tmpl w:val="416ADD38"/>
    <w:lvl w:ilvl="0">
      <w:start w:val="6"/>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AF2"/>
    <w:rsid w:val="00025BCB"/>
    <w:rsid w:val="00075230"/>
    <w:rsid w:val="000E078E"/>
    <w:rsid w:val="001004EB"/>
    <w:rsid w:val="001269B6"/>
    <w:rsid w:val="00147E05"/>
    <w:rsid w:val="001671A6"/>
    <w:rsid w:val="0017471B"/>
    <w:rsid w:val="00176325"/>
    <w:rsid w:val="001E78E7"/>
    <w:rsid w:val="001F39DD"/>
    <w:rsid w:val="00201203"/>
    <w:rsid w:val="0021250C"/>
    <w:rsid w:val="002E30C8"/>
    <w:rsid w:val="00324A7E"/>
    <w:rsid w:val="00343E91"/>
    <w:rsid w:val="00355F3F"/>
    <w:rsid w:val="00362D1D"/>
    <w:rsid w:val="003928FE"/>
    <w:rsid w:val="003A1216"/>
    <w:rsid w:val="003B1DC3"/>
    <w:rsid w:val="003C7518"/>
    <w:rsid w:val="003D617C"/>
    <w:rsid w:val="003D6200"/>
    <w:rsid w:val="003E47CF"/>
    <w:rsid w:val="004018C1"/>
    <w:rsid w:val="004056B3"/>
    <w:rsid w:val="00412B24"/>
    <w:rsid w:val="0041434A"/>
    <w:rsid w:val="00427977"/>
    <w:rsid w:val="00433F5D"/>
    <w:rsid w:val="0044757A"/>
    <w:rsid w:val="00485890"/>
    <w:rsid w:val="004878FD"/>
    <w:rsid w:val="004A3A08"/>
    <w:rsid w:val="004C77D9"/>
    <w:rsid w:val="00506AF2"/>
    <w:rsid w:val="00564B56"/>
    <w:rsid w:val="005704E2"/>
    <w:rsid w:val="0059042D"/>
    <w:rsid w:val="005C6FDC"/>
    <w:rsid w:val="005E6DE6"/>
    <w:rsid w:val="00603D17"/>
    <w:rsid w:val="00613FC2"/>
    <w:rsid w:val="006200CF"/>
    <w:rsid w:val="006205F5"/>
    <w:rsid w:val="0063176F"/>
    <w:rsid w:val="00660B08"/>
    <w:rsid w:val="00662097"/>
    <w:rsid w:val="006A23BE"/>
    <w:rsid w:val="006C2D3C"/>
    <w:rsid w:val="006D16E0"/>
    <w:rsid w:val="006D29BC"/>
    <w:rsid w:val="006E41B3"/>
    <w:rsid w:val="006F70A1"/>
    <w:rsid w:val="00700744"/>
    <w:rsid w:val="00700884"/>
    <w:rsid w:val="00710EAD"/>
    <w:rsid w:val="00715299"/>
    <w:rsid w:val="00757C29"/>
    <w:rsid w:val="00760F64"/>
    <w:rsid w:val="00791B88"/>
    <w:rsid w:val="007A1187"/>
    <w:rsid w:val="007A3050"/>
    <w:rsid w:val="007B4875"/>
    <w:rsid w:val="00825394"/>
    <w:rsid w:val="008349AA"/>
    <w:rsid w:val="008413E1"/>
    <w:rsid w:val="008564A1"/>
    <w:rsid w:val="00861E46"/>
    <w:rsid w:val="008722ED"/>
    <w:rsid w:val="00880B67"/>
    <w:rsid w:val="008D0DE7"/>
    <w:rsid w:val="00925FC4"/>
    <w:rsid w:val="009752C7"/>
    <w:rsid w:val="00976BC6"/>
    <w:rsid w:val="009922BF"/>
    <w:rsid w:val="00994DC4"/>
    <w:rsid w:val="009A33CE"/>
    <w:rsid w:val="009B3AAE"/>
    <w:rsid w:val="00A06E9B"/>
    <w:rsid w:val="00A12552"/>
    <w:rsid w:val="00A62604"/>
    <w:rsid w:val="00A62660"/>
    <w:rsid w:val="00A72FCC"/>
    <w:rsid w:val="00A75D16"/>
    <w:rsid w:val="00A836B4"/>
    <w:rsid w:val="00A96B23"/>
    <w:rsid w:val="00AB35F8"/>
    <w:rsid w:val="00AD0E9B"/>
    <w:rsid w:val="00AF4F16"/>
    <w:rsid w:val="00B21745"/>
    <w:rsid w:val="00B25DEB"/>
    <w:rsid w:val="00B314A0"/>
    <w:rsid w:val="00BD4E05"/>
    <w:rsid w:val="00C50801"/>
    <w:rsid w:val="00C52189"/>
    <w:rsid w:val="00C75D65"/>
    <w:rsid w:val="00C838CB"/>
    <w:rsid w:val="00C928BF"/>
    <w:rsid w:val="00CE015B"/>
    <w:rsid w:val="00D100F8"/>
    <w:rsid w:val="00D23CE1"/>
    <w:rsid w:val="00D40416"/>
    <w:rsid w:val="00D74388"/>
    <w:rsid w:val="00D833FE"/>
    <w:rsid w:val="00DA39FB"/>
    <w:rsid w:val="00DF7796"/>
    <w:rsid w:val="00E10BB5"/>
    <w:rsid w:val="00E27A12"/>
    <w:rsid w:val="00E355FF"/>
    <w:rsid w:val="00ED1747"/>
    <w:rsid w:val="00EE65EA"/>
    <w:rsid w:val="00F07372"/>
    <w:rsid w:val="00F10210"/>
    <w:rsid w:val="00F14718"/>
    <w:rsid w:val="00F32EB8"/>
    <w:rsid w:val="00F42E2E"/>
    <w:rsid w:val="00F56051"/>
    <w:rsid w:val="00F63441"/>
    <w:rsid w:val="00F801A0"/>
    <w:rsid w:val="00F87C74"/>
    <w:rsid w:val="00F922C3"/>
    <w:rsid w:val="00FB7EA2"/>
    <w:rsid w:val="00FC0892"/>
    <w:rsid w:val="00FC3C8D"/>
    <w:rsid w:val="00FE3FB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1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06AF2"/>
  </w:style>
  <w:style w:type="paragraph" w:styleId="BalloonText">
    <w:name w:val="Balloon Text"/>
    <w:basedOn w:val="Normal"/>
    <w:link w:val="BalloonTextChar"/>
    <w:uiPriority w:val="99"/>
    <w:semiHidden/>
    <w:rsid w:val="00447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87157">
      <w:marLeft w:val="0"/>
      <w:marRight w:val="0"/>
      <w:marTop w:val="0"/>
      <w:marBottom w:val="0"/>
      <w:divBdr>
        <w:top w:val="none" w:sz="0" w:space="0" w:color="auto"/>
        <w:left w:val="none" w:sz="0" w:space="0" w:color="auto"/>
        <w:bottom w:val="none" w:sz="0" w:space="0" w:color="auto"/>
        <w:right w:val="none" w:sz="0" w:space="0" w:color="auto"/>
      </w:divBdr>
    </w:div>
    <w:div w:id="101387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10</Pages>
  <Words>3332</Words>
  <Characters>17998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dc:creator>
  <cp:keywords/>
  <dc:description/>
  <cp:lastModifiedBy>user114</cp:lastModifiedBy>
  <cp:revision>10</cp:revision>
  <cp:lastPrinted>2012-09-11T09:32:00Z</cp:lastPrinted>
  <dcterms:created xsi:type="dcterms:W3CDTF">2012-04-06T12:20:00Z</dcterms:created>
  <dcterms:modified xsi:type="dcterms:W3CDTF">2012-09-11T09:37:00Z</dcterms:modified>
</cp:coreProperties>
</file>