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</w:pPr>
    </w:p>
    <w:p w:rsidR="00CD2AB8" w:rsidRDefault="00CD2AB8">
      <w:pPr>
        <w:jc w:val="center"/>
        <w:rPr>
          <w:b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  <w:rPr>
          <w:lang w:val="en-GB"/>
        </w:rPr>
      </w:pPr>
    </w:p>
    <w:p w:rsidR="00CD2AB8" w:rsidRDefault="00CD2AB8">
      <w:pPr>
        <w:jc w:val="center"/>
      </w:pPr>
      <w:r>
        <w:rPr>
          <w:b/>
          <w:noProof/>
        </w:rPr>
        <w:t>ΠΕΡΙΛΗΨΗ ΤΩΝ ΧΑΡΑΚΤΗΡΙΣΤΙΚΩΝ ΤΟΥ ΠΡΟΪΟΝΤΟΣ</w:t>
      </w:r>
    </w:p>
    <w:p w:rsidR="00CD2AB8" w:rsidRDefault="00CD2AB8"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ΟΝΟΜΑΣΙΑ ΤΟΥ ΦΑΡΜΑΚΕΥΤΙΚΟΥ ΠΡΟΪΟΝΤΟΣ</w:t>
      </w:r>
    </w:p>
    <w:p w:rsidR="00CD2AB8" w:rsidRDefault="00CD2AB8"/>
    <w:p w:rsidR="00CD2AB8" w:rsidRDefault="000166A3">
      <w:r>
        <w:rPr>
          <w:lang w:val="en-GB"/>
        </w:rPr>
        <w:t>Riastap</w:t>
      </w:r>
      <w:r w:rsidRPr="000166A3">
        <w:t xml:space="preserve"> 1</w:t>
      </w:r>
      <w:r>
        <w:rPr>
          <w:lang w:val="en-GB"/>
        </w:rPr>
        <w:t>g</w:t>
      </w:r>
      <w:r w:rsidRPr="000166A3">
        <w:t xml:space="preserve">, </w:t>
      </w:r>
      <w:r>
        <w:t>Κόνις για ενέσιμο διάλυμα</w:t>
      </w:r>
      <w:r w:rsidR="001E39B8" w:rsidRPr="001E39B8">
        <w:t>/</w:t>
      </w:r>
      <w:r>
        <w:t xml:space="preserve">διάλυμα </w:t>
      </w:r>
      <w:r w:rsidR="002E6A8A">
        <w:t>προς</w:t>
      </w:r>
      <w:r>
        <w:t xml:space="preserve"> έγχυση.</w:t>
      </w:r>
    </w:p>
    <w:p w:rsidR="00CD2AB8" w:rsidRDefault="00CD2AB8"/>
    <w:p w:rsidR="00CD2AB8" w:rsidRDefault="00CD2AB8"/>
    <w:p w:rsidR="00CD2AB8" w:rsidRDefault="00CD2AB8">
      <w:r>
        <w:rPr>
          <w:b/>
        </w:rPr>
        <w:t>2.</w:t>
      </w:r>
      <w:r>
        <w:rPr>
          <w:b/>
        </w:rPr>
        <w:tab/>
        <w:t>ΠΟΙΟΤΙΚΗ ΚΑΙ ΠΟΣΟΤΙΚΗ ΣΥΝΘΕΣΗ</w:t>
      </w:r>
    </w:p>
    <w:p w:rsidR="00CD2AB8" w:rsidRDefault="00CD2AB8">
      <w:pPr>
        <w:rPr>
          <w:lang w:val="en-GB"/>
        </w:rPr>
      </w:pPr>
    </w:p>
    <w:p w:rsidR="000166A3" w:rsidRDefault="000166A3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  <w:r>
        <w:rPr>
          <w:lang w:val="el-GR"/>
        </w:rPr>
        <w:t xml:space="preserve">Το </w:t>
      </w:r>
      <w:r>
        <w:rPr>
          <w:lang w:val="en-GB"/>
        </w:rPr>
        <w:t>Riastap</w:t>
      </w:r>
      <w:r w:rsidRPr="000166A3">
        <w:rPr>
          <w:lang w:val="el-GR"/>
        </w:rPr>
        <w:t xml:space="preserve"> </w:t>
      </w:r>
      <w:r>
        <w:rPr>
          <w:lang w:val="el-GR"/>
        </w:rPr>
        <w:t xml:space="preserve">είναι κόνις για ενέσιμο διάλυμα ή διάλυμα </w:t>
      </w:r>
      <w:r w:rsidR="00072FD1">
        <w:rPr>
          <w:lang w:val="el-GR"/>
        </w:rPr>
        <w:t xml:space="preserve">προς έγχυση που περιέχει </w:t>
      </w:r>
      <w:r w:rsidR="002E6A8A">
        <w:rPr>
          <w:lang w:val="el-GR"/>
        </w:rPr>
        <w:t>1</w:t>
      </w:r>
      <w:r w:rsidR="002E6A8A">
        <w:rPr>
          <w:lang w:val="en-GB"/>
        </w:rPr>
        <w:t>g</w:t>
      </w:r>
      <w:r w:rsidR="002E6A8A" w:rsidRPr="002E6A8A">
        <w:rPr>
          <w:lang w:val="el-GR"/>
        </w:rPr>
        <w:t xml:space="preserve"> </w:t>
      </w:r>
      <w:r w:rsidR="002E6A8A">
        <w:rPr>
          <w:lang w:val="el-GR"/>
        </w:rPr>
        <w:t>ανθρώπινου ινωδογόνου ανά φιαλίδιο.</w:t>
      </w:r>
    </w:p>
    <w:p w:rsidR="00EF3145" w:rsidRDefault="00EF3145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</w:p>
    <w:p w:rsidR="00EF3145" w:rsidRDefault="002E6A8A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  <w:r>
        <w:rPr>
          <w:lang w:val="el-GR"/>
        </w:rPr>
        <w:t>Το ανασυσταμένο προϊόν</w:t>
      </w:r>
      <w:r w:rsidR="00072FD1">
        <w:rPr>
          <w:lang w:val="el-GR"/>
        </w:rPr>
        <w:t>,</w:t>
      </w:r>
      <w:r>
        <w:rPr>
          <w:lang w:val="el-GR"/>
        </w:rPr>
        <w:t xml:space="preserve"> με 50 </w:t>
      </w:r>
      <w:r>
        <w:rPr>
          <w:lang w:val="en-GB"/>
        </w:rPr>
        <w:t>ml</w:t>
      </w:r>
      <w:r>
        <w:rPr>
          <w:lang w:val="el-GR"/>
        </w:rPr>
        <w:t xml:space="preserve"> ύδατος </w:t>
      </w:r>
      <w:r w:rsidR="0048176E">
        <w:rPr>
          <w:lang w:val="el-GR"/>
        </w:rPr>
        <w:t>για ενέσιμα</w:t>
      </w:r>
      <w:r w:rsidR="00072FD1">
        <w:rPr>
          <w:lang w:val="el-GR"/>
        </w:rPr>
        <w:t>,</w:t>
      </w:r>
      <w:r>
        <w:rPr>
          <w:lang w:val="el-GR"/>
        </w:rPr>
        <w:t xml:space="preserve"> περιέχει </w:t>
      </w:r>
      <w:r w:rsidR="003C77CC">
        <w:rPr>
          <w:lang w:val="el-GR"/>
        </w:rPr>
        <w:t xml:space="preserve">περίπου </w:t>
      </w:r>
      <w:r w:rsidR="00EF3145">
        <w:rPr>
          <w:lang w:val="el-GR"/>
        </w:rPr>
        <w:t xml:space="preserve">ανθρώπινο ινωδογόνο </w:t>
      </w:r>
      <w:r>
        <w:rPr>
          <w:lang w:val="el-GR"/>
        </w:rPr>
        <w:t>20</w:t>
      </w:r>
      <w:r w:rsidR="00072FD1">
        <w:rPr>
          <w:lang w:val="el-GR"/>
        </w:rPr>
        <w:t xml:space="preserve"> </w:t>
      </w:r>
      <w:r>
        <w:rPr>
          <w:lang w:val="en-GB"/>
        </w:rPr>
        <w:t>mg</w:t>
      </w:r>
      <w:r w:rsidRPr="002E6A8A">
        <w:rPr>
          <w:lang w:val="el-GR"/>
        </w:rPr>
        <w:t>/</w:t>
      </w:r>
      <w:r>
        <w:rPr>
          <w:lang w:val="en-GB"/>
        </w:rPr>
        <w:t>ml</w:t>
      </w:r>
      <w:r w:rsidR="00EF3145">
        <w:rPr>
          <w:lang w:val="el-GR"/>
        </w:rPr>
        <w:t>.</w:t>
      </w:r>
    </w:p>
    <w:p w:rsidR="00EF3145" w:rsidRDefault="00EF3145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</w:p>
    <w:p w:rsidR="002E6A8A" w:rsidRPr="002E6A8A" w:rsidRDefault="00EF3145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  <w:r>
        <w:rPr>
          <w:lang w:val="el-GR"/>
        </w:rPr>
        <w:t xml:space="preserve">Το περιεχόμενο σε </w:t>
      </w:r>
      <w:r w:rsidR="003C77CC">
        <w:rPr>
          <w:lang w:val="el-GR"/>
        </w:rPr>
        <w:t xml:space="preserve">λειτουργικό </w:t>
      </w:r>
      <w:r>
        <w:rPr>
          <w:lang w:val="el-GR"/>
        </w:rPr>
        <w:t>ινωδογόνο, καθορίζεται σύμφωνα με τη μονογραφία της Ευρωπαϊκής Φαρμακοποιίας για το ανθρώπινο ινωδογόνο.</w:t>
      </w:r>
    </w:p>
    <w:p w:rsidR="00EF3145" w:rsidRDefault="00EF3145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</w:p>
    <w:p w:rsidR="00EF3145" w:rsidRDefault="00EF3145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  <w:r>
        <w:rPr>
          <w:lang w:val="el-GR"/>
        </w:rPr>
        <w:t xml:space="preserve">Έκδοχα που </w:t>
      </w:r>
      <w:r w:rsidR="00072FD1">
        <w:rPr>
          <w:lang w:val="el-GR"/>
        </w:rPr>
        <w:t xml:space="preserve">θεωρείται </w:t>
      </w:r>
      <w:r>
        <w:rPr>
          <w:lang w:val="el-GR"/>
        </w:rPr>
        <w:t>ότι έχουν γνωστή δράση:</w:t>
      </w:r>
    </w:p>
    <w:p w:rsidR="00EF3145" w:rsidRPr="00EF3145" w:rsidRDefault="00EF3145" w:rsidP="00EF3145">
      <w:pPr>
        <w:pStyle w:val="EMEAEnBodyText"/>
        <w:autoSpaceDE w:val="0"/>
        <w:autoSpaceDN w:val="0"/>
        <w:adjustRightInd w:val="0"/>
        <w:spacing w:before="0" w:after="0"/>
        <w:rPr>
          <w:lang w:val="el-GR"/>
        </w:rPr>
      </w:pPr>
      <w:r>
        <w:rPr>
          <w:lang w:val="el-GR"/>
        </w:rPr>
        <w:t>Νάτριο έως 164</w:t>
      </w:r>
      <w:r w:rsidR="0003350E" w:rsidRPr="0003350E">
        <w:rPr>
          <w:lang w:val="el-GR"/>
        </w:rPr>
        <w:t xml:space="preserve"> </w:t>
      </w:r>
      <w:r>
        <w:rPr>
          <w:lang w:val="en-GB"/>
        </w:rPr>
        <w:t>mg</w:t>
      </w:r>
      <w:r w:rsidR="007774C3">
        <w:rPr>
          <w:lang w:val="el-GR"/>
        </w:rPr>
        <w:t xml:space="preserve"> (7</w:t>
      </w:r>
      <w:r w:rsidR="007774C3" w:rsidRPr="007774C3">
        <w:rPr>
          <w:lang w:val="el-GR"/>
        </w:rPr>
        <w:t>,</w:t>
      </w:r>
      <w:r w:rsidRPr="00EF3145">
        <w:rPr>
          <w:lang w:val="el-GR"/>
        </w:rPr>
        <w:t xml:space="preserve">1 </w:t>
      </w:r>
      <w:r>
        <w:rPr>
          <w:lang w:val="en-GB"/>
        </w:rPr>
        <w:t>mmol</w:t>
      </w:r>
      <w:r w:rsidRPr="00EF3145">
        <w:rPr>
          <w:lang w:val="el-GR"/>
        </w:rPr>
        <w:t xml:space="preserve">) </w:t>
      </w:r>
      <w:r>
        <w:rPr>
          <w:lang w:val="el-GR"/>
        </w:rPr>
        <w:t>ανά φιαλίδιο.</w:t>
      </w:r>
    </w:p>
    <w:p w:rsidR="00CD2AB8" w:rsidRDefault="00CD2AB8">
      <w:pPr>
        <w:widowControl/>
        <w:tabs>
          <w:tab w:val="left" w:pos="567"/>
        </w:tabs>
        <w:spacing w:line="260" w:lineRule="exact"/>
        <w:rPr>
          <w:lang w:val="en-GB"/>
        </w:rPr>
      </w:pPr>
      <w:r>
        <w:rPr>
          <w:lang w:val="en-GB"/>
        </w:rPr>
        <w:t>Για τον πλήρη κατάλογο των εκδόχων, βλ. παράγραφο 6.1.</w:t>
      </w:r>
    </w:p>
    <w:p w:rsidR="00CD2AB8" w:rsidRDefault="00CD2AB8"/>
    <w:p w:rsidR="00CD2AB8" w:rsidRDefault="00CD2AB8"/>
    <w:p w:rsidR="00CD2AB8" w:rsidRDefault="00CD2AB8">
      <w:r>
        <w:rPr>
          <w:b/>
        </w:rPr>
        <w:t>3.</w:t>
      </w:r>
      <w:r>
        <w:rPr>
          <w:b/>
        </w:rPr>
        <w:tab/>
        <w:t>ΦΑΡΜΑΚΟΤΕΧΝΙΚΗ ΜΟΡΦΗ</w:t>
      </w:r>
    </w:p>
    <w:p w:rsidR="00CD2AB8" w:rsidRDefault="00CD2AB8">
      <w:pPr>
        <w:rPr>
          <w:lang w:val="en-GB"/>
        </w:rPr>
      </w:pPr>
    </w:p>
    <w:p w:rsidR="00CD2AB8" w:rsidRDefault="007A11CA">
      <w:r>
        <w:t>Κ</w:t>
      </w:r>
      <w:r w:rsidR="00EF3145">
        <w:t>όνις</w:t>
      </w:r>
      <w:r w:rsidR="001E39B8">
        <w:t xml:space="preserve"> </w:t>
      </w:r>
      <w:r w:rsidR="00386EEA">
        <w:t xml:space="preserve">για </w:t>
      </w:r>
      <w:r>
        <w:t>ενέσιμο διάλυμα</w:t>
      </w:r>
      <w:r w:rsidRPr="001E39B8">
        <w:t>/</w:t>
      </w:r>
      <w:r>
        <w:t>διάλυμα προς έγχυση.</w:t>
      </w:r>
    </w:p>
    <w:p w:rsidR="007A11CA" w:rsidRDefault="007A11CA">
      <w:r>
        <w:t xml:space="preserve">Λευκή </w:t>
      </w:r>
      <w:r w:rsidR="003C77CC">
        <w:t>κόνις</w:t>
      </w:r>
      <w:r>
        <w:t>.</w:t>
      </w:r>
    </w:p>
    <w:p w:rsidR="00CD2AB8" w:rsidRDefault="00CD2AB8"/>
    <w:p w:rsidR="00CD2AB8" w:rsidRDefault="00CD2AB8"/>
    <w:p w:rsidR="00CD2AB8" w:rsidRDefault="00CD2AB8">
      <w:r>
        <w:rPr>
          <w:b/>
        </w:rPr>
        <w:t>4.</w:t>
      </w:r>
      <w:r>
        <w:rPr>
          <w:b/>
        </w:rPr>
        <w:tab/>
        <w:t>ΚΛΙΝΙΚΕΣ ΠΛΗΡΟΦΟΡΙΕΣ</w:t>
      </w:r>
    </w:p>
    <w:p w:rsidR="00CD2AB8" w:rsidRDefault="00CD2AB8"/>
    <w:p w:rsidR="00CD2AB8" w:rsidRDefault="00CD2AB8">
      <w:r>
        <w:rPr>
          <w:b/>
        </w:rPr>
        <w:t>4.1</w:t>
      </w:r>
      <w:r>
        <w:rPr>
          <w:b/>
        </w:rPr>
        <w:tab/>
        <w:t>Θεραπευτικές ενδείξεις</w:t>
      </w:r>
    </w:p>
    <w:p w:rsidR="00CD2AB8" w:rsidRDefault="00CD2AB8"/>
    <w:p w:rsidR="00CD2AB8" w:rsidRDefault="000F066A">
      <w:r>
        <w:t xml:space="preserve">Αντιμετώπιση </w:t>
      </w:r>
      <w:r w:rsidR="001E39B8">
        <w:t>της</w:t>
      </w:r>
      <w:r>
        <w:t xml:space="preserve"> αιμορραγ</w:t>
      </w:r>
      <w:r w:rsidR="001E39B8">
        <w:t>ίας</w:t>
      </w:r>
      <w:r>
        <w:t xml:space="preserve"> σε ασθενείς με συγγενή </w:t>
      </w:r>
      <w:r w:rsidR="001E39B8">
        <w:t xml:space="preserve">υπό- ή ανινωδογοναιμία με αιμορραγική </w:t>
      </w:r>
      <w:r w:rsidR="003C77CC">
        <w:t>διάθεση</w:t>
      </w:r>
      <w:r w:rsidR="001E39B8">
        <w:t>.</w:t>
      </w:r>
    </w:p>
    <w:p w:rsidR="00CD2AB8" w:rsidRDefault="00CD2AB8"/>
    <w:p w:rsidR="00CD2AB8" w:rsidRDefault="00CD2AB8">
      <w:r>
        <w:rPr>
          <w:b/>
        </w:rPr>
        <w:t>4.2</w:t>
      </w:r>
      <w:r>
        <w:rPr>
          <w:b/>
        </w:rPr>
        <w:tab/>
        <w:t>Δοσολογία και τρόπος χορήγησης</w:t>
      </w:r>
    </w:p>
    <w:p w:rsidR="00CD2AB8" w:rsidRDefault="00CD2AB8"/>
    <w:p w:rsidR="000F066A" w:rsidRDefault="000F066A">
      <w:pPr>
        <w:rPr>
          <w:noProof/>
        </w:rPr>
      </w:pPr>
      <w:r>
        <w:rPr>
          <w:noProof/>
        </w:rPr>
        <w:t xml:space="preserve">Η έναρξη της θεραπείας πρέπει να </w:t>
      </w:r>
      <w:r w:rsidR="0003350E">
        <w:rPr>
          <w:noProof/>
        </w:rPr>
        <w:t>γίνεται</w:t>
      </w:r>
      <w:r>
        <w:rPr>
          <w:noProof/>
        </w:rPr>
        <w:t xml:space="preserve"> υπό την επίβλεψη ιατρού με εμπειρία στην αντιμετώπιση των </w:t>
      </w:r>
      <w:r w:rsidR="007A11CA">
        <w:rPr>
          <w:noProof/>
        </w:rPr>
        <w:t>διαταραχών</w:t>
      </w:r>
      <w:r>
        <w:rPr>
          <w:noProof/>
        </w:rPr>
        <w:t xml:space="preserve"> της πήξης του αίματος.</w:t>
      </w:r>
    </w:p>
    <w:p w:rsidR="000F066A" w:rsidRDefault="000F066A">
      <w:pPr>
        <w:rPr>
          <w:b/>
          <w:i/>
          <w:noProof/>
        </w:rPr>
      </w:pPr>
    </w:p>
    <w:p w:rsidR="00CD2AB8" w:rsidRDefault="000F066A">
      <w:pPr>
        <w:rPr>
          <w:b/>
          <w:i/>
          <w:noProof/>
        </w:rPr>
      </w:pPr>
      <w:r w:rsidRPr="000F066A">
        <w:rPr>
          <w:b/>
          <w:i/>
          <w:noProof/>
        </w:rPr>
        <w:t xml:space="preserve">Δοσολογία </w:t>
      </w:r>
    </w:p>
    <w:p w:rsidR="000F066A" w:rsidRDefault="00FF0F1A">
      <w:pPr>
        <w:rPr>
          <w:noProof/>
        </w:rPr>
      </w:pPr>
      <w:r>
        <w:rPr>
          <w:noProof/>
        </w:rPr>
        <w:t>Η δοσολογία</w:t>
      </w:r>
      <w:r w:rsidR="0084729C">
        <w:rPr>
          <w:noProof/>
        </w:rPr>
        <w:t xml:space="preserve"> και η διάρκεια της θεραπείας υποκατάστασης εξαρτώνται από τη σοβαρότητα της </w:t>
      </w:r>
      <w:r w:rsidR="0048176E">
        <w:rPr>
          <w:noProof/>
        </w:rPr>
        <w:t>διαταραχής</w:t>
      </w:r>
      <w:r w:rsidR="0084729C">
        <w:rPr>
          <w:noProof/>
        </w:rPr>
        <w:t>, το σημείο και την έκταση της αιμοραγίας καθώς και την κλινική κατάσταση του ασθενούς.</w:t>
      </w:r>
    </w:p>
    <w:p w:rsidR="0084729C" w:rsidRDefault="0084729C">
      <w:pPr>
        <w:rPr>
          <w:noProof/>
        </w:rPr>
      </w:pPr>
    </w:p>
    <w:p w:rsidR="0084729C" w:rsidRDefault="0048176E" w:rsidP="007D5BF8">
      <w:pPr>
        <w:jc w:val="both"/>
        <w:rPr>
          <w:noProof/>
        </w:rPr>
      </w:pPr>
      <w:r>
        <w:rPr>
          <w:noProof/>
        </w:rPr>
        <w:t>Τα επίπεδα</w:t>
      </w:r>
      <w:r w:rsidR="0084729C">
        <w:rPr>
          <w:noProof/>
        </w:rPr>
        <w:t xml:space="preserve"> του (λειτουργικού) ινωδογόνου </w:t>
      </w:r>
      <w:r w:rsidR="007A11CA">
        <w:rPr>
          <w:noProof/>
        </w:rPr>
        <w:t xml:space="preserve">στο πλάσμα θα </w:t>
      </w:r>
      <w:r w:rsidR="0084729C">
        <w:rPr>
          <w:noProof/>
        </w:rPr>
        <w:t>πρέπει να προσδιορ</w:t>
      </w:r>
      <w:r>
        <w:rPr>
          <w:noProof/>
        </w:rPr>
        <w:t>ίζον</w:t>
      </w:r>
      <w:r w:rsidR="007A11CA">
        <w:rPr>
          <w:noProof/>
        </w:rPr>
        <w:t>ται</w:t>
      </w:r>
      <w:r w:rsidR="0084729C">
        <w:rPr>
          <w:noProof/>
        </w:rPr>
        <w:t xml:space="preserve"> ώστε να υπολογ</w:t>
      </w:r>
      <w:r w:rsidR="007A11CA">
        <w:rPr>
          <w:noProof/>
        </w:rPr>
        <w:t xml:space="preserve">ίζεται </w:t>
      </w:r>
      <w:r w:rsidR="00FF0F1A">
        <w:rPr>
          <w:noProof/>
        </w:rPr>
        <w:t xml:space="preserve">η </w:t>
      </w:r>
      <w:r w:rsidR="007A11CA">
        <w:rPr>
          <w:noProof/>
        </w:rPr>
        <w:t xml:space="preserve">εξατομικευμένη </w:t>
      </w:r>
      <w:r w:rsidR="00FF0F1A">
        <w:rPr>
          <w:noProof/>
        </w:rPr>
        <w:t>δοσολογία</w:t>
      </w:r>
      <w:r w:rsidR="007A11CA">
        <w:rPr>
          <w:noProof/>
        </w:rPr>
        <w:t>. Η</w:t>
      </w:r>
      <w:r w:rsidR="00FF0F1A">
        <w:rPr>
          <w:noProof/>
        </w:rPr>
        <w:t xml:space="preserve"> χορηγούμενη </w:t>
      </w:r>
      <w:r w:rsidR="0084729C">
        <w:rPr>
          <w:noProof/>
        </w:rPr>
        <w:t xml:space="preserve">ποσότητα και η </w:t>
      </w:r>
      <w:r w:rsidR="00FF0F1A">
        <w:rPr>
          <w:noProof/>
        </w:rPr>
        <w:t>συχνότητα χορήγησης πρέπει να καθορ</w:t>
      </w:r>
      <w:r w:rsidR="007A11CA">
        <w:rPr>
          <w:noProof/>
        </w:rPr>
        <w:t>ίζονται με βάση τις ατομικές ανάγκες κάθε ασθενή,</w:t>
      </w:r>
      <w:r w:rsidR="00FF0F1A">
        <w:rPr>
          <w:noProof/>
        </w:rPr>
        <w:t xml:space="preserve"> με</w:t>
      </w:r>
      <w:r w:rsidR="007A11CA">
        <w:rPr>
          <w:noProof/>
        </w:rPr>
        <w:t xml:space="preserve"> </w:t>
      </w:r>
      <w:r w:rsidR="00FF0F1A">
        <w:rPr>
          <w:noProof/>
        </w:rPr>
        <w:t xml:space="preserve">τακτική μέτρηση </w:t>
      </w:r>
      <w:r>
        <w:rPr>
          <w:noProof/>
        </w:rPr>
        <w:t>των επειπέδων</w:t>
      </w:r>
      <w:r w:rsidR="00FF0F1A">
        <w:rPr>
          <w:noProof/>
        </w:rPr>
        <w:t xml:space="preserve"> του ινωδογόνου στο πλάσμα</w:t>
      </w:r>
      <w:r w:rsidR="007A11CA">
        <w:rPr>
          <w:noProof/>
        </w:rPr>
        <w:t xml:space="preserve"> και </w:t>
      </w:r>
      <w:r w:rsidR="00FF0F1A">
        <w:rPr>
          <w:noProof/>
        </w:rPr>
        <w:t xml:space="preserve">με συνεχή </w:t>
      </w:r>
      <w:r w:rsidR="007A11CA">
        <w:rPr>
          <w:noProof/>
        </w:rPr>
        <w:t>παρακολούθηση της κλινικής κατά</w:t>
      </w:r>
      <w:r w:rsidR="00FF0F1A">
        <w:rPr>
          <w:noProof/>
        </w:rPr>
        <w:t>στασης του ασθεν</w:t>
      </w:r>
      <w:r w:rsidR="007A11CA">
        <w:rPr>
          <w:noProof/>
        </w:rPr>
        <w:t>ή</w:t>
      </w:r>
      <w:r w:rsidR="00FF0F1A">
        <w:rPr>
          <w:noProof/>
        </w:rPr>
        <w:t xml:space="preserve"> και </w:t>
      </w:r>
      <w:r w:rsidR="00BD17FF">
        <w:rPr>
          <w:noProof/>
        </w:rPr>
        <w:t>οποιασδήποτε άλλης</w:t>
      </w:r>
      <w:r w:rsidR="00FF0F1A">
        <w:rPr>
          <w:noProof/>
        </w:rPr>
        <w:t xml:space="preserve"> θεραπε</w:t>
      </w:r>
      <w:r w:rsidR="00BD17FF">
        <w:rPr>
          <w:noProof/>
        </w:rPr>
        <w:t>ίας</w:t>
      </w:r>
      <w:r w:rsidR="00FF0F1A">
        <w:rPr>
          <w:noProof/>
        </w:rPr>
        <w:t xml:space="preserve"> </w:t>
      </w:r>
      <w:r>
        <w:rPr>
          <w:noProof/>
        </w:rPr>
        <w:t>υ</w:t>
      </w:r>
      <w:r w:rsidR="00BD17FF">
        <w:rPr>
          <w:noProof/>
        </w:rPr>
        <w:t>πο</w:t>
      </w:r>
      <w:r w:rsidR="00FF0F1A">
        <w:rPr>
          <w:noProof/>
        </w:rPr>
        <w:t xml:space="preserve">κατάστασης </w:t>
      </w:r>
      <w:r w:rsidR="00BD17FF">
        <w:rPr>
          <w:noProof/>
        </w:rPr>
        <w:t>χορηγείται</w:t>
      </w:r>
      <w:r w:rsidR="00FF0F1A">
        <w:rPr>
          <w:noProof/>
        </w:rPr>
        <w:t>.</w:t>
      </w:r>
    </w:p>
    <w:p w:rsidR="0096033C" w:rsidRPr="0096033C" w:rsidRDefault="0048176E" w:rsidP="007D5BF8">
      <w:pPr>
        <w:jc w:val="both"/>
        <w:rPr>
          <w:noProof/>
        </w:rPr>
      </w:pPr>
      <w:r>
        <w:rPr>
          <w:noProof/>
        </w:rPr>
        <w:t>Τα</w:t>
      </w:r>
      <w:r w:rsidR="0096033C">
        <w:rPr>
          <w:noProof/>
        </w:rPr>
        <w:t xml:space="preserve"> </w:t>
      </w:r>
      <w:r>
        <w:rPr>
          <w:noProof/>
        </w:rPr>
        <w:t>φυσιολογικά</w:t>
      </w:r>
      <w:r w:rsidR="00BD17FF">
        <w:rPr>
          <w:noProof/>
        </w:rPr>
        <w:t xml:space="preserve"> </w:t>
      </w:r>
      <w:r>
        <w:rPr>
          <w:noProof/>
        </w:rPr>
        <w:t>επίπεδα</w:t>
      </w:r>
      <w:r w:rsidR="0096033C">
        <w:rPr>
          <w:noProof/>
        </w:rPr>
        <w:t xml:space="preserve"> </w:t>
      </w:r>
      <w:r w:rsidR="00BD17FF">
        <w:rPr>
          <w:noProof/>
        </w:rPr>
        <w:t xml:space="preserve">του </w:t>
      </w:r>
      <w:r w:rsidR="0096033C">
        <w:rPr>
          <w:noProof/>
        </w:rPr>
        <w:t xml:space="preserve">ινωδογόνου στο </w:t>
      </w:r>
      <w:r>
        <w:rPr>
          <w:noProof/>
        </w:rPr>
        <w:t>πλάσμα κυμαίνον</w:t>
      </w:r>
      <w:r w:rsidR="007774C3">
        <w:rPr>
          <w:noProof/>
        </w:rPr>
        <w:t xml:space="preserve">ται </w:t>
      </w:r>
      <w:r w:rsidR="00BD17FF">
        <w:rPr>
          <w:noProof/>
        </w:rPr>
        <w:t>από</w:t>
      </w:r>
      <w:r w:rsidR="007774C3">
        <w:rPr>
          <w:noProof/>
        </w:rPr>
        <w:t xml:space="preserve"> </w:t>
      </w:r>
      <w:r w:rsidR="00644886">
        <w:rPr>
          <w:noProof/>
        </w:rPr>
        <w:t>1,5</w:t>
      </w:r>
      <w:r w:rsidR="007774C3">
        <w:rPr>
          <w:noProof/>
        </w:rPr>
        <w:t xml:space="preserve"> </w:t>
      </w:r>
      <w:r w:rsidR="00BD17FF">
        <w:rPr>
          <w:noProof/>
        </w:rPr>
        <w:t>έως</w:t>
      </w:r>
      <w:r w:rsidR="007774C3">
        <w:rPr>
          <w:noProof/>
        </w:rPr>
        <w:t xml:space="preserve"> 4,</w:t>
      </w:r>
      <w:r w:rsidR="0096033C">
        <w:rPr>
          <w:noProof/>
        </w:rPr>
        <w:t xml:space="preserve">5 </w:t>
      </w:r>
      <w:r w:rsidR="0096033C">
        <w:rPr>
          <w:noProof/>
          <w:lang w:val="en-GB"/>
        </w:rPr>
        <w:t>g</w:t>
      </w:r>
      <w:r w:rsidR="0096033C" w:rsidRPr="0096033C">
        <w:rPr>
          <w:noProof/>
        </w:rPr>
        <w:t>/</w:t>
      </w:r>
      <w:r w:rsidR="0096033C">
        <w:rPr>
          <w:noProof/>
          <w:lang w:val="en-GB"/>
        </w:rPr>
        <w:t>l</w:t>
      </w:r>
      <w:r w:rsidR="0096033C">
        <w:rPr>
          <w:noProof/>
        </w:rPr>
        <w:t xml:space="preserve">. </w:t>
      </w:r>
      <w:r>
        <w:rPr>
          <w:noProof/>
        </w:rPr>
        <w:t>Τα κρίσιμα</w:t>
      </w:r>
      <w:r w:rsidR="0096033C">
        <w:rPr>
          <w:noProof/>
        </w:rPr>
        <w:t xml:space="preserve"> </w:t>
      </w:r>
      <w:r>
        <w:rPr>
          <w:noProof/>
        </w:rPr>
        <w:t>επίπεδα</w:t>
      </w:r>
      <w:r w:rsidR="0096033C">
        <w:rPr>
          <w:noProof/>
        </w:rPr>
        <w:t xml:space="preserve"> ινωδογόνου στο πλάσμα</w:t>
      </w:r>
      <w:r>
        <w:rPr>
          <w:noProof/>
        </w:rPr>
        <w:t>,</w:t>
      </w:r>
      <w:r w:rsidR="0096033C">
        <w:rPr>
          <w:noProof/>
        </w:rPr>
        <w:t xml:space="preserve"> </w:t>
      </w:r>
      <w:r w:rsidR="00BD17FF">
        <w:rPr>
          <w:noProof/>
        </w:rPr>
        <w:t>κάτω από τ</w:t>
      </w:r>
      <w:r>
        <w:rPr>
          <w:noProof/>
        </w:rPr>
        <w:t>α</w:t>
      </w:r>
      <w:r w:rsidR="00BD17FF">
        <w:rPr>
          <w:noProof/>
        </w:rPr>
        <w:t xml:space="preserve"> οποία μπορεί να </w:t>
      </w:r>
      <w:r>
        <w:rPr>
          <w:noProof/>
        </w:rPr>
        <w:t>εμφανιστεί</w:t>
      </w:r>
      <w:r w:rsidR="00BD17FF">
        <w:rPr>
          <w:noProof/>
        </w:rPr>
        <w:t xml:space="preserve"> αιμορραγία </w:t>
      </w:r>
      <w:r w:rsidR="0096033C">
        <w:rPr>
          <w:noProof/>
        </w:rPr>
        <w:t xml:space="preserve">είναι περίπου </w:t>
      </w:r>
      <w:r w:rsidR="00644886">
        <w:rPr>
          <w:noProof/>
        </w:rPr>
        <w:t xml:space="preserve">0,5 – </w:t>
      </w:r>
      <w:r w:rsidR="0096033C">
        <w:rPr>
          <w:noProof/>
        </w:rPr>
        <w:t>1</w:t>
      </w:r>
      <w:r w:rsidR="00644886">
        <w:rPr>
          <w:noProof/>
        </w:rPr>
        <w:t>,0</w:t>
      </w:r>
      <w:r w:rsidR="0096033C">
        <w:rPr>
          <w:noProof/>
        </w:rPr>
        <w:t xml:space="preserve"> </w:t>
      </w:r>
      <w:r w:rsidR="0096033C">
        <w:rPr>
          <w:noProof/>
          <w:lang w:val="en-GB"/>
        </w:rPr>
        <w:t>g</w:t>
      </w:r>
      <w:r w:rsidR="0096033C" w:rsidRPr="0096033C">
        <w:rPr>
          <w:noProof/>
        </w:rPr>
        <w:t>/</w:t>
      </w:r>
      <w:r w:rsidR="0096033C">
        <w:rPr>
          <w:noProof/>
          <w:lang w:val="en-GB"/>
        </w:rPr>
        <w:t>l</w:t>
      </w:r>
      <w:r w:rsidR="007774C3">
        <w:rPr>
          <w:noProof/>
        </w:rPr>
        <w:t>.</w:t>
      </w:r>
      <w:r w:rsidR="007774C3" w:rsidRPr="007774C3">
        <w:rPr>
          <w:noProof/>
        </w:rPr>
        <w:t xml:space="preserve"> </w:t>
      </w:r>
      <w:r w:rsidR="0096033C">
        <w:rPr>
          <w:noProof/>
        </w:rPr>
        <w:t xml:space="preserve">Σε περίπτωση </w:t>
      </w:r>
      <w:r w:rsidR="00BD17FF">
        <w:rPr>
          <w:noProof/>
        </w:rPr>
        <w:t>σοβαρής</w:t>
      </w:r>
      <w:r w:rsidR="0096033C">
        <w:rPr>
          <w:noProof/>
        </w:rPr>
        <w:t xml:space="preserve"> χειρουργικής επέμβασης, </w:t>
      </w:r>
      <w:r w:rsidR="00BD17FF">
        <w:rPr>
          <w:noProof/>
        </w:rPr>
        <w:t xml:space="preserve">είναι ιδιαίτερα σημαντική </w:t>
      </w:r>
      <w:r w:rsidR="007D5BF8">
        <w:rPr>
          <w:noProof/>
        </w:rPr>
        <w:t xml:space="preserve">η </w:t>
      </w:r>
      <w:r w:rsidR="00BD17FF">
        <w:rPr>
          <w:noProof/>
        </w:rPr>
        <w:t xml:space="preserve">σχολαστική </w:t>
      </w:r>
      <w:r w:rsidR="0096033C">
        <w:rPr>
          <w:noProof/>
        </w:rPr>
        <w:t xml:space="preserve"> παρακολούθηση της </w:t>
      </w:r>
      <w:r w:rsidR="00BD17FF">
        <w:rPr>
          <w:noProof/>
        </w:rPr>
        <w:t xml:space="preserve">αποτελεσματικότητας της </w:t>
      </w:r>
      <w:r w:rsidR="0096033C">
        <w:rPr>
          <w:noProof/>
        </w:rPr>
        <w:t xml:space="preserve">θεραπείας </w:t>
      </w:r>
      <w:r>
        <w:rPr>
          <w:noProof/>
        </w:rPr>
        <w:t>υ</w:t>
      </w:r>
      <w:r w:rsidR="00BD17FF">
        <w:rPr>
          <w:noProof/>
        </w:rPr>
        <w:t>πο</w:t>
      </w:r>
      <w:r w:rsidR="0096033C">
        <w:rPr>
          <w:noProof/>
        </w:rPr>
        <w:t>κατάστασης</w:t>
      </w:r>
      <w:r w:rsidR="007D5BF8">
        <w:rPr>
          <w:noProof/>
        </w:rPr>
        <w:t xml:space="preserve"> μεσω εργαστηριακού προσδιορισμού της πήξης</w:t>
      </w:r>
      <w:r w:rsidR="00BD17FF">
        <w:rPr>
          <w:noProof/>
        </w:rPr>
        <w:t xml:space="preserve"> του αίματος</w:t>
      </w:r>
      <w:r w:rsidR="007D5BF8">
        <w:rPr>
          <w:noProof/>
        </w:rPr>
        <w:t>.</w:t>
      </w:r>
    </w:p>
    <w:p w:rsidR="00FF0F1A" w:rsidRDefault="00FF0F1A">
      <w:pPr>
        <w:rPr>
          <w:noProof/>
        </w:rPr>
      </w:pPr>
    </w:p>
    <w:p w:rsidR="00FF0F1A" w:rsidRPr="00CA5A91" w:rsidRDefault="00FF0F1A">
      <w:pPr>
        <w:rPr>
          <w:noProof/>
          <w:u w:val="single"/>
        </w:rPr>
      </w:pPr>
      <w:r w:rsidRPr="00CA5A91">
        <w:rPr>
          <w:noProof/>
          <w:u w:val="single"/>
        </w:rPr>
        <w:t>Δόση έναρξης</w:t>
      </w:r>
    </w:p>
    <w:p w:rsidR="00FF0F1A" w:rsidRDefault="00FF0F1A">
      <w:pPr>
        <w:rPr>
          <w:noProof/>
        </w:rPr>
      </w:pPr>
      <w:r>
        <w:rPr>
          <w:noProof/>
        </w:rPr>
        <w:t xml:space="preserve">Εάν </w:t>
      </w:r>
      <w:r w:rsidR="0048176E">
        <w:rPr>
          <w:noProof/>
        </w:rPr>
        <w:t>τα επίπεδα</w:t>
      </w:r>
      <w:r>
        <w:rPr>
          <w:noProof/>
        </w:rPr>
        <w:t xml:space="preserve"> του ινωδογόνου </w:t>
      </w:r>
      <w:r w:rsidR="00BD17FF">
        <w:rPr>
          <w:noProof/>
        </w:rPr>
        <w:t>σ</w:t>
      </w:r>
      <w:r>
        <w:rPr>
          <w:noProof/>
        </w:rPr>
        <w:t>το</w:t>
      </w:r>
      <w:r w:rsidR="00BD17FF">
        <w:rPr>
          <w:noProof/>
        </w:rPr>
        <w:t>ν</w:t>
      </w:r>
      <w:r>
        <w:rPr>
          <w:noProof/>
        </w:rPr>
        <w:t xml:space="preserve"> ασθενή </w:t>
      </w:r>
      <w:r w:rsidR="00BD17FF">
        <w:rPr>
          <w:noProof/>
        </w:rPr>
        <w:t xml:space="preserve">δεν </w:t>
      </w:r>
      <w:r>
        <w:rPr>
          <w:noProof/>
        </w:rPr>
        <w:t>είναι γ</w:t>
      </w:r>
      <w:r w:rsidR="00BD17FF">
        <w:rPr>
          <w:noProof/>
        </w:rPr>
        <w:t>νωστ</w:t>
      </w:r>
      <w:r w:rsidR="0048176E">
        <w:rPr>
          <w:noProof/>
        </w:rPr>
        <w:t>ά</w:t>
      </w:r>
      <w:r w:rsidR="00BD17FF">
        <w:rPr>
          <w:noProof/>
        </w:rPr>
        <w:t>, η συνιστώμενη δόσ</w:t>
      </w:r>
      <w:r>
        <w:rPr>
          <w:noProof/>
        </w:rPr>
        <w:t xml:space="preserve">η είναι 70 </w:t>
      </w:r>
      <w:r>
        <w:rPr>
          <w:noProof/>
          <w:lang w:val="en-GB"/>
        </w:rPr>
        <w:t>mg</w:t>
      </w:r>
      <w:r>
        <w:rPr>
          <w:noProof/>
        </w:rPr>
        <w:t xml:space="preserve"> ανά</w:t>
      </w:r>
      <w:r w:rsidRPr="00FF0F1A">
        <w:rPr>
          <w:noProof/>
        </w:rPr>
        <w:t xml:space="preserve"> </w:t>
      </w:r>
      <w:r>
        <w:rPr>
          <w:noProof/>
          <w:lang w:val="en-GB"/>
        </w:rPr>
        <w:lastRenderedPageBreak/>
        <w:t>kg</w:t>
      </w:r>
      <w:r>
        <w:rPr>
          <w:noProof/>
        </w:rPr>
        <w:t xml:space="preserve"> βάρους</w:t>
      </w:r>
      <w:r w:rsidR="00BD17FF">
        <w:rPr>
          <w:noProof/>
        </w:rPr>
        <w:t xml:space="preserve"> σώματος</w:t>
      </w:r>
      <w:r>
        <w:rPr>
          <w:noProof/>
        </w:rPr>
        <w:t xml:space="preserve"> (ΒΣ) </w:t>
      </w:r>
      <w:r w:rsidR="00BD17FF">
        <w:rPr>
          <w:noProof/>
        </w:rPr>
        <w:t xml:space="preserve">και χορηγείται </w:t>
      </w:r>
      <w:r w:rsidR="00BF6126">
        <w:rPr>
          <w:noProof/>
        </w:rPr>
        <w:t>ενδοφλ</w:t>
      </w:r>
      <w:r w:rsidR="003C77CC">
        <w:rPr>
          <w:noProof/>
        </w:rPr>
        <w:t>έβια</w:t>
      </w:r>
      <w:r>
        <w:rPr>
          <w:noProof/>
        </w:rPr>
        <w:t>.</w:t>
      </w:r>
    </w:p>
    <w:p w:rsidR="00FF0F1A" w:rsidRDefault="00FF0F1A">
      <w:pPr>
        <w:rPr>
          <w:noProof/>
        </w:rPr>
      </w:pPr>
    </w:p>
    <w:p w:rsidR="00FF0F1A" w:rsidRPr="003572F4" w:rsidRDefault="00CA5A91">
      <w:pPr>
        <w:rPr>
          <w:noProof/>
          <w:u w:val="single"/>
        </w:rPr>
      </w:pPr>
      <w:r w:rsidRPr="003572F4">
        <w:rPr>
          <w:noProof/>
          <w:u w:val="single"/>
        </w:rPr>
        <w:t>Επακόλουθες δόσεις</w:t>
      </w:r>
    </w:p>
    <w:p w:rsidR="00CA5A91" w:rsidRDefault="00BD17FF">
      <w:pPr>
        <w:rPr>
          <w:noProof/>
        </w:rPr>
      </w:pPr>
      <w:r>
        <w:rPr>
          <w:noProof/>
        </w:rPr>
        <w:t xml:space="preserve">Για ήσσονος βαρύτητας περιστατικά (π.χ. επίσταξη, ενδομυϊκή αιμορραγία ή </w:t>
      </w:r>
      <w:r w:rsidR="0048176E">
        <w:rPr>
          <w:noProof/>
        </w:rPr>
        <w:t>εμ</w:t>
      </w:r>
      <w:r>
        <w:rPr>
          <w:noProof/>
        </w:rPr>
        <w:t xml:space="preserve">μηνορραγία), </w:t>
      </w:r>
      <w:r w:rsidR="0048176E">
        <w:rPr>
          <w:noProof/>
        </w:rPr>
        <w:t>τα επίπεδα στόχου για το ινωδογόνο</w:t>
      </w:r>
      <w:r w:rsidR="00CA5A91">
        <w:rPr>
          <w:noProof/>
        </w:rPr>
        <w:t xml:space="preserve"> (1</w:t>
      </w:r>
      <w:r w:rsidR="00CA5A91">
        <w:rPr>
          <w:noProof/>
          <w:lang w:val="en-GB"/>
        </w:rPr>
        <w:t>g</w:t>
      </w:r>
      <w:r w:rsidR="00CA5A91" w:rsidRPr="00CA5A91">
        <w:rPr>
          <w:noProof/>
        </w:rPr>
        <w:t>/</w:t>
      </w:r>
      <w:r w:rsidR="00CA5A91">
        <w:rPr>
          <w:noProof/>
          <w:lang w:val="en-GB"/>
        </w:rPr>
        <w:t>l</w:t>
      </w:r>
      <w:r w:rsidR="00CA5A91" w:rsidRPr="00CA5A91">
        <w:rPr>
          <w:noProof/>
        </w:rPr>
        <w:t xml:space="preserve">) </w:t>
      </w:r>
      <w:r w:rsidR="00CA5A91">
        <w:rPr>
          <w:noProof/>
        </w:rPr>
        <w:t>θα πρέπει να δι</w:t>
      </w:r>
      <w:r w:rsidR="0048176E">
        <w:rPr>
          <w:noProof/>
        </w:rPr>
        <w:t>ατηρούν</w:t>
      </w:r>
      <w:r w:rsidR="00CA5A91">
        <w:rPr>
          <w:noProof/>
        </w:rPr>
        <w:t>ται για τουλάχιστον τρεις ημέ</w:t>
      </w:r>
      <w:r w:rsidR="007774C3">
        <w:rPr>
          <w:noProof/>
        </w:rPr>
        <w:t xml:space="preserve">ρες. </w:t>
      </w:r>
      <w:r>
        <w:rPr>
          <w:noProof/>
        </w:rPr>
        <w:t xml:space="preserve">Για σοβαρά περιστατικά (π.χ. κρανιακό τραύμα ή ενδοκρανιακή αιμορραγία), </w:t>
      </w:r>
      <w:r w:rsidR="0048176E">
        <w:rPr>
          <w:noProof/>
        </w:rPr>
        <w:t>τα επίπεδα στόχου για το ινωδογόνο</w:t>
      </w:r>
      <w:r w:rsidR="007774C3">
        <w:rPr>
          <w:noProof/>
        </w:rPr>
        <w:t xml:space="preserve"> (1</w:t>
      </w:r>
      <w:r w:rsidR="007774C3" w:rsidRPr="007774C3">
        <w:rPr>
          <w:noProof/>
        </w:rPr>
        <w:t>,</w:t>
      </w:r>
      <w:r w:rsidR="00CA5A91">
        <w:rPr>
          <w:noProof/>
        </w:rPr>
        <w:t xml:space="preserve">5 </w:t>
      </w:r>
      <w:r w:rsidR="00CA5A91">
        <w:rPr>
          <w:noProof/>
          <w:lang w:val="en-GB"/>
        </w:rPr>
        <w:t>g</w:t>
      </w:r>
      <w:r w:rsidR="00CA5A91" w:rsidRPr="00CA5A91">
        <w:rPr>
          <w:noProof/>
        </w:rPr>
        <w:t>/</w:t>
      </w:r>
      <w:r w:rsidR="00CA5A91">
        <w:rPr>
          <w:noProof/>
          <w:lang w:val="en-GB"/>
        </w:rPr>
        <w:t>l</w:t>
      </w:r>
      <w:r w:rsidR="00CA5A91" w:rsidRPr="00CA5A91">
        <w:rPr>
          <w:noProof/>
        </w:rPr>
        <w:t>)</w:t>
      </w:r>
      <w:r w:rsidR="0048176E">
        <w:rPr>
          <w:noProof/>
        </w:rPr>
        <w:t xml:space="preserve"> θα πρέπει να διατηρούν</w:t>
      </w:r>
      <w:r w:rsidR="00CA5A91">
        <w:rPr>
          <w:noProof/>
        </w:rPr>
        <w:t>ται για επτά ημέρες.</w:t>
      </w:r>
    </w:p>
    <w:p w:rsidR="00CA5A91" w:rsidRPr="00CA5A91" w:rsidRDefault="00CA5A91"/>
    <w:tbl>
      <w:tblPr>
        <w:tblW w:w="0" w:type="auto"/>
        <w:jc w:val="center"/>
        <w:tblLook w:val="01E0"/>
      </w:tblPr>
      <w:tblGrid>
        <w:gridCol w:w="2750"/>
        <w:gridCol w:w="341"/>
        <w:gridCol w:w="5253"/>
      </w:tblGrid>
      <w:tr w:rsidR="003572F4" w:rsidTr="00CF4042">
        <w:trPr>
          <w:trHeight w:val="263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3572F4" w:rsidRDefault="003572F4" w:rsidP="00CF4042">
            <w:pPr>
              <w:jc w:val="center"/>
            </w:pPr>
            <w:r>
              <w:t>Δόση ινωδογόνου</w:t>
            </w:r>
          </w:p>
        </w:tc>
        <w:tc>
          <w:tcPr>
            <w:tcW w:w="247" w:type="dxa"/>
            <w:vMerge w:val="restart"/>
            <w:shd w:val="clear" w:color="auto" w:fill="auto"/>
            <w:vAlign w:val="center"/>
          </w:tcPr>
          <w:p w:rsidR="003572F4" w:rsidRDefault="003572F4" w:rsidP="00CF4042">
            <w:pPr>
              <w:jc w:val="center"/>
            </w:pPr>
            <w:r>
              <w:t>=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2F4" w:rsidRPr="003572F4" w:rsidRDefault="003572F4" w:rsidP="00CF4042">
            <w:pPr>
              <w:jc w:val="center"/>
            </w:pPr>
            <w:r>
              <w:t>Επ</w:t>
            </w:r>
            <w:r w:rsidR="0048176E">
              <w:t>ίπεδα στόχου</w:t>
            </w:r>
            <w:r>
              <w:t xml:space="preserve"> (</w:t>
            </w:r>
            <w:r w:rsidRPr="00CF4042">
              <w:rPr>
                <w:lang w:val="en-GB"/>
              </w:rPr>
              <w:t>g</w:t>
            </w:r>
            <w:r w:rsidRPr="003572F4">
              <w:t>/</w:t>
            </w:r>
            <w:r w:rsidRPr="00CF4042">
              <w:rPr>
                <w:lang w:val="en-GB"/>
              </w:rPr>
              <w:t>l</w:t>
            </w:r>
            <w:r w:rsidRPr="003572F4">
              <w:t xml:space="preserve">) </w:t>
            </w:r>
            <w:r>
              <w:t>–</w:t>
            </w:r>
            <w:r w:rsidRPr="003572F4">
              <w:t xml:space="preserve"> </w:t>
            </w:r>
            <w:r w:rsidR="0048176E">
              <w:t>Επίπεδα μέτρησης</w:t>
            </w:r>
            <w:r>
              <w:t xml:space="preserve"> (</w:t>
            </w:r>
            <w:r w:rsidRPr="00CF4042">
              <w:rPr>
                <w:lang w:val="en-GB"/>
              </w:rPr>
              <w:t>g</w:t>
            </w:r>
            <w:r w:rsidRPr="003572F4">
              <w:t>/</w:t>
            </w:r>
            <w:r w:rsidRPr="00CF4042">
              <w:rPr>
                <w:lang w:val="en-GB"/>
              </w:rPr>
              <w:t>l</w:t>
            </w:r>
            <w:r w:rsidRPr="003572F4">
              <w:t>)</w:t>
            </w:r>
          </w:p>
        </w:tc>
      </w:tr>
      <w:tr w:rsidR="003572F4" w:rsidTr="00CF4042">
        <w:trPr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3572F4" w:rsidRPr="003572F4" w:rsidRDefault="003572F4" w:rsidP="00CF4042">
            <w:pPr>
              <w:jc w:val="center"/>
            </w:pPr>
            <w:r>
              <w:t>(</w:t>
            </w:r>
            <w:r w:rsidRPr="00CF4042">
              <w:rPr>
                <w:lang w:val="en-GB"/>
              </w:rPr>
              <w:t xml:space="preserve">mg/kg </w:t>
            </w:r>
            <w:r>
              <w:t>βάρους σώματος)</w:t>
            </w:r>
          </w:p>
        </w:tc>
        <w:tc>
          <w:tcPr>
            <w:tcW w:w="247" w:type="dxa"/>
            <w:vMerge/>
            <w:shd w:val="clear" w:color="auto" w:fill="auto"/>
            <w:vAlign w:val="center"/>
          </w:tcPr>
          <w:p w:rsidR="003572F4" w:rsidRDefault="003572F4" w:rsidP="00CF4042">
            <w:pPr>
              <w:jc w:val="center"/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2F4" w:rsidRDefault="007774C3" w:rsidP="00CF4042">
            <w:pPr>
              <w:jc w:val="center"/>
            </w:pPr>
            <w:r>
              <w:t>0</w:t>
            </w:r>
            <w:r w:rsidRPr="007774C3">
              <w:t>,</w:t>
            </w:r>
            <w:r w:rsidR="003572F4">
              <w:t>017 (</w:t>
            </w:r>
            <w:r w:rsidR="003572F4" w:rsidRPr="00CF4042">
              <w:rPr>
                <w:lang w:val="en-GB"/>
              </w:rPr>
              <w:t>g</w:t>
            </w:r>
            <w:r w:rsidR="003572F4" w:rsidRPr="003572F4">
              <w:t>/</w:t>
            </w:r>
            <w:r w:rsidR="003572F4" w:rsidRPr="00CF4042">
              <w:rPr>
                <w:lang w:val="en-GB"/>
              </w:rPr>
              <w:t>l</w:t>
            </w:r>
            <w:r w:rsidR="003572F4">
              <w:t xml:space="preserve"> ανά </w:t>
            </w:r>
            <w:r w:rsidR="003572F4" w:rsidRPr="00CF4042">
              <w:rPr>
                <w:lang w:val="en-GB"/>
              </w:rPr>
              <w:t>mg</w:t>
            </w:r>
            <w:r w:rsidR="003572F4" w:rsidRPr="003572F4">
              <w:t>/</w:t>
            </w:r>
            <w:r w:rsidR="003572F4" w:rsidRPr="00CF4042">
              <w:rPr>
                <w:lang w:val="en-GB"/>
              </w:rPr>
              <w:t>kg</w:t>
            </w:r>
            <w:r w:rsidR="003572F4" w:rsidRPr="003572F4">
              <w:t xml:space="preserve"> </w:t>
            </w:r>
            <w:r w:rsidR="003572F4">
              <w:t>βάρους σώματος</w:t>
            </w:r>
            <w:r w:rsidR="003572F4" w:rsidRPr="003572F4">
              <w:t>)</w:t>
            </w:r>
          </w:p>
        </w:tc>
      </w:tr>
    </w:tbl>
    <w:p w:rsidR="00CA5A91" w:rsidRDefault="00CA5A91"/>
    <w:p w:rsidR="003572F4" w:rsidRPr="00072FD1" w:rsidRDefault="003572F4">
      <w:pPr>
        <w:rPr>
          <w:u w:val="single"/>
        </w:rPr>
      </w:pPr>
      <w:r w:rsidRPr="00072FD1">
        <w:rPr>
          <w:u w:val="single"/>
        </w:rPr>
        <w:t>Δοσολογία για νεογ</w:t>
      </w:r>
      <w:r w:rsidR="00BD17FF">
        <w:rPr>
          <w:u w:val="single"/>
        </w:rPr>
        <w:t>νά</w:t>
      </w:r>
      <w:r w:rsidRPr="00072FD1">
        <w:rPr>
          <w:u w:val="single"/>
        </w:rPr>
        <w:t>, βρέφη και παιδιά:</w:t>
      </w:r>
    </w:p>
    <w:p w:rsidR="003572F4" w:rsidRDefault="00BD17FF">
      <w:r>
        <w:t>Υπάρχουν π</w:t>
      </w:r>
      <w:r w:rsidR="003572F4">
        <w:t xml:space="preserve">εριορισμένα δεδομένα </w:t>
      </w:r>
      <w:r>
        <w:t>κλινικών μελετών</w:t>
      </w:r>
      <w:r w:rsidR="003572F4">
        <w:t xml:space="preserve"> </w:t>
      </w:r>
      <w:r w:rsidR="001D0C8E">
        <w:t>σχετικά με</w:t>
      </w:r>
      <w:r w:rsidR="003572F4">
        <w:t xml:space="preserve"> τη δοσολογία του </w:t>
      </w:r>
      <w:r w:rsidR="003572F4">
        <w:rPr>
          <w:lang w:val="en-GB"/>
        </w:rPr>
        <w:t>Riastap</w:t>
      </w:r>
      <w:r w:rsidR="001D0C8E">
        <w:t xml:space="preserve"> στα</w:t>
      </w:r>
      <w:r w:rsidR="003572F4">
        <w:t xml:space="preserve"> παιδιά. </w:t>
      </w:r>
      <w:r w:rsidR="001D0C8E">
        <w:t>Με βάση τα αποτελέσματα των κλινικών μελετών αλλά και της μακρόχρονης κλινικής εμπειρίας με τα προϊόντα ινωδογόνου, η συνιστώμενη δοσολογία για τα παιδιά είναι η ίδια με αυτή των ενηλίκων.</w:t>
      </w:r>
    </w:p>
    <w:p w:rsidR="0003350E" w:rsidRDefault="0003350E"/>
    <w:p w:rsidR="0003350E" w:rsidRPr="00072FD1" w:rsidRDefault="0003350E">
      <w:pPr>
        <w:rPr>
          <w:b/>
          <w:i/>
        </w:rPr>
      </w:pPr>
      <w:r w:rsidRPr="00072FD1">
        <w:rPr>
          <w:b/>
          <w:i/>
        </w:rPr>
        <w:t>Μέθοδος Χορήγησης</w:t>
      </w:r>
    </w:p>
    <w:p w:rsidR="0003350E" w:rsidRDefault="0003350E">
      <w:r>
        <w:t>Ενδοφλέβια ένεση ή έγχυση.</w:t>
      </w:r>
    </w:p>
    <w:p w:rsidR="0003350E" w:rsidRPr="0003350E" w:rsidRDefault="0003350E">
      <w:r>
        <w:t xml:space="preserve">Η ανασύσταση του </w:t>
      </w:r>
      <w:r>
        <w:rPr>
          <w:lang w:val="en-GB"/>
        </w:rPr>
        <w:t>Riastap</w:t>
      </w:r>
      <w:r>
        <w:t xml:space="preserve"> πρέπει να γίνεται σύμφωνα με τις οδηγίες της παραγράφου 6.6. </w:t>
      </w:r>
      <w:r w:rsidR="003C77CC">
        <w:t xml:space="preserve">Πριν από τη χορήγηση το </w:t>
      </w:r>
      <w:r>
        <w:t xml:space="preserve">ανασυσταμένο διάλυμα πρέπει να αποκτά θερμοκρασία </w:t>
      </w:r>
      <w:r w:rsidR="0048176E">
        <w:t>περιβάλλοντος</w:t>
      </w:r>
      <w:r>
        <w:t xml:space="preserve"> ή σώματος </w:t>
      </w:r>
      <w:r w:rsidR="001D0C8E">
        <w:t>και</w:t>
      </w:r>
      <w:r>
        <w:t xml:space="preserve"> </w:t>
      </w:r>
      <w:r w:rsidR="003C77CC">
        <w:t xml:space="preserve">στη συνέχεια </w:t>
      </w:r>
      <w:r>
        <w:t xml:space="preserve">να χορηγείται </w:t>
      </w:r>
      <w:r w:rsidR="0048176E">
        <w:t xml:space="preserve">με ένεση ή </w:t>
      </w:r>
      <w:r w:rsidR="000D6DCD">
        <w:t xml:space="preserve">έγχυση, </w:t>
      </w:r>
      <w:r>
        <w:t xml:space="preserve">με </w:t>
      </w:r>
      <w:r w:rsidR="001D0C8E">
        <w:t xml:space="preserve">αργό </w:t>
      </w:r>
      <w:r>
        <w:t xml:space="preserve">ρυθμό που </w:t>
      </w:r>
      <w:r w:rsidR="001D0C8E">
        <w:t xml:space="preserve">να </w:t>
      </w:r>
      <w:r>
        <w:t xml:space="preserve">είναι ανεκτός από τον ασθενή. Ο ρυθμός έγχυσης δεν θα πρέπει να ξεπερνά τα 5 </w:t>
      </w:r>
      <w:r>
        <w:rPr>
          <w:lang w:val="en-GB"/>
        </w:rPr>
        <w:t>ml</w:t>
      </w:r>
      <w:r w:rsidRPr="0003350E">
        <w:t xml:space="preserve"> </w:t>
      </w:r>
      <w:r>
        <w:t>ανά λεπτό</w:t>
      </w:r>
      <w:r w:rsidR="001D0C8E">
        <w:t>, περίπου</w:t>
      </w:r>
      <w:r>
        <w:t xml:space="preserve">. </w:t>
      </w:r>
    </w:p>
    <w:p w:rsidR="00CA5A91" w:rsidRDefault="00CA5A91"/>
    <w:p w:rsidR="00CD2AB8" w:rsidRDefault="00CD2AB8">
      <w:r>
        <w:rPr>
          <w:b/>
        </w:rPr>
        <w:t>4.3</w:t>
      </w:r>
      <w:r>
        <w:rPr>
          <w:b/>
        </w:rPr>
        <w:tab/>
        <w:t>Αντενδείξεις</w:t>
      </w:r>
    </w:p>
    <w:p w:rsidR="00CD2AB8" w:rsidRDefault="00CD2AB8"/>
    <w:p w:rsidR="00CD2AB8" w:rsidRDefault="00CD2AB8">
      <w:r>
        <w:t xml:space="preserve">Υπερευαισθησία </w:t>
      </w:r>
      <w:r w:rsidR="0003350E">
        <w:t>στις δραστικές ουσίες</w:t>
      </w:r>
      <w:r>
        <w:t xml:space="preserve"> ή σε κάποιο από τα έκδοχα</w:t>
      </w:r>
      <w:r w:rsidR="0003350E">
        <w:t>.</w:t>
      </w:r>
    </w:p>
    <w:p w:rsidR="00CD2AB8" w:rsidRDefault="00CD2AB8"/>
    <w:p w:rsidR="00CD2AB8" w:rsidRDefault="00CD2AB8">
      <w:r>
        <w:rPr>
          <w:b/>
        </w:rPr>
        <w:t>4.4</w:t>
      </w:r>
      <w:r>
        <w:rPr>
          <w:b/>
        </w:rPr>
        <w:tab/>
        <w:t>Ειδικές προειδοποιήσεις και προφυλάξεις κατά τη χρήση</w:t>
      </w:r>
    </w:p>
    <w:p w:rsidR="00CD2AB8" w:rsidRDefault="00CD2AB8"/>
    <w:p w:rsidR="00AE0D0E" w:rsidRDefault="00AE0D0E">
      <w:r>
        <w:t xml:space="preserve">Υπάρχει κίνδυνος θρόμβωσης όταν χορηγείται συμπύκνωμα ανθρώπινου ινωδογόνου σε ασθενείς με συγγενή ανεπάρκεια, ιδιαίτερα όταν χορηγούνται μεγάλες ή επαναλαμβανόμενες δόσεις. Οι ασθενείς </w:t>
      </w:r>
      <w:r w:rsidR="003C77CC">
        <w:t>στους οποίους</w:t>
      </w:r>
      <w:r>
        <w:t xml:space="preserve"> έχει χορηγηθεί συμπύκνωμα ανθρώπινου ινωδογόνου θα πρέπει να παρακολουθούνται </w:t>
      </w:r>
      <w:r w:rsidR="000D6DCD">
        <w:t>προσεκτικά</w:t>
      </w:r>
      <w:r>
        <w:t xml:space="preserve"> για τυχόν σημεία ή συμπτώματα θρόμβωσης.</w:t>
      </w:r>
    </w:p>
    <w:p w:rsidR="00AE0D0E" w:rsidRDefault="00AE0D0E"/>
    <w:p w:rsidR="00F25C12" w:rsidRDefault="00AE0D0E">
      <w:r>
        <w:t xml:space="preserve">Σε ασθενείς με ιστορικό </w:t>
      </w:r>
      <w:r w:rsidR="006A5E3F">
        <w:t>στεφανιαίας νόσου ή έμφραγμα του μυοκαρδίου, σε ασθενείς</w:t>
      </w:r>
      <w:r w:rsidR="007774C3">
        <w:t xml:space="preserve"> με </w:t>
      </w:r>
      <w:r w:rsidR="000D6DCD">
        <w:t>ηπατική νόσο</w:t>
      </w:r>
      <w:r w:rsidR="007774C3">
        <w:t>, σε περι</w:t>
      </w:r>
      <w:r w:rsidR="007774C3" w:rsidRPr="007774C3">
        <w:t xml:space="preserve">- </w:t>
      </w:r>
      <w:r w:rsidR="006A5E3F">
        <w:t xml:space="preserve">ή μετεγχειρητικούς ασθενείς, σε νεογέννητα και σε ασθενείς που κινδυνεύουν να υποστούν θρομβοεμβολικά επεισόδια ή να εμφανίσουν διάχυτη ενδαγγειακή πήξη, το δυνητικό όφελος της θεραπείας με συμπύκνωμα ανθρώπινου ινωδογόνου </w:t>
      </w:r>
      <w:r w:rsidR="00F25C12">
        <w:t xml:space="preserve">πρέπει να αντισταθμίζεται έναντι του κινδύνου εμφάνισης θρομβοεμβολικών επιπλοκών. </w:t>
      </w:r>
      <w:r w:rsidR="00FF00D8">
        <w:t xml:space="preserve">Η </w:t>
      </w:r>
      <w:r w:rsidR="00B21600">
        <w:t xml:space="preserve">θεραπεία θα πρέπει να </w:t>
      </w:r>
      <w:r w:rsidR="00FF00D8">
        <w:t>χορ</w:t>
      </w:r>
      <w:r w:rsidR="00B21600">
        <w:t>ηγείται</w:t>
      </w:r>
      <w:r w:rsidR="00FF00D8">
        <w:t xml:space="preserve"> με προσοχή και υπό συνεχή</w:t>
      </w:r>
      <w:r w:rsidR="00F25C12">
        <w:t xml:space="preserve"> παρακολούθηση</w:t>
      </w:r>
      <w:r w:rsidR="00FF00D8">
        <w:t xml:space="preserve"> του ασθενή</w:t>
      </w:r>
      <w:r w:rsidR="00F25C12">
        <w:t>.</w:t>
      </w:r>
    </w:p>
    <w:p w:rsidR="00F25C12" w:rsidRDefault="00F25C12"/>
    <w:p w:rsidR="00AE0D0E" w:rsidRDefault="00F25C12">
      <w:r>
        <w:t>Εάν εκδηλωθούν αλλεργικές ή αναφυλακτικού τύπου αντιδράσεις, η χορήγηση πρέπει να διακοπεί αμέσως. Σε περίπτωση αναφυλακτικής καταπληξίας, πρέπει να εφαρμοσθ</w:t>
      </w:r>
      <w:r w:rsidR="00857B90">
        <w:t>ούν οι</w:t>
      </w:r>
      <w:r>
        <w:t xml:space="preserve"> καθιερωμέν</w:t>
      </w:r>
      <w:r w:rsidR="00857B90">
        <w:t xml:space="preserve">ες </w:t>
      </w:r>
      <w:r w:rsidR="003C77CC">
        <w:t xml:space="preserve">ιατρικές </w:t>
      </w:r>
      <w:r w:rsidR="00857B90">
        <w:t>οδηγίες</w:t>
      </w:r>
      <w:r>
        <w:t xml:space="preserve"> αντιμετώπιση</w:t>
      </w:r>
      <w:r w:rsidR="00857B90">
        <w:t>ς</w:t>
      </w:r>
      <w:r>
        <w:t xml:space="preserve"> </w:t>
      </w:r>
      <w:r w:rsidR="00857B90">
        <w:t>της</w:t>
      </w:r>
      <w:r>
        <w:t>.</w:t>
      </w:r>
    </w:p>
    <w:p w:rsidR="00F25C12" w:rsidRDefault="00F25C12"/>
    <w:p w:rsidR="00F25C12" w:rsidRDefault="00F25C12">
      <w:r>
        <w:t xml:space="preserve">Στην περίπτωση θεραπείας </w:t>
      </w:r>
      <w:r w:rsidR="000D6DCD">
        <w:t>υ</w:t>
      </w:r>
      <w:r w:rsidR="00B21600">
        <w:t>πο</w:t>
      </w:r>
      <w:r>
        <w:t>κατάστασης με παράγοντες πήξης για άλλες συγγενείς αν</w:t>
      </w:r>
      <w:r w:rsidR="000D6DCD">
        <w:t>επάρκειες</w:t>
      </w:r>
      <w:r>
        <w:t>, έχουν παρατηρηθεί αντιδράσεις αντισωμάτων, αλλά δεν υπάρχουν δεδομένα για το ινωδογόνο έως σήμερα.</w:t>
      </w:r>
    </w:p>
    <w:p w:rsidR="00F25C12" w:rsidRDefault="00F25C12"/>
    <w:p w:rsidR="00F25C12" w:rsidRDefault="00F25C12">
      <w:r>
        <w:t xml:space="preserve">Το </w:t>
      </w:r>
      <w:r>
        <w:rPr>
          <w:lang w:val="en-GB"/>
        </w:rPr>
        <w:t>Riastap</w:t>
      </w:r>
      <w:r>
        <w:t xml:space="preserve"> περιέχει έως 164 </w:t>
      </w:r>
      <w:r>
        <w:rPr>
          <w:lang w:val="en-GB"/>
        </w:rPr>
        <w:t>mg</w:t>
      </w:r>
      <w:r w:rsidRPr="00F25C12">
        <w:t xml:space="preserve"> </w:t>
      </w:r>
      <w:r w:rsidR="007774C3">
        <w:t>(7</w:t>
      </w:r>
      <w:r w:rsidR="007774C3" w:rsidRPr="007774C3">
        <w:t>,</w:t>
      </w:r>
      <w:r>
        <w:t xml:space="preserve">1 </w:t>
      </w:r>
      <w:r>
        <w:rPr>
          <w:lang w:val="en-GB"/>
        </w:rPr>
        <w:t>mmol</w:t>
      </w:r>
      <w:r>
        <w:t xml:space="preserve">) νατρίου ανά φιαλίδιο. </w:t>
      </w:r>
      <w:r w:rsidR="00644886">
        <w:t xml:space="preserve">Αυτό ισοδυναμεί με 11,5 </w:t>
      </w:r>
      <w:r w:rsidR="00644886">
        <w:rPr>
          <w:lang w:val="en-GB"/>
        </w:rPr>
        <w:t>mg</w:t>
      </w:r>
      <w:r w:rsidR="00644886">
        <w:t xml:space="preserve"> (0,5 </w:t>
      </w:r>
      <w:r w:rsidR="00644886">
        <w:rPr>
          <w:lang w:val="en-GB"/>
        </w:rPr>
        <w:t>mmol</w:t>
      </w:r>
      <w:r w:rsidR="00644886" w:rsidRPr="00644886">
        <w:t xml:space="preserve">) </w:t>
      </w:r>
      <w:r w:rsidR="00644886">
        <w:t xml:space="preserve">νατρίου ανά </w:t>
      </w:r>
      <w:r w:rsidR="00644886">
        <w:rPr>
          <w:lang w:val="en-GB"/>
        </w:rPr>
        <w:t>kg</w:t>
      </w:r>
      <w:r w:rsidR="00644886">
        <w:t xml:space="preserve"> βάρους σώματος του </w:t>
      </w:r>
      <w:r w:rsidR="00B21600">
        <w:t>ασθενή</w:t>
      </w:r>
      <w:r w:rsidR="00644886">
        <w:t xml:space="preserve">, εάν χορηγείται η συνιστώμενη δόση </w:t>
      </w:r>
      <w:r w:rsidR="00B21600">
        <w:t xml:space="preserve">έναρξης </w:t>
      </w:r>
      <w:r w:rsidR="00644886">
        <w:t xml:space="preserve">των 70 </w:t>
      </w:r>
      <w:r w:rsidR="00644886">
        <w:rPr>
          <w:lang w:val="en-GB"/>
        </w:rPr>
        <w:t>mg</w:t>
      </w:r>
      <w:r w:rsidR="00644886" w:rsidRPr="00644886">
        <w:t>/</w:t>
      </w:r>
      <w:r w:rsidR="00644886">
        <w:rPr>
          <w:lang w:val="en-GB"/>
        </w:rPr>
        <w:t>kg</w:t>
      </w:r>
      <w:r w:rsidR="00644886">
        <w:t xml:space="preserve"> βάρους σώματος. </w:t>
      </w:r>
      <w:r>
        <w:t>Αυτ</w:t>
      </w:r>
      <w:r w:rsidR="00644886">
        <w:t>ό θα πρέπει να ληφθεί υπ</w:t>
      </w:r>
      <w:r>
        <w:t>όψη από ασθενείς σε ελεγχόμενη δίαιτα νατρίου.</w:t>
      </w:r>
    </w:p>
    <w:p w:rsidR="00F25C12" w:rsidRDefault="00F25C12"/>
    <w:p w:rsidR="00F25C12" w:rsidRPr="00072FD1" w:rsidRDefault="00F25C12">
      <w:pPr>
        <w:rPr>
          <w:b/>
          <w:i/>
        </w:rPr>
      </w:pPr>
      <w:r w:rsidRPr="00072FD1">
        <w:rPr>
          <w:b/>
          <w:i/>
        </w:rPr>
        <w:t>Ιολογική ασφάλεια</w:t>
      </w:r>
    </w:p>
    <w:p w:rsidR="00857B90" w:rsidRPr="00B810BE" w:rsidRDefault="00857B90" w:rsidP="00857B90">
      <w:pPr>
        <w:rPr>
          <w:szCs w:val="22"/>
        </w:rPr>
      </w:pPr>
      <w:r w:rsidRPr="00B810BE">
        <w:rPr>
          <w:szCs w:val="22"/>
        </w:rPr>
        <w:t xml:space="preserve">Τα συνήθη μέτρα που εφαρμόζονται για την πρόληψη λοιμώξεων που προκύπτουν από τη χρήση </w:t>
      </w:r>
      <w:r w:rsidRPr="00B810BE">
        <w:rPr>
          <w:szCs w:val="22"/>
        </w:rPr>
        <w:lastRenderedPageBreak/>
        <w:t xml:space="preserve">φαρμακευτικών προϊόντων που παρασκευάζονται με βάση το ανθρώπινο αίμα ή πλάσμα περιλαμβάνουν την επιλογή </w:t>
      </w:r>
      <w:r>
        <w:rPr>
          <w:szCs w:val="22"/>
        </w:rPr>
        <w:t xml:space="preserve">των </w:t>
      </w:r>
      <w:r w:rsidRPr="00B810BE">
        <w:rPr>
          <w:szCs w:val="22"/>
        </w:rPr>
        <w:t>δ</w:t>
      </w:r>
      <w:r w:rsidR="000D6DCD">
        <w:rPr>
          <w:szCs w:val="22"/>
        </w:rPr>
        <w:t>οτών</w:t>
      </w:r>
      <w:r w:rsidRPr="00B810BE">
        <w:rPr>
          <w:szCs w:val="22"/>
        </w:rPr>
        <w:t xml:space="preserve">, τον έλεγχο των </w:t>
      </w:r>
      <w:r>
        <w:rPr>
          <w:szCs w:val="22"/>
        </w:rPr>
        <w:t>μεμονωμένων</w:t>
      </w:r>
      <w:r w:rsidRPr="00B810BE">
        <w:rPr>
          <w:szCs w:val="22"/>
        </w:rPr>
        <w:t xml:space="preserve"> </w:t>
      </w:r>
      <w:r w:rsidR="00897B91">
        <w:rPr>
          <w:szCs w:val="22"/>
        </w:rPr>
        <w:t>προσφορών</w:t>
      </w:r>
      <w:r w:rsidR="00897B91" w:rsidRPr="00B810BE">
        <w:rPr>
          <w:szCs w:val="22"/>
        </w:rPr>
        <w:t xml:space="preserve"> </w:t>
      </w:r>
      <w:r w:rsidRPr="00B810BE">
        <w:rPr>
          <w:szCs w:val="22"/>
        </w:rPr>
        <w:t xml:space="preserve">και </w:t>
      </w:r>
      <w:r>
        <w:rPr>
          <w:szCs w:val="22"/>
        </w:rPr>
        <w:t xml:space="preserve">των </w:t>
      </w:r>
      <w:r w:rsidRPr="00B810BE">
        <w:rPr>
          <w:szCs w:val="22"/>
        </w:rPr>
        <w:t xml:space="preserve">δεξαμενών πλάσματος για την ύπαρξη </w:t>
      </w:r>
      <w:r>
        <w:rPr>
          <w:szCs w:val="22"/>
        </w:rPr>
        <w:t xml:space="preserve">ειδικών </w:t>
      </w:r>
      <w:r w:rsidRPr="00B810BE">
        <w:rPr>
          <w:szCs w:val="22"/>
        </w:rPr>
        <w:t>δεικτών λοιμώξεων</w:t>
      </w:r>
      <w:r>
        <w:rPr>
          <w:szCs w:val="22"/>
        </w:rPr>
        <w:t>,</w:t>
      </w:r>
      <w:r w:rsidRPr="00B810BE">
        <w:rPr>
          <w:szCs w:val="22"/>
        </w:rPr>
        <w:t xml:space="preserve"> καθώς και την εφαρμογή αποτελεσματικών σταδίων απομάκρυνσης/αδρανοποίησης ιών </w:t>
      </w:r>
      <w:r>
        <w:rPr>
          <w:szCs w:val="22"/>
        </w:rPr>
        <w:t xml:space="preserve">κατά </w:t>
      </w:r>
      <w:r w:rsidRPr="00B810BE">
        <w:rPr>
          <w:szCs w:val="22"/>
        </w:rPr>
        <w:t>την παραγωγική διαδικασία</w:t>
      </w:r>
      <w:r>
        <w:rPr>
          <w:szCs w:val="22"/>
        </w:rPr>
        <w:t xml:space="preserve">. Παρ’ </w:t>
      </w:r>
      <w:r w:rsidRPr="00B810BE">
        <w:rPr>
          <w:szCs w:val="22"/>
        </w:rPr>
        <w:t>όλα αυτά, δε</w:t>
      </w:r>
      <w:r>
        <w:rPr>
          <w:szCs w:val="22"/>
        </w:rPr>
        <w:t xml:space="preserve">ν μπορεί να αποκλειστεί </w:t>
      </w:r>
      <w:r w:rsidRPr="00B810BE">
        <w:rPr>
          <w:szCs w:val="22"/>
        </w:rPr>
        <w:t>πλήρως η πιθανότητα μετάδοσης λοιμογόνων παραγόντων</w:t>
      </w:r>
      <w:r>
        <w:rPr>
          <w:szCs w:val="22"/>
        </w:rPr>
        <w:t>,</w:t>
      </w:r>
      <w:r w:rsidRPr="00B810BE">
        <w:rPr>
          <w:szCs w:val="22"/>
        </w:rPr>
        <w:t xml:space="preserve"> όταν χορηγούνται φαρμακευτικά προϊόντα που έχουν παρασκευαστεί από ανθρώπινο αίμα ή πλάσμα.</w:t>
      </w:r>
      <w:r>
        <w:rPr>
          <w:szCs w:val="22"/>
        </w:rPr>
        <w:t xml:space="preserve"> </w:t>
      </w:r>
      <w:r w:rsidRPr="00B810BE">
        <w:rPr>
          <w:szCs w:val="22"/>
        </w:rPr>
        <w:t xml:space="preserve">Αυτό αφορά επίσης </w:t>
      </w:r>
      <w:r>
        <w:rPr>
          <w:szCs w:val="22"/>
        </w:rPr>
        <w:t xml:space="preserve">άγνωστους ή αναδυόμενους </w:t>
      </w:r>
      <w:r w:rsidRPr="00B810BE">
        <w:rPr>
          <w:szCs w:val="22"/>
        </w:rPr>
        <w:t>ιούς και άλλα παθογόνα.</w:t>
      </w:r>
    </w:p>
    <w:p w:rsidR="00857B90" w:rsidRPr="00B810BE" w:rsidRDefault="00857B90" w:rsidP="00857B90">
      <w:pPr>
        <w:rPr>
          <w:szCs w:val="22"/>
        </w:rPr>
      </w:pPr>
    </w:p>
    <w:p w:rsidR="00857B90" w:rsidRPr="00B810BE" w:rsidRDefault="00857B90" w:rsidP="00857B90">
      <w:pPr>
        <w:rPr>
          <w:szCs w:val="22"/>
        </w:rPr>
      </w:pPr>
      <w:r w:rsidRPr="00B810BE">
        <w:rPr>
          <w:szCs w:val="22"/>
        </w:rPr>
        <w:t>Τα μέτρα που εφαρμόζονται θεωρούνται αποτελεσματικά έναντι των ελυτροφόρων ιών</w:t>
      </w:r>
      <w:r w:rsidR="001909F6">
        <w:rPr>
          <w:szCs w:val="22"/>
        </w:rPr>
        <w:t>,</w:t>
      </w:r>
      <w:r w:rsidRPr="00B810BE">
        <w:rPr>
          <w:szCs w:val="22"/>
        </w:rPr>
        <w:t xml:space="preserve"> </w:t>
      </w:r>
      <w:r>
        <w:rPr>
          <w:szCs w:val="22"/>
        </w:rPr>
        <w:t>όπως οι</w:t>
      </w:r>
      <w:r w:rsidRPr="00B810BE">
        <w:rPr>
          <w:szCs w:val="22"/>
        </w:rPr>
        <w:t xml:space="preserve"> </w:t>
      </w:r>
      <w:r w:rsidRPr="00B810BE">
        <w:rPr>
          <w:szCs w:val="22"/>
          <w:lang w:val="en-US"/>
        </w:rPr>
        <w:t>HIV</w:t>
      </w:r>
      <w:r w:rsidRPr="00B810BE">
        <w:rPr>
          <w:szCs w:val="22"/>
        </w:rPr>
        <w:t xml:space="preserve">, </w:t>
      </w:r>
      <w:r w:rsidRPr="00B810BE">
        <w:rPr>
          <w:szCs w:val="22"/>
          <w:lang w:val="en-US"/>
        </w:rPr>
        <w:t>H</w:t>
      </w:r>
      <w:r w:rsidRPr="00B810BE">
        <w:rPr>
          <w:szCs w:val="22"/>
        </w:rPr>
        <w:t>Β</w:t>
      </w:r>
      <w:r w:rsidRPr="00B810BE">
        <w:rPr>
          <w:szCs w:val="22"/>
          <w:lang w:val="en-US"/>
        </w:rPr>
        <w:t>V</w:t>
      </w:r>
      <w:r w:rsidRPr="00B810BE">
        <w:rPr>
          <w:szCs w:val="22"/>
        </w:rPr>
        <w:t xml:space="preserve"> και </w:t>
      </w:r>
      <w:r w:rsidRPr="00B810BE">
        <w:rPr>
          <w:szCs w:val="22"/>
          <w:lang w:val="en-US"/>
        </w:rPr>
        <w:t>HCV</w:t>
      </w:r>
      <w:r>
        <w:rPr>
          <w:szCs w:val="22"/>
        </w:rPr>
        <w:t>,</w:t>
      </w:r>
      <w:r w:rsidRPr="00B810BE">
        <w:rPr>
          <w:szCs w:val="22"/>
        </w:rPr>
        <w:t xml:space="preserve"> καθώς και του μη-ελυτροφόρου ιού </w:t>
      </w:r>
      <w:r w:rsidRPr="00B810BE">
        <w:rPr>
          <w:szCs w:val="22"/>
          <w:lang w:val="en-US"/>
        </w:rPr>
        <w:t>HAV</w:t>
      </w:r>
      <w:r>
        <w:rPr>
          <w:szCs w:val="22"/>
        </w:rPr>
        <w:t>.</w:t>
      </w:r>
    </w:p>
    <w:p w:rsidR="00857B90" w:rsidRPr="00B810BE" w:rsidRDefault="00857B90" w:rsidP="00857B90">
      <w:pPr>
        <w:rPr>
          <w:szCs w:val="22"/>
        </w:rPr>
      </w:pPr>
    </w:p>
    <w:p w:rsidR="00857B90" w:rsidRPr="00B810BE" w:rsidRDefault="00857B90" w:rsidP="00857B90">
      <w:pPr>
        <w:rPr>
          <w:szCs w:val="22"/>
        </w:rPr>
      </w:pPr>
      <w:r w:rsidRPr="00B810BE">
        <w:rPr>
          <w:szCs w:val="22"/>
        </w:rPr>
        <w:t xml:space="preserve">Τα μέτρα αυτά μπορεί να </w:t>
      </w:r>
      <w:r w:rsidR="001909F6">
        <w:rPr>
          <w:szCs w:val="22"/>
        </w:rPr>
        <w:t>έχουν</w:t>
      </w:r>
      <w:r w:rsidRPr="00B810BE">
        <w:rPr>
          <w:szCs w:val="22"/>
        </w:rPr>
        <w:t xml:space="preserve"> με</w:t>
      </w:r>
      <w:r w:rsidR="001909F6">
        <w:rPr>
          <w:szCs w:val="22"/>
        </w:rPr>
        <w:t>ιωμένη αξία</w:t>
      </w:r>
      <w:r w:rsidRPr="00B810BE">
        <w:rPr>
          <w:szCs w:val="22"/>
        </w:rPr>
        <w:t xml:space="preserve"> έναντι </w:t>
      </w:r>
      <w:r w:rsidR="001909F6">
        <w:rPr>
          <w:szCs w:val="22"/>
        </w:rPr>
        <w:t xml:space="preserve">των </w:t>
      </w:r>
      <w:r w:rsidRPr="00B810BE">
        <w:rPr>
          <w:szCs w:val="22"/>
        </w:rPr>
        <w:t xml:space="preserve">μη ελυτροφόρων </w:t>
      </w:r>
      <w:r>
        <w:rPr>
          <w:szCs w:val="22"/>
        </w:rPr>
        <w:t>ιών</w:t>
      </w:r>
      <w:r w:rsidR="001909F6">
        <w:rPr>
          <w:szCs w:val="22"/>
        </w:rPr>
        <w:t>,</w:t>
      </w:r>
      <w:r>
        <w:rPr>
          <w:szCs w:val="22"/>
        </w:rPr>
        <w:t xml:space="preserve"> όπως είναι ο παρβοϊός Β19.</w:t>
      </w:r>
    </w:p>
    <w:p w:rsidR="00857B90" w:rsidRPr="00B810BE" w:rsidRDefault="00857B90" w:rsidP="00857B90">
      <w:pPr>
        <w:rPr>
          <w:szCs w:val="22"/>
        </w:rPr>
      </w:pPr>
    </w:p>
    <w:p w:rsidR="00857B90" w:rsidRPr="00B810BE" w:rsidRDefault="00857B90" w:rsidP="00857B90">
      <w:pPr>
        <w:rPr>
          <w:szCs w:val="22"/>
        </w:rPr>
      </w:pPr>
      <w:r w:rsidRPr="00B810BE">
        <w:rPr>
          <w:szCs w:val="22"/>
        </w:rPr>
        <w:t xml:space="preserve">Η λοίμωξη από παρβοϊό Β19 μπορεί να </w:t>
      </w:r>
      <w:r>
        <w:rPr>
          <w:szCs w:val="22"/>
        </w:rPr>
        <w:t>είναι</w:t>
      </w:r>
      <w:r w:rsidRPr="00B810BE">
        <w:rPr>
          <w:szCs w:val="22"/>
        </w:rPr>
        <w:t xml:space="preserve"> πολύ σοβαρ</w:t>
      </w:r>
      <w:r>
        <w:rPr>
          <w:szCs w:val="22"/>
        </w:rPr>
        <w:t>ή</w:t>
      </w:r>
      <w:r w:rsidRPr="00B810BE">
        <w:rPr>
          <w:szCs w:val="22"/>
        </w:rPr>
        <w:t xml:space="preserve"> </w:t>
      </w:r>
      <w:r>
        <w:rPr>
          <w:szCs w:val="22"/>
        </w:rPr>
        <w:t>για τις</w:t>
      </w:r>
      <w:r w:rsidRPr="00B810BE">
        <w:rPr>
          <w:szCs w:val="22"/>
        </w:rPr>
        <w:t xml:space="preserve"> έγκυες γυναίκες (εμβρυϊκή λοίμωξη) και </w:t>
      </w:r>
      <w:r>
        <w:rPr>
          <w:szCs w:val="22"/>
        </w:rPr>
        <w:t>για τα</w:t>
      </w:r>
      <w:r w:rsidRPr="00B810BE">
        <w:rPr>
          <w:szCs w:val="22"/>
        </w:rPr>
        <w:t xml:space="preserve"> άτομα με εξασθενημένο ανοσοποιητικό </w:t>
      </w:r>
      <w:r w:rsidR="001909F6">
        <w:rPr>
          <w:szCs w:val="22"/>
        </w:rPr>
        <w:t xml:space="preserve">σύστημα </w:t>
      </w:r>
      <w:r w:rsidRPr="00B810BE">
        <w:rPr>
          <w:szCs w:val="22"/>
        </w:rPr>
        <w:t xml:space="preserve">ή αυξημένη </w:t>
      </w:r>
      <w:r>
        <w:rPr>
          <w:szCs w:val="22"/>
        </w:rPr>
        <w:t>ερυθροποίηση</w:t>
      </w:r>
      <w:r w:rsidRPr="00B810BE">
        <w:rPr>
          <w:szCs w:val="22"/>
        </w:rPr>
        <w:t xml:space="preserve"> (π.χ. αιμολυτική αναιμία).</w:t>
      </w:r>
    </w:p>
    <w:p w:rsidR="00857B90" w:rsidRPr="00B810BE" w:rsidRDefault="00857B90" w:rsidP="00857B90">
      <w:pPr>
        <w:rPr>
          <w:szCs w:val="22"/>
        </w:rPr>
      </w:pPr>
    </w:p>
    <w:p w:rsidR="00857B90" w:rsidRPr="00B810BE" w:rsidRDefault="00857B90" w:rsidP="00857B90">
      <w:pPr>
        <w:rPr>
          <w:szCs w:val="22"/>
        </w:rPr>
      </w:pPr>
      <w:r w:rsidRPr="00B810BE">
        <w:rPr>
          <w:szCs w:val="22"/>
        </w:rPr>
        <w:t>Πρέπει να εξετάζεται το ενδεχόμενο κατάλληλων εμβολιασμών (Ηπατίτιδας Α και Β) σε ασθενείς</w:t>
      </w:r>
      <w:r>
        <w:rPr>
          <w:szCs w:val="22"/>
        </w:rPr>
        <w:t xml:space="preserve"> που λαμβάνουν σε τακτά/</w:t>
      </w:r>
      <w:r w:rsidRPr="00B810BE">
        <w:rPr>
          <w:szCs w:val="22"/>
        </w:rPr>
        <w:t>επαναλαμβανόμενα χρονικά διαστήματα φαρμακευτικά προϊόντα που προέρχονται από ανθρώπινο πλάσμα.</w:t>
      </w:r>
    </w:p>
    <w:p w:rsidR="00857B90" w:rsidRPr="00B810BE" w:rsidRDefault="00857B90" w:rsidP="00857B90">
      <w:pPr>
        <w:rPr>
          <w:szCs w:val="22"/>
        </w:rPr>
      </w:pPr>
    </w:p>
    <w:p w:rsidR="00857B90" w:rsidRPr="00B810BE" w:rsidRDefault="00857B90" w:rsidP="00857B90">
      <w:pPr>
        <w:rPr>
          <w:szCs w:val="22"/>
        </w:rPr>
      </w:pPr>
      <w:r w:rsidRPr="00B810BE">
        <w:rPr>
          <w:szCs w:val="22"/>
        </w:rPr>
        <w:t xml:space="preserve">Συνιστάται έντονα κάθε φορά που χορηγείται </w:t>
      </w:r>
      <w:r>
        <w:rPr>
          <w:szCs w:val="22"/>
          <w:lang w:val="en-US"/>
        </w:rPr>
        <w:t>Riastap</w:t>
      </w:r>
      <w:r w:rsidRPr="00857B90">
        <w:rPr>
          <w:szCs w:val="22"/>
        </w:rPr>
        <w:t xml:space="preserve"> </w:t>
      </w:r>
      <w:r>
        <w:rPr>
          <w:szCs w:val="22"/>
        </w:rPr>
        <w:t>σε έναν ασθενή</w:t>
      </w:r>
      <w:r w:rsidRPr="00B810BE">
        <w:rPr>
          <w:szCs w:val="22"/>
        </w:rPr>
        <w:t>, να καταγράφο</w:t>
      </w:r>
      <w:r>
        <w:rPr>
          <w:szCs w:val="22"/>
        </w:rPr>
        <w:t>νται</w:t>
      </w:r>
      <w:r w:rsidRPr="00B810BE">
        <w:rPr>
          <w:szCs w:val="22"/>
        </w:rPr>
        <w:t xml:space="preserve"> το όνομα και </w:t>
      </w:r>
      <w:r>
        <w:rPr>
          <w:szCs w:val="22"/>
        </w:rPr>
        <w:t>ο</w:t>
      </w:r>
      <w:r w:rsidRPr="00B810BE">
        <w:rPr>
          <w:szCs w:val="22"/>
        </w:rPr>
        <w:t xml:space="preserve"> αριθμό</w:t>
      </w:r>
      <w:r>
        <w:rPr>
          <w:szCs w:val="22"/>
        </w:rPr>
        <w:t>ς</w:t>
      </w:r>
      <w:r w:rsidRPr="00B810BE">
        <w:rPr>
          <w:szCs w:val="22"/>
        </w:rPr>
        <w:t xml:space="preserve"> παρτίδας του προϊόντος ώστε να διατηρείται συσχέτιση μεταξύ του ασθενούς και της παρτίδας του προϊόντος.</w:t>
      </w:r>
    </w:p>
    <w:p w:rsidR="00F25C12" w:rsidRPr="00F25C12" w:rsidRDefault="00F25C12"/>
    <w:p w:rsidR="00CD2AB8" w:rsidRDefault="00CD2AB8">
      <w:r>
        <w:rPr>
          <w:b/>
        </w:rPr>
        <w:t>4.5</w:t>
      </w:r>
      <w:r>
        <w:rPr>
          <w:b/>
        </w:rPr>
        <w:tab/>
        <w:t>Αλληλεπιδράσεις με άλλα φαρμακευτικά προϊόντα και άλλες μορφές αλληλεπίδρασης</w:t>
      </w:r>
    </w:p>
    <w:p w:rsidR="00CD2AB8" w:rsidRDefault="00CD2AB8"/>
    <w:p w:rsidR="00CD2AB8" w:rsidRDefault="00C875BA">
      <w:r>
        <w:rPr>
          <w:noProof/>
        </w:rPr>
        <w:t>Δεν είναι γνωστές αλληλεπιδράσεις του συμπυκνώματος ανθρώπινου ινωδογόνου με άλλα φαρμακευτικά προϊόντα.</w:t>
      </w:r>
    </w:p>
    <w:p w:rsidR="00CD2AB8" w:rsidRDefault="00CD2AB8"/>
    <w:p w:rsidR="00CD2AB8" w:rsidRDefault="00CD2AB8">
      <w:pPr>
        <w:rPr>
          <w:b/>
        </w:rPr>
      </w:pPr>
      <w:r>
        <w:rPr>
          <w:b/>
          <w:lang w:val="en-US"/>
        </w:rPr>
        <w:t>4.6</w:t>
      </w:r>
      <w:r>
        <w:rPr>
          <w:b/>
          <w:lang w:val="en-US"/>
        </w:rPr>
        <w:tab/>
        <w:t>K</w:t>
      </w:r>
      <w:r>
        <w:rPr>
          <w:b/>
        </w:rPr>
        <w:t>ύηση</w:t>
      </w:r>
      <w:r>
        <w:rPr>
          <w:b/>
          <w:lang w:val="en-US"/>
        </w:rPr>
        <w:t xml:space="preserve"> </w:t>
      </w:r>
      <w:r>
        <w:rPr>
          <w:b/>
        </w:rPr>
        <w:t>και</w:t>
      </w:r>
      <w:r>
        <w:rPr>
          <w:b/>
          <w:lang w:val="en-US"/>
        </w:rPr>
        <w:t xml:space="preserve"> </w:t>
      </w:r>
      <w:r>
        <w:rPr>
          <w:b/>
        </w:rPr>
        <w:t>γαλουχία</w:t>
      </w:r>
    </w:p>
    <w:p w:rsidR="001E09BC" w:rsidRDefault="001E09BC">
      <w:pPr>
        <w:rPr>
          <w:lang w:val="en-US"/>
        </w:rPr>
      </w:pPr>
    </w:p>
    <w:p w:rsidR="00644886" w:rsidRPr="008554F4" w:rsidRDefault="00644886">
      <w:pPr>
        <w:rPr>
          <w:b/>
          <w:i/>
          <w:noProof/>
        </w:rPr>
      </w:pPr>
      <w:r w:rsidRPr="008554F4">
        <w:rPr>
          <w:b/>
          <w:i/>
          <w:noProof/>
        </w:rPr>
        <w:t>Κύηση</w:t>
      </w:r>
    </w:p>
    <w:p w:rsidR="00644886" w:rsidRDefault="00644886">
      <w:pPr>
        <w:rPr>
          <w:noProof/>
        </w:rPr>
      </w:pPr>
      <w:r>
        <w:rPr>
          <w:noProof/>
        </w:rPr>
        <w:t xml:space="preserve">Δεν έχουν πραγματοποιηθεί (βλ. παρ. 5.3) μελέτες </w:t>
      </w:r>
      <w:r w:rsidR="000D6DCD">
        <w:rPr>
          <w:noProof/>
        </w:rPr>
        <w:t>κατά την αναπαραγωγή</w:t>
      </w:r>
      <w:r>
        <w:rPr>
          <w:noProof/>
        </w:rPr>
        <w:t xml:space="preserve"> σε ζώα</w:t>
      </w:r>
      <w:r w:rsidR="000D6DCD">
        <w:rPr>
          <w:noProof/>
        </w:rPr>
        <w:t>,</w:t>
      </w:r>
      <w:r w:rsidR="008554F4" w:rsidRPr="008554F4">
        <w:rPr>
          <w:noProof/>
        </w:rPr>
        <w:t xml:space="preserve"> </w:t>
      </w:r>
      <w:r w:rsidR="008554F4">
        <w:rPr>
          <w:noProof/>
        </w:rPr>
        <w:t xml:space="preserve">με το </w:t>
      </w:r>
      <w:r w:rsidR="008554F4">
        <w:rPr>
          <w:noProof/>
          <w:lang w:val="en-GB"/>
        </w:rPr>
        <w:t>Riastap</w:t>
      </w:r>
      <w:r>
        <w:rPr>
          <w:noProof/>
        </w:rPr>
        <w:t xml:space="preserve">. Εφόσον η δραστική ουσία </w:t>
      </w:r>
      <w:r w:rsidR="00897B91">
        <w:rPr>
          <w:noProof/>
        </w:rPr>
        <w:t xml:space="preserve">είναι </w:t>
      </w:r>
      <w:r>
        <w:rPr>
          <w:noProof/>
        </w:rPr>
        <w:t>ανθρώπινης προέλευσης, καταβολίζεται με τον ίδιο τρόπο όπως και η ενδογενής πρωτεΐνη του ασθενή. Τα φυσιολογικά υποκατάστατα του ανθρώπινου</w:t>
      </w:r>
      <w:r w:rsidR="008554F4">
        <w:rPr>
          <w:noProof/>
        </w:rPr>
        <w:t xml:space="preserve"> αίματος</w:t>
      </w:r>
      <w:r>
        <w:rPr>
          <w:noProof/>
        </w:rPr>
        <w:t xml:space="preserve"> </w:t>
      </w:r>
      <w:r w:rsidR="008554F4">
        <w:rPr>
          <w:noProof/>
        </w:rPr>
        <w:t xml:space="preserve">δεν αναμένεται να προκαλούν ανεπιθύμητες ενέργειες που να σχετίζονται με την αναπαραγωγή ή </w:t>
      </w:r>
      <w:r w:rsidR="000D6DCD">
        <w:rPr>
          <w:noProof/>
        </w:rPr>
        <w:t xml:space="preserve">με </w:t>
      </w:r>
      <w:r w:rsidR="008554F4">
        <w:rPr>
          <w:noProof/>
        </w:rPr>
        <w:t>την υγεία του εμβρύου.</w:t>
      </w:r>
    </w:p>
    <w:p w:rsidR="00644886" w:rsidRDefault="00644886">
      <w:pPr>
        <w:rPr>
          <w:noProof/>
        </w:rPr>
      </w:pPr>
    </w:p>
    <w:p w:rsidR="00CD2AB8" w:rsidRDefault="00C875BA">
      <w:pPr>
        <w:rPr>
          <w:noProof/>
        </w:rPr>
      </w:pPr>
      <w:r w:rsidRPr="00C875BA">
        <w:rPr>
          <w:noProof/>
        </w:rPr>
        <w:t xml:space="preserve">Η ασφάλεια </w:t>
      </w:r>
      <w:r>
        <w:rPr>
          <w:noProof/>
        </w:rPr>
        <w:t xml:space="preserve">της χρήσης </w:t>
      </w:r>
      <w:r w:rsidRPr="00C875BA">
        <w:rPr>
          <w:noProof/>
        </w:rPr>
        <w:t xml:space="preserve">του Riastap </w:t>
      </w:r>
      <w:r>
        <w:rPr>
          <w:noProof/>
        </w:rPr>
        <w:t xml:space="preserve">σε ανθρώπους κατά τη διάρκεια της </w:t>
      </w:r>
      <w:r w:rsidR="000D6DCD">
        <w:rPr>
          <w:noProof/>
        </w:rPr>
        <w:t>κύησης στον άνθρωπο</w:t>
      </w:r>
      <w:r>
        <w:rPr>
          <w:noProof/>
        </w:rPr>
        <w:t xml:space="preserve"> δεν έχει επιβεβαιωθεί με ελεγχόμενες κλινικές μελέτες.</w:t>
      </w:r>
    </w:p>
    <w:p w:rsidR="00C875BA" w:rsidRDefault="00C875BA">
      <w:pPr>
        <w:rPr>
          <w:noProof/>
        </w:rPr>
      </w:pPr>
    </w:p>
    <w:p w:rsidR="00C875BA" w:rsidRDefault="00C875BA">
      <w:pPr>
        <w:rPr>
          <w:noProof/>
        </w:rPr>
      </w:pPr>
      <w:r>
        <w:rPr>
          <w:noProof/>
        </w:rPr>
        <w:t xml:space="preserve">Με βάση την κλινική εμπειρία από τη χρήση συμπυκνώματος ινωδογόνου στην αντιμετώπιση των επιπλοκών της μαιευτικής, </w:t>
      </w:r>
      <w:r w:rsidR="008554F4">
        <w:rPr>
          <w:noProof/>
        </w:rPr>
        <w:t>δεν αναμένονται</w:t>
      </w:r>
      <w:r>
        <w:rPr>
          <w:noProof/>
        </w:rPr>
        <w:t xml:space="preserve"> βλαβερές επιπτώσεις στην εξέλιξη της </w:t>
      </w:r>
      <w:r w:rsidR="000D6DCD">
        <w:rPr>
          <w:noProof/>
        </w:rPr>
        <w:t>κύησης</w:t>
      </w:r>
      <w:r>
        <w:rPr>
          <w:noProof/>
        </w:rPr>
        <w:t xml:space="preserve"> και στην υγεία του εμβρύου ή του νεογέννητου.</w:t>
      </w:r>
    </w:p>
    <w:p w:rsidR="008554F4" w:rsidRDefault="008554F4">
      <w:pPr>
        <w:rPr>
          <w:noProof/>
        </w:rPr>
      </w:pPr>
    </w:p>
    <w:p w:rsidR="008554F4" w:rsidRPr="008554F4" w:rsidRDefault="008554F4">
      <w:pPr>
        <w:rPr>
          <w:b/>
          <w:i/>
          <w:noProof/>
        </w:rPr>
      </w:pPr>
      <w:r w:rsidRPr="008554F4">
        <w:rPr>
          <w:b/>
          <w:i/>
          <w:noProof/>
        </w:rPr>
        <w:t>Γαλουχία</w:t>
      </w:r>
    </w:p>
    <w:p w:rsidR="008554F4" w:rsidRDefault="008554F4">
      <w:pPr>
        <w:rPr>
          <w:noProof/>
        </w:rPr>
      </w:pPr>
      <w:r>
        <w:rPr>
          <w:noProof/>
        </w:rPr>
        <w:t xml:space="preserve">Δεν είναι γνωστό εάν το </w:t>
      </w:r>
      <w:r>
        <w:rPr>
          <w:noProof/>
          <w:lang w:val="en-GB"/>
        </w:rPr>
        <w:t>Riastap</w:t>
      </w:r>
      <w:r>
        <w:rPr>
          <w:noProof/>
        </w:rPr>
        <w:t xml:space="preserve"> εκκρίνεται στο μητρικό γάλα. Η χρήση του </w:t>
      </w:r>
      <w:r>
        <w:rPr>
          <w:noProof/>
          <w:lang w:val="en-GB"/>
        </w:rPr>
        <w:t>Riastap</w:t>
      </w:r>
      <w:r w:rsidR="002B70AD">
        <w:rPr>
          <w:noProof/>
        </w:rPr>
        <w:t xml:space="preserve"> σε θηλάζουσες γυναίκες δε</w:t>
      </w:r>
      <w:r w:rsidR="000D6DCD">
        <w:rPr>
          <w:noProof/>
        </w:rPr>
        <w:t>ν έχει διερευνηθεί σ</w:t>
      </w:r>
      <w:r w:rsidR="002B70AD">
        <w:rPr>
          <w:noProof/>
        </w:rPr>
        <w:t>ε κλινικές μελέτες.</w:t>
      </w:r>
    </w:p>
    <w:p w:rsidR="002B70AD" w:rsidRPr="002B70AD" w:rsidRDefault="00897B91">
      <w:pPr>
        <w:rPr>
          <w:noProof/>
        </w:rPr>
      </w:pPr>
      <w:r>
        <w:rPr>
          <w:noProof/>
        </w:rPr>
        <w:t xml:space="preserve">Η </w:t>
      </w:r>
      <w:r w:rsidR="002B70AD">
        <w:rPr>
          <w:noProof/>
        </w:rPr>
        <w:t xml:space="preserve">ύπαρξη πιθανού κινδύνου για το παιδί που θηλάζει δεν μπορεί να αποκλεισθεί. </w:t>
      </w:r>
      <w:r w:rsidR="00D9302C">
        <w:rPr>
          <w:noProof/>
        </w:rPr>
        <w:t>Θα π</w:t>
      </w:r>
      <w:r w:rsidR="002B70AD">
        <w:rPr>
          <w:noProof/>
        </w:rPr>
        <w:t xml:space="preserve">ρέπει να ληφθεί </w:t>
      </w:r>
      <w:r w:rsidR="00D9302C">
        <w:rPr>
          <w:noProof/>
        </w:rPr>
        <w:t xml:space="preserve">η κατάλληλη </w:t>
      </w:r>
      <w:r w:rsidR="002B70AD">
        <w:rPr>
          <w:noProof/>
        </w:rPr>
        <w:t xml:space="preserve">απόφαση </w:t>
      </w:r>
      <w:r w:rsidR="00D9302C">
        <w:rPr>
          <w:noProof/>
        </w:rPr>
        <w:t xml:space="preserve">είτε </w:t>
      </w:r>
      <w:r w:rsidR="002B70AD">
        <w:rPr>
          <w:noProof/>
        </w:rPr>
        <w:t xml:space="preserve">για την διακοπή του θηλασμού ή </w:t>
      </w:r>
      <w:r w:rsidR="00D9302C">
        <w:rPr>
          <w:noProof/>
        </w:rPr>
        <w:t xml:space="preserve">για </w:t>
      </w:r>
      <w:r w:rsidR="002B70AD">
        <w:rPr>
          <w:noProof/>
        </w:rPr>
        <w:t xml:space="preserve">την διακοπή της θεραπείας με </w:t>
      </w:r>
      <w:r>
        <w:rPr>
          <w:noProof/>
          <w:lang w:val="en-GB"/>
        </w:rPr>
        <w:t>Riastap</w:t>
      </w:r>
      <w:r w:rsidR="002B70AD">
        <w:rPr>
          <w:noProof/>
        </w:rPr>
        <w:t xml:space="preserve">, λαμβάνοντας υπόψη το όφελος του παιδιού από τον θηλασμό και το όφελος της θεραπείας με </w:t>
      </w:r>
      <w:r>
        <w:rPr>
          <w:noProof/>
          <w:lang w:val="en-GB"/>
        </w:rPr>
        <w:t>Riastap</w:t>
      </w:r>
      <w:r w:rsidRPr="002B70AD">
        <w:rPr>
          <w:noProof/>
        </w:rPr>
        <w:t xml:space="preserve"> </w:t>
      </w:r>
      <w:r w:rsidR="002B70AD">
        <w:rPr>
          <w:noProof/>
        </w:rPr>
        <w:t>για τη μητέρα.</w:t>
      </w:r>
    </w:p>
    <w:p w:rsidR="008554F4" w:rsidRDefault="008554F4">
      <w:pPr>
        <w:rPr>
          <w:noProof/>
        </w:rPr>
      </w:pPr>
    </w:p>
    <w:p w:rsidR="00D9302C" w:rsidRPr="00D9302C" w:rsidRDefault="00D9302C">
      <w:pPr>
        <w:rPr>
          <w:b/>
          <w:i/>
          <w:noProof/>
        </w:rPr>
      </w:pPr>
      <w:r w:rsidRPr="00D9302C">
        <w:rPr>
          <w:b/>
          <w:i/>
          <w:noProof/>
        </w:rPr>
        <w:t>Γονιμότητα</w:t>
      </w:r>
    </w:p>
    <w:p w:rsidR="00D9302C" w:rsidRDefault="00D9302C">
      <w:pPr>
        <w:rPr>
          <w:noProof/>
        </w:rPr>
      </w:pPr>
      <w:r>
        <w:rPr>
          <w:noProof/>
        </w:rPr>
        <w:t>Δεν υπάρχουν δεδομένα σχετικά με τη γονιμότητα.</w:t>
      </w:r>
    </w:p>
    <w:p w:rsidR="00CD2AB8" w:rsidRPr="00C875BA" w:rsidRDefault="00CD2AB8"/>
    <w:p w:rsidR="00CD2AB8" w:rsidRDefault="00CD2AB8">
      <w:r>
        <w:rPr>
          <w:b/>
        </w:rPr>
        <w:t>4.7</w:t>
      </w:r>
      <w:r>
        <w:rPr>
          <w:b/>
        </w:rPr>
        <w:tab/>
        <w:t>Επιδράσεις στην ικανότητα οδήγησης και χειρισμού μηχανών</w:t>
      </w:r>
    </w:p>
    <w:p w:rsidR="00CD2AB8" w:rsidRDefault="00CD2AB8"/>
    <w:p w:rsidR="00CD2AB8" w:rsidRPr="00C875BA" w:rsidRDefault="00C875BA">
      <w:r>
        <w:t xml:space="preserve">Το </w:t>
      </w:r>
      <w:r>
        <w:rPr>
          <w:lang w:val="en-GB"/>
        </w:rPr>
        <w:t>Riastap</w:t>
      </w:r>
      <w:r w:rsidRPr="00C875BA">
        <w:t xml:space="preserve"> </w:t>
      </w:r>
      <w:r w:rsidR="00CD2AB8">
        <w:t>δεν έχει καμία επίδραση</w:t>
      </w:r>
      <w:r w:rsidR="00B157FF">
        <w:t xml:space="preserve"> </w:t>
      </w:r>
      <w:r w:rsidR="00CD2AB8">
        <w:t xml:space="preserve">στην ικανότητα </w:t>
      </w:r>
      <w:r>
        <w:t>οδήγησης και χειρισμού μηχανών.</w:t>
      </w:r>
    </w:p>
    <w:p w:rsidR="00C875BA" w:rsidRPr="00B157FF" w:rsidRDefault="00C875BA"/>
    <w:p w:rsidR="00CD2AB8" w:rsidRDefault="00CD2AB8">
      <w:r>
        <w:rPr>
          <w:b/>
        </w:rPr>
        <w:t>4.8</w:t>
      </w:r>
      <w:r>
        <w:rPr>
          <w:b/>
        </w:rPr>
        <w:tab/>
        <w:t>Ανεπιθύμητες ενέργειες</w:t>
      </w:r>
    </w:p>
    <w:p w:rsidR="00CD2AB8" w:rsidRDefault="00CD2AB8">
      <w:pPr>
        <w:rPr>
          <w:bCs/>
          <w:lang w:val="en-US"/>
        </w:rPr>
      </w:pPr>
    </w:p>
    <w:p w:rsidR="005D7341" w:rsidRDefault="00897B91">
      <w:pPr>
        <w:rPr>
          <w:bCs/>
        </w:rPr>
      </w:pPr>
      <w:r>
        <w:rPr>
          <w:bCs/>
        </w:rPr>
        <w:t xml:space="preserve">Από την εμπειρία μετά την κυκλοφορία, καθώς και την επιστημονική βιβλιογραφία έχουν αναφερθεί οι </w:t>
      </w:r>
      <w:r w:rsidR="005D7341">
        <w:rPr>
          <w:bCs/>
        </w:rPr>
        <w:t>παρακάτω ανεπιθύμητες ενέργειες. Χρησιμοποιούνται οι ακόλουθες κατηγορίες συχνότητας εμφάνισης:</w:t>
      </w:r>
    </w:p>
    <w:p w:rsidR="005D7341" w:rsidRDefault="005D7341">
      <w:pPr>
        <w:rPr>
          <w:bCs/>
        </w:rPr>
      </w:pPr>
    </w:p>
    <w:p w:rsidR="003B5990" w:rsidRDefault="003B5990">
      <w:pPr>
        <w:rPr>
          <w:bCs/>
        </w:rPr>
      </w:pPr>
      <w:r w:rsidRPr="003B5990">
        <w:rPr>
          <w:bCs/>
        </w:rPr>
        <w:t>Πολύ συχνές</w:t>
      </w:r>
      <w:r>
        <w:rPr>
          <w:bCs/>
        </w:rPr>
        <w:t>:</w:t>
      </w:r>
      <w:r>
        <w:rPr>
          <w:bCs/>
        </w:rPr>
        <w:tab/>
      </w:r>
      <w:r w:rsidRPr="003B5990">
        <w:rPr>
          <w:bCs/>
        </w:rPr>
        <w:sym w:font="Symbol" w:char="F0B3"/>
      </w:r>
      <w:r>
        <w:rPr>
          <w:bCs/>
        </w:rPr>
        <w:t xml:space="preserve"> 1/10</w:t>
      </w:r>
    </w:p>
    <w:p w:rsidR="005D7341" w:rsidRDefault="003B5990">
      <w:pPr>
        <w:rPr>
          <w:bCs/>
        </w:rPr>
      </w:pPr>
      <w:r w:rsidRPr="003B5990">
        <w:rPr>
          <w:bCs/>
        </w:rPr>
        <w:t>Συχνές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3B5990">
        <w:rPr>
          <w:bCs/>
        </w:rPr>
        <w:sym w:font="Symbol" w:char="F0B3"/>
      </w:r>
      <w:r>
        <w:rPr>
          <w:bCs/>
        </w:rPr>
        <w:t xml:space="preserve"> </w:t>
      </w:r>
      <w:r w:rsidRPr="003B5990">
        <w:rPr>
          <w:bCs/>
        </w:rPr>
        <w:t>1/100 έως</w:t>
      </w:r>
      <w:r>
        <w:rPr>
          <w:bCs/>
        </w:rPr>
        <w:t xml:space="preserve"> &lt; 1/10</w:t>
      </w:r>
    </w:p>
    <w:p w:rsidR="005D7341" w:rsidRPr="003B5990" w:rsidRDefault="003B5990">
      <w:pPr>
        <w:rPr>
          <w:bCs/>
        </w:rPr>
      </w:pPr>
      <w:r w:rsidRPr="003B5990">
        <w:rPr>
          <w:bCs/>
        </w:rPr>
        <w:t>Όχι συχνές</w:t>
      </w:r>
      <w:r>
        <w:rPr>
          <w:bCs/>
        </w:rPr>
        <w:t>:</w:t>
      </w:r>
      <w:r>
        <w:rPr>
          <w:bCs/>
        </w:rPr>
        <w:tab/>
      </w:r>
      <w:r w:rsidRPr="003B5990">
        <w:rPr>
          <w:bCs/>
        </w:rPr>
        <w:sym w:font="Symbol" w:char="F0B3"/>
      </w:r>
      <w:r>
        <w:rPr>
          <w:bCs/>
        </w:rPr>
        <w:t xml:space="preserve"> </w:t>
      </w:r>
      <w:r w:rsidRPr="003B5990">
        <w:rPr>
          <w:bCs/>
        </w:rPr>
        <w:t>1/1.000 έως &lt;</w:t>
      </w:r>
      <w:r>
        <w:rPr>
          <w:bCs/>
        </w:rPr>
        <w:t xml:space="preserve"> 1/100</w:t>
      </w:r>
    </w:p>
    <w:p w:rsidR="005D7341" w:rsidRDefault="003B5990">
      <w:pPr>
        <w:rPr>
          <w:bCs/>
        </w:rPr>
      </w:pPr>
      <w:r w:rsidRPr="003B5990">
        <w:rPr>
          <w:bCs/>
        </w:rPr>
        <w:t>Σπάνιες</w:t>
      </w:r>
      <w:r>
        <w:rPr>
          <w:bCs/>
        </w:rPr>
        <w:t>:</w:t>
      </w:r>
      <w:r>
        <w:rPr>
          <w:bCs/>
        </w:rPr>
        <w:tab/>
      </w:r>
      <w:r w:rsidRPr="003B5990">
        <w:rPr>
          <w:bCs/>
        </w:rPr>
        <w:sym w:font="Symbol" w:char="F0B3"/>
      </w:r>
      <w:r>
        <w:rPr>
          <w:bCs/>
        </w:rPr>
        <w:t xml:space="preserve"> </w:t>
      </w:r>
      <w:r w:rsidRPr="003B5990">
        <w:rPr>
          <w:bCs/>
        </w:rPr>
        <w:t>1/10.000 έως</w:t>
      </w:r>
      <w:r>
        <w:rPr>
          <w:bCs/>
        </w:rPr>
        <w:t xml:space="preserve"> &lt; 1/1.000</w:t>
      </w:r>
    </w:p>
    <w:p w:rsidR="00CD2AB8" w:rsidRDefault="003B5990">
      <w:pPr>
        <w:rPr>
          <w:bCs/>
        </w:rPr>
      </w:pPr>
      <w:r>
        <w:rPr>
          <w:bCs/>
        </w:rPr>
        <w:t>Πολύ σπάνιες:</w:t>
      </w:r>
      <w:r>
        <w:rPr>
          <w:bCs/>
        </w:rPr>
        <w:tab/>
      </w:r>
      <w:r w:rsidRPr="003B5990">
        <w:rPr>
          <w:bCs/>
        </w:rPr>
        <w:t>&lt;</w:t>
      </w:r>
      <w:r>
        <w:rPr>
          <w:bCs/>
        </w:rPr>
        <w:t xml:space="preserve"> 1/10.000</w:t>
      </w:r>
      <w:r w:rsidR="00B27BAC" w:rsidRPr="00EE4B38">
        <w:rPr>
          <w:bCs/>
        </w:rPr>
        <w:t xml:space="preserve"> </w:t>
      </w:r>
      <w:r>
        <w:rPr>
          <w:bCs/>
        </w:rPr>
        <w:t>(συμπεριλαμβανομένων των μεμονωμένων περιστατικών</w:t>
      </w:r>
      <w:r w:rsidRPr="003B5990">
        <w:rPr>
          <w:bCs/>
        </w:rPr>
        <w:t>)</w:t>
      </w:r>
    </w:p>
    <w:p w:rsidR="007774C3" w:rsidRPr="00EE4B38" w:rsidRDefault="007774C3">
      <w:pPr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51"/>
        <w:gridCol w:w="992"/>
        <w:gridCol w:w="851"/>
        <w:gridCol w:w="2268"/>
        <w:gridCol w:w="2693"/>
      </w:tblGrid>
      <w:tr w:rsidR="00B157FF" w:rsidRPr="00CF4042" w:rsidTr="00CF4042">
        <w:tc>
          <w:tcPr>
            <w:tcW w:w="1809" w:type="dxa"/>
            <w:shd w:val="clear" w:color="auto" w:fill="auto"/>
          </w:tcPr>
          <w:p w:rsidR="008064C5" w:rsidRPr="00CF4042" w:rsidRDefault="008064C5">
            <w:pPr>
              <w:rPr>
                <w:b/>
                <w:bCs/>
              </w:rPr>
            </w:pPr>
            <w:r w:rsidRPr="00CF4042">
              <w:rPr>
                <w:b/>
                <w:bCs/>
              </w:rPr>
              <w:t>Οργανικό σύστημα</w:t>
            </w:r>
          </w:p>
        </w:tc>
        <w:tc>
          <w:tcPr>
            <w:tcW w:w="851" w:type="dxa"/>
            <w:shd w:val="clear" w:color="auto" w:fill="auto"/>
          </w:tcPr>
          <w:p w:rsidR="008064C5" w:rsidRPr="00CF4042" w:rsidRDefault="008064C5" w:rsidP="008064C5">
            <w:pPr>
              <w:rPr>
                <w:b/>
                <w:bCs/>
              </w:rPr>
            </w:pPr>
            <w:r w:rsidRPr="00CF4042">
              <w:rPr>
                <w:b/>
                <w:bCs/>
              </w:rPr>
              <w:t>Πολύ συχνές</w:t>
            </w:r>
          </w:p>
          <w:p w:rsidR="008064C5" w:rsidRPr="00CF4042" w:rsidRDefault="008064C5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064C5" w:rsidRPr="00CF4042" w:rsidRDefault="008064C5" w:rsidP="008064C5">
            <w:pPr>
              <w:rPr>
                <w:b/>
                <w:bCs/>
              </w:rPr>
            </w:pPr>
            <w:r w:rsidRPr="00CF4042">
              <w:rPr>
                <w:b/>
                <w:bCs/>
              </w:rPr>
              <w:t>Συχνές</w:t>
            </w:r>
          </w:p>
          <w:p w:rsidR="008064C5" w:rsidRPr="00CF4042" w:rsidRDefault="008064C5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064C5" w:rsidRPr="00CF4042" w:rsidRDefault="008064C5" w:rsidP="008064C5">
            <w:pPr>
              <w:rPr>
                <w:b/>
                <w:bCs/>
              </w:rPr>
            </w:pPr>
            <w:r w:rsidRPr="00CF4042">
              <w:rPr>
                <w:b/>
                <w:bCs/>
              </w:rPr>
              <w:t>Όχι συχνές</w:t>
            </w:r>
          </w:p>
          <w:p w:rsidR="008064C5" w:rsidRPr="00CF4042" w:rsidRDefault="008064C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064C5" w:rsidRPr="00CF4042" w:rsidRDefault="008064C5" w:rsidP="008064C5">
            <w:pPr>
              <w:rPr>
                <w:b/>
                <w:bCs/>
              </w:rPr>
            </w:pPr>
            <w:r w:rsidRPr="00CF4042">
              <w:rPr>
                <w:b/>
                <w:bCs/>
              </w:rPr>
              <w:t>Σπάνιες</w:t>
            </w:r>
          </w:p>
          <w:p w:rsidR="008064C5" w:rsidRPr="00CF4042" w:rsidRDefault="008064C5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8064C5" w:rsidRPr="00CF4042" w:rsidRDefault="008064C5">
            <w:pPr>
              <w:rPr>
                <w:b/>
                <w:bCs/>
              </w:rPr>
            </w:pPr>
            <w:r w:rsidRPr="00CF4042">
              <w:rPr>
                <w:b/>
                <w:bCs/>
              </w:rPr>
              <w:t>Πολύ σπάνιες</w:t>
            </w:r>
          </w:p>
        </w:tc>
      </w:tr>
      <w:tr w:rsidR="00B157FF" w:rsidRPr="00CF4042" w:rsidTr="00CF4042">
        <w:tc>
          <w:tcPr>
            <w:tcW w:w="1809" w:type="dxa"/>
            <w:shd w:val="clear" w:color="auto" w:fill="auto"/>
          </w:tcPr>
          <w:p w:rsidR="008064C5" w:rsidRPr="00CF4042" w:rsidRDefault="00B157FF">
            <w:pPr>
              <w:rPr>
                <w:b/>
                <w:bCs/>
              </w:rPr>
            </w:pPr>
            <w:r w:rsidRPr="00CF4042">
              <w:rPr>
                <w:b/>
                <w:noProof/>
              </w:rPr>
              <w:t>Διαταραχές του ανοσοποιητικού συστήματος</w:t>
            </w:r>
          </w:p>
        </w:tc>
        <w:tc>
          <w:tcPr>
            <w:tcW w:w="851" w:type="dxa"/>
            <w:shd w:val="clear" w:color="auto" w:fill="auto"/>
          </w:tcPr>
          <w:p w:rsidR="008064C5" w:rsidRPr="00CF4042" w:rsidRDefault="008064C5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064C5" w:rsidRPr="00CF4042" w:rsidRDefault="008064C5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064C5" w:rsidRPr="00CF4042" w:rsidRDefault="008064C5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064C5" w:rsidRPr="00CF4042" w:rsidRDefault="00B157FF">
            <w:pPr>
              <w:rPr>
                <w:bCs/>
              </w:rPr>
            </w:pPr>
            <w:r w:rsidRPr="00CF4042">
              <w:rPr>
                <w:bCs/>
              </w:rPr>
              <w:t>Αλλεργικές –αναφυλακτικές αντιδράσεις (όπως γενικευμένη κνίδωση, εξάνθημα, πτώση της αρτηριακής πίεσης, δύσπνοια)</w:t>
            </w:r>
          </w:p>
        </w:tc>
        <w:tc>
          <w:tcPr>
            <w:tcW w:w="2693" w:type="dxa"/>
            <w:shd w:val="clear" w:color="auto" w:fill="auto"/>
          </w:tcPr>
          <w:p w:rsidR="008064C5" w:rsidRPr="00CF4042" w:rsidRDefault="008064C5">
            <w:pPr>
              <w:rPr>
                <w:bCs/>
              </w:rPr>
            </w:pPr>
          </w:p>
        </w:tc>
      </w:tr>
      <w:tr w:rsidR="00B157FF" w:rsidRPr="00CF4042" w:rsidTr="00CF4042">
        <w:tc>
          <w:tcPr>
            <w:tcW w:w="1809" w:type="dxa"/>
            <w:shd w:val="clear" w:color="auto" w:fill="auto"/>
          </w:tcPr>
          <w:p w:rsidR="00B157FF" w:rsidRPr="00CF4042" w:rsidRDefault="00B157FF" w:rsidP="00B157FF">
            <w:pPr>
              <w:pStyle w:val="a3"/>
              <w:rPr>
                <w:b/>
                <w:noProof/>
              </w:rPr>
            </w:pPr>
            <w:r w:rsidRPr="00CF4042">
              <w:rPr>
                <w:b/>
                <w:noProof/>
              </w:rPr>
              <w:t xml:space="preserve">Αγγειακές διαταραχές </w:t>
            </w:r>
          </w:p>
        </w:tc>
        <w:tc>
          <w:tcPr>
            <w:tcW w:w="851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  <w:r w:rsidRPr="00CF4042">
              <w:rPr>
                <w:bCs/>
              </w:rPr>
              <w:t>Θρομβοεμβολικά επεισόδια συμπεριλαμβανομένων του εμφράγματος του μυοκαρδίου και της πνευμονικής εμβολής (βλ. επίσης παράγραφο 4.4)</w:t>
            </w:r>
          </w:p>
        </w:tc>
      </w:tr>
      <w:tr w:rsidR="00B157FF" w:rsidRPr="00CF4042" w:rsidTr="00CF4042">
        <w:tc>
          <w:tcPr>
            <w:tcW w:w="1809" w:type="dxa"/>
            <w:shd w:val="clear" w:color="auto" w:fill="auto"/>
          </w:tcPr>
          <w:p w:rsidR="00B157FF" w:rsidRPr="00CF4042" w:rsidRDefault="00B157FF" w:rsidP="00B157FF">
            <w:pPr>
              <w:rPr>
                <w:b/>
                <w:bCs/>
              </w:rPr>
            </w:pPr>
            <w:r w:rsidRPr="00CF4042">
              <w:rPr>
                <w:b/>
                <w:noProof/>
              </w:rPr>
              <w:t>Γενικές διαταραχές και καταστάσεις της οδού χορήγησης</w:t>
            </w:r>
          </w:p>
        </w:tc>
        <w:tc>
          <w:tcPr>
            <w:tcW w:w="851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  <w:r w:rsidRPr="00CF4042">
              <w:rPr>
                <w:bCs/>
              </w:rPr>
              <w:t>Αύξηση της θερμοκρασίας του σώματος</w:t>
            </w:r>
          </w:p>
        </w:tc>
        <w:tc>
          <w:tcPr>
            <w:tcW w:w="2693" w:type="dxa"/>
            <w:shd w:val="clear" w:color="auto" w:fill="auto"/>
          </w:tcPr>
          <w:p w:rsidR="00B157FF" w:rsidRPr="00CF4042" w:rsidRDefault="00B157FF" w:rsidP="00B157FF">
            <w:pPr>
              <w:rPr>
                <w:bCs/>
              </w:rPr>
            </w:pPr>
          </w:p>
        </w:tc>
      </w:tr>
    </w:tbl>
    <w:p w:rsidR="008064C5" w:rsidRDefault="008064C5">
      <w:pPr>
        <w:rPr>
          <w:bCs/>
        </w:rPr>
      </w:pPr>
    </w:p>
    <w:p w:rsidR="00CD2AB8" w:rsidRDefault="00B157FF">
      <w:r>
        <w:t>Για την ασφάλεια σχετικά με μεταδιδόμενους παράγοντες, βλ. παράγραφο 4.4.</w:t>
      </w:r>
    </w:p>
    <w:p w:rsidR="00B157FF" w:rsidRDefault="00B157FF"/>
    <w:p w:rsidR="00CD2AB8" w:rsidRDefault="00CD2AB8">
      <w:r>
        <w:rPr>
          <w:b/>
        </w:rPr>
        <w:t>4.9</w:t>
      </w:r>
      <w:r>
        <w:rPr>
          <w:b/>
        </w:rPr>
        <w:tab/>
        <w:t>Υπερδοσολογία</w:t>
      </w:r>
    </w:p>
    <w:p w:rsidR="00CD2AB8" w:rsidRDefault="00CD2AB8"/>
    <w:p w:rsidR="008854E8" w:rsidRDefault="00FF476F">
      <w:r>
        <w:t>Γ</w:t>
      </w:r>
      <w:r w:rsidR="008854E8">
        <w:t xml:space="preserve">ια την αποφυγή της υπερδοσολογίας, συνιστάται </w:t>
      </w:r>
      <w:r>
        <w:t>ο</w:t>
      </w:r>
      <w:r w:rsidR="008854E8">
        <w:t xml:space="preserve"> τακτικ</w:t>
      </w:r>
      <w:r>
        <w:t>ός</w:t>
      </w:r>
      <w:r w:rsidR="008854E8">
        <w:t xml:space="preserve"> π</w:t>
      </w:r>
      <w:r>
        <w:t xml:space="preserve">ροσδιορισμός </w:t>
      </w:r>
      <w:r w:rsidR="000D6DCD">
        <w:t>των επιπέδων</w:t>
      </w:r>
      <w:r w:rsidR="008854E8">
        <w:t xml:space="preserve"> του ινωδογόνου στο πλάσμα κατά τη διάρκεια της θεραπείας (βλ. 4.2).</w:t>
      </w:r>
    </w:p>
    <w:p w:rsidR="00CD2AB8" w:rsidRDefault="008854E8">
      <w:r>
        <w:t>Σε περίπτωση υπερδοσολογίας, ο κίνδυνος εμφάνισης θρομβοεμβολικής επιπλοκής είναι αυξημένος</w:t>
      </w:r>
      <w:r w:rsidR="00682AB0">
        <w:t>.</w:t>
      </w:r>
    </w:p>
    <w:p w:rsidR="00CD2AB8" w:rsidRDefault="00CD2AB8"/>
    <w:p w:rsidR="00CD2AB8" w:rsidRDefault="00CD2AB8"/>
    <w:p w:rsidR="00CD2AB8" w:rsidRDefault="00CD2AB8">
      <w:r>
        <w:rPr>
          <w:b/>
        </w:rPr>
        <w:t>5.</w:t>
      </w:r>
      <w:r>
        <w:rPr>
          <w:b/>
        </w:rPr>
        <w:tab/>
        <w:t>ΦΑΡΜΑΚΟΛΟΓΙΚΕΣ ΙΔΙΟΤΗΤΕΣ</w:t>
      </w:r>
    </w:p>
    <w:p w:rsidR="00CD2AB8" w:rsidRDefault="00CD2AB8"/>
    <w:p w:rsidR="00CD2AB8" w:rsidRDefault="00CD2AB8">
      <w:r>
        <w:rPr>
          <w:b/>
        </w:rPr>
        <w:t>5.1</w:t>
      </w:r>
      <w:r>
        <w:rPr>
          <w:b/>
        </w:rPr>
        <w:tab/>
        <w:t>Φαρμακοδυναμικές ιδιότητες</w:t>
      </w:r>
    </w:p>
    <w:p w:rsidR="00CD2AB8" w:rsidRDefault="00CD2AB8"/>
    <w:p w:rsidR="005F286F" w:rsidRDefault="00CD2AB8">
      <w:r>
        <w:t xml:space="preserve">Φαρμακοθεραπευτική κατηγορία: </w:t>
      </w:r>
      <w:r w:rsidR="00044712">
        <w:t>αντιαιμορραγικά</w:t>
      </w:r>
      <w:r>
        <w:t>,</w:t>
      </w:r>
      <w:r w:rsidR="00044712">
        <w:t xml:space="preserve"> ανθρώπινο ινωδογόνο</w:t>
      </w:r>
      <w:r w:rsidR="005F286F">
        <w:t>.</w:t>
      </w:r>
      <w:r>
        <w:t xml:space="preserve"> </w:t>
      </w:r>
    </w:p>
    <w:p w:rsidR="00CD2AB8" w:rsidRDefault="005F286F">
      <w:r>
        <w:t>Κ</w:t>
      </w:r>
      <w:r w:rsidR="00CD2AB8">
        <w:t xml:space="preserve">ωδικός ATC: </w:t>
      </w:r>
      <w:r w:rsidR="00044712">
        <w:t>Β02Β Β01</w:t>
      </w:r>
      <w:r>
        <w:t>.</w:t>
      </w:r>
    </w:p>
    <w:p w:rsidR="00CD2AB8" w:rsidRDefault="00CD2AB8"/>
    <w:p w:rsidR="00CD2AB8" w:rsidRDefault="00044712">
      <w:pPr>
        <w:rPr>
          <w:noProof/>
        </w:rPr>
      </w:pPr>
      <w:r>
        <w:rPr>
          <w:noProof/>
        </w:rPr>
        <w:t xml:space="preserve">Το ανθρώπινο ινωδογόνο (παράγοντας πήξης </w:t>
      </w:r>
      <w:r w:rsidR="000D6DCD">
        <w:rPr>
          <w:noProof/>
        </w:rPr>
        <w:t>Ι), με την παρουσία θρομβίνης,</w:t>
      </w:r>
      <w:r>
        <w:rPr>
          <w:noProof/>
        </w:rPr>
        <w:t xml:space="preserve"> ενερ</w:t>
      </w:r>
      <w:r w:rsidR="000D6DCD">
        <w:rPr>
          <w:noProof/>
        </w:rPr>
        <w:t>γοποιημένου παράγοντα</w:t>
      </w:r>
      <w:r>
        <w:rPr>
          <w:noProof/>
        </w:rPr>
        <w:t xml:space="preserve"> πήξης ΧΙΙΙ (</w:t>
      </w:r>
      <w:r>
        <w:rPr>
          <w:noProof/>
          <w:lang w:val="en-GB"/>
        </w:rPr>
        <w:t>F</w:t>
      </w:r>
      <w:r w:rsidRPr="00044712">
        <w:rPr>
          <w:noProof/>
        </w:rPr>
        <w:t xml:space="preserve"> </w:t>
      </w:r>
      <w:r>
        <w:rPr>
          <w:noProof/>
          <w:lang w:val="en-GB"/>
        </w:rPr>
        <w:t>XIIIa</w:t>
      </w:r>
      <w:r w:rsidRPr="00044712">
        <w:rPr>
          <w:noProof/>
        </w:rPr>
        <w:t xml:space="preserve">) </w:t>
      </w:r>
      <w:r>
        <w:rPr>
          <w:noProof/>
        </w:rPr>
        <w:t xml:space="preserve">και </w:t>
      </w:r>
      <w:r w:rsidR="000D6DCD">
        <w:rPr>
          <w:noProof/>
        </w:rPr>
        <w:t>ιόντων</w:t>
      </w:r>
      <w:r>
        <w:rPr>
          <w:noProof/>
        </w:rPr>
        <w:t xml:space="preserve"> ασβεστίου μετατρέπ</w:t>
      </w:r>
      <w:r w:rsidR="000D6DCD">
        <w:rPr>
          <w:noProof/>
        </w:rPr>
        <w:t>ε</w:t>
      </w:r>
      <w:r>
        <w:rPr>
          <w:noProof/>
        </w:rPr>
        <w:t xml:space="preserve">ται σε σταθερό και ελαστικό, τρισδιάστατο, αιμοστατικό θρόμβο ινώδους. </w:t>
      </w:r>
    </w:p>
    <w:p w:rsidR="00044712" w:rsidRDefault="00044712">
      <w:pPr>
        <w:rPr>
          <w:noProof/>
        </w:rPr>
      </w:pPr>
    </w:p>
    <w:p w:rsidR="00044712" w:rsidRDefault="00044712">
      <w:pPr>
        <w:rPr>
          <w:noProof/>
        </w:rPr>
      </w:pPr>
      <w:r>
        <w:rPr>
          <w:noProof/>
        </w:rPr>
        <w:t xml:space="preserve">Η χορήγηση συμπυκνώματος ανθρώπινου ινωδογόνου προκαλεί αύξηση </w:t>
      </w:r>
      <w:r w:rsidR="000D6DCD">
        <w:rPr>
          <w:noProof/>
        </w:rPr>
        <w:t>των επιπεδων</w:t>
      </w:r>
      <w:r>
        <w:rPr>
          <w:noProof/>
        </w:rPr>
        <w:t xml:space="preserve"> του ιωδογόνου στο πλάσμα και μπορεί να διορθώσει προσωρινά την </w:t>
      </w:r>
      <w:r w:rsidR="00897B91">
        <w:rPr>
          <w:noProof/>
        </w:rPr>
        <w:t xml:space="preserve">διαταραχή </w:t>
      </w:r>
      <w:r>
        <w:rPr>
          <w:noProof/>
        </w:rPr>
        <w:t>της πήξης του αίματος σε ασθενείς με ανεπάρκεια ινωδογόνου.</w:t>
      </w:r>
    </w:p>
    <w:p w:rsidR="005F286F" w:rsidRDefault="005F286F">
      <w:pPr>
        <w:rPr>
          <w:noProof/>
        </w:rPr>
      </w:pPr>
    </w:p>
    <w:p w:rsidR="005F286F" w:rsidRDefault="005F286F">
      <w:pPr>
        <w:rPr>
          <w:noProof/>
        </w:rPr>
      </w:pPr>
      <w:r>
        <w:rPr>
          <w:noProof/>
        </w:rPr>
        <w:t>Κατά την πιλοτική Φάση ΙΙ μιας μελέτης</w:t>
      </w:r>
      <w:r w:rsidR="00B22760">
        <w:rPr>
          <w:noProof/>
        </w:rPr>
        <w:t>,</w:t>
      </w:r>
      <w:r>
        <w:rPr>
          <w:noProof/>
        </w:rPr>
        <w:t xml:space="preserve"> διερευνήθηκ</w:t>
      </w:r>
      <w:r w:rsidR="000D6DCD">
        <w:rPr>
          <w:noProof/>
        </w:rPr>
        <w:t>αν</w:t>
      </w:r>
      <w:r>
        <w:rPr>
          <w:noProof/>
        </w:rPr>
        <w:t xml:space="preserve"> </w:t>
      </w:r>
      <w:r w:rsidR="000D6DCD">
        <w:rPr>
          <w:noProof/>
        </w:rPr>
        <w:t>οι φαρμακοκινητικές ιδιότητες</w:t>
      </w:r>
      <w:r>
        <w:rPr>
          <w:noProof/>
        </w:rPr>
        <w:t xml:space="preserve"> μετά από χορήγηση εφάπαξ δόσης του φαρμάκου (βλ. 5.2 Φαρμακοκινητικές ιδιότητες)</w:t>
      </w:r>
      <w:r w:rsidR="007A6627">
        <w:rPr>
          <w:noProof/>
        </w:rPr>
        <w:t xml:space="preserve"> και </w:t>
      </w:r>
      <w:r w:rsidR="00B22760">
        <w:rPr>
          <w:noProof/>
        </w:rPr>
        <w:t>προέκυψαν δεδομένα για την</w:t>
      </w:r>
      <w:r w:rsidR="007A6627">
        <w:rPr>
          <w:noProof/>
        </w:rPr>
        <w:t xml:space="preserve"> αποτε</w:t>
      </w:r>
      <w:r w:rsidR="00B22760">
        <w:rPr>
          <w:noProof/>
        </w:rPr>
        <w:t xml:space="preserve">λεσματικότητα, χρησιμοποιώντας </w:t>
      </w:r>
      <w:r w:rsidR="00402F6F">
        <w:rPr>
          <w:noProof/>
        </w:rPr>
        <w:t xml:space="preserve">ως υποκατάστατο τελικό σημείο </w:t>
      </w:r>
      <w:r w:rsidR="007A6627">
        <w:rPr>
          <w:noProof/>
        </w:rPr>
        <w:t>τ</w:t>
      </w:r>
      <w:r w:rsidR="00402F6F">
        <w:rPr>
          <w:noProof/>
        </w:rPr>
        <w:t>η</w:t>
      </w:r>
      <w:r w:rsidR="007A6627">
        <w:rPr>
          <w:noProof/>
        </w:rPr>
        <w:t xml:space="preserve"> </w:t>
      </w:r>
      <w:r w:rsidR="00402F6F">
        <w:rPr>
          <w:noProof/>
        </w:rPr>
        <w:t xml:space="preserve">μέγιστη σταθερότητα θρόμβου </w:t>
      </w:r>
      <w:r w:rsidR="00402F6F" w:rsidRPr="00402F6F">
        <w:rPr>
          <w:noProof/>
        </w:rPr>
        <w:t>(</w:t>
      </w:r>
      <w:r w:rsidR="00402F6F">
        <w:rPr>
          <w:noProof/>
          <w:lang w:val="en-GB"/>
        </w:rPr>
        <w:t>MCF</w:t>
      </w:r>
      <w:r w:rsidR="00402F6F" w:rsidRPr="00402F6F">
        <w:rPr>
          <w:noProof/>
        </w:rPr>
        <w:t>)</w:t>
      </w:r>
      <w:r w:rsidR="00402F6F">
        <w:rPr>
          <w:noProof/>
        </w:rPr>
        <w:t xml:space="preserve"> και δεδομένα ασφάλειας.</w:t>
      </w:r>
    </w:p>
    <w:p w:rsidR="00402F6F" w:rsidRPr="005F3E48" w:rsidRDefault="00402F6F">
      <w:r>
        <w:rPr>
          <w:noProof/>
        </w:rPr>
        <w:t xml:space="preserve">Για τον κάθε ασθενή, το </w:t>
      </w:r>
      <w:r>
        <w:rPr>
          <w:noProof/>
          <w:lang w:val="en-GB"/>
        </w:rPr>
        <w:t>MCF</w:t>
      </w:r>
      <w:r>
        <w:rPr>
          <w:noProof/>
        </w:rPr>
        <w:t xml:space="preserve"> καθορίστηκε πριν (αρχ</w:t>
      </w:r>
      <w:r w:rsidR="000D6DCD">
        <w:rPr>
          <w:noProof/>
        </w:rPr>
        <w:t xml:space="preserve">ική τιμή) και μια ώρα μετά από </w:t>
      </w:r>
      <w:r>
        <w:rPr>
          <w:noProof/>
        </w:rPr>
        <w:t xml:space="preserve">εφάπαξ δόση </w:t>
      </w:r>
      <w:r>
        <w:rPr>
          <w:noProof/>
          <w:lang w:val="en-GB"/>
        </w:rPr>
        <w:t>Riastap</w:t>
      </w:r>
      <w:r>
        <w:rPr>
          <w:noProof/>
        </w:rPr>
        <w:t xml:space="preserve"> </w:t>
      </w:r>
      <w:r w:rsidRPr="00402F6F">
        <w:rPr>
          <w:noProof/>
        </w:rPr>
        <w:t>70</w:t>
      </w:r>
      <w:r>
        <w:rPr>
          <w:noProof/>
          <w:lang w:val="en-GB"/>
        </w:rPr>
        <w:t>mg</w:t>
      </w:r>
      <w:r w:rsidRPr="00402F6F">
        <w:rPr>
          <w:noProof/>
        </w:rPr>
        <w:t>/</w:t>
      </w:r>
      <w:r>
        <w:rPr>
          <w:noProof/>
          <w:lang w:val="en-GB"/>
        </w:rPr>
        <w:t>kg</w:t>
      </w:r>
      <w:r w:rsidRPr="00402F6F">
        <w:rPr>
          <w:noProof/>
        </w:rPr>
        <w:t xml:space="preserve"> </w:t>
      </w:r>
      <w:r>
        <w:rPr>
          <w:noProof/>
        </w:rPr>
        <w:t xml:space="preserve">βάρους σώματος. Το </w:t>
      </w:r>
      <w:r>
        <w:rPr>
          <w:noProof/>
          <w:lang w:val="en-GB"/>
        </w:rPr>
        <w:t>Riastap</w:t>
      </w:r>
      <w:r>
        <w:rPr>
          <w:noProof/>
        </w:rPr>
        <w:t xml:space="preserve"> αποδείχθηκε ότι αυξάνε</w:t>
      </w:r>
      <w:r w:rsidR="00B22760">
        <w:rPr>
          <w:noProof/>
        </w:rPr>
        <w:t>ι αποτελεσματικά τη σταθερότητα</w:t>
      </w:r>
      <w:r>
        <w:rPr>
          <w:noProof/>
        </w:rPr>
        <w:t xml:space="preserve"> των θρόμβων σε ασθενείς με συγγενή έλλειψη ινωδογόνου (ανινωδογοναιμία), σύμφωνα με τις μετρήσεις θρομβοελαστομετρίας</w:t>
      </w:r>
      <w:r w:rsidR="000D6DCD">
        <w:rPr>
          <w:noProof/>
        </w:rPr>
        <w:t>. Η αιμοστατική δράση σε οξέ</w:t>
      </w:r>
      <w:r w:rsidR="005F3E48">
        <w:rPr>
          <w:noProof/>
        </w:rPr>
        <w:t xml:space="preserve">α αιμορραγικά επεισόδια και η συσχέτισή του με το </w:t>
      </w:r>
      <w:r w:rsidR="005F3E48">
        <w:rPr>
          <w:noProof/>
          <w:lang w:val="en-GB"/>
        </w:rPr>
        <w:t>MCF</w:t>
      </w:r>
      <w:r w:rsidR="00B22760">
        <w:rPr>
          <w:noProof/>
        </w:rPr>
        <w:t xml:space="preserve"> επιβεβαιώθηκαν σ</w:t>
      </w:r>
      <w:r w:rsidR="005F3E48">
        <w:rPr>
          <w:noProof/>
        </w:rPr>
        <w:t>ε μια μετεγκριτική μελέτη.</w:t>
      </w:r>
    </w:p>
    <w:p w:rsidR="00CD2AB8" w:rsidRDefault="00CD2AB8"/>
    <w:p w:rsidR="00CD2AB8" w:rsidRDefault="00CD2AB8">
      <w:r>
        <w:rPr>
          <w:b/>
        </w:rPr>
        <w:t>5.2</w:t>
      </w:r>
      <w:r>
        <w:rPr>
          <w:b/>
        </w:rPr>
        <w:tab/>
        <w:t>Φαρμακοκινητικές ιδιότητες</w:t>
      </w:r>
    </w:p>
    <w:p w:rsidR="00CD2AB8" w:rsidRDefault="00CD2AB8"/>
    <w:p w:rsidR="00044712" w:rsidRDefault="00B22760">
      <w:r>
        <w:t>Το α</w:t>
      </w:r>
      <w:r w:rsidR="00044712">
        <w:t>νθρώπινο ι</w:t>
      </w:r>
      <w:r>
        <w:t>ν</w:t>
      </w:r>
      <w:r w:rsidR="00044712">
        <w:t>ωδογ</w:t>
      </w:r>
      <w:r>
        <w:t xml:space="preserve">όνο είναι ένα φυσικό συστατικό </w:t>
      </w:r>
      <w:r w:rsidR="00044712">
        <w:t>το</w:t>
      </w:r>
      <w:r>
        <w:t>υ</w:t>
      </w:r>
      <w:r w:rsidR="00044712">
        <w:t xml:space="preserve"> ανθρώπινο</w:t>
      </w:r>
      <w:r>
        <w:t>υ</w:t>
      </w:r>
      <w:r w:rsidR="00044712">
        <w:t xml:space="preserve"> πλάσμα</w:t>
      </w:r>
      <w:r>
        <w:t>τος</w:t>
      </w:r>
      <w:r w:rsidR="00044712">
        <w:t xml:space="preserve"> που δρα όπως το ενδογενές ινωδογόνο. Στο πλάσμα, η βιολογική</w:t>
      </w:r>
      <w:r>
        <w:t xml:space="preserve"> ημιζωή του ινωδογόνου είναι 3 </w:t>
      </w:r>
      <w:r w:rsidR="00044712">
        <w:t>έως 4 ημέρες.</w:t>
      </w:r>
      <w:r w:rsidR="008D3314">
        <w:t xml:space="preserve"> Σε σχέση με την αποικοδόμησή του, το </w:t>
      </w:r>
      <w:r w:rsidR="008D3314">
        <w:rPr>
          <w:lang w:val="en-GB"/>
        </w:rPr>
        <w:t>Riastap</w:t>
      </w:r>
      <w:r w:rsidR="008D3314" w:rsidRPr="008D3314">
        <w:t xml:space="preserve"> </w:t>
      </w:r>
      <w:r w:rsidR="008D3314">
        <w:t>ενεργεί όπως ακριβώς και το ενδογενές ινωδογόνο.</w:t>
      </w:r>
    </w:p>
    <w:p w:rsidR="008D3314" w:rsidRDefault="008D3314">
      <w:r>
        <w:t>Το προϊόν χορηγείται ενδοφλέβια και είναι άμεσα διαθέσιμο στο πλάσμα σε συγκέντρωση που αντιστοιχεί στη χορηγούμενη δόση.</w:t>
      </w:r>
    </w:p>
    <w:p w:rsidR="008D3314" w:rsidRDefault="008D3314"/>
    <w:p w:rsidR="008D3314" w:rsidRPr="00332AB5" w:rsidRDefault="008D3314">
      <w:pPr>
        <w:rPr>
          <w:bCs/>
        </w:rPr>
      </w:pPr>
      <w:r>
        <w:t xml:space="preserve">Σε μια φαρμακοκινητική μελέτη αξιολογήθηκε η φαρμακοκινητική πριν και μετά τη χορήγηση </w:t>
      </w:r>
      <w:r w:rsidR="00B22760">
        <w:t xml:space="preserve">εφάπαξ δόσης </w:t>
      </w:r>
      <w:r>
        <w:t xml:space="preserve">συμπυκνώματος ανθρώπινου ινωδογόνου σε ασθενείς με </w:t>
      </w:r>
      <w:r w:rsidRPr="008D3314">
        <w:rPr>
          <w:bCs/>
        </w:rPr>
        <w:t>ανινωδογοναιμία</w:t>
      </w:r>
      <w:r>
        <w:rPr>
          <w:bCs/>
        </w:rPr>
        <w:t xml:space="preserve">. </w:t>
      </w:r>
      <w:r w:rsidR="00897B91">
        <w:rPr>
          <w:bCs/>
        </w:rPr>
        <w:t>Σε αυτή τ</w:t>
      </w:r>
      <w:r>
        <w:rPr>
          <w:bCs/>
        </w:rPr>
        <w:t>η</w:t>
      </w:r>
      <w:r w:rsidR="00897B91">
        <w:rPr>
          <w:bCs/>
        </w:rPr>
        <w:t>ν</w:t>
      </w:r>
      <w:r>
        <w:rPr>
          <w:bCs/>
        </w:rPr>
        <w:t xml:space="preserve"> προοπτική, </w:t>
      </w:r>
      <w:r w:rsidR="00332AB5">
        <w:rPr>
          <w:bCs/>
        </w:rPr>
        <w:t>ανοικτή, μη ελεγχόμενη, πολυκεντρική</w:t>
      </w:r>
      <w:r>
        <w:rPr>
          <w:bCs/>
        </w:rPr>
        <w:t xml:space="preserve"> μελέτη</w:t>
      </w:r>
      <w:r w:rsidR="00205DAB">
        <w:rPr>
          <w:bCs/>
        </w:rPr>
        <w:t xml:space="preserve"> </w:t>
      </w:r>
      <w:r w:rsidR="00897B91">
        <w:rPr>
          <w:bCs/>
        </w:rPr>
        <w:t xml:space="preserve">συμμετείχαν </w:t>
      </w:r>
      <w:r w:rsidR="00332AB5">
        <w:rPr>
          <w:bCs/>
        </w:rPr>
        <w:t>5 γυναίκες και 10 άνδρες, ηλικίας από 8 έως 61 ετώ</w:t>
      </w:r>
      <w:r w:rsidR="00205DAB">
        <w:rPr>
          <w:bCs/>
        </w:rPr>
        <w:t>ν</w:t>
      </w:r>
      <w:r w:rsidR="00332AB5">
        <w:rPr>
          <w:bCs/>
        </w:rPr>
        <w:t xml:space="preserve"> (2 παιδιά, 3 </w:t>
      </w:r>
      <w:r w:rsidR="00897B91">
        <w:rPr>
          <w:bCs/>
        </w:rPr>
        <w:t xml:space="preserve">έφηβοι </w:t>
      </w:r>
      <w:r w:rsidR="00332AB5">
        <w:rPr>
          <w:bCs/>
        </w:rPr>
        <w:t>και 10</w:t>
      </w:r>
      <w:r w:rsidR="007774C3">
        <w:rPr>
          <w:bCs/>
        </w:rPr>
        <w:t xml:space="preserve"> ενήλικες). Η </w:t>
      </w:r>
      <w:r w:rsidR="00B22760">
        <w:rPr>
          <w:bCs/>
        </w:rPr>
        <w:t>διάμε</w:t>
      </w:r>
      <w:r w:rsidR="007774C3">
        <w:rPr>
          <w:bCs/>
        </w:rPr>
        <w:t>ση δόση ήταν 77</w:t>
      </w:r>
      <w:r w:rsidR="007774C3" w:rsidRPr="007774C3">
        <w:rPr>
          <w:bCs/>
        </w:rPr>
        <w:t>,</w:t>
      </w:r>
      <w:r w:rsidR="00332AB5">
        <w:rPr>
          <w:bCs/>
        </w:rPr>
        <w:t xml:space="preserve">0 </w:t>
      </w:r>
      <w:r w:rsidR="00332AB5">
        <w:rPr>
          <w:bCs/>
          <w:lang w:val="en-GB"/>
        </w:rPr>
        <w:t>mg</w:t>
      </w:r>
      <w:r w:rsidR="00332AB5" w:rsidRPr="00332AB5">
        <w:rPr>
          <w:bCs/>
        </w:rPr>
        <w:t>/</w:t>
      </w:r>
      <w:r w:rsidR="00332AB5">
        <w:rPr>
          <w:bCs/>
          <w:lang w:val="en-GB"/>
        </w:rPr>
        <w:t>kg</w:t>
      </w:r>
      <w:r w:rsidR="007774C3">
        <w:rPr>
          <w:bCs/>
        </w:rPr>
        <w:t xml:space="preserve"> βάρους σώματος (διακύμανση από 76</w:t>
      </w:r>
      <w:r w:rsidR="007774C3" w:rsidRPr="007774C3">
        <w:rPr>
          <w:bCs/>
        </w:rPr>
        <w:t>,</w:t>
      </w:r>
      <w:r w:rsidR="007774C3">
        <w:rPr>
          <w:bCs/>
        </w:rPr>
        <w:t>6 – 77</w:t>
      </w:r>
      <w:r w:rsidR="007774C3" w:rsidRPr="007774C3">
        <w:rPr>
          <w:bCs/>
        </w:rPr>
        <w:t>,</w:t>
      </w:r>
      <w:r w:rsidR="00332AB5">
        <w:rPr>
          <w:bCs/>
        </w:rPr>
        <w:t xml:space="preserve">4 </w:t>
      </w:r>
      <w:r w:rsidR="00332AB5">
        <w:rPr>
          <w:bCs/>
          <w:lang w:val="en-GB"/>
        </w:rPr>
        <w:t>mg</w:t>
      </w:r>
      <w:r w:rsidR="00332AB5" w:rsidRPr="00332AB5">
        <w:rPr>
          <w:bCs/>
        </w:rPr>
        <w:t>/</w:t>
      </w:r>
      <w:r w:rsidR="00332AB5">
        <w:rPr>
          <w:bCs/>
          <w:lang w:val="en-GB"/>
        </w:rPr>
        <w:t>kg</w:t>
      </w:r>
      <w:r w:rsidR="00332AB5" w:rsidRPr="00332AB5">
        <w:rPr>
          <w:bCs/>
        </w:rPr>
        <w:t>).</w:t>
      </w:r>
    </w:p>
    <w:p w:rsidR="00332AB5" w:rsidRDefault="00332AB5">
      <w:pPr>
        <w:rPr>
          <w:bCs/>
        </w:rPr>
      </w:pPr>
    </w:p>
    <w:p w:rsidR="00332AB5" w:rsidRDefault="00332AB5">
      <w:pPr>
        <w:rPr>
          <w:bCs/>
        </w:rPr>
      </w:pPr>
      <w:r>
        <w:rPr>
          <w:bCs/>
        </w:rPr>
        <w:t>Έγινε αιμοληψία σε 15 ασθενείς (</w:t>
      </w:r>
      <w:r w:rsidR="00B22760">
        <w:rPr>
          <w:bCs/>
        </w:rPr>
        <w:t>τα</w:t>
      </w:r>
      <w:r>
        <w:rPr>
          <w:bCs/>
        </w:rPr>
        <w:t xml:space="preserve"> 14 </w:t>
      </w:r>
      <w:r w:rsidR="00B22760">
        <w:rPr>
          <w:bCs/>
        </w:rPr>
        <w:t>δείγματα ήταν μετρήσιμα</w:t>
      </w:r>
      <w:r>
        <w:rPr>
          <w:bCs/>
        </w:rPr>
        <w:t>) ώστε να καθοριστεί η δραστικότητα του ινωδογόνου σ</w:t>
      </w:r>
      <w:r w:rsidR="00205DAB">
        <w:rPr>
          <w:bCs/>
        </w:rPr>
        <w:t xml:space="preserve">την αρχική κατάσταση και μέχρι </w:t>
      </w:r>
      <w:r>
        <w:rPr>
          <w:bCs/>
        </w:rPr>
        <w:t>14 ημέρες μετά την ολοκλήρωση της έγχυσης.</w:t>
      </w:r>
      <w:r w:rsidR="00371F2B">
        <w:rPr>
          <w:bCs/>
        </w:rPr>
        <w:t xml:space="preserve"> Επίσης, </w:t>
      </w:r>
      <w:bookmarkStart w:id="0" w:name="OLE_LINK1"/>
      <w:bookmarkStart w:id="1" w:name="OLE_LINK2"/>
      <w:r w:rsidR="00371F2B">
        <w:rPr>
          <w:bCs/>
        </w:rPr>
        <w:t xml:space="preserve">η αυξητική </w:t>
      </w:r>
      <w:r w:rsidR="00371F2B" w:rsidRPr="00371F2B">
        <w:rPr>
          <w:bCs/>
          <w:i/>
          <w:lang w:val="en-GB"/>
        </w:rPr>
        <w:t>in</w:t>
      </w:r>
      <w:r w:rsidR="00371F2B" w:rsidRPr="00371F2B">
        <w:rPr>
          <w:bCs/>
          <w:i/>
        </w:rPr>
        <w:t xml:space="preserve"> </w:t>
      </w:r>
      <w:r w:rsidR="00371F2B" w:rsidRPr="00371F2B">
        <w:rPr>
          <w:bCs/>
          <w:i/>
          <w:lang w:val="en-GB"/>
        </w:rPr>
        <w:t>vivo</w:t>
      </w:r>
      <w:r w:rsidR="00371F2B">
        <w:rPr>
          <w:bCs/>
        </w:rPr>
        <w:t xml:space="preserve"> ανάκτηση (</w:t>
      </w:r>
      <w:r w:rsidR="00371F2B">
        <w:rPr>
          <w:bCs/>
          <w:lang w:val="en-GB"/>
        </w:rPr>
        <w:t>IVR</w:t>
      </w:r>
      <w:r w:rsidR="00371F2B" w:rsidRPr="00371F2B">
        <w:rPr>
          <w:bCs/>
        </w:rPr>
        <w:t>)</w:t>
      </w:r>
      <w:bookmarkEnd w:id="0"/>
      <w:bookmarkEnd w:id="1"/>
      <w:r w:rsidR="00371F2B">
        <w:rPr>
          <w:bCs/>
        </w:rPr>
        <w:t xml:space="preserve">, που ορίστηκε ως η μέγιστη αύξηση </w:t>
      </w:r>
      <w:r w:rsidR="000D6DCD">
        <w:rPr>
          <w:bCs/>
        </w:rPr>
        <w:t>των επιπεδων</w:t>
      </w:r>
      <w:r w:rsidR="00371F2B">
        <w:rPr>
          <w:bCs/>
        </w:rPr>
        <w:t xml:space="preserve"> του ινωδογόνου στο πλάσμα ανά </w:t>
      </w:r>
      <w:r w:rsidR="000D6DCD">
        <w:rPr>
          <w:bCs/>
        </w:rPr>
        <w:t xml:space="preserve">δόση </w:t>
      </w:r>
      <w:r w:rsidR="00371F2B">
        <w:rPr>
          <w:bCs/>
          <w:lang w:val="en-GB"/>
        </w:rPr>
        <w:t>mg</w:t>
      </w:r>
      <w:r w:rsidR="00371F2B" w:rsidRPr="00371F2B">
        <w:rPr>
          <w:bCs/>
        </w:rPr>
        <w:t>/</w:t>
      </w:r>
      <w:r w:rsidR="00371F2B">
        <w:rPr>
          <w:bCs/>
          <w:lang w:val="en-GB"/>
        </w:rPr>
        <w:t>kg</w:t>
      </w:r>
      <w:r w:rsidR="00371F2B" w:rsidRPr="00371F2B">
        <w:rPr>
          <w:bCs/>
        </w:rPr>
        <w:t xml:space="preserve"> </w:t>
      </w:r>
      <w:r w:rsidR="00371F2B">
        <w:rPr>
          <w:bCs/>
        </w:rPr>
        <w:t>βάρους σώματος, προσδιορίστηκε από τη συγκέντρωση που επιτεύχθηκε έως και 4 ώρες μετά την έγχυση.</w:t>
      </w:r>
    </w:p>
    <w:p w:rsidR="00371F2B" w:rsidRDefault="00371F2B">
      <w:pPr>
        <w:rPr>
          <w:bCs/>
        </w:rPr>
      </w:pPr>
      <w:r>
        <w:rPr>
          <w:bCs/>
        </w:rPr>
        <w:t xml:space="preserve">Η </w:t>
      </w:r>
      <w:r w:rsidR="000C30EB">
        <w:rPr>
          <w:bCs/>
        </w:rPr>
        <w:t>διάμε</w:t>
      </w:r>
      <w:r>
        <w:rPr>
          <w:bCs/>
        </w:rPr>
        <w:t xml:space="preserve">ση αυξητική </w:t>
      </w:r>
      <w:r>
        <w:rPr>
          <w:bCs/>
          <w:lang w:val="en-GB"/>
        </w:rPr>
        <w:t>IVR</w:t>
      </w:r>
      <w:r w:rsidR="007774C3">
        <w:rPr>
          <w:bCs/>
        </w:rPr>
        <w:t xml:space="preserve"> ήταν 1</w:t>
      </w:r>
      <w:r w:rsidR="007774C3" w:rsidRPr="007774C3">
        <w:rPr>
          <w:bCs/>
        </w:rPr>
        <w:t>,</w:t>
      </w:r>
      <w:r w:rsidR="007774C3">
        <w:rPr>
          <w:bCs/>
        </w:rPr>
        <w:t>7 (διακύμανση από 1</w:t>
      </w:r>
      <w:r w:rsidR="007774C3" w:rsidRPr="007774C3">
        <w:rPr>
          <w:bCs/>
        </w:rPr>
        <w:t>,</w:t>
      </w:r>
      <w:r w:rsidR="007774C3">
        <w:rPr>
          <w:bCs/>
        </w:rPr>
        <w:t>30 έως 2</w:t>
      </w:r>
      <w:r w:rsidR="007774C3" w:rsidRPr="007774C3">
        <w:rPr>
          <w:bCs/>
        </w:rPr>
        <w:t>,</w:t>
      </w:r>
      <w:r>
        <w:rPr>
          <w:bCs/>
        </w:rPr>
        <w:t xml:space="preserve">73) </w:t>
      </w:r>
      <w:r>
        <w:rPr>
          <w:bCs/>
          <w:lang w:val="en-GB"/>
        </w:rPr>
        <w:t>mg</w:t>
      </w:r>
      <w:r w:rsidRPr="00371F2B">
        <w:rPr>
          <w:bCs/>
        </w:rPr>
        <w:t>/</w:t>
      </w:r>
      <w:r>
        <w:rPr>
          <w:bCs/>
          <w:lang w:val="en-GB"/>
        </w:rPr>
        <w:t>dl</w:t>
      </w:r>
      <w:r w:rsidRPr="00371F2B">
        <w:rPr>
          <w:bCs/>
        </w:rPr>
        <w:t xml:space="preserve"> </w:t>
      </w:r>
      <w:r>
        <w:rPr>
          <w:bCs/>
        </w:rPr>
        <w:t xml:space="preserve">ανά </w:t>
      </w:r>
      <w:r>
        <w:rPr>
          <w:bCs/>
          <w:lang w:val="en-GB"/>
        </w:rPr>
        <w:t>mg</w:t>
      </w:r>
      <w:r w:rsidRPr="00371F2B">
        <w:rPr>
          <w:bCs/>
        </w:rPr>
        <w:t>/</w:t>
      </w:r>
      <w:r>
        <w:rPr>
          <w:bCs/>
          <w:lang w:val="en-GB"/>
        </w:rPr>
        <w:t>kg</w:t>
      </w:r>
      <w:r>
        <w:rPr>
          <w:bCs/>
        </w:rPr>
        <w:t xml:space="preserve"> βάρους σώματος. </w:t>
      </w:r>
      <w:r w:rsidR="00897B91">
        <w:rPr>
          <w:bCs/>
        </w:rPr>
        <w:t xml:space="preserve">Στον ακόλουθο </w:t>
      </w:r>
      <w:r>
        <w:rPr>
          <w:bCs/>
        </w:rPr>
        <w:t xml:space="preserve">πίνακα </w:t>
      </w:r>
      <w:r w:rsidR="00897B91">
        <w:rPr>
          <w:bCs/>
        </w:rPr>
        <w:t xml:space="preserve">παρουσιάζονται </w:t>
      </w:r>
      <w:r>
        <w:rPr>
          <w:bCs/>
        </w:rPr>
        <w:t>τα αποτελέσματα</w:t>
      </w:r>
      <w:r w:rsidR="00F10549">
        <w:rPr>
          <w:bCs/>
        </w:rPr>
        <w:t xml:space="preserve"> της φαρμακοκινητικής</w:t>
      </w:r>
      <w:r>
        <w:rPr>
          <w:bCs/>
        </w:rPr>
        <w:t>.</w:t>
      </w:r>
    </w:p>
    <w:p w:rsidR="005B63B2" w:rsidRDefault="005B63B2">
      <w:pPr>
        <w:rPr>
          <w:bCs/>
        </w:rPr>
      </w:pPr>
    </w:p>
    <w:p w:rsidR="005B63B2" w:rsidRDefault="005B63B2">
      <w:pPr>
        <w:rPr>
          <w:bCs/>
          <w:u w:val="single"/>
          <w:lang w:val="en-GB"/>
        </w:rPr>
      </w:pPr>
      <w:r w:rsidRPr="00857B90">
        <w:rPr>
          <w:bCs/>
          <w:u w:val="single"/>
        </w:rPr>
        <w:t>Φαρμακοκινητικά α</w:t>
      </w:r>
      <w:r w:rsidR="00857B90" w:rsidRPr="00857B90">
        <w:rPr>
          <w:bCs/>
          <w:u w:val="single"/>
        </w:rPr>
        <w:t>ποτελέσματα για τη δραστικότητα</w:t>
      </w:r>
      <w:r w:rsidRPr="00857B90">
        <w:rPr>
          <w:bCs/>
          <w:u w:val="single"/>
        </w:rPr>
        <w:t xml:space="preserve"> του ινωδογόνου</w:t>
      </w:r>
    </w:p>
    <w:p w:rsidR="00857B90" w:rsidRPr="00857B90" w:rsidRDefault="00857B90">
      <w:pPr>
        <w:rPr>
          <w:bCs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2461"/>
        <w:gridCol w:w="3039"/>
      </w:tblGrid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CF4042" w:rsidRDefault="00857B90">
            <w:pPr>
              <w:rPr>
                <w:b/>
                <w:lang w:val="en-GB"/>
              </w:rPr>
            </w:pPr>
            <w:r w:rsidRPr="00CF4042">
              <w:rPr>
                <w:b/>
              </w:rPr>
              <w:t>Παράμετρος (</w:t>
            </w:r>
            <w:r w:rsidRPr="00CF4042">
              <w:rPr>
                <w:b/>
                <w:lang w:val="en-GB"/>
              </w:rPr>
              <w:t>n=14)</w:t>
            </w:r>
          </w:p>
        </w:tc>
        <w:tc>
          <w:tcPr>
            <w:tcW w:w="2461" w:type="dxa"/>
            <w:shd w:val="clear" w:color="auto" w:fill="auto"/>
          </w:tcPr>
          <w:p w:rsidR="00857B90" w:rsidRPr="00CF4042" w:rsidRDefault="00857B90">
            <w:pPr>
              <w:rPr>
                <w:b/>
                <w:lang w:val="en-GB"/>
              </w:rPr>
            </w:pPr>
            <w:r w:rsidRPr="00CF4042">
              <w:rPr>
                <w:b/>
              </w:rPr>
              <w:t>Μέσ</w:t>
            </w:r>
            <w:r w:rsidR="00BB0655" w:rsidRPr="00CF4042">
              <w:rPr>
                <w:b/>
              </w:rPr>
              <w:t xml:space="preserve">η τιμή </w:t>
            </w:r>
            <w:bookmarkStart w:id="2" w:name="OLE_LINK3"/>
            <w:bookmarkStart w:id="3" w:name="OLE_LINK4"/>
            <w:r w:rsidRPr="00CF4042">
              <w:rPr>
                <w:b/>
              </w:rPr>
              <w:t>±</w:t>
            </w:r>
            <w:bookmarkEnd w:id="2"/>
            <w:bookmarkEnd w:id="3"/>
            <w:r w:rsidRPr="00CF4042">
              <w:rPr>
                <w:b/>
                <w:lang w:val="en-GB"/>
              </w:rPr>
              <w:t xml:space="preserve"> SD</w:t>
            </w:r>
          </w:p>
        </w:tc>
        <w:tc>
          <w:tcPr>
            <w:tcW w:w="3039" w:type="dxa"/>
            <w:shd w:val="clear" w:color="auto" w:fill="auto"/>
          </w:tcPr>
          <w:p w:rsidR="00857B90" w:rsidRPr="00CF4042" w:rsidRDefault="00BB0655">
            <w:pPr>
              <w:rPr>
                <w:b/>
              </w:rPr>
            </w:pPr>
            <w:r w:rsidRPr="00CF4042">
              <w:rPr>
                <w:b/>
              </w:rPr>
              <w:t>Διάμεση τιμή (</w:t>
            </w:r>
            <w:r w:rsidR="004D12FF" w:rsidRPr="00CF4042">
              <w:rPr>
                <w:b/>
              </w:rPr>
              <w:t>εύρος</w:t>
            </w:r>
            <w:r w:rsidRPr="00CF4042">
              <w:rPr>
                <w:b/>
              </w:rPr>
              <w:t>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626709" w:rsidRDefault="00BB0655">
            <w:r w:rsidRPr="00CF4042">
              <w:rPr>
                <w:lang w:val="en-GB"/>
              </w:rPr>
              <w:t>t</w:t>
            </w:r>
            <w:r w:rsidRPr="00CF4042">
              <w:rPr>
                <w:szCs w:val="22"/>
                <w:vertAlign w:val="subscript"/>
                <w:lang w:val="en-GB"/>
              </w:rPr>
              <w:t xml:space="preserve"> ½</w:t>
            </w:r>
            <w:r w:rsidRPr="00CF4042">
              <w:rPr>
                <w:lang w:val="en-GB"/>
              </w:rPr>
              <w:t xml:space="preserve"> [h]</w:t>
            </w:r>
          </w:p>
        </w:tc>
        <w:tc>
          <w:tcPr>
            <w:tcW w:w="2461" w:type="dxa"/>
            <w:shd w:val="clear" w:color="auto" w:fill="auto"/>
          </w:tcPr>
          <w:p w:rsidR="00857B90" w:rsidRPr="00626709" w:rsidRDefault="00AC477B">
            <w:r>
              <w:t>78,7 ± 18,</w:t>
            </w:r>
            <w:r w:rsidR="00626709" w:rsidRPr="00626709">
              <w:t>13</w:t>
            </w:r>
          </w:p>
        </w:tc>
        <w:tc>
          <w:tcPr>
            <w:tcW w:w="3039" w:type="dxa"/>
            <w:shd w:val="clear" w:color="auto" w:fill="auto"/>
          </w:tcPr>
          <w:p w:rsidR="00857B90" w:rsidRPr="004D12FF" w:rsidRDefault="00AC477B">
            <w:r>
              <w:t>77,</w:t>
            </w:r>
            <w:r w:rsidR="004D12FF" w:rsidRPr="00CF4042">
              <w:rPr>
                <w:lang w:val="en-GB"/>
              </w:rPr>
              <w:t xml:space="preserve">1 </w:t>
            </w:r>
            <w:r>
              <w:t>(55,73-117,</w:t>
            </w:r>
            <w:r w:rsidR="00626709" w:rsidRPr="004D12FF">
              <w:t>26)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4D12FF" w:rsidRDefault="00BB0655">
            <w:r w:rsidRPr="00CF4042">
              <w:rPr>
                <w:lang w:val="en-GB"/>
              </w:rPr>
              <w:t>C</w:t>
            </w:r>
            <w:r w:rsidRPr="00CF4042">
              <w:rPr>
                <w:szCs w:val="22"/>
                <w:vertAlign w:val="subscript"/>
                <w:lang w:val="en-GB"/>
              </w:rPr>
              <w:t>max</w:t>
            </w:r>
            <w:r w:rsidRPr="00CF4042">
              <w:rPr>
                <w:szCs w:val="22"/>
                <w:vertAlign w:val="subscript"/>
              </w:rPr>
              <w:t xml:space="preserve"> </w:t>
            </w:r>
            <w:r w:rsidRPr="004D12FF">
              <w:t>[</w:t>
            </w:r>
            <w:r w:rsidRPr="00CF4042">
              <w:rPr>
                <w:lang w:val="en-GB"/>
              </w:rPr>
              <w:t>g</w:t>
            </w:r>
            <w:r w:rsidRPr="004D12FF">
              <w:t>/</w:t>
            </w:r>
            <w:r w:rsidRPr="00CF4042">
              <w:rPr>
                <w:lang w:val="en-GB"/>
              </w:rPr>
              <w:t>l</w:t>
            </w:r>
            <w:r w:rsidRPr="004D12FF">
              <w:t>]</w:t>
            </w:r>
          </w:p>
        </w:tc>
        <w:tc>
          <w:tcPr>
            <w:tcW w:w="2461" w:type="dxa"/>
            <w:shd w:val="clear" w:color="auto" w:fill="auto"/>
          </w:tcPr>
          <w:p w:rsidR="00857B90" w:rsidRPr="004D12FF" w:rsidRDefault="00AC477B">
            <w:r>
              <w:t>1,</w:t>
            </w:r>
            <w:r w:rsidR="00626709" w:rsidRPr="004D12FF">
              <w:t xml:space="preserve">4 </w:t>
            </w:r>
            <w:r w:rsidR="00626709" w:rsidRPr="00626709">
              <w:t>±</w:t>
            </w:r>
            <w:r>
              <w:t xml:space="preserve"> 0,</w:t>
            </w:r>
            <w:r w:rsidR="00626709" w:rsidRPr="004D12FF">
              <w:t>27</w:t>
            </w:r>
          </w:p>
        </w:tc>
        <w:tc>
          <w:tcPr>
            <w:tcW w:w="3039" w:type="dxa"/>
            <w:shd w:val="clear" w:color="auto" w:fill="auto"/>
          </w:tcPr>
          <w:p w:rsidR="00857B90" w:rsidRPr="004D12FF" w:rsidRDefault="004D12FF">
            <w:r>
              <w:t>1</w:t>
            </w:r>
            <w:r w:rsidR="00AC477B">
              <w:t>,</w:t>
            </w:r>
            <w:r>
              <w:t>3 (1</w:t>
            </w:r>
            <w:r w:rsidR="00AC477B">
              <w:t>,</w:t>
            </w:r>
            <w:r>
              <w:t>00-2</w:t>
            </w:r>
            <w:r w:rsidR="00AC477B">
              <w:t>,</w:t>
            </w:r>
            <w:r>
              <w:t>10)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626709" w:rsidRDefault="00BB0655">
            <w:r w:rsidRPr="00CF4042">
              <w:rPr>
                <w:lang w:val="en-GB"/>
              </w:rPr>
              <w:t>AUC</w:t>
            </w:r>
            <w:r w:rsidRPr="00626709">
              <w:t xml:space="preserve"> για δόση 70</w:t>
            </w:r>
            <w:r w:rsidR="00626709" w:rsidRPr="00626709">
              <w:t xml:space="preserve"> </w:t>
            </w:r>
            <w:r w:rsidRPr="00CF4042">
              <w:rPr>
                <w:lang w:val="en-GB"/>
              </w:rPr>
              <w:t>mg</w:t>
            </w:r>
            <w:r w:rsidRPr="00626709">
              <w:t>/</w:t>
            </w:r>
            <w:r w:rsidRPr="00CF4042">
              <w:rPr>
                <w:lang w:val="en-GB"/>
              </w:rPr>
              <w:t>kg</w:t>
            </w:r>
            <w:r w:rsidRPr="00626709">
              <w:t xml:space="preserve"> [</w:t>
            </w:r>
            <w:r w:rsidRPr="00CF4042">
              <w:rPr>
                <w:lang w:val="en-GB"/>
              </w:rPr>
              <w:t>h</w:t>
            </w:r>
            <w:r w:rsidRPr="00626709">
              <w:t>·</w:t>
            </w:r>
            <w:r w:rsidRPr="00CF4042">
              <w:rPr>
                <w:lang w:val="en-GB"/>
              </w:rPr>
              <w:t>mg</w:t>
            </w:r>
            <w:r w:rsidRPr="00626709">
              <w:t>/</w:t>
            </w:r>
            <w:r w:rsidRPr="00CF4042">
              <w:rPr>
                <w:lang w:val="en-GB"/>
              </w:rPr>
              <w:t>ml</w:t>
            </w:r>
            <w:r w:rsidRPr="00626709">
              <w:t>]</w:t>
            </w:r>
          </w:p>
        </w:tc>
        <w:tc>
          <w:tcPr>
            <w:tcW w:w="2461" w:type="dxa"/>
            <w:shd w:val="clear" w:color="auto" w:fill="auto"/>
          </w:tcPr>
          <w:p w:rsidR="00857B90" w:rsidRPr="004D12FF" w:rsidRDefault="00AC477B">
            <w:r>
              <w:t>124,</w:t>
            </w:r>
            <w:r w:rsidR="00626709" w:rsidRPr="004D12FF">
              <w:t xml:space="preserve">3 </w:t>
            </w:r>
            <w:r w:rsidR="00626709" w:rsidRPr="00626709">
              <w:t>±</w:t>
            </w:r>
            <w:r>
              <w:t xml:space="preserve"> 24,</w:t>
            </w:r>
            <w:r w:rsidR="00626709" w:rsidRPr="004D12FF">
              <w:t>16</w:t>
            </w:r>
          </w:p>
        </w:tc>
        <w:tc>
          <w:tcPr>
            <w:tcW w:w="3039" w:type="dxa"/>
            <w:shd w:val="clear" w:color="auto" w:fill="auto"/>
          </w:tcPr>
          <w:p w:rsidR="00857B90" w:rsidRPr="004D12FF" w:rsidRDefault="00AC477B">
            <w:r>
              <w:t>126,8 (81,73-156,</w:t>
            </w:r>
            <w:r w:rsidR="004D12FF" w:rsidRPr="004D12FF">
              <w:t>40)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CF4042" w:rsidRDefault="003D6008">
            <w:pPr>
              <w:rPr>
                <w:lang w:val="en-GB"/>
              </w:rPr>
            </w:pPr>
            <w:r w:rsidRPr="00626709">
              <w:t>Συναγόμεν</w:t>
            </w:r>
            <w:r w:rsidR="000C30EB">
              <w:t xml:space="preserve">ο τμήμα της </w:t>
            </w:r>
            <w:r w:rsidRPr="00626709">
              <w:t xml:space="preserve"> </w:t>
            </w:r>
            <w:r w:rsidR="00BB0655" w:rsidRPr="00CF4042">
              <w:rPr>
                <w:lang w:val="en-GB"/>
              </w:rPr>
              <w:t>AUC</w:t>
            </w:r>
            <w:r w:rsidR="000149CA" w:rsidRPr="004D12FF">
              <w:t xml:space="preserve"> [%</w:t>
            </w:r>
            <w:r w:rsidR="000149CA" w:rsidRPr="00CF4042">
              <w:rPr>
                <w:lang w:val="en-GB"/>
              </w:rPr>
              <w:t>]</w:t>
            </w:r>
          </w:p>
        </w:tc>
        <w:tc>
          <w:tcPr>
            <w:tcW w:w="2461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8</w:t>
            </w:r>
            <w:r>
              <w:t>,</w:t>
            </w:r>
            <w:r w:rsidR="00626709" w:rsidRPr="00CF4042">
              <w:rPr>
                <w:lang w:val="en-GB"/>
              </w:rPr>
              <w:t>4</w:t>
            </w:r>
            <w:r w:rsidR="004D12FF" w:rsidRPr="00CF4042">
              <w:rPr>
                <w:lang w:val="en-GB"/>
              </w:rPr>
              <w:t xml:space="preserve"> </w:t>
            </w:r>
            <w:r w:rsidR="00626709" w:rsidRPr="00626709">
              <w:t>±</w:t>
            </w:r>
            <w:r w:rsidR="004D12FF" w:rsidRPr="00CF4042">
              <w:rPr>
                <w:lang w:val="en-GB"/>
              </w:rPr>
              <w:t xml:space="preserve"> </w:t>
            </w:r>
            <w:r w:rsidRPr="00CF4042">
              <w:rPr>
                <w:lang w:val="en-GB"/>
              </w:rPr>
              <w:t>1</w:t>
            </w:r>
            <w:r>
              <w:t>,</w:t>
            </w:r>
            <w:r w:rsidR="00626709" w:rsidRPr="00CF4042">
              <w:rPr>
                <w:lang w:val="en-GB"/>
              </w:rPr>
              <w:t>72</w:t>
            </w:r>
          </w:p>
        </w:tc>
        <w:tc>
          <w:tcPr>
            <w:tcW w:w="3039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7</w:t>
            </w:r>
            <w:r>
              <w:t>,</w:t>
            </w:r>
            <w:r w:rsidRPr="00CF4042">
              <w:rPr>
                <w:lang w:val="en-GB"/>
              </w:rPr>
              <w:t>8 (6</w:t>
            </w:r>
            <w:r>
              <w:t>,</w:t>
            </w:r>
            <w:r w:rsidRPr="00CF4042">
              <w:rPr>
                <w:lang w:val="en-GB"/>
              </w:rPr>
              <w:t>13-12</w:t>
            </w:r>
            <w:r>
              <w:t>,</w:t>
            </w:r>
            <w:r w:rsidR="004D12FF" w:rsidRPr="00CF4042">
              <w:rPr>
                <w:lang w:val="en-GB"/>
              </w:rPr>
              <w:t>14)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700F2A" w:rsidRDefault="003D6008" w:rsidP="00897B91">
            <w:r w:rsidRPr="00CF4042">
              <w:rPr>
                <w:lang w:val="en-GB"/>
              </w:rPr>
              <w:t>Cl</w:t>
            </w:r>
            <w:r w:rsidR="00BB0655" w:rsidRPr="00CF4042">
              <w:rPr>
                <w:lang w:val="en-GB"/>
              </w:rPr>
              <w:t xml:space="preserve"> </w:t>
            </w:r>
            <w:r w:rsidR="00897B91">
              <w:t>[</w:t>
            </w:r>
            <w:r w:rsidR="00BB0655" w:rsidRPr="00CF4042">
              <w:rPr>
                <w:lang w:val="en-GB"/>
              </w:rPr>
              <w:t>ml/h/kg</w:t>
            </w:r>
            <w:r w:rsidR="00897B91">
              <w:t>]</w:t>
            </w:r>
          </w:p>
        </w:tc>
        <w:tc>
          <w:tcPr>
            <w:tcW w:w="2461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0</w:t>
            </w:r>
            <w:r>
              <w:t>,</w:t>
            </w:r>
            <w:r w:rsidR="00626709" w:rsidRPr="00CF4042">
              <w:rPr>
                <w:lang w:val="en-GB"/>
              </w:rPr>
              <w:t>59</w:t>
            </w:r>
            <w:r w:rsidR="004D12FF" w:rsidRPr="00CF4042">
              <w:rPr>
                <w:lang w:val="en-GB"/>
              </w:rPr>
              <w:t xml:space="preserve"> </w:t>
            </w:r>
            <w:r w:rsidR="00626709" w:rsidRPr="00626709">
              <w:t>±</w:t>
            </w:r>
            <w:r w:rsidR="004D12FF" w:rsidRPr="00CF4042">
              <w:rPr>
                <w:lang w:val="en-GB"/>
              </w:rPr>
              <w:t xml:space="preserve"> </w:t>
            </w:r>
            <w:r w:rsidRPr="00CF4042">
              <w:rPr>
                <w:lang w:val="en-GB"/>
              </w:rPr>
              <w:t>0</w:t>
            </w:r>
            <w:r>
              <w:t>,</w:t>
            </w:r>
            <w:r w:rsidR="00626709" w:rsidRPr="00CF4042">
              <w:rPr>
                <w:lang w:val="en-GB"/>
              </w:rPr>
              <w:t>13</w:t>
            </w:r>
          </w:p>
        </w:tc>
        <w:tc>
          <w:tcPr>
            <w:tcW w:w="3039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0</w:t>
            </w:r>
            <w:r>
              <w:t>,</w:t>
            </w:r>
            <w:r w:rsidR="004D12FF" w:rsidRPr="00CF4042">
              <w:rPr>
                <w:lang w:val="en-GB"/>
              </w:rPr>
              <w:t xml:space="preserve">55 </w:t>
            </w:r>
            <w:r w:rsidRPr="00CF4042">
              <w:rPr>
                <w:lang w:val="en-GB"/>
              </w:rPr>
              <w:t>(0</w:t>
            </w:r>
            <w:r>
              <w:t>,</w:t>
            </w:r>
            <w:r w:rsidRPr="00CF4042">
              <w:rPr>
                <w:lang w:val="en-GB"/>
              </w:rPr>
              <w:t>45-0</w:t>
            </w:r>
            <w:r>
              <w:t>,</w:t>
            </w:r>
            <w:r w:rsidR="004D12FF" w:rsidRPr="00CF4042">
              <w:rPr>
                <w:lang w:val="en-GB"/>
              </w:rPr>
              <w:t>86)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CF4042" w:rsidRDefault="00BB0655">
            <w:pPr>
              <w:rPr>
                <w:lang w:val="en-GB"/>
              </w:rPr>
            </w:pPr>
            <w:r w:rsidRPr="00CF4042">
              <w:rPr>
                <w:lang w:val="en-GB"/>
              </w:rPr>
              <w:t>MRT [h]</w:t>
            </w:r>
          </w:p>
        </w:tc>
        <w:tc>
          <w:tcPr>
            <w:tcW w:w="2461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92</w:t>
            </w:r>
            <w:r>
              <w:t>,</w:t>
            </w:r>
            <w:r w:rsidR="00626709" w:rsidRPr="00CF4042">
              <w:rPr>
                <w:lang w:val="en-GB"/>
              </w:rPr>
              <w:t>8</w:t>
            </w:r>
            <w:r w:rsidR="004D12FF" w:rsidRPr="00CF4042">
              <w:rPr>
                <w:lang w:val="en-GB"/>
              </w:rPr>
              <w:t xml:space="preserve"> </w:t>
            </w:r>
            <w:r w:rsidR="00626709" w:rsidRPr="00626709">
              <w:t>±</w:t>
            </w:r>
            <w:r w:rsidR="004D12FF" w:rsidRPr="00CF4042">
              <w:rPr>
                <w:lang w:val="en-GB"/>
              </w:rPr>
              <w:t xml:space="preserve"> </w:t>
            </w:r>
            <w:r w:rsidRPr="00CF4042">
              <w:rPr>
                <w:lang w:val="en-GB"/>
              </w:rPr>
              <w:t>20</w:t>
            </w:r>
            <w:r>
              <w:t>,</w:t>
            </w:r>
            <w:r w:rsidR="00626709" w:rsidRPr="00CF4042">
              <w:rPr>
                <w:lang w:val="en-GB"/>
              </w:rPr>
              <w:t>11</w:t>
            </w:r>
          </w:p>
        </w:tc>
        <w:tc>
          <w:tcPr>
            <w:tcW w:w="3039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85</w:t>
            </w:r>
            <w:r>
              <w:t>,</w:t>
            </w:r>
            <w:r w:rsidRPr="00CF4042">
              <w:rPr>
                <w:lang w:val="en-GB"/>
              </w:rPr>
              <w:t>9 (66</w:t>
            </w:r>
            <w:r>
              <w:t>,</w:t>
            </w:r>
            <w:r w:rsidRPr="00CF4042">
              <w:rPr>
                <w:lang w:val="en-GB"/>
              </w:rPr>
              <w:t>14-126</w:t>
            </w:r>
            <w:r>
              <w:t>,</w:t>
            </w:r>
            <w:r w:rsidR="004D12FF" w:rsidRPr="00CF4042">
              <w:rPr>
                <w:lang w:val="en-GB"/>
              </w:rPr>
              <w:t>44)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CF4042" w:rsidRDefault="00BB0655">
            <w:pPr>
              <w:rPr>
                <w:lang w:val="en-GB"/>
              </w:rPr>
            </w:pPr>
            <w:r w:rsidRPr="00CF4042">
              <w:rPr>
                <w:lang w:val="en-GB"/>
              </w:rPr>
              <w:t>V</w:t>
            </w:r>
            <w:r w:rsidRPr="00CF4042">
              <w:rPr>
                <w:szCs w:val="22"/>
                <w:vertAlign w:val="subscript"/>
                <w:lang w:val="en-GB"/>
              </w:rPr>
              <w:t>ss</w:t>
            </w:r>
            <w:r w:rsidRPr="00CF4042">
              <w:rPr>
                <w:lang w:val="en-GB"/>
              </w:rPr>
              <w:t xml:space="preserve"> [ml/kg]</w:t>
            </w:r>
          </w:p>
        </w:tc>
        <w:tc>
          <w:tcPr>
            <w:tcW w:w="2461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52</w:t>
            </w:r>
            <w:r>
              <w:t>,</w:t>
            </w:r>
            <w:r w:rsidR="00626709" w:rsidRPr="00CF4042">
              <w:rPr>
                <w:lang w:val="en-GB"/>
              </w:rPr>
              <w:t>7</w:t>
            </w:r>
            <w:r w:rsidR="004D12FF" w:rsidRPr="00CF4042">
              <w:rPr>
                <w:lang w:val="en-GB"/>
              </w:rPr>
              <w:t xml:space="preserve"> </w:t>
            </w:r>
            <w:r w:rsidR="00626709" w:rsidRPr="00626709">
              <w:t>±</w:t>
            </w:r>
            <w:r w:rsidR="004D12FF" w:rsidRPr="00CF4042">
              <w:rPr>
                <w:lang w:val="en-GB"/>
              </w:rPr>
              <w:t xml:space="preserve"> </w:t>
            </w:r>
            <w:r w:rsidRPr="00CF4042">
              <w:rPr>
                <w:lang w:val="en-GB"/>
              </w:rPr>
              <w:t>7</w:t>
            </w:r>
            <w:r>
              <w:t>,</w:t>
            </w:r>
            <w:r w:rsidR="00626709" w:rsidRPr="00CF4042">
              <w:rPr>
                <w:lang w:val="en-GB"/>
              </w:rPr>
              <w:t>48</w:t>
            </w:r>
          </w:p>
        </w:tc>
        <w:tc>
          <w:tcPr>
            <w:tcW w:w="3039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52</w:t>
            </w:r>
            <w:r>
              <w:t>,</w:t>
            </w:r>
            <w:r w:rsidRPr="00CF4042">
              <w:rPr>
                <w:lang w:val="en-GB"/>
              </w:rPr>
              <w:t>7 (36</w:t>
            </w:r>
            <w:r>
              <w:t>,</w:t>
            </w:r>
            <w:r w:rsidRPr="00CF4042">
              <w:rPr>
                <w:lang w:val="en-GB"/>
              </w:rPr>
              <w:t>22-67</w:t>
            </w:r>
            <w:r>
              <w:t>,</w:t>
            </w:r>
            <w:r w:rsidR="004D12FF" w:rsidRPr="00CF4042">
              <w:rPr>
                <w:lang w:val="en-GB"/>
              </w:rPr>
              <w:t>67)</w:t>
            </w:r>
          </w:p>
        </w:tc>
      </w:tr>
      <w:tr w:rsidR="00857B90" w:rsidRPr="00CF4042" w:rsidTr="00CF4042">
        <w:tc>
          <w:tcPr>
            <w:tcW w:w="2750" w:type="dxa"/>
            <w:shd w:val="clear" w:color="auto" w:fill="auto"/>
          </w:tcPr>
          <w:p w:rsidR="00857B90" w:rsidRPr="00626709" w:rsidRDefault="00BB0655">
            <w:r w:rsidRPr="00CF4042">
              <w:rPr>
                <w:lang w:val="en-GB"/>
              </w:rPr>
              <w:t>IVR</w:t>
            </w:r>
            <w:r w:rsidRPr="00626709">
              <w:t xml:space="preserve"> [</w:t>
            </w:r>
            <w:r w:rsidRPr="00CF4042">
              <w:rPr>
                <w:lang w:val="en-GB"/>
              </w:rPr>
              <w:t>mg</w:t>
            </w:r>
            <w:r w:rsidRPr="00626709">
              <w:t>/</w:t>
            </w:r>
            <w:r w:rsidRPr="00CF4042">
              <w:rPr>
                <w:lang w:val="en-GB"/>
              </w:rPr>
              <w:t>dl</w:t>
            </w:r>
            <w:r w:rsidRPr="00626709">
              <w:t xml:space="preserve"> </w:t>
            </w:r>
            <w:r w:rsidR="00626709" w:rsidRPr="00626709">
              <w:t>ανά</w:t>
            </w:r>
            <w:r w:rsidRPr="00626709">
              <w:t xml:space="preserve"> </w:t>
            </w:r>
            <w:r w:rsidRPr="00CF4042">
              <w:rPr>
                <w:lang w:val="en-GB"/>
              </w:rPr>
              <w:t>mg</w:t>
            </w:r>
            <w:r w:rsidRPr="00626709">
              <w:t>/</w:t>
            </w:r>
            <w:r w:rsidRPr="00CF4042">
              <w:rPr>
                <w:lang w:val="en-GB"/>
              </w:rPr>
              <w:t>kg</w:t>
            </w:r>
            <w:r w:rsidRPr="00626709">
              <w:t xml:space="preserve"> </w:t>
            </w:r>
            <w:r w:rsidR="00626709" w:rsidRPr="00626709">
              <w:t>βάρος σώματος</w:t>
            </w:r>
            <w:r w:rsidRPr="00626709">
              <w:t>]</w:t>
            </w:r>
          </w:p>
        </w:tc>
        <w:tc>
          <w:tcPr>
            <w:tcW w:w="2461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1</w:t>
            </w:r>
            <w:r>
              <w:t>,</w:t>
            </w:r>
            <w:r w:rsidR="00626709" w:rsidRPr="00CF4042">
              <w:rPr>
                <w:lang w:val="en-GB"/>
              </w:rPr>
              <w:t>8</w:t>
            </w:r>
            <w:r w:rsidR="004D12FF" w:rsidRPr="00CF4042">
              <w:rPr>
                <w:lang w:val="en-GB"/>
              </w:rPr>
              <w:t xml:space="preserve"> </w:t>
            </w:r>
            <w:r w:rsidR="00626709" w:rsidRPr="00626709">
              <w:t>±</w:t>
            </w:r>
            <w:r w:rsidR="004D12FF" w:rsidRPr="00CF4042">
              <w:rPr>
                <w:lang w:val="en-GB"/>
              </w:rPr>
              <w:t xml:space="preserve"> </w:t>
            </w:r>
            <w:r w:rsidRPr="00CF4042">
              <w:rPr>
                <w:lang w:val="en-GB"/>
              </w:rPr>
              <w:t>0</w:t>
            </w:r>
            <w:r>
              <w:t>,</w:t>
            </w:r>
            <w:r w:rsidR="00626709" w:rsidRPr="00CF4042">
              <w:rPr>
                <w:lang w:val="en-GB"/>
              </w:rPr>
              <w:t>35</w:t>
            </w:r>
          </w:p>
        </w:tc>
        <w:tc>
          <w:tcPr>
            <w:tcW w:w="3039" w:type="dxa"/>
            <w:shd w:val="clear" w:color="auto" w:fill="auto"/>
          </w:tcPr>
          <w:p w:rsidR="00857B90" w:rsidRPr="00CF4042" w:rsidRDefault="00AC477B">
            <w:pPr>
              <w:rPr>
                <w:lang w:val="en-GB"/>
              </w:rPr>
            </w:pPr>
            <w:r w:rsidRPr="00CF4042">
              <w:rPr>
                <w:lang w:val="en-GB"/>
              </w:rPr>
              <w:t>1</w:t>
            </w:r>
            <w:r>
              <w:t>,</w:t>
            </w:r>
            <w:r w:rsidRPr="00CF4042">
              <w:rPr>
                <w:lang w:val="en-GB"/>
              </w:rPr>
              <w:t>7 (1</w:t>
            </w:r>
            <w:r>
              <w:t>,</w:t>
            </w:r>
            <w:r w:rsidRPr="00CF4042">
              <w:rPr>
                <w:lang w:val="en-GB"/>
              </w:rPr>
              <w:t>30-2</w:t>
            </w:r>
            <w:r>
              <w:t>,</w:t>
            </w:r>
            <w:r w:rsidR="004D12FF" w:rsidRPr="00CF4042">
              <w:rPr>
                <w:lang w:val="en-GB"/>
              </w:rPr>
              <w:t>73)</w:t>
            </w:r>
          </w:p>
        </w:tc>
      </w:tr>
    </w:tbl>
    <w:p w:rsidR="004D12FF" w:rsidRPr="00072FD1" w:rsidRDefault="004D12FF">
      <w:pPr>
        <w:rPr>
          <w:sz w:val="20"/>
        </w:rPr>
      </w:pPr>
      <w:r w:rsidRPr="004D12FF">
        <w:rPr>
          <w:sz w:val="20"/>
          <w:lang w:val="en-GB"/>
        </w:rPr>
        <w:t>t</w:t>
      </w:r>
      <w:r w:rsidRPr="00072FD1">
        <w:rPr>
          <w:sz w:val="20"/>
          <w:vertAlign w:val="subscript"/>
        </w:rPr>
        <w:t xml:space="preserve"> ½</w:t>
      </w:r>
      <w:r w:rsidRPr="004D12FF">
        <w:rPr>
          <w:sz w:val="20"/>
        </w:rPr>
        <w:t xml:space="preserve"> = χ</w:t>
      </w:r>
      <w:r w:rsidR="00072FD1">
        <w:rPr>
          <w:sz w:val="20"/>
        </w:rPr>
        <w:t>ρ</w:t>
      </w:r>
      <w:r w:rsidRPr="004D12FF">
        <w:rPr>
          <w:sz w:val="20"/>
        </w:rPr>
        <w:t xml:space="preserve">όνος ημιζωής τελικής </w:t>
      </w:r>
      <w:r w:rsidR="00072FD1">
        <w:rPr>
          <w:sz w:val="20"/>
        </w:rPr>
        <w:t>αποβολής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h</w:t>
      </w:r>
      <w:r>
        <w:rPr>
          <w:sz w:val="20"/>
        </w:rPr>
        <w:t xml:space="preserve"> </w:t>
      </w:r>
      <w:r w:rsidRPr="004D12FF">
        <w:rPr>
          <w:sz w:val="20"/>
          <w:lang w:val="en-GB"/>
        </w:rPr>
        <w:t>=</w:t>
      </w:r>
      <w:r w:rsidRPr="004D12FF">
        <w:rPr>
          <w:sz w:val="20"/>
        </w:rPr>
        <w:t xml:space="preserve"> ώρα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C</w:t>
      </w:r>
      <w:r w:rsidRPr="004D12FF">
        <w:rPr>
          <w:sz w:val="20"/>
          <w:vertAlign w:val="subscript"/>
          <w:lang w:val="en-GB"/>
        </w:rPr>
        <w:t>max</w:t>
      </w:r>
      <w:r w:rsidRPr="004D12FF">
        <w:rPr>
          <w:sz w:val="20"/>
        </w:rPr>
        <w:t>= μέγιστη συγκέντρωση μέσα σε 4 ώρες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AUC</w:t>
      </w:r>
      <w:r w:rsidRPr="004D12FF">
        <w:rPr>
          <w:sz w:val="20"/>
        </w:rPr>
        <w:t xml:space="preserve"> = εμβαδόν περιοχής κάτω από την καμπύλη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Cl</w:t>
      </w:r>
      <w:r w:rsidRPr="004D12FF">
        <w:rPr>
          <w:sz w:val="20"/>
        </w:rPr>
        <w:t xml:space="preserve"> = κάθαρση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MRT</w:t>
      </w:r>
      <w:r w:rsidRPr="004D12FF">
        <w:rPr>
          <w:sz w:val="20"/>
        </w:rPr>
        <w:t xml:space="preserve"> = μέσος χρόνος παραμονής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lastRenderedPageBreak/>
        <w:t>V</w:t>
      </w:r>
      <w:r w:rsidRPr="004D12FF">
        <w:rPr>
          <w:sz w:val="20"/>
          <w:vertAlign w:val="subscript"/>
          <w:lang w:val="en-GB"/>
        </w:rPr>
        <w:t>ss</w:t>
      </w:r>
      <w:r w:rsidRPr="004D12FF">
        <w:rPr>
          <w:sz w:val="20"/>
        </w:rPr>
        <w:t xml:space="preserve"> = όγκος κατανομής σ</w:t>
      </w:r>
      <w:r w:rsidR="00897B91">
        <w:rPr>
          <w:sz w:val="20"/>
        </w:rPr>
        <w:t>ε σταθεροποιημένη</w:t>
      </w:r>
      <w:r w:rsidRPr="004D12FF">
        <w:rPr>
          <w:sz w:val="20"/>
        </w:rPr>
        <w:t xml:space="preserve"> κατάσταση 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SD</w:t>
      </w:r>
      <w:r w:rsidRPr="004D12FF">
        <w:rPr>
          <w:sz w:val="20"/>
        </w:rPr>
        <w:t xml:space="preserve"> = σταθερή απόκλιση</w:t>
      </w:r>
    </w:p>
    <w:p w:rsidR="004D12FF" w:rsidRPr="004D12FF" w:rsidRDefault="004D12FF">
      <w:pPr>
        <w:rPr>
          <w:sz w:val="20"/>
        </w:rPr>
      </w:pPr>
      <w:r w:rsidRPr="004D12FF">
        <w:rPr>
          <w:sz w:val="20"/>
          <w:lang w:val="en-GB"/>
        </w:rPr>
        <w:t>IVR</w:t>
      </w:r>
      <w:r w:rsidRPr="004D12FF">
        <w:rPr>
          <w:sz w:val="20"/>
        </w:rPr>
        <w:t xml:space="preserve"> =</w:t>
      </w:r>
      <w:r w:rsidRPr="004D12FF">
        <w:rPr>
          <w:i/>
          <w:sz w:val="20"/>
          <w:lang w:val="en-GB"/>
        </w:rPr>
        <w:t>in</w:t>
      </w:r>
      <w:r w:rsidRPr="004D12FF">
        <w:rPr>
          <w:i/>
          <w:sz w:val="20"/>
        </w:rPr>
        <w:t xml:space="preserve"> </w:t>
      </w:r>
      <w:r w:rsidRPr="004D12FF">
        <w:rPr>
          <w:i/>
          <w:sz w:val="20"/>
          <w:lang w:val="en-GB"/>
        </w:rPr>
        <w:t>vivo</w:t>
      </w:r>
      <w:r w:rsidRPr="004D12FF">
        <w:rPr>
          <w:sz w:val="20"/>
        </w:rPr>
        <w:t xml:space="preserve"> ανάκτηση</w:t>
      </w:r>
    </w:p>
    <w:p w:rsidR="00044712" w:rsidRPr="00626709" w:rsidRDefault="004D12FF">
      <w:r>
        <w:rPr>
          <w:szCs w:val="22"/>
        </w:rPr>
        <w:t xml:space="preserve"> </w:t>
      </w:r>
    </w:p>
    <w:p w:rsidR="00CD2AB8" w:rsidRDefault="00CD2AB8">
      <w:r>
        <w:rPr>
          <w:b/>
        </w:rPr>
        <w:t>5.3</w:t>
      </w:r>
      <w:r>
        <w:rPr>
          <w:b/>
        </w:rPr>
        <w:tab/>
        <w:t>Προκλινικά δεδομένα για την ασφάλεια</w:t>
      </w:r>
    </w:p>
    <w:p w:rsidR="00CD2AB8" w:rsidRDefault="00CD2AB8"/>
    <w:p w:rsidR="00F10549" w:rsidRDefault="00F10549">
      <w:r>
        <w:t xml:space="preserve">Σύμφωνα με μη-κλινικά δεδομένα, δεν υπάρχει ιδιαίτερος κίνδυνος για τους ανθρώπους με βάση συμβατικές μελέτες με τις οποίες διερευνήθηκαν η τοξικότητα </w:t>
      </w:r>
      <w:r w:rsidR="000C30EB">
        <w:t xml:space="preserve">εφάπαξ δόσης </w:t>
      </w:r>
      <w:r>
        <w:t>και η φαρμακολογική ασφάλεια.</w:t>
      </w:r>
    </w:p>
    <w:p w:rsidR="00282FED" w:rsidRPr="00282FED" w:rsidRDefault="00124ED1">
      <w:r>
        <w:t>Προκλινικές μελέτες με χορήγηση επαναλαμβανόμενων δόσεων (χρόνια τοξικότητα, καρκιν</w:t>
      </w:r>
      <w:r w:rsidR="00DD58F5">
        <w:t>ογένεση και μετ</w:t>
      </w:r>
      <w:r>
        <w:t>αλλαξιογένεση) δεν μπορούν να πραγματοποιηθούν σε συμ</w:t>
      </w:r>
      <w:r w:rsidRPr="00DD58F5">
        <w:t>βατικά μοντέλα ζώων λόγω της ανάπτυξης αντισωμάτων μετά τη χορήγηση της ετερόλογης ανθρώπινης πρωτε</w:t>
      </w:r>
      <w:r w:rsidR="00DD58F5" w:rsidRPr="00DD58F5">
        <w:t>ΐνης</w:t>
      </w:r>
      <w:r w:rsidRPr="00DD58F5">
        <w:t>.</w:t>
      </w:r>
    </w:p>
    <w:p w:rsidR="00CD2AB8" w:rsidRDefault="00CD2AB8"/>
    <w:p w:rsidR="00CD2AB8" w:rsidRDefault="00CD2AB8">
      <w:r>
        <w:rPr>
          <w:b/>
        </w:rPr>
        <w:t>6.</w:t>
      </w:r>
      <w:r>
        <w:rPr>
          <w:b/>
        </w:rPr>
        <w:tab/>
        <w:t>ΦΑΡΜΑΚΕΥΤΙΚΕΣ ΠΛΗΡΟΦΟΡΙΕΣ</w:t>
      </w:r>
    </w:p>
    <w:p w:rsidR="00CD2AB8" w:rsidRDefault="00CD2AB8">
      <w:pPr>
        <w:pStyle w:val="a3"/>
        <w:tabs>
          <w:tab w:val="clear" w:pos="4153"/>
          <w:tab w:val="clear" w:pos="8306"/>
        </w:tabs>
      </w:pPr>
    </w:p>
    <w:p w:rsidR="00CD2AB8" w:rsidRDefault="00CD2AB8">
      <w:r>
        <w:rPr>
          <w:b/>
        </w:rPr>
        <w:t>6.1</w:t>
      </w:r>
      <w:r>
        <w:rPr>
          <w:b/>
        </w:rPr>
        <w:tab/>
        <w:t>Κατάλογος εκδόχων</w:t>
      </w:r>
    </w:p>
    <w:p w:rsidR="00CD2AB8" w:rsidRDefault="00CD2AB8"/>
    <w:p w:rsidR="00897B91" w:rsidRDefault="00205DAB">
      <w:r w:rsidRPr="00205DAB">
        <w:t>Ανθρώπινη λευκωματίνη</w:t>
      </w:r>
      <w:r>
        <w:t xml:space="preserve">, </w:t>
      </w:r>
    </w:p>
    <w:p w:rsidR="00897B91" w:rsidRDefault="00205DAB">
      <w:r>
        <w:rPr>
          <w:lang w:val="en-GB"/>
        </w:rPr>
        <w:t>L</w:t>
      </w:r>
      <w:r w:rsidRPr="00205DAB">
        <w:t>-</w:t>
      </w:r>
      <w:r>
        <w:t xml:space="preserve">αργινίνη υδροχλωρική, </w:t>
      </w:r>
    </w:p>
    <w:p w:rsidR="00897B91" w:rsidRDefault="00F10549">
      <w:r>
        <w:t>υδροξείδιο του νατρίου</w:t>
      </w:r>
      <w:r w:rsidR="00897B91">
        <w:t xml:space="preserve"> </w:t>
      </w:r>
      <w:r w:rsidR="00205DAB">
        <w:t>(για ρύθμιση του</w:t>
      </w:r>
      <w:r w:rsidR="00205DAB" w:rsidRPr="00205DAB">
        <w:t xml:space="preserve"> </w:t>
      </w:r>
      <w:r w:rsidR="00205DAB">
        <w:rPr>
          <w:lang w:val="en-GB"/>
        </w:rPr>
        <w:t>pH</w:t>
      </w:r>
      <w:r w:rsidR="00205DAB" w:rsidRPr="00205DAB">
        <w:t>),</w:t>
      </w:r>
    </w:p>
    <w:p w:rsidR="00897B91" w:rsidRDefault="00205DAB">
      <w:r>
        <w:t xml:space="preserve">χλωριούχο νάτριο, </w:t>
      </w:r>
    </w:p>
    <w:p w:rsidR="00CD2AB8" w:rsidRDefault="00205DAB">
      <w:r>
        <w:t>κιτρικό νάτριο.</w:t>
      </w:r>
    </w:p>
    <w:p w:rsidR="00205DAB" w:rsidRPr="00205DAB" w:rsidRDefault="00205DAB"/>
    <w:p w:rsidR="00CD2AB8" w:rsidRDefault="00CD2AB8">
      <w:r>
        <w:rPr>
          <w:b/>
        </w:rPr>
        <w:t>6.2</w:t>
      </w:r>
      <w:r>
        <w:rPr>
          <w:b/>
        </w:rPr>
        <w:tab/>
        <w:t>Ασυμβατότητες</w:t>
      </w:r>
    </w:p>
    <w:p w:rsidR="00CD2AB8" w:rsidRDefault="00CD2AB8"/>
    <w:p w:rsidR="00CD2AB8" w:rsidRDefault="00CD2AB8">
      <w:r>
        <w:t>Αυτό το φαρμακευτικό προϊόν δεν πρέπει να αναμειγνύεται με άλλα φαρμακευτικά προϊόντα</w:t>
      </w:r>
      <w:r w:rsidR="00205DAB">
        <w:t>, αραιωτικά μέσα ή διαλύτες</w:t>
      </w:r>
      <w:r>
        <w:t xml:space="preserve"> εκτός </w:t>
      </w:r>
      <w:r w:rsidR="00F10549">
        <w:t>από αυτά που αναφέρονται στην παράγραφο 6.6</w:t>
      </w:r>
      <w:r w:rsidR="00205DAB">
        <w:t>.</w:t>
      </w:r>
      <w:r w:rsidR="00F10549">
        <w:t xml:space="preserve"> Για την ενδοφλέβια χορήγηση του ανασυσταμένου διαλύματος σε θερμοκρασία </w:t>
      </w:r>
      <w:r w:rsidR="000C30EB">
        <w:t>περιβάλλοντος</w:t>
      </w:r>
      <w:r w:rsidR="00F10549">
        <w:t>, συ</w:t>
      </w:r>
      <w:r w:rsidR="000C30EB">
        <w:t>νιστάται</w:t>
      </w:r>
      <w:r w:rsidR="00F10549">
        <w:t xml:space="preserve"> μια κατάλληλη συσκευή χορήγησης.</w:t>
      </w:r>
    </w:p>
    <w:p w:rsidR="00CD2AB8" w:rsidRDefault="00CD2AB8">
      <w:pPr>
        <w:pStyle w:val="a3"/>
        <w:tabs>
          <w:tab w:val="clear" w:pos="4153"/>
          <w:tab w:val="clear" w:pos="8306"/>
        </w:tabs>
      </w:pPr>
    </w:p>
    <w:p w:rsidR="00CD2AB8" w:rsidRDefault="00CD2AB8"/>
    <w:p w:rsidR="00CD2AB8" w:rsidRDefault="00CD2AB8">
      <w:r>
        <w:rPr>
          <w:b/>
        </w:rPr>
        <w:t>6.3</w:t>
      </w:r>
      <w:r>
        <w:rPr>
          <w:b/>
        </w:rPr>
        <w:tab/>
        <w:t>Διάρκεια ζωής</w:t>
      </w:r>
    </w:p>
    <w:p w:rsidR="00CD2AB8" w:rsidRDefault="00CD2AB8"/>
    <w:p w:rsidR="00CD2AB8" w:rsidRDefault="00205DAB">
      <w:r>
        <w:t>5 χρόνια.</w:t>
      </w:r>
    </w:p>
    <w:p w:rsidR="00205DAB" w:rsidRPr="00205DAB" w:rsidRDefault="00205DAB">
      <w:r>
        <w:t xml:space="preserve">Μετά την ανασύσταση, η φυσικοχημική σταθερότητα έχει αποδειχθεί για 8 ώρες σε θερμοκρασία </w:t>
      </w:r>
      <w:r w:rsidR="000C30EB">
        <w:t>περιβάλλοντος</w:t>
      </w:r>
      <w:r>
        <w:t xml:space="preserve"> (έως +25°</w:t>
      </w:r>
      <w:r>
        <w:rPr>
          <w:lang w:val="en-GB"/>
        </w:rPr>
        <w:t>C</w:t>
      </w:r>
      <w:r>
        <w:t>)</w:t>
      </w:r>
      <w:r w:rsidRPr="00205DAB">
        <w:t>.</w:t>
      </w:r>
      <w:r>
        <w:t xml:space="preserve"> Από μικροβιολογική άποψη το προϊόν πρέπει να χρησιμοποιε</w:t>
      </w:r>
      <w:r w:rsidR="00D71660">
        <w:t>ί</w:t>
      </w:r>
      <w:r>
        <w:t>ται αμέσως</w:t>
      </w:r>
      <w:r w:rsidR="00357858">
        <w:t xml:space="preserve"> μετά την ανασύσταση</w:t>
      </w:r>
      <w:r>
        <w:t xml:space="preserve">. </w:t>
      </w:r>
      <w:r w:rsidR="00F76B0F">
        <w:t xml:space="preserve">Εάν </w:t>
      </w:r>
      <w:r w:rsidR="00357858">
        <w:t xml:space="preserve">το ανασυσταμένο προϊόν </w:t>
      </w:r>
      <w:r w:rsidR="00F76B0F">
        <w:t xml:space="preserve">δεν χρησιμοποιηθεί αμέσως, δεν θα πρέπει να φυλάσσεται περισσότερο από 8 ώρες σε θερμοκρασία </w:t>
      </w:r>
      <w:r w:rsidR="000C30EB">
        <w:t>περιβάλλοντος</w:t>
      </w:r>
      <w:r w:rsidR="00357858">
        <w:t xml:space="preserve"> (έως +25°</w:t>
      </w:r>
      <w:r w:rsidR="00357858">
        <w:rPr>
          <w:lang w:val="en-GB"/>
        </w:rPr>
        <w:t>C</w:t>
      </w:r>
      <w:r w:rsidR="00357858">
        <w:t>)</w:t>
      </w:r>
      <w:r w:rsidR="00F76B0F">
        <w:t>. Το</w:t>
      </w:r>
      <w:r w:rsidR="001D4519">
        <w:t xml:space="preserve"> ανασυσταμένο </w:t>
      </w:r>
      <w:r w:rsidR="00357858">
        <w:t>προϊόν</w:t>
      </w:r>
      <w:r w:rsidR="001D4519">
        <w:t xml:space="preserve"> δεν θα πρέπει να φυλάσσεται στο ψυγείο.</w:t>
      </w:r>
    </w:p>
    <w:p w:rsidR="00CD2AB8" w:rsidRDefault="00CD2AB8"/>
    <w:p w:rsidR="00CD2AB8" w:rsidRDefault="00CD2AB8"/>
    <w:p w:rsidR="00CD2AB8" w:rsidRDefault="00CD2AB8">
      <w:r>
        <w:rPr>
          <w:b/>
        </w:rPr>
        <w:t>6.4</w:t>
      </w:r>
      <w:r>
        <w:rPr>
          <w:b/>
        </w:rPr>
        <w:tab/>
        <w:t>Ιδιαίτερες προφυλάξεις κατά την φύλαξη του προϊόντος</w:t>
      </w:r>
    </w:p>
    <w:p w:rsidR="001D4519" w:rsidRDefault="001D4519">
      <w:pPr>
        <w:rPr>
          <w:noProof/>
        </w:rPr>
      </w:pPr>
    </w:p>
    <w:p w:rsidR="00163034" w:rsidRDefault="00897B91">
      <w:pPr>
        <w:rPr>
          <w:noProof/>
        </w:rPr>
      </w:pPr>
      <w:r>
        <w:rPr>
          <w:noProof/>
        </w:rPr>
        <w:t xml:space="preserve">Να μη φυλάσσεται </w:t>
      </w:r>
      <w:r w:rsidR="00163034">
        <w:rPr>
          <w:noProof/>
        </w:rPr>
        <w:t xml:space="preserve">σε θερμοκρασία μεγαλύτερη των 25°C. </w:t>
      </w:r>
      <w:r>
        <w:rPr>
          <w:noProof/>
        </w:rPr>
        <w:t>να μην καταψύχεται</w:t>
      </w:r>
      <w:r w:rsidR="00163034">
        <w:rPr>
          <w:noProof/>
        </w:rPr>
        <w:t xml:space="preserve">. </w:t>
      </w:r>
      <w:r>
        <w:rPr>
          <w:noProof/>
        </w:rPr>
        <w:t xml:space="preserve">Να φυλάσσεται </w:t>
      </w:r>
      <w:r w:rsidR="00163034">
        <w:rPr>
          <w:noProof/>
        </w:rPr>
        <w:t>το φιαλίδιο στο εξωτερικό κουτί για να προστατεύεται από το φως</w:t>
      </w:r>
    </w:p>
    <w:p w:rsidR="00163034" w:rsidRDefault="00163034">
      <w:pPr>
        <w:rPr>
          <w:noProof/>
        </w:rPr>
      </w:pPr>
    </w:p>
    <w:p w:rsidR="00CD2AB8" w:rsidRDefault="00CD2AB8">
      <w:pPr>
        <w:pStyle w:val="a3"/>
        <w:tabs>
          <w:tab w:val="clear" w:pos="4153"/>
          <w:tab w:val="clear" w:pos="8306"/>
        </w:tabs>
      </w:pPr>
    </w:p>
    <w:p w:rsidR="00CD2AB8" w:rsidRDefault="00CD2AB8">
      <w:r>
        <w:rPr>
          <w:b/>
        </w:rPr>
        <w:t>6.5</w:t>
      </w:r>
      <w:r>
        <w:rPr>
          <w:b/>
        </w:rPr>
        <w:tab/>
        <w:t>Φύση και συστατικά του περιέκτη</w:t>
      </w:r>
    </w:p>
    <w:p w:rsidR="00CD2AB8" w:rsidRDefault="00CD2AB8"/>
    <w:p w:rsidR="00163034" w:rsidRDefault="00357858">
      <w:r>
        <w:t>Φιαλίδιο</w:t>
      </w:r>
      <w:r w:rsidR="00163034">
        <w:t xml:space="preserve"> από </w:t>
      </w:r>
      <w:r>
        <w:t xml:space="preserve">άχρωμο </w:t>
      </w:r>
      <w:r w:rsidR="00163034">
        <w:t>γυαλί τύπου ΙΙ</w:t>
      </w:r>
      <w:r w:rsidR="00163034" w:rsidRPr="00163034">
        <w:t xml:space="preserve"> </w:t>
      </w:r>
      <w:r w:rsidR="00163034">
        <w:t>(</w:t>
      </w:r>
      <w:r w:rsidR="00897B91">
        <w:t>Ευρ. Φαρμ/ποιία</w:t>
      </w:r>
      <w:r w:rsidR="00163034" w:rsidRPr="00163034">
        <w:t xml:space="preserve">), </w:t>
      </w:r>
      <w:r w:rsidR="000C30EB">
        <w:t xml:space="preserve">σφραγισμένο </w:t>
      </w:r>
      <w:r w:rsidR="00163034">
        <w:t>με πώμα ελ</w:t>
      </w:r>
      <w:r w:rsidR="00F14F08">
        <w:t>εύθερο λατέξ</w:t>
      </w:r>
      <w:r w:rsidR="00163034">
        <w:t xml:space="preserve"> </w:t>
      </w:r>
      <w:r w:rsidR="00F14F08">
        <w:t>(</w:t>
      </w:r>
      <w:r w:rsidR="00A44F92">
        <w:t xml:space="preserve">ελαστομερές </w:t>
      </w:r>
      <w:r w:rsidR="00021213">
        <w:t>βρωμοβουτυλίου</w:t>
      </w:r>
      <w:r w:rsidR="00F14F08">
        <w:t>)</w:t>
      </w:r>
      <w:r w:rsidR="000C30EB">
        <w:t xml:space="preserve">, </w:t>
      </w:r>
      <w:r w:rsidR="00163034">
        <w:t>καπάκι α</w:t>
      </w:r>
      <w:r w:rsidR="000C30EB">
        <w:t>ργιλίου</w:t>
      </w:r>
      <w:r w:rsidR="00163034">
        <w:t xml:space="preserve"> </w:t>
      </w:r>
      <w:r w:rsidR="000C30EB">
        <w:t>και</w:t>
      </w:r>
      <w:r w:rsidR="00163034">
        <w:t xml:space="preserve"> πλαστικό </w:t>
      </w:r>
      <w:r w:rsidR="00A44F92">
        <w:t>κάλυμμα</w:t>
      </w:r>
      <w:r w:rsidR="00163034">
        <w:t>.</w:t>
      </w:r>
    </w:p>
    <w:p w:rsidR="00163034" w:rsidRPr="00163034" w:rsidRDefault="00163034"/>
    <w:p w:rsidR="00CD2AB8" w:rsidRPr="00163034" w:rsidRDefault="00163034">
      <w:pPr>
        <w:rPr>
          <w:b/>
          <w:i/>
        </w:rPr>
      </w:pPr>
      <w:r w:rsidRPr="00163034">
        <w:rPr>
          <w:b/>
          <w:i/>
        </w:rPr>
        <w:t>Συσκευασία του 1</w:t>
      </w:r>
      <w:r w:rsidRPr="00163034">
        <w:rPr>
          <w:b/>
          <w:i/>
          <w:lang w:val="en-GB"/>
        </w:rPr>
        <w:t>g</w:t>
      </w:r>
    </w:p>
    <w:p w:rsidR="00163034" w:rsidRPr="00163034" w:rsidRDefault="00163034">
      <w:r>
        <w:t>1</w:t>
      </w:r>
      <w:r w:rsidR="00897B91">
        <w:t xml:space="preserve"> </w:t>
      </w:r>
      <w:r>
        <w:t>φι</w:t>
      </w:r>
      <w:r w:rsidR="00A44F92">
        <w:t xml:space="preserve">αλίδιο </w:t>
      </w:r>
      <w:r>
        <w:t>που περιέχει 1</w:t>
      </w:r>
      <w:r>
        <w:rPr>
          <w:lang w:val="en-GB"/>
        </w:rPr>
        <w:t>g</w:t>
      </w:r>
      <w:r w:rsidRPr="00163034">
        <w:t xml:space="preserve"> </w:t>
      </w:r>
      <w:r>
        <w:t xml:space="preserve"> ανθρώπινου ινωδογόνου.</w:t>
      </w:r>
    </w:p>
    <w:p w:rsidR="00CD2AB8" w:rsidRDefault="00CD2AB8">
      <w:pPr>
        <w:rPr>
          <w:b/>
        </w:rPr>
      </w:pPr>
    </w:p>
    <w:p w:rsidR="00CD2AB8" w:rsidRPr="007774C3" w:rsidRDefault="00CD2AB8">
      <w:r>
        <w:rPr>
          <w:b/>
        </w:rPr>
        <w:t>6.6</w:t>
      </w:r>
      <w:r>
        <w:rPr>
          <w:b/>
        </w:rPr>
        <w:tab/>
      </w:r>
      <w:r>
        <w:rPr>
          <w:b/>
          <w:noProof/>
        </w:rPr>
        <w:t>Ιδι</w:t>
      </w:r>
      <w:r w:rsidR="007774C3">
        <w:rPr>
          <w:b/>
          <w:noProof/>
        </w:rPr>
        <w:t xml:space="preserve">αίτερες προφυλάξεις απόρριψης </w:t>
      </w:r>
      <w:r>
        <w:rPr>
          <w:b/>
          <w:noProof/>
        </w:rPr>
        <w:t>και άλλος χειρισμός</w:t>
      </w:r>
    </w:p>
    <w:p w:rsidR="00CD2AB8" w:rsidRDefault="00CD2AB8"/>
    <w:p w:rsidR="00163034" w:rsidRPr="00F10D08" w:rsidRDefault="00163034">
      <w:pPr>
        <w:rPr>
          <w:b/>
          <w:i/>
        </w:rPr>
      </w:pPr>
      <w:r w:rsidRPr="00F10D08">
        <w:rPr>
          <w:b/>
          <w:i/>
        </w:rPr>
        <w:lastRenderedPageBreak/>
        <w:t>Γενικές οδηγίες</w:t>
      </w:r>
    </w:p>
    <w:p w:rsidR="00163034" w:rsidRDefault="00163034" w:rsidP="0014403C">
      <w:pPr>
        <w:numPr>
          <w:ilvl w:val="0"/>
          <w:numId w:val="20"/>
        </w:numPr>
        <w:jc w:val="both"/>
      </w:pPr>
      <w:r>
        <w:t xml:space="preserve">Η ανασύσταση </w:t>
      </w:r>
      <w:r w:rsidR="00F23002">
        <w:t xml:space="preserve">του προϊόντος </w:t>
      </w:r>
      <w:r>
        <w:t xml:space="preserve">και </w:t>
      </w:r>
      <w:r w:rsidR="00F23002">
        <w:t xml:space="preserve">η </w:t>
      </w:r>
      <w:r>
        <w:t xml:space="preserve">αναρρόφηση του διαλύματος </w:t>
      </w:r>
      <w:r w:rsidR="0014403C">
        <w:t xml:space="preserve">από το φιαλίδιο </w:t>
      </w:r>
      <w:r>
        <w:t>πρέπει να πραγματοποιούνται υπό άσηπτες συνθήκες</w:t>
      </w:r>
      <w:r w:rsidR="0014403C">
        <w:t>.</w:t>
      </w:r>
    </w:p>
    <w:p w:rsidR="00F23002" w:rsidRDefault="00F23002" w:rsidP="00F23002">
      <w:pPr>
        <w:numPr>
          <w:ilvl w:val="0"/>
          <w:numId w:val="20"/>
        </w:numPr>
      </w:pPr>
      <w:r>
        <w:t>Πριν από τη χορήγηση, το ανασυσταμένο προϊόν θα πρέπει να ελέγχεται οπτικά για τυχόν αποχρωματισμό ή ύπαρξη σωματιδίων.</w:t>
      </w:r>
    </w:p>
    <w:p w:rsidR="00163034" w:rsidRDefault="00163034" w:rsidP="00163034">
      <w:pPr>
        <w:numPr>
          <w:ilvl w:val="0"/>
          <w:numId w:val="20"/>
        </w:numPr>
      </w:pPr>
      <w:r>
        <w:t>Το διάλυμα</w:t>
      </w:r>
      <w:r w:rsidR="00F23002">
        <w:t xml:space="preserve"> </w:t>
      </w:r>
      <w:r>
        <w:t>πρέπει να είναι σχεδόν άχρωμο</w:t>
      </w:r>
      <w:r w:rsidR="00F23002">
        <w:t xml:space="preserve"> έως κιτρινωπό, διαυγές ή ελαφρώς οπαλίζον και με ουδέτερο </w:t>
      </w:r>
      <w:r w:rsidR="00F23002">
        <w:rPr>
          <w:lang w:val="en-GB"/>
        </w:rPr>
        <w:t>pH</w:t>
      </w:r>
      <w:r w:rsidR="00F23002">
        <w:t>. Μη</w:t>
      </w:r>
      <w:r>
        <w:t xml:space="preserve"> χρησιμοποιείτε διαλύματα που είναι θολά ή περιέχουν ιζήματα.</w:t>
      </w:r>
    </w:p>
    <w:p w:rsidR="00F10D08" w:rsidRDefault="00F10D08" w:rsidP="00F10D08">
      <w:pPr>
        <w:ind w:left="360"/>
      </w:pPr>
    </w:p>
    <w:p w:rsidR="00F10D08" w:rsidRPr="002E152C" w:rsidRDefault="00F10D08" w:rsidP="00F10D08">
      <w:pPr>
        <w:ind w:left="360"/>
        <w:rPr>
          <w:b/>
          <w:i/>
        </w:rPr>
      </w:pPr>
      <w:r w:rsidRPr="002E152C">
        <w:rPr>
          <w:b/>
          <w:i/>
        </w:rPr>
        <w:t>Ανασύσταση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>Ο διαλύτης και η κόν</w:t>
      </w:r>
      <w:r w:rsidR="00897B91">
        <w:t>ις</w:t>
      </w:r>
      <w:r w:rsidRPr="00F23002">
        <w:t xml:space="preserve"> </w:t>
      </w:r>
      <w:r w:rsidR="00897B91">
        <w:t>στα κλειστά φιαλίδια</w:t>
      </w:r>
      <w:r w:rsidRPr="00F23002">
        <w:t xml:space="preserve"> πρέπει να </w:t>
      </w:r>
      <w:r w:rsidR="00897B91">
        <w:t>φέρονται</w:t>
      </w:r>
      <w:r w:rsidR="00897B91" w:rsidRPr="00F23002">
        <w:t xml:space="preserve"> </w:t>
      </w:r>
      <w:r w:rsidRPr="00F23002">
        <w:t xml:space="preserve">σε θερμοκρασία </w:t>
      </w:r>
      <w:r w:rsidR="00134FB1">
        <w:t>περιβάλλοντος</w:t>
      </w:r>
      <w:r w:rsidRPr="00F23002">
        <w:t xml:space="preserve"> ή σώματος (όχι πάνω από 37°C).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 xml:space="preserve">Η ανασύσταση του Riastap πρέπει να γίνεται με ύδωρ για ενέσιμα (50 ml, </w:t>
      </w:r>
      <w:r>
        <w:t>δεν περιέχεται στη συσκευασία</w:t>
      </w:r>
      <w:r w:rsidRPr="00F23002">
        <w:t>).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 xml:space="preserve">Αφαιρέστε το κάλυμμα του φιαλιδίου ώστε να αποκαλυφθεί το </w:t>
      </w:r>
      <w:r w:rsidR="00134FB1">
        <w:t>κεντρικό τμήμα του πώματος</w:t>
      </w:r>
      <w:r w:rsidRPr="00F23002">
        <w:t>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>Απολυμάνετε την επιφάνεια του πώματος με αντισηπτικό διάλυμα και αφήστε το να στεγνώσει.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>Μεταφέρατε τον διαλύτη στο εσωτερικό του φιαλιδίου, χρησιμοποιώντας κατάλληλη συσκευή μεταφοράς. Διασφαλίστε την πλήρη ύγρανση της σκόνης.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 xml:space="preserve">Στριφογυρίστε ελαφρά το φιαλίδιο μέχρι να διαλυθεί η </w:t>
      </w:r>
      <w:r w:rsidR="00897B91">
        <w:t>κόνις</w:t>
      </w:r>
      <w:r w:rsidR="00897B91" w:rsidRPr="00F23002">
        <w:t xml:space="preserve"> </w:t>
      </w:r>
      <w:r w:rsidRPr="00F23002">
        <w:t xml:space="preserve">και το διάλυμα να είναι έτοιμο για χορήγηση. Αποφύγετε την έντονη ανακίνηση διότι προκαλείται σχηματισμός αφρού. Η </w:t>
      </w:r>
      <w:r w:rsidR="00897B91">
        <w:t>κόνις</w:t>
      </w:r>
      <w:r w:rsidR="00897B91" w:rsidRPr="00F23002">
        <w:t xml:space="preserve"> </w:t>
      </w:r>
      <w:r w:rsidRPr="00F23002">
        <w:t>πρέπει να διαλυθεί πλήρως μέσα σε 15 λεπτά (γενικά σε 5 έως 10 λεπτά).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 xml:space="preserve">Το ανασυσταμένο προϊόν πρέπει να χορηγείται αμέσως </w:t>
      </w:r>
      <w:r w:rsidR="00897B91">
        <w:t>με</w:t>
      </w:r>
      <w:r w:rsidR="00897B91" w:rsidRPr="00F23002">
        <w:t xml:space="preserve"> μια </w:t>
      </w:r>
      <w:r w:rsidR="00897B91" w:rsidRPr="00B27BAC">
        <w:t xml:space="preserve">ξεχωριστή </w:t>
      </w:r>
      <w:r w:rsidRPr="00B27BAC">
        <w:t>γραμμή χορήγησης</w:t>
      </w:r>
      <w:r w:rsidRPr="00F23002">
        <w:t>.</w:t>
      </w:r>
    </w:p>
    <w:p w:rsidR="00F23002" w:rsidRPr="00F23002" w:rsidRDefault="00F23002" w:rsidP="00F23002">
      <w:pPr>
        <w:numPr>
          <w:ilvl w:val="0"/>
          <w:numId w:val="20"/>
        </w:numPr>
      </w:pPr>
      <w:r w:rsidRPr="00F23002">
        <w:t xml:space="preserve">Προσέξτε ώστε να μην εισαχθεί αίμα στη σύριγγα που περιέχει το διάλυμα. </w:t>
      </w:r>
    </w:p>
    <w:p w:rsidR="00CD2AB8" w:rsidRDefault="00CD2AB8"/>
    <w:p w:rsidR="00F23002" w:rsidRDefault="00F23002">
      <w:pPr>
        <w:rPr>
          <w:noProof/>
        </w:rPr>
      </w:pPr>
      <w:r>
        <w:rPr>
          <w:noProof/>
        </w:rPr>
        <w:t>Κάθε προϊόν που δεν έχει χρησιμοποιηθεί ή υπόλειμμα πρέπει να απορριφθεί σύμφωνα με τις κατά τόπους ισχύουσες σχετικές διατάξεις.</w:t>
      </w:r>
    </w:p>
    <w:p w:rsidR="00F23002" w:rsidRDefault="00F23002">
      <w:pPr>
        <w:rPr>
          <w:noProof/>
        </w:rPr>
      </w:pPr>
    </w:p>
    <w:p w:rsidR="00F23002" w:rsidRDefault="00F23002">
      <w:pPr>
        <w:rPr>
          <w:noProof/>
        </w:rPr>
      </w:pPr>
    </w:p>
    <w:p w:rsidR="00CD2AB8" w:rsidRDefault="00CD2AB8">
      <w:r>
        <w:rPr>
          <w:b/>
        </w:rPr>
        <w:t>7.</w:t>
      </w:r>
      <w:r>
        <w:rPr>
          <w:b/>
        </w:rPr>
        <w:tab/>
        <w:t>ΚΑΤΟΧΟΣ ΤΗΣ ΑΔΕΙΑΣ ΚΥΚΛΟΦΟΡΙΑΣ</w:t>
      </w:r>
    </w:p>
    <w:p w:rsidR="00CD2AB8" w:rsidRDefault="00CD2AB8"/>
    <w:p w:rsidR="00D72B7E" w:rsidRPr="00F23002" w:rsidRDefault="00F23002" w:rsidP="002E152C">
      <w:pPr>
        <w:rPr>
          <w:b/>
        </w:rPr>
      </w:pPr>
      <w:r w:rsidRPr="00F23002">
        <w:rPr>
          <w:b/>
        </w:rPr>
        <w:t>Υπεύθυνος κυκλοφορίας στην Ελλάδα</w:t>
      </w:r>
      <w:r w:rsidR="00D72B7E" w:rsidRPr="00F23002">
        <w:rPr>
          <w:b/>
        </w:rPr>
        <w:t>:</w:t>
      </w:r>
    </w:p>
    <w:p w:rsidR="00D72B7E" w:rsidRDefault="00D72B7E" w:rsidP="002E152C">
      <w:r>
        <w:rPr>
          <w:lang w:val="en-GB"/>
        </w:rPr>
        <w:t>CSL</w:t>
      </w:r>
      <w:r w:rsidRPr="00D72B7E">
        <w:t xml:space="preserve"> </w:t>
      </w:r>
      <w:r>
        <w:rPr>
          <w:lang w:val="en-GB"/>
        </w:rPr>
        <w:t>Behring</w:t>
      </w:r>
      <w:r w:rsidRPr="00D72B7E">
        <w:t xml:space="preserve"> </w:t>
      </w:r>
      <w:r>
        <w:rPr>
          <w:lang w:val="en-GB"/>
        </w:rPr>
        <w:t>ME</w:t>
      </w:r>
      <w:r>
        <w:t>ΠΕ</w:t>
      </w:r>
    </w:p>
    <w:p w:rsidR="00D72B7E" w:rsidRDefault="00D72B7E" w:rsidP="002E152C">
      <w:r>
        <w:t>Χατζηγιάννη Μέξη 5</w:t>
      </w:r>
      <w:r w:rsidR="008A7412">
        <w:t xml:space="preserve">, </w:t>
      </w:r>
      <w:r>
        <w:t>11528 Αθήνα</w:t>
      </w:r>
    </w:p>
    <w:p w:rsidR="00F23002" w:rsidRPr="00D72B7E" w:rsidRDefault="00F23002" w:rsidP="002E152C">
      <w:r>
        <w:t>Τηλ. 210 7255660</w:t>
      </w:r>
    </w:p>
    <w:p w:rsidR="00D72B7E" w:rsidRDefault="00D72B7E" w:rsidP="002E152C"/>
    <w:p w:rsidR="00D72B7E" w:rsidRPr="008A7412" w:rsidRDefault="00F23002" w:rsidP="002E152C">
      <w:pPr>
        <w:rPr>
          <w:b/>
        </w:rPr>
      </w:pPr>
      <w:r w:rsidRPr="008A7412">
        <w:rPr>
          <w:b/>
        </w:rPr>
        <w:t xml:space="preserve">Κάτοχος της άδειας κυκλοφορίας στην Κύπρο </w:t>
      </w:r>
      <w:r w:rsidR="00D72B7E" w:rsidRPr="008A7412">
        <w:rPr>
          <w:b/>
        </w:rPr>
        <w:t>:</w:t>
      </w:r>
    </w:p>
    <w:p w:rsidR="00CD2AB8" w:rsidRPr="00F23002" w:rsidRDefault="002E152C" w:rsidP="002E152C">
      <w:r w:rsidRPr="002E152C">
        <w:rPr>
          <w:lang w:val="de-DE"/>
        </w:rPr>
        <w:t>CSL</w:t>
      </w:r>
      <w:r w:rsidRPr="00F23002">
        <w:t xml:space="preserve"> </w:t>
      </w:r>
      <w:r w:rsidRPr="002E152C">
        <w:rPr>
          <w:lang w:val="de-DE"/>
        </w:rPr>
        <w:t>Behring</w:t>
      </w:r>
      <w:r w:rsidRPr="00F23002">
        <w:t xml:space="preserve"> </w:t>
      </w:r>
      <w:r w:rsidRPr="002E152C">
        <w:rPr>
          <w:lang w:val="de-DE"/>
        </w:rPr>
        <w:t>GmbH</w:t>
      </w:r>
    </w:p>
    <w:p w:rsidR="002E152C" w:rsidRDefault="002E152C" w:rsidP="002E152C">
      <w:pPr>
        <w:rPr>
          <w:lang w:val="de-DE"/>
        </w:rPr>
      </w:pPr>
      <w:r w:rsidRPr="002E152C">
        <w:rPr>
          <w:lang w:val="de-DE"/>
        </w:rPr>
        <w:t>Emil-von-Behring</w:t>
      </w:r>
      <w:r>
        <w:rPr>
          <w:lang w:val="de-DE"/>
        </w:rPr>
        <w:t>-Str.76</w:t>
      </w:r>
      <w:r w:rsidR="008A7412">
        <w:t xml:space="preserve">, </w:t>
      </w:r>
      <w:r>
        <w:rPr>
          <w:lang w:val="de-DE"/>
        </w:rPr>
        <w:t>35041 Marburg</w:t>
      </w:r>
    </w:p>
    <w:p w:rsidR="002E152C" w:rsidRPr="002E152C" w:rsidRDefault="002E152C" w:rsidP="002E152C">
      <w:pPr>
        <w:rPr>
          <w:lang w:val="de-DE"/>
        </w:rPr>
      </w:pPr>
      <w:r>
        <w:t>Γερμανία</w:t>
      </w:r>
    </w:p>
    <w:p w:rsidR="00CD2AB8" w:rsidRDefault="00CD2AB8">
      <w:pPr>
        <w:rPr>
          <w:lang w:val="de-DE"/>
        </w:rPr>
      </w:pPr>
    </w:p>
    <w:p w:rsidR="00CC47CB" w:rsidRPr="002E152C" w:rsidRDefault="00CC47CB">
      <w:pPr>
        <w:rPr>
          <w:lang w:val="de-DE"/>
        </w:rPr>
      </w:pPr>
    </w:p>
    <w:p w:rsidR="00CD2AB8" w:rsidRDefault="00CD2AB8">
      <w:r>
        <w:rPr>
          <w:b/>
        </w:rPr>
        <w:t>8.</w:t>
      </w:r>
      <w:r>
        <w:rPr>
          <w:b/>
        </w:rPr>
        <w:tab/>
        <w:t>ΑΡΙΘΜΟΣ(ΟΙ) ΑΔΕΙΑΣ ΚΥΚΛΟΦΟΡΙΑΣ</w:t>
      </w:r>
    </w:p>
    <w:p w:rsidR="00CD2AB8" w:rsidRDefault="00F23002">
      <w:r>
        <w:t>Αρ. άδειας κυκλοφορίας στην Ελλάδα:</w:t>
      </w:r>
    </w:p>
    <w:p w:rsidR="00F23002" w:rsidRDefault="00F23002" w:rsidP="00F23002">
      <w:r>
        <w:t>Αρ. άδειας κυκλοφορίας στην Κύπρο:</w:t>
      </w:r>
    </w:p>
    <w:p w:rsidR="00F23002" w:rsidRDefault="00F23002">
      <w:pPr>
        <w:rPr>
          <w:lang w:val="en-GB"/>
        </w:rPr>
      </w:pPr>
    </w:p>
    <w:p w:rsidR="00CC47CB" w:rsidRPr="00CC47CB" w:rsidRDefault="00CC47CB">
      <w:pPr>
        <w:rPr>
          <w:lang w:val="en-GB"/>
        </w:rPr>
      </w:pPr>
    </w:p>
    <w:p w:rsidR="00CD2AB8" w:rsidRDefault="00CD2AB8">
      <w:r>
        <w:rPr>
          <w:b/>
        </w:rPr>
        <w:t>9.</w:t>
      </w:r>
      <w:r>
        <w:rPr>
          <w:b/>
        </w:rPr>
        <w:tab/>
        <w:t>ΗΜΕΡΟΜΗΝΙΑ ΠΡΩΤΗΣ ΕΓΚΡΙΣΗΣ / ΑΝΑΝΕΩΣΗΣ ΤΗΣ ΑΔΕΙΑΣ</w:t>
      </w:r>
    </w:p>
    <w:p w:rsidR="00CD2AB8" w:rsidRDefault="00CD2AB8">
      <w:pPr>
        <w:rPr>
          <w:lang w:val="en-GB"/>
        </w:rPr>
      </w:pPr>
    </w:p>
    <w:p w:rsidR="00CC47CB" w:rsidRPr="00CC47CB" w:rsidRDefault="00CC47CB">
      <w:pPr>
        <w:rPr>
          <w:lang w:val="en-GB"/>
        </w:rPr>
      </w:pPr>
    </w:p>
    <w:p w:rsidR="00CD2AB8" w:rsidRDefault="00CD2AB8">
      <w:pPr>
        <w:tabs>
          <w:tab w:val="left" w:pos="709"/>
        </w:tabs>
      </w:pPr>
      <w:r>
        <w:rPr>
          <w:b/>
        </w:rPr>
        <w:t>10.</w:t>
      </w:r>
      <w:r>
        <w:rPr>
          <w:b/>
        </w:rPr>
        <w:tab/>
        <w:t>ΗΜΕΡΟΜΗΝΙΑ ΑΝΑΘΕΩΡΗΣΗΣ ΤΟΥ ΚΕΙΜΕΝΟΥ</w:t>
      </w:r>
    </w:p>
    <w:p w:rsidR="00CD2AB8" w:rsidRPr="00CC47CB" w:rsidRDefault="004067B1" w:rsidP="00CC47CB">
      <w:pPr>
        <w:rPr>
          <w:noProof/>
        </w:rPr>
      </w:pPr>
      <w:r>
        <w:rPr>
          <w:noProof/>
        </w:rPr>
        <w:t xml:space="preserve">Σεπτέμβριος </w:t>
      </w:r>
      <w:r w:rsidR="008A7412">
        <w:rPr>
          <w:noProof/>
        </w:rPr>
        <w:t>2010</w:t>
      </w:r>
    </w:p>
    <w:sectPr w:rsidR="00CD2AB8" w:rsidRPr="00CC47CB" w:rsidSect="00E419BD">
      <w:headerReference w:type="default" r:id="rId7"/>
      <w:footerReference w:type="default" r:id="rId8"/>
      <w:footerReference w:type="first" r:id="rId9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A9" w:rsidRDefault="004A0BA9">
      <w:r>
        <w:separator/>
      </w:r>
    </w:p>
  </w:endnote>
  <w:endnote w:type="continuationSeparator" w:id="0">
    <w:p w:rsidR="004A0BA9" w:rsidRDefault="004A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1" w:rsidRDefault="00E419BD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 w:rsidR="004067B1"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9D2B26">
      <w:rPr>
        <w:rFonts w:ascii="Arial" w:hAnsi="Arial" w:cs="Arial"/>
        <w:noProof/>
        <w:sz w:val="16"/>
        <w:lang w:val="fr-FR"/>
      </w:rPr>
      <w:t>8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1" w:rsidRDefault="00E419BD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 w:rsidR="004067B1"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9D2B26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A9" w:rsidRDefault="004A0BA9">
      <w:r>
        <w:separator/>
      </w:r>
    </w:p>
  </w:footnote>
  <w:footnote w:type="continuationSeparator" w:id="0">
    <w:p w:rsidR="004A0BA9" w:rsidRDefault="004A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1" w:rsidRPr="00B11FA8" w:rsidRDefault="004067B1" w:rsidP="00B27BAC">
    <w:pPr>
      <w:pStyle w:val="a3"/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26376F3"/>
    <w:multiLevelType w:val="hybridMultilevel"/>
    <w:tmpl w:val="0F50D2F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877C8"/>
    <w:multiLevelType w:val="hybridMultilevel"/>
    <w:tmpl w:val="F0CA0348"/>
    <w:lvl w:ilvl="0" w:tplc="D332ACF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B43246"/>
    <w:multiLevelType w:val="hybridMultilevel"/>
    <w:tmpl w:val="E13670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CE07C0"/>
    <w:multiLevelType w:val="hybridMultilevel"/>
    <w:tmpl w:val="720A8E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4F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05871"/>
    <w:multiLevelType w:val="hybridMultilevel"/>
    <w:tmpl w:val="4AFC1B02"/>
    <w:lvl w:ilvl="0" w:tplc="D332A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74660"/>
    <w:multiLevelType w:val="hybridMultilevel"/>
    <w:tmpl w:val="27E6EE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9726704"/>
    <w:multiLevelType w:val="hybridMultilevel"/>
    <w:tmpl w:val="C4E406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65E13"/>
    <w:multiLevelType w:val="hybridMultilevel"/>
    <w:tmpl w:val="A4EEA9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56220F40"/>
    <w:multiLevelType w:val="hybridMultilevel"/>
    <w:tmpl w:val="8CC86E0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1">
    <w:nsid w:val="610A12A2"/>
    <w:multiLevelType w:val="hybridMultilevel"/>
    <w:tmpl w:val="F18657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875D27"/>
    <w:multiLevelType w:val="hybridMultilevel"/>
    <w:tmpl w:val="CD26B518"/>
    <w:lvl w:ilvl="0" w:tplc="90CAF96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6DCA3589"/>
    <w:multiLevelType w:val="hybridMultilevel"/>
    <w:tmpl w:val="34CA76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18"/>
  </w:num>
  <w:num w:numId="9">
    <w:abstractNumId w:val="16"/>
  </w:num>
  <w:num w:numId="10">
    <w:abstractNumId w:val="3"/>
  </w:num>
  <w:num w:numId="11">
    <w:abstractNumId w:val="23"/>
  </w:num>
  <w:num w:numId="12">
    <w:abstractNumId w:val="1"/>
  </w:num>
  <w:num w:numId="13">
    <w:abstractNumId w:val="17"/>
  </w:num>
  <w:num w:numId="14">
    <w:abstractNumId w:val="29"/>
  </w:num>
  <w:num w:numId="15">
    <w:abstractNumId w:val="5"/>
  </w:num>
  <w:num w:numId="16">
    <w:abstractNumId w:val="10"/>
  </w:num>
  <w:num w:numId="17">
    <w:abstractNumId w:val="27"/>
  </w:num>
  <w:num w:numId="18">
    <w:abstractNumId w:val="13"/>
  </w:num>
  <w:num w:numId="19">
    <w:abstractNumId w:val="28"/>
  </w:num>
  <w:num w:numId="20">
    <w:abstractNumId w:val="9"/>
  </w:num>
  <w:num w:numId="21">
    <w:abstractNumId w:val="4"/>
  </w:num>
  <w:num w:numId="22">
    <w:abstractNumId w:val="11"/>
  </w:num>
  <w:num w:numId="23">
    <w:abstractNumId w:val="19"/>
  </w:num>
  <w:num w:numId="24">
    <w:abstractNumId w:val="14"/>
  </w:num>
  <w:num w:numId="25">
    <w:abstractNumId w:val="6"/>
  </w:num>
  <w:num w:numId="26">
    <w:abstractNumId w:val="21"/>
  </w:num>
  <w:num w:numId="27">
    <w:abstractNumId w:val="15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Registered" w:val="-1"/>
    <w:docVar w:name="Version" w:val="0"/>
  </w:docVars>
  <w:rsids>
    <w:rsidRoot w:val="00CD2AB8"/>
    <w:rsid w:val="000021F5"/>
    <w:rsid w:val="000149CA"/>
    <w:rsid w:val="000166A3"/>
    <w:rsid w:val="00021213"/>
    <w:rsid w:val="0003350E"/>
    <w:rsid w:val="00044712"/>
    <w:rsid w:val="00052C69"/>
    <w:rsid w:val="00072FD1"/>
    <w:rsid w:val="000B0956"/>
    <w:rsid w:val="000B332B"/>
    <w:rsid w:val="000C30EB"/>
    <w:rsid w:val="000D6DCD"/>
    <w:rsid w:val="000F066A"/>
    <w:rsid w:val="001133A7"/>
    <w:rsid w:val="00124ED1"/>
    <w:rsid w:val="00134FB1"/>
    <w:rsid w:val="0014403C"/>
    <w:rsid w:val="00163034"/>
    <w:rsid w:val="001909F6"/>
    <w:rsid w:val="001A0424"/>
    <w:rsid w:val="001A0DF1"/>
    <w:rsid w:val="001C4746"/>
    <w:rsid w:val="001D0C8E"/>
    <w:rsid w:val="001D2B66"/>
    <w:rsid w:val="001D4519"/>
    <w:rsid w:val="001D5409"/>
    <w:rsid w:val="001E09BC"/>
    <w:rsid w:val="001E39B8"/>
    <w:rsid w:val="001E657B"/>
    <w:rsid w:val="001F2DD2"/>
    <w:rsid w:val="00205DAB"/>
    <w:rsid w:val="00215067"/>
    <w:rsid w:val="00222C07"/>
    <w:rsid w:val="0027259D"/>
    <w:rsid w:val="00282FED"/>
    <w:rsid w:val="00292E91"/>
    <w:rsid w:val="002B70AD"/>
    <w:rsid w:val="002C4F05"/>
    <w:rsid w:val="002E152C"/>
    <w:rsid w:val="002E6A8A"/>
    <w:rsid w:val="002F1EF7"/>
    <w:rsid w:val="00332AB5"/>
    <w:rsid w:val="003572F4"/>
    <w:rsid w:val="00357858"/>
    <w:rsid w:val="00371F2B"/>
    <w:rsid w:val="00381B5F"/>
    <w:rsid w:val="00386EEA"/>
    <w:rsid w:val="003A6A61"/>
    <w:rsid w:val="003B5990"/>
    <w:rsid w:val="003C40B1"/>
    <w:rsid w:val="003C77CC"/>
    <w:rsid w:val="003D6008"/>
    <w:rsid w:val="003E5DD9"/>
    <w:rsid w:val="00402F6F"/>
    <w:rsid w:val="004067B1"/>
    <w:rsid w:val="00426B01"/>
    <w:rsid w:val="0044138F"/>
    <w:rsid w:val="00443537"/>
    <w:rsid w:val="00450E79"/>
    <w:rsid w:val="0048176E"/>
    <w:rsid w:val="004A0BA9"/>
    <w:rsid w:val="004C420D"/>
    <w:rsid w:val="004D0662"/>
    <w:rsid w:val="004D12FF"/>
    <w:rsid w:val="00516116"/>
    <w:rsid w:val="00552A9C"/>
    <w:rsid w:val="0058103F"/>
    <w:rsid w:val="005B63B2"/>
    <w:rsid w:val="005D7341"/>
    <w:rsid w:val="005F1096"/>
    <w:rsid w:val="005F286F"/>
    <w:rsid w:val="005F3E48"/>
    <w:rsid w:val="00613C7F"/>
    <w:rsid w:val="006211F5"/>
    <w:rsid w:val="00626709"/>
    <w:rsid w:val="00635D8F"/>
    <w:rsid w:val="00644886"/>
    <w:rsid w:val="00682AB0"/>
    <w:rsid w:val="006A5E3F"/>
    <w:rsid w:val="006A7123"/>
    <w:rsid w:val="00700F2A"/>
    <w:rsid w:val="0072369F"/>
    <w:rsid w:val="0074347A"/>
    <w:rsid w:val="00747CB7"/>
    <w:rsid w:val="007774C3"/>
    <w:rsid w:val="007775CA"/>
    <w:rsid w:val="007A11CA"/>
    <w:rsid w:val="007A6627"/>
    <w:rsid w:val="007B38B3"/>
    <w:rsid w:val="007D5BF8"/>
    <w:rsid w:val="007D72F0"/>
    <w:rsid w:val="007E1380"/>
    <w:rsid w:val="008064C5"/>
    <w:rsid w:val="008066BB"/>
    <w:rsid w:val="00806BC0"/>
    <w:rsid w:val="008302DB"/>
    <w:rsid w:val="0084729C"/>
    <w:rsid w:val="008554F4"/>
    <w:rsid w:val="00857B90"/>
    <w:rsid w:val="008665B1"/>
    <w:rsid w:val="008854E8"/>
    <w:rsid w:val="00897B91"/>
    <w:rsid w:val="008A7412"/>
    <w:rsid w:val="008D3314"/>
    <w:rsid w:val="009078C9"/>
    <w:rsid w:val="00911D06"/>
    <w:rsid w:val="00924323"/>
    <w:rsid w:val="00926974"/>
    <w:rsid w:val="00955503"/>
    <w:rsid w:val="0096033C"/>
    <w:rsid w:val="009C193A"/>
    <w:rsid w:val="009D2B26"/>
    <w:rsid w:val="00A128DD"/>
    <w:rsid w:val="00A22514"/>
    <w:rsid w:val="00A229B6"/>
    <w:rsid w:val="00A44F92"/>
    <w:rsid w:val="00A45C7A"/>
    <w:rsid w:val="00A72EDD"/>
    <w:rsid w:val="00A74B91"/>
    <w:rsid w:val="00A769B8"/>
    <w:rsid w:val="00A8798F"/>
    <w:rsid w:val="00A92FC4"/>
    <w:rsid w:val="00AA5495"/>
    <w:rsid w:val="00AB24B4"/>
    <w:rsid w:val="00AC477B"/>
    <w:rsid w:val="00AE0D0E"/>
    <w:rsid w:val="00AE387F"/>
    <w:rsid w:val="00AF5547"/>
    <w:rsid w:val="00B11FA8"/>
    <w:rsid w:val="00B157FF"/>
    <w:rsid w:val="00B21600"/>
    <w:rsid w:val="00B22760"/>
    <w:rsid w:val="00B27BAC"/>
    <w:rsid w:val="00B7346F"/>
    <w:rsid w:val="00B87593"/>
    <w:rsid w:val="00B971A0"/>
    <w:rsid w:val="00BA2959"/>
    <w:rsid w:val="00BB0655"/>
    <w:rsid w:val="00BB55C2"/>
    <w:rsid w:val="00BD17FF"/>
    <w:rsid w:val="00BD26F3"/>
    <w:rsid w:val="00BE4687"/>
    <w:rsid w:val="00BE5677"/>
    <w:rsid w:val="00BF1053"/>
    <w:rsid w:val="00BF6126"/>
    <w:rsid w:val="00BF7C75"/>
    <w:rsid w:val="00C147F8"/>
    <w:rsid w:val="00C2168A"/>
    <w:rsid w:val="00C469B9"/>
    <w:rsid w:val="00C545A5"/>
    <w:rsid w:val="00C758C5"/>
    <w:rsid w:val="00C875BA"/>
    <w:rsid w:val="00CA5A91"/>
    <w:rsid w:val="00CC47CB"/>
    <w:rsid w:val="00CD2AB8"/>
    <w:rsid w:val="00CF4042"/>
    <w:rsid w:val="00D56DFE"/>
    <w:rsid w:val="00D71660"/>
    <w:rsid w:val="00D72B7E"/>
    <w:rsid w:val="00D818AC"/>
    <w:rsid w:val="00D8252A"/>
    <w:rsid w:val="00D9302C"/>
    <w:rsid w:val="00D932C5"/>
    <w:rsid w:val="00DD58F5"/>
    <w:rsid w:val="00E07A48"/>
    <w:rsid w:val="00E10E62"/>
    <w:rsid w:val="00E419BD"/>
    <w:rsid w:val="00E74793"/>
    <w:rsid w:val="00E807B6"/>
    <w:rsid w:val="00E87B01"/>
    <w:rsid w:val="00EC42E8"/>
    <w:rsid w:val="00EE4B38"/>
    <w:rsid w:val="00EE7EAD"/>
    <w:rsid w:val="00EF3145"/>
    <w:rsid w:val="00EF4B1D"/>
    <w:rsid w:val="00EF6B87"/>
    <w:rsid w:val="00F10549"/>
    <w:rsid w:val="00F10D08"/>
    <w:rsid w:val="00F14F08"/>
    <w:rsid w:val="00F23002"/>
    <w:rsid w:val="00F25C12"/>
    <w:rsid w:val="00F30426"/>
    <w:rsid w:val="00F30739"/>
    <w:rsid w:val="00F61908"/>
    <w:rsid w:val="00F66FE2"/>
    <w:rsid w:val="00F76B0F"/>
    <w:rsid w:val="00FC3A08"/>
    <w:rsid w:val="00FD7012"/>
    <w:rsid w:val="00FF00D8"/>
    <w:rsid w:val="00FF0F1A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9BD"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E419B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19BD"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rsid w:val="00E419BD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rsid w:val="00E419BD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19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419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19BD"/>
  </w:style>
  <w:style w:type="character" w:styleId="-">
    <w:name w:val="Hyperlink"/>
    <w:rsid w:val="00E419BD"/>
    <w:rPr>
      <w:color w:val="0000FF"/>
      <w:u w:val="single"/>
    </w:rPr>
  </w:style>
  <w:style w:type="paragraph" w:styleId="a6">
    <w:name w:val="Body Text"/>
    <w:basedOn w:val="a"/>
    <w:rsid w:val="00E419BD"/>
    <w:pPr>
      <w:jc w:val="center"/>
    </w:pPr>
  </w:style>
  <w:style w:type="paragraph" w:styleId="20">
    <w:name w:val="Body Text 2"/>
    <w:basedOn w:val="a"/>
    <w:rsid w:val="00E419BD"/>
    <w:rPr>
      <w:color w:val="FF0000"/>
    </w:rPr>
  </w:style>
  <w:style w:type="paragraph" w:customStyle="1" w:styleId="EMEAEnBodyText">
    <w:name w:val="EMEA En Body Text"/>
    <w:basedOn w:val="a"/>
    <w:rsid w:val="00E419BD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sid w:val="00E419B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A5A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3B5990"/>
    <w:pPr>
      <w:widowControl/>
      <w:jc w:val="center"/>
    </w:pPr>
    <w:rPr>
      <w:b/>
      <w:lang w:val="en-GB"/>
    </w:rPr>
  </w:style>
  <w:style w:type="character" w:styleId="aa">
    <w:name w:val="Emphasis"/>
    <w:qFormat/>
    <w:rsid w:val="008D3314"/>
    <w:rPr>
      <w:b/>
      <w:bCs/>
      <w:i w:val="0"/>
      <w:iCs w:val="0"/>
    </w:rPr>
  </w:style>
  <w:style w:type="paragraph" w:customStyle="1" w:styleId="LAGIPINormal">
    <w:name w:val="LA_GI_PI_Normal"/>
    <w:basedOn w:val="a6"/>
    <w:rsid w:val="001A0DF1"/>
    <w:pPr>
      <w:widowControl/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2684</Words>
  <Characters>14499</Characters>
  <Application>Microsoft Office Word</Application>
  <DocSecurity>0</DocSecurity>
  <Lines>120</Lines>
  <Paragraphs>34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Version 1</vt:lpstr>
      <vt:lpstr>Version 1</vt:lpstr>
    </vt:vector>
  </TitlesOfParts>
  <Company>EMEA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General-EMEA/378972/2008</dc:subject>
  <dc:creator>user61</dc:creator>
  <cp:lastModifiedBy>user146</cp:lastModifiedBy>
  <cp:revision>3</cp:revision>
  <cp:lastPrinted>2013-10-17T08:03:00Z</cp:lastPrinted>
  <dcterms:created xsi:type="dcterms:W3CDTF">2013-10-17T08:05:00Z</dcterms:created>
  <dcterms:modified xsi:type="dcterms:W3CDTF">2014-01-27T08:59:00Z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General-EMEA/378972/2008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Hreferralspcel</vt:lpwstr>
  </property>
  <property fmtid="{D5CDD505-2E9C-101B-9397-08002B2CF9AE}" pid="9" name="DM_Owner">
    <vt:lpwstr>Prizzi Monica</vt:lpwstr>
  </property>
  <property fmtid="{D5CDD505-2E9C-101B-9397-08002B2CF9AE}" pid="10" name="DM_Creation_Date">
    <vt:lpwstr>23/07/2008 18:14:01</vt:lpwstr>
  </property>
  <property fmtid="{D5CDD505-2E9C-101B-9397-08002B2CF9AE}" pid="11" name="DM_Creator_Name">
    <vt:lpwstr>Cantatore Kira</vt:lpwstr>
  </property>
  <property fmtid="{D5CDD505-2E9C-101B-9397-08002B2CF9AE}" pid="12" name="DM_Modifer_Name">
    <vt:lpwstr>Cantatore Kira</vt:lpwstr>
  </property>
  <property fmtid="{D5CDD505-2E9C-101B-9397-08002B2CF9AE}" pid="13" name="DM_Modified_Date">
    <vt:lpwstr>23/07/2008 18:14:01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EMEA/378972/2008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378972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