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1B" w:rsidRPr="0007023B" w:rsidRDefault="00B86D1B" w:rsidP="00DD10F5">
      <w:pPr>
        <w:jc w:val="center"/>
        <w:rPr>
          <w:b/>
          <w:noProof/>
          <w:szCs w:val="22"/>
        </w:rPr>
      </w:pPr>
      <w:r w:rsidRPr="001F3AFA">
        <w:rPr>
          <w:b/>
          <w:noProof/>
          <w:szCs w:val="22"/>
        </w:rPr>
        <w:t>ΠΕΡΙΛΗΨΗ ΤΩΝ ΧΑΡΑΚΤΗΡΙΣΤΙΚΩΝ ΤΟΥ ΠΡΟΪΟΝΤΟΣ</w:t>
      </w:r>
    </w:p>
    <w:p w:rsidR="006231EC" w:rsidRPr="0007023B" w:rsidRDefault="006231EC" w:rsidP="00DD10F5">
      <w:pPr>
        <w:jc w:val="center"/>
        <w:rPr>
          <w:szCs w:val="22"/>
        </w:rPr>
      </w:pPr>
    </w:p>
    <w:p w:rsidR="00B86D1B" w:rsidRPr="0007023B" w:rsidRDefault="00B86D1B" w:rsidP="00DD10F5">
      <w:pPr>
        <w:rPr>
          <w:szCs w:val="22"/>
        </w:rPr>
      </w:pPr>
      <w:r w:rsidRPr="001F3AFA">
        <w:rPr>
          <w:b/>
          <w:szCs w:val="22"/>
        </w:rPr>
        <w:t>1.</w:t>
      </w:r>
      <w:r w:rsidRPr="001F3AFA">
        <w:rPr>
          <w:b/>
          <w:szCs w:val="22"/>
        </w:rPr>
        <w:tab/>
        <w:t>ΟΝΟΜΑΣΙΑ ΤΟΥ ΦΑΡΜΑΚΕΥΤΙΚΟΥ ΠΡΟΪΟΝΤΟΣ</w:t>
      </w:r>
    </w:p>
    <w:p w:rsidR="009573DD" w:rsidRPr="001F3AFA" w:rsidRDefault="009573DD" w:rsidP="00DD10F5">
      <w:pPr>
        <w:rPr>
          <w:noProof/>
          <w:szCs w:val="22"/>
        </w:rPr>
      </w:pPr>
      <w:r w:rsidRPr="001F3AFA">
        <w:rPr>
          <w:szCs w:val="22"/>
        </w:rPr>
        <w:t>Priligy 30</w:t>
      </w:r>
      <w:r w:rsidR="00DC18E3">
        <w:rPr>
          <w:szCs w:val="22"/>
        </w:rPr>
        <w:t> mg</w:t>
      </w:r>
      <w:r w:rsidRPr="001F3AFA">
        <w:rPr>
          <w:szCs w:val="22"/>
        </w:rPr>
        <w:t xml:space="preserve"> </w:t>
      </w:r>
      <w:r w:rsidR="00DB6F08">
        <w:rPr>
          <w:szCs w:val="22"/>
        </w:rPr>
        <w:t>επικαλυμμένα με λεπτό υμένιο δισκία</w:t>
      </w:r>
    </w:p>
    <w:p w:rsidR="009573DD" w:rsidRPr="001F3AFA" w:rsidRDefault="009573DD" w:rsidP="00DD10F5">
      <w:pPr>
        <w:rPr>
          <w:noProof/>
          <w:szCs w:val="22"/>
        </w:rPr>
      </w:pPr>
      <w:r w:rsidRPr="001F3AFA">
        <w:rPr>
          <w:szCs w:val="22"/>
        </w:rPr>
        <w:t>Priligy 60</w:t>
      </w:r>
      <w:r w:rsidR="00DC18E3">
        <w:rPr>
          <w:szCs w:val="22"/>
        </w:rPr>
        <w:t> mg</w:t>
      </w:r>
      <w:r w:rsidRPr="001F3AFA">
        <w:rPr>
          <w:szCs w:val="22"/>
        </w:rPr>
        <w:t xml:space="preserve"> </w:t>
      </w:r>
      <w:r w:rsidR="00DB6F08">
        <w:rPr>
          <w:szCs w:val="22"/>
        </w:rPr>
        <w:t>επικαλυμμένα με λεπτό υμένιο δισκία</w:t>
      </w:r>
    </w:p>
    <w:p w:rsidR="00B86D1B" w:rsidRPr="0007023B" w:rsidRDefault="00B86D1B" w:rsidP="00DD10F5">
      <w:pPr>
        <w:rPr>
          <w:szCs w:val="22"/>
          <w:lang w:val="en-US"/>
        </w:rPr>
      </w:pPr>
    </w:p>
    <w:p w:rsidR="00B86D1B" w:rsidRPr="0007023B" w:rsidRDefault="00B86D1B" w:rsidP="00DD10F5">
      <w:pPr>
        <w:rPr>
          <w:szCs w:val="22"/>
        </w:rPr>
      </w:pPr>
      <w:r w:rsidRPr="001F3AFA">
        <w:rPr>
          <w:b/>
          <w:szCs w:val="22"/>
        </w:rPr>
        <w:t>2.</w:t>
      </w:r>
      <w:r w:rsidRPr="001F3AFA">
        <w:rPr>
          <w:b/>
          <w:szCs w:val="22"/>
        </w:rPr>
        <w:tab/>
        <w:t>ΠΟΙΟΤΙΚΗ ΚΑΙ ΠΟΣΟΤΙΚΗ ΣΥΝΘΕΣΗ</w:t>
      </w:r>
    </w:p>
    <w:p w:rsidR="009573DD" w:rsidRPr="0007023B" w:rsidRDefault="009573DD" w:rsidP="00DD10F5">
      <w:pPr>
        <w:rPr>
          <w:szCs w:val="22"/>
        </w:rPr>
      </w:pPr>
      <w:r w:rsidRPr="001F3AFA">
        <w:rPr>
          <w:szCs w:val="22"/>
        </w:rPr>
        <w:t xml:space="preserve">Κάθε </w:t>
      </w:r>
      <w:r w:rsidR="00DB6F08">
        <w:rPr>
          <w:szCs w:val="22"/>
        </w:rPr>
        <w:t>επικαλυμμένο με λεπτό υμένιο δισκίο</w:t>
      </w:r>
      <w:r w:rsidRPr="001F3AFA">
        <w:rPr>
          <w:szCs w:val="22"/>
        </w:rPr>
        <w:t xml:space="preserve"> περιέχει υδροχλωρική δαποξετίνη που </w:t>
      </w:r>
      <w:r w:rsidR="00194B90">
        <w:rPr>
          <w:szCs w:val="22"/>
        </w:rPr>
        <w:t>ισοδυναμεί</w:t>
      </w:r>
      <w:r w:rsidR="00194B90" w:rsidRPr="001F3AFA">
        <w:rPr>
          <w:szCs w:val="22"/>
        </w:rPr>
        <w:t xml:space="preserve"> </w:t>
      </w:r>
      <w:r w:rsidR="00194B90">
        <w:rPr>
          <w:szCs w:val="22"/>
        </w:rPr>
        <w:t>μ</w:t>
      </w:r>
      <w:r w:rsidRPr="001F3AFA">
        <w:rPr>
          <w:szCs w:val="22"/>
        </w:rPr>
        <w:t>ε 30</w:t>
      </w:r>
      <w:r w:rsidR="00DC18E3">
        <w:rPr>
          <w:szCs w:val="22"/>
        </w:rPr>
        <w:t> mg</w:t>
      </w:r>
      <w:r w:rsidRPr="001F3AFA">
        <w:rPr>
          <w:szCs w:val="22"/>
        </w:rPr>
        <w:t xml:space="preserve"> ή 60</w:t>
      </w:r>
      <w:r w:rsidR="00DC18E3">
        <w:rPr>
          <w:szCs w:val="22"/>
        </w:rPr>
        <w:t> mg</w:t>
      </w:r>
      <w:r w:rsidRPr="001F3AFA">
        <w:rPr>
          <w:szCs w:val="22"/>
        </w:rPr>
        <w:t xml:space="preserve"> δαποξετίνης.</w:t>
      </w:r>
    </w:p>
    <w:p w:rsidR="009573DD" w:rsidRPr="0007023B" w:rsidRDefault="009573DD" w:rsidP="00DD10F5">
      <w:pPr>
        <w:rPr>
          <w:szCs w:val="22"/>
          <w:lang w:val="en-US"/>
        </w:rPr>
      </w:pPr>
      <w:r w:rsidRPr="001F3AFA">
        <w:rPr>
          <w:szCs w:val="22"/>
        </w:rPr>
        <w:t>Έκδοχο: Λακτόζη. Κάθε δισκίο των 30</w:t>
      </w:r>
      <w:r w:rsidR="00DC18E3">
        <w:rPr>
          <w:szCs w:val="22"/>
          <w:lang w:val="en-US"/>
        </w:rPr>
        <w:t> mg</w:t>
      </w:r>
      <w:r w:rsidRPr="001F3AFA">
        <w:rPr>
          <w:szCs w:val="22"/>
        </w:rPr>
        <w:t xml:space="preserve"> περιέχει 45,88</w:t>
      </w:r>
      <w:r w:rsidR="00DC18E3">
        <w:rPr>
          <w:szCs w:val="22"/>
          <w:lang w:val="en-US"/>
        </w:rPr>
        <w:t> mg</w:t>
      </w:r>
      <w:r w:rsidRPr="001F3AFA">
        <w:rPr>
          <w:szCs w:val="22"/>
        </w:rPr>
        <w:t xml:space="preserve"> λακτόζης.  Κάθε δισκίο των 60</w:t>
      </w:r>
      <w:r w:rsidR="00DC18E3">
        <w:rPr>
          <w:szCs w:val="22"/>
        </w:rPr>
        <w:t> mg</w:t>
      </w:r>
      <w:r w:rsidRPr="001F3AFA">
        <w:rPr>
          <w:szCs w:val="22"/>
        </w:rPr>
        <w:t xml:space="preserve"> περιέχει 91,75</w:t>
      </w:r>
      <w:r w:rsidR="00DC18E3">
        <w:rPr>
          <w:szCs w:val="22"/>
        </w:rPr>
        <w:t> mg</w:t>
      </w:r>
      <w:r w:rsidRPr="001F3AFA">
        <w:rPr>
          <w:szCs w:val="22"/>
        </w:rPr>
        <w:t xml:space="preserve"> λακτόζης.</w:t>
      </w:r>
    </w:p>
    <w:p w:rsidR="009573DD" w:rsidRPr="001F3AFA" w:rsidRDefault="009573DD" w:rsidP="00DD10F5">
      <w:pPr>
        <w:rPr>
          <w:szCs w:val="22"/>
        </w:rPr>
      </w:pPr>
      <w:r w:rsidRPr="001F3AFA">
        <w:rPr>
          <w:szCs w:val="22"/>
        </w:rPr>
        <w:t>Για τον πλήρη κατάλογο των εκδόχων, βλ. παράγραφο 6.1.</w:t>
      </w:r>
    </w:p>
    <w:p w:rsidR="00B86D1B" w:rsidRPr="0007023B" w:rsidRDefault="00B86D1B" w:rsidP="00DD10F5">
      <w:pPr>
        <w:rPr>
          <w:szCs w:val="22"/>
          <w:lang w:val="en-US"/>
        </w:rPr>
      </w:pPr>
    </w:p>
    <w:p w:rsidR="00B86D1B" w:rsidRPr="0007023B" w:rsidRDefault="00B86D1B" w:rsidP="00DD10F5">
      <w:pPr>
        <w:rPr>
          <w:szCs w:val="22"/>
        </w:rPr>
      </w:pPr>
      <w:r w:rsidRPr="001F3AFA">
        <w:rPr>
          <w:b/>
          <w:szCs w:val="22"/>
        </w:rPr>
        <w:t>3.</w:t>
      </w:r>
      <w:r w:rsidRPr="001F3AFA">
        <w:rPr>
          <w:b/>
          <w:szCs w:val="22"/>
        </w:rPr>
        <w:tab/>
        <w:t>ΦΑΡΜΑΚΟΤΕΧΝΙΚΗ ΜΟΡΦΗ</w:t>
      </w:r>
    </w:p>
    <w:p w:rsidR="00124AA1" w:rsidRPr="0007023B" w:rsidRDefault="00DB6F08" w:rsidP="00DD10F5">
      <w:pPr>
        <w:rPr>
          <w:szCs w:val="22"/>
        </w:rPr>
      </w:pPr>
      <w:r>
        <w:rPr>
          <w:szCs w:val="22"/>
        </w:rPr>
        <w:t>Επικαλυμμένο με λεπτό υμένιο δισκίο</w:t>
      </w:r>
      <w:r w:rsidR="000B3D90" w:rsidRPr="001F3AFA">
        <w:rPr>
          <w:szCs w:val="22"/>
        </w:rPr>
        <w:t>.</w:t>
      </w:r>
    </w:p>
    <w:p w:rsidR="00124AA1" w:rsidRPr="0007023B" w:rsidRDefault="000B3D90" w:rsidP="00DD10F5">
      <w:pPr>
        <w:rPr>
          <w:szCs w:val="22"/>
        </w:rPr>
      </w:pPr>
      <w:r w:rsidRPr="001F3AFA">
        <w:rPr>
          <w:szCs w:val="22"/>
        </w:rPr>
        <w:t xml:space="preserve">Τα </w:t>
      </w:r>
      <w:r w:rsidR="00062619">
        <w:rPr>
          <w:szCs w:val="22"/>
        </w:rPr>
        <w:t>επικαλυμμένα με λεπτό υμένιο δισκία</w:t>
      </w:r>
      <w:r w:rsidRPr="001F3AFA">
        <w:rPr>
          <w:szCs w:val="22"/>
        </w:rPr>
        <w:t xml:space="preserve"> των 30</w:t>
      </w:r>
      <w:r w:rsidR="00DC18E3">
        <w:rPr>
          <w:szCs w:val="22"/>
        </w:rPr>
        <w:t> mg</w:t>
      </w:r>
      <w:r w:rsidRPr="001F3AFA">
        <w:rPr>
          <w:szCs w:val="22"/>
        </w:rPr>
        <w:t xml:space="preserve"> </w:t>
      </w:r>
      <w:r w:rsidR="00A708AB">
        <w:rPr>
          <w:szCs w:val="22"/>
        </w:rPr>
        <w:t>είναι ανοικτού</w:t>
      </w:r>
      <w:r w:rsidRPr="001F3AFA">
        <w:rPr>
          <w:szCs w:val="22"/>
        </w:rPr>
        <w:t xml:space="preserve"> γκρίζο</w:t>
      </w:r>
      <w:r w:rsidR="00A708AB">
        <w:rPr>
          <w:szCs w:val="22"/>
        </w:rPr>
        <w:t>υ</w:t>
      </w:r>
      <w:r w:rsidRPr="001F3AFA">
        <w:rPr>
          <w:szCs w:val="22"/>
        </w:rPr>
        <w:t xml:space="preserve"> χρώμα</w:t>
      </w:r>
      <w:r w:rsidR="00A708AB">
        <w:rPr>
          <w:szCs w:val="22"/>
        </w:rPr>
        <w:t>τος</w:t>
      </w:r>
      <w:r w:rsidRPr="001F3AFA">
        <w:rPr>
          <w:szCs w:val="22"/>
        </w:rPr>
        <w:t xml:space="preserve">, στρογγυλά, αμφίκυρτα και φέρουν </w:t>
      </w:r>
      <w:r w:rsidR="00B25170">
        <w:rPr>
          <w:szCs w:val="22"/>
        </w:rPr>
        <w:t>χαραγμένη</w:t>
      </w:r>
      <w:r w:rsidR="00A708AB" w:rsidRPr="001F3AFA">
        <w:rPr>
          <w:szCs w:val="22"/>
        </w:rPr>
        <w:t xml:space="preserve"> </w:t>
      </w:r>
      <w:r w:rsidRPr="001F3AFA">
        <w:rPr>
          <w:szCs w:val="22"/>
        </w:rPr>
        <w:t>την ένδειξη «30» μέσα σε ένα τρίγωνο στη μία πλευρά.</w:t>
      </w:r>
    </w:p>
    <w:p w:rsidR="000B3D90" w:rsidRPr="001F3AFA" w:rsidRDefault="000B3D90" w:rsidP="00DD10F5">
      <w:pPr>
        <w:rPr>
          <w:szCs w:val="22"/>
        </w:rPr>
      </w:pPr>
      <w:r w:rsidRPr="001F3AFA">
        <w:rPr>
          <w:szCs w:val="22"/>
        </w:rPr>
        <w:t xml:space="preserve">Τα </w:t>
      </w:r>
      <w:r w:rsidR="00062619">
        <w:rPr>
          <w:szCs w:val="22"/>
        </w:rPr>
        <w:t>επικαλυμμένα με λεπτό υμένιο δισκία</w:t>
      </w:r>
      <w:r w:rsidRPr="001F3AFA">
        <w:rPr>
          <w:szCs w:val="22"/>
        </w:rPr>
        <w:t xml:space="preserve"> των 60</w:t>
      </w:r>
      <w:r w:rsidR="00DC18E3">
        <w:rPr>
          <w:szCs w:val="22"/>
        </w:rPr>
        <w:t> mg</w:t>
      </w:r>
      <w:r w:rsidRPr="001F3AFA">
        <w:rPr>
          <w:szCs w:val="22"/>
        </w:rPr>
        <w:t xml:space="preserve"> </w:t>
      </w:r>
      <w:r w:rsidR="00A708AB">
        <w:rPr>
          <w:szCs w:val="22"/>
        </w:rPr>
        <w:t>είναι</w:t>
      </w:r>
      <w:r w:rsidR="00A708AB" w:rsidRPr="001F3AFA">
        <w:rPr>
          <w:szCs w:val="22"/>
        </w:rPr>
        <w:t xml:space="preserve"> </w:t>
      </w:r>
      <w:r w:rsidRPr="001F3AFA">
        <w:rPr>
          <w:szCs w:val="22"/>
        </w:rPr>
        <w:t>γκρίζο</w:t>
      </w:r>
      <w:r w:rsidR="00A708AB">
        <w:rPr>
          <w:szCs w:val="22"/>
        </w:rPr>
        <w:t>υ</w:t>
      </w:r>
      <w:r w:rsidRPr="001F3AFA">
        <w:rPr>
          <w:szCs w:val="22"/>
        </w:rPr>
        <w:t xml:space="preserve"> χρώμα</w:t>
      </w:r>
      <w:r w:rsidR="00A708AB">
        <w:rPr>
          <w:szCs w:val="22"/>
        </w:rPr>
        <w:t>τος</w:t>
      </w:r>
      <w:r w:rsidRPr="001F3AFA">
        <w:rPr>
          <w:szCs w:val="22"/>
        </w:rPr>
        <w:t xml:space="preserve">, στρογγυλά, αμφίκυρτα και φέρουν </w:t>
      </w:r>
      <w:r w:rsidR="00B25170">
        <w:rPr>
          <w:szCs w:val="22"/>
        </w:rPr>
        <w:t>χαραγμένη</w:t>
      </w:r>
      <w:r w:rsidR="00A708AB" w:rsidRPr="001F3AFA">
        <w:rPr>
          <w:szCs w:val="22"/>
        </w:rPr>
        <w:t xml:space="preserve"> </w:t>
      </w:r>
      <w:r w:rsidRPr="001F3AFA">
        <w:rPr>
          <w:szCs w:val="22"/>
        </w:rPr>
        <w:t>την ένδειξη «60» μέσα σε ένα τρίγωνο στη μία πλευρά.</w:t>
      </w:r>
    </w:p>
    <w:p w:rsidR="00B86D1B" w:rsidRPr="0007023B" w:rsidRDefault="00B86D1B" w:rsidP="00DD10F5">
      <w:pPr>
        <w:rPr>
          <w:szCs w:val="22"/>
          <w:lang w:val="en-US"/>
        </w:rPr>
      </w:pPr>
    </w:p>
    <w:p w:rsidR="00B86D1B" w:rsidRPr="0007023B" w:rsidRDefault="00B86D1B" w:rsidP="00DD10F5">
      <w:pPr>
        <w:rPr>
          <w:szCs w:val="22"/>
        </w:rPr>
      </w:pPr>
      <w:r w:rsidRPr="001F3AFA">
        <w:rPr>
          <w:b/>
          <w:szCs w:val="22"/>
        </w:rPr>
        <w:t>4.</w:t>
      </w:r>
      <w:r w:rsidRPr="001F3AFA">
        <w:rPr>
          <w:b/>
          <w:szCs w:val="22"/>
        </w:rPr>
        <w:tab/>
        <w:t>ΚΛΙΝΙΚΕΣ ΠΛΗΡΟΦΟΡΙΕΣ</w:t>
      </w:r>
    </w:p>
    <w:p w:rsidR="00B86D1B" w:rsidRPr="0007023B" w:rsidRDefault="00B86D1B" w:rsidP="00DD10F5">
      <w:pPr>
        <w:rPr>
          <w:szCs w:val="22"/>
        </w:rPr>
      </w:pPr>
      <w:r w:rsidRPr="001F3AFA">
        <w:rPr>
          <w:b/>
          <w:szCs w:val="22"/>
        </w:rPr>
        <w:t>4.1</w:t>
      </w:r>
      <w:r w:rsidRPr="001F3AFA">
        <w:rPr>
          <w:b/>
          <w:szCs w:val="22"/>
        </w:rPr>
        <w:tab/>
        <w:t>Θεραπευτικές ενδείξεις</w:t>
      </w:r>
    </w:p>
    <w:p w:rsidR="000B3D90" w:rsidRPr="0007023B" w:rsidRDefault="000B3D90" w:rsidP="00DD10F5">
      <w:pPr>
        <w:rPr>
          <w:szCs w:val="22"/>
        </w:rPr>
      </w:pPr>
      <w:r w:rsidRPr="001F3AFA">
        <w:rPr>
          <w:szCs w:val="22"/>
        </w:rPr>
        <w:t>Το Priligy ενδείκνυται για τη θεραπεία της πρόωρης εκσπερμάτισης σε άνδρες ηλικίας 18 έως 64 ετών.</w:t>
      </w:r>
    </w:p>
    <w:p w:rsidR="000B3D90" w:rsidRPr="001F3AFA" w:rsidRDefault="000B3D90" w:rsidP="00DD10F5">
      <w:pPr>
        <w:rPr>
          <w:szCs w:val="22"/>
        </w:rPr>
      </w:pPr>
      <w:r w:rsidRPr="001F3AFA">
        <w:rPr>
          <w:szCs w:val="22"/>
        </w:rPr>
        <w:t xml:space="preserve">Το Priligy </w:t>
      </w:r>
      <w:r w:rsidR="00062619">
        <w:rPr>
          <w:szCs w:val="22"/>
        </w:rPr>
        <w:t>πρέπει</w:t>
      </w:r>
      <w:r w:rsidRPr="001F3AFA">
        <w:rPr>
          <w:szCs w:val="22"/>
        </w:rPr>
        <w:t xml:space="preserve"> να συνταγογραφείται μόνο σε ασθενείς που πληρούν</w:t>
      </w:r>
      <w:r w:rsidR="00006F32" w:rsidRPr="002D6E89">
        <w:rPr>
          <w:szCs w:val="22"/>
        </w:rPr>
        <w:t xml:space="preserve"> </w:t>
      </w:r>
      <w:r w:rsidR="00006F32">
        <w:rPr>
          <w:szCs w:val="22"/>
        </w:rPr>
        <w:t>όλα</w:t>
      </w:r>
      <w:r w:rsidRPr="001F3AFA">
        <w:rPr>
          <w:szCs w:val="22"/>
        </w:rPr>
        <w:t xml:space="preserve"> τα ακόλουθα κριτήρια:</w:t>
      </w:r>
    </w:p>
    <w:p w:rsidR="000B3D90" w:rsidRPr="001F3AFA" w:rsidRDefault="00930722" w:rsidP="00DD10F5">
      <w:pPr>
        <w:widowControl/>
        <w:numPr>
          <w:ilvl w:val="0"/>
          <w:numId w:val="20"/>
        </w:numPr>
        <w:tabs>
          <w:tab w:val="clear" w:pos="720"/>
          <w:tab w:val="left" w:pos="567"/>
        </w:tabs>
        <w:ind w:left="567" w:hanging="567"/>
        <w:rPr>
          <w:szCs w:val="22"/>
        </w:rPr>
      </w:pPr>
      <w:r>
        <w:rPr>
          <w:szCs w:val="22"/>
        </w:rPr>
        <w:t>Ε</w:t>
      </w:r>
      <w:r w:rsidRPr="001F3AFA">
        <w:rPr>
          <w:szCs w:val="22"/>
        </w:rPr>
        <w:t>νδοκολπικ</w:t>
      </w:r>
      <w:r>
        <w:rPr>
          <w:szCs w:val="22"/>
        </w:rPr>
        <w:t>ός</w:t>
      </w:r>
      <w:r w:rsidRPr="001F3AFA">
        <w:rPr>
          <w:szCs w:val="22"/>
        </w:rPr>
        <w:t xml:space="preserve"> </w:t>
      </w:r>
      <w:r>
        <w:rPr>
          <w:szCs w:val="22"/>
        </w:rPr>
        <w:t>λ</w:t>
      </w:r>
      <w:r w:rsidR="000B3D90" w:rsidRPr="001F3AFA">
        <w:rPr>
          <w:szCs w:val="22"/>
        </w:rPr>
        <w:t>ανθάνων χρόνος εκσπερμάτ</w:t>
      </w:r>
      <w:r w:rsidR="000575D5">
        <w:rPr>
          <w:szCs w:val="22"/>
        </w:rPr>
        <w:t>ι</w:t>
      </w:r>
      <w:r w:rsidR="000B3D90" w:rsidRPr="001F3AFA">
        <w:rPr>
          <w:szCs w:val="22"/>
        </w:rPr>
        <w:t>σης κάτω των δύο λεπτών, και</w:t>
      </w:r>
    </w:p>
    <w:p w:rsidR="000B3D90" w:rsidRPr="001F3AFA" w:rsidRDefault="000B3D90" w:rsidP="00DD10F5">
      <w:pPr>
        <w:widowControl/>
        <w:numPr>
          <w:ilvl w:val="0"/>
          <w:numId w:val="20"/>
        </w:numPr>
        <w:tabs>
          <w:tab w:val="clear" w:pos="720"/>
          <w:tab w:val="left" w:pos="567"/>
        </w:tabs>
        <w:ind w:left="567" w:hanging="567"/>
        <w:rPr>
          <w:szCs w:val="22"/>
        </w:rPr>
      </w:pPr>
      <w:r w:rsidRPr="001F3AFA">
        <w:rPr>
          <w:szCs w:val="22"/>
        </w:rPr>
        <w:t>Εμμένου</w:t>
      </w:r>
      <w:r w:rsidR="000575D5">
        <w:rPr>
          <w:szCs w:val="22"/>
        </w:rPr>
        <w:t>σα ή επανεμφανιζόμενη εκσπερμάτι</w:t>
      </w:r>
      <w:r w:rsidRPr="001F3AFA">
        <w:rPr>
          <w:szCs w:val="22"/>
        </w:rPr>
        <w:t xml:space="preserve">ση με ελάχιστη σεξουαλική διέγερση πριν από, κατά τη διάρκεια και </w:t>
      </w:r>
      <w:r w:rsidR="00ED02F8">
        <w:rPr>
          <w:szCs w:val="22"/>
        </w:rPr>
        <w:t>σύντομα</w:t>
      </w:r>
      <w:r w:rsidRPr="001F3AFA">
        <w:rPr>
          <w:szCs w:val="22"/>
        </w:rPr>
        <w:t xml:space="preserve"> μετά από τη διείσδυση και πριν θελήσει να εκσπερματώσει ο ασθενής, και</w:t>
      </w:r>
    </w:p>
    <w:p w:rsidR="000B3D90" w:rsidRPr="001F3AFA" w:rsidRDefault="000B3D90" w:rsidP="00DD10F5">
      <w:pPr>
        <w:widowControl/>
        <w:numPr>
          <w:ilvl w:val="0"/>
          <w:numId w:val="20"/>
        </w:numPr>
        <w:tabs>
          <w:tab w:val="clear" w:pos="720"/>
          <w:tab w:val="left" w:pos="567"/>
        </w:tabs>
        <w:ind w:left="567" w:hanging="567"/>
        <w:rPr>
          <w:szCs w:val="22"/>
        </w:rPr>
      </w:pPr>
      <w:r w:rsidRPr="001F3AFA">
        <w:rPr>
          <w:szCs w:val="22"/>
        </w:rPr>
        <w:t xml:space="preserve">Σημαντική προσωπική δυσφορία ή δυσκολία </w:t>
      </w:r>
      <w:r w:rsidR="000575D5">
        <w:rPr>
          <w:szCs w:val="22"/>
        </w:rPr>
        <w:t xml:space="preserve">στις διαπροσωπικές σχέσεις </w:t>
      </w:r>
      <w:r w:rsidRPr="001F3AFA">
        <w:rPr>
          <w:szCs w:val="22"/>
        </w:rPr>
        <w:t>ως συνέπεια της πρόωρης εκσπερμάτ</w:t>
      </w:r>
      <w:r w:rsidR="000575D5">
        <w:rPr>
          <w:szCs w:val="22"/>
        </w:rPr>
        <w:t>ι</w:t>
      </w:r>
      <w:r w:rsidRPr="001F3AFA">
        <w:rPr>
          <w:szCs w:val="22"/>
        </w:rPr>
        <w:t>σης, και</w:t>
      </w:r>
    </w:p>
    <w:p w:rsidR="000B3D90" w:rsidRPr="001F3AFA" w:rsidRDefault="000B3D90" w:rsidP="00DD10F5">
      <w:pPr>
        <w:widowControl/>
        <w:numPr>
          <w:ilvl w:val="0"/>
          <w:numId w:val="20"/>
        </w:numPr>
        <w:tabs>
          <w:tab w:val="clear" w:pos="720"/>
          <w:tab w:val="left" w:pos="567"/>
        </w:tabs>
        <w:ind w:left="0" w:firstLine="0"/>
        <w:rPr>
          <w:szCs w:val="22"/>
        </w:rPr>
      </w:pPr>
      <w:r w:rsidRPr="001F3AFA">
        <w:rPr>
          <w:szCs w:val="22"/>
        </w:rPr>
        <w:t>Κακός έλεγχος της εκσπερμάτ</w:t>
      </w:r>
      <w:r w:rsidR="000575D5">
        <w:rPr>
          <w:szCs w:val="22"/>
        </w:rPr>
        <w:t>ι</w:t>
      </w:r>
      <w:r w:rsidRPr="001F3AFA">
        <w:rPr>
          <w:szCs w:val="22"/>
        </w:rPr>
        <w:t>σης, και</w:t>
      </w:r>
    </w:p>
    <w:p w:rsidR="000B3D90" w:rsidRPr="0007023B" w:rsidRDefault="000B3D90" w:rsidP="00DD10F5">
      <w:pPr>
        <w:widowControl/>
        <w:numPr>
          <w:ilvl w:val="0"/>
          <w:numId w:val="20"/>
        </w:numPr>
        <w:tabs>
          <w:tab w:val="clear" w:pos="720"/>
          <w:tab w:val="left" w:pos="567"/>
        </w:tabs>
        <w:ind w:left="600" w:hanging="600"/>
        <w:rPr>
          <w:szCs w:val="22"/>
        </w:rPr>
      </w:pPr>
      <w:r w:rsidRPr="001F3AFA">
        <w:rPr>
          <w:szCs w:val="22"/>
        </w:rPr>
        <w:t>Ιστορικό πρόωρης εκσπερμάτ</w:t>
      </w:r>
      <w:r w:rsidR="000575D5">
        <w:rPr>
          <w:szCs w:val="22"/>
        </w:rPr>
        <w:t>ι</w:t>
      </w:r>
      <w:r w:rsidRPr="001F3AFA">
        <w:rPr>
          <w:szCs w:val="22"/>
        </w:rPr>
        <w:t>σης στην πλειοψηφία των προσπαθειών συνεύρεσης κατά τη διάρκεια των προηγούμενων 6 μηνών.</w:t>
      </w:r>
    </w:p>
    <w:p w:rsidR="000B3D90" w:rsidRPr="00ED02F8" w:rsidRDefault="000B3D90" w:rsidP="00DD10F5">
      <w:pPr>
        <w:rPr>
          <w:szCs w:val="22"/>
        </w:rPr>
      </w:pPr>
      <w:r w:rsidRPr="001F3AFA">
        <w:rPr>
          <w:szCs w:val="22"/>
        </w:rPr>
        <w:t xml:space="preserve">Το Priligy </w:t>
      </w:r>
      <w:r w:rsidR="00062619">
        <w:rPr>
          <w:szCs w:val="22"/>
        </w:rPr>
        <w:t>πρέπει</w:t>
      </w:r>
      <w:r w:rsidRPr="001F3AFA">
        <w:rPr>
          <w:szCs w:val="22"/>
        </w:rPr>
        <w:t xml:space="preserve"> να χορηγείται μόνο ως κατ’ επίκληση θεραπεία πριν από αναμενόμενη σεξουαλική δραστηριότητα.</w:t>
      </w:r>
      <w:r w:rsidR="00ED02F8">
        <w:rPr>
          <w:szCs w:val="22"/>
        </w:rPr>
        <w:t xml:space="preserve"> Το </w:t>
      </w:r>
      <w:r w:rsidR="00ED02F8">
        <w:rPr>
          <w:szCs w:val="22"/>
          <w:lang w:val="en-US"/>
        </w:rPr>
        <w:t>Priligy</w:t>
      </w:r>
      <w:r w:rsidR="00ED02F8" w:rsidRPr="00ED02F8">
        <w:rPr>
          <w:szCs w:val="22"/>
        </w:rPr>
        <w:t xml:space="preserve"> </w:t>
      </w:r>
      <w:r w:rsidR="00ED02F8">
        <w:rPr>
          <w:szCs w:val="22"/>
        </w:rPr>
        <w:t>δεν πρέπει να συνταγογραφείται για την καθυστέρηση της εκσπερμάτισης σε άνδρες που δεν έχουν διαγνωστεί με πρόωρη εκσπερμάτιση.</w:t>
      </w:r>
    </w:p>
    <w:p w:rsidR="00B86D1B" w:rsidRPr="001F3AFA" w:rsidRDefault="00B86D1B" w:rsidP="00DD10F5">
      <w:pPr>
        <w:rPr>
          <w:szCs w:val="22"/>
        </w:rPr>
      </w:pPr>
    </w:p>
    <w:p w:rsidR="00B86D1B" w:rsidRPr="0007023B" w:rsidRDefault="00B86D1B" w:rsidP="00DD10F5">
      <w:pPr>
        <w:rPr>
          <w:szCs w:val="22"/>
          <w:lang w:val="en-US"/>
        </w:rPr>
      </w:pPr>
      <w:r w:rsidRPr="001F3AFA">
        <w:rPr>
          <w:b/>
          <w:szCs w:val="22"/>
        </w:rPr>
        <w:t>4.2</w:t>
      </w:r>
      <w:r w:rsidRPr="001F3AFA">
        <w:rPr>
          <w:b/>
          <w:szCs w:val="22"/>
        </w:rPr>
        <w:tab/>
        <w:t>Δοσολογία και τρόπος χορήγησης</w:t>
      </w:r>
    </w:p>
    <w:p w:rsidR="000B3D90" w:rsidRPr="0007023B" w:rsidRDefault="000B3D90" w:rsidP="0007023B">
      <w:pPr>
        <w:tabs>
          <w:tab w:val="left" w:pos="0"/>
        </w:tabs>
        <w:rPr>
          <w:szCs w:val="22"/>
        </w:rPr>
      </w:pPr>
      <w:r w:rsidRPr="001F3AFA">
        <w:rPr>
          <w:szCs w:val="22"/>
        </w:rPr>
        <w:t xml:space="preserve">Από στόματος χρήση. Τα δισκία </w:t>
      </w:r>
      <w:r w:rsidR="00062619">
        <w:rPr>
          <w:szCs w:val="22"/>
        </w:rPr>
        <w:t>πρέπει</w:t>
      </w:r>
      <w:r w:rsidRPr="001F3AFA">
        <w:rPr>
          <w:szCs w:val="22"/>
        </w:rPr>
        <w:t xml:space="preserve"> να καταπίνονται ολόκληρα για να α</w:t>
      </w:r>
      <w:r w:rsidR="007D3F0F">
        <w:rPr>
          <w:szCs w:val="22"/>
        </w:rPr>
        <w:t>ποφευχ</w:t>
      </w:r>
      <w:r w:rsidRPr="001F3AFA">
        <w:rPr>
          <w:szCs w:val="22"/>
        </w:rPr>
        <w:t>θεί η πικρή γεύση. Συνιστάται τα δισκία να λαμβάνονται με τουλάχιστον ένα γεμάτο ποτήρι νερό. Το Priligy μπορεί να ληφθεί με ή χωρίς τροφή (</w:t>
      </w:r>
      <w:r w:rsidR="00ED02F8">
        <w:rPr>
          <w:szCs w:val="22"/>
        </w:rPr>
        <w:t>βλέπε</w:t>
      </w:r>
      <w:r w:rsidRPr="001F3AFA">
        <w:rPr>
          <w:szCs w:val="22"/>
        </w:rPr>
        <w:t xml:space="preserve"> παράγραφο 5.2).</w:t>
      </w:r>
    </w:p>
    <w:p w:rsidR="000B3D90" w:rsidRPr="001F3AFA" w:rsidRDefault="000B3D90" w:rsidP="00DD10F5">
      <w:pPr>
        <w:tabs>
          <w:tab w:val="left" w:pos="0"/>
        </w:tabs>
        <w:rPr>
          <w:szCs w:val="22"/>
        </w:rPr>
      </w:pPr>
      <w:r w:rsidRPr="001F3AFA">
        <w:rPr>
          <w:szCs w:val="22"/>
        </w:rPr>
        <w:t>Πριν από την έναρξη της θεραπείας, βλ</w:t>
      </w:r>
      <w:r w:rsidR="00ED02F8">
        <w:rPr>
          <w:szCs w:val="22"/>
        </w:rPr>
        <w:t>έπε</w:t>
      </w:r>
      <w:r w:rsidRPr="001F3AFA">
        <w:rPr>
          <w:szCs w:val="22"/>
        </w:rPr>
        <w:t xml:space="preserve"> παράγραφο 4.4 σχετικά με την ορθοστατική υπόταση.</w:t>
      </w:r>
    </w:p>
    <w:p w:rsidR="000B3D90" w:rsidRPr="001F3AFA" w:rsidRDefault="000B3D90" w:rsidP="00DD10F5">
      <w:pPr>
        <w:ind w:left="567" w:hanging="567"/>
        <w:rPr>
          <w:szCs w:val="22"/>
          <w:u w:val="single"/>
        </w:rPr>
      </w:pPr>
    </w:p>
    <w:p w:rsidR="000B3D90" w:rsidRPr="0007023B" w:rsidRDefault="000B3D90" w:rsidP="00DD10F5">
      <w:pPr>
        <w:tabs>
          <w:tab w:val="left" w:pos="0"/>
        </w:tabs>
        <w:rPr>
          <w:szCs w:val="22"/>
          <w:u w:val="single"/>
          <w:lang w:val="en-US"/>
        </w:rPr>
      </w:pPr>
      <w:r w:rsidRPr="00F51C5E">
        <w:rPr>
          <w:szCs w:val="22"/>
          <w:u w:val="single"/>
        </w:rPr>
        <w:t>Ενήλικες άνδρες (18 έως 64 ετών)</w:t>
      </w:r>
    </w:p>
    <w:p w:rsidR="000B3D90" w:rsidRPr="0007023B" w:rsidRDefault="000B3D90" w:rsidP="00DD10F5">
      <w:pPr>
        <w:tabs>
          <w:tab w:val="left" w:pos="0"/>
        </w:tabs>
        <w:rPr>
          <w:szCs w:val="22"/>
        </w:rPr>
      </w:pPr>
      <w:r w:rsidRPr="001F3AFA">
        <w:rPr>
          <w:szCs w:val="22"/>
        </w:rPr>
        <w:t>Η συνιστώμενη δόση έναρξης για όλους τους ασθενείς είναι τα 30</w:t>
      </w:r>
      <w:r w:rsidR="00DC18E3">
        <w:rPr>
          <w:szCs w:val="22"/>
        </w:rPr>
        <w:t> mg</w:t>
      </w:r>
      <w:r w:rsidRPr="001F3AFA">
        <w:rPr>
          <w:szCs w:val="22"/>
        </w:rPr>
        <w:t xml:space="preserve">, λαμβανόμενα ανάλογα με τις ανάγκες περίπου 1 έως 3 ώρες πριν από τη σεξουαλική δραστηριότητα. </w:t>
      </w:r>
      <w:r w:rsidR="00D010AF">
        <w:rPr>
          <w:szCs w:val="22"/>
        </w:rPr>
        <w:t xml:space="preserve">Η θεραπεία με το </w:t>
      </w:r>
      <w:r w:rsidR="00D010AF">
        <w:rPr>
          <w:szCs w:val="22"/>
          <w:lang w:val="en-US"/>
        </w:rPr>
        <w:t>Priligy</w:t>
      </w:r>
      <w:r w:rsidR="00D010AF" w:rsidRPr="00D010AF">
        <w:rPr>
          <w:szCs w:val="22"/>
        </w:rPr>
        <w:t xml:space="preserve"> </w:t>
      </w:r>
      <w:r w:rsidR="00D010AF">
        <w:rPr>
          <w:szCs w:val="22"/>
        </w:rPr>
        <w:t xml:space="preserve">δεν πρέπει να αρχίζει με τη δόση των 60 mg. </w:t>
      </w:r>
    </w:p>
    <w:p w:rsidR="00D010AF" w:rsidRPr="0007023B" w:rsidRDefault="00D010AF" w:rsidP="00DD10F5">
      <w:pPr>
        <w:tabs>
          <w:tab w:val="left" w:pos="0"/>
        </w:tabs>
        <w:rPr>
          <w:szCs w:val="22"/>
        </w:rPr>
      </w:pPr>
      <w:r w:rsidRPr="001F3AFA">
        <w:rPr>
          <w:szCs w:val="22"/>
        </w:rPr>
        <w:t xml:space="preserve">Το Priligy δεν </w:t>
      </w:r>
      <w:r>
        <w:rPr>
          <w:szCs w:val="22"/>
        </w:rPr>
        <w:t>προορίζεται</w:t>
      </w:r>
      <w:r w:rsidRPr="001F3AFA">
        <w:rPr>
          <w:szCs w:val="22"/>
        </w:rPr>
        <w:t xml:space="preserve"> για συνεχή ημερήσια χρήση. Το Priligy </w:t>
      </w:r>
      <w:r>
        <w:rPr>
          <w:szCs w:val="22"/>
        </w:rPr>
        <w:t>πρέπει</w:t>
      </w:r>
      <w:r w:rsidRPr="001F3AFA">
        <w:rPr>
          <w:szCs w:val="22"/>
        </w:rPr>
        <w:t xml:space="preserve"> να λαμβάνεται μόνο όταν αναμένεται ότι θα ακολουθήσει σεξουαλική δραστηριότητα. Το Priligy δεν πρέπει να λαμβάνεται συχνότερα από μία φορά κάθε 24 ώρες.</w:t>
      </w:r>
    </w:p>
    <w:p w:rsidR="000B3D90" w:rsidRPr="0007023B" w:rsidRDefault="000B3D90" w:rsidP="00DD10F5">
      <w:pPr>
        <w:tabs>
          <w:tab w:val="left" w:pos="0"/>
        </w:tabs>
        <w:rPr>
          <w:szCs w:val="22"/>
        </w:rPr>
      </w:pPr>
      <w:r w:rsidRPr="001F3AFA">
        <w:rPr>
          <w:szCs w:val="22"/>
        </w:rPr>
        <w:t>Αν η ανταπόκριση του ατόμου στα 30</w:t>
      </w:r>
      <w:r w:rsidR="00DC18E3">
        <w:rPr>
          <w:szCs w:val="22"/>
        </w:rPr>
        <w:t> mg</w:t>
      </w:r>
      <w:r w:rsidRPr="001F3AFA">
        <w:rPr>
          <w:szCs w:val="22"/>
        </w:rPr>
        <w:t xml:space="preserve"> είναι ανεπαρκής και </w:t>
      </w:r>
      <w:r w:rsidR="00D849ED">
        <w:rPr>
          <w:szCs w:val="22"/>
        </w:rPr>
        <w:t xml:space="preserve">ο ασθενής δεν έχει παρουσιάσει μέτριες ή σοβαρές ανεπιθύμητες ενέργειες ή πρόδρομα συμπτώματα που παραπέμπουν σε </w:t>
      </w:r>
      <w:r w:rsidR="00583388">
        <w:rPr>
          <w:szCs w:val="22"/>
        </w:rPr>
        <w:t>συγκοπή</w:t>
      </w:r>
      <w:r w:rsidRPr="001F3AFA">
        <w:rPr>
          <w:szCs w:val="22"/>
        </w:rPr>
        <w:t xml:space="preserve">, η δόση μπορεί να αυξηθεί </w:t>
      </w:r>
      <w:r w:rsidR="00D849ED">
        <w:rPr>
          <w:szCs w:val="22"/>
        </w:rPr>
        <w:t>σε μία</w:t>
      </w:r>
      <w:r w:rsidR="00D849ED" w:rsidRPr="001F3AFA">
        <w:rPr>
          <w:szCs w:val="22"/>
        </w:rPr>
        <w:t xml:space="preserve"> </w:t>
      </w:r>
      <w:r w:rsidRPr="001F3AFA">
        <w:rPr>
          <w:szCs w:val="22"/>
        </w:rPr>
        <w:t>μέγιστη συνιστώμενη δόση των 60</w:t>
      </w:r>
      <w:r w:rsidR="00DC18E3">
        <w:rPr>
          <w:szCs w:val="22"/>
        </w:rPr>
        <w:t> mg</w:t>
      </w:r>
      <w:r w:rsidRPr="001F3AFA">
        <w:rPr>
          <w:szCs w:val="22"/>
        </w:rPr>
        <w:t>, λαμβανόμενη σύμφωνα με τις ανάγκες περίπου 1 έως 3 ώρες πριν από τη σεξουαλική δραστηριότητα.</w:t>
      </w:r>
      <w:r w:rsidR="00D849ED">
        <w:rPr>
          <w:szCs w:val="22"/>
        </w:rPr>
        <w:t xml:space="preserve"> Η επίπτωση και η σοβαρότητα των ανεπιθύμητων ενεργειών είναι υψηλότερες με τη δόση των 60 mg.</w:t>
      </w:r>
    </w:p>
    <w:p w:rsidR="000B3D90" w:rsidRPr="0007023B" w:rsidRDefault="000B3D90" w:rsidP="00DD10F5">
      <w:pPr>
        <w:tabs>
          <w:tab w:val="left" w:pos="0"/>
        </w:tabs>
        <w:rPr>
          <w:szCs w:val="22"/>
        </w:rPr>
      </w:pPr>
      <w:r w:rsidRPr="001F3AFA">
        <w:rPr>
          <w:szCs w:val="22"/>
        </w:rPr>
        <w:t xml:space="preserve">Αν ο ασθενής εμφάνισε </w:t>
      </w:r>
      <w:r w:rsidR="007D3F0F">
        <w:rPr>
          <w:szCs w:val="22"/>
        </w:rPr>
        <w:t>ορθοστατικ</w:t>
      </w:r>
      <w:r w:rsidR="00D849ED">
        <w:rPr>
          <w:szCs w:val="22"/>
        </w:rPr>
        <w:t>έ</w:t>
      </w:r>
      <w:r w:rsidR="007D3F0F">
        <w:rPr>
          <w:szCs w:val="22"/>
        </w:rPr>
        <w:t xml:space="preserve">ς </w:t>
      </w:r>
      <w:r w:rsidR="00D849ED" w:rsidRPr="001F3AFA">
        <w:rPr>
          <w:szCs w:val="22"/>
        </w:rPr>
        <w:t xml:space="preserve">αντιδράσεις </w:t>
      </w:r>
      <w:r w:rsidR="007D3F0F">
        <w:rPr>
          <w:szCs w:val="22"/>
        </w:rPr>
        <w:t xml:space="preserve">με </w:t>
      </w:r>
      <w:r w:rsidRPr="001F3AFA">
        <w:rPr>
          <w:szCs w:val="22"/>
        </w:rPr>
        <w:t xml:space="preserve">τη δόση έναρξης, </w:t>
      </w:r>
      <w:r w:rsidR="00FE7951">
        <w:rPr>
          <w:szCs w:val="22"/>
        </w:rPr>
        <w:t xml:space="preserve">δεν πρέπει να γίνεται </w:t>
      </w:r>
      <w:r w:rsidR="00FE7951">
        <w:rPr>
          <w:szCs w:val="22"/>
        </w:rPr>
        <w:lastRenderedPageBreak/>
        <w:t>κλιμάκωση της δόσης</w:t>
      </w:r>
      <w:r w:rsidR="00FE7951" w:rsidRPr="001F3AFA">
        <w:rPr>
          <w:szCs w:val="22"/>
        </w:rPr>
        <w:t xml:space="preserve"> </w:t>
      </w:r>
      <w:r w:rsidRPr="001F3AFA">
        <w:rPr>
          <w:szCs w:val="22"/>
        </w:rPr>
        <w:t>στα 60</w:t>
      </w:r>
      <w:r w:rsidR="00DC18E3">
        <w:rPr>
          <w:szCs w:val="22"/>
        </w:rPr>
        <w:t> mg</w:t>
      </w:r>
      <w:r w:rsidRPr="001F3AFA">
        <w:rPr>
          <w:szCs w:val="22"/>
        </w:rPr>
        <w:t xml:space="preserve"> (</w:t>
      </w:r>
      <w:r w:rsidR="00EE2F39" w:rsidRPr="001F3AFA">
        <w:rPr>
          <w:szCs w:val="22"/>
        </w:rPr>
        <w:t xml:space="preserve">βλέπε </w:t>
      </w:r>
      <w:r w:rsidRPr="001F3AFA">
        <w:rPr>
          <w:szCs w:val="22"/>
        </w:rPr>
        <w:t>παράγραφο 4.4).</w:t>
      </w:r>
    </w:p>
    <w:p w:rsidR="00D010AF" w:rsidRPr="0007023B" w:rsidRDefault="000B3D90" w:rsidP="00DD10F5">
      <w:pPr>
        <w:tabs>
          <w:tab w:val="left" w:pos="0"/>
        </w:tabs>
        <w:rPr>
          <w:szCs w:val="22"/>
        </w:rPr>
      </w:pPr>
      <w:r w:rsidRPr="001F3AFA">
        <w:rPr>
          <w:szCs w:val="22"/>
        </w:rPr>
        <w:t xml:space="preserve">Ο γιατρός </w:t>
      </w:r>
      <w:r w:rsidR="00062619">
        <w:rPr>
          <w:szCs w:val="22"/>
        </w:rPr>
        <w:t>πρέπει</w:t>
      </w:r>
      <w:r w:rsidRPr="001F3AFA">
        <w:rPr>
          <w:szCs w:val="22"/>
        </w:rPr>
        <w:t xml:space="preserve"> να αξιολογεί προσεκτικά το </w:t>
      </w:r>
      <w:r w:rsidR="00FE7951">
        <w:rPr>
          <w:szCs w:val="22"/>
        </w:rPr>
        <w:t xml:space="preserve">ατομικό </w:t>
      </w:r>
      <w:r w:rsidRPr="001F3AFA">
        <w:rPr>
          <w:szCs w:val="22"/>
        </w:rPr>
        <w:t>προφίλ οφέλους</w:t>
      </w:r>
      <w:r w:rsidR="00FE7951">
        <w:rPr>
          <w:szCs w:val="22"/>
        </w:rPr>
        <w:t>-κινδύνου</w:t>
      </w:r>
      <w:r w:rsidRPr="001F3AFA">
        <w:rPr>
          <w:szCs w:val="22"/>
        </w:rPr>
        <w:t xml:space="preserve"> του Priligy μετά από τις πρώτες τέσσερις εβδομάδες </w:t>
      </w:r>
      <w:r w:rsidR="00543100">
        <w:rPr>
          <w:szCs w:val="22"/>
        </w:rPr>
        <w:t xml:space="preserve">της </w:t>
      </w:r>
      <w:r w:rsidRPr="001F3AFA">
        <w:rPr>
          <w:szCs w:val="22"/>
        </w:rPr>
        <w:t xml:space="preserve">θεραπείας (ή τουλάχιστον μετά από 6 δόσεις θεραπείας) για να </w:t>
      </w:r>
      <w:r w:rsidR="00FE7951">
        <w:rPr>
          <w:szCs w:val="22"/>
        </w:rPr>
        <w:t>καθοριστεί</w:t>
      </w:r>
      <w:r w:rsidR="00FE7951" w:rsidRPr="001F3AFA">
        <w:rPr>
          <w:szCs w:val="22"/>
        </w:rPr>
        <w:t xml:space="preserve"> </w:t>
      </w:r>
      <w:r w:rsidRPr="001F3AFA">
        <w:rPr>
          <w:szCs w:val="22"/>
        </w:rPr>
        <w:t xml:space="preserve">αν </w:t>
      </w:r>
      <w:r w:rsidR="00FE7951">
        <w:rPr>
          <w:szCs w:val="22"/>
        </w:rPr>
        <w:t xml:space="preserve">είναι κατάλληλο να συνεχιστεί </w:t>
      </w:r>
      <w:r w:rsidRPr="001F3AFA">
        <w:rPr>
          <w:szCs w:val="22"/>
        </w:rPr>
        <w:t xml:space="preserve"> </w:t>
      </w:r>
      <w:r w:rsidR="00FE7951">
        <w:rPr>
          <w:szCs w:val="22"/>
        </w:rPr>
        <w:t>η</w:t>
      </w:r>
      <w:r w:rsidR="00FE7951" w:rsidRPr="001F3AFA">
        <w:rPr>
          <w:szCs w:val="22"/>
        </w:rPr>
        <w:t xml:space="preserve"> </w:t>
      </w:r>
      <w:r w:rsidRPr="001F3AFA">
        <w:rPr>
          <w:szCs w:val="22"/>
        </w:rPr>
        <w:t>θεραπεία με το Priligy.</w:t>
      </w:r>
    </w:p>
    <w:p w:rsidR="00D010AF" w:rsidRPr="001F3AFA" w:rsidRDefault="00D010AF" w:rsidP="00DD10F5">
      <w:pPr>
        <w:tabs>
          <w:tab w:val="left" w:pos="0"/>
        </w:tabs>
        <w:rPr>
          <w:szCs w:val="22"/>
        </w:rPr>
      </w:pPr>
      <w:r w:rsidRPr="001F3AFA">
        <w:rPr>
          <w:szCs w:val="22"/>
        </w:rPr>
        <w:t xml:space="preserve">Τα δεδομένα για την αποτελεσματικότητα και την ασφάλεια του Priligy πέραν των 24 </w:t>
      </w:r>
      <w:r w:rsidR="00A76F31">
        <w:rPr>
          <w:szCs w:val="22"/>
        </w:rPr>
        <w:t>εβδομάδων</w:t>
      </w:r>
      <w:r w:rsidR="00A76F31" w:rsidRPr="001F3AFA">
        <w:rPr>
          <w:szCs w:val="22"/>
        </w:rPr>
        <w:t xml:space="preserve"> </w:t>
      </w:r>
      <w:r w:rsidRPr="001F3AFA">
        <w:rPr>
          <w:szCs w:val="22"/>
        </w:rPr>
        <w:t xml:space="preserve">είναι περιορισμένα. </w:t>
      </w:r>
      <w:r w:rsidR="006619BA">
        <w:rPr>
          <w:szCs w:val="22"/>
        </w:rPr>
        <w:t xml:space="preserve">Η κλινική ανάγκη για τη συνέχιση της θεραπείας και η ισορροπία οφέλους-κινδύνου κατά τη θεραπεία με το </w:t>
      </w:r>
      <w:r w:rsidR="006619BA">
        <w:rPr>
          <w:szCs w:val="22"/>
          <w:lang w:val="en-US"/>
        </w:rPr>
        <w:t>Priligy</w:t>
      </w:r>
      <w:r w:rsidR="006619BA">
        <w:rPr>
          <w:szCs w:val="22"/>
        </w:rPr>
        <w:t xml:space="preserve"> πρέπει να επαναξιολογούνται τουλάχιστον κάθε έξι μήνες</w:t>
      </w:r>
      <w:r w:rsidRPr="001F3AFA">
        <w:rPr>
          <w:szCs w:val="22"/>
        </w:rPr>
        <w:t>.</w:t>
      </w:r>
    </w:p>
    <w:p w:rsidR="000B3D90" w:rsidRPr="001F3AFA" w:rsidRDefault="000B3D90" w:rsidP="00DD10F5">
      <w:pPr>
        <w:tabs>
          <w:tab w:val="left" w:pos="0"/>
        </w:tabs>
        <w:rPr>
          <w:szCs w:val="22"/>
        </w:rPr>
      </w:pPr>
    </w:p>
    <w:p w:rsidR="000B3D90" w:rsidRPr="0007023B" w:rsidRDefault="000B3D90" w:rsidP="00DD10F5">
      <w:pPr>
        <w:keepNext/>
        <w:tabs>
          <w:tab w:val="left" w:pos="0"/>
        </w:tabs>
        <w:rPr>
          <w:szCs w:val="22"/>
          <w:u w:val="single"/>
        </w:rPr>
      </w:pPr>
      <w:r w:rsidRPr="00F51C5E">
        <w:rPr>
          <w:szCs w:val="22"/>
          <w:u w:val="single"/>
        </w:rPr>
        <w:t xml:space="preserve">Ηλικιωµένοι (ηλικίας 65 ετών και άνω) </w:t>
      </w:r>
    </w:p>
    <w:p w:rsidR="000B3D90" w:rsidRPr="001F3AFA" w:rsidRDefault="000B3D90" w:rsidP="00DD10F5">
      <w:pPr>
        <w:keepNext/>
        <w:tabs>
          <w:tab w:val="left" w:pos="0"/>
        </w:tabs>
        <w:rPr>
          <w:szCs w:val="22"/>
        </w:rPr>
      </w:pPr>
      <w:r w:rsidRPr="001F3AFA">
        <w:rPr>
          <w:szCs w:val="22"/>
        </w:rPr>
        <w:t xml:space="preserve">Η αποτελεσματικότητα και η ασφάλεια του Priligy δεν έχουν </w:t>
      </w:r>
      <w:r w:rsidR="006619BA">
        <w:rPr>
          <w:szCs w:val="22"/>
        </w:rPr>
        <w:t>τεκμηριωθεί</w:t>
      </w:r>
      <w:r w:rsidR="006619BA" w:rsidRPr="001F3AFA">
        <w:rPr>
          <w:szCs w:val="22"/>
        </w:rPr>
        <w:t xml:space="preserve"> </w:t>
      </w:r>
      <w:r w:rsidRPr="001F3AFA">
        <w:rPr>
          <w:szCs w:val="22"/>
        </w:rPr>
        <w:t>σε ασθενείς ηλικίας 65 ετών και άνω (</w:t>
      </w:r>
      <w:r w:rsidR="00EE2F39">
        <w:rPr>
          <w:szCs w:val="22"/>
        </w:rPr>
        <w:t>βλέπε</w:t>
      </w:r>
      <w:r w:rsidRPr="001F3AFA">
        <w:rPr>
          <w:szCs w:val="22"/>
        </w:rPr>
        <w:t xml:space="preserve"> παράγραφο 5.2)</w:t>
      </w:r>
      <w:r w:rsidR="006619BA">
        <w:rPr>
          <w:szCs w:val="22"/>
        </w:rPr>
        <w:t>.</w:t>
      </w:r>
    </w:p>
    <w:p w:rsidR="000B3D90" w:rsidRPr="001F3AFA" w:rsidRDefault="000B3D90" w:rsidP="00DD10F5">
      <w:pPr>
        <w:keepNext/>
        <w:tabs>
          <w:tab w:val="left" w:pos="0"/>
        </w:tabs>
        <w:rPr>
          <w:szCs w:val="22"/>
        </w:rPr>
      </w:pPr>
    </w:p>
    <w:p w:rsidR="000B3D90" w:rsidRPr="0007023B" w:rsidRDefault="000B3D90" w:rsidP="0007023B">
      <w:pPr>
        <w:keepNext/>
        <w:tabs>
          <w:tab w:val="left" w:pos="0"/>
        </w:tabs>
        <w:rPr>
          <w:szCs w:val="22"/>
          <w:u w:val="single"/>
          <w:lang w:val="en-US"/>
        </w:rPr>
      </w:pPr>
      <w:r w:rsidRPr="00F51C5E">
        <w:rPr>
          <w:szCs w:val="22"/>
          <w:u w:val="single"/>
        </w:rPr>
        <w:t>Παιδιά και έφηβοι</w:t>
      </w:r>
    </w:p>
    <w:p w:rsidR="000B3D90" w:rsidRPr="001F3AFA" w:rsidRDefault="000B3D90" w:rsidP="00DD10F5">
      <w:pPr>
        <w:rPr>
          <w:szCs w:val="22"/>
        </w:rPr>
      </w:pPr>
      <w:r w:rsidRPr="001F3AFA">
        <w:rPr>
          <w:szCs w:val="22"/>
        </w:rPr>
        <w:t xml:space="preserve">Το Priligy δεν </w:t>
      </w:r>
      <w:r w:rsidR="00062619">
        <w:rPr>
          <w:szCs w:val="22"/>
        </w:rPr>
        <w:t>πρέπει</w:t>
      </w:r>
      <w:r w:rsidRPr="001F3AFA">
        <w:rPr>
          <w:szCs w:val="22"/>
        </w:rPr>
        <w:t xml:space="preserve"> να χρησιμοποιείται </w:t>
      </w:r>
      <w:r w:rsidR="006619BA">
        <w:rPr>
          <w:szCs w:val="22"/>
        </w:rPr>
        <w:t>σε</w:t>
      </w:r>
      <w:r w:rsidR="006619BA" w:rsidRPr="001F3AFA">
        <w:rPr>
          <w:szCs w:val="22"/>
        </w:rPr>
        <w:t xml:space="preserve"> </w:t>
      </w:r>
      <w:r w:rsidRPr="001F3AFA">
        <w:rPr>
          <w:szCs w:val="22"/>
        </w:rPr>
        <w:t xml:space="preserve">άτομα </w:t>
      </w:r>
      <w:r w:rsidR="006619BA">
        <w:rPr>
          <w:szCs w:val="22"/>
        </w:rPr>
        <w:t>ηλικίας μικρότερης</w:t>
      </w:r>
      <w:r w:rsidR="006619BA" w:rsidRPr="001F3AFA">
        <w:rPr>
          <w:szCs w:val="22"/>
        </w:rPr>
        <w:t xml:space="preserve"> </w:t>
      </w:r>
      <w:r w:rsidRPr="001F3AFA">
        <w:rPr>
          <w:szCs w:val="22"/>
        </w:rPr>
        <w:t>των 18 ετών.</w:t>
      </w:r>
    </w:p>
    <w:p w:rsidR="000B3D90" w:rsidRPr="001F3AFA" w:rsidRDefault="000B3D90" w:rsidP="00DD10F5">
      <w:pPr>
        <w:rPr>
          <w:szCs w:val="22"/>
        </w:rPr>
      </w:pPr>
    </w:p>
    <w:p w:rsidR="000B3D90" w:rsidRPr="0007023B" w:rsidRDefault="000B3D90" w:rsidP="0007023B">
      <w:pPr>
        <w:keepNext/>
        <w:tabs>
          <w:tab w:val="left" w:pos="0"/>
        </w:tabs>
        <w:rPr>
          <w:szCs w:val="22"/>
          <w:u w:val="single"/>
          <w:lang w:val="en-US"/>
        </w:rPr>
      </w:pPr>
      <w:r w:rsidRPr="00F51C5E">
        <w:rPr>
          <w:szCs w:val="22"/>
          <w:u w:val="single"/>
        </w:rPr>
        <w:t>Ασθενείς με νεφρική δυσλειτουργία</w:t>
      </w:r>
    </w:p>
    <w:p w:rsidR="000B3D90" w:rsidRPr="001F3AFA" w:rsidRDefault="000B3D90" w:rsidP="00DD10F5">
      <w:pPr>
        <w:rPr>
          <w:szCs w:val="22"/>
        </w:rPr>
      </w:pPr>
      <w:r w:rsidRPr="001F3AFA">
        <w:rPr>
          <w:szCs w:val="22"/>
        </w:rPr>
        <w:t xml:space="preserve">Συνιστάται προσοχή σε ασθενείς με ήπια ή μέτρια νεφρική δυσλειτουργία. </w:t>
      </w:r>
      <w:r w:rsidR="00167214">
        <w:rPr>
          <w:szCs w:val="22"/>
        </w:rPr>
        <w:t xml:space="preserve">Δεν συνιστάται η χρήση του </w:t>
      </w:r>
      <w:r w:rsidRPr="001F3AFA">
        <w:rPr>
          <w:szCs w:val="22"/>
        </w:rPr>
        <w:t xml:space="preserve">Priligy σε ασθενείς µε σοβαρή νεφρική δυσλειτουργία (βλέπε </w:t>
      </w:r>
      <w:r w:rsidR="00167214">
        <w:rPr>
          <w:szCs w:val="22"/>
        </w:rPr>
        <w:t>παραγράφους</w:t>
      </w:r>
      <w:r w:rsidR="00167214" w:rsidRPr="001F3AFA">
        <w:rPr>
          <w:szCs w:val="22"/>
        </w:rPr>
        <w:t xml:space="preserve"> </w:t>
      </w:r>
      <w:r w:rsidRPr="001F3AFA">
        <w:rPr>
          <w:szCs w:val="22"/>
        </w:rPr>
        <w:t>4.4 και 5.2).</w:t>
      </w:r>
    </w:p>
    <w:p w:rsidR="000B3D90" w:rsidRPr="001F3AFA" w:rsidRDefault="000B3D90" w:rsidP="00DD10F5">
      <w:pPr>
        <w:rPr>
          <w:szCs w:val="22"/>
        </w:rPr>
      </w:pPr>
    </w:p>
    <w:p w:rsidR="000B3D90" w:rsidRPr="0007023B" w:rsidRDefault="000B3D90" w:rsidP="00DD10F5">
      <w:pPr>
        <w:rPr>
          <w:szCs w:val="22"/>
          <w:u w:val="single"/>
          <w:lang w:val="en-US"/>
        </w:rPr>
      </w:pPr>
      <w:r w:rsidRPr="00F51C5E">
        <w:rPr>
          <w:szCs w:val="22"/>
          <w:u w:val="single"/>
        </w:rPr>
        <w:t>Ασθενείς με ηπατική δυσλειτουργία</w:t>
      </w:r>
    </w:p>
    <w:p w:rsidR="000B3D90" w:rsidRPr="001F3AFA" w:rsidRDefault="000B3D90" w:rsidP="00DD10F5">
      <w:pPr>
        <w:rPr>
          <w:szCs w:val="22"/>
        </w:rPr>
      </w:pPr>
      <w:r w:rsidRPr="001F3AFA">
        <w:rPr>
          <w:szCs w:val="22"/>
        </w:rPr>
        <w:t>Το Priligy αντενδείκνυται σε ασθενείς με μέτρια και σοβαρή ηπατική δυσλειτουργία (</w:t>
      </w:r>
      <w:r w:rsidR="00167214">
        <w:rPr>
          <w:szCs w:val="22"/>
        </w:rPr>
        <w:t>κατηγορία</w:t>
      </w:r>
      <w:r w:rsidR="00167214" w:rsidRPr="001F3AFA">
        <w:rPr>
          <w:szCs w:val="22"/>
        </w:rPr>
        <w:t xml:space="preserve"> </w:t>
      </w:r>
      <w:r w:rsidRPr="001F3AFA">
        <w:rPr>
          <w:szCs w:val="22"/>
        </w:rPr>
        <w:t>Β και C κατά Child</w:t>
      </w:r>
      <w:r w:rsidRPr="001F3AFA">
        <w:rPr>
          <w:szCs w:val="22"/>
        </w:rPr>
        <w:sym w:font="Symbol" w:char="F02D"/>
      </w:r>
      <w:r w:rsidRPr="001F3AFA">
        <w:rPr>
          <w:szCs w:val="22"/>
        </w:rPr>
        <w:t xml:space="preserve">Pugh) (βλέπε </w:t>
      </w:r>
      <w:r w:rsidR="00167214">
        <w:rPr>
          <w:szCs w:val="22"/>
        </w:rPr>
        <w:t>παραγράφους</w:t>
      </w:r>
      <w:r w:rsidR="00167214" w:rsidRPr="001F3AFA">
        <w:rPr>
          <w:szCs w:val="22"/>
        </w:rPr>
        <w:t xml:space="preserve"> </w:t>
      </w:r>
      <w:r w:rsidRPr="001F3AFA">
        <w:rPr>
          <w:szCs w:val="22"/>
        </w:rPr>
        <w:t>4.3 και 5.2).</w:t>
      </w:r>
    </w:p>
    <w:p w:rsidR="000B3D90" w:rsidRPr="001F3AFA" w:rsidRDefault="000B3D90" w:rsidP="00DD10F5">
      <w:pPr>
        <w:ind w:left="567" w:hanging="567"/>
        <w:rPr>
          <w:b/>
          <w:szCs w:val="22"/>
        </w:rPr>
      </w:pPr>
    </w:p>
    <w:p w:rsidR="000B3D90" w:rsidRPr="00F51C5E" w:rsidRDefault="00EE2F39" w:rsidP="00DD10F5">
      <w:pPr>
        <w:rPr>
          <w:bCs/>
          <w:iCs/>
          <w:szCs w:val="22"/>
          <w:u w:val="single"/>
        </w:rPr>
      </w:pPr>
      <w:r w:rsidRPr="00F51C5E">
        <w:rPr>
          <w:bCs/>
          <w:iCs/>
          <w:szCs w:val="22"/>
          <w:u w:val="single"/>
        </w:rPr>
        <w:t xml:space="preserve">Ασθενείς που είναι γνωστό ότι </w:t>
      </w:r>
      <w:r w:rsidR="00167214">
        <w:rPr>
          <w:bCs/>
          <w:iCs/>
          <w:szCs w:val="22"/>
          <w:u w:val="single"/>
        </w:rPr>
        <w:t>είναι πτωχοί μεταβολιστές του</w:t>
      </w:r>
      <w:r w:rsidR="000B3D90" w:rsidRPr="00F51C5E">
        <w:rPr>
          <w:bCs/>
          <w:iCs/>
          <w:szCs w:val="22"/>
          <w:u w:val="single"/>
        </w:rPr>
        <w:t xml:space="preserve"> CYP2D6 ή ασθενείς που </w:t>
      </w:r>
      <w:r w:rsidR="00C232D1" w:rsidRPr="00F51C5E">
        <w:rPr>
          <w:bCs/>
          <w:iCs/>
          <w:szCs w:val="22"/>
          <w:u w:val="single"/>
        </w:rPr>
        <w:t>ακολουθούν θεραπεία</w:t>
      </w:r>
      <w:r w:rsidR="000B3D90" w:rsidRPr="00F51C5E">
        <w:rPr>
          <w:bCs/>
          <w:iCs/>
          <w:szCs w:val="22"/>
          <w:u w:val="single"/>
        </w:rPr>
        <w:t xml:space="preserve"> με ισχυρούς αναστολείς του CYP2D6</w:t>
      </w:r>
    </w:p>
    <w:p w:rsidR="000B3D90" w:rsidRPr="001F3AFA" w:rsidRDefault="000B3D90" w:rsidP="00DD10F5">
      <w:pPr>
        <w:rPr>
          <w:bCs/>
          <w:iCs/>
          <w:szCs w:val="22"/>
          <w:u w:val="single"/>
        </w:rPr>
      </w:pPr>
    </w:p>
    <w:p w:rsidR="000B3D90" w:rsidRPr="001F3AFA" w:rsidRDefault="000B3D90" w:rsidP="00DD10F5">
      <w:pPr>
        <w:tabs>
          <w:tab w:val="left" w:pos="0"/>
        </w:tabs>
        <w:rPr>
          <w:bCs/>
          <w:iCs/>
          <w:szCs w:val="22"/>
        </w:rPr>
      </w:pPr>
      <w:r w:rsidRPr="001F3AFA">
        <w:rPr>
          <w:bCs/>
          <w:iCs/>
          <w:szCs w:val="22"/>
        </w:rPr>
        <w:t>Συνιστάται προσοχή σε περίπτωση αύξησης της δόσης στα 60</w:t>
      </w:r>
      <w:r w:rsidR="00DC18E3">
        <w:rPr>
          <w:bCs/>
          <w:iCs/>
          <w:szCs w:val="22"/>
        </w:rPr>
        <w:t> mg</w:t>
      </w:r>
      <w:r w:rsidRPr="001F3AFA">
        <w:rPr>
          <w:bCs/>
          <w:iCs/>
          <w:szCs w:val="22"/>
        </w:rPr>
        <w:t xml:space="preserve"> σε ασθενείς που είναι γνωστό ότι έχουν </w:t>
      </w:r>
      <w:r w:rsidR="00583388">
        <w:rPr>
          <w:bCs/>
          <w:iCs/>
          <w:szCs w:val="22"/>
        </w:rPr>
        <w:t>π</w:t>
      </w:r>
      <w:r w:rsidRPr="001F3AFA">
        <w:rPr>
          <w:bCs/>
          <w:iCs/>
          <w:szCs w:val="22"/>
        </w:rPr>
        <w:t xml:space="preserve">τωχό </w:t>
      </w:r>
      <w:r w:rsidR="00EE2F39">
        <w:rPr>
          <w:bCs/>
          <w:iCs/>
          <w:szCs w:val="22"/>
        </w:rPr>
        <w:t>μεταβολικό γονότυπο του</w:t>
      </w:r>
      <w:r w:rsidRPr="001F3AFA">
        <w:rPr>
          <w:bCs/>
          <w:iCs/>
          <w:szCs w:val="22"/>
        </w:rPr>
        <w:t xml:space="preserve"> CYP2D6 ή σε ασθενείς που </w:t>
      </w:r>
      <w:r w:rsidR="00C232D1">
        <w:rPr>
          <w:bCs/>
          <w:iCs/>
          <w:szCs w:val="22"/>
        </w:rPr>
        <w:t>ακολουθούν</w:t>
      </w:r>
      <w:r w:rsidRPr="001F3AFA">
        <w:rPr>
          <w:bCs/>
          <w:iCs/>
          <w:szCs w:val="22"/>
        </w:rPr>
        <w:t xml:space="preserve"> </w:t>
      </w:r>
      <w:r w:rsidR="00583388">
        <w:rPr>
          <w:bCs/>
          <w:iCs/>
          <w:szCs w:val="22"/>
        </w:rPr>
        <w:t>ταυτόχρονα</w:t>
      </w:r>
      <w:r w:rsidR="00583388" w:rsidRPr="001F3AFA">
        <w:rPr>
          <w:bCs/>
          <w:iCs/>
          <w:szCs w:val="22"/>
        </w:rPr>
        <w:t xml:space="preserve"> </w:t>
      </w:r>
      <w:r w:rsidR="00C232D1">
        <w:rPr>
          <w:bCs/>
          <w:iCs/>
          <w:szCs w:val="22"/>
        </w:rPr>
        <w:t xml:space="preserve">θεραπεία </w:t>
      </w:r>
      <w:r w:rsidRPr="001F3AFA">
        <w:rPr>
          <w:bCs/>
          <w:iCs/>
          <w:szCs w:val="22"/>
        </w:rPr>
        <w:t xml:space="preserve">με ισχυρούς αναστολείς του CYP2D6 (βλέπε </w:t>
      </w:r>
      <w:r w:rsidR="00583388">
        <w:rPr>
          <w:bCs/>
          <w:iCs/>
          <w:szCs w:val="22"/>
        </w:rPr>
        <w:t>παραγράφους</w:t>
      </w:r>
      <w:r w:rsidR="00583388" w:rsidRPr="001F3AFA">
        <w:rPr>
          <w:bCs/>
          <w:iCs/>
          <w:szCs w:val="22"/>
        </w:rPr>
        <w:t xml:space="preserve"> </w:t>
      </w:r>
      <w:r w:rsidRPr="001F3AFA">
        <w:rPr>
          <w:bCs/>
          <w:iCs/>
          <w:szCs w:val="22"/>
        </w:rPr>
        <w:t>4.4, 4.5 και 5.2).</w:t>
      </w:r>
    </w:p>
    <w:p w:rsidR="000B3D90" w:rsidRPr="001F3AFA" w:rsidRDefault="000B3D90" w:rsidP="00DD10F5">
      <w:pPr>
        <w:tabs>
          <w:tab w:val="left" w:pos="0"/>
        </w:tabs>
        <w:rPr>
          <w:bCs/>
          <w:iCs/>
          <w:szCs w:val="22"/>
        </w:rPr>
      </w:pPr>
    </w:p>
    <w:p w:rsidR="000B3D90" w:rsidRPr="0007023B" w:rsidRDefault="000B3D90" w:rsidP="0007023B">
      <w:pPr>
        <w:ind w:left="567" w:hanging="567"/>
        <w:rPr>
          <w:bCs/>
          <w:iCs/>
          <w:szCs w:val="22"/>
          <w:u w:val="single"/>
        </w:rPr>
      </w:pPr>
      <w:r w:rsidRPr="00F51C5E">
        <w:rPr>
          <w:bCs/>
          <w:iCs/>
          <w:szCs w:val="22"/>
          <w:u w:val="single"/>
        </w:rPr>
        <w:t>Ασθενείς που ακολουθούν θεραπεία με μέτριους ή ισχυρούς αναστολείς του CYP3A4</w:t>
      </w:r>
    </w:p>
    <w:p w:rsidR="000B3D90" w:rsidRPr="001F3AFA" w:rsidRDefault="000B3D90" w:rsidP="00DD10F5">
      <w:pPr>
        <w:tabs>
          <w:tab w:val="left" w:pos="0"/>
        </w:tabs>
        <w:rPr>
          <w:bCs/>
          <w:iCs/>
          <w:szCs w:val="22"/>
        </w:rPr>
      </w:pPr>
      <w:r w:rsidRPr="001F3AFA">
        <w:rPr>
          <w:bCs/>
          <w:iCs/>
          <w:szCs w:val="22"/>
        </w:rPr>
        <w:t xml:space="preserve">Η </w:t>
      </w:r>
      <w:r w:rsidR="00583388">
        <w:rPr>
          <w:bCs/>
          <w:iCs/>
          <w:szCs w:val="22"/>
        </w:rPr>
        <w:t>ταυτόχρονη</w:t>
      </w:r>
      <w:r w:rsidR="00583388" w:rsidRPr="001F3AFA">
        <w:rPr>
          <w:bCs/>
          <w:iCs/>
          <w:szCs w:val="22"/>
        </w:rPr>
        <w:t xml:space="preserve"> </w:t>
      </w:r>
      <w:r w:rsidRPr="001F3AFA">
        <w:rPr>
          <w:bCs/>
          <w:iCs/>
          <w:szCs w:val="22"/>
        </w:rPr>
        <w:t xml:space="preserve">χρήση ισχυρών αναστολέων του CYP3A4 αντενδείκνυται. Η δόση </w:t>
      </w:r>
      <w:r w:rsidR="00062619">
        <w:rPr>
          <w:bCs/>
          <w:iCs/>
          <w:szCs w:val="22"/>
        </w:rPr>
        <w:t>πρέπει</w:t>
      </w:r>
      <w:r w:rsidRPr="001F3AFA">
        <w:rPr>
          <w:bCs/>
          <w:iCs/>
          <w:szCs w:val="22"/>
        </w:rPr>
        <w:t xml:space="preserve"> να </w:t>
      </w:r>
      <w:r w:rsidR="00583388">
        <w:rPr>
          <w:bCs/>
          <w:iCs/>
          <w:szCs w:val="22"/>
        </w:rPr>
        <w:t>περιορίζεται</w:t>
      </w:r>
      <w:r w:rsidR="00583388" w:rsidRPr="001F3AFA">
        <w:rPr>
          <w:bCs/>
          <w:iCs/>
          <w:szCs w:val="22"/>
        </w:rPr>
        <w:t xml:space="preserve"> </w:t>
      </w:r>
      <w:r w:rsidRPr="001F3AFA">
        <w:rPr>
          <w:bCs/>
          <w:iCs/>
          <w:szCs w:val="22"/>
        </w:rPr>
        <w:t>στα 30</w:t>
      </w:r>
      <w:r w:rsidR="00DC18E3">
        <w:rPr>
          <w:bCs/>
          <w:iCs/>
          <w:szCs w:val="22"/>
        </w:rPr>
        <w:t> mg</w:t>
      </w:r>
      <w:r w:rsidRPr="001F3AFA">
        <w:rPr>
          <w:bCs/>
          <w:iCs/>
          <w:szCs w:val="22"/>
        </w:rPr>
        <w:t xml:space="preserve"> στους ασθενείς που ακολουθούν παράλληλα θεραπεία με μέτριους αναστολείς του CYP3A4 και συνιστάται προσοχή (βλέπε </w:t>
      </w:r>
      <w:r w:rsidR="00583388">
        <w:rPr>
          <w:bCs/>
          <w:iCs/>
          <w:szCs w:val="22"/>
        </w:rPr>
        <w:t>παραγράφους</w:t>
      </w:r>
      <w:r w:rsidR="00583388" w:rsidRPr="001F3AFA">
        <w:rPr>
          <w:bCs/>
          <w:iCs/>
          <w:szCs w:val="22"/>
        </w:rPr>
        <w:t xml:space="preserve"> </w:t>
      </w:r>
      <w:r w:rsidRPr="001F3AFA">
        <w:rPr>
          <w:bCs/>
          <w:iCs/>
          <w:szCs w:val="22"/>
        </w:rPr>
        <w:t>4.3, 4.4 και 4.5).</w:t>
      </w:r>
    </w:p>
    <w:p w:rsidR="00B86D1B" w:rsidRPr="001F3AFA" w:rsidRDefault="00B86D1B" w:rsidP="00DD10F5">
      <w:pPr>
        <w:rPr>
          <w:szCs w:val="22"/>
        </w:rPr>
      </w:pPr>
    </w:p>
    <w:p w:rsidR="00B86D1B" w:rsidRPr="0007023B" w:rsidRDefault="00B86D1B" w:rsidP="00DD10F5">
      <w:pPr>
        <w:rPr>
          <w:szCs w:val="22"/>
        </w:rPr>
      </w:pPr>
      <w:r w:rsidRPr="001F3AFA">
        <w:rPr>
          <w:b/>
          <w:szCs w:val="22"/>
        </w:rPr>
        <w:t>4.3</w:t>
      </w:r>
      <w:r w:rsidRPr="001F3AFA">
        <w:rPr>
          <w:b/>
          <w:szCs w:val="22"/>
        </w:rPr>
        <w:tab/>
        <w:t>Αντενδείξεις</w:t>
      </w:r>
    </w:p>
    <w:p w:rsidR="000B3D90" w:rsidRPr="0007023B" w:rsidRDefault="000B3D90" w:rsidP="00DD10F5">
      <w:pPr>
        <w:rPr>
          <w:szCs w:val="22"/>
        </w:rPr>
      </w:pPr>
      <w:r w:rsidRPr="001F3AFA">
        <w:rPr>
          <w:szCs w:val="22"/>
        </w:rPr>
        <w:t>Υπερευαισθησία στη δραστική ουσία ή σε κάποιο από τα έκδοχα.</w:t>
      </w:r>
    </w:p>
    <w:p w:rsidR="000B3D90" w:rsidRPr="001F3AFA" w:rsidRDefault="000B3D90" w:rsidP="00DD10F5">
      <w:pPr>
        <w:rPr>
          <w:bCs/>
          <w:iCs/>
          <w:szCs w:val="22"/>
        </w:rPr>
      </w:pPr>
      <w:r w:rsidRPr="001F3AFA">
        <w:rPr>
          <w:bCs/>
          <w:iCs/>
          <w:szCs w:val="22"/>
        </w:rPr>
        <w:t>Σημαντικές παθολογικές καρδιακές παθήσεις όπως είναι:</w:t>
      </w:r>
    </w:p>
    <w:p w:rsidR="000B3D90" w:rsidRPr="001F3AFA" w:rsidRDefault="00DC18E3" w:rsidP="00DD10F5">
      <w:pPr>
        <w:widowControl/>
        <w:numPr>
          <w:ilvl w:val="0"/>
          <w:numId w:val="21"/>
        </w:numPr>
        <w:tabs>
          <w:tab w:val="clear" w:pos="720"/>
        </w:tabs>
        <w:ind w:left="360"/>
        <w:rPr>
          <w:bCs/>
          <w:iCs/>
          <w:szCs w:val="22"/>
        </w:rPr>
      </w:pPr>
      <w:r>
        <w:rPr>
          <w:bCs/>
          <w:iCs/>
          <w:szCs w:val="22"/>
        </w:rPr>
        <w:t>Καρδιακή ανεπάρκεια (</w:t>
      </w:r>
      <w:r w:rsidR="00583388">
        <w:rPr>
          <w:bCs/>
          <w:iCs/>
          <w:szCs w:val="22"/>
        </w:rPr>
        <w:t xml:space="preserve">κατηγορίας </w:t>
      </w:r>
      <w:r>
        <w:rPr>
          <w:bCs/>
          <w:iCs/>
          <w:szCs w:val="22"/>
        </w:rPr>
        <w:t>II-</w:t>
      </w:r>
      <w:r w:rsidR="000B3D90" w:rsidRPr="001F3AFA">
        <w:rPr>
          <w:bCs/>
          <w:iCs/>
          <w:szCs w:val="22"/>
        </w:rPr>
        <w:t>IV κατά NYHA).</w:t>
      </w:r>
    </w:p>
    <w:p w:rsidR="000B3D90" w:rsidRPr="001F3AFA" w:rsidRDefault="000B3D90" w:rsidP="00DD10F5">
      <w:pPr>
        <w:widowControl/>
        <w:numPr>
          <w:ilvl w:val="0"/>
          <w:numId w:val="21"/>
        </w:numPr>
        <w:tabs>
          <w:tab w:val="clear" w:pos="720"/>
        </w:tabs>
        <w:ind w:left="360"/>
        <w:rPr>
          <w:bCs/>
          <w:iCs/>
          <w:szCs w:val="22"/>
        </w:rPr>
      </w:pPr>
      <w:r w:rsidRPr="001F3AFA">
        <w:rPr>
          <w:bCs/>
          <w:iCs/>
          <w:szCs w:val="22"/>
        </w:rPr>
        <w:t>Διαταραχές αγωγιμότητας όπως ο κολποκοιλιακός αποκλεισμός και το σύνδρομο νοσούντος φλεβοκόμβου</w:t>
      </w:r>
    </w:p>
    <w:p w:rsidR="000B3D90" w:rsidRPr="001F3AFA" w:rsidRDefault="000B3D90" w:rsidP="00DD10F5">
      <w:pPr>
        <w:widowControl/>
        <w:numPr>
          <w:ilvl w:val="0"/>
          <w:numId w:val="21"/>
        </w:numPr>
        <w:tabs>
          <w:tab w:val="clear" w:pos="720"/>
        </w:tabs>
        <w:ind w:left="360"/>
        <w:rPr>
          <w:bCs/>
          <w:iCs/>
          <w:szCs w:val="22"/>
        </w:rPr>
      </w:pPr>
      <w:r w:rsidRPr="001F3AFA">
        <w:rPr>
          <w:bCs/>
          <w:iCs/>
          <w:szCs w:val="22"/>
        </w:rPr>
        <w:t>Σημαντική ισχαιμική καρδιοπάθεια</w:t>
      </w:r>
    </w:p>
    <w:p w:rsidR="000B3D90" w:rsidRPr="001F3AFA" w:rsidRDefault="000B3D90" w:rsidP="00DD10F5">
      <w:pPr>
        <w:widowControl/>
        <w:numPr>
          <w:ilvl w:val="0"/>
          <w:numId w:val="21"/>
        </w:numPr>
        <w:tabs>
          <w:tab w:val="clear" w:pos="720"/>
        </w:tabs>
        <w:ind w:left="360"/>
        <w:rPr>
          <w:bCs/>
          <w:iCs/>
          <w:szCs w:val="22"/>
        </w:rPr>
      </w:pPr>
      <w:r w:rsidRPr="001F3AFA">
        <w:rPr>
          <w:bCs/>
          <w:iCs/>
          <w:szCs w:val="22"/>
        </w:rPr>
        <w:t>Σημαντική βαλβιδοπάθεια</w:t>
      </w:r>
    </w:p>
    <w:p w:rsidR="000B3D90" w:rsidRPr="001F3AFA" w:rsidRDefault="000B3D90" w:rsidP="00DD10F5">
      <w:pPr>
        <w:widowControl/>
        <w:numPr>
          <w:ilvl w:val="0"/>
          <w:numId w:val="21"/>
        </w:numPr>
        <w:tabs>
          <w:tab w:val="clear" w:pos="720"/>
        </w:tabs>
        <w:ind w:left="360"/>
        <w:rPr>
          <w:bCs/>
          <w:iCs/>
          <w:szCs w:val="22"/>
        </w:rPr>
      </w:pPr>
      <w:r w:rsidRPr="001F3AFA">
        <w:rPr>
          <w:bCs/>
          <w:iCs/>
          <w:szCs w:val="22"/>
        </w:rPr>
        <w:t>Ιστορικό συγκοπής.</w:t>
      </w:r>
    </w:p>
    <w:p w:rsidR="000B3D90" w:rsidRPr="001F3AFA" w:rsidRDefault="000B3D90" w:rsidP="00DD10F5">
      <w:pPr>
        <w:rPr>
          <w:bCs/>
          <w:iCs/>
          <w:szCs w:val="22"/>
        </w:rPr>
      </w:pPr>
    </w:p>
    <w:p w:rsidR="000B3D90" w:rsidRPr="001F3AFA" w:rsidRDefault="000B3D90" w:rsidP="00DD10F5">
      <w:pPr>
        <w:rPr>
          <w:bCs/>
          <w:iCs/>
          <w:szCs w:val="22"/>
        </w:rPr>
      </w:pPr>
      <w:r w:rsidRPr="001F3AFA">
        <w:rPr>
          <w:bCs/>
          <w:iCs/>
          <w:szCs w:val="22"/>
        </w:rPr>
        <w:t>Ιστορικό μανίας ή σοβαρής κατάθλιψης.</w:t>
      </w:r>
    </w:p>
    <w:p w:rsidR="000B3D90" w:rsidRPr="001F3AFA" w:rsidRDefault="000B3D90" w:rsidP="00DD10F5">
      <w:pPr>
        <w:rPr>
          <w:bCs/>
          <w:iCs/>
          <w:szCs w:val="22"/>
        </w:rPr>
      </w:pPr>
    </w:p>
    <w:p w:rsidR="000B3D90" w:rsidRPr="001F3AFA" w:rsidRDefault="00B649DD" w:rsidP="00DD10F5">
      <w:pPr>
        <w:rPr>
          <w:szCs w:val="22"/>
        </w:rPr>
      </w:pPr>
      <w:r>
        <w:rPr>
          <w:bCs/>
          <w:iCs/>
          <w:szCs w:val="22"/>
        </w:rPr>
        <w:t>Ταυτόχρονη</w:t>
      </w:r>
      <w:r w:rsidRPr="001F3AFA">
        <w:rPr>
          <w:bCs/>
          <w:iCs/>
          <w:szCs w:val="22"/>
        </w:rPr>
        <w:t xml:space="preserve"> </w:t>
      </w:r>
      <w:r w:rsidR="000B3D90" w:rsidRPr="001F3AFA">
        <w:rPr>
          <w:bCs/>
          <w:iCs/>
          <w:szCs w:val="22"/>
        </w:rPr>
        <w:t xml:space="preserve">θεραπεία με αναστολείς της μονοαμινοξειδάσης (MAO), ή σε διάστημα 14 ημερών από τη διακοπή της θεραπείας με </w:t>
      </w:r>
      <w:r w:rsidR="003B68EC">
        <w:rPr>
          <w:bCs/>
          <w:iCs/>
          <w:szCs w:val="22"/>
        </w:rPr>
        <w:t>ΜΑΟ</w:t>
      </w:r>
      <w:r w:rsidR="000B3D90" w:rsidRPr="001F3AFA">
        <w:rPr>
          <w:bCs/>
          <w:iCs/>
          <w:szCs w:val="22"/>
        </w:rPr>
        <w:t xml:space="preserve">. Αντίστοιχα, δεν </w:t>
      </w:r>
      <w:r w:rsidR="00062619">
        <w:rPr>
          <w:bCs/>
          <w:iCs/>
          <w:szCs w:val="22"/>
        </w:rPr>
        <w:t>πρέπει</w:t>
      </w:r>
      <w:r w:rsidR="000B3D90" w:rsidRPr="001F3AFA">
        <w:rPr>
          <w:bCs/>
          <w:iCs/>
          <w:szCs w:val="22"/>
        </w:rPr>
        <w:t xml:space="preserve"> να </w:t>
      </w:r>
      <w:r>
        <w:rPr>
          <w:bCs/>
          <w:iCs/>
          <w:szCs w:val="22"/>
        </w:rPr>
        <w:t xml:space="preserve">χορηγηθούν αναστολείς της </w:t>
      </w:r>
      <w:r w:rsidR="001C75ED">
        <w:rPr>
          <w:bCs/>
          <w:iCs/>
          <w:szCs w:val="22"/>
        </w:rPr>
        <w:t>ΜΑΟ</w:t>
      </w:r>
      <w:r w:rsidR="001C75ED" w:rsidRPr="001F3AFA">
        <w:rPr>
          <w:bCs/>
          <w:iCs/>
          <w:szCs w:val="22"/>
        </w:rPr>
        <w:t xml:space="preserve"> </w:t>
      </w:r>
      <w:r w:rsidR="000B3D90" w:rsidRPr="001F3AFA">
        <w:rPr>
          <w:bCs/>
          <w:iCs/>
          <w:szCs w:val="22"/>
        </w:rPr>
        <w:t>σε διάστημα 7 ημερών μετά από τη διακοπή του Priligy (βλέπε παράγραφο 4.5).</w:t>
      </w:r>
    </w:p>
    <w:p w:rsidR="000B3D90" w:rsidRPr="001F3AFA" w:rsidRDefault="000B3D90" w:rsidP="00DD10F5">
      <w:pPr>
        <w:rPr>
          <w:b/>
          <w:szCs w:val="22"/>
        </w:rPr>
      </w:pPr>
    </w:p>
    <w:p w:rsidR="000B3D90" w:rsidRPr="001F3AFA" w:rsidRDefault="00B649DD" w:rsidP="00DD10F5">
      <w:pPr>
        <w:rPr>
          <w:szCs w:val="22"/>
        </w:rPr>
      </w:pPr>
      <w:r>
        <w:rPr>
          <w:szCs w:val="22"/>
        </w:rPr>
        <w:t>Ταυτόχρονη</w:t>
      </w:r>
      <w:r w:rsidRPr="001F3AFA">
        <w:rPr>
          <w:szCs w:val="22"/>
        </w:rPr>
        <w:t xml:space="preserve"> </w:t>
      </w:r>
      <w:r w:rsidR="000B3D90" w:rsidRPr="001F3AFA">
        <w:rPr>
          <w:szCs w:val="22"/>
        </w:rPr>
        <w:t xml:space="preserve">θεραπεία με θειοριδαζίνη, ή εντός 14 ημερών από τη διακοπή της θεραπείας με θειοριδαζίνη. Αντίστοιχα, δεν </w:t>
      </w:r>
      <w:r w:rsidR="00062619">
        <w:rPr>
          <w:szCs w:val="22"/>
        </w:rPr>
        <w:t>πρέπει</w:t>
      </w:r>
      <w:r w:rsidR="000B3D90" w:rsidRPr="001F3AFA">
        <w:rPr>
          <w:szCs w:val="22"/>
        </w:rPr>
        <w:t xml:space="preserve"> να χορηγείται </w:t>
      </w:r>
      <w:r w:rsidRPr="001F3AFA">
        <w:rPr>
          <w:szCs w:val="22"/>
        </w:rPr>
        <w:t xml:space="preserve">θειοριδαζίνη </w:t>
      </w:r>
      <w:r w:rsidR="000B3D90" w:rsidRPr="001F3AFA">
        <w:rPr>
          <w:szCs w:val="22"/>
        </w:rPr>
        <w:t>σε διάστημα 7 ημερών μετά από τη διακοπή του Priligy (βλέπε παράγραφο 4.5).</w:t>
      </w:r>
    </w:p>
    <w:p w:rsidR="000B3D90" w:rsidRPr="001F3AFA" w:rsidRDefault="000B3D90" w:rsidP="00DD10F5">
      <w:pPr>
        <w:rPr>
          <w:szCs w:val="22"/>
        </w:rPr>
      </w:pPr>
    </w:p>
    <w:p w:rsidR="000B3D90" w:rsidRPr="001F3AFA" w:rsidRDefault="00B649DD" w:rsidP="00DD10F5">
      <w:pPr>
        <w:rPr>
          <w:szCs w:val="22"/>
        </w:rPr>
      </w:pPr>
      <w:r>
        <w:rPr>
          <w:szCs w:val="22"/>
        </w:rPr>
        <w:t>Ταυτόχρονη</w:t>
      </w:r>
      <w:r w:rsidRPr="001F3AFA">
        <w:rPr>
          <w:szCs w:val="22"/>
        </w:rPr>
        <w:t xml:space="preserve"> </w:t>
      </w:r>
      <w:r w:rsidR="000B3D90" w:rsidRPr="001F3AFA">
        <w:rPr>
          <w:szCs w:val="22"/>
        </w:rPr>
        <w:t>θεραπεία με αναστολείς της επαναπρόσληψης της σεροτονίνης [εκλεκτικοί αναστολείς της επαναπρόσληψης της σεροτονίνης (SSRI), αναστολείς της επαναπρόσληψης της σεροτονίνης-</w:t>
      </w:r>
      <w:r w:rsidR="00A2582D">
        <w:rPr>
          <w:szCs w:val="22"/>
        </w:rPr>
        <w:lastRenderedPageBreak/>
        <w:t>νοραδρεναλίνης</w:t>
      </w:r>
      <w:r w:rsidR="00A2582D" w:rsidRPr="001F3AFA">
        <w:rPr>
          <w:szCs w:val="22"/>
        </w:rPr>
        <w:t xml:space="preserve"> </w:t>
      </w:r>
      <w:r w:rsidR="000B3D90" w:rsidRPr="001F3AFA">
        <w:rPr>
          <w:szCs w:val="22"/>
        </w:rPr>
        <w:t>(SNRI), τρικυκλικά αντικαταθλιπτικά (T</w:t>
      </w:r>
      <w:r w:rsidR="00A2582D">
        <w:rPr>
          <w:szCs w:val="22"/>
        </w:rPr>
        <w:t>Κ</w:t>
      </w:r>
      <w:r w:rsidR="000B3D90" w:rsidRPr="001F3AFA">
        <w:rPr>
          <w:szCs w:val="22"/>
        </w:rPr>
        <w:t>A)] ή άλλ</w:t>
      </w:r>
      <w:r w:rsidR="00C232D1">
        <w:rPr>
          <w:szCs w:val="22"/>
        </w:rPr>
        <w:t>α φαρμακευτικά/φυτικά προϊόντα μ</w:t>
      </w:r>
      <w:r w:rsidR="000B3D90" w:rsidRPr="001F3AFA">
        <w:rPr>
          <w:szCs w:val="22"/>
        </w:rPr>
        <w:t>ε σεροτονεργική δράση [π.χ., L</w:t>
      </w:r>
      <w:r w:rsidR="000B3D90" w:rsidRPr="001F3AFA">
        <w:rPr>
          <w:szCs w:val="22"/>
        </w:rPr>
        <w:sym w:font="Symbol" w:char="F02D"/>
      </w:r>
      <w:r w:rsidR="000B3D90" w:rsidRPr="001F3AFA">
        <w:rPr>
          <w:szCs w:val="22"/>
        </w:rPr>
        <w:t xml:space="preserve">τρυπτοφάνη, τριπτάνες, τραμαδόλη, λινεζολίδη, λίθιο, </w:t>
      </w:r>
      <w:r w:rsidR="00DD10F5">
        <w:rPr>
          <w:szCs w:val="22"/>
        </w:rPr>
        <w:t>υπερικό/βαλσαμόχορτο</w:t>
      </w:r>
      <w:r w:rsidR="000B3D90" w:rsidRPr="001F3AFA">
        <w:rPr>
          <w:szCs w:val="22"/>
        </w:rPr>
        <w:t xml:space="preserve"> (</w:t>
      </w:r>
      <w:r w:rsidR="000B3D90" w:rsidRPr="001F3AFA">
        <w:rPr>
          <w:i/>
          <w:szCs w:val="22"/>
        </w:rPr>
        <w:t>Hypericum perforatum</w:t>
      </w:r>
      <w:r w:rsidR="000B3D90" w:rsidRPr="001F3AFA">
        <w:rPr>
          <w:szCs w:val="22"/>
        </w:rPr>
        <w:t xml:space="preserve">)] ή σε διάστημα 14 ημερών από τη διακοπή της θεραπείας με αυτά τα φαρμακευτικά/φυτικά προϊόντα. Αντίστοιχα, αυτά τα φαρμακευτικά/φυτικά προϊόντα δεν </w:t>
      </w:r>
      <w:r w:rsidR="00062619">
        <w:rPr>
          <w:szCs w:val="22"/>
        </w:rPr>
        <w:t>πρέπει</w:t>
      </w:r>
      <w:r w:rsidR="000B3D90" w:rsidRPr="001F3AFA">
        <w:rPr>
          <w:szCs w:val="22"/>
        </w:rPr>
        <w:t xml:space="preserve"> να χορηγούνται σε διάστημα 7 ημερών μετά από τη διακοπή του Priligy (βλέπε παράγραφο 4.5).</w:t>
      </w:r>
    </w:p>
    <w:p w:rsidR="000B3D90" w:rsidRPr="001F3AFA" w:rsidRDefault="000B3D90" w:rsidP="00DD10F5">
      <w:pPr>
        <w:rPr>
          <w:szCs w:val="22"/>
        </w:rPr>
      </w:pPr>
    </w:p>
    <w:p w:rsidR="000B3D90" w:rsidRPr="001F3AFA" w:rsidRDefault="000B3D90" w:rsidP="00DD10F5">
      <w:pPr>
        <w:rPr>
          <w:szCs w:val="22"/>
        </w:rPr>
      </w:pPr>
      <w:r w:rsidRPr="001F3AFA">
        <w:rPr>
          <w:szCs w:val="22"/>
        </w:rPr>
        <w:t>Παράλληλη θεραπεία με ισχυρούς αναστολείς του CYP3A4 όπως είναι η κετοκοναζόλη, η ιτρακοναζόλη, η ριτοναβίρη, η σακουιναβίρη, η τελιθρομυκίνη, η νεφαζαδόνη, η νελφιναβίρη, η αταζαναβίρη κ.λπ. (βλέπε παράγραφο 4.5).</w:t>
      </w:r>
    </w:p>
    <w:p w:rsidR="000B3D90" w:rsidRPr="001F3AFA" w:rsidRDefault="000B3D90" w:rsidP="00DD10F5">
      <w:pPr>
        <w:rPr>
          <w:szCs w:val="22"/>
        </w:rPr>
      </w:pPr>
    </w:p>
    <w:p w:rsidR="000B3D90" w:rsidRPr="001F3AFA" w:rsidRDefault="000B3D90" w:rsidP="00DD10F5">
      <w:pPr>
        <w:rPr>
          <w:szCs w:val="22"/>
        </w:rPr>
      </w:pPr>
      <w:r w:rsidRPr="001F3AFA">
        <w:rPr>
          <w:szCs w:val="22"/>
        </w:rPr>
        <w:t>Μέτρια και σοβαρή ηπατική δυσλειτουργία.</w:t>
      </w:r>
    </w:p>
    <w:p w:rsidR="00B86D1B" w:rsidRPr="001F3AFA" w:rsidRDefault="00B86D1B" w:rsidP="00DD10F5">
      <w:pPr>
        <w:rPr>
          <w:szCs w:val="22"/>
        </w:rPr>
      </w:pPr>
    </w:p>
    <w:p w:rsidR="00B86D1B" w:rsidRPr="0007023B" w:rsidRDefault="00B86D1B" w:rsidP="00DD10F5">
      <w:pPr>
        <w:rPr>
          <w:szCs w:val="22"/>
        </w:rPr>
      </w:pPr>
      <w:r w:rsidRPr="001F3AFA">
        <w:rPr>
          <w:b/>
          <w:szCs w:val="22"/>
        </w:rPr>
        <w:t>4.4</w:t>
      </w:r>
      <w:r w:rsidRPr="001F3AFA">
        <w:rPr>
          <w:b/>
          <w:szCs w:val="22"/>
        </w:rPr>
        <w:tab/>
        <w:t>Ειδικές προειδοποιήσεις και προφυλάξεις κατά τη χρήση</w:t>
      </w:r>
    </w:p>
    <w:p w:rsidR="000B3D90" w:rsidRPr="0007023B" w:rsidRDefault="000B3D90" w:rsidP="00DD10F5">
      <w:pPr>
        <w:rPr>
          <w:iCs/>
          <w:noProof/>
          <w:szCs w:val="22"/>
          <w:u w:val="single"/>
          <w:lang w:val="en-US"/>
        </w:rPr>
      </w:pPr>
      <w:r w:rsidRPr="00F51C5E">
        <w:rPr>
          <w:iCs/>
          <w:noProof/>
          <w:szCs w:val="22"/>
          <w:u w:val="single"/>
        </w:rPr>
        <w:t>Γενικές συστάσεις</w:t>
      </w:r>
    </w:p>
    <w:p w:rsidR="000B3D90" w:rsidRPr="001F3AFA" w:rsidRDefault="000B3D90" w:rsidP="00DD10F5">
      <w:pPr>
        <w:rPr>
          <w:iCs/>
          <w:noProof/>
          <w:szCs w:val="22"/>
        </w:rPr>
      </w:pPr>
      <w:r w:rsidRPr="001F3AFA">
        <w:rPr>
          <w:iCs/>
          <w:noProof/>
          <w:szCs w:val="22"/>
        </w:rPr>
        <w:t xml:space="preserve">Το Priligy ενδείκνυται μόνο για άνδρες με πρόωρη εκσπερμάτιση, οι οποίοι πληρούν όλα τα κριτήρια που αναφέρονται στις παραγράφους 4.1 και 5.1. </w:t>
      </w:r>
      <w:r w:rsidR="00DD10F5">
        <w:rPr>
          <w:iCs/>
          <w:noProof/>
          <w:szCs w:val="22"/>
        </w:rPr>
        <w:t xml:space="preserve">Το </w:t>
      </w:r>
      <w:r w:rsidR="00DD10F5">
        <w:rPr>
          <w:iCs/>
          <w:noProof/>
          <w:szCs w:val="22"/>
          <w:lang w:val="en-US"/>
        </w:rPr>
        <w:t>Priligy</w:t>
      </w:r>
      <w:r w:rsidR="00DD10F5" w:rsidRPr="00DD10F5">
        <w:rPr>
          <w:iCs/>
          <w:noProof/>
          <w:szCs w:val="22"/>
        </w:rPr>
        <w:t xml:space="preserve"> </w:t>
      </w:r>
      <w:r w:rsidR="00DD10F5">
        <w:rPr>
          <w:iCs/>
          <w:noProof/>
          <w:szCs w:val="22"/>
        </w:rPr>
        <w:t xml:space="preserve">δεν πρέπει να συνταγογραφείται σε άνδρες που δεν έχουν διαγνωστεί με πρόωρη εκσπερμάτιση. </w:t>
      </w:r>
      <w:r w:rsidRPr="001F3AFA">
        <w:rPr>
          <w:iCs/>
          <w:noProof/>
          <w:szCs w:val="22"/>
        </w:rPr>
        <w:t>Η ασφάλεια δεν έχει τεκμηριωθεί και δεν υπάρχουν δεδομένα για τη δράση επιβράδυνσης της εκσπερμάτισης σε ασθενείς χωρίς πρόωρη εκσπερμάτιση.</w:t>
      </w:r>
    </w:p>
    <w:p w:rsidR="000B3D90" w:rsidRPr="001F3AFA" w:rsidRDefault="000B3D90" w:rsidP="00DD10F5">
      <w:pPr>
        <w:rPr>
          <w:iCs/>
          <w:noProof/>
          <w:szCs w:val="22"/>
        </w:rPr>
      </w:pPr>
    </w:p>
    <w:p w:rsidR="000B3D90" w:rsidRPr="0007023B" w:rsidRDefault="000B3D90" w:rsidP="00DD10F5">
      <w:pPr>
        <w:rPr>
          <w:iCs/>
          <w:noProof/>
          <w:szCs w:val="22"/>
          <w:u w:val="single"/>
          <w:lang w:val="en-US"/>
        </w:rPr>
      </w:pPr>
      <w:r w:rsidRPr="00F51C5E">
        <w:rPr>
          <w:iCs/>
          <w:noProof/>
          <w:szCs w:val="22"/>
          <w:u w:val="single"/>
        </w:rPr>
        <w:t>Άλλες μορφές σεξουαλικής δυσλειτουργίας</w:t>
      </w:r>
    </w:p>
    <w:p w:rsidR="000B3D90" w:rsidRPr="001F3AFA" w:rsidRDefault="000B3D90" w:rsidP="00DD10F5">
      <w:pPr>
        <w:rPr>
          <w:iCs/>
          <w:noProof/>
          <w:szCs w:val="22"/>
        </w:rPr>
      </w:pPr>
      <w:r w:rsidRPr="001F3AFA">
        <w:rPr>
          <w:iCs/>
          <w:noProof/>
          <w:szCs w:val="22"/>
        </w:rPr>
        <w:t xml:space="preserve">Πριν από τη θεραπεία, τα άτομα με άλλες μορφές σεξουαλικής δυσλειτουργίας, συμπεριλαμβανομένης της στυτικής δυσλειτουργίας, </w:t>
      </w:r>
      <w:r w:rsidR="00062619">
        <w:rPr>
          <w:iCs/>
          <w:noProof/>
          <w:szCs w:val="22"/>
        </w:rPr>
        <w:t>πρέπει</w:t>
      </w:r>
      <w:r w:rsidRPr="001F3AFA">
        <w:rPr>
          <w:iCs/>
          <w:noProof/>
          <w:szCs w:val="22"/>
        </w:rPr>
        <w:t xml:space="preserve"> να εξετάζονται προσεκτικά από ιατρούς</w:t>
      </w:r>
      <w:r w:rsidR="00DD10F5">
        <w:rPr>
          <w:iCs/>
          <w:noProof/>
          <w:szCs w:val="22"/>
        </w:rPr>
        <w:t xml:space="preserve">. Το </w:t>
      </w:r>
      <w:r w:rsidR="00DD10F5">
        <w:rPr>
          <w:iCs/>
          <w:noProof/>
          <w:szCs w:val="22"/>
          <w:lang w:val="en-US"/>
        </w:rPr>
        <w:t>Priligy</w:t>
      </w:r>
      <w:r w:rsidR="00DD10F5" w:rsidRPr="00DD10F5">
        <w:rPr>
          <w:iCs/>
          <w:noProof/>
          <w:szCs w:val="22"/>
        </w:rPr>
        <w:t xml:space="preserve"> </w:t>
      </w:r>
      <w:r w:rsidR="00DD10F5">
        <w:rPr>
          <w:iCs/>
          <w:noProof/>
          <w:szCs w:val="22"/>
        </w:rPr>
        <w:t xml:space="preserve">δεν πρέπει να χρησιμοποιείται σε άνδρες με στυτική δυσλειτουργία που χρησιμοποιούν αναστολείς της </w:t>
      </w:r>
      <w:r w:rsidR="00DD10F5">
        <w:rPr>
          <w:iCs/>
          <w:noProof/>
          <w:szCs w:val="22"/>
          <w:lang w:val="en-US"/>
        </w:rPr>
        <w:t>PDE</w:t>
      </w:r>
      <w:r w:rsidR="00DD10F5" w:rsidRPr="00DD10F5">
        <w:rPr>
          <w:iCs/>
          <w:noProof/>
          <w:szCs w:val="22"/>
        </w:rPr>
        <w:t>5</w:t>
      </w:r>
      <w:r w:rsidRPr="001F3AFA">
        <w:rPr>
          <w:iCs/>
          <w:noProof/>
          <w:szCs w:val="22"/>
        </w:rPr>
        <w:t xml:space="preserve"> (βλέπε παράγραφο 4.5).</w:t>
      </w:r>
    </w:p>
    <w:p w:rsidR="000B3D90" w:rsidRPr="001F3AFA" w:rsidRDefault="000B3D90" w:rsidP="00DD10F5">
      <w:pPr>
        <w:rPr>
          <w:iCs/>
          <w:noProof/>
          <w:szCs w:val="22"/>
        </w:rPr>
      </w:pPr>
    </w:p>
    <w:p w:rsidR="002E63C6" w:rsidRPr="0007023B" w:rsidRDefault="000B3D90" w:rsidP="00DD10F5">
      <w:pPr>
        <w:rPr>
          <w:iCs/>
          <w:noProof/>
          <w:szCs w:val="22"/>
          <w:u w:val="single"/>
          <w:lang w:val="en-US"/>
        </w:rPr>
      </w:pPr>
      <w:r w:rsidRPr="00F51C5E">
        <w:rPr>
          <w:iCs/>
          <w:noProof/>
          <w:szCs w:val="22"/>
          <w:u w:val="single"/>
        </w:rPr>
        <w:t>Ορθοστατική υπόταση</w:t>
      </w:r>
    </w:p>
    <w:p w:rsidR="000B3D90" w:rsidRPr="0007023B" w:rsidRDefault="000B3D90" w:rsidP="00DD10F5">
      <w:pPr>
        <w:rPr>
          <w:iCs/>
          <w:noProof/>
          <w:szCs w:val="22"/>
        </w:rPr>
      </w:pPr>
      <w:r w:rsidRPr="001F3AFA">
        <w:rPr>
          <w:iCs/>
          <w:noProof/>
          <w:szCs w:val="22"/>
        </w:rPr>
        <w:t xml:space="preserve">Πριν από την έναρξη της θεραπείας, </w:t>
      </w:r>
      <w:r w:rsidR="00062619">
        <w:rPr>
          <w:iCs/>
          <w:noProof/>
          <w:szCs w:val="22"/>
        </w:rPr>
        <w:t>πρέπει</w:t>
      </w:r>
      <w:r w:rsidRPr="001F3AFA">
        <w:rPr>
          <w:iCs/>
          <w:noProof/>
          <w:szCs w:val="22"/>
        </w:rPr>
        <w:t xml:space="preserve"> να πραγματοποι</w:t>
      </w:r>
      <w:r w:rsidR="00E329C3">
        <w:rPr>
          <w:iCs/>
          <w:noProof/>
          <w:szCs w:val="22"/>
        </w:rPr>
        <w:t>ηθεί</w:t>
      </w:r>
      <w:r w:rsidRPr="001F3AFA">
        <w:rPr>
          <w:iCs/>
          <w:noProof/>
          <w:szCs w:val="22"/>
        </w:rPr>
        <w:t xml:space="preserve"> προσεκτική εξέταση</w:t>
      </w:r>
      <w:r w:rsidR="00326770">
        <w:rPr>
          <w:iCs/>
          <w:noProof/>
          <w:szCs w:val="22"/>
        </w:rPr>
        <w:t xml:space="preserve"> από το</w:t>
      </w:r>
      <w:r w:rsidR="002A169A">
        <w:rPr>
          <w:iCs/>
          <w:noProof/>
          <w:szCs w:val="22"/>
        </w:rPr>
        <w:t>ν</w:t>
      </w:r>
      <w:r w:rsidR="00326770">
        <w:rPr>
          <w:iCs/>
          <w:noProof/>
          <w:szCs w:val="22"/>
        </w:rPr>
        <w:t xml:space="preserve"> ιατρό</w:t>
      </w:r>
      <w:r w:rsidRPr="001F3AFA">
        <w:rPr>
          <w:iCs/>
          <w:noProof/>
          <w:szCs w:val="22"/>
        </w:rPr>
        <w:t xml:space="preserve">, συμπεριλαμβανομένης της λήψης ιστορικού </w:t>
      </w:r>
      <w:r w:rsidR="00326770">
        <w:rPr>
          <w:iCs/>
          <w:noProof/>
          <w:szCs w:val="22"/>
        </w:rPr>
        <w:t xml:space="preserve">ορθοστατικών </w:t>
      </w:r>
      <w:r w:rsidR="0015170D">
        <w:rPr>
          <w:iCs/>
          <w:noProof/>
          <w:szCs w:val="22"/>
        </w:rPr>
        <w:t>επεισοδίων</w:t>
      </w:r>
      <w:r w:rsidRPr="001F3AFA">
        <w:rPr>
          <w:iCs/>
          <w:noProof/>
          <w:szCs w:val="22"/>
        </w:rPr>
        <w:t xml:space="preserve">. </w:t>
      </w:r>
      <w:r w:rsidR="00062619">
        <w:rPr>
          <w:iCs/>
          <w:noProof/>
          <w:szCs w:val="22"/>
        </w:rPr>
        <w:t>Πρέπει</w:t>
      </w:r>
      <w:r w:rsidRPr="001F3AFA">
        <w:rPr>
          <w:iCs/>
          <w:noProof/>
          <w:szCs w:val="22"/>
        </w:rPr>
        <w:t xml:space="preserve"> να </w:t>
      </w:r>
      <w:r w:rsidR="00E329C3" w:rsidRPr="001F3AFA">
        <w:rPr>
          <w:iCs/>
          <w:noProof/>
          <w:szCs w:val="22"/>
        </w:rPr>
        <w:t>πραγματοποι</w:t>
      </w:r>
      <w:r w:rsidR="00E329C3">
        <w:rPr>
          <w:iCs/>
          <w:noProof/>
          <w:szCs w:val="22"/>
        </w:rPr>
        <w:t>ηθεί</w:t>
      </w:r>
      <w:r w:rsidR="00E329C3" w:rsidRPr="001F3AFA">
        <w:rPr>
          <w:iCs/>
          <w:noProof/>
          <w:szCs w:val="22"/>
        </w:rPr>
        <w:t xml:space="preserve"> </w:t>
      </w:r>
      <w:r w:rsidR="00326770">
        <w:rPr>
          <w:iCs/>
          <w:noProof/>
          <w:szCs w:val="22"/>
        </w:rPr>
        <w:t>ορθοστατική δοκιμασία</w:t>
      </w:r>
      <w:r w:rsidRPr="001F3AFA">
        <w:rPr>
          <w:iCs/>
          <w:noProof/>
          <w:szCs w:val="22"/>
        </w:rPr>
        <w:t xml:space="preserve"> πριν από την έναρξη της θεραπείας (αρτηριακή πίεση και καρδιακή συχνότητα σε ύπτια και όρθια θέση). Σε περίπτωση ιστορικού τεκμηριωμένης ή πιθανολογούμενης </w:t>
      </w:r>
      <w:r w:rsidR="002A169A" w:rsidRPr="001F3AFA">
        <w:rPr>
          <w:iCs/>
          <w:noProof/>
          <w:szCs w:val="22"/>
        </w:rPr>
        <w:t xml:space="preserve">ορθοστατικής </w:t>
      </w:r>
      <w:r w:rsidRPr="001F3AFA">
        <w:rPr>
          <w:iCs/>
          <w:noProof/>
          <w:szCs w:val="22"/>
        </w:rPr>
        <w:t xml:space="preserve">αντίδρασης, </w:t>
      </w:r>
      <w:r w:rsidR="002A169A">
        <w:rPr>
          <w:iCs/>
          <w:noProof/>
          <w:szCs w:val="22"/>
        </w:rPr>
        <w:t>πρέπει</w:t>
      </w:r>
      <w:r w:rsidR="002A169A" w:rsidRPr="001F3AFA">
        <w:rPr>
          <w:iCs/>
          <w:noProof/>
          <w:szCs w:val="22"/>
        </w:rPr>
        <w:t xml:space="preserve"> να </w:t>
      </w:r>
      <w:r w:rsidR="002A169A">
        <w:rPr>
          <w:iCs/>
          <w:noProof/>
          <w:szCs w:val="22"/>
        </w:rPr>
        <w:t xml:space="preserve">αποφεύγεται </w:t>
      </w:r>
      <w:r w:rsidRPr="001F3AFA">
        <w:rPr>
          <w:iCs/>
          <w:noProof/>
          <w:szCs w:val="22"/>
        </w:rPr>
        <w:t>η θεραπεία με το Priligy.</w:t>
      </w:r>
    </w:p>
    <w:p w:rsidR="000B3D90" w:rsidRPr="001F3AFA" w:rsidRDefault="000B3D90" w:rsidP="00DD10F5">
      <w:pPr>
        <w:rPr>
          <w:iCs/>
          <w:noProof/>
          <w:szCs w:val="22"/>
        </w:rPr>
      </w:pPr>
      <w:r w:rsidRPr="001F3AFA">
        <w:rPr>
          <w:iCs/>
          <w:noProof/>
          <w:szCs w:val="22"/>
        </w:rPr>
        <w:t>Ορθοστατική υπόταση έχει αναφερθεί σε κλινικές δοκιμές. Ο συνταγογρ</w:t>
      </w:r>
      <w:r w:rsidR="00E329C3">
        <w:rPr>
          <w:iCs/>
          <w:noProof/>
          <w:szCs w:val="22"/>
        </w:rPr>
        <w:t>ά</w:t>
      </w:r>
      <w:r w:rsidRPr="001F3AFA">
        <w:rPr>
          <w:iCs/>
          <w:noProof/>
          <w:szCs w:val="22"/>
        </w:rPr>
        <w:t>φ</w:t>
      </w:r>
      <w:r w:rsidR="00E329C3">
        <w:rPr>
          <w:iCs/>
          <w:noProof/>
          <w:szCs w:val="22"/>
        </w:rPr>
        <w:t>ω</w:t>
      </w:r>
      <w:r w:rsidRPr="001F3AFA">
        <w:rPr>
          <w:iCs/>
          <w:noProof/>
          <w:szCs w:val="22"/>
        </w:rPr>
        <w:t xml:space="preserve">ν ιατρός </w:t>
      </w:r>
      <w:r w:rsidR="00062619">
        <w:rPr>
          <w:iCs/>
          <w:noProof/>
          <w:szCs w:val="22"/>
        </w:rPr>
        <w:t>πρέπει</w:t>
      </w:r>
      <w:r w:rsidRPr="001F3AFA">
        <w:rPr>
          <w:iCs/>
          <w:noProof/>
          <w:szCs w:val="22"/>
        </w:rPr>
        <w:t xml:space="preserve"> να συμβουλεύσει ε</w:t>
      </w:r>
      <w:r w:rsidR="002E63C6">
        <w:rPr>
          <w:iCs/>
          <w:noProof/>
          <w:szCs w:val="22"/>
        </w:rPr>
        <w:t>κ των προτέρων τον ασθενή ότι, εάν</w:t>
      </w:r>
      <w:r w:rsidRPr="001F3AFA">
        <w:rPr>
          <w:iCs/>
          <w:noProof/>
          <w:szCs w:val="22"/>
        </w:rPr>
        <w:t xml:space="preserve"> εμφανίσει πιθαν</w:t>
      </w:r>
      <w:r w:rsidR="002A169A">
        <w:rPr>
          <w:iCs/>
          <w:noProof/>
          <w:szCs w:val="22"/>
        </w:rPr>
        <w:t>ά</w:t>
      </w:r>
      <w:r w:rsidRPr="001F3AFA">
        <w:rPr>
          <w:iCs/>
          <w:noProof/>
          <w:szCs w:val="22"/>
        </w:rPr>
        <w:t xml:space="preserve"> πρόδρομα συμπτώματα, όπως είναι η ελαφριά ζάλη αμέσως μόλις σηκωθεί, </w:t>
      </w:r>
      <w:r w:rsidR="00062619">
        <w:rPr>
          <w:iCs/>
          <w:noProof/>
          <w:szCs w:val="22"/>
        </w:rPr>
        <w:t>πρέπει</w:t>
      </w:r>
      <w:r w:rsidRPr="001F3AFA">
        <w:rPr>
          <w:iCs/>
          <w:noProof/>
          <w:szCs w:val="22"/>
        </w:rPr>
        <w:t xml:space="preserve"> να ξαπλώσει αμέσως σε θέση </w:t>
      </w:r>
      <w:r w:rsidR="002E63C6">
        <w:rPr>
          <w:iCs/>
          <w:noProof/>
          <w:szCs w:val="22"/>
        </w:rPr>
        <w:t xml:space="preserve">όπου </w:t>
      </w:r>
      <w:r w:rsidRPr="001F3AFA">
        <w:rPr>
          <w:iCs/>
          <w:noProof/>
          <w:szCs w:val="22"/>
        </w:rPr>
        <w:t xml:space="preserve">το κεφάλι του </w:t>
      </w:r>
      <w:r w:rsidR="002E63C6">
        <w:rPr>
          <w:iCs/>
          <w:noProof/>
          <w:szCs w:val="22"/>
        </w:rPr>
        <w:t xml:space="preserve">θα </w:t>
      </w:r>
      <w:r w:rsidRPr="001F3AFA">
        <w:rPr>
          <w:iCs/>
          <w:noProof/>
          <w:szCs w:val="22"/>
        </w:rPr>
        <w:t xml:space="preserve">βρίσκεται σε χαμηλότερο σημείο από το υπόλοιπο σώμα του ή </w:t>
      </w:r>
      <w:r w:rsidR="00062619">
        <w:rPr>
          <w:iCs/>
          <w:noProof/>
          <w:szCs w:val="22"/>
        </w:rPr>
        <w:t>πρέπει</w:t>
      </w:r>
      <w:r w:rsidRPr="001F3AFA">
        <w:rPr>
          <w:iCs/>
          <w:noProof/>
          <w:szCs w:val="22"/>
        </w:rPr>
        <w:t xml:space="preserve"> να καθίσει τοποθετώντας το κεφάλι του ανάμεσα στα γόνατά του μέχρι να υποχωρήσουν τα συμπτώματα. Ο συνταγογρ</w:t>
      </w:r>
      <w:r w:rsidR="002E63C6">
        <w:rPr>
          <w:iCs/>
          <w:noProof/>
          <w:szCs w:val="22"/>
        </w:rPr>
        <w:t>άφων</w:t>
      </w:r>
      <w:r w:rsidRPr="001F3AFA">
        <w:rPr>
          <w:iCs/>
          <w:noProof/>
          <w:szCs w:val="22"/>
        </w:rPr>
        <w:t xml:space="preserve"> ιατρ</w:t>
      </w:r>
      <w:r w:rsidR="002E63C6">
        <w:rPr>
          <w:iCs/>
          <w:noProof/>
          <w:szCs w:val="22"/>
        </w:rPr>
        <w:t>ός</w:t>
      </w:r>
      <w:r w:rsidRPr="001F3AFA">
        <w:rPr>
          <w:iCs/>
          <w:noProof/>
          <w:szCs w:val="22"/>
        </w:rPr>
        <w:t xml:space="preserve"> </w:t>
      </w:r>
      <w:r w:rsidR="00062619">
        <w:rPr>
          <w:iCs/>
          <w:noProof/>
          <w:szCs w:val="22"/>
        </w:rPr>
        <w:t>πρέπει</w:t>
      </w:r>
      <w:r w:rsidRPr="001F3AFA">
        <w:rPr>
          <w:iCs/>
          <w:noProof/>
          <w:szCs w:val="22"/>
        </w:rPr>
        <w:t xml:space="preserve">, επίσης, να ενημερώσει τον ασθενή ότι δεν </w:t>
      </w:r>
      <w:r w:rsidR="00062619">
        <w:rPr>
          <w:iCs/>
          <w:noProof/>
          <w:szCs w:val="22"/>
        </w:rPr>
        <w:t>πρέπει</w:t>
      </w:r>
      <w:r w:rsidRPr="001F3AFA">
        <w:rPr>
          <w:iCs/>
          <w:noProof/>
          <w:szCs w:val="22"/>
        </w:rPr>
        <w:t xml:space="preserve"> να σηκωθεί απότομα μετά από παρατεταμένη παραμονή σε ύπτια ή καθιστή θέση.</w:t>
      </w:r>
    </w:p>
    <w:p w:rsidR="000B3D90" w:rsidRPr="001F3AFA" w:rsidRDefault="000B3D90" w:rsidP="00DD10F5">
      <w:pPr>
        <w:rPr>
          <w:iCs/>
          <w:noProof/>
          <w:szCs w:val="22"/>
        </w:rPr>
      </w:pPr>
    </w:p>
    <w:p w:rsidR="000B3D90" w:rsidRPr="0007023B" w:rsidRDefault="000B3D90" w:rsidP="00DD10F5">
      <w:pPr>
        <w:rPr>
          <w:iCs/>
          <w:noProof/>
          <w:szCs w:val="22"/>
          <w:u w:val="single"/>
          <w:lang w:val="en-US"/>
        </w:rPr>
      </w:pPr>
      <w:r w:rsidRPr="00F51C5E">
        <w:rPr>
          <w:iCs/>
          <w:noProof/>
          <w:szCs w:val="22"/>
          <w:u w:val="single"/>
        </w:rPr>
        <w:t>Αυτοκτονία/αυτοκτονικές σκέψεις</w:t>
      </w:r>
    </w:p>
    <w:p w:rsidR="000B3D90" w:rsidRPr="001F3AFA" w:rsidRDefault="000B3D90" w:rsidP="00DD10F5">
      <w:pPr>
        <w:rPr>
          <w:iCs/>
          <w:noProof/>
          <w:szCs w:val="22"/>
        </w:rPr>
      </w:pPr>
      <w:r w:rsidRPr="001F3AFA">
        <w:rPr>
          <w:iCs/>
          <w:noProof/>
          <w:szCs w:val="22"/>
        </w:rPr>
        <w:t xml:space="preserve">Τα αντικαταθλιπτικά, συμπεριλαμβανομένων των SSRI, αύξησαν τον κίνδυνο αυτοκτονικών σκέψεων και αυτοκτονικών τάσεων συγκριτικά με το εικονικό φάρμακο σε βραχυχρόνιες μελέτες σε παιδιά και ενήλικες με μείζονα καταθλιπτική διαταραχή και </w:t>
      </w:r>
      <w:r w:rsidR="00D13957">
        <w:rPr>
          <w:iCs/>
          <w:noProof/>
          <w:szCs w:val="22"/>
        </w:rPr>
        <w:t>άλλες</w:t>
      </w:r>
      <w:r w:rsidR="00D13957" w:rsidRPr="001F3AFA">
        <w:rPr>
          <w:iCs/>
          <w:noProof/>
          <w:szCs w:val="22"/>
        </w:rPr>
        <w:t xml:space="preserve"> </w:t>
      </w:r>
      <w:r w:rsidRPr="001F3AFA">
        <w:rPr>
          <w:iCs/>
          <w:noProof/>
          <w:szCs w:val="22"/>
        </w:rPr>
        <w:t xml:space="preserve">ψυχιατρικές διαταραχές. Οι βραχυχρόνιες μελέτες δεν έδειξαν αύξηση στον κίνδυνο των αυτοκτονικών τάσεων με τα αντικαταθλιπτικά συγκριτικά με το εικονικό φάρμακο σε ενήλικες ηλικίας άνω των 24 ετών. Στις κλινικές δοκιμές του Priligy για τη θεραπεία της πρόωρης εκσπερμάτισης, δεν υπήρξαν σαφείς ενδείξεις αυτοκτονικών τάσεων λόγω της θεραπείας κατά την αξιολόγηση των πιθανώς σχετιζόμενων με την αυτοκτονία ανεπιθύμητων </w:t>
      </w:r>
      <w:r w:rsidR="0015170D">
        <w:rPr>
          <w:iCs/>
          <w:noProof/>
          <w:szCs w:val="22"/>
        </w:rPr>
        <w:t>ενεργειών</w:t>
      </w:r>
      <w:r w:rsidRPr="001F3AFA">
        <w:rPr>
          <w:iCs/>
          <w:noProof/>
          <w:szCs w:val="22"/>
        </w:rPr>
        <w:t xml:space="preserve"> που αξιολογήθηκαν </w:t>
      </w:r>
      <w:r w:rsidR="002E63C6">
        <w:rPr>
          <w:iCs/>
          <w:noProof/>
          <w:szCs w:val="22"/>
        </w:rPr>
        <w:t>σύμφωνα με τον</w:t>
      </w:r>
      <w:r w:rsidRPr="001F3AFA">
        <w:rPr>
          <w:iCs/>
          <w:noProof/>
          <w:szCs w:val="22"/>
        </w:rPr>
        <w:t xml:space="preserve"> Αλγόριθμο Ταξινόμησης της Εκτίμησης για Αυτοκτονία του Columbia (C-CASA), την Κλίμακα Βαθμολόγησης της Κατάθλιψης Montgomery-Asberg ή το Ερωτηματολόγιο του Beck για την κατάθλιψη-ΙΙ.</w:t>
      </w:r>
    </w:p>
    <w:p w:rsidR="000B3D90" w:rsidRPr="001F3AFA" w:rsidRDefault="000B3D90" w:rsidP="00DD10F5">
      <w:pPr>
        <w:rPr>
          <w:iCs/>
          <w:noProof/>
          <w:szCs w:val="22"/>
        </w:rPr>
      </w:pPr>
    </w:p>
    <w:p w:rsidR="000B3D90" w:rsidRPr="0007023B" w:rsidRDefault="000B3D90" w:rsidP="00DD10F5">
      <w:pPr>
        <w:rPr>
          <w:iCs/>
          <w:noProof/>
          <w:szCs w:val="22"/>
          <w:u w:val="single"/>
        </w:rPr>
      </w:pPr>
      <w:r w:rsidRPr="00F51C5E">
        <w:rPr>
          <w:iCs/>
          <w:noProof/>
          <w:szCs w:val="22"/>
          <w:u w:val="single"/>
        </w:rPr>
        <w:t>Συγκοπή</w:t>
      </w:r>
    </w:p>
    <w:p w:rsidR="000B3D90" w:rsidRPr="0007023B" w:rsidRDefault="000B3D90" w:rsidP="00DD10F5">
      <w:pPr>
        <w:rPr>
          <w:iCs/>
          <w:noProof/>
          <w:szCs w:val="22"/>
        </w:rPr>
      </w:pPr>
      <w:r w:rsidRPr="001F3AFA">
        <w:rPr>
          <w:iCs/>
          <w:noProof/>
          <w:szCs w:val="22"/>
        </w:rPr>
        <w:t xml:space="preserve">Οι ασθενείς </w:t>
      </w:r>
      <w:r w:rsidR="00062619">
        <w:rPr>
          <w:iCs/>
          <w:noProof/>
          <w:szCs w:val="22"/>
        </w:rPr>
        <w:t>πρέπει</w:t>
      </w:r>
      <w:r w:rsidRPr="001F3AFA">
        <w:rPr>
          <w:iCs/>
          <w:noProof/>
          <w:szCs w:val="22"/>
        </w:rPr>
        <w:t xml:space="preserve"> να </w:t>
      </w:r>
      <w:r w:rsidR="00D13957">
        <w:rPr>
          <w:iCs/>
          <w:noProof/>
          <w:szCs w:val="22"/>
        </w:rPr>
        <w:t>προειδοποιούνται</w:t>
      </w:r>
      <w:r w:rsidR="00D13957" w:rsidRPr="001F3AFA">
        <w:rPr>
          <w:iCs/>
          <w:noProof/>
          <w:szCs w:val="22"/>
        </w:rPr>
        <w:t xml:space="preserve"> </w:t>
      </w:r>
      <w:r w:rsidRPr="001F3AFA">
        <w:rPr>
          <w:iCs/>
          <w:noProof/>
          <w:szCs w:val="22"/>
        </w:rPr>
        <w:t xml:space="preserve">ώστε να αποφύγουν καταστάσεις, οι οποίες θα μπορούσαν να οδηγήσουν σε τραυματισμό, συμπεριλαμβανομένης της οδήγησης ή του χειρισμού επικίνδυνων </w:t>
      </w:r>
      <w:r w:rsidR="00124AA1">
        <w:rPr>
          <w:iCs/>
          <w:noProof/>
          <w:szCs w:val="22"/>
        </w:rPr>
        <w:t>μηχανημάτων</w:t>
      </w:r>
      <w:r w:rsidRPr="001F3AFA">
        <w:rPr>
          <w:iCs/>
          <w:noProof/>
          <w:szCs w:val="22"/>
        </w:rPr>
        <w:t xml:space="preserve"> σε περίπτωση </w:t>
      </w:r>
      <w:r w:rsidR="000007CA">
        <w:rPr>
          <w:iCs/>
          <w:noProof/>
          <w:szCs w:val="22"/>
        </w:rPr>
        <w:t xml:space="preserve">εμφάνισης </w:t>
      </w:r>
      <w:r w:rsidRPr="001F3AFA">
        <w:rPr>
          <w:iCs/>
          <w:noProof/>
          <w:szCs w:val="22"/>
        </w:rPr>
        <w:t xml:space="preserve">συγκοπής ή </w:t>
      </w:r>
      <w:r w:rsidR="000007CA">
        <w:rPr>
          <w:iCs/>
          <w:noProof/>
          <w:szCs w:val="22"/>
        </w:rPr>
        <w:t xml:space="preserve">των </w:t>
      </w:r>
      <w:r w:rsidRPr="001F3AFA">
        <w:rPr>
          <w:iCs/>
          <w:noProof/>
          <w:szCs w:val="22"/>
        </w:rPr>
        <w:t xml:space="preserve">πρόδρομων συμπτωμάτων </w:t>
      </w:r>
      <w:r w:rsidR="000007CA">
        <w:rPr>
          <w:iCs/>
          <w:noProof/>
          <w:szCs w:val="22"/>
        </w:rPr>
        <w:t>της συγκοπής</w:t>
      </w:r>
      <w:r w:rsidRPr="001F3AFA">
        <w:rPr>
          <w:iCs/>
          <w:noProof/>
          <w:szCs w:val="22"/>
        </w:rPr>
        <w:t xml:space="preserve">, </w:t>
      </w:r>
      <w:r w:rsidRPr="001F3AFA">
        <w:rPr>
          <w:iCs/>
          <w:noProof/>
          <w:szCs w:val="22"/>
        </w:rPr>
        <w:lastRenderedPageBreak/>
        <w:t>όπως είναι η ζάλη ή η ελαφριά ζάλη (βλέπε παράγραφο 4.8).</w:t>
      </w:r>
    </w:p>
    <w:p w:rsidR="000B3D90" w:rsidRPr="0007023B" w:rsidRDefault="000B3D90" w:rsidP="00DD10F5">
      <w:pPr>
        <w:rPr>
          <w:iCs/>
          <w:noProof/>
          <w:szCs w:val="22"/>
        </w:rPr>
      </w:pPr>
      <w:r w:rsidRPr="001F3AFA">
        <w:rPr>
          <w:iCs/>
          <w:noProof/>
          <w:szCs w:val="22"/>
        </w:rPr>
        <w:t>Πιθαν</w:t>
      </w:r>
      <w:r w:rsidR="000007CA">
        <w:rPr>
          <w:iCs/>
          <w:noProof/>
          <w:szCs w:val="22"/>
        </w:rPr>
        <w:t>ά</w:t>
      </w:r>
      <w:r w:rsidRPr="001F3AFA">
        <w:rPr>
          <w:iCs/>
          <w:noProof/>
          <w:szCs w:val="22"/>
        </w:rPr>
        <w:t xml:space="preserve"> πρόδρομα συμπτώματα όπως είναι η ναυτία, η ζάλη/ελαφριά ζάλη και η </w:t>
      </w:r>
      <w:r w:rsidR="000007CA">
        <w:rPr>
          <w:iCs/>
          <w:noProof/>
          <w:szCs w:val="22"/>
        </w:rPr>
        <w:t xml:space="preserve">έντονη </w:t>
      </w:r>
      <w:r w:rsidRPr="001F3AFA">
        <w:rPr>
          <w:iCs/>
          <w:noProof/>
          <w:szCs w:val="22"/>
        </w:rPr>
        <w:t>εφίδρωση αναφέρθηκαν συχνότερα μεταξύ των ασθενών που ακολούθησαν θεραπεία με Priligy συγκριτικά με το εικονικό φάρμακο.</w:t>
      </w:r>
    </w:p>
    <w:p w:rsidR="000B3D90" w:rsidRPr="001F3AFA" w:rsidRDefault="002F2C47" w:rsidP="00DD10F5">
      <w:pPr>
        <w:rPr>
          <w:iCs/>
          <w:noProof/>
          <w:szCs w:val="22"/>
        </w:rPr>
      </w:pPr>
      <w:r>
        <w:rPr>
          <w:iCs/>
          <w:noProof/>
          <w:szCs w:val="22"/>
        </w:rPr>
        <w:t>Στις κλινικές δοκιμές, τ</w:t>
      </w:r>
      <w:r w:rsidR="000B3D90" w:rsidRPr="001F3AFA">
        <w:rPr>
          <w:iCs/>
          <w:noProof/>
          <w:szCs w:val="22"/>
        </w:rPr>
        <w:t>α περιστατικά συγκοπής που χαρακτηρίζονται ως απώλεια της συνείδησης</w:t>
      </w:r>
      <w:r>
        <w:rPr>
          <w:iCs/>
          <w:noProof/>
          <w:szCs w:val="22"/>
        </w:rPr>
        <w:t xml:space="preserve"> με βραδυκαρδία ή φλεβοκομβική ανακοπή πο υπαρατηρήθηκαν σε ασθενείς που έφεραν καταγραφείς </w:t>
      </w:r>
      <w:r>
        <w:rPr>
          <w:iCs/>
          <w:noProof/>
          <w:szCs w:val="22"/>
          <w:lang w:val="en-US"/>
        </w:rPr>
        <w:t>Holter</w:t>
      </w:r>
      <w:r>
        <w:rPr>
          <w:iCs/>
          <w:noProof/>
          <w:szCs w:val="22"/>
        </w:rPr>
        <w:t xml:space="preserve">, </w:t>
      </w:r>
      <w:r w:rsidR="000B3D90" w:rsidRPr="001F3AFA">
        <w:rPr>
          <w:iCs/>
          <w:noProof/>
          <w:szCs w:val="22"/>
        </w:rPr>
        <w:t xml:space="preserve">θεωρήθηκαν </w:t>
      </w:r>
      <w:r w:rsidR="007814C8">
        <w:rPr>
          <w:iCs/>
          <w:noProof/>
          <w:szCs w:val="22"/>
        </w:rPr>
        <w:t>αγγειοπνευμονογαστρική</w:t>
      </w:r>
      <w:r w:rsidR="000B3D90" w:rsidRPr="001F3AFA">
        <w:rPr>
          <w:iCs/>
          <w:noProof/>
          <w:szCs w:val="22"/>
        </w:rPr>
        <w:t xml:space="preserve">ς αιτιολογίας και η πλειοψηφία τους εμφανίστηκε κατά τη διάρκεια των πρώτων 3 ωρών μετά από τη χορήγηση της δόσης, μετά από την πρώτη δόση ή σχετίζονταν με διαδικασίες της μελέτης σε κλινικές συνθήκες (όπως είναι η λήψη αίματος και </w:t>
      </w:r>
      <w:r w:rsidR="005F7321">
        <w:rPr>
          <w:iCs/>
          <w:noProof/>
          <w:szCs w:val="22"/>
        </w:rPr>
        <w:t>οι ορθοστατικοί χειρισμοί</w:t>
      </w:r>
      <w:r w:rsidR="000B3D90" w:rsidRPr="001F3AFA">
        <w:rPr>
          <w:iCs/>
          <w:noProof/>
          <w:szCs w:val="22"/>
        </w:rPr>
        <w:t xml:space="preserve"> και οι μετρήσεις της αρτηριακής πίεσης). Πιθαν</w:t>
      </w:r>
      <w:r w:rsidR="005F7321">
        <w:rPr>
          <w:iCs/>
          <w:noProof/>
          <w:szCs w:val="22"/>
        </w:rPr>
        <w:t>ά</w:t>
      </w:r>
      <w:r w:rsidR="000B3D90" w:rsidRPr="001F3AFA">
        <w:rPr>
          <w:iCs/>
          <w:noProof/>
          <w:szCs w:val="22"/>
        </w:rPr>
        <w:t xml:space="preserve"> πρόδρομα συμπτώματα, όπως είναι η ναυτία, η ζάλη, η ελαφριά ζάλη, το αίσθημα παλμών, η εξασθένιση, η σύγχυση και η </w:t>
      </w:r>
      <w:r w:rsidR="005F7321">
        <w:rPr>
          <w:iCs/>
          <w:noProof/>
          <w:szCs w:val="22"/>
        </w:rPr>
        <w:t xml:space="preserve">έντονη </w:t>
      </w:r>
      <w:r w:rsidR="000B3D90" w:rsidRPr="001F3AFA">
        <w:rPr>
          <w:iCs/>
          <w:noProof/>
          <w:szCs w:val="22"/>
        </w:rPr>
        <w:t xml:space="preserve">εφίδρωση σε γενικές γραμμές εμφανίστηκαν στο διάστημα των πρώτων 3 ωρών μετά από τη δόση και συχνά προηγούνταν της συγκοπής. Οι ασθενείς </w:t>
      </w:r>
      <w:r w:rsidR="00062619">
        <w:rPr>
          <w:iCs/>
          <w:noProof/>
          <w:szCs w:val="22"/>
        </w:rPr>
        <w:t>πρέπει</w:t>
      </w:r>
      <w:r w:rsidR="000B3D90" w:rsidRPr="001F3AFA">
        <w:rPr>
          <w:iCs/>
          <w:noProof/>
          <w:szCs w:val="22"/>
        </w:rPr>
        <w:t xml:space="preserve"> να </w:t>
      </w:r>
      <w:r w:rsidR="002E63C6">
        <w:rPr>
          <w:iCs/>
          <w:noProof/>
          <w:szCs w:val="22"/>
        </w:rPr>
        <w:t xml:space="preserve">έχουν </w:t>
      </w:r>
      <w:r w:rsidR="00472831">
        <w:rPr>
          <w:iCs/>
          <w:noProof/>
          <w:szCs w:val="22"/>
        </w:rPr>
        <w:t xml:space="preserve">ενημερωθεί ότι μπορεί να εμφανίσουν </w:t>
      </w:r>
      <w:r w:rsidR="000B3D90" w:rsidRPr="001F3AFA">
        <w:rPr>
          <w:iCs/>
          <w:noProof/>
          <w:szCs w:val="22"/>
        </w:rPr>
        <w:t>συγκοπή</w:t>
      </w:r>
      <w:r w:rsidR="00472831">
        <w:rPr>
          <w:iCs/>
          <w:noProof/>
          <w:szCs w:val="22"/>
        </w:rPr>
        <w:t xml:space="preserve"> </w:t>
      </w:r>
      <w:r w:rsidR="000B3D90" w:rsidRPr="001F3AFA">
        <w:rPr>
          <w:iCs/>
          <w:noProof/>
          <w:szCs w:val="22"/>
        </w:rPr>
        <w:t>οποιαδήποτε στιγμή</w:t>
      </w:r>
      <w:r w:rsidR="002E63C6">
        <w:rPr>
          <w:iCs/>
          <w:noProof/>
          <w:szCs w:val="22"/>
        </w:rPr>
        <w:t>,</w:t>
      </w:r>
      <w:r w:rsidR="000B3D90" w:rsidRPr="001F3AFA">
        <w:rPr>
          <w:iCs/>
          <w:noProof/>
          <w:szCs w:val="22"/>
        </w:rPr>
        <w:t xml:space="preserve"> με ή χωρίς πρόδρομα συμπτώματα κατά τη διάρκεια της θεραπείας </w:t>
      </w:r>
      <w:r w:rsidR="00472831">
        <w:rPr>
          <w:iCs/>
          <w:noProof/>
          <w:szCs w:val="22"/>
        </w:rPr>
        <w:t xml:space="preserve">τους </w:t>
      </w:r>
      <w:r w:rsidR="000B3D90" w:rsidRPr="001F3AFA">
        <w:rPr>
          <w:iCs/>
          <w:noProof/>
          <w:szCs w:val="22"/>
        </w:rPr>
        <w:t xml:space="preserve">με </w:t>
      </w:r>
      <w:r w:rsidR="00472831">
        <w:rPr>
          <w:iCs/>
          <w:noProof/>
          <w:szCs w:val="22"/>
        </w:rPr>
        <w:t xml:space="preserve">το </w:t>
      </w:r>
      <w:r w:rsidR="000B3D90" w:rsidRPr="001F3AFA">
        <w:rPr>
          <w:iCs/>
          <w:noProof/>
          <w:szCs w:val="22"/>
        </w:rPr>
        <w:t xml:space="preserve">Priligy. Οι συνταγογραφούντες ιατροί </w:t>
      </w:r>
      <w:r w:rsidR="00062619">
        <w:rPr>
          <w:iCs/>
          <w:noProof/>
          <w:szCs w:val="22"/>
        </w:rPr>
        <w:t>πρέπει</w:t>
      </w:r>
      <w:r w:rsidR="000B3D90" w:rsidRPr="001F3AFA">
        <w:rPr>
          <w:iCs/>
          <w:noProof/>
          <w:szCs w:val="22"/>
        </w:rPr>
        <w:t xml:space="preserve"> να συμβουλεύουν τους ασθενείς </w:t>
      </w:r>
      <w:r w:rsidR="00472831">
        <w:rPr>
          <w:iCs/>
          <w:noProof/>
          <w:szCs w:val="22"/>
        </w:rPr>
        <w:t>για</w:t>
      </w:r>
      <w:r w:rsidR="000B3D90" w:rsidRPr="001F3AFA">
        <w:rPr>
          <w:iCs/>
          <w:noProof/>
          <w:szCs w:val="22"/>
        </w:rPr>
        <w:t xml:space="preserve"> τη σημασία της διατήρησης επαρκούς ενυδάτωσης και για τον τρόπο αναγνώρισης των πρόδρομων σημείων και συμπτωμάτων ώστε να μειωθεί η πιθανότητα σοβαρού τραυματισμού από πτώση εξαιτίας της απώλειας των αισθήσεων. Εάν ο ασθενής εμφανίσει πιθαν</w:t>
      </w:r>
      <w:r w:rsidR="00472831">
        <w:rPr>
          <w:iCs/>
          <w:noProof/>
          <w:szCs w:val="22"/>
        </w:rPr>
        <w:t>ά</w:t>
      </w:r>
      <w:r w:rsidR="000B3D90" w:rsidRPr="001F3AFA">
        <w:rPr>
          <w:iCs/>
          <w:noProof/>
          <w:szCs w:val="22"/>
        </w:rPr>
        <w:t xml:space="preserve"> πρόδρομα συμπτώματα, </w:t>
      </w:r>
      <w:r w:rsidR="00062619">
        <w:rPr>
          <w:iCs/>
          <w:noProof/>
          <w:szCs w:val="22"/>
        </w:rPr>
        <w:t>πρέπει</w:t>
      </w:r>
      <w:r w:rsidR="000B3D90" w:rsidRPr="001F3AFA">
        <w:rPr>
          <w:iCs/>
          <w:noProof/>
          <w:szCs w:val="22"/>
        </w:rPr>
        <w:t xml:space="preserve"> να ξαπλώσει αμέσως σε θέση στην οποία το κεφάλι του θα είναι σε χαμηλότερο σημείο </w:t>
      </w:r>
      <w:r w:rsidR="0085365D">
        <w:rPr>
          <w:iCs/>
          <w:noProof/>
          <w:szCs w:val="22"/>
        </w:rPr>
        <w:t>σε σχέση με το υπόλοιπο</w:t>
      </w:r>
      <w:r w:rsidR="000B3D90" w:rsidRPr="001F3AFA">
        <w:rPr>
          <w:iCs/>
          <w:noProof/>
          <w:szCs w:val="22"/>
        </w:rPr>
        <w:t xml:space="preserve"> το σώμα του ή να καθίσει τοποθετώντας το κεφάλι του ανάμεσα στα γόνατά του μέχρι να υποχωρήσουν τα συμπτώματα, και να προσέξει ώστε να αποφύγει καταστάσεις οι οποίες θα μπορούσαν να οδηγήσουν σε τραυματισμό, συμπεριλαμβανομένης της οδήγησης ή του χειρισμού επικίνδυνων </w:t>
      </w:r>
      <w:r w:rsidR="00124AA1">
        <w:rPr>
          <w:iCs/>
          <w:noProof/>
          <w:szCs w:val="22"/>
        </w:rPr>
        <w:t>μηχανημάτων</w:t>
      </w:r>
      <w:r w:rsidR="000B3D90" w:rsidRPr="001F3AFA">
        <w:rPr>
          <w:iCs/>
          <w:noProof/>
          <w:szCs w:val="22"/>
        </w:rPr>
        <w:t xml:space="preserve">, σε περίπτωση </w:t>
      </w:r>
      <w:r w:rsidR="00472831">
        <w:rPr>
          <w:iCs/>
          <w:noProof/>
          <w:szCs w:val="22"/>
        </w:rPr>
        <w:t xml:space="preserve">που συμβεί </w:t>
      </w:r>
      <w:r w:rsidR="000B3D90" w:rsidRPr="001F3AFA">
        <w:rPr>
          <w:iCs/>
          <w:noProof/>
          <w:szCs w:val="22"/>
        </w:rPr>
        <w:t xml:space="preserve">συγκοπή ή άλλη επίδραση </w:t>
      </w:r>
      <w:r w:rsidR="0085365D">
        <w:rPr>
          <w:iCs/>
          <w:noProof/>
          <w:szCs w:val="22"/>
        </w:rPr>
        <w:t>σ</w:t>
      </w:r>
      <w:r w:rsidR="000B3D90" w:rsidRPr="001F3AFA">
        <w:rPr>
          <w:iCs/>
          <w:noProof/>
          <w:szCs w:val="22"/>
        </w:rPr>
        <w:t>το ΚΝΣ (βλέπε παράγραφο 4.7).</w:t>
      </w:r>
    </w:p>
    <w:p w:rsidR="000B3D90" w:rsidRPr="001F3AFA" w:rsidRDefault="000B3D90" w:rsidP="00DD10F5">
      <w:pPr>
        <w:rPr>
          <w:iCs/>
          <w:noProof/>
          <w:szCs w:val="22"/>
        </w:rPr>
      </w:pPr>
    </w:p>
    <w:p w:rsidR="000B3D90" w:rsidRPr="0007023B" w:rsidRDefault="000B3D90" w:rsidP="00DD10F5">
      <w:pPr>
        <w:rPr>
          <w:iCs/>
          <w:noProof/>
          <w:szCs w:val="22"/>
          <w:u w:val="single"/>
          <w:lang w:val="en-US"/>
        </w:rPr>
      </w:pPr>
      <w:r w:rsidRPr="00F51C5E">
        <w:rPr>
          <w:iCs/>
          <w:noProof/>
          <w:szCs w:val="22"/>
          <w:u w:val="single"/>
        </w:rPr>
        <w:t>Ασθενείς με καρδιαγγειακούς παράγοντες κινδύνου</w:t>
      </w:r>
    </w:p>
    <w:p w:rsidR="000B3D90" w:rsidRPr="001F3AFA" w:rsidRDefault="000B3D90" w:rsidP="00DD10F5">
      <w:pPr>
        <w:rPr>
          <w:iCs/>
          <w:noProof/>
          <w:szCs w:val="22"/>
        </w:rPr>
      </w:pPr>
      <w:r w:rsidRPr="001F3AFA">
        <w:rPr>
          <w:iCs/>
          <w:noProof/>
          <w:szCs w:val="22"/>
        </w:rPr>
        <w:t xml:space="preserve">Τα άτομα με υποκείμενη καρδιαγγειακή νόσο αποκλείστηκαν από τις κλινικές δοκιμές </w:t>
      </w:r>
      <w:r w:rsidR="002C3CDB">
        <w:rPr>
          <w:iCs/>
          <w:noProof/>
          <w:szCs w:val="22"/>
        </w:rPr>
        <w:t>Φ</w:t>
      </w:r>
      <w:r w:rsidR="002C3CDB" w:rsidRPr="001F3AFA">
        <w:rPr>
          <w:iCs/>
          <w:noProof/>
          <w:szCs w:val="22"/>
        </w:rPr>
        <w:t xml:space="preserve">άσης </w:t>
      </w:r>
      <w:r w:rsidRPr="001F3AFA">
        <w:rPr>
          <w:iCs/>
          <w:noProof/>
          <w:szCs w:val="22"/>
        </w:rPr>
        <w:t xml:space="preserve">3. Ο κίνδυνος ανεπιθύμητων καρδιαγγειακών εκβάσεων από τη συγκοπή (καρδιακή συγκοπή και συγκοπή από άλλα αίτια) είναι αυξημένος σε ασθενείς με υποκείμενη δομική καρδιαγγειακή νόσο (π.χ. τεκμηριωμένη απόφραξη του χώρου εκροής, καρδιακή βαλβιδοπάθεια, στένωση καρωτίδας και στεφανιαία </w:t>
      </w:r>
      <w:r w:rsidR="007814C8">
        <w:rPr>
          <w:iCs/>
          <w:noProof/>
          <w:szCs w:val="22"/>
        </w:rPr>
        <w:t>νόσο</w:t>
      </w:r>
      <w:r w:rsidRPr="001F3AFA">
        <w:rPr>
          <w:iCs/>
          <w:noProof/>
          <w:szCs w:val="22"/>
        </w:rPr>
        <w:t xml:space="preserve">). Τα δεδομένα είναι ανεπαρκή για να προσδιοριστεί αν ο αυξημένος αυτός κίνδυνος εκτείνεται σε </w:t>
      </w:r>
      <w:r w:rsidR="007814C8">
        <w:rPr>
          <w:iCs/>
          <w:noProof/>
          <w:szCs w:val="22"/>
        </w:rPr>
        <w:t>αγγειοπνευμονογαστρική</w:t>
      </w:r>
      <w:r w:rsidR="007814C8" w:rsidRPr="001F3AFA">
        <w:rPr>
          <w:iCs/>
          <w:noProof/>
          <w:szCs w:val="22"/>
        </w:rPr>
        <w:t xml:space="preserve"> </w:t>
      </w:r>
      <w:r w:rsidRPr="001F3AFA">
        <w:rPr>
          <w:iCs/>
          <w:noProof/>
          <w:szCs w:val="22"/>
        </w:rPr>
        <w:t>συγκοπή σε ασθενείς με υποκείμενη καρδιαγγειακή νόσο.</w:t>
      </w:r>
    </w:p>
    <w:p w:rsidR="000B3D90" w:rsidRPr="001F3AFA" w:rsidRDefault="000B3D90" w:rsidP="00DD10F5">
      <w:pPr>
        <w:rPr>
          <w:iCs/>
          <w:noProof/>
          <w:szCs w:val="22"/>
        </w:rPr>
      </w:pPr>
    </w:p>
    <w:p w:rsidR="000B3D90" w:rsidRPr="0007023B" w:rsidRDefault="000B3D90" w:rsidP="00DD10F5">
      <w:pPr>
        <w:rPr>
          <w:iCs/>
          <w:noProof/>
          <w:szCs w:val="22"/>
          <w:u w:val="single"/>
        </w:rPr>
      </w:pPr>
      <w:r w:rsidRPr="00F51C5E">
        <w:rPr>
          <w:iCs/>
          <w:noProof/>
          <w:szCs w:val="22"/>
          <w:u w:val="single"/>
        </w:rPr>
        <w:t>Χρήση με ευφορικά φάρμακα</w:t>
      </w:r>
    </w:p>
    <w:p w:rsidR="00A568C4" w:rsidRPr="0007023B" w:rsidRDefault="00062619" w:rsidP="00DD10F5">
      <w:pPr>
        <w:rPr>
          <w:iCs/>
          <w:noProof/>
          <w:szCs w:val="22"/>
        </w:rPr>
      </w:pPr>
      <w:r>
        <w:rPr>
          <w:iCs/>
          <w:noProof/>
          <w:szCs w:val="22"/>
        </w:rPr>
        <w:t>Πρέπει</w:t>
      </w:r>
      <w:r w:rsidR="000B3D90" w:rsidRPr="001F3AFA">
        <w:rPr>
          <w:iCs/>
          <w:noProof/>
          <w:szCs w:val="22"/>
        </w:rPr>
        <w:t xml:space="preserve"> να δοθ</w:t>
      </w:r>
      <w:r w:rsidR="003D6555">
        <w:rPr>
          <w:iCs/>
          <w:noProof/>
          <w:szCs w:val="22"/>
        </w:rPr>
        <w:t>εί</w:t>
      </w:r>
      <w:r w:rsidR="000B3D90" w:rsidRPr="001F3AFA">
        <w:rPr>
          <w:iCs/>
          <w:noProof/>
          <w:szCs w:val="22"/>
        </w:rPr>
        <w:t xml:space="preserve"> </w:t>
      </w:r>
      <w:r w:rsidR="003D6555" w:rsidRPr="001F3AFA">
        <w:rPr>
          <w:iCs/>
          <w:noProof/>
          <w:szCs w:val="22"/>
        </w:rPr>
        <w:t xml:space="preserve">στους ασθενείς </w:t>
      </w:r>
      <w:r w:rsidR="003D6555">
        <w:rPr>
          <w:iCs/>
          <w:noProof/>
          <w:szCs w:val="22"/>
        </w:rPr>
        <w:t xml:space="preserve">η </w:t>
      </w:r>
      <w:r w:rsidR="00A7792C">
        <w:rPr>
          <w:iCs/>
          <w:noProof/>
          <w:szCs w:val="22"/>
        </w:rPr>
        <w:t>οδηγία</w:t>
      </w:r>
      <w:r w:rsidR="00A7792C" w:rsidRPr="001F3AFA">
        <w:rPr>
          <w:iCs/>
          <w:noProof/>
          <w:szCs w:val="22"/>
        </w:rPr>
        <w:t xml:space="preserve"> </w:t>
      </w:r>
      <w:r w:rsidR="000B3D90" w:rsidRPr="001F3AFA">
        <w:rPr>
          <w:iCs/>
          <w:noProof/>
          <w:szCs w:val="22"/>
        </w:rPr>
        <w:t xml:space="preserve">να μην </w:t>
      </w:r>
      <w:r w:rsidR="00C352C3">
        <w:rPr>
          <w:iCs/>
          <w:noProof/>
          <w:szCs w:val="22"/>
        </w:rPr>
        <w:t>χρησιμοποιούν</w:t>
      </w:r>
      <w:r w:rsidR="00C352C3" w:rsidRPr="001F3AFA">
        <w:rPr>
          <w:iCs/>
          <w:noProof/>
          <w:szCs w:val="22"/>
        </w:rPr>
        <w:t xml:space="preserve"> </w:t>
      </w:r>
      <w:r w:rsidR="000B3D90" w:rsidRPr="001F3AFA">
        <w:rPr>
          <w:iCs/>
          <w:noProof/>
          <w:szCs w:val="22"/>
        </w:rPr>
        <w:t xml:space="preserve">το Priligy σε συνδυασμό με ευφορικά φάρμακα. </w:t>
      </w:r>
    </w:p>
    <w:p w:rsidR="000B3D90" w:rsidRPr="001F3AFA" w:rsidRDefault="000B3D90" w:rsidP="00DD10F5">
      <w:pPr>
        <w:rPr>
          <w:iCs/>
          <w:noProof/>
          <w:szCs w:val="22"/>
        </w:rPr>
      </w:pPr>
      <w:r w:rsidRPr="001F3AFA">
        <w:rPr>
          <w:iCs/>
          <w:noProof/>
          <w:szCs w:val="22"/>
        </w:rPr>
        <w:t xml:space="preserve">Τα ευφορικά φάρμακα με σεροτονεργική δράση όπως είναι η κεταμίνη, η </w:t>
      </w:r>
      <w:r w:rsidR="00A568C4">
        <w:rPr>
          <w:iCs/>
          <w:noProof/>
          <w:szCs w:val="22"/>
        </w:rPr>
        <w:t>μ</w:t>
      </w:r>
      <w:r w:rsidRPr="001F3AFA">
        <w:rPr>
          <w:iCs/>
          <w:noProof/>
          <w:szCs w:val="22"/>
        </w:rPr>
        <w:t xml:space="preserve">εθυλενεδιοξυμεθαμφεταμίνη (MDMA) και η διαιθυλαμίδη του λυσεργικού οξέος (LSD) μπορεί να οδηγήσουν σε πιθανώς σοβαρές αντιδράσεις αν συνδυαστούν με το Priligy. Στις </w:t>
      </w:r>
      <w:r w:rsidR="003D6555">
        <w:rPr>
          <w:iCs/>
          <w:noProof/>
          <w:szCs w:val="22"/>
        </w:rPr>
        <w:t>αντιδράσεις</w:t>
      </w:r>
      <w:r w:rsidRPr="001F3AFA">
        <w:rPr>
          <w:iCs/>
          <w:noProof/>
          <w:szCs w:val="22"/>
        </w:rPr>
        <w:t xml:space="preserve"> αυτές περιλαμβάνονται, μεταξύ άλλων, η αρρυθμία, η υπερθερμία και το </w:t>
      </w:r>
      <w:r w:rsidR="00A568C4">
        <w:rPr>
          <w:iCs/>
          <w:noProof/>
          <w:szCs w:val="22"/>
        </w:rPr>
        <w:t xml:space="preserve">σεροτονινεργικό </w:t>
      </w:r>
      <w:r w:rsidRPr="001F3AFA">
        <w:rPr>
          <w:iCs/>
          <w:noProof/>
          <w:szCs w:val="22"/>
        </w:rPr>
        <w:t xml:space="preserve">σύνδρομο. Η χρήση του Priligy με ευφορικά φάρμακα </w:t>
      </w:r>
      <w:r w:rsidR="003D6555">
        <w:rPr>
          <w:iCs/>
          <w:noProof/>
          <w:szCs w:val="22"/>
        </w:rPr>
        <w:t>με κατασταλτικές ιδιότητες,</w:t>
      </w:r>
      <w:r w:rsidRPr="001F3AFA">
        <w:rPr>
          <w:iCs/>
          <w:noProof/>
          <w:szCs w:val="22"/>
        </w:rPr>
        <w:t xml:space="preserve"> όπως είναι τα ναρκωτικά και οι βενζοδιαζεπίνες μπορεί να </w:t>
      </w:r>
      <w:r w:rsidR="00A568C4">
        <w:rPr>
          <w:iCs/>
          <w:noProof/>
          <w:szCs w:val="22"/>
        </w:rPr>
        <w:t>αυξήσει</w:t>
      </w:r>
      <w:r w:rsidR="00A568C4" w:rsidRPr="001F3AFA">
        <w:rPr>
          <w:iCs/>
          <w:noProof/>
          <w:szCs w:val="22"/>
        </w:rPr>
        <w:t xml:space="preserve"> </w:t>
      </w:r>
      <w:r w:rsidRPr="001F3AFA">
        <w:rPr>
          <w:iCs/>
          <w:noProof/>
          <w:szCs w:val="22"/>
        </w:rPr>
        <w:t>περαιτέρω την υπνηλία και τη ζάλη.</w:t>
      </w:r>
    </w:p>
    <w:p w:rsidR="000B3D90" w:rsidRPr="001F3AFA" w:rsidRDefault="000B3D90" w:rsidP="00DD10F5">
      <w:pPr>
        <w:rPr>
          <w:iCs/>
          <w:noProof/>
          <w:szCs w:val="22"/>
        </w:rPr>
      </w:pPr>
    </w:p>
    <w:p w:rsidR="000B3D90" w:rsidRPr="0007023B" w:rsidRDefault="000B3D90" w:rsidP="00DD10F5">
      <w:pPr>
        <w:rPr>
          <w:iCs/>
          <w:noProof/>
          <w:szCs w:val="22"/>
          <w:u w:val="single"/>
        </w:rPr>
      </w:pPr>
      <w:r w:rsidRPr="00F51C5E">
        <w:rPr>
          <w:iCs/>
          <w:noProof/>
          <w:szCs w:val="22"/>
          <w:u w:val="single"/>
        </w:rPr>
        <w:t>Αιθανόλη</w:t>
      </w:r>
    </w:p>
    <w:p w:rsidR="00C352C3" w:rsidRPr="0007023B" w:rsidRDefault="00C352C3" w:rsidP="00DD10F5">
      <w:pPr>
        <w:rPr>
          <w:iCs/>
          <w:noProof/>
          <w:szCs w:val="22"/>
        </w:rPr>
      </w:pPr>
      <w:r>
        <w:rPr>
          <w:iCs/>
          <w:noProof/>
          <w:szCs w:val="22"/>
        </w:rPr>
        <w:t xml:space="preserve">Πρέπει να δοθεί στους ασθενείς η </w:t>
      </w:r>
      <w:r w:rsidR="00A7792C">
        <w:rPr>
          <w:iCs/>
          <w:noProof/>
          <w:szCs w:val="22"/>
        </w:rPr>
        <w:t>οδηγία</w:t>
      </w:r>
      <w:r>
        <w:rPr>
          <w:iCs/>
          <w:noProof/>
          <w:szCs w:val="22"/>
        </w:rPr>
        <w:t xml:space="preserve"> να μην χρησιμοποιούν το </w:t>
      </w:r>
      <w:r>
        <w:rPr>
          <w:iCs/>
          <w:noProof/>
          <w:szCs w:val="22"/>
          <w:lang w:val="en-US"/>
        </w:rPr>
        <w:t>Priligy</w:t>
      </w:r>
      <w:r w:rsidRPr="00C352C3">
        <w:rPr>
          <w:iCs/>
          <w:noProof/>
          <w:szCs w:val="22"/>
        </w:rPr>
        <w:t xml:space="preserve"> </w:t>
      </w:r>
      <w:r>
        <w:rPr>
          <w:iCs/>
          <w:noProof/>
          <w:szCs w:val="22"/>
        </w:rPr>
        <w:t xml:space="preserve">σε συνδυασμό με αλκοόλη. </w:t>
      </w:r>
    </w:p>
    <w:p w:rsidR="000B3D90" w:rsidRPr="001F3AFA" w:rsidRDefault="000B3D90" w:rsidP="00DD10F5">
      <w:pPr>
        <w:rPr>
          <w:iCs/>
          <w:noProof/>
          <w:szCs w:val="22"/>
        </w:rPr>
      </w:pPr>
      <w:r w:rsidRPr="001F3AFA">
        <w:rPr>
          <w:iCs/>
          <w:noProof/>
          <w:szCs w:val="22"/>
        </w:rPr>
        <w:t xml:space="preserve">Ο συνδυασμός </w:t>
      </w:r>
      <w:r w:rsidR="00C352C3">
        <w:rPr>
          <w:iCs/>
          <w:noProof/>
          <w:szCs w:val="22"/>
        </w:rPr>
        <w:t>αλκοόλης</w:t>
      </w:r>
      <w:r w:rsidR="00C352C3" w:rsidRPr="001F3AFA">
        <w:rPr>
          <w:iCs/>
          <w:noProof/>
          <w:szCs w:val="22"/>
        </w:rPr>
        <w:t xml:space="preserve"> </w:t>
      </w:r>
      <w:r w:rsidRPr="001F3AFA">
        <w:rPr>
          <w:iCs/>
          <w:noProof/>
          <w:szCs w:val="22"/>
        </w:rPr>
        <w:t xml:space="preserve">με δαποξετίνη μπορεί να αυξήσει τις σχετιζόμενες με </w:t>
      </w:r>
      <w:r w:rsidR="00C352C3">
        <w:rPr>
          <w:iCs/>
          <w:noProof/>
          <w:szCs w:val="22"/>
        </w:rPr>
        <w:t>την αλκοόλη</w:t>
      </w:r>
      <w:r w:rsidRPr="001F3AFA">
        <w:rPr>
          <w:iCs/>
          <w:noProof/>
          <w:szCs w:val="22"/>
        </w:rPr>
        <w:t xml:space="preserve"> νευροδιανοητικές επιδράσεις και μπορεί</w:t>
      </w:r>
      <w:r w:rsidR="003D6555">
        <w:rPr>
          <w:iCs/>
          <w:noProof/>
          <w:szCs w:val="22"/>
        </w:rPr>
        <w:t>,</w:t>
      </w:r>
      <w:r w:rsidRPr="001F3AFA">
        <w:rPr>
          <w:iCs/>
          <w:noProof/>
          <w:szCs w:val="22"/>
        </w:rPr>
        <w:t xml:space="preserve"> </w:t>
      </w:r>
      <w:r w:rsidR="003D6555">
        <w:rPr>
          <w:iCs/>
          <w:noProof/>
          <w:szCs w:val="22"/>
        </w:rPr>
        <w:t>επίσης,</w:t>
      </w:r>
      <w:r w:rsidRPr="001F3AFA">
        <w:rPr>
          <w:iCs/>
          <w:noProof/>
          <w:szCs w:val="22"/>
        </w:rPr>
        <w:t xml:space="preserve"> να ενισχύσει τα </w:t>
      </w:r>
      <w:r w:rsidR="00B74581">
        <w:rPr>
          <w:iCs/>
          <w:noProof/>
          <w:szCs w:val="22"/>
        </w:rPr>
        <w:t>νευροκαρδιογενείς ανεπιθύμητες ενέργειες</w:t>
      </w:r>
      <w:r w:rsidRPr="001F3AFA">
        <w:rPr>
          <w:iCs/>
          <w:noProof/>
          <w:szCs w:val="22"/>
        </w:rPr>
        <w:t xml:space="preserve"> όπως είναι η συγκοπή, αυξάνοντας με αυτό τον τρόπο τον κίνδυνο τυχαίου τραυματισμού. Επομένως, οι ασθενείς </w:t>
      </w:r>
      <w:r w:rsidR="00062619">
        <w:rPr>
          <w:iCs/>
          <w:noProof/>
          <w:szCs w:val="22"/>
        </w:rPr>
        <w:t>πρέπει</w:t>
      </w:r>
      <w:r w:rsidRPr="001F3AFA">
        <w:rPr>
          <w:iCs/>
          <w:noProof/>
          <w:szCs w:val="22"/>
        </w:rPr>
        <w:t xml:space="preserve"> να συμβουλεύονται να αποφεύγουν </w:t>
      </w:r>
      <w:r w:rsidR="00B74581">
        <w:rPr>
          <w:iCs/>
          <w:noProof/>
          <w:szCs w:val="22"/>
        </w:rPr>
        <w:t>την αλκοόλη</w:t>
      </w:r>
      <w:r w:rsidRPr="001F3AFA">
        <w:rPr>
          <w:iCs/>
          <w:noProof/>
          <w:szCs w:val="22"/>
        </w:rPr>
        <w:t xml:space="preserve"> ενώ λαμβάνουν το Priligy (βλέπε </w:t>
      </w:r>
      <w:r w:rsidR="00B74581">
        <w:rPr>
          <w:iCs/>
          <w:noProof/>
          <w:szCs w:val="22"/>
        </w:rPr>
        <w:t>παραγράφους</w:t>
      </w:r>
      <w:r w:rsidR="00B74581" w:rsidRPr="001F3AFA">
        <w:rPr>
          <w:iCs/>
          <w:noProof/>
          <w:szCs w:val="22"/>
        </w:rPr>
        <w:t xml:space="preserve"> </w:t>
      </w:r>
      <w:r w:rsidRPr="001F3AFA">
        <w:rPr>
          <w:iCs/>
          <w:noProof/>
          <w:szCs w:val="22"/>
        </w:rPr>
        <w:t>4.5 και 4.7).</w:t>
      </w:r>
    </w:p>
    <w:p w:rsidR="000B3D90" w:rsidRPr="001F3AFA" w:rsidRDefault="000B3D90" w:rsidP="00DD10F5">
      <w:pPr>
        <w:rPr>
          <w:iCs/>
          <w:noProof/>
          <w:szCs w:val="22"/>
        </w:rPr>
      </w:pPr>
    </w:p>
    <w:p w:rsidR="000B3D90" w:rsidRPr="0007023B" w:rsidRDefault="000B3D90" w:rsidP="00DD10F5">
      <w:pPr>
        <w:rPr>
          <w:iCs/>
          <w:noProof/>
          <w:szCs w:val="22"/>
          <w:u w:val="single"/>
          <w:lang w:val="en-US"/>
        </w:rPr>
      </w:pPr>
      <w:r w:rsidRPr="00F51C5E">
        <w:rPr>
          <w:iCs/>
          <w:noProof/>
          <w:szCs w:val="22"/>
          <w:u w:val="single"/>
        </w:rPr>
        <w:t>Φαρμακευτικά προϊόντα με αγγειοδιασταλτικές ιδιότητες</w:t>
      </w:r>
    </w:p>
    <w:p w:rsidR="000B3D90" w:rsidRPr="001F3AFA" w:rsidRDefault="000B3D90" w:rsidP="00DD10F5">
      <w:pPr>
        <w:rPr>
          <w:iCs/>
          <w:noProof/>
          <w:szCs w:val="22"/>
        </w:rPr>
      </w:pPr>
      <w:r w:rsidRPr="001F3AFA">
        <w:rPr>
          <w:iCs/>
          <w:noProof/>
          <w:szCs w:val="22"/>
        </w:rPr>
        <w:t xml:space="preserve">Το Priligy </w:t>
      </w:r>
      <w:r w:rsidR="00062619">
        <w:rPr>
          <w:iCs/>
          <w:noProof/>
          <w:szCs w:val="22"/>
        </w:rPr>
        <w:t>πρέπει</w:t>
      </w:r>
      <w:r w:rsidRPr="001F3AFA">
        <w:rPr>
          <w:iCs/>
          <w:noProof/>
          <w:szCs w:val="22"/>
        </w:rPr>
        <w:t xml:space="preserve"> να συνταγογραφείται με προσοχή σε ασθενείς που λαμβάνουν φαρμακευτικά προϊόντα με αγγειοδιασταλτικές ιδιότητες (όπως είναι οι ανταγωνιστές </w:t>
      </w:r>
      <w:r w:rsidR="00A45DDE">
        <w:rPr>
          <w:iCs/>
          <w:noProof/>
          <w:szCs w:val="22"/>
        </w:rPr>
        <w:t>των</w:t>
      </w:r>
      <w:r w:rsidR="00A45DDE" w:rsidRPr="001F3AFA">
        <w:rPr>
          <w:iCs/>
          <w:noProof/>
          <w:szCs w:val="22"/>
        </w:rPr>
        <w:t xml:space="preserve"> </w:t>
      </w:r>
      <w:r w:rsidRPr="001F3AFA">
        <w:rPr>
          <w:iCs/>
          <w:noProof/>
          <w:szCs w:val="22"/>
        </w:rPr>
        <w:t>άλφα αδρενεργικ</w:t>
      </w:r>
      <w:r w:rsidR="00A45DDE">
        <w:rPr>
          <w:iCs/>
          <w:noProof/>
          <w:szCs w:val="22"/>
        </w:rPr>
        <w:t>ών</w:t>
      </w:r>
      <w:r w:rsidRPr="001F3AFA">
        <w:rPr>
          <w:iCs/>
          <w:noProof/>
          <w:szCs w:val="22"/>
        </w:rPr>
        <w:t xml:space="preserve"> υποδοχέ</w:t>
      </w:r>
      <w:r w:rsidR="00A45DDE">
        <w:rPr>
          <w:iCs/>
          <w:noProof/>
          <w:szCs w:val="22"/>
        </w:rPr>
        <w:t>ων και</w:t>
      </w:r>
      <w:r w:rsidRPr="001F3AFA">
        <w:rPr>
          <w:iCs/>
          <w:noProof/>
          <w:szCs w:val="22"/>
        </w:rPr>
        <w:t xml:space="preserve"> τα </w:t>
      </w:r>
      <w:r w:rsidR="00A45DDE">
        <w:rPr>
          <w:iCs/>
          <w:noProof/>
          <w:szCs w:val="22"/>
        </w:rPr>
        <w:t>νιτρώδη</w:t>
      </w:r>
      <w:r w:rsidRPr="001F3AFA">
        <w:rPr>
          <w:iCs/>
          <w:noProof/>
          <w:szCs w:val="22"/>
        </w:rPr>
        <w:t xml:space="preserve">) λόγω της πιθανώς μειωμένης </w:t>
      </w:r>
      <w:r w:rsidR="00A45DDE">
        <w:rPr>
          <w:iCs/>
          <w:noProof/>
          <w:szCs w:val="22"/>
        </w:rPr>
        <w:t xml:space="preserve">ορθοστατικής </w:t>
      </w:r>
      <w:r w:rsidRPr="001F3AFA">
        <w:rPr>
          <w:iCs/>
          <w:noProof/>
          <w:szCs w:val="22"/>
        </w:rPr>
        <w:t>ανοχής (βλέπε παράγραφο 4.5).</w:t>
      </w:r>
    </w:p>
    <w:p w:rsidR="000B3D90" w:rsidRPr="001F3AFA" w:rsidRDefault="000B3D90" w:rsidP="00DD10F5">
      <w:pPr>
        <w:rPr>
          <w:iCs/>
          <w:noProof/>
          <w:szCs w:val="22"/>
        </w:rPr>
      </w:pPr>
    </w:p>
    <w:p w:rsidR="000B3D90" w:rsidRPr="0007023B" w:rsidRDefault="000B3D90" w:rsidP="00DD10F5">
      <w:pPr>
        <w:rPr>
          <w:iCs/>
          <w:noProof/>
          <w:szCs w:val="22"/>
          <w:u w:val="single"/>
          <w:lang w:val="en-US"/>
        </w:rPr>
      </w:pPr>
      <w:r w:rsidRPr="00F51C5E">
        <w:rPr>
          <w:iCs/>
          <w:noProof/>
          <w:szCs w:val="22"/>
          <w:u w:val="single"/>
        </w:rPr>
        <w:lastRenderedPageBreak/>
        <w:t>Μέτριοι αναστολείς του CYP3A4</w:t>
      </w:r>
    </w:p>
    <w:p w:rsidR="000B3D90" w:rsidRPr="001F3AFA" w:rsidRDefault="000B3D90" w:rsidP="00DD10F5">
      <w:pPr>
        <w:rPr>
          <w:iCs/>
          <w:noProof/>
          <w:szCs w:val="22"/>
        </w:rPr>
      </w:pPr>
      <w:r w:rsidRPr="001F3AFA">
        <w:rPr>
          <w:iCs/>
          <w:noProof/>
          <w:szCs w:val="22"/>
        </w:rPr>
        <w:t>Συνιστάται προσοχή στους ασθενείς που λαμβάνουν μέτριους αναστολείς του CYP3A4 και η δόση περιορίζεται στα 30</w:t>
      </w:r>
      <w:r w:rsidR="00DC18E3">
        <w:rPr>
          <w:iCs/>
          <w:noProof/>
          <w:szCs w:val="22"/>
        </w:rPr>
        <w:t> mg</w:t>
      </w:r>
      <w:r w:rsidRPr="001F3AFA">
        <w:rPr>
          <w:iCs/>
          <w:noProof/>
          <w:szCs w:val="22"/>
        </w:rPr>
        <w:t xml:space="preserve"> (βλέπε </w:t>
      </w:r>
      <w:r w:rsidR="009049A7">
        <w:rPr>
          <w:iCs/>
          <w:noProof/>
          <w:szCs w:val="22"/>
        </w:rPr>
        <w:t>παραγράφους</w:t>
      </w:r>
      <w:r w:rsidR="00BC741D" w:rsidRPr="001F3AFA">
        <w:rPr>
          <w:iCs/>
          <w:noProof/>
          <w:szCs w:val="22"/>
        </w:rPr>
        <w:t xml:space="preserve"> </w:t>
      </w:r>
      <w:r w:rsidRPr="001F3AFA">
        <w:rPr>
          <w:iCs/>
          <w:noProof/>
          <w:szCs w:val="22"/>
        </w:rPr>
        <w:t>4.2 και 4.5).</w:t>
      </w:r>
    </w:p>
    <w:p w:rsidR="000B3D90" w:rsidRPr="001F3AFA" w:rsidRDefault="000B3D90" w:rsidP="00DD10F5">
      <w:pPr>
        <w:rPr>
          <w:iCs/>
          <w:noProof/>
          <w:szCs w:val="22"/>
        </w:rPr>
      </w:pPr>
    </w:p>
    <w:p w:rsidR="000B3D90" w:rsidRPr="0007023B" w:rsidRDefault="000B3D90" w:rsidP="00DD10F5">
      <w:pPr>
        <w:rPr>
          <w:iCs/>
          <w:noProof/>
          <w:szCs w:val="22"/>
          <w:u w:val="single"/>
          <w:lang w:val="en-US"/>
        </w:rPr>
      </w:pPr>
      <w:r w:rsidRPr="00F51C5E">
        <w:rPr>
          <w:iCs/>
          <w:noProof/>
          <w:szCs w:val="22"/>
          <w:u w:val="single"/>
        </w:rPr>
        <w:t>Ισχυροί αναστολείς του CYP2D6</w:t>
      </w:r>
    </w:p>
    <w:p w:rsidR="000B3D90" w:rsidRPr="001F3AFA" w:rsidRDefault="000B3D90" w:rsidP="00DD10F5">
      <w:pPr>
        <w:rPr>
          <w:iCs/>
          <w:noProof/>
          <w:szCs w:val="22"/>
        </w:rPr>
      </w:pPr>
      <w:r w:rsidRPr="001F3AFA">
        <w:rPr>
          <w:iCs/>
          <w:noProof/>
          <w:szCs w:val="22"/>
        </w:rPr>
        <w:t>Συνιστάται προσοχή στην περίπτωση αύξησης της δόσης στα 60</w:t>
      </w:r>
      <w:r w:rsidR="00DC18E3">
        <w:rPr>
          <w:iCs/>
          <w:noProof/>
          <w:szCs w:val="22"/>
        </w:rPr>
        <w:t> mg</w:t>
      </w:r>
      <w:r w:rsidRPr="001F3AFA">
        <w:rPr>
          <w:iCs/>
          <w:noProof/>
          <w:szCs w:val="22"/>
        </w:rPr>
        <w:t xml:space="preserve"> σε ασθενείς που λαμβάνουν ισχυρούς αναστολείς του CYP2D6 ή στην περίπτωση αύξησης της δόσης στα 60</w:t>
      </w:r>
      <w:r w:rsidR="00DC18E3">
        <w:rPr>
          <w:iCs/>
          <w:noProof/>
          <w:szCs w:val="22"/>
        </w:rPr>
        <w:t> mg</w:t>
      </w:r>
      <w:r w:rsidRPr="001F3AFA">
        <w:rPr>
          <w:iCs/>
          <w:noProof/>
          <w:szCs w:val="22"/>
        </w:rPr>
        <w:t xml:space="preserve"> σε ασθενείς με γνωστό </w:t>
      </w:r>
      <w:r w:rsidR="00A45DDE">
        <w:rPr>
          <w:iCs/>
          <w:noProof/>
          <w:szCs w:val="22"/>
        </w:rPr>
        <w:t>π</w:t>
      </w:r>
      <w:r w:rsidRPr="001F3AFA">
        <w:rPr>
          <w:iCs/>
          <w:noProof/>
          <w:szCs w:val="22"/>
        </w:rPr>
        <w:t xml:space="preserve">τωχό </w:t>
      </w:r>
      <w:r w:rsidR="00BC741D">
        <w:rPr>
          <w:iCs/>
          <w:noProof/>
          <w:szCs w:val="22"/>
        </w:rPr>
        <w:t xml:space="preserve">μεταβολικό </w:t>
      </w:r>
      <w:r w:rsidRPr="001F3AFA">
        <w:rPr>
          <w:iCs/>
          <w:noProof/>
          <w:szCs w:val="22"/>
        </w:rPr>
        <w:t>γονότυπο του CYP2D6, καθώς μπορεί να αυξηθούν τα επίπεδα έκθεσης, πράγμα που μπορεί να οδηγήσ</w:t>
      </w:r>
      <w:r w:rsidR="00BC741D">
        <w:rPr>
          <w:iCs/>
          <w:noProof/>
          <w:szCs w:val="22"/>
        </w:rPr>
        <w:t>ει</w:t>
      </w:r>
      <w:r w:rsidRPr="001F3AFA">
        <w:rPr>
          <w:iCs/>
          <w:noProof/>
          <w:szCs w:val="22"/>
        </w:rPr>
        <w:t xml:space="preserve"> σε υψηλότερη επίπτωση και σοβαρότητα των δοσοεξαρτώμενων ανεπιθύμητων </w:t>
      </w:r>
      <w:r w:rsidR="00A45DDE">
        <w:rPr>
          <w:iCs/>
          <w:noProof/>
          <w:szCs w:val="22"/>
        </w:rPr>
        <w:t>ενεργειών</w:t>
      </w:r>
      <w:r w:rsidR="00A45DDE" w:rsidRPr="001F3AFA">
        <w:rPr>
          <w:iCs/>
          <w:noProof/>
          <w:szCs w:val="22"/>
        </w:rPr>
        <w:t xml:space="preserve"> </w:t>
      </w:r>
      <w:r w:rsidRPr="001F3AFA">
        <w:rPr>
          <w:iCs/>
          <w:noProof/>
          <w:szCs w:val="22"/>
        </w:rPr>
        <w:t xml:space="preserve">(βλέπε </w:t>
      </w:r>
      <w:r w:rsidR="00A45DDE">
        <w:rPr>
          <w:iCs/>
          <w:noProof/>
          <w:szCs w:val="22"/>
        </w:rPr>
        <w:t>παραγράφους</w:t>
      </w:r>
      <w:r w:rsidR="00A45DDE" w:rsidRPr="001F3AFA">
        <w:rPr>
          <w:iCs/>
          <w:noProof/>
          <w:szCs w:val="22"/>
        </w:rPr>
        <w:t xml:space="preserve"> </w:t>
      </w:r>
      <w:r w:rsidRPr="001F3AFA">
        <w:rPr>
          <w:iCs/>
          <w:noProof/>
          <w:szCs w:val="22"/>
        </w:rPr>
        <w:t>4.2, 4.5 και 5.2).</w:t>
      </w:r>
    </w:p>
    <w:p w:rsidR="000B3D90" w:rsidRPr="001F3AFA" w:rsidRDefault="000B3D90" w:rsidP="00DD10F5">
      <w:pPr>
        <w:rPr>
          <w:iCs/>
          <w:noProof/>
          <w:szCs w:val="22"/>
        </w:rPr>
      </w:pPr>
    </w:p>
    <w:p w:rsidR="000B3D90" w:rsidRPr="0007023B" w:rsidRDefault="000B3D90" w:rsidP="00DD10F5">
      <w:pPr>
        <w:rPr>
          <w:iCs/>
          <w:noProof/>
          <w:szCs w:val="22"/>
          <w:u w:val="single"/>
          <w:lang w:val="en-US"/>
        </w:rPr>
      </w:pPr>
      <w:r w:rsidRPr="00F51C5E">
        <w:rPr>
          <w:iCs/>
          <w:noProof/>
          <w:szCs w:val="22"/>
          <w:u w:val="single"/>
        </w:rPr>
        <w:t>Μανία</w:t>
      </w:r>
    </w:p>
    <w:p w:rsidR="000B3D90" w:rsidRPr="001F3AFA" w:rsidRDefault="000B3D90" w:rsidP="00DD10F5">
      <w:pPr>
        <w:rPr>
          <w:iCs/>
          <w:noProof/>
          <w:szCs w:val="22"/>
        </w:rPr>
      </w:pPr>
      <w:r w:rsidRPr="001F3AFA">
        <w:rPr>
          <w:iCs/>
          <w:noProof/>
          <w:szCs w:val="22"/>
        </w:rPr>
        <w:t xml:space="preserve">Το Priligy δεν </w:t>
      </w:r>
      <w:r w:rsidR="00062619">
        <w:rPr>
          <w:iCs/>
          <w:noProof/>
          <w:szCs w:val="22"/>
        </w:rPr>
        <w:t>πρέπει</w:t>
      </w:r>
      <w:r w:rsidRPr="001F3AFA">
        <w:rPr>
          <w:iCs/>
          <w:noProof/>
          <w:szCs w:val="22"/>
        </w:rPr>
        <w:t xml:space="preserve"> να </w:t>
      </w:r>
      <w:r w:rsidR="009A6B1B">
        <w:rPr>
          <w:iCs/>
          <w:noProof/>
          <w:szCs w:val="22"/>
        </w:rPr>
        <w:t>χρησιμοποιείται</w:t>
      </w:r>
      <w:r w:rsidR="009A6B1B" w:rsidRPr="001F3AFA">
        <w:rPr>
          <w:iCs/>
          <w:noProof/>
          <w:szCs w:val="22"/>
        </w:rPr>
        <w:t xml:space="preserve"> </w:t>
      </w:r>
      <w:r w:rsidRPr="001F3AFA">
        <w:rPr>
          <w:iCs/>
          <w:noProof/>
          <w:szCs w:val="22"/>
        </w:rPr>
        <w:t xml:space="preserve">σε ασθενείς με ιστορικό μανίας/υπομανίας ή διπολικής διαταραχής και </w:t>
      </w:r>
      <w:r w:rsidR="00062619">
        <w:rPr>
          <w:iCs/>
          <w:noProof/>
          <w:szCs w:val="22"/>
        </w:rPr>
        <w:t>πρέπει</w:t>
      </w:r>
      <w:r w:rsidRPr="001F3AFA">
        <w:rPr>
          <w:iCs/>
          <w:noProof/>
          <w:szCs w:val="22"/>
        </w:rPr>
        <w:t xml:space="preserve"> να </w:t>
      </w:r>
      <w:r w:rsidR="009A6B1B">
        <w:rPr>
          <w:iCs/>
          <w:noProof/>
          <w:szCs w:val="22"/>
        </w:rPr>
        <w:t>διακόπτεται</w:t>
      </w:r>
      <w:r w:rsidR="009A6B1B" w:rsidRPr="001F3AFA">
        <w:rPr>
          <w:iCs/>
          <w:noProof/>
          <w:szCs w:val="22"/>
        </w:rPr>
        <w:t xml:space="preserve"> </w:t>
      </w:r>
      <w:r w:rsidRPr="001F3AFA">
        <w:rPr>
          <w:iCs/>
          <w:noProof/>
          <w:szCs w:val="22"/>
        </w:rPr>
        <w:t xml:space="preserve">στους ασθενείς που εμφανίζουν συμπτώματα </w:t>
      </w:r>
      <w:r w:rsidR="009A6B1B">
        <w:rPr>
          <w:iCs/>
          <w:noProof/>
          <w:szCs w:val="22"/>
        </w:rPr>
        <w:t xml:space="preserve">αυτών </w:t>
      </w:r>
      <w:r w:rsidRPr="001F3AFA">
        <w:rPr>
          <w:iCs/>
          <w:noProof/>
          <w:szCs w:val="22"/>
        </w:rPr>
        <w:t>των διαταραχών.</w:t>
      </w:r>
    </w:p>
    <w:p w:rsidR="000B3D90" w:rsidRPr="001F3AFA" w:rsidRDefault="000B3D90" w:rsidP="00DD10F5">
      <w:pPr>
        <w:rPr>
          <w:iCs/>
          <w:noProof/>
          <w:szCs w:val="22"/>
        </w:rPr>
      </w:pPr>
    </w:p>
    <w:p w:rsidR="000B3D90" w:rsidRPr="0007023B" w:rsidRDefault="000B3D90" w:rsidP="00DD10F5">
      <w:pPr>
        <w:rPr>
          <w:iCs/>
          <w:noProof/>
          <w:szCs w:val="22"/>
          <w:u w:val="single"/>
          <w:lang w:val="en-US"/>
        </w:rPr>
      </w:pPr>
      <w:r w:rsidRPr="00F51C5E">
        <w:rPr>
          <w:iCs/>
          <w:noProof/>
          <w:szCs w:val="22"/>
          <w:u w:val="single"/>
        </w:rPr>
        <w:t>Σπασμοί</w:t>
      </w:r>
    </w:p>
    <w:p w:rsidR="000B3D90" w:rsidRPr="001F3AFA" w:rsidRDefault="000B3D90" w:rsidP="00DD10F5">
      <w:pPr>
        <w:rPr>
          <w:iCs/>
          <w:noProof/>
          <w:szCs w:val="22"/>
        </w:rPr>
      </w:pPr>
      <w:r w:rsidRPr="001F3AFA">
        <w:rPr>
          <w:iCs/>
          <w:noProof/>
          <w:szCs w:val="22"/>
        </w:rPr>
        <w:t xml:space="preserve">Λόγω της δυνατότητας των SSRI </w:t>
      </w:r>
      <w:r w:rsidR="009A6B1B">
        <w:rPr>
          <w:iCs/>
          <w:noProof/>
          <w:szCs w:val="22"/>
        </w:rPr>
        <w:t>να μειώσουν</w:t>
      </w:r>
      <w:r w:rsidR="009A6B1B" w:rsidRPr="001F3AFA">
        <w:rPr>
          <w:iCs/>
          <w:noProof/>
          <w:szCs w:val="22"/>
        </w:rPr>
        <w:t xml:space="preserve"> </w:t>
      </w:r>
      <w:r w:rsidR="009A6B1B">
        <w:rPr>
          <w:iCs/>
          <w:noProof/>
          <w:szCs w:val="22"/>
        </w:rPr>
        <w:t>τον ουδό</w:t>
      </w:r>
      <w:r w:rsidRPr="001F3AFA">
        <w:rPr>
          <w:iCs/>
          <w:noProof/>
          <w:szCs w:val="22"/>
        </w:rPr>
        <w:t xml:space="preserve"> των σπασμών, το Priligy </w:t>
      </w:r>
      <w:r w:rsidR="00062619">
        <w:rPr>
          <w:iCs/>
          <w:noProof/>
          <w:szCs w:val="22"/>
        </w:rPr>
        <w:t>πρέπει</w:t>
      </w:r>
      <w:r w:rsidRPr="001F3AFA">
        <w:rPr>
          <w:iCs/>
          <w:noProof/>
          <w:szCs w:val="22"/>
        </w:rPr>
        <w:t xml:space="preserve"> να διακόπτεται στους ασθενείς που εμφανίζουν σπασμούς και να αποφεύγεται στους ασθενείς με ασταθή επιληψία. Οι ασθενείς με ελεγχόμενη επιληψία </w:t>
      </w:r>
      <w:r w:rsidR="00062619">
        <w:rPr>
          <w:iCs/>
          <w:noProof/>
          <w:szCs w:val="22"/>
        </w:rPr>
        <w:t>πρέπει</w:t>
      </w:r>
      <w:r w:rsidRPr="001F3AFA">
        <w:rPr>
          <w:iCs/>
          <w:noProof/>
          <w:szCs w:val="22"/>
        </w:rPr>
        <w:t xml:space="preserve"> να παρακολουθούνται </w:t>
      </w:r>
      <w:r w:rsidR="00BC741D">
        <w:rPr>
          <w:iCs/>
          <w:noProof/>
          <w:szCs w:val="22"/>
        </w:rPr>
        <w:t>με προσοχή</w:t>
      </w:r>
      <w:r w:rsidRPr="001F3AFA">
        <w:rPr>
          <w:iCs/>
          <w:noProof/>
          <w:szCs w:val="22"/>
        </w:rPr>
        <w:t>.</w:t>
      </w:r>
    </w:p>
    <w:p w:rsidR="000B3D90" w:rsidRPr="001F3AFA" w:rsidRDefault="000B3D90" w:rsidP="00DD10F5">
      <w:pPr>
        <w:rPr>
          <w:iCs/>
          <w:noProof/>
          <w:szCs w:val="22"/>
        </w:rPr>
      </w:pPr>
    </w:p>
    <w:p w:rsidR="000B3D90" w:rsidRPr="0007023B" w:rsidRDefault="000B3D90" w:rsidP="00DD10F5">
      <w:pPr>
        <w:rPr>
          <w:iCs/>
          <w:noProof/>
          <w:szCs w:val="22"/>
          <w:u w:val="single"/>
        </w:rPr>
      </w:pPr>
      <w:r w:rsidRPr="00F51C5E">
        <w:rPr>
          <w:iCs/>
          <w:noProof/>
          <w:szCs w:val="22"/>
          <w:u w:val="single"/>
        </w:rPr>
        <w:t>Χρήση σε παιδιά και εφήβους κάτω των 18 ετών</w:t>
      </w:r>
    </w:p>
    <w:p w:rsidR="000B3D90" w:rsidRPr="001F3AFA" w:rsidRDefault="000B3D90" w:rsidP="00DD10F5">
      <w:pPr>
        <w:rPr>
          <w:iCs/>
          <w:noProof/>
          <w:szCs w:val="22"/>
        </w:rPr>
      </w:pPr>
      <w:r w:rsidRPr="001F3AFA">
        <w:rPr>
          <w:iCs/>
          <w:noProof/>
          <w:szCs w:val="22"/>
        </w:rPr>
        <w:t xml:space="preserve">Το Priligy δεν </w:t>
      </w:r>
      <w:r w:rsidR="00062619">
        <w:rPr>
          <w:iCs/>
          <w:noProof/>
          <w:szCs w:val="22"/>
        </w:rPr>
        <w:t>πρέπει</w:t>
      </w:r>
      <w:r w:rsidRPr="001F3AFA">
        <w:rPr>
          <w:iCs/>
          <w:noProof/>
          <w:szCs w:val="22"/>
        </w:rPr>
        <w:t xml:space="preserve"> να χρησιμοποιείται </w:t>
      </w:r>
      <w:r w:rsidR="009A6B1B">
        <w:rPr>
          <w:iCs/>
          <w:noProof/>
          <w:szCs w:val="22"/>
        </w:rPr>
        <w:t>σε</w:t>
      </w:r>
      <w:r w:rsidR="009A6B1B" w:rsidRPr="001F3AFA">
        <w:rPr>
          <w:iCs/>
          <w:noProof/>
          <w:szCs w:val="22"/>
        </w:rPr>
        <w:t xml:space="preserve"> </w:t>
      </w:r>
      <w:r w:rsidRPr="001F3AFA">
        <w:rPr>
          <w:iCs/>
          <w:noProof/>
          <w:szCs w:val="22"/>
        </w:rPr>
        <w:t xml:space="preserve">άτομα </w:t>
      </w:r>
      <w:r w:rsidR="009A6B1B">
        <w:rPr>
          <w:iCs/>
          <w:noProof/>
          <w:szCs w:val="22"/>
        </w:rPr>
        <w:t>ηλικίας μικρότερης</w:t>
      </w:r>
      <w:r w:rsidR="009A6B1B" w:rsidRPr="001F3AFA">
        <w:rPr>
          <w:iCs/>
          <w:noProof/>
          <w:szCs w:val="22"/>
        </w:rPr>
        <w:t xml:space="preserve"> </w:t>
      </w:r>
      <w:r w:rsidRPr="001F3AFA">
        <w:rPr>
          <w:iCs/>
          <w:noProof/>
          <w:szCs w:val="22"/>
        </w:rPr>
        <w:t>των 18 ετών.</w:t>
      </w:r>
    </w:p>
    <w:p w:rsidR="000B3D90" w:rsidRPr="001F3AFA" w:rsidRDefault="000B3D90" w:rsidP="00DD10F5">
      <w:pPr>
        <w:rPr>
          <w:iCs/>
          <w:noProof/>
          <w:szCs w:val="22"/>
        </w:rPr>
      </w:pPr>
    </w:p>
    <w:p w:rsidR="000B3D90" w:rsidRPr="0007023B" w:rsidRDefault="000B3D90" w:rsidP="00DD10F5">
      <w:pPr>
        <w:rPr>
          <w:iCs/>
          <w:noProof/>
          <w:szCs w:val="22"/>
          <w:u w:val="single"/>
          <w:lang w:val="en-US"/>
        </w:rPr>
      </w:pPr>
      <w:r w:rsidRPr="00F51C5E">
        <w:rPr>
          <w:iCs/>
          <w:noProof/>
          <w:szCs w:val="22"/>
          <w:u w:val="single"/>
        </w:rPr>
        <w:t>Κατάθλιψη και/ή ψυχιατρικές διαταραχές</w:t>
      </w:r>
    </w:p>
    <w:p w:rsidR="000B3D90" w:rsidRPr="001F3AFA" w:rsidRDefault="000B3D90" w:rsidP="00DD10F5">
      <w:pPr>
        <w:rPr>
          <w:iCs/>
          <w:noProof/>
          <w:szCs w:val="22"/>
        </w:rPr>
      </w:pPr>
      <w:r w:rsidRPr="001F3AFA">
        <w:rPr>
          <w:iCs/>
          <w:noProof/>
          <w:szCs w:val="22"/>
        </w:rPr>
        <w:t xml:space="preserve">Οι άνδρες με υποκείμενα σημεία και συμπτώματα κατάθλιψης </w:t>
      </w:r>
      <w:r w:rsidR="00062619">
        <w:rPr>
          <w:iCs/>
          <w:noProof/>
          <w:szCs w:val="22"/>
        </w:rPr>
        <w:t>πρέπει</w:t>
      </w:r>
      <w:r w:rsidRPr="001F3AFA">
        <w:rPr>
          <w:iCs/>
          <w:noProof/>
          <w:szCs w:val="22"/>
        </w:rPr>
        <w:t xml:space="preserve"> να αξιολογούνται πριν από τη θεραπεία με </w:t>
      </w:r>
      <w:r w:rsidR="009A6B1B">
        <w:rPr>
          <w:iCs/>
          <w:noProof/>
          <w:szCs w:val="22"/>
        </w:rPr>
        <w:t xml:space="preserve">το </w:t>
      </w:r>
      <w:r w:rsidRPr="001F3AFA">
        <w:rPr>
          <w:iCs/>
          <w:noProof/>
          <w:szCs w:val="22"/>
        </w:rPr>
        <w:t>Priligy για να αποκλειστούν οι μη διαγνωσμένες καταθλιπτικές διαταραχές. Η παράλληλη χορήγηση του Priligy με αντικαταθλιπτικά, συμπεριλαμβανομένων των SSRI και SNRI, αντενδείκνυται (βλέπε παράγραφο 4.3).</w:t>
      </w:r>
      <w:r w:rsidR="0098656C">
        <w:rPr>
          <w:iCs/>
          <w:noProof/>
          <w:szCs w:val="22"/>
        </w:rPr>
        <w:t xml:space="preserve"> </w:t>
      </w:r>
      <w:r w:rsidR="00A906A8">
        <w:rPr>
          <w:iCs/>
          <w:noProof/>
          <w:szCs w:val="22"/>
        </w:rPr>
        <w:t>Δ</w:t>
      </w:r>
      <w:r w:rsidR="00A906A8" w:rsidRPr="001F3AFA">
        <w:rPr>
          <w:iCs/>
          <w:noProof/>
          <w:szCs w:val="22"/>
        </w:rPr>
        <w:t>εν συνιστάται</w:t>
      </w:r>
      <w:r w:rsidR="00A906A8">
        <w:rPr>
          <w:iCs/>
          <w:noProof/>
          <w:szCs w:val="22"/>
        </w:rPr>
        <w:t xml:space="preserve"> </w:t>
      </w:r>
      <w:r w:rsidR="0098656C">
        <w:rPr>
          <w:iCs/>
          <w:noProof/>
          <w:szCs w:val="22"/>
        </w:rPr>
        <w:t>διακοπή της θεραπείας για τη</w:t>
      </w:r>
      <w:r w:rsidRPr="001F3AFA">
        <w:rPr>
          <w:iCs/>
          <w:noProof/>
          <w:szCs w:val="22"/>
        </w:rPr>
        <w:t xml:space="preserve"> </w:t>
      </w:r>
      <w:r w:rsidR="0098656C">
        <w:rPr>
          <w:iCs/>
          <w:noProof/>
          <w:szCs w:val="22"/>
        </w:rPr>
        <w:t>μείζονα κ</w:t>
      </w:r>
      <w:r w:rsidRPr="001F3AFA">
        <w:rPr>
          <w:iCs/>
          <w:noProof/>
          <w:szCs w:val="22"/>
        </w:rPr>
        <w:t xml:space="preserve">ατάθλιψη ή </w:t>
      </w:r>
      <w:r w:rsidR="00A906A8">
        <w:rPr>
          <w:iCs/>
          <w:noProof/>
          <w:szCs w:val="22"/>
        </w:rPr>
        <w:t xml:space="preserve">το </w:t>
      </w:r>
      <w:r w:rsidRPr="001F3AFA">
        <w:rPr>
          <w:iCs/>
          <w:noProof/>
          <w:szCs w:val="22"/>
        </w:rPr>
        <w:t>άγχος προκειμένου να ξεκινήσει η χορήγηση του Priligy για τη θερ</w:t>
      </w:r>
      <w:r w:rsidR="00A906A8">
        <w:rPr>
          <w:iCs/>
          <w:noProof/>
          <w:szCs w:val="22"/>
        </w:rPr>
        <w:t>απεία της πρόωρης εκσπερμάτισης.</w:t>
      </w:r>
      <w:r w:rsidRPr="001F3AFA">
        <w:rPr>
          <w:iCs/>
          <w:noProof/>
          <w:szCs w:val="22"/>
        </w:rPr>
        <w:t xml:space="preserve"> Το Priligy δεν ενδείκνυται για ψυχιατρικές διαταραχές και δεν </w:t>
      </w:r>
      <w:r w:rsidR="00062619">
        <w:rPr>
          <w:iCs/>
          <w:noProof/>
          <w:szCs w:val="22"/>
        </w:rPr>
        <w:t>πρέπει</w:t>
      </w:r>
      <w:r w:rsidRPr="001F3AFA">
        <w:rPr>
          <w:iCs/>
          <w:noProof/>
          <w:szCs w:val="22"/>
        </w:rPr>
        <w:t xml:space="preserve"> να χρησιμοποιείται σε άνδρες με διαταραχές </w:t>
      </w:r>
      <w:r w:rsidR="00A906A8">
        <w:rPr>
          <w:iCs/>
          <w:noProof/>
          <w:szCs w:val="22"/>
        </w:rPr>
        <w:t xml:space="preserve">αυτού του </w:t>
      </w:r>
      <w:r w:rsidR="00A906A8" w:rsidRPr="001F3AFA">
        <w:rPr>
          <w:iCs/>
          <w:noProof/>
          <w:szCs w:val="22"/>
        </w:rPr>
        <w:t xml:space="preserve">είδους </w:t>
      </w:r>
      <w:r w:rsidRPr="001F3AFA">
        <w:rPr>
          <w:iCs/>
          <w:noProof/>
          <w:szCs w:val="22"/>
        </w:rPr>
        <w:t xml:space="preserve">όπως είναι η σχιζοφρένεια, ή σε άνδρες που πάσχουν από συννοσηρή κατάθλιψη, καθώς </w:t>
      </w:r>
      <w:r w:rsidR="002974A3" w:rsidRPr="001F3AFA">
        <w:rPr>
          <w:iCs/>
          <w:noProof/>
          <w:szCs w:val="22"/>
        </w:rPr>
        <w:t xml:space="preserve">δεν μπορεί να αποκλειστεί </w:t>
      </w:r>
      <w:r w:rsidRPr="001F3AFA">
        <w:rPr>
          <w:iCs/>
          <w:noProof/>
          <w:szCs w:val="22"/>
        </w:rPr>
        <w:t xml:space="preserve">η επιδείνωση των συμπτωμάτων που σχετίζονται με την κατάθλιψη. Αυτό θα μπορούσε να είναι αποτέλεσμα </w:t>
      </w:r>
      <w:r w:rsidR="002974A3">
        <w:rPr>
          <w:iCs/>
          <w:noProof/>
          <w:szCs w:val="22"/>
        </w:rPr>
        <w:t xml:space="preserve">της </w:t>
      </w:r>
      <w:r w:rsidRPr="001F3AFA">
        <w:rPr>
          <w:iCs/>
          <w:noProof/>
          <w:szCs w:val="22"/>
        </w:rPr>
        <w:t xml:space="preserve">υποκείμενης ψυχιατρικής διαταραχής ή αποτέλεσμα της θεραπείας με το φαρμακευτικό προϊόν. Οι ιατροί </w:t>
      </w:r>
      <w:r w:rsidR="00062619">
        <w:rPr>
          <w:iCs/>
          <w:noProof/>
          <w:szCs w:val="22"/>
        </w:rPr>
        <w:t>πρέπει</w:t>
      </w:r>
      <w:r w:rsidRPr="001F3AFA">
        <w:rPr>
          <w:iCs/>
          <w:noProof/>
          <w:szCs w:val="22"/>
        </w:rPr>
        <w:t xml:space="preserve"> να ενθαρρύνουν τους ασθενείς να αναφέρουν καταθλιπτικές σκέψεις ή αισθήματα οποιαδήποτε στιγμή και, εάν εμφανιστούν σημεία και συμπτώματα κατάθλιψης κατά τη διάρκεια της θεραπείας, το Priligy </w:t>
      </w:r>
      <w:r w:rsidR="00062619">
        <w:rPr>
          <w:iCs/>
          <w:noProof/>
          <w:szCs w:val="22"/>
        </w:rPr>
        <w:t>πρέπει</w:t>
      </w:r>
      <w:r w:rsidRPr="001F3AFA">
        <w:rPr>
          <w:iCs/>
          <w:noProof/>
          <w:szCs w:val="22"/>
        </w:rPr>
        <w:t xml:space="preserve"> να </w:t>
      </w:r>
      <w:r w:rsidR="002974A3">
        <w:rPr>
          <w:iCs/>
          <w:noProof/>
          <w:szCs w:val="22"/>
        </w:rPr>
        <w:t>διακόπτεται</w:t>
      </w:r>
      <w:r w:rsidRPr="001F3AFA">
        <w:rPr>
          <w:iCs/>
          <w:noProof/>
          <w:szCs w:val="22"/>
        </w:rPr>
        <w:t>.</w:t>
      </w:r>
    </w:p>
    <w:p w:rsidR="000B3D90" w:rsidRPr="001F3AFA" w:rsidRDefault="000B3D90" w:rsidP="00DD10F5">
      <w:pPr>
        <w:rPr>
          <w:iCs/>
          <w:noProof/>
          <w:szCs w:val="22"/>
        </w:rPr>
      </w:pPr>
    </w:p>
    <w:p w:rsidR="000B3D90" w:rsidRPr="0007023B" w:rsidRDefault="000B3D90" w:rsidP="00DD10F5">
      <w:pPr>
        <w:rPr>
          <w:noProof/>
          <w:szCs w:val="22"/>
          <w:u w:val="single"/>
          <w:lang w:val="en-US"/>
        </w:rPr>
      </w:pPr>
      <w:r w:rsidRPr="00F51C5E">
        <w:rPr>
          <w:noProof/>
          <w:szCs w:val="22"/>
          <w:u w:val="single"/>
        </w:rPr>
        <w:t>Aιμορραγία</w:t>
      </w:r>
    </w:p>
    <w:p w:rsidR="000B3D90" w:rsidRPr="001F3AFA" w:rsidRDefault="000B3D90" w:rsidP="00DD10F5">
      <w:pPr>
        <w:rPr>
          <w:iCs/>
          <w:noProof/>
          <w:szCs w:val="22"/>
        </w:rPr>
      </w:pPr>
      <w:r w:rsidRPr="001F3AFA">
        <w:rPr>
          <w:iCs/>
          <w:noProof/>
          <w:szCs w:val="22"/>
        </w:rPr>
        <w:t xml:space="preserve">Έχουν υπάρξει αναφορές αιμορραγικών ανωμαλιών με τους SSRI. Συνιστάται προσοχή στους ασθενείς που λαμβάνουν Priligy, ειδικά κατά την παράλληλη χρήση με φαρμακευτικά προϊόντα που είναι γνωστό ότι επηρεάζουν τη λειτουργία των αιμοπεταλίων (π.χ. </w:t>
      </w:r>
      <w:r w:rsidR="002974A3">
        <w:rPr>
          <w:iCs/>
          <w:noProof/>
          <w:szCs w:val="22"/>
        </w:rPr>
        <w:t>άτυπα</w:t>
      </w:r>
      <w:r w:rsidR="002974A3" w:rsidRPr="001F3AFA">
        <w:rPr>
          <w:iCs/>
          <w:noProof/>
          <w:szCs w:val="22"/>
        </w:rPr>
        <w:t xml:space="preserve"> </w:t>
      </w:r>
      <w:r w:rsidRPr="001F3AFA">
        <w:rPr>
          <w:iCs/>
          <w:noProof/>
          <w:szCs w:val="22"/>
        </w:rPr>
        <w:t>αντιψυχω</w:t>
      </w:r>
      <w:r w:rsidR="002974A3">
        <w:rPr>
          <w:iCs/>
          <w:noProof/>
          <w:szCs w:val="22"/>
        </w:rPr>
        <w:t>σ</w:t>
      </w:r>
      <w:r w:rsidRPr="001F3AFA">
        <w:rPr>
          <w:iCs/>
          <w:noProof/>
          <w:szCs w:val="22"/>
        </w:rPr>
        <w:t>ικά και φαινοθειαζίνες, ακετυλοσαλικυλικό οξύ, μη στεροειδή αντιφλεγμονώδη φάρμακα [ΜΣΑΦ], αντιαιμοπεταλιακο</w:t>
      </w:r>
      <w:r w:rsidR="00A906A8">
        <w:rPr>
          <w:iCs/>
          <w:noProof/>
          <w:szCs w:val="22"/>
        </w:rPr>
        <w:t>ί</w:t>
      </w:r>
      <w:r w:rsidRPr="001F3AFA">
        <w:rPr>
          <w:iCs/>
          <w:noProof/>
          <w:szCs w:val="22"/>
        </w:rPr>
        <w:t xml:space="preserve"> παράγοντες) ή αντιπηκτικά (π.χ. βαρφαρίνη), καθώς και σε ασθενείς με ιστορικό αιμορραγικών διαταραχών ή διαταραχών της πηκτικότητας (βλέπε παράγραφο 4.5).</w:t>
      </w:r>
    </w:p>
    <w:p w:rsidR="000B3D90" w:rsidRPr="001F3AFA" w:rsidRDefault="000B3D90" w:rsidP="00DD10F5">
      <w:pPr>
        <w:rPr>
          <w:iCs/>
          <w:noProof/>
          <w:szCs w:val="22"/>
        </w:rPr>
      </w:pPr>
    </w:p>
    <w:p w:rsidR="000B3D90" w:rsidRPr="00F51C5E" w:rsidRDefault="000B3D90" w:rsidP="00DD10F5">
      <w:pPr>
        <w:rPr>
          <w:noProof/>
          <w:szCs w:val="22"/>
          <w:u w:val="single"/>
        </w:rPr>
      </w:pPr>
      <w:r w:rsidRPr="00F51C5E">
        <w:rPr>
          <w:noProof/>
          <w:szCs w:val="22"/>
          <w:u w:val="single"/>
        </w:rPr>
        <w:t>Νεφρική δυσλειτουργία</w:t>
      </w:r>
    </w:p>
    <w:p w:rsidR="000B3D90" w:rsidRPr="001F3AFA" w:rsidRDefault="000B3D90" w:rsidP="00DD10F5">
      <w:pPr>
        <w:rPr>
          <w:iCs/>
          <w:noProof/>
          <w:szCs w:val="22"/>
        </w:rPr>
      </w:pPr>
      <w:r w:rsidRPr="001F3AFA">
        <w:rPr>
          <w:iCs/>
          <w:noProof/>
          <w:szCs w:val="22"/>
        </w:rPr>
        <w:t xml:space="preserve">Το Priligy δεν συνιστάται για χρήση σε ασθενείς με σοβαρή νεφρική δυσλειτουργία και συνιστάται προσοχή σε ασθενείς με ήπια ή μέτρια νεφρική δυσλειτουργία (βλέπε </w:t>
      </w:r>
      <w:r w:rsidR="009049A7">
        <w:rPr>
          <w:iCs/>
          <w:noProof/>
          <w:szCs w:val="22"/>
        </w:rPr>
        <w:t>παραγράφους</w:t>
      </w:r>
      <w:r w:rsidRPr="001F3AFA">
        <w:rPr>
          <w:iCs/>
          <w:noProof/>
          <w:szCs w:val="22"/>
        </w:rPr>
        <w:t xml:space="preserve"> 4.2 και 5.2).</w:t>
      </w:r>
    </w:p>
    <w:p w:rsidR="000B3D90" w:rsidRPr="001F3AFA" w:rsidRDefault="000B3D90" w:rsidP="00DD10F5">
      <w:pPr>
        <w:rPr>
          <w:iCs/>
          <w:noProof/>
          <w:szCs w:val="22"/>
        </w:rPr>
      </w:pPr>
    </w:p>
    <w:p w:rsidR="000B3D90" w:rsidRPr="0007023B" w:rsidRDefault="00154989" w:rsidP="00DD10F5">
      <w:pPr>
        <w:rPr>
          <w:noProof/>
          <w:szCs w:val="22"/>
          <w:u w:val="single"/>
        </w:rPr>
      </w:pPr>
      <w:r>
        <w:rPr>
          <w:noProof/>
          <w:szCs w:val="22"/>
          <w:u w:val="single"/>
        </w:rPr>
        <w:t>Συμπτώματα</w:t>
      </w:r>
      <w:r w:rsidRPr="00F51C5E">
        <w:rPr>
          <w:noProof/>
          <w:szCs w:val="22"/>
          <w:u w:val="single"/>
        </w:rPr>
        <w:t xml:space="preserve"> </w:t>
      </w:r>
      <w:r w:rsidR="000B3D90" w:rsidRPr="00F51C5E">
        <w:rPr>
          <w:noProof/>
          <w:szCs w:val="22"/>
          <w:u w:val="single"/>
        </w:rPr>
        <w:t>απόσυρσης</w:t>
      </w:r>
    </w:p>
    <w:p w:rsidR="000B3D90" w:rsidRPr="0007023B" w:rsidRDefault="000B3D90" w:rsidP="00DD10F5">
      <w:pPr>
        <w:rPr>
          <w:iCs/>
          <w:noProof/>
          <w:szCs w:val="22"/>
        </w:rPr>
      </w:pPr>
      <w:r w:rsidRPr="001F3AFA">
        <w:rPr>
          <w:iCs/>
          <w:noProof/>
          <w:szCs w:val="22"/>
        </w:rPr>
        <w:t xml:space="preserve">Η απότομη διακοπή των χρόνια χορηγούμενων SSRI που χρησιμοποιούνται για τη θεραπεία των χρόνιων καταθλιπτικών διαταραχών έχει αναφερθεί </w:t>
      </w:r>
      <w:r w:rsidR="00A906A8">
        <w:rPr>
          <w:iCs/>
          <w:noProof/>
          <w:szCs w:val="22"/>
        </w:rPr>
        <w:t>ότι οδηγεί στα ακόλουθα συμπτώματα</w:t>
      </w:r>
      <w:r w:rsidRPr="001F3AFA">
        <w:rPr>
          <w:iCs/>
          <w:noProof/>
          <w:szCs w:val="22"/>
        </w:rPr>
        <w:t xml:space="preserve">: Δυσφορική συναισθηματική διάθεση, ευερεθιστότητα, διέγερση, ζάλη, </w:t>
      </w:r>
      <w:r w:rsidR="00154989">
        <w:rPr>
          <w:iCs/>
          <w:noProof/>
          <w:szCs w:val="22"/>
        </w:rPr>
        <w:t>αισθητικές</w:t>
      </w:r>
      <w:r w:rsidR="00154989" w:rsidRPr="001F3AFA">
        <w:rPr>
          <w:iCs/>
          <w:noProof/>
          <w:szCs w:val="22"/>
        </w:rPr>
        <w:t xml:space="preserve"> </w:t>
      </w:r>
      <w:r w:rsidRPr="001F3AFA">
        <w:rPr>
          <w:iCs/>
          <w:noProof/>
          <w:szCs w:val="22"/>
        </w:rPr>
        <w:t>διαταραχές (π.χ. παραισθ</w:t>
      </w:r>
      <w:r w:rsidR="00A906A8">
        <w:rPr>
          <w:iCs/>
          <w:noProof/>
          <w:szCs w:val="22"/>
        </w:rPr>
        <w:t>ησίες</w:t>
      </w:r>
      <w:r w:rsidRPr="001F3AFA">
        <w:rPr>
          <w:iCs/>
          <w:noProof/>
          <w:szCs w:val="22"/>
        </w:rPr>
        <w:t xml:space="preserve"> όπως αίσθηση ηλεκτρικού σοκ), άγχος, σύγχυση, </w:t>
      </w:r>
      <w:r w:rsidR="00925DE8">
        <w:rPr>
          <w:iCs/>
          <w:noProof/>
          <w:szCs w:val="22"/>
        </w:rPr>
        <w:t>κεφαλαλγία</w:t>
      </w:r>
      <w:r w:rsidRPr="001F3AFA">
        <w:rPr>
          <w:iCs/>
          <w:noProof/>
          <w:szCs w:val="22"/>
        </w:rPr>
        <w:t>, λήθαργος, συναισθηματική αστάθεια, αϋπνία και υπομανία.</w:t>
      </w:r>
    </w:p>
    <w:p w:rsidR="000B3D90" w:rsidRPr="001F3AFA" w:rsidRDefault="000B3D90" w:rsidP="00DD10F5">
      <w:pPr>
        <w:rPr>
          <w:iCs/>
          <w:noProof/>
          <w:szCs w:val="22"/>
        </w:rPr>
      </w:pPr>
      <w:r w:rsidRPr="001F3AFA">
        <w:rPr>
          <w:iCs/>
          <w:noProof/>
          <w:szCs w:val="22"/>
        </w:rPr>
        <w:lastRenderedPageBreak/>
        <w:t xml:space="preserve">Μία διπλά τυφλή κλινική δοκιμή σε άτομα με πρόωρη εκσπερμάτιση, η οποία σχεδιάστηκε για να αξιολογήσει τις επιδράσεις απόσυρσης </w:t>
      </w:r>
      <w:r w:rsidR="00A906A8">
        <w:rPr>
          <w:iCs/>
          <w:noProof/>
          <w:szCs w:val="22"/>
        </w:rPr>
        <w:t xml:space="preserve">στις </w:t>
      </w:r>
      <w:r w:rsidRPr="001F3AFA">
        <w:rPr>
          <w:iCs/>
          <w:noProof/>
          <w:szCs w:val="22"/>
        </w:rPr>
        <w:t xml:space="preserve">62 </w:t>
      </w:r>
      <w:r w:rsidR="00A906A8">
        <w:rPr>
          <w:iCs/>
          <w:noProof/>
          <w:szCs w:val="22"/>
        </w:rPr>
        <w:t>ημέρες</w:t>
      </w:r>
      <w:r w:rsidRPr="001F3AFA">
        <w:rPr>
          <w:iCs/>
          <w:noProof/>
          <w:szCs w:val="22"/>
        </w:rPr>
        <w:t xml:space="preserve"> </w:t>
      </w:r>
      <w:r w:rsidR="00925DE8">
        <w:rPr>
          <w:iCs/>
          <w:noProof/>
          <w:szCs w:val="22"/>
        </w:rPr>
        <w:t xml:space="preserve">με </w:t>
      </w:r>
      <w:r w:rsidRPr="001F3AFA">
        <w:rPr>
          <w:iCs/>
          <w:noProof/>
          <w:szCs w:val="22"/>
        </w:rPr>
        <w:t>ημερήσια δόση</w:t>
      </w:r>
      <w:r w:rsidR="00A906A8" w:rsidRPr="001F3AFA">
        <w:rPr>
          <w:iCs/>
          <w:noProof/>
          <w:szCs w:val="22"/>
        </w:rPr>
        <w:t xml:space="preserve"> 60</w:t>
      </w:r>
      <w:r w:rsidR="00DC18E3">
        <w:rPr>
          <w:iCs/>
          <w:noProof/>
          <w:szCs w:val="22"/>
        </w:rPr>
        <w:t> mg</w:t>
      </w:r>
      <w:r w:rsidR="00A906A8">
        <w:rPr>
          <w:iCs/>
          <w:noProof/>
          <w:szCs w:val="22"/>
        </w:rPr>
        <w:t xml:space="preserve"> </w:t>
      </w:r>
      <w:r w:rsidR="00925DE8">
        <w:rPr>
          <w:iCs/>
          <w:noProof/>
          <w:szCs w:val="22"/>
          <w:lang w:val="en-US"/>
        </w:rPr>
        <w:t>Priligy</w:t>
      </w:r>
      <w:r w:rsidR="00925DE8" w:rsidRPr="00925DE8">
        <w:rPr>
          <w:iCs/>
          <w:noProof/>
          <w:szCs w:val="22"/>
        </w:rPr>
        <w:t xml:space="preserve"> </w:t>
      </w:r>
      <w:r w:rsidRPr="001F3AFA">
        <w:rPr>
          <w:iCs/>
          <w:noProof/>
          <w:szCs w:val="22"/>
        </w:rPr>
        <w:t>ή δόση 60</w:t>
      </w:r>
      <w:r w:rsidR="00DC18E3">
        <w:rPr>
          <w:iCs/>
          <w:noProof/>
          <w:szCs w:val="22"/>
        </w:rPr>
        <w:t> mg</w:t>
      </w:r>
      <w:r w:rsidRPr="001F3AFA">
        <w:rPr>
          <w:iCs/>
          <w:noProof/>
          <w:szCs w:val="22"/>
        </w:rPr>
        <w:t xml:space="preserve"> Priligy ανάλογα με τις ανάγκες </w:t>
      </w:r>
      <w:r w:rsidR="00925DE8">
        <w:rPr>
          <w:iCs/>
          <w:noProof/>
          <w:szCs w:val="22"/>
        </w:rPr>
        <w:t xml:space="preserve">κατέδειξε ήπια συμπτώματα απόσυρσης </w:t>
      </w:r>
      <w:r w:rsidRPr="001F3AFA">
        <w:rPr>
          <w:iCs/>
          <w:noProof/>
          <w:szCs w:val="22"/>
        </w:rPr>
        <w:t xml:space="preserve">με ελαφρώς υψηλότερη επίπτωση </w:t>
      </w:r>
      <w:r w:rsidR="00925DE8">
        <w:rPr>
          <w:iCs/>
          <w:noProof/>
          <w:szCs w:val="22"/>
        </w:rPr>
        <w:t>στην αϋπνία και τη ζάλη</w:t>
      </w:r>
      <w:r w:rsidRPr="001F3AFA">
        <w:rPr>
          <w:iCs/>
          <w:noProof/>
          <w:szCs w:val="22"/>
        </w:rPr>
        <w:t xml:space="preserve"> σε άτομ</w:t>
      </w:r>
      <w:r w:rsidR="00B35522">
        <w:rPr>
          <w:iCs/>
          <w:noProof/>
          <w:szCs w:val="22"/>
        </w:rPr>
        <w:t>α</w:t>
      </w:r>
      <w:r w:rsidRPr="001F3AFA">
        <w:rPr>
          <w:iCs/>
          <w:noProof/>
          <w:szCs w:val="22"/>
        </w:rPr>
        <w:t xml:space="preserve"> που </w:t>
      </w:r>
      <w:r w:rsidR="00B35522">
        <w:rPr>
          <w:iCs/>
          <w:noProof/>
          <w:szCs w:val="22"/>
        </w:rPr>
        <w:t>μεταφέρθηκαν στην ομάδα με το</w:t>
      </w:r>
      <w:r w:rsidRPr="001F3AFA">
        <w:rPr>
          <w:iCs/>
          <w:noProof/>
          <w:szCs w:val="22"/>
        </w:rPr>
        <w:t xml:space="preserve"> εικονικό φάρμακο μετά από </w:t>
      </w:r>
      <w:r w:rsidR="00B35522">
        <w:rPr>
          <w:iCs/>
          <w:noProof/>
          <w:szCs w:val="22"/>
        </w:rPr>
        <w:t>καθημερινή</w:t>
      </w:r>
      <w:r w:rsidR="00B35522" w:rsidRPr="001F3AFA">
        <w:rPr>
          <w:iCs/>
          <w:noProof/>
          <w:szCs w:val="22"/>
        </w:rPr>
        <w:t xml:space="preserve"> </w:t>
      </w:r>
      <w:r w:rsidR="00B35522">
        <w:rPr>
          <w:iCs/>
          <w:noProof/>
          <w:szCs w:val="22"/>
        </w:rPr>
        <w:t>χορήγηση</w:t>
      </w:r>
      <w:r w:rsidR="00B35522" w:rsidRPr="001F3AFA">
        <w:rPr>
          <w:iCs/>
          <w:noProof/>
          <w:szCs w:val="22"/>
        </w:rPr>
        <w:t xml:space="preserve"> </w:t>
      </w:r>
      <w:r w:rsidRPr="001F3AFA">
        <w:rPr>
          <w:iCs/>
          <w:noProof/>
          <w:szCs w:val="22"/>
        </w:rPr>
        <w:t>(βλέπε παράγραφο 5.1).</w:t>
      </w:r>
    </w:p>
    <w:p w:rsidR="000B3D90" w:rsidRPr="001F3AFA" w:rsidRDefault="000B3D90" w:rsidP="00DD10F5">
      <w:pPr>
        <w:rPr>
          <w:iCs/>
          <w:noProof/>
          <w:szCs w:val="22"/>
        </w:rPr>
      </w:pPr>
    </w:p>
    <w:p w:rsidR="000B3D90" w:rsidRPr="0007023B" w:rsidRDefault="000B3D90" w:rsidP="00DD10F5">
      <w:pPr>
        <w:rPr>
          <w:noProof/>
          <w:szCs w:val="22"/>
          <w:u w:val="single"/>
          <w:lang w:val="en-US"/>
        </w:rPr>
      </w:pPr>
      <w:r w:rsidRPr="00F51C5E">
        <w:rPr>
          <w:noProof/>
          <w:szCs w:val="22"/>
          <w:u w:val="single"/>
        </w:rPr>
        <w:t>Δυσανεξία στη λακτόζη</w:t>
      </w:r>
    </w:p>
    <w:p w:rsidR="00B86D1B" w:rsidRPr="001F3AFA" w:rsidRDefault="000B3D90" w:rsidP="00DD10F5">
      <w:pPr>
        <w:rPr>
          <w:i/>
          <w:noProof/>
          <w:szCs w:val="22"/>
        </w:rPr>
      </w:pPr>
      <w:r w:rsidRPr="001F3AFA">
        <w:rPr>
          <w:iCs/>
          <w:noProof/>
          <w:szCs w:val="22"/>
        </w:rPr>
        <w:t xml:space="preserve">Οι ασθενείς µε σπάνια κληρονομικά </w:t>
      </w:r>
      <w:r w:rsidR="00B30436">
        <w:rPr>
          <w:iCs/>
          <w:noProof/>
          <w:szCs w:val="22"/>
        </w:rPr>
        <w:t>προβλήματα</w:t>
      </w:r>
      <w:r w:rsidR="00B30436" w:rsidRPr="001F3AFA">
        <w:rPr>
          <w:iCs/>
          <w:noProof/>
          <w:szCs w:val="22"/>
        </w:rPr>
        <w:t xml:space="preserve"> </w:t>
      </w:r>
      <w:r w:rsidRPr="001F3AFA">
        <w:rPr>
          <w:iCs/>
          <w:noProof/>
          <w:szCs w:val="22"/>
        </w:rPr>
        <w:t>δυσανεξίας στη γαλακτόζη, ανεπάρκεια</w:t>
      </w:r>
      <w:r w:rsidR="00B30436">
        <w:rPr>
          <w:iCs/>
          <w:noProof/>
          <w:szCs w:val="22"/>
        </w:rPr>
        <w:t>ς</w:t>
      </w:r>
      <w:r w:rsidRPr="001F3AFA">
        <w:rPr>
          <w:iCs/>
          <w:noProof/>
          <w:szCs w:val="22"/>
        </w:rPr>
        <w:t xml:space="preserve"> της Lapp λακτάσης ή δυσαπορρόφηση</w:t>
      </w:r>
      <w:r w:rsidR="00B30436">
        <w:rPr>
          <w:iCs/>
          <w:noProof/>
          <w:szCs w:val="22"/>
        </w:rPr>
        <w:t>ς</w:t>
      </w:r>
      <w:r w:rsidRPr="001F3AFA">
        <w:rPr>
          <w:iCs/>
          <w:noProof/>
          <w:szCs w:val="22"/>
        </w:rPr>
        <w:t xml:space="preserve"> γλυκόζης-γαλακτόζης δεν </w:t>
      </w:r>
      <w:r w:rsidR="00062619">
        <w:rPr>
          <w:iCs/>
          <w:noProof/>
          <w:szCs w:val="22"/>
        </w:rPr>
        <w:t>πρέπει</w:t>
      </w:r>
      <w:r w:rsidRPr="001F3AFA">
        <w:rPr>
          <w:iCs/>
          <w:noProof/>
          <w:szCs w:val="22"/>
        </w:rPr>
        <w:t xml:space="preserve"> να </w:t>
      </w:r>
      <w:r w:rsidR="00A906A8">
        <w:rPr>
          <w:iCs/>
          <w:noProof/>
          <w:szCs w:val="22"/>
        </w:rPr>
        <w:t>παίρνουν</w:t>
      </w:r>
      <w:r w:rsidRPr="001F3AFA">
        <w:rPr>
          <w:iCs/>
          <w:noProof/>
          <w:szCs w:val="22"/>
        </w:rPr>
        <w:t xml:space="preserve"> αυτό το φάρμακο.</w:t>
      </w:r>
    </w:p>
    <w:p w:rsidR="00B86D1B" w:rsidRPr="001F3AFA" w:rsidRDefault="00B86D1B" w:rsidP="00DD10F5">
      <w:pPr>
        <w:rPr>
          <w:szCs w:val="22"/>
        </w:rPr>
      </w:pPr>
    </w:p>
    <w:p w:rsidR="00B86D1B" w:rsidRPr="001F3AFA" w:rsidRDefault="00B86D1B" w:rsidP="00DD10F5">
      <w:pPr>
        <w:rPr>
          <w:szCs w:val="22"/>
        </w:rPr>
      </w:pPr>
      <w:r w:rsidRPr="001F3AFA">
        <w:rPr>
          <w:b/>
          <w:szCs w:val="22"/>
        </w:rPr>
        <w:t>4.5</w:t>
      </w:r>
      <w:r w:rsidRPr="001F3AFA">
        <w:rPr>
          <w:b/>
          <w:szCs w:val="22"/>
        </w:rPr>
        <w:tab/>
        <w:t>Αλληλεπιδράσεις με άλλα φαρμακευτικά προϊόντα και άλλες μορφές αλληλεπίδρασης</w:t>
      </w:r>
    </w:p>
    <w:p w:rsidR="00B86D1B" w:rsidRPr="001F3AFA" w:rsidRDefault="00B86D1B" w:rsidP="00DD10F5">
      <w:pPr>
        <w:rPr>
          <w:szCs w:val="22"/>
        </w:rPr>
      </w:pPr>
    </w:p>
    <w:p w:rsidR="001A2FFE" w:rsidRPr="00B65339" w:rsidRDefault="001A2FFE" w:rsidP="00DD10F5">
      <w:pPr>
        <w:keepNext/>
        <w:keepLines/>
        <w:rPr>
          <w:b/>
          <w:i/>
          <w:szCs w:val="22"/>
          <w:u w:val="single"/>
        </w:rPr>
      </w:pPr>
      <w:r w:rsidRPr="00B65339">
        <w:rPr>
          <w:b/>
          <w:i/>
          <w:szCs w:val="22"/>
          <w:u w:val="single"/>
        </w:rPr>
        <w:t>Φαρµακοδυναµικές αλληλεπιδράσεις</w:t>
      </w:r>
    </w:p>
    <w:p w:rsidR="000213BC" w:rsidRPr="0007023B" w:rsidRDefault="000213BC" w:rsidP="00DD10F5">
      <w:pPr>
        <w:rPr>
          <w:noProof/>
          <w:szCs w:val="22"/>
          <w:u w:val="single"/>
        </w:rPr>
      </w:pPr>
      <w:r w:rsidRPr="00F51C5E">
        <w:rPr>
          <w:noProof/>
          <w:szCs w:val="22"/>
          <w:u w:val="single"/>
        </w:rPr>
        <w:t xml:space="preserve">Πιθανότητα αλληλεπίδρασης με αναστολείς της µονοαµινοξειδάσης </w:t>
      </w:r>
    </w:p>
    <w:p w:rsidR="000213BC" w:rsidRPr="001F3AFA" w:rsidRDefault="000213BC" w:rsidP="00DD10F5">
      <w:pPr>
        <w:rPr>
          <w:noProof/>
          <w:szCs w:val="22"/>
        </w:rPr>
      </w:pPr>
      <w:r w:rsidRPr="001F3AFA">
        <w:rPr>
          <w:noProof/>
          <w:szCs w:val="22"/>
        </w:rPr>
        <w:t>Σε ασθενείς που λαμβάνουν SSRI σε συνδυασμό με αναστολέα της µονοαµινοξειδάσης (</w:t>
      </w:r>
      <w:r w:rsidR="003B68EC">
        <w:rPr>
          <w:noProof/>
          <w:szCs w:val="22"/>
        </w:rPr>
        <w:t>MAO</w:t>
      </w:r>
      <w:r w:rsidRPr="001F3AFA">
        <w:rPr>
          <w:noProof/>
          <w:szCs w:val="22"/>
        </w:rPr>
        <w:t>), έχουν υπάρξει αναφορές σοβαρών, μερικές φορές θανατηφόρων αντιδράσεων</w:t>
      </w:r>
      <w:r w:rsidR="000B0336" w:rsidRPr="001F3AFA">
        <w:rPr>
          <w:noProof/>
          <w:szCs w:val="22"/>
        </w:rPr>
        <w:t>,</w:t>
      </w:r>
      <w:r w:rsidRPr="001F3AFA">
        <w:rPr>
          <w:noProof/>
          <w:szCs w:val="22"/>
        </w:rPr>
        <w:t xml:space="preserve"> στις οποίες περιλαμβάνεται η υπερθερμία, η </w:t>
      </w:r>
      <w:r w:rsidR="00A7792C">
        <w:rPr>
          <w:noProof/>
          <w:szCs w:val="22"/>
        </w:rPr>
        <w:t>α</w:t>
      </w:r>
      <w:r w:rsidRPr="001F3AFA">
        <w:rPr>
          <w:noProof/>
          <w:szCs w:val="22"/>
        </w:rPr>
        <w:t>καμψία, ο μυόκλωνος, η αστάθεια</w:t>
      </w:r>
      <w:r w:rsidR="00A7792C">
        <w:rPr>
          <w:noProof/>
          <w:szCs w:val="22"/>
        </w:rPr>
        <w:t xml:space="preserve"> του αυτόνομου νευρικού συστήματος</w:t>
      </w:r>
      <w:r w:rsidRPr="001F3AFA">
        <w:rPr>
          <w:noProof/>
          <w:szCs w:val="22"/>
        </w:rPr>
        <w:t xml:space="preserve"> με πιθανές ταχεί</w:t>
      </w:r>
      <w:r w:rsidR="000B0336">
        <w:rPr>
          <w:noProof/>
          <w:szCs w:val="22"/>
        </w:rPr>
        <w:t>ε</w:t>
      </w:r>
      <w:r w:rsidRPr="001F3AFA">
        <w:rPr>
          <w:noProof/>
          <w:szCs w:val="22"/>
        </w:rPr>
        <w:t>ς διακυμάνσεις των ζωτικών σημείων και οι αλλαγές της</w:t>
      </w:r>
      <w:r w:rsidR="000B0336">
        <w:rPr>
          <w:noProof/>
          <w:szCs w:val="22"/>
        </w:rPr>
        <w:t xml:space="preserve"> </w:t>
      </w:r>
      <w:r w:rsidR="00840BBD">
        <w:rPr>
          <w:noProof/>
          <w:szCs w:val="22"/>
        </w:rPr>
        <w:t>νοητική</w:t>
      </w:r>
      <w:r w:rsidR="000B0336">
        <w:rPr>
          <w:noProof/>
          <w:szCs w:val="22"/>
        </w:rPr>
        <w:t xml:space="preserve">ς κατάστασης, στις οποίες </w:t>
      </w:r>
      <w:r w:rsidRPr="001F3AFA">
        <w:rPr>
          <w:noProof/>
          <w:szCs w:val="22"/>
        </w:rPr>
        <w:t>περιλαμβάν</w:t>
      </w:r>
      <w:r w:rsidR="000B0336">
        <w:rPr>
          <w:noProof/>
          <w:szCs w:val="22"/>
        </w:rPr>
        <w:t>εται η</w:t>
      </w:r>
      <w:r w:rsidRPr="001F3AFA">
        <w:rPr>
          <w:noProof/>
          <w:szCs w:val="22"/>
        </w:rPr>
        <w:t xml:space="preserve"> ακραία διέγερση που </w:t>
      </w:r>
      <w:r w:rsidR="00531672">
        <w:rPr>
          <w:noProof/>
          <w:szCs w:val="22"/>
        </w:rPr>
        <w:t>εξελίσσεται</w:t>
      </w:r>
      <w:r w:rsidR="00531672" w:rsidRPr="001F3AFA">
        <w:rPr>
          <w:noProof/>
          <w:szCs w:val="22"/>
        </w:rPr>
        <w:t xml:space="preserve"> </w:t>
      </w:r>
      <w:r w:rsidRPr="001F3AFA">
        <w:rPr>
          <w:noProof/>
          <w:szCs w:val="22"/>
        </w:rPr>
        <w:t xml:space="preserve">σε παραλήρημα και κώμα. Οι αντιδράσεις αυτές έχουν επίσης αναφερθεί σε ασθενείς που έχουν διακόψει πρόσφατα τη λήψη SSRI και έχουν ξεκινήσει να λαμβάνουν </w:t>
      </w:r>
      <w:r w:rsidR="003B68EC">
        <w:rPr>
          <w:noProof/>
          <w:szCs w:val="22"/>
        </w:rPr>
        <w:t xml:space="preserve">αναστολέα </w:t>
      </w:r>
      <w:r w:rsidRPr="001F3AFA">
        <w:rPr>
          <w:noProof/>
          <w:szCs w:val="22"/>
        </w:rPr>
        <w:t xml:space="preserve">MAO. </w:t>
      </w:r>
      <w:r w:rsidR="000B0336">
        <w:rPr>
          <w:noProof/>
          <w:szCs w:val="22"/>
        </w:rPr>
        <w:t>Ορισμένα</w:t>
      </w:r>
      <w:r w:rsidRPr="001F3AFA">
        <w:rPr>
          <w:noProof/>
          <w:szCs w:val="22"/>
        </w:rPr>
        <w:t xml:space="preserve"> περιστατικά παρουσ</w:t>
      </w:r>
      <w:r w:rsidR="000B0336">
        <w:rPr>
          <w:noProof/>
          <w:szCs w:val="22"/>
        </w:rPr>
        <w:t>ίασαν</w:t>
      </w:r>
      <w:r w:rsidRPr="001F3AFA">
        <w:rPr>
          <w:noProof/>
          <w:szCs w:val="22"/>
        </w:rPr>
        <w:t xml:space="preserve"> χαρακτηριστικά που μοιάζουν με κακόηθες νευροληπτικό σύνδρομο. Τα δεδομένα σε ζώα για τις επιδράσεις της συνδυασμένης χρήσης SSRI και </w:t>
      </w:r>
      <w:r w:rsidR="003B68EC">
        <w:rPr>
          <w:noProof/>
          <w:szCs w:val="22"/>
        </w:rPr>
        <w:t>αναστολέα MAO</w:t>
      </w:r>
      <w:r w:rsidRPr="001F3AFA">
        <w:rPr>
          <w:noProof/>
          <w:szCs w:val="22"/>
        </w:rPr>
        <w:t xml:space="preserve"> </w:t>
      </w:r>
      <w:r w:rsidR="000B0336">
        <w:rPr>
          <w:noProof/>
          <w:szCs w:val="22"/>
        </w:rPr>
        <w:t>υποδεικνύουν</w:t>
      </w:r>
      <w:r w:rsidRPr="001F3AFA">
        <w:rPr>
          <w:noProof/>
          <w:szCs w:val="22"/>
        </w:rPr>
        <w:t xml:space="preserve"> ότι τα εν λόγω φαρμακευτικά προϊόντα μπορεί να δράσουν συνεργικά για να αυξήσουν την αρτηριακή πίεση και να προκαλέσουν συμπεριφορά διέγερσης. Επομένως, το Priligy δεν </w:t>
      </w:r>
      <w:r w:rsidR="00062619">
        <w:rPr>
          <w:noProof/>
          <w:szCs w:val="22"/>
        </w:rPr>
        <w:t>πρέπει</w:t>
      </w:r>
      <w:r w:rsidRPr="001F3AFA">
        <w:rPr>
          <w:noProof/>
          <w:szCs w:val="22"/>
        </w:rPr>
        <w:t xml:space="preserve"> να χρησιμοποι</w:t>
      </w:r>
      <w:r w:rsidR="000B0336">
        <w:rPr>
          <w:noProof/>
          <w:szCs w:val="22"/>
        </w:rPr>
        <w:t>είται</w:t>
      </w:r>
      <w:r w:rsidRPr="001F3AFA">
        <w:rPr>
          <w:noProof/>
          <w:szCs w:val="22"/>
        </w:rPr>
        <w:t xml:space="preserve"> σε συνδυασμό με </w:t>
      </w:r>
      <w:r w:rsidR="003B68EC">
        <w:rPr>
          <w:noProof/>
          <w:szCs w:val="22"/>
        </w:rPr>
        <w:t>αναστολέα MAO</w:t>
      </w:r>
      <w:r w:rsidRPr="001F3AFA">
        <w:rPr>
          <w:noProof/>
          <w:szCs w:val="22"/>
        </w:rPr>
        <w:t xml:space="preserve">, ή σε διάστημα 14 ημερών από τη διακοπή της θεραπείας με </w:t>
      </w:r>
      <w:r w:rsidR="003B68EC">
        <w:rPr>
          <w:noProof/>
          <w:szCs w:val="22"/>
        </w:rPr>
        <w:t>αναστολέα MAO</w:t>
      </w:r>
      <w:r w:rsidRPr="001F3AFA">
        <w:rPr>
          <w:noProof/>
          <w:szCs w:val="22"/>
        </w:rPr>
        <w:t xml:space="preserve">. Αντίστοιχα, ο </w:t>
      </w:r>
      <w:r w:rsidR="003B68EC">
        <w:rPr>
          <w:noProof/>
          <w:szCs w:val="22"/>
        </w:rPr>
        <w:t>αναστολέας MAO</w:t>
      </w:r>
      <w:r w:rsidRPr="001F3AFA">
        <w:rPr>
          <w:noProof/>
          <w:szCs w:val="22"/>
        </w:rPr>
        <w:t xml:space="preserve"> δεν </w:t>
      </w:r>
      <w:r w:rsidR="00062619">
        <w:rPr>
          <w:noProof/>
          <w:szCs w:val="22"/>
        </w:rPr>
        <w:t>πρέπει</w:t>
      </w:r>
      <w:r w:rsidRPr="001F3AFA">
        <w:rPr>
          <w:noProof/>
          <w:szCs w:val="22"/>
        </w:rPr>
        <w:t xml:space="preserve"> να χορηγείται σε διάστημα 7 ημερών μετά από τη διακοπή του Priligy (βλέπε παράγραφο 4.3).</w:t>
      </w:r>
    </w:p>
    <w:p w:rsidR="000213BC" w:rsidRPr="001F3AFA" w:rsidRDefault="000213BC" w:rsidP="00DD10F5">
      <w:pPr>
        <w:rPr>
          <w:noProof/>
          <w:szCs w:val="22"/>
        </w:rPr>
      </w:pPr>
    </w:p>
    <w:p w:rsidR="000213BC" w:rsidRPr="0007023B" w:rsidRDefault="000213BC" w:rsidP="00DD10F5">
      <w:pPr>
        <w:rPr>
          <w:noProof/>
          <w:szCs w:val="22"/>
          <w:u w:val="single"/>
          <w:lang w:val="en-US"/>
        </w:rPr>
      </w:pPr>
      <w:r w:rsidRPr="00F51C5E">
        <w:rPr>
          <w:noProof/>
          <w:szCs w:val="22"/>
          <w:u w:val="single"/>
        </w:rPr>
        <w:t xml:space="preserve">Πιθανότητα αλληλεπίδρασης με </w:t>
      </w:r>
      <w:r w:rsidR="000B0336" w:rsidRPr="00F51C5E">
        <w:rPr>
          <w:noProof/>
          <w:szCs w:val="22"/>
          <w:u w:val="single"/>
        </w:rPr>
        <w:t xml:space="preserve">τη </w:t>
      </w:r>
      <w:r w:rsidRPr="00F51C5E">
        <w:rPr>
          <w:noProof/>
          <w:szCs w:val="22"/>
          <w:u w:val="single"/>
        </w:rPr>
        <w:t>θειοριδαζίνη</w:t>
      </w:r>
    </w:p>
    <w:p w:rsidR="000213BC" w:rsidRPr="001F3AFA" w:rsidRDefault="000213BC" w:rsidP="00DD10F5">
      <w:pPr>
        <w:rPr>
          <w:noProof/>
          <w:szCs w:val="22"/>
        </w:rPr>
      </w:pPr>
      <w:r w:rsidRPr="001F3AFA">
        <w:rPr>
          <w:noProof/>
          <w:szCs w:val="22"/>
        </w:rPr>
        <w:t xml:space="preserve">Η χορήγηση θειοριδαζίνης και μόνο οδηγεί σε παράταση του διαστήματος QTc, </w:t>
      </w:r>
      <w:r w:rsidR="000B0336">
        <w:rPr>
          <w:noProof/>
          <w:szCs w:val="22"/>
        </w:rPr>
        <w:t>η</w:t>
      </w:r>
      <w:r w:rsidRPr="001F3AFA">
        <w:rPr>
          <w:noProof/>
          <w:szCs w:val="22"/>
        </w:rPr>
        <w:t xml:space="preserve"> οποί</w:t>
      </w:r>
      <w:r w:rsidR="000B0336">
        <w:rPr>
          <w:noProof/>
          <w:szCs w:val="22"/>
        </w:rPr>
        <w:t>α</w:t>
      </w:r>
      <w:r w:rsidRPr="001F3AFA">
        <w:rPr>
          <w:noProof/>
          <w:szCs w:val="22"/>
        </w:rPr>
        <w:t xml:space="preserve"> σχετίζεται με σοβαρές κοιλιακές αρρυθμίες. Φαρμακευτικά προϊόντα όπως είναι το Priligy</w:t>
      </w:r>
      <w:r w:rsidR="000B0336">
        <w:rPr>
          <w:noProof/>
          <w:szCs w:val="22"/>
        </w:rPr>
        <w:t>,</w:t>
      </w:r>
      <w:r w:rsidRPr="001F3AFA">
        <w:rPr>
          <w:noProof/>
          <w:szCs w:val="22"/>
        </w:rPr>
        <w:t xml:space="preserve"> τα οποία αναστέλλουν το ισοένζυμο CYP2D6</w:t>
      </w:r>
      <w:r w:rsidR="000B0336">
        <w:rPr>
          <w:noProof/>
          <w:szCs w:val="22"/>
        </w:rPr>
        <w:t>,</w:t>
      </w:r>
      <w:r w:rsidRPr="001F3AFA">
        <w:rPr>
          <w:noProof/>
          <w:szCs w:val="22"/>
        </w:rPr>
        <w:t xml:space="preserve"> φαίνεται να αναστέλλουν τον μεταβολισμό της θειοριδαζίνης και τα αυξημένα επίπεδα θειοριδαζίνης που </w:t>
      </w:r>
      <w:r w:rsidR="000B0336">
        <w:rPr>
          <w:noProof/>
          <w:szCs w:val="22"/>
        </w:rPr>
        <w:t>προκύπτουν</w:t>
      </w:r>
      <w:r w:rsidRPr="001F3AFA">
        <w:rPr>
          <w:noProof/>
          <w:szCs w:val="22"/>
        </w:rPr>
        <w:t xml:space="preserve"> αναμένεται να αυξήσουν </w:t>
      </w:r>
      <w:r w:rsidR="000B0336">
        <w:rPr>
          <w:noProof/>
          <w:szCs w:val="22"/>
        </w:rPr>
        <w:t>την</w:t>
      </w:r>
      <w:r w:rsidRPr="001F3AFA">
        <w:rPr>
          <w:noProof/>
          <w:szCs w:val="22"/>
        </w:rPr>
        <w:t xml:space="preserve"> παράταση του διαστήματος QTc. Το Priligy</w:t>
      </w:r>
      <w:r w:rsidR="000B0336">
        <w:rPr>
          <w:noProof/>
          <w:szCs w:val="22"/>
        </w:rPr>
        <w:t xml:space="preserve"> δεν </w:t>
      </w:r>
      <w:r w:rsidR="00062619">
        <w:rPr>
          <w:noProof/>
          <w:szCs w:val="22"/>
        </w:rPr>
        <w:t>πρέπει</w:t>
      </w:r>
      <w:r w:rsidR="000B0336">
        <w:rPr>
          <w:noProof/>
          <w:szCs w:val="22"/>
        </w:rPr>
        <w:t xml:space="preserve"> να χρησιμοποιείται</w:t>
      </w:r>
      <w:r w:rsidRPr="001F3AFA">
        <w:rPr>
          <w:noProof/>
          <w:szCs w:val="22"/>
        </w:rPr>
        <w:t xml:space="preserve"> σε συνδυασμό με θειοριδαζίνη ή σε διάστημα 14 ημερών από τη διακοπή της θεραπείας με θειοριδαζίνη. Αντίστοιχα, η θειοριδαζίνη δεν </w:t>
      </w:r>
      <w:r w:rsidR="00062619">
        <w:rPr>
          <w:noProof/>
          <w:szCs w:val="22"/>
        </w:rPr>
        <w:t>πρέπει</w:t>
      </w:r>
      <w:r w:rsidRPr="001F3AFA">
        <w:rPr>
          <w:noProof/>
          <w:szCs w:val="22"/>
        </w:rPr>
        <w:t xml:space="preserve"> να χορηγείται σε διάστημα 7 ημερών μετά από τη διακοπή του Priligy (βλέπε παράγραφο 4.3).</w:t>
      </w:r>
    </w:p>
    <w:p w:rsidR="000213BC" w:rsidRPr="001F3AFA" w:rsidRDefault="000213BC" w:rsidP="00DD10F5">
      <w:pPr>
        <w:rPr>
          <w:noProof/>
          <w:szCs w:val="22"/>
        </w:rPr>
      </w:pPr>
    </w:p>
    <w:p w:rsidR="000213BC" w:rsidRPr="0007023B" w:rsidRDefault="000213BC" w:rsidP="00DD10F5">
      <w:pPr>
        <w:rPr>
          <w:noProof/>
          <w:szCs w:val="22"/>
          <w:u w:val="single"/>
        </w:rPr>
      </w:pPr>
      <w:r w:rsidRPr="00F51C5E">
        <w:rPr>
          <w:noProof/>
          <w:szCs w:val="22"/>
          <w:u w:val="single"/>
        </w:rPr>
        <w:t>Φαρμακευτικά/φυτικά προϊόντα με σεροτονεργικές δράσεις</w:t>
      </w:r>
    </w:p>
    <w:p w:rsidR="000213BC" w:rsidRPr="001F3AFA" w:rsidRDefault="000213BC" w:rsidP="00DD10F5">
      <w:pPr>
        <w:rPr>
          <w:noProof/>
          <w:szCs w:val="22"/>
        </w:rPr>
      </w:pPr>
      <w:r w:rsidRPr="001F3AFA">
        <w:rPr>
          <w:noProof/>
          <w:szCs w:val="22"/>
        </w:rPr>
        <w:t>Όπως και με άλλ</w:t>
      </w:r>
      <w:r w:rsidR="000B0336">
        <w:rPr>
          <w:noProof/>
          <w:szCs w:val="22"/>
        </w:rPr>
        <w:t>ους</w:t>
      </w:r>
      <w:r w:rsidRPr="001F3AFA">
        <w:rPr>
          <w:noProof/>
          <w:szCs w:val="22"/>
        </w:rPr>
        <w:t xml:space="preserve"> SSRI, η συγχορήγηση με φαρμακευτικά/φυτικά προϊόντα με σεροτονεργική δράση (συμπεριλαμβανομένων </w:t>
      </w:r>
      <w:r w:rsidR="003B68EC">
        <w:rPr>
          <w:noProof/>
          <w:szCs w:val="22"/>
        </w:rPr>
        <w:t>αναστολέων</w:t>
      </w:r>
      <w:r w:rsidR="003B68EC" w:rsidRPr="001F3AFA">
        <w:rPr>
          <w:noProof/>
          <w:szCs w:val="22"/>
        </w:rPr>
        <w:t xml:space="preserve"> </w:t>
      </w:r>
      <w:r w:rsidR="003B68EC">
        <w:rPr>
          <w:noProof/>
          <w:szCs w:val="22"/>
        </w:rPr>
        <w:t>MAO</w:t>
      </w:r>
      <w:r w:rsidRPr="001F3AFA">
        <w:rPr>
          <w:noProof/>
          <w:szCs w:val="22"/>
        </w:rPr>
        <w:t>, L</w:t>
      </w:r>
      <w:r w:rsidR="000B0336">
        <w:rPr>
          <w:noProof/>
          <w:szCs w:val="22"/>
        </w:rPr>
        <w:t>-</w:t>
      </w:r>
      <w:r w:rsidRPr="001F3AFA">
        <w:rPr>
          <w:noProof/>
          <w:szCs w:val="22"/>
        </w:rPr>
        <w:t>τρυπτοφάνης, τριπτ</w:t>
      </w:r>
      <w:r w:rsidR="000B0336">
        <w:rPr>
          <w:noProof/>
          <w:szCs w:val="22"/>
        </w:rPr>
        <w:t>α</w:t>
      </w:r>
      <w:r w:rsidRPr="001F3AFA">
        <w:rPr>
          <w:noProof/>
          <w:szCs w:val="22"/>
        </w:rPr>
        <w:t>ν</w:t>
      </w:r>
      <w:r w:rsidR="000B0336">
        <w:rPr>
          <w:noProof/>
          <w:szCs w:val="22"/>
        </w:rPr>
        <w:t>ώ</w:t>
      </w:r>
      <w:r w:rsidRPr="001F3AFA">
        <w:rPr>
          <w:noProof/>
          <w:szCs w:val="22"/>
        </w:rPr>
        <w:t xml:space="preserve">ν, τραμαδόλης, λινεζολίδης, SSRI, SNRI, λιθίου και </w:t>
      </w:r>
      <w:r w:rsidR="004E155B">
        <w:rPr>
          <w:noProof/>
          <w:szCs w:val="22"/>
        </w:rPr>
        <w:t>υπερικού/βαλσαμόχορτου</w:t>
      </w:r>
      <w:r w:rsidRPr="001F3AFA">
        <w:rPr>
          <w:noProof/>
          <w:szCs w:val="22"/>
        </w:rPr>
        <w:t xml:space="preserve"> (</w:t>
      </w:r>
      <w:r w:rsidRPr="000B0336">
        <w:rPr>
          <w:i/>
          <w:iCs/>
          <w:noProof/>
          <w:szCs w:val="22"/>
        </w:rPr>
        <w:t>Hypericum perforatum</w:t>
      </w:r>
      <w:r w:rsidRPr="001F3AFA">
        <w:rPr>
          <w:noProof/>
          <w:szCs w:val="22"/>
        </w:rPr>
        <w:t xml:space="preserve">)) μπορεί να οδηγήσει σε </w:t>
      </w:r>
      <w:r w:rsidR="000B0336">
        <w:rPr>
          <w:noProof/>
          <w:szCs w:val="22"/>
        </w:rPr>
        <w:t>εμφάνιση</w:t>
      </w:r>
      <w:r w:rsidRPr="001F3AFA">
        <w:rPr>
          <w:noProof/>
          <w:szCs w:val="22"/>
        </w:rPr>
        <w:t xml:space="preserve"> </w:t>
      </w:r>
      <w:r w:rsidR="0015170D">
        <w:rPr>
          <w:noProof/>
          <w:szCs w:val="22"/>
        </w:rPr>
        <w:t>ενεργειών</w:t>
      </w:r>
      <w:r w:rsidR="004E155B" w:rsidRPr="001F3AFA">
        <w:rPr>
          <w:noProof/>
          <w:szCs w:val="22"/>
        </w:rPr>
        <w:t xml:space="preserve"> </w:t>
      </w:r>
      <w:r w:rsidRPr="001F3AFA">
        <w:rPr>
          <w:noProof/>
          <w:szCs w:val="22"/>
        </w:rPr>
        <w:t xml:space="preserve">σχετιζόμενων με τη σεροτονίνη. Το Priligy δεν </w:t>
      </w:r>
      <w:r w:rsidR="00062619">
        <w:rPr>
          <w:noProof/>
          <w:szCs w:val="22"/>
        </w:rPr>
        <w:t>πρέπει</w:t>
      </w:r>
      <w:r w:rsidRPr="001F3AFA">
        <w:rPr>
          <w:noProof/>
          <w:szCs w:val="22"/>
        </w:rPr>
        <w:t xml:space="preserve"> να χρησιμοποι</w:t>
      </w:r>
      <w:r w:rsidR="000B0336">
        <w:rPr>
          <w:noProof/>
          <w:szCs w:val="22"/>
        </w:rPr>
        <w:t xml:space="preserve">είται </w:t>
      </w:r>
      <w:r w:rsidRPr="001F3AFA">
        <w:rPr>
          <w:noProof/>
          <w:szCs w:val="22"/>
        </w:rPr>
        <w:t xml:space="preserve">σε συνδυασμό με άλλους SSRI, </w:t>
      </w:r>
      <w:r w:rsidR="003B68EC">
        <w:rPr>
          <w:noProof/>
          <w:szCs w:val="22"/>
        </w:rPr>
        <w:t>αναστολείς MAO</w:t>
      </w:r>
      <w:r w:rsidRPr="001F3AFA">
        <w:rPr>
          <w:noProof/>
          <w:szCs w:val="22"/>
        </w:rPr>
        <w:t xml:space="preserve"> ή άλλα φαρμακευτικά/φυτικά προϊόντα με σεροτονεργική δράση ή εντός 14 ημερών από τη διακοπή της θεραπείας με αυτά τα φαρμακευτικά/φυτικά προϊόντα. Αντίστοιχα, αυτά τα φαρμακευτικά/φυτικά προϊόντα δεν </w:t>
      </w:r>
      <w:r w:rsidR="00062619">
        <w:rPr>
          <w:noProof/>
          <w:szCs w:val="22"/>
        </w:rPr>
        <w:t>πρέπει</w:t>
      </w:r>
      <w:r w:rsidRPr="001F3AFA">
        <w:rPr>
          <w:noProof/>
          <w:szCs w:val="22"/>
        </w:rPr>
        <w:t xml:space="preserve"> να χορηγούνται σε διάστημα 7 ημερών μετά από τη διακοπή του Priligy (βλέπε παράγραφο 4.3).</w:t>
      </w:r>
    </w:p>
    <w:p w:rsidR="000213BC" w:rsidRPr="001F3AFA" w:rsidRDefault="000213BC" w:rsidP="00DD10F5">
      <w:pPr>
        <w:rPr>
          <w:noProof/>
          <w:szCs w:val="22"/>
        </w:rPr>
      </w:pPr>
    </w:p>
    <w:p w:rsidR="000213BC" w:rsidRPr="0007023B" w:rsidRDefault="000213BC" w:rsidP="00DD10F5">
      <w:pPr>
        <w:rPr>
          <w:noProof/>
          <w:szCs w:val="22"/>
          <w:u w:val="single"/>
        </w:rPr>
      </w:pPr>
      <w:r w:rsidRPr="00F51C5E">
        <w:rPr>
          <w:noProof/>
          <w:szCs w:val="22"/>
          <w:u w:val="single"/>
        </w:rPr>
        <w:t>Φαρμακευτικά προϊόντα με δράση στο ΚΝΣ</w:t>
      </w:r>
    </w:p>
    <w:p w:rsidR="00B86D1B" w:rsidRDefault="000213BC" w:rsidP="00DD10F5">
      <w:pPr>
        <w:rPr>
          <w:noProof/>
          <w:szCs w:val="22"/>
        </w:rPr>
      </w:pPr>
      <w:r w:rsidRPr="001F3AFA">
        <w:rPr>
          <w:noProof/>
          <w:szCs w:val="22"/>
        </w:rPr>
        <w:t>Η χρήση του Priligy σε συνδυασμό με φαρμακευτικά προϊόντα με δράση στο ΚΝΣ (π.χ. αντιεπιληπτικά, αντικαταθλιπτικά, αντιψυχω</w:t>
      </w:r>
      <w:r w:rsidR="007961AF">
        <w:rPr>
          <w:noProof/>
          <w:szCs w:val="22"/>
        </w:rPr>
        <w:t>σ</w:t>
      </w:r>
      <w:r w:rsidRPr="001F3AFA">
        <w:rPr>
          <w:noProof/>
          <w:szCs w:val="22"/>
        </w:rPr>
        <w:t xml:space="preserve">ικά, αγχολυτικά, </w:t>
      </w:r>
      <w:r w:rsidR="00D562C3">
        <w:rPr>
          <w:noProof/>
          <w:szCs w:val="22"/>
        </w:rPr>
        <w:t xml:space="preserve">κατασταλτικά </w:t>
      </w:r>
      <w:r w:rsidRPr="001F3AFA">
        <w:rPr>
          <w:noProof/>
          <w:szCs w:val="22"/>
        </w:rPr>
        <w:t>υπνωτικά) δεν έχει αξιολογηθεί συστηματικά σε ασθενείς με πρόωρη εκσπερμάτιση. Επομένως, συνιστάται προσοχή</w:t>
      </w:r>
      <w:r w:rsidR="00FA0DB1">
        <w:rPr>
          <w:noProof/>
          <w:szCs w:val="22"/>
        </w:rPr>
        <w:t>,</w:t>
      </w:r>
      <w:r w:rsidRPr="001F3AFA">
        <w:rPr>
          <w:noProof/>
          <w:szCs w:val="22"/>
        </w:rPr>
        <w:t xml:space="preserve"> εάν απαιτείται παράλληλη χορήγηση του Priligy με τέτοιου είδους φαρμακευτικά προϊόντα.</w:t>
      </w:r>
    </w:p>
    <w:p w:rsidR="00FA0DB1" w:rsidRPr="00DB6F08" w:rsidRDefault="00FA0DB1" w:rsidP="00DD10F5">
      <w:pPr>
        <w:rPr>
          <w:noProof/>
          <w:szCs w:val="22"/>
        </w:rPr>
      </w:pPr>
    </w:p>
    <w:p w:rsidR="001A2FFE" w:rsidRPr="00B65339" w:rsidRDefault="001A2FFE" w:rsidP="00DD10F5">
      <w:pPr>
        <w:keepNext/>
        <w:keepLines/>
        <w:rPr>
          <w:b/>
          <w:i/>
          <w:szCs w:val="22"/>
          <w:u w:val="single"/>
        </w:rPr>
      </w:pPr>
      <w:r w:rsidRPr="00B65339">
        <w:rPr>
          <w:b/>
          <w:i/>
          <w:szCs w:val="22"/>
          <w:u w:val="single"/>
        </w:rPr>
        <w:t>Φαρµακοκινητικές αλληλεπιδράσεις</w:t>
      </w:r>
    </w:p>
    <w:p w:rsidR="001A2FFE" w:rsidRPr="0007023B" w:rsidRDefault="001A2FFE" w:rsidP="00DD10F5">
      <w:pPr>
        <w:rPr>
          <w:noProof/>
          <w:szCs w:val="22"/>
          <w:u w:val="single"/>
        </w:rPr>
      </w:pPr>
      <w:r w:rsidRPr="00F51C5E">
        <w:rPr>
          <w:noProof/>
          <w:szCs w:val="22"/>
          <w:u w:val="single"/>
        </w:rPr>
        <w:t>Επιδράσεις των συγχορηγούμενων φαρμακευτικών προϊόντων στη φαρμακοκινητική της δαποξετίνης</w:t>
      </w:r>
    </w:p>
    <w:p w:rsidR="001A2FFE" w:rsidRPr="001F3AFA" w:rsidRDefault="001A2FFE" w:rsidP="00DD10F5">
      <w:pPr>
        <w:rPr>
          <w:noProof/>
          <w:szCs w:val="22"/>
        </w:rPr>
      </w:pPr>
      <w:r w:rsidRPr="00FA0DB1">
        <w:rPr>
          <w:i/>
          <w:iCs/>
          <w:noProof/>
          <w:szCs w:val="22"/>
        </w:rPr>
        <w:t>In vitro</w:t>
      </w:r>
      <w:r w:rsidRPr="00FA0DB1">
        <w:rPr>
          <w:noProof/>
          <w:szCs w:val="22"/>
        </w:rPr>
        <w:t xml:space="preserve"> </w:t>
      </w:r>
      <w:r w:rsidRPr="001F3AFA">
        <w:rPr>
          <w:noProof/>
          <w:szCs w:val="22"/>
        </w:rPr>
        <w:t xml:space="preserve">μελέτες σε </w:t>
      </w:r>
      <w:r w:rsidR="008B5BD6">
        <w:rPr>
          <w:noProof/>
          <w:szCs w:val="22"/>
        </w:rPr>
        <w:t xml:space="preserve">ανθρώπινα </w:t>
      </w:r>
      <w:r w:rsidRPr="001F3AFA">
        <w:rPr>
          <w:noProof/>
          <w:szCs w:val="22"/>
        </w:rPr>
        <w:t xml:space="preserve">ηπατικά, νεφρικά και εντερικά μικροσωμάτια </w:t>
      </w:r>
      <w:r w:rsidR="007961AF">
        <w:rPr>
          <w:noProof/>
          <w:szCs w:val="22"/>
        </w:rPr>
        <w:t>υποδεικνύουν</w:t>
      </w:r>
      <w:r w:rsidR="007961AF" w:rsidRPr="001F3AFA">
        <w:rPr>
          <w:noProof/>
          <w:szCs w:val="22"/>
        </w:rPr>
        <w:t xml:space="preserve"> </w:t>
      </w:r>
      <w:r w:rsidRPr="001F3AFA">
        <w:rPr>
          <w:noProof/>
          <w:szCs w:val="22"/>
        </w:rPr>
        <w:t xml:space="preserve">ότι η </w:t>
      </w:r>
      <w:r w:rsidRPr="001F3AFA">
        <w:rPr>
          <w:noProof/>
          <w:szCs w:val="22"/>
        </w:rPr>
        <w:lastRenderedPageBreak/>
        <w:t>δαποξετίνη μεταβολίζεται κυρίως από τα CYP2D6, CYP3A4 και τη μονο</w:t>
      </w:r>
      <w:r w:rsidR="00FA0DB1">
        <w:rPr>
          <w:noProof/>
          <w:szCs w:val="22"/>
        </w:rPr>
        <w:t>ο</w:t>
      </w:r>
      <w:r w:rsidRPr="001F3AFA">
        <w:rPr>
          <w:noProof/>
          <w:szCs w:val="22"/>
        </w:rPr>
        <w:t>ξυγενάση 1 της φλαβίνης (FMO1). Επομένως, οι αναστολείς αυτών των ενζύμων μπορεί να μειώσουν την κάθαρση της δαποξετίνης.</w:t>
      </w:r>
    </w:p>
    <w:p w:rsidR="001A2FFE" w:rsidRPr="001F3AFA" w:rsidRDefault="001A2FFE" w:rsidP="00DD10F5">
      <w:pPr>
        <w:rPr>
          <w:szCs w:val="22"/>
        </w:rPr>
      </w:pPr>
    </w:p>
    <w:p w:rsidR="001A2FFE" w:rsidRPr="0007023B" w:rsidRDefault="001A2FFE" w:rsidP="00DD10F5">
      <w:pPr>
        <w:rPr>
          <w:szCs w:val="22"/>
          <w:u w:val="single"/>
          <w:lang w:val="en-US"/>
        </w:rPr>
      </w:pPr>
      <w:r w:rsidRPr="00F51C5E">
        <w:rPr>
          <w:szCs w:val="22"/>
          <w:u w:val="single"/>
        </w:rPr>
        <w:t>Αναστολείς του CYP3A4</w:t>
      </w:r>
    </w:p>
    <w:p w:rsidR="00F2705F" w:rsidRDefault="001A2FFE" w:rsidP="00DD10F5">
      <w:pPr>
        <w:rPr>
          <w:szCs w:val="22"/>
        </w:rPr>
      </w:pPr>
      <w:r w:rsidRPr="001F3AFA">
        <w:rPr>
          <w:szCs w:val="22"/>
        </w:rPr>
        <w:t xml:space="preserve">Ισχυροί αναστολείς του CYP3A4. </w:t>
      </w:r>
    </w:p>
    <w:p w:rsidR="001A2FFE" w:rsidRPr="0007023B" w:rsidRDefault="001A2FFE" w:rsidP="0007023B">
      <w:pPr>
        <w:rPr>
          <w:szCs w:val="22"/>
        </w:rPr>
      </w:pPr>
      <w:r w:rsidRPr="001F3AFA">
        <w:rPr>
          <w:szCs w:val="22"/>
        </w:rPr>
        <w:t>Η χορήγηση κετοκοναζόλης (200</w:t>
      </w:r>
      <w:r w:rsidR="00DC18E3">
        <w:rPr>
          <w:szCs w:val="22"/>
        </w:rPr>
        <w:t> mg</w:t>
      </w:r>
      <w:r w:rsidRPr="001F3AFA">
        <w:rPr>
          <w:szCs w:val="22"/>
        </w:rPr>
        <w:t xml:space="preserve"> </w:t>
      </w:r>
      <w:r w:rsidR="00F2705F">
        <w:rPr>
          <w:szCs w:val="22"/>
        </w:rPr>
        <w:t>δύο φορές την ημέρα</w:t>
      </w:r>
      <w:r w:rsidRPr="001F3AFA">
        <w:rPr>
          <w:szCs w:val="22"/>
        </w:rPr>
        <w:t xml:space="preserve"> για 7 ημέρες) αύξησαν τη C</w:t>
      </w:r>
      <w:r w:rsidRPr="001F3AFA">
        <w:rPr>
          <w:szCs w:val="22"/>
          <w:vertAlign w:val="subscript"/>
        </w:rPr>
        <w:t>max</w:t>
      </w:r>
      <w:r w:rsidRPr="001F3AFA">
        <w:rPr>
          <w:szCs w:val="22"/>
        </w:rPr>
        <w:t xml:space="preserve"> και την AUC</w:t>
      </w:r>
      <w:r w:rsidRPr="001F3AFA">
        <w:rPr>
          <w:szCs w:val="22"/>
          <w:vertAlign w:val="subscript"/>
        </w:rPr>
        <w:t xml:space="preserve">inf </w:t>
      </w:r>
      <w:r w:rsidRPr="001F3AFA">
        <w:rPr>
          <w:szCs w:val="22"/>
        </w:rPr>
        <w:t>της δαποξετίνης (</w:t>
      </w:r>
      <w:r w:rsidR="00F2705F">
        <w:rPr>
          <w:szCs w:val="22"/>
        </w:rPr>
        <w:t xml:space="preserve">μεμονωμένη δόση </w:t>
      </w:r>
      <w:r w:rsidRPr="001F3AFA">
        <w:rPr>
          <w:szCs w:val="22"/>
        </w:rPr>
        <w:t>60</w:t>
      </w:r>
      <w:r w:rsidR="00DC18E3">
        <w:rPr>
          <w:szCs w:val="22"/>
        </w:rPr>
        <w:t> mg</w:t>
      </w:r>
      <w:r w:rsidRPr="001F3AFA">
        <w:rPr>
          <w:szCs w:val="22"/>
        </w:rPr>
        <w:t>) κατά 35% και 99%, αντιστοίχως. Λαμβάνοντας υπόψη τη συμβολή της μη δεσμευμένης δαποξετίνης και δεσμεθυλδαποξετίνης, η C</w:t>
      </w:r>
      <w:r w:rsidRPr="001F3AFA">
        <w:rPr>
          <w:szCs w:val="22"/>
          <w:vertAlign w:val="subscript"/>
        </w:rPr>
        <w:t>max</w:t>
      </w:r>
      <w:r w:rsidRPr="001F3AFA">
        <w:rPr>
          <w:szCs w:val="22"/>
        </w:rPr>
        <w:t xml:space="preserve"> του δραστικού </w:t>
      </w:r>
      <w:r w:rsidR="00FA0DB1">
        <w:rPr>
          <w:szCs w:val="22"/>
        </w:rPr>
        <w:t>κλάσματος</w:t>
      </w:r>
      <w:r w:rsidRPr="001F3AFA">
        <w:rPr>
          <w:szCs w:val="22"/>
        </w:rPr>
        <w:t xml:space="preserve"> μπορεί να αυξηθεί κατά περίπου 25% και η AUC του δραστικού </w:t>
      </w:r>
      <w:r w:rsidRPr="002B1510">
        <w:rPr>
          <w:szCs w:val="22"/>
        </w:rPr>
        <w:t>κλάσματος</w:t>
      </w:r>
      <w:r w:rsidRPr="001F3AFA">
        <w:rPr>
          <w:szCs w:val="22"/>
        </w:rPr>
        <w:t xml:space="preserve"> μπορεί να διπλασιαστεί</w:t>
      </w:r>
      <w:r w:rsidR="00FA0DB1">
        <w:rPr>
          <w:szCs w:val="22"/>
        </w:rPr>
        <w:t>,</w:t>
      </w:r>
      <w:r w:rsidRPr="001F3AFA">
        <w:rPr>
          <w:szCs w:val="22"/>
        </w:rPr>
        <w:t xml:space="preserve"> εάν ληφθεί με ισχυρούς αναστολείς του CYP3A4.</w:t>
      </w:r>
    </w:p>
    <w:p w:rsidR="001A2FFE" w:rsidRPr="0007023B" w:rsidRDefault="001A2FFE" w:rsidP="00DD10F5">
      <w:pPr>
        <w:autoSpaceDE w:val="0"/>
        <w:autoSpaceDN w:val="0"/>
        <w:adjustRightInd w:val="0"/>
        <w:rPr>
          <w:szCs w:val="22"/>
        </w:rPr>
      </w:pPr>
      <w:r w:rsidRPr="001F3AFA">
        <w:rPr>
          <w:szCs w:val="22"/>
        </w:rPr>
        <w:t>Οι αυξήσεις στη C</w:t>
      </w:r>
      <w:r w:rsidRPr="001F3AFA">
        <w:rPr>
          <w:szCs w:val="22"/>
          <w:vertAlign w:val="subscript"/>
        </w:rPr>
        <w:t>max</w:t>
      </w:r>
      <w:r w:rsidRPr="001F3AFA">
        <w:rPr>
          <w:szCs w:val="22"/>
        </w:rPr>
        <w:t xml:space="preserve"> και την AUC του δραστικού </w:t>
      </w:r>
      <w:r w:rsidRPr="002B1510">
        <w:rPr>
          <w:szCs w:val="22"/>
        </w:rPr>
        <w:t>κλάσματος</w:t>
      </w:r>
      <w:r w:rsidRPr="001F3AFA">
        <w:rPr>
          <w:szCs w:val="22"/>
        </w:rPr>
        <w:t xml:space="preserve"> μπορεί να αυξηθούν σημαντικά σε ένα τμήμα του πληθυσμού με έλλειψη του λειτουργικού ενζύμου CYP2D6, δηλ. με </w:t>
      </w:r>
      <w:r w:rsidR="00924153">
        <w:rPr>
          <w:szCs w:val="22"/>
        </w:rPr>
        <w:t>π</w:t>
      </w:r>
      <w:r w:rsidRPr="001F3AFA">
        <w:rPr>
          <w:szCs w:val="22"/>
        </w:rPr>
        <w:t>τωχ</w:t>
      </w:r>
      <w:r w:rsidR="002B1510">
        <w:rPr>
          <w:szCs w:val="22"/>
        </w:rPr>
        <w:t>ό μεταβολισμό</w:t>
      </w:r>
      <w:r w:rsidRPr="001F3AFA">
        <w:rPr>
          <w:szCs w:val="22"/>
        </w:rPr>
        <w:t xml:space="preserve"> </w:t>
      </w:r>
      <w:r w:rsidR="002B1510">
        <w:rPr>
          <w:szCs w:val="22"/>
        </w:rPr>
        <w:t>στο</w:t>
      </w:r>
      <w:r w:rsidRPr="001F3AFA">
        <w:rPr>
          <w:szCs w:val="22"/>
        </w:rPr>
        <w:t xml:space="preserve"> CYP2D6, ή σε συνδυασμό με ισχυρούς αναστολείς του CYP2D6.</w:t>
      </w:r>
      <w:r w:rsidRPr="00DB6F08">
        <w:rPr>
          <w:szCs w:val="22"/>
        </w:rPr>
        <w:t xml:space="preserve"> </w:t>
      </w:r>
    </w:p>
    <w:p w:rsidR="001A2FFE" w:rsidRPr="001F3AFA" w:rsidRDefault="001A2FFE" w:rsidP="00DD10F5">
      <w:pPr>
        <w:autoSpaceDE w:val="0"/>
        <w:autoSpaceDN w:val="0"/>
        <w:adjustRightInd w:val="0"/>
        <w:rPr>
          <w:szCs w:val="22"/>
        </w:rPr>
      </w:pPr>
      <w:r w:rsidRPr="001F3AFA">
        <w:rPr>
          <w:szCs w:val="22"/>
        </w:rPr>
        <w:t xml:space="preserve">Επομένως, η </w:t>
      </w:r>
      <w:r w:rsidR="00945ECD">
        <w:rPr>
          <w:szCs w:val="22"/>
        </w:rPr>
        <w:t>ταυτόχρονη</w:t>
      </w:r>
      <w:r w:rsidR="00945ECD" w:rsidRPr="001F3AFA">
        <w:rPr>
          <w:szCs w:val="22"/>
        </w:rPr>
        <w:t xml:space="preserve"> </w:t>
      </w:r>
      <w:r w:rsidRPr="001F3AFA">
        <w:rPr>
          <w:szCs w:val="22"/>
        </w:rPr>
        <w:t>χρήση του Priligy και ισχυρών αναστολέων του CYP3A4, όπως είναι η κετοκοναζόλη, η ιτρακοναζόλη, η ριτοναβίρη, η σακουιναβίρη, η τελιθρομυκίνη, η νεφαζαδόνη, η νελφιναβίρη και η αταζαναβίρη αντενδείκνυται (βλέπε παράγραφο 4.3).</w:t>
      </w:r>
    </w:p>
    <w:p w:rsidR="001A2FFE" w:rsidRPr="001F3AFA" w:rsidRDefault="001A2FFE" w:rsidP="00DD10F5">
      <w:pPr>
        <w:autoSpaceDE w:val="0"/>
        <w:autoSpaceDN w:val="0"/>
        <w:adjustRightInd w:val="0"/>
        <w:rPr>
          <w:szCs w:val="22"/>
        </w:rPr>
      </w:pPr>
    </w:p>
    <w:p w:rsidR="00945ECD" w:rsidRDefault="001A2FFE" w:rsidP="00DD10F5">
      <w:pPr>
        <w:autoSpaceDE w:val="0"/>
        <w:autoSpaceDN w:val="0"/>
        <w:adjustRightInd w:val="0"/>
        <w:rPr>
          <w:bCs/>
          <w:iCs/>
          <w:szCs w:val="22"/>
        </w:rPr>
      </w:pPr>
      <w:r w:rsidRPr="001F3AFA">
        <w:rPr>
          <w:bCs/>
          <w:iCs/>
          <w:szCs w:val="22"/>
        </w:rPr>
        <w:t xml:space="preserve">Μέτριοι αναστολείς του CYP3A4. </w:t>
      </w:r>
    </w:p>
    <w:p w:rsidR="001A2FFE" w:rsidRPr="0007023B" w:rsidRDefault="001A2FFE" w:rsidP="00DD10F5">
      <w:pPr>
        <w:autoSpaceDE w:val="0"/>
        <w:autoSpaceDN w:val="0"/>
        <w:adjustRightInd w:val="0"/>
        <w:rPr>
          <w:bCs/>
          <w:iCs/>
          <w:szCs w:val="22"/>
        </w:rPr>
      </w:pPr>
      <w:r w:rsidRPr="001F3AFA">
        <w:rPr>
          <w:bCs/>
          <w:iCs/>
          <w:szCs w:val="22"/>
        </w:rPr>
        <w:t xml:space="preserve">Η </w:t>
      </w:r>
      <w:r w:rsidR="00945ECD">
        <w:rPr>
          <w:bCs/>
          <w:iCs/>
          <w:szCs w:val="22"/>
        </w:rPr>
        <w:t>ταυτόχρονη</w:t>
      </w:r>
      <w:r w:rsidR="00945ECD" w:rsidRPr="001F3AFA">
        <w:rPr>
          <w:bCs/>
          <w:iCs/>
          <w:szCs w:val="22"/>
        </w:rPr>
        <w:t xml:space="preserve"> </w:t>
      </w:r>
      <w:r w:rsidRPr="001F3AFA">
        <w:rPr>
          <w:bCs/>
          <w:iCs/>
          <w:szCs w:val="22"/>
        </w:rPr>
        <w:t>θεραπεία με μέτριους αναστολείς του CYP3A4 (π.χ. ερυθρομυκίνη, κλαριθρομυκίνη, φλουκοναζόλη, αμπρεναβίρη, φοσαμπρεναβίρη, απρεπιτάντη, βεραπαμίλη, διλτιαζέμη) μπορεί να οδηγήσει επίσης σε σημαντικά αυξημένη έκθεση της δαποξετίνης και της δεσμεθυλδαποξετίνης, ειδικά στ</w:t>
      </w:r>
      <w:r w:rsidR="002B1510">
        <w:rPr>
          <w:bCs/>
          <w:iCs/>
          <w:szCs w:val="22"/>
        </w:rPr>
        <w:t xml:space="preserve">α άτομα με </w:t>
      </w:r>
      <w:r w:rsidR="00945ECD">
        <w:rPr>
          <w:bCs/>
          <w:iCs/>
          <w:szCs w:val="22"/>
        </w:rPr>
        <w:t>π</w:t>
      </w:r>
      <w:r w:rsidRPr="001F3AFA">
        <w:rPr>
          <w:bCs/>
          <w:iCs/>
          <w:szCs w:val="22"/>
        </w:rPr>
        <w:t>τωχ</w:t>
      </w:r>
      <w:r w:rsidR="002B1510">
        <w:rPr>
          <w:bCs/>
          <w:iCs/>
          <w:szCs w:val="22"/>
        </w:rPr>
        <w:t>ό μεταβολισμό</w:t>
      </w:r>
      <w:r w:rsidRPr="001F3AFA">
        <w:rPr>
          <w:bCs/>
          <w:iCs/>
          <w:szCs w:val="22"/>
        </w:rPr>
        <w:t xml:space="preserve"> </w:t>
      </w:r>
      <w:r w:rsidR="002B1510">
        <w:rPr>
          <w:bCs/>
          <w:iCs/>
          <w:szCs w:val="22"/>
        </w:rPr>
        <w:t>στο</w:t>
      </w:r>
      <w:r w:rsidRPr="001F3AFA">
        <w:rPr>
          <w:bCs/>
          <w:iCs/>
          <w:szCs w:val="22"/>
        </w:rPr>
        <w:t xml:space="preserve"> CYP2D6. Η μέγιστη δόση της δαποξετίνης </w:t>
      </w:r>
      <w:r w:rsidR="00062619">
        <w:rPr>
          <w:bCs/>
          <w:iCs/>
          <w:szCs w:val="22"/>
        </w:rPr>
        <w:t>πρέπει</w:t>
      </w:r>
      <w:r w:rsidRPr="001F3AFA">
        <w:rPr>
          <w:bCs/>
          <w:iCs/>
          <w:szCs w:val="22"/>
        </w:rPr>
        <w:t xml:space="preserve"> να είναι 30</w:t>
      </w:r>
      <w:r w:rsidR="00DC18E3">
        <w:rPr>
          <w:bCs/>
          <w:iCs/>
          <w:szCs w:val="22"/>
        </w:rPr>
        <w:t> mg</w:t>
      </w:r>
      <w:r w:rsidR="002B1510">
        <w:rPr>
          <w:bCs/>
          <w:iCs/>
          <w:szCs w:val="22"/>
        </w:rPr>
        <w:t>,</w:t>
      </w:r>
      <w:r w:rsidRPr="001F3AFA">
        <w:rPr>
          <w:bCs/>
          <w:iCs/>
          <w:szCs w:val="22"/>
        </w:rPr>
        <w:t xml:space="preserve"> εάν η δαποξετίνη συνδυάζεται με οποιοδήποτε από αυτά τα φάρμακα (βλέπε </w:t>
      </w:r>
      <w:r w:rsidR="009049A7">
        <w:rPr>
          <w:bCs/>
          <w:iCs/>
          <w:szCs w:val="22"/>
        </w:rPr>
        <w:t>παραγράφους</w:t>
      </w:r>
      <w:r w:rsidRPr="001F3AFA">
        <w:rPr>
          <w:bCs/>
          <w:iCs/>
          <w:szCs w:val="22"/>
        </w:rPr>
        <w:t xml:space="preserve"> 4.2, 4.4 και παρακάτω).</w:t>
      </w:r>
    </w:p>
    <w:p w:rsidR="001A2FFE" w:rsidRPr="001F3AFA" w:rsidRDefault="001A2FFE" w:rsidP="00DD10F5">
      <w:pPr>
        <w:autoSpaceDE w:val="0"/>
        <w:autoSpaceDN w:val="0"/>
        <w:adjustRightInd w:val="0"/>
        <w:rPr>
          <w:szCs w:val="22"/>
        </w:rPr>
      </w:pPr>
      <w:r w:rsidRPr="00407891">
        <w:rPr>
          <w:bCs/>
          <w:iCs/>
          <w:szCs w:val="22"/>
        </w:rPr>
        <w:t>Τα δύο αυτά μέτρα ισχύουν για όλους τους ασθενείς</w:t>
      </w:r>
      <w:r w:rsidR="002B1510" w:rsidRPr="00407891">
        <w:rPr>
          <w:bCs/>
          <w:iCs/>
          <w:szCs w:val="22"/>
        </w:rPr>
        <w:t>,</w:t>
      </w:r>
      <w:r w:rsidRPr="00407891">
        <w:rPr>
          <w:bCs/>
          <w:iCs/>
          <w:szCs w:val="22"/>
        </w:rPr>
        <w:t xml:space="preserve"> εκτός εάν ο ασθενής έχει </w:t>
      </w:r>
      <w:r w:rsidR="002B1510" w:rsidRPr="00407891">
        <w:rPr>
          <w:bCs/>
          <w:iCs/>
          <w:szCs w:val="22"/>
        </w:rPr>
        <w:t xml:space="preserve">επιβεβαιωμένο εκτενή </w:t>
      </w:r>
      <w:r w:rsidR="00EB5CDC" w:rsidRPr="00407891">
        <w:rPr>
          <w:bCs/>
          <w:iCs/>
          <w:szCs w:val="22"/>
        </w:rPr>
        <w:t xml:space="preserve">μεταβολικό </w:t>
      </w:r>
      <w:r w:rsidR="002B1510" w:rsidRPr="00407891">
        <w:rPr>
          <w:bCs/>
          <w:iCs/>
          <w:szCs w:val="22"/>
        </w:rPr>
        <w:t>γον</w:t>
      </w:r>
      <w:r w:rsidR="00EB5CDC" w:rsidRPr="00407891">
        <w:rPr>
          <w:bCs/>
          <w:iCs/>
          <w:szCs w:val="22"/>
        </w:rPr>
        <w:t>ότυπο ή φαινότυπο</w:t>
      </w:r>
      <w:r w:rsidR="002B1510" w:rsidRPr="00407891">
        <w:rPr>
          <w:bCs/>
          <w:iCs/>
          <w:szCs w:val="22"/>
        </w:rPr>
        <w:t xml:space="preserve"> </w:t>
      </w:r>
      <w:r w:rsidR="00407891" w:rsidRPr="00407891">
        <w:rPr>
          <w:bCs/>
          <w:iCs/>
          <w:szCs w:val="22"/>
        </w:rPr>
        <w:t>του</w:t>
      </w:r>
      <w:r w:rsidR="002B1510" w:rsidRPr="00407891">
        <w:rPr>
          <w:bCs/>
          <w:iCs/>
          <w:szCs w:val="22"/>
        </w:rPr>
        <w:t xml:space="preserve"> CYP2D6</w:t>
      </w:r>
      <w:r w:rsidRPr="00407891">
        <w:rPr>
          <w:bCs/>
          <w:iCs/>
          <w:szCs w:val="22"/>
        </w:rPr>
        <w:t>. Σε ασθενείς</w:t>
      </w:r>
      <w:r w:rsidR="002B1510" w:rsidRPr="00407891">
        <w:rPr>
          <w:bCs/>
          <w:iCs/>
          <w:szCs w:val="22"/>
        </w:rPr>
        <w:t xml:space="preserve"> με επιβεβαιωμένο εκτενή μεταβολισμό</w:t>
      </w:r>
      <w:r w:rsidRPr="00407891">
        <w:rPr>
          <w:bCs/>
          <w:iCs/>
          <w:szCs w:val="22"/>
        </w:rPr>
        <w:t xml:space="preserve"> </w:t>
      </w:r>
      <w:r w:rsidR="00407891" w:rsidRPr="00407891">
        <w:rPr>
          <w:bCs/>
          <w:iCs/>
          <w:szCs w:val="22"/>
        </w:rPr>
        <w:t>στο</w:t>
      </w:r>
      <w:r w:rsidRPr="00407891">
        <w:rPr>
          <w:bCs/>
          <w:iCs/>
          <w:szCs w:val="22"/>
        </w:rPr>
        <w:t xml:space="preserve"> CYP2D6, συνιστάται η μέγιστη δόση των 30</w:t>
      </w:r>
      <w:r w:rsidR="00DC18E3">
        <w:rPr>
          <w:bCs/>
          <w:iCs/>
          <w:szCs w:val="22"/>
        </w:rPr>
        <w:t> mg</w:t>
      </w:r>
      <w:r w:rsidR="002B1510" w:rsidRPr="00407891">
        <w:rPr>
          <w:bCs/>
          <w:iCs/>
          <w:szCs w:val="22"/>
        </w:rPr>
        <w:t>,</w:t>
      </w:r>
      <w:r w:rsidRPr="00407891">
        <w:rPr>
          <w:bCs/>
          <w:iCs/>
          <w:szCs w:val="22"/>
        </w:rPr>
        <w:t xml:space="preserve"> εάν η δαποξετίνη συνδυάζεται με ισχυρό αναστολέα του CYP3A4 και συνιστάται προσοχή</w:t>
      </w:r>
      <w:r w:rsidR="002B1510" w:rsidRPr="00407891">
        <w:rPr>
          <w:bCs/>
          <w:iCs/>
          <w:szCs w:val="22"/>
        </w:rPr>
        <w:t>,</w:t>
      </w:r>
      <w:r w:rsidRPr="00407891">
        <w:rPr>
          <w:bCs/>
          <w:iCs/>
          <w:szCs w:val="22"/>
        </w:rPr>
        <w:t xml:space="preserve"> εάν η δαποξετίνη στη δόση των 60</w:t>
      </w:r>
      <w:r w:rsidR="00DC18E3">
        <w:rPr>
          <w:bCs/>
          <w:iCs/>
          <w:szCs w:val="22"/>
        </w:rPr>
        <w:t> mg</w:t>
      </w:r>
      <w:r w:rsidRPr="00407891">
        <w:rPr>
          <w:bCs/>
          <w:iCs/>
          <w:szCs w:val="22"/>
        </w:rPr>
        <w:t xml:space="preserve"> λαμβάνεται παράλληλα με μέτριο αναστολέα του CYP3A4.</w:t>
      </w:r>
    </w:p>
    <w:p w:rsidR="001A2FFE" w:rsidRPr="001F3AFA" w:rsidRDefault="001A2FFE" w:rsidP="00DD10F5">
      <w:pPr>
        <w:rPr>
          <w:szCs w:val="22"/>
        </w:rPr>
      </w:pPr>
    </w:p>
    <w:p w:rsidR="001A2FFE" w:rsidRPr="0007023B" w:rsidRDefault="001A2FFE" w:rsidP="00DD10F5">
      <w:pPr>
        <w:rPr>
          <w:szCs w:val="22"/>
          <w:u w:val="single"/>
          <w:lang w:val="en-US"/>
        </w:rPr>
      </w:pPr>
      <w:r w:rsidRPr="00F51C5E">
        <w:rPr>
          <w:szCs w:val="22"/>
          <w:u w:val="single"/>
        </w:rPr>
        <w:t>Ισχυροί αναστολείς του CYP2D6</w:t>
      </w:r>
    </w:p>
    <w:p w:rsidR="001A2FFE" w:rsidRPr="001F3AFA" w:rsidRDefault="001A2FFE" w:rsidP="00DD10F5">
      <w:pPr>
        <w:autoSpaceDE w:val="0"/>
        <w:autoSpaceDN w:val="0"/>
        <w:adjustRightInd w:val="0"/>
        <w:rPr>
          <w:szCs w:val="22"/>
        </w:rPr>
      </w:pPr>
      <w:r w:rsidRPr="001F3AFA">
        <w:rPr>
          <w:szCs w:val="22"/>
        </w:rPr>
        <w:t>Η C</w:t>
      </w:r>
      <w:r w:rsidRPr="001F3AFA">
        <w:rPr>
          <w:szCs w:val="22"/>
          <w:vertAlign w:val="subscript"/>
        </w:rPr>
        <w:t>max</w:t>
      </w:r>
      <w:r w:rsidRPr="001F3AFA">
        <w:rPr>
          <w:szCs w:val="22"/>
        </w:rPr>
        <w:t xml:space="preserve"> και AUC</w:t>
      </w:r>
      <w:r w:rsidRPr="001F3AFA">
        <w:rPr>
          <w:szCs w:val="22"/>
          <w:vertAlign w:val="subscript"/>
        </w:rPr>
        <w:t>inf</w:t>
      </w:r>
      <w:r w:rsidRPr="001F3AFA">
        <w:rPr>
          <w:szCs w:val="22"/>
        </w:rPr>
        <w:t xml:space="preserve"> της δαποξετίνης (</w:t>
      </w:r>
      <w:r w:rsidR="00B81DF8">
        <w:rPr>
          <w:szCs w:val="22"/>
        </w:rPr>
        <w:t xml:space="preserve">μεμονωμένη δόση </w:t>
      </w:r>
      <w:r w:rsidRPr="001F3AFA">
        <w:rPr>
          <w:szCs w:val="22"/>
        </w:rPr>
        <w:t>60</w:t>
      </w:r>
      <w:r w:rsidR="00DC18E3">
        <w:rPr>
          <w:szCs w:val="22"/>
        </w:rPr>
        <w:t> mg</w:t>
      </w:r>
      <w:r w:rsidRPr="001F3AFA">
        <w:rPr>
          <w:szCs w:val="22"/>
        </w:rPr>
        <w:t>) αυξήθηκαν κατά 50% και 88%, αντίστοιχα, παρουσία φλουοξετίνης (60</w:t>
      </w:r>
      <w:r w:rsidR="00DC18E3">
        <w:rPr>
          <w:szCs w:val="22"/>
        </w:rPr>
        <w:t> mg</w:t>
      </w:r>
      <w:r w:rsidRPr="001F3AFA">
        <w:rPr>
          <w:szCs w:val="22"/>
        </w:rPr>
        <w:t>/ημέρα για 7 ημέρες). Λαμβάνοντας υπόψη τη συμβολή της μη δεσμευμένης δαποξετίνης και δεσμεθυλδαποξετίνης, η C</w:t>
      </w:r>
      <w:r w:rsidRPr="001F3AFA">
        <w:rPr>
          <w:szCs w:val="22"/>
          <w:vertAlign w:val="subscript"/>
        </w:rPr>
        <w:t>max</w:t>
      </w:r>
      <w:r w:rsidRPr="001F3AFA">
        <w:rPr>
          <w:szCs w:val="22"/>
        </w:rPr>
        <w:t xml:space="preserve"> του δραστικού </w:t>
      </w:r>
      <w:r w:rsidRPr="00407891">
        <w:rPr>
          <w:szCs w:val="22"/>
        </w:rPr>
        <w:t>κλάσματος</w:t>
      </w:r>
      <w:r w:rsidRPr="001F3AFA">
        <w:rPr>
          <w:szCs w:val="22"/>
        </w:rPr>
        <w:t xml:space="preserve"> μπορεί να αυξηθεί κατά περίπου 50% και η AUC του δραστικού </w:t>
      </w:r>
      <w:r w:rsidRPr="00407891">
        <w:rPr>
          <w:szCs w:val="22"/>
        </w:rPr>
        <w:t>κλάσματος</w:t>
      </w:r>
      <w:r w:rsidRPr="001F3AFA">
        <w:rPr>
          <w:szCs w:val="22"/>
        </w:rPr>
        <w:t xml:space="preserve"> μπορεί να διπλασιαστεί εάν ληφθεί με ισχυρούς αναστολείς του CYP2D6.</w:t>
      </w:r>
      <w:r w:rsidRPr="00DB6F08">
        <w:rPr>
          <w:szCs w:val="22"/>
        </w:rPr>
        <w:t xml:space="preserve"> </w:t>
      </w:r>
      <w:r w:rsidRPr="001F3AFA">
        <w:rPr>
          <w:szCs w:val="22"/>
        </w:rPr>
        <w:t>Οι αυξήσεις αυτές στη C</w:t>
      </w:r>
      <w:r w:rsidRPr="001F3AFA">
        <w:rPr>
          <w:szCs w:val="22"/>
          <w:vertAlign w:val="subscript"/>
        </w:rPr>
        <w:t>max</w:t>
      </w:r>
      <w:r w:rsidRPr="001F3AFA">
        <w:rPr>
          <w:szCs w:val="22"/>
        </w:rPr>
        <w:t xml:space="preserve"> και την AUC του δραστικού κλάσματος είναι παρόμοιες με αυτές που αναμένονται για τους </w:t>
      </w:r>
      <w:r w:rsidR="00945ECD">
        <w:rPr>
          <w:szCs w:val="22"/>
        </w:rPr>
        <w:t>πτωχ</w:t>
      </w:r>
      <w:r w:rsidRPr="001F3AFA">
        <w:rPr>
          <w:szCs w:val="22"/>
        </w:rPr>
        <w:t xml:space="preserve">ούς </w:t>
      </w:r>
      <w:r w:rsidR="00945ECD">
        <w:rPr>
          <w:szCs w:val="22"/>
        </w:rPr>
        <w:t>μεταβολιστές</w:t>
      </w:r>
      <w:r w:rsidR="00945ECD" w:rsidRPr="001F3AFA">
        <w:rPr>
          <w:szCs w:val="22"/>
        </w:rPr>
        <w:t xml:space="preserve"> </w:t>
      </w:r>
      <w:r w:rsidRPr="001F3AFA">
        <w:rPr>
          <w:szCs w:val="22"/>
        </w:rPr>
        <w:t xml:space="preserve">του CYP2D6 και μπορεί να οδηγήσουν σε υψηλότερη επίπτωση και σοβαρότητα των δοσοεξαρτώμενων ανεπιθύμητων </w:t>
      </w:r>
      <w:r w:rsidR="0015170D">
        <w:rPr>
          <w:szCs w:val="22"/>
        </w:rPr>
        <w:t>ενεργειών</w:t>
      </w:r>
      <w:r w:rsidR="0015170D" w:rsidRPr="001F3AFA">
        <w:rPr>
          <w:szCs w:val="22"/>
        </w:rPr>
        <w:t xml:space="preserve"> </w:t>
      </w:r>
      <w:r w:rsidRPr="001F3AFA">
        <w:rPr>
          <w:szCs w:val="22"/>
        </w:rPr>
        <w:t>(βλέπε παράγραφο 4.4).</w:t>
      </w:r>
    </w:p>
    <w:p w:rsidR="001A2FFE" w:rsidRPr="001F3AFA" w:rsidRDefault="001A2FFE" w:rsidP="00DD10F5">
      <w:pPr>
        <w:rPr>
          <w:szCs w:val="22"/>
        </w:rPr>
      </w:pPr>
    </w:p>
    <w:p w:rsidR="001A2FFE" w:rsidRPr="0007023B" w:rsidRDefault="001A2FFE" w:rsidP="00DD10F5">
      <w:pPr>
        <w:rPr>
          <w:szCs w:val="22"/>
          <w:u w:val="single"/>
          <w:lang w:val="en-US"/>
        </w:rPr>
      </w:pPr>
      <w:r w:rsidRPr="00F51C5E">
        <w:rPr>
          <w:szCs w:val="22"/>
          <w:u w:val="single"/>
        </w:rPr>
        <w:t>Αναστολείς της PDE5</w:t>
      </w:r>
    </w:p>
    <w:p w:rsidR="008B60A0" w:rsidRPr="0007023B" w:rsidRDefault="008B60A0" w:rsidP="00DD10F5">
      <w:pPr>
        <w:rPr>
          <w:szCs w:val="22"/>
        </w:rPr>
      </w:pPr>
      <w:r>
        <w:rPr>
          <w:szCs w:val="22"/>
        </w:rPr>
        <w:t xml:space="preserve">Το </w:t>
      </w:r>
      <w:proofErr w:type="spellStart"/>
      <w:r>
        <w:rPr>
          <w:szCs w:val="22"/>
          <w:lang w:val="en-US"/>
        </w:rPr>
        <w:t>Priligy</w:t>
      </w:r>
      <w:proofErr w:type="spellEnd"/>
      <w:r w:rsidRPr="008B60A0">
        <w:rPr>
          <w:szCs w:val="22"/>
        </w:rPr>
        <w:t xml:space="preserve"> </w:t>
      </w:r>
      <w:r>
        <w:rPr>
          <w:szCs w:val="22"/>
        </w:rPr>
        <w:t xml:space="preserve">δεν πρέπει να χρησιμοποιείται σε ασθενείς που λαμβάνουν αναστολείς της </w:t>
      </w:r>
      <w:r>
        <w:rPr>
          <w:szCs w:val="22"/>
          <w:lang w:val="en-US"/>
        </w:rPr>
        <w:t>PDE</w:t>
      </w:r>
      <w:r w:rsidRPr="008B60A0">
        <w:rPr>
          <w:szCs w:val="22"/>
        </w:rPr>
        <w:t xml:space="preserve">5 </w:t>
      </w:r>
      <w:r>
        <w:rPr>
          <w:szCs w:val="22"/>
        </w:rPr>
        <w:t xml:space="preserve">λόγω της πιθανώς μειωμένης ορθοστατικής ανοχής (βλέπε παράγραφο 4.4). </w:t>
      </w:r>
      <w:r w:rsidR="001A2FFE" w:rsidRPr="001F3AFA">
        <w:rPr>
          <w:szCs w:val="22"/>
        </w:rPr>
        <w:t>Η φαρμακοκινητική της δαποξετίνης (60</w:t>
      </w:r>
      <w:r w:rsidR="00DC18E3">
        <w:rPr>
          <w:szCs w:val="22"/>
        </w:rPr>
        <w:t> mg</w:t>
      </w:r>
      <w:r w:rsidR="001A2FFE" w:rsidRPr="001F3AFA">
        <w:rPr>
          <w:szCs w:val="22"/>
        </w:rPr>
        <w:t>) σε συνδυασμό με τη τανταλαφίλη (20</w:t>
      </w:r>
      <w:r w:rsidR="00DC18E3">
        <w:rPr>
          <w:szCs w:val="22"/>
        </w:rPr>
        <w:t> mg</w:t>
      </w:r>
      <w:r w:rsidR="001A2FFE" w:rsidRPr="001F3AFA">
        <w:rPr>
          <w:szCs w:val="22"/>
        </w:rPr>
        <w:t>) και τη σιλντεναφίλη (100</w:t>
      </w:r>
      <w:r w:rsidR="00DC18E3">
        <w:rPr>
          <w:szCs w:val="22"/>
        </w:rPr>
        <w:t> mg</w:t>
      </w:r>
      <w:r w:rsidR="001A2FFE" w:rsidRPr="001F3AFA">
        <w:rPr>
          <w:szCs w:val="22"/>
        </w:rPr>
        <w:t xml:space="preserve">) αξιολογήθηκαν σε μία διασταυρούμενη μελέτη </w:t>
      </w:r>
      <w:r w:rsidR="00407891">
        <w:rPr>
          <w:szCs w:val="22"/>
        </w:rPr>
        <w:t>μονής</w:t>
      </w:r>
      <w:r w:rsidR="001A2FFE" w:rsidRPr="001F3AFA">
        <w:rPr>
          <w:szCs w:val="22"/>
        </w:rPr>
        <w:t xml:space="preserve"> δόσης. Η τανταλαφίλη δεν επηρέασε τη φαρμακοκινητική της δαποξετίνης. Η σιλντεναφίλη προκάλεσε μικρές αλλαγές στη φαρμακοκινητική της δαποξετίνης (22% αύξηση στην AUC</w:t>
      </w:r>
      <w:r w:rsidR="001A2FFE" w:rsidRPr="001F3AFA">
        <w:rPr>
          <w:szCs w:val="22"/>
          <w:vertAlign w:val="subscript"/>
        </w:rPr>
        <w:t>inf</w:t>
      </w:r>
      <w:r w:rsidR="001A2FFE" w:rsidRPr="001F3AFA">
        <w:rPr>
          <w:szCs w:val="22"/>
        </w:rPr>
        <w:t xml:space="preserve"> και 4% αύξηση στη C</w:t>
      </w:r>
      <w:r w:rsidR="001A2FFE" w:rsidRPr="001F3AFA">
        <w:rPr>
          <w:szCs w:val="22"/>
          <w:vertAlign w:val="subscript"/>
        </w:rPr>
        <w:t>max</w:t>
      </w:r>
      <w:r w:rsidR="001A2FFE" w:rsidRPr="001F3AFA">
        <w:rPr>
          <w:szCs w:val="22"/>
        </w:rPr>
        <w:t xml:space="preserve">), </w:t>
      </w:r>
      <w:r w:rsidR="00407891">
        <w:rPr>
          <w:szCs w:val="22"/>
        </w:rPr>
        <w:t>οι</w:t>
      </w:r>
      <w:r w:rsidR="001A2FFE" w:rsidRPr="001F3AFA">
        <w:rPr>
          <w:szCs w:val="22"/>
        </w:rPr>
        <w:t xml:space="preserve"> οποί</w:t>
      </w:r>
      <w:r w:rsidR="00407891">
        <w:rPr>
          <w:szCs w:val="22"/>
        </w:rPr>
        <w:t>ες</w:t>
      </w:r>
      <w:r w:rsidR="001A2FFE" w:rsidRPr="001F3AFA">
        <w:rPr>
          <w:szCs w:val="22"/>
        </w:rPr>
        <w:t xml:space="preserve"> δεν αναμένεται να είναι κλινικά σημαντικ</w:t>
      </w:r>
      <w:r w:rsidR="00407891">
        <w:rPr>
          <w:szCs w:val="22"/>
        </w:rPr>
        <w:t>ές</w:t>
      </w:r>
      <w:r w:rsidR="001A2FFE" w:rsidRPr="001F3AFA">
        <w:rPr>
          <w:szCs w:val="22"/>
        </w:rPr>
        <w:t xml:space="preserve">. </w:t>
      </w:r>
    </w:p>
    <w:p w:rsidR="001A2FFE" w:rsidRPr="001F3AFA" w:rsidRDefault="001A2FFE" w:rsidP="00DD10F5">
      <w:pPr>
        <w:rPr>
          <w:szCs w:val="22"/>
        </w:rPr>
      </w:pPr>
      <w:r w:rsidRPr="001F3AFA">
        <w:rPr>
          <w:szCs w:val="22"/>
        </w:rPr>
        <w:t xml:space="preserve">Η </w:t>
      </w:r>
      <w:r w:rsidR="008B60A0">
        <w:rPr>
          <w:szCs w:val="22"/>
        </w:rPr>
        <w:t>ταυτόχρονη</w:t>
      </w:r>
      <w:r w:rsidR="008B60A0" w:rsidRPr="001F3AFA">
        <w:rPr>
          <w:szCs w:val="22"/>
        </w:rPr>
        <w:t xml:space="preserve"> </w:t>
      </w:r>
      <w:r w:rsidRPr="001F3AFA">
        <w:rPr>
          <w:szCs w:val="22"/>
        </w:rPr>
        <w:t>χρήση του Priligy με αναστολείς της PDE5 μπορεί να οδηγήσει σε ορθοστατική υπόταση (βλέπε παράγραφο 4.4). Η αποτελεσματικότητα και η ασφάλεια του Priligy σε ασθενείς με πρόωρη εκσπερμάτιση και στυτική δυσλειτουργία που ακολουθού</w:t>
      </w:r>
      <w:r w:rsidR="00407891">
        <w:rPr>
          <w:szCs w:val="22"/>
        </w:rPr>
        <w:t>ν</w:t>
      </w:r>
      <w:r w:rsidRPr="001F3AFA">
        <w:rPr>
          <w:szCs w:val="22"/>
        </w:rPr>
        <w:t xml:space="preserve"> παράλληλα αγωγή με Priligy και αναστολείς </w:t>
      </w:r>
      <w:r w:rsidR="00407891">
        <w:rPr>
          <w:szCs w:val="22"/>
        </w:rPr>
        <w:t>της</w:t>
      </w:r>
      <w:r w:rsidRPr="001F3AFA">
        <w:rPr>
          <w:szCs w:val="22"/>
        </w:rPr>
        <w:t xml:space="preserve"> PDE5 δεν έχει τεκμηριωθεί. </w:t>
      </w:r>
    </w:p>
    <w:p w:rsidR="001A2FFE" w:rsidRPr="001F3AFA" w:rsidRDefault="001A2FFE" w:rsidP="00DD10F5">
      <w:pPr>
        <w:rPr>
          <w:szCs w:val="22"/>
        </w:rPr>
      </w:pPr>
    </w:p>
    <w:p w:rsidR="001A2FFE" w:rsidRPr="0011423F" w:rsidRDefault="001A2FFE" w:rsidP="00DD10F5">
      <w:pPr>
        <w:rPr>
          <w:szCs w:val="22"/>
          <w:u w:val="single"/>
        </w:rPr>
      </w:pPr>
      <w:r w:rsidRPr="0011423F">
        <w:rPr>
          <w:szCs w:val="22"/>
          <w:u w:val="single"/>
        </w:rPr>
        <w:t>Επιδράσεις της δαποξετίνης στη φαρμακοκινητική συγχορηγούμενων φαρμακευτικών προϊόντων</w:t>
      </w:r>
    </w:p>
    <w:p w:rsidR="001A2FFE" w:rsidRPr="001F3AFA" w:rsidRDefault="001A2FFE" w:rsidP="00DD10F5">
      <w:pPr>
        <w:rPr>
          <w:szCs w:val="22"/>
          <w:u w:val="single"/>
        </w:rPr>
      </w:pPr>
    </w:p>
    <w:p w:rsidR="001A2FFE" w:rsidRPr="0007023B" w:rsidRDefault="001A2FFE" w:rsidP="00DD10F5">
      <w:pPr>
        <w:rPr>
          <w:szCs w:val="22"/>
          <w:u w:val="single"/>
          <w:lang w:val="en-US"/>
        </w:rPr>
      </w:pPr>
      <w:r w:rsidRPr="00F51C5E">
        <w:rPr>
          <w:szCs w:val="22"/>
          <w:u w:val="single"/>
        </w:rPr>
        <w:t>Ταμσουλοσίνη</w:t>
      </w:r>
    </w:p>
    <w:p w:rsidR="001A2FFE" w:rsidRPr="001F3AFA" w:rsidRDefault="001A2FFE" w:rsidP="00DD10F5">
      <w:pPr>
        <w:rPr>
          <w:szCs w:val="22"/>
        </w:rPr>
      </w:pPr>
      <w:r w:rsidRPr="001F3AFA">
        <w:rPr>
          <w:szCs w:val="22"/>
        </w:rPr>
        <w:lastRenderedPageBreak/>
        <w:t>Η παράλληλη χορήγηση μίας ή πολλαπλών δόσεων 30</w:t>
      </w:r>
      <w:r w:rsidR="00DC18E3">
        <w:rPr>
          <w:szCs w:val="22"/>
        </w:rPr>
        <w:t> mg</w:t>
      </w:r>
      <w:r w:rsidRPr="001F3AFA">
        <w:rPr>
          <w:szCs w:val="22"/>
        </w:rPr>
        <w:t xml:space="preserve"> ή 60</w:t>
      </w:r>
      <w:r w:rsidR="00DC18E3">
        <w:rPr>
          <w:szCs w:val="22"/>
        </w:rPr>
        <w:t> mg</w:t>
      </w:r>
      <w:r w:rsidRPr="001F3AFA">
        <w:rPr>
          <w:szCs w:val="22"/>
        </w:rPr>
        <w:t xml:space="preserve"> δαποξετίνης σε ασθενείς που λαμβάνουν ημερήσιες δόσ</w:t>
      </w:r>
      <w:r w:rsidR="00407891">
        <w:rPr>
          <w:szCs w:val="22"/>
        </w:rPr>
        <w:t>ει</w:t>
      </w:r>
      <w:r w:rsidRPr="001F3AFA">
        <w:rPr>
          <w:szCs w:val="22"/>
        </w:rPr>
        <w:t xml:space="preserve">ς ταμσουλοσίνης δεν οδήγησαν σε αλλαγές στη φαρμακοκινητική της ταμσουλοσίνης. Η προσθήκη της δαποξετίνης στην ταμσουλοσίνη δεν οδήγησε σε αλλαγή στο προφίλ της ορθοστατικής </w:t>
      </w:r>
      <w:r w:rsidR="00407891">
        <w:rPr>
          <w:szCs w:val="22"/>
        </w:rPr>
        <w:t>υπότασης</w:t>
      </w:r>
      <w:r w:rsidRPr="001F3AFA">
        <w:rPr>
          <w:szCs w:val="22"/>
        </w:rPr>
        <w:t xml:space="preserve"> και δεν υπήρξαν διαφορές στις επιδράσεις </w:t>
      </w:r>
      <w:r w:rsidR="00407891">
        <w:rPr>
          <w:szCs w:val="22"/>
        </w:rPr>
        <w:t>της</w:t>
      </w:r>
      <w:r w:rsidRPr="001F3AFA">
        <w:rPr>
          <w:szCs w:val="22"/>
        </w:rPr>
        <w:t xml:space="preserve"> ορθοστατική</w:t>
      </w:r>
      <w:r w:rsidR="00407891">
        <w:rPr>
          <w:szCs w:val="22"/>
        </w:rPr>
        <w:t>ς</w:t>
      </w:r>
      <w:r w:rsidRPr="001F3AFA">
        <w:rPr>
          <w:szCs w:val="22"/>
        </w:rPr>
        <w:t xml:space="preserve"> </w:t>
      </w:r>
      <w:r w:rsidR="00407891">
        <w:rPr>
          <w:szCs w:val="22"/>
        </w:rPr>
        <w:t>υπότασης</w:t>
      </w:r>
      <w:r w:rsidRPr="001F3AFA">
        <w:rPr>
          <w:szCs w:val="22"/>
        </w:rPr>
        <w:t xml:space="preserve"> ανάμεσα στην ταμσουλοσίνη σε συνδυασμό με 30 ή 60</w:t>
      </w:r>
      <w:r w:rsidR="00DC18E3">
        <w:rPr>
          <w:szCs w:val="22"/>
        </w:rPr>
        <w:t> mg</w:t>
      </w:r>
      <w:r w:rsidRPr="001F3AFA">
        <w:rPr>
          <w:szCs w:val="22"/>
        </w:rPr>
        <w:t xml:space="preserve"> δαποξετίνης και την ταμσουλοσίνη ως μονοθεραπεία. Ωστόσο, το Priligy </w:t>
      </w:r>
      <w:r w:rsidR="00062619">
        <w:rPr>
          <w:szCs w:val="22"/>
        </w:rPr>
        <w:t>πρέπει</w:t>
      </w:r>
      <w:r w:rsidRPr="001F3AFA">
        <w:rPr>
          <w:szCs w:val="22"/>
        </w:rPr>
        <w:t xml:space="preserve"> να συνταγογραφείται με προσοχή σε ασθενείς που λαμβάνουν ανταγωνιστές </w:t>
      </w:r>
      <w:r w:rsidR="009B2349">
        <w:rPr>
          <w:szCs w:val="22"/>
        </w:rPr>
        <w:t>των άλφα αδρενεργικών υποδοχέων</w:t>
      </w:r>
      <w:r w:rsidRPr="001F3AFA">
        <w:rPr>
          <w:szCs w:val="22"/>
        </w:rPr>
        <w:t xml:space="preserve"> </w:t>
      </w:r>
      <w:r w:rsidRPr="00407891">
        <w:rPr>
          <w:szCs w:val="22"/>
        </w:rPr>
        <w:t>λόγω της πιθαν</w:t>
      </w:r>
      <w:r w:rsidR="00407891" w:rsidRPr="00407891">
        <w:rPr>
          <w:szCs w:val="22"/>
        </w:rPr>
        <w:t>ώ</w:t>
      </w:r>
      <w:r w:rsidRPr="00407891">
        <w:rPr>
          <w:szCs w:val="22"/>
        </w:rPr>
        <w:t xml:space="preserve">ς μειωμένης </w:t>
      </w:r>
      <w:r w:rsidR="00D961BC" w:rsidRPr="00407891">
        <w:rPr>
          <w:szCs w:val="22"/>
        </w:rPr>
        <w:t xml:space="preserve">ορθοστατικής </w:t>
      </w:r>
      <w:r w:rsidRPr="00407891">
        <w:rPr>
          <w:szCs w:val="22"/>
        </w:rPr>
        <w:t xml:space="preserve">ανοχής </w:t>
      </w:r>
      <w:r w:rsidRPr="001F3AFA">
        <w:rPr>
          <w:szCs w:val="22"/>
        </w:rPr>
        <w:t>(βλέπε παράγραφο 4.4).</w:t>
      </w:r>
    </w:p>
    <w:p w:rsidR="001A2FFE" w:rsidRPr="001F3AFA" w:rsidRDefault="001A2FFE" w:rsidP="00DD10F5">
      <w:pPr>
        <w:rPr>
          <w:szCs w:val="22"/>
        </w:rPr>
      </w:pPr>
    </w:p>
    <w:p w:rsidR="001A2FFE" w:rsidRPr="0007023B" w:rsidRDefault="001A2FFE" w:rsidP="00DD10F5">
      <w:pPr>
        <w:rPr>
          <w:szCs w:val="22"/>
          <w:u w:val="single"/>
        </w:rPr>
      </w:pPr>
      <w:r w:rsidRPr="0011423F">
        <w:rPr>
          <w:szCs w:val="22"/>
          <w:u w:val="single"/>
        </w:rPr>
        <w:t xml:space="preserve">Φαρμακευτικά προϊόντα που μεταβολίζονται </w:t>
      </w:r>
      <w:r w:rsidR="00407891" w:rsidRPr="0011423F">
        <w:rPr>
          <w:szCs w:val="22"/>
          <w:u w:val="single"/>
        </w:rPr>
        <w:t xml:space="preserve">από </w:t>
      </w:r>
      <w:r w:rsidRPr="0011423F">
        <w:rPr>
          <w:szCs w:val="22"/>
          <w:u w:val="single"/>
        </w:rPr>
        <w:t>το CYP2D6</w:t>
      </w:r>
    </w:p>
    <w:p w:rsidR="001A2FFE" w:rsidRPr="001F3AFA" w:rsidRDefault="001A2FFE" w:rsidP="00DD10F5">
      <w:pPr>
        <w:rPr>
          <w:strike/>
          <w:szCs w:val="22"/>
        </w:rPr>
      </w:pPr>
      <w:r w:rsidRPr="001F3AFA">
        <w:rPr>
          <w:szCs w:val="22"/>
        </w:rPr>
        <w:t>Οι πολλαπλές δόσεις της δαποξετίνης (60</w:t>
      </w:r>
      <w:r w:rsidR="00DC18E3">
        <w:rPr>
          <w:szCs w:val="22"/>
        </w:rPr>
        <w:t> mg</w:t>
      </w:r>
      <w:r w:rsidRPr="001F3AFA">
        <w:rPr>
          <w:szCs w:val="22"/>
        </w:rPr>
        <w:t xml:space="preserve">/ημέρα για 6 ημέρες) ακολουθούμενες από </w:t>
      </w:r>
      <w:r w:rsidR="00407891">
        <w:rPr>
          <w:szCs w:val="22"/>
        </w:rPr>
        <w:t>μονή</w:t>
      </w:r>
      <w:r w:rsidRPr="001F3AFA">
        <w:rPr>
          <w:szCs w:val="22"/>
        </w:rPr>
        <w:t xml:space="preserve"> δόση των 50</w:t>
      </w:r>
      <w:r w:rsidR="00DC18E3">
        <w:rPr>
          <w:szCs w:val="22"/>
        </w:rPr>
        <w:t> mg</w:t>
      </w:r>
      <w:r w:rsidRPr="001F3AFA">
        <w:rPr>
          <w:szCs w:val="22"/>
        </w:rPr>
        <w:t xml:space="preserve"> δεσιπραμίνης αύξησ</w:t>
      </w:r>
      <w:r w:rsidR="00250B4A">
        <w:rPr>
          <w:szCs w:val="22"/>
        </w:rPr>
        <w:t>αν</w:t>
      </w:r>
      <w:r w:rsidRPr="001F3AFA">
        <w:rPr>
          <w:szCs w:val="22"/>
        </w:rPr>
        <w:t xml:space="preserve"> τη μέση C</w:t>
      </w:r>
      <w:r w:rsidRPr="001F3AFA">
        <w:rPr>
          <w:szCs w:val="22"/>
          <w:vertAlign w:val="subscript"/>
        </w:rPr>
        <w:t>max</w:t>
      </w:r>
      <w:r w:rsidRPr="001F3AFA">
        <w:rPr>
          <w:szCs w:val="22"/>
        </w:rPr>
        <w:t xml:space="preserve"> και AUC</w:t>
      </w:r>
      <w:r w:rsidRPr="001F3AFA">
        <w:rPr>
          <w:szCs w:val="22"/>
          <w:vertAlign w:val="subscript"/>
        </w:rPr>
        <w:t>inf</w:t>
      </w:r>
      <w:r w:rsidRPr="001F3AFA">
        <w:rPr>
          <w:szCs w:val="22"/>
        </w:rPr>
        <w:t xml:space="preserve"> της δεσιπραμίνης κατά περίπου 11% και 19%, αντίστοιχα, συγκριτικά με τη δεσιπραμίνη χορηγούμενη ως μονοθεραπεία. Η δαποξετίνη μπορεί να οδηγεί σε παρόμοια αύξηση στις συγκεντρώσεις πλάσματος άλλων φαρμάκων που μεταβολίζονται από το CYP2D6. </w:t>
      </w:r>
      <w:r w:rsidR="00407891">
        <w:rPr>
          <w:szCs w:val="22"/>
        </w:rPr>
        <w:t>Ο κλινικός συσχετισμός</w:t>
      </w:r>
      <w:r w:rsidRPr="001F3AFA">
        <w:rPr>
          <w:szCs w:val="22"/>
        </w:rPr>
        <w:t xml:space="preserve"> </w:t>
      </w:r>
      <w:r w:rsidR="00D961BC">
        <w:rPr>
          <w:szCs w:val="22"/>
        </w:rPr>
        <w:t>πιθανώς</w:t>
      </w:r>
      <w:r w:rsidRPr="001F3AFA">
        <w:rPr>
          <w:szCs w:val="22"/>
        </w:rPr>
        <w:t xml:space="preserve"> να είναι μικρ</w:t>
      </w:r>
      <w:r w:rsidR="00407891">
        <w:rPr>
          <w:szCs w:val="22"/>
        </w:rPr>
        <w:t>ός</w:t>
      </w:r>
      <w:r w:rsidRPr="001F3AFA">
        <w:rPr>
          <w:szCs w:val="22"/>
        </w:rPr>
        <w:t>.</w:t>
      </w:r>
    </w:p>
    <w:p w:rsidR="001A2FFE" w:rsidRPr="001F3AFA" w:rsidRDefault="001A2FFE" w:rsidP="00DD10F5">
      <w:pPr>
        <w:rPr>
          <w:szCs w:val="22"/>
        </w:rPr>
      </w:pPr>
    </w:p>
    <w:p w:rsidR="001A2FFE" w:rsidRPr="0007023B" w:rsidRDefault="001A2FFE" w:rsidP="00DD10F5">
      <w:pPr>
        <w:rPr>
          <w:szCs w:val="22"/>
          <w:u w:val="single"/>
        </w:rPr>
      </w:pPr>
      <w:r w:rsidRPr="0011423F">
        <w:rPr>
          <w:szCs w:val="22"/>
          <w:u w:val="single"/>
        </w:rPr>
        <w:t>Φαρμακευτικά προϊόντα που μεταβολίζονται από το CYP3A4</w:t>
      </w:r>
    </w:p>
    <w:p w:rsidR="001A2FFE" w:rsidRPr="001F3AFA" w:rsidRDefault="001A2FFE" w:rsidP="00DD10F5">
      <w:pPr>
        <w:rPr>
          <w:szCs w:val="22"/>
        </w:rPr>
      </w:pPr>
      <w:r w:rsidRPr="001F3AFA">
        <w:rPr>
          <w:szCs w:val="22"/>
        </w:rPr>
        <w:t>Οι πολλαπλές δόσεις της δαποξετίνης (60</w:t>
      </w:r>
      <w:r w:rsidR="00DC18E3">
        <w:rPr>
          <w:szCs w:val="22"/>
        </w:rPr>
        <w:t> mg</w:t>
      </w:r>
      <w:r w:rsidRPr="001F3AFA">
        <w:rPr>
          <w:szCs w:val="22"/>
        </w:rPr>
        <w:t>/ημέρα για 6 εβδομάδες) μείωσαν την AUC</w:t>
      </w:r>
      <w:r w:rsidRPr="001F3AFA">
        <w:rPr>
          <w:szCs w:val="22"/>
          <w:vertAlign w:val="subscript"/>
        </w:rPr>
        <w:t>inf</w:t>
      </w:r>
      <w:r w:rsidRPr="001F3AFA">
        <w:rPr>
          <w:szCs w:val="22"/>
        </w:rPr>
        <w:t xml:space="preserve"> της μιδαζολάμης (</w:t>
      </w:r>
      <w:r w:rsidR="006E089F">
        <w:rPr>
          <w:szCs w:val="22"/>
        </w:rPr>
        <w:t xml:space="preserve">μεμονωμένη δόση </w:t>
      </w:r>
      <w:r w:rsidRPr="001F3AFA">
        <w:rPr>
          <w:szCs w:val="22"/>
        </w:rPr>
        <w:t>8</w:t>
      </w:r>
      <w:r w:rsidR="00DC18E3">
        <w:rPr>
          <w:szCs w:val="22"/>
        </w:rPr>
        <w:t> mg</w:t>
      </w:r>
      <w:r w:rsidRPr="001F3AFA">
        <w:rPr>
          <w:szCs w:val="22"/>
        </w:rPr>
        <w:t xml:space="preserve">) κατά περίπου 20% (εύρος </w:t>
      </w:r>
      <w:r w:rsidRPr="001F3AFA">
        <w:rPr>
          <w:szCs w:val="22"/>
        </w:rPr>
        <w:sym w:font="Symbol" w:char="F02D"/>
      </w:r>
      <w:r w:rsidRPr="001F3AFA">
        <w:rPr>
          <w:szCs w:val="22"/>
        </w:rPr>
        <w:t xml:space="preserve">60 έως </w:t>
      </w:r>
      <w:r w:rsidRPr="001F3AFA">
        <w:rPr>
          <w:szCs w:val="22"/>
        </w:rPr>
        <w:sym w:font="Symbol" w:char="F02B"/>
      </w:r>
      <w:r w:rsidRPr="001F3AFA">
        <w:rPr>
          <w:szCs w:val="22"/>
        </w:rPr>
        <w:t xml:space="preserve">18%). </w:t>
      </w:r>
      <w:r w:rsidR="00407891">
        <w:rPr>
          <w:szCs w:val="22"/>
        </w:rPr>
        <w:t>Ο κλινικός συσχετισμός</w:t>
      </w:r>
      <w:r w:rsidRPr="001F3AFA">
        <w:rPr>
          <w:szCs w:val="22"/>
        </w:rPr>
        <w:t xml:space="preserve"> της επίδρασης στη μιδαζολάμη είναι πιθανό να είναι μικρ</w:t>
      </w:r>
      <w:r w:rsidR="003C09C7">
        <w:rPr>
          <w:szCs w:val="22"/>
        </w:rPr>
        <w:t>ός</w:t>
      </w:r>
      <w:r w:rsidRPr="001F3AFA">
        <w:rPr>
          <w:szCs w:val="22"/>
        </w:rPr>
        <w:t xml:space="preserve"> στους περισσότερους ασθενείς. Η αύξηση στη δραστικότητα του CYP3A μπορεί να είναι κλινικά σχετική σε ορισμένα άτομα που </w:t>
      </w:r>
      <w:r w:rsidR="003C09C7">
        <w:rPr>
          <w:szCs w:val="22"/>
        </w:rPr>
        <w:t>ακολουθούν</w:t>
      </w:r>
      <w:r w:rsidRPr="001F3AFA">
        <w:rPr>
          <w:szCs w:val="22"/>
        </w:rPr>
        <w:t xml:space="preserve"> </w:t>
      </w:r>
      <w:r w:rsidR="00250B4A">
        <w:rPr>
          <w:szCs w:val="22"/>
        </w:rPr>
        <w:t>ταυτόχρονα</w:t>
      </w:r>
      <w:r w:rsidR="00250B4A" w:rsidRPr="001F3AFA">
        <w:rPr>
          <w:szCs w:val="22"/>
        </w:rPr>
        <w:t xml:space="preserve"> </w:t>
      </w:r>
      <w:r w:rsidR="003C09C7">
        <w:rPr>
          <w:szCs w:val="22"/>
        </w:rPr>
        <w:t xml:space="preserve">θεραπεία </w:t>
      </w:r>
      <w:r w:rsidRPr="001F3AFA">
        <w:rPr>
          <w:szCs w:val="22"/>
        </w:rPr>
        <w:t>με φαρμακευτικό προϊόν, το οποίο μεταβολίζεται κυρίως από το CYP3A και το οποίο διαθέτει στενό θεραπευτικό παράθυρο.</w:t>
      </w:r>
    </w:p>
    <w:p w:rsidR="001A2FFE" w:rsidRPr="001F3AFA" w:rsidRDefault="001A2FFE" w:rsidP="00DD10F5">
      <w:pPr>
        <w:rPr>
          <w:szCs w:val="22"/>
        </w:rPr>
      </w:pPr>
    </w:p>
    <w:p w:rsidR="001A2FFE" w:rsidRPr="0007023B" w:rsidRDefault="001A2FFE" w:rsidP="00DD10F5">
      <w:pPr>
        <w:rPr>
          <w:szCs w:val="22"/>
          <w:u w:val="single"/>
        </w:rPr>
      </w:pPr>
      <w:r w:rsidRPr="0011423F">
        <w:rPr>
          <w:szCs w:val="22"/>
          <w:u w:val="single"/>
        </w:rPr>
        <w:t>Φαρμακευτικά προϊόντα που μεταβολίζονται από το CYP2C19</w:t>
      </w:r>
    </w:p>
    <w:p w:rsidR="001A2FFE" w:rsidRPr="001F3AFA" w:rsidRDefault="001A2FFE" w:rsidP="00DD10F5">
      <w:pPr>
        <w:rPr>
          <w:szCs w:val="22"/>
        </w:rPr>
      </w:pPr>
      <w:r w:rsidRPr="001F3AFA">
        <w:rPr>
          <w:szCs w:val="22"/>
        </w:rPr>
        <w:t>Οι πολλαπλές δόσεις της δαποξετίνης (60</w:t>
      </w:r>
      <w:r w:rsidR="00DC18E3">
        <w:rPr>
          <w:szCs w:val="22"/>
        </w:rPr>
        <w:t> mg</w:t>
      </w:r>
      <w:r w:rsidRPr="001F3AFA">
        <w:rPr>
          <w:szCs w:val="22"/>
        </w:rPr>
        <w:t xml:space="preserve">/ημέρα για 6 ημέρες) δεν ανέστειλαν τον μεταβολισμό </w:t>
      </w:r>
      <w:r w:rsidR="00250B4A">
        <w:rPr>
          <w:szCs w:val="22"/>
        </w:rPr>
        <w:t>μίας μεμονωμένης δόσης</w:t>
      </w:r>
      <w:r w:rsidRPr="001F3AFA">
        <w:rPr>
          <w:szCs w:val="22"/>
        </w:rPr>
        <w:t xml:space="preserve"> 40</w:t>
      </w:r>
      <w:r w:rsidR="00DC18E3">
        <w:rPr>
          <w:szCs w:val="22"/>
        </w:rPr>
        <w:t> mg</w:t>
      </w:r>
      <w:r w:rsidRPr="001F3AFA">
        <w:rPr>
          <w:szCs w:val="22"/>
        </w:rPr>
        <w:t xml:space="preserve"> ομεπραζόλης. </w:t>
      </w:r>
      <w:r w:rsidR="005F1302">
        <w:rPr>
          <w:szCs w:val="22"/>
        </w:rPr>
        <w:t xml:space="preserve">Δεν είναι πιθανόν </w:t>
      </w:r>
      <w:r w:rsidR="003C09C7">
        <w:rPr>
          <w:szCs w:val="22"/>
        </w:rPr>
        <w:t>να</w:t>
      </w:r>
      <w:r w:rsidRPr="001F3AFA">
        <w:rPr>
          <w:szCs w:val="22"/>
        </w:rPr>
        <w:t xml:space="preserve"> επηρεάζει </w:t>
      </w:r>
      <w:r w:rsidR="005F1302">
        <w:rPr>
          <w:szCs w:val="22"/>
        </w:rPr>
        <w:t xml:space="preserve">η δαποξετίνη </w:t>
      </w:r>
      <w:r w:rsidRPr="001F3AFA">
        <w:rPr>
          <w:szCs w:val="22"/>
        </w:rPr>
        <w:t>τη φαρμακοκινητική άλλων υποστρωμάτων του CYP2C19.</w:t>
      </w:r>
    </w:p>
    <w:p w:rsidR="001A2FFE" w:rsidRPr="001F3AFA" w:rsidRDefault="001A2FFE" w:rsidP="00DD10F5">
      <w:pPr>
        <w:rPr>
          <w:szCs w:val="22"/>
        </w:rPr>
      </w:pPr>
    </w:p>
    <w:p w:rsidR="001A2FFE" w:rsidRPr="0007023B" w:rsidRDefault="001A2FFE" w:rsidP="00DD10F5">
      <w:pPr>
        <w:rPr>
          <w:szCs w:val="22"/>
          <w:u w:val="single"/>
        </w:rPr>
      </w:pPr>
      <w:r w:rsidRPr="0011423F">
        <w:rPr>
          <w:szCs w:val="22"/>
          <w:u w:val="single"/>
        </w:rPr>
        <w:t>Φαρμακευτικά προϊόντα που μεταβολίζονται από το CYP2C9</w:t>
      </w:r>
    </w:p>
    <w:p w:rsidR="001A2FFE" w:rsidRPr="001F3AFA" w:rsidRDefault="001A2FFE" w:rsidP="00DD10F5">
      <w:pPr>
        <w:rPr>
          <w:szCs w:val="22"/>
        </w:rPr>
      </w:pPr>
      <w:r w:rsidRPr="001F3AFA">
        <w:rPr>
          <w:szCs w:val="22"/>
        </w:rPr>
        <w:t>Οι πολλαπλές δόσεις της δαποξετίνης (60</w:t>
      </w:r>
      <w:r w:rsidR="00DC18E3">
        <w:rPr>
          <w:szCs w:val="22"/>
        </w:rPr>
        <w:t> mg</w:t>
      </w:r>
      <w:r w:rsidRPr="001F3AFA">
        <w:rPr>
          <w:szCs w:val="22"/>
        </w:rPr>
        <w:t>/ημέρα για 6 ημέρες) δεν επηρέασαν τη φαρμακοκινητική ή τη φαρμακοδυναμική της μίας δόσης των 5</w:t>
      </w:r>
      <w:r w:rsidR="00DC18E3">
        <w:rPr>
          <w:szCs w:val="22"/>
        </w:rPr>
        <w:t> mg</w:t>
      </w:r>
      <w:r w:rsidRPr="001F3AFA">
        <w:rPr>
          <w:szCs w:val="22"/>
        </w:rPr>
        <w:t xml:space="preserve"> γλυβουρίδης. </w:t>
      </w:r>
      <w:r w:rsidR="005F1302">
        <w:rPr>
          <w:szCs w:val="22"/>
        </w:rPr>
        <w:t>Δεν είναι πιθανόν να</w:t>
      </w:r>
      <w:r w:rsidR="005F1302" w:rsidRPr="001F3AFA">
        <w:rPr>
          <w:szCs w:val="22"/>
        </w:rPr>
        <w:t xml:space="preserve"> επηρεάζει </w:t>
      </w:r>
      <w:r w:rsidR="005F1302">
        <w:rPr>
          <w:szCs w:val="22"/>
        </w:rPr>
        <w:t xml:space="preserve">η δαποξετίνη </w:t>
      </w:r>
      <w:r w:rsidRPr="001F3AFA">
        <w:rPr>
          <w:szCs w:val="22"/>
        </w:rPr>
        <w:t>τη φαρμακοκινητική άλλων υποστρωμάτων του CYP2C9.</w:t>
      </w:r>
    </w:p>
    <w:p w:rsidR="001A2FFE" w:rsidRPr="001F3AFA" w:rsidRDefault="001A2FFE" w:rsidP="00DD10F5">
      <w:pPr>
        <w:rPr>
          <w:szCs w:val="22"/>
        </w:rPr>
      </w:pPr>
    </w:p>
    <w:p w:rsidR="001A2FFE" w:rsidRPr="0007023B" w:rsidRDefault="001A2FFE" w:rsidP="00DD10F5">
      <w:pPr>
        <w:rPr>
          <w:szCs w:val="22"/>
          <w:u w:val="single"/>
        </w:rPr>
      </w:pPr>
      <w:r w:rsidRPr="0011423F">
        <w:rPr>
          <w:szCs w:val="22"/>
          <w:u w:val="single"/>
        </w:rPr>
        <w:t xml:space="preserve">Βαρφαρίνη και φαρμακευτικά προϊόντα που είναι γνωστό ότι επηρεάζουν την πηκτικότητα </w:t>
      </w:r>
      <w:r w:rsidR="005F1302">
        <w:rPr>
          <w:szCs w:val="22"/>
          <w:u w:val="single"/>
        </w:rPr>
        <w:t>και/ή</w:t>
      </w:r>
      <w:r w:rsidRPr="0011423F">
        <w:rPr>
          <w:szCs w:val="22"/>
          <w:u w:val="single"/>
        </w:rPr>
        <w:t xml:space="preserve"> τη λειτουργία των αιμοπεταλίων</w:t>
      </w:r>
    </w:p>
    <w:p w:rsidR="001A2FFE" w:rsidRPr="0007023B" w:rsidRDefault="001A2FFE" w:rsidP="00DD10F5">
      <w:pPr>
        <w:rPr>
          <w:szCs w:val="22"/>
        </w:rPr>
      </w:pPr>
      <w:r w:rsidRPr="001F3AFA">
        <w:rPr>
          <w:szCs w:val="22"/>
        </w:rPr>
        <w:t xml:space="preserve">Δεν υπάρχουν δεδομένα που να αξιολογούν την επίδραση της χρόνιας χρήσης της βαρφαρίνης με τη δαποξετίνη. Επομένως, </w:t>
      </w:r>
      <w:r w:rsidRPr="003C09C7">
        <w:rPr>
          <w:szCs w:val="22"/>
        </w:rPr>
        <w:t>συνιστάται</w:t>
      </w:r>
      <w:r w:rsidRPr="001F3AFA">
        <w:rPr>
          <w:szCs w:val="22"/>
        </w:rPr>
        <w:t xml:space="preserve"> προσοχή όταν η δαποξετίνη χρησιμοποιείται σε ασθενείς που λαμβάνουν βαρφαρίνη για μεγάλο χρονικό διάστημα (βλέπε παράγραφο 4.4). Σε μία φαρμακοκινητική μελέτη, η δαποξετίνη (60</w:t>
      </w:r>
      <w:r w:rsidR="00DC18E3">
        <w:rPr>
          <w:szCs w:val="22"/>
        </w:rPr>
        <w:t> mg</w:t>
      </w:r>
      <w:r w:rsidRPr="001F3AFA">
        <w:rPr>
          <w:szCs w:val="22"/>
        </w:rPr>
        <w:t>/ημέρα για 6 ημέρες) δεν επηρέασε τη φαρμακοκινητική ή φαρμακοδυναμική (PT ή INR) της βαρφαρίνης μετά από μία δόση των 25</w:t>
      </w:r>
      <w:r w:rsidR="00DC18E3">
        <w:rPr>
          <w:szCs w:val="22"/>
        </w:rPr>
        <w:t> mg</w:t>
      </w:r>
      <w:r w:rsidRPr="001F3AFA">
        <w:rPr>
          <w:szCs w:val="22"/>
        </w:rPr>
        <w:t>.</w:t>
      </w:r>
    </w:p>
    <w:p w:rsidR="001A2FFE" w:rsidRPr="001F3AFA" w:rsidRDefault="001A2FFE" w:rsidP="00DD10F5">
      <w:pPr>
        <w:rPr>
          <w:szCs w:val="22"/>
        </w:rPr>
      </w:pPr>
      <w:r w:rsidRPr="001F3AFA">
        <w:rPr>
          <w:szCs w:val="22"/>
        </w:rPr>
        <w:t>Έχουν υπάρξει αναφορές αιμορραγικών ανωμαλιών με τους SSRI (βλέπε παράγραφο 4.4).</w:t>
      </w:r>
    </w:p>
    <w:p w:rsidR="001A2FFE" w:rsidRPr="001F3AFA" w:rsidRDefault="001A2FFE" w:rsidP="00DD10F5">
      <w:pPr>
        <w:rPr>
          <w:szCs w:val="22"/>
        </w:rPr>
      </w:pPr>
    </w:p>
    <w:p w:rsidR="001A2FFE" w:rsidRPr="0007023B" w:rsidRDefault="001A2FFE" w:rsidP="00DD10F5">
      <w:pPr>
        <w:rPr>
          <w:szCs w:val="22"/>
          <w:u w:val="single"/>
          <w:lang w:val="en-US"/>
        </w:rPr>
      </w:pPr>
      <w:r w:rsidRPr="0011423F">
        <w:rPr>
          <w:szCs w:val="22"/>
          <w:u w:val="single"/>
        </w:rPr>
        <w:t>Αιθανόλη</w:t>
      </w:r>
    </w:p>
    <w:p w:rsidR="001A2FFE" w:rsidRPr="001F3AFA" w:rsidRDefault="001A2FFE" w:rsidP="00DD10F5">
      <w:pPr>
        <w:rPr>
          <w:szCs w:val="22"/>
        </w:rPr>
      </w:pPr>
      <w:r w:rsidRPr="001F3AFA">
        <w:rPr>
          <w:szCs w:val="22"/>
        </w:rPr>
        <w:t>Η συγχορήγηση μίας δόσης αιθανόλης, στα 0,5 g/kg (περίπου 2 ποτά), δεν επηρέασε τη φαρμακοκινητική της δαποξετίνης (</w:t>
      </w:r>
      <w:r w:rsidR="007B10EB">
        <w:rPr>
          <w:szCs w:val="22"/>
        </w:rPr>
        <w:t>μεμονωμένη δόση</w:t>
      </w:r>
      <w:r w:rsidRPr="001F3AFA">
        <w:rPr>
          <w:szCs w:val="22"/>
        </w:rPr>
        <w:t xml:space="preserve"> 60</w:t>
      </w:r>
      <w:r w:rsidR="00DC18E3">
        <w:rPr>
          <w:szCs w:val="22"/>
        </w:rPr>
        <w:t> mg</w:t>
      </w:r>
      <w:r w:rsidRPr="001F3AFA">
        <w:rPr>
          <w:szCs w:val="22"/>
        </w:rPr>
        <w:t xml:space="preserve">). Ωστόσο, η δαποξετίνη σε συνδυασμό με αιθανόλη αύξησε την υπνηλία και μείωσε σημαντικά την </w:t>
      </w:r>
      <w:r w:rsidRPr="003C09C7">
        <w:rPr>
          <w:szCs w:val="22"/>
        </w:rPr>
        <w:t>αυτοαξιολογούμενη</w:t>
      </w:r>
      <w:r w:rsidRPr="001F3AFA">
        <w:rPr>
          <w:szCs w:val="22"/>
        </w:rPr>
        <w:t xml:space="preserve"> εγρήγορση. Οι</w:t>
      </w:r>
      <w:r w:rsidR="003C09C7">
        <w:rPr>
          <w:szCs w:val="22"/>
        </w:rPr>
        <w:t xml:space="preserve"> φαρμακοδυναμικές μετρήσεις </w:t>
      </w:r>
      <w:r w:rsidR="00840BBD">
        <w:rPr>
          <w:szCs w:val="22"/>
        </w:rPr>
        <w:t>της</w:t>
      </w:r>
      <w:r w:rsidR="003C09C7">
        <w:rPr>
          <w:szCs w:val="22"/>
        </w:rPr>
        <w:t xml:space="preserve"> διαταραγμένη</w:t>
      </w:r>
      <w:r w:rsidR="00840BBD">
        <w:rPr>
          <w:szCs w:val="22"/>
        </w:rPr>
        <w:t>ς</w:t>
      </w:r>
      <w:r w:rsidR="003C09C7">
        <w:rPr>
          <w:szCs w:val="22"/>
        </w:rPr>
        <w:t xml:space="preserve"> νοητική</w:t>
      </w:r>
      <w:r w:rsidR="00840BBD">
        <w:rPr>
          <w:szCs w:val="22"/>
        </w:rPr>
        <w:t>ς</w:t>
      </w:r>
      <w:r w:rsidR="003C09C7">
        <w:rPr>
          <w:szCs w:val="22"/>
        </w:rPr>
        <w:t xml:space="preserve"> λειτουργία</w:t>
      </w:r>
      <w:r w:rsidR="00840BBD">
        <w:rPr>
          <w:szCs w:val="22"/>
        </w:rPr>
        <w:t>ς</w:t>
      </w:r>
      <w:r w:rsidRPr="001F3AFA">
        <w:rPr>
          <w:szCs w:val="22"/>
        </w:rPr>
        <w:t xml:space="preserve"> (</w:t>
      </w:r>
      <w:r w:rsidR="003C09C7">
        <w:rPr>
          <w:szCs w:val="22"/>
          <w:lang w:val="en-US"/>
        </w:rPr>
        <w:t>Digit</w:t>
      </w:r>
      <w:r w:rsidR="003C09C7" w:rsidRPr="00DB6F08">
        <w:rPr>
          <w:szCs w:val="22"/>
        </w:rPr>
        <w:t xml:space="preserve"> </w:t>
      </w:r>
      <w:r w:rsidR="003C09C7">
        <w:rPr>
          <w:szCs w:val="22"/>
          <w:lang w:val="en-US"/>
        </w:rPr>
        <w:t>Vigilance</w:t>
      </w:r>
      <w:r w:rsidR="003C09C7" w:rsidRPr="00DB6F08">
        <w:rPr>
          <w:szCs w:val="22"/>
        </w:rPr>
        <w:t xml:space="preserve"> </w:t>
      </w:r>
      <w:r w:rsidR="003C09C7">
        <w:rPr>
          <w:szCs w:val="22"/>
          <w:lang w:val="en-US"/>
        </w:rPr>
        <w:t>Speed</w:t>
      </w:r>
      <w:r w:rsidR="003C09C7" w:rsidRPr="00DB6F08">
        <w:rPr>
          <w:szCs w:val="22"/>
        </w:rPr>
        <w:t xml:space="preserve">, </w:t>
      </w:r>
      <w:r w:rsidR="003C09C7">
        <w:rPr>
          <w:szCs w:val="22"/>
          <w:lang w:val="en-US"/>
        </w:rPr>
        <w:t>Digit</w:t>
      </w:r>
      <w:r w:rsidR="003C09C7" w:rsidRPr="00DB6F08">
        <w:rPr>
          <w:szCs w:val="22"/>
        </w:rPr>
        <w:t xml:space="preserve"> </w:t>
      </w:r>
      <w:r w:rsidR="003C09C7">
        <w:rPr>
          <w:szCs w:val="22"/>
          <w:lang w:val="en-US"/>
        </w:rPr>
        <w:t>Symbol</w:t>
      </w:r>
      <w:r w:rsidR="003C09C7" w:rsidRPr="00DB6F08">
        <w:rPr>
          <w:szCs w:val="22"/>
        </w:rPr>
        <w:t xml:space="preserve"> </w:t>
      </w:r>
      <w:r w:rsidR="003C09C7">
        <w:rPr>
          <w:szCs w:val="22"/>
          <w:lang w:val="en-US"/>
        </w:rPr>
        <w:t>Substitution</w:t>
      </w:r>
      <w:r w:rsidR="003C09C7" w:rsidRPr="00DB6F08">
        <w:rPr>
          <w:szCs w:val="22"/>
        </w:rPr>
        <w:t xml:space="preserve"> </w:t>
      </w:r>
      <w:r w:rsidR="003C09C7">
        <w:rPr>
          <w:szCs w:val="22"/>
          <w:lang w:val="en-US"/>
        </w:rPr>
        <w:t>Test</w:t>
      </w:r>
      <w:r w:rsidRPr="001F3AFA">
        <w:rPr>
          <w:szCs w:val="22"/>
        </w:rPr>
        <w:t>) έδειξαν επίσης πρόσθετη επίδραση</w:t>
      </w:r>
      <w:r w:rsidR="003C09C7" w:rsidRPr="00DB6F08">
        <w:rPr>
          <w:szCs w:val="22"/>
        </w:rPr>
        <w:t>,</w:t>
      </w:r>
      <w:r w:rsidRPr="001F3AFA">
        <w:rPr>
          <w:szCs w:val="22"/>
        </w:rPr>
        <w:t xml:space="preserve"> όταν η δαποξετίνη συγχορηγήθηκε με αιθανόλη. Η παράλληλη χρήση </w:t>
      </w:r>
      <w:r w:rsidR="003B006A">
        <w:rPr>
          <w:szCs w:val="22"/>
        </w:rPr>
        <w:t>αλκοόλης</w:t>
      </w:r>
      <w:r w:rsidR="003B006A" w:rsidRPr="001F3AFA">
        <w:rPr>
          <w:szCs w:val="22"/>
        </w:rPr>
        <w:t xml:space="preserve"> </w:t>
      </w:r>
      <w:r w:rsidRPr="001F3AFA">
        <w:rPr>
          <w:szCs w:val="22"/>
        </w:rPr>
        <w:t xml:space="preserve">και δαποξετίνης αυξάνει την πιθανότητα ή σοβαρότητα ανεπιθύμητων αντιδράσεων όπως είναι η ζάλη, η υπνηλία, τα αργά αντανακλαστικά ή η επηρεασμένη κρίση. Ο συνδυασμός </w:t>
      </w:r>
      <w:r w:rsidR="003B006A">
        <w:rPr>
          <w:szCs w:val="22"/>
        </w:rPr>
        <w:t>αλκοόλης</w:t>
      </w:r>
      <w:r w:rsidRPr="001F3AFA">
        <w:rPr>
          <w:szCs w:val="22"/>
        </w:rPr>
        <w:t xml:space="preserve"> με δαποξετίνη μπορεί να αυξήσει τις σχετιζόμενες με </w:t>
      </w:r>
      <w:r w:rsidR="00B74581">
        <w:rPr>
          <w:szCs w:val="22"/>
        </w:rPr>
        <w:t>την αλκοόλη</w:t>
      </w:r>
      <w:r w:rsidRPr="001F3AFA">
        <w:rPr>
          <w:szCs w:val="22"/>
        </w:rPr>
        <w:t xml:space="preserve"> επιδράσεις και μπορεί επίσης να ενισχύσει τα νευροκαρδιογεν</w:t>
      </w:r>
      <w:r w:rsidR="009A7865">
        <w:rPr>
          <w:szCs w:val="22"/>
        </w:rPr>
        <w:t>ή</w:t>
      </w:r>
      <w:r w:rsidRPr="001F3AFA">
        <w:rPr>
          <w:szCs w:val="22"/>
        </w:rPr>
        <w:t xml:space="preserve"> ανεπιθύμητα συμβάντα</w:t>
      </w:r>
      <w:r w:rsidR="009A7865">
        <w:rPr>
          <w:szCs w:val="22"/>
        </w:rPr>
        <w:t>,</w:t>
      </w:r>
      <w:r w:rsidRPr="001F3AFA">
        <w:rPr>
          <w:szCs w:val="22"/>
        </w:rPr>
        <w:t xml:space="preserve"> όπως είναι η συγκοπή, αυξάνοντας με αυτό τον τρόπο τον κίνδυνο τυχαίου τραυματισμού. Επομένως, οι ασθενείς </w:t>
      </w:r>
      <w:r w:rsidR="00062619">
        <w:rPr>
          <w:szCs w:val="22"/>
        </w:rPr>
        <w:t>πρέπει</w:t>
      </w:r>
      <w:r w:rsidRPr="001F3AFA">
        <w:rPr>
          <w:szCs w:val="22"/>
        </w:rPr>
        <w:t xml:space="preserve"> να συμβουλεύονται να αποφεύγουν </w:t>
      </w:r>
      <w:r w:rsidR="00B74581">
        <w:rPr>
          <w:szCs w:val="22"/>
        </w:rPr>
        <w:t>την αλκοόλη</w:t>
      </w:r>
      <w:r w:rsidRPr="001F3AFA">
        <w:rPr>
          <w:szCs w:val="22"/>
        </w:rPr>
        <w:t xml:space="preserve"> ενώ λαμβάνουν το Priligy (βλέπε </w:t>
      </w:r>
      <w:r w:rsidR="009049A7">
        <w:rPr>
          <w:szCs w:val="22"/>
        </w:rPr>
        <w:t>παραγράφους</w:t>
      </w:r>
      <w:r w:rsidRPr="001F3AFA">
        <w:rPr>
          <w:szCs w:val="22"/>
        </w:rPr>
        <w:t xml:space="preserve"> 4.4 και 4.7).</w:t>
      </w:r>
    </w:p>
    <w:p w:rsidR="000213BC" w:rsidRPr="00DB6F08" w:rsidRDefault="000213BC" w:rsidP="00DD10F5">
      <w:pPr>
        <w:rPr>
          <w:noProof/>
          <w:szCs w:val="22"/>
        </w:rPr>
      </w:pPr>
    </w:p>
    <w:p w:rsidR="001A2FFE" w:rsidRPr="0007023B" w:rsidRDefault="00B86D1B" w:rsidP="00DD10F5">
      <w:pPr>
        <w:rPr>
          <w:szCs w:val="22"/>
        </w:rPr>
      </w:pPr>
      <w:r w:rsidRPr="001F3AFA">
        <w:rPr>
          <w:b/>
          <w:szCs w:val="22"/>
        </w:rPr>
        <w:lastRenderedPageBreak/>
        <w:t>4.6</w:t>
      </w:r>
      <w:r w:rsidRPr="001F3AFA">
        <w:rPr>
          <w:b/>
          <w:szCs w:val="22"/>
        </w:rPr>
        <w:tab/>
      </w:r>
      <w:r w:rsidR="001A2FFE" w:rsidRPr="001F3AFA">
        <w:rPr>
          <w:b/>
          <w:noProof/>
          <w:szCs w:val="22"/>
        </w:rPr>
        <w:t xml:space="preserve">Γονιμότητα, </w:t>
      </w:r>
      <w:r w:rsidR="001A2FFE" w:rsidRPr="001F3AFA">
        <w:rPr>
          <w:b/>
          <w:szCs w:val="22"/>
        </w:rPr>
        <w:t>κύηση</w:t>
      </w:r>
      <w:r w:rsidRPr="001F3AFA">
        <w:rPr>
          <w:b/>
          <w:szCs w:val="22"/>
        </w:rPr>
        <w:t xml:space="preserve"> και γαλουχία</w:t>
      </w:r>
    </w:p>
    <w:p w:rsidR="001A2FFE" w:rsidRPr="0007023B" w:rsidRDefault="003B006A" w:rsidP="00DD10F5">
      <w:pPr>
        <w:rPr>
          <w:noProof/>
          <w:szCs w:val="22"/>
        </w:rPr>
      </w:pPr>
      <w:r>
        <w:rPr>
          <w:noProof/>
          <w:szCs w:val="22"/>
        </w:rPr>
        <w:t>Το</w:t>
      </w:r>
      <w:r w:rsidR="001A2FFE" w:rsidRPr="001F3AFA">
        <w:rPr>
          <w:noProof/>
          <w:szCs w:val="22"/>
        </w:rPr>
        <w:t xml:space="preserve"> Priligy </w:t>
      </w:r>
      <w:r>
        <w:rPr>
          <w:noProof/>
          <w:szCs w:val="22"/>
        </w:rPr>
        <w:t xml:space="preserve">δεν ενδείκνυται για χρήση </w:t>
      </w:r>
      <w:r w:rsidR="001A2FFE" w:rsidRPr="001F3AFA">
        <w:rPr>
          <w:noProof/>
          <w:szCs w:val="22"/>
        </w:rPr>
        <w:t>από γυναίκες.</w:t>
      </w:r>
    </w:p>
    <w:p w:rsidR="001A2FFE" w:rsidRPr="0007023B" w:rsidRDefault="001A2FFE" w:rsidP="00DD10F5">
      <w:pPr>
        <w:rPr>
          <w:noProof/>
          <w:szCs w:val="22"/>
        </w:rPr>
      </w:pPr>
      <w:r w:rsidRPr="001F3AFA">
        <w:rPr>
          <w:noProof/>
          <w:szCs w:val="22"/>
        </w:rPr>
        <w:t xml:space="preserve">Μελέτες σε ζώα δεν καταδεικνύουν άμεσες ή έμμεσες </w:t>
      </w:r>
      <w:r w:rsidR="009A7865">
        <w:rPr>
          <w:noProof/>
          <w:szCs w:val="22"/>
        </w:rPr>
        <w:t>επιβλαβείς</w:t>
      </w:r>
      <w:r w:rsidRPr="001F3AFA">
        <w:rPr>
          <w:noProof/>
          <w:szCs w:val="22"/>
        </w:rPr>
        <w:t xml:space="preserve"> επιπτώσεις στη γονιμότητα, την </w:t>
      </w:r>
      <w:r w:rsidR="00170196">
        <w:rPr>
          <w:noProof/>
          <w:szCs w:val="22"/>
        </w:rPr>
        <w:t>κύηση</w:t>
      </w:r>
      <w:r w:rsidR="00170196" w:rsidRPr="001F3AFA">
        <w:rPr>
          <w:noProof/>
          <w:szCs w:val="22"/>
        </w:rPr>
        <w:t xml:space="preserve"> </w:t>
      </w:r>
      <w:r w:rsidRPr="001F3AFA">
        <w:rPr>
          <w:noProof/>
          <w:szCs w:val="22"/>
        </w:rPr>
        <w:t>ή την ανάπτυξη του εμβρύου/νεογνού (βλ</w:t>
      </w:r>
      <w:r w:rsidR="009A7865">
        <w:rPr>
          <w:noProof/>
          <w:szCs w:val="22"/>
        </w:rPr>
        <w:t>έπε</w:t>
      </w:r>
      <w:r w:rsidRPr="001F3AFA">
        <w:rPr>
          <w:noProof/>
          <w:szCs w:val="22"/>
        </w:rPr>
        <w:t xml:space="preserve"> παράγραφο 5.3).</w:t>
      </w:r>
    </w:p>
    <w:p w:rsidR="00B86D1B" w:rsidRPr="00DB6F08" w:rsidRDefault="001A2FFE" w:rsidP="00DD10F5">
      <w:pPr>
        <w:rPr>
          <w:noProof/>
          <w:szCs w:val="22"/>
        </w:rPr>
      </w:pPr>
      <w:r w:rsidRPr="001F3AFA">
        <w:rPr>
          <w:noProof/>
          <w:szCs w:val="22"/>
        </w:rPr>
        <w:t xml:space="preserve">Δεν είναι γνωστό εάν η δαποξετίνη ή οι μεταβολίτες </w:t>
      </w:r>
      <w:r w:rsidR="00170196">
        <w:rPr>
          <w:noProof/>
          <w:szCs w:val="22"/>
        </w:rPr>
        <w:t>της</w:t>
      </w:r>
      <w:r w:rsidR="00170196" w:rsidRPr="001F3AFA">
        <w:rPr>
          <w:noProof/>
          <w:szCs w:val="22"/>
        </w:rPr>
        <w:t xml:space="preserve"> </w:t>
      </w:r>
      <w:r w:rsidRPr="001F3AFA">
        <w:rPr>
          <w:noProof/>
          <w:szCs w:val="22"/>
        </w:rPr>
        <w:t xml:space="preserve">απεκκρίνονται στο </w:t>
      </w:r>
      <w:r w:rsidR="00170196">
        <w:rPr>
          <w:noProof/>
          <w:szCs w:val="22"/>
        </w:rPr>
        <w:t xml:space="preserve">ανθρώπινο </w:t>
      </w:r>
      <w:r w:rsidRPr="001F3AFA">
        <w:rPr>
          <w:noProof/>
          <w:szCs w:val="22"/>
        </w:rPr>
        <w:t>μητρικό γάλα.</w:t>
      </w:r>
    </w:p>
    <w:p w:rsidR="001A2FFE" w:rsidRPr="00DB6F08" w:rsidRDefault="001A2FFE" w:rsidP="00DD10F5">
      <w:pPr>
        <w:rPr>
          <w:noProof/>
          <w:szCs w:val="22"/>
        </w:rPr>
      </w:pPr>
    </w:p>
    <w:p w:rsidR="00B86D1B" w:rsidRPr="0007023B" w:rsidRDefault="00B86D1B" w:rsidP="00DD10F5">
      <w:pPr>
        <w:rPr>
          <w:szCs w:val="22"/>
        </w:rPr>
      </w:pPr>
      <w:r w:rsidRPr="001F3AFA">
        <w:rPr>
          <w:b/>
          <w:szCs w:val="22"/>
        </w:rPr>
        <w:t>4.7</w:t>
      </w:r>
      <w:r w:rsidRPr="001F3AFA">
        <w:rPr>
          <w:b/>
          <w:szCs w:val="22"/>
        </w:rPr>
        <w:tab/>
        <w:t>Επιδράσεις στην ικανότητα οδήγησης και χειρισμού μηχανών</w:t>
      </w:r>
    </w:p>
    <w:p w:rsidR="001A2FFE" w:rsidRPr="0007023B" w:rsidRDefault="00170196" w:rsidP="00DD10F5">
      <w:pPr>
        <w:rPr>
          <w:szCs w:val="22"/>
        </w:rPr>
      </w:pPr>
      <w:r>
        <w:rPr>
          <w:szCs w:val="22"/>
        </w:rPr>
        <w:t>Η</w:t>
      </w:r>
      <w:r w:rsidRPr="001F3AFA">
        <w:rPr>
          <w:szCs w:val="22"/>
        </w:rPr>
        <w:t xml:space="preserve"> </w:t>
      </w:r>
      <w:r w:rsidR="001A2FFE" w:rsidRPr="001F3AFA">
        <w:rPr>
          <w:szCs w:val="22"/>
        </w:rPr>
        <w:t xml:space="preserve">δαποξετίνη έχει μικρή ή μέτρια επίδραση στην ικανότητα οδήγησης και χειρισμού </w:t>
      </w:r>
      <w:r>
        <w:rPr>
          <w:szCs w:val="22"/>
        </w:rPr>
        <w:t>μηχανών</w:t>
      </w:r>
      <w:r w:rsidR="001A2FFE" w:rsidRPr="001F3AFA">
        <w:rPr>
          <w:szCs w:val="22"/>
        </w:rPr>
        <w:t xml:space="preserve">. Ζάλη, διαταραχή </w:t>
      </w:r>
      <w:r>
        <w:rPr>
          <w:szCs w:val="22"/>
        </w:rPr>
        <w:t>της προσοχής</w:t>
      </w:r>
      <w:r w:rsidR="001A2FFE" w:rsidRPr="001F3AFA">
        <w:rPr>
          <w:szCs w:val="22"/>
        </w:rPr>
        <w:t xml:space="preserve">, συγκοπή, θολή όραση και υπνηλία αναφέρθηκαν στα άτομα που έλαβαν δαποξετίνη σε κλινικές δοκιμές. Επομένως οι ασθενείς </w:t>
      </w:r>
      <w:r w:rsidR="00062619">
        <w:rPr>
          <w:szCs w:val="22"/>
        </w:rPr>
        <w:t>πρέπει</w:t>
      </w:r>
      <w:r w:rsidR="001A2FFE" w:rsidRPr="001F3AFA">
        <w:rPr>
          <w:szCs w:val="22"/>
        </w:rPr>
        <w:t xml:space="preserve"> να προειδοποιούνται να αποφεύγουν καταστάσεις στις οποίες θα μπορούσε να προκύψει τραυματισμός, συμπεριλαμβανομένης της οδήγησης ή του χειρισμού επικίνδυνων </w:t>
      </w:r>
      <w:r>
        <w:rPr>
          <w:szCs w:val="22"/>
        </w:rPr>
        <w:t>μηχανημάτων</w:t>
      </w:r>
      <w:r w:rsidR="001A2FFE" w:rsidRPr="001F3AFA">
        <w:rPr>
          <w:szCs w:val="22"/>
        </w:rPr>
        <w:t>.</w:t>
      </w:r>
    </w:p>
    <w:p w:rsidR="001A2FFE" w:rsidRPr="001F3AFA" w:rsidRDefault="001A2FFE" w:rsidP="00DD10F5">
      <w:pPr>
        <w:rPr>
          <w:szCs w:val="22"/>
        </w:rPr>
      </w:pPr>
      <w:r w:rsidRPr="001F3AFA">
        <w:rPr>
          <w:szCs w:val="22"/>
        </w:rPr>
        <w:t xml:space="preserve">Ο συνδυασμός </w:t>
      </w:r>
      <w:r w:rsidR="003B006A">
        <w:rPr>
          <w:szCs w:val="22"/>
        </w:rPr>
        <w:t>αλκοόλης</w:t>
      </w:r>
      <w:r w:rsidRPr="001F3AFA">
        <w:rPr>
          <w:szCs w:val="22"/>
        </w:rPr>
        <w:t xml:space="preserve"> με δαποξετίνη μπορεί να αυξήσει </w:t>
      </w:r>
      <w:r w:rsidR="009A7865">
        <w:rPr>
          <w:szCs w:val="22"/>
        </w:rPr>
        <w:t>τη</w:t>
      </w:r>
      <w:r w:rsidRPr="001F3AFA">
        <w:rPr>
          <w:szCs w:val="22"/>
        </w:rPr>
        <w:t xml:space="preserve"> σχετιζόμεν</w:t>
      </w:r>
      <w:r w:rsidR="009A7865">
        <w:rPr>
          <w:szCs w:val="22"/>
        </w:rPr>
        <w:t>η</w:t>
      </w:r>
      <w:r w:rsidRPr="001F3AFA">
        <w:rPr>
          <w:szCs w:val="22"/>
        </w:rPr>
        <w:t xml:space="preserve"> με </w:t>
      </w:r>
      <w:r w:rsidR="00B74581">
        <w:rPr>
          <w:szCs w:val="22"/>
        </w:rPr>
        <w:t>την αλκοόλη</w:t>
      </w:r>
      <w:r w:rsidRPr="001F3AFA">
        <w:rPr>
          <w:szCs w:val="22"/>
        </w:rPr>
        <w:t xml:space="preserve"> νευρο</w:t>
      </w:r>
      <w:r w:rsidR="00840BBD">
        <w:rPr>
          <w:szCs w:val="22"/>
        </w:rPr>
        <w:t>νοητική</w:t>
      </w:r>
      <w:r w:rsidRPr="001F3AFA">
        <w:rPr>
          <w:szCs w:val="22"/>
        </w:rPr>
        <w:t xml:space="preserve"> </w:t>
      </w:r>
      <w:r w:rsidR="009A7865">
        <w:rPr>
          <w:szCs w:val="22"/>
        </w:rPr>
        <w:t>δράση</w:t>
      </w:r>
      <w:r w:rsidRPr="001F3AFA">
        <w:rPr>
          <w:szCs w:val="22"/>
        </w:rPr>
        <w:t xml:space="preserve"> και μπορεί</w:t>
      </w:r>
      <w:r w:rsidR="009A7865">
        <w:rPr>
          <w:szCs w:val="22"/>
        </w:rPr>
        <w:t>,</w:t>
      </w:r>
      <w:r w:rsidRPr="001F3AFA">
        <w:rPr>
          <w:szCs w:val="22"/>
        </w:rPr>
        <w:t xml:space="preserve"> </w:t>
      </w:r>
      <w:r w:rsidR="009A7865">
        <w:rPr>
          <w:szCs w:val="22"/>
        </w:rPr>
        <w:t>επίσης,</w:t>
      </w:r>
      <w:r w:rsidRPr="001F3AFA">
        <w:rPr>
          <w:szCs w:val="22"/>
        </w:rPr>
        <w:t xml:space="preserve"> να ενισχύσει </w:t>
      </w:r>
      <w:r w:rsidR="009049A7">
        <w:rPr>
          <w:szCs w:val="22"/>
        </w:rPr>
        <w:t>τις</w:t>
      </w:r>
      <w:r w:rsidR="009049A7" w:rsidRPr="001F3AFA">
        <w:rPr>
          <w:szCs w:val="22"/>
        </w:rPr>
        <w:t xml:space="preserve"> </w:t>
      </w:r>
      <w:r w:rsidRPr="001F3AFA">
        <w:rPr>
          <w:szCs w:val="22"/>
        </w:rPr>
        <w:t>νευροκαρδιογεν</w:t>
      </w:r>
      <w:r w:rsidR="009049A7">
        <w:rPr>
          <w:szCs w:val="22"/>
        </w:rPr>
        <w:t>είς</w:t>
      </w:r>
      <w:r w:rsidRPr="001F3AFA">
        <w:rPr>
          <w:szCs w:val="22"/>
        </w:rPr>
        <w:t xml:space="preserve"> ανεπιθύμητ</w:t>
      </w:r>
      <w:r w:rsidR="009049A7">
        <w:rPr>
          <w:szCs w:val="22"/>
        </w:rPr>
        <w:t>ες</w:t>
      </w:r>
      <w:r w:rsidRPr="001F3AFA">
        <w:rPr>
          <w:szCs w:val="22"/>
        </w:rPr>
        <w:t xml:space="preserve"> </w:t>
      </w:r>
      <w:r w:rsidR="009049A7">
        <w:rPr>
          <w:szCs w:val="22"/>
        </w:rPr>
        <w:t>ενέργειες</w:t>
      </w:r>
      <w:r w:rsidR="009A7865">
        <w:rPr>
          <w:szCs w:val="22"/>
        </w:rPr>
        <w:t>,</w:t>
      </w:r>
      <w:r w:rsidR="009049A7">
        <w:rPr>
          <w:szCs w:val="22"/>
        </w:rPr>
        <w:t xml:space="preserve"> </w:t>
      </w:r>
      <w:r w:rsidRPr="001F3AFA">
        <w:rPr>
          <w:szCs w:val="22"/>
        </w:rPr>
        <w:t xml:space="preserve">όπως είναι η συγκοπή, αυξάνοντας με αυτό τον τρόπο τον κίνδυνο τυχαίου τραυματισμού. Επομένως, οι ασθενείς </w:t>
      </w:r>
      <w:r w:rsidR="00062619">
        <w:rPr>
          <w:szCs w:val="22"/>
        </w:rPr>
        <w:t>πρέπει</w:t>
      </w:r>
      <w:r w:rsidRPr="001F3AFA">
        <w:rPr>
          <w:szCs w:val="22"/>
        </w:rPr>
        <w:t xml:space="preserve"> να συμβουλεύονται να αποφεύγουν </w:t>
      </w:r>
      <w:r w:rsidR="00B74581">
        <w:rPr>
          <w:szCs w:val="22"/>
        </w:rPr>
        <w:t>την αλκοόλη</w:t>
      </w:r>
      <w:r w:rsidRPr="001F3AFA">
        <w:rPr>
          <w:szCs w:val="22"/>
        </w:rPr>
        <w:t xml:space="preserve"> ενώ λαμβάνουν το Priligy (βλέπε </w:t>
      </w:r>
      <w:r w:rsidR="009049A7">
        <w:rPr>
          <w:szCs w:val="22"/>
        </w:rPr>
        <w:t>παραγράφους</w:t>
      </w:r>
      <w:r w:rsidR="009049A7" w:rsidRPr="001F3AFA">
        <w:rPr>
          <w:szCs w:val="22"/>
        </w:rPr>
        <w:t xml:space="preserve"> </w:t>
      </w:r>
      <w:r w:rsidRPr="001F3AFA">
        <w:rPr>
          <w:szCs w:val="22"/>
        </w:rPr>
        <w:t>4.4 και 4.5).</w:t>
      </w:r>
    </w:p>
    <w:p w:rsidR="00B86D1B" w:rsidRPr="001F3AFA" w:rsidRDefault="00B86D1B" w:rsidP="00DD10F5">
      <w:pPr>
        <w:rPr>
          <w:szCs w:val="22"/>
        </w:rPr>
      </w:pPr>
    </w:p>
    <w:p w:rsidR="00B86D1B" w:rsidRPr="0007023B" w:rsidRDefault="00B86D1B" w:rsidP="00DD10F5">
      <w:pPr>
        <w:rPr>
          <w:szCs w:val="22"/>
          <w:lang w:val="en-US"/>
        </w:rPr>
      </w:pPr>
      <w:r w:rsidRPr="001F3AFA">
        <w:rPr>
          <w:b/>
          <w:szCs w:val="22"/>
        </w:rPr>
        <w:t>4.8</w:t>
      </w:r>
      <w:r w:rsidRPr="001F3AFA">
        <w:rPr>
          <w:b/>
          <w:szCs w:val="22"/>
        </w:rPr>
        <w:tab/>
        <w:t>Ανεπιθύμητες ενέργειες</w:t>
      </w:r>
    </w:p>
    <w:p w:rsidR="001A2FFE" w:rsidRPr="0007023B" w:rsidRDefault="001A2FFE" w:rsidP="00DD10F5">
      <w:pPr>
        <w:rPr>
          <w:szCs w:val="22"/>
        </w:rPr>
      </w:pPr>
      <w:r w:rsidRPr="001F3AFA">
        <w:rPr>
          <w:szCs w:val="22"/>
        </w:rPr>
        <w:t>Η ασφάλεια του Priligy αξιολογήθηκε σε 4.224 άτομα με πρόωρη εκσπερμάτιση, τα οποία συμμετείχαν σε πέντε διπλά τυφλές, ελεγχόμενες με εικονικό φάρμακο κλινικές δοκιμές. Από τα 4.224 άτομα, τα 1.616 έλαβαν 30</w:t>
      </w:r>
      <w:r w:rsidR="00DC18E3">
        <w:rPr>
          <w:szCs w:val="22"/>
        </w:rPr>
        <w:t> mg</w:t>
      </w:r>
      <w:r w:rsidRPr="001F3AFA">
        <w:rPr>
          <w:szCs w:val="22"/>
        </w:rPr>
        <w:t xml:space="preserve"> Priligy σύμφωνα με τις ανάγκες και 2.608 έλαβαν 60</w:t>
      </w:r>
      <w:r w:rsidR="00DC18E3">
        <w:rPr>
          <w:szCs w:val="22"/>
        </w:rPr>
        <w:t> mg</w:t>
      </w:r>
      <w:r w:rsidRPr="001F3AFA">
        <w:rPr>
          <w:szCs w:val="22"/>
        </w:rPr>
        <w:t xml:space="preserve">, είτε σύμφωνα με τις ανάγκες είτε </w:t>
      </w:r>
      <w:r w:rsidR="00F64075">
        <w:rPr>
          <w:szCs w:val="22"/>
        </w:rPr>
        <w:t>μία φορά</w:t>
      </w:r>
      <w:r w:rsidR="00F64075" w:rsidRPr="001F3AFA">
        <w:rPr>
          <w:szCs w:val="22"/>
        </w:rPr>
        <w:t xml:space="preserve"> </w:t>
      </w:r>
      <w:r w:rsidR="00F64075">
        <w:rPr>
          <w:szCs w:val="22"/>
        </w:rPr>
        <w:t>την ημέρα</w:t>
      </w:r>
      <w:r w:rsidRPr="001F3AFA">
        <w:rPr>
          <w:szCs w:val="22"/>
        </w:rPr>
        <w:t>.</w:t>
      </w:r>
    </w:p>
    <w:p w:rsidR="001A2FFE" w:rsidRPr="001F3AFA" w:rsidRDefault="001A2FFE" w:rsidP="00DD10F5">
      <w:pPr>
        <w:rPr>
          <w:szCs w:val="22"/>
        </w:rPr>
      </w:pPr>
      <w:r w:rsidRPr="001F3AFA">
        <w:rPr>
          <w:szCs w:val="22"/>
        </w:rPr>
        <w:t xml:space="preserve">Οι ακόλουθες ανεπιθύμητες </w:t>
      </w:r>
      <w:r w:rsidR="00F64075">
        <w:rPr>
          <w:szCs w:val="22"/>
        </w:rPr>
        <w:t>ενέργειες</w:t>
      </w:r>
      <w:r w:rsidRPr="001F3AFA">
        <w:rPr>
          <w:szCs w:val="22"/>
        </w:rPr>
        <w:t xml:space="preserve"> αναφέρθηκαν συχνότερα κατά τη διάρκεια των κλινικών δοκιμών </w:t>
      </w:r>
      <w:r w:rsidR="00F64075">
        <w:rPr>
          <w:szCs w:val="22"/>
        </w:rPr>
        <w:t>Φ</w:t>
      </w:r>
      <w:r w:rsidRPr="001F3AFA">
        <w:rPr>
          <w:szCs w:val="22"/>
        </w:rPr>
        <w:t xml:space="preserve">άσης 3 και </w:t>
      </w:r>
      <w:r w:rsidR="00F64075">
        <w:rPr>
          <w:szCs w:val="22"/>
        </w:rPr>
        <w:t>ήταν δοσοεξαρτώμενες</w:t>
      </w:r>
      <w:r w:rsidRPr="001F3AFA">
        <w:rPr>
          <w:szCs w:val="22"/>
        </w:rPr>
        <w:t>: ναυτία (11,0% και 22,2% σ</w:t>
      </w:r>
      <w:r w:rsidR="009A7865">
        <w:rPr>
          <w:szCs w:val="22"/>
        </w:rPr>
        <w:t>τα</w:t>
      </w:r>
      <w:r w:rsidRPr="001F3AFA">
        <w:rPr>
          <w:szCs w:val="22"/>
        </w:rPr>
        <w:t xml:space="preserve"> 30</w:t>
      </w:r>
      <w:r w:rsidR="00DC18E3">
        <w:rPr>
          <w:szCs w:val="22"/>
        </w:rPr>
        <w:t> mg</w:t>
      </w:r>
      <w:r w:rsidRPr="001F3AFA">
        <w:rPr>
          <w:szCs w:val="22"/>
        </w:rPr>
        <w:t xml:space="preserve"> και 60</w:t>
      </w:r>
      <w:r w:rsidR="00DC18E3">
        <w:rPr>
          <w:szCs w:val="22"/>
        </w:rPr>
        <w:t> mg</w:t>
      </w:r>
      <w:r w:rsidRPr="001F3AFA">
        <w:rPr>
          <w:szCs w:val="22"/>
        </w:rPr>
        <w:t xml:space="preserve"> σύμφωνα με τις ανάγκες στις ομάδες της δαποξετίνης, αντίστοιχα), ζάλη (5,8% και 10,9%), κεφαλαλγία (5,6% και 8,8%), διάρροια (3,5% και 6,9%), αϋπνία (2,1% και 3,9%) και κόπωση (2,0% και 4,1%). </w:t>
      </w:r>
      <w:r w:rsidR="00F64075">
        <w:rPr>
          <w:szCs w:val="22"/>
        </w:rPr>
        <w:t>Οι πιο συχνές ανεπιθύμητες ενέργειες</w:t>
      </w:r>
      <w:r w:rsidRPr="001F3AFA">
        <w:rPr>
          <w:szCs w:val="22"/>
        </w:rPr>
        <w:t xml:space="preserve"> που οδήγησαν σε διακοπή ήταν η ναυτία (2,2% των ατόμων που </w:t>
      </w:r>
      <w:r w:rsidR="00012E6A">
        <w:rPr>
          <w:szCs w:val="22"/>
        </w:rPr>
        <w:t>έλαβαν θεραπεία</w:t>
      </w:r>
      <w:r w:rsidR="00012E6A" w:rsidRPr="001F3AFA">
        <w:rPr>
          <w:szCs w:val="22"/>
        </w:rPr>
        <w:t xml:space="preserve"> </w:t>
      </w:r>
      <w:r w:rsidRPr="001F3AFA">
        <w:rPr>
          <w:szCs w:val="22"/>
        </w:rPr>
        <w:t xml:space="preserve">με Priligy) και η ζάλη (1,2% των ατόμων που </w:t>
      </w:r>
      <w:r w:rsidR="00012E6A">
        <w:rPr>
          <w:szCs w:val="22"/>
        </w:rPr>
        <w:t xml:space="preserve">έλαβαν </w:t>
      </w:r>
      <w:r w:rsidR="006248FA">
        <w:rPr>
          <w:szCs w:val="22"/>
        </w:rPr>
        <w:t>θεραπεία</w:t>
      </w:r>
      <w:r w:rsidRPr="001F3AFA">
        <w:rPr>
          <w:szCs w:val="22"/>
        </w:rPr>
        <w:t xml:space="preserve"> με Priligy).</w:t>
      </w:r>
    </w:p>
    <w:p w:rsidR="001A2FFE" w:rsidRPr="001F3AFA" w:rsidRDefault="001A2FFE" w:rsidP="00DD10F5">
      <w:pPr>
        <w:rPr>
          <w:szCs w:val="22"/>
        </w:rPr>
      </w:pPr>
    </w:p>
    <w:p w:rsidR="001A2FFE" w:rsidRPr="00DB6F08" w:rsidRDefault="001A2FFE" w:rsidP="00DD10F5">
      <w:pPr>
        <w:rPr>
          <w:szCs w:val="22"/>
        </w:rPr>
      </w:pPr>
      <w:r w:rsidRPr="001F3AFA">
        <w:rPr>
          <w:szCs w:val="22"/>
        </w:rPr>
        <w:t xml:space="preserve">Ο </w:t>
      </w:r>
      <w:r w:rsidR="00012E6A">
        <w:rPr>
          <w:szCs w:val="22"/>
        </w:rPr>
        <w:t>Π</w:t>
      </w:r>
      <w:r w:rsidRPr="001F3AFA">
        <w:rPr>
          <w:szCs w:val="22"/>
        </w:rPr>
        <w:t xml:space="preserve">ίνακας 1 παρουσιάζει τις ανεπιθύμητες </w:t>
      </w:r>
      <w:r w:rsidR="00012E6A">
        <w:rPr>
          <w:szCs w:val="22"/>
        </w:rPr>
        <w:t>ενέργειες</w:t>
      </w:r>
      <w:r w:rsidRPr="001F3AFA">
        <w:rPr>
          <w:szCs w:val="22"/>
        </w:rPr>
        <w:t xml:space="preserve"> που έχουν αναφερθεί.</w:t>
      </w:r>
    </w:p>
    <w:p w:rsidR="001A2FFE" w:rsidRPr="00DB6F08" w:rsidRDefault="001A2FFE" w:rsidP="00DD10F5">
      <w:pPr>
        <w:rPr>
          <w:szCs w:val="22"/>
        </w:rPr>
      </w:pPr>
    </w:p>
    <w:tbl>
      <w:tblPr>
        <w:tblW w:w="9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4"/>
        <w:gridCol w:w="1127"/>
        <w:gridCol w:w="2199"/>
        <w:gridCol w:w="2790"/>
        <w:gridCol w:w="1369"/>
      </w:tblGrid>
      <w:tr w:rsidR="001A2FFE" w:rsidRPr="001F3AFA">
        <w:trPr>
          <w:cantSplit/>
        </w:trPr>
        <w:tc>
          <w:tcPr>
            <w:tcW w:w="9109" w:type="dxa"/>
            <w:gridSpan w:val="5"/>
            <w:tcBorders>
              <w:top w:val="nil"/>
              <w:left w:val="nil"/>
              <w:bottom w:val="single" w:sz="4" w:space="0" w:color="auto"/>
              <w:right w:val="nil"/>
            </w:tcBorders>
          </w:tcPr>
          <w:p w:rsidR="001A2FFE" w:rsidRPr="00DB6F08" w:rsidRDefault="001A2FFE" w:rsidP="00DD10F5">
            <w:pPr>
              <w:keepNext/>
              <w:rPr>
                <w:bCs/>
                <w:szCs w:val="22"/>
              </w:rPr>
            </w:pPr>
            <w:r w:rsidRPr="001F3AFA">
              <w:rPr>
                <w:bCs/>
                <w:szCs w:val="22"/>
              </w:rPr>
              <w:t xml:space="preserve">Πίνακας 1:  Συχνότητα ανεπιθύμητων </w:t>
            </w:r>
            <w:r w:rsidR="00012E6A">
              <w:rPr>
                <w:bCs/>
                <w:szCs w:val="22"/>
              </w:rPr>
              <w:t>ενεργειών</w:t>
            </w:r>
            <w:r w:rsidRPr="001F3AFA">
              <w:rPr>
                <w:bCs/>
                <w:szCs w:val="22"/>
              </w:rPr>
              <w:t xml:space="preserve"> (MedDRA)</w:t>
            </w:r>
          </w:p>
          <w:p w:rsidR="001A2FFE" w:rsidRPr="00DB6F08" w:rsidRDefault="001A2FFE" w:rsidP="00DD10F5">
            <w:pPr>
              <w:keepNext/>
              <w:rPr>
                <w:bCs/>
                <w:szCs w:val="22"/>
              </w:rPr>
            </w:pPr>
          </w:p>
        </w:tc>
      </w:tr>
      <w:tr w:rsidR="001A2FFE" w:rsidRPr="001F3AFA">
        <w:trPr>
          <w:cantSplit/>
        </w:trPr>
        <w:tc>
          <w:tcPr>
            <w:tcW w:w="1624" w:type="dxa"/>
            <w:vMerge w:val="restart"/>
            <w:tcBorders>
              <w:top w:val="single" w:sz="4" w:space="0" w:color="auto"/>
              <w:left w:val="single" w:sz="4" w:space="0" w:color="auto"/>
              <w:bottom w:val="single" w:sz="4" w:space="0" w:color="auto"/>
              <w:right w:val="single" w:sz="4" w:space="0" w:color="auto"/>
            </w:tcBorders>
          </w:tcPr>
          <w:p w:rsidR="001A2FFE" w:rsidRPr="007B35E3" w:rsidRDefault="001A2FFE" w:rsidP="00DD10F5">
            <w:pPr>
              <w:keepNext/>
              <w:rPr>
                <w:b/>
                <w:szCs w:val="22"/>
              </w:rPr>
            </w:pPr>
          </w:p>
          <w:p w:rsidR="001A2FFE" w:rsidRPr="007B35E3" w:rsidRDefault="001A2FFE" w:rsidP="00DD10F5">
            <w:pPr>
              <w:keepNext/>
              <w:rPr>
                <w:b/>
                <w:szCs w:val="22"/>
              </w:rPr>
            </w:pPr>
          </w:p>
          <w:p w:rsidR="001A2FFE" w:rsidRPr="007B35E3" w:rsidRDefault="001A2FFE" w:rsidP="00012E6A">
            <w:pPr>
              <w:keepNext/>
              <w:rPr>
                <w:b/>
                <w:szCs w:val="22"/>
              </w:rPr>
            </w:pPr>
            <w:r w:rsidRPr="007B35E3">
              <w:rPr>
                <w:b/>
                <w:szCs w:val="22"/>
              </w:rPr>
              <w:t xml:space="preserve">Κατάταξη </w:t>
            </w:r>
            <w:r w:rsidR="00012E6A">
              <w:rPr>
                <w:b/>
                <w:szCs w:val="22"/>
              </w:rPr>
              <w:t>κατά</w:t>
            </w:r>
            <w:r w:rsidR="00012E6A" w:rsidRPr="007B35E3">
              <w:rPr>
                <w:b/>
                <w:szCs w:val="22"/>
              </w:rPr>
              <w:t xml:space="preserve"> </w:t>
            </w:r>
            <w:r w:rsidRPr="007B35E3">
              <w:rPr>
                <w:b/>
                <w:szCs w:val="22"/>
              </w:rPr>
              <w:t>οργανικό σύστημα</w:t>
            </w:r>
          </w:p>
        </w:tc>
        <w:tc>
          <w:tcPr>
            <w:tcW w:w="7485" w:type="dxa"/>
            <w:gridSpan w:val="4"/>
            <w:tcBorders>
              <w:top w:val="single" w:sz="4" w:space="0" w:color="auto"/>
              <w:left w:val="single" w:sz="4" w:space="0" w:color="auto"/>
              <w:bottom w:val="single" w:sz="4" w:space="0" w:color="auto"/>
              <w:right w:val="single" w:sz="4" w:space="0" w:color="auto"/>
            </w:tcBorders>
          </w:tcPr>
          <w:p w:rsidR="001A2FFE" w:rsidRPr="007B35E3" w:rsidRDefault="001A2FFE" w:rsidP="00DD10F5">
            <w:pPr>
              <w:keepNext/>
              <w:jc w:val="center"/>
              <w:rPr>
                <w:b/>
                <w:szCs w:val="22"/>
              </w:rPr>
            </w:pPr>
            <w:r w:rsidRPr="007B35E3">
              <w:rPr>
                <w:b/>
                <w:szCs w:val="22"/>
              </w:rPr>
              <w:t>Ανεπιθύμητες αντιδράσεις φαρμάκου</w:t>
            </w:r>
          </w:p>
        </w:tc>
      </w:tr>
      <w:tr w:rsidR="001A2FFE" w:rsidRPr="001F3AFA">
        <w:trPr>
          <w:cantSplit/>
        </w:trPr>
        <w:tc>
          <w:tcPr>
            <w:tcW w:w="1624" w:type="dxa"/>
            <w:vMerge/>
            <w:tcBorders>
              <w:top w:val="single" w:sz="4" w:space="0" w:color="auto"/>
              <w:left w:val="single" w:sz="4" w:space="0" w:color="auto"/>
              <w:bottom w:val="single" w:sz="4" w:space="0" w:color="auto"/>
              <w:right w:val="single" w:sz="4" w:space="0" w:color="auto"/>
            </w:tcBorders>
          </w:tcPr>
          <w:p w:rsidR="001A2FFE" w:rsidRPr="00F51C5E" w:rsidRDefault="001A2FFE" w:rsidP="00DD10F5">
            <w:pPr>
              <w:keepNext/>
              <w:tabs>
                <w:tab w:val="left" w:pos="0"/>
              </w:tabs>
              <w:rPr>
                <w:szCs w:val="22"/>
                <w:u w:val="single"/>
              </w:rPr>
            </w:pPr>
          </w:p>
        </w:tc>
        <w:tc>
          <w:tcPr>
            <w:tcW w:w="1127" w:type="dxa"/>
            <w:tcBorders>
              <w:top w:val="single" w:sz="4" w:space="0" w:color="auto"/>
              <w:left w:val="single" w:sz="4" w:space="0" w:color="auto"/>
              <w:bottom w:val="single" w:sz="4" w:space="0" w:color="auto"/>
              <w:right w:val="single" w:sz="4" w:space="0" w:color="auto"/>
            </w:tcBorders>
          </w:tcPr>
          <w:p w:rsidR="001A2FFE" w:rsidRPr="00DC18E3" w:rsidRDefault="001A2FFE" w:rsidP="00DD10F5">
            <w:pPr>
              <w:keepNext/>
              <w:tabs>
                <w:tab w:val="left" w:pos="0"/>
              </w:tabs>
              <w:jc w:val="center"/>
              <w:rPr>
                <w:b/>
                <w:bCs/>
                <w:szCs w:val="22"/>
                <w:u w:val="single"/>
              </w:rPr>
            </w:pPr>
            <w:r w:rsidRPr="00DC18E3">
              <w:rPr>
                <w:b/>
                <w:bCs/>
                <w:szCs w:val="22"/>
                <w:u w:val="single"/>
              </w:rPr>
              <w:t xml:space="preserve">Πολύ συχνές  </w:t>
            </w:r>
          </w:p>
          <w:p w:rsidR="001A2FFE" w:rsidRPr="00DC18E3" w:rsidRDefault="001A2FFE" w:rsidP="00DD10F5">
            <w:pPr>
              <w:keepNext/>
              <w:tabs>
                <w:tab w:val="left" w:pos="0"/>
              </w:tabs>
              <w:jc w:val="center"/>
              <w:rPr>
                <w:b/>
                <w:bCs/>
                <w:szCs w:val="22"/>
                <w:u w:val="single"/>
              </w:rPr>
            </w:pPr>
            <w:r w:rsidRPr="00DC18E3">
              <w:rPr>
                <w:b/>
                <w:bCs/>
                <w:szCs w:val="22"/>
                <w:u w:val="single"/>
              </w:rPr>
              <w:t>(&gt;</w:t>
            </w:r>
            <w:r w:rsidR="00DC18E3" w:rsidRPr="00DC18E3">
              <w:rPr>
                <w:b/>
                <w:bCs/>
                <w:szCs w:val="22"/>
                <w:u w:val="single"/>
              </w:rPr>
              <w:t> </w:t>
            </w:r>
            <w:r w:rsidRPr="00DC18E3">
              <w:rPr>
                <w:b/>
                <w:bCs/>
                <w:szCs w:val="22"/>
                <w:u w:val="single"/>
              </w:rPr>
              <w:t>1/10)</w:t>
            </w:r>
          </w:p>
        </w:tc>
        <w:tc>
          <w:tcPr>
            <w:tcW w:w="2199" w:type="dxa"/>
            <w:tcBorders>
              <w:top w:val="single" w:sz="4" w:space="0" w:color="auto"/>
              <w:left w:val="single" w:sz="4" w:space="0" w:color="auto"/>
              <w:bottom w:val="single" w:sz="4" w:space="0" w:color="auto"/>
              <w:right w:val="single" w:sz="4" w:space="0" w:color="auto"/>
            </w:tcBorders>
          </w:tcPr>
          <w:p w:rsidR="001A2FFE" w:rsidRPr="00DC18E3" w:rsidRDefault="001A2FFE" w:rsidP="00DD10F5">
            <w:pPr>
              <w:keepNext/>
              <w:tabs>
                <w:tab w:val="left" w:pos="0"/>
              </w:tabs>
              <w:jc w:val="center"/>
              <w:rPr>
                <w:b/>
                <w:bCs/>
                <w:szCs w:val="22"/>
                <w:u w:val="single"/>
              </w:rPr>
            </w:pPr>
            <w:r w:rsidRPr="00DC18E3">
              <w:rPr>
                <w:b/>
                <w:bCs/>
                <w:szCs w:val="22"/>
                <w:u w:val="single"/>
              </w:rPr>
              <w:t>Συχνές</w:t>
            </w:r>
          </w:p>
          <w:p w:rsidR="001A2FFE" w:rsidRPr="00DC18E3" w:rsidRDefault="001A2FFE" w:rsidP="00DD10F5">
            <w:pPr>
              <w:keepNext/>
              <w:tabs>
                <w:tab w:val="left" w:pos="0"/>
              </w:tabs>
              <w:jc w:val="center"/>
              <w:rPr>
                <w:b/>
                <w:bCs/>
                <w:szCs w:val="22"/>
                <w:u w:val="single"/>
              </w:rPr>
            </w:pPr>
            <w:r w:rsidRPr="00DC18E3">
              <w:rPr>
                <w:b/>
                <w:bCs/>
                <w:szCs w:val="22"/>
                <w:u w:val="single"/>
              </w:rPr>
              <w:t>(</w:t>
            </w:r>
            <w:r w:rsidRPr="00DC18E3">
              <w:rPr>
                <w:b/>
                <w:bCs/>
                <w:szCs w:val="22"/>
                <w:u w:val="single"/>
              </w:rPr>
              <w:sym w:font="Symbol" w:char="F0B3"/>
            </w:r>
            <w:r w:rsidR="00DC18E3" w:rsidRPr="00DC18E3">
              <w:rPr>
                <w:b/>
                <w:bCs/>
                <w:szCs w:val="22"/>
                <w:u w:val="single"/>
              </w:rPr>
              <w:t> </w:t>
            </w:r>
            <w:r w:rsidRPr="00DC18E3">
              <w:rPr>
                <w:b/>
                <w:bCs/>
                <w:szCs w:val="22"/>
                <w:u w:val="single"/>
              </w:rPr>
              <w:t>1/100 έως &lt;</w:t>
            </w:r>
            <w:r w:rsidR="00DC18E3" w:rsidRPr="00DC18E3">
              <w:rPr>
                <w:b/>
                <w:bCs/>
                <w:szCs w:val="22"/>
                <w:u w:val="single"/>
              </w:rPr>
              <w:t> </w:t>
            </w:r>
            <w:r w:rsidRPr="00DC18E3">
              <w:rPr>
                <w:b/>
                <w:bCs/>
                <w:szCs w:val="22"/>
                <w:u w:val="single"/>
              </w:rPr>
              <w:t>1/10)</w:t>
            </w:r>
          </w:p>
        </w:tc>
        <w:tc>
          <w:tcPr>
            <w:tcW w:w="2790" w:type="dxa"/>
            <w:tcBorders>
              <w:top w:val="single" w:sz="4" w:space="0" w:color="auto"/>
              <w:left w:val="single" w:sz="4" w:space="0" w:color="auto"/>
              <w:bottom w:val="single" w:sz="4" w:space="0" w:color="auto"/>
              <w:right w:val="single" w:sz="4" w:space="0" w:color="auto"/>
            </w:tcBorders>
          </w:tcPr>
          <w:p w:rsidR="001A2FFE" w:rsidRPr="00DC18E3" w:rsidRDefault="0086301D" w:rsidP="00DD10F5">
            <w:pPr>
              <w:keepNext/>
              <w:tabs>
                <w:tab w:val="left" w:pos="0"/>
              </w:tabs>
              <w:jc w:val="center"/>
              <w:rPr>
                <w:b/>
                <w:bCs/>
                <w:szCs w:val="22"/>
                <w:u w:val="single"/>
              </w:rPr>
            </w:pPr>
            <w:r>
              <w:rPr>
                <w:b/>
                <w:bCs/>
                <w:szCs w:val="22"/>
                <w:u w:val="single"/>
              </w:rPr>
              <w:t>Όχι συχνές</w:t>
            </w:r>
          </w:p>
          <w:p w:rsidR="001A2FFE" w:rsidRPr="00DC18E3" w:rsidRDefault="001A2FFE" w:rsidP="00DD10F5">
            <w:pPr>
              <w:keepNext/>
              <w:tabs>
                <w:tab w:val="left" w:pos="0"/>
              </w:tabs>
              <w:jc w:val="center"/>
              <w:rPr>
                <w:b/>
                <w:bCs/>
                <w:szCs w:val="22"/>
                <w:u w:val="single"/>
              </w:rPr>
            </w:pPr>
            <w:r w:rsidRPr="00DC18E3">
              <w:rPr>
                <w:b/>
                <w:bCs/>
                <w:szCs w:val="22"/>
                <w:u w:val="single"/>
              </w:rPr>
              <w:t>(</w:t>
            </w:r>
            <w:r w:rsidRPr="00DC18E3">
              <w:rPr>
                <w:b/>
                <w:bCs/>
                <w:szCs w:val="22"/>
                <w:u w:val="single"/>
              </w:rPr>
              <w:sym w:font="Symbol" w:char="F0B3"/>
            </w:r>
            <w:r w:rsidR="00DC18E3" w:rsidRPr="00DC18E3">
              <w:rPr>
                <w:b/>
                <w:bCs/>
                <w:szCs w:val="22"/>
                <w:u w:val="single"/>
              </w:rPr>
              <w:t> </w:t>
            </w:r>
            <w:r w:rsidRPr="00DC18E3">
              <w:rPr>
                <w:b/>
                <w:bCs/>
                <w:szCs w:val="22"/>
                <w:u w:val="single"/>
              </w:rPr>
              <w:t>1/1</w:t>
            </w:r>
            <w:r w:rsidR="007B35E3" w:rsidRPr="00DC18E3">
              <w:rPr>
                <w:b/>
                <w:bCs/>
                <w:szCs w:val="22"/>
                <w:u w:val="single"/>
              </w:rPr>
              <w:t>.</w:t>
            </w:r>
            <w:r w:rsidRPr="00DC18E3">
              <w:rPr>
                <w:b/>
                <w:bCs/>
                <w:szCs w:val="22"/>
                <w:u w:val="single"/>
              </w:rPr>
              <w:t>000 έως &lt;</w:t>
            </w:r>
            <w:r w:rsidR="00DC18E3" w:rsidRPr="00DC18E3">
              <w:rPr>
                <w:b/>
                <w:bCs/>
                <w:szCs w:val="22"/>
                <w:u w:val="single"/>
              </w:rPr>
              <w:t> </w:t>
            </w:r>
            <w:r w:rsidRPr="00DC18E3">
              <w:rPr>
                <w:b/>
                <w:bCs/>
                <w:szCs w:val="22"/>
                <w:u w:val="single"/>
              </w:rPr>
              <w:t>1/100)</w:t>
            </w:r>
          </w:p>
        </w:tc>
        <w:tc>
          <w:tcPr>
            <w:tcW w:w="1369" w:type="dxa"/>
            <w:tcBorders>
              <w:top w:val="single" w:sz="4" w:space="0" w:color="auto"/>
              <w:left w:val="single" w:sz="4" w:space="0" w:color="auto"/>
              <w:bottom w:val="single" w:sz="4" w:space="0" w:color="auto"/>
              <w:right w:val="single" w:sz="4" w:space="0" w:color="auto"/>
            </w:tcBorders>
          </w:tcPr>
          <w:p w:rsidR="001A2FFE" w:rsidRPr="00DC18E3" w:rsidRDefault="001A2FFE" w:rsidP="00DD10F5">
            <w:pPr>
              <w:keepNext/>
              <w:tabs>
                <w:tab w:val="left" w:pos="0"/>
              </w:tabs>
              <w:jc w:val="center"/>
              <w:rPr>
                <w:b/>
                <w:bCs/>
                <w:szCs w:val="22"/>
                <w:u w:val="single"/>
              </w:rPr>
            </w:pPr>
            <w:r w:rsidRPr="00DC18E3">
              <w:rPr>
                <w:b/>
                <w:bCs/>
                <w:szCs w:val="22"/>
                <w:u w:val="single"/>
              </w:rPr>
              <w:t>Σπάνιες</w:t>
            </w:r>
          </w:p>
          <w:p w:rsidR="001A2FFE" w:rsidRPr="00DC18E3" w:rsidRDefault="001A2FFE" w:rsidP="00DD10F5">
            <w:pPr>
              <w:jc w:val="center"/>
              <w:rPr>
                <w:b/>
                <w:bCs/>
                <w:szCs w:val="22"/>
              </w:rPr>
            </w:pPr>
            <w:r w:rsidRPr="00DC18E3">
              <w:rPr>
                <w:b/>
                <w:bCs/>
                <w:szCs w:val="22"/>
                <w:u w:val="single"/>
              </w:rPr>
              <w:t>(</w:t>
            </w:r>
            <w:r w:rsidRPr="00DC18E3">
              <w:rPr>
                <w:b/>
                <w:bCs/>
                <w:szCs w:val="22"/>
                <w:u w:val="single"/>
              </w:rPr>
              <w:sym w:font="Symbol" w:char="F0B3"/>
            </w:r>
            <w:r w:rsidR="00DC18E3" w:rsidRPr="00DC18E3">
              <w:rPr>
                <w:b/>
                <w:bCs/>
                <w:szCs w:val="22"/>
                <w:u w:val="single"/>
              </w:rPr>
              <w:t> </w:t>
            </w:r>
            <w:r w:rsidRPr="00DC18E3">
              <w:rPr>
                <w:b/>
                <w:bCs/>
                <w:szCs w:val="22"/>
                <w:u w:val="single"/>
              </w:rPr>
              <w:t>1/10</w:t>
            </w:r>
            <w:r w:rsidR="007B35E3" w:rsidRPr="00DC18E3">
              <w:rPr>
                <w:b/>
                <w:bCs/>
                <w:szCs w:val="22"/>
                <w:u w:val="single"/>
              </w:rPr>
              <w:t>.</w:t>
            </w:r>
            <w:r w:rsidRPr="00DC18E3">
              <w:rPr>
                <w:b/>
                <w:bCs/>
                <w:szCs w:val="22"/>
                <w:u w:val="single"/>
              </w:rPr>
              <w:t>000 έως &lt;</w:t>
            </w:r>
            <w:r w:rsidR="00DC18E3" w:rsidRPr="00DC18E3">
              <w:rPr>
                <w:b/>
                <w:bCs/>
                <w:szCs w:val="22"/>
                <w:u w:val="single"/>
              </w:rPr>
              <w:t> </w:t>
            </w:r>
            <w:r w:rsidRPr="00DC18E3">
              <w:rPr>
                <w:b/>
                <w:bCs/>
                <w:szCs w:val="22"/>
                <w:u w:val="single"/>
              </w:rPr>
              <w:t>1/1</w:t>
            </w:r>
            <w:r w:rsidR="007B35E3" w:rsidRPr="00DC18E3">
              <w:rPr>
                <w:b/>
                <w:bCs/>
                <w:szCs w:val="22"/>
                <w:u w:val="single"/>
              </w:rPr>
              <w:t>.</w:t>
            </w:r>
            <w:r w:rsidRPr="00DC18E3">
              <w:rPr>
                <w:b/>
                <w:bCs/>
                <w:szCs w:val="22"/>
                <w:u w:val="single"/>
              </w:rPr>
              <w:t>000</w:t>
            </w:r>
            <w:r w:rsidRPr="00DC18E3">
              <w:rPr>
                <w:b/>
                <w:bCs/>
                <w:szCs w:val="22"/>
              </w:rPr>
              <w:t>)</w:t>
            </w: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Ψυχιατρικές διαταραχές</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012E6A">
            <w:pPr>
              <w:rPr>
                <w:bCs/>
                <w:szCs w:val="22"/>
              </w:rPr>
            </w:pPr>
            <w:r w:rsidRPr="001F3AFA">
              <w:rPr>
                <w:bCs/>
                <w:szCs w:val="22"/>
              </w:rPr>
              <w:t xml:space="preserve">Αϋπνία, άγχος, διέγερση, ανησυχία, </w:t>
            </w:r>
            <w:r w:rsidR="00012E6A" w:rsidRPr="001F3AFA">
              <w:rPr>
                <w:bCs/>
                <w:szCs w:val="22"/>
              </w:rPr>
              <w:t xml:space="preserve">μειωμένη </w:t>
            </w:r>
            <w:r w:rsidRPr="001F3AFA">
              <w:rPr>
                <w:bCs/>
                <w:szCs w:val="22"/>
              </w:rPr>
              <w:t>γενετήσια ορμή, ανώμαλα όνειρα</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Κατάθλιψη, καταθλιπτική διάθεση, νευρικότητα, εφιάλτης, διαταραχή ύπνου, τριγμός των οδόντων, ευφορική συναισθηματική κατάσταση, αδιαφορία, απάθεια, μεταβολή της διάθεσης, αρχική αϋπνία, αϋπνία κατά τη μέση του ύπνου, ανοργασμία, συγχυτική κατάσταση, υπερεπαγρύπνηση, ανώμαλη σκέψη, αποπροσανατολισμός, απώλεια της γενετήσιας ορμής</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keepNext/>
              <w:rPr>
                <w:b/>
                <w:szCs w:val="22"/>
              </w:rPr>
            </w:pPr>
            <w:r w:rsidRPr="006248FA">
              <w:rPr>
                <w:b/>
                <w:szCs w:val="22"/>
              </w:rPr>
              <w:lastRenderedPageBreak/>
              <w:t>Διαταραχές του νευρικού συστήματος</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keepNext/>
              <w:rPr>
                <w:bCs/>
                <w:szCs w:val="22"/>
              </w:rPr>
            </w:pPr>
            <w:r w:rsidRPr="001F3AFA">
              <w:rPr>
                <w:bCs/>
                <w:szCs w:val="22"/>
              </w:rPr>
              <w:t>Ζάλη</w:t>
            </w:r>
            <w:r w:rsidR="005B13BF">
              <w:rPr>
                <w:bCs/>
                <w:szCs w:val="22"/>
              </w:rPr>
              <w:t xml:space="preserve">, </w:t>
            </w:r>
            <w:r w:rsidRPr="001F3AFA">
              <w:rPr>
                <w:bCs/>
                <w:szCs w:val="22"/>
              </w:rPr>
              <w:t xml:space="preserve"> </w:t>
            </w:r>
            <w:r w:rsidR="005B13BF">
              <w:rPr>
                <w:bCs/>
                <w:szCs w:val="22"/>
              </w:rPr>
              <w:t>κ</w:t>
            </w:r>
            <w:r w:rsidRPr="001F3AFA">
              <w:rPr>
                <w:bCs/>
                <w:szCs w:val="22"/>
              </w:rPr>
              <w:t xml:space="preserve">εφαλαλγία </w:t>
            </w: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keepNext/>
              <w:rPr>
                <w:bCs/>
                <w:szCs w:val="22"/>
              </w:rPr>
            </w:pPr>
            <w:r w:rsidRPr="001F3AFA">
              <w:rPr>
                <w:bCs/>
                <w:szCs w:val="22"/>
              </w:rPr>
              <w:t xml:space="preserve">Υπνηλία, διαταραχή στην προσοχή, τρόμος, παραισθησία </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keepNext/>
              <w:rPr>
                <w:bCs/>
                <w:szCs w:val="22"/>
              </w:rPr>
            </w:pPr>
            <w:r w:rsidRPr="001F3AFA">
              <w:rPr>
                <w:bCs/>
                <w:szCs w:val="22"/>
              </w:rPr>
              <w:t xml:space="preserve">Δυσγευσία, υπερβολικός ύπνος, λήθαργος, καταστολή, επηρεασμένο επίπεδο συνείδησης, συγκοπή, </w:t>
            </w:r>
            <w:r w:rsidR="007814C8">
              <w:rPr>
                <w:bCs/>
                <w:szCs w:val="22"/>
              </w:rPr>
              <w:t>αγγειοπνευμονογαστρική</w:t>
            </w:r>
            <w:r w:rsidRPr="001F3AFA">
              <w:rPr>
                <w:bCs/>
                <w:szCs w:val="22"/>
              </w:rPr>
              <w:t xml:space="preserve"> συγκοπή, ζάλη θέσης, ακαθησία </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keepNext/>
              <w:rPr>
                <w:bCs/>
                <w:szCs w:val="22"/>
              </w:rPr>
            </w:pPr>
            <w:r w:rsidRPr="001F3AFA">
              <w:rPr>
                <w:bCs/>
                <w:szCs w:val="22"/>
              </w:rPr>
              <w:t>Ζάλη προσπάθειας</w:t>
            </w:r>
            <w:r w:rsidR="005B13BF">
              <w:rPr>
                <w:bCs/>
                <w:szCs w:val="22"/>
              </w:rPr>
              <w:t>,</w:t>
            </w:r>
            <w:r w:rsidRPr="001F3AFA">
              <w:rPr>
                <w:bCs/>
                <w:szCs w:val="22"/>
              </w:rPr>
              <w:t xml:space="preserve"> αιφνίδια έναρξη ύπνου</w:t>
            </w: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Οφθαλμικές διαταραχές</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Θολή όραση</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Mυδρίαση, οπτική διαταραχή</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Διαταραχές του ωτός και του λαβυρίνθου</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Εµβοές</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Ίλιγγος</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Καρδιακές διαταραχές</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Φλεβοκομβική ανακοπή, φλεβοκομβική βραδυκαρδία, ταχυκαρδία</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Αγγειακές διαταραχές</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Έξαψη</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Εξάψεις, υπόταση, συστολική υπέρταση</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Διαταραχές του αναπνευστικού συστήματος, του θώρακα και του μεσοθωρακίου</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8A1423" w:rsidP="00DD10F5">
            <w:pPr>
              <w:rPr>
                <w:bCs/>
                <w:szCs w:val="22"/>
              </w:rPr>
            </w:pPr>
            <w:r>
              <w:rPr>
                <w:bCs/>
                <w:szCs w:val="22"/>
              </w:rPr>
              <w:t>Συμφόρηση κόλπων του προσώπου,</w:t>
            </w:r>
            <w:r w:rsidR="001A2FFE" w:rsidRPr="001F3AFA">
              <w:rPr>
                <w:bCs/>
                <w:szCs w:val="22"/>
              </w:rPr>
              <w:t xml:space="preserve"> χασμουρητό</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Διαταραχές του γαστρεντερικού συστήματος</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Ναυτία</w:t>
            </w: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Διάρροια, ξηροστομία, έμετος, δυσκοιλιότητα, κοιλιακό άλγος, άλγος άνω κοιλιακής χώρας, δυσπεψία, μετεωρισμός, δυσφορία</w:t>
            </w:r>
            <w:r w:rsidR="008A1423">
              <w:rPr>
                <w:bCs/>
                <w:szCs w:val="22"/>
              </w:rPr>
              <w:t xml:space="preserve"> του στομάχου</w:t>
            </w:r>
            <w:r w:rsidRPr="001F3AFA">
              <w:rPr>
                <w:bCs/>
                <w:szCs w:val="22"/>
              </w:rPr>
              <w:t>, διάταση της κοιλίας</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Κοιλιακή δυσφορία, επιγαστρική δυσφορία</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Επιτακτική αφόδευση</w:t>
            </w: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Διαταραχές του δέρματος και του υποδόριου ιστού</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Υπεριδρωσία</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Κνησμός, κρύος ιδρώτας</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340FAE" w:rsidRDefault="00340FAE" w:rsidP="00DD10F5">
            <w:pPr>
              <w:rPr>
                <w:b/>
                <w:szCs w:val="22"/>
              </w:rPr>
            </w:pPr>
            <w:r w:rsidRPr="00340FAE">
              <w:rPr>
                <w:b/>
                <w:szCs w:val="22"/>
              </w:rPr>
              <w:t>Διαταραχές του αναπαραγωγικού συστήματος και του μαστού</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Στυτική δυσλειτουργία</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Αποτυχία εκσπερμάτισης, παραισθησία γεννητικών οργάνων του άρρενος, οργασμική διαταραχή του άρρενος</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Γενικές διαταραχές και καταστάσεις της οδού χορήγησης</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Κόπωση, ευερεθιστότητα</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r w:rsidRPr="001F3AFA">
              <w:rPr>
                <w:bCs/>
                <w:szCs w:val="22"/>
              </w:rPr>
              <w:t>Εξασθένιση, αίσθηση θερμού, αίσθηση εκνευρισμού, μη φυσιολογική αίσθηση, αίσθηση μέθης</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r w:rsidR="001A2FFE" w:rsidRPr="001F3AFA">
        <w:tc>
          <w:tcPr>
            <w:tcW w:w="1624" w:type="dxa"/>
            <w:tcBorders>
              <w:top w:val="single" w:sz="4" w:space="0" w:color="auto"/>
              <w:left w:val="single" w:sz="4" w:space="0" w:color="auto"/>
              <w:bottom w:val="single" w:sz="4" w:space="0" w:color="auto"/>
              <w:right w:val="single" w:sz="4" w:space="0" w:color="auto"/>
            </w:tcBorders>
          </w:tcPr>
          <w:p w:rsidR="001A2FFE" w:rsidRPr="006248FA" w:rsidRDefault="001A2FFE" w:rsidP="00DD10F5">
            <w:pPr>
              <w:rPr>
                <w:b/>
                <w:szCs w:val="22"/>
              </w:rPr>
            </w:pPr>
            <w:r w:rsidRPr="006248FA">
              <w:rPr>
                <w:b/>
                <w:szCs w:val="22"/>
              </w:rPr>
              <w:t>Παρακλινικές εξετάσεις</w:t>
            </w:r>
          </w:p>
        </w:tc>
        <w:tc>
          <w:tcPr>
            <w:tcW w:w="1127"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c>
          <w:tcPr>
            <w:tcW w:w="2199" w:type="dxa"/>
            <w:tcBorders>
              <w:top w:val="single" w:sz="4" w:space="0" w:color="auto"/>
              <w:left w:val="single" w:sz="4" w:space="0" w:color="auto"/>
              <w:bottom w:val="single" w:sz="4" w:space="0" w:color="auto"/>
              <w:right w:val="single" w:sz="4" w:space="0" w:color="auto"/>
            </w:tcBorders>
          </w:tcPr>
          <w:p w:rsidR="001A2FFE" w:rsidRPr="001F3AFA" w:rsidRDefault="00B15FAA" w:rsidP="00B15FAA">
            <w:pPr>
              <w:rPr>
                <w:bCs/>
                <w:szCs w:val="22"/>
              </w:rPr>
            </w:pPr>
            <w:r>
              <w:rPr>
                <w:bCs/>
                <w:szCs w:val="22"/>
              </w:rPr>
              <w:t>Α</w:t>
            </w:r>
            <w:r w:rsidRPr="001F3AFA">
              <w:rPr>
                <w:bCs/>
                <w:szCs w:val="22"/>
              </w:rPr>
              <w:t xml:space="preserve">υξημένη </w:t>
            </w:r>
            <w:r>
              <w:rPr>
                <w:bCs/>
                <w:szCs w:val="22"/>
              </w:rPr>
              <w:t>α</w:t>
            </w:r>
            <w:r w:rsidR="001A2FFE" w:rsidRPr="001F3AFA">
              <w:rPr>
                <w:bCs/>
                <w:szCs w:val="22"/>
              </w:rPr>
              <w:t xml:space="preserve">ρτηριακή πίεση </w:t>
            </w:r>
          </w:p>
        </w:tc>
        <w:tc>
          <w:tcPr>
            <w:tcW w:w="2790" w:type="dxa"/>
            <w:tcBorders>
              <w:top w:val="single" w:sz="4" w:space="0" w:color="auto"/>
              <w:left w:val="single" w:sz="4" w:space="0" w:color="auto"/>
              <w:bottom w:val="single" w:sz="4" w:space="0" w:color="auto"/>
              <w:right w:val="single" w:sz="4" w:space="0" w:color="auto"/>
            </w:tcBorders>
          </w:tcPr>
          <w:p w:rsidR="001A2FFE" w:rsidRPr="001F3AFA" w:rsidRDefault="00B15FAA" w:rsidP="00B15FAA">
            <w:pPr>
              <w:rPr>
                <w:bCs/>
                <w:szCs w:val="22"/>
              </w:rPr>
            </w:pPr>
            <w:r>
              <w:rPr>
                <w:bCs/>
                <w:szCs w:val="22"/>
              </w:rPr>
              <w:t>Αυξημένος κ</w:t>
            </w:r>
            <w:r w:rsidR="00DC18E3">
              <w:rPr>
                <w:bCs/>
                <w:szCs w:val="22"/>
              </w:rPr>
              <w:t xml:space="preserve">αρδιακός ρυθμός, </w:t>
            </w:r>
            <w:r w:rsidRPr="001F3AFA">
              <w:rPr>
                <w:bCs/>
                <w:szCs w:val="22"/>
              </w:rPr>
              <w:t xml:space="preserve">αυξημένη διαστολική </w:t>
            </w:r>
            <w:r w:rsidR="001A2FFE" w:rsidRPr="001F3AFA">
              <w:rPr>
                <w:bCs/>
                <w:szCs w:val="22"/>
              </w:rPr>
              <w:t xml:space="preserve">αρτηριακή </w:t>
            </w:r>
            <w:r w:rsidR="001A2FFE" w:rsidRPr="001F3AFA">
              <w:rPr>
                <w:bCs/>
                <w:szCs w:val="22"/>
              </w:rPr>
              <w:lastRenderedPageBreak/>
              <w:t xml:space="preserve">πίεση, </w:t>
            </w:r>
            <w:r w:rsidRPr="001F3AFA">
              <w:rPr>
                <w:bCs/>
                <w:szCs w:val="22"/>
              </w:rPr>
              <w:t xml:space="preserve">αυξημένη ορθοστατική </w:t>
            </w:r>
            <w:r w:rsidR="001A2FFE" w:rsidRPr="001F3AFA">
              <w:rPr>
                <w:bCs/>
                <w:szCs w:val="22"/>
              </w:rPr>
              <w:t xml:space="preserve">αρτηριακή πίεση </w:t>
            </w:r>
          </w:p>
        </w:tc>
        <w:tc>
          <w:tcPr>
            <w:tcW w:w="1369" w:type="dxa"/>
            <w:tcBorders>
              <w:top w:val="single" w:sz="4" w:space="0" w:color="auto"/>
              <w:left w:val="single" w:sz="4" w:space="0" w:color="auto"/>
              <w:bottom w:val="single" w:sz="4" w:space="0" w:color="auto"/>
              <w:right w:val="single" w:sz="4" w:space="0" w:color="auto"/>
            </w:tcBorders>
          </w:tcPr>
          <w:p w:rsidR="001A2FFE" w:rsidRPr="001F3AFA" w:rsidRDefault="001A2FFE" w:rsidP="00DD10F5">
            <w:pPr>
              <w:rPr>
                <w:bCs/>
                <w:szCs w:val="22"/>
              </w:rPr>
            </w:pPr>
          </w:p>
        </w:tc>
      </w:tr>
    </w:tbl>
    <w:p w:rsidR="001A2FFE" w:rsidRPr="001F3AFA" w:rsidRDefault="001A2FFE" w:rsidP="00DD10F5">
      <w:pPr>
        <w:rPr>
          <w:szCs w:val="22"/>
        </w:rPr>
      </w:pPr>
    </w:p>
    <w:p w:rsidR="003353C8" w:rsidRPr="0007023B" w:rsidRDefault="001A2FFE" w:rsidP="00DD10F5">
      <w:pPr>
        <w:rPr>
          <w:szCs w:val="22"/>
        </w:rPr>
      </w:pPr>
      <w:r w:rsidRPr="001F3AFA">
        <w:rPr>
          <w:szCs w:val="22"/>
        </w:rPr>
        <w:t>Σε κλινικές δοκιμές έχει αναφερθεί συγκοπή που χαρακτηρίζεται από απώλεια τ</w:t>
      </w:r>
      <w:r w:rsidR="007B35E3">
        <w:rPr>
          <w:szCs w:val="22"/>
        </w:rPr>
        <w:t>ων αισθήσεων</w:t>
      </w:r>
      <w:r w:rsidRPr="001F3AFA">
        <w:rPr>
          <w:szCs w:val="22"/>
        </w:rPr>
        <w:t xml:space="preserve">, </w:t>
      </w:r>
      <w:r w:rsidR="00D3357E">
        <w:rPr>
          <w:szCs w:val="22"/>
        </w:rPr>
        <w:t xml:space="preserve">με βραδυκαρδία ή φλεβοκομβική ανακοπή σε ασθενείς που έφεραν καταγραφείς </w:t>
      </w:r>
      <w:proofErr w:type="spellStart"/>
      <w:r w:rsidR="00D3357E">
        <w:rPr>
          <w:szCs w:val="22"/>
          <w:lang w:val="en-US"/>
        </w:rPr>
        <w:t>Holter</w:t>
      </w:r>
      <w:proofErr w:type="spellEnd"/>
      <w:r w:rsidR="00D3357E">
        <w:rPr>
          <w:szCs w:val="22"/>
        </w:rPr>
        <w:t xml:space="preserve"> </w:t>
      </w:r>
      <w:r w:rsidRPr="001F3AFA">
        <w:rPr>
          <w:szCs w:val="22"/>
        </w:rPr>
        <w:t xml:space="preserve">και θεωρείται ότι σχετίζεται με το φαρμακευτικό προϊόν.  Η πλειοψηφία των περιστατικών εμφανίστηκε κατά τη διάρκεια των πρώτων 3 ωρών μετά από τη χορήγηση της δόσης, μετά από τη χορήγηση της πρώτης δόσης ή </w:t>
      </w:r>
      <w:r w:rsidR="003353C8">
        <w:rPr>
          <w:szCs w:val="22"/>
        </w:rPr>
        <w:t>συνδέθηκε</w:t>
      </w:r>
      <w:r w:rsidR="003353C8" w:rsidRPr="001F3AFA">
        <w:rPr>
          <w:szCs w:val="22"/>
        </w:rPr>
        <w:t xml:space="preserve"> </w:t>
      </w:r>
      <w:r w:rsidRPr="001F3AFA">
        <w:rPr>
          <w:szCs w:val="22"/>
        </w:rPr>
        <w:t>με σχετιζόμενες με τη μελέτη διαδικασίες σε κλινικές συνθ</w:t>
      </w:r>
      <w:r w:rsidR="007B35E3">
        <w:rPr>
          <w:szCs w:val="22"/>
        </w:rPr>
        <w:t xml:space="preserve">ήκες (όπως είναι η λήψη αίματος, </w:t>
      </w:r>
      <w:r w:rsidRPr="001F3AFA">
        <w:rPr>
          <w:szCs w:val="22"/>
        </w:rPr>
        <w:t xml:space="preserve">οι εξετάσεις για τη </w:t>
      </w:r>
      <w:r w:rsidRPr="00340FAE">
        <w:rPr>
          <w:szCs w:val="22"/>
        </w:rPr>
        <w:t>διαπίστωση ορθοστατικής υπότασης</w:t>
      </w:r>
      <w:r w:rsidRPr="001F3AFA">
        <w:rPr>
          <w:szCs w:val="22"/>
        </w:rPr>
        <w:t xml:space="preserve"> και οι μετρήσεις της αρτηριακής πίεσης). Τα πρόδρομα συμπτώματα συχνά προηγούνταν της συγκοπής (βλέπε παράγραφο 4.4).</w:t>
      </w:r>
    </w:p>
    <w:p w:rsidR="00F61B3E" w:rsidRPr="0007023B" w:rsidRDefault="003353C8" w:rsidP="00DD10F5">
      <w:pPr>
        <w:rPr>
          <w:szCs w:val="22"/>
        </w:rPr>
      </w:pPr>
      <w:r>
        <w:rPr>
          <w:szCs w:val="22"/>
        </w:rPr>
        <w:t xml:space="preserve">Η εμφάνιση συγκοπής και πιθανών πρόδρομων </w:t>
      </w:r>
      <w:r w:rsidR="00F61B3E">
        <w:rPr>
          <w:szCs w:val="22"/>
        </w:rPr>
        <w:t>συμπτωμάτων φαίνεται να είναι δοσοεξαρτώμενη όπως καταδείχθηκε από την υψηλότερη επίπτωση σε ασθενείς που λάμβαναν υψηλότερες από τις συνιστώμενες δόσεις σε κλινικές δοκιμές Φάσης 3.</w:t>
      </w:r>
    </w:p>
    <w:p w:rsidR="002616C5" w:rsidRPr="0007023B" w:rsidRDefault="00A64148" w:rsidP="00A64148">
      <w:pPr>
        <w:rPr>
          <w:szCs w:val="22"/>
        </w:rPr>
      </w:pPr>
      <w:r w:rsidRPr="001F3AFA">
        <w:rPr>
          <w:szCs w:val="22"/>
        </w:rPr>
        <w:t xml:space="preserve">Σε κλινικές μελέτες έχει αναφερθεί ορθοστατική υπόταση (βλέπε παράγραφο 4.4). Η συχνότητα της συγκοπής που χαρακτηρίζεται από απώλεια </w:t>
      </w:r>
      <w:r>
        <w:rPr>
          <w:szCs w:val="22"/>
        </w:rPr>
        <w:t>των αισθήσεων</w:t>
      </w:r>
      <w:r w:rsidRPr="001F3AFA">
        <w:rPr>
          <w:szCs w:val="22"/>
        </w:rPr>
        <w:t xml:space="preserve"> στο πρόγραμμα κλινικής ανάπτυξης του Priligy ποίκιλε ανάλογα με τον υπό μελέτη πληθυσμό και κυμάνθηκε από 0,06% (30</w:t>
      </w:r>
      <w:r>
        <w:rPr>
          <w:szCs w:val="22"/>
        </w:rPr>
        <w:t> mg</w:t>
      </w:r>
      <w:r w:rsidRPr="001F3AFA">
        <w:rPr>
          <w:szCs w:val="22"/>
        </w:rPr>
        <w:t>) έως 0,23% (60</w:t>
      </w:r>
      <w:r>
        <w:rPr>
          <w:szCs w:val="22"/>
        </w:rPr>
        <w:t> mg</w:t>
      </w:r>
      <w:r w:rsidRPr="001F3AFA">
        <w:rPr>
          <w:szCs w:val="22"/>
        </w:rPr>
        <w:t xml:space="preserve">) για τα άτομα που εντάχθηκαν στις ελεγχόμενες με εικονικό φάρμακο κλινικές δοκιμές </w:t>
      </w:r>
      <w:r>
        <w:rPr>
          <w:szCs w:val="22"/>
        </w:rPr>
        <w:t>Φ</w:t>
      </w:r>
      <w:r w:rsidRPr="001F3AFA">
        <w:rPr>
          <w:szCs w:val="22"/>
        </w:rPr>
        <w:t>άσης 3 σε 0,64% (όλ</w:t>
      </w:r>
      <w:r>
        <w:rPr>
          <w:szCs w:val="22"/>
        </w:rPr>
        <w:t>οι οι συνδυασμοί δόσεων)</w:t>
      </w:r>
      <w:r w:rsidRPr="001F3AFA">
        <w:rPr>
          <w:szCs w:val="22"/>
        </w:rPr>
        <w:t xml:space="preserve"> για τις μελέτες </w:t>
      </w:r>
      <w:r w:rsidR="00345E95">
        <w:rPr>
          <w:szCs w:val="22"/>
        </w:rPr>
        <w:t>Φ</w:t>
      </w:r>
      <w:r w:rsidRPr="001F3AFA">
        <w:rPr>
          <w:szCs w:val="22"/>
        </w:rPr>
        <w:t>άσης 1 με υγιείς εθελοντές χωρίς πρόωρη εκσπερμάτιση.</w:t>
      </w:r>
    </w:p>
    <w:p w:rsidR="002616C5" w:rsidRPr="001F3AFA" w:rsidRDefault="002616C5" w:rsidP="002616C5">
      <w:pPr>
        <w:rPr>
          <w:szCs w:val="22"/>
        </w:rPr>
      </w:pPr>
      <w:r w:rsidRPr="001F3AFA">
        <w:rPr>
          <w:szCs w:val="22"/>
        </w:rPr>
        <w:t xml:space="preserve">Οι ανεπιθύμητες </w:t>
      </w:r>
      <w:r>
        <w:rPr>
          <w:szCs w:val="22"/>
        </w:rPr>
        <w:t>ενέργειες</w:t>
      </w:r>
      <w:r w:rsidRPr="001F3AFA">
        <w:rPr>
          <w:szCs w:val="22"/>
        </w:rPr>
        <w:t xml:space="preserve"> που αναφέρθηκαν στη μακροχρόνια ανοιχτή μελέτη επέκτασης διάρκειας 9 μηνών ήταν συνεπείς με αυτές που αναφέρθηκαν στις διπλά τυφλές μελέτες και δεν αναφέρθηκαν πρόσθετες ανεπιθύμητες </w:t>
      </w:r>
      <w:r>
        <w:rPr>
          <w:szCs w:val="22"/>
        </w:rPr>
        <w:t>ενέργειες</w:t>
      </w:r>
      <w:r w:rsidRPr="001F3AFA">
        <w:rPr>
          <w:szCs w:val="22"/>
        </w:rPr>
        <w:t>.</w:t>
      </w:r>
    </w:p>
    <w:p w:rsidR="001A2FFE" w:rsidRPr="001F3AFA" w:rsidRDefault="001A2FFE" w:rsidP="00DD10F5">
      <w:pPr>
        <w:rPr>
          <w:szCs w:val="22"/>
        </w:rPr>
      </w:pPr>
    </w:p>
    <w:p w:rsidR="001A2FFE" w:rsidRPr="0007023B" w:rsidRDefault="001A2FFE" w:rsidP="0007023B">
      <w:pPr>
        <w:rPr>
          <w:szCs w:val="22"/>
          <w:u w:val="single"/>
        </w:rPr>
      </w:pPr>
      <w:r w:rsidRPr="0011423F">
        <w:rPr>
          <w:szCs w:val="22"/>
          <w:u w:val="single"/>
        </w:rPr>
        <w:t>Αντιδράσεις απόσυρσης</w:t>
      </w:r>
    </w:p>
    <w:p w:rsidR="001A2FFE" w:rsidRPr="0007023B" w:rsidRDefault="001A2FFE" w:rsidP="00DD10F5">
      <w:pPr>
        <w:tabs>
          <w:tab w:val="left" w:pos="0"/>
        </w:tabs>
        <w:rPr>
          <w:szCs w:val="22"/>
        </w:rPr>
      </w:pPr>
      <w:r w:rsidRPr="001F3AFA">
        <w:rPr>
          <w:szCs w:val="22"/>
        </w:rPr>
        <w:t xml:space="preserve">Η απότομη διακοπή των χρόνια χορηγούμενων </w:t>
      </w:r>
      <w:r w:rsidRPr="001F3AFA">
        <w:rPr>
          <w:color w:val="000000"/>
          <w:szCs w:val="22"/>
        </w:rPr>
        <w:t>SSRI που χρησιμοποιήθηκαν για τη θεραπεία των χρόνιων καταθλιπτικών διαταραχών έχει αναφερθεί ότι οδηγεί στα ακόλουθα συμπτώματα:</w:t>
      </w:r>
      <w:r w:rsidRPr="001F3AFA">
        <w:rPr>
          <w:szCs w:val="22"/>
        </w:rPr>
        <w:t xml:space="preserve"> </w:t>
      </w:r>
      <w:r w:rsidR="002616C5">
        <w:rPr>
          <w:szCs w:val="22"/>
        </w:rPr>
        <w:t>δ</w:t>
      </w:r>
      <w:r w:rsidRPr="001F3AFA">
        <w:rPr>
          <w:szCs w:val="22"/>
        </w:rPr>
        <w:t>υσφορική συναισθηματική διάθεση, ευερεθιστότητα, διέγερση, ζάλη, αισθητηριακές διαταραχές (π.χ. παραισθ</w:t>
      </w:r>
      <w:r w:rsidR="007B35E3">
        <w:rPr>
          <w:szCs w:val="22"/>
        </w:rPr>
        <w:t>ησίες</w:t>
      </w:r>
      <w:r w:rsidRPr="001F3AFA">
        <w:rPr>
          <w:szCs w:val="22"/>
        </w:rPr>
        <w:t xml:space="preserve"> όπως αίσθηση ηλεκτρικού σοκ), άγχος, σύγχυση, </w:t>
      </w:r>
      <w:r w:rsidR="004D0659">
        <w:rPr>
          <w:szCs w:val="22"/>
        </w:rPr>
        <w:t>κεφαλαλγία</w:t>
      </w:r>
      <w:r w:rsidRPr="001F3AFA">
        <w:rPr>
          <w:szCs w:val="22"/>
        </w:rPr>
        <w:t>, λήθαργος, συναισθηματική αστάθεια, αϋπνία και υπομανία.</w:t>
      </w:r>
    </w:p>
    <w:p w:rsidR="001A2FFE" w:rsidRPr="001F3AFA" w:rsidRDefault="001A2FFE" w:rsidP="00DD10F5">
      <w:pPr>
        <w:tabs>
          <w:tab w:val="left" w:pos="0"/>
        </w:tabs>
        <w:rPr>
          <w:szCs w:val="22"/>
        </w:rPr>
      </w:pPr>
      <w:r w:rsidRPr="001F3AFA">
        <w:rPr>
          <w:szCs w:val="22"/>
        </w:rPr>
        <w:t xml:space="preserve">Τα </w:t>
      </w:r>
      <w:r w:rsidR="004D0659">
        <w:rPr>
          <w:szCs w:val="22"/>
        </w:rPr>
        <w:t xml:space="preserve">αποτελέσματα από </w:t>
      </w:r>
      <w:r w:rsidR="006B77AB">
        <w:rPr>
          <w:szCs w:val="22"/>
        </w:rPr>
        <w:t>μία μελέτη ασφάλειας κατέδειξαν</w:t>
      </w:r>
      <w:r w:rsidRPr="001F3AFA">
        <w:rPr>
          <w:szCs w:val="22"/>
        </w:rPr>
        <w:t xml:space="preserve"> έδειξαν ελαφρώς υψηλότερη επίπτωση </w:t>
      </w:r>
      <w:r w:rsidR="006B77AB">
        <w:rPr>
          <w:szCs w:val="22"/>
        </w:rPr>
        <w:t>των συμπτωμάτων απόσυρσης</w:t>
      </w:r>
      <w:r w:rsidRPr="001F3AFA">
        <w:rPr>
          <w:szCs w:val="22"/>
        </w:rPr>
        <w:t xml:space="preserve"> της ήπιας ή μέτριας αϋπνίας και ζάλης στα άτομα που άλλαξαν σε εικονικό φάρμακο μετά από 62 ημέρες </w:t>
      </w:r>
      <w:r w:rsidR="001277FB">
        <w:rPr>
          <w:szCs w:val="22"/>
        </w:rPr>
        <w:t>καθημερινής</w:t>
      </w:r>
      <w:r w:rsidR="001277FB" w:rsidRPr="001F3AFA">
        <w:rPr>
          <w:szCs w:val="22"/>
        </w:rPr>
        <w:t xml:space="preserve"> </w:t>
      </w:r>
      <w:r w:rsidR="004D0659">
        <w:rPr>
          <w:szCs w:val="22"/>
        </w:rPr>
        <w:t>χορήγησης</w:t>
      </w:r>
      <w:r w:rsidRPr="001F3AFA">
        <w:rPr>
          <w:szCs w:val="22"/>
        </w:rPr>
        <w:t xml:space="preserve">. </w:t>
      </w:r>
    </w:p>
    <w:p w:rsidR="00B86D1B" w:rsidRPr="001F3AFA" w:rsidRDefault="00B86D1B" w:rsidP="00DD10F5">
      <w:pPr>
        <w:rPr>
          <w:szCs w:val="22"/>
        </w:rPr>
      </w:pPr>
    </w:p>
    <w:p w:rsidR="00B86D1B" w:rsidRPr="0007023B" w:rsidRDefault="00B86D1B" w:rsidP="00DD10F5">
      <w:pPr>
        <w:rPr>
          <w:szCs w:val="22"/>
        </w:rPr>
      </w:pPr>
      <w:r w:rsidRPr="001F3AFA">
        <w:rPr>
          <w:b/>
          <w:szCs w:val="22"/>
        </w:rPr>
        <w:t>4.9</w:t>
      </w:r>
      <w:r w:rsidRPr="001F3AFA">
        <w:rPr>
          <w:b/>
          <w:szCs w:val="22"/>
        </w:rPr>
        <w:tab/>
        <w:t>Υπερδοσολογία</w:t>
      </w:r>
    </w:p>
    <w:p w:rsidR="001A2FFE" w:rsidRPr="0007023B" w:rsidRDefault="001A2FFE" w:rsidP="00DD10F5">
      <w:pPr>
        <w:rPr>
          <w:szCs w:val="22"/>
        </w:rPr>
      </w:pPr>
      <w:r w:rsidRPr="001F3AFA">
        <w:rPr>
          <w:szCs w:val="22"/>
        </w:rPr>
        <w:t>Δεν αναφέρθηκε κανένα περιστατικό υπερδοσολογίας.</w:t>
      </w:r>
    </w:p>
    <w:p w:rsidR="001A2FFE" w:rsidRPr="001F3AFA" w:rsidRDefault="001A2FFE" w:rsidP="00DD10F5">
      <w:pPr>
        <w:rPr>
          <w:szCs w:val="22"/>
        </w:rPr>
      </w:pPr>
      <w:r w:rsidRPr="001F3AFA">
        <w:rPr>
          <w:szCs w:val="22"/>
        </w:rPr>
        <w:t xml:space="preserve">Δεν υπήρξαν μη </w:t>
      </w:r>
      <w:r w:rsidR="001277FB">
        <w:rPr>
          <w:szCs w:val="22"/>
        </w:rPr>
        <w:t>αναμενόμενες ανεπιθύμητες ενέργειες</w:t>
      </w:r>
      <w:r w:rsidRPr="001F3AFA">
        <w:rPr>
          <w:szCs w:val="22"/>
        </w:rPr>
        <w:t xml:space="preserve"> στη μελέτη κλινικής φαρμακολογίας του Priligy με ημερήσιες δόσεις έως και 240</w:t>
      </w:r>
      <w:r w:rsidR="00DC18E3">
        <w:rPr>
          <w:szCs w:val="22"/>
        </w:rPr>
        <w:t> mg</w:t>
      </w:r>
      <w:r w:rsidRPr="001F3AFA">
        <w:rPr>
          <w:szCs w:val="22"/>
        </w:rPr>
        <w:t xml:space="preserve"> (δύο δόσεις των 120</w:t>
      </w:r>
      <w:r w:rsidR="00DC18E3">
        <w:rPr>
          <w:szCs w:val="22"/>
        </w:rPr>
        <w:t> mg</w:t>
      </w:r>
      <w:r w:rsidRPr="001F3AFA">
        <w:rPr>
          <w:szCs w:val="22"/>
        </w:rPr>
        <w:t xml:space="preserve"> χορηγούμενες </w:t>
      </w:r>
      <w:r w:rsidR="001277FB">
        <w:rPr>
          <w:szCs w:val="22"/>
        </w:rPr>
        <w:t>σε απόσταση</w:t>
      </w:r>
      <w:r w:rsidRPr="001F3AFA">
        <w:rPr>
          <w:szCs w:val="22"/>
        </w:rPr>
        <w:t xml:space="preserve"> 3 ωρών). Σε γενικές γραμμές, τα συμπτώματα υπερδοσολογίας με τους SSRI περιλαμβάνουν </w:t>
      </w:r>
      <w:r w:rsidR="001277FB">
        <w:rPr>
          <w:szCs w:val="22"/>
        </w:rPr>
        <w:t>επαγόμενες</w:t>
      </w:r>
      <w:r w:rsidR="001277FB" w:rsidRPr="001F3AFA">
        <w:rPr>
          <w:szCs w:val="22"/>
        </w:rPr>
        <w:t xml:space="preserve"> </w:t>
      </w:r>
      <w:r w:rsidRPr="001F3AFA">
        <w:rPr>
          <w:szCs w:val="22"/>
        </w:rPr>
        <w:t xml:space="preserve">από τη σεροτονίνη ανεπιθύμητες </w:t>
      </w:r>
      <w:r w:rsidR="001277FB">
        <w:rPr>
          <w:szCs w:val="22"/>
        </w:rPr>
        <w:t>ενέργειες</w:t>
      </w:r>
      <w:r w:rsidR="001277FB" w:rsidRPr="001F3AFA">
        <w:rPr>
          <w:szCs w:val="22"/>
        </w:rPr>
        <w:t xml:space="preserve"> </w:t>
      </w:r>
      <w:r w:rsidRPr="001F3AFA">
        <w:rPr>
          <w:szCs w:val="22"/>
        </w:rPr>
        <w:t>όπως είναι η υπνηλία, γαστρεντερικές διαταραχές όπως είναι η ναυτία και ο έμετος, ταχυκαρδία, τρόμο, διέγερση και ζάλη.</w:t>
      </w:r>
    </w:p>
    <w:p w:rsidR="001A2FFE" w:rsidRPr="001F3AFA" w:rsidRDefault="001A2FFE" w:rsidP="00DD10F5">
      <w:pPr>
        <w:rPr>
          <w:szCs w:val="22"/>
        </w:rPr>
      </w:pPr>
    </w:p>
    <w:p w:rsidR="00B86D1B" w:rsidRPr="0007023B" w:rsidRDefault="001A2FFE" w:rsidP="00DD10F5">
      <w:pPr>
        <w:rPr>
          <w:szCs w:val="22"/>
        </w:rPr>
      </w:pPr>
      <w:r w:rsidRPr="001F3AFA">
        <w:rPr>
          <w:szCs w:val="22"/>
        </w:rPr>
        <w:t xml:space="preserve">Σε περιπτώσεις υπερδοσολογίας, </w:t>
      </w:r>
      <w:r w:rsidR="00062619">
        <w:rPr>
          <w:szCs w:val="22"/>
        </w:rPr>
        <w:t>πρέπει</w:t>
      </w:r>
      <w:r w:rsidRPr="001F3AFA">
        <w:rPr>
          <w:szCs w:val="22"/>
        </w:rPr>
        <w:t xml:space="preserve"> να εφαρμόζονται τα συνήθη υποστηρικτικά μέτρα </w:t>
      </w:r>
      <w:r w:rsidR="001277FB">
        <w:rPr>
          <w:szCs w:val="22"/>
        </w:rPr>
        <w:t>όπως απαιτείται</w:t>
      </w:r>
      <w:r w:rsidRPr="001F3AFA">
        <w:rPr>
          <w:szCs w:val="22"/>
        </w:rPr>
        <w:t xml:space="preserve">. Λόγω της υψηλής δέσμευσης </w:t>
      </w:r>
      <w:r w:rsidR="003A76AB">
        <w:rPr>
          <w:szCs w:val="22"/>
        </w:rPr>
        <w:t>με πρωτεΐνες</w:t>
      </w:r>
      <w:r w:rsidRPr="001F3AFA">
        <w:rPr>
          <w:szCs w:val="22"/>
        </w:rPr>
        <w:t xml:space="preserve"> και το μεγάλο όγκο κατανομής της υδροχλωρικής δαποξετίνης, η αναγκαστική διούρηση, η </w:t>
      </w:r>
      <w:r w:rsidR="00AF5834">
        <w:rPr>
          <w:szCs w:val="22"/>
        </w:rPr>
        <w:t>αιμοδιύλιση</w:t>
      </w:r>
      <w:r w:rsidRPr="001F3AFA">
        <w:rPr>
          <w:szCs w:val="22"/>
        </w:rPr>
        <w:t xml:space="preserve">, η αιμοδιήθηση και η αφαιμαξομετάγγιση είναι απίθανο να </w:t>
      </w:r>
      <w:r w:rsidR="00AF5834">
        <w:rPr>
          <w:szCs w:val="22"/>
        </w:rPr>
        <w:t>έχουν όφελος</w:t>
      </w:r>
      <w:r w:rsidRPr="001F3AFA">
        <w:rPr>
          <w:szCs w:val="22"/>
        </w:rPr>
        <w:t>. Δεν είναι γνωστά συγκεκριμένα αντίδοτα για το Priligy.</w:t>
      </w:r>
    </w:p>
    <w:p w:rsidR="00B86D1B" w:rsidRPr="001F3AFA" w:rsidRDefault="00B86D1B" w:rsidP="00DD10F5">
      <w:pPr>
        <w:rPr>
          <w:szCs w:val="22"/>
        </w:rPr>
      </w:pPr>
    </w:p>
    <w:p w:rsidR="00B86D1B" w:rsidRPr="0007023B" w:rsidRDefault="00B86D1B" w:rsidP="00DD10F5">
      <w:pPr>
        <w:rPr>
          <w:szCs w:val="22"/>
        </w:rPr>
      </w:pPr>
      <w:r w:rsidRPr="001F3AFA">
        <w:rPr>
          <w:b/>
          <w:szCs w:val="22"/>
        </w:rPr>
        <w:t>5.</w:t>
      </w:r>
      <w:r w:rsidRPr="001F3AFA">
        <w:rPr>
          <w:b/>
          <w:szCs w:val="22"/>
        </w:rPr>
        <w:tab/>
        <w:t>ΦΑΡΜΑΚΟΛΟΓΙΚΕΣ ΙΔΙΟΤΗΤΕΣ</w:t>
      </w:r>
    </w:p>
    <w:p w:rsidR="00B86D1B" w:rsidRPr="0007023B" w:rsidRDefault="00B86D1B" w:rsidP="00DD10F5">
      <w:pPr>
        <w:rPr>
          <w:szCs w:val="22"/>
        </w:rPr>
      </w:pPr>
      <w:r w:rsidRPr="001F3AFA">
        <w:rPr>
          <w:b/>
          <w:szCs w:val="22"/>
        </w:rPr>
        <w:t>5.1</w:t>
      </w:r>
      <w:r w:rsidRPr="001F3AFA">
        <w:rPr>
          <w:b/>
          <w:szCs w:val="22"/>
        </w:rPr>
        <w:tab/>
        <w:t>Φαρμακοδυναμικές ιδιότητες</w:t>
      </w:r>
    </w:p>
    <w:p w:rsidR="001A2FFE" w:rsidRPr="001F3AFA" w:rsidRDefault="001A2FFE" w:rsidP="00DD10F5">
      <w:pPr>
        <w:keepNext/>
        <w:autoSpaceDE w:val="0"/>
        <w:autoSpaceDN w:val="0"/>
        <w:adjustRightInd w:val="0"/>
        <w:rPr>
          <w:szCs w:val="22"/>
        </w:rPr>
      </w:pPr>
      <w:r w:rsidRPr="001F3AFA">
        <w:rPr>
          <w:szCs w:val="22"/>
        </w:rPr>
        <w:t>Φαρμακοθεραπευτική κατηγορία: Λοιπά ουρολογικά, Κωδικός ATC: G04BX14</w:t>
      </w:r>
    </w:p>
    <w:p w:rsidR="001A2FFE" w:rsidRPr="001F3AFA" w:rsidRDefault="001A2FFE" w:rsidP="00DD10F5">
      <w:pPr>
        <w:autoSpaceDE w:val="0"/>
        <w:autoSpaceDN w:val="0"/>
        <w:adjustRightInd w:val="0"/>
        <w:rPr>
          <w:noProof/>
          <w:szCs w:val="22"/>
        </w:rPr>
      </w:pPr>
    </w:p>
    <w:p w:rsidR="001A2FFE" w:rsidRPr="0007023B" w:rsidRDefault="001A2FFE" w:rsidP="00DD10F5">
      <w:pPr>
        <w:rPr>
          <w:szCs w:val="22"/>
          <w:u w:val="single"/>
        </w:rPr>
      </w:pPr>
      <w:r w:rsidRPr="0011423F">
        <w:rPr>
          <w:szCs w:val="22"/>
          <w:u w:val="single"/>
        </w:rPr>
        <w:t>Μηχανισμός δράσης</w:t>
      </w:r>
    </w:p>
    <w:p w:rsidR="001A2FFE" w:rsidRPr="0007023B" w:rsidRDefault="001A2FFE" w:rsidP="00DD10F5">
      <w:pPr>
        <w:rPr>
          <w:szCs w:val="22"/>
        </w:rPr>
      </w:pPr>
      <w:r w:rsidRPr="001F3AFA">
        <w:rPr>
          <w:szCs w:val="22"/>
        </w:rPr>
        <w:t>Η δαποξετίνη είναι ένας ισχυρός εκλεκτικός αναστολέας της επαναπρόσληψης της σεροτονίνης (SSRI) με IC</w:t>
      </w:r>
      <w:r w:rsidRPr="001F3AFA">
        <w:rPr>
          <w:szCs w:val="22"/>
          <w:vertAlign w:val="subscript"/>
        </w:rPr>
        <w:t>50</w:t>
      </w:r>
      <w:r w:rsidRPr="001F3AFA">
        <w:rPr>
          <w:szCs w:val="22"/>
        </w:rPr>
        <w:t xml:space="preserve"> 1,12 nM, ενώ οι κύριοι μεταβολίτες του στον άνθρωπο, δεσμεθυλδαποξετίνη (IC</w:t>
      </w:r>
      <w:r w:rsidRPr="001F3AFA">
        <w:rPr>
          <w:szCs w:val="22"/>
          <w:vertAlign w:val="subscript"/>
        </w:rPr>
        <w:t>50</w:t>
      </w:r>
      <w:r w:rsidRPr="001F3AFA">
        <w:rPr>
          <w:szCs w:val="22"/>
        </w:rPr>
        <w:t xml:space="preserve"> &lt; 1</w:t>
      </w:r>
      <w:r w:rsidR="00B32F4B">
        <w:rPr>
          <w:szCs w:val="22"/>
        </w:rPr>
        <w:t>,</w:t>
      </w:r>
      <w:r w:rsidRPr="001F3AFA">
        <w:rPr>
          <w:szCs w:val="22"/>
        </w:rPr>
        <w:t>0 nM) και διδεσμεθυλδαποξετίνη (IC</w:t>
      </w:r>
      <w:r w:rsidRPr="001F3AFA">
        <w:rPr>
          <w:szCs w:val="22"/>
          <w:vertAlign w:val="subscript"/>
        </w:rPr>
        <w:t>50 </w:t>
      </w:r>
      <w:r w:rsidRPr="001F3AFA">
        <w:rPr>
          <w:szCs w:val="22"/>
        </w:rPr>
        <w:t>= 2</w:t>
      </w:r>
      <w:r w:rsidR="00B32F4B">
        <w:rPr>
          <w:szCs w:val="22"/>
        </w:rPr>
        <w:t>,</w:t>
      </w:r>
      <w:r w:rsidRPr="001F3AFA">
        <w:rPr>
          <w:szCs w:val="22"/>
        </w:rPr>
        <w:t xml:space="preserve">0 nM) είναι ισοδύναμοι ή λιγότερο </w:t>
      </w:r>
      <w:r w:rsidR="00046BB6">
        <w:rPr>
          <w:szCs w:val="22"/>
        </w:rPr>
        <w:t>δραστικοί</w:t>
      </w:r>
      <w:r w:rsidRPr="001F3AFA">
        <w:rPr>
          <w:szCs w:val="22"/>
        </w:rPr>
        <w:t xml:space="preserve"> (N-</w:t>
      </w:r>
      <w:r w:rsidR="00B32F4B">
        <w:rPr>
          <w:szCs w:val="22"/>
        </w:rPr>
        <w:t xml:space="preserve">οξείδιο </w:t>
      </w:r>
      <w:r w:rsidR="00B32F4B">
        <w:rPr>
          <w:szCs w:val="22"/>
        </w:rPr>
        <w:lastRenderedPageBreak/>
        <w:t>δαποξετίνης</w:t>
      </w:r>
      <w:r w:rsidRPr="001F3AFA">
        <w:rPr>
          <w:szCs w:val="22"/>
        </w:rPr>
        <w:t xml:space="preserve"> (IC</w:t>
      </w:r>
      <w:r w:rsidRPr="001F3AFA">
        <w:rPr>
          <w:szCs w:val="22"/>
          <w:vertAlign w:val="subscript"/>
        </w:rPr>
        <w:t>50</w:t>
      </w:r>
      <w:r w:rsidRPr="001F3AFA">
        <w:rPr>
          <w:szCs w:val="22"/>
        </w:rPr>
        <w:t xml:space="preserve"> = 282 nM)).</w:t>
      </w:r>
    </w:p>
    <w:p w:rsidR="001A2FFE" w:rsidRPr="0007023B" w:rsidRDefault="001A2FFE" w:rsidP="00DD10F5">
      <w:pPr>
        <w:rPr>
          <w:szCs w:val="22"/>
        </w:rPr>
      </w:pPr>
      <w:r w:rsidRPr="001F3AFA">
        <w:rPr>
          <w:szCs w:val="22"/>
        </w:rPr>
        <w:t xml:space="preserve">Η εκσπερμάτιση στον άνθρωπο διαμεσολαβείται κυρίως από το συμπαθητικό νευρικό σύστημα. Η οδός εκσπερμάτισης ξεκινά από το νωτιαίο αντανακλαστικό κέντρο και διαμεσολαβείται από το στέλεχος του εγκεφάλου, </w:t>
      </w:r>
      <w:r w:rsidR="00B32F4B">
        <w:rPr>
          <w:szCs w:val="22"/>
        </w:rPr>
        <w:t>το οποίο</w:t>
      </w:r>
      <w:r w:rsidR="00B32F4B" w:rsidRPr="001F3AFA">
        <w:rPr>
          <w:szCs w:val="22"/>
        </w:rPr>
        <w:t xml:space="preserve"> </w:t>
      </w:r>
      <w:r w:rsidRPr="001F3AFA">
        <w:rPr>
          <w:szCs w:val="22"/>
        </w:rPr>
        <w:t>επηρεάζεται αρχικά από πλήθος πυρήνων στον εγκέφαλο (έσω προοπτικοί και παρακοιλιακοί πυρήνες).</w:t>
      </w:r>
    </w:p>
    <w:p w:rsidR="001A2FFE" w:rsidRPr="0007023B" w:rsidRDefault="001A2FFE" w:rsidP="00DD10F5">
      <w:pPr>
        <w:rPr>
          <w:color w:val="000000"/>
          <w:szCs w:val="22"/>
        </w:rPr>
      </w:pPr>
      <w:r w:rsidRPr="001F3AFA">
        <w:rPr>
          <w:color w:val="000000"/>
          <w:szCs w:val="22"/>
        </w:rPr>
        <w:t>Ο μηχανισμός δράσης της δαποξετίνης στην πρόωρη εκσπερμάτιση θεωρείται ότι σχετίζεται με την αναστολή της νευρωνικής επαναπρόσληψης της σεροτονίνης και την επακόλουθη ενίσχυση της δράσης των νευροδιαβιβαστών στους προσυναπτικούς και μετασυναπτικούς υποδοχείς.</w:t>
      </w:r>
    </w:p>
    <w:p w:rsidR="001A2FFE" w:rsidRPr="001F3AFA" w:rsidRDefault="001A2FFE" w:rsidP="00DD10F5">
      <w:pPr>
        <w:rPr>
          <w:szCs w:val="22"/>
        </w:rPr>
      </w:pPr>
      <w:r w:rsidRPr="001F3AFA">
        <w:rPr>
          <w:szCs w:val="22"/>
        </w:rPr>
        <w:t>Στους αρουραίους, η δαποξετίνη αναστέλλει το αντανακλαστικό της έκκρισης σπέρματος δρώντας σε υπερνωτιαίο επίπεδο εντός του πλευρικού παραγιγαντοκυτταρικού πυρήνα (LPGi). Οι μεταγαγγλιακές συμπαθητικές ίνες που νευρώνουν τη σπερματοδόχο κύστη, τον σπερματικό πόρο, τον προστάτη, τους βολβουρηθρικούς μυς και τον αυχένα της κύστης προκαλούν τη συντονισμένη συστολή τους προκειμένου να επιτευχθεί η εσκπερμάτιση. Η δαποξετίνη ρυθμί</w:t>
      </w:r>
      <w:r w:rsidR="00046BB6">
        <w:rPr>
          <w:szCs w:val="22"/>
        </w:rPr>
        <w:t>ζ</w:t>
      </w:r>
      <w:r w:rsidRPr="001F3AFA">
        <w:rPr>
          <w:szCs w:val="22"/>
        </w:rPr>
        <w:t>ει το συγκεκριμένο αντανακλαστικό της εκσπερμάτισης στους αρουραίους.</w:t>
      </w:r>
    </w:p>
    <w:p w:rsidR="001A2FFE" w:rsidRPr="001F3AFA" w:rsidRDefault="001A2FFE" w:rsidP="00DD10F5">
      <w:pPr>
        <w:rPr>
          <w:szCs w:val="22"/>
        </w:rPr>
      </w:pPr>
    </w:p>
    <w:p w:rsidR="001A2FFE" w:rsidRPr="0007023B" w:rsidRDefault="001A2FFE" w:rsidP="00DD10F5">
      <w:pPr>
        <w:rPr>
          <w:szCs w:val="22"/>
          <w:u w:val="single"/>
          <w:lang w:val="en-US"/>
        </w:rPr>
      </w:pPr>
      <w:r w:rsidRPr="0011423F">
        <w:rPr>
          <w:szCs w:val="22"/>
          <w:u w:val="single"/>
        </w:rPr>
        <w:t>Κλινικές δοκιμές</w:t>
      </w:r>
    </w:p>
    <w:p w:rsidR="001A2FFE" w:rsidRPr="0007023B" w:rsidRDefault="001A2FFE" w:rsidP="00DD10F5">
      <w:pPr>
        <w:rPr>
          <w:szCs w:val="22"/>
        </w:rPr>
      </w:pPr>
      <w:r w:rsidRPr="001F3AFA">
        <w:rPr>
          <w:szCs w:val="22"/>
        </w:rPr>
        <w:t xml:space="preserve">Η αποτελεσματικότητα του Priligy στη θεραπεία της πρόωρης εκσπερμάτισης έχει τεκμηριωθεί σε πέντε διπλά τυφλές, ελεγχόμενες με εικονικό φάρμακο κλινικές </w:t>
      </w:r>
      <w:r w:rsidR="00046BB6">
        <w:rPr>
          <w:szCs w:val="22"/>
        </w:rPr>
        <w:t>δοκιμές,</w:t>
      </w:r>
      <w:r w:rsidRPr="001F3AFA">
        <w:rPr>
          <w:szCs w:val="22"/>
        </w:rPr>
        <w:t xml:space="preserve"> στις οποίες τυχαιοποιήθηκαν συνολικά 6.</w:t>
      </w:r>
      <w:r w:rsidR="00321A73">
        <w:rPr>
          <w:szCs w:val="22"/>
        </w:rPr>
        <w:t>081</w:t>
      </w:r>
      <w:r w:rsidRPr="001F3AFA">
        <w:rPr>
          <w:szCs w:val="22"/>
        </w:rPr>
        <w:t xml:space="preserve"> άτομα. Τα άτομα ήταν ηλικίας 18 ετών </w:t>
      </w:r>
      <w:r w:rsidR="00046BB6">
        <w:rPr>
          <w:szCs w:val="22"/>
        </w:rPr>
        <w:t xml:space="preserve">και άνω </w:t>
      </w:r>
      <w:r w:rsidRPr="001F3AFA">
        <w:rPr>
          <w:szCs w:val="22"/>
        </w:rPr>
        <w:t xml:space="preserve">και είχαν ιστορικό πρόωρης εκσπερμάτισης στην πλειοψηφία των </w:t>
      </w:r>
      <w:r w:rsidR="00046BB6">
        <w:rPr>
          <w:szCs w:val="22"/>
        </w:rPr>
        <w:t>περιπτώσεων απόπειρας</w:t>
      </w:r>
      <w:r w:rsidRPr="001F3AFA">
        <w:rPr>
          <w:szCs w:val="22"/>
        </w:rPr>
        <w:t xml:space="preserve"> </w:t>
      </w:r>
      <w:r w:rsidR="00046BB6">
        <w:rPr>
          <w:szCs w:val="22"/>
        </w:rPr>
        <w:t>συνεύρεσης</w:t>
      </w:r>
      <w:r w:rsidRPr="001F3AFA">
        <w:rPr>
          <w:szCs w:val="22"/>
        </w:rPr>
        <w:t xml:space="preserve"> στην εξάμηνη περίοδο που προηγήθηκε της ένταξης. Η πρόωρη εκσπερμάτιση ορίστηκε σύμφωνα με τα διαγνωστικά κριτήρια κατά DSM-IV: βραχύς χρόνος εκσπερμάτισης (</w:t>
      </w:r>
      <w:r w:rsidR="00C34A03" w:rsidRPr="001F3AFA">
        <w:rPr>
          <w:szCs w:val="22"/>
        </w:rPr>
        <w:t>ενδοκολπικ</w:t>
      </w:r>
      <w:r w:rsidR="00C34A03">
        <w:rPr>
          <w:szCs w:val="22"/>
        </w:rPr>
        <w:t>ός</w:t>
      </w:r>
      <w:r w:rsidR="00C34A03" w:rsidRPr="001F3AFA">
        <w:rPr>
          <w:szCs w:val="22"/>
        </w:rPr>
        <w:t xml:space="preserve"> </w:t>
      </w:r>
      <w:r w:rsidRPr="001F3AFA">
        <w:rPr>
          <w:szCs w:val="22"/>
        </w:rPr>
        <w:t>λανθάνων χρόνος εκσπερμάτ</w:t>
      </w:r>
      <w:r w:rsidR="00046BB6">
        <w:rPr>
          <w:szCs w:val="22"/>
        </w:rPr>
        <w:t>ι</w:t>
      </w:r>
      <w:r w:rsidRPr="001F3AFA">
        <w:rPr>
          <w:szCs w:val="22"/>
        </w:rPr>
        <w:t>σης [IELT, χρόνος από τη διείσδυση στον κόλπο έως την ενδοκολπική εκσπερμάτ</w:t>
      </w:r>
      <w:r w:rsidR="00046BB6">
        <w:rPr>
          <w:szCs w:val="22"/>
        </w:rPr>
        <w:t>ι</w:t>
      </w:r>
      <w:r w:rsidRPr="001F3AFA">
        <w:rPr>
          <w:szCs w:val="22"/>
        </w:rPr>
        <w:t>ση] ≤ 2 λεπτών, ο οποίος μετρήθηκε με χρονόμετρο σε τέσσερις μελέτες), κακός έλεγχος της εκσπερμάτισης, σημαντική δυσφορία και δυσκολία στις διαπροσωπικές σχέσεις λόγω της κατάστασης.</w:t>
      </w:r>
    </w:p>
    <w:p w:rsidR="001A2FFE" w:rsidRPr="0007023B" w:rsidRDefault="001A2FFE" w:rsidP="00DD10F5">
      <w:pPr>
        <w:rPr>
          <w:b/>
          <w:szCs w:val="22"/>
        </w:rPr>
      </w:pPr>
      <w:r w:rsidRPr="001F3AFA">
        <w:rPr>
          <w:szCs w:val="22"/>
        </w:rPr>
        <w:t>Τα άτομα με άλλες μορφές σεξουαλικής δυσλειτουργίας, συμπεριλαμβανομένης της στυτικής δυσλειτουργίας, ή αυτά που χρησιμοποιούσαν άλλες μορφές φαρμακοθεραπείας για τη θεραπεία της πρόωρης εκσπερμάτισης αποκλείστηκαν από όλες τις μελέτες.</w:t>
      </w:r>
    </w:p>
    <w:p w:rsidR="001A2FFE" w:rsidRDefault="001A2FFE" w:rsidP="00DD10F5">
      <w:pPr>
        <w:rPr>
          <w:szCs w:val="22"/>
        </w:rPr>
      </w:pPr>
      <w:r w:rsidRPr="001F3AFA">
        <w:rPr>
          <w:szCs w:val="22"/>
        </w:rPr>
        <w:t>Τα αποτελέσματα όλων των τυχαιοποιημένων μελετών ήταν συνεπή.</w:t>
      </w:r>
      <w:r w:rsidRPr="001F3AFA">
        <w:rPr>
          <w:noProof/>
          <w:szCs w:val="22"/>
        </w:rPr>
        <w:t xml:space="preserve"> </w:t>
      </w:r>
      <w:r w:rsidRPr="001F3AFA">
        <w:rPr>
          <w:szCs w:val="22"/>
        </w:rPr>
        <w:t>Η αποτελεσματικότητα καταδείχθηκε μετά από 12 εβδομάδες θεραπείας.</w:t>
      </w:r>
      <w:r w:rsidRPr="001F3AFA">
        <w:rPr>
          <w:noProof/>
          <w:szCs w:val="22"/>
        </w:rPr>
        <w:t xml:space="preserve"> </w:t>
      </w:r>
      <w:r w:rsidR="00C34A03">
        <w:rPr>
          <w:noProof/>
          <w:szCs w:val="22"/>
        </w:rPr>
        <w:t xml:space="preserve">Σε </w:t>
      </w:r>
      <w:r w:rsidR="00C34A03">
        <w:rPr>
          <w:szCs w:val="22"/>
        </w:rPr>
        <w:t>μ</w:t>
      </w:r>
      <w:r w:rsidRPr="001F3AFA">
        <w:rPr>
          <w:szCs w:val="22"/>
        </w:rPr>
        <w:t xml:space="preserve">ία μελέτη </w:t>
      </w:r>
      <w:r w:rsidR="00C34A03">
        <w:rPr>
          <w:szCs w:val="22"/>
        </w:rPr>
        <w:t>εντάχθηκαν</w:t>
      </w:r>
      <w:r w:rsidR="00C34A03" w:rsidRPr="001F3AFA">
        <w:rPr>
          <w:szCs w:val="22"/>
        </w:rPr>
        <w:t xml:space="preserve"> </w:t>
      </w:r>
      <w:r w:rsidRPr="001F3AFA">
        <w:rPr>
          <w:szCs w:val="22"/>
        </w:rPr>
        <w:t xml:space="preserve">ασθενείς τόσο εκτός όσο και εντός της Ε.Ε. και </w:t>
      </w:r>
      <w:r w:rsidR="00C34A03">
        <w:rPr>
          <w:szCs w:val="22"/>
        </w:rPr>
        <w:t>η μελέτη είχε διάρκεια</w:t>
      </w:r>
      <w:r w:rsidRPr="001F3AFA">
        <w:rPr>
          <w:szCs w:val="22"/>
        </w:rPr>
        <w:t xml:space="preserve"> 24 εβδομάδων.</w:t>
      </w:r>
      <w:r w:rsidRPr="001F3AFA">
        <w:rPr>
          <w:noProof/>
          <w:szCs w:val="22"/>
        </w:rPr>
        <w:t xml:space="preserve"> </w:t>
      </w:r>
      <w:r w:rsidRPr="001F3AFA">
        <w:rPr>
          <w:szCs w:val="22"/>
        </w:rPr>
        <w:t xml:space="preserve">Στη συγκεκριμένη μελέτη, τυχαιοποιήθηκαν 1.162 άτομα, εκ των οποίων τα 385 </w:t>
      </w:r>
      <w:r w:rsidR="004D11C6">
        <w:rPr>
          <w:szCs w:val="22"/>
        </w:rPr>
        <w:t>σε</w:t>
      </w:r>
      <w:r w:rsidRPr="001F3AFA">
        <w:rPr>
          <w:szCs w:val="22"/>
        </w:rPr>
        <w:t xml:space="preserve"> εικονικό φάρμακο, τα 388 </w:t>
      </w:r>
      <w:r w:rsidR="004D11C6">
        <w:rPr>
          <w:szCs w:val="22"/>
        </w:rPr>
        <w:t>σε</w:t>
      </w:r>
      <w:r w:rsidR="004D11C6" w:rsidRPr="001F3AFA">
        <w:rPr>
          <w:szCs w:val="22"/>
        </w:rPr>
        <w:t xml:space="preserve"> </w:t>
      </w:r>
      <w:r w:rsidRPr="001F3AFA">
        <w:rPr>
          <w:szCs w:val="22"/>
        </w:rPr>
        <w:t>30</w:t>
      </w:r>
      <w:r w:rsidR="00DC18E3">
        <w:rPr>
          <w:szCs w:val="22"/>
        </w:rPr>
        <w:t> mg</w:t>
      </w:r>
      <w:r w:rsidRPr="001F3AFA">
        <w:rPr>
          <w:szCs w:val="22"/>
        </w:rPr>
        <w:t xml:space="preserve"> Priligy σύμφωνα με τις ανάγκες και τα 389 </w:t>
      </w:r>
      <w:r w:rsidR="004D11C6">
        <w:rPr>
          <w:szCs w:val="22"/>
        </w:rPr>
        <w:t>σε</w:t>
      </w:r>
      <w:r w:rsidR="004D11C6" w:rsidRPr="001F3AFA">
        <w:rPr>
          <w:szCs w:val="22"/>
        </w:rPr>
        <w:t xml:space="preserve"> </w:t>
      </w:r>
      <w:r w:rsidRPr="001F3AFA">
        <w:rPr>
          <w:szCs w:val="22"/>
        </w:rPr>
        <w:t>60</w:t>
      </w:r>
      <w:r w:rsidR="00DC18E3">
        <w:rPr>
          <w:szCs w:val="22"/>
        </w:rPr>
        <w:t> mg</w:t>
      </w:r>
      <w:r w:rsidRPr="001F3AFA">
        <w:rPr>
          <w:szCs w:val="22"/>
        </w:rPr>
        <w:t xml:space="preserve"> Priligy σύμφωνα με τις ανάγκες.</w:t>
      </w:r>
      <w:r w:rsidRPr="001F3AFA">
        <w:rPr>
          <w:noProof/>
          <w:szCs w:val="22"/>
        </w:rPr>
        <w:t xml:space="preserve"> </w:t>
      </w:r>
      <w:r w:rsidR="004D11C6">
        <w:rPr>
          <w:szCs w:val="22"/>
        </w:rPr>
        <w:t xml:space="preserve">Ο μέσος όρος του μέσου και του διάμεσου </w:t>
      </w:r>
      <w:r w:rsidR="004D11C6">
        <w:rPr>
          <w:szCs w:val="22"/>
          <w:lang w:val="en-US"/>
        </w:rPr>
        <w:t>IELT</w:t>
      </w:r>
      <w:r w:rsidR="004D11C6">
        <w:rPr>
          <w:szCs w:val="22"/>
        </w:rPr>
        <w:t xml:space="preserve"> στο τέλος της μελέτης παρουσιάζονται στον Π</w:t>
      </w:r>
      <w:r w:rsidR="008F2DD2">
        <w:rPr>
          <w:szCs w:val="22"/>
        </w:rPr>
        <w:t xml:space="preserve">ίνακα 2 στη συνέχεια και η συγκεντρωτική κατανομή των ατόμων που πέτυχαν τουλάχιστον ένα συγκεκριμένο επίπεδο στο μέσο όρο του </w:t>
      </w:r>
      <w:r w:rsidR="008F2DD2">
        <w:rPr>
          <w:szCs w:val="22"/>
          <w:lang w:val="en-US"/>
        </w:rPr>
        <w:t>IELT</w:t>
      </w:r>
      <w:r w:rsidR="008F2DD2">
        <w:rPr>
          <w:szCs w:val="22"/>
        </w:rPr>
        <w:t xml:space="preserve"> στο τέλος της μελέτης παρουσιάζεται στον Πίνακα 3 στη συνέχεια. Άλλες μελέτες και συγκεντρωτική ανάλυση των δεδομένων την εβδομάδα 12 έδωσαν συμβατά αποτελέσματα.</w:t>
      </w:r>
    </w:p>
    <w:p w:rsidR="008F2DD2" w:rsidRDefault="008F2DD2" w:rsidP="00DD10F5">
      <w:pPr>
        <w:rPr>
          <w:szCs w:val="22"/>
          <w:lang w:val="en-US"/>
        </w:rPr>
      </w:pPr>
    </w:p>
    <w:p w:rsidR="0007023B" w:rsidRDefault="0007023B" w:rsidP="00DD10F5">
      <w:pPr>
        <w:rPr>
          <w:szCs w:val="22"/>
          <w:lang w:val="en-US"/>
        </w:rPr>
      </w:pPr>
    </w:p>
    <w:p w:rsidR="0007023B" w:rsidRPr="0007023B" w:rsidRDefault="0007023B" w:rsidP="00DD10F5">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323"/>
        <w:gridCol w:w="2322"/>
        <w:gridCol w:w="2322"/>
        <w:gridCol w:w="2323"/>
      </w:tblGrid>
      <w:tr w:rsidR="006F6037" w:rsidRPr="0042781D">
        <w:tc>
          <w:tcPr>
            <w:tcW w:w="9301" w:type="dxa"/>
            <w:gridSpan w:val="4"/>
            <w:tcBorders>
              <w:top w:val="nil"/>
              <w:left w:val="nil"/>
              <w:right w:val="nil"/>
            </w:tcBorders>
            <w:vAlign w:val="center"/>
          </w:tcPr>
          <w:p w:rsidR="006F6037" w:rsidRPr="0042781D" w:rsidRDefault="0042781D" w:rsidP="0042781D">
            <w:pPr>
              <w:rPr>
                <w:b/>
                <w:bCs/>
                <w:noProof/>
                <w:szCs w:val="22"/>
              </w:rPr>
            </w:pPr>
            <w:r>
              <w:rPr>
                <w:b/>
                <w:bCs/>
                <w:noProof/>
                <w:szCs w:val="22"/>
              </w:rPr>
              <w:t>Πίνακας</w:t>
            </w:r>
            <w:r w:rsidR="006F6037" w:rsidRPr="0042781D">
              <w:rPr>
                <w:b/>
                <w:bCs/>
                <w:noProof/>
                <w:szCs w:val="22"/>
              </w:rPr>
              <w:t xml:space="preserve"> 2:</w:t>
            </w:r>
            <w:r w:rsidR="006F6037" w:rsidRPr="0042781D">
              <w:rPr>
                <w:b/>
                <w:bCs/>
                <w:noProof/>
                <w:szCs w:val="22"/>
              </w:rPr>
              <w:tab/>
            </w:r>
            <w:r>
              <w:rPr>
                <w:bCs/>
                <w:noProof/>
                <w:szCs w:val="22"/>
              </w:rPr>
              <w:t>Μέσος</w:t>
            </w:r>
            <w:r w:rsidRPr="0042781D">
              <w:rPr>
                <w:bCs/>
                <w:noProof/>
                <w:szCs w:val="22"/>
              </w:rPr>
              <w:t xml:space="preserve"> </w:t>
            </w:r>
            <w:r>
              <w:rPr>
                <w:bCs/>
                <w:noProof/>
                <w:szCs w:val="22"/>
              </w:rPr>
              <w:t>όρος</w:t>
            </w:r>
            <w:r w:rsidRPr="0042781D">
              <w:rPr>
                <w:bCs/>
                <w:noProof/>
                <w:szCs w:val="22"/>
              </w:rPr>
              <w:t xml:space="preserve"> </w:t>
            </w:r>
            <w:r>
              <w:rPr>
                <w:bCs/>
                <w:noProof/>
                <w:szCs w:val="22"/>
              </w:rPr>
              <w:t>μέσου</w:t>
            </w:r>
            <w:r w:rsidRPr="0042781D">
              <w:rPr>
                <w:bCs/>
                <w:noProof/>
                <w:szCs w:val="22"/>
              </w:rPr>
              <w:t xml:space="preserve"> </w:t>
            </w:r>
            <w:r>
              <w:rPr>
                <w:bCs/>
                <w:noProof/>
                <w:szCs w:val="22"/>
              </w:rPr>
              <w:t>και</w:t>
            </w:r>
            <w:r w:rsidRPr="0042781D">
              <w:rPr>
                <w:bCs/>
                <w:noProof/>
                <w:szCs w:val="22"/>
              </w:rPr>
              <w:t xml:space="preserve"> </w:t>
            </w:r>
            <w:r>
              <w:rPr>
                <w:bCs/>
                <w:noProof/>
                <w:szCs w:val="22"/>
              </w:rPr>
              <w:t>διάμεσου</w:t>
            </w:r>
            <w:r w:rsidRPr="0042781D">
              <w:rPr>
                <w:bCs/>
                <w:noProof/>
                <w:szCs w:val="22"/>
              </w:rPr>
              <w:t xml:space="preserve"> </w:t>
            </w:r>
            <w:r>
              <w:rPr>
                <w:bCs/>
                <w:noProof/>
                <w:szCs w:val="22"/>
                <w:lang w:val="en-US"/>
              </w:rPr>
              <w:t>IELT</w:t>
            </w:r>
            <w:r w:rsidRPr="0042781D">
              <w:rPr>
                <w:bCs/>
                <w:noProof/>
                <w:szCs w:val="22"/>
              </w:rPr>
              <w:t xml:space="preserve"> </w:t>
            </w:r>
            <w:r>
              <w:rPr>
                <w:bCs/>
                <w:noProof/>
                <w:szCs w:val="22"/>
              </w:rPr>
              <w:t>με</w:t>
            </w:r>
            <w:r w:rsidRPr="0042781D">
              <w:rPr>
                <w:bCs/>
                <w:noProof/>
                <w:szCs w:val="22"/>
              </w:rPr>
              <w:t xml:space="preserve"> </w:t>
            </w:r>
            <w:r>
              <w:rPr>
                <w:bCs/>
                <w:noProof/>
                <w:szCs w:val="22"/>
              </w:rPr>
              <w:t>τη</w:t>
            </w:r>
            <w:r w:rsidRPr="0042781D">
              <w:rPr>
                <w:bCs/>
                <w:noProof/>
                <w:szCs w:val="22"/>
              </w:rPr>
              <w:t xml:space="preserve"> </w:t>
            </w:r>
            <w:r>
              <w:rPr>
                <w:bCs/>
                <w:noProof/>
                <w:szCs w:val="22"/>
              </w:rPr>
              <w:t>μέθοδο</w:t>
            </w:r>
            <w:r w:rsidRPr="0042781D">
              <w:rPr>
                <w:bCs/>
                <w:noProof/>
                <w:szCs w:val="22"/>
              </w:rPr>
              <w:t xml:space="preserve"> </w:t>
            </w:r>
            <w:r>
              <w:rPr>
                <w:bCs/>
                <w:noProof/>
                <w:szCs w:val="22"/>
              </w:rPr>
              <w:t>ελαχίστων τετραγώνων στο τέλος της μελέτης</w:t>
            </w:r>
            <w:r w:rsidR="006F6037" w:rsidRPr="0042781D">
              <w:rPr>
                <w:bCs/>
                <w:noProof/>
                <w:szCs w:val="22"/>
              </w:rPr>
              <w:t>*</w:t>
            </w:r>
          </w:p>
        </w:tc>
      </w:tr>
      <w:tr w:rsidR="006F6037" w:rsidRPr="006F6037">
        <w:tc>
          <w:tcPr>
            <w:tcW w:w="2325" w:type="dxa"/>
            <w:vAlign w:val="center"/>
          </w:tcPr>
          <w:p w:rsidR="006F6037" w:rsidRPr="006F6037" w:rsidRDefault="0042781D" w:rsidP="006F6037">
            <w:pPr>
              <w:jc w:val="center"/>
              <w:rPr>
                <w:b/>
                <w:bCs/>
                <w:noProof/>
                <w:szCs w:val="22"/>
                <w:lang w:val="en-GB"/>
              </w:rPr>
            </w:pPr>
            <w:r>
              <w:rPr>
                <w:b/>
                <w:bCs/>
                <w:noProof/>
                <w:szCs w:val="22"/>
              </w:rPr>
              <w:t>Μέσος όρος</w:t>
            </w:r>
            <w:r w:rsidR="006F6037" w:rsidRPr="006F6037">
              <w:rPr>
                <w:b/>
                <w:bCs/>
                <w:noProof/>
                <w:szCs w:val="22"/>
                <w:lang w:val="en-GB"/>
              </w:rPr>
              <w:t xml:space="preserve"> IELT</w:t>
            </w:r>
          </w:p>
        </w:tc>
        <w:tc>
          <w:tcPr>
            <w:tcW w:w="2325" w:type="dxa"/>
            <w:vAlign w:val="center"/>
          </w:tcPr>
          <w:p w:rsidR="006F6037" w:rsidRPr="0042781D" w:rsidRDefault="0042781D" w:rsidP="006F6037">
            <w:pPr>
              <w:jc w:val="center"/>
              <w:rPr>
                <w:b/>
                <w:bCs/>
                <w:noProof/>
                <w:szCs w:val="22"/>
              </w:rPr>
            </w:pPr>
            <w:r>
              <w:rPr>
                <w:b/>
                <w:bCs/>
                <w:noProof/>
                <w:szCs w:val="22"/>
              </w:rPr>
              <w:t>Εικονικό φάρμακο</w:t>
            </w:r>
          </w:p>
        </w:tc>
        <w:tc>
          <w:tcPr>
            <w:tcW w:w="2325" w:type="dxa"/>
            <w:vAlign w:val="center"/>
          </w:tcPr>
          <w:p w:rsidR="006F6037" w:rsidRPr="006F6037" w:rsidRDefault="006F6037" w:rsidP="006F6037">
            <w:pPr>
              <w:jc w:val="center"/>
              <w:rPr>
                <w:b/>
                <w:bCs/>
                <w:noProof/>
                <w:szCs w:val="22"/>
                <w:lang w:val="en-GB"/>
              </w:rPr>
            </w:pPr>
            <w:r w:rsidRPr="006F6037">
              <w:rPr>
                <w:b/>
                <w:bCs/>
                <w:noProof/>
                <w:szCs w:val="22"/>
                <w:lang w:val="en-GB"/>
              </w:rPr>
              <w:t>Priligy 30 mg</w:t>
            </w:r>
          </w:p>
        </w:tc>
        <w:tc>
          <w:tcPr>
            <w:tcW w:w="2326" w:type="dxa"/>
            <w:vAlign w:val="center"/>
          </w:tcPr>
          <w:p w:rsidR="006F6037" w:rsidRPr="006F6037" w:rsidRDefault="006F6037" w:rsidP="006F6037">
            <w:pPr>
              <w:jc w:val="center"/>
              <w:rPr>
                <w:b/>
                <w:bCs/>
                <w:noProof/>
                <w:szCs w:val="22"/>
                <w:lang w:val="en-GB"/>
              </w:rPr>
            </w:pPr>
            <w:r w:rsidRPr="006F6037">
              <w:rPr>
                <w:b/>
                <w:bCs/>
                <w:noProof/>
                <w:szCs w:val="22"/>
                <w:lang w:val="en-GB"/>
              </w:rPr>
              <w:t>Priligy 60 mg</w:t>
            </w:r>
          </w:p>
        </w:tc>
      </w:tr>
      <w:tr w:rsidR="006F6037" w:rsidRPr="006F6037">
        <w:tc>
          <w:tcPr>
            <w:tcW w:w="2325" w:type="dxa"/>
            <w:vAlign w:val="center"/>
          </w:tcPr>
          <w:p w:rsidR="006F6037" w:rsidRPr="00997922" w:rsidRDefault="00997922" w:rsidP="006F6037">
            <w:pPr>
              <w:jc w:val="center"/>
              <w:rPr>
                <w:bCs/>
                <w:noProof/>
                <w:szCs w:val="22"/>
              </w:rPr>
            </w:pPr>
            <w:r>
              <w:rPr>
                <w:bCs/>
                <w:noProof/>
                <w:szCs w:val="22"/>
              </w:rPr>
              <w:t>Διάμεση τιμή</w:t>
            </w:r>
          </w:p>
        </w:tc>
        <w:tc>
          <w:tcPr>
            <w:tcW w:w="2325" w:type="dxa"/>
            <w:vAlign w:val="center"/>
          </w:tcPr>
          <w:p w:rsidR="006F6037" w:rsidRPr="0042781D" w:rsidRDefault="006F6037" w:rsidP="0042781D">
            <w:pPr>
              <w:jc w:val="center"/>
              <w:rPr>
                <w:bCs/>
                <w:noProof/>
                <w:szCs w:val="22"/>
              </w:rPr>
            </w:pPr>
            <w:r w:rsidRPr="006F6037">
              <w:rPr>
                <w:bCs/>
                <w:noProof/>
                <w:szCs w:val="22"/>
                <w:lang w:val="en-GB"/>
              </w:rPr>
              <w:t>1</w:t>
            </w:r>
            <w:r w:rsidR="0042781D">
              <w:rPr>
                <w:bCs/>
                <w:noProof/>
                <w:szCs w:val="22"/>
              </w:rPr>
              <w:t>,</w:t>
            </w:r>
            <w:r w:rsidRPr="006F6037">
              <w:rPr>
                <w:bCs/>
                <w:noProof/>
                <w:szCs w:val="22"/>
                <w:lang w:val="en-GB"/>
              </w:rPr>
              <w:t xml:space="preserve">05 </w:t>
            </w:r>
            <w:r w:rsidR="0042781D">
              <w:rPr>
                <w:bCs/>
                <w:noProof/>
                <w:szCs w:val="22"/>
              </w:rPr>
              <w:t>λεπτά</w:t>
            </w:r>
          </w:p>
        </w:tc>
        <w:tc>
          <w:tcPr>
            <w:tcW w:w="2325" w:type="dxa"/>
            <w:vAlign w:val="center"/>
          </w:tcPr>
          <w:p w:rsidR="006F6037" w:rsidRPr="0042781D" w:rsidRDefault="006F6037" w:rsidP="0042781D">
            <w:pPr>
              <w:jc w:val="center"/>
              <w:rPr>
                <w:bCs/>
                <w:noProof/>
                <w:szCs w:val="22"/>
              </w:rPr>
            </w:pPr>
            <w:r w:rsidRPr="006F6037">
              <w:rPr>
                <w:bCs/>
                <w:noProof/>
                <w:szCs w:val="22"/>
                <w:lang w:val="en-GB"/>
              </w:rPr>
              <w:t>1</w:t>
            </w:r>
            <w:r w:rsidR="0042781D">
              <w:rPr>
                <w:bCs/>
                <w:noProof/>
                <w:szCs w:val="22"/>
              </w:rPr>
              <w:t>,</w:t>
            </w:r>
            <w:r w:rsidRPr="006F6037">
              <w:rPr>
                <w:bCs/>
                <w:noProof/>
                <w:szCs w:val="22"/>
                <w:lang w:val="en-GB"/>
              </w:rPr>
              <w:t xml:space="preserve">72 </w:t>
            </w:r>
            <w:r w:rsidR="0042781D">
              <w:rPr>
                <w:bCs/>
                <w:noProof/>
                <w:szCs w:val="22"/>
              </w:rPr>
              <w:t>λεπτά</w:t>
            </w:r>
          </w:p>
        </w:tc>
        <w:tc>
          <w:tcPr>
            <w:tcW w:w="2326" w:type="dxa"/>
            <w:vAlign w:val="center"/>
          </w:tcPr>
          <w:p w:rsidR="006F6037" w:rsidRPr="0042781D" w:rsidRDefault="006F6037" w:rsidP="0042781D">
            <w:pPr>
              <w:jc w:val="center"/>
              <w:rPr>
                <w:bCs/>
                <w:noProof/>
                <w:szCs w:val="22"/>
              </w:rPr>
            </w:pPr>
            <w:r w:rsidRPr="006F6037">
              <w:rPr>
                <w:bCs/>
                <w:noProof/>
                <w:szCs w:val="22"/>
                <w:lang w:val="en-GB"/>
              </w:rPr>
              <w:t>1</w:t>
            </w:r>
            <w:r w:rsidR="0042781D">
              <w:rPr>
                <w:bCs/>
                <w:noProof/>
                <w:szCs w:val="22"/>
              </w:rPr>
              <w:t>,</w:t>
            </w:r>
            <w:r w:rsidRPr="006F6037">
              <w:rPr>
                <w:bCs/>
                <w:noProof/>
                <w:szCs w:val="22"/>
                <w:lang w:val="en-GB"/>
              </w:rPr>
              <w:t xml:space="preserve">91 </w:t>
            </w:r>
            <w:r w:rsidR="0042781D">
              <w:rPr>
                <w:bCs/>
                <w:noProof/>
                <w:szCs w:val="22"/>
              </w:rPr>
              <w:t>λεπτά</w:t>
            </w:r>
          </w:p>
        </w:tc>
      </w:tr>
      <w:tr w:rsidR="006F6037" w:rsidRPr="006F6037">
        <w:tc>
          <w:tcPr>
            <w:tcW w:w="2325" w:type="dxa"/>
            <w:vAlign w:val="center"/>
          </w:tcPr>
          <w:p w:rsidR="006F6037" w:rsidRPr="00997922" w:rsidRDefault="00997922" w:rsidP="006F6037">
            <w:pPr>
              <w:jc w:val="center"/>
              <w:rPr>
                <w:bCs/>
                <w:noProof/>
                <w:szCs w:val="22"/>
              </w:rPr>
            </w:pPr>
            <w:r>
              <w:rPr>
                <w:bCs/>
                <w:noProof/>
                <w:szCs w:val="22"/>
              </w:rPr>
              <w:t>Διαφορά από το εικονικό φάρμακο</w:t>
            </w:r>
            <w:r w:rsidR="006F6037" w:rsidRPr="00997922">
              <w:rPr>
                <w:bCs/>
                <w:noProof/>
                <w:szCs w:val="22"/>
              </w:rPr>
              <w:t xml:space="preserve"> [95% </w:t>
            </w:r>
            <w:r w:rsidR="006F6037" w:rsidRPr="006F6037">
              <w:rPr>
                <w:bCs/>
                <w:noProof/>
                <w:szCs w:val="22"/>
                <w:lang w:val="en-GB"/>
              </w:rPr>
              <w:t>CI</w:t>
            </w:r>
            <w:r w:rsidR="006F6037" w:rsidRPr="00997922">
              <w:rPr>
                <w:bCs/>
                <w:noProof/>
                <w:szCs w:val="22"/>
              </w:rPr>
              <w:t>]</w:t>
            </w:r>
          </w:p>
        </w:tc>
        <w:tc>
          <w:tcPr>
            <w:tcW w:w="2325" w:type="dxa"/>
            <w:vAlign w:val="center"/>
          </w:tcPr>
          <w:p w:rsidR="006F6037" w:rsidRPr="00997922" w:rsidRDefault="006F6037" w:rsidP="006F6037">
            <w:pPr>
              <w:jc w:val="center"/>
              <w:rPr>
                <w:bCs/>
                <w:noProof/>
                <w:szCs w:val="22"/>
              </w:rPr>
            </w:pP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0</w:t>
            </w:r>
            <w:r w:rsidR="0042781D">
              <w:rPr>
                <w:bCs/>
                <w:noProof/>
                <w:szCs w:val="22"/>
              </w:rPr>
              <w:t>,</w:t>
            </w:r>
            <w:r w:rsidRPr="006F6037">
              <w:rPr>
                <w:bCs/>
                <w:noProof/>
                <w:szCs w:val="22"/>
                <w:lang w:val="en-GB"/>
              </w:rPr>
              <w:t xml:space="preserve">6 </w:t>
            </w:r>
            <w:r w:rsidR="0042781D">
              <w:rPr>
                <w:bCs/>
                <w:noProof/>
                <w:szCs w:val="22"/>
              </w:rPr>
              <w:t>λεπτά</w:t>
            </w:r>
            <w:r w:rsidRPr="006F6037">
              <w:rPr>
                <w:bCs/>
                <w:noProof/>
                <w:szCs w:val="22"/>
                <w:lang w:val="en-GB"/>
              </w:rPr>
              <w:t>**</w:t>
            </w:r>
          </w:p>
          <w:p w:rsidR="006F6037" w:rsidRPr="006F6037" w:rsidRDefault="006F6037" w:rsidP="0042781D">
            <w:pPr>
              <w:jc w:val="center"/>
              <w:rPr>
                <w:bCs/>
                <w:noProof/>
                <w:szCs w:val="22"/>
                <w:lang w:val="en-GB"/>
              </w:rPr>
            </w:pPr>
            <w:r w:rsidRPr="006F6037">
              <w:rPr>
                <w:bCs/>
                <w:noProof/>
                <w:szCs w:val="22"/>
                <w:lang w:val="en-GB"/>
              </w:rPr>
              <w:t>[0</w:t>
            </w:r>
            <w:r w:rsidR="0042781D">
              <w:rPr>
                <w:bCs/>
                <w:noProof/>
                <w:szCs w:val="22"/>
              </w:rPr>
              <w:t>,</w:t>
            </w:r>
            <w:r w:rsidRPr="006F6037">
              <w:rPr>
                <w:bCs/>
                <w:noProof/>
                <w:szCs w:val="22"/>
                <w:lang w:val="en-GB"/>
              </w:rPr>
              <w:t>37, 0</w:t>
            </w:r>
            <w:r w:rsidR="0042781D">
              <w:rPr>
                <w:bCs/>
                <w:noProof/>
                <w:szCs w:val="22"/>
              </w:rPr>
              <w:t>,</w:t>
            </w:r>
            <w:r w:rsidRPr="006F6037">
              <w:rPr>
                <w:bCs/>
                <w:noProof/>
                <w:szCs w:val="22"/>
                <w:lang w:val="en-GB"/>
              </w:rPr>
              <w:t>72]</w:t>
            </w:r>
          </w:p>
        </w:tc>
        <w:tc>
          <w:tcPr>
            <w:tcW w:w="2326" w:type="dxa"/>
            <w:vAlign w:val="center"/>
          </w:tcPr>
          <w:p w:rsidR="006F6037" w:rsidRPr="006F6037" w:rsidRDefault="006F6037" w:rsidP="006F6037">
            <w:pPr>
              <w:jc w:val="center"/>
              <w:rPr>
                <w:bCs/>
                <w:noProof/>
                <w:szCs w:val="22"/>
                <w:lang w:val="en-GB"/>
              </w:rPr>
            </w:pPr>
            <w:r w:rsidRPr="006F6037">
              <w:rPr>
                <w:bCs/>
                <w:noProof/>
                <w:szCs w:val="22"/>
                <w:lang w:val="en-GB"/>
              </w:rPr>
              <w:t>0</w:t>
            </w:r>
            <w:r w:rsidR="0042781D">
              <w:rPr>
                <w:bCs/>
                <w:noProof/>
                <w:szCs w:val="22"/>
              </w:rPr>
              <w:t>,</w:t>
            </w:r>
            <w:r w:rsidRPr="006F6037">
              <w:rPr>
                <w:bCs/>
                <w:noProof/>
                <w:szCs w:val="22"/>
                <w:lang w:val="en-GB"/>
              </w:rPr>
              <w:t xml:space="preserve">9 </w:t>
            </w:r>
            <w:r w:rsidR="0042781D">
              <w:rPr>
                <w:bCs/>
                <w:noProof/>
                <w:szCs w:val="22"/>
              </w:rPr>
              <w:t>λεπτά</w:t>
            </w:r>
            <w:r w:rsidRPr="006F6037">
              <w:rPr>
                <w:bCs/>
                <w:noProof/>
                <w:szCs w:val="22"/>
                <w:lang w:val="en-GB"/>
              </w:rPr>
              <w:t>**</w:t>
            </w:r>
          </w:p>
          <w:p w:rsidR="006F6037" w:rsidRPr="006F6037" w:rsidRDefault="006F6037" w:rsidP="0042781D">
            <w:pPr>
              <w:jc w:val="center"/>
              <w:rPr>
                <w:bCs/>
                <w:noProof/>
                <w:szCs w:val="22"/>
                <w:lang w:val="en-GB"/>
              </w:rPr>
            </w:pPr>
            <w:r w:rsidRPr="006F6037">
              <w:rPr>
                <w:bCs/>
                <w:noProof/>
                <w:szCs w:val="22"/>
                <w:lang w:val="en-GB"/>
              </w:rPr>
              <w:t>[0</w:t>
            </w:r>
            <w:r w:rsidR="0042781D">
              <w:rPr>
                <w:bCs/>
                <w:noProof/>
                <w:szCs w:val="22"/>
              </w:rPr>
              <w:t>,</w:t>
            </w:r>
            <w:r w:rsidRPr="006F6037">
              <w:rPr>
                <w:bCs/>
                <w:noProof/>
                <w:szCs w:val="22"/>
                <w:lang w:val="en-GB"/>
              </w:rPr>
              <w:t>66, 1</w:t>
            </w:r>
            <w:r w:rsidR="0042781D">
              <w:rPr>
                <w:bCs/>
                <w:noProof/>
                <w:szCs w:val="22"/>
              </w:rPr>
              <w:t>,</w:t>
            </w:r>
            <w:r w:rsidRPr="006F6037">
              <w:rPr>
                <w:bCs/>
                <w:noProof/>
                <w:szCs w:val="22"/>
                <w:lang w:val="en-GB"/>
              </w:rPr>
              <w:t>06]</w:t>
            </w:r>
          </w:p>
        </w:tc>
      </w:tr>
      <w:tr w:rsidR="006F6037" w:rsidRPr="006F6037">
        <w:tc>
          <w:tcPr>
            <w:tcW w:w="2325" w:type="dxa"/>
            <w:vAlign w:val="center"/>
          </w:tcPr>
          <w:p w:rsidR="006F6037" w:rsidRPr="00997922" w:rsidRDefault="00997922" w:rsidP="006F6037">
            <w:pPr>
              <w:jc w:val="center"/>
              <w:rPr>
                <w:bCs/>
                <w:noProof/>
                <w:szCs w:val="22"/>
              </w:rPr>
            </w:pPr>
            <w:r>
              <w:rPr>
                <w:bCs/>
                <w:noProof/>
                <w:szCs w:val="22"/>
              </w:rPr>
              <w:t>Μέση τιμή με τη μέθοδο ελαχίστων τετραγώνων</w:t>
            </w:r>
          </w:p>
        </w:tc>
        <w:tc>
          <w:tcPr>
            <w:tcW w:w="2325" w:type="dxa"/>
            <w:vAlign w:val="center"/>
          </w:tcPr>
          <w:p w:rsidR="006F6037" w:rsidRPr="0042781D" w:rsidRDefault="006F6037" w:rsidP="0042781D">
            <w:pPr>
              <w:jc w:val="center"/>
              <w:rPr>
                <w:bCs/>
                <w:noProof/>
                <w:szCs w:val="22"/>
              </w:rPr>
            </w:pPr>
            <w:r w:rsidRPr="006F6037">
              <w:rPr>
                <w:bCs/>
                <w:noProof/>
                <w:szCs w:val="22"/>
                <w:lang w:val="en-GB"/>
              </w:rPr>
              <w:t>1</w:t>
            </w:r>
            <w:r w:rsidR="0042781D">
              <w:rPr>
                <w:bCs/>
                <w:noProof/>
                <w:szCs w:val="22"/>
              </w:rPr>
              <w:t>,</w:t>
            </w:r>
            <w:r w:rsidRPr="006F6037">
              <w:rPr>
                <w:bCs/>
                <w:noProof/>
                <w:szCs w:val="22"/>
                <w:lang w:val="en-GB"/>
              </w:rPr>
              <w:t xml:space="preserve">7 </w:t>
            </w:r>
            <w:r w:rsidR="0042781D">
              <w:rPr>
                <w:bCs/>
                <w:noProof/>
                <w:szCs w:val="22"/>
              </w:rPr>
              <w:t>λεπτά</w:t>
            </w:r>
          </w:p>
        </w:tc>
        <w:tc>
          <w:tcPr>
            <w:tcW w:w="2325" w:type="dxa"/>
            <w:vAlign w:val="center"/>
          </w:tcPr>
          <w:p w:rsidR="006F6037" w:rsidRPr="0042781D" w:rsidRDefault="006F6037" w:rsidP="0042781D">
            <w:pPr>
              <w:jc w:val="center"/>
              <w:rPr>
                <w:bCs/>
                <w:noProof/>
                <w:szCs w:val="22"/>
              </w:rPr>
            </w:pPr>
            <w:r w:rsidRPr="006F6037">
              <w:rPr>
                <w:bCs/>
                <w:noProof/>
                <w:szCs w:val="22"/>
                <w:lang w:val="en-GB"/>
              </w:rPr>
              <w:t>2</w:t>
            </w:r>
            <w:r w:rsidR="0042781D">
              <w:rPr>
                <w:bCs/>
                <w:noProof/>
                <w:szCs w:val="22"/>
              </w:rPr>
              <w:t>,</w:t>
            </w:r>
            <w:r w:rsidRPr="006F6037">
              <w:rPr>
                <w:bCs/>
                <w:noProof/>
                <w:szCs w:val="22"/>
                <w:lang w:val="en-GB"/>
              </w:rPr>
              <w:t xml:space="preserve">9 </w:t>
            </w:r>
            <w:r w:rsidR="0042781D">
              <w:rPr>
                <w:bCs/>
                <w:noProof/>
                <w:szCs w:val="22"/>
              </w:rPr>
              <w:t>λεπτά</w:t>
            </w:r>
          </w:p>
        </w:tc>
        <w:tc>
          <w:tcPr>
            <w:tcW w:w="2326" w:type="dxa"/>
            <w:vAlign w:val="center"/>
          </w:tcPr>
          <w:p w:rsidR="006F6037" w:rsidRPr="0042781D" w:rsidRDefault="006F6037" w:rsidP="0042781D">
            <w:pPr>
              <w:jc w:val="center"/>
              <w:rPr>
                <w:bCs/>
                <w:noProof/>
                <w:szCs w:val="22"/>
              </w:rPr>
            </w:pPr>
            <w:r w:rsidRPr="006F6037">
              <w:rPr>
                <w:bCs/>
                <w:noProof/>
                <w:szCs w:val="22"/>
                <w:lang w:val="en-GB"/>
              </w:rPr>
              <w:t>3</w:t>
            </w:r>
            <w:r w:rsidR="0042781D">
              <w:rPr>
                <w:bCs/>
                <w:noProof/>
                <w:szCs w:val="22"/>
              </w:rPr>
              <w:t>,</w:t>
            </w:r>
            <w:r w:rsidRPr="006F6037">
              <w:rPr>
                <w:bCs/>
                <w:noProof/>
                <w:szCs w:val="22"/>
                <w:lang w:val="en-GB"/>
              </w:rPr>
              <w:t xml:space="preserve">3 </w:t>
            </w:r>
            <w:r w:rsidR="0042781D">
              <w:rPr>
                <w:bCs/>
                <w:noProof/>
                <w:szCs w:val="22"/>
              </w:rPr>
              <w:t>λεπτά</w:t>
            </w:r>
          </w:p>
        </w:tc>
      </w:tr>
      <w:tr w:rsidR="006F6037" w:rsidRPr="006F6037">
        <w:tc>
          <w:tcPr>
            <w:tcW w:w="2325" w:type="dxa"/>
            <w:tcBorders>
              <w:bottom w:val="single" w:sz="4" w:space="0" w:color="auto"/>
            </w:tcBorders>
            <w:vAlign w:val="center"/>
          </w:tcPr>
          <w:p w:rsidR="006F6037" w:rsidRPr="00997922" w:rsidRDefault="00997922" w:rsidP="006F6037">
            <w:pPr>
              <w:jc w:val="center"/>
              <w:rPr>
                <w:bCs/>
                <w:noProof/>
                <w:szCs w:val="22"/>
              </w:rPr>
            </w:pPr>
            <w:r>
              <w:rPr>
                <w:bCs/>
                <w:noProof/>
                <w:szCs w:val="22"/>
              </w:rPr>
              <w:t>Διαφορά από το εικονικό φάρμακο</w:t>
            </w:r>
            <w:r w:rsidR="006F6037" w:rsidRPr="00997922">
              <w:rPr>
                <w:bCs/>
                <w:noProof/>
                <w:szCs w:val="22"/>
              </w:rPr>
              <w:t xml:space="preserve"> [95% </w:t>
            </w:r>
            <w:r w:rsidR="006F6037" w:rsidRPr="006F6037">
              <w:rPr>
                <w:bCs/>
                <w:noProof/>
                <w:szCs w:val="22"/>
                <w:lang w:val="en-GB"/>
              </w:rPr>
              <w:t>CI</w:t>
            </w:r>
            <w:r w:rsidR="006F6037" w:rsidRPr="00997922">
              <w:rPr>
                <w:bCs/>
                <w:noProof/>
                <w:szCs w:val="22"/>
              </w:rPr>
              <w:t>]</w:t>
            </w:r>
          </w:p>
        </w:tc>
        <w:tc>
          <w:tcPr>
            <w:tcW w:w="2325" w:type="dxa"/>
            <w:tcBorders>
              <w:bottom w:val="single" w:sz="4" w:space="0" w:color="auto"/>
            </w:tcBorders>
            <w:vAlign w:val="center"/>
          </w:tcPr>
          <w:p w:rsidR="006F6037" w:rsidRPr="00997922" w:rsidRDefault="006F6037" w:rsidP="006F6037">
            <w:pPr>
              <w:jc w:val="center"/>
              <w:rPr>
                <w:bCs/>
                <w:noProof/>
                <w:szCs w:val="22"/>
              </w:rPr>
            </w:pPr>
          </w:p>
        </w:tc>
        <w:tc>
          <w:tcPr>
            <w:tcW w:w="2325" w:type="dxa"/>
            <w:tcBorders>
              <w:bottom w:val="single" w:sz="4" w:space="0" w:color="auto"/>
            </w:tcBorders>
            <w:vAlign w:val="center"/>
          </w:tcPr>
          <w:p w:rsidR="006F6037" w:rsidRPr="006F6037" w:rsidRDefault="006F6037" w:rsidP="006F6037">
            <w:pPr>
              <w:jc w:val="center"/>
              <w:rPr>
                <w:bCs/>
                <w:noProof/>
                <w:szCs w:val="22"/>
                <w:lang w:val="en-GB"/>
              </w:rPr>
            </w:pPr>
            <w:r w:rsidRPr="006F6037">
              <w:rPr>
                <w:bCs/>
                <w:noProof/>
                <w:szCs w:val="22"/>
                <w:lang w:val="en-GB"/>
              </w:rPr>
              <w:t>1</w:t>
            </w:r>
            <w:r w:rsidR="0042781D">
              <w:rPr>
                <w:bCs/>
                <w:noProof/>
                <w:szCs w:val="22"/>
              </w:rPr>
              <w:t>,</w:t>
            </w:r>
            <w:r w:rsidRPr="006F6037">
              <w:rPr>
                <w:bCs/>
                <w:noProof/>
                <w:szCs w:val="22"/>
                <w:lang w:val="en-GB"/>
              </w:rPr>
              <w:t xml:space="preserve">2 </w:t>
            </w:r>
            <w:r w:rsidR="0042781D">
              <w:rPr>
                <w:bCs/>
                <w:noProof/>
                <w:szCs w:val="22"/>
              </w:rPr>
              <w:t>λεπτά</w:t>
            </w:r>
            <w:r w:rsidRPr="006F6037">
              <w:rPr>
                <w:bCs/>
                <w:noProof/>
                <w:szCs w:val="22"/>
                <w:lang w:val="en-GB"/>
              </w:rPr>
              <w:t>**</w:t>
            </w:r>
          </w:p>
          <w:p w:rsidR="006F6037" w:rsidRPr="006F6037" w:rsidRDefault="006F6037" w:rsidP="0042781D">
            <w:pPr>
              <w:jc w:val="center"/>
              <w:rPr>
                <w:bCs/>
                <w:noProof/>
                <w:szCs w:val="22"/>
                <w:lang w:val="en-GB"/>
              </w:rPr>
            </w:pPr>
            <w:r w:rsidRPr="006F6037">
              <w:rPr>
                <w:bCs/>
                <w:noProof/>
                <w:szCs w:val="22"/>
                <w:lang w:val="en-GB"/>
              </w:rPr>
              <w:t>[0</w:t>
            </w:r>
            <w:r w:rsidR="0042781D">
              <w:rPr>
                <w:bCs/>
                <w:noProof/>
                <w:szCs w:val="22"/>
              </w:rPr>
              <w:t>,</w:t>
            </w:r>
            <w:r w:rsidRPr="006F6037">
              <w:rPr>
                <w:bCs/>
                <w:noProof/>
                <w:szCs w:val="22"/>
                <w:lang w:val="en-GB"/>
              </w:rPr>
              <w:t>59, 1</w:t>
            </w:r>
            <w:r w:rsidR="0042781D">
              <w:rPr>
                <w:bCs/>
                <w:noProof/>
                <w:szCs w:val="22"/>
              </w:rPr>
              <w:t>,</w:t>
            </w:r>
            <w:r w:rsidRPr="006F6037">
              <w:rPr>
                <w:bCs/>
                <w:noProof/>
                <w:szCs w:val="22"/>
                <w:lang w:val="en-GB"/>
              </w:rPr>
              <w:t>72]</w:t>
            </w:r>
          </w:p>
        </w:tc>
        <w:tc>
          <w:tcPr>
            <w:tcW w:w="2326" w:type="dxa"/>
            <w:tcBorders>
              <w:bottom w:val="single" w:sz="4" w:space="0" w:color="auto"/>
            </w:tcBorders>
            <w:vAlign w:val="center"/>
          </w:tcPr>
          <w:p w:rsidR="006F6037" w:rsidRPr="006F6037" w:rsidRDefault="006F6037" w:rsidP="006F6037">
            <w:pPr>
              <w:jc w:val="center"/>
              <w:rPr>
                <w:bCs/>
                <w:noProof/>
                <w:szCs w:val="22"/>
                <w:lang w:val="en-GB"/>
              </w:rPr>
            </w:pPr>
            <w:r w:rsidRPr="006F6037">
              <w:rPr>
                <w:bCs/>
                <w:noProof/>
                <w:szCs w:val="22"/>
                <w:lang w:val="en-GB"/>
              </w:rPr>
              <w:t>1</w:t>
            </w:r>
            <w:r w:rsidR="0042781D">
              <w:rPr>
                <w:bCs/>
                <w:noProof/>
                <w:szCs w:val="22"/>
              </w:rPr>
              <w:t>,</w:t>
            </w:r>
            <w:r w:rsidRPr="006F6037">
              <w:rPr>
                <w:bCs/>
                <w:noProof/>
                <w:szCs w:val="22"/>
                <w:lang w:val="en-GB"/>
              </w:rPr>
              <w:t xml:space="preserve">6 </w:t>
            </w:r>
            <w:r w:rsidR="00997922">
              <w:rPr>
                <w:bCs/>
                <w:noProof/>
                <w:szCs w:val="22"/>
              </w:rPr>
              <w:t>λεπτά</w:t>
            </w:r>
            <w:r w:rsidRPr="006F6037">
              <w:rPr>
                <w:bCs/>
                <w:noProof/>
                <w:szCs w:val="22"/>
                <w:lang w:val="en-GB"/>
              </w:rPr>
              <w:t>**</w:t>
            </w:r>
          </w:p>
          <w:p w:rsidR="006F6037" w:rsidRPr="006F6037" w:rsidRDefault="006F6037" w:rsidP="00997922">
            <w:pPr>
              <w:jc w:val="center"/>
              <w:rPr>
                <w:bCs/>
                <w:noProof/>
                <w:szCs w:val="22"/>
                <w:lang w:val="en-GB"/>
              </w:rPr>
            </w:pPr>
            <w:r w:rsidRPr="006F6037">
              <w:rPr>
                <w:bCs/>
                <w:noProof/>
                <w:szCs w:val="22"/>
                <w:lang w:val="en-GB"/>
              </w:rPr>
              <w:t>[1</w:t>
            </w:r>
            <w:r w:rsidR="00997922">
              <w:rPr>
                <w:bCs/>
                <w:noProof/>
                <w:szCs w:val="22"/>
              </w:rPr>
              <w:t>,</w:t>
            </w:r>
            <w:r w:rsidRPr="006F6037">
              <w:rPr>
                <w:bCs/>
                <w:noProof/>
                <w:szCs w:val="22"/>
                <w:lang w:val="en-GB"/>
              </w:rPr>
              <w:t>02, 2</w:t>
            </w:r>
            <w:r w:rsidR="00997922">
              <w:rPr>
                <w:bCs/>
                <w:noProof/>
                <w:szCs w:val="22"/>
              </w:rPr>
              <w:t>,</w:t>
            </w:r>
            <w:r w:rsidRPr="006F6037">
              <w:rPr>
                <w:bCs/>
                <w:noProof/>
                <w:szCs w:val="22"/>
                <w:lang w:val="en-GB"/>
              </w:rPr>
              <w:t>16]</w:t>
            </w:r>
          </w:p>
        </w:tc>
      </w:tr>
      <w:tr w:rsidR="006F6037" w:rsidRPr="0058087B">
        <w:tc>
          <w:tcPr>
            <w:tcW w:w="9301" w:type="dxa"/>
            <w:gridSpan w:val="4"/>
            <w:tcBorders>
              <w:left w:val="nil"/>
              <w:bottom w:val="nil"/>
              <w:right w:val="nil"/>
            </w:tcBorders>
            <w:vAlign w:val="center"/>
          </w:tcPr>
          <w:p w:rsidR="006F6037" w:rsidRPr="00D02B41" w:rsidRDefault="006F6037" w:rsidP="006F6037">
            <w:pPr>
              <w:rPr>
                <w:bCs/>
                <w:noProof/>
                <w:szCs w:val="22"/>
              </w:rPr>
            </w:pPr>
            <w:r w:rsidRPr="00D02B41">
              <w:rPr>
                <w:bCs/>
                <w:noProof/>
                <w:szCs w:val="22"/>
              </w:rPr>
              <w:t>*</w:t>
            </w:r>
            <w:r w:rsidR="00D02B41">
              <w:rPr>
                <w:bCs/>
                <w:noProof/>
                <w:szCs w:val="22"/>
              </w:rPr>
              <w:t>Η</w:t>
            </w:r>
            <w:r w:rsidR="00D02B41" w:rsidRPr="00D02B41">
              <w:rPr>
                <w:bCs/>
                <w:noProof/>
                <w:szCs w:val="22"/>
              </w:rPr>
              <w:t xml:space="preserve"> </w:t>
            </w:r>
            <w:r w:rsidR="00D02B41">
              <w:rPr>
                <w:bCs/>
                <w:noProof/>
                <w:szCs w:val="22"/>
              </w:rPr>
              <w:t>αρχική</w:t>
            </w:r>
            <w:r w:rsidR="00D02B41" w:rsidRPr="00D02B41">
              <w:rPr>
                <w:bCs/>
                <w:noProof/>
                <w:szCs w:val="22"/>
              </w:rPr>
              <w:t xml:space="preserve"> </w:t>
            </w:r>
            <w:r w:rsidR="00D02B41">
              <w:rPr>
                <w:bCs/>
                <w:noProof/>
                <w:szCs w:val="22"/>
              </w:rPr>
              <w:t>τιμή</w:t>
            </w:r>
            <w:r w:rsidR="00D02B41" w:rsidRPr="00D02B41">
              <w:rPr>
                <w:bCs/>
                <w:noProof/>
                <w:szCs w:val="22"/>
              </w:rPr>
              <w:t xml:space="preserve"> </w:t>
            </w:r>
            <w:r w:rsidR="003D2A71">
              <w:rPr>
                <w:bCs/>
                <w:noProof/>
                <w:szCs w:val="22"/>
              </w:rPr>
              <w:t>μεταφέρθηκε</w:t>
            </w:r>
            <w:r w:rsidR="00D02B41" w:rsidRPr="00D02B41">
              <w:rPr>
                <w:bCs/>
                <w:noProof/>
                <w:szCs w:val="22"/>
              </w:rPr>
              <w:t xml:space="preserve"> </w:t>
            </w:r>
            <w:r w:rsidR="00D02B41">
              <w:rPr>
                <w:bCs/>
                <w:noProof/>
                <w:szCs w:val="22"/>
              </w:rPr>
              <w:t>για</w:t>
            </w:r>
            <w:r w:rsidR="00D02B41" w:rsidRPr="00D02B41">
              <w:rPr>
                <w:bCs/>
                <w:noProof/>
                <w:szCs w:val="22"/>
              </w:rPr>
              <w:t xml:space="preserve"> </w:t>
            </w:r>
            <w:r w:rsidR="00D02B41">
              <w:rPr>
                <w:bCs/>
                <w:noProof/>
                <w:szCs w:val="22"/>
              </w:rPr>
              <w:t>τα</w:t>
            </w:r>
            <w:r w:rsidR="00D02B41" w:rsidRPr="00D02B41">
              <w:rPr>
                <w:bCs/>
                <w:noProof/>
                <w:szCs w:val="22"/>
              </w:rPr>
              <w:t xml:space="preserve"> </w:t>
            </w:r>
            <w:r w:rsidR="00D02B41">
              <w:rPr>
                <w:bCs/>
                <w:noProof/>
                <w:szCs w:val="22"/>
              </w:rPr>
              <w:t>άτομα</w:t>
            </w:r>
            <w:r w:rsidR="00D02B41" w:rsidRPr="00D02B41">
              <w:rPr>
                <w:bCs/>
                <w:noProof/>
                <w:szCs w:val="22"/>
              </w:rPr>
              <w:t xml:space="preserve"> </w:t>
            </w:r>
            <w:r w:rsidR="00D02B41">
              <w:rPr>
                <w:bCs/>
                <w:noProof/>
                <w:szCs w:val="22"/>
              </w:rPr>
              <w:t>που</w:t>
            </w:r>
            <w:r w:rsidR="00D02B41" w:rsidRPr="00D02B41">
              <w:rPr>
                <w:bCs/>
                <w:noProof/>
                <w:szCs w:val="22"/>
              </w:rPr>
              <w:t xml:space="preserve"> </w:t>
            </w:r>
            <w:r w:rsidR="00D02B41">
              <w:rPr>
                <w:bCs/>
                <w:noProof/>
                <w:szCs w:val="22"/>
              </w:rPr>
              <w:t>δεν</w:t>
            </w:r>
            <w:r w:rsidR="00D02B41" w:rsidRPr="00D02B41">
              <w:rPr>
                <w:bCs/>
                <w:noProof/>
                <w:szCs w:val="22"/>
              </w:rPr>
              <w:t xml:space="preserve"> </w:t>
            </w:r>
            <w:r w:rsidR="00D02B41">
              <w:rPr>
                <w:bCs/>
                <w:noProof/>
                <w:szCs w:val="22"/>
              </w:rPr>
              <w:t>έχουν</w:t>
            </w:r>
            <w:r w:rsidR="00D02B41" w:rsidRPr="00D02B41">
              <w:rPr>
                <w:bCs/>
                <w:noProof/>
                <w:szCs w:val="22"/>
              </w:rPr>
              <w:t xml:space="preserve"> </w:t>
            </w:r>
            <w:r w:rsidR="00D02B41">
              <w:rPr>
                <w:bCs/>
                <w:noProof/>
                <w:szCs w:val="22"/>
              </w:rPr>
              <w:t>δεδομένα</w:t>
            </w:r>
            <w:r w:rsidR="00D02B41" w:rsidRPr="00D02B41">
              <w:rPr>
                <w:bCs/>
                <w:noProof/>
                <w:szCs w:val="22"/>
              </w:rPr>
              <w:t xml:space="preserve"> </w:t>
            </w:r>
            <w:r w:rsidR="00D02B41">
              <w:rPr>
                <w:bCs/>
                <w:noProof/>
                <w:szCs w:val="22"/>
              </w:rPr>
              <w:t>μετά</w:t>
            </w:r>
            <w:r w:rsidR="00D02B41" w:rsidRPr="00D02B41">
              <w:rPr>
                <w:bCs/>
                <w:noProof/>
                <w:szCs w:val="22"/>
              </w:rPr>
              <w:t xml:space="preserve"> </w:t>
            </w:r>
            <w:r w:rsidR="00D02B41">
              <w:rPr>
                <w:bCs/>
                <w:noProof/>
                <w:szCs w:val="22"/>
              </w:rPr>
              <w:t>την</w:t>
            </w:r>
            <w:r w:rsidR="00D02B41" w:rsidRPr="00D02B41">
              <w:rPr>
                <w:bCs/>
                <w:noProof/>
                <w:szCs w:val="22"/>
              </w:rPr>
              <w:t xml:space="preserve"> </w:t>
            </w:r>
            <w:r w:rsidR="00D02B41">
              <w:rPr>
                <w:bCs/>
                <w:noProof/>
                <w:szCs w:val="22"/>
              </w:rPr>
              <w:t>αρχή</w:t>
            </w:r>
            <w:r w:rsidRPr="00D02B41">
              <w:rPr>
                <w:noProof/>
                <w:szCs w:val="22"/>
              </w:rPr>
              <w:t>.</w:t>
            </w:r>
          </w:p>
          <w:p w:rsidR="006F6037" w:rsidRPr="0058087B" w:rsidRDefault="006F6037" w:rsidP="00D02B41">
            <w:pPr>
              <w:rPr>
                <w:bCs/>
                <w:noProof/>
                <w:szCs w:val="22"/>
              </w:rPr>
            </w:pPr>
            <w:r w:rsidRPr="0058087B">
              <w:rPr>
                <w:bCs/>
                <w:noProof/>
                <w:szCs w:val="22"/>
              </w:rPr>
              <w:lastRenderedPageBreak/>
              <w:t>**</w:t>
            </w:r>
            <w:r w:rsidR="00D02B41">
              <w:rPr>
                <w:bCs/>
                <w:noProof/>
                <w:szCs w:val="22"/>
              </w:rPr>
              <w:t>Η</w:t>
            </w:r>
            <w:r w:rsidR="00D02B41" w:rsidRPr="0058087B">
              <w:rPr>
                <w:bCs/>
                <w:noProof/>
                <w:szCs w:val="22"/>
              </w:rPr>
              <w:t xml:space="preserve"> </w:t>
            </w:r>
            <w:r w:rsidR="00D02B41">
              <w:rPr>
                <w:bCs/>
                <w:noProof/>
                <w:szCs w:val="22"/>
              </w:rPr>
              <w:t>διαφορά</w:t>
            </w:r>
            <w:r w:rsidR="00D02B41" w:rsidRPr="0058087B">
              <w:rPr>
                <w:bCs/>
                <w:noProof/>
                <w:szCs w:val="22"/>
              </w:rPr>
              <w:t xml:space="preserve"> </w:t>
            </w:r>
            <w:r w:rsidR="00D02B41">
              <w:rPr>
                <w:bCs/>
                <w:noProof/>
                <w:szCs w:val="22"/>
              </w:rPr>
              <w:t>ήταν</w:t>
            </w:r>
            <w:r w:rsidR="00D02B41" w:rsidRPr="0058087B">
              <w:rPr>
                <w:bCs/>
                <w:noProof/>
                <w:szCs w:val="22"/>
              </w:rPr>
              <w:t xml:space="preserve"> </w:t>
            </w:r>
            <w:r w:rsidR="00D02B41">
              <w:rPr>
                <w:bCs/>
                <w:noProof/>
                <w:szCs w:val="22"/>
              </w:rPr>
              <w:t>στατιστικά</w:t>
            </w:r>
            <w:r w:rsidR="00D02B41" w:rsidRPr="0058087B">
              <w:rPr>
                <w:bCs/>
                <w:noProof/>
                <w:szCs w:val="22"/>
              </w:rPr>
              <w:t xml:space="preserve"> </w:t>
            </w:r>
            <w:r w:rsidR="00D02B41">
              <w:rPr>
                <w:bCs/>
                <w:noProof/>
                <w:szCs w:val="22"/>
              </w:rPr>
              <w:t>σημαντική</w:t>
            </w:r>
            <w:r w:rsidRPr="0058087B">
              <w:rPr>
                <w:bCs/>
                <w:noProof/>
                <w:szCs w:val="22"/>
              </w:rPr>
              <w:t xml:space="preserve"> (</w:t>
            </w:r>
            <w:r w:rsidRPr="006F6037">
              <w:rPr>
                <w:bCs/>
                <w:noProof/>
                <w:szCs w:val="22"/>
                <w:lang w:val="en-GB"/>
              </w:rPr>
              <w:t>P</w:t>
            </w:r>
            <w:r w:rsidRPr="0058087B">
              <w:rPr>
                <w:bCs/>
                <w:noProof/>
                <w:szCs w:val="22"/>
              </w:rPr>
              <w:t>-</w:t>
            </w:r>
            <w:r w:rsidRPr="006F6037">
              <w:rPr>
                <w:bCs/>
                <w:noProof/>
                <w:szCs w:val="22"/>
                <w:lang w:val="en-GB"/>
              </w:rPr>
              <w:t>value</w:t>
            </w:r>
            <w:r w:rsidRPr="0058087B">
              <w:rPr>
                <w:bCs/>
                <w:noProof/>
                <w:szCs w:val="22"/>
              </w:rPr>
              <w:t xml:space="preserve"> &lt;= 0</w:t>
            </w:r>
            <w:r w:rsidR="00D02B41">
              <w:rPr>
                <w:bCs/>
                <w:noProof/>
                <w:szCs w:val="22"/>
              </w:rPr>
              <w:t>,</w:t>
            </w:r>
            <w:r w:rsidRPr="0058087B">
              <w:rPr>
                <w:bCs/>
                <w:noProof/>
                <w:szCs w:val="22"/>
              </w:rPr>
              <w:t>001).</w:t>
            </w:r>
          </w:p>
        </w:tc>
      </w:tr>
    </w:tbl>
    <w:p w:rsidR="006F6037" w:rsidRPr="0058087B" w:rsidRDefault="006F6037" w:rsidP="006F6037">
      <w:pPr>
        <w:rPr>
          <w:bCs/>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322"/>
        <w:gridCol w:w="2323"/>
        <w:gridCol w:w="2322"/>
        <w:gridCol w:w="2323"/>
      </w:tblGrid>
      <w:tr w:rsidR="006F6037" w:rsidRPr="0058087B">
        <w:tc>
          <w:tcPr>
            <w:tcW w:w="9301" w:type="dxa"/>
            <w:gridSpan w:val="4"/>
            <w:tcBorders>
              <w:top w:val="nil"/>
              <w:left w:val="nil"/>
              <w:right w:val="nil"/>
            </w:tcBorders>
            <w:vAlign w:val="center"/>
          </w:tcPr>
          <w:p w:rsidR="006F6037" w:rsidRPr="0058087B" w:rsidRDefault="0058087B" w:rsidP="0058087B">
            <w:pPr>
              <w:rPr>
                <w:b/>
                <w:bCs/>
                <w:noProof/>
                <w:szCs w:val="22"/>
              </w:rPr>
            </w:pPr>
            <w:r>
              <w:rPr>
                <w:b/>
                <w:bCs/>
                <w:noProof/>
                <w:szCs w:val="22"/>
              </w:rPr>
              <w:t>Πίνακας</w:t>
            </w:r>
            <w:r w:rsidR="006F6037" w:rsidRPr="0058087B">
              <w:rPr>
                <w:b/>
                <w:bCs/>
                <w:noProof/>
                <w:szCs w:val="22"/>
              </w:rPr>
              <w:t xml:space="preserve"> 3:</w:t>
            </w:r>
            <w:r w:rsidR="006F6037" w:rsidRPr="0058087B">
              <w:rPr>
                <w:b/>
                <w:bCs/>
                <w:noProof/>
                <w:szCs w:val="22"/>
              </w:rPr>
              <w:tab/>
            </w:r>
            <w:r w:rsidRPr="0058087B">
              <w:rPr>
                <w:bCs/>
                <w:noProof/>
                <w:szCs w:val="22"/>
              </w:rPr>
              <w:t>Άτομα</w:t>
            </w:r>
            <w:r w:rsidRPr="0058087B">
              <w:rPr>
                <w:b/>
                <w:bCs/>
                <w:noProof/>
                <w:szCs w:val="22"/>
              </w:rPr>
              <w:t xml:space="preserve"> </w:t>
            </w:r>
            <w:r>
              <w:rPr>
                <w:bCs/>
                <w:noProof/>
                <w:szCs w:val="22"/>
              </w:rPr>
              <w:t>που</w:t>
            </w:r>
            <w:r w:rsidRPr="0058087B">
              <w:rPr>
                <w:bCs/>
                <w:noProof/>
                <w:szCs w:val="22"/>
              </w:rPr>
              <w:t xml:space="preserve"> </w:t>
            </w:r>
            <w:r>
              <w:rPr>
                <w:bCs/>
                <w:noProof/>
                <w:szCs w:val="22"/>
              </w:rPr>
              <w:t>πέτυχαν</w:t>
            </w:r>
            <w:r w:rsidRPr="0058087B">
              <w:rPr>
                <w:bCs/>
                <w:noProof/>
                <w:szCs w:val="22"/>
              </w:rPr>
              <w:t xml:space="preserve"> </w:t>
            </w:r>
            <w:r>
              <w:rPr>
                <w:bCs/>
                <w:noProof/>
                <w:szCs w:val="22"/>
              </w:rPr>
              <w:t>τουλάχιστον</w:t>
            </w:r>
            <w:r w:rsidRPr="0058087B">
              <w:rPr>
                <w:bCs/>
                <w:noProof/>
                <w:szCs w:val="22"/>
              </w:rPr>
              <w:t xml:space="preserve"> </w:t>
            </w:r>
            <w:r>
              <w:rPr>
                <w:bCs/>
                <w:noProof/>
                <w:szCs w:val="22"/>
              </w:rPr>
              <w:t>ένα</w:t>
            </w:r>
            <w:r w:rsidRPr="0058087B">
              <w:rPr>
                <w:bCs/>
                <w:noProof/>
                <w:szCs w:val="22"/>
              </w:rPr>
              <w:t xml:space="preserve"> </w:t>
            </w:r>
            <w:r>
              <w:rPr>
                <w:bCs/>
                <w:noProof/>
                <w:szCs w:val="22"/>
              </w:rPr>
              <w:t>συγκεκριμένο</w:t>
            </w:r>
            <w:r w:rsidRPr="0058087B">
              <w:rPr>
                <w:bCs/>
                <w:noProof/>
                <w:szCs w:val="22"/>
              </w:rPr>
              <w:t xml:space="preserve"> </w:t>
            </w:r>
            <w:r>
              <w:rPr>
                <w:bCs/>
                <w:noProof/>
                <w:szCs w:val="22"/>
              </w:rPr>
              <w:t>επίπεδο</w:t>
            </w:r>
            <w:r w:rsidRPr="0058087B">
              <w:rPr>
                <w:bCs/>
                <w:noProof/>
                <w:szCs w:val="22"/>
              </w:rPr>
              <w:t xml:space="preserve"> </w:t>
            </w:r>
            <w:r>
              <w:rPr>
                <w:bCs/>
                <w:noProof/>
                <w:szCs w:val="22"/>
              </w:rPr>
              <w:t>στο</w:t>
            </w:r>
            <w:r w:rsidRPr="0058087B">
              <w:rPr>
                <w:bCs/>
                <w:noProof/>
                <w:szCs w:val="22"/>
              </w:rPr>
              <w:t xml:space="preserve"> </w:t>
            </w:r>
            <w:r>
              <w:rPr>
                <w:bCs/>
                <w:noProof/>
                <w:szCs w:val="22"/>
              </w:rPr>
              <w:t xml:space="preserve">μέσο όρο του </w:t>
            </w:r>
            <w:r w:rsidR="006F6037" w:rsidRPr="006F6037">
              <w:rPr>
                <w:bCs/>
                <w:noProof/>
                <w:szCs w:val="22"/>
                <w:lang w:val="en-GB"/>
              </w:rPr>
              <w:t>IELT</w:t>
            </w:r>
            <w:r w:rsidR="006F6037" w:rsidRPr="0058087B">
              <w:rPr>
                <w:bCs/>
                <w:noProof/>
                <w:szCs w:val="22"/>
              </w:rPr>
              <w:t xml:space="preserve"> </w:t>
            </w:r>
            <w:r>
              <w:rPr>
                <w:bCs/>
                <w:noProof/>
                <w:szCs w:val="22"/>
              </w:rPr>
              <w:t>στο τέλος της μελέτης</w:t>
            </w:r>
            <w:r w:rsidR="006F6037" w:rsidRPr="0058087B">
              <w:rPr>
                <w:bCs/>
                <w:noProof/>
                <w:szCs w:val="22"/>
              </w:rPr>
              <w:t>*</w:t>
            </w:r>
          </w:p>
        </w:tc>
      </w:tr>
      <w:tr w:rsidR="006F6037" w:rsidRPr="006F6037">
        <w:tc>
          <w:tcPr>
            <w:tcW w:w="2325" w:type="dxa"/>
            <w:vAlign w:val="center"/>
          </w:tcPr>
          <w:p w:rsidR="006F6037" w:rsidRPr="006F6037" w:rsidRDefault="006F6037" w:rsidP="006F6037">
            <w:pPr>
              <w:jc w:val="center"/>
              <w:rPr>
                <w:b/>
                <w:bCs/>
                <w:noProof/>
                <w:szCs w:val="22"/>
                <w:lang w:val="en-GB"/>
              </w:rPr>
            </w:pPr>
            <w:r w:rsidRPr="006F6037">
              <w:rPr>
                <w:b/>
                <w:bCs/>
                <w:noProof/>
                <w:szCs w:val="22"/>
                <w:lang w:val="en-GB"/>
              </w:rPr>
              <w:t>IELT</w:t>
            </w:r>
          </w:p>
          <w:p w:rsidR="006F6037" w:rsidRPr="006F6037" w:rsidRDefault="006F6037" w:rsidP="0058087B">
            <w:pPr>
              <w:jc w:val="center"/>
              <w:rPr>
                <w:b/>
                <w:bCs/>
                <w:noProof/>
                <w:szCs w:val="22"/>
                <w:lang w:val="en-GB"/>
              </w:rPr>
            </w:pPr>
            <w:r w:rsidRPr="006F6037">
              <w:rPr>
                <w:b/>
                <w:bCs/>
                <w:noProof/>
                <w:szCs w:val="22"/>
                <w:lang w:val="en-GB"/>
              </w:rPr>
              <w:t>(</w:t>
            </w:r>
            <w:r w:rsidR="0058087B">
              <w:rPr>
                <w:b/>
                <w:bCs/>
                <w:noProof/>
                <w:szCs w:val="22"/>
              </w:rPr>
              <w:t>λεπτά</w:t>
            </w:r>
            <w:r w:rsidRPr="006F6037">
              <w:rPr>
                <w:b/>
                <w:bCs/>
                <w:noProof/>
                <w:szCs w:val="22"/>
                <w:lang w:val="en-GB"/>
              </w:rPr>
              <w:t>)</w:t>
            </w:r>
          </w:p>
        </w:tc>
        <w:tc>
          <w:tcPr>
            <w:tcW w:w="2325" w:type="dxa"/>
            <w:vAlign w:val="center"/>
          </w:tcPr>
          <w:p w:rsidR="006F6037" w:rsidRPr="0058087B" w:rsidRDefault="0058087B" w:rsidP="006F6037">
            <w:pPr>
              <w:jc w:val="center"/>
              <w:rPr>
                <w:b/>
                <w:bCs/>
                <w:noProof/>
                <w:szCs w:val="22"/>
              </w:rPr>
            </w:pPr>
            <w:r>
              <w:rPr>
                <w:b/>
                <w:bCs/>
                <w:noProof/>
                <w:szCs w:val="22"/>
              </w:rPr>
              <w:t>Εικονικό φάρμακο</w:t>
            </w:r>
          </w:p>
          <w:p w:rsidR="006F6037" w:rsidRPr="006F6037" w:rsidRDefault="006F6037" w:rsidP="006F6037">
            <w:pPr>
              <w:jc w:val="center"/>
              <w:rPr>
                <w:b/>
                <w:bCs/>
                <w:noProof/>
                <w:szCs w:val="22"/>
                <w:lang w:val="en-GB"/>
              </w:rPr>
            </w:pPr>
            <w:r w:rsidRPr="006F6037">
              <w:rPr>
                <w:b/>
                <w:bCs/>
                <w:noProof/>
                <w:szCs w:val="22"/>
                <w:lang w:val="en-GB"/>
              </w:rPr>
              <w:t>%</w:t>
            </w:r>
          </w:p>
        </w:tc>
        <w:tc>
          <w:tcPr>
            <w:tcW w:w="2325" w:type="dxa"/>
            <w:vAlign w:val="center"/>
          </w:tcPr>
          <w:p w:rsidR="006F6037" w:rsidRPr="006F6037" w:rsidRDefault="006F6037" w:rsidP="006F6037">
            <w:pPr>
              <w:jc w:val="center"/>
              <w:rPr>
                <w:b/>
                <w:bCs/>
                <w:noProof/>
                <w:szCs w:val="22"/>
                <w:lang w:val="en-GB"/>
              </w:rPr>
            </w:pPr>
            <w:r w:rsidRPr="006F6037">
              <w:rPr>
                <w:b/>
                <w:bCs/>
                <w:noProof/>
                <w:szCs w:val="22"/>
                <w:lang w:val="en-GB"/>
              </w:rPr>
              <w:t>Priligy 30 mg</w:t>
            </w:r>
          </w:p>
          <w:p w:rsidR="006F6037" w:rsidRPr="006F6037" w:rsidRDefault="006F6037" w:rsidP="006F6037">
            <w:pPr>
              <w:jc w:val="center"/>
              <w:rPr>
                <w:b/>
                <w:bCs/>
                <w:noProof/>
                <w:szCs w:val="22"/>
                <w:lang w:val="en-GB"/>
              </w:rPr>
            </w:pPr>
            <w:r w:rsidRPr="006F6037">
              <w:rPr>
                <w:b/>
                <w:bCs/>
                <w:noProof/>
                <w:szCs w:val="22"/>
                <w:lang w:val="en-GB"/>
              </w:rPr>
              <w:t>%</w:t>
            </w:r>
          </w:p>
        </w:tc>
        <w:tc>
          <w:tcPr>
            <w:tcW w:w="2326" w:type="dxa"/>
            <w:vAlign w:val="center"/>
          </w:tcPr>
          <w:p w:rsidR="006F6037" w:rsidRPr="006F6037" w:rsidRDefault="006F6037" w:rsidP="006F6037">
            <w:pPr>
              <w:jc w:val="center"/>
              <w:rPr>
                <w:b/>
                <w:bCs/>
                <w:noProof/>
                <w:szCs w:val="22"/>
                <w:lang w:val="en-GB"/>
              </w:rPr>
            </w:pPr>
            <w:r w:rsidRPr="006F6037">
              <w:rPr>
                <w:b/>
                <w:bCs/>
                <w:noProof/>
                <w:szCs w:val="22"/>
                <w:lang w:val="en-GB"/>
              </w:rPr>
              <w:t>Priligy 60 mg</w:t>
            </w:r>
          </w:p>
          <w:p w:rsidR="006F6037" w:rsidRPr="006F6037" w:rsidRDefault="006F6037" w:rsidP="006F6037">
            <w:pPr>
              <w:jc w:val="center"/>
              <w:rPr>
                <w:b/>
                <w:bCs/>
                <w:noProof/>
                <w:szCs w:val="22"/>
                <w:lang w:val="en-GB"/>
              </w:rPr>
            </w:pPr>
            <w:r w:rsidRPr="006F6037">
              <w:rPr>
                <w:b/>
                <w:bCs/>
                <w:noProof/>
                <w:szCs w:val="22"/>
                <w:lang w:val="en-GB"/>
              </w:rPr>
              <w:t>%</w:t>
            </w:r>
          </w:p>
        </w:tc>
      </w:tr>
      <w:tr w:rsidR="006F6037" w:rsidRPr="006F6037">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≥1</w:t>
            </w:r>
            <w:r w:rsidR="00994F33">
              <w:rPr>
                <w:bCs/>
                <w:noProof/>
                <w:szCs w:val="22"/>
                <w:lang w:val="en-GB"/>
              </w:rPr>
              <w:t>,</w:t>
            </w:r>
            <w:r w:rsidRPr="006F6037">
              <w:rPr>
                <w:bCs/>
                <w:noProof/>
                <w:szCs w:val="22"/>
                <w:lang w:val="en-GB"/>
              </w:rPr>
              <w:t>0</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51</w:t>
            </w:r>
            <w:r w:rsidR="00994F33">
              <w:rPr>
                <w:bCs/>
                <w:noProof/>
                <w:szCs w:val="22"/>
                <w:lang w:val="en-GB"/>
              </w:rPr>
              <w:t>,</w:t>
            </w:r>
            <w:r w:rsidRPr="006F6037">
              <w:rPr>
                <w:bCs/>
                <w:noProof/>
                <w:szCs w:val="22"/>
                <w:lang w:val="en-GB"/>
              </w:rPr>
              <w:t>6</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68</w:t>
            </w:r>
            <w:r w:rsidR="00994F33">
              <w:rPr>
                <w:bCs/>
                <w:noProof/>
                <w:szCs w:val="22"/>
                <w:lang w:val="en-GB"/>
              </w:rPr>
              <w:t>,</w:t>
            </w:r>
            <w:r w:rsidRPr="006F6037">
              <w:rPr>
                <w:bCs/>
                <w:noProof/>
                <w:szCs w:val="22"/>
                <w:lang w:val="en-GB"/>
              </w:rPr>
              <w:t>8</w:t>
            </w:r>
          </w:p>
        </w:tc>
        <w:tc>
          <w:tcPr>
            <w:tcW w:w="2326" w:type="dxa"/>
            <w:vAlign w:val="center"/>
          </w:tcPr>
          <w:p w:rsidR="006F6037" w:rsidRPr="006F6037" w:rsidRDefault="006F6037" w:rsidP="006F6037">
            <w:pPr>
              <w:jc w:val="center"/>
              <w:rPr>
                <w:bCs/>
                <w:noProof/>
                <w:szCs w:val="22"/>
                <w:lang w:val="en-GB"/>
              </w:rPr>
            </w:pPr>
            <w:r w:rsidRPr="006F6037">
              <w:rPr>
                <w:bCs/>
                <w:noProof/>
                <w:szCs w:val="22"/>
                <w:lang w:val="en-GB"/>
              </w:rPr>
              <w:t>77</w:t>
            </w:r>
            <w:r w:rsidR="00994F33">
              <w:rPr>
                <w:bCs/>
                <w:noProof/>
                <w:szCs w:val="22"/>
                <w:lang w:val="en-GB"/>
              </w:rPr>
              <w:t>,</w:t>
            </w:r>
            <w:r w:rsidRPr="006F6037">
              <w:rPr>
                <w:bCs/>
                <w:noProof/>
                <w:szCs w:val="22"/>
                <w:lang w:val="en-GB"/>
              </w:rPr>
              <w:t>6</w:t>
            </w:r>
          </w:p>
        </w:tc>
      </w:tr>
      <w:tr w:rsidR="006F6037" w:rsidRPr="006F6037">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≥2</w:t>
            </w:r>
            <w:r w:rsidR="00994F33">
              <w:rPr>
                <w:bCs/>
                <w:noProof/>
                <w:szCs w:val="22"/>
                <w:lang w:val="en-GB"/>
              </w:rPr>
              <w:t>,</w:t>
            </w:r>
            <w:r w:rsidRPr="006F6037">
              <w:rPr>
                <w:bCs/>
                <w:noProof/>
                <w:szCs w:val="22"/>
                <w:lang w:val="en-GB"/>
              </w:rPr>
              <w:t>0</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23</w:t>
            </w:r>
            <w:r w:rsidR="00994F33">
              <w:rPr>
                <w:bCs/>
                <w:noProof/>
                <w:szCs w:val="22"/>
                <w:lang w:val="en-GB"/>
              </w:rPr>
              <w:t>,</w:t>
            </w:r>
            <w:r w:rsidRPr="006F6037">
              <w:rPr>
                <w:bCs/>
                <w:noProof/>
                <w:szCs w:val="22"/>
                <w:lang w:val="en-GB"/>
              </w:rPr>
              <w:t>2</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44</w:t>
            </w:r>
            <w:r w:rsidR="00994F33">
              <w:rPr>
                <w:bCs/>
                <w:noProof/>
                <w:szCs w:val="22"/>
                <w:lang w:val="en-GB"/>
              </w:rPr>
              <w:t>,</w:t>
            </w:r>
            <w:r w:rsidRPr="006F6037">
              <w:rPr>
                <w:bCs/>
                <w:noProof/>
                <w:szCs w:val="22"/>
                <w:lang w:val="en-GB"/>
              </w:rPr>
              <w:t>4</w:t>
            </w:r>
          </w:p>
        </w:tc>
        <w:tc>
          <w:tcPr>
            <w:tcW w:w="2326" w:type="dxa"/>
            <w:vAlign w:val="center"/>
          </w:tcPr>
          <w:p w:rsidR="006F6037" w:rsidRPr="006F6037" w:rsidRDefault="006F6037" w:rsidP="006F6037">
            <w:pPr>
              <w:jc w:val="center"/>
              <w:rPr>
                <w:bCs/>
                <w:noProof/>
                <w:szCs w:val="22"/>
                <w:lang w:val="en-GB"/>
              </w:rPr>
            </w:pPr>
            <w:r w:rsidRPr="006F6037">
              <w:rPr>
                <w:bCs/>
                <w:noProof/>
                <w:szCs w:val="22"/>
                <w:lang w:val="en-GB"/>
              </w:rPr>
              <w:t>47</w:t>
            </w:r>
            <w:r w:rsidR="00994F33">
              <w:rPr>
                <w:bCs/>
                <w:noProof/>
                <w:szCs w:val="22"/>
                <w:lang w:val="en-GB"/>
              </w:rPr>
              <w:t>,</w:t>
            </w:r>
            <w:r w:rsidRPr="006F6037">
              <w:rPr>
                <w:bCs/>
                <w:noProof/>
                <w:szCs w:val="22"/>
                <w:lang w:val="en-GB"/>
              </w:rPr>
              <w:t>9</w:t>
            </w:r>
          </w:p>
        </w:tc>
      </w:tr>
      <w:tr w:rsidR="006F6037" w:rsidRPr="006F6037">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≥3</w:t>
            </w:r>
            <w:r w:rsidR="00994F33">
              <w:rPr>
                <w:bCs/>
                <w:noProof/>
                <w:szCs w:val="22"/>
                <w:lang w:val="en-GB"/>
              </w:rPr>
              <w:t>,</w:t>
            </w:r>
            <w:r w:rsidRPr="006F6037">
              <w:rPr>
                <w:bCs/>
                <w:noProof/>
                <w:szCs w:val="22"/>
                <w:lang w:val="en-GB"/>
              </w:rPr>
              <w:t>0</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14</w:t>
            </w:r>
            <w:r w:rsidR="00994F33">
              <w:rPr>
                <w:bCs/>
                <w:noProof/>
                <w:szCs w:val="22"/>
                <w:lang w:val="en-GB"/>
              </w:rPr>
              <w:t>,</w:t>
            </w:r>
            <w:r w:rsidRPr="006F6037">
              <w:rPr>
                <w:bCs/>
                <w:noProof/>
                <w:szCs w:val="22"/>
                <w:lang w:val="en-GB"/>
              </w:rPr>
              <w:t>3</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26</w:t>
            </w:r>
            <w:r w:rsidR="00994F33">
              <w:rPr>
                <w:bCs/>
                <w:noProof/>
                <w:szCs w:val="22"/>
                <w:lang w:val="en-GB"/>
              </w:rPr>
              <w:t>,</w:t>
            </w:r>
            <w:r w:rsidRPr="006F6037">
              <w:rPr>
                <w:bCs/>
                <w:noProof/>
                <w:szCs w:val="22"/>
                <w:lang w:val="en-GB"/>
              </w:rPr>
              <w:t>0</w:t>
            </w:r>
          </w:p>
        </w:tc>
        <w:tc>
          <w:tcPr>
            <w:tcW w:w="2326" w:type="dxa"/>
            <w:vAlign w:val="center"/>
          </w:tcPr>
          <w:p w:rsidR="006F6037" w:rsidRPr="006F6037" w:rsidRDefault="006F6037" w:rsidP="006F6037">
            <w:pPr>
              <w:jc w:val="center"/>
              <w:rPr>
                <w:bCs/>
                <w:noProof/>
                <w:szCs w:val="22"/>
                <w:lang w:val="en-GB"/>
              </w:rPr>
            </w:pPr>
            <w:r w:rsidRPr="006F6037">
              <w:rPr>
                <w:bCs/>
                <w:noProof/>
                <w:szCs w:val="22"/>
                <w:lang w:val="en-GB"/>
              </w:rPr>
              <w:t>37</w:t>
            </w:r>
            <w:r w:rsidR="00994F33">
              <w:rPr>
                <w:bCs/>
                <w:noProof/>
                <w:szCs w:val="22"/>
                <w:lang w:val="en-GB"/>
              </w:rPr>
              <w:t>,</w:t>
            </w:r>
            <w:r w:rsidRPr="006F6037">
              <w:rPr>
                <w:bCs/>
                <w:noProof/>
                <w:szCs w:val="22"/>
                <w:lang w:val="en-GB"/>
              </w:rPr>
              <w:t>4</w:t>
            </w:r>
          </w:p>
        </w:tc>
      </w:tr>
      <w:tr w:rsidR="006F6037" w:rsidRPr="006F6037">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≥4</w:t>
            </w:r>
            <w:r w:rsidR="00994F33">
              <w:rPr>
                <w:bCs/>
                <w:noProof/>
                <w:szCs w:val="22"/>
                <w:lang w:val="en-GB"/>
              </w:rPr>
              <w:t>,</w:t>
            </w:r>
            <w:r w:rsidRPr="006F6037">
              <w:rPr>
                <w:bCs/>
                <w:noProof/>
                <w:szCs w:val="22"/>
                <w:lang w:val="en-GB"/>
              </w:rPr>
              <w:t>0</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10</w:t>
            </w:r>
            <w:r w:rsidR="00994F33">
              <w:rPr>
                <w:bCs/>
                <w:noProof/>
                <w:szCs w:val="22"/>
                <w:lang w:val="en-GB"/>
              </w:rPr>
              <w:t>,</w:t>
            </w:r>
            <w:r w:rsidRPr="006F6037">
              <w:rPr>
                <w:bCs/>
                <w:noProof/>
                <w:szCs w:val="22"/>
                <w:lang w:val="en-GB"/>
              </w:rPr>
              <w:t>4</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18</w:t>
            </w:r>
            <w:r w:rsidR="00994F33">
              <w:rPr>
                <w:bCs/>
                <w:noProof/>
                <w:szCs w:val="22"/>
                <w:lang w:val="en-GB"/>
              </w:rPr>
              <w:t>,</w:t>
            </w:r>
            <w:r w:rsidRPr="006F6037">
              <w:rPr>
                <w:bCs/>
                <w:noProof/>
                <w:szCs w:val="22"/>
                <w:lang w:val="en-GB"/>
              </w:rPr>
              <w:t>4</w:t>
            </w:r>
          </w:p>
        </w:tc>
        <w:tc>
          <w:tcPr>
            <w:tcW w:w="2326" w:type="dxa"/>
            <w:vAlign w:val="center"/>
          </w:tcPr>
          <w:p w:rsidR="006F6037" w:rsidRPr="006F6037" w:rsidRDefault="006F6037" w:rsidP="006F6037">
            <w:pPr>
              <w:jc w:val="center"/>
              <w:rPr>
                <w:bCs/>
                <w:noProof/>
                <w:szCs w:val="22"/>
                <w:lang w:val="en-GB"/>
              </w:rPr>
            </w:pPr>
            <w:r w:rsidRPr="006F6037">
              <w:rPr>
                <w:bCs/>
                <w:noProof/>
                <w:szCs w:val="22"/>
                <w:lang w:val="en-GB"/>
              </w:rPr>
              <w:t>27</w:t>
            </w:r>
            <w:r w:rsidR="00994F33">
              <w:rPr>
                <w:bCs/>
                <w:noProof/>
                <w:szCs w:val="22"/>
                <w:lang w:val="en-GB"/>
              </w:rPr>
              <w:t>,</w:t>
            </w:r>
            <w:r w:rsidRPr="006F6037">
              <w:rPr>
                <w:bCs/>
                <w:noProof/>
                <w:szCs w:val="22"/>
                <w:lang w:val="en-GB"/>
              </w:rPr>
              <w:t>6</w:t>
            </w:r>
          </w:p>
        </w:tc>
      </w:tr>
      <w:tr w:rsidR="006F6037" w:rsidRPr="006F6037">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≥5</w:t>
            </w:r>
            <w:r w:rsidR="00994F33">
              <w:rPr>
                <w:bCs/>
                <w:noProof/>
                <w:szCs w:val="22"/>
                <w:lang w:val="en-GB"/>
              </w:rPr>
              <w:t>,</w:t>
            </w:r>
            <w:r w:rsidRPr="006F6037">
              <w:rPr>
                <w:bCs/>
                <w:noProof/>
                <w:szCs w:val="22"/>
                <w:lang w:val="en-GB"/>
              </w:rPr>
              <w:t>0</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7</w:t>
            </w:r>
            <w:r w:rsidR="00994F33">
              <w:rPr>
                <w:bCs/>
                <w:noProof/>
                <w:szCs w:val="22"/>
                <w:lang w:val="en-GB"/>
              </w:rPr>
              <w:t>,</w:t>
            </w:r>
            <w:r w:rsidRPr="006F6037">
              <w:rPr>
                <w:bCs/>
                <w:noProof/>
                <w:szCs w:val="22"/>
                <w:lang w:val="en-GB"/>
              </w:rPr>
              <w:t>6</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14</w:t>
            </w:r>
            <w:r w:rsidR="00994F33">
              <w:rPr>
                <w:bCs/>
                <w:noProof/>
                <w:szCs w:val="22"/>
                <w:lang w:val="en-GB"/>
              </w:rPr>
              <w:t>,</w:t>
            </w:r>
            <w:r w:rsidRPr="006F6037">
              <w:rPr>
                <w:bCs/>
                <w:noProof/>
                <w:szCs w:val="22"/>
                <w:lang w:val="en-GB"/>
              </w:rPr>
              <w:t>3</w:t>
            </w:r>
          </w:p>
        </w:tc>
        <w:tc>
          <w:tcPr>
            <w:tcW w:w="2326" w:type="dxa"/>
            <w:vAlign w:val="center"/>
          </w:tcPr>
          <w:p w:rsidR="006F6037" w:rsidRPr="006F6037" w:rsidRDefault="006F6037" w:rsidP="006F6037">
            <w:pPr>
              <w:jc w:val="center"/>
              <w:rPr>
                <w:bCs/>
                <w:noProof/>
                <w:szCs w:val="22"/>
                <w:lang w:val="en-GB"/>
              </w:rPr>
            </w:pPr>
            <w:r w:rsidRPr="006F6037">
              <w:rPr>
                <w:bCs/>
                <w:noProof/>
                <w:szCs w:val="22"/>
                <w:lang w:val="en-GB"/>
              </w:rPr>
              <w:t>19</w:t>
            </w:r>
            <w:r w:rsidR="00994F33">
              <w:rPr>
                <w:bCs/>
                <w:noProof/>
                <w:szCs w:val="22"/>
                <w:lang w:val="en-GB"/>
              </w:rPr>
              <w:t>,</w:t>
            </w:r>
            <w:r w:rsidRPr="006F6037">
              <w:rPr>
                <w:bCs/>
                <w:noProof/>
                <w:szCs w:val="22"/>
                <w:lang w:val="en-GB"/>
              </w:rPr>
              <w:t>6</w:t>
            </w:r>
          </w:p>
        </w:tc>
      </w:tr>
      <w:tr w:rsidR="006F6037" w:rsidRPr="006F6037">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≥6</w:t>
            </w:r>
            <w:r w:rsidR="00994F33">
              <w:rPr>
                <w:bCs/>
                <w:noProof/>
                <w:szCs w:val="22"/>
                <w:lang w:val="en-GB"/>
              </w:rPr>
              <w:t>,</w:t>
            </w:r>
            <w:r w:rsidRPr="006F6037">
              <w:rPr>
                <w:bCs/>
                <w:noProof/>
                <w:szCs w:val="22"/>
                <w:lang w:val="en-GB"/>
              </w:rPr>
              <w:t>0</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5</w:t>
            </w:r>
            <w:r w:rsidR="00994F33">
              <w:rPr>
                <w:bCs/>
                <w:noProof/>
                <w:szCs w:val="22"/>
                <w:lang w:val="en-GB"/>
              </w:rPr>
              <w:t>,</w:t>
            </w:r>
            <w:r w:rsidRPr="006F6037">
              <w:rPr>
                <w:bCs/>
                <w:noProof/>
                <w:szCs w:val="22"/>
                <w:lang w:val="en-GB"/>
              </w:rPr>
              <w:t>0</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11</w:t>
            </w:r>
            <w:r w:rsidR="00994F33">
              <w:rPr>
                <w:bCs/>
                <w:noProof/>
                <w:szCs w:val="22"/>
                <w:lang w:val="en-GB"/>
              </w:rPr>
              <w:t>,</w:t>
            </w:r>
            <w:r w:rsidRPr="006F6037">
              <w:rPr>
                <w:bCs/>
                <w:noProof/>
                <w:szCs w:val="22"/>
                <w:lang w:val="en-GB"/>
              </w:rPr>
              <w:t>7</w:t>
            </w:r>
          </w:p>
        </w:tc>
        <w:tc>
          <w:tcPr>
            <w:tcW w:w="2326" w:type="dxa"/>
            <w:vAlign w:val="center"/>
          </w:tcPr>
          <w:p w:rsidR="006F6037" w:rsidRPr="006F6037" w:rsidRDefault="006F6037" w:rsidP="006F6037">
            <w:pPr>
              <w:jc w:val="center"/>
              <w:rPr>
                <w:bCs/>
                <w:noProof/>
                <w:szCs w:val="22"/>
                <w:lang w:val="en-GB"/>
              </w:rPr>
            </w:pPr>
            <w:r w:rsidRPr="006F6037">
              <w:rPr>
                <w:bCs/>
                <w:noProof/>
                <w:szCs w:val="22"/>
                <w:lang w:val="en-GB"/>
              </w:rPr>
              <w:t>14</w:t>
            </w:r>
            <w:r w:rsidR="00994F33">
              <w:rPr>
                <w:bCs/>
                <w:noProof/>
                <w:szCs w:val="22"/>
                <w:lang w:val="en-GB"/>
              </w:rPr>
              <w:t>,</w:t>
            </w:r>
            <w:r w:rsidRPr="006F6037">
              <w:rPr>
                <w:bCs/>
                <w:noProof/>
                <w:szCs w:val="22"/>
                <w:lang w:val="en-GB"/>
              </w:rPr>
              <w:t>4</w:t>
            </w:r>
          </w:p>
        </w:tc>
      </w:tr>
      <w:tr w:rsidR="006F6037" w:rsidRPr="006F6037">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≥7</w:t>
            </w:r>
            <w:r w:rsidR="00994F33">
              <w:rPr>
                <w:bCs/>
                <w:noProof/>
                <w:szCs w:val="22"/>
                <w:lang w:val="en-GB"/>
              </w:rPr>
              <w:t>,</w:t>
            </w:r>
            <w:r w:rsidRPr="006F6037">
              <w:rPr>
                <w:bCs/>
                <w:noProof/>
                <w:szCs w:val="22"/>
                <w:lang w:val="en-GB"/>
              </w:rPr>
              <w:t>0</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3</w:t>
            </w:r>
            <w:r w:rsidR="00994F33">
              <w:rPr>
                <w:bCs/>
                <w:noProof/>
                <w:szCs w:val="22"/>
                <w:lang w:val="en-GB"/>
              </w:rPr>
              <w:t>,</w:t>
            </w:r>
            <w:r w:rsidRPr="006F6037">
              <w:rPr>
                <w:bCs/>
                <w:noProof/>
                <w:szCs w:val="22"/>
                <w:lang w:val="en-GB"/>
              </w:rPr>
              <w:t>9</w:t>
            </w:r>
          </w:p>
        </w:tc>
        <w:tc>
          <w:tcPr>
            <w:tcW w:w="2325" w:type="dxa"/>
            <w:vAlign w:val="center"/>
          </w:tcPr>
          <w:p w:rsidR="006F6037" w:rsidRPr="006F6037" w:rsidRDefault="006F6037" w:rsidP="006F6037">
            <w:pPr>
              <w:jc w:val="center"/>
              <w:rPr>
                <w:bCs/>
                <w:noProof/>
                <w:szCs w:val="22"/>
                <w:lang w:val="en-GB"/>
              </w:rPr>
            </w:pPr>
            <w:r w:rsidRPr="006F6037">
              <w:rPr>
                <w:bCs/>
                <w:noProof/>
                <w:szCs w:val="22"/>
                <w:lang w:val="en-GB"/>
              </w:rPr>
              <w:t>9</w:t>
            </w:r>
            <w:r w:rsidR="00994F33">
              <w:rPr>
                <w:bCs/>
                <w:noProof/>
                <w:szCs w:val="22"/>
                <w:lang w:val="en-GB"/>
              </w:rPr>
              <w:t>,</w:t>
            </w:r>
            <w:r w:rsidRPr="006F6037">
              <w:rPr>
                <w:bCs/>
                <w:noProof/>
                <w:szCs w:val="22"/>
                <w:lang w:val="en-GB"/>
              </w:rPr>
              <w:t>1</w:t>
            </w:r>
          </w:p>
        </w:tc>
        <w:tc>
          <w:tcPr>
            <w:tcW w:w="2326" w:type="dxa"/>
            <w:vAlign w:val="center"/>
          </w:tcPr>
          <w:p w:rsidR="006F6037" w:rsidRPr="006F6037" w:rsidRDefault="006F6037" w:rsidP="006F6037">
            <w:pPr>
              <w:jc w:val="center"/>
              <w:rPr>
                <w:bCs/>
                <w:noProof/>
                <w:szCs w:val="22"/>
                <w:lang w:val="en-GB"/>
              </w:rPr>
            </w:pPr>
            <w:r w:rsidRPr="006F6037">
              <w:rPr>
                <w:bCs/>
                <w:noProof/>
                <w:szCs w:val="22"/>
                <w:lang w:val="en-GB"/>
              </w:rPr>
              <w:t>9</w:t>
            </w:r>
            <w:r w:rsidR="00994F33">
              <w:rPr>
                <w:bCs/>
                <w:noProof/>
                <w:szCs w:val="22"/>
                <w:lang w:val="en-GB"/>
              </w:rPr>
              <w:t>,</w:t>
            </w:r>
            <w:r w:rsidRPr="006F6037">
              <w:rPr>
                <w:bCs/>
                <w:noProof/>
                <w:szCs w:val="22"/>
                <w:lang w:val="en-GB"/>
              </w:rPr>
              <w:t>8</w:t>
            </w:r>
          </w:p>
        </w:tc>
      </w:tr>
      <w:tr w:rsidR="006F6037" w:rsidRPr="006F6037">
        <w:tc>
          <w:tcPr>
            <w:tcW w:w="2325" w:type="dxa"/>
            <w:tcBorders>
              <w:bottom w:val="single" w:sz="4" w:space="0" w:color="auto"/>
            </w:tcBorders>
            <w:vAlign w:val="center"/>
          </w:tcPr>
          <w:p w:rsidR="006F6037" w:rsidRPr="006F6037" w:rsidRDefault="006F6037" w:rsidP="006F6037">
            <w:pPr>
              <w:jc w:val="center"/>
              <w:rPr>
                <w:bCs/>
                <w:noProof/>
                <w:szCs w:val="22"/>
                <w:lang w:val="en-GB"/>
              </w:rPr>
            </w:pPr>
            <w:r w:rsidRPr="006F6037">
              <w:rPr>
                <w:bCs/>
                <w:noProof/>
                <w:szCs w:val="22"/>
                <w:lang w:val="en-GB"/>
              </w:rPr>
              <w:t>≥8</w:t>
            </w:r>
            <w:r w:rsidR="00994F33">
              <w:rPr>
                <w:bCs/>
                <w:noProof/>
                <w:szCs w:val="22"/>
                <w:lang w:val="en-GB"/>
              </w:rPr>
              <w:t>,</w:t>
            </w:r>
            <w:r w:rsidRPr="006F6037">
              <w:rPr>
                <w:bCs/>
                <w:noProof/>
                <w:szCs w:val="22"/>
                <w:lang w:val="en-GB"/>
              </w:rPr>
              <w:t>0</w:t>
            </w:r>
          </w:p>
        </w:tc>
        <w:tc>
          <w:tcPr>
            <w:tcW w:w="2325" w:type="dxa"/>
            <w:tcBorders>
              <w:bottom w:val="single" w:sz="4" w:space="0" w:color="auto"/>
            </w:tcBorders>
            <w:vAlign w:val="center"/>
          </w:tcPr>
          <w:p w:rsidR="006F6037" w:rsidRPr="006F6037" w:rsidRDefault="006F6037" w:rsidP="006F6037">
            <w:pPr>
              <w:jc w:val="center"/>
              <w:rPr>
                <w:bCs/>
                <w:noProof/>
                <w:szCs w:val="22"/>
                <w:lang w:val="en-GB"/>
              </w:rPr>
            </w:pPr>
            <w:r w:rsidRPr="006F6037">
              <w:rPr>
                <w:bCs/>
                <w:noProof/>
                <w:szCs w:val="22"/>
                <w:lang w:val="en-GB"/>
              </w:rPr>
              <w:t>2</w:t>
            </w:r>
            <w:r w:rsidR="00994F33">
              <w:rPr>
                <w:bCs/>
                <w:noProof/>
                <w:szCs w:val="22"/>
                <w:lang w:val="en-GB"/>
              </w:rPr>
              <w:t>,</w:t>
            </w:r>
            <w:r w:rsidRPr="006F6037">
              <w:rPr>
                <w:bCs/>
                <w:noProof/>
                <w:szCs w:val="22"/>
                <w:lang w:val="en-GB"/>
              </w:rPr>
              <w:t>9</w:t>
            </w:r>
          </w:p>
        </w:tc>
        <w:tc>
          <w:tcPr>
            <w:tcW w:w="2325" w:type="dxa"/>
            <w:tcBorders>
              <w:bottom w:val="single" w:sz="4" w:space="0" w:color="auto"/>
            </w:tcBorders>
            <w:vAlign w:val="center"/>
          </w:tcPr>
          <w:p w:rsidR="006F6037" w:rsidRPr="006F6037" w:rsidRDefault="006F6037" w:rsidP="006F6037">
            <w:pPr>
              <w:jc w:val="center"/>
              <w:rPr>
                <w:bCs/>
                <w:noProof/>
                <w:szCs w:val="22"/>
                <w:lang w:val="en-GB"/>
              </w:rPr>
            </w:pPr>
            <w:r w:rsidRPr="006F6037">
              <w:rPr>
                <w:bCs/>
                <w:noProof/>
                <w:szCs w:val="22"/>
                <w:lang w:val="en-GB"/>
              </w:rPr>
              <w:t>6</w:t>
            </w:r>
            <w:r w:rsidR="00994F33">
              <w:rPr>
                <w:bCs/>
                <w:noProof/>
                <w:szCs w:val="22"/>
                <w:lang w:val="en-GB"/>
              </w:rPr>
              <w:t>,</w:t>
            </w:r>
            <w:r w:rsidRPr="006F6037">
              <w:rPr>
                <w:bCs/>
                <w:noProof/>
                <w:szCs w:val="22"/>
                <w:lang w:val="en-GB"/>
              </w:rPr>
              <w:t>5</w:t>
            </w:r>
          </w:p>
        </w:tc>
        <w:tc>
          <w:tcPr>
            <w:tcW w:w="2326" w:type="dxa"/>
            <w:tcBorders>
              <w:bottom w:val="single" w:sz="4" w:space="0" w:color="auto"/>
            </w:tcBorders>
            <w:vAlign w:val="center"/>
          </w:tcPr>
          <w:p w:rsidR="006F6037" w:rsidRPr="006F6037" w:rsidRDefault="006F6037" w:rsidP="006F6037">
            <w:pPr>
              <w:jc w:val="center"/>
              <w:rPr>
                <w:bCs/>
                <w:noProof/>
                <w:szCs w:val="22"/>
                <w:lang w:val="en-GB"/>
              </w:rPr>
            </w:pPr>
            <w:r w:rsidRPr="006F6037">
              <w:rPr>
                <w:bCs/>
                <w:noProof/>
                <w:szCs w:val="22"/>
                <w:lang w:val="en-GB"/>
              </w:rPr>
              <w:t>8</w:t>
            </w:r>
            <w:r w:rsidR="00994F33">
              <w:rPr>
                <w:bCs/>
                <w:noProof/>
                <w:szCs w:val="22"/>
                <w:lang w:val="en-GB"/>
              </w:rPr>
              <w:t>,</w:t>
            </w:r>
            <w:r w:rsidRPr="006F6037">
              <w:rPr>
                <w:bCs/>
                <w:noProof/>
                <w:szCs w:val="22"/>
                <w:lang w:val="en-GB"/>
              </w:rPr>
              <w:t>3</w:t>
            </w:r>
          </w:p>
        </w:tc>
      </w:tr>
      <w:tr w:rsidR="006F6037" w:rsidRPr="003D2A71">
        <w:tc>
          <w:tcPr>
            <w:tcW w:w="9301" w:type="dxa"/>
            <w:gridSpan w:val="4"/>
            <w:tcBorders>
              <w:left w:val="nil"/>
              <w:bottom w:val="nil"/>
              <w:right w:val="nil"/>
            </w:tcBorders>
            <w:vAlign w:val="center"/>
          </w:tcPr>
          <w:p w:rsidR="006F6037" w:rsidRPr="003D2A71" w:rsidRDefault="006F6037" w:rsidP="006F6037">
            <w:pPr>
              <w:rPr>
                <w:bCs/>
                <w:noProof/>
                <w:szCs w:val="22"/>
              </w:rPr>
            </w:pPr>
            <w:r w:rsidRPr="003D2A71">
              <w:rPr>
                <w:bCs/>
                <w:noProof/>
                <w:szCs w:val="22"/>
              </w:rPr>
              <w:t>*</w:t>
            </w:r>
            <w:r w:rsidRPr="003D2A71">
              <w:rPr>
                <w:noProof/>
                <w:szCs w:val="22"/>
              </w:rPr>
              <w:t xml:space="preserve"> </w:t>
            </w:r>
            <w:r w:rsidR="003D2A71">
              <w:rPr>
                <w:bCs/>
                <w:noProof/>
                <w:szCs w:val="22"/>
              </w:rPr>
              <w:t>Η</w:t>
            </w:r>
            <w:r w:rsidR="003D2A71" w:rsidRPr="00D02B41">
              <w:rPr>
                <w:bCs/>
                <w:noProof/>
                <w:szCs w:val="22"/>
              </w:rPr>
              <w:t xml:space="preserve"> </w:t>
            </w:r>
            <w:r w:rsidR="003D2A71">
              <w:rPr>
                <w:bCs/>
                <w:noProof/>
                <w:szCs w:val="22"/>
              </w:rPr>
              <w:t>αρχική</w:t>
            </w:r>
            <w:r w:rsidR="003D2A71" w:rsidRPr="00D02B41">
              <w:rPr>
                <w:bCs/>
                <w:noProof/>
                <w:szCs w:val="22"/>
              </w:rPr>
              <w:t xml:space="preserve"> </w:t>
            </w:r>
            <w:r w:rsidR="003D2A71">
              <w:rPr>
                <w:bCs/>
                <w:noProof/>
                <w:szCs w:val="22"/>
              </w:rPr>
              <w:t>τιμή</w:t>
            </w:r>
            <w:r w:rsidR="003D2A71" w:rsidRPr="00D02B41">
              <w:rPr>
                <w:bCs/>
                <w:noProof/>
                <w:szCs w:val="22"/>
              </w:rPr>
              <w:t xml:space="preserve"> </w:t>
            </w:r>
            <w:r w:rsidR="003D2A71">
              <w:rPr>
                <w:bCs/>
                <w:noProof/>
                <w:szCs w:val="22"/>
              </w:rPr>
              <w:t>μεταφέρθηκε</w:t>
            </w:r>
            <w:r w:rsidR="003D2A71" w:rsidRPr="00D02B41">
              <w:rPr>
                <w:bCs/>
                <w:noProof/>
                <w:szCs w:val="22"/>
              </w:rPr>
              <w:t xml:space="preserve"> </w:t>
            </w:r>
            <w:r w:rsidR="003D2A71">
              <w:rPr>
                <w:bCs/>
                <w:noProof/>
                <w:szCs w:val="22"/>
              </w:rPr>
              <w:t>για</w:t>
            </w:r>
            <w:r w:rsidR="003D2A71" w:rsidRPr="00D02B41">
              <w:rPr>
                <w:bCs/>
                <w:noProof/>
                <w:szCs w:val="22"/>
              </w:rPr>
              <w:t xml:space="preserve"> </w:t>
            </w:r>
            <w:r w:rsidR="003D2A71">
              <w:rPr>
                <w:bCs/>
                <w:noProof/>
                <w:szCs w:val="22"/>
              </w:rPr>
              <w:t>τα</w:t>
            </w:r>
            <w:r w:rsidR="003D2A71" w:rsidRPr="00D02B41">
              <w:rPr>
                <w:bCs/>
                <w:noProof/>
                <w:szCs w:val="22"/>
              </w:rPr>
              <w:t xml:space="preserve"> </w:t>
            </w:r>
            <w:r w:rsidR="003D2A71">
              <w:rPr>
                <w:bCs/>
                <w:noProof/>
                <w:szCs w:val="22"/>
              </w:rPr>
              <w:t>άτομα</w:t>
            </w:r>
            <w:r w:rsidR="003D2A71" w:rsidRPr="00D02B41">
              <w:rPr>
                <w:bCs/>
                <w:noProof/>
                <w:szCs w:val="22"/>
              </w:rPr>
              <w:t xml:space="preserve"> </w:t>
            </w:r>
            <w:r w:rsidR="003D2A71">
              <w:rPr>
                <w:bCs/>
                <w:noProof/>
                <w:szCs w:val="22"/>
              </w:rPr>
              <w:t>που</w:t>
            </w:r>
            <w:r w:rsidR="003D2A71" w:rsidRPr="00D02B41">
              <w:rPr>
                <w:bCs/>
                <w:noProof/>
                <w:szCs w:val="22"/>
              </w:rPr>
              <w:t xml:space="preserve"> </w:t>
            </w:r>
            <w:r w:rsidR="003D2A71">
              <w:rPr>
                <w:bCs/>
                <w:noProof/>
                <w:szCs w:val="22"/>
              </w:rPr>
              <w:t>δεν</w:t>
            </w:r>
            <w:r w:rsidR="003D2A71" w:rsidRPr="00D02B41">
              <w:rPr>
                <w:bCs/>
                <w:noProof/>
                <w:szCs w:val="22"/>
              </w:rPr>
              <w:t xml:space="preserve"> </w:t>
            </w:r>
            <w:r w:rsidR="003D2A71">
              <w:rPr>
                <w:bCs/>
                <w:noProof/>
                <w:szCs w:val="22"/>
              </w:rPr>
              <w:t>έχουν</w:t>
            </w:r>
            <w:r w:rsidR="003D2A71" w:rsidRPr="00D02B41">
              <w:rPr>
                <w:bCs/>
                <w:noProof/>
                <w:szCs w:val="22"/>
              </w:rPr>
              <w:t xml:space="preserve"> </w:t>
            </w:r>
            <w:r w:rsidR="003D2A71">
              <w:rPr>
                <w:bCs/>
                <w:noProof/>
                <w:szCs w:val="22"/>
              </w:rPr>
              <w:t>δεδομένα</w:t>
            </w:r>
            <w:r w:rsidR="003D2A71" w:rsidRPr="00D02B41">
              <w:rPr>
                <w:bCs/>
                <w:noProof/>
                <w:szCs w:val="22"/>
              </w:rPr>
              <w:t xml:space="preserve"> </w:t>
            </w:r>
            <w:r w:rsidR="003D2A71">
              <w:rPr>
                <w:bCs/>
                <w:noProof/>
                <w:szCs w:val="22"/>
              </w:rPr>
              <w:t>μετά</w:t>
            </w:r>
            <w:r w:rsidR="003D2A71" w:rsidRPr="00D02B41">
              <w:rPr>
                <w:bCs/>
                <w:noProof/>
                <w:szCs w:val="22"/>
              </w:rPr>
              <w:t xml:space="preserve"> </w:t>
            </w:r>
            <w:r w:rsidR="003D2A71">
              <w:rPr>
                <w:bCs/>
                <w:noProof/>
                <w:szCs w:val="22"/>
              </w:rPr>
              <w:t>την</w:t>
            </w:r>
            <w:r w:rsidR="003D2A71" w:rsidRPr="00D02B41">
              <w:rPr>
                <w:bCs/>
                <w:noProof/>
                <w:szCs w:val="22"/>
              </w:rPr>
              <w:t xml:space="preserve"> </w:t>
            </w:r>
            <w:r w:rsidR="003D2A71">
              <w:rPr>
                <w:bCs/>
                <w:noProof/>
                <w:szCs w:val="22"/>
              </w:rPr>
              <w:t>αρχή</w:t>
            </w:r>
            <w:r w:rsidRPr="003D2A71">
              <w:rPr>
                <w:noProof/>
                <w:szCs w:val="22"/>
              </w:rPr>
              <w:t>.</w:t>
            </w:r>
          </w:p>
        </w:tc>
      </w:tr>
    </w:tbl>
    <w:p w:rsidR="008F2DD2" w:rsidRPr="003D2A71" w:rsidRDefault="008F2DD2" w:rsidP="00DD10F5">
      <w:pPr>
        <w:rPr>
          <w:noProof/>
          <w:szCs w:val="22"/>
        </w:rPr>
      </w:pPr>
    </w:p>
    <w:p w:rsidR="001A2FFE" w:rsidRPr="0007023B" w:rsidRDefault="001A2FFE" w:rsidP="00DD10F5">
      <w:pPr>
        <w:rPr>
          <w:szCs w:val="22"/>
        </w:rPr>
      </w:pPr>
      <w:r w:rsidRPr="001F3AFA">
        <w:rPr>
          <w:szCs w:val="22"/>
        </w:rPr>
        <w:t xml:space="preserve">Το μέγεθος της παράτασης του IELT σχετίστηκε με τον αρχικό IELT και ποίκιλε μεταξύ των ατόμων. Η κλινική σχέση των επιδράσεων </w:t>
      </w:r>
      <w:r w:rsidR="00046BB6">
        <w:rPr>
          <w:szCs w:val="22"/>
        </w:rPr>
        <w:t xml:space="preserve">της </w:t>
      </w:r>
      <w:r w:rsidRPr="001F3AFA">
        <w:rPr>
          <w:szCs w:val="22"/>
        </w:rPr>
        <w:t xml:space="preserve">θεραπείας </w:t>
      </w:r>
      <w:r w:rsidR="00046BB6">
        <w:rPr>
          <w:szCs w:val="22"/>
        </w:rPr>
        <w:t>με το</w:t>
      </w:r>
      <w:r w:rsidRPr="001F3AFA">
        <w:rPr>
          <w:szCs w:val="22"/>
        </w:rPr>
        <w:t xml:space="preserve"> Priligy </w:t>
      </w:r>
      <w:r w:rsidR="00046BB6">
        <w:rPr>
          <w:szCs w:val="22"/>
        </w:rPr>
        <w:t>καταδείχθηκε</w:t>
      </w:r>
      <w:r w:rsidRPr="001F3AFA">
        <w:rPr>
          <w:szCs w:val="22"/>
        </w:rPr>
        <w:t xml:space="preserve"> περαιτέρω στο πλαίσιο </w:t>
      </w:r>
      <w:r w:rsidR="00AE5E1C">
        <w:rPr>
          <w:szCs w:val="22"/>
        </w:rPr>
        <w:t>διαφόρων</w:t>
      </w:r>
      <w:r w:rsidR="00AE5E1C" w:rsidRPr="001F3AFA">
        <w:rPr>
          <w:szCs w:val="22"/>
        </w:rPr>
        <w:t xml:space="preserve"> </w:t>
      </w:r>
      <w:r w:rsidR="00046BB6">
        <w:rPr>
          <w:szCs w:val="22"/>
        </w:rPr>
        <w:t xml:space="preserve">αναφερόμενων από τον ασθενή </w:t>
      </w:r>
      <w:r w:rsidRPr="00466B80">
        <w:rPr>
          <w:szCs w:val="22"/>
        </w:rPr>
        <w:t>μέτρων έκβασης</w:t>
      </w:r>
      <w:r w:rsidRPr="001F3AFA">
        <w:rPr>
          <w:szCs w:val="22"/>
        </w:rPr>
        <w:t xml:space="preserve"> και στην ανάλυση των </w:t>
      </w:r>
      <w:r w:rsidR="00046BB6">
        <w:rPr>
          <w:szCs w:val="22"/>
        </w:rPr>
        <w:t>ασθενών</w:t>
      </w:r>
      <w:r w:rsidR="00AE5E1C">
        <w:rPr>
          <w:szCs w:val="22"/>
        </w:rPr>
        <w:t xml:space="preserve"> που ανταποκρίθηκαν</w:t>
      </w:r>
      <w:r w:rsidRPr="001F3AFA">
        <w:rPr>
          <w:szCs w:val="22"/>
        </w:rPr>
        <w:t>.</w:t>
      </w:r>
    </w:p>
    <w:p w:rsidR="001A2FFE" w:rsidRPr="0007023B" w:rsidRDefault="001A2FFE" w:rsidP="00DD10F5">
      <w:pPr>
        <w:rPr>
          <w:szCs w:val="22"/>
        </w:rPr>
      </w:pPr>
      <w:r w:rsidRPr="001F3AFA">
        <w:rPr>
          <w:szCs w:val="22"/>
        </w:rPr>
        <w:t>Ως ανταποκριθείς ορίστηκε το άτομ</w:t>
      </w:r>
      <w:r w:rsidR="00046BB6">
        <w:rPr>
          <w:szCs w:val="22"/>
        </w:rPr>
        <w:t>ο</w:t>
      </w:r>
      <w:r w:rsidRPr="001F3AFA">
        <w:rPr>
          <w:szCs w:val="22"/>
        </w:rPr>
        <w:t xml:space="preserve"> με αύξηση κατά τουλάχιστον 2 κατηγορίες σε σχέση με τον έλεγχο της εκσπερμάτισης συν μείωση κατά τουλάχιστον 1 κατηγορία στη δυσφορία που σχετίζεται με την εκσπερμάτιση. Στατιστικά σημαντικό μεγαλύτερο ποσοστό ατόμων ανταποκρίθηκε σε κάθε μία από τις ομάδες του Priligy έναντι του εικονικού φαρμάκου στο τέλος της εβδομάδας 12 ή 24 της μελέτης. Υπήρξε υψηλότερο ποσοστό ανταποκριθέντων στις ομάδες των 30</w:t>
      </w:r>
      <w:r w:rsidR="00DC18E3">
        <w:rPr>
          <w:szCs w:val="22"/>
        </w:rPr>
        <w:t> mg</w:t>
      </w:r>
      <w:r w:rsidRPr="001F3AFA">
        <w:rPr>
          <w:szCs w:val="22"/>
        </w:rPr>
        <w:t xml:space="preserve"> (</w:t>
      </w:r>
      <w:r w:rsidR="005B3663">
        <w:rPr>
          <w:szCs w:val="22"/>
        </w:rPr>
        <w:t>11,1</w:t>
      </w:r>
      <w:r w:rsidRPr="001F3AFA">
        <w:rPr>
          <w:szCs w:val="22"/>
        </w:rPr>
        <w:t>% - 95% ΔΕ [</w:t>
      </w:r>
      <w:r w:rsidR="005B3663">
        <w:rPr>
          <w:szCs w:val="22"/>
        </w:rPr>
        <w:t>7,24</w:t>
      </w:r>
      <w:r w:rsidRPr="001F3AFA">
        <w:rPr>
          <w:szCs w:val="22"/>
        </w:rPr>
        <w:t xml:space="preserve">, </w:t>
      </w:r>
      <w:r w:rsidR="005B3663">
        <w:rPr>
          <w:szCs w:val="22"/>
        </w:rPr>
        <w:t>14,87</w:t>
      </w:r>
      <w:r w:rsidRPr="001F3AFA">
        <w:rPr>
          <w:szCs w:val="22"/>
        </w:rPr>
        <w:t>]) και 60</w:t>
      </w:r>
      <w:r w:rsidR="00DC18E3">
        <w:rPr>
          <w:szCs w:val="22"/>
        </w:rPr>
        <w:t> mg</w:t>
      </w:r>
      <w:r w:rsidRPr="001F3AFA">
        <w:rPr>
          <w:szCs w:val="22"/>
        </w:rPr>
        <w:t xml:space="preserve"> (</w:t>
      </w:r>
      <w:r w:rsidR="005B3663">
        <w:rPr>
          <w:szCs w:val="22"/>
        </w:rPr>
        <w:t>16,4</w:t>
      </w:r>
      <w:r w:rsidRPr="001F3AFA">
        <w:rPr>
          <w:szCs w:val="22"/>
        </w:rPr>
        <w:t>% - 95% ΔΕ [</w:t>
      </w:r>
      <w:r w:rsidR="005B3663">
        <w:rPr>
          <w:szCs w:val="22"/>
        </w:rPr>
        <w:t>13,01</w:t>
      </w:r>
      <w:r w:rsidRPr="001F3AFA">
        <w:rPr>
          <w:szCs w:val="22"/>
        </w:rPr>
        <w:t xml:space="preserve">, </w:t>
      </w:r>
      <w:r w:rsidR="005B3663">
        <w:rPr>
          <w:szCs w:val="22"/>
        </w:rPr>
        <w:t>19,75</w:t>
      </w:r>
      <w:r w:rsidRPr="001F3AFA">
        <w:rPr>
          <w:szCs w:val="22"/>
        </w:rPr>
        <w:t>]) δαποξετίνης συγκριτικά με την ομάδα του εικονικού φαρμάκου στην εβδομάδα 12 (</w:t>
      </w:r>
      <w:r w:rsidR="005B3663">
        <w:rPr>
          <w:szCs w:val="22"/>
        </w:rPr>
        <w:t>συγκεντρωτική</w:t>
      </w:r>
      <w:r w:rsidR="005B3663" w:rsidRPr="001F3AFA">
        <w:rPr>
          <w:szCs w:val="22"/>
        </w:rPr>
        <w:t xml:space="preserve"> </w:t>
      </w:r>
      <w:r w:rsidRPr="001F3AFA">
        <w:rPr>
          <w:szCs w:val="22"/>
        </w:rPr>
        <w:t>ανάλυση).</w:t>
      </w:r>
    </w:p>
    <w:p w:rsidR="001A2FFE" w:rsidRPr="001F3AFA" w:rsidRDefault="001A2FFE" w:rsidP="00DD10F5">
      <w:pPr>
        <w:autoSpaceDE w:val="0"/>
        <w:autoSpaceDN w:val="0"/>
        <w:adjustRightInd w:val="0"/>
        <w:rPr>
          <w:i/>
          <w:szCs w:val="22"/>
        </w:rPr>
      </w:pPr>
      <w:r w:rsidRPr="001F3AFA">
        <w:rPr>
          <w:szCs w:val="22"/>
        </w:rPr>
        <w:t>Η κλινική συσχέτιση των επιδράσεων της θεραπείας με Priligy παρουσιάζεται ανά ομάδα θεραπείας σύμφωνα με τη μέτρηση έκβασης της κλινικής συνολικής εντύπωσης μεταβολής του ατόμου</w:t>
      </w:r>
      <w:r w:rsidR="00734675">
        <w:rPr>
          <w:szCs w:val="22"/>
        </w:rPr>
        <w:t xml:space="preserve"> (</w:t>
      </w:r>
      <w:r w:rsidR="00734675">
        <w:rPr>
          <w:szCs w:val="22"/>
          <w:lang w:val="en-US"/>
        </w:rPr>
        <w:t>Clinical</w:t>
      </w:r>
      <w:r w:rsidR="00734675" w:rsidRPr="00734675">
        <w:rPr>
          <w:szCs w:val="22"/>
        </w:rPr>
        <w:t xml:space="preserve"> </w:t>
      </w:r>
      <w:r w:rsidR="00734675">
        <w:rPr>
          <w:szCs w:val="22"/>
          <w:lang w:val="en-US"/>
        </w:rPr>
        <w:t>Global</w:t>
      </w:r>
      <w:r w:rsidR="00734675" w:rsidRPr="00734675">
        <w:rPr>
          <w:szCs w:val="22"/>
        </w:rPr>
        <w:t xml:space="preserve"> </w:t>
      </w:r>
      <w:r w:rsidR="00734675">
        <w:rPr>
          <w:szCs w:val="22"/>
          <w:lang w:val="en-US"/>
        </w:rPr>
        <w:t>Impression</w:t>
      </w:r>
      <w:r w:rsidR="00734675" w:rsidRPr="00734675">
        <w:rPr>
          <w:szCs w:val="22"/>
        </w:rPr>
        <w:t xml:space="preserve"> </w:t>
      </w:r>
      <w:r w:rsidR="00734675">
        <w:rPr>
          <w:szCs w:val="22"/>
          <w:lang w:val="en-US"/>
        </w:rPr>
        <w:t>of</w:t>
      </w:r>
      <w:r w:rsidR="00734675" w:rsidRPr="00734675">
        <w:rPr>
          <w:szCs w:val="22"/>
        </w:rPr>
        <w:t xml:space="preserve"> </w:t>
      </w:r>
      <w:r w:rsidR="00734675">
        <w:rPr>
          <w:szCs w:val="22"/>
          <w:lang w:val="en-US"/>
        </w:rPr>
        <w:t>Change</w:t>
      </w:r>
      <w:r w:rsidR="00734675" w:rsidRPr="00734675">
        <w:rPr>
          <w:szCs w:val="22"/>
        </w:rPr>
        <w:t xml:space="preserve">, </w:t>
      </w:r>
      <w:r w:rsidR="00734675">
        <w:rPr>
          <w:szCs w:val="22"/>
          <w:lang w:val="en-US"/>
        </w:rPr>
        <w:t>CGIC</w:t>
      </w:r>
      <w:r w:rsidR="00734675" w:rsidRPr="00734675">
        <w:rPr>
          <w:szCs w:val="22"/>
        </w:rPr>
        <w:t>)</w:t>
      </w:r>
      <w:r w:rsidRPr="001F3AFA">
        <w:rPr>
          <w:szCs w:val="22"/>
        </w:rPr>
        <w:t xml:space="preserve">, στην οποία </w:t>
      </w:r>
      <w:r w:rsidR="00734675" w:rsidRPr="001F3AFA">
        <w:rPr>
          <w:szCs w:val="22"/>
        </w:rPr>
        <w:t>ζητείται</w:t>
      </w:r>
      <w:r w:rsidRPr="001F3AFA">
        <w:rPr>
          <w:szCs w:val="22"/>
        </w:rPr>
        <w:t xml:space="preserve"> από τους ασθενείς να συγκρίνουν την πρόωρη εκσπερμάτιση από την έναρξη της μελέτης με επιλογές </w:t>
      </w:r>
      <w:r w:rsidR="00734675">
        <w:rPr>
          <w:szCs w:val="22"/>
        </w:rPr>
        <w:t>απάντησης</w:t>
      </w:r>
      <w:r w:rsidR="00734675" w:rsidRPr="001F3AFA">
        <w:rPr>
          <w:szCs w:val="22"/>
        </w:rPr>
        <w:t xml:space="preserve"> </w:t>
      </w:r>
      <w:r w:rsidRPr="001F3AFA">
        <w:rPr>
          <w:szCs w:val="22"/>
        </w:rPr>
        <w:t xml:space="preserve">που ποικίλουν από την πολύ καλύτερη (ανταπόκριση) </w:t>
      </w:r>
      <w:r w:rsidR="00734675">
        <w:rPr>
          <w:szCs w:val="22"/>
        </w:rPr>
        <w:t>έως την</w:t>
      </w:r>
      <w:r w:rsidR="00734675" w:rsidRPr="001F3AFA">
        <w:rPr>
          <w:szCs w:val="22"/>
        </w:rPr>
        <w:t xml:space="preserve"> </w:t>
      </w:r>
      <w:r w:rsidRPr="001F3AFA">
        <w:rPr>
          <w:szCs w:val="22"/>
        </w:rPr>
        <w:t>πολύ χειρότερη.</w:t>
      </w:r>
      <w:r w:rsidRPr="001F3AFA">
        <w:rPr>
          <w:color w:val="000000"/>
          <w:szCs w:val="22"/>
        </w:rPr>
        <w:t xml:space="preserve"> Στο τέλος της μελέτης, το </w:t>
      </w:r>
      <w:r w:rsidR="00734675">
        <w:rPr>
          <w:szCs w:val="22"/>
        </w:rPr>
        <w:t>28,4</w:t>
      </w:r>
      <w:r w:rsidRPr="001F3AFA">
        <w:rPr>
          <w:szCs w:val="22"/>
        </w:rPr>
        <w:t>% (ομάδα των 30</w:t>
      </w:r>
      <w:r w:rsidR="00DC18E3">
        <w:rPr>
          <w:szCs w:val="22"/>
        </w:rPr>
        <w:t> mg</w:t>
      </w:r>
      <w:r w:rsidRPr="001F3AFA">
        <w:rPr>
          <w:szCs w:val="22"/>
        </w:rPr>
        <w:t xml:space="preserve">) και το </w:t>
      </w:r>
      <w:r w:rsidR="00734675">
        <w:rPr>
          <w:szCs w:val="22"/>
        </w:rPr>
        <w:t>35,5</w:t>
      </w:r>
      <w:r w:rsidRPr="001F3AFA">
        <w:rPr>
          <w:szCs w:val="22"/>
        </w:rPr>
        <w:t>% (ομάδα των 60</w:t>
      </w:r>
      <w:r w:rsidR="00DC18E3">
        <w:rPr>
          <w:szCs w:val="22"/>
        </w:rPr>
        <w:t> mg</w:t>
      </w:r>
      <w:r w:rsidRPr="001F3AFA">
        <w:rPr>
          <w:szCs w:val="22"/>
        </w:rPr>
        <w:t xml:space="preserve">) των ατόμων ανέφεραν την κατάστασή τους ως «καλύτερη» ή «πολύ καλύτερη» συγκριτικά με το </w:t>
      </w:r>
      <w:r w:rsidR="00734675">
        <w:rPr>
          <w:szCs w:val="22"/>
        </w:rPr>
        <w:t>14</w:t>
      </w:r>
      <w:r w:rsidRPr="001F3AFA">
        <w:rPr>
          <w:szCs w:val="22"/>
        </w:rPr>
        <w:t xml:space="preserve">% για το εικονικό φάρμακο, ενώ το </w:t>
      </w:r>
      <w:r w:rsidR="00734675">
        <w:rPr>
          <w:szCs w:val="22"/>
        </w:rPr>
        <w:t>53,4</w:t>
      </w:r>
      <w:r w:rsidRPr="001F3AFA">
        <w:rPr>
          <w:szCs w:val="22"/>
        </w:rPr>
        <w:t xml:space="preserve">% και </w:t>
      </w:r>
      <w:r w:rsidR="00734675">
        <w:rPr>
          <w:szCs w:val="22"/>
        </w:rPr>
        <w:t>65,6</w:t>
      </w:r>
      <w:r w:rsidRPr="001F3AFA">
        <w:rPr>
          <w:szCs w:val="22"/>
        </w:rPr>
        <w:t xml:space="preserve">% των ατόμων που </w:t>
      </w:r>
      <w:r w:rsidR="00734675">
        <w:rPr>
          <w:szCs w:val="22"/>
        </w:rPr>
        <w:t>έλαβαν θεραπεία</w:t>
      </w:r>
      <w:r w:rsidR="00734675" w:rsidRPr="001F3AFA">
        <w:rPr>
          <w:szCs w:val="22"/>
        </w:rPr>
        <w:t xml:space="preserve"> </w:t>
      </w:r>
      <w:r w:rsidRPr="001F3AFA">
        <w:rPr>
          <w:szCs w:val="22"/>
        </w:rPr>
        <w:t>με 30</w:t>
      </w:r>
      <w:r w:rsidR="00DC18E3">
        <w:rPr>
          <w:szCs w:val="22"/>
        </w:rPr>
        <w:t> mg</w:t>
      </w:r>
      <w:r w:rsidRPr="001F3AFA">
        <w:rPr>
          <w:szCs w:val="22"/>
        </w:rPr>
        <w:t xml:space="preserve"> και 60</w:t>
      </w:r>
      <w:r w:rsidR="00DC18E3">
        <w:rPr>
          <w:szCs w:val="22"/>
        </w:rPr>
        <w:t> mg</w:t>
      </w:r>
      <w:r w:rsidRPr="001F3AFA">
        <w:rPr>
          <w:szCs w:val="22"/>
        </w:rPr>
        <w:t xml:space="preserve"> δαποξετίνης αντίστοιχα, ανέφεραν την κατάστασή τους ως τουλάχιστον «ελαφρώς καλύτερη», συγκριτικά με το </w:t>
      </w:r>
      <w:r w:rsidR="00E63032">
        <w:rPr>
          <w:szCs w:val="22"/>
        </w:rPr>
        <w:t>28,8</w:t>
      </w:r>
      <w:r w:rsidRPr="001F3AFA">
        <w:rPr>
          <w:szCs w:val="22"/>
        </w:rPr>
        <w:t>% για το εικονικό φάρμακο.</w:t>
      </w:r>
    </w:p>
    <w:p w:rsidR="00B86D1B" w:rsidRPr="001F3AFA" w:rsidRDefault="00B86D1B" w:rsidP="00DD10F5">
      <w:pPr>
        <w:rPr>
          <w:szCs w:val="22"/>
        </w:rPr>
      </w:pPr>
    </w:p>
    <w:p w:rsidR="00B86D1B" w:rsidRPr="0007023B" w:rsidRDefault="00B86D1B" w:rsidP="00DD10F5">
      <w:pPr>
        <w:rPr>
          <w:b/>
          <w:szCs w:val="22"/>
          <w:lang w:val="en-US"/>
        </w:rPr>
      </w:pPr>
      <w:r w:rsidRPr="001F3AFA">
        <w:rPr>
          <w:b/>
          <w:szCs w:val="22"/>
        </w:rPr>
        <w:t>5.2</w:t>
      </w:r>
      <w:r w:rsidRPr="001F3AFA">
        <w:rPr>
          <w:b/>
          <w:szCs w:val="22"/>
        </w:rPr>
        <w:tab/>
        <w:t>Φαρμακοκινητικές ιδιότητες</w:t>
      </w:r>
    </w:p>
    <w:p w:rsidR="001A2FFE" w:rsidRPr="0007023B" w:rsidRDefault="001A2FFE" w:rsidP="00DD10F5">
      <w:pPr>
        <w:rPr>
          <w:szCs w:val="22"/>
          <w:u w:val="single"/>
          <w:lang w:val="en-US"/>
        </w:rPr>
      </w:pPr>
      <w:r w:rsidRPr="0011423F">
        <w:rPr>
          <w:szCs w:val="22"/>
          <w:u w:val="single"/>
        </w:rPr>
        <w:t>Απορρόφηση</w:t>
      </w:r>
    </w:p>
    <w:p w:rsidR="001A2FFE" w:rsidRPr="0007023B" w:rsidRDefault="001A2FFE" w:rsidP="00DD10F5">
      <w:pPr>
        <w:rPr>
          <w:szCs w:val="22"/>
        </w:rPr>
      </w:pPr>
      <w:r w:rsidRPr="001F3AFA">
        <w:rPr>
          <w:szCs w:val="22"/>
        </w:rPr>
        <w:t>Η δαποξετίνη απορροφάται ταχέως με τις μέγιστες συγκεντρώσεις στο πλάσμα (C</w:t>
      </w:r>
      <w:r w:rsidRPr="001F3AFA">
        <w:rPr>
          <w:szCs w:val="22"/>
          <w:vertAlign w:val="subscript"/>
        </w:rPr>
        <w:t>max</w:t>
      </w:r>
      <w:r w:rsidRPr="001F3AFA">
        <w:rPr>
          <w:szCs w:val="22"/>
        </w:rPr>
        <w:t>) να επιτυγχάνονται περίπου 1-2 ώρες μετά από τη λήψη του δισκίου. Η απόλυτη βιοδιαθεσιμότητα είναι 42% (εύρος 15</w:t>
      </w:r>
      <w:r w:rsidRPr="001F3AFA">
        <w:rPr>
          <w:szCs w:val="22"/>
        </w:rPr>
        <w:sym w:font="Symbol" w:char="F02D"/>
      </w:r>
      <w:r w:rsidRPr="001F3AFA">
        <w:rPr>
          <w:szCs w:val="22"/>
        </w:rPr>
        <w:t>76%) και παρατηρήθηκ</w:t>
      </w:r>
      <w:r w:rsidR="001059E5">
        <w:rPr>
          <w:szCs w:val="22"/>
        </w:rPr>
        <w:t>αν</w:t>
      </w:r>
      <w:r w:rsidRPr="001F3AFA">
        <w:rPr>
          <w:szCs w:val="22"/>
        </w:rPr>
        <w:t xml:space="preserve"> αναλογικές προς τη δόση αυξήσεις στην έκθεση (AUC και C</w:t>
      </w:r>
      <w:r w:rsidRPr="001F3AFA">
        <w:rPr>
          <w:szCs w:val="22"/>
          <w:vertAlign w:val="subscript"/>
        </w:rPr>
        <w:t>max</w:t>
      </w:r>
      <w:r w:rsidRPr="001F3AFA">
        <w:rPr>
          <w:szCs w:val="22"/>
        </w:rPr>
        <w:t xml:space="preserve">) μεταξύ των </w:t>
      </w:r>
      <w:r w:rsidR="002758C2">
        <w:rPr>
          <w:szCs w:val="22"/>
        </w:rPr>
        <w:t>περιεκτικοτήτων των</w:t>
      </w:r>
      <w:r w:rsidRPr="001F3AFA">
        <w:rPr>
          <w:szCs w:val="22"/>
        </w:rPr>
        <w:t xml:space="preserve"> 30 και 60</w:t>
      </w:r>
      <w:r w:rsidR="00DC18E3">
        <w:rPr>
          <w:szCs w:val="22"/>
        </w:rPr>
        <w:t> mg</w:t>
      </w:r>
      <w:r w:rsidRPr="001F3AFA">
        <w:rPr>
          <w:szCs w:val="22"/>
        </w:rPr>
        <w:t>. Μετά από πολλαπλές δόσεις, οι τιμές της AUC τόσο για τη δαποξετίνη όσο και για το δραστικό μεταβολίτη, τη δεσμεθυλδαποξετίνη (DED) αυξάνονται κατά περίπου 50% συγκριτικά με τις τιμές της AUC για τη μία δόση.</w:t>
      </w:r>
    </w:p>
    <w:p w:rsidR="001A2FFE" w:rsidRPr="001F3AFA" w:rsidRDefault="001A2FFE" w:rsidP="00DD10F5">
      <w:pPr>
        <w:rPr>
          <w:szCs w:val="22"/>
        </w:rPr>
      </w:pPr>
      <w:r w:rsidRPr="001F3AFA">
        <w:rPr>
          <w:szCs w:val="22"/>
        </w:rPr>
        <w:t xml:space="preserve">Η πέψη υψηλού σε λιπαρά γεύματος μείωσε </w:t>
      </w:r>
      <w:r w:rsidR="009F57D0">
        <w:rPr>
          <w:szCs w:val="22"/>
        </w:rPr>
        <w:t>μετρίως</w:t>
      </w:r>
      <w:r w:rsidR="009F57D0" w:rsidRPr="001F3AFA">
        <w:rPr>
          <w:szCs w:val="22"/>
        </w:rPr>
        <w:t xml:space="preserve"> </w:t>
      </w:r>
      <w:r w:rsidRPr="001F3AFA">
        <w:rPr>
          <w:szCs w:val="22"/>
        </w:rPr>
        <w:t>τη C</w:t>
      </w:r>
      <w:r w:rsidRPr="001F3AFA">
        <w:rPr>
          <w:szCs w:val="22"/>
          <w:vertAlign w:val="subscript"/>
        </w:rPr>
        <w:t>max</w:t>
      </w:r>
      <w:r w:rsidRPr="001F3AFA">
        <w:rPr>
          <w:szCs w:val="22"/>
        </w:rPr>
        <w:t xml:space="preserve"> (κατά 10%) και αύξησε </w:t>
      </w:r>
      <w:r w:rsidR="009F57D0">
        <w:rPr>
          <w:szCs w:val="22"/>
        </w:rPr>
        <w:t>μετρίως</w:t>
      </w:r>
      <w:r w:rsidR="009F57D0" w:rsidRPr="001F3AFA">
        <w:rPr>
          <w:szCs w:val="22"/>
        </w:rPr>
        <w:t xml:space="preserve"> </w:t>
      </w:r>
      <w:r w:rsidRPr="001F3AFA">
        <w:rPr>
          <w:szCs w:val="22"/>
        </w:rPr>
        <w:t xml:space="preserve">την AUC (κατά 12%) της δαποξετίνης και επιβράδυνε ελαφρά τον χρόνο για την επίτευξη </w:t>
      </w:r>
      <w:r w:rsidR="009F57D0">
        <w:rPr>
          <w:szCs w:val="22"/>
        </w:rPr>
        <w:t>των μέγιστων</w:t>
      </w:r>
      <w:r w:rsidR="009F57D0" w:rsidRPr="001F3AFA">
        <w:rPr>
          <w:szCs w:val="22"/>
        </w:rPr>
        <w:t xml:space="preserve"> </w:t>
      </w:r>
      <w:r w:rsidRPr="001F3AFA">
        <w:rPr>
          <w:szCs w:val="22"/>
        </w:rPr>
        <w:t xml:space="preserve">συγκεντρώσεων της δαποξετίνης. Οι μεταβολές αυτές δεν είναι κλινικά σημαντικές. Το Priligy μπορεί να </w:t>
      </w:r>
      <w:r w:rsidR="001059E5">
        <w:rPr>
          <w:szCs w:val="22"/>
        </w:rPr>
        <w:t>λαμβάνεται</w:t>
      </w:r>
      <w:r w:rsidRPr="001F3AFA">
        <w:rPr>
          <w:szCs w:val="22"/>
        </w:rPr>
        <w:t xml:space="preserve"> µε ή χωρίς τροφή.</w:t>
      </w:r>
    </w:p>
    <w:p w:rsidR="001A2FFE" w:rsidRPr="001F3AFA" w:rsidRDefault="001A2FFE" w:rsidP="00DD10F5">
      <w:pPr>
        <w:rPr>
          <w:b/>
          <w:szCs w:val="22"/>
        </w:rPr>
      </w:pPr>
    </w:p>
    <w:p w:rsidR="001A2FFE" w:rsidRPr="0007023B" w:rsidRDefault="001A2FFE" w:rsidP="00DD10F5">
      <w:pPr>
        <w:rPr>
          <w:szCs w:val="22"/>
          <w:u w:val="single"/>
          <w:lang w:val="en-US"/>
        </w:rPr>
      </w:pPr>
      <w:r w:rsidRPr="0011423F">
        <w:rPr>
          <w:szCs w:val="22"/>
          <w:u w:val="single"/>
        </w:rPr>
        <w:t>Κατανομή</w:t>
      </w:r>
    </w:p>
    <w:p w:rsidR="001A2FFE" w:rsidRPr="001F3AFA" w:rsidRDefault="001A2FFE" w:rsidP="00DD10F5">
      <w:pPr>
        <w:rPr>
          <w:szCs w:val="22"/>
        </w:rPr>
      </w:pPr>
      <w:r w:rsidRPr="001F3AFA">
        <w:rPr>
          <w:szCs w:val="22"/>
        </w:rPr>
        <w:lastRenderedPageBreak/>
        <w:t xml:space="preserve">Περισσότερο από το 99% της δαποξετίνης δεσμεύεται </w:t>
      </w:r>
      <w:r w:rsidRPr="001F3AFA">
        <w:rPr>
          <w:i/>
          <w:szCs w:val="22"/>
        </w:rPr>
        <w:t>in vitro</w:t>
      </w:r>
      <w:r w:rsidRPr="001F3AFA">
        <w:rPr>
          <w:szCs w:val="22"/>
        </w:rPr>
        <w:t xml:space="preserve"> </w:t>
      </w:r>
      <w:r w:rsidR="009F57D0">
        <w:rPr>
          <w:szCs w:val="22"/>
        </w:rPr>
        <w:t>με τις</w:t>
      </w:r>
      <w:r w:rsidR="009F57D0" w:rsidRPr="001F3AFA">
        <w:rPr>
          <w:szCs w:val="22"/>
        </w:rPr>
        <w:t xml:space="preserve"> </w:t>
      </w:r>
      <w:r w:rsidRPr="001F3AFA">
        <w:rPr>
          <w:szCs w:val="22"/>
        </w:rPr>
        <w:t xml:space="preserve">πρωτεΐνες ορού </w:t>
      </w:r>
      <w:r w:rsidR="001059E5">
        <w:rPr>
          <w:szCs w:val="22"/>
        </w:rPr>
        <w:t>στον</w:t>
      </w:r>
      <w:r w:rsidRPr="001F3AFA">
        <w:rPr>
          <w:szCs w:val="22"/>
        </w:rPr>
        <w:t xml:space="preserve"> </w:t>
      </w:r>
      <w:r w:rsidR="001059E5">
        <w:rPr>
          <w:szCs w:val="22"/>
        </w:rPr>
        <w:t>άνθρωπο</w:t>
      </w:r>
      <w:r w:rsidRPr="001F3AFA">
        <w:rPr>
          <w:szCs w:val="22"/>
        </w:rPr>
        <w:t xml:space="preserve">. Ο </w:t>
      </w:r>
      <w:r w:rsidR="001059E5">
        <w:rPr>
          <w:szCs w:val="22"/>
        </w:rPr>
        <w:t>δραστικός</w:t>
      </w:r>
      <w:r w:rsidRPr="001F3AFA">
        <w:rPr>
          <w:szCs w:val="22"/>
        </w:rPr>
        <w:t xml:space="preserve"> μεταβολίτης της δεσμεθυλδαποξετίνης (DED) δεσμεύεται κατά 98,5% </w:t>
      </w:r>
      <w:r w:rsidR="009F57D0">
        <w:rPr>
          <w:szCs w:val="22"/>
        </w:rPr>
        <w:t>με πρωτεΐνες</w:t>
      </w:r>
      <w:r w:rsidRPr="001F3AFA">
        <w:rPr>
          <w:szCs w:val="22"/>
        </w:rPr>
        <w:t xml:space="preserve">. Η δαποξετίνη έχει μέσο όγκο </w:t>
      </w:r>
      <w:r w:rsidR="009F57D0" w:rsidRPr="001F3AFA">
        <w:rPr>
          <w:szCs w:val="22"/>
        </w:rPr>
        <w:t xml:space="preserve">κατανομής </w:t>
      </w:r>
      <w:r w:rsidR="009F57D0">
        <w:rPr>
          <w:szCs w:val="22"/>
        </w:rPr>
        <w:t>σε σταθερή κατάσταση</w:t>
      </w:r>
      <w:r w:rsidRPr="001F3AFA">
        <w:rPr>
          <w:szCs w:val="22"/>
        </w:rPr>
        <w:t xml:space="preserve"> 162 L.</w:t>
      </w:r>
    </w:p>
    <w:p w:rsidR="001A2FFE" w:rsidRPr="001F3AFA" w:rsidRDefault="001A2FFE" w:rsidP="00DD10F5">
      <w:pPr>
        <w:rPr>
          <w:szCs w:val="22"/>
        </w:rPr>
      </w:pPr>
    </w:p>
    <w:p w:rsidR="001A2FFE" w:rsidRPr="0007023B" w:rsidRDefault="001A2FFE" w:rsidP="00DD10F5">
      <w:pPr>
        <w:rPr>
          <w:szCs w:val="22"/>
          <w:u w:val="single"/>
          <w:lang w:val="en-US"/>
        </w:rPr>
      </w:pPr>
      <w:r w:rsidRPr="0011423F">
        <w:rPr>
          <w:szCs w:val="22"/>
          <w:u w:val="single"/>
        </w:rPr>
        <w:t>Βιομετατροπή</w:t>
      </w:r>
    </w:p>
    <w:p w:rsidR="001A2FFE" w:rsidRPr="0007023B" w:rsidRDefault="001A2FFE" w:rsidP="00DD10F5">
      <w:pPr>
        <w:rPr>
          <w:szCs w:val="22"/>
        </w:rPr>
      </w:pPr>
      <w:r w:rsidRPr="001F3AFA">
        <w:rPr>
          <w:i/>
          <w:szCs w:val="22"/>
        </w:rPr>
        <w:t>In vitro</w:t>
      </w:r>
      <w:r w:rsidRPr="001F3AFA">
        <w:rPr>
          <w:szCs w:val="22"/>
        </w:rPr>
        <w:t xml:space="preserve"> μελέτες </w:t>
      </w:r>
      <w:r w:rsidR="001059E5">
        <w:rPr>
          <w:szCs w:val="22"/>
        </w:rPr>
        <w:t>υποδεικνύουν</w:t>
      </w:r>
      <w:r w:rsidRPr="001F3AFA">
        <w:rPr>
          <w:szCs w:val="22"/>
        </w:rPr>
        <w:t xml:space="preserve"> ότι η </w:t>
      </w:r>
      <w:r w:rsidR="00421C99">
        <w:rPr>
          <w:szCs w:val="22"/>
        </w:rPr>
        <w:t xml:space="preserve">κάθαρση της </w:t>
      </w:r>
      <w:r w:rsidRPr="001F3AFA">
        <w:rPr>
          <w:szCs w:val="22"/>
        </w:rPr>
        <w:t>δαποξετίνη</w:t>
      </w:r>
      <w:r w:rsidR="00421C99">
        <w:rPr>
          <w:szCs w:val="22"/>
        </w:rPr>
        <w:t>ς</w:t>
      </w:r>
      <w:r w:rsidRPr="001F3AFA">
        <w:rPr>
          <w:szCs w:val="22"/>
        </w:rPr>
        <w:t xml:space="preserve"> </w:t>
      </w:r>
      <w:r w:rsidR="00421C99">
        <w:rPr>
          <w:szCs w:val="22"/>
        </w:rPr>
        <w:t>γίνεται</w:t>
      </w:r>
      <w:r w:rsidR="004A7D7F" w:rsidRPr="001F3AFA">
        <w:rPr>
          <w:szCs w:val="22"/>
        </w:rPr>
        <w:t xml:space="preserve"> </w:t>
      </w:r>
      <w:r w:rsidRPr="001F3AFA">
        <w:rPr>
          <w:szCs w:val="22"/>
        </w:rPr>
        <w:t xml:space="preserve">από πολλαπλά συστήματα ενζύμων στο ήπαρ και τους νεφρούς, και κυρίως μέσω του CYP2D6, του CYP3A4 και της μονοοξυγενάσης της φλαβίνης (FMO1). Μετά από την από στόματος </w:t>
      </w:r>
      <w:r w:rsidR="00421C99">
        <w:rPr>
          <w:szCs w:val="22"/>
        </w:rPr>
        <w:t>χορήγηση</w:t>
      </w:r>
      <w:r w:rsidR="00421C99" w:rsidRPr="001F3AFA">
        <w:rPr>
          <w:szCs w:val="22"/>
        </w:rPr>
        <w:t xml:space="preserve"> </w:t>
      </w:r>
      <w:r w:rsidRPr="001F3AFA">
        <w:rPr>
          <w:szCs w:val="22"/>
          <w:vertAlign w:val="superscript"/>
        </w:rPr>
        <w:t>14</w:t>
      </w:r>
      <w:r w:rsidRPr="001F3AFA">
        <w:rPr>
          <w:szCs w:val="22"/>
        </w:rPr>
        <w:t>C</w:t>
      </w:r>
      <w:r w:rsidRPr="001F3AFA">
        <w:rPr>
          <w:szCs w:val="22"/>
        </w:rPr>
        <w:sym w:font="Symbol" w:char="F02D"/>
      </w:r>
      <w:r w:rsidRPr="001F3AFA">
        <w:rPr>
          <w:szCs w:val="22"/>
        </w:rPr>
        <w:t>δαποξετίνης, η δαποξετίνη μεταβολίστηκε εκτενώς σε πολλούς μεταβολίτες κυρίως μέσω των ακόλουθων οδών βιομετατροπής: N</w:t>
      </w:r>
      <w:r w:rsidRPr="001F3AFA">
        <w:rPr>
          <w:szCs w:val="22"/>
        </w:rPr>
        <w:sym w:font="Symbol" w:char="F02D"/>
      </w:r>
      <w:r w:rsidRPr="001F3AFA">
        <w:rPr>
          <w:szCs w:val="22"/>
        </w:rPr>
        <w:t>οξείδωση, N</w:t>
      </w:r>
      <w:r w:rsidRPr="001F3AFA">
        <w:rPr>
          <w:szCs w:val="22"/>
        </w:rPr>
        <w:sym w:font="Symbol" w:char="F02D"/>
      </w:r>
      <w:r w:rsidRPr="001F3AFA">
        <w:rPr>
          <w:szCs w:val="22"/>
        </w:rPr>
        <w:t xml:space="preserve">απομεθυλίωση, </w:t>
      </w:r>
      <w:r w:rsidRPr="001059E5">
        <w:rPr>
          <w:szCs w:val="22"/>
        </w:rPr>
        <w:t>ναφθυλοϋδροξυλίωση, γλυκουρονιδίωση και σουλφούρωση. Υπήρχαν στοιχεί</w:t>
      </w:r>
      <w:r w:rsidR="001059E5">
        <w:rPr>
          <w:szCs w:val="22"/>
        </w:rPr>
        <w:t>α</w:t>
      </w:r>
      <w:r w:rsidRPr="001059E5">
        <w:rPr>
          <w:szCs w:val="22"/>
        </w:rPr>
        <w:t xml:space="preserve"> προσυστηματικού μεταβολισμού πρώτης διόδου</w:t>
      </w:r>
      <w:r w:rsidRPr="001F3AFA">
        <w:rPr>
          <w:szCs w:val="22"/>
        </w:rPr>
        <w:t xml:space="preserve"> μετά από την από στόματος χορήγηση.</w:t>
      </w:r>
    </w:p>
    <w:p w:rsidR="001A2FFE" w:rsidRPr="001F3AFA" w:rsidRDefault="001A2FFE" w:rsidP="00DD10F5">
      <w:pPr>
        <w:rPr>
          <w:szCs w:val="22"/>
        </w:rPr>
      </w:pPr>
      <w:r w:rsidRPr="001F3AFA">
        <w:rPr>
          <w:szCs w:val="22"/>
        </w:rPr>
        <w:t xml:space="preserve">Η αμετάβλητη δαποξετίνη και το </w:t>
      </w:r>
      <w:r w:rsidRPr="00D825BD">
        <w:rPr>
          <w:szCs w:val="22"/>
        </w:rPr>
        <w:t>Ν-οξ</w:t>
      </w:r>
      <w:r w:rsidR="00D825BD" w:rsidRPr="00D825BD">
        <w:rPr>
          <w:szCs w:val="22"/>
        </w:rPr>
        <w:t>ε</w:t>
      </w:r>
      <w:r w:rsidRPr="00D825BD">
        <w:rPr>
          <w:szCs w:val="22"/>
        </w:rPr>
        <w:t>ίδιο-δαποξετίνης ήταν τα κύρια κυκλοφορούντα</w:t>
      </w:r>
      <w:r w:rsidR="0064681B">
        <w:rPr>
          <w:szCs w:val="22"/>
        </w:rPr>
        <w:t xml:space="preserve"> μοριακά</w:t>
      </w:r>
      <w:r w:rsidRPr="00D825BD">
        <w:rPr>
          <w:szCs w:val="22"/>
        </w:rPr>
        <w:t xml:space="preserve"> </w:t>
      </w:r>
      <w:r w:rsidR="0064681B">
        <w:rPr>
          <w:szCs w:val="22"/>
        </w:rPr>
        <w:t>τμήματα</w:t>
      </w:r>
      <w:r w:rsidR="0064681B" w:rsidRPr="00D825BD">
        <w:rPr>
          <w:szCs w:val="22"/>
        </w:rPr>
        <w:t xml:space="preserve"> </w:t>
      </w:r>
      <w:r w:rsidRPr="00D825BD">
        <w:rPr>
          <w:szCs w:val="22"/>
        </w:rPr>
        <w:t xml:space="preserve">στο πλάσμα. </w:t>
      </w:r>
      <w:r w:rsidRPr="00D825BD">
        <w:rPr>
          <w:i/>
          <w:szCs w:val="22"/>
        </w:rPr>
        <w:t>In vitro</w:t>
      </w:r>
      <w:r w:rsidRPr="00D825BD">
        <w:rPr>
          <w:szCs w:val="22"/>
        </w:rPr>
        <w:t xml:space="preserve"> μελέτες δέσμευσης και μεταφοράς δείχνουν ότι το Ν-οξ</w:t>
      </w:r>
      <w:r w:rsidR="00D825BD" w:rsidRPr="00D825BD">
        <w:rPr>
          <w:szCs w:val="22"/>
        </w:rPr>
        <w:t>ε</w:t>
      </w:r>
      <w:r w:rsidRPr="00D825BD">
        <w:rPr>
          <w:szCs w:val="22"/>
        </w:rPr>
        <w:t>ίδιο-δαποξετίνης</w:t>
      </w:r>
      <w:r w:rsidRPr="001F3AFA">
        <w:rPr>
          <w:szCs w:val="22"/>
        </w:rPr>
        <w:t xml:space="preserve"> είναι ανενεργό. Οι πρόσθετοι μεταβολίτες, συμπεριλαμβανομένης της δεσμεθυλδαποξετίνης και της διδεσμεθυλδαποξετίνης</w:t>
      </w:r>
      <w:r w:rsidR="0064681B">
        <w:rPr>
          <w:szCs w:val="22"/>
        </w:rPr>
        <w:t>,</w:t>
      </w:r>
      <w:r w:rsidRPr="001F3AFA">
        <w:rPr>
          <w:szCs w:val="22"/>
        </w:rPr>
        <w:t xml:space="preserve"> </w:t>
      </w:r>
      <w:r w:rsidR="0064681B">
        <w:rPr>
          <w:szCs w:val="22"/>
        </w:rPr>
        <w:t>αποτελούν</w:t>
      </w:r>
      <w:r w:rsidR="0064681B" w:rsidRPr="001F3AFA">
        <w:rPr>
          <w:szCs w:val="22"/>
        </w:rPr>
        <w:t xml:space="preserve"> </w:t>
      </w:r>
      <w:r w:rsidRPr="001F3AFA">
        <w:rPr>
          <w:szCs w:val="22"/>
        </w:rPr>
        <w:t xml:space="preserve">λιγότερο από το 3% των συνολικών κυκλοφορούντων </w:t>
      </w:r>
      <w:r w:rsidR="00A06472" w:rsidRPr="001F3AFA">
        <w:rPr>
          <w:szCs w:val="22"/>
        </w:rPr>
        <w:t>στο πλάσμα</w:t>
      </w:r>
      <w:r w:rsidR="00A06472" w:rsidRPr="001F3AFA" w:rsidDel="0064681B">
        <w:rPr>
          <w:szCs w:val="22"/>
        </w:rPr>
        <w:t xml:space="preserve"> </w:t>
      </w:r>
      <w:r w:rsidR="0064681B">
        <w:rPr>
          <w:szCs w:val="22"/>
        </w:rPr>
        <w:t>ουσιών</w:t>
      </w:r>
      <w:r w:rsidR="0064681B" w:rsidRPr="001F3AFA">
        <w:rPr>
          <w:szCs w:val="22"/>
        </w:rPr>
        <w:t xml:space="preserve"> </w:t>
      </w:r>
      <w:r w:rsidR="0064681B">
        <w:rPr>
          <w:szCs w:val="22"/>
        </w:rPr>
        <w:t xml:space="preserve">που σχετίζονται </w:t>
      </w:r>
      <w:r w:rsidR="0064681B" w:rsidRPr="001F3AFA">
        <w:rPr>
          <w:szCs w:val="22"/>
        </w:rPr>
        <w:t>με το φάρμακο</w:t>
      </w:r>
      <w:r w:rsidRPr="001F3AFA">
        <w:rPr>
          <w:szCs w:val="22"/>
        </w:rPr>
        <w:t xml:space="preserve">. </w:t>
      </w:r>
      <w:r w:rsidRPr="001F3AFA">
        <w:rPr>
          <w:i/>
          <w:szCs w:val="22"/>
        </w:rPr>
        <w:t>In vitro</w:t>
      </w:r>
      <w:r w:rsidRPr="001F3AFA">
        <w:rPr>
          <w:szCs w:val="22"/>
        </w:rPr>
        <w:t xml:space="preserve"> μελέτες δέσμευσης υποδεικνύουν ότι η DED είναι εξίσου δραστική με τη δαποξετίνη και η διδεσμεθυλδαποξετίνη είναι κατά 50% εξίσου δραστική με τη δαποξετίνη (βλέπε παράγραφο 5.1). </w:t>
      </w:r>
      <w:r w:rsidRPr="00994C96">
        <w:rPr>
          <w:szCs w:val="22"/>
        </w:rPr>
        <w:t xml:space="preserve">Οι </w:t>
      </w:r>
      <w:r w:rsidRPr="00466B80">
        <w:rPr>
          <w:szCs w:val="22"/>
        </w:rPr>
        <w:t>μη δεσμευμένες εκθέσεις</w:t>
      </w:r>
      <w:r w:rsidRPr="001F3AFA">
        <w:rPr>
          <w:szCs w:val="22"/>
        </w:rPr>
        <w:t xml:space="preserve"> (AUC και C</w:t>
      </w:r>
      <w:r w:rsidRPr="001F3AFA">
        <w:rPr>
          <w:szCs w:val="22"/>
          <w:vertAlign w:val="subscript"/>
        </w:rPr>
        <w:t>max</w:t>
      </w:r>
      <w:r w:rsidRPr="001F3AFA">
        <w:rPr>
          <w:szCs w:val="22"/>
        </w:rPr>
        <w:t xml:space="preserve">) της DED είναι περίπου 50% και 23%, αντιστοίχως, της </w:t>
      </w:r>
      <w:r w:rsidRPr="00466B80">
        <w:rPr>
          <w:szCs w:val="22"/>
        </w:rPr>
        <w:t>μη δεσμευμένης έκθεσης</w:t>
      </w:r>
      <w:r w:rsidRPr="001F3AFA">
        <w:rPr>
          <w:szCs w:val="22"/>
        </w:rPr>
        <w:t xml:space="preserve"> της δαποξετίνης.</w:t>
      </w:r>
    </w:p>
    <w:p w:rsidR="001A2FFE" w:rsidRPr="001F3AFA" w:rsidRDefault="001A2FFE" w:rsidP="00DD10F5">
      <w:pPr>
        <w:rPr>
          <w:szCs w:val="22"/>
        </w:rPr>
      </w:pPr>
    </w:p>
    <w:p w:rsidR="001A2FFE" w:rsidRPr="0007023B" w:rsidRDefault="001A2FFE" w:rsidP="00DD10F5">
      <w:pPr>
        <w:rPr>
          <w:szCs w:val="22"/>
          <w:u w:val="single"/>
          <w:lang w:val="en-US"/>
        </w:rPr>
      </w:pPr>
      <w:r w:rsidRPr="0011423F">
        <w:rPr>
          <w:szCs w:val="22"/>
          <w:u w:val="single"/>
        </w:rPr>
        <w:t>Απέκκριση</w:t>
      </w:r>
    </w:p>
    <w:p w:rsidR="001A2FFE" w:rsidRPr="001F3AFA" w:rsidRDefault="001A2FFE" w:rsidP="00DD10F5">
      <w:pPr>
        <w:rPr>
          <w:szCs w:val="22"/>
        </w:rPr>
      </w:pPr>
      <w:r w:rsidRPr="001F3AFA">
        <w:rPr>
          <w:szCs w:val="22"/>
        </w:rPr>
        <w:t xml:space="preserve">Οι μεταβολίτες της δαποξετίνης απεκκρίνονταν κυρίως στα ούρα ως </w:t>
      </w:r>
      <w:r w:rsidR="00A06472">
        <w:rPr>
          <w:szCs w:val="22"/>
        </w:rPr>
        <w:t>συζευγμένες ενώσεις</w:t>
      </w:r>
      <w:r w:rsidRPr="001F3AFA">
        <w:rPr>
          <w:szCs w:val="22"/>
        </w:rPr>
        <w:t>. Αμετάβλητη δραστική ουσία δεν εντοπίστηκε στα ούρα.</w:t>
      </w:r>
      <w:r w:rsidRPr="00994C96">
        <w:rPr>
          <w:szCs w:val="22"/>
        </w:rPr>
        <w:t xml:space="preserve"> Μετά από την από στόματος χορήγηση, η δαποξετίνη έχει αρχική (διάθεση) </w:t>
      </w:r>
      <w:r w:rsidR="00A06472">
        <w:rPr>
          <w:szCs w:val="22"/>
        </w:rPr>
        <w:t>ημιπερίοδο ζωής</w:t>
      </w:r>
      <w:r w:rsidR="00A06472" w:rsidRPr="00994C96">
        <w:rPr>
          <w:szCs w:val="22"/>
        </w:rPr>
        <w:t xml:space="preserve"> </w:t>
      </w:r>
      <w:r w:rsidRPr="00994C96">
        <w:rPr>
          <w:szCs w:val="22"/>
        </w:rPr>
        <w:t xml:space="preserve">περίπου 1,5 ώρες με τα επίπεδα πλάσματος να είναι κάτω από το 5% των </w:t>
      </w:r>
      <w:r w:rsidR="00A06472">
        <w:rPr>
          <w:szCs w:val="22"/>
        </w:rPr>
        <w:t>μέγιστων</w:t>
      </w:r>
      <w:r w:rsidR="00A06472" w:rsidRPr="00994C96">
        <w:rPr>
          <w:szCs w:val="22"/>
        </w:rPr>
        <w:t xml:space="preserve"> </w:t>
      </w:r>
      <w:r w:rsidRPr="00994C96">
        <w:rPr>
          <w:szCs w:val="22"/>
        </w:rPr>
        <w:t xml:space="preserve">συγκεντρώσεων στις 24 ώρες μετά από τη </w:t>
      </w:r>
      <w:r w:rsidR="00A06472">
        <w:rPr>
          <w:szCs w:val="22"/>
        </w:rPr>
        <w:t>χορήγηση</w:t>
      </w:r>
      <w:r w:rsidR="00A06472" w:rsidRPr="00994C96">
        <w:rPr>
          <w:szCs w:val="22"/>
        </w:rPr>
        <w:t xml:space="preserve"> </w:t>
      </w:r>
      <w:r w:rsidRPr="00994C96">
        <w:rPr>
          <w:szCs w:val="22"/>
        </w:rPr>
        <w:t xml:space="preserve">και τελική ημίσεια ζωή διάρκειας περίπου 19 ωρών. Η τελική </w:t>
      </w:r>
      <w:r w:rsidR="00A06472">
        <w:rPr>
          <w:szCs w:val="22"/>
        </w:rPr>
        <w:t>ημιπερίοδος</w:t>
      </w:r>
      <w:r w:rsidR="00A06472" w:rsidRPr="00994C96">
        <w:rPr>
          <w:szCs w:val="22"/>
        </w:rPr>
        <w:t xml:space="preserve"> </w:t>
      </w:r>
      <w:r w:rsidRPr="00994C96">
        <w:rPr>
          <w:szCs w:val="22"/>
        </w:rPr>
        <w:t>ζωή</w:t>
      </w:r>
      <w:r w:rsidR="00A06472">
        <w:rPr>
          <w:szCs w:val="22"/>
        </w:rPr>
        <w:t>ς</w:t>
      </w:r>
      <w:r w:rsidRPr="00994C96">
        <w:rPr>
          <w:szCs w:val="22"/>
        </w:rPr>
        <w:t xml:space="preserve"> της DED είναι περίπου 19 ώρες.</w:t>
      </w:r>
    </w:p>
    <w:p w:rsidR="001A2FFE" w:rsidRPr="001F3AFA" w:rsidRDefault="001A2FFE" w:rsidP="00DD10F5">
      <w:pPr>
        <w:rPr>
          <w:szCs w:val="22"/>
        </w:rPr>
      </w:pPr>
    </w:p>
    <w:p w:rsidR="001A2FFE" w:rsidRPr="0007023B" w:rsidRDefault="001A2FFE" w:rsidP="00DD10F5">
      <w:pPr>
        <w:rPr>
          <w:szCs w:val="22"/>
          <w:u w:val="single"/>
          <w:lang w:val="en-US"/>
        </w:rPr>
      </w:pPr>
      <w:r w:rsidRPr="0011423F">
        <w:rPr>
          <w:szCs w:val="22"/>
          <w:u w:val="single"/>
        </w:rPr>
        <w:t xml:space="preserve">Φαρμακοκινητικές ιδιότητες σε </w:t>
      </w:r>
      <w:r w:rsidR="00994C96" w:rsidRPr="0011423F">
        <w:rPr>
          <w:szCs w:val="22"/>
          <w:u w:val="single"/>
        </w:rPr>
        <w:t>ειδικούς πληθυσμούς</w:t>
      </w:r>
    </w:p>
    <w:p w:rsidR="001A2FFE" w:rsidRPr="00994C96" w:rsidRDefault="008E13F3" w:rsidP="00DD10F5">
      <w:pPr>
        <w:rPr>
          <w:szCs w:val="22"/>
        </w:rPr>
      </w:pPr>
      <w:r>
        <w:rPr>
          <w:szCs w:val="22"/>
        </w:rPr>
        <w:t>Ο</w:t>
      </w:r>
      <w:r w:rsidR="001A2FFE" w:rsidRPr="00994C96">
        <w:rPr>
          <w:szCs w:val="22"/>
        </w:rPr>
        <w:t xml:space="preserve"> μεταβολίτης DED συμβάλλει στη φαρμακολογική δράση του Priligy, ειδικά όταν η έκθεση στη DED είναι αυξημένη. Παρουσιάζεται στη συνέχεια η αύξηση στις παραμέτρους του δραστικού κλάσματος σε ορισμένους πληθυσμούς. Πρόκειται για το άθροισμα της μη δεσμευμένης έκθεσης της δαποξετίνης και της DED. Η DED είναι εξίσου δραστική με τη δαποξετίνη. Η εκτίμηση υποθέτει </w:t>
      </w:r>
      <w:r>
        <w:rPr>
          <w:szCs w:val="22"/>
        </w:rPr>
        <w:t>ίση</w:t>
      </w:r>
      <w:r w:rsidR="001A2FFE" w:rsidRPr="00994C96">
        <w:rPr>
          <w:szCs w:val="22"/>
        </w:rPr>
        <w:t xml:space="preserve"> κατανομή της DED στο ΚΝΣ</w:t>
      </w:r>
      <w:r>
        <w:rPr>
          <w:szCs w:val="22"/>
        </w:rPr>
        <w:t>,</w:t>
      </w:r>
      <w:r w:rsidR="001A2FFE" w:rsidRPr="00994C96">
        <w:rPr>
          <w:szCs w:val="22"/>
        </w:rPr>
        <w:t xml:space="preserve"> αλλά δεν είναι γνωστό εάν αυτό ισχύει.</w:t>
      </w:r>
    </w:p>
    <w:p w:rsidR="001A2FFE" w:rsidRPr="00994C96" w:rsidRDefault="001A2FFE" w:rsidP="00DD10F5">
      <w:pPr>
        <w:rPr>
          <w:szCs w:val="22"/>
        </w:rPr>
      </w:pPr>
    </w:p>
    <w:p w:rsidR="001A2FFE" w:rsidRPr="0011423F" w:rsidRDefault="001A2FFE" w:rsidP="00DD10F5">
      <w:pPr>
        <w:rPr>
          <w:szCs w:val="22"/>
          <w:u w:val="single"/>
        </w:rPr>
      </w:pPr>
      <w:r w:rsidRPr="0011423F">
        <w:rPr>
          <w:szCs w:val="22"/>
          <w:u w:val="single"/>
        </w:rPr>
        <w:t>Φυλή</w:t>
      </w:r>
    </w:p>
    <w:p w:rsidR="001A2FFE" w:rsidRPr="001F3AFA" w:rsidRDefault="001A2FFE" w:rsidP="00DD10F5">
      <w:pPr>
        <w:rPr>
          <w:szCs w:val="22"/>
        </w:rPr>
      </w:pPr>
      <w:r w:rsidRPr="001F3AFA">
        <w:rPr>
          <w:szCs w:val="22"/>
        </w:rPr>
        <w:t>Οι αναλύσεις των μελετών κλινικής φαρμακολογίας μίας δόσης</w:t>
      </w:r>
      <w:r w:rsidR="008E13F3">
        <w:rPr>
          <w:szCs w:val="22"/>
        </w:rPr>
        <w:t>,</w:t>
      </w:r>
      <w:r w:rsidRPr="001F3AFA">
        <w:rPr>
          <w:szCs w:val="22"/>
        </w:rPr>
        <w:t xml:space="preserve"> στις οποίες χρησιμοποιήθηκαν τα 60</w:t>
      </w:r>
      <w:r w:rsidR="00DC18E3">
        <w:rPr>
          <w:szCs w:val="22"/>
        </w:rPr>
        <w:t> mg</w:t>
      </w:r>
      <w:r w:rsidRPr="001F3AFA">
        <w:rPr>
          <w:szCs w:val="22"/>
        </w:rPr>
        <w:t xml:space="preserve"> δαποξετίνης δεν έδειξαν στατιστικά σημαντικές διαφορές ανάμεσα στα άτομα με Καυκάσια, Αφροαμερικανική, Ισπανική και Ασιατική καταγωγή. Η κλινική μελέτη που πραγματοποιήθηκε για τη σύγκριση της φαρμακοκινητικής της δαποξετίνης σε άτομα Ιαπωνικής και Καυκάσιας καταγωγής έδειξε 10% έως 20% υψηλότερα επίπεδα πλάσματος (AUC και κορυφαία συγκέντρωση) της δαποξετίνης στα άτομα Ιαπωνικής καταγωγής λόγω του μικρότερου σωματικού τους βάρους. Η ελαφρώς υψηλότερη έκθεση δεν αναμένεται να έχει ουσιαστική κλινική δράση</w:t>
      </w:r>
      <w:r w:rsidR="008E13F3">
        <w:rPr>
          <w:szCs w:val="22"/>
        </w:rPr>
        <w:t>.</w:t>
      </w:r>
    </w:p>
    <w:p w:rsidR="001A2FFE" w:rsidRPr="001F3AFA" w:rsidRDefault="001A2FFE" w:rsidP="00DD10F5">
      <w:pPr>
        <w:rPr>
          <w:szCs w:val="22"/>
        </w:rPr>
      </w:pPr>
    </w:p>
    <w:p w:rsidR="001A2FFE" w:rsidRPr="0007023B" w:rsidRDefault="001A2FFE" w:rsidP="00DD10F5">
      <w:pPr>
        <w:rPr>
          <w:szCs w:val="22"/>
          <w:u w:val="single"/>
        </w:rPr>
      </w:pPr>
      <w:r w:rsidRPr="0011423F">
        <w:rPr>
          <w:szCs w:val="22"/>
          <w:u w:val="single"/>
        </w:rPr>
        <w:t>Ηλικιωμένοι (ηλικίας 65 ετών και άνω)</w:t>
      </w:r>
    </w:p>
    <w:p w:rsidR="001A2FFE" w:rsidRPr="001F3AFA" w:rsidRDefault="001A2FFE" w:rsidP="00DD10F5">
      <w:r w:rsidRPr="001F3AFA">
        <w:t>Οι αναλύσεις της μελέτης κλινικής φαρμακολογίας μίας δόσης, στην οποί</w:t>
      </w:r>
      <w:r w:rsidR="008E13F3">
        <w:t>α</w:t>
      </w:r>
      <w:r w:rsidRPr="001F3AFA">
        <w:t xml:space="preserve"> χρησιμοποιήθηκαν 60</w:t>
      </w:r>
      <w:r w:rsidR="00DC18E3">
        <w:t> mg</w:t>
      </w:r>
      <w:r w:rsidRPr="001F3AFA">
        <w:t xml:space="preserve"> δαποξετίνης δεν έδειξαν σημαντικές διαφορές στις φαρμακοκινητικές παραμέτρους (C</w:t>
      </w:r>
      <w:r w:rsidRPr="001F3AFA">
        <w:rPr>
          <w:vertAlign w:val="subscript"/>
        </w:rPr>
        <w:t>max</w:t>
      </w:r>
      <w:r w:rsidRPr="001F3AFA">
        <w:t>, AUC</w:t>
      </w:r>
      <w:r w:rsidRPr="001F3AFA">
        <w:rPr>
          <w:vertAlign w:val="subscript"/>
        </w:rPr>
        <w:t>inf</w:t>
      </w:r>
      <w:r w:rsidRPr="001F3AFA">
        <w:t>, T</w:t>
      </w:r>
      <w:r w:rsidRPr="001F3AFA">
        <w:rPr>
          <w:vertAlign w:val="subscript"/>
        </w:rPr>
        <w:t>max</w:t>
      </w:r>
      <w:r w:rsidRPr="001F3AFA">
        <w:t>)</w:t>
      </w:r>
      <w:r w:rsidRPr="001F3AFA">
        <w:rPr>
          <w:color w:val="0000FF"/>
        </w:rPr>
        <w:t xml:space="preserve"> </w:t>
      </w:r>
      <w:r w:rsidRPr="001F3AFA">
        <w:t>μεταξύ των υγιών ηλικιωμένων αρρένων και των υγιών νεαρών ενηλίκων αρρένων. Η αποτελεσματικότητα και η ασφάλεια δεν έχ</w:t>
      </w:r>
      <w:r w:rsidR="008E13F3">
        <w:t>ουν</w:t>
      </w:r>
      <w:r w:rsidRPr="001F3AFA">
        <w:t xml:space="preserve"> τεκμηριωθεί σε αυτό τον πληθυσμό (βλέπε παράγραφο 4.2).</w:t>
      </w:r>
    </w:p>
    <w:p w:rsidR="001A2FFE" w:rsidRPr="001F3AFA" w:rsidRDefault="001A2FFE" w:rsidP="00DD10F5">
      <w:pPr>
        <w:rPr>
          <w:szCs w:val="22"/>
        </w:rPr>
      </w:pPr>
    </w:p>
    <w:p w:rsidR="001A2FFE" w:rsidRPr="0007023B" w:rsidRDefault="001A2FFE" w:rsidP="00DD10F5">
      <w:pPr>
        <w:rPr>
          <w:szCs w:val="22"/>
          <w:u w:val="single"/>
          <w:lang w:val="en-US"/>
        </w:rPr>
      </w:pPr>
      <w:r w:rsidRPr="0011423F">
        <w:rPr>
          <w:szCs w:val="22"/>
          <w:u w:val="single"/>
        </w:rPr>
        <w:t>Νεφρική δυσλειτουργία</w:t>
      </w:r>
    </w:p>
    <w:p w:rsidR="001A2FFE" w:rsidRPr="001F3AFA" w:rsidRDefault="001A2FFE" w:rsidP="00DD10F5">
      <w:pPr>
        <w:rPr>
          <w:i/>
          <w:szCs w:val="22"/>
        </w:rPr>
      </w:pPr>
      <w:r w:rsidRPr="001F3AFA">
        <w:rPr>
          <w:szCs w:val="22"/>
        </w:rPr>
        <w:t>Πραγματοποιήθηκε μία μελέτη κλινικής φαρμακολογίας μίας δόσης, στην οποία χρησιμοποιήθηκαν 60</w:t>
      </w:r>
      <w:r w:rsidR="00DC18E3">
        <w:rPr>
          <w:szCs w:val="22"/>
        </w:rPr>
        <w:t> mg</w:t>
      </w:r>
      <w:r w:rsidRPr="001F3AFA">
        <w:rPr>
          <w:szCs w:val="22"/>
        </w:rPr>
        <w:t xml:space="preserve"> δαποξετίνης σε άτομα με ήπια (CrCL 50 έως 80 mL/λεπτό), μέτρια (CrCL 30 έως &lt; 50 mL/λεπτό) και σοβαρή νεφρική δυσλειτουργία (CrCL &lt; 30 mL/min) και σε άτομα με φυσιολογική νεφρική λειτουργία (CrCL &gt; 80 mL/λεπτό). Δεν παρατηρήθηκε σαφής τάση αύξησης της AUC της </w:t>
      </w:r>
      <w:r w:rsidRPr="001F3AFA">
        <w:rPr>
          <w:szCs w:val="22"/>
        </w:rPr>
        <w:lastRenderedPageBreak/>
        <w:t xml:space="preserve">δαποξετίνης με την έκπτωση της νεφρικής λειτουργίας. Η AUC στα άτομα με σοβαρή νεφρική δυσλειτουργία ήταν περίπου διπλάσια συγκριτικά με τα άτομα με φυσιολογική νεφρική λειτουργία, αν και </w:t>
      </w:r>
      <w:r w:rsidR="008E13F3">
        <w:rPr>
          <w:szCs w:val="22"/>
        </w:rPr>
        <w:t>τα</w:t>
      </w:r>
      <w:r w:rsidRPr="001F3AFA">
        <w:rPr>
          <w:szCs w:val="22"/>
        </w:rPr>
        <w:t xml:space="preserve"> δεδομένα σε ασθενείς με σοβαρή νεφρική δυσλειτουργία</w:t>
      </w:r>
      <w:r w:rsidR="008E13F3">
        <w:rPr>
          <w:szCs w:val="22"/>
        </w:rPr>
        <w:t xml:space="preserve"> είναι περιορισμένα</w:t>
      </w:r>
      <w:r w:rsidRPr="001F3AFA">
        <w:rPr>
          <w:szCs w:val="22"/>
        </w:rPr>
        <w:t xml:space="preserve">. Η φαρμακοκινητική της δαποξετίνης δεν έχει αξιολογηθεί σε ασθενείς που πρέπει να υποβληθούν σε </w:t>
      </w:r>
      <w:r w:rsidR="00627270">
        <w:rPr>
          <w:szCs w:val="22"/>
        </w:rPr>
        <w:t>νεφρική αιμοδιύλιση</w:t>
      </w:r>
      <w:r w:rsidR="00627270" w:rsidRPr="001F3AFA">
        <w:rPr>
          <w:szCs w:val="22"/>
        </w:rPr>
        <w:t xml:space="preserve"> </w:t>
      </w:r>
      <w:r w:rsidRPr="001F3AFA">
        <w:rPr>
          <w:szCs w:val="22"/>
        </w:rPr>
        <w:t xml:space="preserve">(βλέπε </w:t>
      </w:r>
      <w:r w:rsidR="009049A7">
        <w:rPr>
          <w:szCs w:val="22"/>
        </w:rPr>
        <w:t>παραγράφους</w:t>
      </w:r>
      <w:r w:rsidRPr="001F3AFA">
        <w:rPr>
          <w:szCs w:val="22"/>
        </w:rPr>
        <w:t xml:space="preserve"> 4.2 και 4.4).</w:t>
      </w:r>
    </w:p>
    <w:p w:rsidR="001A2FFE" w:rsidRPr="001F3AFA" w:rsidRDefault="001A2FFE" w:rsidP="00DD10F5">
      <w:pPr>
        <w:rPr>
          <w:szCs w:val="22"/>
        </w:rPr>
      </w:pPr>
    </w:p>
    <w:p w:rsidR="001A2FFE" w:rsidRPr="0011423F" w:rsidRDefault="001A2FFE" w:rsidP="00DD10F5">
      <w:pPr>
        <w:rPr>
          <w:szCs w:val="22"/>
          <w:u w:val="single"/>
        </w:rPr>
      </w:pPr>
      <w:r w:rsidRPr="0011423F">
        <w:rPr>
          <w:szCs w:val="22"/>
          <w:u w:val="single"/>
        </w:rPr>
        <w:t>Ηπατική δυσλειτουργία</w:t>
      </w:r>
    </w:p>
    <w:p w:rsidR="001A2FFE" w:rsidRPr="001F3AFA" w:rsidRDefault="001A2FFE" w:rsidP="00DD10F5">
      <w:pPr>
        <w:rPr>
          <w:szCs w:val="22"/>
          <w:u w:val="single"/>
        </w:rPr>
      </w:pPr>
    </w:p>
    <w:p w:rsidR="001A2FFE" w:rsidRPr="001F3AFA" w:rsidRDefault="001A2FFE" w:rsidP="00DD10F5">
      <w:pPr>
        <w:rPr>
          <w:szCs w:val="22"/>
        </w:rPr>
      </w:pPr>
      <w:r w:rsidRPr="001F3AFA">
        <w:rPr>
          <w:szCs w:val="22"/>
        </w:rPr>
        <w:t>Η φαρμακοκινητική της δαποξετίνης και της DED είναι αμετάβλητη σε ασθενείς με ήπια ηπατική δυσλειτουργία. Σε ασθενείς με μέτρια ηπατική δυσλειτουργία (τάξη Β κατά Child</w:t>
      </w:r>
      <w:r w:rsidRPr="001F3AFA">
        <w:rPr>
          <w:szCs w:val="22"/>
        </w:rPr>
        <w:sym w:font="Symbol" w:char="F02D"/>
      </w:r>
      <w:r w:rsidRPr="001F3AFA">
        <w:rPr>
          <w:szCs w:val="22"/>
        </w:rPr>
        <w:t>Pugh), η μη δεσμευμένη C</w:t>
      </w:r>
      <w:r w:rsidRPr="001F3AFA">
        <w:rPr>
          <w:szCs w:val="22"/>
          <w:vertAlign w:val="subscript"/>
        </w:rPr>
        <w:t>max</w:t>
      </w:r>
      <w:r w:rsidRPr="001F3AFA">
        <w:rPr>
          <w:szCs w:val="22"/>
        </w:rPr>
        <w:t xml:space="preserve"> της δαποξετίνης αυξάνεται κατά 55% και η μη δεσμευμένη AUC αυξάνεται κατά 120%. Η μη δεσμευμένη C</w:t>
      </w:r>
      <w:r w:rsidRPr="001F3AFA">
        <w:rPr>
          <w:szCs w:val="22"/>
          <w:vertAlign w:val="subscript"/>
        </w:rPr>
        <w:t>max</w:t>
      </w:r>
      <w:r w:rsidRPr="001F3AFA">
        <w:rPr>
          <w:szCs w:val="22"/>
        </w:rPr>
        <w:t xml:space="preserve"> και AUC του δραστικού </w:t>
      </w:r>
      <w:r w:rsidRPr="008E13F3">
        <w:rPr>
          <w:szCs w:val="22"/>
        </w:rPr>
        <w:t>κλάσματος</w:t>
      </w:r>
      <w:r w:rsidRPr="001F3AFA">
        <w:rPr>
          <w:szCs w:val="22"/>
        </w:rPr>
        <w:t xml:space="preserve"> ήταν αμετάβλητη και διπλάσια, αντίστοιχα. </w:t>
      </w:r>
    </w:p>
    <w:p w:rsidR="001A2FFE" w:rsidRPr="001F3AFA" w:rsidRDefault="001A2FFE" w:rsidP="00DD10F5">
      <w:pPr>
        <w:rPr>
          <w:szCs w:val="22"/>
        </w:rPr>
      </w:pPr>
    </w:p>
    <w:p w:rsidR="001A2FFE" w:rsidRPr="001F3AFA" w:rsidRDefault="001A2FFE" w:rsidP="00DD10F5">
      <w:pPr>
        <w:rPr>
          <w:szCs w:val="22"/>
        </w:rPr>
      </w:pPr>
      <w:r w:rsidRPr="001F3AFA">
        <w:rPr>
          <w:szCs w:val="22"/>
        </w:rPr>
        <w:t>Στη σοβαρή ηπατική δυσλειτουργία, η μη δεσμευμένη C</w:t>
      </w:r>
      <w:r w:rsidRPr="001F3AFA">
        <w:rPr>
          <w:szCs w:val="22"/>
          <w:vertAlign w:val="subscript"/>
        </w:rPr>
        <w:t>max</w:t>
      </w:r>
      <w:r w:rsidRPr="001F3AFA">
        <w:rPr>
          <w:szCs w:val="22"/>
        </w:rPr>
        <w:t xml:space="preserve"> της δαποξετίνης ήταν αμετάβλητη αλλά η μη δεσμευμένη AUC αυξήθηκε περισσότερο από το τριπλάσιο. Η AUC του δραστικού κλάσματος αυξήθηκε σε πολλαπλάσιο βαθμό (βλέπε </w:t>
      </w:r>
      <w:r w:rsidR="009049A7">
        <w:rPr>
          <w:szCs w:val="22"/>
        </w:rPr>
        <w:t>παραγράφους</w:t>
      </w:r>
      <w:r w:rsidRPr="001F3AFA">
        <w:rPr>
          <w:szCs w:val="22"/>
        </w:rPr>
        <w:t xml:space="preserve"> 4.2 και 4.3).</w:t>
      </w:r>
    </w:p>
    <w:p w:rsidR="001A2FFE" w:rsidRPr="001F3AFA" w:rsidRDefault="001A2FFE" w:rsidP="00DD10F5">
      <w:pPr>
        <w:rPr>
          <w:szCs w:val="22"/>
        </w:rPr>
      </w:pPr>
    </w:p>
    <w:p w:rsidR="001A2FFE" w:rsidRPr="0007023B" w:rsidRDefault="001A2FFE" w:rsidP="00DD10F5">
      <w:pPr>
        <w:rPr>
          <w:szCs w:val="22"/>
          <w:u w:val="single"/>
          <w:lang w:val="en-US"/>
        </w:rPr>
      </w:pPr>
      <w:r w:rsidRPr="0011423F">
        <w:rPr>
          <w:szCs w:val="22"/>
          <w:u w:val="single"/>
        </w:rPr>
        <w:t>Πολυμορφισμός του CYP2D6</w:t>
      </w:r>
    </w:p>
    <w:p w:rsidR="001A2FFE" w:rsidRPr="001F3AFA" w:rsidRDefault="001A2FFE" w:rsidP="00DD10F5">
      <w:pPr>
        <w:rPr>
          <w:szCs w:val="22"/>
        </w:rPr>
      </w:pPr>
      <w:r w:rsidRPr="001F3AFA">
        <w:rPr>
          <w:szCs w:val="22"/>
        </w:rPr>
        <w:t>Σε μία μελέτη κλινικής φαρμακολογίας μίας δόσης, στην οποία χρησιμοποιήθηκαν 60</w:t>
      </w:r>
      <w:r w:rsidR="00DC18E3">
        <w:rPr>
          <w:szCs w:val="22"/>
        </w:rPr>
        <w:t> mg</w:t>
      </w:r>
      <w:r w:rsidRPr="001F3AFA">
        <w:rPr>
          <w:szCs w:val="22"/>
        </w:rPr>
        <w:t xml:space="preserve"> δαποξετίνης, οι συγκεντρώσεις στο πλάσμα </w:t>
      </w:r>
      <w:r w:rsidR="00464FDE">
        <w:rPr>
          <w:szCs w:val="22"/>
        </w:rPr>
        <w:t>σε</w:t>
      </w:r>
      <w:r w:rsidR="00660B6D">
        <w:rPr>
          <w:szCs w:val="22"/>
        </w:rPr>
        <w:t xml:space="preserve"> άτομα με πτωχό μεταβολισμό</w:t>
      </w:r>
      <w:r w:rsidRPr="001F3AFA">
        <w:rPr>
          <w:szCs w:val="22"/>
        </w:rPr>
        <w:t xml:space="preserve"> του CYP2D6 ήταν υψηλότερες συγκριτικά με </w:t>
      </w:r>
      <w:r w:rsidR="00660B6D">
        <w:rPr>
          <w:szCs w:val="22"/>
        </w:rPr>
        <w:t>τα άτομα με εκτενή μεταβολισμό</w:t>
      </w:r>
      <w:r w:rsidR="00660B6D" w:rsidRPr="001F3AFA">
        <w:rPr>
          <w:szCs w:val="22"/>
        </w:rPr>
        <w:t xml:space="preserve"> </w:t>
      </w:r>
      <w:r w:rsidRPr="001F3AFA">
        <w:rPr>
          <w:szCs w:val="22"/>
        </w:rPr>
        <w:t>του CYP2D6 (περίπου 31% υψηλότερα για τη C</w:t>
      </w:r>
      <w:r w:rsidRPr="001F3AFA">
        <w:rPr>
          <w:szCs w:val="22"/>
          <w:vertAlign w:val="subscript"/>
        </w:rPr>
        <w:t>max</w:t>
      </w:r>
      <w:r w:rsidRPr="001F3AFA">
        <w:rPr>
          <w:szCs w:val="22"/>
        </w:rPr>
        <w:t xml:space="preserve"> και 36% υψηλότερα για τη AUC</w:t>
      </w:r>
      <w:r w:rsidRPr="001F3AFA">
        <w:rPr>
          <w:szCs w:val="22"/>
          <w:vertAlign w:val="subscript"/>
        </w:rPr>
        <w:t>inf</w:t>
      </w:r>
      <w:r w:rsidRPr="001F3AFA">
        <w:rPr>
          <w:szCs w:val="22"/>
        </w:rPr>
        <w:t xml:space="preserve"> της δαποξετίνης και 98% υψηλότερα για τη C</w:t>
      </w:r>
      <w:r w:rsidRPr="001F3AFA">
        <w:rPr>
          <w:szCs w:val="22"/>
          <w:vertAlign w:val="subscript"/>
        </w:rPr>
        <w:t>max</w:t>
      </w:r>
      <w:r w:rsidRPr="001F3AFA">
        <w:rPr>
          <w:szCs w:val="22"/>
        </w:rPr>
        <w:t xml:space="preserve"> και 161% υψηλότερα για την AUC</w:t>
      </w:r>
      <w:r w:rsidRPr="001F3AFA">
        <w:rPr>
          <w:szCs w:val="22"/>
          <w:vertAlign w:val="subscript"/>
        </w:rPr>
        <w:t>inf</w:t>
      </w:r>
      <w:r w:rsidRPr="001F3AFA">
        <w:rPr>
          <w:szCs w:val="22"/>
        </w:rPr>
        <w:t xml:space="preserve"> της δεσμεθυλδαποξετίνης). Το δραστικό </w:t>
      </w:r>
      <w:r w:rsidRPr="005A22D2">
        <w:rPr>
          <w:szCs w:val="22"/>
        </w:rPr>
        <w:t>κλάσμα</w:t>
      </w:r>
      <w:r w:rsidRPr="001F3AFA">
        <w:rPr>
          <w:szCs w:val="22"/>
        </w:rPr>
        <w:t xml:space="preserve"> του Priligy μπορεί να αυξηθεί κατά περίπου 46% στη C</w:t>
      </w:r>
      <w:r w:rsidRPr="001F3AFA">
        <w:rPr>
          <w:szCs w:val="22"/>
          <w:vertAlign w:val="subscript"/>
        </w:rPr>
        <w:t>max</w:t>
      </w:r>
      <w:r w:rsidRPr="001F3AFA">
        <w:rPr>
          <w:szCs w:val="22"/>
        </w:rPr>
        <w:t xml:space="preserve"> και κατά περίπου 90% στην AUC. Η αύξηση αυτή μπορεί να οδηγήσει στην υψηλότερη επίπτωση και σοβαρότητα των δοσοεξαρτώμενων ανεπιθύμητων </w:t>
      </w:r>
      <w:r w:rsidR="0015170D">
        <w:rPr>
          <w:szCs w:val="22"/>
        </w:rPr>
        <w:t>ενεργειών</w:t>
      </w:r>
      <w:r w:rsidRPr="001F3AFA">
        <w:rPr>
          <w:szCs w:val="22"/>
        </w:rPr>
        <w:t xml:space="preserve"> (βλέπε παράγραφο 4.2). Η ασφάλεια του Priligy στους </w:t>
      </w:r>
      <w:r w:rsidR="005A22D2">
        <w:rPr>
          <w:szCs w:val="22"/>
        </w:rPr>
        <w:t>πτωχούς</w:t>
      </w:r>
      <w:r w:rsidRPr="001F3AFA">
        <w:rPr>
          <w:szCs w:val="22"/>
        </w:rPr>
        <w:t xml:space="preserve"> μεταβολίτες του CYP2D6 προκαλεί ιδιαίτερη ανησυχία με την παράλληλη χορήγηση άλλων φαρμακευτικών προϊόντων που μπορεί να αναστείλουν τον μεταβολισμό της δαποξετίνης</w:t>
      </w:r>
      <w:r w:rsidR="005A22D2">
        <w:rPr>
          <w:szCs w:val="22"/>
        </w:rPr>
        <w:t>,</w:t>
      </w:r>
      <w:r w:rsidRPr="001F3AFA">
        <w:rPr>
          <w:szCs w:val="22"/>
        </w:rPr>
        <w:t xml:space="preserve"> όπως είναι οι μέτριοι και ισχυροί αναστολείς του CYP3A4 (βλέπε </w:t>
      </w:r>
      <w:r w:rsidR="009049A7">
        <w:rPr>
          <w:szCs w:val="22"/>
        </w:rPr>
        <w:t>παραγράφους</w:t>
      </w:r>
      <w:r w:rsidRPr="001F3AFA">
        <w:rPr>
          <w:szCs w:val="22"/>
        </w:rPr>
        <w:t xml:space="preserve"> 4.2 και 4.3).</w:t>
      </w:r>
    </w:p>
    <w:p w:rsidR="00B86D1B" w:rsidRPr="001F3AFA" w:rsidRDefault="00B86D1B" w:rsidP="00DD10F5">
      <w:pPr>
        <w:rPr>
          <w:szCs w:val="22"/>
        </w:rPr>
      </w:pPr>
    </w:p>
    <w:p w:rsidR="00B86D1B" w:rsidRPr="0007023B" w:rsidRDefault="00B86D1B" w:rsidP="00DD10F5">
      <w:pPr>
        <w:rPr>
          <w:szCs w:val="22"/>
          <w:lang w:val="en-US"/>
        </w:rPr>
      </w:pPr>
      <w:r w:rsidRPr="001F3AFA">
        <w:rPr>
          <w:b/>
          <w:szCs w:val="22"/>
        </w:rPr>
        <w:t>5.3</w:t>
      </w:r>
      <w:r w:rsidRPr="001F3AFA">
        <w:rPr>
          <w:b/>
          <w:szCs w:val="22"/>
        </w:rPr>
        <w:tab/>
        <w:t>Προκλινικά δεδομένα για την ασφάλεια</w:t>
      </w:r>
    </w:p>
    <w:p w:rsidR="001A2FFE" w:rsidRPr="0007023B" w:rsidRDefault="001A2FFE" w:rsidP="00DD10F5">
      <w:pPr>
        <w:rPr>
          <w:szCs w:val="22"/>
        </w:rPr>
      </w:pPr>
      <w:r w:rsidRPr="001F3AFA">
        <w:rPr>
          <w:szCs w:val="22"/>
        </w:rPr>
        <w:t xml:space="preserve">Πραγματοποιήθηκε πλήρης αξιολόγηση </w:t>
      </w:r>
      <w:r w:rsidR="001D5EB2" w:rsidRPr="001F3AFA">
        <w:rPr>
          <w:szCs w:val="22"/>
        </w:rPr>
        <w:t xml:space="preserve">της δαποξετίνης </w:t>
      </w:r>
      <w:r w:rsidR="001D5EB2">
        <w:rPr>
          <w:szCs w:val="22"/>
        </w:rPr>
        <w:t>όσον αφορά στη</w:t>
      </w:r>
      <w:r w:rsidRPr="001F3AFA">
        <w:rPr>
          <w:szCs w:val="22"/>
        </w:rPr>
        <w:t xml:space="preserve"> φαρμακολογική ασφάλεια, τοξικότητα επαναλαμβανόμενων δόσεων, γονοτοξικότητα, </w:t>
      </w:r>
      <w:r w:rsidR="00FB63F0" w:rsidRPr="00FB63F0">
        <w:rPr>
          <w:szCs w:val="22"/>
        </w:rPr>
        <w:t>καρκινογένεση</w:t>
      </w:r>
      <w:r w:rsidRPr="001F3AFA">
        <w:rPr>
          <w:szCs w:val="22"/>
        </w:rPr>
        <w:t xml:space="preserve">, πιθανότητα εξάρτησης/απόσυρσης, </w:t>
      </w:r>
      <w:r w:rsidR="001D5EB2">
        <w:rPr>
          <w:szCs w:val="22"/>
        </w:rPr>
        <w:t>φωτο</w:t>
      </w:r>
      <w:r w:rsidRPr="001F3AFA">
        <w:rPr>
          <w:szCs w:val="22"/>
        </w:rPr>
        <w:t xml:space="preserve">τοξικότητα και τοξικότητα στην αναπαραγωγική ικανότητα και ανάπτυξη στα προκλινικά είδη (ποντικός, αρουραίος, </w:t>
      </w:r>
      <w:r w:rsidR="00636020" w:rsidRPr="001F3AFA">
        <w:rPr>
          <w:szCs w:val="22"/>
        </w:rPr>
        <w:t>κόνικλος</w:t>
      </w:r>
      <w:r w:rsidRPr="001F3AFA">
        <w:rPr>
          <w:szCs w:val="22"/>
        </w:rPr>
        <w:t>, σκύλος και πίθηκος) έως τη μέγιστη ανεκτή δόση σε κάθε είδος.</w:t>
      </w:r>
      <w:r w:rsidRPr="00DB6F08">
        <w:rPr>
          <w:szCs w:val="22"/>
        </w:rPr>
        <w:t xml:space="preserve"> </w:t>
      </w:r>
      <w:r w:rsidRPr="001F3AFA">
        <w:rPr>
          <w:szCs w:val="22"/>
        </w:rPr>
        <w:t>Λόγω της ταχύτερης βιομετατροπής στα προκλινικά είδη σε σχέση με τον άνθρωπο, οι δείκτες φαρμακοκινητικής έκθεσης (C</w:t>
      </w:r>
      <w:r w:rsidRPr="001F3AFA">
        <w:rPr>
          <w:szCs w:val="22"/>
          <w:vertAlign w:val="subscript"/>
        </w:rPr>
        <w:t>max</w:t>
      </w:r>
      <w:r w:rsidRPr="001F3AFA">
        <w:rPr>
          <w:szCs w:val="22"/>
        </w:rPr>
        <w:t xml:space="preserve"> και AUC</w:t>
      </w:r>
      <w:r w:rsidRPr="001F3AFA">
        <w:rPr>
          <w:szCs w:val="22"/>
          <w:vertAlign w:val="subscript"/>
        </w:rPr>
        <w:t>0</w:t>
      </w:r>
      <w:r w:rsidRPr="001F3AFA">
        <w:rPr>
          <w:szCs w:val="22"/>
          <w:vertAlign w:val="subscript"/>
        </w:rPr>
        <w:sym w:font="Symbol" w:char="F02D"/>
      </w:r>
      <w:r w:rsidRPr="001F3AFA">
        <w:rPr>
          <w:szCs w:val="22"/>
          <w:vertAlign w:val="subscript"/>
        </w:rPr>
        <w:t>24 hr</w:t>
      </w:r>
      <w:r w:rsidRPr="001F3AFA">
        <w:rPr>
          <w:szCs w:val="22"/>
        </w:rPr>
        <w:t>) στις μέγιστες ανεκτές δόσεις σε ορισμένες μελέτες προσέγγισαν αυτές που παρατηρήθηκαν στον άνθρωπο.</w:t>
      </w:r>
      <w:r w:rsidRPr="00DB6F08">
        <w:rPr>
          <w:szCs w:val="22"/>
        </w:rPr>
        <w:t xml:space="preserve"> </w:t>
      </w:r>
      <w:r w:rsidRPr="001F3AFA">
        <w:rPr>
          <w:szCs w:val="22"/>
        </w:rPr>
        <w:t>Ωστόσο, τα κανονικοποιημένα προς το σωματικό βάρος πολλαπλάσια της δόσης ήταν περισσότερο από 100 φορές μεγαλύτερα.</w:t>
      </w:r>
      <w:r w:rsidRPr="00DB6F08">
        <w:rPr>
          <w:szCs w:val="22"/>
        </w:rPr>
        <w:t xml:space="preserve"> </w:t>
      </w:r>
      <w:r w:rsidRPr="001F3AFA">
        <w:rPr>
          <w:szCs w:val="22"/>
        </w:rPr>
        <w:t>Δεν εντοπίστηκαν κλινικά σχετικοί κίνδυνοι ασφάλειας σε κάποια από αυτές τις μελέτες.</w:t>
      </w:r>
    </w:p>
    <w:p w:rsidR="001A2FFE" w:rsidRPr="0007023B" w:rsidRDefault="001A2FFE" w:rsidP="00DD10F5">
      <w:pPr>
        <w:rPr>
          <w:szCs w:val="22"/>
        </w:rPr>
      </w:pPr>
      <w:r w:rsidRPr="001F3AFA">
        <w:rPr>
          <w:szCs w:val="22"/>
        </w:rPr>
        <w:t>Σε μελέτες με από στόματος χορήγηση, η δαποξετίνη δεν προκάλεσε καρκινογένεση στους αρουραίους</w:t>
      </w:r>
      <w:r w:rsidR="00636020">
        <w:rPr>
          <w:szCs w:val="22"/>
        </w:rPr>
        <w:t>,</w:t>
      </w:r>
      <w:r w:rsidRPr="001F3AFA">
        <w:rPr>
          <w:szCs w:val="22"/>
        </w:rPr>
        <w:t xml:space="preserve"> όταν χορηγήθηκε </w:t>
      </w:r>
      <w:r w:rsidR="00FB63F0">
        <w:rPr>
          <w:szCs w:val="22"/>
        </w:rPr>
        <w:t xml:space="preserve">καθημερινά </w:t>
      </w:r>
      <w:r w:rsidR="00636020">
        <w:rPr>
          <w:szCs w:val="22"/>
        </w:rPr>
        <w:t>για περίπου δύο χρόνια</w:t>
      </w:r>
      <w:r w:rsidRPr="001F3AFA">
        <w:rPr>
          <w:szCs w:val="22"/>
        </w:rPr>
        <w:t xml:space="preserve"> σε δόσεις έως 225</w:t>
      </w:r>
      <w:r w:rsidR="00DC18E3">
        <w:rPr>
          <w:szCs w:val="22"/>
        </w:rPr>
        <w:t> mg</w:t>
      </w:r>
      <w:r w:rsidRPr="001F3AFA">
        <w:rPr>
          <w:szCs w:val="22"/>
        </w:rPr>
        <w:t>/kg/ημέρα, οδηγώντας σε τουλάχιστον διπλάσια έκθεση (AUC) σε σχέση με αυτή που παρατηρήθηκε σε άρρενες ανθρώπου</w:t>
      </w:r>
      <w:r w:rsidR="00636020">
        <w:rPr>
          <w:szCs w:val="22"/>
        </w:rPr>
        <w:t>ς</w:t>
      </w:r>
      <w:r w:rsidRPr="001F3AFA">
        <w:rPr>
          <w:szCs w:val="22"/>
        </w:rPr>
        <w:t xml:space="preserve"> που έλαβαν τη μέγιστη συνιστώμενη δόση για ανθρώπους των 60</w:t>
      </w:r>
      <w:r w:rsidR="00DC18E3">
        <w:rPr>
          <w:szCs w:val="22"/>
        </w:rPr>
        <w:t> mg</w:t>
      </w:r>
      <w:r w:rsidRPr="001F3AFA">
        <w:rPr>
          <w:szCs w:val="22"/>
        </w:rPr>
        <w:t xml:space="preserve">. Επίσης, η δαποξετίνη δεν προκάλεσε όγκους στα ποντίκια Tg.rasH2 </w:t>
      </w:r>
      <w:r w:rsidR="00636020">
        <w:rPr>
          <w:szCs w:val="22"/>
        </w:rPr>
        <w:t>όταν χορηγήθηκε</w:t>
      </w:r>
      <w:r w:rsidRPr="001F3AFA">
        <w:rPr>
          <w:szCs w:val="22"/>
        </w:rPr>
        <w:t xml:space="preserve"> στη μέγιστη δυνατή δόση των 100</w:t>
      </w:r>
      <w:r w:rsidR="00DC18E3">
        <w:rPr>
          <w:szCs w:val="22"/>
        </w:rPr>
        <w:t> mg</w:t>
      </w:r>
      <w:r w:rsidRPr="001F3AFA">
        <w:rPr>
          <w:szCs w:val="22"/>
        </w:rPr>
        <w:t xml:space="preserve">/kg για 6 μήνες και </w:t>
      </w:r>
      <w:r w:rsidR="00636020">
        <w:rPr>
          <w:szCs w:val="22"/>
        </w:rPr>
        <w:t xml:space="preserve">των </w:t>
      </w:r>
      <w:r w:rsidRPr="001F3AFA">
        <w:rPr>
          <w:szCs w:val="22"/>
        </w:rPr>
        <w:t>200</w:t>
      </w:r>
      <w:r w:rsidR="00DC18E3">
        <w:rPr>
          <w:szCs w:val="22"/>
        </w:rPr>
        <w:t> mg</w:t>
      </w:r>
      <w:r w:rsidRPr="001F3AFA">
        <w:rPr>
          <w:szCs w:val="22"/>
        </w:rPr>
        <w:t>/kg για 4 μήνες.</w:t>
      </w:r>
      <w:r w:rsidRPr="00DB6F08">
        <w:rPr>
          <w:szCs w:val="22"/>
        </w:rPr>
        <w:t xml:space="preserve"> </w:t>
      </w:r>
      <w:r w:rsidRPr="001F3AFA">
        <w:rPr>
          <w:szCs w:val="22"/>
        </w:rPr>
        <w:t>Οι εκθέσεις σταθερής κατάστασης της δαποξετίνης στα ποντίκια μετά από 6 μήνες από στόματος χορήγησης στα 100</w:t>
      </w:r>
      <w:r w:rsidR="00DC18E3">
        <w:rPr>
          <w:szCs w:val="22"/>
        </w:rPr>
        <w:t> mg</w:t>
      </w:r>
      <w:r w:rsidRPr="001F3AFA">
        <w:rPr>
          <w:szCs w:val="22"/>
        </w:rPr>
        <w:t>/kg/ημέρα ήταν μικρότερ</w:t>
      </w:r>
      <w:r w:rsidR="00636020">
        <w:rPr>
          <w:szCs w:val="22"/>
        </w:rPr>
        <w:t>ες</w:t>
      </w:r>
      <w:r w:rsidRPr="001F3AFA">
        <w:rPr>
          <w:szCs w:val="22"/>
        </w:rPr>
        <w:t xml:space="preserve"> από τις εκθέσεις σε μία </w:t>
      </w:r>
      <w:r w:rsidR="002758C2">
        <w:rPr>
          <w:szCs w:val="22"/>
        </w:rPr>
        <w:t xml:space="preserve">μεμονωμένη </w:t>
      </w:r>
      <w:r w:rsidRPr="001F3AFA">
        <w:rPr>
          <w:szCs w:val="22"/>
        </w:rPr>
        <w:t>δόση που παρατηρήθηκαν κλινικά στα 60</w:t>
      </w:r>
      <w:r w:rsidR="00DC18E3">
        <w:rPr>
          <w:szCs w:val="22"/>
        </w:rPr>
        <w:t> mg</w:t>
      </w:r>
      <w:r w:rsidRPr="001F3AFA">
        <w:rPr>
          <w:szCs w:val="22"/>
        </w:rPr>
        <w:t>.</w:t>
      </w:r>
    </w:p>
    <w:p w:rsidR="001A2FFE" w:rsidRPr="001F3AFA" w:rsidRDefault="001A2FFE" w:rsidP="00DD10F5">
      <w:pPr>
        <w:rPr>
          <w:szCs w:val="22"/>
        </w:rPr>
      </w:pPr>
      <w:r w:rsidRPr="001F3AFA">
        <w:rPr>
          <w:szCs w:val="22"/>
        </w:rPr>
        <w:t xml:space="preserve">Δεν υπήρξε επίδραση στη γονιμότητα, την αναπαραγωγική ικανότητα ή τη μορφολογία των αναπαραγωγικών οργάνων σε άρρενες ή θήλεις αρουραίους και δεν παρατηρήθηκαν ανεπιθύμητα σημεία εμβρυοτοξικότητας </w:t>
      </w:r>
      <w:r w:rsidR="00636020">
        <w:rPr>
          <w:szCs w:val="22"/>
        </w:rPr>
        <w:t>σε</w:t>
      </w:r>
      <w:r w:rsidRPr="001F3AFA">
        <w:rPr>
          <w:szCs w:val="22"/>
        </w:rPr>
        <w:t xml:space="preserve"> αρουραίους και κονίκλους.  Οι μελέτες αναπαραγωγικής τοξικότητας δεν περιελάμβαναν μελέτες αξιολόγησης του κινδύνου ανεπιθύμητων επιδράσεων μετά από την έκθεση κατά τη διάρκεια της περινεογνικής-μετανεογνικής περιόδου.</w:t>
      </w:r>
    </w:p>
    <w:p w:rsidR="00B86D1B" w:rsidRPr="001F3AFA" w:rsidRDefault="00B86D1B" w:rsidP="00DD10F5">
      <w:pPr>
        <w:rPr>
          <w:szCs w:val="22"/>
        </w:rPr>
      </w:pPr>
    </w:p>
    <w:p w:rsidR="00B86D1B" w:rsidRPr="001F3AFA" w:rsidRDefault="00B86D1B" w:rsidP="00DD10F5">
      <w:pPr>
        <w:rPr>
          <w:szCs w:val="22"/>
        </w:rPr>
      </w:pPr>
    </w:p>
    <w:p w:rsidR="00B86D1B" w:rsidRPr="0007023B" w:rsidRDefault="00B86D1B" w:rsidP="0007023B">
      <w:pPr>
        <w:rPr>
          <w:szCs w:val="22"/>
        </w:rPr>
      </w:pPr>
      <w:r w:rsidRPr="001F3AFA">
        <w:rPr>
          <w:b/>
          <w:szCs w:val="22"/>
        </w:rPr>
        <w:t>6.</w:t>
      </w:r>
      <w:r w:rsidRPr="001F3AFA">
        <w:rPr>
          <w:b/>
          <w:szCs w:val="22"/>
        </w:rPr>
        <w:tab/>
        <w:t>ΦΑΡΜΑΚΕΥΤΙΚΕΣ ΠΛΗΡΟΦΟΡΙΕΣ</w:t>
      </w:r>
    </w:p>
    <w:p w:rsidR="00B86D1B" w:rsidRPr="0007023B" w:rsidRDefault="00B86D1B" w:rsidP="00DD10F5">
      <w:pPr>
        <w:rPr>
          <w:szCs w:val="22"/>
        </w:rPr>
      </w:pPr>
      <w:r w:rsidRPr="001F3AFA">
        <w:rPr>
          <w:b/>
          <w:szCs w:val="22"/>
        </w:rPr>
        <w:lastRenderedPageBreak/>
        <w:t>6.1</w:t>
      </w:r>
      <w:r w:rsidRPr="001F3AFA">
        <w:rPr>
          <w:b/>
          <w:szCs w:val="22"/>
        </w:rPr>
        <w:tab/>
        <w:t>Κατάλογος εκδόχων</w:t>
      </w:r>
    </w:p>
    <w:p w:rsidR="001A2FFE" w:rsidRPr="0007023B" w:rsidRDefault="001A2FFE" w:rsidP="00DD10F5">
      <w:pPr>
        <w:rPr>
          <w:bCs/>
          <w:szCs w:val="22"/>
          <w:u w:val="single"/>
        </w:rPr>
      </w:pPr>
      <w:r w:rsidRPr="001F3AFA">
        <w:rPr>
          <w:bCs/>
          <w:szCs w:val="22"/>
          <w:u w:val="single"/>
        </w:rPr>
        <w:t>Πυρήνας δισκίου:</w:t>
      </w:r>
    </w:p>
    <w:p w:rsidR="001A2FFE" w:rsidRPr="001F3AFA" w:rsidRDefault="009E3484" w:rsidP="00DD10F5">
      <w:pPr>
        <w:rPr>
          <w:bCs/>
          <w:szCs w:val="22"/>
        </w:rPr>
      </w:pPr>
      <w:r>
        <w:rPr>
          <w:bCs/>
          <w:szCs w:val="22"/>
        </w:rPr>
        <w:t>Μ</w:t>
      </w:r>
      <w:r w:rsidRPr="001F3AFA">
        <w:rPr>
          <w:bCs/>
          <w:szCs w:val="22"/>
        </w:rPr>
        <w:t xml:space="preserve">ονοϋδρική </w:t>
      </w:r>
      <w:r>
        <w:rPr>
          <w:bCs/>
          <w:szCs w:val="22"/>
        </w:rPr>
        <w:t>λ</w:t>
      </w:r>
      <w:r w:rsidR="001A2FFE" w:rsidRPr="001F3AFA">
        <w:rPr>
          <w:bCs/>
          <w:szCs w:val="22"/>
        </w:rPr>
        <w:t xml:space="preserve">ακτόζη </w:t>
      </w:r>
    </w:p>
    <w:p w:rsidR="001A2FFE" w:rsidRPr="001F3AFA" w:rsidRDefault="009E3484" w:rsidP="00DD10F5">
      <w:pPr>
        <w:rPr>
          <w:bCs/>
          <w:szCs w:val="22"/>
        </w:rPr>
      </w:pPr>
      <w:r>
        <w:rPr>
          <w:bCs/>
          <w:szCs w:val="22"/>
        </w:rPr>
        <w:t>Μ</w:t>
      </w:r>
      <w:r w:rsidRPr="001F3AFA">
        <w:rPr>
          <w:bCs/>
          <w:szCs w:val="22"/>
        </w:rPr>
        <w:t xml:space="preserve">ικροκρυσταλλική </w:t>
      </w:r>
      <w:r>
        <w:rPr>
          <w:bCs/>
          <w:szCs w:val="22"/>
        </w:rPr>
        <w:t>κ</w:t>
      </w:r>
      <w:r w:rsidR="001A2FFE" w:rsidRPr="001F3AFA">
        <w:rPr>
          <w:bCs/>
          <w:szCs w:val="22"/>
        </w:rPr>
        <w:t xml:space="preserve">υτταρίνη </w:t>
      </w:r>
    </w:p>
    <w:p w:rsidR="001A2FFE" w:rsidRPr="001F3AFA" w:rsidRDefault="001A2FFE" w:rsidP="00DD10F5">
      <w:pPr>
        <w:rPr>
          <w:bCs/>
          <w:szCs w:val="22"/>
        </w:rPr>
      </w:pPr>
      <w:r w:rsidRPr="001F3AFA">
        <w:rPr>
          <w:bCs/>
          <w:szCs w:val="22"/>
        </w:rPr>
        <w:t xml:space="preserve">Νατριούχος </w:t>
      </w:r>
      <w:r w:rsidR="00F14C72">
        <w:rPr>
          <w:bCs/>
          <w:szCs w:val="22"/>
        </w:rPr>
        <w:t xml:space="preserve">διασταυρούμενη </w:t>
      </w:r>
      <w:r w:rsidRPr="001F3AFA">
        <w:rPr>
          <w:bCs/>
          <w:szCs w:val="22"/>
        </w:rPr>
        <w:t>καρμελλόζη</w:t>
      </w:r>
    </w:p>
    <w:p w:rsidR="001A2FFE" w:rsidRPr="001F3AFA" w:rsidRDefault="001A2FFE" w:rsidP="00DD10F5">
      <w:pPr>
        <w:rPr>
          <w:bCs/>
          <w:szCs w:val="22"/>
        </w:rPr>
      </w:pPr>
      <w:r w:rsidRPr="001F3AFA">
        <w:rPr>
          <w:bCs/>
          <w:szCs w:val="22"/>
        </w:rPr>
        <w:t>Άνυδρο κολλοειδές πυρίτιο</w:t>
      </w:r>
    </w:p>
    <w:p w:rsidR="001A2FFE" w:rsidRPr="001F3AFA" w:rsidRDefault="001A2FFE" w:rsidP="00DD10F5">
      <w:pPr>
        <w:rPr>
          <w:bCs/>
          <w:szCs w:val="22"/>
        </w:rPr>
      </w:pPr>
      <w:r w:rsidRPr="001F3AFA">
        <w:rPr>
          <w:bCs/>
          <w:szCs w:val="22"/>
        </w:rPr>
        <w:t>Στεατικό μαγνήσιο</w:t>
      </w:r>
    </w:p>
    <w:p w:rsidR="001A2FFE" w:rsidRPr="001F3AFA" w:rsidRDefault="001A2FFE" w:rsidP="00DD10F5">
      <w:pPr>
        <w:rPr>
          <w:bCs/>
          <w:szCs w:val="22"/>
        </w:rPr>
      </w:pPr>
    </w:p>
    <w:p w:rsidR="001A2FFE" w:rsidRPr="0007023B" w:rsidRDefault="001A2FFE" w:rsidP="00DD10F5">
      <w:pPr>
        <w:keepNext/>
        <w:keepLines/>
        <w:rPr>
          <w:bCs/>
          <w:szCs w:val="22"/>
          <w:u w:val="single"/>
          <w:lang w:val="en-US"/>
        </w:rPr>
      </w:pPr>
      <w:r w:rsidRPr="001F3AFA">
        <w:rPr>
          <w:bCs/>
          <w:szCs w:val="22"/>
          <w:u w:val="single"/>
        </w:rPr>
        <w:t>Επικάλυψη δισκίου:</w:t>
      </w:r>
    </w:p>
    <w:p w:rsidR="001A2FFE" w:rsidRPr="001F3AFA" w:rsidRDefault="001A2FFE" w:rsidP="00DD10F5">
      <w:pPr>
        <w:keepNext/>
        <w:keepLines/>
        <w:rPr>
          <w:bCs/>
          <w:szCs w:val="22"/>
        </w:rPr>
      </w:pPr>
      <w:r w:rsidRPr="001F3AFA">
        <w:rPr>
          <w:bCs/>
          <w:szCs w:val="22"/>
        </w:rPr>
        <w:t>Μονοϋδρική λακτόζη</w:t>
      </w:r>
    </w:p>
    <w:p w:rsidR="001A2FFE" w:rsidRPr="001F3AFA" w:rsidRDefault="001A2FFE" w:rsidP="00DD10F5">
      <w:pPr>
        <w:rPr>
          <w:bCs/>
          <w:szCs w:val="22"/>
        </w:rPr>
      </w:pPr>
      <w:r w:rsidRPr="001F3AFA">
        <w:rPr>
          <w:bCs/>
          <w:szCs w:val="22"/>
        </w:rPr>
        <w:t>Υπρομελλόζη</w:t>
      </w:r>
    </w:p>
    <w:p w:rsidR="001A2FFE" w:rsidRPr="001F3AFA" w:rsidRDefault="001A2FFE" w:rsidP="00DD10F5">
      <w:pPr>
        <w:rPr>
          <w:bCs/>
          <w:szCs w:val="22"/>
        </w:rPr>
      </w:pPr>
      <w:r w:rsidRPr="001F3AFA">
        <w:rPr>
          <w:bCs/>
          <w:szCs w:val="22"/>
        </w:rPr>
        <w:t>Διοξείδιο τιτανίου (E171)</w:t>
      </w:r>
    </w:p>
    <w:p w:rsidR="001A2FFE" w:rsidRPr="001F3AFA" w:rsidRDefault="001A2FFE" w:rsidP="00DD10F5">
      <w:pPr>
        <w:rPr>
          <w:bCs/>
          <w:szCs w:val="22"/>
        </w:rPr>
      </w:pPr>
      <w:r w:rsidRPr="001F3AFA">
        <w:rPr>
          <w:bCs/>
          <w:szCs w:val="22"/>
        </w:rPr>
        <w:t>Τριακετίνη</w:t>
      </w:r>
    </w:p>
    <w:p w:rsidR="001A2FFE" w:rsidRPr="001F3AFA" w:rsidRDefault="001A2FFE" w:rsidP="00DD10F5">
      <w:pPr>
        <w:rPr>
          <w:szCs w:val="22"/>
        </w:rPr>
      </w:pPr>
      <w:r w:rsidRPr="001F3AFA">
        <w:rPr>
          <w:szCs w:val="22"/>
        </w:rPr>
        <w:t>Μαύρο οξείδιο του σιδήρου (Ε172)</w:t>
      </w:r>
    </w:p>
    <w:p w:rsidR="001A2FFE" w:rsidRPr="001F3AFA" w:rsidRDefault="001A2FFE" w:rsidP="00DD10F5">
      <w:pPr>
        <w:rPr>
          <w:b/>
          <w:szCs w:val="22"/>
        </w:rPr>
      </w:pPr>
      <w:r w:rsidRPr="001F3AFA">
        <w:rPr>
          <w:szCs w:val="22"/>
        </w:rPr>
        <w:t>Κίτρινο οξείδιο του σιδήρου (Ε172)</w:t>
      </w:r>
    </w:p>
    <w:p w:rsidR="00B86D1B" w:rsidRPr="00DB6F08" w:rsidRDefault="00B86D1B" w:rsidP="00DD10F5">
      <w:pPr>
        <w:rPr>
          <w:szCs w:val="22"/>
        </w:rPr>
      </w:pPr>
    </w:p>
    <w:p w:rsidR="00B86D1B" w:rsidRPr="0007023B" w:rsidRDefault="00B86D1B" w:rsidP="00DD10F5">
      <w:pPr>
        <w:rPr>
          <w:szCs w:val="22"/>
          <w:lang w:val="en-US"/>
        </w:rPr>
      </w:pPr>
      <w:r w:rsidRPr="001F3AFA">
        <w:rPr>
          <w:b/>
          <w:szCs w:val="22"/>
        </w:rPr>
        <w:t>6.2</w:t>
      </w:r>
      <w:r w:rsidRPr="001F3AFA">
        <w:rPr>
          <w:b/>
          <w:szCs w:val="22"/>
        </w:rPr>
        <w:tab/>
        <w:t>Ασυμβατότητες</w:t>
      </w:r>
    </w:p>
    <w:p w:rsidR="001A2FFE" w:rsidRPr="001F3AFA" w:rsidRDefault="001A2FFE" w:rsidP="00DD10F5">
      <w:pPr>
        <w:rPr>
          <w:szCs w:val="22"/>
        </w:rPr>
      </w:pPr>
      <w:r w:rsidRPr="001F3AFA">
        <w:rPr>
          <w:szCs w:val="22"/>
        </w:rPr>
        <w:t>Δεν εφαρμόζεται.</w:t>
      </w:r>
    </w:p>
    <w:p w:rsidR="00B86D1B" w:rsidRPr="001F3AFA" w:rsidRDefault="00B86D1B" w:rsidP="00DD10F5">
      <w:pPr>
        <w:pStyle w:val="a3"/>
        <w:tabs>
          <w:tab w:val="clear" w:pos="4153"/>
          <w:tab w:val="clear" w:pos="8306"/>
        </w:tabs>
        <w:rPr>
          <w:szCs w:val="22"/>
        </w:rPr>
      </w:pPr>
    </w:p>
    <w:p w:rsidR="00B86D1B" w:rsidRPr="0007023B" w:rsidRDefault="00B86D1B" w:rsidP="00DD10F5">
      <w:pPr>
        <w:rPr>
          <w:szCs w:val="22"/>
          <w:lang w:val="en-US"/>
        </w:rPr>
      </w:pPr>
      <w:r w:rsidRPr="001F3AFA">
        <w:rPr>
          <w:b/>
          <w:szCs w:val="22"/>
        </w:rPr>
        <w:t>6.3</w:t>
      </w:r>
      <w:r w:rsidRPr="001F3AFA">
        <w:rPr>
          <w:b/>
          <w:szCs w:val="22"/>
        </w:rPr>
        <w:tab/>
        <w:t>Διάρκεια ζωής</w:t>
      </w:r>
    </w:p>
    <w:p w:rsidR="001A2FFE" w:rsidRPr="001F3AFA" w:rsidRDefault="001A2FFE" w:rsidP="00DD10F5">
      <w:pPr>
        <w:rPr>
          <w:szCs w:val="22"/>
        </w:rPr>
      </w:pPr>
      <w:r w:rsidRPr="001F3AFA">
        <w:rPr>
          <w:szCs w:val="22"/>
        </w:rPr>
        <w:t>3 χρόνια</w:t>
      </w:r>
    </w:p>
    <w:p w:rsidR="00B86D1B" w:rsidRPr="001F3AFA" w:rsidRDefault="00B86D1B" w:rsidP="00DD10F5">
      <w:pPr>
        <w:rPr>
          <w:szCs w:val="22"/>
        </w:rPr>
      </w:pPr>
    </w:p>
    <w:p w:rsidR="00B86D1B" w:rsidRPr="0007023B" w:rsidRDefault="00B86D1B" w:rsidP="00DD10F5">
      <w:pPr>
        <w:rPr>
          <w:szCs w:val="22"/>
        </w:rPr>
      </w:pPr>
      <w:r w:rsidRPr="001F3AFA">
        <w:rPr>
          <w:b/>
          <w:szCs w:val="22"/>
        </w:rPr>
        <w:t>6.4</w:t>
      </w:r>
      <w:r w:rsidRPr="001F3AFA">
        <w:rPr>
          <w:b/>
          <w:szCs w:val="22"/>
        </w:rPr>
        <w:tab/>
        <w:t>Ιδιαίτερες προφυλάξεις κατά την φύλαξη του προϊόντος</w:t>
      </w:r>
    </w:p>
    <w:p w:rsidR="001A2FFE" w:rsidRPr="001F3AFA" w:rsidRDefault="00F3158B" w:rsidP="00DD10F5">
      <w:pPr>
        <w:rPr>
          <w:szCs w:val="22"/>
        </w:rPr>
      </w:pPr>
      <w:r>
        <w:rPr>
          <w:noProof/>
        </w:rPr>
        <w:t>Δεν υπάρχουν ειδικές οδηγίες διατήρησης για το προϊόν αυτό</w:t>
      </w:r>
      <w:r w:rsidR="001A2FFE" w:rsidRPr="001F3AFA">
        <w:rPr>
          <w:szCs w:val="22"/>
        </w:rPr>
        <w:t>.</w:t>
      </w:r>
    </w:p>
    <w:p w:rsidR="00B86D1B" w:rsidRPr="001F3AFA" w:rsidRDefault="00B86D1B" w:rsidP="00DD10F5">
      <w:pPr>
        <w:rPr>
          <w:szCs w:val="22"/>
          <w:highlight w:val="yellow"/>
        </w:rPr>
      </w:pPr>
    </w:p>
    <w:p w:rsidR="00B86D1B" w:rsidRPr="0007023B" w:rsidRDefault="00B86D1B" w:rsidP="00DD10F5">
      <w:pPr>
        <w:rPr>
          <w:szCs w:val="22"/>
          <w:lang w:val="en-US"/>
        </w:rPr>
      </w:pPr>
      <w:r w:rsidRPr="001F3AFA">
        <w:rPr>
          <w:b/>
          <w:szCs w:val="22"/>
        </w:rPr>
        <w:t>6.5</w:t>
      </w:r>
      <w:r w:rsidRPr="001F3AFA">
        <w:rPr>
          <w:b/>
          <w:szCs w:val="22"/>
        </w:rPr>
        <w:tab/>
        <w:t>Φύση και συστατικά του περιέκτη</w:t>
      </w:r>
    </w:p>
    <w:p w:rsidR="00F3158B" w:rsidRDefault="00F3158B" w:rsidP="00DD10F5">
      <w:pPr>
        <w:rPr>
          <w:szCs w:val="22"/>
        </w:rPr>
      </w:pPr>
      <w:r>
        <w:rPr>
          <w:szCs w:val="22"/>
        </w:rPr>
        <w:t xml:space="preserve">Κυψέλες </w:t>
      </w:r>
      <w:r w:rsidRPr="00F3158B">
        <w:rPr>
          <w:szCs w:val="22"/>
        </w:rPr>
        <w:t>(</w:t>
      </w:r>
      <w:r>
        <w:rPr>
          <w:szCs w:val="22"/>
          <w:lang w:val="en-US"/>
        </w:rPr>
        <w:t>blister</w:t>
      </w:r>
      <w:r w:rsidRPr="00F3158B">
        <w:rPr>
          <w:szCs w:val="22"/>
        </w:rPr>
        <w:t xml:space="preserve">) </w:t>
      </w:r>
      <w:r w:rsidR="001A2FFE" w:rsidRPr="001F3AFA">
        <w:rPr>
          <w:szCs w:val="22"/>
        </w:rPr>
        <w:t>PVC</w:t>
      </w:r>
      <w:r w:rsidR="001A2FFE" w:rsidRPr="001F3AFA">
        <w:rPr>
          <w:szCs w:val="22"/>
        </w:rPr>
        <w:sym w:font="Symbol" w:char="F02D"/>
      </w:r>
      <w:r w:rsidR="001A2FFE" w:rsidRPr="001F3AFA">
        <w:rPr>
          <w:szCs w:val="22"/>
        </w:rPr>
        <w:t>PE</w:t>
      </w:r>
      <w:r w:rsidR="001A2FFE" w:rsidRPr="001F3AFA">
        <w:rPr>
          <w:szCs w:val="22"/>
        </w:rPr>
        <w:sym w:font="Symbol" w:char="F02D"/>
      </w:r>
      <w:r w:rsidR="001A2FFE" w:rsidRPr="001F3AFA">
        <w:rPr>
          <w:szCs w:val="22"/>
        </w:rPr>
        <w:t xml:space="preserve">PVDC/Alu </w:t>
      </w:r>
      <w:r w:rsidR="00636020" w:rsidRPr="00B2258B">
        <w:rPr>
          <w:szCs w:val="22"/>
        </w:rPr>
        <w:t>σε</w:t>
      </w:r>
      <w:r w:rsidR="001A2FFE" w:rsidRPr="00B2258B">
        <w:rPr>
          <w:szCs w:val="22"/>
        </w:rPr>
        <w:t xml:space="preserve"> </w:t>
      </w:r>
      <w:r w:rsidR="00377BAF">
        <w:rPr>
          <w:szCs w:val="22"/>
        </w:rPr>
        <w:t>πολλαπλές συσκευασίες</w:t>
      </w:r>
      <w:r w:rsidR="001A2FFE" w:rsidRPr="00B2258B">
        <w:rPr>
          <w:szCs w:val="22"/>
        </w:rPr>
        <w:t xml:space="preserve"> </w:t>
      </w:r>
      <w:r w:rsidR="00C60583" w:rsidRPr="00B2258B">
        <w:rPr>
          <w:szCs w:val="22"/>
        </w:rPr>
        <w:t>καλής συμμόρφωσης</w:t>
      </w:r>
      <w:r w:rsidR="00C60583">
        <w:rPr>
          <w:szCs w:val="22"/>
        </w:rPr>
        <w:t xml:space="preserve"> </w:t>
      </w:r>
      <w:r w:rsidR="001A2FFE" w:rsidRPr="001F3AFA">
        <w:rPr>
          <w:szCs w:val="22"/>
        </w:rPr>
        <w:t xml:space="preserve">των 1, 2, 3 και 6 επικαλυμμένων με </w:t>
      </w:r>
      <w:r>
        <w:rPr>
          <w:szCs w:val="22"/>
        </w:rPr>
        <w:t xml:space="preserve">λεπτό </w:t>
      </w:r>
      <w:r w:rsidR="001A2FFE" w:rsidRPr="001F3AFA">
        <w:rPr>
          <w:szCs w:val="22"/>
        </w:rPr>
        <w:t xml:space="preserve">υμένιο δισκίων. </w:t>
      </w:r>
    </w:p>
    <w:p w:rsidR="001A2FFE" w:rsidRPr="001F3AFA" w:rsidRDefault="001A2FFE" w:rsidP="00DD10F5">
      <w:pPr>
        <w:rPr>
          <w:szCs w:val="22"/>
        </w:rPr>
      </w:pPr>
      <w:r w:rsidRPr="001F3AFA">
        <w:rPr>
          <w:szCs w:val="22"/>
        </w:rPr>
        <w:t>Μπορεί να μη</w:t>
      </w:r>
      <w:r w:rsidR="00F3158B">
        <w:rPr>
          <w:szCs w:val="22"/>
        </w:rPr>
        <w:t>ν</w:t>
      </w:r>
      <w:r w:rsidRPr="001F3AFA">
        <w:rPr>
          <w:szCs w:val="22"/>
        </w:rPr>
        <w:t xml:space="preserve"> κυκλοφορούν όλες οι συσκευασίες.</w:t>
      </w:r>
    </w:p>
    <w:p w:rsidR="00B86D1B" w:rsidRPr="001F3AFA" w:rsidRDefault="00B86D1B" w:rsidP="00DD10F5">
      <w:pPr>
        <w:rPr>
          <w:szCs w:val="22"/>
        </w:rPr>
      </w:pPr>
    </w:p>
    <w:p w:rsidR="00B86D1B" w:rsidRPr="001F3AFA" w:rsidRDefault="00B86D1B" w:rsidP="00DD10F5">
      <w:pPr>
        <w:rPr>
          <w:szCs w:val="22"/>
        </w:rPr>
      </w:pPr>
      <w:r w:rsidRPr="001F3AFA">
        <w:rPr>
          <w:b/>
          <w:szCs w:val="22"/>
        </w:rPr>
        <w:t>6.6</w:t>
      </w:r>
      <w:r w:rsidRPr="001F3AFA">
        <w:rPr>
          <w:b/>
          <w:szCs w:val="22"/>
        </w:rPr>
        <w:tab/>
      </w:r>
      <w:r w:rsidRPr="001F3AFA">
        <w:rPr>
          <w:b/>
          <w:noProof/>
          <w:szCs w:val="22"/>
        </w:rPr>
        <w:t xml:space="preserve">Ιδιαίτερες προφυλάξεις απόρριψης </w:t>
      </w:r>
    </w:p>
    <w:p w:rsidR="00B86D1B" w:rsidRPr="001F3AFA" w:rsidRDefault="00B86D1B" w:rsidP="00DD10F5">
      <w:pPr>
        <w:rPr>
          <w:szCs w:val="22"/>
        </w:rPr>
      </w:pPr>
    </w:p>
    <w:p w:rsidR="001A2FFE" w:rsidRPr="001F3AFA" w:rsidRDefault="001A2FFE" w:rsidP="00DD10F5">
      <w:pPr>
        <w:rPr>
          <w:szCs w:val="22"/>
        </w:rPr>
      </w:pPr>
      <w:r w:rsidRPr="001F3AFA">
        <w:rPr>
          <w:szCs w:val="22"/>
        </w:rPr>
        <w:t>Το παρόν φαρμακευτικό προϊόν δεν πρέπει να απορρίπτεται στο νερό της αποχέτευσης ή τα σκουπίδια.  Κάθε μη χρησιμοποιηθέν προϊόν ή υπόλειμμα πρέπει να απορριφθεί σύμφωνα με τις κατά τόπους ισχύουσες σχετικές διατάξεις.</w:t>
      </w:r>
    </w:p>
    <w:p w:rsidR="00B86D1B" w:rsidRPr="001F3AFA" w:rsidRDefault="00B86D1B" w:rsidP="00DD10F5">
      <w:pPr>
        <w:rPr>
          <w:szCs w:val="22"/>
        </w:rPr>
      </w:pPr>
    </w:p>
    <w:p w:rsidR="00B86D1B" w:rsidRPr="001F3AFA" w:rsidRDefault="00B86D1B" w:rsidP="00DD10F5">
      <w:pPr>
        <w:rPr>
          <w:szCs w:val="22"/>
        </w:rPr>
      </w:pPr>
    </w:p>
    <w:p w:rsidR="00B86D1B" w:rsidRPr="001F3AFA" w:rsidRDefault="00B86D1B" w:rsidP="00DD10F5">
      <w:pPr>
        <w:rPr>
          <w:szCs w:val="22"/>
        </w:rPr>
      </w:pPr>
      <w:r w:rsidRPr="001F3AFA">
        <w:rPr>
          <w:b/>
          <w:szCs w:val="22"/>
        </w:rPr>
        <w:t>7.</w:t>
      </w:r>
      <w:r w:rsidRPr="001F3AFA">
        <w:rPr>
          <w:b/>
          <w:szCs w:val="22"/>
        </w:rPr>
        <w:tab/>
        <w:t>ΚΑΤΟΧΟΣ ΤΗΣ ΑΔΕΙΑΣ ΚΥΚΛΟΦΟΡΙΑΣ</w:t>
      </w:r>
    </w:p>
    <w:p w:rsidR="00B86D1B" w:rsidRPr="001F3AFA" w:rsidRDefault="00B86D1B" w:rsidP="00DD10F5">
      <w:pPr>
        <w:rPr>
          <w:szCs w:val="22"/>
        </w:rPr>
      </w:pPr>
    </w:p>
    <w:p w:rsidR="00BD234E" w:rsidRPr="008E6130" w:rsidRDefault="00BD234E" w:rsidP="00BD234E">
      <w:r w:rsidRPr="008E6130">
        <w:t>M</w:t>
      </w:r>
      <w:r w:rsidRPr="00BD234E">
        <w:t>enarini</w:t>
      </w:r>
      <w:r w:rsidRPr="008E6130">
        <w:t xml:space="preserve"> H</w:t>
      </w:r>
      <w:r w:rsidRPr="00BD234E">
        <w:t>ellas</w:t>
      </w:r>
      <w:r w:rsidRPr="008E6130">
        <w:t xml:space="preserve"> AE</w:t>
      </w:r>
    </w:p>
    <w:p w:rsidR="00A51A70" w:rsidRPr="00202671" w:rsidRDefault="00202671" w:rsidP="00A51A70">
      <w:pPr>
        <w:rPr>
          <w:lang w:val="en-US"/>
        </w:rPr>
      </w:pPr>
      <w:r>
        <w:t>Αν. Δαμβέργη 7</w:t>
      </w:r>
    </w:p>
    <w:p w:rsidR="00A51A70" w:rsidRDefault="00A51A70" w:rsidP="00A51A70">
      <w:pPr>
        <w:tabs>
          <w:tab w:val="left" w:pos="-720"/>
        </w:tabs>
        <w:suppressAutoHyphens/>
        <w:rPr>
          <w:lang w:val="en-US"/>
        </w:rPr>
      </w:pPr>
      <w:r>
        <w:t>1</w:t>
      </w:r>
      <w:r w:rsidRPr="00B379B8">
        <w:t xml:space="preserve">04 45 </w:t>
      </w:r>
    </w:p>
    <w:p w:rsidR="00A51A70" w:rsidRDefault="00A51A70" w:rsidP="00A51A70">
      <w:pPr>
        <w:tabs>
          <w:tab w:val="left" w:pos="-720"/>
        </w:tabs>
        <w:suppressAutoHyphens/>
        <w:rPr>
          <w:lang w:val="en-US"/>
        </w:rPr>
      </w:pPr>
      <w:r w:rsidRPr="00B379B8">
        <w:t xml:space="preserve">Αθήνα </w:t>
      </w:r>
    </w:p>
    <w:p w:rsidR="00B86D1B" w:rsidRDefault="00B86D1B" w:rsidP="00DD10F5">
      <w:pPr>
        <w:rPr>
          <w:szCs w:val="22"/>
          <w:lang w:val="en-US"/>
        </w:rPr>
      </w:pPr>
    </w:p>
    <w:p w:rsidR="00B2258B" w:rsidRPr="00B2258B" w:rsidRDefault="00B2258B" w:rsidP="00DD10F5">
      <w:pPr>
        <w:rPr>
          <w:szCs w:val="22"/>
          <w:lang w:val="en-US"/>
        </w:rPr>
      </w:pPr>
    </w:p>
    <w:p w:rsidR="00B86D1B" w:rsidRPr="001F3AFA" w:rsidRDefault="00B86D1B" w:rsidP="00DD10F5">
      <w:pPr>
        <w:rPr>
          <w:szCs w:val="22"/>
        </w:rPr>
      </w:pPr>
      <w:r w:rsidRPr="001F3AFA">
        <w:rPr>
          <w:b/>
          <w:szCs w:val="22"/>
        </w:rPr>
        <w:t>8.</w:t>
      </w:r>
      <w:r w:rsidRPr="001F3AFA">
        <w:rPr>
          <w:b/>
          <w:szCs w:val="22"/>
        </w:rPr>
        <w:tab/>
        <w:t>ΑΡΙΘΜΟΣ(ΟΙ) ΑΔΕΙΑΣ ΚΥΚΛΟΦΟΡΙΑΣ</w:t>
      </w:r>
    </w:p>
    <w:p w:rsidR="00B86D1B" w:rsidRPr="001F3AFA" w:rsidRDefault="00B86D1B" w:rsidP="00DD10F5">
      <w:pPr>
        <w:rPr>
          <w:szCs w:val="22"/>
        </w:rPr>
      </w:pPr>
    </w:p>
    <w:p w:rsidR="00B86D1B" w:rsidRPr="001F3AFA" w:rsidRDefault="00B86D1B" w:rsidP="00DD10F5">
      <w:pPr>
        <w:rPr>
          <w:szCs w:val="22"/>
        </w:rPr>
      </w:pPr>
    </w:p>
    <w:p w:rsidR="00B86D1B" w:rsidRPr="001F3AFA" w:rsidRDefault="00B86D1B" w:rsidP="00DD10F5">
      <w:pPr>
        <w:rPr>
          <w:szCs w:val="22"/>
        </w:rPr>
      </w:pPr>
    </w:p>
    <w:p w:rsidR="00B86D1B" w:rsidRPr="001F3AFA" w:rsidRDefault="00B86D1B" w:rsidP="00DD10F5">
      <w:pPr>
        <w:rPr>
          <w:szCs w:val="22"/>
        </w:rPr>
      </w:pPr>
      <w:r w:rsidRPr="001F3AFA">
        <w:rPr>
          <w:b/>
          <w:szCs w:val="22"/>
        </w:rPr>
        <w:t>9.</w:t>
      </w:r>
      <w:r w:rsidRPr="001F3AFA">
        <w:rPr>
          <w:b/>
          <w:szCs w:val="22"/>
        </w:rPr>
        <w:tab/>
        <w:t>ΗΜΕΡΟΜΗΝΙΑ ΠΡΩΤΗΣ ΕΓΚΡΙΣΗΣ / ΑΝΑΝΕΩΣΗΣ ΤΗΣ ΑΔΕΙΑΣ</w:t>
      </w:r>
    </w:p>
    <w:p w:rsidR="00B86D1B" w:rsidRPr="001F3AFA" w:rsidRDefault="00B86D1B" w:rsidP="00DD10F5">
      <w:pPr>
        <w:rPr>
          <w:szCs w:val="22"/>
        </w:rPr>
      </w:pPr>
    </w:p>
    <w:p w:rsidR="00B86D1B" w:rsidRPr="001F3AFA" w:rsidRDefault="00B86D1B" w:rsidP="00DD10F5">
      <w:pPr>
        <w:rPr>
          <w:szCs w:val="22"/>
        </w:rPr>
      </w:pPr>
    </w:p>
    <w:p w:rsidR="00B86D1B" w:rsidRPr="001F3AFA" w:rsidRDefault="00B86D1B" w:rsidP="00DD10F5">
      <w:pPr>
        <w:rPr>
          <w:szCs w:val="22"/>
        </w:rPr>
      </w:pPr>
    </w:p>
    <w:p w:rsidR="00B86D1B" w:rsidRPr="001F3AFA" w:rsidRDefault="00B86D1B" w:rsidP="00DD10F5">
      <w:pPr>
        <w:tabs>
          <w:tab w:val="left" w:pos="709"/>
        </w:tabs>
        <w:rPr>
          <w:szCs w:val="22"/>
        </w:rPr>
      </w:pPr>
      <w:r w:rsidRPr="001F3AFA">
        <w:rPr>
          <w:b/>
          <w:szCs w:val="22"/>
        </w:rPr>
        <w:t>10.</w:t>
      </w:r>
      <w:r w:rsidRPr="001F3AFA">
        <w:rPr>
          <w:b/>
          <w:szCs w:val="22"/>
        </w:rPr>
        <w:tab/>
        <w:t>ΗΜΕΡΟΜΗΝΙΑ ΑΝΑΘΕΩΡΗΣΗΣ ΤΟΥ ΚΕΙΜΕΝΟΥ</w:t>
      </w:r>
    </w:p>
    <w:p w:rsidR="00B86D1B" w:rsidRPr="001F3AFA" w:rsidRDefault="00B86D1B" w:rsidP="00DD10F5">
      <w:pPr>
        <w:pStyle w:val="a3"/>
        <w:tabs>
          <w:tab w:val="clear" w:pos="4153"/>
          <w:tab w:val="clear" w:pos="8306"/>
        </w:tabs>
        <w:rPr>
          <w:bCs/>
          <w:noProof/>
          <w:szCs w:val="22"/>
        </w:rPr>
      </w:pPr>
    </w:p>
    <w:p w:rsidR="00B86D1B" w:rsidRPr="001F3AFA" w:rsidRDefault="00B86D1B" w:rsidP="00DD10F5">
      <w:pPr>
        <w:rPr>
          <w:noProof/>
          <w:szCs w:val="22"/>
        </w:rPr>
      </w:pPr>
    </w:p>
    <w:sectPr w:rsidR="00B86D1B" w:rsidRPr="001F3AFA" w:rsidSect="00850ADE">
      <w:footerReference w:type="default" r:id="rId7"/>
      <w:footerReference w:type="first" r:id="rId8"/>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FD" w:rsidRDefault="00B830FD">
      <w:r>
        <w:separator/>
      </w:r>
    </w:p>
  </w:endnote>
  <w:endnote w:type="continuationSeparator" w:id="0">
    <w:p w:rsidR="00B830FD" w:rsidRDefault="00B83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8B" w:rsidRDefault="00606057">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B2258B">
      <w:rPr>
        <w:rFonts w:ascii="Arial" w:hAnsi="Arial" w:cs="Arial"/>
        <w:sz w:val="16"/>
        <w:lang w:val="fr-FR"/>
      </w:rPr>
      <w:instrText xml:space="preserve">PAGE  </w:instrText>
    </w:r>
    <w:r>
      <w:rPr>
        <w:rFonts w:ascii="Arial" w:hAnsi="Arial" w:cs="Arial"/>
        <w:sz w:val="16"/>
        <w:lang w:val="fr-FR"/>
      </w:rPr>
      <w:fldChar w:fldCharType="separate"/>
    </w:r>
    <w:r w:rsidR="003A56B8">
      <w:rPr>
        <w:rFonts w:ascii="Arial" w:hAnsi="Arial" w:cs="Arial"/>
        <w:noProof/>
        <w:sz w:val="16"/>
        <w:lang w:val="fr-FR"/>
      </w:rPr>
      <w:t>16</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8B" w:rsidRDefault="00606057">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sidR="00B2258B">
      <w:rPr>
        <w:rFonts w:ascii="Arial" w:hAnsi="Arial" w:cs="Arial"/>
        <w:sz w:val="16"/>
        <w:lang w:val="fr-FR"/>
      </w:rPr>
      <w:instrText xml:space="preserve">PAGE  </w:instrText>
    </w:r>
    <w:r>
      <w:rPr>
        <w:rFonts w:ascii="Arial" w:hAnsi="Arial" w:cs="Arial"/>
        <w:sz w:val="16"/>
        <w:lang w:val="fr-FR"/>
      </w:rPr>
      <w:fldChar w:fldCharType="separate"/>
    </w:r>
    <w:r w:rsidR="003A56B8">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FD" w:rsidRDefault="00B830FD">
      <w:r>
        <w:separator/>
      </w:r>
    </w:p>
  </w:footnote>
  <w:footnote w:type="continuationSeparator" w:id="0">
    <w:p w:rsidR="00B830FD" w:rsidRDefault="00B83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647C00"/>
    <w:multiLevelType w:val="hybridMultilevel"/>
    <w:tmpl w:val="CD5E0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6B978CD"/>
    <w:multiLevelType w:val="singleLevel"/>
    <w:tmpl w:val="31304CA6"/>
    <w:lvl w:ilvl="0">
      <w:start w:val="1"/>
      <w:numFmt w:val="decimal"/>
      <w:lvlText w:val="%1."/>
      <w:legacy w:legacy="1" w:legacySpace="0" w:legacyIndent="360"/>
      <w:lvlJc w:val="left"/>
      <w:pPr>
        <w:ind w:left="360" w:hanging="360"/>
      </w:pPr>
      <w:rPr>
        <w:rFonts w:cs="Times New Roman"/>
      </w:rPr>
    </w:lvl>
  </w:abstractNum>
  <w:abstractNum w:abstractNumId="4">
    <w:nsid w:val="1EA37FC5"/>
    <w:multiLevelType w:val="singleLevel"/>
    <w:tmpl w:val="FFFFFFFF"/>
    <w:lvl w:ilvl="0">
      <w:start w:val="1"/>
      <w:numFmt w:val="bullet"/>
      <w:lvlText w:val="-"/>
      <w:legacy w:legacy="1" w:legacySpace="0" w:legacyIndent="360"/>
      <w:lvlJc w:val="left"/>
      <w:pPr>
        <w:ind w:left="1800" w:hanging="360"/>
      </w:pPr>
    </w:lvl>
  </w:abstractNum>
  <w:abstractNum w:abstractNumId="5">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26664534"/>
    <w:multiLevelType w:val="hybridMultilevel"/>
    <w:tmpl w:val="D3B6A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C2540ED"/>
    <w:multiLevelType w:val="hybridMultilevel"/>
    <w:tmpl w:val="0B2032F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2C600D37"/>
    <w:multiLevelType w:val="hybridMultilevel"/>
    <w:tmpl w:val="5F14E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373F1D38"/>
    <w:multiLevelType w:val="hybridMultilevel"/>
    <w:tmpl w:val="4D16B8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CB07258"/>
    <w:multiLevelType w:val="multilevel"/>
    <w:tmpl w:val="F75069E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44053DEC"/>
    <w:multiLevelType w:val="hybridMultilevel"/>
    <w:tmpl w:val="756A05E4"/>
    <w:lvl w:ilvl="0" w:tplc="04090001">
      <w:start w:val="1"/>
      <w:numFmt w:val="bullet"/>
      <w:lvlText w:val=""/>
      <w:lvlJc w:val="left"/>
      <w:pPr>
        <w:tabs>
          <w:tab w:val="num" w:pos="-96"/>
        </w:tabs>
        <w:ind w:left="-96" w:hanging="360"/>
      </w:pPr>
      <w:rPr>
        <w:rFonts w:ascii="Symbol" w:hAnsi="Symbol" w:hint="default"/>
      </w:rPr>
    </w:lvl>
    <w:lvl w:ilvl="1" w:tplc="04090003">
      <w:start w:val="1"/>
      <w:numFmt w:val="bullet"/>
      <w:lvlText w:val="o"/>
      <w:lvlJc w:val="left"/>
      <w:pPr>
        <w:ind w:left="624" w:hanging="360"/>
      </w:pPr>
      <w:rPr>
        <w:rFonts w:ascii="Courier New" w:hAnsi="Courier New" w:hint="default"/>
      </w:rPr>
    </w:lvl>
    <w:lvl w:ilvl="2" w:tplc="04090005">
      <w:start w:val="1"/>
      <w:numFmt w:val="bullet"/>
      <w:lvlText w:val=""/>
      <w:lvlJc w:val="left"/>
      <w:pPr>
        <w:ind w:left="1344" w:hanging="360"/>
      </w:pPr>
      <w:rPr>
        <w:rFonts w:ascii="Wingdings" w:hAnsi="Wingdings" w:hint="default"/>
      </w:rPr>
    </w:lvl>
    <w:lvl w:ilvl="3" w:tplc="04090001">
      <w:start w:val="1"/>
      <w:numFmt w:val="bullet"/>
      <w:lvlText w:val=""/>
      <w:lvlJc w:val="left"/>
      <w:pPr>
        <w:ind w:left="2064" w:hanging="360"/>
      </w:pPr>
      <w:rPr>
        <w:rFonts w:ascii="Symbol" w:hAnsi="Symbol" w:hint="default"/>
      </w:rPr>
    </w:lvl>
    <w:lvl w:ilvl="4" w:tplc="04090003">
      <w:start w:val="1"/>
      <w:numFmt w:val="bullet"/>
      <w:lvlText w:val="o"/>
      <w:lvlJc w:val="left"/>
      <w:pPr>
        <w:ind w:left="2784" w:hanging="360"/>
      </w:pPr>
      <w:rPr>
        <w:rFonts w:ascii="Courier New" w:hAnsi="Courier New" w:hint="default"/>
      </w:rPr>
    </w:lvl>
    <w:lvl w:ilvl="5" w:tplc="04090005">
      <w:start w:val="1"/>
      <w:numFmt w:val="bullet"/>
      <w:lvlText w:val=""/>
      <w:lvlJc w:val="left"/>
      <w:pPr>
        <w:ind w:left="3504" w:hanging="360"/>
      </w:pPr>
      <w:rPr>
        <w:rFonts w:ascii="Wingdings" w:hAnsi="Wingdings" w:hint="default"/>
      </w:rPr>
    </w:lvl>
    <w:lvl w:ilvl="6" w:tplc="04090001">
      <w:start w:val="1"/>
      <w:numFmt w:val="bullet"/>
      <w:lvlText w:val=""/>
      <w:lvlJc w:val="left"/>
      <w:pPr>
        <w:ind w:left="4224" w:hanging="360"/>
      </w:pPr>
      <w:rPr>
        <w:rFonts w:ascii="Symbol" w:hAnsi="Symbol" w:hint="default"/>
      </w:rPr>
    </w:lvl>
    <w:lvl w:ilvl="7" w:tplc="04090003">
      <w:start w:val="1"/>
      <w:numFmt w:val="bullet"/>
      <w:lvlText w:val="o"/>
      <w:lvlJc w:val="left"/>
      <w:pPr>
        <w:ind w:left="4944" w:hanging="360"/>
      </w:pPr>
      <w:rPr>
        <w:rFonts w:ascii="Courier New" w:hAnsi="Courier New" w:hint="default"/>
      </w:rPr>
    </w:lvl>
    <w:lvl w:ilvl="8" w:tplc="04090005">
      <w:start w:val="1"/>
      <w:numFmt w:val="bullet"/>
      <w:lvlText w:val=""/>
      <w:lvlJc w:val="left"/>
      <w:pPr>
        <w:ind w:left="5664" w:hanging="360"/>
      </w:pPr>
      <w:rPr>
        <w:rFonts w:ascii="Wingdings" w:hAnsi="Wingdings" w:hint="default"/>
      </w:rPr>
    </w:lvl>
  </w:abstractNum>
  <w:abstractNum w:abstractNumId="14">
    <w:nsid w:val="4A810019"/>
    <w:multiLevelType w:val="singleLevel"/>
    <w:tmpl w:val="FFFFFFFF"/>
    <w:lvl w:ilvl="0">
      <w:start w:val="1"/>
      <w:numFmt w:val="bullet"/>
      <w:lvlText w:val="-"/>
      <w:legacy w:legacy="1" w:legacySpace="0" w:legacyIndent="360"/>
      <w:lvlJc w:val="left"/>
      <w:pPr>
        <w:ind w:left="1800" w:hanging="360"/>
      </w:pPr>
    </w:lvl>
  </w:abstractNum>
  <w:abstractNum w:abstractNumId="15">
    <w:nsid w:val="4AA4312D"/>
    <w:multiLevelType w:val="hybridMultilevel"/>
    <w:tmpl w:val="D0B8DB20"/>
    <w:lvl w:ilvl="0" w:tplc="81A03DD0">
      <w:start w:val="10"/>
      <w:numFmt w:val="decimal"/>
      <w:lvlText w:val="%1."/>
      <w:lvlJc w:val="left"/>
      <w:pPr>
        <w:tabs>
          <w:tab w:val="num" w:pos="1080"/>
        </w:tabs>
        <w:ind w:left="1080" w:hanging="72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nsid w:val="560C4365"/>
    <w:multiLevelType w:val="singleLevel"/>
    <w:tmpl w:val="FFFFFFFF"/>
    <w:lvl w:ilvl="0">
      <w:start w:val="1"/>
      <w:numFmt w:val="bullet"/>
      <w:lvlText w:val="-"/>
      <w:legacy w:legacy="1" w:legacySpace="0" w:legacyIndent="360"/>
      <w:lvlJc w:val="left"/>
      <w:pPr>
        <w:ind w:left="1800" w:hanging="360"/>
      </w:pPr>
    </w:lvl>
  </w:abstractNum>
  <w:abstractNum w:abstractNumId="17">
    <w:nsid w:val="58E925B5"/>
    <w:multiLevelType w:val="hybridMultilevel"/>
    <w:tmpl w:val="7A6AD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B45364D"/>
    <w:multiLevelType w:val="singleLevel"/>
    <w:tmpl w:val="CDFCF48C"/>
    <w:lvl w:ilvl="0">
      <w:start w:val="8"/>
      <w:numFmt w:val="decimal"/>
      <w:lvlText w:val="%1."/>
      <w:lvlJc w:val="left"/>
      <w:pPr>
        <w:tabs>
          <w:tab w:val="num" w:pos="570"/>
        </w:tabs>
        <w:ind w:left="570" w:hanging="570"/>
      </w:pPr>
      <w:rPr>
        <w:rFonts w:cs="Times New Roman" w:hint="default"/>
        <w:b/>
      </w:rPr>
    </w:lvl>
  </w:abstractNum>
  <w:abstractNum w:abstractNumId="19">
    <w:nsid w:val="5DA255B4"/>
    <w:multiLevelType w:val="hybridMultilevel"/>
    <w:tmpl w:val="69649D56"/>
    <w:lvl w:ilvl="0" w:tplc="F892AD8A">
      <w:start w:val="1"/>
      <w:numFmt w:val="bullet"/>
      <w:lvlText w:val=""/>
      <w:lvlJc w:val="left"/>
      <w:pPr>
        <w:tabs>
          <w:tab w:val="num" w:pos="288"/>
        </w:tabs>
        <w:ind w:left="288" w:hanging="288"/>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00F5A7A"/>
    <w:multiLevelType w:val="hybridMultilevel"/>
    <w:tmpl w:val="996E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2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24">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3013DB5"/>
    <w:multiLevelType w:val="hybridMultilevel"/>
    <w:tmpl w:val="82929552"/>
    <w:lvl w:ilvl="0" w:tplc="3D8CB4D2">
      <w:start w:val="1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nsid w:val="7A5D1D22"/>
    <w:multiLevelType w:val="hybridMultilevel"/>
    <w:tmpl w:val="D5408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7CAE02F9"/>
    <w:multiLevelType w:val="hybridMultilevel"/>
    <w:tmpl w:val="69F8E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3"/>
  </w:num>
  <w:num w:numId="6">
    <w:abstractNumId w:val="22"/>
  </w:num>
  <w:num w:numId="7">
    <w:abstractNumId w:val="9"/>
  </w:num>
  <w:num w:numId="8">
    <w:abstractNumId w:val="16"/>
  </w:num>
  <w:num w:numId="9">
    <w:abstractNumId w:val="14"/>
  </w:num>
  <w:num w:numId="10">
    <w:abstractNumId w:val="4"/>
  </w:num>
  <w:num w:numId="11">
    <w:abstractNumId w:val="21"/>
  </w:num>
  <w:num w:numId="12">
    <w:abstractNumId w:val="2"/>
  </w:num>
  <w:num w:numId="13">
    <w:abstractNumId w:val="15"/>
  </w:num>
  <w:num w:numId="14">
    <w:abstractNumId w:val="26"/>
  </w:num>
  <w:num w:numId="15">
    <w:abstractNumId w:val="5"/>
  </w:num>
  <w:num w:numId="16">
    <w:abstractNumId w:val="10"/>
  </w:num>
  <w:num w:numId="17">
    <w:abstractNumId w:val="24"/>
  </w:num>
  <w:num w:numId="18">
    <w:abstractNumId w:val="12"/>
  </w:num>
  <w:num w:numId="19">
    <w:abstractNumId w:val="25"/>
  </w:num>
  <w:num w:numId="20">
    <w:abstractNumId w:val="28"/>
  </w:num>
  <w:num w:numId="21">
    <w:abstractNumId w:val="8"/>
  </w:num>
  <w:num w:numId="22">
    <w:abstractNumId w:val="1"/>
  </w:num>
  <w:num w:numId="23">
    <w:abstractNumId w:val="20"/>
  </w:num>
  <w:num w:numId="24">
    <w:abstractNumId w:val="13"/>
  </w:num>
  <w:num w:numId="25">
    <w:abstractNumId w:val="6"/>
  </w:num>
  <w:num w:numId="26">
    <w:abstractNumId w:val="7"/>
  </w:num>
  <w:num w:numId="27">
    <w:abstractNumId w:val="19"/>
  </w:num>
  <w:num w:numId="28">
    <w:abstractNumId w:val="17"/>
  </w:num>
  <w:num w:numId="29">
    <w:abstractNumId w:val="2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numFmt w:val="decimal"/>
    <w:endnote w:id="-1"/>
    <w:endnote w:id="0"/>
  </w:endnotePr>
  <w:compat/>
  <w:docVars>
    <w:docVar w:name="Registered" w:val="-1"/>
    <w:docVar w:name="Version" w:val="0"/>
  </w:docVars>
  <w:rsids>
    <w:rsidRoot w:val="00496809"/>
    <w:rsid w:val="000007CA"/>
    <w:rsid w:val="00006F32"/>
    <w:rsid w:val="00012E6A"/>
    <w:rsid w:val="000213BC"/>
    <w:rsid w:val="00026A2B"/>
    <w:rsid w:val="000364A5"/>
    <w:rsid w:val="000403BC"/>
    <w:rsid w:val="00041E7F"/>
    <w:rsid w:val="00046BB6"/>
    <w:rsid w:val="00050BE5"/>
    <w:rsid w:val="00052BB2"/>
    <w:rsid w:val="00056716"/>
    <w:rsid w:val="000575D5"/>
    <w:rsid w:val="00057733"/>
    <w:rsid w:val="00062619"/>
    <w:rsid w:val="0007023B"/>
    <w:rsid w:val="00072A43"/>
    <w:rsid w:val="000744B2"/>
    <w:rsid w:val="000B0336"/>
    <w:rsid w:val="000B3D90"/>
    <w:rsid w:val="000D52B9"/>
    <w:rsid w:val="0010568E"/>
    <w:rsid w:val="001059E5"/>
    <w:rsid w:val="0011423F"/>
    <w:rsid w:val="00124AA1"/>
    <w:rsid w:val="001277FB"/>
    <w:rsid w:val="0015170D"/>
    <w:rsid w:val="00154989"/>
    <w:rsid w:val="00157791"/>
    <w:rsid w:val="00167214"/>
    <w:rsid w:val="00170196"/>
    <w:rsid w:val="00191774"/>
    <w:rsid w:val="00194B90"/>
    <w:rsid w:val="001A2FFE"/>
    <w:rsid w:val="001B2471"/>
    <w:rsid w:val="001C75ED"/>
    <w:rsid w:val="001D21B5"/>
    <w:rsid w:val="001D5EB2"/>
    <w:rsid w:val="001F3AFA"/>
    <w:rsid w:val="00202671"/>
    <w:rsid w:val="00202BF3"/>
    <w:rsid w:val="0021389D"/>
    <w:rsid w:val="002148A6"/>
    <w:rsid w:val="00217CC2"/>
    <w:rsid w:val="00223314"/>
    <w:rsid w:val="00250B4A"/>
    <w:rsid w:val="002616C5"/>
    <w:rsid w:val="002758C2"/>
    <w:rsid w:val="002974A3"/>
    <w:rsid w:val="00297762"/>
    <w:rsid w:val="002A169A"/>
    <w:rsid w:val="002B1510"/>
    <w:rsid w:val="002B25BE"/>
    <w:rsid w:val="002C3CDB"/>
    <w:rsid w:val="002D6E89"/>
    <w:rsid w:val="002E63C6"/>
    <w:rsid w:val="002F2C47"/>
    <w:rsid w:val="00302855"/>
    <w:rsid w:val="00321A73"/>
    <w:rsid w:val="00326770"/>
    <w:rsid w:val="003353C8"/>
    <w:rsid w:val="00340FAE"/>
    <w:rsid w:val="00342CDF"/>
    <w:rsid w:val="00345E95"/>
    <w:rsid w:val="00377BAF"/>
    <w:rsid w:val="003808CD"/>
    <w:rsid w:val="00383701"/>
    <w:rsid w:val="003A56B8"/>
    <w:rsid w:val="003A76AB"/>
    <w:rsid w:val="003B006A"/>
    <w:rsid w:val="003B68EC"/>
    <w:rsid w:val="003C09C7"/>
    <w:rsid w:val="003C4077"/>
    <w:rsid w:val="003D2A71"/>
    <w:rsid w:val="003D6555"/>
    <w:rsid w:val="003F2406"/>
    <w:rsid w:val="004019A4"/>
    <w:rsid w:val="00402DC6"/>
    <w:rsid w:val="00407891"/>
    <w:rsid w:val="00421C99"/>
    <w:rsid w:val="0042781D"/>
    <w:rsid w:val="0045257F"/>
    <w:rsid w:val="00464FDE"/>
    <w:rsid w:val="00466B80"/>
    <w:rsid w:val="00472831"/>
    <w:rsid w:val="00483D72"/>
    <w:rsid w:val="00495616"/>
    <w:rsid w:val="00496809"/>
    <w:rsid w:val="004A698F"/>
    <w:rsid w:val="004A7D7F"/>
    <w:rsid w:val="004B22CF"/>
    <w:rsid w:val="004D0659"/>
    <w:rsid w:val="004D11C6"/>
    <w:rsid w:val="004D3E37"/>
    <w:rsid w:val="004E155B"/>
    <w:rsid w:val="004E4D60"/>
    <w:rsid w:val="004F4E3F"/>
    <w:rsid w:val="005052F2"/>
    <w:rsid w:val="00527BFD"/>
    <w:rsid w:val="00531672"/>
    <w:rsid w:val="00537878"/>
    <w:rsid w:val="00543100"/>
    <w:rsid w:val="00545D5E"/>
    <w:rsid w:val="00560EA6"/>
    <w:rsid w:val="0058087B"/>
    <w:rsid w:val="00583388"/>
    <w:rsid w:val="005949BA"/>
    <w:rsid w:val="005A0081"/>
    <w:rsid w:val="005A22D2"/>
    <w:rsid w:val="005B13BF"/>
    <w:rsid w:val="005B3663"/>
    <w:rsid w:val="005C419E"/>
    <w:rsid w:val="005D0F51"/>
    <w:rsid w:val="005D5488"/>
    <w:rsid w:val="005F1302"/>
    <w:rsid w:val="005F3B62"/>
    <w:rsid w:val="005F7321"/>
    <w:rsid w:val="00606057"/>
    <w:rsid w:val="006231EC"/>
    <w:rsid w:val="006248FA"/>
    <w:rsid w:val="00627270"/>
    <w:rsid w:val="00633C2A"/>
    <w:rsid w:val="00636020"/>
    <w:rsid w:val="0064681B"/>
    <w:rsid w:val="00660B6D"/>
    <w:rsid w:val="006619BA"/>
    <w:rsid w:val="006B77AB"/>
    <w:rsid w:val="006C3D29"/>
    <w:rsid w:val="006D4A1E"/>
    <w:rsid w:val="006E089F"/>
    <w:rsid w:val="006F6037"/>
    <w:rsid w:val="006F69D1"/>
    <w:rsid w:val="00734675"/>
    <w:rsid w:val="00734A84"/>
    <w:rsid w:val="00735286"/>
    <w:rsid w:val="007814C8"/>
    <w:rsid w:val="00787219"/>
    <w:rsid w:val="007961AF"/>
    <w:rsid w:val="007A2FC1"/>
    <w:rsid w:val="007B10EB"/>
    <w:rsid w:val="007B35E3"/>
    <w:rsid w:val="007D3F0F"/>
    <w:rsid w:val="007E34F0"/>
    <w:rsid w:val="007F4464"/>
    <w:rsid w:val="008165D4"/>
    <w:rsid w:val="00835942"/>
    <w:rsid w:val="00840BBD"/>
    <w:rsid w:val="00850ADE"/>
    <w:rsid w:val="0085365D"/>
    <w:rsid w:val="0086301D"/>
    <w:rsid w:val="00875C99"/>
    <w:rsid w:val="00882F11"/>
    <w:rsid w:val="008A1423"/>
    <w:rsid w:val="008B5BD6"/>
    <w:rsid w:val="008B60A0"/>
    <w:rsid w:val="008C44C5"/>
    <w:rsid w:val="008C71B4"/>
    <w:rsid w:val="008E13F3"/>
    <w:rsid w:val="008F2DD2"/>
    <w:rsid w:val="008F2FAE"/>
    <w:rsid w:val="008F653D"/>
    <w:rsid w:val="009049A7"/>
    <w:rsid w:val="00913E58"/>
    <w:rsid w:val="00920548"/>
    <w:rsid w:val="00921CEF"/>
    <w:rsid w:val="00924153"/>
    <w:rsid w:val="00925DE8"/>
    <w:rsid w:val="00930722"/>
    <w:rsid w:val="00945ECD"/>
    <w:rsid w:val="009573DD"/>
    <w:rsid w:val="0098656C"/>
    <w:rsid w:val="00994C96"/>
    <w:rsid w:val="00994F33"/>
    <w:rsid w:val="0099639E"/>
    <w:rsid w:val="00997922"/>
    <w:rsid w:val="009A173E"/>
    <w:rsid w:val="009A6B1B"/>
    <w:rsid w:val="009A7865"/>
    <w:rsid w:val="009B2349"/>
    <w:rsid w:val="009B7CDB"/>
    <w:rsid w:val="009C3CFC"/>
    <w:rsid w:val="009E308C"/>
    <w:rsid w:val="009E3484"/>
    <w:rsid w:val="009E3E1C"/>
    <w:rsid w:val="009F438D"/>
    <w:rsid w:val="009F57D0"/>
    <w:rsid w:val="009F6EE0"/>
    <w:rsid w:val="00A06472"/>
    <w:rsid w:val="00A22DDC"/>
    <w:rsid w:val="00A2582D"/>
    <w:rsid w:val="00A36CDA"/>
    <w:rsid w:val="00A45DDE"/>
    <w:rsid w:val="00A50ADF"/>
    <w:rsid w:val="00A51A70"/>
    <w:rsid w:val="00A568C4"/>
    <w:rsid w:val="00A64148"/>
    <w:rsid w:val="00A708AB"/>
    <w:rsid w:val="00A76F31"/>
    <w:rsid w:val="00A7792C"/>
    <w:rsid w:val="00A8214B"/>
    <w:rsid w:val="00A906A8"/>
    <w:rsid w:val="00A933AB"/>
    <w:rsid w:val="00AA35CF"/>
    <w:rsid w:val="00AD1F21"/>
    <w:rsid w:val="00AE053C"/>
    <w:rsid w:val="00AE5E1C"/>
    <w:rsid w:val="00AF430A"/>
    <w:rsid w:val="00AF56E9"/>
    <w:rsid w:val="00AF5834"/>
    <w:rsid w:val="00AF6F02"/>
    <w:rsid w:val="00B15FAA"/>
    <w:rsid w:val="00B2258B"/>
    <w:rsid w:val="00B25170"/>
    <w:rsid w:val="00B30436"/>
    <w:rsid w:val="00B32F4B"/>
    <w:rsid w:val="00B35522"/>
    <w:rsid w:val="00B35CB4"/>
    <w:rsid w:val="00B51432"/>
    <w:rsid w:val="00B649DD"/>
    <w:rsid w:val="00B65339"/>
    <w:rsid w:val="00B72E20"/>
    <w:rsid w:val="00B74581"/>
    <w:rsid w:val="00B80BEC"/>
    <w:rsid w:val="00B81DF8"/>
    <w:rsid w:val="00B830FD"/>
    <w:rsid w:val="00B84F4C"/>
    <w:rsid w:val="00B86D1B"/>
    <w:rsid w:val="00BB3C2A"/>
    <w:rsid w:val="00BC741D"/>
    <w:rsid w:val="00BD234E"/>
    <w:rsid w:val="00BD69D7"/>
    <w:rsid w:val="00C232D1"/>
    <w:rsid w:val="00C34A03"/>
    <w:rsid w:val="00C352C3"/>
    <w:rsid w:val="00C453BE"/>
    <w:rsid w:val="00C462A1"/>
    <w:rsid w:val="00C52407"/>
    <w:rsid w:val="00C60583"/>
    <w:rsid w:val="00C6572C"/>
    <w:rsid w:val="00C65FD8"/>
    <w:rsid w:val="00C76C1A"/>
    <w:rsid w:val="00C80EC1"/>
    <w:rsid w:val="00CB6B63"/>
    <w:rsid w:val="00CC054F"/>
    <w:rsid w:val="00CF189A"/>
    <w:rsid w:val="00CF40FF"/>
    <w:rsid w:val="00D010AF"/>
    <w:rsid w:val="00D02B41"/>
    <w:rsid w:val="00D13957"/>
    <w:rsid w:val="00D21971"/>
    <w:rsid w:val="00D3357E"/>
    <w:rsid w:val="00D41326"/>
    <w:rsid w:val="00D562C3"/>
    <w:rsid w:val="00D56A20"/>
    <w:rsid w:val="00D825BD"/>
    <w:rsid w:val="00D849ED"/>
    <w:rsid w:val="00D961BC"/>
    <w:rsid w:val="00DB6F08"/>
    <w:rsid w:val="00DC18E3"/>
    <w:rsid w:val="00DD10F5"/>
    <w:rsid w:val="00E05F50"/>
    <w:rsid w:val="00E075CF"/>
    <w:rsid w:val="00E075FE"/>
    <w:rsid w:val="00E205FF"/>
    <w:rsid w:val="00E329C3"/>
    <w:rsid w:val="00E33B38"/>
    <w:rsid w:val="00E434DC"/>
    <w:rsid w:val="00E54C08"/>
    <w:rsid w:val="00E63032"/>
    <w:rsid w:val="00E64A1E"/>
    <w:rsid w:val="00EA6B37"/>
    <w:rsid w:val="00EB5CDC"/>
    <w:rsid w:val="00ED02F8"/>
    <w:rsid w:val="00EE2F39"/>
    <w:rsid w:val="00EE6CE6"/>
    <w:rsid w:val="00F02D6C"/>
    <w:rsid w:val="00F02F30"/>
    <w:rsid w:val="00F14C72"/>
    <w:rsid w:val="00F23DC4"/>
    <w:rsid w:val="00F2705F"/>
    <w:rsid w:val="00F3158B"/>
    <w:rsid w:val="00F51C5E"/>
    <w:rsid w:val="00F61B3E"/>
    <w:rsid w:val="00F64075"/>
    <w:rsid w:val="00F662AB"/>
    <w:rsid w:val="00F909FB"/>
    <w:rsid w:val="00F92C06"/>
    <w:rsid w:val="00FA0DB1"/>
    <w:rsid w:val="00FA4862"/>
    <w:rsid w:val="00FB63F0"/>
    <w:rsid w:val="00FD7A65"/>
    <w:rsid w:val="00FE0DD3"/>
    <w:rsid w:val="00FE41EA"/>
    <w:rsid w:val="00FE79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DE"/>
    <w:pPr>
      <w:widowControl w:val="0"/>
    </w:pPr>
    <w:rPr>
      <w:sz w:val="22"/>
      <w:lang w:eastAsia="en-US"/>
    </w:rPr>
  </w:style>
  <w:style w:type="paragraph" w:styleId="1">
    <w:name w:val="heading 1"/>
    <w:basedOn w:val="a"/>
    <w:next w:val="a"/>
    <w:qFormat/>
    <w:rsid w:val="00850ADE"/>
    <w:pPr>
      <w:keepNext/>
      <w:jc w:val="center"/>
      <w:outlineLvl w:val="0"/>
    </w:pPr>
    <w:rPr>
      <w:b/>
    </w:rPr>
  </w:style>
  <w:style w:type="paragraph" w:styleId="2">
    <w:name w:val="heading 2"/>
    <w:basedOn w:val="a"/>
    <w:next w:val="a"/>
    <w:qFormat/>
    <w:rsid w:val="00850ADE"/>
    <w:pPr>
      <w:keepNext/>
      <w:outlineLvl w:val="1"/>
    </w:pPr>
    <w:rPr>
      <w:b/>
    </w:rPr>
  </w:style>
  <w:style w:type="paragraph" w:styleId="6">
    <w:name w:val="heading 6"/>
    <w:basedOn w:val="a"/>
    <w:next w:val="a"/>
    <w:qFormat/>
    <w:rsid w:val="00850AD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850AD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0ADE"/>
    <w:pPr>
      <w:tabs>
        <w:tab w:val="center" w:pos="4153"/>
        <w:tab w:val="right" w:pos="8306"/>
      </w:tabs>
    </w:pPr>
  </w:style>
  <w:style w:type="paragraph" w:styleId="a4">
    <w:name w:val="footer"/>
    <w:basedOn w:val="a"/>
    <w:rsid w:val="00850ADE"/>
    <w:pPr>
      <w:tabs>
        <w:tab w:val="center" w:pos="4153"/>
        <w:tab w:val="right" w:pos="8306"/>
      </w:tabs>
    </w:pPr>
  </w:style>
  <w:style w:type="character" w:styleId="a5">
    <w:name w:val="page number"/>
    <w:basedOn w:val="a0"/>
    <w:rsid w:val="00850ADE"/>
    <w:rPr>
      <w:rFonts w:cs="Times New Roman"/>
    </w:rPr>
  </w:style>
  <w:style w:type="character" w:styleId="-">
    <w:name w:val="Hyperlink"/>
    <w:basedOn w:val="a0"/>
    <w:rsid w:val="00850ADE"/>
    <w:rPr>
      <w:rFonts w:cs="Times New Roman"/>
      <w:color w:val="0000FF"/>
      <w:u w:val="single"/>
    </w:rPr>
  </w:style>
  <w:style w:type="paragraph" w:styleId="a6">
    <w:name w:val="Body Text"/>
    <w:basedOn w:val="a"/>
    <w:rsid w:val="00850ADE"/>
    <w:pPr>
      <w:jc w:val="center"/>
    </w:pPr>
  </w:style>
  <w:style w:type="paragraph" w:styleId="a7">
    <w:name w:val="Body Text Indent"/>
    <w:basedOn w:val="a"/>
    <w:rsid w:val="00850ADE"/>
    <w:rPr>
      <w:color w:val="FF0000"/>
    </w:rPr>
  </w:style>
  <w:style w:type="paragraph" w:customStyle="1" w:styleId="EMEAEnBodyText">
    <w:name w:val="EMEA En Body Text"/>
    <w:basedOn w:val="a"/>
    <w:rsid w:val="00850ADE"/>
    <w:pPr>
      <w:widowControl/>
      <w:spacing w:before="120" w:after="120"/>
      <w:jc w:val="both"/>
    </w:pPr>
    <w:rPr>
      <w:lang w:val="en-US"/>
    </w:rPr>
  </w:style>
  <w:style w:type="paragraph" w:styleId="a8">
    <w:name w:val="Balloon Text"/>
    <w:basedOn w:val="a"/>
    <w:semiHidden/>
    <w:rsid w:val="00850ADE"/>
    <w:rPr>
      <w:rFonts w:ascii="Tahoma" w:hAnsi="Tahoma" w:cs="Tahoma"/>
      <w:sz w:val="16"/>
      <w:szCs w:val="16"/>
    </w:rPr>
  </w:style>
  <w:style w:type="character" w:styleId="-0">
    <w:name w:val="FollowedHyperlink"/>
    <w:basedOn w:val="a0"/>
    <w:rsid w:val="00056716"/>
    <w:rPr>
      <w:rFonts w:cs="Times New Roman"/>
      <w:color w:val="800080"/>
      <w:u w:val="single"/>
    </w:rPr>
  </w:style>
  <w:style w:type="character" w:styleId="a9">
    <w:name w:val="annotation reference"/>
    <w:basedOn w:val="a0"/>
    <w:semiHidden/>
    <w:rsid w:val="00AF6F02"/>
    <w:rPr>
      <w:sz w:val="16"/>
      <w:szCs w:val="16"/>
    </w:rPr>
  </w:style>
  <w:style w:type="paragraph" w:styleId="aa">
    <w:name w:val="annotation text"/>
    <w:basedOn w:val="a"/>
    <w:semiHidden/>
    <w:rsid w:val="00AF6F02"/>
    <w:rPr>
      <w:sz w:val="20"/>
    </w:rPr>
  </w:style>
  <w:style w:type="paragraph" w:styleId="ab">
    <w:name w:val="annotation subject"/>
    <w:basedOn w:val="aa"/>
    <w:next w:val="aa"/>
    <w:semiHidden/>
    <w:rsid w:val="00AF6F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8342</Words>
  <Characters>45047</Characters>
  <Application>Microsoft Office Word</Application>
  <DocSecurity>0</DocSecurity>
  <Lines>375</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Version 1</vt:lpstr>
      <vt:lpstr>Version 1</vt:lpstr>
    </vt:vector>
  </TitlesOfParts>
  <Company>EMEA</Company>
  <LinksUpToDate>false</LinksUpToDate>
  <CharactersWithSpaces>53283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General-EMA/53547/2010</dc:subject>
  <dc:creator>user146</dc:creator>
  <cp:lastModifiedBy>user146</cp:lastModifiedBy>
  <cp:revision>6</cp:revision>
  <cp:lastPrinted>2013-07-01T10:09:00Z</cp:lastPrinted>
  <dcterms:created xsi:type="dcterms:W3CDTF">2013-07-01T10:09:00Z</dcterms:created>
  <dcterms:modified xsi:type="dcterms:W3CDTF">2013-07-19T06:43:00Z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ubject">
    <vt:lpwstr>General-EMA/53547/2010</vt:lpwstr>
  </property>
  <property fmtid="{D5CDD505-2E9C-101B-9397-08002B2CF9AE}" pid="3" name="DM_Name">
    <vt:lpwstr>Hreferralspcel</vt:lpwstr>
  </property>
  <property fmtid="{D5CDD505-2E9C-101B-9397-08002B2CF9AE}" pid="4" name="DM_Owner">
    <vt:lpwstr>Espinasse Claire</vt:lpwstr>
  </property>
  <property fmtid="{D5CDD505-2E9C-101B-9397-08002B2CF9AE}" pid="5" name="DM_Creation_Date">
    <vt:lpwstr>23/04/2010 13:33:38</vt:lpwstr>
  </property>
  <property fmtid="{D5CDD505-2E9C-101B-9397-08002B2CF9AE}" pid="6" name="DM_Creator_Name">
    <vt:lpwstr>Espinasse Claire</vt:lpwstr>
  </property>
  <property fmtid="{D5CDD505-2E9C-101B-9397-08002B2CF9AE}" pid="7" name="DM_Modifer_Name">
    <vt:lpwstr>Espinasse Claire</vt:lpwstr>
  </property>
  <property fmtid="{D5CDD505-2E9C-101B-9397-08002B2CF9AE}" pid="8" name="DM_Modified_Date">
    <vt:lpwstr>23/04/2010 13:33:38</vt:lpwstr>
  </property>
  <property fmtid="{D5CDD505-2E9C-101B-9397-08002B2CF9AE}" pid="9" name="DM_Type">
    <vt:lpwstr>emea_document</vt:lpwstr>
  </property>
  <property fmtid="{D5CDD505-2E9C-101B-9397-08002B2CF9AE}" pid="10" name="DM_Version">
    <vt:lpwstr>0.4, CURRENT</vt:lpwstr>
  </property>
  <property fmtid="{D5CDD505-2E9C-101B-9397-08002B2CF9AE}" pid="11" name="DM_emea_doc_ref_id">
    <vt:lpwstr>EMA/53547/2010</vt:lpwstr>
  </property>
  <property fmtid="{D5CDD505-2E9C-101B-9397-08002B2CF9AE}" pid="12" name="DM_emea_doc_number">
    <vt:lpwstr>53547</vt:lpwstr>
  </property>
  <property fmtid="{D5CDD505-2E9C-101B-9397-08002B2CF9AE}" pid="13" name="DM_emea_received_date">
    <vt:lpwstr>nulldate</vt:lpwstr>
  </property>
  <property fmtid="{D5CDD505-2E9C-101B-9397-08002B2CF9AE}" pid="14" name="DM_emea_doc_category">
    <vt:lpwstr>General</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year">
    <vt:lpwstr>2010</vt:lpwstr>
  </property>
  <property fmtid="{D5CDD505-2E9C-101B-9397-08002B2CF9AE}" pid="18" name="DM_emea_sent_date">
    <vt:lpwstr>nulldate</vt:lpwstr>
  </property>
</Properties>
</file>