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B2D" w:rsidRPr="00873F9B" w:rsidRDefault="00085E32" w:rsidP="00E4324B">
      <w:pPr>
        <w:widowControl w:val="0"/>
        <w:jc w:val="center"/>
        <w:rPr>
          <w:b/>
          <w:szCs w:val="22"/>
          <w:lang w:val="el-GR"/>
        </w:rPr>
      </w:pPr>
      <w:r w:rsidRPr="00873F9B">
        <w:rPr>
          <w:b/>
          <w:szCs w:val="22"/>
          <w:lang w:val="el-GR"/>
        </w:rPr>
        <w:t>ΠΕΡΙΛΗΨΗ ΤΩΝ ΧΑΡΑΚΤΗΡΙΣΤΙΚΩΝ ΤΟΥ ΠΡΟΪΟΝΤΟΣ</w:t>
      </w:r>
    </w:p>
    <w:p w:rsidR="00777B2D" w:rsidRPr="00EC17EC" w:rsidRDefault="00777B2D" w:rsidP="00AA11F5">
      <w:pPr>
        <w:widowControl w:val="0"/>
        <w:jc w:val="both"/>
        <w:rPr>
          <w:b/>
          <w:szCs w:val="22"/>
          <w:lang w:val="el-GR"/>
        </w:rPr>
      </w:pPr>
    </w:p>
    <w:p w:rsidR="00777B2D" w:rsidRPr="00EC17EC" w:rsidRDefault="00777B2D" w:rsidP="00AA11F5">
      <w:pPr>
        <w:widowControl w:val="0"/>
        <w:jc w:val="both"/>
        <w:rPr>
          <w:bCs/>
          <w:iCs/>
          <w:noProof/>
          <w:szCs w:val="22"/>
          <w:lang w:val="el-GR"/>
        </w:rPr>
      </w:pPr>
    </w:p>
    <w:p w:rsidR="00BF291C" w:rsidRPr="00873F9B" w:rsidRDefault="00BF291C" w:rsidP="00AA11F5">
      <w:pPr>
        <w:jc w:val="both"/>
        <w:rPr>
          <w:bCs/>
          <w:i/>
          <w:szCs w:val="22"/>
        </w:rPr>
      </w:pPr>
      <w:r w:rsidRPr="00873F9B">
        <w:rPr>
          <w:b/>
          <w:szCs w:val="22"/>
        </w:rPr>
        <w:t>1.</w:t>
      </w:r>
      <w:r w:rsidRPr="00873F9B">
        <w:rPr>
          <w:b/>
          <w:szCs w:val="22"/>
        </w:rPr>
        <w:tab/>
      </w:r>
      <w:r w:rsidR="00085E32" w:rsidRPr="00873F9B">
        <w:rPr>
          <w:b/>
          <w:bCs/>
          <w:szCs w:val="22"/>
        </w:rPr>
        <w:t>ΟΝΟΜΑΣΙΑ ΤΟΥ ΦΑΡΜΑΚΕΥΤΙΚΟΥ ΠΡΟΪΟΝΤΟΣ</w:t>
      </w:r>
    </w:p>
    <w:p w:rsidR="00BF291C" w:rsidRPr="00873F9B" w:rsidRDefault="00BF291C" w:rsidP="00AA11F5">
      <w:pPr>
        <w:jc w:val="both"/>
        <w:rPr>
          <w:iCs/>
          <w:szCs w:val="22"/>
        </w:rPr>
      </w:pPr>
    </w:p>
    <w:p w:rsidR="00BF291C" w:rsidRPr="00873F9B" w:rsidRDefault="004B6688" w:rsidP="00AA11F5">
      <w:pPr>
        <w:widowControl w:val="0"/>
        <w:jc w:val="both"/>
        <w:rPr>
          <w:szCs w:val="22"/>
          <w:lang w:val="el-GR"/>
        </w:rPr>
      </w:pPr>
      <w:r w:rsidRPr="00873F9B">
        <w:rPr>
          <w:szCs w:val="22"/>
        </w:rPr>
        <w:t>Va</w:t>
      </w:r>
      <w:r w:rsidR="00085E32" w:rsidRPr="00873F9B">
        <w:rPr>
          <w:szCs w:val="22"/>
        </w:rPr>
        <w:t>lperol</w:t>
      </w:r>
      <w:r w:rsidR="00BF291C" w:rsidRPr="00873F9B">
        <w:rPr>
          <w:szCs w:val="22"/>
          <w:lang w:val="el-GR"/>
        </w:rPr>
        <w:t xml:space="preserve"> 40</w:t>
      </w:r>
      <w:r w:rsidR="00BF291C" w:rsidRPr="00873F9B">
        <w:rPr>
          <w:szCs w:val="22"/>
        </w:rPr>
        <w:t> mg</w:t>
      </w:r>
      <w:r w:rsidR="00BF291C" w:rsidRPr="00873F9B">
        <w:rPr>
          <w:szCs w:val="22"/>
          <w:lang w:val="el-GR"/>
        </w:rPr>
        <w:t xml:space="preserve"> </w:t>
      </w:r>
      <w:r w:rsidR="00085E32" w:rsidRPr="00873F9B">
        <w:rPr>
          <w:szCs w:val="22"/>
          <w:lang w:val="el-GR"/>
        </w:rPr>
        <w:t>επικαλυμμένα με λεπτό υμένιο δισκία</w:t>
      </w:r>
    </w:p>
    <w:p w:rsidR="00BF291C" w:rsidRPr="00873F9B" w:rsidRDefault="00085E32" w:rsidP="00AA11F5">
      <w:pPr>
        <w:widowControl w:val="0"/>
        <w:jc w:val="both"/>
        <w:rPr>
          <w:szCs w:val="22"/>
          <w:lang w:val="el-GR"/>
        </w:rPr>
      </w:pPr>
      <w:r w:rsidRPr="00873F9B">
        <w:rPr>
          <w:szCs w:val="22"/>
        </w:rPr>
        <w:t>Valperol</w:t>
      </w:r>
      <w:r w:rsidRPr="00873F9B">
        <w:rPr>
          <w:szCs w:val="22"/>
          <w:lang w:val="el-GR"/>
        </w:rPr>
        <w:t xml:space="preserve"> </w:t>
      </w:r>
      <w:r w:rsidR="00BF291C" w:rsidRPr="00873F9B">
        <w:rPr>
          <w:szCs w:val="22"/>
          <w:lang w:val="el-GR"/>
        </w:rPr>
        <w:t>80</w:t>
      </w:r>
      <w:r w:rsidR="00BF291C" w:rsidRPr="00873F9B">
        <w:rPr>
          <w:szCs w:val="22"/>
        </w:rPr>
        <w:t> mg</w:t>
      </w:r>
      <w:r w:rsidR="00BF291C" w:rsidRPr="00873F9B">
        <w:rPr>
          <w:szCs w:val="22"/>
          <w:lang w:val="el-GR"/>
        </w:rPr>
        <w:t xml:space="preserve"> </w:t>
      </w:r>
      <w:r w:rsidRPr="00873F9B">
        <w:rPr>
          <w:szCs w:val="22"/>
          <w:lang w:val="el-GR"/>
        </w:rPr>
        <w:t>επικαλυμμένα με λεπτό υμένιο δισκία</w:t>
      </w:r>
    </w:p>
    <w:p w:rsidR="00BF291C" w:rsidRPr="00873F9B" w:rsidRDefault="00085E32" w:rsidP="00AA11F5">
      <w:pPr>
        <w:widowControl w:val="0"/>
        <w:jc w:val="both"/>
        <w:rPr>
          <w:szCs w:val="22"/>
          <w:lang w:val="el-GR"/>
        </w:rPr>
      </w:pPr>
      <w:r w:rsidRPr="00873F9B">
        <w:rPr>
          <w:szCs w:val="22"/>
        </w:rPr>
        <w:t>Valperol</w:t>
      </w:r>
      <w:r w:rsidRPr="00873F9B">
        <w:rPr>
          <w:szCs w:val="22"/>
          <w:lang w:val="el-GR"/>
        </w:rPr>
        <w:t xml:space="preserve"> </w:t>
      </w:r>
      <w:r w:rsidR="00BF291C" w:rsidRPr="00873F9B">
        <w:rPr>
          <w:szCs w:val="22"/>
          <w:lang w:val="el-GR"/>
        </w:rPr>
        <w:t>160</w:t>
      </w:r>
      <w:r w:rsidR="00BF291C" w:rsidRPr="00873F9B">
        <w:rPr>
          <w:szCs w:val="22"/>
        </w:rPr>
        <w:t> mg</w:t>
      </w:r>
      <w:r w:rsidR="00BF291C" w:rsidRPr="00873F9B">
        <w:rPr>
          <w:szCs w:val="22"/>
          <w:lang w:val="el-GR"/>
        </w:rPr>
        <w:t xml:space="preserve"> </w:t>
      </w:r>
      <w:r w:rsidRPr="00873F9B">
        <w:rPr>
          <w:szCs w:val="22"/>
          <w:lang w:val="el-GR"/>
        </w:rPr>
        <w:t>επικαλυμμένα με λεπτό υμένιο δισκία</w:t>
      </w:r>
    </w:p>
    <w:p w:rsidR="00BF291C" w:rsidRPr="00873F9B" w:rsidRDefault="00BF291C" w:rsidP="00AA11F5">
      <w:pPr>
        <w:widowControl w:val="0"/>
        <w:jc w:val="both"/>
        <w:rPr>
          <w:bCs/>
          <w:szCs w:val="22"/>
          <w:lang w:val="el-GR"/>
        </w:rPr>
      </w:pPr>
    </w:p>
    <w:p w:rsidR="00BF291C" w:rsidRPr="00873F9B" w:rsidRDefault="00BF291C" w:rsidP="00AA11F5">
      <w:pPr>
        <w:widowControl w:val="0"/>
        <w:jc w:val="both"/>
        <w:rPr>
          <w:bCs/>
          <w:szCs w:val="22"/>
          <w:lang w:val="el-GR"/>
        </w:rPr>
      </w:pPr>
    </w:p>
    <w:p w:rsidR="00BF291C" w:rsidRPr="00873F9B" w:rsidRDefault="00BF291C" w:rsidP="00AA11F5">
      <w:pPr>
        <w:widowControl w:val="0"/>
        <w:jc w:val="both"/>
        <w:rPr>
          <w:szCs w:val="22"/>
        </w:rPr>
      </w:pPr>
      <w:r w:rsidRPr="00873F9B">
        <w:rPr>
          <w:b/>
          <w:szCs w:val="22"/>
        </w:rPr>
        <w:t>2.</w:t>
      </w:r>
      <w:r w:rsidRPr="00873F9B">
        <w:rPr>
          <w:b/>
          <w:szCs w:val="22"/>
        </w:rPr>
        <w:tab/>
      </w:r>
      <w:r w:rsidR="00085E32" w:rsidRPr="00873F9B">
        <w:rPr>
          <w:b/>
          <w:bCs/>
          <w:szCs w:val="22"/>
        </w:rPr>
        <w:t>ΠΟΙΟΤΙΚΗ ΚΑΙ ΠΟΣΟΤΙΚΗ ΣΥΝΘΕΣΗ</w:t>
      </w:r>
    </w:p>
    <w:p w:rsidR="00BF291C" w:rsidRPr="00873F9B" w:rsidRDefault="00BF291C" w:rsidP="00AA11F5">
      <w:pPr>
        <w:widowControl w:val="0"/>
        <w:jc w:val="both"/>
        <w:rPr>
          <w:bCs/>
          <w:szCs w:val="22"/>
        </w:rPr>
      </w:pPr>
    </w:p>
    <w:p w:rsidR="00BF291C" w:rsidRPr="00873F9B" w:rsidRDefault="00085E32" w:rsidP="00AA11F5">
      <w:pPr>
        <w:widowControl w:val="0"/>
        <w:jc w:val="both"/>
        <w:rPr>
          <w:szCs w:val="22"/>
          <w:lang w:val="el-GR"/>
        </w:rPr>
      </w:pPr>
      <w:r w:rsidRPr="00873F9B">
        <w:rPr>
          <w:szCs w:val="22"/>
        </w:rPr>
        <w:t>Valperol</w:t>
      </w:r>
      <w:r w:rsidRPr="00873F9B">
        <w:rPr>
          <w:szCs w:val="22"/>
          <w:lang w:val="el-GR"/>
        </w:rPr>
        <w:t xml:space="preserve"> 40</w:t>
      </w:r>
      <w:r w:rsidRPr="00873F9B">
        <w:rPr>
          <w:szCs w:val="22"/>
        </w:rPr>
        <w:t> mg</w:t>
      </w:r>
      <w:r w:rsidRPr="00873F9B">
        <w:rPr>
          <w:szCs w:val="22"/>
          <w:lang w:val="el-GR"/>
        </w:rPr>
        <w:t xml:space="preserve"> επικαλυμμένα με λεπτό υμένιο δισκία</w:t>
      </w:r>
      <w:r w:rsidR="002E1891" w:rsidRPr="00873F9B">
        <w:rPr>
          <w:szCs w:val="22"/>
          <w:lang w:val="el-GR"/>
        </w:rPr>
        <w:t xml:space="preserve">: </w:t>
      </w:r>
      <w:r w:rsidR="00CF78AC" w:rsidRPr="00873F9B">
        <w:rPr>
          <w:szCs w:val="22"/>
          <w:lang w:val="el-GR"/>
        </w:rPr>
        <w:t>Ένα επικαλυμμένο με λεπτό υμένιο δισκίο περιέχει</w:t>
      </w:r>
      <w:r w:rsidR="00BF291C" w:rsidRPr="00873F9B">
        <w:rPr>
          <w:szCs w:val="22"/>
          <w:lang w:val="el-GR"/>
        </w:rPr>
        <w:t xml:space="preserve"> 40</w:t>
      </w:r>
      <w:r w:rsidR="00BF291C" w:rsidRPr="00873F9B">
        <w:rPr>
          <w:szCs w:val="22"/>
        </w:rPr>
        <w:t> mg</w:t>
      </w:r>
      <w:r w:rsidR="00BF291C" w:rsidRPr="00873F9B">
        <w:rPr>
          <w:szCs w:val="22"/>
          <w:lang w:val="el-GR"/>
        </w:rPr>
        <w:t xml:space="preserve"> </w:t>
      </w:r>
      <w:r w:rsidR="00CF78AC" w:rsidRPr="00873F9B">
        <w:rPr>
          <w:szCs w:val="22"/>
          <w:lang w:val="el-GR"/>
        </w:rPr>
        <w:t>βαλσαρτάνης</w:t>
      </w:r>
      <w:r w:rsidR="00BF291C" w:rsidRPr="00873F9B">
        <w:rPr>
          <w:szCs w:val="22"/>
          <w:lang w:val="el-GR"/>
        </w:rPr>
        <w:t>.</w:t>
      </w:r>
    </w:p>
    <w:p w:rsidR="00BF291C" w:rsidRPr="00873F9B" w:rsidRDefault="00085E32" w:rsidP="00AA11F5">
      <w:pPr>
        <w:widowControl w:val="0"/>
        <w:jc w:val="both"/>
        <w:rPr>
          <w:szCs w:val="22"/>
          <w:lang w:val="el-GR"/>
        </w:rPr>
      </w:pPr>
      <w:r w:rsidRPr="00873F9B">
        <w:rPr>
          <w:szCs w:val="22"/>
        </w:rPr>
        <w:t>Valperol</w:t>
      </w:r>
      <w:r w:rsidRPr="00873F9B">
        <w:rPr>
          <w:szCs w:val="22"/>
          <w:lang w:val="el-GR"/>
        </w:rPr>
        <w:t xml:space="preserve"> 80</w:t>
      </w:r>
      <w:r w:rsidRPr="00873F9B">
        <w:rPr>
          <w:szCs w:val="22"/>
        </w:rPr>
        <w:t> mg</w:t>
      </w:r>
      <w:r w:rsidRPr="00873F9B">
        <w:rPr>
          <w:szCs w:val="22"/>
          <w:lang w:val="el-GR"/>
        </w:rPr>
        <w:t xml:space="preserve"> επικαλυμμένα με λεπτό υμένιο δισκία</w:t>
      </w:r>
      <w:r w:rsidR="002E1891" w:rsidRPr="00873F9B">
        <w:rPr>
          <w:szCs w:val="22"/>
          <w:lang w:val="el-GR"/>
        </w:rPr>
        <w:t xml:space="preserve">: </w:t>
      </w:r>
      <w:r w:rsidR="00CF78AC" w:rsidRPr="00873F9B">
        <w:rPr>
          <w:szCs w:val="22"/>
          <w:lang w:val="el-GR"/>
        </w:rPr>
        <w:t>Ένα επικαλυμμένο με λεπτό υμένιο δισκίο περιέχει 80</w:t>
      </w:r>
      <w:r w:rsidR="00CF78AC" w:rsidRPr="00873F9B">
        <w:rPr>
          <w:szCs w:val="22"/>
        </w:rPr>
        <w:t> mg</w:t>
      </w:r>
      <w:r w:rsidR="00CF78AC" w:rsidRPr="00873F9B">
        <w:rPr>
          <w:szCs w:val="22"/>
          <w:lang w:val="el-GR"/>
        </w:rPr>
        <w:t xml:space="preserve"> βαλσαρτάνης.</w:t>
      </w:r>
    </w:p>
    <w:p w:rsidR="00BF291C" w:rsidRPr="00873F9B" w:rsidRDefault="00085E32" w:rsidP="00AA11F5">
      <w:pPr>
        <w:widowControl w:val="0"/>
        <w:jc w:val="both"/>
        <w:rPr>
          <w:szCs w:val="22"/>
          <w:lang w:val="el-GR"/>
        </w:rPr>
      </w:pPr>
      <w:r w:rsidRPr="00873F9B">
        <w:rPr>
          <w:szCs w:val="22"/>
        </w:rPr>
        <w:t>Valperol</w:t>
      </w:r>
      <w:r w:rsidRPr="00873F9B">
        <w:rPr>
          <w:szCs w:val="22"/>
          <w:lang w:val="el-GR"/>
        </w:rPr>
        <w:t xml:space="preserve"> 160</w:t>
      </w:r>
      <w:r w:rsidRPr="00873F9B">
        <w:rPr>
          <w:szCs w:val="22"/>
        </w:rPr>
        <w:t> mg</w:t>
      </w:r>
      <w:r w:rsidRPr="00873F9B">
        <w:rPr>
          <w:szCs w:val="22"/>
          <w:lang w:val="el-GR"/>
        </w:rPr>
        <w:t xml:space="preserve"> επικαλυμμένα με λεπτό υμένιο δισκία</w:t>
      </w:r>
      <w:r w:rsidR="002E1891" w:rsidRPr="00873F9B">
        <w:rPr>
          <w:szCs w:val="22"/>
          <w:lang w:val="el-GR"/>
        </w:rPr>
        <w:t xml:space="preserve">: </w:t>
      </w:r>
      <w:r w:rsidR="00CF78AC" w:rsidRPr="00873F9B">
        <w:rPr>
          <w:szCs w:val="22"/>
          <w:lang w:val="el-GR"/>
        </w:rPr>
        <w:t>Ένα επικαλυμμένο με λεπτό υμένιο δισκίο περιέχει 160</w:t>
      </w:r>
      <w:r w:rsidR="00CF78AC" w:rsidRPr="00873F9B">
        <w:rPr>
          <w:szCs w:val="22"/>
        </w:rPr>
        <w:t> mg</w:t>
      </w:r>
      <w:r w:rsidR="00CF78AC" w:rsidRPr="00873F9B">
        <w:rPr>
          <w:szCs w:val="22"/>
          <w:lang w:val="el-GR"/>
        </w:rPr>
        <w:t xml:space="preserve"> βαλσαρτάνης.</w:t>
      </w:r>
    </w:p>
    <w:p w:rsidR="00B51B52" w:rsidRPr="00873F9B" w:rsidRDefault="00B51B52" w:rsidP="00AA11F5">
      <w:pPr>
        <w:widowControl w:val="0"/>
        <w:jc w:val="both"/>
        <w:rPr>
          <w:bCs/>
          <w:szCs w:val="22"/>
          <w:lang w:val="el-GR"/>
        </w:rPr>
      </w:pPr>
    </w:p>
    <w:p w:rsidR="00BF291C" w:rsidRPr="00873F9B" w:rsidRDefault="00CF78AC" w:rsidP="00AA11F5">
      <w:pPr>
        <w:widowControl w:val="0"/>
        <w:jc w:val="both"/>
        <w:rPr>
          <w:bCs/>
          <w:szCs w:val="22"/>
          <w:lang w:val="el-GR"/>
        </w:rPr>
      </w:pPr>
      <w:r w:rsidRPr="00873F9B">
        <w:rPr>
          <w:bCs/>
          <w:szCs w:val="22"/>
          <w:lang w:val="el-GR"/>
        </w:rPr>
        <w:t>Για τον πλήρη κατάλογο των εκδόχων</w:t>
      </w:r>
      <w:r w:rsidR="00BF291C" w:rsidRPr="00873F9B">
        <w:rPr>
          <w:bCs/>
          <w:szCs w:val="22"/>
          <w:lang w:val="el-GR"/>
        </w:rPr>
        <w:t xml:space="preserve">, </w:t>
      </w:r>
      <w:r w:rsidRPr="00873F9B">
        <w:rPr>
          <w:bCs/>
          <w:szCs w:val="22"/>
          <w:lang w:val="el-GR"/>
        </w:rPr>
        <w:t xml:space="preserve">βλέπε παράγραφο </w:t>
      </w:r>
      <w:r w:rsidR="00BF291C" w:rsidRPr="00873F9B">
        <w:rPr>
          <w:bCs/>
          <w:szCs w:val="22"/>
          <w:lang w:val="el-GR"/>
        </w:rPr>
        <w:t>6.1.</w:t>
      </w:r>
    </w:p>
    <w:p w:rsidR="00BF291C" w:rsidRPr="00873F9B" w:rsidRDefault="00BF291C" w:rsidP="00AA11F5">
      <w:pPr>
        <w:jc w:val="both"/>
        <w:rPr>
          <w:szCs w:val="22"/>
          <w:lang w:val="el-GR"/>
        </w:rPr>
      </w:pPr>
    </w:p>
    <w:p w:rsidR="00BF291C" w:rsidRPr="00873F9B" w:rsidRDefault="00BF291C" w:rsidP="00AA11F5">
      <w:pPr>
        <w:jc w:val="both"/>
        <w:rPr>
          <w:szCs w:val="22"/>
          <w:lang w:val="el-GR"/>
        </w:rPr>
      </w:pPr>
    </w:p>
    <w:p w:rsidR="00BF291C" w:rsidRPr="00873F9B" w:rsidRDefault="00BF291C" w:rsidP="00AA11F5">
      <w:pPr>
        <w:jc w:val="both"/>
        <w:rPr>
          <w:caps/>
          <w:szCs w:val="22"/>
        </w:rPr>
      </w:pPr>
      <w:r w:rsidRPr="00873F9B">
        <w:rPr>
          <w:b/>
          <w:szCs w:val="22"/>
        </w:rPr>
        <w:t>3.</w:t>
      </w:r>
      <w:r w:rsidRPr="00873F9B">
        <w:rPr>
          <w:b/>
          <w:szCs w:val="22"/>
        </w:rPr>
        <w:tab/>
      </w:r>
      <w:r w:rsidR="004A63E3" w:rsidRPr="00873F9B">
        <w:rPr>
          <w:b/>
          <w:bCs/>
          <w:szCs w:val="22"/>
        </w:rPr>
        <w:t>ΦΑΡΜΑΚΟΤΕΧΝΙΚΗ ΜΟΡΦΗ</w:t>
      </w:r>
    </w:p>
    <w:p w:rsidR="00BF291C" w:rsidRPr="00873F9B" w:rsidRDefault="00BF291C" w:rsidP="00AA11F5">
      <w:pPr>
        <w:jc w:val="both"/>
        <w:rPr>
          <w:szCs w:val="22"/>
        </w:rPr>
      </w:pPr>
    </w:p>
    <w:p w:rsidR="00FD75D5" w:rsidRPr="00873F9B" w:rsidRDefault="004A63E3" w:rsidP="00AA11F5">
      <w:pPr>
        <w:jc w:val="both"/>
        <w:rPr>
          <w:szCs w:val="22"/>
          <w:lang w:val="el-GR"/>
        </w:rPr>
      </w:pPr>
      <w:r w:rsidRPr="00873F9B">
        <w:rPr>
          <w:szCs w:val="22"/>
          <w:lang w:val="el-GR"/>
        </w:rPr>
        <w:t>Επικαλυμμένο με λεπτό υμένιο δισκίο</w:t>
      </w:r>
    </w:p>
    <w:p w:rsidR="004A63E3" w:rsidRPr="00873F9B" w:rsidRDefault="004A63E3" w:rsidP="00AA11F5">
      <w:pPr>
        <w:jc w:val="both"/>
        <w:rPr>
          <w:szCs w:val="22"/>
        </w:rPr>
      </w:pPr>
    </w:p>
    <w:p w:rsidR="00EB2779" w:rsidRPr="00873F9B" w:rsidRDefault="00B51B52" w:rsidP="00AA11F5">
      <w:pPr>
        <w:autoSpaceDE w:val="0"/>
        <w:autoSpaceDN w:val="0"/>
        <w:adjustRightInd w:val="0"/>
        <w:jc w:val="both"/>
        <w:rPr>
          <w:szCs w:val="22"/>
          <w:lang w:val="el-GR"/>
        </w:rPr>
      </w:pPr>
      <w:r w:rsidRPr="00873F9B">
        <w:rPr>
          <w:szCs w:val="22"/>
          <w:u w:val="single"/>
          <w:lang w:val="el-GR"/>
        </w:rPr>
        <w:t>40</w:t>
      </w:r>
      <w:r w:rsidR="00E40546" w:rsidRPr="00873F9B">
        <w:rPr>
          <w:szCs w:val="22"/>
          <w:u w:val="single"/>
          <w:lang w:val="el-GR"/>
        </w:rPr>
        <w:t xml:space="preserve"> </w:t>
      </w:r>
      <w:r w:rsidRPr="00873F9B">
        <w:rPr>
          <w:szCs w:val="22"/>
          <w:u w:val="single"/>
        </w:rPr>
        <w:t>mg</w:t>
      </w:r>
      <w:r w:rsidRPr="00873F9B">
        <w:rPr>
          <w:szCs w:val="22"/>
          <w:u w:val="single"/>
          <w:lang w:val="el-GR"/>
        </w:rPr>
        <w:t xml:space="preserve"> </w:t>
      </w:r>
      <w:r w:rsidR="0017517B" w:rsidRPr="00873F9B">
        <w:rPr>
          <w:szCs w:val="22"/>
          <w:u w:val="single"/>
          <w:lang w:val="el-GR"/>
        </w:rPr>
        <w:t>επικαλυμμένα με λεπτό υμένιο δισκία</w:t>
      </w:r>
      <w:r w:rsidRPr="00873F9B">
        <w:rPr>
          <w:szCs w:val="22"/>
          <w:u w:val="single"/>
          <w:lang w:val="el-GR"/>
        </w:rPr>
        <w:t>:</w:t>
      </w:r>
      <w:r w:rsidRPr="00873F9B">
        <w:rPr>
          <w:szCs w:val="22"/>
          <w:lang w:val="el-GR"/>
        </w:rPr>
        <w:t xml:space="preserve"> </w:t>
      </w:r>
      <w:r w:rsidR="00EB2779" w:rsidRPr="00873F9B">
        <w:rPr>
          <w:szCs w:val="22"/>
          <w:lang w:val="el-GR"/>
        </w:rPr>
        <w:t>Κίτρινα, στρογγυλά, κυρτά, επικαλυμμένα με λεπτό υμένιο δισκία με διάμετρο πυρήνα 8</w:t>
      </w:r>
      <w:r w:rsidR="00EB2779" w:rsidRPr="00873F9B">
        <w:rPr>
          <w:szCs w:val="22"/>
        </w:rPr>
        <w:t>mm</w:t>
      </w:r>
      <w:r w:rsidR="00EB2779" w:rsidRPr="00873F9B">
        <w:rPr>
          <w:szCs w:val="22"/>
          <w:lang w:val="el-GR"/>
        </w:rPr>
        <w:t xml:space="preserve">. </w:t>
      </w:r>
    </w:p>
    <w:p w:rsidR="00A3576F" w:rsidRPr="00873F9B" w:rsidRDefault="00B51B52" w:rsidP="00AA11F5">
      <w:pPr>
        <w:autoSpaceDE w:val="0"/>
        <w:autoSpaceDN w:val="0"/>
        <w:adjustRightInd w:val="0"/>
        <w:jc w:val="both"/>
        <w:rPr>
          <w:szCs w:val="22"/>
          <w:lang w:val="el-GR"/>
        </w:rPr>
      </w:pPr>
      <w:r w:rsidRPr="00873F9B">
        <w:rPr>
          <w:szCs w:val="22"/>
          <w:u w:val="single"/>
          <w:lang w:val="el-GR"/>
        </w:rPr>
        <w:t>80</w:t>
      </w:r>
      <w:r w:rsidR="00E40546" w:rsidRPr="00873F9B">
        <w:rPr>
          <w:szCs w:val="22"/>
          <w:u w:val="single"/>
          <w:lang w:val="el-GR"/>
        </w:rPr>
        <w:t xml:space="preserve"> </w:t>
      </w:r>
      <w:r w:rsidRPr="00873F9B">
        <w:rPr>
          <w:szCs w:val="22"/>
          <w:u w:val="single"/>
        </w:rPr>
        <w:t>mg</w:t>
      </w:r>
      <w:r w:rsidRPr="00873F9B">
        <w:rPr>
          <w:szCs w:val="22"/>
          <w:u w:val="single"/>
          <w:lang w:val="el-GR"/>
        </w:rPr>
        <w:t xml:space="preserve"> </w:t>
      </w:r>
      <w:r w:rsidR="0017517B" w:rsidRPr="00873F9B">
        <w:rPr>
          <w:szCs w:val="22"/>
          <w:u w:val="single"/>
          <w:lang w:val="el-GR"/>
        </w:rPr>
        <w:t>επικαλυμμένα με λεπτό υμένιο δισκία</w:t>
      </w:r>
      <w:r w:rsidRPr="00873F9B">
        <w:rPr>
          <w:szCs w:val="22"/>
          <w:u w:val="single"/>
          <w:lang w:val="el-GR"/>
        </w:rPr>
        <w:t>:</w:t>
      </w:r>
      <w:r w:rsidRPr="00873F9B">
        <w:rPr>
          <w:szCs w:val="22"/>
          <w:lang w:val="el-GR"/>
        </w:rPr>
        <w:t xml:space="preserve"> </w:t>
      </w:r>
      <w:r w:rsidR="00EB2779" w:rsidRPr="00873F9B">
        <w:rPr>
          <w:szCs w:val="22"/>
          <w:lang w:val="el-GR"/>
        </w:rPr>
        <w:t>Κίτρινα, στρογγυλά, κυρτά, με χαραγή, επικαλυμμένα με λεπτό υμένιο δισκία με διάμετρο πυρήνα 10,4</w:t>
      </w:r>
      <w:r w:rsidR="00EB2779" w:rsidRPr="00873F9B">
        <w:rPr>
          <w:szCs w:val="22"/>
        </w:rPr>
        <w:t>mm</w:t>
      </w:r>
      <w:r w:rsidR="00EB2779" w:rsidRPr="00873F9B">
        <w:rPr>
          <w:szCs w:val="22"/>
          <w:lang w:val="el-GR"/>
        </w:rPr>
        <w:t xml:space="preserve">. Η χαραγή είναι μόνο για να διευκολύνεται το σπάσιμο του δισκίου με σκοπό την ευκολία κατάποσης και όχι για να χωρίζεται σε δύο ίσες δόσεις. </w:t>
      </w:r>
      <w:r w:rsidRPr="00873F9B">
        <w:rPr>
          <w:szCs w:val="22"/>
          <w:lang w:val="el-GR"/>
        </w:rPr>
        <w:t xml:space="preserve"> </w:t>
      </w:r>
    </w:p>
    <w:p w:rsidR="00684725" w:rsidRPr="00873F9B" w:rsidRDefault="00B51B52" w:rsidP="00AA11F5">
      <w:pPr>
        <w:autoSpaceDE w:val="0"/>
        <w:autoSpaceDN w:val="0"/>
        <w:adjustRightInd w:val="0"/>
        <w:jc w:val="both"/>
        <w:rPr>
          <w:szCs w:val="22"/>
        </w:rPr>
      </w:pPr>
      <w:r w:rsidRPr="00873F9B">
        <w:rPr>
          <w:szCs w:val="22"/>
          <w:u w:val="single"/>
          <w:lang w:val="el-GR"/>
        </w:rPr>
        <w:t>160</w:t>
      </w:r>
      <w:r w:rsidR="00E40546" w:rsidRPr="00873F9B">
        <w:rPr>
          <w:szCs w:val="22"/>
          <w:u w:val="single"/>
          <w:lang w:val="el-GR"/>
        </w:rPr>
        <w:t xml:space="preserve"> </w:t>
      </w:r>
      <w:r w:rsidRPr="00873F9B">
        <w:rPr>
          <w:szCs w:val="22"/>
          <w:u w:val="single"/>
        </w:rPr>
        <w:t>mg</w:t>
      </w:r>
      <w:r w:rsidRPr="00873F9B">
        <w:rPr>
          <w:szCs w:val="22"/>
          <w:u w:val="single"/>
          <w:lang w:val="el-GR"/>
        </w:rPr>
        <w:t xml:space="preserve"> </w:t>
      </w:r>
      <w:r w:rsidR="0017517B" w:rsidRPr="00873F9B">
        <w:rPr>
          <w:szCs w:val="22"/>
          <w:u w:val="single"/>
          <w:lang w:val="el-GR"/>
        </w:rPr>
        <w:t>επικαλυμμένα με λεπτό υμένιο δισκία</w:t>
      </w:r>
      <w:r w:rsidRPr="00873F9B">
        <w:rPr>
          <w:szCs w:val="22"/>
          <w:u w:val="single"/>
          <w:lang w:val="el-GR"/>
        </w:rPr>
        <w:t>:</w:t>
      </w:r>
      <w:r w:rsidRPr="00873F9B">
        <w:rPr>
          <w:szCs w:val="22"/>
          <w:lang w:val="el-GR"/>
        </w:rPr>
        <w:t xml:space="preserve"> </w:t>
      </w:r>
      <w:r w:rsidR="00EB2779" w:rsidRPr="00873F9B">
        <w:rPr>
          <w:szCs w:val="22"/>
          <w:lang w:val="el-GR"/>
        </w:rPr>
        <w:t xml:space="preserve">Κίτρινα, κυρτά, χαραγμένα από τη μία πλευρά, </w:t>
      </w:r>
      <w:r w:rsidR="00AB44E4" w:rsidRPr="00873F9B">
        <w:rPr>
          <w:szCs w:val="22"/>
          <w:lang w:val="el-GR"/>
        </w:rPr>
        <w:t xml:space="preserve">και </w:t>
      </w:r>
      <w:r w:rsidR="00EB2779" w:rsidRPr="00873F9B">
        <w:rPr>
          <w:szCs w:val="22"/>
          <w:lang w:val="el-GR"/>
        </w:rPr>
        <w:t>με το εντύπωμα “</w:t>
      </w:r>
      <w:r w:rsidR="00EB2779" w:rsidRPr="00873F9B">
        <w:rPr>
          <w:szCs w:val="22"/>
        </w:rPr>
        <w:t>MC</w:t>
      </w:r>
      <w:r w:rsidR="00EB2779" w:rsidRPr="00873F9B">
        <w:rPr>
          <w:szCs w:val="22"/>
          <w:lang w:val="el-GR"/>
        </w:rPr>
        <w:t xml:space="preserve">” από την άλλη πλευρά, </w:t>
      </w:r>
      <w:r w:rsidR="00AB44E4" w:rsidRPr="00873F9B">
        <w:rPr>
          <w:szCs w:val="22"/>
          <w:lang w:val="el-GR"/>
        </w:rPr>
        <w:t xml:space="preserve">με σχήμα κάψουλας, επικαλυμμένα με λεπτό υμένιο δισκία με διαστάσεις πυρήνα 17.5 </w:t>
      </w:r>
      <w:r w:rsidR="00AB44E4" w:rsidRPr="00873F9B">
        <w:rPr>
          <w:szCs w:val="22"/>
        </w:rPr>
        <w:t>x</w:t>
      </w:r>
      <w:r w:rsidR="00AB44E4" w:rsidRPr="00873F9B">
        <w:rPr>
          <w:szCs w:val="22"/>
          <w:lang w:val="el-GR"/>
        </w:rPr>
        <w:t xml:space="preserve"> 8</w:t>
      </w:r>
      <w:r w:rsidR="00AB44E4" w:rsidRPr="00873F9B">
        <w:rPr>
          <w:szCs w:val="22"/>
        </w:rPr>
        <w:t>mm</w:t>
      </w:r>
      <w:r w:rsidR="00AB44E4" w:rsidRPr="00873F9B">
        <w:rPr>
          <w:szCs w:val="22"/>
          <w:lang w:val="el-GR"/>
        </w:rPr>
        <w:t xml:space="preserve">. Η χαραγή είναι μόνο για να διευκολύνεται το σπάσιμο του δισκίου με σκοπό την ευκολία κατάποσης και όχι για να χωρίζεται σε δύο ίσες δόσεις. </w:t>
      </w:r>
    </w:p>
    <w:p w:rsidR="00DB1855" w:rsidRPr="00873F9B" w:rsidRDefault="00DB1855" w:rsidP="00AA11F5">
      <w:pPr>
        <w:autoSpaceDE w:val="0"/>
        <w:autoSpaceDN w:val="0"/>
        <w:adjustRightInd w:val="0"/>
        <w:jc w:val="both"/>
        <w:rPr>
          <w:szCs w:val="22"/>
        </w:rPr>
      </w:pPr>
    </w:p>
    <w:p w:rsidR="00545A37" w:rsidRPr="00873F9B" w:rsidRDefault="00545A37" w:rsidP="00AA11F5">
      <w:pPr>
        <w:jc w:val="both"/>
        <w:rPr>
          <w:szCs w:val="22"/>
        </w:rPr>
      </w:pPr>
    </w:p>
    <w:p w:rsidR="00BF291C" w:rsidRPr="00873F9B" w:rsidRDefault="00BF291C" w:rsidP="00AA11F5">
      <w:pPr>
        <w:ind w:left="567" w:hanging="567"/>
        <w:jc w:val="both"/>
        <w:rPr>
          <w:caps/>
          <w:szCs w:val="22"/>
        </w:rPr>
      </w:pPr>
      <w:r w:rsidRPr="00873F9B">
        <w:rPr>
          <w:b/>
          <w:caps/>
          <w:szCs w:val="22"/>
        </w:rPr>
        <w:t>4.</w:t>
      </w:r>
      <w:r w:rsidRPr="00873F9B">
        <w:rPr>
          <w:b/>
          <w:caps/>
          <w:szCs w:val="22"/>
        </w:rPr>
        <w:tab/>
      </w:r>
      <w:r w:rsidR="00A6746D" w:rsidRPr="00873F9B">
        <w:rPr>
          <w:b/>
          <w:bCs/>
          <w:szCs w:val="22"/>
        </w:rPr>
        <w:t>ΚΛΙΝΙΚΕΣ ΠΛΗΡΟΦΟΡΙΕΣ</w:t>
      </w:r>
    </w:p>
    <w:p w:rsidR="00BF291C" w:rsidRPr="00873F9B" w:rsidRDefault="00BF291C" w:rsidP="00AA11F5">
      <w:pPr>
        <w:jc w:val="both"/>
        <w:rPr>
          <w:szCs w:val="22"/>
        </w:rPr>
      </w:pPr>
    </w:p>
    <w:p w:rsidR="00BF291C" w:rsidRPr="00873F9B" w:rsidRDefault="00BF291C" w:rsidP="00AA11F5">
      <w:pPr>
        <w:ind w:left="567" w:hanging="567"/>
        <w:jc w:val="both"/>
        <w:outlineLvl w:val="0"/>
        <w:rPr>
          <w:szCs w:val="22"/>
        </w:rPr>
      </w:pPr>
      <w:r w:rsidRPr="00873F9B">
        <w:rPr>
          <w:b/>
          <w:szCs w:val="22"/>
        </w:rPr>
        <w:t>4.1</w:t>
      </w:r>
      <w:r w:rsidRPr="00873F9B">
        <w:rPr>
          <w:b/>
          <w:szCs w:val="22"/>
        </w:rPr>
        <w:tab/>
      </w:r>
      <w:r w:rsidR="00A6746D" w:rsidRPr="00873F9B">
        <w:rPr>
          <w:b/>
          <w:bCs/>
          <w:szCs w:val="22"/>
        </w:rPr>
        <w:t>Θεραπευτικές ενδείξεις</w:t>
      </w:r>
    </w:p>
    <w:p w:rsidR="00BF291C" w:rsidRPr="00873F9B" w:rsidRDefault="00BF291C" w:rsidP="00AA11F5">
      <w:pPr>
        <w:pStyle w:val="Text"/>
        <w:spacing w:before="0"/>
        <w:rPr>
          <w:sz w:val="22"/>
          <w:szCs w:val="22"/>
          <w:lang w:val="en-GB"/>
        </w:rPr>
      </w:pPr>
    </w:p>
    <w:p w:rsidR="00BF291C" w:rsidRPr="00873F9B" w:rsidRDefault="00A6746D" w:rsidP="00AA11F5">
      <w:pPr>
        <w:jc w:val="both"/>
        <w:rPr>
          <w:szCs w:val="22"/>
          <w:u w:val="single"/>
        </w:rPr>
      </w:pPr>
      <w:r w:rsidRPr="00873F9B">
        <w:rPr>
          <w:szCs w:val="22"/>
          <w:u w:val="single"/>
          <w:lang w:val="el-GR"/>
        </w:rPr>
        <w:t>Υπέρταση</w:t>
      </w:r>
      <w:r w:rsidR="000F723B" w:rsidRPr="00873F9B">
        <w:rPr>
          <w:szCs w:val="22"/>
          <w:u w:val="single"/>
        </w:rPr>
        <w:t xml:space="preserve"> (</w:t>
      </w:r>
      <w:r w:rsidRPr="00873F9B">
        <w:rPr>
          <w:szCs w:val="22"/>
          <w:u w:val="single"/>
          <w:lang w:val="el-GR"/>
        </w:rPr>
        <w:t>μόνο</w:t>
      </w:r>
      <w:r w:rsidR="000F723B" w:rsidRPr="00873F9B">
        <w:rPr>
          <w:szCs w:val="22"/>
          <w:u w:val="single"/>
        </w:rPr>
        <w:t xml:space="preserve"> 40 mg)</w:t>
      </w:r>
    </w:p>
    <w:p w:rsidR="00BF291C" w:rsidRPr="00873F9B" w:rsidRDefault="0017517B" w:rsidP="00AA11F5">
      <w:pPr>
        <w:jc w:val="both"/>
        <w:rPr>
          <w:szCs w:val="22"/>
          <w:lang w:val="el-GR"/>
        </w:rPr>
      </w:pPr>
      <w:r w:rsidRPr="00873F9B">
        <w:rPr>
          <w:szCs w:val="22"/>
          <w:lang w:val="el-GR"/>
        </w:rPr>
        <w:t>Θεραπεία της υπέρτασης σε παιδιά και εφήβους ηλικίας 6 έως 18 ετών.</w:t>
      </w:r>
    </w:p>
    <w:p w:rsidR="00BF291C" w:rsidRPr="00873F9B" w:rsidRDefault="00BF291C" w:rsidP="00AA11F5">
      <w:pPr>
        <w:jc w:val="both"/>
        <w:rPr>
          <w:szCs w:val="22"/>
          <w:lang w:val="el-GR"/>
        </w:rPr>
      </w:pPr>
    </w:p>
    <w:p w:rsidR="000F723B" w:rsidRPr="00873F9B" w:rsidRDefault="00EC4F8A" w:rsidP="00AA11F5">
      <w:pPr>
        <w:jc w:val="both"/>
        <w:rPr>
          <w:szCs w:val="22"/>
          <w:u w:val="single"/>
        </w:rPr>
      </w:pPr>
      <w:r w:rsidRPr="00873F9B">
        <w:rPr>
          <w:szCs w:val="22"/>
          <w:u w:val="single"/>
          <w:lang w:val="el-GR"/>
        </w:rPr>
        <w:t>Υπέρταση</w:t>
      </w:r>
      <w:r w:rsidRPr="00873F9B">
        <w:rPr>
          <w:szCs w:val="22"/>
          <w:u w:val="single"/>
        </w:rPr>
        <w:t xml:space="preserve"> </w:t>
      </w:r>
      <w:r w:rsidR="000F723B" w:rsidRPr="00873F9B">
        <w:rPr>
          <w:szCs w:val="22"/>
          <w:u w:val="single"/>
        </w:rPr>
        <w:t>(</w:t>
      </w:r>
      <w:r w:rsidRPr="00873F9B">
        <w:rPr>
          <w:szCs w:val="22"/>
          <w:u w:val="single"/>
          <w:lang w:val="el-GR"/>
        </w:rPr>
        <w:t>μόνο</w:t>
      </w:r>
      <w:r w:rsidR="000F723B" w:rsidRPr="00873F9B">
        <w:rPr>
          <w:szCs w:val="22"/>
          <w:u w:val="single"/>
        </w:rPr>
        <w:t xml:space="preserve"> 80 mg, 160 mg)</w:t>
      </w:r>
    </w:p>
    <w:p w:rsidR="000F723B" w:rsidRPr="00873F9B" w:rsidRDefault="0017517B" w:rsidP="00AA11F5">
      <w:pPr>
        <w:jc w:val="both"/>
        <w:rPr>
          <w:szCs w:val="22"/>
          <w:lang w:val="el-GR"/>
        </w:rPr>
      </w:pPr>
      <w:r w:rsidRPr="00873F9B">
        <w:rPr>
          <w:szCs w:val="22"/>
          <w:lang w:val="el-GR"/>
        </w:rPr>
        <w:t>Θεραπεία της ιδιοπαθούς υπέρτασης σε ενήλικες</w:t>
      </w:r>
      <w:r w:rsidR="000F723B" w:rsidRPr="00873F9B">
        <w:rPr>
          <w:szCs w:val="22"/>
          <w:lang w:val="el-GR"/>
        </w:rPr>
        <w:t>,</w:t>
      </w:r>
      <w:r w:rsidRPr="00873F9B">
        <w:rPr>
          <w:szCs w:val="22"/>
          <w:lang w:val="el-GR"/>
        </w:rPr>
        <w:t xml:space="preserve"> και της υπέρτασης σε παιδιά και εφήβους ηλικίας 6 έως 18 ετών.</w:t>
      </w:r>
    </w:p>
    <w:p w:rsidR="000F723B" w:rsidRPr="00873F9B" w:rsidRDefault="000F723B" w:rsidP="00AA11F5">
      <w:pPr>
        <w:jc w:val="both"/>
        <w:rPr>
          <w:szCs w:val="22"/>
          <w:lang w:val="el-GR"/>
        </w:rPr>
      </w:pPr>
    </w:p>
    <w:p w:rsidR="00BF291C" w:rsidRPr="00873F9B" w:rsidRDefault="00EC4F8A" w:rsidP="00AA11F5">
      <w:pPr>
        <w:jc w:val="both"/>
        <w:rPr>
          <w:szCs w:val="22"/>
          <w:u w:val="single"/>
          <w:lang w:val="el-GR"/>
        </w:rPr>
      </w:pPr>
      <w:r w:rsidRPr="00873F9B">
        <w:rPr>
          <w:szCs w:val="22"/>
          <w:u w:val="single"/>
          <w:lang w:val="el-GR"/>
        </w:rPr>
        <w:t>Πρόσφατο έμφραγμα του μυοκαρδίου</w:t>
      </w:r>
      <w:r w:rsidR="000F723B" w:rsidRPr="00873F9B">
        <w:rPr>
          <w:szCs w:val="22"/>
          <w:u w:val="single"/>
          <w:lang w:val="el-GR"/>
        </w:rPr>
        <w:t xml:space="preserve"> (40</w:t>
      </w:r>
      <w:r w:rsidR="000F723B" w:rsidRPr="00873F9B">
        <w:rPr>
          <w:szCs w:val="22"/>
          <w:u w:val="single"/>
        </w:rPr>
        <w:t> mg</w:t>
      </w:r>
      <w:r w:rsidR="000F723B" w:rsidRPr="00873F9B">
        <w:rPr>
          <w:szCs w:val="22"/>
          <w:u w:val="single"/>
          <w:lang w:val="el-GR"/>
        </w:rPr>
        <w:t>, 80</w:t>
      </w:r>
      <w:r w:rsidR="000F723B" w:rsidRPr="00873F9B">
        <w:rPr>
          <w:szCs w:val="22"/>
          <w:u w:val="single"/>
        </w:rPr>
        <w:t> mg</w:t>
      </w:r>
      <w:r w:rsidR="000F723B" w:rsidRPr="00873F9B">
        <w:rPr>
          <w:szCs w:val="22"/>
          <w:u w:val="single"/>
          <w:lang w:val="el-GR"/>
        </w:rPr>
        <w:t xml:space="preserve"> </w:t>
      </w:r>
      <w:r w:rsidRPr="00873F9B">
        <w:rPr>
          <w:szCs w:val="22"/>
          <w:u w:val="single"/>
          <w:lang w:val="el-GR"/>
        </w:rPr>
        <w:t>και</w:t>
      </w:r>
      <w:r w:rsidR="000F723B" w:rsidRPr="00873F9B">
        <w:rPr>
          <w:szCs w:val="22"/>
          <w:u w:val="single"/>
          <w:lang w:val="el-GR"/>
        </w:rPr>
        <w:t xml:space="preserve"> 160</w:t>
      </w:r>
      <w:r w:rsidR="000F723B" w:rsidRPr="00873F9B">
        <w:rPr>
          <w:szCs w:val="22"/>
          <w:u w:val="single"/>
        </w:rPr>
        <w:t> mg</w:t>
      </w:r>
      <w:r w:rsidR="000F723B" w:rsidRPr="00873F9B">
        <w:rPr>
          <w:szCs w:val="22"/>
          <w:u w:val="single"/>
          <w:lang w:val="el-GR"/>
        </w:rPr>
        <w:t>)</w:t>
      </w:r>
    </w:p>
    <w:p w:rsidR="0017517B" w:rsidRPr="00873F9B" w:rsidRDefault="0017517B" w:rsidP="00AA11F5">
      <w:pPr>
        <w:jc w:val="both"/>
        <w:rPr>
          <w:szCs w:val="22"/>
          <w:lang w:val="el-GR"/>
        </w:rPr>
      </w:pPr>
      <w:r w:rsidRPr="00873F9B">
        <w:rPr>
          <w:szCs w:val="22"/>
          <w:lang w:val="el-GR"/>
        </w:rPr>
        <w:t xml:space="preserve">Θεραπεία κλινικά σταθερών ασθενών με συμπτωματική καρδιακή ανεπάρκεια ή ασυμπτωματική συστολική δυσλειτουργία της αριστερής κοιλίας μετά από πρόσφατο (12 ώρες – 10 ημέρες) έμφραγμα του μυοκαρδίου (βλέπε παραγράφους 4.4 και 5.1).  </w:t>
      </w:r>
    </w:p>
    <w:p w:rsidR="00BF291C" w:rsidRPr="00873F9B" w:rsidRDefault="00BF291C" w:rsidP="00AA11F5">
      <w:pPr>
        <w:jc w:val="both"/>
        <w:rPr>
          <w:szCs w:val="22"/>
          <w:u w:val="single"/>
        </w:rPr>
      </w:pPr>
    </w:p>
    <w:p w:rsidR="00BF291C" w:rsidRPr="00873F9B" w:rsidRDefault="00EC4F8A" w:rsidP="00AA11F5">
      <w:pPr>
        <w:jc w:val="both"/>
        <w:rPr>
          <w:szCs w:val="22"/>
          <w:u w:val="single"/>
          <w:lang w:val="el-GR"/>
        </w:rPr>
      </w:pPr>
      <w:r w:rsidRPr="00873F9B">
        <w:rPr>
          <w:szCs w:val="22"/>
          <w:u w:val="single"/>
          <w:lang w:val="el-GR"/>
        </w:rPr>
        <w:t>Καρδιακή ανεπάρκεια</w:t>
      </w:r>
      <w:r w:rsidR="000F723B" w:rsidRPr="00873F9B">
        <w:rPr>
          <w:szCs w:val="22"/>
          <w:u w:val="single"/>
          <w:lang w:val="el-GR"/>
        </w:rPr>
        <w:t xml:space="preserve"> (40</w:t>
      </w:r>
      <w:r w:rsidR="000F723B" w:rsidRPr="00873F9B">
        <w:rPr>
          <w:szCs w:val="22"/>
          <w:u w:val="single"/>
        </w:rPr>
        <w:t> mg</w:t>
      </w:r>
      <w:r w:rsidR="000F723B" w:rsidRPr="00873F9B">
        <w:rPr>
          <w:szCs w:val="22"/>
          <w:u w:val="single"/>
          <w:lang w:val="el-GR"/>
        </w:rPr>
        <w:t>, 80</w:t>
      </w:r>
      <w:r w:rsidR="000F723B" w:rsidRPr="00873F9B">
        <w:rPr>
          <w:szCs w:val="22"/>
          <w:u w:val="single"/>
        </w:rPr>
        <w:t> mg</w:t>
      </w:r>
      <w:r w:rsidR="000F723B" w:rsidRPr="00873F9B">
        <w:rPr>
          <w:szCs w:val="22"/>
          <w:u w:val="single"/>
          <w:lang w:val="el-GR"/>
        </w:rPr>
        <w:t xml:space="preserve"> </w:t>
      </w:r>
      <w:r w:rsidRPr="00873F9B">
        <w:rPr>
          <w:szCs w:val="22"/>
          <w:u w:val="single"/>
          <w:lang w:val="el-GR"/>
        </w:rPr>
        <w:t>και</w:t>
      </w:r>
      <w:r w:rsidR="000F723B" w:rsidRPr="00873F9B">
        <w:rPr>
          <w:szCs w:val="22"/>
          <w:u w:val="single"/>
          <w:lang w:val="el-GR"/>
        </w:rPr>
        <w:t xml:space="preserve"> 160</w:t>
      </w:r>
      <w:r w:rsidR="000F723B" w:rsidRPr="00873F9B">
        <w:rPr>
          <w:szCs w:val="22"/>
          <w:u w:val="single"/>
        </w:rPr>
        <w:t> mg</w:t>
      </w:r>
      <w:r w:rsidR="000F723B" w:rsidRPr="00873F9B">
        <w:rPr>
          <w:szCs w:val="22"/>
          <w:u w:val="single"/>
          <w:lang w:val="el-GR"/>
        </w:rPr>
        <w:t>)</w:t>
      </w:r>
    </w:p>
    <w:p w:rsidR="00407E40" w:rsidRPr="00873F9B" w:rsidRDefault="00407E40" w:rsidP="00AA11F5">
      <w:pPr>
        <w:jc w:val="both"/>
        <w:rPr>
          <w:szCs w:val="22"/>
          <w:lang w:val="el-GR"/>
        </w:rPr>
      </w:pPr>
      <w:r w:rsidRPr="00873F9B">
        <w:rPr>
          <w:szCs w:val="22"/>
          <w:lang w:val="el-GR"/>
        </w:rPr>
        <w:lastRenderedPageBreak/>
        <w:t>Θεραπεία της συμπτωματικής καρδιακής ανεπάρκειας όταν δεν μπορούν να χρησιμοποιηθούν οι αναστολείς του μετατρεπτικού ενζύμου της αγγειοτενσίνης (ΜΕΑ), ή ως πρόσθετη θεραπεία στους αναστολείς ΜΕΑ όταν δεν μπορούν να χρησιμοποιηθούν οι β-αποκλειστές (βλ. παραγράφους 4.4 και 5.1).</w:t>
      </w:r>
    </w:p>
    <w:p w:rsidR="00F62A14" w:rsidRPr="00873F9B" w:rsidRDefault="00F62A14" w:rsidP="00AA11F5">
      <w:pPr>
        <w:pStyle w:val="Text"/>
        <w:spacing w:before="0"/>
        <w:rPr>
          <w:sz w:val="22"/>
          <w:szCs w:val="22"/>
          <w:lang w:val="en-GB"/>
        </w:rPr>
      </w:pPr>
    </w:p>
    <w:p w:rsidR="00BF291C" w:rsidRPr="00873F9B" w:rsidRDefault="00647B1C" w:rsidP="00AA11F5">
      <w:pPr>
        <w:numPr>
          <w:ilvl w:val="1"/>
          <w:numId w:val="11"/>
        </w:numPr>
        <w:jc w:val="both"/>
        <w:outlineLvl w:val="0"/>
        <w:rPr>
          <w:b/>
          <w:szCs w:val="22"/>
        </w:rPr>
      </w:pPr>
      <w:r w:rsidRPr="00873F9B">
        <w:rPr>
          <w:rFonts w:eastAsia="PMingLiU"/>
          <w:b/>
          <w:bCs/>
          <w:color w:val="000000"/>
          <w:szCs w:val="22"/>
          <w:lang w:val="el-GR" w:eastAsia="zh-TW"/>
        </w:rPr>
        <w:t>Δοσολογία και τρόπος χορήγησης</w:t>
      </w:r>
    </w:p>
    <w:p w:rsidR="00BF291C" w:rsidRPr="00873F9B" w:rsidRDefault="00BF291C" w:rsidP="00AA11F5">
      <w:pPr>
        <w:pStyle w:val="Text"/>
        <w:spacing w:before="0"/>
        <w:rPr>
          <w:sz w:val="22"/>
          <w:szCs w:val="22"/>
          <w:lang w:val="en-GB"/>
        </w:rPr>
      </w:pPr>
    </w:p>
    <w:p w:rsidR="00BF291C" w:rsidRPr="0090068E" w:rsidRDefault="00647B1C" w:rsidP="00AA11F5">
      <w:pPr>
        <w:pStyle w:val="Text"/>
        <w:spacing w:before="0"/>
        <w:rPr>
          <w:sz w:val="22"/>
          <w:szCs w:val="22"/>
          <w:u w:val="single"/>
          <w:lang w:val="el-GR"/>
        </w:rPr>
      </w:pPr>
      <w:r w:rsidRPr="0090068E">
        <w:rPr>
          <w:sz w:val="22"/>
          <w:szCs w:val="22"/>
          <w:u w:val="single"/>
          <w:lang w:val="el-GR"/>
        </w:rPr>
        <w:t>Δοσολογία</w:t>
      </w:r>
    </w:p>
    <w:p w:rsidR="00BF291C" w:rsidRPr="00873F9B" w:rsidRDefault="00BF291C" w:rsidP="00AA11F5">
      <w:pPr>
        <w:pStyle w:val="Text"/>
        <w:spacing w:before="0"/>
        <w:rPr>
          <w:i/>
          <w:sz w:val="22"/>
          <w:szCs w:val="22"/>
          <w:u w:val="single"/>
          <w:lang w:val="en-GB"/>
        </w:rPr>
      </w:pPr>
    </w:p>
    <w:p w:rsidR="000F723B" w:rsidRPr="00873F9B" w:rsidRDefault="00D44156" w:rsidP="00AA11F5">
      <w:pPr>
        <w:jc w:val="both"/>
        <w:rPr>
          <w:szCs w:val="22"/>
          <w:u w:val="single"/>
        </w:rPr>
      </w:pPr>
      <w:r w:rsidRPr="00873F9B">
        <w:rPr>
          <w:szCs w:val="22"/>
          <w:u w:val="single"/>
          <w:lang w:val="el-GR"/>
        </w:rPr>
        <w:t>Υπέρταση</w:t>
      </w:r>
      <w:r w:rsidR="000F723B" w:rsidRPr="00873F9B">
        <w:rPr>
          <w:szCs w:val="22"/>
          <w:u w:val="single"/>
        </w:rPr>
        <w:t xml:space="preserve"> (</w:t>
      </w:r>
      <w:r w:rsidRPr="00873F9B">
        <w:rPr>
          <w:szCs w:val="22"/>
          <w:u w:val="single"/>
          <w:lang w:val="el-GR"/>
        </w:rPr>
        <w:t>μόνο</w:t>
      </w:r>
      <w:r w:rsidR="000F723B" w:rsidRPr="00873F9B">
        <w:rPr>
          <w:szCs w:val="22"/>
          <w:u w:val="single"/>
        </w:rPr>
        <w:t xml:space="preserve"> 80 mg, 160 mg)</w:t>
      </w:r>
    </w:p>
    <w:p w:rsidR="00D44156" w:rsidRPr="00873F9B" w:rsidRDefault="00D44156" w:rsidP="00AA11F5">
      <w:pPr>
        <w:autoSpaceDE w:val="0"/>
        <w:autoSpaceDN w:val="0"/>
        <w:adjustRightInd w:val="0"/>
        <w:jc w:val="both"/>
        <w:rPr>
          <w:rFonts w:eastAsia="PMingLiU"/>
          <w:color w:val="000000"/>
          <w:szCs w:val="22"/>
          <w:lang w:val="el-GR" w:eastAsia="zh-TW"/>
        </w:rPr>
      </w:pPr>
      <w:r w:rsidRPr="00873F9B">
        <w:rPr>
          <w:rFonts w:eastAsia="PMingLiU"/>
          <w:color w:val="000000"/>
          <w:szCs w:val="22"/>
          <w:lang w:val="el-GR" w:eastAsia="zh-TW"/>
        </w:rPr>
        <w:t xml:space="preserve">Η συνιστώμενη δόση έναρξης του </w:t>
      </w:r>
      <w:r w:rsidRPr="00873F9B">
        <w:rPr>
          <w:rFonts w:eastAsia="PMingLiU"/>
          <w:color w:val="000000"/>
          <w:szCs w:val="22"/>
          <w:lang w:val="en-US" w:eastAsia="zh-TW"/>
        </w:rPr>
        <w:t>Valperol</w:t>
      </w:r>
      <w:r w:rsidRPr="00873F9B">
        <w:rPr>
          <w:rFonts w:eastAsia="PMingLiU"/>
          <w:color w:val="000000"/>
          <w:szCs w:val="22"/>
          <w:lang w:val="el-GR" w:eastAsia="zh-TW"/>
        </w:rPr>
        <w:t xml:space="preserve"> είναι 80 mg μία φορά την ημέρα. Η αντιυπερτασική δράση εμφανίζεται ουσιαστικά εντός 2 εβδομάδων, και η μέγιστη επίδραση επιτυγχάνεται εντός 4 εβδομάδων. Σε ορισμένους ασθενείς, των οποίων η αρτηριακή πίεση δεν ελέγχεται επαρκώς, η δόση μπορεί να αυξηθεί στα 160 mg και με μέγιστο τα 320 mg. </w:t>
      </w:r>
    </w:p>
    <w:p w:rsidR="00D44156" w:rsidRPr="00873F9B" w:rsidRDefault="00D44156" w:rsidP="00AA11F5">
      <w:pPr>
        <w:jc w:val="both"/>
        <w:rPr>
          <w:szCs w:val="22"/>
          <w:lang w:val="el-GR"/>
        </w:rPr>
      </w:pPr>
      <w:proofErr w:type="gramStart"/>
      <w:r w:rsidRPr="00873F9B">
        <w:rPr>
          <w:rFonts w:eastAsia="PMingLiU"/>
          <w:color w:val="000000"/>
          <w:szCs w:val="22"/>
          <w:lang w:val="en-US" w:eastAsia="zh-TW"/>
        </w:rPr>
        <w:t>H</w:t>
      </w:r>
      <w:r w:rsidRPr="00873F9B">
        <w:rPr>
          <w:rFonts w:eastAsia="PMingLiU"/>
          <w:color w:val="000000"/>
          <w:szCs w:val="22"/>
          <w:lang w:val="el-GR" w:eastAsia="zh-TW"/>
        </w:rPr>
        <w:t xml:space="preserve"> βαλσαρτάνη μπορεί επίσης να χορηγηθεί με άλλους αντιυπερτασικούς παράγοντες.</w:t>
      </w:r>
      <w:proofErr w:type="gramEnd"/>
      <w:r w:rsidRPr="00873F9B">
        <w:rPr>
          <w:rFonts w:eastAsia="PMingLiU"/>
          <w:color w:val="000000"/>
          <w:szCs w:val="22"/>
          <w:lang w:val="el-GR" w:eastAsia="zh-TW"/>
        </w:rPr>
        <w:t xml:space="preserve"> Η προσθήκη ενός διουρητικού, όπως η υδροχλωροθειαζίδη, θα μειώσει την αρτηριακή πίεση ακόμη περισσότερο σ’ αυτούς τους ασθενείς.</w:t>
      </w:r>
    </w:p>
    <w:p w:rsidR="000F723B" w:rsidRPr="00873F9B" w:rsidRDefault="000F723B" w:rsidP="00AA11F5">
      <w:pPr>
        <w:jc w:val="both"/>
        <w:rPr>
          <w:szCs w:val="22"/>
          <w:u w:val="single"/>
        </w:rPr>
      </w:pPr>
    </w:p>
    <w:p w:rsidR="00BF291C" w:rsidRPr="00873F9B" w:rsidRDefault="00A479F3" w:rsidP="00AA11F5">
      <w:pPr>
        <w:jc w:val="both"/>
        <w:rPr>
          <w:szCs w:val="22"/>
          <w:u w:val="single"/>
          <w:lang w:val="el-GR"/>
        </w:rPr>
      </w:pPr>
      <w:r w:rsidRPr="00873F9B">
        <w:rPr>
          <w:szCs w:val="22"/>
          <w:u w:val="single"/>
          <w:lang w:val="el-GR"/>
        </w:rPr>
        <w:t xml:space="preserve">Πρόσφατο έμφραγμα του μυοκαρδίου </w:t>
      </w:r>
      <w:r w:rsidR="000F723B" w:rsidRPr="00873F9B">
        <w:rPr>
          <w:szCs w:val="22"/>
          <w:u w:val="single"/>
          <w:lang w:val="el-GR"/>
        </w:rPr>
        <w:t>(40</w:t>
      </w:r>
      <w:r w:rsidR="000F723B" w:rsidRPr="00873F9B">
        <w:rPr>
          <w:szCs w:val="22"/>
          <w:u w:val="single"/>
        </w:rPr>
        <w:t> mg</w:t>
      </w:r>
      <w:r w:rsidR="000F723B" w:rsidRPr="00873F9B">
        <w:rPr>
          <w:szCs w:val="22"/>
          <w:u w:val="single"/>
          <w:lang w:val="el-GR"/>
        </w:rPr>
        <w:t>, 80</w:t>
      </w:r>
      <w:r w:rsidR="000F723B" w:rsidRPr="00873F9B">
        <w:rPr>
          <w:szCs w:val="22"/>
          <w:u w:val="single"/>
        </w:rPr>
        <w:t> mg</w:t>
      </w:r>
      <w:r w:rsidR="000F723B" w:rsidRPr="00873F9B">
        <w:rPr>
          <w:szCs w:val="22"/>
          <w:u w:val="single"/>
          <w:lang w:val="el-GR"/>
        </w:rPr>
        <w:t xml:space="preserve"> </w:t>
      </w:r>
      <w:r w:rsidRPr="00873F9B">
        <w:rPr>
          <w:szCs w:val="22"/>
          <w:u w:val="single"/>
          <w:lang w:val="el-GR"/>
        </w:rPr>
        <w:t>και</w:t>
      </w:r>
      <w:r w:rsidR="000F723B" w:rsidRPr="00873F9B">
        <w:rPr>
          <w:szCs w:val="22"/>
          <w:u w:val="single"/>
          <w:lang w:val="el-GR"/>
        </w:rPr>
        <w:t xml:space="preserve"> 160</w:t>
      </w:r>
      <w:r w:rsidR="000F723B" w:rsidRPr="00873F9B">
        <w:rPr>
          <w:szCs w:val="22"/>
          <w:u w:val="single"/>
        </w:rPr>
        <w:t> mg</w:t>
      </w:r>
      <w:r w:rsidR="000F723B" w:rsidRPr="00873F9B">
        <w:rPr>
          <w:szCs w:val="22"/>
          <w:u w:val="single"/>
          <w:lang w:val="el-GR"/>
        </w:rPr>
        <w:t>)</w:t>
      </w:r>
    </w:p>
    <w:p w:rsidR="00E62EC9" w:rsidRPr="00873F9B" w:rsidRDefault="00E62EC9" w:rsidP="00AA11F5">
      <w:pPr>
        <w:autoSpaceDE w:val="0"/>
        <w:autoSpaceDN w:val="0"/>
        <w:adjustRightInd w:val="0"/>
        <w:jc w:val="both"/>
        <w:rPr>
          <w:rFonts w:eastAsia="PMingLiU"/>
          <w:color w:val="000000"/>
          <w:szCs w:val="22"/>
          <w:lang w:val="el-GR" w:eastAsia="zh-TW"/>
        </w:rPr>
      </w:pPr>
      <w:r w:rsidRPr="00873F9B">
        <w:rPr>
          <w:rFonts w:eastAsia="PMingLiU"/>
          <w:color w:val="000000"/>
          <w:szCs w:val="22"/>
          <w:lang w:val="el-GR" w:eastAsia="zh-TW"/>
        </w:rPr>
        <w:t xml:space="preserve">Σε κλινικά σταθερούς ασθενείς, η θεραπεία μπορεί ήδη να ξεκινήσει 12 ώρες μετά το έμφραγμα του μυοκαρδίου. Μετά από μία αρχική δόση 20 mg δύο φορές την ημέρα, η βαλσαρτάνη θα πρέπει να τιτλοποιείται στα 40 mg, 80 mg, και 160 mg δύο φορές την ημέρα κατά τη διάρκεια των επόμενων λίγων εβδομάδων. </w:t>
      </w:r>
      <w:r w:rsidR="00F340E6" w:rsidRPr="00873F9B">
        <w:rPr>
          <w:rFonts w:eastAsia="PMingLiU"/>
          <w:color w:val="000000"/>
          <w:szCs w:val="22"/>
          <w:lang w:val="el-GR" w:eastAsia="zh-TW"/>
        </w:rPr>
        <w:t xml:space="preserve">– </w:t>
      </w:r>
      <w:r w:rsidRPr="00873F9B">
        <w:rPr>
          <w:rFonts w:eastAsia="PMingLiU"/>
          <w:color w:val="000000"/>
          <w:szCs w:val="22"/>
          <w:lang w:val="el-GR" w:eastAsia="zh-TW"/>
        </w:rPr>
        <w:t>Η</w:t>
      </w:r>
      <w:r w:rsidR="00F340E6" w:rsidRPr="00873F9B">
        <w:rPr>
          <w:rFonts w:eastAsia="PMingLiU"/>
          <w:color w:val="000000"/>
          <w:szCs w:val="22"/>
          <w:lang w:val="el-GR" w:eastAsia="zh-TW"/>
        </w:rPr>
        <w:t xml:space="preserve"> </w:t>
      </w:r>
      <w:r w:rsidRPr="00873F9B">
        <w:rPr>
          <w:rFonts w:eastAsia="PMingLiU"/>
          <w:color w:val="000000"/>
          <w:szCs w:val="22"/>
          <w:lang w:val="el-GR" w:eastAsia="zh-TW"/>
        </w:rPr>
        <w:t xml:space="preserve">δόση </w:t>
      </w:r>
      <w:r w:rsidR="00F340E6" w:rsidRPr="00873F9B">
        <w:rPr>
          <w:rFonts w:eastAsia="PMingLiU"/>
          <w:color w:val="000000"/>
          <w:szCs w:val="22"/>
          <w:lang w:val="el-GR" w:eastAsia="zh-TW"/>
        </w:rPr>
        <w:t xml:space="preserve">των 20 mg δεν μπορεί να ληφθεί με τα δισκία </w:t>
      </w:r>
      <w:r w:rsidR="00F340E6" w:rsidRPr="00873F9B">
        <w:rPr>
          <w:rFonts w:eastAsia="PMingLiU"/>
          <w:color w:val="000000"/>
          <w:szCs w:val="22"/>
          <w:lang w:val="en-US" w:eastAsia="zh-TW"/>
        </w:rPr>
        <w:t>Valperol</w:t>
      </w:r>
      <w:r w:rsidR="00F340E6" w:rsidRPr="00873F9B">
        <w:rPr>
          <w:rFonts w:eastAsia="PMingLiU"/>
          <w:color w:val="000000"/>
          <w:szCs w:val="22"/>
          <w:lang w:val="el-GR" w:eastAsia="zh-TW"/>
        </w:rPr>
        <w:t xml:space="preserve"> καθώς δεν έχουν κατασκευαστεί για να </w:t>
      </w:r>
      <w:r w:rsidRPr="00873F9B">
        <w:rPr>
          <w:rFonts w:eastAsia="PMingLiU"/>
          <w:color w:val="000000"/>
          <w:szCs w:val="22"/>
          <w:lang w:val="el-GR" w:eastAsia="zh-TW"/>
        </w:rPr>
        <w:t>διχοτομού</w:t>
      </w:r>
      <w:r w:rsidR="00F340E6" w:rsidRPr="00873F9B">
        <w:rPr>
          <w:rFonts w:eastAsia="PMingLiU"/>
          <w:color w:val="000000"/>
          <w:szCs w:val="22"/>
          <w:lang w:val="el-GR" w:eastAsia="zh-TW"/>
        </w:rPr>
        <w:t>νται</w:t>
      </w:r>
      <w:r w:rsidRPr="00873F9B">
        <w:rPr>
          <w:rFonts w:eastAsia="PMingLiU"/>
          <w:color w:val="000000"/>
          <w:szCs w:val="22"/>
          <w:lang w:val="el-GR" w:eastAsia="zh-TW"/>
        </w:rPr>
        <w:t xml:space="preserve"> </w:t>
      </w:r>
      <w:r w:rsidR="00F340E6" w:rsidRPr="00873F9B">
        <w:rPr>
          <w:rFonts w:eastAsia="PMingLiU"/>
          <w:color w:val="000000"/>
          <w:szCs w:val="22"/>
          <w:lang w:val="el-GR" w:eastAsia="zh-TW"/>
        </w:rPr>
        <w:t>σε δύο ίσα μέρη</w:t>
      </w:r>
      <w:r w:rsidRPr="00873F9B">
        <w:rPr>
          <w:rFonts w:eastAsia="PMingLiU"/>
          <w:color w:val="000000"/>
          <w:szCs w:val="22"/>
          <w:lang w:val="el-GR" w:eastAsia="zh-TW"/>
        </w:rPr>
        <w:t xml:space="preserve">. </w:t>
      </w:r>
    </w:p>
    <w:p w:rsidR="00E62EC9" w:rsidRPr="00873F9B" w:rsidRDefault="00E62EC9" w:rsidP="00AA11F5">
      <w:pPr>
        <w:autoSpaceDE w:val="0"/>
        <w:autoSpaceDN w:val="0"/>
        <w:adjustRightInd w:val="0"/>
        <w:jc w:val="both"/>
        <w:rPr>
          <w:rFonts w:eastAsia="PMingLiU"/>
          <w:color w:val="000000"/>
          <w:szCs w:val="22"/>
          <w:lang w:val="el-GR" w:eastAsia="zh-TW"/>
        </w:rPr>
      </w:pPr>
      <w:r w:rsidRPr="00873F9B">
        <w:rPr>
          <w:rFonts w:eastAsia="PMingLiU"/>
          <w:color w:val="000000"/>
          <w:szCs w:val="22"/>
          <w:lang w:val="el-GR" w:eastAsia="zh-TW"/>
        </w:rPr>
        <w:t xml:space="preserve">Η μέγιστη δόση στόχος είναι 160 mg δύο φορές την ημέρα. Γενικά, συνιστάται οι ασθενείς να φτάνουν στο επίπεδο των 80 mg δύο φορές την ημέρα σε δύο εβδομάδες από την έναρξη της θεραπείας και η μέγιστη δόση στόχος των 160 mg δύο φορές την ημέρα να επιτυγχάνεται εντός τριών μηνών, ανάλογα με την ανοχή του ασθενούς. Αν εμφανιστεί συμπτωματική υπόταση ή νεφρική δυσλειτουργία, θα πρέπει να τεθεί το ενδεχόμενο μείωσης της δόσης. </w:t>
      </w:r>
    </w:p>
    <w:p w:rsidR="00E62EC9" w:rsidRPr="00873F9B" w:rsidRDefault="00E62EC9" w:rsidP="00AA11F5">
      <w:pPr>
        <w:autoSpaceDE w:val="0"/>
        <w:autoSpaceDN w:val="0"/>
        <w:adjustRightInd w:val="0"/>
        <w:jc w:val="both"/>
        <w:rPr>
          <w:rFonts w:eastAsia="PMingLiU"/>
          <w:color w:val="000000"/>
          <w:szCs w:val="22"/>
          <w:lang w:val="el-GR" w:eastAsia="zh-TW"/>
        </w:rPr>
      </w:pPr>
      <w:r w:rsidRPr="00873F9B">
        <w:rPr>
          <w:rFonts w:eastAsia="PMingLiU"/>
          <w:color w:val="000000"/>
          <w:szCs w:val="22"/>
          <w:lang w:val="el-GR" w:eastAsia="zh-TW"/>
        </w:rPr>
        <w:t xml:space="preserve">Η βαλσαρτάνη μπορεί να χρησιμοποιηθεί σε ασθενείς που λαμβάνουν και άλλες θεραπείες μετά το έμφραγμα του μυοκαρδίου π.χ. θρομβολυτικά, ακετυλοσαλυκιλικό οξύ, β-αποκλειστές, στατίνες και διουρητικά. Δεν συνιστάται ο συνδυασμός με αναστολείς ΜΕΑ (βλ. παραγράφους 4.4 και 5.1). </w:t>
      </w:r>
    </w:p>
    <w:p w:rsidR="00E62EC9" w:rsidRPr="00873F9B" w:rsidRDefault="00E62EC9" w:rsidP="00AA11F5">
      <w:pPr>
        <w:jc w:val="both"/>
        <w:rPr>
          <w:iCs/>
          <w:szCs w:val="22"/>
          <w:lang w:val="el-GR"/>
        </w:rPr>
      </w:pPr>
      <w:r w:rsidRPr="00873F9B">
        <w:rPr>
          <w:rFonts w:eastAsia="PMingLiU"/>
          <w:color w:val="000000"/>
          <w:szCs w:val="22"/>
          <w:lang w:val="el-GR" w:eastAsia="zh-TW"/>
        </w:rPr>
        <w:t>Η αξιολόγηση των ασθενών μετά από έμφραγμα του μυοκαρδίου πρέπει πάντα να περιλαμβάνει εκτίμηση της νεφρικής λειτουργίας.</w:t>
      </w:r>
    </w:p>
    <w:p w:rsidR="00BF291C" w:rsidRPr="00873F9B" w:rsidRDefault="00BF291C" w:rsidP="00AA11F5">
      <w:pPr>
        <w:jc w:val="both"/>
        <w:rPr>
          <w:szCs w:val="22"/>
        </w:rPr>
      </w:pPr>
    </w:p>
    <w:p w:rsidR="00BF291C" w:rsidRPr="00873F9B" w:rsidRDefault="00135C1D" w:rsidP="00AA11F5">
      <w:pPr>
        <w:jc w:val="both"/>
        <w:rPr>
          <w:szCs w:val="22"/>
          <w:u w:val="single"/>
          <w:lang w:val="el-GR"/>
        </w:rPr>
      </w:pPr>
      <w:r w:rsidRPr="00873F9B">
        <w:rPr>
          <w:szCs w:val="22"/>
          <w:u w:val="single"/>
          <w:lang w:val="el-GR"/>
        </w:rPr>
        <w:t>Καρδιακή ανεπάρκεια</w:t>
      </w:r>
      <w:r w:rsidR="000F723B" w:rsidRPr="00873F9B">
        <w:rPr>
          <w:szCs w:val="22"/>
          <w:u w:val="single"/>
          <w:lang w:val="el-GR"/>
        </w:rPr>
        <w:t xml:space="preserve"> (40</w:t>
      </w:r>
      <w:r w:rsidR="000F723B" w:rsidRPr="00873F9B">
        <w:rPr>
          <w:szCs w:val="22"/>
          <w:u w:val="single"/>
        </w:rPr>
        <w:t> mg</w:t>
      </w:r>
      <w:r w:rsidR="000F723B" w:rsidRPr="00873F9B">
        <w:rPr>
          <w:szCs w:val="22"/>
          <w:u w:val="single"/>
          <w:lang w:val="el-GR"/>
        </w:rPr>
        <w:t>, 80</w:t>
      </w:r>
      <w:r w:rsidR="000F723B" w:rsidRPr="00873F9B">
        <w:rPr>
          <w:szCs w:val="22"/>
          <w:u w:val="single"/>
        </w:rPr>
        <w:t> mg</w:t>
      </w:r>
      <w:r w:rsidR="000F723B" w:rsidRPr="00873F9B">
        <w:rPr>
          <w:szCs w:val="22"/>
          <w:u w:val="single"/>
          <w:lang w:val="el-GR"/>
        </w:rPr>
        <w:t xml:space="preserve"> </w:t>
      </w:r>
      <w:r w:rsidRPr="00873F9B">
        <w:rPr>
          <w:szCs w:val="22"/>
          <w:u w:val="single"/>
          <w:lang w:val="el-GR"/>
        </w:rPr>
        <w:t>και</w:t>
      </w:r>
      <w:r w:rsidR="000F723B" w:rsidRPr="00873F9B">
        <w:rPr>
          <w:szCs w:val="22"/>
          <w:u w:val="single"/>
          <w:lang w:val="el-GR"/>
        </w:rPr>
        <w:t xml:space="preserve"> 160</w:t>
      </w:r>
      <w:r w:rsidR="000F723B" w:rsidRPr="00873F9B">
        <w:rPr>
          <w:szCs w:val="22"/>
          <w:u w:val="single"/>
        </w:rPr>
        <w:t> mg</w:t>
      </w:r>
      <w:r w:rsidR="000F723B" w:rsidRPr="00873F9B">
        <w:rPr>
          <w:szCs w:val="22"/>
          <w:u w:val="single"/>
          <w:lang w:val="el-GR"/>
        </w:rPr>
        <w:t>)</w:t>
      </w:r>
    </w:p>
    <w:p w:rsidR="008A6C37" w:rsidRPr="00873F9B" w:rsidRDefault="008A6C37" w:rsidP="00AA11F5">
      <w:pPr>
        <w:autoSpaceDE w:val="0"/>
        <w:autoSpaceDN w:val="0"/>
        <w:adjustRightInd w:val="0"/>
        <w:jc w:val="both"/>
        <w:rPr>
          <w:rFonts w:eastAsia="PMingLiU"/>
          <w:color w:val="000000"/>
          <w:szCs w:val="22"/>
          <w:lang w:val="el-GR" w:eastAsia="zh-TW"/>
        </w:rPr>
      </w:pPr>
      <w:r w:rsidRPr="00873F9B">
        <w:rPr>
          <w:rFonts w:eastAsia="PMingLiU"/>
          <w:color w:val="000000"/>
          <w:szCs w:val="22"/>
          <w:lang w:val="el-GR" w:eastAsia="zh-TW"/>
        </w:rPr>
        <w:t xml:space="preserve">Η συνιστώμενη δόση έναρξης του </w:t>
      </w:r>
      <w:r w:rsidRPr="00873F9B">
        <w:rPr>
          <w:rFonts w:eastAsia="PMingLiU"/>
          <w:color w:val="000000"/>
          <w:szCs w:val="22"/>
          <w:lang w:val="en-US" w:eastAsia="zh-TW"/>
        </w:rPr>
        <w:t>Valperol</w:t>
      </w:r>
      <w:r w:rsidRPr="00873F9B">
        <w:rPr>
          <w:rFonts w:eastAsia="PMingLiU"/>
          <w:color w:val="000000"/>
          <w:szCs w:val="22"/>
          <w:lang w:val="el-GR" w:eastAsia="zh-TW"/>
        </w:rPr>
        <w:t xml:space="preserve"> είναι 40 mg δύο φορές την ημέρα. Προς τα άνω τιτλοποίηση σε 80 mg και 160 mg δύο φορές την ημέρα θα πρέπει να γίνεται σε διαστήματα τουλάχιστον δύο εβδομάδων μέχρι τη μέγιστη ανεκτή από τον ασθενή δόση. Θα πρέπει να εξετάζεται η μείωση της δόσης των συγχορηγούμενων διουρητικών. Η μέγιστη ημερήσια δόση που έχει χορηγηθεί σε κλινικές δοκιμές είναι τα 320 mg σε διηρημένες δόσεις. </w:t>
      </w:r>
    </w:p>
    <w:p w:rsidR="008A6C37" w:rsidRPr="00873F9B" w:rsidRDefault="008A6C37" w:rsidP="00AA11F5">
      <w:pPr>
        <w:autoSpaceDE w:val="0"/>
        <w:autoSpaceDN w:val="0"/>
        <w:adjustRightInd w:val="0"/>
        <w:jc w:val="both"/>
        <w:rPr>
          <w:rFonts w:eastAsia="PMingLiU"/>
          <w:color w:val="000000"/>
          <w:szCs w:val="22"/>
          <w:lang w:val="el-GR" w:eastAsia="zh-TW"/>
        </w:rPr>
      </w:pPr>
      <w:r w:rsidRPr="00873F9B">
        <w:rPr>
          <w:rFonts w:eastAsia="PMingLiU"/>
          <w:color w:val="000000"/>
          <w:szCs w:val="22"/>
          <w:lang w:val="el-GR" w:eastAsia="zh-TW"/>
        </w:rPr>
        <w:t xml:space="preserve">Η βαλσαρτάνη μπορεί να χορηγείται μαζί με άλλες θεραπείες για την καρδιακή ανεπάρκεια. Παρόλα αυτά, δεν συνιστάται ο τριπλός συνδυασμός ενός αναστολέα ΜΕΑ, ενός β-αποκλειστή και βαλσαρτάνης (βλ. παραγράφους 4.4 και 5.1). </w:t>
      </w:r>
    </w:p>
    <w:p w:rsidR="008A6C37" w:rsidRPr="00873F9B" w:rsidRDefault="008A6C37" w:rsidP="00AA11F5">
      <w:pPr>
        <w:jc w:val="both"/>
        <w:rPr>
          <w:szCs w:val="22"/>
          <w:lang w:val="el-GR"/>
        </w:rPr>
      </w:pPr>
      <w:r w:rsidRPr="00873F9B">
        <w:rPr>
          <w:rFonts w:eastAsia="PMingLiU"/>
          <w:color w:val="000000"/>
          <w:szCs w:val="22"/>
          <w:lang w:val="el-GR" w:eastAsia="zh-TW"/>
        </w:rPr>
        <w:t>Η αξιολόγηση των ασθενών με καρδιακή ανεπάρκεια θα πρέπει πάντα να περιλαμβάνει την εκτίμηση της νεφρικής λειτουργίας.</w:t>
      </w:r>
    </w:p>
    <w:p w:rsidR="00BF291C" w:rsidRPr="00873F9B" w:rsidRDefault="00BF291C" w:rsidP="00AA11F5">
      <w:pPr>
        <w:pStyle w:val="Text"/>
        <w:spacing w:before="0"/>
        <w:rPr>
          <w:sz w:val="22"/>
          <w:szCs w:val="22"/>
          <w:lang w:val="en-GB"/>
        </w:rPr>
      </w:pPr>
    </w:p>
    <w:p w:rsidR="00BF291C" w:rsidRPr="00873F9B" w:rsidRDefault="000076A8" w:rsidP="00AA11F5">
      <w:pPr>
        <w:jc w:val="both"/>
        <w:rPr>
          <w:bCs/>
          <w:i/>
          <w:iCs/>
          <w:szCs w:val="22"/>
          <w:u w:val="single"/>
          <w:lang w:val="el-GR"/>
        </w:rPr>
      </w:pPr>
      <w:r w:rsidRPr="00873F9B">
        <w:rPr>
          <w:i/>
          <w:iCs/>
          <w:szCs w:val="22"/>
          <w:u w:val="single"/>
          <w:lang w:val="el-GR"/>
        </w:rPr>
        <w:t>Επιπλέον πληροφορίες για ειδικούς πληθυσμούς</w:t>
      </w:r>
    </w:p>
    <w:p w:rsidR="00BF291C" w:rsidRPr="00873F9B" w:rsidRDefault="00BF291C" w:rsidP="00AA11F5">
      <w:pPr>
        <w:jc w:val="both"/>
        <w:rPr>
          <w:szCs w:val="22"/>
          <w:lang w:val="el-GR"/>
        </w:rPr>
      </w:pPr>
    </w:p>
    <w:p w:rsidR="00BF291C" w:rsidRPr="00873F9B" w:rsidRDefault="009A7105" w:rsidP="00AA11F5">
      <w:pPr>
        <w:jc w:val="both"/>
        <w:rPr>
          <w:szCs w:val="22"/>
          <w:u w:val="single"/>
          <w:lang w:val="el-GR"/>
        </w:rPr>
      </w:pPr>
      <w:r w:rsidRPr="00873F9B">
        <w:rPr>
          <w:szCs w:val="22"/>
          <w:u w:val="single"/>
          <w:lang w:val="el-GR"/>
        </w:rPr>
        <w:t>Ηλικιωμένοι</w:t>
      </w:r>
    </w:p>
    <w:p w:rsidR="00BF291C" w:rsidRPr="00873F9B" w:rsidRDefault="009A7105" w:rsidP="00AA11F5">
      <w:pPr>
        <w:jc w:val="both"/>
        <w:rPr>
          <w:szCs w:val="22"/>
          <w:lang w:val="el-GR"/>
        </w:rPr>
      </w:pPr>
      <w:r w:rsidRPr="00873F9B">
        <w:rPr>
          <w:rFonts w:eastAsia="PMingLiU"/>
          <w:color w:val="000000"/>
          <w:szCs w:val="22"/>
          <w:lang w:val="el-GR" w:eastAsia="zh-TW"/>
        </w:rPr>
        <w:t>Δε χρειάζεται προσαρμογή της δοσολογίας σε ηλικιωμένους ασθενείς</w:t>
      </w:r>
      <w:r w:rsidR="00BF291C" w:rsidRPr="00873F9B">
        <w:rPr>
          <w:szCs w:val="22"/>
          <w:lang w:val="el-GR"/>
        </w:rPr>
        <w:t>.</w:t>
      </w:r>
    </w:p>
    <w:p w:rsidR="00BF291C" w:rsidRPr="00873F9B" w:rsidRDefault="00BF291C" w:rsidP="00AA11F5">
      <w:pPr>
        <w:jc w:val="both"/>
        <w:rPr>
          <w:szCs w:val="22"/>
          <w:lang w:val="el-GR"/>
        </w:rPr>
      </w:pPr>
    </w:p>
    <w:p w:rsidR="009A7105" w:rsidRPr="00873F9B" w:rsidRDefault="009A7105" w:rsidP="00AA11F5">
      <w:pPr>
        <w:autoSpaceDE w:val="0"/>
        <w:autoSpaceDN w:val="0"/>
        <w:adjustRightInd w:val="0"/>
        <w:jc w:val="both"/>
        <w:rPr>
          <w:rFonts w:eastAsia="PMingLiU"/>
          <w:color w:val="000000"/>
          <w:szCs w:val="22"/>
          <w:lang w:val="el-GR" w:eastAsia="zh-TW"/>
        </w:rPr>
      </w:pPr>
      <w:r w:rsidRPr="00873F9B">
        <w:rPr>
          <w:rFonts w:eastAsia="PMingLiU"/>
          <w:color w:val="000000"/>
          <w:szCs w:val="22"/>
          <w:u w:val="single"/>
          <w:lang w:val="el-GR" w:eastAsia="zh-TW"/>
        </w:rPr>
        <w:t xml:space="preserve">Νεφρική δυσλειτουργία </w:t>
      </w:r>
    </w:p>
    <w:p w:rsidR="00522F16" w:rsidRPr="00522F16" w:rsidRDefault="009A7105" w:rsidP="00522F16">
      <w:pPr>
        <w:jc w:val="both"/>
        <w:rPr>
          <w:rFonts w:eastAsia="PMingLiU"/>
          <w:color w:val="000000"/>
          <w:szCs w:val="22"/>
          <w:lang w:val="el-GR" w:eastAsia="zh-TW"/>
        </w:rPr>
      </w:pPr>
      <w:r w:rsidRPr="00873F9B">
        <w:rPr>
          <w:rFonts w:eastAsia="PMingLiU"/>
          <w:color w:val="000000"/>
          <w:szCs w:val="22"/>
          <w:lang w:val="el-GR" w:eastAsia="zh-TW"/>
        </w:rPr>
        <w:lastRenderedPageBreak/>
        <w:t>Δε χρειάζεται προσαρμογή της δοσολογίας για ασθενείς με κάθαρση κρεατινίνης &gt;10ml/λεπτό (βλ. παραγράφους 4.4 και 5.2).</w:t>
      </w:r>
      <w:r w:rsidR="00522F16" w:rsidRPr="0090068E">
        <w:rPr>
          <w:lang w:val="el-GR"/>
        </w:rPr>
        <w:t xml:space="preserve"> </w:t>
      </w:r>
      <w:r w:rsidR="00522F16">
        <w:rPr>
          <w:rFonts w:eastAsia="PMingLiU"/>
          <w:color w:val="000000"/>
          <w:szCs w:val="22"/>
          <w:lang w:val="el-GR" w:eastAsia="zh-TW"/>
        </w:rPr>
        <w:t>Τ</w:t>
      </w:r>
      <w:r w:rsidR="00522F16" w:rsidRPr="00522F16">
        <w:rPr>
          <w:rFonts w:eastAsia="PMingLiU"/>
          <w:color w:val="000000"/>
          <w:szCs w:val="22"/>
          <w:lang w:val="el-GR" w:eastAsia="zh-TW"/>
        </w:rPr>
        <w:t>αυτόχρονη χορήγηση βαλσαρτάνης με αλισκιρένη αντενδείκνυται σε ασθενείς με νεφρική δυσλειτουργία (GFR &lt;60 mL/min/1.73 m</w:t>
      </w:r>
      <w:r w:rsidR="00522F16" w:rsidRPr="00522F16">
        <w:rPr>
          <w:rFonts w:eastAsia="PMingLiU"/>
          <w:color w:val="000000"/>
          <w:szCs w:val="22"/>
          <w:vertAlign w:val="superscript"/>
          <w:lang w:val="el-GR" w:eastAsia="zh-TW"/>
        </w:rPr>
        <w:t>2</w:t>
      </w:r>
      <w:r w:rsidR="00522F16" w:rsidRPr="00522F16">
        <w:rPr>
          <w:rFonts w:eastAsia="PMingLiU"/>
          <w:color w:val="000000"/>
          <w:szCs w:val="22"/>
          <w:lang w:val="el-GR" w:eastAsia="zh-TW"/>
        </w:rPr>
        <w:t>) (βλ. παράγραφο 4.3).</w:t>
      </w:r>
    </w:p>
    <w:p w:rsidR="00522F16" w:rsidRPr="00522F16" w:rsidRDefault="00522F16" w:rsidP="00522F16">
      <w:pPr>
        <w:jc w:val="both"/>
        <w:rPr>
          <w:rFonts w:eastAsia="PMingLiU"/>
          <w:color w:val="000000"/>
          <w:szCs w:val="22"/>
          <w:lang w:val="el-GR" w:eastAsia="zh-TW"/>
        </w:rPr>
      </w:pPr>
    </w:p>
    <w:p w:rsidR="00522F16" w:rsidRPr="00522F16" w:rsidRDefault="00522F16" w:rsidP="00522F16">
      <w:pPr>
        <w:autoSpaceDE w:val="0"/>
        <w:autoSpaceDN w:val="0"/>
        <w:adjustRightInd w:val="0"/>
        <w:jc w:val="both"/>
        <w:rPr>
          <w:rFonts w:eastAsia="PMingLiU"/>
          <w:color w:val="000000"/>
          <w:szCs w:val="22"/>
          <w:u w:val="single"/>
          <w:lang w:val="el-GR" w:eastAsia="zh-TW"/>
        </w:rPr>
      </w:pPr>
      <w:r w:rsidRPr="00522F16">
        <w:rPr>
          <w:rFonts w:eastAsia="PMingLiU"/>
          <w:color w:val="000000"/>
          <w:szCs w:val="22"/>
          <w:u w:val="single"/>
          <w:lang w:val="el-GR" w:eastAsia="zh-TW"/>
        </w:rPr>
        <w:t>Σακχαρώδης Διαβήτης</w:t>
      </w:r>
    </w:p>
    <w:p w:rsidR="009A7105" w:rsidRPr="00873F9B" w:rsidRDefault="00522F16" w:rsidP="00522F16">
      <w:pPr>
        <w:jc w:val="both"/>
        <w:rPr>
          <w:szCs w:val="22"/>
          <w:u w:val="single"/>
          <w:lang w:val="el-GR"/>
        </w:rPr>
      </w:pPr>
      <w:r w:rsidRPr="00522F16">
        <w:rPr>
          <w:rFonts w:eastAsia="PMingLiU"/>
          <w:color w:val="000000"/>
          <w:szCs w:val="22"/>
          <w:lang w:val="el-GR" w:eastAsia="zh-TW"/>
        </w:rPr>
        <w:t>Ταυτόχρονη χορήγηση βαλσαρτάνης με αλισκιρένη αντενδείκνυται σε ασθενείς με σακχαρώδη διαβήτη (βλέπε παράγραφο 4.3</w:t>
      </w:r>
      <w:r>
        <w:rPr>
          <w:rFonts w:eastAsia="PMingLiU"/>
          <w:color w:val="000000"/>
          <w:szCs w:val="22"/>
          <w:lang w:val="el-GR" w:eastAsia="zh-TW"/>
        </w:rPr>
        <w:t>).</w:t>
      </w:r>
    </w:p>
    <w:p w:rsidR="00916DC9" w:rsidRPr="00873F9B" w:rsidRDefault="00916DC9" w:rsidP="00AA11F5">
      <w:pPr>
        <w:jc w:val="both"/>
        <w:rPr>
          <w:szCs w:val="22"/>
          <w:u w:val="single"/>
          <w:lang w:val="el-GR"/>
        </w:rPr>
      </w:pPr>
    </w:p>
    <w:p w:rsidR="00916DC9" w:rsidRPr="00873F9B" w:rsidRDefault="00916DC9" w:rsidP="00AA11F5">
      <w:pPr>
        <w:autoSpaceDE w:val="0"/>
        <w:autoSpaceDN w:val="0"/>
        <w:adjustRightInd w:val="0"/>
        <w:jc w:val="both"/>
        <w:rPr>
          <w:rFonts w:eastAsia="PMingLiU"/>
          <w:color w:val="000000"/>
          <w:szCs w:val="22"/>
          <w:lang w:val="el-GR" w:eastAsia="zh-TW"/>
        </w:rPr>
      </w:pPr>
      <w:r w:rsidRPr="00873F9B">
        <w:rPr>
          <w:rFonts w:eastAsia="PMingLiU"/>
          <w:color w:val="000000"/>
          <w:szCs w:val="22"/>
          <w:u w:val="single"/>
          <w:lang w:val="el-GR" w:eastAsia="zh-TW"/>
        </w:rPr>
        <w:t xml:space="preserve">Ηπατική δυσλειτουργία </w:t>
      </w:r>
    </w:p>
    <w:p w:rsidR="00916DC9" w:rsidRPr="00873F9B" w:rsidRDefault="00916DC9" w:rsidP="00AA11F5">
      <w:pPr>
        <w:jc w:val="both"/>
        <w:rPr>
          <w:szCs w:val="22"/>
          <w:u w:val="single"/>
          <w:lang w:val="el-GR"/>
        </w:rPr>
      </w:pPr>
      <w:r w:rsidRPr="00873F9B">
        <w:rPr>
          <w:rFonts w:eastAsia="PMingLiU"/>
          <w:color w:val="000000"/>
          <w:szCs w:val="22"/>
          <w:lang w:val="el-GR" w:eastAsia="zh-TW"/>
        </w:rPr>
        <w:t xml:space="preserve">Η βαλσαρτάνη αντενδείκνυται σε ασθενείς με βαριά ηπατική δυσλειτουργία, χολική κίρρωση και σε ασθενείς με χολόσταση (βλ. παραγράφους 4.3 και 4.4). Σε ασθενείς με ήπια έως μέτρια ηπατική ανεπάρκεια χωρίς χολόσταση, η δόση της βαλσαρτάνης δεν πρέπει να υπερβαίνει τα 80 mg. </w:t>
      </w:r>
    </w:p>
    <w:p w:rsidR="00BF291C" w:rsidRPr="00873F9B" w:rsidRDefault="00BF291C" w:rsidP="00AA11F5">
      <w:pPr>
        <w:jc w:val="both"/>
        <w:rPr>
          <w:szCs w:val="22"/>
        </w:rPr>
      </w:pPr>
    </w:p>
    <w:p w:rsidR="00BF291C" w:rsidRPr="0090068E" w:rsidRDefault="0091502A" w:rsidP="00AA11F5">
      <w:pPr>
        <w:jc w:val="both"/>
        <w:rPr>
          <w:iCs/>
          <w:szCs w:val="22"/>
          <w:u w:val="single"/>
          <w:lang w:val="el-GR"/>
        </w:rPr>
      </w:pPr>
      <w:r w:rsidRPr="0090068E">
        <w:rPr>
          <w:szCs w:val="22"/>
          <w:u w:val="single"/>
        </w:rPr>
        <w:t>Παιδιατρι</w:t>
      </w:r>
      <w:r w:rsidR="008248D9" w:rsidRPr="0090068E">
        <w:rPr>
          <w:szCs w:val="22"/>
          <w:u w:val="single"/>
          <w:lang w:val="el-GR"/>
        </w:rPr>
        <w:t>κός πληθυσμός</w:t>
      </w:r>
    </w:p>
    <w:p w:rsidR="00BF291C" w:rsidRPr="00873F9B" w:rsidRDefault="00BF291C" w:rsidP="00AA11F5">
      <w:pPr>
        <w:jc w:val="both"/>
        <w:rPr>
          <w:i/>
          <w:iCs/>
          <w:szCs w:val="22"/>
          <w:u w:val="single"/>
        </w:rPr>
      </w:pPr>
    </w:p>
    <w:p w:rsidR="00BF291C" w:rsidRPr="00873F9B" w:rsidRDefault="008248D9" w:rsidP="00AA11F5">
      <w:pPr>
        <w:jc w:val="both"/>
        <w:rPr>
          <w:iCs/>
          <w:szCs w:val="22"/>
          <w:u w:val="single"/>
        </w:rPr>
      </w:pPr>
      <w:r w:rsidRPr="00873F9B">
        <w:rPr>
          <w:iCs/>
          <w:szCs w:val="22"/>
          <w:u w:val="single"/>
          <w:lang w:val="el-GR"/>
        </w:rPr>
        <w:t>Παιδιατρική υπέρταση</w:t>
      </w:r>
    </w:p>
    <w:p w:rsidR="00BC0A9E" w:rsidRPr="00873F9B" w:rsidRDefault="00BC0A9E" w:rsidP="00AA11F5">
      <w:pPr>
        <w:jc w:val="both"/>
        <w:rPr>
          <w:i/>
          <w:szCs w:val="22"/>
          <w:lang w:val="el-GR"/>
        </w:rPr>
      </w:pPr>
      <w:r w:rsidRPr="00873F9B">
        <w:rPr>
          <w:i/>
          <w:szCs w:val="22"/>
          <w:lang w:val="el-GR"/>
        </w:rPr>
        <w:t>Παιδιά και έφηβοι ηλικίας 6 έως 18 ετών</w:t>
      </w:r>
    </w:p>
    <w:p w:rsidR="00BF291C" w:rsidRPr="00873F9B" w:rsidRDefault="00707A41" w:rsidP="00AA11F5">
      <w:pPr>
        <w:autoSpaceDE w:val="0"/>
        <w:autoSpaceDN w:val="0"/>
        <w:adjustRightInd w:val="0"/>
        <w:jc w:val="both"/>
        <w:rPr>
          <w:szCs w:val="22"/>
          <w:lang w:val="el-GR"/>
        </w:rPr>
      </w:pPr>
      <w:r w:rsidRPr="00873F9B">
        <w:rPr>
          <w:szCs w:val="22"/>
          <w:lang w:val="el-GR"/>
        </w:rPr>
        <w:t xml:space="preserve">Η </w:t>
      </w:r>
      <w:r w:rsidR="00805D01" w:rsidRPr="00873F9B">
        <w:rPr>
          <w:szCs w:val="22"/>
          <w:lang w:val="el-GR"/>
        </w:rPr>
        <w:t xml:space="preserve">αρχική </w:t>
      </w:r>
      <w:r w:rsidRPr="00873F9B">
        <w:rPr>
          <w:szCs w:val="22"/>
          <w:lang w:val="el-GR"/>
        </w:rPr>
        <w:t>δόση είναι</w:t>
      </w:r>
      <w:r w:rsidR="00BF291C" w:rsidRPr="00873F9B">
        <w:rPr>
          <w:szCs w:val="22"/>
          <w:lang w:val="el-GR"/>
        </w:rPr>
        <w:t xml:space="preserve"> 40</w:t>
      </w:r>
      <w:r w:rsidR="00BF291C" w:rsidRPr="00873F9B">
        <w:rPr>
          <w:szCs w:val="22"/>
        </w:rPr>
        <w:t> mg</w:t>
      </w:r>
      <w:r w:rsidR="00BF291C" w:rsidRPr="00873F9B">
        <w:rPr>
          <w:szCs w:val="22"/>
          <w:lang w:val="el-GR"/>
        </w:rPr>
        <w:t xml:space="preserve"> </w:t>
      </w:r>
      <w:r w:rsidR="00805D01" w:rsidRPr="00873F9B">
        <w:rPr>
          <w:szCs w:val="22"/>
          <w:lang w:val="el-GR"/>
        </w:rPr>
        <w:t>άπαξ</w:t>
      </w:r>
      <w:r w:rsidRPr="00873F9B">
        <w:rPr>
          <w:szCs w:val="22"/>
          <w:lang w:val="el-GR"/>
        </w:rPr>
        <w:t xml:space="preserve"> ημ</w:t>
      </w:r>
      <w:r w:rsidR="00805D01" w:rsidRPr="00873F9B">
        <w:rPr>
          <w:szCs w:val="22"/>
          <w:lang w:val="el-GR"/>
        </w:rPr>
        <w:t>ερησίως</w:t>
      </w:r>
      <w:r w:rsidRPr="00873F9B">
        <w:rPr>
          <w:szCs w:val="22"/>
          <w:lang w:val="el-GR"/>
        </w:rPr>
        <w:t xml:space="preserve"> για παιδιά </w:t>
      </w:r>
      <w:r w:rsidR="00805D01" w:rsidRPr="00873F9B">
        <w:rPr>
          <w:szCs w:val="22"/>
          <w:lang w:val="el-GR"/>
        </w:rPr>
        <w:t xml:space="preserve">που ζυγίζουν λιγότερο από </w:t>
      </w:r>
      <w:r w:rsidR="00BF291C" w:rsidRPr="00873F9B">
        <w:rPr>
          <w:szCs w:val="22"/>
          <w:lang w:val="el-GR"/>
        </w:rPr>
        <w:t>35</w:t>
      </w:r>
      <w:r w:rsidR="00BF291C" w:rsidRPr="00873F9B">
        <w:rPr>
          <w:szCs w:val="22"/>
        </w:rPr>
        <w:t> kg</w:t>
      </w:r>
      <w:r w:rsidR="00BF291C" w:rsidRPr="00873F9B">
        <w:rPr>
          <w:szCs w:val="22"/>
          <w:lang w:val="el-GR"/>
        </w:rPr>
        <w:t xml:space="preserve"> </w:t>
      </w:r>
      <w:r w:rsidRPr="00873F9B">
        <w:rPr>
          <w:szCs w:val="22"/>
          <w:lang w:val="el-GR"/>
        </w:rPr>
        <w:t>και</w:t>
      </w:r>
      <w:r w:rsidR="00BF291C" w:rsidRPr="00873F9B">
        <w:rPr>
          <w:szCs w:val="22"/>
          <w:lang w:val="el-GR"/>
        </w:rPr>
        <w:t xml:space="preserve"> 80</w:t>
      </w:r>
      <w:r w:rsidR="00BF291C" w:rsidRPr="00873F9B">
        <w:rPr>
          <w:szCs w:val="22"/>
        </w:rPr>
        <w:t> mg</w:t>
      </w:r>
      <w:r w:rsidR="00BF291C" w:rsidRPr="00873F9B">
        <w:rPr>
          <w:szCs w:val="22"/>
          <w:lang w:val="el-GR"/>
        </w:rPr>
        <w:t xml:space="preserve"> </w:t>
      </w:r>
      <w:r w:rsidR="00805D01" w:rsidRPr="00873F9B">
        <w:rPr>
          <w:szCs w:val="22"/>
          <w:lang w:val="el-GR"/>
        </w:rPr>
        <w:t>άπαξ ημερησίως</w:t>
      </w:r>
      <w:r w:rsidR="00BF291C" w:rsidRPr="00873F9B">
        <w:rPr>
          <w:szCs w:val="22"/>
          <w:lang w:val="el-GR"/>
        </w:rPr>
        <w:t xml:space="preserve"> </w:t>
      </w:r>
      <w:r w:rsidR="00805D01" w:rsidRPr="00873F9B">
        <w:rPr>
          <w:szCs w:val="22"/>
          <w:lang w:val="el-GR"/>
        </w:rPr>
        <w:t>για εκείνα που ζυγίζουν</w:t>
      </w:r>
      <w:r w:rsidR="00BF291C" w:rsidRPr="00873F9B">
        <w:rPr>
          <w:szCs w:val="22"/>
          <w:lang w:val="el-GR"/>
        </w:rPr>
        <w:t xml:space="preserve"> 35</w:t>
      </w:r>
      <w:r w:rsidR="00BF291C" w:rsidRPr="00873F9B">
        <w:rPr>
          <w:szCs w:val="22"/>
        </w:rPr>
        <w:t> kg</w:t>
      </w:r>
      <w:r w:rsidR="00BF291C" w:rsidRPr="00873F9B">
        <w:rPr>
          <w:szCs w:val="22"/>
          <w:lang w:val="el-GR"/>
        </w:rPr>
        <w:t xml:space="preserve"> </w:t>
      </w:r>
      <w:r w:rsidR="00805D01" w:rsidRPr="00873F9B">
        <w:rPr>
          <w:szCs w:val="22"/>
          <w:lang w:val="el-GR"/>
        </w:rPr>
        <w:t>ή περισσότερο</w:t>
      </w:r>
      <w:r w:rsidR="00BF291C" w:rsidRPr="00873F9B">
        <w:rPr>
          <w:szCs w:val="22"/>
          <w:lang w:val="el-GR"/>
        </w:rPr>
        <w:t>.</w:t>
      </w:r>
      <w:r w:rsidR="00805D01" w:rsidRPr="00873F9B">
        <w:rPr>
          <w:szCs w:val="22"/>
          <w:lang w:val="el-GR"/>
        </w:rPr>
        <w:t xml:space="preserve"> </w:t>
      </w:r>
      <w:r w:rsidR="00805D01" w:rsidRPr="00873F9B">
        <w:rPr>
          <w:rFonts w:eastAsia="PMingLiU"/>
          <w:szCs w:val="22"/>
          <w:lang w:val="el-GR" w:eastAsia="zh-TW"/>
        </w:rPr>
        <w:t>Η δόση πρέπει να αναπροσαρμόζεται με βάση την ανταπόκριση της αρτηριακής πίεσης.</w:t>
      </w:r>
      <w:r w:rsidR="00BF291C" w:rsidRPr="00873F9B">
        <w:rPr>
          <w:szCs w:val="22"/>
          <w:lang w:val="el-GR"/>
        </w:rPr>
        <w:t xml:space="preserve"> </w:t>
      </w:r>
      <w:r w:rsidR="00DC7A22" w:rsidRPr="00873F9B">
        <w:rPr>
          <w:szCs w:val="22"/>
          <w:lang w:val="el-GR"/>
        </w:rPr>
        <w:t>Για τις μέγιστες δόσεις που μελετ</w:t>
      </w:r>
      <w:r w:rsidR="008248D9" w:rsidRPr="00873F9B">
        <w:rPr>
          <w:szCs w:val="22"/>
          <w:lang w:val="el-GR"/>
        </w:rPr>
        <w:t>ήθηκαν</w:t>
      </w:r>
      <w:r w:rsidR="00DC7A22" w:rsidRPr="00873F9B">
        <w:rPr>
          <w:szCs w:val="22"/>
          <w:lang w:val="el-GR"/>
        </w:rPr>
        <w:t xml:space="preserve"> σε κλινικές δοκιμές</w:t>
      </w:r>
      <w:r w:rsidR="008248D9" w:rsidRPr="00873F9B">
        <w:rPr>
          <w:szCs w:val="22"/>
          <w:lang w:val="el-GR"/>
        </w:rPr>
        <w:t>,</w:t>
      </w:r>
      <w:r w:rsidR="00DC7A22" w:rsidRPr="00873F9B">
        <w:rPr>
          <w:szCs w:val="22"/>
          <w:lang w:val="el-GR"/>
        </w:rPr>
        <w:t xml:space="preserve"> μπορείτε να ανατρέξετε στον παρακάτω πίνακα.</w:t>
      </w:r>
      <w:r w:rsidR="00DC7A22" w:rsidRPr="00873F9B">
        <w:rPr>
          <w:szCs w:val="22"/>
          <w:lang w:val="el-GR"/>
        </w:rPr>
        <w:br/>
        <w:t>Δόσεις υψηλότερες από εκείνες που αναφέρονται</w:t>
      </w:r>
      <w:r w:rsidR="008248D9" w:rsidRPr="00873F9B">
        <w:rPr>
          <w:szCs w:val="22"/>
          <w:lang w:val="el-GR"/>
        </w:rPr>
        <w:t>,</w:t>
      </w:r>
      <w:r w:rsidR="00DC7A22" w:rsidRPr="00873F9B">
        <w:rPr>
          <w:szCs w:val="22"/>
          <w:lang w:val="el-GR"/>
        </w:rPr>
        <w:t xml:space="preserve"> δεν έχουν μελετηθεί και επομένως</w:t>
      </w:r>
      <w:r w:rsidR="008248D9" w:rsidRPr="00873F9B">
        <w:rPr>
          <w:szCs w:val="22"/>
          <w:lang w:val="el-GR"/>
        </w:rPr>
        <w:t>,</w:t>
      </w:r>
      <w:r w:rsidR="00DC7A22" w:rsidRPr="00873F9B">
        <w:rPr>
          <w:szCs w:val="22"/>
          <w:lang w:val="el-GR"/>
        </w:rPr>
        <w:t xml:space="preserve"> δεν συνιστώνται</w:t>
      </w:r>
      <w:r w:rsidR="008248D9" w:rsidRPr="00873F9B">
        <w:rPr>
          <w:szCs w:val="22"/>
          <w:lang w:val="el-GR"/>
        </w:rPr>
        <w:t>.</w:t>
      </w:r>
    </w:p>
    <w:p w:rsidR="00BF291C" w:rsidRPr="00873F9B" w:rsidRDefault="00BF291C" w:rsidP="00AA11F5">
      <w:pPr>
        <w:jc w:val="both"/>
        <w:rPr>
          <w:szCs w:val="22"/>
          <w:lang w:val="el-GR"/>
        </w:rPr>
      </w:pPr>
    </w:p>
    <w:tbl>
      <w:tblPr>
        <w:tblW w:w="0" w:type="auto"/>
        <w:tblInd w:w="959" w:type="dxa"/>
        <w:tblLook w:val="01E0"/>
      </w:tblPr>
      <w:tblGrid>
        <w:gridCol w:w="2315"/>
        <w:gridCol w:w="3780"/>
      </w:tblGrid>
      <w:tr w:rsidR="00BF291C" w:rsidRPr="00873F9B" w:rsidTr="007A5F0C">
        <w:tc>
          <w:tcPr>
            <w:tcW w:w="2315" w:type="dxa"/>
          </w:tcPr>
          <w:p w:rsidR="00BF291C" w:rsidRPr="00873F9B" w:rsidRDefault="001D5461" w:rsidP="00AA11F5">
            <w:pPr>
              <w:jc w:val="both"/>
              <w:rPr>
                <w:szCs w:val="22"/>
                <w:lang w:val="el-GR"/>
              </w:rPr>
            </w:pPr>
            <w:r w:rsidRPr="00873F9B">
              <w:rPr>
                <w:szCs w:val="22"/>
                <w:lang w:val="el-GR"/>
              </w:rPr>
              <w:t>Βάρος</w:t>
            </w:r>
          </w:p>
        </w:tc>
        <w:tc>
          <w:tcPr>
            <w:tcW w:w="3780" w:type="dxa"/>
          </w:tcPr>
          <w:p w:rsidR="00BF291C" w:rsidRPr="00873F9B" w:rsidRDefault="001D5461" w:rsidP="00AA11F5">
            <w:pPr>
              <w:jc w:val="both"/>
              <w:rPr>
                <w:szCs w:val="22"/>
                <w:lang w:val="el-GR"/>
              </w:rPr>
            </w:pPr>
            <w:r w:rsidRPr="00873F9B">
              <w:rPr>
                <w:szCs w:val="22"/>
                <w:lang w:val="el-GR"/>
              </w:rPr>
              <w:t>Μέγιστη δόση που μελετήθηκε σε κλινικές μελέτες</w:t>
            </w:r>
          </w:p>
        </w:tc>
      </w:tr>
      <w:tr w:rsidR="00BF291C" w:rsidRPr="00873F9B" w:rsidTr="007A5F0C">
        <w:tc>
          <w:tcPr>
            <w:tcW w:w="2315" w:type="dxa"/>
          </w:tcPr>
          <w:p w:rsidR="00BF291C" w:rsidRPr="00873F9B" w:rsidRDefault="00BF291C" w:rsidP="00AA11F5">
            <w:pPr>
              <w:jc w:val="both"/>
              <w:rPr>
                <w:szCs w:val="22"/>
              </w:rPr>
            </w:pPr>
            <w:r w:rsidRPr="00873F9B">
              <w:rPr>
                <w:szCs w:val="22"/>
              </w:rPr>
              <w:t xml:space="preserve">≥18 kg </w:t>
            </w:r>
            <w:r w:rsidR="001D5461" w:rsidRPr="00873F9B">
              <w:rPr>
                <w:szCs w:val="22"/>
                <w:lang w:val="el-GR"/>
              </w:rPr>
              <w:t>έως</w:t>
            </w:r>
            <w:r w:rsidRPr="00873F9B">
              <w:rPr>
                <w:szCs w:val="22"/>
              </w:rPr>
              <w:t xml:space="preserve"> &lt;35 kg</w:t>
            </w:r>
          </w:p>
        </w:tc>
        <w:tc>
          <w:tcPr>
            <w:tcW w:w="3780" w:type="dxa"/>
          </w:tcPr>
          <w:p w:rsidR="00BF291C" w:rsidRPr="00873F9B" w:rsidRDefault="00BF291C" w:rsidP="00AA11F5">
            <w:pPr>
              <w:jc w:val="both"/>
              <w:rPr>
                <w:szCs w:val="22"/>
              </w:rPr>
            </w:pPr>
            <w:r w:rsidRPr="00873F9B">
              <w:rPr>
                <w:szCs w:val="22"/>
              </w:rPr>
              <w:t>80 mg</w:t>
            </w:r>
          </w:p>
        </w:tc>
      </w:tr>
      <w:tr w:rsidR="00BF291C" w:rsidRPr="00873F9B" w:rsidTr="007A5F0C">
        <w:tc>
          <w:tcPr>
            <w:tcW w:w="2315" w:type="dxa"/>
          </w:tcPr>
          <w:p w:rsidR="00BF291C" w:rsidRPr="00873F9B" w:rsidRDefault="00BF291C" w:rsidP="00AA11F5">
            <w:pPr>
              <w:jc w:val="both"/>
              <w:rPr>
                <w:szCs w:val="22"/>
              </w:rPr>
            </w:pPr>
            <w:r w:rsidRPr="00873F9B">
              <w:rPr>
                <w:szCs w:val="22"/>
              </w:rPr>
              <w:t xml:space="preserve">≥35 kg </w:t>
            </w:r>
            <w:r w:rsidR="001D5461" w:rsidRPr="00873F9B">
              <w:rPr>
                <w:szCs w:val="22"/>
                <w:lang w:val="el-GR"/>
              </w:rPr>
              <w:t>έως</w:t>
            </w:r>
            <w:r w:rsidR="001D5461" w:rsidRPr="00873F9B">
              <w:rPr>
                <w:szCs w:val="22"/>
              </w:rPr>
              <w:t xml:space="preserve"> </w:t>
            </w:r>
            <w:r w:rsidRPr="00873F9B">
              <w:rPr>
                <w:szCs w:val="22"/>
              </w:rPr>
              <w:t>&lt;80 kg</w:t>
            </w:r>
          </w:p>
        </w:tc>
        <w:tc>
          <w:tcPr>
            <w:tcW w:w="3780" w:type="dxa"/>
          </w:tcPr>
          <w:p w:rsidR="00BF291C" w:rsidRPr="00873F9B" w:rsidRDefault="00BF291C" w:rsidP="00AA11F5">
            <w:pPr>
              <w:jc w:val="both"/>
              <w:rPr>
                <w:szCs w:val="22"/>
              </w:rPr>
            </w:pPr>
            <w:r w:rsidRPr="00873F9B">
              <w:rPr>
                <w:szCs w:val="22"/>
              </w:rPr>
              <w:t>160 mg</w:t>
            </w:r>
          </w:p>
        </w:tc>
      </w:tr>
      <w:tr w:rsidR="00BF291C" w:rsidRPr="00873F9B" w:rsidTr="007A5F0C">
        <w:tc>
          <w:tcPr>
            <w:tcW w:w="2315" w:type="dxa"/>
          </w:tcPr>
          <w:p w:rsidR="00BF291C" w:rsidRPr="00873F9B" w:rsidRDefault="00BF291C" w:rsidP="00AA11F5">
            <w:pPr>
              <w:jc w:val="both"/>
              <w:rPr>
                <w:szCs w:val="22"/>
              </w:rPr>
            </w:pPr>
            <w:r w:rsidRPr="00873F9B">
              <w:rPr>
                <w:szCs w:val="22"/>
              </w:rPr>
              <w:t xml:space="preserve">≥80 kg </w:t>
            </w:r>
            <w:r w:rsidR="001D5461" w:rsidRPr="00873F9B">
              <w:rPr>
                <w:szCs w:val="22"/>
                <w:lang w:val="el-GR"/>
              </w:rPr>
              <w:t>έως</w:t>
            </w:r>
            <w:r w:rsidR="001D5461" w:rsidRPr="00873F9B">
              <w:rPr>
                <w:szCs w:val="22"/>
              </w:rPr>
              <w:t xml:space="preserve"> </w:t>
            </w:r>
            <w:r w:rsidRPr="00873F9B">
              <w:rPr>
                <w:szCs w:val="22"/>
              </w:rPr>
              <w:t>≤160 kg</w:t>
            </w:r>
          </w:p>
        </w:tc>
        <w:tc>
          <w:tcPr>
            <w:tcW w:w="3780" w:type="dxa"/>
          </w:tcPr>
          <w:p w:rsidR="00BF291C" w:rsidRPr="00873F9B" w:rsidRDefault="00BF291C" w:rsidP="00AA11F5">
            <w:pPr>
              <w:jc w:val="both"/>
              <w:rPr>
                <w:szCs w:val="22"/>
              </w:rPr>
            </w:pPr>
            <w:r w:rsidRPr="00873F9B">
              <w:rPr>
                <w:szCs w:val="22"/>
              </w:rPr>
              <w:t>320 mg</w:t>
            </w:r>
          </w:p>
        </w:tc>
      </w:tr>
    </w:tbl>
    <w:p w:rsidR="00BF291C" w:rsidRPr="00873F9B" w:rsidRDefault="00BF291C" w:rsidP="00AA11F5">
      <w:pPr>
        <w:jc w:val="both"/>
        <w:rPr>
          <w:szCs w:val="22"/>
        </w:rPr>
      </w:pPr>
    </w:p>
    <w:p w:rsidR="00BF291C" w:rsidRPr="00873F9B" w:rsidRDefault="00BF291C" w:rsidP="00AA11F5">
      <w:pPr>
        <w:jc w:val="both"/>
        <w:rPr>
          <w:szCs w:val="22"/>
        </w:rPr>
      </w:pPr>
    </w:p>
    <w:p w:rsidR="00BF291C" w:rsidRPr="00873F9B" w:rsidRDefault="008248D9" w:rsidP="00AA11F5">
      <w:pPr>
        <w:jc w:val="both"/>
        <w:rPr>
          <w:color w:val="000000"/>
          <w:szCs w:val="22"/>
          <w:lang w:val="el-GR"/>
        </w:rPr>
      </w:pPr>
      <w:r w:rsidRPr="00873F9B">
        <w:rPr>
          <w:i/>
          <w:szCs w:val="22"/>
          <w:lang w:val="el-GR"/>
        </w:rPr>
        <w:t xml:space="preserve">Παιδιά ηλικίας κάτω των </w:t>
      </w:r>
      <w:r w:rsidR="00BF291C" w:rsidRPr="00873F9B">
        <w:rPr>
          <w:i/>
          <w:color w:val="000000"/>
          <w:szCs w:val="22"/>
          <w:lang w:val="el-GR"/>
        </w:rPr>
        <w:t>6</w:t>
      </w:r>
      <w:r w:rsidR="00BF291C" w:rsidRPr="00873F9B">
        <w:rPr>
          <w:color w:val="000000"/>
          <w:szCs w:val="22"/>
        </w:rPr>
        <w:t> </w:t>
      </w:r>
      <w:r w:rsidRPr="00873F9B">
        <w:rPr>
          <w:i/>
          <w:color w:val="000000"/>
          <w:szCs w:val="22"/>
          <w:lang w:val="el-GR"/>
        </w:rPr>
        <w:t>ετών</w:t>
      </w:r>
    </w:p>
    <w:p w:rsidR="008248D9" w:rsidRPr="00873F9B" w:rsidRDefault="008248D9" w:rsidP="00AA11F5">
      <w:pPr>
        <w:autoSpaceDE w:val="0"/>
        <w:autoSpaceDN w:val="0"/>
        <w:adjustRightInd w:val="0"/>
        <w:jc w:val="both"/>
        <w:rPr>
          <w:color w:val="000000"/>
          <w:szCs w:val="22"/>
          <w:lang w:val="el-GR"/>
        </w:rPr>
      </w:pPr>
      <w:r w:rsidRPr="00873F9B">
        <w:rPr>
          <w:rFonts w:eastAsia="PMingLiU"/>
          <w:szCs w:val="22"/>
          <w:lang w:val="el-GR" w:eastAsia="zh-TW"/>
        </w:rPr>
        <w:t>Τα διαθέσιμα δεδομένα περιγράφονται στις παραγράφους 4.8, 5.1 και 5.2. Ωστόσο, η ασφάλεια και η</w:t>
      </w:r>
      <w:r w:rsidR="007A5F0C" w:rsidRPr="00873F9B">
        <w:rPr>
          <w:rFonts w:eastAsia="PMingLiU"/>
          <w:szCs w:val="22"/>
          <w:lang w:val="el-GR" w:eastAsia="zh-TW"/>
        </w:rPr>
        <w:t xml:space="preserve"> </w:t>
      </w:r>
      <w:r w:rsidRPr="00873F9B">
        <w:rPr>
          <w:rFonts w:eastAsia="PMingLiU"/>
          <w:szCs w:val="22"/>
          <w:lang w:val="el-GR" w:eastAsia="zh-TW"/>
        </w:rPr>
        <w:t>αποτελεσματικότητα της βαλσαρτάνης σε παιδιά ηλικίας 1 έως 6 ετών δεν έχουν τεκμηριωθεί.</w:t>
      </w:r>
    </w:p>
    <w:p w:rsidR="00BF291C" w:rsidRPr="00873F9B" w:rsidRDefault="00BF291C" w:rsidP="00AA11F5">
      <w:pPr>
        <w:jc w:val="both"/>
        <w:rPr>
          <w:color w:val="000000"/>
          <w:szCs w:val="22"/>
          <w:lang w:val="el-GR"/>
        </w:rPr>
      </w:pPr>
    </w:p>
    <w:p w:rsidR="00130385" w:rsidRPr="0090068E" w:rsidRDefault="00130385" w:rsidP="00AA11F5">
      <w:pPr>
        <w:autoSpaceDE w:val="0"/>
        <w:autoSpaceDN w:val="0"/>
        <w:adjustRightInd w:val="0"/>
        <w:jc w:val="both"/>
        <w:rPr>
          <w:color w:val="000000"/>
          <w:szCs w:val="22"/>
          <w:u w:val="single"/>
        </w:rPr>
      </w:pPr>
      <w:r w:rsidRPr="0090068E">
        <w:rPr>
          <w:color w:val="000000"/>
          <w:szCs w:val="22"/>
          <w:u w:val="single"/>
        </w:rPr>
        <w:t>Χρήση σε παιδιατρικούς ασθενείς ηλικίας 6 έως 18 ετών με νεφρική δυσλειτουργία</w:t>
      </w:r>
    </w:p>
    <w:p w:rsidR="00130385" w:rsidRPr="00873F9B" w:rsidRDefault="00130385" w:rsidP="00AA11F5">
      <w:pPr>
        <w:autoSpaceDE w:val="0"/>
        <w:autoSpaceDN w:val="0"/>
        <w:adjustRightInd w:val="0"/>
        <w:jc w:val="both"/>
        <w:rPr>
          <w:i/>
          <w:color w:val="000000"/>
          <w:szCs w:val="22"/>
          <w:u w:val="single"/>
          <w:lang w:val="el-GR"/>
        </w:rPr>
      </w:pPr>
      <w:r w:rsidRPr="00873F9B">
        <w:rPr>
          <w:rFonts w:eastAsia="PMingLiU"/>
          <w:szCs w:val="22"/>
          <w:lang w:val="el-GR" w:eastAsia="zh-TW"/>
        </w:rPr>
        <w:t>Χρήση σε παιδιατρικούς ασθενείς με κάθαρση κρεατινίνης &lt;30 ml/min και παιδιατρικούς ασθενείς</w:t>
      </w:r>
      <w:r w:rsidR="007A5F0C" w:rsidRPr="00873F9B">
        <w:rPr>
          <w:rFonts w:eastAsia="PMingLiU"/>
          <w:szCs w:val="22"/>
          <w:lang w:val="el-GR" w:eastAsia="zh-TW"/>
        </w:rPr>
        <w:t xml:space="preserve"> </w:t>
      </w:r>
      <w:r w:rsidRPr="00873F9B">
        <w:rPr>
          <w:rFonts w:eastAsia="PMingLiU"/>
          <w:szCs w:val="22"/>
          <w:lang w:val="el-GR" w:eastAsia="zh-TW"/>
        </w:rPr>
        <w:t xml:space="preserve">που υποβάλλονται σε διύλιση δεν έχει μελετηθεί, επομένως η βαλσαρτάνη δε συνιστάται σε </w:t>
      </w:r>
      <w:r w:rsidR="007A5F0C" w:rsidRPr="00873F9B">
        <w:rPr>
          <w:rFonts w:eastAsia="PMingLiU"/>
          <w:szCs w:val="22"/>
          <w:lang w:val="el-GR" w:eastAsia="zh-TW"/>
        </w:rPr>
        <w:t xml:space="preserve">αυτούς </w:t>
      </w:r>
      <w:r w:rsidRPr="00873F9B">
        <w:rPr>
          <w:rFonts w:eastAsia="PMingLiU"/>
          <w:szCs w:val="22"/>
          <w:lang w:val="el-GR" w:eastAsia="zh-TW"/>
        </w:rPr>
        <w:t>τους ασθενείς. Δεν απαιτείται αναπροσαρμογή της δόσης για παιδιατρικούς ασθενείς με κάθαρση</w:t>
      </w:r>
      <w:r w:rsidR="007A5F0C" w:rsidRPr="00873F9B">
        <w:rPr>
          <w:rFonts w:eastAsia="PMingLiU"/>
          <w:szCs w:val="22"/>
          <w:lang w:val="el-GR" w:eastAsia="zh-TW"/>
        </w:rPr>
        <w:t xml:space="preserve"> </w:t>
      </w:r>
      <w:r w:rsidRPr="00873F9B">
        <w:rPr>
          <w:rFonts w:eastAsia="PMingLiU"/>
          <w:szCs w:val="22"/>
          <w:lang w:val="el-GR" w:eastAsia="zh-TW"/>
        </w:rPr>
        <w:t>κρεατινίνης &gt;30 ml/min. Η νεφρική λειτουργία και το κάλιο ορού θα πρέπει να παρακολουθούνται</w:t>
      </w:r>
      <w:r w:rsidR="007A5F0C" w:rsidRPr="00873F9B">
        <w:rPr>
          <w:rFonts w:eastAsia="PMingLiU"/>
          <w:szCs w:val="22"/>
          <w:lang w:val="el-GR" w:eastAsia="zh-TW"/>
        </w:rPr>
        <w:t xml:space="preserve"> </w:t>
      </w:r>
      <w:r w:rsidRPr="00873F9B">
        <w:rPr>
          <w:rFonts w:eastAsia="PMingLiU"/>
          <w:szCs w:val="22"/>
          <w:lang w:val="el-GR" w:eastAsia="zh-TW"/>
        </w:rPr>
        <w:t>στενά (βλ. παραγράφους 4.4 και 5.2)</w:t>
      </w:r>
    </w:p>
    <w:p w:rsidR="00BF291C" w:rsidRPr="00873F9B" w:rsidRDefault="00BF291C" w:rsidP="00AA11F5">
      <w:pPr>
        <w:jc w:val="both"/>
        <w:rPr>
          <w:color w:val="000000"/>
          <w:szCs w:val="22"/>
          <w:lang w:val="el-GR"/>
        </w:rPr>
      </w:pPr>
    </w:p>
    <w:p w:rsidR="007F335D" w:rsidRPr="0090068E" w:rsidRDefault="007F335D" w:rsidP="00AA11F5">
      <w:pPr>
        <w:autoSpaceDE w:val="0"/>
        <w:autoSpaceDN w:val="0"/>
        <w:adjustRightInd w:val="0"/>
        <w:jc w:val="both"/>
        <w:rPr>
          <w:color w:val="000000"/>
          <w:szCs w:val="22"/>
          <w:u w:val="single"/>
        </w:rPr>
      </w:pPr>
      <w:r w:rsidRPr="0090068E">
        <w:rPr>
          <w:color w:val="000000"/>
          <w:szCs w:val="22"/>
          <w:u w:val="single"/>
        </w:rPr>
        <w:t>Χρήση σε παιδιατρικούς ασθενείς ηλικίας 6 έως 18 ετών με ηπατική δυσλειτουργία</w:t>
      </w:r>
    </w:p>
    <w:p w:rsidR="007F335D" w:rsidRPr="00873F9B" w:rsidRDefault="007F335D" w:rsidP="00AA11F5">
      <w:pPr>
        <w:autoSpaceDE w:val="0"/>
        <w:autoSpaceDN w:val="0"/>
        <w:adjustRightInd w:val="0"/>
        <w:jc w:val="both"/>
        <w:rPr>
          <w:rFonts w:eastAsia="PMingLiU"/>
          <w:szCs w:val="22"/>
          <w:lang w:val="el-GR" w:eastAsia="zh-TW"/>
        </w:rPr>
      </w:pPr>
      <w:r w:rsidRPr="00873F9B">
        <w:rPr>
          <w:rFonts w:eastAsia="PMingLiU"/>
          <w:szCs w:val="22"/>
          <w:lang w:val="el-GR" w:eastAsia="zh-TW"/>
        </w:rPr>
        <w:t>Όπως στους ενηλίκους, η βαλσαρτάνη αντενδείκνυται σε παιδιατρικούς ασθενείς με σοβαρή ηπατική</w:t>
      </w:r>
      <w:r w:rsidR="007A5F0C" w:rsidRPr="00873F9B">
        <w:rPr>
          <w:rFonts w:eastAsia="PMingLiU"/>
          <w:szCs w:val="22"/>
          <w:lang w:val="el-GR" w:eastAsia="zh-TW"/>
        </w:rPr>
        <w:t xml:space="preserve"> </w:t>
      </w:r>
      <w:r w:rsidRPr="00873F9B">
        <w:rPr>
          <w:rFonts w:eastAsia="PMingLiU"/>
          <w:szCs w:val="22"/>
          <w:lang w:val="el-GR" w:eastAsia="zh-TW"/>
        </w:rPr>
        <w:t>δυσλειτουργία, χολική κίρρωση και σε ασθενείς με χολόσταση (βλ. παραγράφους 4.3, 4.4 και 5.2).</w:t>
      </w:r>
    </w:p>
    <w:p w:rsidR="007F335D" w:rsidRPr="00873F9B" w:rsidRDefault="007F335D" w:rsidP="00AA11F5">
      <w:pPr>
        <w:autoSpaceDE w:val="0"/>
        <w:autoSpaceDN w:val="0"/>
        <w:adjustRightInd w:val="0"/>
        <w:jc w:val="both"/>
        <w:rPr>
          <w:color w:val="000000"/>
          <w:szCs w:val="22"/>
          <w:lang w:val="el-GR"/>
        </w:rPr>
      </w:pPr>
      <w:r w:rsidRPr="00873F9B">
        <w:rPr>
          <w:rFonts w:eastAsia="PMingLiU"/>
          <w:szCs w:val="22"/>
          <w:lang w:val="el-GR" w:eastAsia="zh-TW"/>
        </w:rPr>
        <w:t>Υπάρχει περιορισμένη κλινική εμπειρία με τη βαλσαρτάνη σε παιδιατρικούς ασθενείς με ήπια έως μέτρια</w:t>
      </w:r>
      <w:r w:rsidR="007A5F0C" w:rsidRPr="00873F9B">
        <w:rPr>
          <w:rFonts w:eastAsia="PMingLiU"/>
          <w:szCs w:val="22"/>
          <w:lang w:val="el-GR" w:eastAsia="zh-TW"/>
        </w:rPr>
        <w:t xml:space="preserve"> </w:t>
      </w:r>
      <w:r w:rsidRPr="00873F9B">
        <w:rPr>
          <w:rFonts w:eastAsia="PMingLiU"/>
          <w:szCs w:val="22"/>
          <w:lang w:val="el-GR" w:eastAsia="zh-TW"/>
        </w:rPr>
        <w:t xml:space="preserve">ηπατική δυσλειτουργία. Η δόση της βαλσαρτάνης δεν πρέπει να υπερβαίνει τα 80 mg σε αυτούς </w:t>
      </w:r>
      <w:r w:rsidR="007A5F0C" w:rsidRPr="00873F9B">
        <w:rPr>
          <w:rFonts w:eastAsia="PMingLiU"/>
          <w:szCs w:val="22"/>
          <w:lang w:val="el-GR" w:eastAsia="zh-TW"/>
        </w:rPr>
        <w:t xml:space="preserve">τους </w:t>
      </w:r>
      <w:r w:rsidRPr="00873F9B">
        <w:rPr>
          <w:rFonts w:eastAsia="PMingLiU"/>
          <w:szCs w:val="22"/>
          <w:lang w:val="el-GR" w:eastAsia="zh-TW"/>
        </w:rPr>
        <w:t>ασθενείς.</w:t>
      </w:r>
    </w:p>
    <w:p w:rsidR="00BF291C" w:rsidRPr="00873F9B" w:rsidRDefault="00BF291C" w:rsidP="00AA11F5">
      <w:pPr>
        <w:jc w:val="both"/>
        <w:rPr>
          <w:color w:val="000000"/>
          <w:szCs w:val="22"/>
          <w:lang w:val="el-GR"/>
        </w:rPr>
      </w:pPr>
    </w:p>
    <w:p w:rsidR="004454ED" w:rsidRPr="0090068E" w:rsidRDefault="004454ED" w:rsidP="00AA11F5">
      <w:pPr>
        <w:autoSpaceDE w:val="0"/>
        <w:autoSpaceDN w:val="0"/>
        <w:adjustRightInd w:val="0"/>
        <w:jc w:val="both"/>
        <w:rPr>
          <w:bCs/>
          <w:iCs/>
          <w:color w:val="000000"/>
          <w:szCs w:val="22"/>
          <w:u w:val="single"/>
        </w:rPr>
      </w:pPr>
      <w:r w:rsidRPr="0090068E">
        <w:rPr>
          <w:bCs/>
          <w:iCs/>
          <w:color w:val="000000"/>
          <w:szCs w:val="22"/>
          <w:u w:val="single"/>
        </w:rPr>
        <w:t>Καρδιακή ανεπάρκεια και πρόσφατο έμφραγμα του μυοκαρδίου σε παιδιά</w:t>
      </w:r>
    </w:p>
    <w:p w:rsidR="004454ED" w:rsidRPr="00873F9B" w:rsidRDefault="006675D1" w:rsidP="00AA11F5">
      <w:pPr>
        <w:autoSpaceDE w:val="0"/>
        <w:autoSpaceDN w:val="0"/>
        <w:adjustRightInd w:val="0"/>
        <w:jc w:val="both"/>
        <w:rPr>
          <w:rFonts w:eastAsia="PMingLiU"/>
          <w:szCs w:val="22"/>
          <w:lang w:val="el-GR" w:eastAsia="zh-TW"/>
        </w:rPr>
      </w:pPr>
      <w:r w:rsidRPr="00873F9B">
        <w:rPr>
          <w:rFonts w:eastAsia="PMingLiU"/>
          <w:szCs w:val="22"/>
          <w:lang w:val="el-GR" w:eastAsia="zh-TW"/>
        </w:rPr>
        <w:t>Η βαλσαρτάνη</w:t>
      </w:r>
      <w:r w:rsidR="004454ED" w:rsidRPr="00873F9B">
        <w:rPr>
          <w:rFonts w:eastAsia="PMingLiU"/>
          <w:szCs w:val="22"/>
          <w:lang w:val="el-GR" w:eastAsia="zh-TW"/>
        </w:rPr>
        <w:t xml:space="preserve"> δεν συνιστάται για τη θεραπεία της καρδιακής ανεπάρκειας ή του πρόσφατου</w:t>
      </w:r>
      <w:r w:rsidR="007A5F0C" w:rsidRPr="00873F9B">
        <w:rPr>
          <w:rFonts w:eastAsia="PMingLiU"/>
          <w:szCs w:val="22"/>
          <w:lang w:val="el-GR" w:eastAsia="zh-TW"/>
        </w:rPr>
        <w:t xml:space="preserve"> </w:t>
      </w:r>
      <w:r w:rsidR="004454ED" w:rsidRPr="00873F9B">
        <w:rPr>
          <w:rFonts w:eastAsia="PMingLiU"/>
          <w:szCs w:val="22"/>
          <w:lang w:val="el-GR" w:eastAsia="zh-TW"/>
        </w:rPr>
        <w:t>εμφράγματος του μυοκαρδίου σε παιδιά και εφήβους ηλικίας κάτω των 18 ετών λόγω έλλειψης</w:t>
      </w:r>
      <w:r w:rsidR="007A5F0C" w:rsidRPr="00873F9B">
        <w:rPr>
          <w:rFonts w:eastAsia="PMingLiU"/>
          <w:szCs w:val="22"/>
          <w:lang w:val="el-GR" w:eastAsia="zh-TW"/>
        </w:rPr>
        <w:t xml:space="preserve"> </w:t>
      </w:r>
      <w:r w:rsidR="004454ED" w:rsidRPr="00873F9B">
        <w:rPr>
          <w:rFonts w:eastAsia="PMingLiU"/>
          <w:szCs w:val="22"/>
          <w:lang w:val="el-GR" w:eastAsia="zh-TW"/>
        </w:rPr>
        <w:t>δεδομένων για την ασφάλεια και την αποτελεσματικότητα.</w:t>
      </w:r>
    </w:p>
    <w:p w:rsidR="006675D1" w:rsidRPr="00873F9B" w:rsidRDefault="006675D1" w:rsidP="00AA11F5">
      <w:pPr>
        <w:autoSpaceDE w:val="0"/>
        <w:autoSpaceDN w:val="0"/>
        <w:adjustRightInd w:val="0"/>
        <w:jc w:val="both"/>
        <w:rPr>
          <w:bCs/>
          <w:i/>
          <w:iCs/>
          <w:color w:val="000000"/>
          <w:szCs w:val="22"/>
          <w:u w:val="single"/>
          <w:lang w:val="el-GR"/>
        </w:rPr>
      </w:pPr>
    </w:p>
    <w:p w:rsidR="004454ED" w:rsidRPr="0090068E" w:rsidRDefault="004454ED" w:rsidP="00AA11F5">
      <w:pPr>
        <w:autoSpaceDE w:val="0"/>
        <w:autoSpaceDN w:val="0"/>
        <w:adjustRightInd w:val="0"/>
        <w:jc w:val="both"/>
        <w:rPr>
          <w:rFonts w:eastAsia="PMingLiU"/>
          <w:iCs/>
          <w:szCs w:val="22"/>
          <w:lang w:val="el-GR" w:eastAsia="zh-TW"/>
        </w:rPr>
      </w:pPr>
      <w:r w:rsidRPr="0090068E">
        <w:rPr>
          <w:bCs/>
          <w:iCs/>
          <w:color w:val="000000"/>
          <w:szCs w:val="22"/>
          <w:u w:val="single"/>
          <w:lang w:val="el-GR"/>
        </w:rPr>
        <w:t>Μέθοδος χορήγησης</w:t>
      </w:r>
    </w:p>
    <w:p w:rsidR="004454ED" w:rsidRPr="00873F9B" w:rsidRDefault="004454ED" w:rsidP="00AA11F5">
      <w:pPr>
        <w:jc w:val="both"/>
        <w:rPr>
          <w:color w:val="000000"/>
          <w:szCs w:val="22"/>
          <w:lang w:val="el-GR"/>
        </w:rPr>
      </w:pPr>
      <w:r w:rsidRPr="00873F9B">
        <w:rPr>
          <w:rFonts w:eastAsia="PMingLiU"/>
          <w:szCs w:val="22"/>
          <w:lang w:val="el-GR" w:eastAsia="zh-TW"/>
        </w:rPr>
        <w:lastRenderedPageBreak/>
        <w:t xml:space="preserve">Το </w:t>
      </w:r>
      <w:r w:rsidR="006675D1" w:rsidRPr="00873F9B">
        <w:rPr>
          <w:rFonts w:eastAsia="PMingLiU"/>
          <w:szCs w:val="22"/>
          <w:lang w:val="en-US" w:eastAsia="zh-TW"/>
        </w:rPr>
        <w:t>Valperol</w:t>
      </w:r>
      <w:r w:rsidRPr="00873F9B">
        <w:rPr>
          <w:rFonts w:eastAsia="PMingLiU"/>
          <w:szCs w:val="22"/>
          <w:lang w:val="el-GR" w:eastAsia="zh-TW"/>
        </w:rPr>
        <w:t xml:space="preserve"> μπορεί να λαμβάνεται ανεξάρτητα από </w:t>
      </w:r>
      <w:r w:rsidR="006675D1" w:rsidRPr="00873F9B">
        <w:rPr>
          <w:rFonts w:eastAsia="PMingLiU"/>
          <w:szCs w:val="22"/>
          <w:lang w:val="el-GR" w:eastAsia="zh-TW"/>
        </w:rPr>
        <w:t xml:space="preserve">ένα </w:t>
      </w:r>
      <w:r w:rsidRPr="00873F9B">
        <w:rPr>
          <w:rFonts w:eastAsia="PMingLiU"/>
          <w:szCs w:val="22"/>
          <w:lang w:val="el-GR" w:eastAsia="zh-TW"/>
        </w:rPr>
        <w:t>γεύμα και πρέπει να χορηγείται με νερό.</w:t>
      </w:r>
    </w:p>
    <w:p w:rsidR="006675D1" w:rsidRPr="00873F9B" w:rsidRDefault="006675D1" w:rsidP="00AA11F5">
      <w:pPr>
        <w:jc w:val="both"/>
        <w:rPr>
          <w:bCs/>
          <w:i/>
          <w:iCs/>
          <w:color w:val="000000"/>
          <w:szCs w:val="22"/>
          <w:u w:val="single"/>
          <w:lang w:val="el-GR"/>
        </w:rPr>
      </w:pPr>
    </w:p>
    <w:p w:rsidR="00BF291C" w:rsidRPr="0090068E" w:rsidRDefault="00BF291C" w:rsidP="00AA11F5">
      <w:pPr>
        <w:jc w:val="both"/>
        <w:rPr>
          <w:szCs w:val="22"/>
          <w:lang w:val="el-GR"/>
        </w:rPr>
      </w:pPr>
    </w:p>
    <w:p w:rsidR="00BF291C" w:rsidRPr="00873F9B" w:rsidRDefault="00BF291C" w:rsidP="00AA11F5">
      <w:pPr>
        <w:ind w:left="567" w:hanging="567"/>
        <w:jc w:val="both"/>
        <w:rPr>
          <w:szCs w:val="22"/>
        </w:rPr>
      </w:pPr>
      <w:r w:rsidRPr="00873F9B">
        <w:rPr>
          <w:b/>
          <w:szCs w:val="22"/>
        </w:rPr>
        <w:t>4.3</w:t>
      </w:r>
      <w:r w:rsidRPr="00873F9B">
        <w:rPr>
          <w:b/>
          <w:szCs w:val="22"/>
        </w:rPr>
        <w:tab/>
      </w:r>
      <w:r w:rsidR="00911D9B" w:rsidRPr="00873F9B">
        <w:rPr>
          <w:b/>
          <w:bCs/>
          <w:szCs w:val="22"/>
        </w:rPr>
        <w:t>Αντενδείξεις</w:t>
      </w:r>
    </w:p>
    <w:p w:rsidR="00BF291C" w:rsidRPr="00873F9B" w:rsidRDefault="00BF291C" w:rsidP="00AA11F5">
      <w:pPr>
        <w:jc w:val="both"/>
        <w:rPr>
          <w:szCs w:val="22"/>
        </w:rPr>
      </w:pPr>
    </w:p>
    <w:p w:rsidR="00BF291C" w:rsidRPr="00873F9B" w:rsidRDefault="006675D1" w:rsidP="00AA11F5">
      <w:pPr>
        <w:numPr>
          <w:ilvl w:val="0"/>
          <w:numId w:val="25"/>
        </w:numPr>
        <w:tabs>
          <w:tab w:val="clear" w:pos="927"/>
        </w:tabs>
        <w:spacing w:line="260" w:lineRule="exact"/>
        <w:ind w:left="567" w:hanging="567"/>
        <w:jc w:val="both"/>
        <w:rPr>
          <w:szCs w:val="22"/>
        </w:rPr>
      </w:pPr>
      <w:r w:rsidRPr="00873F9B">
        <w:rPr>
          <w:rFonts w:eastAsia="PMingLiU"/>
          <w:szCs w:val="22"/>
          <w:lang w:val="el-GR" w:eastAsia="zh-TW"/>
        </w:rPr>
        <w:t>Υπερευαισθησία στη δραστική ουσία ή σε κάποιο από τα έκδοχα.</w:t>
      </w:r>
      <w:r w:rsidRPr="00873F9B">
        <w:rPr>
          <w:szCs w:val="22"/>
          <w:lang w:val="el-GR"/>
        </w:rPr>
        <w:t xml:space="preserve"> </w:t>
      </w:r>
    </w:p>
    <w:p w:rsidR="00BF291C" w:rsidRPr="00873F9B" w:rsidRDefault="001333CB" w:rsidP="00AA11F5">
      <w:pPr>
        <w:numPr>
          <w:ilvl w:val="0"/>
          <w:numId w:val="25"/>
        </w:numPr>
        <w:tabs>
          <w:tab w:val="clear" w:pos="927"/>
        </w:tabs>
        <w:spacing w:line="260" w:lineRule="exact"/>
        <w:ind w:left="567" w:hanging="567"/>
        <w:jc w:val="both"/>
        <w:rPr>
          <w:szCs w:val="22"/>
          <w:lang w:val="el-GR"/>
        </w:rPr>
      </w:pPr>
      <w:r w:rsidRPr="00873F9B">
        <w:rPr>
          <w:rFonts w:eastAsia="PMingLiU"/>
          <w:szCs w:val="22"/>
          <w:lang w:val="el-GR" w:eastAsia="zh-TW"/>
        </w:rPr>
        <w:t>Βαριά ηπατική ανεπάρκεια, χολική κίρρωση και χολόσταση.</w:t>
      </w:r>
    </w:p>
    <w:p w:rsidR="00BF291C" w:rsidRDefault="001333CB" w:rsidP="00AA11F5">
      <w:pPr>
        <w:numPr>
          <w:ilvl w:val="0"/>
          <w:numId w:val="25"/>
        </w:numPr>
        <w:tabs>
          <w:tab w:val="clear" w:pos="927"/>
        </w:tabs>
        <w:spacing w:line="260" w:lineRule="exact"/>
        <w:ind w:left="567" w:hanging="567"/>
        <w:jc w:val="both"/>
        <w:rPr>
          <w:szCs w:val="22"/>
          <w:lang w:val="el-GR"/>
        </w:rPr>
      </w:pPr>
      <w:r w:rsidRPr="00873F9B">
        <w:rPr>
          <w:rFonts w:eastAsia="PMingLiU"/>
          <w:szCs w:val="22"/>
          <w:lang w:val="el-GR" w:eastAsia="zh-TW"/>
        </w:rPr>
        <w:t>Δεύτερο και τρίτο τρίμηνο κύησης (βλ. παραγράφους 4.4. και 4.6)</w:t>
      </w:r>
      <w:r w:rsidR="00BF291C" w:rsidRPr="00873F9B">
        <w:rPr>
          <w:szCs w:val="22"/>
          <w:lang w:val="el-GR"/>
        </w:rPr>
        <w:t>.</w:t>
      </w:r>
    </w:p>
    <w:p w:rsidR="00033F17" w:rsidRPr="00873F9B" w:rsidRDefault="00033F17" w:rsidP="0090068E">
      <w:pPr>
        <w:numPr>
          <w:ilvl w:val="0"/>
          <w:numId w:val="25"/>
        </w:numPr>
        <w:tabs>
          <w:tab w:val="clear" w:pos="927"/>
          <w:tab w:val="num" w:pos="567"/>
        </w:tabs>
        <w:spacing w:line="260" w:lineRule="exact"/>
        <w:ind w:left="567" w:hanging="567"/>
        <w:jc w:val="both"/>
        <w:rPr>
          <w:szCs w:val="22"/>
          <w:lang w:val="el-GR"/>
        </w:rPr>
      </w:pPr>
      <w:r w:rsidRPr="00033F17">
        <w:rPr>
          <w:szCs w:val="22"/>
          <w:lang w:val="el-GR"/>
        </w:rPr>
        <w:t>Ταυτόχρονη χ</w:t>
      </w:r>
      <w:r>
        <w:rPr>
          <w:szCs w:val="22"/>
          <w:lang w:val="el-GR"/>
        </w:rPr>
        <w:t>ορήγηση</w:t>
      </w:r>
      <w:r w:rsidRPr="00033F17">
        <w:rPr>
          <w:szCs w:val="22"/>
          <w:lang w:val="el-GR"/>
        </w:rPr>
        <w:t xml:space="preserve"> ανταγωνιστών των υποδοχέων της αγγειοτενσίνης (ARB</w:t>
      </w:r>
      <w:r>
        <w:rPr>
          <w:szCs w:val="22"/>
          <w:lang w:val="en-US"/>
        </w:rPr>
        <w:t>s</w:t>
      </w:r>
      <w:r w:rsidRPr="00033F17">
        <w:rPr>
          <w:szCs w:val="22"/>
          <w:lang w:val="el-GR"/>
        </w:rPr>
        <w:t xml:space="preserve">) </w:t>
      </w:r>
      <w:r>
        <w:rPr>
          <w:szCs w:val="22"/>
          <w:lang w:val="el-GR"/>
        </w:rPr>
        <w:t>–</w:t>
      </w:r>
      <w:r w:rsidRPr="00033F17">
        <w:rPr>
          <w:szCs w:val="22"/>
          <w:lang w:val="el-GR"/>
        </w:rPr>
        <w:t xml:space="preserve"> συμπεριλαμβανομέν</w:t>
      </w:r>
      <w:r>
        <w:rPr>
          <w:szCs w:val="22"/>
          <w:lang w:val="el-GR"/>
        </w:rPr>
        <w:t xml:space="preserve">ης της </w:t>
      </w:r>
      <w:r w:rsidRPr="00033F17">
        <w:rPr>
          <w:szCs w:val="22"/>
          <w:lang w:val="el-GR"/>
        </w:rPr>
        <w:t>βαλσαρτάνη</w:t>
      </w:r>
      <w:r>
        <w:rPr>
          <w:szCs w:val="22"/>
          <w:lang w:val="el-GR"/>
        </w:rPr>
        <w:t>ς</w:t>
      </w:r>
      <w:r w:rsidRPr="00033F17">
        <w:rPr>
          <w:szCs w:val="22"/>
          <w:lang w:val="el-GR"/>
        </w:rPr>
        <w:t xml:space="preserve"> - ή αναστολ</w:t>
      </w:r>
      <w:r>
        <w:rPr>
          <w:szCs w:val="22"/>
          <w:lang w:val="el-GR"/>
        </w:rPr>
        <w:t>έων</w:t>
      </w:r>
      <w:r w:rsidRPr="00033F17">
        <w:rPr>
          <w:szCs w:val="22"/>
          <w:lang w:val="el-GR"/>
        </w:rPr>
        <w:t xml:space="preserve"> του μετατρεπτικού ενζύμου της αγγειοτασίνης (ΜΕΑ) με αλισκιρένη σε ασθενείς με σακχαρώδη διαβήτη ή νεφρική δυσλειτουργία (GFR &lt;60 ml/min/1.73m</w:t>
      </w:r>
      <w:r w:rsidRPr="003A65AD">
        <w:rPr>
          <w:szCs w:val="22"/>
          <w:vertAlign w:val="superscript"/>
          <w:lang w:val="el-GR"/>
        </w:rPr>
        <w:t>2</w:t>
      </w:r>
      <w:r w:rsidRPr="00033F17">
        <w:rPr>
          <w:szCs w:val="22"/>
          <w:lang w:val="el-GR"/>
        </w:rPr>
        <w:t>) (βλ. παραγράφους 4.4 και 4.5)</w:t>
      </w:r>
      <w:r>
        <w:rPr>
          <w:szCs w:val="22"/>
          <w:lang w:val="el-GR"/>
        </w:rPr>
        <w:t>.</w:t>
      </w:r>
    </w:p>
    <w:p w:rsidR="00BF291C" w:rsidRPr="00873F9B" w:rsidRDefault="00BF291C" w:rsidP="00AA11F5">
      <w:pPr>
        <w:jc w:val="both"/>
        <w:rPr>
          <w:szCs w:val="22"/>
          <w:lang w:val="el-GR"/>
        </w:rPr>
      </w:pPr>
    </w:p>
    <w:p w:rsidR="00BF291C" w:rsidRPr="00873F9B" w:rsidRDefault="00BF291C" w:rsidP="00AA11F5">
      <w:pPr>
        <w:ind w:left="567" w:hanging="567"/>
        <w:jc w:val="both"/>
        <w:outlineLvl w:val="0"/>
        <w:rPr>
          <w:szCs w:val="22"/>
        </w:rPr>
      </w:pPr>
      <w:r w:rsidRPr="00873F9B">
        <w:rPr>
          <w:b/>
          <w:szCs w:val="22"/>
        </w:rPr>
        <w:t>4.4</w:t>
      </w:r>
      <w:r w:rsidRPr="00873F9B">
        <w:rPr>
          <w:b/>
          <w:szCs w:val="22"/>
        </w:rPr>
        <w:tab/>
      </w:r>
      <w:r w:rsidR="0006101F" w:rsidRPr="00873F9B">
        <w:rPr>
          <w:b/>
          <w:bCs/>
          <w:szCs w:val="22"/>
        </w:rPr>
        <w:t>Ειδικές προειδοποιήσεις και προφυλάξεις κατά τη χρήση</w:t>
      </w:r>
    </w:p>
    <w:p w:rsidR="00BF291C" w:rsidRPr="00873F9B" w:rsidRDefault="00BF291C" w:rsidP="00AA11F5">
      <w:pPr>
        <w:jc w:val="both"/>
        <w:rPr>
          <w:szCs w:val="22"/>
        </w:rPr>
      </w:pPr>
    </w:p>
    <w:p w:rsidR="00F57AB8" w:rsidRPr="00873F9B" w:rsidRDefault="00F57AB8" w:rsidP="00AA11F5">
      <w:pPr>
        <w:jc w:val="both"/>
        <w:rPr>
          <w:rFonts w:eastAsia="PMingLiU"/>
          <w:szCs w:val="22"/>
          <w:lang w:val="el-GR" w:eastAsia="zh-TW"/>
        </w:rPr>
      </w:pPr>
      <w:r w:rsidRPr="00873F9B">
        <w:rPr>
          <w:szCs w:val="22"/>
          <w:u w:val="single"/>
        </w:rPr>
        <w:t>Υπερκαλιαιμία</w:t>
      </w:r>
    </w:p>
    <w:p w:rsidR="00F57AB8" w:rsidRPr="00873F9B" w:rsidRDefault="00F57AB8" w:rsidP="00AA11F5">
      <w:pPr>
        <w:autoSpaceDE w:val="0"/>
        <w:autoSpaceDN w:val="0"/>
        <w:adjustRightInd w:val="0"/>
        <w:jc w:val="both"/>
        <w:rPr>
          <w:rFonts w:eastAsia="PMingLiU"/>
          <w:szCs w:val="22"/>
          <w:lang w:val="el-GR" w:eastAsia="zh-TW"/>
        </w:rPr>
      </w:pPr>
      <w:r w:rsidRPr="00873F9B">
        <w:rPr>
          <w:rFonts w:eastAsia="PMingLiU"/>
          <w:szCs w:val="22"/>
          <w:lang w:val="el-GR" w:eastAsia="zh-TW"/>
        </w:rPr>
        <w:t>Η ταυτόχρονη χρήση με συμπληρώματα καλίου, καλιοπροστατευτικά διουρητικά, υποκατάστατα</w:t>
      </w:r>
      <w:r w:rsidR="0062546D" w:rsidRPr="00873F9B">
        <w:rPr>
          <w:rFonts w:eastAsia="PMingLiU"/>
          <w:szCs w:val="22"/>
          <w:lang w:val="el-GR" w:eastAsia="zh-TW"/>
        </w:rPr>
        <w:t xml:space="preserve"> </w:t>
      </w:r>
      <w:r w:rsidRPr="00873F9B">
        <w:rPr>
          <w:rFonts w:eastAsia="PMingLiU"/>
          <w:szCs w:val="22"/>
          <w:lang w:val="el-GR" w:eastAsia="zh-TW"/>
        </w:rPr>
        <w:t>άλατος που περιέχουν κάλιο, ή άλλους παράγοντες που μπορεί να αυξήσουν τα επίπεδα καλίου</w:t>
      </w:r>
      <w:r w:rsidR="0062546D" w:rsidRPr="00873F9B">
        <w:rPr>
          <w:rFonts w:eastAsia="PMingLiU"/>
          <w:szCs w:val="22"/>
          <w:lang w:val="el-GR" w:eastAsia="zh-TW"/>
        </w:rPr>
        <w:t xml:space="preserve"> </w:t>
      </w:r>
      <w:r w:rsidRPr="00873F9B">
        <w:rPr>
          <w:rFonts w:eastAsia="PMingLiU"/>
          <w:szCs w:val="22"/>
          <w:lang w:val="el-GR" w:eastAsia="zh-TW"/>
        </w:rPr>
        <w:t>(ηπαρίνη κλπ.) δεν συνιστάται. Θα πρέπει να γίνεται παρακολούθηση του καλίου όπως απαιτείται.</w:t>
      </w:r>
    </w:p>
    <w:p w:rsidR="00F57AB8" w:rsidRPr="00873F9B" w:rsidRDefault="00F57AB8" w:rsidP="00AA11F5">
      <w:pPr>
        <w:autoSpaceDE w:val="0"/>
        <w:autoSpaceDN w:val="0"/>
        <w:adjustRightInd w:val="0"/>
        <w:jc w:val="both"/>
        <w:rPr>
          <w:rFonts w:eastAsia="PMingLiU"/>
          <w:szCs w:val="22"/>
          <w:lang w:val="el-GR" w:eastAsia="zh-TW"/>
        </w:rPr>
      </w:pPr>
    </w:p>
    <w:p w:rsidR="00F57AB8" w:rsidRPr="00873F9B" w:rsidRDefault="00F57AB8" w:rsidP="00AA11F5">
      <w:pPr>
        <w:jc w:val="both"/>
        <w:rPr>
          <w:rFonts w:eastAsia="PMingLiU"/>
          <w:szCs w:val="22"/>
          <w:lang w:val="el-GR" w:eastAsia="zh-TW"/>
        </w:rPr>
      </w:pPr>
      <w:r w:rsidRPr="00873F9B">
        <w:rPr>
          <w:szCs w:val="22"/>
          <w:u w:val="single"/>
          <w:lang w:val="el-GR"/>
        </w:rPr>
        <w:t>Νεφρική δυσλειτουργία</w:t>
      </w:r>
    </w:p>
    <w:p w:rsidR="00F57AB8" w:rsidRDefault="00F57AB8" w:rsidP="00AA11F5">
      <w:pPr>
        <w:autoSpaceDE w:val="0"/>
        <w:autoSpaceDN w:val="0"/>
        <w:adjustRightInd w:val="0"/>
        <w:jc w:val="both"/>
        <w:rPr>
          <w:rFonts w:eastAsia="PMingLiU"/>
          <w:szCs w:val="22"/>
          <w:lang w:val="en-US" w:eastAsia="zh-TW"/>
        </w:rPr>
      </w:pPr>
      <w:r w:rsidRPr="00873F9B">
        <w:rPr>
          <w:rFonts w:eastAsia="PMingLiU"/>
          <w:szCs w:val="22"/>
          <w:lang w:val="el-GR" w:eastAsia="zh-TW"/>
        </w:rPr>
        <w:t>Αυτή τη στιγμή δεν υπάρχει εμπειρία για την ασφαλή χρήση σε ασθενείς με κάθαρση κρεατινίνης</w:t>
      </w:r>
      <w:r w:rsidR="0062546D" w:rsidRPr="00873F9B">
        <w:rPr>
          <w:rFonts w:eastAsia="PMingLiU"/>
          <w:szCs w:val="22"/>
          <w:lang w:val="el-GR" w:eastAsia="zh-TW"/>
        </w:rPr>
        <w:t xml:space="preserve"> </w:t>
      </w:r>
      <w:r w:rsidRPr="00873F9B">
        <w:rPr>
          <w:rFonts w:eastAsia="PMingLiU"/>
          <w:szCs w:val="22"/>
          <w:lang w:val="el-GR" w:eastAsia="zh-TW"/>
        </w:rPr>
        <w:t>&lt;10 ml/min και ασθενείς που υποβάλλονται σε διύλιση, επομένως η βαλσαρτάνη θα πρέπει να</w:t>
      </w:r>
      <w:r w:rsidR="0062546D" w:rsidRPr="00873F9B">
        <w:rPr>
          <w:rFonts w:eastAsia="PMingLiU"/>
          <w:szCs w:val="22"/>
          <w:lang w:val="el-GR" w:eastAsia="zh-TW"/>
        </w:rPr>
        <w:t xml:space="preserve"> </w:t>
      </w:r>
      <w:r w:rsidRPr="00873F9B">
        <w:rPr>
          <w:rFonts w:eastAsia="PMingLiU"/>
          <w:szCs w:val="22"/>
          <w:lang w:val="el-GR" w:eastAsia="zh-TW"/>
        </w:rPr>
        <w:t>χρησιμοποιείται με προσοχή σε αυτούς τους ασθενείς. Δεν απαιτείται αναπροσαρμογή της δόσης για</w:t>
      </w:r>
      <w:r w:rsidR="0062546D" w:rsidRPr="00873F9B">
        <w:rPr>
          <w:rFonts w:eastAsia="PMingLiU"/>
          <w:szCs w:val="22"/>
          <w:lang w:val="el-GR" w:eastAsia="zh-TW"/>
        </w:rPr>
        <w:t xml:space="preserve"> </w:t>
      </w:r>
      <w:r w:rsidRPr="00873F9B">
        <w:rPr>
          <w:rFonts w:eastAsia="PMingLiU"/>
          <w:szCs w:val="22"/>
          <w:lang w:val="el-GR" w:eastAsia="zh-TW"/>
        </w:rPr>
        <w:t>ενηλίκους ασθενείς με κάθαρση κρεατινίνης &gt;10 ml/min (βλ. παραγράφους 4.2 και 5.2).</w:t>
      </w:r>
    </w:p>
    <w:p w:rsidR="0031168C" w:rsidRPr="0031168C" w:rsidRDefault="0031168C" w:rsidP="00AA11F5">
      <w:pPr>
        <w:autoSpaceDE w:val="0"/>
        <w:autoSpaceDN w:val="0"/>
        <w:adjustRightInd w:val="0"/>
        <w:jc w:val="both"/>
        <w:rPr>
          <w:rFonts w:eastAsia="PMingLiU"/>
          <w:szCs w:val="22"/>
          <w:lang w:val="el-GR" w:eastAsia="zh-TW"/>
        </w:rPr>
      </w:pPr>
      <w:r w:rsidRPr="003A65AD">
        <w:rPr>
          <w:rFonts w:eastAsia="PMingLiU"/>
          <w:szCs w:val="22"/>
          <w:lang w:val="el-GR" w:eastAsia="zh-TW"/>
        </w:rPr>
        <w:t xml:space="preserve">Η ταυτόχρονη χορήγηση των </w:t>
      </w:r>
      <w:r w:rsidRPr="0031168C">
        <w:rPr>
          <w:rFonts w:eastAsia="PMingLiU"/>
          <w:szCs w:val="22"/>
          <w:lang w:val="en-US" w:eastAsia="zh-TW"/>
        </w:rPr>
        <w:t>ARBs</w:t>
      </w:r>
      <w:r w:rsidRPr="0090068E">
        <w:rPr>
          <w:rFonts w:eastAsia="PMingLiU"/>
          <w:szCs w:val="22"/>
          <w:lang w:val="el-GR" w:eastAsia="zh-TW"/>
        </w:rPr>
        <w:t xml:space="preserve"> </w:t>
      </w:r>
      <w:r>
        <w:rPr>
          <w:rFonts w:eastAsia="PMingLiU"/>
          <w:szCs w:val="22"/>
          <w:lang w:val="el-GR" w:eastAsia="zh-TW"/>
        </w:rPr>
        <w:t>–</w:t>
      </w:r>
      <w:r w:rsidRPr="0090068E">
        <w:rPr>
          <w:rFonts w:eastAsia="PMingLiU"/>
          <w:szCs w:val="22"/>
          <w:lang w:val="el-GR" w:eastAsia="zh-TW"/>
        </w:rPr>
        <w:t xml:space="preserve"> συμπεριλαμβανομέν</w:t>
      </w:r>
      <w:r>
        <w:rPr>
          <w:rFonts w:eastAsia="PMingLiU"/>
          <w:szCs w:val="22"/>
          <w:lang w:val="el-GR" w:eastAsia="zh-TW"/>
        </w:rPr>
        <w:t>ης της</w:t>
      </w:r>
      <w:r w:rsidRPr="003A65AD">
        <w:rPr>
          <w:rFonts w:eastAsia="PMingLiU"/>
          <w:szCs w:val="22"/>
          <w:lang w:val="el-GR" w:eastAsia="zh-TW"/>
        </w:rPr>
        <w:t xml:space="preserve"> βαλσαρτάνη</w:t>
      </w:r>
      <w:r>
        <w:rPr>
          <w:rFonts w:eastAsia="PMingLiU"/>
          <w:szCs w:val="22"/>
          <w:lang w:val="el-GR" w:eastAsia="zh-TW"/>
        </w:rPr>
        <w:t>ς</w:t>
      </w:r>
      <w:r w:rsidRPr="0090068E">
        <w:rPr>
          <w:rFonts w:eastAsia="PMingLiU"/>
          <w:szCs w:val="22"/>
          <w:lang w:val="el-GR" w:eastAsia="zh-TW"/>
        </w:rPr>
        <w:t xml:space="preserve"> </w:t>
      </w:r>
      <w:r>
        <w:rPr>
          <w:rFonts w:eastAsia="PMingLiU"/>
          <w:szCs w:val="22"/>
          <w:lang w:val="el-GR" w:eastAsia="zh-TW"/>
        </w:rPr>
        <w:t>–</w:t>
      </w:r>
      <w:r w:rsidRPr="0090068E">
        <w:rPr>
          <w:rFonts w:eastAsia="PMingLiU"/>
          <w:szCs w:val="22"/>
          <w:lang w:val="el-GR" w:eastAsia="zh-TW"/>
        </w:rPr>
        <w:t xml:space="preserve"> ή</w:t>
      </w:r>
      <w:r>
        <w:rPr>
          <w:rFonts w:eastAsia="PMingLiU"/>
          <w:szCs w:val="22"/>
          <w:lang w:val="el-GR" w:eastAsia="zh-TW"/>
        </w:rPr>
        <w:t xml:space="preserve"> των</w:t>
      </w:r>
      <w:r w:rsidRPr="0090068E">
        <w:rPr>
          <w:rFonts w:eastAsia="PMingLiU"/>
          <w:szCs w:val="22"/>
          <w:lang w:val="el-GR" w:eastAsia="zh-TW"/>
        </w:rPr>
        <w:t xml:space="preserve"> α-ΜΕΑ με αλισκιρένη αντενδείκνυται σε ασθενείς με νεφρική δυσλειτουργία (</w:t>
      </w:r>
      <w:r w:rsidRPr="0031168C">
        <w:rPr>
          <w:rFonts w:eastAsia="PMingLiU"/>
          <w:szCs w:val="22"/>
          <w:lang w:val="en-US" w:eastAsia="zh-TW"/>
        </w:rPr>
        <w:t>GFR</w:t>
      </w:r>
      <w:r w:rsidRPr="003A65AD">
        <w:rPr>
          <w:rFonts w:eastAsia="PMingLiU"/>
          <w:szCs w:val="22"/>
          <w:lang w:val="el-GR" w:eastAsia="zh-TW"/>
        </w:rPr>
        <w:t xml:space="preserve"> &lt;</w:t>
      </w:r>
      <w:r w:rsidR="003A65AD">
        <w:rPr>
          <w:rFonts w:eastAsia="PMingLiU"/>
          <w:szCs w:val="22"/>
          <w:lang w:val="el-GR" w:eastAsia="zh-TW"/>
        </w:rPr>
        <w:t xml:space="preserve"> </w:t>
      </w:r>
      <w:r w:rsidRPr="003A65AD">
        <w:rPr>
          <w:rFonts w:eastAsia="PMingLiU"/>
          <w:szCs w:val="22"/>
          <w:lang w:val="el-GR" w:eastAsia="zh-TW"/>
        </w:rPr>
        <w:t xml:space="preserve">60 </w:t>
      </w:r>
      <w:r w:rsidRPr="0031168C">
        <w:rPr>
          <w:rFonts w:eastAsia="PMingLiU"/>
          <w:szCs w:val="22"/>
          <w:lang w:val="en-US" w:eastAsia="zh-TW"/>
        </w:rPr>
        <w:t>ml</w:t>
      </w:r>
      <w:r w:rsidRPr="0090068E">
        <w:rPr>
          <w:rFonts w:eastAsia="PMingLiU"/>
          <w:szCs w:val="22"/>
          <w:lang w:val="el-GR" w:eastAsia="zh-TW"/>
        </w:rPr>
        <w:t>/</w:t>
      </w:r>
      <w:r w:rsidRPr="0031168C">
        <w:rPr>
          <w:rFonts w:eastAsia="PMingLiU"/>
          <w:szCs w:val="22"/>
          <w:lang w:val="en-US" w:eastAsia="zh-TW"/>
        </w:rPr>
        <w:t>min</w:t>
      </w:r>
      <w:r w:rsidRPr="0090068E">
        <w:rPr>
          <w:rFonts w:eastAsia="PMingLiU"/>
          <w:szCs w:val="22"/>
          <w:lang w:val="el-GR" w:eastAsia="zh-TW"/>
        </w:rPr>
        <w:t>/1.73</w:t>
      </w:r>
      <w:r w:rsidRPr="0031168C">
        <w:rPr>
          <w:rFonts w:eastAsia="PMingLiU"/>
          <w:szCs w:val="22"/>
          <w:lang w:val="en-US" w:eastAsia="zh-TW"/>
        </w:rPr>
        <w:t>m</w:t>
      </w:r>
      <w:r w:rsidRPr="003A65AD">
        <w:rPr>
          <w:rFonts w:eastAsia="PMingLiU"/>
          <w:szCs w:val="22"/>
          <w:vertAlign w:val="superscript"/>
          <w:lang w:val="el-GR" w:eastAsia="zh-TW"/>
        </w:rPr>
        <w:t>2</w:t>
      </w:r>
      <w:r w:rsidRPr="0090068E">
        <w:rPr>
          <w:rFonts w:eastAsia="PMingLiU"/>
          <w:szCs w:val="22"/>
          <w:lang w:val="el-GR" w:eastAsia="zh-TW"/>
        </w:rPr>
        <w:t>) (βλ. παραγράφους 4.3 και 4.5)</w:t>
      </w:r>
    </w:p>
    <w:p w:rsidR="00F57AB8" w:rsidRPr="00873F9B" w:rsidRDefault="00F57AB8" w:rsidP="00AA11F5">
      <w:pPr>
        <w:autoSpaceDE w:val="0"/>
        <w:autoSpaceDN w:val="0"/>
        <w:adjustRightInd w:val="0"/>
        <w:jc w:val="both"/>
        <w:rPr>
          <w:rFonts w:eastAsia="PMingLiU"/>
          <w:szCs w:val="22"/>
          <w:lang w:val="el-GR" w:eastAsia="zh-TW"/>
        </w:rPr>
      </w:pPr>
    </w:p>
    <w:p w:rsidR="00F57AB8" w:rsidRPr="00873F9B" w:rsidRDefault="00F57AB8" w:rsidP="00AA11F5">
      <w:pPr>
        <w:jc w:val="both"/>
        <w:rPr>
          <w:szCs w:val="22"/>
          <w:u w:val="single"/>
          <w:lang w:val="el-GR"/>
        </w:rPr>
      </w:pPr>
      <w:r w:rsidRPr="00873F9B">
        <w:rPr>
          <w:szCs w:val="22"/>
          <w:u w:val="single"/>
          <w:lang w:val="el-GR"/>
        </w:rPr>
        <w:t>Ηπατική δυσλειτουργία</w:t>
      </w:r>
    </w:p>
    <w:p w:rsidR="00F57AB8" w:rsidRPr="00873F9B" w:rsidRDefault="00F57AB8" w:rsidP="00AA11F5">
      <w:pPr>
        <w:autoSpaceDE w:val="0"/>
        <w:autoSpaceDN w:val="0"/>
        <w:adjustRightInd w:val="0"/>
        <w:jc w:val="both"/>
        <w:rPr>
          <w:szCs w:val="22"/>
          <w:u w:val="single"/>
          <w:lang w:val="el-GR"/>
        </w:rPr>
      </w:pPr>
      <w:r w:rsidRPr="00873F9B">
        <w:rPr>
          <w:rFonts w:eastAsia="PMingLiU"/>
          <w:szCs w:val="22"/>
          <w:lang w:val="el-GR" w:eastAsia="zh-TW"/>
        </w:rPr>
        <w:t xml:space="preserve">Σε ασθενείς με ήπια έως μέτρια ηπατική δυσλειτουργία χωρίς χολόσταση, </w:t>
      </w:r>
      <w:r w:rsidR="00B56991" w:rsidRPr="00873F9B">
        <w:rPr>
          <w:rFonts w:eastAsia="PMingLiU"/>
          <w:szCs w:val="22"/>
          <w:lang w:val="el-GR" w:eastAsia="zh-TW"/>
        </w:rPr>
        <w:t>η βαλσαρτάνη</w:t>
      </w:r>
      <w:r w:rsidRPr="00873F9B">
        <w:rPr>
          <w:rFonts w:eastAsia="PMingLiU"/>
          <w:szCs w:val="22"/>
          <w:lang w:val="el-GR" w:eastAsia="zh-TW"/>
        </w:rPr>
        <w:t xml:space="preserve"> πρέπει να</w:t>
      </w:r>
      <w:r w:rsidR="0062546D" w:rsidRPr="00873F9B">
        <w:rPr>
          <w:rFonts w:eastAsia="PMingLiU"/>
          <w:szCs w:val="22"/>
          <w:lang w:val="el-GR" w:eastAsia="zh-TW"/>
        </w:rPr>
        <w:t xml:space="preserve"> </w:t>
      </w:r>
      <w:r w:rsidRPr="00873F9B">
        <w:rPr>
          <w:rFonts w:eastAsia="PMingLiU"/>
          <w:szCs w:val="22"/>
          <w:lang w:val="el-GR" w:eastAsia="zh-TW"/>
        </w:rPr>
        <w:t>χρησιμοποιείται με προσοχή (βλ. παραγράφους 4.2 και 5.2).</w:t>
      </w:r>
    </w:p>
    <w:p w:rsidR="00F57AB8" w:rsidRPr="00873F9B" w:rsidRDefault="00F57AB8" w:rsidP="00AA11F5">
      <w:pPr>
        <w:jc w:val="both"/>
        <w:rPr>
          <w:szCs w:val="22"/>
          <w:u w:val="single"/>
          <w:lang w:val="el-GR"/>
        </w:rPr>
      </w:pPr>
    </w:p>
    <w:p w:rsidR="00653DCA" w:rsidRPr="00873F9B" w:rsidRDefault="00653DCA" w:rsidP="00AA11F5">
      <w:pPr>
        <w:autoSpaceDE w:val="0"/>
        <w:autoSpaceDN w:val="0"/>
        <w:adjustRightInd w:val="0"/>
        <w:jc w:val="both"/>
        <w:rPr>
          <w:szCs w:val="22"/>
          <w:u w:val="single"/>
        </w:rPr>
      </w:pPr>
      <w:r w:rsidRPr="00873F9B">
        <w:rPr>
          <w:szCs w:val="22"/>
          <w:u w:val="single"/>
        </w:rPr>
        <w:t>Ασθενείς με υπονατριαιμία ή/και υπο-ογκαιμία</w:t>
      </w:r>
    </w:p>
    <w:p w:rsidR="00BF291C" w:rsidRPr="00873F9B" w:rsidRDefault="00653DCA" w:rsidP="00AA11F5">
      <w:pPr>
        <w:autoSpaceDE w:val="0"/>
        <w:autoSpaceDN w:val="0"/>
        <w:adjustRightInd w:val="0"/>
        <w:jc w:val="both"/>
        <w:rPr>
          <w:szCs w:val="22"/>
          <w:lang w:val="el-GR"/>
        </w:rPr>
      </w:pPr>
      <w:r w:rsidRPr="00873F9B">
        <w:rPr>
          <w:rFonts w:eastAsia="PMingLiU"/>
          <w:szCs w:val="22"/>
          <w:lang w:val="el-GR" w:eastAsia="zh-TW"/>
        </w:rPr>
        <w:t>Σε ασθενείς με σοβαρή υπονατριαιμία ή/και υπο-ογκαιμία, όπως εκείνοι που λαμβάνουν υψηλές</w:t>
      </w:r>
      <w:r w:rsidR="0062546D" w:rsidRPr="00873F9B">
        <w:rPr>
          <w:rFonts w:eastAsia="PMingLiU"/>
          <w:szCs w:val="22"/>
          <w:lang w:val="el-GR" w:eastAsia="zh-TW"/>
        </w:rPr>
        <w:t xml:space="preserve"> </w:t>
      </w:r>
      <w:r w:rsidRPr="00873F9B">
        <w:rPr>
          <w:rFonts w:eastAsia="PMingLiU"/>
          <w:szCs w:val="22"/>
          <w:lang w:val="el-GR" w:eastAsia="zh-TW"/>
        </w:rPr>
        <w:t>δόσεις διουρητικών, μπορεί να παρουσιασθεί συμπτωματική υπόταση σε σπάνιες περιπτώσεις μετά</w:t>
      </w:r>
      <w:r w:rsidR="0062546D" w:rsidRPr="00873F9B">
        <w:rPr>
          <w:rFonts w:eastAsia="PMingLiU"/>
          <w:szCs w:val="22"/>
          <w:lang w:val="el-GR" w:eastAsia="zh-TW"/>
        </w:rPr>
        <w:t xml:space="preserve"> </w:t>
      </w:r>
      <w:r w:rsidRPr="00873F9B">
        <w:rPr>
          <w:rFonts w:eastAsia="PMingLiU"/>
          <w:szCs w:val="22"/>
          <w:lang w:val="el-GR" w:eastAsia="zh-TW"/>
        </w:rPr>
        <w:t>από την έναρξη της θεραπείας με βαλσαρτάνη. Η υπονατριαιμία ή/και η υπο-ογκαιμία πρέπει να</w:t>
      </w:r>
      <w:r w:rsidR="0062546D" w:rsidRPr="00873F9B">
        <w:rPr>
          <w:rFonts w:eastAsia="PMingLiU"/>
          <w:szCs w:val="22"/>
          <w:lang w:val="el-GR" w:eastAsia="zh-TW"/>
        </w:rPr>
        <w:t xml:space="preserve"> </w:t>
      </w:r>
      <w:r w:rsidRPr="00873F9B">
        <w:rPr>
          <w:rFonts w:eastAsia="PMingLiU"/>
          <w:szCs w:val="22"/>
          <w:lang w:val="el-GR" w:eastAsia="zh-TW"/>
        </w:rPr>
        <w:t>αναταχθεί πριν από την έναρξη της θεραπείας με βαλσαρτάνη, για παράδειγμα μειώνοντας τη δόση του</w:t>
      </w:r>
      <w:r w:rsidR="0062546D" w:rsidRPr="00873F9B">
        <w:rPr>
          <w:rFonts w:eastAsia="PMingLiU"/>
          <w:szCs w:val="22"/>
          <w:lang w:val="el-GR" w:eastAsia="zh-TW"/>
        </w:rPr>
        <w:t xml:space="preserve"> </w:t>
      </w:r>
      <w:r w:rsidRPr="00873F9B">
        <w:rPr>
          <w:rFonts w:eastAsia="PMingLiU"/>
          <w:szCs w:val="22"/>
          <w:lang w:val="el-GR" w:eastAsia="zh-TW"/>
        </w:rPr>
        <w:t>διουρητικού.</w:t>
      </w:r>
    </w:p>
    <w:p w:rsidR="00BF291C" w:rsidRPr="00873F9B" w:rsidRDefault="00BF291C" w:rsidP="00AA11F5">
      <w:pPr>
        <w:jc w:val="both"/>
        <w:rPr>
          <w:szCs w:val="22"/>
          <w:lang w:val="el-GR"/>
        </w:rPr>
      </w:pPr>
    </w:p>
    <w:p w:rsidR="0019674C" w:rsidRPr="00873F9B" w:rsidRDefault="0019674C" w:rsidP="00AA11F5">
      <w:pPr>
        <w:autoSpaceDE w:val="0"/>
        <w:autoSpaceDN w:val="0"/>
        <w:adjustRightInd w:val="0"/>
        <w:jc w:val="both"/>
        <w:rPr>
          <w:szCs w:val="22"/>
          <w:u w:val="single"/>
        </w:rPr>
      </w:pPr>
      <w:r w:rsidRPr="00873F9B">
        <w:rPr>
          <w:szCs w:val="22"/>
          <w:u w:val="single"/>
        </w:rPr>
        <w:t>Στένωση της νεφρικής αρτηρίας</w:t>
      </w:r>
    </w:p>
    <w:p w:rsidR="0019674C" w:rsidRPr="00873F9B" w:rsidRDefault="0019674C" w:rsidP="00AA11F5">
      <w:pPr>
        <w:autoSpaceDE w:val="0"/>
        <w:autoSpaceDN w:val="0"/>
        <w:adjustRightInd w:val="0"/>
        <w:jc w:val="both"/>
        <w:rPr>
          <w:rFonts w:eastAsia="PMingLiU"/>
          <w:szCs w:val="22"/>
          <w:lang w:val="el-GR" w:eastAsia="zh-TW"/>
        </w:rPr>
      </w:pPr>
      <w:r w:rsidRPr="00873F9B">
        <w:rPr>
          <w:rFonts w:eastAsia="PMingLiU"/>
          <w:szCs w:val="22"/>
          <w:lang w:val="el-GR" w:eastAsia="zh-TW"/>
        </w:rPr>
        <w:t>Σε ασθενείς με αμφοτερόπλευρη στένωση της νεφρικής αρτηρίας ή με στένωση σε μονήρη νεφρό, δεν</w:t>
      </w:r>
      <w:r w:rsidR="0062546D" w:rsidRPr="00873F9B">
        <w:rPr>
          <w:rFonts w:eastAsia="PMingLiU"/>
          <w:szCs w:val="22"/>
          <w:lang w:val="el-GR" w:eastAsia="zh-TW"/>
        </w:rPr>
        <w:t xml:space="preserve"> </w:t>
      </w:r>
      <w:r w:rsidRPr="00873F9B">
        <w:rPr>
          <w:rFonts w:eastAsia="PMingLiU"/>
          <w:szCs w:val="22"/>
          <w:lang w:val="el-GR" w:eastAsia="zh-TW"/>
        </w:rPr>
        <w:t xml:space="preserve">έχει διαπιστωθεί η ασφαλής χρήση </w:t>
      </w:r>
      <w:r w:rsidR="000F14DA" w:rsidRPr="00873F9B">
        <w:rPr>
          <w:rFonts w:eastAsia="PMingLiU"/>
          <w:szCs w:val="22"/>
          <w:lang w:val="el-GR" w:eastAsia="zh-TW"/>
        </w:rPr>
        <w:t>της βαλσαρτάνης</w:t>
      </w:r>
      <w:r w:rsidRPr="00873F9B">
        <w:rPr>
          <w:rFonts w:eastAsia="PMingLiU"/>
          <w:szCs w:val="22"/>
          <w:lang w:val="el-GR" w:eastAsia="zh-TW"/>
        </w:rPr>
        <w:t>.</w:t>
      </w:r>
    </w:p>
    <w:p w:rsidR="0019674C" w:rsidRPr="00873F9B" w:rsidRDefault="0019674C" w:rsidP="00AA11F5">
      <w:pPr>
        <w:autoSpaceDE w:val="0"/>
        <w:autoSpaceDN w:val="0"/>
        <w:adjustRightInd w:val="0"/>
        <w:jc w:val="both"/>
        <w:rPr>
          <w:rFonts w:eastAsia="PMingLiU"/>
          <w:szCs w:val="22"/>
          <w:lang w:val="el-GR" w:eastAsia="zh-TW"/>
        </w:rPr>
      </w:pPr>
      <w:r w:rsidRPr="00873F9B">
        <w:rPr>
          <w:rFonts w:eastAsia="PMingLiU"/>
          <w:szCs w:val="22"/>
          <w:lang w:val="el-GR" w:eastAsia="zh-TW"/>
        </w:rPr>
        <w:t xml:space="preserve">Η βραχυπρόθεσμη χορήγηση </w:t>
      </w:r>
      <w:r w:rsidR="000F14DA" w:rsidRPr="00873F9B">
        <w:rPr>
          <w:rFonts w:eastAsia="PMingLiU"/>
          <w:szCs w:val="22"/>
          <w:lang w:val="el-GR" w:eastAsia="zh-TW"/>
        </w:rPr>
        <w:t>βαλσαρτάνης</w:t>
      </w:r>
      <w:r w:rsidRPr="00873F9B">
        <w:rPr>
          <w:rFonts w:eastAsia="PMingLiU"/>
          <w:szCs w:val="22"/>
          <w:lang w:val="el-GR" w:eastAsia="zh-TW"/>
        </w:rPr>
        <w:t xml:space="preserve"> σε δώδεκα ασθενείς με νεφραγγειακή υπέρταση οφειλόμενη</w:t>
      </w:r>
      <w:r w:rsidR="0062546D" w:rsidRPr="00873F9B">
        <w:rPr>
          <w:rFonts w:eastAsia="PMingLiU"/>
          <w:szCs w:val="22"/>
          <w:lang w:val="el-GR" w:eastAsia="zh-TW"/>
        </w:rPr>
        <w:t xml:space="preserve"> </w:t>
      </w:r>
      <w:r w:rsidRPr="00873F9B">
        <w:rPr>
          <w:rFonts w:eastAsia="PMingLiU"/>
          <w:szCs w:val="22"/>
          <w:lang w:val="el-GR" w:eastAsia="zh-TW"/>
        </w:rPr>
        <w:t>σε ετερόπλευρη στένωση της νεφρικής αρτηρίας δεν προκάλεσε σημαντικές μεταβολές στη νεφρική</w:t>
      </w:r>
      <w:r w:rsidR="0062546D" w:rsidRPr="00873F9B">
        <w:rPr>
          <w:rFonts w:eastAsia="PMingLiU"/>
          <w:szCs w:val="22"/>
          <w:lang w:val="el-GR" w:eastAsia="zh-TW"/>
        </w:rPr>
        <w:t xml:space="preserve"> </w:t>
      </w:r>
      <w:r w:rsidRPr="00873F9B">
        <w:rPr>
          <w:rFonts w:eastAsia="PMingLiU"/>
          <w:szCs w:val="22"/>
          <w:lang w:val="el-GR" w:eastAsia="zh-TW"/>
        </w:rPr>
        <w:t>αιμοδυναμική, την κρεατινίνη του ορού, ή την ουρία αίματος (BUN). Ωστόσο, άλλοι παράγοντες που</w:t>
      </w:r>
      <w:r w:rsidR="0062546D" w:rsidRPr="00873F9B">
        <w:rPr>
          <w:rFonts w:eastAsia="PMingLiU"/>
          <w:szCs w:val="22"/>
          <w:lang w:val="el-GR" w:eastAsia="zh-TW"/>
        </w:rPr>
        <w:t xml:space="preserve"> </w:t>
      </w:r>
      <w:r w:rsidRPr="00873F9B">
        <w:rPr>
          <w:rFonts w:eastAsia="PMingLiU"/>
          <w:szCs w:val="22"/>
          <w:lang w:val="el-GR" w:eastAsia="zh-TW"/>
        </w:rPr>
        <w:t>επηρεάζουν το σύστημα ρενίνης-αγγειοτασίνης-αλδοστερόνης μπορεί να αυξήσουν την ουρία του</w:t>
      </w:r>
      <w:r w:rsidR="0062546D" w:rsidRPr="00873F9B">
        <w:rPr>
          <w:rFonts w:eastAsia="PMingLiU"/>
          <w:szCs w:val="22"/>
          <w:lang w:val="el-GR" w:eastAsia="zh-TW"/>
        </w:rPr>
        <w:t xml:space="preserve"> </w:t>
      </w:r>
      <w:r w:rsidRPr="00873F9B">
        <w:rPr>
          <w:rFonts w:eastAsia="PMingLiU"/>
          <w:szCs w:val="22"/>
          <w:lang w:val="el-GR" w:eastAsia="zh-TW"/>
        </w:rPr>
        <w:t>αίματος και την κρεατινίνη του ορού σε ασθενείς με ετερόπλευρη στένωση της νεφρικής αρτηρίας,</w:t>
      </w:r>
      <w:r w:rsidR="0062546D" w:rsidRPr="00873F9B">
        <w:rPr>
          <w:rFonts w:eastAsia="PMingLiU"/>
          <w:szCs w:val="22"/>
          <w:lang w:val="el-GR" w:eastAsia="zh-TW"/>
        </w:rPr>
        <w:t xml:space="preserve"> </w:t>
      </w:r>
      <w:r w:rsidRPr="00873F9B">
        <w:rPr>
          <w:rFonts w:eastAsia="PMingLiU"/>
          <w:szCs w:val="22"/>
          <w:lang w:val="el-GR" w:eastAsia="zh-TW"/>
        </w:rPr>
        <w:t xml:space="preserve">επομένως συνιστάται παρακολούθηση της νεφρικής λειτουργίας όταν χορηγείται βαλσαρτάνη </w:t>
      </w:r>
      <w:r w:rsidR="0062546D" w:rsidRPr="00873F9B">
        <w:rPr>
          <w:rFonts w:eastAsia="PMingLiU"/>
          <w:szCs w:val="22"/>
          <w:lang w:val="el-GR" w:eastAsia="zh-TW"/>
        </w:rPr>
        <w:t xml:space="preserve">στους </w:t>
      </w:r>
      <w:r w:rsidRPr="00873F9B">
        <w:rPr>
          <w:rFonts w:eastAsia="PMingLiU"/>
          <w:szCs w:val="22"/>
          <w:lang w:val="el-GR" w:eastAsia="zh-TW"/>
        </w:rPr>
        <w:t>ασθενείς.</w:t>
      </w:r>
    </w:p>
    <w:p w:rsidR="0019674C" w:rsidRPr="00873F9B" w:rsidRDefault="0019674C" w:rsidP="00AA11F5">
      <w:pPr>
        <w:autoSpaceDE w:val="0"/>
        <w:autoSpaceDN w:val="0"/>
        <w:adjustRightInd w:val="0"/>
        <w:jc w:val="both"/>
        <w:rPr>
          <w:rFonts w:eastAsia="PMingLiU"/>
          <w:szCs w:val="22"/>
          <w:lang w:val="el-GR" w:eastAsia="zh-TW"/>
        </w:rPr>
      </w:pPr>
    </w:p>
    <w:p w:rsidR="0019674C" w:rsidRPr="00873F9B" w:rsidRDefault="0019674C" w:rsidP="00AA11F5">
      <w:pPr>
        <w:autoSpaceDE w:val="0"/>
        <w:autoSpaceDN w:val="0"/>
        <w:adjustRightInd w:val="0"/>
        <w:jc w:val="both"/>
        <w:rPr>
          <w:szCs w:val="22"/>
          <w:u w:val="single"/>
          <w:lang w:val="el-GR"/>
        </w:rPr>
      </w:pPr>
      <w:r w:rsidRPr="00873F9B">
        <w:rPr>
          <w:szCs w:val="22"/>
          <w:u w:val="single"/>
          <w:lang w:val="el-GR"/>
        </w:rPr>
        <w:t>Μεταμόσχευση νεφρού</w:t>
      </w:r>
    </w:p>
    <w:p w:rsidR="0019674C" w:rsidRPr="00873F9B" w:rsidRDefault="0019674C" w:rsidP="00AA11F5">
      <w:pPr>
        <w:autoSpaceDE w:val="0"/>
        <w:autoSpaceDN w:val="0"/>
        <w:adjustRightInd w:val="0"/>
        <w:jc w:val="both"/>
        <w:rPr>
          <w:rFonts w:eastAsia="PMingLiU"/>
          <w:szCs w:val="22"/>
          <w:lang w:val="el-GR" w:eastAsia="zh-TW"/>
        </w:rPr>
      </w:pPr>
      <w:r w:rsidRPr="00873F9B">
        <w:rPr>
          <w:rFonts w:eastAsia="PMingLiU"/>
          <w:szCs w:val="22"/>
          <w:lang w:val="el-GR" w:eastAsia="zh-TW"/>
        </w:rPr>
        <w:t>Δεν υπάρχει επί του παρόντος εμπειρία για την ασφαλή χρήση τ</w:t>
      </w:r>
      <w:r w:rsidR="000F14DA" w:rsidRPr="00873F9B">
        <w:rPr>
          <w:rFonts w:eastAsia="PMingLiU"/>
          <w:szCs w:val="22"/>
          <w:lang w:val="el-GR" w:eastAsia="zh-TW"/>
        </w:rPr>
        <w:t>ης</w:t>
      </w:r>
      <w:r w:rsidRPr="00873F9B">
        <w:rPr>
          <w:rFonts w:eastAsia="PMingLiU"/>
          <w:szCs w:val="22"/>
          <w:lang w:val="el-GR" w:eastAsia="zh-TW"/>
        </w:rPr>
        <w:t xml:space="preserve"> </w:t>
      </w:r>
      <w:r w:rsidR="000F14DA" w:rsidRPr="00873F9B">
        <w:rPr>
          <w:rFonts w:eastAsia="PMingLiU"/>
          <w:szCs w:val="22"/>
          <w:lang w:val="el-GR" w:eastAsia="zh-TW"/>
        </w:rPr>
        <w:t xml:space="preserve">βαλσαρτάνης </w:t>
      </w:r>
      <w:r w:rsidRPr="00873F9B">
        <w:rPr>
          <w:rFonts w:eastAsia="PMingLiU"/>
          <w:szCs w:val="22"/>
          <w:lang w:val="el-GR" w:eastAsia="zh-TW"/>
        </w:rPr>
        <w:t>σε ασθενείς που</w:t>
      </w:r>
      <w:r w:rsidR="00FB2C0D" w:rsidRPr="00873F9B">
        <w:rPr>
          <w:rFonts w:eastAsia="PMingLiU"/>
          <w:szCs w:val="22"/>
          <w:lang w:val="el-GR" w:eastAsia="zh-TW"/>
        </w:rPr>
        <w:t xml:space="preserve"> </w:t>
      </w:r>
      <w:r w:rsidRPr="00873F9B">
        <w:rPr>
          <w:rFonts w:eastAsia="PMingLiU"/>
          <w:szCs w:val="22"/>
          <w:lang w:val="el-GR" w:eastAsia="zh-TW"/>
        </w:rPr>
        <w:t>υποβλήθηκαν προσφάτως σε μεταμόσχευση νεφρού.</w:t>
      </w:r>
    </w:p>
    <w:p w:rsidR="000F14DA" w:rsidRPr="00873F9B" w:rsidRDefault="000F14DA" w:rsidP="00AA11F5">
      <w:pPr>
        <w:autoSpaceDE w:val="0"/>
        <w:autoSpaceDN w:val="0"/>
        <w:adjustRightInd w:val="0"/>
        <w:jc w:val="both"/>
        <w:rPr>
          <w:szCs w:val="22"/>
          <w:u w:val="single"/>
          <w:lang w:val="el-GR"/>
        </w:rPr>
      </w:pPr>
    </w:p>
    <w:p w:rsidR="0019674C" w:rsidRPr="00873F9B" w:rsidRDefault="0019674C" w:rsidP="00AA11F5">
      <w:pPr>
        <w:autoSpaceDE w:val="0"/>
        <w:autoSpaceDN w:val="0"/>
        <w:adjustRightInd w:val="0"/>
        <w:jc w:val="both"/>
        <w:rPr>
          <w:szCs w:val="22"/>
          <w:u w:val="single"/>
          <w:lang w:val="el-GR"/>
        </w:rPr>
      </w:pPr>
      <w:r w:rsidRPr="00873F9B">
        <w:rPr>
          <w:szCs w:val="22"/>
          <w:u w:val="single"/>
          <w:lang w:val="el-GR"/>
        </w:rPr>
        <w:t>Πρωτοπαθής υπεραλδοστερονισμός</w:t>
      </w:r>
    </w:p>
    <w:p w:rsidR="0019674C" w:rsidRPr="00873F9B" w:rsidRDefault="0019674C" w:rsidP="00AA11F5">
      <w:pPr>
        <w:autoSpaceDE w:val="0"/>
        <w:autoSpaceDN w:val="0"/>
        <w:adjustRightInd w:val="0"/>
        <w:jc w:val="both"/>
        <w:rPr>
          <w:szCs w:val="22"/>
          <w:lang w:val="el-GR"/>
        </w:rPr>
      </w:pPr>
      <w:r w:rsidRPr="00873F9B">
        <w:rPr>
          <w:rFonts w:eastAsia="PMingLiU"/>
          <w:szCs w:val="22"/>
          <w:lang w:val="el-GR" w:eastAsia="zh-TW"/>
        </w:rPr>
        <w:lastRenderedPageBreak/>
        <w:t xml:space="preserve">Ασθενείς με πρωτοπαθή υπεραλδοστερονισμό δεν πρέπει να υποβληθούν σε θεραπεία με </w:t>
      </w:r>
      <w:r w:rsidR="000F14DA" w:rsidRPr="00873F9B">
        <w:rPr>
          <w:rFonts w:eastAsia="PMingLiU"/>
          <w:szCs w:val="22"/>
          <w:lang w:val="el-GR" w:eastAsia="zh-TW"/>
        </w:rPr>
        <w:t>βαλσαρτάνη</w:t>
      </w:r>
      <w:r w:rsidRPr="00873F9B">
        <w:rPr>
          <w:rFonts w:eastAsia="PMingLiU"/>
          <w:szCs w:val="22"/>
          <w:lang w:val="el-GR" w:eastAsia="zh-TW"/>
        </w:rPr>
        <w:t>,</w:t>
      </w:r>
      <w:r w:rsidR="00FB2C0D" w:rsidRPr="00873F9B">
        <w:rPr>
          <w:rFonts w:eastAsia="PMingLiU"/>
          <w:szCs w:val="22"/>
          <w:lang w:val="el-GR" w:eastAsia="zh-TW"/>
        </w:rPr>
        <w:t xml:space="preserve"> </w:t>
      </w:r>
      <w:r w:rsidRPr="00873F9B">
        <w:rPr>
          <w:rFonts w:eastAsia="PMingLiU"/>
          <w:szCs w:val="22"/>
          <w:lang w:val="el-GR" w:eastAsia="zh-TW"/>
        </w:rPr>
        <w:t>επειδή το σύστημα ρενίνης-αγειοτενσίνης σε αυτούς δεν είναι ενεργοποιημένο.</w:t>
      </w:r>
    </w:p>
    <w:p w:rsidR="000F14DA" w:rsidRPr="00873F9B" w:rsidRDefault="000F14DA" w:rsidP="00AA11F5">
      <w:pPr>
        <w:jc w:val="both"/>
        <w:rPr>
          <w:szCs w:val="22"/>
          <w:lang w:val="el-GR"/>
        </w:rPr>
      </w:pPr>
    </w:p>
    <w:p w:rsidR="00F70551" w:rsidRPr="00873F9B" w:rsidRDefault="00F70551" w:rsidP="00AA11F5">
      <w:pPr>
        <w:autoSpaceDE w:val="0"/>
        <w:autoSpaceDN w:val="0"/>
        <w:adjustRightInd w:val="0"/>
        <w:jc w:val="both"/>
        <w:rPr>
          <w:szCs w:val="22"/>
          <w:u w:val="single"/>
          <w:lang w:val="el-GR"/>
        </w:rPr>
      </w:pPr>
      <w:r w:rsidRPr="00873F9B">
        <w:rPr>
          <w:szCs w:val="22"/>
          <w:u w:val="single"/>
          <w:lang w:val="el-GR"/>
        </w:rPr>
        <w:t>Στένωση της αορτικής και μιτροειδούς βαλβίδας, αποφρακτική υπερτροφική μυοκαρδιοπάθεια</w:t>
      </w:r>
    </w:p>
    <w:p w:rsidR="00F70551" w:rsidRPr="00873F9B" w:rsidRDefault="00F70551" w:rsidP="00AA11F5">
      <w:pPr>
        <w:autoSpaceDE w:val="0"/>
        <w:autoSpaceDN w:val="0"/>
        <w:adjustRightInd w:val="0"/>
        <w:jc w:val="both"/>
        <w:rPr>
          <w:rFonts w:eastAsia="PMingLiU"/>
          <w:szCs w:val="22"/>
          <w:lang w:val="el-GR" w:eastAsia="zh-TW"/>
        </w:rPr>
      </w:pPr>
      <w:r w:rsidRPr="00873F9B">
        <w:rPr>
          <w:rFonts w:eastAsia="PMingLiU"/>
          <w:szCs w:val="22"/>
          <w:lang w:val="el-GR" w:eastAsia="zh-TW"/>
        </w:rPr>
        <w:t>Όπως με όλα τα αγγειοδιασταλτικά, συνιστάται ιδιαίτερη προσοχή σε ασθενείς που πάσχουν από</w:t>
      </w:r>
      <w:r w:rsidR="00FB2C0D" w:rsidRPr="00873F9B">
        <w:rPr>
          <w:rFonts w:eastAsia="PMingLiU"/>
          <w:szCs w:val="22"/>
          <w:lang w:val="el-GR" w:eastAsia="zh-TW"/>
        </w:rPr>
        <w:t xml:space="preserve"> </w:t>
      </w:r>
      <w:r w:rsidRPr="00873F9B">
        <w:rPr>
          <w:rFonts w:eastAsia="PMingLiU"/>
          <w:szCs w:val="22"/>
          <w:lang w:val="el-GR" w:eastAsia="zh-TW"/>
        </w:rPr>
        <w:t>στένωση αορτικής ή μιτροειδούς βαλβίδας ή αποφρακτική υπερτροφική μυοκαρδιοπάθεια (HOCM).</w:t>
      </w:r>
    </w:p>
    <w:p w:rsidR="00F70551" w:rsidRPr="00873F9B" w:rsidRDefault="00F70551" w:rsidP="00AA11F5">
      <w:pPr>
        <w:autoSpaceDE w:val="0"/>
        <w:autoSpaceDN w:val="0"/>
        <w:adjustRightInd w:val="0"/>
        <w:jc w:val="both"/>
        <w:rPr>
          <w:rFonts w:eastAsia="PMingLiU"/>
          <w:szCs w:val="22"/>
          <w:lang w:val="el-GR" w:eastAsia="zh-TW"/>
        </w:rPr>
      </w:pPr>
    </w:p>
    <w:p w:rsidR="00F70551" w:rsidRPr="00873F9B" w:rsidRDefault="00F70551" w:rsidP="00AA11F5">
      <w:pPr>
        <w:autoSpaceDE w:val="0"/>
        <w:autoSpaceDN w:val="0"/>
        <w:adjustRightInd w:val="0"/>
        <w:jc w:val="both"/>
        <w:rPr>
          <w:rFonts w:eastAsia="PMingLiU"/>
          <w:szCs w:val="22"/>
          <w:lang w:val="el-GR" w:eastAsia="zh-TW"/>
        </w:rPr>
      </w:pPr>
      <w:r w:rsidRPr="00873F9B">
        <w:rPr>
          <w:szCs w:val="22"/>
          <w:u w:val="single"/>
          <w:lang w:val="el-GR"/>
        </w:rPr>
        <w:t>Κύηση</w:t>
      </w:r>
    </w:p>
    <w:p w:rsidR="00BF291C" w:rsidRPr="00873F9B" w:rsidRDefault="00F70551" w:rsidP="00AA11F5">
      <w:pPr>
        <w:autoSpaceDE w:val="0"/>
        <w:autoSpaceDN w:val="0"/>
        <w:adjustRightInd w:val="0"/>
        <w:jc w:val="both"/>
        <w:rPr>
          <w:szCs w:val="22"/>
          <w:lang w:val="el-GR"/>
        </w:rPr>
      </w:pPr>
      <w:r w:rsidRPr="00873F9B">
        <w:rPr>
          <w:rFonts w:eastAsia="PMingLiU"/>
          <w:szCs w:val="22"/>
          <w:lang w:val="el-GR" w:eastAsia="zh-TW"/>
        </w:rPr>
        <w:t>Η χρήση των ανταγωνιστών των υποδοχέων της αγγειοτασίνης ΙΙ (AIIRA) δεν θα πρέπει να ξεκινά</w:t>
      </w:r>
      <w:r w:rsidR="00FB2C0D" w:rsidRPr="00873F9B">
        <w:rPr>
          <w:rFonts w:eastAsia="PMingLiU"/>
          <w:szCs w:val="22"/>
          <w:lang w:val="el-GR" w:eastAsia="zh-TW"/>
        </w:rPr>
        <w:t xml:space="preserve"> </w:t>
      </w:r>
      <w:r w:rsidRPr="00873F9B">
        <w:rPr>
          <w:rFonts w:eastAsia="PMingLiU"/>
          <w:szCs w:val="22"/>
          <w:lang w:val="el-GR" w:eastAsia="zh-TW"/>
        </w:rPr>
        <w:t>κατά τη διάρκεια της εγκυμοσύνης. Εκτός εάν η συνεχιζόμενη θεραπεία με AIIRA θεωρηθεί</w:t>
      </w:r>
      <w:r w:rsidR="00FB2C0D" w:rsidRPr="00873F9B">
        <w:rPr>
          <w:rFonts w:eastAsia="PMingLiU"/>
          <w:szCs w:val="22"/>
          <w:lang w:val="el-GR" w:eastAsia="zh-TW"/>
        </w:rPr>
        <w:t xml:space="preserve"> </w:t>
      </w:r>
      <w:r w:rsidRPr="00873F9B">
        <w:rPr>
          <w:rFonts w:eastAsia="PMingLiU"/>
          <w:szCs w:val="22"/>
          <w:lang w:val="el-GR" w:eastAsia="zh-TW"/>
        </w:rPr>
        <w:t>απαραίτητη, οι ασθενείς που προγραμματίζουν εγκυμοσύνη θα πρέπει να μεταβούν σε εναλλακτικές</w:t>
      </w:r>
      <w:r w:rsidR="00FB2C0D" w:rsidRPr="00873F9B">
        <w:rPr>
          <w:rFonts w:eastAsia="PMingLiU"/>
          <w:szCs w:val="22"/>
          <w:lang w:val="el-GR" w:eastAsia="zh-TW"/>
        </w:rPr>
        <w:t xml:space="preserve"> </w:t>
      </w:r>
      <w:r w:rsidRPr="00873F9B">
        <w:rPr>
          <w:rFonts w:eastAsia="PMingLiU"/>
          <w:szCs w:val="22"/>
          <w:lang w:val="el-GR" w:eastAsia="zh-TW"/>
        </w:rPr>
        <w:t>αντιυπερτασικές θεραπείες οι οποίες έχουν καθιερωμένο προφίλ ασφάλειας για χρήση κατά την</w:t>
      </w:r>
      <w:r w:rsidR="00FB2C0D" w:rsidRPr="00873F9B">
        <w:rPr>
          <w:rFonts w:eastAsia="PMingLiU"/>
          <w:szCs w:val="22"/>
          <w:lang w:val="el-GR" w:eastAsia="zh-TW"/>
        </w:rPr>
        <w:t xml:space="preserve"> </w:t>
      </w:r>
      <w:r w:rsidRPr="00873F9B">
        <w:rPr>
          <w:rFonts w:eastAsia="PMingLiU"/>
          <w:szCs w:val="22"/>
          <w:lang w:val="el-GR" w:eastAsia="zh-TW"/>
        </w:rPr>
        <w:t>εγκυμοσύνη. Όταν διαγνωστεί εγκυμοσύνη, η θεραπεία με AIIRA θα πρέπει να διακόπτεται αμέσως,</w:t>
      </w:r>
      <w:r w:rsidR="00FB2C0D" w:rsidRPr="00873F9B">
        <w:rPr>
          <w:rFonts w:eastAsia="PMingLiU"/>
          <w:szCs w:val="22"/>
          <w:lang w:val="el-GR" w:eastAsia="zh-TW"/>
        </w:rPr>
        <w:t xml:space="preserve"> </w:t>
      </w:r>
      <w:r w:rsidRPr="00873F9B">
        <w:rPr>
          <w:rFonts w:eastAsia="PMingLiU"/>
          <w:szCs w:val="22"/>
          <w:lang w:val="el-GR" w:eastAsia="zh-TW"/>
        </w:rPr>
        <w:t>και εφόσον απαιτείται, θα πρέπει να ξεκινάει μια εναλλακτική θεραπεία (βλ. παραγράφους 4.3 και</w:t>
      </w:r>
      <w:r w:rsidR="00FB2C0D" w:rsidRPr="00873F9B">
        <w:rPr>
          <w:rFonts w:eastAsia="PMingLiU"/>
          <w:szCs w:val="22"/>
          <w:lang w:val="el-GR" w:eastAsia="zh-TW"/>
        </w:rPr>
        <w:t xml:space="preserve"> </w:t>
      </w:r>
      <w:r w:rsidRPr="00873F9B">
        <w:rPr>
          <w:rFonts w:eastAsia="PMingLiU"/>
          <w:szCs w:val="22"/>
          <w:lang w:val="el-GR" w:eastAsia="zh-TW"/>
        </w:rPr>
        <w:t>4.6).</w:t>
      </w:r>
    </w:p>
    <w:p w:rsidR="00BF291C" w:rsidRPr="00873F9B" w:rsidRDefault="00BF291C" w:rsidP="00AA11F5">
      <w:pPr>
        <w:jc w:val="both"/>
        <w:rPr>
          <w:szCs w:val="22"/>
          <w:lang w:val="el-GR"/>
        </w:rPr>
      </w:pPr>
    </w:p>
    <w:p w:rsidR="00650DC1" w:rsidRPr="00873F9B" w:rsidRDefault="00650DC1" w:rsidP="00AA11F5">
      <w:pPr>
        <w:autoSpaceDE w:val="0"/>
        <w:autoSpaceDN w:val="0"/>
        <w:adjustRightInd w:val="0"/>
        <w:jc w:val="both"/>
        <w:rPr>
          <w:szCs w:val="22"/>
          <w:u w:val="single"/>
          <w:lang w:val="el-GR"/>
        </w:rPr>
      </w:pPr>
      <w:r w:rsidRPr="00873F9B">
        <w:rPr>
          <w:szCs w:val="22"/>
          <w:u w:val="single"/>
          <w:lang w:val="el-GR"/>
        </w:rPr>
        <w:t xml:space="preserve">Πρόσφατο έμφραγμα του μυοκαρδίου (μόνο για τα 40 </w:t>
      </w:r>
      <w:r w:rsidRPr="00873F9B">
        <w:rPr>
          <w:szCs w:val="22"/>
          <w:u w:val="single"/>
        </w:rPr>
        <w:t>mg</w:t>
      </w:r>
      <w:r w:rsidRPr="00873F9B">
        <w:rPr>
          <w:szCs w:val="22"/>
          <w:u w:val="single"/>
          <w:lang w:val="el-GR"/>
        </w:rPr>
        <w:t xml:space="preserve">, 80 </w:t>
      </w:r>
      <w:r w:rsidRPr="00873F9B">
        <w:rPr>
          <w:szCs w:val="22"/>
          <w:u w:val="single"/>
        </w:rPr>
        <w:t>mg</w:t>
      </w:r>
      <w:r w:rsidRPr="00873F9B">
        <w:rPr>
          <w:szCs w:val="22"/>
          <w:u w:val="single"/>
          <w:lang w:val="el-GR"/>
        </w:rPr>
        <w:t xml:space="preserve"> και 160 </w:t>
      </w:r>
      <w:r w:rsidRPr="00873F9B">
        <w:rPr>
          <w:szCs w:val="22"/>
          <w:u w:val="single"/>
        </w:rPr>
        <w:t>mg</w:t>
      </w:r>
      <w:r w:rsidRPr="00873F9B">
        <w:rPr>
          <w:szCs w:val="22"/>
          <w:u w:val="single"/>
          <w:lang w:val="el-GR"/>
        </w:rPr>
        <w:t>)</w:t>
      </w:r>
    </w:p>
    <w:p w:rsidR="00650DC1" w:rsidRPr="00873F9B" w:rsidRDefault="00650DC1" w:rsidP="00AA11F5">
      <w:pPr>
        <w:autoSpaceDE w:val="0"/>
        <w:autoSpaceDN w:val="0"/>
        <w:adjustRightInd w:val="0"/>
        <w:jc w:val="both"/>
        <w:rPr>
          <w:rFonts w:eastAsia="PMingLiU"/>
          <w:szCs w:val="22"/>
          <w:lang w:val="el-GR" w:eastAsia="zh-TW"/>
        </w:rPr>
      </w:pPr>
      <w:r w:rsidRPr="00873F9B">
        <w:rPr>
          <w:rFonts w:eastAsia="PMingLiU"/>
          <w:szCs w:val="22"/>
          <w:lang w:val="el-GR" w:eastAsia="zh-TW"/>
        </w:rPr>
        <w:t>Ο συνδυασμός καπτοπρίλης και βαλσαρτάνης δεν έδειξε κάποιο επιπλέον κλινικό όφελος, αντίθετα ο</w:t>
      </w:r>
      <w:r w:rsidR="002675A2" w:rsidRPr="00873F9B">
        <w:rPr>
          <w:rFonts w:eastAsia="PMingLiU"/>
          <w:szCs w:val="22"/>
          <w:lang w:val="el-GR" w:eastAsia="zh-TW"/>
        </w:rPr>
        <w:t xml:space="preserve"> </w:t>
      </w:r>
      <w:r w:rsidRPr="00873F9B">
        <w:rPr>
          <w:rFonts w:eastAsia="PMingLiU"/>
          <w:szCs w:val="22"/>
          <w:lang w:val="el-GR" w:eastAsia="zh-TW"/>
        </w:rPr>
        <w:t>κίνδυνος ανεπιθύμητων συμβαμάτων αυξήθηκε σε σύγκριση με τη θεραπεία με κάθε ένα από τα</w:t>
      </w:r>
      <w:r w:rsidR="002675A2" w:rsidRPr="00873F9B">
        <w:rPr>
          <w:rFonts w:eastAsia="PMingLiU"/>
          <w:szCs w:val="22"/>
          <w:lang w:val="el-GR" w:eastAsia="zh-TW"/>
        </w:rPr>
        <w:t xml:space="preserve"> </w:t>
      </w:r>
      <w:r w:rsidRPr="00873F9B">
        <w:rPr>
          <w:rFonts w:eastAsia="PMingLiU"/>
          <w:szCs w:val="22"/>
          <w:lang w:val="el-GR" w:eastAsia="zh-TW"/>
        </w:rPr>
        <w:t>φάρμακα ξεχωριστά (βλ. παραγράφους 4.2 και 5.1). Επομένως, ο συνδυασμός βαλσαρτάνης με</w:t>
      </w:r>
      <w:r w:rsidR="002675A2" w:rsidRPr="00873F9B">
        <w:rPr>
          <w:rFonts w:eastAsia="PMingLiU"/>
          <w:szCs w:val="22"/>
          <w:lang w:val="el-GR" w:eastAsia="zh-TW"/>
        </w:rPr>
        <w:t xml:space="preserve"> </w:t>
      </w:r>
      <w:r w:rsidRPr="00873F9B">
        <w:rPr>
          <w:rFonts w:eastAsia="PMingLiU"/>
          <w:szCs w:val="22"/>
          <w:lang w:val="el-GR" w:eastAsia="zh-TW"/>
        </w:rPr>
        <w:t>κάποιο αναστολέα ΜΕΑ δεν συνιστάται.</w:t>
      </w:r>
    </w:p>
    <w:p w:rsidR="00650DC1" w:rsidRPr="00873F9B" w:rsidRDefault="00650DC1" w:rsidP="00AA11F5">
      <w:pPr>
        <w:autoSpaceDE w:val="0"/>
        <w:autoSpaceDN w:val="0"/>
        <w:adjustRightInd w:val="0"/>
        <w:jc w:val="both"/>
        <w:rPr>
          <w:rFonts w:eastAsia="PMingLiU"/>
          <w:szCs w:val="22"/>
          <w:lang w:val="el-GR" w:eastAsia="zh-TW"/>
        </w:rPr>
      </w:pPr>
      <w:r w:rsidRPr="00873F9B">
        <w:rPr>
          <w:rFonts w:eastAsia="PMingLiU"/>
          <w:szCs w:val="22"/>
          <w:lang w:val="el-GR" w:eastAsia="zh-TW"/>
        </w:rPr>
        <w:t>Η έναρξη της θεραπείας σε ασθενείς μετά από έμφραγμα του μυοκαρδίου θα πρέπει να γίνεται με</w:t>
      </w:r>
      <w:r w:rsidR="002675A2" w:rsidRPr="00873F9B">
        <w:rPr>
          <w:rFonts w:eastAsia="PMingLiU"/>
          <w:szCs w:val="22"/>
          <w:lang w:val="el-GR" w:eastAsia="zh-TW"/>
        </w:rPr>
        <w:t xml:space="preserve"> </w:t>
      </w:r>
      <w:r w:rsidRPr="00873F9B">
        <w:rPr>
          <w:rFonts w:eastAsia="PMingLiU"/>
          <w:szCs w:val="22"/>
          <w:lang w:val="el-GR" w:eastAsia="zh-TW"/>
        </w:rPr>
        <w:t>προσοχή. Η αξιολόγηση των ασθενών μετά από έμφραγμα του μυοκαρδίου πρέπει πάντα να</w:t>
      </w:r>
      <w:r w:rsidR="002675A2" w:rsidRPr="00873F9B">
        <w:rPr>
          <w:rFonts w:eastAsia="PMingLiU"/>
          <w:szCs w:val="22"/>
          <w:lang w:val="el-GR" w:eastAsia="zh-TW"/>
        </w:rPr>
        <w:t xml:space="preserve"> </w:t>
      </w:r>
      <w:r w:rsidRPr="00873F9B">
        <w:rPr>
          <w:rFonts w:eastAsia="PMingLiU"/>
          <w:szCs w:val="22"/>
          <w:lang w:val="el-GR" w:eastAsia="zh-TW"/>
        </w:rPr>
        <w:t>περιλαμβάνει εκτίμηση της νεφρικής λειτουργίας (βλ. παράγραφο 4.2).</w:t>
      </w:r>
    </w:p>
    <w:p w:rsidR="00BF291C" w:rsidRPr="00873F9B" w:rsidRDefault="00650DC1" w:rsidP="00AA11F5">
      <w:pPr>
        <w:autoSpaceDE w:val="0"/>
        <w:autoSpaceDN w:val="0"/>
        <w:adjustRightInd w:val="0"/>
        <w:jc w:val="both"/>
        <w:rPr>
          <w:szCs w:val="22"/>
          <w:lang w:val="el-GR"/>
        </w:rPr>
      </w:pPr>
      <w:r w:rsidRPr="00873F9B">
        <w:rPr>
          <w:rFonts w:eastAsia="PMingLiU"/>
          <w:szCs w:val="22"/>
          <w:lang w:val="el-GR" w:eastAsia="zh-TW"/>
        </w:rPr>
        <w:t>Η χρήση της βαλσαρτάνης σε ασθενείς μετά από έμφραγμα του μυοκαρδίου οδηγεί συνήθως σε κάποιου</w:t>
      </w:r>
      <w:r w:rsidR="002675A2" w:rsidRPr="00873F9B">
        <w:rPr>
          <w:rFonts w:eastAsia="PMingLiU"/>
          <w:szCs w:val="22"/>
          <w:lang w:val="el-GR" w:eastAsia="zh-TW"/>
        </w:rPr>
        <w:t xml:space="preserve"> </w:t>
      </w:r>
      <w:r w:rsidRPr="00873F9B">
        <w:rPr>
          <w:rFonts w:eastAsia="PMingLiU"/>
          <w:szCs w:val="22"/>
          <w:lang w:val="el-GR" w:eastAsia="zh-TW"/>
        </w:rPr>
        <w:t>βαθμού μείωση της αρτηριακής πίεσης, αλλά συνήθως δεν απαιτείται διακοπή της θεραπείας εξαιτίας</w:t>
      </w:r>
      <w:r w:rsidR="002675A2" w:rsidRPr="00873F9B">
        <w:rPr>
          <w:rFonts w:eastAsia="PMingLiU"/>
          <w:szCs w:val="22"/>
          <w:lang w:val="el-GR" w:eastAsia="zh-TW"/>
        </w:rPr>
        <w:t xml:space="preserve"> </w:t>
      </w:r>
      <w:r w:rsidRPr="00873F9B">
        <w:rPr>
          <w:rFonts w:eastAsia="PMingLiU"/>
          <w:szCs w:val="22"/>
          <w:lang w:val="el-GR" w:eastAsia="zh-TW"/>
        </w:rPr>
        <w:t>συνεχιζόμενης συμπτωματικής υπότασης με την προϋπόθεση ότι τηρούνται οι οδηγίες σχετικά με τη</w:t>
      </w:r>
      <w:r w:rsidR="002675A2" w:rsidRPr="00873F9B">
        <w:rPr>
          <w:rFonts w:eastAsia="PMingLiU"/>
          <w:szCs w:val="22"/>
          <w:lang w:val="el-GR" w:eastAsia="zh-TW"/>
        </w:rPr>
        <w:t xml:space="preserve"> </w:t>
      </w:r>
      <w:r w:rsidRPr="00873F9B">
        <w:rPr>
          <w:rFonts w:eastAsia="PMingLiU"/>
          <w:szCs w:val="22"/>
          <w:lang w:val="el-GR" w:eastAsia="zh-TW"/>
        </w:rPr>
        <w:t>δοσολογία (βλ. παράγραφο 4.2).</w:t>
      </w:r>
    </w:p>
    <w:p w:rsidR="00BF291C" w:rsidRPr="00873F9B" w:rsidRDefault="00BF291C" w:rsidP="00AA11F5">
      <w:pPr>
        <w:jc w:val="both"/>
        <w:rPr>
          <w:szCs w:val="22"/>
          <w:lang w:val="el-GR"/>
        </w:rPr>
      </w:pPr>
    </w:p>
    <w:p w:rsidR="0022654E" w:rsidRPr="00873F9B" w:rsidRDefault="0022654E" w:rsidP="00AA11F5">
      <w:pPr>
        <w:autoSpaceDE w:val="0"/>
        <w:autoSpaceDN w:val="0"/>
        <w:adjustRightInd w:val="0"/>
        <w:jc w:val="both"/>
        <w:rPr>
          <w:szCs w:val="22"/>
          <w:u w:val="single"/>
          <w:lang w:val="el-GR"/>
        </w:rPr>
      </w:pPr>
      <w:r w:rsidRPr="00873F9B">
        <w:rPr>
          <w:szCs w:val="22"/>
          <w:u w:val="single"/>
          <w:lang w:val="el-GR"/>
        </w:rPr>
        <w:t xml:space="preserve">Καρδιακή ανεπάρκεια (μόνο για τα 40 </w:t>
      </w:r>
      <w:r w:rsidRPr="00873F9B">
        <w:rPr>
          <w:szCs w:val="22"/>
          <w:u w:val="single"/>
        </w:rPr>
        <w:t>mg</w:t>
      </w:r>
      <w:r w:rsidRPr="00873F9B">
        <w:rPr>
          <w:szCs w:val="22"/>
          <w:u w:val="single"/>
          <w:lang w:val="el-GR"/>
        </w:rPr>
        <w:t xml:space="preserve">, 80 </w:t>
      </w:r>
      <w:r w:rsidRPr="00873F9B">
        <w:rPr>
          <w:szCs w:val="22"/>
          <w:u w:val="single"/>
        </w:rPr>
        <w:t>mg</w:t>
      </w:r>
      <w:r w:rsidRPr="00873F9B">
        <w:rPr>
          <w:szCs w:val="22"/>
          <w:u w:val="single"/>
          <w:lang w:val="el-GR"/>
        </w:rPr>
        <w:t xml:space="preserve"> και 160 </w:t>
      </w:r>
      <w:r w:rsidRPr="00873F9B">
        <w:rPr>
          <w:szCs w:val="22"/>
          <w:u w:val="single"/>
        </w:rPr>
        <w:t>mg</w:t>
      </w:r>
      <w:r w:rsidRPr="00873F9B">
        <w:rPr>
          <w:szCs w:val="22"/>
          <w:u w:val="single"/>
          <w:lang w:val="el-GR"/>
        </w:rPr>
        <w:t>)</w:t>
      </w:r>
    </w:p>
    <w:p w:rsidR="0022654E" w:rsidRPr="00873F9B" w:rsidRDefault="0022654E" w:rsidP="00AA11F5">
      <w:pPr>
        <w:autoSpaceDE w:val="0"/>
        <w:autoSpaceDN w:val="0"/>
        <w:adjustRightInd w:val="0"/>
        <w:jc w:val="both"/>
        <w:rPr>
          <w:rFonts w:eastAsia="PMingLiU"/>
          <w:szCs w:val="22"/>
          <w:lang w:val="el-GR" w:eastAsia="zh-TW"/>
        </w:rPr>
      </w:pPr>
      <w:r w:rsidRPr="00873F9B">
        <w:rPr>
          <w:rFonts w:eastAsia="PMingLiU"/>
          <w:szCs w:val="22"/>
          <w:lang w:val="el-GR" w:eastAsia="zh-TW"/>
        </w:rPr>
        <w:t>Σε ασθενείς με καρδιακή ανεπάρκεια, ο τριπλός συνδυασμός ενός αναστολέα ΜΕΑ, ενός β</w:t>
      </w:r>
      <w:r w:rsidR="002675A2" w:rsidRPr="00873F9B">
        <w:rPr>
          <w:rFonts w:eastAsia="PMingLiU"/>
          <w:szCs w:val="22"/>
          <w:lang w:val="el-GR" w:eastAsia="zh-TW"/>
        </w:rPr>
        <w:t xml:space="preserve"> – </w:t>
      </w:r>
      <w:r w:rsidRPr="00873F9B">
        <w:rPr>
          <w:rFonts w:eastAsia="PMingLiU"/>
          <w:szCs w:val="22"/>
          <w:lang w:val="el-GR" w:eastAsia="zh-TW"/>
        </w:rPr>
        <w:t>αποκλειστή</w:t>
      </w:r>
      <w:r w:rsidR="002675A2" w:rsidRPr="00873F9B">
        <w:rPr>
          <w:rFonts w:eastAsia="PMingLiU"/>
          <w:szCs w:val="22"/>
          <w:lang w:val="el-GR" w:eastAsia="zh-TW"/>
        </w:rPr>
        <w:t xml:space="preserve"> </w:t>
      </w:r>
      <w:r w:rsidRPr="00873F9B">
        <w:rPr>
          <w:rFonts w:eastAsia="PMingLiU"/>
          <w:szCs w:val="22"/>
          <w:lang w:val="el-GR" w:eastAsia="zh-TW"/>
        </w:rPr>
        <w:t xml:space="preserve">και </w:t>
      </w:r>
      <w:r w:rsidR="003341CA" w:rsidRPr="00873F9B">
        <w:rPr>
          <w:rFonts w:eastAsia="PMingLiU"/>
          <w:szCs w:val="22"/>
          <w:lang w:val="el-GR" w:eastAsia="zh-TW"/>
        </w:rPr>
        <w:t>βαλσαρτάνης</w:t>
      </w:r>
      <w:r w:rsidRPr="00873F9B">
        <w:rPr>
          <w:rFonts w:eastAsia="PMingLiU"/>
          <w:szCs w:val="22"/>
          <w:lang w:val="el-GR" w:eastAsia="zh-TW"/>
        </w:rPr>
        <w:t xml:space="preserve"> δεν έχει δείξει κλινικό όφελος (βλ. παράγραφο 5.1). Ο συνδυασμός </w:t>
      </w:r>
      <w:r w:rsidR="002675A2" w:rsidRPr="00873F9B">
        <w:rPr>
          <w:rFonts w:eastAsia="PMingLiU"/>
          <w:szCs w:val="22"/>
          <w:lang w:val="el-GR" w:eastAsia="zh-TW"/>
        </w:rPr>
        <w:t xml:space="preserve">αυτός </w:t>
      </w:r>
      <w:r w:rsidRPr="00873F9B">
        <w:rPr>
          <w:rFonts w:eastAsia="PMingLiU"/>
          <w:szCs w:val="22"/>
          <w:lang w:val="el-GR" w:eastAsia="zh-TW"/>
        </w:rPr>
        <w:t>εμφανώς αυξάνει τον κίνδυνο για ανεπιθύμητες ενέργειες και συνεπώς δεν συνιστάται.</w:t>
      </w:r>
    </w:p>
    <w:p w:rsidR="0022654E" w:rsidRPr="00873F9B" w:rsidRDefault="0022654E" w:rsidP="00AA11F5">
      <w:pPr>
        <w:autoSpaceDE w:val="0"/>
        <w:autoSpaceDN w:val="0"/>
        <w:adjustRightInd w:val="0"/>
        <w:spacing w:before="120"/>
        <w:jc w:val="both"/>
        <w:rPr>
          <w:rFonts w:eastAsia="PMingLiU"/>
          <w:szCs w:val="22"/>
          <w:lang w:val="el-GR" w:eastAsia="zh-TW"/>
        </w:rPr>
      </w:pPr>
      <w:r w:rsidRPr="00873F9B">
        <w:rPr>
          <w:rFonts w:eastAsia="PMingLiU"/>
          <w:szCs w:val="22"/>
          <w:lang w:val="el-GR" w:eastAsia="zh-TW"/>
        </w:rPr>
        <w:t>Θα πρέπει να δίνεται προσοχή όταν αρχίζει η θεραπεία σε ασθενείς με καρδιακή ανεπάρκεια. Η</w:t>
      </w:r>
      <w:r w:rsidR="002675A2" w:rsidRPr="00873F9B">
        <w:rPr>
          <w:rFonts w:eastAsia="PMingLiU"/>
          <w:szCs w:val="22"/>
          <w:lang w:val="el-GR" w:eastAsia="zh-TW"/>
        </w:rPr>
        <w:t xml:space="preserve"> </w:t>
      </w:r>
      <w:r w:rsidRPr="00873F9B">
        <w:rPr>
          <w:rFonts w:eastAsia="PMingLiU"/>
          <w:szCs w:val="22"/>
          <w:lang w:val="el-GR" w:eastAsia="zh-TW"/>
        </w:rPr>
        <w:t xml:space="preserve">αξιολόγηση των ασθενών με καρδιακή ανεπάρκεια πρέπει πάντα να περιλαμβάνει εκτίμηση </w:t>
      </w:r>
      <w:r w:rsidR="002675A2" w:rsidRPr="00873F9B">
        <w:rPr>
          <w:rFonts w:eastAsia="PMingLiU"/>
          <w:szCs w:val="22"/>
          <w:lang w:val="el-GR" w:eastAsia="zh-TW"/>
        </w:rPr>
        <w:t xml:space="preserve">της </w:t>
      </w:r>
      <w:r w:rsidRPr="00873F9B">
        <w:rPr>
          <w:rFonts w:eastAsia="PMingLiU"/>
          <w:szCs w:val="22"/>
          <w:lang w:val="el-GR" w:eastAsia="zh-TW"/>
        </w:rPr>
        <w:t>νεφρικής λειτουργίας (βλ. παράγραφο 4.2).</w:t>
      </w:r>
    </w:p>
    <w:p w:rsidR="0022654E" w:rsidRPr="00873F9B" w:rsidRDefault="0022654E" w:rsidP="00AA11F5">
      <w:pPr>
        <w:autoSpaceDE w:val="0"/>
        <w:autoSpaceDN w:val="0"/>
        <w:adjustRightInd w:val="0"/>
        <w:jc w:val="both"/>
        <w:rPr>
          <w:rFonts w:eastAsia="PMingLiU"/>
          <w:szCs w:val="22"/>
          <w:lang w:val="el-GR" w:eastAsia="zh-TW"/>
        </w:rPr>
      </w:pPr>
      <w:r w:rsidRPr="00873F9B">
        <w:rPr>
          <w:rFonts w:eastAsia="PMingLiU"/>
          <w:szCs w:val="22"/>
          <w:lang w:val="el-GR" w:eastAsia="zh-TW"/>
        </w:rPr>
        <w:t xml:space="preserve">Η χρήση </w:t>
      </w:r>
      <w:r w:rsidR="003341CA" w:rsidRPr="00873F9B">
        <w:rPr>
          <w:rFonts w:eastAsia="PMingLiU"/>
          <w:szCs w:val="22"/>
          <w:lang w:val="el-GR" w:eastAsia="zh-TW"/>
        </w:rPr>
        <w:t>βαλσαρτάνης</w:t>
      </w:r>
      <w:r w:rsidRPr="00873F9B">
        <w:rPr>
          <w:rFonts w:eastAsia="PMingLiU"/>
          <w:szCs w:val="22"/>
          <w:lang w:val="el-GR" w:eastAsia="zh-TW"/>
        </w:rPr>
        <w:t xml:space="preserve"> σε ασθενείς με καρδιακή ανεπάρκεια οδηγεί συνήθως σε κάποιου βαθμού</w:t>
      </w:r>
      <w:r w:rsidR="002675A2" w:rsidRPr="00873F9B">
        <w:rPr>
          <w:rFonts w:eastAsia="PMingLiU"/>
          <w:szCs w:val="22"/>
          <w:lang w:val="el-GR" w:eastAsia="zh-TW"/>
        </w:rPr>
        <w:t xml:space="preserve"> </w:t>
      </w:r>
      <w:r w:rsidRPr="00873F9B">
        <w:rPr>
          <w:rFonts w:eastAsia="PMingLiU"/>
          <w:szCs w:val="22"/>
          <w:lang w:val="el-GR" w:eastAsia="zh-TW"/>
        </w:rPr>
        <w:t>μείωση της αρτηριακής πίεσης, αλλά συνήθως δεν απαιτείται διακοπή της θεραπείας εξαιτίας</w:t>
      </w:r>
      <w:r w:rsidR="002675A2" w:rsidRPr="00873F9B">
        <w:rPr>
          <w:rFonts w:eastAsia="PMingLiU"/>
          <w:szCs w:val="22"/>
          <w:lang w:val="el-GR" w:eastAsia="zh-TW"/>
        </w:rPr>
        <w:t xml:space="preserve"> </w:t>
      </w:r>
      <w:r w:rsidRPr="00873F9B">
        <w:rPr>
          <w:rFonts w:eastAsia="PMingLiU"/>
          <w:szCs w:val="22"/>
          <w:lang w:val="el-GR" w:eastAsia="zh-TW"/>
        </w:rPr>
        <w:t>συνεχιζόμενης συμπτωματικής υπότασης με την προϋπόθεση ότι τηρούνται οι οδηγίες σχετικά με τη</w:t>
      </w:r>
      <w:r w:rsidR="002675A2" w:rsidRPr="00873F9B">
        <w:rPr>
          <w:rFonts w:eastAsia="PMingLiU"/>
          <w:szCs w:val="22"/>
          <w:lang w:val="el-GR" w:eastAsia="zh-TW"/>
        </w:rPr>
        <w:t xml:space="preserve"> </w:t>
      </w:r>
      <w:r w:rsidRPr="00873F9B">
        <w:rPr>
          <w:rFonts w:eastAsia="PMingLiU"/>
          <w:szCs w:val="22"/>
          <w:lang w:val="el-GR" w:eastAsia="zh-TW"/>
        </w:rPr>
        <w:t>δοσολογία (βλ. παράγραφο 4.2).</w:t>
      </w:r>
    </w:p>
    <w:p w:rsidR="00650DC1" w:rsidRDefault="0022654E" w:rsidP="00AA11F5">
      <w:pPr>
        <w:autoSpaceDE w:val="0"/>
        <w:autoSpaceDN w:val="0"/>
        <w:adjustRightInd w:val="0"/>
        <w:jc w:val="both"/>
        <w:rPr>
          <w:rFonts w:eastAsia="PMingLiU"/>
          <w:szCs w:val="22"/>
          <w:lang w:val="el-GR" w:eastAsia="zh-TW"/>
        </w:rPr>
      </w:pPr>
      <w:r w:rsidRPr="00873F9B">
        <w:rPr>
          <w:rFonts w:eastAsia="PMingLiU"/>
          <w:szCs w:val="22"/>
          <w:lang w:val="el-GR" w:eastAsia="zh-TW"/>
        </w:rPr>
        <w:t>Σε ασθενείς στους οποίους η νεφρική λειτουργία μπορεί να εξαρτάται από τη δραστικότητα του</w:t>
      </w:r>
      <w:r w:rsidR="002675A2" w:rsidRPr="00873F9B">
        <w:rPr>
          <w:rFonts w:eastAsia="PMingLiU"/>
          <w:szCs w:val="22"/>
          <w:lang w:val="el-GR" w:eastAsia="zh-TW"/>
        </w:rPr>
        <w:t xml:space="preserve"> </w:t>
      </w:r>
      <w:r w:rsidRPr="00873F9B">
        <w:rPr>
          <w:rFonts w:eastAsia="PMingLiU"/>
          <w:szCs w:val="22"/>
          <w:lang w:val="el-GR" w:eastAsia="zh-TW"/>
        </w:rPr>
        <w:t>συστήματος ρενίνης-αγγειοτασίνης-αλδοστερόνης (π.χ. ασθενείς με σοβαρή συμφορητική καρδιακή</w:t>
      </w:r>
      <w:r w:rsidR="002675A2" w:rsidRPr="00873F9B">
        <w:rPr>
          <w:rFonts w:eastAsia="PMingLiU"/>
          <w:szCs w:val="22"/>
          <w:lang w:val="el-GR" w:eastAsia="zh-TW"/>
        </w:rPr>
        <w:t xml:space="preserve"> </w:t>
      </w:r>
      <w:r w:rsidRPr="00873F9B">
        <w:rPr>
          <w:rFonts w:eastAsia="PMingLiU"/>
          <w:szCs w:val="22"/>
          <w:lang w:val="el-GR" w:eastAsia="zh-TW"/>
        </w:rPr>
        <w:t>ανεπάρκεια), η θεραπεία με αναστολείς του μετατρεπτικού ενζύμου της αγγειοτασίνης έχει</w:t>
      </w:r>
      <w:r w:rsidR="002675A2" w:rsidRPr="00873F9B">
        <w:rPr>
          <w:rFonts w:eastAsia="PMingLiU"/>
          <w:szCs w:val="22"/>
          <w:lang w:val="el-GR" w:eastAsia="zh-TW"/>
        </w:rPr>
        <w:t xml:space="preserve"> </w:t>
      </w:r>
      <w:r w:rsidRPr="00873F9B">
        <w:rPr>
          <w:rFonts w:eastAsia="PMingLiU"/>
          <w:szCs w:val="22"/>
          <w:lang w:val="el-GR" w:eastAsia="zh-TW"/>
        </w:rPr>
        <w:t>συσχετιστεί με ολιγουρία ή/και προοδευτική αζωθαιμία και σε σπάνιες περιπτώσεις με οξεία νεφρική</w:t>
      </w:r>
      <w:r w:rsidR="002675A2" w:rsidRPr="00873F9B">
        <w:rPr>
          <w:rFonts w:eastAsia="PMingLiU"/>
          <w:szCs w:val="22"/>
          <w:lang w:val="el-GR" w:eastAsia="zh-TW"/>
        </w:rPr>
        <w:t xml:space="preserve"> </w:t>
      </w:r>
      <w:r w:rsidRPr="00873F9B">
        <w:rPr>
          <w:rFonts w:eastAsia="PMingLiU"/>
          <w:szCs w:val="22"/>
          <w:lang w:val="el-GR" w:eastAsia="zh-TW"/>
        </w:rPr>
        <w:t xml:space="preserve">ανεπάρκεια ή/και θάνατο. Καθώς η βαλσαρτάνη είναι ανταγωνιστής των υποδοχέων </w:t>
      </w:r>
      <w:r w:rsidR="002675A2" w:rsidRPr="00873F9B">
        <w:rPr>
          <w:rFonts w:eastAsia="PMingLiU"/>
          <w:szCs w:val="22"/>
          <w:lang w:val="el-GR" w:eastAsia="zh-TW"/>
        </w:rPr>
        <w:t xml:space="preserve">της </w:t>
      </w:r>
      <w:r w:rsidRPr="00873F9B">
        <w:rPr>
          <w:rFonts w:eastAsia="PMingLiU"/>
          <w:szCs w:val="22"/>
          <w:lang w:val="el-GR" w:eastAsia="zh-TW"/>
        </w:rPr>
        <w:t>αγγειοτασίνης ΙΙ, δεν μπορεί να αποκλειστεί ότι η χρήση τ</w:t>
      </w:r>
      <w:r w:rsidR="00CD1078" w:rsidRPr="00873F9B">
        <w:rPr>
          <w:rFonts w:eastAsia="PMingLiU"/>
          <w:szCs w:val="22"/>
          <w:lang w:val="el-GR" w:eastAsia="zh-TW"/>
        </w:rPr>
        <w:t>ης</w:t>
      </w:r>
      <w:r w:rsidRPr="00873F9B">
        <w:rPr>
          <w:rFonts w:eastAsia="PMingLiU"/>
          <w:szCs w:val="22"/>
          <w:lang w:val="el-GR" w:eastAsia="zh-TW"/>
        </w:rPr>
        <w:t xml:space="preserve"> </w:t>
      </w:r>
      <w:r w:rsidR="00CD1078" w:rsidRPr="00873F9B">
        <w:rPr>
          <w:rFonts w:eastAsia="PMingLiU"/>
          <w:szCs w:val="22"/>
          <w:lang w:val="el-GR" w:eastAsia="zh-TW"/>
        </w:rPr>
        <w:t xml:space="preserve">βαλσαρτάνης </w:t>
      </w:r>
      <w:r w:rsidRPr="00873F9B">
        <w:rPr>
          <w:rFonts w:eastAsia="PMingLiU"/>
          <w:szCs w:val="22"/>
          <w:lang w:val="el-GR" w:eastAsia="zh-TW"/>
        </w:rPr>
        <w:t>μπορεί να συσχετιστεί με</w:t>
      </w:r>
      <w:r w:rsidR="002675A2" w:rsidRPr="00873F9B">
        <w:rPr>
          <w:rFonts w:eastAsia="PMingLiU"/>
          <w:szCs w:val="22"/>
          <w:lang w:val="el-GR" w:eastAsia="zh-TW"/>
        </w:rPr>
        <w:t xml:space="preserve"> </w:t>
      </w:r>
      <w:r w:rsidRPr="00873F9B">
        <w:rPr>
          <w:rFonts w:eastAsia="PMingLiU"/>
          <w:szCs w:val="22"/>
          <w:lang w:val="el-GR" w:eastAsia="zh-TW"/>
        </w:rPr>
        <w:t>έκπτωση της νεφρικής λειτουργίας.</w:t>
      </w:r>
    </w:p>
    <w:p w:rsidR="00D64937" w:rsidRDefault="00D64937" w:rsidP="00AA11F5">
      <w:pPr>
        <w:autoSpaceDE w:val="0"/>
        <w:autoSpaceDN w:val="0"/>
        <w:adjustRightInd w:val="0"/>
        <w:jc w:val="both"/>
        <w:rPr>
          <w:rFonts w:eastAsia="PMingLiU"/>
          <w:szCs w:val="22"/>
          <w:lang w:val="el-GR" w:eastAsia="zh-TW"/>
        </w:rPr>
      </w:pPr>
    </w:p>
    <w:p w:rsidR="00D64937" w:rsidRPr="0090068E" w:rsidRDefault="00D64937" w:rsidP="00D64937">
      <w:pPr>
        <w:autoSpaceDE w:val="0"/>
        <w:autoSpaceDN w:val="0"/>
        <w:adjustRightInd w:val="0"/>
        <w:jc w:val="both"/>
        <w:rPr>
          <w:i/>
          <w:szCs w:val="22"/>
          <w:u w:val="single"/>
          <w:lang w:val="el-GR"/>
        </w:rPr>
      </w:pPr>
      <w:r w:rsidRPr="0090068E">
        <w:rPr>
          <w:i/>
          <w:szCs w:val="22"/>
          <w:u w:val="single"/>
          <w:lang w:val="el-GR"/>
        </w:rPr>
        <w:t>Ιστορικό αγγειοοιδήματος</w:t>
      </w:r>
    </w:p>
    <w:p w:rsidR="00D64937" w:rsidRDefault="00D64937" w:rsidP="00D64937">
      <w:pPr>
        <w:autoSpaceDE w:val="0"/>
        <w:autoSpaceDN w:val="0"/>
        <w:adjustRightInd w:val="0"/>
        <w:jc w:val="both"/>
        <w:rPr>
          <w:szCs w:val="22"/>
          <w:lang w:val="el-GR"/>
        </w:rPr>
      </w:pPr>
      <w:r w:rsidRPr="00D64937">
        <w:rPr>
          <w:szCs w:val="22"/>
          <w:lang w:val="el-GR"/>
        </w:rPr>
        <w:t>Αγγειοοίδημα, συμπεριλαμβανομένου του οιδήματος του λάρυγγα και της γλωττίδας, που προκαλεί απόφραξη των αεραγωγών και / ή οίδημα του προσώπου, των χειλιών, του φάρυγγα και / ή της γλώσσας έχει αναφερθεί σε ασθενείς που έλαβαν θεραπεία με βαλσαρτάνη</w:t>
      </w:r>
      <w:r>
        <w:rPr>
          <w:szCs w:val="22"/>
          <w:lang w:val="el-GR"/>
        </w:rPr>
        <w:t>.</w:t>
      </w:r>
      <w:r w:rsidRPr="00D64937">
        <w:rPr>
          <w:szCs w:val="22"/>
          <w:lang w:val="el-GR"/>
        </w:rPr>
        <w:t xml:space="preserve"> </w:t>
      </w:r>
      <w:r>
        <w:rPr>
          <w:szCs w:val="22"/>
          <w:lang w:val="el-GR"/>
        </w:rPr>
        <w:t>Ορισμένοι</w:t>
      </w:r>
      <w:r w:rsidRPr="00D64937">
        <w:rPr>
          <w:szCs w:val="22"/>
          <w:lang w:val="el-GR"/>
        </w:rPr>
        <w:t xml:space="preserve"> από αυτούς τους ασθενείς παρουσίασαν στο παρελθόν αγγειοοίδημα με άλλα φάρμακα συμπεριλαμβανομένων ACE αναστολείς. Η βαλσαρτάνη θα πρέπει να διακόπτεται αμέσως σε ασθενείς που αναπτύσσουν αγγειοοίδημα, και δεν θα πρέπει να επαναχορηγείται.</w:t>
      </w:r>
    </w:p>
    <w:p w:rsidR="00D64937" w:rsidRPr="00D64937" w:rsidRDefault="00D64937" w:rsidP="00D64937">
      <w:pPr>
        <w:autoSpaceDE w:val="0"/>
        <w:autoSpaceDN w:val="0"/>
        <w:adjustRightInd w:val="0"/>
        <w:jc w:val="both"/>
        <w:rPr>
          <w:szCs w:val="22"/>
          <w:lang w:val="el-GR"/>
        </w:rPr>
      </w:pPr>
    </w:p>
    <w:p w:rsidR="00D64937" w:rsidRPr="00D64937" w:rsidRDefault="00D64937" w:rsidP="00D64937">
      <w:pPr>
        <w:autoSpaceDE w:val="0"/>
        <w:autoSpaceDN w:val="0"/>
        <w:adjustRightInd w:val="0"/>
        <w:jc w:val="both"/>
        <w:rPr>
          <w:szCs w:val="22"/>
          <w:lang w:val="el-GR"/>
        </w:rPr>
      </w:pPr>
      <w:r w:rsidRPr="00D64937">
        <w:rPr>
          <w:szCs w:val="22"/>
          <w:lang w:val="el-GR"/>
        </w:rPr>
        <w:t xml:space="preserve">Διπλός αποκλεισμός του </w:t>
      </w:r>
      <w:r>
        <w:rPr>
          <w:szCs w:val="22"/>
          <w:lang w:val="el-GR"/>
        </w:rPr>
        <w:t>Σ</w:t>
      </w:r>
      <w:r w:rsidRPr="00D64937">
        <w:rPr>
          <w:szCs w:val="22"/>
          <w:lang w:val="el-GR"/>
        </w:rPr>
        <w:t xml:space="preserve">υστήματος </w:t>
      </w:r>
      <w:r>
        <w:rPr>
          <w:szCs w:val="22"/>
          <w:lang w:val="el-GR"/>
        </w:rPr>
        <w:t>Ρ</w:t>
      </w:r>
      <w:r w:rsidRPr="00D64937">
        <w:rPr>
          <w:szCs w:val="22"/>
          <w:lang w:val="el-GR"/>
        </w:rPr>
        <w:t>ενίνης-</w:t>
      </w:r>
      <w:r>
        <w:rPr>
          <w:szCs w:val="22"/>
          <w:lang w:val="el-GR"/>
        </w:rPr>
        <w:t>Α</w:t>
      </w:r>
      <w:r w:rsidRPr="00D64937">
        <w:rPr>
          <w:szCs w:val="22"/>
          <w:lang w:val="el-GR"/>
        </w:rPr>
        <w:t>γγειοτενσίνης-</w:t>
      </w:r>
      <w:r>
        <w:rPr>
          <w:szCs w:val="22"/>
          <w:lang w:val="el-GR"/>
        </w:rPr>
        <w:t>Α</w:t>
      </w:r>
      <w:r w:rsidRPr="00D64937">
        <w:rPr>
          <w:szCs w:val="22"/>
          <w:lang w:val="el-GR"/>
        </w:rPr>
        <w:t>λδοστερόνης (ΣΡΑΑ)</w:t>
      </w:r>
    </w:p>
    <w:p w:rsidR="00D64937" w:rsidRPr="00D64937" w:rsidRDefault="00D64937" w:rsidP="00D64937">
      <w:pPr>
        <w:autoSpaceDE w:val="0"/>
        <w:autoSpaceDN w:val="0"/>
        <w:adjustRightInd w:val="0"/>
        <w:jc w:val="both"/>
        <w:rPr>
          <w:szCs w:val="22"/>
          <w:lang w:val="el-GR"/>
        </w:rPr>
      </w:pPr>
      <w:r w:rsidRPr="00D64937">
        <w:rPr>
          <w:szCs w:val="22"/>
          <w:lang w:val="el-GR"/>
        </w:rPr>
        <w:t xml:space="preserve">Υπόταση, λιποθυμία, εγκεφαλικό επεισόδιο, υπερκαλιαιμία και μεταβολές στη νεφρική λειτουργία (συμπεριλαμβανομένης </w:t>
      </w:r>
      <w:r w:rsidR="002701F7">
        <w:rPr>
          <w:szCs w:val="22"/>
          <w:lang w:val="el-GR"/>
        </w:rPr>
        <w:t xml:space="preserve">της </w:t>
      </w:r>
      <w:r w:rsidRPr="00D64937">
        <w:rPr>
          <w:szCs w:val="22"/>
          <w:lang w:val="el-GR"/>
        </w:rPr>
        <w:t>οξείας νεφρικής ανεπάρκειας) έχουν αναφερθεί σε ευαίσθητα άτομα, ειδικά αν συνδυάζονται φάρμακα που επηρεάζουν αυτό το σύστημα.</w:t>
      </w:r>
    </w:p>
    <w:p w:rsidR="00D64937" w:rsidRPr="00D64937" w:rsidRDefault="00D64937" w:rsidP="00D64937">
      <w:pPr>
        <w:autoSpaceDE w:val="0"/>
        <w:autoSpaceDN w:val="0"/>
        <w:adjustRightInd w:val="0"/>
        <w:jc w:val="both"/>
        <w:rPr>
          <w:szCs w:val="22"/>
          <w:lang w:val="el-GR"/>
        </w:rPr>
      </w:pPr>
      <w:r w:rsidRPr="00D64937">
        <w:rPr>
          <w:szCs w:val="22"/>
          <w:lang w:val="el-GR"/>
        </w:rPr>
        <w:t>Απαιτείται προσοχή κατά τη συγχορήγηση ARB</w:t>
      </w:r>
      <w:r w:rsidR="002701F7">
        <w:rPr>
          <w:szCs w:val="22"/>
          <w:lang w:val="en-US"/>
        </w:rPr>
        <w:t>s</w:t>
      </w:r>
      <w:r w:rsidRPr="00D64937">
        <w:rPr>
          <w:szCs w:val="22"/>
          <w:lang w:val="el-GR"/>
        </w:rPr>
        <w:t xml:space="preserve">, όπως </w:t>
      </w:r>
      <w:r>
        <w:rPr>
          <w:szCs w:val="22"/>
          <w:lang w:val="el-GR"/>
        </w:rPr>
        <w:t xml:space="preserve">η </w:t>
      </w:r>
      <w:r w:rsidRPr="00D64937">
        <w:rPr>
          <w:szCs w:val="22"/>
          <w:lang w:val="el-GR"/>
        </w:rPr>
        <w:t>βαλσαρτάνη, με άλλους παράγοντες αποκλεισμού τ</w:t>
      </w:r>
      <w:r>
        <w:rPr>
          <w:szCs w:val="22"/>
          <w:lang w:val="el-GR"/>
        </w:rPr>
        <w:t>ου</w:t>
      </w:r>
      <w:r w:rsidRPr="00D64937">
        <w:rPr>
          <w:szCs w:val="22"/>
          <w:lang w:val="el-GR"/>
        </w:rPr>
        <w:t xml:space="preserve"> ΣΡΑΑ, όπως α-ΜΕΑ ή αλισκιρένη (βλ. παραγράφους 4.3 και 4.5).</w:t>
      </w:r>
    </w:p>
    <w:p w:rsidR="00D64937" w:rsidRPr="00873F9B" w:rsidRDefault="00D64937" w:rsidP="00D64937">
      <w:pPr>
        <w:autoSpaceDE w:val="0"/>
        <w:autoSpaceDN w:val="0"/>
        <w:adjustRightInd w:val="0"/>
        <w:jc w:val="both"/>
        <w:rPr>
          <w:szCs w:val="22"/>
          <w:lang w:val="el-GR"/>
        </w:rPr>
      </w:pPr>
      <w:r w:rsidRPr="00D64937">
        <w:rPr>
          <w:szCs w:val="22"/>
          <w:lang w:val="el-GR"/>
        </w:rPr>
        <w:t>Η ταυτόχρονη χρήση των ανταγωνιστών των υποδοχέων της αγγειοτενσίνης (ARB</w:t>
      </w:r>
      <w:r w:rsidR="002701F7">
        <w:rPr>
          <w:szCs w:val="22"/>
          <w:lang w:val="en-US"/>
        </w:rPr>
        <w:t>s</w:t>
      </w:r>
      <w:r w:rsidRPr="00D64937">
        <w:rPr>
          <w:szCs w:val="22"/>
          <w:lang w:val="el-GR"/>
        </w:rPr>
        <w:t xml:space="preserve">) - συμπεριλαμβανομένων </w:t>
      </w:r>
      <w:r>
        <w:rPr>
          <w:szCs w:val="22"/>
          <w:lang w:val="el-GR"/>
        </w:rPr>
        <w:t xml:space="preserve">της </w:t>
      </w:r>
      <w:r w:rsidRPr="00D64937">
        <w:rPr>
          <w:szCs w:val="22"/>
          <w:lang w:val="el-GR"/>
        </w:rPr>
        <w:t>βαλσαρτάνη</w:t>
      </w:r>
      <w:r>
        <w:rPr>
          <w:szCs w:val="22"/>
          <w:lang w:val="el-GR"/>
        </w:rPr>
        <w:t>ς</w:t>
      </w:r>
      <w:r w:rsidRPr="00D64937">
        <w:rPr>
          <w:szCs w:val="22"/>
          <w:lang w:val="el-GR"/>
        </w:rPr>
        <w:t xml:space="preserve"> - ή αναστολ</w:t>
      </w:r>
      <w:r>
        <w:rPr>
          <w:szCs w:val="22"/>
          <w:lang w:val="el-GR"/>
        </w:rPr>
        <w:t>έων</w:t>
      </w:r>
      <w:r w:rsidRPr="00D64937">
        <w:rPr>
          <w:szCs w:val="22"/>
          <w:lang w:val="el-GR"/>
        </w:rPr>
        <w:t xml:space="preserve"> του μετατρεπτικού ενζύμου της αγγειοτασίνης (ΜΕΑ) με αλισκιρένη σε ασθενείς με σακχαρώδη διαβήτη ή νεφρική δυσλειτουργία (GFR &lt;60 ml/min/1.73m</w:t>
      </w:r>
      <w:r w:rsidRPr="0090068E">
        <w:rPr>
          <w:szCs w:val="22"/>
          <w:vertAlign w:val="superscript"/>
          <w:lang w:val="el-GR"/>
        </w:rPr>
        <w:t>2</w:t>
      </w:r>
      <w:r w:rsidRPr="00D64937">
        <w:rPr>
          <w:szCs w:val="22"/>
          <w:lang w:val="el-GR"/>
        </w:rPr>
        <w:t>) αντενδείκνυται (βλέπε παραγράφους 4.3 και 4.5)</w:t>
      </w:r>
      <w:r>
        <w:rPr>
          <w:szCs w:val="22"/>
          <w:lang w:val="el-GR"/>
        </w:rPr>
        <w:t>.</w:t>
      </w:r>
    </w:p>
    <w:p w:rsidR="003341CA" w:rsidRPr="00873F9B" w:rsidRDefault="003341CA" w:rsidP="00AA11F5">
      <w:pPr>
        <w:jc w:val="both"/>
        <w:rPr>
          <w:szCs w:val="22"/>
          <w:u w:val="single"/>
          <w:lang w:val="el-GR"/>
        </w:rPr>
      </w:pPr>
    </w:p>
    <w:p w:rsidR="00DC36DB" w:rsidRPr="00873F9B" w:rsidRDefault="00DC36DB" w:rsidP="00AA11F5">
      <w:pPr>
        <w:jc w:val="both"/>
        <w:rPr>
          <w:i/>
          <w:iCs/>
          <w:color w:val="000000"/>
          <w:szCs w:val="22"/>
          <w:u w:val="single"/>
          <w:lang w:val="el-GR"/>
        </w:rPr>
      </w:pPr>
      <w:r w:rsidRPr="00873F9B">
        <w:rPr>
          <w:i/>
          <w:iCs/>
          <w:color w:val="000000"/>
          <w:szCs w:val="22"/>
          <w:u w:val="single"/>
        </w:rPr>
        <w:t>Παιδιατρικός πληθυσμός</w:t>
      </w:r>
    </w:p>
    <w:p w:rsidR="00DC36DB" w:rsidRPr="00873F9B" w:rsidRDefault="00DC36DB" w:rsidP="00AA11F5">
      <w:pPr>
        <w:jc w:val="both"/>
        <w:rPr>
          <w:i/>
          <w:iCs/>
          <w:color w:val="000000"/>
          <w:szCs w:val="22"/>
          <w:u w:val="single"/>
          <w:lang w:val="el-GR"/>
        </w:rPr>
      </w:pPr>
    </w:p>
    <w:p w:rsidR="00DC36DB" w:rsidRPr="00873F9B" w:rsidRDefault="00DC36DB" w:rsidP="00AA11F5">
      <w:pPr>
        <w:jc w:val="both"/>
        <w:rPr>
          <w:color w:val="000000"/>
          <w:szCs w:val="22"/>
          <w:u w:val="single"/>
        </w:rPr>
      </w:pPr>
      <w:r w:rsidRPr="00873F9B">
        <w:rPr>
          <w:color w:val="000000"/>
          <w:szCs w:val="22"/>
          <w:u w:val="single"/>
        </w:rPr>
        <w:t>Νεφρική δυσλειτουργία</w:t>
      </w:r>
    </w:p>
    <w:p w:rsidR="00BF291C" w:rsidRPr="00873F9B" w:rsidRDefault="00DC36DB" w:rsidP="00AA11F5">
      <w:pPr>
        <w:autoSpaceDE w:val="0"/>
        <w:autoSpaceDN w:val="0"/>
        <w:adjustRightInd w:val="0"/>
        <w:jc w:val="both"/>
        <w:rPr>
          <w:color w:val="000000"/>
          <w:szCs w:val="22"/>
          <w:lang w:val="el-GR"/>
        </w:rPr>
      </w:pPr>
      <w:r w:rsidRPr="00873F9B">
        <w:rPr>
          <w:rFonts w:eastAsia="PMingLiU"/>
          <w:szCs w:val="22"/>
          <w:lang w:val="el-GR" w:eastAsia="zh-TW"/>
        </w:rPr>
        <w:t>Χρήση σε παιδιατρικούς ασθενείς με κάθαρση κρεατινίνης &lt;30 ml/min και παιδιατρικούς ασθενείς</w:t>
      </w:r>
      <w:r w:rsidR="002675A2" w:rsidRPr="00873F9B">
        <w:rPr>
          <w:rFonts w:eastAsia="PMingLiU"/>
          <w:szCs w:val="22"/>
          <w:lang w:val="el-GR" w:eastAsia="zh-TW"/>
        </w:rPr>
        <w:t xml:space="preserve"> </w:t>
      </w:r>
      <w:r w:rsidRPr="00873F9B">
        <w:rPr>
          <w:rFonts w:eastAsia="PMingLiU"/>
          <w:szCs w:val="22"/>
          <w:lang w:val="el-GR" w:eastAsia="zh-TW"/>
        </w:rPr>
        <w:t xml:space="preserve">που υποβάλλονται σε διύλιση δεν έχει μελετηθεί, επομένως, η βαλσαρτάνη δε συνιστάται σε </w:t>
      </w:r>
      <w:r w:rsidR="002675A2" w:rsidRPr="00873F9B">
        <w:rPr>
          <w:rFonts w:eastAsia="PMingLiU"/>
          <w:szCs w:val="22"/>
          <w:lang w:val="el-GR" w:eastAsia="zh-TW"/>
        </w:rPr>
        <w:t xml:space="preserve">αυτούς </w:t>
      </w:r>
      <w:r w:rsidRPr="00873F9B">
        <w:rPr>
          <w:rFonts w:eastAsia="PMingLiU"/>
          <w:szCs w:val="22"/>
          <w:lang w:val="el-GR" w:eastAsia="zh-TW"/>
        </w:rPr>
        <w:t>τους ασθενείς. Δεν απαιτείται αναπροσαρμογή της δόσης για παιδιατρικούς ασθενείς με κάθαρση</w:t>
      </w:r>
      <w:r w:rsidR="002675A2" w:rsidRPr="00873F9B">
        <w:rPr>
          <w:rFonts w:eastAsia="PMingLiU"/>
          <w:szCs w:val="22"/>
          <w:lang w:val="el-GR" w:eastAsia="zh-TW"/>
        </w:rPr>
        <w:t xml:space="preserve"> </w:t>
      </w:r>
      <w:r w:rsidRPr="00873F9B">
        <w:rPr>
          <w:rFonts w:eastAsia="PMingLiU"/>
          <w:szCs w:val="22"/>
          <w:lang w:val="el-GR" w:eastAsia="zh-TW"/>
        </w:rPr>
        <w:t>κρεατινίνης &gt;30 ml/min (βλ. παραγράφους 4.2 και 5.2). Η νεφρική λειτουργία και το κάλιο ορού θα</w:t>
      </w:r>
      <w:r w:rsidR="002675A2" w:rsidRPr="00873F9B">
        <w:rPr>
          <w:rFonts w:eastAsia="PMingLiU"/>
          <w:szCs w:val="22"/>
          <w:lang w:val="el-GR" w:eastAsia="zh-TW"/>
        </w:rPr>
        <w:t xml:space="preserve"> </w:t>
      </w:r>
      <w:r w:rsidRPr="00873F9B">
        <w:rPr>
          <w:rFonts w:eastAsia="PMingLiU"/>
          <w:szCs w:val="22"/>
          <w:lang w:val="el-GR" w:eastAsia="zh-TW"/>
        </w:rPr>
        <w:t>πρέπει να παρακολουθούνται στενά κατά τη διάρκεια της θεραπείας με βαλσαρτάνη. Αυτό</w:t>
      </w:r>
      <w:r w:rsidR="002675A2" w:rsidRPr="00873F9B">
        <w:rPr>
          <w:rFonts w:eastAsia="PMingLiU"/>
          <w:szCs w:val="22"/>
          <w:lang w:val="el-GR" w:eastAsia="zh-TW"/>
        </w:rPr>
        <w:t xml:space="preserve"> </w:t>
      </w:r>
      <w:r w:rsidRPr="00873F9B">
        <w:rPr>
          <w:rFonts w:eastAsia="PMingLiU"/>
          <w:szCs w:val="22"/>
          <w:lang w:val="el-GR" w:eastAsia="zh-TW"/>
        </w:rPr>
        <w:t>εφαρμόζεται κυρίως όταν η βαλσαρτάνη χορηγείται παρουσία άλλων καταστάσεων (πυρετός,</w:t>
      </w:r>
      <w:r w:rsidR="002675A2" w:rsidRPr="00873F9B">
        <w:rPr>
          <w:rFonts w:eastAsia="PMingLiU"/>
          <w:szCs w:val="22"/>
          <w:lang w:val="el-GR" w:eastAsia="zh-TW"/>
        </w:rPr>
        <w:t xml:space="preserve"> </w:t>
      </w:r>
      <w:r w:rsidRPr="00873F9B">
        <w:rPr>
          <w:rFonts w:eastAsia="PMingLiU"/>
          <w:szCs w:val="22"/>
          <w:lang w:val="el-GR" w:eastAsia="zh-TW"/>
        </w:rPr>
        <w:t>αφυδάτωση) πιθανώς σε νεφρική δυσλειτουργία.</w:t>
      </w:r>
      <w:r w:rsidR="005318B9" w:rsidRPr="0090068E">
        <w:rPr>
          <w:lang w:val="el-GR"/>
        </w:rPr>
        <w:t xml:space="preserve"> </w:t>
      </w:r>
      <w:r w:rsidR="005318B9" w:rsidRPr="005318B9">
        <w:rPr>
          <w:rFonts w:eastAsia="PMingLiU"/>
          <w:szCs w:val="22"/>
          <w:lang w:val="el-GR" w:eastAsia="zh-TW"/>
        </w:rPr>
        <w:t>Η ταυτόχρονη χρήση</w:t>
      </w:r>
      <w:r w:rsidR="004F0102" w:rsidRPr="0090068E">
        <w:rPr>
          <w:lang w:val="el-GR"/>
        </w:rPr>
        <w:t xml:space="preserve"> </w:t>
      </w:r>
      <w:r w:rsidR="004F0102" w:rsidRPr="004F0102">
        <w:rPr>
          <w:rFonts w:eastAsia="PMingLiU"/>
          <w:szCs w:val="22"/>
          <w:lang w:val="el-GR" w:eastAsia="zh-TW"/>
        </w:rPr>
        <w:t xml:space="preserve">των ARBs </w:t>
      </w:r>
      <w:r w:rsidR="004F0102">
        <w:rPr>
          <w:rFonts w:eastAsia="PMingLiU"/>
          <w:szCs w:val="22"/>
          <w:lang w:val="el-GR" w:eastAsia="zh-TW"/>
        </w:rPr>
        <w:t>–</w:t>
      </w:r>
      <w:r w:rsidR="004F0102" w:rsidRPr="004F0102">
        <w:rPr>
          <w:rFonts w:eastAsia="PMingLiU"/>
          <w:szCs w:val="22"/>
          <w:lang w:val="el-GR" w:eastAsia="zh-TW"/>
        </w:rPr>
        <w:t xml:space="preserve"> συμπεριλαμβανομέν</w:t>
      </w:r>
      <w:r w:rsidR="004F0102">
        <w:rPr>
          <w:rFonts w:eastAsia="PMingLiU"/>
          <w:szCs w:val="22"/>
          <w:lang w:val="el-GR" w:eastAsia="zh-TW"/>
        </w:rPr>
        <w:t xml:space="preserve">ης της </w:t>
      </w:r>
      <w:r w:rsidR="004F0102" w:rsidRPr="004F0102">
        <w:rPr>
          <w:rFonts w:eastAsia="PMingLiU"/>
          <w:szCs w:val="22"/>
          <w:lang w:val="el-GR" w:eastAsia="zh-TW"/>
        </w:rPr>
        <w:t>βαλσαρτάνη</w:t>
      </w:r>
      <w:r w:rsidR="004F0102">
        <w:rPr>
          <w:rFonts w:eastAsia="PMingLiU"/>
          <w:szCs w:val="22"/>
          <w:lang w:val="el-GR" w:eastAsia="zh-TW"/>
        </w:rPr>
        <w:t>ς</w:t>
      </w:r>
      <w:r w:rsidR="004F0102" w:rsidRPr="004F0102">
        <w:rPr>
          <w:rFonts w:eastAsia="PMingLiU"/>
          <w:szCs w:val="22"/>
          <w:lang w:val="el-GR" w:eastAsia="zh-TW"/>
        </w:rPr>
        <w:t xml:space="preserve"> - ή </w:t>
      </w:r>
      <w:r w:rsidR="004F0102">
        <w:rPr>
          <w:rFonts w:eastAsia="PMingLiU"/>
          <w:szCs w:val="22"/>
          <w:lang w:val="el-GR" w:eastAsia="zh-TW"/>
        </w:rPr>
        <w:t xml:space="preserve">των </w:t>
      </w:r>
      <w:r w:rsidR="004F0102" w:rsidRPr="004F0102">
        <w:rPr>
          <w:rFonts w:eastAsia="PMingLiU"/>
          <w:szCs w:val="22"/>
          <w:lang w:val="el-GR" w:eastAsia="zh-TW"/>
        </w:rPr>
        <w:t>α-ΜΕΑ με αλισκιρένη αντενδείκνυται σε ασθενείς με νεφρική δυσλειτουργία (GFR &lt;60 ml/min/1.73m</w:t>
      </w:r>
      <w:r w:rsidR="004F0102" w:rsidRPr="0090068E">
        <w:rPr>
          <w:rFonts w:eastAsia="PMingLiU"/>
          <w:szCs w:val="22"/>
          <w:vertAlign w:val="superscript"/>
          <w:lang w:val="el-GR" w:eastAsia="zh-TW"/>
        </w:rPr>
        <w:t>2</w:t>
      </w:r>
      <w:r w:rsidR="004F0102" w:rsidRPr="004F0102">
        <w:rPr>
          <w:rFonts w:eastAsia="PMingLiU"/>
          <w:szCs w:val="22"/>
          <w:lang w:val="el-GR" w:eastAsia="zh-TW"/>
        </w:rPr>
        <w:t>) (βλ. παραγράφους 4.3 και 4.5)</w:t>
      </w:r>
      <w:r w:rsidR="004F0102">
        <w:rPr>
          <w:rFonts w:eastAsia="PMingLiU"/>
          <w:szCs w:val="22"/>
          <w:lang w:val="el-GR" w:eastAsia="zh-TW"/>
        </w:rPr>
        <w:t>.</w:t>
      </w:r>
    </w:p>
    <w:p w:rsidR="00BF291C" w:rsidRPr="00873F9B" w:rsidRDefault="00BF291C" w:rsidP="00AA11F5">
      <w:pPr>
        <w:jc w:val="both"/>
        <w:rPr>
          <w:color w:val="000000"/>
          <w:szCs w:val="22"/>
          <w:lang w:val="el-GR"/>
        </w:rPr>
      </w:pPr>
    </w:p>
    <w:p w:rsidR="00043251" w:rsidRPr="00873F9B" w:rsidRDefault="00043251" w:rsidP="00AA11F5">
      <w:pPr>
        <w:autoSpaceDE w:val="0"/>
        <w:autoSpaceDN w:val="0"/>
        <w:adjustRightInd w:val="0"/>
        <w:jc w:val="both"/>
        <w:rPr>
          <w:color w:val="000000"/>
          <w:szCs w:val="22"/>
          <w:u w:val="single"/>
        </w:rPr>
      </w:pPr>
      <w:r w:rsidRPr="00873F9B">
        <w:rPr>
          <w:color w:val="000000"/>
          <w:szCs w:val="22"/>
          <w:u w:val="single"/>
        </w:rPr>
        <w:t>Ηπατική δυσλειτουργία</w:t>
      </w:r>
    </w:p>
    <w:p w:rsidR="00043251" w:rsidRPr="00873F9B" w:rsidRDefault="00043251" w:rsidP="00AA11F5">
      <w:pPr>
        <w:autoSpaceDE w:val="0"/>
        <w:autoSpaceDN w:val="0"/>
        <w:adjustRightInd w:val="0"/>
        <w:jc w:val="both"/>
        <w:rPr>
          <w:rFonts w:eastAsia="PMingLiU"/>
          <w:szCs w:val="22"/>
          <w:lang w:val="el-GR" w:eastAsia="zh-TW"/>
        </w:rPr>
      </w:pPr>
      <w:r w:rsidRPr="00873F9B">
        <w:rPr>
          <w:rFonts w:eastAsia="PMingLiU"/>
          <w:szCs w:val="22"/>
          <w:lang w:val="el-GR" w:eastAsia="zh-TW"/>
        </w:rPr>
        <w:t>Όπως στους ενηλίκους, η βαλσαρτάνη αντενδείκνυται σε παιδιατρικούς ασθενείς με σοβαρή ηπατική</w:t>
      </w:r>
      <w:r w:rsidR="002675A2" w:rsidRPr="00873F9B">
        <w:rPr>
          <w:rFonts w:eastAsia="PMingLiU"/>
          <w:szCs w:val="22"/>
          <w:lang w:val="el-GR" w:eastAsia="zh-TW"/>
        </w:rPr>
        <w:t xml:space="preserve"> </w:t>
      </w:r>
      <w:r w:rsidRPr="00873F9B">
        <w:rPr>
          <w:rFonts w:eastAsia="PMingLiU"/>
          <w:szCs w:val="22"/>
          <w:lang w:val="el-GR" w:eastAsia="zh-TW"/>
        </w:rPr>
        <w:t>δυσλειτουργία, χολική κίρρωση και σε ασθενείς με χολόσταση (βλ. παραγράφους 4.3 και 5.2).</w:t>
      </w:r>
    </w:p>
    <w:p w:rsidR="00BF291C" w:rsidRPr="006F7FC6" w:rsidRDefault="00043251" w:rsidP="006F7FC6">
      <w:pPr>
        <w:autoSpaceDE w:val="0"/>
        <w:autoSpaceDN w:val="0"/>
        <w:adjustRightInd w:val="0"/>
        <w:jc w:val="both"/>
        <w:rPr>
          <w:color w:val="000000"/>
          <w:szCs w:val="22"/>
          <w:lang w:val="el-GR" w:bidi="th-TH"/>
        </w:rPr>
      </w:pPr>
      <w:r w:rsidRPr="00873F9B">
        <w:rPr>
          <w:rFonts w:eastAsia="PMingLiU"/>
          <w:szCs w:val="22"/>
          <w:lang w:val="el-GR" w:eastAsia="zh-TW"/>
        </w:rPr>
        <w:t>Υπάρχει περιορισμένη κλινική εμπειρία με τη βαλσαρτάνη σε παιδιατρικούς ασθενείς με ήπια έως μέτρια</w:t>
      </w:r>
      <w:r w:rsidR="002675A2" w:rsidRPr="00873F9B">
        <w:rPr>
          <w:rFonts w:eastAsia="PMingLiU"/>
          <w:szCs w:val="22"/>
          <w:lang w:val="el-GR" w:eastAsia="zh-TW"/>
        </w:rPr>
        <w:t xml:space="preserve"> </w:t>
      </w:r>
      <w:r w:rsidRPr="00873F9B">
        <w:rPr>
          <w:rFonts w:eastAsia="PMingLiU"/>
          <w:szCs w:val="22"/>
          <w:lang w:val="el-GR" w:eastAsia="zh-TW"/>
        </w:rPr>
        <w:t xml:space="preserve">ηπατική δυσλειτουργία. Η δόση της βαλσαρτάνης δεν πρέπει να υπερβαίνει τα 80 mg σε αυτούς </w:t>
      </w:r>
      <w:r w:rsidR="006F7FC6">
        <w:rPr>
          <w:rFonts w:eastAsia="PMingLiU"/>
          <w:szCs w:val="22"/>
          <w:lang w:val="el-GR" w:eastAsia="zh-TW"/>
        </w:rPr>
        <w:t xml:space="preserve">τους </w:t>
      </w:r>
      <w:r w:rsidRPr="00873F9B">
        <w:rPr>
          <w:rFonts w:eastAsia="PMingLiU"/>
          <w:szCs w:val="22"/>
          <w:lang w:val="el-GR" w:eastAsia="zh-TW"/>
        </w:rPr>
        <w:t>ασθενείς.</w:t>
      </w:r>
    </w:p>
    <w:p w:rsidR="00BF291C" w:rsidRPr="006F7FC6" w:rsidRDefault="00BF291C" w:rsidP="00AA11F5">
      <w:pPr>
        <w:jc w:val="both"/>
        <w:rPr>
          <w:color w:val="000000"/>
          <w:szCs w:val="22"/>
          <w:lang w:val="el-GR"/>
        </w:rPr>
      </w:pPr>
    </w:p>
    <w:p w:rsidR="00BF291C" w:rsidRPr="00873F9B" w:rsidRDefault="00BF291C" w:rsidP="00AA11F5">
      <w:pPr>
        <w:ind w:left="567" w:hanging="567"/>
        <w:jc w:val="both"/>
        <w:outlineLvl w:val="0"/>
        <w:rPr>
          <w:color w:val="000000"/>
          <w:szCs w:val="22"/>
        </w:rPr>
      </w:pPr>
      <w:r w:rsidRPr="00873F9B">
        <w:rPr>
          <w:b/>
          <w:color w:val="000000"/>
          <w:szCs w:val="22"/>
        </w:rPr>
        <w:t>4.5</w:t>
      </w:r>
      <w:r w:rsidRPr="00873F9B">
        <w:rPr>
          <w:b/>
          <w:color w:val="000000"/>
          <w:szCs w:val="22"/>
        </w:rPr>
        <w:tab/>
      </w:r>
      <w:r w:rsidR="00B771B4" w:rsidRPr="00873F9B">
        <w:rPr>
          <w:b/>
          <w:bCs/>
          <w:szCs w:val="22"/>
        </w:rPr>
        <w:t>Αλληλεπιδράσεις με άλλα φαρμακευτικά προϊόντα και άλλες μορφές αλληλεπίδρασης</w:t>
      </w:r>
    </w:p>
    <w:p w:rsidR="00BF291C" w:rsidRPr="00873F9B" w:rsidRDefault="00BF291C" w:rsidP="00AA11F5">
      <w:pPr>
        <w:jc w:val="both"/>
        <w:rPr>
          <w:color w:val="000000"/>
          <w:szCs w:val="22"/>
        </w:rPr>
      </w:pPr>
    </w:p>
    <w:p w:rsidR="00765A87" w:rsidRPr="0090068E" w:rsidRDefault="00765A87" w:rsidP="00765A87">
      <w:pPr>
        <w:jc w:val="both"/>
        <w:rPr>
          <w:i/>
          <w:iCs/>
          <w:szCs w:val="22"/>
          <w:u w:val="single"/>
          <w:lang w:val="el-GR"/>
        </w:rPr>
      </w:pPr>
      <w:r>
        <w:rPr>
          <w:i/>
          <w:iCs/>
          <w:szCs w:val="22"/>
          <w:u w:val="single"/>
          <w:lang w:val="el-GR"/>
        </w:rPr>
        <w:t>Δ</w:t>
      </w:r>
      <w:r w:rsidRPr="0090068E">
        <w:rPr>
          <w:i/>
          <w:iCs/>
          <w:szCs w:val="22"/>
          <w:u w:val="single"/>
          <w:lang w:val="el-GR"/>
        </w:rPr>
        <w:t xml:space="preserve">ιπλός αποκλεισμός του </w:t>
      </w:r>
      <w:r>
        <w:rPr>
          <w:i/>
          <w:iCs/>
          <w:szCs w:val="22"/>
          <w:u w:val="single"/>
          <w:lang w:val="el-GR"/>
        </w:rPr>
        <w:t>Σ</w:t>
      </w:r>
      <w:r w:rsidRPr="0090068E">
        <w:rPr>
          <w:i/>
          <w:iCs/>
          <w:szCs w:val="22"/>
          <w:u w:val="single"/>
          <w:lang w:val="el-GR"/>
        </w:rPr>
        <w:t xml:space="preserve">υστήματος </w:t>
      </w:r>
      <w:r>
        <w:rPr>
          <w:i/>
          <w:iCs/>
          <w:szCs w:val="22"/>
          <w:u w:val="single"/>
          <w:lang w:val="el-GR"/>
        </w:rPr>
        <w:t>Ρ</w:t>
      </w:r>
      <w:r w:rsidRPr="0090068E">
        <w:rPr>
          <w:i/>
          <w:iCs/>
          <w:szCs w:val="22"/>
          <w:u w:val="single"/>
          <w:lang w:val="el-GR"/>
        </w:rPr>
        <w:t>ενίνης-</w:t>
      </w:r>
      <w:r>
        <w:rPr>
          <w:i/>
          <w:iCs/>
          <w:szCs w:val="22"/>
          <w:u w:val="single"/>
          <w:lang w:val="el-GR"/>
        </w:rPr>
        <w:t>Α</w:t>
      </w:r>
      <w:r w:rsidRPr="0090068E">
        <w:rPr>
          <w:i/>
          <w:iCs/>
          <w:szCs w:val="22"/>
          <w:u w:val="single"/>
          <w:lang w:val="el-GR"/>
        </w:rPr>
        <w:t>γγειοτενσίνης (ΣΡΑΑ), με Α</w:t>
      </w:r>
      <w:r>
        <w:rPr>
          <w:i/>
          <w:iCs/>
          <w:szCs w:val="22"/>
          <w:u w:val="single"/>
          <w:lang w:val="en-US"/>
        </w:rPr>
        <w:t>RBs</w:t>
      </w:r>
      <w:r w:rsidRPr="0090068E">
        <w:rPr>
          <w:i/>
          <w:iCs/>
          <w:szCs w:val="22"/>
          <w:u w:val="single"/>
          <w:lang w:val="el-GR"/>
        </w:rPr>
        <w:t>, α-ΜΕΑ, ή αλισκιρένη:</w:t>
      </w:r>
    </w:p>
    <w:p w:rsidR="00765A87" w:rsidRPr="00C56D7C" w:rsidRDefault="00765A87" w:rsidP="00765A87">
      <w:pPr>
        <w:jc w:val="both"/>
        <w:rPr>
          <w:iCs/>
          <w:szCs w:val="22"/>
          <w:u w:val="single"/>
          <w:lang w:val="el-GR"/>
        </w:rPr>
      </w:pPr>
      <w:r w:rsidRPr="00C56D7C">
        <w:rPr>
          <w:iCs/>
          <w:szCs w:val="22"/>
          <w:u w:val="single"/>
          <w:lang w:val="el-GR"/>
        </w:rPr>
        <w:t>Η ταυτόχρονη χρήση των ανταγωνιστών των υποδοχέων της αγγειοτενσίνης (</w:t>
      </w:r>
      <w:r w:rsidRPr="00C56D7C">
        <w:rPr>
          <w:iCs/>
          <w:szCs w:val="22"/>
          <w:u w:val="single"/>
          <w:lang w:val="en-US"/>
        </w:rPr>
        <w:t>ARB</w:t>
      </w:r>
      <w:r w:rsidRPr="00C56D7C">
        <w:rPr>
          <w:iCs/>
          <w:szCs w:val="22"/>
          <w:u w:val="single"/>
          <w:lang w:val="el-GR"/>
        </w:rPr>
        <w:t xml:space="preserve">) </w:t>
      </w:r>
      <w:r w:rsidR="00C56D7C">
        <w:rPr>
          <w:iCs/>
          <w:szCs w:val="22"/>
          <w:u w:val="single"/>
          <w:lang w:val="el-GR"/>
        </w:rPr>
        <w:t>–</w:t>
      </w:r>
      <w:r w:rsidRPr="00C56D7C">
        <w:rPr>
          <w:iCs/>
          <w:szCs w:val="22"/>
          <w:u w:val="single"/>
          <w:lang w:val="el-GR"/>
        </w:rPr>
        <w:t xml:space="preserve"> συμπεριλαμβανομέν</w:t>
      </w:r>
      <w:r w:rsidR="00C56D7C">
        <w:rPr>
          <w:iCs/>
          <w:szCs w:val="22"/>
          <w:u w:val="single"/>
          <w:lang w:val="el-GR"/>
        </w:rPr>
        <w:t>ης της</w:t>
      </w:r>
      <w:r w:rsidRPr="00C56D7C">
        <w:rPr>
          <w:iCs/>
          <w:szCs w:val="22"/>
          <w:u w:val="single"/>
          <w:lang w:val="el-GR"/>
        </w:rPr>
        <w:t xml:space="preserve"> βαλσαρτάνη</w:t>
      </w:r>
      <w:r w:rsidR="00C56D7C">
        <w:rPr>
          <w:iCs/>
          <w:szCs w:val="22"/>
          <w:u w:val="single"/>
          <w:lang w:val="el-GR"/>
        </w:rPr>
        <w:t>ς</w:t>
      </w:r>
      <w:r w:rsidRPr="00C56D7C">
        <w:rPr>
          <w:iCs/>
          <w:szCs w:val="22"/>
          <w:u w:val="single"/>
          <w:lang w:val="el-GR"/>
        </w:rPr>
        <w:t xml:space="preserve"> - ή </w:t>
      </w:r>
      <w:r w:rsidR="00C56D7C">
        <w:rPr>
          <w:iCs/>
          <w:szCs w:val="22"/>
          <w:u w:val="single"/>
          <w:lang w:val="el-GR"/>
        </w:rPr>
        <w:t xml:space="preserve">των </w:t>
      </w:r>
      <w:r w:rsidRPr="00C56D7C">
        <w:rPr>
          <w:iCs/>
          <w:szCs w:val="22"/>
          <w:u w:val="single"/>
          <w:lang w:val="el-GR"/>
        </w:rPr>
        <w:t>αναστολ</w:t>
      </w:r>
      <w:r w:rsidR="00C56D7C">
        <w:rPr>
          <w:iCs/>
          <w:szCs w:val="22"/>
          <w:u w:val="single"/>
          <w:lang w:val="el-GR"/>
        </w:rPr>
        <w:t>έων</w:t>
      </w:r>
      <w:r w:rsidRPr="00C56D7C">
        <w:rPr>
          <w:iCs/>
          <w:szCs w:val="22"/>
          <w:u w:val="single"/>
          <w:lang w:val="el-GR"/>
        </w:rPr>
        <w:t xml:space="preserve"> του μετατρεπτικού ενζύμου της αγγειοτασίνης (ΜΕΑ) με αλισκιρένη σε ασθενείς με σακχαρώδη διαβήτη ή νεφρική δυσλειτουργία (</w:t>
      </w:r>
      <w:r w:rsidRPr="00C56D7C">
        <w:rPr>
          <w:iCs/>
          <w:szCs w:val="22"/>
          <w:u w:val="single"/>
          <w:lang w:val="en-US"/>
        </w:rPr>
        <w:t>GFR</w:t>
      </w:r>
      <w:r w:rsidRPr="00C56D7C">
        <w:rPr>
          <w:iCs/>
          <w:szCs w:val="22"/>
          <w:u w:val="single"/>
          <w:lang w:val="el-GR"/>
        </w:rPr>
        <w:t xml:space="preserve"> &lt;60 </w:t>
      </w:r>
      <w:r w:rsidRPr="00C56D7C">
        <w:rPr>
          <w:iCs/>
          <w:szCs w:val="22"/>
          <w:u w:val="single"/>
          <w:lang w:val="en-US"/>
        </w:rPr>
        <w:t>ml</w:t>
      </w:r>
      <w:r w:rsidRPr="00C56D7C">
        <w:rPr>
          <w:iCs/>
          <w:szCs w:val="22"/>
          <w:u w:val="single"/>
          <w:lang w:val="el-GR"/>
        </w:rPr>
        <w:t>/</w:t>
      </w:r>
      <w:r w:rsidRPr="00C56D7C">
        <w:rPr>
          <w:iCs/>
          <w:szCs w:val="22"/>
          <w:u w:val="single"/>
          <w:lang w:val="en-US"/>
        </w:rPr>
        <w:t>min</w:t>
      </w:r>
      <w:r w:rsidRPr="00C56D7C">
        <w:rPr>
          <w:iCs/>
          <w:szCs w:val="22"/>
          <w:u w:val="single"/>
          <w:lang w:val="el-GR"/>
        </w:rPr>
        <w:t>/1.73</w:t>
      </w:r>
      <w:r w:rsidRPr="00C56D7C">
        <w:rPr>
          <w:iCs/>
          <w:szCs w:val="22"/>
          <w:u w:val="single"/>
          <w:lang w:val="en-US"/>
        </w:rPr>
        <w:t>m</w:t>
      </w:r>
      <w:r w:rsidRPr="00C56D7C">
        <w:rPr>
          <w:iCs/>
          <w:szCs w:val="22"/>
          <w:u w:val="single"/>
          <w:vertAlign w:val="superscript"/>
          <w:lang w:val="el-GR"/>
        </w:rPr>
        <w:t>2</w:t>
      </w:r>
      <w:r w:rsidRPr="00C56D7C">
        <w:rPr>
          <w:iCs/>
          <w:szCs w:val="22"/>
          <w:u w:val="single"/>
          <w:lang w:val="el-GR"/>
        </w:rPr>
        <w:t>) αντενδείκνυται (βλέπε παραγράφους 4.3 και 4.4</w:t>
      </w:r>
      <w:r w:rsidR="00C56D7C" w:rsidRPr="0090068E">
        <w:rPr>
          <w:iCs/>
          <w:szCs w:val="22"/>
          <w:u w:val="single"/>
          <w:lang w:val="el-GR"/>
        </w:rPr>
        <w:t>).</w:t>
      </w:r>
    </w:p>
    <w:p w:rsidR="00765A87" w:rsidRPr="00C56D7C" w:rsidRDefault="00765A87" w:rsidP="00AA11F5">
      <w:pPr>
        <w:jc w:val="both"/>
        <w:rPr>
          <w:iCs/>
          <w:szCs w:val="22"/>
          <w:u w:val="single"/>
          <w:lang w:val="el-GR"/>
        </w:rPr>
      </w:pPr>
    </w:p>
    <w:p w:rsidR="00BF291C" w:rsidRPr="00873F9B" w:rsidRDefault="00B8748E" w:rsidP="00AA11F5">
      <w:pPr>
        <w:jc w:val="both"/>
        <w:rPr>
          <w:i/>
          <w:iCs/>
          <w:szCs w:val="22"/>
          <w:u w:val="single"/>
          <w:lang w:val="el-GR"/>
        </w:rPr>
      </w:pPr>
      <w:r w:rsidRPr="00873F9B">
        <w:rPr>
          <w:i/>
          <w:iCs/>
          <w:szCs w:val="22"/>
          <w:u w:val="single"/>
          <w:lang w:val="el-GR"/>
        </w:rPr>
        <w:t>Δεν συνιστάται η ταυτόχρονη χρήση</w:t>
      </w:r>
    </w:p>
    <w:p w:rsidR="00BF291C" w:rsidRPr="00873F9B" w:rsidRDefault="00BF291C" w:rsidP="00AA11F5">
      <w:pPr>
        <w:jc w:val="both"/>
        <w:rPr>
          <w:i/>
          <w:iCs/>
          <w:szCs w:val="22"/>
          <w:u w:val="single"/>
          <w:lang w:val="el-GR"/>
        </w:rPr>
      </w:pPr>
    </w:p>
    <w:p w:rsidR="00B8748E" w:rsidRPr="00873F9B" w:rsidRDefault="00B8748E" w:rsidP="00AA11F5">
      <w:pPr>
        <w:jc w:val="both"/>
        <w:rPr>
          <w:i/>
          <w:iCs/>
          <w:szCs w:val="22"/>
        </w:rPr>
      </w:pPr>
      <w:r w:rsidRPr="00873F9B">
        <w:rPr>
          <w:i/>
          <w:iCs/>
          <w:szCs w:val="22"/>
        </w:rPr>
        <w:t>Λίθιο</w:t>
      </w:r>
    </w:p>
    <w:p w:rsidR="00B8748E" w:rsidRPr="00873F9B" w:rsidRDefault="00B8748E" w:rsidP="00AA11F5">
      <w:pPr>
        <w:autoSpaceDE w:val="0"/>
        <w:autoSpaceDN w:val="0"/>
        <w:adjustRightInd w:val="0"/>
        <w:jc w:val="both"/>
        <w:rPr>
          <w:rFonts w:eastAsia="PMingLiU"/>
          <w:szCs w:val="22"/>
          <w:lang w:val="el-GR" w:eastAsia="zh-TW"/>
        </w:rPr>
      </w:pPr>
      <w:r w:rsidRPr="00873F9B">
        <w:rPr>
          <w:rFonts w:eastAsia="PMingLiU"/>
          <w:szCs w:val="22"/>
          <w:lang w:val="el-GR" w:eastAsia="zh-TW"/>
        </w:rPr>
        <w:t>Αναστρέψιμες αυξήσεις στις συγκεντρώσεις λιθίου του ορού και τοξικότητα έχουν αναφερθεί κατά τη</w:t>
      </w:r>
      <w:r w:rsidR="002675A2" w:rsidRPr="00873F9B">
        <w:rPr>
          <w:rFonts w:eastAsia="PMingLiU"/>
          <w:szCs w:val="22"/>
          <w:lang w:val="el-GR" w:eastAsia="zh-TW"/>
        </w:rPr>
        <w:t xml:space="preserve"> </w:t>
      </w:r>
      <w:r w:rsidRPr="00873F9B">
        <w:rPr>
          <w:rFonts w:eastAsia="PMingLiU"/>
          <w:szCs w:val="22"/>
          <w:lang w:val="el-GR" w:eastAsia="zh-TW"/>
        </w:rPr>
        <w:t>διάρκεια ταυτόχρονης χρήσης αναστολέων ΜΕΑ. Λόγω της έλλειψης εμπειρίας με την ταυτόχρονη</w:t>
      </w:r>
      <w:r w:rsidR="002675A2" w:rsidRPr="00873F9B">
        <w:rPr>
          <w:rFonts w:eastAsia="PMingLiU"/>
          <w:szCs w:val="22"/>
          <w:lang w:val="el-GR" w:eastAsia="zh-TW"/>
        </w:rPr>
        <w:t xml:space="preserve"> </w:t>
      </w:r>
      <w:r w:rsidRPr="00873F9B">
        <w:rPr>
          <w:rFonts w:eastAsia="PMingLiU"/>
          <w:szCs w:val="22"/>
          <w:lang w:val="el-GR" w:eastAsia="zh-TW"/>
        </w:rPr>
        <w:t>χρήση βαλσαρτάνης και λιθίου, ο συνδυασμός αυτός δεν συνιστάται. Εάν ο συνδυασμός αποδειχτεί</w:t>
      </w:r>
      <w:r w:rsidR="002675A2" w:rsidRPr="00873F9B">
        <w:rPr>
          <w:rFonts w:eastAsia="PMingLiU"/>
          <w:szCs w:val="22"/>
          <w:lang w:val="el-GR" w:eastAsia="zh-TW"/>
        </w:rPr>
        <w:t xml:space="preserve"> </w:t>
      </w:r>
      <w:r w:rsidRPr="00873F9B">
        <w:rPr>
          <w:rFonts w:eastAsia="PMingLiU"/>
          <w:szCs w:val="22"/>
          <w:lang w:val="el-GR" w:eastAsia="zh-TW"/>
        </w:rPr>
        <w:t>απαραίτητος, συνιστάται προσεκτική παρακολούθηση των επιπέδων λιθίου στον ορό.</w:t>
      </w:r>
    </w:p>
    <w:p w:rsidR="00B8748E" w:rsidRPr="00873F9B" w:rsidRDefault="00B8748E" w:rsidP="00AA11F5">
      <w:pPr>
        <w:autoSpaceDE w:val="0"/>
        <w:autoSpaceDN w:val="0"/>
        <w:adjustRightInd w:val="0"/>
        <w:jc w:val="both"/>
        <w:rPr>
          <w:rFonts w:eastAsia="PMingLiU"/>
          <w:szCs w:val="22"/>
          <w:lang w:val="el-GR" w:eastAsia="zh-TW"/>
        </w:rPr>
      </w:pPr>
    </w:p>
    <w:p w:rsidR="00B8748E" w:rsidRPr="00873F9B" w:rsidRDefault="00B8748E" w:rsidP="00AA11F5">
      <w:pPr>
        <w:jc w:val="both"/>
        <w:rPr>
          <w:i/>
          <w:iCs/>
          <w:szCs w:val="22"/>
          <w:lang w:val="el-GR"/>
        </w:rPr>
      </w:pPr>
      <w:r w:rsidRPr="00873F9B">
        <w:rPr>
          <w:i/>
          <w:iCs/>
          <w:szCs w:val="22"/>
          <w:lang w:val="el-GR"/>
        </w:rPr>
        <w:t>Καλιοπροστατευτικά διουρητικά, συμπληρώματα καλίου, υποκατάστατα άλατος, που περιέχουν κάλιο</w:t>
      </w:r>
      <w:r w:rsidR="002675A2" w:rsidRPr="00873F9B">
        <w:rPr>
          <w:i/>
          <w:iCs/>
          <w:szCs w:val="22"/>
          <w:lang w:val="el-GR"/>
        </w:rPr>
        <w:t xml:space="preserve"> </w:t>
      </w:r>
      <w:r w:rsidRPr="00873F9B">
        <w:rPr>
          <w:i/>
          <w:iCs/>
          <w:szCs w:val="22"/>
          <w:lang w:val="el-GR"/>
        </w:rPr>
        <w:t>και άλλες ουσίες, που μπορεί να αυξήσουν τα επίπεδα του καλίου</w:t>
      </w:r>
    </w:p>
    <w:p w:rsidR="00BF291C" w:rsidRPr="00873F9B" w:rsidRDefault="00B8748E" w:rsidP="00AA11F5">
      <w:pPr>
        <w:autoSpaceDE w:val="0"/>
        <w:autoSpaceDN w:val="0"/>
        <w:adjustRightInd w:val="0"/>
        <w:jc w:val="both"/>
        <w:rPr>
          <w:i/>
          <w:iCs/>
          <w:szCs w:val="22"/>
          <w:lang w:val="el-GR"/>
        </w:rPr>
      </w:pPr>
      <w:r w:rsidRPr="00873F9B">
        <w:rPr>
          <w:rFonts w:eastAsia="PMingLiU"/>
          <w:szCs w:val="22"/>
          <w:lang w:val="el-GR" w:eastAsia="zh-TW"/>
        </w:rPr>
        <w:t>Εάν κάποιο φαρμακευτικό προϊόν που επηρεάζει τα επίπεδα καλίου θεωρείται απαραίτητο να ληφθεί</w:t>
      </w:r>
      <w:r w:rsidR="002675A2" w:rsidRPr="00873F9B">
        <w:rPr>
          <w:rFonts w:eastAsia="PMingLiU"/>
          <w:szCs w:val="22"/>
          <w:lang w:val="el-GR" w:eastAsia="zh-TW"/>
        </w:rPr>
        <w:t xml:space="preserve"> </w:t>
      </w:r>
      <w:r w:rsidRPr="00873F9B">
        <w:rPr>
          <w:rFonts w:eastAsia="PMingLiU"/>
          <w:szCs w:val="22"/>
          <w:lang w:val="el-GR" w:eastAsia="zh-TW"/>
        </w:rPr>
        <w:t>σε συνδυασμό με τη βαλσαρτάνη, συνιστάται προσεκτική παρακολούθηση των επιπέδων καλίου στο</w:t>
      </w:r>
      <w:r w:rsidR="002675A2" w:rsidRPr="00873F9B">
        <w:rPr>
          <w:rFonts w:eastAsia="PMingLiU"/>
          <w:szCs w:val="22"/>
          <w:lang w:val="el-GR" w:eastAsia="zh-TW"/>
        </w:rPr>
        <w:t xml:space="preserve"> </w:t>
      </w:r>
      <w:r w:rsidRPr="00873F9B">
        <w:rPr>
          <w:rFonts w:eastAsia="PMingLiU"/>
          <w:szCs w:val="22"/>
          <w:lang w:val="el-GR" w:eastAsia="zh-TW"/>
        </w:rPr>
        <w:t>πλάσμα.</w:t>
      </w:r>
    </w:p>
    <w:p w:rsidR="00BF291C" w:rsidRPr="00873F9B" w:rsidRDefault="00BF291C" w:rsidP="00AA11F5">
      <w:pPr>
        <w:jc w:val="both"/>
        <w:rPr>
          <w:szCs w:val="22"/>
          <w:lang w:val="el-GR"/>
        </w:rPr>
      </w:pPr>
    </w:p>
    <w:p w:rsidR="00BF291C" w:rsidRPr="00873F9B" w:rsidRDefault="00B8748E" w:rsidP="00AA11F5">
      <w:pPr>
        <w:jc w:val="both"/>
        <w:rPr>
          <w:i/>
          <w:iCs/>
          <w:szCs w:val="22"/>
          <w:u w:val="single"/>
          <w:lang w:val="el-GR"/>
        </w:rPr>
      </w:pPr>
      <w:r w:rsidRPr="00873F9B">
        <w:rPr>
          <w:i/>
          <w:iCs/>
          <w:szCs w:val="22"/>
          <w:u w:val="single"/>
          <w:lang w:val="el-GR"/>
        </w:rPr>
        <w:t xml:space="preserve">Προσοχή απαιτείται </w:t>
      </w:r>
      <w:r w:rsidR="00D527B1" w:rsidRPr="00873F9B">
        <w:rPr>
          <w:i/>
          <w:iCs/>
          <w:szCs w:val="22"/>
          <w:u w:val="single"/>
          <w:lang w:val="el-GR"/>
        </w:rPr>
        <w:t>μ</w:t>
      </w:r>
      <w:r w:rsidRPr="00873F9B">
        <w:rPr>
          <w:i/>
          <w:iCs/>
          <w:szCs w:val="22"/>
          <w:u w:val="single"/>
          <w:lang w:val="el-GR"/>
        </w:rPr>
        <w:t>ε ταυτόχρονη χρήση</w:t>
      </w:r>
    </w:p>
    <w:p w:rsidR="00BF291C" w:rsidRPr="00873F9B" w:rsidRDefault="00BF291C" w:rsidP="00AA11F5">
      <w:pPr>
        <w:jc w:val="both"/>
        <w:rPr>
          <w:i/>
          <w:iCs/>
          <w:szCs w:val="22"/>
          <w:u w:val="single"/>
          <w:lang w:val="el-GR"/>
        </w:rPr>
      </w:pPr>
    </w:p>
    <w:p w:rsidR="002D1DE8" w:rsidRPr="00873F9B" w:rsidRDefault="002D1DE8" w:rsidP="00AA11F5">
      <w:pPr>
        <w:jc w:val="both"/>
        <w:rPr>
          <w:i/>
          <w:iCs/>
          <w:szCs w:val="22"/>
          <w:lang w:val="el-GR"/>
        </w:rPr>
      </w:pPr>
      <w:r w:rsidRPr="00873F9B">
        <w:rPr>
          <w:i/>
          <w:iCs/>
          <w:szCs w:val="22"/>
          <w:lang w:val="el-GR"/>
        </w:rPr>
        <w:t>Μη στεροειδή αντιφλεγμονώδη φάρμακα (ΜΣΑΦ), συμπεριλαμβανομένων των εκλεκτικών αναστολέων</w:t>
      </w:r>
      <w:r w:rsidR="004E1129" w:rsidRPr="00873F9B">
        <w:rPr>
          <w:i/>
          <w:iCs/>
          <w:szCs w:val="22"/>
          <w:lang w:val="el-GR"/>
        </w:rPr>
        <w:t xml:space="preserve"> </w:t>
      </w:r>
      <w:r w:rsidRPr="00873F9B">
        <w:rPr>
          <w:i/>
          <w:iCs/>
          <w:szCs w:val="22"/>
          <w:lang w:val="el-GR"/>
        </w:rPr>
        <w:t xml:space="preserve">της </w:t>
      </w:r>
      <w:r w:rsidRPr="00873F9B">
        <w:rPr>
          <w:i/>
          <w:iCs/>
          <w:szCs w:val="22"/>
        </w:rPr>
        <w:t>COX</w:t>
      </w:r>
      <w:r w:rsidRPr="00873F9B">
        <w:rPr>
          <w:i/>
          <w:iCs/>
          <w:szCs w:val="22"/>
          <w:lang w:val="el-GR"/>
        </w:rPr>
        <w:t>-2, του ακετυλοσαλικυλικού οξέως &gt; 3</w:t>
      </w:r>
      <w:r w:rsidRPr="00873F9B">
        <w:rPr>
          <w:i/>
          <w:iCs/>
          <w:szCs w:val="22"/>
        </w:rPr>
        <w:t>g</w:t>
      </w:r>
      <w:r w:rsidRPr="00873F9B">
        <w:rPr>
          <w:i/>
          <w:iCs/>
          <w:szCs w:val="22"/>
          <w:lang w:val="el-GR"/>
        </w:rPr>
        <w:t>/ημέρα και των μη εκλεκτικών ΜΣΑΦ</w:t>
      </w:r>
    </w:p>
    <w:p w:rsidR="002D1DE8" w:rsidRPr="00873F9B" w:rsidRDefault="002D1DE8" w:rsidP="00AA11F5">
      <w:pPr>
        <w:autoSpaceDE w:val="0"/>
        <w:autoSpaceDN w:val="0"/>
        <w:adjustRightInd w:val="0"/>
        <w:jc w:val="both"/>
        <w:rPr>
          <w:rFonts w:eastAsia="PMingLiU"/>
          <w:szCs w:val="22"/>
          <w:lang w:val="el-GR" w:eastAsia="zh-TW"/>
        </w:rPr>
      </w:pPr>
      <w:r w:rsidRPr="00873F9B">
        <w:rPr>
          <w:rFonts w:eastAsia="PMingLiU"/>
          <w:szCs w:val="22"/>
          <w:lang w:val="el-GR" w:eastAsia="zh-TW"/>
        </w:rPr>
        <w:t>Όταν οι ανταγωνιστές της αγγειοτασίνης ΙΙ χορηγούνται ταυτόχρονα με ΜΣΑΦ, μπορεί να εμφανιστεί</w:t>
      </w:r>
      <w:r w:rsidR="004E1129" w:rsidRPr="00873F9B">
        <w:rPr>
          <w:rFonts w:eastAsia="PMingLiU"/>
          <w:szCs w:val="22"/>
          <w:lang w:val="el-GR" w:eastAsia="zh-TW"/>
        </w:rPr>
        <w:t xml:space="preserve"> </w:t>
      </w:r>
      <w:r w:rsidRPr="00873F9B">
        <w:rPr>
          <w:rFonts w:eastAsia="PMingLiU"/>
          <w:szCs w:val="22"/>
          <w:lang w:val="el-GR" w:eastAsia="zh-TW"/>
        </w:rPr>
        <w:t xml:space="preserve">εξασθένιση της αντιυπερτασικής δράσης τους. Επιπλέον, η ταυτόχρονη χρήση των ανταγωνιστών </w:t>
      </w:r>
      <w:r w:rsidR="004E1129" w:rsidRPr="00873F9B">
        <w:rPr>
          <w:rFonts w:eastAsia="PMingLiU"/>
          <w:szCs w:val="22"/>
          <w:lang w:val="el-GR" w:eastAsia="zh-TW"/>
        </w:rPr>
        <w:t xml:space="preserve">της </w:t>
      </w:r>
      <w:r w:rsidRPr="00873F9B">
        <w:rPr>
          <w:rFonts w:eastAsia="PMingLiU"/>
          <w:szCs w:val="22"/>
          <w:lang w:val="el-GR" w:eastAsia="zh-TW"/>
        </w:rPr>
        <w:t>αγγειοτασίνης ΙΙ και των ΜΣΑΦ μπορεί να οδηγήσει σε αυξημένο κίνδυνο επιδείνωσης της νεφρικής</w:t>
      </w:r>
      <w:r w:rsidR="004E1129" w:rsidRPr="00873F9B">
        <w:rPr>
          <w:rFonts w:eastAsia="PMingLiU"/>
          <w:szCs w:val="22"/>
          <w:lang w:val="el-GR" w:eastAsia="zh-TW"/>
        </w:rPr>
        <w:t xml:space="preserve"> </w:t>
      </w:r>
      <w:r w:rsidRPr="00873F9B">
        <w:rPr>
          <w:rFonts w:eastAsia="PMingLiU"/>
          <w:szCs w:val="22"/>
          <w:lang w:val="el-GR" w:eastAsia="zh-TW"/>
        </w:rPr>
        <w:t>λειτουργίας και αύξησης του καλίου του ορού. Επομένως, συνιστάται να γίνεται έλεγχος της νεφρικής</w:t>
      </w:r>
      <w:r w:rsidR="004E1129" w:rsidRPr="00873F9B">
        <w:rPr>
          <w:rFonts w:eastAsia="PMingLiU"/>
          <w:szCs w:val="22"/>
          <w:lang w:val="el-GR" w:eastAsia="zh-TW"/>
        </w:rPr>
        <w:t xml:space="preserve"> </w:t>
      </w:r>
      <w:r w:rsidRPr="00873F9B">
        <w:rPr>
          <w:rFonts w:eastAsia="PMingLiU"/>
          <w:szCs w:val="22"/>
          <w:lang w:val="el-GR" w:eastAsia="zh-TW"/>
        </w:rPr>
        <w:t>λειτουργίας στην αρχή της θεραπείας καθώς και επαρκής ενυδάτωση του ασθενούς.</w:t>
      </w:r>
    </w:p>
    <w:p w:rsidR="00EC3F4B" w:rsidRPr="00873F9B" w:rsidRDefault="00EC3F4B" w:rsidP="00AA11F5">
      <w:pPr>
        <w:jc w:val="both"/>
        <w:rPr>
          <w:i/>
          <w:iCs/>
          <w:szCs w:val="22"/>
          <w:lang w:val="el-GR"/>
        </w:rPr>
      </w:pPr>
    </w:p>
    <w:p w:rsidR="002D1DE8" w:rsidRPr="00873F9B" w:rsidRDefault="002D1DE8" w:rsidP="00AA11F5">
      <w:pPr>
        <w:jc w:val="both"/>
        <w:rPr>
          <w:i/>
          <w:iCs/>
          <w:szCs w:val="22"/>
          <w:lang w:val="el-GR"/>
        </w:rPr>
      </w:pPr>
      <w:r w:rsidRPr="00873F9B">
        <w:rPr>
          <w:i/>
          <w:iCs/>
          <w:szCs w:val="22"/>
          <w:lang w:val="el-GR"/>
        </w:rPr>
        <w:t>Άλλα</w:t>
      </w:r>
    </w:p>
    <w:p w:rsidR="002D1DE8" w:rsidRPr="00873F9B" w:rsidRDefault="002D1DE8" w:rsidP="00AA11F5">
      <w:pPr>
        <w:autoSpaceDE w:val="0"/>
        <w:autoSpaceDN w:val="0"/>
        <w:adjustRightInd w:val="0"/>
        <w:jc w:val="both"/>
        <w:rPr>
          <w:rFonts w:eastAsia="PMingLiU"/>
          <w:szCs w:val="22"/>
          <w:lang w:val="el-GR" w:eastAsia="zh-TW"/>
        </w:rPr>
      </w:pPr>
      <w:r w:rsidRPr="00873F9B">
        <w:rPr>
          <w:rFonts w:eastAsia="PMingLiU"/>
          <w:szCs w:val="22"/>
          <w:lang w:val="el-GR" w:eastAsia="zh-TW"/>
        </w:rPr>
        <w:t>Σε μελέτες αλληλεπιδράσεων με βαλσαρτάνη, δεν βρέθηκαν αλληλεπιδράσεις κλινικής σημασίας με</w:t>
      </w:r>
      <w:r w:rsidR="004E1129" w:rsidRPr="00873F9B">
        <w:rPr>
          <w:rFonts w:eastAsia="PMingLiU"/>
          <w:szCs w:val="22"/>
          <w:lang w:val="el-GR" w:eastAsia="zh-TW"/>
        </w:rPr>
        <w:t xml:space="preserve"> </w:t>
      </w:r>
      <w:r w:rsidRPr="00873F9B">
        <w:rPr>
          <w:rFonts w:eastAsia="PMingLiU"/>
          <w:szCs w:val="22"/>
          <w:lang w:val="el-GR" w:eastAsia="zh-TW"/>
        </w:rPr>
        <w:t>βαλσαρτάνη ή με οποιαδήποτε από τις ακόλουθες ουσίες: σιμετιδίνη, βαρφαρίνη, φουροσεμίδη,</w:t>
      </w:r>
      <w:r w:rsidR="004E1129" w:rsidRPr="00873F9B">
        <w:rPr>
          <w:rFonts w:eastAsia="PMingLiU"/>
          <w:szCs w:val="22"/>
          <w:lang w:val="el-GR" w:eastAsia="zh-TW"/>
        </w:rPr>
        <w:t xml:space="preserve"> </w:t>
      </w:r>
      <w:r w:rsidRPr="00873F9B">
        <w:rPr>
          <w:rFonts w:eastAsia="PMingLiU"/>
          <w:szCs w:val="22"/>
          <w:lang w:val="el-GR" w:eastAsia="zh-TW"/>
        </w:rPr>
        <w:t>διγοξίνη, ατενολόλη, ινδομεθακίνη, υδροχλωροθειαζίδη, αμλοδιπίνη, γκλιβενκλαμίδη.</w:t>
      </w:r>
    </w:p>
    <w:p w:rsidR="00EC3F4B" w:rsidRPr="00873F9B" w:rsidRDefault="00EC3F4B" w:rsidP="00AA11F5">
      <w:pPr>
        <w:jc w:val="both"/>
        <w:rPr>
          <w:i/>
          <w:iCs/>
          <w:szCs w:val="22"/>
          <w:lang w:val="el-GR"/>
        </w:rPr>
      </w:pPr>
    </w:p>
    <w:p w:rsidR="002D1DE8" w:rsidRPr="00873F9B" w:rsidRDefault="002D1DE8" w:rsidP="00AA11F5">
      <w:pPr>
        <w:jc w:val="both"/>
        <w:rPr>
          <w:i/>
          <w:iCs/>
          <w:szCs w:val="22"/>
          <w:lang w:val="el-GR"/>
        </w:rPr>
      </w:pPr>
      <w:r w:rsidRPr="00873F9B">
        <w:rPr>
          <w:i/>
          <w:iCs/>
          <w:szCs w:val="22"/>
          <w:lang w:val="el-GR"/>
        </w:rPr>
        <w:t>Παιδιατρικός πληθυσμός</w:t>
      </w:r>
    </w:p>
    <w:p w:rsidR="002D1DE8" w:rsidRPr="00873F9B" w:rsidRDefault="002D1DE8" w:rsidP="00AA11F5">
      <w:pPr>
        <w:autoSpaceDE w:val="0"/>
        <w:autoSpaceDN w:val="0"/>
        <w:adjustRightInd w:val="0"/>
        <w:jc w:val="both"/>
        <w:rPr>
          <w:i/>
          <w:iCs/>
          <w:szCs w:val="22"/>
          <w:lang w:val="el-GR"/>
        </w:rPr>
      </w:pPr>
      <w:r w:rsidRPr="00873F9B">
        <w:rPr>
          <w:rFonts w:eastAsia="PMingLiU"/>
          <w:szCs w:val="22"/>
          <w:lang w:val="el-GR" w:eastAsia="zh-TW"/>
        </w:rPr>
        <w:t>Στην υπέρταση σε παιδιά και εφήβους, σε περιπτώσεις στις οποίες είναι συχνές υποκείμενες νεφρικές</w:t>
      </w:r>
      <w:r w:rsidR="004E1129" w:rsidRPr="00873F9B">
        <w:rPr>
          <w:rFonts w:eastAsia="PMingLiU"/>
          <w:szCs w:val="22"/>
          <w:lang w:val="el-GR" w:eastAsia="zh-TW"/>
        </w:rPr>
        <w:t xml:space="preserve"> </w:t>
      </w:r>
      <w:r w:rsidRPr="00873F9B">
        <w:rPr>
          <w:rFonts w:eastAsia="PMingLiU"/>
          <w:szCs w:val="22"/>
          <w:lang w:val="el-GR" w:eastAsia="zh-TW"/>
        </w:rPr>
        <w:t>ανωμαλίες, συνιστάται προσοχή με την παράλληλη χρήση βαλσαρτάνης και άλλων ουσιών που</w:t>
      </w:r>
      <w:r w:rsidR="004E1129" w:rsidRPr="00873F9B">
        <w:rPr>
          <w:rFonts w:eastAsia="PMingLiU"/>
          <w:szCs w:val="22"/>
          <w:lang w:val="el-GR" w:eastAsia="zh-TW"/>
        </w:rPr>
        <w:t xml:space="preserve"> </w:t>
      </w:r>
      <w:r w:rsidRPr="00873F9B">
        <w:rPr>
          <w:rFonts w:eastAsia="PMingLiU"/>
          <w:szCs w:val="22"/>
          <w:lang w:val="el-GR" w:eastAsia="zh-TW"/>
        </w:rPr>
        <w:t>αναστέλλουν το σύστημα ρενίνης αγγειοτασίνης αλδοστερόνης, γεγονός που μπορεί να αυξήσει το</w:t>
      </w:r>
      <w:r w:rsidR="004E1129" w:rsidRPr="00873F9B">
        <w:rPr>
          <w:rFonts w:eastAsia="PMingLiU"/>
          <w:szCs w:val="22"/>
          <w:lang w:val="el-GR" w:eastAsia="zh-TW"/>
        </w:rPr>
        <w:t xml:space="preserve"> </w:t>
      </w:r>
      <w:r w:rsidRPr="00873F9B">
        <w:rPr>
          <w:rFonts w:eastAsia="PMingLiU"/>
          <w:szCs w:val="22"/>
          <w:lang w:val="el-GR" w:eastAsia="zh-TW"/>
        </w:rPr>
        <w:t>κάλιο ορού. Η νεφρική λειτουργία και το κάλιο ορού θα πρέπει να παρακολουθούνται στενά.</w:t>
      </w:r>
    </w:p>
    <w:p w:rsidR="00BF291C" w:rsidRPr="00873F9B" w:rsidRDefault="00BF291C" w:rsidP="00AA11F5">
      <w:pPr>
        <w:jc w:val="both"/>
        <w:rPr>
          <w:szCs w:val="22"/>
        </w:rPr>
      </w:pPr>
    </w:p>
    <w:p w:rsidR="00570926" w:rsidRPr="00873F9B" w:rsidRDefault="00570926" w:rsidP="00AA11F5">
      <w:pPr>
        <w:ind w:left="567" w:hanging="567"/>
        <w:jc w:val="both"/>
        <w:outlineLvl w:val="0"/>
        <w:rPr>
          <w:b/>
          <w:szCs w:val="22"/>
          <w:lang w:val="el-GR"/>
        </w:rPr>
      </w:pPr>
    </w:p>
    <w:p w:rsidR="00BF291C" w:rsidRPr="00873F9B" w:rsidRDefault="00BF291C" w:rsidP="00AA11F5">
      <w:pPr>
        <w:ind w:left="567" w:hanging="567"/>
        <w:jc w:val="both"/>
        <w:outlineLvl w:val="0"/>
        <w:rPr>
          <w:b/>
          <w:szCs w:val="22"/>
          <w:lang w:val="el-GR"/>
        </w:rPr>
      </w:pPr>
      <w:r w:rsidRPr="00873F9B">
        <w:rPr>
          <w:b/>
          <w:szCs w:val="22"/>
        </w:rPr>
        <w:t>4.6</w:t>
      </w:r>
      <w:r w:rsidRPr="00873F9B">
        <w:rPr>
          <w:b/>
          <w:szCs w:val="22"/>
        </w:rPr>
        <w:tab/>
      </w:r>
      <w:r w:rsidR="002D1DE8" w:rsidRPr="00873F9B">
        <w:rPr>
          <w:b/>
          <w:szCs w:val="22"/>
        </w:rPr>
        <w:t>Γονιμότητα, κύηση και γαλουχία</w:t>
      </w:r>
    </w:p>
    <w:p w:rsidR="00BF291C" w:rsidRPr="00873F9B" w:rsidRDefault="00BF291C" w:rsidP="00AA11F5">
      <w:pPr>
        <w:ind w:left="567" w:hanging="567"/>
        <w:jc w:val="both"/>
        <w:outlineLvl w:val="0"/>
        <w:rPr>
          <w:szCs w:val="22"/>
        </w:rPr>
      </w:pPr>
    </w:p>
    <w:p w:rsidR="00570926" w:rsidRPr="00873F9B" w:rsidRDefault="00570926" w:rsidP="00AA11F5">
      <w:pPr>
        <w:ind w:left="567" w:hanging="567"/>
        <w:jc w:val="both"/>
        <w:outlineLvl w:val="0"/>
        <w:rPr>
          <w:i/>
          <w:szCs w:val="22"/>
          <w:u w:val="single"/>
          <w:lang w:val="el-GR"/>
        </w:rPr>
      </w:pPr>
      <w:r w:rsidRPr="00873F9B">
        <w:rPr>
          <w:i/>
          <w:szCs w:val="22"/>
          <w:u w:val="single"/>
        </w:rPr>
        <w:t>Κύηση</w:t>
      </w:r>
    </w:p>
    <w:p w:rsidR="002F15D8" w:rsidRPr="00873F9B" w:rsidRDefault="002F15D8" w:rsidP="00AA11F5">
      <w:pPr>
        <w:ind w:left="567" w:hanging="567"/>
        <w:jc w:val="both"/>
        <w:outlineLvl w:val="0"/>
        <w:rPr>
          <w:i/>
          <w:szCs w:val="22"/>
          <w:u w:val="single"/>
          <w:lang w:val="el-GR"/>
        </w:rPr>
      </w:pPr>
    </w:p>
    <w:p w:rsidR="00570926" w:rsidRPr="00873F9B" w:rsidRDefault="00570926" w:rsidP="00AA11F5">
      <w:pPr>
        <w:pBdr>
          <w:top w:val="single" w:sz="4" w:space="1" w:color="auto"/>
          <w:left w:val="single" w:sz="4" w:space="4" w:color="auto"/>
          <w:bottom w:val="single" w:sz="4" w:space="1" w:color="auto"/>
          <w:right w:val="single" w:sz="4" w:space="5" w:color="auto"/>
        </w:pBdr>
        <w:jc w:val="both"/>
        <w:rPr>
          <w:szCs w:val="22"/>
          <w:lang w:val="el-GR"/>
        </w:rPr>
      </w:pPr>
      <w:r w:rsidRPr="00873F9B">
        <w:rPr>
          <w:szCs w:val="22"/>
          <w:lang w:val="el-GR"/>
        </w:rPr>
        <w:t>Η χρήση των ανταγωνιστών της αγγειοτασίνης ΙΙ (</w:t>
      </w:r>
      <w:r w:rsidRPr="00873F9B">
        <w:rPr>
          <w:szCs w:val="22"/>
        </w:rPr>
        <w:t>AIIRA</w:t>
      </w:r>
      <w:r w:rsidRPr="00873F9B">
        <w:rPr>
          <w:szCs w:val="22"/>
          <w:lang w:val="el-GR"/>
        </w:rPr>
        <w:t>) δεν συνιστάται κατά το πρώτο τρίμηνο της</w:t>
      </w:r>
      <w:r w:rsidR="004E1129" w:rsidRPr="00873F9B">
        <w:rPr>
          <w:szCs w:val="22"/>
          <w:lang w:val="el-GR"/>
        </w:rPr>
        <w:t xml:space="preserve"> </w:t>
      </w:r>
      <w:r w:rsidRPr="00873F9B">
        <w:rPr>
          <w:szCs w:val="22"/>
          <w:lang w:val="el-GR"/>
        </w:rPr>
        <w:t xml:space="preserve">κύησης (βλ. παράγραφο 4.4). Η χρήση </w:t>
      </w:r>
      <w:r w:rsidRPr="00873F9B">
        <w:rPr>
          <w:szCs w:val="22"/>
        </w:rPr>
        <w:t>AIIRA</w:t>
      </w:r>
      <w:r w:rsidRPr="00873F9B">
        <w:rPr>
          <w:szCs w:val="22"/>
          <w:lang w:val="el-GR"/>
        </w:rPr>
        <w:t xml:space="preserve"> αντενδείκνυται κατά το δεύτερο και τρίτο τρίμηνο της</w:t>
      </w:r>
      <w:r w:rsidR="004E1129" w:rsidRPr="00873F9B">
        <w:rPr>
          <w:szCs w:val="22"/>
          <w:lang w:val="el-GR"/>
        </w:rPr>
        <w:t xml:space="preserve"> </w:t>
      </w:r>
      <w:r w:rsidRPr="00873F9B">
        <w:rPr>
          <w:szCs w:val="22"/>
          <w:lang w:val="el-GR"/>
        </w:rPr>
        <w:t>κύησης (βλ. παραγράφους 4.3 και 4.4).</w:t>
      </w:r>
    </w:p>
    <w:p w:rsidR="002F15D8" w:rsidRPr="00873F9B" w:rsidRDefault="002F15D8" w:rsidP="00AA11F5">
      <w:pPr>
        <w:autoSpaceDE w:val="0"/>
        <w:autoSpaceDN w:val="0"/>
        <w:adjustRightInd w:val="0"/>
        <w:jc w:val="both"/>
        <w:rPr>
          <w:rFonts w:eastAsia="PMingLiU"/>
          <w:szCs w:val="22"/>
          <w:lang w:val="el-GR" w:eastAsia="zh-TW"/>
        </w:rPr>
      </w:pPr>
    </w:p>
    <w:p w:rsidR="002F15D8" w:rsidRPr="00873F9B" w:rsidRDefault="00570926" w:rsidP="00AA11F5">
      <w:pPr>
        <w:autoSpaceDE w:val="0"/>
        <w:autoSpaceDN w:val="0"/>
        <w:adjustRightInd w:val="0"/>
        <w:jc w:val="both"/>
        <w:rPr>
          <w:rFonts w:eastAsia="PMingLiU"/>
          <w:szCs w:val="22"/>
          <w:lang w:val="el-GR" w:eastAsia="zh-TW"/>
        </w:rPr>
      </w:pPr>
      <w:r w:rsidRPr="00873F9B">
        <w:rPr>
          <w:rFonts w:eastAsia="PMingLiU"/>
          <w:szCs w:val="22"/>
          <w:lang w:val="el-GR" w:eastAsia="zh-TW"/>
        </w:rPr>
        <w:t>Οι επιδημιολογικές ενδείξεις σχετικά με τον κίνδυνο τερατογένεσης έπειτα από έκθεση σε αναστολείς</w:t>
      </w:r>
      <w:r w:rsidR="004E1129" w:rsidRPr="00873F9B">
        <w:rPr>
          <w:rFonts w:eastAsia="PMingLiU"/>
          <w:szCs w:val="22"/>
          <w:lang w:val="el-GR" w:eastAsia="zh-TW"/>
        </w:rPr>
        <w:t xml:space="preserve"> </w:t>
      </w:r>
      <w:r w:rsidRPr="00873F9B">
        <w:rPr>
          <w:rFonts w:eastAsia="PMingLiU"/>
          <w:szCs w:val="22"/>
          <w:lang w:val="el-GR" w:eastAsia="zh-TW"/>
        </w:rPr>
        <w:t>ΜΕΑ κατά το πρώτο τρίμηνο της κύησης δεν ήταν αποδεικτικές, ωστόσο, δεν μπορεί να αποκλειστεί</w:t>
      </w:r>
      <w:r w:rsidR="004E1129" w:rsidRPr="00873F9B">
        <w:rPr>
          <w:rFonts w:eastAsia="PMingLiU"/>
          <w:szCs w:val="22"/>
          <w:lang w:val="el-GR" w:eastAsia="zh-TW"/>
        </w:rPr>
        <w:t xml:space="preserve"> </w:t>
      </w:r>
      <w:r w:rsidRPr="00873F9B">
        <w:rPr>
          <w:rFonts w:eastAsia="PMingLiU"/>
          <w:szCs w:val="22"/>
          <w:lang w:val="el-GR" w:eastAsia="zh-TW"/>
        </w:rPr>
        <w:t>κάποια μικρή αύξηση του κινδύνου. Αν και δεν υπάρχουν ελεγχόμενα επιδημιολογικά δεδομένα για</w:t>
      </w:r>
      <w:r w:rsidR="004E1129" w:rsidRPr="00873F9B">
        <w:rPr>
          <w:rFonts w:eastAsia="PMingLiU"/>
          <w:szCs w:val="22"/>
          <w:lang w:val="el-GR" w:eastAsia="zh-TW"/>
        </w:rPr>
        <w:t xml:space="preserve"> </w:t>
      </w:r>
      <w:r w:rsidRPr="00873F9B">
        <w:rPr>
          <w:rFonts w:eastAsia="PMingLiU"/>
          <w:szCs w:val="22"/>
          <w:lang w:val="el-GR" w:eastAsia="zh-TW"/>
        </w:rPr>
        <w:t xml:space="preserve">τον κίνδυνο με τους </w:t>
      </w:r>
      <w:r w:rsidR="002F15D8" w:rsidRPr="00873F9B">
        <w:rPr>
          <w:szCs w:val="22"/>
        </w:rPr>
        <w:t>AIIRA</w:t>
      </w:r>
      <w:r w:rsidRPr="00873F9B">
        <w:rPr>
          <w:rFonts w:eastAsia="PMingLiU"/>
          <w:szCs w:val="22"/>
          <w:lang w:val="el-GR" w:eastAsia="zh-TW"/>
        </w:rPr>
        <w:t>, παρόμοιοι κίνδυνοι ενδέχεται να υπάρχουν για αυτή την κατηγορία</w:t>
      </w:r>
      <w:r w:rsidR="004E1129" w:rsidRPr="00873F9B">
        <w:rPr>
          <w:rFonts w:eastAsia="PMingLiU"/>
          <w:szCs w:val="22"/>
          <w:lang w:val="el-GR" w:eastAsia="zh-TW"/>
        </w:rPr>
        <w:t xml:space="preserve"> </w:t>
      </w:r>
      <w:r w:rsidRPr="00873F9B">
        <w:rPr>
          <w:rFonts w:eastAsia="PMingLiU"/>
          <w:szCs w:val="22"/>
          <w:lang w:val="el-GR" w:eastAsia="zh-TW"/>
        </w:rPr>
        <w:t xml:space="preserve">φαρμάκων. Εκτός εάν η συνεχιζόμενη θεραπεία με </w:t>
      </w:r>
      <w:r w:rsidR="002F15D8" w:rsidRPr="00873F9B">
        <w:rPr>
          <w:szCs w:val="22"/>
        </w:rPr>
        <w:t>AIIRA</w:t>
      </w:r>
      <w:r w:rsidR="002F15D8" w:rsidRPr="00873F9B">
        <w:rPr>
          <w:rFonts w:eastAsia="PMingLiU"/>
          <w:szCs w:val="22"/>
          <w:lang w:val="el-GR" w:eastAsia="zh-TW"/>
        </w:rPr>
        <w:t xml:space="preserve"> </w:t>
      </w:r>
      <w:r w:rsidRPr="00873F9B">
        <w:rPr>
          <w:rFonts w:eastAsia="PMingLiU"/>
          <w:szCs w:val="22"/>
          <w:lang w:val="el-GR" w:eastAsia="zh-TW"/>
        </w:rPr>
        <w:t>θεωρηθεί απαραίτητη, οι ασθενείς που</w:t>
      </w:r>
      <w:r w:rsidR="004E1129" w:rsidRPr="00873F9B">
        <w:rPr>
          <w:rFonts w:eastAsia="PMingLiU"/>
          <w:szCs w:val="22"/>
          <w:lang w:val="el-GR" w:eastAsia="zh-TW"/>
        </w:rPr>
        <w:t xml:space="preserve"> </w:t>
      </w:r>
      <w:r w:rsidRPr="00873F9B">
        <w:rPr>
          <w:rFonts w:eastAsia="PMingLiU"/>
          <w:szCs w:val="22"/>
          <w:lang w:val="el-GR" w:eastAsia="zh-TW"/>
        </w:rPr>
        <w:t>προγραμματίζουν εγκυμοσύνη θα πρέπει να μεταβούν σε εναλλακτικές αντιυπερτασικές θεραπείες οι</w:t>
      </w:r>
      <w:r w:rsidR="002F15D8" w:rsidRPr="00873F9B">
        <w:rPr>
          <w:rFonts w:eastAsia="PMingLiU"/>
          <w:szCs w:val="22"/>
          <w:lang w:val="el-GR" w:eastAsia="zh-TW"/>
        </w:rPr>
        <w:t xml:space="preserve"> </w:t>
      </w:r>
      <w:r w:rsidR="004E1129" w:rsidRPr="00873F9B">
        <w:rPr>
          <w:rFonts w:eastAsia="PMingLiU"/>
          <w:szCs w:val="22"/>
          <w:lang w:val="el-GR" w:eastAsia="zh-TW"/>
        </w:rPr>
        <w:t xml:space="preserve"> </w:t>
      </w:r>
      <w:r w:rsidR="002F15D8" w:rsidRPr="00873F9B">
        <w:rPr>
          <w:rFonts w:eastAsia="PMingLiU"/>
          <w:szCs w:val="22"/>
          <w:lang w:val="el-GR" w:eastAsia="zh-TW"/>
        </w:rPr>
        <w:t>οποίες έχουν καθιερωμένο προφίλ ασφάλειας για χρήση κατά την εγκυμοσύνη. Όταν διαγνωστεί</w:t>
      </w:r>
      <w:r w:rsidR="004E1129" w:rsidRPr="00873F9B">
        <w:rPr>
          <w:rFonts w:eastAsia="PMingLiU"/>
          <w:szCs w:val="22"/>
          <w:lang w:val="el-GR" w:eastAsia="zh-TW"/>
        </w:rPr>
        <w:t xml:space="preserve"> </w:t>
      </w:r>
      <w:r w:rsidR="002F15D8" w:rsidRPr="00873F9B">
        <w:rPr>
          <w:rFonts w:eastAsia="PMingLiU"/>
          <w:szCs w:val="22"/>
          <w:lang w:val="el-GR" w:eastAsia="zh-TW"/>
        </w:rPr>
        <w:t xml:space="preserve">εγκυμοσύνη, η θεραπεία με </w:t>
      </w:r>
      <w:r w:rsidR="002F15D8" w:rsidRPr="00873F9B">
        <w:rPr>
          <w:szCs w:val="22"/>
        </w:rPr>
        <w:t>AIIRA</w:t>
      </w:r>
      <w:r w:rsidR="002F15D8" w:rsidRPr="00873F9B">
        <w:rPr>
          <w:rFonts w:eastAsia="PMingLiU"/>
          <w:szCs w:val="22"/>
          <w:lang w:val="el-GR" w:eastAsia="zh-TW"/>
        </w:rPr>
        <w:t xml:space="preserve"> θα πρέπει να διακόπτεται αμέσως, και εφόσον απαιτείται, θα πρέπει</w:t>
      </w:r>
      <w:r w:rsidR="004E1129" w:rsidRPr="00873F9B">
        <w:rPr>
          <w:rFonts w:eastAsia="PMingLiU"/>
          <w:szCs w:val="22"/>
          <w:lang w:val="el-GR" w:eastAsia="zh-TW"/>
        </w:rPr>
        <w:t xml:space="preserve"> </w:t>
      </w:r>
      <w:r w:rsidR="002F15D8" w:rsidRPr="00873F9B">
        <w:rPr>
          <w:rFonts w:eastAsia="PMingLiU"/>
          <w:szCs w:val="22"/>
          <w:lang w:val="el-GR" w:eastAsia="zh-TW"/>
        </w:rPr>
        <w:t>να ξεκινάει μια εναλλακτική θεραπεία.</w:t>
      </w:r>
    </w:p>
    <w:p w:rsidR="002F15D8" w:rsidRPr="00873F9B" w:rsidRDefault="002F15D8" w:rsidP="00AA11F5">
      <w:pPr>
        <w:autoSpaceDE w:val="0"/>
        <w:autoSpaceDN w:val="0"/>
        <w:adjustRightInd w:val="0"/>
        <w:jc w:val="both"/>
        <w:rPr>
          <w:rFonts w:eastAsia="PMingLiU"/>
          <w:szCs w:val="22"/>
          <w:lang w:val="el-GR" w:eastAsia="zh-TW"/>
        </w:rPr>
      </w:pPr>
      <w:r w:rsidRPr="00873F9B">
        <w:rPr>
          <w:rFonts w:eastAsia="PMingLiU"/>
          <w:szCs w:val="22"/>
          <w:lang w:val="el-GR" w:eastAsia="zh-TW"/>
        </w:rPr>
        <w:t xml:space="preserve">Η έκθεση στη θεραπεία με </w:t>
      </w:r>
      <w:r w:rsidRPr="00873F9B">
        <w:rPr>
          <w:szCs w:val="22"/>
        </w:rPr>
        <w:t>AIIRA</w:t>
      </w:r>
      <w:r w:rsidRPr="00873F9B">
        <w:rPr>
          <w:rFonts w:eastAsia="PMingLiU"/>
          <w:szCs w:val="22"/>
          <w:lang w:val="el-GR" w:eastAsia="zh-TW"/>
        </w:rPr>
        <w:t xml:space="preserve"> κατά το δεύτερο και τρίτο τρίμηνο είναι γνωστό ότι προκαλεί</w:t>
      </w:r>
      <w:r w:rsidR="004E1129" w:rsidRPr="00873F9B">
        <w:rPr>
          <w:rFonts w:eastAsia="PMingLiU"/>
          <w:szCs w:val="22"/>
          <w:lang w:val="el-GR" w:eastAsia="zh-TW"/>
        </w:rPr>
        <w:t xml:space="preserve"> </w:t>
      </w:r>
      <w:r w:rsidRPr="00873F9B">
        <w:rPr>
          <w:rFonts w:eastAsia="PMingLiU"/>
          <w:szCs w:val="22"/>
          <w:lang w:val="el-GR" w:eastAsia="zh-TW"/>
        </w:rPr>
        <w:t>εμβρυοτοξικότητα στον άνθρωπο (μειωμένη νεφρική λειτουργία, ολιγοϋδράμνιο, καθυστερημένη</w:t>
      </w:r>
      <w:r w:rsidR="004E1129" w:rsidRPr="00873F9B">
        <w:rPr>
          <w:rFonts w:eastAsia="PMingLiU"/>
          <w:szCs w:val="22"/>
          <w:lang w:val="el-GR" w:eastAsia="zh-TW"/>
        </w:rPr>
        <w:t xml:space="preserve"> </w:t>
      </w:r>
      <w:r w:rsidRPr="00873F9B">
        <w:rPr>
          <w:rFonts w:eastAsia="PMingLiU"/>
          <w:szCs w:val="22"/>
          <w:lang w:val="el-GR" w:eastAsia="zh-TW"/>
        </w:rPr>
        <w:t>οστεοποίηση του κρανίου) και νεογνική τοξικότητα (νεφρική ανεπάρκεια, υπόταση, υπερκαλιαιμία).</w:t>
      </w:r>
    </w:p>
    <w:p w:rsidR="002F15D8" w:rsidRPr="00873F9B" w:rsidRDefault="002F15D8" w:rsidP="00AA11F5">
      <w:pPr>
        <w:autoSpaceDE w:val="0"/>
        <w:autoSpaceDN w:val="0"/>
        <w:adjustRightInd w:val="0"/>
        <w:jc w:val="both"/>
        <w:rPr>
          <w:rFonts w:eastAsia="PMingLiU"/>
          <w:szCs w:val="22"/>
          <w:lang w:val="el-GR" w:eastAsia="zh-TW"/>
        </w:rPr>
      </w:pPr>
      <w:r w:rsidRPr="00873F9B">
        <w:rPr>
          <w:rFonts w:eastAsia="PMingLiU"/>
          <w:szCs w:val="22"/>
          <w:lang w:val="el-GR" w:eastAsia="zh-TW"/>
        </w:rPr>
        <w:t>Βλέπε επίσης παράγραφο 5.3 «Προκλινικά δεδομένα για την ασφάλεια».</w:t>
      </w:r>
      <w:r w:rsidR="004E1129" w:rsidRPr="00873F9B">
        <w:rPr>
          <w:rFonts w:eastAsia="PMingLiU"/>
          <w:szCs w:val="22"/>
          <w:lang w:val="el-GR" w:eastAsia="zh-TW"/>
        </w:rPr>
        <w:t xml:space="preserve"> </w:t>
      </w:r>
    </w:p>
    <w:p w:rsidR="002F15D8" w:rsidRPr="00873F9B" w:rsidRDefault="002F15D8" w:rsidP="00AA11F5">
      <w:pPr>
        <w:autoSpaceDE w:val="0"/>
        <w:autoSpaceDN w:val="0"/>
        <w:adjustRightInd w:val="0"/>
        <w:jc w:val="both"/>
        <w:rPr>
          <w:rFonts w:eastAsia="PMingLiU"/>
          <w:szCs w:val="22"/>
          <w:lang w:val="el-GR" w:eastAsia="zh-TW"/>
        </w:rPr>
      </w:pPr>
      <w:r w:rsidRPr="00873F9B">
        <w:rPr>
          <w:rFonts w:eastAsia="PMingLiU"/>
          <w:szCs w:val="22"/>
          <w:lang w:val="el-GR" w:eastAsia="zh-TW"/>
        </w:rPr>
        <w:t xml:space="preserve">Σε περίπτωση που η έκθεση σε </w:t>
      </w:r>
      <w:r w:rsidR="007556BC" w:rsidRPr="00873F9B">
        <w:rPr>
          <w:szCs w:val="22"/>
        </w:rPr>
        <w:t>AIIRA</w:t>
      </w:r>
      <w:r w:rsidR="007556BC" w:rsidRPr="00873F9B">
        <w:rPr>
          <w:rFonts w:eastAsia="PMingLiU"/>
          <w:szCs w:val="22"/>
          <w:lang w:val="el-GR" w:eastAsia="zh-TW"/>
        </w:rPr>
        <w:t xml:space="preserve"> </w:t>
      </w:r>
      <w:r w:rsidRPr="00873F9B">
        <w:rPr>
          <w:rFonts w:eastAsia="PMingLiU"/>
          <w:szCs w:val="22"/>
          <w:lang w:val="el-GR" w:eastAsia="zh-TW"/>
        </w:rPr>
        <w:t>έχει συμβεί από το δεύτερο τρίμηνο της κύησης, συνιστάται να</w:t>
      </w:r>
      <w:r w:rsidR="004E1129" w:rsidRPr="00873F9B">
        <w:rPr>
          <w:rFonts w:eastAsia="PMingLiU"/>
          <w:szCs w:val="22"/>
          <w:lang w:val="el-GR" w:eastAsia="zh-TW"/>
        </w:rPr>
        <w:t xml:space="preserve"> </w:t>
      </w:r>
      <w:r w:rsidRPr="00873F9B">
        <w:rPr>
          <w:rFonts w:eastAsia="PMingLiU"/>
          <w:szCs w:val="22"/>
          <w:lang w:val="el-GR" w:eastAsia="zh-TW"/>
        </w:rPr>
        <w:t>πραγματοποιηθεί υπερηχογραφικός έλεγχος της νεφρικής λειτουργίας και του κρανίου.</w:t>
      </w:r>
      <w:r w:rsidR="004E1129" w:rsidRPr="00873F9B">
        <w:rPr>
          <w:rFonts w:eastAsia="PMingLiU"/>
          <w:szCs w:val="22"/>
          <w:lang w:val="el-GR" w:eastAsia="zh-TW"/>
        </w:rPr>
        <w:t xml:space="preserve"> </w:t>
      </w:r>
      <w:r w:rsidRPr="00873F9B">
        <w:rPr>
          <w:rFonts w:eastAsia="PMingLiU"/>
          <w:szCs w:val="22"/>
          <w:lang w:val="el-GR" w:eastAsia="zh-TW"/>
        </w:rPr>
        <w:t xml:space="preserve">Βρέφη των οποίων οι μητέρες έχουν πάρει </w:t>
      </w:r>
      <w:r w:rsidR="00D155D7" w:rsidRPr="00873F9B">
        <w:rPr>
          <w:szCs w:val="22"/>
        </w:rPr>
        <w:t>AIIRA</w:t>
      </w:r>
      <w:r w:rsidR="00D155D7" w:rsidRPr="00873F9B">
        <w:rPr>
          <w:rFonts w:eastAsia="PMingLiU"/>
          <w:szCs w:val="22"/>
          <w:lang w:val="el-GR" w:eastAsia="zh-TW"/>
        </w:rPr>
        <w:t xml:space="preserve"> </w:t>
      </w:r>
      <w:r w:rsidRPr="00873F9B">
        <w:rPr>
          <w:rFonts w:eastAsia="PMingLiU"/>
          <w:szCs w:val="22"/>
          <w:lang w:val="el-GR" w:eastAsia="zh-TW"/>
        </w:rPr>
        <w:t>θα πρέπει να παρακολουθούνται στενά για υπόταση</w:t>
      </w:r>
      <w:r w:rsidR="004E1129" w:rsidRPr="00873F9B">
        <w:rPr>
          <w:rFonts w:eastAsia="PMingLiU"/>
          <w:szCs w:val="22"/>
          <w:lang w:val="el-GR" w:eastAsia="zh-TW"/>
        </w:rPr>
        <w:t xml:space="preserve"> </w:t>
      </w:r>
      <w:r w:rsidRPr="00873F9B">
        <w:rPr>
          <w:rFonts w:eastAsia="PMingLiU"/>
          <w:szCs w:val="22"/>
          <w:lang w:val="el-GR" w:eastAsia="zh-TW"/>
        </w:rPr>
        <w:t>(βλ. επίσης παραγράφους 4.3 και 4.4).</w:t>
      </w:r>
    </w:p>
    <w:p w:rsidR="002F15D8" w:rsidRPr="00873F9B" w:rsidRDefault="002F15D8" w:rsidP="00AA11F5">
      <w:pPr>
        <w:ind w:left="567" w:hanging="567"/>
        <w:jc w:val="both"/>
        <w:outlineLvl w:val="0"/>
        <w:rPr>
          <w:i/>
          <w:szCs w:val="22"/>
          <w:u w:val="single"/>
          <w:lang w:val="el-GR"/>
        </w:rPr>
      </w:pPr>
    </w:p>
    <w:p w:rsidR="0050168F" w:rsidRPr="00EC17EC" w:rsidRDefault="0050168F" w:rsidP="00AA11F5">
      <w:pPr>
        <w:jc w:val="both"/>
        <w:rPr>
          <w:i/>
          <w:szCs w:val="22"/>
          <w:u w:val="single"/>
          <w:lang w:val="el-GR"/>
        </w:rPr>
      </w:pPr>
      <w:r w:rsidRPr="00EC17EC">
        <w:rPr>
          <w:i/>
          <w:szCs w:val="22"/>
          <w:u w:val="single"/>
          <w:lang w:val="el-GR"/>
        </w:rPr>
        <w:t>Γαλουχία</w:t>
      </w:r>
    </w:p>
    <w:p w:rsidR="0050168F" w:rsidRPr="00873F9B" w:rsidRDefault="0050168F" w:rsidP="00AA11F5">
      <w:pPr>
        <w:autoSpaceDE w:val="0"/>
        <w:autoSpaceDN w:val="0"/>
        <w:adjustRightInd w:val="0"/>
        <w:jc w:val="both"/>
        <w:rPr>
          <w:rFonts w:eastAsia="PMingLiU"/>
          <w:szCs w:val="22"/>
          <w:lang w:val="el-GR" w:eastAsia="zh-TW"/>
        </w:rPr>
      </w:pPr>
      <w:r w:rsidRPr="00873F9B">
        <w:rPr>
          <w:rFonts w:eastAsia="PMingLiU"/>
          <w:szCs w:val="22"/>
          <w:lang w:val="el-GR" w:eastAsia="zh-TW"/>
        </w:rPr>
        <w:t>Επειδή δεν υπάρχουν διαθέσιμες πληροφορίες σχετικά με τη χρήση της βαλσαρτάνης κατά το</w:t>
      </w:r>
      <w:r w:rsidR="00E4324B">
        <w:rPr>
          <w:rFonts w:eastAsia="PMingLiU"/>
          <w:szCs w:val="22"/>
          <w:lang w:val="el-GR" w:eastAsia="zh-TW"/>
        </w:rPr>
        <w:t xml:space="preserve"> </w:t>
      </w:r>
      <w:r w:rsidRPr="00873F9B">
        <w:rPr>
          <w:rFonts w:eastAsia="PMingLiU"/>
          <w:szCs w:val="22"/>
          <w:lang w:val="el-GR" w:eastAsia="zh-TW"/>
        </w:rPr>
        <w:t xml:space="preserve">θηλασμό, το </w:t>
      </w:r>
      <w:r w:rsidR="00C320C4" w:rsidRPr="00873F9B">
        <w:rPr>
          <w:rFonts w:eastAsia="PMingLiU"/>
          <w:szCs w:val="22"/>
          <w:lang w:val="en-US" w:eastAsia="zh-TW"/>
        </w:rPr>
        <w:t>Valperol</w:t>
      </w:r>
      <w:r w:rsidRPr="00873F9B">
        <w:rPr>
          <w:rFonts w:eastAsia="PMingLiU"/>
          <w:szCs w:val="22"/>
          <w:lang w:val="el-GR" w:eastAsia="zh-TW"/>
        </w:rPr>
        <w:t xml:space="preserve"> δεν συνιστάται και εναλλακτικές θεραπείες με πιο καθιερωμένα προφίλ</w:t>
      </w:r>
      <w:r w:rsidR="00E4324B">
        <w:rPr>
          <w:rFonts w:eastAsia="PMingLiU"/>
          <w:szCs w:val="22"/>
          <w:lang w:val="el-GR" w:eastAsia="zh-TW"/>
        </w:rPr>
        <w:t xml:space="preserve"> </w:t>
      </w:r>
      <w:r w:rsidRPr="00873F9B">
        <w:rPr>
          <w:rFonts w:eastAsia="PMingLiU"/>
          <w:szCs w:val="22"/>
          <w:lang w:val="el-GR" w:eastAsia="zh-TW"/>
        </w:rPr>
        <w:t>ασφάλειας κατά το θηλασμό είναι προτιμότερες, ειδικά κατά το θηλασμό ενός νεογέννητου ή</w:t>
      </w:r>
      <w:r w:rsidR="00E4324B">
        <w:rPr>
          <w:rFonts w:eastAsia="PMingLiU"/>
          <w:szCs w:val="22"/>
          <w:lang w:val="el-GR" w:eastAsia="zh-TW"/>
        </w:rPr>
        <w:t xml:space="preserve"> </w:t>
      </w:r>
      <w:r w:rsidRPr="00873F9B">
        <w:rPr>
          <w:rFonts w:eastAsia="PMingLiU"/>
          <w:szCs w:val="22"/>
          <w:lang w:val="el-GR" w:eastAsia="zh-TW"/>
        </w:rPr>
        <w:t>πρόωρου βρέφους.</w:t>
      </w:r>
    </w:p>
    <w:p w:rsidR="0050168F" w:rsidRPr="00873F9B" w:rsidRDefault="0050168F" w:rsidP="00AA11F5">
      <w:pPr>
        <w:jc w:val="both"/>
        <w:rPr>
          <w:i/>
          <w:szCs w:val="22"/>
          <w:u w:val="single"/>
          <w:lang w:val="el-GR"/>
        </w:rPr>
      </w:pPr>
    </w:p>
    <w:p w:rsidR="0050168F" w:rsidRPr="00873F9B" w:rsidRDefault="0050168F" w:rsidP="00AA11F5">
      <w:pPr>
        <w:jc w:val="both"/>
        <w:rPr>
          <w:i/>
          <w:szCs w:val="22"/>
          <w:u w:val="single"/>
          <w:lang w:val="el-GR"/>
        </w:rPr>
      </w:pPr>
      <w:r w:rsidRPr="00873F9B">
        <w:rPr>
          <w:i/>
          <w:szCs w:val="22"/>
          <w:u w:val="single"/>
          <w:lang w:val="el-GR"/>
        </w:rPr>
        <w:t>Γονιμότητα</w:t>
      </w:r>
    </w:p>
    <w:p w:rsidR="0050168F" w:rsidRPr="00873F9B" w:rsidRDefault="0050168F" w:rsidP="00AA11F5">
      <w:pPr>
        <w:autoSpaceDE w:val="0"/>
        <w:autoSpaceDN w:val="0"/>
        <w:adjustRightInd w:val="0"/>
        <w:jc w:val="both"/>
        <w:rPr>
          <w:i/>
          <w:szCs w:val="22"/>
          <w:u w:val="single"/>
          <w:lang w:val="el-GR"/>
        </w:rPr>
      </w:pPr>
      <w:r w:rsidRPr="00873F9B">
        <w:rPr>
          <w:rFonts w:eastAsia="PMingLiU"/>
          <w:szCs w:val="22"/>
          <w:lang w:val="el-GR" w:eastAsia="zh-TW"/>
        </w:rPr>
        <w:lastRenderedPageBreak/>
        <w:t>Η βαλσαρτάνη δεν είχε ανεπιθύμητες ενέργειες στην αναπαραγωγική ικανότητα αρσενικών ή</w:t>
      </w:r>
      <w:r w:rsidR="004E1129" w:rsidRPr="00873F9B">
        <w:rPr>
          <w:rFonts w:eastAsia="PMingLiU"/>
          <w:szCs w:val="22"/>
          <w:lang w:val="el-GR" w:eastAsia="zh-TW"/>
        </w:rPr>
        <w:t xml:space="preserve"> </w:t>
      </w:r>
      <w:r w:rsidRPr="00873F9B">
        <w:rPr>
          <w:rFonts w:eastAsia="PMingLiU"/>
          <w:szCs w:val="22"/>
          <w:lang w:val="el-GR" w:eastAsia="zh-TW"/>
        </w:rPr>
        <w:t>θηλυκών αρουραίων σε από του στόματος δόσεις μέχρι 200 mg/kg/ημέρα. Αυτή η δόση είναι 6 φορές</w:t>
      </w:r>
      <w:r w:rsidR="004E1129" w:rsidRPr="00873F9B">
        <w:rPr>
          <w:rFonts w:eastAsia="PMingLiU"/>
          <w:szCs w:val="22"/>
          <w:lang w:val="el-GR" w:eastAsia="zh-TW"/>
        </w:rPr>
        <w:t xml:space="preserve"> </w:t>
      </w:r>
      <w:r w:rsidRPr="00873F9B">
        <w:rPr>
          <w:rFonts w:eastAsia="PMingLiU"/>
          <w:szCs w:val="22"/>
          <w:lang w:val="el-GR" w:eastAsia="zh-TW"/>
        </w:rPr>
        <w:t>η μέγιστη συνιστώμενη δόση στον άνθρωπο με βάση mg/m2 (οι υπολογισμοί υποθέτουν από του</w:t>
      </w:r>
      <w:r w:rsidR="004E1129" w:rsidRPr="00873F9B">
        <w:rPr>
          <w:rFonts w:eastAsia="PMingLiU"/>
          <w:szCs w:val="22"/>
          <w:lang w:val="el-GR" w:eastAsia="zh-TW"/>
        </w:rPr>
        <w:t xml:space="preserve"> </w:t>
      </w:r>
      <w:r w:rsidRPr="00873F9B">
        <w:rPr>
          <w:rFonts w:eastAsia="PMingLiU"/>
          <w:szCs w:val="22"/>
          <w:lang w:val="el-GR" w:eastAsia="zh-TW"/>
        </w:rPr>
        <w:t>στόματος δόση 320 mg/ημέρα και ασθενή 60-kg).</w:t>
      </w:r>
    </w:p>
    <w:p w:rsidR="0050168F" w:rsidRPr="00873F9B" w:rsidRDefault="0050168F" w:rsidP="00AA11F5">
      <w:pPr>
        <w:jc w:val="both"/>
        <w:rPr>
          <w:i/>
          <w:szCs w:val="22"/>
          <w:u w:val="single"/>
          <w:lang w:val="el-GR"/>
        </w:rPr>
      </w:pPr>
    </w:p>
    <w:p w:rsidR="00BF291C" w:rsidRDefault="00BF291C" w:rsidP="00AA11F5">
      <w:pPr>
        <w:ind w:left="567" w:hanging="567"/>
        <w:jc w:val="both"/>
        <w:outlineLvl w:val="0"/>
        <w:rPr>
          <w:color w:val="000000"/>
          <w:szCs w:val="22"/>
          <w:lang w:val="el-GR"/>
        </w:rPr>
      </w:pPr>
    </w:p>
    <w:p w:rsidR="00BF291C" w:rsidRPr="00873F9B" w:rsidRDefault="00BF291C" w:rsidP="00AA11F5">
      <w:pPr>
        <w:ind w:left="567" w:hanging="567"/>
        <w:jc w:val="both"/>
        <w:outlineLvl w:val="0"/>
        <w:rPr>
          <w:szCs w:val="22"/>
          <w:lang w:val="el-GR"/>
        </w:rPr>
      </w:pPr>
      <w:r w:rsidRPr="00873F9B">
        <w:rPr>
          <w:b/>
          <w:szCs w:val="22"/>
        </w:rPr>
        <w:t>4.7</w:t>
      </w:r>
      <w:r w:rsidRPr="00873F9B">
        <w:rPr>
          <w:b/>
          <w:szCs w:val="22"/>
        </w:rPr>
        <w:tab/>
      </w:r>
      <w:r w:rsidR="0050168F" w:rsidRPr="00873F9B">
        <w:rPr>
          <w:b/>
          <w:szCs w:val="22"/>
        </w:rPr>
        <w:t>Επιδράσεις στην ικανότητα οδήγησης και χειρισμού μηχανών</w:t>
      </w:r>
    </w:p>
    <w:p w:rsidR="00BF291C" w:rsidRPr="00873F9B" w:rsidRDefault="00BF291C" w:rsidP="00AA11F5">
      <w:pPr>
        <w:jc w:val="both"/>
        <w:rPr>
          <w:szCs w:val="22"/>
        </w:rPr>
      </w:pPr>
    </w:p>
    <w:p w:rsidR="000E3B4A" w:rsidRPr="00873F9B" w:rsidRDefault="000E3B4A" w:rsidP="00AA11F5">
      <w:pPr>
        <w:autoSpaceDE w:val="0"/>
        <w:autoSpaceDN w:val="0"/>
        <w:adjustRightInd w:val="0"/>
        <w:jc w:val="both"/>
        <w:rPr>
          <w:szCs w:val="22"/>
          <w:lang w:val="el-GR"/>
        </w:rPr>
      </w:pPr>
      <w:r w:rsidRPr="00873F9B">
        <w:rPr>
          <w:rFonts w:eastAsia="PMingLiU"/>
          <w:szCs w:val="22"/>
          <w:lang w:val="el-GR" w:eastAsia="zh-TW"/>
        </w:rPr>
        <w:t>Δεν έχουν γίνει μελέτες για τις επιδράσεις στην ικανότητα οδήγησης. Κατά την οδήγηση οχήματος ή</w:t>
      </w:r>
      <w:r w:rsidR="004E1129" w:rsidRPr="00873F9B">
        <w:rPr>
          <w:rFonts w:eastAsia="PMingLiU"/>
          <w:szCs w:val="22"/>
          <w:lang w:val="el-GR" w:eastAsia="zh-TW"/>
        </w:rPr>
        <w:t xml:space="preserve"> </w:t>
      </w:r>
      <w:r w:rsidRPr="00873F9B">
        <w:rPr>
          <w:rFonts w:eastAsia="PMingLiU"/>
          <w:szCs w:val="22"/>
          <w:lang w:val="el-GR" w:eastAsia="zh-TW"/>
        </w:rPr>
        <w:t>το χειρισμό μηχανών, πρέπει να λαμβάνεται υπόψη ότι περιστασιακά μπορεί να εμφανισθεί ζάλη ή</w:t>
      </w:r>
      <w:r w:rsidR="004E1129" w:rsidRPr="00873F9B">
        <w:rPr>
          <w:rFonts w:eastAsia="PMingLiU"/>
          <w:szCs w:val="22"/>
          <w:lang w:val="el-GR" w:eastAsia="zh-TW"/>
        </w:rPr>
        <w:t xml:space="preserve"> </w:t>
      </w:r>
      <w:r w:rsidRPr="00873F9B">
        <w:rPr>
          <w:rFonts w:eastAsia="PMingLiU"/>
          <w:szCs w:val="22"/>
          <w:lang w:val="el-GR" w:eastAsia="zh-TW"/>
        </w:rPr>
        <w:t>κόπωση.</w:t>
      </w:r>
    </w:p>
    <w:p w:rsidR="00BF291C" w:rsidRPr="00873F9B" w:rsidRDefault="00BF291C" w:rsidP="00AA11F5">
      <w:pPr>
        <w:jc w:val="both"/>
        <w:rPr>
          <w:szCs w:val="22"/>
          <w:lang w:val="el-GR"/>
        </w:rPr>
      </w:pPr>
    </w:p>
    <w:p w:rsidR="000E3B4A" w:rsidRPr="00873F9B" w:rsidRDefault="000E3B4A" w:rsidP="00AA11F5">
      <w:pPr>
        <w:jc w:val="both"/>
        <w:rPr>
          <w:szCs w:val="22"/>
          <w:lang w:val="el-GR"/>
        </w:rPr>
      </w:pPr>
    </w:p>
    <w:p w:rsidR="00BF291C" w:rsidRPr="00873F9B" w:rsidRDefault="00196796" w:rsidP="00AA11F5">
      <w:pPr>
        <w:ind w:left="567" w:hanging="567"/>
        <w:jc w:val="both"/>
        <w:outlineLvl w:val="0"/>
        <w:rPr>
          <w:b/>
          <w:szCs w:val="22"/>
          <w:lang w:val="el-GR"/>
        </w:rPr>
      </w:pPr>
      <w:r w:rsidRPr="00873F9B">
        <w:rPr>
          <w:b/>
          <w:szCs w:val="22"/>
          <w:lang w:val="el-GR"/>
        </w:rPr>
        <w:t>4.8     Ανεπιθύμητες ενέργειες</w:t>
      </w:r>
    </w:p>
    <w:p w:rsidR="00BF291C" w:rsidRPr="00873F9B" w:rsidRDefault="00BF291C" w:rsidP="00AA11F5">
      <w:pPr>
        <w:ind w:left="567" w:hanging="567"/>
        <w:jc w:val="both"/>
        <w:rPr>
          <w:szCs w:val="22"/>
          <w:lang w:val="el-GR"/>
        </w:rPr>
      </w:pPr>
    </w:p>
    <w:p w:rsidR="002D15B8" w:rsidRPr="00873F9B" w:rsidRDefault="002D15B8" w:rsidP="00AA11F5">
      <w:pPr>
        <w:autoSpaceDE w:val="0"/>
        <w:autoSpaceDN w:val="0"/>
        <w:adjustRightInd w:val="0"/>
        <w:jc w:val="both"/>
        <w:rPr>
          <w:iCs/>
          <w:szCs w:val="22"/>
          <w:lang w:val="el-GR"/>
        </w:rPr>
      </w:pPr>
      <w:r w:rsidRPr="00873F9B">
        <w:rPr>
          <w:rFonts w:eastAsia="PMingLiU"/>
          <w:szCs w:val="22"/>
          <w:lang w:val="el-GR" w:eastAsia="zh-TW"/>
        </w:rPr>
        <w:t>Σε ελεγχόμενες κλινικές μελέτες σε ενηλίκους ασθενείς με υπέρταση, τα συνολικά ποσοστά</w:t>
      </w:r>
      <w:r w:rsidR="004E1129" w:rsidRPr="00873F9B">
        <w:rPr>
          <w:rFonts w:eastAsia="PMingLiU"/>
          <w:szCs w:val="22"/>
          <w:lang w:val="el-GR" w:eastAsia="zh-TW"/>
        </w:rPr>
        <w:t xml:space="preserve"> </w:t>
      </w:r>
      <w:r w:rsidRPr="00873F9B">
        <w:rPr>
          <w:rFonts w:eastAsia="PMingLiU"/>
          <w:szCs w:val="22"/>
          <w:lang w:val="el-GR" w:eastAsia="zh-TW"/>
        </w:rPr>
        <w:t>εμφάνισης των ανεπιθύμητων ενεργειών (ΑΕΦ), ήταν συγκρίσιμα με αυτά του εικονικού φαρμάκου</w:t>
      </w:r>
      <w:r w:rsidR="004E1129" w:rsidRPr="00873F9B">
        <w:rPr>
          <w:rFonts w:eastAsia="PMingLiU"/>
          <w:szCs w:val="22"/>
          <w:lang w:val="el-GR" w:eastAsia="zh-TW"/>
        </w:rPr>
        <w:t xml:space="preserve"> </w:t>
      </w:r>
      <w:r w:rsidRPr="00873F9B">
        <w:rPr>
          <w:rFonts w:eastAsia="PMingLiU"/>
          <w:szCs w:val="22"/>
          <w:lang w:val="el-GR" w:eastAsia="zh-TW"/>
        </w:rPr>
        <w:t>και ήταν συνεπή με τις φαρμακολογικές ιδιότητες της βαλσαρτάνης. Τα ποσοστά εμφάνισης των ΑΕΦ</w:t>
      </w:r>
      <w:r w:rsidR="004E1129" w:rsidRPr="00873F9B">
        <w:rPr>
          <w:rFonts w:eastAsia="PMingLiU"/>
          <w:szCs w:val="22"/>
          <w:lang w:val="el-GR" w:eastAsia="zh-TW"/>
        </w:rPr>
        <w:t xml:space="preserve"> </w:t>
      </w:r>
      <w:r w:rsidRPr="00873F9B">
        <w:rPr>
          <w:rFonts w:eastAsia="PMingLiU"/>
          <w:szCs w:val="22"/>
          <w:lang w:val="el-GR" w:eastAsia="zh-TW"/>
        </w:rPr>
        <w:t>δεν έδειξαν να συσχετίζονται με τη δοσολογία ή τη διάρκεια της θεραπείας και επίσης δεν έδειξαν να</w:t>
      </w:r>
      <w:r w:rsidR="004E1129" w:rsidRPr="00873F9B">
        <w:rPr>
          <w:rFonts w:eastAsia="PMingLiU"/>
          <w:szCs w:val="22"/>
          <w:lang w:val="el-GR" w:eastAsia="zh-TW"/>
        </w:rPr>
        <w:t xml:space="preserve"> </w:t>
      </w:r>
      <w:r w:rsidRPr="00873F9B">
        <w:rPr>
          <w:rFonts w:eastAsia="PMingLiU"/>
          <w:szCs w:val="22"/>
          <w:lang w:val="el-GR" w:eastAsia="zh-TW"/>
        </w:rPr>
        <w:t>συσχετίζονται με το φύλο, την ηλικία ή τη φυλή.</w:t>
      </w:r>
    </w:p>
    <w:p w:rsidR="00BF291C" w:rsidRPr="00873F9B" w:rsidRDefault="00BF291C" w:rsidP="00AA11F5">
      <w:pPr>
        <w:pStyle w:val="Text"/>
        <w:spacing w:before="0"/>
        <w:rPr>
          <w:iCs/>
          <w:sz w:val="22"/>
          <w:szCs w:val="22"/>
          <w:lang w:val="el-GR"/>
        </w:rPr>
      </w:pPr>
    </w:p>
    <w:p w:rsidR="001616EC" w:rsidRPr="00873F9B" w:rsidRDefault="001616EC" w:rsidP="00AA11F5">
      <w:pPr>
        <w:autoSpaceDE w:val="0"/>
        <w:autoSpaceDN w:val="0"/>
        <w:adjustRightInd w:val="0"/>
        <w:jc w:val="both"/>
        <w:rPr>
          <w:rFonts w:eastAsia="PMingLiU"/>
          <w:szCs w:val="22"/>
          <w:lang w:val="el-GR" w:eastAsia="zh-TW"/>
        </w:rPr>
      </w:pPr>
      <w:r w:rsidRPr="00873F9B">
        <w:rPr>
          <w:rFonts w:eastAsia="PMingLiU"/>
          <w:szCs w:val="22"/>
          <w:lang w:val="el-GR" w:eastAsia="zh-TW"/>
        </w:rPr>
        <w:t xml:space="preserve">Οι ΑΕΦ που αναφέρθηκαν από κλινικές μελέτες, μετά την κυκλοφορία του </w:t>
      </w:r>
      <w:r w:rsidR="00793B41" w:rsidRPr="00873F9B">
        <w:rPr>
          <w:rFonts w:eastAsia="PMingLiU"/>
          <w:szCs w:val="22"/>
          <w:lang w:val="el-GR" w:eastAsia="zh-TW"/>
        </w:rPr>
        <w:t>φαρμάκου</w:t>
      </w:r>
      <w:r w:rsidRPr="00873F9B">
        <w:rPr>
          <w:rFonts w:eastAsia="PMingLiU"/>
          <w:szCs w:val="22"/>
          <w:lang w:val="el-GR" w:eastAsia="zh-TW"/>
        </w:rPr>
        <w:t xml:space="preserve"> και από</w:t>
      </w:r>
      <w:r w:rsidR="004E1129" w:rsidRPr="00873F9B">
        <w:rPr>
          <w:rFonts w:eastAsia="PMingLiU"/>
          <w:szCs w:val="22"/>
          <w:lang w:val="el-GR" w:eastAsia="zh-TW"/>
        </w:rPr>
        <w:t xml:space="preserve"> </w:t>
      </w:r>
      <w:r w:rsidRPr="00873F9B">
        <w:rPr>
          <w:rFonts w:eastAsia="PMingLiU"/>
          <w:szCs w:val="22"/>
          <w:lang w:val="el-GR" w:eastAsia="zh-TW"/>
        </w:rPr>
        <w:t>εργαστηριακά ευρήματα παρουσιάζονται στον παρακάτω πίνακα σύμφωνα με κατηγορία οργάνου</w:t>
      </w:r>
      <w:r w:rsidR="004E1129" w:rsidRPr="00873F9B">
        <w:rPr>
          <w:rFonts w:eastAsia="PMingLiU"/>
          <w:szCs w:val="22"/>
          <w:lang w:val="el-GR" w:eastAsia="zh-TW"/>
        </w:rPr>
        <w:t xml:space="preserve"> </w:t>
      </w:r>
      <w:r w:rsidRPr="00873F9B">
        <w:rPr>
          <w:rFonts w:eastAsia="PMingLiU"/>
          <w:szCs w:val="22"/>
          <w:lang w:val="el-GR" w:eastAsia="zh-TW"/>
        </w:rPr>
        <w:t>συστήματος.</w:t>
      </w:r>
    </w:p>
    <w:p w:rsidR="00793B41" w:rsidRPr="00873F9B" w:rsidRDefault="00793B41" w:rsidP="00AA11F5">
      <w:pPr>
        <w:autoSpaceDE w:val="0"/>
        <w:autoSpaceDN w:val="0"/>
        <w:adjustRightInd w:val="0"/>
        <w:jc w:val="both"/>
        <w:rPr>
          <w:rFonts w:eastAsia="PMingLiU"/>
          <w:szCs w:val="22"/>
          <w:lang w:val="el-GR" w:eastAsia="zh-TW"/>
        </w:rPr>
      </w:pPr>
    </w:p>
    <w:p w:rsidR="001616EC" w:rsidRPr="00873F9B" w:rsidRDefault="001616EC" w:rsidP="00AA11F5">
      <w:pPr>
        <w:autoSpaceDE w:val="0"/>
        <w:autoSpaceDN w:val="0"/>
        <w:adjustRightInd w:val="0"/>
        <w:jc w:val="both"/>
        <w:rPr>
          <w:rFonts w:eastAsia="PMingLiU"/>
          <w:szCs w:val="22"/>
          <w:lang w:val="el-GR" w:eastAsia="zh-TW"/>
        </w:rPr>
      </w:pPr>
      <w:r w:rsidRPr="00873F9B">
        <w:rPr>
          <w:rFonts w:eastAsia="PMingLiU"/>
          <w:szCs w:val="22"/>
          <w:lang w:val="el-GR" w:eastAsia="zh-TW"/>
        </w:rPr>
        <w:t>Οι ανεπιθύμητες ενέργειες κατατάσσονται ανά συχνότητα, με πρώτη την πιο συχνή, χρησιμοποιώντας</w:t>
      </w:r>
      <w:r w:rsidR="004E1129" w:rsidRPr="00873F9B">
        <w:rPr>
          <w:rFonts w:eastAsia="PMingLiU"/>
          <w:szCs w:val="22"/>
          <w:lang w:val="el-GR" w:eastAsia="zh-TW"/>
        </w:rPr>
        <w:t xml:space="preserve"> </w:t>
      </w:r>
      <w:r w:rsidRPr="00873F9B">
        <w:rPr>
          <w:rFonts w:eastAsia="PMingLiU"/>
          <w:szCs w:val="22"/>
          <w:lang w:val="el-GR" w:eastAsia="zh-TW"/>
        </w:rPr>
        <w:t>την ακόλουθη συνθήκη: πολύ συχνές (≥1/10), συχνές (≥1/100 έως &lt;1/10), όχι συχνές (≥1/1.000 έως</w:t>
      </w:r>
      <w:r w:rsidR="004E1129" w:rsidRPr="00873F9B">
        <w:rPr>
          <w:rFonts w:eastAsia="PMingLiU"/>
          <w:szCs w:val="22"/>
          <w:lang w:val="el-GR" w:eastAsia="zh-TW"/>
        </w:rPr>
        <w:t xml:space="preserve"> </w:t>
      </w:r>
      <w:r w:rsidRPr="00873F9B">
        <w:rPr>
          <w:rFonts w:eastAsia="PMingLiU"/>
          <w:szCs w:val="22"/>
          <w:lang w:val="el-GR" w:eastAsia="zh-TW"/>
        </w:rPr>
        <w:t>&lt;1/100), σπάνιες (≥1/10.000 έως &lt;1/1.000), πολύ σπάνιες(&lt;1/10.000), συμπεριλαμβανομένων</w:t>
      </w:r>
      <w:r w:rsidR="004E1129" w:rsidRPr="00873F9B">
        <w:rPr>
          <w:rFonts w:eastAsia="PMingLiU"/>
          <w:szCs w:val="22"/>
          <w:lang w:val="el-GR" w:eastAsia="zh-TW"/>
        </w:rPr>
        <w:t xml:space="preserve"> </w:t>
      </w:r>
      <w:r w:rsidRPr="00873F9B">
        <w:rPr>
          <w:rFonts w:eastAsia="PMingLiU"/>
          <w:szCs w:val="22"/>
          <w:lang w:val="el-GR" w:eastAsia="zh-TW"/>
        </w:rPr>
        <w:t>μεμονωμένων αναφορών. Εντός κάθε κατηγορίας συχνότητας εμφάνισης, οι ανεπιθύμητες ενέργειες</w:t>
      </w:r>
      <w:r w:rsidR="004E1129" w:rsidRPr="00873F9B">
        <w:rPr>
          <w:rFonts w:eastAsia="PMingLiU"/>
          <w:szCs w:val="22"/>
          <w:lang w:val="el-GR" w:eastAsia="zh-TW"/>
        </w:rPr>
        <w:t xml:space="preserve"> </w:t>
      </w:r>
      <w:r w:rsidRPr="00873F9B">
        <w:rPr>
          <w:rFonts w:eastAsia="PMingLiU"/>
          <w:szCs w:val="22"/>
          <w:lang w:val="el-GR" w:eastAsia="zh-TW"/>
        </w:rPr>
        <w:t>κατατάσσονται κατά φθίνουσα σειρά σοβαρότητας.</w:t>
      </w:r>
    </w:p>
    <w:p w:rsidR="00793B41" w:rsidRPr="00873F9B" w:rsidRDefault="001616EC" w:rsidP="00AA11F5">
      <w:pPr>
        <w:autoSpaceDE w:val="0"/>
        <w:autoSpaceDN w:val="0"/>
        <w:adjustRightInd w:val="0"/>
        <w:jc w:val="both"/>
        <w:rPr>
          <w:rFonts w:eastAsia="PMingLiU"/>
          <w:szCs w:val="22"/>
          <w:lang w:val="el-GR" w:eastAsia="zh-TW"/>
        </w:rPr>
      </w:pPr>
      <w:r w:rsidRPr="00873F9B">
        <w:rPr>
          <w:rFonts w:eastAsia="PMingLiU"/>
          <w:szCs w:val="22"/>
          <w:lang w:val="el-GR" w:eastAsia="zh-TW"/>
        </w:rPr>
        <w:t>Για όλες τις ΑΕΦ που αναφέρθηκαν μετά την κυκλοφορία του προϊόντος και από εργαστηριακά</w:t>
      </w:r>
      <w:r w:rsidR="004E1129" w:rsidRPr="00873F9B">
        <w:rPr>
          <w:rFonts w:eastAsia="PMingLiU"/>
          <w:szCs w:val="22"/>
          <w:lang w:val="el-GR" w:eastAsia="zh-TW"/>
        </w:rPr>
        <w:t xml:space="preserve"> </w:t>
      </w:r>
      <w:r w:rsidRPr="00873F9B">
        <w:rPr>
          <w:rFonts w:eastAsia="PMingLiU"/>
          <w:szCs w:val="22"/>
          <w:lang w:val="el-GR" w:eastAsia="zh-TW"/>
        </w:rPr>
        <w:t>ευρήματα, δεν είναι δυνατό να ισχύσει κάποια συχνότητα ΑΕΦ και επομένως αναφέρονται με</w:t>
      </w:r>
      <w:r w:rsidR="004E1129" w:rsidRPr="00873F9B">
        <w:rPr>
          <w:rFonts w:eastAsia="PMingLiU"/>
          <w:szCs w:val="22"/>
          <w:lang w:val="el-GR" w:eastAsia="zh-TW"/>
        </w:rPr>
        <w:t xml:space="preserve"> </w:t>
      </w:r>
      <w:r w:rsidRPr="00873F9B">
        <w:rPr>
          <w:rFonts w:eastAsia="PMingLiU"/>
          <w:szCs w:val="22"/>
          <w:lang w:val="el-GR" w:eastAsia="zh-TW"/>
        </w:rPr>
        <w:t>συχνότητα «μη γνωστή»</w:t>
      </w:r>
      <w:r w:rsidR="008D60F2" w:rsidRPr="00873F9B">
        <w:rPr>
          <w:rFonts w:eastAsia="PMingLiU"/>
          <w:szCs w:val="22"/>
          <w:lang w:val="el-GR" w:eastAsia="zh-TW"/>
        </w:rPr>
        <w:t>.</w:t>
      </w:r>
    </w:p>
    <w:p w:rsidR="00793B41" w:rsidRDefault="00793B41" w:rsidP="00AA11F5">
      <w:pPr>
        <w:pStyle w:val="Text"/>
        <w:spacing w:before="0"/>
        <w:rPr>
          <w:sz w:val="22"/>
          <w:szCs w:val="22"/>
          <w:lang w:val="el-GR"/>
        </w:rPr>
      </w:pPr>
    </w:p>
    <w:p w:rsidR="00E4324B" w:rsidRPr="00873F9B" w:rsidRDefault="00E4324B" w:rsidP="00AA11F5">
      <w:pPr>
        <w:pStyle w:val="Text"/>
        <w:spacing w:before="0"/>
        <w:rPr>
          <w:sz w:val="22"/>
          <w:szCs w:val="22"/>
          <w:lang w:val="el-GR"/>
        </w:rPr>
      </w:pPr>
    </w:p>
    <w:p w:rsidR="00BF291C" w:rsidRPr="00873F9B" w:rsidRDefault="009D024C" w:rsidP="00AA11F5">
      <w:pPr>
        <w:numPr>
          <w:ilvl w:val="0"/>
          <w:numId w:val="26"/>
        </w:numPr>
        <w:tabs>
          <w:tab w:val="clear" w:pos="927"/>
        </w:tabs>
        <w:ind w:left="567" w:hanging="567"/>
        <w:jc w:val="both"/>
        <w:rPr>
          <w:bCs/>
          <w:szCs w:val="22"/>
          <w:u w:val="single"/>
        </w:rPr>
      </w:pPr>
      <w:r w:rsidRPr="00873F9B">
        <w:rPr>
          <w:rFonts w:eastAsia="PMingLiU"/>
          <w:szCs w:val="22"/>
          <w:u w:val="single"/>
          <w:lang w:val="el-GR" w:eastAsia="zh-TW"/>
        </w:rPr>
        <w:t>Υπέρταση</w:t>
      </w:r>
    </w:p>
    <w:p w:rsidR="00BF291C" w:rsidRPr="00873F9B" w:rsidRDefault="00BF291C" w:rsidP="00AA11F5">
      <w:pPr>
        <w:ind w:left="567" w:hanging="567"/>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9"/>
        <w:gridCol w:w="4698"/>
      </w:tblGrid>
      <w:tr w:rsidR="00BF291C" w:rsidRPr="00873F9B">
        <w:tc>
          <w:tcPr>
            <w:tcW w:w="9287" w:type="dxa"/>
            <w:gridSpan w:val="2"/>
          </w:tcPr>
          <w:p w:rsidR="00BF291C" w:rsidRPr="00873F9B" w:rsidRDefault="0043751A" w:rsidP="00AA11F5">
            <w:pPr>
              <w:jc w:val="both"/>
              <w:rPr>
                <w:b/>
                <w:szCs w:val="22"/>
                <w:lang w:val="el-GR"/>
              </w:rPr>
            </w:pPr>
            <w:r w:rsidRPr="00873F9B">
              <w:rPr>
                <w:b/>
                <w:szCs w:val="22"/>
              </w:rPr>
              <w:t>Διαταραχές του αιμοποιητικού και του λεμφικού συστήματος</w:t>
            </w:r>
          </w:p>
        </w:tc>
      </w:tr>
      <w:tr w:rsidR="00BF291C" w:rsidRPr="00873F9B">
        <w:tc>
          <w:tcPr>
            <w:tcW w:w="4589" w:type="dxa"/>
          </w:tcPr>
          <w:p w:rsidR="00BF291C" w:rsidRPr="00873F9B" w:rsidRDefault="00456F14" w:rsidP="00AA11F5">
            <w:pPr>
              <w:jc w:val="both"/>
              <w:rPr>
                <w:szCs w:val="22"/>
              </w:rPr>
            </w:pPr>
            <w:r w:rsidRPr="00873F9B">
              <w:rPr>
                <w:rFonts w:eastAsia="PMingLiU"/>
                <w:szCs w:val="22"/>
                <w:lang w:val="el-GR" w:eastAsia="zh-TW"/>
              </w:rPr>
              <w:t>Μη γνωστές</w:t>
            </w:r>
          </w:p>
        </w:tc>
        <w:tc>
          <w:tcPr>
            <w:tcW w:w="4698" w:type="dxa"/>
          </w:tcPr>
          <w:p w:rsidR="008D60F2" w:rsidRPr="00873F9B" w:rsidRDefault="008D60F2" w:rsidP="00AA11F5">
            <w:pPr>
              <w:autoSpaceDE w:val="0"/>
              <w:autoSpaceDN w:val="0"/>
              <w:adjustRightInd w:val="0"/>
              <w:jc w:val="both"/>
              <w:rPr>
                <w:rFonts w:eastAsia="PMingLiU"/>
                <w:szCs w:val="22"/>
                <w:lang w:val="el-GR" w:eastAsia="zh-TW"/>
              </w:rPr>
            </w:pPr>
            <w:r w:rsidRPr="00873F9B">
              <w:rPr>
                <w:rFonts w:eastAsia="PMingLiU"/>
                <w:szCs w:val="22"/>
                <w:lang w:val="el-GR" w:eastAsia="zh-TW"/>
              </w:rPr>
              <w:t>Μείωση στην αιμοσφαιρίνη, Μείωση στον</w:t>
            </w:r>
          </w:p>
          <w:p w:rsidR="00BF291C" w:rsidRPr="00873F9B" w:rsidRDefault="008D60F2" w:rsidP="00AA11F5">
            <w:pPr>
              <w:jc w:val="both"/>
              <w:rPr>
                <w:szCs w:val="22"/>
              </w:rPr>
            </w:pPr>
            <w:r w:rsidRPr="00873F9B">
              <w:rPr>
                <w:rFonts w:eastAsia="PMingLiU"/>
                <w:szCs w:val="22"/>
                <w:lang w:val="el-GR" w:eastAsia="zh-TW"/>
              </w:rPr>
              <w:t>αιματοκρίτη, Ουδετεροπενία, Θρομβοπενία</w:t>
            </w:r>
          </w:p>
        </w:tc>
      </w:tr>
      <w:tr w:rsidR="00BF291C" w:rsidRPr="00873F9B">
        <w:trPr>
          <w:trHeight w:val="179"/>
        </w:trPr>
        <w:tc>
          <w:tcPr>
            <w:tcW w:w="9287" w:type="dxa"/>
            <w:gridSpan w:val="2"/>
          </w:tcPr>
          <w:p w:rsidR="00BF291C" w:rsidRPr="00873F9B" w:rsidRDefault="009D4332" w:rsidP="00AA11F5">
            <w:pPr>
              <w:jc w:val="both"/>
              <w:rPr>
                <w:szCs w:val="22"/>
              </w:rPr>
            </w:pPr>
            <w:r w:rsidRPr="00873F9B">
              <w:rPr>
                <w:b/>
                <w:szCs w:val="22"/>
              </w:rPr>
              <w:t>Διαταραχές του ανοσοποιητικού συστήματος</w:t>
            </w:r>
          </w:p>
        </w:tc>
      </w:tr>
      <w:tr w:rsidR="00BF291C" w:rsidRPr="00873F9B">
        <w:tc>
          <w:tcPr>
            <w:tcW w:w="4589" w:type="dxa"/>
          </w:tcPr>
          <w:p w:rsidR="00BF291C" w:rsidRPr="00873F9B" w:rsidRDefault="009D4332" w:rsidP="00AA11F5">
            <w:pPr>
              <w:jc w:val="both"/>
              <w:rPr>
                <w:szCs w:val="22"/>
              </w:rPr>
            </w:pPr>
            <w:r w:rsidRPr="00873F9B">
              <w:rPr>
                <w:rFonts w:eastAsia="PMingLiU"/>
                <w:szCs w:val="22"/>
                <w:lang w:val="el-GR" w:eastAsia="zh-TW"/>
              </w:rPr>
              <w:t>Μη γνωστές</w:t>
            </w:r>
          </w:p>
        </w:tc>
        <w:tc>
          <w:tcPr>
            <w:tcW w:w="4698" w:type="dxa"/>
          </w:tcPr>
          <w:p w:rsidR="009D4332" w:rsidRPr="00873F9B" w:rsidRDefault="009D4332" w:rsidP="00AA11F5">
            <w:pPr>
              <w:autoSpaceDE w:val="0"/>
              <w:autoSpaceDN w:val="0"/>
              <w:adjustRightInd w:val="0"/>
              <w:jc w:val="both"/>
              <w:rPr>
                <w:rFonts w:eastAsia="PMingLiU"/>
                <w:szCs w:val="22"/>
                <w:lang w:val="el-GR" w:eastAsia="zh-TW"/>
              </w:rPr>
            </w:pPr>
            <w:r w:rsidRPr="00873F9B">
              <w:rPr>
                <w:rFonts w:eastAsia="PMingLiU"/>
                <w:szCs w:val="22"/>
                <w:lang w:val="el-GR" w:eastAsia="zh-TW"/>
              </w:rPr>
              <w:t>Υπερευαισθησία συμπεριλαμβανομένης της</w:t>
            </w:r>
          </w:p>
          <w:p w:rsidR="00BF291C" w:rsidRPr="00873F9B" w:rsidRDefault="009D4332" w:rsidP="00AA11F5">
            <w:pPr>
              <w:jc w:val="both"/>
              <w:rPr>
                <w:szCs w:val="22"/>
              </w:rPr>
            </w:pPr>
            <w:r w:rsidRPr="00873F9B">
              <w:rPr>
                <w:rFonts w:eastAsia="PMingLiU"/>
                <w:szCs w:val="22"/>
                <w:lang w:val="el-GR" w:eastAsia="zh-TW"/>
              </w:rPr>
              <w:t>ορονοσίας</w:t>
            </w:r>
          </w:p>
        </w:tc>
      </w:tr>
      <w:tr w:rsidR="00BF291C" w:rsidRPr="00873F9B">
        <w:tc>
          <w:tcPr>
            <w:tcW w:w="9287" w:type="dxa"/>
            <w:gridSpan w:val="2"/>
          </w:tcPr>
          <w:p w:rsidR="00BF291C" w:rsidRPr="00873F9B" w:rsidRDefault="00083747" w:rsidP="00AA11F5">
            <w:pPr>
              <w:jc w:val="both"/>
              <w:rPr>
                <w:b/>
                <w:szCs w:val="22"/>
                <w:lang w:val="el-GR"/>
              </w:rPr>
            </w:pPr>
            <w:r w:rsidRPr="00873F9B">
              <w:rPr>
                <w:b/>
                <w:szCs w:val="22"/>
                <w:lang w:val="el-GR"/>
              </w:rPr>
              <w:t>Διαταραχές του μεταβολισμού και της θρέψης</w:t>
            </w:r>
          </w:p>
        </w:tc>
      </w:tr>
      <w:tr w:rsidR="00083747" w:rsidRPr="00873F9B">
        <w:tc>
          <w:tcPr>
            <w:tcW w:w="4589" w:type="dxa"/>
          </w:tcPr>
          <w:p w:rsidR="00083747" w:rsidRPr="00873F9B" w:rsidRDefault="00083747" w:rsidP="00AA11F5">
            <w:pPr>
              <w:jc w:val="both"/>
              <w:rPr>
                <w:szCs w:val="22"/>
              </w:rPr>
            </w:pPr>
            <w:r w:rsidRPr="00873F9B">
              <w:rPr>
                <w:rFonts w:eastAsia="PMingLiU"/>
                <w:szCs w:val="22"/>
                <w:lang w:val="el-GR" w:eastAsia="zh-TW"/>
              </w:rPr>
              <w:t>Μη γνωστές</w:t>
            </w:r>
          </w:p>
        </w:tc>
        <w:tc>
          <w:tcPr>
            <w:tcW w:w="4698" w:type="dxa"/>
          </w:tcPr>
          <w:p w:rsidR="00083747" w:rsidRPr="00873F9B" w:rsidRDefault="009A1981" w:rsidP="00AA11F5">
            <w:pPr>
              <w:jc w:val="both"/>
              <w:rPr>
                <w:szCs w:val="22"/>
                <w:lang w:val="el-GR"/>
              </w:rPr>
            </w:pPr>
            <w:r w:rsidRPr="00873F9B">
              <w:rPr>
                <w:szCs w:val="22"/>
                <w:lang w:val="el-GR"/>
              </w:rPr>
              <w:t>Αύξηση του καλίου του ορού</w:t>
            </w:r>
            <w:r w:rsidR="00083747" w:rsidRPr="00873F9B">
              <w:rPr>
                <w:szCs w:val="22"/>
                <w:lang w:val="el-GR"/>
              </w:rPr>
              <w:t xml:space="preserve">, </w:t>
            </w:r>
            <w:r w:rsidRPr="00873F9B">
              <w:rPr>
                <w:szCs w:val="22"/>
                <w:lang w:val="el-GR"/>
              </w:rPr>
              <w:t>υπονατριαιμία</w:t>
            </w:r>
          </w:p>
        </w:tc>
      </w:tr>
      <w:tr w:rsidR="00BF291C" w:rsidRPr="00873F9B">
        <w:tc>
          <w:tcPr>
            <w:tcW w:w="9287" w:type="dxa"/>
            <w:gridSpan w:val="2"/>
          </w:tcPr>
          <w:p w:rsidR="00BF291C" w:rsidRPr="00873F9B" w:rsidRDefault="00083747" w:rsidP="00AA11F5">
            <w:pPr>
              <w:jc w:val="both"/>
              <w:rPr>
                <w:b/>
                <w:szCs w:val="22"/>
                <w:lang w:val="el-GR"/>
              </w:rPr>
            </w:pPr>
            <w:r w:rsidRPr="00873F9B">
              <w:rPr>
                <w:b/>
                <w:szCs w:val="22"/>
                <w:lang w:val="el-GR"/>
              </w:rPr>
              <w:t>Διαταραχές του ωτός και του λαβυρίνθου</w:t>
            </w:r>
          </w:p>
        </w:tc>
      </w:tr>
      <w:tr w:rsidR="00BF291C" w:rsidRPr="00873F9B">
        <w:tc>
          <w:tcPr>
            <w:tcW w:w="4589" w:type="dxa"/>
          </w:tcPr>
          <w:p w:rsidR="00BF291C" w:rsidRPr="00873F9B" w:rsidRDefault="009A1981" w:rsidP="00AA11F5">
            <w:pPr>
              <w:jc w:val="both"/>
              <w:rPr>
                <w:szCs w:val="22"/>
                <w:lang w:val="el-GR"/>
              </w:rPr>
            </w:pPr>
            <w:r w:rsidRPr="00873F9B">
              <w:rPr>
                <w:szCs w:val="22"/>
                <w:lang w:val="el-GR"/>
              </w:rPr>
              <w:t>Όχι συχνές</w:t>
            </w:r>
          </w:p>
        </w:tc>
        <w:tc>
          <w:tcPr>
            <w:tcW w:w="4698" w:type="dxa"/>
          </w:tcPr>
          <w:p w:rsidR="00BF291C" w:rsidRPr="00873F9B" w:rsidRDefault="009A1981" w:rsidP="00AA11F5">
            <w:pPr>
              <w:jc w:val="both"/>
              <w:rPr>
                <w:szCs w:val="22"/>
                <w:lang w:val="el-GR"/>
              </w:rPr>
            </w:pPr>
            <w:r w:rsidRPr="00873F9B">
              <w:rPr>
                <w:szCs w:val="22"/>
                <w:lang w:val="el-GR"/>
              </w:rPr>
              <w:t>Ίλιγγος</w:t>
            </w:r>
          </w:p>
        </w:tc>
      </w:tr>
      <w:tr w:rsidR="00BF291C" w:rsidRPr="00873F9B">
        <w:tc>
          <w:tcPr>
            <w:tcW w:w="9287" w:type="dxa"/>
            <w:gridSpan w:val="2"/>
          </w:tcPr>
          <w:p w:rsidR="00BF291C" w:rsidRPr="00873F9B" w:rsidRDefault="009A1981" w:rsidP="00AA11F5">
            <w:pPr>
              <w:jc w:val="both"/>
              <w:rPr>
                <w:b/>
                <w:szCs w:val="22"/>
                <w:lang w:val="el-GR"/>
              </w:rPr>
            </w:pPr>
            <w:r w:rsidRPr="00873F9B">
              <w:rPr>
                <w:b/>
                <w:szCs w:val="22"/>
                <w:lang w:val="el-GR"/>
              </w:rPr>
              <w:t>Αγγειακές διαταραχές</w:t>
            </w:r>
          </w:p>
        </w:tc>
      </w:tr>
      <w:tr w:rsidR="00BF291C" w:rsidRPr="00873F9B">
        <w:tc>
          <w:tcPr>
            <w:tcW w:w="4589" w:type="dxa"/>
          </w:tcPr>
          <w:p w:rsidR="00BF291C" w:rsidRPr="00873F9B" w:rsidRDefault="009A1981" w:rsidP="00AA11F5">
            <w:pPr>
              <w:jc w:val="both"/>
              <w:rPr>
                <w:szCs w:val="22"/>
              </w:rPr>
            </w:pPr>
            <w:r w:rsidRPr="00873F9B">
              <w:rPr>
                <w:rFonts w:eastAsia="PMingLiU"/>
                <w:szCs w:val="22"/>
                <w:lang w:val="el-GR" w:eastAsia="zh-TW"/>
              </w:rPr>
              <w:t>Μη γνωστές</w:t>
            </w:r>
          </w:p>
        </w:tc>
        <w:tc>
          <w:tcPr>
            <w:tcW w:w="4698" w:type="dxa"/>
          </w:tcPr>
          <w:p w:rsidR="00BF291C" w:rsidRPr="00873F9B" w:rsidRDefault="00762244" w:rsidP="00AA11F5">
            <w:pPr>
              <w:jc w:val="both"/>
              <w:rPr>
                <w:szCs w:val="22"/>
                <w:lang w:val="el-GR"/>
              </w:rPr>
            </w:pPr>
            <w:r w:rsidRPr="00873F9B">
              <w:rPr>
                <w:szCs w:val="22"/>
                <w:lang w:val="el-GR"/>
              </w:rPr>
              <w:t>Αγγειίτιδα</w:t>
            </w:r>
          </w:p>
        </w:tc>
      </w:tr>
      <w:tr w:rsidR="00BF291C" w:rsidRPr="00873F9B">
        <w:tc>
          <w:tcPr>
            <w:tcW w:w="9287" w:type="dxa"/>
            <w:gridSpan w:val="2"/>
          </w:tcPr>
          <w:p w:rsidR="00BF291C" w:rsidRPr="00873F9B" w:rsidRDefault="00CC5141" w:rsidP="00AA11F5">
            <w:pPr>
              <w:jc w:val="both"/>
              <w:rPr>
                <w:b/>
                <w:szCs w:val="22"/>
                <w:lang w:val="el-GR"/>
              </w:rPr>
            </w:pPr>
            <w:r w:rsidRPr="00873F9B">
              <w:rPr>
                <w:b/>
                <w:szCs w:val="22"/>
                <w:lang w:val="el-GR"/>
              </w:rPr>
              <w:t>Διαταραχές του αναπνευστικού συστήματος, του θώρακα και του μεσοθωράκιου</w:t>
            </w:r>
          </w:p>
        </w:tc>
      </w:tr>
      <w:tr w:rsidR="00BF291C" w:rsidRPr="00873F9B">
        <w:tc>
          <w:tcPr>
            <w:tcW w:w="4589" w:type="dxa"/>
          </w:tcPr>
          <w:p w:rsidR="00BF291C" w:rsidRPr="00873F9B" w:rsidRDefault="00762244" w:rsidP="00AA11F5">
            <w:pPr>
              <w:jc w:val="both"/>
              <w:rPr>
                <w:szCs w:val="22"/>
              </w:rPr>
            </w:pPr>
            <w:r w:rsidRPr="00873F9B">
              <w:rPr>
                <w:szCs w:val="22"/>
                <w:lang w:val="el-GR"/>
              </w:rPr>
              <w:t>Όχι συχνές</w:t>
            </w:r>
          </w:p>
        </w:tc>
        <w:tc>
          <w:tcPr>
            <w:tcW w:w="4698" w:type="dxa"/>
          </w:tcPr>
          <w:p w:rsidR="00BF291C" w:rsidRPr="00873F9B" w:rsidRDefault="00762244" w:rsidP="00AA11F5">
            <w:pPr>
              <w:jc w:val="both"/>
              <w:rPr>
                <w:szCs w:val="22"/>
                <w:lang w:val="el-GR"/>
              </w:rPr>
            </w:pPr>
            <w:r w:rsidRPr="00873F9B">
              <w:rPr>
                <w:szCs w:val="22"/>
                <w:lang w:val="el-GR"/>
              </w:rPr>
              <w:t>Βήχας</w:t>
            </w:r>
          </w:p>
        </w:tc>
      </w:tr>
      <w:tr w:rsidR="00BF291C" w:rsidRPr="00873F9B">
        <w:tc>
          <w:tcPr>
            <w:tcW w:w="9287" w:type="dxa"/>
            <w:gridSpan w:val="2"/>
          </w:tcPr>
          <w:p w:rsidR="00BF291C" w:rsidRPr="00873F9B" w:rsidRDefault="0078019F" w:rsidP="00AA11F5">
            <w:pPr>
              <w:jc w:val="both"/>
              <w:rPr>
                <w:b/>
                <w:szCs w:val="22"/>
                <w:lang w:val="el-GR"/>
              </w:rPr>
            </w:pPr>
            <w:r w:rsidRPr="00873F9B">
              <w:rPr>
                <w:b/>
                <w:szCs w:val="22"/>
                <w:lang w:val="el-GR"/>
              </w:rPr>
              <w:t>Διαταραχές του γαστρεντερικού συστήματος</w:t>
            </w:r>
          </w:p>
        </w:tc>
      </w:tr>
      <w:tr w:rsidR="00BF291C" w:rsidRPr="00873F9B">
        <w:tc>
          <w:tcPr>
            <w:tcW w:w="4589" w:type="dxa"/>
          </w:tcPr>
          <w:p w:rsidR="00BF291C" w:rsidRPr="00873F9B" w:rsidRDefault="00762244" w:rsidP="00AA11F5">
            <w:pPr>
              <w:jc w:val="both"/>
              <w:rPr>
                <w:szCs w:val="22"/>
              </w:rPr>
            </w:pPr>
            <w:r w:rsidRPr="00873F9B">
              <w:rPr>
                <w:szCs w:val="22"/>
                <w:lang w:val="el-GR"/>
              </w:rPr>
              <w:t>Όχι συχνές</w:t>
            </w:r>
          </w:p>
        </w:tc>
        <w:tc>
          <w:tcPr>
            <w:tcW w:w="4698" w:type="dxa"/>
          </w:tcPr>
          <w:p w:rsidR="00BF291C" w:rsidRPr="00873F9B" w:rsidRDefault="008C2AF8" w:rsidP="00AA11F5">
            <w:pPr>
              <w:jc w:val="both"/>
              <w:rPr>
                <w:szCs w:val="22"/>
                <w:lang w:val="el-GR"/>
              </w:rPr>
            </w:pPr>
            <w:r w:rsidRPr="00873F9B">
              <w:rPr>
                <w:szCs w:val="22"/>
                <w:lang w:val="el-GR"/>
              </w:rPr>
              <w:t>Κοιλιακό άλγος</w:t>
            </w:r>
          </w:p>
        </w:tc>
      </w:tr>
      <w:tr w:rsidR="00BF291C" w:rsidRPr="00873F9B">
        <w:tc>
          <w:tcPr>
            <w:tcW w:w="9287" w:type="dxa"/>
            <w:gridSpan w:val="2"/>
          </w:tcPr>
          <w:p w:rsidR="00BF291C" w:rsidRPr="00873F9B" w:rsidRDefault="0078019F" w:rsidP="00AA11F5">
            <w:pPr>
              <w:jc w:val="both"/>
              <w:rPr>
                <w:b/>
                <w:szCs w:val="22"/>
                <w:lang w:val="el-GR"/>
              </w:rPr>
            </w:pPr>
            <w:r w:rsidRPr="00873F9B">
              <w:rPr>
                <w:b/>
                <w:szCs w:val="22"/>
                <w:lang w:val="el-GR"/>
              </w:rPr>
              <w:t>Διαταραχές του ήπατος και των χοληφόρων</w:t>
            </w:r>
          </w:p>
        </w:tc>
      </w:tr>
      <w:tr w:rsidR="00BF291C" w:rsidRPr="00873F9B">
        <w:tc>
          <w:tcPr>
            <w:tcW w:w="4589" w:type="dxa"/>
          </w:tcPr>
          <w:p w:rsidR="00BF291C" w:rsidRPr="00873F9B" w:rsidRDefault="009A1981" w:rsidP="00AA11F5">
            <w:pPr>
              <w:jc w:val="both"/>
              <w:rPr>
                <w:szCs w:val="22"/>
              </w:rPr>
            </w:pPr>
            <w:r w:rsidRPr="00873F9B">
              <w:rPr>
                <w:rFonts w:eastAsia="PMingLiU"/>
                <w:szCs w:val="22"/>
                <w:lang w:val="el-GR" w:eastAsia="zh-TW"/>
              </w:rPr>
              <w:lastRenderedPageBreak/>
              <w:t>Μη γνωστές</w:t>
            </w:r>
          </w:p>
        </w:tc>
        <w:tc>
          <w:tcPr>
            <w:tcW w:w="4698" w:type="dxa"/>
          </w:tcPr>
          <w:p w:rsidR="00F26C92" w:rsidRPr="00873F9B" w:rsidRDefault="00F26C92" w:rsidP="00AA11F5">
            <w:pPr>
              <w:autoSpaceDE w:val="0"/>
              <w:autoSpaceDN w:val="0"/>
              <w:adjustRightInd w:val="0"/>
              <w:jc w:val="both"/>
              <w:rPr>
                <w:rFonts w:eastAsia="PMingLiU"/>
                <w:szCs w:val="22"/>
                <w:lang w:val="el-GR" w:eastAsia="zh-TW"/>
              </w:rPr>
            </w:pPr>
            <w:r w:rsidRPr="00873F9B">
              <w:rPr>
                <w:rFonts w:eastAsia="PMingLiU"/>
                <w:szCs w:val="22"/>
                <w:lang w:val="el-GR" w:eastAsia="zh-TW"/>
              </w:rPr>
              <w:t>Αύξηση των τιμών της ηπατικής λειτουργίας</w:t>
            </w:r>
          </w:p>
          <w:p w:rsidR="00F26C92" w:rsidRPr="00873F9B" w:rsidRDefault="00F26C92" w:rsidP="00AA11F5">
            <w:pPr>
              <w:autoSpaceDE w:val="0"/>
              <w:autoSpaceDN w:val="0"/>
              <w:adjustRightInd w:val="0"/>
              <w:jc w:val="both"/>
              <w:rPr>
                <w:rFonts w:eastAsia="PMingLiU"/>
                <w:szCs w:val="22"/>
                <w:lang w:val="el-GR" w:eastAsia="zh-TW"/>
              </w:rPr>
            </w:pPr>
            <w:r w:rsidRPr="00873F9B">
              <w:rPr>
                <w:rFonts w:eastAsia="PMingLiU"/>
                <w:szCs w:val="22"/>
                <w:lang w:val="el-GR" w:eastAsia="zh-TW"/>
              </w:rPr>
              <w:t>συμπεριλαμβανομένης της αύξησης της</w:t>
            </w:r>
          </w:p>
          <w:p w:rsidR="00BF291C" w:rsidRPr="00873F9B" w:rsidRDefault="00F26C92" w:rsidP="00AA11F5">
            <w:pPr>
              <w:jc w:val="both"/>
              <w:rPr>
                <w:szCs w:val="22"/>
              </w:rPr>
            </w:pPr>
            <w:r w:rsidRPr="00873F9B">
              <w:rPr>
                <w:rFonts w:eastAsia="PMingLiU"/>
                <w:szCs w:val="22"/>
                <w:lang w:val="el-GR" w:eastAsia="zh-TW"/>
              </w:rPr>
              <w:t>χολερυθρίνης ορού</w:t>
            </w:r>
          </w:p>
        </w:tc>
      </w:tr>
      <w:tr w:rsidR="00BF291C" w:rsidRPr="00873F9B">
        <w:tc>
          <w:tcPr>
            <w:tcW w:w="9287" w:type="dxa"/>
            <w:gridSpan w:val="2"/>
          </w:tcPr>
          <w:p w:rsidR="00BF291C" w:rsidRPr="00873F9B" w:rsidRDefault="003F7797" w:rsidP="00AA11F5">
            <w:pPr>
              <w:jc w:val="both"/>
              <w:rPr>
                <w:b/>
                <w:szCs w:val="22"/>
                <w:lang w:val="el-GR"/>
              </w:rPr>
            </w:pPr>
            <w:r w:rsidRPr="00873F9B">
              <w:rPr>
                <w:b/>
                <w:szCs w:val="22"/>
                <w:lang w:val="el-GR"/>
              </w:rPr>
              <w:t>Διαταραχές του δέρματος και του υποδόριου ιστού</w:t>
            </w:r>
          </w:p>
        </w:tc>
      </w:tr>
      <w:tr w:rsidR="00BF291C" w:rsidRPr="00873F9B">
        <w:tc>
          <w:tcPr>
            <w:tcW w:w="4589" w:type="dxa"/>
          </w:tcPr>
          <w:p w:rsidR="00BF291C" w:rsidRPr="00873F9B" w:rsidRDefault="009A1981" w:rsidP="00AA11F5">
            <w:pPr>
              <w:jc w:val="both"/>
              <w:rPr>
                <w:szCs w:val="22"/>
              </w:rPr>
            </w:pPr>
            <w:r w:rsidRPr="00873F9B">
              <w:rPr>
                <w:rFonts w:eastAsia="PMingLiU"/>
                <w:szCs w:val="22"/>
                <w:lang w:val="el-GR" w:eastAsia="zh-TW"/>
              </w:rPr>
              <w:t>Μη γνωστές</w:t>
            </w:r>
          </w:p>
        </w:tc>
        <w:tc>
          <w:tcPr>
            <w:tcW w:w="4698" w:type="dxa"/>
          </w:tcPr>
          <w:p w:rsidR="00BF291C" w:rsidRPr="00873F9B" w:rsidRDefault="003F7797" w:rsidP="00AA11F5">
            <w:pPr>
              <w:jc w:val="both"/>
              <w:rPr>
                <w:szCs w:val="22"/>
                <w:lang w:val="el-GR"/>
              </w:rPr>
            </w:pPr>
            <w:r w:rsidRPr="00873F9B">
              <w:rPr>
                <w:rFonts w:eastAsia="PMingLiU"/>
                <w:szCs w:val="22"/>
                <w:lang w:val="el-GR" w:eastAsia="zh-TW"/>
              </w:rPr>
              <w:t>Αγγειοοίδημα, Εξάνθημα, Κνησμός</w:t>
            </w:r>
          </w:p>
        </w:tc>
      </w:tr>
      <w:tr w:rsidR="00BF291C" w:rsidRPr="00873F9B">
        <w:tc>
          <w:tcPr>
            <w:tcW w:w="9287" w:type="dxa"/>
            <w:gridSpan w:val="2"/>
          </w:tcPr>
          <w:p w:rsidR="00BF291C" w:rsidRPr="00873F9B" w:rsidRDefault="003F7797" w:rsidP="00AA11F5">
            <w:pPr>
              <w:jc w:val="both"/>
              <w:rPr>
                <w:b/>
                <w:szCs w:val="22"/>
                <w:lang w:val="el-GR"/>
              </w:rPr>
            </w:pPr>
            <w:r w:rsidRPr="00873F9B">
              <w:rPr>
                <w:b/>
                <w:szCs w:val="22"/>
                <w:lang w:val="el-GR"/>
              </w:rPr>
              <w:t>Διαταραχές του μυοσκελετικού συστήματος και του συνδετικού ιστού</w:t>
            </w:r>
          </w:p>
        </w:tc>
      </w:tr>
      <w:tr w:rsidR="00BF291C" w:rsidRPr="00873F9B">
        <w:tc>
          <w:tcPr>
            <w:tcW w:w="4589" w:type="dxa"/>
          </w:tcPr>
          <w:p w:rsidR="00BF291C" w:rsidRPr="00873F9B" w:rsidRDefault="009A1981" w:rsidP="00AA11F5">
            <w:pPr>
              <w:jc w:val="both"/>
              <w:rPr>
                <w:szCs w:val="22"/>
              </w:rPr>
            </w:pPr>
            <w:r w:rsidRPr="00873F9B">
              <w:rPr>
                <w:rFonts w:eastAsia="PMingLiU"/>
                <w:szCs w:val="22"/>
                <w:lang w:val="el-GR" w:eastAsia="zh-TW"/>
              </w:rPr>
              <w:t>Μη γνωστές</w:t>
            </w:r>
          </w:p>
        </w:tc>
        <w:tc>
          <w:tcPr>
            <w:tcW w:w="4698" w:type="dxa"/>
          </w:tcPr>
          <w:p w:rsidR="00BF291C" w:rsidRPr="00873F9B" w:rsidRDefault="00AC21AB" w:rsidP="00AA11F5">
            <w:pPr>
              <w:jc w:val="both"/>
              <w:rPr>
                <w:szCs w:val="22"/>
                <w:lang w:val="el-GR"/>
              </w:rPr>
            </w:pPr>
            <w:r w:rsidRPr="00873F9B">
              <w:rPr>
                <w:szCs w:val="22"/>
                <w:lang w:val="el-GR"/>
              </w:rPr>
              <w:t>Μυαλγία</w:t>
            </w:r>
          </w:p>
        </w:tc>
      </w:tr>
      <w:tr w:rsidR="00BF291C" w:rsidRPr="00873F9B">
        <w:tc>
          <w:tcPr>
            <w:tcW w:w="9287" w:type="dxa"/>
            <w:gridSpan w:val="2"/>
          </w:tcPr>
          <w:p w:rsidR="00BF291C" w:rsidRPr="00873F9B" w:rsidRDefault="00830578" w:rsidP="00AA11F5">
            <w:pPr>
              <w:jc w:val="both"/>
              <w:rPr>
                <w:b/>
                <w:szCs w:val="22"/>
                <w:lang w:val="el-GR"/>
              </w:rPr>
            </w:pPr>
            <w:r w:rsidRPr="00873F9B">
              <w:rPr>
                <w:b/>
                <w:szCs w:val="22"/>
                <w:lang w:val="el-GR"/>
              </w:rPr>
              <w:t>Διαταραχές των νεφρών και των ουροφόρων οδών</w:t>
            </w:r>
          </w:p>
        </w:tc>
      </w:tr>
      <w:tr w:rsidR="00BF291C" w:rsidRPr="00873F9B">
        <w:tc>
          <w:tcPr>
            <w:tcW w:w="4589" w:type="dxa"/>
          </w:tcPr>
          <w:p w:rsidR="00BF291C" w:rsidRPr="00873F9B" w:rsidRDefault="009A1981" w:rsidP="00AA11F5">
            <w:pPr>
              <w:jc w:val="both"/>
              <w:rPr>
                <w:szCs w:val="22"/>
              </w:rPr>
            </w:pPr>
            <w:r w:rsidRPr="00873F9B">
              <w:rPr>
                <w:rFonts w:eastAsia="PMingLiU"/>
                <w:szCs w:val="22"/>
                <w:lang w:val="el-GR" w:eastAsia="zh-TW"/>
              </w:rPr>
              <w:t>Μη γνωστές</w:t>
            </w:r>
          </w:p>
        </w:tc>
        <w:tc>
          <w:tcPr>
            <w:tcW w:w="4698" w:type="dxa"/>
          </w:tcPr>
          <w:p w:rsidR="00830578" w:rsidRPr="00873F9B" w:rsidRDefault="00830578" w:rsidP="00AA11F5">
            <w:pPr>
              <w:autoSpaceDE w:val="0"/>
              <w:autoSpaceDN w:val="0"/>
              <w:adjustRightInd w:val="0"/>
              <w:jc w:val="both"/>
              <w:rPr>
                <w:rFonts w:eastAsia="PMingLiU"/>
                <w:szCs w:val="22"/>
                <w:lang w:val="el-GR" w:eastAsia="zh-TW"/>
              </w:rPr>
            </w:pPr>
            <w:r w:rsidRPr="00873F9B">
              <w:rPr>
                <w:rFonts w:eastAsia="PMingLiU"/>
                <w:szCs w:val="22"/>
                <w:lang w:val="el-GR" w:eastAsia="zh-TW"/>
              </w:rPr>
              <w:t>Νεφρική ανεπάρκεια και δυσλειτουργία, Αύξηση</w:t>
            </w:r>
          </w:p>
          <w:p w:rsidR="00BF291C" w:rsidRPr="00873F9B" w:rsidRDefault="00830578" w:rsidP="00AA11F5">
            <w:pPr>
              <w:jc w:val="both"/>
              <w:rPr>
                <w:szCs w:val="22"/>
                <w:lang w:val="el-GR"/>
              </w:rPr>
            </w:pPr>
            <w:r w:rsidRPr="00873F9B">
              <w:rPr>
                <w:rFonts w:eastAsia="PMingLiU"/>
                <w:szCs w:val="22"/>
                <w:lang w:val="el-GR" w:eastAsia="zh-TW"/>
              </w:rPr>
              <w:t>της κρεατινίνης ορού</w:t>
            </w:r>
          </w:p>
        </w:tc>
      </w:tr>
      <w:tr w:rsidR="00BF291C" w:rsidRPr="00873F9B">
        <w:tc>
          <w:tcPr>
            <w:tcW w:w="9287" w:type="dxa"/>
            <w:gridSpan w:val="2"/>
          </w:tcPr>
          <w:p w:rsidR="00BF291C" w:rsidRPr="00873F9B" w:rsidRDefault="00B1530B" w:rsidP="00AA11F5">
            <w:pPr>
              <w:jc w:val="both"/>
              <w:rPr>
                <w:b/>
                <w:szCs w:val="22"/>
                <w:lang w:val="el-GR"/>
              </w:rPr>
            </w:pPr>
            <w:r w:rsidRPr="00873F9B">
              <w:rPr>
                <w:b/>
                <w:szCs w:val="22"/>
              </w:rPr>
              <w:t>Γενικές διαταραχές και καταστάσεις της οδού χορήγησης</w:t>
            </w:r>
          </w:p>
        </w:tc>
      </w:tr>
      <w:tr w:rsidR="00BF291C" w:rsidRPr="00873F9B">
        <w:tc>
          <w:tcPr>
            <w:tcW w:w="4589" w:type="dxa"/>
          </w:tcPr>
          <w:p w:rsidR="00BF291C" w:rsidRPr="00873F9B" w:rsidRDefault="00B1530B" w:rsidP="00AA11F5">
            <w:pPr>
              <w:jc w:val="both"/>
              <w:rPr>
                <w:szCs w:val="22"/>
              </w:rPr>
            </w:pPr>
            <w:r w:rsidRPr="00873F9B">
              <w:rPr>
                <w:rFonts w:eastAsia="PMingLiU"/>
                <w:szCs w:val="22"/>
                <w:lang w:val="el-GR" w:eastAsia="zh-TW"/>
              </w:rPr>
              <w:t>Όχι συχνές</w:t>
            </w:r>
          </w:p>
        </w:tc>
        <w:tc>
          <w:tcPr>
            <w:tcW w:w="4698" w:type="dxa"/>
          </w:tcPr>
          <w:p w:rsidR="00BF291C" w:rsidRPr="00873F9B" w:rsidRDefault="00B1530B" w:rsidP="00AA11F5">
            <w:pPr>
              <w:jc w:val="both"/>
              <w:rPr>
                <w:szCs w:val="22"/>
                <w:lang w:val="el-GR"/>
              </w:rPr>
            </w:pPr>
            <w:r w:rsidRPr="00873F9B">
              <w:rPr>
                <w:szCs w:val="22"/>
                <w:lang w:val="el-GR"/>
              </w:rPr>
              <w:t>Κόπωση</w:t>
            </w:r>
          </w:p>
        </w:tc>
      </w:tr>
    </w:tbl>
    <w:p w:rsidR="00BF291C" w:rsidRPr="00873F9B" w:rsidRDefault="00BF291C" w:rsidP="00AA11F5">
      <w:pPr>
        <w:jc w:val="both"/>
        <w:rPr>
          <w:szCs w:val="22"/>
        </w:rPr>
      </w:pPr>
    </w:p>
    <w:p w:rsidR="00F62A14" w:rsidRPr="00873F9B" w:rsidRDefault="00F62A14" w:rsidP="00AA11F5">
      <w:pPr>
        <w:jc w:val="both"/>
        <w:rPr>
          <w:i/>
          <w:szCs w:val="22"/>
          <w:u w:val="single"/>
        </w:rPr>
      </w:pPr>
    </w:p>
    <w:p w:rsidR="00BF291C" w:rsidRPr="00873F9B" w:rsidRDefault="00B1530B" w:rsidP="00AA11F5">
      <w:pPr>
        <w:jc w:val="both"/>
        <w:rPr>
          <w:i/>
          <w:iCs/>
          <w:color w:val="000000"/>
          <w:szCs w:val="22"/>
          <w:u w:val="single"/>
        </w:rPr>
      </w:pPr>
      <w:r w:rsidRPr="00873F9B">
        <w:rPr>
          <w:i/>
          <w:iCs/>
          <w:color w:val="000000"/>
          <w:szCs w:val="22"/>
          <w:u w:val="single"/>
        </w:rPr>
        <w:t>Παιδιατρικός πληθυσμός</w:t>
      </w:r>
    </w:p>
    <w:p w:rsidR="00BF291C" w:rsidRPr="00873F9B" w:rsidRDefault="00BF291C" w:rsidP="00AA11F5">
      <w:pPr>
        <w:jc w:val="both"/>
        <w:rPr>
          <w:i/>
          <w:szCs w:val="22"/>
          <w:u w:val="single"/>
        </w:rPr>
      </w:pPr>
    </w:p>
    <w:p w:rsidR="00BF291C" w:rsidRPr="00873F9B" w:rsidRDefault="00830578" w:rsidP="00AA11F5">
      <w:pPr>
        <w:jc w:val="both"/>
        <w:rPr>
          <w:iCs/>
          <w:color w:val="000000"/>
          <w:szCs w:val="22"/>
          <w:u w:val="single"/>
          <w:lang w:val="el-GR"/>
        </w:rPr>
      </w:pPr>
      <w:r w:rsidRPr="00873F9B">
        <w:rPr>
          <w:iCs/>
          <w:color w:val="000000"/>
          <w:szCs w:val="22"/>
          <w:u w:val="single"/>
          <w:lang w:val="el-GR"/>
        </w:rPr>
        <w:t>Υπέρταση</w:t>
      </w:r>
    </w:p>
    <w:p w:rsidR="00BF291C" w:rsidRPr="00873F9B" w:rsidRDefault="00BF291C" w:rsidP="00AA11F5">
      <w:pPr>
        <w:jc w:val="both"/>
        <w:rPr>
          <w:color w:val="000000"/>
          <w:szCs w:val="22"/>
        </w:rPr>
      </w:pPr>
    </w:p>
    <w:p w:rsidR="000A21AA" w:rsidRPr="00873F9B" w:rsidRDefault="000A21AA" w:rsidP="00AA11F5">
      <w:pPr>
        <w:autoSpaceDE w:val="0"/>
        <w:autoSpaceDN w:val="0"/>
        <w:adjustRightInd w:val="0"/>
        <w:jc w:val="both"/>
        <w:rPr>
          <w:rFonts w:eastAsia="PMingLiU"/>
          <w:szCs w:val="22"/>
          <w:lang w:val="el-GR" w:eastAsia="zh-TW"/>
        </w:rPr>
      </w:pPr>
      <w:r w:rsidRPr="00873F9B">
        <w:rPr>
          <w:rFonts w:eastAsia="PMingLiU"/>
          <w:szCs w:val="22"/>
          <w:lang w:val="el-GR" w:eastAsia="zh-TW"/>
        </w:rPr>
        <w:t>Η αντιυπερτασική δράση της βαλσαρτάνης έχει αξιολογηθεί σε δύο τυχαιοποιημένες, διπλές τυφλές</w:t>
      </w:r>
      <w:r w:rsidR="00130335" w:rsidRPr="00873F9B">
        <w:rPr>
          <w:rFonts w:eastAsia="PMingLiU"/>
          <w:szCs w:val="22"/>
          <w:lang w:val="el-GR" w:eastAsia="zh-TW"/>
        </w:rPr>
        <w:t xml:space="preserve"> </w:t>
      </w:r>
      <w:r w:rsidRPr="00873F9B">
        <w:rPr>
          <w:rFonts w:eastAsia="PMingLiU"/>
          <w:szCs w:val="22"/>
          <w:lang w:val="el-GR" w:eastAsia="zh-TW"/>
        </w:rPr>
        <w:t>κλινικές μελέτες σε 561 παιδιατρικούς ασθενείς ηλικίας 6 έως 18 ετών. Με εξαίρεση μεμονωμένων</w:t>
      </w:r>
      <w:r w:rsidR="00130335" w:rsidRPr="00873F9B">
        <w:rPr>
          <w:rFonts w:eastAsia="PMingLiU"/>
          <w:szCs w:val="22"/>
          <w:lang w:val="el-GR" w:eastAsia="zh-TW"/>
        </w:rPr>
        <w:t xml:space="preserve"> </w:t>
      </w:r>
      <w:r w:rsidRPr="00873F9B">
        <w:rPr>
          <w:rFonts w:eastAsia="PMingLiU"/>
          <w:szCs w:val="22"/>
          <w:lang w:val="el-GR" w:eastAsia="zh-TW"/>
        </w:rPr>
        <w:t>γαστρεντερικών διαταραχών (όπως κοιλιακό άλγος, ναυτία, έμετος) και ζάλη, δεν αναγνωρίστηκαν</w:t>
      </w:r>
      <w:r w:rsidR="00130335" w:rsidRPr="00873F9B">
        <w:rPr>
          <w:rFonts w:eastAsia="PMingLiU"/>
          <w:szCs w:val="22"/>
          <w:lang w:val="el-GR" w:eastAsia="zh-TW"/>
        </w:rPr>
        <w:t xml:space="preserve"> </w:t>
      </w:r>
      <w:r w:rsidRPr="00873F9B">
        <w:rPr>
          <w:rFonts w:eastAsia="PMingLiU"/>
          <w:szCs w:val="22"/>
          <w:lang w:val="el-GR" w:eastAsia="zh-TW"/>
        </w:rPr>
        <w:t>σχετικές διαφορές ως προς τον τύπο, τη συχνότητα και την βαρύτητα ανεπιθύμητων ενεργειών</w:t>
      </w:r>
      <w:r w:rsidR="00130335" w:rsidRPr="00873F9B">
        <w:rPr>
          <w:rFonts w:eastAsia="PMingLiU"/>
          <w:szCs w:val="22"/>
          <w:lang w:val="el-GR" w:eastAsia="zh-TW"/>
        </w:rPr>
        <w:t xml:space="preserve"> </w:t>
      </w:r>
      <w:r w:rsidRPr="00873F9B">
        <w:rPr>
          <w:rFonts w:eastAsia="PMingLiU"/>
          <w:szCs w:val="22"/>
          <w:lang w:val="el-GR" w:eastAsia="zh-TW"/>
        </w:rPr>
        <w:t>ανάμεσα στο προφίλ ασφάλειας για παιδιατρικούς ασθενείς ηλικίας 6 έως 18 ετών και εκείνο που</w:t>
      </w:r>
      <w:r w:rsidR="00130335" w:rsidRPr="00873F9B">
        <w:rPr>
          <w:rFonts w:eastAsia="PMingLiU"/>
          <w:szCs w:val="22"/>
          <w:lang w:val="el-GR" w:eastAsia="zh-TW"/>
        </w:rPr>
        <w:t xml:space="preserve"> </w:t>
      </w:r>
      <w:r w:rsidRPr="00873F9B">
        <w:rPr>
          <w:rFonts w:eastAsia="PMingLiU"/>
          <w:szCs w:val="22"/>
          <w:lang w:val="el-GR" w:eastAsia="zh-TW"/>
        </w:rPr>
        <w:t>αναφέρθηκε στο παρελθόν για ενηλίκους ασθενείς.</w:t>
      </w:r>
    </w:p>
    <w:p w:rsidR="00E62D34" w:rsidRPr="00873F9B" w:rsidRDefault="00E62D34" w:rsidP="00AA11F5">
      <w:pPr>
        <w:autoSpaceDE w:val="0"/>
        <w:autoSpaceDN w:val="0"/>
        <w:adjustRightInd w:val="0"/>
        <w:jc w:val="both"/>
        <w:rPr>
          <w:rFonts w:eastAsia="PMingLiU"/>
          <w:szCs w:val="22"/>
          <w:lang w:val="el-GR" w:eastAsia="zh-TW"/>
        </w:rPr>
      </w:pPr>
    </w:p>
    <w:p w:rsidR="000A21AA" w:rsidRPr="00873F9B" w:rsidRDefault="000A21AA" w:rsidP="00AA11F5">
      <w:pPr>
        <w:autoSpaceDE w:val="0"/>
        <w:autoSpaceDN w:val="0"/>
        <w:adjustRightInd w:val="0"/>
        <w:jc w:val="both"/>
        <w:rPr>
          <w:rFonts w:eastAsia="PMingLiU"/>
          <w:szCs w:val="22"/>
          <w:lang w:val="el-GR" w:eastAsia="zh-TW"/>
        </w:rPr>
      </w:pPr>
      <w:r w:rsidRPr="00873F9B">
        <w:rPr>
          <w:rFonts w:eastAsia="PMingLiU"/>
          <w:szCs w:val="22"/>
          <w:lang w:val="el-GR" w:eastAsia="zh-TW"/>
        </w:rPr>
        <w:t xml:space="preserve">Νευρογνωσιακή </w:t>
      </w:r>
      <w:r w:rsidR="005F10EF" w:rsidRPr="00873F9B">
        <w:rPr>
          <w:rFonts w:eastAsia="PMingLiU"/>
          <w:szCs w:val="22"/>
          <w:lang w:val="el-GR" w:eastAsia="zh-TW"/>
        </w:rPr>
        <w:t xml:space="preserve">και  αναπτυξιακή </w:t>
      </w:r>
      <w:r w:rsidRPr="00873F9B">
        <w:rPr>
          <w:rFonts w:eastAsia="PMingLiU"/>
          <w:szCs w:val="22"/>
          <w:lang w:val="el-GR" w:eastAsia="zh-TW"/>
        </w:rPr>
        <w:t>αξιολόγηση παιδιατρικών ασθενών ηλικίας 6 έως</w:t>
      </w:r>
      <w:r w:rsidR="005F10EF" w:rsidRPr="00873F9B">
        <w:rPr>
          <w:rFonts w:eastAsia="PMingLiU"/>
          <w:szCs w:val="22"/>
          <w:lang w:val="el-GR" w:eastAsia="zh-TW"/>
        </w:rPr>
        <w:t xml:space="preserve"> </w:t>
      </w:r>
      <w:r w:rsidRPr="00873F9B">
        <w:rPr>
          <w:rFonts w:eastAsia="PMingLiU"/>
          <w:szCs w:val="22"/>
          <w:lang w:val="el-GR" w:eastAsia="zh-TW"/>
        </w:rPr>
        <w:t>16 ετών δεν αποκάλυψε συνολική κλινικά σχετική ανεπιθύμητη επίδραση μετά από θεραπεία με</w:t>
      </w:r>
      <w:r w:rsidR="005F10EF" w:rsidRPr="00873F9B">
        <w:rPr>
          <w:rFonts w:eastAsia="PMingLiU"/>
          <w:szCs w:val="22"/>
          <w:lang w:val="el-GR" w:eastAsia="zh-TW"/>
        </w:rPr>
        <w:t xml:space="preserve"> βαλσαρτάνη</w:t>
      </w:r>
      <w:r w:rsidRPr="00873F9B">
        <w:rPr>
          <w:rFonts w:eastAsia="PMingLiU"/>
          <w:szCs w:val="22"/>
          <w:lang w:val="el-GR" w:eastAsia="zh-TW"/>
        </w:rPr>
        <w:t xml:space="preserve"> μέχρι ένα έτος.</w:t>
      </w:r>
    </w:p>
    <w:p w:rsidR="00E62D34" w:rsidRPr="00873F9B" w:rsidRDefault="00E62D34" w:rsidP="00AA11F5">
      <w:pPr>
        <w:autoSpaceDE w:val="0"/>
        <w:autoSpaceDN w:val="0"/>
        <w:adjustRightInd w:val="0"/>
        <w:jc w:val="both"/>
        <w:rPr>
          <w:rFonts w:eastAsia="PMingLiU"/>
          <w:szCs w:val="22"/>
          <w:lang w:val="el-GR" w:eastAsia="zh-TW"/>
        </w:rPr>
      </w:pPr>
    </w:p>
    <w:p w:rsidR="000A21AA" w:rsidRPr="00873F9B" w:rsidRDefault="000A21AA" w:rsidP="00AA11F5">
      <w:pPr>
        <w:autoSpaceDE w:val="0"/>
        <w:autoSpaceDN w:val="0"/>
        <w:adjustRightInd w:val="0"/>
        <w:jc w:val="both"/>
        <w:rPr>
          <w:rFonts w:eastAsia="PMingLiU"/>
          <w:szCs w:val="22"/>
          <w:lang w:val="el-GR" w:eastAsia="zh-TW"/>
        </w:rPr>
      </w:pPr>
      <w:r w:rsidRPr="00873F9B">
        <w:rPr>
          <w:rFonts w:eastAsia="PMingLiU"/>
          <w:szCs w:val="22"/>
          <w:lang w:val="el-GR" w:eastAsia="zh-TW"/>
        </w:rPr>
        <w:t>Σε μια διπλή τυφλή τυχαιοποιημένη μελέτη σε 90 παιδιά ηλικίας 1 έως 6 ετών, την οποία ακολούθησε</w:t>
      </w:r>
      <w:r w:rsidR="00130335" w:rsidRPr="00873F9B">
        <w:rPr>
          <w:rFonts w:eastAsia="PMingLiU"/>
          <w:szCs w:val="22"/>
          <w:lang w:val="el-GR" w:eastAsia="zh-TW"/>
        </w:rPr>
        <w:t xml:space="preserve"> </w:t>
      </w:r>
      <w:r w:rsidRPr="00873F9B">
        <w:rPr>
          <w:rFonts w:eastAsia="PMingLiU"/>
          <w:szCs w:val="22"/>
          <w:lang w:val="el-GR" w:eastAsia="zh-TW"/>
        </w:rPr>
        <w:t>παράταση ενός έτους ανοικτού τύπου, διαπιστώθηκαν δύο θάνατοι και μεμονωμένες περιπτώσεις</w:t>
      </w:r>
      <w:r w:rsidR="00130335" w:rsidRPr="00873F9B">
        <w:rPr>
          <w:rFonts w:eastAsia="PMingLiU"/>
          <w:szCs w:val="22"/>
          <w:lang w:val="el-GR" w:eastAsia="zh-TW"/>
        </w:rPr>
        <w:t xml:space="preserve"> </w:t>
      </w:r>
      <w:r w:rsidRPr="00873F9B">
        <w:rPr>
          <w:rFonts w:eastAsia="PMingLiU"/>
          <w:szCs w:val="22"/>
          <w:lang w:val="el-GR" w:eastAsia="zh-TW"/>
        </w:rPr>
        <w:t>σημαντικών αυξήσεων των τρανσαμινασών ορού. Αυτές οι περιπτώσεις παρουσιάστηκαν σε</w:t>
      </w:r>
      <w:r w:rsidR="00130335" w:rsidRPr="00873F9B">
        <w:rPr>
          <w:rFonts w:eastAsia="PMingLiU"/>
          <w:szCs w:val="22"/>
          <w:lang w:val="el-GR" w:eastAsia="zh-TW"/>
        </w:rPr>
        <w:t xml:space="preserve"> </w:t>
      </w:r>
      <w:r w:rsidRPr="00873F9B">
        <w:rPr>
          <w:rFonts w:eastAsia="PMingLiU"/>
          <w:szCs w:val="22"/>
          <w:lang w:val="el-GR" w:eastAsia="zh-TW"/>
        </w:rPr>
        <w:t>πληθυσμό, ο οποίος παρουσίαζε σημαντικές συν-νοσηρότητες. Αιτιολογική σχέση με τ</w:t>
      </w:r>
      <w:r w:rsidR="001A09AA" w:rsidRPr="00873F9B">
        <w:rPr>
          <w:rFonts w:eastAsia="PMingLiU"/>
          <w:szCs w:val="22"/>
          <w:lang w:val="el-GR" w:eastAsia="zh-TW"/>
        </w:rPr>
        <w:t>η βαλσαρτάνη</w:t>
      </w:r>
      <w:r w:rsidRPr="00873F9B">
        <w:rPr>
          <w:rFonts w:eastAsia="PMingLiU"/>
          <w:szCs w:val="22"/>
          <w:lang w:val="el-GR" w:eastAsia="zh-TW"/>
        </w:rPr>
        <w:t xml:space="preserve"> δεν</w:t>
      </w:r>
      <w:r w:rsidR="00130335" w:rsidRPr="00873F9B">
        <w:rPr>
          <w:rFonts w:eastAsia="PMingLiU"/>
          <w:szCs w:val="22"/>
          <w:lang w:val="el-GR" w:eastAsia="zh-TW"/>
        </w:rPr>
        <w:t xml:space="preserve"> </w:t>
      </w:r>
      <w:r w:rsidRPr="00873F9B">
        <w:rPr>
          <w:rFonts w:eastAsia="PMingLiU"/>
          <w:szCs w:val="22"/>
          <w:lang w:val="el-GR" w:eastAsia="zh-TW"/>
        </w:rPr>
        <w:t>τεκμηριώθηκε. Σε μια δεύτερη μελέτη, κατά την οποία τυχαιοποιήθηκαν 75 παιδιά ηλικίας 1 έως</w:t>
      </w:r>
      <w:r w:rsidR="00130335" w:rsidRPr="00873F9B">
        <w:rPr>
          <w:rFonts w:eastAsia="PMingLiU"/>
          <w:szCs w:val="22"/>
          <w:lang w:val="el-GR" w:eastAsia="zh-TW"/>
        </w:rPr>
        <w:t xml:space="preserve"> </w:t>
      </w:r>
      <w:r w:rsidRPr="00873F9B">
        <w:rPr>
          <w:rFonts w:eastAsia="PMingLiU"/>
          <w:szCs w:val="22"/>
          <w:lang w:val="el-GR" w:eastAsia="zh-TW"/>
        </w:rPr>
        <w:t>6 ετών, δεν παρουσιάστηκαν σημαντικές αυξήσεις των ηπατικών τρανσαμινασών ή συμβάν θανάτου</w:t>
      </w:r>
      <w:r w:rsidR="00130335" w:rsidRPr="00873F9B">
        <w:rPr>
          <w:rFonts w:eastAsia="PMingLiU"/>
          <w:szCs w:val="22"/>
          <w:lang w:val="el-GR" w:eastAsia="zh-TW"/>
        </w:rPr>
        <w:t xml:space="preserve"> </w:t>
      </w:r>
      <w:r w:rsidRPr="00873F9B">
        <w:rPr>
          <w:rFonts w:eastAsia="PMingLiU"/>
          <w:szCs w:val="22"/>
          <w:lang w:val="el-GR" w:eastAsia="zh-TW"/>
        </w:rPr>
        <w:t>με θεραπεία με βαλσαρτάνη.</w:t>
      </w:r>
    </w:p>
    <w:p w:rsidR="00840338" w:rsidRPr="00873F9B" w:rsidRDefault="00840338" w:rsidP="00AA11F5">
      <w:pPr>
        <w:autoSpaceDE w:val="0"/>
        <w:autoSpaceDN w:val="0"/>
        <w:adjustRightInd w:val="0"/>
        <w:jc w:val="both"/>
        <w:rPr>
          <w:rFonts w:eastAsia="PMingLiU"/>
          <w:szCs w:val="22"/>
          <w:lang w:val="el-GR" w:eastAsia="zh-TW"/>
        </w:rPr>
      </w:pPr>
    </w:p>
    <w:p w:rsidR="000A21AA" w:rsidRPr="00873F9B" w:rsidRDefault="000A21AA" w:rsidP="00AA11F5">
      <w:pPr>
        <w:autoSpaceDE w:val="0"/>
        <w:autoSpaceDN w:val="0"/>
        <w:adjustRightInd w:val="0"/>
        <w:jc w:val="both"/>
        <w:rPr>
          <w:rFonts w:eastAsia="PMingLiU"/>
          <w:szCs w:val="22"/>
          <w:lang w:val="el-GR" w:eastAsia="zh-TW"/>
        </w:rPr>
      </w:pPr>
      <w:r w:rsidRPr="00873F9B">
        <w:rPr>
          <w:rFonts w:eastAsia="PMingLiU"/>
          <w:szCs w:val="22"/>
          <w:lang w:val="el-GR" w:eastAsia="zh-TW"/>
        </w:rPr>
        <w:t>Υπερκαλιαιμία παρατηρήθηκε συχνότερα σε παιδιά και εφήβους ηλικίας 6 έως 18 ετών με υποκείμενη</w:t>
      </w:r>
      <w:r w:rsidR="00130335" w:rsidRPr="00873F9B">
        <w:rPr>
          <w:rFonts w:eastAsia="PMingLiU"/>
          <w:szCs w:val="22"/>
          <w:lang w:val="el-GR" w:eastAsia="zh-TW"/>
        </w:rPr>
        <w:t xml:space="preserve"> </w:t>
      </w:r>
      <w:r w:rsidRPr="00873F9B">
        <w:rPr>
          <w:rFonts w:eastAsia="PMingLiU"/>
          <w:szCs w:val="22"/>
          <w:lang w:val="el-GR" w:eastAsia="zh-TW"/>
        </w:rPr>
        <w:t>χρόνια νεφρική νόσο.</w:t>
      </w:r>
    </w:p>
    <w:p w:rsidR="000A21AA" w:rsidRPr="00873F9B" w:rsidRDefault="000A21AA" w:rsidP="00AA11F5">
      <w:pPr>
        <w:jc w:val="both"/>
        <w:rPr>
          <w:color w:val="000000"/>
          <w:szCs w:val="22"/>
          <w:lang w:val="el-GR"/>
        </w:rPr>
      </w:pPr>
    </w:p>
    <w:p w:rsidR="00BF291C" w:rsidRPr="00873F9B" w:rsidRDefault="00292F49" w:rsidP="00AA11F5">
      <w:pPr>
        <w:autoSpaceDE w:val="0"/>
        <w:autoSpaceDN w:val="0"/>
        <w:adjustRightInd w:val="0"/>
        <w:jc w:val="both"/>
        <w:rPr>
          <w:szCs w:val="22"/>
          <w:lang w:val="el-GR"/>
        </w:rPr>
      </w:pPr>
      <w:r w:rsidRPr="00873F9B">
        <w:rPr>
          <w:rFonts w:eastAsia="PMingLiU"/>
          <w:szCs w:val="22"/>
          <w:lang w:val="el-GR" w:eastAsia="zh-TW"/>
        </w:rPr>
        <w:t>Το προφίλ ασφαλείας που παρατηρείται σε ελεγχόμενες κλινικές μελέτες σε ενηλίκους ασθενείς μετά</w:t>
      </w:r>
      <w:r w:rsidR="0015439A" w:rsidRPr="00873F9B">
        <w:rPr>
          <w:rFonts w:eastAsia="PMingLiU"/>
          <w:szCs w:val="22"/>
          <w:lang w:val="el-GR" w:eastAsia="zh-TW"/>
        </w:rPr>
        <w:t xml:space="preserve"> </w:t>
      </w:r>
      <w:r w:rsidRPr="00873F9B">
        <w:rPr>
          <w:rFonts w:eastAsia="PMingLiU"/>
          <w:szCs w:val="22"/>
          <w:lang w:val="el-GR" w:eastAsia="zh-TW"/>
        </w:rPr>
        <w:t>από έμφραγμα του μυοκαρδίου ή/και καρδιακή ανεπάρκεια διαφέρει από το συνολικό προφίλ ασφαλείας που παρατηρείται σε υπερτασικούς ασθενείς. Αυτό ενδέχεται να σχετίζεται με την υποκείμενη νόσο των ασθενών. Οι ΑΕΦ που παρατηρήθηκαν σε ενηλίκους ασθενείς μετά από έμφραγμα του μυοκαρδίου ή/και ασθενείς με καρδιακή ανεπάρκεια καταγράφονται παρακάτω</w:t>
      </w:r>
    </w:p>
    <w:p w:rsidR="00FB008D" w:rsidRPr="00873F9B" w:rsidRDefault="00FB008D" w:rsidP="00AA11F5">
      <w:pPr>
        <w:jc w:val="both"/>
        <w:rPr>
          <w:szCs w:val="22"/>
          <w:lang w:val="el-GR"/>
        </w:rPr>
      </w:pPr>
    </w:p>
    <w:p w:rsidR="00246996" w:rsidRPr="00873F9B" w:rsidRDefault="00246996" w:rsidP="00AA11F5">
      <w:pPr>
        <w:numPr>
          <w:ilvl w:val="0"/>
          <w:numId w:val="27"/>
        </w:numPr>
        <w:tabs>
          <w:tab w:val="clear" w:pos="720"/>
          <w:tab w:val="num" w:pos="284"/>
        </w:tabs>
        <w:ind w:left="284" w:hanging="284"/>
        <w:jc w:val="both"/>
        <w:rPr>
          <w:bCs/>
          <w:szCs w:val="22"/>
          <w:u w:val="single"/>
          <w:lang w:val="el-GR"/>
        </w:rPr>
      </w:pPr>
      <w:r w:rsidRPr="00873F9B">
        <w:rPr>
          <w:rFonts w:eastAsia="PMingLiU"/>
          <w:szCs w:val="22"/>
          <w:u w:val="single"/>
          <w:lang w:val="el-GR" w:eastAsia="zh-TW"/>
        </w:rPr>
        <w:t>Μετά από έμφραγμα του μυοκαρδίου ή/και καρδιακή ανεπάρκεια (μελετήθηκε μόνο σε ενηλίκους ασθενείς)</w:t>
      </w:r>
    </w:p>
    <w:p w:rsidR="00BF291C" w:rsidRPr="00873F9B" w:rsidRDefault="00BF291C" w:rsidP="00AA11F5">
      <w:pPr>
        <w:pStyle w:val="Text"/>
        <w:spacing w:before="0"/>
        <w:rPr>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698"/>
      </w:tblGrid>
      <w:tr w:rsidR="00BF291C" w:rsidRPr="00873F9B">
        <w:tc>
          <w:tcPr>
            <w:tcW w:w="9288" w:type="dxa"/>
            <w:gridSpan w:val="2"/>
          </w:tcPr>
          <w:p w:rsidR="00BF291C" w:rsidRPr="00873F9B" w:rsidRDefault="00CB0C96" w:rsidP="00AA11F5">
            <w:pPr>
              <w:jc w:val="both"/>
              <w:rPr>
                <w:b/>
                <w:szCs w:val="22"/>
              </w:rPr>
            </w:pPr>
            <w:r w:rsidRPr="00873F9B">
              <w:rPr>
                <w:b/>
                <w:szCs w:val="22"/>
              </w:rPr>
              <w:t>Διαταραχές του αιμοποιητικού και του λεμφικού συστήματος</w:t>
            </w:r>
          </w:p>
        </w:tc>
      </w:tr>
      <w:tr w:rsidR="00BF291C" w:rsidRPr="00873F9B">
        <w:tc>
          <w:tcPr>
            <w:tcW w:w="4590" w:type="dxa"/>
          </w:tcPr>
          <w:p w:rsidR="00BF291C" w:rsidRPr="00873F9B" w:rsidRDefault="000A6C1E" w:rsidP="00AA11F5">
            <w:pPr>
              <w:jc w:val="both"/>
              <w:rPr>
                <w:szCs w:val="22"/>
              </w:rPr>
            </w:pPr>
            <w:r w:rsidRPr="00873F9B">
              <w:rPr>
                <w:rFonts w:eastAsia="PMingLiU"/>
                <w:szCs w:val="22"/>
                <w:lang w:val="el-GR" w:eastAsia="zh-TW"/>
              </w:rPr>
              <w:t>Μη γνωστές</w:t>
            </w:r>
          </w:p>
        </w:tc>
        <w:tc>
          <w:tcPr>
            <w:tcW w:w="4698" w:type="dxa"/>
          </w:tcPr>
          <w:p w:rsidR="00BF291C" w:rsidRPr="00873F9B" w:rsidRDefault="00BF291C" w:rsidP="00AA11F5">
            <w:pPr>
              <w:jc w:val="both"/>
              <w:rPr>
                <w:szCs w:val="22"/>
                <w:vertAlign w:val="superscript"/>
              </w:rPr>
            </w:pPr>
            <w:r w:rsidRPr="00873F9B">
              <w:rPr>
                <w:szCs w:val="22"/>
              </w:rPr>
              <w:t>Thrombocytopenia</w:t>
            </w:r>
          </w:p>
        </w:tc>
      </w:tr>
      <w:tr w:rsidR="00BF291C" w:rsidRPr="00873F9B">
        <w:trPr>
          <w:trHeight w:val="179"/>
        </w:trPr>
        <w:tc>
          <w:tcPr>
            <w:tcW w:w="9288" w:type="dxa"/>
            <w:gridSpan w:val="2"/>
          </w:tcPr>
          <w:p w:rsidR="00BF291C" w:rsidRPr="00873F9B" w:rsidRDefault="00B43180" w:rsidP="00AA11F5">
            <w:pPr>
              <w:jc w:val="both"/>
              <w:rPr>
                <w:szCs w:val="22"/>
                <w:lang w:val="el-GR"/>
              </w:rPr>
            </w:pPr>
            <w:r w:rsidRPr="00873F9B">
              <w:rPr>
                <w:b/>
                <w:szCs w:val="22"/>
              </w:rPr>
              <w:t>Διαταραχές του</w:t>
            </w:r>
            <w:r w:rsidRPr="00873F9B">
              <w:rPr>
                <w:b/>
                <w:szCs w:val="22"/>
                <w:lang w:val="el-GR"/>
              </w:rPr>
              <w:t xml:space="preserve"> ανοσοποιητικού συστήματος</w:t>
            </w:r>
          </w:p>
        </w:tc>
      </w:tr>
      <w:tr w:rsidR="00BF291C" w:rsidRPr="00873F9B">
        <w:tc>
          <w:tcPr>
            <w:tcW w:w="4590" w:type="dxa"/>
          </w:tcPr>
          <w:p w:rsidR="00BF291C" w:rsidRPr="00873F9B" w:rsidRDefault="000A6C1E" w:rsidP="00AA11F5">
            <w:pPr>
              <w:jc w:val="both"/>
              <w:rPr>
                <w:szCs w:val="22"/>
              </w:rPr>
            </w:pPr>
            <w:r w:rsidRPr="00873F9B">
              <w:rPr>
                <w:rFonts w:eastAsia="PMingLiU"/>
                <w:szCs w:val="22"/>
                <w:lang w:val="el-GR" w:eastAsia="zh-TW"/>
              </w:rPr>
              <w:t>Μη γνωστές</w:t>
            </w:r>
          </w:p>
        </w:tc>
        <w:tc>
          <w:tcPr>
            <w:tcW w:w="4698" w:type="dxa"/>
          </w:tcPr>
          <w:p w:rsidR="00B43180" w:rsidRPr="00873F9B" w:rsidRDefault="00B43180" w:rsidP="00AA11F5">
            <w:pPr>
              <w:autoSpaceDE w:val="0"/>
              <w:autoSpaceDN w:val="0"/>
              <w:adjustRightInd w:val="0"/>
              <w:jc w:val="both"/>
              <w:rPr>
                <w:rFonts w:eastAsia="PMingLiU"/>
                <w:szCs w:val="22"/>
                <w:lang w:val="el-GR" w:eastAsia="zh-TW"/>
              </w:rPr>
            </w:pPr>
            <w:r w:rsidRPr="00873F9B">
              <w:rPr>
                <w:rFonts w:eastAsia="PMingLiU"/>
                <w:szCs w:val="22"/>
                <w:lang w:val="el-GR" w:eastAsia="zh-TW"/>
              </w:rPr>
              <w:t>Υπερευαισθησία συμπεριλαμβανομένης της</w:t>
            </w:r>
          </w:p>
          <w:p w:rsidR="00BF291C" w:rsidRPr="00873F9B" w:rsidRDefault="00B43180" w:rsidP="00AA11F5">
            <w:pPr>
              <w:jc w:val="both"/>
              <w:rPr>
                <w:szCs w:val="22"/>
              </w:rPr>
            </w:pPr>
            <w:r w:rsidRPr="00873F9B">
              <w:rPr>
                <w:rFonts w:eastAsia="PMingLiU"/>
                <w:szCs w:val="22"/>
                <w:lang w:val="el-GR" w:eastAsia="zh-TW"/>
              </w:rPr>
              <w:lastRenderedPageBreak/>
              <w:t>ορονοσίας</w:t>
            </w:r>
          </w:p>
        </w:tc>
      </w:tr>
      <w:tr w:rsidR="00BF291C" w:rsidRPr="00873F9B">
        <w:tc>
          <w:tcPr>
            <w:tcW w:w="9288" w:type="dxa"/>
            <w:gridSpan w:val="2"/>
          </w:tcPr>
          <w:p w:rsidR="00BF291C" w:rsidRPr="00873F9B" w:rsidRDefault="00B43180" w:rsidP="00AA11F5">
            <w:pPr>
              <w:jc w:val="both"/>
              <w:rPr>
                <w:b/>
                <w:szCs w:val="22"/>
                <w:lang w:val="el-GR"/>
              </w:rPr>
            </w:pPr>
            <w:r w:rsidRPr="00873F9B">
              <w:rPr>
                <w:b/>
                <w:szCs w:val="22"/>
                <w:lang w:val="el-GR"/>
              </w:rPr>
              <w:lastRenderedPageBreak/>
              <w:t>Διαταραχές του μεταβολισμού και της θρέψης</w:t>
            </w:r>
          </w:p>
        </w:tc>
      </w:tr>
      <w:tr w:rsidR="00BF291C" w:rsidRPr="00873F9B">
        <w:tc>
          <w:tcPr>
            <w:tcW w:w="4590" w:type="dxa"/>
          </w:tcPr>
          <w:p w:rsidR="00BF291C" w:rsidRPr="00873F9B" w:rsidRDefault="00434D21" w:rsidP="00AA11F5">
            <w:pPr>
              <w:jc w:val="both"/>
              <w:rPr>
                <w:szCs w:val="22"/>
              </w:rPr>
            </w:pPr>
            <w:r w:rsidRPr="00873F9B">
              <w:rPr>
                <w:rFonts w:eastAsia="PMingLiU"/>
                <w:szCs w:val="22"/>
                <w:lang w:val="el-GR" w:eastAsia="zh-TW"/>
              </w:rPr>
              <w:t>Όχι συχνές</w:t>
            </w:r>
          </w:p>
        </w:tc>
        <w:tc>
          <w:tcPr>
            <w:tcW w:w="4698" w:type="dxa"/>
          </w:tcPr>
          <w:p w:rsidR="00BF291C" w:rsidRPr="00873F9B" w:rsidRDefault="00616E8F" w:rsidP="00AA11F5">
            <w:pPr>
              <w:jc w:val="both"/>
              <w:rPr>
                <w:szCs w:val="22"/>
                <w:lang w:val="el-GR"/>
              </w:rPr>
            </w:pPr>
            <w:r w:rsidRPr="00873F9B">
              <w:rPr>
                <w:szCs w:val="22"/>
                <w:lang w:val="el-GR"/>
              </w:rPr>
              <w:t>Υπερκαλιαιμία</w:t>
            </w:r>
          </w:p>
        </w:tc>
      </w:tr>
      <w:tr w:rsidR="00BF291C" w:rsidRPr="00873F9B">
        <w:tc>
          <w:tcPr>
            <w:tcW w:w="4590" w:type="dxa"/>
          </w:tcPr>
          <w:p w:rsidR="00BF291C" w:rsidRPr="00873F9B" w:rsidRDefault="000A6C1E" w:rsidP="00AA11F5">
            <w:pPr>
              <w:jc w:val="both"/>
              <w:rPr>
                <w:szCs w:val="22"/>
              </w:rPr>
            </w:pPr>
            <w:r w:rsidRPr="00873F9B">
              <w:rPr>
                <w:rFonts w:eastAsia="PMingLiU"/>
                <w:szCs w:val="22"/>
                <w:lang w:val="el-GR" w:eastAsia="zh-TW"/>
              </w:rPr>
              <w:t>Μη γνωστές</w:t>
            </w:r>
          </w:p>
        </w:tc>
        <w:tc>
          <w:tcPr>
            <w:tcW w:w="4698" w:type="dxa"/>
          </w:tcPr>
          <w:p w:rsidR="00BF291C" w:rsidRPr="00873F9B" w:rsidRDefault="00616E8F" w:rsidP="00AA11F5">
            <w:pPr>
              <w:jc w:val="both"/>
              <w:rPr>
                <w:szCs w:val="22"/>
                <w:lang w:val="el-GR"/>
              </w:rPr>
            </w:pPr>
            <w:r w:rsidRPr="00873F9B">
              <w:rPr>
                <w:szCs w:val="22"/>
                <w:lang w:val="el-GR"/>
              </w:rPr>
              <w:t>Αύξηση του καλίου του ορού</w:t>
            </w:r>
            <w:r w:rsidR="00426415" w:rsidRPr="00873F9B">
              <w:rPr>
                <w:szCs w:val="22"/>
                <w:lang w:val="el-GR"/>
              </w:rPr>
              <w:t xml:space="preserve">, </w:t>
            </w:r>
            <w:r w:rsidRPr="00873F9B">
              <w:rPr>
                <w:szCs w:val="22"/>
                <w:lang w:val="el-GR" w:eastAsia="sv-SE"/>
              </w:rPr>
              <w:t>υπονατριαιμία</w:t>
            </w:r>
          </w:p>
        </w:tc>
      </w:tr>
      <w:tr w:rsidR="00BF291C" w:rsidRPr="00873F9B">
        <w:tc>
          <w:tcPr>
            <w:tcW w:w="4590" w:type="dxa"/>
          </w:tcPr>
          <w:p w:rsidR="00BF291C" w:rsidRPr="00873F9B" w:rsidRDefault="003E7030" w:rsidP="00AA11F5">
            <w:pPr>
              <w:jc w:val="both"/>
              <w:rPr>
                <w:b/>
                <w:szCs w:val="22"/>
              </w:rPr>
            </w:pPr>
            <w:r w:rsidRPr="00873F9B">
              <w:rPr>
                <w:b/>
                <w:szCs w:val="22"/>
                <w:lang w:val="el-GR"/>
              </w:rPr>
              <w:t>Διαταραχές του νευρικού συστήματος</w:t>
            </w:r>
          </w:p>
        </w:tc>
        <w:tc>
          <w:tcPr>
            <w:tcW w:w="4698" w:type="dxa"/>
          </w:tcPr>
          <w:p w:rsidR="00BF291C" w:rsidRPr="00873F9B" w:rsidRDefault="00BF291C" w:rsidP="00AA11F5">
            <w:pPr>
              <w:jc w:val="both"/>
              <w:rPr>
                <w:szCs w:val="22"/>
              </w:rPr>
            </w:pPr>
          </w:p>
        </w:tc>
      </w:tr>
      <w:tr w:rsidR="00BF291C" w:rsidRPr="00873F9B">
        <w:tc>
          <w:tcPr>
            <w:tcW w:w="4590" w:type="dxa"/>
          </w:tcPr>
          <w:p w:rsidR="00BF291C" w:rsidRPr="00873F9B" w:rsidRDefault="00125F20" w:rsidP="00AA11F5">
            <w:pPr>
              <w:jc w:val="both"/>
              <w:rPr>
                <w:szCs w:val="22"/>
              </w:rPr>
            </w:pPr>
            <w:r w:rsidRPr="00873F9B">
              <w:rPr>
                <w:rFonts w:eastAsia="PMingLiU"/>
                <w:szCs w:val="22"/>
                <w:lang w:val="el-GR" w:eastAsia="zh-TW"/>
              </w:rPr>
              <w:t>Συχνές</w:t>
            </w:r>
          </w:p>
        </w:tc>
        <w:tc>
          <w:tcPr>
            <w:tcW w:w="4698" w:type="dxa"/>
          </w:tcPr>
          <w:p w:rsidR="00BF291C" w:rsidRPr="00873F9B" w:rsidRDefault="003E7030" w:rsidP="00AA11F5">
            <w:pPr>
              <w:jc w:val="both"/>
              <w:rPr>
                <w:szCs w:val="22"/>
                <w:lang w:val="el-GR"/>
              </w:rPr>
            </w:pPr>
            <w:r w:rsidRPr="00873F9B">
              <w:rPr>
                <w:szCs w:val="22"/>
                <w:lang w:val="el-GR"/>
              </w:rPr>
              <w:t>Ζάλη</w:t>
            </w:r>
            <w:r w:rsidR="00BF291C" w:rsidRPr="00873F9B">
              <w:rPr>
                <w:szCs w:val="22"/>
              </w:rPr>
              <w:t>,</w:t>
            </w:r>
            <w:r w:rsidR="00BF291C" w:rsidRPr="00873F9B">
              <w:rPr>
                <w:szCs w:val="22"/>
                <w:vertAlign w:val="superscript"/>
              </w:rPr>
              <w:t xml:space="preserve"> </w:t>
            </w:r>
            <w:r w:rsidRPr="00873F9B">
              <w:rPr>
                <w:szCs w:val="22"/>
                <w:lang w:val="el-GR"/>
              </w:rPr>
              <w:t>Ζάλη θέσης</w:t>
            </w:r>
          </w:p>
        </w:tc>
      </w:tr>
      <w:tr w:rsidR="00BF291C" w:rsidRPr="00873F9B">
        <w:tc>
          <w:tcPr>
            <w:tcW w:w="4590" w:type="dxa"/>
          </w:tcPr>
          <w:p w:rsidR="00BF291C" w:rsidRPr="00873F9B" w:rsidRDefault="00434D21" w:rsidP="00AA11F5">
            <w:pPr>
              <w:jc w:val="both"/>
              <w:rPr>
                <w:szCs w:val="22"/>
              </w:rPr>
            </w:pPr>
            <w:r w:rsidRPr="00873F9B">
              <w:rPr>
                <w:rFonts w:eastAsia="PMingLiU"/>
                <w:szCs w:val="22"/>
                <w:lang w:val="el-GR" w:eastAsia="zh-TW"/>
              </w:rPr>
              <w:t>Όχι συχνές</w:t>
            </w:r>
          </w:p>
        </w:tc>
        <w:tc>
          <w:tcPr>
            <w:tcW w:w="4698" w:type="dxa"/>
          </w:tcPr>
          <w:p w:rsidR="00BF291C" w:rsidRPr="00873F9B" w:rsidRDefault="003E7030" w:rsidP="00AA11F5">
            <w:pPr>
              <w:jc w:val="both"/>
              <w:rPr>
                <w:szCs w:val="22"/>
                <w:lang w:val="el-GR"/>
              </w:rPr>
            </w:pPr>
            <w:r w:rsidRPr="00873F9B">
              <w:rPr>
                <w:szCs w:val="22"/>
                <w:lang w:val="el-GR"/>
              </w:rPr>
              <w:t>Συγκοπή</w:t>
            </w:r>
            <w:r w:rsidR="00BF291C" w:rsidRPr="00873F9B">
              <w:rPr>
                <w:szCs w:val="22"/>
              </w:rPr>
              <w:t xml:space="preserve">, </w:t>
            </w:r>
            <w:r w:rsidRPr="00873F9B">
              <w:rPr>
                <w:szCs w:val="22"/>
                <w:lang w:val="el-GR"/>
              </w:rPr>
              <w:t>Κεφαλαλγία</w:t>
            </w:r>
          </w:p>
        </w:tc>
      </w:tr>
      <w:tr w:rsidR="00BF291C" w:rsidRPr="00873F9B">
        <w:tc>
          <w:tcPr>
            <w:tcW w:w="9288" w:type="dxa"/>
            <w:gridSpan w:val="2"/>
          </w:tcPr>
          <w:p w:rsidR="00BF291C" w:rsidRPr="00873F9B" w:rsidRDefault="00BD0DF9" w:rsidP="00AA11F5">
            <w:pPr>
              <w:jc w:val="both"/>
              <w:rPr>
                <w:b/>
                <w:szCs w:val="22"/>
                <w:lang w:val="el-GR"/>
              </w:rPr>
            </w:pPr>
            <w:r w:rsidRPr="00873F9B">
              <w:rPr>
                <w:b/>
                <w:szCs w:val="22"/>
                <w:lang w:val="el-GR"/>
              </w:rPr>
              <w:t>Διαταραχές του ωτός και του λαβυρίνθου</w:t>
            </w:r>
          </w:p>
        </w:tc>
      </w:tr>
      <w:tr w:rsidR="00BF291C" w:rsidRPr="00873F9B">
        <w:tc>
          <w:tcPr>
            <w:tcW w:w="4590" w:type="dxa"/>
          </w:tcPr>
          <w:p w:rsidR="00BF291C" w:rsidRPr="00873F9B" w:rsidRDefault="00434D21" w:rsidP="00AA11F5">
            <w:pPr>
              <w:jc w:val="both"/>
              <w:rPr>
                <w:szCs w:val="22"/>
              </w:rPr>
            </w:pPr>
            <w:r w:rsidRPr="00873F9B">
              <w:rPr>
                <w:rFonts w:eastAsia="PMingLiU"/>
                <w:szCs w:val="22"/>
                <w:lang w:val="el-GR" w:eastAsia="zh-TW"/>
              </w:rPr>
              <w:t>Όχι συχνές</w:t>
            </w:r>
          </w:p>
        </w:tc>
        <w:tc>
          <w:tcPr>
            <w:tcW w:w="4698" w:type="dxa"/>
          </w:tcPr>
          <w:p w:rsidR="00BF291C" w:rsidRPr="00873F9B" w:rsidRDefault="00BD0DF9" w:rsidP="00AA11F5">
            <w:pPr>
              <w:jc w:val="both"/>
              <w:rPr>
                <w:szCs w:val="22"/>
                <w:lang w:val="el-GR"/>
              </w:rPr>
            </w:pPr>
            <w:r w:rsidRPr="00873F9B">
              <w:rPr>
                <w:szCs w:val="22"/>
                <w:lang w:val="el-GR"/>
              </w:rPr>
              <w:t>Ίλιγγος</w:t>
            </w:r>
          </w:p>
        </w:tc>
      </w:tr>
      <w:tr w:rsidR="00BF291C" w:rsidRPr="00873F9B">
        <w:tc>
          <w:tcPr>
            <w:tcW w:w="9288" w:type="dxa"/>
            <w:gridSpan w:val="2"/>
          </w:tcPr>
          <w:p w:rsidR="00BF291C" w:rsidRPr="00873F9B" w:rsidRDefault="00BD0DF9" w:rsidP="00AA11F5">
            <w:pPr>
              <w:jc w:val="both"/>
              <w:rPr>
                <w:b/>
                <w:szCs w:val="22"/>
              </w:rPr>
            </w:pPr>
            <w:r w:rsidRPr="00873F9B">
              <w:rPr>
                <w:b/>
                <w:szCs w:val="22"/>
                <w:lang w:val="el-GR"/>
              </w:rPr>
              <w:t>Καρδιακές διαταραχές</w:t>
            </w:r>
          </w:p>
        </w:tc>
      </w:tr>
      <w:tr w:rsidR="00BF291C" w:rsidRPr="00873F9B">
        <w:tc>
          <w:tcPr>
            <w:tcW w:w="4590" w:type="dxa"/>
          </w:tcPr>
          <w:p w:rsidR="00BF291C" w:rsidRPr="00873F9B" w:rsidRDefault="00434D21" w:rsidP="00AA11F5">
            <w:pPr>
              <w:jc w:val="both"/>
              <w:rPr>
                <w:szCs w:val="22"/>
              </w:rPr>
            </w:pPr>
            <w:r w:rsidRPr="00873F9B">
              <w:rPr>
                <w:rFonts w:eastAsia="PMingLiU"/>
                <w:szCs w:val="22"/>
                <w:lang w:val="el-GR" w:eastAsia="zh-TW"/>
              </w:rPr>
              <w:t>Όχι συχνές</w:t>
            </w:r>
          </w:p>
        </w:tc>
        <w:tc>
          <w:tcPr>
            <w:tcW w:w="4698" w:type="dxa"/>
          </w:tcPr>
          <w:p w:rsidR="00BF291C" w:rsidRPr="00873F9B" w:rsidRDefault="00BD0DF9" w:rsidP="00AA11F5">
            <w:pPr>
              <w:jc w:val="both"/>
              <w:rPr>
                <w:szCs w:val="22"/>
                <w:lang w:val="el-GR"/>
              </w:rPr>
            </w:pPr>
            <w:r w:rsidRPr="00873F9B">
              <w:rPr>
                <w:szCs w:val="22"/>
                <w:lang w:val="el-GR"/>
              </w:rPr>
              <w:t>Καρδιακή ανεπάρκεια</w:t>
            </w:r>
          </w:p>
        </w:tc>
      </w:tr>
      <w:tr w:rsidR="00BF291C" w:rsidRPr="00873F9B">
        <w:tc>
          <w:tcPr>
            <w:tcW w:w="9288" w:type="dxa"/>
            <w:gridSpan w:val="2"/>
          </w:tcPr>
          <w:p w:rsidR="00BF291C" w:rsidRPr="00873F9B" w:rsidRDefault="00BD0DF9" w:rsidP="00AA11F5">
            <w:pPr>
              <w:jc w:val="both"/>
              <w:rPr>
                <w:b/>
                <w:szCs w:val="22"/>
                <w:lang w:val="el-GR"/>
              </w:rPr>
            </w:pPr>
            <w:r w:rsidRPr="00873F9B">
              <w:rPr>
                <w:b/>
                <w:szCs w:val="22"/>
                <w:lang w:val="el-GR"/>
              </w:rPr>
              <w:t>Αγγειακές διαταραχές</w:t>
            </w:r>
          </w:p>
        </w:tc>
      </w:tr>
      <w:tr w:rsidR="00BF291C" w:rsidRPr="00873F9B">
        <w:tc>
          <w:tcPr>
            <w:tcW w:w="4590" w:type="dxa"/>
          </w:tcPr>
          <w:p w:rsidR="00BF291C" w:rsidRPr="00873F9B" w:rsidRDefault="00125F20" w:rsidP="00AA11F5">
            <w:pPr>
              <w:jc w:val="both"/>
              <w:rPr>
                <w:szCs w:val="22"/>
              </w:rPr>
            </w:pPr>
            <w:r w:rsidRPr="00873F9B">
              <w:rPr>
                <w:rFonts w:eastAsia="PMingLiU"/>
                <w:szCs w:val="22"/>
                <w:lang w:val="el-GR" w:eastAsia="zh-TW"/>
              </w:rPr>
              <w:t>Συχνές</w:t>
            </w:r>
          </w:p>
        </w:tc>
        <w:tc>
          <w:tcPr>
            <w:tcW w:w="4698" w:type="dxa"/>
          </w:tcPr>
          <w:p w:rsidR="00BF291C" w:rsidRPr="00873F9B" w:rsidRDefault="00137581" w:rsidP="00AA11F5">
            <w:pPr>
              <w:jc w:val="both"/>
              <w:rPr>
                <w:szCs w:val="22"/>
                <w:lang w:val="el-GR"/>
              </w:rPr>
            </w:pPr>
            <w:r w:rsidRPr="00873F9B">
              <w:rPr>
                <w:szCs w:val="22"/>
                <w:lang w:val="el-GR"/>
              </w:rPr>
              <w:t>Υπόταση</w:t>
            </w:r>
            <w:r w:rsidR="00BF291C" w:rsidRPr="00873F9B">
              <w:rPr>
                <w:szCs w:val="22"/>
              </w:rPr>
              <w:t xml:space="preserve">, </w:t>
            </w:r>
            <w:r w:rsidRPr="00873F9B">
              <w:rPr>
                <w:szCs w:val="22"/>
                <w:lang w:val="el-GR"/>
              </w:rPr>
              <w:t>Ορθοστατική υπόταση</w:t>
            </w:r>
          </w:p>
        </w:tc>
      </w:tr>
      <w:tr w:rsidR="00BF291C" w:rsidRPr="00873F9B">
        <w:tc>
          <w:tcPr>
            <w:tcW w:w="4590" w:type="dxa"/>
          </w:tcPr>
          <w:p w:rsidR="00BF291C" w:rsidRPr="00873F9B" w:rsidRDefault="000A6C1E" w:rsidP="00AA11F5">
            <w:pPr>
              <w:jc w:val="both"/>
              <w:rPr>
                <w:szCs w:val="22"/>
              </w:rPr>
            </w:pPr>
            <w:r w:rsidRPr="00873F9B">
              <w:rPr>
                <w:rFonts w:eastAsia="PMingLiU"/>
                <w:szCs w:val="22"/>
                <w:lang w:val="el-GR" w:eastAsia="zh-TW"/>
              </w:rPr>
              <w:t>Μη γνωστές</w:t>
            </w:r>
          </w:p>
        </w:tc>
        <w:tc>
          <w:tcPr>
            <w:tcW w:w="4698" w:type="dxa"/>
          </w:tcPr>
          <w:p w:rsidR="00BF291C" w:rsidRPr="00873F9B" w:rsidRDefault="00137581" w:rsidP="00AA11F5">
            <w:pPr>
              <w:jc w:val="both"/>
              <w:rPr>
                <w:szCs w:val="22"/>
                <w:lang w:val="el-GR"/>
              </w:rPr>
            </w:pPr>
            <w:r w:rsidRPr="00873F9B">
              <w:rPr>
                <w:szCs w:val="22"/>
                <w:lang w:val="el-GR"/>
              </w:rPr>
              <w:t>Αγγειίτιδα</w:t>
            </w:r>
          </w:p>
        </w:tc>
      </w:tr>
      <w:tr w:rsidR="00BF291C" w:rsidRPr="00873F9B">
        <w:tc>
          <w:tcPr>
            <w:tcW w:w="9288" w:type="dxa"/>
            <w:gridSpan w:val="2"/>
          </w:tcPr>
          <w:p w:rsidR="00BF291C" w:rsidRPr="00873F9B" w:rsidRDefault="00CA6335" w:rsidP="00AA11F5">
            <w:pPr>
              <w:jc w:val="both"/>
              <w:rPr>
                <w:b/>
                <w:szCs w:val="22"/>
                <w:lang w:val="el-GR"/>
              </w:rPr>
            </w:pPr>
            <w:r w:rsidRPr="00873F9B">
              <w:rPr>
                <w:b/>
                <w:szCs w:val="22"/>
                <w:lang w:val="el-GR"/>
              </w:rPr>
              <w:t>Διαταραχές του αναπνευστικού συστήματος, του θώρακα και του μεσοθωράκιου</w:t>
            </w:r>
          </w:p>
        </w:tc>
      </w:tr>
      <w:tr w:rsidR="00BF291C" w:rsidRPr="00873F9B">
        <w:tc>
          <w:tcPr>
            <w:tcW w:w="4590" w:type="dxa"/>
          </w:tcPr>
          <w:p w:rsidR="00BF291C" w:rsidRPr="00873F9B" w:rsidRDefault="00434D21" w:rsidP="00AA11F5">
            <w:pPr>
              <w:jc w:val="both"/>
              <w:rPr>
                <w:szCs w:val="22"/>
              </w:rPr>
            </w:pPr>
            <w:r w:rsidRPr="00873F9B">
              <w:rPr>
                <w:rFonts w:eastAsia="PMingLiU"/>
                <w:szCs w:val="22"/>
                <w:lang w:val="el-GR" w:eastAsia="zh-TW"/>
              </w:rPr>
              <w:t>Όχι συχνές</w:t>
            </w:r>
          </w:p>
        </w:tc>
        <w:tc>
          <w:tcPr>
            <w:tcW w:w="4698" w:type="dxa"/>
          </w:tcPr>
          <w:p w:rsidR="00BF291C" w:rsidRPr="00873F9B" w:rsidRDefault="00CA6335" w:rsidP="00AA11F5">
            <w:pPr>
              <w:jc w:val="both"/>
              <w:rPr>
                <w:szCs w:val="22"/>
                <w:lang w:val="el-GR"/>
              </w:rPr>
            </w:pPr>
            <w:r w:rsidRPr="00873F9B">
              <w:rPr>
                <w:szCs w:val="22"/>
                <w:lang w:val="el-GR"/>
              </w:rPr>
              <w:t>Βήχας</w:t>
            </w:r>
          </w:p>
        </w:tc>
      </w:tr>
      <w:tr w:rsidR="00BF291C" w:rsidRPr="00873F9B">
        <w:tc>
          <w:tcPr>
            <w:tcW w:w="9288" w:type="dxa"/>
            <w:gridSpan w:val="2"/>
          </w:tcPr>
          <w:p w:rsidR="00BF291C" w:rsidRPr="00873F9B" w:rsidRDefault="00CB6E11" w:rsidP="00AA11F5">
            <w:pPr>
              <w:jc w:val="both"/>
              <w:rPr>
                <w:b/>
                <w:szCs w:val="22"/>
                <w:lang w:val="el-GR"/>
              </w:rPr>
            </w:pPr>
            <w:r w:rsidRPr="00873F9B">
              <w:rPr>
                <w:b/>
                <w:szCs w:val="22"/>
                <w:lang w:val="el-GR"/>
              </w:rPr>
              <w:t>Διαταραχές του γαστρεντερικού συστήματος</w:t>
            </w:r>
          </w:p>
        </w:tc>
      </w:tr>
      <w:tr w:rsidR="00BF291C" w:rsidRPr="00873F9B">
        <w:tc>
          <w:tcPr>
            <w:tcW w:w="4590" w:type="dxa"/>
          </w:tcPr>
          <w:p w:rsidR="00BF291C" w:rsidRPr="00873F9B" w:rsidRDefault="00434D21" w:rsidP="00AA11F5">
            <w:pPr>
              <w:jc w:val="both"/>
              <w:rPr>
                <w:szCs w:val="22"/>
              </w:rPr>
            </w:pPr>
            <w:r w:rsidRPr="00873F9B">
              <w:rPr>
                <w:rFonts w:eastAsia="PMingLiU"/>
                <w:szCs w:val="22"/>
                <w:lang w:val="el-GR" w:eastAsia="zh-TW"/>
              </w:rPr>
              <w:t>Όχι συχνές</w:t>
            </w:r>
          </w:p>
        </w:tc>
        <w:tc>
          <w:tcPr>
            <w:tcW w:w="4698" w:type="dxa"/>
          </w:tcPr>
          <w:p w:rsidR="00BF291C" w:rsidRPr="00873F9B" w:rsidRDefault="00CB6E11" w:rsidP="00AA11F5">
            <w:pPr>
              <w:jc w:val="both"/>
              <w:rPr>
                <w:szCs w:val="22"/>
              </w:rPr>
            </w:pPr>
            <w:r w:rsidRPr="00873F9B">
              <w:rPr>
                <w:rFonts w:eastAsia="PMingLiU"/>
                <w:szCs w:val="22"/>
                <w:lang w:val="el-GR" w:eastAsia="zh-TW"/>
              </w:rPr>
              <w:t>Ναυτία, Διάρροια</w:t>
            </w:r>
          </w:p>
        </w:tc>
      </w:tr>
      <w:tr w:rsidR="00BF291C" w:rsidRPr="00873F9B">
        <w:tc>
          <w:tcPr>
            <w:tcW w:w="9288" w:type="dxa"/>
            <w:gridSpan w:val="2"/>
          </w:tcPr>
          <w:p w:rsidR="00BF291C" w:rsidRPr="00873F9B" w:rsidRDefault="00CB6E11" w:rsidP="00AA11F5">
            <w:pPr>
              <w:jc w:val="both"/>
              <w:rPr>
                <w:b/>
                <w:szCs w:val="22"/>
                <w:lang w:val="el-GR"/>
              </w:rPr>
            </w:pPr>
            <w:r w:rsidRPr="00873F9B">
              <w:rPr>
                <w:b/>
                <w:szCs w:val="22"/>
                <w:lang w:val="el-GR"/>
              </w:rPr>
              <w:t>Διαταραχές του ήπατος και των χοληφόρων</w:t>
            </w:r>
          </w:p>
        </w:tc>
      </w:tr>
      <w:tr w:rsidR="00BF291C" w:rsidRPr="00873F9B">
        <w:tc>
          <w:tcPr>
            <w:tcW w:w="4590" w:type="dxa"/>
          </w:tcPr>
          <w:p w:rsidR="00BF291C" w:rsidRPr="00873F9B" w:rsidRDefault="000A6C1E" w:rsidP="00AA11F5">
            <w:pPr>
              <w:jc w:val="both"/>
              <w:rPr>
                <w:szCs w:val="22"/>
              </w:rPr>
            </w:pPr>
            <w:r w:rsidRPr="00873F9B">
              <w:rPr>
                <w:rFonts w:eastAsia="PMingLiU"/>
                <w:szCs w:val="22"/>
                <w:lang w:val="el-GR" w:eastAsia="zh-TW"/>
              </w:rPr>
              <w:t>Μη γνωστές</w:t>
            </w:r>
          </w:p>
        </w:tc>
        <w:tc>
          <w:tcPr>
            <w:tcW w:w="4698" w:type="dxa"/>
          </w:tcPr>
          <w:p w:rsidR="00BF291C" w:rsidRPr="00873F9B" w:rsidRDefault="00A61154" w:rsidP="00AA11F5">
            <w:pPr>
              <w:jc w:val="both"/>
              <w:rPr>
                <w:szCs w:val="22"/>
                <w:lang w:val="el-GR"/>
              </w:rPr>
            </w:pPr>
            <w:r w:rsidRPr="00873F9B">
              <w:rPr>
                <w:rFonts w:eastAsia="PMingLiU"/>
                <w:szCs w:val="22"/>
                <w:lang w:val="el-GR" w:eastAsia="zh-TW"/>
              </w:rPr>
              <w:t>Αύξηση των τιμών της ηπατικής λειτουργίας</w:t>
            </w:r>
          </w:p>
        </w:tc>
      </w:tr>
      <w:tr w:rsidR="00BF291C" w:rsidRPr="00873F9B">
        <w:tc>
          <w:tcPr>
            <w:tcW w:w="9288" w:type="dxa"/>
            <w:gridSpan w:val="2"/>
          </w:tcPr>
          <w:p w:rsidR="00BF291C" w:rsidRPr="00873F9B" w:rsidRDefault="00A61154" w:rsidP="00AA11F5">
            <w:pPr>
              <w:jc w:val="both"/>
              <w:rPr>
                <w:b/>
                <w:szCs w:val="22"/>
                <w:lang w:val="el-GR"/>
              </w:rPr>
            </w:pPr>
            <w:r w:rsidRPr="00873F9B">
              <w:rPr>
                <w:b/>
                <w:szCs w:val="22"/>
                <w:lang w:val="el-GR"/>
              </w:rPr>
              <w:t>Διαταραχές του δέρματος και του υποδόριου ιστού</w:t>
            </w:r>
          </w:p>
        </w:tc>
      </w:tr>
      <w:tr w:rsidR="00BF291C" w:rsidRPr="00873F9B">
        <w:tc>
          <w:tcPr>
            <w:tcW w:w="4590" w:type="dxa"/>
          </w:tcPr>
          <w:p w:rsidR="00BF291C" w:rsidRPr="00873F9B" w:rsidRDefault="00434D21" w:rsidP="00AA11F5">
            <w:pPr>
              <w:jc w:val="both"/>
              <w:rPr>
                <w:szCs w:val="22"/>
              </w:rPr>
            </w:pPr>
            <w:r w:rsidRPr="00873F9B">
              <w:rPr>
                <w:rFonts w:eastAsia="PMingLiU"/>
                <w:szCs w:val="22"/>
                <w:lang w:val="el-GR" w:eastAsia="zh-TW"/>
              </w:rPr>
              <w:t>Όχι συχνές</w:t>
            </w:r>
          </w:p>
        </w:tc>
        <w:tc>
          <w:tcPr>
            <w:tcW w:w="4698" w:type="dxa"/>
          </w:tcPr>
          <w:p w:rsidR="00BF291C" w:rsidRPr="00873F9B" w:rsidRDefault="006873A8" w:rsidP="00AA11F5">
            <w:pPr>
              <w:jc w:val="both"/>
              <w:rPr>
                <w:szCs w:val="22"/>
                <w:lang w:val="el-GR"/>
              </w:rPr>
            </w:pPr>
            <w:r w:rsidRPr="00873F9B">
              <w:rPr>
                <w:szCs w:val="22"/>
                <w:lang w:val="el-GR"/>
              </w:rPr>
              <w:t>Αγγειοοίδημα</w:t>
            </w:r>
          </w:p>
        </w:tc>
      </w:tr>
      <w:tr w:rsidR="00BF291C" w:rsidRPr="00873F9B">
        <w:tc>
          <w:tcPr>
            <w:tcW w:w="4590" w:type="dxa"/>
          </w:tcPr>
          <w:p w:rsidR="00BF291C" w:rsidRPr="00873F9B" w:rsidRDefault="00125F20" w:rsidP="00AA11F5">
            <w:pPr>
              <w:jc w:val="both"/>
              <w:rPr>
                <w:szCs w:val="22"/>
              </w:rPr>
            </w:pPr>
            <w:r w:rsidRPr="00873F9B">
              <w:rPr>
                <w:rFonts w:eastAsia="PMingLiU"/>
                <w:szCs w:val="22"/>
                <w:lang w:val="el-GR" w:eastAsia="zh-TW"/>
              </w:rPr>
              <w:t>Μη γνωστές</w:t>
            </w:r>
          </w:p>
        </w:tc>
        <w:tc>
          <w:tcPr>
            <w:tcW w:w="4698" w:type="dxa"/>
          </w:tcPr>
          <w:p w:rsidR="00BF291C" w:rsidRPr="00873F9B" w:rsidRDefault="006873A8" w:rsidP="00AA11F5">
            <w:pPr>
              <w:jc w:val="both"/>
              <w:rPr>
                <w:szCs w:val="22"/>
                <w:lang w:val="el-GR"/>
              </w:rPr>
            </w:pPr>
            <w:r w:rsidRPr="00873F9B">
              <w:rPr>
                <w:szCs w:val="22"/>
                <w:lang w:val="el-GR"/>
              </w:rPr>
              <w:t>Εξάνθημα</w:t>
            </w:r>
            <w:r w:rsidR="00BF291C" w:rsidRPr="00873F9B">
              <w:rPr>
                <w:szCs w:val="22"/>
              </w:rPr>
              <w:t xml:space="preserve">, </w:t>
            </w:r>
            <w:r w:rsidRPr="00873F9B">
              <w:rPr>
                <w:szCs w:val="22"/>
                <w:lang w:val="el-GR"/>
              </w:rPr>
              <w:t>Κνησμός</w:t>
            </w:r>
          </w:p>
        </w:tc>
      </w:tr>
      <w:tr w:rsidR="00BF291C" w:rsidRPr="00873F9B">
        <w:tc>
          <w:tcPr>
            <w:tcW w:w="9288" w:type="dxa"/>
            <w:gridSpan w:val="2"/>
          </w:tcPr>
          <w:p w:rsidR="00BF291C" w:rsidRPr="00873F9B" w:rsidRDefault="006873A8" w:rsidP="00AA11F5">
            <w:pPr>
              <w:jc w:val="both"/>
              <w:rPr>
                <w:b/>
                <w:szCs w:val="22"/>
                <w:lang w:val="el-GR"/>
              </w:rPr>
            </w:pPr>
            <w:r w:rsidRPr="00873F9B">
              <w:rPr>
                <w:b/>
                <w:szCs w:val="22"/>
                <w:lang w:val="el-GR"/>
              </w:rPr>
              <w:t>Διαταραχές του μυοσκελετικού συστήματος και του συνδετικού ιστού</w:t>
            </w:r>
          </w:p>
        </w:tc>
      </w:tr>
      <w:tr w:rsidR="00BF291C" w:rsidRPr="00873F9B">
        <w:tc>
          <w:tcPr>
            <w:tcW w:w="4590" w:type="dxa"/>
          </w:tcPr>
          <w:p w:rsidR="00BF291C" w:rsidRPr="00873F9B" w:rsidRDefault="000A6C1E" w:rsidP="00AA11F5">
            <w:pPr>
              <w:jc w:val="both"/>
              <w:rPr>
                <w:szCs w:val="22"/>
              </w:rPr>
            </w:pPr>
            <w:r w:rsidRPr="00873F9B">
              <w:rPr>
                <w:rFonts w:eastAsia="PMingLiU"/>
                <w:szCs w:val="22"/>
                <w:lang w:val="el-GR" w:eastAsia="zh-TW"/>
              </w:rPr>
              <w:t>Μη γνωστές</w:t>
            </w:r>
          </w:p>
        </w:tc>
        <w:tc>
          <w:tcPr>
            <w:tcW w:w="4698" w:type="dxa"/>
          </w:tcPr>
          <w:p w:rsidR="00BF291C" w:rsidRPr="00873F9B" w:rsidRDefault="006873A8" w:rsidP="00AA11F5">
            <w:pPr>
              <w:jc w:val="both"/>
              <w:rPr>
                <w:szCs w:val="22"/>
                <w:lang w:val="el-GR"/>
              </w:rPr>
            </w:pPr>
            <w:r w:rsidRPr="00873F9B">
              <w:rPr>
                <w:szCs w:val="22"/>
                <w:lang w:val="el-GR"/>
              </w:rPr>
              <w:t>Μυαλγία</w:t>
            </w:r>
          </w:p>
        </w:tc>
      </w:tr>
      <w:tr w:rsidR="00BF291C" w:rsidRPr="00873F9B">
        <w:tc>
          <w:tcPr>
            <w:tcW w:w="9288" w:type="dxa"/>
            <w:gridSpan w:val="2"/>
          </w:tcPr>
          <w:p w:rsidR="00BF291C" w:rsidRPr="00873F9B" w:rsidRDefault="00F82889" w:rsidP="00AA11F5">
            <w:pPr>
              <w:jc w:val="both"/>
              <w:rPr>
                <w:b/>
                <w:szCs w:val="22"/>
                <w:lang w:val="el-GR"/>
              </w:rPr>
            </w:pPr>
            <w:r w:rsidRPr="00873F9B">
              <w:rPr>
                <w:b/>
                <w:szCs w:val="22"/>
                <w:lang w:val="el-GR"/>
              </w:rPr>
              <w:t>Διαταραχές των νεφρών και των ουροφόρων οδών</w:t>
            </w:r>
          </w:p>
        </w:tc>
      </w:tr>
      <w:tr w:rsidR="00BF291C" w:rsidRPr="00873F9B">
        <w:tc>
          <w:tcPr>
            <w:tcW w:w="4590" w:type="dxa"/>
          </w:tcPr>
          <w:p w:rsidR="00BF291C" w:rsidRPr="00873F9B" w:rsidRDefault="00125F20" w:rsidP="00AA11F5">
            <w:pPr>
              <w:jc w:val="both"/>
              <w:rPr>
                <w:szCs w:val="22"/>
              </w:rPr>
            </w:pPr>
            <w:r w:rsidRPr="00873F9B">
              <w:rPr>
                <w:rFonts w:eastAsia="PMingLiU"/>
                <w:szCs w:val="22"/>
                <w:lang w:val="el-GR" w:eastAsia="zh-TW"/>
              </w:rPr>
              <w:t>Συχνές</w:t>
            </w:r>
          </w:p>
        </w:tc>
        <w:tc>
          <w:tcPr>
            <w:tcW w:w="4698" w:type="dxa"/>
          </w:tcPr>
          <w:p w:rsidR="00BF291C" w:rsidRPr="00873F9B" w:rsidRDefault="008A767D" w:rsidP="00AA11F5">
            <w:pPr>
              <w:jc w:val="both"/>
              <w:rPr>
                <w:szCs w:val="22"/>
              </w:rPr>
            </w:pPr>
            <w:r w:rsidRPr="00873F9B">
              <w:rPr>
                <w:rFonts w:eastAsia="PMingLiU"/>
                <w:szCs w:val="22"/>
                <w:lang w:val="el-GR" w:eastAsia="zh-TW"/>
              </w:rPr>
              <w:t>Νεφρική ανεπάρκεια και δυσλειτουργία</w:t>
            </w:r>
          </w:p>
        </w:tc>
      </w:tr>
      <w:tr w:rsidR="00BF291C" w:rsidRPr="00873F9B">
        <w:tc>
          <w:tcPr>
            <w:tcW w:w="4590" w:type="dxa"/>
          </w:tcPr>
          <w:p w:rsidR="00BF291C" w:rsidRPr="00873F9B" w:rsidRDefault="00434D21" w:rsidP="00AA11F5">
            <w:pPr>
              <w:jc w:val="both"/>
              <w:rPr>
                <w:szCs w:val="22"/>
              </w:rPr>
            </w:pPr>
            <w:r w:rsidRPr="00873F9B">
              <w:rPr>
                <w:rFonts w:eastAsia="PMingLiU"/>
                <w:szCs w:val="22"/>
                <w:lang w:val="el-GR" w:eastAsia="zh-TW"/>
              </w:rPr>
              <w:t>Όχι συχνές</w:t>
            </w:r>
          </w:p>
        </w:tc>
        <w:tc>
          <w:tcPr>
            <w:tcW w:w="4698" w:type="dxa"/>
          </w:tcPr>
          <w:p w:rsidR="00BF291C" w:rsidRPr="00873F9B" w:rsidRDefault="008A767D" w:rsidP="00AA11F5">
            <w:pPr>
              <w:jc w:val="both"/>
              <w:rPr>
                <w:szCs w:val="22"/>
                <w:lang w:val="el-GR"/>
              </w:rPr>
            </w:pPr>
            <w:r w:rsidRPr="00873F9B">
              <w:rPr>
                <w:rFonts w:eastAsia="PMingLiU"/>
                <w:szCs w:val="22"/>
                <w:lang w:val="el-GR" w:eastAsia="zh-TW"/>
              </w:rPr>
              <w:t xml:space="preserve">Οξεία νεφρική ανεπάρκεια, Αύξηση </w:t>
            </w:r>
            <w:r w:rsidR="00B42BE0" w:rsidRPr="00873F9B">
              <w:rPr>
                <w:rFonts w:eastAsia="PMingLiU"/>
                <w:szCs w:val="22"/>
                <w:lang w:val="el-GR" w:eastAsia="zh-TW"/>
              </w:rPr>
              <w:t xml:space="preserve">της </w:t>
            </w:r>
            <w:r w:rsidRPr="00873F9B">
              <w:rPr>
                <w:rFonts w:eastAsia="PMingLiU"/>
                <w:szCs w:val="22"/>
                <w:lang w:val="el-GR" w:eastAsia="zh-TW"/>
              </w:rPr>
              <w:t>κρεατινίνης ορού</w:t>
            </w:r>
          </w:p>
        </w:tc>
      </w:tr>
      <w:tr w:rsidR="00BF291C" w:rsidRPr="00873F9B">
        <w:tc>
          <w:tcPr>
            <w:tcW w:w="4590" w:type="dxa"/>
          </w:tcPr>
          <w:p w:rsidR="00BF291C" w:rsidRPr="00873F9B" w:rsidRDefault="000A6C1E" w:rsidP="00AA11F5">
            <w:pPr>
              <w:jc w:val="both"/>
              <w:rPr>
                <w:szCs w:val="22"/>
              </w:rPr>
            </w:pPr>
            <w:r w:rsidRPr="00873F9B">
              <w:rPr>
                <w:rFonts w:eastAsia="PMingLiU"/>
                <w:szCs w:val="22"/>
                <w:lang w:val="el-GR" w:eastAsia="zh-TW"/>
              </w:rPr>
              <w:t>Μη γνωστές</w:t>
            </w:r>
          </w:p>
        </w:tc>
        <w:tc>
          <w:tcPr>
            <w:tcW w:w="4698" w:type="dxa"/>
          </w:tcPr>
          <w:p w:rsidR="00BF291C" w:rsidRPr="00873F9B" w:rsidRDefault="008A767D" w:rsidP="00AA11F5">
            <w:pPr>
              <w:jc w:val="both"/>
              <w:rPr>
                <w:szCs w:val="22"/>
                <w:lang w:val="el-GR"/>
              </w:rPr>
            </w:pPr>
            <w:r w:rsidRPr="00873F9B">
              <w:rPr>
                <w:rFonts w:eastAsia="PMingLiU"/>
                <w:szCs w:val="22"/>
                <w:lang w:val="el-GR" w:eastAsia="zh-TW"/>
              </w:rPr>
              <w:t>Αύξηση στο άζωτο ουρίας αίματος</w:t>
            </w:r>
          </w:p>
        </w:tc>
      </w:tr>
      <w:tr w:rsidR="00BF291C" w:rsidRPr="00873F9B">
        <w:tc>
          <w:tcPr>
            <w:tcW w:w="9288" w:type="dxa"/>
            <w:gridSpan w:val="2"/>
          </w:tcPr>
          <w:p w:rsidR="00BF291C" w:rsidRPr="00873F9B" w:rsidRDefault="0058474C" w:rsidP="00AA11F5">
            <w:pPr>
              <w:jc w:val="both"/>
              <w:rPr>
                <w:b/>
                <w:szCs w:val="22"/>
                <w:lang w:val="el-GR"/>
              </w:rPr>
            </w:pPr>
            <w:r w:rsidRPr="00873F9B">
              <w:rPr>
                <w:b/>
                <w:szCs w:val="22"/>
                <w:lang w:val="el-GR"/>
              </w:rPr>
              <w:t>Γενικές διαταραχές και καταστάσεις της οδού χορήγησης</w:t>
            </w:r>
          </w:p>
        </w:tc>
      </w:tr>
      <w:tr w:rsidR="00BF291C" w:rsidRPr="00873F9B">
        <w:tc>
          <w:tcPr>
            <w:tcW w:w="4590" w:type="dxa"/>
          </w:tcPr>
          <w:p w:rsidR="00BF291C" w:rsidRPr="00873F9B" w:rsidRDefault="00B76109" w:rsidP="00AA11F5">
            <w:pPr>
              <w:jc w:val="both"/>
              <w:rPr>
                <w:szCs w:val="22"/>
              </w:rPr>
            </w:pPr>
            <w:r w:rsidRPr="00873F9B">
              <w:rPr>
                <w:rFonts w:eastAsia="PMingLiU"/>
                <w:szCs w:val="22"/>
                <w:lang w:val="el-GR" w:eastAsia="zh-TW"/>
              </w:rPr>
              <w:t>Όχι συχνές</w:t>
            </w:r>
          </w:p>
        </w:tc>
        <w:tc>
          <w:tcPr>
            <w:tcW w:w="4698" w:type="dxa"/>
          </w:tcPr>
          <w:p w:rsidR="00BF291C" w:rsidRPr="00873F9B" w:rsidRDefault="00B76109" w:rsidP="00AA11F5">
            <w:pPr>
              <w:jc w:val="both"/>
              <w:rPr>
                <w:szCs w:val="22"/>
              </w:rPr>
            </w:pPr>
            <w:r w:rsidRPr="00873F9B">
              <w:rPr>
                <w:rFonts w:eastAsia="PMingLiU"/>
                <w:szCs w:val="22"/>
                <w:lang w:val="el-GR" w:eastAsia="zh-TW"/>
              </w:rPr>
              <w:t>Εξασθένιση, Κόπωση</w:t>
            </w:r>
          </w:p>
        </w:tc>
      </w:tr>
    </w:tbl>
    <w:p w:rsidR="00BF291C" w:rsidRDefault="00BF291C" w:rsidP="00AA11F5">
      <w:pPr>
        <w:jc w:val="both"/>
        <w:rPr>
          <w:szCs w:val="22"/>
          <w:lang w:val="el-GR"/>
        </w:rPr>
      </w:pPr>
    </w:p>
    <w:p w:rsidR="00792262" w:rsidRPr="0090068E" w:rsidRDefault="00792262" w:rsidP="00792262">
      <w:pPr>
        <w:jc w:val="both"/>
        <w:rPr>
          <w:b/>
          <w:szCs w:val="22"/>
          <w:u w:val="single"/>
          <w:lang w:val="el-GR"/>
        </w:rPr>
      </w:pPr>
      <w:r w:rsidRPr="0090068E">
        <w:rPr>
          <w:b/>
          <w:szCs w:val="22"/>
          <w:u w:val="single"/>
          <w:lang w:val="el-GR"/>
        </w:rPr>
        <w:t>Πρόσκληση για αναφορά εικαζόμενων/πιθανολογούμενων ανεπιθύμητων ενεργειών του φαρμάκου</w:t>
      </w:r>
    </w:p>
    <w:p w:rsidR="00792262" w:rsidRPr="00792262" w:rsidRDefault="00792262" w:rsidP="00792262">
      <w:pPr>
        <w:jc w:val="both"/>
        <w:rPr>
          <w:szCs w:val="22"/>
          <w:u w:val="single"/>
          <w:lang w:val="el-GR"/>
        </w:rPr>
      </w:pPr>
      <w:r w:rsidRPr="00792262">
        <w:rPr>
          <w:szCs w:val="22"/>
          <w:u w:val="single"/>
          <w:lang w:val="el-GR"/>
        </w:rPr>
        <w:t>Παρακαλείσθε να αναφέρετε οποιεσδήποτε ανεπιθύμητες ενέργειες που παρουσιάζονται στους ασθενείς</w:t>
      </w:r>
      <w:r>
        <w:rPr>
          <w:szCs w:val="22"/>
          <w:u w:val="single"/>
          <w:lang w:val="el-GR"/>
        </w:rPr>
        <w:t xml:space="preserve"> </w:t>
      </w:r>
      <w:r w:rsidRPr="00792262">
        <w:rPr>
          <w:szCs w:val="22"/>
          <w:u w:val="single"/>
          <w:lang w:val="el-GR"/>
        </w:rPr>
        <w:t>σας οι οποίοι λαμβάνουν Valperol. Κατά την αναφορά, παρακαλείσθε να παρέχετε όσο το δυνατόν</w:t>
      </w:r>
      <w:r>
        <w:rPr>
          <w:szCs w:val="22"/>
          <w:u w:val="single"/>
          <w:lang w:val="el-GR"/>
        </w:rPr>
        <w:t xml:space="preserve"> </w:t>
      </w:r>
      <w:r w:rsidRPr="00792262">
        <w:rPr>
          <w:szCs w:val="22"/>
          <w:u w:val="single"/>
          <w:lang w:val="el-GR"/>
        </w:rPr>
        <w:t>περισσότερες πληροφορίες, συμπεριλαμβανομένων των πληροφοριών σχετικά με το ιατρικό ιστορικό,</w:t>
      </w:r>
      <w:r>
        <w:rPr>
          <w:szCs w:val="22"/>
          <w:u w:val="single"/>
          <w:lang w:val="el-GR"/>
        </w:rPr>
        <w:t xml:space="preserve"> </w:t>
      </w:r>
      <w:r w:rsidRPr="00792262">
        <w:rPr>
          <w:szCs w:val="22"/>
          <w:u w:val="single"/>
          <w:lang w:val="el-GR"/>
        </w:rPr>
        <w:t>οποιαδήποτε συγχορήγηση άλλου φαρμάκου, καθώς και τις ημερομηνίες εμφάνισης και θεραπείας.</w:t>
      </w:r>
    </w:p>
    <w:p w:rsidR="00792262" w:rsidRPr="00792262" w:rsidRDefault="00792262" w:rsidP="00792262">
      <w:pPr>
        <w:jc w:val="both"/>
        <w:rPr>
          <w:szCs w:val="22"/>
          <w:u w:val="single"/>
          <w:lang w:val="el-GR"/>
        </w:rPr>
      </w:pPr>
      <w:r w:rsidRPr="00792262">
        <w:rPr>
          <w:szCs w:val="22"/>
          <w:u w:val="single"/>
          <w:lang w:val="el-GR"/>
        </w:rPr>
        <w:t xml:space="preserve">Υπενθυμίζεται ότι οι ανεπιθύμητες ενέργειες που συνδέονται με τη χρήση του </w:t>
      </w:r>
      <w:r>
        <w:rPr>
          <w:szCs w:val="22"/>
          <w:u w:val="single"/>
          <w:lang w:val="en-US"/>
        </w:rPr>
        <w:t>Valperol</w:t>
      </w:r>
      <w:r w:rsidRPr="00792262">
        <w:rPr>
          <w:szCs w:val="22"/>
          <w:u w:val="single"/>
          <w:lang w:val="el-GR"/>
        </w:rPr>
        <w:t xml:space="preserve"> μπορούν να</w:t>
      </w:r>
      <w:r>
        <w:rPr>
          <w:szCs w:val="22"/>
          <w:u w:val="single"/>
          <w:lang w:val="el-GR"/>
        </w:rPr>
        <w:t xml:space="preserve"> </w:t>
      </w:r>
      <w:r w:rsidRPr="00792262">
        <w:rPr>
          <w:szCs w:val="22"/>
          <w:u w:val="single"/>
          <w:lang w:val="el-GR"/>
        </w:rPr>
        <w:t>αναφέρονται σύμφωνα με το εθνικό σύστημα αυθόρμητων αναφορών στον Εθνικό Οργανισμό Φαρμάκων,</w:t>
      </w:r>
    </w:p>
    <w:p w:rsidR="00792262" w:rsidRDefault="00792262" w:rsidP="00792262">
      <w:pPr>
        <w:jc w:val="both"/>
        <w:rPr>
          <w:szCs w:val="22"/>
          <w:u w:val="single"/>
          <w:lang w:val="en-US"/>
        </w:rPr>
      </w:pPr>
      <w:r w:rsidRPr="00792262">
        <w:rPr>
          <w:szCs w:val="22"/>
          <w:u w:val="single"/>
          <w:lang w:val="el-GR"/>
        </w:rPr>
        <w:t>Τμήμα Ανεπιθύμητων Ενεργειών, με την υποβολή της Κίτρινης Κάρτας με τους εξής τρόπους:</w:t>
      </w:r>
    </w:p>
    <w:p w:rsidR="00792262" w:rsidRPr="0090068E" w:rsidRDefault="00792262" w:rsidP="00792262">
      <w:pPr>
        <w:jc w:val="both"/>
        <w:rPr>
          <w:szCs w:val="22"/>
          <w:u w:val="single"/>
          <w:lang w:val="en-US"/>
        </w:rPr>
      </w:pPr>
    </w:p>
    <w:p w:rsidR="00792262" w:rsidRPr="00792262" w:rsidRDefault="00792262" w:rsidP="00792262">
      <w:pPr>
        <w:ind w:left="284"/>
        <w:jc w:val="both"/>
        <w:rPr>
          <w:szCs w:val="22"/>
          <w:u w:val="single"/>
          <w:lang w:val="el-GR"/>
        </w:rPr>
      </w:pPr>
      <w:r w:rsidRPr="00792262">
        <w:rPr>
          <w:szCs w:val="22"/>
          <w:u w:val="single"/>
          <w:lang w:val="el-GR"/>
        </w:rPr>
        <w:t>- Ηλεκτρονική υποβολή της Κίτρινης Κάρτας μέσω της ιστοσελίδας του ΕΟΦ</w:t>
      </w:r>
      <w:r w:rsidRPr="0090068E">
        <w:rPr>
          <w:szCs w:val="22"/>
          <w:u w:val="single"/>
          <w:lang w:val="el-GR"/>
        </w:rPr>
        <w:t xml:space="preserve"> </w:t>
      </w:r>
      <w:r w:rsidRPr="00792262">
        <w:rPr>
          <w:szCs w:val="22"/>
          <w:u w:val="single"/>
          <w:lang w:val="el-GR"/>
        </w:rPr>
        <w:t>http://www.eof.gr/web/guest/yellowgeneral</w:t>
      </w:r>
    </w:p>
    <w:p w:rsidR="00792262" w:rsidRPr="00792262" w:rsidRDefault="00792262" w:rsidP="00792262">
      <w:pPr>
        <w:ind w:left="284"/>
        <w:jc w:val="both"/>
        <w:rPr>
          <w:szCs w:val="22"/>
          <w:u w:val="single"/>
          <w:lang w:val="el-GR"/>
        </w:rPr>
      </w:pPr>
      <w:r w:rsidRPr="00792262">
        <w:rPr>
          <w:szCs w:val="22"/>
          <w:u w:val="single"/>
          <w:lang w:val="el-GR"/>
        </w:rPr>
        <w:t>- Έντυπη μορφή αποστολή μέσω ταχυδρομείου, ατελώς, στο Τμήμα Ανεπιθύμητων Ενεργειών του</w:t>
      </w:r>
      <w:r w:rsidRPr="0090068E">
        <w:rPr>
          <w:szCs w:val="22"/>
          <w:u w:val="single"/>
          <w:lang w:val="el-GR"/>
        </w:rPr>
        <w:t xml:space="preserve"> </w:t>
      </w:r>
      <w:r w:rsidRPr="00792262">
        <w:rPr>
          <w:szCs w:val="22"/>
          <w:u w:val="single"/>
          <w:lang w:val="el-GR"/>
        </w:rPr>
        <w:t>ΕΟΦ (Μεσογείων 284, 15562) τηλέφωνο επικοινωνίας: 213 -2040380 ή 213-2040337.</w:t>
      </w:r>
    </w:p>
    <w:p w:rsidR="00FE329D" w:rsidRDefault="00792262" w:rsidP="00792262">
      <w:pPr>
        <w:ind w:left="284"/>
        <w:jc w:val="both"/>
        <w:rPr>
          <w:szCs w:val="22"/>
          <w:lang w:val="el-GR"/>
        </w:rPr>
      </w:pPr>
      <w:r w:rsidRPr="00792262">
        <w:rPr>
          <w:szCs w:val="22"/>
          <w:u w:val="single"/>
          <w:lang w:val="el-GR"/>
        </w:rPr>
        <w:t>- Υποβολή μέσω ΦΑΞ στο 210 6549585</w:t>
      </w:r>
    </w:p>
    <w:p w:rsidR="00FE329D" w:rsidRDefault="00FE329D" w:rsidP="00AA11F5">
      <w:pPr>
        <w:jc w:val="both"/>
        <w:rPr>
          <w:szCs w:val="22"/>
          <w:lang w:val="el-GR"/>
        </w:rPr>
      </w:pPr>
    </w:p>
    <w:p w:rsidR="00FE329D" w:rsidRPr="0090068E" w:rsidRDefault="00FE329D" w:rsidP="00AA11F5">
      <w:pPr>
        <w:jc w:val="both"/>
        <w:rPr>
          <w:szCs w:val="22"/>
          <w:lang w:val="el-GR"/>
        </w:rPr>
      </w:pPr>
    </w:p>
    <w:p w:rsidR="00BF291C" w:rsidRPr="00873F9B" w:rsidRDefault="00BF291C" w:rsidP="00AA11F5">
      <w:pPr>
        <w:ind w:left="567" w:hanging="567"/>
        <w:jc w:val="both"/>
        <w:outlineLvl w:val="0"/>
        <w:rPr>
          <w:szCs w:val="22"/>
        </w:rPr>
      </w:pPr>
      <w:r w:rsidRPr="00873F9B">
        <w:rPr>
          <w:b/>
          <w:szCs w:val="22"/>
        </w:rPr>
        <w:t>4.9</w:t>
      </w:r>
      <w:r w:rsidRPr="00873F9B">
        <w:rPr>
          <w:b/>
          <w:szCs w:val="22"/>
        </w:rPr>
        <w:tab/>
      </w:r>
      <w:r w:rsidR="00CB0C96" w:rsidRPr="00873F9B">
        <w:rPr>
          <w:b/>
          <w:szCs w:val="22"/>
        </w:rPr>
        <w:t>Υπερδοσολογία</w:t>
      </w:r>
    </w:p>
    <w:p w:rsidR="003B1C85" w:rsidRPr="00873F9B" w:rsidRDefault="003B1C85" w:rsidP="00AA11F5">
      <w:pPr>
        <w:jc w:val="both"/>
        <w:rPr>
          <w:szCs w:val="22"/>
          <w:u w:val="single"/>
        </w:rPr>
      </w:pPr>
      <w:r w:rsidRPr="00873F9B">
        <w:rPr>
          <w:szCs w:val="22"/>
          <w:u w:val="single"/>
        </w:rPr>
        <w:t>Συμπτώματα</w:t>
      </w:r>
    </w:p>
    <w:p w:rsidR="003B1C85" w:rsidRPr="00873F9B" w:rsidRDefault="003B1C85" w:rsidP="00AA11F5">
      <w:pPr>
        <w:autoSpaceDE w:val="0"/>
        <w:autoSpaceDN w:val="0"/>
        <w:adjustRightInd w:val="0"/>
        <w:jc w:val="both"/>
        <w:rPr>
          <w:rFonts w:eastAsia="PMingLiU"/>
          <w:szCs w:val="22"/>
          <w:lang w:val="el-GR" w:eastAsia="zh-TW"/>
        </w:rPr>
      </w:pPr>
      <w:r w:rsidRPr="00873F9B">
        <w:rPr>
          <w:rFonts w:eastAsia="PMingLiU"/>
          <w:szCs w:val="22"/>
          <w:lang w:val="el-GR" w:eastAsia="zh-TW"/>
        </w:rPr>
        <w:lastRenderedPageBreak/>
        <w:t xml:space="preserve">Υπερδοσολογία με </w:t>
      </w:r>
      <w:r w:rsidR="00A26ECD" w:rsidRPr="00873F9B">
        <w:rPr>
          <w:rFonts w:eastAsia="PMingLiU"/>
          <w:szCs w:val="22"/>
          <w:lang w:val="el-GR" w:eastAsia="zh-TW"/>
        </w:rPr>
        <w:t>βαλσαρτάνη</w:t>
      </w:r>
      <w:r w:rsidRPr="00873F9B">
        <w:rPr>
          <w:rFonts w:eastAsia="PMingLiU"/>
          <w:szCs w:val="22"/>
          <w:lang w:val="el-GR" w:eastAsia="zh-TW"/>
        </w:rPr>
        <w:t xml:space="preserve"> μπορεί να </w:t>
      </w:r>
      <w:r w:rsidR="00A26ECD" w:rsidRPr="00873F9B">
        <w:rPr>
          <w:rFonts w:eastAsia="PMingLiU"/>
          <w:szCs w:val="22"/>
          <w:lang w:val="el-GR" w:eastAsia="zh-TW"/>
        </w:rPr>
        <w:t>έχει σαν αποτέλεσμα</w:t>
      </w:r>
      <w:r w:rsidRPr="00873F9B">
        <w:rPr>
          <w:rFonts w:eastAsia="PMingLiU"/>
          <w:szCs w:val="22"/>
          <w:lang w:val="el-GR" w:eastAsia="zh-TW"/>
        </w:rPr>
        <w:t xml:space="preserve"> αξιοσημείωτη υπόταση, η οποία μπορεί να</w:t>
      </w:r>
      <w:r w:rsidR="001C2C2F" w:rsidRPr="00873F9B">
        <w:rPr>
          <w:rFonts w:eastAsia="PMingLiU"/>
          <w:szCs w:val="22"/>
          <w:lang w:val="el-GR" w:eastAsia="zh-TW"/>
        </w:rPr>
        <w:t xml:space="preserve"> </w:t>
      </w:r>
      <w:r w:rsidRPr="00873F9B">
        <w:rPr>
          <w:rFonts w:eastAsia="PMingLiU"/>
          <w:szCs w:val="22"/>
          <w:lang w:val="el-GR" w:eastAsia="zh-TW"/>
        </w:rPr>
        <w:t>οδηγήσει σε μειωμένα επίπεδα συνείδησης, κυκλοφορική κατέρρειψη ή/και καταπληξία.</w:t>
      </w:r>
    </w:p>
    <w:p w:rsidR="003B1C85" w:rsidRPr="00873F9B" w:rsidRDefault="003B1C85" w:rsidP="00AA11F5">
      <w:pPr>
        <w:autoSpaceDE w:val="0"/>
        <w:autoSpaceDN w:val="0"/>
        <w:adjustRightInd w:val="0"/>
        <w:jc w:val="both"/>
        <w:rPr>
          <w:rFonts w:eastAsia="PMingLiU"/>
          <w:szCs w:val="22"/>
          <w:lang w:val="el-GR" w:eastAsia="zh-TW"/>
        </w:rPr>
      </w:pPr>
    </w:p>
    <w:p w:rsidR="003B1C85" w:rsidRPr="00873F9B" w:rsidRDefault="003B1C85" w:rsidP="00AA11F5">
      <w:pPr>
        <w:jc w:val="both"/>
        <w:rPr>
          <w:szCs w:val="22"/>
          <w:u w:val="single"/>
          <w:lang w:val="el-GR"/>
        </w:rPr>
      </w:pPr>
      <w:r w:rsidRPr="00873F9B">
        <w:rPr>
          <w:szCs w:val="22"/>
          <w:u w:val="single"/>
          <w:lang w:val="el-GR"/>
        </w:rPr>
        <w:t>Θεραπεία</w:t>
      </w:r>
    </w:p>
    <w:p w:rsidR="003B1C85" w:rsidRPr="00873F9B" w:rsidRDefault="003B1C85" w:rsidP="00AA11F5">
      <w:pPr>
        <w:autoSpaceDE w:val="0"/>
        <w:autoSpaceDN w:val="0"/>
        <w:adjustRightInd w:val="0"/>
        <w:jc w:val="both"/>
        <w:rPr>
          <w:rFonts w:eastAsia="PMingLiU"/>
          <w:szCs w:val="22"/>
          <w:lang w:val="el-GR" w:eastAsia="zh-TW"/>
        </w:rPr>
      </w:pPr>
      <w:r w:rsidRPr="00873F9B">
        <w:rPr>
          <w:rFonts w:eastAsia="PMingLiU"/>
          <w:szCs w:val="22"/>
          <w:lang w:val="el-GR" w:eastAsia="zh-TW"/>
        </w:rPr>
        <w:t>Τα θεραπευτικά μέτρα εξαρτώνται από το χρόνο της λήψης και τον τύπο και τη βαρύτητα των</w:t>
      </w:r>
      <w:r w:rsidR="001C2C2F" w:rsidRPr="00873F9B">
        <w:rPr>
          <w:rFonts w:eastAsia="PMingLiU"/>
          <w:szCs w:val="22"/>
          <w:lang w:val="el-GR" w:eastAsia="zh-TW"/>
        </w:rPr>
        <w:t xml:space="preserve"> </w:t>
      </w:r>
      <w:r w:rsidRPr="00873F9B">
        <w:rPr>
          <w:rFonts w:eastAsia="PMingLiU"/>
          <w:szCs w:val="22"/>
          <w:lang w:val="el-GR" w:eastAsia="zh-TW"/>
        </w:rPr>
        <w:t>συμπτωμάτων. Η σταθεροποίηση της κυκλοφορικής κατάστασης είναι πρωταρχικής σπουδαιότητας.</w:t>
      </w:r>
    </w:p>
    <w:p w:rsidR="003B1C85" w:rsidRPr="00873F9B" w:rsidRDefault="003B1C85" w:rsidP="00AA11F5">
      <w:pPr>
        <w:autoSpaceDE w:val="0"/>
        <w:autoSpaceDN w:val="0"/>
        <w:adjustRightInd w:val="0"/>
        <w:jc w:val="both"/>
        <w:rPr>
          <w:rFonts w:eastAsia="PMingLiU"/>
          <w:szCs w:val="22"/>
          <w:lang w:val="el-GR" w:eastAsia="zh-TW"/>
        </w:rPr>
      </w:pPr>
      <w:r w:rsidRPr="00873F9B">
        <w:rPr>
          <w:rFonts w:eastAsia="PMingLiU"/>
          <w:szCs w:val="22"/>
          <w:lang w:val="el-GR" w:eastAsia="zh-TW"/>
        </w:rPr>
        <w:t>Εάν παρουσιασθεί υπόταση, ο ασθενής πρέπει να τοποθετηθεί σε ύπτια θέση και να γίνει διόρθωση</w:t>
      </w:r>
      <w:r w:rsidR="001C2C2F" w:rsidRPr="00873F9B">
        <w:rPr>
          <w:rFonts w:eastAsia="PMingLiU"/>
          <w:szCs w:val="22"/>
          <w:lang w:val="el-GR" w:eastAsia="zh-TW"/>
        </w:rPr>
        <w:t xml:space="preserve"> </w:t>
      </w:r>
      <w:r w:rsidRPr="00873F9B">
        <w:rPr>
          <w:rFonts w:eastAsia="PMingLiU"/>
          <w:szCs w:val="22"/>
          <w:lang w:val="el-GR" w:eastAsia="zh-TW"/>
        </w:rPr>
        <w:t>του όγκου του αίματος.</w:t>
      </w:r>
    </w:p>
    <w:p w:rsidR="00BF291C" w:rsidRPr="00873F9B" w:rsidRDefault="003B1C85" w:rsidP="00AA11F5">
      <w:pPr>
        <w:jc w:val="both"/>
        <w:rPr>
          <w:szCs w:val="22"/>
          <w:u w:val="single"/>
          <w:lang w:val="el-GR"/>
        </w:rPr>
      </w:pPr>
      <w:r w:rsidRPr="00873F9B">
        <w:rPr>
          <w:rFonts w:eastAsia="PMingLiU"/>
          <w:szCs w:val="22"/>
          <w:lang w:val="el-GR" w:eastAsia="zh-TW"/>
        </w:rPr>
        <w:t>Η βαλσαρτάνη είναι απίθανο να αφαιρεθεί με αιμοκάθαρση.</w:t>
      </w:r>
    </w:p>
    <w:p w:rsidR="00BF291C" w:rsidRPr="00873F9B" w:rsidRDefault="00BF291C" w:rsidP="00AA11F5">
      <w:pPr>
        <w:jc w:val="both"/>
        <w:rPr>
          <w:szCs w:val="22"/>
        </w:rPr>
      </w:pPr>
    </w:p>
    <w:p w:rsidR="00BF291C" w:rsidRPr="00873F9B" w:rsidRDefault="00BF291C" w:rsidP="00AA11F5">
      <w:pPr>
        <w:jc w:val="both"/>
        <w:rPr>
          <w:szCs w:val="22"/>
        </w:rPr>
      </w:pPr>
    </w:p>
    <w:p w:rsidR="00BF291C" w:rsidRPr="00873F9B" w:rsidRDefault="00BF291C" w:rsidP="00AA11F5">
      <w:pPr>
        <w:ind w:left="567" w:hanging="567"/>
        <w:jc w:val="both"/>
        <w:rPr>
          <w:szCs w:val="22"/>
        </w:rPr>
      </w:pPr>
      <w:r w:rsidRPr="00873F9B">
        <w:rPr>
          <w:b/>
          <w:szCs w:val="22"/>
        </w:rPr>
        <w:t>5.</w:t>
      </w:r>
      <w:r w:rsidRPr="00873F9B">
        <w:rPr>
          <w:b/>
          <w:szCs w:val="22"/>
        </w:rPr>
        <w:tab/>
      </w:r>
      <w:r w:rsidR="00ED0CF3" w:rsidRPr="00873F9B">
        <w:rPr>
          <w:b/>
          <w:szCs w:val="22"/>
        </w:rPr>
        <w:t>ΦΑΡΜΑΚΟΛΟΓΙΚΕΣ ΙΔΙΟΤΗΤΕΣ</w:t>
      </w:r>
    </w:p>
    <w:p w:rsidR="00BF291C" w:rsidRPr="00873F9B" w:rsidRDefault="00BF291C" w:rsidP="00AA11F5">
      <w:pPr>
        <w:jc w:val="both"/>
        <w:rPr>
          <w:szCs w:val="22"/>
        </w:rPr>
      </w:pPr>
    </w:p>
    <w:p w:rsidR="00BF291C" w:rsidRPr="00873F9B" w:rsidRDefault="00BF291C" w:rsidP="00AA11F5">
      <w:pPr>
        <w:ind w:left="567" w:hanging="567"/>
        <w:jc w:val="both"/>
        <w:outlineLvl w:val="0"/>
        <w:rPr>
          <w:szCs w:val="22"/>
        </w:rPr>
      </w:pPr>
      <w:r w:rsidRPr="00873F9B">
        <w:rPr>
          <w:b/>
          <w:szCs w:val="22"/>
        </w:rPr>
        <w:t>5.1</w:t>
      </w:r>
      <w:r w:rsidRPr="00873F9B">
        <w:rPr>
          <w:b/>
          <w:szCs w:val="22"/>
        </w:rPr>
        <w:tab/>
      </w:r>
      <w:r w:rsidR="00ED0CF3" w:rsidRPr="00873F9B">
        <w:rPr>
          <w:rFonts w:eastAsia="PMingLiU"/>
          <w:b/>
          <w:bCs/>
          <w:szCs w:val="22"/>
          <w:lang w:val="el-GR" w:eastAsia="zh-TW"/>
        </w:rPr>
        <w:t>Φαρμακοδυναμικές ιδιότητες</w:t>
      </w:r>
    </w:p>
    <w:p w:rsidR="00BF291C" w:rsidRPr="00873F9B" w:rsidRDefault="00BF291C" w:rsidP="00AA11F5">
      <w:pPr>
        <w:jc w:val="both"/>
        <w:rPr>
          <w:szCs w:val="22"/>
        </w:rPr>
      </w:pPr>
    </w:p>
    <w:p w:rsidR="00BF291C" w:rsidRPr="00873F9B" w:rsidRDefault="00F731D3" w:rsidP="00AA11F5">
      <w:pPr>
        <w:jc w:val="both"/>
        <w:outlineLvl w:val="0"/>
        <w:rPr>
          <w:szCs w:val="22"/>
          <w:lang w:val="el-GR"/>
        </w:rPr>
      </w:pPr>
      <w:r w:rsidRPr="00873F9B">
        <w:rPr>
          <w:rFonts w:eastAsia="PMingLiU"/>
          <w:szCs w:val="22"/>
          <w:lang w:val="el-GR" w:eastAsia="zh-TW"/>
        </w:rPr>
        <w:t xml:space="preserve">Φαρμακοθεραπευτική κατηγορία: </w:t>
      </w:r>
      <w:r w:rsidR="00D91C98" w:rsidRPr="00873F9B">
        <w:rPr>
          <w:rFonts w:eastAsia="PMingLiU"/>
          <w:szCs w:val="22"/>
          <w:lang w:val="el-GR" w:eastAsia="zh-TW"/>
        </w:rPr>
        <w:t>Φάρμακα που δρουν στο σύστημα ρενίνης-αγγειοτασίνης</w:t>
      </w:r>
      <w:r w:rsidR="00D91C98" w:rsidRPr="00873F9B">
        <w:rPr>
          <w:bCs/>
          <w:szCs w:val="22"/>
          <w:lang w:val="ro-RO"/>
        </w:rPr>
        <w:t>,</w:t>
      </w:r>
      <w:r w:rsidR="00D91C98" w:rsidRPr="00873F9B">
        <w:rPr>
          <w:bCs/>
          <w:szCs w:val="22"/>
          <w:lang w:val="el-GR"/>
        </w:rPr>
        <w:t xml:space="preserve"> </w:t>
      </w:r>
      <w:r w:rsidRPr="00873F9B">
        <w:rPr>
          <w:rFonts w:eastAsia="PMingLiU"/>
          <w:szCs w:val="22"/>
          <w:lang w:val="el-GR" w:eastAsia="zh-TW"/>
        </w:rPr>
        <w:t>Ανταγωνιστές της αγγειοτασίνης ΙΙ, απλοί,</w:t>
      </w:r>
      <w:r w:rsidR="00BF291C" w:rsidRPr="00873F9B">
        <w:rPr>
          <w:rFonts w:eastAsia="PMingLiU"/>
          <w:szCs w:val="22"/>
          <w:lang w:val="el-GR" w:eastAsia="zh-TW"/>
        </w:rPr>
        <w:t xml:space="preserve"> </w:t>
      </w:r>
      <w:r w:rsidRPr="00873F9B">
        <w:rPr>
          <w:szCs w:val="22"/>
          <w:lang w:val="el-GR"/>
        </w:rPr>
        <w:t xml:space="preserve">κωδικός </w:t>
      </w:r>
      <w:r w:rsidR="00BF291C" w:rsidRPr="00873F9B">
        <w:rPr>
          <w:szCs w:val="22"/>
        </w:rPr>
        <w:t>ATC</w:t>
      </w:r>
      <w:r w:rsidR="00BF291C" w:rsidRPr="00873F9B">
        <w:rPr>
          <w:szCs w:val="22"/>
          <w:lang w:val="el-GR"/>
        </w:rPr>
        <w:t xml:space="preserve">: </w:t>
      </w:r>
      <w:r w:rsidR="00BF291C" w:rsidRPr="00873F9B">
        <w:rPr>
          <w:szCs w:val="22"/>
        </w:rPr>
        <w:t>C</w:t>
      </w:r>
      <w:r w:rsidR="00BF291C" w:rsidRPr="00873F9B">
        <w:rPr>
          <w:szCs w:val="22"/>
          <w:lang w:val="el-GR"/>
        </w:rPr>
        <w:t>09</w:t>
      </w:r>
      <w:r w:rsidR="00BF291C" w:rsidRPr="00873F9B">
        <w:rPr>
          <w:szCs w:val="22"/>
        </w:rPr>
        <w:t>CA</w:t>
      </w:r>
      <w:r w:rsidR="00BF291C" w:rsidRPr="00873F9B">
        <w:rPr>
          <w:szCs w:val="22"/>
          <w:lang w:val="el-GR"/>
        </w:rPr>
        <w:t>03</w:t>
      </w:r>
    </w:p>
    <w:p w:rsidR="00BF291C" w:rsidRPr="00873F9B" w:rsidRDefault="00BF291C" w:rsidP="00AA11F5">
      <w:pPr>
        <w:jc w:val="both"/>
        <w:outlineLvl w:val="0"/>
        <w:rPr>
          <w:szCs w:val="22"/>
          <w:lang w:val="el-GR"/>
        </w:rPr>
      </w:pPr>
    </w:p>
    <w:p w:rsidR="007947A1" w:rsidRPr="00873F9B" w:rsidRDefault="007947A1" w:rsidP="00AA11F5">
      <w:pPr>
        <w:autoSpaceDE w:val="0"/>
        <w:autoSpaceDN w:val="0"/>
        <w:adjustRightInd w:val="0"/>
        <w:jc w:val="both"/>
        <w:rPr>
          <w:rFonts w:eastAsia="PMingLiU"/>
          <w:szCs w:val="22"/>
          <w:lang w:val="el-GR" w:eastAsia="zh-TW"/>
        </w:rPr>
      </w:pPr>
      <w:r w:rsidRPr="00873F9B">
        <w:rPr>
          <w:rFonts w:eastAsia="PMingLiU"/>
          <w:szCs w:val="22"/>
          <w:lang w:val="el-GR" w:eastAsia="zh-TW"/>
        </w:rPr>
        <w:t>Η βαλσαρτάνη είναι ένας από του στόματος ενεργός, ισχυρός, και ειδικός ανταγωνιστής υποδοχέων</w:t>
      </w:r>
      <w:r w:rsidR="001C2C2F" w:rsidRPr="00873F9B">
        <w:rPr>
          <w:rFonts w:eastAsia="PMingLiU"/>
          <w:szCs w:val="22"/>
          <w:lang w:val="el-GR" w:eastAsia="zh-TW"/>
        </w:rPr>
        <w:t xml:space="preserve"> </w:t>
      </w:r>
      <w:r w:rsidRPr="00873F9B">
        <w:rPr>
          <w:rFonts w:eastAsia="PMingLiU"/>
          <w:szCs w:val="22"/>
          <w:lang w:val="el-GR" w:eastAsia="zh-TW"/>
        </w:rPr>
        <w:t>της αγγειοτασίνης ΙΙ (Ang II). Δρα εκλεκτικά στον υπότυπο ΑΤ1 του υποδοχέα, που είναι υπεύθυνος</w:t>
      </w:r>
      <w:r w:rsidR="001C2C2F" w:rsidRPr="00873F9B">
        <w:rPr>
          <w:rFonts w:eastAsia="PMingLiU"/>
          <w:szCs w:val="22"/>
          <w:lang w:val="el-GR" w:eastAsia="zh-TW"/>
        </w:rPr>
        <w:t xml:space="preserve"> </w:t>
      </w:r>
      <w:r w:rsidRPr="00873F9B">
        <w:rPr>
          <w:rFonts w:eastAsia="PMingLiU"/>
          <w:szCs w:val="22"/>
          <w:lang w:val="el-GR" w:eastAsia="zh-TW"/>
        </w:rPr>
        <w:t>για τις γνωστές δράσεις της αγγειοτασίνης ΙΙ. Τα αυξημένα επίπεδα της αγγειοτασίνης ΙΙ στο πλάσμα,</w:t>
      </w:r>
      <w:r w:rsidR="001C2C2F" w:rsidRPr="00873F9B">
        <w:rPr>
          <w:rFonts w:eastAsia="PMingLiU"/>
          <w:szCs w:val="22"/>
          <w:lang w:val="el-GR" w:eastAsia="zh-TW"/>
        </w:rPr>
        <w:t xml:space="preserve"> </w:t>
      </w:r>
      <w:r w:rsidRPr="00873F9B">
        <w:rPr>
          <w:rFonts w:eastAsia="PMingLiU"/>
          <w:szCs w:val="22"/>
          <w:lang w:val="el-GR" w:eastAsia="zh-TW"/>
        </w:rPr>
        <w:t>λόγω του αποκλεισμού του υποδοχέα ΑΤ1 με τη βαλσαρτάνη μπορεί να διεγείρουν τον μη</w:t>
      </w:r>
      <w:r w:rsidR="001C2C2F" w:rsidRPr="00873F9B">
        <w:rPr>
          <w:rFonts w:eastAsia="PMingLiU"/>
          <w:szCs w:val="22"/>
          <w:lang w:val="el-GR" w:eastAsia="zh-TW"/>
        </w:rPr>
        <w:t xml:space="preserve"> </w:t>
      </w:r>
      <w:r w:rsidRPr="00873F9B">
        <w:rPr>
          <w:rFonts w:eastAsia="PMingLiU"/>
          <w:szCs w:val="22"/>
          <w:lang w:val="el-GR" w:eastAsia="zh-TW"/>
        </w:rPr>
        <w:t>αποκλεισμένο υποδοχέα ΑΤ2 ο οποίος εμφανίζεται να αντισταθμίζει τη δράση του υποδοχέα ΑΤ1. Η</w:t>
      </w:r>
      <w:r w:rsidR="001C2C2F" w:rsidRPr="00873F9B">
        <w:rPr>
          <w:rFonts w:eastAsia="PMingLiU"/>
          <w:szCs w:val="22"/>
          <w:lang w:val="el-GR" w:eastAsia="zh-TW"/>
        </w:rPr>
        <w:t xml:space="preserve"> </w:t>
      </w:r>
      <w:r w:rsidRPr="00873F9B">
        <w:rPr>
          <w:rFonts w:eastAsia="PMingLiU"/>
          <w:szCs w:val="22"/>
          <w:lang w:val="el-GR" w:eastAsia="zh-TW"/>
        </w:rPr>
        <w:t>βαλσαρτάνη δεν εμφανίζει καμιά μερική αγωνιστική δράση στον υποδοχέα ΑΤ1 και έχει πολύ</w:t>
      </w:r>
      <w:r w:rsidR="001C2C2F" w:rsidRPr="00873F9B">
        <w:rPr>
          <w:rFonts w:eastAsia="PMingLiU"/>
          <w:szCs w:val="22"/>
          <w:lang w:val="el-GR" w:eastAsia="zh-TW"/>
        </w:rPr>
        <w:t xml:space="preserve"> </w:t>
      </w:r>
      <w:r w:rsidRPr="00873F9B">
        <w:rPr>
          <w:rFonts w:eastAsia="PMingLiU"/>
          <w:szCs w:val="22"/>
          <w:lang w:val="el-GR" w:eastAsia="zh-TW"/>
        </w:rPr>
        <w:t>μεγαλύτερη χημική συγγένεια (περίπου 20.000 φορές) για τον υποδοχέα ΑΤ1 από ό,τι για τον</w:t>
      </w:r>
      <w:r w:rsidR="001C2C2F" w:rsidRPr="00873F9B">
        <w:rPr>
          <w:rFonts w:eastAsia="PMingLiU"/>
          <w:szCs w:val="22"/>
          <w:lang w:val="el-GR" w:eastAsia="zh-TW"/>
        </w:rPr>
        <w:t xml:space="preserve"> </w:t>
      </w:r>
      <w:r w:rsidRPr="00873F9B">
        <w:rPr>
          <w:rFonts w:eastAsia="PMingLiU"/>
          <w:szCs w:val="22"/>
          <w:lang w:val="el-GR" w:eastAsia="zh-TW"/>
        </w:rPr>
        <w:t>υποδοχέα ΑΤ2. Η βαλσαρτάνη δε δεσμεύεται με ούτε αποκλείει άλλους υποδοχείς ορμονών ή</w:t>
      </w:r>
      <w:r w:rsidR="001C2C2F" w:rsidRPr="00873F9B">
        <w:rPr>
          <w:rFonts w:eastAsia="PMingLiU"/>
          <w:szCs w:val="22"/>
          <w:lang w:val="el-GR" w:eastAsia="zh-TW"/>
        </w:rPr>
        <w:t xml:space="preserve"> </w:t>
      </w:r>
      <w:r w:rsidR="00E95A4B" w:rsidRPr="00873F9B">
        <w:rPr>
          <w:rFonts w:eastAsia="PMingLiU"/>
          <w:szCs w:val="22"/>
          <w:lang w:val="el-GR" w:eastAsia="zh-TW"/>
        </w:rPr>
        <w:t>διαύλους</w:t>
      </w:r>
      <w:r w:rsidRPr="00873F9B">
        <w:rPr>
          <w:rFonts w:eastAsia="PMingLiU"/>
          <w:szCs w:val="22"/>
          <w:lang w:val="el-GR" w:eastAsia="zh-TW"/>
        </w:rPr>
        <w:t xml:space="preserve"> ιόντων, που είναι γνωστοί για τη σπουδαιότητά τους στην καρδιαγγειακή ρύθμιση.</w:t>
      </w:r>
      <w:r w:rsidR="001C2C2F" w:rsidRPr="00873F9B">
        <w:rPr>
          <w:rFonts w:eastAsia="PMingLiU"/>
          <w:szCs w:val="22"/>
          <w:lang w:val="el-GR" w:eastAsia="zh-TW"/>
        </w:rPr>
        <w:t xml:space="preserve"> </w:t>
      </w:r>
    </w:p>
    <w:p w:rsidR="007947A1" w:rsidRPr="00873F9B" w:rsidRDefault="007947A1" w:rsidP="00AA11F5">
      <w:pPr>
        <w:autoSpaceDE w:val="0"/>
        <w:autoSpaceDN w:val="0"/>
        <w:adjustRightInd w:val="0"/>
        <w:jc w:val="both"/>
        <w:rPr>
          <w:szCs w:val="22"/>
          <w:lang w:val="el-GR"/>
        </w:rPr>
      </w:pPr>
      <w:r w:rsidRPr="00873F9B">
        <w:rPr>
          <w:rFonts w:eastAsia="PMingLiU"/>
          <w:szCs w:val="22"/>
          <w:lang w:val="el-GR" w:eastAsia="zh-TW"/>
        </w:rPr>
        <w:t>Η βαλσαρτάνη δεν αναστέλλει το ΜΕΑ (γνωστό επίσης σαν κινινάση ΙΙ) που μετατρέπει την</w:t>
      </w:r>
      <w:r w:rsidR="001C2C2F" w:rsidRPr="00873F9B">
        <w:rPr>
          <w:rFonts w:eastAsia="PMingLiU"/>
          <w:szCs w:val="22"/>
          <w:lang w:val="el-GR" w:eastAsia="zh-TW"/>
        </w:rPr>
        <w:t xml:space="preserve"> </w:t>
      </w:r>
      <w:r w:rsidRPr="00873F9B">
        <w:rPr>
          <w:rFonts w:eastAsia="PMingLiU"/>
          <w:szCs w:val="22"/>
          <w:lang w:val="el-GR" w:eastAsia="zh-TW"/>
        </w:rPr>
        <w:t>αγγειοτασίνη Ι σε αγγειοτασίνη ΙΙ και αποδομεί τη βραδυκινίνη. Καθώς δεν υπάρχει επίδραση στο</w:t>
      </w:r>
      <w:r w:rsidR="001C2C2F" w:rsidRPr="00873F9B">
        <w:rPr>
          <w:rFonts w:eastAsia="PMingLiU"/>
          <w:szCs w:val="22"/>
          <w:lang w:val="el-GR" w:eastAsia="zh-TW"/>
        </w:rPr>
        <w:t xml:space="preserve"> </w:t>
      </w:r>
      <w:r w:rsidRPr="00873F9B">
        <w:rPr>
          <w:rFonts w:eastAsia="PMingLiU"/>
          <w:szCs w:val="22"/>
          <w:lang w:val="el-GR" w:eastAsia="zh-TW"/>
        </w:rPr>
        <w:t>ΜΕΑ και ενίσχυση της βραδυκινίνης ή της ουσίας Ρ, οι ανταγωνιστές της αγγειοτασίνης ΙΙ είναι</w:t>
      </w:r>
      <w:r w:rsidR="001C2C2F" w:rsidRPr="00873F9B">
        <w:rPr>
          <w:rFonts w:eastAsia="PMingLiU"/>
          <w:szCs w:val="22"/>
          <w:lang w:val="el-GR" w:eastAsia="zh-TW"/>
        </w:rPr>
        <w:t xml:space="preserve"> </w:t>
      </w:r>
      <w:r w:rsidRPr="00873F9B">
        <w:rPr>
          <w:rFonts w:eastAsia="PMingLiU"/>
          <w:szCs w:val="22"/>
          <w:lang w:val="el-GR" w:eastAsia="zh-TW"/>
        </w:rPr>
        <w:t>απίθανο να σχετίζονται με το βήχα. Σε κλινικές δοκιμές, όπου η βαλσαρτάνη συγκρίθηκε με έναν</w:t>
      </w:r>
      <w:r w:rsidR="001C2C2F" w:rsidRPr="00873F9B">
        <w:rPr>
          <w:rFonts w:eastAsia="PMingLiU"/>
          <w:szCs w:val="22"/>
          <w:lang w:val="el-GR" w:eastAsia="zh-TW"/>
        </w:rPr>
        <w:t xml:space="preserve"> </w:t>
      </w:r>
      <w:r w:rsidRPr="00873F9B">
        <w:rPr>
          <w:rFonts w:eastAsia="PMingLiU"/>
          <w:szCs w:val="22"/>
          <w:lang w:val="el-GR" w:eastAsia="zh-TW"/>
        </w:rPr>
        <w:t>αναστολέα του ΜΕΑ, η συχνότητα εμφάνισης του ξηρού βήχα ήταν σημαντικά μικρότερη (p&lt; 0,05)</w:t>
      </w:r>
      <w:r w:rsidR="001C2C2F" w:rsidRPr="00873F9B">
        <w:rPr>
          <w:rFonts w:eastAsia="PMingLiU"/>
          <w:szCs w:val="22"/>
          <w:lang w:val="el-GR" w:eastAsia="zh-TW"/>
        </w:rPr>
        <w:t xml:space="preserve"> </w:t>
      </w:r>
      <w:r w:rsidRPr="00873F9B">
        <w:rPr>
          <w:rFonts w:eastAsia="PMingLiU"/>
          <w:szCs w:val="22"/>
          <w:lang w:val="el-GR" w:eastAsia="zh-TW"/>
        </w:rPr>
        <w:t>σε ασθενείς, που υποβλήθηκαν σε θεραπεία με βαλσαρτάνη από ό,τι σε εκείνους που υποβλήθηκαν σε</w:t>
      </w:r>
      <w:r w:rsidR="001C2C2F" w:rsidRPr="00873F9B">
        <w:rPr>
          <w:rFonts w:eastAsia="PMingLiU"/>
          <w:szCs w:val="22"/>
          <w:lang w:val="el-GR" w:eastAsia="zh-TW"/>
        </w:rPr>
        <w:t xml:space="preserve"> </w:t>
      </w:r>
      <w:r w:rsidRPr="00873F9B">
        <w:rPr>
          <w:rFonts w:eastAsia="PMingLiU"/>
          <w:szCs w:val="22"/>
          <w:lang w:val="el-GR" w:eastAsia="zh-TW"/>
        </w:rPr>
        <w:t>θεραπεία με έναν αναστολέα του ΜΕΑ (2,6% έναντι 7,9% αντίστοιχα). Σε μία κλινική δοκιμή</w:t>
      </w:r>
      <w:r w:rsidR="001C2C2F" w:rsidRPr="00873F9B">
        <w:rPr>
          <w:rFonts w:eastAsia="PMingLiU"/>
          <w:szCs w:val="22"/>
          <w:lang w:val="el-GR" w:eastAsia="zh-TW"/>
        </w:rPr>
        <w:t xml:space="preserve"> </w:t>
      </w:r>
      <w:r w:rsidRPr="00873F9B">
        <w:rPr>
          <w:rFonts w:eastAsia="PMingLiU"/>
          <w:szCs w:val="22"/>
          <w:lang w:val="el-GR" w:eastAsia="zh-TW"/>
        </w:rPr>
        <w:t>ασθενών με ιστορικό ξηρού βήχα κατά τη διάρκεια θεραπείας με αναστολέα του ΜΕΑ, το 19,5% των</w:t>
      </w:r>
      <w:r w:rsidR="001C2C2F" w:rsidRPr="00873F9B">
        <w:rPr>
          <w:rFonts w:eastAsia="PMingLiU"/>
          <w:szCs w:val="22"/>
          <w:lang w:val="el-GR" w:eastAsia="zh-TW"/>
        </w:rPr>
        <w:t xml:space="preserve"> </w:t>
      </w:r>
      <w:r w:rsidRPr="00873F9B">
        <w:rPr>
          <w:rFonts w:eastAsia="PMingLiU"/>
          <w:szCs w:val="22"/>
          <w:lang w:val="el-GR" w:eastAsia="zh-TW"/>
        </w:rPr>
        <w:t>ατόμων της δοκιμής, που έλαβαν βαλσαρτάνη και το 19,0% εκείνων που πήραν ένα θειαζιδικό</w:t>
      </w:r>
      <w:r w:rsidR="001C2C2F" w:rsidRPr="00873F9B">
        <w:rPr>
          <w:rFonts w:eastAsia="PMingLiU"/>
          <w:szCs w:val="22"/>
          <w:lang w:val="el-GR" w:eastAsia="zh-TW"/>
        </w:rPr>
        <w:t xml:space="preserve"> </w:t>
      </w:r>
      <w:r w:rsidRPr="00873F9B">
        <w:rPr>
          <w:rFonts w:eastAsia="PMingLiU"/>
          <w:szCs w:val="22"/>
          <w:lang w:val="el-GR" w:eastAsia="zh-TW"/>
        </w:rPr>
        <w:t>διουρητικό, είχαν βήχα σε σύγκριση με το 68,5% εκείνων, που υποβλήθηκαν σε θεραπεία με έναν</w:t>
      </w:r>
      <w:r w:rsidR="001C2C2F" w:rsidRPr="00873F9B">
        <w:rPr>
          <w:rFonts w:eastAsia="PMingLiU"/>
          <w:szCs w:val="22"/>
          <w:lang w:val="el-GR" w:eastAsia="zh-TW"/>
        </w:rPr>
        <w:t xml:space="preserve"> </w:t>
      </w:r>
      <w:r w:rsidRPr="00873F9B">
        <w:rPr>
          <w:rFonts w:eastAsia="PMingLiU"/>
          <w:szCs w:val="22"/>
          <w:lang w:val="el-GR" w:eastAsia="zh-TW"/>
        </w:rPr>
        <w:t>αναστολέα του ΜΕΑ (p&lt;0,05).</w:t>
      </w:r>
    </w:p>
    <w:p w:rsidR="00BF291C" w:rsidRPr="00873F9B" w:rsidRDefault="00BF291C" w:rsidP="00AA11F5">
      <w:pPr>
        <w:jc w:val="both"/>
        <w:rPr>
          <w:szCs w:val="22"/>
          <w:lang w:val="el-GR"/>
        </w:rPr>
      </w:pPr>
    </w:p>
    <w:p w:rsidR="00E47754" w:rsidRPr="00873F9B" w:rsidRDefault="00E47754" w:rsidP="00AA11F5">
      <w:pPr>
        <w:autoSpaceDE w:val="0"/>
        <w:autoSpaceDN w:val="0"/>
        <w:adjustRightInd w:val="0"/>
        <w:jc w:val="both"/>
        <w:rPr>
          <w:rFonts w:eastAsia="PMingLiU"/>
          <w:szCs w:val="22"/>
          <w:u w:val="single"/>
          <w:lang w:val="el-GR" w:eastAsia="zh-TW"/>
        </w:rPr>
      </w:pPr>
      <w:r w:rsidRPr="00873F9B">
        <w:rPr>
          <w:rFonts w:eastAsia="PMingLiU"/>
          <w:szCs w:val="22"/>
          <w:u w:val="single"/>
          <w:lang w:val="el-GR" w:eastAsia="zh-TW"/>
        </w:rPr>
        <w:t>Υπέρταση (μόνο για τα 80 mg, 160 mg)</w:t>
      </w:r>
    </w:p>
    <w:p w:rsidR="00E47754" w:rsidRPr="00873F9B" w:rsidRDefault="00E47754" w:rsidP="00AA11F5">
      <w:pPr>
        <w:autoSpaceDE w:val="0"/>
        <w:autoSpaceDN w:val="0"/>
        <w:adjustRightInd w:val="0"/>
        <w:jc w:val="both"/>
        <w:rPr>
          <w:rFonts w:eastAsia="PMingLiU"/>
          <w:szCs w:val="22"/>
          <w:lang w:val="el-GR" w:eastAsia="zh-TW"/>
        </w:rPr>
      </w:pPr>
      <w:r w:rsidRPr="00873F9B">
        <w:rPr>
          <w:rFonts w:eastAsia="PMingLiU"/>
          <w:szCs w:val="22"/>
          <w:lang w:val="el-GR" w:eastAsia="zh-TW"/>
        </w:rPr>
        <w:t xml:space="preserve">Η χορήγηση </w:t>
      </w:r>
      <w:r w:rsidR="00423E1F" w:rsidRPr="00873F9B">
        <w:rPr>
          <w:rFonts w:eastAsia="PMingLiU"/>
          <w:szCs w:val="22"/>
          <w:lang w:val="el-GR" w:eastAsia="zh-TW"/>
        </w:rPr>
        <w:t>της βαλσαρτάνης</w:t>
      </w:r>
      <w:r w:rsidRPr="00873F9B">
        <w:rPr>
          <w:rFonts w:eastAsia="PMingLiU"/>
          <w:szCs w:val="22"/>
          <w:lang w:val="el-GR" w:eastAsia="zh-TW"/>
        </w:rPr>
        <w:t xml:space="preserve"> σε ασθενείς με υπέρταση έχει σαν αποτέλεσμα τη μείωση της αρτηριακής</w:t>
      </w:r>
      <w:r w:rsidR="00B42BE0" w:rsidRPr="00873F9B">
        <w:rPr>
          <w:rFonts w:eastAsia="PMingLiU"/>
          <w:szCs w:val="22"/>
          <w:lang w:val="el-GR" w:eastAsia="zh-TW"/>
        </w:rPr>
        <w:t xml:space="preserve"> </w:t>
      </w:r>
      <w:r w:rsidRPr="00873F9B">
        <w:rPr>
          <w:rFonts w:eastAsia="PMingLiU"/>
          <w:szCs w:val="22"/>
          <w:lang w:val="el-GR" w:eastAsia="zh-TW"/>
        </w:rPr>
        <w:t>πίεσης χωρίς να επηρεασθεί η συχνότητα του σφυγμού.</w:t>
      </w:r>
    </w:p>
    <w:p w:rsidR="00E47754" w:rsidRPr="00873F9B" w:rsidRDefault="00E47754" w:rsidP="00AA11F5">
      <w:pPr>
        <w:autoSpaceDE w:val="0"/>
        <w:autoSpaceDN w:val="0"/>
        <w:adjustRightInd w:val="0"/>
        <w:jc w:val="both"/>
        <w:rPr>
          <w:rFonts w:eastAsia="PMingLiU"/>
          <w:szCs w:val="22"/>
          <w:lang w:val="el-GR" w:eastAsia="zh-TW"/>
        </w:rPr>
      </w:pPr>
      <w:r w:rsidRPr="00873F9B">
        <w:rPr>
          <w:rFonts w:eastAsia="PMingLiU"/>
          <w:szCs w:val="22"/>
          <w:lang w:val="el-GR" w:eastAsia="zh-TW"/>
        </w:rPr>
        <w:t xml:space="preserve">Στους περισσότερους ασθενείς, μετά από χορήγηση εφάπαξ δόσης από το στόμα, η έναρξη </w:t>
      </w:r>
      <w:r w:rsidR="00B42BE0" w:rsidRPr="00873F9B">
        <w:rPr>
          <w:rFonts w:eastAsia="PMingLiU"/>
          <w:szCs w:val="22"/>
          <w:lang w:val="el-GR" w:eastAsia="zh-TW"/>
        </w:rPr>
        <w:t xml:space="preserve">της </w:t>
      </w:r>
      <w:r w:rsidRPr="00873F9B">
        <w:rPr>
          <w:rFonts w:eastAsia="PMingLiU"/>
          <w:szCs w:val="22"/>
          <w:lang w:val="el-GR" w:eastAsia="zh-TW"/>
        </w:rPr>
        <w:t>αντιυπερτασικής δράσης εμφανίζεται μέσα σε 2 ώρες και η μέγιστη μείωση της αρτηριακής πίεσης</w:t>
      </w:r>
      <w:r w:rsidR="00B42BE0" w:rsidRPr="00873F9B">
        <w:rPr>
          <w:rFonts w:eastAsia="PMingLiU"/>
          <w:szCs w:val="22"/>
          <w:lang w:val="el-GR" w:eastAsia="zh-TW"/>
        </w:rPr>
        <w:t xml:space="preserve"> </w:t>
      </w:r>
      <w:r w:rsidRPr="00873F9B">
        <w:rPr>
          <w:rFonts w:eastAsia="PMingLiU"/>
          <w:szCs w:val="22"/>
          <w:lang w:val="el-GR" w:eastAsia="zh-TW"/>
        </w:rPr>
        <w:t>επιτυγχάνεται μέσα σε 4-6 ώρες. Η αντιυπερτασική δράση διαρκεί για περισσότερες από 24 ώρες μετά</w:t>
      </w:r>
      <w:r w:rsidR="00B42BE0" w:rsidRPr="00873F9B">
        <w:rPr>
          <w:rFonts w:eastAsia="PMingLiU"/>
          <w:szCs w:val="22"/>
          <w:lang w:val="el-GR" w:eastAsia="zh-TW"/>
        </w:rPr>
        <w:t xml:space="preserve"> </w:t>
      </w:r>
      <w:r w:rsidRPr="00873F9B">
        <w:rPr>
          <w:rFonts w:eastAsia="PMingLiU"/>
          <w:szCs w:val="22"/>
          <w:lang w:val="el-GR" w:eastAsia="zh-TW"/>
        </w:rPr>
        <w:t>τη χορήγηση της δόσης. Κατά τη χορήγηση επαναλαμβανόμενης δοσολογίας, η αντιυπερτασική</w:t>
      </w:r>
      <w:r w:rsidR="00B42BE0" w:rsidRPr="00873F9B">
        <w:rPr>
          <w:rFonts w:eastAsia="PMingLiU"/>
          <w:szCs w:val="22"/>
          <w:lang w:val="el-GR" w:eastAsia="zh-TW"/>
        </w:rPr>
        <w:t xml:space="preserve"> </w:t>
      </w:r>
      <w:r w:rsidRPr="00873F9B">
        <w:rPr>
          <w:rFonts w:eastAsia="PMingLiU"/>
          <w:szCs w:val="22"/>
          <w:lang w:val="el-GR" w:eastAsia="zh-TW"/>
        </w:rPr>
        <w:t>δράση εμφανίζεται ουσιαστικά εντός 2 εβδομάδων, και η μέγιστη επίδραση επιτυγχάνεται εντός</w:t>
      </w:r>
      <w:r w:rsidR="00B42BE0" w:rsidRPr="00873F9B">
        <w:rPr>
          <w:rFonts w:eastAsia="PMingLiU"/>
          <w:szCs w:val="22"/>
          <w:lang w:val="el-GR" w:eastAsia="zh-TW"/>
        </w:rPr>
        <w:t xml:space="preserve"> </w:t>
      </w:r>
      <w:r w:rsidRPr="00873F9B">
        <w:rPr>
          <w:rFonts w:eastAsia="PMingLiU"/>
          <w:szCs w:val="22"/>
          <w:lang w:val="el-GR" w:eastAsia="zh-TW"/>
        </w:rPr>
        <w:t>4 εβδομάδων και διατηρείται κατά τη διάρκεια μακροχρόνιας θεραπείας. Σε συνδυασμό με</w:t>
      </w:r>
      <w:r w:rsidR="00B42BE0" w:rsidRPr="00873F9B">
        <w:rPr>
          <w:rFonts w:eastAsia="PMingLiU"/>
          <w:szCs w:val="22"/>
          <w:lang w:val="el-GR" w:eastAsia="zh-TW"/>
        </w:rPr>
        <w:t xml:space="preserve"> </w:t>
      </w:r>
      <w:r w:rsidRPr="00873F9B">
        <w:rPr>
          <w:rFonts w:eastAsia="PMingLiU"/>
          <w:szCs w:val="22"/>
          <w:lang w:val="el-GR" w:eastAsia="zh-TW"/>
        </w:rPr>
        <w:t>υδροχλωροθειαζίδη, επιτυγχάνεται σημαντική επιπρόσθετη μείωση της αρτηριακής πίεσης.</w:t>
      </w:r>
    </w:p>
    <w:p w:rsidR="00E47754" w:rsidRPr="00873F9B" w:rsidRDefault="00E47754" w:rsidP="00AA11F5">
      <w:pPr>
        <w:autoSpaceDE w:val="0"/>
        <w:autoSpaceDN w:val="0"/>
        <w:adjustRightInd w:val="0"/>
        <w:jc w:val="both"/>
        <w:rPr>
          <w:rFonts w:eastAsia="PMingLiU"/>
          <w:szCs w:val="22"/>
          <w:lang w:val="el-GR" w:eastAsia="zh-TW"/>
        </w:rPr>
      </w:pPr>
      <w:r w:rsidRPr="00873F9B">
        <w:rPr>
          <w:rFonts w:eastAsia="PMingLiU"/>
          <w:szCs w:val="22"/>
          <w:lang w:val="el-GR" w:eastAsia="zh-TW"/>
        </w:rPr>
        <w:t xml:space="preserve">Η απότομη διακοπή </w:t>
      </w:r>
      <w:r w:rsidR="004D7EF6" w:rsidRPr="00873F9B">
        <w:rPr>
          <w:rFonts w:eastAsia="PMingLiU"/>
          <w:szCs w:val="22"/>
          <w:lang w:val="el-GR" w:eastAsia="zh-TW"/>
        </w:rPr>
        <w:t xml:space="preserve">της βαλσαρτάνης </w:t>
      </w:r>
      <w:r w:rsidRPr="00873F9B">
        <w:rPr>
          <w:rFonts w:eastAsia="PMingLiU"/>
          <w:szCs w:val="22"/>
          <w:lang w:val="el-GR" w:eastAsia="zh-TW"/>
        </w:rPr>
        <w:t>δεν έχει συσχετισθεί με υπερτασική αναπήδηση (rebound</w:t>
      </w:r>
      <w:r w:rsidR="00B42BE0" w:rsidRPr="00873F9B">
        <w:rPr>
          <w:rFonts w:eastAsia="PMingLiU"/>
          <w:szCs w:val="22"/>
          <w:lang w:val="el-GR" w:eastAsia="zh-TW"/>
        </w:rPr>
        <w:t xml:space="preserve"> </w:t>
      </w:r>
      <w:r w:rsidRPr="00873F9B">
        <w:rPr>
          <w:rFonts w:eastAsia="PMingLiU"/>
          <w:szCs w:val="22"/>
          <w:lang w:val="el-GR" w:eastAsia="zh-TW"/>
        </w:rPr>
        <w:t>hypertension) ή με άλλα ανεπιθύμητα κλινικά συμβάντα.</w:t>
      </w:r>
    </w:p>
    <w:p w:rsidR="00E47754" w:rsidRPr="00873F9B" w:rsidRDefault="00E47754" w:rsidP="00AA11F5">
      <w:pPr>
        <w:autoSpaceDE w:val="0"/>
        <w:autoSpaceDN w:val="0"/>
        <w:adjustRightInd w:val="0"/>
        <w:jc w:val="both"/>
        <w:rPr>
          <w:rFonts w:eastAsia="PMingLiU"/>
          <w:szCs w:val="22"/>
          <w:lang w:val="el-GR" w:eastAsia="zh-TW"/>
        </w:rPr>
      </w:pPr>
      <w:r w:rsidRPr="00873F9B">
        <w:rPr>
          <w:rFonts w:eastAsia="PMingLiU"/>
          <w:szCs w:val="22"/>
          <w:lang w:val="el-GR" w:eastAsia="zh-TW"/>
        </w:rPr>
        <w:t>Σε υπερτασικούς ασθενείς με διαβήτη τύπου 2 και μικρολευκωματινουρία, η βαλσαρτάνη έχει φανεί</w:t>
      </w:r>
      <w:r w:rsidR="00B42BE0" w:rsidRPr="00873F9B">
        <w:rPr>
          <w:rFonts w:eastAsia="PMingLiU"/>
          <w:szCs w:val="22"/>
          <w:lang w:val="el-GR" w:eastAsia="zh-TW"/>
        </w:rPr>
        <w:t xml:space="preserve"> </w:t>
      </w:r>
      <w:r w:rsidRPr="00873F9B">
        <w:rPr>
          <w:rFonts w:eastAsia="PMingLiU"/>
          <w:szCs w:val="22"/>
          <w:lang w:val="el-GR" w:eastAsia="zh-TW"/>
        </w:rPr>
        <w:t>ότι μειώνει την απέκκριση της λευκωματίνης στα ούρα. Η μελέτη MARVAL (μείωση</w:t>
      </w:r>
      <w:r w:rsidR="00B42BE0" w:rsidRPr="00873F9B">
        <w:rPr>
          <w:rFonts w:eastAsia="PMingLiU"/>
          <w:szCs w:val="22"/>
          <w:lang w:val="el-GR" w:eastAsia="zh-TW"/>
        </w:rPr>
        <w:t xml:space="preserve"> </w:t>
      </w:r>
      <w:r w:rsidRPr="00873F9B">
        <w:rPr>
          <w:rFonts w:eastAsia="PMingLiU"/>
          <w:szCs w:val="22"/>
          <w:lang w:val="el-GR" w:eastAsia="zh-TW"/>
        </w:rPr>
        <w:t>μικρολευκωματινουρίας με βαλσαρτάνη) αξιολόγησε τη μείωση στην απέκκριση της λευκωματίνης</w:t>
      </w:r>
      <w:r w:rsidR="00B42BE0" w:rsidRPr="00873F9B">
        <w:rPr>
          <w:rFonts w:eastAsia="PMingLiU"/>
          <w:szCs w:val="22"/>
          <w:lang w:val="el-GR" w:eastAsia="zh-TW"/>
        </w:rPr>
        <w:t xml:space="preserve"> </w:t>
      </w:r>
      <w:r w:rsidRPr="00873F9B">
        <w:rPr>
          <w:rFonts w:eastAsia="PMingLiU"/>
          <w:szCs w:val="22"/>
          <w:lang w:val="el-GR" w:eastAsia="zh-TW"/>
        </w:rPr>
        <w:t>στα ούρα (UAE) με βαλσαρτάνη (8-160 mg μία φορά την ημέρα) έναντι αμλοδιπίνης (5-10 mg μια</w:t>
      </w:r>
      <w:r w:rsidR="00B42BE0" w:rsidRPr="00873F9B">
        <w:rPr>
          <w:rFonts w:eastAsia="PMingLiU"/>
          <w:szCs w:val="22"/>
          <w:lang w:val="el-GR" w:eastAsia="zh-TW"/>
        </w:rPr>
        <w:t xml:space="preserve"> </w:t>
      </w:r>
      <w:r w:rsidRPr="00873F9B">
        <w:rPr>
          <w:rFonts w:eastAsia="PMingLiU"/>
          <w:szCs w:val="22"/>
          <w:lang w:val="el-GR" w:eastAsia="zh-TW"/>
        </w:rPr>
        <w:t xml:space="preserve">φορά την ημέρα), σε 332 ασθενείς με </w:t>
      </w:r>
      <w:r w:rsidRPr="00873F9B">
        <w:rPr>
          <w:rFonts w:eastAsia="PMingLiU"/>
          <w:szCs w:val="22"/>
          <w:lang w:val="el-GR" w:eastAsia="zh-TW"/>
        </w:rPr>
        <w:lastRenderedPageBreak/>
        <w:t>διαβήτη τύπου 2 (μέση ηλικία: 58 χρόνια, 265 άντρες) με</w:t>
      </w:r>
      <w:r w:rsidR="00B42BE0" w:rsidRPr="00873F9B">
        <w:rPr>
          <w:rFonts w:eastAsia="PMingLiU"/>
          <w:szCs w:val="22"/>
          <w:lang w:val="el-GR" w:eastAsia="zh-TW"/>
        </w:rPr>
        <w:t xml:space="preserve"> </w:t>
      </w:r>
      <w:r w:rsidRPr="00873F9B">
        <w:rPr>
          <w:rFonts w:eastAsia="PMingLiU"/>
          <w:szCs w:val="22"/>
          <w:lang w:val="el-GR" w:eastAsia="zh-TW"/>
        </w:rPr>
        <w:t>μικρολευκωματινουρία (βαλσαρτάνη: 58 μg/min, αμλοδιπίνη: 55,4 μg/min), με φυσιολογική ή υψηλή</w:t>
      </w:r>
      <w:r w:rsidR="00B42BE0" w:rsidRPr="00873F9B">
        <w:rPr>
          <w:rFonts w:eastAsia="PMingLiU"/>
          <w:szCs w:val="22"/>
          <w:lang w:val="el-GR" w:eastAsia="zh-TW"/>
        </w:rPr>
        <w:t xml:space="preserve"> </w:t>
      </w:r>
      <w:r w:rsidRPr="00873F9B">
        <w:rPr>
          <w:rFonts w:eastAsia="PMingLiU"/>
          <w:szCs w:val="22"/>
          <w:lang w:val="el-GR" w:eastAsia="zh-TW"/>
        </w:rPr>
        <w:t xml:space="preserve">αρτηριακή πίεση και με διατηρούμενη νεφρική λειτουργία (κρεατινίνη αίματος &lt;120 μmol/l). </w:t>
      </w:r>
      <w:r w:rsidR="00B42BE0" w:rsidRPr="00873F9B">
        <w:rPr>
          <w:rFonts w:eastAsia="PMingLiU"/>
          <w:szCs w:val="22"/>
          <w:lang w:val="el-GR" w:eastAsia="zh-TW"/>
        </w:rPr>
        <w:t xml:space="preserve">Στις </w:t>
      </w:r>
      <w:r w:rsidRPr="00873F9B">
        <w:rPr>
          <w:rFonts w:eastAsia="PMingLiU"/>
          <w:szCs w:val="22"/>
          <w:lang w:val="el-GR" w:eastAsia="zh-TW"/>
        </w:rPr>
        <w:t>24 εβδομάδες, η UAE μειώθηκε (p&lt;0,001) κατά 42% (–24,2 μg/min, 95% Δ.Ε.: –40,4 έως –19,1) με</w:t>
      </w:r>
      <w:r w:rsidR="00B42BE0" w:rsidRPr="00873F9B">
        <w:rPr>
          <w:rFonts w:eastAsia="PMingLiU"/>
          <w:szCs w:val="22"/>
          <w:lang w:val="el-GR" w:eastAsia="zh-TW"/>
        </w:rPr>
        <w:t xml:space="preserve"> </w:t>
      </w:r>
      <w:r w:rsidRPr="00873F9B">
        <w:rPr>
          <w:rFonts w:eastAsia="PMingLiU"/>
          <w:szCs w:val="22"/>
          <w:lang w:val="el-GR" w:eastAsia="zh-TW"/>
        </w:rPr>
        <w:t xml:space="preserve">βαλσαρτάνη και περίπου κατά 3% (–1,7 μg/min, 95% Δ.Ε.: –5,6 έως 14,9) με αμλοδιπίνη παρά </w:t>
      </w:r>
      <w:r w:rsidR="00B42BE0" w:rsidRPr="00873F9B">
        <w:rPr>
          <w:rFonts w:eastAsia="PMingLiU"/>
          <w:szCs w:val="22"/>
          <w:lang w:val="el-GR" w:eastAsia="zh-TW"/>
        </w:rPr>
        <w:t xml:space="preserve">τους </w:t>
      </w:r>
      <w:r w:rsidRPr="00873F9B">
        <w:rPr>
          <w:rFonts w:eastAsia="PMingLiU"/>
          <w:szCs w:val="22"/>
          <w:lang w:val="el-GR" w:eastAsia="zh-TW"/>
        </w:rPr>
        <w:t>παρόμοιους ρυθμούς μείωσης της αρτηριακής πίεσης και στις δύο ομάδες.</w:t>
      </w:r>
    </w:p>
    <w:p w:rsidR="001C2C2F" w:rsidRPr="00873F9B" w:rsidRDefault="001C2C2F" w:rsidP="00AA11F5">
      <w:pPr>
        <w:autoSpaceDE w:val="0"/>
        <w:autoSpaceDN w:val="0"/>
        <w:adjustRightInd w:val="0"/>
        <w:jc w:val="both"/>
        <w:rPr>
          <w:szCs w:val="22"/>
          <w:lang w:val="el-GR"/>
        </w:rPr>
      </w:pPr>
      <w:r w:rsidRPr="00873F9B">
        <w:rPr>
          <w:rFonts w:eastAsia="PMingLiU"/>
          <w:szCs w:val="22"/>
          <w:lang w:val="el-GR" w:eastAsia="zh-TW"/>
        </w:rPr>
        <w:t xml:space="preserve">Η μελέτη </w:t>
      </w:r>
      <w:r w:rsidR="004D7EF6" w:rsidRPr="00873F9B">
        <w:rPr>
          <w:rFonts w:eastAsia="PMingLiU"/>
          <w:szCs w:val="22"/>
          <w:lang w:val="el-GR" w:eastAsia="zh-TW"/>
        </w:rPr>
        <w:t>DROP</w:t>
      </w:r>
      <w:r w:rsidRPr="00873F9B">
        <w:rPr>
          <w:rFonts w:eastAsia="PMingLiU"/>
          <w:szCs w:val="22"/>
          <w:lang w:val="el-GR" w:eastAsia="zh-TW"/>
        </w:rPr>
        <w:t xml:space="preserve"> εξέτασε περαιτέρω την αποτελεσματικότητα </w:t>
      </w:r>
      <w:r w:rsidR="00B42BE0" w:rsidRPr="00873F9B">
        <w:rPr>
          <w:rFonts w:eastAsia="PMingLiU"/>
          <w:szCs w:val="22"/>
          <w:lang w:val="el-GR" w:eastAsia="zh-TW"/>
        </w:rPr>
        <w:t xml:space="preserve">της </w:t>
      </w:r>
      <w:r w:rsidRPr="00873F9B">
        <w:rPr>
          <w:rFonts w:eastAsia="PMingLiU"/>
          <w:szCs w:val="22"/>
          <w:lang w:val="el-GR" w:eastAsia="zh-TW"/>
        </w:rPr>
        <w:t>βαλσαρτάνης στη μείωση της UAE σε 391 υπερτασικούς ασθενείς (αρτηριακή πίεση=150/88 mmHg)</w:t>
      </w:r>
      <w:r w:rsidR="00B42BE0" w:rsidRPr="00873F9B">
        <w:rPr>
          <w:rFonts w:eastAsia="PMingLiU"/>
          <w:szCs w:val="22"/>
          <w:lang w:val="el-GR" w:eastAsia="zh-TW"/>
        </w:rPr>
        <w:t xml:space="preserve"> </w:t>
      </w:r>
      <w:r w:rsidRPr="00873F9B">
        <w:rPr>
          <w:rFonts w:eastAsia="PMingLiU"/>
          <w:szCs w:val="22"/>
          <w:lang w:val="el-GR" w:eastAsia="zh-TW"/>
        </w:rPr>
        <w:t>με διαβήτη τύπου 2, μικρολευκωματινουρία (μέση=102 μg/min, 20-700 μg/min) και διατηρούμενη</w:t>
      </w:r>
      <w:r w:rsidR="00B42BE0" w:rsidRPr="00873F9B">
        <w:rPr>
          <w:rFonts w:eastAsia="PMingLiU"/>
          <w:szCs w:val="22"/>
          <w:lang w:val="el-GR" w:eastAsia="zh-TW"/>
        </w:rPr>
        <w:t xml:space="preserve"> </w:t>
      </w:r>
      <w:r w:rsidRPr="00873F9B">
        <w:rPr>
          <w:rFonts w:eastAsia="PMingLiU"/>
          <w:szCs w:val="22"/>
          <w:lang w:val="el-GR" w:eastAsia="zh-TW"/>
        </w:rPr>
        <w:t>νεφρική λειτουργία (μέση κρεατινίνη ορού = 80 μmol/l). Οι ασθενείς τυχαιοποιήθηκαν σε μία από</w:t>
      </w:r>
      <w:r w:rsidR="00B42BE0" w:rsidRPr="00873F9B">
        <w:rPr>
          <w:rFonts w:eastAsia="PMingLiU"/>
          <w:szCs w:val="22"/>
          <w:lang w:val="el-GR" w:eastAsia="zh-TW"/>
        </w:rPr>
        <w:t xml:space="preserve"> </w:t>
      </w:r>
      <w:r w:rsidRPr="00873F9B">
        <w:rPr>
          <w:rFonts w:eastAsia="PMingLiU"/>
          <w:szCs w:val="22"/>
          <w:lang w:val="el-GR" w:eastAsia="zh-TW"/>
        </w:rPr>
        <w:t>3 δόσεις βαλσαρτάνης (160, 320 και 640 mg μία φορά την ημέρα) και έλαβαν θεραπεία για 30 εβδομάδες. Ο σκοπός της μελέτης ήταν να καθορίσει τη βέλτιστη δόση της βαλσαρτάνης για τη μείωση της UAE σε υπερτασικούς ασθενείς με διαβήτη τύπου 2. Σε 30 εβδομάδες, το ποσοστό αλλαγής στην UAE μειώθηκε σημαντικά κατά 36% από τη γραμμή αναφοράς με βαλσαρτάνη 160 mg (95% Δ.Ε: 22 έως 47%), και κατά 44% με βαλσαρτάνη 320 mg (95%Δ.Ε.: 31 έως 54%). Προέκυψε ότι 160-320 mg βαλσαρτάνης προκάλεσαν κλινικά σχετικές μειώσεις στην UAE σε υπερτασικούς ασθενείς με διαβήτη τύπου 2.</w:t>
      </w:r>
    </w:p>
    <w:p w:rsidR="00E47754" w:rsidRPr="00873F9B" w:rsidRDefault="00E47754" w:rsidP="00AA11F5">
      <w:pPr>
        <w:jc w:val="both"/>
        <w:rPr>
          <w:szCs w:val="22"/>
          <w:lang w:val="el-GR"/>
        </w:rPr>
      </w:pPr>
    </w:p>
    <w:p w:rsidR="00DB25B4" w:rsidRPr="00873F9B" w:rsidRDefault="00DB25B4" w:rsidP="00AA11F5">
      <w:pPr>
        <w:autoSpaceDE w:val="0"/>
        <w:autoSpaceDN w:val="0"/>
        <w:adjustRightInd w:val="0"/>
        <w:jc w:val="both"/>
        <w:rPr>
          <w:rFonts w:eastAsia="PMingLiU"/>
          <w:szCs w:val="22"/>
          <w:u w:val="single"/>
          <w:lang w:val="el-GR" w:eastAsia="zh-TW"/>
        </w:rPr>
      </w:pPr>
      <w:r w:rsidRPr="00873F9B">
        <w:rPr>
          <w:rFonts w:eastAsia="PMingLiU"/>
          <w:szCs w:val="22"/>
          <w:u w:val="single"/>
          <w:lang w:val="el-GR" w:eastAsia="zh-TW"/>
        </w:rPr>
        <w:t>Πρόσφατο έμφραγμα του μυοκαρδίου (40 mg, 80 mg και 160 mg)</w:t>
      </w:r>
    </w:p>
    <w:p w:rsidR="00DB25B4" w:rsidRPr="00873F9B" w:rsidRDefault="00DB25B4" w:rsidP="00AA11F5">
      <w:pPr>
        <w:autoSpaceDE w:val="0"/>
        <w:autoSpaceDN w:val="0"/>
        <w:adjustRightInd w:val="0"/>
        <w:jc w:val="both"/>
        <w:rPr>
          <w:rFonts w:eastAsia="PMingLiU"/>
          <w:szCs w:val="22"/>
          <w:lang w:val="el-GR" w:eastAsia="zh-TW"/>
        </w:rPr>
      </w:pPr>
      <w:r w:rsidRPr="00873F9B">
        <w:rPr>
          <w:rFonts w:eastAsia="PMingLiU"/>
          <w:szCs w:val="22"/>
          <w:lang w:val="el-GR" w:eastAsia="zh-TW"/>
        </w:rPr>
        <w:t xml:space="preserve">Η μελέτη </w:t>
      </w:r>
      <w:r w:rsidRPr="00873F9B">
        <w:rPr>
          <w:rFonts w:eastAsia="PMingLiU"/>
          <w:szCs w:val="22"/>
          <w:lang w:eastAsia="zh-TW"/>
        </w:rPr>
        <w:t>VALsartan</w:t>
      </w:r>
      <w:r w:rsidRPr="00873F9B">
        <w:rPr>
          <w:rFonts w:eastAsia="PMingLiU"/>
          <w:szCs w:val="22"/>
          <w:lang w:val="el-GR" w:eastAsia="zh-TW"/>
        </w:rPr>
        <w:t xml:space="preserve"> </w:t>
      </w:r>
      <w:r w:rsidRPr="00873F9B">
        <w:rPr>
          <w:rFonts w:eastAsia="PMingLiU"/>
          <w:szCs w:val="22"/>
          <w:lang w:eastAsia="zh-TW"/>
        </w:rPr>
        <w:t>In</w:t>
      </w:r>
      <w:r w:rsidRPr="00873F9B">
        <w:rPr>
          <w:rFonts w:eastAsia="PMingLiU"/>
          <w:szCs w:val="22"/>
          <w:lang w:val="el-GR" w:eastAsia="zh-TW"/>
        </w:rPr>
        <w:t xml:space="preserve"> </w:t>
      </w:r>
      <w:r w:rsidRPr="00873F9B">
        <w:rPr>
          <w:rFonts w:eastAsia="PMingLiU"/>
          <w:szCs w:val="22"/>
          <w:lang w:eastAsia="zh-TW"/>
        </w:rPr>
        <w:t>Acute</w:t>
      </w:r>
      <w:r w:rsidRPr="00873F9B">
        <w:rPr>
          <w:rFonts w:eastAsia="PMingLiU"/>
          <w:szCs w:val="22"/>
          <w:lang w:val="el-GR" w:eastAsia="zh-TW"/>
        </w:rPr>
        <w:t xml:space="preserve"> </w:t>
      </w:r>
      <w:r w:rsidRPr="00873F9B">
        <w:rPr>
          <w:rFonts w:eastAsia="PMingLiU"/>
          <w:szCs w:val="22"/>
          <w:lang w:eastAsia="zh-TW"/>
        </w:rPr>
        <w:t>myocardial</w:t>
      </w:r>
      <w:r w:rsidRPr="00873F9B">
        <w:rPr>
          <w:rFonts w:eastAsia="PMingLiU"/>
          <w:szCs w:val="22"/>
          <w:lang w:val="el-GR" w:eastAsia="zh-TW"/>
        </w:rPr>
        <w:t xml:space="preserve"> </w:t>
      </w:r>
      <w:r w:rsidR="00812D36" w:rsidRPr="00873F9B">
        <w:rPr>
          <w:szCs w:val="22"/>
        </w:rPr>
        <w:t>iNfarcTion</w:t>
      </w:r>
      <w:r w:rsidRPr="00873F9B">
        <w:rPr>
          <w:rFonts w:eastAsia="PMingLiU"/>
          <w:szCs w:val="22"/>
          <w:lang w:val="el-GR" w:eastAsia="zh-TW"/>
        </w:rPr>
        <w:t xml:space="preserve"> (</w:t>
      </w:r>
      <w:r w:rsidRPr="00873F9B">
        <w:rPr>
          <w:rFonts w:eastAsia="PMingLiU"/>
          <w:szCs w:val="22"/>
          <w:lang w:eastAsia="zh-TW"/>
        </w:rPr>
        <w:t>VALIANT</w:t>
      </w:r>
      <w:r w:rsidRPr="00873F9B">
        <w:rPr>
          <w:rFonts w:eastAsia="PMingLiU"/>
          <w:szCs w:val="22"/>
          <w:lang w:val="el-GR" w:eastAsia="zh-TW"/>
        </w:rPr>
        <w:t>) ήταν μία τυχαιοποιημένη, ελεγχόμενη, πολυεθνική, διπλή-τυφλή μελέτη σε 14.703 ασθενείς με οξύ έμφραγμα του μυοκαρδίου και σημεία, συμπτώματα ή ακτινολογικές ενδείξεις συμφορητικής καρδιακής ανεπάρκειας ή/και ενδείξεις συστολικής δυσλειτουργίας της αριστερής κοιλίας (που εκδηλώνεται ως κλάσμα εξώθησης ≤40% στην κοιλιογραφία με ραδιονουκλεοτίδιο ή ≤35% στο ηχοκαρδιογράφημα ή στην κοιλιακή αγγειογραφία αντίθεσης). Οι ασθενείς τυχαιοποιήθηκαν σε διάστημα 12 ωρών έως 10 ημερών από την έναρξη των συμπτωμάτων του εμφράγματος του μυοκαρδίου στη βαλσαρτάνη, στην καπτοπρίλη ή στο συνδυασμό τους. Η μέση διάρκεια της θεραπείας ήταν δύο χρόνια. Το κύριο τελικό σημείο ήταν ο χρόνος μέχρι τη θνησιμότητα από κάθε αίτιο.</w:t>
      </w:r>
    </w:p>
    <w:p w:rsidR="00DB25B4" w:rsidRPr="00873F9B" w:rsidRDefault="00DB25B4" w:rsidP="00AA11F5">
      <w:pPr>
        <w:autoSpaceDE w:val="0"/>
        <w:autoSpaceDN w:val="0"/>
        <w:adjustRightInd w:val="0"/>
        <w:jc w:val="both"/>
        <w:rPr>
          <w:rFonts w:eastAsia="PMingLiU"/>
          <w:szCs w:val="22"/>
          <w:lang w:val="el-GR" w:eastAsia="zh-TW"/>
        </w:rPr>
      </w:pPr>
      <w:r w:rsidRPr="00873F9B">
        <w:rPr>
          <w:rFonts w:eastAsia="PMingLiU"/>
          <w:szCs w:val="22"/>
          <w:lang w:val="el-GR" w:eastAsia="zh-TW"/>
        </w:rPr>
        <w:t>Η βαλσαρτάνη ήταν εξίσου αποτελεσματική με την καπτοπρίλη στη μείωση της θνησιμότητας από κάθε αίτιο μετά από έμφραγμα του μυοκαρδίου. Η θνησιμότητα από κάθε αίτιο ήταν παρόμοια στις ομάδες της βαλσαρτάνης (19,9 %), της καπτοπρίλης (19,5 %), και της βαλσαρτάνης + καπτοπρίλης (19,3 %). Ο συνδυασμός της βαλσαρτάνης και της καπτοπρίλης δεν πρόσθεσε κανένα επιπλέον όφελος σε σχέση με την καπτοπρίλη μόνο. Δεν υπήρξαν διαφορές μεταξύ βαλσαρτάνης και καπτοπρίλης αναφορικά με τη θνησιμότητα από κάθε αίτιο σε σχέση με την ηλικία, το φύλο, τη φυλή, τις θεραπείες αναφοράς ή την υποκείμενη νόσο. Η βαλσαρτάνη ήταν επίσης αποτελεσματική στην επιμήκυνση του χρόνου μέχρι την εμφάνιση θνησιμότητας καρδιοαγγειακής αιτιολογίας και στη μείωση της θνησιμότητας καρδιοαγγειακής αιτιολογίας, της νοσηλείας για καρδιακή ανεπάρκεια, του νέου εμφράγματος μυοκαρδίου, της καρδιακής παύσης που ανατάχτηκε και του μη-θανατηφόρου εγκεφαλικού επεισοδίου (δευτερεύον σύνθετο τελικό σημείο).</w:t>
      </w:r>
    </w:p>
    <w:p w:rsidR="00DB25B4" w:rsidRPr="00873F9B" w:rsidRDefault="00DB25B4" w:rsidP="00AA11F5">
      <w:pPr>
        <w:autoSpaceDE w:val="0"/>
        <w:autoSpaceDN w:val="0"/>
        <w:adjustRightInd w:val="0"/>
        <w:jc w:val="both"/>
        <w:rPr>
          <w:rFonts w:eastAsia="PMingLiU"/>
          <w:szCs w:val="22"/>
          <w:lang w:val="el-GR" w:eastAsia="zh-TW"/>
        </w:rPr>
      </w:pPr>
      <w:r w:rsidRPr="00873F9B">
        <w:rPr>
          <w:rFonts w:eastAsia="PMingLiU"/>
          <w:szCs w:val="22"/>
          <w:lang w:val="el-GR" w:eastAsia="zh-TW"/>
        </w:rPr>
        <w:t>Το προφίλ ασφαλείας της βαλσαρτάνης ήταν συνεπές με την κλινική πορεία των ασθενών που έλαβαν θεραπεία μετά από έμφραγμα του μυοκαρδίου. Σχετικά με τη νεφρική λειτουργία, διπλασιασμός της κρεατινίνης ορού παρατηρήθηκε σε 4,2% των ασθενών που έλαβαν θεραπεία με βαλσαρτάνη, 4,8% των ασθενών που έλαβαν θεραπεία με βαλσαρτάνη + καπτοπρίλη και 3,4% των ασθενών που έλαβαν θεραπεία με καπτοπρίλη. Διακοπή της θεραπείας λόγω διαφόρων τύπων νεφρικής δυσλειτουργίας παρατηρήθηκε το 1,1% των ασθενών που έλαβαν θεραπεία με βαλσαρτάνη, στο 1,3% των ασθενών που έλαβαν θεραπεία με βαλσαρτάνη + καπτοπρίλη, και στο 0,8 % των ασθενών που έλαβαν θεραπεία με καπτοπρίλη. Η αξιολόγηση των ασθενών μετά από έμφραγμα του μυοκαρδίου πρέπει πάντα να περιλαμβάνει εκτίμηση της νεφρικής λειτουργίας.</w:t>
      </w:r>
    </w:p>
    <w:p w:rsidR="00A60EB6" w:rsidRPr="00873F9B" w:rsidRDefault="00DB25B4" w:rsidP="00AA11F5">
      <w:pPr>
        <w:autoSpaceDE w:val="0"/>
        <w:autoSpaceDN w:val="0"/>
        <w:adjustRightInd w:val="0"/>
        <w:jc w:val="both"/>
        <w:rPr>
          <w:szCs w:val="22"/>
          <w:lang w:val="el-GR"/>
        </w:rPr>
      </w:pPr>
      <w:r w:rsidRPr="00873F9B">
        <w:rPr>
          <w:rFonts w:eastAsia="PMingLiU"/>
          <w:szCs w:val="22"/>
          <w:lang w:val="el-GR" w:eastAsia="zh-TW"/>
        </w:rPr>
        <w:t>Δεν υπήρξε διαφορά στη θνησιμότητα από όλα τα αίτια, την θνησιμότητα καρδιοαγγειακής αιτιολογίας και τη νοσηρότητα όταν χορηγήθηκαν β-αποκλειστές μαζί με το συνδυασμό βαλσαρτάνης + καπτοπρίλης, βαλσαρτάνη μόνο ή καπτοπρίλη μόνο. Ανεξάρτητα από την ομάδα φαρμάκου της μελέτης, η θνησιμότητα ήταν χαμηλότερη στην ομάδα των ασθενών που έλαβαν θεραπεία με β – αποκλειστή, γεγονός που υποδεικνύει ότι το προταθέν όφελος από τους β-αποκλειστές στον πληθυσμό αυτό διατηρήθηκε και στη δοκιμή αυτή.</w:t>
      </w:r>
    </w:p>
    <w:p w:rsidR="00A60EB6" w:rsidRPr="00873F9B" w:rsidRDefault="00A60EB6" w:rsidP="00AA11F5">
      <w:pPr>
        <w:pStyle w:val="NormalLatinArial"/>
        <w:jc w:val="both"/>
        <w:rPr>
          <w:rFonts w:ascii="Times New Roman" w:hAnsi="Times New Roman"/>
          <w:sz w:val="22"/>
          <w:szCs w:val="22"/>
          <w:lang w:val="el-GR"/>
        </w:rPr>
      </w:pPr>
    </w:p>
    <w:p w:rsidR="0020629D" w:rsidRPr="00873F9B" w:rsidRDefault="0020629D" w:rsidP="00AA11F5">
      <w:pPr>
        <w:autoSpaceDE w:val="0"/>
        <w:autoSpaceDN w:val="0"/>
        <w:adjustRightInd w:val="0"/>
        <w:jc w:val="both"/>
        <w:rPr>
          <w:szCs w:val="22"/>
          <w:u w:val="single"/>
          <w:lang w:val="el-GR"/>
        </w:rPr>
      </w:pPr>
      <w:r w:rsidRPr="00873F9B">
        <w:rPr>
          <w:szCs w:val="22"/>
          <w:u w:val="single"/>
          <w:lang w:val="el-GR"/>
        </w:rPr>
        <w:lastRenderedPageBreak/>
        <w:t xml:space="preserve">Καρδιακή ανεπάρκεια (40 </w:t>
      </w:r>
      <w:r w:rsidRPr="00873F9B">
        <w:rPr>
          <w:szCs w:val="22"/>
          <w:u w:val="single"/>
        </w:rPr>
        <w:t>mg</w:t>
      </w:r>
      <w:r w:rsidRPr="00873F9B">
        <w:rPr>
          <w:szCs w:val="22"/>
          <w:u w:val="single"/>
          <w:lang w:val="el-GR"/>
        </w:rPr>
        <w:t xml:space="preserve"> , 80 </w:t>
      </w:r>
      <w:r w:rsidRPr="00873F9B">
        <w:rPr>
          <w:szCs w:val="22"/>
          <w:u w:val="single"/>
        </w:rPr>
        <w:t>mg</w:t>
      </w:r>
      <w:r w:rsidRPr="00873F9B">
        <w:rPr>
          <w:szCs w:val="22"/>
          <w:u w:val="single"/>
          <w:lang w:val="el-GR"/>
        </w:rPr>
        <w:t xml:space="preserve"> και 160 </w:t>
      </w:r>
      <w:r w:rsidRPr="00873F9B">
        <w:rPr>
          <w:szCs w:val="22"/>
          <w:u w:val="single"/>
        </w:rPr>
        <w:t>mg</w:t>
      </w:r>
      <w:r w:rsidRPr="00873F9B">
        <w:rPr>
          <w:szCs w:val="22"/>
          <w:u w:val="single"/>
          <w:lang w:val="el-GR"/>
        </w:rPr>
        <w:t>)</w:t>
      </w:r>
    </w:p>
    <w:p w:rsidR="00BF291C" w:rsidRPr="00873F9B" w:rsidRDefault="0020629D" w:rsidP="00AA11F5">
      <w:pPr>
        <w:autoSpaceDE w:val="0"/>
        <w:autoSpaceDN w:val="0"/>
        <w:adjustRightInd w:val="0"/>
        <w:jc w:val="both"/>
        <w:rPr>
          <w:rFonts w:eastAsia="PMingLiU"/>
          <w:szCs w:val="22"/>
          <w:lang w:val="el-GR" w:eastAsia="zh-TW"/>
        </w:rPr>
      </w:pPr>
      <w:r w:rsidRPr="00873F9B">
        <w:rPr>
          <w:rFonts w:eastAsia="PMingLiU"/>
          <w:szCs w:val="22"/>
          <w:lang w:val="el-GR" w:eastAsia="zh-TW"/>
        </w:rPr>
        <w:t xml:space="preserve">Η </w:t>
      </w:r>
      <w:r w:rsidR="000046C8" w:rsidRPr="00873F9B">
        <w:rPr>
          <w:szCs w:val="22"/>
        </w:rPr>
        <w:t>Val</w:t>
      </w:r>
      <w:r w:rsidR="000046C8" w:rsidRPr="00873F9B">
        <w:rPr>
          <w:szCs w:val="22"/>
          <w:lang w:val="el-GR"/>
        </w:rPr>
        <w:t>-</w:t>
      </w:r>
      <w:r w:rsidR="000046C8" w:rsidRPr="00873F9B">
        <w:rPr>
          <w:szCs w:val="22"/>
        </w:rPr>
        <w:t>HeFT</w:t>
      </w:r>
      <w:r w:rsidRPr="00873F9B">
        <w:rPr>
          <w:rFonts w:eastAsia="PMingLiU"/>
          <w:szCs w:val="22"/>
          <w:lang w:val="el-GR" w:eastAsia="zh-TW"/>
        </w:rPr>
        <w:t xml:space="preserve"> ήταν μία τυχαιοποιημένη, ελεγχόμενη, πολυεθνική κλινική δοκιμή σύγκρισης της βαλσαρτάνης με το εικονικό φάρμακο όσον αφορά τη νοσηρότητα και τη θνησιμότητα σε 5.010 ασθενείς με καρδιακή ανεπάρκεια, τάξης II (62%), III (36%) και IV (2%) κατά NYHA που λαμβάνουν τη συνήθη θεραπεία με LVEF &lt;40% και εσωτερική διαστολική διάμετρο της αριστερής κοιλίας (LVIDD) &gt;2,9 cm/m</w:t>
      </w:r>
      <w:r w:rsidR="000046C8" w:rsidRPr="00873F9B">
        <w:rPr>
          <w:rFonts w:eastAsia="PMingLiU"/>
          <w:szCs w:val="22"/>
          <w:vertAlign w:val="superscript"/>
          <w:lang w:val="el-GR" w:eastAsia="zh-TW"/>
        </w:rPr>
        <w:t>2</w:t>
      </w:r>
      <w:r w:rsidRPr="00873F9B">
        <w:rPr>
          <w:rFonts w:eastAsia="PMingLiU"/>
          <w:szCs w:val="22"/>
          <w:lang w:val="el-GR" w:eastAsia="zh-TW"/>
        </w:rPr>
        <w:t xml:space="preserve">. Η θεραπεία αναφοράς περιελάμβανε αναστολείς ΜΕΑ (93%), διουρητικά (86%), διγοξίνη (67%) και β-αναστολείς (36%). Η μέση διάρκεια της παρακολούθησης ήταν σχεδόν δύο χρόνια. Η μέση ημερήσια δόση </w:t>
      </w:r>
      <w:r w:rsidR="000046C8" w:rsidRPr="00873F9B">
        <w:rPr>
          <w:rFonts w:eastAsia="PMingLiU"/>
          <w:szCs w:val="22"/>
          <w:lang w:val="el-GR" w:eastAsia="zh-TW"/>
        </w:rPr>
        <w:t>βαλσαρτάνης</w:t>
      </w:r>
      <w:r w:rsidRPr="00873F9B">
        <w:rPr>
          <w:rFonts w:eastAsia="PMingLiU"/>
          <w:szCs w:val="22"/>
          <w:lang w:val="el-GR" w:eastAsia="zh-TW"/>
        </w:rPr>
        <w:t xml:space="preserve"> στη μελέτη Val-HeFT ήταν 254 mg. Η μελέτη είχε δύο πρωτεύοντα τελικά σημεία: θνησιμότητα από οποιαδήποτε αιτία (χρόνος έως το θάνατο) και σύνθετη θνησιμότητα και νοσηρότητα από καρδιακή ανεπάρκεια (χρόνος έως το πρώτο συμβάν νοσηρότητας) που ορίζεται ως θάνατος, ως αιφνίδιος θάνατος με ανάνηψη, νοσηλεία για καρδιακή ανεπάρκεια ή χορήγηση ενδοφλέβιων ινοτρόπων ή αγγειοδιασταλτικών φαρμάκων για τέσσερις ώρες ή περισσότερο χωρίς εισαγωγή στο νοσοκομείο.</w:t>
      </w:r>
    </w:p>
    <w:p w:rsidR="0020629D" w:rsidRPr="00873F9B" w:rsidRDefault="0020629D" w:rsidP="00AA11F5">
      <w:pPr>
        <w:autoSpaceDE w:val="0"/>
        <w:autoSpaceDN w:val="0"/>
        <w:adjustRightInd w:val="0"/>
        <w:jc w:val="both"/>
        <w:rPr>
          <w:rFonts w:eastAsia="PMingLiU"/>
          <w:szCs w:val="22"/>
          <w:lang w:val="el-GR" w:eastAsia="zh-TW"/>
        </w:rPr>
      </w:pPr>
      <w:r w:rsidRPr="00873F9B">
        <w:rPr>
          <w:rFonts w:eastAsia="PMingLiU"/>
          <w:szCs w:val="22"/>
          <w:lang w:val="el-GR" w:eastAsia="zh-TW"/>
        </w:rPr>
        <w:t>Η θνησιμότητα ανεξαρτήτως αιτίας ήταν παρόμοια (p=NS) στις ομάδες της βαλσαρτάνης (19,7%) και του εικονικού φαρμάκου (19,4%). Το κύριο όφελος ήταν η κατά 27,5% (95% Δ.Ε.: 17 έως 37%) μείωση του κινδύνου που αφορά στο χρόνο μέχρι την πρώτη νοσηλεία για την καρδιακή ανεπάρκεια (13,9% έναντι 18,5%). Τα αποτελέσματα που φαίνονται ευνοϊκά για το εικονικό φάρμακο (η σύνθετη θνησιμότητα και νοσηρότητα ήταν 21,9% στο εικονικό φάρμακο έναντι 25,4% στην ομάδα βαλσαρτάνης) παρατηρήθηκαν στους ασθενείς εκείνους που ελάμβαναν τον τριπλό συνδυασμό, αναστολέα ΜΕΑ, β-αποκλειστή και βαλσαρτάνης.</w:t>
      </w:r>
    </w:p>
    <w:p w:rsidR="0020629D" w:rsidRPr="00873F9B" w:rsidRDefault="0020629D" w:rsidP="00AA11F5">
      <w:pPr>
        <w:autoSpaceDE w:val="0"/>
        <w:autoSpaceDN w:val="0"/>
        <w:adjustRightInd w:val="0"/>
        <w:jc w:val="both"/>
        <w:rPr>
          <w:rFonts w:eastAsia="PMingLiU"/>
          <w:szCs w:val="22"/>
          <w:lang w:val="el-GR" w:eastAsia="zh-TW"/>
        </w:rPr>
      </w:pPr>
      <w:r w:rsidRPr="00873F9B">
        <w:rPr>
          <w:rFonts w:eastAsia="PMingLiU"/>
          <w:szCs w:val="22"/>
          <w:lang w:val="el-GR" w:eastAsia="zh-TW"/>
        </w:rPr>
        <w:t>Σε μια υποομάδα ασθενών που δεν ελάμβαναν αναστολέα ΜΕΑ (n=366), τα οφέλη νοσηρότητας ήταν μέγιστα. Σε αυτή την υποομάδα η θνησιμότητα από όλα τα αίτια μειώθηκε σημαντικά με τη βαλσαρτάνη σε σύγκριση με το εικονικό φάρμακο κατά 33% (95% Δ.Ε.: –6% έως 58%) (17,3% βαλσαρτάνη έναντι 27,1% εικονικό φάρμακο) και ο κίνδυνος σύνθετης θνησιμότητας και νοσηρότητας μειώθηκε σημαντικά κατά 44% (24,9% βαλσαρτάνη έναντι 42,5% εικονικό φάρμακο).</w:t>
      </w:r>
    </w:p>
    <w:p w:rsidR="0020629D" w:rsidRPr="00873F9B" w:rsidRDefault="0020629D" w:rsidP="00AA11F5">
      <w:pPr>
        <w:autoSpaceDE w:val="0"/>
        <w:autoSpaceDN w:val="0"/>
        <w:adjustRightInd w:val="0"/>
        <w:jc w:val="both"/>
        <w:rPr>
          <w:rFonts w:eastAsia="PMingLiU"/>
          <w:szCs w:val="22"/>
          <w:lang w:val="el-GR" w:eastAsia="zh-TW"/>
        </w:rPr>
      </w:pPr>
      <w:r w:rsidRPr="00873F9B">
        <w:rPr>
          <w:rFonts w:eastAsia="PMingLiU"/>
          <w:szCs w:val="22"/>
          <w:lang w:val="el-GR" w:eastAsia="zh-TW"/>
        </w:rPr>
        <w:t>Στους ασθενείς που ελάμβαναν αναστολέα ΜΕΑ χωρίς κάποιο β-αποκλειστή, η νοσηρότητα από όλα τα αίτια μειώθηκε σημαντικά (p=NS) στην ομάδα βαλσαρτάνης (21,8%) και στην ομάδα εικονικού φαρμάκου (22,5%). Ο κίνδυνος σύνθετης θνησιμότητας και νοσηρότητας μειώθηκε σημαντικά κατά 18,3% (95% Δ.Ε.: 8% έως 28%) με τη βαλσαρτάνη σε σύγκριση με το εικονικό φάρμακο (31,0% έναντι 36,3%).</w:t>
      </w:r>
    </w:p>
    <w:p w:rsidR="0020629D" w:rsidRPr="00873F9B" w:rsidRDefault="0020629D" w:rsidP="00AA11F5">
      <w:pPr>
        <w:autoSpaceDE w:val="0"/>
        <w:autoSpaceDN w:val="0"/>
        <w:adjustRightInd w:val="0"/>
        <w:jc w:val="both"/>
        <w:rPr>
          <w:szCs w:val="22"/>
          <w:lang w:val="el-GR"/>
        </w:rPr>
      </w:pPr>
      <w:r w:rsidRPr="00873F9B">
        <w:rPr>
          <w:rFonts w:eastAsia="PMingLiU"/>
          <w:szCs w:val="22"/>
          <w:lang w:val="el-GR" w:eastAsia="zh-TW"/>
        </w:rPr>
        <w:t>Στο συνολικό πληθυσμό της μελέτης Val-HeFT, οι ασθενείς που έλαβαν θεραπεία με βαλσαρτάνη παρουσίασαν σημαντική βελτίωση στην κατηγορία κατά NYHA και στα σημεία και συμπτώματα καρδιακής ανεπάρκειας, συμπεριλαμβανομένης της δύσπνοιας, του αισθήματος κόπωσης, του οιδήματος και των ρόγχων σε σύγκριση με το εικονικό φάρμακο. Οι ασθενείς που ελάμβαναν βαλσαρτάνη είχαν καλύτερη ποιότητα ζωής, όπως καταδείχτηκε στη βαθμολογία της κλίμακας ‘</w:t>
      </w:r>
      <w:r w:rsidRPr="00873F9B">
        <w:rPr>
          <w:rFonts w:eastAsia="PMingLiU"/>
          <w:szCs w:val="22"/>
          <w:lang w:eastAsia="zh-TW"/>
        </w:rPr>
        <w:t>Minnesota</w:t>
      </w:r>
      <w:r w:rsidRPr="00873F9B">
        <w:rPr>
          <w:rFonts w:eastAsia="PMingLiU"/>
          <w:szCs w:val="22"/>
          <w:lang w:val="el-GR" w:eastAsia="zh-TW"/>
        </w:rPr>
        <w:t xml:space="preserve"> </w:t>
      </w:r>
      <w:r w:rsidRPr="00873F9B">
        <w:rPr>
          <w:rFonts w:eastAsia="PMingLiU"/>
          <w:szCs w:val="22"/>
          <w:lang w:eastAsia="zh-TW"/>
        </w:rPr>
        <w:t>Living</w:t>
      </w:r>
      <w:r w:rsidRPr="00873F9B">
        <w:rPr>
          <w:rFonts w:eastAsia="PMingLiU"/>
          <w:szCs w:val="22"/>
          <w:lang w:val="el-GR" w:eastAsia="zh-TW"/>
        </w:rPr>
        <w:t xml:space="preserve"> </w:t>
      </w:r>
      <w:r w:rsidRPr="00873F9B">
        <w:rPr>
          <w:rFonts w:eastAsia="PMingLiU"/>
          <w:szCs w:val="22"/>
          <w:lang w:eastAsia="zh-TW"/>
        </w:rPr>
        <w:t>with</w:t>
      </w:r>
      <w:r w:rsidRPr="00873F9B">
        <w:rPr>
          <w:rFonts w:eastAsia="PMingLiU"/>
          <w:szCs w:val="22"/>
          <w:lang w:val="el-GR" w:eastAsia="zh-TW"/>
        </w:rPr>
        <w:t xml:space="preserve"> </w:t>
      </w:r>
      <w:r w:rsidRPr="00873F9B">
        <w:rPr>
          <w:rFonts w:eastAsia="PMingLiU"/>
          <w:szCs w:val="22"/>
          <w:lang w:eastAsia="zh-TW"/>
        </w:rPr>
        <w:t>Heart</w:t>
      </w:r>
      <w:r w:rsidRPr="00873F9B">
        <w:rPr>
          <w:rFonts w:eastAsia="PMingLiU"/>
          <w:szCs w:val="22"/>
          <w:lang w:val="el-GR" w:eastAsia="zh-TW"/>
        </w:rPr>
        <w:t xml:space="preserve"> </w:t>
      </w:r>
      <w:r w:rsidRPr="00873F9B">
        <w:rPr>
          <w:rFonts w:eastAsia="PMingLiU"/>
          <w:szCs w:val="22"/>
          <w:lang w:eastAsia="zh-TW"/>
        </w:rPr>
        <w:t>Failure</w:t>
      </w:r>
      <w:r w:rsidRPr="00873F9B">
        <w:rPr>
          <w:rFonts w:eastAsia="PMingLiU"/>
          <w:szCs w:val="22"/>
          <w:lang w:val="el-GR" w:eastAsia="zh-TW"/>
        </w:rPr>
        <w:t xml:space="preserve"> </w:t>
      </w:r>
      <w:r w:rsidRPr="00873F9B">
        <w:rPr>
          <w:rFonts w:eastAsia="PMingLiU"/>
          <w:szCs w:val="22"/>
          <w:lang w:eastAsia="zh-TW"/>
        </w:rPr>
        <w:t>Quality</w:t>
      </w:r>
      <w:r w:rsidRPr="00873F9B">
        <w:rPr>
          <w:rFonts w:eastAsia="PMingLiU"/>
          <w:szCs w:val="22"/>
          <w:lang w:val="el-GR" w:eastAsia="zh-TW"/>
        </w:rPr>
        <w:t xml:space="preserve"> </w:t>
      </w:r>
      <w:r w:rsidRPr="00873F9B">
        <w:rPr>
          <w:rFonts w:eastAsia="PMingLiU"/>
          <w:szCs w:val="22"/>
          <w:lang w:eastAsia="zh-TW"/>
        </w:rPr>
        <w:t>of</w:t>
      </w:r>
      <w:r w:rsidRPr="00873F9B">
        <w:rPr>
          <w:rFonts w:eastAsia="PMingLiU"/>
          <w:szCs w:val="22"/>
          <w:lang w:val="el-GR" w:eastAsia="zh-TW"/>
        </w:rPr>
        <w:t xml:space="preserve"> </w:t>
      </w:r>
      <w:r w:rsidRPr="00873F9B">
        <w:rPr>
          <w:rFonts w:eastAsia="PMingLiU"/>
          <w:szCs w:val="22"/>
          <w:lang w:eastAsia="zh-TW"/>
        </w:rPr>
        <w:t>Life</w:t>
      </w:r>
      <w:r w:rsidRPr="00873F9B">
        <w:rPr>
          <w:rFonts w:eastAsia="PMingLiU"/>
          <w:szCs w:val="22"/>
          <w:lang w:val="el-GR" w:eastAsia="zh-TW"/>
        </w:rPr>
        <w:t xml:space="preserve">’ από τη γραμμή αναφοράς έως το τελικό σημείο σε σύγκριση με τους ασθενείς που ελάμβαναν εικονικό φάρμακο. Το κλάσμα εξώθησης στους ασθενείς που έλαβαν βαλσαρτάνη ήταν σημαντικά αυξημένο και η LVIDD σημαντικά μειωμένη από </w:t>
      </w:r>
      <w:r w:rsidR="002D3BE1" w:rsidRPr="00873F9B">
        <w:rPr>
          <w:rFonts w:eastAsia="PMingLiU"/>
          <w:szCs w:val="22"/>
          <w:lang w:val="el-GR" w:eastAsia="zh-TW"/>
        </w:rPr>
        <w:t>τη γραμμή αναφοράς</w:t>
      </w:r>
      <w:r w:rsidRPr="00873F9B">
        <w:rPr>
          <w:rFonts w:eastAsia="PMingLiU"/>
          <w:szCs w:val="22"/>
          <w:lang w:val="el-GR" w:eastAsia="zh-TW"/>
        </w:rPr>
        <w:t xml:space="preserve"> έως το τελικό σημείο σε σύγκριση με το εικονικό φάρμακο.</w:t>
      </w:r>
    </w:p>
    <w:p w:rsidR="00946F35" w:rsidRPr="00873F9B" w:rsidRDefault="00946F35" w:rsidP="00AA11F5">
      <w:pPr>
        <w:jc w:val="both"/>
        <w:rPr>
          <w:szCs w:val="22"/>
          <w:lang w:val="el-GR"/>
        </w:rPr>
      </w:pPr>
    </w:p>
    <w:p w:rsidR="00BF291C" w:rsidRPr="00873F9B" w:rsidRDefault="00BF291C" w:rsidP="00AA11F5">
      <w:pPr>
        <w:jc w:val="both"/>
        <w:rPr>
          <w:snapToGrid w:val="0"/>
          <w:szCs w:val="22"/>
          <w:u w:val="single"/>
        </w:rPr>
      </w:pPr>
    </w:p>
    <w:p w:rsidR="00BF291C" w:rsidRPr="00873F9B" w:rsidRDefault="0086603A" w:rsidP="00AA11F5">
      <w:pPr>
        <w:jc w:val="both"/>
        <w:rPr>
          <w:i/>
          <w:iCs/>
          <w:snapToGrid w:val="0"/>
          <w:szCs w:val="22"/>
          <w:u w:val="single"/>
          <w:lang w:val="el-GR"/>
        </w:rPr>
      </w:pPr>
      <w:r w:rsidRPr="00873F9B">
        <w:rPr>
          <w:i/>
          <w:iCs/>
          <w:snapToGrid w:val="0"/>
          <w:szCs w:val="22"/>
          <w:u w:val="single"/>
          <w:lang w:val="el-GR"/>
        </w:rPr>
        <w:t>Παιδιατρικός πληθυσμός</w:t>
      </w:r>
    </w:p>
    <w:p w:rsidR="00BF291C" w:rsidRPr="00873F9B" w:rsidRDefault="00BF291C" w:rsidP="00AA11F5">
      <w:pPr>
        <w:jc w:val="both"/>
        <w:rPr>
          <w:i/>
          <w:snapToGrid w:val="0"/>
          <w:szCs w:val="22"/>
          <w:u w:val="single"/>
          <w:lang w:val="el-GR"/>
        </w:rPr>
      </w:pPr>
    </w:p>
    <w:p w:rsidR="00BF291C" w:rsidRPr="00873F9B" w:rsidRDefault="0086603A" w:rsidP="00AA11F5">
      <w:pPr>
        <w:jc w:val="both"/>
        <w:rPr>
          <w:rFonts w:eastAsia="PMingLiU"/>
          <w:szCs w:val="22"/>
          <w:u w:val="single"/>
          <w:lang w:val="el-GR" w:eastAsia="zh-TW"/>
        </w:rPr>
      </w:pPr>
      <w:r w:rsidRPr="00873F9B">
        <w:rPr>
          <w:rFonts w:eastAsia="PMingLiU"/>
          <w:szCs w:val="22"/>
          <w:u w:val="single"/>
          <w:lang w:val="el-GR" w:eastAsia="zh-TW"/>
        </w:rPr>
        <w:t>Υπέρταση</w:t>
      </w:r>
    </w:p>
    <w:p w:rsidR="0086603A" w:rsidRPr="00873F9B" w:rsidRDefault="0086603A" w:rsidP="00AA11F5">
      <w:pPr>
        <w:jc w:val="both"/>
        <w:rPr>
          <w:iCs/>
          <w:snapToGrid w:val="0"/>
          <w:szCs w:val="22"/>
          <w:u w:val="single"/>
          <w:lang w:val="el-GR"/>
        </w:rPr>
      </w:pPr>
    </w:p>
    <w:p w:rsidR="00C135AB" w:rsidRPr="00873F9B" w:rsidRDefault="00C135AB" w:rsidP="00AA11F5">
      <w:pPr>
        <w:autoSpaceDE w:val="0"/>
        <w:autoSpaceDN w:val="0"/>
        <w:adjustRightInd w:val="0"/>
        <w:jc w:val="both"/>
        <w:rPr>
          <w:snapToGrid w:val="0"/>
          <w:szCs w:val="22"/>
          <w:lang w:val="el-GR"/>
        </w:rPr>
      </w:pPr>
      <w:r w:rsidRPr="00873F9B">
        <w:rPr>
          <w:rFonts w:eastAsia="PMingLiU"/>
          <w:szCs w:val="22"/>
          <w:lang w:val="el-GR" w:eastAsia="zh-TW"/>
        </w:rPr>
        <w:t>Η αντιυπερτασική δράση της βαλσαρτάνης έχει αξιολογηθεί σε τέσσερις τυχαιοποιημένες, διπλές τυφλές κλινικές μελέτες σε 561 παιδιατρικούς ασθενείς ηλικίας 6 έως 18 ετών και 165 παιδιατρικούς ασθενείς ηλικίας 1 έως 6 ετών. Νεφρικές και ουρολογικές διαταραχές και παχυσαρκία ήταν οι συχνότερες υποκείμενες ιατρικές καταστάσεις που ενδεχομένως συνέβαλαν στην υπέρταση στα παιδιά που εντάχθηκαν σε αυτές τις μελέτες.</w:t>
      </w:r>
    </w:p>
    <w:p w:rsidR="00BF291C" w:rsidRPr="00873F9B" w:rsidRDefault="00BF291C" w:rsidP="00AA11F5">
      <w:pPr>
        <w:jc w:val="both"/>
        <w:rPr>
          <w:snapToGrid w:val="0"/>
          <w:szCs w:val="22"/>
        </w:rPr>
      </w:pPr>
    </w:p>
    <w:p w:rsidR="00BF291C" w:rsidRPr="00873F9B" w:rsidRDefault="006E00C7" w:rsidP="00AA11F5">
      <w:pPr>
        <w:jc w:val="both"/>
        <w:rPr>
          <w:i/>
          <w:snapToGrid w:val="0"/>
          <w:szCs w:val="22"/>
          <w:u w:val="single"/>
          <w:lang w:val="el-GR"/>
        </w:rPr>
      </w:pPr>
      <w:r w:rsidRPr="00873F9B">
        <w:rPr>
          <w:i/>
          <w:snapToGrid w:val="0"/>
          <w:szCs w:val="22"/>
          <w:u w:val="single"/>
          <w:lang w:val="el-GR"/>
        </w:rPr>
        <w:t>Κλινική εμπειρία σε παιδιά ηλικίας 6 ετών και άνω</w:t>
      </w:r>
    </w:p>
    <w:p w:rsidR="006E00C7" w:rsidRPr="00873F9B" w:rsidRDefault="006E00C7" w:rsidP="00AA11F5">
      <w:pPr>
        <w:autoSpaceDE w:val="0"/>
        <w:autoSpaceDN w:val="0"/>
        <w:adjustRightInd w:val="0"/>
        <w:jc w:val="both"/>
        <w:rPr>
          <w:rFonts w:eastAsia="PMingLiU"/>
          <w:szCs w:val="22"/>
          <w:lang w:val="el-GR" w:eastAsia="zh-TW"/>
        </w:rPr>
      </w:pPr>
      <w:r w:rsidRPr="00873F9B">
        <w:rPr>
          <w:rFonts w:eastAsia="PMingLiU"/>
          <w:szCs w:val="22"/>
          <w:lang w:val="el-GR" w:eastAsia="zh-TW"/>
        </w:rPr>
        <w:t xml:space="preserve">Σε μια κλινική μελέτη, στην οποία συμπεριελήφθησαν 261 υπερτασικοί παιδιατρικοί ασθενείς ηλικίας 6 έως 16 ετών, ασθενείς που ζύγιζαν &lt;35 kg, έλαβαν δισκία βαλσαρτάνης των 10, 40 ή 80 mg (χαμηλή, μεσαία και υψηλή δόση) και ασθενείς που ζύγιζαν ≥35 kg, έλαβαν δισκία βαλσαρτάνης των 20, 80 και 160 mg ημερησίως (χαμηλή, μεσαία και υψηλή δόση). Στο πέρας των 2 εβδομάδων, η βαλσαρτάνη μείωσε τη </w:t>
      </w:r>
      <w:r w:rsidRPr="00873F9B">
        <w:rPr>
          <w:rFonts w:eastAsia="PMingLiU"/>
          <w:szCs w:val="22"/>
          <w:lang w:val="el-GR" w:eastAsia="zh-TW"/>
        </w:rPr>
        <w:lastRenderedPageBreak/>
        <w:t>συστολική και τη διαστολική αρτηριακή πίεση κατά τρόπο εξαρτώμενο από τη δόση. Συνολικά, τα τρία δοσολογικά επίπεδα βαλσαρτάνης (χαμηλό, μεσαίο και υψηλό) μείωσαν σημαντικά τη συστολική αρτηριακή πίεση κατά 8, 10, 12 mmHg σε σχέση με την αρχική τιμή αντίστοιχα. Οι ασθενείς τυχαιοποιήθηκαν εκ νέου για να συνεχίσουν να λαμβάνουν την ίδια δόση βαλσαρτάνης ή μετέβησαν σε εικονικό φάρμακο. Σε ασθενείς που συνέχισαν να λαμβάνουν τη μεσαία και υψηλή δόση βαλσαρτάνης, η συστολική αρτηριακή πίεση στην κατώτατη τιμή ήταν -4 και -7 mmHg χαμηλότερα σε σχέση με ασθενείς που έλαβαν τη θεραπεία με εικονικό φάρμακο. Σε ασθενείς που έλαβαν τη χαμηλή δόση βαλσαρτάνης, η συστολική αρτηριακή πίεση στην κατώτατη τιμή ήταν παρόμοια με εκείνη ασθενών που έλαβαν τη θεραπεία με εικονικό φάρμακο. Συνολικά, η εξαρτώμενη από τη δόση αντιυπερτασική δράση της βαλσαρτάνης ήταν συνεπής σε όλες τις δημογραφικές υποομάδες.</w:t>
      </w:r>
    </w:p>
    <w:p w:rsidR="006E00C7" w:rsidRPr="00873F9B" w:rsidRDefault="006E00C7" w:rsidP="00AA11F5">
      <w:pPr>
        <w:autoSpaceDE w:val="0"/>
        <w:autoSpaceDN w:val="0"/>
        <w:adjustRightInd w:val="0"/>
        <w:spacing w:before="240"/>
        <w:jc w:val="both"/>
        <w:rPr>
          <w:rFonts w:eastAsia="PMingLiU"/>
          <w:szCs w:val="22"/>
          <w:lang w:val="el-GR" w:eastAsia="zh-TW"/>
        </w:rPr>
      </w:pPr>
      <w:r w:rsidRPr="00873F9B">
        <w:rPr>
          <w:rFonts w:eastAsia="PMingLiU"/>
          <w:szCs w:val="22"/>
          <w:lang w:val="el-GR" w:eastAsia="zh-TW"/>
        </w:rPr>
        <w:t>Σε μια άλλη κλινική μελέτη, στην οποία συμπεριελήφθησαν 300 υπερτασικοί παιδιατρικοί ασθενείς ηλικίας 6 έως 18 ετών, κατάλληλοι ασθενείς τυχαιοποιήθηκαν για να λάβουν δισκία βαλσαρτάνης ή εναλαπρίλης για 12 εβδομάδες. Παιδιά που ζύγιζαν από ≥18 kg έως &lt;35 kg, έλαβαν βαλσαρτάνη 80 mg ή εναλαπρίλη 10 mg. Εκείνα από ≥35 kg έως &lt;80 kg έλαβαν βαλσαρτάνη 160 mg ή εναλαπρίλη 20 mg. Εκείνα ≥80 kg έλαβαν βαλσαρτάνη 320 mg ή εναλαπρίλη 40 mg. Μειώσεις της συστολικής αρτηριακής πίεσης ήταν συγκρίσιμες σε ασθενείς που έλαβαν βαλσαρτάνη (15 mmHg) και εναλαπρίλη (14 mm Hg) (τιμή p μη κατωτερότητας &lt;0,0001). Συνεπή αποτελέσματα παρατηρήθηκαν για τη διαστολική αρτηριακή πίεση με μειώσεις 9,1 mmHg και 8,5 mmHg με βαλσαρτάνη και εναλαπρίλη αντίστοιχα.</w:t>
      </w:r>
    </w:p>
    <w:p w:rsidR="00F52E9A" w:rsidRPr="00873F9B" w:rsidRDefault="00F52E9A" w:rsidP="00AA11F5">
      <w:pPr>
        <w:jc w:val="both"/>
        <w:rPr>
          <w:snapToGrid w:val="0"/>
          <w:szCs w:val="22"/>
          <w:lang w:val="el-GR"/>
        </w:rPr>
      </w:pPr>
    </w:p>
    <w:p w:rsidR="00492490" w:rsidRPr="00873F9B" w:rsidRDefault="00492490" w:rsidP="00AA11F5">
      <w:pPr>
        <w:autoSpaceDE w:val="0"/>
        <w:autoSpaceDN w:val="0"/>
        <w:adjustRightInd w:val="0"/>
        <w:jc w:val="both"/>
        <w:rPr>
          <w:rFonts w:eastAsia="PMingLiU"/>
          <w:i/>
          <w:iCs/>
          <w:szCs w:val="22"/>
          <w:lang w:val="el-GR" w:eastAsia="zh-TW"/>
        </w:rPr>
      </w:pPr>
      <w:r w:rsidRPr="00873F9B">
        <w:rPr>
          <w:i/>
          <w:snapToGrid w:val="0"/>
          <w:szCs w:val="22"/>
          <w:u w:val="single"/>
          <w:lang w:val="el-GR"/>
        </w:rPr>
        <w:t>Κλινική εμπειρία σε παιδιά ηλικίας κάτω των 6 ετών</w:t>
      </w:r>
    </w:p>
    <w:p w:rsidR="00492490" w:rsidRPr="00873F9B" w:rsidRDefault="00492490" w:rsidP="00AA11F5">
      <w:pPr>
        <w:autoSpaceDE w:val="0"/>
        <w:autoSpaceDN w:val="0"/>
        <w:adjustRightInd w:val="0"/>
        <w:jc w:val="both"/>
        <w:rPr>
          <w:rFonts w:eastAsia="PMingLiU"/>
          <w:szCs w:val="22"/>
          <w:lang w:val="el-GR" w:eastAsia="zh-TW"/>
        </w:rPr>
      </w:pPr>
      <w:r w:rsidRPr="00873F9B">
        <w:rPr>
          <w:rFonts w:eastAsia="PMingLiU"/>
          <w:szCs w:val="22"/>
          <w:lang w:val="el-GR" w:eastAsia="zh-TW"/>
        </w:rPr>
        <w:t>Διεξήχθησαν δύο κλινικές μελέτες σε ασθενείς ηλικίας 1 έως 6 ετών με 90 και 75 ασθενείς, αντίστοιχα. Σε αυτές τις μελέτες δεν εντάχθηκαν παιδιά ηλικίας κάτω του 1 έτους. Στην πρώτη μελέτη, η αποτελεσματικότητα της βαλσαρτάνης επιβεβαιώθηκε σε σχέση με εικονικό φάρμακο, αλλά δεν ήταν δυνατό να καταδειχθεί ανταπόκριση στη δόση. Στη δεύτερη μελέτη, υψηλότερες δόσεις</w:t>
      </w:r>
      <w:r w:rsidR="00005C3B" w:rsidRPr="00873F9B">
        <w:rPr>
          <w:rFonts w:eastAsia="PMingLiU"/>
          <w:szCs w:val="22"/>
          <w:lang w:val="el-GR" w:eastAsia="zh-TW"/>
        </w:rPr>
        <w:t xml:space="preserve"> </w:t>
      </w:r>
      <w:r w:rsidRPr="00873F9B">
        <w:rPr>
          <w:rFonts w:eastAsia="PMingLiU"/>
          <w:szCs w:val="22"/>
          <w:lang w:val="el-GR" w:eastAsia="zh-TW"/>
        </w:rPr>
        <w:t>βαλσαρτάνης συσχετίστηκαν με μεγαλύτερες μειώσεις της ΑΠ, αλλά η τάση ανταπόκρισης στη δόση</w:t>
      </w:r>
      <w:r w:rsidR="00005C3B" w:rsidRPr="00873F9B">
        <w:rPr>
          <w:rFonts w:eastAsia="PMingLiU"/>
          <w:szCs w:val="22"/>
          <w:lang w:val="el-GR" w:eastAsia="zh-TW"/>
        </w:rPr>
        <w:t xml:space="preserve"> </w:t>
      </w:r>
      <w:r w:rsidRPr="00873F9B">
        <w:rPr>
          <w:rFonts w:eastAsia="PMingLiU"/>
          <w:szCs w:val="22"/>
          <w:lang w:val="el-GR" w:eastAsia="zh-TW"/>
        </w:rPr>
        <w:t>δεν πέτυχε στατιστική σημαντικότητα και η διαφορά ανάμεσα στις θεραπείες σε σχέση με το εικονικό</w:t>
      </w:r>
      <w:r w:rsidR="00005C3B" w:rsidRPr="00873F9B">
        <w:rPr>
          <w:rFonts w:eastAsia="PMingLiU"/>
          <w:szCs w:val="22"/>
          <w:lang w:val="el-GR" w:eastAsia="zh-TW"/>
        </w:rPr>
        <w:t xml:space="preserve"> </w:t>
      </w:r>
      <w:r w:rsidRPr="00873F9B">
        <w:rPr>
          <w:rFonts w:eastAsia="PMingLiU"/>
          <w:szCs w:val="22"/>
          <w:lang w:val="el-GR" w:eastAsia="zh-TW"/>
        </w:rPr>
        <w:t>φάρμακο δεν ήταν σημαντική. Λόγω αυτών των ασυνεπειών, δεν συνιστάται βαλσαρτάνη σε αυτή την</w:t>
      </w:r>
      <w:r w:rsidR="00005C3B" w:rsidRPr="00873F9B">
        <w:rPr>
          <w:rFonts w:eastAsia="PMingLiU"/>
          <w:szCs w:val="22"/>
          <w:lang w:val="el-GR" w:eastAsia="zh-TW"/>
        </w:rPr>
        <w:t xml:space="preserve"> </w:t>
      </w:r>
      <w:r w:rsidRPr="00873F9B">
        <w:rPr>
          <w:rFonts w:eastAsia="PMingLiU"/>
          <w:szCs w:val="22"/>
          <w:lang w:val="el-GR" w:eastAsia="zh-TW"/>
        </w:rPr>
        <w:t>ηλικιακή ομάδα (βλ. παράγραφο 4.8).</w:t>
      </w:r>
    </w:p>
    <w:p w:rsidR="00492490" w:rsidRPr="00873F9B" w:rsidRDefault="00492490" w:rsidP="00AA11F5">
      <w:pPr>
        <w:jc w:val="both"/>
        <w:rPr>
          <w:i/>
          <w:snapToGrid w:val="0"/>
          <w:szCs w:val="22"/>
          <w:u w:val="single"/>
          <w:lang w:val="el-GR"/>
        </w:rPr>
      </w:pPr>
    </w:p>
    <w:p w:rsidR="00BF291C" w:rsidRPr="00873F9B" w:rsidRDefault="00BF291C" w:rsidP="00AA11F5">
      <w:pPr>
        <w:jc w:val="both"/>
        <w:rPr>
          <w:snapToGrid w:val="0"/>
          <w:szCs w:val="22"/>
        </w:rPr>
      </w:pPr>
    </w:p>
    <w:p w:rsidR="00BF291C" w:rsidRPr="00873F9B" w:rsidRDefault="00BF291C" w:rsidP="00AA11F5">
      <w:pPr>
        <w:ind w:left="567" w:hanging="567"/>
        <w:jc w:val="both"/>
        <w:outlineLvl w:val="0"/>
        <w:rPr>
          <w:szCs w:val="22"/>
        </w:rPr>
      </w:pPr>
      <w:r w:rsidRPr="00873F9B">
        <w:rPr>
          <w:b/>
          <w:szCs w:val="22"/>
        </w:rPr>
        <w:t>5.2</w:t>
      </w:r>
      <w:r w:rsidRPr="00873F9B">
        <w:rPr>
          <w:b/>
          <w:szCs w:val="22"/>
        </w:rPr>
        <w:tab/>
      </w:r>
      <w:r w:rsidR="007A7977" w:rsidRPr="00873F9B">
        <w:rPr>
          <w:b/>
          <w:szCs w:val="22"/>
        </w:rPr>
        <w:t>Φαρμακοκινητικές ιδιότητες</w:t>
      </w:r>
    </w:p>
    <w:p w:rsidR="00BF291C" w:rsidRPr="00873F9B" w:rsidRDefault="00BF291C" w:rsidP="00AA11F5">
      <w:pPr>
        <w:jc w:val="both"/>
        <w:rPr>
          <w:iCs/>
          <w:szCs w:val="22"/>
        </w:rPr>
      </w:pPr>
    </w:p>
    <w:p w:rsidR="00BF291C" w:rsidRPr="00873F9B" w:rsidRDefault="007A7977" w:rsidP="00AA11F5">
      <w:pPr>
        <w:jc w:val="both"/>
        <w:rPr>
          <w:i/>
          <w:iCs/>
          <w:szCs w:val="22"/>
          <w:u w:val="single"/>
          <w:lang w:val="el-GR"/>
        </w:rPr>
      </w:pPr>
      <w:r w:rsidRPr="00873F9B">
        <w:rPr>
          <w:i/>
          <w:iCs/>
          <w:szCs w:val="22"/>
          <w:u w:val="single"/>
          <w:lang w:val="el-GR"/>
        </w:rPr>
        <w:t>Απορρόφηση</w:t>
      </w:r>
      <w:r w:rsidR="00BF291C" w:rsidRPr="00873F9B">
        <w:rPr>
          <w:i/>
          <w:iCs/>
          <w:szCs w:val="22"/>
          <w:u w:val="single"/>
          <w:lang w:val="el-GR"/>
        </w:rPr>
        <w:t>:</w:t>
      </w:r>
    </w:p>
    <w:p w:rsidR="00982B0B" w:rsidRPr="00873F9B" w:rsidRDefault="00982B0B" w:rsidP="00AA11F5">
      <w:pPr>
        <w:autoSpaceDE w:val="0"/>
        <w:autoSpaceDN w:val="0"/>
        <w:adjustRightInd w:val="0"/>
        <w:jc w:val="both"/>
        <w:rPr>
          <w:szCs w:val="22"/>
          <w:lang w:val="el-GR"/>
        </w:rPr>
      </w:pPr>
      <w:r w:rsidRPr="00873F9B">
        <w:rPr>
          <w:rFonts w:eastAsia="PMingLiU"/>
          <w:szCs w:val="22"/>
          <w:lang w:val="el-GR" w:eastAsia="zh-TW"/>
        </w:rPr>
        <w:t>Μετά από του στόματος χορήγηση βαλσαρτάνης μόνο, οι μέγιστες συγκεντρώσεις της βαλσαρτάνης στο πλάσμα επιτυγχάνονται σε 2-4 ώρες με δισκία και 1-2 ώρες με σύνθεση διαλύματος. Η μέση απόλυτη βιοδιαθεσιμότητα είναι 23% και 39% με δισκία και σύνθεση διαλύματος, αντίστοιχα. Οι τροφές μειώνουν την έκθεση (όπως μετριέται από την AUC) στη βαλσαρτάνη κατά περίπου 40% και τις μέγιστες συγκεντρώσεις της βαλσαρτάνης στο πλάσμα (Cmax) κατά περίπου 50%, παρόλο που 8 ώρες περίπου μετά τη χορήγηση των δόσεων οι συγκεντρώσεις της βαλσαρτάνης στο πλάσμα είναι παρόμοιες για την ομάδα που πήρε τροφή και αυτήν που βρισκόταν σε κατάσταση νηστείας. Αυτή η μείωση στην περιοχή συγκεντρώσεων κάτω από την καμπύλη (AUC), ωστόσο, δε συνοδεύεται από κλινικά σημαντική μείωση στη θεραπευτική δράση, επομένως η βαλσαρτάνη μπορεί να λαμβάνεται με ή χωρίς τροφή.</w:t>
      </w:r>
    </w:p>
    <w:p w:rsidR="00BF291C" w:rsidRPr="00873F9B" w:rsidRDefault="00BF291C" w:rsidP="00AA11F5">
      <w:pPr>
        <w:jc w:val="both"/>
        <w:rPr>
          <w:szCs w:val="22"/>
        </w:rPr>
      </w:pPr>
    </w:p>
    <w:p w:rsidR="00BF291C" w:rsidRPr="00873F9B" w:rsidRDefault="005A5FF1" w:rsidP="00AA11F5">
      <w:pPr>
        <w:jc w:val="both"/>
        <w:rPr>
          <w:szCs w:val="22"/>
          <w:u w:val="single"/>
          <w:lang w:val="el-GR"/>
        </w:rPr>
      </w:pPr>
      <w:r w:rsidRPr="00873F9B">
        <w:rPr>
          <w:i/>
          <w:iCs/>
          <w:szCs w:val="22"/>
          <w:u w:val="single"/>
          <w:lang w:val="el-GR"/>
        </w:rPr>
        <w:t>Κατανομή</w:t>
      </w:r>
      <w:r w:rsidR="00BF291C" w:rsidRPr="00873F9B">
        <w:rPr>
          <w:i/>
          <w:iCs/>
          <w:szCs w:val="22"/>
          <w:u w:val="single"/>
          <w:lang w:val="el-GR"/>
        </w:rPr>
        <w:t>:</w:t>
      </w:r>
    </w:p>
    <w:p w:rsidR="000D47C1" w:rsidRPr="00873F9B" w:rsidRDefault="000D47C1" w:rsidP="00AA11F5">
      <w:pPr>
        <w:autoSpaceDE w:val="0"/>
        <w:autoSpaceDN w:val="0"/>
        <w:adjustRightInd w:val="0"/>
        <w:jc w:val="both"/>
        <w:rPr>
          <w:szCs w:val="22"/>
          <w:lang w:val="el-GR"/>
        </w:rPr>
      </w:pPr>
      <w:r w:rsidRPr="00873F9B">
        <w:rPr>
          <w:rFonts w:eastAsia="PMingLiU"/>
          <w:szCs w:val="22"/>
          <w:lang w:val="el-GR" w:eastAsia="zh-TW"/>
        </w:rPr>
        <w:t>Ο όγκος κατανομής σταθερής κατάστασης της βαλσαρτάνης έπειτα από ενδοφλέβια χορήγηση είναι περίπου 17 λίτρα, υποδεικνύοντας ότι η βαλσαρτάνη δεν κατανέμεται εκτενώς στους ιστούς. Η βαλσαρτάνη δεσμεύεται ισχυρά με τις πρωτεΐνες του ορού (94 – 97%), κυρίως με τη λευκωματίνη του ορού.</w:t>
      </w:r>
    </w:p>
    <w:p w:rsidR="00BF291C" w:rsidRPr="00873F9B" w:rsidRDefault="00BF291C" w:rsidP="00AA11F5">
      <w:pPr>
        <w:jc w:val="both"/>
        <w:rPr>
          <w:szCs w:val="22"/>
        </w:rPr>
      </w:pPr>
    </w:p>
    <w:p w:rsidR="00BF291C" w:rsidRPr="00873F9B" w:rsidRDefault="00874930" w:rsidP="00AA11F5">
      <w:pPr>
        <w:jc w:val="both"/>
        <w:rPr>
          <w:szCs w:val="22"/>
          <w:u w:val="single"/>
          <w:lang w:val="el-GR"/>
        </w:rPr>
      </w:pPr>
      <w:r w:rsidRPr="00873F9B">
        <w:rPr>
          <w:i/>
          <w:iCs/>
          <w:szCs w:val="22"/>
          <w:u w:val="single"/>
          <w:lang w:val="el-GR"/>
        </w:rPr>
        <w:t>Βιομετασχηματισμός</w:t>
      </w:r>
      <w:r w:rsidR="00BF291C" w:rsidRPr="00873F9B">
        <w:rPr>
          <w:i/>
          <w:iCs/>
          <w:szCs w:val="22"/>
          <w:u w:val="single"/>
          <w:lang w:val="el-GR"/>
        </w:rPr>
        <w:t>:</w:t>
      </w:r>
    </w:p>
    <w:p w:rsidR="001B32AE" w:rsidRPr="00873F9B" w:rsidRDefault="001B32AE" w:rsidP="00AA11F5">
      <w:pPr>
        <w:autoSpaceDE w:val="0"/>
        <w:autoSpaceDN w:val="0"/>
        <w:adjustRightInd w:val="0"/>
        <w:jc w:val="both"/>
        <w:rPr>
          <w:szCs w:val="22"/>
          <w:lang w:val="el-GR"/>
        </w:rPr>
      </w:pPr>
      <w:r w:rsidRPr="00873F9B">
        <w:rPr>
          <w:rFonts w:eastAsia="PMingLiU"/>
          <w:szCs w:val="22"/>
          <w:lang w:val="el-GR" w:eastAsia="zh-TW"/>
        </w:rPr>
        <w:t>Η βαλσαρτάνη δεν βιομετασχηματίζεται σε υψηλό βαθμό καθώς περίπου μόνο το 20% της δόσης ανακτάται ως μεταβολίτες. Ένας υδροξυμεταβολίτης έχει αναγνωρισθεί στο πλάσμα σε χαμηλές συγκεντρώσεις (λιγότερο από το 10% των συγκεντρώσεων της περιοχής κάτω από την καμπύλη (AUC) της βαλσαρτάνης). Αυτός ο μεταβολίτης είναι φαρμακολογικά αδρανής.</w:t>
      </w:r>
    </w:p>
    <w:p w:rsidR="00BF291C" w:rsidRPr="00873F9B" w:rsidRDefault="00BF291C" w:rsidP="00AA11F5">
      <w:pPr>
        <w:jc w:val="both"/>
        <w:rPr>
          <w:szCs w:val="22"/>
        </w:rPr>
      </w:pPr>
    </w:p>
    <w:p w:rsidR="00BF291C" w:rsidRPr="00873F9B" w:rsidRDefault="00874930" w:rsidP="00AA11F5">
      <w:pPr>
        <w:jc w:val="both"/>
        <w:rPr>
          <w:szCs w:val="22"/>
          <w:u w:val="single"/>
          <w:lang w:val="el-GR"/>
        </w:rPr>
      </w:pPr>
      <w:r w:rsidRPr="00873F9B">
        <w:rPr>
          <w:i/>
          <w:iCs/>
          <w:szCs w:val="22"/>
          <w:u w:val="single"/>
          <w:lang w:val="el-GR"/>
        </w:rPr>
        <w:t>Απέκκριση</w:t>
      </w:r>
      <w:r w:rsidR="00BF291C" w:rsidRPr="00873F9B">
        <w:rPr>
          <w:i/>
          <w:iCs/>
          <w:szCs w:val="22"/>
          <w:u w:val="single"/>
          <w:lang w:val="el-GR"/>
        </w:rPr>
        <w:t>:</w:t>
      </w:r>
    </w:p>
    <w:p w:rsidR="003F419C" w:rsidRPr="00873F9B" w:rsidRDefault="003F419C" w:rsidP="00AA11F5">
      <w:pPr>
        <w:autoSpaceDE w:val="0"/>
        <w:autoSpaceDN w:val="0"/>
        <w:adjustRightInd w:val="0"/>
        <w:jc w:val="both"/>
        <w:rPr>
          <w:szCs w:val="22"/>
          <w:lang w:val="el-GR"/>
        </w:rPr>
      </w:pPr>
      <w:r w:rsidRPr="00873F9B">
        <w:rPr>
          <w:rFonts w:eastAsia="PMingLiU"/>
          <w:szCs w:val="22"/>
          <w:lang w:val="el-GR" w:eastAsia="zh-TW"/>
        </w:rPr>
        <w:t>Η βαλσαρτάνη εμφανίζει πολυεκθετική φθίνουσα κινητική (t</w:t>
      </w:r>
      <w:r w:rsidRPr="00873F9B">
        <w:rPr>
          <w:szCs w:val="22"/>
          <w:vertAlign w:val="subscript"/>
          <w:lang w:val="el-GR"/>
        </w:rPr>
        <w:t>½α</w:t>
      </w:r>
      <w:r w:rsidRPr="00873F9B">
        <w:rPr>
          <w:rFonts w:eastAsia="PMingLiU"/>
          <w:szCs w:val="22"/>
          <w:lang w:val="el-GR" w:eastAsia="zh-TW"/>
        </w:rPr>
        <w:t xml:space="preserve"> &lt;1 ώρα και t</w:t>
      </w:r>
      <w:r w:rsidR="00AA199A" w:rsidRPr="00873F9B">
        <w:rPr>
          <w:szCs w:val="22"/>
          <w:vertAlign w:val="subscript"/>
          <w:lang w:val="el-GR"/>
        </w:rPr>
        <w:t>½ß</w:t>
      </w:r>
      <w:r w:rsidRPr="00873F9B">
        <w:rPr>
          <w:rFonts w:eastAsia="PMingLiU"/>
          <w:szCs w:val="22"/>
          <w:lang w:val="el-GR" w:eastAsia="zh-TW"/>
        </w:rPr>
        <w:t xml:space="preserve"> περίπου 9 ώρες). Η</w:t>
      </w:r>
      <w:r w:rsidR="00AA199A" w:rsidRPr="00873F9B">
        <w:rPr>
          <w:rFonts w:eastAsia="PMingLiU"/>
          <w:szCs w:val="22"/>
          <w:lang w:val="el-GR" w:eastAsia="zh-TW"/>
        </w:rPr>
        <w:t xml:space="preserve"> </w:t>
      </w:r>
      <w:r w:rsidRPr="00873F9B">
        <w:rPr>
          <w:rFonts w:eastAsia="PMingLiU"/>
          <w:szCs w:val="22"/>
          <w:lang w:val="el-GR" w:eastAsia="zh-TW"/>
        </w:rPr>
        <w:t xml:space="preserve">βαλσαρτάνη απεκκρίνεται μέσω χολικής απέκκρισης κυρίως στα κόπρανα (περίπου το 83% </w:t>
      </w:r>
      <w:r w:rsidR="00AA199A" w:rsidRPr="00873F9B">
        <w:rPr>
          <w:rFonts w:eastAsia="PMingLiU"/>
          <w:szCs w:val="22"/>
          <w:lang w:val="el-GR" w:eastAsia="zh-TW"/>
        </w:rPr>
        <w:t xml:space="preserve">της </w:t>
      </w:r>
      <w:r w:rsidRPr="00873F9B">
        <w:rPr>
          <w:rFonts w:eastAsia="PMingLiU"/>
          <w:szCs w:val="22"/>
          <w:lang w:val="el-GR" w:eastAsia="zh-TW"/>
        </w:rPr>
        <w:t>δόσης) και μέσω νεφρικής απέκκρισης στα ούρα (περίπου το 13% της δόσης), κυρίως σαν</w:t>
      </w:r>
      <w:r w:rsidR="00314D2F" w:rsidRPr="00873F9B">
        <w:rPr>
          <w:rFonts w:eastAsia="PMingLiU"/>
          <w:szCs w:val="22"/>
          <w:lang w:val="el-GR" w:eastAsia="zh-TW"/>
        </w:rPr>
        <w:t xml:space="preserve"> </w:t>
      </w:r>
      <w:r w:rsidRPr="00873F9B">
        <w:rPr>
          <w:rFonts w:eastAsia="PMingLiU"/>
          <w:szCs w:val="22"/>
          <w:lang w:val="el-GR" w:eastAsia="zh-TW"/>
        </w:rPr>
        <w:t>αμετάβλητο φάρμακο. Έπειτα από ενδοφλέβια χορήγηση, η κάθαρση της βαλσαρτάνης στο πλάσμα</w:t>
      </w:r>
      <w:r w:rsidR="00314D2F" w:rsidRPr="00873F9B">
        <w:rPr>
          <w:rFonts w:eastAsia="PMingLiU"/>
          <w:szCs w:val="22"/>
          <w:lang w:val="el-GR" w:eastAsia="zh-TW"/>
        </w:rPr>
        <w:t xml:space="preserve"> </w:t>
      </w:r>
      <w:r w:rsidRPr="00873F9B">
        <w:rPr>
          <w:rFonts w:eastAsia="PMingLiU"/>
          <w:szCs w:val="22"/>
          <w:lang w:val="el-GR" w:eastAsia="zh-TW"/>
        </w:rPr>
        <w:t>είναι περίπου 2 l/h και η νεφρικής της κάθαρση είναι 0,62 l/h (περίπου το 30% της συνολικής</w:t>
      </w:r>
      <w:r w:rsidR="00314D2F" w:rsidRPr="00873F9B">
        <w:rPr>
          <w:rFonts w:eastAsia="PMingLiU"/>
          <w:szCs w:val="22"/>
          <w:lang w:val="el-GR" w:eastAsia="zh-TW"/>
        </w:rPr>
        <w:t xml:space="preserve"> </w:t>
      </w:r>
      <w:r w:rsidRPr="00873F9B">
        <w:rPr>
          <w:rFonts w:eastAsia="PMingLiU"/>
          <w:szCs w:val="22"/>
          <w:lang w:val="el-GR" w:eastAsia="zh-TW"/>
        </w:rPr>
        <w:t>κάθαρσης). Ο χρόνος ημίσειας ζωής της βαλσαρτάνης είναι 6 ώρες.</w:t>
      </w:r>
      <w:r w:rsidRPr="00873F9B">
        <w:rPr>
          <w:szCs w:val="22"/>
          <w:lang w:val="el-GR"/>
        </w:rPr>
        <w:t xml:space="preserve"> </w:t>
      </w:r>
    </w:p>
    <w:p w:rsidR="00BF291C" w:rsidRPr="00873F9B" w:rsidRDefault="00BF291C" w:rsidP="00AA11F5">
      <w:pPr>
        <w:jc w:val="both"/>
        <w:rPr>
          <w:szCs w:val="22"/>
        </w:rPr>
      </w:pPr>
    </w:p>
    <w:p w:rsidR="00BF291C" w:rsidRPr="00873F9B" w:rsidRDefault="00BE60A9" w:rsidP="00AA11F5">
      <w:pPr>
        <w:jc w:val="both"/>
        <w:rPr>
          <w:szCs w:val="22"/>
          <w:u w:val="single"/>
          <w:lang w:val="el-GR"/>
        </w:rPr>
      </w:pPr>
      <w:r w:rsidRPr="00873F9B">
        <w:rPr>
          <w:iCs/>
          <w:szCs w:val="22"/>
          <w:u w:val="single"/>
          <w:lang w:val="el-GR"/>
        </w:rPr>
        <w:t>Σε ασθενείς με καρδιακή ανεπάρκεια (μόνο για τα 40 mg , 80 mg και 160 mg</w:t>
      </w:r>
      <w:r w:rsidR="00E950B3" w:rsidRPr="00873F9B">
        <w:rPr>
          <w:szCs w:val="22"/>
          <w:u w:val="single"/>
          <w:lang w:val="el-GR"/>
        </w:rPr>
        <w:t>)</w:t>
      </w:r>
      <w:r w:rsidR="00BF291C" w:rsidRPr="00873F9B">
        <w:rPr>
          <w:iCs/>
          <w:szCs w:val="22"/>
          <w:u w:val="single"/>
          <w:lang w:val="el-GR"/>
        </w:rPr>
        <w:t>:</w:t>
      </w:r>
    </w:p>
    <w:p w:rsidR="00371BF5" w:rsidRPr="00873F9B" w:rsidRDefault="00371BF5" w:rsidP="00AA11F5">
      <w:pPr>
        <w:autoSpaceDE w:val="0"/>
        <w:autoSpaceDN w:val="0"/>
        <w:adjustRightInd w:val="0"/>
        <w:jc w:val="both"/>
        <w:rPr>
          <w:szCs w:val="22"/>
          <w:lang w:val="el-GR"/>
        </w:rPr>
      </w:pPr>
      <w:r w:rsidRPr="00873F9B">
        <w:rPr>
          <w:rFonts w:eastAsia="PMingLiU"/>
          <w:szCs w:val="22"/>
          <w:lang w:val="el-GR" w:eastAsia="zh-TW"/>
        </w:rPr>
        <w:t>Ο μέσος χρόνος μέχρι τη μέγιστη συγκέντρωση και ο χρόνος ημίσειας ζωής-απέκκρισης της βαλσαρτάνης στους ασθενείς με καρδιακή ανεπάρκεια είναι παρόμοιοι με αυτούς που παρατηρούνται σε υγιείς εθελοντές. Οι τιμές AUC και C</w:t>
      </w:r>
      <w:r w:rsidRPr="00873F9B">
        <w:rPr>
          <w:rFonts w:eastAsia="PMingLiU"/>
          <w:szCs w:val="22"/>
          <w:vertAlign w:val="subscript"/>
          <w:lang w:val="el-GR" w:eastAsia="zh-TW"/>
        </w:rPr>
        <w:t>max</w:t>
      </w:r>
      <w:r w:rsidRPr="00873F9B">
        <w:rPr>
          <w:rFonts w:eastAsia="PMingLiU"/>
          <w:szCs w:val="22"/>
          <w:lang w:val="el-GR" w:eastAsia="zh-TW"/>
        </w:rPr>
        <w:t xml:space="preserve"> της βαλσαρτάνης είναι σχεδόν ανάλογες με την αύξηση της δόσης στο εύρος δοσολογίας στην κλινική πράξη (40 έως 160 mg δύο φορές την ημέρα). Ο μέσος συντελεστής συσσώρευσης είναι περίπου 1,7. Η κάθαρση της βαλσαρτάνης που παρατηρείται μετά από χορήγηση από το στόμα είναι περίπου 4,5 l/h. Η ηλικία δεν επηρεάζει την φαινομενική κάθαρση στους ασθενείς με καρδιακή ανεπάρκεια.</w:t>
      </w:r>
    </w:p>
    <w:p w:rsidR="00BF291C" w:rsidRPr="00873F9B" w:rsidRDefault="00BF291C" w:rsidP="00AA11F5">
      <w:pPr>
        <w:numPr>
          <w:ilvl w:val="12"/>
          <w:numId w:val="0"/>
        </w:numPr>
        <w:ind w:right="-2"/>
        <w:jc w:val="both"/>
        <w:rPr>
          <w:i/>
          <w:iCs/>
          <w:szCs w:val="22"/>
          <w:u w:val="single"/>
        </w:rPr>
      </w:pPr>
    </w:p>
    <w:p w:rsidR="000E6020" w:rsidRPr="00873F9B" w:rsidRDefault="000E6020" w:rsidP="00AA11F5">
      <w:pPr>
        <w:numPr>
          <w:ilvl w:val="12"/>
          <w:numId w:val="0"/>
        </w:numPr>
        <w:ind w:right="-2"/>
        <w:jc w:val="both"/>
        <w:rPr>
          <w:i/>
          <w:iCs/>
          <w:szCs w:val="22"/>
          <w:u w:val="single"/>
        </w:rPr>
      </w:pPr>
      <w:r w:rsidRPr="00873F9B">
        <w:rPr>
          <w:i/>
          <w:iCs/>
          <w:szCs w:val="22"/>
          <w:u w:val="single"/>
        </w:rPr>
        <w:t>Ειδικοί πληθυσμοί</w:t>
      </w:r>
    </w:p>
    <w:p w:rsidR="000E6020" w:rsidRPr="00873F9B" w:rsidRDefault="000E6020" w:rsidP="00AA11F5">
      <w:pPr>
        <w:numPr>
          <w:ilvl w:val="12"/>
          <w:numId w:val="0"/>
        </w:numPr>
        <w:ind w:right="-2"/>
        <w:jc w:val="both"/>
        <w:rPr>
          <w:rFonts w:eastAsia="PMingLiU"/>
          <w:szCs w:val="22"/>
          <w:lang w:val="el-GR" w:eastAsia="zh-TW"/>
        </w:rPr>
      </w:pPr>
      <w:r w:rsidRPr="00873F9B">
        <w:rPr>
          <w:iCs/>
          <w:szCs w:val="22"/>
          <w:u w:val="single"/>
        </w:rPr>
        <w:t>Ηλικιωμένοι</w:t>
      </w:r>
    </w:p>
    <w:p w:rsidR="000E6020" w:rsidRPr="00873F9B" w:rsidRDefault="000E6020" w:rsidP="00AA11F5">
      <w:pPr>
        <w:autoSpaceDE w:val="0"/>
        <w:autoSpaceDN w:val="0"/>
        <w:adjustRightInd w:val="0"/>
        <w:jc w:val="both"/>
        <w:rPr>
          <w:i/>
          <w:iCs/>
          <w:szCs w:val="22"/>
          <w:u w:val="single"/>
          <w:lang w:val="el-GR"/>
        </w:rPr>
      </w:pPr>
      <w:r w:rsidRPr="00873F9B">
        <w:rPr>
          <w:rFonts w:eastAsia="PMingLiU"/>
          <w:szCs w:val="22"/>
          <w:lang w:val="el-GR" w:eastAsia="zh-TW"/>
        </w:rPr>
        <w:t>Κάπως υψηλότερη συστηματική έκθεση στη βαλσαρτάνη παρατηρήθηκε σε ορισμένα ηλικιωμένα άτομα από ό,τι σε νέα άτομα. Ωστόσο, δεν έχει καταδειχθεί ότι αυτό έχει οποιαδήποτε κλινική σημασία.</w:t>
      </w:r>
    </w:p>
    <w:p w:rsidR="00BF291C" w:rsidRPr="00873F9B" w:rsidRDefault="00BF291C" w:rsidP="00AA11F5">
      <w:pPr>
        <w:jc w:val="both"/>
        <w:rPr>
          <w:szCs w:val="22"/>
        </w:rPr>
      </w:pPr>
    </w:p>
    <w:p w:rsidR="000E6020" w:rsidRPr="00873F9B" w:rsidRDefault="000E6020" w:rsidP="00AA11F5">
      <w:pPr>
        <w:jc w:val="both"/>
        <w:rPr>
          <w:szCs w:val="22"/>
          <w:u w:val="single"/>
        </w:rPr>
      </w:pPr>
      <w:r w:rsidRPr="00873F9B">
        <w:rPr>
          <w:szCs w:val="22"/>
          <w:u w:val="single"/>
        </w:rPr>
        <w:t>Έκπτωση της νεφρικής λειτουργίας</w:t>
      </w:r>
    </w:p>
    <w:p w:rsidR="000E6020" w:rsidRPr="00873F9B" w:rsidRDefault="000E6020" w:rsidP="00AA11F5">
      <w:pPr>
        <w:autoSpaceDE w:val="0"/>
        <w:autoSpaceDN w:val="0"/>
        <w:adjustRightInd w:val="0"/>
        <w:jc w:val="both"/>
        <w:rPr>
          <w:rFonts w:eastAsia="PMingLiU"/>
          <w:szCs w:val="22"/>
          <w:lang w:val="el-GR" w:eastAsia="zh-TW"/>
        </w:rPr>
      </w:pPr>
      <w:r w:rsidRPr="00873F9B">
        <w:rPr>
          <w:rFonts w:eastAsia="PMingLiU"/>
          <w:szCs w:val="22"/>
          <w:lang w:val="el-GR" w:eastAsia="zh-TW"/>
        </w:rPr>
        <w:t>Όπως αναμένεται για μία ουσία, όπου η νεφρική κάθαρση είναι υπεύθυνη μόνο για το 30% της συνολικής κάθαρσης στο πλάσμα, δεν παρατηρήθηκε καμιά συσχέτιση μεταξύ νεφρικής λειτουργίας και συστηματικής έκθεσης στη βαλσαρτάνη. Δεν απαιτείται, κατά συνέπεια, προσαρμογή της δοσολογίας σε ασθενείς με νεφρική δυσλειτουργία (κάθαρση κρεατινίνης &gt;10 ml/λεπτό). Επί του παρόντος δεν υπάρχει εμπειρία για την ασφαλή χρήση σε ασθενείς με κάθαρση κρεατινίνης &lt;10 ml/λεπτό και σε ασθενείς που υποβάλλονται σε αιμοδιύλιση, επομένως η βαλσαρτάνη θα πρέπει να χρησιμοποιείται με προσοχή σε αυτούς τους ασθενείς (βλέπε παραγράφους 4.2 και 4.4).</w:t>
      </w:r>
    </w:p>
    <w:p w:rsidR="000E6020" w:rsidRPr="00873F9B" w:rsidRDefault="000E6020" w:rsidP="00AA11F5">
      <w:pPr>
        <w:autoSpaceDE w:val="0"/>
        <w:autoSpaceDN w:val="0"/>
        <w:adjustRightInd w:val="0"/>
        <w:jc w:val="both"/>
        <w:rPr>
          <w:szCs w:val="22"/>
          <w:u w:val="single"/>
          <w:lang w:val="el-GR"/>
        </w:rPr>
      </w:pPr>
      <w:r w:rsidRPr="00873F9B">
        <w:rPr>
          <w:rFonts w:eastAsia="PMingLiU"/>
          <w:szCs w:val="22"/>
          <w:lang w:val="el-GR" w:eastAsia="zh-TW"/>
        </w:rPr>
        <w:t>Η βαλσαρτάνη έχει υψηλή δέσμευση με τις πρωτεΐνες του πλάσματος και είναι απίθανο να απομακρυνθεί με αιμοδιύλιση.</w:t>
      </w:r>
    </w:p>
    <w:p w:rsidR="00BF291C" w:rsidRPr="00873F9B" w:rsidRDefault="00BF291C" w:rsidP="00AA11F5">
      <w:pPr>
        <w:jc w:val="both"/>
        <w:rPr>
          <w:szCs w:val="22"/>
        </w:rPr>
      </w:pPr>
    </w:p>
    <w:p w:rsidR="0096003C" w:rsidRPr="00873F9B" w:rsidRDefault="0096003C" w:rsidP="00AA11F5">
      <w:pPr>
        <w:numPr>
          <w:ilvl w:val="12"/>
          <w:numId w:val="0"/>
        </w:numPr>
        <w:ind w:right="-2"/>
        <w:jc w:val="both"/>
        <w:rPr>
          <w:iCs/>
          <w:szCs w:val="22"/>
          <w:u w:val="single"/>
        </w:rPr>
      </w:pPr>
      <w:r w:rsidRPr="00873F9B">
        <w:rPr>
          <w:iCs/>
          <w:szCs w:val="22"/>
          <w:u w:val="single"/>
        </w:rPr>
        <w:t>Ηπατική δυσλειτουργία</w:t>
      </w:r>
    </w:p>
    <w:p w:rsidR="0096003C" w:rsidRPr="00873F9B" w:rsidRDefault="0096003C" w:rsidP="00AA11F5">
      <w:pPr>
        <w:autoSpaceDE w:val="0"/>
        <w:autoSpaceDN w:val="0"/>
        <w:adjustRightInd w:val="0"/>
        <w:jc w:val="both"/>
        <w:rPr>
          <w:rFonts w:eastAsia="PMingLiU"/>
          <w:szCs w:val="22"/>
          <w:lang w:val="el-GR" w:eastAsia="zh-TW"/>
        </w:rPr>
      </w:pPr>
      <w:r w:rsidRPr="00873F9B">
        <w:rPr>
          <w:rFonts w:eastAsia="PMingLiU"/>
          <w:szCs w:val="22"/>
          <w:lang w:val="el-GR" w:eastAsia="zh-TW"/>
        </w:rPr>
        <w:t>Περίπου το 70% της απορροφούμενης δόσης απεκκρίνεται στη χολή, κυρίως σαν αναλλοίωτη ένωση. Η βαλσαρτάνη δεν υφίσταται αξιοσημείωτο βιομετασχηματισμό. Διπλασιασμός της έκθεσης (AUC) παρατηρήθηκε σε ασθενείς με ήπια έως μέτρια ηπατική δυσλειτουργία σε σύγκριση με υγιή άτομα. Ωστόσο, δεν παρατηρήθηκε συσχέτιση μεταξύ της συγκέντρωσης της βαλσαρτάνης στο πλάσμα έναντι του βαθμού ηπατικής δυσλειτουργίας. Η βαλσαρτάνη δεν έχει μελετηθεί σε ασθενείς με βαριά ηπατική δυσλειτουργία (βλ. παραγράφους 4.2, 4.3 και 4.4).</w:t>
      </w:r>
    </w:p>
    <w:p w:rsidR="0096003C" w:rsidRPr="00873F9B" w:rsidRDefault="0096003C" w:rsidP="00AA11F5">
      <w:pPr>
        <w:numPr>
          <w:ilvl w:val="12"/>
          <w:numId w:val="0"/>
        </w:numPr>
        <w:ind w:right="-2"/>
        <w:jc w:val="both"/>
        <w:rPr>
          <w:iCs/>
          <w:szCs w:val="22"/>
          <w:u w:val="single"/>
          <w:lang w:val="el-GR"/>
        </w:rPr>
      </w:pPr>
    </w:p>
    <w:p w:rsidR="0096003C" w:rsidRPr="00873F9B" w:rsidRDefault="0096003C" w:rsidP="00AA11F5">
      <w:pPr>
        <w:numPr>
          <w:ilvl w:val="12"/>
          <w:numId w:val="0"/>
        </w:numPr>
        <w:ind w:right="-2"/>
        <w:jc w:val="both"/>
        <w:rPr>
          <w:iCs/>
          <w:szCs w:val="22"/>
          <w:u w:val="single"/>
          <w:lang w:val="el-GR"/>
        </w:rPr>
      </w:pPr>
      <w:r w:rsidRPr="00873F9B">
        <w:rPr>
          <w:iCs/>
          <w:szCs w:val="22"/>
          <w:u w:val="single"/>
          <w:lang w:val="el-GR"/>
        </w:rPr>
        <w:t>Παιδιατρικός πληθυσμός</w:t>
      </w:r>
    </w:p>
    <w:p w:rsidR="0096003C" w:rsidRPr="00873F9B" w:rsidRDefault="0096003C" w:rsidP="00AA11F5">
      <w:pPr>
        <w:autoSpaceDE w:val="0"/>
        <w:autoSpaceDN w:val="0"/>
        <w:adjustRightInd w:val="0"/>
        <w:jc w:val="both"/>
        <w:rPr>
          <w:rFonts w:eastAsia="PMingLiU"/>
          <w:szCs w:val="22"/>
          <w:lang w:val="el-GR" w:eastAsia="zh-TW"/>
        </w:rPr>
      </w:pPr>
      <w:r w:rsidRPr="00873F9B">
        <w:rPr>
          <w:rFonts w:eastAsia="PMingLiU"/>
          <w:szCs w:val="22"/>
          <w:lang w:val="el-GR" w:eastAsia="zh-TW"/>
        </w:rPr>
        <w:t>Σε μια μελέτη 26 παιδιατρικών υπερτασικών ασθενών (ηλικίας 1 έως 16 ετών), στους οποίους χορηγήθηκε εφάπαξ δόση εναιωρήματος βαλσαρτάνης (μέση τιμή: 0,9 έως 2 mg/kg, με μέγιστη δόση 80 mg), η κάθαρση (λίτρα/h/kg) της βαλσαρτάνης ήταν συγκρίσιμη σε όλο το ηλικιακό εύρος 1 έως 16 ετών και παρόμοια με εκείνη των ενηλίκων που έλαβαν την ίδια σύνθεση.</w:t>
      </w:r>
    </w:p>
    <w:p w:rsidR="0096003C" w:rsidRPr="00873F9B" w:rsidRDefault="0096003C" w:rsidP="00AA11F5">
      <w:pPr>
        <w:autoSpaceDE w:val="0"/>
        <w:autoSpaceDN w:val="0"/>
        <w:adjustRightInd w:val="0"/>
        <w:jc w:val="both"/>
        <w:rPr>
          <w:rFonts w:eastAsia="PMingLiU"/>
          <w:szCs w:val="22"/>
          <w:lang w:val="el-GR" w:eastAsia="zh-TW"/>
        </w:rPr>
      </w:pPr>
    </w:p>
    <w:p w:rsidR="0096003C" w:rsidRPr="00873F9B" w:rsidRDefault="0096003C" w:rsidP="00AA11F5">
      <w:pPr>
        <w:autoSpaceDE w:val="0"/>
        <w:autoSpaceDN w:val="0"/>
        <w:adjustRightInd w:val="0"/>
        <w:jc w:val="both"/>
        <w:rPr>
          <w:iCs/>
          <w:szCs w:val="22"/>
          <w:u w:val="single"/>
          <w:lang w:val="el-GR"/>
        </w:rPr>
      </w:pPr>
      <w:r w:rsidRPr="00873F9B">
        <w:rPr>
          <w:iCs/>
          <w:szCs w:val="22"/>
          <w:u w:val="single"/>
          <w:lang w:val="el-GR"/>
        </w:rPr>
        <w:t>Νεφρική δυσλειτουργία</w:t>
      </w:r>
    </w:p>
    <w:p w:rsidR="0096003C" w:rsidRPr="00873F9B" w:rsidRDefault="0096003C" w:rsidP="00AA11F5">
      <w:pPr>
        <w:autoSpaceDE w:val="0"/>
        <w:autoSpaceDN w:val="0"/>
        <w:adjustRightInd w:val="0"/>
        <w:jc w:val="both"/>
        <w:rPr>
          <w:iCs/>
          <w:szCs w:val="22"/>
          <w:u w:val="single"/>
          <w:lang w:val="el-GR"/>
        </w:rPr>
      </w:pPr>
      <w:r w:rsidRPr="00873F9B">
        <w:rPr>
          <w:rFonts w:eastAsia="PMingLiU"/>
          <w:szCs w:val="22"/>
          <w:lang w:val="el-GR" w:eastAsia="zh-TW"/>
        </w:rPr>
        <w:t>Χρήση σε παιδιατρικούς ασθενείς με κάθαρση κρεατινίνης &lt;30 ml/min και παιδιατρικούς ασθενείς</w:t>
      </w:r>
      <w:r w:rsidR="00AA11F5">
        <w:rPr>
          <w:rFonts w:eastAsia="PMingLiU"/>
          <w:szCs w:val="22"/>
          <w:lang w:val="el-GR" w:eastAsia="zh-TW"/>
        </w:rPr>
        <w:t xml:space="preserve"> </w:t>
      </w:r>
      <w:r w:rsidRPr="00873F9B">
        <w:rPr>
          <w:rFonts w:eastAsia="PMingLiU"/>
          <w:szCs w:val="22"/>
          <w:lang w:val="el-GR" w:eastAsia="zh-TW"/>
        </w:rPr>
        <w:t xml:space="preserve">που υποβάλλονται σε διύλιση δεν έχει μελετηθεί, επομένως, η βαλσαρτάνη δε συνιστάται σε </w:t>
      </w:r>
      <w:r w:rsidR="00AA11F5">
        <w:rPr>
          <w:rFonts w:eastAsia="PMingLiU"/>
          <w:szCs w:val="22"/>
          <w:lang w:val="el-GR" w:eastAsia="zh-TW"/>
        </w:rPr>
        <w:t xml:space="preserve">αυτούς </w:t>
      </w:r>
      <w:r w:rsidRPr="00873F9B">
        <w:rPr>
          <w:rFonts w:eastAsia="PMingLiU"/>
          <w:szCs w:val="22"/>
          <w:lang w:val="el-GR" w:eastAsia="zh-TW"/>
        </w:rPr>
        <w:t>τους ασθενείς. Δεν απαιτείται αναπροσαρμογή της δόσης για παιδιατρικούς ασθενείς με κάθαρση</w:t>
      </w:r>
      <w:r w:rsidR="00AA11F5">
        <w:rPr>
          <w:rFonts w:eastAsia="PMingLiU"/>
          <w:szCs w:val="22"/>
          <w:lang w:val="el-GR" w:eastAsia="zh-TW"/>
        </w:rPr>
        <w:t xml:space="preserve"> </w:t>
      </w:r>
      <w:r w:rsidRPr="00873F9B">
        <w:rPr>
          <w:rFonts w:eastAsia="PMingLiU"/>
          <w:szCs w:val="22"/>
          <w:lang w:val="el-GR" w:eastAsia="zh-TW"/>
        </w:rPr>
        <w:t>κρεατινίνης &gt;30 ml/min. Η νεφρική λειτουργία και το κάλιο ορού θα πρέπει να παρακολουθούνται</w:t>
      </w:r>
      <w:r w:rsidR="00AA11F5">
        <w:rPr>
          <w:rFonts w:eastAsia="PMingLiU"/>
          <w:szCs w:val="22"/>
          <w:lang w:val="el-GR" w:eastAsia="zh-TW"/>
        </w:rPr>
        <w:t xml:space="preserve"> </w:t>
      </w:r>
      <w:r w:rsidRPr="00873F9B">
        <w:rPr>
          <w:rFonts w:eastAsia="PMingLiU"/>
          <w:szCs w:val="22"/>
          <w:lang w:val="el-GR" w:eastAsia="zh-TW"/>
        </w:rPr>
        <w:t>στενά (βλ. παραγράφους 4.2 και 4.4).</w:t>
      </w:r>
    </w:p>
    <w:p w:rsidR="0096003C" w:rsidRPr="00873F9B" w:rsidRDefault="0096003C" w:rsidP="00AA11F5">
      <w:pPr>
        <w:numPr>
          <w:ilvl w:val="12"/>
          <w:numId w:val="0"/>
        </w:numPr>
        <w:ind w:right="-2"/>
        <w:jc w:val="both"/>
        <w:rPr>
          <w:iCs/>
          <w:szCs w:val="22"/>
          <w:u w:val="single"/>
          <w:lang w:val="el-GR"/>
        </w:rPr>
      </w:pPr>
    </w:p>
    <w:p w:rsidR="00BF291C" w:rsidRPr="00AA11F5" w:rsidRDefault="00BF291C" w:rsidP="00AA11F5">
      <w:pPr>
        <w:numPr>
          <w:ilvl w:val="12"/>
          <w:numId w:val="0"/>
        </w:numPr>
        <w:ind w:right="-2"/>
        <w:jc w:val="both"/>
        <w:rPr>
          <w:iCs/>
          <w:szCs w:val="22"/>
          <w:lang w:val="el-GR"/>
        </w:rPr>
      </w:pPr>
    </w:p>
    <w:p w:rsidR="00BF291C" w:rsidRPr="00AA11F5" w:rsidRDefault="00BF291C" w:rsidP="00AA11F5">
      <w:pPr>
        <w:numPr>
          <w:ilvl w:val="12"/>
          <w:numId w:val="0"/>
        </w:numPr>
        <w:ind w:right="-2"/>
        <w:jc w:val="both"/>
        <w:rPr>
          <w:iCs/>
          <w:szCs w:val="22"/>
          <w:lang w:val="el-GR"/>
        </w:rPr>
      </w:pPr>
    </w:p>
    <w:p w:rsidR="00BF291C" w:rsidRPr="00873F9B" w:rsidRDefault="00BF291C" w:rsidP="00AA11F5">
      <w:pPr>
        <w:ind w:left="567" w:hanging="567"/>
        <w:jc w:val="both"/>
        <w:outlineLvl w:val="0"/>
        <w:rPr>
          <w:szCs w:val="22"/>
        </w:rPr>
      </w:pPr>
      <w:r w:rsidRPr="00873F9B">
        <w:rPr>
          <w:b/>
          <w:szCs w:val="22"/>
        </w:rPr>
        <w:t>5.3</w:t>
      </w:r>
      <w:r w:rsidRPr="00873F9B">
        <w:rPr>
          <w:b/>
          <w:szCs w:val="22"/>
        </w:rPr>
        <w:tab/>
      </w:r>
      <w:r w:rsidR="00847767" w:rsidRPr="00873F9B">
        <w:rPr>
          <w:b/>
          <w:szCs w:val="22"/>
        </w:rPr>
        <w:t>Προκλινικά δεδομένα για την ασφάλεια</w:t>
      </w:r>
    </w:p>
    <w:p w:rsidR="00BF291C" w:rsidRPr="00873F9B" w:rsidRDefault="00BF291C" w:rsidP="00AA11F5">
      <w:pPr>
        <w:jc w:val="both"/>
        <w:rPr>
          <w:szCs w:val="22"/>
        </w:rPr>
      </w:pPr>
    </w:p>
    <w:p w:rsidR="00F25963" w:rsidRPr="00873F9B" w:rsidRDefault="00F25963" w:rsidP="00AA11F5">
      <w:pPr>
        <w:autoSpaceDE w:val="0"/>
        <w:autoSpaceDN w:val="0"/>
        <w:adjustRightInd w:val="0"/>
        <w:jc w:val="both"/>
        <w:rPr>
          <w:rFonts w:eastAsia="PMingLiU"/>
          <w:szCs w:val="22"/>
          <w:lang w:val="el-GR" w:eastAsia="zh-TW"/>
        </w:rPr>
      </w:pPr>
      <w:r w:rsidRPr="00873F9B">
        <w:rPr>
          <w:rFonts w:eastAsia="PMingLiU"/>
          <w:szCs w:val="22"/>
          <w:lang w:val="el-GR" w:eastAsia="zh-TW"/>
        </w:rPr>
        <w:t>Τα μη κλινικά δεδομένα δεν αποκαλύπτουν ιδιαίτερο κίνδυνο για τον άνθρωπο με βάση τις συμβατικές μελέτες φαρμακολογικής ασφάλειας, τοξικότητας επαναλαμβανόμενων δόσεων, γονοτοξικότητας, ενδεχόμενης καρκινογόνου δράσης.</w:t>
      </w:r>
    </w:p>
    <w:p w:rsidR="00F25963" w:rsidRPr="00873F9B" w:rsidRDefault="00F25963" w:rsidP="00AA11F5">
      <w:pPr>
        <w:autoSpaceDE w:val="0"/>
        <w:autoSpaceDN w:val="0"/>
        <w:adjustRightInd w:val="0"/>
        <w:jc w:val="both"/>
        <w:rPr>
          <w:rFonts w:eastAsia="PMingLiU"/>
          <w:szCs w:val="22"/>
          <w:lang w:val="el-GR" w:eastAsia="zh-TW"/>
        </w:rPr>
      </w:pPr>
      <w:r w:rsidRPr="00873F9B">
        <w:rPr>
          <w:rFonts w:eastAsia="PMingLiU"/>
          <w:szCs w:val="22"/>
          <w:lang w:val="el-GR" w:eastAsia="zh-TW"/>
        </w:rPr>
        <w:t>Σε αρουραίους, μητρικές τοξικές δόσεις (600 mg/kg/ημέρα) κατά τις τελευταίες ημέρες της κύησης και κατά τη γαλουχία οδήγησαν σε μικρότερη επιβίωση, χαμηλότερη αύξηση βάρους και καθυστερημένη ανάπτυξη (αποκόλληση του πτερυγίου του ωτός και του έξω ακουστικού πόρου) των απογόνων (βλ. παράγραφο 4.6).Οι δόσεις αυτές σε αρουραίους (600 mg/kg/ημέρα) είναι περίπου 18 φορές η μέγιστη συνιστώμενη ανθρώπινη δόση σε βάση mg/m</w:t>
      </w:r>
      <w:r w:rsidRPr="00E52239">
        <w:rPr>
          <w:rFonts w:eastAsia="PMingLiU"/>
          <w:szCs w:val="22"/>
          <w:vertAlign w:val="superscript"/>
          <w:lang w:val="el-GR" w:eastAsia="zh-TW"/>
        </w:rPr>
        <w:t>2</w:t>
      </w:r>
      <w:r w:rsidRPr="00873F9B">
        <w:rPr>
          <w:rFonts w:eastAsia="PMingLiU"/>
          <w:szCs w:val="22"/>
          <w:lang w:val="el-GR" w:eastAsia="zh-TW"/>
        </w:rPr>
        <w:t xml:space="preserve"> (οι υπολογισμοί θεωρούν ως δεδομένη μια από του στόματος δόση των 320 mg/ημέρα και ασθενή 60 κιλών).</w:t>
      </w:r>
    </w:p>
    <w:p w:rsidR="00F25963" w:rsidRPr="00873F9B" w:rsidRDefault="00F25963" w:rsidP="00AA11F5">
      <w:pPr>
        <w:autoSpaceDE w:val="0"/>
        <w:autoSpaceDN w:val="0"/>
        <w:adjustRightInd w:val="0"/>
        <w:jc w:val="both"/>
        <w:rPr>
          <w:rFonts w:eastAsia="PMingLiU"/>
          <w:szCs w:val="22"/>
          <w:lang w:val="el-GR" w:eastAsia="zh-TW"/>
        </w:rPr>
      </w:pPr>
      <w:r w:rsidRPr="00873F9B">
        <w:rPr>
          <w:rFonts w:eastAsia="PMingLiU"/>
          <w:szCs w:val="22"/>
          <w:lang w:val="el-GR" w:eastAsia="zh-TW"/>
        </w:rPr>
        <w:t>Σε μη κλινικές μελέτες για την ασφάλεια, υψηλές δόσεις βαλσαρτάνης (200 έως 600 mg/kg σωματικού βάρους) προκάλεσαν στους αρουραίους μείωση των παραμέτρων των ερυθρών αιμοσφαιρίων (ερυθροκύτταρα, αιμοσφαιρίνη, αιματοκρίτης) και ένδειξη μεταβολών στη νεφρική αιμοδυναμική (ελαφρά αυξημένη ουρία του πλάσματος, υπερπλασία των νεφρικών σωληναρίων και βασεοφιλία σε άρρενες). Οι δόσεις αυτές σε αρουραίους (200 και 600 mg/kg/ημέρα) είναι περίπου 6 και 18 φορές η μέγιστη συνιστώμενη ανθρώπινη δόση σε βάση mg/m</w:t>
      </w:r>
      <w:r w:rsidRPr="00E52239">
        <w:rPr>
          <w:rFonts w:eastAsia="PMingLiU"/>
          <w:szCs w:val="22"/>
          <w:vertAlign w:val="superscript"/>
          <w:lang w:val="el-GR" w:eastAsia="zh-TW"/>
        </w:rPr>
        <w:t>2</w:t>
      </w:r>
      <w:r w:rsidRPr="00873F9B">
        <w:rPr>
          <w:rFonts w:eastAsia="PMingLiU"/>
          <w:szCs w:val="22"/>
          <w:lang w:val="el-GR" w:eastAsia="zh-TW"/>
        </w:rPr>
        <w:t xml:space="preserve"> (οι υπολογισμοί θεωρούν ως δεδομένη μια από του στόματος δόση των 320 mg/ημέρα και ασθενή 60 κιλών).</w:t>
      </w:r>
    </w:p>
    <w:p w:rsidR="00F25963" w:rsidRPr="00873F9B" w:rsidRDefault="00F25963" w:rsidP="00AA11F5">
      <w:pPr>
        <w:autoSpaceDE w:val="0"/>
        <w:autoSpaceDN w:val="0"/>
        <w:adjustRightInd w:val="0"/>
        <w:jc w:val="both"/>
        <w:rPr>
          <w:rFonts w:eastAsia="PMingLiU"/>
          <w:szCs w:val="22"/>
          <w:lang w:val="el-GR" w:eastAsia="zh-TW"/>
        </w:rPr>
      </w:pPr>
      <w:r w:rsidRPr="00873F9B">
        <w:rPr>
          <w:rFonts w:eastAsia="PMingLiU"/>
          <w:szCs w:val="22"/>
          <w:lang w:val="el-GR" w:eastAsia="zh-TW"/>
        </w:rPr>
        <w:t>Σε αρκτόμυες σε παρόμοιες δόσεις, οι μεταβολές ήταν παρόμοιες αν και σοβαρότερες, ιδιαίτερα στα</w:t>
      </w:r>
      <w:r w:rsidR="00AA11F5">
        <w:rPr>
          <w:rFonts w:eastAsia="PMingLiU"/>
          <w:szCs w:val="22"/>
          <w:lang w:val="el-GR" w:eastAsia="zh-TW"/>
        </w:rPr>
        <w:t xml:space="preserve"> </w:t>
      </w:r>
      <w:r w:rsidRPr="00873F9B">
        <w:rPr>
          <w:rFonts w:eastAsia="PMingLiU"/>
          <w:szCs w:val="22"/>
          <w:lang w:val="el-GR" w:eastAsia="zh-TW"/>
        </w:rPr>
        <w:t>νεφρά, όπου οι μεταβολές εξελίχθηκαν σε νεφροπάθεια, που περιλάμβανε αυξημένη ουρία και</w:t>
      </w:r>
      <w:r w:rsidR="00AA11F5">
        <w:rPr>
          <w:rFonts w:eastAsia="PMingLiU"/>
          <w:szCs w:val="22"/>
          <w:lang w:val="el-GR" w:eastAsia="zh-TW"/>
        </w:rPr>
        <w:t xml:space="preserve"> </w:t>
      </w:r>
      <w:r w:rsidRPr="00873F9B">
        <w:rPr>
          <w:rFonts w:eastAsia="PMingLiU"/>
          <w:szCs w:val="22"/>
          <w:lang w:val="el-GR" w:eastAsia="zh-TW"/>
        </w:rPr>
        <w:t>κρεατινίνη.</w:t>
      </w:r>
    </w:p>
    <w:p w:rsidR="00F25963" w:rsidRPr="00AA11F5" w:rsidRDefault="00F25963" w:rsidP="00AA11F5">
      <w:pPr>
        <w:autoSpaceDE w:val="0"/>
        <w:autoSpaceDN w:val="0"/>
        <w:adjustRightInd w:val="0"/>
        <w:jc w:val="both"/>
        <w:rPr>
          <w:rFonts w:eastAsia="PMingLiU"/>
          <w:szCs w:val="22"/>
          <w:lang w:val="el-GR" w:eastAsia="zh-TW"/>
        </w:rPr>
      </w:pPr>
      <w:r w:rsidRPr="00873F9B">
        <w:rPr>
          <w:rFonts w:eastAsia="PMingLiU"/>
          <w:szCs w:val="22"/>
          <w:lang w:val="el-GR" w:eastAsia="zh-TW"/>
        </w:rPr>
        <w:t>Υπερτροφία των παρασπειραματικών κυττάρων παρατηρήθηκε επίσης και στα δύο είδη ζώων. Όλες οι</w:t>
      </w:r>
      <w:r w:rsidR="00AA11F5">
        <w:rPr>
          <w:rFonts w:eastAsia="PMingLiU"/>
          <w:szCs w:val="22"/>
          <w:lang w:val="el-GR" w:eastAsia="zh-TW"/>
        </w:rPr>
        <w:t xml:space="preserve"> </w:t>
      </w:r>
      <w:r w:rsidRPr="00873F9B">
        <w:rPr>
          <w:rFonts w:eastAsia="PMingLiU"/>
          <w:szCs w:val="22"/>
          <w:lang w:val="el-GR" w:eastAsia="zh-TW"/>
        </w:rPr>
        <w:t>μεταβολές θεωρήθηκε ότι προκλήθηκαν από τη φαρμακολογική δράση της βαλσαρτάνης, που</w:t>
      </w:r>
      <w:r w:rsidR="00AA11F5">
        <w:rPr>
          <w:rFonts w:eastAsia="PMingLiU"/>
          <w:szCs w:val="22"/>
          <w:lang w:val="el-GR" w:eastAsia="zh-TW"/>
        </w:rPr>
        <w:t xml:space="preserve"> </w:t>
      </w:r>
      <w:r w:rsidRPr="00873F9B">
        <w:rPr>
          <w:rFonts w:eastAsia="PMingLiU"/>
          <w:szCs w:val="22"/>
          <w:lang w:val="el-GR" w:eastAsia="zh-TW"/>
        </w:rPr>
        <w:t>προκαλεί παρατεταμένη υπόταση, ιδιαίτερα στους αρκτόμυες. Για θεραπευτικές δόσεις βαλσαρτάνης</w:t>
      </w:r>
      <w:r w:rsidR="00AA11F5">
        <w:rPr>
          <w:rFonts w:eastAsia="PMingLiU"/>
          <w:szCs w:val="22"/>
          <w:lang w:val="el-GR" w:eastAsia="zh-TW"/>
        </w:rPr>
        <w:t xml:space="preserve"> </w:t>
      </w:r>
      <w:r w:rsidRPr="00873F9B">
        <w:rPr>
          <w:rFonts w:eastAsia="PMingLiU"/>
          <w:szCs w:val="22"/>
          <w:lang w:val="el-GR" w:eastAsia="zh-TW"/>
        </w:rPr>
        <w:t>στον άνθρωπο, η υπερτροφία των παρασπειραματικών κυττάρων δε φαίνεται να έχει καμία σχετική</w:t>
      </w:r>
      <w:r w:rsidR="00AA11F5">
        <w:rPr>
          <w:rFonts w:eastAsia="PMingLiU"/>
          <w:szCs w:val="22"/>
          <w:lang w:val="el-GR" w:eastAsia="zh-TW"/>
        </w:rPr>
        <w:t xml:space="preserve"> </w:t>
      </w:r>
      <w:r w:rsidRPr="00873F9B">
        <w:rPr>
          <w:rFonts w:eastAsia="PMingLiU"/>
          <w:szCs w:val="22"/>
          <w:lang w:val="el-GR" w:eastAsia="zh-TW"/>
        </w:rPr>
        <w:t>σημασία.</w:t>
      </w:r>
    </w:p>
    <w:p w:rsidR="00F25963" w:rsidRPr="00AA11F5" w:rsidRDefault="00F25963" w:rsidP="00AA11F5">
      <w:pPr>
        <w:autoSpaceDE w:val="0"/>
        <w:autoSpaceDN w:val="0"/>
        <w:adjustRightInd w:val="0"/>
        <w:jc w:val="both"/>
        <w:rPr>
          <w:szCs w:val="22"/>
          <w:lang w:val="el-GR" w:bidi="th-TH"/>
        </w:rPr>
      </w:pPr>
    </w:p>
    <w:p w:rsidR="00BF291C" w:rsidRPr="00873F9B" w:rsidRDefault="00FE3FEB" w:rsidP="00AA11F5">
      <w:pPr>
        <w:jc w:val="both"/>
        <w:rPr>
          <w:i/>
          <w:color w:val="000000"/>
          <w:szCs w:val="22"/>
          <w:u w:val="single"/>
          <w:lang w:val="el-GR"/>
        </w:rPr>
      </w:pPr>
      <w:r w:rsidRPr="00873F9B">
        <w:rPr>
          <w:rFonts w:eastAsia="PMingLiU"/>
          <w:i/>
          <w:iCs/>
          <w:szCs w:val="22"/>
          <w:u w:val="single"/>
          <w:lang w:val="el-GR" w:eastAsia="zh-TW"/>
        </w:rPr>
        <w:t>Παιδιατρικός πληθυσμός</w:t>
      </w:r>
    </w:p>
    <w:p w:rsidR="00FE3FEB" w:rsidRPr="00873F9B" w:rsidRDefault="00FE3FEB" w:rsidP="00AA11F5">
      <w:pPr>
        <w:autoSpaceDE w:val="0"/>
        <w:autoSpaceDN w:val="0"/>
        <w:adjustRightInd w:val="0"/>
        <w:jc w:val="both"/>
        <w:rPr>
          <w:color w:val="000000"/>
          <w:szCs w:val="22"/>
          <w:lang w:val="el-GR" w:bidi="th-TH"/>
        </w:rPr>
      </w:pPr>
      <w:r w:rsidRPr="00873F9B">
        <w:rPr>
          <w:rFonts w:eastAsia="PMingLiU"/>
          <w:szCs w:val="22"/>
          <w:lang w:val="el-GR" w:eastAsia="zh-TW"/>
        </w:rPr>
        <w:t>Η ημερήσια από του στόματος χορήγηση δόσης βαλσαρτάνης σε νεογέννητους/έφηβους αρουραίους (από τη μεταγεννητική ημέρα 7 έως τη μεταγεννητική ημέρα 70) σε δόσεις τόσο χαμηλές όσο 1 mg/kg/ημέρα (περίπου 10-35% της μέγιστης συνιστώμενης παιδιατρικής δόσ</w:t>
      </w:r>
      <w:r w:rsidR="0097514F">
        <w:rPr>
          <w:rFonts w:eastAsia="PMingLiU"/>
          <w:szCs w:val="22"/>
          <w:lang w:val="el-GR" w:eastAsia="zh-TW"/>
        </w:rPr>
        <w:t>η</w:t>
      </w:r>
      <w:r w:rsidRPr="00873F9B">
        <w:rPr>
          <w:rFonts w:eastAsia="PMingLiU"/>
          <w:szCs w:val="22"/>
          <w:lang w:val="el-GR" w:eastAsia="zh-TW"/>
        </w:rPr>
        <w:t>ς των 4 mg/kg/ημέρα με βάση συστηματική έκθεση) οδήγησε σε εμμένουσα, μη αναστρέψιμη νεφρική βλάβη. Αυτές οι δράσεις που αναφέρονται παραπάνω, αντιπροσωπεύουν αναμενόμενη υπερβολική φαρμακολογική δράση αναστολέων του μετατρεπτικού ενζύμου της αγγειοτασίνης και αποκλειστών τύπου 1 της αγγειοτασίνης ΙΙ. Τέτοιες δράσεις παρατηρούνται εάν λάβουν θεραπεία αρουραί</w:t>
      </w:r>
      <w:r w:rsidR="0097514F">
        <w:rPr>
          <w:rFonts w:eastAsia="PMingLiU"/>
          <w:szCs w:val="22"/>
          <w:lang w:val="el-GR" w:eastAsia="zh-TW"/>
        </w:rPr>
        <w:t>οι</w:t>
      </w:r>
      <w:r w:rsidRPr="00873F9B">
        <w:rPr>
          <w:rFonts w:eastAsia="PMingLiU"/>
          <w:szCs w:val="22"/>
          <w:lang w:val="el-GR" w:eastAsia="zh-TW"/>
        </w:rPr>
        <w:t xml:space="preserve"> κατά τις πρώτες 13 ημέρες ζωής. Αυτό το διάστημα συμπίπτει με 36 εβδομάδες κύησης στον άνθρωπο, το οποίο θα μπορούσε περιστασιακά να παραταθεί έως τις 44 εβδομάδες μετά από τη σύλληψη στον άνθρωπο. Οι αρουραίοι στην μελέτη εφήβων αρουραίων έλαβαν δόση μέχρι την ημέρα 70 και δεν μπορούν να αποκλειστούν επιδράσεις στη νεφρική ωρίμανση (μεταγεννητική 4-6 εβδομάδες). Η λειτουργική νεφρική ωρίμανση αποτελεί συνεχή διεργασία μέσα στο πρώτο έτος της ζωής στον άνθρωπο. Συνεπώς, δεν μπορεί να αποκλειστεί κλινική συσχέτιση σε παιδιά &lt;1 έτους ηλικίας, ενώ προκλινικά δεδομένα δεν υποδεικνύουν θέμα ασφάλειας για παιδιά ηλικίας άνω του 1 έτους.</w:t>
      </w:r>
    </w:p>
    <w:p w:rsidR="00BF291C" w:rsidRDefault="00BF291C" w:rsidP="00AA11F5">
      <w:pPr>
        <w:jc w:val="both"/>
        <w:rPr>
          <w:color w:val="000000"/>
          <w:szCs w:val="22"/>
          <w:lang w:val="el-GR"/>
        </w:rPr>
      </w:pPr>
    </w:p>
    <w:p w:rsidR="00A56E05" w:rsidRPr="00A56E05" w:rsidRDefault="00A56E05" w:rsidP="00AA11F5">
      <w:pPr>
        <w:jc w:val="both"/>
        <w:rPr>
          <w:color w:val="000000"/>
          <w:szCs w:val="22"/>
          <w:lang w:val="el-GR"/>
        </w:rPr>
      </w:pPr>
    </w:p>
    <w:p w:rsidR="00BF291C" w:rsidRPr="00873F9B" w:rsidRDefault="00BF291C" w:rsidP="00AA11F5">
      <w:pPr>
        <w:jc w:val="both"/>
        <w:rPr>
          <w:szCs w:val="22"/>
        </w:rPr>
      </w:pPr>
    </w:p>
    <w:p w:rsidR="00BF291C" w:rsidRPr="00873F9B" w:rsidRDefault="00BF291C" w:rsidP="00AA11F5">
      <w:pPr>
        <w:ind w:left="567" w:hanging="567"/>
        <w:jc w:val="both"/>
        <w:rPr>
          <w:b/>
          <w:szCs w:val="22"/>
        </w:rPr>
      </w:pPr>
      <w:r w:rsidRPr="00873F9B">
        <w:rPr>
          <w:b/>
          <w:szCs w:val="22"/>
        </w:rPr>
        <w:t>6.</w:t>
      </w:r>
      <w:r w:rsidRPr="00873F9B">
        <w:rPr>
          <w:b/>
          <w:szCs w:val="22"/>
        </w:rPr>
        <w:tab/>
      </w:r>
      <w:r w:rsidR="00FE3FEB" w:rsidRPr="00873F9B">
        <w:rPr>
          <w:rFonts w:eastAsia="PMingLiU"/>
          <w:b/>
          <w:bCs/>
          <w:szCs w:val="22"/>
          <w:lang w:val="el-GR" w:eastAsia="zh-TW"/>
        </w:rPr>
        <w:t>ΦΑΡΜΑΚΕΥΤΙΚΕΣ ΠΛΗΡΟΦΟΡΙΕΣ</w:t>
      </w:r>
    </w:p>
    <w:p w:rsidR="00BF291C" w:rsidRPr="00873F9B" w:rsidRDefault="00BF291C" w:rsidP="00AA11F5">
      <w:pPr>
        <w:jc w:val="both"/>
        <w:rPr>
          <w:szCs w:val="22"/>
        </w:rPr>
      </w:pPr>
    </w:p>
    <w:p w:rsidR="00BF291C" w:rsidRPr="00873F9B" w:rsidRDefault="00BF291C" w:rsidP="00AA11F5">
      <w:pPr>
        <w:ind w:left="567" w:hanging="567"/>
        <w:jc w:val="both"/>
        <w:outlineLvl w:val="0"/>
        <w:rPr>
          <w:szCs w:val="22"/>
        </w:rPr>
      </w:pPr>
      <w:r w:rsidRPr="00873F9B">
        <w:rPr>
          <w:b/>
          <w:szCs w:val="22"/>
        </w:rPr>
        <w:t>6.1</w:t>
      </w:r>
      <w:r w:rsidRPr="00873F9B">
        <w:rPr>
          <w:b/>
          <w:szCs w:val="22"/>
        </w:rPr>
        <w:tab/>
      </w:r>
      <w:r w:rsidR="00FE3FEB" w:rsidRPr="00873F9B">
        <w:rPr>
          <w:rFonts w:eastAsia="PMingLiU"/>
          <w:b/>
          <w:bCs/>
          <w:szCs w:val="22"/>
          <w:lang w:val="el-GR" w:eastAsia="zh-TW"/>
        </w:rPr>
        <w:t>Κατάλογος εκδόχων</w:t>
      </w:r>
    </w:p>
    <w:p w:rsidR="00FE3784" w:rsidRPr="00873F9B" w:rsidRDefault="00FE3FEB" w:rsidP="00AA11F5">
      <w:pPr>
        <w:autoSpaceDE w:val="0"/>
        <w:autoSpaceDN w:val="0"/>
        <w:adjustRightInd w:val="0"/>
        <w:jc w:val="both"/>
        <w:rPr>
          <w:szCs w:val="22"/>
          <w:u w:val="single"/>
          <w:lang w:val="el-GR"/>
        </w:rPr>
      </w:pPr>
      <w:r w:rsidRPr="00873F9B">
        <w:rPr>
          <w:rFonts w:eastAsia="PMingLiU"/>
          <w:szCs w:val="22"/>
          <w:u w:val="single"/>
          <w:lang w:val="el-GR" w:eastAsia="zh-TW"/>
        </w:rPr>
        <w:t>Πυρήνας του δισκίου</w:t>
      </w:r>
      <w:r w:rsidR="00FE3784" w:rsidRPr="00873F9B">
        <w:rPr>
          <w:szCs w:val="22"/>
          <w:u w:val="single"/>
          <w:lang w:val="el-GR"/>
        </w:rPr>
        <w:t>:</w:t>
      </w:r>
    </w:p>
    <w:p w:rsidR="00FE3784" w:rsidRPr="00873F9B" w:rsidRDefault="00FE3FEB" w:rsidP="00AA11F5">
      <w:pPr>
        <w:jc w:val="both"/>
        <w:rPr>
          <w:iCs/>
          <w:szCs w:val="22"/>
          <w:lang w:val="el-GR"/>
        </w:rPr>
      </w:pPr>
      <w:r w:rsidRPr="00873F9B">
        <w:rPr>
          <w:rFonts w:eastAsia="PMingLiU"/>
          <w:szCs w:val="22"/>
          <w:lang w:val="el-GR" w:eastAsia="zh-TW"/>
        </w:rPr>
        <w:t>Κυτταρίνη μικροκρυσταλλική</w:t>
      </w:r>
      <w:r w:rsidR="00FE3784" w:rsidRPr="00873F9B">
        <w:rPr>
          <w:iCs/>
          <w:szCs w:val="22"/>
          <w:lang w:val="el-GR"/>
        </w:rPr>
        <w:t xml:space="preserve"> 101, </w:t>
      </w:r>
    </w:p>
    <w:p w:rsidR="00FE3784" w:rsidRPr="00873F9B" w:rsidRDefault="00D74421" w:rsidP="00AA11F5">
      <w:pPr>
        <w:jc w:val="both"/>
        <w:rPr>
          <w:iCs/>
          <w:szCs w:val="22"/>
          <w:lang w:val="el-GR"/>
        </w:rPr>
      </w:pPr>
      <w:r w:rsidRPr="00873F9B">
        <w:rPr>
          <w:rFonts w:eastAsia="PMingLiU"/>
          <w:szCs w:val="22"/>
          <w:lang w:val="el-GR" w:eastAsia="zh-TW"/>
        </w:rPr>
        <w:t>Κροσποβιδόνη (Τύπος Α)</w:t>
      </w:r>
      <w:r w:rsidR="00FE3784" w:rsidRPr="00873F9B">
        <w:rPr>
          <w:iCs/>
          <w:szCs w:val="22"/>
          <w:lang w:val="el-GR"/>
        </w:rPr>
        <w:t xml:space="preserve">, </w:t>
      </w:r>
    </w:p>
    <w:p w:rsidR="00FE3784" w:rsidRPr="00873F9B" w:rsidRDefault="00873F9B" w:rsidP="00AA11F5">
      <w:pPr>
        <w:jc w:val="both"/>
        <w:rPr>
          <w:iCs/>
          <w:szCs w:val="22"/>
          <w:lang w:val="el-GR"/>
        </w:rPr>
      </w:pPr>
      <w:r w:rsidRPr="00873F9B">
        <w:rPr>
          <w:iCs/>
          <w:szCs w:val="22"/>
          <w:lang w:val="el-GR"/>
        </w:rPr>
        <w:t>Ποβιδόνη</w:t>
      </w:r>
      <w:r w:rsidR="00FE3784" w:rsidRPr="00873F9B">
        <w:rPr>
          <w:iCs/>
          <w:szCs w:val="22"/>
          <w:lang w:val="el-GR"/>
        </w:rPr>
        <w:t xml:space="preserve"> </w:t>
      </w:r>
      <w:r w:rsidR="00FE3784" w:rsidRPr="00873F9B">
        <w:rPr>
          <w:iCs/>
          <w:szCs w:val="22"/>
        </w:rPr>
        <w:t>K</w:t>
      </w:r>
      <w:r w:rsidR="00FE3784" w:rsidRPr="00873F9B">
        <w:rPr>
          <w:iCs/>
          <w:szCs w:val="22"/>
          <w:lang w:val="el-GR"/>
        </w:rPr>
        <w:t xml:space="preserve">30, </w:t>
      </w:r>
    </w:p>
    <w:p w:rsidR="00FE3784" w:rsidRPr="00873F9B" w:rsidRDefault="00873F9B" w:rsidP="00AA11F5">
      <w:pPr>
        <w:jc w:val="both"/>
        <w:rPr>
          <w:iCs/>
          <w:szCs w:val="22"/>
          <w:lang w:val="el-GR"/>
        </w:rPr>
      </w:pPr>
      <w:r w:rsidRPr="00873F9B">
        <w:rPr>
          <w:rFonts w:eastAsia="PMingLiU"/>
          <w:szCs w:val="22"/>
          <w:lang w:val="el-GR" w:eastAsia="zh-TW"/>
        </w:rPr>
        <w:t>Πυρίτιο κολλοειδές άνυδρο</w:t>
      </w:r>
      <w:r w:rsidR="00FE3784" w:rsidRPr="00873F9B">
        <w:rPr>
          <w:iCs/>
          <w:szCs w:val="22"/>
          <w:lang w:val="el-GR"/>
        </w:rPr>
        <w:t xml:space="preserve">, </w:t>
      </w:r>
    </w:p>
    <w:p w:rsidR="00FE3784" w:rsidRPr="00873F9B" w:rsidRDefault="00873F9B" w:rsidP="00AA11F5">
      <w:pPr>
        <w:jc w:val="both"/>
        <w:rPr>
          <w:iCs/>
          <w:szCs w:val="22"/>
          <w:lang w:val="el-GR"/>
        </w:rPr>
      </w:pPr>
      <w:r w:rsidRPr="00873F9B">
        <w:rPr>
          <w:rFonts w:eastAsia="PMingLiU"/>
          <w:szCs w:val="22"/>
          <w:lang w:val="el-GR" w:eastAsia="zh-TW"/>
        </w:rPr>
        <w:t>Μαγνήσιο στεατικό</w:t>
      </w:r>
      <w:r w:rsidR="00FE3784" w:rsidRPr="00873F9B">
        <w:rPr>
          <w:iCs/>
          <w:szCs w:val="22"/>
          <w:lang w:val="el-GR"/>
        </w:rPr>
        <w:t>.</w:t>
      </w:r>
    </w:p>
    <w:p w:rsidR="00FE3784" w:rsidRPr="00873F9B" w:rsidRDefault="00FE3784" w:rsidP="00AA11F5">
      <w:pPr>
        <w:autoSpaceDE w:val="0"/>
        <w:autoSpaceDN w:val="0"/>
        <w:adjustRightInd w:val="0"/>
        <w:jc w:val="both"/>
        <w:rPr>
          <w:szCs w:val="22"/>
          <w:u w:val="single"/>
          <w:lang w:val="el-GR"/>
        </w:rPr>
      </w:pPr>
    </w:p>
    <w:p w:rsidR="00FE3784" w:rsidRPr="00873F9B" w:rsidRDefault="00873F9B" w:rsidP="00AA11F5">
      <w:pPr>
        <w:autoSpaceDE w:val="0"/>
        <w:autoSpaceDN w:val="0"/>
        <w:adjustRightInd w:val="0"/>
        <w:jc w:val="both"/>
        <w:rPr>
          <w:szCs w:val="22"/>
          <w:u w:val="single"/>
          <w:lang w:val="el-GR"/>
        </w:rPr>
      </w:pPr>
      <w:r w:rsidRPr="00873F9B">
        <w:rPr>
          <w:szCs w:val="22"/>
          <w:u w:val="single"/>
          <w:lang w:val="el-GR"/>
        </w:rPr>
        <w:t>Επικάλυψη</w:t>
      </w:r>
      <w:r w:rsidR="00FE3784" w:rsidRPr="00873F9B">
        <w:rPr>
          <w:szCs w:val="22"/>
          <w:u w:val="single"/>
          <w:lang w:val="el-GR"/>
        </w:rPr>
        <w:t>:</w:t>
      </w:r>
    </w:p>
    <w:p w:rsidR="00FB1F26" w:rsidRPr="00952501" w:rsidRDefault="00952501" w:rsidP="00AA11F5">
      <w:pPr>
        <w:pStyle w:val="default0"/>
        <w:jc w:val="both"/>
        <w:rPr>
          <w:iCs/>
          <w:color w:val="auto"/>
          <w:sz w:val="22"/>
          <w:szCs w:val="22"/>
          <w:lang w:val="el-GR"/>
        </w:rPr>
      </w:pPr>
      <w:r>
        <w:rPr>
          <w:iCs/>
          <w:color w:val="auto"/>
          <w:sz w:val="22"/>
          <w:szCs w:val="22"/>
          <w:lang w:val="el-GR"/>
        </w:rPr>
        <w:t>Π</w:t>
      </w:r>
      <w:r w:rsidRPr="00952501">
        <w:rPr>
          <w:iCs/>
          <w:color w:val="auto"/>
          <w:sz w:val="22"/>
          <w:szCs w:val="22"/>
          <w:lang w:val="en-GB"/>
        </w:rPr>
        <w:t>ολυβινυλαλκοόλη</w:t>
      </w:r>
    </w:p>
    <w:p w:rsidR="00FB1F26" w:rsidRPr="00873F9B" w:rsidRDefault="003F7DCF" w:rsidP="00AA11F5">
      <w:pPr>
        <w:pStyle w:val="default0"/>
        <w:jc w:val="both"/>
        <w:rPr>
          <w:iCs/>
          <w:color w:val="auto"/>
          <w:sz w:val="22"/>
          <w:szCs w:val="22"/>
          <w:lang w:val="en-GB"/>
        </w:rPr>
      </w:pPr>
      <w:r>
        <w:rPr>
          <w:rFonts w:ascii="TimesNewRomanPSMT" w:eastAsia="PMingLiU" w:hAnsi="TimesNewRomanPSMT" w:cs="TimesNewRomanPSMT"/>
          <w:szCs w:val="22"/>
          <w:lang w:val="el-GR" w:eastAsia="zh-TW"/>
        </w:rPr>
        <w:t>Τιτανίου</w:t>
      </w:r>
      <w:r w:rsidRPr="00952501">
        <w:rPr>
          <w:rFonts w:ascii="TimesNewRomanPSMT" w:eastAsia="PMingLiU" w:hAnsi="TimesNewRomanPSMT" w:cs="TimesNewRomanPSMT"/>
          <w:szCs w:val="22"/>
          <w:lang w:val="en-GB" w:eastAsia="zh-TW"/>
        </w:rPr>
        <w:t xml:space="preserve"> </w:t>
      </w:r>
      <w:r>
        <w:rPr>
          <w:rFonts w:ascii="TimesNewRomanPSMT" w:eastAsia="PMingLiU" w:hAnsi="TimesNewRomanPSMT" w:cs="TimesNewRomanPSMT"/>
          <w:szCs w:val="22"/>
          <w:lang w:val="el-GR" w:eastAsia="zh-TW"/>
        </w:rPr>
        <w:t>διοξείδιο</w:t>
      </w:r>
      <w:r w:rsidRPr="00873F9B">
        <w:rPr>
          <w:iCs/>
          <w:color w:val="auto"/>
          <w:sz w:val="22"/>
          <w:szCs w:val="22"/>
          <w:lang w:val="en-GB"/>
        </w:rPr>
        <w:t xml:space="preserve"> </w:t>
      </w:r>
      <w:r w:rsidR="000C63F7" w:rsidRPr="00873F9B">
        <w:rPr>
          <w:iCs/>
          <w:color w:val="auto"/>
          <w:sz w:val="22"/>
          <w:szCs w:val="22"/>
          <w:lang w:val="en-GB"/>
        </w:rPr>
        <w:t>(</w:t>
      </w:r>
      <w:r w:rsidR="00FB1F26" w:rsidRPr="00873F9B">
        <w:rPr>
          <w:iCs/>
          <w:color w:val="auto"/>
          <w:sz w:val="22"/>
          <w:szCs w:val="22"/>
          <w:lang w:val="en-GB"/>
        </w:rPr>
        <w:t>E171</w:t>
      </w:r>
      <w:r w:rsidR="000C63F7" w:rsidRPr="00873F9B">
        <w:rPr>
          <w:iCs/>
          <w:color w:val="auto"/>
          <w:sz w:val="22"/>
          <w:szCs w:val="22"/>
          <w:lang w:val="en-GB"/>
        </w:rPr>
        <w:t>)</w:t>
      </w:r>
      <w:r w:rsidR="00FB1F26" w:rsidRPr="00873F9B">
        <w:rPr>
          <w:iCs/>
          <w:color w:val="auto"/>
          <w:sz w:val="22"/>
          <w:szCs w:val="22"/>
          <w:lang w:val="en-GB"/>
        </w:rPr>
        <w:t xml:space="preserve"> </w:t>
      </w:r>
    </w:p>
    <w:p w:rsidR="00FB1F26" w:rsidRPr="00873F9B" w:rsidRDefault="00952501" w:rsidP="00AA11F5">
      <w:pPr>
        <w:pStyle w:val="default0"/>
        <w:jc w:val="both"/>
        <w:rPr>
          <w:iCs/>
          <w:color w:val="000080"/>
          <w:sz w:val="22"/>
          <w:szCs w:val="22"/>
          <w:lang w:val="en-US"/>
        </w:rPr>
      </w:pPr>
      <w:r>
        <w:rPr>
          <w:rFonts w:ascii="TimesNewRomanPSMT" w:eastAsia="PMingLiU" w:hAnsi="TimesNewRomanPSMT" w:cs="TimesNewRomanPSMT"/>
          <w:szCs w:val="22"/>
          <w:lang w:val="el-GR" w:eastAsia="zh-TW"/>
        </w:rPr>
        <w:t>Πολυαιθυλενογλυκόλη</w:t>
      </w:r>
    </w:p>
    <w:p w:rsidR="00FE3784" w:rsidRPr="00873F9B" w:rsidRDefault="003F7DCF" w:rsidP="00AA11F5">
      <w:pPr>
        <w:jc w:val="both"/>
        <w:rPr>
          <w:iCs/>
          <w:szCs w:val="22"/>
        </w:rPr>
      </w:pPr>
      <w:r>
        <w:rPr>
          <w:iCs/>
          <w:szCs w:val="22"/>
          <w:lang w:val="el-GR"/>
        </w:rPr>
        <w:t>Τάλκης</w:t>
      </w:r>
      <w:r w:rsidR="00FE3784" w:rsidRPr="00873F9B">
        <w:rPr>
          <w:iCs/>
          <w:szCs w:val="22"/>
        </w:rPr>
        <w:t xml:space="preserve">, </w:t>
      </w:r>
    </w:p>
    <w:p w:rsidR="00BF291C" w:rsidRPr="00873F9B" w:rsidRDefault="00952501" w:rsidP="00AA11F5">
      <w:pPr>
        <w:jc w:val="both"/>
        <w:rPr>
          <w:iCs/>
          <w:szCs w:val="22"/>
        </w:rPr>
      </w:pPr>
      <w:proofErr w:type="gramStart"/>
      <w:r w:rsidRPr="00952501">
        <w:rPr>
          <w:iCs/>
          <w:szCs w:val="22"/>
        </w:rPr>
        <w:t>Κίτρινο κινολίνης</w:t>
      </w:r>
      <w:r w:rsidR="00DB1855" w:rsidRPr="00873F9B">
        <w:rPr>
          <w:iCs/>
          <w:szCs w:val="22"/>
        </w:rPr>
        <w:t xml:space="preserve"> </w:t>
      </w:r>
      <w:r w:rsidR="00423899" w:rsidRPr="00873F9B">
        <w:rPr>
          <w:iCs/>
          <w:szCs w:val="22"/>
        </w:rPr>
        <w:t>a</w:t>
      </w:r>
      <w:r w:rsidR="00DB1855" w:rsidRPr="00873F9B">
        <w:rPr>
          <w:iCs/>
          <w:szCs w:val="22"/>
        </w:rPr>
        <w:t>luminium</w:t>
      </w:r>
      <w:r w:rsidR="00FE3784" w:rsidRPr="00873F9B">
        <w:rPr>
          <w:iCs/>
          <w:szCs w:val="22"/>
        </w:rPr>
        <w:t xml:space="preserve"> lake</w:t>
      </w:r>
      <w:r w:rsidR="00F22B57" w:rsidRPr="00873F9B">
        <w:rPr>
          <w:iCs/>
          <w:szCs w:val="22"/>
        </w:rPr>
        <w:t xml:space="preserve"> </w:t>
      </w:r>
      <w:r w:rsidR="00EB203B" w:rsidRPr="00873F9B">
        <w:rPr>
          <w:iCs/>
          <w:szCs w:val="22"/>
        </w:rPr>
        <w:t>(</w:t>
      </w:r>
      <w:r w:rsidR="00F22B57" w:rsidRPr="00952501">
        <w:rPr>
          <w:iCs/>
          <w:szCs w:val="22"/>
        </w:rPr>
        <w:t>E104</w:t>
      </w:r>
      <w:r w:rsidR="00EB203B" w:rsidRPr="00952501">
        <w:rPr>
          <w:iCs/>
          <w:szCs w:val="22"/>
        </w:rPr>
        <w:t>)</w:t>
      </w:r>
      <w:r w:rsidR="00FE3784" w:rsidRPr="00873F9B">
        <w:rPr>
          <w:iCs/>
          <w:szCs w:val="22"/>
        </w:rPr>
        <w:t>.</w:t>
      </w:r>
      <w:proofErr w:type="gramEnd"/>
    </w:p>
    <w:p w:rsidR="00DB1855" w:rsidRPr="00873F9B" w:rsidRDefault="00DB1855" w:rsidP="00AA11F5">
      <w:pPr>
        <w:jc w:val="both"/>
        <w:rPr>
          <w:szCs w:val="22"/>
        </w:rPr>
      </w:pPr>
    </w:p>
    <w:p w:rsidR="00DB1855" w:rsidRPr="00873F9B" w:rsidRDefault="00DB1855" w:rsidP="00AA11F5">
      <w:pPr>
        <w:jc w:val="both"/>
        <w:rPr>
          <w:szCs w:val="22"/>
        </w:rPr>
      </w:pPr>
    </w:p>
    <w:p w:rsidR="00BF291C" w:rsidRPr="00873F9B" w:rsidRDefault="00BF291C" w:rsidP="00AA11F5">
      <w:pPr>
        <w:ind w:left="567" w:hanging="567"/>
        <w:jc w:val="both"/>
        <w:outlineLvl w:val="0"/>
        <w:rPr>
          <w:szCs w:val="22"/>
        </w:rPr>
      </w:pPr>
      <w:r w:rsidRPr="00873F9B">
        <w:rPr>
          <w:b/>
          <w:szCs w:val="22"/>
        </w:rPr>
        <w:t>6.2</w:t>
      </w:r>
      <w:r w:rsidRPr="00873F9B">
        <w:rPr>
          <w:b/>
          <w:szCs w:val="22"/>
        </w:rPr>
        <w:tab/>
      </w:r>
      <w:r w:rsidR="00873F9B" w:rsidRPr="00873F9B">
        <w:rPr>
          <w:rFonts w:eastAsia="PMingLiU"/>
          <w:b/>
          <w:bCs/>
          <w:szCs w:val="22"/>
          <w:lang w:val="el-GR" w:eastAsia="zh-TW"/>
        </w:rPr>
        <w:t>Ασυμβατότητες</w:t>
      </w:r>
    </w:p>
    <w:p w:rsidR="00BF291C" w:rsidRPr="00873F9B" w:rsidRDefault="00BF291C" w:rsidP="00AA11F5">
      <w:pPr>
        <w:jc w:val="both"/>
        <w:rPr>
          <w:szCs w:val="22"/>
        </w:rPr>
      </w:pPr>
    </w:p>
    <w:p w:rsidR="0093107C" w:rsidRPr="00873F9B" w:rsidRDefault="00873F9B" w:rsidP="00AA11F5">
      <w:pPr>
        <w:autoSpaceDE w:val="0"/>
        <w:autoSpaceDN w:val="0"/>
        <w:adjustRightInd w:val="0"/>
        <w:jc w:val="both"/>
        <w:rPr>
          <w:szCs w:val="22"/>
        </w:rPr>
      </w:pPr>
      <w:r>
        <w:rPr>
          <w:rFonts w:ascii="TimesNewRomanPSMT" w:eastAsia="PMingLiU" w:hAnsi="TimesNewRomanPSMT" w:cs="TimesNewRomanPSMT"/>
          <w:szCs w:val="22"/>
          <w:lang w:val="el-GR" w:eastAsia="zh-TW"/>
        </w:rPr>
        <w:t>Δεν εφαρμόζεται</w:t>
      </w:r>
      <w:r w:rsidR="0093107C" w:rsidRPr="00873F9B">
        <w:rPr>
          <w:szCs w:val="22"/>
        </w:rPr>
        <w:t>.</w:t>
      </w:r>
    </w:p>
    <w:p w:rsidR="00BF291C" w:rsidRPr="00873F9B" w:rsidRDefault="00BF291C" w:rsidP="00AA11F5">
      <w:pPr>
        <w:jc w:val="both"/>
        <w:rPr>
          <w:szCs w:val="22"/>
        </w:rPr>
      </w:pPr>
    </w:p>
    <w:p w:rsidR="00BF291C" w:rsidRPr="0078799C" w:rsidRDefault="00BF291C" w:rsidP="00AA11F5">
      <w:pPr>
        <w:ind w:left="567" w:hanging="567"/>
        <w:jc w:val="both"/>
        <w:outlineLvl w:val="0"/>
        <w:rPr>
          <w:szCs w:val="22"/>
        </w:rPr>
      </w:pPr>
      <w:r w:rsidRPr="0078799C">
        <w:rPr>
          <w:b/>
          <w:szCs w:val="22"/>
        </w:rPr>
        <w:t>6.3</w:t>
      </w:r>
      <w:r w:rsidRPr="0078799C">
        <w:rPr>
          <w:b/>
          <w:szCs w:val="22"/>
        </w:rPr>
        <w:tab/>
      </w:r>
      <w:r w:rsidR="0078799C" w:rsidRPr="0078799C">
        <w:rPr>
          <w:rFonts w:eastAsia="PMingLiU"/>
          <w:b/>
          <w:bCs/>
          <w:szCs w:val="22"/>
          <w:lang w:val="el-GR" w:eastAsia="zh-TW"/>
        </w:rPr>
        <w:t>Διάρκεια ζωής</w:t>
      </w:r>
    </w:p>
    <w:p w:rsidR="00547915" w:rsidRPr="00873F9B" w:rsidRDefault="00547915" w:rsidP="00AA11F5">
      <w:pPr>
        <w:jc w:val="both"/>
        <w:rPr>
          <w:strike/>
          <w:szCs w:val="22"/>
        </w:rPr>
      </w:pPr>
    </w:p>
    <w:p w:rsidR="00547915" w:rsidRPr="0078799C" w:rsidRDefault="00EC17EC" w:rsidP="00AA11F5">
      <w:pPr>
        <w:jc w:val="both"/>
        <w:rPr>
          <w:szCs w:val="22"/>
          <w:lang w:val="el-GR"/>
        </w:rPr>
      </w:pPr>
      <w:r w:rsidRPr="00873F9B">
        <w:rPr>
          <w:szCs w:val="22"/>
        </w:rPr>
        <w:t>2</w:t>
      </w:r>
      <w:r>
        <w:rPr>
          <w:szCs w:val="22"/>
          <w:lang w:val="el-GR"/>
        </w:rPr>
        <w:t>4</w:t>
      </w:r>
      <w:r w:rsidRPr="00873F9B">
        <w:rPr>
          <w:szCs w:val="22"/>
        </w:rPr>
        <w:t xml:space="preserve"> </w:t>
      </w:r>
      <w:r w:rsidR="0078799C">
        <w:rPr>
          <w:szCs w:val="22"/>
          <w:lang w:val="el-GR"/>
        </w:rPr>
        <w:t>μήνες</w:t>
      </w:r>
    </w:p>
    <w:p w:rsidR="00DB1855" w:rsidRPr="00873F9B" w:rsidRDefault="00DB1855" w:rsidP="00AA11F5">
      <w:pPr>
        <w:jc w:val="both"/>
        <w:rPr>
          <w:szCs w:val="22"/>
        </w:rPr>
      </w:pPr>
    </w:p>
    <w:p w:rsidR="00BF291C" w:rsidRPr="00873F9B" w:rsidRDefault="00BF291C" w:rsidP="00AA11F5">
      <w:pPr>
        <w:ind w:left="567" w:hanging="567"/>
        <w:jc w:val="both"/>
        <w:outlineLvl w:val="0"/>
        <w:rPr>
          <w:szCs w:val="22"/>
        </w:rPr>
      </w:pPr>
      <w:r w:rsidRPr="00873F9B">
        <w:rPr>
          <w:b/>
          <w:szCs w:val="22"/>
        </w:rPr>
        <w:t>6.4</w:t>
      </w:r>
      <w:r w:rsidRPr="00873F9B">
        <w:rPr>
          <w:b/>
          <w:szCs w:val="22"/>
        </w:rPr>
        <w:tab/>
      </w:r>
      <w:r w:rsidR="0078799C" w:rsidRPr="0078799C">
        <w:rPr>
          <w:rFonts w:eastAsia="PMingLiU"/>
          <w:b/>
          <w:bCs/>
          <w:szCs w:val="22"/>
          <w:lang w:val="el-GR" w:eastAsia="zh-TW"/>
        </w:rPr>
        <w:t>Ιδιαίτερες προφυλάξεις κατά την φύλαξη του προϊόντος</w:t>
      </w:r>
    </w:p>
    <w:p w:rsidR="00BF291C" w:rsidRPr="00EB4FE9" w:rsidRDefault="00952501" w:rsidP="00AA11F5">
      <w:pPr>
        <w:autoSpaceDE w:val="0"/>
        <w:autoSpaceDN w:val="0"/>
        <w:adjustRightInd w:val="0"/>
        <w:jc w:val="both"/>
        <w:rPr>
          <w:szCs w:val="22"/>
          <w:lang w:val="el-GR"/>
        </w:rPr>
      </w:pPr>
      <w:r>
        <w:rPr>
          <w:rFonts w:ascii="TimesNewRomanPSMT" w:eastAsia="PMingLiU" w:hAnsi="TimesNewRomanPSMT" w:cs="TimesNewRomanPSMT"/>
          <w:szCs w:val="22"/>
          <w:lang w:val="el-GR" w:eastAsia="zh-TW"/>
        </w:rPr>
        <w:t>Να φυλάσσεται σε θερμοκρασία μ</w:t>
      </w:r>
      <w:r>
        <w:rPr>
          <w:rFonts w:eastAsia="PMingLiU" w:cs="TimesNewRomanPSMT"/>
          <w:szCs w:val="22"/>
          <w:lang w:val="el-GR" w:eastAsia="zh-TW"/>
        </w:rPr>
        <w:t>ικρότερη</w:t>
      </w:r>
      <w:r>
        <w:rPr>
          <w:rFonts w:ascii="TimesNewRomanPSMT" w:eastAsia="PMingLiU" w:hAnsi="TimesNewRomanPSMT" w:cs="TimesNewRomanPSMT"/>
          <w:szCs w:val="22"/>
          <w:lang w:val="el-GR" w:eastAsia="zh-TW"/>
        </w:rPr>
        <w:t xml:space="preserve"> των 30 C.</w:t>
      </w:r>
      <w:r w:rsidR="003B4871" w:rsidRPr="00EB4FE9">
        <w:rPr>
          <w:szCs w:val="22"/>
          <w:lang w:val="el-GR"/>
        </w:rPr>
        <w:t xml:space="preserve"> </w:t>
      </w:r>
      <w:r w:rsidR="00EB4FE9">
        <w:rPr>
          <w:rFonts w:ascii="TimesNewRomanPSMT" w:eastAsia="PMingLiU" w:hAnsi="TimesNewRomanPSMT" w:cs="TimesNewRomanPSMT"/>
          <w:szCs w:val="22"/>
          <w:lang w:val="el-GR" w:eastAsia="zh-TW"/>
        </w:rPr>
        <w:t>Να φυλάσσεται στην αρχική του</w:t>
      </w:r>
      <w:r w:rsidR="00EB4FE9">
        <w:rPr>
          <w:rFonts w:eastAsia="PMingLiU" w:cs="TimesNewRomanPSMT"/>
          <w:szCs w:val="22"/>
          <w:lang w:val="el-GR" w:eastAsia="zh-TW"/>
        </w:rPr>
        <w:t xml:space="preserve"> </w:t>
      </w:r>
      <w:r w:rsidR="00EB4FE9">
        <w:rPr>
          <w:rFonts w:ascii="TimesNewRomanPSMT" w:eastAsia="PMingLiU" w:hAnsi="TimesNewRomanPSMT" w:cs="TimesNewRomanPSMT"/>
          <w:szCs w:val="22"/>
          <w:lang w:val="el-GR" w:eastAsia="zh-TW"/>
        </w:rPr>
        <w:t>συσκευασία για να προστατεύεται από την υγρασία.</w:t>
      </w:r>
    </w:p>
    <w:p w:rsidR="00FD75D5" w:rsidRPr="00EB4FE9" w:rsidRDefault="00FD75D5" w:rsidP="00AA11F5">
      <w:pPr>
        <w:jc w:val="both"/>
        <w:rPr>
          <w:szCs w:val="22"/>
          <w:lang w:val="el-GR"/>
        </w:rPr>
      </w:pPr>
    </w:p>
    <w:p w:rsidR="00BF291C" w:rsidRPr="0078799C" w:rsidRDefault="0078799C" w:rsidP="00AA11F5">
      <w:pPr>
        <w:numPr>
          <w:ilvl w:val="1"/>
          <w:numId w:val="10"/>
        </w:numPr>
        <w:jc w:val="both"/>
        <w:outlineLvl w:val="0"/>
        <w:rPr>
          <w:b/>
          <w:szCs w:val="22"/>
          <w:lang w:val="el-GR"/>
        </w:rPr>
      </w:pPr>
      <w:r w:rsidRPr="0078799C">
        <w:rPr>
          <w:rFonts w:eastAsia="PMingLiU"/>
          <w:b/>
          <w:bCs/>
          <w:szCs w:val="22"/>
          <w:lang w:val="el-GR" w:eastAsia="zh-TW"/>
        </w:rPr>
        <w:t>Φύση και συστατικά του περιέκτη</w:t>
      </w:r>
    </w:p>
    <w:p w:rsidR="00BF291C" w:rsidRPr="0078799C" w:rsidRDefault="00BF291C" w:rsidP="00AA11F5">
      <w:pPr>
        <w:jc w:val="both"/>
        <w:rPr>
          <w:szCs w:val="22"/>
          <w:lang w:val="el-GR"/>
        </w:rPr>
      </w:pPr>
    </w:p>
    <w:p w:rsidR="00B7364D" w:rsidRPr="0078799C" w:rsidRDefault="0078799C" w:rsidP="00AA11F5">
      <w:pPr>
        <w:autoSpaceDE w:val="0"/>
        <w:autoSpaceDN w:val="0"/>
        <w:adjustRightInd w:val="0"/>
        <w:jc w:val="both"/>
        <w:rPr>
          <w:szCs w:val="22"/>
        </w:rPr>
      </w:pPr>
      <w:r w:rsidRPr="0078799C">
        <w:rPr>
          <w:rFonts w:ascii="TimesNewRomanPSMT" w:eastAsia="PMingLiU" w:hAnsi="TimesNewRomanPSMT" w:cs="TimesNewRomanPSMT"/>
          <w:szCs w:val="22"/>
          <w:lang w:eastAsia="zh-TW"/>
        </w:rPr>
        <w:t xml:space="preserve">Blisters </w:t>
      </w:r>
      <w:r>
        <w:rPr>
          <w:rFonts w:ascii="TimesNewRomanPSMT" w:eastAsia="PMingLiU" w:hAnsi="TimesNewRomanPSMT" w:cs="TimesNewRomanPSMT"/>
          <w:szCs w:val="22"/>
          <w:lang w:val="el-GR" w:eastAsia="zh-TW"/>
        </w:rPr>
        <w:t>από</w:t>
      </w:r>
      <w:r w:rsidRPr="00873F9B">
        <w:rPr>
          <w:szCs w:val="22"/>
        </w:rPr>
        <w:t xml:space="preserve"> </w:t>
      </w:r>
      <w:r w:rsidR="00B7364D" w:rsidRPr="00873F9B">
        <w:rPr>
          <w:szCs w:val="22"/>
        </w:rPr>
        <w:t>PVC</w:t>
      </w:r>
      <w:r w:rsidR="00B7364D" w:rsidRPr="0078799C">
        <w:rPr>
          <w:szCs w:val="22"/>
        </w:rPr>
        <w:t>/</w:t>
      </w:r>
      <w:r w:rsidR="00B7364D" w:rsidRPr="00873F9B">
        <w:rPr>
          <w:szCs w:val="22"/>
        </w:rPr>
        <w:t>PE</w:t>
      </w:r>
      <w:r w:rsidR="00B7364D" w:rsidRPr="0078799C">
        <w:rPr>
          <w:szCs w:val="22"/>
        </w:rPr>
        <w:t>/</w:t>
      </w:r>
      <w:r w:rsidR="00B7364D" w:rsidRPr="00873F9B">
        <w:rPr>
          <w:szCs w:val="22"/>
        </w:rPr>
        <w:t>PVDC</w:t>
      </w:r>
      <w:r w:rsidR="00B7364D" w:rsidRPr="0078799C">
        <w:rPr>
          <w:szCs w:val="22"/>
        </w:rPr>
        <w:t>-</w:t>
      </w:r>
      <w:r w:rsidR="00B7364D" w:rsidRPr="00873F9B">
        <w:rPr>
          <w:szCs w:val="22"/>
        </w:rPr>
        <w:t>Alu</w:t>
      </w:r>
    </w:p>
    <w:p w:rsidR="0093107C" w:rsidRPr="0078799C" w:rsidRDefault="0078799C" w:rsidP="00AA11F5">
      <w:pPr>
        <w:autoSpaceDE w:val="0"/>
        <w:autoSpaceDN w:val="0"/>
        <w:adjustRightInd w:val="0"/>
        <w:jc w:val="both"/>
        <w:rPr>
          <w:szCs w:val="22"/>
        </w:rPr>
      </w:pPr>
      <w:r w:rsidRPr="0078799C">
        <w:rPr>
          <w:rFonts w:ascii="TimesNewRomanPSMT" w:eastAsia="PMingLiU" w:hAnsi="TimesNewRomanPSMT" w:cs="TimesNewRomanPSMT"/>
          <w:szCs w:val="22"/>
          <w:lang w:eastAsia="zh-TW"/>
        </w:rPr>
        <w:t xml:space="preserve">Blisters </w:t>
      </w:r>
      <w:r>
        <w:rPr>
          <w:rFonts w:ascii="TimesNewRomanPSMT" w:eastAsia="PMingLiU" w:hAnsi="TimesNewRomanPSMT" w:cs="TimesNewRomanPSMT"/>
          <w:szCs w:val="22"/>
          <w:lang w:val="el-GR" w:eastAsia="zh-TW"/>
        </w:rPr>
        <w:t>από</w:t>
      </w:r>
      <w:r w:rsidRPr="00873F9B">
        <w:rPr>
          <w:szCs w:val="22"/>
        </w:rPr>
        <w:t xml:space="preserve"> </w:t>
      </w:r>
      <w:r w:rsidR="00B7364D" w:rsidRPr="00873F9B">
        <w:rPr>
          <w:szCs w:val="22"/>
        </w:rPr>
        <w:t>PVC</w:t>
      </w:r>
      <w:r w:rsidR="00B7364D" w:rsidRPr="0078799C">
        <w:rPr>
          <w:szCs w:val="22"/>
        </w:rPr>
        <w:t>/</w:t>
      </w:r>
      <w:r w:rsidR="00B7364D" w:rsidRPr="00873F9B">
        <w:rPr>
          <w:szCs w:val="22"/>
        </w:rPr>
        <w:t>PCTFE</w:t>
      </w:r>
      <w:r w:rsidR="00B7364D" w:rsidRPr="0078799C">
        <w:rPr>
          <w:szCs w:val="22"/>
        </w:rPr>
        <w:t>-</w:t>
      </w:r>
      <w:r w:rsidR="00B7364D" w:rsidRPr="00873F9B">
        <w:rPr>
          <w:szCs w:val="22"/>
        </w:rPr>
        <w:t>Alu</w:t>
      </w:r>
    </w:p>
    <w:p w:rsidR="00B7364D" w:rsidRPr="0078799C" w:rsidRDefault="00B7364D" w:rsidP="00AA11F5">
      <w:pPr>
        <w:autoSpaceDE w:val="0"/>
        <w:autoSpaceDN w:val="0"/>
        <w:adjustRightInd w:val="0"/>
        <w:jc w:val="both"/>
        <w:rPr>
          <w:szCs w:val="22"/>
        </w:rPr>
      </w:pPr>
    </w:p>
    <w:p w:rsidR="00B7364D" w:rsidRPr="0078799C" w:rsidRDefault="0078799C" w:rsidP="00AA11F5">
      <w:pPr>
        <w:autoSpaceDE w:val="0"/>
        <w:autoSpaceDN w:val="0"/>
        <w:adjustRightInd w:val="0"/>
        <w:jc w:val="both"/>
        <w:rPr>
          <w:szCs w:val="22"/>
          <w:highlight w:val="yellow"/>
          <w:lang w:val="el-GR"/>
        </w:rPr>
      </w:pPr>
      <w:r>
        <w:rPr>
          <w:rFonts w:ascii="TimesNewRomanPSMT" w:eastAsia="PMingLiU" w:hAnsi="TimesNewRomanPSMT" w:cs="TimesNewRomanPSMT"/>
          <w:szCs w:val="22"/>
          <w:lang w:val="el-GR" w:eastAsia="zh-TW"/>
        </w:rPr>
        <w:t>Μεγέθη συσκευασίας</w:t>
      </w:r>
      <w:r w:rsidR="00F22B57" w:rsidRPr="0078799C">
        <w:rPr>
          <w:szCs w:val="22"/>
          <w:lang w:val="el-GR"/>
        </w:rPr>
        <w:t xml:space="preserve">: 7, 14, 28, 30, 56, 60, 90, 98, 100, 280 </w:t>
      </w:r>
      <w:r>
        <w:rPr>
          <w:rFonts w:ascii="TimesNewRomanPSMT" w:eastAsia="PMingLiU" w:hAnsi="TimesNewRomanPSMT" w:cs="TimesNewRomanPSMT"/>
          <w:szCs w:val="22"/>
          <w:lang w:val="el-GR" w:eastAsia="zh-TW"/>
        </w:rPr>
        <w:t>επικαλυμμένα με λεπτό υμένιο δισκία</w:t>
      </w:r>
      <w:r>
        <w:rPr>
          <w:rFonts w:eastAsia="PMingLiU" w:cs="TimesNewRomanPSMT"/>
          <w:szCs w:val="22"/>
          <w:lang w:val="el-GR" w:eastAsia="zh-TW"/>
        </w:rPr>
        <w:t>.</w:t>
      </w:r>
    </w:p>
    <w:p w:rsidR="00B7364D" w:rsidRPr="0078799C" w:rsidRDefault="00B7364D" w:rsidP="00AA11F5">
      <w:pPr>
        <w:autoSpaceDE w:val="0"/>
        <w:autoSpaceDN w:val="0"/>
        <w:adjustRightInd w:val="0"/>
        <w:jc w:val="both"/>
        <w:rPr>
          <w:szCs w:val="22"/>
          <w:lang w:val="el-GR"/>
        </w:rPr>
      </w:pPr>
    </w:p>
    <w:p w:rsidR="0093107C" w:rsidRPr="00153BDC" w:rsidRDefault="00153BDC" w:rsidP="00AA11F5">
      <w:pPr>
        <w:autoSpaceDE w:val="0"/>
        <w:autoSpaceDN w:val="0"/>
        <w:adjustRightInd w:val="0"/>
        <w:jc w:val="both"/>
        <w:rPr>
          <w:szCs w:val="22"/>
          <w:lang w:val="el-GR"/>
        </w:rPr>
      </w:pPr>
      <w:r w:rsidRPr="00153BDC">
        <w:rPr>
          <w:lang w:val="el-GR"/>
        </w:rPr>
        <w:t>Μπορεί να μην κυκλοφορούν όλες οι συσκευασίες.</w:t>
      </w:r>
    </w:p>
    <w:p w:rsidR="00BF291C" w:rsidRPr="00153BDC" w:rsidRDefault="00BF291C" w:rsidP="00AA11F5">
      <w:pPr>
        <w:jc w:val="both"/>
        <w:rPr>
          <w:szCs w:val="22"/>
          <w:lang w:val="el-GR"/>
        </w:rPr>
      </w:pPr>
    </w:p>
    <w:p w:rsidR="00BF291C" w:rsidRPr="00676994" w:rsidRDefault="00BF291C" w:rsidP="00AA11F5">
      <w:pPr>
        <w:ind w:left="567" w:hanging="567"/>
        <w:jc w:val="both"/>
        <w:outlineLvl w:val="0"/>
        <w:rPr>
          <w:szCs w:val="22"/>
        </w:rPr>
      </w:pPr>
      <w:r w:rsidRPr="00676994">
        <w:rPr>
          <w:b/>
          <w:szCs w:val="22"/>
        </w:rPr>
        <w:t>6.6</w:t>
      </w:r>
      <w:r w:rsidRPr="00676994">
        <w:rPr>
          <w:b/>
          <w:szCs w:val="22"/>
        </w:rPr>
        <w:tab/>
      </w:r>
      <w:r w:rsidR="00676994" w:rsidRPr="00676994">
        <w:rPr>
          <w:rFonts w:eastAsia="PMingLiU"/>
          <w:b/>
          <w:bCs/>
          <w:szCs w:val="22"/>
          <w:lang w:val="el-GR" w:eastAsia="zh-TW"/>
        </w:rPr>
        <w:t>Ιδιαίτερες προφυλάξεις απόρριψης</w:t>
      </w:r>
    </w:p>
    <w:p w:rsidR="00BF291C" w:rsidRPr="00873F9B" w:rsidRDefault="00BF291C" w:rsidP="00AA11F5">
      <w:pPr>
        <w:jc w:val="both"/>
        <w:rPr>
          <w:szCs w:val="22"/>
        </w:rPr>
      </w:pPr>
    </w:p>
    <w:p w:rsidR="00BF291C" w:rsidRPr="00873F9B" w:rsidRDefault="00676994" w:rsidP="00AA11F5">
      <w:pPr>
        <w:jc w:val="both"/>
        <w:rPr>
          <w:szCs w:val="22"/>
        </w:rPr>
      </w:pPr>
      <w:r>
        <w:rPr>
          <w:rFonts w:ascii="TimesNewRomanPSMT" w:eastAsia="PMingLiU" w:hAnsi="TimesNewRomanPSMT" w:cs="TimesNewRomanPSMT"/>
          <w:szCs w:val="22"/>
          <w:lang w:val="el-GR" w:eastAsia="zh-TW"/>
        </w:rPr>
        <w:t>Καμία ειδική υποχρέωση</w:t>
      </w:r>
      <w:r w:rsidR="00BF291C" w:rsidRPr="00873F9B">
        <w:rPr>
          <w:szCs w:val="22"/>
        </w:rPr>
        <w:t>.</w:t>
      </w:r>
    </w:p>
    <w:p w:rsidR="00BF291C" w:rsidRPr="00873F9B" w:rsidRDefault="00BF291C" w:rsidP="00AA11F5">
      <w:pPr>
        <w:jc w:val="both"/>
        <w:rPr>
          <w:szCs w:val="22"/>
        </w:rPr>
      </w:pPr>
    </w:p>
    <w:p w:rsidR="00BF291C" w:rsidRPr="00873F9B" w:rsidRDefault="00BF291C" w:rsidP="00AA11F5">
      <w:pPr>
        <w:jc w:val="both"/>
        <w:rPr>
          <w:szCs w:val="22"/>
        </w:rPr>
      </w:pPr>
    </w:p>
    <w:p w:rsidR="00BF291C" w:rsidRPr="00873F9B" w:rsidRDefault="00BF291C" w:rsidP="00AA11F5">
      <w:pPr>
        <w:ind w:left="567" w:hanging="567"/>
        <w:jc w:val="both"/>
        <w:rPr>
          <w:szCs w:val="22"/>
        </w:rPr>
      </w:pPr>
      <w:r w:rsidRPr="00873F9B">
        <w:rPr>
          <w:b/>
          <w:szCs w:val="22"/>
        </w:rPr>
        <w:t>7.</w:t>
      </w:r>
      <w:r w:rsidRPr="00873F9B">
        <w:rPr>
          <w:b/>
          <w:szCs w:val="22"/>
        </w:rPr>
        <w:tab/>
      </w:r>
      <w:r w:rsidR="004005D4" w:rsidRPr="004005D4">
        <w:rPr>
          <w:b/>
          <w:szCs w:val="22"/>
        </w:rPr>
        <w:t>ΚΑΤΟΧΟΣ ΤΗΣ ΑΔΕΙΑΣ ΚΥΚΛΟΦΟΡΙΑΣ</w:t>
      </w:r>
    </w:p>
    <w:p w:rsidR="00BF291C" w:rsidRPr="00873F9B" w:rsidRDefault="00BF291C" w:rsidP="00AA11F5">
      <w:pPr>
        <w:jc w:val="both"/>
        <w:rPr>
          <w:szCs w:val="22"/>
        </w:rPr>
      </w:pPr>
    </w:p>
    <w:p w:rsidR="00D6234B" w:rsidRPr="00D6234B" w:rsidRDefault="00D6234B" w:rsidP="00AA11F5">
      <w:pPr>
        <w:jc w:val="both"/>
      </w:pPr>
      <w:proofErr w:type="gramStart"/>
      <w:r>
        <w:t>MEDOCHEMIE</w:t>
      </w:r>
      <w:r w:rsidRPr="00D6234B">
        <w:t xml:space="preserve"> </w:t>
      </w:r>
      <w:smartTag w:uri="urn:schemas-microsoft-com:office:smarttags" w:element="place">
        <w:r>
          <w:t>HELLAS</w:t>
        </w:r>
      </w:smartTag>
      <w:r w:rsidRPr="00D6234B">
        <w:t xml:space="preserve"> </w:t>
      </w:r>
      <w:r>
        <w:t>A</w:t>
      </w:r>
      <w:r w:rsidRPr="00D6234B">
        <w:t>.</w:t>
      </w:r>
      <w:r>
        <w:rPr>
          <w:lang w:val="el-GR"/>
        </w:rPr>
        <w:t>Ε</w:t>
      </w:r>
      <w:r w:rsidRPr="00D6234B">
        <w:t>.</w:t>
      </w:r>
      <w:proofErr w:type="gramEnd"/>
    </w:p>
    <w:p w:rsidR="00D6234B" w:rsidRPr="00D6234B" w:rsidRDefault="00D6234B" w:rsidP="00AA11F5">
      <w:pPr>
        <w:jc w:val="both"/>
      </w:pPr>
      <w:r>
        <w:rPr>
          <w:lang w:val="el-GR"/>
        </w:rPr>
        <w:t>Παστέρ</w:t>
      </w:r>
      <w:r w:rsidRPr="00D6234B">
        <w:t xml:space="preserve"> 6, </w:t>
      </w:r>
      <w:r>
        <w:rPr>
          <w:lang w:val="el-GR"/>
        </w:rPr>
        <w:t>Τ</w:t>
      </w:r>
      <w:r w:rsidRPr="00D6234B">
        <w:t>.</w:t>
      </w:r>
      <w:r>
        <w:rPr>
          <w:lang w:val="el-GR"/>
        </w:rPr>
        <w:t>Κ</w:t>
      </w:r>
      <w:r w:rsidRPr="00D6234B">
        <w:t xml:space="preserve">.: 115 21, </w:t>
      </w:r>
      <w:r>
        <w:rPr>
          <w:lang w:val="el-GR"/>
        </w:rPr>
        <w:t>Αθήνα</w:t>
      </w:r>
    </w:p>
    <w:p w:rsidR="00BF291C" w:rsidRPr="00873F9B" w:rsidRDefault="00BF291C" w:rsidP="00AA11F5">
      <w:pPr>
        <w:jc w:val="both"/>
        <w:rPr>
          <w:szCs w:val="22"/>
        </w:rPr>
      </w:pPr>
    </w:p>
    <w:p w:rsidR="00BF291C" w:rsidRPr="00873F9B" w:rsidRDefault="00BF291C" w:rsidP="00AA11F5">
      <w:pPr>
        <w:jc w:val="both"/>
        <w:rPr>
          <w:szCs w:val="22"/>
        </w:rPr>
      </w:pPr>
    </w:p>
    <w:p w:rsidR="00BF291C" w:rsidRPr="00873F9B" w:rsidRDefault="00BF291C" w:rsidP="00AA11F5">
      <w:pPr>
        <w:ind w:left="567" w:hanging="567"/>
        <w:jc w:val="both"/>
        <w:rPr>
          <w:b/>
          <w:szCs w:val="22"/>
        </w:rPr>
      </w:pPr>
      <w:r w:rsidRPr="00873F9B">
        <w:rPr>
          <w:b/>
          <w:szCs w:val="22"/>
        </w:rPr>
        <w:t>8.</w:t>
      </w:r>
      <w:r w:rsidRPr="00873F9B">
        <w:rPr>
          <w:b/>
          <w:szCs w:val="22"/>
        </w:rPr>
        <w:tab/>
      </w:r>
      <w:r w:rsidR="00196626" w:rsidRPr="00196626">
        <w:rPr>
          <w:b/>
          <w:szCs w:val="22"/>
        </w:rPr>
        <w:t>ΑΡΙΘΜΟΣ ΑΔΕΙΑΣ ΚΥΚΛΟΦΟΡΙΑΣ</w:t>
      </w:r>
    </w:p>
    <w:p w:rsidR="00BF291C" w:rsidRPr="00873F9B" w:rsidRDefault="00BF291C" w:rsidP="00AA11F5">
      <w:pPr>
        <w:jc w:val="both"/>
        <w:rPr>
          <w:szCs w:val="22"/>
        </w:rPr>
      </w:pPr>
    </w:p>
    <w:p w:rsidR="00BF291C" w:rsidRPr="00873F9B" w:rsidRDefault="00BF291C" w:rsidP="00AA11F5">
      <w:pPr>
        <w:jc w:val="both"/>
        <w:rPr>
          <w:szCs w:val="22"/>
        </w:rPr>
      </w:pPr>
    </w:p>
    <w:p w:rsidR="00BF291C" w:rsidRPr="00873F9B" w:rsidRDefault="00BF291C" w:rsidP="00AA11F5">
      <w:pPr>
        <w:ind w:left="567" w:hanging="567"/>
        <w:jc w:val="both"/>
        <w:rPr>
          <w:szCs w:val="22"/>
        </w:rPr>
      </w:pPr>
      <w:r w:rsidRPr="00873F9B">
        <w:rPr>
          <w:b/>
          <w:szCs w:val="22"/>
        </w:rPr>
        <w:t>9.</w:t>
      </w:r>
      <w:r w:rsidRPr="00873F9B">
        <w:rPr>
          <w:b/>
          <w:szCs w:val="22"/>
        </w:rPr>
        <w:tab/>
      </w:r>
      <w:r w:rsidR="00196626" w:rsidRPr="00196626">
        <w:rPr>
          <w:b/>
          <w:szCs w:val="22"/>
        </w:rPr>
        <w:t>ΗΜΕΡΟΜΗΝΙΑ ΠΡΩΤΗΣ ΕΓΚΡΙΣΗΣ / ΑΝΑΝΕΩΣΗΣ ΤΗΣ ΑΔΕΙΑΣ</w:t>
      </w:r>
    </w:p>
    <w:p w:rsidR="00BF291C" w:rsidRPr="00873F9B" w:rsidRDefault="00E31EB7" w:rsidP="00AA11F5">
      <w:pPr>
        <w:jc w:val="both"/>
        <w:rPr>
          <w:szCs w:val="22"/>
        </w:rPr>
      </w:pPr>
      <w:r w:rsidRPr="00873F9B">
        <w:rPr>
          <w:szCs w:val="22"/>
        </w:rPr>
        <w:t>2012-03-05</w:t>
      </w:r>
    </w:p>
    <w:p w:rsidR="00BF291C" w:rsidRPr="00873F9B" w:rsidRDefault="00BF291C" w:rsidP="00AA11F5">
      <w:pPr>
        <w:jc w:val="both"/>
        <w:rPr>
          <w:szCs w:val="22"/>
        </w:rPr>
      </w:pPr>
    </w:p>
    <w:p w:rsidR="00BF291C" w:rsidRPr="00873F9B" w:rsidRDefault="00BF291C" w:rsidP="00AA11F5">
      <w:pPr>
        <w:ind w:left="567" w:hanging="567"/>
        <w:jc w:val="both"/>
        <w:rPr>
          <w:b/>
          <w:szCs w:val="22"/>
        </w:rPr>
      </w:pPr>
      <w:r w:rsidRPr="00873F9B">
        <w:rPr>
          <w:b/>
          <w:szCs w:val="22"/>
        </w:rPr>
        <w:t>10.</w:t>
      </w:r>
      <w:r w:rsidRPr="00873F9B">
        <w:rPr>
          <w:b/>
          <w:szCs w:val="22"/>
        </w:rPr>
        <w:tab/>
      </w:r>
      <w:r w:rsidR="00952501" w:rsidRPr="00952501">
        <w:rPr>
          <w:b/>
          <w:szCs w:val="22"/>
        </w:rPr>
        <w:t>ΗΜΕΡΟΜΗΝΙΑ ΑΝΑΘΕΩΡΗΣΗΣ ΤΟΥ ΚΕΙΜΕΝΟΥ</w:t>
      </w:r>
    </w:p>
    <w:p w:rsidR="00EA6755" w:rsidRPr="0090068E" w:rsidRDefault="005009F4" w:rsidP="00AA11F5">
      <w:pPr>
        <w:ind w:left="567" w:hanging="567"/>
        <w:jc w:val="both"/>
        <w:rPr>
          <w:b/>
          <w:szCs w:val="22"/>
          <w:lang w:val="en-US"/>
        </w:rPr>
      </w:pPr>
      <w:r>
        <w:rPr>
          <w:szCs w:val="22"/>
          <w:lang w:val="en-US"/>
        </w:rPr>
        <w:t>31-03-</w:t>
      </w:r>
      <w:r>
        <w:rPr>
          <w:szCs w:val="22"/>
          <w:lang w:val="el-GR"/>
        </w:rPr>
        <w:t>201</w:t>
      </w:r>
      <w:r>
        <w:rPr>
          <w:szCs w:val="22"/>
          <w:lang w:val="en-US"/>
        </w:rPr>
        <w:t>4</w:t>
      </w:r>
    </w:p>
    <w:p w:rsidR="00DA0BF5" w:rsidRPr="00873F9B" w:rsidRDefault="00DA0BF5" w:rsidP="00AA11F5">
      <w:pPr>
        <w:ind w:left="567" w:hanging="567"/>
        <w:jc w:val="both"/>
        <w:rPr>
          <w:szCs w:val="22"/>
        </w:rPr>
      </w:pPr>
    </w:p>
    <w:sectPr w:rsidR="00DA0BF5" w:rsidRPr="00873F9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418" w:left="1134" w:header="737" w:footer="737"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458" w:rsidRDefault="00650458">
      <w:r>
        <w:separator/>
      </w:r>
    </w:p>
  </w:endnote>
  <w:endnote w:type="continuationSeparator" w:id="0">
    <w:p w:rsidR="00650458" w:rsidRDefault="006504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B5" w:rsidRDefault="00FC3DB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EB" w:rsidRPr="0090068E" w:rsidRDefault="00FE3FEB">
    <w:pPr>
      <w:pStyle w:val="a4"/>
      <w:tabs>
        <w:tab w:val="clear" w:pos="4153"/>
        <w:tab w:val="center" w:pos="4253"/>
      </w:tabs>
      <w:jc w:val="center"/>
      <w:rPr>
        <w:noProof/>
        <w:lang w:val="el-GR"/>
      </w:rPr>
    </w:pPr>
    <w:r>
      <w:rPr>
        <w:rStyle w:val="a5"/>
      </w:rPr>
      <w:fldChar w:fldCharType="begin"/>
    </w:r>
    <w:r>
      <w:rPr>
        <w:rStyle w:val="a5"/>
      </w:rPr>
      <w:instrText xml:space="preserve"> PAGE </w:instrText>
    </w:r>
    <w:r>
      <w:rPr>
        <w:rStyle w:val="a5"/>
      </w:rPr>
      <w:fldChar w:fldCharType="separate"/>
    </w:r>
    <w:r w:rsidR="00933878">
      <w:rPr>
        <w:rStyle w:val="a5"/>
        <w:noProof/>
      </w:rPr>
      <w:t>17</w:t>
    </w:r>
    <w:r>
      <w:rPr>
        <w:rStyle w:val="a5"/>
      </w:rPr>
      <w:fldChar w:fldCharType="end"/>
    </w:r>
    <w:r>
      <w:rPr>
        <w:rStyle w:val="a5"/>
      </w:rPr>
      <w:tab/>
      <w:t xml:space="preserve">vs </w:t>
    </w:r>
    <w:r w:rsidR="00F83BBA">
      <w:rPr>
        <w:rStyle w:val="a5"/>
        <w:lang w:val="el-GR"/>
      </w:rPr>
      <w:t>3.</w:t>
    </w:r>
    <w:r w:rsidR="00FC3DB5">
      <w:rPr>
        <w:rStyle w:val="a5"/>
        <w:lang w:val="en-US"/>
      </w:rPr>
      <w:t>1</w:t>
    </w:r>
    <w:r w:rsidR="00F83BBA">
      <w:rPr>
        <w:rStyle w:val="a5"/>
        <w:lang w:val="el-GR"/>
      </w:rPr>
      <w:t xml:space="preserve"> </w:t>
    </w:r>
    <w:r w:rsidR="00FC3DB5">
      <w:rPr>
        <w:rStyle w:val="a5"/>
        <w:lang w:val="el-GR"/>
      </w:rPr>
      <w:t>Φεβρ.</w:t>
    </w:r>
    <w:r w:rsidR="00F83BBA">
      <w:rPr>
        <w:rStyle w:val="a5"/>
        <w:lang w:val="el-GR"/>
      </w:rPr>
      <w:t xml:space="preserve"> 201</w:t>
    </w:r>
    <w:r w:rsidR="00FC3DB5">
      <w:rPr>
        <w:rStyle w:val="a5"/>
        <w:lang w:val="el-GR"/>
      </w:rPr>
      <w:t>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EB" w:rsidRPr="0090068E" w:rsidRDefault="00FE3FEB" w:rsidP="00404556">
    <w:pPr>
      <w:pStyle w:val="a4"/>
      <w:jc w:val="right"/>
      <w:rPr>
        <w:lang w:val="el-GR"/>
      </w:rPr>
    </w:pPr>
    <w:proofErr w:type="gramStart"/>
    <w:r>
      <w:rPr>
        <w:lang w:val="en-US"/>
      </w:rPr>
      <w:t>vs</w:t>
    </w:r>
    <w:proofErr w:type="gramEnd"/>
    <w:r>
      <w:rPr>
        <w:lang w:val="en-US"/>
      </w:rPr>
      <w:t xml:space="preserve"> </w:t>
    </w:r>
    <w:r w:rsidR="00164FA0">
      <w:rPr>
        <w:lang w:val="en-US"/>
      </w:rPr>
      <w:t>3.</w:t>
    </w:r>
    <w:r w:rsidR="00240E6A">
      <w:rPr>
        <w:lang w:val="el-GR"/>
      </w:rPr>
      <w:t>1</w:t>
    </w:r>
    <w:r w:rsidR="00EC17EC">
      <w:rPr>
        <w:lang w:val="en-US"/>
      </w:rPr>
      <w:t xml:space="preserve"> </w:t>
    </w:r>
    <w:r w:rsidR="00240E6A">
      <w:rPr>
        <w:lang w:val="el-GR"/>
      </w:rPr>
      <w:t>Φεβρ</w:t>
    </w:r>
    <w:r w:rsidR="00164FA0">
      <w:rPr>
        <w:lang w:val="en-US"/>
      </w:rPr>
      <w:t xml:space="preserve"> 201</w:t>
    </w:r>
    <w:r w:rsidR="00240E6A">
      <w:rPr>
        <w:lang w:val="el-GR"/>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458" w:rsidRDefault="00650458">
      <w:r>
        <w:separator/>
      </w:r>
    </w:p>
  </w:footnote>
  <w:footnote w:type="continuationSeparator" w:id="0">
    <w:p w:rsidR="00650458" w:rsidRDefault="00650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B5" w:rsidRDefault="00FC3DB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B5" w:rsidRDefault="00FC3DB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B5" w:rsidRDefault="00FC3D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433BB5"/>
    <w:multiLevelType w:val="hybridMultilevel"/>
    <w:tmpl w:val="9C4827B4"/>
    <w:lvl w:ilvl="0" w:tplc="AF70C69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894C73"/>
    <w:multiLevelType w:val="hybridMultilevel"/>
    <w:tmpl w:val="439E7B50"/>
    <w:lvl w:ilvl="0" w:tplc="AF70C69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F64BD1"/>
    <w:multiLevelType w:val="hybridMultilevel"/>
    <w:tmpl w:val="D0B401AA"/>
    <w:lvl w:ilvl="0" w:tplc="AF70C69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376BCB"/>
    <w:multiLevelType w:val="hybridMultilevel"/>
    <w:tmpl w:val="17E64156"/>
    <w:lvl w:ilvl="0" w:tplc="AF70C69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C16029"/>
    <w:multiLevelType w:val="hybridMultilevel"/>
    <w:tmpl w:val="B748CDE4"/>
    <w:lvl w:ilvl="0" w:tplc="2DD80E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EF6CC0"/>
    <w:multiLevelType w:val="hybridMultilevel"/>
    <w:tmpl w:val="AD2ADAB2"/>
    <w:lvl w:ilvl="0" w:tplc="AF70C69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2B3A5E"/>
    <w:multiLevelType w:val="multilevel"/>
    <w:tmpl w:val="76263460"/>
    <w:lvl w:ilvl="0">
      <w:start w:val="1"/>
      <w:numFmt w:val="upperRoman"/>
      <w:pStyle w:val="EMEAEnBodyText"/>
      <w:lvlText w:val="%1"/>
      <w:lvlJc w:val="left"/>
      <w:pPr>
        <w:tabs>
          <w:tab w:val="num" w:pos="720"/>
        </w:tabs>
        <w:ind w:left="284" w:hanging="284"/>
      </w:pPr>
      <w:rPr>
        <w:rFonts w:ascii="Arial" w:hAnsi="Arial" w:cs="Times New Roman" w:hint="default"/>
        <w:b/>
        <w:i w:val="0"/>
        <w:sz w:val="24"/>
      </w:rPr>
    </w:lvl>
    <w:lvl w:ilvl="1">
      <w:start w:val="1"/>
      <w:numFmt w:val="decimal"/>
      <w:pStyle w:val="AHeader1"/>
      <w:lvlText w:val="%1.%2"/>
      <w:lvlJc w:val="left"/>
      <w:pPr>
        <w:tabs>
          <w:tab w:val="num" w:pos="709"/>
        </w:tabs>
        <w:ind w:left="709" w:hanging="425"/>
      </w:pPr>
      <w:rPr>
        <w:rFonts w:ascii="Arial" w:hAnsi="Arial" w:cs="Times New Roman" w:hint="default"/>
        <w:b/>
        <w:i w:val="0"/>
        <w:sz w:val="22"/>
      </w:rPr>
    </w:lvl>
    <w:lvl w:ilvl="2">
      <w:start w:val="1"/>
      <w:numFmt w:val="decimal"/>
      <w:pStyle w:val="AHeader2"/>
      <w:lvlText w:val="%1.%2.%3"/>
      <w:lvlJc w:val="left"/>
      <w:pPr>
        <w:tabs>
          <w:tab w:val="num" w:pos="1276"/>
        </w:tabs>
        <w:ind w:left="1276" w:hanging="567"/>
      </w:pPr>
      <w:rPr>
        <w:rFonts w:ascii="Arial" w:hAnsi="Arial" w:cs="Times New Roman" w:hint="default"/>
        <w:b/>
        <w:i w:val="0"/>
        <w:sz w:val="22"/>
      </w:rPr>
    </w:lvl>
    <w:lvl w:ilvl="3">
      <w:start w:val="1"/>
      <w:numFmt w:val="lowerLetter"/>
      <w:pStyle w:val="AHeader3"/>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2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8">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31F26EF"/>
    <w:multiLevelType w:val="hybridMultilevel"/>
    <w:tmpl w:val="AADEA74E"/>
    <w:lvl w:ilvl="0" w:tplc="1E1A4402">
      <w:start w:val="2"/>
      <w:numFmt w:val="bullet"/>
      <w:lvlText w:val="-"/>
      <w:lvlJc w:val="left"/>
      <w:pPr>
        <w:tabs>
          <w:tab w:val="num" w:pos="927"/>
        </w:tabs>
        <w:ind w:left="927" w:hanging="360"/>
      </w:pPr>
      <w:rPr>
        <w:rFonts w:hint="default"/>
        <w:u w:val="none" w:color="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603D30"/>
    <w:multiLevelType w:val="hybridMultilevel"/>
    <w:tmpl w:val="46C44B0E"/>
    <w:lvl w:ilvl="0" w:tplc="E3B07B14">
      <w:start w:val="1"/>
      <w:numFmt w:val="bullet"/>
      <w:lvlText w:val=""/>
      <w:lvlJc w:val="left"/>
      <w:pPr>
        <w:tabs>
          <w:tab w:val="num" w:pos="360"/>
        </w:tabs>
        <w:ind w:left="360" w:hanging="360"/>
      </w:pPr>
      <w:rPr>
        <w:rFonts w:ascii="Symbol" w:hAnsi="Symbol" w:hint="default"/>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50376DA"/>
    <w:multiLevelType w:val="hybridMultilevel"/>
    <w:tmpl w:val="D034E4BA"/>
    <w:lvl w:ilvl="0" w:tplc="F0105A0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367897"/>
    <w:multiLevelType w:val="hybridMultilevel"/>
    <w:tmpl w:val="3CCA7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8BF444F"/>
    <w:multiLevelType w:val="singleLevel"/>
    <w:tmpl w:val="A5FE9AB6"/>
    <w:lvl w:ilvl="0">
      <w:start w:val="1"/>
      <w:numFmt w:val="decimal"/>
      <w:lvlText w:val="%1."/>
      <w:legacy w:legacy="1" w:legacySpace="0" w:legacyIndent="570"/>
      <w:lvlJc w:val="left"/>
      <w:pPr>
        <w:ind w:left="570" w:hanging="570"/>
      </w:pPr>
    </w:lvl>
  </w:abstractNum>
  <w:abstractNum w:abstractNumId="15">
    <w:nsid w:val="3937403E"/>
    <w:multiLevelType w:val="hybridMultilevel"/>
    <w:tmpl w:val="6A20C676"/>
    <w:lvl w:ilvl="0" w:tplc="F0105A0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FD08A0"/>
    <w:multiLevelType w:val="hybridMultilevel"/>
    <w:tmpl w:val="49A471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81538D"/>
    <w:multiLevelType w:val="hybridMultilevel"/>
    <w:tmpl w:val="292E33EA"/>
    <w:lvl w:ilvl="0" w:tplc="1E1A4402">
      <w:start w:val="2"/>
      <w:numFmt w:val="bullet"/>
      <w:lvlText w:val="-"/>
      <w:lvlJc w:val="left"/>
      <w:pPr>
        <w:tabs>
          <w:tab w:val="num" w:pos="927"/>
        </w:tabs>
        <w:ind w:left="927" w:hanging="360"/>
      </w:pPr>
      <w:rPr>
        <w:rFonts w:hint="default"/>
        <w:u w:val="none" w:color="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4C1AC8"/>
    <w:multiLevelType w:val="hybridMultilevel"/>
    <w:tmpl w:val="21EA5318"/>
    <w:lvl w:ilvl="0" w:tplc="E3B07B14">
      <w:start w:val="1"/>
      <w:numFmt w:val="bullet"/>
      <w:lvlText w:val=""/>
      <w:lvlJc w:val="left"/>
      <w:pPr>
        <w:tabs>
          <w:tab w:val="num" w:pos="360"/>
        </w:tabs>
        <w:ind w:left="360" w:hanging="360"/>
      </w:pPr>
      <w:rPr>
        <w:rFonts w:ascii="Symbol" w:hAnsi="Symbol" w:hint="default"/>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3B56A75"/>
    <w:multiLevelType w:val="hybridMultilevel"/>
    <w:tmpl w:val="B7BC3088"/>
    <w:lvl w:ilvl="0" w:tplc="2A60ED0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637D51"/>
    <w:multiLevelType w:val="hybridMultilevel"/>
    <w:tmpl w:val="C01458E8"/>
    <w:lvl w:ilvl="0" w:tplc="683059A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F30A51"/>
    <w:multiLevelType w:val="singleLevel"/>
    <w:tmpl w:val="FBFEDA9E"/>
    <w:lvl w:ilvl="0">
      <w:start w:val="1"/>
      <w:numFmt w:val="upperLetter"/>
      <w:lvlText w:val="%1."/>
      <w:legacy w:legacy="1" w:legacySpace="0" w:legacyIndent="360"/>
      <w:lvlJc w:val="left"/>
      <w:pPr>
        <w:ind w:left="1494" w:hanging="360"/>
      </w:pPr>
    </w:lvl>
  </w:abstractNum>
  <w:abstractNum w:abstractNumId="22">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0C63D79"/>
    <w:multiLevelType w:val="hybridMultilevel"/>
    <w:tmpl w:val="F8D83622"/>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75BF685B"/>
    <w:multiLevelType w:val="hybridMultilevel"/>
    <w:tmpl w:val="8A36C7B0"/>
    <w:lvl w:ilvl="0" w:tplc="E7F2AB36">
      <w:start w:val="1"/>
      <w:numFmt w:val="bullet"/>
      <w:lvlText w:val=""/>
      <w:lvlJc w:val="left"/>
      <w:pPr>
        <w:tabs>
          <w:tab w:val="num" w:pos="357"/>
        </w:tabs>
        <w:ind w:left="357" w:hanging="357"/>
      </w:pPr>
      <w:rPr>
        <w:rFonts w:ascii="Symbol" w:hAnsi="Symbol" w:hint="default"/>
      </w:rPr>
    </w:lvl>
    <w:lvl w:ilvl="1" w:tplc="893EA568">
      <w:start w:val="1"/>
      <w:numFmt w:val="bullet"/>
      <w:lvlText w:val=""/>
      <w:lvlJc w:val="left"/>
      <w:pPr>
        <w:tabs>
          <w:tab w:val="num" w:pos="1193"/>
        </w:tabs>
        <w:ind w:left="1193" w:hanging="11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166923"/>
    <w:multiLevelType w:val="hybridMultilevel"/>
    <w:tmpl w:val="47D05B10"/>
    <w:lvl w:ilvl="0" w:tplc="AF70C69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numFmt w:val="bullet"/>
        <w:lvlText w:val="-"/>
        <w:legacy w:legacy="1" w:legacySpace="0" w:legacyIndent="570"/>
        <w:lvlJc w:val="left"/>
        <w:pPr>
          <w:ind w:left="570" w:hanging="570"/>
        </w:pPr>
      </w:lvl>
    </w:lvlOverride>
  </w:num>
  <w:num w:numId="5">
    <w:abstractNumId w:val="18"/>
  </w:num>
  <w:num w:numId="6">
    <w:abstractNumId w:val="10"/>
  </w:num>
  <w:num w:numId="7">
    <w:abstractNumId w:val="12"/>
  </w:num>
  <w:num w:numId="8">
    <w:abstractNumId w:val="23"/>
  </w:num>
  <w:num w:numId="9">
    <w:abstractNumId w:val="22"/>
  </w:num>
  <w:num w:numId="10">
    <w:abstractNumId w:val="13"/>
  </w:num>
  <w:num w:numId="11">
    <w:abstractNumId w:val="8"/>
  </w:num>
  <w:num w:numId="12">
    <w:abstractNumId w:val="7"/>
  </w:num>
  <w:num w:numId="13">
    <w:abstractNumId w:val="24"/>
  </w:num>
  <w:num w:numId="14">
    <w:abstractNumId w:val="25"/>
  </w:num>
  <w:num w:numId="15">
    <w:abstractNumId w:val="2"/>
  </w:num>
  <w:num w:numId="16">
    <w:abstractNumId w:val="1"/>
  </w:num>
  <w:num w:numId="17">
    <w:abstractNumId w:val="3"/>
  </w:num>
  <w:num w:numId="18">
    <w:abstractNumId w:val="4"/>
  </w:num>
  <w:num w:numId="19">
    <w:abstractNumId w:val="19"/>
  </w:num>
  <w:num w:numId="20">
    <w:abstractNumId w:val="6"/>
  </w:num>
  <w:num w:numId="21">
    <w:abstractNumId w:val="15"/>
  </w:num>
  <w:num w:numId="22">
    <w:abstractNumId w:val="11"/>
  </w:num>
  <w:num w:numId="23">
    <w:abstractNumId w:val="16"/>
  </w:num>
  <w:num w:numId="24">
    <w:abstractNumId w:val="5"/>
  </w:num>
  <w:num w:numId="25">
    <w:abstractNumId w:val="9"/>
  </w:num>
  <w:num w:numId="26">
    <w:abstractNumId w:val="17"/>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trackRevisions/>
  <w:defaultTabStop w:val="567"/>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docVars>
    <w:docVar w:name="Registered" w:val="-1"/>
    <w:docVar w:name="Version" w:val="0"/>
  </w:docVars>
  <w:rsids>
    <w:rsidRoot w:val="003814B7"/>
    <w:rsid w:val="00001CAA"/>
    <w:rsid w:val="000046C8"/>
    <w:rsid w:val="00005C3B"/>
    <w:rsid w:val="000076A8"/>
    <w:rsid w:val="000134D9"/>
    <w:rsid w:val="00016915"/>
    <w:rsid w:val="00033F17"/>
    <w:rsid w:val="00043251"/>
    <w:rsid w:val="00060A12"/>
    <w:rsid w:val="00060EC8"/>
    <w:rsid w:val="0006101F"/>
    <w:rsid w:val="00064B60"/>
    <w:rsid w:val="00083747"/>
    <w:rsid w:val="00083F5B"/>
    <w:rsid w:val="00085E32"/>
    <w:rsid w:val="000A050D"/>
    <w:rsid w:val="000A21AA"/>
    <w:rsid w:val="000A6C1E"/>
    <w:rsid w:val="000B61C6"/>
    <w:rsid w:val="000C2CBC"/>
    <w:rsid w:val="000C36F8"/>
    <w:rsid w:val="000C4836"/>
    <w:rsid w:val="000C63F7"/>
    <w:rsid w:val="000D1D4F"/>
    <w:rsid w:val="000D47C1"/>
    <w:rsid w:val="000E3B4A"/>
    <w:rsid w:val="000E6020"/>
    <w:rsid w:val="000F0F1A"/>
    <w:rsid w:val="000F14DA"/>
    <w:rsid w:val="000F723B"/>
    <w:rsid w:val="00100C87"/>
    <w:rsid w:val="001255A4"/>
    <w:rsid w:val="00125F20"/>
    <w:rsid w:val="00130335"/>
    <w:rsid w:val="00130385"/>
    <w:rsid w:val="001333CB"/>
    <w:rsid w:val="00135C1D"/>
    <w:rsid w:val="00137581"/>
    <w:rsid w:val="00143038"/>
    <w:rsid w:val="00147E6A"/>
    <w:rsid w:val="00153BDC"/>
    <w:rsid w:val="0015439A"/>
    <w:rsid w:val="001616C5"/>
    <w:rsid w:val="001616EC"/>
    <w:rsid w:val="00164FA0"/>
    <w:rsid w:val="00166E89"/>
    <w:rsid w:val="0017517B"/>
    <w:rsid w:val="001953F8"/>
    <w:rsid w:val="00196626"/>
    <w:rsid w:val="0019674C"/>
    <w:rsid w:val="00196796"/>
    <w:rsid w:val="001A09AA"/>
    <w:rsid w:val="001B32AE"/>
    <w:rsid w:val="001C2C2F"/>
    <w:rsid w:val="001C49EF"/>
    <w:rsid w:val="001C7475"/>
    <w:rsid w:val="001D0E1A"/>
    <w:rsid w:val="001D17F7"/>
    <w:rsid w:val="001D5461"/>
    <w:rsid w:val="001D56C5"/>
    <w:rsid w:val="001D7E61"/>
    <w:rsid w:val="001F364B"/>
    <w:rsid w:val="00201725"/>
    <w:rsid w:val="0020629D"/>
    <w:rsid w:val="00222E76"/>
    <w:rsid w:val="0022654E"/>
    <w:rsid w:val="00240E6A"/>
    <w:rsid w:val="00246996"/>
    <w:rsid w:val="00263DC9"/>
    <w:rsid w:val="002675A2"/>
    <w:rsid w:val="002701F7"/>
    <w:rsid w:val="00275886"/>
    <w:rsid w:val="00285EB3"/>
    <w:rsid w:val="00292F49"/>
    <w:rsid w:val="002D0A36"/>
    <w:rsid w:val="002D15B8"/>
    <w:rsid w:val="002D1DE8"/>
    <w:rsid w:val="002D3BE1"/>
    <w:rsid w:val="002E1891"/>
    <w:rsid w:val="002F15D8"/>
    <w:rsid w:val="002F6E74"/>
    <w:rsid w:val="0031168C"/>
    <w:rsid w:val="0031380A"/>
    <w:rsid w:val="00314D2F"/>
    <w:rsid w:val="00324202"/>
    <w:rsid w:val="003341CA"/>
    <w:rsid w:val="003458A4"/>
    <w:rsid w:val="003463A0"/>
    <w:rsid w:val="00362D2E"/>
    <w:rsid w:val="00364D27"/>
    <w:rsid w:val="00371BF5"/>
    <w:rsid w:val="003739B3"/>
    <w:rsid w:val="00373CE1"/>
    <w:rsid w:val="00376C69"/>
    <w:rsid w:val="003814B7"/>
    <w:rsid w:val="003A65AD"/>
    <w:rsid w:val="003B1552"/>
    <w:rsid w:val="003B1C85"/>
    <w:rsid w:val="003B4871"/>
    <w:rsid w:val="003C0976"/>
    <w:rsid w:val="003C706B"/>
    <w:rsid w:val="003D1D56"/>
    <w:rsid w:val="003E7030"/>
    <w:rsid w:val="003F419C"/>
    <w:rsid w:val="003F4423"/>
    <w:rsid w:val="003F7797"/>
    <w:rsid w:val="003F7DCF"/>
    <w:rsid w:val="004005D4"/>
    <w:rsid w:val="00404556"/>
    <w:rsid w:val="00407E40"/>
    <w:rsid w:val="00417F8E"/>
    <w:rsid w:val="00423899"/>
    <w:rsid w:val="00423E1F"/>
    <w:rsid w:val="00426415"/>
    <w:rsid w:val="004272E8"/>
    <w:rsid w:val="00434D21"/>
    <w:rsid w:val="0043751A"/>
    <w:rsid w:val="004454ED"/>
    <w:rsid w:val="00451A00"/>
    <w:rsid w:val="00456242"/>
    <w:rsid w:val="00456F14"/>
    <w:rsid w:val="0047652A"/>
    <w:rsid w:val="004920E1"/>
    <w:rsid w:val="00492490"/>
    <w:rsid w:val="004947E6"/>
    <w:rsid w:val="004A63E3"/>
    <w:rsid w:val="004B6688"/>
    <w:rsid w:val="004D0793"/>
    <w:rsid w:val="004D7EF6"/>
    <w:rsid w:val="004E1129"/>
    <w:rsid w:val="004F0102"/>
    <w:rsid w:val="004F308B"/>
    <w:rsid w:val="005009F4"/>
    <w:rsid w:val="0050168F"/>
    <w:rsid w:val="00522F16"/>
    <w:rsid w:val="00523F1C"/>
    <w:rsid w:val="00525A87"/>
    <w:rsid w:val="00527D4C"/>
    <w:rsid w:val="005318B9"/>
    <w:rsid w:val="00533F58"/>
    <w:rsid w:val="00545A37"/>
    <w:rsid w:val="00547915"/>
    <w:rsid w:val="00557453"/>
    <w:rsid w:val="00565634"/>
    <w:rsid w:val="00570926"/>
    <w:rsid w:val="0058474C"/>
    <w:rsid w:val="00587CD3"/>
    <w:rsid w:val="005A5FF1"/>
    <w:rsid w:val="005B4547"/>
    <w:rsid w:val="005F10EF"/>
    <w:rsid w:val="00606E61"/>
    <w:rsid w:val="00615AB8"/>
    <w:rsid w:val="00616E8F"/>
    <w:rsid w:val="00620211"/>
    <w:rsid w:val="0062546D"/>
    <w:rsid w:val="006276F9"/>
    <w:rsid w:val="0064117A"/>
    <w:rsid w:val="00647085"/>
    <w:rsid w:val="00647B1C"/>
    <w:rsid w:val="00650458"/>
    <w:rsid w:val="00650DC1"/>
    <w:rsid w:val="00653DCA"/>
    <w:rsid w:val="00656785"/>
    <w:rsid w:val="00665231"/>
    <w:rsid w:val="0066655B"/>
    <w:rsid w:val="006675D1"/>
    <w:rsid w:val="00676994"/>
    <w:rsid w:val="006835CF"/>
    <w:rsid w:val="00684725"/>
    <w:rsid w:val="00685C4F"/>
    <w:rsid w:val="006873A8"/>
    <w:rsid w:val="006A2541"/>
    <w:rsid w:val="006B3DAF"/>
    <w:rsid w:val="006D055A"/>
    <w:rsid w:val="006E00C7"/>
    <w:rsid w:val="006E0DA7"/>
    <w:rsid w:val="006E2746"/>
    <w:rsid w:val="006E7A11"/>
    <w:rsid w:val="006F0535"/>
    <w:rsid w:val="006F0608"/>
    <w:rsid w:val="006F3424"/>
    <w:rsid w:val="006F7FC6"/>
    <w:rsid w:val="00707A41"/>
    <w:rsid w:val="007452F7"/>
    <w:rsid w:val="007470E0"/>
    <w:rsid w:val="007556BC"/>
    <w:rsid w:val="00762244"/>
    <w:rsid w:val="00764F81"/>
    <w:rsid w:val="00765A87"/>
    <w:rsid w:val="00777B2D"/>
    <w:rsid w:val="0078019F"/>
    <w:rsid w:val="0078799C"/>
    <w:rsid w:val="007907EC"/>
    <w:rsid w:val="00792262"/>
    <w:rsid w:val="00793B41"/>
    <w:rsid w:val="007947A1"/>
    <w:rsid w:val="007A5F0C"/>
    <w:rsid w:val="007A7977"/>
    <w:rsid w:val="007B0DAE"/>
    <w:rsid w:val="007B1D41"/>
    <w:rsid w:val="007E4A55"/>
    <w:rsid w:val="007E5B2D"/>
    <w:rsid w:val="007F335D"/>
    <w:rsid w:val="00805D01"/>
    <w:rsid w:val="00812D36"/>
    <w:rsid w:val="008248D9"/>
    <w:rsid w:val="00830578"/>
    <w:rsid w:val="00835C8E"/>
    <w:rsid w:val="00840338"/>
    <w:rsid w:val="00843C55"/>
    <w:rsid w:val="008465AC"/>
    <w:rsid w:val="00847767"/>
    <w:rsid w:val="0085331A"/>
    <w:rsid w:val="0086603A"/>
    <w:rsid w:val="00873F9B"/>
    <w:rsid w:val="00874930"/>
    <w:rsid w:val="00895BCC"/>
    <w:rsid w:val="008A4A4C"/>
    <w:rsid w:val="008A6C37"/>
    <w:rsid w:val="008A767D"/>
    <w:rsid w:val="008C2AF8"/>
    <w:rsid w:val="008D0692"/>
    <w:rsid w:val="008D60F2"/>
    <w:rsid w:val="008E0CF6"/>
    <w:rsid w:val="008F725D"/>
    <w:rsid w:val="0090068E"/>
    <w:rsid w:val="00911D9B"/>
    <w:rsid w:val="0091502A"/>
    <w:rsid w:val="00916DC9"/>
    <w:rsid w:val="0093107C"/>
    <w:rsid w:val="00933878"/>
    <w:rsid w:val="00934B5A"/>
    <w:rsid w:val="00946F35"/>
    <w:rsid w:val="00952501"/>
    <w:rsid w:val="00956635"/>
    <w:rsid w:val="0096003C"/>
    <w:rsid w:val="0096206E"/>
    <w:rsid w:val="009630D6"/>
    <w:rsid w:val="009645B4"/>
    <w:rsid w:val="0097514F"/>
    <w:rsid w:val="00976950"/>
    <w:rsid w:val="00982B0B"/>
    <w:rsid w:val="009A1981"/>
    <w:rsid w:val="009A7105"/>
    <w:rsid w:val="009C3B06"/>
    <w:rsid w:val="009C430B"/>
    <w:rsid w:val="009D024C"/>
    <w:rsid w:val="009D4332"/>
    <w:rsid w:val="009D4A27"/>
    <w:rsid w:val="009E2975"/>
    <w:rsid w:val="00A12D95"/>
    <w:rsid w:val="00A26ECD"/>
    <w:rsid w:val="00A3576F"/>
    <w:rsid w:val="00A479F3"/>
    <w:rsid w:val="00A55F7F"/>
    <w:rsid w:val="00A56E05"/>
    <w:rsid w:val="00A60EB6"/>
    <w:rsid w:val="00A61154"/>
    <w:rsid w:val="00A6746D"/>
    <w:rsid w:val="00A758B8"/>
    <w:rsid w:val="00A94433"/>
    <w:rsid w:val="00A96C37"/>
    <w:rsid w:val="00AA11F5"/>
    <w:rsid w:val="00AA199A"/>
    <w:rsid w:val="00AA28B4"/>
    <w:rsid w:val="00AA5E84"/>
    <w:rsid w:val="00AA78C8"/>
    <w:rsid w:val="00AB44E4"/>
    <w:rsid w:val="00AC21AB"/>
    <w:rsid w:val="00AC24D3"/>
    <w:rsid w:val="00AD624C"/>
    <w:rsid w:val="00AE1251"/>
    <w:rsid w:val="00AE23C5"/>
    <w:rsid w:val="00AE5A35"/>
    <w:rsid w:val="00B00D16"/>
    <w:rsid w:val="00B04132"/>
    <w:rsid w:val="00B10581"/>
    <w:rsid w:val="00B1530B"/>
    <w:rsid w:val="00B42BE0"/>
    <w:rsid w:val="00B42F3B"/>
    <w:rsid w:val="00B43180"/>
    <w:rsid w:val="00B51B52"/>
    <w:rsid w:val="00B56991"/>
    <w:rsid w:val="00B7364D"/>
    <w:rsid w:val="00B76109"/>
    <w:rsid w:val="00B76AF4"/>
    <w:rsid w:val="00B771B4"/>
    <w:rsid w:val="00B85337"/>
    <w:rsid w:val="00B8748E"/>
    <w:rsid w:val="00BB5A9E"/>
    <w:rsid w:val="00BC0A9E"/>
    <w:rsid w:val="00BD0DF9"/>
    <w:rsid w:val="00BD62BC"/>
    <w:rsid w:val="00BE3E4C"/>
    <w:rsid w:val="00BE60A9"/>
    <w:rsid w:val="00BF017E"/>
    <w:rsid w:val="00BF291C"/>
    <w:rsid w:val="00BF5731"/>
    <w:rsid w:val="00BF5FE1"/>
    <w:rsid w:val="00C03CB8"/>
    <w:rsid w:val="00C135AB"/>
    <w:rsid w:val="00C23457"/>
    <w:rsid w:val="00C320C4"/>
    <w:rsid w:val="00C36A22"/>
    <w:rsid w:val="00C56D7C"/>
    <w:rsid w:val="00C87BC0"/>
    <w:rsid w:val="00CA6335"/>
    <w:rsid w:val="00CB0C96"/>
    <w:rsid w:val="00CB6E11"/>
    <w:rsid w:val="00CC4350"/>
    <w:rsid w:val="00CC5141"/>
    <w:rsid w:val="00CD1078"/>
    <w:rsid w:val="00CD2301"/>
    <w:rsid w:val="00CD2CA7"/>
    <w:rsid w:val="00CF18D1"/>
    <w:rsid w:val="00CF6072"/>
    <w:rsid w:val="00CF66D4"/>
    <w:rsid w:val="00CF78AC"/>
    <w:rsid w:val="00D0017E"/>
    <w:rsid w:val="00D01883"/>
    <w:rsid w:val="00D06E8F"/>
    <w:rsid w:val="00D155D7"/>
    <w:rsid w:val="00D1623A"/>
    <w:rsid w:val="00D26FFA"/>
    <w:rsid w:val="00D43E91"/>
    <w:rsid w:val="00D44156"/>
    <w:rsid w:val="00D500D0"/>
    <w:rsid w:val="00D527B1"/>
    <w:rsid w:val="00D6234B"/>
    <w:rsid w:val="00D64937"/>
    <w:rsid w:val="00D74421"/>
    <w:rsid w:val="00D85E2D"/>
    <w:rsid w:val="00D91C98"/>
    <w:rsid w:val="00D92254"/>
    <w:rsid w:val="00D9770E"/>
    <w:rsid w:val="00DA0BF5"/>
    <w:rsid w:val="00DB1855"/>
    <w:rsid w:val="00DB25B4"/>
    <w:rsid w:val="00DC0E11"/>
    <w:rsid w:val="00DC36DB"/>
    <w:rsid w:val="00DC7A22"/>
    <w:rsid w:val="00DD0E6E"/>
    <w:rsid w:val="00DE0F78"/>
    <w:rsid w:val="00DE1286"/>
    <w:rsid w:val="00DE1C13"/>
    <w:rsid w:val="00DE6706"/>
    <w:rsid w:val="00E216BB"/>
    <w:rsid w:val="00E223AD"/>
    <w:rsid w:val="00E31797"/>
    <w:rsid w:val="00E31EB7"/>
    <w:rsid w:val="00E40546"/>
    <w:rsid w:val="00E4324B"/>
    <w:rsid w:val="00E43CFA"/>
    <w:rsid w:val="00E47754"/>
    <w:rsid w:val="00E52239"/>
    <w:rsid w:val="00E62D34"/>
    <w:rsid w:val="00E62EC9"/>
    <w:rsid w:val="00E6422B"/>
    <w:rsid w:val="00E85DC7"/>
    <w:rsid w:val="00E950B3"/>
    <w:rsid w:val="00E95A4B"/>
    <w:rsid w:val="00EA6755"/>
    <w:rsid w:val="00EA7A24"/>
    <w:rsid w:val="00EB203B"/>
    <w:rsid w:val="00EB2779"/>
    <w:rsid w:val="00EB4FE9"/>
    <w:rsid w:val="00EC17EC"/>
    <w:rsid w:val="00EC3F4B"/>
    <w:rsid w:val="00EC4F8A"/>
    <w:rsid w:val="00ED0CF3"/>
    <w:rsid w:val="00ED3820"/>
    <w:rsid w:val="00ED39C9"/>
    <w:rsid w:val="00EE56A4"/>
    <w:rsid w:val="00EE61CE"/>
    <w:rsid w:val="00F1713F"/>
    <w:rsid w:val="00F2219C"/>
    <w:rsid w:val="00F22B57"/>
    <w:rsid w:val="00F25963"/>
    <w:rsid w:val="00F26C92"/>
    <w:rsid w:val="00F340E6"/>
    <w:rsid w:val="00F41464"/>
    <w:rsid w:val="00F509FA"/>
    <w:rsid w:val="00F52355"/>
    <w:rsid w:val="00F52E9A"/>
    <w:rsid w:val="00F54AD9"/>
    <w:rsid w:val="00F57AB8"/>
    <w:rsid w:val="00F62A14"/>
    <w:rsid w:val="00F65A9D"/>
    <w:rsid w:val="00F70551"/>
    <w:rsid w:val="00F71195"/>
    <w:rsid w:val="00F731D3"/>
    <w:rsid w:val="00F80B66"/>
    <w:rsid w:val="00F82889"/>
    <w:rsid w:val="00F83BBA"/>
    <w:rsid w:val="00F87A3D"/>
    <w:rsid w:val="00FA51EE"/>
    <w:rsid w:val="00FB008D"/>
    <w:rsid w:val="00FB1F26"/>
    <w:rsid w:val="00FB2C0D"/>
    <w:rsid w:val="00FB2C84"/>
    <w:rsid w:val="00FC3DB5"/>
    <w:rsid w:val="00FC57AA"/>
    <w:rsid w:val="00FD118F"/>
    <w:rsid w:val="00FD75D5"/>
    <w:rsid w:val="00FE329D"/>
    <w:rsid w:val="00FE3784"/>
    <w:rsid w:val="00FE3FEB"/>
    <w:rsid w:val="00FF11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eastAsia="en-US"/>
    </w:rPr>
  </w:style>
  <w:style w:type="paragraph" w:styleId="1">
    <w:name w:val="heading 1"/>
    <w:basedOn w:val="a"/>
    <w:next w:val="a"/>
    <w:qFormat/>
    <w:pPr>
      <w:keepNext/>
      <w:ind w:right="1416"/>
      <w:outlineLvl w:val="0"/>
    </w:pPr>
    <w:rPr>
      <w:b/>
    </w:rPr>
  </w:style>
  <w:style w:type="paragraph" w:styleId="2">
    <w:name w:val="heading 2"/>
    <w:basedOn w:val="a"/>
    <w:next w:val="a"/>
    <w:qFormat/>
    <w:pPr>
      <w:keepNext/>
      <w:tabs>
        <w:tab w:val="left" w:pos="567"/>
      </w:tabs>
      <w:spacing w:before="240" w:after="60" w:line="260" w:lineRule="exact"/>
      <w:outlineLvl w:val="1"/>
    </w:pPr>
    <w:rPr>
      <w:rFonts w:ascii="Helvetica" w:hAnsi="Helvetica"/>
      <w:b/>
      <w:i/>
      <w:sz w:val="24"/>
    </w:rPr>
  </w:style>
  <w:style w:type="paragraph" w:styleId="3">
    <w:name w:val="heading 3"/>
    <w:basedOn w:val="a"/>
    <w:next w:val="a"/>
    <w:qFormat/>
    <w:pPr>
      <w:keepNext/>
      <w:keepLines/>
      <w:tabs>
        <w:tab w:val="left" w:pos="567"/>
      </w:tabs>
      <w:spacing w:before="120" w:after="80" w:line="260" w:lineRule="exact"/>
      <w:outlineLvl w:val="2"/>
    </w:pPr>
    <w:rPr>
      <w:b/>
      <w:kern w:val="28"/>
      <w:sz w:val="24"/>
      <w:lang w:val="en-US"/>
    </w:rPr>
  </w:style>
  <w:style w:type="paragraph" w:styleId="4">
    <w:name w:val="heading 4"/>
    <w:basedOn w:val="a"/>
    <w:next w:val="a"/>
    <w:qFormat/>
    <w:pPr>
      <w:keepNext/>
      <w:widowControl w:val="0"/>
      <w:ind w:left="567" w:right="-1" w:hanging="567"/>
      <w:jc w:val="both"/>
      <w:outlineLvl w:val="3"/>
    </w:pPr>
    <w:rPr>
      <w:b/>
    </w:rPr>
  </w:style>
  <w:style w:type="paragraph" w:styleId="5">
    <w:name w:val="heading 5"/>
    <w:basedOn w:val="a"/>
    <w:next w:val="a"/>
    <w:qFormat/>
    <w:pPr>
      <w:keepNext/>
      <w:tabs>
        <w:tab w:val="left" w:pos="567"/>
      </w:tabs>
      <w:spacing w:line="260" w:lineRule="exact"/>
      <w:jc w:val="both"/>
      <w:outlineLvl w:val="4"/>
    </w:pPr>
    <w:rPr>
      <w:noProof/>
    </w:rPr>
  </w:style>
  <w:style w:type="paragraph" w:styleId="6">
    <w:name w:val="heading 6"/>
    <w:basedOn w:val="a"/>
    <w:next w:val="a"/>
    <w:qFormat/>
    <w:pPr>
      <w:keepNext/>
      <w:tabs>
        <w:tab w:val="left" w:pos="-720"/>
        <w:tab w:val="left" w:pos="567"/>
        <w:tab w:val="left" w:pos="4536"/>
      </w:tabs>
      <w:suppressAutoHyphens/>
      <w:spacing w:line="260" w:lineRule="exact"/>
      <w:outlineLvl w:val="5"/>
    </w:pPr>
    <w:rPr>
      <w:i/>
    </w:rPr>
  </w:style>
  <w:style w:type="paragraph" w:styleId="7">
    <w:name w:val="heading 7"/>
    <w:basedOn w:val="a"/>
    <w:next w:val="a"/>
    <w:qFormat/>
    <w:pPr>
      <w:keepNext/>
      <w:tabs>
        <w:tab w:val="left" w:pos="-720"/>
        <w:tab w:val="left" w:pos="567"/>
        <w:tab w:val="left" w:pos="4536"/>
      </w:tabs>
      <w:suppressAutoHyphens/>
      <w:spacing w:line="260" w:lineRule="exact"/>
      <w:jc w:val="both"/>
      <w:outlineLvl w:val="6"/>
    </w:pPr>
    <w:rPr>
      <w:i/>
    </w:rPr>
  </w:style>
  <w:style w:type="paragraph" w:styleId="8">
    <w:name w:val="heading 8"/>
    <w:basedOn w:val="a"/>
    <w:next w:val="a"/>
    <w:qFormat/>
    <w:pPr>
      <w:keepNext/>
      <w:tabs>
        <w:tab w:val="left" w:pos="567"/>
      </w:tabs>
      <w:spacing w:line="260" w:lineRule="exact"/>
      <w:ind w:left="567" w:hanging="567"/>
      <w:jc w:val="both"/>
      <w:outlineLvl w:val="7"/>
    </w:pPr>
    <w:rPr>
      <w:b/>
      <w:i/>
    </w:rPr>
  </w:style>
  <w:style w:type="paragraph" w:styleId="9">
    <w:name w:val="heading 9"/>
    <w:basedOn w:val="a"/>
    <w:next w:val="a"/>
    <w:qFormat/>
    <w:pPr>
      <w:keepNext/>
      <w:tabs>
        <w:tab w:val="left" w:pos="567"/>
      </w:tabs>
      <w:spacing w:line="260" w:lineRule="exact"/>
      <w:jc w:val="both"/>
      <w:outlineLvl w:val="8"/>
    </w:pPr>
    <w:rPr>
      <w:b/>
      <w: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ZchnZchnCharZchnZchnChar">
    <w:name w:val=" Zchn Zchn Char Zchn Zchn Char"/>
    <w:basedOn w:val="a"/>
    <w:pPr>
      <w:widowControl w:val="0"/>
      <w:adjustRightInd w:val="0"/>
      <w:spacing w:after="160" w:line="240" w:lineRule="exact"/>
      <w:jc w:val="both"/>
      <w:textAlignment w:val="baseline"/>
    </w:pPr>
    <w:rPr>
      <w:rFonts w:ascii="Tahoma" w:hAnsi="Tahoma"/>
      <w:sz w:val="20"/>
      <w:lang w:val="en-US"/>
    </w:rPr>
  </w:style>
  <w:style w:type="paragraph" w:styleId="a3">
    <w:name w:val="header"/>
    <w:basedOn w:val="a"/>
    <w:pPr>
      <w:tabs>
        <w:tab w:val="center" w:pos="4153"/>
        <w:tab w:val="right" w:pos="8306"/>
      </w:tabs>
    </w:pPr>
    <w:rPr>
      <w:rFonts w:ascii="Arial" w:hAnsi="Arial"/>
      <w:sz w:val="20"/>
    </w:rPr>
  </w:style>
  <w:style w:type="paragraph" w:styleId="a4">
    <w:name w:val="footer"/>
    <w:basedOn w:val="a"/>
    <w:pPr>
      <w:tabs>
        <w:tab w:val="center" w:pos="4153"/>
        <w:tab w:val="right" w:pos="8306"/>
      </w:tabs>
    </w:pPr>
    <w:rPr>
      <w:rFonts w:ascii="Arial" w:hAnsi="Arial"/>
      <w:sz w:val="16"/>
    </w:rPr>
  </w:style>
  <w:style w:type="character" w:styleId="a5">
    <w:name w:val="page number"/>
    <w:basedOn w:val="a0"/>
  </w:style>
  <w:style w:type="character" w:styleId="a6">
    <w:name w:val="Strong"/>
    <w:qFormat/>
    <w:rPr>
      <w:b/>
    </w:rPr>
  </w:style>
  <w:style w:type="character" w:styleId="-">
    <w:name w:val="Hyperlink"/>
    <w:rPr>
      <w:color w:val="0000FF"/>
      <w:u w:val="single"/>
    </w:rPr>
  </w:style>
  <w:style w:type="character" w:styleId="-0">
    <w:name w:val="FollowedHyperlink"/>
    <w:rPr>
      <w:color w:val="800080"/>
      <w:u w:val="single"/>
    </w:rPr>
  </w:style>
  <w:style w:type="paragraph" w:styleId="a7">
    <w:name w:val="endnote text"/>
    <w:basedOn w:val="a"/>
    <w:semiHidden/>
    <w:pPr>
      <w:tabs>
        <w:tab w:val="left" w:pos="567"/>
      </w:tabs>
    </w:pPr>
  </w:style>
  <w:style w:type="paragraph" w:styleId="a8">
    <w:name w:val="Body Text"/>
    <w:basedOn w:val="a"/>
    <w:pPr>
      <w:tabs>
        <w:tab w:val="left" w:pos="567"/>
      </w:tabs>
      <w:spacing w:line="260" w:lineRule="exact"/>
    </w:pPr>
    <w:rPr>
      <w:b/>
      <w:i/>
    </w:rPr>
  </w:style>
  <w:style w:type="paragraph" w:customStyle="1" w:styleId="header">
    <w:name w:val="header"/>
    <w:pPr>
      <w:suppressAutoHyphens/>
      <w:spacing w:line="260" w:lineRule="exact"/>
    </w:pPr>
    <w:rPr>
      <w:rFonts w:ascii="Arial" w:hAnsi="Arial"/>
      <w:b/>
      <w:u w:val="single"/>
      <w:lang w:val="en-GB" w:eastAsia="en-US"/>
    </w:rPr>
  </w:style>
  <w:style w:type="paragraph" w:customStyle="1" w:styleId="footer">
    <w:name w:val="footer"/>
    <w:rPr>
      <w:rFonts w:ascii="Arial" w:hAnsi="Arial"/>
      <w:sz w:val="16"/>
      <w:lang w:val="en-GB" w:eastAsia="en-US"/>
    </w:rPr>
  </w:style>
  <w:style w:type="character" w:styleId="a9">
    <w:name w:val="footnote reference"/>
    <w:semiHidden/>
    <w:rPr>
      <w:vertAlign w:val="superscript"/>
    </w:rPr>
  </w:style>
  <w:style w:type="paragraph" w:customStyle="1" w:styleId="Text">
    <w:name w:val="Text"/>
    <w:basedOn w:val="a"/>
    <w:pPr>
      <w:spacing w:before="120"/>
      <w:jc w:val="both"/>
    </w:pPr>
    <w:rPr>
      <w:sz w:val="24"/>
      <w:lang w:val="en-US"/>
    </w:rPr>
  </w:style>
  <w:style w:type="character" w:customStyle="1" w:styleId="TextChar1">
    <w:name w:val="Text Char1"/>
    <w:rPr>
      <w:sz w:val="24"/>
      <w:lang w:val="en-US" w:eastAsia="en-US" w:bidi="ar-SA"/>
    </w:rPr>
  </w:style>
  <w:style w:type="character" w:customStyle="1" w:styleId="TextChar">
    <w:name w:val="Text Char"/>
    <w:rPr>
      <w:sz w:val="24"/>
      <w:lang w:val="en-US" w:eastAsia="en-US" w:bidi="ar-SA"/>
    </w:rPr>
  </w:style>
  <w:style w:type="paragraph" w:customStyle="1" w:styleId="paragraph">
    <w:name w:val="paragraph"/>
    <w:basedOn w:val="a"/>
    <w:pPr>
      <w:spacing w:before="120"/>
      <w:jc w:val="both"/>
    </w:pPr>
    <w:rPr>
      <w:sz w:val="24"/>
    </w:rPr>
  </w:style>
  <w:style w:type="character" w:customStyle="1" w:styleId="paragraphChar">
    <w:name w:val="paragraph Char"/>
    <w:rPr>
      <w:sz w:val="24"/>
      <w:lang w:val="en-GB" w:eastAsia="en-US" w:bidi="ar-SA"/>
    </w:rPr>
  </w:style>
  <w:style w:type="paragraph" w:customStyle="1" w:styleId="Table">
    <w:name w:val="Table"/>
    <w:aliases w:val="10 pt  Bold"/>
    <w:basedOn w:val="a"/>
    <w:pPr>
      <w:keepLines/>
      <w:tabs>
        <w:tab w:val="left" w:pos="284"/>
      </w:tabs>
      <w:spacing w:before="40" w:after="20"/>
    </w:pPr>
    <w:rPr>
      <w:rFonts w:ascii="Arial" w:eastAsia="MS Mincho" w:hAnsi="Arial"/>
      <w:sz w:val="20"/>
      <w:szCs w:val="24"/>
      <w:lang w:val="en-US"/>
    </w:rPr>
  </w:style>
  <w:style w:type="paragraph" w:customStyle="1" w:styleId="Normal-Eng">
    <w:name w:val="Normal-Eng"/>
    <w:basedOn w:val="a"/>
    <w:rPr>
      <w:sz w:val="20"/>
      <w:lang w:val="en-US" w:eastAsia="nl-NL"/>
    </w:rPr>
  </w:style>
  <w:style w:type="paragraph" w:customStyle="1" w:styleId="Numberofpages">
    <w:name w:val="Numberofpages"/>
    <w:basedOn w:val="a"/>
    <w:pPr>
      <w:keepNext/>
      <w:spacing w:before="240"/>
    </w:pPr>
    <w:rPr>
      <w:rFonts w:ascii="Arial" w:eastAsia="MS Gothic" w:hAnsi="Arial"/>
      <w:sz w:val="24"/>
      <w:szCs w:val="24"/>
      <w:lang w:val="en-US"/>
    </w:rPr>
  </w:style>
  <w:style w:type="paragraph" w:styleId="aa">
    <w:name w:val="annotation text"/>
    <w:basedOn w:val="a"/>
    <w:semiHidden/>
    <w:pPr>
      <w:tabs>
        <w:tab w:val="left" w:pos="567"/>
      </w:tabs>
      <w:spacing w:line="260" w:lineRule="exact"/>
    </w:pPr>
    <w:rPr>
      <w:sz w:val="20"/>
    </w:rPr>
  </w:style>
  <w:style w:type="paragraph" w:styleId="ab">
    <w:name w:val="Body Text Indent"/>
    <w:basedOn w:val="a"/>
    <w:pPr>
      <w:autoSpaceDE w:val="0"/>
      <w:autoSpaceDN w:val="0"/>
      <w:adjustRightInd w:val="0"/>
      <w:ind w:left="720"/>
      <w:jc w:val="both"/>
    </w:pPr>
    <w:rPr>
      <w:szCs w:val="22"/>
      <w:lang w:eastAsia="en-GB"/>
    </w:rPr>
  </w:style>
  <w:style w:type="paragraph" w:styleId="30">
    <w:name w:val="Body Text 3"/>
    <w:basedOn w:val="a"/>
    <w:pPr>
      <w:autoSpaceDE w:val="0"/>
      <w:autoSpaceDN w:val="0"/>
      <w:adjustRightInd w:val="0"/>
      <w:jc w:val="both"/>
    </w:pPr>
    <w:rPr>
      <w:color w:val="0000FF"/>
      <w:szCs w:val="22"/>
      <w:lang w:eastAsia="en-GB"/>
    </w:rPr>
  </w:style>
  <w:style w:type="paragraph" w:styleId="20">
    <w:name w:val="Body Text Indent 2"/>
    <w:basedOn w:val="a"/>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line="260" w:lineRule="exact"/>
      <w:ind w:left="1134"/>
      <w:jc w:val="both"/>
    </w:pPr>
    <w:rPr>
      <w:b/>
      <w:bCs/>
      <w:color w:val="0000FF"/>
      <w:szCs w:val="22"/>
    </w:rPr>
  </w:style>
  <w:style w:type="paragraph" w:styleId="21">
    <w:name w:val="Body Text 2"/>
    <w:basedOn w:val="a"/>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line="260" w:lineRule="exact"/>
      <w:jc w:val="both"/>
    </w:pPr>
    <w:rPr>
      <w:b/>
      <w:bCs/>
      <w:color w:val="0000FF"/>
      <w:szCs w:val="22"/>
      <w:u w:val="single"/>
    </w:rPr>
  </w:style>
  <w:style w:type="paragraph" w:customStyle="1" w:styleId="EMEAEnBodyText">
    <w:name w:val="EMEA En Body Text"/>
    <w:basedOn w:val="a"/>
    <w:pPr>
      <w:spacing w:before="120" w:after="120"/>
      <w:jc w:val="both"/>
    </w:pPr>
    <w:rPr>
      <w:lang w:val="en-US"/>
    </w:rPr>
  </w:style>
  <w:style w:type="paragraph" w:customStyle="1" w:styleId="AHeader1">
    <w:name w:val="AHeader 1"/>
    <w:basedOn w:val="a"/>
    <w:pPr>
      <w:numPr>
        <w:numId w:val="12"/>
      </w:numPr>
      <w:spacing w:after="120"/>
    </w:pPr>
    <w:rPr>
      <w:rFonts w:ascii="Arial" w:hAnsi="Arial" w:cs="Arial"/>
      <w:b/>
      <w:bCs/>
      <w:sz w:val="24"/>
    </w:rPr>
  </w:style>
  <w:style w:type="paragraph" w:customStyle="1" w:styleId="AHeader2">
    <w:name w:val="AHeader 2"/>
    <w:basedOn w:val="AHeader1"/>
    <w:pPr>
      <w:numPr>
        <w:ilvl w:val="1"/>
      </w:numPr>
      <w:tabs>
        <w:tab w:val="clear" w:pos="709"/>
        <w:tab w:val="num" w:pos="360"/>
      </w:tabs>
    </w:pPr>
    <w:rPr>
      <w:sz w:val="22"/>
    </w:rPr>
  </w:style>
  <w:style w:type="paragraph" w:customStyle="1" w:styleId="AHeader3">
    <w:name w:val="AHeader 3"/>
    <w:basedOn w:val="AHeader2"/>
    <w:pPr>
      <w:numPr>
        <w:ilvl w:val="2"/>
      </w:numPr>
      <w:tabs>
        <w:tab w:val="clear" w:pos="1276"/>
        <w:tab w:val="num" w:pos="360"/>
      </w:tabs>
    </w:pPr>
  </w:style>
  <w:style w:type="paragraph" w:customStyle="1" w:styleId="AHeader2abc">
    <w:name w:val="AHeader 2 abc"/>
    <w:basedOn w:val="AHeader3"/>
    <w:pPr>
      <w:numPr>
        <w:ilvl w:val="3"/>
      </w:numPr>
      <w:tabs>
        <w:tab w:val="clear" w:pos="1276"/>
        <w:tab w:val="num" w:pos="360"/>
      </w:tabs>
      <w:jc w:val="both"/>
    </w:pPr>
    <w:rPr>
      <w:b w:val="0"/>
      <w:bCs w:val="0"/>
    </w:rPr>
  </w:style>
  <w:style w:type="paragraph" w:customStyle="1" w:styleId="AHeader3abc">
    <w:name w:val="AHeader 3 abc"/>
    <w:basedOn w:val="AHeader2abc"/>
    <w:pPr>
      <w:numPr>
        <w:ilvl w:val="4"/>
      </w:numPr>
      <w:tabs>
        <w:tab w:val="clear" w:pos="1701"/>
        <w:tab w:val="num" w:pos="360"/>
      </w:tabs>
    </w:pPr>
  </w:style>
  <w:style w:type="paragraph" w:styleId="31">
    <w:name w:val="Body Text Indent 3"/>
    <w:basedOn w:val="a"/>
    <w:pPr>
      <w:tabs>
        <w:tab w:val="left" w:pos="567"/>
        <w:tab w:val="left" w:pos="1134"/>
      </w:tabs>
      <w:autoSpaceDE w:val="0"/>
      <w:autoSpaceDN w:val="0"/>
      <w:adjustRightInd w:val="0"/>
      <w:spacing w:line="260" w:lineRule="exact"/>
      <w:ind w:left="633"/>
      <w:jc w:val="both"/>
    </w:pPr>
    <w:rPr>
      <w:szCs w:val="21"/>
    </w:rPr>
  </w:style>
  <w:style w:type="character" w:customStyle="1" w:styleId="CommentCharChar">
    <w:name w:val="Comment Char Char"/>
    <w:rPr>
      <w:i/>
      <w:color w:val="0000FF"/>
      <w:sz w:val="24"/>
      <w:lang w:val="en-GB" w:eastAsia="en-US" w:bidi="ar-SA"/>
    </w:rPr>
  </w:style>
  <w:style w:type="paragraph" w:customStyle="1" w:styleId="Nottoc-headings">
    <w:name w:val="Not toc-headings"/>
    <w:basedOn w:val="a"/>
    <w:next w:val="Text"/>
    <w:pPr>
      <w:keepNext/>
      <w:keepLines/>
      <w:spacing w:before="240" w:after="60"/>
      <w:ind w:left="1701" w:hanging="1701"/>
    </w:pPr>
    <w:rPr>
      <w:rFonts w:ascii="Arial" w:hAnsi="Arial"/>
      <w:b/>
      <w:sz w:val="24"/>
      <w:lang w:val="en-US"/>
    </w:rPr>
  </w:style>
  <w:style w:type="character" w:customStyle="1" w:styleId="Nottoc-headingsChar">
    <w:name w:val="Not toc-headings Char"/>
    <w:rPr>
      <w:rFonts w:ascii="Arial" w:hAnsi="Arial"/>
      <w:b/>
      <w:sz w:val="24"/>
      <w:lang w:val="en-US" w:eastAsia="en-US" w:bidi="ar-SA"/>
    </w:rPr>
  </w:style>
  <w:style w:type="paragraph" w:customStyle="1" w:styleId="CharCharCharCharChar1CharCharCharCharCharChar">
    <w:name w:val=" Char Char Char Char Char1 Char Char Char Char Char Char"/>
    <w:basedOn w:val="a"/>
    <w:pPr>
      <w:spacing w:after="160" w:line="240" w:lineRule="exact"/>
    </w:pPr>
    <w:rPr>
      <w:rFonts w:ascii="Tahoma" w:hAnsi="Tahoma"/>
      <w:sz w:val="20"/>
      <w:lang w:val="en-US"/>
    </w:rPr>
  </w:style>
  <w:style w:type="paragraph" w:customStyle="1" w:styleId="NormalLatinArial">
    <w:name w:val="Normal + (Latin) Arial"/>
    <w:aliases w:val="(Complex) Arial,9 pt"/>
    <w:basedOn w:val="a"/>
    <w:pPr>
      <w:tabs>
        <w:tab w:val="left" w:pos="426"/>
      </w:tabs>
    </w:pPr>
    <w:rPr>
      <w:rFonts w:ascii="Arial" w:eastAsia="MS Mincho" w:hAnsi="Arial"/>
      <w:sz w:val="18"/>
      <w:szCs w:val="18"/>
      <w:lang w:val="en-US"/>
    </w:rPr>
  </w:style>
  <w:style w:type="paragraph" w:customStyle="1" w:styleId="CharChar">
    <w:name w:val=" Char Char"/>
    <w:basedOn w:val="a"/>
    <w:pPr>
      <w:spacing w:after="160" w:line="240" w:lineRule="exact"/>
    </w:pPr>
    <w:rPr>
      <w:rFonts w:ascii="Verdana" w:hAnsi="Verdana" w:cs="Verdana"/>
      <w:sz w:val="20"/>
      <w:lang w:val="en-US"/>
    </w:rPr>
  </w:style>
  <w:style w:type="paragraph" w:customStyle="1" w:styleId="ZchnZchnCharCharCharCharCharCharCharZchnZchn">
    <w:name w:val=" Zchn Zchn Char Char Char Char Char Char Char Zchn Zchn"/>
    <w:basedOn w:val="a"/>
    <w:pPr>
      <w:widowControl w:val="0"/>
      <w:adjustRightInd w:val="0"/>
      <w:spacing w:after="160" w:line="240" w:lineRule="exact"/>
      <w:jc w:val="both"/>
      <w:textAlignment w:val="baseline"/>
    </w:pPr>
    <w:rPr>
      <w:rFonts w:ascii="Verdana" w:hAnsi="Verdana" w:cs="Verdana"/>
      <w:sz w:val="20"/>
      <w:lang w:val="en-US"/>
    </w:rPr>
  </w:style>
  <w:style w:type="paragraph" w:customStyle="1" w:styleId="Default">
    <w:name w:val="Default"/>
    <w:pPr>
      <w:autoSpaceDE w:val="0"/>
      <w:autoSpaceDN w:val="0"/>
      <w:adjustRightInd w:val="0"/>
    </w:pPr>
    <w:rPr>
      <w:lang w:val="en-US" w:eastAsia="en-US"/>
    </w:rPr>
  </w:style>
  <w:style w:type="paragraph" w:customStyle="1" w:styleId="Pil2">
    <w:name w:val="Pil 2"/>
    <w:basedOn w:val="2"/>
    <w:pPr>
      <w:tabs>
        <w:tab w:val="clear" w:pos="567"/>
      </w:tabs>
      <w:spacing w:before="320" w:after="120" w:line="240" w:lineRule="auto"/>
      <w:ind w:left="851" w:hanging="851"/>
      <w:outlineLvl w:val="9"/>
    </w:pPr>
    <w:rPr>
      <w:rFonts w:ascii="Times New Roman" w:hAnsi="Times New Roman"/>
      <w:i w:val="0"/>
      <w:smallCaps/>
      <w:sz w:val="28"/>
      <w:lang w:val="sv-SE"/>
    </w:rPr>
  </w:style>
  <w:style w:type="paragraph" w:customStyle="1" w:styleId="Listlevel1">
    <w:name w:val="List level 1"/>
    <w:basedOn w:val="a"/>
    <w:pPr>
      <w:spacing w:before="40" w:after="20"/>
      <w:ind w:left="425" w:hanging="425"/>
    </w:pPr>
    <w:rPr>
      <w:sz w:val="24"/>
      <w:lang w:val="en-US"/>
    </w:rPr>
  </w:style>
  <w:style w:type="character" w:customStyle="1" w:styleId="TableChar">
    <w:name w:val="Table Char"/>
    <w:aliases w:val="10 pt  Bold Char,9 pt Char"/>
    <w:rPr>
      <w:rFonts w:ascii="Arial" w:eastAsia="MS Mincho" w:hAnsi="Arial"/>
      <w:sz w:val="24"/>
      <w:szCs w:val="24"/>
      <w:lang w:val="en-US" w:eastAsia="en-US" w:bidi="ar-SA"/>
    </w:rPr>
  </w:style>
  <w:style w:type="paragraph" w:customStyle="1" w:styleId="Pages">
    <w:name w:val="Pages"/>
    <w:basedOn w:val="a8"/>
    <w:pPr>
      <w:tabs>
        <w:tab w:val="clear" w:pos="567"/>
      </w:tabs>
      <w:spacing w:line="240" w:lineRule="auto"/>
    </w:pPr>
    <w:rPr>
      <w:rFonts w:ascii="Arial" w:hAnsi="Arial"/>
      <w:i w:val="0"/>
      <w:sz w:val="20"/>
      <w:lang w:val="en-US"/>
    </w:rPr>
  </w:style>
  <w:style w:type="paragraph" w:customStyle="1" w:styleId="MessageHeaderFirst">
    <w:name w:val="Message Header First"/>
    <w:basedOn w:val="ac"/>
    <w:next w:val="ac"/>
    <w:pPr>
      <w:spacing w:before="120"/>
    </w:pPr>
  </w:style>
  <w:style w:type="paragraph" w:styleId="ac">
    <w:name w:val="Message Header"/>
    <w:basedOn w:val="a8"/>
    <w:pPr>
      <w:keepLines/>
      <w:tabs>
        <w:tab w:val="clear" w:pos="567"/>
        <w:tab w:val="left" w:pos="3600"/>
        <w:tab w:val="left" w:pos="4680"/>
      </w:tabs>
      <w:spacing w:after="240" w:line="240" w:lineRule="auto"/>
      <w:ind w:left="1080" w:hanging="1080"/>
    </w:pPr>
    <w:rPr>
      <w:rFonts w:ascii="Arial" w:hAnsi="Arial"/>
      <w:b w:val="0"/>
      <w:i w:val="0"/>
      <w:sz w:val="20"/>
      <w:lang w:val="en-US"/>
    </w:rPr>
  </w:style>
  <w:style w:type="character" w:customStyle="1" w:styleId="MessageHeaderLabel">
    <w:name w:val="Message Header Label"/>
    <w:rPr>
      <w:rFonts w:ascii="Arial" w:hAnsi="Arial"/>
      <w:b/>
      <w:caps/>
      <w:sz w:val="18"/>
    </w:rPr>
  </w:style>
  <w:style w:type="paragraph" w:customStyle="1" w:styleId="MessageHeaderLast">
    <w:name w:val="Message Header Last"/>
    <w:basedOn w:val="ac"/>
    <w:next w:val="a8"/>
    <w:pPr>
      <w:spacing w:after="360"/>
    </w:pPr>
  </w:style>
  <w:style w:type="paragraph" w:styleId="ad">
    <w:name w:val="Title"/>
    <w:basedOn w:val="a"/>
    <w:qFormat/>
    <w:pPr>
      <w:jc w:val="center"/>
    </w:pPr>
    <w:rPr>
      <w:b/>
    </w:rPr>
  </w:style>
  <w:style w:type="paragraph" w:customStyle="1" w:styleId="copy">
    <w:name w:val="*copy"/>
    <w:rPr>
      <w:sz w:val="22"/>
      <w:lang w:val="en-GB" w:eastAsia="en-US"/>
    </w:rPr>
  </w:style>
  <w:style w:type="paragraph" w:customStyle="1" w:styleId="TextMrk">
    <w:name w:val="Text Märk"/>
    <w:basedOn w:val="a"/>
    <w:pPr>
      <w:spacing w:before="120"/>
      <w:jc w:val="both"/>
    </w:pPr>
    <w:rPr>
      <w:sz w:val="24"/>
      <w:szCs w:val="24"/>
      <w:lang w:val="en-US"/>
    </w:rPr>
  </w:style>
  <w:style w:type="paragraph" w:styleId="ae">
    <w:name w:val="Balloon Text"/>
    <w:basedOn w:val="a"/>
    <w:semiHidden/>
    <w:rsid w:val="00A94433"/>
    <w:rPr>
      <w:rFonts w:ascii="Tahoma" w:hAnsi="Tahoma" w:cs="Tahoma"/>
      <w:sz w:val="16"/>
      <w:szCs w:val="16"/>
    </w:rPr>
  </w:style>
  <w:style w:type="paragraph" w:styleId="Web">
    <w:name w:val="Normal (Web)"/>
    <w:basedOn w:val="a"/>
    <w:pPr>
      <w:spacing w:before="100" w:beforeAutospacing="1" w:after="75"/>
    </w:pPr>
    <w:rPr>
      <w:color w:val="000000"/>
      <w:sz w:val="24"/>
      <w:szCs w:val="24"/>
      <w:lang w:val="en-US" w:bidi="th-TH"/>
    </w:rPr>
  </w:style>
  <w:style w:type="character" w:styleId="af">
    <w:name w:val="annotation reference"/>
    <w:semiHidden/>
    <w:rPr>
      <w:sz w:val="16"/>
      <w:szCs w:val="16"/>
    </w:rPr>
  </w:style>
  <w:style w:type="paragraph" w:styleId="af0">
    <w:name w:val="annotation subject"/>
    <w:basedOn w:val="aa"/>
    <w:next w:val="aa"/>
    <w:semiHidden/>
    <w:rPr>
      <w:b/>
      <w:bCs/>
    </w:rPr>
  </w:style>
  <w:style w:type="paragraph" w:customStyle="1" w:styleId="CharChar1">
    <w:name w:val=" Char Char1"/>
    <w:basedOn w:val="a"/>
    <w:rsid w:val="001C49EF"/>
    <w:pPr>
      <w:widowControl w:val="0"/>
      <w:adjustRightInd w:val="0"/>
      <w:spacing w:after="160" w:line="240" w:lineRule="exact"/>
      <w:jc w:val="both"/>
      <w:textAlignment w:val="baseline"/>
    </w:pPr>
    <w:rPr>
      <w:rFonts w:ascii="Tahoma" w:hAnsi="Tahoma"/>
      <w:sz w:val="20"/>
      <w:lang w:val="en-US"/>
    </w:rPr>
  </w:style>
  <w:style w:type="paragraph" w:customStyle="1" w:styleId="default0">
    <w:name w:val="default"/>
    <w:basedOn w:val="a"/>
    <w:rsid w:val="00FB1F26"/>
    <w:pPr>
      <w:autoSpaceDE w:val="0"/>
      <w:autoSpaceDN w:val="0"/>
    </w:pPr>
    <w:rPr>
      <w:color w:val="000000"/>
      <w:sz w:val="24"/>
      <w:szCs w:val="24"/>
      <w:lang w:val="ro-RO" w:eastAsia="ro-RO"/>
    </w:rPr>
  </w:style>
  <w:style w:type="character" w:customStyle="1" w:styleId="hps">
    <w:name w:val="hps"/>
    <w:basedOn w:val="a0"/>
    <w:rsid w:val="00DC7A22"/>
  </w:style>
  <w:style w:type="character" w:customStyle="1" w:styleId="hpsalt-edited">
    <w:name w:val="hps alt-edited"/>
    <w:basedOn w:val="a0"/>
    <w:rsid w:val="00DC7A22"/>
  </w:style>
</w:styles>
</file>

<file path=word/webSettings.xml><?xml version="1.0" encoding="utf-8"?>
<w:webSettings xmlns:r="http://schemas.openxmlformats.org/officeDocument/2006/relationships" xmlns:w="http://schemas.openxmlformats.org/wordprocessingml/2006/main">
  <w:divs>
    <w:div w:id="18740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7E63-22AA-48B9-B783-DE85AA2E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8352</Words>
  <Characters>45103</Characters>
  <Application>Microsoft Office Word</Application>
  <DocSecurity>0</DocSecurity>
  <Lines>375</Lines>
  <Paragraphs>106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Diovan film-coated tablet ENG</vt:lpstr>
      <vt:lpstr>Diovan film-coated tablet ENG</vt:lpstr>
    </vt:vector>
  </TitlesOfParts>
  <Company>Hewlett-Packard Company</Company>
  <LinksUpToDate>false</LinksUpToDate>
  <CharactersWithSpaces>53349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Diovan film-coated tablet ENG</dc:title>
  <dc:creator>user12</dc:creator>
  <cp:lastModifiedBy>user146</cp:lastModifiedBy>
  <cp:revision>2</cp:revision>
  <cp:lastPrinted>2015-05-26T08:50:00Z</cp:lastPrinted>
  <dcterms:created xsi:type="dcterms:W3CDTF">2015-05-26T09:07:00Z</dcterms:created>
  <dcterms:modified xsi:type="dcterms:W3CDTF">2015-05-26T09:07:00Z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EADocClassificationText">
    <vt:lpwstr> </vt:lpwstr>
  </property>
  <property fmtid="{D5CDD505-2E9C-101B-9397-08002B2CF9AE}" pid="3" name="EMEADocRefFull">
    <vt:lpwstr>EMEA/xxxx/xx/EN</vt:lpwstr>
  </property>
  <property fmtid="{D5CDD505-2E9C-101B-9397-08002B2CF9AE}" pid="4" name="DM_Status">
    <vt:lpwstr/>
  </property>
  <property fmtid="{D5CDD505-2E9C-101B-9397-08002B2CF9AE}" pid="5" name="DM_Authors">
    <vt:lpwstr/>
  </property>
  <property fmtid="{D5CDD505-2E9C-101B-9397-08002B2CF9AE}" pid="6" name="DM_Keywords">
    <vt:lpwstr/>
  </property>
  <property fmtid="{D5CDD505-2E9C-101B-9397-08002B2CF9AE}" pid="7" name="DM_Subject">
    <vt:lpwstr>Product Information-EMA/105856/2010</vt:lpwstr>
  </property>
  <property fmtid="{D5CDD505-2E9C-101B-9397-08002B2CF9AE}" pid="8" name="DM_Title">
    <vt:lpwstr/>
  </property>
  <property fmtid="{D5CDD505-2E9C-101B-9397-08002B2CF9AE}" pid="9" name="DM_Language">
    <vt:lpwstr/>
  </property>
  <property fmtid="{D5CDD505-2E9C-101B-9397-08002B2CF9AE}" pid="10" name="DM_Name">
    <vt:lpwstr>H-A-29-PAD-1219-en</vt:lpwstr>
  </property>
  <property fmtid="{D5CDD505-2E9C-101B-9397-08002B2CF9AE}" pid="11" name="DM_Owner">
    <vt:lpwstr>Dinar Svetlana</vt:lpwstr>
  </property>
  <property fmtid="{D5CDD505-2E9C-101B-9397-08002B2CF9AE}" pid="12" name="DM_Creation_Date">
    <vt:lpwstr>17/02/2010 11:28:49</vt:lpwstr>
  </property>
  <property fmtid="{D5CDD505-2E9C-101B-9397-08002B2CF9AE}" pid="13" name="DM_Creator_Name">
    <vt:lpwstr>Dinar Svetlana</vt:lpwstr>
  </property>
  <property fmtid="{D5CDD505-2E9C-101B-9397-08002B2CF9AE}" pid="14" name="DM_Modifer_Name">
    <vt:lpwstr>Dinar Svetlana</vt:lpwstr>
  </property>
  <property fmtid="{D5CDD505-2E9C-101B-9397-08002B2CF9AE}" pid="15" name="DM_Modified_Date">
    <vt:lpwstr>17/02/2010 11:29:06</vt:lpwstr>
  </property>
  <property fmtid="{D5CDD505-2E9C-101B-9397-08002B2CF9AE}" pid="16" name="DM_Type">
    <vt:lpwstr>emea_product_document</vt:lpwstr>
  </property>
  <property fmtid="{D5CDD505-2E9C-101B-9397-08002B2CF9AE}" pid="17" name="DM_Version">
    <vt:lpwstr>0.1, CURRENT</vt:lpwstr>
  </property>
  <property fmtid="{D5CDD505-2E9C-101B-9397-08002B2CF9AE}" pid="18" name="DM_emea_doc_ref_id">
    <vt:lpwstr>EMA/105856/2010</vt:lpwstr>
  </property>
  <property fmtid="{D5CDD505-2E9C-101B-9397-08002B2CF9AE}" pid="19" name="DM_emea_cc">
    <vt:lpwstr/>
  </property>
  <property fmtid="{D5CDD505-2E9C-101B-9397-08002B2CF9AE}" pid="20" name="DM_emea_message_subject">
    <vt:lpwstr/>
  </property>
  <property fmtid="{D5CDD505-2E9C-101B-9397-08002B2CF9AE}" pid="21" name="DM_emea_doc_number">
    <vt:lpwstr>105856</vt:lpwstr>
  </property>
  <property fmtid="{D5CDD505-2E9C-101B-9397-08002B2CF9AE}" pid="22" name="DM_emea_received_date">
    <vt:lpwstr>nulldate</vt:lpwstr>
  </property>
  <property fmtid="{D5CDD505-2E9C-101B-9397-08002B2CF9AE}" pid="23" name="DM_emea_resp_body">
    <vt:lpwstr/>
  </property>
  <property fmtid="{D5CDD505-2E9C-101B-9397-08002B2CF9AE}" pid="24" name="DM_emea_revision_label">
    <vt:lpwstr/>
  </property>
  <property fmtid="{D5CDD505-2E9C-101B-9397-08002B2CF9AE}" pid="25" name="DM_emea_to">
    <vt:lpwstr/>
  </property>
  <property fmtid="{D5CDD505-2E9C-101B-9397-08002B2CF9AE}" pid="26" name="DM_emea_bcc">
    <vt:lpwstr/>
  </property>
  <property fmtid="{D5CDD505-2E9C-101B-9397-08002B2CF9AE}" pid="27" name="DM_emea_doc_category">
    <vt:lpwstr>Product Information</vt:lpwstr>
  </property>
  <property fmtid="{D5CDD505-2E9C-101B-9397-08002B2CF9AE}" pid="28" name="DM_emea_from">
    <vt:lpwstr/>
  </property>
  <property fmtid="{D5CDD505-2E9C-101B-9397-08002B2CF9AE}" pid="29" name="DM_emea_internal_label">
    <vt:lpwstr>EMA</vt:lpwstr>
  </property>
  <property fmtid="{D5CDD505-2E9C-101B-9397-08002B2CF9AE}" pid="30" name="DM_emea_legal_date">
    <vt:lpwstr>nulldate</vt:lpwstr>
  </property>
  <property fmtid="{D5CDD505-2E9C-101B-9397-08002B2CF9AE}" pid="31" name="DM_emea_year">
    <vt:lpwstr>2010</vt:lpwstr>
  </property>
  <property fmtid="{D5CDD505-2E9C-101B-9397-08002B2CF9AE}" pid="32" name="DM_emea_sent_date">
    <vt:lpwstr>nulldate</vt:lpwstr>
  </property>
  <property fmtid="{D5CDD505-2E9C-101B-9397-08002B2CF9AE}" pid="33" name="DM_emea_doc_lang">
    <vt:lpwstr/>
  </property>
  <property fmtid="{D5CDD505-2E9C-101B-9397-08002B2CF9AE}" pid="34" name="DM_emea_meeting_status">
    <vt:lpwstr/>
  </property>
  <property fmtid="{D5CDD505-2E9C-101B-9397-08002B2CF9AE}" pid="35" name="DM_emea_meeting_action">
    <vt:lpwstr/>
  </property>
  <property fmtid="{D5CDD505-2E9C-101B-9397-08002B2CF9AE}" pid="36" name="DM_emea_meeting_hyperlink">
    <vt:lpwstr/>
  </property>
  <property fmtid="{D5CDD505-2E9C-101B-9397-08002B2CF9AE}" pid="37" name="DM_emea_meeting_title">
    <vt:lpwstr/>
  </property>
  <property fmtid="{D5CDD505-2E9C-101B-9397-08002B2CF9AE}" pid="38" name="DM_emea_meeting_ref">
    <vt:lpwstr/>
  </property>
  <property fmtid="{D5CDD505-2E9C-101B-9397-08002B2CF9AE}" pid="39" name="DM_emea_meeting_flags">
    <vt:lpwstr/>
  </property>
  <property fmtid="{D5CDD505-2E9C-101B-9397-08002B2CF9AE}" pid="40" name="DM_emea_module">
    <vt:lpwstr/>
  </property>
  <property fmtid="{D5CDD505-2E9C-101B-9397-08002B2CF9AE}" pid="41" name="DM_emea_procedure_ref">
    <vt:lpwstr>EMEA/H/REF/998</vt:lpwstr>
  </property>
  <property fmtid="{D5CDD505-2E9C-101B-9397-08002B2CF9AE}" pid="42" name="DM_emea_domain">
    <vt:lpwstr>H</vt:lpwstr>
  </property>
  <property fmtid="{D5CDD505-2E9C-101B-9397-08002B2CF9AE}" pid="43" name="DM_emea_procedure">
    <vt:lpwstr>REF</vt:lpwstr>
  </property>
  <property fmtid="{D5CDD505-2E9C-101B-9397-08002B2CF9AE}" pid="44" name="DM_emea_procedure_type">
    <vt:lpwstr/>
  </property>
  <property fmtid="{D5CDD505-2E9C-101B-9397-08002B2CF9AE}" pid="45" name="DM_emea_procedure_number">
    <vt:lpwstr/>
  </property>
  <property fmtid="{D5CDD505-2E9C-101B-9397-08002B2CF9AE}" pid="46" name="DM_emea_product_number">
    <vt:lpwstr>998</vt:lpwstr>
  </property>
  <property fmtid="{D5CDD505-2E9C-101B-9397-08002B2CF9AE}" pid="47" name="DM_emea_product_substance">
    <vt:lpwstr>Diovan</vt:lpwstr>
  </property>
  <property fmtid="{D5CDD505-2E9C-101B-9397-08002B2CF9AE}" pid="48" name="DM_emea_par_dist">
    <vt:lpwstr/>
  </property>
</Properties>
</file>