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E6" w:rsidRPr="00557284" w:rsidRDefault="001D29E6">
      <w:pPr>
        <w:widowControl w:val="0"/>
        <w:jc w:val="center"/>
        <w:rPr>
          <w:bCs/>
          <w:iCs/>
          <w:noProof/>
          <w:lang w:val="el-GR"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1D29E6" w:rsidRDefault="001D29E6">
      <w:pPr>
        <w:widowControl w:val="0"/>
        <w:jc w:val="center"/>
        <w:rPr>
          <w:bCs/>
          <w:iCs/>
          <w:noProof/>
        </w:rPr>
      </w:pPr>
    </w:p>
    <w:p w:rsidR="00733A7B" w:rsidRPr="00562175" w:rsidRDefault="00733A7B" w:rsidP="00733A7B">
      <w:pPr>
        <w:jc w:val="center"/>
        <w:rPr>
          <w:lang w:val="el-GR"/>
        </w:rPr>
      </w:pPr>
      <w:r w:rsidRPr="00562175">
        <w:rPr>
          <w:b/>
          <w:noProof/>
          <w:lang w:val="el-GR"/>
        </w:rPr>
        <w:t>ΠΕΡΙΛΗΨΗ ΤΩΝ ΧΑΡΑΚΤΗΡΙΣΤΙΚΩΝ ΤΟΥ ΠΡΟΪΟΝΤΟΣ</w:t>
      </w:r>
    </w:p>
    <w:p w:rsidR="001D29E6" w:rsidRPr="00562175" w:rsidRDefault="001D29E6">
      <w:pPr>
        <w:widowControl w:val="0"/>
        <w:rPr>
          <w:lang w:val="el-GR"/>
        </w:rPr>
      </w:pPr>
      <w:r w:rsidRPr="00562175">
        <w:rPr>
          <w:bCs/>
          <w:iCs/>
          <w:noProof/>
          <w:lang w:val="el-GR"/>
        </w:rPr>
        <w:br w:type="page"/>
      </w:r>
      <w:r w:rsidRPr="00562175">
        <w:rPr>
          <w:bCs/>
          <w:iCs/>
          <w:noProof/>
          <w:lang w:val="el-GR"/>
        </w:rPr>
        <w:lastRenderedPageBreak/>
        <w:t>1.</w:t>
      </w:r>
      <w:r w:rsidRPr="00562175">
        <w:rPr>
          <w:bCs/>
          <w:iCs/>
          <w:noProof/>
          <w:lang w:val="el-GR"/>
        </w:rPr>
        <w:tab/>
      </w:r>
      <w:r w:rsidR="00562175" w:rsidRPr="00562175">
        <w:rPr>
          <w:b/>
          <w:bCs/>
          <w:iCs/>
          <w:noProof/>
          <w:lang w:val="el-GR"/>
        </w:rPr>
        <w:t>ΟΝΟΜΑΣΙΑ ΤΟΥ ΦΑΡΜΑΚΕΥΤΙΚΟΥ ΠΡΟΪΟΝΤΟΣ</w:t>
      </w:r>
      <w:r w:rsidR="00562175" w:rsidRPr="00562175">
        <w:rPr>
          <w:bCs/>
          <w:iCs/>
          <w:noProof/>
          <w:lang w:val="el-GR"/>
        </w:rPr>
        <w:t xml:space="preserve"> </w:t>
      </w:r>
    </w:p>
    <w:p w:rsidR="001D29E6" w:rsidRPr="00562175" w:rsidRDefault="001D29E6">
      <w:pPr>
        <w:rPr>
          <w:iCs/>
          <w:lang w:val="el-GR"/>
        </w:rPr>
      </w:pPr>
    </w:p>
    <w:p w:rsidR="00B8607D" w:rsidRPr="00F8399B" w:rsidRDefault="00467714" w:rsidP="00E95B6A">
      <w:pPr>
        <w:outlineLvl w:val="0"/>
        <w:rPr>
          <w:noProof/>
          <w:lang w:val="el-GR"/>
        </w:rPr>
      </w:pPr>
      <w:r>
        <w:rPr>
          <w:noProof/>
        </w:rPr>
        <w:t>LECALCIF</w:t>
      </w:r>
      <w:r w:rsidR="00B8607D" w:rsidRPr="00F8399B">
        <w:rPr>
          <w:noProof/>
          <w:lang w:val="el-GR"/>
        </w:rPr>
        <w:t xml:space="preserve"> 25.000 </w:t>
      </w:r>
      <w:r w:rsidR="00456E90" w:rsidRPr="00456E90">
        <w:rPr>
          <w:noProof/>
          <w:lang w:val="el-GR"/>
        </w:rPr>
        <w:t>IU</w:t>
      </w:r>
      <w:r w:rsidR="00B8607D" w:rsidRPr="00F8399B">
        <w:rPr>
          <w:noProof/>
          <w:lang w:val="el-GR"/>
        </w:rPr>
        <w:t xml:space="preserve">, </w:t>
      </w:r>
      <w:r w:rsidR="00F8399B">
        <w:rPr>
          <w:noProof/>
          <w:lang w:val="el-GR"/>
        </w:rPr>
        <w:t xml:space="preserve">πόσιμο διάλυμα </w:t>
      </w:r>
    </w:p>
    <w:p w:rsidR="001D29E6" w:rsidRPr="001D1577" w:rsidRDefault="00467714">
      <w:pPr>
        <w:rPr>
          <w:lang w:val="el-GR"/>
        </w:rPr>
      </w:pPr>
      <w:r>
        <w:rPr>
          <w:noProof/>
        </w:rPr>
        <w:t>LECALCIF</w:t>
      </w:r>
      <w:r w:rsidR="001D1577" w:rsidRPr="001D1577">
        <w:rPr>
          <w:noProof/>
          <w:lang w:val="el-GR"/>
        </w:rPr>
        <w:t xml:space="preserve"> 100.000 </w:t>
      </w:r>
      <w:r w:rsidR="00456E90" w:rsidRPr="00456E90">
        <w:rPr>
          <w:noProof/>
          <w:lang w:val="el-GR"/>
        </w:rPr>
        <w:t>IU</w:t>
      </w:r>
      <w:r w:rsidR="00F8399B" w:rsidRPr="001D1577">
        <w:rPr>
          <w:noProof/>
          <w:lang w:val="el-GR"/>
        </w:rPr>
        <w:t xml:space="preserve">, </w:t>
      </w:r>
      <w:r w:rsidR="00F8399B">
        <w:rPr>
          <w:noProof/>
          <w:lang w:val="el-GR"/>
        </w:rPr>
        <w:t>πόσιμο</w:t>
      </w:r>
      <w:r w:rsidR="00F8399B" w:rsidRPr="001D1577">
        <w:rPr>
          <w:noProof/>
          <w:lang w:val="el-GR"/>
        </w:rPr>
        <w:t xml:space="preserve"> </w:t>
      </w:r>
      <w:r w:rsidR="00F8399B">
        <w:rPr>
          <w:noProof/>
          <w:lang w:val="el-GR"/>
        </w:rPr>
        <w:t>διάλυμα</w:t>
      </w:r>
    </w:p>
    <w:p w:rsidR="001D29E6" w:rsidRPr="001D1577" w:rsidRDefault="001D29E6">
      <w:pPr>
        <w:widowControl w:val="0"/>
        <w:rPr>
          <w:b/>
          <w:lang w:val="el-GR"/>
        </w:rPr>
      </w:pPr>
    </w:p>
    <w:p w:rsidR="00B8607D" w:rsidRPr="001D1577" w:rsidRDefault="00B8607D">
      <w:pPr>
        <w:widowControl w:val="0"/>
        <w:rPr>
          <w:b/>
          <w:lang w:val="el-GR"/>
        </w:rPr>
      </w:pPr>
    </w:p>
    <w:p w:rsidR="001D29E6" w:rsidRPr="006228DA" w:rsidRDefault="001D29E6" w:rsidP="00E95B6A">
      <w:pPr>
        <w:widowControl w:val="0"/>
        <w:outlineLvl w:val="0"/>
        <w:rPr>
          <w:lang w:val="el-GR"/>
        </w:rPr>
      </w:pPr>
      <w:r w:rsidRPr="001D1577">
        <w:rPr>
          <w:b/>
          <w:lang w:val="el-GR"/>
        </w:rPr>
        <w:t>2.</w:t>
      </w:r>
      <w:r w:rsidRPr="001D1577">
        <w:rPr>
          <w:b/>
          <w:lang w:val="el-GR"/>
        </w:rPr>
        <w:tab/>
      </w:r>
      <w:r w:rsidR="006228DA" w:rsidRPr="001D1577">
        <w:rPr>
          <w:b/>
          <w:lang w:val="el-GR"/>
        </w:rPr>
        <w:t>ΠΟΙΟΤΙΚΗ ΚΑΙ ΠΟΣΟΤΙΚΗ ΣΥΝΘΕΣΗ</w:t>
      </w:r>
    </w:p>
    <w:p w:rsidR="001D29E6" w:rsidRPr="001D1577" w:rsidRDefault="001D29E6">
      <w:pPr>
        <w:rPr>
          <w:lang w:val="el-GR"/>
        </w:rPr>
      </w:pPr>
    </w:p>
    <w:p w:rsidR="00B8607D" w:rsidRPr="001D1577" w:rsidRDefault="00467714" w:rsidP="00E95B6A">
      <w:pPr>
        <w:outlineLvl w:val="0"/>
        <w:rPr>
          <w:lang w:val="el-GR"/>
        </w:rPr>
      </w:pPr>
      <w:r>
        <w:t>LECALCIF</w:t>
      </w:r>
      <w:r w:rsidR="00B8607D" w:rsidRPr="001D1577">
        <w:rPr>
          <w:lang w:val="el-GR"/>
        </w:rPr>
        <w:t xml:space="preserve"> 25.000 </w:t>
      </w:r>
      <w:r w:rsidR="00456E90" w:rsidRPr="00456E90">
        <w:rPr>
          <w:lang w:val="el-GR"/>
        </w:rPr>
        <w:t>IU</w:t>
      </w:r>
      <w:r w:rsidR="00B8607D" w:rsidRPr="001D1577">
        <w:rPr>
          <w:lang w:val="el-GR"/>
        </w:rPr>
        <w:t>:</w:t>
      </w:r>
    </w:p>
    <w:p w:rsidR="00B8607D" w:rsidRPr="00807793" w:rsidRDefault="00B8607D" w:rsidP="00B8607D">
      <w:pPr>
        <w:rPr>
          <w:lang w:val="el-GR"/>
        </w:rPr>
      </w:pPr>
      <w:r w:rsidRPr="00807793">
        <w:rPr>
          <w:lang w:val="el-GR"/>
        </w:rPr>
        <w:t xml:space="preserve">1 </w:t>
      </w:r>
      <w:r w:rsidRPr="00B8607D">
        <w:rPr>
          <w:lang w:val="en-US"/>
        </w:rPr>
        <w:t>ml</w:t>
      </w:r>
      <w:r w:rsidRPr="00807793">
        <w:rPr>
          <w:lang w:val="el-GR"/>
        </w:rPr>
        <w:t xml:space="preserve"> </w:t>
      </w:r>
      <w:r w:rsidR="00807793">
        <w:rPr>
          <w:lang w:val="el-GR"/>
        </w:rPr>
        <w:t>διαλύματος</w:t>
      </w:r>
      <w:r w:rsidRPr="00807793">
        <w:rPr>
          <w:lang w:val="el-GR"/>
        </w:rPr>
        <w:t xml:space="preserve"> (1 </w:t>
      </w:r>
      <w:r w:rsidR="00705752">
        <w:rPr>
          <w:lang w:val="el-GR"/>
        </w:rPr>
        <w:t>φύσιγγα</w:t>
      </w:r>
      <w:r w:rsidRPr="00807793">
        <w:rPr>
          <w:lang w:val="el-GR"/>
        </w:rPr>
        <w:t>)</w:t>
      </w:r>
      <w:r w:rsidR="00807793" w:rsidRPr="00807793">
        <w:rPr>
          <w:lang w:val="el-GR"/>
        </w:rPr>
        <w:t xml:space="preserve"> </w:t>
      </w:r>
      <w:r w:rsidR="00807793">
        <w:rPr>
          <w:lang w:val="el-GR"/>
        </w:rPr>
        <w:t>περιέχει</w:t>
      </w:r>
      <w:r w:rsidR="00807793" w:rsidRPr="00807793">
        <w:rPr>
          <w:lang w:val="el-GR"/>
        </w:rPr>
        <w:t xml:space="preserve"> </w:t>
      </w:r>
      <w:r w:rsidRPr="00807793">
        <w:rPr>
          <w:lang w:val="el-GR"/>
        </w:rPr>
        <w:t>0</w:t>
      </w:r>
      <w:r w:rsidR="00807793" w:rsidRPr="00807793">
        <w:rPr>
          <w:lang w:val="el-GR"/>
        </w:rPr>
        <w:t>,</w:t>
      </w:r>
      <w:r w:rsidRPr="00807793">
        <w:rPr>
          <w:lang w:val="el-GR"/>
        </w:rPr>
        <w:t xml:space="preserve">625 </w:t>
      </w:r>
      <w:r w:rsidRPr="00B8607D">
        <w:rPr>
          <w:lang w:val="en-US"/>
        </w:rPr>
        <w:t>mg</w:t>
      </w:r>
      <w:r w:rsidRPr="00807793">
        <w:rPr>
          <w:lang w:val="el-GR"/>
        </w:rPr>
        <w:t xml:space="preserve"> </w:t>
      </w:r>
      <w:r w:rsidR="00807793">
        <w:rPr>
          <w:lang w:val="el-GR"/>
        </w:rPr>
        <w:t>χοληκαλσιφερόλης</w:t>
      </w:r>
      <w:r w:rsidRPr="00807793">
        <w:rPr>
          <w:lang w:val="el-GR"/>
        </w:rPr>
        <w:t xml:space="preserve">, </w:t>
      </w:r>
      <w:r w:rsidR="00807793">
        <w:rPr>
          <w:lang w:val="el-GR"/>
        </w:rPr>
        <w:t xml:space="preserve">ισοδύναμη με </w:t>
      </w:r>
      <w:r w:rsidRPr="00807793">
        <w:rPr>
          <w:lang w:val="el-GR"/>
        </w:rPr>
        <w:t>25</w:t>
      </w:r>
      <w:r w:rsidR="00807793">
        <w:rPr>
          <w:lang w:val="el-GR"/>
        </w:rPr>
        <w:t>.</w:t>
      </w:r>
      <w:r w:rsidRPr="00807793">
        <w:rPr>
          <w:lang w:val="el-GR"/>
        </w:rPr>
        <w:t xml:space="preserve">000 </w:t>
      </w:r>
      <w:r w:rsidR="00456E90" w:rsidRPr="00456E90">
        <w:rPr>
          <w:lang w:val="el-GR"/>
        </w:rPr>
        <w:t>IU</w:t>
      </w:r>
      <w:r w:rsidRPr="00807793">
        <w:rPr>
          <w:lang w:val="el-GR"/>
        </w:rPr>
        <w:t xml:space="preserve"> </w:t>
      </w:r>
      <w:r w:rsidR="00807793">
        <w:rPr>
          <w:lang w:val="el-GR"/>
        </w:rPr>
        <w:t>βιταμίνης</w:t>
      </w:r>
      <w:r w:rsidRPr="00807793">
        <w:rPr>
          <w:lang w:val="el-GR"/>
        </w:rPr>
        <w:t xml:space="preserve"> </w:t>
      </w:r>
      <w:r w:rsidRPr="00B8607D">
        <w:rPr>
          <w:lang w:val="en-US"/>
        </w:rPr>
        <w:t>D</w:t>
      </w:r>
      <w:r w:rsidRPr="00807793">
        <w:rPr>
          <w:lang w:val="el-GR"/>
        </w:rPr>
        <w:t>.</w:t>
      </w:r>
    </w:p>
    <w:p w:rsidR="00B8607D" w:rsidRPr="00807793" w:rsidRDefault="00B8607D" w:rsidP="00B8607D">
      <w:pPr>
        <w:rPr>
          <w:lang w:val="el-GR"/>
        </w:rPr>
      </w:pPr>
    </w:p>
    <w:p w:rsidR="00B8607D" w:rsidRPr="001D1577" w:rsidRDefault="00467714" w:rsidP="00E95B6A">
      <w:pPr>
        <w:outlineLvl w:val="0"/>
        <w:rPr>
          <w:lang w:val="el-GR"/>
        </w:rPr>
      </w:pPr>
      <w:r>
        <w:rPr>
          <w:lang w:val="en-US"/>
        </w:rPr>
        <w:t>LECALCIF</w:t>
      </w:r>
      <w:r w:rsidR="00B8607D" w:rsidRPr="001D1577">
        <w:rPr>
          <w:lang w:val="el-GR"/>
        </w:rPr>
        <w:t xml:space="preserve"> 100.000 </w:t>
      </w:r>
      <w:r w:rsidR="001D1577">
        <w:rPr>
          <w:lang w:val="el-GR"/>
        </w:rPr>
        <w:t>ΔΜ</w:t>
      </w:r>
      <w:r w:rsidR="00B8607D" w:rsidRPr="001D1577">
        <w:rPr>
          <w:lang w:val="el-GR"/>
        </w:rPr>
        <w:t>:</w:t>
      </w:r>
    </w:p>
    <w:p w:rsidR="005F111A" w:rsidRPr="00633630" w:rsidRDefault="00B8607D">
      <w:pPr>
        <w:rPr>
          <w:lang w:val="el-GR"/>
        </w:rPr>
      </w:pPr>
      <w:r w:rsidRPr="00633630">
        <w:rPr>
          <w:lang w:val="el-GR"/>
        </w:rPr>
        <w:t xml:space="preserve">1 </w:t>
      </w:r>
      <w:r w:rsidRPr="00B8607D">
        <w:t>ml</w:t>
      </w:r>
      <w:r w:rsidRPr="00633630">
        <w:rPr>
          <w:lang w:val="el-GR"/>
        </w:rPr>
        <w:t xml:space="preserve"> </w:t>
      </w:r>
      <w:r w:rsidR="00633630">
        <w:rPr>
          <w:lang w:val="el-GR"/>
        </w:rPr>
        <w:t>διαλύματος</w:t>
      </w:r>
      <w:r w:rsidR="00633630" w:rsidRPr="00633630">
        <w:rPr>
          <w:lang w:val="el-GR"/>
        </w:rPr>
        <w:t xml:space="preserve"> (1 </w:t>
      </w:r>
      <w:r w:rsidR="00705752">
        <w:rPr>
          <w:lang w:val="el-GR"/>
        </w:rPr>
        <w:t>φύσιγγα</w:t>
      </w:r>
      <w:r w:rsidR="00633630" w:rsidRPr="00633630">
        <w:rPr>
          <w:lang w:val="el-GR"/>
        </w:rPr>
        <w:t xml:space="preserve">) </w:t>
      </w:r>
      <w:r w:rsidR="00633630">
        <w:rPr>
          <w:lang w:val="el-GR"/>
        </w:rPr>
        <w:t>περιέχει</w:t>
      </w:r>
      <w:r w:rsidR="00633630" w:rsidRPr="00633630">
        <w:rPr>
          <w:lang w:val="el-GR"/>
        </w:rPr>
        <w:t xml:space="preserve"> 2,</w:t>
      </w:r>
      <w:r w:rsidRPr="00633630">
        <w:rPr>
          <w:lang w:val="el-GR"/>
        </w:rPr>
        <w:t xml:space="preserve">5 </w:t>
      </w:r>
      <w:r w:rsidRPr="00B8607D">
        <w:t>mg</w:t>
      </w:r>
      <w:r w:rsidRPr="00633630">
        <w:rPr>
          <w:lang w:val="el-GR"/>
        </w:rPr>
        <w:t xml:space="preserve"> </w:t>
      </w:r>
      <w:r w:rsidR="00633630">
        <w:rPr>
          <w:lang w:val="el-GR"/>
        </w:rPr>
        <w:t>χοληκαλσιφερόλης</w:t>
      </w:r>
      <w:r w:rsidR="00633630" w:rsidRPr="00807793">
        <w:rPr>
          <w:lang w:val="el-GR"/>
        </w:rPr>
        <w:t xml:space="preserve">, </w:t>
      </w:r>
      <w:r w:rsidR="00633630">
        <w:rPr>
          <w:lang w:val="el-GR"/>
        </w:rPr>
        <w:t xml:space="preserve">ισοδύναμη με </w:t>
      </w:r>
      <w:r w:rsidRPr="00633630">
        <w:rPr>
          <w:lang w:val="el-GR"/>
        </w:rPr>
        <w:t xml:space="preserve">100.000 </w:t>
      </w:r>
      <w:r w:rsidR="00456E90" w:rsidRPr="00456E90">
        <w:rPr>
          <w:lang w:val="el-GR"/>
        </w:rPr>
        <w:t>IU</w:t>
      </w:r>
      <w:r w:rsidRPr="00633630">
        <w:rPr>
          <w:lang w:val="el-GR"/>
        </w:rPr>
        <w:t xml:space="preserve"> </w:t>
      </w:r>
      <w:r w:rsidR="00633630">
        <w:rPr>
          <w:lang w:val="el-GR"/>
        </w:rPr>
        <w:t xml:space="preserve">βιταμίνης </w:t>
      </w:r>
      <w:r w:rsidRPr="00633630">
        <w:rPr>
          <w:lang w:val="el-GR"/>
        </w:rPr>
        <w:t xml:space="preserve"> </w:t>
      </w:r>
      <w:r w:rsidRPr="00B8607D">
        <w:t>D</w:t>
      </w:r>
      <w:r w:rsidRPr="00633630">
        <w:rPr>
          <w:lang w:val="el-GR"/>
        </w:rPr>
        <w:t>.</w:t>
      </w:r>
    </w:p>
    <w:p w:rsidR="005F111A" w:rsidRPr="00633630" w:rsidRDefault="005F111A">
      <w:pPr>
        <w:rPr>
          <w:lang w:val="el-GR"/>
        </w:rPr>
      </w:pPr>
    </w:p>
    <w:p w:rsidR="00813750" w:rsidRPr="00813750" w:rsidRDefault="00813750" w:rsidP="00813750">
      <w:pPr>
        <w:rPr>
          <w:lang w:val="el-GR"/>
        </w:rPr>
      </w:pPr>
      <w:r w:rsidRPr="00813750">
        <w:rPr>
          <w:lang w:val="el-GR"/>
        </w:rPr>
        <w:t>Για τον πλήρη κατάλογο των εκδόχων, βλ. παράγραφο 6.1.</w:t>
      </w:r>
    </w:p>
    <w:p w:rsidR="001D29E6" w:rsidRPr="00813750" w:rsidRDefault="001D29E6">
      <w:pPr>
        <w:rPr>
          <w:lang w:val="el-GR"/>
        </w:rPr>
      </w:pPr>
    </w:p>
    <w:p w:rsidR="001D29E6" w:rsidRPr="00813750" w:rsidRDefault="001D29E6">
      <w:pPr>
        <w:rPr>
          <w:lang w:val="el-GR"/>
        </w:rPr>
      </w:pPr>
    </w:p>
    <w:p w:rsidR="001D29E6" w:rsidRDefault="001D29E6" w:rsidP="00B873F8">
      <w:pPr>
        <w:ind w:left="567" w:hanging="567"/>
        <w:outlineLvl w:val="0"/>
        <w:rPr>
          <w:b/>
          <w:lang w:val="el-GR"/>
        </w:rPr>
      </w:pPr>
      <w:r>
        <w:rPr>
          <w:b/>
        </w:rPr>
        <w:t>3.</w:t>
      </w:r>
      <w:r>
        <w:rPr>
          <w:b/>
        </w:rPr>
        <w:tab/>
      </w:r>
      <w:r w:rsidR="00B873F8" w:rsidRPr="00B873F8">
        <w:rPr>
          <w:b/>
        </w:rPr>
        <w:t xml:space="preserve">ΦΑΡΜΑΚΟΤΕΧΝΙΚΗ ΜΟΡΦΗ </w:t>
      </w:r>
    </w:p>
    <w:p w:rsidR="00B873F8" w:rsidRPr="00B873F8" w:rsidRDefault="00B873F8" w:rsidP="00B873F8">
      <w:pPr>
        <w:ind w:left="567" w:hanging="567"/>
        <w:outlineLvl w:val="0"/>
        <w:rPr>
          <w:lang w:val="el-GR"/>
        </w:rPr>
      </w:pPr>
    </w:p>
    <w:p w:rsidR="001D29E6" w:rsidRDefault="0028405A" w:rsidP="00E95B6A">
      <w:pPr>
        <w:outlineLvl w:val="0"/>
      </w:pPr>
      <w:r>
        <w:rPr>
          <w:noProof/>
          <w:lang w:val="el-GR"/>
        </w:rPr>
        <w:t>Πόσιμο</w:t>
      </w:r>
      <w:r w:rsidRPr="004C0576">
        <w:rPr>
          <w:noProof/>
          <w:lang w:val="en-US"/>
        </w:rPr>
        <w:t xml:space="preserve"> </w:t>
      </w:r>
      <w:r>
        <w:rPr>
          <w:noProof/>
          <w:lang w:val="el-GR"/>
        </w:rPr>
        <w:t>διάλυμα</w:t>
      </w:r>
      <w:r w:rsidRPr="004C0576">
        <w:rPr>
          <w:noProof/>
          <w:lang w:val="en-US"/>
        </w:rPr>
        <w:t xml:space="preserve"> </w:t>
      </w:r>
      <w:r w:rsidR="00B8607D" w:rsidDel="00B8607D">
        <w:t xml:space="preserve"> </w:t>
      </w:r>
    </w:p>
    <w:p w:rsidR="001D29E6" w:rsidRPr="00814E7E" w:rsidRDefault="004C0576">
      <w:pPr>
        <w:rPr>
          <w:lang w:val="el-GR"/>
        </w:rPr>
      </w:pPr>
      <w:r>
        <w:rPr>
          <w:lang w:val="el-GR"/>
        </w:rPr>
        <w:t>Διαυγές</w:t>
      </w:r>
      <w:r w:rsidR="00E95B6A" w:rsidRPr="00814E7E">
        <w:rPr>
          <w:lang w:val="el-GR"/>
        </w:rPr>
        <w:t xml:space="preserve">, </w:t>
      </w:r>
      <w:r>
        <w:rPr>
          <w:lang w:val="el-GR"/>
        </w:rPr>
        <w:t>ελαφρώς</w:t>
      </w:r>
      <w:r w:rsidRPr="00814E7E">
        <w:rPr>
          <w:lang w:val="el-GR"/>
        </w:rPr>
        <w:t xml:space="preserve"> </w:t>
      </w:r>
      <w:r>
        <w:rPr>
          <w:lang w:val="el-GR"/>
        </w:rPr>
        <w:t>κίτρινο</w:t>
      </w:r>
      <w:r w:rsidRPr="00814E7E">
        <w:rPr>
          <w:lang w:val="el-GR"/>
        </w:rPr>
        <w:t xml:space="preserve">, </w:t>
      </w:r>
      <w:r>
        <w:rPr>
          <w:lang w:val="el-GR"/>
        </w:rPr>
        <w:t>ελαιώδες</w:t>
      </w:r>
      <w:r w:rsidRPr="00814E7E">
        <w:rPr>
          <w:lang w:val="el-GR"/>
        </w:rPr>
        <w:t xml:space="preserve"> </w:t>
      </w:r>
      <w:r>
        <w:rPr>
          <w:lang w:val="el-GR"/>
        </w:rPr>
        <w:t>υγρό</w:t>
      </w:r>
      <w:r w:rsidRPr="00814E7E">
        <w:rPr>
          <w:lang w:val="el-GR"/>
        </w:rPr>
        <w:t xml:space="preserve"> </w:t>
      </w:r>
      <w:r>
        <w:rPr>
          <w:lang w:val="el-GR"/>
        </w:rPr>
        <w:t>με</w:t>
      </w:r>
      <w:r w:rsidRPr="00814E7E">
        <w:rPr>
          <w:lang w:val="el-GR"/>
        </w:rPr>
        <w:t xml:space="preserve"> </w:t>
      </w:r>
      <w:r w:rsidR="002116D6">
        <w:rPr>
          <w:lang w:val="el-GR"/>
        </w:rPr>
        <w:t>οσμή</w:t>
      </w:r>
      <w:r w:rsidR="002116D6" w:rsidRPr="00814E7E">
        <w:rPr>
          <w:lang w:val="el-GR"/>
        </w:rPr>
        <w:t xml:space="preserve"> </w:t>
      </w:r>
      <w:r w:rsidR="00814E7E">
        <w:rPr>
          <w:lang w:val="el-GR"/>
        </w:rPr>
        <w:t>πορτοκαλιού</w:t>
      </w:r>
    </w:p>
    <w:p w:rsidR="00E95B6A" w:rsidRPr="00814E7E" w:rsidRDefault="00E95B6A">
      <w:pPr>
        <w:rPr>
          <w:lang w:val="el-GR"/>
        </w:rPr>
      </w:pPr>
    </w:p>
    <w:p w:rsidR="001D29E6" w:rsidRDefault="001D29E6" w:rsidP="00E95B6A">
      <w:pPr>
        <w:ind w:left="567" w:hanging="567"/>
        <w:outlineLvl w:val="0"/>
        <w:rPr>
          <w:caps/>
        </w:rPr>
      </w:pPr>
      <w:r>
        <w:rPr>
          <w:b/>
          <w:caps/>
        </w:rPr>
        <w:t>4.</w:t>
      </w:r>
      <w:r>
        <w:rPr>
          <w:b/>
          <w:caps/>
        </w:rPr>
        <w:tab/>
      </w:r>
      <w:r w:rsidR="002547F7" w:rsidRPr="002547F7">
        <w:rPr>
          <w:b/>
          <w:caps/>
        </w:rPr>
        <w:t xml:space="preserve">ΚΛΙΝΙΚΕΣ ΠΛΗΡΟΦΟΡΙΕΣ </w:t>
      </w:r>
    </w:p>
    <w:p w:rsidR="001D29E6" w:rsidRDefault="001D29E6"/>
    <w:p w:rsidR="001D29E6" w:rsidRPr="00075D86" w:rsidRDefault="001D29E6">
      <w:pPr>
        <w:ind w:left="567" w:hanging="567"/>
        <w:rPr>
          <w:lang w:val="el-GR"/>
        </w:rPr>
      </w:pPr>
      <w:r>
        <w:rPr>
          <w:b/>
        </w:rPr>
        <w:t>4.1</w:t>
      </w:r>
      <w:r>
        <w:rPr>
          <w:b/>
        </w:rPr>
        <w:tab/>
      </w:r>
      <w:r w:rsidR="00075D86">
        <w:rPr>
          <w:b/>
          <w:lang w:val="el-GR"/>
        </w:rPr>
        <w:t>Θεραπευτικές ενδείξεις</w:t>
      </w:r>
    </w:p>
    <w:p w:rsidR="001D29E6" w:rsidRDefault="001D29E6"/>
    <w:p w:rsidR="003B5A7A" w:rsidRPr="00927339" w:rsidRDefault="00927339" w:rsidP="00E95B6A">
      <w:pPr>
        <w:numPr>
          <w:ilvl w:val="0"/>
          <w:numId w:val="39"/>
        </w:numPr>
        <w:rPr>
          <w:lang w:val="el-GR"/>
        </w:rPr>
      </w:pPr>
      <w:r>
        <w:rPr>
          <w:lang w:val="el-GR"/>
        </w:rPr>
        <w:t>Για</w:t>
      </w:r>
      <w:r w:rsidRPr="00927339">
        <w:rPr>
          <w:lang w:val="el-GR"/>
        </w:rPr>
        <w:t xml:space="preserve"> </w:t>
      </w:r>
      <w:r>
        <w:rPr>
          <w:lang w:val="el-GR"/>
        </w:rPr>
        <w:t>την</w:t>
      </w:r>
      <w:r w:rsidRPr="00927339">
        <w:rPr>
          <w:lang w:val="el-GR"/>
        </w:rPr>
        <w:t xml:space="preserve"> </w:t>
      </w:r>
      <w:r>
        <w:rPr>
          <w:lang w:val="el-GR"/>
        </w:rPr>
        <w:t>αρχική</w:t>
      </w:r>
      <w:r w:rsidRPr="00927339">
        <w:rPr>
          <w:lang w:val="el-GR"/>
        </w:rPr>
        <w:t xml:space="preserve"> </w:t>
      </w:r>
      <w:r>
        <w:rPr>
          <w:lang w:val="el-GR"/>
        </w:rPr>
        <w:t>θεραπεία</w:t>
      </w:r>
      <w:r w:rsidRPr="00927339">
        <w:rPr>
          <w:lang w:val="el-GR"/>
        </w:rPr>
        <w:t xml:space="preserve"> </w:t>
      </w:r>
      <w:r>
        <w:rPr>
          <w:lang w:val="el-GR"/>
        </w:rPr>
        <w:t>της</w:t>
      </w:r>
      <w:r w:rsidRPr="00927339">
        <w:rPr>
          <w:lang w:val="el-GR"/>
        </w:rPr>
        <w:t xml:space="preserve"> </w:t>
      </w:r>
      <w:r>
        <w:rPr>
          <w:lang w:val="el-GR"/>
        </w:rPr>
        <w:t>ανεπάρκειας</w:t>
      </w:r>
      <w:r w:rsidRPr="00927339">
        <w:rPr>
          <w:lang w:val="el-GR"/>
        </w:rPr>
        <w:t xml:space="preserve"> </w:t>
      </w:r>
      <w:r>
        <w:rPr>
          <w:lang w:val="el-GR"/>
        </w:rPr>
        <w:t>βιταμίνης</w:t>
      </w:r>
      <w:r w:rsidRPr="00927339">
        <w:rPr>
          <w:lang w:val="el-GR"/>
        </w:rPr>
        <w:t xml:space="preserve"> </w:t>
      </w:r>
      <w:r>
        <w:rPr>
          <w:lang w:val="en-US"/>
        </w:rPr>
        <w:t>D</w:t>
      </w:r>
      <w:r w:rsidRPr="00927339">
        <w:rPr>
          <w:lang w:val="el-GR"/>
        </w:rPr>
        <w:t>.</w:t>
      </w:r>
    </w:p>
    <w:p w:rsidR="003B5A7A" w:rsidRPr="00927339" w:rsidRDefault="003B5A7A" w:rsidP="00D93D68">
      <w:pPr>
        <w:ind w:left="360"/>
        <w:rPr>
          <w:lang w:val="el-GR"/>
        </w:rPr>
      </w:pPr>
    </w:p>
    <w:p w:rsidR="00B8607D" w:rsidRPr="00927339" w:rsidRDefault="00B8607D">
      <w:pPr>
        <w:rPr>
          <w:lang w:val="el-GR"/>
        </w:rPr>
      </w:pPr>
    </w:p>
    <w:p w:rsidR="001D29E6" w:rsidRPr="00734094" w:rsidRDefault="001D29E6">
      <w:pPr>
        <w:ind w:left="567" w:hanging="567"/>
        <w:rPr>
          <w:b/>
          <w:lang w:val="el-GR"/>
        </w:rPr>
      </w:pPr>
      <w:r w:rsidRPr="00734094">
        <w:rPr>
          <w:b/>
          <w:lang w:val="el-GR"/>
        </w:rPr>
        <w:t>4.2</w:t>
      </w:r>
      <w:r w:rsidRPr="00734094">
        <w:rPr>
          <w:b/>
          <w:lang w:val="el-GR"/>
        </w:rPr>
        <w:tab/>
      </w:r>
      <w:r w:rsidR="00047553" w:rsidRPr="00734094">
        <w:rPr>
          <w:b/>
          <w:lang w:val="el-GR"/>
        </w:rPr>
        <w:t xml:space="preserve">Δοσολογία και </w:t>
      </w:r>
      <w:r w:rsidR="001D1577" w:rsidRPr="00734094">
        <w:rPr>
          <w:b/>
          <w:lang w:val="el-GR"/>
        </w:rPr>
        <w:t>τρόπος χορήγησης</w:t>
      </w:r>
      <w:r w:rsidR="00047553" w:rsidRPr="00734094">
        <w:rPr>
          <w:b/>
          <w:lang w:val="el-GR"/>
        </w:rPr>
        <w:t xml:space="preserve"> </w:t>
      </w:r>
    </w:p>
    <w:p w:rsidR="001D29E6" w:rsidRDefault="001D29E6">
      <w:pPr>
        <w:ind w:left="567" w:hanging="567"/>
      </w:pPr>
    </w:p>
    <w:p w:rsidR="00C53ACC" w:rsidRPr="00501943" w:rsidRDefault="00047553" w:rsidP="00E95B6A">
      <w:pPr>
        <w:tabs>
          <w:tab w:val="clear" w:pos="567"/>
        </w:tabs>
        <w:spacing w:line="240" w:lineRule="auto"/>
        <w:outlineLvl w:val="0"/>
        <w:rPr>
          <w:szCs w:val="22"/>
          <w:u w:val="single"/>
          <w:lang w:val="en-US"/>
        </w:rPr>
      </w:pPr>
      <w:r w:rsidRPr="00047553">
        <w:rPr>
          <w:szCs w:val="22"/>
          <w:u w:val="single"/>
        </w:rPr>
        <w:t>Δοσολογία</w:t>
      </w:r>
    </w:p>
    <w:p w:rsidR="00C53ACC" w:rsidRPr="00B8607D" w:rsidRDefault="00C53ACC" w:rsidP="00C53ACC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:rsidR="003B5A7A" w:rsidRPr="000C2B06" w:rsidRDefault="00501943" w:rsidP="003B5A7A">
      <w:pPr>
        <w:rPr>
          <w:lang w:val="el-GR"/>
        </w:rPr>
      </w:pPr>
      <w:r w:rsidRPr="000C2B06">
        <w:rPr>
          <w:bCs/>
          <w:iCs/>
          <w:szCs w:val="22"/>
          <w:lang w:val="el-GR"/>
        </w:rPr>
        <w:t xml:space="preserve">Η δόση θα πρέπει να εξατομικεύεται από τον θεράποντα ιατρό. </w:t>
      </w:r>
      <w:r w:rsidR="00E95B6A" w:rsidRPr="000C2B06">
        <w:rPr>
          <w:bCs/>
          <w:iCs/>
          <w:szCs w:val="22"/>
          <w:lang w:val="el-GR"/>
        </w:rPr>
        <w:t xml:space="preserve"> </w:t>
      </w:r>
    </w:p>
    <w:p w:rsidR="003B5A7A" w:rsidRDefault="00C80E09" w:rsidP="003B5A7A">
      <w:pPr>
        <w:rPr>
          <w:lang w:val="el-GR"/>
        </w:rPr>
      </w:pPr>
      <w:r w:rsidRPr="000C2B06">
        <w:rPr>
          <w:lang w:val="el-GR"/>
        </w:rPr>
        <w:t xml:space="preserve">Για την αρχική θεραπεία της ανεπάρκειας βιταμίνης </w:t>
      </w:r>
      <w:r w:rsidRPr="000C2B06">
        <w:rPr>
          <w:lang w:val="en-US"/>
        </w:rPr>
        <w:t>D</w:t>
      </w:r>
      <w:r w:rsidRPr="000C2B06">
        <w:rPr>
          <w:lang w:val="el-GR"/>
        </w:rPr>
        <w:t xml:space="preserve"> και υπό ιατρική επίβλεψη συνιστάται εφάπαξ </w:t>
      </w:r>
      <w:r w:rsidR="00734094" w:rsidRPr="000C2B06">
        <w:rPr>
          <w:lang w:val="el-GR"/>
        </w:rPr>
        <w:t>χορήγηση</w:t>
      </w:r>
      <w:r w:rsidRPr="000C2B06">
        <w:rPr>
          <w:lang w:val="el-GR"/>
        </w:rPr>
        <w:t xml:space="preserve"> μιας συνολικής δόσης 100.000 </w:t>
      </w:r>
      <w:r w:rsidR="00057A46" w:rsidRPr="00057A46">
        <w:rPr>
          <w:lang w:val="el-GR"/>
        </w:rPr>
        <w:t>IU</w:t>
      </w:r>
      <w:r w:rsidRPr="000C2B06">
        <w:rPr>
          <w:lang w:val="el-GR"/>
        </w:rPr>
        <w:t xml:space="preserve"> στη διάρκεια 1 εβδομάδας. </w:t>
      </w:r>
    </w:p>
    <w:p w:rsidR="000C2B06" w:rsidRPr="00C80E09" w:rsidRDefault="000C2B06" w:rsidP="003B5A7A">
      <w:pPr>
        <w:rPr>
          <w:lang w:val="el-GR"/>
        </w:rPr>
      </w:pPr>
    </w:p>
    <w:p w:rsidR="00B8485C" w:rsidRPr="002770F5" w:rsidRDefault="00B8485C" w:rsidP="00B8485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5946D8">
        <w:rPr>
          <w:noProof/>
          <w:lang w:val="el-GR"/>
        </w:rPr>
        <w:t xml:space="preserve">1 </w:t>
      </w:r>
      <w:r w:rsidR="00883DB7">
        <w:rPr>
          <w:noProof/>
          <w:lang w:val="el-GR"/>
        </w:rPr>
        <w:t>φύσιγγα</w:t>
      </w:r>
      <w:r w:rsidRPr="005946D8">
        <w:rPr>
          <w:noProof/>
          <w:lang w:val="el-GR"/>
        </w:rPr>
        <w:t xml:space="preserve"> </w:t>
      </w:r>
      <w:r w:rsidR="00467714">
        <w:rPr>
          <w:noProof/>
          <w:lang w:val="en-US"/>
        </w:rPr>
        <w:t>LECALCIF</w:t>
      </w:r>
      <w:r w:rsidRPr="005946D8">
        <w:rPr>
          <w:noProof/>
          <w:lang w:val="el-GR"/>
        </w:rPr>
        <w:t xml:space="preserve"> 100.000 </w:t>
      </w:r>
      <w:r w:rsidR="00057A46" w:rsidRPr="00057A46">
        <w:rPr>
          <w:noProof/>
          <w:lang w:val="el-GR"/>
        </w:rPr>
        <w:t>IU</w:t>
      </w:r>
      <w:r w:rsidRPr="005946D8">
        <w:rPr>
          <w:noProof/>
          <w:lang w:val="el-GR"/>
        </w:rPr>
        <w:t xml:space="preserve"> </w:t>
      </w:r>
      <w:r>
        <w:rPr>
          <w:noProof/>
          <w:lang w:val="el-GR"/>
        </w:rPr>
        <w:t>μπορεί</w:t>
      </w:r>
      <w:r w:rsidRPr="005946D8">
        <w:rPr>
          <w:noProof/>
          <w:lang w:val="el-GR"/>
        </w:rPr>
        <w:t xml:space="preserve"> </w:t>
      </w:r>
      <w:r>
        <w:rPr>
          <w:noProof/>
          <w:lang w:val="el-GR"/>
        </w:rPr>
        <w:t>να</w:t>
      </w:r>
      <w:r w:rsidRPr="005946D8">
        <w:rPr>
          <w:noProof/>
          <w:lang w:val="el-GR"/>
        </w:rPr>
        <w:t xml:space="preserve"> </w:t>
      </w:r>
      <w:r>
        <w:rPr>
          <w:noProof/>
          <w:lang w:val="el-GR"/>
        </w:rPr>
        <w:t>δοθεί</w:t>
      </w:r>
      <w:r w:rsidRPr="005946D8">
        <w:rPr>
          <w:noProof/>
          <w:lang w:val="el-GR"/>
        </w:rPr>
        <w:t xml:space="preserve"> </w:t>
      </w:r>
      <w:r>
        <w:rPr>
          <w:noProof/>
          <w:lang w:val="el-GR"/>
        </w:rPr>
        <w:t>ως</w:t>
      </w:r>
      <w:r w:rsidRPr="005946D8">
        <w:rPr>
          <w:noProof/>
          <w:lang w:val="el-GR"/>
        </w:rPr>
        <w:t xml:space="preserve"> </w:t>
      </w:r>
      <w:r>
        <w:rPr>
          <w:noProof/>
          <w:lang w:val="el-GR"/>
        </w:rPr>
        <w:t>εφάπαξ</w:t>
      </w:r>
      <w:r w:rsidRPr="005946D8">
        <w:rPr>
          <w:noProof/>
          <w:lang w:val="el-GR"/>
        </w:rPr>
        <w:t xml:space="preserve"> </w:t>
      </w:r>
      <w:r>
        <w:rPr>
          <w:noProof/>
          <w:lang w:val="el-GR"/>
        </w:rPr>
        <w:t>δόση</w:t>
      </w:r>
      <w:r w:rsidRPr="005946D8">
        <w:rPr>
          <w:noProof/>
          <w:lang w:val="el-GR"/>
        </w:rPr>
        <w:t xml:space="preserve"> </w:t>
      </w:r>
      <w:r>
        <w:rPr>
          <w:noProof/>
          <w:lang w:val="el-GR"/>
        </w:rPr>
        <w:t>εβδομαδιαίως ή</w:t>
      </w:r>
      <w:r w:rsidRPr="005946D8">
        <w:rPr>
          <w:noProof/>
          <w:lang w:val="el-GR"/>
        </w:rPr>
        <w:t xml:space="preserve"> 4 </w:t>
      </w:r>
      <w:r w:rsidR="0055770E">
        <w:rPr>
          <w:noProof/>
          <w:lang w:val="el-GR"/>
        </w:rPr>
        <w:t>φύσιγγες</w:t>
      </w:r>
      <w:r>
        <w:rPr>
          <w:noProof/>
          <w:lang w:val="el-GR"/>
        </w:rPr>
        <w:t xml:space="preserve"> </w:t>
      </w:r>
      <w:r w:rsidR="00467714">
        <w:rPr>
          <w:noProof/>
        </w:rPr>
        <w:t>LECALCIF</w:t>
      </w:r>
      <w:r w:rsidRPr="005946D8">
        <w:rPr>
          <w:noProof/>
          <w:lang w:val="el-GR"/>
        </w:rPr>
        <w:t xml:space="preserve"> 25.000 </w:t>
      </w:r>
      <w:r w:rsidR="00057A46" w:rsidRPr="00057A46">
        <w:rPr>
          <w:noProof/>
          <w:lang w:val="el-GR"/>
        </w:rPr>
        <w:t>IU</w:t>
      </w:r>
      <w:r w:rsidRPr="005946D8">
        <w:rPr>
          <w:noProof/>
          <w:lang w:val="el-GR"/>
        </w:rPr>
        <w:t xml:space="preserve"> </w:t>
      </w:r>
      <w:r>
        <w:rPr>
          <w:noProof/>
          <w:lang w:val="el-GR"/>
        </w:rPr>
        <w:t>εβδομαδιαίως</w:t>
      </w:r>
      <w:r w:rsidRPr="005946D8">
        <w:rPr>
          <w:noProof/>
          <w:lang w:val="el-GR"/>
        </w:rPr>
        <w:t xml:space="preserve"> </w:t>
      </w:r>
      <w:r w:rsidRPr="002770F5">
        <w:rPr>
          <w:noProof/>
          <w:lang w:val="el-GR"/>
        </w:rPr>
        <w:t xml:space="preserve">(100.000 </w:t>
      </w:r>
      <w:r w:rsidR="00840687" w:rsidRPr="00840687">
        <w:rPr>
          <w:noProof/>
          <w:lang w:val="el-GR"/>
        </w:rPr>
        <w:t>IU</w:t>
      </w:r>
      <w:r w:rsidR="00CD0D0C">
        <w:rPr>
          <w:noProof/>
          <w:lang w:val="el-GR"/>
        </w:rPr>
        <w:t xml:space="preserve"> βλ</w:t>
      </w:r>
      <w:r w:rsidR="000C2B06">
        <w:rPr>
          <w:noProof/>
          <w:lang w:val="el-GR"/>
        </w:rPr>
        <w:t>.</w:t>
      </w:r>
      <w:r w:rsidR="00CD0D0C">
        <w:rPr>
          <w:noProof/>
          <w:lang w:val="el-GR"/>
        </w:rPr>
        <w:t xml:space="preserve"> παράγραφο 4.4</w:t>
      </w:r>
      <w:r w:rsidRPr="002770F5">
        <w:rPr>
          <w:noProof/>
          <w:lang w:val="el-GR"/>
        </w:rPr>
        <w:t>).</w:t>
      </w:r>
      <w:r>
        <w:rPr>
          <w:noProof/>
          <w:lang w:val="el-GR"/>
        </w:rPr>
        <w:t xml:space="preserve"> </w:t>
      </w:r>
    </w:p>
    <w:p w:rsidR="003B5A7A" w:rsidRPr="00883DB7" w:rsidRDefault="003B5A7A" w:rsidP="003B5A7A">
      <w:pPr>
        <w:rPr>
          <w:lang w:val="el-GR"/>
        </w:rPr>
      </w:pPr>
    </w:p>
    <w:p w:rsidR="003B5A7A" w:rsidRPr="00BF4633" w:rsidRDefault="00081868" w:rsidP="00A53DCA">
      <w:pPr>
        <w:jc w:val="both"/>
        <w:rPr>
          <w:lang w:val="el-GR"/>
        </w:rPr>
      </w:pPr>
      <w:r>
        <w:rPr>
          <w:lang w:val="el-GR"/>
        </w:rPr>
        <w:t>Η απόφαση για ε</w:t>
      </w:r>
      <w:r w:rsidR="00CD0D0C">
        <w:rPr>
          <w:lang w:val="el-GR"/>
        </w:rPr>
        <w:t>πιπρόσθετη</w:t>
      </w:r>
      <w:r w:rsidR="00CD0D0C" w:rsidRPr="00081868">
        <w:rPr>
          <w:lang w:val="el-GR"/>
        </w:rPr>
        <w:t xml:space="preserve"> </w:t>
      </w:r>
      <w:r w:rsidR="00CD0D0C">
        <w:rPr>
          <w:lang w:val="el-GR"/>
        </w:rPr>
        <w:t>αναγκαία</w:t>
      </w:r>
      <w:r w:rsidR="00CD0D0C" w:rsidRPr="00081868">
        <w:rPr>
          <w:lang w:val="el-GR"/>
        </w:rPr>
        <w:t xml:space="preserve"> </w:t>
      </w:r>
      <w:r w:rsidR="00CD0D0C">
        <w:rPr>
          <w:lang w:val="el-GR"/>
        </w:rPr>
        <w:t>θεραπεία</w:t>
      </w:r>
      <w:r w:rsidR="00CD0D0C" w:rsidRPr="00081868">
        <w:rPr>
          <w:lang w:val="el-GR"/>
        </w:rPr>
        <w:t xml:space="preserve"> </w:t>
      </w:r>
      <w:r w:rsidR="00CD0D0C">
        <w:rPr>
          <w:lang w:val="el-GR"/>
        </w:rPr>
        <w:t>με</w:t>
      </w:r>
      <w:r w:rsidR="00CD0D0C" w:rsidRPr="00081868">
        <w:rPr>
          <w:lang w:val="el-GR"/>
        </w:rPr>
        <w:t xml:space="preserve"> </w:t>
      </w:r>
      <w:r w:rsidR="00CD0D0C">
        <w:rPr>
          <w:lang w:val="el-GR"/>
        </w:rPr>
        <w:t>το</w:t>
      </w:r>
      <w:r w:rsidR="00CD0D0C" w:rsidRPr="00081868">
        <w:rPr>
          <w:lang w:val="el-GR"/>
        </w:rPr>
        <w:t xml:space="preserve"> </w:t>
      </w:r>
      <w:r w:rsidR="00467714">
        <w:t>LECALCIF</w:t>
      </w:r>
      <w:r w:rsidR="00CD0D0C" w:rsidRPr="00081868">
        <w:rPr>
          <w:lang w:val="el-GR"/>
        </w:rPr>
        <w:t xml:space="preserve"> </w:t>
      </w:r>
      <w:r>
        <w:rPr>
          <w:lang w:val="el-GR"/>
        </w:rPr>
        <w:t xml:space="preserve">πρέπει να λαμβάνεται </w:t>
      </w:r>
      <w:r w:rsidR="00CD0D0C">
        <w:rPr>
          <w:lang w:val="el-GR"/>
        </w:rPr>
        <w:t>από</w:t>
      </w:r>
      <w:r w:rsidR="00CD0D0C" w:rsidRPr="00081868">
        <w:rPr>
          <w:lang w:val="el-GR"/>
        </w:rPr>
        <w:t xml:space="preserve"> </w:t>
      </w:r>
      <w:r w:rsidR="00CD0D0C">
        <w:rPr>
          <w:lang w:val="el-GR"/>
        </w:rPr>
        <w:t>τον</w:t>
      </w:r>
      <w:r w:rsidR="00CD0D0C" w:rsidRPr="00081868">
        <w:rPr>
          <w:lang w:val="el-GR"/>
        </w:rPr>
        <w:t xml:space="preserve"> </w:t>
      </w:r>
      <w:r w:rsidR="00CD0D0C">
        <w:rPr>
          <w:lang w:val="el-GR"/>
        </w:rPr>
        <w:t>θεράποντα</w:t>
      </w:r>
      <w:r w:rsidR="00CD0D0C" w:rsidRPr="00081868">
        <w:rPr>
          <w:lang w:val="el-GR"/>
        </w:rPr>
        <w:t xml:space="preserve"> </w:t>
      </w:r>
      <w:r w:rsidR="00CD0D0C">
        <w:rPr>
          <w:lang w:val="el-GR"/>
        </w:rPr>
        <w:t>ιατρό</w:t>
      </w:r>
      <w:r w:rsidR="00CD0D0C" w:rsidRPr="00081868">
        <w:rPr>
          <w:lang w:val="el-GR"/>
        </w:rPr>
        <w:t xml:space="preserve">. </w:t>
      </w:r>
      <w:r w:rsidR="00CD0D0C">
        <w:rPr>
          <w:lang w:val="el-GR"/>
        </w:rPr>
        <w:t>Μετά</w:t>
      </w:r>
      <w:r w:rsidR="00CD0D0C" w:rsidRPr="00BD1991">
        <w:rPr>
          <w:lang w:val="el-GR"/>
        </w:rPr>
        <w:t xml:space="preserve"> </w:t>
      </w:r>
      <w:r w:rsidR="00CD0D0C">
        <w:rPr>
          <w:lang w:val="el-GR"/>
        </w:rPr>
        <w:t>την</w:t>
      </w:r>
      <w:r w:rsidR="00CD0D0C" w:rsidRPr="00BD1991">
        <w:rPr>
          <w:lang w:val="el-GR"/>
        </w:rPr>
        <w:t xml:space="preserve"> </w:t>
      </w:r>
      <w:r w:rsidR="00CD0D0C">
        <w:rPr>
          <w:lang w:val="el-GR"/>
        </w:rPr>
        <w:t>έναρξη</w:t>
      </w:r>
      <w:r w:rsidR="00CD0D0C" w:rsidRPr="00BD1991">
        <w:rPr>
          <w:lang w:val="el-GR"/>
        </w:rPr>
        <w:t xml:space="preserve"> </w:t>
      </w:r>
      <w:r w:rsidR="00CD0D0C">
        <w:rPr>
          <w:lang w:val="el-GR"/>
        </w:rPr>
        <w:t>της</w:t>
      </w:r>
      <w:r w:rsidR="00CD0D0C" w:rsidRPr="00BD1991">
        <w:rPr>
          <w:lang w:val="el-GR"/>
        </w:rPr>
        <w:t xml:space="preserve"> </w:t>
      </w:r>
      <w:r w:rsidR="00CD0D0C">
        <w:rPr>
          <w:lang w:val="el-GR"/>
        </w:rPr>
        <w:t>θεραπείας</w:t>
      </w:r>
      <w:r w:rsidR="00CD0D0C" w:rsidRPr="00BD1991">
        <w:rPr>
          <w:lang w:val="el-GR"/>
        </w:rPr>
        <w:t xml:space="preserve"> </w:t>
      </w:r>
      <w:r w:rsidR="00CD0D0C">
        <w:rPr>
          <w:lang w:val="el-GR"/>
        </w:rPr>
        <w:t>θα</w:t>
      </w:r>
      <w:r w:rsidR="00CD0D0C" w:rsidRPr="00BD1991">
        <w:rPr>
          <w:lang w:val="el-GR"/>
        </w:rPr>
        <w:t xml:space="preserve"> </w:t>
      </w:r>
      <w:r w:rsidR="00CD0D0C">
        <w:rPr>
          <w:lang w:val="el-GR"/>
        </w:rPr>
        <w:t>πρέπει</w:t>
      </w:r>
      <w:r w:rsidR="00CD0D0C" w:rsidRPr="00BD1991">
        <w:rPr>
          <w:lang w:val="el-GR"/>
        </w:rPr>
        <w:t xml:space="preserve"> </w:t>
      </w:r>
      <w:r w:rsidR="00CD0D0C">
        <w:rPr>
          <w:lang w:val="el-GR"/>
        </w:rPr>
        <w:t>να</w:t>
      </w:r>
      <w:r w:rsidR="00CD0D0C" w:rsidRPr="00BD1991">
        <w:rPr>
          <w:lang w:val="el-GR"/>
        </w:rPr>
        <w:t xml:space="preserve"> </w:t>
      </w:r>
      <w:r w:rsidR="00CD0D0C">
        <w:rPr>
          <w:lang w:val="el-GR"/>
        </w:rPr>
        <w:t>παρακολουθούνται</w:t>
      </w:r>
      <w:r w:rsidR="00CD0D0C" w:rsidRPr="00BD1991">
        <w:rPr>
          <w:lang w:val="el-GR"/>
        </w:rPr>
        <w:t xml:space="preserve"> </w:t>
      </w:r>
      <w:r w:rsidR="00CD0D0C">
        <w:rPr>
          <w:lang w:val="el-GR"/>
        </w:rPr>
        <w:t>τα</w:t>
      </w:r>
      <w:r w:rsidR="00CD0D0C" w:rsidRPr="00BD1991">
        <w:rPr>
          <w:lang w:val="el-GR"/>
        </w:rPr>
        <w:t xml:space="preserve"> </w:t>
      </w:r>
      <w:r w:rsidR="00CD0D0C">
        <w:rPr>
          <w:lang w:val="el-GR"/>
        </w:rPr>
        <w:t>επίπεδα</w:t>
      </w:r>
      <w:r w:rsidR="00CD0D0C" w:rsidRPr="00BD1991">
        <w:rPr>
          <w:lang w:val="el-GR"/>
        </w:rPr>
        <w:t xml:space="preserve"> </w:t>
      </w:r>
      <w:r w:rsidR="00CD0D0C">
        <w:rPr>
          <w:lang w:val="el-GR"/>
        </w:rPr>
        <w:t>της</w:t>
      </w:r>
      <w:r w:rsidR="00CD0D0C" w:rsidRPr="00BD1991">
        <w:rPr>
          <w:lang w:val="el-GR"/>
        </w:rPr>
        <w:t xml:space="preserve"> 25-</w:t>
      </w:r>
      <w:r w:rsidR="00CD0D0C">
        <w:rPr>
          <w:lang w:val="el-GR"/>
        </w:rPr>
        <w:t>υδροξυκαλσιφερόλης</w:t>
      </w:r>
      <w:r w:rsidR="00CD0D0C" w:rsidRPr="00BD1991">
        <w:rPr>
          <w:lang w:val="el-GR"/>
        </w:rPr>
        <w:t xml:space="preserve"> </w:t>
      </w:r>
      <w:r w:rsidR="00CD0D0C">
        <w:rPr>
          <w:lang w:val="el-GR"/>
        </w:rPr>
        <w:t>και</w:t>
      </w:r>
      <w:r w:rsidR="00CD0D0C" w:rsidRPr="00BD1991">
        <w:rPr>
          <w:lang w:val="el-GR"/>
        </w:rPr>
        <w:t xml:space="preserve"> </w:t>
      </w:r>
      <w:r w:rsidR="00CD0D0C">
        <w:rPr>
          <w:lang w:val="el-GR"/>
        </w:rPr>
        <w:t>του</w:t>
      </w:r>
      <w:r w:rsidR="00CD0D0C" w:rsidRPr="00BD1991">
        <w:rPr>
          <w:lang w:val="el-GR"/>
        </w:rPr>
        <w:t xml:space="preserve"> </w:t>
      </w:r>
      <w:r w:rsidR="00CD0D0C">
        <w:rPr>
          <w:lang w:val="el-GR"/>
        </w:rPr>
        <w:t>α</w:t>
      </w:r>
      <w:r w:rsidR="009D2B34">
        <w:rPr>
          <w:lang w:val="el-GR"/>
        </w:rPr>
        <w:t>σ</w:t>
      </w:r>
      <w:r w:rsidR="00CD0D0C">
        <w:rPr>
          <w:lang w:val="el-GR"/>
        </w:rPr>
        <w:t>βεστίου</w:t>
      </w:r>
      <w:r w:rsidR="00CD0D0C" w:rsidRPr="00BD1991">
        <w:rPr>
          <w:lang w:val="el-GR"/>
        </w:rPr>
        <w:t xml:space="preserve"> </w:t>
      </w:r>
      <w:r w:rsidR="00CD0D0C">
        <w:rPr>
          <w:lang w:val="el-GR"/>
        </w:rPr>
        <w:t>στον</w:t>
      </w:r>
      <w:r w:rsidR="00CD0D0C" w:rsidRPr="00BD1991">
        <w:rPr>
          <w:lang w:val="el-GR"/>
        </w:rPr>
        <w:t xml:space="preserve"> </w:t>
      </w:r>
      <w:r w:rsidR="00CD0D0C">
        <w:rPr>
          <w:lang w:val="el-GR"/>
        </w:rPr>
        <w:t>ορό</w:t>
      </w:r>
      <w:r w:rsidR="00CD0D0C" w:rsidRPr="00BD1991">
        <w:rPr>
          <w:lang w:val="el-GR"/>
        </w:rPr>
        <w:t xml:space="preserve"> </w:t>
      </w:r>
      <w:r w:rsidR="00CD0D0C">
        <w:rPr>
          <w:lang w:val="el-GR"/>
        </w:rPr>
        <w:t>του</w:t>
      </w:r>
      <w:r w:rsidR="00CD0D0C" w:rsidRPr="00BD1991">
        <w:rPr>
          <w:lang w:val="el-GR"/>
        </w:rPr>
        <w:t xml:space="preserve"> </w:t>
      </w:r>
      <w:r w:rsidR="00CD0D0C">
        <w:rPr>
          <w:lang w:val="el-GR"/>
        </w:rPr>
        <w:t>αίματος</w:t>
      </w:r>
      <w:r w:rsidR="00CD0D0C" w:rsidRPr="00BD1991">
        <w:rPr>
          <w:lang w:val="el-GR"/>
        </w:rPr>
        <w:t xml:space="preserve">. </w:t>
      </w:r>
      <w:r w:rsidR="00CD0D0C">
        <w:rPr>
          <w:lang w:val="el-GR"/>
        </w:rPr>
        <w:t>Η</w:t>
      </w:r>
      <w:r w:rsidR="00CD0D0C" w:rsidRPr="00CD0D0C">
        <w:rPr>
          <w:lang w:val="el-GR"/>
        </w:rPr>
        <w:t xml:space="preserve"> </w:t>
      </w:r>
      <w:r w:rsidR="00CD0D0C">
        <w:rPr>
          <w:lang w:val="el-GR"/>
        </w:rPr>
        <w:t>αναγκαιότητα</w:t>
      </w:r>
      <w:r w:rsidR="00CD0D0C" w:rsidRPr="00CD0D0C">
        <w:rPr>
          <w:lang w:val="el-GR"/>
        </w:rPr>
        <w:t xml:space="preserve"> </w:t>
      </w:r>
      <w:r w:rsidR="00CD0D0C">
        <w:rPr>
          <w:lang w:val="el-GR"/>
        </w:rPr>
        <w:t>για</w:t>
      </w:r>
      <w:r w:rsidR="00CD0D0C" w:rsidRPr="00CD0D0C">
        <w:rPr>
          <w:lang w:val="el-GR"/>
        </w:rPr>
        <w:t xml:space="preserve"> </w:t>
      </w:r>
      <w:r w:rsidR="00CD0D0C">
        <w:rPr>
          <w:lang w:val="el-GR"/>
        </w:rPr>
        <w:t>περαιτέρω</w:t>
      </w:r>
      <w:r w:rsidR="00CD0D0C" w:rsidRPr="00CD0D0C">
        <w:rPr>
          <w:lang w:val="el-GR"/>
        </w:rPr>
        <w:t xml:space="preserve"> </w:t>
      </w:r>
      <w:r w:rsidR="00CD0D0C">
        <w:rPr>
          <w:lang w:val="el-GR"/>
        </w:rPr>
        <w:t>παρακουλούθηση</w:t>
      </w:r>
      <w:r w:rsidR="00CD0D0C" w:rsidRPr="00CD0D0C">
        <w:rPr>
          <w:lang w:val="el-GR"/>
        </w:rPr>
        <w:t xml:space="preserve"> </w:t>
      </w:r>
      <w:r w:rsidR="00CD0D0C">
        <w:rPr>
          <w:lang w:val="el-GR"/>
        </w:rPr>
        <w:t>μπορεί</w:t>
      </w:r>
      <w:r w:rsidR="00CD0D0C" w:rsidRPr="00CD0D0C">
        <w:rPr>
          <w:lang w:val="el-GR"/>
        </w:rPr>
        <w:t xml:space="preserve"> </w:t>
      </w:r>
      <w:r w:rsidR="00CD0D0C">
        <w:rPr>
          <w:lang w:val="el-GR"/>
        </w:rPr>
        <w:t>να</w:t>
      </w:r>
      <w:r w:rsidR="00BD1991">
        <w:rPr>
          <w:lang w:val="el-GR"/>
        </w:rPr>
        <w:t xml:space="preserve"> </w:t>
      </w:r>
      <w:r w:rsidR="00CD0D0C">
        <w:rPr>
          <w:lang w:val="el-GR"/>
        </w:rPr>
        <w:t>εξατομικευτεί</w:t>
      </w:r>
      <w:r w:rsidR="00CD0D0C" w:rsidRPr="00CD0D0C">
        <w:rPr>
          <w:lang w:val="el-GR"/>
        </w:rPr>
        <w:t xml:space="preserve">, </w:t>
      </w:r>
      <w:r>
        <w:rPr>
          <w:lang w:val="el-GR"/>
        </w:rPr>
        <w:t>λαμβάνοντας υπόψη</w:t>
      </w:r>
      <w:r w:rsidR="00CD0D0C" w:rsidRPr="00CD0D0C">
        <w:rPr>
          <w:lang w:val="el-GR"/>
        </w:rPr>
        <w:t xml:space="preserve"> </w:t>
      </w:r>
      <w:r w:rsidR="00CD0D0C">
        <w:rPr>
          <w:lang w:val="el-GR"/>
        </w:rPr>
        <w:t>τη</w:t>
      </w:r>
      <w:r w:rsidR="00CD0D0C" w:rsidRPr="00CD0D0C">
        <w:rPr>
          <w:lang w:val="el-GR"/>
        </w:rPr>
        <w:t xml:space="preserve"> </w:t>
      </w:r>
      <w:r w:rsidR="00CD0D0C">
        <w:rPr>
          <w:lang w:val="el-GR"/>
        </w:rPr>
        <w:t>δόση</w:t>
      </w:r>
      <w:r w:rsidR="00CD0D0C" w:rsidRPr="00CD0D0C">
        <w:rPr>
          <w:lang w:val="el-GR"/>
        </w:rPr>
        <w:t xml:space="preserve"> </w:t>
      </w:r>
      <w:r>
        <w:rPr>
          <w:lang w:val="el-GR"/>
        </w:rPr>
        <w:t xml:space="preserve">που χορηγήθηκε </w:t>
      </w:r>
      <w:r w:rsidR="00CD0D0C">
        <w:rPr>
          <w:lang w:val="el-GR"/>
        </w:rPr>
        <w:t>και τις εξατομικευμένες ανάγκες του ασθενή. Η</w:t>
      </w:r>
      <w:r w:rsidR="00CD0D0C" w:rsidRPr="00CD0D0C">
        <w:rPr>
          <w:lang w:val="el-GR"/>
        </w:rPr>
        <w:t xml:space="preserve"> </w:t>
      </w:r>
      <w:r w:rsidR="00CD0D0C">
        <w:rPr>
          <w:lang w:val="el-GR"/>
        </w:rPr>
        <w:t>αρχική</w:t>
      </w:r>
      <w:r w:rsidR="00CD0D0C" w:rsidRPr="00CD0D0C">
        <w:rPr>
          <w:lang w:val="el-GR"/>
        </w:rPr>
        <w:t xml:space="preserve"> </w:t>
      </w:r>
      <w:r w:rsidR="00CD0D0C">
        <w:rPr>
          <w:lang w:val="el-GR"/>
        </w:rPr>
        <w:t>θεραπεία</w:t>
      </w:r>
      <w:r w:rsidR="00CD0D0C" w:rsidRPr="00CD0D0C">
        <w:rPr>
          <w:lang w:val="el-GR"/>
        </w:rPr>
        <w:t xml:space="preserve"> </w:t>
      </w:r>
      <w:r w:rsidR="00CD0D0C">
        <w:rPr>
          <w:lang w:val="el-GR"/>
        </w:rPr>
        <w:t>της</w:t>
      </w:r>
      <w:r w:rsidR="00CD0D0C" w:rsidRPr="00CD0D0C">
        <w:rPr>
          <w:lang w:val="el-GR"/>
        </w:rPr>
        <w:t xml:space="preserve"> </w:t>
      </w:r>
      <w:r w:rsidR="00CD0D0C">
        <w:rPr>
          <w:lang w:val="el-GR"/>
        </w:rPr>
        <w:t>ανεπάρκειας</w:t>
      </w:r>
      <w:r w:rsidR="00CD0D0C" w:rsidRPr="00CD0D0C">
        <w:rPr>
          <w:lang w:val="el-GR"/>
        </w:rPr>
        <w:t xml:space="preserve"> </w:t>
      </w:r>
      <w:r w:rsidR="00CD0D0C">
        <w:rPr>
          <w:lang w:val="el-GR"/>
        </w:rPr>
        <w:t>βιταμίνης</w:t>
      </w:r>
      <w:r w:rsidR="00CD0D0C" w:rsidRPr="00CD0D0C">
        <w:rPr>
          <w:lang w:val="el-GR"/>
        </w:rPr>
        <w:t xml:space="preserve"> </w:t>
      </w:r>
      <w:r w:rsidR="00CD0D0C">
        <w:rPr>
          <w:lang w:val="en-US"/>
        </w:rPr>
        <w:t>D</w:t>
      </w:r>
      <w:r w:rsidR="00CD0D0C" w:rsidRPr="00CD0D0C">
        <w:rPr>
          <w:lang w:val="el-GR"/>
        </w:rPr>
        <w:t xml:space="preserve"> </w:t>
      </w:r>
      <w:r w:rsidR="00CD0D0C">
        <w:rPr>
          <w:lang w:val="el-GR"/>
        </w:rPr>
        <w:t>θα</w:t>
      </w:r>
      <w:r w:rsidR="00CD0D0C" w:rsidRPr="00CD0D0C">
        <w:rPr>
          <w:lang w:val="el-GR"/>
        </w:rPr>
        <w:t xml:space="preserve"> </w:t>
      </w:r>
      <w:r w:rsidR="00CD0D0C">
        <w:rPr>
          <w:lang w:val="el-GR"/>
        </w:rPr>
        <w:t>πρέπει</w:t>
      </w:r>
      <w:r w:rsidR="00CD0D0C" w:rsidRPr="00CD0D0C">
        <w:rPr>
          <w:lang w:val="el-GR"/>
        </w:rPr>
        <w:t xml:space="preserve"> </w:t>
      </w:r>
      <w:r w:rsidR="00CD0D0C">
        <w:rPr>
          <w:lang w:val="el-GR"/>
        </w:rPr>
        <w:t>να</w:t>
      </w:r>
      <w:r w:rsidR="00CD0D0C" w:rsidRPr="00CD0D0C">
        <w:rPr>
          <w:lang w:val="el-GR"/>
        </w:rPr>
        <w:t xml:space="preserve"> </w:t>
      </w:r>
      <w:r w:rsidR="00CD0D0C">
        <w:rPr>
          <w:lang w:val="el-GR"/>
        </w:rPr>
        <w:t>ακολ</w:t>
      </w:r>
      <w:r w:rsidR="00BD1991">
        <w:rPr>
          <w:lang w:val="el-GR"/>
        </w:rPr>
        <w:t>ο</w:t>
      </w:r>
      <w:r w:rsidR="00CD0D0C">
        <w:rPr>
          <w:lang w:val="el-GR"/>
        </w:rPr>
        <w:t>υθείται</w:t>
      </w:r>
      <w:r w:rsidR="00CD0D0C" w:rsidRPr="00CD0D0C">
        <w:rPr>
          <w:lang w:val="el-GR"/>
        </w:rPr>
        <w:t xml:space="preserve"> </w:t>
      </w:r>
      <w:r w:rsidR="00CD0D0C">
        <w:rPr>
          <w:lang w:val="el-GR"/>
        </w:rPr>
        <w:t>από</w:t>
      </w:r>
      <w:r w:rsidR="00CD0D0C" w:rsidRPr="00CD0D0C">
        <w:rPr>
          <w:lang w:val="el-GR"/>
        </w:rPr>
        <w:t xml:space="preserve"> </w:t>
      </w:r>
      <w:r w:rsidR="00CD0D0C">
        <w:rPr>
          <w:lang w:val="el-GR"/>
        </w:rPr>
        <w:t>δόση συντήρησης χοληκαλσιφερόλης. Η</w:t>
      </w:r>
      <w:r w:rsidR="00CD0D0C" w:rsidRPr="00BF4633">
        <w:rPr>
          <w:lang w:val="el-GR"/>
        </w:rPr>
        <w:t xml:space="preserve"> </w:t>
      </w:r>
      <w:r w:rsidR="00CD0D0C">
        <w:rPr>
          <w:lang w:val="el-GR"/>
        </w:rPr>
        <w:t>θεραπεία</w:t>
      </w:r>
      <w:r w:rsidR="00CD0D0C" w:rsidRPr="00BF4633">
        <w:rPr>
          <w:lang w:val="el-GR"/>
        </w:rPr>
        <w:t xml:space="preserve"> </w:t>
      </w:r>
      <w:r w:rsidR="006656A2">
        <w:rPr>
          <w:lang w:val="el-GR"/>
        </w:rPr>
        <w:t>συντήρησης</w:t>
      </w:r>
      <w:r w:rsidR="006656A2" w:rsidRPr="00BF4633">
        <w:rPr>
          <w:lang w:val="el-GR"/>
        </w:rPr>
        <w:t xml:space="preserve"> </w:t>
      </w:r>
      <w:r w:rsidR="006656A2">
        <w:rPr>
          <w:lang w:val="el-GR"/>
        </w:rPr>
        <w:t>απαιτεί</w:t>
      </w:r>
      <w:r w:rsidR="006A2F55">
        <w:rPr>
          <w:lang w:val="el-GR"/>
        </w:rPr>
        <w:t xml:space="preserve"> </w:t>
      </w:r>
      <w:r>
        <w:rPr>
          <w:lang w:val="el-GR"/>
        </w:rPr>
        <w:t>σκευάσματα</w:t>
      </w:r>
      <w:r w:rsidR="006A2F55">
        <w:rPr>
          <w:lang w:val="el-GR"/>
        </w:rPr>
        <w:t xml:space="preserve"> </w:t>
      </w:r>
      <w:r w:rsidR="0055372D">
        <w:rPr>
          <w:lang w:val="el-GR"/>
        </w:rPr>
        <w:t xml:space="preserve">χοληκαλσιφερόλης </w:t>
      </w:r>
      <w:r w:rsidR="006A2F55">
        <w:rPr>
          <w:lang w:val="el-GR"/>
        </w:rPr>
        <w:t>χαμηλότερης περιεκτικότητας</w:t>
      </w:r>
      <w:r w:rsidR="003B5A7A" w:rsidRPr="00BF4633">
        <w:rPr>
          <w:lang w:val="el-GR"/>
        </w:rPr>
        <w:t>.</w:t>
      </w:r>
    </w:p>
    <w:p w:rsidR="0090758A" w:rsidRPr="00BF4633" w:rsidRDefault="0090758A" w:rsidP="003B5A7A">
      <w:pPr>
        <w:rPr>
          <w:lang w:val="el-GR"/>
        </w:rPr>
      </w:pPr>
    </w:p>
    <w:p w:rsidR="00E95B6A" w:rsidRPr="00BF4633" w:rsidRDefault="00D31835" w:rsidP="00E95B6A">
      <w:pPr>
        <w:rPr>
          <w:u w:val="single"/>
          <w:lang w:val="el-GR"/>
        </w:rPr>
      </w:pPr>
      <w:r>
        <w:rPr>
          <w:u w:val="single"/>
          <w:lang w:val="el-GR"/>
        </w:rPr>
        <w:t>Ειδικοί πληθυσμοί</w:t>
      </w:r>
    </w:p>
    <w:p w:rsidR="00E95B6A" w:rsidRPr="00BF4633" w:rsidRDefault="00E95B6A" w:rsidP="00E95B6A">
      <w:pPr>
        <w:rPr>
          <w:lang w:val="el-GR"/>
        </w:rPr>
      </w:pPr>
    </w:p>
    <w:p w:rsidR="00E95B6A" w:rsidRPr="007409AA" w:rsidRDefault="00BF4633" w:rsidP="00E95B6A">
      <w:pPr>
        <w:rPr>
          <w:i/>
          <w:lang w:val="en-US"/>
        </w:rPr>
      </w:pPr>
      <w:r>
        <w:rPr>
          <w:i/>
          <w:lang w:val="el-GR"/>
        </w:rPr>
        <w:t>Νεφρική</w:t>
      </w:r>
      <w:r w:rsidRPr="007409AA">
        <w:rPr>
          <w:i/>
          <w:lang w:val="en-US"/>
        </w:rPr>
        <w:t xml:space="preserve"> </w:t>
      </w:r>
      <w:r>
        <w:rPr>
          <w:i/>
          <w:lang w:val="el-GR"/>
        </w:rPr>
        <w:t>δυσλειτουργία</w:t>
      </w:r>
    </w:p>
    <w:p w:rsidR="00E95B6A" w:rsidRPr="00233DDA" w:rsidRDefault="007409AA" w:rsidP="00E95B6A">
      <w:pPr>
        <w:rPr>
          <w:lang w:val="el-GR"/>
        </w:rPr>
      </w:pPr>
      <w:r>
        <w:rPr>
          <w:lang w:val="el-GR"/>
        </w:rPr>
        <w:t>Το</w:t>
      </w:r>
      <w:r w:rsidRPr="00233DDA">
        <w:rPr>
          <w:lang w:val="el-GR"/>
        </w:rPr>
        <w:t xml:space="preserve"> </w:t>
      </w:r>
      <w:r w:rsidR="00467714">
        <w:t>LECALCIF</w:t>
      </w:r>
      <w:r w:rsidR="00E95B6A" w:rsidRPr="00233DDA">
        <w:rPr>
          <w:lang w:val="el-GR"/>
        </w:rPr>
        <w:t xml:space="preserve"> </w:t>
      </w:r>
      <w:r>
        <w:rPr>
          <w:lang w:val="el-GR"/>
        </w:rPr>
        <w:t>δεν</w:t>
      </w:r>
      <w:r w:rsidRPr="00233DDA">
        <w:rPr>
          <w:lang w:val="el-GR"/>
        </w:rPr>
        <w:t xml:space="preserve"> </w:t>
      </w:r>
      <w:r>
        <w:rPr>
          <w:lang w:val="el-GR"/>
        </w:rPr>
        <w:t>θα</w:t>
      </w:r>
      <w:r w:rsidRPr="00233DDA">
        <w:rPr>
          <w:lang w:val="el-GR"/>
        </w:rPr>
        <w:t xml:space="preserve"> </w:t>
      </w:r>
      <w:r>
        <w:rPr>
          <w:lang w:val="el-GR"/>
        </w:rPr>
        <w:t>πρέπει</w:t>
      </w:r>
      <w:r w:rsidRPr="00233DDA">
        <w:rPr>
          <w:lang w:val="el-GR"/>
        </w:rPr>
        <w:t xml:space="preserve"> </w:t>
      </w:r>
      <w:r>
        <w:rPr>
          <w:lang w:val="el-GR"/>
        </w:rPr>
        <w:t>να</w:t>
      </w:r>
      <w:r w:rsidRPr="00233DDA">
        <w:rPr>
          <w:lang w:val="el-GR"/>
        </w:rPr>
        <w:t xml:space="preserve"> </w:t>
      </w:r>
      <w:r w:rsidR="00256227">
        <w:rPr>
          <w:lang w:val="el-GR"/>
        </w:rPr>
        <w:t>χρησιμοποιείται</w:t>
      </w:r>
      <w:r w:rsidR="00256227" w:rsidRPr="00233DDA">
        <w:rPr>
          <w:lang w:val="el-GR"/>
        </w:rPr>
        <w:t xml:space="preserve"> </w:t>
      </w:r>
      <w:r w:rsidR="00256227">
        <w:rPr>
          <w:lang w:val="el-GR"/>
        </w:rPr>
        <w:t>σε</w:t>
      </w:r>
      <w:r w:rsidR="00256227" w:rsidRPr="00233DDA">
        <w:rPr>
          <w:lang w:val="el-GR"/>
        </w:rPr>
        <w:t xml:space="preserve"> </w:t>
      </w:r>
      <w:r w:rsidR="00256227">
        <w:rPr>
          <w:lang w:val="el-GR"/>
        </w:rPr>
        <w:t>συνδυασμό</w:t>
      </w:r>
      <w:r w:rsidR="00256227" w:rsidRPr="00233DDA">
        <w:rPr>
          <w:lang w:val="el-GR"/>
        </w:rPr>
        <w:t xml:space="preserve"> </w:t>
      </w:r>
      <w:r w:rsidR="00256227">
        <w:rPr>
          <w:lang w:val="el-GR"/>
        </w:rPr>
        <w:t>με</w:t>
      </w:r>
      <w:r w:rsidR="00256227" w:rsidRPr="00233DDA">
        <w:rPr>
          <w:lang w:val="el-GR"/>
        </w:rPr>
        <w:t xml:space="preserve"> </w:t>
      </w:r>
      <w:r w:rsidR="00256227">
        <w:rPr>
          <w:lang w:val="el-GR"/>
        </w:rPr>
        <w:t>ασβέστιο</w:t>
      </w:r>
      <w:r w:rsidR="00256227" w:rsidRPr="00233DDA">
        <w:rPr>
          <w:lang w:val="el-GR"/>
        </w:rPr>
        <w:t xml:space="preserve"> </w:t>
      </w:r>
      <w:r w:rsidR="00256227">
        <w:rPr>
          <w:lang w:val="el-GR"/>
        </w:rPr>
        <w:t>σε</w:t>
      </w:r>
      <w:r w:rsidR="00256227" w:rsidRPr="00233DDA">
        <w:rPr>
          <w:lang w:val="el-GR"/>
        </w:rPr>
        <w:t xml:space="preserve"> </w:t>
      </w:r>
      <w:r w:rsidR="00256227">
        <w:rPr>
          <w:lang w:val="el-GR"/>
        </w:rPr>
        <w:t>ασθενείς</w:t>
      </w:r>
      <w:r w:rsidR="00256227" w:rsidRPr="00233DDA">
        <w:rPr>
          <w:lang w:val="el-GR"/>
        </w:rPr>
        <w:t xml:space="preserve"> </w:t>
      </w:r>
      <w:r w:rsidR="00256227">
        <w:rPr>
          <w:lang w:val="el-GR"/>
        </w:rPr>
        <w:t>με</w:t>
      </w:r>
      <w:r w:rsidR="00256227" w:rsidRPr="00233DDA">
        <w:rPr>
          <w:lang w:val="el-GR"/>
        </w:rPr>
        <w:t xml:space="preserve"> σοβαρή νεφρική δυσλειτουργία</w:t>
      </w:r>
      <w:r w:rsidR="00E95B6A" w:rsidRPr="00233DDA">
        <w:rPr>
          <w:lang w:val="el-GR"/>
        </w:rPr>
        <w:t>.</w:t>
      </w:r>
    </w:p>
    <w:p w:rsidR="00E95B6A" w:rsidRPr="00233DDA" w:rsidRDefault="00E95B6A" w:rsidP="00E95B6A">
      <w:pPr>
        <w:rPr>
          <w:lang w:val="el-GR"/>
        </w:rPr>
      </w:pPr>
    </w:p>
    <w:p w:rsidR="00233DDA" w:rsidRPr="00233DDA" w:rsidRDefault="00233DDA" w:rsidP="00E95B6A">
      <w:pPr>
        <w:rPr>
          <w:i/>
          <w:lang w:val="en-US"/>
        </w:rPr>
      </w:pPr>
      <w:r>
        <w:rPr>
          <w:i/>
          <w:lang w:val="el-GR"/>
        </w:rPr>
        <w:t>Ηπατική</w:t>
      </w:r>
      <w:r w:rsidRPr="00233DDA">
        <w:rPr>
          <w:i/>
          <w:lang w:val="en-US"/>
        </w:rPr>
        <w:t xml:space="preserve"> </w:t>
      </w:r>
      <w:r>
        <w:rPr>
          <w:i/>
          <w:lang w:val="el-GR"/>
        </w:rPr>
        <w:t>δυσλειτουργία</w:t>
      </w:r>
      <w:r w:rsidRPr="00233DDA">
        <w:rPr>
          <w:i/>
          <w:lang w:val="en-US"/>
        </w:rPr>
        <w:t xml:space="preserve"> </w:t>
      </w:r>
    </w:p>
    <w:p w:rsidR="00E95B6A" w:rsidRDefault="00233DDA" w:rsidP="00E95B6A">
      <w:pPr>
        <w:rPr>
          <w:lang w:val="el-GR"/>
        </w:rPr>
      </w:pPr>
      <w:r w:rsidRPr="00233DDA">
        <w:rPr>
          <w:lang w:val="el-GR"/>
        </w:rPr>
        <w:t xml:space="preserve">Δεν απαιτείται προσαρμογή της δόσης </w:t>
      </w:r>
      <w:r>
        <w:rPr>
          <w:lang w:val="el-GR"/>
        </w:rPr>
        <w:t>σε</w:t>
      </w:r>
      <w:r w:rsidRPr="00233DDA">
        <w:rPr>
          <w:lang w:val="el-GR"/>
        </w:rPr>
        <w:t xml:space="preserve"> </w:t>
      </w:r>
      <w:r w:rsidR="000B5342">
        <w:rPr>
          <w:lang w:val="el-GR"/>
        </w:rPr>
        <w:t>ασ</w:t>
      </w:r>
      <w:r>
        <w:rPr>
          <w:lang w:val="el-GR"/>
        </w:rPr>
        <w:t>θενείς</w:t>
      </w:r>
      <w:r w:rsidRPr="00233DDA">
        <w:rPr>
          <w:lang w:val="el-GR"/>
        </w:rPr>
        <w:t xml:space="preserve"> </w:t>
      </w:r>
      <w:r>
        <w:rPr>
          <w:lang w:val="el-GR"/>
        </w:rPr>
        <w:t>με</w:t>
      </w:r>
      <w:r w:rsidRPr="00233DDA">
        <w:rPr>
          <w:lang w:val="el-GR"/>
        </w:rPr>
        <w:t xml:space="preserve"> </w:t>
      </w:r>
      <w:r>
        <w:rPr>
          <w:lang w:val="el-GR"/>
        </w:rPr>
        <w:t>ηπατική</w:t>
      </w:r>
      <w:r w:rsidRPr="00233DDA">
        <w:rPr>
          <w:lang w:val="el-GR"/>
        </w:rPr>
        <w:t xml:space="preserve"> </w:t>
      </w:r>
      <w:r>
        <w:rPr>
          <w:lang w:val="el-GR"/>
        </w:rPr>
        <w:t xml:space="preserve">δυσλειτουργία. </w:t>
      </w:r>
    </w:p>
    <w:p w:rsidR="00233DDA" w:rsidRPr="00233DDA" w:rsidRDefault="00233DDA" w:rsidP="00E95B6A">
      <w:pPr>
        <w:rPr>
          <w:lang w:val="el-GR"/>
        </w:rPr>
      </w:pPr>
    </w:p>
    <w:p w:rsidR="00E95B6A" w:rsidRPr="004F4EFD" w:rsidRDefault="00233DDA" w:rsidP="00E95B6A">
      <w:pPr>
        <w:rPr>
          <w:i/>
          <w:lang w:val="el-GR"/>
        </w:rPr>
      </w:pPr>
      <w:r>
        <w:rPr>
          <w:i/>
          <w:lang w:val="el-GR"/>
        </w:rPr>
        <w:t>Παιδιατρικός</w:t>
      </w:r>
      <w:r w:rsidRPr="004F4EFD">
        <w:rPr>
          <w:i/>
          <w:lang w:val="el-GR"/>
        </w:rPr>
        <w:t xml:space="preserve"> </w:t>
      </w:r>
      <w:r>
        <w:rPr>
          <w:i/>
          <w:lang w:val="el-GR"/>
        </w:rPr>
        <w:t>πληθυσμός</w:t>
      </w:r>
      <w:r w:rsidRPr="004F4EFD">
        <w:rPr>
          <w:i/>
          <w:lang w:val="el-GR"/>
        </w:rPr>
        <w:t xml:space="preserve"> (</w:t>
      </w:r>
      <w:r w:rsidR="001E5A81">
        <w:rPr>
          <w:i/>
          <w:lang w:val="el-GR"/>
        </w:rPr>
        <w:t xml:space="preserve">&lt; 18 </w:t>
      </w:r>
      <w:r w:rsidR="0055372D">
        <w:rPr>
          <w:i/>
          <w:lang w:val="el-GR"/>
        </w:rPr>
        <w:t>ετών</w:t>
      </w:r>
      <w:r w:rsidR="001E5A81">
        <w:rPr>
          <w:i/>
          <w:lang w:val="el-GR"/>
        </w:rPr>
        <w:t>)</w:t>
      </w:r>
    </w:p>
    <w:p w:rsidR="00E95B6A" w:rsidRPr="004F4EFD" w:rsidRDefault="004F4EFD" w:rsidP="00E95B6A">
      <w:pPr>
        <w:rPr>
          <w:lang w:val="el-GR"/>
        </w:rPr>
      </w:pPr>
      <w:r w:rsidRPr="004F4EFD">
        <w:rPr>
          <w:noProof/>
          <w:lang w:val="el-GR"/>
        </w:rPr>
        <w:t xml:space="preserve">Δεν υπάρχει σχετική χρήση του </w:t>
      </w:r>
      <w:r w:rsidR="00467714">
        <w:rPr>
          <w:noProof/>
        </w:rPr>
        <w:t>LECALCIF</w:t>
      </w:r>
      <w:r>
        <w:rPr>
          <w:noProof/>
          <w:lang w:val="el-GR"/>
        </w:rPr>
        <w:t xml:space="preserve"> </w:t>
      </w:r>
      <w:r w:rsidRPr="004F4EFD">
        <w:rPr>
          <w:noProof/>
          <w:lang w:val="el-GR"/>
        </w:rPr>
        <w:t>στον παιδιατρικό πληθυσμό</w:t>
      </w:r>
      <w:r w:rsidR="003B5A7A" w:rsidRPr="004F4EFD">
        <w:rPr>
          <w:lang w:val="el-GR"/>
        </w:rPr>
        <w:t>.</w:t>
      </w:r>
    </w:p>
    <w:p w:rsidR="003B5A7A" w:rsidRPr="004F4EFD" w:rsidRDefault="003B5A7A" w:rsidP="00E95B6A">
      <w:pPr>
        <w:rPr>
          <w:lang w:val="el-GR"/>
        </w:rPr>
      </w:pPr>
    </w:p>
    <w:p w:rsidR="00C53ACC" w:rsidRPr="004F4EFD" w:rsidRDefault="00C53ACC" w:rsidP="00C53AC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i/>
          <w:szCs w:val="22"/>
          <w:lang w:val="el-GR"/>
        </w:rPr>
      </w:pPr>
    </w:p>
    <w:p w:rsidR="00C53ACC" w:rsidRDefault="00777CEC" w:rsidP="00E95B6A">
      <w:pPr>
        <w:tabs>
          <w:tab w:val="clear" w:pos="567"/>
        </w:tabs>
        <w:spacing w:line="240" w:lineRule="auto"/>
        <w:outlineLvl w:val="0"/>
        <w:rPr>
          <w:szCs w:val="22"/>
          <w:u w:val="single"/>
        </w:rPr>
      </w:pPr>
      <w:r>
        <w:rPr>
          <w:szCs w:val="22"/>
          <w:u w:val="single"/>
          <w:lang w:val="el-GR"/>
        </w:rPr>
        <w:t>Τρόπος</w:t>
      </w:r>
      <w:r w:rsidRPr="00171357">
        <w:rPr>
          <w:szCs w:val="22"/>
          <w:u w:val="single"/>
          <w:lang w:val="en-US"/>
        </w:rPr>
        <w:t xml:space="preserve"> </w:t>
      </w:r>
      <w:r>
        <w:rPr>
          <w:szCs w:val="22"/>
          <w:u w:val="single"/>
          <w:lang w:val="el-GR"/>
        </w:rPr>
        <w:t>χορήγησης</w:t>
      </w:r>
      <w:r w:rsidR="00C53ACC">
        <w:rPr>
          <w:szCs w:val="22"/>
          <w:u w:val="single"/>
        </w:rPr>
        <w:t xml:space="preserve"> </w:t>
      </w:r>
    </w:p>
    <w:p w:rsidR="00C53ACC" w:rsidRPr="00B8607D" w:rsidRDefault="00C53ACC" w:rsidP="00C53ACC">
      <w:pPr>
        <w:tabs>
          <w:tab w:val="clear" w:pos="567"/>
        </w:tabs>
        <w:spacing w:line="240" w:lineRule="auto"/>
        <w:rPr>
          <w:b/>
          <w:szCs w:val="22"/>
        </w:rPr>
      </w:pPr>
    </w:p>
    <w:p w:rsidR="00B8607D" w:rsidRPr="00B8607D" w:rsidRDefault="00171357">
      <w:pPr>
        <w:rPr>
          <w:szCs w:val="22"/>
        </w:rPr>
      </w:pPr>
      <w:r>
        <w:rPr>
          <w:szCs w:val="22"/>
          <w:lang w:val="el-GR"/>
        </w:rPr>
        <w:t>Το</w:t>
      </w:r>
      <w:r w:rsidRPr="00AB3B34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διάλυμα</w:t>
      </w:r>
      <w:r w:rsidRPr="00AB3B34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θα</w:t>
      </w:r>
      <w:r w:rsidRPr="00AB3B34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πρέπει</w:t>
      </w:r>
      <w:r w:rsidRPr="00AB3B34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να</w:t>
      </w:r>
      <w:r w:rsidRPr="00AB3B34">
        <w:rPr>
          <w:szCs w:val="22"/>
          <w:lang w:val="el-GR"/>
        </w:rPr>
        <w:t xml:space="preserve"> </w:t>
      </w:r>
      <w:r w:rsidR="00AB3B34">
        <w:rPr>
          <w:szCs w:val="22"/>
          <w:lang w:val="el-GR"/>
        </w:rPr>
        <w:t>λαμβάνεται</w:t>
      </w:r>
      <w:r w:rsidR="00AB3B34" w:rsidRPr="00AB3B34">
        <w:rPr>
          <w:szCs w:val="22"/>
          <w:lang w:val="el-GR"/>
        </w:rPr>
        <w:t xml:space="preserve"> </w:t>
      </w:r>
      <w:r w:rsidR="00AB3B34">
        <w:rPr>
          <w:szCs w:val="22"/>
          <w:lang w:val="el-GR"/>
        </w:rPr>
        <w:t>με</w:t>
      </w:r>
      <w:r w:rsidR="00AB3B34" w:rsidRPr="00AB3B34">
        <w:rPr>
          <w:szCs w:val="22"/>
          <w:lang w:val="el-GR"/>
        </w:rPr>
        <w:t xml:space="preserve"> </w:t>
      </w:r>
      <w:r w:rsidR="0055372D">
        <w:rPr>
          <w:szCs w:val="22"/>
          <w:lang w:val="el-GR"/>
        </w:rPr>
        <w:t>μια</w:t>
      </w:r>
      <w:r w:rsidR="00AB3B34">
        <w:rPr>
          <w:szCs w:val="22"/>
          <w:lang w:val="el-GR"/>
        </w:rPr>
        <w:t xml:space="preserve"> κουταλιά υγρού. Η</w:t>
      </w:r>
      <w:r w:rsidR="00AB3B34" w:rsidRPr="00AB3B34">
        <w:rPr>
          <w:szCs w:val="22"/>
          <w:lang w:val="el-GR"/>
        </w:rPr>
        <w:t xml:space="preserve"> </w:t>
      </w:r>
      <w:r w:rsidR="00AB3B34">
        <w:rPr>
          <w:szCs w:val="22"/>
          <w:lang w:val="el-GR"/>
        </w:rPr>
        <w:t>διάρκεια</w:t>
      </w:r>
      <w:r w:rsidR="00AB3B34" w:rsidRPr="00AB3B34">
        <w:rPr>
          <w:szCs w:val="22"/>
          <w:lang w:val="el-GR"/>
        </w:rPr>
        <w:t xml:space="preserve"> </w:t>
      </w:r>
      <w:r w:rsidR="00AB3B34">
        <w:rPr>
          <w:szCs w:val="22"/>
          <w:lang w:val="el-GR"/>
        </w:rPr>
        <w:t>της</w:t>
      </w:r>
      <w:r w:rsidR="00AB3B34" w:rsidRPr="00AB3B34">
        <w:rPr>
          <w:szCs w:val="22"/>
          <w:lang w:val="el-GR"/>
        </w:rPr>
        <w:t xml:space="preserve"> </w:t>
      </w:r>
      <w:r w:rsidR="00AB3B34">
        <w:rPr>
          <w:szCs w:val="22"/>
          <w:lang w:val="el-GR"/>
        </w:rPr>
        <w:t>χρήσης</w:t>
      </w:r>
      <w:r w:rsidR="00AB3B34" w:rsidRPr="00AB3B34">
        <w:rPr>
          <w:szCs w:val="22"/>
          <w:lang w:val="el-GR"/>
        </w:rPr>
        <w:t xml:space="preserve"> </w:t>
      </w:r>
      <w:r w:rsidR="00AB3B34">
        <w:rPr>
          <w:szCs w:val="22"/>
          <w:lang w:val="el-GR"/>
        </w:rPr>
        <w:t>εξαρτάται</w:t>
      </w:r>
      <w:r w:rsidR="00AB3B34" w:rsidRPr="00AB3B34">
        <w:rPr>
          <w:szCs w:val="22"/>
          <w:lang w:val="el-GR"/>
        </w:rPr>
        <w:t xml:space="preserve"> </w:t>
      </w:r>
      <w:r w:rsidR="00AB3B34">
        <w:rPr>
          <w:szCs w:val="22"/>
          <w:lang w:val="el-GR"/>
        </w:rPr>
        <w:t>από</w:t>
      </w:r>
      <w:r w:rsidR="00AB3B34" w:rsidRPr="00AB3B34">
        <w:rPr>
          <w:szCs w:val="22"/>
          <w:lang w:val="el-GR"/>
        </w:rPr>
        <w:t xml:space="preserve"> </w:t>
      </w:r>
      <w:r w:rsidR="00AB3B34">
        <w:rPr>
          <w:szCs w:val="22"/>
          <w:lang w:val="el-GR"/>
        </w:rPr>
        <w:t>την</w:t>
      </w:r>
      <w:r w:rsidR="00AB3B34" w:rsidRPr="00AB3B34">
        <w:rPr>
          <w:szCs w:val="22"/>
          <w:lang w:val="el-GR"/>
        </w:rPr>
        <w:t xml:space="preserve"> </w:t>
      </w:r>
      <w:r w:rsidR="00AB3B34">
        <w:rPr>
          <w:szCs w:val="22"/>
          <w:lang w:val="el-GR"/>
        </w:rPr>
        <w:t>πορεία</w:t>
      </w:r>
      <w:r w:rsidR="00AB3B34" w:rsidRPr="00AB3B34">
        <w:rPr>
          <w:szCs w:val="22"/>
          <w:lang w:val="el-GR"/>
        </w:rPr>
        <w:t xml:space="preserve"> </w:t>
      </w:r>
      <w:r w:rsidR="00AB3B34">
        <w:rPr>
          <w:szCs w:val="22"/>
          <w:lang w:val="el-GR"/>
        </w:rPr>
        <w:t>της</w:t>
      </w:r>
      <w:r w:rsidR="00AB3B34" w:rsidRPr="00AB3B34">
        <w:rPr>
          <w:szCs w:val="22"/>
          <w:lang w:val="el-GR"/>
        </w:rPr>
        <w:t xml:space="preserve"> </w:t>
      </w:r>
      <w:r w:rsidR="00AB3B34">
        <w:rPr>
          <w:szCs w:val="22"/>
          <w:lang w:val="el-GR"/>
        </w:rPr>
        <w:t xml:space="preserve">νόσου. </w:t>
      </w:r>
    </w:p>
    <w:p w:rsidR="001D29E6" w:rsidRPr="00B8607D" w:rsidRDefault="001D29E6"/>
    <w:p w:rsidR="001D29E6" w:rsidRPr="00283EBA" w:rsidRDefault="001D29E6">
      <w:pPr>
        <w:ind w:left="567" w:hanging="567"/>
        <w:rPr>
          <w:lang w:val="el-GR"/>
        </w:rPr>
      </w:pPr>
      <w:r w:rsidRPr="00283EBA">
        <w:rPr>
          <w:b/>
          <w:lang w:val="el-GR"/>
        </w:rPr>
        <w:t>4.3</w:t>
      </w:r>
      <w:r w:rsidRPr="00283EBA">
        <w:rPr>
          <w:b/>
          <w:lang w:val="el-GR"/>
        </w:rPr>
        <w:tab/>
      </w:r>
      <w:r w:rsidR="00171357" w:rsidRPr="00283EBA">
        <w:rPr>
          <w:b/>
          <w:lang w:val="el-GR"/>
        </w:rPr>
        <w:t>Αντενδείξεις</w:t>
      </w:r>
    </w:p>
    <w:p w:rsidR="001D29E6" w:rsidRDefault="001D29E6"/>
    <w:p w:rsidR="001D29E6" w:rsidRPr="007D444E" w:rsidRDefault="00482295" w:rsidP="00482295">
      <w:pPr>
        <w:numPr>
          <w:ilvl w:val="0"/>
          <w:numId w:val="44"/>
        </w:numPr>
        <w:rPr>
          <w:lang w:val="el-GR"/>
        </w:rPr>
      </w:pPr>
      <w:r w:rsidRPr="007D444E">
        <w:rPr>
          <w:lang w:val="el-GR"/>
        </w:rPr>
        <w:t>Υπερευαισθησία στη(στις) δραστική(ές) ουσία(ες) ή σε κάποιο από τα έκδοχα</w:t>
      </w:r>
      <w:r>
        <w:rPr>
          <w:lang w:val="el-GR"/>
        </w:rPr>
        <w:t>.</w:t>
      </w:r>
    </w:p>
    <w:p w:rsidR="00B8607D" w:rsidRPr="007D444E" w:rsidRDefault="007D444E" w:rsidP="00E20115">
      <w:pPr>
        <w:numPr>
          <w:ilvl w:val="0"/>
          <w:numId w:val="44"/>
        </w:numPr>
        <w:rPr>
          <w:lang w:val="el-GR"/>
        </w:rPr>
      </w:pPr>
      <w:r>
        <w:rPr>
          <w:lang w:val="el-GR"/>
        </w:rPr>
        <w:t>Υπερασβεστιαιμία ή/και υπερασβεστιουρία</w:t>
      </w:r>
      <w:r w:rsidR="00B8607D" w:rsidRPr="007D444E">
        <w:rPr>
          <w:lang w:val="el-GR"/>
        </w:rPr>
        <w:t>.</w:t>
      </w:r>
    </w:p>
    <w:p w:rsidR="00E20115" w:rsidRDefault="00911015" w:rsidP="00E20115">
      <w:pPr>
        <w:numPr>
          <w:ilvl w:val="0"/>
          <w:numId w:val="44"/>
        </w:numPr>
      </w:pPr>
      <w:r>
        <w:rPr>
          <w:lang w:val="el-GR"/>
        </w:rPr>
        <w:t>Νεφρολιθίαση</w:t>
      </w:r>
      <w:r w:rsidR="00E20115" w:rsidRPr="00E20115">
        <w:t>.</w:t>
      </w:r>
    </w:p>
    <w:p w:rsidR="00E20115" w:rsidRDefault="00944B6A" w:rsidP="00E20115">
      <w:pPr>
        <w:numPr>
          <w:ilvl w:val="0"/>
          <w:numId w:val="44"/>
        </w:numPr>
      </w:pPr>
      <w:r>
        <w:rPr>
          <w:lang w:val="el-GR"/>
        </w:rPr>
        <w:t>Σοβαρή νεφρική δυσλειτουργία</w:t>
      </w:r>
      <w:r w:rsidR="00A97FD7">
        <w:rPr>
          <w:lang w:val="en-US"/>
        </w:rPr>
        <w:t>.</w:t>
      </w:r>
    </w:p>
    <w:p w:rsidR="00E20115" w:rsidRDefault="00A97FD7" w:rsidP="00E20115">
      <w:pPr>
        <w:numPr>
          <w:ilvl w:val="0"/>
          <w:numId w:val="44"/>
        </w:numPr>
      </w:pPr>
      <w:r>
        <w:rPr>
          <w:lang w:val="el-GR"/>
        </w:rPr>
        <w:t xml:space="preserve">Υπερβιταμίνωση </w:t>
      </w:r>
      <w:r w:rsidR="00E20115" w:rsidRPr="00E20115">
        <w:t>D</w:t>
      </w:r>
      <w:r w:rsidR="00447644">
        <w:rPr>
          <w:lang w:val="el-GR"/>
        </w:rPr>
        <w:t>.</w:t>
      </w:r>
    </w:p>
    <w:p w:rsidR="001D29E6" w:rsidRPr="00447644" w:rsidRDefault="00A97FD7" w:rsidP="00E20115">
      <w:pPr>
        <w:numPr>
          <w:ilvl w:val="0"/>
          <w:numId w:val="44"/>
        </w:numPr>
        <w:rPr>
          <w:lang w:val="el-GR"/>
        </w:rPr>
      </w:pPr>
      <w:r>
        <w:rPr>
          <w:lang w:val="el-GR"/>
        </w:rPr>
        <w:t>Ψευδο</w:t>
      </w:r>
      <w:r w:rsidR="001E5A81">
        <w:rPr>
          <w:lang w:val="el-GR"/>
        </w:rPr>
        <w:t>ϋποπαραθ</w:t>
      </w:r>
      <w:r w:rsidR="00BF7DCD">
        <w:rPr>
          <w:lang w:val="el-GR"/>
        </w:rPr>
        <w:t>υ</w:t>
      </w:r>
      <w:r w:rsidR="001E5A81">
        <w:rPr>
          <w:lang w:val="el-GR"/>
        </w:rPr>
        <w:t>ρεοειδισμός</w:t>
      </w:r>
      <w:r w:rsidR="00447644" w:rsidRPr="00BF7DCD">
        <w:rPr>
          <w:lang w:val="el-GR"/>
        </w:rPr>
        <w:t>,</w:t>
      </w:r>
      <w:r w:rsidRPr="00BF7DCD">
        <w:rPr>
          <w:lang w:val="el-GR"/>
        </w:rPr>
        <w:t xml:space="preserve"> </w:t>
      </w:r>
      <w:r w:rsidR="001E5A81">
        <w:rPr>
          <w:lang w:val="el-GR"/>
        </w:rPr>
        <w:t>καθώς</w:t>
      </w:r>
      <w:r w:rsidR="001E5A81" w:rsidRPr="00BF7DCD">
        <w:rPr>
          <w:lang w:val="el-GR"/>
        </w:rPr>
        <w:t xml:space="preserve"> </w:t>
      </w:r>
      <w:r w:rsidR="001E5A81">
        <w:rPr>
          <w:lang w:val="el-GR"/>
        </w:rPr>
        <w:t>οι</w:t>
      </w:r>
      <w:r w:rsidR="001E5A81" w:rsidRPr="00BF7DCD">
        <w:rPr>
          <w:lang w:val="el-GR"/>
        </w:rPr>
        <w:t xml:space="preserve"> </w:t>
      </w:r>
      <w:r w:rsidR="001E5A81">
        <w:rPr>
          <w:lang w:val="el-GR"/>
        </w:rPr>
        <w:t>απαιτήσεις</w:t>
      </w:r>
      <w:r w:rsidR="001E5A81" w:rsidRPr="00BF7DCD">
        <w:rPr>
          <w:lang w:val="el-GR"/>
        </w:rPr>
        <w:t xml:space="preserve"> </w:t>
      </w:r>
      <w:r w:rsidR="001E5A81">
        <w:rPr>
          <w:lang w:val="el-GR"/>
        </w:rPr>
        <w:t>σε</w:t>
      </w:r>
      <w:r w:rsidR="001E5A81" w:rsidRPr="00BF7DCD">
        <w:rPr>
          <w:lang w:val="el-GR"/>
        </w:rPr>
        <w:t xml:space="preserve"> </w:t>
      </w:r>
      <w:r w:rsidR="001E5A81">
        <w:rPr>
          <w:lang w:val="el-GR"/>
        </w:rPr>
        <w:t>βιταμίνη</w:t>
      </w:r>
      <w:r w:rsidR="001E5A81" w:rsidRPr="00BF7DCD">
        <w:rPr>
          <w:lang w:val="el-GR"/>
        </w:rPr>
        <w:t xml:space="preserve"> </w:t>
      </w:r>
      <w:r w:rsidR="001E5A81">
        <w:t>D</w:t>
      </w:r>
      <w:r w:rsidR="001E5A81" w:rsidRPr="00BF7DCD">
        <w:rPr>
          <w:lang w:val="el-GR"/>
        </w:rPr>
        <w:t xml:space="preserve"> </w:t>
      </w:r>
      <w:r w:rsidR="001E5A81" w:rsidRPr="001E5A81">
        <w:rPr>
          <w:lang w:val="el-GR"/>
        </w:rPr>
        <w:t>ενδέχεται</w:t>
      </w:r>
      <w:r w:rsidR="001E5A81" w:rsidRPr="00BF7DCD">
        <w:rPr>
          <w:lang w:val="el-GR"/>
        </w:rPr>
        <w:t xml:space="preserve"> </w:t>
      </w:r>
      <w:r w:rsidR="001E5A81" w:rsidRPr="001E5A81">
        <w:rPr>
          <w:lang w:val="el-GR"/>
        </w:rPr>
        <w:t>να</w:t>
      </w:r>
      <w:r w:rsidR="001E5A81" w:rsidRPr="00BF7DCD">
        <w:rPr>
          <w:lang w:val="el-GR"/>
        </w:rPr>
        <w:t xml:space="preserve"> </w:t>
      </w:r>
      <w:r w:rsidR="001E5A81" w:rsidRPr="001E5A81">
        <w:rPr>
          <w:lang w:val="el-GR"/>
        </w:rPr>
        <w:t>μειωθούν</w:t>
      </w:r>
      <w:r w:rsidR="001E5A81" w:rsidRPr="00BF7DCD">
        <w:rPr>
          <w:lang w:val="el-GR"/>
        </w:rPr>
        <w:t xml:space="preserve"> </w:t>
      </w:r>
      <w:r w:rsidR="00283EBA">
        <w:rPr>
          <w:lang w:val="el-GR"/>
        </w:rPr>
        <w:t>λόγω</w:t>
      </w:r>
      <w:r w:rsidR="001E5A81" w:rsidRPr="00BF7DCD">
        <w:rPr>
          <w:lang w:val="el-GR"/>
        </w:rPr>
        <w:t xml:space="preserve"> </w:t>
      </w:r>
      <w:r w:rsidR="00283EBA">
        <w:rPr>
          <w:lang w:val="el-GR"/>
        </w:rPr>
        <w:t xml:space="preserve">των περιόδων </w:t>
      </w:r>
      <w:r w:rsidR="001E5A81" w:rsidRPr="001E5A81">
        <w:rPr>
          <w:lang w:val="el-GR"/>
        </w:rPr>
        <w:t>φυσιολογικής</w:t>
      </w:r>
      <w:r w:rsidR="001E5A81" w:rsidRPr="00BF7DCD">
        <w:rPr>
          <w:lang w:val="el-GR"/>
        </w:rPr>
        <w:t xml:space="preserve"> </w:t>
      </w:r>
      <w:r w:rsidR="001E5A81" w:rsidRPr="001E5A81">
        <w:rPr>
          <w:lang w:val="el-GR"/>
        </w:rPr>
        <w:t>ευαισθησίας</w:t>
      </w:r>
      <w:r w:rsidR="001E5A81" w:rsidRPr="00BF7DCD">
        <w:rPr>
          <w:lang w:val="el-GR"/>
        </w:rPr>
        <w:t xml:space="preserve"> </w:t>
      </w:r>
      <w:r w:rsidR="001E5A81" w:rsidRPr="001E5A81">
        <w:rPr>
          <w:lang w:val="el-GR"/>
        </w:rPr>
        <w:t>σ</w:t>
      </w:r>
      <w:r w:rsidR="00447644">
        <w:rPr>
          <w:lang w:val="el-GR"/>
        </w:rPr>
        <w:t>τη</w:t>
      </w:r>
      <w:r w:rsidR="001E5A81" w:rsidRPr="00BF7DCD">
        <w:rPr>
          <w:lang w:val="el-GR"/>
        </w:rPr>
        <w:t xml:space="preserve"> </w:t>
      </w:r>
      <w:r w:rsidR="001E5A81" w:rsidRPr="001E5A81">
        <w:rPr>
          <w:lang w:val="el-GR"/>
        </w:rPr>
        <w:t>βιταμίνη</w:t>
      </w:r>
      <w:r w:rsidR="001E5A81" w:rsidRPr="00BF7DCD">
        <w:rPr>
          <w:lang w:val="el-GR"/>
        </w:rPr>
        <w:t xml:space="preserve"> </w:t>
      </w:r>
      <w:r w:rsidR="001E5A81" w:rsidRPr="001E5A81">
        <w:rPr>
          <w:lang w:val="en-US"/>
        </w:rPr>
        <w:t>D</w:t>
      </w:r>
      <w:r w:rsidR="00B8607D" w:rsidRPr="00BF7DCD">
        <w:rPr>
          <w:lang w:val="el-GR"/>
        </w:rPr>
        <w:t xml:space="preserve"> </w:t>
      </w:r>
      <w:r w:rsidR="00283EBA">
        <w:rPr>
          <w:lang w:val="el-GR"/>
        </w:rPr>
        <w:t>ενέχοντας</w:t>
      </w:r>
      <w:r w:rsidR="00447644" w:rsidRPr="00283EBA">
        <w:rPr>
          <w:lang w:val="el-GR"/>
        </w:rPr>
        <w:t xml:space="preserve"> τ</w:t>
      </w:r>
      <w:r w:rsidR="00447644">
        <w:rPr>
          <w:lang w:val="el-GR"/>
        </w:rPr>
        <w:t>ον</w:t>
      </w:r>
      <w:r w:rsidR="00447644" w:rsidRPr="00BF7DCD">
        <w:rPr>
          <w:lang w:val="el-GR"/>
        </w:rPr>
        <w:t xml:space="preserve"> </w:t>
      </w:r>
      <w:r w:rsidR="00447644">
        <w:rPr>
          <w:lang w:val="el-GR"/>
        </w:rPr>
        <w:t>κίνδυνο</w:t>
      </w:r>
      <w:r w:rsidR="00447644" w:rsidRPr="00BF7DCD">
        <w:rPr>
          <w:lang w:val="el-GR"/>
        </w:rPr>
        <w:t xml:space="preserve"> </w:t>
      </w:r>
      <w:r w:rsidR="00447644">
        <w:rPr>
          <w:lang w:val="el-GR"/>
        </w:rPr>
        <w:t>παρατεταμένης</w:t>
      </w:r>
      <w:r w:rsidR="00447644" w:rsidRPr="00BF7DCD">
        <w:rPr>
          <w:lang w:val="el-GR"/>
        </w:rPr>
        <w:t xml:space="preserve"> </w:t>
      </w:r>
      <w:r w:rsidR="00447644">
        <w:rPr>
          <w:lang w:val="el-GR"/>
        </w:rPr>
        <w:t>υπερδοσολογίας</w:t>
      </w:r>
      <w:r w:rsidR="00447644" w:rsidRPr="00BF7DCD">
        <w:rPr>
          <w:lang w:val="el-GR"/>
        </w:rPr>
        <w:t xml:space="preserve">. </w:t>
      </w:r>
      <w:r w:rsidR="001E5A81" w:rsidRPr="00BA5FD5">
        <w:rPr>
          <w:noProof/>
          <w:lang w:val="el-GR"/>
        </w:rPr>
        <w:t>Για</w:t>
      </w:r>
      <w:r w:rsidR="001E5A81" w:rsidRPr="00447644">
        <w:rPr>
          <w:noProof/>
          <w:lang w:val="el-GR"/>
        </w:rPr>
        <w:t xml:space="preserve"> </w:t>
      </w:r>
      <w:r w:rsidR="001E5A81" w:rsidRPr="00BA5FD5">
        <w:rPr>
          <w:noProof/>
          <w:lang w:val="el-GR"/>
        </w:rPr>
        <w:t>την</w:t>
      </w:r>
      <w:r w:rsidR="001E5A81" w:rsidRPr="00447644">
        <w:rPr>
          <w:noProof/>
          <w:lang w:val="el-GR"/>
        </w:rPr>
        <w:t xml:space="preserve"> </w:t>
      </w:r>
      <w:r w:rsidR="001E5A81" w:rsidRPr="00BA5FD5">
        <w:rPr>
          <w:noProof/>
          <w:lang w:val="el-GR"/>
        </w:rPr>
        <w:t>περίπτωση</w:t>
      </w:r>
      <w:r w:rsidR="001E5A81" w:rsidRPr="00447644">
        <w:rPr>
          <w:noProof/>
          <w:lang w:val="el-GR"/>
        </w:rPr>
        <w:t xml:space="preserve"> </w:t>
      </w:r>
      <w:r w:rsidR="00283EBA">
        <w:rPr>
          <w:noProof/>
          <w:lang w:val="el-GR"/>
        </w:rPr>
        <w:t xml:space="preserve">αυτή υπάρχουν </w:t>
      </w:r>
      <w:r w:rsidR="001E5A81">
        <w:rPr>
          <w:noProof/>
          <w:lang w:val="el-GR"/>
        </w:rPr>
        <w:t>διαθέσιμα</w:t>
      </w:r>
      <w:r w:rsidR="001E5A81" w:rsidRPr="00447644">
        <w:rPr>
          <w:noProof/>
          <w:lang w:val="el-GR"/>
        </w:rPr>
        <w:t xml:space="preserve"> </w:t>
      </w:r>
      <w:r w:rsidR="001E5A81">
        <w:rPr>
          <w:noProof/>
          <w:lang w:val="el-GR"/>
        </w:rPr>
        <w:t>καλ</w:t>
      </w:r>
      <w:r w:rsidR="00447644">
        <w:rPr>
          <w:noProof/>
          <w:lang w:val="el-GR"/>
        </w:rPr>
        <w:t>ύ</w:t>
      </w:r>
      <w:r w:rsidR="001E5A81">
        <w:rPr>
          <w:noProof/>
          <w:lang w:val="el-GR"/>
        </w:rPr>
        <w:t>τ</w:t>
      </w:r>
      <w:r w:rsidR="00447644">
        <w:rPr>
          <w:noProof/>
          <w:lang w:val="el-GR"/>
        </w:rPr>
        <w:t>ε</w:t>
      </w:r>
      <w:r w:rsidR="001E5A81">
        <w:rPr>
          <w:noProof/>
          <w:lang w:val="el-GR"/>
        </w:rPr>
        <w:t>ρα</w:t>
      </w:r>
      <w:r w:rsidR="001E5A81" w:rsidRPr="00447644">
        <w:rPr>
          <w:noProof/>
          <w:lang w:val="el-GR"/>
        </w:rPr>
        <w:t xml:space="preserve"> </w:t>
      </w:r>
      <w:r w:rsidR="001E5A81">
        <w:rPr>
          <w:noProof/>
          <w:lang w:val="el-GR"/>
        </w:rPr>
        <w:t>ρυθμιζόμενα</w:t>
      </w:r>
      <w:r w:rsidR="001E5A81" w:rsidRPr="00447644">
        <w:rPr>
          <w:noProof/>
          <w:lang w:val="el-GR"/>
        </w:rPr>
        <w:t xml:space="preserve"> </w:t>
      </w:r>
      <w:r w:rsidR="001E5A81">
        <w:rPr>
          <w:noProof/>
          <w:lang w:val="el-GR"/>
        </w:rPr>
        <w:t>παράγωγα</w:t>
      </w:r>
      <w:r w:rsidR="001E5A81" w:rsidRPr="00447644">
        <w:rPr>
          <w:noProof/>
          <w:lang w:val="el-GR"/>
        </w:rPr>
        <w:t xml:space="preserve"> </w:t>
      </w:r>
      <w:r w:rsidR="001E5A81">
        <w:rPr>
          <w:noProof/>
          <w:lang w:val="el-GR"/>
        </w:rPr>
        <w:t>βιταμίνης</w:t>
      </w:r>
      <w:r w:rsidR="001E5A81" w:rsidRPr="00447644">
        <w:rPr>
          <w:noProof/>
          <w:lang w:val="el-GR"/>
        </w:rPr>
        <w:t xml:space="preserve"> </w:t>
      </w:r>
      <w:r w:rsidR="001E5A81">
        <w:rPr>
          <w:noProof/>
          <w:lang w:val="en-US"/>
        </w:rPr>
        <w:t>D</w:t>
      </w:r>
      <w:r w:rsidR="001E5A81" w:rsidRPr="00447644">
        <w:rPr>
          <w:noProof/>
          <w:lang w:val="el-GR"/>
        </w:rPr>
        <w:t xml:space="preserve">. </w:t>
      </w:r>
    </w:p>
    <w:p w:rsidR="00E95B6A" w:rsidRDefault="00E527B8" w:rsidP="00E20115">
      <w:pPr>
        <w:numPr>
          <w:ilvl w:val="0"/>
          <w:numId w:val="44"/>
        </w:numPr>
        <w:tabs>
          <w:tab w:val="clear" w:pos="567"/>
        </w:tabs>
        <w:spacing w:line="240" w:lineRule="auto"/>
        <w:jc w:val="both"/>
      </w:pPr>
      <w:r>
        <w:rPr>
          <w:lang w:val="el-GR"/>
        </w:rPr>
        <w:t>Παιδιατρικός</w:t>
      </w:r>
      <w:r w:rsidRPr="00447644">
        <w:t xml:space="preserve"> </w:t>
      </w:r>
      <w:r>
        <w:rPr>
          <w:lang w:val="el-GR"/>
        </w:rPr>
        <w:t>πληθυσμός</w:t>
      </w:r>
      <w:r w:rsidRPr="00447644">
        <w:t xml:space="preserve"> </w:t>
      </w:r>
      <w:r w:rsidR="003B5A7A">
        <w:t xml:space="preserve">(&lt; 18 </w:t>
      </w:r>
      <w:r w:rsidR="00557284">
        <w:rPr>
          <w:lang w:val="el-GR"/>
        </w:rPr>
        <w:t>ε</w:t>
      </w:r>
      <w:r>
        <w:rPr>
          <w:lang w:val="el-GR"/>
        </w:rPr>
        <w:t>τ</w:t>
      </w:r>
      <w:r w:rsidR="00283EBA">
        <w:rPr>
          <w:lang w:val="el-GR"/>
        </w:rPr>
        <w:t>ών</w:t>
      </w:r>
      <w:r w:rsidR="003B5A7A">
        <w:t>).</w:t>
      </w:r>
    </w:p>
    <w:p w:rsidR="00E95B6A" w:rsidRDefault="00E95B6A" w:rsidP="00E95B6A">
      <w:pPr>
        <w:ind w:left="720"/>
      </w:pPr>
    </w:p>
    <w:p w:rsidR="00B8607D" w:rsidRDefault="00B8607D"/>
    <w:p w:rsidR="001D29E6" w:rsidRPr="003A53FE" w:rsidRDefault="001D29E6">
      <w:pPr>
        <w:ind w:left="567" w:hanging="567"/>
        <w:rPr>
          <w:b/>
          <w:lang w:val="el-GR"/>
        </w:rPr>
      </w:pPr>
      <w:r w:rsidRPr="003A53FE">
        <w:rPr>
          <w:b/>
          <w:lang w:val="el-GR"/>
        </w:rPr>
        <w:t>4.4</w:t>
      </w:r>
      <w:r w:rsidRPr="003A53FE">
        <w:rPr>
          <w:b/>
          <w:lang w:val="el-GR"/>
        </w:rPr>
        <w:tab/>
      </w:r>
      <w:r w:rsidR="003A53FE" w:rsidRPr="003A53FE">
        <w:rPr>
          <w:b/>
          <w:lang w:val="el-GR"/>
        </w:rPr>
        <w:t>Ειδικές προειδοποιήσεις και προφυλάξεις κατά τη χρήση</w:t>
      </w:r>
    </w:p>
    <w:p w:rsidR="00C53ACC" w:rsidRPr="003A53FE" w:rsidRDefault="00C53ACC">
      <w:pPr>
        <w:ind w:left="567" w:hanging="567"/>
        <w:rPr>
          <w:lang w:val="el-GR"/>
        </w:rPr>
      </w:pPr>
    </w:p>
    <w:p w:rsidR="00B8607D" w:rsidRDefault="007A0955" w:rsidP="00840687">
      <w:pPr>
        <w:tabs>
          <w:tab w:val="clear" w:pos="567"/>
          <w:tab w:val="left" w:pos="0"/>
        </w:tabs>
        <w:jc w:val="both"/>
        <w:rPr>
          <w:noProof/>
          <w:szCs w:val="22"/>
          <w:lang w:val="el-GR"/>
        </w:rPr>
      </w:pPr>
      <w:r w:rsidRPr="007A0955">
        <w:rPr>
          <w:noProof/>
          <w:szCs w:val="22"/>
          <w:lang w:val="el-GR"/>
        </w:rPr>
        <w:t xml:space="preserve">Κατά τη μακροχρόνια θεραπεία με το </w:t>
      </w:r>
      <w:r w:rsidR="00467714">
        <w:rPr>
          <w:noProof/>
          <w:szCs w:val="22"/>
        </w:rPr>
        <w:t>LECALCIF</w:t>
      </w:r>
      <w:r w:rsidRPr="007A0955">
        <w:rPr>
          <w:noProof/>
          <w:szCs w:val="22"/>
          <w:lang w:val="el-GR"/>
        </w:rPr>
        <w:t>, θα πρέπει να παρακολουθούνται τα επίπεδα ασβεστίου στο</w:t>
      </w:r>
      <w:r>
        <w:rPr>
          <w:noProof/>
          <w:szCs w:val="22"/>
          <w:lang w:val="el-GR"/>
        </w:rPr>
        <w:t>ν</w:t>
      </w:r>
      <w:r w:rsidRPr="007A0955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ορό</w:t>
      </w:r>
      <w:r w:rsidRPr="007A0955">
        <w:rPr>
          <w:noProof/>
          <w:szCs w:val="22"/>
          <w:lang w:val="el-GR"/>
        </w:rPr>
        <w:t xml:space="preserve"> και τα ούρα και να ελέγχεται η νεφρική λειτουργία με μετρήσεις της κρεατινίνης του ορού. Οι έλεγχοι αυτοί είναι ιδιαίτερα σημαντικοί στους ηλικιωμένους ασθενείς και κατά την ταυτόχρονη θεραπεία με καρδιακές γλυκοσίδες </w:t>
      </w:r>
      <w:r>
        <w:rPr>
          <w:noProof/>
          <w:szCs w:val="22"/>
          <w:lang w:val="el-GR"/>
        </w:rPr>
        <w:t>ή διουρητικά</w:t>
      </w:r>
      <w:r w:rsidRPr="007A0955">
        <w:rPr>
          <w:noProof/>
          <w:szCs w:val="22"/>
          <w:lang w:val="el-GR"/>
        </w:rPr>
        <w:t>. Σε περίπτωση υπερασβεστιαιμίας ή σημείων έκπτωσης της νεφρικής λειτουργίας</w:t>
      </w:r>
      <w:r>
        <w:rPr>
          <w:noProof/>
          <w:szCs w:val="22"/>
          <w:lang w:val="el-GR"/>
        </w:rPr>
        <w:t>, θ</w:t>
      </w:r>
      <w:r w:rsidRPr="007A0955">
        <w:rPr>
          <w:noProof/>
          <w:szCs w:val="22"/>
          <w:lang w:val="el-GR"/>
        </w:rPr>
        <w:t>α πρέπει να μειωθεί η δόση ή να διακοπεί η θεραπεία.  Συνιστάται να μειωθεί η δόσ</w:t>
      </w:r>
      <w:r>
        <w:rPr>
          <w:noProof/>
          <w:szCs w:val="22"/>
          <w:lang w:val="el-GR"/>
        </w:rPr>
        <w:t xml:space="preserve">η ή να διακοπεί η θεραπεία </w:t>
      </w:r>
      <w:r w:rsidR="00283EBA">
        <w:rPr>
          <w:noProof/>
          <w:szCs w:val="22"/>
          <w:lang w:val="el-GR"/>
        </w:rPr>
        <w:t>εάν</w:t>
      </w:r>
      <w:r w:rsidRPr="007A0955">
        <w:rPr>
          <w:noProof/>
          <w:szCs w:val="22"/>
          <w:lang w:val="el-GR"/>
        </w:rPr>
        <w:t xml:space="preserve"> τα επίπεδα ασβεστίου στα ούρα υπερβούν τα 7</w:t>
      </w:r>
      <w:r w:rsidR="00283EBA">
        <w:rPr>
          <w:noProof/>
          <w:szCs w:val="22"/>
          <w:lang w:val="el-GR"/>
        </w:rPr>
        <w:t>,</w:t>
      </w:r>
      <w:r w:rsidRPr="007A0955">
        <w:rPr>
          <w:noProof/>
          <w:szCs w:val="22"/>
          <w:lang w:val="el-GR"/>
        </w:rPr>
        <w:t xml:space="preserve">5 </w:t>
      </w:r>
      <w:r w:rsidRPr="007A0955">
        <w:rPr>
          <w:noProof/>
          <w:szCs w:val="22"/>
        </w:rPr>
        <w:t>mmol</w:t>
      </w:r>
      <w:r w:rsidRPr="007A0955">
        <w:rPr>
          <w:noProof/>
          <w:szCs w:val="22"/>
          <w:lang w:val="el-GR"/>
        </w:rPr>
        <w:t xml:space="preserve">/24 ώρες (300 </w:t>
      </w:r>
      <w:r w:rsidRPr="007A0955">
        <w:rPr>
          <w:noProof/>
          <w:szCs w:val="22"/>
        </w:rPr>
        <w:t>mg</w:t>
      </w:r>
      <w:r w:rsidRPr="007A0955">
        <w:rPr>
          <w:noProof/>
          <w:szCs w:val="22"/>
          <w:lang w:val="el-GR"/>
        </w:rPr>
        <w:t xml:space="preserve">/24 ώρες). </w:t>
      </w:r>
    </w:p>
    <w:p w:rsidR="00F41938" w:rsidRPr="00F41938" w:rsidRDefault="00F41938" w:rsidP="00840687">
      <w:pPr>
        <w:tabs>
          <w:tab w:val="clear" w:pos="567"/>
          <w:tab w:val="left" w:pos="0"/>
        </w:tabs>
        <w:jc w:val="both"/>
        <w:rPr>
          <w:noProof/>
          <w:szCs w:val="22"/>
          <w:lang w:val="el-GR"/>
        </w:rPr>
      </w:pPr>
    </w:p>
    <w:p w:rsidR="00E20115" w:rsidRDefault="00846389" w:rsidP="00840687">
      <w:pPr>
        <w:tabs>
          <w:tab w:val="clear" w:pos="567"/>
          <w:tab w:val="left" w:pos="0"/>
        </w:tabs>
        <w:jc w:val="both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Το</w:t>
      </w:r>
      <w:r w:rsidRPr="00846389">
        <w:rPr>
          <w:noProof/>
          <w:szCs w:val="22"/>
          <w:lang w:val="el-GR"/>
        </w:rPr>
        <w:t xml:space="preserve"> </w:t>
      </w:r>
      <w:r w:rsidR="00467714">
        <w:rPr>
          <w:noProof/>
          <w:szCs w:val="22"/>
        </w:rPr>
        <w:t>LECALCIF</w:t>
      </w:r>
      <w:r w:rsidR="00E20115" w:rsidRPr="00846389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θα</w:t>
      </w:r>
      <w:r w:rsidRPr="00846389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πρέπει</w:t>
      </w:r>
      <w:r w:rsidRPr="00846389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να</w:t>
      </w:r>
      <w:r w:rsidRPr="00846389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χρησιμοποιείται</w:t>
      </w:r>
      <w:r w:rsidRPr="00846389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με</w:t>
      </w:r>
      <w:r w:rsidRPr="00846389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ιδιαίτερη</w:t>
      </w:r>
      <w:r w:rsidRPr="00846389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προσοχή</w:t>
      </w:r>
      <w:r w:rsidRPr="00846389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στους ασθενείς</w:t>
      </w:r>
      <w:r w:rsidRPr="00846389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με</w:t>
      </w:r>
      <w:r w:rsidRPr="00846389">
        <w:rPr>
          <w:noProof/>
          <w:szCs w:val="22"/>
          <w:lang w:val="el-GR"/>
        </w:rPr>
        <w:t xml:space="preserve"> </w:t>
      </w:r>
      <w:r w:rsidR="0032553B">
        <w:rPr>
          <w:noProof/>
          <w:szCs w:val="22"/>
          <w:lang w:val="el-GR"/>
        </w:rPr>
        <w:t>μη φυσιολογική απέκκριση</w:t>
      </w:r>
      <w:r w:rsidRPr="00846389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ασβεστίου</w:t>
      </w:r>
      <w:r w:rsidRPr="00846389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και</w:t>
      </w:r>
      <w:r w:rsidRPr="00846389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φωσφόρου με τα ούρα, σ</w:t>
      </w:r>
      <w:r w:rsidR="0032553B">
        <w:rPr>
          <w:noProof/>
          <w:szCs w:val="22"/>
          <w:lang w:val="el-GR"/>
        </w:rPr>
        <w:t>ε</w:t>
      </w:r>
      <w:r>
        <w:rPr>
          <w:noProof/>
          <w:szCs w:val="22"/>
          <w:lang w:val="el-GR"/>
        </w:rPr>
        <w:t xml:space="preserve"> θεραπεία με παράγωγα βενζοθειαδιαζίνης και σε ασθενείς </w:t>
      </w:r>
      <w:r w:rsidR="00D31809">
        <w:rPr>
          <w:noProof/>
          <w:szCs w:val="22"/>
          <w:lang w:val="el-GR"/>
        </w:rPr>
        <w:t xml:space="preserve">σε ακινησία </w:t>
      </w:r>
      <w:r>
        <w:rPr>
          <w:noProof/>
          <w:szCs w:val="22"/>
          <w:lang w:val="el-GR"/>
        </w:rPr>
        <w:t>(κίνδυνος υπερασβεστιαιμίας και υπερασβεστιουρίας</w:t>
      </w:r>
      <w:r w:rsidR="00F52C6C">
        <w:rPr>
          <w:noProof/>
          <w:szCs w:val="22"/>
          <w:lang w:val="el-GR"/>
        </w:rPr>
        <w:t>). Τα</w:t>
      </w:r>
      <w:r w:rsidR="00F52C6C" w:rsidRPr="00F52C6C">
        <w:rPr>
          <w:noProof/>
          <w:szCs w:val="22"/>
          <w:lang w:val="el-GR"/>
        </w:rPr>
        <w:t xml:space="preserve"> </w:t>
      </w:r>
      <w:r w:rsidR="00F52C6C">
        <w:rPr>
          <w:noProof/>
          <w:szCs w:val="22"/>
          <w:lang w:val="el-GR"/>
        </w:rPr>
        <w:t>επίπεδα</w:t>
      </w:r>
      <w:r w:rsidR="00F52C6C" w:rsidRPr="00F52C6C">
        <w:rPr>
          <w:noProof/>
          <w:szCs w:val="22"/>
          <w:lang w:val="el-GR"/>
        </w:rPr>
        <w:t xml:space="preserve"> </w:t>
      </w:r>
      <w:r w:rsidR="00F52C6C">
        <w:rPr>
          <w:noProof/>
          <w:szCs w:val="22"/>
          <w:lang w:val="el-GR"/>
        </w:rPr>
        <w:t>ασβεστίου</w:t>
      </w:r>
      <w:r w:rsidR="00F52C6C" w:rsidRPr="00F52C6C">
        <w:rPr>
          <w:noProof/>
          <w:szCs w:val="22"/>
          <w:lang w:val="el-GR"/>
        </w:rPr>
        <w:t xml:space="preserve"> </w:t>
      </w:r>
      <w:r w:rsidR="00F52C6C">
        <w:rPr>
          <w:noProof/>
          <w:szCs w:val="22"/>
          <w:lang w:val="el-GR"/>
        </w:rPr>
        <w:t>στο</w:t>
      </w:r>
      <w:r w:rsidR="00F52C6C" w:rsidRPr="00F52C6C">
        <w:rPr>
          <w:noProof/>
          <w:szCs w:val="22"/>
          <w:lang w:val="el-GR"/>
        </w:rPr>
        <w:t xml:space="preserve"> </w:t>
      </w:r>
      <w:r w:rsidR="00F52C6C">
        <w:rPr>
          <w:noProof/>
          <w:szCs w:val="22"/>
          <w:lang w:val="el-GR"/>
        </w:rPr>
        <w:t>πλάσμα</w:t>
      </w:r>
      <w:r w:rsidR="00F52C6C" w:rsidRPr="00F52C6C">
        <w:rPr>
          <w:noProof/>
          <w:szCs w:val="22"/>
          <w:lang w:val="el-GR"/>
        </w:rPr>
        <w:t xml:space="preserve"> </w:t>
      </w:r>
      <w:r w:rsidR="00F52C6C">
        <w:rPr>
          <w:noProof/>
          <w:szCs w:val="22"/>
          <w:lang w:val="el-GR"/>
        </w:rPr>
        <w:t>και</w:t>
      </w:r>
      <w:r w:rsidR="00F52C6C" w:rsidRPr="00F52C6C">
        <w:rPr>
          <w:noProof/>
          <w:szCs w:val="22"/>
          <w:lang w:val="el-GR"/>
        </w:rPr>
        <w:t xml:space="preserve"> </w:t>
      </w:r>
      <w:r w:rsidR="00F52C6C">
        <w:rPr>
          <w:noProof/>
          <w:szCs w:val="22"/>
          <w:lang w:val="el-GR"/>
        </w:rPr>
        <w:t>τα</w:t>
      </w:r>
      <w:r w:rsidR="00F52C6C" w:rsidRPr="00F52C6C">
        <w:rPr>
          <w:noProof/>
          <w:szCs w:val="22"/>
          <w:lang w:val="el-GR"/>
        </w:rPr>
        <w:t xml:space="preserve"> </w:t>
      </w:r>
      <w:r w:rsidR="00F52C6C">
        <w:rPr>
          <w:noProof/>
          <w:szCs w:val="22"/>
          <w:lang w:val="el-GR"/>
        </w:rPr>
        <w:t>ούρα</w:t>
      </w:r>
      <w:r w:rsidR="00F52C6C" w:rsidRPr="00F52C6C">
        <w:rPr>
          <w:noProof/>
          <w:szCs w:val="22"/>
          <w:lang w:val="el-GR"/>
        </w:rPr>
        <w:t xml:space="preserve"> </w:t>
      </w:r>
      <w:r w:rsidR="00F52C6C">
        <w:rPr>
          <w:noProof/>
          <w:szCs w:val="22"/>
          <w:lang w:val="el-GR"/>
        </w:rPr>
        <w:t>θα</w:t>
      </w:r>
      <w:r w:rsidR="00F52C6C" w:rsidRPr="00F52C6C">
        <w:rPr>
          <w:noProof/>
          <w:szCs w:val="22"/>
          <w:lang w:val="el-GR"/>
        </w:rPr>
        <w:t xml:space="preserve"> </w:t>
      </w:r>
      <w:r w:rsidR="00F52C6C">
        <w:rPr>
          <w:noProof/>
          <w:szCs w:val="22"/>
          <w:lang w:val="el-GR"/>
        </w:rPr>
        <w:t xml:space="preserve">πρέπει να παρακολουθούνται σε αυτούς τους ασθενείς. </w:t>
      </w:r>
    </w:p>
    <w:p w:rsidR="00F52C6C" w:rsidRPr="00F52C6C" w:rsidRDefault="00F52C6C" w:rsidP="00840687">
      <w:pPr>
        <w:tabs>
          <w:tab w:val="clear" w:pos="567"/>
          <w:tab w:val="left" w:pos="0"/>
        </w:tabs>
        <w:jc w:val="both"/>
        <w:rPr>
          <w:noProof/>
          <w:szCs w:val="22"/>
          <w:lang w:val="el-GR"/>
        </w:rPr>
      </w:pPr>
    </w:p>
    <w:p w:rsidR="00B8607D" w:rsidRDefault="003E048C" w:rsidP="00840687">
      <w:pPr>
        <w:tabs>
          <w:tab w:val="clear" w:pos="567"/>
          <w:tab w:val="left" w:pos="0"/>
        </w:tabs>
        <w:jc w:val="both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Το</w:t>
      </w:r>
      <w:r w:rsidRPr="003E048C">
        <w:rPr>
          <w:noProof/>
          <w:szCs w:val="22"/>
          <w:lang w:val="el-GR"/>
        </w:rPr>
        <w:t xml:space="preserve"> </w:t>
      </w:r>
      <w:r w:rsidR="00467714">
        <w:rPr>
          <w:noProof/>
          <w:szCs w:val="22"/>
        </w:rPr>
        <w:t>LECALCIF</w:t>
      </w:r>
      <w:r w:rsidRPr="003E048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θα</w:t>
      </w:r>
      <w:r w:rsidRPr="003E048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πρέπει</w:t>
      </w:r>
      <w:r w:rsidRPr="003E048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να</w:t>
      </w:r>
      <w:r w:rsidRPr="003E048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συνταγογραφείται</w:t>
      </w:r>
      <w:r w:rsidRPr="003E048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με</w:t>
      </w:r>
      <w:r w:rsidRPr="003E048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προσοχή</w:t>
      </w:r>
      <w:r w:rsidRPr="003E048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στους</w:t>
      </w:r>
      <w:r w:rsidRPr="003E048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ασθενείς</w:t>
      </w:r>
      <w:r w:rsidRPr="003E048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3E048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πάσχουν</w:t>
      </w:r>
      <w:r w:rsidRPr="003E048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από</w:t>
      </w:r>
      <w:r w:rsidRPr="003E048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σαρκοείδωση</w:t>
      </w:r>
      <w:r w:rsidRPr="003E048C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καθώς</w:t>
      </w:r>
      <w:r w:rsidRPr="003E048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υπάρχει</w:t>
      </w:r>
      <w:r w:rsidRPr="003E048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κίνδυνος</w:t>
      </w:r>
      <w:r w:rsidRPr="003E048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 xml:space="preserve">αυξημένης μετατροπής της βιταμίνης </w:t>
      </w:r>
      <w:r w:rsidR="00B8607D" w:rsidRPr="00B8607D">
        <w:rPr>
          <w:noProof/>
          <w:szCs w:val="22"/>
        </w:rPr>
        <w:t>D</w:t>
      </w:r>
      <w:r>
        <w:rPr>
          <w:noProof/>
          <w:szCs w:val="22"/>
          <w:lang w:val="el-GR"/>
        </w:rPr>
        <w:t xml:space="preserve"> στον ενεργό μεταβολίτη της</w:t>
      </w:r>
      <w:r w:rsidR="00B8607D" w:rsidRPr="003E048C">
        <w:rPr>
          <w:noProof/>
          <w:szCs w:val="22"/>
          <w:lang w:val="el-GR"/>
        </w:rPr>
        <w:t xml:space="preserve">. </w:t>
      </w:r>
      <w:r w:rsidR="00B85FAE">
        <w:rPr>
          <w:noProof/>
          <w:szCs w:val="22"/>
          <w:lang w:val="el-GR"/>
        </w:rPr>
        <w:t>Τα</w:t>
      </w:r>
      <w:r w:rsidR="00B85FAE" w:rsidRPr="00B85FAE">
        <w:rPr>
          <w:noProof/>
          <w:szCs w:val="22"/>
          <w:lang w:val="el-GR"/>
        </w:rPr>
        <w:t xml:space="preserve"> </w:t>
      </w:r>
      <w:r w:rsidR="00B85FAE">
        <w:rPr>
          <w:noProof/>
          <w:szCs w:val="22"/>
          <w:lang w:val="el-GR"/>
        </w:rPr>
        <w:t>επίπεδα</w:t>
      </w:r>
      <w:r w:rsidR="00B85FAE" w:rsidRPr="00F52C6C">
        <w:rPr>
          <w:noProof/>
          <w:szCs w:val="22"/>
          <w:lang w:val="el-GR"/>
        </w:rPr>
        <w:t xml:space="preserve"> </w:t>
      </w:r>
      <w:r w:rsidR="00B85FAE">
        <w:rPr>
          <w:noProof/>
          <w:szCs w:val="22"/>
          <w:lang w:val="el-GR"/>
        </w:rPr>
        <w:t>ασβεστίου</w:t>
      </w:r>
      <w:r w:rsidR="00B85FAE" w:rsidRPr="00F52C6C">
        <w:rPr>
          <w:noProof/>
          <w:szCs w:val="22"/>
          <w:lang w:val="el-GR"/>
        </w:rPr>
        <w:t xml:space="preserve"> </w:t>
      </w:r>
      <w:r w:rsidR="00B85FAE">
        <w:rPr>
          <w:noProof/>
          <w:szCs w:val="22"/>
          <w:lang w:val="el-GR"/>
        </w:rPr>
        <w:t>στον</w:t>
      </w:r>
      <w:r w:rsidR="00B85FAE" w:rsidRPr="00F52C6C">
        <w:rPr>
          <w:noProof/>
          <w:szCs w:val="22"/>
          <w:lang w:val="el-GR"/>
        </w:rPr>
        <w:t xml:space="preserve"> </w:t>
      </w:r>
      <w:r w:rsidR="00B85FAE">
        <w:rPr>
          <w:noProof/>
          <w:szCs w:val="22"/>
          <w:lang w:val="el-GR"/>
        </w:rPr>
        <w:t>ορό</w:t>
      </w:r>
      <w:r w:rsidR="00B85FAE" w:rsidRPr="00F52C6C">
        <w:rPr>
          <w:noProof/>
          <w:szCs w:val="22"/>
          <w:lang w:val="el-GR"/>
        </w:rPr>
        <w:t xml:space="preserve"> </w:t>
      </w:r>
      <w:r w:rsidR="00B85FAE">
        <w:rPr>
          <w:noProof/>
          <w:szCs w:val="22"/>
          <w:lang w:val="el-GR"/>
        </w:rPr>
        <w:t>και</w:t>
      </w:r>
      <w:r w:rsidR="00B85FAE" w:rsidRPr="00F52C6C">
        <w:rPr>
          <w:noProof/>
          <w:szCs w:val="22"/>
          <w:lang w:val="el-GR"/>
        </w:rPr>
        <w:t xml:space="preserve"> </w:t>
      </w:r>
      <w:r w:rsidR="00B85FAE">
        <w:rPr>
          <w:noProof/>
          <w:szCs w:val="22"/>
          <w:lang w:val="el-GR"/>
        </w:rPr>
        <w:t>τα</w:t>
      </w:r>
      <w:r w:rsidR="00B85FAE" w:rsidRPr="00F52C6C">
        <w:rPr>
          <w:noProof/>
          <w:szCs w:val="22"/>
          <w:lang w:val="el-GR"/>
        </w:rPr>
        <w:t xml:space="preserve"> </w:t>
      </w:r>
      <w:r w:rsidR="00B85FAE">
        <w:rPr>
          <w:noProof/>
          <w:szCs w:val="22"/>
          <w:lang w:val="el-GR"/>
        </w:rPr>
        <w:t>ούρα</w:t>
      </w:r>
      <w:r w:rsidR="00B85FAE" w:rsidRPr="00F52C6C">
        <w:rPr>
          <w:noProof/>
          <w:szCs w:val="22"/>
          <w:lang w:val="el-GR"/>
        </w:rPr>
        <w:t xml:space="preserve"> </w:t>
      </w:r>
      <w:r w:rsidR="00B85FAE">
        <w:rPr>
          <w:noProof/>
          <w:szCs w:val="22"/>
          <w:lang w:val="el-GR"/>
        </w:rPr>
        <w:t>θα</w:t>
      </w:r>
      <w:r w:rsidR="00B85FAE" w:rsidRPr="00F52C6C">
        <w:rPr>
          <w:noProof/>
          <w:szCs w:val="22"/>
          <w:lang w:val="el-GR"/>
        </w:rPr>
        <w:t xml:space="preserve"> </w:t>
      </w:r>
      <w:r w:rsidR="00B85FAE">
        <w:rPr>
          <w:noProof/>
          <w:szCs w:val="22"/>
          <w:lang w:val="el-GR"/>
        </w:rPr>
        <w:t>πρέπει να παρακολουθούνται σε αυτούς τους ασθενείς.</w:t>
      </w:r>
    </w:p>
    <w:p w:rsidR="00B85FAE" w:rsidRPr="00B85FAE" w:rsidRDefault="00B85FAE" w:rsidP="00840687">
      <w:pPr>
        <w:tabs>
          <w:tab w:val="clear" w:pos="567"/>
          <w:tab w:val="left" w:pos="0"/>
        </w:tabs>
        <w:jc w:val="both"/>
        <w:rPr>
          <w:noProof/>
          <w:szCs w:val="22"/>
          <w:lang w:val="el-GR"/>
        </w:rPr>
      </w:pPr>
    </w:p>
    <w:p w:rsidR="00B8607D" w:rsidRDefault="00C2304B" w:rsidP="00840687">
      <w:pPr>
        <w:tabs>
          <w:tab w:val="clear" w:pos="567"/>
          <w:tab w:val="left" w:pos="0"/>
        </w:tabs>
        <w:jc w:val="both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C2304B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ασθενείς</w:t>
      </w:r>
      <w:r w:rsidRPr="00C2304B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με</w:t>
      </w:r>
      <w:r w:rsidRPr="00C2304B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νεφρική</w:t>
      </w:r>
      <w:r w:rsidRPr="00C2304B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ανεπάρκεια</w:t>
      </w:r>
      <w:r w:rsidRPr="00C2304B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C2304B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λαμβάνουν</w:t>
      </w:r>
      <w:r w:rsidRPr="00C2304B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 xml:space="preserve">θεραπεία με το </w:t>
      </w:r>
      <w:r w:rsidR="00467714">
        <w:rPr>
          <w:noProof/>
          <w:szCs w:val="22"/>
        </w:rPr>
        <w:t>LECALCIF</w:t>
      </w:r>
      <w:r w:rsidR="00B8607D" w:rsidRPr="00C2304B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 xml:space="preserve">θα πρέπει να παρακολουθείται η επίδραση </w:t>
      </w:r>
      <w:r w:rsidRPr="000A5C58">
        <w:rPr>
          <w:noProof/>
          <w:szCs w:val="22"/>
          <w:lang w:val="el-GR"/>
        </w:rPr>
        <w:t xml:space="preserve">του </w:t>
      </w:r>
      <w:r w:rsidR="00467714">
        <w:rPr>
          <w:noProof/>
          <w:szCs w:val="22"/>
          <w:lang w:val="en-US"/>
        </w:rPr>
        <w:t>LECALCIF</w:t>
      </w:r>
      <w:r>
        <w:rPr>
          <w:noProof/>
          <w:szCs w:val="22"/>
          <w:lang w:val="el-GR"/>
        </w:rPr>
        <w:t xml:space="preserve"> στο μεταβολισμό του ασβεστίου και του φωσφόρου. </w:t>
      </w:r>
    </w:p>
    <w:p w:rsidR="00C2304B" w:rsidRPr="00C2304B" w:rsidRDefault="00C2304B" w:rsidP="00840687">
      <w:pPr>
        <w:tabs>
          <w:tab w:val="clear" w:pos="567"/>
          <w:tab w:val="left" w:pos="0"/>
        </w:tabs>
        <w:jc w:val="both"/>
        <w:rPr>
          <w:noProof/>
          <w:szCs w:val="22"/>
          <w:lang w:val="el-GR"/>
        </w:rPr>
      </w:pPr>
    </w:p>
    <w:p w:rsidR="00B8607D" w:rsidRPr="001F57A1" w:rsidRDefault="005F4917" w:rsidP="00840687">
      <w:pPr>
        <w:tabs>
          <w:tab w:val="clear" w:pos="567"/>
          <w:tab w:val="left" w:pos="0"/>
        </w:tabs>
        <w:jc w:val="both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Εάν</w:t>
      </w:r>
      <w:r w:rsidRPr="005F4917">
        <w:rPr>
          <w:noProof/>
          <w:szCs w:val="22"/>
          <w:lang w:val="el-GR"/>
        </w:rPr>
        <w:t xml:space="preserve"> </w:t>
      </w:r>
      <w:r w:rsidR="000A5C58">
        <w:rPr>
          <w:noProof/>
          <w:szCs w:val="22"/>
          <w:lang w:val="el-GR"/>
        </w:rPr>
        <w:t xml:space="preserve">συνταγογραφηθούν </w:t>
      </w:r>
      <w:r>
        <w:rPr>
          <w:noProof/>
          <w:szCs w:val="22"/>
          <w:lang w:val="el-GR"/>
        </w:rPr>
        <w:t>άλλα</w:t>
      </w:r>
      <w:r w:rsidRPr="005F49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φάρμακα</w:t>
      </w:r>
      <w:r w:rsidRPr="005F49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F49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περιέχουν</w:t>
      </w:r>
      <w:r w:rsidRPr="005F49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βιταμίνη</w:t>
      </w:r>
      <w:r w:rsidRPr="005F4917">
        <w:rPr>
          <w:noProof/>
          <w:szCs w:val="22"/>
          <w:lang w:val="el-GR"/>
        </w:rPr>
        <w:t xml:space="preserve"> </w:t>
      </w:r>
      <w:r>
        <w:rPr>
          <w:noProof/>
          <w:szCs w:val="22"/>
        </w:rPr>
        <w:t>D</w:t>
      </w:r>
      <w:r w:rsidR="00B8607D" w:rsidRPr="005F4917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θα</w:t>
      </w:r>
      <w:r w:rsidRPr="005F49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 xml:space="preserve">πρέπει να λαμβάνεται υπόψη η δόση της βιταμίνης </w:t>
      </w:r>
      <w:r>
        <w:rPr>
          <w:noProof/>
          <w:szCs w:val="22"/>
          <w:lang w:val="en-US"/>
        </w:rPr>
        <w:t>D</w:t>
      </w:r>
      <w:r w:rsidRPr="005F49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 περι</w:t>
      </w:r>
      <w:r w:rsidR="003E219C">
        <w:rPr>
          <w:noProof/>
          <w:szCs w:val="22"/>
          <w:lang w:val="el-GR"/>
        </w:rPr>
        <w:t xml:space="preserve">έχεται στο </w:t>
      </w:r>
      <w:r w:rsidR="00467714">
        <w:rPr>
          <w:noProof/>
          <w:szCs w:val="22"/>
        </w:rPr>
        <w:t>LECALCIF</w:t>
      </w:r>
      <w:r w:rsidR="003E219C">
        <w:rPr>
          <w:noProof/>
          <w:szCs w:val="22"/>
          <w:lang w:val="el-GR"/>
        </w:rPr>
        <w:t>. Η</w:t>
      </w:r>
      <w:r w:rsidR="003E219C" w:rsidRPr="003E219C">
        <w:rPr>
          <w:noProof/>
          <w:szCs w:val="22"/>
          <w:lang w:val="el-GR"/>
        </w:rPr>
        <w:t xml:space="preserve"> </w:t>
      </w:r>
      <w:r w:rsidR="003E219C">
        <w:rPr>
          <w:noProof/>
          <w:szCs w:val="22"/>
          <w:lang w:val="el-GR"/>
        </w:rPr>
        <w:t>επιπρόσθετη</w:t>
      </w:r>
      <w:r w:rsidR="003E219C" w:rsidRPr="003E219C">
        <w:rPr>
          <w:noProof/>
          <w:szCs w:val="22"/>
          <w:lang w:val="el-GR"/>
        </w:rPr>
        <w:t xml:space="preserve"> </w:t>
      </w:r>
      <w:r w:rsidR="003E219C">
        <w:rPr>
          <w:noProof/>
          <w:szCs w:val="22"/>
          <w:lang w:val="el-GR"/>
        </w:rPr>
        <w:t>χορήγηση</w:t>
      </w:r>
      <w:r w:rsidR="003E219C" w:rsidRPr="003E219C">
        <w:rPr>
          <w:noProof/>
          <w:szCs w:val="22"/>
          <w:lang w:val="el-GR"/>
        </w:rPr>
        <w:t xml:space="preserve"> </w:t>
      </w:r>
      <w:r w:rsidR="003E219C">
        <w:rPr>
          <w:noProof/>
          <w:szCs w:val="22"/>
          <w:lang w:val="el-GR"/>
        </w:rPr>
        <w:t>βιταμίνης</w:t>
      </w:r>
      <w:r w:rsidR="003E219C" w:rsidRPr="003E219C">
        <w:rPr>
          <w:noProof/>
          <w:szCs w:val="22"/>
          <w:lang w:val="el-GR"/>
        </w:rPr>
        <w:t xml:space="preserve"> </w:t>
      </w:r>
      <w:r w:rsidR="003E219C">
        <w:rPr>
          <w:noProof/>
          <w:szCs w:val="22"/>
        </w:rPr>
        <w:t>D</w:t>
      </w:r>
      <w:r w:rsidR="003E219C" w:rsidRPr="003E219C">
        <w:rPr>
          <w:noProof/>
          <w:szCs w:val="22"/>
          <w:lang w:val="el-GR"/>
        </w:rPr>
        <w:t xml:space="preserve"> </w:t>
      </w:r>
      <w:r w:rsidR="003E219C">
        <w:rPr>
          <w:noProof/>
          <w:szCs w:val="22"/>
          <w:lang w:val="el-GR"/>
        </w:rPr>
        <w:t>ή</w:t>
      </w:r>
      <w:r w:rsidR="003E219C" w:rsidRPr="003E219C">
        <w:rPr>
          <w:noProof/>
          <w:szCs w:val="22"/>
          <w:lang w:val="el-GR"/>
        </w:rPr>
        <w:t xml:space="preserve"> </w:t>
      </w:r>
      <w:r w:rsidR="003E219C">
        <w:rPr>
          <w:noProof/>
          <w:szCs w:val="22"/>
          <w:lang w:val="el-GR"/>
        </w:rPr>
        <w:t>ασβεστίου</w:t>
      </w:r>
      <w:r w:rsidR="003E219C" w:rsidRPr="003E219C">
        <w:rPr>
          <w:noProof/>
          <w:szCs w:val="22"/>
          <w:lang w:val="el-GR"/>
        </w:rPr>
        <w:t xml:space="preserve"> </w:t>
      </w:r>
      <w:r w:rsidR="003E219C">
        <w:rPr>
          <w:noProof/>
          <w:szCs w:val="22"/>
          <w:lang w:val="el-GR"/>
        </w:rPr>
        <w:t>θα</w:t>
      </w:r>
      <w:r w:rsidR="003E219C" w:rsidRPr="003E219C">
        <w:rPr>
          <w:noProof/>
          <w:szCs w:val="22"/>
          <w:lang w:val="el-GR"/>
        </w:rPr>
        <w:t xml:space="preserve"> </w:t>
      </w:r>
      <w:r w:rsidR="003E219C">
        <w:rPr>
          <w:noProof/>
          <w:szCs w:val="22"/>
          <w:lang w:val="el-GR"/>
        </w:rPr>
        <w:t>πρέπει</w:t>
      </w:r>
      <w:r w:rsidR="003E219C" w:rsidRPr="003E219C">
        <w:rPr>
          <w:noProof/>
          <w:szCs w:val="22"/>
          <w:lang w:val="el-GR"/>
        </w:rPr>
        <w:t xml:space="preserve"> </w:t>
      </w:r>
      <w:r w:rsidR="003E219C">
        <w:rPr>
          <w:noProof/>
          <w:szCs w:val="22"/>
          <w:lang w:val="el-GR"/>
        </w:rPr>
        <w:t>να</w:t>
      </w:r>
      <w:r w:rsidR="003E219C" w:rsidRPr="003E219C">
        <w:rPr>
          <w:noProof/>
          <w:szCs w:val="22"/>
          <w:lang w:val="el-GR"/>
        </w:rPr>
        <w:t xml:space="preserve"> </w:t>
      </w:r>
      <w:r w:rsidR="003E219C">
        <w:rPr>
          <w:noProof/>
          <w:szCs w:val="22"/>
          <w:lang w:val="el-GR"/>
        </w:rPr>
        <w:t>γίνεται μόνο υπό ιατρική επίβλεψη. Σε</w:t>
      </w:r>
      <w:r w:rsidR="003E219C" w:rsidRPr="003E219C">
        <w:rPr>
          <w:noProof/>
          <w:szCs w:val="22"/>
          <w:lang w:val="el-GR"/>
        </w:rPr>
        <w:t xml:space="preserve"> </w:t>
      </w:r>
      <w:r w:rsidR="003E219C">
        <w:rPr>
          <w:noProof/>
          <w:szCs w:val="22"/>
          <w:lang w:val="el-GR"/>
        </w:rPr>
        <w:t>αυτές</w:t>
      </w:r>
      <w:r w:rsidR="003E219C" w:rsidRPr="003E219C">
        <w:rPr>
          <w:noProof/>
          <w:szCs w:val="22"/>
          <w:lang w:val="el-GR"/>
        </w:rPr>
        <w:t xml:space="preserve"> </w:t>
      </w:r>
      <w:r w:rsidR="003E219C">
        <w:rPr>
          <w:noProof/>
          <w:szCs w:val="22"/>
          <w:lang w:val="el-GR"/>
        </w:rPr>
        <w:t>τις</w:t>
      </w:r>
      <w:r w:rsidR="003E219C" w:rsidRPr="003E219C">
        <w:rPr>
          <w:noProof/>
          <w:szCs w:val="22"/>
          <w:lang w:val="el-GR"/>
        </w:rPr>
        <w:t xml:space="preserve"> </w:t>
      </w:r>
      <w:r w:rsidR="003E219C">
        <w:rPr>
          <w:noProof/>
          <w:szCs w:val="22"/>
          <w:lang w:val="el-GR"/>
        </w:rPr>
        <w:t>περιπτώσεις</w:t>
      </w:r>
      <w:r w:rsidR="003E219C" w:rsidRPr="003E219C">
        <w:rPr>
          <w:noProof/>
          <w:szCs w:val="22"/>
          <w:lang w:val="el-GR"/>
        </w:rPr>
        <w:t xml:space="preserve"> </w:t>
      </w:r>
      <w:r w:rsidR="003E219C">
        <w:rPr>
          <w:noProof/>
          <w:szCs w:val="22"/>
          <w:lang w:val="el-GR"/>
        </w:rPr>
        <w:t>θα</w:t>
      </w:r>
      <w:r w:rsidR="003E219C" w:rsidRPr="003E219C">
        <w:rPr>
          <w:noProof/>
          <w:szCs w:val="22"/>
          <w:lang w:val="el-GR"/>
        </w:rPr>
        <w:t xml:space="preserve"> </w:t>
      </w:r>
      <w:r w:rsidR="003E219C">
        <w:rPr>
          <w:noProof/>
          <w:szCs w:val="22"/>
          <w:lang w:val="el-GR"/>
        </w:rPr>
        <w:t>πρέπει να παρακολουθούνται τα επίπεδα του ασβεστίου στον ορό και τα ούρα (βλ</w:t>
      </w:r>
      <w:r w:rsidR="000A5C58">
        <w:rPr>
          <w:noProof/>
          <w:szCs w:val="22"/>
          <w:lang w:val="el-GR"/>
        </w:rPr>
        <w:t>.</w:t>
      </w:r>
      <w:r w:rsidR="003E219C">
        <w:rPr>
          <w:noProof/>
          <w:szCs w:val="22"/>
          <w:lang w:val="el-GR"/>
        </w:rPr>
        <w:t xml:space="preserve"> παραπάνω)</w:t>
      </w:r>
      <w:r w:rsidR="00B8607D" w:rsidRPr="001F57A1">
        <w:rPr>
          <w:noProof/>
          <w:szCs w:val="22"/>
          <w:lang w:val="el-GR"/>
        </w:rPr>
        <w:t>.</w:t>
      </w:r>
    </w:p>
    <w:p w:rsidR="00147DEB" w:rsidRPr="001F57A1" w:rsidRDefault="00147DEB" w:rsidP="00840687">
      <w:pPr>
        <w:jc w:val="both"/>
        <w:rPr>
          <w:lang w:val="el-GR"/>
        </w:rPr>
      </w:pPr>
    </w:p>
    <w:p w:rsidR="001F57A1" w:rsidRPr="001F57A1" w:rsidRDefault="001D29E6" w:rsidP="00840687">
      <w:pPr>
        <w:jc w:val="both"/>
        <w:rPr>
          <w:b/>
          <w:lang w:val="el-GR"/>
        </w:rPr>
      </w:pPr>
      <w:r w:rsidRPr="001F57A1">
        <w:rPr>
          <w:b/>
          <w:lang w:val="el-GR"/>
        </w:rPr>
        <w:t>4.5</w:t>
      </w:r>
      <w:r w:rsidRPr="001F57A1">
        <w:rPr>
          <w:b/>
          <w:lang w:val="el-GR"/>
        </w:rPr>
        <w:tab/>
      </w:r>
      <w:r w:rsidR="001F57A1" w:rsidRPr="001F57A1">
        <w:rPr>
          <w:b/>
          <w:lang w:val="el-GR"/>
        </w:rPr>
        <w:t>Αλληλεπιδράσεις με άλλα φαρμακευτικά προϊόντα και άλλες μορφές αλληλεπίδρασης</w:t>
      </w:r>
    </w:p>
    <w:p w:rsidR="001D29E6" w:rsidRDefault="001D29E6" w:rsidP="00840687">
      <w:pPr>
        <w:jc w:val="both"/>
      </w:pPr>
    </w:p>
    <w:p w:rsidR="00B8607D" w:rsidRPr="00307427" w:rsidRDefault="00775205" w:rsidP="00840687">
      <w:pPr>
        <w:jc w:val="both"/>
        <w:outlineLvl w:val="0"/>
        <w:rPr>
          <w:lang w:val="el-GR"/>
        </w:rPr>
      </w:pPr>
      <w:r w:rsidRPr="00775205">
        <w:rPr>
          <w:lang w:val="el-GR"/>
        </w:rPr>
        <w:t>Η</w:t>
      </w:r>
      <w:r w:rsidRPr="00307427">
        <w:rPr>
          <w:lang w:val="el-GR"/>
        </w:rPr>
        <w:t xml:space="preserve"> </w:t>
      </w:r>
      <w:r w:rsidRPr="00775205">
        <w:rPr>
          <w:lang w:val="el-GR"/>
        </w:rPr>
        <w:t>φαινυντοΐνη</w:t>
      </w:r>
      <w:r w:rsidRPr="00307427">
        <w:rPr>
          <w:lang w:val="el-GR"/>
        </w:rPr>
        <w:t xml:space="preserve"> </w:t>
      </w:r>
      <w:r w:rsidR="00DA2AF7">
        <w:rPr>
          <w:lang w:val="el-GR"/>
        </w:rPr>
        <w:t>ή</w:t>
      </w:r>
      <w:r w:rsidR="00DA2AF7" w:rsidRPr="00307427">
        <w:rPr>
          <w:lang w:val="el-GR"/>
        </w:rPr>
        <w:t xml:space="preserve"> </w:t>
      </w:r>
      <w:r w:rsidR="00DA2AF7">
        <w:rPr>
          <w:lang w:val="el-GR"/>
        </w:rPr>
        <w:t>τα</w:t>
      </w:r>
      <w:r w:rsidR="00DA2AF7" w:rsidRPr="00307427">
        <w:rPr>
          <w:lang w:val="el-GR"/>
        </w:rPr>
        <w:t xml:space="preserve"> </w:t>
      </w:r>
      <w:r w:rsidR="00DA2AF7">
        <w:rPr>
          <w:lang w:val="el-GR"/>
        </w:rPr>
        <w:t>βαρβιτουρικά</w:t>
      </w:r>
      <w:r w:rsidRPr="00307427">
        <w:rPr>
          <w:lang w:val="el-GR"/>
        </w:rPr>
        <w:t xml:space="preserve"> </w:t>
      </w:r>
      <w:r w:rsidRPr="00775205">
        <w:rPr>
          <w:lang w:val="el-GR"/>
        </w:rPr>
        <w:t>μπορ</w:t>
      </w:r>
      <w:r w:rsidR="00DA2AF7">
        <w:rPr>
          <w:lang w:val="el-GR"/>
        </w:rPr>
        <w:t>εί</w:t>
      </w:r>
      <w:r w:rsidR="00DA2AF7" w:rsidRPr="00307427">
        <w:rPr>
          <w:lang w:val="el-GR"/>
        </w:rPr>
        <w:t xml:space="preserve"> </w:t>
      </w:r>
      <w:r w:rsidRPr="00775205">
        <w:rPr>
          <w:lang w:val="el-GR"/>
        </w:rPr>
        <w:t>να</w:t>
      </w:r>
      <w:r w:rsidRPr="00307427">
        <w:rPr>
          <w:lang w:val="el-GR"/>
        </w:rPr>
        <w:t xml:space="preserve"> </w:t>
      </w:r>
      <w:r w:rsidRPr="00775205">
        <w:rPr>
          <w:lang w:val="el-GR"/>
        </w:rPr>
        <w:t>μειώσουν</w:t>
      </w:r>
      <w:r w:rsidRPr="00307427">
        <w:rPr>
          <w:lang w:val="el-GR"/>
        </w:rPr>
        <w:t xml:space="preserve"> </w:t>
      </w:r>
      <w:r w:rsidRPr="00775205">
        <w:rPr>
          <w:lang w:val="el-GR"/>
        </w:rPr>
        <w:t>την</w:t>
      </w:r>
      <w:r w:rsidRPr="00307427">
        <w:rPr>
          <w:lang w:val="el-GR"/>
        </w:rPr>
        <w:t xml:space="preserve"> </w:t>
      </w:r>
      <w:r w:rsidRPr="00775205">
        <w:rPr>
          <w:lang w:val="el-GR"/>
        </w:rPr>
        <w:t>επίδραση</w:t>
      </w:r>
      <w:r w:rsidRPr="00307427">
        <w:rPr>
          <w:lang w:val="el-GR"/>
        </w:rPr>
        <w:t xml:space="preserve"> </w:t>
      </w:r>
      <w:r w:rsidRPr="00775205">
        <w:rPr>
          <w:lang w:val="el-GR"/>
        </w:rPr>
        <w:t>της</w:t>
      </w:r>
      <w:r w:rsidRPr="00307427">
        <w:rPr>
          <w:lang w:val="el-GR"/>
        </w:rPr>
        <w:t xml:space="preserve"> </w:t>
      </w:r>
      <w:r w:rsidRPr="00775205">
        <w:rPr>
          <w:lang w:val="el-GR"/>
        </w:rPr>
        <w:t>βιταμίνης</w:t>
      </w:r>
      <w:r w:rsidRPr="00307427">
        <w:rPr>
          <w:lang w:val="el-GR"/>
        </w:rPr>
        <w:t xml:space="preserve"> </w:t>
      </w:r>
      <w:r w:rsidRPr="00775205">
        <w:rPr>
          <w:lang w:val="en-US"/>
        </w:rPr>
        <w:t>D</w:t>
      </w:r>
      <w:r w:rsidRPr="00307427">
        <w:rPr>
          <w:lang w:val="el-GR"/>
        </w:rPr>
        <w:t>.</w:t>
      </w:r>
    </w:p>
    <w:p w:rsidR="00B8607D" w:rsidRPr="00307427" w:rsidRDefault="00B8607D" w:rsidP="00840687">
      <w:pPr>
        <w:jc w:val="both"/>
        <w:rPr>
          <w:lang w:val="el-GR"/>
        </w:rPr>
      </w:pPr>
    </w:p>
    <w:p w:rsidR="00B8607D" w:rsidRDefault="00307427" w:rsidP="00840687">
      <w:pPr>
        <w:jc w:val="both"/>
        <w:rPr>
          <w:lang w:val="el-GR"/>
        </w:rPr>
      </w:pPr>
      <w:r>
        <w:rPr>
          <w:lang w:val="el-GR"/>
        </w:rPr>
        <w:lastRenderedPageBreak/>
        <w:t>Τα</w:t>
      </w:r>
      <w:r w:rsidRPr="00885B7C">
        <w:rPr>
          <w:lang w:val="el-GR"/>
        </w:rPr>
        <w:t xml:space="preserve"> </w:t>
      </w:r>
      <w:r>
        <w:rPr>
          <w:lang w:val="el-GR"/>
        </w:rPr>
        <w:t>θειαζιδικά</w:t>
      </w:r>
      <w:r w:rsidRPr="00885B7C">
        <w:rPr>
          <w:lang w:val="el-GR"/>
        </w:rPr>
        <w:t xml:space="preserve"> </w:t>
      </w:r>
      <w:r>
        <w:rPr>
          <w:lang w:val="el-GR"/>
        </w:rPr>
        <w:t>διουρητικά</w:t>
      </w:r>
      <w:r w:rsidRPr="00885B7C">
        <w:rPr>
          <w:lang w:val="el-GR"/>
        </w:rPr>
        <w:t xml:space="preserve"> </w:t>
      </w:r>
      <w:r w:rsidR="00885B7C" w:rsidRPr="00885B7C">
        <w:rPr>
          <w:lang w:val="el-GR"/>
        </w:rPr>
        <w:t>μπορεί να οδηγήσουν σε υπερασβεστιαιμία</w:t>
      </w:r>
      <w:r w:rsidRPr="00885B7C">
        <w:rPr>
          <w:lang w:val="el-GR"/>
        </w:rPr>
        <w:t xml:space="preserve"> </w:t>
      </w:r>
      <w:r w:rsidR="000A5C58">
        <w:rPr>
          <w:lang w:val="el-GR"/>
        </w:rPr>
        <w:t xml:space="preserve">λόγω της μειωμένης </w:t>
      </w:r>
      <w:r w:rsidR="00885B7C">
        <w:rPr>
          <w:lang w:val="el-GR"/>
        </w:rPr>
        <w:t xml:space="preserve">απέκκρισης ασβεστίου </w:t>
      </w:r>
      <w:r w:rsidR="00095B2F">
        <w:rPr>
          <w:lang w:val="el-GR"/>
        </w:rPr>
        <w:t>μέσω</w:t>
      </w:r>
      <w:r w:rsidR="00885B7C">
        <w:rPr>
          <w:lang w:val="el-GR"/>
        </w:rPr>
        <w:t xml:space="preserve"> των νεφρών. </w:t>
      </w:r>
      <w:r w:rsidR="00095B2F">
        <w:rPr>
          <w:lang w:val="el-GR"/>
        </w:rPr>
        <w:t>Κατά συνέπεια</w:t>
      </w:r>
      <w:r w:rsidR="00885B7C" w:rsidRPr="00885B7C">
        <w:rPr>
          <w:lang w:val="el-GR"/>
        </w:rPr>
        <w:t xml:space="preserve">, </w:t>
      </w:r>
      <w:r w:rsidR="00885B7C">
        <w:rPr>
          <w:lang w:val="el-GR"/>
        </w:rPr>
        <w:t>τα</w:t>
      </w:r>
      <w:r w:rsidR="00885B7C" w:rsidRPr="00885B7C">
        <w:rPr>
          <w:lang w:val="el-GR"/>
        </w:rPr>
        <w:t xml:space="preserve"> </w:t>
      </w:r>
      <w:r w:rsidR="00885B7C">
        <w:rPr>
          <w:lang w:val="el-GR"/>
        </w:rPr>
        <w:t>επίπεδα</w:t>
      </w:r>
      <w:r w:rsidR="00885B7C" w:rsidRPr="00885B7C">
        <w:rPr>
          <w:lang w:val="el-GR"/>
        </w:rPr>
        <w:t xml:space="preserve"> </w:t>
      </w:r>
      <w:r w:rsidR="00885B7C">
        <w:rPr>
          <w:lang w:val="el-GR"/>
        </w:rPr>
        <w:t>ασβεστίου</w:t>
      </w:r>
      <w:r w:rsidR="00885B7C" w:rsidRPr="00885B7C">
        <w:rPr>
          <w:lang w:val="el-GR"/>
        </w:rPr>
        <w:t xml:space="preserve"> </w:t>
      </w:r>
      <w:r w:rsidR="00885B7C">
        <w:rPr>
          <w:lang w:val="el-GR"/>
        </w:rPr>
        <w:t>στο</w:t>
      </w:r>
      <w:r w:rsidR="00885B7C" w:rsidRPr="00885B7C">
        <w:rPr>
          <w:lang w:val="el-GR"/>
        </w:rPr>
        <w:t xml:space="preserve"> </w:t>
      </w:r>
      <w:r w:rsidR="00885B7C">
        <w:rPr>
          <w:lang w:val="el-GR"/>
        </w:rPr>
        <w:t>πλάσμα</w:t>
      </w:r>
      <w:r w:rsidR="00885B7C" w:rsidRPr="00885B7C">
        <w:rPr>
          <w:lang w:val="el-GR"/>
        </w:rPr>
        <w:t xml:space="preserve"> </w:t>
      </w:r>
      <w:r w:rsidR="00885B7C">
        <w:rPr>
          <w:lang w:val="el-GR"/>
        </w:rPr>
        <w:t>και</w:t>
      </w:r>
      <w:r w:rsidR="00885B7C" w:rsidRPr="00885B7C">
        <w:rPr>
          <w:lang w:val="el-GR"/>
        </w:rPr>
        <w:t xml:space="preserve"> </w:t>
      </w:r>
      <w:r w:rsidR="00885B7C">
        <w:rPr>
          <w:lang w:val="el-GR"/>
        </w:rPr>
        <w:t>τα</w:t>
      </w:r>
      <w:r w:rsidR="00885B7C" w:rsidRPr="00885B7C">
        <w:rPr>
          <w:lang w:val="el-GR"/>
        </w:rPr>
        <w:t xml:space="preserve"> </w:t>
      </w:r>
      <w:r w:rsidR="00885B7C">
        <w:rPr>
          <w:lang w:val="el-GR"/>
        </w:rPr>
        <w:t xml:space="preserve">ούρα θα πρέπει να παρακολουθούνται </w:t>
      </w:r>
      <w:r w:rsidR="00095B2F">
        <w:rPr>
          <w:lang w:val="el-GR"/>
        </w:rPr>
        <w:t>κατά τη μακροχρόνια θεραπεία</w:t>
      </w:r>
      <w:r w:rsidR="00885B7C">
        <w:rPr>
          <w:lang w:val="el-GR"/>
        </w:rPr>
        <w:t xml:space="preserve">. </w:t>
      </w:r>
    </w:p>
    <w:p w:rsidR="00885B7C" w:rsidRPr="00885B7C" w:rsidRDefault="00885B7C" w:rsidP="00840687">
      <w:pPr>
        <w:jc w:val="both"/>
        <w:rPr>
          <w:lang w:val="el-GR"/>
        </w:rPr>
      </w:pPr>
    </w:p>
    <w:p w:rsidR="00B8607D" w:rsidRPr="00A054A5" w:rsidRDefault="00A054A5" w:rsidP="00840687">
      <w:pPr>
        <w:jc w:val="both"/>
        <w:outlineLvl w:val="0"/>
        <w:rPr>
          <w:lang w:val="el-GR"/>
        </w:rPr>
      </w:pPr>
      <w:r>
        <w:rPr>
          <w:lang w:val="el-GR"/>
        </w:rPr>
        <w:t>Η</w:t>
      </w:r>
      <w:r w:rsidRPr="00A054A5">
        <w:rPr>
          <w:lang w:val="el-GR"/>
        </w:rPr>
        <w:t xml:space="preserve"> </w:t>
      </w:r>
      <w:r>
        <w:rPr>
          <w:lang w:val="el-GR"/>
        </w:rPr>
        <w:t>ταυτόχρονη</w:t>
      </w:r>
      <w:r w:rsidRPr="00A054A5">
        <w:rPr>
          <w:lang w:val="el-GR"/>
        </w:rPr>
        <w:t xml:space="preserve"> </w:t>
      </w:r>
      <w:r>
        <w:rPr>
          <w:lang w:val="el-GR"/>
        </w:rPr>
        <w:t>χορήγηση</w:t>
      </w:r>
      <w:r w:rsidRPr="00A054A5">
        <w:rPr>
          <w:lang w:val="el-GR"/>
        </w:rPr>
        <w:t xml:space="preserve"> </w:t>
      </w:r>
      <w:r>
        <w:rPr>
          <w:lang w:val="el-GR"/>
        </w:rPr>
        <w:t>γλυκοκορτικοειδών</w:t>
      </w:r>
      <w:r w:rsidRPr="00A054A5">
        <w:rPr>
          <w:lang w:val="el-GR"/>
        </w:rPr>
        <w:t xml:space="preserve"> </w:t>
      </w:r>
      <w:r>
        <w:rPr>
          <w:lang w:val="el-GR"/>
        </w:rPr>
        <w:t>μπορεί</w:t>
      </w:r>
      <w:r w:rsidRPr="00A054A5">
        <w:rPr>
          <w:lang w:val="el-GR"/>
        </w:rPr>
        <w:t xml:space="preserve"> </w:t>
      </w:r>
      <w:r>
        <w:rPr>
          <w:lang w:val="el-GR"/>
        </w:rPr>
        <w:t>να</w:t>
      </w:r>
      <w:r w:rsidRPr="00A054A5">
        <w:rPr>
          <w:lang w:val="el-GR"/>
        </w:rPr>
        <w:t xml:space="preserve"> </w:t>
      </w:r>
      <w:r>
        <w:rPr>
          <w:lang w:val="el-GR"/>
        </w:rPr>
        <w:t>μειώσει</w:t>
      </w:r>
      <w:r w:rsidRPr="00A054A5">
        <w:rPr>
          <w:lang w:val="el-GR"/>
        </w:rPr>
        <w:t xml:space="preserve"> </w:t>
      </w:r>
      <w:r>
        <w:rPr>
          <w:lang w:val="el-GR"/>
        </w:rPr>
        <w:t>την</w:t>
      </w:r>
      <w:r w:rsidRPr="00A054A5">
        <w:rPr>
          <w:lang w:val="el-GR"/>
        </w:rPr>
        <w:t xml:space="preserve"> </w:t>
      </w:r>
      <w:r>
        <w:rPr>
          <w:lang w:val="el-GR"/>
        </w:rPr>
        <w:t xml:space="preserve">επίδραση της βιταμίνης </w:t>
      </w:r>
      <w:r w:rsidR="00B8607D">
        <w:t>D</w:t>
      </w:r>
      <w:r w:rsidR="00B8607D" w:rsidRPr="00A054A5">
        <w:rPr>
          <w:lang w:val="el-GR"/>
        </w:rPr>
        <w:t>.</w:t>
      </w:r>
    </w:p>
    <w:p w:rsidR="00B8607D" w:rsidRPr="00A054A5" w:rsidRDefault="00B8607D" w:rsidP="00840687">
      <w:pPr>
        <w:jc w:val="both"/>
        <w:rPr>
          <w:lang w:val="el-GR"/>
        </w:rPr>
      </w:pPr>
    </w:p>
    <w:p w:rsidR="00B8607D" w:rsidRPr="00C5685E" w:rsidRDefault="00B564C4" w:rsidP="00840687">
      <w:pPr>
        <w:jc w:val="both"/>
        <w:rPr>
          <w:lang w:val="el-GR"/>
        </w:rPr>
      </w:pPr>
      <w:r>
        <w:rPr>
          <w:lang w:val="el-GR"/>
        </w:rPr>
        <w:t>Η</w:t>
      </w:r>
      <w:r w:rsidRPr="00B564C4">
        <w:rPr>
          <w:lang w:val="el-GR"/>
        </w:rPr>
        <w:t xml:space="preserve"> </w:t>
      </w:r>
      <w:r>
        <w:rPr>
          <w:lang w:val="el-GR"/>
        </w:rPr>
        <w:t>τοξικότητα</w:t>
      </w:r>
      <w:r w:rsidRPr="00B564C4">
        <w:rPr>
          <w:lang w:val="el-GR"/>
        </w:rPr>
        <w:t xml:space="preserve"> </w:t>
      </w:r>
      <w:r>
        <w:rPr>
          <w:lang w:val="el-GR"/>
        </w:rPr>
        <w:t>των</w:t>
      </w:r>
      <w:r w:rsidRPr="00B564C4">
        <w:rPr>
          <w:lang w:val="el-GR"/>
        </w:rPr>
        <w:t xml:space="preserve"> </w:t>
      </w:r>
      <w:r>
        <w:rPr>
          <w:lang w:val="el-GR"/>
        </w:rPr>
        <w:t>καρδιακών</w:t>
      </w:r>
      <w:r w:rsidRPr="00B564C4">
        <w:rPr>
          <w:lang w:val="el-GR"/>
        </w:rPr>
        <w:t xml:space="preserve"> </w:t>
      </w:r>
      <w:r>
        <w:rPr>
          <w:lang w:val="el-GR"/>
        </w:rPr>
        <w:t>γλυκοσιδών</w:t>
      </w:r>
      <w:r w:rsidRPr="00B564C4">
        <w:rPr>
          <w:lang w:val="el-GR"/>
        </w:rPr>
        <w:t xml:space="preserve"> </w:t>
      </w:r>
      <w:r>
        <w:rPr>
          <w:lang w:val="el-GR"/>
        </w:rPr>
        <w:t>μπορεί</w:t>
      </w:r>
      <w:r w:rsidRPr="00B564C4">
        <w:rPr>
          <w:lang w:val="el-GR"/>
        </w:rPr>
        <w:t xml:space="preserve"> </w:t>
      </w:r>
      <w:r>
        <w:rPr>
          <w:lang w:val="el-GR"/>
        </w:rPr>
        <w:t>να</w:t>
      </w:r>
      <w:r w:rsidRPr="00B564C4">
        <w:rPr>
          <w:lang w:val="el-GR"/>
        </w:rPr>
        <w:t xml:space="preserve"> </w:t>
      </w:r>
      <w:r>
        <w:rPr>
          <w:lang w:val="el-GR"/>
        </w:rPr>
        <w:t>αυξηθεί</w:t>
      </w:r>
      <w:r w:rsidRPr="00B564C4">
        <w:rPr>
          <w:lang w:val="el-GR"/>
        </w:rPr>
        <w:t xml:space="preserve"> </w:t>
      </w:r>
      <w:r>
        <w:rPr>
          <w:lang w:val="el-GR"/>
        </w:rPr>
        <w:t>κατά τη</w:t>
      </w:r>
      <w:r w:rsidRPr="00B564C4">
        <w:rPr>
          <w:lang w:val="el-GR"/>
        </w:rPr>
        <w:t xml:space="preserve"> </w:t>
      </w:r>
      <w:r>
        <w:rPr>
          <w:lang w:val="el-GR"/>
        </w:rPr>
        <w:t>διάρκεια</w:t>
      </w:r>
      <w:r w:rsidRPr="00B564C4">
        <w:rPr>
          <w:lang w:val="el-GR"/>
        </w:rPr>
        <w:t xml:space="preserve"> </w:t>
      </w:r>
      <w:r>
        <w:rPr>
          <w:lang w:val="el-GR"/>
        </w:rPr>
        <w:t>της</w:t>
      </w:r>
      <w:r w:rsidRPr="00B564C4">
        <w:rPr>
          <w:lang w:val="el-GR"/>
        </w:rPr>
        <w:t xml:space="preserve"> </w:t>
      </w:r>
      <w:r>
        <w:rPr>
          <w:lang w:val="el-GR"/>
        </w:rPr>
        <w:t>θεραπείας με βιταμίνη</w:t>
      </w:r>
      <w:r w:rsidR="00B8607D" w:rsidRPr="00B564C4">
        <w:rPr>
          <w:lang w:val="el-GR"/>
        </w:rPr>
        <w:t xml:space="preserve"> </w:t>
      </w:r>
      <w:r w:rsidR="00B8607D">
        <w:t>D</w:t>
      </w:r>
      <w:r>
        <w:rPr>
          <w:lang w:val="el-GR"/>
        </w:rPr>
        <w:t xml:space="preserve"> λόγω αυξημένω επιπέδων ασβεστίου (κίνδυνος καρδιακ</w:t>
      </w:r>
      <w:r w:rsidR="00095B2F">
        <w:rPr>
          <w:lang w:val="el-GR"/>
        </w:rPr>
        <w:t>ών αρρυθμιών</w:t>
      </w:r>
      <w:r w:rsidR="00B8607D" w:rsidRPr="00B564C4">
        <w:rPr>
          <w:lang w:val="el-GR"/>
        </w:rPr>
        <w:t xml:space="preserve">). </w:t>
      </w:r>
      <w:r w:rsidR="00C5685E">
        <w:rPr>
          <w:lang w:val="el-GR"/>
        </w:rPr>
        <w:t>Το</w:t>
      </w:r>
      <w:r w:rsidR="00C5685E" w:rsidRPr="00C5685E">
        <w:rPr>
          <w:lang w:val="el-GR"/>
        </w:rPr>
        <w:t xml:space="preserve"> </w:t>
      </w:r>
      <w:r w:rsidR="00C5685E">
        <w:rPr>
          <w:lang w:val="el-GR"/>
        </w:rPr>
        <w:t>ΗΚΓ</w:t>
      </w:r>
      <w:r w:rsidR="00C5685E" w:rsidRPr="00C5685E">
        <w:rPr>
          <w:lang w:val="el-GR"/>
        </w:rPr>
        <w:t xml:space="preserve"> </w:t>
      </w:r>
      <w:r w:rsidR="00C5685E">
        <w:rPr>
          <w:lang w:val="el-GR"/>
        </w:rPr>
        <w:t>καθώς</w:t>
      </w:r>
      <w:r w:rsidR="00C5685E" w:rsidRPr="00C5685E">
        <w:rPr>
          <w:lang w:val="el-GR"/>
        </w:rPr>
        <w:t xml:space="preserve"> </w:t>
      </w:r>
      <w:r w:rsidR="00C5685E">
        <w:rPr>
          <w:lang w:val="el-GR"/>
        </w:rPr>
        <w:t>και</w:t>
      </w:r>
      <w:r w:rsidR="00C5685E" w:rsidRPr="00C5685E">
        <w:rPr>
          <w:lang w:val="el-GR"/>
        </w:rPr>
        <w:t xml:space="preserve"> </w:t>
      </w:r>
      <w:r w:rsidR="00C5685E">
        <w:rPr>
          <w:lang w:val="el-GR"/>
        </w:rPr>
        <w:t>τα</w:t>
      </w:r>
      <w:r w:rsidR="00C5685E" w:rsidRPr="00C5685E">
        <w:rPr>
          <w:lang w:val="el-GR"/>
        </w:rPr>
        <w:t xml:space="preserve"> </w:t>
      </w:r>
      <w:r w:rsidR="00C5685E">
        <w:rPr>
          <w:lang w:val="el-GR"/>
        </w:rPr>
        <w:t>επίπεδα</w:t>
      </w:r>
      <w:r w:rsidR="00C5685E" w:rsidRPr="00C5685E">
        <w:rPr>
          <w:lang w:val="el-GR"/>
        </w:rPr>
        <w:t xml:space="preserve"> </w:t>
      </w:r>
      <w:r w:rsidR="00C5685E">
        <w:rPr>
          <w:lang w:val="el-GR"/>
        </w:rPr>
        <w:t>ασβεστίου</w:t>
      </w:r>
      <w:r w:rsidR="00C5685E" w:rsidRPr="00C5685E">
        <w:rPr>
          <w:lang w:val="el-GR"/>
        </w:rPr>
        <w:t xml:space="preserve"> </w:t>
      </w:r>
      <w:r w:rsidR="00C5685E">
        <w:rPr>
          <w:lang w:val="el-GR"/>
        </w:rPr>
        <w:t>στο</w:t>
      </w:r>
      <w:r w:rsidR="00C5685E" w:rsidRPr="00C5685E">
        <w:rPr>
          <w:lang w:val="el-GR"/>
        </w:rPr>
        <w:t xml:space="preserve"> </w:t>
      </w:r>
      <w:r w:rsidR="00C5685E">
        <w:rPr>
          <w:lang w:val="el-GR"/>
        </w:rPr>
        <w:t>πλάσμα</w:t>
      </w:r>
      <w:r w:rsidR="00C5685E" w:rsidRPr="00C5685E">
        <w:rPr>
          <w:lang w:val="el-GR"/>
        </w:rPr>
        <w:t xml:space="preserve"> </w:t>
      </w:r>
      <w:r w:rsidR="00C5685E">
        <w:rPr>
          <w:lang w:val="el-GR"/>
        </w:rPr>
        <w:t>και</w:t>
      </w:r>
      <w:r w:rsidR="00C5685E" w:rsidRPr="00C5685E">
        <w:rPr>
          <w:lang w:val="el-GR"/>
        </w:rPr>
        <w:t xml:space="preserve"> </w:t>
      </w:r>
      <w:r w:rsidR="00C5685E">
        <w:rPr>
          <w:lang w:val="el-GR"/>
        </w:rPr>
        <w:t>τα</w:t>
      </w:r>
      <w:r w:rsidR="00C5685E" w:rsidRPr="00C5685E">
        <w:rPr>
          <w:lang w:val="el-GR"/>
        </w:rPr>
        <w:t xml:space="preserve"> </w:t>
      </w:r>
      <w:r w:rsidR="00C5685E">
        <w:rPr>
          <w:lang w:val="el-GR"/>
        </w:rPr>
        <w:t>ούρα</w:t>
      </w:r>
      <w:r w:rsidR="00C5685E" w:rsidRPr="00C5685E">
        <w:rPr>
          <w:lang w:val="el-GR"/>
        </w:rPr>
        <w:t xml:space="preserve"> </w:t>
      </w:r>
      <w:r w:rsidR="00C5685E">
        <w:rPr>
          <w:lang w:val="el-GR"/>
        </w:rPr>
        <w:t>θα</w:t>
      </w:r>
      <w:r w:rsidR="00C5685E" w:rsidRPr="00C5685E">
        <w:rPr>
          <w:lang w:val="el-GR"/>
        </w:rPr>
        <w:t xml:space="preserve"> </w:t>
      </w:r>
      <w:r w:rsidR="00C5685E">
        <w:rPr>
          <w:lang w:val="el-GR"/>
        </w:rPr>
        <w:t xml:space="preserve">πρέπει να παρακολουθούνται σε αυτούς τους ασθενείς. </w:t>
      </w:r>
    </w:p>
    <w:p w:rsidR="00533FA8" w:rsidRPr="007B2814" w:rsidRDefault="00533FA8" w:rsidP="00840687">
      <w:pPr>
        <w:jc w:val="both"/>
        <w:rPr>
          <w:lang w:val="el-GR"/>
        </w:rPr>
      </w:pPr>
    </w:p>
    <w:p w:rsidR="00533FA8" w:rsidRPr="007B2814" w:rsidRDefault="007B2814" w:rsidP="00840687">
      <w:pPr>
        <w:jc w:val="both"/>
        <w:rPr>
          <w:lang w:val="el-GR"/>
        </w:rPr>
      </w:pPr>
      <w:r>
        <w:rPr>
          <w:lang w:val="el-GR"/>
        </w:rPr>
        <w:t>Η</w:t>
      </w:r>
      <w:r w:rsidRPr="007B2814">
        <w:rPr>
          <w:lang w:val="el-GR"/>
        </w:rPr>
        <w:t xml:space="preserve"> </w:t>
      </w:r>
      <w:r>
        <w:rPr>
          <w:lang w:val="el-GR"/>
        </w:rPr>
        <w:t>ταυτόχρονη</w:t>
      </w:r>
      <w:r w:rsidRPr="007B2814">
        <w:rPr>
          <w:lang w:val="el-GR"/>
        </w:rPr>
        <w:t xml:space="preserve"> </w:t>
      </w:r>
      <w:r>
        <w:rPr>
          <w:lang w:val="el-GR"/>
        </w:rPr>
        <w:t>θεραπεία</w:t>
      </w:r>
      <w:r w:rsidRPr="007B2814">
        <w:rPr>
          <w:lang w:val="el-GR"/>
        </w:rPr>
        <w:t xml:space="preserve"> </w:t>
      </w:r>
      <w:r>
        <w:rPr>
          <w:lang w:val="el-GR"/>
        </w:rPr>
        <w:t>με</w:t>
      </w:r>
      <w:r w:rsidRPr="007B2814">
        <w:rPr>
          <w:lang w:val="el-GR"/>
        </w:rPr>
        <w:t xml:space="preserve"> </w:t>
      </w:r>
      <w:r>
        <w:rPr>
          <w:lang w:val="el-GR"/>
        </w:rPr>
        <w:t>ιοντοανταλλακτικές</w:t>
      </w:r>
      <w:r w:rsidRPr="007B2814">
        <w:rPr>
          <w:lang w:val="el-GR"/>
        </w:rPr>
        <w:t xml:space="preserve"> </w:t>
      </w:r>
      <w:r>
        <w:rPr>
          <w:lang w:val="el-GR"/>
        </w:rPr>
        <w:t>ρητίνες</w:t>
      </w:r>
      <w:r w:rsidRPr="007B2814">
        <w:rPr>
          <w:lang w:val="el-GR"/>
        </w:rPr>
        <w:t xml:space="preserve"> </w:t>
      </w:r>
      <w:r>
        <w:rPr>
          <w:lang w:val="el-GR"/>
        </w:rPr>
        <w:t>όπως</w:t>
      </w:r>
      <w:r w:rsidRPr="007B2814">
        <w:rPr>
          <w:lang w:val="el-GR"/>
        </w:rPr>
        <w:t xml:space="preserve"> </w:t>
      </w:r>
      <w:r>
        <w:rPr>
          <w:lang w:val="el-GR"/>
        </w:rPr>
        <w:t>η</w:t>
      </w:r>
      <w:r w:rsidRPr="007B2814">
        <w:rPr>
          <w:lang w:val="el-GR"/>
        </w:rPr>
        <w:t xml:space="preserve"> </w:t>
      </w:r>
      <w:r>
        <w:rPr>
          <w:lang w:val="el-GR"/>
        </w:rPr>
        <w:t>χολεστυρ</w:t>
      </w:r>
      <w:r w:rsidR="00095B2F">
        <w:rPr>
          <w:lang w:val="el-GR"/>
        </w:rPr>
        <w:t>αμίν</w:t>
      </w:r>
      <w:r>
        <w:rPr>
          <w:lang w:val="el-GR"/>
        </w:rPr>
        <w:t>η</w:t>
      </w:r>
      <w:r w:rsidRPr="007B2814">
        <w:rPr>
          <w:lang w:val="el-GR"/>
        </w:rPr>
        <w:t xml:space="preserve"> </w:t>
      </w:r>
      <w:r>
        <w:rPr>
          <w:lang w:val="el-GR"/>
        </w:rPr>
        <w:t>ή</w:t>
      </w:r>
      <w:r w:rsidRPr="007B2814">
        <w:rPr>
          <w:lang w:val="el-GR"/>
        </w:rPr>
        <w:t xml:space="preserve"> </w:t>
      </w:r>
      <w:r>
        <w:rPr>
          <w:lang w:val="el-GR"/>
        </w:rPr>
        <w:t>υπακτικά</w:t>
      </w:r>
      <w:r w:rsidRPr="007B2814">
        <w:rPr>
          <w:lang w:val="el-GR"/>
        </w:rPr>
        <w:t xml:space="preserve"> </w:t>
      </w:r>
      <w:r>
        <w:rPr>
          <w:lang w:val="el-GR"/>
        </w:rPr>
        <w:t xml:space="preserve">όπως </w:t>
      </w:r>
      <w:r w:rsidR="00DB4015">
        <w:rPr>
          <w:lang w:val="el-GR"/>
        </w:rPr>
        <w:t xml:space="preserve">το έλαιο </w:t>
      </w:r>
      <w:r>
        <w:rPr>
          <w:lang w:val="el-GR"/>
        </w:rPr>
        <w:t>παραφίνη</w:t>
      </w:r>
      <w:r w:rsidR="00DB4015">
        <w:rPr>
          <w:lang w:val="el-GR"/>
        </w:rPr>
        <w:t xml:space="preserve">ς μπορεί να μειώσουν τη γαστρεντερική απορρόφηση της βιταμίνης </w:t>
      </w:r>
      <w:r w:rsidR="00533FA8">
        <w:t>D</w:t>
      </w:r>
      <w:r w:rsidR="00533FA8" w:rsidRPr="007B2814">
        <w:rPr>
          <w:lang w:val="el-GR"/>
        </w:rPr>
        <w:t>.</w:t>
      </w:r>
    </w:p>
    <w:p w:rsidR="00533FA8" w:rsidRPr="007B2814" w:rsidRDefault="00533FA8" w:rsidP="00840687">
      <w:pPr>
        <w:jc w:val="both"/>
        <w:rPr>
          <w:lang w:val="el-GR"/>
        </w:rPr>
      </w:pPr>
    </w:p>
    <w:p w:rsidR="00533FA8" w:rsidRPr="00476C35" w:rsidRDefault="006B2A54" w:rsidP="00840687">
      <w:pPr>
        <w:jc w:val="both"/>
        <w:rPr>
          <w:lang w:val="el-GR"/>
        </w:rPr>
      </w:pPr>
      <w:r w:rsidRPr="00B3153C">
        <w:rPr>
          <w:lang w:val="el-GR"/>
        </w:rPr>
        <w:t>Ο κυτταροτοξικός παράγοντας ακτινομυκίνη και</w:t>
      </w:r>
      <w:r w:rsidR="00476C35" w:rsidRPr="00B3153C">
        <w:rPr>
          <w:lang w:val="el-GR"/>
        </w:rPr>
        <w:t xml:space="preserve"> </w:t>
      </w:r>
      <w:r w:rsidR="00FD3C32" w:rsidRPr="00B3153C">
        <w:rPr>
          <w:lang w:val="el-GR"/>
        </w:rPr>
        <w:t>τα αντιμυκητιασικά</w:t>
      </w:r>
      <w:r w:rsidR="00476C35" w:rsidRPr="00B3153C">
        <w:rPr>
          <w:lang w:val="el-GR"/>
        </w:rPr>
        <w:t xml:space="preserve"> ιμιδαζόλης</w:t>
      </w:r>
      <w:r w:rsidR="00B47638" w:rsidRPr="00B3153C">
        <w:rPr>
          <w:lang w:val="el-GR"/>
        </w:rPr>
        <w:t xml:space="preserve"> επηρεάζουν τη δράση της βιταμίνης </w:t>
      </w:r>
      <w:r w:rsidR="00533FA8" w:rsidRPr="00B3153C">
        <w:t>D</w:t>
      </w:r>
      <w:r w:rsidR="00533FA8" w:rsidRPr="00B3153C">
        <w:rPr>
          <w:lang w:val="el-GR"/>
        </w:rPr>
        <w:t xml:space="preserve"> </w:t>
      </w:r>
      <w:r w:rsidR="00DE37C9" w:rsidRPr="00B3153C">
        <w:rPr>
          <w:lang w:val="el-GR"/>
        </w:rPr>
        <w:t>αναστέλλοντας</w:t>
      </w:r>
      <w:r w:rsidR="00B47638" w:rsidRPr="00B3153C">
        <w:rPr>
          <w:lang w:val="el-GR"/>
        </w:rPr>
        <w:t xml:space="preserve"> τη</w:t>
      </w:r>
      <w:r w:rsidR="00DE37C9" w:rsidRPr="00B3153C">
        <w:rPr>
          <w:lang w:val="el-GR"/>
        </w:rPr>
        <w:t xml:space="preserve"> μετατροπή</w:t>
      </w:r>
      <w:r w:rsidR="00B47638" w:rsidRPr="00B3153C">
        <w:rPr>
          <w:lang w:val="el-GR"/>
        </w:rPr>
        <w:t xml:space="preserve"> της </w:t>
      </w:r>
      <w:r w:rsidR="00533FA8" w:rsidRPr="00B3153C">
        <w:rPr>
          <w:lang w:val="el-GR"/>
        </w:rPr>
        <w:t>25-</w:t>
      </w:r>
      <w:r w:rsidR="00B47638" w:rsidRPr="00B3153C">
        <w:rPr>
          <w:lang w:val="el-GR"/>
        </w:rPr>
        <w:t>υδρόξυ</w:t>
      </w:r>
      <w:r w:rsidR="00FC0AA3" w:rsidRPr="00B3153C">
        <w:rPr>
          <w:lang w:val="el-GR"/>
        </w:rPr>
        <w:t>-</w:t>
      </w:r>
      <w:r w:rsidR="00B47638" w:rsidRPr="00B3153C">
        <w:rPr>
          <w:lang w:val="el-GR"/>
        </w:rPr>
        <w:t xml:space="preserve">βιταμίνης </w:t>
      </w:r>
      <w:r w:rsidR="00533FA8" w:rsidRPr="00B3153C">
        <w:t>D</w:t>
      </w:r>
      <w:r w:rsidR="00533FA8" w:rsidRPr="00B3153C">
        <w:rPr>
          <w:lang w:val="el-GR"/>
        </w:rPr>
        <w:t xml:space="preserve"> </w:t>
      </w:r>
      <w:r w:rsidR="00B47638" w:rsidRPr="00B3153C">
        <w:rPr>
          <w:lang w:val="el-GR"/>
        </w:rPr>
        <w:t xml:space="preserve">σε </w:t>
      </w:r>
      <w:r w:rsidR="00533FA8" w:rsidRPr="00B3153C">
        <w:rPr>
          <w:lang w:val="el-GR"/>
        </w:rPr>
        <w:t>1,25-</w:t>
      </w:r>
      <w:r w:rsidR="00B47638" w:rsidRPr="00B3153C">
        <w:rPr>
          <w:lang w:val="el-GR"/>
        </w:rPr>
        <w:t>διυδρόξυ</w:t>
      </w:r>
      <w:r w:rsidR="00FC0AA3" w:rsidRPr="00B3153C">
        <w:rPr>
          <w:lang w:val="el-GR"/>
        </w:rPr>
        <w:t>-</w:t>
      </w:r>
      <w:r w:rsidR="00B47638" w:rsidRPr="00B3153C">
        <w:rPr>
          <w:lang w:val="el-GR"/>
        </w:rPr>
        <w:t xml:space="preserve">βιταμίνη </w:t>
      </w:r>
      <w:r w:rsidR="00533FA8" w:rsidRPr="00B3153C">
        <w:t>D</w:t>
      </w:r>
      <w:r w:rsidR="00533FA8" w:rsidRPr="00B3153C">
        <w:rPr>
          <w:lang w:val="el-GR"/>
        </w:rPr>
        <w:t xml:space="preserve"> </w:t>
      </w:r>
      <w:r w:rsidR="00B47638" w:rsidRPr="00B3153C">
        <w:rPr>
          <w:lang w:val="el-GR"/>
        </w:rPr>
        <w:t>από το</w:t>
      </w:r>
      <w:r w:rsidR="00B47638">
        <w:rPr>
          <w:lang w:val="el-GR"/>
        </w:rPr>
        <w:t xml:space="preserve"> </w:t>
      </w:r>
      <w:r w:rsidR="00B3153C">
        <w:rPr>
          <w:lang w:val="el-GR"/>
        </w:rPr>
        <w:t>έ</w:t>
      </w:r>
      <w:r w:rsidR="00B47638">
        <w:rPr>
          <w:lang w:val="el-GR"/>
        </w:rPr>
        <w:t xml:space="preserve">νζυμο </w:t>
      </w:r>
      <w:r w:rsidR="00B3153C">
        <w:rPr>
          <w:lang w:val="el-GR"/>
        </w:rPr>
        <w:t>1-</w:t>
      </w:r>
      <w:r w:rsidR="00B47638">
        <w:rPr>
          <w:lang w:val="el-GR"/>
        </w:rPr>
        <w:t xml:space="preserve">υδροξυλάση της </w:t>
      </w:r>
      <w:r w:rsidR="00533FA8" w:rsidRPr="00476C35">
        <w:rPr>
          <w:lang w:val="el-GR"/>
        </w:rPr>
        <w:t>25-</w:t>
      </w:r>
      <w:r w:rsidR="00B47638">
        <w:rPr>
          <w:lang w:val="el-GR"/>
        </w:rPr>
        <w:t>υδροξυ</w:t>
      </w:r>
      <w:r w:rsidR="00E60E9A" w:rsidRPr="00E60E9A">
        <w:rPr>
          <w:lang w:val="el-GR"/>
        </w:rPr>
        <w:t>-</w:t>
      </w:r>
      <w:r w:rsidR="00B47638">
        <w:rPr>
          <w:lang w:val="el-GR"/>
        </w:rPr>
        <w:t>βιταμίνης</w:t>
      </w:r>
      <w:r w:rsidR="00B3153C">
        <w:rPr>
          <w:lang w:val="el-GR"/>
        </w:rPr>
        <w:t xml:space="preserve"> </w:t>
      </w:r>
      <w:r w:rsidR="00B3153C">
        <w:rPr>
          <w:lang w:val="en-US"/>
        </w:rPr>
        <w:t>D</w:t>
      </w:r>
      <w:r w:rsidR="00B47638">
        <w:rPr>
          <w:lang w:val="el-GR"/>
        </w:rPr>
        <w:t xml:space="preserve"> </w:t>
      </w:r>
      <w:r w:rsidR="00B3153C">
        <w:rPr>
          <w:lang w:val="el-GR"/>
        </w:rPr>
        <w:t>στους νεφρούς</w:t>
      </w:r>
      <w:r w:rsidR="00533FA8" w:rsidRPr="00476C35">
        <w:rPr>
          <w:lang w:val="el-GR"/>
        </w:rPr>
        <w:t>.</w:t>
      </w:r>
    </w:p>
    <w:p w:rsidR="001D29E6" w:rsidRPr="00476C35" w:rsidRDefault="001D29E6" w:rsidP="00840687">
      <w:pPr>
        <w:jc w:val="both"/>
        <w:rPr>
          <w:lang w:val="el-GR"/>
        </w:rPr>
      </w:pPr>
    </w:p>
    <w:p w:rsidR="001D29E6" w:rsidRPr="00DE37C9" w:rsidRDefault="001D29E6">
      <w:pPr>
        <w:ind w:left="567" w:hanging="567"/>
        <w:rPr>
          <w:lang w:val="el-GR"/>
        </w:rPr>
      </w:pPr>
      <w:r>
        <w:rPr>
          <w:b/>
        </w:rPr>
        <w:t>4.6</w:t>
      </w:r>
      <w:r>
        <w:rPr>
          <w:b/>
        </w:rPr>
        <w:tab/>
      </w:r>
      <w:r w:rsidR="0082781B" w:rsidRPr="00786D07">
        <w:rPr>
          <w:b/>
          <w:noProof/>
        </w:rPr>
        <w:t xml:space="preserve">Γονιμότητα, </w:t>
      </w:r>
      <w:r w:rsidR="00DE37C9">
        <w:rPr>
          <w:b/>
          <w:noProof/>
          <w:lang w:val="el-GR"/>
        </w:rPr>
        <w:t>κύηση</w:t>
      </w:r>
      <w:r w:rsidR="0082781B" w:rsidRPr="00786D07">
        <w:rPr>
          <w:b/>
        </w:rPr>
        <w:t xml:space="preserve"> και </w:t>
      </w:r>
      <w:r w:rsidR="00DE37C9">
        <w:rPr>
          <w:b/>
          <w:lang w:val="el-GR"/>
        </w:rPr>
        <w:t>γαλουχία</w:t>
      </w:r>
    </w:p>
    <w:p w:rsidR="00B8607D" w:rsidRDefault="00B8607D" w:rsidP="00B8607D"/>
    <w:p w:rsidR="00FE1EF5" w:rsidRPr="00FE1EF5" w:rsidRDefault="00FE1EF5" w:rsidP="00353642">
      <w:pPr>
        <w:jc w:val="both"/>
        <w:rPr>
          <w:lang w:val="en-US"/>
        </w:rPr>
      </w:pPr>
      <w:r w:rsidRPr="00786D07">
        <w:rPr>
          <w:noProof/>
        </w:rPr>
        <w:t>Εγκυμοσύνη</w:t>
      </w:r>
      <w:r>
        <w:t xml:space="preserve"> </w:t>
      </w:r>
    </w:p>
    <w:p w:rsidR="00CB6807" w:rsidRPr="00F66049" w:rsidRDefault="00FE1EF5" w:rsidP="00353642">
      <w:pPr>
        <w:jc w:val="both"/>
        <w:rPr>
          <w:lang w:val="el-GR"/>
        </w:rPr>
      </w:pPr>
      <w:r>
        <w:rPr>
          <w:lang w:val="el-GR"/>
        </w:rPr>
        <w:t>Το</w:t>
      </w:r>
      <w:r w:rsidRPr="00D63D14">
        <w:rPr>
          <w:lang w:val="el-GR"/>
        </w:rPr>
        <w:t xml:space="preserve"> </w:t>
      </w:r>
      <w:r w:rsidR="00467714">
        <w:t>LECALCIF</w:t>
      </w:r>
      <w:r w:rsidRPr="00D63D14">
        <w:rPr>
          <w:lang w:val="el-GR"/>
        </w:rPr>
        <w:t xml:space="preserve"> </w:t>
      </w:r>
      <w:r>
        <w:rPr>
          <w:lang w:val="el-GR"/>
        </w:rPr>
        <w:t>θα</w:t>
      </w:r>
      <w:r w:rsidRPr="00D63D14">
        <w:rPr>
          <w:lang w:val="el-GR"/>
        </w:rPr>
        <w:t xml:space="preserve"> </w:t>
      </w:r>
      <w:r>
        <w:rPr>
          <w:lang w:val="el-GR"/>
        </w:rPr>
        <w:t>πρέπει</w:t>
      </w:r>
      <w:r w:rsidRPr="00D63D14">
        <w:rPr>
          <w:lang w:val="el-GR"/>
        </w:rPr>
        <w:t xml:space="preserve"> </w:t>
      </w:r>
      <w:r>
        <w:rPr>
          <w:lang w:val="el-GR"/>
        </w:rPr>
        <w:t>να</w:t>
      </w:r>
      <w:r w:rsidRPr="00D63D14">
        <w:rPr>
          <w:lang w:val="el-GR"/>
        </w:rPr>
        <w:t xml:space="preserve"> </w:t>
      </w:r>
      <w:r>
        <w:rPr>
          <w:lang w:val="el-GR"/>
        </w:rPr>
        <w:t>λαμβάνεται</w:t>
      </w:r>
      <w:r w:rsidRPr="00D63D14">
        <w:rPr>
          <w:lang w:val="el-GR"/>
        </w:rPr>
        <w:t xml:space="preserve"> </w:t>
      </w:r>
      <w:r w:rsidR="00CB6807" w:rsidRPr="00D63D14">
        <w:rPr>
          <w:lang w:val="el-GR"/>
        </w:rPr>
        <w:t xml:space="preserve"> </w:t>
      </w:r>
      <w:r>
        <w:rPr>
          <w:lang w:val="el-GR"/>
        </w:rPr>
        <w:t>κατά</w:t>
      </w:r>
      <w:r w:rsidRPr="00D63D14">
        <w:rPr>
          <w:lang w:val="el-GR"/>
        </w:rPr>
        <w:t xml:space="preserve"> </w:t>
      </w:r>
      <w:r>
        <w:rPr>
          <w:lang w:val="el-GR"/>
        </w:rPr>
        <w:t>τη</w:t>
      </w:r>
      <w:r w:rsidRPr="00D63D14">
        <w:rPr>
          <w:lang w:val="el-GR"/>
        </w:rPr>
        <w:t xml:space="preserve"> </w:t>
      </w:r>
      <w:r>
        <w:rPr>
          <w:lang w:val="el-GR"/>
        </w:rPr>
        <w:t>διάρκεια</w:t>
      </w:r>
      <w:r w:rsidRPr="00D63D14">
        <w:rPr>
          <w:lang w:val="el-GR"/>
        </w:rPr>
        <w:t xml:space="preserve"> </w:t>
      </w:r>
      <w:r>
        <w:rPr>
          <w:lang w:val="el-GR"/>
        </w:rPr>
        <w:t>της</w:t>
      </w:r>
      <w:r w:rsidRPr="00D63D14">
        <w:rPr>
          <w:lang w:val="el-GR"/>
        </w:rPr>
        <w:t xml:space="preserve"> </w:t>
      </w:r>
      <w:r>
        <w:rPr>
          <w:lang w:val="el-GR"/>
        </w:rPr>
        <w:t>εγκυμοσύνης</w:t>
      </w:r>
      <w:r w:rsidRPr="00D63D14">
        <w:rPr>
          <w:lang w:val="el-GR"/>
        </w:rPr>
        <w:t xml:space="preserve"> </w:t>
      </w:r>
      <w:r>
        <w:rPr>
          <w:lang w:val="el-GR"/>
        </w:rPr>
        <w:t>μόνο</w:t>
      </w:r>
      <w:r w:rsidRPr="00D63D14">
        <w:rPr>
          <w:lang w:val="el-GR"/>
        </w:rPr>
        <w:t xml:space="preserve"> </w:t>
      </w:r>
      <w:r w:rsidR="00D63D14">
        <w:rPr>
          <w:lang w:val="el-GR"/>
        </w:rPr>
        <w:t xml:space="preserve">αν </w:t>
      </w:r>
      <w:r>
        <w:rPr>
          <w:lang w:val="el-GR"/>
        </w:rPr>
        <w:t>είναι</w:t>
      </w:r>
      <w:r w:rsidRPr="00D63D14">
        <w:rPr>
          <w:lang w:val="el-GR"/>
        </w:rPr>
        <w:t xml:space="preserve"> </w:t>
      </w:r>
      <w:r w:rsidR="00D63D14">
        <w:rPr>
          <w:lang w:val="el-GR"/>
        </w:rPr>
        <w:t>σαφώς</w:t>
      </w:r>
      <w:r w:rsidRPr="00D63D14">
        <w:rPr>
          <w:lang w:val="el-GR"/>
        </w:rPr>
        <w:t xml:space="preserve"> </w:t>
      </w:r>
      <w:r>
        <w:rPr>
          <w:lang w:val="el-GR"/>
        </w:rPr>
        <w:t>αναγκαίο</w:t>
      </w:r>
      <w:r w:rsidRPr="00D63D14">
        <w:rPr>
          <w:lang w:val="el-GR"/>
        </w:rPr>
        <w:t xml:space="preserve"> </w:t>
      </w:r>
      <w:r>
        <w:rPr>
          <w:lang w:val="el-GR"/>
        </w:rPr>
        <w:t>και</w:t>
      </w:r>
      <w:r w:rsidRPr="00D63D14">
        <w:rPr>
          <w:lang w:val="el-GR"/>
        </w:rPr>
        <w:t xml:space="preserve"> </w:t>
      </w:r>
      <w:r>
        <w:rPr>
          <w:lang w:val="el-GR"/>
        </w:rPr>
        <w:t>μόνο</w:t>
      </w:r>
      <w:r w:rsidRPr="00D63D14">
        <w:rPr>
          <w:lang w:val="el-GR"/>
        </w:rPr>
        <w:t xml:space="preserve"> </w:t>
      </w:r>
      <w:r>
        <w:rPr>
          <w:lang w:val="el-GR"/>
        </w:rPr>
        <w:t>σε</w:t>
      </w:r>
      <w:r w:rsidRPr="00D63D14">
        <w:rPr>
          <w:lang w:val="el-GR"/>
        </w:rPr>
        <w:t xml:space="preserve"> </w:t>
      </w:r>
      <w:r>
        <w:rPr>
          <w:lang w:val="el-GR"/>
        </w:rPr>
        <w:t>δόσεις</w:t>
      </w:r>
      <w:r w:rsidRPr="00D63D14">
        <w:rPr>
          <w:lang w:val="el-GR"/>
        </w:rPr>
        <w:t xml:space="preserve"> </w:t>
      </w:r>
      <w:r>
        <w:rPr>
          <w:lang w:val="el-GR"/>
        </w:rPr>
        <w:t>που</w:t>
      </w:r>
      <w:r w:rsidRPr="00D63D14">
        <w:rPr>
          <w:lang w:val="el-GR"/>
        </w:rPr>
        <w:t xml:space="preserve"> </w:t>
      </w:r>
      <w:r>
        <w:rPr>
          <w:lang w:val="el-GR"/>
        </w:rPr>
        <w:t>είναι</w:t>
      </w:r>
      <w:r w:rsidRPr="00D63D14">
        <w:rPr>
          <w:lang w:val="el-GR"/>
        </w:rPr>
        <w:t xml:space="preserve"> </w:t>
      </w:r>
      <w:r>
        <w:rPr>
          <w:lang w:val="el-GR"/>
        </w:rPr>
        <w:t>απόλυτως</w:t>
      </w:r>
      <w:r w:rsidRPr="00D63D14">
        <w:rPr>
          <w:lang w:val="el-GR"/>
        </w:rPr>
        <w:t xml:space="preserve"> </w:t>
      </w:r>
      <w:r>
        <w:rPr>
          <w:lang w:val="el-GR"/>
        </w:rPr>
        <w:t>απαραίτητες</w:t>
      </w:r>
      <w:r w:rsidRPr="00D63D14">
        <w:rPr>
          <w:lang w:val="el-GR"/>
        </w:rPr>
        <w:t xml:space="preserve"> </w:t>
      </w:r>
      <w:r>
        <w:rPr>
          <w:lang w:val="el-GR"/>
        </w:rPr>
        <w:t>για</w:t>
      </w:r>
      <w:r w:rsidRPr="00D63D14">
        <w:rPr>
          <w:lang w:val="el-GR"/>
        </w:rPr>
        <w:t xml:space="preserve"> </w:t>
      </w:r>
      <w:r>
        <w:rPr>
          <w:lang w:val="el-GR"/>
        </w:rPr>
        <w:t>την</w:t>
      </w:r>
      <w:r w:rsidRPr="00D63D14">
        <w:rPr>
          <w:lang w:val="el-GR"/>
        </w:rPr>
        <w:t xml:space="preserve"> </w:t>
      </w:r>
      <w:r>
        <w:rPr>
          <w:lang w:val="el-GR"/>
        </w:rPr>
        <w:t>εξάλειψη</w:t>
      </w:r>
      <w:r w:rsidRPr="00D63D14">
        <w:rPr>
          <w:lang w:val="el-GR"/>
        </w:rPr>
        <w:t xml:space="preserve"> </w:t>
      </w:r>
      <w:r>
        <w:rPr>
          <w:lang w:val="el-GR"/>
        </w:rPr>
        <w:t>της</w:t>
      </w:r>
      <w:r w:rsidRPr="00D63D14">
        <w:rPr>
          <w:lang w:val="el-GR"/>
        </w:rPr>
        <w:t xml:space="preserve"> </w:t>
      </w:r>
      <w:r>
        <w:rPr>
          <w:lang w:val="el-GR"/>
        </w:rPr>
        <w:t>ανεπάρκειας</w:t>
      </w:r>
      <w:r w:rsidRPr="00D63D14">
        <w:rPr>
          <w:lang w:val="el-GR"/>
        </w:rPr>
        <w:t xml:space="preserve">. </w:t>
      </w:r>
      <w:r>
        <w:rPr>
          <w:lang w:val="el-GR"/>
        </w:rPr>
        <w:t>Η</w:t>
      </w:r>
      <w:r w:rsidRPr="00F66049">
        <w:rPr>
          <w:lang w:val="el-GR"/>
        </w:rPr>
        <w:t xml:space="preserve"> </w:t>
      </w:r>
      <w:r>
        <w:rPr>
          <w:lang w:val="el-GR"/>
        </w:rPr>
        <w:t>υπερδοσολογία</w:t>
      </w:r>
      <w:r w:rsidRPr="00F66049">
        <w:rPr>
          <w:lang w:val="el-GR"/>
        </w:rPr>
        <w:t xml:space="preserve"> </w:t>
      </w:r>
      <w:r>
        <w:rPr>
          <w:lang w:val="el-GR"/>
        </w:rPr>
        <w:t>βιταμίνης</w:t>
      </w:r>
      <w:r w:rsidRPr="00F66049">
        <w:rPr>
          <w:lang w:val="el-GR"/>
        </w:rPr>
        <w:t xml:space="preserve"> </w:t>
      </w:r>
      <w:r w:rsidR="00CB6807">
        <w:t>D</w:t>
      </w:r>
      <w:r w:rsidRPr="00F66049">
        <w:rPr>
          <w:lang w:val="el-GR"/>
        </w:rPr>
        <w:t xml:space="preserve"> </w:t>
      </w:r>
      <w:r>
        <w:rPr>
          <w:lang w:val="el-GR"/>
        </w:rPr>
        <w:t>θα</w:t>
      </w:r>
      <w:r w:rsidRPr="00F66049">
        <w:rPr>
          <w:lang w:val="el-GR"/>
        </w:rPr>
        <w:t xml:space="preserve"> </w:t>
      </w:r>
      <w:r>
        <w:rPr>
          <w:lang w:val="el-GR"/>
        </w:rPr>
        <w:t>πρέπει</w:t>
      </w:r>
      <w:r w:rsidRPr="00F66049">
        <w:rPr>
          <w:lang w:val="el-GR"/>
        </w:rPr>
        <w:t xml:space="preserve"> </w:t>
      </w:r>
      <w:r>
        <w:rPr>
          <w:lang w:val="el-GR"/>
        </w:rPr>
        <w:t>να</w:t>
      </w:r>
      <w:r w:rsidRPr="00F66049">
        <w:rPr>
          <w:lang w:val="el-GR"/>
        </w:rPr>
        <w:t xml:space="preserve"> </w:t>
      </w:r>
      <w:r>
        <w:rPr>
          <w:lang w:val="el-GR"/>
        </w:rPr>
        <w:t>αποφεύγεται</w:t>
      </w:r>
      <w:r w:rsidRPr="00F66049">
        <w:rPr>
          <w:lang w:val="el-GR"/>
        </w:rPr>
        <w:t xml:space="preserve"> </w:t>
      </w:r>
      <w:r>
        <w:rPr>
          <w:lang w:val="el-GR"/>
        </w:rPr>
        <w:t>κατά</w:t>
      </w:r>
      <w:r w:rsidRPr="00F66049">
        <w:rPr>
          <w:lang w:val="el-GR"/>
        </w:rPr>
        <w:t xml:space="preserve"> </w:t>
      </w:r>
      <w:r>
        <w:rPr>
          <w:lang w:val="el-GR"/>
        </w:rPr>
        <w:t>τη</w:t>
      </w:r>
      <w:r w:rsidRPr="00F66049">
        <w:rPr>
          <w:lang w:val="el-GR"/>
        </w:rPr>
        <w:t xml:space="preserve"> </w:t>
      </w:r>
      <w:r>
        <w:rPr>
          <w:lang w:val="el-GR"/>
        </w:rPr>
        <w:t>διάρκεια</w:t>
      </w:r>
      <w:r w:rsidRPr="00F66049">
        <w:rPr>
          <w:lang w:val="el-GR"/>
        </w:rPr>
        <w:t xml:space="preserve"> </w:t>
      </w:r>
      <w:r>
        <w:rPr>
          <w:lang w:val="el-GR"/>
        </w:rPr>
        <w:t>της</w:t>
      </w:r>
      <w:r w:rsidRPr="00F66049">
        <w:rPr>
          <w:lang w:val="el-GR"/>
        </w:rPr>
        <w:t xml:space="preserve"> </w:t>
      </w:r>
      <w:r>
        <w:rPr>
          <w:lang w:val="el-GR"/>
        </w:rPr>
        <w:t>εγκυμοσύνης</w:t>
      </w:r>
      <w:r w:rsidRPr="00F66049">
        <w:rPr>
          <w:lang w:val="el-GR"/>
        </w:rPr>
        <w:t xml:space="preserve">, </w:t>
      </w:r>
      <w:r>
        <w:rPr>
          <w:lang w:val="el-GR"/>
        </w:rPr>
        <w:t>καθώς</w:t>
      </w:r>
      <w:r w:rsidRPr="00F66049">
        <w:rPr>
          <w:lang w:val="el-GR"/>
        </w:rPr>
        <w:t xml:space="preserve"> </w:t>
      </w:r>
      <w:r>
        <w:rPr>
          <w:lang w:val="el-GR"/>
        </w:rPr>
        <w:t>η</w:t>
      </w:r>
      <w:r w:rsidRPr="00F66049">
        <w:rPr>
          <w:lang w:val="el-GR"/>
        </w:rPr>
        <w:t xml:space="preserve"> </w:t>
      </w:r>
      <w:r>
        <w:rPr>
          <w:lang w:val="el-GR"/>
        </w:rPr>
        <w:t>παρατεταμένη</w:t>
      </w:r>
      <w:r w:rsidRPr="00F66049">
        <w:rPr>
          <w:lang w:val="el-GR"/>
        </w:rPr>
        <w:t xml:space="preserve"> </w:t>
      </w:r>
      <w:r>
        <w:rPr>
          <w:lang w:val="el-GR"/>
        </w:rPr>
        <w:t>υπερασβεστιαιμία</w:t>
      </w:r>
      <w:r w:rsidR="00CB6807" w:rsidRPr="00F66049">
        <w:rPr>
          <w:lang w:val="el-GR"/>
        </w:rPr>
        <w:t xml:space="preserve"> </w:t>
      </w:r>
      <w:r w:rsidR="00F66049">
        <w:rPr>
          <w:lang w:val="el-GR"/>
        </w:rPr>
        <w:t>μπορεί</w:t>
      </w:r>
      <w:r w:rsidR="00F66049" w:rsidRPr="00F66049">
        <w:rPr>
          <w:lang w:val="el-GR"/>
        </w:rPr>
        <w:t xml:space="preserve"> </w:t>
      </w:r>
      <w:r w:rsidR="00F66049">
        <w:rPr>
          <w:lang w:val="el-GR"/>
        </w:rPr>
        <w:t>να</w:t>
      </w:r>
      <w:r w:rsidR="00F66049" w:rsidRPr="00F66049">
        <w:rPr>
          <w:lang w:val="el-GR"/>
        </w:rPr>
        <w:t xml:space="preserve"> </w:t>
      </w:r>
      <w:r w:rsidR="00F66049">
        <w:rPr>
          <w:lang w:val="el-GR"/>
        </w:rPr>
        <w:t>οδηγήσει</w:t>
      </w:r>
      <w:r w:rsidR="00F66049" w:rsidRPr="00F66049">
        <w:rPr>
          <w:lang w:val="el-GR"/>
        </w:rPr>
        <w:t xml:space="preserve"> </w:t>
      </w:r>
      <w:r w:rsidR="00F66049">
        <w:rPr>
          <w:lang w:val="el-GR"/>
        </w:rPr>
        <w:t>σε</w:t>
      </w:r>
      <w:r w:rsidR="00F66049" w:rsidRPr="00F66049">
        <w:rPr>
          <w:lang w:val="el-GR"/>
        </w:rPr>
        <w:t xml:space="preserve"> </w:t>
      </w:r>
      <w:r w:rsidR="00F66049">
        <w:rPr>
          <w:lang w:val="el-GR"/>
        </w:rPr>
        <w:t>σωματική</w:t>
      </w:r>
      <w:r w:rsidR="00F66049" w:rsidRPr="00F66049">
        <w:rPr>
          <w:lang w:val="el-GR"/>
        </w:rPr>
        <w:t xml:space="preserve"> </w:t>
      </w:r>
      <w:r w:rsidR="00F66049">
        <w:rPr>
          <w:lang w:val="el-GR"/>
        </w:rPr>
        <w:t>και</w:t>
      </w:r>
      <w:r w:rsidR="00F66049" w:rsidRPr="00F66049">
        <w:rPr>
          <w:lang w:val="el-GR"/>
        </w:rPr>
        <w:t xml:space="preserve"> </w:t>
      </w:r>
      <w:r w:rsidR="00F66049">
        <w:rPr>
          <w:lang w:val="el-GR"/>
        </w:rPr>
        <w:t>νοητική</w:t>
      </w:r>
      <w:r w:rsidR="00F66049" w:rsidRPr="00F66049">
        <w:rPr>
          <w:lang w:val="el-GR"/>
        </w:rPr>
        <w:t xml:space="preserve"> </w:t>
      </w:r>
      <w:r w:rsidR="00F66049">
        <w:rPr>
          <w:lang w:val="el-GR"/>
        </w:rPr>
        <w:t>καθυστέρηση, υπερβαλβιδική στένωση</w:t>
      </w:r>
      <w:r w:rsidR="00F66049" w:rsidRPr="00F66049">
        <w:rPr>
          <w:lang w:val="el-GR"/>
        </w:rPr>
        <w:t xml:space="preserve"> </w:t>
      </w:r>
      <w:r w:rsidR="00D63D14">
        <w:rPr>
          <w:lang w:val="el-GR"/>
        </w:rPr>
        <w:t xml:space="preserve">της αορτής </w:t>
      </w:r>
      <w:r w:rsidR="00F66049">
        <w:rPr>
          <w:lang w:val="el-GR"/>
        </w:rPr>
        <w:t>και ρετινοπάθεια στα παιδιά.</w:t>
      </w:r>
      <w:r w:rsidR="00CB6807" w:rsidRPr="00F66049">
        <w:rPr>
          <w:lang w:val="el-GR"/>
        </w:rPr>
        <w:t xml:space="preserve"> </w:t>
      </w:r>
    </w:p>
    <w:p w:rsidR="00CB6807" w:rsidRPr="00F66049" w:rsidRDefault="00CB6807" w:rsidP="00353642">
      <w:pPr>
        <w:jc w:val="both"/>
        <w:rPr>
          <w:lang w:val="el-GR"/>
        </w:rPr>
      </w:pPr>
    </w:p>
    <w:p w:rsidR="00CB6807" w:rsidRPr="00774C90" w:rsidRDefault="00FE1EF5" w:rsidP="00353642">
      <w:pPr>
        <w:jc w:val="both"/>
        <w:rPr>
          <w:lang w:val="en-US"/>
        </w:rPr>
      </w:pPr>
      <w:r>
        <w:rPr>
          <w:lang w:val="el-GR"/>
        </w:rPr>
        <w:t>Θηλασμός</w:t>
      </w:r>
      <w:r w:rsidRPr="00774C90">
        <w:rPr>
          <w:lang w:val="en-US"/>
        </w:rPr>
        <w:t xml:space="preserve"> </w:t>
      </w:r>
    </w:p>
    <w:p w:rsidR="00774C90" w:rsidRPr="00774C90" w:rsidRDefault="00774C90" w:rsidP="00353642">
      <w:pPr>
        <w:jc w:val="both"/>
        <w:rPr>
          <w:lang w:val="el-GR"/>
        </w:rPr>
      </w:pPr>
      <w:r>
        <w:rPr>
          <w:lang w:val="el-GR"/>
        </w:rPr>
        <w:t>Η</w:t>
      </w:r>
      <w:r w:rsidRPr="00774C90">
        <w:rPr>
          <w:lang w:val="el-GR"/>
        </w:rPr>
        <w:t xml:space="preserve"> </w:t>
      </w:r>
      <w:r>
        <w:rPr>
          <w:lang w:val="el-GR"/>
        </w:rPr>
        <w:t>βιταμίνη</w:t>
      </w:r>
      <w:r w:rsidRPr="00774C90">
        <w:rPr>
          <w:lang w:val="el-GR"/>
        </w:rPr>
        <w:t xml:space="preserve"> </w:t>
      </w:r>
      <w:r w:rsidR="00CB6807">
        <w:t>D</w:t>
      </w:r>
      <w:r w:rsidRPr="00774C90">
        <w:rPr>
          <w:lang w:val="el-GR"/>
        </w:rPr>
        <w:t xml:space="preserve"> </w:t>
      </w:r>
      <w:r>
        <w:rPr>
          <w:lang w:val="el-GR"/>
        </w:rPr>
        <w:t>και</w:t>
      </w:r>
      <w:r w:rsidRPr="00774C90">
        <w:rPr>
          <w:lang w:val="el-GR"/>
        </w:rPr>
        <w:t xml:space="preserve"> </w:t>
      </w:r>
      <w:r>
        <w:rPr>
          <w:lang w:val="el-GR"/>
        </w:rPr>
        <w:t>οι</w:t>
      </w:r>
      <w:r w:rsidRPr="00774C90">
        <w:rPr>
          <w:lang w:val="el-GR"/>
        </w:rPr>
        <w:t xml:space="preserve"> </w:t>
      </w:r>
      <w:r>
        <w:rPr>
          <w:lang w:val="el-GR"/>
        </w:rPr>
        <w:t>μεταβολίτες</w:t>
      </w:r>
      <w:r w:rsidRPr="00774C90">
        <w:rPr>
          <w:lang w:val="el-GR"/>
        </w:rPr>
        <w:t xml:space="preserve"> </w:t>
      </w:r>
      <w:r>
        <w:rPr>
          <w:lang w:val="el-GR"/>
        </w:rPr>
        <w:t>της</w:t>
      </w:r>
      <w:r w:rsidRPr="00774C90">
        <w:rPr>
          <w:lang w:val="el-GR"/>
        </w:rPr>
        <w:t xml:space="preserve"> </w:t>
      </w:r>
      <w:r w:rsidR="00CB6807" w:rsidRPr="00774C90">
        <w:rPr>
          <w:lang w:val="el-GR"/>
        </w:rPr>
        <w:t xml:space="preserve"> </w:t>
      </w:r>
      <w:r w:rsidR="00624031">
        <w:rPr>
          <w:lang w:val="el-GR"/>
        </w:rPr>
        <w:t>απ</w:t>
      </w:r>
      <w:r>
        <w:rPr>
          <w:noProof/>
          <w:lang w:val="el-GR"/>
        </w:rPr>
        <w:t>εκκρίνονται στο ανθρώπινο γάλα</w:t>
      </w:r>
      <w:r w:rsidR="00CB6807" w:rsidRPr="00774C90">
        <w:rPr>
          <w:lang w:val="el-GR"/>
        </w:rPr>
        <w:t xml:space="preserve">. </w:t>
      </w:r>
      <w:r w:rsidRPr="00774C90">
        <w:rPr>
          <w:lang w:val="el-GR"/>
        </w:rPr>
        <w:t xml:space="preserve">Δεν έχει παρατηρηθεί υπερδοσολογία σε βρέφη κατά αυτόν τον τρόπο. </w:t>
      </w:r>
    </w:p>
    <w:p w:rsidR="00CB6807" w:rsidRDefault="00CB6807" w:rsidP="00353642">
      <w:pPr>
        <w:jc w:val="both"/>
      </w:pPr>
    </w:p>
    <w:p w:rsidR="00CB6807" w:rsidRPr="00774C90" w:rsidRDefault="0088265E" w:rsidP="00353642">
      <w:pPr>
        <w:jc w:val="both"/>
        <w:rPr>
          <w:lang w:val="en-US"/>
        </w:rPr>
      </w:pPr>
      <w:r>
        <w:rPr>
          <w:lang w:val="el-GR"/>
        </w:rPr>
        <w:t>Γον</w:t>
      </w:r>
      <w:r w:rsidR="00FE1EF5">
        <w:rPr>
          <w:lang w:val="el-GR"/>
        </w:rPr>
        <w:t>ιμότητα</w:t>
      </w:r>
    </w:p>
    <w:p w:rsidR="00CB6807" w:rsidRPr="00481BED" w:rsidRDefault="00B069A7" w:rsidP="00353642">
      <w:pPr>
        <w:jc w:val="both"/>
        <w:rPr>
          <w:lang w:val="el-GR"/>
        </w:rPr>
      </w:pPr>
      <w:r>
        <w:rPr>
          <w:lang w:val="el-GR"/>
        </w:rPr>
        <w:t>Δεν</w:t>
      </w:r>
      <w:r w:rsidRPr="00B069A7">
        <w:rPr>
          <w:lang w:val="el-GR"/>
        </w:rPr>
        <w:t xml:space="preserve"> </w:t>
      </w:r>
      <w:r>
        <w:rPr>
          <w:lang w:val="el-GR"/>
        </w:rPr>
        <w:t>έχει</w:t>
      </w:r>
      <w:r w:rsidRPr="00B069A7">
        <w:rPr>
          <w:lang w:val="el-GR"/>
        </w:rPr>
        <w:t xml:space="preserve"> </w:t>
      </w:r>
      <w:r>
        <w:rPr>
          <w:lang w:val="el-GR"/>
        </w:rPr>
        <w:t>παρατηρηθεί</w:t>
      </w:r>
      <w:r w:rsidRPr="00B069A7">
        <w:rPr>
          <w:lang w:val="el-GR"/>
        </w:rPr>
        <w:t xml:space="preserve"> </w:t>
      </w:r>
      <w:r>
        <w:rPr>
          <w:lang w:val="el-GR"/>
        </w:rPr>
        <w:t>επίδραση</w:t>
      </w:r>
      <w:r w:rsidRPr="00B069A7">
        <w:rPr>
          <w:lang w:val="el-GR"/>
        </w:rPr>
        <w:t xml:space="preserve"> </w:t>
      </w:r>
      <w:r>
        <w:rPr>
          <w:lang w:val="el-GR"/>
        </w:rPr>
        <w:t>στη</w:t>
      </w:r>
      <w:r w:rsidRPr="00B069A7">
        <w:rPr>
          <w:lang w:val="el-GR"/>
        </w:rPr>
        <w:t xml:space="preserve"> </w:t>
      </w:r>
      <w:r>
        <w:rPr>
          <w:lang w:val="el-GR"/>
        </w:rPr>
        <w:t>γονιμότητα</w:t>
      </w:r>
      <w:r w:rsidRPr="00B069A7">
        <w:rPr>
          <w:lang w:val="el-GR"/>
        </w:rPr>
        <w:t xml:space="preserve"> </w:t>
      </w:r>
      <w:r>
        <w:rPr>
          <w:lang w:val="el-GR"/>
        </w:rPr>
        <w:t>σε</w:t>
      </w:r>
      <w:r w:rsidR="00774C90" w:rsidRPr="00B069A7">
        <w:rPr>
          <w:lang w:val="el-GR"/>
        </w:rPr>
        <w:t xml:space="preserve"> </w:t>
      </w:r>
      <w:r w:rsidR="00774C90">
        <w:rPr>
          <w:lang w:val="el-GR"/>
        </w:rPr>
        <w:t>μελέτες</w:t>
      </w:r>
      <w:r w:rsidR="00774C90" w:rsidRPr="00B069A7">
        <w:rPr>
          <w:lang w:val="el-GR"/>
        </w:rPr>
        <w:t xml:space="preserve"> </w:t>
      </w:r>
      <w:r>
        <w:rPr>
          <w:lang w:val="el-GR"/>
        </w:rPr>
        <w:t>αναπαραγωγικής τοξικότητας</w:t>
      </w:r>
      <w:r w:rsidRPr="00B069A7">
        <w:rPr>
          <w:lang w:val="el-GR"/>
        </w:rPr>
        <w:t xml:space="preserve"> </w:t>
      </w:r>
      <w:r>
        <w:rPr>
          <w:lang w:val="el-GR"/>
        </w:rPr>
        <w:t>με</w:t>
      </w:r>
      <w:r w:rsidRPr="00B069A7">
        <w:rPr>
          <w:lang w:val="el-GR"/>
        </w:rPr>
        <w:t xml:space="preserve"> </w:t>
      </w:r>
      <w:r>
        <w:rPr>
          <w:lang w:val="el-GR"/>
        </w:rPr>
        <w:t>την</w:t>
      </w:r>
      <w:r w:rsidRPr="00B069A7">
        <w:rPr>
          <w:lang w:val="el-GR"/>
        </w:rPr>
        <w:t xml:space="preserve"> </w:t>
      </w:r>
      <w:r>
        <w:rPr>
          <w:lang w:val="el-GR"/>
        </w:rPr>
        <w:t>χοληκαλσιφερόλη</w:t>
      </w:r>
      <w:r w:rsidRPr="00B069A7">
        <w:rPr>
          <w:lang w:val="el-GR"/>
        </w:rPr>
        <w:t>.</w:t>
      </w:r>
      <w:r w:rsidR="00CB6807" w:rsidRPr="00B069A7">
        <w:rPr>
          <w:lang w:val="el-GR"/>
        </w:rPr>
        <w:t xml:space="preserve"> </w:t>
      </w:r>
      <w:r w:rsidR="00481BED">
        <w:rPr>
          <w:lang w:val="el-GR"/>
        </w:rPr>
        <w:t>Η</w:t>
      </w:r>
      <w:r w:rsidR="00481BED" w:rsidRPr="00481BED">
        <w:rPr>
          <w:lang w:val="el-GR"/>
        </w:rPr>
        <w:t xml:space="preserve"> </w:t>
      </w:r>
      <w:r w:rsidR="00481BED">
        <w:rPr>
          <w:lang w:val="el-GR"/>
        </w:rPr>
        <w:t>ενδεχόμενη</w:t>
      </w:r>
      <w:r w:rsidR="00481BED" w:rsidRPr="00481BED">
        <w:rPr>
          <w:lang w:val="el-GR"/>
        </w:rPr>
        <w:t xml:space="preserve"> </w:t>
      </w:r>
      <w:r w:rsidR="00481BED">
        <w:rPr>
          <w:lang w:val="el-GR"/>
        </w:rPr>
        <w:t>σχέση</w:t>
      </w:r>
      <w:r w:rsidR="00481BED" w:rsidRPr="00481BED">
        <w:rPr>
          <w:lang w:val="el-GR"/>
        </w:rPr>
        <w:t xml:space="preserve"> </w:t>
      </w:r>
      <w:r w:rsidR="00481BED">
        <w:rPr>
          <w:lang w:val="el-GR"/>
        </w:rPr>
        <w:t>οφέλους</w:t>
      </w:r>
      <w:r w:rsidR="00481BED" w:rsidRPr="00481BED">
        <w:rPr>
          <w:lang w:val="el-GR"/>
        </w:rPr>
        <w:t>/</w:t>
      </w:r>
      <w:r w:rsidR="00481BED">
        <w:rPr>
          <w:lang w:val="el-GR"/>
        </w:rPr>
        <w:t>κινδύνου για τον άνθρωπο είναι άγνωστη</w:t>
      </w:r>
      <w:r w:rsidR="00CB6807" w:rsidRPr="00481BED">
        <w:rPr>
          <w:lang w:val="el-GR"/>
        </w:rPr>
        <w:t>.</w:t>
      </w:r>
    </w:p>
    <w:p w:rsidR="00CB6807" w:rsidRPr="00481BED" w:rsidRDefault="00CB6807" w:rsidP="00353642">
      <w:pPr>
        <w:jc w:val="both"/>
        <w:rPr>
          <w:lang w:val="el-GR"/>
        </w:rPr>
      </w:pPr>
    </w:p>
    <w:p w:rsidR="001D29E6" w:rsidRPr="00481BED" w:rsidRDefault="001D29E6">
      <w:pPr>
        <w:ind w:left="567" w:hanging="567"/>
        <w:rPr>
          <w:b/>
          <w:lang w:val="el-GR"/>
        </w:rPr>
      </w:pPr>
    </w:p>
    <w:p w:rsidR="001D29E6" w:rsidRPr="007236CC" w:rsidRDefault="001D29E6">
      <w:pPr>
        <w:ind w:left="567" w:hanging="567"/>
        <w:rPr>
          <w:lang w:val="el-GR"/>
        </w:rPr>
      </w:pPr>
      <w:r w:rsidRPr="007236CC">
        <w:rPr>
          <w:b/>
          <w:lang w:val="el-GR"/>
        </w:rPr>
        <w:t>4.7</w:t>
      </w:r>
      <w:r w:rsidRPr="007236CC">
        <w:rPr>
          <w:b/>
          <w:lang w:val="el-GR"/>
        </w:rPr>
        <w:tab/>
      </w:r>
      <w:r w:rsidR="007236CC" w:rsidRPr="007236CC">
        <w:rPr>
          <w:b/>
          <w:lang w:val="el-GR"/>
        </w:rPr>
        <w:t>Επιδράσεις στην ικανότητα οδήγησης και χειρισμού μηχανών</w:t>
      </w:r>
    </w:p>
    <w:p w:rsidR="001D29E6" w:rsidRPr="007236CC" w:rsidRDefault="001D29E6">
      <w:pPr>
        <w:rPr>
          <w:lang w:val="el-GR"/>
        </w:rPr>
      </w:pPr>
    </w:p>
    <w:p w:rsidR="001D29E6" w:rsidRDefault="00624031" w:rsidP="00353642">
      <w:pPr>
        <w:jc w:val="both"/>
        <w:rPr>
          <w:lang w:val="en-US"/>
        </w:rPr>
      </w:pPr>
      <w:r w:rsidRPr="00624031">
        <w:rPr>
          <w:lang w:val="el-GR"/>
        </w:rPr>
        <w:t>Δεν εφαρμόζεται.</w:t>
      </w:r>
    </w:p>
    <w:p w:rsidR="00624031" w:rsidRPr="00624031" w:rsidRDefault="00624031" w:rsidP="00353642">
      <w:pPr>
        <w:jc w:val="both"/>
        <w:rPr>
          <w:lang w:val="en-US"/>
        </w:rPr>
      </w:pPr>
    </w:p>
    <w:p w:rsidR="001D29E6" w:rsidRDefault="00624031" w:rsidP="00353642">
      <w:pPr>
        <w:numPr>
          <w:ilvl w:val="1"/>
          <w:numId w:val="10"/>
        </w:numPr>
        <w:jc w:val="both"/>
        <w:rPr>
          <w:b/>
        </w:rPr>
      </w:pPr>
      <w:r>
        <w:rPr>
          <w:b/>
          <w:lang w:val="el-GR"/>
        </w:rPr>
        <w:t>Ανεπιθύμητες</w:t>
      </w:r>
      <w:r w:rsidR="00D560A7" w:rsidRPr="00D560A7">
        <w:rPr>
          <w:b/>
        </w:rPr>
        <w:t xml:space="preserve"> </w:t>
      </w:r>
      <w:r>
        <w:rPr>
          <w:b/>
          <w:lang w:val="el-GR"/>
        </w:rPr>
        <w:t>ενέργειες</w:t>
      </w:r>
    </w:p>
    <w:p w:rsidR="00B8607D" w:rsidRPr="00B8607D" w:rsidRDefault="00B8607D" w:rsidP="00353642">
      <w:pPr>
        <w:jc w:val="both"/>
      </w:pPr>
    </w:p>
    <w:p w:rsidR="00B8607D" w:rsidRPr="00D05ED9" w:rsidRDefault="00D05ED9" w:rsidP="00353642">
      <w:pPr>
        <w:jc w:val="both"/>
        <w:rPr>
          <w:lang w:val="el-GR"/>
        </w:rPr>
      </w:pPr>
      <w:r>
        <w:rPr>
          <w:lang w:val="el-GR"/>
        </w:rPr>
        <w:t>Η</w:t>
      </w:r>
      <w:r w:rsidRPr="00D05ED9">
        <w:rPr>
          <w:lang w:val="el-GR"/>
        </w:rPr>
        <w:t xml:space="preserve"> </w:t>
      </w:r>
      <w:r w:rsidR="00533C0B">
        <w:rPr>
          <w:lang w:val="el-GR"/>
        </w:rPr>
        <w:t>εκτί</w:t>
      </w:r>
      <w:r>
        <w:rPr>
          <w:lang w:val="el-GR"/>
        </w:rPr>
        <w:t>μηση</w:t>
      </w:r>
      <w:r w:rsidRPr="00D05ED9">
        <w:rPr>
          <w:lang w:val="el-GR"/>
        </w:rPr>
        <w:t xml:space="preserve"> </w:t>
      </w:r>
      <w:r>
        <w:rPr>
          <w:lang w:val="el-GR"/>
        </w:rPr>
        <w:t>των</w:t>
      </w:r>
      <w:r w:rsidRPr="00D05ED9">
        <w:rPr>
          <w:lang w:val="el-GR"/>
        </w:rPr>
        <w:t xml:space="preserve"> </w:t>
      </w:r>
      <w:r>
        <w:rPr>
          <w:lang w:val="el-GR"/>
        </w:rPr>
        <w:t>ανεπιθύμητων</w:t>
      </w:r>
      <w:r w:rsidRPr="00D05ED9">
        <w:rPr>
          <w:lang w:val="el-GR"/>
        </w:rPr>
        <w:t xml:space="preserve"> </w:t>
      </w:r>
      <w:r>
        <w:rPr>
          <w:lang w:val="el-GR"/>
        </w:rPr>
        <w:t>ενεργειών</w:t>
      </w:r>
      <w:r w:rsidRPr="00D05ED9">
        <w:rPr>
          <w:lang w:val="el-GR"/>
        </w:rPr>
        <w:t xml:space="preserve"> </w:t>
      </w:r>
      <w:r>
        <w:rPr>
          <w:lang w:val="el-GR"/>
        </w:rPr>
        <w:t>βασίζεται</w:t>
      </w:r>
      <w:r w:rsidRPr="00D05ED9">
        <w:rPr>
          <w:lang w:val="el-GR"/>
        </w:rPr>
        <w:t xml:space="preserve"> στα ακόλουθα δεδομένα συχνότητας</w:t>
      </w:r>
      <w:r w:rsidR="00B8607D" w:rsidRPr="00D05ED9">
        <w:rPr>
          <w:lang w:val="el-GR"/>
        </w:rPr>
        <w:t xml:space="preserve">: </w:t>
      </w:r>
    </w:p>
    <w:p w:rsidR="00B8607D" w:rsidRPr="00D31CC0" w:rsidRDefault="00533C0B" w:rsidP="00353642">
      <w:pPr>
        <w:jc w:val="both"/>
        <w:rPr>
          <w:lang w:val="el-GR"/>
        </w:rPr>
      </w:pPr>
      <w:r>
        <w:rPr>
          <w:lang w:val="el-GR"/>
        </w:rPr>
        <w:t xml:space="preserve">Πολύ συχνές </w:t>
      </w:r>
      <w:r w:rsidR="00B8607D" w:rsidRPr="00D31CC0">
        <w:rPr>
          <w:lang w:val="el-GR"/>
        </w:rPr>
        <w:t>(≥ 1/10)</w:t>
      </w:r>
    </w:p>
    <w:p w:rsidR="00B8607D" w:rsidRPr="00D31CC0" w:rsidRDefault="00533C0B" w:rsidP="00353642">
      <w:pPr>
        <w:jc w:val="both"/>
        <w:rPr>
          <w:lang w:val="el-GR"/>
        </w:rPr>
      </w:pPr>
      <w:r>
        <w:rPr>
          <w:lang w:val="el-GR"/>
        </w:rPr>
        <w:t xml:space="preserve">Συχνές </w:t>
      </w:r>
      <w:r w:rsidR="00B8607D" w:rsidRPr="00D31CC0">
        <w:rPr>
          <w:lang w:val="el-GR"/>
        </w:rPr>
        <w:t>(≥ 1/100, &lt; 1/10)</w:t>
      </w:r>
    </w:p>
    <w:p w:rsidR="00B8607D" w:rsidRPr="00D31CC0" w:rsidRDefault="00D31CC0" w:rsidP="00353642">
      <w:pPr>
        <w:jc w:val="both"/>
        <w:rPr>
          <w:lang w:val="el-GR"/>
        </w:rPr>
      </w:pPr>
      <w:r>
        <w:rPr>
          <w:lang w:val="el-GR"/>
        </w:rPr>
        <w:t>Όχι συχνές</w:t>
      </w:r>
      <w:r w:rsidR="00B8607D" w:rsidRPr="00D31CC0">
        <w:rPr>
          <w:lang w:val="el-GR"/>
        </w:rPr>
        <w:t xml:space="preserve"> (≥ 1/1,000, &lt; 1/100) </w:t>
      </w:r>
    </w:p>
    <w:p w:rsidR="00B8607D" w:rsidRPr="00D31CC0" w:rsidRDefault="00D31CC0" w:rsidP="00353642">
      <w:pPr>
        <w:jc w:val="both"/>
        <w:rPr>
          <w:lang w:val="el-GR"/>
        </w:rPr>
      </w:pPr>
      <w:r>
        <w:rPr>
          <w:lang w:val="el-GR"/>
        </w:rPr>
        <w:t>Σπάνιες</w:t>
      </w:r>
      <w:r w:rsidR="00B8607D" w:rsidRPr="00D31CC0">
        <w:rPr>
          <w:lang w:val="el-GR"/>
        </w:rPr>
        <w:t xml:space="preserve"> (≥ 1/10,000, &lt; 1/1,000) </w:t>
      </w:r>
    </w:p>
    <w:p w:rsidR="00B8607D" w:rsidRPr="00D31CC0" w:rsidRDefault="00D31CC0" w:rsidP="00353642">
      <w:pPr>
        <w:jc w:val="both"/>
        <w:rPr>
          <w:lang w:val="el-GR"/>
        </w:rPr>
      </w:pPr>
      <w:r>
        <w:rPr>
          <w:lang w:val="el-GR"/>
        </w:rPr>
        <w:t>Πολύ σπάνιες</w:t>
      </w:r>
      <w:r w:rsidR="00B8607D" w:rsidRPr="00D31CC0">
        <w:rPr>
          <w:lang w:val="el-GR"/>
        </w:rPr>
        <w:t xml:space="preserve"> (&lt; 1/10,000)</w:t>
      </w:r>
    </w:p>
    <w:p w:rsidR="00B8607D" w:rsidRPr="00D31CC0" w:rsidRDefault="00D31CC0" w:rsidP="00353642">
      <w:pPr>
        <w:jc w:val="both"/>
        <w:rPr>
          <w:lang w:val="el-GR"/>
        </w:rPr>
      </w:pPr>
      <w:r>
        <w:rPr>
          <w:lang w:val="el-GR"/>
        </w:rPr>
        <w:t>Μ</w:t>
      </w:r>
      <w:r w:rsidRPr="00D31CC0">
        <w:rPr>
          <w:lang w:val="el-GR"/>
        </w:rPr>
        <w:t>η γνωστές (δεν μπορούν να εκτιμηθούν με βάση τα διαθέσιμα δεδομένα)</w:t>
      </w:r>
      <w:r w:rsidR="00341324">
        <w:rPr>
          <w:lang w:val="el-GR"/>
        </w:rPr>
        <w:t xml:space="preserve"> </w:t>
      </w:r>
    </w:p>
    <w:p w:rsidR="00B8607D" w:rsidRPr="00D31CC0" w:rsidRDefault="00B8607D" w:rsidP="00353642">
      <w:pPr>
        <w:jc w:val="both"/>
        <w:rPr>
          <w:lang w:val="el-GR"/>
        </w:rPr>
      </w:pPr>
    </w:p>
    <w:p w:rsidR="00B8607D" w:rsidRPr="00CD070F" w:rsidRDefault="0083339D" w:rsidP="00353642">
      <w:pPr>
        <w:jc w:val="both"/>
        <w:rPr>
          <w:lang w:val="el-GR"/>
        </w:rPr>
      </w:pPr>
      <w:r w:rsidRPr="00CD070F">
        <w:rPr>
          <w:lang w:val="el-GR"/>
        </w:rPr>
        <w:t>Οι ανεπιθύμητες ενέργειες είναι αποτέλεσμα της υπερδοσολογίας</w:t>
      </w:r>
      <w:r w:rsidR="00B8607D" w:rsidRPr="00CD070F">
        <w:rPr>
          <w:lang w:val="el-GR"/>
        </w:rPr>
        <w:t>.</w:t>
      </w:r>
    </w:p>
    <w:p w:rsidR="001401B4" w:rsidRPr="001401B4" w:rsidRDefault="00CD070F" w:rsidP="00353642">
      <w:pPr>
        <w:jc w:val="both"/>
        <w:rPr>
          <w:lang w:val="el-GR"/>
        </w:rPr>
      </w:pPr>
      <w:r w:rsidRPr="00CD070F">
        <w:rPr>
          <w:lang w:val="el-GR"/>
        </w:rPr>
        <w:t>Ανάλογα με τη δόση και τη διάρκεια</w:t>
      </w:r>
      <w:r w:rsidR="001401B4" w:rsidRPr="00CD070F">
        <w:rPr>
          <w:lang w:val="el-GR"/>
        </w:rPr>
        <w:t xml:space="preserve"> της θεραπείας, σοβαρή και παρατεταμένη υπερασβεστιαιμία με οξείες</w:t>
      </w:r>
      <w:r w:rsidRPr="00CD070F">
        <w:rPr>
          <w:lang w:val="el-GR"/>
        </w:rPr>
        <w:t xml:space="preserve"> </w:t>
      </w:r>
      <w:r w:rsidR="001401B4" w:rsidRPr="00CD070F">
        <w:rPr>
          <w:lang w:val="el-GR"/>
        </w:rPr>
        <w:t xml:space="preserve"> (καρδιακή αρρυθμία, ναυτία, έμετος, ψυχικά συμπτώματα, διαταραχές της συνείδησης) και χρόνιες</w:t>
      </w:r>
      <w:r w:rsidR="001401B4" w:rsidRPr="001401B4">
        <w:rPr>
          <w:lang w:val="el-GR"/>
        </w:rPr>
        <w:t xml:space="preserve"> (αυξημένη επείγουσα ανάγκη για ούρηση, αυξημένη δίψα, απώλεια όρεξης, απώλεια βάρους, </w:t>
      </w:r>
      <w:r>
        <w:rPr>
          <w:lang w:val="el-GR"/>
        </w:rPr>
        <w:t>νεφρολιθίαση</w:t>
      </w:r>
      <w:r w:rsidR="001401B4" w:rsidRPr="001401B4">
        <w:rPr>
          <w:lang w:val="el-GR"/>
        </w:rPr>
        <w:t xml:space="preserve">, </w:t>
      </w:r>
      <w:r w:rsidR="00D31418">
        <w:rPr>
          <w:noProof/>
          <w:lang w:val="el-GR"/>
        </w:rPr>
        <w:t>νεφρασβέστωση</w:t>
      </w:r>
      <w:r w:rsidR="001401B4" w:rsidRPr="001401B4">
        <w:rPr>
          <w:lang w:val="el-GR"/>
        </w:rPr>
        <w:t xml:space="preserve">, ασβεστοποίηση ιστών εκτός του σκελετού) </w:t>
      </w:r>
      <w:r w:rsidR="00EF4ABD" w:rsidRPr="001401B4">
        <w:rPr>
          <w:lang w:val="el-GR"/>
        </w:rPr>
        <w:t xml:space="preserve">συνέπειες </w:t>
      </w:r>
      <w:r w:rsidR="00EF4ABD">
        <w:rPr>
          <w:lang w:val="el-GR"/>
        </w:rPr>
        <w:t>μπορεί να εμφανιστεί</w:t>
      </w:r>
      <w:r w:rsidR="001401B4" w:rsidRPr="001401B4">
        <w:rPr>
          <w:lang w:val="el-GR"/>
        </w:rPr>
        <w:t>.</w:t>
      </w:r>
    </w:p>
    <w:p w:rsidR="00B8607D" w:rsidRPr="004B3DCC" w:rsidRDefault="006B76EE" w:rsidP="00353642">
      <w:pPr>
        <w:jc w:val="both"/>
        <w:rPr>
          <w:lang w:val="el-GR"/>
        </w:rPr>
      </w:pPr>
      <w:r>
        <w:rPr>
          <w:lang w:val="el-GR"/>
        </w:rPr>
        <w:lastRenderedPageBreak/>
        <w:t>Σε</w:t>
      </w:r>
      <w:r w:rsidRPr="006B76EE">
        <w:rPr>
          <w:lang w:val="el-GR"/>
        </w:rPr>
        <w:t xml:space="preserve"> </w:t>
      </w:r>
      <w:r>
        <w:rPr>
          <w:lang w:val="el-GR"/>
        </w:rPr>
        <w:t>πολυ</w:t>
      </w:r>
      <w:r w:rsidRPr="006B76EE">
        <w:rPr>
          <w:lang w:val="el-GR"/>
        </w:rPr>
        <w:t xml:space="preserve"> </w:t>
      </w:r>
      <w:r>
        <w:rPr>
          <w:lang w:val="el-GR"/>
        </w:rPr>
        <w:t>σπάνιες</w:t>
      </w:r>
      <w:r w:rsidRPr="006B76EE">
        <w:rPr>
          <w:lang w:val="el-GR"/>
        </w:rPr>
        <w:t xml:space="preserve"> </w:t>
      </w:r>
      <w:r>
        <w:rPr>
          <w:lang w:val="el-GR"/>
        </w:rPr>
        <w:t>περιπτώσεις</w:t>
      </w:r>
      <w:r w:rsidRPr="006B76EE">
        <w:rPr>
          <w:lang w:val="el-GR"/>
        </w:rPr>
        <w:t xml:space="preserve"> </w:t>
      </w:r>
      <w:r>
        <w:rPr>
          <w:lang w:val="el-GR"/>
        </w:rPr>
        <w:t>έχουν</w:t>
      </w:r>
      <w:r w:rsidRPr="00674C1C">
        <w:rPr>
          <w:lang w:val="el-GR"/>
        </w:rPr>
        <w:t xml:space="preserve"> </w:t>
      </w:r>
      <w:r>
        <w:rPr>
          <w:lang w:val="el-GR"/>
        </w:rPr>
        <w:t>αναφερθεί</w:t>
      </w:r>
      <w:r w:rsidRPr="00674C1C">
        <w:rPr>
          <w:lang w:val="el-GR"/>
        </w:rPr>
        <w:t xml:space="preserve"> </w:t>
      </w:r>
      <w:r>
        <w:rPr>
          <w:lang w:val="el-GR"/>
        </w:rPr>
        <w:t>περιστατικά</w:t>
      </w:r>
      <w:r w:rsidRPr="00674C1C">
        <w:rPr>
          <w:lang w:val="el-GR"/>
        </w:rPr>
        <w:t xml:space="preserve"> </w:t>
      </w:r>
      <w:r>
        <w:rPr>
          <w:lang w:val="el-GR"/>
        </w:rPr>
        <w:t xml:space="preserve">θανάτου. </w:t>
      </w:r>
      <w:r w:rsidR="00B8607D" w:rsidRPr="00BD389B">
        <w:rPr>
          <w:lang w:val="el-GR"/>
        </w:rPr>
        <w:t>(</w:t>
      </w:r>
      <w:r w:rsidR="00BD389B">
        <w:rPr>
          <w:lang w:val="el-GR"/>
        </w:rPr>
        <w:t>βλέπε</w:t>
      </w:r>
      <w:r w:rsidR="00BD389B" w:rsidRPr="00BD389B">
        <w:rPr>
          <w:lang w:val="el-GR"/>
        </w:rPr>
        <w:t xml:space="preserve"> </w:t>
      </w:r>
      <w:r w:rsidR="00BD389B">
        <w:rPr>
          <w:lang w:val="el-GR"/>
        </w:rPr>
        <w:t>επίσης</w:t>
      </w:r>
      <w:r w:rsidR="00BD389B" w:rsidRPr="00BD389B">
        <w:rPr>
          <w:lang w:val="el-GR"/>
        </w:rPr>
        <w:t xml:space="preserve"> </w:t>
      </w:r>
      <w:r w:rsidR="00BD389B">
        <w:rPr>
          <w:lang w:val="el-GR"/>
        </w:rPr>
        <w:t>παράγραφο</w:t>
      </w:r>
      <w:r w:rsidR="00BD389B" w:rsidRPr="00BD389B">
        <w:rPr>
          <w:lang w:val="el-GR"/>
        </w:rPr>
        <w:t xml:space="preserve"> 4.4 «</w:t>
      </w:r>
      <w:r w:rsidR="00BD389B">
        <w:rPr>
          <w:lang w:val="el-GR"/>
        </w:rPr>
        <w:t>Προειδοποιήσεις»</w:t>
      </w:r>
      <w:r w:rsidR="00B8607D" w:rsidRPr="00BD389B">
        <w:rPr>
          <w:lang w:val="el-GR"/>
        </w:rPr>
        <w:t xml:space="preserve"> </w:t>
      </w:r>
      <w:r w:rsidR="00BD389B">
        <w:rPr>
          <w:lang w:val="el-GR"/>
        </w:rPr>
        <w:t xml:space="preserve">και παράγραφο </w:t>
      </w:r>
      <w:r w:rsidR="00B8607D" w:rsidRPr="00BD389B">
        <w:rPr>
          <w:lang w:val="el-GR"/>
        </w:rPr>
        <w:t xml:space="preserve">4.5 </w:t>
      </w:r>
      <w:r w:rsidR="00BD389B">
        <w:rPr>
          <w:lang w:val="el-GR"/>
        </w:rPr>
        <w:t>«Αλληλεπιδράσεις»</w:t>
      </w:r>
      <w:r w:rsidR="00B8607D" w:rsidRPr="00BD389B">
        <w:rPr>
          <w:lang w:val="el-GR"/>
        </w:rPr>
        <w:t xml:space="preserve">. </w:t>
      </w:r>
      <w:r w:rsidR="00BD389B">
        <w:rPr>
          <w:lang w:val="el-GR"/>
        </w:rPr>
        <w:t>Επιπλέον</w:t>
      </w:r>
      <w:r w:rsidR="00BD389B" w:rsidRPr="004B3DCC">
        <w:rPr>
          <w:lang w:val="el-GR"/>
        </w:rPr>
        <w:t xml:space="preserve">, </w:t>
      </w:r>
      <w:r w:rsidR="00ED4C13">
        <w:rPr>
          <w:lang w:val="el-GR"/>
        </w:rPr>
        <w:t>αναφερθείτε επίσης στην</w:t>
      </w:r>
      <w:r w:rsidR="00BD389B" w:rsidRPr="004B3DCC">
        <w:rPr>
          <w:lang w:val="el-GR"/>
        </w:rPr>
        <w:t xml:space="preserve"> </w:t>
      </w:r>
      <w:r w:rsidR="00BD389B">
        <w:rPr>
          <w:lang w:val="el-GR"/>
        </w:rPr>
        <w:t>παράγραφο</w:t>
      </w:r>
      <w:r w:rsidR="00BD389B" w:rsidRPr="004B3DCC">
        <w:rPr>
          <w:lang w:val="el-GR"/>
        </w:rPr>
        <w:t xml:space="preserve"> 4.</w:t>
      </w:r>
      <w:r w:rsidR="00BD389B">
        <w:rPr>
          <w:lang w:val="el-GR"/>
        </w:rPr>
        <w:t>9 «Υπερδοσολογία»</w:t>
      </w:r>
      <w:r w:rsidR="00B8607D" w:rsidRPr="004B3DCC">
        <w:rPr>
          <w:lang w:val="el-GR"/>
        </w:rPr>
        <w:t>).</w:t>
      </w:r>
    </w:p>
    <w:p w:rsidR="001D29E6" w:rsidRDefault="001D29E6" w:rsidP="00353642">
      <w:pPr>
        <w:jc w:val="both"/>
        <w:rPr>
          <w:b/>
          <w:lang w:val="en-US"/>
        </w:rPr>
      </w:pPr>
    </w:p>
    <w:p w:rsidR="009106CD" w:rsidRPr="00287977" w:rsidRDefault="009106CD" w:rsidP="009106CD">
      <w:pPr>
        <w:autoSpaceDE w:val="0"/>
        <w:autoSpaceDN w:val="0"/>
        <w:adjustRightInd w:val="0"/>
        <w:jc w:val="both"/>
        <w:rPr>
          <w:szCs w:val="22"/>
          <w:u w:val="single"/>
          <w:lang w:val="el-GR"/>
        </w:rPr>
      </w:pPr>
      <w:r w:rsidRPr="00287977">
        <w:rPr>
          <w:szCs w:val="22"/>
          <w:u w:val="single"/>
          <w:lang w:val="el-GR"/>
        </w:rPr>
        <w:t>Αναφορά πιθανολογούμενων ανεπιθύμητων ενεργειών</w:t>
      </w:r>
    </w:p>
    <w:p w:rsidR="009106CD" w:rsidRPr="00287977" w:rsidRDefault="009106CD" w:rsidP="009106CD">
      <w:pPr>
        <w:autoSpaceDE w:val="0"/>
        <w:autoSpaceDN w:val="0"/>
        <w:adjustRightInd w:val="0"/>
        <w:jc w:val="both"/>
        <w:rPr>
          <w:i/>
          <w:szCs w:val="22"/>
          <w:lang w:val="el-GR"/>
        </w:rPr>
      </w:pPr>
      <w:r w:rsidRPr="00287977">
        <w:rPr>
          <w:szCs w:val="22"/>
          <w:lang w:val="el-GR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σημαντική. Επιτρέπει τη συνεχή παρακολούθηση της σχέσης οφέλους/κινδύνου του φαρμακευτικού προϊόντος.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αναφοράς.</w:t>
      </w:r>
    </w:p>
    <w:p w:rsidR="009106CD" w:rsidRPr="00287977" w:rsidRDefault="009106CD" w:rsidP="009106CD">
      <w:pPr>
        <w:autoSpaceDE w:val="0"/>
        <w:autoSpaceDN w:val="0"/>
        <w:adjustRightInd w:val="0"/>
        <w:jc w:val="both"/>
        <w:rPr>
          <w:i/>
          <w:szCs w:val="22"/>
          <w:lang w:val="el-GR"/>
        </w:rPr>
      </w:pPr>
    </w:p>
    <w:p w:rsidR="000026A7" w:rsidRPr="000026A7" w:rsidRDefault="000026A7" w:rsidP="000026A7">
      <w:pPr>
        <w:rPr>
          <w:lang w:val="el-GR"/>
        </w:rPr>
      </w:pPr>
      <w:r w:rsidRPr="000026A7">
        <w:rPr>
          <w:b/>
          <w:bCs/>
          <w:lang w:val="el-GR" w:eastAsia="zh-CN"/>
        </w:rPr>
        <w:t>Ελλάδα</w:t>
      </w:r>
    </w:p>
    <w:p w:rsidR="000026A7" w:rsidRPr="000026A7" w:rsidRDefault="000026A7" w:rsidP="000026A7">
      <w:pPr>
        <w:rPr>
          <w:lang w:val="el-GR"/>
        </w:rPr>
      </w:pPr>
      <w:r w:rsidRPr="000026A7">
        <w:rPr>
          <w:lang w:val="el-GR" w:eastAsia="zh-CN"/>
        </w:rPr>
        <w:t>Εθνικός Οργανισμός Φαρμάκων</w:t>
      </w:r>
    </w:p>
    <w:p w:rsidR="000026A7" w:rsidRPr="000026A7" w:rsidRDefault="000026A7" w:rsidP="000026A7">
      <w:pPr>
        <w:rPr>
          <w:lang w:val="el-GR"/>
        </w:rPr>
      </w:pPr>
      <w:r w:rsidRPr="000026A7">
        <w:rPr>
          <w:lang w:val="el-GR" w:eastAsia="zh-CN"/>
        </w:rPr>
        <w:t>Μεσογείων 284</w:t>
      </w:r>
    </w:p>
    <w:p w:rsidR="000026A7" w:rsidRPr="000026A7" w:rsidRDefault="000026A7" w:rsidP="000026A7">
      <w:pPr>
        <w:rPr>
          <w:lang w:val="el-GR"/>
        </w:rPr>
      </w:pPr>
      <w:r>
        <w:rPr>
          <w:lang w:eastAsia="zh-CN"/>
        </w:rPr>
        <w:t>GR</w:t>
      </w:r>
      <w:r w:rsidRPr="000026A7">
        <w:rPr>
          <w:lang w:val="el-GR" w:eastAsia="zh-CN"/>
        </w:rPr>
        <w:t>-15562 Χολαργός, Αθήνα</w:t>
      </w:r>
    </w:p>
    <w:p w:rsidR="000026A7" w:rsidRPr="000026A7" w:rsidRDefault="000026A7" w:rsidP="000026A7">
      <w:pPr>
        <w:rPr>
          <w:lang w:val="el-GR"/>
        </w:rPr>
      </w:pPr>
      <w:r w:rsidRPr="000026A7">
        <w:rPr>
          <w:lang w:val="el-GR" w:eastAsia="zh-CN"/>
        </w:rPr>
        <w:t xml:space="preserve">Τηλ: + 30 </w:t>
      </w:r>
      <w:r w:rsidRPr="000026A7">
        <w:rPr>
          <w:lang w:val="el-GR"/>
        </w:rPr>
        <w:t>21 32040380/337</w:t>
      </w:r>
    </w:p>
    <w:p w:rsidR="000026A7" w:rsidRPr="000026A7" w:rsidRDefault="000026A7" w:rsidP="000026A7">
      <w:pPr>
        <w:rPr>
          <w:lang w:val="el-GR"/>
        </w:rPr>
      </w:pPr>
      <w:r w:rsidRPr="000026A7">
        <w:rPr>
          <w:lang w:val="el-GR" w:eastAsia="zh-CN"/>
        </w:rPr>
        <w:t xml:space="preserve">Φαξ: + 30 21 06549585 </w:t>
      </w:r>
    </w:p>
    <w:p w:rsidR="000026A7" w:rsidRDefault="000026A7" w:rsidP="000026A7">
      <w:r>
        <w:rPr>
          <w:lang w:eastAsia="zh-CN"/>
        </w:rPr>
        <w:t xml:space="preserve">Ιστότοπος: </w:t>
      </w:r>
      <w:hyperlink r:id="rId8" w:history="1">
        <w:r>
          <w:rPr>
            <w:rStyle w:val="-"/>
            <w:lang w:eastAsia="zh-CN"/>
          </w:rPr>
          <w:t>http://www.eof.gr</w:t>
        </w:r>
      </w:hyperlink>
    </w:p>
    <w:p w:rsidR="009106CD" w:rsidRPr="009106CD" w:rsidRDefault="000026A7" w:rsidP="000026A7">
      <w:pPr>
        <w:jc w:val="both"/>
        <w:rPr>
          <w:b/>
          <w:lang w:val="el-GR"/>
        </w:rPr>
      </w:pPr>
      <w:r>
        <w:rPr>
          <w:b/>
          <w:bCs/>
          <w:lang w:eastAsia="zh-CN"/>
        </w:rPr>
        <w:br/>
      </w:r>
    </w:p>
    <w:p w:rsidR="000026A7" w:rsidRPr="000026A7" w:rsidRDefault="000026A7" w:rsidP="000026A7">
      <w:pPr>
        <w:rPr>
          <w:sz w:val="24"/>
          <w:szCs w:val="24"/>
          <w:lang w:val="el-GR" w:eastAsia="el-GR"/>
        </w:rPr>
      </w:pPr>
      <w:r w:rsidRPr="000026A7">
        <w:rPr>
          <w:b/>
          <w:bCs/>
          <w:lang w:val="el-GR" w:eastAsia="zh-CN"/>
        </w:rPr>
        <w:t>Κύπρος</w:t>
      </w:r>
      <w:r w:rsidRPr="000026A7">
        <w:rPr>
          <w:sz w:val="24"/>
          <w:szCs w:val="24"/>
          <w:lang w:val="el-GR" w:eastAsia="el-GR"/>
        </w:rPr>
        <w:t xml:space="preserve"> </w:t>
      </w:r>
    </w:p>
    <w:p w:rsidR="000026A7" w:rsidRPr="000026A7" w:rsidRDefault="000026A7" w:rsidP="000026A7">
      <w:pPr>
        <w:rPr>
          <w:szCs w:val="22"/>
          <w:lang w:val="el-GR"/>
        </w:rPr>
      </w:pPr>
      <w:r w:rsidRPr="000026A7">
        <w:rPr>
          <w:lang w:val="el-GR" w:eastAsia="zh-CN"/>
        </w:rPr>
        <w:t>Φαρμακευτικές Υπηρεσίες</w:t>
      </w:r>
    </w:p>
    <w:p w:rsidR="000026A7" w:rsidRPr="000026A7" w:rsidRDefault="000026A7" w:rsidP="000026A7">
      <w:pPr>
        <w:rPr>
          <w:lang w:val="el-GR"/>
        </w:rPr>
      </w:pPr>
      <w:r w:rsidRPr="000026A7">
        <w:rPr>
          <w:lang w:val="el-GR" w:eastAsia="zh-CN"/>
        </w:rPr>
        <w:t>Υπουργείο Υγείας</w:t>
      </w:r>
    </w:p>
    <w:p w:rsidR="000026A7" w:rsidRPr="000026A7" w:rsidRDefault="000026A7" w:rsidP="000026A7">
      <w:pPr>
        <w:rPr>
          <w:lang w:val="el-GR"/>
        </w:rPr>
      </w:pPr>
      <w:r>
        <w:rPr>
          <w:lang w:eastAsia="zh-CN"/>
        </w:rPr>
        <w:t>CY</w:t>
      </w:r>
      <w:r w:rsidRPr="000026A7">
        <w:rPr>
          <w:lang w:val="el-GR" w:eastAsia="zh-CN"/>
        </w:rPr>
        <w:t xml:space="preserve">-1475 </w:t>
      </w:r>
      <w:r w:rsidRPr="000026A7">
        <w:rPr>
          <w:lang w:val="el-GR"/>
        </w:rPr>
        <w:t>Λευκωσία</w:t>
      </w:r>
    </w:p>
    <w:p w:rsidR="000026A7" w:rsidRPr="000026A7" w:rsidRDefault="000026A7" w:rsidP="000026A7">
      <w:pPr>
        <w:rPr>
          <w:lang w:val="el-GR"/>
        </w:rPr>
      </w:pPr>
      <w:r w:rsidRPr="000026A7">
        <w:rPr>
          <w:lang w:val="el-GR" w:eastAsia="zh-CN"/>
        </w:rPr>
        <w:t>Φαξ: + 357 22608649</w:t>
      </w:r>
    </w:p>
    <w:p w:rsidR="000026A7" w:rsidRPr="000026A7" w:rsidRDefault="000026A7" w:rsidP="000026A7">
      <w:pPr>
        <w:rPr>
          <w:lang w:val="el-GR"/>
        </w:rPr>
      </w:pPr>
      <w:r w:rsidRPr="000026A7">
        <w:rPr>
          <w:lang w:val="el-GR" w:eastAsia="zh-CN"/>
        </w:rPr>
        <w:t xml:space="preserve">Ιστότοπος: </w:t>
      </w:r>
      <w:hyperlink r:id="rId9" w:history="1">
        <w:r>
          <w:rPr>
            <w:rStyle w:val="-"/>
            <w:lang w:eastAsia="zh-CN"/>
          </w:rPr>
          <w:t>www</w:t>
        </w:r>
        <w:r w:rsidRPr="000026A7">
          <w:rPr>
            <w:rStyle w:val="-"/>
            <w:lang w:val="el-GR" w:eastAsia="zh-CN"/>
          </w:rPr>
          <w:t>.</w:t>
        </w:r>
        <w:r>
          <w:rPr>
            <w:rStyle w:val="-"/>
            <w:lang w:eastAsia="zh-CN"/>
          </w:rPr>
          <w:t>moh</w:t>
        </w:r>
        <w:r w:rsidRPr="000026A7">
          <w:rPr>
            <w:rStyle w:val="-"/>
            <w:lang w:val="el-GR" w:eastAsia="zh-CN"/>
          </w:rPr>
          <w:t>.</w:t>
        </w:r>
        <w:r>
          <w:rPr>
            <w:rStyle w:val="-"/>
            <w:lang w:eastAsia="zh-CN"/>
          </w:rPr>
          <w:t>gov</w:t>
        </w:r>
        <w:r w:rsidRPr="000026A7">
          <w:rPr>
            <w:rStyle w:val="-"/>
            <w:lang w:val="el-GR" w:eastAsia="zh-CN"/>
          </w:rPr>
          <w:t>.</w:t>
        </w:r>
        <w:r>
          <w:rPr>
            <w:rStyle w:val="-"/>
            <w:lang w:eastAsia="zh-CN"/>
          </w:rPr>
          <w:t>cy</w:t>
        </w:r>
        <w:r w:rsidRPr="000026A7">
          <w:rPr>
            <w:rStyle w:val="-"/>
            <w:lang w:val="el-GR" w:eastAsia="zh-CN"/>
          </w:rPr>
          <w:t>/</w:t>
        </w:r>
        <w:r>
          <w:rPr>
            <w:rStyle w:val="-"/>
            <w:lang w:eastAsia="zh-CN"/>
          </w:rPr>
          <w:t>phs</w:t>
        </w:r>
      </w:hyperlink>
    </w:p>
    <w:p w:rsidR="009106CD" w:rsidRPr="009106CD" w:rsidRDefault="009106CD" w:rsidP="00353642">
      <w:pPr>
        <w:jc w:val="both"/>
        <w:rPr>
          <w:b/>
          <w:lang w:val="el-GR"/>
        </w:rPr>
      </w:pPr>
    </w:p>
    <w:p w:rsidR="009106CD" w:rsidRPr="009106CD" w:rsidRDefault="009106CD" w:rsidP="00353642">
      <w:pPr>
        <w:jc w:val="both"/>
        <w:rPr>
          <w:b/>
          <w:lang w:val="el-GR"/>
        </w:rPr>
      </w:pPr>
    </w:p>
    <w:p w:rsidR="001D29E6" w:rsidRPr="004B3DCC" w:rsidRDefault="001D29E6">
      <w:pPr>
        <w:ind w:left="567" w:hanging="567"/>
        <w:rPr>
          <w:lang w:val="el-GR"/>
        </w:rPr>
      </w:pPr>
      <w:r w:rsidRPr="00FC5BF9">
        <w:rPr>
          <w:b/>
          <w:lang w:val="el-GR"/>
        </w:rPr>
        <w:t>4.9</w:t>
      </w:r>
      <w:r w:rsidRPr="00FC5BF9">
        <w:rPr>
          <w:b/>
          <w:lang w:val="el-GR"/>
        </w:rPr>
        <w:tab/>
      </w:r>
      <w:r w:rsidR="004B3DCC">
        <w:rPr>
          <w:b/>
          <w:lang w:val="el-GR"/>
        </w:rPr>
        <w:t>Υπερδοσολογία</w:t>
      </w:r>
    </w:p>
    <w:p w:rsidR="001D29E6" w:rsidRPr="00FC5BF9" w:rsidRDefault="001D29E6">
      <w:pPr>
        <w:rPr>
          <w:lang w:val="el-GR"/>
        </w:rPr>
      </w:pPr>
    </w:p>
    <w:p w:rsidR="00B8607D" w:rsidRPr="00FC5BF9" w:rsidRDefault="00706479" w:rsidP="00E95B6A">
      <w:pPr>
        <w:outlineLvl w:val="0"/>
        <w:rPr>
          <w:u w:val="single"/>
          <w:lang w:val="el-GR"/>
        </w:rPr>
      </w:pPr>
      <w:r>
        <w:rPr>
          <w:u w:val="single"/>
          <w:lang w:val="el-GR"/>
        </w:rPr>
        <w:t>Συμπτώματα υπερδοσολογίας</w:t>
      </w:r>
    </w:p>
    <w:p w:rsidR="00B8607D" w:rsidRPr="00FC5BF9" w:rsidRDefault="00B8607D" w:rsidP="00526ED7">
      <w:pPr>
        <w:jc w:val="both"/>
        <w:rPr>
          <w:lang w:val="el-GR"/>
        </w:rPr>
      </w:pPr>
    </w:p>
    <w:p w:rsidR="00FC5BF9" w:rsidRPr="00037F1C" w:rsidRDefault="00FC5BF9" w:rsidP="00526ED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el-GR"/>
        </w:rPr>
      </w:pPr>
      <w:r>
        <w:rPr>
          <w:noProof/>
          <w:lang w:val="el-GR"/>
        </w:rPr>
        <w:t>Η</w:t>
      </w:r>
      <w:r w:rsidRPr="00E4631A">
        <w:rPr>
          <w:noProof/>
          <w:lang w:val="el-GR"/>
        </w:rPr>
        <w:t xml:space="preserve"> </w:t>
      </w:r>
      <w:r>
        <w:rPr>
          <w:noProof/>
          <w:lang w:val="el-GR"/>
        </w:rPr>
        <w:t>εργοκαλσιφερόλη</w:t>
      </w:r>
      <w:r w:rsidRPr="00E4631A">
        <w:rPr>
          <w:noProof/>
          <w:lang w:val="el-GR"/>
        </w:rPr>
        <w:t xml:space="preserve"> (</w:t>
      </w:r>
      <w:r>
        <w:rPr>
          <w:noProof/>
          <w:lang w:val="el-GR"/>
        </w:rPr>
        <w:t>βιταμίνη</w:t>
      </w:r>
      <w:r w:rsidRPr="00E4631A">
        <w:rPr>
          <w:noProof/>
          <w:lang w:val="el-GR"/>
        </w:rPr>
        <w:t xml:space="preserve"> </w:t>
      </w:r>
      <w:r>
        <w:rPr>
          <w:noProof/>
        </w:rPr>
        <w:t>D</w:t>
      </w:r>
      <w:r w:rsidRPr="00E4631A">
        <w:rPr>
          <w:noProof/>
          <w:lang w:val="el-GR"/>
        </w:rPr>
        <w:t xml:space="preserve">2) </w:t>
      </w:r>
      <w:r>
        <w:rPr>
          <w:noProof/>
          <w:lang w:val="el-GR"/>
        </w:rPr>
        <w:t>και</w:t>
      </w:r>
      <w:r w:rsidRPr="00E4631A">
        <w:rPr>
          <w:noProof/>
          <w:lang w:val="el-GR"/>
        </w:rPr>
        <w:t xml:space="preserve"> </w:t>
      </w:r>
      <w:r>
        <w:rPr>
          <w:noProof/>
          <w:lang w:val="el-GR"/>
        </w:rPr>
        <w:t>η</w:t>
      </w:r>
      <w:r w:rsidRPr="00E4631A">
        <w:rPr>
          <w:noProof/>
          <w:lang w:val="el-GR"/>
        </w:rPr>
        <w:t xml:space="preserve"> </w:t>
      </w:r>
      <w:r>
        <w:rPr>
          <w:noProof/>
          <w:lang w:val="el-GR"/>
        </w:rPr>
        <w:t>χοληκαλσιφερόλη</w:t>
      </w:r>
      <w:r w:rsidRPr="00E4631A">
        <w:rPr>
          <w:noProof/>
          <w:lang w:val="el-GR"/>
        </w:rPr>
        <w:t xml:space="preserve"> (</w:t>
      </w:r>
      <w:r>
        <w:rPr>
          <w:noProof/>
          <w:lang w:val="el-GR"/>
        </w:rPr>
        <w:t>βιταμίνη</w:t>
      </w:r>
      <w:r w:rsidRPr="00E4631A">
        <w:rPr>
          <w:noProof/>
          <w:lang w:val="el-GR"/>
        </w:rPr>
        <w:t xml:space="preserve"> </w:t>
      </w:r>
      <w:r>
        <w:rPr>
          <w:noProof/>
        </w:rPr>
        <w:t>D</w:t>
      </w:r>
      <w:r w:rsidRPr="00E4631A">
        <w:rPr>
          <w:noProof/>
          <w:lang w:val="el-GR"/>
        </w:rPr>
        <w:t xml:space="preserve">3) </w:t>
      </w:r>
      <w:r>
        <w:rPr>
          <w:noProof/>
          <w:lang w:val="el-GR"/>
        </w:rPr>
        <w:t>έχουν</w:t>
      </w:r>
      <w:r w:rsidRPr="00E4631A">
        <w:rPr>
          <w:noProof/>
          <w:lang w:val="el-GR"/>
        </w:rPr>
        <w:t xml:space="preserve"> </w:t>
      </w:r>
      <w:r>
        <w:rPr>
          <w:noProof/>
          <w:lang w:val="el-GR"/>
        </w:rPr>
        <w:t>σχετικά</w:t>
      </w:r>
      <w:r w:rsidRPr="00E4631A">
        <w:rPr>
          <w:noProof/>
          <w:lang w:val="el-GR"/>
        </w:rPr>
        <w:t xml:space="preserve"> </w:t>
      </w:r>
      <w:r w:rsidR="00D31418">
        <w:rPr>
          <w:noProof/>
          <w:lang w:val="el-GR"/>
        </w:rPr>
        <w:t>μικρό</w:t>
      </w:r>
      <w:r w:rsidRPr="00E4631A">
        <w:rPr>
          <w:noProof/>
          <w:lang w:val="el-GR"/>
        </w:rPr>
        <w:t xml:space="preserve"> </w:t>
      </w:r>
      <w:r>
        <w:rPr>
          <w:noProof/>
          <w:lang w:val="el-GR"/>
        </w:rPr>
        <w:t>θεραπευτικό</w:t>
      </w:r>
      <w:r w:rsidRPr="00E4631A">
        <w:rPr>
          <w:noProof/>
          <w:lang w:val="el-GR"/>
        </w:rPr>
        <w:t xml:space="preserve"> </w:t>
      </w:r>
      <w:r>
        <w:rPr>
          <w:noProof/>
          <w:lang w:val="el-GR"/>
        </w:rPr>
        <w:t>δείκτη</w:t>
      </w:r>
      <w:r w:rsidR="003B2E7A">
        <w:rPr>
          <w:noProof/>
          <w:lang w:val="el-GR"/>
        </w:rPr>
        <w:t>.</w:t>
      </w:r>
      <w:r w:rsidRPr="00E4631A">
        <w:rPr>
          <w:noProof/>
          <w:lang w:val="el-GR"/>
        </w:rPr>
        <w:t xml:space="preserve"> </w:t>
      </w:r>
      <w:r>
        <w:rPr>
          <w:noProof/>
          <w:lang w:val="el-GR"/>
        </w:rPr>
        <w:t>Η ουδός</w:t>
      </w:r>
      <w:r w:rsidRPr="00E4631A">
        <w:rPr>
          <w:noProof/>
          <w:lang w:val="el-GR"/>
        </w:rPr>
        <w:t xml:space="preserve"> </w:t>
      </w:r>
      <w:r>
        <w:rPr>
          <w:noProof/>
          <w:lang w:val="el-GR"/>
        </w:rPr>
        <w:t>για</w:t>
      </w:r>
      <w:r w:rsidRPr="00E4631A">
        <w:rPr>
          <w:noProof/>
          <w:lang w:val="el-GR"/>
        </w:rPr>
        <w:t xml:space="preserve"> </w:t>
      </w:r>
      <w:r>
        <w:rPr>
          <w:noProof/>
          <w:lang w:val="el-GR"/>
        </w:rPr>
        <w:t>την</w:t>
      </w:r>
      <w:r w:rsidRPr="00E4631A">
        <w:rPr>
          <w:noProof/>
          <w:lang w:val="el-GR"/>
        </w:rPr>
        <w:t xml:space="preserve"> </w:t>
      </w:r>
      <w:r>
        <w:rPr>
          <w:noProof/>
          <w:lang w:val="el-GR"/>
        </w:rPr>
        <w:t>εκδήλωση</w:t>
      </w:r>
      <w:r w:rsidRPr="00E4631A">
        <w:rPr>
          <w:noProof/>
          <w:lang w:val="el-GR"/>
        </w:rPr>
        <w:t xml:space="preserve"> </w:t>
      </w:r>
      <w:r>
        <w:rPr>
          <w:noProof/>
          <w:lang w:val="el-GR"/>
        </w:rPr>
        <w:t>δηλητηρίασης</w:t>
      </w:r>
      <w:r w:rsidRPr="00E4631A">
        <w:rPr>
          <w:noProof/>
          <w:lang w:val="el-GR"/>
        </w:rPr>
        <w:t xml:space="preserve"> </w:t>
      </w:r>
      <w:r>
        <w:rPr>
          <w:noProof/>
          <w:lang w:val="el-GR"/>
        </w:rPr>
        <w:t>από</w:t>
      </w:r>
      <w:r w:rsidRPr="00E4631A">
        <w:rPr>
          <w:noProof/>
          <w:lang w:val="el-GR"/>
        </w:rPr>
        <w:t xml:space="preserve"> </w:t>
      </w:r>
      <w:r>
        <w:rPr>
          <w:noProof/>
          <w:lang w:val="el-GR"/>
        </w:rPr>
        <w:t>τη</w:t>
      </w:r>
      <w:r w:rsidRPr="00E4631A">
        <w:rPr>
          <w:noProof/>
          <w:lang w:val="el-GR"/>
        </w:rPr>
        <w:t xml:space="preserve"> </w:t>
      </w:r>
      <w:r>
        <w:rPr>
          <w:noProof/>
          <w:lang w:val="el-GR"/>
        </w:rPr>
        <w:t>βιταμίνη</w:t>
      </w:r>
      <w:r w:rsidRPr="00E4631A">
        <w:rPr>
          <w:noProof/>
          <w:lang w:val="el-GR"/>
        </w:rPr>
        <w:t xml:space="preserve"> </w:t>
      </w:r>
      <w:r>
        <w:rPr>
          <w:noProof/>
        </w:rPr>
        <w:t>D</w:t>
      </w:r>
      <w:r w:rsidRPr="00E4631A">
        <w:rPr>
          <w:noProof/>
          <w:lang w:val="el-GR"/>
        </w:rPr>
        <w:t xml:space="preserve"> </w:t>
      </w:r>
      <w:r>
        <w:rPr>
          <w:noProof/>
          <w:lang w:val="el-GR"/>
        </w:rPr>
        <w:t>είναι</w:t>
      </w:r>
      <w:r w:rsidRPr="00E4631A">
        <w:rPr>
          <w:noProof/>
          <w:lang w:val="el-GR"/>
        </w:rPr>
        <w:t xml:space="preserve"> </w:t>
      </w:r>
      <w:r>
        <w:rPr>
          <w:noProof/>
          <w:lang w:val="el-GR"/>
        </w:rPr>
        <w:t>μεταξύ</w:t>
      </w:r>
      <w:r w:rsidR="005E02B0">
        <w:rPr>
          <w:noProof/>
          <w:lang w:val="el-GR"/>
        </w:rPr>
        <w:t xml:space="preserve"> 40.000</w:t>
      </w:r>
      <w:r w:rsidRPr="00E4631A">
        <w:rPr>
          <w:noProof/>
          <w:lang w:val="el-GR"/>
        </w:rPr>
        <w:t xml:space="preserve"> </w:t>
      </w:r>
      <w:r>
        <w:rPr>
          <w:noProof/>
          <w:lang w:val="el-GR"/>
        </w:rPr>
        <w:t>και</w:t>
      </w:r>
      <w:r w:rsidRPr="00E4631A">
        <w:rPr>
          <w:noProof/>
          <w:lang w:val="el-GR"/>
        </w:rPr>
        <w:t xml:space="preserve"> 100.000 </w:t>
      </w:r>
      <w:r w:rsidR="001D1577">
        <w:rPr>
          <w:noProof/>
          <w:lang w:val="el-GR"/>
        </w:rPr>
        <w:t>ΔΜ</w:t>
      </w:r>
      <w:r w:rsidRPr="00E4631A">
        <w:rPr>
          <w:noProof/>
          <w:lang w:val="el-GR"/>
        </w:rPr>
        <w:t xml:space="preserve"> </w:t>
      </w:r>
      <w:r>
        <w:rPr>
          <w:noProof/>
          <w:lang w:val="el-GR"/>
        </w:rPr>
        <w:t>ημερησίως</w:t>
      </w:r>
      <w:r w:rsidRPr="00E4631A">
        <w:rPr>
          <w:noProof/>
          <w:lang w:val="el-GR"/>
        </w:rPr>
        <w:t xml:space="preserve"> </w:t>
      </w:r>
      <w:r>
        <w:rPr>
          <w:noProof/>
          <w:lang w:val="el-GR"/>
        </w:rPr>
        <w:t>για</w:t>
      </w:r>
      <w:r w:rsidRPr="00E4631A">
        <w:rPr>
          <w:noProof/>
          <w:lang w:val="el-GR"/>
        </w:rPr>
        <w:t xml:space="preserve"> 1 </w:t>
      </w:r>
      <w:r>
        <w:rPr>
          <w:noProof/>
          <w:lang w:val="el-GR"/>
        </w:rPr>
        <w:t xml:space="preserve">έως 2 μήνες σε ενήλικες με φυσιολογική λειτουργία </w:t>
      </w:r>
      <w:r w:rsidR="00D31418">
        <w:rPr>
          <w:noProof/>
          <w:lang w:val="el-GR"/>
        </w:rPr>
        <w:t>του παραθυρεοειδούς αδένα</w:t>
      </w:r>
      <w:r>
        <w:rPr>
          <w:noProof/>
          <w:lang w:val="el-GR"/>
        </w:rPr>
        <w:t>. Βρέφη</w:t>
      </w:r>
      <w:r w:rsidRPr="00FC5BF9">
        <w:rPr>
          <w:noProof/>
          <w:lang w:val="el-GR"/>
        </w:rPr>
        <w:t xml:space="preserve"> </w:t>
      </w:r>
      <w:r>
        <w:rPr>
          <w:noProof/>
          <w:lang w:val="el-GR"/>
        </w:rPr>
        <w:t>και</w:t>
      </w:r>
      <w:r w:rsidRPr="00FC5BF9">
        <w:rPr>
          <w:noProof/>
          <w:lang w:val="el-GR"/>
        </w:rPr>
        <w:t xml:space="preserve"> </w:t>
      </w:r>
      <w:r>
        <w:rPr>
          <w:noProof/>
          <w:lang w:val="el-GR"/>
        </w:rPr>
        <w:t>μικρά</w:t>
      </w:r>
      <w:r w:rsidRPr="00FC5BF9">
        <w:rPr>
          <w:noProof/>
          <w:lang w:val="el-GR"/>
        </w:rPr>
        <w:t xml:space="preserve"> </w:t>
      </w:r>
      <w:r>
        <w:rPr>
          <w:noProof/>
          <w:lang w:val="el-GR"/>
        </w:rPr>
        <w:t>παιδιά</w:t>
      </w:r>
      <w:r w:rsidRPr="00FC5BF9">
        <w:rPr>
          <w:noProof/>
          <w:lang w:val="el-GR"/>
        </w:rPr>
        <w:t xml:space="preserve"> </w:t>
      </w:r>
      <w:r>
        <w:rPr>
          <w:noProof/>
          <w:lang w:val="el-GR"/>
        </w:rPr>
        <w:t>μπορεί</w:t>
      </w:r>
      <w:r w:rsidRPr="00FC5BF9">
        <w:rPr>
          <w:noProof/>
          <w:lang w:val="el-GR"/>
        </w:rPr>
        <w:t xml:space="preserve"> </w:t>
      </w:r>
      <w:r>
        <w:rPr>
          <w:noProof/>
          <w:lang w:val="el-GR"/>
        </w:rPr>
        <w:t>να</w:t>
      </w:r>
      <w:r w:rsidRPr="00FC5BF9">
        <w:rPr>
          <w:noProof/>
          <w:lang w:val="el-GR"/>
        </w:rPr>
        <w:t xml:space="preserve"> </w:t>
      </w:r>
      <w:r>
        <w:rPr>
          <w:noProof/>
          <w:lang w:val="el-GR"/>
        </w:rPr>
        <w:t>είναι</w:t>
      </w:r>
      <w:r w:rsidRPr="00FC5BF9">
        <w:rPr>
          <w:noProof/>
          <w:lang w:val="el-GR"/>
        </w:rPr>
        <w:t xml:space="preserve"> </w:t>
      </w:r>
      <w:r>
        <w:rPr>
          <w:noProof/>
          <w:lang w:val="el-GR"/>
        </w:rPr>
        <w:t>ευαίσθητα</w:t>
      </w:r>
      <w:r w:rsidRPr="00FC5BF9">
        <w:rPr>
          <w:noProof/>
          <w:lang w:val="el-GR"/>
        </w:rPr>
        <w:t xml:space="preserve"> </w:t>
      </w:r>
      <w:r>
        <w:rPr>
          <w:noProof/>
          <w:lang w:val="el-GR"/>
        </w:rPr>
        <w:t>σε</w:t>
      </w:r>
      <w:r w:rsidRPr="00FC5BF9">
        <w:rPr>
          <w:noProof/>
          <w:lang w:val="el-GR"/>
        </w:rPr>
        <w:t xml:space="preserve"> </w:t>
      </w:r>
      <w:r>
        <w:rPr>
          <w:noProof/>
          <w:lang w:val="el-GR"/>
        </w:rPr>
        <w:t>πολύ</w:t>
      </w:r>
      <w:r w:rsidRPr="00FC5BF9">
        <w:rPr>
          <w:noProof/>
          <w:lang w:val="el-GR"/>
        </w:rPr>
        <w:t xml:space="preserve"> </w:t>
      </w:r>
      <w:r>
        <w:rPr>
          <w:noProof/>
          <w:lang w:val="el-GR"/>
        </w:rPr>
        <w:t>μικρότερες</w:t>
      </w:r>
      <w:r w:rsidRPr="00FC5BF9">
        <w:rPr>
          <w:noProof/>
          <w:lang w:val="el-GR"/>
        </w:rPr>
        <w:t xml:space="preserve"> </w:t>
      </w:r>
      <w:r w:rsidR="00D31418">
        <w:rPr>
          <w:noProof/>
          <w:lang w:val="el-GR"/>
        </w:rPr>
        <w:t>συγκεντρώσεις</w:t>
      </w:r>
      <w:r w:rsidRPr="00FC5BF9">
        <w:rPr>
          <w:noProof/>
          <w:lang w:val="el-GR"/>
        </w:rPr>
        <w:t xml:space="preserve">. </w:t>
      </w:r>
      <w:r>
        <w:rPr>
          <w:noProof/>
          <w:lang w:val="el-GR"/>
        </w:rPr>
        <w:t>Για</w:t>
      </w:r>
      <w:r w:rsidRPr="00037F1C">
        <w:rPr>
          <w:noProof/>
          <w:lang w:val="el-GR"/>
        </w:rPr>
        <w:t xml:space="preserve"> </w:t>
      </w:r>
      <w:r>
        <w:rPr>
          <w:noProof/>
          <w:lang w:val="el-GR"/>
        </w:rPr>
        <w:t>αυτό</w:t>
      </w:r>
      <w:r w:rsidRPr="00037F1C">
        <w:rPr>
          <w:noProof/>
          <w:lang w:val="el-GR"/>
        </w:rPr>
        <w:t xml:space="preserve"> </w:t>
      </w:r>
      <w:r>
        <w:rPr>
          <w:noProof/>
          <w:lang w:val="el-GR"/>
        </w:rPr>
        <w:t>επιβάλλεται</w:t>
      </w:r>
      <w:r w:rsidRPr="00037F1C">
        <w:rPr>
          <w:noProof/>
          <w:lang w:val="el-GR"/>
        </w:rPr>
        <w:t xml:space="preserve"> </w:t>
      </w:r>
      <w:r>
        <w:rPr>
          <w:noProof/>
          <w:lang w:val="el-GR"/>
        </w:rPr>
        <w:t>η</w:t>
      </w:r>
      <w:r w:rsidRPr="00037F1C">
        <w:rPr>
          <w:noProof/>
          <w:lang w:val="el-GR"/>
        </w:rPr>
        <w:t xml:space="preserve"> </w:t>
      </w:r>
      <w:r>
        <w:rPr>
          <w:noProof/>
          <w:lang w:val="el-GR"/>
        </w:rPr>
        <w:t>προειδοποίηση</w:t>
      </w:r>
      <w:r w:rsidRPr="00037F1C">
        <w:rPr>
          <w:noProof/>
          <w:lang w:val="el-GR"/>
        </w:rPr>
        <w:t xml:space="preserve"> </w:t>
      </w:r>
      <w:r>
        <w:rPr>
          <w:noProof/>
          <w:lang w:val="el-GR"/>
        </w:rPr>
        <w:t>ενάντια</w:t>
      </w:r>
      <w:r w:rsidRPr="00037F1C">
        <w:rPr>
          <w:noProof/>
          <w:lang w:val="el-GR"/>
        </w:rPr>
        <w:t xml:space="preserve"> </w:t>
      </w:r>
      <w:r>
        <w:rPr>
          <w:noProof/>
          <w:lang w:val="el-GR"/>
        </w:rPr>
        <w:t>στη</w:t>
      </w:r>
      <w:r w:rsidRPr="00037F1C">
        <w:rPr>
          <w:noProof/>
          <w:lang w:val="el-GR"/>
        </w:rPr>
        <w:t xml:space="preserve"> </w:t>
      </w:r>
      <w:r>
        <w:rPr>
          <w:noProof/>
          <w:lang w:val="el-GR"/>
        </w:rPr>
        <w:t>λήψη</w:t>
      </w:r>
      <w:r w:rsidRPr="00037F1C">
        <w:rPr>
          <w:noProof/>
          <w:lang w:val="el-GR"/>
        </w:rPr>
        <w:t xml:space="preserve"> </w:t>
      </w:r>
      <w:r>
        <w:rPr>
          <w:noProof/>
          <w:lang w:val="el-GR"/>
        </w:rPr>
        <w:t>της</w:t>
      </w:r>
      <w:r w:rsidRPr="00037F1C">
        <w:rPr>
          <w:noProof/>
          <w:lang w:val="el-GR"/>
        </w:rPr>
        <w:t xml:space="preserve"> </w:t>
      </w:r>
      <w:r>
        <w:rPr>
          <w:noProof/>
          <w:lang w:val="el-GR"/>
        </w:rPr>
        <w:t xml:space="preserve">βιταμίνης </w:t>
      </w:r>
      <w:r>
        <w:rPr>
          <w:noProof/>
        </w:rPr>
        <w:t>D</w:t>
      </w:r>
      <w:r>
        <w:rPr>
          <w:noProof/>
          <w:lang w:val="el-GR"/>
        </w:rPr>
        <w:t xml:space="preserve"> χωρίς ιατρική επίβλεψη.</w:t>
      </w:r>
      <w:r w:rsidRPr="00037F1C">
        <w:rPr>
          <w:noProof/>
          <w:lang w:val="el-GR"/>
        </w:rPr>
        <w:t xml:space="preserve"> </w:t>
      </w:r>
    </w:p>
    <w:p w:rsidR="00FC5BF9" w:rsidRPr="00037F1C" w:rsidRDefault="00FC5BF9" w:rsidP="00526ED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el-GR"/>
        </w:rPr>
      </w:pPr>
    </w:p>
    <w:p w:rsidR="00FC5BF9" w:rsidRPr="000B22E7" w:rsidRDefault="00FC5BF9" w:rsidP="00526ED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el-GR"/>
        </w:rPr>
      </w:pPr>
      <w:r>
        <w:rPr>
          <w:noProof/>
          <w:lang w:val="el-GR"/>
        </w:rPr>
        <w:t>Η</w:t>
      </w:r>
      <w:r w:rsidRPr="000B22E7">
        <w:rPr>
          <w:noProof/>
          <w:lang w:val="el-GR"/>
        </w:rPr>
        <w:t xml:space="preserve"> </w:t>
      </w:r>
      <w:r>
        <w:rPr>
          <w:noProof/>
          <w:lang w:val="el-GR"/>
        </w:rPr>
        <w:t>υπερδοσολογία</w:t>
      </w:r>
      <w:r w:rsidRPr="000B22E7">
        <w:rPr>
          <w:noProof/>
          <w:lang w:val="el-GR"/>
        </w:rPr>
        <w:t xml:space="preserve"> </w:t>
      </w:r>
      <w:r>
        <w:rPr>
          <w:noProof/>
          <w:lang w:val="el-GR"/>
        </w:rPr>
        <w:t>οδηγεί</w:t>
      </w:r>
      <w:r w:rsidRPr="000B22E7">
        <w:rPr>
          <w:noProof/>
          <w:lang w:val="el-GR"/>
        </w:rPr>
        <w:t xml:space="preserve"> </w:t>
      </w:r>
      <w:r>
        <w:rPr>
          <w:noProof/>
          <w:lang w:val="el-GR"/>
        </w:rPr>
        <w:t>σε</w:t>
      </w:r>
      <w:r w:rsidRPr="000B22E7">
        <w:rPr>
          <w:noProof/>
          <w:lang w:val="el-GR"/>
        </w:rPr>
        <w:t xml:space="preserve"> </w:t>
      </w:r>
      <w:r>
        <w:rPr>
          <w:noProof/>
          <w:lang w:val="el-GR"/>
        </w:rPr>
        <w:t>αυξημένα</w:t>
      </w:r>
      <w:r w:rsidRPr="000B22E7">
        <w:rPr>
          <w:noProof/>
          <w:lang w:val="el-GR"/>
        </w:rPr>
        <w:t xml:space="preserve"> </w:t>
      </w:r>
      <w:r>
        <w:rPr>
          <w:noProof/>
          <w:lang w:val="el-GR"/>
        </w:rPr>
        <w:t>επίπεδα</w:t>
      </w:r>
      <w:r w:rsidRPr="000B22E7">
        <w:rPr>
          <w:noProof/>
          <w:lang w:val="el-GR"/>
        </w:rPr>
        <w:t xml:space="preserve"> </w:t>
      </w:r>
      <w:r>
        <w:rPr>
          <w:noProof/>
          <w:lang w:val="el-GR"/>
        </w:rPr>
        <w:t>φωσφόρου</w:t>
      </w:r>
      <w:r w:rsidRPr="000B22E7">
        <w:rPr>
          <w:noProof/>
          <w:lang w:val="el-GR"/>
        </w:rPr>
        <w:t xml:space="preserve"> </w:t>
      </w:r>
      <w:r w:rsidR="00D31418">
        <w:rPr>
          <w:noProof/>
          <w:lang w:val="el-GR"/>
        </w:rPr>
        <w:t>στον ορό</w:t>
      </w:r>
      <w:r w:rsidRPr="000B22E7">
        <w:rPr>
          <w:noProof/>
          <w:lang w:val="el-GR"/>
        </w:rPr>
        <w:t xml:space="preserve"> </w:t>
      </w:r>
      <w:r>
        <w:rPr>
          <w:noProof/>
          <w:lang w:val="el-GR"/>
        </w:rPr>
        <w:t>και</w:t>
      </w:r>
      <w:r w:rsidRPr="000B22E7">
        <w:rPr>
          <w:noProof/>
          <w:lang w:val="el-GR"/>
        </w:rPr>
        <w:t xml:space="preserve"> </w:t>
      </w:r>
      <w:r>
        <w:rPr>
          <w:noProof/>
          <w:lang w:val="el-GR"/>
        </w:rPr>
        <w:t>τα</w:t>
      </w:r>
      <w:r w:rsidRPr="000B22E7">
        <w:rPr>
          <w:noProof/>
          <w:lang w:val="el-GR"/>
        </w:rPr>
        <w:t xml:space="preserve"> </w:t>
      </w:r>
      <w:r>
        <w:rPr>
          <w:noProof/>
          <w:lang w:val="el-GR"/>
        </w:rPr>
        <w:t>ούρα</w:t>
      </w:r>
      <w:r w:rsidRPr="000B22E7">
        <w:rPr>
          <w:noProof/>
          <w:lang w:val="el-GR"/>
        </w:rPr>
        <w:t xml:space="preserve">, </w:t>
      </w:r>
      <w:r>
        <w:rPr>
          <w:noProof/>
          <w:lang w:val="el-GR"/>
        </w:rPr>
        <w:t>καθώς</w:t>
      </w:r>
      <w:r w:rsidR="003B2E7A">
        <w:rPr>
          <w:noProof/>
          <w:lang w:val="el-GR"/>
        </w:rPr>
        <w:t>,</w:t>
      </w:r>
      <w:r w:rsidRPr="000B22E7">
        <w:rPr>
          <w:noProof/>
          <w:lang w:val="el-GR"/>
        </w:rPr>
        <w:t xml:space="preserve"> </w:t>
      </w:r>
      <w:r>
        <w:rPr>
          <w:noProof/>
          <w:lang w:val="el-GR"/>
        </w:rPr>
        <w:t>επίσης</w:t>
      </w:r>
      <w:r w:rsidR="003B2E7A">
        <w:rPr>
          <w:noProof/>
          <w:lang w:val="el-GR"/>
        </w:rPr>
        <w:t>,</w:t>
      </w:r>
      <w:r w:rsidRPr="000B22E7">
        <w:rPr>
          <w:noProof/>
          <w:lang w:val="el-GR"/>
        </w:rPr>
        <w:t xml:space="preserve"> </w:t>
      </w:r>
      <w:r w:rsidR="00D31418">
        <w:rPr>
          <w:noProof/>
          <w:lang w:val="el-GR"/>
        </w:rPr>
        <w:t>σ</w:t>
      </w:r>
      <w:r w:rsidR="00F847DC">
        <w:rPr>
          <w:noProof/>
          <w:lang w:val="el-GR"/>
        </w:rPr>
        <w:t>ε</w:t>
      </w:r>
      <w:r w:rsidRPr="000B22E7">
        <w:rPr>
          <w:noProof/>
          <w:lang w:val="el-GR"/>
        </w:rPr>
        <w:t xml:space="preserve"> </w:t>
      </w:r>
      <w:r w:rsidR="00D31418">
        <w:rPr>
          <w:noProof/>
          <w:lang w:val="el-GR"/>
        </w:rPr>
        <w:t xml:space="preserve">υπερασβεστιαιμικό </w:t>
      </w:r>
      <w:r>
        <w:rPr>
          <w:noProof/>
          <w:lang w:val="el-GR"/>
        </w:rPr>
        <w:t xml:space="preserve">σύνδρομο και επακόλουθα σε εναπόθεση ασβεστίου στους ιστούς και κυρίως </w:t>
      </w:r>
      <w:r w:rsidR="00F847DC">
        <w:rPr>
          <w:noProof/>
          <w:lang w:val="el-GR"/>
        </w:rPr>
        <w:t>σ</w:t>
      </w:r>
      <w:r>
        <w:rPr>
          <w:noProof/>
          <w:lang w:val="el-GR"/>
        </w:rPr>
        <w:t>τα νεφρά (νεφρ</w:t>
      </w:r>
      <w:r w:rsidR="003B2E7A">
        <w:rPr>
          <w:noProof/>
          <w:lang w:val="el-GR"/>
        </w:rPr>
        <w:t>ολιθίαση, νεφρασβέστωση</w:t>
      </w:r>
      <w:r>
        <w:rPr>
          <w:noProof/>
          <w:lang w:val="el-GR"/>
        </w:rPr>
        <w:t>) και τα αγγεία</w:t>
      </w:r>
      <w:r w:rsidRPr="000B22E7">
        <w:rPr>
          <w:noProof/>
          <w:lang w:val="el-GR"/>
        </w:rPr>
        <w:t>.</w:t>
      </w:r>
    </w:p>
    <w:p w:rsidR="00FC5BF9" w:rsidRPr="000B22E7" w:rsidRDefault="00FC5BF9" w:rsidP="00526ED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el-GR"/>
        </w:rPr>
      </w:pPr>
    </w:p>
    <w:p w:rsidR="00FC5BF9" w:rsidRPr="00743AFD" w:rsidRDefault="00FC5BF9" w:rsidP="00526ED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el-GR"/>
        </w:rPr>
      </w:pPr>
      <w:r>
        <w:rPr>
          <w:noProof/>
          <w:lang w:val="el-GR"/>
        </w:rPr>
        <w:t>Τα</w:t>
      </w:r>
      <w:r w:rsidRPr="004519D0">
        <w:rPr>
          <w:noProof/>
          <w:lang w:val="el-GR"/>
        </w:rPr>
        <w:t xml:space="preserve"> </w:t>
      </w:r>
      <w:r>
        <w:rPr>
          <w:noProof/>
          <w:lang w:val="el-GR"/>
        </w:rPr>
        <w:t>συμπτώματα</w:t>
      </w:r>
      <w:r w:rsidRPr="004519D0">
        <w:rPr>
          <w:noProof/>
          <w:lang w:val="el-GR"/>
        </w:rPr>
        <w:t xml:space="preserve"> </w:t>
      </w:r>
      <w:r>
        <w:rPr>
          <w:noProof/>
          <w:lang w:val="el-GR"/>
        </w:rPr>
        <w:t>δηλητηρίασης</w:t>
      </w:r>
      <w:r w:rsidRPr="004519D0">
        <w:rPr>
          <w:noProof/>
          <w:lang w:val="el-GR"/>
        </w:rPr>
        <w:t xml:space="preserve"> </w:t>
      </w:r>
      <w:r>
        <w:rPr>
          <w:noProof/>
          <w:lang w:val="el-GR"/>
        </w:rPr>
        <w:t>δεν</w:t>
      </w:r>
      <w:r w:rsidRPr="004519D0">
        <w:rPr>
          <w:noProof/>
          <w:lang w:val="el-GR"/>
        </w:rPr>
        <w:t xml:space="preserve"> </w:t>
      </w:r>
      <w:r>
        <w:rPr>
          <w:noProof/>
          <w:lang w:val="el-GR"/>
        </w:rPr>
        <w:t>είναι</w:t>
      </w:r>
      <w:r w:rsidRPr="004519D0">
        <w:rPr>
          <w:noProof/>
          <w:lang w:val="el-GR"/>
        </w:rPr>
        <w:t xml:space="preserve"> </w:t>
      </w:r>
      <w:r>
        <w:rPr>
          <w:noProof/>
          <w:lang w:val="el-GR"/>
        </w:rPr>
        <w:t>αμιγώς</w:t>
      </w:r>
      <w:r w:rsidRPr="004519D0">
        <w:rPr>
          <w:noProof/>
          <w:lang w:val="el-GR"/>
        </w:rPr>
        <w:t xml:space="preserve"> </w:t>
      </w:r>
      <w:r>
        <w:rPr>
          <w:noProof/>
          <w:lang w:val="el-GR"/>
        </w:rPr>
        <w:t>χαρακτηριστικά</w:t>
      </w:r>
      <w:r w:rsidRPr="004519D0">
        <w:rPr>
          <w:noProof/>
          <w:lang w:val="el-GR"/>
        </w:rPr>
        <w:t xml:space="preserve"> </w:t>
      </w:r>
      <w:r>
        <w:rPr>
          <w:noProof/>
          <w:lang w:val="el-GR"/>
        </w:rPr>
        <w:t>και</w:t>
      </w:r>
      <w:r w:rsidRPr="004519D0">
        <w:rPr>
          <w:noProof/>
          <w:lang w:val="el-GR"/>
        </w:rPr>
        <w:t xml:space="preserve"> </w:t>
      </w:r>
      <w:r>
        <w:rPr>
          <w:noProof/>
          <w:lang w:val="el-GR"/>
        </w:rPr>
        <w:t>εκδηλώνονται</w:t>
      </w:r>
      <w:r w:rsidRPr="004519D0">
        <w:rPr>
          <w:noProof/>
          <w:lang w:val="el-GR"/>
        </w:rPr>
        <w:t xml:space="preserve"> </w:t>
      </w:r>
      <w:r>
        <w:rPr>
          <w:noProof/>
          <w:lang w:val="el-GR"/>
        </w:rPr>
        <w:t>ως</w:t>
      </w:r>
      <w:r w:rsidRPr="004519D0">
        <w:rPr>
          <w:noProof/>
          <w:lang w:val="el-GR"/>
        </w:rPr>
        <w:t xml:space="preserve"> </w:t>
      </w:r>
      <w:r>
        <w:rPr>
          <w:noProof/>
          <w:lang w:val="el-GR"/>
        </w:rPr>
        <w:t>ναυτία</w:t>
      </w:r>
      <w:r w:rsidRPr="004519D0">
        <w:rPr>
          <w:noProof/>
          <w:lang w:val="el-GR"/>
        </w:rPr>
        <w:t xml:space="preserve">, </w:t>
      </w:r>
      <w:r w:rsidR="001972B5">
        <w:rPr>
          <w:noProof/>
          <w:lang w:val="el-GR"/>
        </w:rPr>
        <w:t>έμετο</w:t>
      </w:r>
      <w:r w:rsidR="00F847DC">
        <w:rPr>
          <w:noProof/>
          <w:lang w:val="el-GR"/>
        </w:rPr>
        <w:t>ς</w:t>
      </w:r>
      <w:r w:rsidRPr="004519D0">
        <w:rPr>
          <w:noProof/>
          <w:lang w:val="el-GR"/>
        </w:rPr>
        <w:t xml:space="preserve">, </w:t>
      </w:r>
      <w:r>
        <w:rPr>
          <w:noProof/>
          <w:lang w:val="el-GR"/>
        </w:rPr>
        <w:t>επίσης αρχικά</w:t>
      </w:r>
      <w:r w:rsidRPr="004519D0">
        <w:rPr>
          <w:noProof/>
          <w:lang w:val="el-GR"/>
        </w:rPr>
        <w:t xml:space="preserve"> </w:t>
      </w:r>
      <w:r>
        <w:rPr>
          <w:noProof/>
          <w:lang w:val="el-GR"/>
        </w:rPr>
        <w:t>διάρροια</w:t>
      </w:r>
      <w:r w:rsidRPr="004519D0">
        <w:rPr>
          <w:noProof/>
          <w:lang w:val="el-GR"/>
        </w:rPr>
        <w:t xml:space="preserve">, </w:t>
      </w:r>
      <w:r>
        <w:rPr>
          <w:noProof/>
          <w:lang w:val="el-GR"/>
        </w:rPr>
        <w:t>αργότερα</w:t>
      </w:r>
      <w:r w:rsidRPr="004519D0">
        <w:rPr>
          <w:noProof/>
          <w:lang w:val="el-GR"/>
        </w:rPr>
        <w:t xml:space="preserve"> </w:t>
      </w:r>
      <w:r>
        <w:rPr>
          <w:noProof/>
          <w:lang w:val="el-GR"/>
        </w:rPr>
        <w:t xml:space="preserve">δυσκοιλιότητα, </w:t>
      </w:r>
      <w:r w:rsidR="00D31418">
        <w:rPr>
          <w:noProof/>
          <w:lang w:val="el-GR"/>
        </w:rPr>
        <w:t>απώλεια όρεξης</w:t>
      </w:r>
      <w:r>
        <w:rPr>
          <w:noProof/>
          <w:lang w:val="el-GR"/>
        </w:rPr>
        <w:t xml:space="preserve">, εξάντληση, </w:t>
      </w:r>
      <w:r w:rsidR="004F011D">
        <w:rPr>
          <w:noProof/>
          <w:lang w:val="el-GR"/>
        </w:rPr>
        <w:t>κεφαλαλγία</w:t>
      </w:r>
      <w:r>
        <w:rPr>
          <w:noProof/>
          <w:lang w:val="el-GR"/>
        </w:rPr>
        <w:t xml:space="preserve">, </w:t>
      </w:r>
      <w:r w:rsidR="000133B2">
        <w:rPr>
          <w:noProof/>
          <w:lang w:val="el-GR"/>
        </w:rPr>
        <w:t>μυαλγία, αρθραλγία</w:t>
      </w:r>
      <w:r>
        <w:rPr>
          <w:noProof/>
          <w:lang w:val="el-GR"/>
        </w:rPr>
        <w:t>, μυϊκή αδυναμία</w:t>
      </w:r>
      <w:r w:rsidRPr="004519D0">
        <w:rPr>
          <w:noProof/>
          <w:lang w:val="el-GR"/>
        </w:rPr>
        <w:t xml:space="preserve">, </w:t>
      </w:r>
      <w:r>
        <w:rPr>
          <w:noProof/>
          <w:lang w:val="el-GR"/>
        </w:rPr>
        <w:t>επίμονη υπνηλία, αζωθ</w:t>
      </w:r>
      <w:r w:rsidR="0044210D">
        <w:rPr>
          <w:noProof/>
          <w:lang w:val="el-GR"/>
        </w:rPr>
        <w:t>αιμία</w:t>
      </w:r>
      <w:r w:rsidRPr="004519D0">
        <w:rPr>
          <w:noProof/>
          <w:lang w:val="el-GR"/>
        </w:rPr>
        <w:t xml:space="preserve">, </w:t>
      </w:r>
      <w:r w:rsidR="0044210D">
        <w:rPr>
          <w:noProof/>
          <w:lang w:val="el-GR"/>
        </w:rPr>
        <w:t>πολυδιψία</w:t>
      </w:r>
      <w:r w:rsidR="001972B5">
        <w:rPr>
          <w:noProof/>
          <w:lang w:val="el-GR"/>
        </w:rPr>
        <w:t xml:space="preserve"> και πολυουρία</w:t>
      </w:r>
      <w:r>
        <w:rPr>
          <w:noProof/>
          <w:lang w:val="el-GR"/>
        </w:rPr>
        <w:t>, και στο τελικό στάδιο</w:t>
      </w:r>
      <w:r w:rsidR="00383F47">
        <w:rPr>
          <w:noProof/>
          <w:lang w:val="el-GR"/>
        </w:rPr>
        <w:t>,</w:t>
      </w:r>
      <w:r>
        <w:rPr>
          <w:noProof/>
          <w:lang w:val="el-GR"/>
        </w:rPr>
        <w:t xml:space="preserve"> αφυδάτωση. Τα τυπικά</w:t>
      </w:r>
      <w:r w:rsidRPr="00CE38E1">
        <w:rPr>
          <w:noProof/>
          <w:lang w:val="el-GR"/>
        </w:rPr>
        <w:t xml:space="preserve"> </w:t>
      </w:r>
      <w:r>
        <w:rPr>
          <w:noProof/>
          <w:lang w:val="el-GR"/>
        </w:rPr>
        <w:t>εργαστηριακά</w:t>
      </w:r>
      <w:r w:rsidRPr="00CE38E1">
        <w:rPr>
          <w:noProof/>
          <w:lang w:val="el-GR"/>
        </w:rPr>
        <w:t xml:space="preserve"> </w:t>
      </w:r>
      <w:r>
        <w:rPr>
          <w:noProof/>
          <w:lang w:val="el-GR"/>
        </w:rPr>
        <w:t>ευρήματα</w:t>
      </w:r>
      <w:r w:rsidRPr="00CE38E1">
        <w:rPr>
          <w:noProof/>
          <w:lang w:val="el-GR"/>
        </w:rPr>
        <w:t xml:space="preserve"> </w:t>
      </w:r>
      <w:r>
        <w:rPr>
          <w:noProof/>
          <w:lang w:val="el-GR"/>
        </w:rPr>
        <w:t>είναι</w:t>
      </w:r>
      <w:r w:rsidRPr="00CE38E1">
        <w:rPr>
          <w:noProof/>
          <w:lang w:val="el-GR"/>
        </w:rPr>
        <w:t xml:space="preserve"> </w:t>
      </w:r>
      <w:r>
        <w:rPr>
          <w:noProof/>
          <w:lang w:val="el-GR"/>
        </w:rPr>
        <w:t xml:space="preserve">υπερασβεστιαιμία, υπερασβεστιουρία </w:t>
      </w:r>
      <w:r w:rsidR="001972B5">
        <w:rPr>
          <w:noProof/>
          <w:lang w:val="el-GR"/>
        </w:rPr>
        <w:t>καθώς</w:t>
      </w:r>
      <w:r>
        <w:rPr>
          <w:noProof/>
          <w:lang w:val="el-GR"/>
        </w:rPr>
        <w:t xml:space="preserve"> και αυξημένη</w:t>
      </w:r>
      <w:r w:rsidR="001972B5">
        <w:rPr>
          <w:noProof/>
          <w:lang w:val="el-GR"/>
        </w:rPr>
        <w:t xml:space="preserve"> συγκέντρωση</w:t>
      </w:r>
      <w:r>
        <w:rPr>
          <w:noProof/>
          <w:lang w:val="el-GR"/>
        </w:rPr>
        <w:t xml:space="preserve"> 25-υδρόξυ</w:t>
      </w:r>
      <w:r w:rsidR="00E60E9A" w:rsidRPr="00E60E9A">
        <w:rPr>
          <w:noProof/>
          <w:lang w:val="el-GR"/>
        </w:rPr>
        <w:t>-</w:t>
      </w:r>
      <w:r w:rsidR="001972B5">
        <w:rPr>
          <w:noProof/>
          <w:lang w:val="el-GR"/>
        </w:rPr>
        <w:t>χολη</w:t>
      </w:r>
      <w:r>
        <w:rPr>
          <w:noProof/>
          <w:lang w:val="el-GR"/>
        </w:rPr>
        <w:t>καλσιφερόλη</w:t>
      </w:r>
      <w:r w:rsidR="001972B5">
        <w:rPr>
          <w:noProof/>
          <w:lang w:val="el-GR"/>
        </w:rPr>
        <w:t xml:space="preserve">ς </w:t>
      </w:r>
      <w:r w:rsidR="00D31418">
        <w:rPr>
          <w:noProof/>
          <w:lang w:val="el-GR"/>
        </w:rPr>
        <w:t>στον ορό</w:t>
      </w:r>
      <w:r>
        <w:rPr>
          <w:noProof/>
          <w:lang w:val="el-GR"/>
        </w:rPr>
        <w:t>.</w:t>
      </w:r>
    </w:p>
    <w:p w:rsidR="00B8607D" w:rsidRPr="001972B5" w:rsidRDefault="00B8607D" w:rsidP="00526ED7">
      <w:pPr>
        <w:jc w:val="both"/>
        <w:rPr>
          <w:lang w:val="el-GR"/>
        </w:rPr>
      </w:pPr>
    </w:p>
    <w:p w:rsidR="00B8607D" w:rsidRPr="00B8607D" w:rsidRDefault="00820215" w:rsidP="00526ED7">
      <w:pPr>
        <w:jc w:val="both"/>
        <w:outlineLvl w:val="0"/>
        <w:rPr>
          <w:u w:val="single"/>
        </w:rPr>
      </w:pPr>
      <w:r>
        <w:rPr>
          <w:u w:val="single"/>
          <w:lang w:val="el-GR"/>
        </w:rPr>
        <w:t>Αντιμετώπιση</w:t>
      </w:r>
      <w:r w:rsidRPr="00820215">
        <w:rPr>
          <w:u w:val="single"/>
          <w:lang w:val="en-US"/>
        </w:rPr>
        <w:t xml:space="preserve"> </w:t>
      </w:r>
      <w:r>
        <w:rPr>
          <w:u w:val="single"/>
          <w:lang w:val="el-GR"/>
        </w:rPr>
        <w:t>υπερδοσολογίας</w:t>
      </w:r>
    </w:p>
    <w:p w:rsidR="00B8607D" w:rsidRDefault="00B8607D" w:rsidP="00526ED7">
      <w:pPr>
        <w:jc w:val="both"/>
      </w:pPr>
    </w:p>
    <w:p w:rsidR="00B8607D" w:rsidRDefault="00820215" w:rsidP="00526ED7">
      <w:pPr>
        <w:jc w:val="both"/>
        <w:rPr>
          <w:lang w:val="el-GR"/>
        </w:rPr>
      </w:pPr>
      <w:r>
        <w:rPr>
          <w:lang w:val="el-GR"/>
        </w:rPr>
        <w:t>Τα</w:t>
      </w:r>
      <w:r w:rsidRPr="00CE4C8C">
        <w:rPr>
          <w:lang w:val="el-GR"/>
        </w:rPr>
        <w:t xml:space="preserve"> </w:t>
      </w:r>
      <w:r>
        <w:rPr>
          <w:lang w:val="el-GR"/>
        </w:rPr>
        <w:t>συμπτώματα</w:t>
      </w:r>
      <w:r w:rsidRPr="00CE4C8C">
        <w:rPr>
          <w:lang w:val="el-GR"/>
        </w:rPr>
        <w:t xml:space="preserve"> </w:t>
      </w:r>
      <w:r>
        <w:rPr>
          <w:lang w:val="el-GR"/>
        </w:rPr>
        <w:t>χρόνιας</w:t>
      </w:r>
      <w:r w:rsidRPr="00CE4C8C">
        <w:rPr>
          <w:lang w:val="el-GR"/>
        </w:rPr>
        <w:t xml:space="preserve"> </w:t>
      </w:r>
      <w:r>
        <w:rPr>
          <w:lang w:val="el-GR"/>
        </w:rPr>
        <w:t>υπερδοσολογίας</w:t>
      </w:r>
      <w:r w:rsidRPr="00CE4C8C">
        <w:rPr>
          <w:lang w:val="el-GR"/>
        </w:rPr>
        <w:t xml:space="preserve"> </w:t>
      </w:r>
      <w:r>
        <w:rPr>
          <w:lang w:val="el-GR"/>
        </w:rPr>
        <w:t>βιταμίνης</w:t>
      </w:r>
      <w:r w:rsidRPr="00CE4C8C">
        <w:rPr>
          <w:lang w:val="el-GR"/>
        </w:rPr>
        <w:t xml:space="preserve"> </w:t>
      </w:r>
      <w:r w:rsidR="00B8607D">
        <w:t>D</w:t>
      </w:r>
      <w:r w:rsidRPr="00CE4C8C">
        <w:rPr>
          <w:lang w:val="el-GR"/>
        </w:rPr>
        <w:t xml:space="preserve"> </w:t>
      </w:r>
      <w:r>
        <w:rPr>
          <w:lang w:val="el-GR"/>
        </w:rPr>
        <w:t>μπορεί</w:t>
      </w:r>
      <w:r w:rsidRPr="00CE4C8C">
        <w:rPr>
          <w:lang w:val="el-GR"/>
        </w:rPr>
        <w:t xml:space="preserve"> </w:t>
      </w:r>
      <w:r>
        <w:rPr>
          <w:lang w:val="el-GR"/>
        </w:rPr>
        <w:t>να</w:t>
      </w:r>
      <w:r w:rsidRPr="00CE4C8C">
        <w:rPr>
          <w:lang w:val="el-GR"/>
        </w:rPr>
        <w:t xml:space="preserve"> </w:t>
      </w:r>
      <w:r>
        <w:rPr>
          <w:lang w:val="el-GR"/>
        </w:rPr>
        <w:t>απαιτούν</w:t>
      </w:r>
      <w:r w:rsidRPr="00CE4C8C">
        <w:rPr>
          <w:lang w:val="el-GR"/>
        </w:rPr>
        <w:t xml:space="preserve"> </w:t>
      </w:r>
      <w:r w:rsidR="00B8607D" w:rsidRPr="00CE4C8C">
        <w:rPr>
          <w:lang w:val="el-GR"/>
        </w:rPr>
        <w:t xml:space="preserve"> </w:t>
      </w:r>
      <w:r w:rsidR="00CE4C8C">
        <w:rPr>
          <w:lang w:val="el-GR"/>
        </w:rPr>
        <w:t>προκλητή</w:t>
      </w:r>
      <w:r w:rsidR="00CE4C8C" w:rsidRPr="00CE4C8C">
        <w:rPr>
          <w:lang w:val="el-GR"/>
        </w:rPr>
        <w:t xml:space="preserve"> </w:t>
      </w:r>
      <w:r w:rsidR="00CE4C8C">
        <w:rPr>
          <w:lang w:val="el-GR"/>
        </w:rPr>
        <w:t>διούρηση</w:t>
      </w:r>
      <w:r w:rsidR="00CE4C8C" w:rsidRPr="00CE4C8C">
        <w:rPr>
          <w:lang w:val="el-GR"/>
        </w:rPr>
        <w:t xml:space="preserve"> </w:t>
      </w:r>
      <w:r w:rsidR="00CE4C8C">
        <w:rPr>
          <w:lang w:val="el-GR"/>
        </w:rPr>
        <w:t>καθώς</w:t>
      </w:r>
      <w:r w:rsidR="00CE4C8C" w:rsidRPr="00CE4C8C">
        <w:rPr>
          <w:lang w:val="el-GR"/>
        </w:rPr>
        <w:t xml:space="preserve"> </w:t>
      </w:r>
      <w:r w:rsidR="00CE4C8C">
        <w:rPr>
          <w:lang w:val="el-GR"/>
        </w:rPr>
        <w:t>και</w:t>
      </w:r>
      <w:r w:rsidR="00CE4C8C" w:rsidRPr="00CE4C8C">
        <w:rPr>
          <w:lang w:val="el-GR"/>
        </w:rPr>
        <w:t xml:space="preserve"> </w:t>
      </w:r>
      <w:r w:rsidR="00CE4C8C">
        <w:rPr>
          <w:lang w:val="el-GR"/>
        </w:rPr>
        <w:t>χορήγηση</w:t>
      </w:r>
      <w:r w:rsidR="00CE4C8C" w:rsidRPr="00CE4C8C">
        <w:rPr>
          <w:lang w:val="el-GR"/>
        </w:rPr>
        <w:t xml:space="preserve"> </w:t>
      </w:r>
      <w:r w:rsidR="00CE4C8C">
        <w:rPr>
          <w:lang w:val="el-GR"/>
        </w:rPr>
        <w:t>γλυκοκορτικοειδών</w:t>
      </w:r>
      <w:r w:rsidR="00CE4C8C" w:rsidRPr="00CE4C8C">
        <w:rPr>
          <w:lang w:val="el-GR"/>
        </w:rPr>
        <w:t xml:space="preserve"> </w:t>
      </w:r>
      <w:r w:rsidR="00CE4C8C">
        <w:rPr>
          <w:lang w:val="el-GR"/>
        </w:rPr>
        <w:t>ή</w:t>
      </w:r>
      <w:r w:rsidR="00CE4C8C" w:rsidRPr="00CE4C8C">
        <w:rPr>
          <w:lang w:val="el-GR"/>
        </w:rPr>
        <w:t xml:space="preserve"> </w:t>
      </w:r>
      <w:r w:rsidR="00CE4C8C">
        <w:rPr>
          <w:lang w:val="el-GR"/>
        </w:rPr>
        <w:t>καλσιτονίνης</w:t>
      </w:r>
      <w:r w:rsidR="00CE4C8C" w:rsidRPr="00CE4C8C">
        <w:rPr>
          <w:lang w:val="el-GR"/>
        </w:rPr>
        <w:t>.</w:t>
      </w:r>
    </w:p>
    <w:p w:rsidR="00CE4C8C" w:rsidRPr="00CE4C8C" w:rsidRDefault="00CE4C8C" w:rsidP="00526ED7">
      <w:pPr>
        <w:jc w:val="both"/>
        <w:rPr>
          <w:lang w:val="el-GR"/>
        </w:rPr>
      </w:pPr>
    </w:p>
    <w:p w:rsidR="00B8607D" w:rsidRPr="00820FD7" w:rsidRDefault="00820FD7" w:rsidP="00526ED7">
      <w:pPr>
        <w:jc w:val="both"/>
        <w:rPr>
          <w:lang w:val="el-GR"/>
        </w:rPr>
      </w:pPr>
      <w:r>
        <w:rPr>
          <w:lang w:val="el-GR"/>
        </w:rPr>
        <w:t>Η</w:t>
      </w:r>
      <w:r w:rsidRPr="00820FD7">
        <w:rPr>
          <w:lang w:val="el-GR"/>
        </w:rPr>
        <w:t xml:space="preserve"> </w:t>
      </w:r>
      <w:r>
        <w:rPr>
          <w:lang w:val="el-GR"/>
        </w:rPr>
        <w:t>υπερδοσολογία</w:t>
      </w:r>
      <w:r w:rsidRPr="00820FD7">
        <w:rPr>
          <w:lang w:val="el-GR"/>
        </w:rPr>
        <w:t xml:space="preserve"> </w:t>
      </w:r>
      <w:r>
        <w:rPr>
          <w:lang w:val="el-GR"/>
        </w:rPr>
        <w:t>απαιτεί</w:t>
      </w:r>
      <w:r w:rsidRPr="00820FD7">
        <w:rPr>
          <w:lang w:val="el-GR"/>
        </w:rPr>
        <w:t xml:space="preserve"> </w:t>
      </w:r>
      <w:r>
        <w:rPr>
          <w:lang w:val="el-GR"/>
        </w:rPr>
        <w:t>μέτρα</w:t>
      </w:r>
      <w:r w:rsidRPr="00820FD7">
        <w:rPr>
          <w:lang w:val="el-GR"/>
        </w:rPr>
        <w:t xml:space="preserve"> </w:t>
      </w:r>
      <w:r>
        <w:rPr>
          <w:lang w:val="el-GR"/>
        </w:rPr>
        <w:t>για</w:t>
      </w:r>
      <w:r w:rsidRPr="00820FD7">
        <w:rPr>
          <w:lang w:val="el-GR"/>
        </w:rPr>
        <w:t xml:space="preserve"> </w:t>
      </w:r>
      <w:r>
        <w:rPr>
          <w:lang w:val="el-GR"/>
        </w:rPr>
        <w:t>την</w:t>
      </w:r>
      <w:r w:rsidRPr="00820FD7">
        <w:rPr>
          <w:lang w:val="el-GR"/>
        </w:rPr>
        <w:t xml:space="preserve"> </w:t>
      </w:r>
      <w:r>
        <w:rPr>
          <w:lang w:val="el-GR"/>
        </w:rPr>
        <w:t>αντιμετώπιση</w:t>
      </w:r>
      <w:r w:rsidRPr="00820FD7">
        <w:rPr>
          <w:lang w:val="el-GR"/>
        </w:rPr>
        <w:t xml:space="preserve"> </w:t>
      </w:r>
      <w:r>
        <w:rPr>
          <w:lang w:val="el-GR"/>
        </w:rPr>
        <w:t>της</w:t>
      </w:r>
      <w:r w:rsidRPr="00820FD7">
        <w:rPr>
          <w:lang w:val="el-GR"/>
        </w:rPr>
        <w:t xml:space="preserve"> </w:t>
      </w:r>
      <w:r>
        <w:rPr>
          <w:lang w:val="el-GR"/>
        </w:rPr>
        <w:t>-συχνά</w:t>
      </w:r>
      <w:r w:rsidRPr="00820FD7">
        <w:rPr>
          <w:lang w:val="el-GR"/>
        </w:rPr>
        <w:t xml:space="preserve"> </w:t>
      </w:r>
      <w:r>
        <w:rPr>
          <w:lang w:val="el-GR"/>
        </w:rPr>
        <w:t>επίμονης</w:t>
      </w:r>
      <w:r w:rsidRPr="00820FD7">
        <w:rPr>
          <w:lang w:val="el-GR"/>
        </w:rPr>
        <w:t xml:space="preserve"> </w:t>
      </w:r>
      <w:r>
        <w:rPr>
          <w:lang w:val="el-GR"/>
        </w:rPr>
        <w:t>και</w:t>
      </w:r>
      <w:r w:rsidRPr="00820FD7">
        <w:rPr>
          <w:lang w:val="el-GR"/>
        </w:rPr>
        <w:t xml:space="preserve"> </w:t>
      </w:r>
      <w:r>
        <w:rPr>
          <w:lang w:val="el-GR"/>
        </w:rPr>
        <w:t>υπό ορισμένες συνθήκες απειλητικής για τη ζωή- υπερασβεστιαιμίας</w:t>
      </w:r>
      <w:r w:rsidR="00B8607D" w:rsidRPr="00820FD7">
        <w:rPr>
          <w:lang w:val="el-GR"/>
        </w:rPr>
        <w:t>.</w:t>
      </w:r>
    </w:p>
    <w:p w:rsidR="00B8607D" w:rsidRPr="00820FD7" w:rsidRDefault="00B8607D" w:rsidP="00526ED7">
      <w:pPr>
        <w:jc w:val="both"/>
        <w:rPr>
          <w:lang w:val="el-GR"/>
        </w:rPr>
      </w:pPr>
    </w:p>
    <w:p w:rsidR="00B8607D" w:rsidRPr="00820FD7" w:rsidRDefault="00820FD7" w:rsidP="00526ED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el-GR"/>
        </w:rPr>
      </w:pPr>
      <w:r>
        <w:rPr>
          <w:lang w:val="el-GR"/>
        </w:rPr>
        <w:lastRenderedPageBreak/>
        <w:t>Το</w:t>
      </w:r>
      <w:r w:rsidRPr="00820FD7">
        <w:rPr>
          <w:lang w:val="el-GR"/>
        </w:rPr>
        <w:t xml:space="preserve"> </w:t>
      </w:r>
      <w:r>
        <w:rPr>
          <w:lang w:val="el-GR"/>
        </w:rPr>
        <w:t>πρώτο</w:t>
      </w:r>
      <w:r w:rsidRPr="00820FD7">
        <w:rPr>
          <w:lang w:val="el-GR"/>
        </w:rPr>
        <w:t xml:space="preserve"> </w:t>
      </w:r>
      <w:r>
        <w:rPr>
          <w:lang w:val="el-GR"/>
        </w:rPr>
        <w:t>μέτρο</w:t>
      </w:r>
      <w:r w:rsidRPr="00820FD7">
        <w:rPr>
          <w:lang w:val="el-GR"/>
        </w:rPr>
        <w:t xml:space="preserve"> </w:t>
      </w:r>
      <w:r>
        <w:rPr>
          <w:lang w:val="el-GR"/>
        </w:rPr>
        <w:t>είναι</w:t>
      </w:r>
      <w:r w:rsidRPr="00820FD7">
        <w:rPr>
          <w:lang w:val="el-GR"/>
        </w:rPr>
        <w:t xml:space="preserve"> </w:t>
      </w:r>
      <w:r>
        <w:rPr>
          <w:lang w:val="el-GR"/>
        </w:rPr>
        <w:t>η</w:t>
      </w:r>
      <w:r w:rsidRPr="00820FD7">
        <w:rPr>
          <w:lang w:val="el-GR"/>
        </w:rPr>
        <w:t xml:space="preserve"> </w:t>
      </w:r>
      <w:r>
        <w:rPr>
          <w:lang w:val="el-GR"/>
        </w:rPr>
        <w:t>διακοπή</w:t>
      </w:r>
      <w:r w:rsidRPr="00820FD7">
        <w:rPr>
          <w:lang w:val="el-GR"/>
        </w:rPr>
        <w:t xml:space="preserve"> </w:t>
      </w:r>
      <w:r>
        <w:rPr>
          <w:lang w:val="el-GR"/>
        </w:rPr>
        <w:t>τους</w:t>
      </w:r>
      <w:r w:rsidRPr="00820FD7">
        <w:rPr>
          <w:lang w:val="el-GR"/>
        </w:rPr>
        <w:t xml:space="preserve"> </w:t>
      </w:r>
      <w:r>
        <w:rPr>
          <w:lang w:val="el-GR"/>
        </w:rPr>
        <w:t>σκευάσματος</w:t>
      </w:r>
      <w:r w:rsidRPr="00820FD7">
        <w:rPr>
          <w:lang w:val="el-GR"/>
        </w:rPr>
        <w:t xml:space="preserve"> </w:t>
      </w:r>
      <w:r>
        <w:rPr>
          <w:lang w:val="el-GR"/>
        </w:rPr>
        <w:t>βιταμίνης</w:t>
      </w:r>
      <w:r w:rsidRPr="00820FD7">
        <w:rPr>
          <w:lang w:val="el-GR"/>
        </w:rPr>
        <w:t xml:space="preserve"> </w:t>
      </w:r>
      <w:r w:rsidR="00B8607D">
        <w:t>D</w:t>
      </w:r>
      <w:r w:rsidRPr="00820FD7">
        <w:rPr>
          <w:lang w:val="el-GR"/>
        </w:rPr>
        <w:t>.</w:t>
      </w:r>
      <w:r>
        <w:rPr>
          <w:lang w:val="el-GR"/>
        </w:rPr>
        <w:t xml:space="preserve"> </w:t>
      </w:r>
      <w:r>
        <w:rPr>
          <w:noProof/>
          <w:lang w:val="el-GR"/>
        </w:rPr>
        <w:t>Χρειάζονται</w:t>
      </w:r>
      <w:r w:rsidRPr="00F27155">
        <w:rPr>
          <w:noProof/>
          <w:lang w:val="el-GR"/>
        </w:rPr>
        <w:t xml:space="preserve"> </w:t>
      </w:r>
      <w:r>
        <w:rPr>
          <w:noProof/>
          <w:lang w:val="el-GR"/>
        </w:rPr>
        <w:t xml:space="preserve">μερικές εβδομάδες για την ομαλοποίηση της υπερασβεστιαιμίας που προκαλείται από τη δηλητηρίαση με βιταμίνη </w:t>
      </w:r>
      <w:r>
        <w:rPr>
          <w:noProof/>
        </w:rPr>
        <w:t>D</w:t>
      </w:r>
      <w:r>
        <w:rPr>
          <w:noProof/>
          <w:lang w:val="el-GR"/>
        </w:rPr>
        <w:t xml:space="preserve">. </w:t>
      </w:r>
    </w:p>
    <w:p w:rsidR="00B8607D" w:rsidRPr="00820FD7" w:rsidRDefault="00B8607D" w:rsidP="00526ED7">
      <w:pPr>
        <w:jc w:val="both"/>
        <w:rPr>
          <w:lang w:val="el-GR"/>
        </w:rPr>
      </w:pPr>
    </w:p>
    <w:p w:rsidR="0028587E" w:rsidRDefault="00D31418" w:rsidP="00526ED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el-GR"/>
        </w:rPr>
      </w:pPr>
      <w:r>
        <w:rPr>
          <w:noProof/>
          <w:lang w:val="el-GR"/>
        </w:rPr>
        <w:t>Ανάλογα με</w:t>
      </w:r>
      <w:r w:rsidR="0028587E" w:rsidRPr="00163D4A">
        <w:rPr>
          <w:noProof/>
          <w:lang w:val="el-GR"/>
        </w:rPr>
        <w:t xml:space="preserve"> </w:t>
      </w:r>
      <w:r>
        <w:rPr>
          <w:noProof/>
          <w:lang w:val="el-GR"/>
        </w:rPr>
        <w:t>το</w:t>
      </w:r>
      <w:r w:rsidR="0028587E" w:rsidRPr="00163D4A">
        <w:rPr>
          <w:noProof/>
          <w:lang w:val="el-GR"/>
        </w:rPr>
        <w:t xml:space="preserve"> </w:t>
      </w:r>
      <w:r>
        <w:rPr>
          <w:noProof/>
          <w:lang w:val="el-GR"/>
        </w:rPr>
        <w:t>βαθμό</w:t>
      </w:r>
      <w:r w:rsidR="0028587E" w:rsidRPr="00163D4A">
        <w:rPr>
          <w:noProof/>
          <w:lang w:val="el-GR"/>
        </w:rPr>
        <w:t xml:space="preserve"> </w:t>
      </w:r>
      <w:r>
        <w:rPr>
          <w:noProof/>
          <w:lang w:val="el-GR"/>
        </w:rPr>
        <w:t xml:space="preserve">της </w:t>
      </w:r>
      <w:r w:rsidR="0028587E">
        <w:rPr>
          <w:noProof/>
          <w:lang w:val="el-GR"/>
        </w:rPr>
        <w:t>υπερασβεστιαιμίας</w:t>
      </w:r>
      <w:r w:rsidR="0028587E" w:rsidRPr="00163D4A">
        <w:rPr>
          <w:noProof/>
          <w:lang w:val="el-GR"/>
        </w:rPr>
        <w:t xml:space="preserve">, </w:t>
      </w:r>
      <w:r w:rsidR="0028587E">
        <w:rPr>
          <w:noProof/>
          <w:lang w:val="el-GR"/>
        </w:rPr>
        <w:t>τα</w:t>
      </w:r>
      <w:r w:rsidR="0028587E" w:rsidRPr="00163D4A">
        <w:rPr>
          <w:noProof/>
          <w:lang w:val="el-GR"/>
        </w:rPr>
        <w:t xml:space="preserve"> </w:t>
      </w:r>
      <w:r w:rsidR="0028587E">
        <w:rPr>
          <w:noProof/>
          <w:lang w:val="el-GR"/>
        </w:rPr>
        <w:t>μέτρα</w:t>
      </w:r>
      <w:r w:rsidR="0028587E" w:rsidRPr="00163D4A">
        <w:rPr>
          <w:noProof/>
          <w:lang w:val="el-GR"/>
        </w:rPr>
        <w:t xml:space="preserve"> </w:t>
      </w:r>
      <w:r w:rsidR="0028587E">
        <w:rPr>
          <w:noProof/>
          <w:lang w:val="el-GR"/>
        </w:rPr>
        <w:t>περιλαμβάνουν</w:t>
      </w:r>
      <w:r w:rsidR="0028587E" w:rsidRPr="00163D4A">
        <w:rPr>
          <w:noProof/>
          <w:lang w:val="el-GR"/>
        </w:rPr>
        <w:t xml:space="preserve"> </w:t>
      </w:r>
      <w:r w:rsidR="0028587E">
        <w:rPr>
          <w:noProof/>
          <w:lang w:val="el-GR"/>
        </w:rPr>
        <w:t>δίαιτα</w:t>
      </w:r>
      <w:r w:rsidR="0028587E" w:rsidRPr="00163D4A">
        <w:rPr>
          <w:noProof/>
          <w:lang w:val="el-GR"/>
        </w:rPr>
        <w:t xml:space="preserve"> </w:t>
      </w:r>
      <w:r w:rsidR="0028587E">
        <w:rPr>
          <w:noProof/>
          <w:lang w:val="el-GR"/>
        </w:rPr>
        <w:t>φτωχή</w:t>
      </w:r>
      <w:r w:rsidR="0028587E" w:rsidRPr="00163D4A">
        <w:rPr>
          <w:noProof/>
          <w:lang w:val="el-GR"/>
        </w:rPr>
        <w:t xml:space="preserve"> </w:t>
      </w:r>
      <w:r w:rsidR="0028587E">
        <w:rPr>
          <w:noProof/>
          <w:lang w:val="el-GR"/>
        </w:rPr>
        <w:t>σε</w:t>
      </w:r>
      <w:r w:rsidR="0028587E" w:rsidRPr="00163D4A">
        <w:rPr>
          <w:noProof/>
          <w:lang w:val="el-GR"/>
        </w:rPr>
        <w:t xml:space="preserve"> </w:t>
      </w:r>
      <w:r w:rsidR="0028587E">
        <w:rPr>
          <w:noProof/>
          <w:lang w:val="el-GR"/>
        </w:rPr>
        <w:t>ασβέστιο</w:t>
      </w:r>
      <w:r w:rsidR="0028587E" w:rsidRPr="00163D4A">
        <w:rPr>
          <w:noProof/>
          <w:lang w:val="el-GR"/>
        </w:rPr>
        <w:t xml:space="preserve"> </w:t>
      </w:r>
      <w:r w:rsidR="0028587E">
        <w:rPr>
          <w:noProof/>
          <w:lang w:val="el-GR"/>
        </w:rPr>
        <w:t>ή</w:t>
      </w:r>
      <w:r w:rsidR="0028587E" w:rsidRPr="00163D4A">
        <w:rPr>
          <w:noProof/>
          <w:lang w:val="el-GR"/>
        </w:rPr>
        <w:t xml:space="preserve"> </w:t>
      </w:r>
      <w:r w:rsidR="0028587E">
        <w:rPr>
          <w:noProof/>
          <w:lang w:val="el-GR"/>
        </w:rPr>
        <w:t>χωρίς</w:t>
      </w:r>
      <w:r w:rsidR="0028587E" w:rsidRPr="00163D4A">
        <w:rPr>
          <w:noProof/>
          <w:lang w:val="el-GR"/>
        </w:rPr>
        <w:t xml:space="preserve"> </w:t>
      </w:r>
      <w:r w:rsidR="0028587E">
        <w:rPr>
          <w:noProof/>
          <w:lang w:val="el-GR"/>
        </w:rPr>
        <w:t>ασβέστιο</w:t>
      </w:r>
      <w:r w:rsidR="0028587E" w:rsidRPr="00163D4A">
        <w:rPr>
          <w:noProof/>
          <w:lang w:val="el-GR"/>
        </w:rPr>
        <w:t xml:space="preserve">, </w:t>
      </w:r>
      <w:r w:rsidR="0028587E">
        <w:rPr>
          <w:noProof/>
          <w:lang w:val="el-GR"/>
        </w:rPr>
        <w:t>άφθονη</w:t>
      </w:r>
      <w:r w:rsidR="0028587E" w:rsidRPr="00163D4A">
        <w:rPr>
          <w:noProof/>
          <w:lang w:val="el-GR"/>
        </w:rPr>
        <w:t xml:space="preserve"> </w:t>
      </w:r>
      <w:r w:rsidR="0028587E">
        <w:rPr>
          <w:noProof/>
          <w:lang w:val="el-GR"/>
        </w:rPr>
        <w:t>πρόσληψη</w:t>
      </w:r>
      <w:r w:rsidR="0028587E" w:rsidRPr="00163D4A">
        <w:rPr>
          <w:noProof/>
          <w:lang w:val="el-GR"/>
        </w:rPr>
        <w:t xml:space="preserve"> </w:t>
      </w:r>
      <w:r w:rsidR="0028587E">
        <w:rPr>
          <w:noProof/>
          <w:lang w:val="el-GR"/>
        </w:rPr>
        <w:t>υγρών</w:t>
      </w:r>
      <w:r w:rsidR="0028587E" w:rsidRPr="00163D4A">
        <w:rPr>
          <w:noProof/>
          <w:lang w:val="el-GR"/>
        </w:rPr>
        <w:t xml:space="preserve">, </w:t>
      </w:r>
      <w:r w:rsidR="0028587E">
        <w:rPr>
          <w:noProof/>
          <w:lang w:val="el-GR"/>
        </w:rPr>
        <w:t>αύξηση</w:t>
      </w:r>
      <w:r w:rsidR="0028587E" w:rsidRPr="00163D4A">
        <w:rPr>
          <w:noProof/>
          <w:lang w:val="el-GR"/>
        </w:rPr>
        <w:t xml:space="preserve"> </w:t>
      </w:r>
      <w:r w:rsidR="0028587E">
        <w:rPr>
          <w:noProof/>
          <w:lang w:val="el-GR"/>
        </w:rPr>
        <w:t>της</w:t>
      </w:r>
      <w:r w:rsidR="0028587E" w:rsidRPr="00163D4A">
        <w:rPr>
          <w:noProof/>
          <w:lang w:val="el-GR"/>
        </w:rPr>
        <w:t xml:space="preserve"> </w:t>
      </w:r>
      <w:r w:rsidR="0028587E">
        <w:rPr>
          <w:noProof/>
          <w:lang w:val="el-GR"/>
        </w:rPr>
        <w:t>απέκρρισης</w:t>
      </w:r>
      <w:r w:rsidR="0028587E" w:rsidRPr="00163D4A">
        <w:rPr>
          <w:noProof/>
          <w:lang w:val="el-GR"/>
        </w:rPr>
        <w:t xml:space="preserve"> </w:t>
      </w:r>
      <w:r w:rsidR="0028587E">
        <w:rPr>
          <w:noProof/>
          <w:lang w:val="el-GR"/>
        </w:rPr>
        <w:t>με</w:t>
      </w:r>
      <w:r w:rsidR="0028587E" w:rsidRPr="00163D4A">
        <w:rPr>
          <w:noProof/>
          <w:lang w:val="el-GR"/>
        </w:rPr>
        <w:t xml:space="preserve"> </w:t>
      </w:r>
      <w:r w:rsidR="0028587E">
        <w:rPr>
          <w:noProof/>
          <w:lang w:val="el-GR"/>
        </w:rPr>
        <w:t>τα</w:t>
      </w:r>
      <w:r w:rsidR="0028587E" w:rsidRPr="00163D4A">
        <w:rPr>
          <w:noProof/>
          <w:lang w:val="el-GR"/>
        </w:rPr>
        <w:t xml:space="preserve"> </w:t>
      </w:r>
      <w:r w:rsidR="0028587E">
        <w:rPr>
          <w:noProof/>
          <w:lang w:val="el-GR"/>
        </w:rPr>
        <w:t>ούρα</w:t>
      </w:r>
      <w:r w:rsidR="0028587E" w:rsidRPr="00163D4A">
        <w:rPr>
          <w:noProof/>
          <w:lang w:val="el-GR"/>
        </w:rPr>
        <w:t xml:space="preserve"> </w:t>
      </w:r>
      <w:r w:rsidR="00C867EC">
        <w:rPr>
          <w:noProof/>
          <w:lang w:val="el-GR"/>
        </w:rPr>
        <w:t>χρησιμοποιώντας</w:t>
      </w:r>
      <w:r w:rsidR="0028587E" w:rsidRPr="00163D4A">
        <w:rPr>
          <w:noProof/>
          <w:lang w:val="el-GR"/>
        </w:rPr>
        <w:t xml:space="preserve"> </w:t>
      </w:r>
      <w:r w:rsidR="0028587E">
        <w:rPr>
          <w:noProof/>
          <w:lang w:val="el-GR"/>
        </w:rPr>
        <w:t>το</w:t>
      </w:r>
      <w:r w:rsidR="0028587E" w:rsidRPr="00163D4A">
        <w:rPr>
          <w:noProof/>
          <w:lang w:val="el-GR"/>
        </w:rPr>
        <w:t xml:space="preserve"> </w:t>
      </w:r>
      <w:r w:rsidR="0028587E">
        <w:rPr>
          <w:noProof/>
          <w:lang w:val="el-GR"/>
        </w:rPr>
        <w:t xml:space="preserve">φάρμακο φουροσεμίδη, καθώς και χορήγηση </w:t>
      </w:r>
      <w:r w:rsidR="00C867EC">
        <w:rPr>
          <w:noProof/>
          <w:lang w:val="el-GR"/>
        </w:rPr>
        <w:t>γλυκο</w:t>
      </w:r>
      <w:r w:rsidR="0028587E">
        <w:rPr>
          <w:noProof/>
          <w:lang w:val="el-GR"/>
        </w:rPr>
        <w:t>κορτικοειδών και καλσιτονίνης.</w:t>
      </w:r>
    </w:p>
    <w:p w:rsidR="0028587E" w:rsidRPr="00163D4A" w:rsidRDefault="0028587E" w:rsidP="00526ED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el-GR"/>
        </w:rPr>
      </w:pPr>
    </w:p>
    <w:p w:rsidR="0028587E" w:rsidRPr="0023573E" w:rsidRDefault="0028587E" w:rsidP="00526ED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el-GR"/>
        </w:rPr>
      </w:pPr>
      <w:r>
        <w:rPr>
          <w:noProof/>
          <w:lang w:val="el-GR"/>
        </w:rPr>
        <w:t>Εάν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>είναι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>επαρκής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>η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>νεφρική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>λειτουργία</w:t>
      </w:r>
      <w:r w:rsidRPr="00763AD8">
        <w:rPr>
          <w:noProof/>
          <w:lang w:val="el-GR"/>
        </w:rPr>
        <w:t xml:space="preserve">, </w:t>
      </w:r>
      <w:r>
        <w:rPr>
          <w:noProof/>
          <w:lang w:val="el-GR"/>
        </w:rPr>
        <w:t>τα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>επίπεδα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>ασβεστίου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>στο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>αίμα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>μπορούν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>να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>μειωθούν</w:t>
      </w:r>
      <w:r w:rsidRPr="00763AD8">
        <w:rPr>
          <w:noProof/>
          <w:lang w:val="el-GR"/>
        </w:rPr>
        <w:t xml:space="preserve"> </w:t>
      </w:r>
      <w:r w:rsidR="00C867EC">
        <w:rPr>
          <w:noProof/>
          <w:lang w:val="el-GR"/>
        </w:rPr>
        <w:t>αξιόπιστα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>με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>εγχύσεις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>ισοτονικού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>διαλύματος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>χλωριούχου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 xml:space="preserve">νατρίου </w:t>
      </w:r>
      <w:r w:rsidRPr="00763AD8">
        <w:rPr>
          <w:noProof/>
          <w:lang w:val="el-GR"/>
        </w:rPr>
        <w:t xml:space="preserve">(3–6 </w:t>
      </w:r>
      <w:r>
        <w:rPr>
          <w:noProof/>
          <w:lang w:val="el-GR"/>
        </w:rPr>
        <w:t>λίτρα σε</w:t>
      </w:r>
      <w:r w:rsidRPr="00763AD8">
        <w:rPr>
          <w:noProof/>
          <w:lang w:val="el-GR"/>
        </w:rPr>
        <w:t xml:space="preserve"> 24 </w:t>
      </w:r>
      <w:r>
        <w:rPr>
          <w:noProof/>
          <w:lang w:val="el-GR"/>
        </w:rPr>
        <w:t>ώρες</w:t>
      </w:r>
      <w:r w:rsidRPr="00763AD8">
        <w:rPr>
          <w:noProof/>
          <w:lang w:val="el-GR"/>
        </w:rPr>
        <w:t>)</w:t>
      </w:r>
      <w:r>
        <w:rPr>
          <w:noProof/>
          <w:lang w:val="el-GR"/>
        </w:rPr>
        <w:t xml:space="preserve"> με προσθήκη φουροσεμίδης και σε ορισμένες περιπτώσεις, επίσης</w:t>
      </w:r>
      <w:r w:rsidR="00301EB7">
        <w:rPr>
          <w:noProof/>
          <w:lang w:val="el-GR"/>
        </w:rPr>
        <w:t>,</w:t>
      </w:r>
      <w:r>
        <w:rPr>
          <w:noProof/>
          <w:lang w:val="el-GR"/>
        </w:rPr>
        <w:t xml:space="preserve"> με </w:t>
      </w:r>
      <w:r w:rsidRPr="00763AD8">
        <w:rPr>
          <w:noProof/>
          <w:lang w:val="el-GR"/>
        </w:rPr>
        <w:t xml:space="preserve">15 </w:t>
      </w:r>
      <w:r>
        <w:rPr>
          <w:noProof/>
        </w:rPr>
        <w:t>mg</w:t>
      </w:r>
      <w:r w:rsidRPr="00763AD8">
        <w:rPr>
          <w:noProof/>
          <w:lang w:val="el-GR"/>
        </w:rPr>
        <w:t>/</w:t>
      </w:r>
      <w:r>
        <w:rPr>
          <w:noProof/>
        </w:rPr>
        <w:t>kg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>σωματικού βάρους/</w:t>
      </w:r>
      <w:r w:rsidR="00301EB7">
        <w:rPr>
          <w:noProof/>
          <w:lang w:val="el-GR"/>
        </w:rPr>
        <w:t>ώρα</w:t>
      </w:r>
      <w:r>
        <w:rPr>
          <w:noProof/>
          <w:lang w:val="el-GR"/>
        </w:rPr>
        <w:t xml:space="preserve"> </w:t>
      </w:r>
      <w:r w:rsidR="00301EB7">
        <w:rPr>
          <w:noProof/>
          <w:lang w:val="el-GR"/>
        </w:rPr>
        <w:t>αιθυλενοδιαμινοτετραοξικού</w:t>
      </w:r>
      <w:r w:rsidRPr="005F792A">
        <w:rPr>
          <w:noProof/>
          <w:lang w:val="el-GR"/>
        </w:rPr>
        <w:t xml:space="preserve"> </w:t>
      </w:r>
      <w:r>
        <w:rPr>
          <w:noProof/>
          <w:lang w:val="el-GR"/>
        </w:rPr>
        <w:t>νατρίου (</w:t>
      </w:r>
      <w:r>
        <w:rPr>
          <w:noProof/>
        </w:rPr>
        <w:t>sodium</w:t>
      </w:r>
      <w:r w:rsidRPr="00763AD8">
        <w:rPr>
          <w:noProof/>
          <w:lang w:val="el-GR"/>
        </w:rPr>
        <w:t xml:space="preserve"> </w:t>
      </w:r>
      <w:r>
        <w:rPr>
          <w:noProof/>
        </w:rPr>
        <w:t>edetate</w:t>
      </w:r>
      <w:r>
        <w:rPr>
          <w:noProof/>
          <w:lang w:val="el-GR"/>
        </w:rPr>
        <w:t>)</w:t>
      </w:r>
      <w:r w:rsidR="0077717C">
        <w:rPr>
          <w:noProof/>
          <w:lang w:val="el-GR"/>
        </w:rPr>
        <w:t>,</w:t>
      </w:r>
      <w:r w:rsidRPr="00763AD8">
        <w:rPr>
          <w:noProof/>
          <w:lang w:val="el-GR"/>
        </w:rPr>
        <w:t xml:space="preserve"> </w:t>
      </w:r>
      <w:r>
        <w:rPr>
          <w:noProof/>
          <w:lang w:val="el-GR"/>
        </w:rPr>
        <w:t>παράλληλα με τη συνεχή παρακολούθηση των</w:t>
      </w:r>
      <w:r w:rsidR="0077717C">
        <w:rPr>
          <w:noProof/>
          <w:lang w:val="el-GR"/>
        </w:rPr>
        <w:t xml:space="preserve"> επιπέδων του ασβεστίου και </w:t>
      </w:r>
      <w:r w:rsidR="00C867EC">
        <w:rPr>
          <w:noProof/>
          <w:lang w:val="el-GR"/>
        </w:rPr>
        <w:t xml:space="preserve">την </w:t>
      </w:r>
      <w:r w:rsidR="0077717C">
        <w:rPr>
          <w:noProof/>
          <w:lang w:val="el-GR"/>
        </w:rPr>
        <w:t>ΗΚΓ</w:t>
      </w:r>
      <w:r w:rsidR="00C867EC">
        <w:rPr>
          <w:noProof/>
          <w:lang w:val="el-GR"/>
        </w:rPr>
        <w:t xml:space="preserve"> παρακολούθηση</w:t>
      </w:r>
      <w:r w:rsidRPr="0023573E">
        <w:rPr>
          <w:noProof/>
          <w:lang w:val="el-GR"/>
        </w:rPr>
        <w:t>.</w:t>
      </w:r>
      <w:r w:rsidR="0077717C">
        <w:rPr>
          <w:noProof/>
          <w:lang w:val="el-GR"/>
        </w:rPr>
        <w:t xml:space="preserve"> </w:t>
      </w:r>
    </w:p>
    <w:p w:rsidR="0028587E" w:rsidRDefault="008C5251" w:rsidP="00526ED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el-GR"/>
        </w:rPr>
      </w:pPr>
      <w:r w:rsidRPr="00C867EC">
        <w:rPr>
          <w:noProof/>
          <w:lang w:val="el-GR"/>
        </w:rPr>
        <w:t>Αντίθετα</w:t>
      </w:r>
      <w:r w:rsidR="00C867EC" w:rsidRPr="00C867EC">
        <w:rPr>
          <w:noProof/>
          <w:lang w:val="el-GR"/>
        </w:rPr>
        <w:t>,</w:t>
      </w:r>
      <w:r w:rsidRPr="00C867EC">
        <w:rPr>
          <w:noProof/>
          <w:lang w:val="el-GR"/>
        </w:rPr>
        <w:t xml:space="preserve"> σ</w:t>
      </w:r>
      <w:r w:rsidR="00C867EC">
        <w:rPr>
          <w:noProof/>
          <w:lang w:val="el-GR"/>
        </w:rPr>
        <w:t>ε</w:t>
      </w:r>
      <w:r w:rsidRPr="00C867EC">
        <w:rPr>
          <w:noProof/>
          <w:lang w:val="el-GR"/>
        </w:rPr>
        <w:t xml:space="preserve"> περίπτωση </w:t>
      </w:r>
      <w:r w:rsidR="00C867EC" w:rsidRPr="00C867EC">
        <w:rPr>
          <w:noProof/>
          <w:lang w:val="el-GR"/>
        </w:rPr>
        <w:t>ολιγοανουρίας</w:t>
      </w:r>
      <w:r w:rsidRPr="00C867EC">
        <w:rPr>
          <w:noProof/>
          <w:lang w:val="el-GR"/>
        </w:rPr>
        <w:t xml:space="preserve"> είναι απαραίτητη η αιμοκάθαρση (διάλυμα αιμοκάθαρσης</w:t>
      </w:r>
      <w:r>
        <w:rPr>
          <w:noProof/>
          <w:lang w:val="el-GR"/>
        </w:rPr>
        <w:t xml:space="preserve"> ελεύθερο ασβεστίου).</w:t>
      </w:r>
    </w:p>
    <w:p w:rsidR="008C5251" w:rsidRPr="0023573E" w:rsidRDefault="008C5251" w:rsidP="00526ED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el-GR"/>
        </w:rPr>
      </w:pPr>
    </w:p>
    <w:p w:rsidR="0028587E" w:rsidRDefault="0028587E" w:rsidP="00526ED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</w:rPr>
      </w:pPr>
      <w:r>
        <w:rPr>
          <w:noProof/>
          <w:lang w:val="el-GR"/>
        </w:rPr>
        <w:t>Δεν</w:t>
      </w:r>
      <w:r w:rsidRPr="00667131">
        <w:rPr>
          <w:noProof/>
          <w:lang w:val="en-US"/>
        </w:rPr>
        <w:t xml:space="preserve"> </w:t>
      </w:r>
      <w:r>
        <w:rPr>
          <w:noProof/>
          <w:lang w:val="el-GR"/>
        </w:rPr>
        <w:t>υπάρχει</w:t>
      </w:r>
      <w:r w:rsidRPr="00667131">
        <w:rPr>
          <w:noProof/>
          <w:lang w:val="en-US"/>
        </w:rPr>
        <w:t xml:space="preserve"> </w:t>
      </w:r>
      <w:r>
        <w:rPr>
          <w:noProof/>
          <w:lang w:val="el-GR"/>
        </w:rPr>
        <w:t>ειδικό</w:t>
      </w:r>
      <w:r w:rsidRPr="00667131">
        <w:rPr>
          <w:noProof/>
          <w:lang w:val="en-US"/>
        </w:rPr>
        <w:t xml:space="preserve"> </w:t>
      </w:r>
      <w:r>
        <w:rPr>
          <w:noProof/>
          <w:lang w:val="el-GR"/>
        </w:rPr>
        <w:t>αντίδοτο</w:t>
      </w:r>
      <w:r>
        <w:rPr>
          <w:noProof/>
        </w:rPr>
        <w:t>.</w:t>
      </w:r>
    </w:p>
    <w:p w:rsidR="00B8607D" w:rsidRDefault="00B8607D" w:rsidP="00526ED7">
      <w:pPr>
        <w:jc w:val="both"/>
      </w:pPr>
    </w:p>
    <w:p w:rsidR="00B8607D" w:rsidRPr="0096198C" w:rsidRDefault="008C5251" w:rsidP="00526ED7">
      <w:pPr>
        <w:tabs>
          <w:tab w:val="clear" w:pos="567"/>
        </w:tabs>
        <w:spacing w:line="240" w:lineRule="auto"/>
        <w:jc w:val="both"/>
        <w:rPr>
          <w:lang w:val="el-GR"/>
        </w:rPr>
      </w:pPr>
      <w:r>
        <w:rPr>
          <w:lang w:val="el-GR"/>
        </w:rPr>
        <w:t>Προτείνεται</w:t>
      </w:r>
      <w:r w:rsidRPr="0096198C">
        <w:rPr>
          <w:lang w:val="el-GR"/>
        </w:rPr>
        <w:t xml:space="preserve"> </w:t>
      </w:r>
      <w:r>
        <w:rPr>
          <w:lang w:val="el-GR"/>
        </w:rPr>
        <w:t>να</w:t>
      </w:r>
      <w:r w:rsidRPr="0096198C">
        <w:rPr>
          <w:lang w:val="el-GR"/>
        </w:rPr>
        <w:t xml:space="preserve"> </w:t>
      </w:r>
      <w:r w:rsidR="002A467A">
        <w:rPr>
          <w:lang w:val="el-GR"/>
        </w:rPr>
        <w:t>επισημαίνοντα</w:t>
      </w:r>
      <w:r w:rsidR="001D0998">
        <w:rPr>
          <w:lang w:val="el-GR"/>
        </w:rPr>
        <w:t>ι</w:t>
      </w:r>
      <w:r w:rsidRPr="0096198C">
        <w:rPr>
          <w:lang w:val="el-GR"/>
        </w:rPr>
        <w:t xml:space="preserve"> </w:t>
      </w:r>
      <w:r>
        <w:rPr>
          <w:lang w:val="el-GR"/>
        </w:rPr>
        <w:t>τα</w:t>
      </w:r>
      <w:r w:rsidRPr="0096198C">
        <w:rPr>
          <w:lang w:val="el-GR"/>
        </w:rPr>
        <w:t xml:space="preserve"> </w:t>
      </w:r>
      <w:r>
        <w:rPr>
          <w:lang w:val="el-GR"/>
        </w:rPr>
        <w:t>συμπτώματα</w:t>
      </w:r>
      <w:r w:rsidR="002A467A" w:rsidRPr="0096198C">
        <w:rPr>
          <w:lang w:val="el-GR"/>
        </w:rPr>
        <w:t xml:space="preserve"> </w:t>
      </w:r>
      <w:r w:rsidR="002A467A">
        <w:rPr>
          <w:lang w:val="el-GR"/>
        </w:rPr>
        <w:t>της</w:t>
      </w:r>
      <w:r w:rsidR="002A467A" w:rsidRPr="0096198C">
        <w:rPr>
          <w:lang w:val="el-GR"/>
        </w:rPr>
        <w:t xml:space="preserve"> </w:t>
      </w:r>
      <w:r w:rsidR="002A467A">
        <w:rPr>
          <w:lang w:val="el-GR"/>
        </w:rPr>
        <w:t>εν</w:t>
      </w:r>
      <w:r w:rsidR="002A467A" w:rsidRPr="0096198C">
        <w:rPr>
          <w:lang w:val="el-GR"/>
        </w:rPr>
        <w:t xml:space="preserve"> </w:t>
      </w:r>
      <w:r w:rsidR="002A467A">
        <w:rPr>
          <w:lang w:val="el-GR"/>
        </w:rPr>
        <w:t>δυνάμει</w:t>
      </w:r>
      <w:r w:rsidR="002A467A" w:rsidRPr="0096198C">
        <w:rPr>
          <w:lang w:val="el-GR"/>
        </w:rPr>
        <w:t xml:space="preserve"> </w:t>
      </w:r>
      <w:r w:rsidR="00DF1EB8">
        <w:rPr>
          <w:lang w:val="el-GR"/>
        </w:rPr>
        <w:t>υπερδοσολογίας</w:t>
      </w:r>
      <w:r w:rsidR="0096198C" w:rsidRPr="0096198C">
        <w:rPr>
          <w:lang w:val="el-GR"/>
        </w:rPr>
        <w:t xml:space="preserve"> </w:t>
      </w:r>
      <w:r w:rsidR="0096198C">
        <w:rPr>
          <w:lang w:val="el-GR"/>
        </w:rPr>
        <w:t>σε</w:t>
      </w:r>
      <w:r w:rsidR="0096198C" w:rsidRPr="0096198C">
        <w:rPr>
          <w:lang w:val="el-GR"/>
        </w:rPr>
        <w:t xml:space="preserve"> </w:t>
      </w:r>
      <w:r w:rsidR="0096198C">
        <w:rPr>
          <w:lang w:val="el-GR"/>
        </w:rPr>
        <w:t>ασθενείς</w:t>
      </w:r>
      <w:r w:rsidR="0096198C" w:rsidRPr="0096198C">
        <w:rPr>
          <w:lang w:val="el-GR"/>
        </w:rPr>
        <w:t xml:space="preserve"> </w:t>
      </w:r>
      <w:r w:rsidR="0096198C">
        <w:rPr>
          <w:lang w:val="el-GR"/>
        </w:rPr>
        <w:t>σε</w:t>
      </w:r>
      <w:r w:rsidR="0096198C" w:rsidRPr="0096198C">
        <w:rPr>
          <w:lang w:val="el-GR"/>
        </w:rPr>
        <w:t xml:space="preserve"> </w:t>
      </w:r>
      <w:r w:rsidR="0096198C">
        <w:rPr>
          <w:lang w:val="el-GR"/>
        </w:rPr>
        <w:t>χρόνια</w:t>
      </w:r>
      <w:r w:rsidR="0096198C" w:rsidRPr="0096198C">
        <w:rPr>
          <w:lang w:val="el-GR"/>
        </w:rPr>
        <w:t xml:space="preserve"> </w:t>
      </w:r>
      <w:r w:rsidR="0096198C">
        <w:rPr>
          <w:lang w:val="el-GR"/>
        </w:rPr>
        <w:t>θεραπεία</w:t>
      </w:r>
      <w:r w:rsidR="0096198C" w:rsidRPr="0096198C">
        <w:rPr>
          <w:lang w:val="el-GR"/>
        </w:rPr>
        <w:t xml:space="preserve"> </w:t>
      </w:r>
      <w:r w:rsidR="0096198C">
        <w:rPr>
          <w:lang w:val="el-GR"/>
        </w:rPr>
        <w:t>με</w:t>
      </w:r>
      <w:r w:rsidR="0096198C" w:rsidRPr="0096198C">
        <w:rPr>
          <w:lang w:val="el-GR"/>
        </w:rPr>
        <w:t xml:space="preserve"> </w:t>
      </w:r>
      <w:r w:rsidR="0096198C">
        <w:rPr>
          <w:lang w:val="el-GR"/>
        </w:rPr>
        <w:t>υψηλότερες</w:t>
      </w:r>
      <w:r w:rsidR="0096198C" w:rsidRPr="0096198C">
        <w:rPr>
          <w:lang w:val="el-GR"/>
        </w:rPr>
        <w:t xml:space="preserve"> </w:t>
      </w:r>
      <w:r w:rsidR="0096198C">
        <w:rPr>
          <w:lang w:val="el-GR"/>
        </w:rPr>
        <w:t>δόσεις</w:t>
      </w:r>
      <w:r w:rsidR="0096198C" w:rsidRPr="0096198C">
        <w:rPr>
          <w:lang w:val="el-GR"/>
        </w:rPr>
        <w:t xml:space="preserve"> </w:t>
      </w:r>
      <w:r w:rsidR="0096198C">
        <w:rPr>
          <w:lang w:val="el-GR"/>
        </w:rPr>
        <w:t>βιταμίνης</w:t>
      </w:r>
      <w:r w:rsidR="0096198C" w:rsidRPr="0096198C">
        <w:rPr>
          <w:lang w:val="el-GR"/>
        </w:rPr>
        <w:t xml:space="preserve"> </w:t>
      </w:r>
      <w:r w:rsidR="00B8607D">
        <w:t>D</w:t>
      </w:r>
      <w:r w:rsidR="00B8607D" w:rsidRPr="0096198C">
        <w:rPr>
          <w:lang w:val="el-GR"/>
        </w:rPr>
        <w:t xml:space="preserve"> (</w:t>
      </w:r>
      <w:r w:rsidR="0096198C">
        <w:rPr>
          <w:lang w:val="el-GR"/>
        </w:rPr>
        <w:t>ναυτία</w:t>
      </w:r>
      <w:r w:rsidR="0096198C" w:rsidRPr="0096198C">
        <w:rPr>
          <w:lang w:val="el-GR"/>
        </w:rPr>
        <w:t xml:space="preserve">, </w:t>
      </w:r>
      <w:r w:rsidR="0096198C">
        <w:rPr>
          <w:lang w:val="el-GR"/>
        </w:rPr>
        <w:t>έμετο</w:t>
      </w:r>
      <w:r w:rsidR="00383F47">
        <w:rPr>
          <w:lang w:val="el-GR"/>
        </w:rPr>
        <w:t>ς</w:t>
      </w:r>
      <w:r w:rsidR="0096198C" w:rsidRPr="0096198C">
        <w:rPr>
          <w:lang w:val="el-GR"/>
        </w:rPr>
        <w:t xml:space="preserve">, </w:t>
      </w:r>
      <w:r w:rsidR="0096198C">
        <w:rPr>
          <w:lang w:val="el-GR"/>
        </w:rPr>
        <w:t>αρχικά</w:t>
      </w:r>
      <w:r w:rsidR="0096198C" w:rsidRPr="0096198C">
        <w:rPr>
          <w:lang w:val="el-GR"/>
        </w:rPr>
        <w:t xml:space="preserve"> </w:t>
      </w:r>
      <w:r w:rsidR="0096198C">
        <w:rPr>
          <w:lang w:val="el-GR"/>
        </w:rPr>
        <w:t>επίσης</w:t>
      </w:r>
      <w:r w:rsidR="0096198C" w:rsidRPr="0096198C">
        <w:rPr>
          <w:lang w:val="el-GR"/>
        </w:rPr>
        <w:t xml:space="preserve"> </w:t>
      </w:r>
      <w:r w:rsidR="0096198C">
        <w:rPr>
          <w:lang w:val="el-GR"/>
        </w:rPr>
        <w:t>διάρροια</w:t>
      </w:r>
      <w:r w:rsidR="0096198C" w:rsidRPr="0096198C">
        <w:rPr>
          <w:lang w:val="el-GR"/>
        </w:rPr>
        <w:t xml:space="preserve">, </w:t>
      </w:r>
      <w:r w:rsidR="0096198C">
        <w:rPr>
          <w:lang w:val="el-GR"/>
        </w:rPr>
        <w:t>αργότερα</w:t>
      </w:r>
      <w:r w:rsidR="0096198C" w:rsidRPr="0096198C">
        <w:rPr>
          <w:lang w:val="el-GR"/>
        </w:rPr>
        <w:t xml:space="preserve"> </w:t>
      </w:r>
      <w:r w:rsidR="0096198C">
        <w:rPr>
          <w:lang w:val="el-GR"/>
        </w:rPr>
        <w:t>δυσκοιλιότητα</w:t>
      </w:r>
      <w:r w:rsidR="0096198C" w:rsidRPr="0096198C">
        <w:rPr>
          <w:lang w:val="el-GR"/>
        </w:rPr>
        <w:t xml:space="preserve">, </w:t>
      </w:r>
      <w:r w:rsidR="0096198C">
        <w:rPr>
          <w:lang w:val="el-GR"/>
        </w:rPr>
        <w:t>ανορεξία</w:t>
      </w:r>
      <w:r w:rsidR="0096198C" w:rsidRPr="0096198C">
        <w:rPr>
          <w:lang w:val="el-GR"/>
        </w:rPr>
        <w:t xml:space="preserve">, </w:t>
      </w:r>
      <w:r w:rsidR="0096198C">
        <w:rPr>
          <w:lang w:val="el-GR"/>
        </w:rPr>
        <w:t>εξάντληση</w:t>
      </w:r>
      <w:r w:rsidR="0096198C" w:rsidRPr="0096198C">
        <w:rPr>
          <w:lang w:val="el-GR"/>
        </w:rPr>
        <w:t xml:space="preserve">, </w:t>
      </w:r>
      <w:r w:rsidR="0096198C">
        <w:rPr>
          <w:lang w:val="el-GR"/>
        </w:rPr>
        <w:t>κεφαλαλγία</w:t>
      </w:r>
      <w:r w:rsidR="0096198C" w:rsidRPr="0096198C">
        <w:rPr>
          <w:lang w:val="el-GR"/>
        </w:rPr>
        <w:t xml:space="preserve">, </w:t>
      </w:r>
      <w:r w:rsidR="0096198C">
        <w:rPr>
          <w:lang w:val="el-GR"/>
        </w:rPr>
        <w:t>μυαλγία</w:t>
      </w:r>
      <w:r w:rsidR="0096198C" w:rsidRPr="0096198C">
        <w:rPr>
          <w:lang w:val="el-GR"/>
        </w:rPr>
        <w:t xml:space="preserve">, </w:t>
      </w:r>
      <w:r w:rsidR="0096198C">
        <w:rPr>
          <w:lang w:val="el-GR"/>
        </w:rPr>
        <w:t xml:space="preserve">αρθραλγία, μυϊκή αδυναμία, επίμονη υπνηλία, </w:t>
      </w:r>
      <w:r w:rsidR="0096198C">
        <w:rPr>
          <w:noProof/>
          <w:lang w:val="el-GR"/>
        </w:rPr>
        <w:t>αζωθαιμία</w:t>
      </w:r>
      <w:r w:rsidR="0096198C" w:rsidRPr="004519D0">
        <w:rPr>
          <w:noProof/>
          <w:lang w:val="el-GR"/>
        </w:rPr>
        <w:t xml:space="preserve">, </w:t>
      </w:r>
      <w:r w:rsidR="0096198C">
        <w:rPr>
          <w:noProof/>
          <w:lang w:val="el-GR"/>
        </w:rPr>
        <w:t>πολυδιψία και πολυουρία)</w:t>
      </w:r>
      <w:r w:rsidR="00B8607D" w:rsidRPr="0096198C">
        <w:rPr>
          <w:lang w:val="el-GR"/>
        </w:rPr>
        <w:t>.</w:t>
      </w:r>
    </w:p>
    <w:p w:rsidR="001D29E6" w:rsidRDefault="001D29E6" w:rsidP="00526ED7">
      <w:pPr>
        <w:jc w:val="both"/>
        <w:rPr>
          <w:lang w:val="el-GR"/>
        </w:rPr>
      </w:pPr>
    </w:p>
    <w:p w:rsidR="00111BF5" w:rsidRPr="0096198C" w:rsidRDefault="00111BF5" w:rsidP="00526ED7">
      <w:pPr>
        <w:jc w:val="both"/>
        <w:rPr>
          <w:lang w:val="el-GR"/>
        </w:rPr>
      </w:pPr>
    </w:p>
    <w:p w:rsidR="001D29E6" w:rsidRDefault="001D29E6" w:rsidP="00526ED7">
      <w:pPr>
        <w:ind w:left="567" w:hanging="567"/>
        <w:jc w:val="both"/>
        <w:outlineLvl w:val="0"/>
      </w:pPr>
      <w:r>
        <w:rPr>
          <w:b/>
        </w:rPr>
        <w:t>5.</w:t>
      </w:r>
      <w:r>
        <w:rPr>
          <w:b/>
        </w:rPr>
        <w:tab/>
      </w:r>
      <w:r w:rsidR="00155726" w:rsidRPr="00155726">
        <w:rPr>
          <w:b/>
        </w:rPr>
        <w:t>ΦΑΡΜΑΚΟΛΟΓΙΚΕΣ ΙΔΙΟΤΗΤΕΣ</w:t>
      </w:r>
      <w:r w:rsidR="00155726">
        <w:rPr>
          <w:b/>
          <w:lang w:val="el-GR"/>
        </w:rPr>
        <w:t xml:space="preserve"> </w:t>
      </w:r>
    </w:p>
    <w:p w:rsidR="001D29E6" w:rsidRDefault="001D29E6" w:rsidP="00526ED7">
      <w:pPr>
        <w:jc w:val="both"/>
        <w:rPr>
          <w:b/>
        </w:rPr>
      </w:pPr>
    </w:p>
    <w:p w:rsidR="0087395B" w:rsidRPr="0087395B" w:rsidRDefault="001D29E6" w:rsidP="00526ED7">
      <w:pPr>
        <w:ind w:left="567" w:hanging="567"/>
        <w:jc w:val="both"/>
        <w:outlineLvl w:val="0"/>
        <w:rPr>
          <w:b/>
          <w:lang w:val="el-GR"/>
        </w:rPr>
      </w:pPr>
      <w:r w:rsidRPr="0087395B">
        <w:rPr>
          <w:b/>
          <w:lang w:val="el-GR"/>
        </w:rPr>
        <w:t xml:space="preserve">5.1 </w:t>
      </w:r>
      <w:r w:rsidRPr="0087395B">
        <w:rPr>
          <w:b/>
          <w:lang w:val="el-GR"/>
        </w:rPr>
        <w:tab/>
      </w:r>
      <w:r w:rsidR="0087395B" w:rsidRPr="0087395B">
        <w:rPr>
          <w:b/>
          <w:lang w:val="el-GR"/>
        </w:rPr>
        <w:t>Φαρμακοδυναμικές ιδιότητες</w:t>
      </w:r>
    </w:p>
    <w:p w:rsidR="0087395B" w:rsidRPr="0087395B" w:rsidRDefault="0087395B" w:rsidP="00526ED7">
      <w:pPr>
        <w:ind w:left="567" w:hanging="567"/>
        <w:jc w:val="both"/>
        <w:outlineLvl w:val="0"/>
        <w:rPr>
          <w:b/>
          <w:lang w:val="el-GR"/>
        </w:rPr>
      </w:pPr>
    </w:p>
    <w:p w:rsidR="00B8607D" w:rsidRPr="0087395B" w:rsidRDefault="0087395B" w:rsidP="00526ED7">
      <w:pPr>
        <w:ind w:left="567" w:hanging="567"/>
        <w:jc w:val="both"/>
        <w:outlineLvl w:val="0"/>
        <w:rPr>
          <w:lang w:val="el-GR"/>
        </w:rPr>
      </w:pPr>
      <w:r w:rsidRPr="0087395B">
        <w:rPr>
          <w:lang w:val="el-GR"/>
        </w:rPr>
        <w:t>Φαρμακοθεραπευτική κατηγορία:</w:t>
      </w:r>
      <w:r>
        <w:rPr>
          <w:lang w:val="el-GR"/>
        </w:rPr>
        <w:t xml:space="preserve"> Βιταμίνη </w:t>
      </w:r>
      <w:r w:rsidR="00B8607D">
        <w:t>D</w:t>
      </w:r>
      <w:r w:rsidR="00B8607D" w:rsidRPr="0087395B">
        <w:rPr>
          <w:lang w:val="el-GR"/>
        </w:rPr>
        <w:t xml:space="preserve">, </w:t>
      </w:r>
      <w:r>
        <w:rPr>
          <w:lang w:val="el-GR"/>
        </w:rPr>
        <w:t>χοληκαλσιφερόλη</w:t>
      </w:r>
    </w:p>
    <w:p w:rsidR="00B8607D" w:rsidRPr="0087395B" w:rsidRDefault="00B8607D" w:rsidP="00526ED7">
      <w:pPr>
        <w:jc w:val="both"/>
        <w:rPr>
          <w:lang w:val="el-GR"/>
        </w:rPr>
      </w:pPr>
    </w:p>
    <w:p w:rsidR="00B8607D" w:rsidRPr="001316B3" w:rsidRDefault="002D63D7" w:rsidP="00526ED7">
      <w:pPr>
        <w:jc w:val="both"/>
        <w:outlineLvl w:val="0"/>
        <w:rPr>
          <w:lang w:val="el-GR"/>
        </w:rPr>
      </w:pPr>
      <w:r>
        <w:rPr>
          <w:lang w:val="el-GR"/>
        </w:rPr>
        <w:t>Κ</w:t>
      </w:r>
      <w:r w:rsidR="00C734FD" w:rsidRPr="00C734FD">
        <w:rPr>
          <w:lang w:val="el-GR"/>
        </w:rPr>
        <w:t>ωδικός ATC</w:t>
      </w:r>
      <w:r w:rsidR="00B8607D" w:rsidRPr="001316B3">
        <w:rPr>
          <w:lang w:val="el-GR"/>
        </w:rPr>
        <w:t xml:space="preserve">: </w:t>
      </w:r>
      <w:r w:rsidR="00B8607D">
        <w:t>A</w:t>
      </w:r>
      <w:r w:rsidR="00B8607D" w:rsidRPr="001316B3">
        <w:rPr>
          <w:lang w:val="el-GR"/>
        </w:rPr>
        <w:t>11</w:t>
      </w:r>
      <w:r w:rsidR="00B8607D">
        <w:t>CC</w:t>
      </w:r>
      <w:r w:rsidR="00B8607D" w:rsidRPr="001316B3">
        <w:rPr>
          <w:lang w:val="el-GR"/>
        </w:rPr>
        <w:t>05</w:t>
      </w:r>
    </w:p>
    <w:p w:rsidR="00B8607D" w:rsidRPr="001316B3" w:rsidRDefault="00B8607D" w:rsidP="00526ED7">
      <w:pPr>
        <w:jc w:val="both"/>
        <w:rPr>
          <w:lang w:val="el-GR"/>
        </w:rPr>
      </w:pPr>
    </w:p>
    <w:p w:rsidR="00B8607D" w:rsidRPr="009428DB" w:rsidRDefault="001316B3" w:rsidP="00526ED7">
      <w:pPr>
        <w:jc w:val="both"/>
        <w:rPr>
          <w:lang w:val="el-GR"/>
        </w:rPr>
      </w:pPr>
      <w:r>
        <w:rPr>
          <w:lang w:val="el-GR"/>
        </w:rPr>
        <w:t>Η</w:t>
      </w:r>
      <w:r w:rsidRPr="001316B3">
        <w:rPr>
          <w:lang w:val="el-GR"/>
        </w:rPr>
        <w:t xml:space="preserve"> </w:t>
      </w:r>
      <w:r>
        <w:rPr>
          <w:lang w:val="el-GR"/>
        </w:rPr>
        <w:t>χοληκαλσιφερόλη</w:t>
      </w:r>
      <w:r w:rsidRPr="001316B3">
        <w:rPr>
          <w:lang w:val="el-GR"/>
        </w:rPr>
        <w:t xml:space="preserve"> </w:t>
      </w:r>
      <w:r w:rsidR="00B8607D" w:rsidRPr="001316B3">
        <w:rPr>
          <w:lang w:val="el-GR"/>
        </w:rPr>
        <w:t>(</w:t>
      </w:r>
      <w:r>
        <w:rPr>
          <w:lang w:val="el-GR"/>
        </w:rPr>
        <w:t>βιταμίνη</w:t>
      </w:r>
      <w:r w:rsidR="00B8607D" w:rsidRPr="001316B3">
        <w:rPr>
          <w:lang w:val="el-GR"/>
        </w:rPr>
        <w:t xml:space="preserve"> </w:t>
      </w:r>
      <w:r w:rsidR="00B8607D">
        <w:t>D</w:t>
      </w:r>
      <w:r w:rsidR="00B8607D" w:rsidRPr="001316B3">
        <w:rPr>
          <w:lang w:val="el-GR"/>
        </w:rPr>
        <w:t xml:space="preserve">3) </w:t>
      </w:r>
      <w:r>
        <w:rPr>
          <w:lang w:val="el-GR"/>
        </w:rPr>
        <w:t>σχηματίζεται</w:t>
      </w:r>
      <w:r w:rsidRPr="001316B3">
        <w:rPr>
          <w:lang w:val="el-GR"/>
        </w:rPr>
        <w:t xml:space="preserve"> </w:t>
      </w:r>
      <w:r>
        <w:rPr>
          <w:lang w:val="el-GR"/>
        </w:rPr>
        <w:t>στο</w:t>
      </w:r>
      <w:r w:rsidRPr="001316B3">
        <w:rPr>
          <w:lang w:val="el-GR"/>
        </w:rPr>
        <w:t xml:space="preserve"> </w:t>
      </w:r>
      <w:r>
        <w:rPr>
          <w:lang w:val="el-GR"/>
        </w:rPr>
        <w:t>δέρμα</w:t>
      </w:r>
      <w:r w:rsidRPr="001316B3">
        <w:rPr>
          <w:lang w:val="el-GR"/>
        </w:rPr>
        <w:t xml:space="preserve"> </w:t>
      </w:r>
      <w:r>
        <w:rPr>
          <w:lang w:val="el-GR"/>
        </w:rPr>
        <w:t>με</w:t>
      </w:r>
      <w:r w:rsidRPr="001316B3">
        <w:rPr>
          <w:lang w:val="el-GR"/>
        </w:rPr>
        <w:t xml:space="preserve"> </w:t>
      </w:r>
      <w:r>
        <w:rPr>
          <w:lang w:val="el-GR"/>
        </w:rPr>
        <w:t>την</w:t>
      </w:r>
      <w:r w:rsidRPr="001316B3">
        <w:rPr>
          <w:lang w:val="el-GR"/>
        </w:rPr>
        <w:t xml:space="preserve"> </w:t>
      </w:r>
      <w:r>
        <w:rPr>
          <w:lang w:val="el-GR"/>
        </w:rPr>
        <w:t>έκθεση</w:t>
      </w:r>
      <w:r w:rsidRPr="001316B3">
        <w:rPr>
          <w:lang w:val="el-GR"/>
        </w:rPr>
        <w:t xml:space="preserve"> </w:t>
      </w:r>
      <w:r>
        <w:rPr>
          <w:lang w:val="el-GR"/>
        </w:rPr>
        <w:t>στο</w:t>
      </w:r>
      <w:r w:rsidRPr="001316B3">
        <w:rPr>
          <w:lang w:val="el-GR"/>
        </w:rPr>
        <w:t xml:space="preserve"> </w:t>
      </w:r>
      <w:r>
        <w:rPr>
          <w:lang w:val="el-GR"/>
        </w:rPr>
        <w:t>υπεριώδες</w:t>
      </w:r>
      <w:r w:rsidRPr="001316B3">
        <w:rPr>
          <w:lang w:val="el-GR"/>
        </w:rPr>
        <w:t xml:space="preserve"> (</w:t>
      </w:r>
      <w:r w:rsidR="00B8607D">
        <w:t>UV</w:t>
      </w:r>
      <w:r w:rsidRPr="001316B3">
        <w:rPr>
          <w:lang w:val="el-GR"/>
        </w:rPr>
        <w:t xml:space="preserve">) </w:t>
      </w:r>
      <w:r>
        <w:rPr>
          <w:lang w:val="el-GR"/>
        </w:rPr>
        <w:t>φως</w:t>
      </w:r>
      <w:r w:rsidRPr="001316B3">
        <w:rPr>
          <w:lang w:val="el-GR"/>
        </w:rPr>
        <w:t xml:space="preserve"> </w:t>
      </w:r>
      <w:r>
        <w:rPr>
          <w:lang w:val="el-GR"/>
        </w:rPr>
        <w:t>και</w:t>
      </w:r>
      <w:r w:rsidRPr="001316B3">
        <w:rPr>
          <w:lang w:val="el-GR"/>
        </w:rPr>
        <w:t xml:space="preserve"> </w:t>
      </w:r>
      <w:r>
        <w:rPr>
          <w:lang w:val="el-GR"/>
        </w:rPr>
        <w:t>μετατρέπεται στη βιολογικά ενεργή μορφή της</w:t>
      </w:r>
      <w:r w:rsidR="00B8607D" w:rsidRPr="001316B3">
        <w:rPr>
          <w:lang w:val="el-GR"/>
        </w:rPr>
        <w:t>, 1,25-</w:t>
      </w:r>
      <w:r>
        <w:rPr>
          <w:lang w:val="el-GR"/>
        </w:rPr>
        <w:t>διυδροξυ</w:t>
      </w:r>
      <w:r w:rsidR="00E60E9A" w:rsidRPr="00E60E9A">
        <w:rPr>
          <w:lang w:val="el-GR"/>
        </w:rPr>
        <w:t>-</w:t>
      </w:r>
      <w:r>
        <w:rPr>
          <w:lang w:val="el-GR"/>
        </w:rPr>
        <w:t>χοληκαλσιφερόλη</w:t>
      </w:r>
      <w:r w:rsidR="00B8607D" w:rsidRPr="001316B3">
        <w:rPr>
          <w:lang w:val="el-GR"/>
        </w:rPr>
        <w:t xml:space="preserve">, </w:t>
      </w:r>
      <w:r>
        <w:rPr>
          <w:lang w:val="el-GR"/>
        </w:rPr>
        <w:t xml:space="preserve">σε δύο στάδια υδροξυλίωσης, πρώτα στο ήπαρ </w:t>
      </w:r>
      <w:r w:rsidR="00B8607D" w:rsidRPr="001316B3">
        <w:rPr>
          <w:lang w:val="el-GR"/>
        </w:rPr>
        <w:t>(</w:t>
      </w:r>
      <w:r>
        <w:rPr>
          <w:lang w:val="el-GR"/>
        </w:rPr>
        <w:t xml:space="preserve">θέση </w:t>
      </w:r>
      <w:r w:rsidR="00B8607D" w:rsidRPr="001316B3">
        <w:rPr>
          <w:lang w:val="el-GR"/>
        </w:rPr>
        <w:t>25)</w:t>
      </w:r>
      <w:r>
        <w:rPr>
          <w:lang w:val="el-GR"/>
        </w:rPr>
        <w:t xml:space="preserve"> και κατόπιν στο νεφρικό ιστό </w:t>
      </w:r>
      <w:r w:rsidR="00B8607D" w:rsidRPr="001316B3">
        <w:rPr>
          <w:lang w:val="el-GR"/>
        </w:rPr>
        <w:t>(</w:t>
      </w:r>
      <w:r>
        <w:rPr>
          <w:lang w:val="el-GR"/>
        </w:rPr>
        <w:t xml:space="preserve">θέση </w:t>
      </w:r>
      <w:r w:rsidR="00B8607D" w:rsidRPr="001316B3">
        <w:rPr>
          <w:lang w:val="el-GR"/>
        </w:rPr>
        <w:t xml:space="preserve">1). </w:t>
      </w:r>
      <w:r w:rsidR="009428DB">
        <w:rPr>
          <w:lang w:val="el-GR"/>
        </w:rPr>
        <w:t>Μαζί</w:t>
      </w:r>
      <w:r w:rsidR="009428DB" w:rsidRPr="009428DB">
        <w:rPr>
          <w:lang w:val="el-GR"/>
        </w:rPr>
        <w:t xml:space="preserve"> </w:t>
      </w:r>
      <w:r w:rsidR="009428DB">
        <w:rPr>
          <w:lang w:val="el-GR"/>
        </w:rPr>
        <w:t>με</w:t>
      </w:r>
      <w:r w:rsidR="009428DB" w:rsidRPr="009428DB">
        <w:rPr>
          <w:lang w:val="el-GR"/>
        </w:rPr>
        <w:t xml:space="preserve"> </w:t>
      </w:r>
      <w:r w:rsidR="009428DB">
        <w:rPr>
          <w:lang w:val="el-GR"/>
        </w:rPr>
        <w:t>την</w:t>
      </w:r>
      <w:r w:rsidR="009428DB" w:rsidRPr="009428DB">
        <w:rPr>
          <w:lang w:val="el-GR"/>
        </w:rPr>
        <w:t xml:space="preserve"> </w:t>
      </w:r>
      <w:r w:rsidR="009428DB">
        <w:rPr>
          <w:lang w:val="el-GR"/>
        </w:rPr>
        <w:t>παραθορμόνη</w:t>
      </w:r>
      <w:r w:rsidR="009428DB" w:rsidRPr="009428DB">
        <w:rPr>
          <w:lang w:val="el-GR"/>
        </w:rPr>
        <w:t xml:space="preserve"> </w:t>
      </w:r>
      <w:r w:rsidR="009428DB">
        <w:rPr>
          <w:lang w:val="el-GR"/>
        </w:rPr>
        <w:t>και</w:t>
      </w:r>
      <w:r w:rsidR="009428DB" w:rsidRPr="009428DB">
        <w:rPr>
          <w:lang w:val="el-GR"/>
        </w:rPr>
        <w:t xml:space="preserve"> </w:t>
      </w:r>
      <w:r w:rsidR="009428DB">
        <w:rPr>
          <w:lang w:val="el-GR"/>
        </w:rPr>
        <w:t>την</w:t>
      </w:r>
      <w:r w:rsidR="009428DB" w:rsidRPr="009428DB">
        <w:rPr>
          <w:lang w:val="el-GR"/>
        </w:rPr>
        <w:t xml:space="preserve"> </w:t>
      </w:r>
      <w:r w:rsidR="009428DB">
        <w:rPr>
          <w:lang w:val="el-GR"/>
        </w:rPr>
        <w:t>καλσιτονίνη</w:t>
      </w:r>
      <w:r w:rsidR="009428DB" w:rsidRPr="009428DB">
        <w:rPr>
          <w:lang w:val="el-GR"/>
        </w:rPr>
        <w:t xml:space="preserve">, </w:t>
      </w:r>
      <w:r w:rsidR="009428DB">
        <w:rPr>
          <w:lang w:val="el-GR"/>
        </w:rPr>
        <w:t>η</w:t>
      </w:r>
      <w:r w:rsidR="009428DB" w:rsidRPr="009428DB">
        <w:rPr>
          <w:lang w:val="el-GR"/>
        </w:rPr>
        <w:t xml:space="preserve"> </w:t>
      </w:r>
      <w:r w:rsidR="00B8607D" w:rsidRPr="009428DB">
        <w:rPr>
          <w:lang w:val="el-GR"/>
        </w:rPr>
        <w:t>1,25-</w:t>
      </w:r>
      <w:r w:rsidR="009428DB">
        <w:rPr>
          <w:lang w:val="el-GR"/>
        </w:rPr>
        <w:t>διυδροξυ</w:t>
      </w:r>
      <w:r w:rsidR="00E60E9A" w:rsidRPr="00E60E9A">
        <w:rPr>
          <w:lang w:val="el-GR"/>
        </w:rPr>
        <w:t>-</w:t>
      </w:r>
      <w:r w:rsidR="009428DB">
        <w:rPr>
          <w:lang w:val="el-GR"/>
        </w:rPr>
        <w:t>χοληκαλσιφερόλη</w:t>
      </w:r>
      <w:r w:rsidR="00B8607D" w:rsidRPr="009428DB">
        <w:rPr>
          <w:lang w:val="el-GR"/>
        </w:rPr>
        <w:t xml:space="preserve"> </w:t>
      </w:r>
      <w:r w:rsidR="009428DB">
        <w:rPr>
          <w:lang w:val="el-GR"/>
        </w:rPr>
        <w:t>έχει σημαντικό αντίκτυπο στη ρύθμιση του μεταβολισμού του ασβεστίου και του φωσφόρου. Στην</w:t>
      </w:r>
      <w:r w:rsidR="009428DB" w:rsidRPr="009428DB">
        <w:rPr>
          <w:lang w:val="el-GR"/>
        </w:rPr>
        <w:t xml:space="preserve"> </w:t>
      </w:r>
      <w:r w:rsidR="009428DB">
        <w:rPr>
          <w:lang w:val="el-GR"/>
        </w:rPr>
        <w:t>ανεπάρκεια</w:t>
      </w:r>
      <w:r w:rsidR="009428DB" w:rsidRPr="009428DB">
        <w:rPr>
          <w:lang w:val="el-GR"/>
        </w:rPr>
        <w:t xml:space="preserve"> </w:t>
      </w:r>
      <w:r w:rsidR="009428DB">
        <w:rPr>
          <w:lang w:val="el-GR"/>
        </w:rPr>
        <w:t>βιταμίνης</w:t>
      </w:r>
      <w:r w:rsidR="009428DB" w:rsidRPr="009428DB">
        <w:rPr>
          <w:lang w:val="el-GR"/>
        </w:rPr>
        <w:t xml:space="preserve"> </w:t>
      </w:r>
      <w:r w:rsidR="009428DB">
        <w:rPr>
          <w:lang w:val="el-GR"/>
        </w:rPr>
        <w:t>ο</w:t>
      </w:r>
      <w:r w:rsidR="009428DB" w:rsidRPr="009428DB">
        <w:rPr>
          <w:lang w:val="el-GR"/>
        </w:rPr>
        <w:t xml:space="preserve"> </w:t>
      </w:r>
      <w:r w:rsidR="009428DB">
        <w:rPr>
          <w:lang w:val="el-GR"/>
        </w:rPr>
        <w:t>σκελετός</w:t>
      </w:r>
      <w:r w:rsidR="009428DB" w:rsidRPr="009428DB">
        <w:rPr>
          <w:lang w:val="el-GR"/>
        </w:rPr>
        <w:t xml:space="preserve"> </w:t>
      </w:r>
      <w:r w:rsidR="009428DB">
        <w:rPr>
          <w:lang w:val="el-GR"/>
        </w:rPr>
        <w:t>δεν</w:t>
      </w:r>
      <w:r w:rsidR="009428DB" w:rsidRPr="009428DB">
        <w:rPr>
          <w:lang w:val="el-GR"/>
        </w:rPr>
        <w:t xml:space="preserve"> </w:t>
      </w:r>
      <w:r w:rsidR="009428DB">
        <w:rPr>
          <w:lang w:val="el-GR"/>
        </w:rPr>
        <w:t>ασβεστοποιεί</w:t>
      </w:r>
      <w:r w:rsidR="009428DB" w:rsidRPr="009428DB">
        <w:rPr>
          <w:lang w:val="el-GR"/>
        </w:rPr>
        <w:t xml:space="preserve"> (</w:t>
      </w:r>
      <w:r w:rsidR="009428DB">
        <w:rPr>
          <w:lang w:val="el-GR"/>
        </w:rPr>
        <w:t>καταλήγοντας</w:t>
      </w:r>
      <w:r w:rsidR="009428DB" w:rsidRPr="009428DB">
        <w:rPr>
          <w:lang w:val="el-GR"/>
        </w:rPr>
        <w:t xml:space="preserve"> </w:t>
      </w:r>
      <w:r w:rsidR="009428DB">
        <w:rPr>
          <w:lang w:val="el-GR"/>
        </w:rPr>
        <w:t>σε</w:t>
      </w:r>
      <w:r w:rsidR="009428DB" w:rsidRPr="009428DB">
        <w:rPr>
          <w:lang w:val="el-GR"/>
        </w:rPr>
        <w:t xml:space="preserve"> </w:t>
      </w:r>
      <w:r w:rsidR="00B05B8F">
        <w:rPr>
          <w:lang w:val="el-GR"/>
        </w:rPr>
        <w:t>ραχίτιδα</w:t>
      </w:r>
      <w:r w:rsidR="009428DB" w:rsidRPr="009428DB">
        <w:rPr>
          <w:lang w:val="el-GR"/>
        </w:rPr>
        <w:t>)</w:t>
      </w:r>
      <w:r w:rsidR="00B8607D" w:rsidRPr="009428DB">
        <w:rPr>
          <w:lang w:val="el-GR"/>
        </w:rPr>
        <w:t xml:space="preserve"> </w:t>
      </w:r>
      <w:r w:rsidR="009428DB">
        <w:rPr>
          <w:lang w:val="el-GR"/>
        </w:rPr>
        <w:t xml:space="preserve">ή </w:t>
      </w:r>
      <w:r w:rsidR="00C867EC">
        <w:rPr>
          <w:lang w:val="el-GR"/>
        </w:rPr>
        <w:t>εμφανίζεται</w:t>
      </w:r>
      <w:r w:rsidR="009428DB">
        <w:rPr>
          <w:lang w:val="el-GR"/>
        </w:rPr>
        <w:t xml:space="preserve"> απασβεστοποίηση των οστών </w:t>
      </w:r>
      <w:r w:rsidR="00B8607D" w:rsidRPr="009428DB">
        <w:rPr>
          <w:lang w:val="el-GR"/>
        </w:rPr>
        <w:t>(</w:t>
      </w:r>
      <w:r w:rsidR="009428DB">
        <w:rPr>
          <w:lang w:val="el-GR"/>
        </w:rPr>
        <w:t>καταλήγοντας σε οστεομαλακία</w:t>
      </w:r>
      <w:r w:rsidR="00B8607D" w:rsidRPr="009428DB">
        <w:rPr>
          <w:lang w:val="el-GR"/>
        </w:rPr>
        <w:t>).</w:t>
      </w:r>
    </w:p>
    <w:p w:rsidR="00B8607D" w:rsidRPr="009428DB" w:rsidRDefault="00B8607D" w:rsidP="00526ED7">
      <w:pPr>
        <w:jc w:val="both"/>
        <w:rPr>
          <w:lang w:val="el-GR"/>
        </w:rPr>
      </w:pPr>
    </w:p>
    <w:p w:rsidR="00B8607D" w:rsidRPr="00E91F91" w:rsidRDefault="00FA7C09" w:rsidP="00526ED7">
      <w:pPr>
        <w:jc w:val="both"/>
        <w:rPr>
          <w:lang w:val="el-GR"/>
        </w:rPr>
      </w:pPr>
      <w:r>
        <w:rPr>
          <w:lang w:val="el-GR"/>
        </w:rPr>
        <w:t>Σύμφωνα</w:t>
      </w:r>
      <w:r w:rsidRPr="009C28A4">
        <w:rPr>
          <w:lang w:val="el-GR"/>
        </w:rPr>
        <w:t xml:space="preserve"> </w:t>
      </w:r>
      <w:r>
        <w:rPr>
          <w:lang w:val="el-GR"/>
        </w:rPr>
        <w:t>με</w:t>
      </w:r>
      <w:r w:rsidRPr="009C28A4">
        <w:rPr>
          <w:lang w:val="el-GR"/>
        </w:rPr>
        <w:t xml:space="preserve"> </w:t>
      </w:r>
      <w:r>
        <w:rPr>
          <w:lang w:val="el-GR"/>
        </w:rPr>
        <w:t>την</w:t>
      </w:r>
      <w:r w:rsidRPr="009C28A4">
        <w:rPr>
          <w:lang w:val="el-GR"/>
        </w:rPr>
        <w:t xml:space="preserve"> </w:t>
      </w:r>
      <w:r>
        <w:rPr>
          <w:lang w:val="el-GR"/>
        </w:rPr>
        <w:t>παραγωγή</w:t>
      </w:r>
      <w:r w:rsidRPr="009C28A4">
        <w:rPr>
          <w:lang w:val="el-GR"/>
        </w:rPr>
        <w:t xml:space="preserve">, </w:t>
      </w:r>
      <w:r>
        <w:rPr>
          <w:lang w:val="el-GR"/>
        </w:rPr>
        <w:t>τη</w:t>
      </w:r>
      <w:r w:rsidRPr="009C28A4">
        <w:rPr>
          <w:lang w:val="el-GR"/>
        </w:rPr>
        <w:t xml:space="preserve"> </w:t>
      </w:r>
      <w:r>
        <w:rPr>
          <w:lang w:val="el-GR"/>
        </w:rPr>
        <w:t>φυσιολογική</w:t>
      </w:r>
      <w:r w:rsidRPr="009C28A4">
        <w:rPr>
          <w:lang w:val="el-GR"/>
        </w:rPr>
        <w:t xml:space="preserve"> </w:t>
      </w:r>
      <w:r>
        <w:rPr>
          <w:lang w:val="el-GR"/>
        </w:rPr>
        <w:t>ρύθμιση</w:t>
      </w:r>
      <w:r w:rsidRPr="009C28A4">
        <w:rPr>
          <w:lang w:val="el-GR"/>
        </w:rPr>
        <w:t xml:space="preserve"> </w:t>
      </w:r>
      <w:r>
        <w:rPr>
          <w:lang w:val="el-GR"/>
        </w:rPr>
        <w:t>και</w:t>
      </w:r>
      <w:r w:rsidRPr="009C28A4">
        <w:rPr>
          <w:lang w:val="el-GR"/>
        </w:rPr>
        <w:t xml:space="preserve"> </w:t>
      </w:r>
      <w:r>
        <w:rPr>
          <w:lang w:val="el-GR"/>
        </w:rPr>
        <w:t>το</w:t>
      </w:r>
      <w:r w:rsidRPr="009C28A4">
        <w:rPr>
          <w:lang w:val="el-GR"/>
        </w:rPr>
        <w:t xml:space="preserve"> </w:t>
      </w:r>
      <w:r>
        <w:rPr>
          <w:lang w:val="el-GR"/>
        </w:rPr>
        <w:t>μηχανισμό</w:t>
      </w:r>
      <w:r w:rsidRPr="009C28A4">
        <w:rPr>
          <w:lang w:val="el-GR"/>
        </w:rPr>
        <w:t xml:space="preserve"> </w:t>
      </w:r>
      <w:r>
        <w:rPr>
          <w:lang w:val="el-GR"/>
        </w:rPr>
        <w:t>δράσης</w:t>
      </w:r>
      <w:r w:rsidR="009C28A4">
        <w:rPr>
          <w:lang w:val="el-GR"/>
        </w:rPr>
        <w:t xml:space="preserve">, η βιταμίνη </w:t>
      </w:r>
      <w:r w:rsidR="00B8607D">
        <w:t>D</w:t>
      </w:r>
      <w:r w:rsidR="00B8607D" w:rsidRPr="009C28A4">
        <w:rPr>
          <w:lang w:val="el-GR"/>
        </w:rPr>
        <w:t>3</w:t>
      </w:r>
      <w:r w:rsidR="009C28A4">
        <w:rPr>
          <w:lang w:val="el-GR"/>
        </w:rPr>
        <w:t xml:space="preserve"> θεωρείται πρ</w:t>
      </w:r>
      <w:r w:rsidR="001D44C0">
        <w:rPr>
          <w:lang w:val="el-GR"/>
        </w:rPr>
        <w:t>όδρομο</w:t>
      </w:r>
      <w:r w:rsidR="00FE754D">
        <w:rPr>
          <w:lang w:val="el-GR"/>
        </w:rPr>
        <w:t>ς στ</w:t>
      </w:r>
      <w:r w:rsidR="001D44C0">
        <w:rPr>
          <w:lang w:val="el-GR"/>
        </w:rPr>
        <w:t>εροειδού</w:t>
      </w:r>
      <w:r w:rsidR="00FE754D">
        <w:rPr>
          <w:lang w:val="el-GR"/>
        </w:rPr>
        <w:t>ς</w:t>
      </w:r>
      <w:r w:rsidR="001D44C0">
        <w:rPr>
          <w:lang w:val="el-GR"/>
        </w:rPr>
        <w:t xml:space="preserve"> ορμόνης. </w:t>
      </w:r>
      <w:r w:rsidR="00FE754D">
        <w:rPr>
          <w:lang w:val="el-GR"/>
        </w:rPr>
        <w:t>Επιπρόσθετα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της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φυσιολογικής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παραγωγής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στο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δέρμα</w:t>
      </w:r>
      <w:r w:rsidR="00FE754D" w:rsidRPr="00FE754D">
        <w:rPr>
          <w:lang w:val="el-GR"/>
        </w:rPr>
        <w:t xml:space="preserve">, </w:t>
      </w:r>
      <w:r w:rsidR="00FE754D">
        <w:rPr>
          <w:lang w:val="el-GR"/>
        </w:rPr>
        <w:t>η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χοληκαλσιφερόλη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παρέχεται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μέσω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της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δίαιτας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ή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με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τη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μορφή φαρμάκου. Καθώς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στην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τελευταία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περίπτωση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η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αναστολή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της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δερματικής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σύνθεσης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της</w:t>
      </w:r>
      <w:r w:rsidR="00FE754D" w:rsidRPr="00FE754D">
        <w:rPr>
          <w:lang w:val="el-GR"/>
        </w:rPr>
        <w:t xml:space="preserve"> </w:t>
      </w:r>
      <w:r w:rsidR="00FE754D">
        <w:rPr>
          <w:lang w:val="el-GR"/>
        </w:rPr>
        <w:t>βιταμίνης</w:t>
      </w:r>
      <w:r w:rsidR="00B8607D" w:rsidRPr="00FE754D">
        <w:rPr>
          <w:lang w:val="el-GR"/>
        </w:rPr>
        <w:t xml:space="preserve"> </w:t>
      </w:r>
      <w:r w:rsidR="00B8607D">
        <w:t>D</w:t>
      </w:r>
      <w:r w:rsidR="00FE754D">
        <w:rPr>
          <w:lang w:val="el-GR"/>
        </w:rPr>
        <w:t xml:space="preserve"> παρακάμπτεται, μπορεί να παρατηρηθούν υπερδοσολογία και δηλητηρίαση. </w:t>
      </w:r>
      <w:r w:rsidR="00B8607D" w:rsidRPr="00FE754D">
        <w:rPr>
          <w:lang w:val="el-GR"/>
        </w:rPr>
        <w:t xml:space="preserve"> </w:t>
      </w:r>
      <w:r w:rsidR="00FE754D">
        <w:rPr>
          <w:lang w:val="el-GR"/>
        </w:rPr>
        <w:t>Η</w:t>
      </w:r>
      <w:r w:rsidR="00FE754D" w:rsidRPr="00BF5D36">
        <w:rPr>
          <w:lang w:val="el-GR"/>
        </w:rPr>
        <w:t xml:space="preserve"> </w:t>
      </w:r>
      <w:r w:rsidR="00FE754D">
        <w:rPr>
          <w:lang w:val="el-GR"/>
        </w:rPr>
        <w:t>έργοκαλσιφερόλη</w:t>
      </w:r>
      <w:r w:rsidR="00FE754D" w:rsidRPr="00BF5D36">
        <w:rPr>
          <w:lang w:val="el-GR"/>
        </w:rPr>
        <w:t xml:space="preserve"> </w:t>
      </w:r>
      <w:r w:rsidR="00B8607D" w:rsidRPr="00BF5D36">
        <w:rPr>
          <w:lang w:val="el-GR"/>
        </w:rPr>
        <w:t>(</w:t>
      </w:r>
      <w:r w:rsidR="00BF5D36">
        <w:rPr>
          <w:lang w:val="el-GR"/>
        </w:rPr>
        <w:t>βιταμίνη</w:t>
      </w:r>
      <w:r w:rsidR="00B8607D" w:rsidRPr="00BF5D36">
        <w:rPr>
          <w:lang w:val="el-GR"/>
        </w:rPr>
        <w:t xml:space="preserve"> </w:t>
      </w:r>
      <w:r w:rsidR="00B8607D">
        <w:t>D</w:t>
      </w:r>
      <w:r w:rsidR="00B8607D" w:rsidRPr="00BF5D36">
        <w:rPr>
          <w:lang w:val="el-GR"/>
        </w:rPr>
        <w:t xml:space="preserve">2) </w:t>
      </w:r>
      <w:r w:rsidR="003B6AE7">
        <w:rPr>
          <w:lang w:val="el-GR"/>
        </w:rPr>
        <w:t>συντίθεται</w:t>
      </w:r>
      <w:r w:rsidR="003B6AE7" w:rsidRPr="00BF5D36">
        <w:rPr>
          <w:lang w:val="el-GR"/>
        </w:rPr>
        <w:t xml:space="preserve"> </w:t>
      </w:r>
      <w:r w:rsidR="00BF5D36">
        <w:rPr>
          <w:lang w:val="el-GR"/>
        </w:rPr>
        <w:t>από</w:t>
      </w:r>
      <w:r w:rsidR="003B6AE7" w:rsidRPr="00BF5D36">
        <w:rPr>
          <w:lang w:val="el-GR"/>
        </w:rPr>
        <w:t xml:space="preserve"> </w:t>
      </w:r>
      <w:r w:rsidR="003B6AE7">
        <w:rPr>
          <w:lang w:val="el-GR"/>
        </w:rPr>
        <w:t>φυτά</w:t>
      </w:r>
      <w:r w:rsidR="003B6AE7" w:rsidRPr="00BF5D36">
        <w:rPr>
          <w:lang w:val="el-GR"/>
        </w:rPr>
        <w:t xml:space="preserve">. </w:t>
      </w:r>
      <w:r w:rsidR="003B6AE7">
        <w:rPr>
          <w:lang w:val="el-GR"/>
        </w:rPr>
        <w:t>Ο</w:t>
      </w:r>
      <w:r w:rsidR="003B6AE7" w:rsidRPr="003B6AE7">
        <w:rPr>
          <w:lang w:val="el-GR"/>
        </w:rPr>
        <w:t xml:space="preserve"> </w:t>
      </w:r>
      <w:r w:rsidR="003B6AE7">
        <w:rPr>
          <w:lang w:val="el-GR"/>
        </w:rPr>
        <w:t>άνθρωπος</w:t>
      </w:r>
      <w:r w:rsidR="003B6AE7" w:rsidRPr="003B6AE7">
        <w:rPr>
          <w:lang w:val="el-GR"/>
        </w:rPr>
        <w:t xml:space="preserve"> </w:t>
      </w:r>
      <w:r w:rsidR="003B6AE7">
        <w:rPr>
          <w:lang w:val="el-GR"/>
        </w:rPr>
        <w:t>την</w:t>
      </w:r>
      <w:r w:rsidR="003B6AE7" w:rsidRPr="003B6AE7">
        <w:rPr>
          <w:lang w:val="el-GR"/>
        </w:rPr>
        <w:t xml:space="preserve"> </w:t>
      </w:r>
      <w:r w:rsidR="003B6AE7">
        <w:rPr>
          <w:lang w:val="el-GR"/>
        </w:rPr>
        <w:t>ενεργοποιεί</w:t>
      </w:r>
      <w:r w:rsidR="003B6AE7" w:rsidRPr="003B6AE7">
        <w:rPr>
          <w:lang w:val="el-GR"/>
        </w:rPr>
        <w:t xml:space="preserve"> </w:t>
      </w:r>
      <w:r w:rsidR="003B6AE7">
        <w:rPr>
          <w:lang w:val="el-GR"/>
        </w:rPr>
        <w:t>μεταβολικά</w:t>
      </w:r>
      <w:r w:rsidR="003B6AE7" w:rsidRPr="003B6AE7">
        <w:rPr>
          <w:lang w:val="el-GR"/>
        </w:rPr>
        <w:t xml:space="preserve"> </w:t>
      </w:r>
      <w:r w:rsidR="003B6AE7">
        <w:rPr>
          <w:lang w:val="el-GR"/>
        </w:rPr>
        <w:t>με</w:t>
      </w:r>
      <w:r w:rsidR="003B6AE7" w:rsidRPr="003B6AE7">
        <w:rPr>
          <w:lang w:val="el-GR"/>
        </w:rPr>
        <w:t xml:space="preserve"> </w:t>
      </w:r>
      <w:r w:rsidR="003B6AE7">
        <w:rPr>
          <w:lang w:val="el-GR"/>
        </w:rPr>
        <w:t>τον</w:t>
      </w:r>
      <w:r w:rsidR="003B6AE7" w:rsidRPr="003B6AE7">
        <w:rPr>
          <w:lang w:val="el-GR"/>
        </w:rPr>
        <w:t xml:space="preserve"> </w:t>
      </w:r>
      <w:r w:rsidR="003B6AE7">
        <w:rPr>
          <w:lang w:val="el-GR"/>
        </w:rPr>
        <w:t>ίδιο</w:t>
      </w:r>
      <w:r w:rsidR="003B6AE7" w:rsidRPr="003B6AE7">
        <w:rPr>
          <w:lang w:val="el-GR"/>
        </w:rPr>
        <w:t xml:space="preserve"> </w:t>
      </w:r>
      <w:r w:rsidR="003B6AE7">
        <w:rPr>
          <w:lang w:val="el-GR"/>
        </w:rPr>
        <w:t>τρόπο</w:t>
      </w:r>
      <w:r w:rsidR="003B6AE7" w:rsidRPr="003B6AE7">
        <w:rPr>
          <w:lang w:val="el-GR"/>
        </w:rPr>
        <w:t xml:space="preserve"> </w:t>
      </w:r>
      <w:r w:rsidR="003B6AE7">
        <w:rPr>
          <w:lang w:val="el-GR"/>
        </w:rPr>
        <w:t>όπως</w:t>
      </w:r>
      <w:r w:rsidR="003B6AE7" w:rsidRPr="003B6AE7">
        <w:rPr>
          <w:lang w:val="el-GR"/>
        </w:rPr>
        <w:t xml:space="preserve"> </w:t>
      </w:r>
      <w:r w:rsidR="003B6AE7">
        <w:rPr>
          <w:lang w:val="el-GR"/>
        </w:rPr>
        <w:t>την</w:t>
      </w:r>
      <w:r w:rsidR="003B6AE7" w:rsidRPr="003B6AE7">
        <w:rPr>
          <w:lang w:val="el-GR"/>
        </w:rPr>
        <w:t xml:space="preserve"> </w:t>
      </w:r>
      <w:r w:rsidR="003B6AE7">
        <w:rPr>
          <w:lang w:val="el-GR"/>
        </w:rPr>
        <w:t>χοληκαλσιφερόλη. Έχει</w:t>
      </w:r>
      <w:r w:rsidR="003B6AE7" w:rsidRPr="00E91F91">
        <w:rPr>
          <w:lang w:val="el-GR"/>
        </w:rPr>
        <w:t xml:space="preserve"> </w:t>
      </w:r>
      <w:r w:rsidR="003B6AE7">
        <w:rPr>
          <w:lang w:val="el-GR"/>
        </w:rPr>
        <w:t>τις</w:t>
      </w:r>
      <w:r w:rsidR="003B6AE7" w:rsidRPr="00E91F91">
        <w:rPr>
          <w:lang w:val="el-GR"/>
        </w:rPr>
        <w:t xml:space="preserve"> </w:t>
      </w:r>
      <w:r w:rsidR="003B6AE7">
        <w:rPr>
          <w:lang w:val="el-GR"/>
        </w:rPr>
        <w:t>ίδιες</w:t>
      </w:r>
      <w:r w:rsidR="003B6AE7" w:rsidRPr="00E91F91">
        <w:rPr>
          <w:lang w:val="el-GR"/>
        </w:rPr>
        <w:t xml:space="preserve"> </w:t>
      </w:r>
      <w:r w:rsidR="003B6AE7">
        <w:rPr>
          <w:lang w:val="el-GR"/>
        </w:rPr>
        <w:t>ποιοτικές</w:t>
      </w:r>
      <w:r w:rsidR="003B6AE7" w:rsidRPr="00E91F91">
        <w:rPr>
          <w:lang w:val="el-GR"/>
        </w:rPr>
        <w:t xml:space="preserve"> </w:t>
      </w:r>
      <w:r w:rsidR="003B6AE7">
        <w:rPr>
          <w:lang w:val="el-GR"/>
        </w:rPr>
        <w:t>και</w:t>
      </w:r>
      <w:r w:rsidR="003B6AE7" w:rsidRPr="00E91F91">
        <w:rPr>
          <w:lang w:val="el-GR"/>
        </w:rPr>
        <w:t xml:space="preserve"> </w:t>
      </w:r>
      <w:r w:rsidR="003B6AE7">
        <w:rPr>
          <w:lang w:val="el-GR"/>
        </w:rPr>
        <w:t>ποσοτικές</w:t>
      </w:r>
      <w:r w:rsidR="003B6AE7" w:rsidRPr="00E91F91">
        <w:rPr>
          <w:lang w:val="el-GR"/>
        </w:rPr>
        <w:t xml:space="preserve"> </w:t>
      </w:r>
      <w:r w:rsidR="003B6AE7">
        <w:rPr>
          <w:lang w:val="el-GR"/>
        </w:rPr>
        <w:t>επιδράσεις</w:t>
      </w:r>
      <w:r w:rsidR="00B8607D" w:rsidRPr="00E91F91">
        <w:rPr>
          <w:lang w:val="el-GR"/>
        </w:rPr>
        <w:t>.</w:t>
      </w:r>
    </w:p>
    <w:p w:rsidR="00B8607D" w:rsidRPr="00E91F91" w:rsidRDefault="00B8607D" w:rsidP="00526ED7">
      <w:pPr>
        <w:jc w:val="both"/>
        <w:rPr>
          <w:lang w:val="el-GR"/>
        </w:rPr>
      </w:pPr>
    </w:p>
    <w:p w:rsidR="00E91F91" w:rsidRDefault="00E91F91" w:rsidP="00526ED7">
      <w:pPr>
        <w:jc w:val="both"/>
        <w:rPr>
          <w:lang w:val="el-GR"/>
        </w:rPr>
      </w:pPr>
      <w:r>
        <w:rPr>
          <w:lang w:val="el-GR"/>
        </w:rPr>
        <w:t xml:space="preserve">Οι ενήλικες χρειάζονται </w:t>
      </w:r>
      <w:r w:rsidR="00B8607D" w:rsidRPr="00E91F91">
        <w:rPr>
          <w:lang w:val="el-GR"/>
        </w:rPr>
        <w:t>5 µ</w:t>
      </w:r>
      <w:r w:rsidR="00B8607D">
        <w:t>g</w:t>
      </w:r>
      <w:r w:rsidR="00EA2F9D">
        <w:rPr>
          <w:lang w:val="el-GR"/>
        </w:rPr>
        <w:t xml:space="preserve"> ημερησίως, </w:t>
      </w:r>
      <w:r w:rsidR="0006408C">
        <w:rPr>
          <w:lang w:val="el-GR"/>
        </w:rPr>
        <w:t>ισοδυναμεί</w:t>
      </w:r>
      <w:r>
        <w:rPr>
          <w:lang w:val="el-GR"/>
        </w:rPr>
        <w:t xml:space="preserve"> με </w:t>
      </w:r>
      <w:r w:rsidR="00B8607D" w:rsidRPr="00E91F91">
        <w:rPr>
          <w:lang w:val="el-GR"/>
        </w:rPr>
        <w:t xml:space="preserve">200 </w:t>
      </w:r>
      <w:r w:rsidR="001D1577">
        <w:rPr>
          <w:lang w:val="el-GR"/>
        </w:rPr>
        <w:t>ΔΜ</w:t>
      </w:r>
      <w:r w:rsidR="00B8607D" w:rsidRPr="00E91F91">
        <w:rPr>
          <w:lang w:val="el-GR"/>
        </w:rPr>
        <w:t xml:space="preserve">. </w:t>
      </w:r>
      <w:r>
        <w:rPr>
          <w:lang w:val="el-GR"/>
        </w:rPr>
        <w:t>Οι</w:t>
      </w:r>
      <w:r w:rsidRPr="00E91F91">
        <w:rPr>
          <w:lang w:val="el-GR"/>
        </w:rPr>
        <w:t xml:space="preserve"> </w:t>
      </w:r>
      <w:r>
        <w:rPr>
          <w:lang w:val="el-GR"/>
        </w:rPr>
        <w:t>υγιείς</w:t>
      </w:r>
      <w:r w:rsidRPr="00E91F91">
        <w:rPr>
          <w:lang w:val="el-GR"/>
        </w:rPr>
        <w:t xml:space="preserve"> </w:t>
      </w:r>
      <w:r>
        <w:rPr>
          <w:lang w:val="el-GR"/>
        </w:rPr>
        <w:t>ενήλικες</w:t>
      </w:r>
      <w:r w:rsidRPr="00E91F91">
        <w:rPr>
          <w:lang w:val="el-GR"/>
        </w:rPr>
        <w:t xml:space="preserve"> </w:t>
      </w:r>
      <w:r>
        <w:rPr>
          <w:lang w:val="el-GR"/>
        </w:rPr>
        <w:t>μπορούν</w:t>
      </w:r>
      <w:r w:rsidRPr="00E91F91">
        <w:rPr>
          <w:lang w:val="el-GR"/>
        </w:rPr>
        <w:t xml:space="preserve"> </w:t>
      </w:r>
      <w:r>
        <w:rPr>
          <w:lang w:val="el-GR"/>
        </w:rPr>
        <w:t>να</w:t>
      </w:r>
      <w:r w:rsidRPr="00E91F91">
        <w:rPr>
          <w:lang w:val="el-GR"/>
        </w:rPr>
        <w:t xml:space="preserve"> </w:t>
      </w:r>
      <w:r>
        <w:rPr>
          <w:lang w:val="el-GR"/>
        </w:rPr>
        <w:t>καλύψουν</w:t>
      </w:r>
      <w:r w:rsidRPr="00E91F91">
        <w:rPr>
          <w:lang w:val="el-GR"/>
        </w:rPr>
        <w:t xml:space="preserve"> </w:t>
      </w:r>
      <w:r>
        <w:rPr>
          <w:lang w:val="el-GR"/>
        </w:rPr>
        <w:t>τις</w:t>
      </w:r>
      <w:r w:rsidRPr="00E91F91">
        <w:rPr>
          <w:lang w:val="el-GR"/>
        </w:rPr>
        <w:t xml:space="preserve"> </w:t>
      </w:r>
      <w:r>
        <w:rPr>
          <w:lang w:val="el-GR"/>
        </w:rPr>
        <w:t>ανάγκες</w:t>
      </w:r>
      <w:r w:rsidRPr="00E91F91">
        <w:rPr>
          <w:lang w:val="el-GR"/>
        </w:rPr>
        <w:t xml:space="preserve"> </w:t>
      </w:r>
      <w:r>
        <w:rPr>
          <w:lang w:val="el-GR"/>
        </w:rPr>
        <w:t>τους</w:t>
      </w:r>
      <w:r w:rsidRPr="00E91F91">
        <w:rPr>
          <w:lang w:val="el-GR"/>
        </w:rPr>
        <w:t xml:space="preserve"> </w:t>
      </w:r>
      <w:r>
        <w:rPr>
          <w:lang w:val="el-GR"/>
        </w:rPr>
        <w:t>παράγοντας</w:t>
      </w:r>
      <w:r w:rsidRPr="00E91F91">
        <w:rPr>
          <w:lang w:val="el-GR"/>
        </w:rPr>
        <w:t xml:space="preserve"> </w:t>
      </w:r>
      <w:r>
        <w:rPr>
          <w:lang w:val="el-GR"/>
        </w:rPr>
        <w:t>οι</w:t>
      </w:r>
      <w:r w:rsidRPr="00E91F91">
        <w:rPr>
          <w:lang w:val="el-GR"/>
        </w:rPr>
        <w:t xml:space="preserve"> </w:t>
      </w:r>
      <w:r>
        <w:rPr>
          <w:lang w:val="el-GR"/>
        </w:rPr>
        <w:t>ίδιοι</w:t>
      </w:r>
      <w:r w:rsidRPr="00E91F91">
        <w:rPr>
          <w:lang w:val="el-GR"/>
        </w:rPr>
        <w:t xml:space="preserve"> </w:t>
      </w:r>
      <w:r>
        <w:rPr>
          <w:lang w:val="el-GR"/>
        </w:rPr>
        <w:t xml:space="preserve">βιταμίνη </w:t>
      </w:r>
      <w:r w:rsidR="00B8607D">
        <w:t>D</w:t>
      </w:r>
      <w:r>
        <w:rPr>
          <w:lang w:val="el-GR"/>
        </w:rPr>
        <w:t xml:space="preserve"> μέσω της επαρκούς έκθεσης στον ήλιο. Η</w:t>
      </w:r>
      <w:r w:rsidRPr="00E91F91">
        <w:rPr>
          <w:lang w:val="el-GR"/>
        </w:rPr>
        <w:t xml:space="preserve"> </w:t>
      </w:r>
      <w:r>
        <w:rPr>
          <w:lang w:val="el-GR"/>
        </w:rPr>
        <w:t>πρόσληψη</w:t>
      </w:r>
      <w:r w:rsidRPr="00E91F91">
        <w:rPr>
          <w:lang w:val="el-GR"/>
        </w:rPr>
        <w:t xml:space="preserve"> </w:t>
      </w:r>
      <w:r>
        <w:rPr>
          <w:lang w:val="el-GR"/>
        </w:rPr>
        <w:t>βιταμίνης</w:t>
      </w:r>
      <w:r w:rsidRPr="00E91F91">
        <w:rPr>
          <w:lang w:val="el-GR"/>
        </w:rPr>
        <w:t xml:space="preserve"> </w:t>
      </w:r>
      <w:r w:rsidR="00B8607D">
        <w:t>D</w:t>
      </w:r>
      <w:r w:rsidRPr="00E91F91">
        <w:rPr>
          <w:lang w:val="el-GR"/>
        </w:rPr>
        <w:t xml:space="preserve"> </w:t>
      </w:r>
      <w:r>
        <w:rPr>
          <w:lang w:val="el-GR"/>
        </w:rPr>
        <w:t>με</w:t>
      </w:r>
      <w:r w:rsidRPr="00E91F91">
        <w:rPr>
          <w:lang w:val="el-GR"/>
        </w:rPr>
        <w:t xml:space="preserve"> </w:t>
      </w:r>
      <w:r>
        <w:rPr>
          <w:lang w:val="el-GR"/>
        </w:rPr>
        <w:t>τη</w:t>
      </w:r>
      <w:r w:rsidRPr="00E91F91">
        <w:rPr>
          <w:lang w:val="el-GR"/>
        </w:rPr>
        <w:t xml:space="preserve"> </w:t>
      </w:r>
      <w:r>
        <w:rPr>
          <w:lang w:val="el-GR"/>
        </w:rPr>
        <w:t>διατροφή</w:t>
      </w:r>
      <w:r w:rsidRPr="00E91F91">
        <w:rPr>
          <w:lang w:val="el-GR"/>
        </w:rPr>
        <w:t xml:space="preserve"> </w:t>
      </w:r>
      <w:r>
        <w:rPr>
          <w:lang w:val="el-GR"/>
        </w:rPr>
        <w:t>έχει</w:t>
      </w:r>
      <w:r w:rsidRPr="00E91F91">
        <w:rPr>
          <w:lang w:val="el-GR"/>
        </w:rPr>
        <w:t xml:space="preserve"> </w:t>
      </w:r>
      <w:r w:rsidR="00BF5D36">
        <w:rPr>
          <w:lang w:val="el-GR"/>
        </w:rPr>
        <w:t>δευτερεύο</w:t>
      </w:r>
      <w:r>
        <w:rPr>
          <w:lang w:val="el-GR"/>
        </w:rPr>
        <w:t>ν</w:t>
      </w:r>
      <w:r w:rsidR="00BF5D36">
        <w:rPr>
          <w:lang w:val="el-GR"/>
        </w:rPr>
        <w:t>τα</w:t>
      </w:r>
      <w:r w:rsidRPr="00E91F91">
        <w:rPr>
          <w:lang w:val="el-GR"/>
        </w:rPr>
        <w:t xml:space="preserve"> </w:t>
      </w:r>
      <w:r>
        <w:rPr>
          <w:lang w:val="el-GR"/>
        </w:rPr>
        <w:t>ρόλο</w:t>
      </w:r>
      <w:r w:rsidRPr="00E91F91">
        <w:rPr>
          <w:lang w:val="el-GR"/>
        </w:rPr>
        <w:t xml:space="preserve">, </w:t>
      </w:r>
      <w:r>
        <w:rPr>
          <w:lang w:val="el-GR"/>
        </w:rPr>
        <w:t>αλλά</w:t>
      </w:r>
      <w:r w:rsidRPr="00E91F91">
        <w:rPr>
          <w:lang w:val="el-GR"/>
        </w:rPr>
        <w:t xml:space="preserve"> </w:t>
      </w:r>
      <w:r>
        <w:rPr>
          <w:lang w:val="el-GR"/>
        </w:rPr>
        <w:t>μπορεί</w:t>
      </w:r>
      <w:r w:rsidRPr="00E91F91">
        <w:rPr>
          <w:lang w:val="el-GR"/>
        </w:rPr>
        <w:t xml:space="preserve"> </w:t>
      </w:r>
      <w:r>
        <w:rPr>
          <w:lang w:val="el-GR"/>
        </w:rPr>
        <w:t>να</w:t>
      </w:r>
      <w:r w:rsidRPr="00E91F91">
        <w:rPr>
          <w:lang w:val="el-GR"/>
        </w:rPr>
        <w:t xml:space="preserve"> </w:t>
      </w:r>
      <w:r>
        <w:rPr>
          <w:lang w:val="el-GR"/>
        </w:rPr>
        <w:t>είναι</w:t>
      </w:r>
      <w:r w:rsidRPr="00E91F91">
        <w:rPr>
          <w:lang w:val="el-GR"/>
        </w:rPr>
        <w:t xml:space="preserve"> </w:t>
      </w:r>
      <w:r>
        <w:rPr>
          <w:lang w:val="el-GR"/>
        </w:rPr>
        <w:t>σημαντική σε κρίσιμες συνθήκες (κλίμα, τρόπος ζωής).</w:t>
      </w:r>
    </w:p>
    <w:p w:rsidR="00B8607D" w:rsidRPr="00BF5D36" w:rsidRDefault="00E91F91" w:rsidP="00526ED7">
      <w:pPr>
        <w:jc w:val="both"/>
        <w:rPr>
          <w:lang w:val="el-GR"/>
        </w:rPr>
      </w:pPr>
      <w:r w:rsidRPr="00BF5D36">
        <w:rPr>
          <w:lang w:val="el-GR"/>
        </w:rPr>
        <w:t xml:space="preserve"> </w:t>
      </w:r>
    </w:p>
    <w:p w:rsidR="00B8607D" w:rsidRDefault="008E79E8" w:rsidP="00526ED7">
      <w:pPr>
        <w:jc w:val="both"/>
        <w:rPr>
          <w:lang w:val="el-GR"/>
        </w:rPr>
      </w:pPr>
      <w:r w:rsidRPr="00E45DF0">
        <w:rPr>
          <w:lang w:val="el-GR"/>
        </w:rPr>
        <w:t xml:space="preserve">Το έλαιο από το ήπαρ των ιχθύων και οι ιχθύες είναι ιδιαίτερα πλούσια σε βιταμίνη </w:t>
      </w:r>
      <w:r w:rsidR="00B8607D" w:rsidRPr="00E45DF0">
        <w:t>D</w:t>
      </w:r>
      <w:r w:rsidRPr="00E45DF0">
        <w:rPr>
          <w:lang w:val="el-GR"/>
        </w:rPr>
        <w:t>. Μικρές ποσότητες</w:t>
      </w:r>
      <w:r w:rsidRPr="008E79E8">
        <w:rPr>
          <w:lang w:val="el-GR"/>
        </w:rPr>
        <w:t xml:space="preserve"> </w:t>
      </w:r>
      <w:r>
        <w:rPr>
          <w:lang w:val="el-GR"/>
        </w:rPr>
        <w:t>εντοπίζονται</w:t>
      </w:r>
      <w:r w:rsidRPr="008E79E8">
        <w:rPr>
          <w:lang w:val="el-GR"/>
        </w:rPr>
        <w:t xml:space="preserve"> </w:t>
      </w:r>
      <w:r>
        <w:rPr>
          <w:lang w:val="el-GR"/>
        </w:rPr>
        <w:t>στο</w:t>
      </w:r>
      <w:r w:rsidRPr="008E79E8">
        <w:rPr>
          <w:lang w:val="el-GR"/>
        </w:rPr>
        <w:t xml:space="preserve"> </w:t>
      </w:r>
      <w:r>
        <w:rPr>
          <w:lang w:val="el-GR"/>
        </w:rPr>
        <w:t>κρέας</w:t>
      </w:r>
      <w:r w:rsidRPr="008E79E8">
        <w:rPr>
          <w:lang w:val="el-GR"/>
        </w:rPr>
        <w:t xml:space="preserve">, </w:t>
      </w:r>
      <w:r>
        <w:rPr>
          <w:lang w:val="el-GR"/>
        </w:rPr>
        <w:t>τον</w:t>
      </w:r>
      <w:r w:rsidRPr="008E79E8">
        <w:rPr>
          <w:lang w:val="el-GR"/>
        </w:rPr>
        <w:t xml:space="preserve"> </w:t>
      </w:r>
      <w:r>
        <w:rPr>
          <w:lang w:val="el-GR"/>
        </w:rPr>
        <w:t>κρόκο</w:t>
      </w:r>
      <w:r w:rsidRPr="008E79E8">
        <w:rPr>
          <w:lang w:val="el-GR"/>
        </w:rPr>
        <w:t xml:space="preserve"> </w:t>
      </w:r>
      <w:r>
        <w:rPr>
          <w:lang w:val="el-GR"/>
        </w:rPr>
        <w:t xml:space="preserve">αυγού, το γάλα, τα γαλακτοκομικά προϊόντα και το αβοκάντο. </w:t>
      </w:r>
      <w:r w:rsidR="00B8607D" w:rsidRPr="008E79E8">
        <w:rPr>
          <w:lang w:val="el-GR"/>
        </w:rPr>
        <w:t xml:space="preserve"> </w:t>
      </w:r>
    </w:p>
    <w:p w:rsidR="008E79E8" w:rsidRPr="008E79E8" w:rsidRDefault="008E79E8" w:rsidP="00526ED7">
      <w:pPr>
        <w:jc w:val="both"/>
        <w:rPr>
          <w:lang w:val="el-GR"/>
        </w:rPr>
      </w:pPr>
    </w:p>
    <w:p w:rsidR="00B8607D" w:rsidRPr="009D218F" w:rsidRDefault="009D218F" w:rsidP="00526ED7">
      <w:pPr>
        <w:jc w:val="both"/>
        <w:rPr>
          <w:lang w:val="el-GR"/>
        </w:rPr>
      </w:pPr>
      <w:r>
        <w:rPr>
          <w:lang w:val="el-GR"/>
        </w:rPr>
        <w:lastRenderedPageBreak/>
        <w:t>Παθήσεις</w:t>
      </w:r>
      <w:r w:rsidRPr="009D218F">
        <w:rPr>
          <w:lang w:val="el-GR"/>
        </w:rPr>
        <w:t xml:space="preserve"> </w:t>
      </w:r>
      <w:r>
        <w:rPr>
          <w:lang w:val="el-GR"/>
        </w:rPr>
        <w:t>ανεπάρκειας</w:t>
      </w:r>
      <w:r w:rsidRPr="009D218F">
        <w:rPr>
          <w:lang w:val="el-GR"/>
        </w:rPr>
        <w:t xml:space="preserve"> </w:t>
      </w:r>
      <w:r>
        <w:rPr>
          <w:lang w:val="el-GR"/>
        </w:rPr>
        <w:t>μπορούν</w:t>
      </w:r>
      <w:r w:rsidRPr="009D218F">
        <w:rPr>
          <w:lang w:val="el-GR"/>
        </w:rPr>
        <w:t xml:space="preserve"> </w:t>
      </w:r>
      <w:r>
        <w:rPr>
          <w:lang w:val="el-GR"/>
        </w:rPr>
        <w:t>να</w:t>
      </w:r>
      <w:r w:rsidRPr="009D218F">
        <w:rPr>
          <w:lang w:val="el-GR"/>
        </w:rPr>
        <w:t xml:space="preserve"> </w:t>
      </w:r>
      <w:r w:rsidR="00E45DF0">
        <w:rPr>
          <w:lang w:val="el-GR"/>
        </w:rPr>
        <w:t>εμφανιστούν</w:t>
      </w:r>
      <w:r w:rsidR="00E45DF0" w:rsidRPr="00E45DF0">
        <w:rPr>
          <w:lang w:val="el-GR"/>
        </w:rPr>
        <w:t>,</w:t>
      </w:r>
      <w:r w:rsidR="00E45DF0">
        <w:rPr>
          <w:lang w:val="el-GR"/>
        </w:rPr>
        <w:t xml:space="preserve"> μεταξύ άλλων,</w:t>
      </w:r>
      <w:r w:rsidRPr="009D218F">
        <w:rPr>
          <w:lang w:val="el-GR"/>
        </w:rPr>
        <w:t xml:space="preserve"> </w:t>
      </w:r>
      <w:r>
        <w:rPr>
          <w:lang w:val="el-GR"/>
        </w:rPr>
        <w:t>σε</w:t>
      </w:r>
      <w:r w:rsidRPr="009D218F">
        <w:rPr>
          <w:lang w:val="el-GR"/>
        </w:rPr>
        <w:t xml:space="preserve"> </w:t>
      </w:r>
      <w:r>
        <w:rPr>
          <w:lang w:val="el-GR"/>
        </w:rPr>
        <w:t>ανώριμα</w:t>
      </w:r>
      <w:r w:rsidRPr="009D218F">
        <w:rPr>
          <w:lang w:val="el-GR"/>
        </w:rPr>
        <w:t xml:space="preserve"> </w:t>
      </w:r>
      <w:r>
        <w:rPr>
          <w:lang w:val="el-GR"/>
        </w:rPr>
        <w:t>πρόωρα</w:t>
      </w:r>
      <w:r w:rsidRPr="009D218F">
        <w:rPr>
          <w:lang w:val="el-GR"/>
        </w:rPr>
        <w:t xml:space="preserve"> </w:t>
      </w:r>
      <w:r>
        <w:rPr>
          <w:lang w:val="el-GR"/>
        </w:rPr>
        <w:t>νεογνά</w:t>
      </w:r>
      <w:r w:rsidRPr="009D218F">
        <w:rPr>
          <w:lang w:val="el-GR"/>
        </w:rPr>
        <w:t xml:space="preserve">, </w:t>
      </w:r>
      <w:r>
        <w:rPr>
          <w:lang w:val="el-GR"/>
        </w:rPr>
        <w:t>σε</w:t>
      </w:r>
      <w:r w:rsidRPr="009D218F">
        <w:rPr>
          <w:lang w:val="el-GR"/>
        </w:rPr>
        <w:t xml:space="preserve"> </w:t>
      </w:r>
      <w:r>
        <w:rPr>
          <w:lang w:val="el-GR"/>
        </w:rPr>
        <w:t>νεογνά</w:t>
      </w:r>
      <w:r w:rsidRPr="009D218F">
        <w:rPr>
          <w:lang w:val="el-GR"/>
        </w:rPr>
        <w:t xml:space="preserve"> </w:t>
      </w:r>
      <w:r>
        <w:rPr>
          <w:lang w:val="el-GR"/>
        </w:rPr>
        <w:t>που</w:t>
      </w:r>
      <w:r w:rsidRPr="009D218F">
        <w:rPr>
          <w:lang w:val="el-GR"/>
        </w:rPr>
        <w:t xml:space="preserve"> </w:t>
      </w:r>
      <w:r>
        <w:rPr>
          <w:lang w:val="el-GR"/>
        </w:rPr>
        <w:t>θηλάζουν</w:t>
      </w:r>
      <w:r w:rsidRPr="009D218F">
        <w:rPr>
          <w:lang w:val="el-GR"/>
        </w:rPr>
        <w:t xml:space="preserve"> </w:t>
      </w:r>
      <w:r>
        <w:rPr>
          <w:lang w:val="el-GR"/>
        </w:rPr>
        <w:t>αποκλειστικά</w:t>
      </w:r>
      <w:r w:rsidRPr="009D218F">
        <w:rPr>
          <w:lang w:val="el-GR"/>
        </w:rPr>
        <w:t xml:space="preserve"> </w:t>
      </w:r>
      <w:r>
        <w:rPr>
          <w:lang w:val="el-GR"/>
        </w:rPr>
        <w:t>για</w:t>
      </w:r>
      <w:r w:rsidRPr="009D218F">
        <w:rPr>
          <w:lang w:val="el-GR"/>
        </w:rPr>
        <w:t xml:space="preserve"> </w:t>
      </w:r>
      <w:r>
        <w:rPr>
          <w:lang w:val="el-GR"/>
        </w:rPr>
        <w:t>περισσότερο</w:t>
      </w:r>
      <w:r w:rsidRPr="009D218F">
        <w:rPr>
          <w:lang w:val="el-GR"/>
        </w:rPr>
        <w:t xml:space="preserve"> </w:t>
      </w:r>
      <w:r>
        <w:rPr>
          <w:lang w:val="el-GR"/>
        </w:rPr>
        <w:t>από</w:t>
      </w:r>
      <w:r w:rsidRPr="009D218F">
        <w:rPr>
          <w:lang w:val="el-GR"/>
        </w:rPr>
        <w:t xml:space="preserve"> </w:t>
      </w:r>
      <w:r>
        <w:rPr>
          <w:lang w:val="el-GR"/>
        </w:rPr>
        <w:t>έξι</w:t>
      </w:r>
      <w:r w:rsidRPr="009D218F">
        <w:rPr>
          <w:lang w:val="el-GR"/>
        </w:rPr>
        <w:t xml:space="preserve"> </w:t>
      </w:r>
      <w:r>
        <w:rPr>
          <w:lang w:val="el-GR"/>
        </w:rPr>
        <w:t>μήνες</w:t>
      </w:r>
      <w:r w:rsidRPr="009D218F">
        <w:rPr>
          <w:lang w:val="el-GR"/>
        </w:rPr>
        <w:t xml:space="preserve"> </w:t>
      </w:r>
      <w:r>
        <w:rPr>
          <w:lang w:val="el-GR"/>
        </w:rPr>
        <w:t>χωρίς τροφές που περιέχουν ασβέστιο και σε παιδιά με αυστηρά χορτοφαγική δίαιτα. Τα</w:t>
      </w:r>
      <w:r w:rsidRPr="009D218F">
        <w:rPr>
          <w:lang w:val="el-GR"/>
        </w:rPr>
        <w:t xml:space="preserve"> </w:t>
      </w:r>
      <w:r>
        <w:rPr>
          <w:lang w:val="el-GR"/>
        </w:rPr>
        <w:t>αίτια</w:t>
      </w:r>
      <w:r w:rsidRPr="009D218F">
        <w:rPr>
          <w:lang w:val="el-GR"/>
        </w:rPr>
        <w:t xml:space="preserve"> </w:t>
      </w:r>
      <w:r>
        <w:rPr>
          <w:lang w:val="el-GR"/>
        </w:rPr>
        <w:t>για</w:t>
      </w:r>
      <w:r w:rsidRPr="009D218F">
        <w:rPr>
          <w:lang w:val="el-GR"/>
        </w:rPr>
        <w:t xml:space="preserve"> </w:t>
      </w:r>
      <w:r>
        <w:rPr>
          <w:lang w:val="el-GR"/>
        </w:rPr>
        <w:t>την</w:t>
      </w:r>
      <w:r w:rsidRPr="009D218F">
        <w:rPr>
          <w:lang w:val="el-GR"/>
        </w:rPr>
        <w:t xml:space="preserve"> </w:t>
      </w:r>
      <w:r>
        <w:rPr>
          <w:lang w:val="el-GR"/>
        </w:rPr>
        <w:t>σπάνια</w:t>
      </w:r>
      <w:r w:rsidRPr="009D218F">
        <w:rPr>
          <w:lang w:val="el-GR"/>
        </w:rPr>
        <w:t xml:space="preserve"> </w:t>
      </w:r>
      <w:r>
        <w:rPr>
          <w:lang w:val="el-GR"/>
        </w:rPr>
        <w:t>σε</w:t>
      </w:r>
      <w:r w:rsidRPr="009D218F">
        <w:rPr>
          <w:lang w:val="el-GR"/>
        </w:rPr>
        <w:t xml:space="preserve"> </w:t>
      </w:r>
      <w:r>
        <w:rPr>
          <w:lang w:val="el-GR"/>
        </w:rPr>
        <w:t>ενήλικες</w:t>
      </w:r>
      <w:r w:rsidRPr="009D218F">
        <w:rPr>
          <w:lang w:val="el-GR"/>
        </w:rPr>
        <w:t xml:space="preserve"> </w:t>
      </w:r>
      <w:r>
        <w:rPr>
          <w:lang w:val="el-GR"/>
        </w:rPr>
        <w:t>ανεπάρκεια</w:t>
      </w:r>
      <w:r w:rsidRPr="009D218F">
        <w:rPr>
          <w:lang w:val="el-GR"/>
        </w:rPr>
        <w:t xml:space="preserve"> </w:t>
      </w:r>
      <w:r>
        <w:rPr>
          <w:lang w:val="el-GR"/>
        </w:rPr>
        <w:t>βιταμίνης</w:t>
      </w:r>
      <w:r w:rsidRPr="009D218F">
        <w:rPr>
          <w:lang w:val="el-GR"/>
        </w:rPr>
        <w:t xml:space="preserve"> </w:t>
      </w:r>
      <w:r>
        <w:rPr>
          <w:lang w:val="en-US"/>
        </w:rPr>
        <w:t>D</w:t>
      </w:r>
      <w:r w:rsidRPr="009D218F">
        <w:rPr>
          <w:lang w:val="el-GR"/>
        </w:rPr>
        <w:t xml:space="preserve"> </w:t>
      </w:r>
      <w:r>
        <w:rPr>
          <w:lang w:val="el-GR"/>
        </w:rPr>
        <w:t>ενδέχεται</w:t>
      </w:r>
      <w:r w:rsidRPr="009D218F">
        <w:rPr>
          <w:lang w:val="el-GR"/>
        </w:rPr>
        <w:t xml:space="preserve"> </w:t>
      </w:r>
      <w:r>
        <w:rPr>
          <w:lang w:val="el-GR"/>
        </w:rPr>
        <w:t>να</w:t>
      </w:r>
      <w:r w:rsidRPr="009D218F">
        <w:rPr>
          <w:lang w:val="el-GR"/>
        </w:rPr>
        <w:t xml:space="preserve"> </w:t>
      </w:r>
      <w:r>
        <w:rPr>
          <w:lang w:val="el-GR"/>
        </w:rPr>
        <w:t>είναι</w:t>
      </w:r>
      <w:r w:rsidRPr="009D218F">
        <w:rPr>
          <w:lang w:val="el-GR"/>
        </w:rPr>
        <w:t xml:space="preserve"> </w:t>
      </w:r>
      <w:r>
        <w:rPr>
          <w:lang w:val="el-GR"/>
        </w:rPr>
        <w:t>η ανεπαρκής</w:t>
      </w:r>
      <w:r w:rsidRPr="009D218F">
        <w:rPr>
          <w:lang w:val="el-GR"/>
        </w:rPr>
        <w:t xml:space="preserve"> </w:t>
      </w:r>
      <w:r>
        <w:rPr>
          <w:lang w:val="el-GR"/>
        </w:rPr>
        <w:t>διατροφική</w:t>
      </w:r>
      <w:r w:rsidRPr="009D218F">
        <w:rPr>
          <w:lang w:val="el-GR"/>
        </w:rPr>
        <w:t xml:space="preserve"> </w:t>
      </w:r>
      <w:r>
        <w:rPr>
          <w:lang w:val="el-GR"/>
        </w:rPr>
        <w:t>πρόσληψη</w:t>
      </w:r>
      <w:r w:rsidRPr="009D218F">
        <w:rPr>
          <w:lang w:val="el-GR"/>
        </w:rPr>
        <w:t xml:space="preserve">, </w:t>
      </w:r>
      <w:r>
        <w:rPr>
          <w:lang w:val="el-GR"/>
        </w:rPr>
        <w:t>η ανεπαρκής έκθεση στ</w:t>
      </w:r>
      <w:r w:rsidR="00E45DF0">
        <w:rPr>
          <w:lang w:val="el-GR"/>
        </w:rPr>
        <w:t>ο</w:t>
      </w:r>
      <w:r>
        <w:rPr>
          <w:lang w:val="el-GR"/>
        </w:rPr>
        <w:t xml:space="preserve"> </w:t>
      </w:r>
      <w:r w:rsidRPr="00E45DF0">
        <w:rPr>
          <w:lang w:val="el-GR"/>
        </w:rPr>
        <w:t>υπεριώδες φως</w:t>
      </w:r>
      <w:r>
        <w:rPr>
          <w:lang w:val="el-GR"/>
        </w:rPr>
        <w:t xml:space="preserve">, </w:t>
      </w:r>
      <w:r w:rsidR="007A1B6D">
        <w:rPr>
          <w:lang w:val="el-GR"/>
        </w:rPr>
        <w:t>η</w:t>
      </w:r>
      <w:r w:rsidR="00B8607D" w:rsidRPr="009D218F">
        <w:rPr>
          <w:lang w:val="el-GR"/>
        </w:rPr>
        <w:t xml:space="preserve"> </w:t>
      </w:r>
      <w:r>
        <w:rPr>
          <w:lang w:val="el-GR"/>
        </w:rPr>
        <w:t xml:space="preserve">δυσαπορρόφηση και </w:t>
      </w:r>
      <w:r w:rsidR="00601F08">
        <w:rPr>
          <w:lang w:val="el-GR"/>
        </w:rPr>
        <w:t>δυσπεψία</w:t>
      </w:r>
      <w:r w:rsidR="00B8607D" w:rsidRPr="009D218F">
        <w:rPr>
          <w:lang w:val="el-GR"/>
        </w:rPr>
        <w:t xml:space="preserve">, </w:t>
      </w:r>
      <w:r w:rsidR="00DE27BE">
        <w:rPr>
          <w:lang w:val="el-GR"/>
        </w:rPr>
        <w:t>η κίρρωση του ήπατος καθώς και η νεφρική ανεπάρκεια</w:t>
      </w:r>
      <w:r w:rsidR="00B8607D" w:rsidRPr="009D218F">
        <w:rPr>
          <w:lang w:val="el-GR"/>
        </w:rPr>
        <w:t>.</w:t>
      </w:r>
    </w:p>
    <w:p w:rsidR="001D29E6" w:rsidRPr="009D218F" w:rsidRDefault="001D29E6" w:rsidP="00526ED7">
      <w:pPr>
        <w:jc w:val="both"/>
        <w:rPr>
          <w:lang w:val="el-GR"/>
        </w:rPr>
      </w:pPr>
    </w:p>
    <w:p w:rsidR="001D29E6" w:rsidRDefault="001D29E6" w:rsidP="00526ED7">
      <w:pPr>
        <w:ind w:left="567" w:hanging="567"/>
        <w:jc w:val="both"/>
        <w:outlineLvl w:val="0"/>
        <w:rPr>
          <w:b/>
        </w:rPr>
      </w:pPr>
      <w:r>
        <w:rPr>
          <w:b/>
        </w:rPr>
        <w:t>5.2</w:t>
      </w:r>
      <w:r>
        <w:rPr>
          <w:b/>
        </w:rPr>
        <w:tab/>
      </w:r>
      <w:r w:rsidR="00A92EC9">
        <w:rPr>
          <w:b/>
          <w:lang w:val="el-GR"/>
        </w:rPr>
        <w:t>Φαρμακοκινητικές</w:t>
      </w:r>
      <w:r w:rsidR="00A92EC9" w:rsidRPr="009517A9">
        <w:rPr>
          <w:b/>
          <w:lang w:val="en-US"/>
        </w:rPr>
        <w:t xml:space="preserve"> </w:t>
      </w:r>
      <w:r w:rsidR="00A92EC9">
        <w:rPr>
          <w:b/>
          <w:lang w:val="el-GR"/>
        </w:rPr>
        <w:t>ιδιότητες</w:t>
      </w:r>
    </w:p>
    <w:p w:rsidR="00C53ACC" w:rsidRPr="00B8607D" w:rsidRDefault="00C53ACC" w:rsidP="00526ED7">
      <w:pPr>
        <w:jc w:val="both"/>
      </w:pPr>
    </w:p>
    <w:p w:rsidR="00B8607D" w:rsidRDefault="00A667BE" w:rsidP="00526ED7">
      <w:pPr>
        <w:jc w:val="both"/>
        <w:rPr>
          <w:bCs/>
          <w:iCs/>
          <w:szCs w:val="22"/>
          <w:lang w:val="el-GR"/>
        </w:rPr>
      </w:pPr>
      <w:r>
        <w:rPr>
          <w:bCs/>
          <w:iCs/>
          <w:szCs w:val="22"/>
          <w:lang w:val="el-GR"/>
        </w:rPr>
        <w:t xml:space="preserve">Σε διατροφικές </w:t>
      </w:r>
      <w:r w:rsidR="009517A9">
        <w:rPr>
          <w:bCs/>
          <w:iCs/>
          <w:szCs w:val="22"/>
          <w:lang w:val="el-GR"/>
        </w:rPr>
        <w:t>δόσεις</w:t>
      </w:r>
      <w:r w:rsidR="009517A9" w:rsidRPr="00837EA1">
        <w:rPr>
          <w:bCs/>
          <w:iCs/>
          <w:szCs w:val="22"/>
          <w:lang w:val="el-GR"/>
        </w:rPr>
        <w:t xml:space="preserve"> </w:t>
      </w:r>
      <w:r>
        <w:rPr>
          <w:bCs/>
          <w:iCs/>
          <w:szCs w:val="22"/>
          <w:lang w:val="el-GR"/>
        </w:rPr>
        <w:t>η βιταμίνη</w:t>
      </w:r>
      <w:r w:rsidR="009517A9" w:rsidRPr="00837EA1">
        <w:rPr>
          <w:bCs/>
          <w:iCs/>
          <w:szCs w:val="22"/>
          <w:lang w:val="el-GR"/>
        </w:rPr>
        <w:t xml:space="preserve"> </w:t>
      </w:r>
      <w:r w:rsidR="009517A9">
        <w:rPr>
          <w:bCs/>
          <w:iCs/>
          <w:szCs w:val="22"/>
          <w:lang w:val="en-US"/>
        </w:rPr>
        <w:t>D</w:t>
      </w:r>
      <w:r w:rsidR="009517A9" w:rsidRPr="00837EA1">
        <w:rPr>
          <w:bCs/>
          <w:iCs/>
          <w:szCs w:val="22"/>
          <w:lang w:val="el-GR"/>
        </w:rPr>
        <w:t xml:space="preserve"> </w:t>
      </w:r>
      <w:r>
        <w:rPr>
          <w:bCs/>
          <w:iCs/>
          <w:szCs w:val="22"/>
          <w:lang w:val="el-GR"/>
        </w:rPr>
        <w:t xml:space="preserve">απορροφάται </w:t>
      </w:r>
      <w:r w:rsidR="009517A9">
        <w:rPr>
          <w:bCs/>
          <w:iCs/>
          <w:szCs w:val="22"/>
          <w:lang w:val="el-GR"/>
        </w:rPr>
        <w:t>σχεδόν</w:t>
      </w:r>
      <w:r w:rsidR="009517A9" w:rsidRPr="00837EA1">
        <w:rPr>
          <w:bCs/>
          <w:iCs/>
          <w:szCs w:val="22"/>
          <w:lang w:val="el-GR"/>
        </w:rPr>
        <w:t xml:space="preserve"> </w:t>
      </w:r>
      <w:r w:rsidR="009517A9">
        <w:rPr>
          <w:bCs/>
          <w:iCs/>
          <w:szCs w:val="22"/>
          <w:lang w:val="el-GR"/>
        </w:rPr>
        <w:t>πλήρως</w:t>
      </w:r>
      <w:r w:rsidR="009517A9" w:rsidRPr="00837EA1">
        <w:rPr>
          <w:bCs/>
          <w:iCs/>
          <w:szCs w:val="22"/>
          <w:lang w:val="el-GR"/>
        </w:rPr>
        <w:t xml:space="preserve"> </w:t>
      </w:r>
      <w:r w:rsidR="009517A9">
        <w:rPr>
          <w:bCs/>
          <w:iCs/>
          <w:szCs w:val="22"/>
          <w:lang w:val="el-GR"/>
        </w:rPr>
        <w:t>από</w:t>
      </w:r>
      <w:r w:rsidR="009517A9" w:rsidRPr="00837EA1">
        <w:rPr>
          <w:bCs/>
          <w:iCs/>
          <w:szCs w:val="22"/>
          <w:lang w:val="el-GR"/>
        </w:rPr>
        <w:t xml:space="preserve"> </w:t>
      </w:r>
      <w:r w:rsidR="009517A9">
        <w:rPr>
          <w:bCs/>
          <w:iCs/>
          <w:szCs w:val="22"/>
          <w:lang w:val="el-GR"/>
        </w:rPr>
        <w:t>τις</w:t>
      </w:r>
      <w:r w:rsidR="009517A9" w:rsidRPr="00837EA1">
        <w:rPr>
          <w:bCs/>
          <w:iCs/>
          <w:szCs w:val="22"/>
          <w:lang w:val="el-GR"/>
        </w:rPr>
        <w:t xml:space="preserve"> </w:t>
      </w:r>
      <w:r w:rsidR="009517A9">
        <w:rPr>
          <w:bCs/>
          <w:iCs/>
          <w:szCs w:val="22"/>
          <w:lang w:val="el-GR"/>
        </w:rPr>
        <w:t>τροφές</w:t>
      </w:r>
      <w:r w:rsidR="009517A9" w:rsidRPr="00837EA1">
        <w:rPr>
          <w:bCs/>
          <w:iCs/>
          <w:szCs w:val="22"/>
          <w:lang w:val="el-GR"/>
        </w:rPr>
        <w:t xml:space="preserve"> </w:t>
      </w:r>
      <w:r w:rsidR="009517A9">
        <w:rPr>
          <w:bCs/>
          <w:iCs/>
          <w:szCs w:val="22"/>
          <w:lang w:val="el-GR"/>
        </w:rPr>
        <w:t>μαζί</w:t>
      </w:r>
      <w:r w:rsidR="009517A9" w:rsidRPr="00837EA1">
        <w:rPr>
          <w:bCs/>
          <w:iCs/>
          <w:szCs w:val="22"/>
          <w:lang w:val="el-GR"/>
        </w:rPr>
        <w:t xml:space="preserve"> </w:t>
      </w:r>
      <w:r w:rsidR="009517A9">
        <w:rPr>
          <w:bCs/>
          <w:iCs/>
          <w:szCs w:val="22"/>
          <w:lang w:val="el-GR"/>
        </w:rPr>
        <w:t>με</w:t>
      </w:r>
      <w:r w:rsidR="009517A9" w:rsidRPr="00837EA1">
        <w:rPr>
          <w:bCs/>
          <w:iCs/>
          <w:szCs w:val="22"/>
          <w:lang w:val="el-GR"/>
        </w:rPr>
        <w:t xml:space="preserve"> </w:t>
      </w:r>
      <w:r w:rsidR="009517A9">
        <w:rPr>
          <w:bCs/>
          <w:iCs/>
          <w:szCs w:val="22"/>
          <w:lang w:val="el-GR"/>
        </w:rPr>
        <w:t>τα</w:t>
      </w:r>
      <w:r w:rsidR="009517A9" w:rsidRPr="00837EA1">
        <w:rPr>
          <w:bCs/>
          <w:iCs/>
          <w:szCs w:val="22"/>
          <w:lang w:val="el-GR"/>
        </w:rPr>
        <w:t xml:space="preserve"> </w:t>
      </w:r>
      <w:r w:rsidR="009517A9">
        <w:rPr>
          <w:bCs/>
          <w:iCs/>
          <w:szCs w:val="22"/>
          <w:lang w:val="el-GR"/>
        </w:rPr>
        <w:t>διατροφικά</w:t>
      </w:r>
      <w:r w:rsidR="009517A9" w:rsidRPr="00837EA1">
        <w:rPr>
          <w:bCs/>
          <w:iCs/>
          <w:szCs w:val="22"/>
          <w:lang w:val="el-GR"/>
        </w:rPr>
        <w:t xml:space="preserve"> </w:t>
      </w:r>
      <w:r>
        <w:rPr>
          <w:bCs/>
          <w:iCs/>
          <w:szCs w:val="22"/>
          <w:lang w:val="el-GR"/>
        </w:rPr>
        <w:t>λίπη</w:t>
      </w:r>
      <w:r w:rsidR="009517A9" w:rsidRPr="00837EA1">
        <w:rPr>
          <w:bCs/>
          <w:iCs/>
          <w:szCs w:val="22"/>
          <w:lang w:val="el-GR"/>
        </w:rPr>
        <w:t xml:space="preserve">. </w:t>
      </w:r>
      <w:r>
        <w:rPr>
          <w:bCs/>
          <w:iCs/>
          <w:szCs w:val="22"/>
          <w:lang w:val="el-GR"/>
        </w:rPr>
        <w:t>Υ</w:t>
      </w:r>
      <w:r w:rsidR="009517A9">
        <w:rPr>
          <w:bCs/>
          <w:iCs/>
          <w:szCs w:val="22"/>
          <w:lang w:val="el-GR"/>
        </w:rPr>
        <w:t>ψηλότερες</w:t>
      </w:r>
      <w:r w:rsidR="009517A9" w:rsidRPr="00A667BE">
        <w:rPr>
          <w:bCs/>
          <w:iCs/>
          <w:szCs w:val="22"/>
          <w:lang w:val="el-GR"/>
        </w:rPr>
        <w:t xml:space="preserve"> </w:t>
      </w:r>
      <w:r w:rsidR="009517A9">
        <w:rPr>
          <w:bCs/>
          <w:iCs/>
          <w:szCs w:val="22"/>
          <w:lang w:val="el-GR"/>
        </w:rPr>
        <w:t>δόσεις</w:t>
      </w:r>
      <w:r w:rsidR="009517A9" w:rsidRPr="00A667BE">
        <w:rPr>
          <w:bCs/>
          <w:iCs/>
          <w:szCs w:val="22"/>
          <w:lang w:val="el-GR"/>
        </w:rPr>
        <w:t xml:space="preserve"> </w:t>
      </w:r>
      <w:r w:rsidR="00D65285">
        <w:rPr>
          <w:bCs/>
          <w:iCs/>
          <w:szCs w:val="22"/>
          <w:lang w:val="el-GR"/>
        </w:rPr>
        <w:t>απορροφώ</w:t>
      </w:r>
      <w:r w:rsidR="009517A9">
        <w:rPr>
          <w:bCs/>
          <w:iCs/>
          <w:szCs w:val="22"/>
          <w:lang w:val="el-GR"/>
        </w:rPr>
        <w:t>νται</w:t>
      </w:r>
      <w:r w:rsidR="009517A9" w:rsidRPr="00A667BE">
        <w:rPr>
          <w:bCs/>
          <w:iCs/>
          <w:szCs w:val="22"/>
          <w:lang w:val="el-GR"/>
        </w:rPr>
        <w:t xml:space="preserve"> </w:t>
      </w:r>
      <w:r w:rsidR="009517A9">
        <w:rPr>
          <w:bCs/>
          <w:iCs/>
          <w:szCs w:val="22"/>
          <w:lang w:val="el-GR"/>
        </w:rPr>
        <w:t>σε</w:t>
      </w:r>
      <w:r w:rsidR="009517A9" w:rsidRPr="00A667BE">
        <w:rPr>
          <w:bCs/>
          <w:iCs/>
          <w:szCs w:val="22"/>
          <w:lang w:val="el-GR"/>
        </w:rPr>
        <w:t xml:space="preserve"> </w:t>
      </w:r>
      <w:r w:rsidR="009517A9">
        <w:rPr>
          <w:bCs/>
          <w:iCs/>
          <w:szCs w:val="22"/>
          <w:lang w:val="el-GR"/>
        </w:rPr>
        <w:t>αναλογία</w:t>
      </w:r>
      <w:r w:rsidR="009517A9" w:rsidRPr="00A667BE">
        <w:rPr>
          <w:bCs/>
          <w:iCs/>
          <w:szCs w:val="22"/>
          <w:lang w:val="el-GR"/>
        </w:rPr>
        <w:t xml:space="preserve"> </w:t>
      </w:r>
      <w:r w:rsidR="009517A9">
        <w:rPr>
          <w:bCs/>
          <w:iCs/>
          <w:szCs w:val="22"/>
          <w:lang w:val="el-GR"/>
        </w:rPr>
        <w:t>περίπου</w:t>
      </w:r>
      <w:r w:rsidR="009517A9" w:rsidRPr="00A667BE">
        <w:rPr>
          <w:bCs/>
          <w:iCs/>
          <w:szCs w:val="22"/>
          <w:lang w:val="el-GR"/>
        </w:rPr>
        <w:t xml:space="preserve"> </w:t>
      </w:r>
      <w:r w:rsidR="00B8607D" w:rsidRPr="00A667BE">
        <w:rPr>
          <w:bCs/>
          <w:iCs/>
          <w:szCs w:val="22"/>
          <w:lang w:val="el-GR"/>
        </w:rPr>
        <w:t xml:space="preserve">2:3. </w:t>
      </w:r>
      <w:r w:rsidR="009517A9">
        <w:rPr>
          <w:bCs/>
          <w:iCs/>
          <w:szCs w:val="22"/>
          <w:lang w:val="el-GR"/>
        </w:rPr>
        <w:t>Το</w:t>
      </w:r>
      <w:r w:rsidR="009517A9" w:rsidRPr="009517A9">
        <w:rPr>
          <w:bCs/>
          <w:iCs/>
          <w:szCs w:val="22"/>
        </w:rPr>
        <w:t xml:space="preserve"> </w:t>
      </w:r>
      <w:r w:rsidR="009517A9">
        <w:rPr>
          <w:bCs/>
          <w:iCs/>
          <w:szCs w:val="22"/>
          <w:lang w:val="el-GR"/>
        </w:rPr>
        <w:t>δέρμα</w:t>
      </w:r>
      <w:r w:rsidR="009517A9" w:rsidRPr="009517A9">
        <w:rPr>
          <w:bCs/>
          <w:iCs/>
          <w:szCs w:val="22"/>
        </w:rPr>
        <w:t xml:space="preserve"> </w:t>
      </w:r>
      <w:r w:rsidR="009517A9">
        <w:rPr>
          <w:bCs/>
          <w:iCs/>
          <w:szCs w:val="22"/>
          <w:lang w:val="el-GR"/>
        </w:rPr>
        <w:t>που</w:t>
      </w:r>
      <w:r w:rsidR="009517A9" w:rsidRPr="009517A9">
        <w:rPr>
          <w:bCs/>
          <w:iCs/>
          <w:szCs w:val="22"/>
        </w:rPr>
        <w:t xml:space="preserve"> </w:t>
      </w:r>
      <w:r w:rsidR="009517A9">
        <w:rPr>
          <w:bCs/>
          <w:iCs/>
          <w:szCs w:val="22"/>
          <w:lang w:val="el-GR"/>
        </w:rPr>
        <w:t>εκτίθεται</w:t>
      </w:r>
      <w:r w:rsidR="009517A9" w:rsidRPr="009517A9">
        <w:rPr>
          <w:bCs/>
          <w:iCs/>
          <w:szCs w:val="22"/>
        </w:rPr>
        <w:t xml:space="preserve"> </w:t>
      </w:r>
      <w:r w:rsidR="009517A9">
        <w:rPr>
          <w:bCs/>
          <w:iCs/>
          <w:szCs w:val="22"/>
          <w:lang w:val="el-GR"/>
        </w:rPr>
        <w:t>στο</w:t>
      </w:r>
      <w:r w:rsidR="009517A9" w:rsidRPr="009517A9">
        <w:rPr>
          <w:bCs/>
          <w:iCs/>
          <w:szCs w:val="22"/>
        </w:rPr>
        <w:t xml:space="preserve"> </w:t>
      </w:r>
      <w:r w:rsidR="009517A9">
        <w:rPr>
          <w:bCs/>
          <w:iCs/>
          <w:szCs w:val="22"/>
          <w:lang w:val="el-GR"/>
        </w:rPr>
        <w:t>υπεριώδες</w:t>
      </w:r>
      <w:r w:rsidR="009517A9" w:rsidRPr="009517A9">
        <w:rPr>
          <w:bCs/>
          <w:iCs/>
          <w:szCs w:val="22"/>
        </w:rPr>
        <w:t xml:space="preserve"> </w:t>
      </w:r>
      <w:r w:rsidR="009517A9">
        <w:rPr>
          <w:bCs/>
          <w:iCs/>
          <w:szCs w:val="22"/>
          <w:lang w:val="el-GR"/>
        </w:rPr>
        <w:t>φως</w:t>
      </w:r>
      <w:r w:rsidR="009517A9" w:rsidRPr="009517A9">
        <w:rPr>
          <w:bCs/>
          <w:iCs/>
          <w:szCs w:val="22"/>
        </w:rPr>
        <w:t xml:space="preserve"> </w:t>
      </w:r>
      <w:r w:rsidR="009517A9">
        <w:rPr>
          <w:bCs/>
          <w:iCs/>
          <w:szCs w:val="22"/>
          <w:lang w:val="el-GR"/>
        </w:rPr>
        <w:t>συνθέτει</w:t>
      </w:r>
      <w:r w:rsidR="009517A9" w:rsidRPr="009517A9">
        <w:rPr>
          <w:bCs/>
          <w:iCs/>
          <w:szCs w:val="22"/>
        </w:rPr>
        <w:t xml:space="preserve"> </w:t>
      </w:r>
      <w:r w:rsidR="009517A9">
        <w:rPr>
          <w:bCs/>
          <w:iCs/>
          <w:szCs w:val="22"/>
          <w:lang w:val="el-GR"/>
        </w:rPr>
        <w:t>βιταμίνη</w:t>
      </w:r>
      <w:r w:rsidR="009517A9" w:rsidRPr="009517A9">
        <w:rPr>
          <w:bCs/>
          <w:iCs/>
          <w:szCs w:val="22"/>
        </w:rPr>
        <w:t xml:space="preserve"> </w:t>
      </w:r>
      <w:r w:rsidR="00B8607D" w:rsidRPr="00B8607D">
        <w:rPr>
          <w:bCs/>
          <w:iCs/>
          <w:szCs w:val="22"/>
        </w:rPr>
        <w:t>D</w:t>
      </w:r>
      <w:r w:rsidR="009517A9" w:rsidRPr="009517A9">
        <w:rPr>
          <w:bCs/>
          <w:iCs/>
          <w:szCs w:val="22"/>
        </w:rPr>
        <w:t xml:space="preserve"> </w:t>
      </w:r>
      <w:r w:rsidR="009517A9">
        <w:rPr>
          <w:bCs/>
          <w:iCs/>
          <w:szCs w:val="22"/>
          <w:lang w:val="el-GR"/>
        </w:rPr>
        <w:t>από</w:t>
      </w:r>
      <w:r w:rsidR="009517A9" w:rsidRPr="009517A9">
        <w:rPr>
          <w:bCs/>
          <w:iCs/>
          <w:szCs w:val="22"/>
        </w:rPr>
        <w:t xml:space="preserve"> </w:t>
      </w:r>
      <w:r w:rsidR="009517A9">
        <w:rPr>
          <w:bCs/>
          <w:iCs/>
          <w:szCs w:val="22"/>
          <w:lang w:val="el-GR"/>
        </w:rPr>
        <w:t>την</w:t>
      </w:r>
      <w:r w:rsidR="009517A9" w:rsidRPr="009517A9">
        <w:rPr>
          <w:bCs/>
          <w:iCs/>
          <w:szCs w:val="22"/>
        </w:rPr>
        <w:t xml:space="preserve"> </w:t>
      </w:r>
      <w:r w:rsidR="00B8607D" w:rsidRPr="009517A9">
        <w:rPr>
          <w:bCs/>
          <w:iCs/>
          <w:szCs w:val="22"/>
        </w:rPr>
        <w:t>7-</w:t>
      </w:r>
      <w:r w:rsidR="009517A9">
        <w:rPr>
          <w:bCs/>
          <w:iCs/>
          <w:szCs w:val="22"/>
          <w:lang w:val="el-GR"/>
        </w:rPr>
        <w:t>αφυδροχοληστερόλη</w:t>
      </w:r>
      <w:r w:rsidR="009517A9" w:rsidRPr="009517A9">
        <w:rPr>
          <w:bCs/>
          <w:iCs/>
          <w:szCs w:val="22"/>
        </w:rPr>
        <w:t xml:space="preserve"> (7-</w:t>
      </w:r>
      <w:r w:rsidR="00B8607D" w:rsidRPr="00B8607D">
        <w:rPr>
          <w:bCs/>
          <w:iCs/>
          <w:szCs w:val="22"/>
        </w:rPr>
        <w:t>dehydrocholesterol</w:t>
      </w:r>
      <w:r w:rsidR="009517A9" w:rsidRPr="009517A9">
        <w:rPr>
          <w:bCs/>
          <w:iCs/>
          <w:szCs w:val="22"/>
        </w:rPr>
        <w:t>)</w:t>
      </w:r>
      <w:r w:rsidR="00B8607D" w:rsidRPr="009517A9">
        <w:rPr>
          <w:bCs/>
          <w:iCs/>
          <w:szCs w:val="22"/>
        </w:rPr>
        <w:t xml:space="preserve">. </w:t>
      </w:r>
      <w:r w:rsidR="009517A9">
        <w:rPr>
          <w:bCs/>
          <w:iCs/>
          <w:szCs w:val="22"/>
          <w:lang w:val="el-GR"/>
        </w:rPr>
        <w:t>Η</w:t>
      </w:r>
      <w:r w:rsidR="009517A9" w:rsidRPr="009517A9">
        <w:rPr>
          <w:bCs/>
          <w:iCs/>
          <w:szCs w:val="22"/>
          <w:lang w:val="el-GR"/>
        </w:rPr>
        <w:t xml:space="preserve"> </w:t>
      </w:r>
      <w:r w:rsidR="009517A9">
        <w:rPr>
          <w:bCs/>
          <w:iCs/>
          <w:szCs w:val="22"/>
          <w:lang w:val="el-GR"/>
        </w:rPr>
        <w:t>βιταμίνη</w:t>
      </w:r>
      <w:r w:rsidR="009517A9" w:rsidRPr="009517A9">
        <w:rPr>
          <w:bCs/>
          <w:iCs/>
          <w:szCs w:val="22"/>
          <w:lang w:val="el-GR"/>
        </w:rPr>
        <w:t xml:space="preserve"> </w:t>
      </w:r>
      <w:r w:rsidR="00B8607D" w:rsidRPr="00B8607D">
        <w:rPr>
          <w:bCs/>
          <w:iCs/>
          <w:szCs w:val="22"/>
        </w:rPr>
        <w:t>D</w:t>
      </w:r>
      <w:r w:rsidR="009517A9" w:rsidRPr="009517A9">
        <w:rPr>
          <w:bCs/>
          <w:iCs/>
          <w:szCs w:val="22"/>
          <w:lang w:val="el-GR"/>
        </w:rPr>
        <w:t xml:space="preserve"> </w:t>
      </w:r>
      <w:r w:rsidR="009517A9">
        <w:rPr>
          <w:bCs/>
          <w:iCs/>
          <w:szCs w:val="22"/>
          <w:lang w:val="el-GR"/>
        </w:rPr>
        <w:t>μεταφέρεται</w:t>
      </w:r>
      <w:r w:rsidR="009517A9" w:rsidRPr="009517A9">
        <w:rPr>
          <w:bCs/>
          <w:iCs/>
          <w:szCs w:val="22"/>
          <w:lang w:val="el-GR"/>
        </w:rPr>
        <w:t xml:space="preserve"> </w:t>
      </w:r>
      <w:r w:rsidR="009517A9">
        <w:rPr>
          <w:bCs/>
          <w:iCs/>
          <w:szCs w:val="22"/>
          <w:lang w:val="el-GR"/>
        </w:rPr>
        <w:t>στο</w:t>
      </w:r>
      <w:r w:rsidR="009517A9" w:rsidRPr="009517A9">
        <w:rPr>
          <w:bCs/>
          <w:iCs/>
          <w:szCs w:val="22"/>
          <w:lang w:val="el-GR"/>
        </w:rPr>
        <w:t xml:space="preserve"> </w:t>
      </w:r>
      <w:r w:rsidR="009517A9">
        <w:rPr>
          <w:bCs/>
          <w:iCs/>
          <w:szCs w:val="22"/>
          <w:lang w:val="el-GR"/>
        </w:rPr>
        <w:t>ήπαρ</w:t>
      </w:r>
      <w:r w:rsidR="009517A9" w:rsidRPr="009517A9">
        <w:rPr>
          <w:bCs/>
          <w:iCs/>
          <w:szCs w:val="22"/>
          <w:lang w:val="el-GR"/>
        </w:rPr>
        <w:t xml:space="preserve"> </w:t>
      </w:r>
      <w:r w:rsidR="009517A9">
        <w:rPr>
          <w:bCs/>
          <w:iCs/>
          <w:szCs w:val="22"/>
          <w:lang w:val="el-GR"/>
        </w:rPr>
        <w:t>μέσω</w:t>
      </w:r>
      <w:r w:rsidR="00B8607D" w:rsidRPr="009517A9">
        <w:rPr>
          <w:bCs/>
          <w:iCs/>
          <w:szCs w:val="22"/>
          <w:lang w:val="el-GR"/>
        </w:rPr>
        <w:t xml:space="preserve"> </w:t>
      </w:r>
      <w:r w:rsidR="006E152E">
        <w:rPr>
          <w:bCs/>
          <w:iCs/>
          <w:szCs w:val="22"/>
          <w:lang w:val="el-GR"/>
        </w:rPr>
        <w:t>ειδικής πρωτεΐνης</w:t>
      </w:r>
      <w:r w:rsidR="009517A9">
        <w:rPr>
          <w:bCs/>
          <w:iCs/>
          <w:szCs w:val="22"/>
          <w:lang w:val="el-GR"/>
        </w:rPr>
        <w:t xml:space="preserve"> μεταφορέα.</w:t>
      </w:r>
      <w:r w:rsidR="00B8607D" w:rsidRPr="009517A9">
        <w:rPr>
          <w:bCs/>
          <w:iCs/>
          <w:szCs w:val="22"/>
          <w:lang w:val="el-GR"/>
        </w:rPr>
        <w:t xml:space="preserve"> </w:t>
      </w:r>
      <w:r w:rsidR="006E152E">
        <w:rPr>
          <w:bCs/>
          <w:iCs/>
          <w:szCs w:val="22"/>
          <w:lang w:val="el-GR"/>
        </w:rPr>
        <w:t>Στο</w:t>
      </w:r>
      <w:r w:rsidR="006E152E" w:rsidRPr="006E152E">
        <w:rPr>
          <w:bCs/>
          <w:iCs/>
          <w:szCs w:val="22"/>
          <w:lang w:val="el-GR"/>
        </w:rPr>
        <w:t xml:space="preserve"> </w:t>
      </w:r>
      <w:r w:rsidR="006E152E">
        <w:rPr>
          <w:bCs/>
          <w:iCs/>
          <w:szCs w:val="22"/>
          <w:lang w:val="el-GR"/>
        </w:rPr>
        <w:t>ήπαρ</w:t>
      </w:r>
      <w:r w:rsidR="006E152E" w:rsidRPr="006E152E">
        <w:rPr>
          <w:bCs/>
          <w:iCs/>
          <w:szCs w:val="22"/>
          <w:lang w:val="el-GR"/>
        </w:rPr>
        <w:t xml:space="preserve"> </w:t>
      </w:r>
      <w:r w:rsidR="006E152E">
        <w:rPr>
          <w:bCs/>
          <w:iCs/>
          <w:szCs w:val="22"/>
          <w:lang w:val="el-GR"/>
        </w:rPr>
        <w:t>μεταβολίζεται</w:t>
      </w:r>
      <w:r w:rsidR="006E152E" w:rsidRPr="006E152E">
        <w:rPr>
          <w:bCs/>
          <w:iCs/>
          <w:szCs w:val="22"/>
          <w:lang w:val="el-GR"/>
        </w:rPr>
        <w:t xml:space="preserve"> </w:t>
      </w:r>
      <w:r w:rsidR="006E152E">
        <w:rPr>
          <w:bCs/>
          <w:iCs/>
          <w:szCs w:val="22"/>
          <w:lang w:val="el-GR"/>
        </w:rPr>
        <w:t>από</w:t>
      </w:r>
      <w:r w:rsidR="006E152E" w:rsidRPr="006E152E">
        <w:rPr>
          <w:bCs/>
          <w:iCs/>
          <w:szCs w:val="22"/>
          <w:lang w:val="el-GR"/>
        </w:rPr>
        <w:t xml:space="preserve"> </w:t>
      </w:r>
      <w:r w:rsidR="006E152E">
        <w:rPr>
          <w:bCs/>
          <w:iCs/>
          <w:szCs w:val="22"/>
          <w:lang w:val="el-GR"/>
        </w:rPr>
        <w:t>μία</w:t>
      </w:r>
      <w:r w:rsidR="006E152E" w:rsidRPr="006E152E">
        <w:rPr>
          <w:bCs/>
          <w:iCs/>
          <w:szCs w:val="22"/>
          <w:lang w:val="el-GR"/>
        </w:rPr>
        <w:t xml:space="preserve"> </w:t>
      </w:r>
      <w:r w:rsidR="006E152E">
        <w:rPr>
          <w:bCs/>
          <w:iCs/>
          <w:szCs w:val="22"/>
          <w:lang w:val="el-GR"/>
        </w:rPr>
        <w:t>μικροσωμική</w:t>
      </w:r>
      <w:r w:rsidR="006E152E" w:rsidRPr="006E152E">
        <w:rPr>
          <w:bCs/>
          <w:iCs/>
          <w:szCs w:val="22"/>
          <w:lang w:val="el-GR"/>
        </w:rPr>
        <w:t xml:space="preserve"> </w:t>
      </w:r>
      <w:r w:rsidR="006E152E">
        <w:rPr>
          <w:bCs/>
          <w:iCs/>
          <w:szCs w:val="22"/>
          <w:lang w:val="el-GR"/>
        </w:rPr>
        <w:t>υδροξυλάση στην</w:t>
      </w:r>
      <w:r w:rsidR="00B8607D" w:rsidRPr="006E152E">
        <w:rPr>
          <w:bCs/>
          <w:iCs/>
          <w:szCs w:val="22"/>
          <w:lang w:val="el-GR"/>
        </w:rPr>
        <w:t xml:space="preserve"> 25- </w:t>
      </w:r>
      <w:r w:rsidR="006E152E">
        <w:rPr>
          <w:bCs/>
          <w:iCs/>
          <w:szCs w:val="22"/>
          <w:lang w:val="el-GR"/>
        </w:rPr>
        <w:t>υδροξυ</w:t>
      </w:r>
      <w:r w:rsidR="00E60E9A" w:rsidRPr="00E60E9A">
        <w:rPr>
          <w:bCs/>
          <w:iCs/>
          <w:szCs w:val="22"/>
          <w:lang w:val="el-GR"/>
        </w:rPr>
        <w:t>-</w:t>
      </w:r>
      <w:r w:rsidR="006E152E">
        <w:rPr>
          <w:bCs/>
          <w:iCs/>
          <w:szCs w:val="22"/>
          <w:lang w:val="el-GR"/>
        </w:rPr>
        <w:t>χοληκαλσιφερόλη</w:t>
      </w:r>
      <w:r w:rsidR="00B8607D" w:rsidRPr="006E152E">
        <w:rPr>
          <w:bCs/>
          <w:iCs/>
          <w:szCs w:val="22"/>
          <w:lang w:val="el-GR"/>
        </w:rPr>
        <w:t xml:space="preserve">. </w:t>
      </w:r>
      <w:r w:rsidR="006E152E">
        <w:rPr>
          <w:bCs/>
          <w:iCs/>
          <w:szCs w:val="22"/>
          <w:lang w:val="el-GR"/>
        </w:rPr>
        <w:t>Η</w:t>
      </w:r>
      <w:r w:rsidR="006E152E" w:rsidRPr="006E152E">
        <w:rPr>
          <w:bCs/>
          <w:iCs/>
          <w:szCs w:val="22"/>
          <w:lang w:val="el-GR"/>
        </w:rPr>
        <w:t xml:space="preserve"> </w:t>
      </w:r>
      <w:r w:rsidR="006E152E">
        <w:rPr>
          <w:bCs/>
          <w:iCs/>
          <w:szCs w:val="22"/>
          <w:lang w:val="el-GR"/>
        </w:rPr>
        <w:t>βιταμίνη</w:t>
      </w:r>
      <w:r w:rsidR="006E152E" w:rsidRPr="006E152E">
        <w:rPr>
          <w:bCs/>
          <w:iCs/>
          <w:szCs w:val="22"/>
          <w:lang w:val="el-GR"/>
        </w:rPr>
        <w:t xml:space="preserve"> </w:t>
      </w:r>
      <w:r w:rsidR="00B8607D" w:rsidRPr="00B8607D">
        <w:rPr>
          <w:bCs/>
          <w:iCs/>
          <w:szCs w:val="22"/>
        </w:rPr>
        <w:t>D</w:t>
      </w:r>
      <w:r w:rsidR="006E152E" w:rsidRPr="006E152E">
        <w:rPr>
          <w:bCs/>
          <w:iCs/>
          <w:szCs w:val="22"/>
          <w:lang w:val="el-GR"/>
        </w:rPr>
        <w:t xml:space="preserve"> </w:t>
      </w:r>
      <w:r w:rsidR="006E152E">
        <w:rPr>
          <w:bCs/>
          <w:iCs/>
          <w:szCs w:val="22"/>
          <w:lang w:val="el-GR"/>
        </w:rPr>
        <w:t>και</w:t>
      </w:r>
      <w:r w:rsidR="006E152E" w:rsidRPr="006E152E">
        <w:rPr>
          <w:bCs/>
          <w:iCs/>
          <w:szCs w:val="22"/>
          <w:lang w:val="el-GR"/>
        </w:rPr>
        <w:t xml:space="preserve"> </w:t>
      </w:r>
      <w:r w:rsidR="006E152E">
        <w:rPr>
          <w:bCs/>
          <w:iCs/>
          <w:szCs w:val="22"/>
          <w:lang w:val="el-GR"/>
        </w:rPr>
        <w:t>οι</w:t>
      </w:r>
      <w:r w:rsidR="006E152E" w:rsidRPr="006E152E">
        <w:rPr>
          <w:bCs/>
          <w:iCs/>
          <w:szCs w:val="22"/>
          <w:lang w:val="el-GR"/>
        </w:rPr>
        <w:t xml:space="preserve"> </w:t>
      </w:r>
      <w:r w:rsidR="006E152E">
        <w:rPr>
          <w:bCs/>
          <w:iCs/>
          <w:szCs w:val="22"/>
          <w:lang w:val="el-GR"/>
        </w:rPr>
        <w:t>μεταβολίτες</w:t>
      </w:r>
      <w:r w:rsidR="006E152E" w:rsidRPr="006E152E">
        <w:rPr>
          <w:bCs/>
          <w:iCs/>
          <w:szCs w:val="22"/>
          <w:lang w:val="el-GR"/>
        </w:rPr>
        <w:t xml:space="preserve"> </w:t>
      </w:r>
      <w:r w:rsidR="006E152E">
        <w:rPr>
          <w:bCs/>
          <w:iCs/>
          <w:szCs w:val="22"/>
          <w:lang w:val="el-GR"/>
        </w:rPr>
        <w:t>της</w:t>
      </w:r>
      <w:r w:rsidR="006E152E" w:rsidRPr="006E152E">
        <w:rPr>
          <w:bCs/>
          <w:iCs/>
          <w:szCs w:val="22"/>
          <w:lang w:val="el-GR"/>
        </w:rPr>
        <w:t xml:space="preserve"> </w:t>
      </w:r>
      <w:r w:rsidR="006E152E">
        <w:rPr>
          <w:bCs/>
          <w:iCs/>
          <w:szCs w:val="22"/>
          <w:lang w:val="el-GR"/>
        </w:rPr>
        <w:t xml:space="preserve">απεκκρίνονται μέσω της χολής και των κοπράνων. </w:t>
      </w:r>
    </w:p>
    <w:p w:rsidR="006E152E" w:rsidRPr="006E152E" w:rsidRDefault="006E152E" w:rsidP="00526ED7">
      <w:pPr>
        <w:jc w:val="both"/>
        <w:rPr>
          <w:bCs/>
          <w:iCs/>
          <w:szCs w:val="22"/>
          <w:lang w:val="el-GR"/>
        </w:rPr>
      </w:pPr>
    </w:p>
    <w:p w:rsidR="00B8607D" w:rsidRDefault="00FB03B8" w:rsidP="00526ED7">
      <w:pPr>
        <w:jc w:val="both"/>
        <w:rPr>
          <w:lang w:val="el-GR"/>
        </w:rPr>
      </w:pPr>
      <w:r>
        <w:rPr>
          <w:lang w:val="el-GR"/>
        </w:rPr>
        <w:t>Η</w:t>
      </w:r>
      <w:r w:rsidRPr="00FB03B8">
        <w:rPr>
          <w:lang w:val="el-GR"/>
        </w:rPr>
        <w:t xml:space="preserve"> </w:t>
      </w:r>
      <w:r>
        <w:rPr>
          <w:lang w:val="el-GR"/>
        </w:rPr>
        <w:t>βιταμίνη</w:t>
      </w:r>
      <w:r w:rsidRPr="00FB03B8">
        <w:rPr>
          <w:lang w:val="el-GR"/>
        </w:rPr>
        <w:t xml:space="preserve"> </w:t>
      </w:r>
      <w:r w:rsidR="00B8607D" w:rsidRPr="00B8607D">
        <w:t>D</w:t>
      </w:r>
      <w:r w:rsidRPr="00FB03B8">
        <w:rPr>
          <w:lang w:val="el-GR"/>
        </w:rPr>
        <w:t xml:space="preserve"> </w:t>
      </w:r>
      <w:r>
        <w:rPr>
          <w:lang w:val="el-GR"/>
        </w:rPr>
        <w:t>αποθηκεύεται</w:t>
      </w:r>
      <w:r w:rsidRPr="00FB03B8">
        <w:rPr>
          <w:lang w:val="el-GR"/>
        </w:rPr>
        <w:t xml:space="preserve"> </w:t>
      </w:r>
      <w:r>
        <w:rPr>
          <w:lang w:val="el-GR"/>
        </w:rPr>
        <w:t>στο</w:t>
      </w:r>
      <w:r w:rsidRPr="00FB03B8">
        <w:rPr>
          <w:lang w:val="el-GR"/>
        </w:rPr>
        <w:t xml:space="preserve"> </w:t>
      </w:r>
      <w:r w:rsidRPr="00AB16FE">
        <w:t>λιπώδη</w:t>
      </w:r>
      <w:r w:rsidRPr="00FB03B8">
        <w:rPr>
          <w:lang w:val="el-GR"/>
        </w:rPr>
        <w:t xml:space="preserve"> </w:t>
      </w:r>
      <w:r>
        <w:rPr>
          <w:lang w:val="el-GR"/>
        </w:rPr>
        <w:t>ιστό</w:t>
      </w:r>
      <w:r w:rsidRPr="00FB03B8">
        <w:rPr>
          <w:lang w:val="el-GR"/>
        </w:rPr>
        <w:t xml:space="preserve"> </w:t>
      </w:r>
      <w:r>
        <w:rPr>
          <w:lang w:val="el-GR"/>
        </w:rPr>
        <w:t>και</w:t>
      </w:r>
      <w:r w:rsidRPr="00FB03B8">
        <w:rPr>
          <w:lang w:val="el-GR"/>
        </w:rPr>
        <w:t xml:space="preserve"> </w:t>
      </w:r>
      <w:r>
        <w:rPr>
          <w:lang w:val="el-GR"/>
        </w:rPr>
        <w:t>ως</w:t>
      </w:r>
      <w:r w:rsidRPr="00FB03B8">
        <w:rPr>
          <w:lang w:val="el-GR"/>
        </w:rPr>
        <w:t xml:space="preserve"> </w:t>
      </w:r>
      <w:r>
        <w:rPr>
          <w:lang w:val="el-GR"/>
        </w:rPr>
        <w:t>εκ</w:t>
      </w:r>
      <w:r w:rsidRPr="00FB03B8">
        <w:rPr>
          <w:lang w:val="el-GR"/>
        </w:rPr>
        <w:t xml:space="preserve"> </w:t>
      </w:r>
      <w:r>
        <w:rPr>
          <w:lang w:val="el-GR"/>
        </w:rPr>
        <w:t>τούτου</w:t>
      </w:r>
      <w:r w:rsidRPr="00FB03B8">
        <w:rPr>
          <w:lang w:val="el-GR"/>
        </w:rPr>
        <w:t xml:space="preserve"> </w:t>
      </w:r>
      <w:r>
        <w:rPr>
          <w:lang w:val="el-GR"/>
        </w:rPr>
        <w:t>έχει</w:t>
      </w:r>
      <w:r w:rsidRPr="00FB03B8">
        <w:rPr>
          <w:lang w:val="el-GR"/>
        </w:rPr>
        <w:t xml:space="preserve"> </w:t>
      </w:r>
      <w:r>
        <w:rPr>
          <w:lang w:val="el-GR"/>
        </w:rPr>
        <w:t>μακρύ</w:t>
      </w:r>
      <w:r w:rsidRPr="00FB03B8">
        <w:rPr>
          <w:lang w:val="el-GR"/>
        </w:rPr>
        <w:t xml:space="preserve"> </w:t>
      </w:r>
      <w:r>
        <w:rPr>
          <w:lang w:val="el-GR"/>
        </w:rPr>
        <w:t>βιολογικό</w:t>
      </w:r>
      <w:r w:rsidRPr="00FB03B8">
        <w:rPr>
          <w:lang w:val="el-GR"/>
        </w:rPr>
        <w:t xml:space="preserve"> </w:t>
      </w:r>
      <w:r>
        <w:rPr>
          <w:lang w:val="el-GR"/>
        </w:rPr>
        <w:t>χρόνο ημίσειας ζωής</w:t>
      </w:r>
      <w:r w:rsidR="00B8607D" w:rsidRPr="00FB03B8">
        <w:rPr>
          <w:lang w:val="el-GR"/>
        </w:rPr>
        <w:t>.</w:t>
      </w:r>
      <w:r>
        <w:rPr>
          <w:lang w:val="el-GR"/>
        </w:rPr>
        <w:t xml:space="preserve"> Μετά</w:t>
      </w:r>
      <w:r w:rsidRPr="00FB03B8">
        <w:rPr>
          <w:lang w:val="el-GR"/>
        </w:rPr>
        <w:t xml:space="preserve"> </w:t>
      </w:r>
      <w:r>
        <w:rPr>
          <w:lang w:val="el-GR"/>
        </w:rPr>
        <w:t>από</w:t>
      </w:r>
      <w:r w:rsidRPr="00FB03B8">
        <w:rPr>
          <w:lang w:val="el-GR"/>
        </w:rPr>
        <w:t xml:space="preserve"> </w:t>
      </w:r>
      <w:r>
        <w:rPr>
          <w:lang w:val="el-GR"/>
        </w:rPr>
        <w:t>υψηλές</w:t>
      </w:r>
      <w:r w:rsidRPr="00FB03B8">
        <w:rPr>
          <w:lang w:val="el-GR"/>
        </w:rPr>
        <w:t xml:space="preserve"> </w:t>
      </w:r>
      <w:r>
        <w:rPr>
          <w:lang w:val="el-GR"/>
        </w:rPr>
        <w:t>δόσεις</w:t>
      </w:r>
      <w:r w:rsidRPr="00FB03B8">
        <w:rPr>
          <w:lang w:val="el-GR"/>
        </w:rPr>
        <w:t xml:space="preserve"> </w:t>
      </w:r>
      <w:r>
        <w:rPr>
          <w:lang w:val="el-GR"/>
        </w:rPr>
        <w:t>βιταμίνης</w:t>
      </w:r>
      <w:r w:rsidRPr="00FB03B8">
        <w:rPr>
          <w:lang w:val="el-GR"/>
        </w:rPr>
        <w:t xml:space="preserve"> </w:t>
      </w:r>
      <w:r w:rsidR="00B8607D" w:rsidRPr="00B8607D">
        <w:t>D</w:t>
      </w:r>
      <w:r w:rsidRPr="00FB03B8">
        <w:rPr>
          <w:lang w:val="el-GR"/>
        </w:rPr>
        <w:t xml:space="preserve">, </w:t>
      </w:r>
      <w:r>
        <w:rPr>
          <w:lang w:val="el-GR"/>
        </w:rPr>
        <w:t>η</w:t>
      </w:r>
      <w:r w:rsidRPr="00FB03B8">
        <w:rPr>
          <w:lang w:val="el-GR"/>
        </w:rPr>
        <w:t xml:space="preserve"> </w:t>
      </w:r>
      <w:r>
        <w:rPr>
          <w:lang w:val="el-GR"/>
        </w:rPr>
        <w:t>συγκέντρωση</w:t>
      </w:r>
      <w:r w:rsidRPr="00FB03B8">
        <w:rPr>
          <w:lang w:val="el-GR"/>
        </w:rPr>
        <w:t xml:space="preserve"> </w:t>
      </w:r>
      <w:r>
        <w:rPr>
          <w:lang w:val="el-GR"/>
        </w:rPr>
        <w:t>της</w:t>
      </w:r>
      <w:r w:rsidRPr="00FB03B8">
        <w:rPr>
          <w:lang w:val="el-GR"/>
        </w:rPr>
        <w:t xml:space="preserve"> </w:t>
      </w:r>
      <w:r w:rsidR="00B8607D" w:rsidRPr="00FB03B8">
        <w:rPr>
          <w:lang w:val="el-GR"/>
        </w:rPr>
        <w:t>25-</w:t>
      </w:r>
      <w:r>
        <w:rPr>
          <w:lang w:val="el-GR"/>
        </w:rPr>
        <w:t>υδροξυ</w:t>
      </w:r>
      <w:r w:rsidR="00E60E9A" w:rsidRPr="00E60E9A">
        <w:rPr>
          <w:lang w:val="el-GR"/>
        </w:rPr>
        <w:t>-</w:t>
      </w:r>
      <w:r>
        <w:rPr>
          <w:lang w:val="el-GR"/>
        </w:rPr>
        <w:t>βιταμίνης</w:t>
      </w:r>
      <w:r w:rsidRPr="00FB03B8">
        <w:rPr>
          <w:lang w:val="el-GR"/>
        </w:rPr>
        <w:t xml:space="preserve"> </w:t>
      </w:r>
      <w:r w:rsidR="00B8607D" w:rsidRPr="00B8607D">
        <w:t>D</w:t>
      </w:r>
      <w:r w:rsidRPr="00FB03B8">
        <w:rPr>
          <w:lang w:val="el-GR"/>
        </w:rPr>
        <w:t xml:space="preserve">  </w:t>
      </w:r>
      <w:r>
        <w:rPr>
          <w:lang w:val="el-GR"/>
        </w:rPr>
        <w:t>στον</w:t>
      </w:r>
      <w:r w:rsidRPr="00FB03B8">
        <w:rPr>
          <w:lang w:val="el-GR"/>
        </w:rPr>
        <w:t xml:space="preserve"> </w:t>
      </w:r>
      <w:r>
        <w:rPr>
          <w:lang w:val="el-GR"/>
        </w:rPr>
        <w:t>ορό μπορεί να αυξηθεί για αρκετούς μήνες. Η</w:t>
      </w:r>
      <w:r w:rsidRPr="00FB03B8">
        <w:rPr>
          <w:lang w:val="el-GR"/>
        </w:rPr>
        <w:t xml:space="preserve"> </w:t>
      </w:r>
      <w:r>
        <w:rPr>
          <w:lang w:val="el-GR"/>
        </w:rPr>
        <w:t>υπερασβεστιαιμία</w:t>
      </w:r>
      <w:r w:rsidRPr="00FB03B8">
        <w:rPr>
          <w:lang w:val="el-GR"/>
        </w:rPr>
        <w:t xml:space="preserve"> </w:t>
      </w:r>
      <w:r>
        <w:rPr>
          <w:lang w:val="el-GR"/>
        </w:rPr>
        <w:t>εξαιτίας</w:t>
      </w:r>
      <w:r w:rsidRPr="00FB03B8">
        <w:rPr>
          <w:lang w:val="el-GR"/>
        </w:rPr>
        <w:t xml:space="preserve"> </w:t>
      </w:r>
      <w:r>
        <w:rPr>
          <w:lang w:val="el-GR"/>
        </w:rPr>
        <w:t>υπερδοσολογίας</w:t>
      </w:r>
      <w:r w:rsidRPr="00FB03B8">
        <w:rPr>
          <w:lang w:val="el-GR"/>
        </w:rPr>
        <w:t xml:space="preserve"> </w:t>
      </w:r>
      <w:r>
        <w:rPr>
          <w:lang w:val="el-GR"/>
        </w:rPr>
        <w:t>μπορεί</w:t>
      </w:r>
      <w:r w:rsidRPr="00FB03B8">
        <w:rPr>
          <w:lang w:val="el-GR"/>
        </w:rPr>
        <w:t xml:space="preserve"> </w:t>
      </w:r>
      <w:r>
        <w:rPr>
          <w:lang w:val="el-GR"/>
        </w:rPr>
        <w:t>να</w:t>
      </w:r>
      <w:r w:rsidRPr="00FB03B8">
        <w:rPr>
          <w:lang w:val="el-GR"/>
        </w:rPr>
        <w:t xml:space="preserve"> </w:t>
      </w:r>
      <w:r w:rsidR="003C1EF2">
        <w:rPr>
          <w:lang w:val="el-GR"/>
        </w:rPr>
        <w:t>επιμείνει για αρκετές εβδομάδες</w:t>
      </w:r>
      <w:r>
        <w:rPr>
          <w:lang w:val="el-GR"/>
        </w:rPr>
        <w:t xml:space="preserve"> </w:t>
      </w:r>
      <w:r w:rsidRPr="003C1EF2">
        <w:rPr>
          <w:lang w:val="el-GR"/>
        </w:rPr>
        <w:t>(</w:t>
      </w:r>
      <w:r>
        <w:rPr>
          <w:lang w:val="el-GR"/>
        </w:rPr>
        <w:t>βλέπε</w:t>
      </w:r>
      <w:r w:rsidRPr="003C1EF2">
        <w:rPr>
          <w:lang w:val="el-GR"/>
        </w:rPr>
        <w:t xml:space="preserve"> </w:t>
      </w:r>
      <w:r>
        <w:rPr>
          <w:lang w:val="el-GR"/>
        </w:rPr>
        <w:t>παράγραφο</w:t>
      </w:r>
      <w:r w:rsidRPr="003C1EF2">
        <w:rPr>
          <w:lang w:val="el-GR"/>
        </w:rPr>
        <w:t xml:space="preserve"> 4.9 «</w:t>
      </w:r>
      <w:r>
        <w:rPr>
          <w:lang w:val="el-GR"/>
        </w:rPr>
        <w:t>Υπερδοσολογία</w:t>
      </w:r>
      <w:r w:rsidRPr="003C1EF2">
        <w:rPr>
          <w:lang w:val="el-GR"/>
        </w:rPr>
        <w:t xml:space="preserve">»). </w:t>
      </w:r>
    </w:p>
    <w:p w:rsidR="001D5C4B" w:rsidRPr="001D5C4B" w:rsidRDefault="001D5C4B" w:rsidP="00526ED7">
      <w:pPr>
        <w:jc w:val="both"/>
        <w:rPr>
          <w:bCs/>
          <w:iCs/>
          <w:szCs w:val="22"/>
          <w:lang w:val="el-GR"/>
        </w:rPr>
      </w:pPr>
    </w:p>
    <w:p w:rsidR="001D29E6" w:rsidRPr="00015C0E" w:rsidRDefault="001D29E6" w:rsidP="00526ED7">
      <w:pPr>
        <w:ind w:left="567" w:hanging="567"/>
        <w:jc w:val="both"/>
        <w:outlineLvl w:val="0"/>
        <w:rPr>
          <w:lang w:val="en-US"/>
        </w:rPr>
      </w:pPr>
      <w:r w:rsidRPr="00015C0E">
        <w:rPr>
          <w:b/>
          <w:lang w:val="en-US"/>
        </w:rPr>
        <w:t>5.3</w:t>
      </w:r>
      <w:r w:rsidRPr="00015C0E">
        <w:rPr>
          <w:b/>
          <w:lang w:val="en-US"/>
        </w:rPr>
        <w:tab/>
      </w:r>
      <w:r w:rsidR="00015C0E" w:rsidRPr="00015C0E">
        <w:rPr>
          <w:b/>
          <w:lang w:val="el-GR"/>
        </w:rPr>
        <w:t>Προκλινικά</w:t>
      </w:r>
      <w:r w:rsidR="00015C0E" w:rsidRPr="00015C0E">
        <w:rPr>
          <w:b/>
          <w:lang w:val="en-US"/>
        </w:rPr>
        <w:t xml:space="preserve"> </w:t>
      </w:r>
      <w:r w:rsidR="00015C0E" w:rsidRPr="00015C0E">
        <w:rPr>
          <w:b/>
          <w:lang w:val="el-GR"/>
        </w:rPr>
        <w:t>δεδομένα</w:t>
      </w:r>
      <w:r w:rsidR="00015C0E" w:rsidRPr="00015C0E">
        <w:rPr>
          <w:b/>
          <w:lang w:val="en-US"/>
        </w:rPr>
        <w:t xml:space="preserve"> </w:t>
      </w:r>
      <w:r w:rsidR="00015C0E" w:rsidRPr="00015C0E">
        <w:rPr>
          <w:b/>
          <w:lang w:val="el-GR"/>
        </w:rPr>
        <w:t>για</w:t>
      </w:r>
      <w:r w:rsidR="00015C0E" w:rsidRPr="00015C0E">
        <w:rPr>
          <w:b/>
          <w:lang w:val="en-US"/>
        </w:rPr>
        <w:t xml:space="preserve"> </w:t>
      </w:r>
      <w:r w:rsidR="00015C0E" w:rsidRPr="00015C0E">
        <w:rPr>
          <w:b/>
          <w:lang w:val="el-GR"/>
        </w:rPr>
        <w:t>την</w:t>
      </w:r>
      <w:r w:rsidR="00015C0E" w:rsidRPr="00015C0E">
        <w:rPr>
          <w:b/>
          <w:lang w:val="en-US"/>
        </w:rPr>
        <w:t xml:space="preserve"> </w:t>
      </w:r>
      <w:r w:rsidR="00015C0E" w:rsidRPr="00015C0E">
        <w:rPr>
          <w:b/>
          <w:lang w:val="el-GR"/>
        </w:rPr>
        <w:t>ασφάλεια</w:t>
      </w:r>
    </w:p>
    <w:p w:rsidR="001D29E6" w:rsidRPr="00015C0E" w:rsidRDefault="001D29E6" w:rsidP="00526ED7">
      <w:pPr>
        <w:jc w:val="both"/>
        <w:rPr>
          <w:lang w:val="en-US"/>
        </w:rPr>
      </w:pPr>
    </w:p>
    <w:p w:rsidR="00C53ACC" w:rsidRPr="00015C0E" w:rsidRDefault="00015C0E" w:rsidP="00526ED7">
      <w:pPr>
        <w:jc w:val="both"/>
        <w:rPr>
          <w:lang w:val="el-GR"/>
        </w:rPr>
      </w:pPr>
      <w:r>
        <w:rPr>
          <w:lang w:val="el-GR"/>
        </w:rPr>
        <w:t>Δεν</w:t>
      </w:r>
      <w:r w:rsidRPr="00015C0E">
        <w:rPr>
          <w:lang w:val="el-GR"/>
        </w:rPr>
        <w:t xml:space="preserve"> </w:t>
      </w:r>
      <w:r>
        <w:rPr>
          <w:lang w:val="el-GR"/>
        </w:rPr>
        <w:t>υπάρχουν</w:t>
      </w:r>
      <w:r w:rsidRPr="00015C0E">
        <w:rPr>
          <w:lang w:val="el-GR"/>
        </w:rPr>
        <w:t xml:space="preserve"> </w:t>
      </w:r>
      <w:r>
        <w:rPr>
          <w:lang w:val="el-GR"/>
        </w:rPr>
        <w:t>περαιτέρω</w:t>
      </w:r>
      <w:r w:rsidRPr="00015C0E">
        <w:rPr>
          <w:lang w:val="el-GR"/>
        </w:rPr>
        <w:t xml:space="preserve"> </w:t>
      </w:r>
      <w:r>
        <w:rPr>
          <w:lang w:val="el-GR"/>
        </w:rPr>
        <w:t>ειδικοί</w:t>
      </w:r>
      <w:r w:rsidRPr="00015C0E">
        <w:rPr>
          <w:lang w:val="el-GR"/>
        </w:rPr>
        <w:t xml:space="preserve"> </w:t>
      </w:r>
      <w:r>
        <w:rPr>
          <w:lang w:val="el-GR"/>
        </w:rPr>
        <w:t>τοξικολογικοί</w:t>
      </w:r>
      <w:r w:rsidRPr="00015C0E">
        <w:rPr>
          <w:lang w:val="el-GR"/>
        </w:rPr>
        <w:t xml:space="preserve"> </w:t>
      </w:r>
      <w:r w:rsidR="00A667BE">
        <w:rPr>
          <w:lang w:val="el-GR"/>
        </w:rPr>
        <w:t>κίνδυνοι</w:t>
      </w:r>
      <w:r w:rsidRPr="00015C0E">
        <w:rPr>
          <w:lang w:val="el-GR"/>
        </w:rPr>
        <w:t xml:space="preserve"> </w:t>
      </w:r>
      <w:r>
        <w:rPr>
          <w:lang w:val="el-GR"/>
        </w:rPr>
        <w:t>για</w:t>
      </w:r>
      <w:r w:rsidRPr="00015C0E">
        <w:rPr>
          <w:lang w:val="el-GR"/>
        </w:rPr>
        <w:t xml:space="preserve"> </w:t>
      </w:r>
      <w:r>
        <w:rPr>
          <w:lang w:val="el-GR"/>
        </w:rPr>
        <w:t>τον</w:t>
      </w:r>
      <w:r w:rsidRPr="00015C0E">
        <w:rPr>
          <w:lang w:val="el-GR"/>
        </w:rPr>
        <w:t xml:space="preserve"> </w:t>
      </w:r>
      <w:r>
        <w:rPr>
          <w:lang w:val="el-GR"/>
        </w:rPr>
        <w:t>άθρωπο</w:t>
      </w:r>
      <w:r w:rsidRPr="00015C0E">
        <w:rPr>
          <w:lang w:val="el-GR"/>
        </w:rPr>
        <w:t xml:space="preserve"> </w:t>
      </w:r>
      <w:r>
        <w:rPr>
          <w:lang w:val="el-GR"/>
        </w:rPr>
        <w:t>εκτός</w:t>
      </w:r>
      <w:r w:rsidRPr="00015C0E">
        <w:rPr>
          <w:lang w:val="el-GR"/>
        </w:rPr>
        <w:t xml:space="preserve"> </w:t>
      </w:r>
      <w:r>
        <w:rPr>
          <w:lang w:val="el-GR"/>
        </w:rPr>
        <w:t>από</w:t>
      </w:r>
      <w:r w:rsidRPr="00015C0E">
        <w:rPr>
          <w:lang w:val="el-GR"/>
        </w:rPr>
        <w:t xml:space="preserve"> </w:t>
      </w:r>
      <w:r>
        <w:rPr>
          <w:lang w:val="el-GR"/>
        </w:rPr>
        <w:t>εκείνους</w:t>
      </w:r>
      <w:r w:rsidRPr="00015C0E">
        <w:rPr>
          <w:lang w:val="el-GR"/>
        </w:rPr>
        <w:t xml:space="preserve"> </w:t>
      </w:r>
      <w:r>
        <w:rPr>
          <w:lang w:val="el-GR"/>
        </w:rPr>
        <w:t>που</w:t>
      </w:r>
      <w:r w:rsidRPr="00015C0E">
        <w:rPr>
          <w:lang w:val="el-GR"/>
        </w:rPr>
        <w:t xml:space="preserve"> </w:t>
      </w:r>
      <w:r>
        <w:rPr>
          <w:lang w:val="el-GR"/>
        </w:rPr>
        <w:t>αναφέρονται</w:t>
      </w:r>
      <w:r w:rsidRPr="00015C0E">
        <w:rPr>
          <w:lang w:val="el-GR"/>
        </w:rPr>
        <w:t xml:space="preserve"> </w:t>
      </w:r>
      <w:r w:rsidR="00DD4CCE">
        <w:rPr>
          <w:lang w:val="el-GR"/>
        </w:rPr>
        <w:t>στην</w:t>
      </w:r>
      <w:r w:rsidRPr="00015C0E">
        <w:rPr>
          <w:lang w:val="el-GR"/>
        </w:rPr>
        <w:t xml:space="preserve"> </w:t>
      </w:r>
      <w:r w:rsidR="00D56E0A">
        <w:rPr>
          <w:lang w:val="el-GR"/>
        </w:rPr>
        <w:t>ΠΧΠ, σ</w:t>
      </w:r>
      <w:r>
        <w:rPr>
          <w:lang w:val="el-GR"/>
        </w:rPr>
        <w:t>τις</w:t>
      </w:r>
      <w:r w:rsidRPr="00015C0E">
        <w:rPr>
          <w:lang w:val="el-GR"/>
        </w:rPr>
        <w:t xml:space="preserve"> </w:t>
      </w:r>
      <w:r>
        <w:rPr>
          <w:lang w:val="el-GR"/>
        </w:rPr>
        <w:t xml:space="preserve">παραγράφους </w:t>
      </w:r>
      <w:r w:rsidRPr="00015C0E">
        <w:rPr>
          <w:lang w:val="el-GR"/>
        </w:rPr>
        <w:t xml:space="preserve">4.6 </w:t>
      </w:r>
      <w:r>
        <w:rPr>
          <w:lang w:val="el-GR"/>
        </w:rPr>
        <w:t xml:space="preserve">«Κύηση </w:t>
      </w:r>
      <w:r w:rsidRPr="00015C0E">
        <w:rPr>
          <w:lang w:val="el-GR"/>
        </w:rPr>
        <w:t>και γαλουχία»</w:t>
      </w:r>
      <w:r>
        <w:rPr>
          <w:lang w:val="el-GR"/>
        </w:rPr>
        <w:t xml:space="preserve"> και </w:t>
      </w:r>
      <w:r w:rsidR="00B8607D" w:rsidRPr="00015C0E">
        <w:rPr>
          <w:lang w:val="el-GR"/>
        </w:rPr>
        <w:t>4.9</w:t>
      </w:r>
      <w:r>
        <w:rPr>
          <w:lang w:val="el-GR"/>
        </w:rPr>
        <w:t xml:space="preserve"> «Υπερδοσολογία»</w:t>
      </w:r>
      <w:r w:rsidR="00B8607D" w:rsidRPr="00015C0E">
        <w:rPr>
          <w:lang w:val="el-GR"/>
        </w:rPr>
        <w:t>.</w:t>
      </w:r>
    </w:p>
    <w:p w:rsidR="001D29E6" w:rsidRPr="00015C0E" w:rsidRDefault="001D29E6" w:rsidP="00526ED7">
      <w:pPr>
        <w:jc w:val="both"/>
        <w:rPr>
          <w:b/>
          <w:lang w:val="el-GR"/>
        </w:rPr>
      </w:pPr>
    </w:p>
    <w:p w:rsidR="001D29E6" w:rsidRPr="00015C0E" w:rsidRDefault="001D29E6" w:rsidP="00526ED7">
      <w:pPr>
        <w:jc w:val="both"/>
        <w:rPr>
          <w:b/>
          <w:lang w:val="el-GR"/>
        </w:rPr>
      </w:pPr>
    </w:p>
    <w:p w:rsidR="001D29E6" w:rsidRDefault="001D29E6" w:rsidP="00526ED7">
      <w:pPr>
        <w:ind w:left="567" w:hanging="567"/>
        <w:jc w:val="both"/>
        <w:outlineLvl w:val="0"/>
        <w:rPr>
          <w:b/>
          <w:lang w:val="el-GR"/>
        </w:rPr>
      </w:pPr>
      <w:r>
        <w:rPr>
          <w:b/>
        </w:rPr>
        <w:t>6.</w:t>
      </w:r>
      <w:r>
        <w:rPr>
          <w:b/>
        </w:rPr>
        <w:tab/>
      </w:r>
      <w:r w:rsidR="004372C8" w:rsidRPr="00786D07">
        <w:rPr>
          <w:b/>
        </w:rPr>
        <w:t>ΦΑΡΜΑΚΕΥΤΙΚΕΣ ΠΛΗΡΟΦΟΡΙΕΣ</w:t>
      </w:r>
      <w:r w:rsidR="004372C8">
        <w:rPr>
          <w:b/>
        </w:rPr>
        <w:t xml:space="preserve"> </w:t>
      </w:r>
    </w:p>
    <w:p w:rsidR="001D29E6" w:rsidRDefault="001D29E6" w:rsidP="00526ED7">
      <w:pPr>
        <w:jc w:val="both"/>
        <w:rPr>
          <w:b/>
        </w:rPr>
      </w:pPr>
    </w:p>
    <w:p w:rsidR="001D29E6" w:rsidRPr="004D3A9B" w:rsidRDefault="001D29E6" w:rsidP="00526ED7">
      <w:pPr>
        <w:ind w:left="567" w:hanging="567"/>
        <w:jc w:val="both"/>
        <w:outlineLvl w:val="0"/>
        <w:rPr>
          <w:b/>
          <w:lang w:val="el-GR"/>
        </w:rPr>
      </w:pPr>
      <w:r w:rsidRPr="004D3A9B">
        <w:rPr>
          <w:b/>
          <w:lang w:val="el-GR"/>
        </w:rPr>
        <w:t>6.1</w:t>
      </w:r>
      <w:r w:rsidRPr="004D3A9B">
        <w:rPr>
          <w:b/>
          <w:lang w:val="el-GR"/>
        </w:rPr>
        <w:tab/>
      </w:r>
      <w:r w:rsidR="00A667BE">
        <w:rPr>
          <w:b/>
          <w:lang w:val="el-GR"/>
        </w:rPr>
        <w:t>Κατάλογος εκδόχων</w:t>
      </w:r>
      <w:r w:rsidR="00141001" w:rsidRPr="004D3A9B">
        <w:rPr>
          <w:b/>
          <w:lang w:val="el-GR"/>
        </w:rPr>
        <w:t xml:space="preserve"> </w:t>
      </w:r>
    </w:p>
    <w:p w:rsidR="001D29E6" w:rsidRPr="004D3A9B" w:rsidRDefault="001D29E6" w:rsidP="00526ED7">
      <w:pPr>
        <w:jc w:val="both"/>
        <w:rPr>
          <w:lang w:val="el-GR"/>
        </w:rPr>
      </w:pPr>
    </w:p>
    <w:p w:rsidR="00B8607D" w:rsidRPr="000774A5" w:rsidRDefault="000774A5" w:rsidP="00526ED7">
      <w:pPr>
        <w:jc w:val="both"/>
        <w:rPr>
          <w:lang w:val="el-GR"/>
        </w:rPr>
      </w:pPr>
      <w:r>
        <w:rPr>
          <w:noProof/>
          <w:lang w:val="el-GR"/>
        </w:rPr>
        <w:t>Οξική</w:t>
      </w:r>
      <w:r w:rsidRPr="004D3A9B">
        <w:rPr>
          <w:noProof/>
          <w:lang w:val="el-GR"/>
        </w:rPr>
        <w:t xml:space="preserve"> </w:t>
      </w:r>
      <w:r>
        <w:rPr>
          <w:noProof/>
          <w:lang w:val="el-GR"/>
        </w:rPr>
        <w:t>τοκοφερόλη</w:t>
      </w:r>
      <w:r>
        <w:rPr>
          <w:lang w:val="el-GR"/>
        </w:rPr>
        <w:t>,</w:t>
      </w:r>
    </w:p>
    <w:p w:rsidR="00B8607D" w:rsidRPr="004D3A9B" w:rsidRDefault="004D3A9B" w:rsidP="00526ED7">
      <w:pPr>
        <w:jc w:val="both"/>
        <w:rPr>
          <w:lang w:val="el-GR"/>
        </w:rPr>
      </w:pPr>
      <w:r>
        <w:rPr>
          <w:szCs w:val="22"/>
          <w:lang w:val="el-GR"/>
        </w:rPr>
        <w:t xml:space="preserve">Πολυγλυκερίδια λιπαρών οξέων </w:t>
      </w:r>
      <w:r w:rsidR="00B8607D" w:rsidRPr="004D3A9B">
        <w:rPr>
          <w:lang w:val="el-GR"/>
        </w:rPr>
        <w:t>(</w:t>
      </w:r>
      <w:r w:rsidR="00B8607D" w:rsidRPr="00F453EA">
        <w:t>E</w:t>
      </w:r>
      <w:r w:rsidR="00B8607D" w:rsidRPr="004D3A9B">
        <w:rPr>
          <w:lang w:val="el-GR"/>
        </w:rPr>
        <w:t>475),</w:t>
      </w:r>
    </w:p>
    <w:p w:rsidR="00B8607D" w:rsidRPr="00F453EA" w:rsidRDefault="00F07898" w:rsidP="00526ED7">
      <w:pPr>
        <w:jc w:val="both"/>
      </w:pPr>
      <w:r>
        <w:rPr>
          <w:lang w:val="el-GR"/>
        </w:rPr>
        <w:t>Ελαιόλαδο</w:t>
      </w:r>
      <w:r w:rsidRPr="00F07898">
        <w:rPr>
          <w:lang w:val="en-US"/>
        </w:rPr>
        <w:t xml:space="preserve">, </w:t>
      </w:r>
      <w:r>
        <w:rPr>
          <w:lang w:val="el-GR"/>
        </w:rPr>
        <w:t>ραφιναρισμένο</w:t>
      </w:r>
      <w:r w:rsidR="00B8607D" w:rsidRPr="00F453EA">
        <w:t>,</w:t>
      </w:r>
    </w:p>
    <w:p w:rsidR="001D29E6" w:rsidRPr="00F07898" w:rsidRDefault="00F07898" w:rsidP="00526ED7">
      <w:pPr>
        <w:jc w:val="both"/>
        <w:rPr>
          <w:lang w:val="el-GR"/>
        </w:rPr>
      </w:pPr>
      <w:r>
        <w:rPr>
          <w:lang w:val="el-GR"/>
        </w:rPr>
        <w:t>Έλαιο</w:t>
      </w:r>
      <w:r w:rsidRPr="00691F05">
        <w:rPr>
          <w:lang w:val="el-GR"/>
        </w:rPr>
        <w:t xml:space="preserve"> </w:t>
      </w:r>
      <w:r>
        <w:rPr>
          <w:lang w:val="el-GR"/>
        </w:rPr>
        <w:t>φλοιού</w:t>
      </w:r>
      <w:r w:rsidRPr="00691F05">
        <w:rPr>
          <w:lang w:val="el-GR"/>
        </w:rPr>
        <w:t xml:space="preserve"> </w:t>
      </w:r>
      <w:r>
        <w:rPr>
          <w:lang w:val="el-GR"/>
        </w:rPr>
        <w:t>πορτοκαλιού</w:t>
      </w:r>
      <w:r w:rsidRPr="00691F05">
        <w:rPr>
          <w:lang w:val="el-GR"/>
        </w:rPr>
        <w:t>.</w:t>
      </w:r>
    </w:p>
    <w:p w:rsidR="00B8607D" w:rsidRPr="00691F05" w:rsidRDefault="00B8607D" w:rsidP="00526ED7">
      <w:pPr>
        <w:jc w:val="both"/>
        <w:rPr>
          <w:lang w:val="el-GR"/>
        </w:rPr>
      </w:pPr>
    </w:p>
    <w:p w:rsidR="00691F05" w:rsidRPr="00691F05" w:rsidRDefault="001D29E6" w:rsidP="00526ED7">
      <w:pPr>
        <w:ind w:left="567" w:hanging="567"/>
        <w:jc w:val="both"/>
        <w:outlineLvl w:val="0"/>
        <w:rPr>
          <w:b/>
          <w:lang w:val="el-GR"/>
        </w:rPr>
      </w:pPr>
      <w:r w:rsidRPr="00691F05">
        <w:rPr>
          <w:b/>
          <w:lang w:val="el-GR"/>
        </w:rPr>
        <w:t>6.2</w:t>
      </w:r>
      <w:r w:rsidRPr="00691F05">
        <w:rPr>
          <w:b/>
          <w:lang w:val="el-GR"/>
        </w:rPr>
        <w:tab/>
      </w:r>
      <w:r w:rsidR="00691F05" w:rsidRPr="00691F05">
        <w:rPr>
          <w:b/>
          <w:lang w:val="el-GR"/>
        </w:rPr>
        <w:t>Ασυμβατότητες</w:t>
      </w:r>
    </w:p>
    <w:p w:rsidR="00691F05" w:rsidRPr="00691F05" w:rsidRDefault="00691F05" w:rsidP="00526ED7">
      <w:pPr>
        <w:ind w:left="567" w:hanging="567"/>
        <w:jc w:val="both"/>
        <w:outlineLvl w:val="0"/>
        <w:rPr>
          <w:b/>
          <w:lang w:val="el-GR"/>
        </w:rPr>
      </w:pPr>
    </w:p>
    <w:p w:rsidR="001D29E6" w:rsidRPr="00691F05" w:rsidRDefault="00691F05" w:rsidP="00526ED7">
      <w:pPr>
        <w:ind w:left="567" w:hanging="567"/>
        <w:jc w:val="both"/>
        <w:outlineLvl w:val="0"/>
        <w:rPr>
          <w:lang w:val="el-GR"/>
        </w:rPr>
      </w:pPr>
      <w:r>
        <w:rPr>
          <w:lang w:val="el-GR"/>
        </w:rPr>
        <w:t>Δεν εφαρμόζεται.</w:t>
      </w:r>
    </w:p>
    <w:p w:rsidR="001D29E6" w:rsidRPr="00691F05" w:rsidRDefault="001D29E6" w:rsidP="00526ED7">
      <w:pPr>
        <w:jc w:val="both"/>
        <w:rPr>
          <w:lang w:val="el-GR"/>
        </w:rPr>
      </w:pPr>
    </w:p>
    <w:p w:rsidR="001D29E6" w:rsidRDefault="001D29E6" w:rsidP="00526ED7">
      <w:pPr>
        <w:ind w:left="567" w:hanging="567"/>
        <w:jc w:val="both"/>
        <w:outlineLvl w:val="0"/>
        <w:rPr>
          <w:b/>
          <w:lang w:val="el-GR"/>
        </w:rPr>
      </w:pPr>
      <w:r w:rsidRPr="009B502E">
        <w:rPr>
          <w:b/>
          <w:lang w:val="el-GR"/>
        </w:rPr>
        <w:t>6.3</w:t>
      </w:r>
      <w:r w:rsidRPr="009B502E">
        <w:rPr>
          <w:b/>
          <w:lang w:val="el-GR"/>
        </w:rPr>
        <w:tab/>
      </w:r>
      <w:r w:rsidR="009B502E" w:rsidRPr="009B502E">
        <w:rPr>
          <w:b/>
          <w:lang w:val="el-GR"/>
        </w:rPr>
        <w:t>Διάρκεια ζωής</w:t>
      </w:r>
    </w:p>
    <w:p w:rsidR="009B502E" w:rsidRPr="009B502E" w:rsidRDefault="009B502E" w:rsidP="00526ED7">
      <w:pPr>
        <w:ind w:left="567" w:hanging="567"/>
        <w:jc w:val="both"/>
        <w:outlineLvl w:val="0"/>
        <w:rPr>
          <w:lang w:val="el-GR"/>
        </w:rPr>
      </w:pPr>
    </w:p>
    <w:p w:rsidR="001D29E6" w:rsidRPr="00C90DFA" w:rsidRDefault="003E41FD" w:rsidP="00526ED7">
      <w:pPr>
        <w:jc w:val="both"/>
        <w:rPr>
          <w:lang w:val="el-GR"/>
        </w:rPr>
      </w:pPr>
      <w:r w:rsidRPr="00C90DFA">
        <w:rPr>
          <w:lang w:val="en-US"/>
        </w:rPr>
        <w:t>3</w:t>
      </w:r>
      <w:r w:rsidR="001D29E6" w:rsidRPr="00C90DFA">
        <w:rPr>
          <w:lang w:val="el-GR"/>
        </w:rPr>
        <w:t xml:space="preserve"> </w:t>
      </w:r>
      <w:r w:rsidR="001B5718" w:rsidRPr="00C90DFA">
        <w:rPr>
          <w:lang w:val="el-GR"/>
        </w:rPr>
        <w:t>έτη</w:t>
      </w:r>
    </w:p>
    <w:p w:rsidR="001D29E6" w:rsidRPr="009B502E" w:rsidRDefault="001D29E6" w:rsidP="00526ED7">
      <w:pPr>
        <w:jc w:val="both"/>
        <w:rPr>
          <w:b/>
          <w:lang w:val="el-GR"/>
        </w:rPr>
      </w:pPr>
    </w:p>
    <w:p w:rsidR="001D29E6" w:rsidRPr="00CB1CE5" w:rsidRDefault="001D29E6" w:rsidP="00526ED7">
      <w:pPr>
        <w:ind w:left="567" w:hanging="567"/>
        <w:jc w:val="both"/>
        <w:outlineLvl w:val="0"/>
        <w:rPr>
          <w:b/>
          <w:lang w:val="el-GR"/>
        </w:rPr>
      </w:pPr>
      <w:r w:rsidRPr="00CB1CE5">
        <w:rPr>
          <w:b/>
          <w:lang w:val="el-GR"/>
        </w:rPr>
        <w:t>6.4</w:t>
      </w:r>
      <w:r w:rsidRPr="00CB1CE5">
        <w:rPr>
          <w:b/>
          <w:lang w:val="el-GR"/>
        </w:rPr>
        <w:tab/>
      </w:r>
      <w:r w:rsidR="00CB1CE5" w:rsidRPr="00CB1CE5">
        <w:rPr>
          <w:b/>
          <w:lang w:val="el-GR"/>
        </w:rPr>
        <w:t>Ιδιαίτερες προφυλάξεις κατά την φύλαξη του προϊόντος</w:t>
      </w:r>
    </w:p>
    <w:p w:rsidR="00E95B6A" w:rsidRPr="00CB1CE5" w:rsidRDefault="00E95B6A" w:rsidP="00526ED7">
      <w:pPr>
        <w:jc w:val="both"/>
        <w:rPr>
          <w:lang w:val="el-GR"/>
        </w:rPr>
      </w:pPr>
    </w:p>
    <w:p w:rsidR="006A1335" w:rsidRPr="00937910" w:rsidRDefault="006A1335" w:rsidP="00526ED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el-GR"/>
        </w:rPr>
      </w:pPr>
      <w:r w:rsidRPr="00937910">
        <w:rPr>
          <w:szCs w:val="22"/>
          <w:lang w:val="el-GR"/>
        </w:rPr>
        <w:t xml:space="preserve">Μη φυλάσσετε πάνω από </w:t>
      </w:r>
      <w:r w:rsidRPr="00937910">
        <w:rPr>
          <w:noProof/>
          <w:lang w:val="el-GR"/>
        </w:rPr>
        <w:t>30°</w:t>
      </w:r>
      <w:r w:rsidRPr="0061242C">
        <w:rPr>
          <w:noProof/>
        </w:rPr>
        <w:t>C</w:t>
      </w:r>
      <w:r w:rsidRPr="00937910">
        <w:rPr>
          <w:noProof/>
          <w:lang w:val="el-GR"/>
        </w:rPr>
        <w:t>.</w:t>
      </w:r>
    </w:p>
    <w:p w:rsidR="001D29E6" w:rsidRDefault="001F00D9" w:rsidP="00526ED7">
      <w:pPr>
        <w:jc w:val="both"/>
        <w:rPr>
          <w:lang w:val="el-GR"/>
        </w:rPr>
      </w:pPr>
      <w:r w:rsidRPr="001F00D9">
        <w:rPr>
          <w:lang w:val="el-GR"/>
        </w:rPr>
        <w:t>Φυλάσσετε στην αρχική συσκευασία για να προστατεύεται από το φως</w:t>
      </w:r>
      <w:r>
        <w:rPr>
          <w:lang w:val="el-GR"/>
        </w:rPr>
        <w:t>.</w:t>
      </w:r>
    </w:p>
    <w:p w:rsidR="001F00D9" w:rsidRPr="001F00D9" w:rsidRDefault="001F00D9" w:rsidP="00526ED7">
      <w:pPr>
        <w:jc w:val="both"/>
        <w:rPr>
          <w:lang w:val="el-GR"/>
        </w:rPr>
      </w:pPr>
    </w:p>
    <w:p w:rsidR="001D29E6" w:rsidRDefault="007A6701" w:rsidP="00526ED7">
      <w:pPr>
        <w:numPr>
          <w:ilvl w:val="1"/>
          <w:numId w:val="11"/>
        </w:numPr>
        <w:jc w:val="both"/>
        <w:outlineLvl w:val="0"/>
        <w:rPr>
          <w:b/>
        </w:rPr>
      </w:pPr>
      <w:r>
        <w:rPr>
          <w:b/>
          <w:lang w:val="el-GR"/>
        </w:rPr>
        <w:t>Φύση και συστατικά του περιέκτη</w:t>
      </w:r>
    </w:p>
    <w:p w:rsidR="001D29E6" w:rsidRDefault="001D29E6" w:rsidP="00526ED7">
      <w:pPr>
        <w:jc w:val="both"/>
      </w:pPr>
    </w:p>
    <w:p w:rsidR="00F453EA" w:rsidRPr="00F453EA" w:rsidRDefault="007A6701" w:rsidP="00526ED7">
      <w:pPr>
        <w:jc w:val="both"/>
        <w:rPr>
          <w:lang w:val="fr-BE"/>
        </w:rPr>
      </w:pPr>
      <w:r>
        <w:rPr>
          <w:lang w:val="el-GR"/>
        </w:rPr>
        <w:t>Διαφανείς</w:t>
      </w:r>
      <w:r w:rsidR="00A83116">
        <w:rPr>
          <w:lang w:val="el-GR"/>
        </w:rPr>
        <w:t xml:space="preserve"> </w:t>
      </w:r>
      <w:r w:rsidR="0055770E">
        <w:rPr>
          <w:lang w:val="el-GR"/>
        </w:rPr>
        <w:t>φύσιγγες</w:t>
      </w:r>
      <w:r w:rsidR="00A83116">
        <w:rPr>
          <w:lang w:val="el-GR"/>
        </w:rPr>
        <w:t xml:space="preserve"> από </w:t>
      </w:r>
      <w:r w:rsidR="00F453EA" w:rsidRPr="00F453EA">
        <w:rPr>
          <w:lang w:val="fr-BE"/>
        </w:rPr>
        <w:t>PVC/PVD</w:t>
      </w:r>
      <w:r w:rsidR="00FD78CA">
        <w:rPr>
          <w:lang w:val="fr-BE"/>
        </w:rPr>
        <w:t>C</w:t>
      </w:r>
      <w:r w:rsidR="00A83116">
        <w:rPr>
          <w:lang w:val="fr-BE"/>
        </w:rPr>
        <w:t>/PE</w:t>
      </w:r>
      <w:r w:rsidR="00F453EA" w:rsidRPr="00F453EA">
        <w:rPr>
          <w:lang w:val="fr-BE"/>
        </w:rPr>
        <w:t>.</w:t>
      </w:r>
    </w:p>
    <w:p w:rsidR="00F453EA" w:rsidRPr="005A6F92" w:rsidRDefault="005A6F92" w:rsidP="00526ED7">
      <w:pPr>
        <w:jc w:val="both"/>
        <w:rPr>
          <w:lang w:val="el-GR"/>
        </w:rPr>
      </w:pPr>
      <w:r>
        <w:rPr>
          <w:lang w:val="el-GR"/>
        </w:rPr>
        <w:t xml:space="preserve">Αρχική Συσκευασία με </w:t>
      </w:r>
      <w:r w:rsidR="00F453EA" w:rsidRPr="005A6F92">
        <w:rPr>
          <w:lang w:val="el-GR"/>
        </w:rPr>
        <w:t>1</w:t>
      </w:r>
      <w:r>
        <w:rPr>
          <w:lang w:val="el-GR"/>
        </w:rPr>
        <w:t xml:space="preserve"> </w:t>
      </w:r>
      <w:r w:rsidR="00883DB7">
        <w:rPr>
          <w:lang w:val="el-GR"/>
        </w:rPr>
        <w:t>φύσιγγα</w:t>
      </w:r>
      <w:r>
        <w:rPr>
          <w:lang w:val="el-GR"/>
        </w:rPr>
        <w:t xml:space="preserve">. </w:t>
      </w:r>
    </w:p>
    <w:p w:rsidR="00AA5D5F" w:rsidRDefault="005A6F92" w:rsidP="00526ED7">
      <w:pPr>
        <w:jc w:val="both"/>
        <w:rPr>
          <w:lang w:val="en-US"/>
        </w:rPr>
      </w:pPr>
      <w:r>
        <w:rPr>
          <w:lang w:val="el-GR"/>
        </w:rPr>
        <w:t xml:space="preserve">Αρχική Συσκευασία με </w:t>
      </w:r>
      <w:r w:rsidR="00641FA5" w:rsidRPr="005A6F92">
        <w:rPr>
          <w:lang w:val="el-GR"/>
        </w:rPr>
        <w:t xml:space="preserve">2 </w:t>
      </w:r>
      <w:r w:rsidR="00883DB7">
        <w:rPr>
          <w:lang w:val="el-GR"/>
        </w:rPr>
        <w:t>φύσιγγες</w:t>
      </w:r>
      <w:r>
        <w:rPr>
          <w:lang w:val="el-GR"/>
        </w:rPr>
        <w:t>.</w:t>
      </w:r>
    </w:p>
    <w:p w:rsidR="00AA5D5F" w:rsidRPr="00AA5D5F" w:rsidRDefault="00AA5D5F" w:rsidP="00526ED7">
      <w:pPr>
        <w:jc w:val="both"/>
        <w:rPr>
          <w:color w:val="FF0000"/>
          <w:lang w:val="en-US"/>
        </w:rPr>
      </w:pPr>
      <w:r w:rsidRPr="00C90DFA">
        <w:rPr>
          <w:lang w:val="el-GR"/>
        </w:rPr>
        <w:t>Αρχική Συσκευασία με 3 φύσιγγες</w:t>
      </w:r>
      <w:r w:rsidRPr="00614057">
        <w:rPr>
          <w:color w:val="FF0000"/>
          <w:lang w:val="el-GR"/>
        </w:rPr>
        <w:t>.</w:t>
      </w:r>
    </w:p>
    <w:p w:rsidR="00F453EA" w:rsidRPr="00614057" w:rsidRDefault="005A6F92" w:rsidP="00526ED7">
      <w:pPr>
        <w:jc w:val="both"/>
        <w:rPr>
          <w:lang w:val="el-GR"/>
        </w:rPr>
      </w:pPr>
      <w:r>
        <w:rPr>
          <w:lang w:val="el-GR"/>
        </w:rPr>
        <w:t>Αρχική</w:t>
      </w:r>
      <w:r w:rsidRPr="00614057">
        <w:rPr>
          <w:lang w:val="el-GR"/>
        </w:rPr>
        <w:t xml:space="preserve"> </w:t>
      </w:r>
      <w:r>
        <w:rPr>
          <w:lang w:val="el-GR"/>
        </w:rPr>
        <w:t>Συσκευασία</w:t>
      </w:r>
      <w:r w:rsidRPr="00614057">
        <w:rPr>
          <w:lang w:val="el-GR"/>
        </w:rPr>
        <w:t xml:space="preserve"> </w:t>
      </w:r>
      <w:r>
        <w:rPr>
          <w:lang w:val="el-GR"/>
        </w:rPr>
        <w:t>με</w:t>
      </w:r>
      <w:r w:rsidRPr="00614057">
        <w:rPr>
          <w:lang w:val="el-GR"/>
        </w:rPr>
        <w:t xml:space="preserve"> </w:t>
      </w:r>
      <w:r w:rsidR="00641FA5" w:rsidRPr="00614057">
        <w:rPr>
          <w:lang w:val="el-GR"/>
        </w:rPr>
        <w:t>4</w:t>
      </w:r>
      <w:r w:rsidR="00F453EA" w:rsidRPr="00614057">
        <w:rPr>
          <w:lang w:val="el-GR"/>
        </w:rPr>
        <w:t xml:space="preserve"> </w:t>
      </w:r>
      <w:r w:rsidR="00883DB7">
        <w:rPr>
          <w:lang w:val="el-GR"/>
        </w:rPr>
        <w:t>φύσιγγες</w:t>
      </w:r>
      <w:r w:rsidR="00F453EA" w:rsidRPr="00614057">
        <w:rPr>
          <w:lang w:val="el-GR"/>
        </w:rPr>
        <w:t>.</w:t>
      </w:r>
    </w:p>
    <w:p w:rsidR="00F453EA" w:rsidRPr="00480075" w:rsidRDefault="005A6F92" w:rsidP="00526ED7">
      <w:pPr>
        <w:jc w:val="both"/>
        <w:rPr>
          <w:lang w:val="el-GR"/>
        </w:rPr>
      </w:pPr>
      <w:r>
        <w:rPr>
          <w:lang w:val="el-GR"/>
        </w:rPr>
        <w:t>Δείγμα</w:t>
      </w:r>
      <w:r w:rsidRPr="00480075">
        <w:rPr>
          <w:lang w:val="el-GR"/>
        </w:rPr>
        <w:t xml:space="preserve"> </w:t>
      </w:r>
      <w:r w:rsidR="00BB6E0B">
        <w:rPr>
          <w:lang w:val="el-GR"/>
        </w:rPr>
        <w:t>- όχι προς πώληση -</w:t>
      </w:r>
      <w:r w:rsidRPr="00480075">
        <w:rPr>
          <w:lang w:val="el-GR"/>
        </w:rPr>
        <w:t xml:space="preserve"> </w:t>
      </w:r>
      <w:r>
        <w:rPr>
          <w:lang w:val="el-GR"/>
        </w:rPr>
        <w:t>με</w:t>
      </w:r>
      <w:r w:rsidRPr="00480075">
        <w:rPr>
          <w:lang w:val="el-GR"/>
        </w:rPr>
        <w:t xml:space="preserve"> </w:t>
      </w:r>
      <w:r w:rsidR="00F453EA" w:rsidRPr="00480075">
        <w:rPr>
          <w:lang w:val="el-GR"/>
        </w:rPr>
        <w:t xml:space="preserve">1 </w:t>
      </w:r>
      <w:r w:rsidR="00883DB7">
        <w:rPr>
          <w:lang w:val="el-GR"/>
        </w:rPr>
        <w:t>φύσιγγα</w:t>
      </w:r>
      <w:r w:rsidRPr="00480075">
        <w:rPr>
          <w:lang w:val="el-GR"/>
        </w:rPr>
        <w:t xml:space="preserve">. </w:t>
      </w:r>
    </w:p>
    <w:p w:rsidR="00F453EA" w:rsidRPr="00480075" w:rsidRDefault="00F453EA" w:rsidP="00526ED7">
      <w:pPr>
        <w:jc w:val="both"/>
        <w:rPr>
          <w:lang w:val="el-GR"/>
        </w:rPr>
      </w:pPr>
    </w:p>
    <w:p w:rsidR="001D29E6" w:rsidRPr="001B5F10" w:rsidRDefault="00480075" w:rsidP="00526ED7">
      <w:pPr>
        <w:jc w:val="both"/>
        <w:outlineLvl w:val="0"/>
        <w:rPr>
          <w:lang w:val="el-GR"/>
        </w:rPr>
      </w:pPr>
      <w:r w:rsidRPr="001B5F10">
        <w:rPr>
          <w:lang w:val="el-GR"/>
        </w:rPr>
        <w:t>Μπορεί να μη κυκλοφορούν όλες οι συσκευασίες</w:t>
      </w:r>
      <w:r w:rsidR="001D29E6" w:rsidRPr="001B5F10">
        <w:rPr>
          <w:lang w:val="el-GR"/>
        </w:rPr>
        <w:t>.</w:t>
      </w:r>
    </w:p>
    <w:p w:rsidR="001D29E6" w:rsidRPr="001B5F10" w:rsidRDefault="001D29E6" w:rsidP="00526ED7">
      <w:pPr>
        <w:jc w:val="both"/>
        <w:rPr>
          <w:lang w:val="el-GR"/>
        </w:rPr>
      </w:pPr>
    </w:p>
    <w:p w:rsidR="001D29E6" w:rsidRPr="001B5F10" w:rsidRDefault="001D29E6" w:rsidP="00526ED7">
      <w:pPr>
        <w:jc w:val="both"/>
        <w:rPr>
          <w:lang w:val="el-GR"/>
        </w:rPr>
      </w:pPr>
    </w:p>
    <w:p w:rsidR="001D29E6" w:rsidRDefault="001B5F10" w:rsidP="00526ED7">
      <w:pPr>
        <w:ind w:left="567" w:hanging="567"/>
        <w:jc w:val="both"/>
        <w:outlineLvl w:val="0"/>
        <w:rPr>
          <w:b/>
          <w:lang w:val="el-GR"/>
        </w:rPr>
      </w:pPr>
      <w:r>
        <w:rPr>
          <w:b/>
        </w:rPr>
        <w:t>6.6</w:t>
      </w:r>
      <w:r>
        <w:rPr>
          <w:b/>
        </w:rPr>
        <w:tab/>
      </w:r>
      <w:r w:rsidRPr="00786D07">
        <w:rPr>
          <w:b/>
          <w:noProof/>
        </w:rPr>
        <w:t>Ιδι</w:t>
      </w:r>
      <w:r>
        <w:rPr>
          <w:b/>
          <w:noProof/>
        </w:rPr>
        <w:t xml:space="preserve">αίτερες προφυλάξεις απόρριψης </w:t>
      </w:r>
      <w:r w:rsidRPr="00786D07">
        <w:rPr>
          <w:b/>
          <w:noProof/>
        </w:rPr>
        <w:t>και άλλος χειρισμός</w:t>
      </w:r>
      <w:r>
        <w:rPr>
          <w:b/>
        </w:rPr>
        <w:t xml:space="preserve"> </w:t>
      </w:r>
    </w:p>
    <w:p w:rsidR="001B5F10" w:rsidRPr="001B5F10" w:rsidRDefault="001B5F10" w:rsidP="00526ED7">
      <w:pPr>
        <w:ind w:left="567" w:hanging="567"/>
        <w:jc w:val="both"/>
        <w:outlineLvl w:val="0"/>
        <w:rPr>
          <w:lang w:val="el-GR"/>
        </w:rPr>
      </w:pPr>
    </w:p>
    <w:p w:rsidR="001D29E6" w:rsidRDefault="007A6701" w:rsidP="00526ED7">
      <w:pPr>
        <w:jc w:val="both"/>
        <w:outlineLvl w:val="0"/>
      </w:pPr>
      <w:r>
        <w:rPr>
          <w:lang w:val="el-GR"/>
        </w:rPr>
        <w:t>Καμία ειδική υποχρέωση</w:t>
      </w:r>
      <w:r w:rsidR="00810B77" w:rsidRPr="00810B77">
        <w:rPr>
          <w:lang w:val="en-US"/>
        </w:rPr>
        <w:t>.</w:t>
      </w:r>
      <w:r w:rsidR="00810B77">
        <w:rPr>
          <w:lang w:val="el-GR"/>
        </w:rPr>
        <w:t xml:space="preserve"> </w:t>
      </w:r>
    </w:p>
    <w:p w:rsidR="001D29E6" w:rsidRDefault="000460F6" w:rsidP="00526ED7">
      <w:pPr>
        <w:jc w:val="both"/>
      </w:pPr>
      <w:r w:rsidRPr="00F00B37">
        <w:rPr>
          <w:lang w:val="el-GR"/>
        </w:rPr>
        <w:t xml:space="preserve">Κάθε αχρησιμοποίητο </w:t>
      </w:r>
      <w:r>
        <w:rPr>
          <w:lang w:val="el-GR"/>
        </w:rPr>
        <w:t>προ</w:t>
      </w:r>
      <w:r w:rsidR="00F00B37">
        <w:rPr>
          <w:lang w:val="el-GR"/>
        </w:rPr>
        <w:t>ϊ</w:t>
      </w:r>
      <w:r>
        <w:rPr>
          <w:lang w:val="el-GR"/>
        </w:rPr>
        <w:t>όν</w:t>
      </w:r>
      <w:r w:rsidR="00F00B37" w:rsidRPr="00F00B37">
        <w:rPr>
          <w:lang w:val="el-GR"/>
        </w:rPr>
        <w:t xml:space="preserve"> ή υπόλειμμα πρέπει να απορρίπτεται σύμφωνα με τις κατά τόπους ισχύουσες σχετικές διατάξεις</w:t>
      </w:r>
      <w:r w:rsidR="00F00B37">
        <w:rPr>
          <w:lang w:val="el-GR"/>
        </w:rPr>
        <w:t xml:space="preserve">. </w:t>
      </w:r>
      <w:r w:rsidRPr="00F00B37">
        <w:rPr>
          <w:lang w:val="el-GR"/>
        </w:rPr>
        <w:t xml:space="preserve"> </w:t>
      </w:r>
    </w:p>
    <w:p w:rsidR="001D29E6" w:rsidRDefault="001D29E6" w:rsidP="00526ED7">
      <w:pPr>
        <w:jc w:val="both"/>
      </w:pPr>
    </w:p>
    <w:p w:rsidR="00B96671" w:rsidRPr="00786D07" w:rsidRDefault="001D29E6" w:rsidP="00526ED7">
      <w:pPr>
        <w:jc w:val="both"/>
      </w:pPr>
      <w:r w:rsidRPr="005F111A">
        <w:rPr>
          <w:b/>
          <w:lang w:val="fr-BE"/>
        </w:rPr>
        <w:t>7.</w:t>
      </w:r>
      <w:r w:rsidRPr="005F111A">
        <w:rPr>
          <w:b/>
          <w:lang w:val="fr-BE"/>
        </w:rPr>
        <w:tab/>
      </w:r>
      <w:r w:rsidR="00B96671" w:rsidRPr="00786D07">
        <w:rPr>
          <w:b/>
        </w:rPr>
        <w:t>ΚΑΤΟΧΟΣ ΤΗΣ ΑΔΕΙΑΣ ΚΥΚΛΟΦΟΡΙΑΣ</w:t>
      </w:r>
    </w:p>
    <w:p w:rsidR="001D29E6" w:rsidRPr="005F111A" w:rsidRDefault="001D29E6" w:rsidP="00526ED7">
      <w:pPr>
        <w:jc w:val="both"/>
        <w:rPr>
          <w:lang w:val="fr-BE"/>
        </w:rPr>
      </w:pPr>
    </w:p>
    <w:p w:rsidR="004738A8" w:rsidRDefault="004738A8" w:rsidP="00526ED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lang w:val="fr-BE"/>
        </w:rPr>
      </w:pPr>
      <w:r>
        <w:rPr>
          <w:lang w:val="fr-BE"/>
        </w:rPr>
        <w:t>RAFARM AEBE</w:t>
      </w:r>
    </w:p>
    <w:p w:rsidR="004738A8" w:rsidRPr="004738A8" w:rsidRDefault="004738A8" w:rsidP="00526ED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lang w:val="fr-BE"/>
        </w:rPr>
      </w:pPr>
      <w:r>
        <w:rPr>
          <w:lang w:val="el-GR"/>
        </w:rPr>
        <w:t>Κορίνθου</w:t>
      </w:r>
      <w:r w:rsidRPr="004738A8">
        <w:rPr>
          <w:lang w:val="fr-BE"/>
        </w:rPr>
        <w:t xml:space="preserve"> 12, </w:t>
      </w:r>
      <w:r>
        <w:rPr>
          <w:lang w:val="el-GR"/>
        </w:rPr>
        <w:t>ΤΚ</w:t>
      </w:r>
      <w:r w:rsidRPr="004738A8">
        <w:rPr>
          <w:lang w:val="fr-BE"/>
        </w:rPr>
        <w:t xml:space="preserve"> 15451, </w:t>
      </w:r>
      <w:r>
        <w:rPr>
          <w:lang w:val="el-GR"/>
        </w:rPr>
        <w:t>Ν</w:t>
      </w:r>
      <w:r w:rsidRPr="004738A8">
        <w:rPr>
          <w:lang w:val="fr-BE"/>
        </w:rPr>
        <w:t>.</w:t>
      </w:r>
      <w:r>
        <w:rPr>
          <w:lang w:val="el-GR"/>
        </w:rPr>
        <w:t>Ψυχικό</w:t>
      </w:r>
      <w:r w:rsidRPr="004738A8">
        <w:rPr>
          <w:lang w:val="fr-BE"/>
        </w:rPr>
        <w:t xml:space="preserve">, </w:t>
      </w:r>
      <w:r>
        <w:rPr>
          <w:lang w:val="el-GR"/>
        </w:rPr>
        <w:t>Αθήνα</w:t>
      </w:r>
    </w:p>
    <w:p w:rsidR="004738A8" w:rsidRPr="00896EDE" w:rsidRDefault="004738A8" w:rsidP="00526ED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lang w:val="el-GR"/>
        </w:rPr>
      </w:pPr>
      <w:r>
        <w:rPr>
          <w:lang w:val="el-GR"/>
        </w:rPr>
        <w:t>Τηλέφωνο</w:t>
      </w:r>
      <w:r w:rsidRPr="00896EDE">
        <w:rPr>
          <w:lang w:val="el-GR"/>
        </w:rPr>
        <w:t xml:space="preserve"> </w:t>
      </w:r>
      <w:r>
        <w:rPr>
          <w:lang w:val="el-GR"/>
        </w:rPr>
        <w:t>210 67 76 550</w:t>
      </w:r>
    </w:p>
    <w:p w:rsidR="004738A8" w:rsidRPr="00896EDE" w:rsidRDefault="004738A8" w:rsidP="00526ED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lang w:val="el-GR"/>
        </w:rPr>
      </w:pPr>
      <w:r>
        <w:rPr>
          <w:lang w:val="el-GR"/>
        </w:rPr>
        <w:t>Φαξ</w:t>
      </w:r>
      <w:r>
        <w:t xml:space="preserve"> </w:t>
      </w:r>
      <w:r>
        <w:rPr>
          <w:lang w:val="el-GR"/>
        </w:rPr>
        <w:t>210 67 76 552</w:t>
      </w:r>
    </w:p>
    <w:p w:rsidR="001D29E6" w:rsidRPr="00AB16FE" w:rsidRDefault="001D29E6" w:rsidP="00526ED7">
      <w:pPr>
        <w:jc w:val="both"/>
      </w:pPr>
    </w:p>
    <w:p w:rsidR="00F453EA" w:rsidRPr="00DC7744" w:rsidRDefault="00F453EA" w:rsidP="00526ED7">
      <w:pPr>
        <w:jc w:val="both"/>
        <w:rPr>
          <w:lang w:val="el-GR"/>
        </w:rPr>
      </w:pPr>
    </w:p>
    <w:p w:rsidR="001D29E6" w:rsidRPr="00DC7744" w:rsidRDefault="001D29E6" w:rsidP="00526ED7">
      <w:pPr>
        <w:ind w:left="567" w:hanging="567"/>
        <w:jc w:val="both"/>
        <w:outlineLvl w:val="0"/>
        <w:rPr>
          <w:b/>
          <w:lang w:val="el-GR"/>
        </w:rPr>
      </w:pPr>
      <w:r w:rsidRPr="00DC7744">
        <w:rPr>
          <w:b/>
          <w:lang w:val="el-GR"/>
        </w:rPr>
        <w:t>8.</w:t>
      </w:r>
      <w:r w:rsidRPr="00DC7744">
        <w:rPr>
          <w:b/>
          <w:lang w:val="el-GR"/>
        </w:rPr>
        <w:tab/>
      </w:r>
      <w:r w:rsidR="00B96671" w:rsidRPr="00DC7744">
        <w:rPr>
          <w:b/>
          <w:lang w:val="el-GR"/>
        </w:rPr>
        <w:t>ΑΡΙΘΜΟΣ(ΟΙ) ΑΔΕΙΑΣ ΚΥΚΛΟΦΟΡΙΑΣ</w:t>
      </w:r>
      <w:r w:rsidRPr="00DC7744">
        <w:rPr>
          <w:b/>
          <w:lang w:val="el-GR"/>
        </w:rPr>
        <w:t xml:space="preserve"> </w:t>
      </w:r>
    </w:p>
    <w:p w:rsidR="001D29E6" w:rsidRPr="00DC7744" w:rsidRDefault="001D29E6" w:rsidP="00526ED7">
      <w:pPr>
        <w:jc w:val="both"/>
        <w:rPr>
          <w:i/>
          <w:lang w:val="el-GR"/>
        </w:rPr>
      </w:pPr>
    </w:p>
    <w:p w:rsidR="001D29E6" w:rsidRPr="00DC7744" w:rsidRDefault="001D29E6" w:rsidP="00526ED7">
      <w:pPr>
        <w:jc w:val="both"/>
        <w:rPr>
          <w:i/>
          <w:iCs/>
          <w:lang w:val="el-GR"/>
        </w:rPr>
      </w:pPr>
      <w:r w:rsidRPr="00DC7744">
        <w:rPr>
          <w:lang w:val="el-GR"/>
        </w:rPr>
        <w:t>[</w:t>
      </w:r>
      <w:r w:rsidR="00DC7744" w:rsidRPr="00DC7744">
        <w:rPr>
          <w:lang w:val="el-GR"/>
        </w:rPr>
        <w:t>Να συμπληρωθεί σε εθνικό επίπεδο</w:t>
      </w:r>
      <w:r w:rsidR="00DC7744">
        <w:rPr>
          <w:lang w:val="el-GR"/>
        </w:rPr>
        <w:t>]</w:t>
      </w:r>
    </w:p>
    <w:p w:rsidR="001D29E6" w:rsidRPr="00DC7744" w:rsidRDefault="001D29E6" w:rsidP="00526ED7">
      <w:pPr>
        <w:jc w:val="both"/>
        <w:rPr>
          <w:lang w:val="el-GR"/>
        </w:rPr>
      </w:pPr>
    </w:p>
    <w:p w:rsidR="001D29E6" w:rsidRPr="00DC7744" w:rsidRDefault="001D29E6" w:rsidP="00526ED7">
      <w:pPr>
        <w:jc w:val="both"/>
        <w:rPr>
          <w:lang w:val="el-GR"/>
        </w:rPr>
      </w:pPr>
    </w:p>
    <w:p w:rsidR="001D29E6" w:rsidRPr="00EF29B1" w:rsidRDefault="001D29E6" w:rsidP="00526ED7">
      <w:pPr>
        <w:ind w:left="567" w:hanging="567"/>
        <w:jc w:val="both"/>
        <w:outlineLvl w:val="0"/>
        <w:rPr>
          <w:lang w:val="el-GR"/>
        </w:rPr>
      </w:pPr>
      <w:r w:rsidRPr="00EF29B1">
        <w:rPr>
          <w:b/>
          <w:lang w:val="el-GR"/>
        </w:rPr>
        <w:t>9.</w:t>
      </w:r>
      <w:r w:rsidRPr="00EF29B1">
        <w:rPr>
          <w:b/>
          <w:lang w:val="el-GR"/>
        </w:rPr>
        <w:tab/>
      </w:r>
      <w:r w:rsidR="00EF29B1" w:rsidRPr="00EF29B1">
        <w:rPr>
          <w:b/>
          <w:lang w:val="el-GR"/>
        </w:rPr>
        <w:t xml:space="preserve">ΗΜΕΡΟΜΗΝΙΑ ΠΡΩΤΗΣ ΕΓΚΡΙΣΗΣ / ΑΝΑΝΕΩΣΗΣ ΤΗΣ ΑΔΕΙΑΣ </w:t>
      </w:r>
    </w:p>
    <w:p w:rsidR="001D29E6" w:rsidRPr="00EF29B1" w:rsidRDefault="001D29E6" w:rsidP="00526ED7">
      <w:pPr>
        <w:jc w:val="both"/>
        <w:rPr>
          <w:i/>
          <w:lang w:val="el-GR"/>
        </w:rPr>
      </w:pPr>
    </w:p>
    <w:p w:rsidR="001D29E6" w:rsidRPr="00F2174A" w:rsidRDefault="007A6701" w:rsidP="00526ED7">
      <w:pPr>
        <w:jc w:val="both"/>
        <w:rPr>
          <w:i/>
          <w:lang w:val="el-GR"/>
        </w:rPr>
      </w:pPr>
      <w:r>
        <w:rPr>
          <w:lang w:val="el-GR"/>
        </w:rPr>
        <w:t>{</w:t>
      </w:r>
      <w:r w:rsidR="00F2174A" w:rsidRPr="00F2174A">
        <w:rPr>
          <w:lang w:val="el-GR"/>
        </w:rPr>
        <w:t>ΗΗ/ΜΜ/ΕΕΕΕ</w:t>
      </w:r>
      <w:r>
        <w:rPr>
          <w:lang w:val="el-GR"/>
        </w:rPr>
        <w:t>}</w:t>
      </w:r>
      <w:r w:rsidR="00DC7744" w:rsidRPr="00F2174A">
        <w:rPr>
          <w:lang w:val="el-GR"/>
        </w:rPr>
        <w:t xml:space="preserve"> </w:t>
      </w:r>
      <w:r w:rsidRPr="007A6701">
        <w:rPr>
          <w:lang w:val="el-GR"/>
        </w:rPr>
        <w:t>{ΗΗ μήνας ΕΕΕΕ}</w:t>
      </w:r>
      <w:r w:rsidR="00F2174A">
        <w:rPr>
          <w:lang w:val="el-GR"/>
        </w:rPr>
        <w:t xml:space="preserve"> </w:t>
      </w:r>
    </w:p>
    <w:p w:rsidR="001D29E6" w:rsidRPr="00F2174A" w:rsidRDefault="001D29E6" w:rsidP="00526ED7">
      <w:pPr>
        <w:jc w:val="both"/>
        <w:rPr>
          <w:iCs/>
          <w:lang w:val="el-GR"/>
        </w:rPr>
      </w:pPr>
    </w:p>
    <w:p w:rsidR="001D29E6" w:rsidRPr="00DC7744" w:rsidRDefault="001D29E6" w:rsidP="00526ED7">
      <w:pPr>
        <w:jc w:val="both"/>
        <w:rPr>
          <w:lang w:val="el-GR"/>
        </w:rPr>
      </w:pPr>
      <w:r w:rsidRPr="00DC7744">
        <w:rPr>
          <w:lang w:val="el-GR"/>
        </w:rPr>
        <w:t>[</w:t>
      </w:r>
      <w:r w:rsidR="00DC7744" w:rsidRPr="00DC7744">
        <w:rPr>
          <w:lang w:val="el-GR"/>
        </w:rPr>
        <w:t>Να συμπληρωθεί σε εθνικό επίπεδο</w:t>
      </w:r>
      <w:r w:rsidR="00DC7744">
        <w:rPr>
          <w:lang w:val="el-GR"/>
        </w:rPr>
        <w:t>]</w:t>
      </w:r>
    </w:p>
    <w:p w:rsidR="001D29E6" w:rsidRPr="00DC7744" w:rsidRDefault="001D29E6" w:rsidP="00526ED7">
      <w:pPr>
        <w:jc w:val="both"/>
        <w:rPr>
          <w:lang w:val="el-GR"/>
        </w:rPr>
      </w:pPr>
    </w:p>
    <w:p w:rsidR="001D29E6" w:rsidRPr="00DC7744" w:rsidRDefault="001D29E6" w:rsidP="00526ED7">
      <w:pPr>
        <w:jc w:val="both"/>
        <w:rPr>
          <w:lang w:val="el-GR"/>
        </w:rPr>
      </w:pPr>
    </w:p>
    <w:p w:rsidR="001D29E6" w:rsidRPr="007A6701" w:rsidRDefault="001D29E6" w:rsidP="00526ED7">
      <w:pPr>
        <w:ind w:left="567" w:hanging="567"/>
        <w:jc w:val="both"/>
        <w:outlineLvl w:val="0"/>
        <w:rPr>
          <w:b/>
          <w:lang w:val="el-GR"/>
        </w:rPr>
      </w:pPr>
      <w:r w:rsidRPr="007A6701">
        <w:rPr>
          <w:b/>
          <w:lang w:val="el-GR"/>
        </w:rPr>
        <w:t>10.</w:t>
      </w:r>
      <w:r w:rsidRPr="007A6701">
        <w:rPr>
          <w:b/>
          <w:lang w:val="el-GR"/>
        </w:rPr>
        <w:tab/>
      </w:r>
      <w:r w:rsidR="00BD01E8" w:rsidRPr="007A6701">
        <w:rPr>
          <w:b/>
          <w:lang w:val="el-GR"/>
        </w:rPr>
        <w:t>ΗΜΕΡΟΜΗΝΙΑ ΑΝΑΘΕΩΡΗΣΗΣ ΤΟΥ ΚΕΙΜΕΝΟΥ</w:t>
      </w:r>
    </w:p>
    <w:p w:rsidR="001D29E6" w:rsidRPr="007A6701" w:rsidRDefault="001D29E6" w:rsidP="00526ED7">
      <w:pPr>
        <w:jc w:val="both"/>
        <w:rPr>
          <w:lang w:val="el-GR"/>
        </w:rPr>
      </w:pPr>
    </w:p>
    <w:p w:rsidR="001D29E6" w:rsidRPr="00EF29B1" w:rsidRDefault="007A6701" w:rsidP="00526ED7">
      <w:pPr>
        <w:jc w:val="both"/>
        <w:rPr>
          <w:lang w:val="el-GR"/>
        </w:rPr>
      </w:pPr>
      <w:r>
        <w:rPr>
          <w:lang w:val="el-GR"/>
        </w:rPr>
        <w:t>{</w:t>
      </w:r>
      <w:r w:rsidR="00EC23F8" w:rsidRPr="00EF29B1">
        <w:rPr>
          <w:lang w:val="el-GR"/>
        </w:rPr>
        <w:t>ΜΜ/ΕΕΕΕ</w:t>
      </w:r>
      <w:r>
        <w:rPr>
          <w:lang w:val="el-GR"/>
        </w:rPr>
        <w:t>}</w:t>
      </w:r>
    </w:p>
    <w:p w:rsidR="001D29E6" w:rsidRPr="00EF29B1" w:rsidRDefault="001D29E6" w:rsidP="00526ED7">
      <w:pPr>
        <w:numPr>
          <w:ilvl w:val="12"/>
          <w:numId w:val="0"/>
        </w:numPr>
        <w:ind w:right="-2"/>
        <w:jc w:val="both"/>
        <w:rPr>
          <w:iCs/>
          <w:lang w:val="el-GR"/>
        </w:rPr>
      </w:pPr>
    </w:p>
    <w:p w:rsidR="001D29E6" w:rsidRPr="00EC23F8" w:rsidRDefault="001D29E6" w:rsidP="00526ED7">
      <w:pPr>
        <w:numPr>
          <w:ilvl w:val="12"/>
          <w:numId w:val="0"/>
        </w:numPr>
        <w:ind w:right="-2"/>
        <w:jc w:val="both"/>
        <w:rPr>
          <w:iCs/>
          <w:lang w:val="el-GR"/>
        </w:rPr>
      </w:pPr>
      <w:r w:rsidRPr="00EF29B1">
        <w:rPr>
          <w:lang w:val="el-GR"/>
        </w:rPr>
        <w:t>[</w:t>
      </w:r>
      <w:r w:rsidR="00EC23F8" w:rsidRPr="00EC23F8">
        <w:rPr>
          <w:lang w:val="el-GR"/>
        </w:rPr>
        <w:t>Να συμπληρωθεί σε εθνικό επίπεδο</w:t>
      </w:r>
      <w:r w:rsidR="00EC23F8" w:rsidRPr="00EF29B1">
        <w:rPr>
          <w:lang w:val="el-GR"/>
        </w:rPr>
        <w:t>]</w:t>
      </w:r>
    </w:p>
    <w:p w:rsidR="001D29E6" w:rsidRPr="00EF29B1" w:rsidRDefault="001D29E6" w:rsidP="00526ED7">
      <w:pPr>
        <w:jc w:val="both"/>
        <w:rPr>
          <w:noProof/>
          <w:lang w:val="el-GR"/>
        </w:rPr>
      </w:pPr>
    </w:p>
    <w:sectPr w:rsidR="001D29E6" w:rsidRPr="00EF29B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134" w:bottom="1134" w:left="1134" w:header="73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0A" w:rsidRDefault="002B430A">
      <w:r>
        <w:separator/>
      </w:r>
    </w:p>
  </w:endnote>
  <w:endnote w:type="continuationSeparator" w:id="0">
    <w:p w:rsidR="002B430A" w:rsidRDefault="002B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09" w:rsidRDefault="00D31809">
    <w:pPr>
      <w:pStyle w:val="a4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a5"/>
        <w:rFonts w:ascii="Arial" w:hAnsi="Arial" w:cs="Arial"/>
      </w:rPr>
      <w:fldChar w:fldCharType="begin"/>
    </w:r>
    <w:r>
      <w:rPr>
        <w:rStyle w:val="a5"/>
        <w:rFonts w:ascii="Arial" w:hAnsi="Arial" w:cs="Arial"/>
      </w:rPr>
      <w:instrText xml:space="preserve">PAGE  </w:instrText>
    </w:r>
    <w:r>
      <w:rPr>
        <w:rStyle w:val="a5"/>
        <w:rFonts w:ascii="Arial" w:hAnsi="Arial" w:cs="Arial"/>
      </w:rPr>
      <w:fldChar w:fldCharType="separate"/>
    </w:r>
    <w:r w:rsidR="007B53C3">
      <w:rPr>
        <w:rStyle w:val="a5"/>
        <w:rFonts w:ascii="Arial" w:hAnsi="Arial" w:cs="Arial"/>
        <w:noProof/>
      </w:rPr>
      <w:t>2</w:t>
    </w:r>
    <w:r>
      <w:rPr>
        <w:rStyle w:val="a5"/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09" w:rsidRDefault="00D31809">
    <w:pPr>
      <w:pStyle w:val="a4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a5"/>
        <w:rFonts w:ascii="Arial" w:hAnsi="Arial" w:cs="Arial"/>
      </w:rPr>
      <w:fldChar w:fldCharType="begin"/>
    </w:r>
    <w:r>
      <w:rPr>
        <w:rStyle w:val="a5"/>
        <w:rFonts w:ascii="Arial" w:hAnsi="Arial" w:cs="Arial"/>
      </w:rPr>
      <w:instrText xml:space="preserve">PAGE  </w:instrText>
    </w:r>
    <w:r>
      <w:rPr>
        <w:rStyle w:val="a5"/>
        <w:rFonts w:ascii="Arial" w:hAnsi="Arial" w:cs="Arial"/>
      </w:rPr>
      <w:fldChar w:fldCharType="separate"/>
    </w:r>
    <w:r w:rsidR="007B53C3">
      <w:rPr>
        <w:rStyle w:val="a5"/>
        <w:rFonts w:ascii="Arial" w:hAnsi="Arial" w:cs="Arial"/>
        <w:noProof/>
      </w:rPr>
      <w:t>1</w:t>
    </w:r>
    <w:r>
      <w:rPr>
        <w:rStyle w:val="a5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0A" w:rsidRDefault="002B430A">
      <w:r>
        <w:separator/>
      </w:r>
    </w:p>
  </w:footnote>
  <w:footnote w:type="continuationSeparator" w:id="0">
    <w:p w:rsidR="002B430A" w:rsidRDefault="002B4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9193538"/>
    <w:multiLevelType w:val="hybridMultilevel"/>
    <w:tmpl w:val="AA086B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7067B05"/>
    <w:multiLevelType w:val="hybridMultilevel"/>
    <w:tmpl w:val="5ED8D792"/>
    <w:lvl w:ilvl="0" w:tplc="EC5ABD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C162CE"/>
    <w:multiLevelType w:val="hybridMultilevel"/>
    <w:tmpl w:val="8CD8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82EA1"/>
    <w:multiLevelType w:val="hybridMultilevel"/>
    <w:tmpl w:val="A164F716"/>
    <w:lvl w:ilvl="0" w:tplc="EC5ABD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5FE39B8"/>
    <w:multiLevelType w:val="hybridMultilevel"/>
    <w:tmpl w:val="1B4EC0C0"/>
    <w:lvl w:ilvl="0" w:tplc="EC5AB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3E39F6"/>
    <w:multiLevelType w:val="hybridMultilevel"/>
    <w:tmpl w:val="D480E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41">
    <w:nsid w:val="7A2F2336"/>
    <w:multiLevelType w:val="hybridMultilevel"/>
    <w:tmpl w:val="D3501C78"/>
    <w:lvl w:ilvl="0" w:tplc="EC5AB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95B97"/>
    <w:multiLevelType w:val="hybridMultilevel"/>
    <w:tmpl w:val="EF4E2E84"/>
    <w:lvl w:ilvl="0" w:tplc="EC5AB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2"/>
  </w:num>
  <w:num w:numId="6">
    <w:abstractNumId w:val="25"/>
  </w:num>
  <w:num w:numId="7">
    <w:abstractNumId w:val="23"/>
  </w:num>
  <w:num w:numId="8">
    <w:abstractNumId w:val="8"/>
  </w:num>
  <w:num w:numId="9">
    <w:abstractNumId w:val="35"/>
  </w:num>
  <w:num w:numId="10">
    <w:abstractNumId w:val="36"/>
  </w:num>
  <w:num w:numId="11">
    <w:abstractNumId w:val="17"/>
  </w:num>
  <w:num w:numId="12">
    <w:abstractNumId w:val="14"/>
  </w:num>
  <w:num w:numId="13">
    <w:abstractNumId w:val="2"/>
  </w:num>
  <w:num w:numId="14">
    <w:abstractNumId w:val="34"/>
  </w:num>
  <w:num w:numId="15">
    <w:abstractNumId w:val="21"/>
  </w:num>
  <w:num w:numId="16">
    <w:abstractNumId w:val="39"/>
  </w:num>
  <w:num w:numId="17">
    <w:abstractNumId w:val="9"/>
  </w:num>
  <w:num w:numId="18">
    <w:abstractNumId w:val="1"/>
  </w:num>
  <w:num w:numId="19">
    <w:abstractNumId w:val="18"/>
  </w:num>
  <w:num w:numId="20">
    <w:abstractNumId w:val="3"/>
  </w:num>
  <w:num w:numId="21">
    <w:abstractNumId w:val="6"/>
  </w:num>
  <w:num w:numId="22">
    <w:abstractNumId w:val="28"/>
  </w:num>
  <w:num w:numId="23">
    <w:abstractNumId w:val="33"/>
  </w:num>
  <w:num w:numId="24">
    <w:abstractNumId w:val="27"/>
  </w:num>
  <w:num w:numId="25">
    <w:abstractNumId w:val="13"/>
  </w:num>
  <w:num w:numId="26">
    <w:abstractNumId w:val="11"/>
  </w:num>
  <w:num w:numId="27">
    <w:abstractNumId w:val="22"/>
  </w:num>
  <w:num w:numId="28">
    <w:abstractNumId w:val="26"/>
  </w:num>
  <w:num w:numId="29">
    <w:abstractNumId w:val="15"/>
  </w:num>
  <w:num w:numId="30">
    <w:abstractNumId w:val="10"/>
  </w:num>
  <w:num w:numId="31">
    <w:abstractNumId w:val="30"/>
  </w:num>
  <w:num w:numId="32">
    <w:abstractNumId w:val="32"/>
  </w:num>
  <w:num w:numId="33">
    <w:abstractNumId w:val="29"/>
  </w:num>
  <w:num w:numId="34">
    <w:abstractNumId w:val="16"/>
  </w:num>
  <w:num w:numId="35">
    <w:abstractNumId w:val="4"/>
  </w:num>
  <w:num w:numId="36">
    <w:abstractNumId w:val="40"/>
  </w:num>
  <w:num w:numId="37">
    <w:abstractNumId w:val="19"/>
  </w:num>
  <w:num w:numId="38">
    <w:abstractNumId w:val="41"/>
  </w:num>
  <w:num w:numId="39">
    <w:abstractNumId w:val="20"/>
  </w:num>
  <w:num w:numId="40">
    <w:abstractNumId w:val="24"/>
  </w:num>
  <w:num w:numId="41">
    <w:abstractNumId w:val="7"/>
  </w:num>
  <w:num w:numId="42">
    <w:abstractNumId w:val="42"/>
  </w:num>
  <w:num w:numId="43">
    <w:abstractNumId w:val="31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activeWritingStyle w:appName="MSWord" w:lang="nl-NL" w:vendorID="9" w:dllVersion="512" w:checkStyle="1"/>
  <w:proofState w:grammar="clean"/>
  <w:stylePaneFormatFilter w:val="3F01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docVars>
    <w:docVar w:name="Registered" w:val="-1"/>
    <w:docVar w:name="Version" w:val="0"/>
  </w:docVars>
  <w:rsids>
    <w:rsidRoot w:val="00C53ACC"/>
    <w:rsid w:val="000000DC"/>
    <w:rsid w:val="000026A7"/>
    <w:rsid w:val="000133B2"/>
    <w:rsid w:val="00015C0E"/>
    <w:rsid w:val="0003294A"/>
    <w:rsid w:val="000460F6"/>
    <w:rsid w:val="00047553"/>
    <w:rsid w:val="00047DB7"/>
    <w:rsid w:val="00057A46"/>
    <w:rsid w:val="000626DA"/>
    <w:rsid w:val="0006408C"/>
    <w:rsid w:val="00067D17"/>
    <w:rsid w:val="00075D86"/>
    <w:rsid w:val="000774A5"/>
    <w:rsid w:val="00081868"/>
    <w:rsid w:val="000934FC"/>
    <w:rsid w:val="00095B2F"/>
    <w:rsid w:val="000A222F"/>
    <w:rsid w:val="000A5C58"/>
    <w:rsid w:val="000B5342"/>
    <w:rsid w:val="000C2B06"/>
    <w:rsid w:val="00111BF5"/>
    <w:rsid w:val="00123F6C"/>
    <w:rsid w:val="001316B3"/>
    <w:rsid w:val="001401B4"/>
    <w:rsid w:val="00141001"/>
    <w:rsid w:val="001468D7"/>
    <w:rsid w:val="00147DEB"/>
    <w:rsid w:val="00155726"/>
    <w:rsid w:val="00171357"/>
    <w:rsid w:val="001972B5"/>
    <w:rsid w:val="001B5718"/>
    <w:rsid w:val="001B5E6C"/>
    <w:rsid w:val="001B5F10"/>
    <w:rsid w:val="001D0998"/>
    <w:rsid w:val="001D1577"/>
    <w:rsid w:val="001D29E6"/>
    <w:rsid w:val="001D44C0"/>
    <w:rsid w:val="001D5C4B"/>
    <w:rsid w:val="001E5A81"/>
    <w:rsid w:val="001F00D9"/>
    <w:rsid w:val="001F57A1"/>
    <w:rsid w:val="002116D6"/>
    <w:rsid w:val="002317AA"/>
    <w:rsid w:val="00233DDA"/>
    <w:rsid w:val="00246C7F"/>
    <w:rsid w:val="002547F7"/>
    <w:rsid w:val="00256227"/>
    <w:rsid w:val="00272F32"/>
    <w:rsid w:val="002826DD"/>
    <w:rsid w:val="00283EBA"/>
    <w:rsid w:val="0028405A"/>
    <w:rsid w:val="0028587E"/>
    <w:rsid w:val="002A467A"/>
    <w:rsid w:val="002A5BB9"/>
    <w:rsid w:val="002B430A"/>
    <w:rsid w:val="002D63D7"/>
    <w:rsid w:val="002F5AB1"/>
    <w:rsid w:val="003009BB"/>
    <w:rsid w:val="00301EB7"/>
    <w:rsid w:val="00307427"/>
    <w:rsid w:val="0031220F"/>
    <w:rsid w:val="0032553B"/>
    <w:rsid w:val="00330961"/>
    <w:rsid w:val="00331008"/>
    <w:rsid w:val="00341324"/>
    <w:rsid w:val="00353642"/>
    <w:rsid w:val="00356B55"/>
    <w:rsid w:val="00363D05"/>
    <w:rsid w:val="0037318D"/>
    <w:rsid w:val="00376246"/>
    <w:rsid w:val="00383F47"/>
    <w:rsid w:val="003872C1"/>
    <w:rsid w:val="003A53FE"/>
    <w:rsid w:val="003B1F76"/>
    <w:rsid w:val="003B2E7A"/>
    <w:rsid w:val="003B5A7A"/>
    <w:rsid w:val="003B6AE7"/>
    <w:rsid w:val="003C1EF2"/>
    <w:rsid w:val="003E048C"/>
    <w:rsid w:val="003E219C"/>
    <w:rsid w:val="003E41FD"/>
    <w:rsid w:val="003F1242"/>
    <w:rsid w:val="00400964"/>
    <w:rsid w:val="004167B9"/>
    <w:rsid w:val="0043694A"/>
    <w:rsid w:val="004372C8"/>
    <w:rsid w:val="0044210D"/>
    <w:rsid w:val="00447644"/>
    <w:rsid w:val="00456E90"/>
    <w:rsid w:val="00467714"/>
    <w:rsid w:val="004738A8"/>
    <w:rsid w:val="00476C35"/>
    <w:rsid w:val="00480075"/>
    <w:rsid w:val="00481BED"/>
    <w:rsid w:val="00482295"/>
    <w:rsid w:val="004B3DCC"/>
    <w:rsid w:val="004C0576"/>
    <w:rsid w:val="004D3A9B"/>
    <w:rsid w:val="004F011D"/>
    <w:rsid w:val="004F4EFD"/>
    <w:rsid w:val="00501943"/>
    <w:rsid w:val="005066E6"/>
    <w:rsid w:val="00515F48"/>
    <w:rsid w:val="00526ED7"/>
    <w:rsid w:val="00533C0B"/>
    <w:rsid w:val="00533FA8"/>
    <w:rsid w:val="00547410"/>
    <w:rsid w:val="0055372D"/>
    <w:rsid w:val="00557284"/>
    <w:rsid w:val="0055770E"/>
    <w:rsid w:val="00562175"/>
    <w:rsid w:val="0056352B"/>
    <w:rsid w:val="00565C27"/>
    <w:rsid w:val="005715DF"/>
    <w:rsid w:val="00596B69"/>
    <w:rsid w:val="005A6F92"/>
    <w:rsid w:val="005E02B0"/>
    <w:rsid w:val="005F111A"/>
    <w:rsid w:val="005F4917"/>
    <w:rsid w:val="00601F08"/>
    <w:rsid w:val="00610B88"/>
    <w:rsid w:val="00614057"/>
    <w:rsid w:val="006228DA"/>
    <w:rsid w:val="00624031"/>
    <w:rsid w:val="00633630"/>
    <w:rsid w:val="00641FA5"/>
    <w:rsid w:val="00663A15"/>
    <w:rsid w:val="006656A2"/>
    <w:rsid w:val="006837A4"/>
    <w:rsid w:val="00691F05"/>
    <w:rsid w:val="006A1335"/>
    <w:rsid w:val="006A2F55"/>
    <w:rsid w:val="006B2A54"/>
    <w:rsid w:val="006B76EE"/>
    <w:rsid w:val="006C5957"/>
    <w:rsid w:val="006E152E"/>
    <w:rsid w:val="00703D89"/>
    <w:rsid w:val="00705752"/>
    <w:rsid w:val="00706479"/>
    <w:rsid w:val="007217FC"/>
    <w:rsid w:val="007236CC"/>
    <w:rsid w:val="00732468"/>
    <w:rsid w:val="00733A7B"/>
    <w:rsid w:val="00734094"/>
    <w:rsid w:val="007409AA"/>
    <w:rsid w:val="007436B1"/>
    <w:rsid w:val="00744BB1"/>
    <w:rsid w:val="00774C90"/>
    <w:rsid w:val="00775205"/>
    <w:rsid w:val="0077717C"/>
    <w:rsid w:val="00777CEC"/>
    <w:rsid w:val="007A0955"/>
    <w:rsid w:val="007A1B6D"/>
    <w:rsid w:val="007A6701"/>
    <w:rsid w:val="007B2814"/>
    <w:rsid w:val="007B53C3"/>
    <w:rsid w:val="007D444E"/>
    <w:rsid w:val="00807793"/>
    <w:rsid w:val="00810B77"/>
    <w:rsid w:val="00812BCF"/>
    <w:rsid w:val="00813750"/>
    <w:rsid w:val="00814E7E"/>
    <w:rsid w:val="00820215"/>
    <w:rsid w:val="00820FD7"/>
    <w:rsid w:val="0082781B"/>
    <w:rsid w:val="0083339D"/>
    <w:rsid w:val="00837EA1"/>
    <w:rsid w:val="00840687"/>
    <w:rsid w:val="00846389"/>
    <w:rsid w:val="0086510E"/>
    <w:rsid w:val="0087395B"/>
    <w:rsid w:val="0088265E"/>
    <w:rsid w:val="00883DB7"/>
    <w:rsid w:val="00885B7C"/>
    <w:rsid w:val="008C5251"/>
    <w:rsid w:val="008E6235"/>
    <w:rsid w:val="008E79E8"/>
    <w:rsid w:val="0090758A"/>
    <w:rsid w:val="009106CD"/>
    <w:rsid w:val="00911015"/>
    <w:rsid w:val="00927339"/>
    <w:rsid w:val="009428DB"/>
    <w:rsid w:val="00944B6A"/>
    <w:rsid w:val="009517A9"/>
    <w:rsid w:val="009614EB"/>
    <w:rsid w:val="0096198C"/>
    <w:rsid w:val="009A6ED6"/>
    <w:rsid w:val="009B502E"/>
    <w:rsid w:val="009B7D3F"/>
    <w:rsid w:val="009C28A4"/>
    <w:rsid w:val="009D218F"/>
    <w:rsid w:val="009D2B34"/>
    <w:rsid w:val="009D73EB"/>
    <w:rsid w:val="00A054A5"/>
    <w:rsid w:val="00A06CB3"/>
    <w:rsid w:val="00A53DCA"/>
    <w:rsid w:val="00A667BE"/>
    <w:rsid w:val="00A801C4"/>
    <w:rsid w:val="00A83116"/>
    <w:rsid w:val="00A92EC9"/>
    <w:rsid w:val="00A97FD7"/>
    <w:rsid w:val="00AA5D5F"/>
    <w:rsid w:val="00AB16FE"/>
    <w:rsid w:val="00AB3B34"/>
    <w:rsid w:val="00AF7DB7"/>
    <w:rsid w:val="00B05B8F"/>
    <w:rsid w:val="00B069A7"/>
    <w:rsid w:val="00B145C3"/>
    <w:rsid w:val="00B3153C"/>
    <w:rsid w:val="00B47638"/>
    <w:rsid w:val="00B51E15"/>
    <w:rsid w:val="00B52A88"/>
    <w:rsid w:val="00B564C4"/>
    <w:rsid w:val="00B6090C"/>
    <w:rsid w:val="00B65143"/>
    <w:rsid w:val="00B8485C"/>
    <w:rsid w:val="00B85FAE"/>
    <w:rsid w:val="00B8607D"/>
    <w:rsid w:val="00B873F8"/>
    <w:rsid w:val="00B93404"/>
    <w:rsid w:val="00B9415B"/>
    <w:rsid w:val="00B96671"/>
    <w:rsid w:val="00BB6E0B"/>
    <w:rsid w:val="00BD01E8"/>
    <w:rsid w:val="00BD1991"/>
    <w:rsid w:val="00BD389B"/>
    <w:rsid w:val="00BE4171"/>
    <w:rsid w:val="00BF4633"/>
    <w:rsid w:val="00BF5D36"/>
    <w:rsid w:val="00BF7DCD"/>
    <w:rsid w:val="00C00112"/>
    <w:rsid w:val="00C0058C"/>
    <w:rsid w:val="00C0364B"/>
    <w:rsid w:val="00C2304B"/>
    <w:rsid w:val="00C36D2D"/>
    <w:rsid w:val="00C53ACC"/>
    <w:rsid w:val="00C5685E"/>
    <w:rsid w:val="00C734FD"/>
    <w:rsid w:val="00C80E09"/>
    <w:rsid w:val="00C83FA6"/>
    <w:rsid w:val="00C85110"/>
    <w:rsid w:val="00C867EC"/>
    <w:rsid w:val="00C90DFA"/>
    <w:rsid w:val="00CB1CE5"/>
    <w:rsid w:val="00CB6807"/>
    <w:rsid w:val="00CD070F"/>
    <w:rsid w:val="00CD0D0C"/>
    <w:rsid w:val="00CE4C8C"/>
    <w:rsid w:val="00D05ED9"/>
    <w:rsid w:val="00D31418"/>
    <w:rsid w:val="00D31809"/>
    <w:rsid w:val="00D31835"/>
    <w:rsid w:val="00D31CC0"/>
    <w:rsid w:val="00D40713"/>
    <w:rsid w:val="00D560A7"/>
    <w:rsid w:val="00D56E0A"/>
    <w:rsid w:val="00D63D14"/>
    <w:rsid w:val="00D64E09"/>
    <w:rsid w:val="00D64F52"/>
    <w:rsid w:val="00D65285"/>
    <w:rsid w:val="00D93D68"/>
    <w:rsid w:val="00DA05D1"/>
    <w:rsid w:val="00DA2AF7"/>
    <w:rsid w:val="00DA6DFF"/>
    <w:rsid w:val="00DB4015"/>
    <w:rsid w:val="00DC7744"/>
    <w:rsid w:val="00DD4CCE"/>
    <w:rsid w:val="00DE27BE"/>
    <w:rsid w:val="00DE37C9"/>
    <w:rsid w:val="00DF1EB8"/>
    <w:rsid w:val="00E04735"/>
    <w:rsid w:val="00E20115"/>
    <w:rsid w:val="00E41A23"/>
    <w:rsid w:val="00E45DF0"/>
    <w:rsid w:val="00E527B8"/>
    <w:rsid w:val="00E52D3D"/>
    <w:rsid w:val="00E60E9A"/>
    <w:rsid w:val="00E91F91"/>
    <w:rsid w:val="00E95B6A"/>
    <w:rsid w:val="00EA095E"/>
    <w:rsid w:val="00EA2F9D"/>
    <w:rsid w:val="00EC23F8"/>
    <w:rsid w:val="00EC50E3"/>
    <w:rsid w:val="00ED4C13"/>
    <w:rsid w:val="00EE33C0"/>
    <w:rsid w:val="00EF29B1"/>
    <w:rsid w:val="00EF4ABD"/>
    <w:rsid w:val="00F00B37"/>
    <w:rsid w:val="00F07898"/>
    <w:rsid w:val="00F07D54"/>
    <w:rsid w:val="00F2174A"/>
    <w:rsid w:val="00F41938"/>
    <w:rsid w:val="00F453EA"/>
    <w:rsid w:val="00F52C6C"/>
    <w:rsid w:val="00F66049"/>
    <w:rsid w:val="00F8399B"/>
    <w:rsid w:val="00F847DC"/>
    <w:rsid w:val="00FA7C09"/>
    <w:rsid w:val="00FB03B8"/>
    <w:rsid w:val="00FB6498"/>
    <w:rsid w:val="00FC0AA3"/>
    <w:rsid w:val="00FC40A2"/>
    <w:rsid w:val="00FC5BF9"/>
    <w:rsid w:val="00FD3C32"/>
    <w:rsid w:val="00FD78CA"/>
    <w:rsid w:val="00FE1EF5"/>
    <w:rsid w:val="00FE3FDE"/>
    <w:rsid w:val="00FE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3">
    <w:name w:val="heading 3"/>
    <w:basedOn w:val="a"/>
    <w:next w:val="a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noProof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noProof/>
    </w:rPr>
  </w:style>
  <w:style w:type="paragraph" w:styleId="6">
    <w:name w:val="heading 6"/>
    <w:basedOn w:val="a"/>
    <w:next w:val="a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7">
    <w:name w:val="heading 7"/>
    <w:basedOn w:val="a"/>
    <w:next w:val="a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ind w:left="567" w:hanging="567"/>
      <w:jc w:val="both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a4">
    <w:name w:val="footer"/>
    <w:basedOn w:val="a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30">
    <w:name w:val="Body Text 3"/>
    <w:basedOn w:val="a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20">
    <w:name w:val="Body Text Indent 2"/>
    <w:basedOn w:val="a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a7">
    <w:name w:val="Body Text"/>
    <w:basedOn w:val="a"/>
    <w:pPr>
      <w:tabs>
        <w:tab w:val="clear" w:pos="567"/>
      </w:tabs>
      <w:spacing w:line="240" w:lineRule="auto"/>
    </w:pPr>
    <w:rPr>
      <w:i/>
      <w:color w:val="008000"/>
    </w:rPr>
  </w:style>
  <w:style w:type="paragraph" w:styleId="21">
    <w:name w:val="Body Text 2"/>
    <w:basedOn w:val="a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</w:rPr>
  </w:style>
  <w:style w:type="paragraph" w:customStyle="1" w:styleId="EMEAEnBodyText">
    <w:name w:val="EMEA En Body Text"/>
    <w:basedOn w:val="a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">
    <w:name w:val="Hyperlink"/>
    <w:rPr>
      <w:color w:val="0000FF"/>
      <w:u w:val="single"/>
    </w:rPr>
  </w:style>
  <w:style w:type="paragraph" w:customStyle="1" w:styleId="AHeader1">
    <w:name w:val="AHeader 1"/>
    <w:basedOn w:val="a"/>
    <w:pPr>
      <w:numPr>
        <w:numId w:val="30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</w:tabs>
    </w:pPr>
  </w:style>
  <w:style w:type="paragraph" w:styleId="31">
    <w:name w:val="Body Text Indent 3"/>
    <w:basedOn w:val="a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-0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lang w:val="en-US" w:eastAsia="en-US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annotation subject"/>
    <w:basedOn w:val="a9"/>
    <w:next w:val="a9"/>
    <w:semiHidden/>
    <w:rsid w:val="00C53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h.gov.cy/ph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EE26-2DE8-480D-B64A-EFB91FCF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2505</Words>
  <Characters>13532</Characters>
  <Application>Microsoft Office Word</Application>
  <DocSecurity>0</DocSecurity>
  <Lines>112</Lines>
  <Paragraphs>32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EMEA</Company>
  <LinksUpToDate>false</LinksUpToDate>
  <CharactersWithSpaces>16005</CharactersWithSpaces>
  <SharedDoc>false</SharedDoc>
  <HLinks>
    <vt:vector size="12" baseType="variant"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http://www.moh.gov.cy/phs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General-EMA/53548/2010</dc:subject>
  <dc:creator>Sonet Bernard</dc:creator>
  <cp:lastModifiedBy>user146</cp:lastModifiedBy>
  <cp:revision>2</cp:revision>
  <cp:lastPrinted>2005-07-25T06:34:00Z</cp:lastPrinted>
  <dcterms:created xsi:type="dcterms:W3CDTF">2014-05-14T08:33:00Z</dcterms:created>
  <dcterms:modified xsi:type="dcterms:W3CDTF">2014-05-14T08:33:00Z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General-EMA/53548/2010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Hreferralspcen</vt:lpwstr>
  </property>
  <property fmtid="{D5CDD505-2E9C-101B-9397-08002B2CF9AE}" pid="9" name="DM_Owner">
    <vt:lpwstr>Espinasse Claire</vt:lpwstr>
  </property>
  <property fmtid="{D5CDD505-2E9C-101B-9397-08002B2CF9AE}" pid="10" name="DM_Creation_Date">
    <vt:lpwstr>23/04/2010 10:54:51</vt:lpwstr>
  </property>
  <property fmtid="{D5CDD505-2E9C-101B-9397-08002B2CF9AE}" pid="11" name="DM_Creator_Name">
    <vt:lpwstr>Espinasse Claire</vt:lpwstr>
  </property>
  <property fmtid="{D5CDD505-2E9C-101B-9397-08002B2CF9AE}" pid="12" name="DM_Modifer_Name">
    <vt:lpwstr>Espinasse Claire</vt:lpwstr>
  </property>
  <property fmtid="{D5CDD505-2E9C-101B-9397-08002B2CF9AE}" pid="13" name="DM_Modified_Date">
    <vt:lpwstr>23/04/2010 10:54:51</vt:lpwstr>
  </property>
  <property fmtid="{D5CDD505-2E9C-101B-9397-08002B2CF9AE}" pid="14" name="DM_Type">
    <vt:lpwstr>emea_document</vt:lpwstr>
  </property>
  <property fmtid="{D5CDD505-2E9C-101B-9397-08002B2CF9AE}" pid="15" name="DM_Version">
    <vt:lpwstr>0.3, CURRENT</vt:lpwstr>
  </property>
  <property fmtid="{D5CDD505-2E9C-101B-9397-08002B2CF9AE}" pid="16" name="DM_emea_doc_ref_id">
    <vt:lpwstr>EMA/53548/2010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53548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EMA</vt:lpwstr>
  </property>
  <property fmtid="{D5CDD505-2E9C-101B-9397-08002B2CF9AE}" pid="28" name="DM_emea_legal_date">
    <vt:lpwstr>nulldate</vt:lpwstr>
  </property>
  <property fmtid="{D5CDD505-2E9C-101B-9397-08002B2CF9AE}" pid="29" name="DM_emea_year">
    <vt:lpwstr>2010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