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Default="00356F05" w:rsidP="00D150B8">
      <w:pPr>
        <w:jc w:val="center"/>
        <w:rPr>
          <w:b/>
          <w:bCs/>
          <w:noProof/>
          <w:sz w:val="22"/>
          <w:szCs w:val="22"/>
        </w:rPr>
      </w:pPr>
    </w:p>
    <w:p w:rsidR="00356F05" w:rsidRPr="00F13BB3" w:rsidRDefault="00356F05" w:rsidP="00D150B8">
      <w:pPr>
        <w:jc w:val="center"/>
        <w:rPr>
          <w:sz w:val="22"/>
          <w:szCs w:val="22"/>
        </w:rPr>
      </w:pPr>
      <w:r w:rsidRPr="00F13BB3">
        <w:rPr>
          <w:b/>
          <w:bCs/>
          <w:noProof/>
          <w:sz w:val="22"/>
          <w:szCs w:val="22"/>
        </w:rPr>
        <w:t>ΠΕΡΙΛΗΨΗ ΤΩΝ ΧΑΡΑΚΤΗΡΙΣΤΙΚΩΝ ΤΟΥ ΠΡΟΪΟΝΤΟΣ</w:t>
      </w:r>
    </w:p>
    <w:p w:rsidR="00356F05" w:rsidRPr="00F13BB3" w:rsidRDefault="00356F05" w:rsidP="00D150B8">
      <w:pPr>
        <w:pStyle w:val="NormalWeb1"/>
        <w:numPr>
          <w:ilvl w:val="0"/>
          <w:numId w:val="12"/>
        </w:numPr>
        <w:spacing w:before="0" w:after="0"/>
        <w:ind w:left="0" w:firstLine="0"/>
        <w:jc w:val="both"/>
        <w:rPr>
          <w:b/>
          <w:bCs/>
          <w:sz w:val="22"/>
          <w:szCs w:val="22"/>
          <w:lang w:val="el-GR"/>
        </w:rPr>
      </w:pPr>
      <w:r w:rsidRPr="00F13BB3">
        <w:rPr>
          <w:sz w:val="22"/>
          <w:szCs w:val="22"/>
          <w:lang w:val="de-DE"/>
        </w:rPr>
        <w:br w:type="page"/>
      </w:r>
      <w:r w:rsidRPr="00F13BB3">
        <w:rPr>
          <w:b/>
          <w:bCs/>
          <w:sz w:val="22"/>
          <w:szCs w:val="22"/>
          <w:lang w:val="el-GR"/>
        </w:rPr>
        <w:t>ΟΝΟΜΑΣΙΑ ΤΟΥ ΦΑΡΜΑΚΕΥΤΙΚΟΥ ΠΡΟΪΟΝΤΟΣ</w:t>
      </w:r>
    </w:p>
    <w:p w:rsidR="00356F05" w:rsidRPr="00F13BB3" w:rsidRDefault="00356F05" w:rsidP="00D150B8">
      <w:pPr>
        <w:jc w:val="both"/>
        <w:rPr>
          <w:snapToGrid w:val="0"/>
          <w:sz w:val="22"/>
          <w:szCs w:val="22"/>
          <w:lang w:val="el-GR" w:eastAsia="en-US"/>
        </w:rPr>
      </w:pPr>
    </w:p>
    <w:p w:rsidR="00356F05" w:rsidRPr="00F13BB3" w:rsidRDefault="00356F05" w:rsidP="00D150B8">
      <w:pPr>
        <w:jc w:val="both"/>
        <w:rPr>
          <w:sz w:val="22"/>
          <w:szCs w:val="22"/>
          <w:lang w:val="el-GR"/>
        </w:rPr>
      </w:pPr>
      <w:r w:rsidRPr="00F13BB3">
        <w:rPr>
          <w:sz w:val="22"/>
          <w:szCs w:val="22"/>
          <w:lang w:val="de-CH"/>
        </w:rPr>
        <w:t>Prolutex</w:t>
      </w:r>
      <w:r w:rsidRPr="00F13BB3">
        <w:rPr>
          <w:sz w:val="22"/>
          <w:szCs w:val="22"/>
          <w:lang w:val="el-GR"/>
        </w:rPr>
        <w:t xml:space="preserve"> 25 mg ενέσιμο διάλυμα</w:t>
      </w:r>
    </w:p>
    <w:p w:rsidR="00356F05" w:rsidRPr="00F13BB3" w:rsidRDefault="00356F05" w:rsidP="00D150B8">
      <w:pPr>
        <w:jc w:val="both"/>
        <w:rPr>
          <w:snapToGrid w:val="0"/>
          <w:sz w:val="22"/>
          <w:szCs w:val="22"/>
          <w:lang w:eastAsia="en-US"/>
        </w:rPr>
      </w:pPr>
    </w:p>
    <w:p w:rsidR="00356F05" w:rsidRPr="00F13BB3" w:rsidRDefault="00356F05" w:rsidP="00D150B8">
      <w:pPr>
        <w:jc w:val="both"/>
        <w:rPr>
          <w:snapToGrid w:val="0"/>
          <w:sz w:val="22"/>
          <w:szCs w:val="22"/>
          <w:lang w:eastAsia="en-US"/>
        </w:rPr>
      </w:pPr>
    </w:p>
    <w:p w:rsidR="00356F05" w:rsidRPr="00F13BB3" w:rsidRDefault="00356F05" w:rsidP="00D150B8">
      <w:pPr>
        <w:numPr>
          <w:ilvl w:val="0"/>
          <w:numId w:val="10"/>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ΠΟΙΟΤΙΚΗ ΚΑΙ ΠΟΣΟΤΙΚΗ ΣΥΝΘΕΣΗ</w:t>
      </w:r>
    </w:p>
    <w:p w:rsidR="00356F05" w:rsidRPr="00F13BB3" w:rsidRDefault="00356F05" w:rsidP="00D150B8">
      <w:pPr>
        <w:suppressAutoHyphens/>
        <w:overflowPunct w:val="0"/>
        <w:autoSpaceDE w:val="0"/>
        <w:autoSpaceDN w:val="0"/>
        <w:adjustRightInd w:val="0"/>
        <w:jc w:val="both"/>
        <w:textAlignment w:val="baseline"/>
        <w:rPr>
          <w:b/>
          <w:bCs/>
          <w:snapToGrid w:val="0"/>
          <w:sz w:val="22"/>
          <w:szCs w:val="22"/>
          <w:lang w:val="el-GR" w:eastAsia="en-US"/>
        </w:rPr>
      </w:pPr>
    </w:p>
    <w:p w:rsidR="00356F05" w:rsidRPr="00F13BB3" w:rsidRDefault="00356F05" w:rsidP="00D150B8">
      <w:pPr>
        <w:jc w:val="both"/>
        <w:rPr>
          <w:sz w:val="22"/>
          <w:szCs w:val="22"/>
          <w:lang w:val="el-GR"/>
        </w:rPr>
      </w:pPr>
      <w:r w:rsidRPr="00F13BB3">
        <w:rPr>
          <w:sz w:val="22"/>
          <w:szCs w:val="22"/>
          <w:lang w:val="el-GR"/>
        </w:rPr>
        <w:t>Ένα φιαλίδιο (1,119 ml) περιέχει 25 mg προγεστερόνης (θεωρητική συγκέντρωση 22,35 mg/ml).</w:t>
      </w:r>
    </w:p>
    <w:p w:rsidR="00356F05" w:rsidRPr="00F13BB3" w:rsidRDefault="00356F05" w:rsidP="00D150B8">
      <w:pPr>
        <w:jc w:val="both"/>
        <w:rPr>
          <w:sz w:val="22"/>
          <w:szCs w:val="22"/>
          <w:lang w:val="el-GR"/>
        </w:rPr>
      </w:pPr>
    </w:p>
    <w:p w:rsidR="00356F05" w:rsidRPr="00AE2EFA" w:rsidRDefault="00356F05" w:rsidP="00085125">
      <w:pPr>
        <w:jc w:val="both"/>
        <w:rPr>
          <w:sz w:val="22"/>
          <w:szCs w:val="22"/>
          <w:lang w:val="el-GR"/>
        </w:rPr>
      </w:pPr>
      <w:r>
        <w:rPr>
          <w:sz w:val="22"/>
          <w:szCs w:val="22"/>
          <w:lang w:val="el-GR"/>
        </w:rPr>
        <w:t>Έκδοχο(α)</w:t>
      </w:r>
      <w:r w:rsidRPr="00AE2EFA">
        <w:rPr>
          <w:noProof/>
          <w:sz w:val="22"/>
          <w:szCs w:val="22"/>
          <w:lang w:val="el-GR"/>
        </w:rPr>
        <w:t>με γνωστές δράσεις:</w:t>
      </w:r>
    </w:p>
    <w:p w:rsidR="00356F05" w:rsidRPr="00F13BB3" w:rsidRDefault="00356F05" w:rsidP="00D150B8">
      <w:pPr>
        <w:jc w:val="both"/>
        <w:rPr>
          <w:sz w:val="22"/>
          <w:szCs w:val="22"/>
          <w:lang w:val="el-GR"/>
        </w:rPr>
      </w:pPr>
      <w:r w:rsidRPr="00F13BB3">
        <w:rPr>
          <w:sz w:val="22"/>
          <w:szCs w:val="22"/>
          <w:lang w:val="el-GR"/>
        </w:rPr>
        <w:t>Για τον πλήρη κατάλογο των εκδόχων, βλ. παράγραφο 6.1</w:t>
      </w:r>
      <w:r w:rsidRPr="00F13BB3">
        <w:rPr>
          <w:rFonts w:eastAsia="Arial0"/>
          <w:sz w:val="22"/>
          <w:szCs w:val="22"/>
          <w:lang w:val="el-GR"/>
        </w:rPr>
        <w:t>.</w:t>
      </w:r>
    </w:p>
    <w:p w:rsidR="00356F05" w:rsidRPr="00085125" w:rsidRDefault="00356F05" w:rsidP="00D150B8">
      <w:pPr>
        <w:jc w:val="both"/>
        <w:rPr>
          <w:snapToGrid w:val="0"/>
          <w:sz w:val="22"/>
          <w:szCs w:val="22"/>
          <w:lang w:val="el-GR" w:eastAsia="en-US"/>
        </w:rPr>
      </w:pPr>
    </w:p>
    <w:p w:rsidR="00356F05" w:rsidRPr="00085125" w:rsidRDefault="00356F05" w:rsidP="00D150B8">
      <w:pPr>
        <w:jc w:val="both"/>
        <w:rPr>
          <w:snapToGrid w:val="0"/>
          <w:sz w:val="22"/>
          <w:szCs w:val="22"/>
          <w:lang w:val="el-GR" w:eastAsia="en-US"/>
        </w:rPr>
      </w:pPr>
    </w:p>
    <w:p w:rsidR="00356F05" w:rsidRPr="00F13BB3" w:rsidRDefault="00356F05" w:rsidP="00D150B8">
      <w:pPr>
        <w:numPr>
          <w:ilvl w:val="0"/>
          <w:numId w:val="10"/>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ΦΑΡΜΑΚΟΤΕΧΝΙΚΗ ΜΟΡΦΗ</w:t>
      </w:r>
    </w:p>
    <w:p w:rsidR="00356F05" w:rsidRPr="00F13BB3" w:rsidRDefault="00356F05" w:rsidP="00D150B8">
      <w:pPr>
        <w:jc w:val="both"/>
        <w:rPr>
          <w:sz w:val="22"/>
          <w:szCs w:val="22"/>
          <w:lang w:val="el-GR"/>
        </w:rPr>
      </w:pPr>
    </w:p>
    <w:p w:rsidR="00356F05" w:rsidRPr="00F13BB3" w:rsidRDefault="00356F05" w:rsidP="00D150B8">
      <w:pPr>
        <w:jc w:val="both"/>
        <w:rPr>
          <w:strike/>
          <w:sz w:val="22"/>
          <w:szCs w:val="22"/>
          <w:lang w:val="el-GR"/>
        </w:rPr>
      </w:pPr>
      <w:r w:rsidRPr="00F13BB3">
        <w:rPr>
          <w:sz w:val="22"/>
          <w:szCs w:val="22"/>
          <w:lang w:val="el-GR"/>
        </w:rPr>
        <w:t xml:space="preserve">Ενέσιμο διάλυμα </w:t>
      </w:r>
    </w:p>
    <w:p w:rsidR="00356F05" w:rsidRPr="00F13BB3" w:rsidRDefault="00356F05" w:rsidP="00D150B8">
      <w:pPr>
        <w:jc w:val="both"/>
        <w:rPr>
          <w:sz w:val="22"/>
          <w:szCs w:val="22"/>
          <w:lang w:val="el-GR"/>
        </w:rPr>
      </w:pPr>
      <w:r w:rsidRPr="00F13BB3">
        <w:rPr>
          <w:sz w:val="22"/>
          <w:szCs w:val="22"/>
          <w:lang w:val="el-GR"/>
        </w:rPr>
        <w:t xml:space="preserve">Διαυγές, άχρωμο διάλυμα. </w:t>
      </w:r>
    </w:p>
    <w:p w:rsidR="00356F05" w:rsidRPr="00F13BB3" w:rsidRDefault="00356F05" w:rsidP="00D150B8">
      <w:pPr>
        <w:jc w:val="both"/>
        <w:rPr>
          <w:sz w:val="22"/>
          <w:szCs w:val="22"/>
        </w:rPr>
      </w:pPr>
    </w:p>
    <w:p w:rsidR="00356F05" w:rsidRPr="00F13BB3" w:rsidRDefault="00356F05" w:rsidP="00D150B8">
      <w:pPr>
        <w:jc w:val="both"/>
        <w:rPr>
          <w:sz w:val="22"/>
          <w:szCs w:val="22"/>
        </w:rPr>
      </w:pPr>
    </w:p>
    <w:p w:rsidR="00356F05" w:rsidRPr="00F13BB3" w:rsidRDefault="00356F05" w:rsidP="00D150B8">
      <w:pPr>
        <w:pStyle w:val="ListParagraph"/>
        <w:numPr>
          <w:ilvl w:val="0"/>
          <w:numId w:val="10"/>
        </w:numPr>
        <w:tabs>
          <w:tab w:val="clear" w:pos="360"/>
        </w:tabs>
        <w:ind w:left="0" w:firstLine="0"/>
        <w:jc w:val="both"/>
        <w:rPr>
          <w:sz w:val="22"/>
          <w:szCs w:val="22"/>
          <w:lang w:val="el-GR"/>
        </w:rPr>
      </w:pPr>
      <w:r w:rsidRPr="00F13BB3">
        <w:rPr>
          <w:b/>
          <w:bCs/>
          <w:sz w:val="22"/>
          <w:szCs w:val="22"/>
          <w:lang w:val="el-GR"/>
        </w:rPr>
        <w:t>ΚΛΙΝΙΚΕΣ ΠΛΗΡΟΦΟΡΙΕΣ</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Θεραπευτικές ενδείξεις</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 xml:space="preserve">Το Prolutex ενδείκνυται για χρήση σε ενήλικες για υποστήριξη του ωχρού σωματίου ως μέρος ενός θεραπευτικού προγράμματος </w:t>
      </w:r>
      <w:r w:rsidRPr="00F13BB3">
        <w:rPr>
          <w:rStyle w:val="Emphasis"/>
          <w:i w:val="0"/>
          <w:iCs w:val="0"/>
          <w:sz w:val="22"/>
          <w:szCs w:val="22"/>
          <w:lang w:val="el-GR"/>
        </w:rPr>
        <w:t>τεχνολογίας</w:t>
      </w:r>
      <w:r w:rsidRPr="00F13BB3">
        <w:rPr>
          <w:rStyle w:val="st"/>
          <w:sz w:val="22"/>
          <w:szCs w:val="22"/>
          <w:lang w:val="el-GR"/>
        </w:rPr>
        <w:t xml:space="preserve"> υποβοηθούμενης αναπαραγωγής</w:t>
      </w:r>
      <w:r w:rsidRPr="00F13BB3">
        <w:rPr>
          <w:sz w:val="22"/>
          <w:szCs w:val="22"/>
          <w:lang w:val="el-GR"/>
        </w:rPr>
        <w:t xml:space="preserve"> [Assisted Reproductive Technology (ART)] σε υπογόνιμες γυναίκες που δεν είναι σε θέση να χρησιμοποιήσουν ή να ανεχτούν κολπικά παρασκευάσματα.</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Δοσολογία και τρόπος χορήγησης</w:t>
      </w:r>
    </w:p>
    <w:p w:rsidR="00356F05" w:rsidRPr="00F13BB3" w:rsidRDefault="00356F05" w:rsidP="00D150B8">
      <w:pPr>
        <w:suppressAutoHyphens/>
        <w:overflowPunct w:val="0"/>
        <w:autoSpaceDE w:val="0"/>
        <w:autoSpaceDN w:val="0"/>
        <w:adjustRightInd w:val="0"/>
        <w:jc w:val="both"/>
        <w:textAlignment w:val="baseline"/>
        <w:rPr>
          <w:sz w:val="22"/>
          <w:szCs w:val="22"/>
          <w:lang w:val="el-GR"/>
        </w:rPr>
      </w:pPr>
    </w:p>
    <w:p w:rsidR="00356F05" w:rsidRPr="00397A01" w:rsidRDefault="00356F05" w:rsidP="00D150B8">
      <w:pPr>
        <w:jc w:val="both"/>
        <w:rPr>
          <w:sz w:val="22"/>
          <w:szCs w:val="22"/>
          <w:u w:val="single"/>
          <w:lang w:val="el-GR"/>
        </w:rPr>
      </w:pPr>
      <w:r w:rsidRPr="00F13BB3">
        <w:rPr>
          <w:sz w:val="22"/>
          <w:szCs w:val="22"/>
          <w:u w:val="single"/>
          <w:lang w:val="el-GR"/>
        </w:rPr>
        <w:t>Δοσολογία</w:t>
      </w:r>
    </w:p>
    <w:p w:rsidR="00356F05" w:rsidRPr="00397A01" w:rsidRDefault="00356F05" w:rsidP="00D150B8">
      <w:pPr>
        <w:jc w:val="both"/>
        <w:rPr>
          <w:sz w:val="22"/>
          <w:szCs w:val="22"/>
          <w:u w:val="single"/>
          <w:lang w:val="el-GR"/>
        </w:rPr>
      </w:pPr>
    </w:p>
    <w:p w:rsidR="00356F05" w:rsidRPr="00F13BB3" w:rsidRDefault="00356F05" w:rsidP="00D150B8">
      <w:pPr>
        <w:jc w:val="both"/>
        <w:rPr>
          <w:i/>
          <w:iCs/>
          <w:sz w:val="22"/>
          <w:szCs w:val="22"/>
          <w:lang w:val="el-GR"/>
        </w:rPr>
      </w:pPr>
      <w:r w:rsidRPr="00F13BB3">
        <w:rPr>
          <w:i/>
          <w:iCs/>
          <w:sz w:val="22"/>
          <w:szCs w:val="22"/>
          <w:lang w:val="el-GR"/>
        </w:rPr>
        <w:t>Ενήλικες</w:t>
      </w:r>
    </w:p>
    <w:p w:rsidR="00356F05" w:rsidRPr="00F13BB3" w:rsidRDefault="00356F05" w:rsidP="00D150B8">
      <w:pPr>
        <w:autoSpaceDE w:val="0"/>
        <w:autoSpaceDN w:val="0"/>
        <w:adjustRightInd w:val="0"/>
        <w:rPr>
          <w:sz w:val="22"/>
          <w:szCs w:val="22"/>
          <w:lang w:val="el-GR"/>
        </w:rPr>
      </w:pPr>
      <w:r w:rsidRPr="00F13BB3">
        <w:rPr>
          <w:sz w:val="22"/>
          <w:szCs w:val="22"/>
          <w:lang w:val="el-GR"/>
        </w:rPr>
        <w:t xml:space="preserve">Άπαξ ημερησίως ένεση των 25 mg από την ημέρα της λήψης </w:t>
      </w:r>
      <w:r>
        <w:rPr>
          <w:sz w:val="22"/>
          <w:szCs w:val="22"/>
          <w:lang w:val="el-GR"/>
        </w:rPr>
        <w:t>του ωαρίου</w:t>
      </w:r>
      <w:r w:rsidRPr="00F13BB3">
        <w:rPr>
          <w:sz w:val="22"/>
          <w:szCs w:val="22"/>
          <w:lang w:val="el-GR"/>
        </w:rPr>
        <w:t xml:space="preserve">, συνήθως έως τις </w:t>
      </w:r>
      <w:r>
        <w:rPr>
          <w:sz w:val="22"/>
          <w:szCs w:val="22"/>
          <w:u w:val="single"/>
          <w:lang w:val="el-GR"/>
        </w:rPr>
        <w:t>12</w:t>
      </w:r>
      <w:r w:rsidRPr="00F13BB3">
        <w:rPr>
          <w:sz w:val="22"/>
          <w:szCs w:val="22"/>
          <w:u w:val="single"/>
          <w:lang w:val="el-GR"/>
        </w:rPr>
        <w:t>εβδομάδες επιβεβαιωμένης κύησης.</w:t>
      </w:r>
    </w:p>
    <w:p w:rsidR="00356F05" w:rsidRPr="00F13BB3" w:rsidRDefault="00356F05" w:rsidP="00D150B8">
      <w:pPr>
        <w:jc w:val="both"/>
        <w:rPr>
          <w:strike/>
          <w:sz w:val="22"/>
          <w:szCs w:val="22"/>
          <w:lang w:val="el-GR" w:eastAsia="it-IT"/>
        </w:rPr>
      </w:pPr>
    </w:p>
    <w:p w:rsidR="00356F05" w:rsidRPr="00F13BB3" w:rsidRDefault="00356F05" w:rsidP="00D150B8">
      <w:pPr>
        <w:jc w:val="both"/>
        <w:rPr>
          <w:sz w:val="22"/>
          <w:szCs w:val="22"/>
          <w:lang w:val="el-GR"/>
        </w:rPr>
      </w:pPr>
      <w:r w:rsidRPr="00F13BB3">
        <w:rPr>
          <w:sz w:val="22"/>
          <w:szCs w:val="22"/>
          <w:lang w:val="el-GR"/>
        </w:rPr>
        <w:t>Καθώς οι ενδείξεις για το Prolutex περιορίζονται σε γυναίκες αναπαραγωγικής ηλικίας, οι συστάσεις δοσολογίας για παιδιά και ηλικιωμένους δεν έχουν εφαρμογή.</w:t>
      </w:r>
    </w:p>
    <w:p w:rsidR="00356F05" w:rsidRPr="00F13BB3" w:rsidRDefault="00356F05" w:rsidP="00D150B8">
      <w:pPr>
        <w:jc w:val="both"/>
        <w:rPr>
          <w:sz w:val="22"/>
          <w:szCs w:val="22"/>
          <w:lang w:val="el-GR" w:eastAsia="it-IT"/>
        </w:rPr>
      </w:pPr>
    </w:p>
    <w:p w:rsidR="00356F05" w:rsidRPr="00F13BB3" w:rsidRDefault="00356F05" w:rsidP="00D150B8">
      <w:pPr>
        <w:jc w:val="both"/>
        <w:rPr>
          <w:sz w:val="22"/>
          <w:szCs w:val="22"/>
          <w:lang w:val="el-GR"/>
        </w:rPr>
      </w:pPr>
      <w:r w:rsidRPr="00F13BB3">
        <w:rPr>
          <w:sz w:val="22"/>
          <w:szCs w:val="22"/>
          <w:lang w:val="el-GR"/>
        </w:rPr>
        <w:t>Το Prolutex χορηγείται με υποδόρια (25 mg) ή ενδομυϊκή (25 mg) ένεση.</w:t>
      </w:r>
    </w:p>
    <w:p w:rsidR="00356F05" w:rsidRPr="00F13BB3" w:rsidRDefault="00356F05" w:rsidP="00D150B8">
      <w:pPr>
        <w:jc w:val="both"/>
        <w:rPr>
          <w:sz w:val="22"/>
          <w:szCs w:val="22"/>
          <w:lang w:val="el-GR"/>
        </w:rPr>
      </w:pPr>
    </w:p>
    <w:p w:rsidR="00356F05" w:rsidRPr="00085125" w:rsidRDefault="00356F05" w:rsidP="00D150B8">
      <w:pPr>
        <w:jc w:val="both"/>
        <w:rPr>
          <w:sz w:val="22"/>
          <w:szCs w:val="22"/>
          <w:u w:val="single"/>
          <w:lang w:val="el-GR"/>
        </w:rPr>
      </w:pPr>
      <w:r w:rsidRPr="00F13BB3">
        <w:rPr>
          <w:sz w:val="22"/>
          <w:szCs w:val="22"/>
          <w:u w:val="single"/>
          <w:lang w:val="el-GR"/>
        </w:rPr>
        <w:t>Ειδικοί πληθυσμοί</w:t>
      </w:r>
    </w:p>
    <w:p w:rsidR="00356F05" w:rsidRPr="00085125" w:rsidRDefault="00356F05" w:rsidP="00D150B8">
      <w:pPr>
        <w:jc w:val="both"/>
        <w:rPr>
          <w:sz w:val="22"/>
          <w:szCs w:val="22"/>
          <w:u w:val="single"/>
          <w:lang w:val="el-GR"/>
        </w:rPr>
      </w:pPr>
    </w:p>
    <w:p w:rsidR="00356F05" w:rsidRPr="00085125" w:rsidRDefault="00356F05" w:rsidP="00D150B8">
      <w:pPr>
        <w:jc w:val="both"/>
        <w:rPr>
          <w:i/>
          <w:iCs/>
          <w:sz w:val="22"/>
          <w:szCs w:val="22"/>
          <w:lang w:val="el-GR"/>
        </w:rPr>
      </w:pPr>
      <w:r w:rsidRPr="00F13BB3">
        <w:rPr>
          <w:i/>
          <w:iCs/>
          <w:sz w:val="22"/>
          <w:szCs w:val="22"/>
          <w:lang w:val="el-GR"/>
        </w:rPr>
        <w:t>Ηλικιωμένοι</w:t>
      </w:r>
    </w:p>
    <w:p w:rsidR="00356F05" w:rsidRPr="00F13BB3" w:rsidRDefault="00356F05" w:rsidP="00D150B8">
      <w:pPr>
        <w:jc w:val="both"/>
        <w:rPr>
          <w:sz w:val="22"/>
          <w:szCs w:val="22"/>
          <w:lang w:val="el-GR"/>
        </w:rPr>
      </w:pPr>
      <w:r w:rsidRPr="00F13BB3">
        <w:rPr>
          <w:sz w:val="22"/>
          <w:szCs w:val="22"/>
          <w:lang w:val="el-GR"/>
        </w:rPr>
        <w:t>Δεν έχουν συλλεγεί κλινικά δεδομένα σε ασθενείς ηλικίας άνω των 65 ετών.</w:t>
      </w:r>
    </w:p>
    <w:p w:rsidR="00356F05" w:rsidRPr="00085125" w:rsidRDefault="00356F05" w:rsidP="00D150B8">
      <w:pPr>
        <w:jc w:val="both"/>
        <w:rPr>
          <w:i/>
          <w:iCs/>
          <w:sz w:val="22"/>
          <w:szCs w:val="22"/>
          <w:lang w:val="el-GR"/>
        </w:rPr>
      </w:pPr>
    </w:p>
    <w:p w:rsidR="00356F05" w:rsidRPr="00F13BB3" w:rsidRDefault="00356F05" w:rsidP="00D150B8">
      <w:pPr>
        <w:jc w:val="both"/>
        <w:rPr>
          <w:i/>
          <w:iCs/>
          <w:sz w:val="22"/>
          <w:szCs w:val="22"/>
          <w:lang w:val="el-GR"/>
        </w:rPr>
      </w:pPr>
      <w:r w:rsidRPr="00F13BB3">
        <w:rPr>
          <w:i/>
          <w:iCs/>
          <w:sz w:val="22"/>
          <w:szCs w:val="22"/>
          <w:lang w:val="el-GR"/>
        </w:rPr>
        <w:t>Νεφρική και ηπατική βλάβη</w:t>
      </w:r>
    </w:p>
    <w:p w:rsidR="00356F05" w:rsidRPr="00F13BB3" w:rsidRDefault="00356F05" w:rsidP="00D150B8">
      <w:pPr>
        <w:jc w:val="both"/>
        <w:rPr>
          <w:sz w:val="22"/>
          <w:szCs w:val="22"/>
          <w:lang w:val="el-GR"/>
        </w:rPr>
      </w:pPr>
      <w:r w:rsidRPr="00F13BB3">
        <w:rPr>
          <w:sz w:val="22"/>
          <w:szCs w:val="22"/>
          <w:lang w:val="el-GR"/>
        </w:rPr>
        <w:t>Δεν υπάρχει εμπειρία με τη χρήση του Prolutex σε ασθενείς με ηπατική ή νεφρική δυσλειτουργία.</w:t>
      </w:r>
    </w:p>
    <w:p w:rsidR="00356F05" w:rsidRPr="00085125" w:rsidRDefault="00356F05" w:rsidP="00D150B8">
      <w:pPr>
        <w:jc w:val="both"/>
        <w:rPr>
          <w:i/>
          <w:iCs/>
          <w:sz w:val="22"/>
          <w:szCs w:val="22"/>
          <w:lang w:val="el-GR"/>
        </w:rPr>
      </w:pPr>
    </w:p>
    <w:p w:rsidR="00356F05" w:rsidRPr="00F13BB3" w:rsidRDefault="00356F05" w:rsidP="00D150B8">
      <w:pPr>
        <w:jc w:val="both"/>
        <w:rPr>
          <w:i/>
          <w:iCs/>
          <w:sz w:val="22"/>
          <w:szCs w:val="22"/>
          <w:lang w:val="el-GR"/>
        </w:rPr>
      </w:pPr>
      <w:r w:rsidRPr="00F13BB3">
        <w:rPr>
          <w:i/>
          <w:iCs/>
          <w:sz w:val="22"/>
          <w:szCs w:val="22"/>
          <w:lang w:val="el-GR"/>
        </w:rPr>
        <w:t>Παιδιατρικός πληθυσμός</w:t>
      </w:r>
    </w:p>
    <w:p w:rsidR="00356F05" w:rsidRPr="00F13BB3" w:rsidRDefault="00356F05" w:rsidP="00D150B8">
      <w:pPr>
        <w:rPr>
          <w:sz w:val="22"/>
          <w:szCs w:val="22"/>
          <w:lang w:val="el-GR"/>
        </w:rPr>
      </w:pPr>
      <w:r w:rsidRPr="00F13BB3">
        <w:rPr>
          <w:sz w:val="22"/>
          <w:szCs w:val="22"/>
          <w:lang w:val="el-GR"/>
        </w:rPr>
        <w:t>Η ασφάλεια και αποτελεσματικότητα του Prolutex σε παιδιά (ηλικίας 0 έως 18 ετών) δεν έχουν τεκμηριωθεί.</w:t>
      </w:r>
    </w:p>
    <w:p w:rsidR="00356F05" w:rsidRPr="00F13BB3" w:rsidRDefault="00356F05" w:rsidP="00D150B8">
      <w:pPr>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 xml:space="preserve">Δεν υπάρχει σχετική χρήση του Prolutex στον παιδιατρικό πληθυσμό ή τους ηλικιωμένους στην ένδειξη για υποστήριξη του ωχρού σωματίου ως μέρος ενός θεραπευτικού προγράμματος </w:t>
      </w:r>
      <w:r w:rsidRPr="00F13BB3">
        <w:rPr>
          <w:rStyle w:val="Emphasis"/>
          <w:i w:val="0"/>
          <w:iCs w:val="0"/>
          <w:sz w:val="22"/>
          <w:szCs w:val="22"/>
          <w:lang w:val="el-GR"/>
        </w:rPr>
        <w:t>Τεχνολογίας</w:t>
      </w:r>
      <w:r w:rsidRPr="00F13BB3">
        <w:rPr>
          <w:rStyle w:val="st"/>
          <w:sz w:val="22"/>
          <w:szCs w:val="22"/>
          <w:lang w:val="el-GR"/>
        </w:rPr>
        <w:t xml:space="preserve"> υποβοηθούμενης αναπαραγωγής</w:t>
      </w:r>
      <w:r w:rsidRPr="00F13BB3">
        <w:rPr>
          <w:sz w:val="22"/>
          <w:szCs w:val="22"/>
          <w:lang w:val="el-GR"/>
        </w:rPr>
        <w:t xml:space="preserve"> [Assisted Reproductive Technology (ART)] σε υπογόνιμες γυναίκες.</w:t>
      </w:r>
    </w:p>
    <w:p w:rsidR="00356F05" w:rsidRPr="00F13BB3" w:rsidRDefault="00356F05" w:rsidP="00D150B8">
      <w:pPr>
        <w:jc w:val="both"/>
        <w:rPr>
          <w:b/>
          <w:bCs/>
          <w:sz w:val="22"/>
          <w:szCs w:val="22"/>
          <w:lang w:val="el-GR"/>
        </w:rPr>
      </w:pPr>
    </w:p>
    <w:p w:rsidR="00356F05" w:rsidRPr="006B29EF" w:rsidRDefault="00356F05" w:rsidP="00D150B8">
      <w:pPr>
        <w:jc w:val="both"/>
        <w:rPr>
          <w:sz w:val="22"/>
          <w:szCs w:val="22"/>
          <w:u w:val="single"/>
          <w:lang w:val="el-GR"/>
        </w:rPr>
      </w:pPr>
      <w:r w:rsidRPr="006B29EF">
        <w:rPr>
          <w:sz w:val="22"/>
          <w:szCs w:val="22"/>
          <w:u w:val="single"/>
          <w:lang w:val="el-GR"/>
        </w:rPr>
        <w:t>Τρόπος χορήγησης</w:t>
      </w:r>
    </w:p>
    <w:p w:rsidR="00356F05" w:rsidRPr="00F13BB3" w:rsidRDefault="00356F05" w:rsidP="00D150B8">
      <w:pPr>
        <w:jc w:val="both"/>
        <w:rPr>
          <w:sz w:val="22"/>
          <w:szCs w:val="22"/>
          <w:lang w:val="el-GR"/>
        </w:rPr>
      </w:pPr>
      <w:r w:rsidRPr="00F13BB3">
        <w:rPr>
          <w:sz w:val="22"/>
          <w:szCs w:val="22"/>
          <w:lang w:val="el-GR"/>
        </w:rPr>
        <w:t>Η έναρξη της θεραπείας με το Prolutex θα πρέπει να γίνεται υπό την επίβλεψη ενός ιατρού με εμπειρία στη θεραπεία των προβλημάτων γονιμότητας.</w:t>
      </w:r>
    </w:p>
    <w:p w:rsidR="00356F05" w:rsidRPr="00F13BB3" w:rsidRDefault="00356F05" w:rsidP="00D150B8">
      <w:pPr>
        <w:jc w:val="both"/>
        <w:rPr>
          <w:sz w:val="22"/>
          <w:szCs w:val="22"/>
          <w:lang w:val="el-GR"/>
        </w:rPr>
      </w:pPr>
      <w:r w:rsidRPr="00F13BB3">
        <w:rPr>
          <w:sz w:val="22"/>
          <w:szCs w:val="22"/>
          <w:lang w:val="el-GR"/>
        </w:rPr>
        <w:t xml:space="preserve">Το Prolutex προορίζεται για ενδομυϊκή ή υποδόρια χορήγηση. </w:t>
      </w:r>
    </w:p>
    <w:p w:rsidR="00356F05" w:rsidRPr="00085125" w:rsidRDefault="00356F05" w:rsidP="00D150B8">
      <w:pPr>
        <w:jc w:val="both"/>
        <w:rPr>
          <w:i/>
          <w:iCs/>
          <w:sz w:val="22"/>
          <w:szCs w:val="22"/>
          <w:lang w:val="el-GR"/>
        </w:rPr>
      </w:pPr>
    </w:p>
    <w:p w:rsidR="00356F05" w:rsidRPr="00F13BB3" w:rsidRDefault="00356F05" w:rsidP="00D150B8">
      <w:pPr>
        <w:jc w:val="both"/>
        <w:rPr>
          <w:i/>
          <w:iCs/>
          <w:sz w:val="22"/>
          <w:szCs w:val="22"/>
          <w:lang w:val="el-GR"/>
        </w:rPr>
      </w:pPr>
      <w:r w:rsidRPr="00F13BB3">
        <w:rPr>
          <w:i/>
          <w:iCs/>
          <w:sz w:val="22"/>
          <w:szCs w:val="22"/>
          <w:lang w:val="el-GR"/>
        </w:rPr>
        <w:t>Ενδομυϊκή χορήγηση</w:t>
      </w:r>
    </w:p>
    <w:p w:rsidR="00356F05" w:rsidRPr="00F13BB3" w:rsidRDefault="00356F05" w:rsidP="00D150B8">
      <w:pPr>
        <w:jc w:val="both"/>
        <w:rPr>
          <w:sz w:val="22"/>
          <w:szCs w:val="22"/>
          <w:lang w:val="el-GR"/>
        </w:rPr>
      </w:pPr>
      <w:r w:rsidRPr="00F13BB3">
        <w:rPr>
          <w:sz w:val="22"/>
          <w:szCs w:val="22"/>
          <w:lang w:val="el-GR"/>
        </w:rPr>
        <w:t xml:space="preserve">Επιλέξτε μια κατάλληλη θέση (τετρακέφαλος μηριαίος του δεξιού ή αριστερού μηρού). Απολυμάνετε την προτεινόμενη περιοχή, εισάγετε μια βαθιά ένεση (βελόνα σε μια γωνία 90°). Tο προϊόν θα πρέπει να ενίεται αργά για την ελαχιστοποίηση της τοπικής ιστικής βλάβης. </w:t>
      </w:r>
    </w:p>
    <w:p w:rsidR="00356F05" w:rsidRPr="00F13BB3" w:rsidRDefault="00356F05" w:rsidP="00D150B8">
      <w:pPr>
        <w:jc w:val="both"/>
        <w:rPr>
          <w:i/>
          <w:iCs/>
          <w:sz w:val="22"/>
          <w:szCs w:val="22"/>
          <w:lang w:val="el-GR"/>
        </w:rPr>
      </w:pPr>
    </w:p>
    <w:p w:rsidR="00356F05" w:rsidRPr="00F13BB3" w:rsidRDefault="00356F05" w:rsidP="00D150B8">
      <w:pPr>
        <w:jc w:val="both"/>
        <w:rPr>
          <w:i/>
          <w:iCs/>
          <w:sz w:val="22"/>
          <w:szCs w:val="22"/>
          <w:lang w:val="el-GR"/>
        </w:rPr>
      </w:pPr>
      <w:r w:rsidRPr="00F13BB3">
        <w:rPr>
          <w:i/>
          <w:iCs/>
          <w:sz w:val="22"/>
          <w:szCs w:val="22"/>
          <w:lang w:val="el-GR"/>
        </w:rPr>
        <w:t>Υποδόρια χορήγηση</w:t>
      </w:r>
    </w:p>
    <w:p w:rsidR="00356F05" w:rsidRPr="00F13BB3" w:rsidRDefault="00356F05" w:rsidP="00D150B8">
      <w:pPr>
        <w:jc w:val="both"/>
        <w:rPr>
          <w:sz w:val="22"/>
          <w:szCs w:val="22"/>
          <w:lang w:val="el-GR"/>
        </w:rPr>
      </w:pPr>
      <w:r w:rsidRPr="00F13BB3">
        <w:rPr>
          <w:sz w:val="22"/>
          <w:szCs w:val="22"/>
          <w:lang w:val="el-GR"/>
        </w:rPr>
        <w:t xml:space="preserve">Επιλέξτε μια κατάλληλη θέση (πρόσθιο μέρος του μηρού, κάτω κοιλία), απολυμάνετε την προτεινόμενη περιοχή, τσιμπήστε το δέρμα σταθερά και εισάγετε τη βελόνα σε μια γωνία 45° έως 90°. Tο προϊόν θα πρέπει να ενίεται αργά για την ελαχιστοποίηση της τοπικής ιστικής βλάβης. </w:t>
      </w:r>
    </w:p>
    <w:p w:rsidR="00356F05" w:rsidRPr="00F13BB3" w:rsidRDefault="00356F05" w:rsidP="00D150B8">
      <w:pPr>
        <w:rPr>
          <w:sz w:val="22"/>
          <w:szCs w:val="22"/>
          <w:lang w:val="el-GR"/>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Αντενδείξεις</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pStyle w:val="BodyText"/>
        <w:spacing w:after="0"/>
        <w:jc w:val="both"/>
        <w:rPr>
          <w:sz w:val="22"/>
          <w:szCs w:val="22"/>
          <w:lang w:val="el-GR"/>
        </w:rPr>
      </w:pPr>
      <w:r w:rsidRPr="00F13BB3">
        <w:rPr>
          <w:sz w:val="22"/>
          <w:szCs w:val="22"/>
          <w:lang w:val="el-GR"/>
        </w:rPr>
        <w:t>Το Prolutex δεν θα πρέπει να χρησιμοποιείται σε άτομα με οποιαδήποτε από τις παρακάτω συνθήκες:</w:t>
      </w:r>
    </w:p>
    <w:p w:rsidR="00356F05" w:rsidRPr="00F13BB3" w:rsidRDefault="00356F05" w:rsidP="00D150B8">
      <w:pPr>
        <w:pStyle w:val="BodyText"/>
        <w:numPr>
          <w:ilvl w:val="0"/>
          <w:numId w:val="7"/>
        </w:numPr>
        <w:tabs>
          <w:tab w:val="clear" w:pos="720"/>
        </w:tabs>
        <w:spacing w:after="0"/>
        <w:ind w:left="0" w:firstLine="0"/>
        <w:jc w:val="both"/>
        <w:rPr>
          <w:sz w:val="22"/>
          <w:szCs w:val="22"/>
          <w:lang w:val="el-GR"/>
        </w:rPr>
      </w:pPr>
      <w:r w:rsidRPr="00F13BB3">
        <w:rPr>
          <w:sz w:val="22"/>
          <w:szCs w:val="22"/>
          <w:lang w:val="el-GR"/>
        </w:rPr>
        <w:t>Υπερευαισθησία στην προγεστερόνη ή σε κάποιο από τα έκδοχα</w:t>
      </w:r>
    </w:p>
    <w:p w:rsidR="00356F05" w:rsidRPr="00F13BB3" w:rsidRDefault="00356F05" w:rsidP="00D150B8">
      <w:pPr>
        <w:pStyle w:val="BodyText"/>
        <w:numPr>
          <w:ilvl w:val="0"/>
          <w:numId w:val="7"/>
        </w:numPr>
        <w:tabs>
          <w:tab w:val="clear" w:pos="720"/>
        </w:tabs>
        <w:spacing w:after="0"/>
        <w:ind w:left="0" w:firstLine="0"/>
        <w:jc w:val="both"/>
        <w:rPr>
          <w:sz w:val="22"/>
          <w:szCs w:val="22"/>
          <w:lang w:val="el-GR"/>
        </w:rPr>
      </w:pPr>
      <w:r w:rsidRPr="00F13BB3">
        <w:rPr>
          <w:sz w:val="22"/>
          <w:szCs w:val="22"/>
          <w:lang w:val="el-GR"/>
        </w:rPr>
        <w:t>Αδιάγνωστη κολπική αιμορραγία</w:t>
      </w:r>
    </w:p>
    <w:p w:rsidR="00356F05" w:rsidRPr="00F13BB3" w:rsidRDefault="00356F05" w:rsidP="00D150B8">
      <w:pPr>
        <w:pStyle w:val="BodyText"/>
        <w:numPr>
          <w:ilvl w:val="0"/>
          <w:numId w:val="7"/>
        </w:numPr>
        <w:tabs>
          <w:tab w:val="clear" w:pos="720"/>
        </w:tabs>
        <w:spacing w:after="0"/>
        <w:ind w:left="0" w:firstLine="0"/>
        <w:jc w:val="both"/>
        <w:rPr>
          <w:sz w:val="22"/>
          <w:szCs w:val="22"/>
          <w:lang w:val="el-GR"/>
        </w:rPr>
      </w:pPr>
      <w:r w:rsidRPr="00F13BB3">
        <w:rPr>
          <w:sz w:val="22"/>
          <w:szCs w:val="22"/>
          <w:lang w:val="el-GR"/>
        </w:rPr>
        <w:t>Γνωστή παλίνδρομη κύηση ή έκτοπη κύηση</w:t>
      </w:r>
    </w:p>
    <w:p w:rsidR="00356F05" w:rsidRPr="00F13BB3" w:rsidRDefault="00356F05" w:rsidP="00D150B8">
      <w:pPr>
        <w:numPr>
          <w:ilvl w:val="0"/>
          <w:numId w:val="7"/>
        </w:numPr>
        <w:tabs>
          <w:tab w:val="clear" w:pos="720"/>
        </w:tabs>
        <w:ind w:left="0" w:firstLine="0"/>
        <w:jc w:val="both"/>
        <w:rPr>
          <w:sz w:val="22"/>
          <w:szCs w:val="22"/>
          <w:lang w:val="el-GR"/>
        </w:rPr>
      </w:pPr>
      <w:r w:rsidRPr="00F13BB3">
        <w:rPr>
          <w:sz w:val="22"/>
          <w:szCs w:val="22"/>
          <w:lang w:val="el-GR"/>
        </w:rPr>
        <w:t xml:space="preserve">Βαριά ηπατική δυσλειτουργία ή νόσος </w:t>
      </w:r>
    </w:p>
    <w:p w:rsidR="00356F05" w:rsidRPr="00F13BB3" w:rsidRDefault="00356F05" w:rsidP="00D150B8">
      <w:pPr>
        <w:pStyle w:val="BodyText"/>
        <w:numPr>
          <w:ilvl w:val="0"/>
          <w:numId w:val="7"/>
        </w:numPr>
        <w:tabs>
          <w:tab w:val="clear" w:pos="720"/>
        </w:tabs>
        <w:spacing w:after="0"/>
        <w:ind w:left="0" w:firstLine="0"/>
        <w:jc w:val="both"/>
        <w:rPr>
          <w:sz w:val="22"/>
          <w:szCs w:val="22"/>
          <w:lang w:val="el-GR"/>
        </w:rPr>
      </w:pPr>
      <w:r w:rsidRPr="00F13BB3">
        <w:rPr>
          <w:sz w:val="22"/>
          <w:szCs w:val="22"/>
          <w:lang w:val="el-GR"/>
        </w:rPr>
        <w:t>Γνωστός ή πιθανολογούμενος καρκίνος του μαστού ή των γεννητικών οργάνων</w:t>
      </w:r>
    </w:p>
    <w:p w:rsidR="00356F05" w:rsidRPr="00F13BB3" w:rsidRDefault="00356F05" w:rsidP="00D150B8">
      <w:pPr>
        <w:pStyle w:val="BodyText"/>
        <w:numPr>
          <w:ilvl w:val="0"/>
          <w:numId w:val="7"/>
        </w:numPr>
        <w:tabs>
          <w:tab w:val="clear" w:pos="720"/>
        </w:tabs>
        <w:spacing w:after="0"/>
        <w:ind w:left="567" w:hanging="567"/>
        <w:jc w:val="both"/>
        <w:rPr>
          <w:sz w:val="22"/>
          <w:szCs w:val="22"/>
          <w:lang w:val="el-GR"/>
        </w:rPr>
      </w:pPr>
      <w:r w:rsidRPr="00F13BB3">
        <w:rPr>
          <w:sz w:val="22"/>
          <w:szCs w:val="22"/>
          <w:lang w:val="el-GR"/>
        </w:rPr>
        <w:t>Ενεργή αρτηριακή ή φλεβική θρομβοεμβολή ή βαριά θρομβοφλεβίτιδα ή ιστορικό αυτών των συμβάντων</w:t>
      </w:r>
    </w:p>
    <w:p w:rsidR="00356F05" w:rsidRPr="00F13BB3" w:rsidRDefault="00356F05" w:rsidP="00D150B8">
      <w:pPr>
        <w:pStyle w:val="BodyText"/>
        <w:numPr>
          <w:ilvl w:val="0"/>
          <w:numId w:val="7"/>
        </w:numPr>
        <w:tabs>
          <w:tab w:val="clear" w:pos="720"/>
        </w:tabs>
        <w:spacing w:after="0"/>
        <w:ind w:left="0" w:firstLine="0"/>
        <w:jc w:val="both"/>
        <w:rPr>
          <w:sz w:val="22"/>
          <w:szCs w:val="22"/>
          <w:lang w:val="el-GR"/>
        </w:rPr>
      </w:pPr>
      <w:r w:rsidRPr="00F13BB3">
        <w:rPr>
          <w:sz w:val="22"/>
          <w:szCs w:val="22"/>
          <w:lang w:val="el-GR"/>
        </w:rPr>
        <w:t>Πορφυρία</w:t>
      </w:r>
    </w:p>
    <w:p w:rsidR="00356F05" w:rsidRPr="00F13BB3" w:rsidRDefault="00356F05" w:rsidP="00D150B8">
      <w:pPr>
        <w:pStyle w:val="BodyText"/>
        <w:numPr>
          <w:ilvl w:val="0"/>
          <w:numId w:val="7"/>
        </w:numPr>
        <w:tabs>
          <w:tab w:val="clear" w:pos="720"/>
        </w:tabs>
        <w:spacing w:after="0"/>
        <w:ind w:left="567" w:hanging="567"/>
        <w:jc w:val="both"/>
        <w:rPr>
          <w:sz w:val="22"/>
          <w:szCs w:val="22"/>
          <w:lang w:val="el-GR"/>
        </w:rPr>
      </w:pPr>
      <w:r w:rsidRPr="00F13BB3">
        <w:rPr>
          <w:sz w:val="22"/>
          <w:szCs w:val="22"/>
          <w:lang w:val="el-GR"/>
        </w:rPr>
        <w:t>Ιστορικό ιδιοπαθούς ίκτερου, βαρέος κνησμού ή πεμφιγοειδούς της κύησης κατά τη διάρκεια της κύησης.</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Ειδικές προειδοποιήσεις και προφυλάξεις κατά τη χρήση</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Το Prolutex θα πρέπει να διακοπεί εάν πιθανολογείται οποιαδήποτε από τις παρακάτω παθήσεις: Έμφραγμα του μυοκαρδίου, αγγειοεγκεφαλικές διαταραχές, αρτηριακή ή φλεβική θρομβοεμβολή, θρομβοφλεβίτιδα ή θρόμβωση του αμφιβληστροειδούς.</w:t>
      </w:r>
    </w:p>
    <w:p w:rsidR="00356F05" w:rsidRPr="00F13BB3" w:rsidRDefault="00356F05" w:rsidP="00D150B8">
      <w:pPr>
        <w:jc w:val="both"/>
        <w:rPr>
          <w:sz w:val="22"/>
          <w:szCs w:val="22"/>
          <w:lang w:val="el-GR"/>
        </w:rPr>
      </w:pPr>
      <w:r w:rsidRPr="00F13BB3">
        <w:rPr>
          <w:sz w:val="22"/>
          <w:szCs w:val="22"/>
          <w:lang w:val="el-GR"/>
        </w:rPr>
        <w:t>Ενδείκνυται προσοχή σε ασθενείς με ήπια έως μέτρια ηπατική δυσλειτουργία.</w:t>
      </w:r>
    </w:p>
    <w:p w:rsidR="00356F05" w:rsidRPr="00F13BB3" w:rsidRDefault="00356F05" w:rsidP="00D150B8">
      <w:pPr>
        <w:jc w:val="both"/>
        <w:rPr>
          <w:sz w:val="22"/>
          <w:szCs w:val="22"/>
          <w:lang w:val="el-GR"/>
        </w:rPr>
      </w:pPr>
      <w:r w:rsidRPr="00F13BB3">
        <w:rPr>
          <w:sz w:val="22"/>
          <w:szCs w:val="22"/>
          <w:lang w:val="el-GR"/>
        </w:rPr>
        <w:t>Οι ασθενείς με ιστορικό κατάθλιψης πρέπει να παρακολουθούνται στενά. Εξετάστε τη διακοπή εάν επιδεινωθούν τα συμπτώματα.</w:t>
      </w:r>
    </w:p>
    <w:p w:rsidR="00356F05" w:rsidRPr="00F13BB3" w:rsidRDefault="00356F05" w:rsidP="00D150B8">
      <w:pPr>
        <w:jc w:val="both"/>
        <w:rPr>
          <w:sz w:val="22"/>
          <w:szCs w:val="22"/>
          <w:lang w:val="el-GR"/>
        </w:rPr>
      </w:pPr>
      <w:r w:rsidRPr="00F13BB3">
        <w:rPr>
          <w:sz w:val="22"/>
          <w:szCs w:val="22"/>
          <w:lang w:val="el-GR"/>
        </w:rPr>
        <w:t>Eπειδή η προγεστερόνη μπορεί να προκαλέσει κάποιου βαθμού κατακράτηση υγρών, οι παθήσεις που ενδέχεται να επηρεαστούν από αυτόν τον παράγοντα (π.χ. επιληψία, ημικρανία, άσθμα, καρδιακή ή νεφρική δυσλειτουργία) χρήζουν προσεκτικής παρακολούθησης.</w:t>
      </w:r>
    </w:p>
    <w:p w:rsidR="00356F05" w:rsidRPr="00F13BB3" w:rsidRDefault="00356F05" w:rsidP="00D150B8">
      <w:pPr>
        <w:jc w:val="both"/>
        <w:rPr>
          <w:sz w:val="22"/>
          <w:szCs w:val="22"/>
          <w:lang w:val="el-GR"/>
        </w:rPr>
      </w:pPr>
      <w:r w:rsidRPr="00F13BB3">
        <w:rPr>
          <w:sz w:val="22"/>
          <w:szCs w:val="22"/>
          <w:lang w:val="el-GR"/>
        </w:rPr>
        <w:t>Έχει παρατηρηθεί μια μείωση στην ευαισθησία στην ινσουλίνη και επομένως στην ανοχή στη γλυκόζη σε μικρό αριθμό ασθενών που λαμβάνουν φαρμακευτικό συνδυασμό οιστρογόνων-προγεστερόνης. Ο μηχανισμός αυτής της μείωσης δεν είναι γνωστός. Για αυτό το λόγο, οι διαβητικοί ασθενείς θα πρέπει να παρακολουθούνται προσεκτικά κατά τη λήψη θεραπείας με προγεστερόνη (βλ. παράγραφο 4.5).</w:t>
      </w:r>
    </w:p>
    <w:p w:rsidR="00356F05" w:rsidRPr="00F13BB3" w:rsidRDefault="00356F05" w:rsidP="00D150B8">
      <w:pPr>
        <w:jc w:val="both"/>
        <w:rPr>
          <w:sz w:val="22"/>
          <w:szCs w:val="22"/>
          <w:lang w:val="el-GR"/>
        </w:rPr>
      </w:pPr>
      <w:r w:rsidRPr="00F13BB3">
        <w:rPr>
          <w:sz w:val="22"/>
          <w:szCs w:val="22"/>
          <w:lang w:val="el-GR"/>
        </w:rPr>
        <w:t>Η χρήση στεροειδών του φύλου μπορεί επίσης να αυξήσει τον κίνδυνο αγγειακών βλαβών του αμφιβληστροειδούς. Για την αποφυγή αυτών των τελευταίων επιπλοκών, απαιτείται προσοχή σε χρήστες ηλικίας &gt;35 ετών, σε καπνιστές και σε εκείνους με παράγοντες κινδύνου για αρτηριοσκλήρυνση. Η χρήση θα πρέπει να τερματίζεται στην περίπτωση παροδικών ισχαιμικών συμβάντων, εμφάνισης αιφνίδιων βαριών κεφαλαλγιών ή δυσλειτουργιών όρασης που σχετίζονται με οίδημα οπτικής θηλής ή αιμορραγία του αμφιβληστροειδούς.</w:t>
      </w:r>
    </w:p>
    <w:p w:rsidR="00356F05" w:rsidRPr="00F13BB3" w:rsidRDefault="00356F05" w:rsidP="00D150B8">
      <w:pPr>
        <w:jc w:val="both"/>
        <w:rPr>
          <w:sz w:val="22"/>
          <w:szCs w:val="22"/>
          <w:lang w:val="el-GR"/>
        </w:rPr>
      </w:pPr>
      <w:r w:rsidRPr="00F13BB3">
        <w:rPr>
          <w:sz w:val="22"/>
          <w:szCs w:val="22"/>
          <w:lang w:val="el-GR"/>
        </w:rPr>
        <w:t xml:space="preserve">Η αιφνίδια διακοπή της χορήγησης δόσης προγεστερόνης μπορεί να προκαλέσει αύξηση άγχους, κακοδιαθεσία και αυξημένη ευαισθησία σε επιληπτικές κρίσεις. </w:t>
      </w:r>
    </w:p>
    <w:p w:rsidR="00356F05" w:rsidRPr="00A810C9" w:rsidRDefault="00356F05" w:rsidP="00D150B8">
      <w:pPr>
        <w:jc w:val="both"/>
        <w:rPr>
          <w:sz w:val="22"/>
          <w:szCs w:val="22"/>
          <w:lang w:val="el-GR"/>
        </w:rPr>
      </w:pPr>
      <w:r w:rsidRPr="00F13BB3">
        <w:rPr>
          <w:sz w:val="22"/>
          <w:szCs w:val="22"/>
          <w:lang w:val="el-GR"/>
        </w:rPr>
        <w:t xml:space="preserve">Πριν από την έναρξη της θεραπείας με το  Prolutex, η ασθενής και ο σύντροφός της θα πρέπει να εξεταστούν από ένα γιατρό για αιτίες υπογονιμότητας ή επιπλοκών κύησης. </w:t>
      </w:r>
    </w:p>
    <w:p w:rsidR="00356F05" w:rsidRPr="00A810C9" w:rsidRDefault="00356F05" w:rsidP="00D150B8">
      <w:pPr>
        <w:jc w:val="both"/>
        <w:rPr>
          <w:strike/>
          <w:sz w:val="22"/>
          <w:szCs w:val="22"/>
          <w:lang w:val="el-GR"/>
        </w:rPr>
      </w:pPr>
    </w:p>
    <w:p w:rsidR="00356F05" w:rsidRPr="00F13BB3" w:rsidRDefault="00356F05" w:rsidP="00D150B8">
      <w:pPr>
        <w:jc w:val="both"/>
        <w:rPr>
          <w:sz w:val="22"/>
          <w:szCs w:val="22"/>
          <w:lang w:val="el-GR"/>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Αλληλεπιδράσεις με άλλα φαρμακευτικά προϊόντα και άλλες μορφές αλληλεπίδρασης</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 xml:space="preserve">Φάρμακα που είναι γνωστό ότι επάγουν το σύστημα ηπατικού κυτοχρώματος-P450-3A4 (π.χ. ριφαμπικίνη, καρβαμαζεπίνη, γκριζεοφουλβίνη, φαινοβαρβιτάλη, φαινυτοΐνη ή St. John’s Wort (φυτικά προϊόντα που περιέχουν Hypericum perforatum) μπορεί να αυξήσουν το ρυθμό αποβολής και επομένως να μειώσουν τη βιοδιαθεσιμότητα της προγεστερόνης. </w:t>
      </w:r>
    </w:p>
    <w:p w:rsidR="00356F05" w:rsidRPr="00F13BB3" w:rsidRDefault="00356F05" w:rsidP="00D150B8">
      <w:pPr>
        <w:jc w:val="both"/>
        <w:rPr>
          <w:sz w:val="22"/>
          <w:szCs w:val="22"/>
          <w:lang w:val="el-GR"/>
        </w:rPr>
      </w:pPr>
      <w:r w:rsidRPr="00F13BB3">
        <w:rPr>
          <w:sz w:val="22"/>
          <w:szCs w:val="22"/>
          <w:lang w:val="el-GR"/>
        </w:rPr>
        <w:t>Αντίθετα η κετοκοναζόλη και άλλοι αναστολείς του κυτοχρώματος P450-3A4 μπορεί να μειώσουν το ρυθμό αποβολής και επομένως να αυξήσουν τη βιοδιαθεσιμότητα της προγεστερόνης.</w:t>
      </w:r>
    </w:p>
    <w:p w:rsidR="00356F05" w:rsidRPr="00F13BB3" w:rsidRDefault="00356F05" w:rsidP="00D150B8">
      <w:pPr>
        <w:jc w:val="both"/>
        <w:rPr>
          <w:sz w:val="22"/>
          <w:szCs w:val="22"/>
          <w:lang w:val="el-GR"/>
        </w:rPr>
      </w:pPr>
      <w:r w:rsidRPr="00F13BB3">
        <w:rPr>
          <w:sz w:val="22"/>
          <w:szCs w:val="22"/>
          <w:lang w:val="el-GR"/>
        </w:rPr>
        <w:t xml:space="preserve">Επειδή η προγεστερόνη μπορεί να επηρεάσει τον διαβητικό έλεγχο, μπορεί να απαιτείται μια προσαρμογή στη δοσολογία των αντιδιαβητικών (βλ. παράγραφο 4.4). </w:t>
      </w:r>
    </w:p>
    <w:p w:rsidR="00356F05" w:rsidRPr="00F13BB3" w:rsidRDefault="00356F05" w:rsidP="00D150B8">
      <w:pPr>
        <w:jc w:val="both"/>
        <w:rPr>
          <w:sz w:val="22"/>
          <w:szCs w:val="22"/>
          <w:lang w:val="el-GR"/>
        </w:rPr>
      </w:pPr>
      <w:r w:rsidRPr="00F13BB3">
        <w:rPr>
          <w:sz w:val="22"/>
          <w:szCs w:val="22"/>
          <w:lang w:val="el-GR"/>
        </w:rPr>
        <w:t>Οι προγεστερόνες μπορεί να αναστείλουν τον μεταβολισμό της κυκλοσπορίνης οδηγώντας σε αυξημένες συγκεντρώσεις κυκλοσπορίνης στο πλάσμα και κίνδυνο τοξικότητας.</w:t>
      </w:r>
    </w:p>
    <w:p w:rsidR="00356F05" w:rsidRPr="00F13BB3" w:rsidRDefault="00356F05" w:rsidP="00D150B8">
      <w:pPr>
        <w:jc w:val="both"/>
        <w:rPr>
          <w:sz w:val="22"/>
          <w:szCs w:val="22"/>
          <w:lang w:val="el-GR"/>
        </w:rPr>
      </w:pPr>
      <w:r w:rsidRPr="00F13BB3">
        <w:rPr>
          <w:sz w:val="22"/>
          <w:szCs w:val="22"/>
          <w:lang w:val="el-GR"/>
        </w:rPr>
        <w:t>Η επίδραση συνοδών ενέσιμων προϊόντων στην έκθεση προγεστερόνης από το Prolutex δεν έχει αξιολογηθεί. Η ταυτόχρονη χρήση με άλλα φάρμακα δεν συνιστάται.</w:t>
      </w:r>
    </w:p>
    <w:p w:rsidR="00356F05" w:rsidRPr="00F13BB3" w:rsidRDefault="00356F05" w:rsidP="00D150B8">
      <w:pPr>
        <w:jc w:val="both"/>
        <w:rPr>
          <w:strike/>
          <w:sz w:val="22"/>
          <w:szCs w:val="22"/>
          <w:lang w:val="el-GR"/>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Γονιμότητα, κύηση και γαλουχία</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Γονιμότητα</w:t>
      </w:r>
    </w:p>
    <w:p w:rsidR="00356F05" w:rsidRPr="00F13BB3" w:rsidRDefault="00356F05" w:rsidP="00D150B8">
      <w:pPr>
        <w:jc w:val="both"/>
        <w:rPr>
          <w:sz w:val="22"/>
          <w:szCs w:val="22"/>
          <w:lang w:val="el-GR"/>
        </w:rPr>
      </w:pPr>
      <w:r w:rsidRPr="00F13BB3">
        <w:rPr>
          <w:sz w:val="22"/>
          <w:szCs w:val="22"/>
          <w:lang w:val="el-GR"/>
        </w:rPr>
        <w:t xml:space="preserve">Το Prolutex χρησιμοποιείται για τη θεραπεία ορισμένων μορφών υπογονιμότητας (βλ. παράγραφο 4.1 για πλήρεις λεπτομέρειες). </w:t>
      </w:r>
    </w:p>
    <w:p w:rsidR="00356F05" w:rsidRPr="00F13BB3" w:rsidRDefault="00356F05" w:rsidP="00D150B8">
      <w:pPr>
        <w:jc w:val="both"/>
        <w:rPr>
          <w:sz w:val="22"/>
          <w:szCs w:val="22"/>
          <w:lang w:val="el-GR"/>
        </w:rPr>
      </w:pPr>
    </w:p>
    <w:p w:rsidR="00356F05" w:rsidRPr="00F13BB3" w:rsidRDefault="00356F05" w:rsidP="00D150B8">
      <w:pPr>
        <w:widowControl w:val="0"/>
        <w:rPr>
          <w:noProof/>
          <w:sz w:val="22"/>
          <w:szCs w:val="22"/>
          <w:lang w:val="el-GR"/>
        </w:rPr>
      </w:pPr>
      <w:r w:rsidRPr="00F13BB3">
        <w:rPr>
          <w:sz w:val="22"/>
          <w:szCs w:val="22"/>
          <w:lang w:val="el-GR"/>
        </w:rPr>
        <w:t>Εγκυμοσύνη</w:t>
      </w:r>
    </w:p>
    <w:p w:rsidR="00356F05" w:rsidRPr="00F13BB3" w:rsidRDefault="00356F05" w:rsidP="00D150B8">
      <w:pPr>
        <w:jc w:val="both"/>
        <w:rPr>
          <w:sz w:val="22"/>
          <w:szCs w:val="22"/>
          <w:lang w:val="el-GR"/>
        </w:rPr>
      </w:pPr>
      <w:r w:rsidRPr="00F13BB3">
        <w:rPr>
          <w:sz w:val="22"/>
          <w:szCs w:val="22"/>
          <w:lang w:val="el-GR"/>
        </w:rPr>
        <w:t>Το Prolutex ενδείκνυται για υποστήριξη του ωχρού σωματίου ως μέρος ενός θεραπευτικού προγράμματος τεχνολογίας υποβοηθούμενης αναπαραγωγής [Assisted Reproductive Technology (ART)] σε υπογόνιμες γυναίκες.</w:t>
      </w:r>
    </w:p>
    <w:p w:rsidR="00356F05" w:rsidRPr="00F13BB3" w:rsidRDefault="00356F05" w:rsidP="00D150B8">
      <w:pPr>
        <w:jc w:val="both"/>
        <w:rPr>
          <w:sz w:val="22"/>
          <w:szCs w:val="22"/>
          <w:lang w:val="el-GR"/>
        </w:rPr>
      </w:pPr>
      <w:r w:rsidRPr="00F13BB3">
        <w:rPr>
          <w:sz w:val="22"/>
          <w:szCs w:val="22"/>
          <w:lang w:val="el-GR"/>
        </w:rPr>
        <w:t xml:space="preserve">Υπάρχουν περιορισμένα και μη καταληκτικά δεδομένα για τον κίνδυνο συγγενών ανωμαλιών, συμπεριλαμβανομένων γενετικών ανωμαλιών σε αρσενικά ή θηλυκά βρέφη, μετά από ενδομήτρια έκθεση κατά την κύηση. Tα ποσοστά συγγενών ανωμαλιών, αυτόματης αποβολής και έκτοπων κυήσεων που παρατηρήθηκαν κατά την κλινική δοκιμή ήταν συγκρίσιμα με το ποσοστό συμβάντων που περιγράφηκε στο γενικό πληθυσμό παρόλο που η συνολική έκθεση είναι πολύ χαμηλή για να επιτραπεί η εξαγωγή συμπερασμάτων. </w:t>
      </w:r>
    </w:p>
    <w:p w:rsidR="00356F05" w:rsidRPr="00F13BB3" w:rsidRDefault="00356F05" w:rsidP="00D150B8">
      <w:pPr>
        <w:jc w:val="both"/>
        <w:rPr>
          <w:sz w:val="22"/>
          <w:szCs w:val="22"/>
          <w:lang w:val="el-GR"/>
        </w:rPr>
      </w:pPr>
    </w:p>
    <w:p w:rsidR="00356F05" w:rsidRPr="00F13BB3" w:rsidRDefault="00356F05" w:rsidP="00D150B8">
      <w:pPr>
        <w:jc w:val="both"/>
        <w:rPr>
          <w:sz w:val="22"/>
          <w:szCs w:val="22"/>
          <w:lang w:val="el-GR"/>
        </w:rPr>
      </w:pPr>
      <w:r w:rsidRPr="00F13BB3">
        <w:rPr>
          <w:sz w:val="22"/>
          <w:szCs w:val="22"/>
          <w:lang w:val="el-GR"/>
        </w:rPr>
        <w:t>Θηλασμός</w:t>
      </w:r>
    </w:p>
    <w:p w:rsidR="00356F05" w:rsidRPr="00F13BB3" w:rsidRDefault="00356F05" w:rsidP="00D150B8">
      <w:pPr>
        <w:jc w:val="both"/>
        <w:rPr>
          <w:sz w:val="22"/>
          <w:szCs w:val="22"/>
          <w:lang w:val="el-GR"/>
        </w:rPr>
      </w:pPr>
      <w:r w:rsidRPr="00F13BB3">
        <w:rPr>
          <w:sz w:val="22"/>
          <w:szCs w:val="22"/>
          <w:lang w:val="el-GR"/>
        </w:rPr>
        <w:t>Η προγεστερόνη απεκκρίνεται στο ανθρώπινο γάλα και το Prolutex δεν θα πρέπει να χρησιμοποιείται κατά τη διάρκεια του θηλασμού.</w:t>
      </w:r>
    </w:p>
    <w:p w:rsidR="00356F05" w:rsidRPr="00F13BB3" w:rsidRDefault="00356F05" w:rsidP="00D150B8">
      <w:pPr>
        <w:jc w:val="both"/>
        <w:rPr>
          <w:sz w:val="22"/>
          <w:szCs w:val="22"/>
          <w:lang w:val="el-GR"/>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Επιδράσεις στην ικανότητα οδήγησης και χειρισμού μηχανών</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Το Prolutex έχει μικρή ή μέτρια επίδραση στην ικανότητα οδήγησης και χειρισμού μηχανών. Η προγεστερόνη μπορεί να προκαλέσει υπνηλία ή και ζάλη. Επομένως, συνιστάται προσοχή στους οδηγούς και σε αυτούς που χειρίζονται μηχανές.</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0"/>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Ανεπιθύμητες ενέργειες</w:t>
      </w: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 xml:space="preserve">Οι συχνότερα αναφερόμενες ανεπιθύμητες αντιδράσεις φαρμάκου κατά τη θεραπεία με το Prolutex κατά τη διάρκεια κλινικής δοκιμής είναι αντιδράσεις της θέσης χορήγησης και διαταραχές του μαστού, καθώς και αιδοιοκολπικές διαταραχές. </w:t>
      </w:r>
    </w:p>
    <w:p w:rsidR="00356F05" w:rsidRPr="00F13BB3" w:rsidRDefault="00356F05" w:rsidP="00D150B8">
      <w:pPr>
        <w:jc w:val="both"/>
        <w:rPr>
          <w:sz w:val="22"/>
          <w:szCs w:val="22"/>
          <w:lang w:val="el-GR"/>
        </w:rPr>
      </w:pPr>
      <w:r w:rsidRPr="00F13BB3">
        <w:rPr>
          <w:sz w:val="22"/>
          <w:szCs w:val="22"/>
          <w:lang w:val="el-GR"/>
        </w:rPr>
        <w:t>Ο παρακάτω πίνακας απεικονίζει τις κύριες ανεπιθύμητες αντιδράσεις φαρμάκου σε γυναίκες υπό αγωγή με το Prolutex στην πιλοτική κλινική δοκιμή. Τα δεδομένα αναφέρονται ανά κατηγορία οργανικού συστήματος και ανά συχνότητα.</w:t>
      </w:r>
    </w:p>
    <w:tbl>
      <w:tblPr>
        <w:tblW w:w="88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1"/>
        <w:gridCol w:w="1984"/>
        <w:gridCol w:w="2369"/>
        <w:gridCol w:w="2071"/>
      </w:tblGrid>
      <w:tr w:rsidR="00356F05" w:rsidRPr="00F13BB3">
        <w:trPr>
          <w:trHeight w:val="794"/>
        </w:trPr>
        <w:tc>
          <w:tcPr>
            <w:tcW w:w="2441" w:type="dxa"/>
          </w:tcPr>
          <w:p w:rsidR="00356F05" w:rsidRPr="00F13BB3" w:rsidRDefault="00356F05" w:rsidP="00D150B8">
            <w:pPr>
              <w:jc w:val="both"/>
              <w:rPr>
                <w:lang w:val="el-GR"/>
              </w:rPr>
            </w:pPr>
            <w:r w:rsidRPr="00F13BB3">
              <w:rPr>
                <w:b/>
                <w:bCs/>
                <w:i/>
                <w:iCs/>
                <w:sz w:val="22"/>
                <w:szCs w:val="22"/>
                <w:lang w:val="el-GR"/>
              </w:rPr>
              <w:t>Kατηγορία/οργανικό σύστημα</w:t>
            </w:r>
          </w:p>
        </w:tc>
        <w:tc>
          <w:tcPr>
            <w:tcW w:w="1984" w:type="dxa"/>
          </w:tcPr>
          <w:p w:rsidR="00356F05" w:rsidRPr="00F13BB3" w:rsidRDefault="00356F05" w:rsidP="00D150B8">
            <w:pPr>
              <w:jc w:val="both"/>
              <w:rPr>
                <w:lang w:val="el-GR"/>
              </w:rPr>
            </w:pPr>
            <w:r w:rsidRPr="00F13BB3">
              <w:rPr>
                <w:b/>
                <w:bCs/>
                <w:i/>
                <w:iCs/>
                <w:sz w:val="22"/>
                <w:szCs w:val="22"/>
                <w:u w:val="single"/>
                <w:lang w:val="el-GR"/>
              </w:rPr>
              <w:t xml:space="preserve">Πολύ συχνές </w:t>
            </w:r>
          </w:p>
          <w:p w:rsidR="00356F05" w:rsidRPr="00F13BB3" w:rsidRDefault="00356F05" w:rsidP="00D150B8">
            <w:pPr>
              <w:jc w:val="both"/>
              <w:rPr>
                <w:b/>
                <w:bCs/>
                <w:i/>
                <w:iCs/>
                <w:u w:val="single"/>
                <w:lang w:val="el-GR"/>
              </w:rPr>
            </w:pPr>
            <w:r w:rsidRPr="00F13BB3">
              <w:rPr>
                <w:b/>
                <w:bCs/>
                <w:i/>
                <w:iCs/>
                <w:sz w:val="22"/>
                <w:szCs w:val="22"/>
                <w:u w:val="single"/>
                <w:lang w:val="el-GR"/>
              </w:rPr>
              <w:t>(≥ 1/10)</w:t>
            </w:r>
          </w:p>
        </w:tc>
        <w:tc>
          <w:tcPr>
            <w:tcW w:w="2369" w:type="dxa"/>
          </w:tcPr>
          <w:p w:rsidR="00356F05" w:rsidRPr="00F13BB3" w:rsidRDefault="00356F05" w:rsidP="00D150B8">
            <w:pPr>
              <w:jc w:val="both"/>
              <w:rPr>
                <w:lang w:val="el-GR"/>
              </w:rPr>
            </w:pPr>
            <w:r w:rsidRPr="00F13BB3">
              <w:rPr>
                <w:b/>
                <w:bCs/>
                <w:i/>
                <w:iCs/>
                <w:sz w:val="22"/>
                <w:szCs w:val="22"/>
                <w:u w:val="single"/>
                <w:lang w:val="el-GR"/>
              </w:rPr>
              <w:t xml:space="preserve">Συχνές </w:t>
            </w:r>
          </w:p>
          <w:p w:rsidR="00356F05" w:rsidRPr="00F13BB3" w:rsidRDefault="00356F05" w:rsidP="00D150B8">
            <w:pPr>
              <w:jc w:val="both"/>
              <w:rPr>
                <w:lang w:val="el-GR"/>
              </w:rPr>
            </w:pPr>
            <w:r w:rsidRPr="00F13BB3">
              <w:rPr>
                <w:b/>
                <w:bCs/>
                <w:i/>
                <w:iCs/>
                <w:sz w:val="22"/>
                <w:szCs w:val="22"/>
                <w:u w:val="single"/>
                <w:lang w:val="el-GR"/>
              </w:rPr>
              <w:t>(≥ 1/100 έως &lt; 1/10)</w:t>
            </w:r>
          </w:p>
        </w:tc>
        <w:tc>
          <w:tcPr>
            <w:tcW w:w="2071" w:type="dxa"/>
          </w:tcPr>
          <w:p w:rsidR="00356F05" w:rsidRPr="00F13BB3" w:rsidRDefault="00356F05" w:rsidP="00D150B8">
            <w:pPr>
              <w:jc w:val="both"/>
              <w:rPr>
                <w:b/>
                <w:bCs/>
                <w:i/>
                <w:iCs/>
                <w:u w:val="single"/>
                <w:lang w:val="el-GR"/>
              </w:rPr>
            </w:pPr>
            <w:r w:rsidRPr="00F13BB3">
              <w:rPr>
                <w:b/>
                <w:bCs/>
                <w:i/>
                <w:iCs/>
                <w:sz w:val="22"/>
                <w:szCs w:val="22"/>
                <w:u w:val="single"/>
                <w:lang w:val="el-GR"/>
              </w:rPr>
              <w:t>Όχι συχνές</w:t>
            </w:r>
          </w:p>
          <w:p w:rsidR="00356F05" w:rsidRPr="00F13BB3" w:rsidRDefault="00356F05" w:rsidP="00D150B8">
            <w:pPr>
              <w:jc w:val="both"/>
              <w:rPr>
                <w:lang w:val="el-GR"/>
              </w:rPr>
            </w:pPr>
            <w:r w:rsidRPr="00F13BB3">
              <w:rPr>
                <w:b/>
                <w:bCs/>
                <w:i/>
                <w:iCs/>
                <w:sz w:val="22"/>
                <w:szCs w:val="22"/>
                <w:u w:val="single"/>
                <w:lang w:val="el-GR"/>
              </w:rPr>
              <w:t>(≥ 1/1.000 έως &lt; 1/100)</w:t>
            </w:r>
          </w:p>
        </w:tc>
      </w:tr>
      <w:tr w:rsidR="00356F05" w:rsidRPr="00F13BB3">
        <w:trPr>
          <w:trHeight w:val="260"/>
        </w:trPr>
        <w:tc>
          <w:tcPr>
            <w:tcW w:w="2441" w:type="dxa"/>
          </w:tcPr>
          <w:p w:rsidR="00356F05" w:rsidRPr="00F13BB3" w:rsidRDefault="00356F05" w:rsidP="00D150B8">
            <w:pPr>
              <w:jc w:val="both"/>
              <w:rPr>
                <w:lang w:val="el-GR"/>
              </w:rPr>
            </w:pPr>
            <w:r w:rsidRPr="00F13BB3">
              <w:rPr>
                <w:sz w:val="22"/>
                <w:szCs w:val="22"/>
                <w:lang w:val="el-GR"/>
              </w:rPr>
              <w:t>Ψυχιατρικές διαταραχές</w:t>
            </w:r>
          </w:p>
        </w:tc>
        <w:tc>
          <w:tcPr>
            <w:tcW w:w="1984" w:type="dxa"/>
          </w:tcPr>
          <w:p w:rsidR="00356F05" w:rsidRPr="00F13BB3" w:rsidRDefault="00356F05" w:rsidP="00D150B8">
            <w:pPr>
              <w:jc w:val="both"/>
              <w:rPr>
                <w:lang w:val="el-GR"/>
              </w:rPr>
            </w:pPr>
          </w:p>
        </w:tc>
        <w:tc>
          <w:tcPr>
            <w:tcW w:w="2369" w:type="dxa"/>
          </w:tcPr>
          <w:p w:rsidR="00356F05" w:rsidRPr="00F13BB3" w:rsidRDefault="00356F05" w:rsidP="00D150B8">
            <w:pPr>
              <w:jc w:val="both"/>
              <w:rPr>
                <w:lang w:val="el-GR"/>
              </w:rPr>
            </w:pPr>
          </w:p>
        </w:tc>
        <w:tc>
          <w:tcPr>
            <w:tcW w:w="2071" w:type="dxa"/>
          </w:tcPr>
          <w:p w:rsidR="00356F05" w:rsidRPr="00F13BB3" w:rsidRDefault="00356F05" w:rsidP="00D150B8">
            <w:pPr>
              <w:jc w:val="both"/>
              <w:rPr>
                <w:lang w:val="el-GR"/>
              </w:rPr>
            </w:pPr>
            <w:r w:rsidRPr="00F13BB3">
              <w:rPr>
                <w:sz w:val="22"/>
                <w:szCs w:val="22"/>
                <w:lang w:val="el-GR"/>
              </w:rPr>
              <w:t>Αλλαγή διάθεσης</w:t>
            </w:r>
          </w:p>
        </w:tc>
      </w:tr>
      <w:tr w:rsidR="00356F05" w:rsidRPr="00F13BB3">
        <w:trPr>
          <w:trHeight w:val="534"/>
        </w:trPr>
        <w:tc>
          <w:tcPr>
            <w:tcW w:w="2441" w:type="dxa"/>
          </w:tcPr>
          <w:p w:rsidR="00356F05" w:rsidRPr="00F13BB3" w:rsidRDefault="00356F05" w:rsidP="00D150B8">
            <w:pPr>
              <w:rPr>
                <w:lang w:val="el-GR"/>
              </w:rPr>
            </w:pPr>
            <w:r w:rsidRPr="00F13BB3">
              <w:rPr>
                <w:sz w:val="22"/>
                <w:szCs w:val="22"/>
                <w:lang w:val="el-GR"/>
              </w:rPr>
              <w:t xml:space="preserve">Διαταραχές του νευρικού συστήματος </w:t>
            </w:r>
          </w:p>
        </w:tc>
        <w:tc>
          <w:tcPr>
            <w:tcW w:w="1984" w:type="dxa"/>
          </w:tcPr>
          <w:p w:rsidR="00356F05" w:rsidRPr="00F13BB3" w:rsidRDefault="00356F05" w:rsidP="00D150B8">
            <w:pPr>
              <w:jc w:val="both"/>
              <w:rPr>
                <w:lang w:val="el-GR"/>
              </w:rPr>
            </w:pPr>
          </w:p>
        </w:tc>
        <w:tc>
          <w:tcPr>
            <w:tcW w:w="2369" w:type="dxa"/>
          </w:tcPr>
          <w:p w:rsidR="00356F05" w:rsidRPr="00F13BB3" w:rsidRDefault="00356F05" w:rsidP="00D150B8">
            <w:pPr>
              <w:jc w:val="both"/>
              <w:rPr>
                <w:lang w:val="el-GR"/>
              </w:rPr>
            </w:pPr>
            <w:r w:rsidRPr="00F13BB3">
              <w:rPr>
                <w:sz w:val="22"/>
                <w:szCs w:val="22"/>
                <w:lang w:val="el-GR"/>
              </w:rPr>
              <w:t>Κεφαλαλγία</w:t>
            </w:r>
          </w:p>
        </w:tc>
        <w:tc>
          <w:tcPr>
            <w:tcW w:w="2071" w:type="dxa"/>
          </w:tcPr>
          <w:p w:rsidR="00356F05" w:rsidRPr="00F13BB3" w:rsidRDefault="00356F05" w:rsidP="00D150B8">
            <w:pPr>
              <w:jc w:val="both"/>
              <w:rPr>
                <w:lang w:val="el-GR"/>
              </w:rPr>
            </w:pPr>
            <w:r w:rsidRPr="00F13BB3">
              <w:rPr>
                <w:sz w:val="22"/>
                <w:szCs w:val="22"/>
                <w:lang w:val="el-GR"/>
              </w:rPr>
              <w:t>Ζάλη,</w:t>
            </w:r>
          </w:p>
          <w:p w:rsidR="00356F05" w:rsidRPr="00F13BB3" w:rsidRDefault="00356F05" w:rsidP="00D150B8">
            <w:pPr>
              <w:jc w:val="both"/>
              <w:rPr>
                <w:lang w:val="el-GR"/>
              </w:rPr>
            </w:pPr>
            <w:r w:rsidRPr="00F13BB3">
              <w:rPr>
                <w:sz w:val="22"/>
                <w:szCs w:val="22"/>
                <w:lang w:val="el-GR"/>
              </w:rPr>
              <w:t>Υπνηλία</w:t>
            </w:r>
          </w:p>
        </w:tc>
      </w:tr>
      <w:tr w:rsidR="00356F05" w:rsidRPr="00F13BB3">
        <w:trPr>
          <w:trHeight w:val="1314"/>
        </w:trPr>
        <w:tc>
          <w:tcPr>
            <w:tcW w:w="2441" w:type="dxa"/>
          </w:tcPr>
          <w:p w:rsidR="00356F05" w:rsidRPr="00F13BB3" w:rsidRDefault="00356F05" w:rsidP="00D150B8">
            <w:pPr>
              <w:rPr>
                <w:lang w:val="el-GR"/>
              </w:rPr>
            </w:pPr>
            <w:r w:rsidRPr="00F13BB3">
              <w:rPr>
                <w:sz w:val="22"/>
                <w:szCs w:val="22"/>
                <w:lang w:val="el-GR"/>
              </w:rPr>
              <w:t>Διαταραχές του γαστρεντερικού</w:t>
            </w:r>
          </w:p>
        </w:tc>
        <w:tc>
          <w:tcPr>
            <w:tcW w:w="1984" w:type="dxa"/>
          </w:tcPr>
          <w:p w:rsidR="00356F05" w:rsidRPr="00F13BB3" w:rsidRDefault="00356F05" w:rsidP="00D150B8">
            <w:pPr>
              <w:jc w:val="both"/>
              <w:rPr>
                <w:lang w:val="el-GR"/>
              </w:rPr>
            </w:pPr>
          </w:p>
        </w:tc>
        <w:tc>
          <w:tcPr>
            <w:tcW w:w="2369" w:type="dxa"/>
          </w:tcPr>
          <w:p w:rsidR="00356F05" w:rsidRPr="00F13BB3" w:rsidRDefault="00356F05" w:rsidP="00D150B8">
            <w:pPr>
              <w:rPr>
                <w:lang w:val="el-GR"/>
              </w:rPr>
            </w:pPr>
            <w:r w:rsidRPr="00F13BB3">
              <w:rPr>
                <w:sz w:val="22"/>
                <w:szCs w:val="22"/>
                <w:lang w:val="el-GR"/>
              </w:rPr>
              <w:t>Κοιλιακή διάταση Κοιλιακός πόνος</w:t>
            </w:r>
          </w:p>
          <w:p w:rsidR="00356F05" w:rsidRPr="00F13BB3" w:rsidRDefault="00356F05" w:rsidP="00D150B8">
            <w:pPr>
              <w:jc w:val="both"/>
              <w:rPr>
                <w:lang w:val="el-GR"/>
              </w:rPr>
            </w:pPr>
            <w:r w:rsidRPr="00F13BB3">
              <w:rPr>
                <w:sz w:val="22"/>
                <w:szCs w:val="22"/>
                <w:lang w:val="el-GR"/>
              </w:rPr>
              <w:t>Ναυτία</w:t>
            </w:r>
          </w:p>
          <w:p w:rsidR="00356F05" w:rsidRPr="00F13BB3" w:rsidRDefault="00356F05" w:rsidP="00D150B8">
            <w:pPr>
              <w:jc w:val="both"/>
              <w:rPr>
                <w:lang w:val="el-GR"/>
              </w:rPr>
            </w:pPr>
            <w:r w:rsidRPr="00F13BB3">
              <w:rPr>
                <w:sz w:val="22"/>
                <w:szCs w:val="22"/>
                <w:lang w:val="el-GR"/>
              </w:rPr>
              <w:t>Έμετος</w:t>
            </w:r>
          </w:p>
          <w:p w:rsidR="00356F05" w:rsidRPr="00F13BB3" w:rsidRDefault="00356F05" w:rsidP="00D150B8">
            <w:pPr>
              <w:jc w:val="both"/>
              <w:rPr>
                <w:lang w:val="el-GR"/>
              </w:rPr>
            </w:pPr>
            <w:r w:rsidRPr="00F13BB3">
              <w:rPr>
                <w:sz w:val="22"/>
                <w:szCs w:val="22"/>
                <w:lang w:val="el-GR"/>
              </w:rPr>
              <w:t>Δυσκοιλιότητα</w:t>
            </w:r>
          </w:p>
        </w:tc>
        <w:tc>
          <w:tcPr>
            <w:tcW w:w="2071" w:type="dxa"/>
          </w:tcPr>
          <w:p w:rsidR="00356F05" w:rsidRPr="00F13BB3" w:rsidRDefault="00356F05" w:rsidP="00D150B8">
            <w:pPr>
              <w:jc w:val="both"/>
              <w:rPr>
                <w:lang w:val="el-GR"/>
              </w:rPr>
            </w:pPr>
            <w:r w:rsidRPr="00F13BB3">
              <w:rPr>
                <w:sz w:val="22"/>
                <w:szCs w:val="22"/>
                <w:lang w:val="el-GR"/>
              </w:rPr>
              <w:t>Γαστρεντερικές διαταραχές</w:t>
            </w:r>
          </w:p>
        </w:tc>
      </w:tr>
      <w:tr w:rsidR="00356F05" w:rsidRPr="00F13BB3">
        <w:trPr>
          <w:trHeight w:val="534"/>
        </w:trPr>
        <w:tc>
          <w:tcPr>
            <w:tcW w:w="2441" w:type="dxa"/>
          </w:tcPr>
          <w:p w:rsidR="00356F05" w:rsidRPr="00F13BB3" w:rsidRDefault="00356F05" w:rsidP="00D150B8">
            <w:pPr>
              <w:rPr>
                <w:lang w:val="el-GR"/>
              </w:rPr>
            </w:pPr>
            <w:r w:rsidRPr="00F13BB3">
              <w:rPr>
                <w:sz w:val="22"/>
                <w:szCs w:val="22"/>
                <w:lang w:val="el-GR"/>
              </w:rPr>
              <w:t>Διαταραχές του δέρματος και του υποδόριου ιστού</w:t>
            </w:r>
          </w:p>
        </w:tc>
        <w:tc>
          <w:tcPr>
            <w:tcW w:w="1984" w:type="dxa"/>
          </w:tcPr>
          <w:p w:rsidR="00356F05" w:rsidRPr="00F13BB3" w:rsidRDefault="00356F05" w:rsidP="00D150B8">
            <w:pPr>
              <w:jc w:val="both"/>
              <w:rPr>
                <w:lang w:val="el-GR"/>
              </w:rPr>
            </w:pPr>
          </w:p>
        </w:tc>
        <w:tc>
          <w:tcPr>
            <w:tcW w:w="2369" w:type="dxa"/>
          </w:tcPr>
          <w:p w:rsidR="00356F05" w:rsidRPr="00F13BB3" w:rsidRDefault="00356F05" w:rsidP="00D150B8">
            <w:pPr>
              <w:jc w:val="both"/>
              <w:rPr>
                <w:lang w:val="el-GR"/>
              </w:rPr>
            </w:pPr>
          </w:p>
        </w:tc>
        <w:tc>
          <w:tcPr>
            <w:tcW w:w="2071" w:type="dxa"/>
          </w:tcPr>
          <w:p w:rsidR="00356F05" w:rsidRPr="00F13BB3" w:rsidRDefault="00356F05" w:rsidP="00D150B8">
            <w:pPr>
              <w:jc w:val="both"/>
              <w:rPr>
                <w:lang w:val="el-GR"/>
              </w:rPr>
            </w:pPr>
            <w:r w:rsidRPr="00F13BB3">
              <w:rPr>
                <w:sz w:val="22"/>
                <w:szCs w:val="22"/>
                <w:lang w:val="el-GR"/>
              </w:rPr>
              <w:t>Κνησμός</w:t>
            </w:r>
          </w:p>
          <w:p w:rsidR="00356F05" w:rsidRPr="00F13BB3" w:rsidRDefault="00356F05" w:rsidP="00D150B8">
            <w:pPr>
              <w:jc w:val="both"/>
              <w:rPr>
                <w:lang w:val="el-GR"/>
              </w:rPr>
            </w:pPr>
            <w:r w:rsidRPr="00F13BB3">
              <w:rPr>
                <w:sz w:val="22"/>
                <w:szCs w:val="22"/>
                <w:lang w:val="el-GR"/>
              </w:rPr>
              <w:t>Εξάνθημα</w:t>
            </w:r>
          </w:p>
        </w:tc>
      </w:tr>
      <w:tr w:rsidR="00356F05" w:rsidRPr="00F13BB3">
        <w:trPr>
          <w:trHeight w:val="1863"/>
        </w:trPr>
        <w:tc>
          <w:tcPr>
            <w:tcW w:w="2441" w:type="dxa"/>
          </w:tcPr>
          <w:p w:rsidR="00356F05" w:rsidRPr="00F13BB3" w:rsidRDefault="00356F05" w:rsidP="00D150B8">
            <w:pPr>
              <w:rPr>
                <w:lang w:val="el-GR"/>
              </w:rPr>
            </w:pPr>
            <w:r w:rsidRPr="00F13BB3">
              <w:rPr>
                <w:sz w:val="22"/>
                <w:szCs w:val="22"/>
                <w:lang w:val="el-GR"/>
              </w:rPr>
              <w:t>Διαταραχές του αναπαραγωγικού συστήματος και του μαστού</w:t>
            </w:r>
          </w:p>
        </w:tc>
        <w:tc>
          <w:tcPr>
            <w:tcW w:w="1984" w:type="dxa"/>
          </w:tcPr>
          <w:p w:rsidR="00356F05" w:rsidRPr="00F13BB3" w:rsidRDefault="00356F05" w:rsidP="00D150B8">
            <w:pPr>
              <w:jc w:val="both"/>
              <w:rPr>
                <w:lang w:val="el-GR"/>
              </w:rPr>
            </w:pPr>
            <w:r w:rsidRPr="00F13BB3">
              <w:rPr>
                <w:sz w:val="22"/>
                <w:szCs w:val="22"/>
                <w:lang w:val="el-GR"/>
              </w:rPr>
              <w:t>Σπασμός μήτρας</w:t>
            </w:r>
          </w:p>
          <w:p w:rsidR="00356F05" w:rsidRPr="00F13BB3" w:rsidRDefault="00356F05" w:rsidP="00D150B8">
            <w:pPr>
              <w:jc w:val="both"/>
              <w:rPr>
                <w:lang w:val="el-GR"/>
              </w:rPr>
            </w:pPr>
            <w:r w:rsidRPr="00F13BB3">
              <w:rPr>
                <w:sz w:val="22"/>
                <w:szCs w:val="22"/>
                <w:lang w:val="el-GR"/>
              </w:rPr>
              <w:t>Κολπική αιμορραγία</w:t>
            </w:r>
          </w:p>
        </w:tc>
        <w:tc>
          <w:tcPr>
            <w:tcW w:w="2369" w:type="dxa"/>
          </w:tcPr>
          <w:p w:rsidR="00356F05" w:rsidRPr="00F13BB3" w:rsidRDefault="00356F05" w:rsidP="00D150B8">
            <w:pPr>
              <w:jc w:val="both"/>
              <w:rPr>
                <w:lang w:val="el-GR"/>
              </w:rPr>
            </w:pPr>
            <w:r w:rsidRPr="00F13BB3">
              <w:rPr>
                <w:sz w:val="22"/>
                <w:szCs w:val="22"/>
                <w:lang w:val="el-GR"/>
              </w:rPr>
              <w:t>Ευαισθησία του μαστού</w:t>
            </w:r>
          </w:p>
          <w:p w:rsidR="00356F05" w:rsidRPr="00F13BB3" w:rsidRDefault="00356F05" w:rsidP="00D150B8">
            <w:pPr>
              <w:jc w:val="both"/>
              <w:rPr>
                <w:lang w:val="el-GR"/>
              </w:rPr>
            </w:pPr>
            <w:r w:rsidRPr="00F13BB3">
              <w:rPr>
                <w:sz w:val="22"/>
                <w:szCs w:val="22"/>
                <w:lang w:val="el-GR"/>
              </w:rPr>
              <w:t>Πόνος μαστού</w:t>
            </w:r>
          </w:p>
          <w:p w:rsidR="00356F05" w:rsidRPr="00F13BB3" w:rsidRDefault="00356F05" w:rsidP="00D150B8">
            <w:pPr>
              <w:jc w:val="both"/>
              <w:rPr>
                <w:lang w:val="el-GR"/>
              </w:rPr>
            </w:pPr>
            <w:r w:rsidRPr="00F13BB3">
              <w:rPr>
                <w:sz w:val="22"/>
                <w:szCs w:val="22"/>
                <w:lang w:val="el-GR"/>
              </w:rPr>
              <w:t>Κολπική έκκριση</w:t>
            </w:r>
          </w:p>
          <w:p w:rsidR="00356F05" w:rsidRPr="00F13BB3" w:rsidRDefault="00356F05" w:rsidP="00D150B8">
            <w:pPr>
              <w:jc w:val="both"/>
              <w:rPr>
                <w:lang w:val="el-GR"/>
              </w:rPr>
            </w:pPr>
            <w:r w:rsidRPr="00F13BB3">
              <w:rPr>
                <w:sz w:val="22"/>
                <w:szCs w:val="22"/>
                <w:lang w:val="el-GR"/>
              </w:rPr>
              <w:t>Αιδοιοκολπικός κνησμός</w:t>
            </w:r>
          </w:p>
          <w:p w:rsidR="00356F05" w:rsidRPr="00F13BB3" w:rsidRDefault="00356F05" w:rsidP="00D150B8">
            <w:pPr>
              <w:jc w:val="both"/>
              <w:rPr>
                <w:lang w:val="el-GR"/>
              </w:rPr>
            </w:pPr>
            <w:r w:rsidRPr="00F13BB3">
              <w:rPr>
                <w:sz w:val="22"/>
                <w:szCs w:val="22"/>
                <w:lang w:val="el-GR"/>
              </w:rPr>
              <w:t>Αιδοιοκολπική ενόχληση</w:t>
            </w:r>
          </w:p>
          <w:p w:rsidR="00356F05" w:rsidRPr="00F13BB3" w:rsidRDefault="00356F05" w:rsidP="00D150B8">
            <w:pPr>
              <w:jc w:val="both"/>
              <w:rPr>
                <w:lang w:val="el-GR"/>
              </w:rPr>
            </w:pPr>
            <w:r w:rsidRPr="00F13BB3">
              <w:rPr>
                <w:sz w:val="22"/>
                <w:szCs w:val="22"/>
                <w:lang w:val="el-GR"/>
              </w:rPr>
              <w:t>Αιδοιοκολπική φλεγμονή</w:t>
            </w:r>
          </w:p>
          <w:p w:rsidR="00356F05" w:rsidRPr="00F13BB3" w:rsidRDefault="00356F05" w:rsidP="00D150B8">
            <w:pPr>
              <w:jc w:val="both"/>
              <w:rPr>
                <w:lang w:val="el-GR"/>
              </w:rPr>
            </w:pPr>
            <w:r w:rsidRPr="00F13BB3">
              <w:rPr>
                <w:sz w:val="22"/>
                <w:szCs w:val="22"/>
                <w:lang w:val="el-GR"/>
              </w:rPr>
              <w:t>Σύνδρομο υπερδιέγερσης των ωοθηκών (OHSS)</w:t>
            </w:r>
          </w:p>
        </w:tc>
        <w:tc>
          <w:tcPr>
            <w:tcW w:w="2071" w:type="dxa"/>
          </w:tcPr>
          <w:p w:rsidR="00356F05" w:rsidRPr="00F13BB3" w:rsidRDefault="00356F05" w:rsidP="00D150B8">
            <w:pPr>
              <w:jc w:val="both"/>
              <w:rPr>
                <w:lang w:val="el-GR"/>
              </w:rPr>
            </w:pPr>
            <w:r w:rsidRPr="00F13BB3">
              <w:rPr>
                <w:sz w:val="22"/>
                <w:szCs w:val="22"/>
                <w:lang w:val="el-GR"/>
              </w:rPr>
              <w:t>Μαστικές διαταραχές</w:t>
            </w:r>
          </w:p>
        </w:tc>
      </w:tr>
      <w:tr w:rsidR="00356F05" w:rsidRPr="00F13BB3">
        <w:trPr>
          <w:trHeight w:val="139"/>
        </w:trPr>
        <w:tc>
          <w:tcPr>
            <w:tcW w:w="2441" w:type="dxa"/>
          </w:tcPr>
          <w:p w:rsidR="00356F05" w:rsidRPr="00F13BB3" w:rsidRDefault="00356F05" w:rsidP="00D150B8">
            <w:pPr>
              <w:jc w:val="both"/>
              <w:rPr>
                <w:lang w:val="el-GR"/>
              </w:rPr>
            </w:pPr>
            <w:r w:rsidRPr="00F13BB3">
              <w:rPr>
                <w:sz w:val="22"/>
                <w:szCs w:val="22"/>
                <w:lang w:val="el-GR"/>
              </w:rPr>
              <w:t>Γενικές διαταραχές και καταστάσεις της οδού χορήγησης</w:t>
            </w:r>
          </w:p>
        </w:tc>
        <w:tc>
          <w:tcPr>
            <w:tcW w:w="1984" w:type="dxa"/>
          </w:tcPr>
          <w:p w:rsidR="00356F05" w:rsidRPr="00F13BB3" w:rsidRDefault="00356F05" w:rsidP="00D150B8">
            <w:pPr>
              <w:rPr>
                <w:lang w:val="el-GR"/>
              </w:rPr>
            </w:pPr>
            <w:r w:rsidRPr="00F13BB3">
              <w:rPr>
                <w:sz w:val="22"/>
                <w:szCs w:val="22"/>
                <w:lang w:val="el-GR"/>
              </w:rPr>
              <w:t>Αντιδράσεις της θέσης ένεσης*</w:t>
            </w:r>
          </w:p>
        </w:tc>
        <w:tc>
          <w:tcPr>
            <w:tcW w:w="2369" w:type="dxa"/>
          </w:tcPr>
          <w:p w:rsidR="00356F05" w:rsidRPr="00F13BB3" w:rsidRDefault="00356F05" w:rsidP="00D150B8">
            <w:pPr>
              <w:jc w:val="both"/>
              <w:rPr>
                <w:lang w:val="el-GR"/>
              </w:rPr>
            </w:pPr>
            <w:r w:rsidRPr="00F13BB3">
              <w:rPr>
                <w:sz w:val="22"/>
                <w:szCs w:val="22"/>
                <w:lang w:val="el-GR"/>
              </w:rPr>
              <w:t>Αιμάτωμα της θέσης ένεσης</w:t>
            </w:r>
          </w:p>
          <w:p w:rsidR="00356F05" w:rsidRPr="00F13BB3" w:rsidRDefault="00356F05" w:rsidP="00D150B8">
            <w:pPr>
              <w:jc w:val="both"/>
              <w:rPr>
                <w:lang w:val="el-GR"/>
              </w:rPr>
            </w:pPr>
            <w:r w:rsidRPr="00F13BB3">
              <w:rPr>
                <w:sz w:val="22"/>
                <w:szCs w:val="22"/>
                <w:lang w:val="el-GR"/>
              </w:rPr>
              <w:t>Σκλήρυνση της θέσης ένεσης</w:t>
            </w:r>
          </w:p>
          <w:p w:rsidR="00356F05" w:rsidRPr="00F13BB3" w:rsidRDefault="00356F05" w:rsidP="00D150B8">
            <w:pPr>
              <w:jc w:val="both"/>
              <w:rPr>
                <w:lang w:val="el-GR"/>
              </w:rPr>
            </w:pPr>
            <w:r w:rsidRPr="00F13BB3">
              <w:rPr>
                <w:sz w:val="22"/>
                <w:szCs w:val="22"/>
                <w:lang w:val="el-GR"/>
              </w:rPr>
              <w:t>Κόπωση</w:t>
            </w:r>
          </w:p>
        </w:tc>
        <w:tc>
          <w:tcPr>
            <w:tcW w:w="2071" w:type="dxa"/>
          </w:tcPr>
          <w:p w:rsidR="00356F05" w:rsidRPr="00F13BB3" w:rsidRDefault="00356F05" w:rsidP="00D150B8">
            <w:pPr>
              <w:jc w:val="both"/>
              <w:rPr>
                <w:lang w:val="el-GR"/>
              </w:rPr>
            </w:pPr>
            <w:r w:rsidRPr="00F13BB3">
              <w:rPr>
                <w:sz w:val="22"/>
                <w:szCs w:val="22"/>
                <w:lang w:val="el-GR"/>
              </w:rPr>
              <w:t>Αίσθημα καύσου,</w:t>
            </w:r>
          </w:p>
          <w:p w:rsidR="00356F05" w:rsidRPr="00F13BB3" w:rsidRDefault="00356F05" w:rsidP="00D150B8">
            <w:pPr>
              <w:jc w:val="both"/>
              <w:rPr>
                <w:lang w:val="el-GR"/>
              </w:rPr>
            </w:pPr>
            <w:r w:rsidRPr="00F13BB3">
              <w:rPr>
                <w:sz w:val="22"/>
                <w:szCs w:val="22"/>
                <w:lang w:val="el-GR"/>
              </w:rPr>
              <w:t>Κακουχία</w:t>
            </w:r>
          </w:p>
          <w:p w:rsidR="00356F05" w:rsidRPr="00F13BB3" w:rsidRDefault="00356F05" w:rsidP="00D150B8">
            <w:pPr>
              <w:jc w:val="both"/>
              <w:rPr>
                <w:lang w:val="el-GR"/>
              </w:rPr>
            </w:pPr>
            <w:r w:rsidRPr="00F13BB3">
              <w:rPr>
                <w:sz w:val="22"/>
                <w:szCs w:val="22"/>
                <w:lang w:val="el-GR"/>
              </w:rPr>
              <w:t>Πόνος</w:t>
            </w:r>
          </w:p>
        </w:tc>
      </w:tr>
    </w:tbl>
    <w:p w:rsidR="00356F05" w:rsidRPr="00F13BB3" w:rsidRDefault="00356F05" w:rsidP="00D150B8">
      <w:pPr>
        <w:jc w:val="both"/>
        <w:rPr>
          <w:sz w:val="22"/>
          <w:szCs w:val="22"/>
          <w:lang w:val="el-GR"/>
        </w:rPr>
      </w:pPr>
      <w:r w:rsidRPr="00F13BB3">
        <w:rPr>
          <w:sz w:val="22"/>
          <w:szCs w:val="22"/>
          <w:lang w:val="el-GR"/>
        </w:rPr>
        <w:t>*Αντιδράσεις της οδού χορήγησης, όπως ερεθισμός, πόνος, κνησμός και οίδημα</w:t>
      </w:r>
    </w:p>
    <w:p w:rsidR="00356F05" w:rsidRPr="00F13BB3" w:rsidRDefault="00356F05" w:rsidP="00D150B8">
      <w:pPr>
        <w:jc w:val="both"/>
        <w:rPr>
          <w:sz w:val="22"/>
          <w:szCs w:val="22"/>
          <w:lang w:val="el-GR"/>
        </w:rPr>
      </w:pPr>
    </w:p>
    <w:p w:rsidR="00356F05" w:rsidRPr="00F13BB3" w:rsidRDefault="00356F05" w:rsidP="00D150B8">
      <w:pPr>
        <w:jc w:val="both"/>
        <w:rPr>
          <w:b/>
          <w:bCs/>
          <w:sz w:val="22"/>
          <w:szCs w:val="22"/>
          <w:u w:val="single"/>
          <w:lang w:val="el-GR"/>
        </w:rPr>
      </w:pPr>
      <w:r w:rsidRPr="00F13BB3">
        <w:rPr>
          <w:b/>
          <w:bCs/>
          <w:sz w:val="22"/>
          <w:szCs w:val="22"/>
          <w:u w:val="single"/>
          <w:lang w:val="el-GR"/>
        </w:rPr>
        <w:t>Επιδράσεις της κατηγορίας</w:t>
      </w:r>
    </w:p>
    <w:p w:rsidR="00356F05" w:rsidRPr="00F13BB3" w:rsidRDefault="00356F05" w:rsidP="00D150B8">
      <w:pPr>
        <w:jc w:val="both"/>
        <w:rPr>
          <w:sz w:val="22"/>
          <w:szCs w:val="22"/>
          <w:lang w:val="el-GR"/>
        </w:rPr>
      </w:pPr>
      <w:r w:rsidRPr="00F13BB3">
        <w:rPr>
          <w:sz w:val="22"/>
          <w:szCs w:val="22"/>
          <w:lang w:val="el-GR"/>
        </w:rPr>
        <w:t xml:space="preserve">Οι παρακάτω διαταραχές αν και δεν αναφέρονται από ασθενείς σε κλινικές μελέτες με τη χρήση του Prolutex έχουν περιγραφεί με άλλα φάρμακα σε αυτή την κατηγορία φαρμάκων. </w:t>
      </w:r>
    </w:p>
    <w:p w:rsidR="00356F05" w:rsidRPr="00F13BB3" w:rsidRDefault="00356F05" w:rsidP="00D150B8">
      <w:pPr>
        <w:jc w:val="both"/>
        <w:rPr>
          <w:snapToGrid w:val="0"/>
          <w:sz w:val="22"/>
          <w:szCs w:val="22"/>
          <w:lang w:val="el-GR" w:eastAsia="en-US"/>
        </w:rPr>
      </w:pPr>
    </w:p>
    <w:tbl>
      <w:tblPr>
        <w:tblW w:w="8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683"/>
      </w:tblGrid>
      <w:tr w:rsidR="00356F05" w:rsidRPr="00F13BB3">
        <w:tc>
          <w:tcPr>
            <w:tcW w:w="4077" w:type="dxa"/>
          </w:tcPr>
          <w:p w:rsidR="00356F05" w:rsidRPr="00F13BB3" w:rsidRDefault="00356F05" w:rsidP="00D150B8">
            <w:pPr>
              <w:jc w:val="both"/>
              <w:rPr>
                <w:lang w:val="el-GR"/>
              </w:rPr>
            </w:pPr>
            <w:r w:rsidRPr="00F13BB3">
              <w:rPr>
                <w:b/>
                <w:bCs/>
                <w:sz w:val="22"/>
                <w:szCs w:val="22"/>
                <w:lang w:val="el-GR"/>
              </w:rPr>
              <w:t>Kατηγορία/οργανικό σύστημα</w:t>
            </w:r>
          </w:p>
        </w:tc>
        <w:tc>
          <w:tcPr>
            <w:tcW w:w="4683" w:type="dxa"/>
          </w:tcPr>
          <w:p w:rsidR="00356F05" w:rsidRPr="00F13BB3" w:rsidRDefault="00356F05" w:rsidP="00D150B8">
            <w:pPr>
              <w:jc w:val="both"/>
              <w:rPr>
                <w:lang w:val="el-GR"/>
              </w:rPr>
            </w:pPr>
          </w:p>
        </w:tc>
      </w:tr>
      <w:tr w:rsidR="00356F05" w:rsidRPr="00F13BB3">
        <w:tc>
          <w:tcPr>
            <w:tcW w:w="4077" w:type="dxa"/>
          </w:tcPr>
          <w:p w:rsidR="00356F05" w:rsidRPr="00F13BB3" w:rsidRDefault="00356F05" w:rsidP="00D150B8">
            <w:pPr>
              <w:jc w:val="both"/>
              <w:rPr>
                <w:lang w:val="el-GR"/>
              </w:rPr>
            </w:pPr>
            <w:r w:rsidRPr="00F13BB3">
              <w:rPr>
                <w:sz w:val="22"/>
                <w:szCs w:val="22"/>
                <w:lang w:val="el-GR"/>
              </w:rPr>
              <w:t>Ψυχιατρικές διαταραχές</w:t>
            </w:r>
          </w:p>
        </w:tc>
        <w:tc>
          <w:tcPr>
            <w:tcW w:w="4683" w:type="dxa"/>
          </w:tcPr>
          <w:p w:rsidR="00356F05" w:rsidRPr="00F13BB3" w:rsidRDefault="00356F05" w:rsidP="00D150B8">
            <w:pPr>
              <w:jc w:val="both"/>
              <w:rPr>
                <w:lang w:val="el-GR"/>
              </w:rPr>
            </w:pPr>
            <w:r w:rsidRPr="00F13BB3">
              <w:rPr>
                <w:sz w:val="22"/>
                <w:szCs w:val="22"/>
                <w:lang w:val="el-GR"/>
              </w:rPr>
              <w:t>Κατάθλιψη</w:t>
            </w:r>
          </w:p>
        </w:tc>
      </w:tr>
      <w:tr w:rsidR="00356F05" w:rsidRPr="00F13BB3">
        <w:tc>
          <w:tcPr>
            <w:tcW w:w="4077" w:type="dxa"/>
          </w:tcPr>
          <w:p w:rsidR="00356F05" w:rsidRPr="00F13BB3" w:rsidRDefault="00356F05" w:rsidP="00D150B8">
            <w:pPr>
              <w:jc w:val="both"/>
              <w:rPr>
                <w:lang w:val="el-GR"/>
              </w:rPr>
            </w:pPr>
            <w:r w:rsidRPr="00F13BB3">
              <w:rPr>
                <w:sz w:val="22"/>
                <w:szCs w:val="22"/>
                <w:lang w:val="el-GR"/>
              </w:rPr>
              <w:t xml:space="preserve">Διαταραχές του νευρικού συστήματος </w:t>
            </w:r>
          </w:p>
        </w:tc>
        <w:tc>
          <w:tcPr>
            <w:tcW w:w="4683" w:type="dxa"/>
          </w:tcPr>
          <w:p w:rsidR="00356F05" w:rsidRPr="00F13BB3" w:rsidRDefault="00356F05" w:rsidP="00D150B8">
            <w:pPr>
              <w:jc w:val="both"/>
              <w:rPr>
                <w:lang w:val="el-GR"/>
              </w:rPr>
            </w:pPr>
            <w:r w:rsidRPr="00F13BB3">
              <w:rPr>
                <w:sz w:val="22"/>
                <w:szCs w:val="22"/>
                <w:lang w:val="el-GR"/>
              </w:rPr>
              <w:t>Αϋπνία</w:t>
            </w:r>
          </w:p>
        </w:tc>
      </w:tr>
      <w:tr w:rsidR="00356F05" w:rsidRPr="00F13BB3">
        <w:tc>
          <w:tcPr>
            <w:tcW w:w="4077" w:type="dxa"/>
          </w:tcPr>
          <w:p w:rsidR="00356F05" w:rsidRPr="00F13BB3" w:rsidRDefault="00356F05" w:rsidP="00D150B8">
            <w:pPr>
              <w:rPr>
                <w:lang w:val="el-GR"/>
              </w:rPr>
            </w:pPr>
            <w:r w:rsidRPr="00F13BB3">
              <w:rPr>
                <w:sz w:val="22"/>
                <w:szCs w:val="22"/>
                <w:lang w:val="el-GR"/>
              </w:rPr>
              <w:t>Διαταραχές του ήπατος και των χοληφόρων</w:t>
            </w:r>
          </w:p>
        </w:tc>
        <w:tc>
          <w:tcPr>
            <w:tcW w:w="4683" w:type="dxa"/>
          </w:tcPr>
          <w:p w:rsidR="00356F05" w:rsidRPr="00F13BB3" w:rsidRDefault="00356F05" w:rsidP="00D150B8">
            <w:pPr>
              <w:jc w:val="both"/>
              <w:rPr>
                <w:lang w:val="el-GR"/>
              </w:rPr>
            </w:pPr>
            <w:r w:rsidRPr="00F13BB3">
              <w:rPr>
                <w:sz w:val="22"/>
                <w:szCs w:val="22"/>
                <w:lang w:val="el-GR"/>
              </w:rPr>
              <w:t>Ίκτερος</w:t>
            </w:r>
          </w:p>
        </w:tc>
      </w:tr>
      <w:tr w:rsidR="00356F05" w:rsidRPr="00397A01">
        <w:tc>
          <w:tcPr>
            <w:tcW w:w="4077" w:type="dxa"/>
          </w:tcPr>
          <w:p w:rsidR="00356F05" w:rsidRPr="00F13BB3" w:rsidRDefault="00356F05" w:rsidP="00D150B8">
            <w:pPr>
              <w:rPr>
                <w:lang w:val="el-GR"/>
              </w:rPr>
            </w:pPr>
            <w:r w:rsidRPr="00F13BB3">
              <w:rPr>
                <w:sz w:val="22"/>
                <w:szCs w:val="22"/>
                <w:lang w:val="el-GR"/>
              </w:rPr>
              <w:t>Διαταραχές του αναπαραγωγικού συστήματος και του μαστού</w:t>
            </w:r>
          </w:p>
        </w:tc>
        <w:tc>
          <w:tcPr>
            <w:tcW w:w="4683" w:type="dxa"/>
          </w:tcPr>
          <w:p w:rsidR="00356F05" w:rsidRPr="00F13BB3" w:rsidRDefault="00356F05" w:rsidP="00D150B8">
            <w:pPr>
              <w:jc w:val="both"/>
              <w:rPr>
                <w:lang w:val="el-GR"/>
              </w:rPr>
            </w:pPr>
            <w:r w:rsidRPr="00F13BB3">
              <w:rPr>
                <w:sz w:val="22"/>
                <w:szCs w:val="22"/>
                <w:lang w:val="el-GR"/>
              </w:rPr>
              <w:t>Διαταραχές εμμήνου ρύσης</w:t>
            </w:r>
          </w:p>
          <w:p w:rsidR="00356F05" w:rsidRPr="00F13BB3" w:rsidRDefault="00356F05" w:rsidP="00D150B8">
            <w:pPr>
              <w:jc w:val="both"/>
              <w:rPr>
                <w:lang w:val="el-GR"/>
              </w:rPr>
            </w:pPr>
            <w:r w:rsidRPr="00F13BB3">
              <w:rPr>
                <w:sz w:val="22"/>
                <w:szCs w:val="22"/>
                <w:lang w:val="el-GR"/>
              </w:rPr>
              <w:t>Σύνδρομο προσομοιάζον του προεμμηνορυσιακού συνδρόμου</w:t>
            </w:r>
          </w:p>
        </w:tc>
      </w:tr>
      <w:tr w:rsidR="00356F05" w:rsidRPr="00F13BB3">
        <w:tc>
          <w:tcPr>
            <w:tcW w:w="4077" w:type="dxa"/>
          </w:tcPr>
          <w:p w:rsidR="00356F05" w:rsidRPr="00F13BB3" w:rsidRDefault="00356F05" w:rsidP="00D150B8">
            <w:pPr>
              <w:rPr>
                <w:lang w:val="el-GR"/>
              </w:rPr>
            </w:pPr>
            <w:r w:rsidRPr="00F13BB3">
              <w:rPr>
                <w:sz w:val="22"/>
                <w:szCs w:val="22"/>
                <w:lang w:val="el-GR"/>
              </w:rPr>
              <w:t>Διαταραχές του δέρματος και του υποδόριου ιστού</w:t>
            </w:r>
          </w:p>
        </w:tc>
        <w:tc>
          <w:tcPr>
            <w:tcW w:w="4683" w:type="dxa"/>
          </w:tcPr>
          <w:p w:rsidR="00356F05" w:rsidRPr="00F13BB3" w:rsidRDefault="00356F05" w:rsidP="00D150B8">
            <w:pPr>
              <w:rPr>
                <w:lang w:val="el-GR"/>
              </w:rPr>
            </w:pPr>
            <w:r w:rsidRPr="00F13BB3">
              <w:rPr>
                <w:sz w:val="22"/>
                <w:szCs w:val="22"/>
                <w:lang w:val="el-GR"/>
              </w:rPr>
              <w:t>Κνίδωση, ακμή, υπερτρίχωση, αλωπεκία</w:t>
            </w:r>
          </w:p>
        </w:tc>
      </w:tr>
      <w:tr w:rsidR="00356F05" w:rsidRPr="00F13BB3">
        <w:tc>
          <w:tcPr>
            <w:tcW w:w="4077" w:type="dxa"/>
          </w:tcPr>
          <w:p w:rsidR="00356F05" w:rsidRPr="00F13BB3" w:rsidRDefault="00356F05" w:rsidP="00D150B8">
            <w:pPr>
              <w:jc w:val="both"/>
              <w:rPr>
                <w:lang w:val="el-GR"/>
              </w:rPr>
            </w:pPr>
            <w:r w:rsidRPr="00F13BB3">
              <w:rPr>
                <w:sz w:val="22"/>
                <w:szCs w:val="22"/>
                <w:lang w:val="el-GR"/>
              </w:rPr>
              <w:t>Γενικές διαταραχές και καταστάσεις της οδού χορήγησης</w:t>
            </w:r>
          </w:p>
        </w:tc>
        <w:tc>
          <w:tcPr>
            <w:tcW w:w="4683" w:type="dxa"/>
          </w:tcPr>
          <w:p w:rsidR="00356F05" w:rsidRPr="00F13BB3" w:rsidRDefault="00356F05" w:rsidP="00D150B8">
            <w:pPr>
              <w:jc w:val="both"/>
              <w:rPr>
                <w:lang w:val="el-GR"/>
              </w:rPr>
            </w:pPr>
            <w:r w:rsidRPr="00F13BB3">
              <w:rPr>
                <w:sz w:val="22"/>
                <w:szCs w:val="22"/>
                <w:lang w:val="el-GR"/>
              </w:rPr>
              <w:t>Αύξηση βάρους</w:t>
            </w:r>
          </w:p>
          <w:p w:rsidR="00356F05" w:rsidRPr="00F13BB3" w:rsidRDefault="00356F05" w:rsidP="00D150B8">
            <w:pPr>
              <w:jc w:val="both"/>
              <w:rPr>
                <w:lang w:val="el-GR"/>
              </w:rPr>
            </w:pPr>
            <w:r w:rsidRPr="00F13BB3">
              <w:rPr>
                <w:sz w:val="22"/>
                <w:szCs w:val="22"/>
                <w:lang w:val="el-GR"/>
              </w:rPr>
              <w:t>Αναφυλακτοειδείς αντιδράσεις</w:t>
            </w:r>
          </w:p>
        </w:tc>
      </w:tr>
    </w:tbl>
    <w:p w:rsidR="00356F05" w:rsidRPr="00F13BB3" w:rsidRDefault="00356F05" w:rsidP="00D150B8">
      <w:pPr>
        <w:jc w:val="both"/>
        <w:rPr>
          <w:b/>
          <w:bCs/>
          <w:snapToGrid w:val="0"/>
          <w:sz w:val="22"/>
          <w:szCs w:val="22"/>
          <w:lang w:val="el-GR" w:eastAsia="en-US"/>
        </w:rPr>
      </w:pPr>
    </w:p>
    <w:p w:rsidR="00356F05" w:rsidRPr="00F13BB3" w:rsidRDefault="00356F05" w:rsidP="00D150B8">
      <w:pPr>
        <w:numPr>
          <w:ilvl w:val="1"/>
          <w:numId w:val="10"/>
        </w:numPr>
        <w:tabs>
          <w:tab w:val="clear" w:pos="1353"/>
        </w:tabs>
        <w:ind w:left="567" w:hanging="567"/>
        <w:jc w:val="both"/>
        <w:rPr>
          <w:b/>
          <w:bCs/>
          <w:sz w:val="22"/>
          <w:szCs w:val="22"/>
        </w:rPr>
      </w:pPr>
      <w:r w:rsidRPr="00F13BB3">
        <w:rPr>
          <w:b/>
          <w:bCs/>
          <w:sz w:val="22"/>
          <w:szCs w:val="22"/>
          <w:lang w:val="el-GR"/>
        </w:rPr>
        <w:t>Υπερδοσολογία</w:t>
      </w:r>
    </w:p>
    <w:p w:rsidR="00356F05" w:rsidRPr="00F13BB3" w:rsidRDefault="00356F05" w:rsidP="00D150B8">
      <w:pPr>
        <w:jc w:val="both"/>
        <w:rPr>
          <w:b/>
          <w:bCs/>
          <w:sz w:val="22"/>
          <w:szCs w:val="22"/>
        </w:rPr>
      </w:pPr>
    </w:p>
    <w:p w:rsidR="00356F05" w:rsidRPr="00F13BB3" w:rsidRDefault="00356F05" w:rsidP="00D150B8">
      <w:pPr>
        <w:jc w:val="both"/>
        <w:rPr>
          <w:sz w:val="22"/>
          <w:szCs w:val="22"/>
          <w:lang w:val="el-GR"/>
        </w:rPr>
      </w:pPr>
      <w:r w:rsidRPr="00F13BB3">
        <w:rPr>
          <w:sz w:val="22"/>
          <w:szCs w:val="22"/>
          <w:lang w:val="el-GR"/>
        </w:rPr>
        <w:t xml:space="preserve">Υψηλές δόσεις προγεστερόνης μπορεί να προκαλέσουν υπνηλία. </w:t>
      </w:r>
    </w:p>
    <w:p w:rsidR="00356F05" w:rsidRPr="00A810C9" w:rsidRDefault="00356F05" w:rsidP="00D150B8">
      <w:pPr>
        <w:jc w:val="both"/>
        <w:rPr>
          <w:sz w:val="22"/>
          <w:szCs w:val="22"/>
          <w:lang w:val="el-GR"/>
        </w:rPr>
      </w:pPr>
      <w:r w:rsidRPr="00F13BB3">
        <w:rPr>
          <w:sz w:val="22"/>
          <w:szCs w:val="22"/>
          <w:lang w:val="el-GR"/>
        </w:rPr>
        <w:t>Η αντιμετώπιση της υπερδοσολογίας συνίσταται σε διακοπή του Prolutex μαζί με την έναρξη της κατάλληλης συμπτωματικής και υποστηρικτικής φροντίδας.</w:t>
      </w:r>
    </w:p>
    <w:p w:rsidR="00356F05" w:rsidRPr="00A810C9" w:rsidRDefault="00356F05" w:rsidP="00D150B8">
      <w:pPr>
        <w:jc w:val="both"/>
        <w:rPr>
          <w:sz w:val="22"/>
          <w:szCs w:val="22"/>
          <w:lang w:val="el-GR"/>
        </w:rPr>
      </w:pPr>
    </w:p>
    <w:p w:rsidR="00356F05" w:rsidRPr="00A810C9" w:rsidRDefault="00356F05" w:rsidP="00D150B8">
      <w:pPr>
        <w:jc w:val="both"/>
        <w:rPr>
          <w:sz w:val="22"/>
          <w:szCs w:val="22"/>
          <w:lang w:val="el-GR"/>
        </w:rPr>
      </w:pPr>
    </w:p>
    <w:p w:rsidR="00356F05" w:rsidRPr="00A810C9" w:rsidRDefault="00356F05" w:rsidP="00D150B8">
      <w:pPr>
        <w:jc w:val="both"/>
        <w:rPr>
          <w:sz w:val="22"/>
          <w:szCs w:val="22"/>
          <w:lang w:val="el-GR"/>
        </w:rPr>
      </w:pPr>
    </w:p>
    <w:p w:rsidR="00356F05" w:rsidRPr="00A810C9" w:rsidRDefault="00356F05" w:rsidP="00D150B8">
      <w:pPr>
        <w:jc w:val="both"/>
        <w:rPr>
          <w:sz w:val="22"/>
          <w:szCs w:val="22"/>
          <w:lang w:val="el-GR"/>
        </w:rPr>
      </w:pPr>
    </w:p>
    <w:p w:rsidR="00356F05" w:rsidRPr="00A810C9" w:rsidRDefault="00356F05" w:rsidP="00D150B8">
      <w:pPr>
        <w:jc w:val="both"/>
        <w:rPr>
          <w:sz w:val="22"/>
          <w:szCs w:val="22"/>
          <w:lang w:val="el-GR"/>
        </w:rPr>
      </w:pPr>
    </w:p>
    <w:p w:rsidR="00356F05" w:rsidRPr="00085125" w:rsidRDefault="00356F05" w:rsidP="00D150B8">
      <w:pPr>
        <w:jc w:val="both"/>
        <w:rPr>
          <w:sz w:val="22"/>
          <w:szCs w:val="22"/>
          <w:lang w:val="el-GR"/>
        </w:rPr>
      </w:pPr>
    </w:p>
    <w:p w:rsidR="00356F05" w:rsidRPr="00085125" w:rsidRDefault="00356F05" w:rsidP="00D150B8">
      <w:pPr>
        <w:jc w:val="both"/>
        <w:rPr>
          <w:sz w:val="22"/>
          <w:szCs w:val="22"/>
          <w:lang w:val="el-GR"/>
        </w:rPr>
      </w:pPr>
    </w:p>
    <w:p w:rsidR="00356F05" w:rsidRPr="00F13BB3" w:rsidRDefault="00356F05" w:rsidP="00D150B8">
      <w:pPr>
        <w:suppressAutoHyphens/>
        <w:overflowPunct w:val="0"/>
        <w:autoSpaceDE w:val="0"/>
        <w:autoSpaceDN w:val="0"/>
        <w:adjustRightInd w:val="0"/>
        <w:jc w:val="both"/>
        <w:textAlignment w:val="baseline"/>
        <w:rPr>
          <w:b/>
          <w:bCs/>
          <w:sz w:val="22"/>
          <w:szCs w:val="22"/>
          <w:lang w:val="el-GR"/>
        </w:rPr>
      </w:pPr>
      <w:r w:rsidRPr="00F13BB3">
        <w:rPr>
          <w:b/>
          <w:bCs/>
          <w:sz w:val="22"/>
          <w:szCs w:val="22"/>
          <w:lang w:val="el-GR"/>
        </w:rPr>
        <w:t>5</w:t>
      </w:r>
      <w:r w:rsidRPr="00F13BB3">
        <w:rPr>
          <w:b/>
          <w:bCs/>
          <w:sz w:val="22"/>
          <w:szCs w:val="22"/>
          <w:lang w:val="el-GR"/>
        </w:rPr>
        <w:tab/>
        <w:t>ΦΑΡΜΑΚΟΛΟΓΙΚΕΣ ΙΔΙΟΤΗΤΕΣ</w:t>
      </w:r>
    </w:p>
    <w:p w:rsidR="00356F05" w:rsidRPr="00F13BB3" w:rsidRDefault="00356F05" w:rsidP="00D150B8">
      <w:pPr>
        <w:jc w:val="both"/>
        <w:rPr>
          <w:snapToGrid w:val="0"/>
          <w:sz w:val="22"/>
          <w:szCs w:val="22"/>
          <w:lang w:val="el-GR" w:eastAsia="en-US"/>
        </w:rPr>
      </w:pPr>
    </w:p>
    <w:p w:rsidR="00356F05" w:rsidRPr="00085125" w:rsidRDefault="00356F05" w:rsidP="00D150B8">
      <w:pPr>
        <w:suppressAutoHyphens/>
        <w:overflowPunct w:val="0"/>
        <w:autoSpaceDE w:val="0"/>
        <w:autoSpaceDN w:val="0"/>
        <w:adjustRightInd w:val="0"/>
        <w:jc w:val="both"/>
        <w:textAlignment w:val="baseline"/>
        <w:rPr>
          <w:b/>
          <w:bCs/>
          <w:sz w:val="22"/>
          <w:szCs w:val="22"/>
          <w:lang w:val="el-GR"/>
        </w:rPr>
      </w:pPr>
      <w:r w:rsidRPr="00F13BB3">
        <w:rPr>
          <w:b/>
          <w:bCs/>
          <w:sz w:val="22"/>
          <w:szCs w:val="22"/>
          <w:lang w:val="el-GR"/>
        </w:rPr>
        <w:t>5.1</w:t>
      </w:r>
      <w:r w:rsidRPr="00F13BB3">
        <w:rPr>
          <w:b/>
          <w:bCs/>
          <w:sz w:val="22"/>
          <w:szCs w:val="22"/>
          <w:lang w:val="el-GR"/>
        </w:rPr>
        <w:tab/>
        <w:t>Φαρμακοδυναμικές ιδιότητες</w:t>
      </w:r>
    </w:p>
    <w:p w:rsidR="00356F05" w:rsidRPr="00085125"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Φαρμακοθεραπευτική κατηγορία: Ορμόνες του φύλου και τροποποιητές του γεννητικού συστήματος, προγεσταγόνα, παράγωγα πρεγνενίου-(4), κωδικός ATC: G03DA04.</w:t>
      </w:r>
    </w:p>
    <w:p w:rsidR="00356F05" w:rsidRPr="00F13BB3" w:rsidRDefault="00356F05" w:rsidP="00D150B8">
      <w:pPr>
        <w:jc w:val="both"/>
        <w:rPr>
          <w:sz w:val="22"/>
          <w:szCs w:val="22"/>
          <w:lang w:val="el-GR"/>
        </w:rPr>
      </w:pPr>
      <w:r w:rsidRPr="00F13BB3">
        <w:rPr>
          <w:sz w:val="22"/>
          <w:szCs w:val="22"/>
          <w:lang w:val="el-GR"/>
        </w:rPr>
        <w:t>Η προγεστερόνη είναι ένα φυσικώς παραγόμενο στεροειδές που εκκρίνεται από την ωοθήκη, τον πλακούντα και τα επινεφρίδια. Σε παρουσία επαρκούς οιστρογόνου, η προγεστερόνη μετατρέπει ένα υπερπλαστικό ενδομήτριο σε ένα εκκριτικό ενδομήτριο. Η προγεστερόνη είναι απαραίτητη για την αύξηση της δεκτικότητας του ενδομητρίου για την εμφύτευση ενός εμβρύου. Μόλις εμφυτευτεί ένα έμβρυο, η προγεστερόνη δρα για τη διατήρηση της κύησης.</w:t>
      </w:r>
    </w:p>
    <w:p w:rsidR="00356F05" w:rsidRPr="00F13BB3" w:rsidRDefault="00356F05" w:rsidP="00D150B8">
      <w:pPr>
        <w:jc w:val="both"/>
        <w:rPr>
          <w:sz w:val="22"/>
          <w:szCs w:val="22"/>
          <w:lang w:val="el-GR"/>
        </w:rPr>
      </w:pPr>
    </w:p>
    <w:p w:rsidR="00356F05" w:rsidRPr="00085125" w:rsidRDefault="00356F05" w:rsidP="00D150B8">
      <w:pPr>
        <w:jc w:val="both"/>
        <w:rPr>
          <w:sz w:val="22"/>
          <w:szCs w:val="22"/>
          <w:lang w:val="el-GR"/>
        </w:rPr>
      </w:pPr>
      <w:r w:rsidRPr="00F13BB3">
        <w:rPr>
          <w:sz w:val="22"/>
          <w:szCs w:val="22"/>
          <w:lang w:val="el-GR"/>
        </w:rPr>
        <w:t>Κλινική αποτελεσματικότητα και ασφάλεια</w:t>
      </w:r>
    </w:p>
    <w:p w:rsidR="00356F05" w:rsidRPr="00F13BB3" w:rsidRDefault="00356F05" w:rsidP="00D150B8">
      <w:pPr>
        <w:jc w:val="both"/>
        <w:rPr>
          <w:sz w:val="22"/>
          <w:szCs w:val="22"/>
          <w:lang w:val="el-GR"/>
        </w:rPr>
      </w:pPr>
      <w:r w:rsidRPr="00F13BB3">
        <w:rPr>
          <w:sz w:val="22"/>
          <w:szCs w:val="22"/>
          <w:lang w:val="el-GR"/>
        </w:rPr>
        <w:t>Τα ποσοστά εν εξελίξει εγκυμοσύνης μετά από 10 εβδομάδων υποστήριξη του ωχρού σωματίου με Prolutex 25 mg/ημέρα (N= 318) σε ασθενείς που είχαν μια μεταφορά εμβρύου στην κλινική δοκιμή φάσης III ήταν 29,25% [95% διάστημα εμπιστοσύνης (CI): 24,25 – 34,25].</w:t>
      </w:r>
    </w:p>
    <w:p w:rsidR="00356F05" w:rsidRPr="00F13BB3" w:rsidRDefault="00356F05" w:rsidP="00D150B8">
      <w:pPr>
        <w:jc w:val="both"/>
        <w:rPr>
          <w:sz w:val="22"/>
          <w:szCs w:val="22"/>
          <w:lang w:val="el-GR"/>
        </w:rPr>
      </w:pPr>
    </w:p>
    <w:p w:rsidR="00356F05" w:rsidRPr="00F13BB3" w:rsidRDefault="00356F05" w:rsidP="00D150B8">
      <w:pPr>
        <w:jc w:val="both"/>
        <w:rPr>
          <w:sz w:val="22"/>
          <w:szCs w:val="22"/>
          <w:lang w:val="el-GR"/>
        </w:rPr>
      </w:pPr>
      <w:r w:rsidRPr="00F13BB3">
        <w:rPr>
          <w:sz w:val="22"/>
          <w:szCs w:val="22"/>
          <w:lang w:val="el-GR"/>
        </w:rPr>
        <w:t>Παιδιατρικός πληθυσμός</w:t>
      </w:r>
    </w:p>
    <w:p w:rsidR="00356F05" w:rsidRPr="00F13BB3" w:rsidRDefault="00356F05" w:rsidP="00D150B8">
      <w:pPr>
        <w:jc w:val="both"/>
        <w:rPr>
          <w:sz w:val="22"/>
          <w:szCs w:val="22"/>
          <w:lang w:val="el-GR"/>
        </w:rPr>
      </w:pPr>
      <w:r w:rsidRPr="00F13BB3">
        <w:rPr>
          <w:sz w:val="22"/>
          <w:szCs w:val="22"/>
          <w:lang w:val="el-GR"/>
        </w:rPr>
        <w:t xml:space="preserve">Ο Ευρωπαϊκός Οργανισμός Φαρμάκων έχει δώσει απαλλαγή από την υποχρέωση υποβολής των αποτελεσμάτων των μελετών με το Prolutex σε όλες τις υποκατηγορίες του παιδιατρικού πληθυσμού στην εγκεκριμένη ένδειξη. </w:t>
      </w:r>
    </w:p>
    <w:p w:rsidR="00356F05" w:rsidRPr="00F13BB3" w:rsidRDefault="00356F05" w:rsidP="00D150B8">
      <w:pPr>
        <w:jc w:val="both"/>
        <w:rPr>
          <w:sz w:val="22"/>
          <w:szCs w:val="22"/>
          <w:lang w:val="el-GR"/>
        </w:rPr>
      </w:pPr>
    </w:p>
    <w:p w:rsidR="00356F05" w:rsidRPr="00085125" w:rsidRDefault="00356F05" w:rsidP="00D150B8">
      <w:pPr>
        <w:suppressAutoHyphens/>
        <w:overflowPunct w:val="0"/>
        <w:autoSpaceDE w:val="0"/>
        <w:autoSpaceDN w:val="0"/>
        <w:adjustRightInd w:val="0"/>
        <w:jc w:val="both"/>
        <w:textAlignment w:val="baseline"/>
        <w:rPr>
          <w:b/>
          <w:bCs/>
          <w:sz w:val="22"/>
          <w:szCs w:val="22"/>
          <w:lang w:val="el-GR"/>
        </w:rPr>
      </w:pPr>
      <w:r w:rsidRPr="00F13BB3">
        <w:rPr>
          <w:b/>
          <w:bCs/>
          <w:sz w:val="22"/>
          <w:szCs w:val="22"/>
          <w:lang w:val="el-GR"/>
        </w:rPr>
        <w:t>5.2</w:t>
      </w:r>
      <w:r w:rsidRPr="00F13BB3">
        <w:rPr>
          <w:b/>
          <w:bCs/>
          <w:sz w:val="22"/>
          <w:szCs w:val="22"/>
          <w:lang w:val="el-GR"/>
        </w:rPr>
        <w:tab/>
        <w:t>Φαρμακοκινητικές ιδιότητες</w:t>
      </w:r>
    </w:p>
    <w:p w:rsidR="00356F05" w:rsidRPr="00085125" w:rsidRDefault="00356F05" w:rsidP="00D150B8">
      <w:pPr>
        <w:suppressAutoHyphens/>
        <w:overflowPunct w:val="0"/>
        <w:autoSpaceDE w:val="0"/>
        <w:autoSpaceDN w:val="0"/>
        <w:adjustRightInd w:val="0"/>
        <w:jc w:val="both"/>
        <w:textAlignment w:val="baseline"/>
        <w:rPr>
          <w:b/>
          <w:bCs/>
          <w:sz w:val="22"/>
          <w:szCs w:val="22"/>
          <w:lang w:val="el-GR"/>
        </w:rPr>
      </w:pPr>
    </w:p>
    <w:p w:rsidR="00356F05" w:rsidRPr="00397A01" w:rsidRDefault="00356F05" w:rsidP="00D150B8">
      <w:pPr>
        <w:jc w:val="both"/>
        <w:rPr>
          <w:b/>
          <w:bCs/>
          <w:sz w:val="22"/>
          <w:szCs w:val="22"/>
          <w:lang w:val="el-GR"/>
        </w:rPr>
      </w:pPr>
      <w:r w:rsidRPr="00397A01">
        <w:rPr>
          <w:b/>
          <w:bCs/>
          <w:sz w:val="22"/>
          <w:szCs w:val="22"/>
          <w:lang w:val="el-GR"/>
        </w:rPr>
        <w:t>Aπορρόφηση</w:t>
      </w:r>
    </w:p>
    <w:p w:rsidR="00356F05" w:rsidRPr="00F13BB3" w:rsidRDefault="00356F05" w:rsidP="00D150B8">
      <w:pPr>
        <w:jc w:val="both"/>
        <w:rPr>
          <w:sz w:val="22"/>
          <w:szCs w:val="22"/>
          <w:lang w:val="el-GR"/>
        </w:rPr>
      </w:pPr>
      <w:r w:rsidRPr="00F13BB3">
        <w:rPr>
          <w:sz w:val="22"/>
          <w:szCs w:val="22"/>
          <w:lang w:val="el-GR"/>
        </w:rPr>
        <w:t>Οι συγκεντρώσεις προγεστερόνης στον ορό αυξήθηκαν μετά από υποδόρια (Υ.Δ.) χορήγηση 25 mg του Prolutex σε 12 υγιείς μετα-εμμηνοπαυσιακές γυναίκες. Σε μια ώρα μετά τη χορήγηση μονής υποδόριας δόσης, η μέση Cmax ήταν 50,7±16,3 ng/ml. Η συγκέντρωση προγεστερόνης στον ορό μειώθηκε μετά από μια μονοεκθετική αποσύνθεση και σε δώδεκα ώρες μετά τη χορήγηση ο μέσος όρος της συγκέντρωσης ήταν 6,6±1,6 ng/ml. Η ελάχιστη συγκέντρωση ορού, 1,4±0,5 ng/ml, επετεύχθη στο χρονικό σημείο των 96 ωρών. Η φαρμακοκινητική ανάλυση κατέδειξε γραμμικότητα των τριών υποδορίων δόσεων που δοκιμάστηκαν (25 mg, 50 mg και 100 mg).</w:t>
      </w:r>
    </w:p>
    <w:p w:rsidR="00356F05" w:rsidRPr="00F13BB3" w:rsidRDefault="00356F05" w:rsidP="00D150B8">
      <w:pPr>
        <w:jc w:val="both"/>
        <w:rPr>
          <w:sz w:val="22"/>
          <w:szCs w:val="22"/>
          <w:lang w:val="el-GR"/>
        </w:rPr>
      </w:pPr>
      <w:r w:rsidRPr="00F13BB3">
        <w:rPr>
          <w:sz w:val="22"/>
          <w:szCs w:val="22"/>
          <w:lang w:val="el-GR"/>
        </w:rPr>
        <w:t xml:space="preserve">Μετά από πολλαπλές δόσεις των 25 mg/ημερησίως μέσω υποδόριας χορήγησης, συγκεντρώσεις σταθερής κατάστασης επετεύχθησαν εντός περίπου 2 ημερών θεραπείας με το Prolutex. Ελάχιστες τιμές της τάξης των 4,8 ± 1,1 ng/mL παρατηρήθηκαν με περιοχές υπό την καμπύλη (AUC) της τάξης των 346,9 ± 41,9 ng*hr/mL την Ημέρα 11. </w:t>
      </w:r>
    </w:p>
    <w:p w:rsidR="00356F05" w:rsidRPr="00F13BB3" w:rsidRDefault="00356F05" w:rsidP="00D150B8">
      <w:pPr>
        <w:jc w:val="both"/>
        <w:rPr>
          <w:sz w:val="22"/>
          <w:szCs w:val="22"/>
          <w:lang w:val="el-GR"/>
        </w:rPr>
      </w:pPr>
    </w:p>
    <w:p w:rsidR="00356F05" w:rsidRPr="00397A01" w:rsidRDefault="00356F05" w:rsidP="00D150B8">
      <w:pPr>
        <w:pStyle w:val="NormalWeb"/>
        <w:spacing w:before="0" w:beforeAutospacing="0" w:after="0" w:afterAutospacing="0"/>
        <w:jc w:val="both"/>
        <w:rPr>
          <w:b/>
          <w:bCs/>
          <w:sz w:val="22"/>
          <w:szCs w:val="22"/>
          <w:lang w:val="el-GR"/>
        </w:rPr>
      </w:pPr>
      <w:r w:rsidRPr="00397A01">
        <w:rPr>
          <w:b/>
          <w:bCs/>
          <w:sz w:val="22"/>
          <w:szCs w:val="22"/>
          <w:lang w:val="el-GR"/>
        </w:rPr>
        <w:t>Κατανομή</w:t>
      </w:r>
    </w:p>
    <w:p w:rsidR="00356F05" w:rsidRPr="00F13BB3" w:rsidRDefault="00356F05" w:rsidP="00D150B8">
      <w:pPr>
        <w:jc w:val="both"/>
        <w:rPr>
          <w:sz w:val="22"/>
          <w:szCs w:val="22"/>
          <w:lang w:val="el-GR"/>
        </w:rPr>
      </w:pPr>
      <w:r w:rsidRPr="00F13BB3">
        <w:rPr>
          <w:sz w:val="22"/>
          <w:szCs w:val="22"/>
          <w:lang w:val="el-GR"/>
        </w:rPr>
        <w:t>Σε ανθρώπους, το 96-99% της προγεστερόνης δεσμεύεται σε πρωτεΐνες ορού όπως η αλβουμίνη (50-54%) ή η τρανσκορτίνη (43-48%) και το υπόλοιπο είναι ελεύθερο στο πλάσμα. Λόγω της διαλυτότητας των λιπιδίων της, η προγεστερόνη μεταφέρεται με την κυκλοφορία του αίματος στα κύτταρα στόχο της μέσω παθητικής διάχυσης.</w:t>
      </w:r>
    </w:p>
    <w:p w:rsidR="00356F05" w:rsidRPr="00F13BB3" w:rsidRDefault="00356F05" w:rsidP="00D150B8">
      <w:pPr>
        <w:pStyle w:val="NormalWeb"/>
        <w:spacing w:before="0" w:beforeAutospacing="0" w:after="0" w:afterAutospacing="0"/>
        <w:jc w:val="both"/>
        <w:rPr>
          <w:sz w:val="22"/>
          <w:szCs w:val="22"/>
          <w:lang w:val="el-GR" w:eastAsia="da-DK"/>
        </w:rPr>
      </w:pPr>
    </w:p>
    <w:p w:rsidR="00356F05" w:rsidRPr="00397A01" w:rsidRDefault="00356F05" w:rsidP="00D150B8">
      <w:pPr>
        <w:pStyle w:val="NormalWeb"/>
        <w:spacing w:before="0" w:beforeAutospacing="0" w:after="0" w:afterAutospacing="0"/>
        <w:jc w:val="both"/>
        <w:rPr>
          <w:b/>
          <w:bCs/>
          <w:sz w:val="22"/>
          <w:szCs w:val="22"/>
          <w:lang w:val="el-GR"/>
        </w:rPr>
      </w:pPr>
      <w:r w:rsidRPr="00397A01">
        <w:rPr>
          <w:b/>
          <w:bCs/>
          <w:sz w:val="22"/>
          <w:szCs w:val="22"/>
          <w:lang w:val="el-GR"/>
        </w:rPr>
        <w:t>Βιομετασχηματισμός</w:t>
      </w:r>
    </w:p>
    <w:p w:rsidR="00356F05" w:rsidRPr="00F13BB3" w:rsidRDefault="00356F05" w:rsidP="00D150B8">
      <w:pPr>
        <w:pStyle w:val="NormalWeb"/>
        <w:spacing w:before="0" w:beforeAutospacing="0" w:after="0" w:afterAutospacing="0"/>
        <w:jc w:val="both"/>
        <w:rPr>
          <w:sz w:val="22"/>
          <w:szCs w:val="22"/>
          <w:lang w:val="el-GR"/>
        </w:rPr>
      </w:pPr>
      <w:r w:rsidRPr="00F13BB3">
        <w:rPr>
          <w:sz w:val="22"/>
          <w:szCs w:val="22"/>
          <w:lang w:val="el-GR"/>
        </w:rPr>
        <w:t>Η προγεστερόνη μεταβολίζεται κυρίως από το ήπαρ κατά μεγάλο μέρος σε πρεγνανδιόλες και πρεγνανολόνες. Οι πρεγνανδιόλες και πρεγνανολόνες είναι συζευγμένες στο ήπαρ με γλυκουρονίδιο και θειικούς μεταβολίτες. Οι μεταβολίτες της προγεστερόνης που απεκκρίνονται στη χολή μπορεί να αποσυζευχθούν και να μεταβολιστούν περαιτέρω στο έντερο μέσω αναγωγής, αφυδροξυλίωσης και επιμερισμού.</w:t>
      </w:r>
    </w:p>
    <w:p w:rsidR="00356F05" w:rsidRPr="00F13BB3" w:rsidRDefault="00356F05" w:rsidP="00D150B8">
      <w:pPr>
        <w:pStyle w:val="NormalWeb"/>
        <w:spacing w:before="0" w:beforeAutospacing="0" w:after="0" w:afterAutospacing="0"/>
        <w:jc w:val="both"/>
        <w:rPr>
          <w:sz w:val="22"/>
          <w:szCs w:val="22"/>
          <w:lang w:val="el-GR" w:eastAsia="da-DK"/>
        </w:rPr>
      </w:pPr>
    </w:p>
    <w:p w:rsidR="00356F05" w:rsidRPr="00397A01" w:rsidRDefault="00356F05" w:rsidP="00D150B8">
      <w:pPr>
        <w:pStyle w:val="NormalWeb"/>
        <w:spacing w:before="0" w:beforeAutospacing="0" w:after="0" w:afterAutospacing="0"/>
        <w:jc w:val="both"/>
        <w:rPr>
          <w:b/>
          <w:bCs/>
          <w:sz w:val="22"/>
          <w:szCs w:val="22"/>
          <w:lang w:val="el-GR"/>
        </w:rPr>
      </w:pPr>
      <w:r w:rsidRPr="00397A01">
        <w:rPr>
          <w:b/>
          <w:bCs/>
          <w:sz w:val="22"/>
          <w:szCs w:val="22"/>
          <w:lang w:val="el-GR"/>
        </w:rPr>
        <w:t>Αποβολή</w:t>
      </w:r>
    </w:p>
    <w:p w:rsidR="00356F05" w:rsidRPr="00F13BB3" w:rsidRDefault="00356F05" w:rsidP="00D150B8">
      <w:pPr>
        <w:jc w:val="both"/>
        <w:rPr>
          <w:sz w:val="22"/>
          <w:szCs w:val="22"/>
          <w:lang w:val="el-GR"/>
        </w:rPr>
      </w:pPr>
      <w:r w:rsidRPr="00F13BB3">
        <w:rPr>
          <w:sz w:val="22"/>
          <w:szCs w:val="22"/>
          <w:lang w:val="el-GR"/>
        </w:rPr>
        <w:t>Η προγεστερόνη υποβάλλεται σε νεφρική αποβολή και αποβολή μέσω της χοληφόρου οδού.</w:t>
      </w:r>
    </w:p>
    <w:p w:rsidR="00356F05" w:rsidRPr="00F13BB3" w:rsidRDefault="00356F05" w:rsidP="00D150B8">
      <w:pPr>
        <w:suppressAutoHyphens/>
        <w:overflowPunct w:val="0"/>
        <w:autoSpaceDE w:val="0"/>
        <w:autoSpaceDN w:val="0"/>
        <w:adjustRightInd w:val="0"/>
        <w:jc w:val="both"/>
        <w:textAlignment w:val="baseline"/>
        <w:rPr>
          <w:b/>
          <w:bCs/>
          <w:snapToGrid w:val="0"/>
          <w:sz w:val="22"/>
          <w:szCs w:val="22"/>
          <w:lang w:val="el-GR" w:eastAsia="en-US"/>
        </w:rPr>
      </w:pPr>
    </w:p>
    <w:p w:rsidR="00356F05" w:rsidRPr="00085125" w:rsidRDefault="00356F05" w:rsidP="00D150B8">
      <w:pPr>
        <w:suppressAutoHyphens/>
        <w:overflowPunct w:val="0"/>
        <w:autoSpaceDE w:val="0"/>
        <w:autoSpaceDN w:val="0"/>
        <w:adjustRightInd w:val="0"/>
        <w:jc w:val="both"/>
        <w:textAlignment w:val="baseline"/>
        <w:rPr>
          <w:b/>
          <w:bCs/>
          <w:sz w:val="22"/>
          <w:szCs w:val="22"/>
          <w:lang w:val="el-GR"/>
        </w:rPr>
      </w:pPr>
      <w:r w:rsidRPr="00F13BB3">
        <w:rPr>
          <w:b/>
          <w:bCs/>
          <w:sz w:val="22"/>
          <w:szCs w:val="22"/>
          <w:lang w:val="el-GR"/>
        </w:rPr>
        <w:t>5.3</w:t>
      </w:r>
      <w:r w:rsidRPr="00F13BB3">
        <w:rPr>
          <w:b/>
          <w:bCs/>
          <w:sz w:val="22"/>
          <w:szCs w:val="22"/>
          <w:lang w:val="el-GR"/>
        </w:rPr>
        <w:tab/>
        <w:t>Προκλινικά δεδομένα για την ασφάλεια</w:t>
      </w:r>
    </w:p>
    <w:p w:rsidR="00356F05" w:rsidRPr="00085125" w:rsidRDefault="00356F05" w:rsidP="00D150B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p>
    <w:p w:rsidR="00356F05" w:rsidRPr="00F13BB3" w:rsidRDefault="00356F05" w:rsidP="00D150B8">
      <w:pPr>
        <w:jc w:val="both"/>
        <w:rPr>
          <w:sz w:val="22"/>
          <w:szCs w:val="22"/>
          <w:lang w:val="el-GR"/>
        </w:rPr>
      </w:pPr>
      <w:r w:rsidRPr="00F13BB3">
        <w:rPr>
          <w:sz w:val="22"/>
          <w:szCs w:val="22"/>
          <w:lang w:val="el-GR"/>
        </w:rPr>
        <w:t xml:space="preserve">Κόνικλοι υποβλήθηκαν σε αγωγή με 6,7 mg/kg/ημέρα του Prolutex για έως και 7 διαδοχικές ημέρες με υποδόρια και ενδομυϊκή ένεση. Δεν παρατηρήθηκε σχετική δράση που αποδίδεται στην αγωγή με </w:t>
      </w:r>
      <w:r>
        <w:rPr>
          <w:sz w:val="22"/>
          <w:szCs w:val="22"/>
          <w:lang w:val="en-US"/>
        </w:rPr>
        <w:t>Prolutex</w:t>
      </w:r>
      <w:r w:rsidRPr="00F13BB3">
        <w:rPr>
          <w:sz w:val="22"/>
          <w:szCs w:val="22"/>
          <w:lang w:val="el-GR"/>
        </w:rPr>
        <w:t xml:space="preserve"> από την υποδόρια οδό σε τοπική, μακροσκοπική και ιστοπαθολογική εξέταση. </w:t>
      </w:r>
    </w:p>
    <w:p w:rsidR="00356F05" w:rsidRPr="00F13BB3" w:rsidRDefault="00356F05" w:rsidP="00D150B8">
      <w:pPr>
        <w:autoSpaceDE w:val="0"/>
        <w:autoSpaceDN w:val="0"/>
        <w:adjustRightInd w:val="0"/>
        <w:rPr>
          <w:sz w:val="22"/>
          <w:szCs w:val="22"/>
          <w:lang w:val="el-GR"/>
        </w:rPr>
      </w:pPr>
    </w:p>
    <w:p w:rsidR="00356F05" w:rsidRPr="00F13BB3" w:rsidRDefault="00356F05" w:rsidP="00D150B8">
      <w:pPr>
        <w:autoSpaceDE w:val="0"/>
        <w:autoSpaceDN w:val="0"/>
        <w:adjustRightInd w:val="0"/>
        <w:rPr>
          <w:sz w:val="22"/>
          <w:szCs w:val="22"/>
          <w:lang w:val="el-GR"/>
        </w:rPr>
      </w:pPr>
      <w:r w:rsidRPr="00F13BB3">
        <w:rPr>
          <w:sz w:val="22"/>
          <w:szCs w:val="22"/>
          <w:lang w:val="el-GR"/>
        </w:rPr>
        <w:t xml:space="preserve">Σε τοπικές εξετάσεις, ζώα στα οποία χορηγήθηκε δόση με το μέσο διάδοσης και προγεστερόνη μέσω της ενδομυϊκής οδού για 7 ημέρες είχαν ελαφρά τοπική αντίδραση όπως αιμάτωμα ή ερυθρά σκλήρυνση του μυός. Υψηλή συχνότητα εμφάνισης οιδήματος παρατηρήθηκε σε ζώα που έλαβαν δόση με </w:t>
      </w:r>
      <w:r>
        <w:rPr>
          <w:sz w:val="22"/>
          <w:szCs w:val="22"/>
          <w:lang w:val="en-US"/>
        </w:rPr>
        <w:t>Prolutex</w:t>
      </w:r>
      <w:r w:rsidRPr="00F13BB3">
        <w:rPr>
          <w:sz w:val="22"/>
          <w:szCs w:val="22"/>
          <w:lang w:val="el-GR"/>
        </w:rPr>
        <w:t xml:space="preserve">. Αυτά τα σημεία σχετίστηκαν με τοπική ιστική νέκρωση και μακροφαγική απόκριση σε ιστοπαθολογική εξέταση. Μέτρια ίνωση σχετίστηκε με ενδομυϊκή χορήγηση </w:t>
      </w:r>
      <w:r>
        <w:rPr>
          <w:sz w:val="22"/>
          <w:szCs w:val="22"/>
          <w:lang w:val="en-US"/>
        </w:rPr>
        <w:t>Prolutex</w:t>
      </w:r>
      <w:r w:rsidRPr="00F13BB3">
        <w:rPr>
          <w:sz w:val="22"/>
          <w:szCs w:val="22"/>
          <w:lang w:val="el-GR"/>
        </w:rPr>
        <w:t xml:space="preserve"> μετά την περίοδο παρακολούθησης επτά ημερών μετά τη θεραπεία. Ωστόσο, καμία από τις παρατηρούμενες ιστολογικές μεταβολές δεν ήταν αξιοσημείωτη ή εκτεταμένη.</w:t>
      </w:r>
    </w:p>
    <w:p w:rsidR="00356F05" w:rsidRPr="00F13BB3" w:rsidRDefault="00356F05" w:rsidP="00D150B8">
      <w:pPr>
        <w:autoSpaceDE w:val="0"/>
        <w:autoSpaceDN w:val="0"/>
        <w:adjustRightInd w:val="0"/>
        <w:rPr>
          <w:sz w:val="22"/>
          <w:szCs w:val="22"/>
          <w:lang w:val="el-GR"/>
        </w:rPr>
      </w:pPr>
    </w:p>
    <w:p w:rsidR="00356F05" w:rsidRPr="00F13BB3" w:rsidRDefault="00356F05" w:rsidP="00D150B8">
      <w:pPr>
        <w:autoSpaceDE w:val="0"/>
        <w:autoSpaceDN w:val="0"/>
        <w:adjustRightInd w:val="0"/>
        <w:rPr>
          <w:sz w:val="22"/>
          <w:szCs w:val="22"/>
          <w:lang w:val="el-GR"/>
        </w:rPr>
      </w:pPr>
      <w:r w:rsidRPr="00F13BB3">
        <w:rPr>
          <w:sz w:val="22"/>
          <w:szCs w:val="22"/>
          <w:lang w:val="el-GR"/>
        </w:rPr>
        <w:t>Μια περισσότερο μακροχρόνια μελέτη διεξήχθη με χορήγηση του Prolutex σε 1 mg/kg/ημέρα υποδορίως ή σε 4 mg/kg/ημέρα ενδομυϊκά. Δεν καταγράφηκαν τοξικολογικώς σημαντικά κλινικά σημεία και τα ήσσονος σημασίας σημεία που παρατηρήθηκαν ήταν γενικώς όμοια με εκείνους που έλαβαν μέσο διάδοσης. Η ιστοπαθολογική εξέταση των θέσεων ένεσης μετά από 28 ημέρες αγωγής έδειξε ήσσονος σημασίας αλλαγές, αυτές ήταν γενικώς όμοιες με εκείνα τα ζώα που έλαβαν μέσο διάδοσης. Μετά την περίοδο παρακολούθησης μετά τη θεραπεία (14 ημέρες) δεν υπήρχαν αλλαγές που σχετίζονταν με την ένεση του Prolutex.</w:t>
      </w:r>
    </w:p>
    <w:p w:rsidR="00356F05" w:rsidRPr="00F13BB3" w:rsidRDefault="00356F05" w:rsidP="00D150B8">
      <w:pPr>
        <w:autoSpaceDE w:val="0"/>
        <w:autoSpaceDN w:val="0"/>
        <w:adjustRightInd w:val="0"/>
        <w:rPr>
          <w:sz w:val="22"/>
          <w:szCs w:val="22"/>
          <w:lang w:val="el-GR"/>
        </w:rPr>
      </w:pPr>
    </w:p>
    <w:p w:rsidR="00356F05" w:rsidRPr="004350A8" w:rsidRDefault="00356F05" w:rsidP="00864190">
      <w:pPr>
        <w:autoSpaceDE w:val="0"/>
        <w:autoSpaceDN w:val="0"/>
        <w:adjustRightInd w:val="0"/>
        <w:rPr>
          <w:sz w:val="22"/>
          <w:szCs w:val="22"/>
          <w:lang w:val="el-GR"/>
        </w:rPr>
      </w:pPr>
      <w:r>
        <w:rPr>
          <w:sz w:val="22"/>
          <w:szCs w:val="22"/>
          <w:lang w:val="el-GR"/>
        </w:rPr>
        <w:t>Άλλεςπροκλινικέςμελέτεςδεναποκάλυψανάλλεςεπιδράσειςεκτόςαπόεκείνεςπουμπορούνναερμηνευτούνμεβάσητογνωστόορμονικόπροφίλτηςπρογεστερόνης</w:t>
      </w:r>
      <w:r w:rsidRPr="004350A8">
        <w:rPr>
          <w:sz w:val="22"/>
          <w:szCs w:val="22"/>
          <w:lang w:val="el-GR"/>
        </w:rPr>
        <w:t xml:space="preserve">.  </w:t>
      </w:r>
      <w:r>
        <w:rPr>
          <w:sz w:val="22"/>
          <w:szCs w:val="22"/>
          <w:lang w:val="el-GR"/>
        </w:rPr>
        <w:t>Θα</w:t>
      </w:r>
      <w:r w:rsidRPr="00A810C9">
        <w:rPr>
          <w:sz w:val="22"/>
          <w:szCs w:val="22"/>
          <w:lang w:val="el-GR"/>
        </w:rPr>
        <w:t xml:space="preserve"> </w:t>
      </w:r>
      <w:r>
        <w:rPr>
          <w:sz w:val="22"/>
          <w:szCs w:val="22"/>
          <w:lang w:val="el-GR"/>
        </w:rPr>
        <w:t>πρέπει</w:t>
      </w:r>
      <w:r w:rsidRPr="00A810C9">
        <w:rPr>
          <w:sz w:val="22"/>
          <w:szCs w:val="22"/>
          <w:lang w:val="el-GR"/>
        </w:rPr>
        <w:t xml:space="preserve"> </w:t>
      </w:r>
      <w:r>
        <w:rPr>
          <w:sz w:val="22"/>
          <w:szCs w:val="22"/>
          <w:lang w:val="el-GR"/>
        </w:rPr>
        <w:t>ωστόσο</w:t>
      </w:r>
      <w:r w:rsidRPr="00A810C9">
        <w:rPr>
          <w:sz w:val="22"/>
          <w:szCs w:val="22"/>
          <w:lang w:val="el-GR"/>
        </w:rPr>
        <w:t xml:space="preserve"> </w:t>
      </w:r>
      <w:r>
        <w:rPr>
          <w:sz w:val="22"/>
          <w:szCs w:val="22"/>
          <w:lang w:val="el-GR"/>
        </w:rPr>
        <w:t>να</w:t>
      </w:r>
      <w:r w:rsidRPr="00A810C9">
        <w:rPr>
          <w:sz w:val="22"/>
          <w:szCs w:val="22"/>
          <w:lang w:val="el-GR"/>
        </w:rPr>
        <w:t xml:space="preserve"> </w:t>
      </w:r>
      <w:r>
        <w:rPr>
          <w:sz w:val="22"/>
          <w:szCs w:val="22"/>
          <w:lang w:val="el-GR"/>
        </w:rPr>
        <w:t>ληφθεί</w:t>
      </w:r>
      <w:r w:rsidRPr="00A810C9">
        <w:rPr>
          <w:sz w:val="22"/>
          <w:szCs w:val="22"/>
          <w:lang w:val="el-GR"/>
        </w:rPr>
        <w:t xml:space="preserve"> </w:t>
      </w:r>
      <w:r>
        <w:rPr>
          <w:sz w:val="22"/>
          <w:szCs w:val="22"/>
          <w:lang w:val="el-GR"/>
        </w:rPr>
        <w:t>υπόψη</w:t>
      </w:r>
      <w:r w:rsidRPr="00A810C9">
        <w:rPr>
          <w:sz w:val="22"/>
          <w:szCs w:val="22"/>
          <w:lang w:val="el-GR"/>
        </w:rPr>
        <w:t xml:space="preserve"> </w:t>
      </w:r>
      <w:r>
        <w:rPr>
          <w:sz w:val="22"/>
          <w:szCs w:val="22"/>
          <w:lang w:val="el-GR"/>
        </w:rPr>
        <w:t>πως</w:t>
      </w:r>
      <w:r w:rsidRPr="00A810C9">
        <w:rPr>
          <w:sz w:val="22"/>
          <w:szCs w:val="22"/>
          <w:lang w:val="el-GR"/>
        </w:rPr>
        <w:t xml:space="preserve"> </w:t>
      </w:r>
      <w:r>
        <w:rPr>
          <w:sz w:val="22"/>
          <w:szCs w:val="22"/>
          <w:lang w:val="el-GR"/>
        </w:rPr>
        <w:t>τα</w:t>
      </w:r>
      <w:r w:rsidRPr="00A810C9">
        <w:rPr>
          <w:sz w:val="22"/>
          <w:szCs w:val="22"/>
          <w:lang w:val="el-GR"/>
        </w:rPr>
        <w:t xml:space="preserve"> </w:t>
      </w:r>
      <w:r>
        <w:rPr>
          <w:sz w:val="22"/>
          <w:szCs w:val="22"/>
          <w:lang w:val="el-GR"/>
        </w:rPr>
        <w:t>στεροειδή</w:t>
      </w:r>
      <w:r w:rsidRPr="00A810C9">
        <w:rPr>
          <w:sz w:val="22"/>
          <w:szCs w:val="22"/>
          <w:lang w:val="el-GR"/>
        </w:rPr>
        <w:t xml:space="preserve"> </w:t>
      </w:r>
      <w:r>
        <w:rPr>
          <w:sz w:val="22"/>
          <w:szCs w:val="22"/>
          <w:lang w:val="el-GR"/>
        </w:rPr>
        <w:t>της</w:t>
      </w:r>
      <w:r w:rsidRPr="00A810C9">
        <w:rPr>
          <w:sz w:val="22"/>
          <w:szCs w:val="22"/>
          <w:lang w:val="el-GR"/>
        </w:rPr>
        <w:t xml:space="preserve"> </w:t>
      </w:r>
      <w:r>
        <w:rPr>
          <w:sz w:val="22"/>
          <w:szCs w:val="22"/>
          <w:lang w:val="el-GR"/>
        </w:rPr>
        <w:t>αναπαραγωγής</w:t>
      </w:r>
      <w:r w:rsidRPr="009D7A17">
        <w:rPr>
          <w:sz w:val="22"/>
          <w:szCs w:val="22"/>
          <w:lang w:val="el-GR"/>
        </w:rPr>
        <w:t xml:space="preserve">, </w:t>
      </w:r>
      <w:r>
        <w:rPr>
          <w:sz w:val="22"/>
          <w:szCs w:val="22"/>
          <w:lang w:val="el-GR"/>
        </w:rPr>
        <w:t>όπως</w:t>
      </w:r>
      <w:r w:rsidRPr="00A810C9">
        <w:rPr>
          <w:sz w:val="22"/>
          <w:szCs w:val="22"/>
          <w:lang w:val="el-GR"/>
        </w:rPr>
        <w:t xml:space="preserve"> </w:t>
      </w:r>
      <w:r>
        <w:rPr>
          <w:sz w:val="22"/>
          <w:szCs w:val="22"/>
          <w:lang w:val="el-GR"/>
        </w:rPr>
        <w:t>ηπρογεστερόνη</w:t>
      </w:r>
      <w:r w:rsidRPr="00A810C9">
        <w:rPr>
          <w:sz w:val="22"/>
          <w:szCs w:val="22"/>
          <w:lang w:val="el-GR"/>
        </w:rPr>
        <w:t xml:space="preserve"> </w:t>
      </w:r>
      <w:r>
        <w:rPr>
          <w:sz w:val="22"/>
          <w:szCs w:val="22"/>
          <w:lang w:val="el-GR"/>
        </w:rPr>
        <w:t>μπορούν να προαγάγουν την ανάπτυξη συγκεκριμένων ορμονοεξαρτώμενων ιστών και όγκων</w:t>
      </w:r>
      <w:r w:rsidRPr="004350A8">
        <w:rPr>
          <w:sz w:val="22"/>
          <w:szCs w:val="22"/>
          <w:lang w:val="el-GR"/>
        </w:rPr>
        <w:t>.</w:t>
      </w:r>
    </w:p>
    <w:p w:rsidR="00356F05" w:rsidRPr="00085125" w:rsidRDefault="00356F05" w:rsidP="00D150B8">
      <w:pPr>
        <w:jc w:val="both"/>
        <w:rPr>
          <w:snapToGrid w:val="0"/>
          <w:sz w:val="22"/>
          <w:szCs w:val="22"/>
          <w:lang w:val="el-GR" w:eastAsia="en-US"/>
        </w:rPr>
      </w:pPr>
    </w:p>
    <w:p w:rsidR="00356F05" w:rsidRPr="00085125" w:rsidRDefault="00356F05" w:rsidP="00D150B8">
      <w:pPr>
        <w:jc w:val="both"/>
        <w:rPr>
          <w:snapToGrid w:val="0"/>
          <w:sz w:val="22"/>
          <w:szCs w:val="22"/>
          <w:lang w:val="el-GR" w:eastAsia="en-US"/>
        </w:rPr>
      </w:pPr>
    </w:p>
    <w:p w:rsidR="00356F05" w:rsidRPr="00F13BB3" w:rsidRDefault="00356F05" w:rsidP="00D150B8">
      <w:pPr>
        <w:numPr>
          <w:ilvl w:val="0"/>
          <w:numId w:val="11"/>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ΦΑΡΜΑΚΕΥΤΙΚΕΣ ΠΛΗΡΟΦΟΡΙΕΣ</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1"/>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Κατάλογος εκδόχων</w:t>
      </w:r>
    </w:p>
    <w:p w:rsidR="00356F05" w:rsidRPr="00F13BB3" w:rsidRDefault="00356F05" w:rsidP="00D0318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Hydroxypropylbetadex,</w:t>
      </w:r>
    </w:p>
    <w:p w:rsidR="00356F05" w:rsidRPr="00F13BB3" w:rsidRDefault="00356F05" w:rsidP="00D150B8">
      <w:pPr>
        <w:jc w:val="both"/>
        <w:rPr>
          <w:sz w:val="22"/>
          <w:szCs w:val="22"/>
          <w:lang w:val="el-GR"/>
        </w:rPr>
      </w:pPr>
      <w:r w:rsidRPr="00F13BB3">
        <w:rPr>
          <w:sz w:val="22"/>
          <w:szCs w:val="22"/>
          <w:lang w:val="el-GR"/>
        </w:rPr>
        <w:t xml:space="preserve">Ύδωρ για ενέσιμα. </w:t>
      </w:r>
    </w:p>
    <w:p w:rsidR="00356F05" w:rsidRPr="00F13BB3" w:rsidRDefault="00356F05" w:rsidP="00D150B8">
      <w:pPr>
        <w:suppressAutoHyphens/>
        <w:overflowPunct w:val="0"/>
        <w:autoSpaceDE w:val="0"/>
        <w:autoSpaceDN w:val="0"/>
        <w:adjustRightInd w:val="0"/>
        <w:jc w:val="both"/>
        <w:textAlignment w:val="baseline"/>
        <w:rPr>
          <w:sz w:val="22"/>
          <w:szCs w:val="22"/>
          <w:lang w:val="el-GR"/>
        </w:rPr>
      </w:pPr>
    </w:p>
    <w:p w:rsidR="00356F05" w:rsidRPr="00F13BB3" w:rsidRDefault="00356F05" w:rsidP="00D150B8">
      <w:pPr>
        <w:numPr>
          <w:ilvl w:val="1"/>
          <w:numId w:val="11"/>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Ασυμβατότητες</w:t>
      </w:r>
    </w:p>
    <w:p w:rsidR="00356F05" w:rsidRPr="00F13BB3" w:rsidRDefault="00356F05" w:rsidP="00D0318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b/>
          <w:bCs/>
          <w:i/>
          <w:iCs/>
          <w:sz w:val="22"/>
          <w:szCs w:val="22"/>
          <w:lang w:val="el-GR"/>
        </w:rPr>
      </w:pPr>
      <w:r w:rsidRPr="00F13BB3">
        <w:rPr>
          <w:sz w:val="22"/>
          <w:szCs w:val="22"/>
          <w:lang w:val="el-GR"/>
        </w:rPr>
        <w:t>Αυτό το φαρμακευτικό προϊόν δεν πρέπει να αναμειγνύεται με άλλα φαρμακευτικά προϊόντα εκτός αυτών που αναφέρονται στην παράγραφο 6.6.</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1"/>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Διάρκεια ζωής</w:t>
      </w:r>
    </w:p>
    <w:p w:rsidR="00356F05" w:rsidRPr="00F13BB3" w:rsidRDefault="00356F05" w:rsidP="00D03188">
      <w:pPr>
        <w:suppressAutoHyphens/>
        <w:overflowPunct w:val="0"/>
        <w:autoSpaceDE w:val="0"/>
        <w:autoSpaceDN w:val="0"/>
        <w:adjustRightInd w:val="0"/>
        <w:jc w:val="both"/>
        <w:textAlignment w:val="baseline"/>
        <w:rPr>
          <w:b/>
          <w:bCs/>
          <w:sz w:val="22"/>
          <w:szCs w:val="22"/>
          <w:lang w:val="el-GR"/>
        </w:rPr>
      </w:pPr>
    </w:p>
    <w:p w:rsidR="00356F05" w:rsidRPr="00864190" w:rsidRDefault="00356F05" w:rsidP="00D150B8">
      <w:pPr>
        <w:jc w:val="both"/>
        <w:rPr>
          <w:strike/>
          <w:sz w:val="22"/>
          <w:szCs w:val="22"/>
          <w:lang w:val="el-GR"/>
        </w:rPr>
      </w:pPr>
      <w:r>
        <w:rPr>
          <w:sz w:val="22"/>
          <w:szCs w:val="22"/>
          <w:lang w:val="el-GR"/>
        </w:rPr>
        <w:t>2 έτη</w:t>
      </w:r>
    </w:p>
    <w:p w:rsidR="00356F05" w:rsidRPr="00F13BB3" w:rsidRDefault="00356F05" w:rsidP="00D150B8">
      <w:pPr>
        <w:jc w:val="both"/>
        <w:rPr>
          <w:sz w:val="22"/>
          <w:szCs w:val="22"/>
          <w:lang w:val="el-GR"/>
        </w:rPr>
      </w:pPr>
    </w:p>
    <w:p w:rsidR="00356F05" w:rsidRPr="00F13BB3" w:rsidRDefault="00356F05" w:rsidP="00D150B8">
      <w:pPr>
        <w:jc w:val="both"/>
        <w:rPr>
          <w:sz w:val="22"/>
          <w:szCs w:val="22"/>
          <w:lang w:val="el-GR"/>
        </w:rPr>
      </w:pPr>
      <w:r w:rsidRPr="00F13BB3">
        <w:rPr>
          <w:sz w:val="22"/>
          <w:szCs w:val="22"/>
          <w:lang w:val="el-GR"/>
        </w:rPr>
        <w:t>Tο φαρμακευτικό προϊόν πρέπει να χρησιμοποιείται αμέσως μετά το πρώτο άνοιγμα: Τυχόν αχρησιμοποίητο διάλυμα πρέπει να απορρίπτεται.</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1"/>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Ιδιαίτερες προφυλάξεις κατά τη φύλαξη του προϊόντος</w:t>
      </w:r>
    </w:p>
    <w:p w:rsidR="00356F05" w:rsidRPr="00F13BB3" w:rsidRDefault="00356F05" w:rsidP="00D0318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Φυλάσσετε σε θερμοκρασία μικρότερη των 25°C. Μην ψύχετε ή καταψύχετε.</w:t>
      </w:r>
    </w:p>
    <w:p w:rsidR="00356F05" w:rsidRPr="00F13BB3" w:rsidRDefault="00356F05" w:rsidP="00D150B8">
      <w:pPr>
        <w:jc w:val="both"/>
        <w:rPr>
          <w:sz w:val="22"/>
          <w:szCs w:val="22"/>
          <w:lang w:val="el-GR"/>
        </w:rPr>
      </w:pPr>
      <w:r w:rsidRPr="00F13BB3">
        <w:rPr>
          <w:sz w:val="22"/>
          <w:szCs w:val="22"/>
          <w:lang w:val="el-GR"/>
        </w:rPr>
        <w:t>Φυλάσσετε στην αρχική συσκευασία για να προστατεύεται από το φως.</w:t>
      </w:r>
    </w:p>
    <w:p w:rsidR="00356F05" w:rsidRPr="00F13BB3" w:rsidRDefault="00356F05" w:rsidP="00D150B8">
      <w:pPr>
        <w:jc w:val="both"/>
        <w:rPr>
          <w:snapToGrid w:val="0"/>
          <w:sz w:val="22"/>
          <w:szCs w:val="22"/>
          <w:lang w:val="el-GR" w:eastAsia="en-US"/>
        </w:rPr>
      </w:pPr>
    </w:p>
    <w:p w:rsidR="00356F05" w:rsidRPr="00F13BB3" w:rsidRDefault="00356F05" w:rsidP="00D150B8">
      <w:pPr>
        <w:numPr>
          <w:ilvl w:val="1"/>
          <w:numId w:val="11"/>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Φύση και συστατικά του περιέκτη</w:t>
      </w:r>
    </w:p>
    <w:p w:rsidR="00356F05" w:rsidRPr="00F13BB3" w:rsidRDefault="00356F05" w:rsidP="00D03188">
      <w:pPr>
        <w:suppressAutoHyphens/>
        <w:overflowPunct w:val="0"/>
        <w:autoSpaceDE w:val="0"/>
        <w:autoSpaceDN w:val="0"/>
        <w:adjustRightInd w:val="0"/>
        <w:jc w:val="both"/>
        <w:textAlignment w:val="baseline"/>
        <w:rPr>
          <w:b/>
          <w:bCs/>
          <w:sz w:val="22"/>
          <w:szCs w:val="22"/>
          <w:lang w:val="el-GR"/>
        </w:rPr>
      </w:pPr>
    </w:p>
    <w:p w:rsidR="00356F05" w:rsidRPr="00A810C9" w:rsidRDefault="00356F05" w:rsidP="00D150B8">
      <w:pPr>
        <w:jc w:val="both"/>
        <w:rPr>
          <w:sz w:val="22"/>
          <w:szCs w:val="22"/>
          <w:lang w:val="el-GR"/>
        </w:rPr>
      </w:pPr>
      <w:r w:rsidRPr="00F13BB3">
        <w:rPr>
          <w:sz w:val="22"/>
          <w:szCs w:val="22"/>
          <w:lang w:val="el-GR"/>
        </w:rPr>
        <w:t xml:space="preserve">Άχρωμο γυάλινο φιαλίδιο Tύπου I, κλεισμένο με ελαστικό πώμα εισχώρησης από βρωμοβουτύλιο </w:t>
      </w:r>
      <w:r>
        <w:rPr>
          <w:sz w:val="22"/>
          <w:szCs w:val="22"/>
          <w:lang w:val="el-GR"/>
        </w:rPr>
        <w:t>και μία</w:t>
      </w:r>
      <w:r w:rsidRPr="00F13BB3">
        <w:rPr>
          <w:sz w:val="22"/>
          <w:szCs w:val="22"/>
          <w:lang w:val="el-GR"/>
        </w:rPr>
        <w:t xml:space="preserve"> σφράγιση αλουμινίου και αποσπώμενο καπάκι. Κάθε συσκευασία περιέχει 1, 7 ή 14 φιαλίδια.</w:t>
      </w:r>
      <w:r w:rsidRPr="00A810C9">
        <w:rPr>
          <w:sz w:val="22"/>
          <w:szCs w:val="22"/>
          <w:lang w:val="el-GR"/>
        </w:rPr>
        <w:t xml:space="preserve"> </w:t>
      </w:r>
      <w:r w:rsidRPr="00F13BB3">
        <w:rPr>
          <w:sz w:val="22"/>
          <w:szCs w:val="22"/>
          <w:lang w:val="el-GR"/>
        </w:rPr>
        <w:t>Μπορεί να μην κυκλοφορούν όλες οι συσκευασίες.</w:t>
      </w:r>
    </w:p>
    <w:p w:rsidR="00356F05" w:rsidRPr="00A810C9" w:rsidRDefault="00356F05" w:rsidP="00D150B8">
      <w:pPr>
        <w:jc w:val="both"/>
        <w:rPr>
          <w:noProof/>
          <w:sz w:val="22"/>
          <w:szCs w:val="22"/>
          <w:lang w:val="el-GR"/>
        </w:rPr>
      </w:pPr>
      <w:bookmarkStart w:id="0" w:name="_GoBack"/>
      <w:bookmarkEnd w:id="0"/>
    </w:p>
    <w:p w:rsidR="00356F05" w:rsidRPr="00F13BB3" w:rsidRDefault="00356F05" w:rsidP="00D150B8">
      <w:pPr>
        <w:rPr>
          <w:sz w:val="22"/>
          <w:szCs w:val="22"/>
          <w:lang w:val="el-GR"/>
        </w:rPr>
      </w:pPr>
    </w:p>
    <w:p w:rsidR="00356F05" w:rsidRPr="00F13BB3" w:rsidRDefault="00356F05" w:rsidP="00D150B8">
      <w:pPr>
        <w:numPr>
          <w:ilvl w:val="1"/>
          <w:numId w:val="11"/>
        </w:numPr>
        <w:tabs>
          <w:tab w:val="clear" w:pos="1353"/>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Ιδιαίτερες προφυλάξεις απόρριψης και άλλος χειρισμός</w:t>
      </w:r>
    </w:p>
    <w:p w:rsidR="00356F05" w:rsidRPr="00F13BB3" w:rsidRDefault="00356F05" w:rsidP="00D03188">
      <w:pPr>
        <w:suppressAutoHyphens/>
        <w:overflowPunct w:val="0"/>
        <w:autoSpaceDE w:val="0"/>
        <w:autoSpaceDN w:val="0"/>
        <w:adjustRightInd w:val="0"/>
        <w:jc w:val="both"/>
        <w:textAlignment w:val="baseline"/>
        <w:rPr>
          <w:b/>
          <w:bCs/>
          <w:sz w:val="22"/>
          <w:szCs w:val="22"/>
          <w:lang w:val="el-GR"/>
        </w:rPr>
      </w:pPr>
    </w:p>
    <w:p w:rsidR="00356F05" w:rsidRPr="00F13BB3" w:rsidRDefault="00356F05" w:rsidP="00D150B8">
      <w:pPr>
        <w:jc w:val="both"/>
        <w:rPr>
          <w:sz w:val="22"/>
          <w:szCs w:val="22"/>
          <w:lang w:val="el-GR"/>
        </w:rPr>
      </w:pPr>
      <w:r w:rsidRPr="00F13BB3">
        <w:rPr>
          <w:sz w:val="22"/>
          <w:szCs w:val="22"/>
          <w:lang w:val="el-GR"/>
        </w:rPr>
        <w:t>Το διάλυμα προορίζεται για μία μόνο χρήση.</w:t>
      </w:r>
    </w:p>
    <w:p w:rsidR="00356F05" w:rsidRPr="00F13BB3" w:rsidRDefault="00356F05" w:rsidP="00D150B8">
      <w:pPr>
        <w:jc w:val="both"/>
        <w:rPr>
          <w:sz w:val="22"/>
          <w:szCs w:val="22"/>
          <w:lang w:val="el-GR"/>
        </w:rPr>
      </w:pPr>
      <w:r w:rsidRPr="00F13BB3">
        <w:rPr>
          <w:sz w:val="22"/>
          <w:szCs w:val="22"/>
          <w:lang w:val="el-GR"/>
        </w:rPr>
        <w:t>Ένας επαγγελματίας του τομέα της υγειονομικής περίθαλψης πρέπει να εκτελέσει όλες τις ενδομυϊκές ενέσεις.</w:t>
      </w:r>
    </w:p>
    <w:p w:rsidR="00356F05" w:rsidRPr="00F13BB3" w:rsidRDefault="00356F05" w:rsidP="00D150B8">
      <w:pPr>
        <w:jc w:val="both"/>
        <w:rPr>
          <w:sz w:val="22"/>
          <w:szCs w:val="22"/>
          <w:lang w:val="el-GR"/>
        </w:rPr>
      </w:pPr>
      <w:r w:rsidRPr="00F13BB3">
        <w:rPr>
          <w:sz w:val="22"/>
          <w:szCs w:val="22"/>
          <w:lang w:val="el-GR"/>
        </w:rPr>
        <w:t>Tο διάλυμα δεν θα πρέπει να χορηγείται εάν περιέχει σωματίδια ή εάν είναι αποχρωματισμένο.</w:t>
      </w:r>
    </w:p>
    <w:p w:rsidR="00356F05" w:rsidRPr="00F13BB3" w:rsidRDefault="00356F05" w:rsidP="00D150B8">
      <w:pPr>
        <w:jc w:val="both"/>
        <w:rPr>
          <w:sz w:val="22"/>
          <w:szCs w:val="22"/>
          <w:lang w:val="el-GR"/>
        </w:rPr>
      </w:pPr>
    </w:p>
    <w:p w:rsidR="00356F05" w:rsidRPr="00F13BB3" w:rsidRDefault="00356F05" w:rsidP="00D150B8">
      <w:pPr>
        <w:rPr>
          <w:sz w:val="22"/>
          <w:szCs w:val="22"/>
          <w:lang w:val="el-GR"/>
        </w:rPr>
      </w:pPr>
      <w:r w:rsidRPr="00F13BB3">
        <w:rPr>
          <w:sz w:val="22"/>
          <w:szCs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356F05" w:rsidRPr="00085125" w:rsidRDefault="00356F05" w:rsidP="00D150B8">
      <w:pPr>
        <w:jc w:val="both"/>
        <w:rPr>
          <w:sz w:val="22"/>
          <w:szCs w:val="22"/>
          <w:lang w:val="el-GR"/>
        </w:rPr>
      </w:pPr>
    </w:p>
    <w:p w:rsidR="00356F05" w:rsidRPr="00085125" w:rsidRDefault="00356F05" w:rsidP="00D150B8">
      <w:pPr>
        <w:jc w:val="both"/>
        <w:rPr>
          <w:sz w:val="22"/>
          <w:szCs w:val="22"/>
          <w:lang w:val="el-GR"/>
        </w:rPr>
      </w:pPr>
    </w:p>
    <w:p w:rsidR="00356F05" w:rsidRPr="00F13BB3" w:rsidRDefault="00356F05" w:rsidP="00D150B8">
      <w:pPr>
        <w:numPr>
          <w:ilvl w:val="0"/>
          <w:numId w:val="11"/>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ΚΑΤΟΧΟΣ ΤΗΣ ΑΔΕΙΑΣ ΚΥΚΛΟΦΟΡΙΑΣ</w:t>
      </w:r>
    </w:p>
    <w:p w:rsidR="00356F05" w:rsidRPr="00F13BB3" w:rsidRDefault="00356F05" w:rsidP="00D150B8">
      <w:pPr>
        <w:jc w:val="both"/>
        <w:rPr>
          <w:snapToGrid w:val="0"/>
          <w:sz w:val="22"/>
          <w:szCs w:val="22"/>
          <w:lang w:val="el-GR" w:eastAsia="en-US"/>
        </w:rPr>
      </w:pPr>
    </w:p>
    <w:p w:rsidR="00356F05" w:rsidRDefault="00356F05" w:rsidP="00A810C9">
      <w:pPr>
        <w:jc w:val="both"/>
        <w:rPr>
          <w:sz w:val="22"/>
          <w:szCs w:val="22"/>
          <w:lang w:val="de-CH"/>
        </w:rPr>
      </w:pPr>
      <w:r>
        <w:rPr>
          <w:sz w:val="22"/>
          <w:szCs w:val="22"/>
          <w:lang w:val="de-CH"/>
        </w:rPr>
        <w:t>IBSA Farmaceutici Italia Srl</w:t>
      </w:r>
    </w:p>
    <w:p w:rsidR="00356F05" w:rsidRDefault="00356F05" w:rsidP="00A810C9">
      <w:pPr>
        <w:jc w:val="both"/>
        <w:rPr>
          <w:sz w:val="22"/>
          <w:szCs w:val="22"/>
          <w:lang w:val="de-CH"/>
        </w:rPr>
      </w:pPr>
      <w:r>
        <w:rPr>
          <w:sz w:val="22"/>
          <w:szCs w:val="22"/>
          <w:lang w:val="de-CH"/>
        </w:rPr>
        <w:t>Via Martiri di Cefalonia 2</w:t>
      </w:r>
    </w:p>
    <w:p w:rsidR="00356F05" w:rsidRDefault="00356F05" w:rsidP="00A810C9">
      <w:pPr>
        <w:jc w:val="both"/>
        <w:rPr>
          <w:sz w:val="22"/>
          <w:szCs w:val="22"/>
          <w:lang w:val="de-CH"/>
        </w:rPr>
      </w:pPr>
      <w:r>
        <w:rPr>
          <w:sz w:val="22"/>
          <w:szCs w:val="22"/>
          <w:lang w:val="de-CH"/>
        </w:rPr>
        <w:t>26900 Lodi</w:t>
      </w:r>
    </w:p>
    <w:p w:rsidR="00356F05" w:rsidRPr="004A24C8" w:rsidRDefault="00356F05" w:rsidP="00A810C9">
      <w:pPr>
        <w:jc w:val="both"/>
        <w:rPr>
          <w:i/>
          <w:iCs/>
          <w:sz w:val="22"/>
          <w:szCs w:val="22"/>
          <w:lang w:val="de-CH"/>
        </w:rPr>
      </w:pPr>
      <w:r>
        <w:rPr>
          <w:sz w:val="22"/>
          <w:szCs w:val="22"/>
          <w:lang w:val="de-CH"/>
        </w:rPr>
        <w:t>Italia</w:t>
      </w:r>
    </w:p>
    <w:p w:rsidR="00356F05" w:rsidRPr="00F13BB3" w:rsidRDefault="00356F05" w:rsidP="00D150B8">
      <w:pPr>
        <w:jc w:val="both"/>
        <w:rPr>
          <w:sz w:val="22"/>
          <w:szCs w:val="22"/>
          <w:lang w:val="el-GR"/>
        </w:rPr>
      </w:pPr>
    </w:p>
    <w:p w:rsidR="00356F05" w:rsidRPr="00F13BB3" w:rsidRDefault="00356F05" w:rsidP="00D150B8">
      <w:pPr>
        <w:jc w:val="both"/>
        <w:rPr>
          <w:snapToGrid w:val="0"/>
          <w:sz w:val="22"/>
          <w:szCs w:val="22"/>
          <w:lang w:val="el-GR" w:eastAsia="en-US"/>
        </w:rPr>
      </w:pPr>
    </w:p>
    <w:p w:rsidR="00356F05" w:rsidRPr="00F13BB3" w:rsidRDefault="00356F05" w:rsidP="00D150B8">
      <w:pPr>
        <w:numPr>
          <w:ilvl w:val="0"/>
          <w:numId w:val="11"/>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ΑΡΙΘΜΟΣ(ΟΙ) ΑΔΕΙΑΣ ΚΥΚΛΟΦΟΡΙΑΣ</w:t>
      </w:r>
    </w:p>
    <w:p w:rsidR="00356F05" w:rsidRPr="00F13BB3" w:rsidRDefault="00356F05" w:rsidP="00D150B8">
      <w:pPr>
        <w:jc w:val="both"/>
        <w:rPr>
          <w:sz w:val="22"/>
          <w:szCs w:val="22"/>
          <w:lang w:val="el-GR"/>
        </w:rPr>
      </w:pPr>
    </w:p>
    <w:p w:rsidR="00356F05" w:rsidRPr="00085125" w:rsidRDefault="00356F05" w:rsidP="00D150B8">
      <w:pPr>
        <w:jc w:val="both"/>
        <w:rPr>
          <w:snapToGrid w:val="0"/>
          <w:sz w:val="22"/>
          <w:szCs w:val="22"/>
          <w:lang w:val="el-GR" w:eastAsia="en-US"/>
        </w:rPr>
      </w:pPr>
    </w:p>
    <w:p w:rsidR="00356F05" w:rsidRPr="00085125" w:rsidRDefault="00356F05" w:rsidP="00D150B8">
      <w:pPr>
        <w:jc w:val="both"/>
        <w:rPr>
          <w:snapToGrid w:val="0"/>
          <w:sz w:val="22"/>
          <w:szCs w:val="22"/>
          <w:lang w:val="el-GR" w:eastAsia="en-US"/>
        </w:rPr>
      </w:pPr>
    </w:p>
    <w:p w:rsidR="00356F05" w:rsidRPr="00F13BB3" w:rsidRDefault="00356F05" w:rsidP="00D150B8">
      <w:pPr>
        <w:numPr>
          <w:ilvl w:val="0"/>
          <w:numId w:val="11"/>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ΗΜΕΡΟΜΗΝΙΑ ΠΡΩΤΗΣ ΕΓΚΡΙΣΗΣ/ΑΝΑΝΕΩΣΗΣ ΤΗΣ ΑΔΕΙΑΣ</w:t>
      </w:r>
    </w:p>
    <w:p w:rsidR="00356F05" w:rsidRPr="00F13BB3" w:rsidRDefault="00356F05" w:rsidP="00D150B8">
      <w:pPr>
        <w:jc w:val="both"/>
        <w:rPr>
          <w:snapToGrid w:val="0"/>
          <w:sz w:val="22"/>
          <w:szCs w:val="22"/>
          <w:lang w:val="el-GR" w:eastAsia="en-US"/>
        </w:rPr>
      </w:pPr>
    </w:p>
    <w:p w:rsidR="00356F05" w:rsidRPr="00F13BB3" w:rsidRDefault="00356F05" w:rsidP="00D150B8">
      <w:pPr>
        <w:jc w:val="both"/>
        <w:rPr>
          <w:snapToGrid w:val="0"/>
          <w:sz w:val="22"/>
          <w:szCs w:val="22"/>
          <w:lang w:val="el-GR" w:eastAsia="en-US"/>
        </w:rPr>
      </w:pPr>
    </w:p>
    <w:p w:rsidR="00356F05" w:rsidRPr="00F13BB3" w:rsidRDefault="00356F05" w:rsidP="00D150B8">
      <w:pPr>
        <w:numPr>
          <w:ilvl w:val="0"/>
          <w:numId w:val="11"/>
        </w:numPr>
        <w:tabs>
          <w:tab w:val="clear" w:pos="360"/>
        </w:tabs>
        <w:suppressAutoHyphens/>
        <w:overflowPunct w:val="0"/>
        <w:autoSpaceDE w:val="0"/>
        <w:autoSpaceDN w:val="0"/>
        <w:adjustRightInd w:val="0"/>
        <w:ind w:left="0" w:firstLine="0"/>
        <w:jc w:val="both"/>
        <w:textAlignment w:val="baseline"/>
        <w:rPr>
          <w:b/>
          <w:bCs/>
          <w:sz w:val="22"/>
          <w:szCs w:val="22"/>
          <w:lang w:val="el-GR"/>
        </w:rPr>
      </w:pPr>
      <w:r w:rsidRPr="00F13BB3">
        <w:rPr>
          <w:b/>
          <w:bCs/>
          <w:sz w:val="22"/>
          <w:szCs w:val="22"/>
          <w:lang w:val="el-GR"/>
        </w:rPr>
        <w:t>ΗΜΕΡΟΜΗΝΙΑ ΑΝΑΘΕΩΡΗΣΗΣ ΤΟΥ ΚΕΙΜΕΝΟΥ</w:t>
      </w:r>
    </w:p>
    <w:p w:rsidR="00356F05" w:rsidRPr="00F13BB3" w:rsidRDefault="00356F05" w:rsidP="00D150B8">
      <w:pPr>
        <w:suppressAutoHyphens/>
        <w:overflowPunct w:val="0"/>
        <w:autoSpaceDE w:val="0"/>
        <w:autoSpaceDN w:val="0"/>
        <w:adjustRightInd w:val="0"/>
        <w:jc w:val="both"/>
        <w:textAlignment w:val="baseline"/>
        <w:rPr>
          <w:b/>
          <w:bCs/>
          <w:snapToGrid w:val="0"/>
          <w:sz w:val="22"/>
          <w:szCs w:val="22"/>
          <w:lang w:val="el-GR" w:eastAsia="en-US"/>
        </w:rPr>
      </w:pPr>
    </w:p>
    <w:sectPr w:rsidR="00356F05" w:rsidRPr="00F13BB3" w:rsidSect="00397A01">
      <w:footerReference w:type="default" r:id="rId7"/>
      <w:pgSz w:w="11906" w:h="16838"/>
      <w:pgMar w:top="1134" w:right="1417" w:bottom="1134" w:left="141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05" w:rsidRDefault="00356F05" w:rsidP="00912793">
      <w:r>
        <w:separator/>
      </w:r>
    </w:p>
  </w:endnote>
  <w:endnote w:type="continuationSeparator" w:id="0">
    <w:p w:rsidR="00356F05" w:rsidRDefault="00356F05" w:rsidP="00912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0">
    <w:altName w:val="Arial Unicode MS"/>
    <w:panose1 w:val="00000000000000000000"/>
    <w:charset w:val="81"/>
    <w:family w:val="modern"/>
    <w:notTrueType/>
    <w:pitch w:val="variable"/>
    <w:sig w:usb0="00000001" w:usb1="09060000" w:usb2="00000010" w:usb3="00000000" w:csb0="0008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05" w:rsidRPr="00D150B8" w:rsidRDefault="00356F05" w:rsidP="00D150B8">
    <w:pPr>
      <w:pStyle w:val="Footer"/>
      <w:jc w:val="center"/>
      <w:rPr>
        <w:rFonts w:ascii="Arial" w:hAnsi="Arial" w:cs="Arial"/>
      </w:rPr>
    </w:pPr>
    <w:r w:rsidRPr="00D150B8">
      <w:rPr>
        <w:rFonts w:ascii="Arial" w:hAnsi="Arial" w:cs="Arial"/>
        <w:sz w:val="16"/>
        <w:szCs w:val="16"/>
      </w:rPr>
      <w:fldChar w:fldCharType="begin"/>
    </w:r>
    <w:r w:rsidRPr="00D150B8">
      <w:rPr>
        <w:rFonts w:ascii="Arial" w:hAnsi="Arial" w:cs="Arial"/>
        <w:sz w:val="16"/>
        <w:szCs w:val="16"/>
      </w:rPr>
      <w:instrText>PAGE   \* MERGEFORMAT</w:instrText>
    </w:r>
    <w:r w:rsidRPr="00D150B8">
      <w:rPr>
        <w:rFonts w:ascii="Arial" w:hAnsi="Arial" w:cs="Arial"/>
        <w:sz w:val="16"/>
        <w:szCs w:val="16"/>
      </w:rPr>
      <w:fldChar w:fldCharType="separate"/>
    </w:r>
    <w:r>
      <w:rPr>
        <w:rFonts w:ascii="Arial" w:hAnsi="Arial" w:cs="Arial"/>
        <w:noProof/>
        <w:sz w:val="16"/>
        <w:szCs w:val="16"/>
      </w:rPr>
      <w:t>2</w:t>
    </w:r>
    <w:r w:rsidRPr="00D150B8">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05" w:rsidRDefault="00356F05" w:rsidP="00912793">
      <w:r>
        <w:separator/>
      </w:r>
    </w:p>
  </w:footnote>
  <w:footnote w:type="continuationSeparator" w:id="0">
    <w:p w:rsidR="00356F05" w:rsidRDefault="00356F05" w:rsidP="00912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C3719B3"/>
    <w:multiLevelType w:val="hybridMultilevel"/>
    <w:tmpl w:val="EE165552"/>
    <w:lvl w:ilvl="0" w:tplc="FFFFFFFF">
      <w:start w:val="1"/>
      <w:numFmt w:val="bullet"/>
      <w:lvlText w:val="-"/>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B97EB1"/>
    <w:multiLevelType w:val="multilevel"/>
    <w:tmpl w:val="6D96A3D2"/>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53"/>
        </w:tabs>
        <w:ind w:left="1353"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21A20853"/>
    <w:multiLevelType w:val="multilevel"/>
    <w:tmpl w:val="214CEC6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A126BF"/>
    <w:multiLevelType w:val="hybridMultilevel"/>
    <w:tmpl w:val="05AE2E58"/>
    <w:lvl w:ilvl="0" w:tplc="A052FB68">
      <w:start w:val="4"/>
      <w:numFmt w:val="bullet"/>
      <w:lvlText w:val=""/>
      <w:lvlJc w:val="left"/>
      <w:pPr>
        <w:tabs>
          <w:tab w:val="num" w:pos="720"/>
        </w:tabs>
        <w:ind w:left="720" w:hanging="36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253F0F9D"/>
    <w:multiLevelType w:val="multilevel"/>
    <w:tmpl w:val="5906D608"/>
    <w:lvl w:ilvl="0">
      <w:start w:val="2"/>
      <w:numFmt w:val="decimal"/>
      <w:lvlText w:val="%1."/>
      <w:lvlJc w:val="left"/>
      <w:pPr>
        <w:tabs>
          <w:tab w:val="num" w:pos="360"/>
        </w:tabs>
        <w:ind w:left="360" w:hanging="360"/>
      </w:pPr>
      <w:rPr>
        <w:rFonts w:cs="Times New Roman" w:hint="default"/>
        <w:b/>
        <w:bCs/>
      </w:rPr>
    </w:lvl>
    <w:lvl w:ilvl="1">
      <w:start w:val="1"/>
      <w:numFmt w:val="decimal"/>
      <w:isLgl/>
      <w:lvlText w:val="%1.%2"/>
      <w:lvlJc w:val="left"/>
      <w:pPr>
        <w:tabs>
          <w:tab w:val="num" w:pos="1353"/>
        </w:tabs>
        <w:ind w:left="1353"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32BF094E"/>
    <w:multiLevelType w:val="multilevel"/>
    <w:tmpl w:val="9D8CA6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45C67C15"/>
    <w:multiLevelType w:val="multilevel"/>
    <w:tmpl w:val="9D8CA6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53"/>
        </w:tabs>
        <w:ind w:left="1353"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53191F44"/>
    <w:multiLevelType w:val="multilevel"/>
    <w:tmpl w:val="3D72CFEA"/>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80D3078"/>
    <w:multiLevelType w:val="hybridMultilevel"/>
    <w:tmpl w:val="C9067104"/>
    <w:lvl w:ilvl="0" w:tplc="03AEA17A">
      <w:start w:val="1"/>
      <w:numFmt w:val="decimal"/>
      <w:lvlText w:val="%1."/>
      <w:lvlJc w:val="left"/>
      <w:pPr>
        <w:ind w:left="720" w:hanging="360"/>
      </w:pPr>
      <w:rPr>
        <w:rFonts w:cs="Times New Roman" w:hint="default"/>
        <w:b/>
        <w:bCs/>
        <w:sz w:val="24"/>
        <w:szCs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nsid w:val="58B1451C"/>
    <w:multiLevelType w:val="multilevel"/>
    <w:tmpl w:val="48D46846"/>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53"/>
        </w:tabs>
        <w:ind w:left="1353"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1"/>
  </w:num>
  <w:num w:numId="3">
    <w:abstractNumId w:val="8"/>
  </w:num>
  <w:num w:numId="4">
    <w:abstractNumId w:val="3"/>
  </w:num>
  <w:num w:numId="5">
    <w:abstractNumId w:val="0"/>
    <w:lvlOverride w:ilvl="0">
      <w:lvl w:ilvl="0">
        <w:start w:val="1"/>
        <w:numFmt w:val="bullet"/>
        <w:lvlText w:val="-"/>
        <w:legacy w:legacy="1" w:legacySpace="0" w:legacyIndent="360"/>
        <w:lvlJc w:val="left"/>
        <w:pPr>
          <w:ind w:left="360" w:hanging="360"/>
        </w:pPr>
      </w:lvl>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967"/>
    <w:rsid w:val="00036876"/>
    <w:rsid w:val="000437EB"/>
    <w:rsid w:val="0005103D"/>
    <w:rsid w:val="00060967"/>
    <w:rsid w:val="00075FF2"/>
    <w:rsid w:val="00085125"/>
    <w:rsid w:val="000A4484"/>
    <w:rsid w:val="000C52F7"/>
    <w:rsid w:val="000C7969"/>
    <w:rsid w:val="000D7233"/>
    <w:rsid w:val="000F64FB"/>
    <w:rsid w:val="001147A6"/>
    <w:rsid w:val="00117A07"/>
    <w:rsid w:val="001259E9"/>
    <w:rsid w:val="00126E33"/>
    <w:rsid w:val="00144495"/>
    <w:rsid w:val="00145A4C"/>
    <w:rsid w:val="00156F2E"/>
    <w:rsid w:val="00160FF1"/>
    <w:rsid w:val="00165AC2"/>
    <w:rsid w:val="00182590"/>
    <w:rsid w:val="00195383"/>
    <w:rsid w:val="001A49C8"/>
    <w:rsid w:val="001A54D4"/>
    <w:rsid w:val="001C4EB3"/>
    <w:rsid w:val="001E3910"/>
    <w:rsid w:val="00206CFB"/>
    <w:rsid w:val="00214815"/>
    <w:rsid w:val="00223801"/>
    <w:rsid w:val="00231907"/>
    <w:rsid w:val="00233E60"/>
    <w:rsid w:val="00234BB2"/>
    <w:rsid w:val="00235190"/>
    <w:rsid w:val="00241B5D"/>
    <w:rsid w:val="00251B4F"/>
    <w:rsid w:val="00256BDF"/>
    <w:rsid w:val="00261AFE"/>
    <w:rsid w:val="00265054"/>
    <w:rsid w:val="002701A8"/>
    <w:rsid w:val="00283BCD"/>
    <w:rsid w:val="002C37DA"/>
    <w:rsid w:val="002D2696"/>
    <w:rsid w:val="002E0BC8"/>
    <w:rsid w:val="002F71CF"/>
    <w:rsid w:val="002F7D38"/>
    <w:rsid w:val="0031270A"/>
    <w:rsid w:val="003238D2"/>
    <w:rsid w:val="003275F3"/>
    <w:rsid w:val="00335F86"/>
    <w:rsid w:val="00343AD7"/>
    <w:rsid w:val="00356F05"/>
    <w:rsid w:val="00367F95"/>
    <w:rsid w:val="003827FB"/>
    <w:rsid w:val="003844D4"/>
    <w:rsid w:val="003867AA"/>
    <w:rsid w:val="00394ACA"/>
    <w:rsid w:val="00395F50"/>
    <w:rsid w:val="00397A01"/>
    <w:rsid w:val="003B050B"/>
    <w:rsid w:val="003B26B8"/>
    <w:rsid w:val="003C7886"/>
    <w:rsid w:val="003E34CF"/>
    <w:rsid w:val="003F36DA"/>
    <w:rsid w:val="003F4F46"/>
    <w:rsid w:val="00417DEF"/>
    <w:rsid w:val="004219A0"/>
    <w:rsid w:val="004350A8"/>
    <w:rsid w:val="00440454"/>
    <w:rsid w:val="00452C19"/>
    <w:rsid w:val="00465F8A"/>
    <w:rsid w:val="004A24C8"/>
    <w:rsid w:val="004D108F"/>
    <w:rsid w:val="0050018B"/>
    <w:rsid w:val="005044A8"/>
    <w:rsid w:val="00513A5E"/>
    <w:rsid w:val="005218C9"/>
    <w:rsid w:val="00550F4C"/>
    <w:rsid w:val="00562955"/>
    <w:rsid w:val="005742C0"/>
    <w:rsid w:val="0058288C"/>
    <w:rsid w:val="005A06A0"/>
    <w:rsid w:val="005A2261"/>
    <w:rsid w:val="005A4693"/>
    <w:rsid w:val="005A6D92"/>
    <w:rsid w:val="005B5E82"/>
    <w:rsid w:val="005C5877"/>
    <w:rsid w:val="005C77F2"/>
    <w:rsid w:val="005E6D5D"/>
    <w:rsid w:val="005F2ACC"/>
    <w:rsid w:val="00605C0A"/>
    <w:rsid w:val="006178EB"/>
    <w:rsid w:val="00624F1D"/>
    <w:rsid w:val="00632A55"/>
    <w:rsid w:val="006432E5"/>
    <w:rsid w:val="00643E9D"/>
    <w:rsid w:val="0065041D"/>
    <w:rsid w:val="00654CEE"/>
    <w:rsid w:val="00661E8E"/>
    <w:rsid w:val="00662898"/>
    <w:rsid w:val="00663EBD"/>
    <w:rsid w:val="00681B4E"/>
    <w:rsid w:val="006961A9"/>
    <w:rsid w:val="006B29EF"/>
    <w:rsid w:val="006D6166"/>
    <w:rsid w:val="006F3E01"/>
    <w:rsid w:val="006F7AB1"/>
    <w:rsid w:val="007043B8"/>
    <w:rsid w:val="00721387"/>
    <w:rsid w:val="0073487B"/>
    <w:rsid w:val="007352CF"/>
    <w:rsid w:val="00786D07"/>
    <w:rsid w:val="00791B80"/>
    <w:rsid w:val="0079547F"/>
    <w:rsid w:val="00795F59"/>
    <w:rsid w:val="007C37FB"/>
    <w:rsid w:val="007C68E3"/>
    <w:rsid w:val="007C7D86"/>
    <w:rsid w:val="007E14FD"/>
    <w:rsid w:val="007E367F"/>
    <w:rsid w:val="007E7602"/>
    <w:rsid w:val="007F1F64"/>
    <w:rsid w:val="007F483F"/>
    <w:rsid w:val="00802A77"/>
    <w:rsid w:val="00823B04"/>
    <w:rsid w:val="00831172"/>
    <w:rsid w:val="00834A0D"/>
    <w:rsid w:val="00837AFD"/>
    <w:rsid w:val="0084402A"/>
    <w:rsid w:val="00862C75"/>
    <w:rsid w:val="00864190"/>
    <w:rsid w:val="00864BFC"/>
    <w:rsid w:val="00896CDD"/>
    <w:rsid w:val="008A0C22"/>
    <w:rsid w:val="008B1598"/>
    <w:rsid w:val="008E1B8E"/>
    <w:rsid w:val="008E317E"/>
    <w:rsid w:val="008F3F4B"/>
    <w:rsid w:val="009003C4"/>
    <w:rsid w:val="009006D4"/>
    <w:rsid w:val="00912793"/>
    <w:rsid w:val="00921C28"/>
    <w:rsid w:val="009237F1"/>
    <w:rsid w:val="00926865"/>
    <w:rsid w:val="009365ED"/>
    <w:rsid w:val="009A29B3"/>
    <w:rsid w:val="009B24C1"/>
    <w:rsid w:val="009B4382"/>
    <w:rsid w:val="009D0D0D"/>
    <w:rsid w:val="009D7A17"/>
    <w:rsid w:val="009E52F2"/>
    <w:rsid w:val="009F0FCB"/>
    <w:rsid w:val="009F3CF6"/>
    <w:rsid w:val="009F6478"/>
    <w:rsid w:val="00A0050B"/>
    <w:rsid w:val="00A2421B"/>
    <w:rsid w:val="00A472D4"/>
    <w:rsid w:val="00A75B6E"/>
    <w:rsid w:val="00A810C9"/>
    <w:rsid w:val="00A851EC"/>
    <w:rsid w:val="00AE2EFA"/>
    <w:rsid w:val="00AF7B19"/>
    <w:rsid w:val="00B107AA"/>
    <w:rsid w:val="00B137BF"/>
    <w:rsid w:val="00B45064"/>
    <w:rsid w:val="00B463A2"/>
    <w:rsid w:val="00B542F2"/>
    <w:rsid w:val="00BA2740"/>
    <w:rsid w:val="00BA5C62"/>
    <w:rsid w:val="00BC740D"/>
    <w:rsid w:val="00BE75EF"/>
    <w:rsid w:val="00C02763"/>
    <w:rsid w:val="00C0735D"/>
    <w:rsid w:val="00C32B8C"/>
    <w:rsid w:val="00C7558B"/>
    <w:rsid w:val="00C85A95"/>
    <w:rsid w:val="00C9340D"/>
    <w:rsid w:val="00C97473"/>
    <w:rsid w:val="00CA6E31"/>
    <w:rsid w:val="00CE2DFF"/>
    <w:rsid w:val="00CE7325"/>
    <w:rsid w:val="00D03188"/>
    <w:rsid w:val="00D150B8"/>
    <w:rsid w:val="00D15C9C"/>
    <w:rsid w:val="00D26CC8"/>
    <w:rsid w:val="00D466D4"/>
    <w:rsid w:val="00D641E4"/>
    <w:rsid w:val="00D65BE8"/>
    <w:rsid w:val="00D951B1"/>
    <w:rsid w:val="00DC3952"/>
    <w:rsid w:val="00DD272F"/>
    <w:rsid w:val="00DD6D14"/>
    <w:rsid w:val="00E04FEB"/>
    <w:rsid w:val="00E23987"/>
    <w:rsid w:val="00E341A1"/>
    <w:rsid w:val="00E412B8"/>
    <w:rsid w:val="00E53974"/>
    <w:rsid w:val="00E66E09"/>
    <w:rsid w:val="00E826C4"/>
    <w:rsid w:val="00EC0BF0"/>
    <w:rsid w:val="00EC50B9"/>
    <w:rsid w:val="00ED6AAB"/>
    <w:rsid w:val="00ED7ADC"/>
    <w:rsid w:val="00EE2CFC"/>
    <w:rsid w:val="00F13BB3"/>
    <w:rsid w:val="00F1473A"/>
    <w:rsid w:val="00F21B0F"/>
    <w:rsid w:val="00F42155"/>
    <w:rsid w:val="00F57BEE"/>
    <w:rsid w:val="00F645AB"/>
    <w:rsid w:val="00F721D9"/>
    <w:rsid w:val="00F84760"/>
    <w:rsid w:val="00F8763F"/>
    <w:rsid w:val="00FA35F5"/>
    <w:rsid w:val="00FC448F"/>
    <w:rsid w:val="00FD3367"/>
    <w:rsid w:val="00FF48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67"/>
    <w:rPr>
      <w:rFonts w:ascii="Times New Roman" w:eastAsia="Times New Roman" w:hAnsi="Times New Roman"/>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uiPriority w:val="99"/>
    <w:rsid w:val="00060967"/>
    <w:pPr>
      <w:spacing w:before="100" w:after="100"/>
    </w:pPr>
    <w:rPr>
      <w:lang w:val="en-GB"/>
    </w:rPr>
  </w:style>
  <w:style w:type="paragraph" w:styleId="NormalWeb">
    <w:name w:val="Normal (Web)"/>
    <w:basedOn w:val="Normal"/>
    <w:link w:val="NormalWebChar"/>
    <w:uiPriority w:val="99"/>
    <w:rsid w:val="00060967"/>
    <w:pPr>
      <w:spacing w:before="100" w:beforeAutospacing="1" w:after="100" w:afterAutospacing="1"/>
    </w:pPr>
    <w:rPr>
      <w:rFonts w:eastAsia="Calibri"/>
      <w:szCs w:val="20"/>
    </w:rPr>
  </w:style>
  <w:style w:type="paragraph" w:styleId="BodyText">
    <w:name w:val="Body Text"/>
    <w:basedOn w:val="Normal"/>
    <w:link w:val="BodyTextChar"/>
    <w:uiPriority w:val="99"/>
    <w:rsid w:val="00060967"/>
    <w:pPr>
      <w:spacing w:after="120"/>
    </w:pPr>
    <w:rPr>
      <w:rFonts w:eastAsia="Calibri"/>
    </w:rPr>
  </w:style>
  <w:style w:type="character" w:customStyle="1" w:styleId="BodyTextChar">
    <w:name w:val="Body Text Char"/>
    <w:basedOn w:val="DefaultParagraphFont"/>
    <w:link w:val="BodyText"/>
    <w:uiPriority w:val="99"/>
    <w:locked/>
    <w:rsid w:val="00060967"/>
    <w:rPr>
      <w:rFonts w:ascii="Times New Roman" w:hAnsi="Times New Roman" w:cs="Times New Roman"/>
      <w:sz w:val="24"/>
      <w:szCs w:val="24"/>
      <w:lang w:val="de-DE" w:eastAsia="de-DE"/>
    </w:rPr>
  </w:style>
  <w:style w:type="character" w:customStyle="1" w:styleId="NormalWebChar">
    <w:name w:val="Normal (Web) Char"/>
    <w:link w:val="NormalWeb"/>
    <w:uiPriority w:val="99"/>
    <w:locked/>
    <w:rsid w:val="00060967"/>
    <w:rPr>
      <w:rFonts w:ascii="Times New Roman" w:hAnsi="Times New Roman"/>
      <w:sz w:val="24"/>
      <w:lang w:val="de-DE" w:eastAsia="de-DE"/>
    </w:rPr>
  </w:style>
  <w:style w:type="paragraph" w:styleId="ListParagraph">
    <w:name w:val="List Paragraph"/>
    <w:basedOn w:val="Normal"/>
    <w:uiPriority w:val="99"/>
    <w:qFormat/>
    <w:rsid w:val="00C85A95"/>
    <w:pPr>
      <w:ind w:left="720"/>
    </w:pPr>
  </w:style>
  <w:style w:type="character" w:customStyle="1" w:styleId="tw4winMark">
    <w:name w:val="tw4winMark"/>
    <w:uiPriority w:val="99"/>
    <w:rsid w:val="008E317E"/>
    <w:rPr>
      <w:rFonts w:ascii="Courier New" w:hAnsi="Courier New"/>
      <w:vanish/>
      <w:color w:val="800080"/>
      <w:vertAlign w:val="subscript"/>
    </w:rPr>
  </w:style>
  <w:style w:type="character" w:customStyle="1" w:styleId="st">
    <w:name w:val="st"/>
    <w:basedOn w:val="DefaultParagraphFont"/>
    <w:uiPriority w:val="99"/>
    <w:rsid w:val="009003C4"/>
    <w:rPr>
      <w:rFonts w:cs="Times New Roman"/>
    </w:rPr>
  </w:style>
  <w:style w:type="character" w:styleId="Emphasis">
    <w:name w:val="Emphasis"/>
    <w:basedOn w:val="DefaultParagraphFont"/>
    <w:uiPriority w:val="99"/>
    <w:qFormat/>
    <w:locked/>
    <w:rsid w:val="009003C4"/>
    <w:rPr>
      <w:rFonts w:cs="Times New Roman"/>
      <w:i/>
      <w:iCs/>
    </w:rPr>
  </w:style>
  <w:style w:type="paragraph" w:styleId="BalloonText">
    <w:name w:val="Balloon Text"/>
    <w:basedOn w:val="Normal"/>
    <w:link w:val="BalloonTextChar"/>
    <w:uiPriority w:val="99"/>
    <w:semiHidden/>
    <w:rsid w:val="00E04FEB"/>
    <w:rPr>
      <w:rFonts w:eastAsia="Calibri"/>
      <w:sz w:val="2"/>
      <w:szCs w:val="2"/>
    </w:rPr>
  </w:style>
  <w:style w:type="character" w:customStyle="1" w:styleId="BalloonTextChar">
    <w:name w:val="Balloon Text Char"/>
    <w:basedOn w:val="DefaultParagraphFont"/>
    <w:link w:val="BalloonText"/>
    <w:uiPriority w:val="99"/>
    <w:semiHidden/>
    <w:locked/>
    <w:rsid w:val="00802A77"/>
    <w:rPr>
      <w:rFonts w:ascii="Times New Roman" w:hAnsi="Times New Roman" w:cs="Times New Roman"/>
      <w:sz w:val="2"/>
      <w:szCs w:val="2"/>
      <w:lang w:val="de-DE" w:eastAsia="de-DE"/>
    </w:rPr>
  </w:style>
  <w:style w:type="paragraph" w:styleId="Header">
    <w:name w:val="header"/>
    <w:basedOn w:val="Normal"/>
    <w:link w:val="HeaderChar"/>
    <w:uiPriority w:val="99"/>
    <w:rsid w:val="00912793"/>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912793"/>
    <w:rPr>
      <w:rFonts w:ascii="Times New Roman" w:hAnsi="Times New Roman" w:cs="Times New Roman"/>
      <w:sz w:val="24"/>
      <w:szCs w:val="24"/>
      <w:lang w:val="de-DE" w:eastAsia="de-DE"/>
    </w:rPr>
  </w:style>
  <w:style w:type="paragraph" w:styleId="Footer">
    <w:name w:val="footer"/>
    <w:basedOn w:val="Normal"/>
    <w:link w:val="FooterChar"/>
    <w:uiPriority w:val="99"/>
    <w:rsid w:val="00912793"/>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912793"/>
    <w:rPr>
      <w:rFonts w:ascii="Times New Roman" w:hAnsi="Times New Roman" w:cs="Times New Roman"/>
      <w:sz w:val="24"/>
      <w:szCs w:val="24"/>
      <w:lang w:val="de-DE" w:eastAsia="de-DE"/>
    </w:rPr>
  </w:style>
  <w:style w:type="character" w:styleId="CommentReference">
    <w:name w:val="annotation reference"/>
    <w:basedOn w:val="DefaultParagraphFont"/>
    <w:uiPriority w:val="99"/>
    <w:semiHidden/>
    <w:rsid w:val="00D150B8"/>
    <w:rPr>
      <w:rFonts w:cs="Times New Roman"/>
      <w:sz w:val="16"/>
      <w:szCs w:val="16"/>
    </w:rPr>
  </w:style>
  <w:style w:type="paragraph" w:styleId="CommentText">
    <w:name w:val="annotation text"/>
    <w:basedOn w:val="Normal"/>
    <w:link w:val="CommentTextChar"/>
    <w:uiPriority w:val="99"/>
    <w:semiHidden/>
    <w:rsid w:val="00D150B8"/>
    <w:rPr>
      <w:rFonts w:eastAsia="Calibri"/>
      <w:sz w:val="20"/>
      <w:szCs w:val="20"/>
      <w:lang w:val="it-IT" w:eastAsia="it-IT"/>
    </w:rPr>
  </w:style>
  <w:style w:type="character" w:customStyle="1" w:styleId="CommentTextChar">
    <w:name w:val="Comment Text Char"/>
    <w:basedOn w:val="DefaultParagraphFont"/>
    <w:link w:val="CommentText"/>
    <w:uiPriority w:val="99"/>
    <w:semiHidden/>
    <w:locked/>
    <w:rsid w:val="00D150B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150B8"/>
    <w:rPr>
      <w:b/>
      <w:bCs/>
    </w:rPr>
  </w:style>
  <w:style w:type="character" w:customStyle="1" w:styleId="CommentSubjectChar">
    <w:name w:val="Comment Subject Char"/>
    <w:basedOn w:val="CommentTextChar"/>
    <w:link w:val="CommentSubject"/>
    <w:uiPriority w:val="99"/>
    <w:semiHidden/>
    <w:locked/>
    <w:rsid w:val="00D150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2491</Words>
  <Characters>13457</Characters>
  <Application>Microsoft Office Outlook</Application>
  <DocSecurity>0</DocSecurity>
  <Lines>0</Lines>
  <Paragraphs>0</Paragraphs>
  <ScaleCrop>false</ScaleCrop>
  <Company>orangeglobal mpue translations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
  <dc:creator>orangeglobal mpue translations</dc:creator>
  <cp:keywords/>
  <dc:description/>
  <cp:lastModifiedBy>pc06</cp:lastModifiedBy>
  <cp:revision>2</cp:revision>
  <cp:lastPrinted>2013-12-06T09:40:00Z</cp:lastPrinted>
  <dcterms:created xsi:type="dcterms:W3CDTF">2015-05-21T11:00:00Z</dcterms:created>
  <dcterms:modified xsi:type="dcterms:W3CDTF">2015-05-21T11:00:00Z</dcterms:modified>
</cp:coreProperties>
</file>