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8C7E61" w:rsidRDefault="008C7E61">
      <w:pPr>
        <w:rPr>
          <w:rFonts w:ascii="Arial" w:hAnsi="Arial"/>
        </w:rPr>
      </w:pPr>
    </w:p>
    <w:p w:rsidR="008C7E61" w:rsidRDefault="008C7E61">
      <w:pPr>
        <w:rPr>
          <w:rFonts w:ascii="Arial" w:hAnsi="Arial"/>
        </w:rPr>
      </w:pPr>
    </w:p>
    <w:p w:rsidR="008C7E61" w:rsidRDefault="008C7E61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b/>
          <w:sz w:val="24"/>
          <w:u w:val="single"/>
        </w:rPr>
        <w:t>ΠΕΡΙΛΗΨΗ ΤΩΝ ΧΑΡΑΚΤΗΡΙΣΤΙΚΩΝ ΤΟΥ ΠΡΟΙΟΝΤΟΣ (SPC)</w:t>
      </w:r>
    </w:p>
    <w:p w:rsidR="008C7E61" w:rsidRDefault="008C7E61">
      <w:pPr>
        <w:rPr>
          <w:rFonts w:ascii="Arial" w:hAnsi="Arial"/>
        </w:rPr>
      </w:pPr>
      <w:r>
        <w:rPr>
          <w:rFonts w:ascii="Arial" w:hAnsi="Arial"/>
        </w:rPr>
        <w:t xml:space="preserve">              </w:t>
      </w:r>
    </w:p>
    <w:p w:rsidR="008C7E61" w:rsidRDefault="008C7E61">
      <w:pPr>
        <w:rPr>
          <w:rFonts w:ascii="Arial" w:hAnsi="Arial"/>
        </w:rPr>
      </w:pPr>
    </w:p>
    <w:p w:rsidR="008C7E61" w:rsidRDefault="008C7E61">
      <w:pPr>
        <w:rPr>
          <w:rFonts w:ascii="Arial" w:hAnsi="Arial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>1.</w:t>
      </w:r>
      <w:r>
        <w:rPr>
          <w:rFonts w:ascii="Arial" w:hAnsi="Arial"/>
          <w:b/>
          <w:sz w:val="22"/>
          <w:u w:val="single"/>
        </w:rPr>
        <w:t xml:space="preserve">  ΕΜΠΟΡΙΚΗ ΟΝΟΜΑΣΙΑ ΤΟΥ ΦΑΡΜΑΚΕΥΤΙΚΟΥ ΠΡΟΙΟΝΤΟΣ 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lang w:val="en-US"/>
        </w:rPr>
        <w:t>METRONIDAZOLE</w:t>
      </w:r>
      <w:r>
        <w:rPr>
          <w:rFonts w:ascii="Arial" w:hAnsi="Arial"/>
          <w:sz w:val="22"/>
        </w:rPr>
        <w:t xml:space="preserve"> / </w:t>
      </w:r>
      <w:r>
        <w:rPr>
          <w:rFonts w:ascii="Arial" w:hAnsi="Arial"/>
          <w:sz w:val="22"/>
          <w:lang w:val="en-US"/>
        </w:rPr>
        <w:t>B</w:t>
      </w:r>
      <w:r w:rsidRPr="00DB58B0">
        <w:rPr>
          <w:rFonts w:ascii="Arial" w:hAnsi="Arial"/>
          <w:sz w:val="22"/>
        </w:rPr>
        <w:t>ΙΟΣΕΡ 500</w:t>
      </w:r>
      <w:r>
        <w:rPr>
          <w:rFonts w:ascii="Arial" w:hAnsi="Arial"/>
          <w:sz w:val="22"/>
          <w:lang w:val="en-US"/>
        </w:rPr>
        <w:t>mg</w:t>
      </w:r>
      <w:r w:rsidRPr="00DB58B0">
        <w:rPr>
          <w:rFonts w:ascii="Arial" w:hAnsi="Arial"/>
          <w:sz w:val="22"/>
        </w:rPr>
        <w:t>/100</w:t>
      </w:r>
      <w:r>
        <w:rPr>
          <w:rFonts w:ascii="Arial" w:hAnsi="Arial"/>
          <w:sz w:val="22"/>
          <w:lang w:val="en-US"/>
        </w:rPr>
        <w:t>ml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2.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>ΠΟΙΟΤΙΚΗ ΚΑΙ ΠΟΣΟΤΙΚΗ ΣΥΝΘΕΣΗ</w:t>
      </w:r>
      <w:r w:rsidR="00AA1361">
        <w:rPr>
          <w:rFonts w:ascii="Arial" w:hAnsi="Arial"/>
          <w:b/>
          <w:sz w:val="22"/>
          <w:u w:val="single"/>
        </w:rPr>
        <w:t xml:space="preserve"> σε δραστικά συστατικά</w:t>
      </w:r>
      <w:r>
        <w:rPr>
          <w:rFonts w:ascii="Arial" w:hAnsi="Arial"/>
          <w:sz w:val="22"/>
        </w:rPr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100 </w:t>
      </w:r>
      <w:r>
        <w:rPr>
          <w:rFonts w:ascii="Arial" w:hAnsi="Arial"/>
          <w:sz w:val="22"/>
          <w:lang w:val="en-US"/>
        </w:rPr>
        <w:t>ml</w:t>
      </w:r>
      <w:r>
        <w:rPr>
          <w:rFonts w:ascii="Arial" w:hAnsi="Arial"/>
          <w:sz w:val="22"/>
        </w:rPr>
        <w:t xml:space="preserve"> διαλύματος περιέχουν: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Δραστικό συστατικό</w:t>
      </w:r>
      <w:r>
        <w:rPr>
          <w:rFonts w:ascii="Arial" w:hAnsi="Arial"/>
          <w:sz w:val="22"/>
        </w:rPr>
        <w:t xml:space="preserve"> 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lang w:val="en-US"/>
        </w:rPr>
        <w:t>M</w:t>
      </w:r>
      <w:r>
        <w:rPr>
          <w:rFonts w:ascii="Arial" w:hAnsi="Arial"/>
          <w:sz w:val="22"/>
        </w:rPr>
        <w:t>e</w:t>
      </w:r>
      <w:proofErr w:type="spellStart"/>
      <w:r>
        <w:rPr>
          <w:rFonts w:ascii="Arial" w:hAnsi="Arial"/>
          <w:sz w:val="22"/>
          <w:lang w:val="en-US"/>
        </w:rPr>
        <w:t>tronidazole</w:t>
      </w:r>
      <w:proofErr w:type="spellEnd"/>
      <w:r>
        <w:rPr>
          <w:rFonts w:ascii="Arial" w:hAnsi="Arial"/>
          <w:sz w:val="22"/>
        </w:rPr>
        <w:t xml:space="preserve">          </w:t>
      </w:r>
      <w:r w:rsidRPr="00DB58B0">
        <w:rPr>
          <w:rFonts w:ascii="Arial" w:hAnsi="Arial"/>
          <w:sz w:val="22"/>
        </w:rPr>
        <w:t xml:space="preserve">     500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  <w:lang w:val="en-US"/>
        </w:rPr>
        <w:t>m</w:t>
      </w:r>
      <w:r>
        <w:rPr>
          <w:rFonts w:ascii="Arial" w:hAnsi="Arial"/>
          <w:sz w:val="22"/>
        </w:rPr>
        <w:t>g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u w:val="single"/>
        </w:rPr>
        <w:t>Έκδοχα</w:t>
      </w:r>
      <w:r>
        <w:rPr>
          <w:rFonts w:ascii="Arial" w:hAnsi="Arial"/>
          <w:sz w:val="22"/>
        </w:rPr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Για τον </w:t>
      </w:r>
      <w:r w:rsidR="00DB58B0">
        <w:rPr>
          <w:rFonts w:ascii="Arial" w:hAnsi="Arial"/>
          <w:sz w:val="22"/>
        </w:rPr>
        <w:t xml:space="preserve">πλήρη </w:t>
      </w:r>
      <w:r>
        <w:rPr>
          <w:rFonts w:ascii="Arial" w:hAnsi="Arial"/>
          <w:sz w:val="22"/>
        </w:rPr>
        <w:t xml:space="preserve">κατάλογο </w:t>
      </w:r>
      <w:r w:rsidR="00DB58B0">
        <w:rPr>
          <w:rFonts w:ascii="Arial" w:hAnsi="Arial"/>
          <w:sz w:val="22"/>
        </w:rPr>
        <w:t xml:space="preserve">των </w:t>
      </w:r>
      <w:r>
        <w:rPr>
          <w:rFonts w:ascii="Arial" w:hAnsi="Arial"/>
          <w:sz w:val="22"/>
        </w:rPr>
        <w:t>εκδόχων,βλέπε παράγρ</w:t>
      </w:r>
      <w:r w:rsidR="00DB58B0">
        <w:rPr>
          <w:rFonts w:ascii="Arial" w:hAnsi="Arial"/>
          <w:sz w:val="22"/>
        </w:rPr>
        <w:t>αφο</w:t>
      </w:r>
      <w:r>
        <w:rPr>
          <w:rFonts w:ascii="Arial" w:hAnsi="Arial"/>
          <w:sz w:val="22"/>
        </w:rPr>
        <w:t xml:space="preserve"> 6.1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3.  </w:t>
      </w:r>
      <w:r>
        <w:rPr>
          <w:rFonts w:ascii="Arial" w:hAnsi="Arial"/>
          <w:b/>
          <w:sz w:val="22"/>
          <w:u w:val="single"/>
        </w:rPr>
        <w:t>ΦΑΡΜΑΚΟΤΕΧΝΙΚΗ ΜΟΡΦΗ</w:t>
      </w:r>
      <w:r>
        <w:rPr>
          <w:rFonts w:ascii="Arial" w:hAnsi="Arial"/>
          <w:sz w:val="22"/>
        </w:rPr>
        <w:t xml:space="preserve"> :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Διάλυμα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για έγχυση.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Διαυγές,άχρωμο ή ελαφρώς χρωματισμένο υδατικό διάλυμα.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4.  </w:t>
      </w:r>
      <w:r>
        <w:rPr>
          <w:rFonts w:ascii="Arial" w:hAnsi="Arial"/>
          <w:b/>
          <w:sz w:val="22"/>
          <w:u w:val="single"/>
        </w:rPr>
        <w:t>ΚΛΙΝΙΚ</w:t>
      </w:r>
      <w:r w:rsidR="00D516A7">
        <w:rPr>
          <w:rFonts w:ascii="Arial" w:hAnsi="Arial"/>
          <w:b/>
          <w:sz w:val="22"/>
          <w:u w:val="single"/>
        </w:rPr>
        <w:t>Ε</w:t>
      </w:r>
      <w:r>
        <w:rPr>
          <w:rFonts w:ascii="Arial" w:hAnsi="Arial"/>
          <w:b/>
          <w:sz w:val="22"/>
          <w:u w:val="single"/>
        </w:rPr>
        <w:t>Σ</w:t>
      </w:r>
      <w:r w:rsidR="00D516A7">
        <w:rPr>
          <w:rFonts w:ascii="Arial" w:hAnsi="Arial"/>
          <w:b/>
          <w:sz w:val="22"/>
          <w:u w:val="single"/>
        </w:rPr>
        <w:t xml:space="preserve"> ΠΛΗΡΟΦΟΡΙΕΣ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F82CB9" w:rsidRPr="00F82CB9" w:rsidRDefault="00F82CB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4.1  Θεραπευτικές ενδείξεις 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 xml:space="preserve">Τα διαλύματα μετρονιδαζόλης για </w:t>
      </w:r>
      <w:r>
        <w:rPr>
          <w:rFonts w:ascii="Arial" w:hAnsi="Arial"/>
          <w:sz w:val="22"/>
        </w:rPr>
        <w:t xml:space="preserve">παρεντερική </w:t>
      </w:r>
      <w:r w:rsidRPr="00DB58B0">
        <w:rPr>
          <w:rFonts w:ascii="Arial" w:hAnsi="Arial"/>
          <w:sz w:val="22"/>
        </w:rPr>
        <w:t>χορήγηση, έχουν αντιπαρασιτική και αντιβακτηριακή δράση που περιορίζεται στις λοιμώξεις που</w:t>
      </w:r>
      <w:r w:rsidR="0067619B">
        <w:rPr>
          <w:rFonts w:ascii="Arial" w:hAnsi="Arial"/>
          <w:sz w:val="22"/>
        </w:rPr>
        <w:t xml:space="preserve"> </w:t>
      </w:r>
      <w:r w:rsidRPr="00DB58B0">
        <w:rPr>
          <w:rFonts w:ascii="Arial" w:hAnsi="Arial"/>
          <w:sz w:val="22"/>
        </w:rPr>
        <w:t>οφείλονται σε ευαίσθητα στη μετρονιδαζόλη είδη: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-Θεραπεία χειρουργικών (</w:t>
      </w:r>
      <w:r>
        <w:rPr>
          <w:rFonts w:ascii="Arial" w:hAnsi="Arial"/>
          <w:sz w:val="22"/>
        </w:rPr>
        <w:t xml:space="preserve">π.χ.ηπατικό απόστημα,ενδοκοιλιακά </w:t>
      </w:r>
      <w:r w:rsidRPr="00DB58B0">
        <w:rPr>
          <w:rFonts w:ascii="Arial" w:hAnsi="Arial"/>
          <w:sz w:val="22"/>
        </w:rPr>
        <w:t>αποστήματα,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περιτονίτις,λοιμώξεις χοληφόρων,μαιευτικές και γυναικολογικές λοιμώξεις) και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άλλων λοιμώξεων από αναερόβια βακτηρίδια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-Προφύλαξη μετεγχειρητικών λοιμώξεων από αναερόβιους μικροοργανισμούς σε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εγχειρήσεις του γαστρεντερικού ή της περιοχής του πρωκτού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-Αμοιβάδωση(σοβαρή) εντοπισμένη στο έντερο και στο ήπαρ.</w:t>
      </w:r>
    </w:p>
    <w:p w:rsidR="008C7E61" w:rsidRPr="00DB58B0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  4.2  Δοσολογία και τρόπος χορήγησης</w:t>
      </w:r>
    </w:p>
    <w:p w:rsidR="000F2301" w:rsidRDefault="000F2301">
      <w:pPr>
        <w:rPr>
          <w:rFonts w:ascii="Arial" w:hAnsi="Arial"/>
          <w:b/>
          <w:i/>
          <w:sz w:val="22"/>
        </w:rPr>
      </w:pP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Η παρεντερική χορήγηση της </w:t>
      </w:r>
      <w:r w:rsidRPr="00DB58B0">
        <w:rPr>
          <w:rFonts w:ascii="Arial" w:hAnsi="Arial"/>
          <w:sz w:val="22"/>
        </w:rPr>
        <w:t>μετρονιδαζόλης περιορίζεται για τους ασθενείς</w:t>
      </w:r>
      <w:r w:rsidR="009D26D0">
        <w:rPr>
          <w:rFonts w:ascii="Arial" w:hAnsi="Arial"/>
          <w:sz w:val="22"/>
        </w:rPr>
        <w:t>,</w:t>
      </w:r>
      <w:r w:rsidRPr="00DB58B0">
        <w:rPr>
          <w:rFonts w:ascii="Arial" w:hAnsi="Arial"/>
          <w:sz w:val="22"/>
        </w:rPr>
        <w:t xml:space="preserve"> στους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οποίους δεν μπορεί να χορηγηθεί από το στόμα.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Χορηγείται με βραδεία ενδοφλέβια έγχυση.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Αντιμετώπιση λοιμώξεων από αναερόβιους μικροοργανισμούς:</w:t>
      </w:r>
    </w:p>
    <w:p w:rsidR="008C7E61" w:rsidRPr="00DB58B0" w:rsidRDefault="008C7E61">
      <w:pPr>
        <w:pStyle w:val="2"/>
        <w:rPr>
          <w:u w:val="none"/>
        </w:rPr>
      </w:pPr>
      <w:r>
        <w:rPr>
          <w:u w:val="none"/>
        </w:rPr>
        <w:t>Ενήλικες:ως δόση εφόδου χορηγούνται 15</w:t>
      </w:r>
      <w:r>
        <w:rPr>
          <w:u w:val="none"/>
          <w:lang w:val="en-US"/>
        </w:rPr>
        <w:t>mg</w:t>
      </w:r>
      <w:r w:rsidRPr="00DB58B0">
        <w:rPr>
          <w:u w:val="none"/>
        </w:rPr>
        <w:t>/</w:t>
      </w:r>
      <w:r>
        <w:rPr>
          <w:u w:val="none"/>
          <w:lang w:val="en-US"/>
        </w:rPr>
        <w:t>kg</w:t>
      </w:r>
      <w:r w:rsidRPr="00DB58B0">
        <w:rPr>
          <w:u w:val="none"/>
        </w:rPr>
        <w:t xml:space="preserve"> </w:t>
      </w:r>
      <w:r>
        <w:rPr>
          <w:u w:val="none"/>
        </w:rPr>
        <w:t>ΒΣ και μετά από 6 ώρες 7.5</w:t>
      </w:r>
      <w:r>
        <w:rPr>
          <w:u w:val="none"/>
          <w:lang w:val="en-US"/>
        </w:rPr>
        <w:t>mg</w:t>
      </w:r>
      <w:r w:rsidRPr="00DB58B0">
        <w:rPr>
          <w:u w:val="none"/>
        </w:rPr>
        <w:t>/</w:t>
      </w:r>
      <w:r>
        <w:rPr>
          <w:u w:val="none"/>
          <w:lang w:val="en-US"/>
        </w:rPr>
        <w:t>kg</w:t>
      </w:r>
      <w:r w:rsidRPr="00DB58B0">
        <w:rPr>
          <w:u w:val="none"/>
        </w:rPr>
        <w:t xml:space="preserve"> </w:t>
      </w:r>
      <w:r>
        <w:rPr>
          <w:u w:val="none"/>
        </w:rPr>
        <w:t>ΒΣ κάθε 6 ώρες,συνήθως επί 7-10 ημέρες,ημερησίως</w:t>
      </w:r>
      <w:r w:rsidRPr="00DB58B0">
        <w:rPr>
          <w:u w:val="none"/>
        </w:rPr>
        <w:t>, (η ίδια δοσολογία μπορεί να χορηγηθεί</w:t>
      </w:r>
    </w:p>
    <w:p w:rsidR="008C7E61" w:rsidRDefault="008C7E61">
      <w:pPr>
        <w:pStyle w:val="a5"/>
      </w:pPr>
      <w:r>
        <w:t>από το στόμα</w:t>
      </w:r>
      <w:r w:rsidR="00372359">
        <w:t>,</w:t>
      </w:r>
      <w:r>
        <w:t xml:space="preserve"> αν το επιτρέπει η κατάσταση του ασθενούς).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Προφύλαξη από μετεγχειρητικές λοιμώξεις:</w:t>
      </w:r>
    </w:p>
    <w:p w:rsidR="008C7E61" w:rsidRPr="00DB58B0" w:rsidRDefault="008C7E61">
      <w:pPr>
        <w:pStyle w:val="4"/>
        <w:rPr>
          <w:b w:val="0"/>
          <w:u w:val="none"/>
          <w:lang w:val="el-GR"/>
        </w:rPr>
      </w:pPr>
      <w:r w:rsidRPr="00DB58B0">
        <w:rPr>
          <w:b w:val="0"/>
          <w:u w:val="none"/>
          <w:lang w:val="el-GR"/>
        </w:rPr>
        <w:t xml:space="preserve">Η χορήγηση πρέπει να είναι βραχείας διάρκειας και συνήθως περιορίζεται στην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περιεγχειρητική περίοδο για 24 ώρες και ποτέ πάνω από 48 ώρες.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Ενήλικες: 15</w:t>
      </w:r>
      <w:r>
        <w:rPr>
          <w:rFonts w:ascii="Arial" w:hAnsi="Arial"/>
          <w:sz w:val="22"/>
          <w:lang w:val="en-US"/>
        </w:rPr>
        <w:t>mg</w:t>
      </w:r>
      <w:r w:rsidRPr="00DB58B0">
        <w:rPr>
          <w:rFonts w:ascii="Arial" w:hAnsi="Arial"/>
          <w:sz w:val="22"/>
        </w:rPr>
        <w:t>/</w:t>
      </w:r>
      <w:r>
        <w:rPr>
          <w:rFonts w:ascii="Arial" w:hAnsi="Arial"/>
          <w:sz w:val="22"/>
          <w:lang w:val="en-US"/>
        </w:rPr>
        <w:t>kg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ΒΣ</w:t>
      </w:r>
      <w:r w:rsidR="005B26C5">
        <w:rPr>
          <w:rFonts w:ascii="Arial" w:hAnsi="Arial"/>
          <w:sz w:val="22"/>
        </w:rPr>
        <w:t xml:space="preserve"> με </w:t>
      </w:r>
      <w:r>
        <w:rPr>
          <w:rFonts w:ascii="Arial" w:hAnsi="Arial"/>
          <w:sz w:val="22"/>
        </w:rPr>
        <w:t xml:space="preserve">έγχυση 30-60 λεπτών,η οποία πρέπει να έχει ολοκληρωθεί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 ώρα πριν την εγχείρηση.Στην συνέχεια 7.5</w:t>
      </w:r>
      <w:r>
        <w:rPr>
          <w:rFonts w:ascii="Arial" w:hAnsi="Arial"/>
          <w:sz w:val="22"/>
          <w:lang w:val="en-US"/>
        </w:rPr>
        <w:t>mg</w:t>
      </w:r>
      <w:r w:rsidRPr="00DB58B0">
        <w:rPr>
          <w:rFonts w:ascii="Arial" w:hAnsi="Arial"/>
          <w:sz w:val="22"/>
        </w:rPr>
        <w:t>/</w:t>
      </w:r>
      <w:r>
        <w:rPr>
          <w:rFonts w:ascii="Arial" w:hAnsi="Arial"/>
          <w:sz w:val="22"/>
          <w:lang w:val="en-US"/>
        </w:rPr>
        <w:t>kg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ΒΣ, ανά 6ωρο.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pStyle w:val="2"/>
        <w:rPr>
          <w:b/>
          <w:u w:val="none"/>
        </w:rPr>
      </w:pPr>
      <w:r>
        <w:rPr>
          <w:b/>
          <w:u w:val="none"/>
        </w:rPr>
        <w:lastRenderedPageBreak/>
        <w:t>Αμοιβάδωση:</w:t>
      </w:r>
    </w:p>
    <w:p w:rsidR="008C7E61" w:rsidRDefault="008C7E61">
      <w:pPr>
        <w:pStyle w:val="2"/>
        <w:rPr>
          <w:u w:val="none"/>
          <w:lang w:val="en-US"/>
        </w:rPr>
      </w:pPr>
      <w:r>
        <w:rPr>
          <w:u w:val="none"/>
        </w:rPr>
        <w:t>Ενήλικες: 750</w:t>
      </w:r>
      <w:r>
        <w:rPr>
          <w:u w:val="none"/>
          <w:lang w:val="en-US"/>
        </w:rPr>
        <w:t xml:space="preserve">mg </w:t>
      </w:r>
      <w:proofErr w:type="spellStart"/>
      <w:r>
        <w:rPr>
          <w:u w:val="none"/>
          <w:lang w:val="en-US"/>
        </w:rPr>
        <w:t>ανά</w:t>
      </w:r>
      <w:proofErr w:type="spellEnd"/>
      <w:r>
        <w:rPr>
          <w:u w:val="none"/>
          <w:lang w:val="en-US"/>
        </w:rPr>
        <w:t xml:space="preserve"> 8ωρο.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Παιδιά: 7.5</w:t>
      </w:r>
      <w:r>
        <w:rPr>
          <w:rFonts w:ascii="Arial" w:hAnsi="Arial"/>
          <w:sz w:val="22"/>
          <w:lang w:val="en-US"/>
        </w:rPr>
        <w:t>mg</w:t>
      </w:r>
      <w:r w:rsidRPr="00DB58B0">
        <w:rPr>
          <w:rFonts w:ascii="Arial" w:hAnsi="Arial"/>
          <w:sz w:val="22"/>
        </w:rPr>
        <w:t>/</w:t>
      </w:r>
      <w:r>
        <w:rPr>
          <w:rFonts w:ascii="Arial" w:hAnsi="Arial"/>
          <w:sz w:val="22"/>
          <w:lang w:val="en-US"/>
        </w:rPr>
        <w:t>kg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ΒΣ ανά 8ωρο.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Η χορήγηση </w:t>
      </w:r>
      <w:r w:rsidRPr="00DB58B0">
        <w:rPr>
          <w:rFonts w:ascii="Arial" w:hAnsi="Arial"/>
          <w:sz w:val="22"/>
        </w:rPr>
        <w:t xml:space="preserve">μετρονιδαζόλης δεν αποκλείει την ανάγκη παροχέτευσης του ηπατικού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αμοιβαδικού αποστήματος.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4.3  Αντενδείξεις</w:t>
      </w:r>
    </w:p>
    <w:p w:rsidR="008C7E61" w:rsidRDefault="008C7E61">
      <w:pPr>
        <w:rPr>
          <w:rFonts w:ascii="Arial" w:hAnsi="Arial"/>
          <w:sz w:val="22"/>
        </w:rPr>
      </w:pPr>
    </w:p>
    <w:p w:rsidR="00234C86" w:rsidRDefault="00331628">
      <w:pPr>
        <w:pStyle w:val="a5"/>
      </w:pPr>
      <w:r>
        <w:t>Υ</w:t>
      </w:r>
      <w:r w:rsidR="008C7E61">
        <w:t>περευαισθησία στ</w:t>
      </w:r>
      <w:r>
        <w:t>η</w:t>
      </w:r>
      <w:r w:rsidR="008C7E61">
        <w:t xml:space="preserve"> </w:t>
      </w:r>
      <w:r>
        <w:t>μετρονιδαζόλη</w:t>
      </w:r>
      <w:r w:rsidR="008C7E61">
        <w:t xml:space="preserve"> και</w:t>
      </w:r>
      <w:r>
        <w:t xml:space="preserve"> </w:t>
      </w:r>
      <w:r w:rsidR="008C7E61">
        <w:t>γενικότερα στις ιμιδαζόλες</w:t>
      </w:r>
      <w:r>
        <w:t xml:space="preserve"> ή στα έκδοχ</w:t>
      </w:r>
      <w:r w:rsidR="00811BAC">
        <w:t>α</w:t>
      </w:r>
      <w:r>
        <w:t xml:space="preserve"> του</w:t>
      </w:r>
    </w:p>
    <w:p w:rsidR="008C7E61" w:rsidRDefault="00234C86">
      <w:pPr>
        <w:pStyle w:val="a5"/>
      </w:pPr>
      <w:r>
        <w:t>προϊόντος</w:t>
      </w:r>
      <w:r w:rsidR="00331628">
        <w:t>.</w:t>
      </w:r>
    </w:p>
    <w:p w:rsidR="008C7E61" w:rsidRDefault="008C7E61">
      <w:pPr>
        <w:pStyle w:val="a5"/>
      </w:pPr>
    </w:p>
    <w:p w:rsidR="008C7E61" w:rsidRDefault="008C7E61">
      <w:pPr>
        <w:pStyle w:val="a5"/>
        <w:rPr>
          <w:b/>
          <w:i/>
        </w:rPr>
      </w:pPr>
      <w:r>
        <w:rPr>
          <w:b/>
          <w:i/>
        </w:rPr>
        <w:t xml:space="preserve">4.4  </w:t>
      </w:r>
      <w:r w:rsidR="00422CA1">
        <w:rPr>
          <w:b/>
          <w:i/>
        </w:rPr>
        <w:t>Ε</w:t>
      </w:r>
      <w:r>
        <w:rPr>
          <w:b/>
          <w:i/>
        </w:rPr>
        <w:t>ι</w:t>
      </w:r>
      <w:r w:rsidR="00422CA1">
        <w:rPr>
          <w:b/>
          <w:i/>
        </w:rPr>
        <w:t>δικέ</w:t>
      </w:r>
      <w:r>
        <w:rPr>
          <w:b/>
          <w:i/>
        </w:rPr>
        <w:t xml:space="preserve">ς προειδοποιήσεις </w:t>
      </w:r>
      <w:r w:rsidR="007A0B7B">
        <w:rPr>
          <w:b/>
          <w:i/>
        </w:rPr>
        <w:t>και</w:t>
      </w:r>
      <w:r>
        <w:rPr>
          <w:b/>
          <w:i/>
        </w:rPr>
        <w:t xml:space="preserve"> προφυλάξεις κατά τη χρήση</w:t>
      </w:r>
    </w:p>
    <w:p w:rsidR="00DA0F8B" w:rsidRDefault="00DA0F8B">
      <w:pPr>
        <w:pStyle w:val="a5"/>
        <w:rPr>
          <w:b/>
          <w:i/>
        </w:rPr>
      </w:pPr>
    </w:p>
    <w:p w:rsidR="008C7E61" w:rsidRDefault="00DA0F8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Π</w:t>
      </w:r>
      <w:r w:rsidRPr="00DA0F8B">
        <w:rPr>
          <w:b/>
          <w:i/>
          <w:sz w:val="24"/>
          <w:szCs w:val="24"/>
        </w:rPr>
        <w:t>ροειδοποιήσεις</w:t>
      </w:r>
    </w:p>
    <w:p w:rsidR="00DA0F8B" w:rsidRPr="003810AC" w:rsidRDefault="00DA0F8B" w:rsidP="00DA0F8B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Η μετρονιδαζόλη πρέπει να χορηγείται με προσοχή σε ασθενείς με ενεργά ή </w:t>
      </w:r>
      <w:r w:rsidR="00F9173C" w:rsidRPr="003810AC">
        <w:rPr>
          <w:rFonts w:ascii="Arial" w:hAnsi="Arial"/>
          <w:sz w:val="22"/>
          <w:szCs w:val="22"/>
        </w:rPr>
        <w:t xml:space="preserve">σοβαρά </w:t>
      </w:r>
      <w:r w:rsidRPr="003810AC">
        <w:rPr>
          <w:rFonts w:ascii="Arial" w:hAnsi="Arial"/>
          <w:sz w:val="22"/>
          <w:szCs w:val="22"/>
        </w:rPr>
        <w:t xml:space="preserve">χρόνια νοσήματα του περιφερικού ή του Κ.Ν.Σ.,επειδή υπάρχει κίνδυνος </w:t>
      </w:r>
      <w:r w:rsidR="00A63214" w:rsidRPr="003810AC">
        <w:rPr>
          <w:rFonts w:ascii="Arial" w:hAnsi="Arial"/>
          <w:sz w:val="22"/>
          <w:szCs w:val="22"/>
        </w:rPr>
        <w:t xml:space="preserve">νευρολογικής </w:t>
      </w:r>
      <w:r w:rsidRPr="003810AC">
        <w:rPr>
          <w:rFonts w:ascii="Arial" w:hAnsi="Arial"/>
          <w:sz w:val="22"/>
          <w:szCs w:val="22"/>
        </w:rPr>
        <w:t>επιδείνωσης</w:t>
      </w:r>
    </w:p>
    <w:p w:rsidR="00DA0F8B" w:rsidRPr="003810AC" w:rsidRDefault="00DA0F8B">
      <w:pPr>
        <w:rPr>
          <w:rFonts w:ascii="Arial" w:hAnsi="Arial"/>
          <w:sz w:val="22"/>
          <w:szCs w:val="22"/>
        </w:rPr>
      </w:pPr>
    </w:p>
    <w:p w:rsidR="003810AC" w:rsidRDefault="003810AC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Συνιστάται οι ασθενείς </w:t>
      </w:r>
      <w:r>
        <w:rPr>
          <w:rFonts w:ascii="Arial" w:hAnsi="Arial"/>
          <w:sz w:val="22"/>
          <w:szCs w:val="22"/>
        </w:rPr>
        <w:t xml:space="preserve">να αποφεύγουν τη λήψη οινοπνεύματος κατά τη διάρκεια της αγωγής </w:t>
      </w:r>
    </w:p>
    <w:p w:rsidR="003810AC" w:rsidRPr="003810AC" w:rsidRDefault="00B4160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και για μία ακόμη ημέρα μετά </w:t>
      </w:r>
      <w:r w:rsidR="00FD7595">
        <w:rPr>
          <w:rFonts w:ascii="Arial" w:hAnsi="Arial"/>
          <w:sz w:val="22"/>
          <w:szCs w:val="22"/>
        </w:rPr>
        <w:t xml:space="preserve">από την ολοκλήρωσή της επειδή υπάρχει πιθανότητα εμφάνισης αντίδρασης τύπου </w:t>
      </w:r>
      <w:r w:rsidR="00C164C3">
        <w:rPr>
          <w:rFonts w:ascii="Arial" w:hAnsi="Arial"/>
          <w:sz w:val="22"/>
          <w:szCs w:val="22"/>
        </w:rPr>
        <w:t>δισουλφιράμης.</w:t>
      </w:r>
      <w:r w:rsidR="00FD7595">
        <w:rPr>
          <w:rFonts w:ascii="Arial" w:hAnsi="Arial"/>
          <w:sz w:val="22"/>
          <w:szCs w:val="22"/>
        </w:rPr>
        <w:t xml:space="preserve"> </w:t>
      </w:r>
    </w:p>
    <w:p w:rsidR="003810AC" w:rsidRDefault="003810AC">
      <w:pPr>
        <w:rPr>
          <w:rFonts w:ascii="Arial" w:hAnsi="Arial"/>
          <w:sz w:val="22"/>
          <w:szCs w:val="22"/>
        </w:rPr>
      </w:pPr>
    </w:p>
    <w:p w:rsidR="002117DD" w:rsidRDefault="002117DD" w:rsidP="002117D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Π</w:t>
      </w:r>
      <w:r w:rsidRPr="00DA0F8B">
        <w:rPr>
          <w:b/>
          <w:i/>
          <w:sz w:val="24"/>
          <w:szCs w:val="24"/>
        </w:rPr>
        <w:t>ρο</w:t>
      </w:r>
      <w:r>
        <w:rPr>
          <w:b/>
          <w:i/>
          <w:sz w:val="24"/>
          <w:szCs w:val="24"/>
        </w:rPr>
        <w:t>φυλάξ</w:t>
      </w:r>
      <w:r w:rsidRPr="00DA0F8B">
        <w:rPr>
          <w:b/>
          <w:i/>
          <w:sz w:val="24"/>
          <w:szCs w:val="24"/>
        </w:rPr>
        <w:t>εις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>Η μετρονιδαζόλη χορηγείται με προσοχή σε άτομα με ιστορικό αιματολογικής δυσκρασίας</w:t>
      </w:r>
      <w:r w:rsidR="00260E05">
        <w:rPr>
          <w:rFonts w:ascii="Arial" w:hAnsi="Arial"/>
          <w:sz w:val="22"/>
          <w:szCs w:val="22"/>
        </w:rPr>
        <w:t>.</w:t>
      </w:r>
    </w:p>
    <w:p w:rsidR="008C7E61" w:rsidRDefault="00260E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Σ</w:t>
      </w:r>
      <w:r w:rsidR="008C7E61" w:rsidRPr="003810AC">
        <w:rPr>
          <w:rFonts w:ascii="Arial" w:hAnsi="Arial"/>
          <w:sz w:val="22"/>
          <w:szCs w:val="22"/>
        </w:rPr>
        <w:t>ε αυτούς τους ασθενείς πρέπει να παρακολουθείται ο αριθμός των λευκοκυττάρων.</w:t>
      </w:r>
      <w:r>
        <w:rPr>
          <w:rFonts w:ascii="Arial" w:hAnsi="Arial"/>
          <w:sz w:val="22"/>
          <w:szCs w:val="22"/>
        </w:rPr>
        <w:t>Να</w:t>
      </w:r>
    </w:p>
    <w:p w:rsidR="00260E05" w:rsidRPr="003810AC" w:rsidRDefault="00260E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αποφεύγεται σε πορφυρία.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Εάν υπάρχουν λόγοι που επιβάλλουν τη χορήγηση της μετρονιδαζόλης για μεγαλύτερο 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χρονικό διάστημα από αυτό που συνήθως συνιστάται,συστήνεται η διεξαγωγή 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αιματολογικών ελέγχων,ειδικά του αριθμού των λευκοκυττάρων τακτικά και οι ασθενείς 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>πρέπει να παρακολουθούνται για ανεπιθύμητες ενέργειες όπως περιφερική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>νευροπάθεια,παραισθήσεις,αταξία,ζάλη,επιληπτικούς σπασμούς.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Η μετρονιδαζόλη είναι καλά ανεκτή από τους ηλικιωμένους.Ωστόσο,λόγω μιας 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>φαρμακοκινιτικής μελέτης συστήνεται προσ</w:t>
      </w:r>
      <w:r w:rsidR="004F6D6C">
        <w:rPr>
          <w:rFonts w:ascii="Arial" w:hAnsi="Arial"/>
          <w:sz w:val="22"/>
          <w:szCs w:val="22"/>
        </w:rPr>
        <w:t>οχ</w:t>
      </w:r>
      <w:r w:rsidRPr="003810AC">
        <w:rPr>
          <w:rFonts w:ascii="Arial" w:hAnsi="Arial"/>
          <w:sz w:val="22"/>
          <w:szCs w:val="22"/>
        </w:rPr>
        <w:t xml:space="preserve">ή </w:t>
      </w:r>
      <w:r w:rsidR="004F6D6C">
        <w:rPr>
          <w:rFonts w:ascii="Arial" w:hAnsi="Arial"/>
          <w:sz w:val="22"/>
          <w:szCs w:val="22"/>
        </w:rPr>
        <w:t xml:space="preserve">όταν </w:t>
      </w:r>
      <w:r w:rsidRPr="003810AC">
        <w:rPr>
          <w:rFonts w:ascii="Arial" w:hAnsi="Arial"/>
          <w:sz w:val="22"/>
          <w:szCs w:val="22"/>
        </w:rPr>
        <w:t>χορ</w:t>
      </w:r>
      <w:r w:rsidR="004F6D6C">
        <w:rPr>
          <w:rFonts w:ascii="Arial" w:hAnsi="Arial"/>
          <w:sz w:val="22"/>
          <w:szCs w:val="22"/>
        </w:rPr>
        <w:t>η</w:t>
      </w:r>
      <w:r w:rsidRPr="003810AC">
        <w:rPr>
          <w:rFonts w:ascii="Arial" w:hAnsi="Arial"/>
          <w:sz w:val="22"/>
          <w:szCs w:val="22"/>
        </w:rPr>
        <w:t>γ</w:t>
      </w:r>
      <w:r w:rsidR="004F6D6C">
        <w:rPr>
          <w:rFonts w:ascii="Arial" w:hAnsi="Arial"/>
          <w:sz w:val="22"/>
          <w:szCs w:val="22"/>
        </w:rPr>
        <w:t>ούνται</w:t>
      </w:r>
      <w:r w:rsidRPr="003810AC">
        <w:rPr>
          <w:rFonts w:ascii="Arial" w:hAnsi="Arial"/>
          <w:sz w:val="22"/>
          <w:szCs w:val="22"/>
        </w:rPr>
        <w:t xml:space="preserve"> μεγάλ</w:t>
      </w:r>
      <w:r w:rsidR="004F6D6C">
        <w:rPr>
          <w:rFonts w:ascii="Arial" w:hAnsi="Arial"/>
          <w:sz w:val="22"/>
          <w:szCs w:val="22"/>
        </w:rPr>
        <w:t xml:space="preserve">ες </w:t>
      </w:r>
      <w:r w:rsidRPr="003810AC">
        <w:rPr>
          <w:rFonts w:ascii="Arial" w:hAnsi="Arial"/>
          <w:sz w:val="22"/>
          <w:szCs w:val="22"/>
        </w:rPr>
        <w:t>δόσε</w:t>
      </w:r>
      <w:r w:rsidR="004F6D6C">
        <w:rPr>
          <w:rFonts w:ascii="Arial" w:hAnsi="Arial"/>
          <w:sz w:val="22"/>
          <w:szCs w:val="22"/>
        </w:rPr>
        <w:t xml:space="preserve">ις </w:t>
      </w:r>
      <w:r w:rsidRPr="003810AC">
        <w:rPr>
          <w:rFonts w:ascii="Arial" w:hAnsi="Arial"/>
          <w:sz w:val="22"/>
          <w:szCs w:val="22"/>
        </w:rPr>
        <w:t>σε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>αυτή την ομάδα ασθενών.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Κατά τη θεραπεία με μετρονιδαζόλη μπορεί τα ούρα να εμφανίζονται ερυθρά (λόγω 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>του μεταβολίτη της μετρονιδαζόλης.</w:t>
      </w:r>
    </w:p>
    <w:p w:rsidR="008C7E61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 xml:space="preserve">Συστήνεται προσοχή κατά τη χορήγηση σε ασθενείς με </w:t>
      </w:r>
      <w:r w:rsidR="00DF60C0">
        <w:rPr>
          <w:rFonts w:ascii="Arial" w:hAnsi="Arial"/>
          <w:sz w:val="22"/>
          <w:szCs w:val="22"/>
        </w:rPr>
        <w:t xml:space="preserve">σοβαρή </w:t>
      </w:r>
      <w:r w:rsidR="00177400">
        <w:rPr>
          <w:rFonts w:ascii="Arial" w:hAnsi="Arial"/>
          <w:sz w:val="22"/>
          <w:szCs w:val="22"/>
        </w:rPr>
        <w:t xml:space="preserve">ηπατική βλάβη ή με </w:t>
      </w:r>
      <w:r w:rsidRPr="003810AC">
        <w:rPr>
          <w:rFonts w:ascii="Arial" w:hAnsi="Arial"/>
          <w:sz w:val="22"/>
          <w:szCs w:val="22"/>
        </w:rPr>
        <w:t>ηπατική εγκεφαλοπάθεια.Σε ασθενείς με μη αντιρροπο</w:t>
      </w:r>
      <w:r w:rsidR="0081471B">
        <w:rPr>
          <w:rFonts w:ascii="Arial" w:hAnsi="Arial"/>
          <w:sz w:val="22"/>
          <w:szCs w:val="22"/>
        </w:rPr>
        <w:t>υ</w:t>
      </w:r>
      <w:r w:rsidRPr="003810AC">
        <w:rPr>
          <w:rFonts w:ascii="Arial" w:hAnsi="Arial"/>
          <w:sz w:val="22"/>
          <w:szCs w:val="22"/>
        </w:rPr>
        <w:t>μ</w:t>
      </w:r>
      <w:r w:rsidR="0081471B">
        <w:rPr>
          <w:rFonts w:ascii="Arial" w:hAnsi="Arial"/>
          <w:sz w:val="22"/>
          <w:szCs w:val="22"/>
        </w:rPr>
        <w:t>έ</w:t>
      </w:r>
      <w:r w:rsidRPr="003810AC">
        <w:rPr>
          <w:rFonts w:ascii="Arial" w:hAnsi="Arial"/>
          <w:sz w:val="22"/>
          <w:szCs w:val="22"/>
        </w:rPr>
        <w:t>νη κίρρωση ήπατος η δόση πρέπει να μειώνεται στο ήμισυ της συνήθους δόσεως,λόγω αυξημένου κινδύνου ανεπιθύμητων ενεργειών.</w:t>
      </w:r>
    </w:p>
    <w:p w:rsidR="00CE48CC" w:rsidRDefault="00CE48CC">
      <w:pPr>
        <w:rPr>
          <w:rFonts w:ascii="Arial" w:hAnsi="Arial"/>
          <w:sz w:val="22"/>
          <w:szCs w:val="22"/>
        </w:rPr>
      </w:pPr>
    </w:p>
    <w:p w:rsidR="00DA63BE" w:rsidRPr="000A13D5" w:rsidRDefault="00DA63BE">
      <w:pPr>
        <w:rPr>
          <w:rFonts w:ascii="Arial" w:hAnsi="Arial"/>
          <w:i/>
          <w:sz w:val="22"/>
          <w:szCs w:val="22"/>
        </w:rPr>
      </w:pPr>
      <w:r w:rsidRPr="000A13D5">
        <w:rPr>
          <w:rFonts w:ascii="Arial" w:hAnsi="Arial"/>
          <w:i/>
          <w:sz w:val="22"/>
          <w:szCs w:val="22"/>
        </w:rPr>
        <w:t xml:space="preserve">Μόνο για τα προϊόντα τα οποία </w:t>
      </w:r>
      <w:r w:rsidR="000A13D5" w:rsidRPr="000A13D5">
        <w:rPr>
          <w:rFonts w:ascii="Arial" w:hAnsi="Arial"/>
          <w:i/>
          <w:sz w:val="22"/>
          <w:szCs w:val="22"/>
        </w:rPr>
        <w:t>περιέχουν λακτόζη</w:t>
      </w:r>
    </w:p>
    <w:p w:rsidR="00DA63BE" w:rsidRDefault="000A13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Ασθενείς με σπάνια κληρονομικά προβλήματα ανεκτικότητας στη γαλακτόζη,με ανεπάρκεια</w:t>
      </w:r>
    </w:p>
    <w:p w:rsidR="000A13D5" w:rsidRPr="00540F2F" w:rsidRDefault="00540F2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Lapp</w:t>
      </w:r>
      <w:r w:rsidRPr="00540F2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λακτάσης ή με σύνδρομο δυσαπορρόφησης γλυκόζης-γαλακτόζης </w:t>
      </w:r>
      <w:r w:rsidR="00BB7A25">
        <w:rPr>
          <w:rFonts w:ascii="Arial" w:hAnsi="Arial"/>
          <w:sz w:val="22"/>
          <w:szCs w:val="22"/>
        </w:rPr>
        <w:t xml:space="preserve">δεν πρέπει να </w:t>
      </w:r>
    </w:p>
    <w:p w:rsidR="000A13D5" w:rsidRPr="003810AC" w:rsidRDefault="00BB7A2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παίρνουν </w:t>
      </w:r>
      <w:r w:rsidR="00C0001E">
        <w:rPr>
          <w:rFonts w:ascii="Arial" w:hAnsi="Arial"/>
          <w:sz w:val="22"/>
          <w:szCs w:val="22"/>
        </w:rPr>
        <w:t>αυτό το φάρμακο.</w:t>
      </w:r>
    </w:p>
    <w:p w:rsidR="008C7E61" w:rsidRDefault="008C7E61">
      <w:pPr>
        <w:rPr>
          <w:rFonts w:ascii="Arial" w:hAnsi="Arial"/>
          <w:sz w:val="22"/>
          <w:szCs w:val="22"/>
        </w:rPr>
      </w:pPr>
    </w:p>
    <w:p w:rsidR="008C7E61" w:rsidRPr="003810AC" w:rsidRDefault="008C7E61">
      <w:pPr>
        <w:numPr>
          <w:ilvl w:val="1"/>
          <w:numId w:val="1"/>
        </w:num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b/>
          <w:i/>
          <w:sz w:val="22"/>
          <w:szCs w:val="22"/>
        </w:rPr>
        <w:t>Αλληλεπιδράσεις με άλλα φάρμακα &amp; άλλες μορφές αλληλεπίδρασης</w:t>
      </w:r>
      <w:r w:rsidRPr="003810AC">
        <w:rPr>
          <w:rFonts w:ascii="Arial" w:hAnsi="Arial"/>
          <w:sz w:val="22"/>
          <w:szCs w:val="22"/>
        </w:rPr>
        <w:t xml:space="preserve"> 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</w:p>
    <w:p w:rsidR="008C7E61" w:rsidRPr="003810AC" w:rsidRDefault="008C7E61">
      <w:pPr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CA26F1">
        <w:rPr>
          <w:rFonts w:ascii="Arial" w:hAnsi="Arial"/>
          <w:i/>
          <w:sz w:val="22"/>
          <w:szCs w:val="22"/>
        </w:rPr>
        <w:t>Από του στόματος αντιπηκτική αγωγή (τύπου βαρφαρίνης):</w:t>
      </w:r>
      <w:r w:rsidRPr="003810AC">
        <w:rPr>
          <w:rFonts w:ascii="Arial" w:hAnsi="Arial"/>
          <w:sz w:val="22"/>
          <w:szCs w:val="22"/>
        </w:rPr>
        <w:t xml:space="preserve"> Ενίσχυση της αντιπηκτικής</w:t>
      </w:r>
    </w:p>
    <w:p w:rsidR="008C7E61" w:rsidRPr="003810AC" w:rsidRDefault="008C7E61">
      <w:pPr>
        <w:rPr>
          <w:rFonts w:ascii="Arial" w:hAnsi="Arial"/>
          <w:sz w:val="22"/>
          <w:szCs w:val="22"/>
        </w:rPr>
      </w:pPr>
      <w:r w:rsidRPr="003810AC">
        <w:rPr>
          <w:rFonts w:ascii="Arial" w:hAnsi="Arial"/>
          <w:sz w:val="22"/>
          <w:szCs w:val="22"/>
        </w:rPr>
        <w:t>δράσης και αυξημένος κίνδυνος αιμορραγιών</w:t>
      </w:r>
      <w:r w:rsidR="00E00064">
        <w:rPr>
          <w:rFonts w:ascii="Arial" w:hAnsi="Arial"/>
          <w:sz w:val="22"/>
          <w:szCs w:val="22"/>
        </w:rPr>
        <w:t>,</w:t>
      </w:r>
      <w:r w:rsidRPr="003810AC">
        <w:rPr>
          <w:rFonts w:ascii="Arial" w:hAnsi="Arial"/>
          <w:sz w:val="22"/>
          <w:szCs w:val="22"/>
        </w:rPr>
        <w:t xml:space="preserve"> που προκαλείται από το μειωμένο </w:t>
      </w:r>
    </w:p>
    <w:p w:rsidR="008C7E61" w:rsidRPr="003810AC" w:rsidRDefault="008C7E61">
      <w:pPr>
        <w:pStyle w:val="a6"/>
        <w:rPr>
          <w:szCs w:val="22"/>
        </w:rPr>
      </w:pPr>
      <w:r w:rsidRPr="003810AC">
        <w:rPr>
          <w:szCs w:val="22"/>
        </w:rPr>
        <w:t xml:space="preserve">μεταβολισμό στο ήπαρ.Σε περίπτωση συγχορήγησης,πρέπει να παρακολουθείται </w:t>
      </w:r>
    </w:p>
    <w:p w:rsidR="008C7E61" w:rsidRPr="003810AC" w:rsidRDefault="008C7E61">
      <w:pPr>
        <w:pStyle w:val="a6"/>
        <w:rPr>
          <w:szCs w:val="22"/>
        </w:rPr>
      </w:pPr>
      <w:r w:rsidRPr="003810AC">
        <w:rPr>
          <w:szCs w:val="22"/>
        </w:rPr>
        <w:t xml:space="preserve">πιο συχνά ο χρόνος προθρομβίνης και κατά τη διάρκεια της θεραπείας με </w:t>
      </w:r>
    </w:p>
    <w:p w:rsidR="008C7E61" w:rsidRPr="003810AC" w:rsidRDefault="008C7E61">
      <w:pPr>
        <w:pStyle w:val="a6"/>
        <w:rPr>
          <w:szCs w:val="22"/>
        </w:rPr>
      </w:pPr>
      <w:r w:rsidRPr="003810AC">
        <w:rPr>
          <w:szCs w:val="22"/>
        </w:rPr>
        <w:t>μετρονιδαζόλη πρέπει να προσαρμόζεται η αντιπηκτική αγωγή.</w:t>
      </w:r>
    </w:p>
    <w:p w:rsidR="008C7E61" w:rsidRDefault="008C7E61">
      <w:pPr>
        <w:numPr>
          <w:ilvl w:val="0"/>
          <w:numId w:val="4"/>
        </w:numPr>
        <w:rPr>
          <w:rFonts w:ascii="Arial" w:hAnsi="Arial"/>
          <w:sz w:val="22"/>
        </w:rPr>
      </w:pPr>
      <w:r w:rsidRPr="003810AC">
        <w:rPr>
          <w:rFonts w:ascii="Arial" w:hAnsi="Arial"/>
          <w:i/>
          <w:sz w:val="22"/>
          <w:szCs w:val="22"/>
        </w:rPr>
        <w:t>Λίθιο</w:t>
      </w:r>
      <w:r w:rsidRPr="003810AC">
        <w:rPr>
          <w:rFonts w:ascii="Arial" w:hAnsi="Arial"/>
          <w:sz w:val="22"/>
          <w:szCs w:val="22"/>
        </w:rPr>
        <w:t>: Η μετρονιδαζόλη μπορεί να αυξήσει τα επίπεδα του λιθίου στο</w:t>
      </w:r>
      <w:r>
        <w:rPr>
          <w:rFonts w:ascii="Arial" w:hAnsi="Arial"/>
          <w:sz w:val="22"/>
        </w:rPr>
        <w:t xml:space="preserve"> πλάσμα.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Σε ασθενείς οι οποίοι βρίσκονται υπό αγωγή με λίθιο ενώ λαμβάνουν μετρονιδαζόλη,πρέπει</w:t>
      </w:r>
    </w:p>
    <w:p w:rsidR="008C7E61" w:rsidRDefault="008C7E61">
      <w:pPr>
        <w:pStyle w:val="a6"/>
      </w:pPr>
      <w:r>
        <w:t xml:space="preserve">να παρακολουθούνται οι συγκεντρώσεις λιθίου στο πλάσμα,η κρεατινίνη και οι </w:t>
      </w:r>
    </w:p>
    <w:p w:rsidR="008C7E61" w:rsidRDefault="008C7E61">
      <w:pPr>
        <w:pStyle w:val="a6"/>
      </w:pPr>
      <w:r>
        <w:t>ηλεκτρολύτες.</w:t>
      </w:r>
    </w:p>
    <w:p w:rsidR="008C7E61" w:rsidRDefault="008C7E61">
      <w:pPr>
        <w:pStyle w:val="a6"/>
      </w:pPr>
    </w:p>
    <w:p w:rsidR="008C7E61" w:rsidRDefault="008C7E61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Κυκλοσπορίνη</w:t>
      </w:r>
      <w:r>
        <w:rPr>
          <w:rFonts w:ascii="Arial" w:hAnsi="Arial"/>
          <w:sz w:val="22"/>
        </w:rPr>
        <w:t>: Κίνδυνος αύξησης των επιπέδων κυκλοσπορίνης στον ορό.</w:t>
      </w:r>
    </w:p>
    <w:p w:rsidR="008C7E61" w:rsidRDefault="008C7E61">
      <w:pPr>
        <w:pStyle w:val="a6"/>
      </w:pPr>
      <w:r>
        <w:t>Εφόσον η συγχορήγηση θεωρείται αναγκαία,πρέπει να παρακολουθούνται στενά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η κρεατινίνη και η κυκλοσπορίνη στον ορό.</w:t>
      </w:r>
    </w:p>
    <w:p w:rsidR="008C7E61" w:rsidRDefault="008C7E61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Φαινοβαρβιτάλη και  φαινυτοϊνη</w:t>
      </w:r>
      <w:r>
        <w:rPr>
          <w:rFonts w:ascii="Arial" w:hAnsi="Arial"/>
          <w:sz w:val="22"/>
        </w:rPr>
        <w:t xml:space="preserve">: Η φαινοβαρβιτάλη και η φαινυτοϊνη επιταχύνουν το </w:t>
      </w:r>
    </w:p>
    <w:p w:rsidR="008C7E61" w:rsidRDefault="008C7E61">
      <w:pPr>
        <w:pStyle w:val="a5"/>
      </w:pPr>
      <w:r>
        <w:t>μεταβολισμό της μετρονιδαζόλης,με αποτέλεσμα οι συγκεντρώσεις της στο πλάσμα να είναι μικρότερες από τις αναμενόμενες.Η μετρονιδαζόλη μπορεί να μειώσει την ολική κάθαρση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της φαινυτοϊνης με αποτέλεσμα επιμήκυνση του χρόνου ημίσειας ζωής της.</w:t>
      </w:r>
    </w:p>
    <w:p w:rsidR="008C7E61" w:rsidRDefault="008C7E61">
      <w:pPr>
        <w:numPr>
          <w:ilvl w:val="0"/>
          <w:numId w:val="7"/>
        </w:numPr>
        <w:rPr>
          <w:rFonts w:ascii="Arial" w:hAnsi="Arial"/>
          <w:sz w:val="22"/>
        </w:rPr>
      </w:pPr>
      <w:r w:rsidRPr="00294A49">
        <w:rPr>
          <w:rFonts w:ascii="Arial" w:hAnsi="Arial"/>
          <w:i/>
          <w:sz w:val="22"/>
        </w:rPr>
        <w:t>Σιμετιδίνη:</w:t>
      </w:r>
      <w:r>
        <w:rPr>
          <w:rFonts w:ascii="Arial" w:hAnsi="Arial"/>
          <w:sz w:val="22"/>
        </w:rPr>
        <w:t xml:space="preserve"> Η σιμετιδίνη αναστέλλει το μεταβολισμό της μετρονιδαζόλης,οπότε </w:t>
      </w:r>
    </w:p>
    <w:p w:rsidR="008C7E61" w:rsidRDefault="008C7E61">
      <w:pPr>
        <w:pStyle w:val="a5"/>
      </w:pPr>
      <w:r>
        <w:t>εμφανίζονται αυξημένα επίπεδα στο πλάσμα.</w:t>
      </w:r>
    </w:p>
    <w:p w:rsidR="008C7E61" w:rsidRDefault="008C7E61">
      <w:pPr>
        <w:numPr>
          <w:ilvl w:val="0"/>
          <w:numId w:val="7"/>
        </w:numPr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5-φθοριοουρακίλη</w:t>
      </w:r>
      <w:r>
        <w:rPr>
          <w:rFonts w:ascii="Arial" w:hAnsi="Arial"/>
          <w:sz w:val="22"/>
        </w:rPr>
        <w:t>: Σε συγχορήγηση με 5- φθοριοουρακίλη ελαττώνεται η κάθαρση της 5- φθοριοουρακίλης οδηγώντας σε αύξηση της τοξικότητάς της.</w:t>
      </w:r>
    </w:p>
    <w:p w:rsidR="002663A3" w:rsidRPr="002663A3" w:rsidRDefault="004A2808">
      <w:pPr>
        <w:numPr>
          <w:ilvl w:val="0"/>
          <w:numId w:val="9"/>
        </w:numPr>
        <w:rPr>
          <w:rFonts w:ascii="Arial" w:hAnsi="Arial"/>
          <w:sz w:val="22"/>
        </w:rPr>
      </w:pPr>
      <w:r w:rsidRPr="00101485">
        <w:rPr>
          <w:rFonts w:ascii="Arial" w:hAnsi="Arial"/>
          <w:i/>
          <w:sz w:val="22"/>
        </w:rPr>
        <w:t>Οινόπνευμα:</w:t>
      </w:r>
      <w:r>
        <w:rPr>
          <w:rFonts w:ascii="Arial" w:hAnsi="Arial"/>
          <w:sz w:val="22"/>
        </w:rPr>
        <w:t xml:space="preserve"> Κατά τη </w:t>
      </w:r>
      <w:r>
        <w:rPr>
          <w:rFonts w:ascii="Arial" w:hAnsi="Arial"/>
          <w:sz w:val="22"/>
          <w:szCs w:val="22"/>
        </w:rPr>
        <w:t xml:space="preserve">διάρκεια της αγωγής και </w:t>
      </w:r>
      <w:r w:rsidR="002663A3">
        <w:rPr>
          <w:rFonts w:ascii="Arial" w:hAnsi="Arial"/>
          <w:sz w:val="22"/>
          <w:szCs w:val="22"/>
        </w:rPr>
        <w:t xml:space="preserve">τουλάχιστον </w:t>
      </w:r>
      <w:r>
        <w:rPr>
          <w:rFonts w:ascii="Arial" w:hAnsi="Arial"/>
          <w:sz w:val="22"/>
          <w:szCs w:val="22"/>
        </w:rPr>
        <w:t xml:space="preserve">για μία ακόμη ημέρα μετά </w:t>
      </w:r>
    </w:p>
    <w:p w:rsidR="00844464" w:rsidRDefault="004A2808" w:rsidP="004A280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από την</w:t>
      </w:r>
      <w:r w:rsidR="002663A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ολοκλήρωσή της </w:t>
      </w:r>
      <w:r w:rsidR="00844464">
        <w:rPr>
          <w:rFonts w:ascii="Arial" w:hAnsi="Arial"/>
          <w:sz w:val="22"/>
          <w:szCs w:val="22"/>
        </w:rPr>
        <w:t xml:space="preserve">πρέπει να αποφεύγεται η κατανάλωση </w:t>
      </w:r>
      <w:r w:rsidR="00844464">
        <w:rPr>
          <w:rFonts w:ascii="Arial" w:hAnsi="Arial"/>
          <w:sz w:val="22"/>
        </w:rPr>
        <w:t>αλκοολούχων ποτών και</w:t>
      </w:r>
    </w:p>
    <w:p w:rsidR="001247D3" w:rsidRDefault="00844464" w:rsidP="004A280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φαρμάκων που περιέχουν οινόπνευμα</w:t>
      </w:r>
      <w:r w:rsidR="009F5A23">
        <w:rPr>
          <w:rFonts w:ascii="Arial" w:hAnsi="Arial"/>
          <w:sz w:val="22"/>
        </w:rPr>
        <w:t xml:space="preserve"> </w:t>
      </w:r>
      <w:r w:rsidR="004A2808">
        <w:rPr>
          <w:rFonts w:ascii="Arial" w:hAnsi="Arial"/>
          <w:sz w:val="22"/>
          <w:szCs w:val="22"/>
        </w:rPr>
        <w:t xml:space="preserve">επειδή υπάρχει </w:t>
      </w:r>
      <w:r w:rsidR="00F2038C">
        <w:rPr>
          <w:rFonts w:ascii="Arial" w:hAnsi="Arial"/>
          <w:sz w:val="22"/>
          <w:szCs w:val="22"/>
        </w:rPr>
        <w:t xml:space="preserve">η </w:t>
      </w:r>
      <w:r w:rsidR="004A2808">
        <w:rPr>
          <w:rFonts w:ascii="Arial" w:hAnsi="Arial"/>
          <w:sz w:val="22"/>
          <w:szCs w:val="22"/>
        </w:rPr>
        <w:t>πιθανότητα εμφάνισης αντίδρασης τύπου δισουλφιράμης</w:t>
      </w:r>
      <w:r w:rsidR="009F5A23">
        <w:rPr>
          <w:rFonts w:ascii="Arial" w:hAnsi="Arial"/>
          <w:sz w:val="22"/>
          <w:szCs w:val="22"/>
        </w:rPr>
        <w:t xml:space="preserve"> </w:t>
      </w:r>
      <w:r w:rsidR="009F5A23">
        <w:rPr>
          <w:rFonts w:ascii="Arial" w:hAnsi="Arial"/>
          <w:sz w:val="22"/>
        </w:rPr>
        <w:t>(έξαψη,έμετος,ταχυκαρδία).</w:t>
      </w:r>
    </w:p>
    <w:p w:rsidR="00EE1FB2" w:rsidRDefault="00EE1FB2" w:rsidP="00EE1FB2">
      <w:pPr>
        <w:numPr>
          <w:ilvl w:val="0"/>
          <w:numId w:val="10"/>
        </w:numPr>
        <w:rPr>
          <w:rFonts w:ascii="Arial" w:hAnsi="Arial"/>
          <w:sz w:val="22"/>
        </w:rPr>
      </w:pPr>
      <w:r w:rsidRPr="00EC09EF">
        <w:rPr>
          <w:rFonts w:ascii="Arial" w:hAnsi="Arial"/>
          <w:i/>
          <w:sz w:val="22"/>
        </w:rPr>
        <w:t>Δισουλφιράμη:</w:t>
      </w:r>
      <w:r w:rsidRPr="00EE1FB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Ψυχωσικές αντιδράσεις έχουν αναφερθεί σε ασθενείς μετά από </w:t>
      </w:r>
    </w:p>
    <w:p w:rsidR="008C7E61" w:rsidRDefault="00EE1FB2" w:rsidP="00EE1FB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ταυτόχρονη συστηματική χορήγηση μετρονιδαζόλης και δισουλφιράμης</w:t>
      </w:r>
    </w:p>
    <w:p w:rsidR="008C7E61" w:rsidRDefault="00431106">
      <w:pPr>
        <w:numPr>
          <w:ilvl w:val="0"/>
          <w:numId w:val="10"/>
        </w:numPr>
        <w:rPr>
          <w:rFonts w:ascii="Arial" w:hAnsi="Arial"/>
          <w:sz w:val="22"/>
        </w:rPr>
      </w:pPr>
      <w:r w:rsidRPr="00C10673">
        <w:rPr>
          <w:rFonts w:ascii="Arial" w:hAnsi="Arial"/>
          <w:i/>
          <w:sz w:val="22"/>
        </w:rPr>
        <w:t>Βουσουλφάνη:</w:t>
      </w:r>
      <w:r w:rsidR="00C10673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 xml:space="preserve">Η μετρονιδαζόλη </w:t>
      </w:r>
      <w:r w:rsidR="009963FC">
        <w:rPr>
          <w:rFonts w:ascii="Arial" w:hAnsi="Arial"/>
          <w:sz w:val="22"/>
        </w:rPr>
        <w:t xml:space="preserve">ενδέχεται να </w:t>
      </w:r>
      <w:r w:rsidR="00FF2954">
        <w:rPr>
          <w:rFonts w:ascii="Arial" w:hAnsi="Arial"/>
          <w:sz w:val="22"/>
        </w:rPr>
        <w:t xml:space="preserve">αυξήσει τα επίπεδα της </w:t>
      </w:r>
      <w:r w:rsidR="00F938AB">
        <w:rPr>
          <w:rFonts w:ascii="Arial" w:hAnsi="Arial"/>
          <w:sz w:val="22"/>
        </w:rPr>
        <w:t xml:space="preserve">βουσουλφάνης </w:t>
      </w:r>
    </w:p>
    <w:p w:rsidR="008C7E61" w:rsidRDefault="00F938A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στο </w:t>
      </w:r>
      <w:r w:rsidR="00E311A5">
        <w:rPr>
          <w:rFonts w:ascii="Arial" w:hAnsi="Arial"/>
          <w:sz w:val="22"/>
        </w:rPr>
        <w:t xml:space="preserve">πλάσμα,γεγονός που μπορεί να προκαλέσει σοβαρή τοξικότητα </w:t>
      </w:r>
      <w:r w:rsidR="00EB07EA">
        <w:rPr>
          <w:rFonts w:ascii="Arial" w:hAnsi="Arial"/>
          <w:sz w:val="22"/>
        </w:rPr>
        <w:t>από</w:t>
      </w:r>
      <w:r w:rsidR="00E311A5">
        <w:rPr>
          <w:rFonts w:ascii="Arial" w:hAnsi="Arial"/>
          <w:sz w:val="22"/>
        </w:rPr>
        <w:t xml:space="preserve"> τη βουσουλφάνη.</w:t>
      </w:r>
    </w:p>
    <w:p w:rsidR="00AE3D1D" w:rsidRDefault="00AE3D1D">
      <w:pPr>
        <w:rPr>
          <w:rFonts w:ascii="Arial" w:hAnsi="Arial"/>
          <w:sz w:val="22"/>
        </w:rPr>
      </w:pPr>
    </w:p>
    <w:p w:rsidR="00451C6A" w:rsidRDefault="00451C6A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i/>
          <w:sz w:val="22"/>
        </w:rPr>
        <w:t>4.6  Κύηση και γαλουχία</w:t>
      </w:r>
    </w:p>
    <w:p w:rsidR="00452A17" w:rsidRDefault="00452A17">
      <w:pPr>
        <w:rPr>
          <w:rFonts w:ascii="Arial" w:hAnsi="Arial"/>
          <w:b/>
          <w:sz w:val="22"/>
        </w:rPr>
      </w:pPr>
    </w:p>
    <w:p w:rsidR="008C7E61" w:rsidRPr="00452A17" w:rsidRDefault="00452A17">
      <w:pPr>
        <w:rPr>
          <w:rFonts w:ascii="Arial" w:hAnsi="Arial"/>
          <w:b/>
          <w:sz w:val="22"/>
        </w:rPr>
      </w:pPr>
      <w:r w:rsidRPr="00452A17">
        <w:rPr>
          <w:rFonts w:ascii="Arial" w:hAnsi="Arial"/>
          <w:b/>
          <w:sz w:val="22"/>
        </w:rPr>
        <w:t>Κύηση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Η μετρονιδαζόλη</w:t>
      </w:r>
      <w:r w:rsidR="00452A17">
        <w:rPr>
          <w:rFonts w:ascii="Arial" w:hAnsi="Arial"/>
          <w:sz w:val="22"/>
        </w:rPr>
        <w:t>,όταν χορηγείται συστηματικά,</w:t>
      </w:r>
      <w:r>
        <w:rPr>
          <w:rFonts w:ascii="Arial" w:hAnsi="Arial"/>
          <w:sz w:val="22"/>
        </w:rPr>
        <w:t xml:space="preserve"> διαπερνά τον πλακούντα και εισέρχεται ταχέως στην κυκλοφορία</w:t>
      </w:r>
      <w:r w:rsidR="00452A1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του εμβρύου.Η υπάρχουσα εμπειρία για την χρήση της μετρονιδαζόλης κατά την κύηση είναι ανεπαρκής.Η μετρονιδαζόλη χορηγούμενη στα πειραματόζωα σε μεγάλες δόσεις εμφανίζει τερατογόνο δράση.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Η μετρονιδαζόλη δεν πρέπει να χορηγείται </w:t>
      </w:r>
      <w:r w:rsidR="003B59F1">
        <w:rPr>
          <w:rFonts w:ascii="Arial" w:hAnsi="Arial"/>
          <w:sz w:val="22"/>
        </w:rPr>
        <w:t xml:space="preserve">συστηματικά </w:t>
      </w:r>
      <w:r>
        <w:rPr>
          <w:rFonts w:ascii="Arial" w:hAnsi="Arial"/>
          <w:sz w:val="22"/>
        </w:rPr>
        <w:t>κατά την περίοδο της κύησης</w:t>
      </w:r>
      <w:r w:rsidR="00783B7F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εκτός εάν κριθεί απολύτως απαραίτητο.</w:t>
      </w:r>
    </w:p>
    <w:p w:rsidR="008C7E61" w:rsidRDefault="008C7E61">
      <w:pPr>
        <w:rPr>
          <w:rFonts w:ascii="Arial" w:hAnsi="Arial"/>
          <w:sz w:val="22"/>
        </w:rPr>
      </w:pPr>
    </w:p>
    <w:p w:rsidR="00695557" w:rsidRPr="00C57025" w:rsidRDefault="00C57025">
      <w:pPr>
        <w:rPr>
          <w:rFonts w:ascii="Arial" w:hAnsi="Arial"/>
          <w:b/>
          <w:sz w:val="22"/>
        </w:rPr>
      </w:pPr>
      <w:r w:rsidRPr="00C57025">
        <w:rPr>
          <w:rFonts w:ascii="Arial" w:hAnsi="Arial"/>
          <w:b/>
          <w:sz w:val="22"/>
        </w:rPr>
        <w:t>Γαλουχία</w:t>
      </w:r>
    </w:p>
    <w:p w:rsidR="00695557" w:rsidRDefault="00695557" w:rsidP="006955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Κατά την συστηματική χορήγηση η μετρονιδαζόλη απεκκρίνεται στο μητρικό γάλα σε </w:t>
      </w:r>
    </w:p>
    <w:p w:rsidR="00695557" w:rsidRDefault="00695557" w:rsidP="0069555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συγκεντρώσεις ίσες με αυτές του πλάσματος.</w:t>
      </w:r>
    </w:p>
    <w:p w:rsidR="00E16518" w:rsidRDefault="00E16518" w:rsidP="00E1651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Η μετρονιδαζόλη δεν πρέπει να χορηγείται συστηματικά κατά την περίοδο </w:t>
      </w:r>
      <w:r w:rsidR="00546F78">
        <w:rPr>
          <w:rFonts w:ascii="Arial" w:hAnsi="Arial"/>
          <w:sz w:val="22"/>
        </w:rPr>
        <w:t>γαλουχίας</w:t>
      </w:r>
      <w:r>
        <w:rPr>
          <w:rFonts w:ascii="Arial" w:hAnsi="Arial"/>
          <w:sz w:val="22"/>
        </w:rPr>
        <w:t>,εκτός εάν κριθεί απολύτως απαραίτητο.</w:t>
      </w:r>
    </w:p>
    <w:p w:rsidR="00590794" w:rsidRDefault="00590794">
      <w:pPr>
        <w:rPr>
          <w:rFonts w:ascii="Arial" w:hAnsi="Arial"/>
          <w:sz w:val="22"/>
        </w:rPr>
      </w:pPr>
    </w:p>
    <w:p w:rsidR="00590794" w:rsidRDefault="00590794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i/>
          <w:sz w:val="22"/>
        </w:rPr>
        <w:t>4.7  Επίδραση στην ικανότητα οδήγησης &amp; χειρισμού μηχανημάτων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Οι ασθενείς θα πρέπει να προειδοποιούνται για το ενδεχόμενο εμφάνισης σύγχυσης,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ζάλης,ψευδαισθήσεων,σπασμών ή παροδικών διαταραχών της όρασης και να τους συστήνεται να μην οδηγούν ή χειρίζονται μηχανήματα εφόσον εμφανισθούν τέτοια συμπτώματα.</w:t>
      </w:r>
      <w:r w:rsidR="0050126D">
        <w:rPr>
          <w:rFonts w:ascii="Arial" w:hAnsi="Arial"/>
          <w:sz w:val="22"/>
        </w:rPr>
        <w:t>Π</w:t>
      </w:r>
      <w:r>
        <w:rPr>
          <w:rFonts w:ascii="Arial" w:hAnsi="Arial"/>
          <w:sz w:val="22"/>
        </w:rPr>
        <w:t xml:space="preserve">ρέπει επίσης να λαμβάνονται υπόψη οι πιθανές αλληλεπιδράσεις με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την δισουλφιράμη ή/και το οινόπνευμα.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i/>
          <w:sz w:val="22"/>
        </w:rPr>
        <w:t>4.8  Ανεπιθύμητες ενέργειες</w:t>
      </w:r>
    </w:p>
    <w:p w:rsidR="008C7E61" w:rsidRDefault="008C7E61">
      <w:pPr>
        <w:rPr>
          <w:rFonts w:ascii="Arial" w:hAnsi="Arial"/>
          <w:sz w:val="22"/>
        </w:rPr>
      </w:pPr>
    </w:p>
    <w:p w:rsidR="00D64578" w:rsidRPr="00426930" w:rsidRDefault="00D6457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Οι ανεπιθύμητες ενέργειες έχουν ταξινομηθεί ανάλογα με το οργανικό σύστημα</w:t>
      </w:r>
      <w:r w:rsidRPr="00426930">
        <w:rPr>
          <w:rFonts w:ascii="Arial" w:hAnsi="Arial"/>
          <w:sz w:val="22"/>
        </w:rPr>
        <w:t>:</w:t>
      </w:r>
    </w:p>
    <w:p w:rsidR="00274E1E" w:rsidRDefault="00274E1E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Γαστρεντερικές διαταραχές: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Επιγ</w:t>
      </w:r>
      <w:r w:rsidR="007C71FD">
        <w:rPr>
          <w:rFonts w:ascii="Arial" w:hAnsi="Arial"/>
          <w:sz w:val="22"/>
        </w:rPr>
        <w:t>α</w:t>
      </w:r>
      <w:r>
        <w:rPr>
          <w:rFonts w:ascii="Arial" w:hAnsi="Arial"/>
          <w:sz w:val="22"/>
        </w:rPr>
        <w:t>στρι</w:t>
      </w:r>
      <w:r w:rsidR="007C71FD">
        <w:rPr>
          <w:rFonts w:ascii="Arial" w:hAnsi="Arial"/>
          <w:sz w:val="22"/>
        </w:rPr>
        <w:t>κό</w:t>
      </w:r>
      <w:r>
        <w:rPr>
          <w:rFonts w:ascii="Arial" w:hAnsi="Arial"/>
          <w:sz w:val="22"/>
        </w:rPr>
        <w:t xml:space="preserve"> άλγος,ναυτία,έμετος,διάρροια,στοματίτιδα,γλωσσίτιδα,στοματική βλεννογονίτιδα,μεταλλική γεύση,διαταραχές της γεύσης,ανορεξία,ξηροστομία,σε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εξαιρετικές περιπτώσεις αναστρέψιμη παγκρεατίτιδα.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pStyle w:val="3"/>
        <w:numPr>
          <w:ilvl w:val="0"/>
          <w:numId w:val="0"/>
        </w:numPr>
      </w:pPr>
      <w:r>
        <w:t>Αντιδράσεις υπερευαισθησίας</w:t>
      </w:r>
      <w:r w:rsidR="009E5204" w:rsidRPr="009E5204"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Εξάνθημα,κνίδωση,τοπικό αίσθημα καύσου,κνησμός,</w:t>
      </w:r>
      <w:r w:rsidR="003D3D2B">
        <w:rPr>
          <w:rFonts w:ascii="Arial" w:hAnsi="Arial"/>
          <w:sz w:val="22"/>
        </w:rPr>
        <w:t>έξαψη</w:t>
      </w:r>
      <w:r>
        <w:rPr>
          <w:rFonts w:ascii="Arial" w:hAnsi="Arial"/>
          <w:sz w:val="22"/>
        </w:rPr>
        <w:t>,πυρετός,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αγγειοοίδημα,σε εξαιρετικές περιπτώσεις αναφυλακτικ</w:t>
      </w:r>
      <w:r w:rsidR="0025795F">
        <w:rPr>
          <w:rFonts w:ascii="Arial" w:hAnsi="Arial"/>
          <w:sz w:val="22"/>
        </w:rPr>
        <w:t>ή</w:t>
      </w:r>
      <w:r>
        <w:rPr>
          <w:rFonts w:ascii="Arial" w:hAnsi="Arial"/>
          <w:sz w:val="22"/>
        </w:rPr>
        <w:t xml:space="preserve"> </w:t>
      </w:r>
      <w:r w:rsidR="0025795F">
        <w:rPr>
          <w:rFonts w:ascii="Arial" w:hAnsi="Arial"/>
          <w:sz w:val="22"/>
        </w:rPr>
        <w:t>καταπληξία</w:t>
      </w:r>
      <w:r w:rsidRPr="00DB58B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πολύ σπάνια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φλυκταινώδη εξανθήματα.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Περιφερικό και Κ.Ν.Σ.</w:t>
      </w:r>
      <w:r w:rsidR="009E5204">
        <w:rPr>
          <w:rFonts w:ascii="Arial" w:hAnsi="Arial"/>
          <w:b/>
          <w:sz w:val="22"/>
        </w:rPr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Κεφαλαλγίες,σπασμοί,ζάλη,λήθαργος,περιφερική </w:t>
      </w:r>
      <w:r w:rsidR="00AC7A1B">
        <w:rPr>
          <w:rFonts w:ascii="Arial" w:hAnsi="Arial"/>
          <w:sz w:val="22"/>
        </w:rPr>
        <w:t xml:space="preserve">αισθητική </w:t>
      </w:r>
      <w:r>
        <w:rPr>
          <w:rFonts w:ascii="Arial" w:hAnsi="Arial"/>
          <w:sz w:val="22"/>
        </w:rPr>
        <w:t>νευροπάθεια</w:t>
      </w:r>
      <w:r w:rsidR="00C465BA">
        <w:rPr>
          <w:rFonts w:ascii="Arial" w:hAnsi="Arial"/>
          <w:sz w:val="22"/>
        </w:rPr>
        <w:t>.</w:t>
      </w:r>
    </w:p>
    <w:p w:rsidR="008C7E61" w:rsidRDefault="008C7E61">
      <w:pPr>
        <w:rPr>
          <w:rFonts w:ascii="Arial" w:hAnsi="Arial"/>
          <w:sz w:val="22"/>
        </w:rPr>
      </w:pPr>
    </w:p>
    <w:p w:rsidR="00830F7F" w:rsidRDefault="00830F7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Σε πολύ σπάνιες περιπτώσεις </w:t>
      </w:r>
      <w:r w:rsidR="008C7E61">
        <w:rPr>
          <w:rFonts w:ascii="Arial" w:hAnsi="Arial"/>
          <w:sz w:val="22"/>
        </w:rPr>
        <w:t>α</w:t>
      </w:r>
      <w:r>
        <w:rPr>
          <w:rFonts w:ascii="Arial" w:hAnsi="Arial"/>
          <w:sz w:val="22"/>
        </w:rPr>
        <w:t>ναφέρθηκαν</w:t>
      </w:r>
      <w:r w:rsidR="008C7E61">
        <w:rPr>
          <w:rFonts w:ascii="Arial" w:hAnsi="Arial"/>
          <w:sz w:val="22"/>
        </w:rPr>
        <w:t xml:space="preserve"> εγκεφαλοπάθεια</w:t>
      </w:r>
      <w:r>
        <w:rPr>
          <w:rFonts w:ascii="Arial" w:hAnsi="Arial"/>
          <w:sz w:val="22"/>
        </w:rPr>
        <w:t xml:space="preserve"> </w:t>
      </w:r>
      <w:r w:rsidR="004F184A">
        <w:rPr>
          <w:rFonts w:ascii="Arial" w:hAnsi="Arial"/>
          <w:sz w:val="22"/>
        </w:rPr>
        <w:t>(π.χ. σύγχυση) και υποξύ παρεγκεφαλιδικό σύνδρομο (π.χ. αταξία,</w:t>
      </w:r>
      <w:r w:rsidR="00B51DD1">
        <w:rPr>
          <w:rFonts w:ascii="Arial" w:hAnsi="Arial"/>
          <w:sz w:val="22"/>
        </w:rPr>
        <w:t>δυσαρθρία,διαταραχή της βάδισης,νυσταγμός και τρόμος),τα οποία εξαφανίζονται με τη διακοπή του φαρμάκου.</w:t>
      </w:r>
    </w:p>
    <w:p w:rsidR="00830F7F" w:rsidRDefault="00830F7F">
      <w:pPr>
        <w:rPr>
          <w:rFonts w:ascii="Arial" w:hAnsi="Arial"/>
          <w:sz w:val="22"/>
        </w:rPr>
      </w:pPr>
    </w:p>
    <w:p w:rsidR="008C7E61" w:rsidRDefault="008C7E61">
      <w:pPr>
        <w:pStyle w:val="3"/>
        <w:numPr>
          <w:ilvl w:val="0"/>
          <w:numId w:val="0"/>
        </w:numPr>
      </w:pPr>
      <w:r>
        <w:t>Ψυχιατρικές διαταραχές</w:t>
      </w:r>
      <w:r w:rsidR="005C7AC7" w:rsidRPr="005C7AC7"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Ψυχωσικές διαταραχές συμπεριλαμβανομέν</w:t>
      </w:r>
      <w:r w:rsidR="00A042B7">
        <w:rPr>
          <w:rFonts w:ascii="Arial" w:hAnsi="Arial"/>
          <w:sz w:val="22"/>
        </w:rPr>
        <w:t>ων</w:t>
      </w:r>
      <w:r>
        <w:rPr>
          <w:rFonts w:ascii="Arial" w:hAnsi="Arial"/>
          <w:sz w:val="22"/>
        </w:rPr>
        <w:t xml:space="preserve"> σύγχυσης</w:t>
      </w:r>
      <w:r w:rsidR="00A042B7">
        <w:rPr>
          <w:rFonts w:ascii="Arial" w:hAnsi="Arial"/>
          <w:sz w:val="22"/>
        </w:rPr>
        <w:t xml:space="preserve"> και</w:t>
      </w:r>
      <w:r>
        <w:rPr>
          <w:rFonts w:ascii="Arial" w:hAnsi="Arial"/>
          <w:sz w:val="22"/>
        </w:rPr>
        <w:t xml:space="preserve"> ψευδαισθήσεων.</w:t>
      </w:r>
    </w:p>
    <w:p w:rsidR="00A042B7" w:rsidRDefault="00A042B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Καταθλιπτική διάθεση.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pStyle w:val="3"/>
        <w:numPr>
          <w:ilvl w:val="0"/>
          <w:numId w:val="0"/>
        </w:numPr>
      </w:pPr>
      <w:r>
        <w:t>Οπτικές διαταραχές</w:t>
      </w:r>
      <w:r w:rsidR="005C7AC7" w:rsidRPr="005C7AC7"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Παροδικά,διαταραχές της όρασης όπως διπλωπία,μυωπία.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pStyle w:val="3"/>
        <w:numPr>
          <w:ilvl w:val="0"/>
          <w:numId w:val="0"/>
        </w:numPr>
      </w:pPr>
      <w:r>
        <w:t>Αιματολογικές διαταραχές</w:t>
      </w:r>
      <w:r w:rsidR="005C7AC7" w:rsidRPr="005C7AC7"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Πολύ σπάνια έχουν αναφερθεί περιπτώσεις ακοκκιοκυτταραιμίας,ουδετεροπενίας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και θρομβοπενίας </w:t>
      </w:r>
      <w:r w:rsidR="00A14FE5">
        <w:rPr>
          <w:rFonts w:ascii="Arial" w:hAnsi="Arial"/>
          <w:sz w:val="22"/>
        </w:rPr>
        <w:t xml:space="preserve">καθώς </w:t>
      </w:r>
      <w:r>
        <w:rPr>
          <w:rFonts w:ascii="Arial" w:hAnsi="Arial"/>
          <w:sz w:val="22"/>
        </w:rPr>
        <w:t>και λευκοπενία (αναστρέψιμη).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pStyle w:val="3"/>
        <w:numPr>
          <w:ilvl w:val="0"/>
          <w:numId w:val="0"/>
        </w:numPr>
      </w:pPr>
      <w:r>
        <w:t>Ήπαρ</w:t>
      </w:r>
      <w:r w:rsidR="005C7AC7" w:rsidRPr="005C7AC7"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Πολύ σπάνια έχουν αναφερθεί περιπτώσεις αναστρέψιμης,μη φυσιολογικής λειτουργίας του ήπατος και χολοστατική ηπατίτιδα</w:t>
      </w:r>
      <w:r w:rsidR="00F94455">
        <w:rPr>
          <w:rFonts w:ascii="Arial" w:hAnsi="Arial"/>
          <w:sz w:val="22"/>
        </w:rPr>
        <w:t>,</w:t>
      </w:r>
      <w:r w:rsidR="00246DE4">
        <w:rPr>
          <w:rFonts w:ascii="Arial" w:hAnsi="Arial"/>
          <w:sz w:val="22"/>
        </w:rPr>
        <w:t>ορισμένες φορές με ίκτερο</w:t>
      </w:r>
      <w:r>
        <w:rPr>
          <w:rFonts w:ascii="Arial" w:hAnsi="Arial"/>
          <w:sz w:val="22"/>
        </w:rPr>
        <w:t>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pStyle w:val="3"/>
        <w:numPr>
          <w:ilvl w:val="0"/>
          <w:numId w:val="0"/>
        </w:numPr>
      </w:pPr>
      <w:r>
        <w:t>Άλλες</w:t>
      </w:r>
      <w:r w:rsidR="005C7AC7" w:rsidRPr="005C7AC7">
        <w:t>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Δυσουρία,κυστίτιδα.</w:t>
      </w:r>
    </w:p>
    <w:p w:rsidR="008C7E61" w:rsidRDefault="008C7E61">
      <w:pPr>
        <w:rPr>
          <w:rFonts w:ascii="Arial" w:hAnsi="Arial"/>
          <w:sz w:val="22"/>
        </w:rPr>
      </w:pPr>
    </w:p>
    <w:p w:rsidR="00720A03" w:rsidRPr="00720A03" w:rsidRDefault="00720A03" w:rsidP="00720A03">
      <w:pPr>
        <w:jc w:val="both"/>
        <w:rPr>
          <w:rFonts w:ascii="Arial" w:hAnsi="Arial" w:cs="Arial"/>
          <w:sz w:val="22"/>
          <w:szCs w:val="22"/>
          <w:u w:val="single"/>
          <w:lang w:eastAsia="en-US"/>
        </w:rPr>
      </w:pPr>
      <w:r w:rsidRPr="00720A03">
        <w:rPr>
          <w:rFonts w:ascii="Arial" w:hAnsi="Arial" w:cs="Arial"/>
          <w:sz w:val="22"/>
          <w:szCs w:val="22"/>
          <w:u w:val="single"/>
          <w:lang w:eastAsia="en-US"/>
        </w:rPr>
        <w:t>Αναφορά πιθανολογούμενων ανεπιθύμητων ενεργειών</w:t>
      </w:r>
    </w:p>
    <w:p w:rsidR="00720A03" w:rsidRPr="00720A03" w:rsidRDefault="00720A03" w:rsidP="00720A03">
      <w:pPr>
        <w:rPr>
          <w:rFonts w:ascii="Arial" w:hAnsi="Arial" w:cs="Arial"/>
          <w:sz w:val="22"/>
          <w:szCs w:val="22"/>
        </w:rPr>
      </w:pPr>
      <w:r w:rsidRPr="00720A03">
        <w:rPr>
          <w:rFonts w:ascii="Arial" w:hAnsi="Arial" w:cs="Arial"/>
          <w:sz w:val="22"/>
          <w:szCs w:val="22"/>
          <w:lang w:eastAsia="en-US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σημαντική. Επιτρέπει τη συνεχή παρακολούθηση της σχέσης οφέλους-κινδύνου του φαρμακευτικού προϊόντος.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(Μεσογείων 284,</w:t>
      </w:r>
      <w:r w:rsidRPr="00720A03">
        <w:rPr>
          <w:rFonts w:ascii="Arial" w:hAnsi="Arial" w:cs="Arial"/>
          <w:sz w:val="22"/>
          <w:szCs w:val="22"/>
          <w:lang w:val="en-US" w:eastAsia="en-US"/>
        </w:rPr>
        <w:t>GR</w:t>
      </w:r>
      <w:r w:rsidRPr="00720A03">
        <w:rPr>
          <w:rFonts w:ascii="Arial" w:hAnsi="Arial" w:cs="Arial"/>
          <w:sz w:val="22"/>
          <w:szCs w:val="22"/>
          <w:lang w:eastAsia="en-US"/>
        </w:rPr>
        <w:t xml:space="preserve">-15562 Χολαργός </w:t>
      </w:r>
      <w:r w:rsidRPr="00720A03">
        <w:rPr>
          <w:rFonts w:ascii="Arial" w:hAnsi="Arial" w:cs="Arial"/>
          <w:sz w:val="22"/>
          <w:szCs w:val="22"/>
        </w:rPr>
        <w:t>Αθήνα,τηλ:+30 213 2040380/337,φαξ:+30 210 6549585,www.eof.gr).</w:t>
      </w:r>
    </w:p>
    <w:p w:rsidR="00413624" w:rsidRDefault="00413624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i/>
          <w:sz w:val="22"/>
        </w:rPr>
        <w:t>4.9  Υπερδοσολογία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Έχουν αναφερθεί περιπτώσεις υπερδοσολογίας εκ λάθους</w:t>
      </w:r>
      <w:r w:rsidR="00C4117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καθώς και για λόγους αυτοκτο</w:t>
      </w:r>
      <w:r w:rsidRPr="00DB58B0">
        <w:rPr>
          <w:rFonts w:ascii="Arial" w:hAnsi="Arial"/>
          <w:sz w:val="22"/>
        </w:rPr>
        <w:t xml:space="preserve">νίας με από του στόματος χορηγούμενες εφάπαξ δόσεις μέχρι και </w:t>
      </w:r>
      <w:smartTag w:uri="urn:schemas-microsoft-com:office:smarttags" w:element="metricconverter">
        <w:smartTagPr>
          <w:attr w:name="ProductID" w:val="12 g"/>
        </w:smartTagPr>
        <w:r w:rsidRPr="00DB58B0">
          <w:rPr>
            <w:rFonts w:ascii="Arial" w:hAnsi="Arial"/>
            <w:sz w:val="22"/>
          </w:rPr>
          <w:t xml:space="preserve">12 </w:t>
        </w:r>
        <w:r>
          <w:rPr>
            <w:rFonts w:ascii="Arial" w:hAnsi="Arial"/>
            <w:sz w:val="22"/>
            <w:lang w:val="en-US"/>
          </w:rPr>
          <w:t>g</w:t>
        </w:r>
      </w:smartTag>
      <w:r>
        <w:rPr>
          <w:rFonts w:ascii="Arial" w:hAnsi="Arial"/>
          <w:sz w:val="22"/>
        </w:rPr>
        <w:t xml:space="preserve"> μετρονιδαζόλης.</w:t>
      </w:r>
    </w:p>
    <w:p w:rsidR="009053DA" w:rsidRDefault="009053DA">
      <w:pPr>
        <w:rPr>
          <w:rFonts w:ascii="Arial" w:hAnsi="Arial"/>
          <w:sz w:val="22"/>
        </w:rPr>
      </w:pPr>
    </w:p>
    <w:p w:rsidR="009053DA" w:rsidRPr="00C41174" w:rsidRDefault="00C41174">
      <w:pPr>
        <w:rPr>
          <w:rFonts w:ascii="Arial" w:hAnsi="Arial"/>
          <w:b/>
          <w:sz w:val="22"/>
        </w:rPr>
      </w:pPr>
      <w:r w:rsidRPr="00C41174">
        <w:rPr>
          <w:rFonts w:ascii="Arial" w:hAnsi="Arial"/>
          <w:b/>
          <w:sz w:val="22"/>
        </w:rPr>
        <w:t>Σημεία και συμπτώματα</w:t>
      </w:r>
    </w:p>
    <w:p w:rsidR="008C7E61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Τα συμπτώματα περιορίσθηκαν σε έμετο,αταξία και ελαφράς μορφής αποπροσανατολισμό.</w:t>
      </w:r>
    </w:p>
    <w:p w:rsidR="00C41174" w:rsidRDefault="00C41174">
      <w:pPr>
        <w:rPr>
          <w:rFonts w:ascii="Arial" w:hAnsi="Arial"/>
          <w:sz w:val="22"/>
        </w:rPr>
      </w:pPr>
    </w:p>
    <w:p w:rsidR="00483B2D" w:rsidRPr="00483B2D" w:rsidRDefault="00483B2D">
      <w:pPr>
        <w:rPr>
          <w:rFonts w:ascii="Arial" w:hAnsi="Arial"/>
          <w:b/>
          <w:sz w:val="22"/>
        </w:rPr>
      </w:pPr>
      <w:r w:rsidRPr="00483B2D">
        <w:rPr>
          <w:rFonts w:ascii="Arial" w:hAnsi="Arial"/>
          <w:b/>
          <w:sz w:val="22"/>
        </w:rPr>
        <w:t>Αντιμετώπιση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Δεν υπάρχει κάποιο ειδικό αντίδοτο για την αντιμετώπιση της υπερδοσολογίας από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μετρονιδαζόλη.Σε περίπτωση που υπάρχει υποψία για μεγάλης έκτασης δηλητηρίαση,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θα πρέπει να εφαρμόζεται συμπτωματική και υποστηρικτική αντιμετώπιση.</w:t>
      </w:r>
    </w:p>
    <w:p w:rsidR="008C7E61" w:rsidRDefault="008C7E61">
      <w:pPr>
        <w:rPr>
          <w:rFonts w:ascii="Arial" w:hAnsi="Arial"/>
          <w:sz w:val="22"/>
        </w:rPr>
      </w:pPr>
    </w:p>
    <w:p w:rsidR="00DA639E" w:rsidRDefault="00DA639E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</w:t>
      </w:r>
      <w:r>
        <w:rPr>
          <w:rFonts w:ascii="Arial" w:hAnsi="Arial"/>
          <w:b/>
          <w:sz w:val="22"/>
          <w:u w:val="single"/>
        </w:rPr>
        <w:t>5.  ΦΑΡΜΑΚΟΛΟΓΙΚΕΣ ΙΔΙΟΤΗΤΕΣ</w:t>
      </w:r>
    </w:p>
    <w:p w:rsidR="008C7E61" w:rsidRDefault="008C7E61">
      <w:pPr>
        <w:rPr>
          <w:rFonts w:ascii="Arial" w:hAnsi="Arial"/>
          <w:sz w:val="22"/>
        </w:rPr>
      </w:pPr>
    </w:p>
    <w:p w:rsidR="008C7E61" w:rsidRPr="008471FD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Κωδικός </w:t>
      </w:r>
      <w:r>
        <w:rPr>
          <w:rFonts w:ascii="Arial" w:hAnsi="Arial"/>
          <w:sz w:val="22"/>
          <w:lang w:val="en-US"/>
        </w:rPr>
        <w:t>ATC</w:t>
      </w:r>
      <w:r w:rsidRPr="00DB58B0">
        <w:rPr>
          <w:rFonts w:ascii="Arial" w:hAnsi="Arial"/>
          <w:sz w:val="22"/>
        </w:rPr>
        <w:t>:</w:t>
      </w:r>
      <w:r>
        <w:rPr>
          <w:rFonts w:ascii="Arial" w:hAnsi="Arial"/>
          <w:sz w:val="22"/>
          <w:lang w:val="en-US"/>
        </w:rPr>
        <w:t>J</w:t>
      </w:r>
      <w:r w:rsidRPr="00DB58B0">
        <w:rPr>
          <w:rFonts w:ascii="Arial" w:hAnsi="Arial"/>
          <w:sz w:val="22"/>
        </w:rPr>
        <w:t>01</w:t>
      </w:r>
      <w:r>
        <w:rPr>
          <w:rFonts w:ascii="Arial" w:hAnsi="Arial"/>
          <w:sz w:val="22"/>
          <w:lang w:val="en-US"/>
        </w:rPr>
        <w:t>XD</w:t>
      </w:r>
      <w:r w:rsidRPr="00DB58B0">
        <w:rPr>
          <w:rFonts w:ascii="Arial" w:hAnsi="Arial"/>
          <w:sz w:val="22"/>
        </w:rPr>
        <w:t xml:space="preserve">01 </w:t>
      </w:r>
      <w:r>
        <w:rPr>
          <w:rFonts w:ascii="Arial" w:hAnsi="Arial"/>
          <w:sz w:val="22"/>
        </w:rPr>
        <w:t>αντιβακτηριακό για συστηματική χορήγηση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i/>
          <w:sz w:val="22"/>
        </w:rPr>
        <w:t xml:space="preserve">5.1 Φαρμακοδυναμικές ιδιότητες </w:t>
      </w:r>
    </w:p>
    <w:p w:rsidR="008C7E61" w:rsidRDefault="008C7E61">
      <w:pPr>
        <w:pStyle w:val="a5"/>
      </w:pPr>
      <w:r>
        <w:t>Αντιμικροβιακό της ομάδας των νίτρο-5-ιμιδαζολίων.</w:t>
      </w:r>
    </w:p>
    <w:p w:rsidR="008C7E61" w:rsidRDefault="008C7E61"/>
    <w:p w:rsidR="008C7E61" w:rsidRDefault="008C7E61">
      <w:pPr>
        <w:pStyle w:val="4"/>
        <w:rPr>
          <w:lang w:val="el-GR"/>
        </w:rPr>
      </w:pPr>
      <w:r>
        <w:rPr>
          <w:lang w:val="el-GR"/>
        </w:rPr>
        <w:t>Αντιμικροβιακό φάσμα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-Συνήθως ευαίσθητα είδη (ποσοστό πάνω από 90%)</w:t>
      </w:r>
    </w:p>
    <w:p w:rsidR="008C7E61" w:rsidRDefault="008C7E61">
      <w:pPr>
        <w:rPr>
          <w:rFonts w:ascii="Arial" w:hAnsi="Arial"/>
          <w:sz w:val="22"/>
          <w:lang w:val="en-US"/>
        </w:rPr>
      </w:pPr>
      <w:proofErr w:type="spellStart"/>
      <w:r>
        <w:rPr>
          <w:rFonts w:ascii="Arial" w:hAnsi="Arial"/>
          <w:sz w:val="22"/>
          <w:lang w:val="en-US"/>
        </w:rPr>
        <w:t>Peptostreptococcus,Clostridium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perfrigens</w:t>
      </w:r>
      <w:proofErr w:type="spellEnd"/>
      <w:r>
        <w:rPr>
          <w:rFonts w:ascii="Arial" w:hAnsi="Arial"/>
          <w:sz w:val="22"/>
          <w:lang w:val="en-US"/>
        </w:rPr>
        <w:t>, Clostridium difficile, Clostridium sp.,</w:t>
      </w:r>
    </w:p>
    <w:p w:rsidR="008C7E61" w:rsidRDefault="008C7E61">
      <w:pPr>
        <w:rPr>
          <w:rFonts w:ascii="Arial" w:hAnsi="Arial"/>
          <w:sz w:val="22"/>
          <w:lang w:val="en-US"/>
        </w:rPr>
      </w:pPr>
      <w:proofErr w:type="spellStart"/>
      <w:r>
        <w:rPr>
          <w:rFonts w:ascii="Arial" w:hAnsi="Arial"/>
          <w:sz w:val="22"/>
          <w:lang w:val="en-US"/>
        </w:rPr>
        <w:t>Bacteroides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sp.,Prevotella,Fusobacterium,Veillonella</w:t>
      </w:r>
      <w:proofErr w:type="spellEnd"/>
      <w:r>
        <w:rPr>
          <w:rFonts w:ascii="Arial" w:hAnsi="Arial"/>
          <w:sz w:val="22"/>
          <w:lang w:val="en-US"/>
        </w:rPr>
        <w:t>.</w:t>
      </w:r>
    </w:p>
    <w:p w:rsidR="008C7E61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>Ανθεκτικά είδη (περίπου κατά 50%)</w:t>
      </w:r>
    </w:p>
    <w:p w:rsidR="008C7E61" w:rsidRPr="00DB58B0" w:rsidRDefault="008C7E61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  <w:lang w:val="en-US"/>
        </w:rPr>
        <w:t>Propionibacterium</w:t>
      </w:r>
      <w:proofErr w:type="spellEnd"/>
      <w:r w:rsidRPr="00DB58B0">
        <w:rPr>
          <w:rFonts w:ascii="Arial" w:hAnsi="Arial"/>
          <w:sz w:val="22"/>
        </w:rPr>
        <w:t>,</w:t>
      </w:r>
      <w:proofErr w:type="spellStart"/>
      <w:r>
        <w:rPr>
          <w:rFonts w:ascii="Arial" w:hAnsi="Arial"/>
          <w:sz w:val="22"/>
          <w:lang w:val="en-US"/>
        </w:rPr>
        <w:t>Actinomyces</w:t>
      </w:r>
      <w:proofErr w:type="spellEnd"/>
      <w:r w:rsidRPr="00DB58B0">
        <w:rPr>
          <w:rFonts w:ascii="Arial" w:hAnsi="Arial"/>
          <w:sz w:val="22"/>
        </w:rPr>
        <w:t>,</w:t>
      </w:r>
      <w:proofErr w:type="spellStart"/>
      <w:r>
        <w:rPr>
          <w:rFonts w:ascii="Arial" w:hAnsi="Arial"/>
          <w:sz w:val="22"/>
          <w:lang w:val="en-US"/>
        </w:rPr>
        <w:t>Mobiluncus</w:t>
      </w:r>
      <w:proofErr w:type="spellEnd"/>
    </w:p>
    <w:p w:rsidR="008C7E61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-</w:t>
      </w:r>
      <w:r>
        <w:rPr>
          <w:rFonts w:ascii="Arial" w:hAnsi="Arial"/>
          <w:sz w:val="22"/>
        </w:rPr>
        <w:t xml:space="preserve">Είδη που δεν είναι πάντα ευαίσθητα (το ποσοστό τους ποικίλλει.Η ευαισθησία δεν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μπορεί να προσδιοριστεί χωρίς αντιβιόγραμμα).</w:t>
      </w:r>
    </w:p>
    <w:p w:rsidR="008C7E61" w:rsidRDefault="008C7E61">
      <w:pPr>
        <w:rPr>
          <w:rFonts w:ascii="Arial" w:hAnsi="Arial"/>
          <w:sz w:val="22"/>
          <w:lang w:val="en-US"/>
        </w:rPr>
      </w:pPr>
      <w:proofErr w:type="spellStart"/>
      <w:r>
        <w:rPr>
          <w:rFonts w:ascii="Arial" w:hAnsi="Arial"/>
          <w:sz w:val="22"/>
          <w:lang w:val="en-US"/>
        </w:rPr>
        <w:t>Bifinobacterium,Eubacterium</w:t>
      </w:r>
      <w:proofErr w:type="spellEnd"/>
    </w:p>
    <w:p w:rsidR="008C7E61" w:rsidRPr="00DB58B0" w:rsidRDefault="008C7E61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US"/>
        </w:rPr>
        <w:t>-</w:t>
      </w:r>
      <w:r>
        <w:rPr>
          <w:rFonts w:ascii="Arial" w:hAnsi="Arial"/>
          <w:sz w:val="22"/>
        </w:rPr>
        <w:t>Αντιπαρασιτική</w:t>
      </w:r>
      <w:r w:rsidRPr="00DB58B0">
        <w:rPr>
          <w:rFonts w:ascii="Arial" w:hAnsi="Arial"/>
          <w:sz w:val="22"/>
          <w:lang w:val="en-GB"/>
        </w:rPr>
        <w:t xml:space="preserve"> </w:t>
      </w:r>
      <w:r>
        <w:rPr>
          <w:rFonts w:ascii="Arial" w:hAnsi="Arial"/>
          <w:sz w:val="22"/>
        </w:rPr>
        <w:t>δράση</w:t>
      </w:r>
    </w:p>
    <w:p w:rsidR="008C7E61" w:rsidRDefault="008C7E61">
      <w:pPr>
        <w:rPr>
          <w:rFonts w:ascii="Arial" w:hAnsi="Arial"/>
          <w:sz w:val="22"/>
          <w:lang w:val="en-US"/>
        </w:rPr>
      </w:pPr>
      <w:proofErr w:type="spellStart"/>
      <w:r>
        <w:rPr>
          <w:rFonts w:ascii="Arial" w:hAnsi="Arial"/>
          <w:sz w:val="22"/>
          <w:lang w:val="en-US"/>
        </w:rPr>
        <w:t>Entamoeba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histolytica,Trichomonas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vaginalis,Giardia</w:t>
      </w:r>
      <w:proofErr w:type="spellEnd"/>
      <w:r>
        <w:rPr>
          <w:rFonts w:ascii="Arial" w:hAnsi="Arial"/>
          <w:sz w:val="22"/>
          <w:lang w:val="en-US"/>
        </w:rPr>
        <w:t xml:space="preserve"> </w:t>
      </w:r>
      <w:proofErr w:type="spellStart"/>
      <w:r>
        <w:rPr>
          <w:rFonts w:ascii="Arial" w:hAnsi="Arial"/>
          <w:sz w:val="22"/>
          <w:lang w:val="en-US"/>
        </w:rPr>
        <w:t>intestinalis</w:t>
      </w:r>
      <w:proofErr w:type="spellEnd"/>
    </w:p>
    <w:p w:rsidR="008C7E61" w:rsidRPr="00DB58B0" w:rsidRDefault="008C7E61">
      <w:pPr>
        <w:rPr>
          <w:rFonts w:ascii="Arial" w:hAnsi="Arial"/>
          <w:sz w:val="22"/>
          <w:lang w:val="en-GB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H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μετρονιδαζόλη χρησιμοποιείται από πολλά χρόνια για τη θεραπεία των τριχομοναδικών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λοιμώξεων του ουρο</w:t>
      </w:r>
      <w:r w:rsidR="006E01B7">
        <w:rPr>
          <w:rFonts w:ascii="Arial" w:hAnsi="Arial"/>
          <w:sz w:val="22"/>
        </w:rPr>
        <w:t>ποιο</w:t>
      </w:r>
      <w:r w:rsidRPr="00DB58B0">
        <w:rPr>
          <w:rFonts w:ascii="Arial" w:hAnsi="Arial"/>
          <w:sz w:val="22"/>
        </w:rPr>
        <w:t xml:space="preserve">γεννητικού συστήματος,την αμοιβάδωση και τη λαμβλίαση.Είναι πλέον γνωστό ότι η </w:t>
      </w:r>
      <w:r>
        <w:rPr>
          <w:rFonts w:ascii="Arial" w:hAnsi="Arial"/>
          <w:sz w:val="22"/>
        </w:rPr>
        <w:t xml:space="preserve">μετρονιδαζόλη δρά αποτελεσματικώς και επί των υποχρεωτικώς αναεροβίων </w:t>
      </w:r>
      <w:r w:rsidRPr="00DB58B0">
        <w:rPr>
          <w:rFonts w:ascii="Arial" w:hAnsi="Arial"/>
          <w:sz w:val="22"/>
        </w:rPr>
        <w:t>μικροβίων</w:t>
      </w:r>
      <w:r w:rsidR="000F03BA">
        <w:rPr>
          <w:rFonts w:ascii="Arial" w:hAnsi="Arial"/>
          <w:sz w:val="22"/>
        </w:rPr>
        <w:t>,</w:t>
      </w:r>
      <w:r w:rsidRPr="00DB58B0">
        <w:rPr>
          <w:rFonts w:ascii="Arial" w:hAnsi="Arial"/>
          <w:sz w:val="22"/>
        </w:rPr>
        <w:t xml:space="preserve"> των οποίων η ελαχίστη ανασταλτική πυκνότης και η ελαχίστη βακτηριοκτόνος συμπίπτουν με αποτέλεσμα την ταχύτατη θεραπευτική ανταπόκριση.</w:t>
      </w:r>
    </w:p>
    <w:p w:rsidR="008C7E61" w:rsidRPr="00DB58B0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H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μετρονιδαζόλη δεν έχει άμεση δράση έναντι των αεροβίων μικροοργανισμών.Τα αερόβια</w:t>
      </w:r>
    </w:p>
    <w:p w:rsidR="00DA698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 xml:space="preserve">μικρόβια παραμένουν ανεπηρέαστα από τις συγκεντρώσεις της μετρονιδαζόλης στους </w:t>
      </w:r>
    </w:p>
    <w:p w:rsidR="008C7E61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 xml:space="preserve">ιστούς.Εμπειρία από ασθενείς οι οποίοι θεραπεύτηκαν με </w:t>
      </w:r>
      <w:r>
        <w:rPr>
          <w:rFonts w:ascii="Arial" w:hAnsi="Arial"/>
          <w:sz w:val="22"/>
        </w:rPr>
        <w:t>μετρονιδαζόλη έδειξε ότι είναι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>καλώς ανεκτ</w:t>
      </w:r>
      <w:r w:rsidR="00861D25">
        <w:rPr>
          <w:rFonts w:ascii="Arial" w:hAnsi="Arial"/>
          <w:sz w:val="22"/>
        </w:rPr>
        <w:t>ή</w:t>
      </w:r>
      <w:r w:rsidRPr="00DB58B0">
        <w:rPr>
          <w:rFonts w:ascii="Arial" w:hAnsi="Arial"/>
          <w:sz w:val="22"/>
        </w:rPr>
        <w:t xml:space="preserve"> και ότι τα επίπεδα του φαρμάκου στο αίμα και τους ιστούς είναι κατά πολύ</w:t>
      </w:r>
    </w:p>
    <w:p w:rsidR="008C7E61" w:rsidRPr="00DB58B0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 xml:space="preserve">υψηλότερα από εκείνα τα οποία θεωρητικώς απαιτούνται για μία επιτυχή αντιμικροβιακή </w:t>
      </w:r>
    </w:p>
    <w:p w:rsidR="008C7E61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 xml:space="preserve">θεραπεία.Επιπλέον η </w:t>
      </w:r>
      <w:r>
        <w:rPr>
          <w:rFonts w:ascii="Arial" w:hAnsi="Arial"/>
          <w:sz w:val="22"/>
        </w:rPr>
        <w:t>μετρονιδαζόλη είναι ικανή να περάσει τον αιματοεγκεφαλικό φραγμό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και οι θεραπευτικές συγκεντρώσεις στα περισσότερα υγρά του σώματος (π.χ.σίελο,χολή,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ούρα,αμνιακό υγρό,γάλα και πύον αποστηματικών κοιλοτήτων) είναι ιδιαίτερα υψηλές.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5.2 Φαρμακοκινητικές ιδιότητες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Ενέσιμο διάλυμα: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Κατανομή:</w:t>
      </w:r>
      <w:r>
        <w:rPr>
          <w:rFonts w:ascii="Arial" w:hAnsi="Arial"/>
          <w:sz w:val="22"/>
        </w:rPr>
        <w:t>500</w:t>
      </w:r>
      <w:r>
        <w:rPr>
          <w:rFonts w:ascii="Arial" w:hAnsi="Arial"/>
          <w:sz w:val="22"/>
          <w:lang w:val="en-US"/>
        </w:rPr>
        <w:t>mg</w:t>
      </w:r>
      <w:r>
        <w:rPr>
          <w:rFonts w:ascii="Arial" w:hAnsi="Arial"/>
          <w:sz w:val="22"/>
        </w:rPr>
        <w:t xml:space="preserve"> μετρονιδαζόλης χορηγούμενη ενδοφλεβίως με εφάπαξ έγχυση δίνει σε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20 λεπτά μέση συγκέντρωση 18μ</w:t>
      </w:r>
      <w:r>
        <w:rPr>
          <w:rFonts w:ascii="Arial" w:hAnsi="Arial"/>
          <w:sz w:val="22"/>
          <w:lang w:val="en-US"/>
        </w:rPr>
        <w:t>g</w:t>
      </w:r>
      <w:r w:rsidRPr="00DB58B0">
        <w:rPr>
          <w:rFonts w:ascii="Arial" w:hAnsi="Arial"/>
          <w:sz w:val="22"/>
        </w:rPr>
        <w:t>/</w:t>
      </w:r>
      <w:r>
        <w:rPr>
          <w:rFonts w:ascii="Arial" w:hAnsi="Arial"/>
          <w:sz w:val="22"/>
          <w:lang w:val="en-US"/>
        </w:rPr>
        <w:t>ml</w:t>
      </w:r>
      <w:r w:rsidRPr="00DB58B0">
        <w:rPr>
          <w:rFonts w:ascii="Arial" w:hAnsi="Arial"/>
          <w:sz w:val="22"/>
        </w:rPr>
        <w:t>.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>γχυση κάθε 8 ώρες δίνει μέση συγκέντρωση 18μ</w:t>
      </w:r>
      <w:r>
        <w:rPr>
          <w:rFonts w:ascii="Arial" w:hAnsi="Arial"/>
          <w:sz w:val="22"/>
          <w:lang w:val="en-US"/>
        </w:rPr>
        <w:t>g</w:t>
      </w:r>
      <w:r w:rsidRPr="00DB58B0">
        <w:rPr>
          <w:rFonts w:ascii="Arial" w:hAnsi="Arial"/>
          <w:sz w:val="22"/>
        </w:rPr>
        <w:t>/</w:t>
      </w:r>
      <w:r>
        <w:rPr>
          <w:rFonts w:ascii="Arial" w:hAnsi="Arial"/>
          <w:sz w:val="22"/>
          <w:lang w:val="en-US"/>
        </w:rPr>
        <w:t>ml</w:t>
      </w:r>
      <w:r w:rsidRPr="00DB58B0">
        <w:rPr>
          <w:rFonts w:ascii="Arial" w:hAnsi="Arial"/>
          <w:sz w:val="22"/>
        </w:rPr>
        <w:t xml:space="preserve">. 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lang w:val="en-US"/>
        </w:rPr>
        <w:t>E</w:t>
      </w:r>
      <w:r>
        <w:rPr>
          <w:rFonts w:ascii="Arial" w:hAnsi="Arial"/>
          <w:sz w:val="22"/>
        </w:rPr>
        <w:t>γχυση κάθε 12 ώρες δίνει μέση συγκέντρωση 13μ</w:t>
      </w:r>
      <w:r>
        <w:rPr>
          <w:rFonts w:ascii="Arial" w:hAnsi="Arial"/>
          <w:sz w:val="22"/>
          <w:lang w:val="en-US"/>
        </w:rPr>
        <w:t>g</w:t>
      </w:r>
      <w:r w:rsidRPr="00DB58B0">
        <w:rPr>
          <w:rFonts w:ascii="Arial" w:hAnsi="Arial"/>
          <w:sz w:val="22"/>
        </w:rPr>
        <w:t>/</w:t>
      </w:r>
      <w:r>
        <w:rPr>
          <w:rFonts w:ascii="Arial" w:hAnsi="Arial"/>
          <w:sz w:val="22"/>
          <w:lang w:val="en-US"/>
        </w:rPr>
        <w:t>ml</w:t>
      </w:r>
      <w:r w:rsidRPr="00DB58B0">
        <w:rPr>
          <w:rFonts w:ascii="Arial" w:hAnsi="Arial"/>
          <w:sz w:val="22"/>
        </w:rPr>
        <w:t xml:space="preserve">. </w:t>
      </w:r>
    </w:p>
    <w:p w:rsidR="008C7E61" w:rsidRDefault="008C7E61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Χρόνος ημίσειας ζωής: </w:t>
      </w:r>
      <w:r>
        <w:rPr>
          <w:rFonts w:ascii="Arial" w:hAnsi="Arial"/>
          <w:sz w:val="22"/>
        </w:rPr>
        <w:t>8-10 ώρες.</w:t>
      </w:r>
      <w:r>
        <w:rPr>
          <w:rFonts w:ascii="Arial" w:hAnsi="Arial"/>
          <w:sz w:val="22"/>
          <w:u w:val="single"/>
        </w:rPr>
        <w:t xml:space="preserve">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Σύνδεση με πρωτείνες: </w:t>
      </w:r>
      <w:r>
        <w:rPr>
          <w:rFonts w:ascii="Arial" w:hAnsi="Arial"/>
          <w:sz w:val="22"/>
        </w:rPr>
        <w:t xml:space="preserve">ασθενής,λιγότερο του 10% 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Η διάχυση είναι ταχεία και σημαντική στους πνεύμονες,τα νεφρά,το ήπαρ,το δέρμα,τη χολή,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το σίελο,τα σωματικά υγρά</w:t>
      </w:r>
      <w:r w:rsidR="00DC47B1">
        <w:rPr>
          <w:rFonts w:ascii="Arial" w:hAnsi="Arial"/>
          <w:sz w:val="22"/>
        </w:rPr>
        <w:t xml:space="preserve"> και </w:t>
      </w:r>
      <w:r>
        <w:rPr>
          <w:rFonts w:ascii="Arial" w:hAnsi="Arial"/>
          <w:sz w:val="22"/>
        </w:rPr>
        <w:t>κολπικά υγρά.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Περνά το φραγμό του πλακούντα και ανιχνεύεται στο μητρικό γάλα.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Μεταβολισμός:</w:t>
      </w:r>
      <w:r>
        <w:rPr>
          <w:rFonts w:ascii="Arial" w:hAnsi="Arial"/>
          <w:sz w:val="22"/>
        </w:rPr>
        <w:t xml:space="preserve"> δίνει δύο μεταβολίτες που έχουν αντιβακτηριακή δράση 10 έως 30%.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Αποβολή:</w:t>
      </w:r>
      <w:r>
        <w:rPr>
          <w:rFonts w:ascii="Arial" w:hAnsi="Arial"/>
          <w:sz w:val="22"/>
        </w:rPr>
        <w:t xml:space="preserve"> Συγκεντρώνεται στο ήπαρ και στη χολή.</w:t>
      </w:r>
    </w:p>
    <w:p w:rsidR="008C7E61" w:rsidRDefault="008C7E61">
      <w:pPr>
        <w:rPr>
          <w:rFonts w:ascii="Arial" w:hAnsi="Arial"/>
          <w:sz w:val="22"/>
        </w:rPr>
      </w:pPr>
    </w:p>
    <w:p w:rsidR="008C7E61" w:rsidRPr="0016751D" w:rsidRDefault="008C7E61" w:rsidP="0016751D">
      <w:pPr>
        <w:pStyle w:val="3"/>
        <w:rPr>
          <w:b w:val="0"/>
        </w:rPr>
      </w:pPr>
      <w:r w:rsidRPr="0016751D">
        <w:rPr>
          <w:b w:val="0"/>
        </w:rPr>
        <w:t>Αποβάλλεται κυρίως με τα ούρα (60-80%),περίπου σε ποσοστό 20%,αμετάβλητη και χρωματίζει τα ούρα ερυθρά ή καφέ.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Αποβάλλεται σε μικρό βαθμό από τα κόπρανα (6-15%).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Σε περίπτωση αιμοδιύλισης η μετρονιδαζόλη αποβάλλεται ταχέως και ο χρόνος 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ημίσειας ζωής ελαττώνεται σε 2 </w:t>
      </w:r>
      <w:r>
        <w:rPr>
          <w:rFonts w:ascii="Arial" w:hAnsi="Arial"/>
          <w:sz w:val="22"/>
          <w:vertAlign w:val="superscript"/>
        </w:rPr>
        <w:t>1/2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h</w:t>
      </w:r>
      <w:r w:rsidRPr="00DB58B0">
        <w:rPr>
          <w:rFonts w:ascii="Arial" w:hAnsi="Arial"/>
          <w:sz w:val="22"/>
        </w:rPr>
        <w:t>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i/>
          <w:sz w:val="22"/>
        </w:rPr>
        <w:t xml:space="preserve">5.3  Προκλινικά </w:t>
      </w:r>
      <w:r w:rsidR="00276C14">
        <w:rPr>
          <w:rFonts w:ascii="Arial" w:hAnsi="Arial"/>
          <w:b/>
          <w:i/>
          <w:sz w:val="22"/>
        </w:rPr>
        <w:t>δ</w:t>
      </w:r>
      <w:r>
        <w:rPr>
          <w:rFonts w:ascii="Arial" w:hAnsi="Arial"/>
          <w:b/>
          <w:i/>
          <w:sz w:val="22"/>
        </w:rPr>
        <w:t>ε</w:t>
      </w:r>
      <w:r w:rsidR="00276C14">
        <w:rPr>
          <w:rFonts w:ascii="Arial" w:hAnsi="Arial"/>
          <w:b/>
          <w:i/>
          <w:sz w:val="22"/>
        </w:rPr>
        <w:t>δομένα</w:t>
      </w:r>
      <w:r>
        <w:rPr>
          <w:rFonts w:ascii="Arial" w:hAnsi="Arial"/>
          <w:b/>
          <w:i/>
          <w:sz w:val="22"/>
        </w:rPr>
        <w:t xml:space="preserve"> για την ασφάλεια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Η μετρονιδαζόλη χορηγούμενη στα πειραματόζωα σε μεγάλες δόσεις εμφανίζει </w:t>
      </w:r>
    </w:p>
    <w:p w:rsidR="008C7E61" w:rsidRDefault="008C7E61">
      <w:pPr>
        <w:pStyle w:val="a5"/>
      </w:pPr>
      <w:r>
        <w:t>τερατογόνο δράση.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Η μεταλλαξιογόνος δραστηριότητα της μετρονιδαζόλης έχει αποδειχθεί σε σειρά συστημάτων βακτηριακών δοκιμασιών </w:t>
      </w:r>
      <w:r>
        <w:rPr>
          <w:rFonts w:ascii="Arial" w:hAnsi="Arial"/>
          <w:sz w:val="22"/>
          <w:lang w:val="en-US"/>
        </w:rPr>
        <w:t>in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vitro</w:t>
      </w:r>
      <w:r w:rsidRPr="00DB58B0">
        <w:rPr>
          <w:rFonts w:ascii="Arial" w:hAnsi="Arial"/>
          <w:sz w:val="22"/>
        </w:rPr>
        <w:t>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Σε δοκιμασίες </w:t>
      </w:r>
      <w:r>
        <w:rPr>
          <w:rFonts w:ascii="Arial" w:hAnsi="Arial"/>
          <w:sz w:val="22"/>
          <w:lang w:val="en-US"/>
        </w:rPr>
        <w:t>in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>vivo</w:t>
      </w:r>
      <w:r w:rsidRPr="00DB58B0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δεν προκάλεσε την δημιουργία μικροπυρήνων στα πολυχρωμόφιλα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ερυθροκύτταρα του μυελού των οστών σε ποντικούς που υπεβλήθησαν σε ενδοπεριτοναϊκή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ή από του στόματος θεραπεία με δόσεις έως 1500 και 2000 </w:t>
      </w:r>
      <w:r>
        <w:rPr>
          <w:rFonts w:ascii="Arial" w:hAnsi="Arial"/>
          <w:sz w:val="22"/>
          <w:lang w:val="en-US"/>
        </w:rPr>
        <w:t>mg</w:t>
      </w:r>
      <w:r w:rsidRPr="00DB58B0">
        <w:rPr>
          <w:rFonts w:ascii="Arial" w:hAnsi="Arial"/>
          <w:sz w:val="22"/>
        </w:rPr>
        <w:t>.</w:t>
      </w:r>
      <w:r>
        <w:rPr>
          <w:rFonts w:ascii="Arial" w:hAnsi="Arial"/>
          <w:sz w:val="22"/>
          <w:lang w:val="en-US"/>
        </w:rPr>
        <w:t>kg</w:t>
      </w:r>
      <w:r w:rsidRPr="00DB58B0">
        <w:rPr>
          <w:rFonts w:ascii="Arial" w:hAnsi="Arial"/>
          <w:sz w:val="22"/>
        </w:rPr>
        <w:t xml:space="preserve"> </w:t>
      </w:r>
      <w:r w:rsidRPr="00DB58B0">
        <w:rPr>
          <w:rFonts w:ascii="Arial" w:hAnsi="Arial"/>
          <w:sz w:val="22"/>
          <w:vertAlign w:val="superscript"/>
        </w:rPr>
        <w:t>–1</w:t>
      </w:r>
      <w:r w:rsidRPr="00DB58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αντίστοιχα,θεραπεία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κατά την οποία υπήρχαν εμφανή σημεία κλινικής τοξικότητας.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Σε μελέτη καλλιέργειας των λεμφοκυττάρων του περιφερικού αίματος του ανθρώπου για την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πρόκληση αλλοιώσεων στα χρωμοσώματα,η μετρονιδαζόλη δεν φάνηκε να προκαλεί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αλλοιώσεις σε καλλιέργειες λεμφοκυττάρων του περιφερικού αίματος του ανθρώπου,με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μέγιστη τιμή δοκιμασίας τα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Arial" w:hAnsi="Arial"/>
            <w:sz w:val="22"/>
          </w:rPr>
          <w:t xml:space="preserve">10 </w:t>
        </w:r>
        <w:proofErr w:type="spellStart"/>
        <w:r>
          <w:rPr>
            <w:rFonts w:ascii="Arial" w:hAnsi="Arial"/>
            <w:sz w:val="22"/>
            <w:lang w:val="en-US"/>
          </w:rPr>
          <w:t>mM</w:t>
        </w:r>
      </w:smartTag>
      <w:proofErr w:type="spellEnd"/>
      <w:r w:rsidRPr="00DB58B0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απουσία ή παρουσία μεταβολικής ενεργοποίησης.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6.  </w:t>
      </w:r>
      <w:r>
        <w:rPr>
          <w:rFonts w:ascii="Arial" w:hAnsi="Arial"/>
          <w:b/>
          <w:sz w:val="22"/>
          <w:u w:val="single"/>
        </w:rPr>
        <w:t>ΦΑΡΜΑΚΕΥΤΙΚΑ ΣΤΟΙΧΕΙΑ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b/>
          <w:i/>
          <w:sz w:val="22"/>
        </w:rPr>
        <w:t>6.1  Κατάλογος με τα έκδοχα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----------------------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Νάτριο χλωριούχο</w:t>
      </w:r>
      <w:r w:rsidR="00CD173E" w:rsidRPr="00CD173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Νάτριο φωσφορικό μονόξινο</w:t>
      </w:r>
      <w:r w:rsidR="00CD173E" w:rsidRPr="00CD173E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>Κιτρικό οξύ μονοϋδρικό</w:t>
      </w:r>
    </w:p>
    <w:p w:rsidR="008C7E61" w:rsidRPr="00DB58B0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Ύδωρ για ενέσιμα</w:t>
      </w:r>
    </w:p>
    <w:p w:rsidR="008C7E61" w:rsidRDefault="008C7E61">
      <w:pPr>
        <w:rPr>
          <w:rFonts w:ascii="Arial" w:hAnsi="Arial"/>
          <w:sz w:val="22"/>
        </w:rPr>
      </w:pPr>
    </w:p>
    <w:p w:rsidR="00DC22D6" w:rsidRDefault="00DC22D6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  6.2  Ασυμβατότητες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-------------</w:t>
      </w:r>
    </w:p>
    <w:p w:rsidR="008C7E61" w:rsidRDefault="008C7E61">
      <w:pPr>
        <w:rPr>
          <w:rFonts w:ascii="Arial" w:hAnsi="Arial"/>
          <w:sz w:val="22"/>
        </w:rPr>
      </w:pPr>
      <w:r w:rsidRPr="00DB58B0"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</w:rPr>
        <w:t xml:space="preserve">Καμμιά γνωστή </w:t>
      </w:r>
    </w:p>
    <w:p w:rsidR="008C7E61" w:rsidRDefault="008C7E61">
      <w:pPr>
        <w:rPr>
          <w:rFonts w:ascii="Arial" w:hAnsi="Arial"/>
          <w:sz w:val="22"/>
        </w:rPr>
      </w:pPr>
    </w:p>
    <w:p w:rsidR="00DC22D6" w:rsidRPr="00DB58B0" w:rsidRDefault="00DC22D6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  6.3  Διάρκεια ζωής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-------------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Η διάρκεια ζωής του ετοίμου προς πώληση προϊόντος είναι  36 μήνες.</w:t>
      </w:r>
    </w:p>
    <w:p w:rsidR="008C7E61" w:rsidRDefault="008C7E61">
      <w:pPr>
        <w:rPr>
          <w:rFonts w:ascii="Arial" w:hAnsi="Arial"/>
          <w:sz w:val="22"/>
        </w:rPr>
      </w:pPr>
    </w:p>
    <w:p w:rsidR="00DC22D6" w:rsidRDefault="00DC22D6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  6.4  Ιδιαίτερες προφυλάξεις κατά την φύλαξη του προϊόντος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----------------------------------------------------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187D7B">
        <w:rPr>
          <w:rFonts w:ascii="Arial" w:hAnsi="Arial"/>
          <w:sz w:val="22"/>
        </w:rPr>
        <w:t>Να φ</w:t>
      </w:r>
      <w:r>
        <w:rPr>
          <w:rFonts w:ascii="Arial" w:hAnsi="Arial"/>
          <w:sz w:val="22"/>
        </w:rPr>
        <w:t>υλάσσεται σε θερμοκρασία &lt;25</w:t>
      </w:r>
      <w:r>
        <w:rPr>
          <w:rFonts w:ascii="Arial" w:hAnsi="Arial"/>
          <w:sz w:val="22"/>
          <w:vertAlign w:val="superscript"/>
        </w:rPr>
        <w:t>ο</w:t>
      </w:r>
      <w:r>
        <w:rPr>
          <w:rFonts w:ascii="Arial" w:hAnsi="Arial"/>
          <w:sz w:val="22"/>
        </w:rPr>
        <w:t xml:space="preserve"> C.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187D7B">
        <w:rPr>
          <w:rFonts w:ascii="Arial" w:hAnsi="Arial"/>
          <w:sz w:val="22"/>
        </w:rPr>
        <w:t>Να προστατεύεται από το φως.</w:t>
      </w:r>
    </w:p>
    <w:p w:rsidR="008C7E61" w:rsidRDefault="005C59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EF55D1">
        <w:rPr>
          <w:rFonts w:ascii="Arial" w:hAnsi="Arial"/>
          <w:sz w:val="22"/>
        </w:rPr>
        <w:t>Να φυλάσσεται μακριά από τα παιδιά.</w:t>
      </w:r>
    </w:p>
    <w:p w:rsidR="005C59CB" w:rsidRDefault="005C59CB">
      <w:pPr>
        <w:rPr>
          <w:rFonts w:ascii="Arial" w:hAnsi="Arial"/>
          <w:sz w:val="22"/>
        </w:rPr>
      </w:pPr>
    </w:p>
    <w:p w:rsidR="00DC22D6" w:rsidRDefault="00DC22D6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  6.5  Φύση και συστατικά του περιέκτη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-------------------------------</w:t>
      </w:r>
    </w:p>
    <w:p w:rsidR="008C7E61" w:rsidRDefault="008C7E61">
      <w:pPr>
        <w:pStyle w:val="a5"/>
      </w:pPr>
      <w:r>
        <w:t xml:space="preserve">    Πλαστικές φιάλες πολυαιθυλενίου των 100 ml.</w:t>
      </w:r>
    </w:p>
    <w:p w:rsidR="008C7E61" w:rsidRDefault="008C7E61">
      <w:pPr>
        <w:rPr>
          <w:rFonts w:ascii="Arial" w:hAnsi="Arial"/>
          <w:sz w:val="22"/>
        </w:rPr>
      </w:pPr>
    </w:p>
    <w:p w:rsidR="00DC22D6" w:rsidRDefault="00DC22D6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  6.6. Οδηγίες χρήσης / χειρισμός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--------------------------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Περιέκτης μιας χρήσεως.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Να απορρίπτεται το περιεχόμενο που περισσεύει μετά την χρήση.</w:t>
      </w:r>
    </w:p>
    <w:p w:rsidR="008C7E61" w:rsidRDefault="008C7E61">
      <w:pPr>
        <w:pStyle w:val="a5"/>
      </w:pPr>
      <w:r>
        <w:t xml:space="preserve">    Να χρησιμοποιείται μόνο αν το διάλυμα είναι διαυγές και ο περιέκτης άθικτος. </w:t>
      </w:r>
    </w:p>
    <w:p w:rsidR="008C7E61" w:rsidRDefault="008C7E61">
      <w:pPr>
        <w:pStyle w:val="a5"/>
      </w:pPr>
      <w:r>
        <w:t xml:space="preserve">    </w:t>
      </w:r>
    </w:p>
    <w:p w:rsidR="00DC22D6" w:rsidRDefault="00DC22D6">
      <w:pPr>
        <w:pStyle w:val="a5"/>
      </w:pPr>
    </w:p>
    <w:p w:rsidR="00DC22D6" w:rsidRDefault="00DC22D6">
      <w:pPr>
        <w:pStyle w:val="a5"/>
      </w:pPr>
    </w:p>
    <w:p w:rsidR="008C7E61" w:rsidRDefault="008C7E61">
      <w:pPr>
        <w:rPr>
          <w:rFonts w:ascii="Arial" w:hAnsi="Arial"/>
          <w:b/>
          <w:i/>
          <w:sz w:val="22"/>
        </w:rPr>
      </w:pPr>
      <w:r>
        <w:rPr>
          <w:rFonts w:ascii="Arial" w:hAnsi="Arial"/>
          <w:sz w:val="22"/>
        </w:rPr>
        <w:lastRenderedPageBreak/>
        <w:t xml:space="preserve">    </w:t>
      </w:r>
      <w:r>
        <w:rPr>
          <w:rFonts w:ascii="Arial" w:hAnsi="Arial"/>
          <w:b/>
          <w:i/>
          <w:sz w:val="22"/>
        </w:rPr>
        <w:t>7.  ΚΑΤΟΧΟΣ ΤΗΣ ΑΔΕΙΑΣ ΚΥΚΛΟΦΟΡΙΑΣ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------------------------------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ΒΙΟΣΕΡ ΑΕ / ΒΙΟΜΗΧΑΝΙΑ ΠΑΡΑΣΚΕΥΗΣ ΟΡΡΩΝ</w:t>
      </w:r>
    </w:p>
    <w:p w:rsidR="00A83067" w:rsidRDefault="00A8306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ΤΑΞΙΑΡΧΕΣ ΤΡΙΚΑΛΩΝ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9ο ΧΛΜ. ΕΘΝΙΚΗΣ ΟΔΟΥ ΤΡΙΚΑΛΩΝ </w:t>
      </w:r>
      <w:r w:rsidR="00A83067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ΛΑΡΙΣΑΣ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Τ.Κ. 421 00 ΤΡΙΚΑΛΑ - ΕΛΛΑΔΑ 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ΤΗΛ.: </w:t>
      </w:r>
      <w:r w:rsidR="0051530E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>431</w:t>
      </w:r>
      <w:r w:rsidR="0051530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-83441,2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FAX: </w:t>
      </w:r>
      <w:r w:rsidR="0051530E">
        <w:rPr>
          <w:rFonts w:ascii="Arial" w:hAnsi="Arial"/>
          <w:sz w:val="22"/>
        </w:rPr>
        <w:t xml:space="preserve"> 2</w:t>
      </w:r>
      <w:r>
        <w:rPr>
          <w:rFonts w:ascii="Arial" w:hAnsi="Arial"/>
          <w:sz w:val="22"/>
        </w:rPr>
        <w:t>431</w:t>
      </w:r>
      <w:r w:rsidR="0051530E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-83550.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8.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>ΑΡΙΘΜΟΣ ΑΔΕΙΑΣ ΚΥΚΛΟΦΟΡΙΑΣ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Δεν εφαρμόζεται</w:t>
      </w: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9.</w:t>
      </w:r>
      <w:r>
        <w:rPr>
          <w:rFonts w:ascii="Arial" w:hAnsi="Arial"/>
          <w:b/>
          <w:sz w:val="22"/>
          <w:u w:val="single"/>
        </w:rPr>
        <w:t xml:space="preserve"> ΗΜΕΡΟΜΗΝΙΑ ΤΗΣ ΠΡΩΤΗΣ ΑΔΕΙΑΣ / ΑΝΑΝΕΩΣΗ ΤΗΣ ΑΔΕΙΑΣ </w:t>
      </w: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   </w:t>
      </w:r>
      <w:r>
        <w:rPr>
          <w:rFonts w:ascii="Arial" w:hAnsi="Arial"/>
          <w:b/>
          <w:sz w:val="22"/>
          <w:u w:val="single"/>
        </w:rPr>
        <w:t>ΚΥΚΛΟΦΟΡΙΑΣ</w:t>
      </w:r>
    </w:p>
    <w:p w:rsidR="008C7E61" w:rsidRDefault="008C7E6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</w:p>
    <w:p w:rsidR="008C7E61" w:rsidRDefault="008C7E61">
      <w:pPr>
        <w:rPr>
          <w:rFonts w:ascii="Arial" w:hAnsi="Arial"/>
          <w:b/>
          <w:sz w:val="22"/>
          <w:u w:val="single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Δεν εφαρμόζεται</w:t>
      </w:r>
      <w:r>
        <w:rPr>
          <w:rFonts w:ascii="Arial" w:hAnsi="Arial"/>
          <w:sz w:val="22"/>
        </w:rPr>
        <w:tab/>
        <w:t xml:space="preserve">   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   10.</w:t>
      </w: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b/>
          <w:sz w:val="22"/>
          <w:u w:val="single"/>
        </w:rPr>
        <w:t>ΗΜΕΡΟΜΗΝΙΑ (μερικής) ΑΝΑΘΕΩΡΗΣΗΣ ΤΟΥ ΚΕΙΜΕΝΟΥ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Δεν εφαρμόζεται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</w:t>
      </w: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>
      <w:pPr>
        <w:rPr>
          <w:rFonts w:ascii="Arial" w:hAnsi="Arial"/>
          <w:sz w:val="22"/>
        </w:rPr>
      </w:pPr>
    </w:p>
    <w:p w:rsidR="008C7E61" w:rsidRDefault="008C7E61"/>
    <w:sectPr w:rsidR="008C7E61">
      <w:headerReference w:type="default" r:id="rId7"/>
      <w:footnotePr>
        <w:pos w:val="beneathText"/>
      </w:footnotePr>
      <w:pgSz w:w="12240" w:h="15840"/>
      <w:pgMar w:top="1008" w:right="1467" w:bottom="864" w:left="1800" w:header="70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DB" w:rsidRDefault="00FC64DB">
      <w:r>
        <w:separator/>
      </w:r>
    </w:p>
  </w:endnote>
  <w:endnote w:type="continuationSeparator" w:id="0">
    <w:p w:rsidR="00FC64DB" w:rsidRDefault="00FC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DB" w:rsidRDefault="00FC64DB">
      <w:r>
        <w:separator/>
      </w:r>
    </w:p>
  </w:footnote>
  <w:footnote w:type="continuationSeparator" w:id="0">
    <w:p w:rsidR="00FC64DB" w:rsidRDefault="00FC6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E61" w:rsidRDefault="008C7E61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.85pt;margin-top:.05pt;width:18.85pt;height:13.95pt;z-index:251657728;mso-wrap-distance-left:0;mso-wrap-distance-right:0" o:allowincell="f" stroked="f">
          <v:fill color2="black"/>
          <v:textbox inset="0,0,0,0">
            <w:txbxContent>
              <w:p w:rsidR="008C7E61" w:rsidRPr="00BF6709" w:rsidRDefault="008C7E61" w:rsidP="00BF6709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b/>
        <w:i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420"/>
      </w:pPr>
      <w:rPr>
        <w:b/>
        <w:i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b/>
        <w:i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56DB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2C60E1"/>
    <w:multiLevelType w:val="multilevel"/>
    <w:tmpl w:val="CE6A53D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27C90B6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5622C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F46AA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AB6B9C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B7310C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E626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9E20D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B58B0"/>
    <w:rsid w:val="00074838"/>
    <w:rsid w:val="0008204E"/>
    <w:rsid w:val="000A13D5"/>
    <w:rsid w:val="000D01F8"/>
    <w:rsid w:val="000D33EB"/>
    <w:rsid w:val="000F03BA"/>
    <w:rsid w:val="000F2301"/>
    <w:rsid w:val="00101485"/>
    <w:rsid w:val="00115201"/>
    <w:rsid w:val="00121DF7"/>
    <w:rsid w:val="001247D3"/>
    <w:rsid w:val="00130A61"/>
    <w:rsid w:val="0016751D"/>
    <w:rsid w:val="00177400"/>
    <w:rsid w:val="00187D7B"/>
    <w:rsid w:val="00194FC4"/>
    <w:rsid w:val="001A6C5A"/>
    <w:rsid w:val="001F55CB"/>
    <w:rsid w:val="002009F6"/>
    <w:rsid w:val="002117DD"/>
    <w:rsid w:val="00234C86"/>
    <w:rsid w:val="00246DE4"/>
    <w:rsid w:val="0025795F"/>
    <w:rsid w:val="00260E05"/>
    <w:rsid w:val="002663A3"/>
    <w:rsid w:val="00274E1E"/>
    <w:rsid w:val="00276C14"/>
    <w:rsid w:val="00281D1F"/>
    <w:rsid w:val="00294A49"/>
    <w:rsid w:val="002A1D0A"/>
    <w:rsid w:val="002A230B"/>
    <w:rsid w:val="002F0046"/>
    <w:rsid w:val="00331628"/>
    <w:rsid w:val="00372359"/>
    <w:rsid w:val="00380DCF"/>
    <w:rsid w:val="003810AC"/>
    <w:rsid w:val="003B59F1"/>
    <w:rsid w:val="003D3D2B"/>
    <w:rsid w:val="00413624"/>
    <w:rsid w:val="00422CA1"/>
    <w:rsid w:val="00426930"/>
    <w:rsid w:val="00431106"/>
    <w:rsid w:val="00451C6A"/>
    <w:rsid w:val="00452A17"/>
    <w:rsid w:val="004562F6"/>
    <w:rsid w:val="00483B2D"/>
    <w:rsid w:val="004A2808"/>
    <w:rsid w:val="004E4CD1"/>
    <w:rsid w:val="004F184A"/>
    <w:rsid w:val="004F6D6C"/>
    <w:rsid w:val="0050126D"/>
    <w:rsid w:val="0051530E"/>
    <w:rsid w:val="00540F2F"/>
    <w:rsid w:val="00546F78"/>
    <w:rsid w:val="00590794"/>
    <w:rsid w:val="005B26C5"/>
    <w:rsid w:val="005B3D31"/>
    <w:rsid w:val="005C216F"/>
    <w:rsid w:val="005C59CB"/>
    <w:rsid w:val="005C7AC7"/>
    <w:rsid w:val="005E5FD7"/>
    <w:rsid w:val="00627549"/>
    <w:rsid w:val="0067619B"/>
    <w:rsid w:val="006935D0"/>
    <w:rsid w:val="00694D2F"/>
    <w:rsid w:val="00695557"/>
    <w:rsid w:val="006C450A"/>
    <w:rsid w:val="006E01B7"/>
    <w:rsid w:val="00701A51"/>
    <w:rsid w:val="0072047F"/>
    <w:rsid w:val="00720A03"/>
    <w:rsid w:val="00740355"/>
    <w:rsid w:val="00783B7F"/>
    <w:rsid w:val="00790DA6"/>
    <w:rsid w:val="007A0B7B"/>
    <w:rsid w:val="007C3813"/>
    <w:rsid w:val="007C6121"/>
    <w:rsid w:val="007C71FD"/>
    <w:rsid w:val="007F1221"/>
    <w:rsid w:val="007F3639"/>
    <w:rsid w:val="007F51E8"/>
    <w:rsid w:val="008111A5"/>
    <w:rsid w:val="00811BAC"/>
    <w:rsid w:val="0081471B"/>
    <w:rsid w:val="00830DFE"/>
    <w:rsid w:val="00830F7F"/>
    <w:rsid w:val="0084349E"/>
    <w:rsid w:val="00844464"/>
    <w:rsid w:val="008471FD"/>
    <w:rsid w:val="00861D25"/>
    <w:rsid w:val="008A5500"/>
    <w:rsid w:val="008C7E61"/>
    <w:rsid w:val="008F5077"/>
    <w:rsid w:val="009053DA"/>
    <w:rsid w:val="0092095E"/>
    <w:rsid w:val="009547DA"/>
    <w:rsid w:val="00956447"/>
    <w:rsid w:val="009963FC"/>
    <w:rsid w:val="00996440"/>
    <w:rsid w:val="009B6D5A"/>
    <w:rsid w:val="009B778B"/>
    <w:rsid w:val="009D26D0"/>
    <w:rsid w:val="009E5204"/>
    <w:rsid w:val="009F5A23"/>
    <w:rsid w:val="00A042B7"/>
    <w:rsid w:val="00A14FE5"/>
    <w:rsid w:val="00A27046"/>
    <w:rsid w:val="00A63214"/>
    <w:rsid w:val="00A83067"/>
    <w:rsid w:val="00AA1361"/>
    <w:rsid w:val="00AC7083"/>
    <w:rsid w:val="00AC7A1B"/>
    <w:rsid w:val="00AD243F"/>
    <w:rsid w:val="00AE3D1D"/>
    <w:rsid w:val="00B305AD"/>
    <w:rsid w:val="00B4160F"/>
    <w:rsid w:val="00B51DD1"/>
    <w:rsid w:val="00B661D0"/>
    <w:rsid w:val="00BB7A25"/>
    <w:rsid w:val="00BD63C9"/>
    <w:rsid w:val="00BF6709"/>
    <w:rsid w:val="00C0001E"/>
    <w:rsid w:val="00C10673"/>
    <w:rsid w:val="00C143BF"/>
    <w:rsid w:val="00C164C3"/>
    <w:rsid w:val="00C40414"/>
    <w:rsid w:val="00C41174"/>
    <w:rsid w:val="00C465BA"/>
    <w:rsid w:val="00C501A5"/>
    <w:rsid w:val="00C54529"/>
    <w:rsid w:val="00C553AF"/>
    <w:rsid w:val="00C57025"/>
    <w:rsid w:val="00C85731"/>
    <w:rsid w:val="00C969B9"/>
    <w:rsid w:val="00CA26F1"/>
    <w:rsid w:val="00CD173E"/>
    <w:rsid w:val="00CE48CC"/>
    <w:rsid w:val="00D167A9"/>
    <w:rsid w:val="00D20016"/>
    <w:rsid w:val="00D23044"/>
    <w:rsid w:val="00D516A7"/>
    <w:rsid w:val="00D64578"/>
    <w:rsid w:val="00DA0F8B"/>
    <w:rsid w:val="00DA639E"/>
    <w:rsid w:val="00DA63BE"/>
    <w:rsid w:val="00DA6980"/>
    <w:rsid w:val="00DB58B0"/>
    <w:rsid w:val="00DC22D6"/>
    <w:rsid w:val="00DC47B1"/>
    <w:rsid w:val="00DD4C45"/>
    <w:rsid w:val="00DD568C"/>
    <w:rsid w:val="00DF60C0"/>
    <w:rsid w:val="00E00064"/>
    <w:rsid w:val="00E16518"/>
    <w:rsid w:val="00E274CC"/>
    <w:rsid w:val="00E311A5"/>
    <w:rsid w:val="00EB07EA"/>
    <w:rsid w:val="00EC09EF"/>
    <w:rsid w:val="00EC20E9"/>
    <w:rsid w:val="00EC5256"/>
    <w:rsid w:val="00EC7C22"/>
    <w:rsid w:val="00ED7025"/>
    <w:rsid w:val="00EE1FB2"/>
    <w:rsid w:val="00EF55D1"/>
    <w:rsid w:val="00EF6C0C"/>
    <w:rsid w:val="00F05937"/>
    <w:rsid w:val="00F2038C"/>
    <w:rsid w:val="00F3245E"/>
    <w:rsid w:val="00F33AC6"/>
    <w:rsid w:val="00F62BE3"/>
    <w:rsid w:val="00F669D4"/>
    <w:rsid w:val="00F82CB9"/>
    <w:rsid w:val="00F9173C"/>
    <w:rsid w:val="00F91807"/>
    <w:rsid w:val="00F938AB"/>
    <w:rsid w:val="00F94455"/>
    <w:rsid w:val="00FB0E78"/>
    <w:rsid w:val="00FC0B16"/>
    <w:rsid w:val="00FC64DB"/>
    <w:rsid w:val="00FD7595"/>
    <w:rsid w:val="00FF2218"/>
    <w:rsid w:val="00FF2954"/>
    <w:rsid w:val="00FF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rFonts w:ascii="Arial" w:hAnsi="Arial"/>
      <w:i/>
      <w:sz w:val="2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rFonts w:ascii="Arial" w:hAnsi="Arial"/>
      <w:sz w:val="22"/>
      <w:u w:val="singl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/>
      <w:b/>
      <w:sz w:val="22"/>
      <w:u w:val="single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b/>
      <w:i/>
    </w:rPr>
  </w:style>
  <w:style w:type="character" w:customStyle="1" w:styleId="WW8Num2z0">
    <w:name w:val="WW8Num2z0"/>
    <w:rPr>
      <w:rFonts w:ascii="StarSymbol" w:hAnsi="StarSymbol" w:cs="Lucida Sans Unicode"/>
      <w:sz w:val="18"/>
      <w:szCs w:val="18"/>
    </w:rPr>
  </w:style>
  <w:style w:type="character" w:customStyle="1" w:styleId="WW8Num3z0">
    <w:name w:val="WW8Num3z0"/>
    <w:rPr>
      <w:rFonts w:ascii="StarSymbol" w:hAnsi="StarSymbol" w:cs="Lucida Sans Unicode"/>
      <w:sz w:val="18"/>
      <w:szCs w:val="18"/>
    </w:rPr>
  </w:style>
  <w:style w:type="character" w:customStyle="1" w:styleId="WW8Num4z0">
    <w:name w:val="WW8Num4z0"/>
    <w:rPr>
      <w:rFonts w:ascii="StarSymbol" w:hAnsi="StarSymbol" w:cs="Lucida Sans Unicode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b/>
      <w:i/>
    </w:rPr>
  </w:style>
  <w:style w:type="character" w:customStyle="1" w:styleId="WW-WW8Num2z0">
    <w:name w:val="WW-WW8Num2z0"/>
    <w:rPr>
      <w:rFonts w:ascii="StarSymbol" w:hAnsi="StarSymbol" w:cs="Lucida Sans Unicode"/>
      <w:sz w:val="18"/>
      <w:szCs w:val="18"/>
    </w:rPr>
  </w:style>
  <w:style w:type="character" w:customStyle="1" w:styleId="WW-WW8Num3z0">
    <w:name w:val="WW-WW8Num3z0"/>
    <w:rPr>
      <w:rFonts w:ascii="StarSymbol" w:hAnsi="StarSymbol" w:cs="Lucida Sans Unicode"/>
      <w:sz w:val="18"/>
      <w:szCs w:val="18"/>
    </w:rPr>
  </w:style>
  <w:style w:type="character" w:customStyle="1" w:styleId="WW-WW8Num4z0">
    <w:name w:val="WW-WW8Num4z0"/>
    <w:rPr>
      <w:rFonts w:ascii="StarSymbol" w:hAnsi="StarSymbol" w:cs="Lucida Sans Unicode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2z01">
    <w:name w:val="WW-WW8Num2z01"/>
    <w:rPr>
      <w:b/>
      <w:i/>
    </w:rPr>
  </w:style>
  <w:style w:type="character" w:customStyle="1" w:styleId="WW-WW8Num3z01">
    <w:name w:val="WW-WW8Num3z01"/>
    <w:rPr>
      <w:rFonts w:ascii="Times New Roman" w:hAnsi="Times New Roman"/>
      <w:b w:val="0"/>
      <w:i w:val="0"/>
      <w:sz w:val="22"/>
      <w:u w:val="none"/>
    </w:rPr>
  </w:style>
  <w:style w:type="character" w:customStyle="1" w:styleId="WW8Num5z0">
    <w:name w:val="WW8Num5z0"/>
    <w:rPr>
      <w:rFonts w:ascii="Times New Roman" w:hAnsi="Times New Roman"/>
      <w:b/>
      <w:i w:val="0"/>
      <w:sz w:val="22"/>
      <w:u w:val="none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-">
    <w:name w:val="WW-Προεπιλεγμένη γραμματοσειρά"/>
  </w:style>
  <w:style w:type="character" w:styleId="a3">
    <w:name w:val="page number"/>
    <w:basedOn w:val="WW-"/>
  </w:style>
  <w:style w:type="character" w:customStyle="1" w:styleId="a4">
    <w:name w:val="Σύμβολα αρίθμησης"/>
    <w:rPr>
      <w:rFonts w:ascii="StarSymbol" w:eastAsia="StarSymbol" w:hAnsi="StarSymbol" w:cs="Lucida Sans Unicode"/>
      <w:sz w:val="18"/>
      <w:szCs w:val="18"/>
    </w:rPr>
  </w:style>
  <w:style w:type="character" w:customStyle="1" w:styleId="WW-0">
    <w:name w:val="WW-Σύμβολα αρίθμησης"/>
    <w:rPr>
      <w:rFonts w:ascii="StarSymbol" w:eastAsia="StarSymbol" w:hAnsi="StarSymbol" w:cs="Lucida Sans Unicode"/>
      <w:sz w:val="18"/>
      <w:szCs w:val="18"/>
    </w:rPr>
  </w:style>
  <w:style w:type="character" w:customStyle="1" w:styleId="WW-1">
    <w:name w:val="WW-Σύμβολα αρίθμησης1"/>
    <w:rPr>
      <w:rFonts w:ascii="StarSymbol" w:eastAsia="StarSymbol" w:hAnsi="StarSymbol" w:cs="Lucida Sans Unicode"/>
      <w:sz w:val="18"/>
      <w:szCs w:val="18"/>
    </w:rPr>
  </w:style>
  <w:style w:type="paragraph" w:styleId="a5">
    <w:name w:val="Body Text"/>
    <w:basedOn w:val="a"/>
    <w:rPr>
      <w:rFonts w:ascii="Arial" w:hAnsi="Arial"/>
      <w:sz w:val="22"/>
    </w:rPr>
  </w:style>
  <w:style w:type="paragraph" w:styleId="a6">
    <w:name w:val="List"/>
    <w:basedOn w:val="a5"/>
    <w:rPr>
      <w:rFonts w:cs="Lucida Sans Unicode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 Unicode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Lucida Sans Unicode"/>
    </w:rPr>
  </w:style>
  <w:style w:type="paragraph" w:customStyle="1" w:styleId="a9">
    <w:name w:val="Επικεφαλίδα"/>
    <w:basedOn w:val="a"/>
    <w:next w:val="a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2">
    <w:name w:val="WW-Λεζάντα"/>
    <w:basedOn w:val="a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3">
    <w:name w:val="WW-Ευρετήριο"/>
    <w:basedOn w:val="a"/>
    <w:pPr>
      <w:suppressLineNumbers/>
    </w:pPr>
    <w:rPr>
      <w:rFonts w:cs="Lucida Sans Unicode"/>
    </w:rPr>
  </w:style>
  <w:style w:type="paragraph" w:customStyle="1" w:styleId="WW-4">
    <w:name w:val="WW-Επικεφαλίδα"/>
    <w:basedOn w:val="a"/>
    <w:next w:val="a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10">
    <w:name w:val="WW-Λεζάντα1"/>
    <w:basedOn w:val="a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11">
    <w:name w:val="WW-Ευρετήριο1"/>
    <w:basedOn w:val="a"/>
    <w:pPr>
      <w:suppressLineNumbers/>
    </w:pPr>
    <w:rPr>
      <w:rFonts w:cs="Lucida Sans Unicode"/>
    </w:rPr>
  </w:style>
  <w:style w:type="paragraph" w:customStyle="1" w:styleId="WW-12">
    <w:name w:val="WW-Επικεφαλίδα1"/>
    <w:basedOn w:val="a"/>
    <w:next w:val="a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aa">
    <w:name w:val="header"/>
    <w:basedOn w:val="a"/>
    <w:pPr>
      <w:tabs>
        <w:tab w:val="center" w:pos="4153"/>
        <w:tab w:val="right" w:pos="8306"/>
      </w:tabs>
    </w:pPr>
    <w:rPr>
      <w:lang w:val="en-US"/>
    </w:rPr>
  </w:style>
  <w:style w:type="paragraph" w:customStyle="1" w:styleId="ab">
    <w:name w:val="Περιεχόμενα πλαισίου"/>
    <w:basedOn w:val="a5"/>
  </w:style>
  <w:style w:type="paragraph" w:customStyle="1" w:styleId="WW-5">
    <w:name w:val="WW-Περιεχόμενα πλαισίου"/>
    <w:basedOn w:val="a5"/>
  </w:style>
  <w:style w:type="paragraph" w:customStyle="1" w:styleId="WW-13">
    <w:name w:val="WW-Περιεχόμενα πλαισίου1"/>
    <w:basedOn w:val="a5"/>
  </w:style>
  <w:style w:type="paragraph" w:styleId="ac">
    <w:name w:val="footer"/>
    <w:basedOn w:val="a"/>
    <w:rsid w:val="00BF6709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2324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ΠΕΡΙΛΗΨΗ ΤΩΝ ΧΑΡΑΚΤΗΡΙΣΤΙΚΩΝ ΤΟΥ ΠΡΟΙΟΝΤΟΣ (SPC)</vt:lpstr>
    </vt:vector>
  </TitlesOfParts>
  <Company>Hewlett-Packard Company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ΠΕΡΙΛΗΨΗ ΤΩΝ ΧΑΡΑΚΤΗΡΙΣΤΙΚΩΝ ΤΟΥ ΠΡΟΙΟΝΤΟΣ (SPC)</dc:title>
  <dc:creator>DSIAFH</dc:creator>
  <cp:lastModifiedBy>user146</cp:lastModifiedBy>
  <cp:revision>2</cp:revision>
  <cp:lastPrinted>2014-09-30T09:14:00Z</cp:lastPrinted>
  <dcterms:created xsi:type="dcterms:W3CDTF">2014-12-08T10:35:00Z</dcterms:created>
  <dcterms:modified xsi:type="dcterms:W3CDTF">2014-12-08T10:35:00Z</dcterms:modified>
</cp:coreProperties>
</file>