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94" w:rsidRPr="003C76D9" w:rsidRDefault="00E55D5A" w:rsidP="00674ECA">
      <w:pPr>
        <w:jc w:val="both"/>
        <w:rPr>
          <w:b/>
          <w:sz w:val="28"/>
          <w:szCs w:val="24"/>
        </w:rPr>
      </w:pPr>
      <w:r w:rsidRPr="003C76D9">
        <w:rPr>
          <w:b/>
          <w:sz w:val="28"/>
          <w:szCs w:val="24"/>
        </w:rPr>
        <w:t>ΠΕΡΙΛΗΨΗ ΧΑΡΑΚΤΗΡΙΣΤΙΚΩΝ ΠΡΟ</w:t>
      </w:r>
      <w:r w:rsidRPr="003C76D9">
        <w:rPr>
          <w:rFonts w:ascii="Cambria" w:hAnsi="Cambria"/>
          <w:b/>
          <w:sz w:val="28"/>
          <w:szCs w:val="24"/>
        </w:rPr>
        <w:t>Ϊ</w:t>
      </w:r>
      <w:r w:rsidRPr="003C76D9">
        <w:rPr>
          <w:b/>
          <w:sz w:val="28"/>
          <w:szCs w:val="24"/>
        </w:rPr>
        <w:t xml:space="preserve">ΟΝΤΩΝ </w:t>
      </w:r>
    </w:p>
    <w:p w:rsidR="00E55D5A" w:rsidRPr="00270430" w:rsidRDefault="00E55D5A" w:rsidP="00674ECA">
      <w:pPr>
        <w:jc w:val="both"/>
        <w:rPr>
          <w:b/>
          <w:sz w:val="24"/>
          <w:szCs w:val="24"/>
        </w:rPr>
      </w:pPr>
      <w:r w:rsidRPr="00270430">
        <w:rPr>
          <w:b/>
          <w:sz w:val="24"/>
          <w:szCs w:val="24"/>
        </w:rPr>
        <w:t>1.ΟΝΟΜΑΣΙΑ ΤΟΥ ΦΑΡΜΑΚΕΥΤΙΚΟΥ ΠΡΟ</w:t>
      </w:r>
      <w:r w:rsidRPr="00270430">
        <w:rPr>
          <w:rFonts w:ascii="Cambria" w:hAnsi="Cambria"/>
          <w:b/>
          <w:sz w:val="24"/>
          <w:szCs w:val="24"/>
        </w:rPr>
        <w:t>Ϊ</w:t>
      </w:r>
      <w:r w:rsidRPr="00270430">
        <w:rPr>
          <w:b/>
          <w:sz w:val="24"/>
          <w:szCs w:val="24"/>
        </w:rPr>
        <w:t>ΟΝΤΟΣ</w:t>
      </w:r>
    </w:p>
    <w:p w:rsidR="00E55D5A" w:rsidRPr="00D674D8" w:rsidRDefault="00E55D5A" w:rsidP="00674ECA">
      <w:pPr>
        <w:jc w:val="both"/>
        <w:rPr>
          <w:sz w:val="24"/>
          <w:szCs w:val="24"/>
        </w:rPr>
      </w:pPr>
      <w:r w:rsidRPr="00D674D8">
        <w:rPr>
          <w:sz w:val="24"/>
          <w:szCs w:val="24"/>
          <w:lang w:val="en-US"/>
        </w:rPr>
        <w:t>ORBIMAG</w:t>
      </w:r>
      <w:r w:rsidRPr="00D674D8">
        <w:rPr>
          <w:sz w:val="24"/>
          <w:szCs w:val="24"/>
        </w:rPr>
        <w:t xml:space="preserve"> 300</w:t>
      </w:r>
    </w:p>
    <w:p w:rsidR="00E55D5A" w:rsidRPr="00270430" w:rsidRDefault="00E55D5A" w:rsidP="00674ECA">
      <w:pPr>
        <w:jc w:val="both"/>
        <w:rPr>
          <w:b/>
          <w:sz w:val="24"/>
          <w:szCs w:val="24"/>
        </w:rPr>
      </w:pPr>
      <w:r w:rsidRPr="00270430">
        <w:rPr>
          <w:b/>
          <w:sz w:val="24"/>
          <w:szCs w:val="24"/>
        </w:rPr>
        <w:t xml:space="preserve">2.ΠΟΙΟΤΙΚΗ ΚΑΙ ΠΟΣΟΤΙΚΗ ΣΥΝΘΕΣΗ </w:t>
      </w:r>
    </w:p>
    <w:p w:rsidR="00E55D5A" w:rsidRPr="00D674D8" w:rsidRDefault="00E55D5A" w:rsidP="00674ECA">
      <w:pPr>
        <w:jc w:val="both"/>
        <w:rPr>
          <w:sz w:val="24"/>
          <w:szCs w:val="24"/>
        </w:rPr>
      </w:pPr>
      <w:r w:rsidRPr="00D674D8">
        <w:rPr>
          <w:sz w:val="24"/>
          <w:szCs w:val="24"/>
        </w:rPr>
        <w:t xml:space="preserve">Κάθε αναβράζον δισκίο περιέχει  : 498 </w:t>
      </w:r>
      <w:r w:rsidRPr="00D674D8">
        <w:rPr>
          <w:sz w:val="24"/>
          <w:szCs w:val="24"/>
          <w:lang w:val="en-US"/>
        </w:rPr>
        <w:t>mg</w:t>
      </w:r>
      <w:r w:rsidRPr="00D674D8">
        <w:rPr>
          <w:sz w:val="24"/>
          <w:szCs w:val="24"/>
        </w:rPr>
        <w:t xml:space="preserve"> οξείδιο του μαγνησίου (ισοδύναμο με 300 </w:t>
      </w:r>
      <w:r w:rsidRPr="00D674D8">
        <w:rPr>
          <w:sz w:val="24"/>
          <w:szCs w:val="24"/>
          <w:lang w:val="en-US"/>
        </w:rPr>
        <w:t>Mg</w:t>
      </w:r>
      <w:r w:rsidRPr="00D674D8">
        <w:rPr>
          <w:sz w:val="24"/>
          <w:szCs w:val="24"/>
        </w:rPr>
        <w:t xml:space="preserve"> μαγνήσιο )</w:t>
      </w:r>
    </w:p>
    <w:p w:rsidR="00E55D5A" w:rsidRPr="00D674D8" w:rsidRDefault="00E55D5A" w:rsidP="00674ECA">
      <w:pPr>
        <w:jc w:val="both"/>
        <w:rPr>
          <w:sz w:val="24"/>
          <w:szCs w:val="24"/>
        </w:rPr>
      </w:pPr>
      <w:r w:rsidRPr="00D674D8">
        <w:rPr>
          <w:sz w:val="24"/>
          <w:szCs w:val="24"/>
        </w:rPr>
        <w:t>Για τον πλήρη κατάλογο των εκδόχων , βλ.παράγραφο 6.1.</w:t>
      </w:r>
    </w:p>
    <w:p w:rsidR="00E55D5A" w:rsidRPr="00270430" w:rsidRDefault="00E55D5A" w:rsidP="00674ECA">
      <w:pPr>
        <w:jc w:val="both"/>
        <w:rPr>
          <w:b/>
          <w:sz w:val="24"/>
          <w:szCs w:val="24"/>
        </w:rPr>
      </w:pPr>
      <w:r w:rsidRPr="00270430">
        <w:rPr>
          <w:b/>
          <w:sz w:val="24"/>
          <w:szCs w:val="24"/>
        </w:rPr>
        <w:t>3.ΦΑΡΜΑΚΟΤΕΧΝΙΚΗ ΜΟΡΦΗ</w:t>
      </w:r>
    </w:p>
    <w:p w:rsidR="00E55D5A" w:rsidRPr="00D674D8" w:rsidRDefault="00E55D5A" w:rsidP="00674ECA">
      <w:pPr>
        <w:jc w:val="both"/>
        <w:rPr>
          <w:sz w:val="24"/>
          <w:szCs w:val="24"/>
        </w:rPr>
      </w:pPr>
      <w:r w:rsidRPr="00D674D8">
        <w:rPr>
          <w:sz w:val="24"/>
          <w:szCs w:val="24"/>
        </w:rPr>
        <w:t>Αναβράζοντα δισκία</w:t>
      </w:r>
    </w:p>
    <w:p w:rsidR="00E55D5A" w:rsidRPr="00270430" w:rsidRDefault="00E55D5A" w:rsidP="00674ECA">
      <w:pPr>
        <w:jc w:val="both"/>
        <w:rPr>
          <w:b/>
          <w:sz w:val="24"/>
          <w:szCs w:val="24"/>
        </w:rPr>
      </w:pPr>
      <w:r w:rsidRPr="00270430">
        <w:rPr>
          <w:b/>
          <w:sz w:val="24"/>
          <w:szCs w:val="24"/>
        </w:rPr>
        <w:t>4. ΚΛΙΝΙΚΕΣ ΠΛΗΡΟΦΟΡΙΕΣ</w:t>
      </w:r>
    </w:p>
    <w:p w:rsidR="00E55D5A" w:rsidRPr="00270430" w:rsidRDefault="00E55D5A" w:rsidP="00674ECA">
      <w:pPr>
        <w:jc w:val="both"/>
        <w:rPr>
          <w:b/>
          <w:sz w:val="24"/>
          <w:szCs w:val="24"/>
        </w:rPr>
      </w:pPr>
      <w:r w:rsidRPr="00270430">
        <w:rPr>
          <w:b/>
          <w:sz w:val="24"/>
          <w:szCs w:val="24"/>
        </w:rPr>
        <w:t>4.1 Θεραπευτικές ενδείξεις</w:t>
      </w:r>
    </w:p>
    <w:p w:rsidR="00CF215F" w:rsidRPr="00CF215F" w:rsidRDefault="00CF215F" w:rsidP="00CF215F">
      <w:pPr>
        <w:jc w:val="both"/>
        <w:rPr>
          <w:sz w:val="24"/>
          <w:szCs w:val="24"/>
        </w:rPr>
      </w:pPr>
      <w:r w:rsidRPr="00CF215F">
        <w:rPr>
          <w:sz w:val="24"/>
          <w:szCs w:val="24"/>
        </w:rPr>
        <w:t>Θεραπεία συμπτωματικής υπομαγνησιαιμίας ,η οποία εκδηλώνεται πιθανώς μέσω διάφορων μη ειδικών συμπτωμάτων : υπερδιεγερσιμότητα (μυϊκές κράμπες , τετανία, αυξημένα</w:t>
      </w:r>
      <w:r w:rsidR="00736B25">
        <w:rPr>
          <w:sz w:val="24"/>
          <w:szCs w:val="24"/>
        </w:rPr>
        <w:t xml:space="preserve"> τενόντια</w:t>
      </w:r>
      <w:r w:rsidRPr="00CF215F">
        <w:rPr>
          <w:sz w:val="24"/>
          <w:szCs w:val="24"/>
        </w:rPr>
        <w:t xml:space="preserve">  αντανακλαστικά),</w:t>
      </w:r>
      <w:r w:rsidR="00FE4E0C">
        <w:rPr>
          <w:sz w:val="24"/>
          <w:szCs w:val="24"/>
        </w:rPr>
        <w:t xml:space="preserve"> διαταραχές καρδιακού ρυθμού (αρρυθμία, ταχυκαρδία), </w:t>
      </w:r>
      <w:r w:rsidRPr="00CF215F">
        <w:rPr>
          <w:sz w:val="24"/>
          <w:szCs w:val="24"/>
        </w:rPr>
        <w:t>διαταραχές γαστρεντερικής οδού (</w:t>
      </w:r>
      <w:r w:rsidR="00736B25">
        <w:rPr>
          <w:sz w:val="24"/>
          <w:szCs w:val="24"/>
        </w:rPr>
        <w:t>συσπάσεις</w:t>
      </w:r>
      <w:r w:rsidRPr="00CF215F">
        <w:rPr>
          <w:sz w:val="24"/>
          <w:szCs w:val="24"/>
        </w:rPr>
        <w:t>).</w:t>
      </w:r>
    </w:p>
    <w:p w:rsidR="00CF215F" w:rsidRPr="00CF215F" w:rsidRDefault="00CF215F" w:rsidP="00CF215F">
      <w:pPr>
        <w:jc w:val="both"/>
        <w:rPr>
          <w:sz w:val="24"/>
          <w:szCs w:val="24"/>
        </w:rPr>
      </w:pPr>
      <w:r w:rsidRPr="00CF215F">
        <w:rPr>
          <w:sz w:val="24"/>
          <w:szCs w:val="24"/>
        </w:rPr>
        <w:t xml:space="preserve">Πρόληψη έλλειψης μαγνησίου , π.χ: </w:t>
      </w:r>
    </w:p>
    <w:p w:rsidR="00CF215F" w:rsidRPr="00CF215F" w:rsidRDefault="00CF215F" w:rsidP="00CF215F">
      <w:pPr>
        <w:jc w:val="both"/>
        <w:rPr>
          <w:sz w:val="24"/>
          <w:szCs w:val="24"/>
        </w:rPr>
      </w:pPr>
      <w:r w:rsidRPr="00CF215F">
        <w:rPr>
          <w:sz w:val="24"/>
          <w:szCs w:val="24"/>
        </w:rPr>
        <w:t>•</w:t>
      </w:r>
      <w:r w:rsidRPr="00CF215F">
        <w:rPr>
          <w:sz w:val="24"/>
          <w:szCs w:val="24"/>
        </w:rPr>
        <w:tab/>
        <w:t>Επί μη ισορροπημένης διατροφής ,δυσαπορρόφησης ,χρόνιας διάρροιας,</w:t>
      </w:r>
      <w:r w:rsidR="00FE4E0C">
        <w:rPr>
          <w:sz w:val="24"/>
          <w:szCs w:val="24"/>
        </w:rPr>
        <w:t xml:space="preserve"> </w:t>
      </w:r>
      <w:r w:rsidRPr="00CF215F">
        <w:rPr>
          <w:sz w:val="24"/>
          <w:szCs w:val="24"/>
        </w:rPr>
        <w:t xml:space="preserve">αλκοολισμού η σακχαρώδους διαβήτη (αυξημένη μαγνησιούρια), </w:t>
      </w:r>
    </w:p>
    <w:p w:rsidR="00D674D8" w:rsidRDefault="00CF215F" w:rsidP="00CF215F">
      <w:pPr>
        <w:jc w:val="both"/>
        <w:rPr>
          <w:sz w:val="24"/>
          <w:szCs w:val="24"/>
        </w:rPr>
      </w:pPr>
      <w:r w:rsidRPr="00CF215F">
        <w:rPr>
          <w:sz w:val="24"/>
          <w:szCs w:val="24"/>
        </w:rPr>
        <w:t>•</w:t>
      </w:r>
      <w:r w:rsidRPr="00CF215F">
        <w:rPr>
          <w:sz w:val="24"/>
          <w:szCs w:val="24"/>
        </w:rPr>
        <w:tab/>
        <w:t>Επί φαρμακευτικής αγωγής ,η οποία προκαλεί αυξημένη  μανγησιουρία,</w:t>
      </w:r>
      <w:r w:rsidR="00FE4E0C">
        <w:rPr>
          <w:sz w:val="24"/>
          <w:szCs w:val="24"/>
        </w:rPr>
        <w:t xml:space="preserve"> </w:t>
      </w:r>
      <w:r w:rsidRPr="00CF215F">
        <w:rPr>
          <w:sz w:val="24"/>
          <w:szCs w:val="24"/>
        </w:rPr>
        <w:t>όπως για παράδειγμα : διουρητικά ,</w:t>
      </w:r>
      <w:r w:rsidR="00FE4E0C">
        <w:rPr>
          <w:sz w:val="24"/>
          <w:szCs w:val="24"/>
        </w:rPr>
        <w:t xml:space="preserve"> </w:t>
      </w:r>
      <w:r w:rsidRPr="00CF215F">
        <w:rPr>
          <w:sz w:val="24"/>
          <w:szCs w:val="24"/>
        </w:rPr>
        <w:t>κυκλοσπορίνη Α , αντιβιοτικά της ομάδας των αμινογλυκοσιδών (γενταμικίνη), σκευάσματα διγοξίνης .</w:t>
      </w:r>
    </w:p>
    <w:p w:rsidR="00D674D8" w:rsidRPr="00B51773" w:rsidRDefault="00D674D8" w:rsidP="00674ECA">
      <w:pPr>
        <w:jc w:val="both"/>
        <w:rPr>
          <w:b/>
          <w:sz w:val="24"/>
          <w:szCs w:val="24"/>
        </w:rPr>
      </w:pPr>
      <w:r w:rsidRPr="00270430">
        <w:rPr>
          <w:b/>
          <w:sz w:val="24"/>
          <w:szCs w:val="24"/>
        </w:rPr>
        <w:t xml:space="preserve">4.2 Δοσολογία και τρόπος χορήγησης </w:t>
      </w:r>
    </w:p>
    <w:p w:rsidR="00CF215F" w:rsidRPr="00CF215F" w:rsidRDefault="00CF215F" w:rsidP="00CF215F">
      <w:pPr>
        <w:jc w:val="both"/>
        <w:rPr>
          <w:sz w:val="24"/>
          <w:szCs w:val="24"/>
        </w:rPr>
      </w:pPr>
      <w:r w:rsidRPr="00CF215F">
        <w:rPr>
          <w:sz w:val="24"/>
          <w:szCs w:val="24"/>
        </w:rPr>
        <w:t>Η μέση ημερήσια ανάγκη των ενηλίκων ποικίλει μεταξύ 400 και 600</w:t>
      </w:r>
      <w:r w:rsidRPr="00CF215F">
        <w:rPr>
          <w:sz w:val="24"/>
          <w:szCs w:val="24"/>
          <w:lang w:val="en-US"/>
        </w:rPr>
        <w:t>mg</w:t>
      </w:r>
      <w:r w:rsidR="00C0125B">
        <w:rPr>
          <w:sz w:val="24"/>
          <w:szCs w:val="24"/>
        </w:rPr>
        <w:t xml:space="preserve"> μαγνησίου</w:t>
      </w:r>
      <w:r w:rsidRPr="00CF215F">
        <w:rPr>
          <w:sz w:val="24"/>
          <w:szCs w:val="24"/>
        </w:rPr>
        <w:t>.</w:t>
      </w:r>
      <w:r w:rsidR="00C0125B" w:rsidRPr="00C0125B">
        <w:rPr>
          <w:sz w:val="24"/>
          <w:szCs w:val="24"/>
        </w:rPr>
        <w:t xml:space="preserve"> </w:t>
      </w:r>
      <w:r w:rsidRPr="00CF215F">
        <w:rPr>
          <w:sz w:val="24"/>
          <w:szCs w:val="24"/>
        </w:rPr>
        <w:t>Η μέση κανονική ανθρώπινη δίαιτα περιέχει αρκετές ποσότητες μαγνησίου  για την κάλυψη των καθημερινών μεταβολικών αναγκών.</w:t>
      </w:r>
    </w:p>
    <w:p w:rsidR="00CF215F" w:rsidRPr="00CF215F" w:rsidRDefault="00CF215F" w:rsidP="00CF215F">
      <w:pPr>
        <w:jc w:val="both"/>
        <w:rPr>
          <w:sz w:val="24"/>
          <w:szCs w:val="24"/>
        </w:rPr>
      </w:pPr>
      <w:r w:rsidRPr="00CF215F">
        <w:rPr>
          <w:sz w:val="24"/>
          <w:szCs w:val="24"/>
        </w:rPr>
        <w:t>Η δοσολογία πρέπει να καθορίζεται από τον ιατρό ,ανάλογα με την έλλειψη του οργανισμού σε μαγνήσιο.</w:t>
      </w:r>
    </w:p>
    <w:p w:rsidR="00CF215F" w:rsidRPr="00CF215F" w:rsidRDefault="00CF215F" w:rsidP="00CF215F">
      <w:pPr>
        <w:jc w:val="both"/>
        <w:rPr>
          <w:sz w:val="24"/>
          <w:szCs w:val="24"/>
        </w:rPr>
      </w:pPr>
      <w:r w:rsidRPr="00CF215F">
        <w:rPr>
          <w:sz w:val="24"/>
          <w:szCs w:val="24"/>
        </w:rPr>
        <w:t xml:space="preserve"> Συνιστώμενη ημερήσια δοσολογία: </w:t>
      </w:r>
    </w:p>
    <w:p w:rsidR="00CF215F" w:rsidRPr="00CF215F" w:rsidRDefault="00C0125B" w:rsidP="00CF215F">
      <w:pPr>
        <w:jc w:val="both"/>
        <w:rPr>
          <w:sz w:val="24"/>
          <w:szCs w:val="24"/>
        </w:rPr>
      </w:pPr>
      <w:r>
        <w:rPr>
          <w:sz w:val="24"/>
          <w:szCs w:val="24"/>
        </w:rPr>
        <w:t>Ε</w:t>
      </w:r>
      <w:r w:rsidR="00CF215F" w:rsidRPr="00CF215F">
        <w:rPr>
          <w:sz w:val="24"/>
          <w:szCs w:val="24"/>
        </w:rPr>
        <w:t xml:space="preserve">νήλικες και νέοι άνω των 15 ετών: : 1 αναβράζον δισκίο ημερησίως . Για τη λήψη , διαλύστε το αναβράζον δισκίο σε ένα ποτήρι νερό (περίπου </w:t>
      </w:r>
      <w:r w:rsidR="00736B25">
        <w:rPr>
          <w:sz w:val="24"/>
          <w:szCs w:val="24"/>
        </w:rPr>
        <w:t xml:space="preserve">150 </w:t>
      </w:r>
      <w:r w:rsidR="00736B25">
        <w:rPr>
          <w:sz w:val="24"/>
          <w:szCs w:val="24"/>
          <w:lang w:val="en-US"/>
        </w:rPr>
        <w:t>ml</w:t>
      </w:r>
      <w:r w:rsidR="00CF215F" w:rsidRPr="00CF215F">
        <w:rPr>
          <w:sz w:val="24"/>
          <w:szCs w:val="24"/>
        </w:rPr>
        <w:t xml:space="preserve">) . Η  χρήση και η </w:t>
      </w:r>
      <w:r w:rsidR="00CF215F" w:rsidRPr="00CF215F">
        <w:rPr>
          <w:sz w:val="24"/>
          <w:szCs w:val="24"/>
        </w:rPr>
        <w:lastRenderedPageBreak/>
        <w:t>ασφάλεια του ORBIMAG 300 σε παιδιά κάτω των 12 ετών δεν έχει ερευνηθεί έως σήμερα.</w:t>
      </w:r>
    </w:p>
    <w:p w:rsidR="00CF215F" w:rsidRPr="00CF215F" w:rsidRDefault="00CF215F" w:rsidP="00CF215F">
      <w:pPr>
        <w:jc w:val="both"/>
        <w:rPr>
          <w:sz w:val="24"/>
          <w:szCs w:val="24"/>
        </w:rPr>
      </w:pPr>
      <w:r w:rsidRPr="00CF215F">
        <w:rPr>
          <w:sz w:val="24"/>
          <w:szCs w:val="24"/>
        </w:rPr>
        <w:t>Θεραπεία συντήρησης και πρόληψης : 1 αναβράζον δισκίο ημερησίως.</w:t>
      </w:r>
    </w:p>
    <w:p w:rsidR="00CF215F" w:rsidRPr="00B51773" w:rsidRDefault="00CF215F" w:rsidP="00CF215F">
      <w:pPr>
        <w:jc w:val="both"/>
        <w:rPr>
          <w:sz w:val="24"/>
          <w:szCs w:val="24"/>
        </w:rPr>
      </w:pPr>
      <w:r w:rsidRPr="00B51773">
        <w:rPr>
          <w:sz w:val="24"/>
          <w:szCs w:val="24"/>
        </w:rPr>
        <w:t>Λαμβάνεται μετά το φαγητό .</w:t>
      </w:r>
    </w:p>
    <w:p w:rsidR="00CF215F" w:rsidRPr="00C0125B" w:rsidRDefault="00CF215F" w:rsidP="00674ECA">
      <w:pPr>
        <w:jc w:val="both"/>
        <w:rPr>
          <w:sz w:val="24"/>
          <w:szCs w:val="24"/>
        </w:rPr>
      </w:pPr>
      <w:r w:rsidRPr="00CF215F">
        <w:rPr>
          <w:sz w:val="24"/>
          <w:szCs w:val="24"/>
        </w:rPr>
        <w:t>Η διάρκεια της θεραπείας με στόχο την εξισορρόπηση έλλειψης μαγνησίου,</w:t>
      </w:r>
      <w:r w:rsidR="00FE4E0C">
        <w:rPr>
          <w:sz w:val="24"/>
          <w:szCs w:val="24"/>
        </w:rPr>
        <w:t xml:space="preserve"> </w:t>
      </w:r>
      <w:r w:rsidRPr="00CF215F">
        <w:rPr>
          <w:sz w:val="24"/>
          <w:szCs w:val="24"/>
        </w:rPr>
        <w:t>ανέρχεται γενικώς  σε 3 – 6 εβδομάδες .</w:t>
      </w:r>
    </w:p>
    <w:p w:rsidR="00D674D8" w:rsidRPr="00270430" w:rsidRDefault="00D674D8" w:rsidP="00674ECA">
      <w:pPr>
        <w:jc w:val="both"/>
        <w:rPr>
          <w:b/>
          <w:sz w:val="24"/>
          <w:szCs w:val="24"/>
        </w:rPr>
      </w:pPr>
      <w:r w:rsidRPr="00270430">
        <w:rPr>
          <w:b/>
          <w:sz w:val="24"/>
          <w:szCs w:val="24"/>
        </w:rPr>
        <w:t xml:space="preserve">4.3 Αντενδείξεις </w:t>
      </w:r>
    </w:p>
    <w:p w:rsidR="00002BC1" w:rsidRPr="00002BC1" w:rsidRDefault="00002BC1" w:rsidP="00CF215F">
      <w:pPr>
        <w:jc w:val="both"/>
        <w:rPr>
          <w:sz w:val="28"/>
          <w:szCs w:val="24"/>
        </w:rPr>
      </w:pPr>
      <w:r w:rsidRPr="00002BC1">
        <w:rPr>
          <w:spacing w:val="20"/>
          <w:sz w:val="24"/>
        </w:rPr>
        <w:t xml:space="preserve">Νεφρική ανεπάρκεια, κολποκοιλιακός αποκλεισμός, αφυδάτωση, ιστορικό σχηματισμού φωσφορικών αλάτων ασβεστίου, μαγνησίου, αμμωνίου, </w:t>
      </w:r>
      <w:r w:rsidR="008E0497">
        <w:rPr>
          <w:spacing w:val="20"/>
          <w:sz w:val="24"/>
        </w:rPr>
        <w:t xml:space="preserve">οξεία λοίμωξη ουροφόρων οδών, </w:t>
      </w:r>
      <w:r w:rsidRPr="00002BC1">
        <w:rPr>
          <w:spacing w:val="20"/>
          <w:sz w:val="24"/>
        </w:rPr>
        <w:t>υπερευαισθησία σε ένα ή περισσότερα συστατικά</w:t>
      </w:r>
      <w:r w:rsidR="008E0497">
        <w:rPr>
          <w:spacing w:val="20"/>
          <w:sz w:val="24"/>
        </w:rPr>
        <w:t>.</w:t>
      </w:r>
      <w:r w:rsidRPr="00002BC1">
        <w:rPr>
          <w:b/>
          <w:bCs/>
          <w:sz w:val="24"/>
        </w:rPr>
        <w:t xml:space="preserve"> </w:t>
      </w:r>
    </w:p>
    <w:p w:rsidR="00270430" w:rsidRPr="00270430" w:rsidRDefault="00270430" w:rsidP="00CF215F">
      <w:pPr>
        <w:jc w:val="both"/>
        <w:rPr>
          <w:b/>
          <w:sz w:val="24"/>
          <w:szCs w:val="24"/>
        </w:rPr>
      </w:pPr>
      <w:r w:rsidRPr="00270430">
        <w:rPr>
          <w:b/>
          <w:sz w:val="24"/>
          <w:szCs w:val="24"/>
        </w:rPr>
        <w:t>4.4 Ειδικές προειδοποιήσεις και προφυλάξεις κατά τη χρήση</w:t>
      </w:r>
    </w:p>
    <w:p w:rsidR="00CF215F" w:rsidRPr="00CF215F" w:rsidRDefault="00CF215F" w:rsidP="00CF215F">
      <w:pPr>
        <w:jc w:val="both"/>
        <w:rPr>
          <w:sz w:val="24"/>
          <w:szCs w:val="24"/>
        </w:rPr>
      </w:pPr>
      <w:r w:rsidRPr="00CF215F">
        <w:rPr>
          <w:sz w:val="24"/>
          <w:szCs w:val="24"/>
        </w:rPr>
        <w:t xml:space="preserve">     Επιβάλλεται προσοχή :</w:t>
      </w:r>
    </w:p>
    <w:p w:rsidR="00CF215F" w:rsidRPr="00CF215F" w:rsidRDefault="00CF215F" w:rsidP="00CF215F">
      <w:pPr>
        <w:jc w:val="both"/>
        <w:rPr>
          <w:sz w:val="24"/>
          <w:szCs w:val="24"/>
        </w:rPr>
      </w:pPr>
      <w:r w:rsidRPr="00CF215F">
        <w:rPr>
          <w:sz w:val="24"/>
          <w:szCs w:val="24"/>
        </w:rPr>
        <w:t>•</w:t>
      </w:r>
      <w:r w:rsidRPr="00CF215F">
        <w:rPr>
          <w:sz w:val="24"/>
          <w:szCs w:val="24"/>
        </w:rPr>
        <w:tab/>
        <w:t>Επί διαταραχών κολποκοιλιακής αγωγιμότητας και</w:t>
      </w:r>
    </w:p>
    <w:p w:rsidR="00CF215F" w:rsidRPr="00CF215F" w:rsidRDefault="00CF215F" w:rsidP="00CF215F">
      <w:pPr>
        <w:jc w:val="both"/>
        <w:rPr>
          <w:sz w:val="24"/>
          <w:szCs w:val="24"/>
        </w:rPr>
      </w:pPr>
      <w:r w:rsidRPr="00CF215F">
        <w:rPr>
          <w:sz w:val="24"/>
          <w:szCs w:val="24"/>
        </w:rPr>
        <w:t>•</w:t>
      </w:r>
      <w:r w:rsidRPr="00CF215F">
        <w:rPr>
          <w:sz w:val="24"/>
          <w:szCs w:val="24"/>
        </w:rPr>
        <w:tab/>
        <w:t xml:space="preserve">Επί διαταραχών της νεφρικής λειτουργίας. Σε προχωρημένα στάδια νεφρικής ανεπάρκειας αναμένεται κατακράτηση μαγνησίου και το προϊόν πρέπει να χορηγείται με προσοχή και με συνεχή έλεγχο των επιπέδων του μαγνησίου στον ορό του αίματος. Η συγκέντρωση μαγνησίου στον ορό του αίματος δεν πρέπει να ξεπερνά τα 1,3 mmol                                                                                                              </w:t>
      </w:r>
    </w:p>
    <w:p w:rsidR="00CF215F" w:rsidRPr="00B51773" w:rsidRDefault="00CF215F" w:rsidP="00CF215F">
      <w:pPr>
        <w:jc w:val="both"/>
        <w:rPr>
          <w:sz w:val="24"/>
          <w:szCs w:val="24"/>
        </w:rPr>
      </w:pPr>
      <w:r w:rsidRPr="00CF215F">
        <w:rPr>
          <w:sz w:val="24"/>
          <w:szCs w:val="24"/>
        </w:rPr>
        <w:t>Η θεραπευτική αντιμετώπιση της υπομαγνησιαιμίας πρέπει να προηγείται εκείνης τυχόν συνυπάρχουσας υπασβεστιαιμίας.</w:t>
      </w:r>
    </w:p>
    <w:p w:rsidR="00270430" w:rsidRPr="000B6C3B" w:rsidRDefault="00270430" w:rsidP="00CF215F">
      <w:pPr>
        <w:jc w:val="both"/>
        <w:rPr>
          <w:rFonts w:ascii="Cambria" w:hAnsi="Cambria"/>
          <w:b/>
          <w:sz w:val="24"/>
          <w:szCs w:val="24"/>
        </w:rPr>
      </w:pPr>
      <w:r w:rsidRPr="00270430">
        <w:rPr>
          <w:b/>
          <w:sz w:val="24"/>
          <w:szCs w:val="24"/>
        </w:rPr>
        <w:t>4.5 Αλληλεπιδράσεις με άλλα φαρμακευτικά προ</w:t>
      </w:r>
      <w:r w:rsidRPr="00270430">
        <w:rPr>
          <w:rFonts w:ascii="Cambria" w:hAnsi="Cambria"/>
          <w:b/>
          <w:sz w:val="24"/>
          <w:szCs w:val="24"/>
        </w:rPr>
        <w:t>ϊόντα και άλλες μορφές</w:t>
      </w:r>
      <w:r>
        <w:rPr>
          <w:rFonts w:ascii="Cambria" w:hAnsi="Cambria"/>
          <w:sz w:val="24"/>
          <w:szCs w:val="24"/>
        </w:rPr>
        <w:t xml:space="preserve"> </w:t>
      </w:r>
      <w:r w:rsidRPr="000B6C3B">
        <w:rPr>
          <w:rFonts w:ascii="Cambria" w:hAnsi="Cambria"/>
          <w:b/>
          <w:sz w:val="24"/>
          <w:szCs w:val="24"/>
        </w:rPr>
        <w:t>αλληλεπίδρασης</w:t>
      </w:r>
    </w:p>
    <w:p w:rsidR="00DD1432" w:rsidRDefault="00CF215F" w:rsidP="00CF215F">
      <w:pPr>
        <w:jc w:val="both"/>
        <w:rPr>
          <w:rFonts w:ascii="Cambria" w:hAnsi="Cambria"/>
          <w:sz w:val="24"/>
          <w:szCs w:val="24"/>
        </w:rPr>
      </w:pPr>
      <w:r w:rsidRPr="00CF215F">
        <w:rPr>
          <w:rFonts w:ascii="Cambria" w:hAnsi="Cambria"/>
          <w:sz w:val="24"/>
          <w:szCs w:val="24"/>
        </w:rPr>
        <w:t xml:space="preserve">Σε περίπτωση </w:t>
      </w:r>
      <w:r w:rsidR="00DD1432">
        <w:rPr>
          <w:rFonts w:ascii="Cambria" w:hAnsi="Cambria"/>
          <w:sz w:val="24"/>
          <w:szCs w:val="24"/>
        </w:rPr>
        <w:t xml:space="preserve">συγχορήγησης </w:t>
      </w:r>
      <w:r w:rsidRPr="00CF215F">
        <w:rPr>
          <w:rFonts w:ascii="Cambria" w:hAnsi="Cambria"/>
          <w:sz w:val="24"/>
          <w:szCs w:val="24"/>
        </w:rPr>
        <w:t>τετρακυκλι</w:t>
      </w:r>
      <w:r w:rsidR="0095748D">
        <w:rPr>
          <w:rFonts w:ascii="Cambria" w:hAnsi="Cambria"/>
          <w:sz w:val="24"/>
          <w:szCs w:val="24"/>
        </w:rPr>
        <w:t>ν</w:t>
      </w:r>
      <w:r w:rsidRPr="00CF215F">
        <w:rPr>
          <w:rFonts w:ascii="Cambria" w:hAnsi="Cambria"/>
          <w:sz w:val="24"/>
          <w:szCs w:val="24"/>
        </w:rPr>
        <w:t xml:space="preserve">ών , πρέπει να μεσολαβούν τουλάχιστον 3 ώρες μεταξύ της χορήγησης των δύο φαρμάκων. Ομοίως </w:t>
      </w:r>
      <w:r w:rsidR="00DD1432">
        <w:rPr>
          <w:rFonts w:ascii="Cambria" w:hAnsi="Cambria"/>
          <w:sz w:val="24"/>
          <w:szCs w:val="24"/>
        </w:rPr>
        <w:t xml:space="preserve">σε περίπτωση συγχορήγησης </w:t>
      </w:r>
      <w:r w:rsidRPr="00CF215F">
        <w:rPr>
          <w:rFonts w:ascii="Cambria" w:hAnsi="Cambria"/>
          <w:sz w:val="24"/>
          <w:szCs w:val="24"/>
        </w:rPr>
        <w:t>διφωσφονικ</w:t>
      </w:r>
      <w:r w:rsidR="00DD1432">
        <w:rPr>
          <w:rFonts w:ascii="Cambria" w:hAnsi="Cambria"/>
          <w:sz w:val="24"/>
          <w:szCs w:val="24"/>
        </w:rPr>
        <w:t>ών</w:t>
      </w:r>
      <w:r w:rsidRPr="00CF215F">
        <w:rPr>
          <w:rFonts w:ascii="Cambria" w:hAnsi="Cambria"/>
          <w:sz w:val="24"/>
          <w:szCs w:val="24"/>
        </w:rPr>
        <w:t xml:space="preserve">.  </w:t>
      </w:r>
    </w:p>
    <w:p w:rsidR="00CF215F" w:rsidRPr="00CF215F" w:rsidRDefault="00DD1432" w:rsidP="00CF215F">
      <w:pPr>
        <w:jc w:val="both"/>
        <w:rPr>
          <w:rFonts w:ascii="Cambria" w:hAnsi="Cambria"/>
          <w:sz w:val="24"/>
          <w:szCs w:val="24"/>
        </w:rPr>
      </w:pPr>
      <w:r>
        <w:rPr>
          <w:rFonts w:ascii="Cambria" w:hAnsi="Cambria"/>
          <w:sz w:val="24"/>
          <w:szCs w:val="24"/>
        </w:rPr>
        <w:t>Τ</w:t>
      </w:r>
      <w:r w:rsidR="00CF215F" w:rsidRPr="00CF215F">
        <w:rPr>
          <w:rFonts w:ascii="Cambria" w:hAnsi="Cambria"/>
          <w:sz w:val="24"/>
          <w:szCs w:val="24"/>
        </w:rPr>
        <w:t>ο μαγνήσιο μπορεί να περιορίσει, λόγω ανταγωνισμού</w:t>
      </w:r>
      <w:r>
        <w:rPr>
          <w:rFonts w:ascii="Cambria" w:hAnsi="Cambria"/>
          <w:sz w:val="24"/>
          <w:szCs w:val="24"/>
        </w:rPr>
        <w:t>,</w:t>
      </w:r>
      <w:r w:rsidR="00CF215F" w:rsidRPr="00CF215F">
        <w:rPr>
          <w:rFonts w:ascii="Cambria" w:hAnsi="Cambria"/>
          <w:sz w:val="24"/>
          <w:szCs w:val="24"/>
        </w:rPr>
        <w:t xml:space="preserve"> την απορρόφηση ορισμένων ουσιών από την γαστρεντερική οδό. Συνεπώς συνιστάται όπως αναβάλλεται</w:t>
      </w:r>
      <w:r>
        <w:rPr>
          <w:rFonts w:ascii="Cambria" w:hAnsi="Cambria"/>
          <w:sz w:val="24"/>
          <w:szCs w:val="24"/>
        </w:rPr>
        <w:t>,</w:t>
      </w:r>
      <w:r w:rsidR="00CF215F" w:rsidRPr="00CF215F">
        <w:rPr>
          <w:rFonts w:ascii="Cambria" w:hAnsi="Cambria"/>
          <w:sz w:val="24"/>
          <w:szCs w:val="24"/>
        </w:rPr>
        <w:t xml:space="preserve"> για τουλάχιστον τρεις ώρες, η πρόσληψη σιδήρου ή ασβεστίου (μόνον επί υψηλών δόσεων) . </w:t>
      </w:r>
    </w:p>
    <w:p w:rsidR="00DD1432" w:rsidRDefault="00CF215F" w:rsidP="00CF215F">
      <w:pPr>
        <w:jc w:val="both"/>
        <w:rPr>
          <w:rFonts w:ascii="Cambria" w:hAnsi="Cambria"/>
          <w:sz w:val="24"/>
          <w:szCs w:val="24"/>
        </w:rPr>
      </w:pPr>
      <w:r w:rsidRPr="00CF215F">
        <w:rPr>
          <w:rFonts w:ascii="Cambria" w:hAnsi="Cambria"/>
          <w:sz w:val="24"/>
          <w:szCs w:val="24"/>
        </w:rPr>
        <w:t>Επίσης να μη χορηγείται παρεντερικά μαγνήσιο ταυτόχρονα με τη λήψη από το σ</w:t>
      </w:r>
      <w:bookmarkStart w:id="0" w:name="_GoBack"/>
      <w:bookmarkEnd w:id="0"/>
      <w:r w:rsidRPr="00CF215F">
        <w:rPr>
          <w:rFonts w:ascii="Cambria" w:hAnsi="Cambria"/>
          <w:sz w:val="24"/>
          <w:szCs w:val="24"/>
        </w:rPr>
        <w:t xml:space="preserve">τόμα. </w:t>
      </w:r>
    </w:p>
    <w:p w:rsidR="00CF215F" w:rsidRPr="00B51773" w:rsidRDefault="00CF215F" w:rsidP="00CF215F">
      <w:pPr>
        <w:jc w:val="both"/>
        <w:rPr>
          <w:rFonts w:ascii="Cambria" w:hAnsi="Cambria"/>
          <w:sz w:val="24"/>
          <w:szCs w:val="24"/>
        </w:rPr>
      </w:pPr>
      <w:r w:rsidRPr="00CF215F">
        <w:rPr>
          <w:rFonts w:ascii="Cambria" w:hAnsi="Cambria"/>
          <w:sz w:val="24"/>
          <w:szCs w:val="24"/>
        </w:rPr>
        <w:lastRenderedPageBreak/>
        <w:t xml:space="preserve">Η συγχορήγηση μαγνησίου και χοληκαλσιφερόλης μπορεί να προκαλέσει υπερασβεστιαιμία. </w:t>
      </w:r>
    </w:p>
    <w:p w:rsidR="00D674D8" w:rsidRDefault="00270430" w:rsidP="00CF215F">
      <w:pPr>
        <w:jc w:val="both"/>
        <w:rPr>
          <w:rFonts w:ascii="Cambria" w:hAnsi="Cambria"/>
          <w:b/>
          <w:sz w:val="24"/>
          <w:szCs w:val="24"/>
        </w:rPr>
      </w:pPr>
      <w:r w:rsidRPr="00270430">
        <w:rPr>
          <w:rFonts w:ascii="Cambria" w:hAnsi="Cambria"/>
          <w:b/>
          <w:sz w:val="24"/>
          <w:szCs w:val="24"/>
        </w:rPr>
        <w:t>4.6 Κύηση και γαλουχία</w:t>
      </w:r>
    </w:p>
    <w:p w:rsidR="00CF215F" w:rsidRPr="00CF215F" w:rsidRDefault="00CF215F" w:rsidP="00CF215F">
      <w:pPr>
        <w:jc w:val="both"/>
        <w:rPr>
          <w:rFonts w:ascii="Cambria" w:hAnsi="Cambria"/>
          <w:sz w:val="24"/>
          <w:szCs w:val="24"/>
        </w:rPr>
      </w:pPr>
      <w:r w:rsidRPr="00CF215F">
        <w:rPr>
          <w:rFonts w:ascii="Cambria" w:hAnsi="Cambria"/>
          <w:sz w:val="24"/>
          <w:szCs w:val="24"/>
        </w:rPr>
        <w:t xml:space="preserve">Κύηση </w:t>
      </w:r>
    </w:p>
    <w:p w:rsidR="00CF215F" w:rsidRPr="00CF215F" w:rsidRDefault="00CF215F" w:rsidP="00CF215F">
      <w:pPr>
        <w:jc w:val="both"/>
        <w:rPr>
          <w:rFonts w:ascii="Cambria" w:hAnsi="Cambria"/>
          <w:sz w:val="24"/>
          <w:szCs w:val="24"/>
        </w:rPr>
      </w:pPr>
      <w:r w:rsidRPr="00CF215F">
        <w:rPr>
          <w:rFonts w:ascii="Cambria" w:hAnsi="Cambria"/>
          <w:sz w:val="24"/>
          <w:szCs w:val="24"/>
        </w:rPr>
        <w:t>Στην κλινικ</w:t>
      </w:r>
      <w:r w:rsidR="0095748D">
        <w:rPr>
          <w:rFonts w:ascii="Cambria" w:hAnsi="Cambria"/>
          <w:sz w:val="24"/>
          <w:szCs w:val="24"/>
        </w:rPr>
        <w:t>ή</w:t>
      </w:r>
      <w:r w:rsidRPr="00CF215F">
        <w:rPr>
          <w:rFonts w:ascii="Cambria" w:hAnsi="Cambria"/>
          <w:sz w:val="24"/>
          <w:szCs w:val="24"/>
        </w:rPr>
        <w:t xml:space="preserve"> πράξη επαρκής αριθμός μελετών αλλά και </w:t>
      </w:r>
      <w:r w:rsidRPr="000B6C3B">
        <w:rPr>
          <w:rFonts w:ascii="Cambria" w:hAnsi="Cambria"/>
          <w:sz w:val="24"/>
          <w:szCs w:val="24"/>
        </w:rPr>
        <w:t>αυξημένος</w:t>
      </w:r>
      <w:r w:rsidRPr="00CF215F">
        <w:rPr>
          <w:rFonts w:ascii="Cambria" w:hAnsi="Cambria"/>
          <w:sz w:val="24"/>
          <w:szCs w:val="24"/>
        </w:rPr>
        <w:t xml:space="preserve"> αριθμός κυήσεων δεν έχουν αποκαλύψει τερατογόνο δράση ή εμβρυοτοξικότητα του μαγνησίου. Με βάση τα δεδομένα αυτά μπορεί να χορηγηθεί το προϊόν κατά τη διάρκεια της κύησης, αν υπάρχει ανάγκη και σε οποιοδήποτε στάδιο της.</w:t>
      </w:r>
    </w:p>
    <w:p w:rsidR="00CF215F" w:rsidRPr="00CF215F" w:rsidRDefault="00CF215F" w:rsidP="00CF215F">
      <w:pPr>
        <w:jc w:val="both"/>
        <w:rPr>
          <w:rFonts w:ascii="Cambria" w:hAnsi="Cambria"/>
          <w:sz w:val="24"/>
          <w:szCs w:val="24"/>
        </w:rPr>
      </w:pPr>
      <w:r w:rsidRPr="00CF215F">
        <w:rPr>
          <w:rFonts w:ascii="Cambria" w:hAnsi="Cambria"/>
          <w:sz w:val="24"/>
          <w:szCs w:val="24"/>
        </w:rPr>
        <w:t>Γαλουχία</w:t>
      </w:r>
    </w:p>
    <w:p w:rsidR="00CF215F" w:rsidRPr="00B51773" w:rsidRDefault="00CF215F" w:rsidP="00CF215F">
      <w:pPr>
        <w:jc w:val="both"/>
        <w:rPr>
          <w:rFonts w:ascii="Cambria" w:hAnsi="Cambria"/>
          <w:sz w:val="24"/>
          <w:szCs w:val="24"/>
        </w:rPr>
      </w:pPr>
      <w:r w:rsidRPr="00CF215F">
        <w:rPr>
          <w:rFonts w:ascii="Cambria" w:hAnsi="Cambria"/>
          <w:sz w:val="24"/>
          <w:szCs w:val="24"/>
        </w:rPr>
        <w:t>Επειδή το μαγνήσιο διέρχεται στο μητρικό γάλα, η χρήση του πρέπει να αποφεύγεται κατά τη διάρκεια της γαλουχίας.</w:t>
      </w:r>
    </w:p>
    <w:p w:rsidR="00270430" w:rsidRDefault="00270430" w:rsidP="00CF215F">
      <w:pPr>
        <w:jc w:val="both"/>
        <w:rPr>
          <w:rFonts w:ascii="Cambria" w:hAnsi="Cambria"/>
          <w:sz w:val="24"/>
          <w:szCs w:val="24"/>
        </w:rPr>
      </w:pPr>
      <w:r w:rsidRPr="00270430">
        <w:rPr>
          <w:rFonts w:ascii="Cambria" w:hAnsi="Cambria"/>
          <w:b/>
          <w:sz w:val="24"/>
          <w:szCs w:val="24"/>
        </w:rPr>
        <w:t>4.7 Επιδράσεις στην ικανότητα οδήγησης και χειρισμού μηχανών</w:t>
      </w:r>
    </w:p>
    <w:p w:rsidR="00E52A2C" w:rsidRDefault="00E52A2C" w:rsidP="00674ECA">
      <w:pPr>
        <w:jc w:val="both"/>
        <w:rPr>
          <w:rFonts w:ascii="Cambria" w:hAnsi="Cambria"/>
          <w:sz w:val="24"/>
          <w:szCs w:val="24"/>
        </w:rPr>
      </w:pPr>
      <w:r>
        <w:rPr>
          <w:rFonts w:ascii="Cambria" w:hAnsi="Cambria"/>
          <w:sz w:val="24"/>
          <w:szCs w:val="24"/>
        </w:rPr>
        <w:t xml:space="preserve">Δεν είναι γνωστή καμία επίπτωση στην ικανότητα οδήγησης ή χειρισμού μηχανημάτων η οποία θα μπορούσε να οφείλεται στη χορήγηση </w:t>
      </w:r>
      <w:r>
        <w:rPr>
          <w:rFonts w:ascii="Cambria" w:hAnsi="Cambria"/>
          <w:sz w:val="24"/>
          <w:szCs w:val="24"/>
          <w:lang w:val="en-US"/>
        </w:rPr>
        <w:t>ORBIMAG</w:t>
      </w:r>
      <w:r w:rsidRPr="00E52A2C">
        <w:rPr>
          <w:rFonts w:ascii="Cambria" w:hAnsi="Cambria"/>
          <w:sz w:val="24"/>
          <w:szCs w:val="24"/>
        </w:rPr>
        <w:t xml:space="preserve"> </w:t>
      </w:r>
      <w:r>
        <w:rPr>
          <w:rFonts w:ascii="Cambria" w:hAnsi="Cambria"/>
          <w:sz w:val="24"/>
          <w:szCs w:val="24"/>
        </w:rPr>
        <w:t>300 στις συνιστώμενες δόσεις.</w:t>
      </w:r>
    </w:p>
    <w:p w:rsidR="00E52A2C" w:rsidRDefault="00E52A2C" w:rsidP="00674ECA">
      <w:pPr>
        <w:jc w:val="both"/>
        <w:rPr>
          <w:rFonts w:ascii="Cambria" w:hAnsi="Cambria"/>
          <w:b/>
          <w:sz w:val="24"/>
          <w:szCs w:val="24"/>
        </w:rPr>
      </w:pPr>
      <w:r w:rsidRPr="00694F5C">
        <w:rPr>
          <w:rFonts w:ascii="Cambria" w:hAnsi="Cambria"/>
          <w:b/>
          <w:sz w:val="24"/>
          <w:szCs w:val="24"/>
        </w:rPr>
        <w:t>4.8 Ανεπιθύμητες ενέργειες</w:t>
      </w:r>
      <w:r w:rsidRPr="00E52A2C">
        <w:rPr>
          <w:rFonts w:ascii="Cambria" w:hAnsi="Cambria"/>
          <w:b/>
          <w:sz w:val="24"/>
          <w:szCs w:val="24"/>
        </w:rPr>
        <w:t xml:space="preserve"> </w:t>
      </w:r>
    </w:p>
    <w:p w:rsidR="00CF215F" w:rsidRPr="00157313" w:rsidRDefault="00CF215F" w:rsidP="00CF215F">
      <w:pPr>
        <w:jc w:val="both"/>
        <w:rPr>
          <w:rFonts w:ascii="Cambria" w:hAnsi="Cambria"/>
          <w:i/>
          <w:sz w:val="24"/>
          <w:szCs w:val="24"/>
        </w:rPr>
      </w:pPr>
      <w:r w:rsidRPr="00157313">
        <w:rPr>
          <w:rFonts w:ascii="Cambria" w:hAnsi="Cambria"/>
          <w:i/>
          <w:sz w:val="24"/>
          <w:szCs w:val="24"/>
        </w:rPr>
        <w:t xml:space="preserve">Γαστρεντερικές διαταραχές </w:t>
      </w:r>
    </w:p>
    <w:p w:rsidR="00CF215F" w:rsidRPr="00CF215F" w:rsidRDefault="00CF215F" w:rsidP="00CF215F">
      <w:pPr>
        <w:jc w:val="both"/>
        <w:rPr>
          <w:rFonts w:ascii="Cambria" w:hAnsi="Cambria"/>
          <w:sz w:val="24"/>
          <w:szCs w:val="24"/>
        </w:rPr>
      </w:pPr>
      <w:r w:rsidRPr="00CF215F">
        <w:rPr>
          <w:rFonts w:ascii="Cambria" w:hAnsi="Cambria"/>
          <w:sz w:val="24"/>
          <w:szCs w:val="24"/>
        </w:rPr>
        <w:t>Όχι συχνά μπορούν να εμφανιστούν διαταραχές από το πεπτικό</w:t>
      </w:r>
      <w:r w:rsidR="00DD1432">
        <w:rPr>
          <w:rFonts w:ascii="Cambria" w:hAnsi="Cambria"/>
          <w:sz w:val="24"/>
          <w:szCs w:val="24"/>
        </w:rPr>
        <w:t xml:space="preserve"> </w:t>
      </w:r>
      <w:r w:rsidRPr="00CF215F">
        <w:rPr>
          <w:rFonts w:ascii="Cambria" w:hAnsi="Cambria"/>
          <w:sz w:val="24"/>
          <w:szCs w:val="24"/>
        </w:rPr>
        <w:t>( διάρροια, κοιλιακό άλγος), οι οποίες αποδίδονται σε υψηλή δόση ή σε δυσανεξία σε ένα συστατικό του ORBIMAG 300. Περιστατικά υπερευαισθησίας στο οξείδιο του μαγνησίου ή σε κάποιο έκδοχο του ORBIMAG 300 έχουν αναφερθεί μόνο σε σπάνιες περιπτώσεις. Στις περιπτώσεις αυτές συνιστάται η διακοπή του προϊόντος και η χορήγηση ενός από του στόματος ή παρεντερικώς χορηγούμενου αντιισταμινικού.</w:t>
      </w:r>
    </w:p>
    <w:p w:rsidR="00CF215F" w:rsidRPr="00CF215F" w:rsidRDefault="00CF215F" w:rsidP="00CF215F">
      <w:pPr>
        <w:jc w:val="both"/>
        <w:rPr>
          <w:rFonts w:ascii="Cambria" w:hAnsi="Cambria"/>
          <w:sz w:val="24"/>
          <w:szCs w:val="24"/>
        </w:rPr>
      </w:pPr>
      <w:r w:rsidRPr="00CF215F">
        <w:rPr>
          <w:rFonts w:ascii="Cambria" w:hAnsi="Cambria"/>
          <w:sz w:val="24"/>
          <w:szCs w:val="24"/>
        </w:rPr>
        <w:t xml:space="preserve">Υπερμαγνησιαιμία από υπέρμετρη χορήγηση μπορεί να προκαλέσει αναπνευστική μυϊκή παράλυση, διαταραχή του καρδιακού ρυθμού, κολποκοιλιακό αποκλεισμό, καρδιακή ανακοπή. Η τοξική δράση του στην καρδιά είναι συχνότερη με ταυτόχρονη χορήγηση δαχτυλίτιδος. </w:t>
      </w:r>
    </w:p>
    <w:p w:rsidR="00CF215F" w:rsidRDefault="00CF215F" w:rsidP="00CF215F">
      <w:pPr>
        <w:jc w:val="both"/>
        <w:rPr>
          <w:rFonts w:ascii="Cambria" w:hAnsi="Cambria"/>
          <w:sz w:val="24"/>
          <w:szCs w:val="24"/>
        </w:rPr>
      </w:pPr>
      <w:r w:rsidRPr="00CF215F">
        <w:rPr>
          <w:rFonts w:ascii="Cambria" w:hAnsi="Cambria"/>
          <w:sz w:val="24"/>
          <w:szCs w:val="24"/>
        </w:rPr>
        <w:t xml:space="preserve">Ύστερα από παρατεταμένη θεραπεία ή υπερβολική δοσολογία είναι δυνατόν να εμφανισθούν συμπτώματα κοπώσεως, τα οποία είναι ενδεικτικά αυξημένων συγκεντρώσεων μαγνησίου στον ορό του αίματος. Τα συμπτώματα εξαφανίζονται με την προσωρινή διακοπή της θεραπείας. </w:t>
      </w:r>
    </w:p>
    <w:p w:rsidR="00DC67A9" w:rsidRPr="00684E83" w:rsidRDefault="00DC67A9" w:rsidP="000B6C3B">
      <w:pPr>
        <w:autoSpaceDE w:val="0"/>
        <w:autoSpaceDN w:val="0"/>
        <w:adjustRightInd w:val="0"/>
        <w:jc w:val="both"/>
        <w:rPr>
          <w:u w:val="single"/>
        </w:rPr>
      </w:pPr>
      <w:r w:rsidRPr="00684E83">
        <w:rPr>
          <w:noProof/>
          <w:u w:val="single"/>
        </w:rPr>
        <w:t>Αναφορά πιθανολογούμενων ανεπιθύμητων ενεργειών</w:t>
      </w:r>
    </w:p>
    <w:p w:rsidR="00DC67A9" w:rsidRPr="00BB06F8" w:rsidRDefault="00DC67A9" w:rsidP="000B6C3B">
      <w:pPr>
        <w:rPr>
          <w:rFonts w:eastAsia="Calibri"/>
          <w:lang w:eastAsia="zh-CN"/>
        </w:rPr>
      </w:pPr>
      <w:r w:rsidRPr="00166D11">
        <w:lastRenderedPageBreak/>
        <w:t>Η αναφορά πιθανολογούμενων ανεπιθύμητων ενεργειών μετά από τη χορήγηση άδειας κυκλοφορίας του φαρμακευτικού προϊόντος είναι σημαντική</w:t>
      </w:r>
      <w:r w:rsidRPr="00684E83">
        <w:rPr>
          <w:noProof/>
        </w:rPr>
        <w:t>.</w:t>
      </w:r>
      <w:r w:rsidRPr="00684E83">
        <w:t xml:space="preserve"> </w:t>
      </w:r>
      <w:r w:rsidRPr="00166D11">
        <w:t>Επιτρέπει τη συνεχή παρακολούθηση της σχέσης οφέλους-κινδύνου του φαρμακευτικού προϊόντος</w:t>
      </w:r>
      <w:r w:rsidRPr="00684E83">
        <w:rPr>
          <w:noProof/>
        </w:rPr>
        <w:t>.</w:t>
      </w:r>
      <w:r w:rsidRPr="00684E83">
        <w:t xml:space="preserve"> </w:t>
      </w:r>
      <w:r w:rsidRPr="00166D11">
        <w:t>Ζητείται από τους επαγγελματίες του τομέα της υγειονομικής περίθαλψης να αναφέρουν ο</w:t>
      </w:r>
      <w:r>
        <w:t>πο</w:t>
      </w:r>
      <w:r w:rsidRPr="00166D11">
        <w:t xml:space="preserve">ιεσδήποτε πιθανολογούμενες ανεπιθύμητες ενέργειες </w:t>
      </w:r>
      <w:r>
        <w:t xml:space="preserve">στον </w:t>
      </w:r>
      <w:r>
        <w:rPr>
          <w:rFonts w:eastAsia="Calibri"/>
          <w:noProof/>
          <w:lang w:eastAsia="zh-CN"/>
        </w:rPr>
        <w:t xml:space="preserve">Εθνικό Οργανισμό </w:t>
      </w:r>
      <w:r w:rsidRPr="00BB06F8">
        <w:rPr>
          <w:rFonts w:eastAsia="Calibri"/>
          <w:noProof/>
          <w:lang w:eastAsia="zh-CN"/>
        </w:rPr>
        <w:t>Φαρμάκων</w:t>
      </w:r>
      <w:r>
        <w:rPr>
          <w:rFonts w:eastAsia="Calibri"/>
          <w:noProof/>
          <w:lang w:eastAsia="zh-CN"/>
        </w:rPr>
        <w:t xml:space="preserve">, </w:t>
      </w:r>
      <w:r w:rsidRPr="00BB06F8">
        <w:rPr>
          <w:rFonts w:eastAsia="Calibri"/>
          <w:noProof/>
          <w:lang w:eastAsia="zh-CN"/>
        </w:rPr>
        <w:t>Μεσογείων 284</w:t>
      </w:r>
      <w:r>
        <w:rPr>
          <w:rFonts w:eastAsia="Calibri"/>
          <w:noProof/>
          <w:lang w:eastAsia="zh-CN"/>
        </w:rPr>
        <w:t xml:space="preserve">, </w:t>
      </w:r>
      <w:r w:rsidRPr="00BB06F8">
        <w:rPr>
          <w:rFonts w:eastAsia="Calibri"/>
          <w:noProof/>
          <w:lang w:eastAsia="zh-CN"/>
        </w:rPr>
        <w:t>GR-15562 Χολαργός, Αθήνα</w:t>
      </w:r>
      <w:r>
        <w:rPr>
          <w:rFonts w:eastAsia="Calibri"/>
          <w:noProof/>
          <w:lang w:eastAsia="zh-CN"/>
        </w:rPr>
        <w:t xml:space="preserve">, </w:t>
      </w:r>
      <w:r w:rsidRPr="00BB06F8">
        <w:rPr>
          <w:rFonts w:eastAsia="Calibri"/>
          <w:noProof/>
          <w:lang w:eastAsia="zh-CN"/>
        </w:rPr>
        <w:t xml:space="preserve">Τηλ: + 30 </w:t>
      </w:r>
      <w:r w:rsidRPr="00BB06F8">
        <w:rPr>
          <w:rFonts w:eastAsia="Calibri"/>
          <w:lang w:eastAsia="zh-CN"/>
        </w:rPr>
        <w:t>21 32040380/337</w:t>
      </w:r>
      <w:r>
        <w:rPr>
          <w:rFonts w:eastAsia="Calibri"/>
          <w:lang w:eastAsia="zh-CN"/>
        </w:rPr>
        <w:t xml:space="preserve">, </w:t>
      </w:r>
      <w:r w:rsidRPr="00BB06F8">
        <w:rPr>
          <w:rFonts w:eastAsia="Calibri"/>
          <w:lang w:eastAsia="zh-CN"/>
        </w:rPr>
        <w:t>Φαξ</w:t>
      </w:r>
      <w:r w:rsidRPr="00BB06F8">
        <w:rPr>
          <w:rFonts w:eastAsia="Calibri"/>
          <w:noProof/>
          <w:lang w:eastAsia="zh-CN"/>
        </w:rPr>
        <w:t xml:space="preserve">: + 30 </w:t>
      </w:r>
      <w:r w:rsidRPr="00BB06F8">
        <w:rPr>
          <w:rFonts w:eastAsia="Calibri"/>
          <w:lang w:eastAsia="zh-CN"/>
        </w:rPr>
        <w:t>21 06549585</w:t>
      </w:r>
      <w:r>
        <w:rPr>
          <w:rFonts w:eastAsia="Calibri"/>
          <w:noProof/>
          <w:lang w:eastAsia="zh-CN"/>
        </w:rPr>
        <w:t xml:space="preserve">, </w:t>
      </w:r>
      <w:r w:rsidRPr="00BB06F8">
        <w:rPr>
          <w:rFonts w:eastAsia="Calibri"/>
          <w:lang w:eastAsia="zh-CN"/>
        </w:rPr>
        <w:t>Ιστότοπος</w:t>
      </w:r>
      <w:r w:rsidRPr="00BB06F8">
        <w:rPr>
          <w:rFonts w:eastAsia="Calibri"/>
          <w:noProof/>
          <w:lang w:eastAsia="zh-CN"/>
        </w:rPr>
        <w:t xml:space="preserve">: </w:t>
      </w:r>
      <w:hyperlink r:id="rId5" w:history="1">
        <w:r w:rsidRPr="00BB06F8">
          <w:rPr>
            <w:rFonts w:eastAsia="Calibri"/>
            <w:color w:val="0000FF"/>
            <w:u w:val="single"/>
            <w:lang w:eastAsia="zh-CN"/>
          </w:rPr>
          <w:t>http://www.eof.gr</w:t>
        </w:r>
      </w:hyperlink>
    </w:p>
    <w:p w:rsidR="00C0125B" w:rsidRPr="00B51773" w:rsidRDefault="00C0125B" w:rsidP="00CF215F">
      <w:pPr>
        <w:jc w:val="both"/>
        <w:rPr>
          <w:rFonts w:ascii="Cambria" w:hAnsi="Cambria"/>
          <w:sz w:val="24"/>
          <w:szCs w:val="24"/>
        </w:rPr>
      </w:pPr>
    </w:p>
    <w:p w:rsidR="00E52A2C" w:rsidRDefault="00E52A2C" w:rsidP="00CF215F">
      <w:pPr>
        <w:jc w:val="both"/>
        <w:rPr>
          <w:rFonts w:ascii="Cambria" w:hAnsi="Cambria"/>
          <w:b/>
          <w:sz w:val="24"/>
          <w:szCs w:val="24"/>
        </w:rPr>
      </w:pPr>
      <w:r w:rsidRPr="00E52A2C">
        <w:rPr>
          <w:rFonts w:ascii="Cambria" w:hAnsi="Cambria"/>
          <w:b/>
          <w:sz w:val="24"/>
          <w:szCs w:val="24"/>
        </w:rPr>
        <w:t>4.9 Υπερδοσολογία</w:t>
      </w:r>
    </w:p>
    <w:p w:rsidR="00CF215F" w:rsidRPr="00CF215F" w:rsidRDefault="00CF215F" w:rsidP="00CF215F">
      <w:pPr>
        <w:jc w:val="both"/>
        <w:rPr>
          <w:rFonts w:ascii="Cambria" w:hAnsi="Cambria"/>
          <w:sz w:val="24"/>
          <w:szCs w:val="24"/>
        </w:rPr>
      </w:pPr>
      <w:r w:rsidRPr="00CF215F">
        <w:rPr>
          <w:rFonts w:ascii="Cambria" w:hAnsi="Cambria"/>
          <w:sz w:val="24"/>
          <w:szCs w:val="24"/>
        </w:rPr>
        <w:t xml:space="preserve">Όσον αφορά την από του στόματος χορήγηση, υπερδοσολογία μπορεί να παρατηρηθεί επί νεφρικής ανεπάρκειας προχωρημένου σταδίου. </w:t>
      </w:r>
    </w:p>
    <w:p w:rsidR="00725B38" w:rsidRPr="006C1B2D" w:rsidRDefault="00CF215F" w:rsidP="00CF215F">
      <w:pPr>
        <w:jc w:val="both"/>
        <w:rPr>
          <w:rFonts w:ascii="Cambria" w:hAnsi="Cambria"/>
          <w:sz w:val="24"/>
          <w:szCs w:val="24"/>
        </w:rPr>
      </w:pPr>
      <w:r w:rsidRPr="00CF215F">
        <w:rPr>
          <w:rFonts w:ascii="Cambria" w:hAnsi="Cambria"/>
          <w:sz w:val="24"/>
          <w:szCs w:val="24"/>
        </w:rPr>
        <w:t xml:space="preserve">Φαρμακολογικές και τοξικολογικές δράσεις επί αυξημένων επιπέδων μαγνησίου στο πλάσμα   </w:t>
      </w:r>
    </w:p>
    <w:tbl>
      <w:tblPr>
        <w:tblStyle w:val="a5"/>
        <w:tblW w:w="8364" w:type="dxa"/>
        <w:tblInd w:w="108" w:type="dxa"/>
        <w:tblLayout w:type="fixed"/>
        <w:tblLook w:val="04A0"/>
      </w:tblPr>
      <w:tblGrid>
        <w:gridCol w:w="1560"/>
        <w:gridCol w:w="1701"/>
        <w:gridCol w:w="5103"/>
      </w:tblGrid>
      <w:tr w:rsidR="006C1B2D" w:rsidRPr="00053B07" w:rsidTr="000B6C3B">
        <w:trPr>
          <w:trHeight w:val="716"/>
        </w:trPr>
        <w:tc>
          <w:tcPr>
            <w:tcW w:w="1560" w:type="dxa"/>
          </w:tcPr>
          <w:p w:rsidR="006C1B2D" w:rsidRPr="00053B07" w:rsidRDefault="006C1B2D" w:rsidP="00C0125B">
            <w:pPr>
              <w:rPr>
                <w:rFonts w:ascii="Comic Sans MS" w:hAnsi="Comic Sans MS"/>
              </w:rPr>
            </w:pPr>
            <w:r>
              <w:rPr>
                <w:rFonts w:ascii="Comic Sans MS" w:hAnsi="Comic Sans MS"/>
              </w:rPr>
              <w:t>Επίπεδα μαγνησίου στο πλάσμα</w:t>
            </w:r>
            <w:r w:rsidRPr="00053B07">
              <w:rPr>
                <w:rFonts w:ascii="Comic Sans MS" w:hAnsi="Comic Sans MS"/>
              </w:rPr>
              <w:t xml:space="preserve"> (</w:t>
            </w:r>
            <w:proofErr w:type="spellStart"/>
            <w:r>
              <w:rPr>
                <w:rFonts w:ascii="Comic Sans MS" w:hAnsi="Comic Sans MS"/>
                <w:lang w:val="en-US"/>
              </w:rPr>
              <w:t>mmol</w:t>
            </w:r>
            <w:proofErr w:type="spellEnd"/>
            <w:r w:rsidRPr="00053B07">
              <w:rPr>
                <w:rFonts w:ascii="Comic Sans MS" w:hAnsi="Comic Sans MS"/>
              </w:rPr>
              <w:t>/</w:t>
            </w:r>
            <w:r>
              <w:rPr>
                <w:rFonts w:ascii="Comic Sans MS" w:hAnsi="Comic Sans MS"/>
                <w:lang w:val="en-US"/>
              </w:rPr>
              <w:t>l</w:t>
            </w:r>
            <w:r w:rsidRPr="00053B07">
              <w:rPr>
                <w:rFonts w:ascii="Comic Sans MS" w:hAnsi="Comic Sans MS"/>
              </w:rPr>
              <w:t>)</w:t>
            </w:r>
          </w:p>
        </w:tc>
        <w:tc>
          <w:tcPr>
            <w:tcW w:w="1701" w:type="dxa"/>
          </w:tcPr>
          <w:p w:rsidR="006C1B2D" w:rsidRPr="00053B07" w:rsidRDefault="006C1B2D" w:rsidP="00C0125B">
            <w:pPr>
              <w:rPr>
                <w:rFonts w:ascii="Comic Sans MS" w:hAnsi="Comic Sans MS"/>
              </w:rPr>
            </w:pPr>
            <w:r>
              <w:rPr>
                <w:rFonts w:ascii="Comic Sans MS" w:hAnsi="Comic Sans MS"/>
              </w:rPr>
              <w:t>Επίπεδα μαγνησίου στο πλάσμα (</w:t>
            </w:r>
            <w:r>
              <w:rPr>
                <w:rFonts w:ascii="Comic Sans MS" w:hAnsi="Comic Sans MS"/>
                <w:lang w:val="en-US"/>
              </w:rPr>
              <w:t>mg</w:t>
            </w:r>
            <w:r w:rsidRPr="00053B07">
              <w:rPr>
                <w:rFonts w:ascii="Comic Sans MS" w:hAnsi="Comic Sans MS"/>
              </w:rPr>
              <w:t>/</w:t>
            </w:r>
            <w:r>
              <w:rPr>
                <w:rFonts w:ascii="Comic Sans MS" w:hAnsi="Comic Sans MS"/>
                <w:lang w:val="en-US"/>
              </w:rPr>
              <w:t>dl</w:t>
            </w:r>
            <w:r w:rsidRPr="00053B07">
              <w:rPr>
                <w:rFonts w:ascii="Comic Sans MS" w:hAnsi="Comic Sans MS"/>
              </w:rPr>
              <w:t>)</w:t>
            </w:r>
          </w:p>
        </w:tc>
        <w:tc>
          <w:tcPr>
            <w:tcW w:w="5103" w:type="dxa"/>
          </w:tcPr>
          <w:p w:rsidR="006C1B2D" w:rsidRPr="00053B07" w:rsidRDefault="006C1B2D" w:rsidP="00C0125B">
            <w:pPr>
              <w:rPr>
                <w:rFonts w:ascii="Comic Sans MS" w:hAnsi="Comic Sans MS"/>
              </w:rPr>
            </w:pPr>
            <w:r>
              <w:rPr>
                <w:rFonts w:ascii="Comic Sans MS" w:hAnsi="Comic Sans MS"/>
              </w:rPr>
              <w:t>Συμπτώματα και ανεπιθύμητες επιδράσεις</w:t>
            </w:r>
          </w:p>
        </w:tc>
      </w:tr>
      <w:tr w:rsidR="006C1B2D" w:rsidTr="000B6C3B">
        <w:trPr>
          <w:trHeight w:val="482"/>
        </w:trPr>
        <w:tc>
          <w:tcPr>
            <w:tcW w:w="1560" w:type="dxa"/>
          </w:tcPr>
          <w:p w:rsidR="006C1B2D" w:rsidRPr="00053B07" w:rsidRDefault="006C1B2D" w:rsidP="00C0125B">
            <w:pPr>
              <w:ind w:left="360"/>
              <w:rPr>
                <w:rFonts w:ascii="Comic Sans MS" w:hAnsi="Comic Sans MS"/>
              </w:rPr>
            </w:pPr>
            <w:r>
              <w:rPr>
                <w:rFonts w:ascii="Comic Sans MS" w:hAnsi="Comic Sans MS"/>
              </w:rPr>
              <w:t>&gt;</w:t>
            </w:r>
            <w:r w:rsidRPr="00053B07">
              <w:rPr>
                <w:rFonts w:ascii="Comic Sans MS" w:hAnsi="Comic Sans MS"/>
              </w:rPr>
              <w:t>1,5</w:t>
            </w:r>
          </w:p>
        </w:tc>
        <w:tc>
          <w:tcPr>
            <w:tcW w:w="1701" w:type="dxa"/>
          </w:tcPr>
          <w:p w:rsidR="006C1B2D" w:rsidRPr="00053B07" w:rsidRDefault="006C1B2D" w:rsidP="00C0125B">
            <w:pPr>
              <w:ind w:left="567"/>
              <w:rPr>
                <w:rFonts w:ascii="Comic Sans MS" w:hAnsi="Comic Sans MS"/>
              </w:rPr>
            </w:pPr>
            <w:r>
              <w:rPr>
                <w:rFonts w:ascii="Comic Sans MS" w:hAnsi="Comic Sans MS"/>
              </w:rPr>
              <w:t>&gt;</w:t>
            </w:r>
            <w:r w:rsidRPr="00053B07">
              <w:rPr>
                <w:rFonts w:ascii="Comic Sans MS" w:hAnsi="Comic Sans MS"/>
              </w:rPr>
              <w:t>3,65</w:t>
            </w:r>
          </w:p>
        </w:tc>
        <w:tc>
          <w:tcPr>
            <w:tcW w:w="5103" w:type="dxa"/>
          </w:tcPr>
          <w:p w:rsidR="006C1B2D" w:rsidRDefault="006C1B2D" w:rsidP="00C0125B">
            <w:pPr>
              <w:rPr>
                <w:rFonts w:ascii="Comic Sans MS" w:hAnsi="Comic Sans MS"/>
              </w:rPr>
            </w:pPr>
            <w:r>
              <w:rPr>
                <w:rFonts w:ascii="Comic Sans MS" w:hAnsi="Comic Sans MS"/>
              </w:rPr>
              <w:t>Πτώση αρτηριακής πίεσης, ναυτία, έμετος</w:t>
            </w:r>
          </w:p>
        </w:tc>
      </w:tr>
      <w:tr w:rsidR="006C1B2D" w:rsidTr="000B6C3B">
        <w:trPr>
          <w:trHeight w:val="246"/>
        </w:trPr>
        <w:tc>
          <w:tcPr>
            <w:tcW w:w="1560" w:type="dxa"/>
          </w:tcPr>
          <w:p w:rsidR="006C1B2D" w:rsidRPr="00053B07" w:rsidRDefault="006C1B2D" w:rsidP="00C0125B">
            <w:pPr>
              <w:ind w:left="360"/>
              <w:rPr>
                <w:rFonts w:ascii="Comic Sans MS" w:hAnsi="Comic Sans MS"/>
              </w:rPr>
            </w:pPr>
            <w:r>
              <w:rPr>
                <w:rFonts w:ascii="Comic Sans MS" w:hAnsi="Comic Sans MS"/>
              </w:rPr>
              <w:t>&gt;</w:t>
            </w:r>
            <w:r w:rsidRPr="00053B07">
              <w:rPr>
                <w:rFonts w:ascii="Comic Sans MS" w:hAnsi="Comic Sans MS"/>
              </w:rPr>
              <w:t>2,5</w:t>
            </w:r>
          </w:p>
        </w:tc>
        <w:tc>
          <w:tcPr>
            <w:tcW w:w="1701" w:type="dxa"/>
          </w:tcPr>
          <w:p w:rsidR="006C1B2D" w:rsidRPr="00053B07" w:rsidRDefault="006C1B2D" w:rsidP="00C0125B">
            <w:pPr>
              <w:ind w:left="567"/>
              <w:rPr>
                <w:rFonts w:ascii="Comic Sans MS" w:hAnsi="Comic Sans MS"/>
              </w:rPr>
            </w:pPr>
            <w:r>
              <w:rPr>
                <w:rFonts w:ascii="Comic Sans MS" w:hAnsi="Comic Sans MS"/>
              </w:rPr>
              <w:t>&gt;</w:t>
            </w:r>
            <w:r w:rsidRPr="00053B07">
              <w:rPr>
                <w:rFonts w:ascii="Comic Sans MS" w:hAnsi="Comic Sans MS"/>
              </w:rPr>
              <w:t>6,08</w:t>
            </w:r>
          </w:p>
        </w:tc>
        <w:tc>
          <w:tcPr>
            <w:tcW w:w="5103" w:type="dxa"/>
          </w:tcPr>
          <w:p w:rsidR="006C1B2D" w:rsidRDefault="006C1B2D" w:rsidP="00C0125B">
            <w:pPr>
              <w:rPr>
                <w:rFonts w:ascii="Comic Sans MS" w:hAnsi="Comic Sans MS"/>
              </w:rPr>
            </w:pPr>
            <w:r>
              <w:rPr>
                <w:rFonts w:ascii="Comic Sans MS" w:hAnsi="Comic Sans MS"/>
              </w:rPr>
              <w:t>Καταστολή ΚΝΣ</w:t>
            </w:r>
          </w:p>
        </w:tc>
      </w:tr>
      <w:tr w:rsidR="006C1B2D" w:rsidTr="000B6C3B">
        <w:trPr>
          <w:trHeight w:val="208"/>
        </w:trPr>
        <w:tc>
          <w:tcPr>
            <w:tcW w:w="1560" w:type="dxa"/>
          </w:tcPr>
          <w:p w:rsidR="006C1B2D" w:rsidRPr="00053B07" w:rsidRDefault="006C1B2D" w:rsidP="00C0125B">
            <w:pPr>
              <w:ind w:left="360"/>
              <w:rPr>
                <w:rFonts w:ascii="Comic Sans MS" w:hAnsi="Comic Sans MS"/>
              </w:rPr>
            </w:pPr>
            <w:r>
              <w:rPr>
                <w:rFonts w:ascii="Comic Sans MS" w:hAnsi="Comic Sans MS"/>
              </w:rPr>
              <w:t>&gt;</w:t>
            </w:r>
            <w:r w:rsidRPr="00053B07">
              <w:rPr>
                <w:rFonts w:ascii="Comic Sans MS" w:hAnsi="Comic Sans MS"/>
              </w:rPr>
              <w:t>3,5</w:t>
            </w:r>
          </w:p>
        </w:tc>
        <w:tc>
          <w:tcPr>
            <w:tcW w:w="1701" w:type="dxa"/>
          </w:tcPr>
          <w:p w:rsidR="006C1B2D" w:rsidRPr="00053B07" w:rsidRDefault="006C1B2D" w:rsidP="00C0125B">
            <w:pPr>
              <w:ind w:left="567"/>
              <w:rPr>
                <w:rFonts w:ascii="Comic Sans MS" w:hAnsi="Comic Sans MS"/>
              </w:rPr>
            </w:pPr>
            <w:r>
              <w:rPr>
                <w:rFonts w:ascii="Comic Sans MS" w:hAnsi="Comic Sans MS"/>
              </w:rPr>
              <w:t>&gt;</w:t>
            </w:r>
            <w:r w:rsidRPr="00053B07">
              <w:rPr>
                <w:rFonts w:ascii="Comic Sans MS" w:hAnsi="Comic Sans MS"/>
              </w:rPr>
              <w:t>8,50</w:t>
            </w:r>
          </w:p>
        </w:tc>
        <w:tc>
          <w:tcPr>
            <w:tcW w:w="5103" w:type="dxa"/>
          </w:tcPr>
          <w:p w:rsidR="006C1B2D" w:rsidRDefault="006C1B2D" w:rsidP="00C0125B">
            <w:pPr>
              <w:rPr>
                <w:rFonts w:ascii="Comic Sans MS" w:hAnsi="Comic Sans MS"/>
              </w:rPr>
            </w:pPr>
            <w:r>
              <w:rPr>
                <w:rFonts w:ascii="Comic Sans MS" w:hAnsi="Comic Sans MS"/>
              </w:rPr>
              <w:t>Ελάττωση αντανακλαστικών, αλλοιώσεις του ΗΚΓ</w:t>
            </w:r>
          </w:p>
        </w:tc>
      </w:tr>
      <w:tr w:rsidR="006C1B2D" w:rsidTr="000B6C3B">
        <w:trPr>
          <w:trHeight w:val="184"/>
        </w:trPr>
        <w:tc>
          <w:tcPr>
            <w:tcW w:w="1560" w:type="dxa"/>
          </w:tcPr>
          <w:p w:rsidR="006C1B2D" w:rsidRPr="00053B07" w:rsidRDefault="006C1B2D" w:rsidP="00C0125B">
            <w:pPr>
              <w:ind w:left="360"/>
              <w:rPr>
                <w:rFonts w:ascii="Comic Sans MS" w:hAnsi="Comic Sans MS"/>
              </w:rPr>
            </w:pPr>
            <w:r>
              <w:rPr>
                <w:rFonts w:ascii="Comic Sans MS" w:hAnsi="Comic Sans MS"/>
              </w:rPr>
              <w:t>&gt;</w:t>
            </w:r>
            <w:r w:rsidRPr="00053B07">
              <w:rPr>
                <w:rFonts w:ascii="Comic Sans MS" w:hAnsi="Comic Sans MS"/>
              </w:rPr>
              <w:t>5,0</w:t>
            </w:r>
          </w:p>
        </w:tc>
        <w:tc>
          <w:tcPr>
            <w:tcW w:w="1701" w:type="dxa"/>
          </w:tcPr>
          <w:p w:rsidR="006C1B2D" w:rsidRPr="00053B07" w:rsidRDefault="006C1B2D" w:rsidP="00C0125B">
            <w:pPr>
              <w:ind w:left="567"/>
              <w:rPr>
                <w:rFonts w:ascii="Comic Sans MS" w:hAnsi="Comic Sans MS"/>
              </w:rPr>
            </w:pPr>
            <w:r>
              <w:rPr>
                <w:rFonts w:ascii="Comic Sans MS" w:hAnsi="Comic Sans MS"/>
              </w:rPr>
              <w:t>&gt;</w:t>
            </w:r>
            <w:r w:rsidRPr="00053B07">
              <w:rPr>
                <w:rFonts w:ascii="Comic Sans MS" w:hAnsi="Comic Sans MS"/>
              </w:rPr>
              <w:t>12,15</w:t>
            </w:r>
          </w:p>
        </w:tc>
        <w:tc>
          <w:tcPr>
            <w:tcW w:w="5103" w:type="dxa"/>
          </w:tcPr>
          <w:p w:rsidR="006C1B2D" w:rsidRDefault="006C1B2D" w:rsidP="00C0125B">
            <w:pPr>
              <w:rPr>
                <w:rFonts w:ascii="Comic Sans MS" w:hAnsi="Comic Sans MS"/>
              </w:rPr>
            </w:pPr>
            <w:r>
              <w:rPr>
                <w:rFonts w:ascii="Comic Sans MS" w:hAnsi="Comic Sans MS"/>
              </w:rPr>
              <w:t>Αρχόμενη καταστολή αναπνευστικού</w:t>
            </w:r>
          </w:p>
        </w:tc>
      </w:tr>
      <w:tr w:rsidR="006C1B2D" w:rsidTr="000B6C3B">
        <w:trPr>
          <w:trHeight w:val="288"/>
        </w:trPr>
        <w:tc>
          <w:tcPr>
            <w:tcW w:w="1560" w:type="dxa"/>
          </w:tcPr>
          <w:p w:rsidR="006C1B2D" w:rsidRPr="00053B07" w:rsidRDefault="006C1B2D" w:rsidP="00C0125B">
            <w:pPr>
              <w:ind w:left="360"/>
              <w:rPr>
                <w:rFonts w:ascii="Comic Sans MS" w:hAnsi="Comic Sans MS"/>
              </w:rPr>
            </w:pPr>
            <w:r>
              <w:rPr>
                <w:rFonts w:ascii="Comic Sans MS" w:hAnsi="Comic Sans MS"/>
              </w:rPr>
              <w:t>&gt;</w:t>
            </w:r>
            <w:r w:rsidRPr="00053B07">
              <w:rPr>
                <w:rFonts w:ascii="Comic Sans MS" w:hAnsi="Comic Sans MS"/>
              </w:rPr>
              <w:t>5,5</w:t>
            </w:r>
          </w:p>
        </w:tc>
        <w:tc>
          <w:tcPr>
            <w:tcW w:w="1701" w:type="dxa"/>
          </w:tcPr>
          <w:p w:rsidR="006C1B2D" w:rsidRPr="00053B07" w:rsidRDefault="006C1B2D" w:rsidP="00C0125B">
            <w:pPr>
              <w:ind w:left="567"/>
              <w:rPr>
                <w:rFonts w:ascii="Comic Sans MS" w:hAnsi="Comic Sans MS"/>
              </w:rPr>
            </w:pPr>
            <w:r>
              <w:rPr>
                <w:rFonts w:ascii="Comic Sans MS" w:hAnsi="Comic Sans MS"/>
              </w:rPr>
              <w:t>&gt;</w:t>
            </w:r>
            <w:r w:rsidRPr="00053B07">
              <w:rPr>
                <w:rFonts w:ascii="Comic Sans MS" w:hAnsi="Comic Sans MS"/>
              </w:rPr>
              <w:t>13,37</w:t>
            </w:r>
          </w:p>
        </w:tc>
        <w:tc>
          <w:tcPr>
            <w:tcW w:w="5103" w:type="dxa"/>
          </w:tcPr>
          <w:p w:rsidR="006C1B2D" w:rsidRDefault="006C1B2D" w:rsidP="00C0125B">
            <w:pPr>
              <w:rPr>
                <w:rFonts w:ascii="Comic Sans MS" w:hAnsi="Comic Sans MS"/>
              </w:rPr>
            </w:pPr>
            <w:r>
              <w:rPr>
                <w:rFonts w:ascii="Comic Sans MS" w:hAnsi="Comic Sans MS"/>
              </w:rPr>
              <w:t>Κώμα</w:t>
            </w:r>
          </w:p>
        </w:tc>
      </w:tr>
      <w:tr w:rsidR="006C1B2D" w:rsidTr="000B6C3B">
        <w:trPr>
          <w:trHeight w:val="264"/>
        </w:trPr>
        <w:tc>
          <w:tcPr>
            <w:tcW w:w="1560" w:type="dxa"/>
          </w:tcPr>
          <w:p w:rsidR="006C1B2D" w:rsidRPr="00053B07" w:rsidRDefault="006C1B2D" w:rsidP="00C0125B">
            <w:pPr>
              <w:ind w:left="360"/>
              <w:rPr>
                <w:rFonts w:ascii="Comic Sans MS" w:hAnsi="Comic Sans MS"/>
              </w:rPr>
            </w:pPr>
            <w:r>
              <w:rPr>
                <w:rFonts w:ascii="Comic Sans MS" w:hAnsi="Comic Sans MS"/>
              </w:rPr>
              <w:t>&gt;</w:t>
            </w:r>
            <w:r w:rsidRPr="00053B07">
              <w:rPr>
                <w:rFonts w:ascii="Comic Sans MS" w:hAnsi="Comic Sans MS"/>
              </w:rPr>
              <w:t>7,0</w:t>
            </w:r>
          </w:p>
        </w:tc>
        <w:tc>
          <w:tcPr>
            <w:tcW w:w="1701" w:type="dxa"/>
          </w:tcPr>
          <w:p w:rsidR="006C1B2D" w:rsidRPr="00053B07" w:rsidRDefault="006C1B2D" w:rsidP="00C0125B">
            <w:pPr>
              <w:ind w:left="567"/>
              <w:rPr>
                <w:rFonts w:ascii="Comic Sans MS" w:hAnsi="Comic Sans MS"/>
              </w:rPr>
            </w:pPr>
            <w:r>
              <w:rPr>
                <w:rFonts w:ascii="Comic Sans MS" w:hAnsi="Comic Sans MS"/>
              </w:rPr>
              <w:t>&gt;</w:t>
            </w:r>
            <w:r w:rsidRPr="00053B07">
              <w:rPr>
                <w:rFonts w:ascii="Comic Sans MS" w:hAnsi="Comic Sans MS"/>
              </w:rPr>
              <w:t>17,01</w:t>
            </w:r>
          </w:p>
        </w:tc>
        <w:tc>
          <w:tcPr>
            <w:tcW w:w="5103" w:type="dxa"/>
          </w:tcPr>
          <w:p w:rsidR="006C1B2D" w:rsidRDefault="006C1B2D" w:rsidP="00C0125B">
            <w:pPr>
              <w:rPr>
                <w:rFonts w:ascii="Comic Sans MS" w:hAnsi="Comic Sans MS"/>
              </w:rPr>
            </w:pPr>
            <w:r>
              <w:rPr>
                <w:rFonts w:ascii="Comic Sans MS" w:hAnsi="Comic Sans MS"/>
              </w:rPr>
              <w:t>Καρδιακή ανακοπή, παράλυση αναπνευστικού</w:t>
            </w:r>
          </w:p>
        </w:tc>
      </w:tr>
    </w:tbl>
    <w:p w:rsidR="00725B38" w:rsidRPr="006C1B2D" w:rsidRDefault="00CF215F" w:rsidP="00CF215F">
      <w:pPr>
        <w:jc w:val="both"/>
        <w:rPr>
          <w:rFonts w:ascii="Cambria" w:hAnsi="Cambria"/>
          <w:sz w:val="24"/>
          <w:szCs w:val="24"/>
          <w:lang w:val="en-US"/>
        </w:rPr>
      </w:pPr>
      <w:r w:rsidRPr="00B51773">
        <w:rPr>
          <w:rFonts w:ascii="Cambria" w:hAnsi="Cambria"/>
          <w:sz w:val="144"/>
          <w:szCs w:val="144"/>
        </w:rPr>
        <w:t xml:space="preserve">  </w:t>
      </w:r>
    </w:p>
    <w:p w:rsidR="00157313" w:rsidRPr="00157313" w:rsidRDefault="00CF215F" w:rsidP="00725B38">
      <w:pPr>
        <w:jc w:val="both"/>
        <w:rPr>
          <w:rFonts w:ascii="Cambria" w:hAnsi="Cambria"/>
          <w:i/>
          <w:sz w:val="24"/>
          <w:szCs w:val="24"/>
        </w:rPr>
      </w:pPr>
      <w:r w:rsidRPr="00157313">
        <w:rPr>
          <w:rFonts w:ascii="Cambria" w:hAnsi="Cambria"/>
          <w:i/>
          <w:sz w:val="24"/>
          <w:szCs w:val="24"/>
        </w:rPr>
        <w:t xml:space="preserve">Αντιμετώπιση υπερδοσολογίας : </w:t>
      </w:r>
      <w:r w:rsidRPr="00CF215F">
        <w:rPr>
          <w:rFonts w:ascii="Cambria" w:hAnsi="Cambria"/>
          <w:sz w:val="24"/>
          <w:szCs w:val="24"/>
        </w:rPr>
        <w:t>ενυδάτωση με σκοπό την πρόκληση έντονης διούρησης , ενώ σε περίπτωση νεφρικής ανεπάρκειας είναι απαραίτητη περιτοναϊκή κάθαρση ή αιμοκάθαρση . μπορεί να χορηγηθεί ως αντίδοτο, γλυκονικό ασβέστιο ενδοφλεβίως.</w:t>
      </w:r>
    </w:p>
    <w:p w:rsidR="000D2BAA" w:rsidRPr="00674ECA" w:rsidRDefault="000D2BAA" w:rsidP="00725B38">
      <w:pPr>
        <w:jc w:val="both"/>
        <w:rPr>
          <w:rFonts w:ascii="Cambria" w:hAnsi="Cambria"/>
          <w:sz w:val="24"/>
          <w:szCs w:val="24"/>
        </w:rPr>
      </w:pPr>
      <w:r w:rsidRPr="00674ECA">
        <w:rPr>
          <w:rFonts w:ascii="Cambria" w:hAnsi="Cambria"/>
          <w:b/>
          <w:sz w:val="24"/>
          <w:szCs w:val="24"/>
        </w:rPr>
        <w:t>5. ΦΑΡΜΑΚΟΛΟΓΙΚΕΣ ΙΔΙΟΤΗΤΕΣ</w:t>
      </w:r>
    </w:p>
    <w:p w:rsidR="000D2BAA" w:rsidRPr="00674ECA" w:rsidRDefault="000D2BAA" w:rsidP="00674ECA">
      <w:pPr>
        <w:jc w:val="both"/>
        <w:rPr>
          <w:rFonts w:ascii="Cambria" w:hAnsi="Cambria"/>
          <w:b/>
          <w:sz w:val="24"/>
          <w:szCs w:val="24"/>
        </w:rPr>
      </w:pPr>
      <w:r w:rsidRPr="00674ECA">
        <w:rPr>
          <w:rFonts w:ascii="Cambria" w:hAnsi="Cambria"/>
          <w:b/>
          <w:sz w:val="24"/>
          <w:szCs w:val="24"/>
        </w:rPr>
        <w:t xml:space="preserve">5.1 Φαρμακοδυναμικές ιδιότητες </w:t>
      </w:r>
    </w:p>
    <w:p w:rsidR="00725B38" w:rsidRPr="00694F5C" w:rsidRDefault="00725B38" w:rsidP="00725B38">
      <w:pPr>
        <w:jc w:val="both"/>
        <w:rPr>
          <w:rFonts w:ascii="Cambria" w:hAnsi="Cambria"/>
          <w:sz w:val="24"/>
          <w:szCs w:val="24"/>
        </w:rPr>
      </w:pPr>
      <w:r w:rsidRPr="00157313">
        <w:rPr>
          <w:rFonts w:ascii="Cambria" w:hAnsi="Cambria"/>
          <w:i/>
          <w:sz w:val="24"/>
          <w:szCs w:val="24"/>
        </w:rPr>
        <w:t>Φαρμακοθεραπευτική κατηγορία</w:t>
      </w:r>
      <w:r w:rsidRPr="00725B38">
        <w:rPr>
          <w:rFonts w:ascii="Cambria" w:hAnsi="Cambria"/>
          <w:sz w:val="24"/>
          <w:szCs w:val="24"/>
        </w:rPr>
        <w:t xml:space="preserve"> : συμπληρώματα μεταλλικών στοιχείων , άλλα συμπληρώματα μεταλλικών στοιχείων ΑΤC : A12CC08</w:t>
      </w:r>
    </w:p>
    <w:p w:rsidR="00287DD9" w:rsidRPr="00092A50" w:rsidRDefault="00287DD9" w:rsidP="00287DD9">
      <w:pPr>
        <w:jc w:val="both"/>
        <w:rPr>
          <w:spacing w:val="20"/>
        </w:rPr>
      </w:pPr>
      <w:r w:rsidRPr="00092A50">
        <w:rPr>
          <w:spacing w:val="20"/>
        </w:rPr>
        <w:t xml:space="preserve">Μηχανισμός δράσης </w:t>
      </w:r>
    </w:p>
    <w:p w:rsidR="00287DD9" w:rsidRPr="00092A50" w:rsidRDefault="00287DD9" w:rsidP="00287DD9">
      <w:pPr>
        <w:autoSpaceDE w:val="0"/>
        <w:autoSpaceDN w:val="0"/>
        <w:adjustRightInd w:val="0"/>
        <w:ind w:left="357"/>
        <w:rPr>
          <w:spacing w:val="20"/>
        </w:rPr>
      </w:pPr>
      <w:r w:rsidRPr="00092A50">
        <w:rPr>
          <w:spacing w:val="20"/>
        </w:rPr>
        <w:t xml:space="preserve">Τα αναβράζοντα δισκία </w:t>
      </w:r>
      <w:r w:rsidRPr="00092A50">
        <w:rPr>
          <w:lang w:val="en-US"/>
        </w:rPr>
        <w:t>ORBIMAG</w:t>
      </w:r>
      <w:r w:rsidRPr="00092A50">
        <w:t xml:space="preserve"> 300 </w:t>
      </w:r>
      <w:r w:rsidRPr="00092A50">
        <w:rPr>
          <w:spacing w:val="20"/>
        </w:rPr>
        <w:t xml:space="preserve"> περιέχουν μαγνήσιο, το οποίο έχει ένα ευρύ φάσμα από φυσιολογικές λειτουργίες: Το κατιόν είναι συμπαράγοντας όλων των ενζύμων τα οποία συμμετέχουν στη μεταφορά </w:t>
      </w:r>
      <w:r w:rsidRPr="00092A50">
        <w:rPr>
          <w:spacing w:val="20"/>
        </w:rPr>
        <w:lastRenderedPageBreak/>
        <w:t xml:space="preserve">του φωσφόρου και παίζει ένα σημαντικό ρόλο στη νευροχημική διαβίβαση και στη ρύθμιση της μυϊκής διέγερσης. Επιπλέον, το μαγνήσιο ενεργεί ως ανταγωνιστής του ασβεστίου για την καρδιά. Ημερήσια πρόσληψη 200-400 </w:t>
      </w:r>
      <w:r w:rsidRPr="00092A50">
        <w:rPr>
          <w:spacing w:val="20"/>
          <w:lang w:val="en-US"/>
        </w:rPr>
        <w:t>mg</w:t>
      </w:r>
      <w:r w:rsidRPr="00092A50">
        <w:rPr>
          <w:spacing w:val="20"/>
        </w:rPr>
        <w:t xml:space="preserve"> (8.2-16.4 </w:t>
      </w:r>
      <w:proofErr w:type="spellStart"/>
      <w:r w:rsidRPr="00092A50">
        <w:rPr>
          <w:spacing w:val="20"/>
          <w:lang w:val="en-US"/>
        </w:rPr>
        <w:t>mmol</w:t>
      </w:r>
      <w:proofErr w:type="spellEnd"/>
      <w:r w:rsidRPr="00092A50">
        <w:rPr>
          <w:spacing w:val="20"/>
        </w:rPr>
        <w:t xml:space="preserve">) θεωρείται ως επαρκής για τη διατήρηση της ισορροπίας του μαγνησίου. Στις ΗΠΑ η συνιστώμενη ημερήσια πρόσληψη είναι 300 </w:t>
      </w:r>
      <w:r w:rsidRPr="00092A50">
        <w:rPr>
          <w:spacing w:val="20"/>
          <w:lang w:val="en-US"/>
        </w:rPr>
        <w:t>mg</w:t>
      </w:r>
      <w:r w:rsidRPr="00092A50">
        <w:rPr>
          <w:spacing w:val="20"/>
        </w:rPr>
        <w:t xml:space="preserve"> (12.3 </w:t>
      </w:r>
      <w:proofErr w:type="spellStart"/>
      <w:r w:rsidRPr="00092A50">
        <w:rPr>
          <w:spacing w:val="20"/>
          <w:lang w:val="en-US"/>
        </w:rPr>
        <w:t>mmol</w:t>
      </w:r>
      <w:proofErr w:type="spellEnd"/>
      <w:r w:rsidRPr="00092A50">
        <w:rPr>
          <w:spacing w:val="20"/>
        </w:rPr>
        <w:t xml:space="preserve">) για τις γυναίκες και 350-400 </w:t>
      </w:r>
      <w:r w:rsidRPr="00092A50">
        <w:rPr>
          <w:spacing w:val="20"/>
          <w:lang w:val="en-US"/>
        </w:rPr>
        <w:t>mg</w:t>
      </w:r>
      <w:r w:rsidRPr="00092A50">
        <w:rPr>
          <w:spacing w:val="20"/>
        </w:rPr>
        <w:t xml:space="preserve"> (14.35 – 16.4 </w:t>
      </w:r>
      <w:proofErr w:type="spellStart"/>
      <w:r w:rsidRPr="00092A50">
        <w:rPr>
          <w:spacing w:val="20"/>
          <w:lang w:val="en-US"/>
        </w:rPr>
        <w:t>mmol</w:t>
      </w:r>
      <w:proofErr w:type="spellEnd"/>
      <w:r w:rsidRPr="00092A50">
        <w:rPr>
          <w:spacing w:val="20"/>
        </w:rPr>
        <w:t xml:space="preserve">) για τους άνδρες. Τα πράσινα λαχανικά είναι η πιο πλούσια πηγή διαιτητικού μαγνησίου. Σε μια σωστή διατροφή, η έλλειψη μαγνησίου είναι σπάνια. Ωστόσο, σε περίπτωση κακής διατροφής, κατάχρησης οινοπνεύματος, δυσαπορρόφησης, αυξημένης ανάγκης (εγκυμοσύνη και θηλασμός, διατροφή πλούσια σε πρωτεΐνες, διατροφή πλούσια σε ασβέστιο) ή σε διαταραχές της νεφρικής επαναπορρόφησης στην υπερασβεστιαιμία, τον υπεραλδοστερονισμό, τον υπερθυρεοειδισμό καθώς και υπό διουρητική θεραπεία, μπορεί να προκύψει έλλειψη η οποία υπό ορισμένες περιστάσεις δεν μπορεί πλέον να καλυφθεί με τη φυσιολογική διατροφή. </w:t>
      </w:r>
    </w:p>
    <w:p w:rsidR="00287DD9" w:rsidRPr="00092A50" w:rsidRDefault="00287DD9" w:rsidP="00287DD9">
      <w:pPr>
        <w:autoSpaceDE w:val="0"/>
        <w:autoSpaceDN w:val="0"/>
        <w:adjustRightInd w:val="0"/>
        <w:rPr>
          <w:b/>
          <w:bCs/>
        </w:rPr>
      </w:pPr>
    </w:p>
    <w:p w:rsidR="00287DD9" w:rsidRPr="00092A50" w:rsidRDefault="00287DD9" w:rsidP="00287DD9">
      <w:pPr>
        <w:autoSpaceDE w:val="0"/>
        <w:autoSpaceDN w:val="0"/>
        <w:adjustRightInd w:val="0"/>
        <w:rPr>
          <w:b/>
          <w:bCs/>
        </w:rPr>
      </w:pPr>
      <w:r w:rsidRPr="00092A50">
        <w:rPr>
          <w:b/>
          <w:bCs/>
        </w:rPr>
        <w:t>5.2 Φαρμακοκινητικές ιδιότητες</w:t>
      </w:r>
    </w:p>
    <w:p w:rsidR="00287DD9" w:rsidRPr="00092A50" w:rsidRDefault="00287DD9" w:rsidP="00287DD9">
      <w:pPr>
        <w:jc w:val="both"/>
        <w:rPr>
          <w:spacing w:val="20"/>
        </w:rPr>
      </w:pPr>
      <w:r w:rsidRPr="00092A50">
        <w:rPr>
          <w:spacing w:val="20"/>
        </w:rPr>
        <w:t xml:space="preserve">Απορρόφηση </w:t>
      </w:r>
    </w:p>
    <w:p w:rsidR="00287DD9" w:rsidRPr="00092A50" w:rsidRDefault="00287DD9" w:rsidP="00287DD9">
      <w:pPr>
        <w:ind w:left="357"/>
        <w:jc w:val="both"/>
        <w:rPr>
          <w:spacing w:val="20"/>
        </w:rPr>
      </w:pPr>
      <w:r w:rsidRPr="00092A50">
        <w:rPr>
          <w:spacing w:val="20"/>
        </w:rPr>
        <w:t xml:space="preserve">Μετά τη διάλυση του αναβράζοντος δισκίου το μαγνήσιο είναι παρόν ως κιτρικό άλας. Στο οξύ περιβάλλον του στομάχου, το κιτρικό μαγνήσιο διασπάται πλήρως. Περίπου το 30% των διατροφικών δόσεων από του στόματος μαγνησίου απορροφούνται, κυρίως στο λεπτό έντερο. Το υπόλοιπο αποβάλλεται από τον οργανισμό με τα κόπρανα. </w:t>
      </w:r>
    </w:p>
    <w:p w:rsidR="00287DD9" w:rsidRPr="00092A50" w:rsidRDefault="00287DD9" w:rsidP="00287DD9">
      <w:pPr>
        <w:jc w:val="both"/>
        <w:rPr>
          <w:spacing w:val="20"/>
        </w:rPr>
      </w:pPr>
      <w:r w:rsidRPr="00092A50">
        <w:rPr>
          <w:spacing w:val="20"/>
        </w:rPr>
        <w:t xml:space="preserve">Κατανομή </w:t>
      </w:r>
    </w:p>
    <w:p w:rsidR="00287DD9" w:rsidRPr="00092A50" w:rsidRDefault="00287DD9" w:rsidP="00287DD9">
      <w:pPr>
        <w:ind w:left="357"/>
        <w:jc w:val="both"/>
        <w:rPr>
          <w:spacing w:val="20"/>
        </w:rPr>
      </w:pPr>
      <w:r w:rsidRPr="00092A50">
        <w:rPr>
          <w:spacing w:val="20"/>
        </w:rPr>
        <w:t xml:space="preserve">Το φυσιολογικό εύρος πλάσματος είναι 0.8-1.1 </w:t>
      </w:r>
      <w:proofErr w:type="spellStart"/>
      <w:r w:rsidRPr="00092A50">
        <w:rPr>
          <w:spacing w:val="20"/>
          <w:lang w:val="en-US"/>
        </w:rPr>
        <w:t>mmol</w:t>
      </w:r>
      <w:proofErr w:type="spellEnd"/>
      <w:r w:rsidRPr="00092A50">
        <w:rPr>
          <w:spacing w:val="20"/>
        </w:rPr>
        <w:t>/</w:t>
      </w:r>
      <w:r w:rsidRPr="00092A50">
        <w:rPr>
          <w:spacing w:val="20"/>
          <w:lang w:val="en-US"/>
        </w:rPr>
        <w:t>l</w:t>
      </w:r>
      <w:r w:rsidRPr="00092A50">
        <w:rPr>
          <w:spacing w:val="20"/>
        </w:rPr>
        <w:t xml:space="preserve">. Το 32% του μαγνησίου δεσμεύεται σε πρωτεΐνες, 55% είναι παρόν σε ιονισμένη μορφή. </w:t>
      </w:r>
    </w:p>
    <w:p w:rsidR="00287DD9" w:rsidRPr="00092A50" w:rsidRDefault="00287DD9" w:rsidP="00287DD9">
      <w:pPr>
        <w:jc w:val="both"/>
        <w:rPr>
          <w:spacing w:val="20"/>
        </w:rPr>
      </w:pPr>
      <w:r w:rsidRPr="00092A50">
        <w:rPr>
          <w:spacing w:val="20"/>
        </w:rPr>
        <w:t xml:space="preserve">Μεταβολισμός/Αποβολή </w:t>
      </w:r>
    </w:p>
    <w:p w:rsidR="00287DD9" w:rsidRPr="00092A50" w:rsidRDefault="00287DD9" w:rsidP="00287DD9">
      <w:pPr>
        <w:ind w:left="357"/>
        <w:jc w:val="both"/>
        <w:rPr>
          <w:spacing w:val="20"/>
        </w:rPr>
      </w:pPr>
      <w:r w:rsidRPr="00092A50">
        <w:rPr>
          <w:spacing w:val="20"/>
        </w:rPr>
        <w:t>Η φυσιολογική ομοιόσταση ρυθμίζει την κατανομή και αποβολή του απορροφούμενου μαγνησίου, με τη διήθηση μέσω του νευρικού σπειράματος στα νεφρά να ευθύνεται κυρίως για την απέκκριση, η οποία περιορίζεται από την ποσότητα της σωλην</w:t>
      </w:r>
      <w:r w:rsidR="0095748D">
        <w:rPr>
          <w:spacing w:val="20"/>
        </w:rPr>
        <w:t>ω</w:t>
      </w:r>
      <w:r w:rsidRPr="00092A50">
        <w:rPr>
          <w:spacing w:val="20"/>
        </w:rPr>
        <w:t xml:space="preserve">ριακής επαναπορρόφησης, που υπόκειται σε ανταγωνισμό από το ασβέστιο. </w:t>
      </w:r>
    </w:p>
    <w:p w:rsidR="00287DD9" w:rsidRPr="00092A50" w:rsidRDefault="00287DD9" w:rsidP="00287DD9">
      <w:pPr>
        <w:jc w:val="both"/>
        <w:rPr>
          <w:spacing w:val="20"/>
        </w:rPr>
      </w:pPr>
      <w:r w:rsidRPr="00092A50">
        <w:rPr>
          <w:spacing w:val="20"/>
        </w:rPr>
        <w:t xml:space="preserve">Φαρμακοκινητική σε συγκεκριμένους πληθυσμούς ασθενών </w:t>
      </w:r>
    </w:p>
    <w:p w:rsidR="00287DD9" w:rsidRPr="00092A50" w:rsidRDefault="00287DD9" w:rsidP="00287DD9">
      <w:pPr>
        <w:ind w:left="357"/>
        <w:jc w:val="both"/>
        <w:rPr>
          <w:spacing w:val="20"/>
        </w:rPr>
      </w:pPr>
      <w:r w:rsidRPr="00092A50">
        <w:rPr>
          <w:spacing w:val="20"/>
        </w:rPr>
        <w:lastRenderedPageBreak/>
        <w:t xml:space="preserve">Υπάρχει κίνδυνος συσσώρευσης σε νεφρική ανεπάρκεια. Η απορρόφηση μπορεί να μειωθεί σε περιπτώσεις διάρροιας, αλκοολισμού και σακχαρώδη διαβήτη. </w:t>
      </w:r>
    </w:p>
    <w:p w:rsidR="00287DD9" w:rsidRPr="00092A50" w:rsidRDefault="00287DD9" w:rsidP="00287DD9">
      <w:pPr>
        <w:autoSpaceDE w:val="0"/>
        <w:autoSpaceDN w:val="0"/>
        <w:adjustRightInd w:val="0"/>
        <w:rPr>
          <w:b/>
          <w:bCs/>
        </w:rPr>
      </w:pPr>
    </w:p>
    <w:p w:rsidR="00287DD9" w:rsidRPr="00694F5C" w:rsidRDefault="00287DD9" w:rsidP="00287DD9">
      <w:pPr>
        <w:autoSpaceDE w:val="0"/>
        <w:autoSpaceDN w:val="0"/>
        <w:adjustRightInd w:val="0"/>
        <w:rPr>
          <w:b/>
          <w:bCs/>
        </w:rPr>
      </w:pPr>
      <w:r w:rsidRPr="00092A50">
        <w:rPr>
          <w:b/>
          <w:bCs/>
        </w:rPr>
        <w:t>5.3 Προκλ</w:t>
      </w:r>
      <w:r>
        <w:rPr>
          <w:b/>
          <w:bCs/>
        </w:rPr>
        <w:t>ινικά δεδομένα για την ασφάλεια</w:t>
      </w:r>
    </w:p>
    <w:p w:rsidR="00287DD9" w:rsidRPr="00287DD9" w:rsidRDefault="00287DD9" w:rsidP="00287DD9">
      <w:pPr>
        <w:ind w:left="357"/>
        <w:jc w:val="both"/>
        <w:rPr>
          <w:spacing w:val="20"/>
        </w:rPr>
      </w:pPr>
      <w:r w:rsidRPr="00092A50">
        <w:rPr>
          <w:spacing w:val="20"/>
        </w:rPr>
        <w:t xml:space="preserve">Το </w:t>
      </w:r>
      <w:r w:rsidRPr="00092A50">
        <w:rPr>
          <w:lang w:val="en-US"/>
        </w:rPr>
        <w:t>ORBIMAG</w:t>
      </w:r>
      <w:r w:rsidRPr="00092A50">
        <w:t xml:space="preserve"> 300</w:t>
      </w:r>
      <w:r w:rsidRPr="00092A50">
        <w:rPr>
          <w:spacing w:val="20"/>
        </w:rPr>
        <w:t xml:space="preserve"> περιέχει μαγνήσιο σε φυσιολογική δόση. Συνεπώς δεν παρου</w:t>
      </w:r>
      <w:r>
        <w:rPr>
          <w:spacing w:val="20"/>
        </w:rPr>
        <w:t xml:space="preserve">σιάζονται προκλινικά δεδομένα. </w:t>
      </w:r>
    </w:p>
    <w:p w:rsidR="00287DD9" w:rsidRPr="00287DD9" w:rsidRDefault="00287DD9" w:rsidP="00287DD9">
      <w:pPr>
        <w:ind w:left="357"/>
        <w:jc w:val="both"/>
        <w:rPr>
          <w:spacing w:val="20"/>
        </w:rPr>
      </w:pPr>
    </w:p>
    <w:p w:rsidR="00535465" w:rsidRPr="00B60C4A" w:rsidRDefault="00535465" w:rsidP="00535465">
      <w:pPr>
        <w:rPr>
          <w:rFonts w:asciiTheme="majorHAnsi" w:hAnsiTheme="majorHAnsi"/>
          <w:b/>
        </w:rPr>
      </w:pPr>
      <w:r w:rsidRPr="00B60C4A">
        <w:rPr>
          <w:rFonts w:asciiTheme="majorHAnsi" w:hAnsiTheme="majorHAnsi"/>
          <w:b/>
        </w:rPr>
        <w:t>6. ΦΑΡΜΑΚΕΥΤΙΚΕΣ ΠΛΗΡΟΦΟΡΙΕΣ</w:t>
      </w:r>
    </w:p>
    <w:p w:rsidR="00535465" w:rsidRPr="00B60C4A" w:rsidRDefault="00535465" w:rsidP="00535465">
      <w:pPr>
        <w:rPr>
          <w:rFonts w:asciiTheme="majorHAnsi" w:hAnsiTheme="majorHAnsi"/>
          <w:b/>
        </w:rPr>
      </w:pPr>
      <w:r w:rsidRPr="00B60C4A">
        <w:rPr>
          <w:rFonts w:asciiTheme="majorHAnsi" w:hAnsiTheme="majorHAnsi"/>
          <w:b/>
        </w:rPr>
        <w:t xml:space="preserve">6.1 Κατάλογος εκδοχών </w:t>
      </w:r>
    </w:p>
    <w:p w:rsidR="00535465" w:rsidRPr="000B6C3B" w:rsidRDefault="00535465" w:rsidP="00535465">
      <w:pPr>
        <w:rPr>
          <w:rFonts w:asciiTheme="majorHAnsi" w:hAnsiTheme="majorHAnsi"/>
          <w:lang w:val="en-US"/>
        </w:rPr>
      </w:pPr>
      <w:r>
        <w:rPr>
          <w:rFonts w:asciiTheme="majorHAnsi" w:hAnsiTheme="majorHAnsi"/>
          <w:lang w:val="en-US"/>
        </w:rPr>
        <w:t>Citric</w:t>
      </w:r>
      <w:r w:rsidRPr="000B6C3B">
        <w:rPr>
          <w:rFonts w:asciiTheme="majorHAnsi" w:hAnsiTheme="majorHAnsi"/>
          <w:lang w:val="en-US"/>
        </w:rPr>
        <w:t xml:space="preserve"> </w:t>
      </w:r>
      <w:r>
        <w:rPr>
          <w:rFonts w:asciiTheme="majorHAnsi" w:hAnsiTheme="majorHAnsi"/>
          <w:lang w:val="en-US"/>
        </w:rPr>
        <w:t>acid</w:t>
      </w:r>
      <w:r w:rsidRPr="000B6C3B">
        <w:rPr>
          <w:rFonts w:asciiTheme="majorHAnsi" w:hAnsiTheme="majorHAnsi"/>
          <w:lang w:val="en-US"/>
        </w:rPr>
        <w:t xml:space="preserve"> </w:t>
      </w:r>
      <w:r>
        <w:rPr>
          <w:rFonts w:asciiTheme="majorHAnsi" w:hAnsiTheme="majorHAnsi"/>
          <w:lang w:val="en-US"/>
        </w:rPr>
        <w:t>anhydrous</w:t>
      </w:r>
      <w:r w:rsidRPr="000B6C3B">
        <w:rPr>
          <w:rFonts w:asciiTheme="majorHAnsi" w:hAnsiTheme="majorHAnsi"/>
          <w:lang w:val="en-US"/>
        </w:rPr>
        <w:t xml:space="preserve">, </w:t>
      </w:r>
      <w:proofErr w:type="spellStart"/>
      <w:r>
        <w:rPr>
          <w:rFonts w:asciiTheme="majorHAnsi" w:hAnsiTheme="majorHAnsi"/>
          <w:lang w:val="en-US"/>
        </w:rPr>
        <w:t>Povidon</w:t>
      </w:r>
      <w:proofErr w:type="spellEnd"/>
      <w:r w:rsidRPr="000B6C3B">
        <w:rPr>
          <w:rFonts w:asciiTheme="majorHAnsi" w:hAnsiTheme="majorHAnsi"/>
          <w:lang w:val="en-US"/>
        </w:rPr>
        <w:t xml:space="preserve"> </w:t>
      </w:r>
      <w:r>
        <w:rPr>
          <w:rFonts w:asciiTheme="majorHAnsi" w:hAnsiTheme="majorHAnsi"/>
          <w:lang w:val="en-US"/>
        </w:rPr>
        <w:t>K</w:t>
      </w:r>
      <w:r w:rsidRPr="000B6C3B">
        <w:rPr>
          <w:rFonts w:asciiTheme="majorHAnsi" w:hAnsiTheme="majorHAnsi"/>
          <w:lang w:val="en-US"/>
        </w:rPr>
        <w:t xml:space="preserve">25, </w:t>
      </w:r>
      <w:r>
        <w:rPr>
          <w:rFonts w:asciiTheme="majorHAnsi" w:hAnsiTheme="majorHAnsi"/>
          <w:lang w:val="en-US"/>
        </w:rPr>
        <w:t>Sodium</w:t>
      </w:r>
      <w:r w:rsidRPr="000B6C3B">
        <w:rPr>
          <w:rFonts w:asciiTheme="majorHAnsi" w:hAnsiTheme="majorHAnsi"/>
          <w:lang w:val="en-US"/>
        </w:rPr>
        <w:t xml:space="preserve"> </w:t>
      </w:r>
      <w:proofErr w:type="gramStart"/>
      <w:r>
        <w:rPr>
          <w:rFonts w:asciiTheme="majorHAnsi" w:hAnsiTheme="majorHAnsi"/>
          <w:lang w:val="en-US"/>
        </w:rPr>
        <w:t>saccharine</w:t>
      </w:r>
      <w:r w:rsidRPr="000B6C3B">
        <w:rPr>
          <w:rFonts w:asciiTheme="majorHAnsi" w:hAnsiTheme="majorHAnsi"/>
          <w:lang w:val="en-US"/>
        </w:rPr>
        <w:t xml:space="preserve"> ,</w:t>
      </w:r>
      <w:proofErr w:type="gramEnd"/>
      <w:r w:rsidRPr="000B6C3B">
        <w:rPr>
          <w:rFonts w:asciiTheme="majorHAnsi" w:hAnsiTheme="majorHAnsi"/>
          <w:lang w:val="en-US"/>
        </w:rPr>
        <w:t xml:space="preserve"> </w:t>
      </w:r>
      <w:r>
        <w:rPr>
          <w:rFonts w:asciiTheme="majorHAnsi" w:hAnsiTheme="majorHAnsi"/>
          <w:lang w:val="en-US"/>
        </w:rPr>
        <w:t>Sodium</w:t>
      </w:r>
      <w:r w:rsidRPr="000B6C3B">
        <w:rPr>
          <w:rFonts w:asciiTheme="majorHAnsi" w:hAnsiTheme="majorHAnsi"/>
          <w:lang w:val="en-US"/>
        </w:rPr>
        <w:t xml:space="preserve"> </w:t>
      </w:r>
      <w:r>
        <w:rPr>
          <w:rFonts w:asciiTheme="majorHAnsi" w:hAnsiTheme="majorHAnsi"/>
          <w:lang w:val="en-US"/>
        </w:rPr>
        <w:t>cyclamate</w:t>
      </w:r>
      <w:r w:rsidRPr="000B6C3B">
        <w:rPr>
          <w:rFonts w:asciiTheme="majorHAnsi" w:hAnsiTheme="majorHAnsi"/>
          <w:lang w:val="en-US"/>
        </w:rPr>
        <w:t xml:space="preserve">, </w:t>
      </w:r>
      <w:r>
        <w:rPr>
          <w:rFonts w:asciiTheme="majorHAnsi" w:hAnsiTheme="majorHAnsi"/>
          <w:lang w:val="en-US"/>
        </w:rPr>
        <w:t>Aspartame</w:t>
      </w:r>
      <w:r w:rsidRPr="000B6C3B">
        <w:rPr>
          <w:rFonts w:asciiTheme="majorHAnsi" w:hAnsiTheme="majorHAnsi"/>
          <w:lang w:val="en-US"/>
        </w:rPr>
        <w:t xml:space="preserve"> , </w:t>
      </w:r>
      <w:r>
        <w:rPr>
          <w:rFonts w:asciiTheme="majorHAnsi" w:hAnsiTheme="majorHAnsi"/>
          <w:lang w:val="en-US"/>
        </w:rPr>
        <w:t>Mannitol</w:t>
      </w:r>
      <w:r w:rsidRPr="000B6C3B">
        <w:rPr>
          <w:rFonts w:asciiTheme="majorHAnsi" w:hAnsiTheme="majorHAnsi"/>
          <w:lang w:val="en-US"/>
        </w:rPr>
        <w:t xml:space="preserve">, </w:t>
      </w:r>
      <w:r>
        <w:rPr>
          <w:rFonts w:asciiTheme="majorHAnsi" w:hAnsiTheme="majorHAnsi"/>
          <w:lang w:val="en-US"/>
        </w:rPr>
        <w:t>Sodium</w:t>
      </w:r>
      <w:r w:rsidRPr="000B6C3B">
        <w:rPr>
          <w:rFonts w:asciiTheme="majorHAnsi" w:hAnsiTheme="majorHAnsi"/>
          <w:lang w:val="en-US"/>
        </w:rPr>
        <w:t xml:space="preserve"> </w:t>
      </w:r>
      <w:r>
        <w:rPr>
          <w:rFonts w:asciiTheme="majorHAnsi" w:hAnsiTheme="majorHAnsi"/>
          <w:lang w:val="en-US"/>
        </w:rPr>
        <w:t>hydrogen</w:t>
      </w:r>
      <w:r w:rsidRPr="000B6C3B">
        <w:rPr>
          <w:rFonts w:asciiTheme="majorHAnsi" w:hAnsiTheme="majorHAnsi"/>
          <w:lang w:val="en-US"/>
        </w:rPr>
        <w:t xml:space="preserve"> </w:t>
      </w:r>
      <w:r>
        <w:rPr>
          <w:rFonts w:asciiTheme="majorHAnsi" w:hAnsiTheme="majorHAnsi"/>
          <w:lang w:val="en-US"/>
        </w:rPr>
        <w:t>carbonate</w:t>
      </w:r>
      <w:r w:rsidRPr="000B6C3B">
        <w:rPr>
          <w:rFonts w:asciiTheme="majorHAnsi" w:hAnsiTheme="majorHAnsi"/>
          <w:lang w:val="en-US"/>
        </w:rPr>
        <w:t xml:space="preserve">, </w:t>
      </w:r>
      <w:proofErr w:type="spellStart"/>
      <w:r>
        <w:rPr>
          <w:rFonts w:asciiTheme="majorHAnsi" w:hAnsiTheme="majorHAnsi"/>
          <w:lang w:val="en-US"/>
        </w:rPr>
        <w:t>Macrogol</w:t>
      </w:r>
      <w:proofErr w:type="spellEnd"/>
      <w:r w:rsidRPr="000B6C3B">
        <w:rPr>
          <w:rFonts w:asciiTheme="majorHAnsi" w:hAnsiTheme="majorHAnsi"/>
          <w:lang w:val="en-US"/>
        </w:rPr>
        <w:t xml:space="preserve"> 6000, </w:t>
      </w:r>
      <w:r>
        <w:rPr>
          <w:rFonts w:asciiTheme="majorHAnsi" w:hAnsiTheme="majorHAnsi"/>
          <w:lang w:val="en-US"/>
        </w:rPr>
        <w:t>Lactose</w:t>
      </w:r>
      <w:r w:rsidRPr="000B6C3B">
        <w:rPr>
          <w:rFonts w:asciiTheme="majorHAnsi" w:hAnsiTheme="majorHAnsi"/>
          <w:lang w:val="en-US"/>
        </w:rPr>
        <w:t xml:space="preserve"> </w:t>
      </w:r>
      <w:r>
        <w:rPr>
          <w:rFonts w:asciiTheme="majorHAnsi" w:hAnsiTheme="majorHAnsi"/>
          <w:lang w:val="en-US"/>
        </w:rPr>
        <w:t>monohydrate</w:t>
      </w:r>
      <w:r w:rsidRPr="000B6C3B">
        <w:rPr>
          <w:rFonts w:asciiTheme="majorHAnsi" w:hAnsiTheme="majorHAnsi"/>
          <w:lang w:val="en-US"/>
        </w:rPr>
        <w:t xml:space="preserve">, </w:t>
      </w:r>
      <w:r>
        <w:rPr>
          <w:rFonts w:asciiTheme="majorHAnsi" w:hAnsiTheme="majorHAnsi"/>
          <w:lang w:val="en-US"/>
        </w:rPr>
        <w:t>Orange</w:t>
      </w:r>
      <w:r w:rsidRPr="000B6C3B">
        <w:rPr>
          <w:rFonts w:asciiTheme="majorHAnsi" w:hAnsiTheme="majorHAnsi"/>
          <w:lang w:val="en-US"/>
        </w:rPr>
        <w:t xml:space="preserve"> </w:t>
      </w:r>
      <w:r>
        <w:rPr>
          <w:rFonts w:asciiTheme="majorHAnsi" w:hAnsiTheme="majorHAnsi"/>
          <w:lang w:val="en-US"/>
        </w:rPr>
        <w:t>flavor</w:t>
      </w:r>
      <w:r w:rsidRPr="000B6C3B">
        <w:rPr>
          <w:rFonts w:asciiTheme="majorHAnsi" w:hAnsiTheme="majorHAnsi"/>
          <w:lang w:val="en-US"/>
        </w:rPr>
        <w:t xml:space="preserve"> </w:t>
      </w:r>
      <w:proofErr w:type="spellStart"/>
      <w:r>
        <w:rPr>
          <w:rFonts w:asciiTheme="majorHAnsi" w:hAnsiTheme="majorHAnsi"/>
          <w:lang w:val="en-US"/>
        </w:rPr>
        <w:t>Evogran</w:t>
      </w:r>
      <w:proofErr w:type="spellEnd"/>
      <w:r w:rsidRPr="000B6C3B">
        <w:rPr>
          <w:rFonts w:asciiTheme="majorHAnsi" w:hAnsiTheme="majorHAnsi"/>
          <w:lang w:val="en-US"/>
        </w:rPr>
        <w:t xml:space="preserve"> 301768 </w:t>
      </w:r>
      <w:proofErr w:type="spellStart"/>
      <w:r>
        <w:rPr>
          <w:rFonts w:asciiTheme="majorHAnsi" w:hAnsiTheme="majorHAnsi"/>
          <w:lang w:val="en-US"/>
        </w:rPr>
        <w:t>Symrise</w:t>
      </w:r>
      <w:proofErr w:type="spellEnd"/>
      <w:r w:rsidRPr="000B6C3B">
        <w:rPr>
          <w:rFonts w:asciiTheme="majorHAnsi" w:hAnsiTheme="majorHAnsi"/>
          <w:lang w:val="en-US"/>
        </w:rPr>
        <w:t xml:space="preserve">, </w:t>
      </w:r>
      <w:r>
        <w:rPr>
          <w:rFonts w:asciiTheme="majorHAnsi" w:hAnsiTheme="majorHAnsi"/>
          <w:lang w:val="en-US"/>
        </w:rPr>
        <w:t>Magnesium</w:t>
      </w:r>
      <w:r w:rsidRPr="000B6C3B">
        <w:rPr>
          <w:rFonts w:asciiTheme="majorHAnsi" w:hAnsiTheme="majorHAnsi"/>
          <w:lang w:val="en-US"/>
        </w:rPr>
        <w:t xml:space="preserve"> </w:t>
      </w:r>
      <w:r>
        <w:rPr>
          <w:rFonts w:asciiTheme="majorHAnsi" w:hAnsiTheme="majorHAnsi"/>
          <w:lang w:val="en-US"/>
        </w:rPr>
        <w:t>stearate</w:t>
      </w:r>
      <w:r w:rsidRPr="000B6C3B">
        <w:rPr>
          <w:rFonts w:asciiTheme="majorHAnsi" w:hAnsiTheme="majorHAnsi"/>
          <w:lang w:val="en-US"/>
        </w:rPr>
        <w:t xml:space="preserve"> </w:t>
      </w:r>
    </w:p>
    <w:p w:rsidR="00535465" w:rsidRPr="00B60C4A" w:rsidRDefault="00535465" w:rsidP="00535465">
      <w:pPr>
        <w:rPr>
          <w:rFonts w:asciiTheme="majorHAnsi" w:hAnsiTheme="majorHAnsi"/>
          <w:b/>
        </w:rPr>
      </w:pPr>
      <w:r w:rsidRPr="00CF215F">
        <w:rPr>
          <w:rFonts w:asciiTheme="majorHAnsi" w:hAnsiTheme="majorHAnsi"/>
          <w:b/>
        </w:rPr>
        <w:t xml:space="preserve">6.2 </w:t>
      </w:r>
      <w:r w:rsidRPr="00B60C4A">
        <w:rPr>
          <w:rFonts w:asciiTheme="majorHAnsi" w:hAnsiTheme="majorHAnsi"/>
          <w:b/>
          <w:lang w:val="en-US"/>
        </w:rPr>
        <w:t>A</w:t>
      </w:r>
      <w:r w:rsidRPr="00B60C4A">
        <w:rPr>
          <w:rFonts w:asciiTheme="majorHAnsi" w:hAnsiTheme="majorHAnsi"/>
          <w:b/>
        </w:rPr>
        <w:t xml:space="preserve">συμβατότητες </w:t>
      </w:r>
    </w:p>
    <w:p w:rsidR="00535465" w:rsidRDefault="00535465" w:rsidP="00535465">
      <w:pPr>
        <w:rPr>
          <w:rFonts w:asciiTheme="majorHAnsi" w:hAnsiTheme="majorHAnsi"/>
        </w:rPr>
      </w:pPr>
      <w:r>
        <w:rPr>
          <w:rFonts w:asciiTheme="majorHAnsi" w:hAnsiTheme="majorHAnsi"/>
        </w:rPr>
        <w:t>Δεν έχουν αναφερθεί .</w:t>
      </w:r>
    </w:p>
    <w:p w:rsidR="00535465" w:rsidRPr="00B60C4A" w:rsidRDefault="00535465" w:rsidP="00535465">
      <w:pPr>
        <w:rPr>
          <w:rFonts w:asciiTheme="majorHAnsi" w:hAnsiTheme="majorHAnsi"/>
          <w:b/>
        </w:rPr>
      </w:pPr>
      <w:r w:rsidRPr="00B60C4A">
        <w:rPr>
          <w:rFonts w:asciiTheme="majorHAnsi" w:hAnsiTheme="majorHAnsi"/>
          <w:b/>
        </w:rPr>
        <w:t>6.3 Διάρκεια ζωής</w:t>
      </w:r>
    </w:p>
    <w:p w:rsidR="00535465" w:rsidRDefault="00535465" w:rsidP="00535465">
      <w:pPr>
        <w:rPr>
          <w:rFonts w:asciiTheme="majorHAnsi" w:hAnsiTheme="majorHAnsi"/>
        </w:rPr>
      </w:pPr>
      <w:r>
        <w:rPr>
          <w:rFonts w:asciiTheme="majorHAnsi" w:hAnsiTheme="majorHAnsi"/>
        </w:rPr>
        <w:t>3 χρόνια</w:t>
      </w:r>
    </w:p>
    <w:p w:rsidR="00535465" w:rsidRDefault="00535465" w:rsidP="00535465">
      <w:pPr>
        <w:rPr>
          <w:rFonts w:asciiTheme="majorHAnsi" w:hAnsiTheme="majorHAnsi"/>
        </w:rPr>
      </w:pPr>
      <w:r w:rsidRPr="00B60C4A">
        <w:rPr>
          <w:rFonts w:asciiTheme="majorHAnsi" w:hAnsiTheme="majorHAnsi"/>
          <w:b/>
        </w:rPr>
        <w:t>6.4 Ιδιαίτερες προφυλάξεις κατά την φύλαξη του προϊόντος</w:t>
      </w:r>
      <w:r>
        <w:rPr>
          <w:rFonts w:asciiTheme="majorHAnsi" w:hAnsiTheme="majorHAnsi"/>
        </w:rPr>
        <w:t xml:space="preserve"> </w:t>
      </w:r>
    </w:p>
    <w:p w:rsidR="00535465" w:rsidRDefault="00535465" w:rsidP="00535465">
      <w:pPr>
        <w:rPr>
          <w:rFonts w:asciiTheme="majorHAnsi" w:hAnsiTheme="majorHAnsi"/>
        </w:rPr>
      </w:pPr>
      <w:r>
        <w:rPr>
          <w:rFonts w:asciiTheme="majorHAnsi" w:hAnsiTheme="majorHAnsi"/>
        </w:rPr>
        <w:t>Μη φυλάσσεται σε θερμοκρασία μεγαλύτερη των 25°</w:t>
      </w:r>
      <w:r>
        <w:rPr>
          <w:rFonts w:asciiTheme="majorHAnsi" w:hAnsiTheme="majorHAnsi"/>
          <w:lang w:val="en-US"/>
        </w:rPr>
        <w:t>C</w:t>
      </w:r>
      <w:r w:rsidR="00B60C4A">
        <w:rPr>
          <w:rFonts w:asciiTheme="majorHAnsi" w:hAnsiTheme="majorHAnsi"/>
        </w:rPr>
        <w:t>.</w:t>
      </w:r>
    </w:p>
    <w:p w:rsidR="00B60C4A" w:rsidRDefault="00B60C4A" w:rsidP="00535465">
      <w:pPr>
        <w:rPr>
          <w:rFonts w:asciiTheme="majorHAnsi" w:hAnsiTheme="majorHAnsi"/>
        </w:rPr>
      </w:pPr>
    </w:p>
    <w:p w:rsidR="00B60C4A" w:rsidRPr="00B60C4A" w:rsidRDefault="00B60C4A" w:rsidP="00535465">
      <w:pPr>
        <w:rPr>
          <w:rFonts w:asciiTheme="majorHAnsi" w:hAnsiTheme="majorHAnsi"/>
          <w:b/>
        </w:rPr>
      </w:pPr>
      <w:r w:rsidRPr="00B60C4A">
        <w:rPr>
          <w:rFonts w:asciiTheme="majorHAnsi" w:hAnsiTheme="majorHAnsi"/>
          <w:b/>
        </w:rPr>
        <w:t xml:space="preserve">6.5 Φύση και συστατικά του περιέκτη </w:t>
      </w:r>
    </w:p>
    <w:p w:rsidR="00B60C4A" w:rsidRDefault="00B60C4A" w:rsidP="00535465">
      <w:pPr>
        <w:rPr>
          <w:rFonts w:asciiTheme="majorHAnsi" w:hAnsiTheme="majorHAnsi"/>
        </w:rPr>
      </w:pPr>
      <w:r>
        <w:rPr>
          <w:rFonts w:asciiTheme="majorHAnsi" w:hAnsiTheme="majorHAnsi"/>
        </w:rPr>
        <w:t>ΣΩΛΗΝΑΡΙΑ ΠΟΛΥΠΡΟΠΥΛΕΝΙΟΥ ΠΟΥ ΦΕΡΟΥΝ ΠΩΜΑ ΠΟΛΥΑΙΘΥΛΕΝΙΟΥ</w:t>
      </w:r>
    </w:p>
    <w:p w:rsidR="00B60C4A" w:rsidRPr="00CF215F" w:rsidRDefault="00B60C4A" w:rsidP="00535465">
      <w:pPr>
        <w:rPr>
          <w:rFonts w:asciiTheme="majorHAnsi" w:hAnsiTheme="majorHAnsi"/>
        </w:rPr>
      </w:pPr>
      <w:r>
        <w:rPr>
          <w:rFonts w:asciiTheme="majorHAnsi" w:hAnsiTheme="majorHAnsi"/>
        </w:rPr>
        <w:t xml:space="preserve">ΒΤ </w:t>
      </w:r>
      <w:r>
        <w:rPr>
          <w:rFonts w:asciiTheme="majorHAnsi" w:hAnsiTheme="majorHAnsi"/>
          <w:lang w:val="en-US"/>
        </w:rPr>
        <w:t>x</w:t>
      </w:r>
      <w:r w:rsidRPr="00CF215F">
        <w:rPr>
          <w:rFonts w:asciiTheme="majorHAnsi" w:hAnsiTheme="majorHAnsi"/>
        </w:rPr>
        <w:t xml:space="preserve"> 20 </w:t>
      </w:r>
      <w:r>
        <w:rPr>
          <w:rFonts w:asciiTheme="majorHAnsi" w:hAnsiTheme="majorHAnsi"/>
        </w:rPr>
        <w:t>(</w:t>
      </w:r>
      <w:r w:rsidRPr="00CF215F">
        <w:rPr>
          <w:rFonts w:asciiTheme="majorHAnsi" w:hAnsiTheme="majorHAnsi"/>
        </w:rPr>
        <w:t xml:space="preserve">1 </w:t>
      </w:r>
      <w:r>
        <w:rPr>
          <w:rFonts w:asciiTheme="majorHAnsi" w:hAnsiTheme="majorHAnsi"/>
          <w:lang w:val="en-US"/>
        </w:rPr>
        <w:t>TUBE</w:t>
      </w:r>
      <w:r w:rsidRPr="00CF215F">
        <w:rPr>
          <w:rFonts w:asciiTheme="majorHAnsi" w:hAnsiTheme="majorHAnsi"/>
        </w:rPr>
        <w:t xml:space="preserve"> </w:t>
      </w:r>
      <w:r>
        <w:rPr>
          <w:rFonts w:asciiTheme="majorHAnsi" w:hAnsiTheme="majorHAnsi"/>
          <w:lang w:val="en-US"/>
        </w:rPr>
        <w:t>x</w:t>
      </w:r>
      <w:r w:rsidRPr="00CF215F">
        <w:rPr>
          <w:rFonts w:asciiTheme="majorHAnsi" w:hAnsiTheme="majorHAnsi"/>
        </w:rPr>
        <w:t xml:space="preserve"> 20 )</w:t>
      </w:r>
    </w:p>
    <w:p w:rsidR="00B60C4A" w:rsidRPr="00CF215F" w:rsidRDefault="00B60C4A" w:rsidP="00B60C4A">
      <w:pPr>
        <w:rPr>
          <w:rFonts w:asciiTheme="majorHAnsi" w:hAnsiTheme="majorHAnsi"/>
        </w:rPr>
      </w:pPr>
      <w:r>
        <w:rPr>
          <w:rFonts w:asciiTheme="majorHAnsi" w:hAnsiTheme="majorHAnsi"/>
        </w:rPr>
        <w:t>ΒΤ</w:t>
      </w:r>
      <w:r w:rsidRPr="00CF215F">
        <w:rPr>
          <w:rFonts w:asciiTheme="majorHAnsi" w:hAnsiTheme="majorHAnsi"/>
        </w:rPr>
        <w:t xml:space="preserve"> </w:t>
      </w:r>
      <w:r>
        <w:rPr>
          <w:rFonts w:asciiTheme="majorHAnsi" w:hAnsiTheme="majorHAnsi"/>
          <w:lang w:val="en-US"/>
        </w:rPr>
        <w:t>x</w:t>
      </w:r>
      <w:r w:rsidRPr="00CF215F">
        <w:rPr>
          <w:rFonts w:asciiTheme="majorHAnsi" w:hAnsiTheme="majorHAnsi"/>
        </w:rPr>
        <w:t xml:space="preserve"> 40 (2 </w:t>
      </w:r>
      <w:r>
        <w:rPr>
          <w:rFonts w:asciiTheme="majorHAnsi" w:hAnsiTheme="majorHAnsi"/>
          <w:lang w:val="en-US"/>
        </w:rPr>
        <w:t>TUBE</w:t>
      </w:r>
      <w:r w:rsidRPr="00CF215F">
        <w:rPr>
          <w:rFonts w:asciiTheme="majorHAnsi" w:hAnsiTheme="majorHAnsi"/>
        </w:rPr>
        <w:t xml:space="preserve"> </w:t>
      </w:r>
      <w:r>
        <w:rPr>
          <w:rFonts w:asciiTheme="majorHAnsi" w:hAnsiTheme="majorHAnsi"/>
          <w:lang w:val="en-US"/>
        </w:rPr>
        <w:t>x</w:t>
      </w:r>
      <w:r w:rsidRPr="00CF215F">
        <w:rPr>
          <w:rFonts w:asciiTheme="majorHAnsi" w:hAnsiTheme="majorHAnsi"/>
        </w:rPr>
        <w:t xml:space="preserve"> 20 )</w:t>
      </w:r>
    </w:p>
    <w:p w:rsidR="00B60C4A" w:rsidRPr="00B60C4A" w:rsidRDefault="00B60C4A" w:rsidP="00B60C4A">
      <w:pPr>
        <w:rPr>
          <w:rFonts w:asciiTheme="majorHAnsi" w:hAnsiTheme="majorHAnsi"/>
        </w:rPr>
      </w:pPr>
      <w:r>
        <w:rPr>
          <w:rFonts w:asciiTheme="majorHAnsi" w:hAnsiTheme="majorHAnsi"/>
        </w:rPr>
        <w:t>ΒΤ</w:t>
      </w:r>
      <w:r w:rsidRPr="00B60C4A">
        <w:rPr>
          <w:rFonts w:asciiTheme="majorHAnsi" w:hAnsiTheme="majorHAnsi"/>
        </w:rPr>
        <w:t xml:space="preserve"> </w:t>
      </w:r>
      <w:r>
        <w:rPr>
          <w:rFonts w:asciiTheme="majorHAnsi" w:hAnsiTheme="majorHAnsi"/>
          <w:lang w:val="en-US"/>
        </w:rPr>
        <w:t>x</w:t>
      </w:r>
      <w:r w:rsidRPr="00B60C4A">
        <w:rPr>
          <w:rFonts w:asciiTheme="majorHAnsi" w:hAnsiTheme="majorHAnsi"/>
        </w:rPr>
        <w:t xml:space="preserve"> 60 (3 </w:t>
      </w:r>
      <w:r>
        <w:rPr>
          <w:rFonts w:asciiTheme="majorHAnsi" w:hAnsiTheme="majorHAnsi"/>
          <w:lang w:val="en-US"/>
        </w:rPr>
        <w:t>TUBE</w:t>
      </w:r>
      <w:r w:rsidRPr="00B60C4A">
        <w:rPr>
          <w:rFonts w:asciiTheme="majorHAnsi" w:hAnsiTheme="majorHAnsi"/>
        </w:rPr>
        <w:t xml:space="preserve"> </w:t>
      </w:r>
      <w:r>
        <w:rPr>
          <w:rFonts w:asciiTheme="majorHAnsi" w:hAnsiTheme="majorHAnsi"/>
          <w:lang w:val="en-US"/>
        </w:rPr>
        <w:t>x</w:t>
      </w:r>
      <w:r w:rsidRPr="00B60C4A">
        <w:rPr>
          <w:rFonts w:asciiTheme="majorHAnsi" w:hAnsiTheme="majorHAnsi"/>
        </w:rPr>
        <w:t xml:space="preserve"> 20 )</w:t>
      </w:r>
    </w:p>
    <w:p w:rsidR="00B60C4A" w:rsidRPr="00B60C4A" w:rsidRDefault="00B60C4A" w:rsidP="00535465">
      <w:pPr>
        <w:rPr>
          <w:rFonts w:asciiTheme="majorHAnsi" w:hAnsiTheme="majorHAnsi"/>
          <w:b/>
        </w:rPr>
      </w:pPr>
      <w:r w:rsidRPr="00B60C4A">
        <w:rPr>
          <w:rFonts w:asciiTheme="majorHAnsi" w:hAnsiTheme="majorHAnsi"/>
          <w:b/>
        </w:rPr>
        <w:t xml:space="preserve">6.6 </w:t>
      </w:r>
      <w:r w:rsidRPr="00B60C4A">
        <w:rPr>
          <w:rFonts w:asciiTheme="majorHAnsi" w:hAnsiTheme="majorHAnsi"/>
          <w:b/>
          <w:lang w:val="en-US"/>
        </w:rPr>
        <w:t>I</w:t>
      </w:r>
      <w:r w:rsidRPr="00B60C4A">
        <w:rPr>
          <w:rFonts w:asciiTheme="majorHAnsi" w:hAnsiTheme="majorHAnsi"/>
          <w:b/>
        </w:rPr>
        <w:t xml:space="preserve">διαίτερες προφυλάξεις απόρριψης και άλλος χειρισμός </w:t>
      </w:r>
    </w:p>
    <w:p w:rsidR="00B60C4A" w:rsidRDefault="00B60C4A" w:rsidP="00535465">
      <w:pPr>
        <w:rPr>
          <w:rFonts w:asciiTheme="majorHAnsi" w:hAnsiTheme="majorHAnsi"/>
        </w:rPr>
      </w:pPr>
      <w:r>
        <w:rPr>
          <w:rFonts w:asciiTheme="majorHAnsi" w:hAnsiTheme="majorHAnsi"/>
        </w:rPr>
        <w:t xml:space="preserve">Δεν απαιτούνται </w:t>
      </w:r>
    </w:p>
    <w:p w:rsidR="00B60C4A" w:rsidRPr="00B60C4A" w:rsidRDefault="00B60C4A" w:rsidP="00535465">
      <w:pPr>
        <w:rPr>
          <w:rFonts w:asciiTheme="majorHAnsi" w:hAnsiTheme="majorHAnsi"/>
          <w:b/>
        </w:rPr>
      </w:pPr>
      <w:r w:rsidRPr="00B60C4A">
        <w:rPr>
          <w:rFonts w:asciiTheme="majorHAnsi" w:hAnsiTheme="majorHAnsi"/>
          <w:b/>
        </w:rPr>
        <w:t>7.ΚΑΤΟΧΟΣ ΤΗΣ ΑΔΕΙΑΣ ΚΥΚΛΟΦΟΡΙΑΣ</w:t>
      </w:r>
    </w:p>
    <w:p w:rsidR="00B60C4A" w:rsidRDefault="00B60C4A" w:rsidP="00535465">
      <w:pPr>
        <w:rPr>
          <w:rFonts w:asciiTheme="majorHAnsi" w:hAnsiTheme="majorHAnsi"/>
        </w:rPr>
      </w:pPr>
      <w:r>
        <w:rPr>
          <w:rFonts w:asciiTheme="majorHAnsi" w:hAnsiTheme="majorHAnsi"/>
          <w:lang w:val="en-US"/>
        </w:rPr>
        <w:t>ZWITTER</w:t>
      </w:r>
      <w:r w:rsidRPr="00B60C4A">
        <w:rPr>
          <w:rFonts w:asciiTheme="majorHAnsi" w:hAnsiTheme="majorHAnsi"/>
        </w:rPr>
        <w:t xml:space="preserve"> </w:t>
      </w:r>
      <w:r>
        <w:rPr>
          <w:rFonts w:asciiTheme="majorHAnsi" w:hAnsiTheme="majorHAnsi"/>
          <w:lang w:val="en-US"/>
        </w:rPr>
        <w:t>PHARMACEUTICALS</w:t>
      </w:r>
      <w:r w:rsidRPr="00B60C4A">
        <w:rPr>
          <w:rFonts w:asciiTheme="majorHAnsi" w:hAnsiTheme="majorHAnsi"/>
        </w:rPr>
        <w:t xml:space="preserve"> </w:t>
      </w:r>
      <w:r>
        <w:rPr>
          <w:rFonts w:asciiTheme="majorHAnsi" w:hAnsiTheme="majorHAnsi"/>
          <w:lang w:val="en-US"/>
        </w:rPr>
        <w:t>E</w:t>
      </w:r>
      <w:r>
        <w:rPr>
          <w:rFonts w:asciiTheme="majorHAnsi" w:hAnsiTheme="majorHAnsi"/>
        </w:rPr>
        <w:t>ΠΕ</w:t>
      </w:r>
    </w:p>
    <w:p w:rsidR="00B60C4A" w:rsidRDefault="00B60C4A" w:rsidP="00535465">
      <w:pPr>
        <w:rPr>
          <w:rFonts w:asciiTheme="majorHAnsi" w:hAnsiTheme="majorHAnsi"/>
        </w:rPr>
      </w:pPr>
      <w:r>
        <w:rPr>
          <w:rFonts w:asciiTheme="majorHAnsi" w:hAnsiTheme="majorHAnsi"/>
        </w:rPr>
        <w:t xml:space="preserve">Λ.ΠΕΝΤΕΛΗΣ 34-36 , 15234 ΧΑΛΑΝΔΡΙ </w:t>
      </w:r>
    </w:p>
    <w:p w:rsidR="00B60C4A" w:rsidRDefault="00B60C4A" w:rsidP="00535465">
      <w:pPr>
        <w:rPr>
          <w:rFonts w:asciiTheme="majorHAnsi" w:hAnsiTheme="majorHAnsi"/>
        </w:rPr>
      </w:pPr>
      <w:r>
        <w:rPr>
          <w:rFonts w:asciiTheme="majorHAnsi" w:hAnsiTheme="majorHAnsi"/>
        </w:rPr>
        <w:lastRenderedPageBreak/>
        <w:t>Ελλάδα</w:t>
      </w:r>
    </w:p>
    <w:p w:rsidR="00B60C4A" w:rsidRPr="00B60C4A" w:rsidRDefault="00B60C4A" w:rsidP="00535465">
      <w:pPr>
        <w:rPr>
          <w:rFonts w:asciiTheme="majorHAnsi" w:hAnsiTheme="majorHAnsi"/>
        </w:rPr>
      </w:pPr>
      <w:r>
        <w:rPr>
          <w:rFonts w:asciiTheme="majorHAnsi" w:hAnsiTheme="majorHAnsi"/>
        </w:rPr>
        <w:t xml:space="preserve">Τηλέφωνο </w:t>
      </w:r>
      <w:r w:rsidRPr="00B60C4A">
        <w:rPr>
          <w:rFonts w:asciiTheme="majorHAnsi" w:hAnsiTheme="majorHAnsi"/>
        </w:rPr>
        <w:t>: 00302106821098</w:t>
      </w:r>
    </w:p>
    <w:p w:rsidR="00B60C4A" w:rsidRPr="000B6C3B" w:rsidRDefault="00B60C4A" w:rsidP="00535465">
      <w:pPr>
        <w:rPr>
          <w:rFonts w:asciiTheme="majorHAnsi" w:hAnsiTheme="majorHAnsi"/>
          <w:lang w:val="en-US"/>
        </w:rPr>
      </w:pPr>
      <w:proofErr w:type="gramStart"/>
      <w:r>
        <w:rPr>
          <w:rFonts w:asciiTheme="majorHAnsi" w:hAnsiTheme="majorHAnsi"/>
          <w:lang w:val="en-US"/>
        </w:rPr>
        <w:t>Fax</w:t>
      </w:r>
      <w:r w:rsidRPr="000B6C3B">
        <w:rPr>
          <w:rFonts w:asciiTheme="majorHAnsi" w:hAnsiTheme="majorHAnsi"/>
          <w:lang w:val="en-US"/>
        </w:rPr>
        <w:t xml:space="preserve"> :</w:t>
      </w:r>
      <w:proofErr w:type="gramEnd"/>
      <w:r w:rsidRPr="000B6C3B">
        <w:rPr>
          <w:rFonts w:asciiTheme="majorHAnsi" w:hAnsiTheme="majorHAnsi"/>
          <w:lang w:val="en-US"/>
        </w:rPr>
        <w:t xml:space="preserve"> 00302106821098</w:t>
      </w:r>
    </w:p>
    <w:p w:rsidR="00B60C4A" w:rsidRPr="000B6C3B" w:rsidRDefault="00B60C4A" w:rsidP="00535465">
      <w:pPr>
        <w:rPr>
          <w:rFonts w:asciiTheme="majorHAnsi" w:hAnsiTheme="majorHAnsi"/>
          <w:lang w:val="en-US"/>
        </w:rPr>
      </w:pPr>
      <w:r>
        <w:rPr>
          <w:rFonts w:asciiTheme="majorHAnsi" w:hAnsiTheme="majorHAnsi"/>
          <w:lang w:val="en-US"/>
        </w:rPr>
        <w:t>E</w:t>
      </w:r>
      <w:r w:rsidRPr="000B6C3B">
        <w:rPr>
          <w:rFonts w:asciiTheme="majorHAnsi" w:hAnsiTheme="majorHAnsi"/>
          <w:lang w:val="en-US"/>
        </w:rPr>
        <w:t>-</w:t>
      </w:r>
      <w:proofErr w:type="gramStart"/>
      <w:r>
        <w:rPr>
          <w:rFonts w:asciiTheme="majorHAnsi" w:hAnsiTheme="majorHAnsi"/>
          <w:lang w:val="en-US"/>
        </w:rPr>
        <w:t>mail</w:t>
      </w:r>
      <w:r w:rsidRPr="000B6C3B">
        <w:rPr>
          <w:rFonts w:asciiTheme="majorHAnsi" w:hAnsiTheme="majorHAnsi"/>
          <w:lang w:val="en-US"/>
        </w:rPr>
        <w:t xml:space="preserve"> :</w:t>
      </w:r>
      <w:proofErr w:type="gramEnd"/>
      <w:r w:rsidRPr="000B6C3B">
        <w:rPr>
          <w:rFonts w:asciiTheme="majorHAnsi" w:hAnsiTheme="majorHAnsi"/>
          <w:lang w:val="en-US"/>
        </w:rPr>
        <w:t xml:space="preserve"> </w:t>
      </w:r>
      <w:r w:rsidRPr="00B60C4A">
        <w:rPr>
          <w:rFonts w:asciiTheme="majorHAnsi" w:hAnsiTheme="majorHAnsi"/>
          <w:u w:val="single"/>
          <w:lang w:val="en-US"/>
        </w:rPr>
        <w:t>zwitter</w:t>
      </w:r>
      <w:r w:rsidRPr="000B6C3B">
        <w:rPr>
          <w:rFonts w:asciiTheme="majorHAnsi" w:hAnsiTheme="majorHAnsi"/>
          <w:u w:val="single"/>
          <w:lang w:val="en-US"/>
        </w:rPr>
        <w:t>@</w:t>
      </w:r>
      <w:r w:rsidRPr="00B60C4A">
        <w:rPr>
          <w:rFonts w:asciiTheme="majorHAnsi" w:hAnsiTheme="majorHAnsi"/>
          <w:u w:val="single"/>
          <w:lang w:val="en-US"/>
        </w:rPr>
        <w:t>zwitter</w:t>
      </w:r>
      <w:r w:rsidRPr="000B6C3B">
        <w:rPr>
          <w:rFonts w:asciiTheme="majorHAnsi" w:hAnsiTheme="majorHAnsi"/>
          <w:u w:val="single"/>
          <w:lang w:val="en-US"/>
        </w:rPr>
        <w:t>.</w:t>
      </w:r>
      <w:r w:rsidRPr="00B60C4A">
        <w:rPr>
          <w:rFonts w:asciiTheme="majorHAnsi" w:hAnsiTheme="majorHAnsi"/>
          <w:u w:val="single"/>
          <w:lang w:val="en-US"/>
        </w:rPr>
        <w:t>gr</w:t>
      </w:r>
      <w:r w:rsidRPr="000B6C3B">
        <w:rPr>
          <w:rFonts w:asciiTheme="majorHAnsi" w:hAnsiTheme="majorHAnsi"/>
          <w:lang w:val="en-US"/>
        </w:rPr>
        <w:t xml:space="preserve"> </w:t>
      </w:r>
    </w:p>
    <w:p w:rsidR="00B60C4A" w:rsidRPr="00B60C4A" w:rsidRDefault="00B60C4A" w:rsidP="00535465">
      <w:pPr>
        <w:rPr>
          <w:rFonts w:asciiTheme="majorHAnsi" w:hAnsiTheme="majorHAnsi"/>
          <w:b/>
        </w:rPr>
      </w:pPr>
      <w:r w:rsidRPr="00B60C4A">
        <w:rPr>
          <w:rFonts w:asciiTheme="majorHAnsi" w:hAnsiTheme="majorHAnsi"/>
          <w:b/>
        </w:rPr>
        <w:t>8.</w:t>
      </w:r>
      <w:r w:rsidRPr="00B60C4A">
        <w:rPr>
          <w:rFonts w:asciiTheme="majorHAnsi" w:hAnsiTheme="majorHAnsi"/>
          <w:b/>
          <w:lang w:val="en-US"/>
        </w:rPr>
        <w:t>A</w:t>
      </w:r>
      <w:r w:rsidRPr="00B60C4A">
        <w:rPr>
          <w:rFonts w:asciiTheme="majorHAnsi" w:hAnsiTheme="majorHAnsi"/>
          <w:b/>
        </w:rPr>
        <w:t>ΡΙΘΜΟΣ(ΟΙ) ΑΔΕΙΑΣ ΚΥΚΛΟΦΟΡΙΑΣ</w:t>
      </w:r>
    </w:p>
    <w:p w:rsidR="00B60C4A" w:rsidRPr="00B60C4A" w:rsidRDefault="00B60C4A" w:rsidP="00535465">
      <w:pPr>
        <w:rPr>
          <w:rFonts w:asciiTheme="majorHAnsi" w:hAnsiTheme="majorHAnsi"/>
          <w:b/>
        </w:rPr>
      </w:pPr>
      <w:r w:rsidRPr="00B60C4A">
        <w:rPr>
          <w:rFonts w:asciiTheme="majorHAnsi" w:hAnsiTheme="majorHAnsi"/>
          <w:b/>
        </w:rPr>
        <w:t>9. ΗΜΕΡΟΜΗΝΙΑ ΠΡΩΤΗΣ ΕΓΚΡΙΣΗΣ/ ΑΝΑΝΕΩΣΗΣ ΤΗΣ ΑΔΕΙΑΣ</w:t>
      </w:r>
    </w:p>
    <w:p w:rsidR="00B60C4A" w:rsidRPr="00B60C4A" w:rsidRDefault="00B60C4A" w:rsidP="00535465">
      <w:pPr>
        <w:rPr>
          <w:rFonts w:asciiTheme="majorHAnsi" w:hAnsiTheme="majorHAnsi"/>
          <w:b/>
        </w:rPr>
      </w:pPr>
      <w:r w:rsidRPr="00B60C4A">
        <w:rPr>
          <w:rFonts w:asciiTheme="majorHAnsi" w:hAnsiTheme="majorHAnsi"/>
          <w:b/>
        </w:rPr>
        <w:t>10. ΗΜΕΡΟΜΗΝΙΑ ΑΝΑΘΕΩΡΗΣΗΣ ΤΟΥ ΚΕΙΜΕΝΟΥ</w:t>
      </w:r>
    </w:p>
    <w:p w:rsidR="00B60C4A" w:rsidRPr="00B60C4A" w:rsidRDefault="00B60C4A" w:rsidP="00535465">
      <w:pPr>
        <w:rPr>
          <w:rFonts w:asciiTheme="majorHAnsi" w:hAnsiTheme="majorHAnsi"/>
        </w:rPr>
      </w:pPr>
    </w:p>
    <w:p w:rsidR="00535465" w:rsidRPr="00B60C4A" w:rsidRDefault="00535465" w:rsidP="00535465">
      <w:pPr>
        <w:rPr>
          <w:rFonts w:asciiTheme="majorHAnsi" w:hAnsiTheme="majorHAnsi"/>
        </w:rPr>
      </w:pPr>
    </w:p>
    <w:p w:rsidR="00270430" w:rsidRPr="00B60C4A" w:rsidRDefault="00270430">
      <w:pPr>
        <w:rPr>
          <w:rFonts w:ascii="Cambria" w:hAnsi="Cambria"/>
          <w:sz w:val="24"/>
          <w:szCs w:val="24"/>
        </w:rPr>
      </w:pPr>
      <w:r w:rsidRPr="00B60C4A">
        <w:rPr>
          <w:rFonts w:ascii="Cambria" w:hAnsi="Cambria"/>
          <w:sz w:val="24"/>
          <w:szCs w:val="24"/>
        </w:rPr>
        <w:t xml:space="preserve"> </w:t>
      </w:r>
    </w:p>
    <w:sectPr w:rsidR="00270430" w:rsidRPr="00B60C4A" w:rsidSect="00D109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omic Sans MS">
    <w:panose1 w:val="030F0702030302020204"/>
    <w:charset w:val="A1"/>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D5A"/>
    <w:rsid w:val="00002BC1"/>
    <w:rsid w:val="000A19E4"/>
    <w:rsid w:val="000B6C3B"/>
    <w:rsid w:val="000D2BAA"/>
    <w:rsid w:val="00157313"/>
    <w:rsid w:val="00270430"/>
    <w:rsid w:val="00287DD9"/>
    <w:rsid w:val="002C078B"/>
    <w:rsid w:val="00361DD4"/>
    <w:rsid w:val="003C76D9"/>
    <w:rsid w:val="00535465"/>
    <w:rsid w:val="00641AED"/>
    <w:rsid w:val="00674ECA"/>
    <w:rsid w:val="00694F5C"/>
    <w:rsid w:val="006C1B2D"/>
    <w:rsid w:val="00725B38"/>
    <w:rsid w:val="00736B25"/>
    <w:rsid w:val="007A2179"/>
    <w:rsid w:val="00834C94"/>
    <w:rsid w:val="008E0497"/>
    <w:rsid w:val="0095748D"/>
    <w:rsid w:val="009A473D"/>
    <w:rsid w:val="00B25FE4"/>
    <w:rsid w:val="00B51773"/>
    <w:rsid w:val="00B60C4A"/>
    <w:rsid w:val="00C0125B"/>
    <w:rsid w:val="00C609F0"/>
    <w:rsid w:val="00C92FC4"/>
    <w:rsid w:val="00CF215F"/>
    <w:rsid w:val="00D10926"/>
    <w:rsid w:val="00D674D8"/>
    <w:rsid w:val="00DC67A9"/>
    <w:rsid w:val="00DD1432"/>
    <w:rsid w:val="00E44D4F"/>
    <w:rsid w:val="00E52A2C"/>
    <w:rsid w:val="00E55D5A"/>
    <w:rsid w:val="00EB173A"/>
    <w:rsid w:val="00FE4E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465"/>
    <w:rPr>
      <w:color w:val="808080"/>
    </w:rPr>
  </w:style>
  <w:style w:type="paragraph" w:styleId="a4">
    <w:name w:val="Balloon Text"/>
    <w:basedOn w:val="a"/>
    <w:link w:val="Char"/>
    <w:uiPriority w:val="99"/>
    <w:semiHidden/>
    <w:unhideWhenUsed/>
    <w:rsid w:val="0053546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35465"/>
    <w:rPr>
      <w:rFonts w:ascii="Tahoma" w:hAnsi="Tahoma" w:cs="Tahoma"/>
      <w:sz w:val="16"/>
      <w:szCs w:val="16"/>
    </w:rPr>
  </w:style>
  <w:style w:type="table" w:styleId="a5">
    <w:name w:val="Table Grid"/>
    <w:basedOn w:val="a1"/>
    <w:uiPriority w:val="59"/>
    <w:rsid w:val="0072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465"/>
    <w:rPr>
      <w:color w:val="808080"/>
    </w:rPr>
  </w:style>
  <w:style w:type="paragraph" w:styleId="a4">
    <w:name w:val="Balloon Text"/>
    <w:basedOn w:val="a"/>
    <w:link w:val="Char"/>
    <w:uiPriority w:val="99"/>
    <w:semiHidden/>
    <w:unhideWhenUsed/>
    <w:rsid w:val="0053546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35465"/>
    <w:rPr>
      <w:rFonts w:ascii="Tahoma" w:hAnsi="Tahoma" w:cs="Tahoma"/>
      <w:sz w:val="16"/>
      <w:szCs w:val="16"/>
    </w:rPr>
  </w:style>
  <w:style w:type="table" w:styleId="a5">
    <w:name w:val="Table Grid"/>
    <w:basedOn w:val="a1"/>
    <w:uiPriority w:val="59"/>
    <w:rsid w:val="0072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of.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4381-CB71-4CF9-B922-4B0360EC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8492</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ARIETTA</dc:creator>
  <cp:lastModifiedBy>user146</cp:lastModifiedBy>
  <cp:revision>2</cp:revision>
  <cp:lastPrinted>2015-10-09T09:10:00Z</cp:lastPrinted>
  <dcterms:created xsi:type="dcterms:W3CDTF">2015-10-09T09:15:00Z</dcterms:created>
  <dcterms:modified xsi:type="dcterms:W3CDTF">2015-10-09T09:15:00Z</dcterms:modified>
</cp:coreProperties>
</file>