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rsidP="00542F6D">
      <w:pPr>
        <w:rPr>
          <w:szCs w:val="22"/>
        </w:rPr>
      </w:pPr>
    </w:p>
    <w:p w:rsidR="00496809" w:rsidRPr="004008FE" w:rsidRDefault="00496809">
      <w:pPr>
        <w:jc w:val="center"/>
        <w:rPr>
          <w:szCs w:val="22"/>
        </w:rPr>
      </w:pPr>
      <w:r w:rsidRPr="004008FE">
        <w:rPr>
          <w:b/>
          <w:noProof/>
          <w:szCs w:val="22"/>
        </w:rPr>
        <w:t>ΠΕΡΙΛΗΨΗ ΤΩΝ ΧΑΡΑΚΤΗΡΙΣΤΙΚΩΝ ΤΟΥ ΠΡΟΪΟΝΤΟΣ</w:t>
      </w:r>
    </w:p>
    <w:p w:rsidR="00496809" w:rsidRPr="004008FE" w:rsidRDefault="00496809">
      <w:pPr>
        <w:rPr>
          <w:szCs w:val="22"/>
        </w:rPr>
      </w:pPr>
      <w:r w:rsidRPr="004008FE">
        <w:rPr>
          <w:szCs w:val="22"/>
        </w:rPr>
        <w:br w:type="page"/>
      </w:r>
      <w:r w:rsidRPr="004008FE">
        <w:rPr>
          <w:b/>
          <w:szCs w:val="22"/>
        </w:rPr>
        <w:lastRenderedPageBreak/>
        <w:t>1.</w:t>
      </w:r>
      <w:r w:rsidRPr="004008FE">
        <w:rPr>
          <w:b/>
          <w:szCs w:val="22"/>
        </w:rPr>
        <w:tab/>
        <w:t>ΟΝΟΜΑΣΙΑ ΤΟΥ ΦΑΡΜΑΚΕΥΤΙΚΟΥ ΠΡΟΪΟΝΤΟΣ</w:t>
      </w:r>
    </w:p>
    <w:p w:rsidR="00496809" w:rsidRPr="004008FE" w:rsidRDefault="00496809">
      <w:pPr>
        <w:rPr>
          <w:szCs w:val="22"/>
        </w:rPr>
      </w:pPr>
    </w:p>
    <w:p w:rsidR="00B71AEF" w:rsidRPr="004008FE" w:rsidRDefault="00201357" w:rsidP="00B71AEF">
      <w:pPr>
        <w:widowControl/>
        <w:autoSpaceDE w:val="0"/>
        <w:autoSpaceDN w:val="0"/>
        <w:adjustRightInd w:val="0"/>
        <w:rPr>
          <w:szCs w:val="22"/>
          <w:lang w:eastAsia="el-GR"/>
        </w:rPr>
      </w:pPr>
      <w:r w:rsidRPr="004008FE">
        <w:rPr>
          <w:szCs w:val="22"/>
          <w:lang w:val="en-US"/>
        </w:rPr>
        <w:t>CISATRAL</w:t>
      </w:r>
      <w:r w:rsidR="00B71AEF" w:rsidRPr="004008FE">
        <w:rPr>
          <w:szCs w:val="22"/>
        </w:rPr>
        <w:t xml:space="preserve"> 2</w:t>
      </w:r>
      <w:r w:rsidR="00B71AEF" w:rsidRPr="004008FE">
        <w:rPr>
          <w:szCs w:val="22"/>
          <w:lang w:val="en-GB"/>
        </w:rPr>
        <w:t>mg</w:t>
      </w:r>
      <w:r w:rsidR="00B71AEF" w:rsidRPr="004008FE">
        <w:rPr>
          <w:szCs w:val="22"/>
        </w:rPr>
        <w:t>/</w:t>
      </w:r>
      <w:r w:rsidR="00B71AEF" w:rsidRPr="004008FE">
        <w:rPr>
          <w:szCs w:val="22"/>
          <w:lang w:val="en-GB"/>
        </w:rPr>
        <w:t>ml</w:t>
      </w:r>
      <w:r w:rsidR="00B71AEF" w:rsidRPr="004008FE">
        <w:rPr>
          <w:szCs w:val="22"/>
        </w:rPr>
        <w:t xml:space="preserve"> διάλυμα</w:t>
      </w:r>
      <w:r w:rsidR="00DC763C" w:rsidRPr="004008FE">
        <w:rPr>
          <w:szCs w:val="22"/>
        </w:rPr>
        <w:t xml:space="preserve"> για ένεση</w:t>
      </w:r>
      <w:r w:rsidRPr="004008FE">
        <w:rPr>
          <w:szCs w:val="22"/>
        </w:rPr>
        <w:t xml:space="preserve"> ή </w:t>
      </w:r>
      <w:r w:rsidR="00DC763C" w:rsidRPr="004008FE">
        <w:rPr>
          <w:szCs w:val="22"/>
        </w:rPr>
        <w:t>έγχυση</w:t>
      </w:r>
    </w:p>
    <w:p w:rsidR="00496809" w:rsidRPr="004008FE" w:rsidRDefault="00496809">
      <w:pPr>
        <w:rPr>
          <w:szCs w:val="22"/>
          <w:lang w:val="en-US"/>
        </w:rPr>
      </w:pPr>
    </w:p>
    <w:p w:rsidR="005E2EA5" w:rsidRPr="004008FE" w:rsidRDefault="005E2EA5">
      <w:pPr>
        <w:rPr>
          <w:szCs w:val="22"/>
          <w:lang w:val="en-US"/>
        </w:rPr>
      </w:pPr>
    </w:p>
    <w:p w:rsidR="00496809" w:rsidRPr="004008FE" w:rsidRDefault="00496809">
      <w:pPr>
        <w:rPr>
          <w:szCs w:val="22"/>
        </w:rPr>
      </w:pPr>
      <w:r w:rsidRPr="004008FE">
        <w:rPr>
          <w:b/>
          <w:szCs w:val="22"/>
        </w:rPr>
        <w:t>2.</w:t>
      </w:r>
      <w:r w:rsidRPr="004008FE">
        <w:rPr>
          <w:b/>
          <w:szCs w:val="22"/>
        </w:rPr>
        <w:tab/>
        <w:t>ΠΟΙΟΤΙΚΗ ΚΑΙ ΠΟΣΟΤΙΚΗ ΣΥΝΘΕΣΗ</w:t>
      </w:r>
    </w:p>
    <w:p w:rsidR="00496809" w:rsidRPr="004008FE" w:rsidRDefault="00496809">
      <w:pPr>
        <w:rPr>
          <w:szCs w:val="22"/>
        </w:rPr>
      </w:pPr>
    </w:p>
    <w:p w:rsidR="00B70180" w:rsidRPr="004008FE" w:rsidRDefault="00DC763C" w:rsidP="00B70180">
      <w:pPr>
        <w:rPr>
          <w:szCs w:val="22"/>
          <w:lang w:eastAsia="el-GR"/>
        </w:rPr>
      </w:pPr>
      <w:r w:rsidRPr="004008FE">
        <w:rPr>
          <w:szCs w:val="22"/>
          <w:lang w:eastAsia="el-GR"/>
        </w:rPr>
        <w:t>Μ</w:t>
      </w:r>
      <w:r w:rsidR="00B70180" w:rsidRPr="004008FE">
        <w:rPr>
          <w:szCs w:val="22"/>
          <w:lang w:eastAsia="el-GR"/>
        </w:rPr>
        <w:t>ία φύσιγγα των 2.5 ml περιέχει 5 mg cisatracurium</w:t>
      </w:r>
    </w:p>
    <w:p w:rsidR="00B70180" w:rsidRPr="004008FE" w:rsidRDefault="00DC763C" w:rsidP="00B70180">
      <w:pPr>
        <w:rPr>
          <w:szCs w:val="22"/>
          <w:lang w:eastAsia="el-GR"/>
        </w:rPr>
      </w:pPr>
      <w:r w:rsidRPr="004008FE">
        <w:rPr>
          <w:szCs w:val="22"/>
          <w:lang w:eastAsia="el-GR"/>
        </w:rPr>
        <w:t xml:space="preserve">Μία </w:t>
      </w:r>
      <w:r w:rsidR="00B70180" w:rsidRPr="004008FE">
        <w:rPr>
          <w:szCs w:val="22"/>
          <w:lang w:eastAsia="el-GR"/>
        </w:rPr>
        <w:t>φύσιγγα των 5 ml περιέχει 10 mg cisatracurium</w:t>
      </w:r>
    </w:p>
    <w:p w:rsidR="00B70180" w:rsidRPr="004008FE" w:rsidRDefault="00DC763C" w:rsidP="00B70180">
      <w:pPr>
        <w:rPr>
          <w:szCs w:val="22"/>
          <w:lang w:eastAsia="el-GR"/>
        </w:rPr>
      </w:pPr>
      <w:r w:rsidRPr="004008FE">
        <w:rPr>
          <w:szCs w:val="22"/>
          <w:lang w:eastAsia="el-GR"/>
        </w:rPr>
        <w:t xml:space="preserve">Μία </w:t>
      </w:r>
      <w:r w:rsidR="00B70180" w:rsidRPr="004008FE">
        <w:rPr>
          <w:szCs w:val="22"/>
          <w:lang w:eastAsia="el-GR"/>
        </w:rPr>
        <w:t>φύσιγγα των 10 ml περιέχει 20 mg cisatracurium</w:t>
      </w:r>
    </w:p>
    <w:p w:rsidR="00DC763C" w:rsidRPr="004008FE" w:rsidRDefault="00DC763C" w:rsidP="00DC763C">
      <w:pPr>
        <w:rPr>
          <w:szCs w:val="22"/>
          <w:lang w:eastAsia="el-GR"/>
        </w:rPr>
      </w:pPr>
    </w:p>
    <w:p w:rsidR="00B70180" w:rsidRPr="004008FE" w:rsidRDefault="00162EC2" w:rsidP="00B70180">
      <w:pPr>
        <w:rPr>
          <w:szCs w:val="22"/>
          <w:lang w:eastAsia="el-GR"/>
        </w:rPr>
      </w:pPr>
      <w:r w:rsidRPr="004008FE">
        <w:rPr>
          <w:szCs w:val="22"/>
          <w:lang w:eastAsia="el-GR"/>
        </w:rPr>
        <w:t>Ένα</w:t>
      </w:r>
      <w:r w:rsidR="002B4519" w:rsidRPr="004008FE">
        <w:rPr>
          <w:szCs w:val="22"/>
          <w:lang w:eastAsia="el-GR"/>
        </w:rPr>
        <w:t xml:space="preserve"> </w:t>
      </w:r>
      <w:r w:rsidR="00DC763C" w:rsidRPr="004008FE">
        <w:rPr>
          <w:szCs w:val="22"/>
          <w:lang w:val="en-US" w:eastAsia="el-GR"/>
        </w:rPr>
        <w:t>ml</w:t>
      </w:r>
      <w:r w:rsidR="00DC763C" w:rsidRPr="004008FE">
        <w:rPr>
          <w:szCs w:val="22"/>
          <w:lang w:eastAsia="el-GR"/>
        </w:rPr>
        <w:t xml:space="preserve"> περιέχει </w:t>
      </w:r>
      <w:r w:rsidR="00DC763C" w:rsidRPr="004008FE">
        <w:rPr>
          <w:szCs w:val="22"/>
          <w:lang w:val="en-GB" w:eastAsia="el-GR"/>
        </w:rPr>
        <w:t>cisatrcurium</w:t>
      </w:r>
      <w:r w:rsidR="00DC763C" w:rsidRPr="004008FE">
        <w:rPr>
          <w:szCs w:val="22"/>
          <w:lang w:eastAsia="el-GR"/>
        </w:rPr>
        <w:t xml:space="preserve"> </w:t>
      </w:r>
      <w:r w:rsidR="00DC763C" w:rsidRPr="004008FE">
        <w:rPr>
          <w:szCs w:val="22"/>
          <w:lang w:val="en-GB" w:eastAsia="el-GR"/>
        </w:rPr>
        <w:t>besilate</w:t>
      </w:r>
      <w:r w:rsidR="00DC763C" w:rsidRPr="004008FE">
        <w:rPr>
          <w:szCs w:val="22"/>
          <w:lang w:eastAsia="el-GR"/>
        </w:rPr>
        <w:t xml:space="preserve"> που αντιστοιχεί σε 2 </w:t>
      </w:r>
      <w:r w:rsidR="00DC763C" w:rsidRPr="004008FE">
        <w:rPr>
          <w:szCs w:val="22"/>
          <w:lang w:val="en-US" w:eastAsia="el-GR"/>
        </w:rPr>
        <w:t>mg</w:t>
      </w:r>
      <w:r w:rsidR="00DC763C" w:rsidRPr="004008FE">
        <w:rPr>
          <w:szCs w:val="22"/>
          <w:lang w:eastAsia="el-GR"/>
        </w:rPr>
        <w:t xml:space="preserve"> </w:t>
      </w:r>
      <w:r w:rsidR="00DC763C" w:rsidRPr="004008FE">
        <w:rPr>
          <w:szCs w:val="22"/>
          <w:lang w:val="en-US" w:eastAsia="el-GR"/>
        </w:rPr>
        <w:t>cisatracurium</w:t>
      </w:r>
      <w:r w:rsidR="00DC763C" w:rsidRPr="004008FE">
        <w:rPr>
          <w:szCs w:val="22"/>
          <w:lang w:eastAsia="el-GR"/>
        </w:rPr>
        <w:t>.</w:t>
      </w:r>
    </w:p>
    <w:p w:rsidR="00DC763C" w:rsidRPr="004008FE" w:rsidRDefault="00DC763C" w:rsidP="00B70180">
      <w:pPr>
        <w:rPr>
          <w:szCs w:val="22"/>
        </w:rPr>
      </w:pPr>
    </w:p>
    <w:p w:rsidR="00496809" w:rsidRPr="004008FE" w:rsidRDefault="00496809">
      <w:pPr>
        <w:widowControl/>
        <w:tabs>
          <w:tab w:val="left" w:pos="567"/>
        </w:tabs>
        <w:spacing w:line="260" w:lineRule="exact"/>
        <w:rPr>
          <w:szCs w:val="22"/>
        </w:rPr>
      </w:pPr>
      <w:r w:rsidRPr="004008FE">
        <w:rPr>
          <w:szCs w:val="22"/>
        </w:rPr>
        <w:t>Για τον πλήρη κατάλογο των εκδόχων, βλ. παράγραφο 6.1.</w:t>
      </w:r>
    </w:p>
    <w:p w:rsidR="00496809" w:rsidRPr="004008FE" w:rsidRDefault="00496809">
      <w:pPr>
        <w:rPr>
          <w:szCs w:val="22"/>
          <w:lang w:val="en-US"/>
        </w:rPr>
      </w:pPr>
    </w:p>
    <w:p w:rsidR="005E2EA5" w:rsidRPr="004008FE" w:rsidRDefault="005E2EA5">
      <w:pPr>
        <w:rPr>
          <w:szCs w:val="22"/>
          <w:lang w:val="en-US"/>
        </w:rPr>
      </w:pPr>
    </w:p>
    <w:p w:rsidR="00496809" w:rsidRPr="004008FE" w:rsidRDefault="00496809">
      <w:pPr>
        <w:rPr>
          <w:szCs w:val="22"/>
        </w:rPr>
      </w:pPr>
      <w:r w:rsidRPr="004008FE">
        <w:rPr>
          <w:b/>
          <w:szCs w:val="22"/>
        </w:rPr>
        <w:t>3.</w:t>
      </w:r>
      <w:r w:rsidRPr="004008FE">
        <w:rPr>
          <w:b/>
          <w:szCs w:val="22"/>
        </w:rPr>
        <w:tab/>
        <w:t>ΦΑΡΜΑΚΟΤΕΧΝΙΚΗ ΜΟΡΦΗ</w:t>
      </w:r>
    </w:p>
    <w:p w:rsidR="00496809" w:rsidRPr="004008FE" w:rsidRDefault="00496809">
      <w:pPr>
        <w:rPr>
          <w:szCs w:val="22"/>
        </w:rPr>
      </w:pPr>
    </w:p>
    <w:p w:rsidR="001C7288" w:rsidRPr="004008FE" w:rsidRDefault="00DC763C" w:rsidP="001C7288">
      <w:pPr>
        <w:rPr>
          <w:szCs w:val="22"/>
          <w:lang w:eastAsia="el-GR"/>
        </w:rPr>
      </w:pPr>
      <w:r w:rsidRPr="004008FE">
        <w:rPr>
          <w:szCs w:val="22"/>
          <w:lang w:eastAsia="el-GR"/>
        </w:rPr>
        <w:t>Διάλυμα για ένεση</w:t>
      </w:r>
      <w:r w:rsidR="00201357" w:rsidRPr="004008FE">
        <w:rPr>
          <w:szCs w:val="22"/>
          <w:lang w:eastAsia="el-GR"/>
        </w:rPr>
        <w:t xml:space="preserve"> ή </w:t>
      </w:r>
      <w:r w:rsidRPr="004008FE">
        <w:rPr>
          <w:szCs w:val="22"/>
          <w:lang w:eastAsia="el-GR"/>
        </w:rPr>
        <w:t>έγχυση.</w:t>
      </w:r>
    </w:p>
    <w:p w:rsidR="001C7288" w:rsidRPr="004008FE" w:rsidRDefault="001C7288" w:rsidP="001C7288">
      <w:pPr>
        <w:rPr>
          <w:szCs w:val="22"/>
          <w:lang w:eastAsia="el-GR"/>
        </w:rPr>
      </w:pPr>
    </w:p>
    <w:p w:rsidR="001C7288" w:rsidRPr="004008FE" w:rsidRDefault="001C7288" w:rsidP="001C7288">
      <w:pPr>
        <w:rPr>
          <w:szCs w:val="22"/>
          <w:lang w:eastAsia="el-GR"/>
        </w:rPr>
      </w:pPr>
      <w:r w:rsidRPr="004008FE">
        <w:rPr>
          <w:szCs w:val="22"/>
          <w:lang w:eastAsia="el-GR"/>
        </w:rPr>
        <w:t xml:space="preserve">Άχρωμο έως </w:t>
      </w:r>
      <w:r w:rsidR="002B4519" w:rsidRPr="004008FE">
        <w:rPr>
          <w:szCs w:val="22"/>
          <w:lang w:eastAsia="el-GR"/>
        </w:rPr>
        <w:t>υποκίτρινο</w:t>
      </w:r>
      <w:r w:rsidR="002B4519" w:rsidRPr="004008FE" w:rsidDel="002B4519">
        <w:rPr>
          <w:szCs w:val="22"/>
          <w:lang w:eastAsia="el-GR"/>
        </w:rPr>
        <w:t xml:space="preserve"> </w:t>
      </w:r>
      <w:r w:rsidRPr="004008FE">
        <w:rPr>
          <w:szCs w:val="22"/>
          <w:lang w:eastAsia="el-GR"/>
        </w:rPr>
        <w:t xml:space="preserve">ή πρασινοκίτρινο </w:t>
      </w:r>
      <w:r w:rsidR="002B4519" w:rsidRPr="004008FE">
        <w:rPr>
          <w:szCs w:val="22"/>
          <w:lang w:eastAsia="el-GR"/>
        </w:rPr>
        <w:t>διάλυμα</w:t>
      </w:r>
      <w:r w:rsidRPr="004008FE">
        <w:rPr>
          <w:szCs w:val="22"/>
          <w:lang w:eastAsia="el-GR"/>
        </w:rPr>
        <w:t>.</w:t>
      </w:r>
    </w:p>
    <w:p w:rsidR="00496809" w:rsidRPr="004008FE" w:rsidRDefault="00496809">
      <w:pPr>
        <w:rPr>
          <w:szCs w:val="22"/>
          <w:lang w:val="en-US"/>
        </w:rPr>
      </w:pPr>
    </w:p>
    <w:p w:rsidR="005E2EA5" w:rsidRPr="004008FE" w:rsidRDefault="005E2EA5">
      <w:pPr>
        <w:rPr>
          <w:szCs w:val="22"/>
          <w:lang w:val="en-US"/>
        </w:rPr>
      </w:pPr>
    </w:p>
    <w:p w:rsidR="00496809" w:rsidRPr="004008FE" w:rsidRDefault="00496809">
      <w:pPr>
        <w:rPr>
          <w:szCs w:val="22"/>
        </w:rPr>
      </w:pPr>
      <w:r w:rsidRPr="004008FE">
        <w:rPr>
          <w:b/>
          <w:szCs w:val="22"/>
        </w:rPr>
        <w:t>4.</w:t>
      </w:r>
      <w:r w:rsidRPr="004008FE">
        <w:rPr>
          <w:b/>
          <w:szCs w:val="22"/>
        </w:rPr>
        <w:tab/>
        <w:t>ΚΛΙΝΙΚΕΣ ΠΛΗΡΟΦΟΡΙΕΣ</w:t>
      </w:r>
    </w:p>
    <w:p w:rsidR="001C7288" w:rsidRPr="004008FE" w:rsidRDefault="001C7288">
      <w:pPr>
        <w:rPr>
          <w:szCs w:val="22"/>
        </w:rPr>
      </w:pPr>
    </w:p>
    <w:p w:rsidR="00496809" w:rsidRPr="004008FE" w:rsidRDefault="00496809">
      <w:pPr>
        <w:rPr>
          <w:szCs w:val="22"/>
        </w:rPr>
      </w:pPr>
      <w:r w:rsidRPr="004008FE">
        <w:rPr>
          <w:b/>
          <w:szCs w:val="22"/>
        </w:rPr>
        <w:t>4.1</w:t>
      </w:r>
      <w:r w:rsidRPr="004008FE">
        <w:rPr>
          <w:b/>
          <w:szCs w:val="22"/>
        </w:rPr>
        <w:tab/>
        <w:t>Θεραπευτικές ενδείξεις</w:t>
      </w:r>
    </w:p>
    <w:p w:rsidR="00496809" w:rsidRPr="004008FE" w:rsidRDefault="00496809">
      <w:pPr>
        <w:rPr>
          <w:szCs w:val="22"/>
        </w:rPr>
      </w:pPr>
    </w:p>
    <w:p w:rsidR="001C7288" w:rsidRPr="004008FE" w:rsidRDefault="001C7288" w:rsidP="001C7288">
      <w:pPr>
        <w:rPr>
          <w:szCs w:val="22"/>
          <w:lang w:eastAsia="el-GR"/>
        </w:rPr>
      </w:pPr>
      <w:r w:rsidRPr="004008FE">
        <w:rPr>
          <w:szCs w:val="22"/>
          <w:lang w:eastAsia="el-GR"/>
        </w:rPr>
        <w:t xml:space="preserve">Το </w:t>
      </w:r>
      <w:r w:rsidR="00EA7A4A" w:rsidRPr="004008FE">
        <w:rPr>
          <w:szCs w:val="22"/>
          <w:lang w:val="en-US" w:eastAsia="el-GR"/>
        </w:rPr>
        <w:t>CISATRAL</w:t>
      </w:r>
      <w:r w:rsidR="00EA7A4A" w:rsidRPr="004008FE">
        <w:rPr>
          <w:szCs w:val="22"/>
          <w:lang w:eastAsia="el-GR"/>
        </w:rPr>
        <w:t xml:space="preserve"> </w:t>
      </w:r>
      <w:r w:rsidRPr="004008FE">
        <w:rPr>
          <w:szCs w:val="22"/>
          <w:lang w:eastAsia="el-GR"/>
        </w:rPr>
        <w:t xml:space="preserve">είναι ένας </w:t>
      </w:r>
      <w:r w:rsidR="005F52EA" w:rsidRPr="004008FE">
        <w:rPr>
          <w:szCs w:val="22"/>
          <w:lang w:eastAsia="el-GR"/>
        </w:rPr>
        <w:t>μέσης διάρκειας δράσης, μη-αποπο</w:t>
      </w:r>
      <w:r w:rsidRPr="004008FE">
        <w:rPr>
          <w:szCs w:val="22"/>
          <w:lang w:eastAsia="el-GR"/>
        </w:rPr>
        <w:t>λωτικός παράγοντας</w:t>
      </w:r>
      <w:r w:rsidR="009B2C4F" w:rsidRPr="004008FE">
        <w:rPr>
          <w:szCs w:val="22"/>
          <w:lang w:eastAsia="el-GR"/>
        </w:rPr>
        <w:t xml:space="preserve"> </w:t>
      </w:r>
      <w:r w:rsidRPr="004008FE">
        <w:rPr>
          <w:szCs w:val="22"/>
          <w:lang w:eastAsia="el-GR"/>
        </w:rPr>
        <w:t>νευρομυϊκού αποκλεισμού για ενδοφλέβια χορήγηση.</w:t>
      </w:r>
    </w:p>
    <w:p w:rsidR="001C7288" w:rsidRPr="004008FE" w:rsidRDefault="001C7288">
      <w:pPr>
        <w:rPr>
          <w:szCs w:val="22"/>
        </w:rPr>
      </w:pPr>
    </w:p>
    <w:p w:rsidR="001C7288" w:rsidRPr="004008FE" w:rsidRDefault="001C7288" w:rsidP="009B2C4F">
      <w:pPr>
        <w:rPr>
          <w:szCs w:val="22"/>
          <w:lang w:eastAsia="el-GR"/>
        </w:rPr>
      </w:pPr>
      <w:r w:rsidRPr="004008FE">
        <w:rPr>
          <w:szCs w:val="22"/>
          <w:lang w:eastAsia="el-GR"/>
        </w:rPr>
        <w:t xml:space="preserve">Το </w:t>
      </w:r>
      <w:r w:rsidR="00EA7A4A" w:rsidRPr="004008FE">
        <w:rPr>
          <w:szCs w:val="22"/>
          <w:lang w:val="en-US" w:eastAsia="el-GR"/>
        </w:rPr>
        <w:t>CISATRAL</w:t>
      </w:r>
      <w:r w:rsidR="00EA7A4A" w:rsidRPr="004008FE">
        <w:rPr>
          <w:szCs w:val="22"/>
          <w:lang w:eastAsia="el-GR"/>
        </w:rPr>
        <w:t xml:space="preserve"> </w:t>
      </w:r>
      <w:r w:rsidRPr="004008FE">
        <w:rPr>
          <w:szCs w:val="22"/>
          <w:lang w:eastAsia="el-GR"/>
        </w:rPr>
        <w:t>ενδείκνυται για χρήση κατά την διάρκεια χειρουργικών και άλλων</w:t>
      </w:r>
      <w:r w:rsidR="009B2C4F" w:rsidRPr="004008FE">
        <w:rPr>
          <w:szCs w:val="22"/>
          <w:lang w:eastAsia="el-GR"/>
        </w:rPr>
        <w:t xml:space="preserve"> </w:t>
      </w:r>
      <w:r w:rsidRPr="004008FE">
        <w:rPr>
          <w:szCs w:val="22"/>
          <w:lang w:eastAsia="el-GR"/>
        </w:rPr>
        <w:t xml:space="preserve">επεμβάσεων και στις Μονάδες Εντατικής Θεραπείας (ΜΕΘ) σε ενήλικες και παιδιά  ηλικίας </w:t>
      </w:r>
      <w:r w:rsidR="009B2C4F" w:rsidRPr="004008FE">
        <w:rPr>
          <w:szCs w:val="22"/>
          <w:lang w:eastAsia="el-GR"/>
        </w:rPr>
        <w:t>από 1 μήνα και πάνω.</w:t>
      </w:r>
      <w:r w:rsidR="009B2C4F" w:rsidRPr="004008FE">
        <w:rPr>
          <w:szCs w:val="22"/>
        </w:rPr>
        <w:t xml:space="preserve"> Το </w:t>
      </w:r>
      <w:r w:rsidR="00EA7A4A" w:rsidRPr="004008FE">
        <w:rPr>
          <w:szCs w:val="22"/>
          <w:lang w:val="en-GB"/>
        </w:rPr>
        <w:t>CISATRAL</w:t>
      </w:r>
      <w:r w:rsidR="009B2C4F" w:rsidRPr="004008FE">
        <w:rPr>
          <w:szCs w:val="22"/>
          <w:lang w:eastAsia="el-GR"/>
        </w:rPr>
        <w:t xml:space="preserve"> χ</w:t>
      </w:r>
      <w:r w:rsidRPr="004008FE">
        <w:rPr>
          <w:szCs w:val="22"/>
          <w:lang w:eastAsia="el-GR"/>
        </w:rPr>
        <w:t>ρησιμοποιείται ως</w:t>
      </w:r>
      <w:r w:rsidR="009B2C4F" w:rsidRPr="004008FE">
        <w:rPr>
          <w:szCs w:val="22"/>
          <w:lang w:eastAsia="el-GR"/>
        </w:rPr>
        <w:t xml:space="preserve"> </w:t>
      </w:r>
      <w:r w:rsidRPr="004008FE">
        <w:rPr>
          <w:szCs w:val="22"/>
          <w:lang w:eastAsia="el-GR"/>
        </w:rPr>
        <w:t>βοηθητικό στη γενική αναισθησία ή για την καταστολή ασθενών στη ΜΕΘ για τη</w:t>
      </w:r>
      <w:r w:rsidR="009B2C4F" w:rsidRPr="004008FE">
        <w:rPr>
          <w:szCs w:val="22"/>
          <w:lang w:eastAsia="el-GR"/>
        </w:rPr>
        <w:t xml:space="preserve"> </w:t>
      </w:r>
      <w:r w:rsidRPr="004008FE">
        <w:rPr>
          <w:szCs w:val="22"/>
          <w:lang w:eastAsia="el-GR"/>
        </w:rPr>
        <w:t xml:space="preserve">χάλαση των σκελετικών μυών, και για διευκόλυνση της διασωλήνωσης </w:t>
      </w:r>
      <w:r w:rsidR="009B2C4F" w:rsidRPr="004008FE">
        <w:rPr>
          <w:szCs w:val="22"/>
          <w:lang w:eastAsia="el-GR"/>
        </w:rPr>
        <w:t xml:space="preserve">της </w:t>
      </w:r>
      <w:r w:rsidRPr="004008FE">
        <w:rPr>
          <w:szCs w:val="22"/>
          <w:lang w:eastAsia="el-GR"/>
        </w:rPr>
        <w:t>τραχείας</w:t>
      </w:r>
      <w:r w:rsidR="009B2C4F" w:rsidRPr="004008FE">
        <w:rPr>
          <w:szCs w:val="22"/>
          <w:lang w:eastAsia="el-GR"/>
        </w:rPr>
        <w:t xml:space="preserve"> </w:t>
      </w:r>
      <w:r w:rsidRPr="004008FE">
        <w:rPr>
          <w:szCs w:val="22"/>
          <w:lang w:eastAsia="el-GR"/>
        </w:rPr>
        <w:t>και της μηχανικής υποστήριξης της αναπνοής.</w:t>
      </w:r>
    </w:p>
    <w:p w:rsidR="001C7288" w:rsidRPr="004008FE" w:rsidRDefault="001C7288">
      <w:pPr>
        <w:rPr>
          <w:szCs w:val="22"/>
        </w:rPr>
      </w:pPr>
    </w:p>
    <w:p w:rsidR="00496809" w:rsidRPr="004008FE" w:rsidRDefault="00496809">
      <w:pPr>
        <w:rPr>
          <w:szCs w:val="22"/>
        </w:rPr>
      </w:pPr>
      <w:r w:rsidRPr="004008FE">
        <w:rPr>
          <w:b/>
          <w:szCs w:val="22"/>
        </w:rPr>
        <w:t>4.2</w:t>
      </w:r>
      <w:r w:rsidRPr="004008FE">
        <w:rPr>
          <w:b/>
          <w:szCs w:val="22"/>
        </w:rPr>
        <w:tab/>
        <w:t>Δοσολογία και τρόπος χορήγησης</w:t>
      </w:r>
    </w:p>
    <w:p w:rsidR="005F52EA" w:rsidRPr="004008FE" w:rsidRDefault="005F52EA">
      <w:pPr>
        <w:rPr>
          <w:szCs w:val="22"/>
        </w:rPr>
      </w:pPr>
    </w:p>
    <w:p w:rsidR="00573DB0" w:rsidRPr="004008FE" w:rsidRDefault="005F52EA" w:rsidP="00573DB0">
      <w:pPr>
        <w:widowControl/>
        <w:autoSpaceDE w:val="0"/>
        <w:autoSpaceDN w:val="0"/>
        <w:adjustRightInd w:val="0"/>
        <w:rPr>
          <w:szCs w:val="22"/>
          <w:lang w:eastAsia="el-GR"/>
        </w:rPr>
      </w:pPr>
      <w:r w:rsidRPr="004008FE">
        <w:rPr>
          <w:szCs w:val="22"/>
        </w:rPr>
        <w:t xml:space="preserve">Το </w:t>
      </w:r>
      <w:r w:rsidR="00EA7A4A" w:rsidRPr="004008FE">
        <w:rPr>
          <w:szCs w:val="22"/>
          <w:lang w:eastAsia="el-GR"/>
        </w:rPr>
        <w:t xml:space="preserve"> </w:t>
      </w:r>
      <w:r w:rsidR="00EA7A4A" w:rsidRPr="004008FE">
        <w:rPr>
          <w:szCs w:val="22"/>
          <w:lang w:val="en-US" w:eastAsia="el-GR"/>
        </w:rPr>
        <w:t>CISATRAL</w:t>
      </w:r>
      <w:r w:rsidR="00EA7A4A" w:rsidRPr="004008FE" w:rsidDel="00EA7A4A">
        <w:rPr>
          <w:szCs w:val="22"/>
        </w:rPr>
        <w:t xml:space="preserve"> </w:t>
      </w:r>
      <w:r w:rsidRPr="004008FE">
        <w:rPr>
          <w:szCs w:val="22"/>
        </w:rPr>
        <w:t>θα πρέπει να χορηγείται αποκλειστικά από ή υπό την επίβλεψη των αναισθησιολόγων</w:t>
      </w:r>
      <w:r w:rsidR="00EA7A4A" w:rsidRPr="004008FE">
        <w:rPr>
          <w:szCs w:val="22"/>
        </w:rPr>
        <w:t xml:space="preserve"> </w:t>
      </w:r>
      <w:r w:rsidRPr="004008FE">
        <w:rPr>
          <w:szCs w:val="22"/>
        </w:rPr>
        <w:t xml:space="preserve"> ή άλλων κλινικών </w:t>
      </w:r>
      <w:r w:rsidR="002A71B9" w:rsidRPr="004008FE">
        <w:rPr>
          <w:szCs w:val="22"/>
        </w:rPr>
        <w:t xml:space="preserve">ιατρών </w:t>
      </w:r>
      <w:r w:rsidRPr="004008FE">
        <w:rPr>
          <w:szCs w:val="22"/>
        </w:rPr>
        <w:t>που είναι εξοικειωμένοι με τη χρήση και τη δράση των παραγόντων νευρομυϊκού αποκλεισμού.</w:t>
      </w:r>
      <w:r w:rsidR="00FD1F6F" w:rsidRPr="004008FE">
        <w:rPr>
          <w:szCs w:val="22"/>
        </w:rPr>
        <w:t xml:space="preserve"> </w:t>
      </w:r>
      <w:r w:rsidR="00573DB0" w:rsidRPr="004008FE">
        <w:rPr>
          <w:szCs w:val="22"/>
          <w:lang w:eastAsia="el-GR"/>
        </w:rPr>
        <w:t>Πρέπει να υπάρχουν επίσης τα μέσα για διασωλήνωση της τραχείας, τεχνητή αναπνοή και κατάλληλη αρτηριακή οξυγόνωση.</w:t>
      </w:r>
    </w:p>
    <w:p w:rsidR="005F52EA" w:rsidRPr="004008FE" w:rsidRDefault="005F52EA" w:rsidP="00573DB0">
      <w:pPr>
        <w:rPr>
          <w:b/>
          <w:szCs w:val="22"/>
        </w:rPr>
      </w:pPr>
    </w:p>
    <w:p w:rsidR="00FD1F6F" w:rsidRPr="004008FE" w:rsidRDefault="00FD1F6F" w:rsidP="00FD1F6F">
      <w:pPr>
        <w:rPr>
          <w:szCs w:val="22"/>
          <w:lang w:eastAsia="el-GR"/>
        </w:rPr>
      </w:pPr>
      <w:r w:rsidRPr="004008FE">
        <w:rPr>
          <w:szCs w:val="22"/>
          <w:lang w:eastAsia="el-GR"/>
        </w:rPr>
        <w:t xml:space="preserve">Παρακαλείσθε να προσέξετε ότι το </w:t>
      </w:r>
      <w:r w:rsidR="00EA7A4A" w:rsidRPr="004008FE">
        <w:rPr>
          <w:szCs w:val="22"/>
          <w:lang w:val="en-US" w:eastAsia="el-GR"/>
        </w:rPr>
        <w:t>CISATRAL</w:t>
      </w:r>
      <w:r w:rsidR="00EA7A4A" w:rsidRPr="004008FE" w:rsidDel="00EA7A4A">
        <w:rPr>
          <w:szCs w:val="22"/>
        </w:rPr>
        <w:t xml:space="preserve"> </w:t>
      </w:r>
      <w:r w:rsidR="00EA7A4A" w:rsidRPr="004008FE">
        <w:rPr>
          <w:szCs w:val="22"/>
        </w:rPr>
        <w:t xml:space="preserve"> </w:t>
      </w:r>
      <w:r w:rsidRPr="004008FE">
        <w:rPr>
          <w:szCs w:val="22"/>
          <w:lang w:eastAsia="el-GR"/>
        </w:rPr>
        <w:t>δεν πρέπει να αναμιγνύεται στην ίδια σύριγγα ή να χορηγείται ταυτόχρονα μέσω της ίδιας βελόνας με το ενέσιμο γαλάκτωμα propofol ή με αλκαλικά διαλύματα, όπως το sodium thiopenthone. (βλέπε παράγραφο 6.2).</w:t>
      </w:r>
    </w:p>
    <w:p w:rsidR="005F52EA" w:rsidRPr="004008FE" w:rsidRDefault="005F52EA" w:rsidP="005F52EA">
      <w:pPr>
        <w:jc w:val="both"/>
        <w:rPr>
          <w:rFonts w:eastAsia="SimSun"/>
          <w:szCs w:val="22"/>
          <w:lang w:eastAsia="zh-CN"/>
        </w:rPr>
      </w:pPr>
    </w:p>
    <w:p w:rsidR="00FD1F6F" w:rsidRPr="004008FE" w:rsidRDefault="00FD1F6F" w:rsidP="00FD1F6F">
      <w:pPr>
        <w:widowControl/>
        <w:autoSpaceDE w:val="0"/>
        <w:autoSpaceDN w:val="0"/>
        <w:adjustRightInd w:val="0"/>
        <w:rPr>
          <w:szCs w:val="22"/>
          <w:lang w:eastAsia="el-GR"/>
        </w:rPr>
      </w:pPr>
      <w:r w:rsidRPr="004008FE">
        <w:rPr>
          <w:szCs w:val="22"/>
        </w:rPr>
        <w:t xml:space="preserve">Το </w:t>
      </w:r>
      <w:r w:rsidR="00EA7A4A" w:rsidRPr="004008FE">
        <w:rPr>
          <w:szCs w:val="22"/>
          <w:lang w:val="en-US" w:eastAsia="el-GR"/>
        </w:rPr>
        <w:t>CISATRAL</w:t>
      </w:r>
      <w:r w:rsidR="00EA7A4A" w:rsidRPr="004008FE" w:rsidDel="00EA7A4A">
        <w:rPr>
          <w:szCs w:val="22"/>
        </w:rPr>
        <w:t xml:space="preserve"> </w:t>
      </w:r>
      <w:r w:rsidR="005F52EA" w:rsidRPr="004008FE">
        <w:rPr>
          <w:rFonts w:eastAsia="SimSun"/>
          <w:szCs w:val="22"/>
          <w:lang w:eastAsia="zh-CN"/>
        </w:rPr>
        <w:t xml:space="preserve"> </w:t>
      </w:r>
      <w:r w:rsidRPr="004008FE">
        <w:rPr>
          <w:szCs w:val="22"/>
          <w:lang w:eastAsia="el-GR"/>
        </w:rPr>
        <w:t>δεν περιέχει αντιμικροβιακό συντηρητικό και κάθε περιέκτης</w:t>
      </w:r>
      <w:r w:rsidR="00416CA1" w:rsidRPr="004008FE">
        <w:rPr>
          <w:szCs w:val="22"/>
          <w:lang w:eastAsia="el-GR"/>
        </w:rPr>
        <w:t xml:space="preserve"> </w:t>
      </w:r>
      <w:r w:rsidRPr="004008FE">
        <w:rPr>
          <w:szCs w:val="22"/>
          <w:lang w:eastAsia="el-GR"/>
        </w:rPr>
        <w:t>χρησιμοποιείται μόνο για έναν ασθενή.</w:t>
      </w:r>
    </w:p>
    <w:p w:rsidR="00AF1044" w:rsidRPr="004008FE" w:rsidRDefault="00AF1044" w:rsidP="00FD1F6F">
      <w:pPr>
        <w:widowControl/>
        <w:autoSpaceDE w:val="0"/>
        <w:autoSpaceDN w:val="0"/>
        <w:adjustRightInd w:val="0"/>
        <w:rPr>
          <w:szCs w:val="22"/>
          <w:lang w:eastAsia="el-GR"/>
        </w:rPr>
      </w:pPr>
    </w:p>
    <w:p w:rsidR="00AF1044" w:rsidRPr="004008FE" w:rsidRDefault="00AF1044" w:rsidP="00AF1044">
      <w:pPr>
        <w:rPr>
          <w:szCs w:val="22"/>
          <w:lang w:eastAsia="el-GR"/>
        </w:rPr>
      </w:pPr>
      <w:r w:rsidRPr="004008FE">
        <w:rPr>
          <w:szCs w:val="22"/>
          <w:lang w:eastAsia="el-GR"/>
        </w:rPr>
        <w:t>Συμβουλή κατά την παρακολούθηση ασθενών</w:t>
      </w:r>
    </w:p>
    <w:p w:rsidR="00AF1044" w:rsidRPr="004008FE" w:rsidRDefault="00AF1044" w:rsidP="00AF1044">
      <w:pPr>
        <w:rPr>
          <w:szCs w:val="22"/>
          <w:lang w:eastAsia="el-GR"/>
        </w:rPr>
      </w:pPr>
    </w:p>
    <w:p w:rsidR="00AF1044" w:rsidRPr="004008FE" w:rsidRDefault="001C38E8" w:rsidP="00AF1044">
      <w:pPr>
        <w:rPr>
          <w:szCs w:val="22"/>
          <w:lang w:eastAsia="el-GR"/>
        </w:rPr>
      </w:pPr>
      <w:r w:rsidRPr="004008FE">
        <w:rPr>
          <w:szCs w:val="22"/>
          <w:lang w:eastAsia="el-GR"/>
        </w:rPr>
        <w:t>Ό</w:t>
      </w:r>
      <w:r w:rsidR="00AF1044" w:rsidRPr="004008FE">
        <w:rPr>
          <w:szCs w:val="22"/>
          <w:lang w:eastAsia="el-GR"/>
        </w:rPr>
        <w:t xml:space="preserve">πως συμβαίνει και με άλλους παράγοντες νευρομυϊκού αποκλεισμού, η παρακολούθηση της νευρομυϊκής λειτουργίας συνιστάται κατά τη διάρκεια της χρήσης του </w:t>
      </w:r>
      <w:r w:rsidR="0053630C" w:rsidRPr="004008FE">
        <w:rPr>
          <w:szCs w:val="22"/>
          <w:lang w:val="en-US" w:eastAsia="el-GR"/>
        </w:rPr>
        <w:t>CISATRAL</w:t>
      </w:r>
      <w:r w:rsidR="00AF1044" w:rsidRPr="004008FE">
        <w:rPr>
          <w:szCs w:val="22"/>
          <w:lang w:eastAsia="el-GR"/>
        </w:rPr>
        <w:t xml:space="preserve"> έτσι ώστε να εξατομικεύεται η δόση.</w:t>
      </w:r>
    </w:p>
    <w:p w:rsidR="00AF1044" w:rsidRPr="004008FE" w:rsidRDefault="00AF1044" w:rsidP="00AF1044">
      <w:pPr>
        <w:rPr>
          <w:szCs w:val="22"/>
          <w:lang w:eastAsia="el-GR"/>
        </w:rPr>
      </w:pPr>
    </w:p>
    <w:p w:rsidR="001C38E8" w:rsidRPr="004008FE" w:rsidRDefault="001C38E8" w:rsidP="001C38E8">
      <w:pPr>
        <w:rPr>
          <w:b/>
          <w:szCs w:val="22"/>
          <w:lang w:eastAsia="el-GR"/>
        </w:rPr>
      </w:pPr>
      <w:r w:rsidRPr="004008FE">
        <w:rPr>
          <w:b/>
          <w:szCs w:val="22"/>
          <w:lang w:eastAsia="el-GR"/>
        </w:rPr>
        <w:lastRenderedPageBreak/>
        <w:t xml:space="preserve">Eνδοφλέβια </w:t>
      </w:r>
      <w:r w:rsidR="00C63BE2" w:rsidRPr="004008FE">
        <w:rPr>
          <w:b/>
          <w:szCs w:val="22"/>
          <w:lang w:eastAsia="el-GR"/>
        </w:rPr>
        <w:t>(</w:t>
      </w:r>
      <w:r w:rsidR="00C63BE2" w:rsidRPr="004008FE">
        <w:rPr>
          <w:b/>
          <w:szCs w:val="22"/>
          <w:lang w:val="en-US" w:eastAsia="el-GR"/>
        </w:rPr>
        <w:t>bolus</w:t>
      </w:r>
      <w:r w:rsidR="00C63BE2" w:rsidRPr="004008FE">
        <w:rPr>
          <w:b/>
          <w:szCs w:val="22"/>
          <w:lang w:eastAsia="el-GR"/>
        </w:rPr>
        <w:t>)</w:t>
      </w:r>
      <w:r w:rsidR="00162EC2" w:rsidRPr="004008FE">
        <w:rPr>
          <w:b/>
          <w:szCs w:val="22"/>
          <w:lang w:eastAsia="el-GR"/>
        </w:rPr>
        <w:t xml:space="preserve"> </w:t>
      </w:r>
      <w:r w:rsidRPr="004008FE">
        <w:rPr>
          <w:b/>
          <w:szCs w:val="22"/>
          <w:lang w:eastAsia="el-GR"/>
        </w:rPr>
        <w:t>χορήγηση</w:t>
      </w:r>
    </w:p>
    <w:p w:rsidR="001C38E8" w:rsidRPr="004008FE" w:rsidRDefault="001C38E8" w:rsidP="001C38E8">
      <w:pPr>
        <w:rPr>
          <w:b/>
          <w:szCs w:val="22"/>
          <w:lang w:eastAsia="el-GR"/>
        </w:rPr>
      </w:pPr>
    </w:p>
    <w:p w:rsidR="001C38E8" w:rsidRPr="004008FE" w:rsidRDefault="001C38E8" w:rsidP="001C38E8">
      <w:pPr>
        <w:rPr>
          <w:b/>
          <w:szCs w:val="22"/>
          <w:lang w:eastAsia="el-GR"/>
        </w:rPr>
      </w:pPr>
      <w:r w:rsidRPr="004008FE">
        <w:rPr>
          <w:b/>
          <w:szCs w:val="22"/>
          <w:lang w:eastAsia="el-GR"/>
        </w:rPr>
        <w:t xml:space="preserve">Δοσολογία </w:t>
      </w:r>
      <w:r w:rsidR="00D80706" w:rsidRPr="004008FE">
        <w:rPr>
          <w:b/>
          <w:szCs w:val="22"/>
          <w:lang w:eastAsia="el-GR"/>
        </w:rPr>
        <w:t xml:space="preserve">για </w:t>
      </w:r>
      <w:r w:rsidRPr="004008FE">
        <w:rPr>
          <w:b/>
          <w:szCs w:val="22"/>
          <w:lang w:eastAsia="el-GR"/>
        </w:rPr>
        <w:t>ενήλικες</w:t>
      </w:r>
    </w:p>
    <w:p w:rsidR="001C38E8" w:rsidRPr="004008FE" w:rsidRDefault="001C38E8" w:rsidP="001D6ADC">
      <w:pPr>
        <w:rPr>
          <w:szCs w:val="22"/>
          <w:lang w:eastAsia="el-GR"/>
        </w:rPr>
      </w:pPr>
    </w:p>
    <w:p w:rsidR="001C38E8" w:rsidRPr="004008FE" w:rsidRDefault="001C38E8" w:rsidP="001D6ADC">
      <w:pPr>
        <w:rPr>
          <w:szCs w:val="22"/>
          <w:lang w:eastAsia="el-GR"/>
        </w:rPr>
      </w:pPr>
      <w:r w:rsidRPr="004008FE">
        <w:rPr>
          <w:b/>
          <w:bCs/>
          <w:szCs w:val="22"/>
          <w:lang w:eastAsia="el-GR"/>
        </w:rPr>
        <w:t>Διασωλήνωση της τραχείας</w:t>
      </w:r>
      <w:r w:rsidRPr="004008FE">
        <w:rPr>
          <w:b/>
          <w:szCs w:val="22"/>
          <w:lang w:eastAsia="el-GR"/>
        </w:rPr>
        <w:t>:</w:t>
      </w:r>
      <w:r w:rsidRPr="004008FE">
        <w:rPr>
          <w:szCs w:val="22"/>
          <w:lang w:eastAsia="el-GR"/>
        </w:rPr>
        <w:t xml:space="preserve"> Η προτεινόμενη δόση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για διασωλήνωση</w:t>
      </w:r>
      <w:r w:rsidR="001D6ADC" w:rsidRPr="004008FE">
        <w:rPr>
          <w:szCs w:val="22"/>
          <w:lang w:eastAsia="el-GR"/>
        </w:rPr>
        <w:t xml:space="preserve"> </w:t>
      </w:r>
      <w:r w:rsidRPr="004008FE">
        <w:rPr>
          <w:szCs w:val="22"/>
          <w:lang w:eastAsia="el-GR"/>
        </w:rPr>
        <w:t xml:space="preserve">σε ενήλικες είναι 0,15 mg/kg </w:t>
      </w:r>
      <w:r w:rsidR="0053630C" w:rsidRPr="004008FE">
        <w:rPr>
          <w:szCs w:val="22"/>
          <w:lang w:eastAsia="el-GR"/>
        </w:rPr>
        <w:t>(βάρος σώματος)</w:t>
      </w:r>
      <w:r w:rsidRPr="004008FE">
        <w:rPr>
          <w:szCs w:val="22"/>
          <w:lang w:eastAsia="el-GR"/>
        </w:rPr>
        <w:t>. Aυτή η δόση προκαλεί καλές έως</w:t>
      </w:r>
      <w:r w:rsidR="001D6ADC" w:rsidRPr="004008FE">
        <w:rPr>
          <w:szCs w:val="22"/>
          <w:lang w:eastAsia="el-GR"/>
        </w:rPr>
        <w:t xml:space="preserve"> </w:t>
      </w:r>
      <w:r w:rsidRPr="004008FE">
        <w:rPr>
          <w:szCs w:val="22"/>
          <w:lang w:eastAsia="el-GR"/>
        </w:rPr>
        <w:t>άριστες συνθήκες για διασωλήνωση της τραχείας 120 sec μετά τη χορήγηση του</w:t>
      </w:r>
      <w:r w:rsidR="001D6ADC" w:rsidRPr="004008FE">
        <w:rPr>
          <w:szCs w:val="22"/>
          <w:lang w:eastAsia="el-GR"/>
        </w:rPr>
        <w:t xml:space="preserve">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που ακολούθησε την εισαγωγή στην αναισθησία με </w:t>
      </w:r>
      <w:r w:rsidR="00162EC2" w:rsidRPr="004008FE">
        <w:rPr>
          <w:szCs w:val="22"/>
          <w:lang w:eastAsia="el-GR"/>
        </w:rPr>
        <w:t>προποφόλη</w:t>
      </w:r>
      <w:r w:rsidRPr="004008FE">
        <w:rPr>
          <w:szCs w:val="22"/>
          <w:lang w:eastAsia="el-GR"/>
        </w:rPr>
        <w:t>.</w:t>
      </w:r>
    </w:p>
    <w:p w:rsidR="001D6ADC" w:rsidRPr="004008FE" w:rsidRDefault="001D6ADC" w:rsidP="001D6ADC">
      <w:pPr>
        <w:rPr>
          <w:szCs w:val="22"/>
          <w:lang w:eastAsia="el-GR"/>
        </w:rPr>
      </w:pPr>
    </w:p>
    <w:p w:rsidR="001D6ADC" w:rsidRPr="004008FE" w:rsidRDefault="001D6ADC" w:rsidP="001D6ADC">
      <w:pPr>
        <w:widowControl/>
        <w:autoSpaceDE w:val="0"/>
        <w:autoSpaceDN w:val="0"/>
        <w:adjustRightInd w:val="0"/>
        <w:rPr>
          <w:szCs w:val="22"/>
          <w:lang w:eastAsia="el-GR"/>
        </w:rPr>
      </w:pPr>
      <w:r w:rsidRPr="004008FE">
        <w:rPr>
          <w:szCs w:val="22"/>
        </w:rPr>
        <w:t>Μεγαλύτερες δόσεις θα μειώσουν το χρόνο έναρξης του νευρομυϊκού αποκλεισμού</w:t>
      </w:r>
      <w:r w:rsidRPr="004008FE">
        <w:rPr>
          <w:szCs w:val="22"/>
          <w:lang w:eastAsia="el-GR"/>
        </w:rPr>
        <w:t>.</w:t>
      </w:r>
    </w:p>
    <w:p w:rsidR="001D6ADC" w:rsidRPr="004008FE" w:rsidRDefault="001D6ADC" w:rsidP="001D6ADC">
      <w:pPr>
        <w:widowControl/>
        <w:autoSpaceDE w:val="0"/>
        <w:autoSpaceDN w:val="0"/>
        <w:adjustRightInd w:val="0"/>
        <w:rPr>
          <w:szCs w:val="22"/>
          <w:lang w:eastAsia="el-GR"/>
        </w:rPr>
      </w:pPr>
    </w:p>
    <w:p w:rsidR="001D6ADC" w:rsidRPr="004008FE" w:rsidRDefault="001D6ADC" w:rsidP="001D6ADC">
      <w:pPr>
        <w:rPr>
          <w:szCs w:val="22"/>
          <w:lang w:eastAsia="el-GR"/>
        </w:rPr>
      </w:pPr>
      <w:r w:rsidRPr="004008FE">
        <w:rPr>
          <w:szCs w:val="22"/>
          <w:lang w:eastAsia="el-GR"/>
        </w:rPr>
        <w:t xml:space="preserve">Ο παρακάτω πίνακας περιλαμβάνει τα φαρμακοδυναμικά στοιχεία (μέσες τιμές) όταν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χορηγήθηκε σε δόσεις 0,1 mg/kg έως 0,4 mg/kg σωματικού βάρους σε υγιείς ενήλικες κατά τη διάρκεια αναισθησίας με οπιοειδή (θειοπεντόνη/φεντανίλη/ιμιδαζολάμη) ή προποφόλη.</w:t>
      </w:r>
    </w:p>
    <w:p w:rsidR="001D6ADC" w:rsidRPr="004008FE" w:rsidRDefault="001D6ADC" w:rsidP="001D6ADC">
      <w:pPr>
        <w:rPr>
          <w:szCs w:val="22"/>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42"/>
        <w:gridCol w:w="1842"/>
        <w:gridCol w:w="1842"/>
        <w:gridCol w:w="1842"/>
        <w:gridCol w:w="1842"/>
      </w:tblGrid>
      <w:tr w:rsidR="001D6ADC"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b/>
                <w:szCs w:val="22"/>
                <w:lang w:eastAsia="el-GR"/>
              </w:rPr>
            </w:pPr>
            <w:r w:rsidRPr="004008FE">
              <w:rPr>
                <w:b/>
                <w:szCs w:val="22"/>
                <w:lang w:eastAsia="el-GR"/>
              </w:rPr>
              <w:t>Αρχική Δόση</w:t>
            </w:r>
          </w:p>
          <w:p w:rsidR="001D6ADC" w:rsidRPr="004008FE" w:rsidRDefault="00F0531B" w:rsidP="001D6ADC">
            <w:pPr>
              <w:rPr>
                <w:b/>
                <w:szCs w:val="22"/>
                <w:lang w:eastAsia="el-GR"/>
              </w:rPr>
            </w:pPr>
            <w:r w:rsidRPr="004008FE">
              <w:rPr>
                <w:b/>
                <w:szCs w:val="22"/>
                <w:lang w:val="en-US" w:eastAsia="el-GR"/>
              </w:rPr>
              <w:t>CISATRAL</w:t>
            </w:r>
            <w:r w:rsidRPr="004008FE" w:rsidDel="00F0531B">
              <w:rPr>
                <w:b/>
                <w:szCs w:val="22"/>
              </w:rPr>
              <w:t xml:space="preserve"> </w:t>
            </w:r>
            <w:r w:rsidR="001D6ADC" w:rsidRPr="004008FE">
              <w:rPr>
                <w:b/>
                <w:szCs w:val="22"/>
                <w:lang w:eastAsia="el-GR"/>
              </w:rPr>
              <w:t xml:space="preserve"> </w:t>
            </w:r>
            <w:r w:rsidR="001D6ADC" w:rsidRPr="004008FE">
              <w:rPr>
                <w:b/>
                <w:szCs w:val="22"/>
                <w:lang w:val="en-GB" w:eastAsia="el-GR"/>
              </w:rPr>
              <w:t>mg</w:t>
            </w:r>
            <w:r w:rsidR="001D6ADC" w:rsidRPr="004008FE">
              <w:rPr>
                <w:b/>
                <w:szCs w:val="22"/>
                <w:lang w:eastAsia="el-GR"/>
              </w:rPr>
              <w:t>/</w:t>
            </w:r>
            <w:r w:rsidR="001D6ADC" w:rsidRPr="004008FE">
              <w:rPr>
                <w:b/>
                <w:szCs w:val="22"/>
                <w:lang w:val="en-GB" w:eastAsia="el-GR"/>
              </w:rPr>
              <w:t>kg</w:t>
            </w:r>
            <w:r w:rsidR="001D6ADC" w:rsidRPr="004008FE">
              <w:rPr>
                <w:b/>
                <w:szCs w:val="22"/>
                <w:lang w:eastAsia="el-GR"/>
              </w:rPr>
              <w:t xml:space="preserve"> (βάρος</w:t>
            </w:r>
          </w:p>
          <w:p w:rsidR="001D6ADC" w:rsidRPr="004008FE" w:rsidRDefault="001D6ADC" w:rsidP="001D6ADC">
            <w:pPr>
              <w:rPr>
                <w:szCs w:val="22"/>
                <w:lang w:val="en-GB" w:eastAsia="el-GR"/>
              </w:rPr>
            </w:pPr>
            <w:r w:rsidRPr="004008FE">
              <w:rPr>
                <w:b/>
                <w:szCs w:val="22"/>
                <w:lang w:eastAsia="el-GR"/>
              </w:rPr>
              <w:t>σώματος</w:t>
            </w:r>
            <w:r w:rsidRPr="004008FE">
              <w:rPr>
                <w:b/>
                <w:szCs w:val="22"/>
                <w:lang w:val="en-GB" w:eastAsia="el-GR"/>
              </w:rPr>
              <w:t>)</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b/>
                <w:szCs w:val="22"/>
                <w:lang w:eastAsia="el-GR"/>
              </w:rPr>
            </w:pPr>
            <w:r w:rsidRPr="004008FE">
              <w:rPr>
                <w:b/>
                <w:szCs w:val="22"/>
                <w:lang w:eastAsia="el-GR"/>
              </w:rPr>
              <w:t>Aναισθητικό</w:t>
            </w:r>
          </w:p>
          <w:p w:rsidR="001D6ADC" w:rsidRPr="004008FE" w:rsidRDefault="001D6ADC" w:rsidP="001D6ADC">
            <w:pPr>
              <w:rPr>
                <w:rFonts w:eastAsia="SimSun"/>
                <w:szCs w:val="22"/>
                <w:lang w:eastAsia="zh-CN"/>
              </w:rPr>
            </w:pP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b/>
                <w:szCs w:val="22"/>
                <w:lang w:eastAsia="el-GR"/>
              </w:rPr>
            </w:pPr>
            <w:r w:rsidRPr="004008FE">
              <w:rPr>
                <w:b/>
                <w:szCs w:val="22"/>
                <w:lang w:eastAsia="el-GR"/>
              </w:rPr>
              <w:t>Χρόνος για</w:t>
            </w:r>
          </w:p>
          <w:p w:rsidR="001D6ADC" w:rsidRPr="004008FE" w:rsidRDefault="001D6ADC" w:rsidP="001D6ADC">
            <w:pPr>
              <w:rPr>
                <w:b/>
                <w:szCs w:val="22"/>
                <w:lang w:eastAsia="el-GR"/>
              </w:rPr>
            </w:pPr>
            <w:r w:rsidRPr="004008FE">
              <w:rPr>
                <w:b/>
                <w:szCs w:val="22"/>
                <w:lang w:eastAsia="el-GR"/>
              </w:rPr>
              <w:t>90% Τ1</w:t>
            </w:r>
            <w:r w:rsidR="00162EC2" w:rsidRPr="004008FE">
              <w:rPr>
                <w:b/>
                <w:szCs w:val="22"/>
                <w:lang w:eastAsia="el-GR"/>
              </w:rPr>
              <w:t>*</w:t>
            </w:r>
          </w:p>
          <w:p w:rsidR="001D6ADC" w:rsidRPr="004008FE" w:rsidRDefault="001D6ADC" w:rsidP="001D6ADC">
            <w:pPr>
              <w:rPr>
                <w:b/>
                <w:szCs w:val="22"/>
                <w:lang w:eastAsia="el-GR"/>
              </w:rPr>
            </w:pPr>
            <w:r w:rsidRPr="004008FE">
              <w:rPr>
                <w:b/>
                <w:szCs w:val="22"/>
                <w:lang w:eastAsia="el-GR"/>
              </w:rPr>
              <w:t>Μυοχάλαση</w:t>
            </w:r>
          </w:p>
          <w:p w:rsidR="001D6ADC" w:rsidRPr="004008FE" w:rsidRDefault="001D6ADC" w:rsidP="001D6ADC">
            <w:pPr>
              <w:rPr>
                <w:szCs w:val="22"/>
                <w:lang w:eastAsia="el-GR"/>
              </w:rPr>
            </w:pPr>
            <w:r w:rsidRPr="004008FE">
              <w:rPr>
                <w:b/>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b/>
                <w:szCs w:val="22"/>
                <w:lang w:eastAsia="el-GR"/>
              </w:rPr>
            </w:pPr>
            <w:r w:rsidRPr="004008FE">
              <w:rPr>
                <w:b/>
                <w:szCs w:val="22"/>
                <w:lang w:eastAsia="el-GR"/>
              </w:rPr>
              <w:t>Xρόνος για</w:t>
            </w:r>
          </w:p>
          <w:p w:rsidR="001D6ADC" w:rsidRPr="004008FE" w:rsidRDefault="001D6ADC" w:rsidP="001D6ADC">
            <w:pPr>
              <w:rPr>
                <w:b/>
                <w:szCs w:val="22"/>
                <w:lang w:eastAsia="el-GR"/>
              </w:rPr>
            </w:pPr>
            <w:r w:rsidRPr="004008FE">
              <w:rPr>
                <w:b/>
                <w:szCs w:val="22"/>
                <w:lang w:eastAsia="el-GR"/>
              </w:rPr>
              <w:t>Μέγιστη Τ1</w:t>
            </w:r>
            <w:r w:rsidR="00162EC2" w:rsidRPr="004008FE">
              <w:rPr>
                <w:b/>
                <w:szCs w:val="22"/>
                <w:lang w:eastAsia="el-GR"/>
              </w:rPr>
              <w:t>*</w:t>
            </w:r>
          </w:p>
          <w:p w:rsidR="001D6ADC" w:rsidRPr="004008FE" w:rsidRDefault="001D6ADC" w:rsidP="001D6ADC">
            <w:pPr>
              <w:rPr>
                <w:b/>
                <w:szCs w:val="22"/>
                <w:lang w:eastAsia="el-GR"/>
              </w:rPr>
            </w:pPr>
            <w:r w:rsidRPr="004008FE">
              <w:rPr>
                <w:b/>
                <w:szCs w:val="22"/>
                <w:lang w:eastAsia="el-GR"/>
              </w:rPr>
              <w:t>Μυοχάλαση</w:t>
            </w:r>
          </w:p>
          <w:p w:rsidR="001D6ADC" w:rsidRPr="004008FE" w:rsidRDefault="001D6ADC" w:rsidP="001D6ADC">
            <w:pPr>
              <w:rPr>
                <w:szCs w:val="22"/>
                <w:lang w:eastAsia="el-GR"/>
              </w:rPr>
            </w:pPr>
            <w:r w:rsidRPr="004008FE">
              <w:rPr>
                <w:b/>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b/>
                <w:szCs w:val="22"/>
                <w:lang w:eastAsia="el-GR"/>
              </w:rPr>
            </w:pPr>
            <w:r w:rsidRPr="004008FE">
              <w:rPr>
                <w:b/>
                <w:szCs w:val="22"/>
                <w:lang w:eastAsia="el-GR"/>
              </w:rPr>
              <w:t>Χρόνος για</w:t>
            </w:r>
          </w:p>
          <w:p w:rsidR="001D6ADC" w:rsidRPr="004008FE" w:rsidRDefault="001D6ADC" w:rsidP="001D6ADC">
            <w:pPr>
              <w:rPr>
                <w:b/>
                <w:szCs w:val="22"/>
                <w:lang w:eastAsia="el-GR"/>
              </w:rPr>
            </w:pPr>
            <w:r w:rsidRPr="004008FE">
              <w:rPr>
                <w:b/>
                <w:szCs w:val="22"/>
                <w:lang w:eastAsia="el-GR"/>
              </w:rPr>
              <w:t>25% Αυτόματη</w:t>
            </w:r>
          </w:p>
          <w:p w:rsidR="001D6ADC" w:rsidRPr="004008FE" w:rsidRDefault="001D6ADC" w:rsidP="001D6ADC">
            <w:pPr>
              <w:rPr>
                <w:b/>
                <w:szCs w:val="22"/>
                <w:lang w:eastAsia="el-GR"/>
              </w:rPr>
            </w:pPr>
            <w:r w:rsidRPr="004008FE">
              <w:rPr>
                <w:b/>
                <w:szCs w:val="22"/>
                <w:lang w:eastAsia="el-GR"/>
              </w:rPr>
              <w:t>Τ1 Ανάνηψη</w:t>
            </w:r>
          </w:p>
          <w:p w:rsidR="001D6ADC" w:rsidRPr="004008FE" w:rsidRDefault="001D6ADC" w:rsidP="001D6ADC">
            <w:pPr>
              <w:rPr>
                <w:szCs w:val="22"/>
                <w:lang w:eastAsia="el-GR"/>
              </w:rPr>
            </w:pPr>
            <w:r w:rsidRPr="004008FE">
              <w:rPr>
                <w:b/>
                <w:szCs w:val="22"/>
                <w:lang w:eastAsia="el-GR"/>
              </w:rPr>
              <w:t>(min)</w:t>
            </w:r>
          </w:p>
        </w:tc>
      </w:tr>
      <w:tr w:rsidR="001D6ADC"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0.1</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szCs w:val="22"/>
                <w:lang w:eastAsia="el-GR"/>
              </w:rPr>
            </w:pPr>
            <w:r w:rsidRPr="004008FE">
              <w:rPr>
                <w:szCs w:val="22"/>
                <w:lang w:eastAsia="el-GR"/>
              </w:rPr>
              <w:t>Οπιοειδές</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3.4</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4.8</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45</w:t>
            </w:r>
          </w:p>
        </w:tc>
      </w:tr>
      <w:tr w:rsidR="001D6ADC"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0.15</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62EC2" w:rsidP="001D6ADC">
            <w:pPr>
              <w:rPr>
                <w:rFonts w:eastAsia="SimSun"/>
                <w:szCs w:val="22"/>
                <w:lang w:eastAsia="zh-CN"/>
              </w:rPr>
            </w:pPr>
            <w:r w:rsidRPr="004008FE">
              <w:rPr>
                <w:rFonts w:eastAsia="SimSun"/>
                <w:szCs w:val="22"/>
                <w:lang w:eastAsia="zh-CN"/>
              </w:rPr>
              <w:t>Προποφόλη</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2.6</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3.5</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55</w:t>
            </w:r>
          </w:p>
        </w:tc>
      </w:tr>
      <w:tr w:rsidR="001D6ADC"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0.2</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szCs w:val="22"/>
                <w:lang w:eastAsia="el-GR"/>
              </w:rPr>
            </w:pPr>
            <w:r w:rsidRPr="004008FE">
              <w:rPr>
                <w:szCs w:val="22"/>
                <w:lang w:eastAsia="el-GR"/>
              </w:rPr>
              <w:t>Οπιοειδές</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2.4</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2.9</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65</w:t>
            </w:r>
          </w:p>
        </w:tc>
      </w:tr>
      <w:tr w:rsidR="001D6ADC"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0.4</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szCs w:val="22"/>
                <w:lang w:eastAsia="el-GR"/>
              </w:rPr>
            </w:pPr>
            <w:r w:rsidRPr="004008FE">
              <w:rPr>
                <w:szCs w:val="22"/>
                <w:lang w:eastAsia="el-GR"/>
              </w:rPr>
              <w:t>Οπιοειδές</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1.5</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1.9</w:t>
            </w:r>
          </w:p>
        </w:tc>
        <w:tc>
          <w:tcPr>
            <w:tcW w:w="1000" w:type="pct"/>
            <w:tcBorders>
              <w:top w:val="outset" w:sz="6" w:space="0" w:color="auto"/>
              <w:left w:val="outset" w:sz="6" w:space="0" w:color="auto"/>
              <w:bottom w:val="outset" w:sz="6" w:space="0" w:color="auto"/>
              <w:right w:val="outset" w:sz="6" w:space="0" w:color="auto"/>
            </w:tcBorders>
          </w:tcPr>
          <w:p w:rsidR="001D6ADC" w:rsidRPr="004008FE" w:rsidRDefault="001D6ADC" w:rsidP="001D6ADC">
            <w:pPr>
              <w:rPr>
                <w:rFonts w:eastAsia="SimSun"/>
                <w:szCs w:val="22"/>
                <w:lang w:eastAsia="zh-CN"/>
              </w:rPr>
            </w:pPr>
            <w:r w:rsidRPr="004008FE">
              <w:rPr>
                <w:rFonts w:eastAsia="SimSun"/>
                <w:szCs w:val="22"/>
                <w:lang w:eastAsia="zh-CN"/>
              </w:rPr>
              <w:t>91</w:t>
            </w:r>
          </w:p>
        </w:tc>
      </w:tr>
    </w:tbl>
    <w:p w:rsidR="001D6ADC" w:rsidRPr="004008FE" w:rsidRDefault="001D6ADC" w:rsidP="001D6ADC">
      <w:pPr>
        <w:widowControl/>
        <w:autoSpaceDE w:val="0"/>
        <w:autoSpaceDN w:val="0"/>
        <w:adjustRightInd w:val="0"/>
        <w:rPr>
          <w:szCs w:val="22"/>
          <w:lang w:eastAsia="el-GR"/>
        </w:rPr>
      </w:pPr>
    </w:p>
    <w:p w:rsidR="001D6ADC" w:rsidRPr="004008FE" w:rsidRDefault="001D6ADC" w:rsidP="001D6ADC">
      <w:pPr>
        <w:widowControl/>
        <w:autoSpaceDE w:val="0"/>
        <w:autoSpaceDN w:val="0"/>
        <w:adjustRightInd w:val="0"/>
        <w:rPr>
          <w:szCs w:val="22"/>
          <w:lang w:eastAsia="el-GR"/>
        </w:rPr>
      </w:pPr>
      <w:r w:rsidRPr="004008FE">
        <w:rPr>
          <w:szCs w:val="22"/>
          <w:lang w:eastAsia="el-GR"/>
        </w:rPr>
        <w:t>* Τ1 Απάντηση απλού ερεθίσματος καθώς και ο πρώτος παράγοντας της τεσσάρων ερεθισμών (Train-of-four) απαντήσεως του προσαγωγού μυός του αντίχειρα, μετά από μέγιστο ηλεκτρικό ερέθισμα του ωλένιου νεύρου.</w:t>
      </w:r>
    </w:p>
    <w:p w:rsidR="001D6ADC" w:rsidRPr="004008FE" w:rsidRDefault="001D6ADC" w:rsidP="001D6ADC">
      <w:pPr>
        <w:rPr>
          <w:szCs w:val="22"/>
          <w:lang w:eastAsia="el-GR"/>
        </w:rPr>
      </w:pPr>
    </w:p>
    <w:p w:rsidR="001D6ADC" w:rsidRPr="004008FE" w:rsidRDefault="001D6ADC" w:rsidP="001D6ADC">
      <w:pPr>
        <w:rPr>
          <w:szCs w:val="22"/>
          <w:lang w:eastAsia="el-GR"/>
        </w:rPr>
      </w:pPr>
      <w:r w:rsidRPr="004008FE">
        <w:rPr>
          <w:szCs w:val="22"/>
          <w:lang w:eastAsia="el-GR"/>
        </w:rPr>
        <w:t xml:space="preserve">Αναισθησία με ενφλουράνιο ή ισοφλουράνιο μπορεί να παρατείνει την κλινικά δραστική διάρκεια της αρχικής δόσης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έως και 15%.</w:t>
      </w:r>
    </w:p>
    <w:p w:rsidR="00D823ED" w:rsidRPr="004008FE" w:rsidRDefault="00D823ED" w:rsidP="001D6ADC">
      <w:pPr>
        <w:rPr>
          <w:szCs w:val="22"/>
          <w:lang w:eastAsia="el-GR"/>
        </w:rPr>
      </w:pPr>
    </w:p>
    <w:p w:rsidR="00D823ED" w:rsidRPr="004008FE" w:rsidRDefault="00D823ED" w:rsidP="00D823ED">
      <w:pPr>
        <w:rPr>
          <w:szCs w:val="22"/>
          <w:lang w:eastAsia="el-GR"/>
        </w:rPr>
      </w:pPr>
      <w:r w:rsidRPr="004008FE">
        <w:rPr>
          <w:b/>
          <w:szCs w:val="22"/>
        </w:rPr>
        <w:t>Διατήρηση:</w:t>
      </w:r>
      <w:r w:rsidRPr="004008FE">
        <w:rPr>
          <w:b/>
          <w:bCs/>
          <w:szCs w:val="22"/>
          <w:lang w:eastAsia="el-GR"/>
        </w:rPr>
        <w:t xml:space="preserve"> </w:t>
      </w:r>
      <w:r w:rsidRPr="004008FE">
        <w:rPr>
          <w:szCs w:val="22"/>
          <w:lang w:eastAsia="el-GR"/>
        </w:rPr>
        <w:t xml:space="preserve">Ο νευρομυϊκός αποκλεισμός μπορεί να παραταθεί με χορήγηση δόσεων συντηρήσεως του </w:t>
      </w:r>
      <w:r w:rsidR="00F0531B" w:rsidRPr="004008FE">
        <w:rPr>
          <w:szCs w:val="22"/>
          <w:lang w:val="en-US" w:eastAsia="el-GR"/>
        </w:rPr>
        <w:t>CISATRAL</w:t>
      </w:r>
      <w:r w:rsidRPr="004008FE">
        <w:rPr>
          <w:szCs w:val="22"/>
          <w:lang w:eastAsia="el-GR"/>
        </w:rPr>
        <w:t xml:space="preserve">. Μια δόση 0,03 mg/kg (βάρους σώματος) παρέχει περίπου 20 min επιπρόσθετου κλινικά δραστικού νευρομυϊκού αποκλεισμού κατά τη διάρκεια αναισθησίας με oπιοειδή ή </w:t>
      </w:r>
      <w:r w:rsidR="00E25904" w:rsidRPr="004008FE">
        <w:rPr>
          <w:szCs w:val="22"/>
          <w:lang w:eastAsia="el-GR"/>
        </w:rPr>
        <w:t>προποφόλη</w:t>
      </w:r>
      <w:r w:rsidRPr="004008FE">
        <w:rPr>
          <w:szCs w:val="22"/>
          <w:lang w:eastAsia="el-GR"/>
        </w:rPr>
        <w:t>.</w:t>
      </w:r>
    </w:p>
    <w:p w:rsidR="00D823ED" w:rsidRPr="004008FE" w:rsidRDefault="00D823ED" w:rsidP="00D823ED">
      <w:pPr>
        <w:rPr>
          <w:szCs w:val="22"/>
          <w:lang w:eastAsia="el-GR"/>
        </w:rPr>
      </w:pPr>
    </w:p>
    <w:p w:rsidR="00D823ED" w:rsidRPr="004008FE" w:rsidRDefault="00D823ED" w:rsidP="00D823ED">
      <w:pPr>
        <w:rPr>
          <w:szCs w:val="22"/>
          <w:lang w:eastAsia="el-GR"/>
        </w:rPr>
      </w:pPr>
      <w:r w:rsidRPr="004008FE">
        <w:rPr>
          <w:szCs w:val="22"/>
          <w:lang w:eastAsia="el-GR"/>
        </w:rPr>
        <w:t>Διαδοχικές δόσεις συντηρήσεως δεν έχουν ως αποτέλεσμα την προοδευτική παράταση του αποτελέσματος.</w:t>
      </w:r>
    </w:p>
    <w:p w:rsidR="00D823ED" w:rsidRPr="004008FE" w:rsidRDefault="00D823ED" w:rsidP="00D823ED">
      <w:pPr>
        <w:rPr>
          <w:szCs w:val="22"/>
          <w:lang w:eastAsia="el-GR"/>
        </w:rPr>
      </w:pPr>
    </w:p>
    <w:p w:rsidR="00D823ED" w:rsidRPr="004008FE" w:rsidRDefault="00D823ED" w:rsidP="00D823ED">
      <w:pPr>
        <w:rPr>
          <w:szCs w:val="22"/>
          <w:lang w:eastAsia="el-GR"/>
        </w:rPr>
      </w:pPr>
      <w:r w:rsidRPr="004008FE">
        <w:rPr>
          <w:b/>
          <w:bCs/>
          <w:szCs w:val="22"/>
          <w:lang w:eastAsia="el-GR"/>
        </w:rPr>
        <w:t xml:space="preserve">Αυτόματη Ανάνηψη: </w:t>
      </w:r>
      <w:r w:rsidRPr="004008FE">
        <w:rPr>
          <w:szCs w:val="22"/>
          <w:lang w:eastAsia="el-GR"/>
        </w:rPr>
        <w:t xml:space="preserve">Από τη στιγμή που αρχίζει η αυτόματη ανάνηψη από το νευρομυϊκό αποκλεισμό, ο ρυθμός της είναι ανεξάρτητος της δόσης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που έχει χορηγηθεί. Κατά τη διάρκεια αναισθησίας με oπιοειδές ή </w:t>
      </w:r>
      <w:r w:rsidR="00E25904" w:rsidRPr="004008FE">
        <w:rPr>
          <w:szCs w:val="22"/>
          <w:lang w:eastAsia="el-GR"/>
        </w:rPr>
        <w:t>προποφόλη</w:t>
      </w:r>
      <w:r w:rsidRPr="004008FE">
        <w:rPr>
          <w:szCs w:val="22"/>
          <w:lang w:eastAsia="el-GR"/>
        </w:rPr>
        <w:t>, ο μέσος χρόνος για να επιτευχθεί επίπεδο ανάνηψης από 25% έως 75% και από 5% έως 95% είναι περίπου 13 και 30 min αντίστοιχα.</w:t>
      </w:r>
    </w:p>
    <w:p w:rsidR="00797379" w:rsidRPr="004008FE" w:rsidRDefault="00797379" w:rsidP="00D823ED">
      <w:pPr>
        <w:rPr>
          <w:szCs w:val="22"/>
          <w:lang w:eastAsia="el-GR"/>
        </w:rPr>
      </w:pPr>
    </w:p>
    <w:p w:rsidR="00D53867" w:rsidRPr="004008FE" w:rsidRDefault="00797379" w:rsidP="00056716">
      <w:pPr>
        <w:rPr>
          <w:szCs w:val="22"/>
          <w:lang w:eastAsia="el-GR"/>
        </w:rPr>
      </w:pPr>
      <w:r w:rsidRPr="004008FE">
        <w:rPr>
          <w:b/>
          <w:bCs/>
          <w:szCs w:val="22"/>
          <w:lang w:eastAsia="el-GR"/>
        </w:rPr>
        <w:t xml:space="preserve">Αναστροφή: </w:t>
      </w:r>
      <w:r w:rsidRPr="004008FE">
        <w:rPr>
          <w:szCs w:val="22"/>
          <w:lang w:eastAsia="el-GR"/>
        </w:rPr>
        <w:t xml:space="preserve">Ο νευρομυϊκός αποκλεισμός που επιτυγχάνεται μετά τη χορήγηση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μπορεί να αναστραφεί εύκολα χορηγώντας τις καθιερωμένες δόσεις αντιχολινεστερασικών παραγόντων. Ο μέσος χρόνος για ανάνηψη από 25% έως 75% και γι</w:t>
      </w:r>
      <w:r w:rsidR="00416CA1" w:rsidRPr="004008FE">
        <w:rPr>
          <w:szCs w:val="22"/>
          <w:lang w:eastAsia="el-GR"/>
        </w:rPr>
        <w:t>α πλήρη κλινική ανάνηψη (Τ</w:t>
      </w:r>
      <w:r w:rsidR="00416CA1" w:rsidRPr="004008FE">
        <w:rPr>
          <w:szCs w:val="22"/>
          <w:vertAlign w:val="subscript"/>
          <w:lang w:eastAsia="el-GR"/>
        </w:rPr>
        <w:t>4</w:t>
      </w:r>
      <w:r w:rsidR="00416CA1" w:rsidRPr="004008FE">
        <w:rPr>
          <w:szCs w:val="22"/>
          <w:lang w:eastAsia="el-GR"/>
        </w:rPr>
        <w:t>:Τ</w:t>
      </w:r>
      <w:r w:rsidR="00416CA1" w:rsidRPr="004008FE">
        <w:rPr>
          <w:szCs w:val="22"/>
          <w:vertAlign w:val="subscript"/>
          <w:lang w:eastAsia="el-GR"/>
        </w:rPr>
        <w:t>1</w:t>
      </w:r>
      <w:r w:rsidR="00416CA1" w:rsidRPr="004008FE">
        <w:rPr>
          <w:szCs w:val="22"/>
          <w:lang w:eastAsia="el-GR"/>
        </w:rPr>
        <w:t xml:space="preserve"> </w:t>
      </w:r>
      <w:r w:rsidR="00416CA1" w:rsidRPr="004008FE">
        <w:rPr>
          <w:szCs w:val="22"/>
          <w:lang w:eastAsia="el-GR"/>
        </w:rPr>
        <w:t></w:t>
      </w:r>
      <w:r w:rsidRPr="004008FE">
        <w:rPr>
          <w:szCs w:val="22"/>
          <w:lang w:eastAsia="el-GR"/>
        </w:rPr>
        <w:t>0,7) είναι περίπου 4 και 9 min αντίστοιχα, μετά τη χορήγηση του αντιχολινεστερασικού με μέσο όρο 10% Τ</w:t>
      </w:r>
      <w:r w:rsidRPr="004008FE">
        <w:rPr>
          <w:szCs w:val="22"/>
          <w:vertAlign w:val="subscript"/>
          <w:lang w:eastAsia="el-GR"/>
        </w:rPr>
        <w:t>1</w:t>
      </w:r>
      <w:r w:rsidRPr="004008FE">
        <w:rPr>
          <w:szCs w:val="22"/>
          <w:lang w:eastAsia="el-GR"/>
        </w:rPr>
        <w:t xml:space="preserve"> ανάνηψη.</w:t>
      </w:r>
    </w:p>
    <w:p w:rsidR="00D53867" w:rsidRPr="004008FE" w:rsidRDefault="00D53867" w:rsidP="00056716">
      <w:pPr>
        <w:rPr>
          <w:szCs w:val="22"/>
          <w:lang w:eastAsia="el-GR"/>
        </w:rPr>
      </w:pPr>
    </w:p>
    <w:p w:rsidR="00056716" w:rsidRPr="004008FE" w:rsidRDefault="00056716" w:rsidP="00D53867">
      <w:pPr>
        <w:rPr>
          <w:b/>
          <w:noProof/>
          <w:szCs w:val="22"/>
        </w:rPr>
      </w:pPr>
      <w:r w:rsidRPr="004008FE">
        <w:rPr>
          <w:b/>
          <w:noProof/>
          <w:szCs w:val="22"/>
        </w:rPr>
        <w:t>Παιδιατρικός πληθυσμός</w:t>
      </w:r>
    </w:p>
    <w:p w:rsidR="00D53867" w:rsidRPr="004008FE" w:rsidRDefault="00D53867" w:rsidP="00D53867">
      <w:pPr>
        <w:rPr>
          <w:b/>
          <w:noProof/>
          <w:szCs w:val="22"/>
        </w:rPr>
      </w:pPr>
    </w:p>
    <w:p w:rsidR="00D53867" w:rsidRPr="004008FE" w:rsidRDefault="00D53867" w:rsidP="00D53867">
      <w:pPr>
        <w:rPr>
          <w:szCs w:val="22"/>
          <w:lang w:eastAsia="el-GR"/>
        </w:rPr>
      </w:pPr>
      <w:r w:rsidRPr="004008FE">
        <w:rPr>
          <w:b/>
          <w:szCs w:val="22"/>
          <w:lang w:eastAsia="el-GR"/>
        </w:rPr>
        <w:t>Διασωλήνωση της τραχείας (παιδιά ηλικίας 1 μηνός έως 12 ετών):</w:t>
      </w:r>
      <w:r w:rsidRPr="004008FE">
        <w:rPr>
          <w:szCs w:val="22"/>
          <w:lang w:eastAsia="el-GR"/>
        </w:rPr>
        <w:t xml:space="preserve"> Όπως και στους ενήλικες, η </w:t>
      </w:r>
      <w:r w:rsidRPr="004008FE">
        <w:rPr>
          <w:szCs w:val="22"/>
          <w:lang w:eastAsia="el-GR"/>
        </w:rPr>
        <w:lastRenderedPageBreak/>
        <w:t xml:space="preserve">προτεινόμενη δόση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για διασωλήνωση είναι 0,15 mg/kg (βάρους σώματος) χορηγούμενο ταχέως εντός 5 έως 10 sec. Αυτή η δόση προκαλεί καλές έως εξαιρετικές συνθήκες για διασωλήνωση της τραχείας, 120 sec αφού ενεθεί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Τα φαρμακοδυναμικά δεδομένα αυτής της δόσης παρουσιάζονται στους παρακάτω πίνακες.</w:t>
      </w:r>
    </w:p>
    <w:p w:rsidR="00D53867" w:rsidRPr="004008FE" w:rsidRDefault="00D53867" w:rsidP="00D53867">
      <w:pPr>
        <w:rPr>
          <w:szCs w:val="22"/>
          <w:lang w:eastAsia="el-GR"/>
        </w:rPr>
      </w:pPr>
    </w:p>
    <w:p w:rsidR="00D53867" w:rsidRPr="004008FE" w:rsidRDefault="00D53867" w:rsidP="00D53867">
      <w:pPr>
        <w:rPr>
          <w:szCs w:val="22"/>
          <w:lang w:eastAsia="el-GR"/>
        </w:rPr>
      </w:pPr>
      <w:r w:rsidRPr="004008FE">
        <w:rPr>
          <w:szCs w:val="22"/>
          <w:lang w:eastAsia="el-GR"/>
        </w:rPr>
        <w:t xml:space="preserve">To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δεν έχει μελετηθεί για διασωλήνωση παιδιατρικών ασθενών κατηγορίας</w:t>
      </w:r>
    </w:p>
    <w:p w:rsidR="00D53867" w:rsidRPr="004008FE" w:rsidRDefault="00D53867" w:rsidP="00D53867">
      <w:pPr>
        <w:rPr>
          <w:szCs w:val="22"/>
          <w:lang w:eastAsia="el-GR"/>
        </w:rPr>
      </w:pPr>
      <w:r w:rsidRPr="004008FE">
        <w:rPr>
          <w:szCs w:val="22"/>
          <w:lang w:eastAsia="el-GR"/>
        </w:rPr>
        <w:t xml:space="preserve">III-IV κατά ταξινόμηση ASA. Υπάρχουν περιορισμένα στοιχεία για τη χρήση του </w:t>
      </w:r>
      <w:r w:rsidR="0053630C" w:rsidRPr="004008FE">
        <w:rPr>
          <w:szCs w:val="22"/>
          <w:lang w:val="en-US" w:eastAsia="el-GR"/>
        </w:rPr>
        <w:t>CISATRAL</w:t>
      </w:r>
      <w:r w:rsidRPr="004008FE">
        <w:rPr>
          <w:szCs w:val="22"/>
          <w:lang w:eastAsia="el-GR"/>
        </w:rPr>
        <w:t xml:space="preserve"> σε παιδιά ηλικίας κάτω από 2 ετών που υποβάλλονται σε εγχείρηση σημαντική ή παρατεταμένης διάρκειας.</w:t>
      </w:r>
    </w:p>
    <w:p w:rsidR="00D53867" w:rsidRPr="004008FE" w:rsidRDefault="00D53867" w:rsidP="00D53867">
      <w:pPr>
        <w:rPr>
          <w:szCs w:val="22"/>
          <w:lang w:eastAsia="el-GR"/>
        </w:rPr>
      </w:pPr>
    </w:p>
    <w:p w:rsidR="00D53867" w:rsidRPr="004008FE" w:rsidRDefault="00D53867" w:rsidP="00D53867">
      <w:pPr>
        <w:rPr>
          <w:szCs w:val="22"/>
          <w:lang w:eastAsia="el-GR"/>
        </w:rPr>
      </w:pPr>
      <w:r w:rsidRPr="004008FE">
        <w:rPr>
          <w:szCs w:val="22"/>
          <w:lang w:eastAsia="el-GR"/>
        </w:rPr>
        <w:t xml:space="preserve">Σε παιδιατρικούς ασθενείς ηλικίας 1 μηνός έως 12 ετών,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έχει μικρότερη</w:t>
      </w:r>
    </w:p>
    <w:p w:rsidR="00D53867" w:rsidRPr="004008FE" w:rsidRDefault="00D53867" w:rsidP="00D53867">
      <w:pPr>
        <w:rPr>
          <w:szCs w:val="22"/>
          <w:lang w:eastAsia="el-GR"/>
        </w:rPr>
      </w:pPr>
      <w:r w:rsidRPr="004008FE">
        <w:rPr>
          <w:szCs w:val="22"/>
          <w:lang w:eastAsia="el-GR"/>
        </w:rPr>
        <w:t>διάρκεια κλινικής δράσης και γρηγορότερη αυτόματη ανάνηψη από αυτές που παρατηρήθηκαν σε ενήλικες κάτω από παρόμοιες συνθήκες αναισθησίας. Παρατηρήθηκαν μικρές διαφορές στο φαρμακοδυναμικό προφίλ μεταξύ των ηλικιών 1 έως 11 μηνών και 1 έως 12 ετών, οι οποίες συνοψίζονται στους παρακάτω πίνακες.</w:t>
      </w:r>
    </w:p>
    <w:p w:rsidR="00D53867" w:rsidRPr="004008FE" w:rsidRDefault="00D53867" w:rsidP="00D53867">
      <w:pPr>
        <w:rPr>
          <w:szCs w:val="22"/>
          <w:lang w:eastAsia="el-GR"/>
        </w:rPr>
      </w:pPr>
    </w:p>
    <w:p w:rsidR="00D53867" w:rsidRPr="004008FE" w:rsidRDefault="00EE1DB6" w:rsidP="00D53867">
      <w:pPr>
        <w:widowControl/>
        <w:autoSpaceDE w:val="0"/>
        <w:autoSpaceDN w:val="0"/>
        <w:adjustRightInd w:val="0"/>
        <w:rPr>
          <w:b/>
          <w:bCs/>
          <w:szCs w:val="22"/>
          <w:lang w:eastAsia="el-GR"/>
        </w:rPr>
      </w:pPr>
      <w:r w:rsidRPr="004008FE">
        <w:rPr>
          <w:b/>
          <w:bCs/>
          <w:szCs w:val="22"/>
          <w:lang w:eastAsia="el-GR"/>
        </w:rPr>
        <w:t xml:space="preserve">                                      </w:t>
      </w:r>
      <w:r w:rsidR="00D53867" w:rsidRPr="004008FE">
        <w:rPr>
          <w:b/>
          <w:bCs/>
          <w:szCs w:val="22"/>
          <w:lang w:eastAsia="el-GR"/>
        </w:rPr>
        <w:t>Παιδιατρικοί Ασθενείς ηλικίας 1 έως 11 μηνών</w:t>
      </w:r>
    </w:p>
    <w:p w:rsidR="00EE1DB6" w:rsidRPr="004008FE" w:rsidRDefault="00EE1DB6" w:rsidP="00D53867">
      <w:pPr>
        <w:widowControl/>
        <w:autoSpaceDE w:val="0"/>
        <w:autoSpaceDN w:val="0"/>
        <w:adjustRightInd w:val="0"/>
        <w:rPr>
          <w:b/>
          <w:bCs/>
          <w:szCs w:val="22"/>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42"/>
        <w:gridCol w:w="1842"/>
        <w:gridCol w:w="1842"/>
        <w:gridCol w:w="1842"/>
        <w:gridCol w:w="1842"/>
      </w:tblGrid>
      <w:tr w:rsidR="00EE1DB6"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Αρχική Δόση</w:t>
            </w:r>
          </w:p>
          <w:p w:rsidR="00EE1DB6" w:rsidRPr="004008FE" w:rsidRDefault="00F0531B" w:rsidP="00EE1DB6">
            <w:pPr>
              <w:widowControl/>
              <w:autoSpaceDE w:val="0"/>
              <w:autoSpaceDN w:val="0"/>
              <w:adjustRightInd w:val="0"/>
              <w:rPr>
                <w:b/>
                <w:bCs/>
                <w:szCs w:val="22"/>
                <w:lang w:eastAsia="el-GR"/>
              </w:rPr>
            </w:pPr>
            <w:r w:rsidRPr="004008FE">
              <w:rPr>
                <w:b/>
                <w:szCs w:val="22"/>
                <w:lang w:val="en-US" w:eastAsia="el-GR"/>
              </w:rPr>
              <w:t>CISATRAL</w:t>
            </w:r>
            <w:r w:rsidRPr="004008FE" w:rsidDel="00F0531B">
              <w:rPr>
                <w:b/>
                <w:szCs w:val="22"/>
              </w:rPr>
              <w:t xml:space="preserve"> </w:t>
            </w:r>
            <w:r w:rsidR="00EE1DB6" w:rsidRPr="004008FE">
              <w:rPr>
                <w:b/>
                <w:szCs w:val="22"/>
                <w:lang w:eastAsia="el-GR"/>
              </w:rPr>
              <w:t xml:space="preserve"> </w:t>
            </w:r>
            <w:r w:rsidR="00EE1DB6" w:rsidRPr="004008FE">
              <w:rPr>
                <w:b/>
                <w:bCs/>
                <w:szCs w:val="22"/>
                <w:lang w:eastAsia="el-GR"/>
              </w:rPr>
              <w:t>mg/kg (βάρος</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σώματος)</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szCs w:val="22"/>
                <w:lang w:eastAsia="el-GR"/>
              </w:rPr>
            </w:pPr>
            <w:r w:rsidRPr="004008FE">
              <w:rPr>
                <w:b/>
                <w:bCs/>
                <w:szCs w:val="22"/>
                <w:lang w:eastAsia="el-GR"/>
              </w:rPr>
              <w:t>Aναισθητικό</w:t>
            </w:r>
            <w:r w:rsidR="004959B9" w:rsidRPr="004008FE">
              <w:rPr>
                <w:b/>
                <w:bCs/>
                <w:szCs w:val="22"/>
                <w:lang w:val="en-US" w:eastAsia="el-GR"/>
              </w:rPr>
              <w:t xml:space="preserve"> </w:t>
            </w:r>
            <w:r w:rsidR="004959B9" w:rsidRPr="004008FE">
              <w:rPr>
                <w:b/>
                <w:bCs/>
                <w:szCs w:val="22"/>
                <w:lang w:eastAsia="el-GR"/>
              </w:rPr>
              <w:t>υπόβαθρο</w:t>
            </w:r>
          </w:p>
          <w:p w:rsidR="00EE1DB6" w:rsidRPr="004008FE" w:rsidRDefault="00EE1DB6" w:rsidP="005F10C7">
            <w:pPr>
              <w:spacing w:before="100" w:beforeAutospacing="1" w:after="75"/>
              <w:jc w:val="both"/>
              <w:rPr>
                <w:rFonts w:eastAsia="SimSun"/>
                <w:szCs w:val="22"/>
                <w:lang w:eastAsia="zh-CN"/>
              </w:rPr>
            </w:pP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Χρόνος για 90%</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Μυοχάλαση</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Xρόνος για</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Μέγιστη</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Μυοχάλαση</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Χρόνος για 25%</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Αυτόματη Τ1</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Ανάνηψη</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(min)</w:t>
            </w:r>
          </w:p>
        </w:tc>
      </w:tr>
      <w:tr w:rsidR="00EE1DB6"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0.15</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5129F8" w:rsidP="005F10C7">
            <w:pPr>
              <w:spacing w:before="100" w:beforeAutospacing="1" w:after="75"/>
              <w:jc w:val="both"/>
              <w:rPr>
                <w:rFonts w:eastAsia="SimSun"/>
                <w:szCs w:val="22"/>
                <w:lang w:eastAsia="zh-CN"/>
              </w:rPr>
            </w:pPr>
            <w:r w:rsidRPr="004008FE">
              <w:rPr>
                <w:rFonts w:eastAsia="SimSun"/>
                <w:szCs w:val="22"/>
                <w:lang w:eastAsia="zh-CN"/>
              </w:rPr>
              <w:t>Αλοθάνιο</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1.4</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2.0</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 xml:space="preserve">52 </w:t>
            </w:r>
          </w:p>
        </w:tc>
      </w:tr>
      <w:tr w:rsidR="00EE1DB6"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0.15</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53630C" w:rsidP="00EE1DB6">
            <w:pPr>
              <w:widowControl/>
              <w:autoSpaceDE w:val="0"/>
              <w:autoSpaceDN w:val="0"/>
              <w:adjustRightInd w:val="0"/>
              <w:rPr>
                <w:szCs w:val="22"/>
                <w:lang w:eastAsia="el-GR"/>
              </w:rPr>
            </w:pPr>
            <w:r w:rsidRPr="004008FE">
              <w:rPr>
                <w:szCs w:val="22"/>
                <w:lang w:eastAsia="el-GR"/>
              </w:rPr>
              <w:t>Οπιοειδές</w:t>
            </w:r>
            <w:r w:rsidRPr="004008FE" w:rsidDel="0053630C">
              <w:rPr>
                <w:szCs w:val="22"/>
                <w:lang w:eastAsia="el-GR"/>
              </w:rPr>
              <w:t xml:space="preserve"> </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1.4</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1.9</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 xml:space="preserve">47 </w:t>
            </w:r>
          </w:p>
        </w:tc>
      </w:tr>
    </w:tbl>
    <w:p w:rsidR="00EE1DB6" w:rsidRPr="004008FE" w:rsidRDefault="00EE1DB6" w:rsidP="00EE1DB6">
      <w:pPr>
        <w:widowControl/>
        <w:autoSpaceDE w:val="0"/>
        <w:autoSpaceDN w:val="0"/>
        <w:adjustRightInd w:val="0"/>
        <w:rPr>
          <w:b/>
          <w:bCs/>
          <w:szCs w:val="22"/>
          <w:lang w:eastAsia="el-GR"/>
        </w:rPr>
      </w:pP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 xml:space="preserve">                            Παιδιατρικοί Ασθενείς ηλικίας 1 έως 12 ετών</w:t>
      </w:r>
    </w:p>
    <w:p w:rsidR="00EE1DB6" w:rsidRPr="004008FE" w:rsidRDefault="00EE1DB6" w:rsidP="00EE1DB6">
      <w:pPr>
        <w:widowControl/>
        <w:autoSpaceDE w:val="0"/>
        <w:autoSpaceDN w:val="0"/>
        <w:adjustRightInd w:val="0"/>
        <w:rPr>
          <w:szCs w:val="22"/>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42"/>
        <w:gridCol w:w="1842"/>
        <w:gridCol w:w="1842"/>
        <w:gridCol w:w="1842"/>
        <w:gridCol w:w="1842"/>
      </w:tblGrid>
      <w:tr w:rsidR="00EE1DB6"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Αρχική Δόση</w:t>
            </w:r>
          </w:p>
          <w:p w:rsidR="00EE1DB6" w:rsidRPr="004008FE" w:rsidRDefault="00F0531B" w:rsidP="00EE1DB6">
            <w:pPr>
              <w:widowControl/>
              <w:autoSpaceDE w:val="0"/>
              <w:autoSpaceDN w:val="0"/>
              <w:adjustRightInd w:val="0"/>
              <w:rPr>
                <w:b/>
                <w:bCs/>
                <w:szCs w:val="22"/>
                <w:lang w:eastAsia="el-GR"/>
              </w:rPr>
            </w:pPr>
            <w:r w:rsidRPr="004008FE">
              <w:rPr>
                <w:b/>
                <w:szCs w:val="22"/>
                <w:lang w:val="en-US" w:eastAsia="el-GR"/>
              </w:rPr>
              <w:t>CISATRAL</w:t>
            </w:r>
            <w:r w:rsidRPr="004008FE" w:rsidDel="00F0531B">
              <w:rPr>
                <w:b/>
                <w:szCs w:val="22"/>
              </w:rPr>
              <w:t xml:space="preserve"> </w:t>
            </w:r>
            <w:r w:rsidR="00EE1DB6" w:rsidRPr="004008FE">
              <w:rPr>
                <w:b/>
                <w:szCs w:val="22"/>
                <w:lang w:eastAsia="el-GR"/>
              </w:rPr>
              <w:t xml:space="preserve"> </w:t>
            </w:r>
            <w:r w:rsidR="00EE1DB6" w:rsidRPr="004008FE">
              <w:rPr>
                <w:b/>
                <w:bCs/>
                <w:szCs w:val="22"/>
                <w:lang w:eastAsia="el-GR"/>
              </w:rPr>
              <w:t>mg/kg (βάρος</w:t>
            </w:r>
          </w:p>
          <w:p w:rsidR="00EE1DB6" w:rsidRPr="004008FE" w:rsidRDefault="00EE1DB6" w:rsidP="00EE1DB6">
            <w:pPr>
              <w:spacing w:before="100" w:beforeAutospacing="1" w:after="75"/>
              <w:jc w:val="both"/>
              <w:rPr>
                <w:rFonts w:eastAsia="SimSun"/>
                <w:b/>
                <w:szCs w:val="22"/>
                <w:lang w:eastAsia="zh-CN"/>
              </w:rPr>
            </w:pPr>
            <w:r w:rsidRPr="004008FE">
              <w:rPr>
                <w:b/>
                <w:bCs/>
                <w:szCs w:val="22"/>
                <w:lang w:eastAsia="el-GR"/>
              </w:rPr>
              <w:t>σώματος)</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szCs w:val="22"/>
                <w:lang w:eastAsia="el-GR"/>
              </w:rPr>
            </w:pPr>
            <w:r w:rsidRPr="004008FE">
              <w:rPr>
                <w:b/>
                <w:bCs/>
                <w:szCs w:val="22"/>
                <w:lang w:eastAsia="el-GR"/>
              </w:rPr>
              <w:t>Aναισθητικό</w:t>
            </w:r>
            <w:r w:rsidR="004959B9" w:rsidRPr="004008FE">
              <w:rPr>
                <w:b/>
                <w:bCs/>
                <w:szCs w:val="22"/>
                <w:lang w:eastAsia="el-GR"/>
              </w:rPr>
              <w:t xml:space="preserve"> υπόβαθρο</w:t>
            </w:r>
          </w:p>
          <w:p w:rsidR="00EE1DB6" w:rsidRPr="004008FE" w:rsidRDefault="00EE1DB6" w:rsidP="005F10C7">
            <w:pPr>
              <w:spacing w:before="100" w:beforeAutospacing="1" w:after="75"/>
              <w:jc w:val="both"/>
              <w:rPr>
                <w:rFonts w:eastAsia="SimSun"/>
                <w:szCs w:val="22"/>
                <w:lang w:eastAsia="zh-CN"/>
              </w:rPr>
            </w:pP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Χρόνος για 90%</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Μυοχάλαση</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Xρόνος για</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Μέγιστη</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Μυοχάλαση</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Χρόνος για 25%</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Αυτόματη Τ1</w:t>
            </w:r>
          </w:p>
          <w:p w:rsidR="00EE1DB6" w:rsidRPr="004008FE" w:rsidRDefault="00EE1DB6" w:rsidP="00EE1DB6">
            <w:pPr>
              <w:widowControl/>
              <w:autoSpaceDE w:val="0"/>
              <w:autoSpaceDN w:val="0"/>
              <w:adjustRightInd w:val="0"/>
              <w:rPr>
                <w:b/>
                <w:bCs/>
                <w:szCs w:val="22"/>
                <w:lang w:eastAsia="el-GR"/>
              </w:rPr>
            </w:pPr>
            <w:r w:rsidRPr="004008FE">
              <w:rPr>
                <w:b/>
                <w:bCs/>
                <w:szCs w:val="22"/>
                <w:lang w:eastAsia="el-GR"/>
              </w:rPr>
              <w:t>Ανάνηψη</w:t>
            </w:r>
          </w:p>
          <w:p w:rsidR="00EE1DB6" w:rsidRPr="004008FE" w:rsidRDefault="00EE1DB6" w:rsidP="00EE1DB6">
            <w:pPr>
              <w:widowControl/>
              <w:autoSpaceDE w:val="0"/>
              <w:autoSpaceDN w:val="0"/>
              <w:adjustRightInd w:val="0"/>
              <w:rPr>
                <w:szCs w:val="22"/>
                <w:lang w:eastAsia="el-GR"/>
              </w:rPr>
            </w:pPr>
            <w:r w:rsidRPr="004008FE">
              <w:rPr>
                <w:b/>
                <w:bCs/>
                <w:szCs w:val="22"/>
                <w:lang w:eastAsia="el-GR"/>
              </w:rPr>
              <w:t>(min)</w:t>
            </w:r>
          </w:p>
        </w:tc>
      </w:tr>
      <w:tr w:rsidR="00EE1DB6"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0.15</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5129F8" w:rsidP="005F10C7">
            <w:pPr>
              <w:spacing w:before="100" w:beforeAutospacing="1" w:after="75"/>
              <w:jc w:val="both"/>
              <w:rPr>
                <w:rFonts w:eastAsia="SimSun"/>
                <w:szCs w:val="22"/>
                <w:lang w:eastAsia="zh-CN"/>
              </w:rPr>
            </w:pPr>
            <w:r w:rsidRPr="004008FE">
              <w:rPr>
                <w:rFonts w:eastAsia="SimSun"/>
                <w:szCs w:val="22"/>
                <w:lang w:eastAsia="zh-CN"/>
              </w:rPr>
              <w:t>Αλοθάνιο</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2.3</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3.0</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43</w:t>
            </w:r>
          </w:p>
        </w:tc>
      </w:tr>
      <w:tr w:rsidR="00EE1DB6"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0.15</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EE1DB6">
            <w:pPr>
              <w:widowControl/>
              <w:autoSpaceDE w:val="0"/>
              <w:autoSpaceDN w:val="0"/>
              <w:adjustRightInd w:val="0"/>
              <w:rPr>
                <w:szCs w:val="22"/>
                <w:lang w:eastAsia="el-GR"/>
              </w:rPr>
            </w:pPr>
            <w:r w:rsidRPr="004008FE">
              <w:rPr>
                <w:szCs w:val="22"/>
                <w:lang w:eastAsia="el-GR"/>
              </w:rPr>
              <w:t>Οπιοειδές</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2.6</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3.6</w:t>
            </w:r>
          </w:p>
        </w:tc>
        <w:tc>
          <w:tcPr>
            <w:tcW w:w="1000" w:type="pct"/>
            <w:tcBorders>
              <w:top w:val="outset" w:sz="6" w:space="0" w:color="auto"/>
              <w:left w:val="outset" w:sz="6" w:space="0" w:color="auto"/>
              <w:bottom w:val="outset" w:sz="6" w:space="0" w:color="auto"/>
              <w:right w:val="outset" w:sz="6" w:space="0" w:color="auto"/>
            </w:tcBorders>
          </w:tcPr>
          <w:p w:rsidR="00EE1DB6" w:rsidRPr="004008FE" w:rsidRDefault="00EE1DB6" w:rsidP="005F10C7">
            <w:pPr>
              <w:spacing w:before="100" w:beforeAutospacing="1" w:after="75"/>
              <w:jc w:val="both"/>
              <w:rPr>
                <w:rFonts w:eastAsia="SimSun"/>
                <w:szCs w:val="22"/>
                <w:lang w:eastAsia="zh-CN"/>
              </w:rPr>
            </w:pPr>
            <w:r w:rsidRPr="004008FE">
              <w:rPr>
                <w:rFonts w:eastAsia="SimSun"/>
                <w:szCs w:val="22"/>
                <w:lang w:eastAsia="zh-CN"/>
              </w:rPr>
              <w:t>38</w:t>
            </w:r>
          </w:p>
        </w:tc>
      </w:tr>
    </w:tbl>
    <w:p w:rsidR="00EE1DB6" w:rsidRPr="004008FE" w:rsidRDefault="00EE1DB6" w:rsidP="00D53867">
      <w:pPr>
        <w:widowControl/>
        <w:autoSpaceDE w:val="0"/>
        <w:autoSpaceDN w:val="0"/>
        <w:adjustRightInd w:val="0"/>
        <w:rPr>
          <w:szCs w:val="22"/>
          <w:lang w:eastAsia="el-GR"/>
        </w:rPr>
      </w:pPr>
    </w:p>
    <w:p w:rsidR="00060935" w:rsidRPr="004008FE" w:rsidRDefault="00060935" w:rsidP="00060935">
      <w:pPr>
        <w:widowControl/>
        <w:autoSpaceDE w:val="0"/>
        <w:autoSpaceDN w:val="0"/>
        <w:adjustRightInd w:val="0"/>
        <w:rPr>
          <w:b/>
          <w:bCs/>
          <w:szCs w:val="22"/>
          <w:lang w:eastAsia="el-GR"/>
        </w:rPr>
      </w:pPr>
    </w:p>
    <w:p w:rsidR="00060935" w:rsidRPr="004008FE" w:rsidRDefault="00060935" w:rsidP="00060935">
      <w:pPr>
        <w:widowControl/>
        <w:autoSpaceDE w:val="0"/>
        <w:autoSpaceDN w:val="0"/>
        <w:adjustRightInd w:val="0"/>
        <w:rPr>
          <w:szCs w:val="22"/>
          <w:lang w:eastAsia="el-GR"/>
        </w:rPr>
      </w:pPr>
      <w:r w:rsidRPr="004008FE">
        <w:rPr>
          <w:b/>
          <w:bCs/>
          <w:szCs w:val="22"/>
          <w:lang w:eastAsia="el-GR"/>
        </w:rPr>
        <w:t xml:space="preserve">Όταν το </w:t>
      </w:r>
      <w:r w:rsidR="00F0531B" w:rsidRPr="004008FE">
        <w:rPr>
          <w:szCs w:val="22"/>
          <w:lang w:eastAsia="el-GR"/>
        </w:rPr>
        <w:t xml:space="preserve"> </w:t>
      </w:r>
      <w:r w:rsidR="00F0531B" w:rsidRPr="004008FE">
        <w:rPr>
          <w:b/>
          <w:szCs w:val="22"/>
          <w:lang w:val="en-US" w:eastAsia="el-GR"/>
        </w:rPr>
        <w:t>CISATRAL</w:t>
      </w:r>
      <w:r w:rsidRPr="004008FE">
        <w:rPr>
          <w:b/>
          <w:szCs w:val="22"/>
          <w:lang w:eastAsia="el-GR"/>
        </w:rPr>
        <w:t xml:space="preserve"> </w:t>
      </w:r>
      <w:r w:rsidRPr="004008FE">
        <w:rPr>
          <w:b/>
          <w:bCs/>
          <w:szCs w:val="22"/>
          <w:lang w:eastAsia="el-GR"/>
        </w:rPr>
        <w:t>δεν απαιτείται για διασωλήνωση</w:t>
      </w:r>
      <w:r w:rsidRPr="004008FE">
        <w:rPr>
          <w:szCs w:val="22"/>
          <w:lang w:eastAsia="el-GR"/>
        </w:rPr>
        <w:t>: Μία δόση μικρότερη από 0,15</w:t>
      </w:r>
    </w:p>
    <w:p w:rsidR="00060935" w:rsidRPr="004008FE" w:rsidRDefault="00060935" w:rsidP="00060935">
      <w:pPr>
        <w:widowControl/>
        <w:autoSpaceDE w:val="0"/>
        <w:autoSpaceDN w:val="0"/>
        <w:adjustRightInd w:val="0"/>
        <w:rPr>
          <w:szCs w:val="22"/>
          <w:lang w:eastAsia="el-GR"/>
        </w:rPr>
      </w:pPr>
      <w:r w:rsidRPr="004008FE">
        <w:rPr>
          <w:szCs w:val="22"/>
          <w:lang w:eastAsia="el-GR"/>
        </w:rPr>
        <w:t>mg/kg βάρους μπορεί να χρησιμοποιηθεί. Φαρμακοδυναμικά στοιχεία για δόσεις 0,08 και 0,1 mg/kg βάρους σε παιδιατρικούς ασθενείς ηλικίας 2 έως 12 ετών παρουσιάζονται στον παρακάτω πίνακα:</w:t>
      </w:r>
    </w:p>
    <w:p w:rsidR="00E25904" w:rsidRPr="004008FE" w:rsidRDefault="00E25904" w:rsidP="00060935">
      <w:pPr>
        <w:widowControl/>
        <w:autoSpaceDE w:val="0"/>
        <w:autoSpaceDN w:val="0"/>
        <w:adjustRightInd w:val="0"/>
        <w:rPr>
          <w:szCs w:val="22"/>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42"/>
        <w:gridCol w:w="1842"/>
        <w:gridCol w:w="1842"/>
        <w:gridCol w:w="1842"/>
        <w:gridCol w:w="1842"/>
      </w:tblGrid>
      <w:tr w:rsidR="00060935"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Αρχική Δόση</w:t>
            </w:r>
          </w:p>
          <w:p w:rsidR="00060935" w:rsidRPr="004008FE" w:rsidRDefault="00F0531B" w:rsidP="00060935">
            <w:pPr>
              <w:widowControl/>
              <w:autoSpaceDE w:val="0"/>
              <w:autoSpaceDN w:val="0"/>
              <w:adjustRightInd w:val="0"/>
              <w:rPr>
                <w:b/>
                <w:bCs/>
                <w:szCs w:val="22"/>
                <w:lang w:eastAsia="el-GR"/>
              </w:rPr>
            </w:pPr>
            <w:r w:rsidRPr="004008FE">
              <w:rPr>
                <w:b/>
                <w:szCs w:val="22"/>
                <w:lang w:val="en-US" w:eastAsia="el-GR"/>
              </w:rPr>
              <w:t>CISATRAL</w:t>
            </w:r>
            <w:r w:rsidRPr="004008FE" w:rsidDel="00F0531B">
              <w:rPr>
                <w:b/>
                <w:szCs w:val="22"/>
              </w:rPr>
              <w:t xml:space="preserve"> </w:t>
            </w:r>
            <w:r w:rsidR="00060935" w:rsidRPr="004008FE">
              <w:rPr>
                <w:b/>
                <w:szCs w:val="22"/>
                <w:lang w:eastAsia="el-GR"/>
              </w:rPr>
              <w:t xml:space="preserve"> </w:t>
            </w:r>
            <w:r w:rsidR="00060935" w:rsidRPr="004008FE">
              <w:rPr>
                <w:b/>
                <w:bCs/>
                <w:szCs w:val="22"/>
                <w:lang w:eastAsia="el-GR"/>
              </w:rPr>
              <w:t>mg/kg (βάρος</w:t>
            </w:r>
          </w:p>
          <w:p w:rsidR="00060935" w:rsidRPr="004008FE" w:rsidRDefault="00060935" w:rsidP="00060935">
            <w:pPr>
              <w:widowControl/>
              <w:autoSpaceDE w:val="0"/>
              <w:autoSpaceDN w:val="0"/>
              <w:adjustRightInd w:val="0"/>
              <w:rPr>
                <w:szCs w:val="22"/>
                <w:lang w:eastAsia="el-GR"/>
              </w:rPr>
            </w:pPr>
            <w:r w:rsidRPr="004008FE">
              <w:rPr>
                <w:b/>
                <w:bCs/>
                <w:szCs w:val="22"/>
                <w:lang w:eastAsia="el-GR"/>
              </w:rPr>
              <w:t>σώματος)</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060935">
            <w:pPr>
              <w:widowControl/>
              <w:autoSpaceDE w:val="0"/>
              <w:autoSpaceDN w:val="0"/>
              <w:adjustRightInd w:val="0"/>
              <w:rPr>
                <w:szCs w:val="22"/>
                <w:lang w:eastAsia="el-GR"/>
              </w:rPr>
            </w:pPr>
            <w:r w:rsidRPr="004008FE">
              <w:rPr>
                <w:b/>
                <w:bCs/>
                <w:szCs w:val="22"/>
                <w:lang w:eastAsia="el-GR"/>
              </w:rPr>
              <w:t>Aναισθητικό</w:t>
            </w:r>
            <w:r w:rsidR="00C0040C" w:rsidRPr="004008FE">
              <w:rPr>
                <w:b/>
                <w:bCs/>
                <w:szCs w:val="22"/>
                <w:lang w:eastAsia="el-GR"/>
              </w:rPr>
              <w:t xml:space="preserve"> υπόβαθρο</w:t>
            </w:r>
          </w:p>
          <w:p w:rsidR="00060935" w:rsidRPr="004008FE" w:rsidRDefault="00060935" w:rsidP="005F10C7">
            <w:pPr>
              <w:spacing w:before="100" w:beforeAutospacing="1" w:after="75"/>
              <w:jc w:val="both"/>
              <w:rPr>
                <w:rFonts w:eastAsia="SimSun"/>
                <w:szCs w:val="22"/>
                <w:lang w:eastAsia="zh-CN"/>
              </w:rPr>
            </w:pP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Χρόνος για 90%</w:t>
            </w:r>
          </w:p>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Μυοχάλαση</w:t>
            </w:r>
          </w:p>
          <w:p w:rsidR="00060935" w:rsidRPr="004008FE" w:rsidRDefault="00060935" w:rsidP="00060935">
            <w:pPr>
              <w:widowControl/>
              <w:autoSpaceDE w:val="0"/>
              <w:autoSpaceDN w:val="0"/>
              <w:adjustRightInd w:val="0"/>
              <w:rPr>
                <w:szCs w:val="22"/>
                <w:lang w:eastAsia="el-GR"/>
              </w:rPr>
            </w:pPr>
            <w:r w:rsidRPr="004008FE">
              <w:rPr>
                <w:b/>
                <w:bCs/>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Xρόνος για</w:t>
            </w:r>
          </w:p>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Μέγιστη</w:t>
            </w:r>
          </w:p>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Μυοχάλαση</w:t>
            </w:r>
          </w:p>
          <w:p w:rsidR="00060935" w:rsidRPr="004008FE" w:rsidRDefault="00060935" w:rsidP="00060935">
            <w:pPr>
              <w:widowControl/>
              <w:autoSpaceDE w:val="0"/>
              <w:autoSpaceDN w:val="0"/>
              <w:adjustRightInd w:val="0"/>
              <w:rPr>
                <w:szCs w:val="22"/>
                <w:lang w:eastAsia="el-GR"/>
              </w:rPr>
            </w:pPr>
            <w:r w:rsidRPr="004008FE">
              <w:rPr>
                <w:b/>
                <w:bCs/>
                <w:szCs w:val="22"/>
                <w:lang w:eastAsia="el-GR"/>
              </w:rPr>
              <w:t>(min)</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Χρόνος για 25%</w:t>
            </w:r>
          </w:p>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Αυτόματη Τ1</w:t>
            </w:r>
          </w:p>
          <w:p w:rsidR="00060935" w:rsidRPr="004008FE" w:rsidRDefault="00060935" w:rsidP="00060935">
            <w:pPr>
              <w:widowControl/>
              <w:autoSpaceDE w:val="0"/>
              <w:autoSpaceDN w:val="0"/>
              <w:adjustRightInd w:val="0"/>
              <w:rPr>
                <w:b/>
                <w:bCs/>
                <w:szCs w:val="22"/>
                <w:lang w:eastAsia="el-GR"/>
              </w:rPr>
            </w:pPr>
            <w:r w:rsidRPr="004008FE">
              <w:rPr>
                <w:b/>
                <w:bCs/>
                <w:szCs w:val="22"/>
                <w:lang w:eastAsia="el-GR"/>
              </w:rPr>
              <w:t>Ανάνηψη</w:t>
            </w:r>
          </w:p>
          <w:p w:rsidR="00060935" w:rsidRPr="004008FE" w:rsidRDefault="00060935" w:rsidP="00060935">
            <w:pPr>
              <w:widowControl/>
              <w:autoSpaceDE w:val="0"/>
              <w:autoSpaceDN w:val="0"/>
              <w:adjustRightInd w:val="0"/>
              <w:rPr>
                <w:szCs w:val="22"/>
                <w:lang w:eastAsia="el-GR"/>
              </w:rPr>
            </w:pPr>
            <w:r w:rsidRPr="004008FE">
              <w:rPr>
                <w:b/>
                <w:bCs/>
                <w:szCs w:val="22"/>
                <w:lang w:eastAsia="el-GR"/>
              </w:rPr>
              <w:t>(min)</w:t>
            </w:r>
          </w:p>
        </w:tc>
      </w:tr>
      <w:tr w:rsidR="00060935"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0.08</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5129F8" w:rsidP="005F10C7">
            <w:pPr>
              <w:spacing w:before="100" w:beforeAutospacing="1" w:after="75"/>
              <w:jc w:val="both"/>
              <w:rPr>
                <w:rFonts w:eastAsia="SimSun"/>
                <w:szCs w:val="22"/>
                <w:lang w:eastAsia="zh-CN"/>
              </w:rPr>
            </w:pPr>
            <w:r w:rsidRPr="004008FE">
              <w:rPr>
                <w:rFonts w:eastAsia="SimSun"/>
                <w:szCs w:val="22"/>
                <w:lang w:eastAsia="zh-CN"/>
              </w:rPr>
              <w:t>Αλοθάνιο</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1.7</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2.5</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 xml:space="preserve">31 </w:t>
            </w:r>
          </w:p>
        </w:tc>
      </w:tr>
      <w:tr w:rsidR="00060935" w:rsidRPr="004008FE">
        <w:trPr>
          <w:tblCellSpacing w:w="0" w:type="dxa"/>
        </w:trPr>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0.1</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060935">
            <w:pPr>
              <w:widowControl/>
              <w:autoSpaceDE w:val="0"/>
              <w:autoSpaceDN w:val="0"/>
              <w:adjustRightInd w:val="0"/>
              <w:rPr>
                <w:szCs w:val="22"/>
                <w:lang w:eastAsia="el-GR"/>
              </w:rPr>
            </w:pPr>
            <w:r w:rsidRPr="004008FE">
              <w:rPr>
                <w:szCs w:val="22"/>
                <w:lang w:eastAsia="el-GR"/>
              </w:rPr>
              <w:t>Οπιοειδές</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1.7</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2.8</w:t>
            </w:r>
          </w:p>
        </w:tc>
        <w:tc>
          <w:tcPr>
            <w:tcW w:w="1000" w:type="pct"/>
            <w:tcBorders>
              <w:top w:val="outset" w:sz="6" w:space="0" w:color="auto"/>
              <w:left w:val="outset" w:sz="6" w:space="0" w:color="auto"/>
              <w:bottom w:val="outset" w:sz="6" w:space="0" w:color="auto"/>
              <w:right w:val="outset" w:sz="6" w:space="0" w:color="auto"/>
            </w:tcBorders>
          </w:tcPr>
          <w:p w:rsidR="00060935" w:rsidRPr="004008FE" w:rsidRDefault="00060935" w:rsidP="005F10C7">
            <w:pPr>
              <w:spacing w:before="100" w:beforeAutospacing="1" w:after="75"/>
              <w:jc w:val="both"/>
              <w:rPr>
                <w:rFonts w:eastAsia="SimSun"/>
                <w:szCs w:val="22"/>
                <w:lang w:eastAsia="zh-CN"/>
              </w:rPr>
            </w:pPr>
            <w:r w:rsidRPr="004008FE">
              <w:rPr>
                <w:rFonts w:eastAsia="SimSun"/>
                <w:szCs w:val="22"/>
                <w:lang w:eastAsia="zh-CN"/>
              </w:rPr>
              <w:t xml:space="preserve">28 </w:t>
            </w:r>
          </w:p>
        </w:tc>
      </w:tr>
    </w:tbl>
    <w:p w:rsidR="00D53867" w:rsidRPr="004008FE" w:rsidRDefault="00D53867" w:rsidP="00D53867">
      <w:pPr>
        <w:rPr>
          <w:szCs w:val="22"/>
          <w:lang w:eastAsia="el-GR"/>
        </w:rPr>
      </w:pPr>
    </w:p>
    <w:p w:rsidR="00060935" w:rsidRPr="004008FE" w:rsidRDefault="00060935" w:rsidP="00060935">
      <w:pPr>
        <w:widowControl/>
        <w:autoSpaceDE w:val="0"/>
        <w:autoSpaceDN w:val="0"/>
        <w:adjustRightInd w:val="0"/>
        <w:rPr>
          <w:szCs w:val="22"/>
          <w:lang w:eastAsia="el-GR"/>
        </w:rPr>
      </w:pPr>
      <w:r w:rsidRPr="004008FE">
        <w:rPr>
          <w:szCs w:val="22"/>
          <w:lang w:eastAsia="el-GR"/>
        </w:rPr>
        <w:t xml:space="preserve">Δεν έχει μελετηθεί η χορήγηση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μετά από σουξαμεθόνιο, σε παιδιατρικούς ασθενείς (βλέπε παράγραφο 4.5).</w:t>
      </w:r>
    </w:p>
    <w:p w:rsidR="005F10C7" w:rsidRPr="004008FE" w:rsidRDefault="005F10C7" w:rsidP="00060935">
      <w:pPr>
        <w:widowControl/>
        <w:autoSpaceDE w:val="0"/>
        <w:autoSpaceDN w:val="0"/>
        <w:adjustRightInd w:val="0"/>
        <w:rPr>
          <w:szCs w:val="22"/>
          <w:lang w:eastAsia="el-GR"/>
        </w:rPr>
      </w:pPr>
    </w:p>
    <w:p w:rsidR="005F10C7" w:rsidRPr="004008FE" w:rsidRDefault="005F10C7" w:rsidP="005F10C7">
      <w:pPr>
        <w:widowControl/>
        <w:autoSpaceDE w:val="0"/>
        <w:autoSpaceDN w:val="0"/>
        <w:adjustRightInd w:val="0"/>
        <w:rPr>
          <w:szCs w:val="22"/>
          <w:lang w:eastAsia="el-GR"/>
        </w:rPr>
      </w:pPr>
      <w:r w:rsidRPr="004008FE">
        <w:rPr>
          <w:szCs w:val="22"/>
          <w:lang w:eastAsia="el-GR"/>
        </w:rPr>
        <w:t>Tο halothane αναμένεται ότι επιμηκύνει τη διάρκει</w:t>
      </w:r>
      <w:r w:rsidR="00FC1681" w:rsidRPr="004008FE">
        <w:rPr>
          <w:szCs w:val="22"/>
          <w:lang w:eastAsia="el-GR"/>
        </w:rPr>
        <w:t xml:space="preserve">α της κλινικής δράσης της δόσης </w:t>
      </w:r>
      <w:r w:rsidRPr="004008FE">
        <w:rPr>
          <w:szCs w:val="22"/>
          <w:lang w:eastAsia="el-GR"/>
        </w:rPr>
        <w:t xml:space="preserve">του </w:t>
      </w:r>
      <w:r w:rsidR="00F0531B" w:rsidRPr="004008FE">
        <w:rPr>
          <w:szCs w:val="22"/>
          <w:lang w:val="en-US" w:eastAsia="el-GR"/>
        </w:rPr>
        <w:t>CISATRAL</w:t>
      </w:r>
      <w:r w:rsidR="00F0531B" w:rsidRPr="004008FE" w:rsidDel="00F0531B">
        <w:rPr>
          <w:szCs w:val="22"/>
        </w:rPr>
        <w:t xml:space="preserve"> </w:t>
      </w:r>
      <w:r w:rsidR="00FC1681" w:rsidRPr="004008FE">
        <w:rPr>
          <w:szCs w:val="22"/>
          <w:lang w:eastAsia="el-GR"/>
        </w:rPr>
        <w:t xml:space="preserve"> </w:t>
      </w:r>
      <w:r w:rsidRPr="004008FE">
        <w:rPr>
          <w:szCs w:val="22"/>
          <w:lang w:eastAsia="el-GR"/>
        </w:rPr>
        <w:t xml:space="preserve">μέχρι και 20%. Δεν υπάρχουν στοιχεία για τη χρήση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σε</w:t>
      </w:r>
      <w:r w:rsidR="00FC1681" w:rsidRPr="004008FE">
        <w:rPr>
          <w:szCs w:val="22"/>
          <w:lang w:eastAsia="el-GR"/>
        </w:rPr>
        <w:t xml:space="preserve"> </w:t>
      </w:r>
      <w:r w:rsidRPr="004008FE">
        <w:rPr>
          <w:szCs w:val="22"/>
          <w:lang w:eastAsia="el-GR"/>
        </w:rPr>
        <w:t>παιδιά κατά τη διάρκεια αναισθησίας προκληθείσης από άλλους αλογωμένους</w:t>
      </w:r>
      <w:r w:rsidR="00C0040C" w:rsidRPr="004008FE">
        <w:rPr>
          <w:szCs w:val="22"/>
          <w:lang w:eastAsia="el-GR"/>
        </w:rPr>
        <w:t xml:space="preserve"> </w:t>
      </w:r>
      <w:r w:rsidRPr="004008FE">
        <w:rPr>
          <w:szCs w:val="22"/>
          <w:lang w:eastAsia="el-GR"/>
        </w:rPr>
        <w:t>αναισθητικούς παράγοντες</w:t>
      </w:r>
      <w:r w:rsidR="005129F8" w:rsidRPr="004008FE">
        <w:rPr>
          <w:szCs w:val="22"/>
          <w:lang w:eastAsia="el-GR"/>
        </w:rPr>
        <w:t xml:space="preserve"> φθορανθράκων</w:t>
      </w:r>
      <w:r w:rsidRPr="004008FE">
        <w:rPr>
          <w:szCs w:val="22"/>
          <w:lang w:eastAsia="el-GR"/>
        </w:rPr>
        <w:t>, αλλά αυτοί οι παράγοντες αναμένεται</w:t>
      </w:r>
      <w:r w:rsidR="00FC1681" w:rsidRPr="004008FE">
        <w:rPr>
          <w:szCs w:val="22"/>
          <w:lang w:eastAsia="el-GR"/>
        </w:rPr>
        <w:t xml:space="preserve"> </w:t>
      </w:r>
      <w:r w:rsidRPr="004008FE">
        <w:rPr>
          <w:szCs w:val="22"/>
          <w:lang w:eastAsia="el-GR"/>
        </w:rPr>
        <w:t xml:space="preserve">επίσης να αυξάνουν τη διάρκεια κλινικής δράσης της δόσης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w:t>
      </w:r>
    </w:p>
    <w:p w:rsidR="00EC2EF7" w:rsidRPr="004008FE" w:rsidRDefault="00EC2EF7" w:rsidP="005F10C7">
      <w:pPr>
        <w:widowControl/>
        <w:autoSpaceDE w:val="0"/>
        <w:autoSpaceDN w:val="0"/>
        <w:adjustRightInd w:val="0"/>
        <w:rPr>
          <w:szCs w:val="22"/>
          <w:lang w:eastAsia="el-GR"/>
        </w:rPr>
      </w:pPr>
    </w:p>
    <w:p w:rsidR="005F10C7" w:rsidRPr="004008FE" w:rsidRDefault="005F10C7" w:rsidP="005F10C7">
      <w:pPr>
        <w:widowControl/>
        <w:autoSpaceDE w:val="0"/>
        <w:autoSpaceDN w:val="0"/>
        <w:adjustRightInd w:val="0"/>
        <w:rPr>
          <w:szCs w:val="22"/>
          <w:lang w:eastAsia="el-GR"/>
        </w:rPr>
      </w:pPr>
      <w:r w:rsidRPr="004008FE">
        <w:rPr>
          <w:b/>
          <w:bCs/>
          <w:szCs w:val="22"/>
          <w:lang w:eastAsia="el-GR"/>
        </w:rPr>
        <w:t xml:space="preserve">Συντήρηση </w:t>
      </w:r>
      <w:r w:rsidRPr="004008FE">
        <w:rPr>
          <w:b/>
          <w:szCs w:val="22"/>
          <w:lang w:eastAsia="el-GR"/>
        </w:rPr>
        <w:t>(παιδιατρικοί ασθενείς ηλικίας 2-12 ετών)</w:t>
      </w:r>
      <w:r w:rsidRPr="004008FE">
        <w:rPr>
          <w:szCs w:val="22"/>
          <w:lang w:eastAsia="el-GR"/>
        </w:rPr>
        <w:t>: Ο νευρομυϊκός αποκλεισμός</w:t>
      </w:r>
      <w:r w:rsidR="00FC1681" w:rsidRPr="004008FE">
        <w:rPr>
          <w:szCs w:val="22"/>
          <w:lang w:eastAsia="el-GR"/>
        </w:rPr>
        <w:t xml:space="preserve"> </w:t>
      </w:r>
      <w:r w:rsidRPr="004008FE">
        <w:rPr>
          <w:szCs w:val="22"/>
          <w:lang w:eastAsia="el-GR"/>
        </w:rPr>
        <w:t xml:space="preserve">μπορεί να παραταθεί με χορήγηση δόσεων συντηρήσεως,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Σε</w:t>
      </w:r>
      <w:r w:rsidR="00FC1681" w:rsidRPr="004008FE">
        <w:rPr>
          <w:szCs w:val="22"/>
          <w:lang w:eastAsia="el-GR"/>
        </w:rPr>
        <w:t xml:space="preserve"> </w:t>
      </w:r>
      <w:r w:rsidRPr="004008FE">
        <w:rPr>
          <w:szCs w:val="22"/>
          <w:lang w:eastAsia="el-GR"/>
        </w:rPr>
        <w:t xml:space="preserve">παιδιατρικούς ασθενείς ηλικίας 2 έως 12 ετών, μία δόση 0,02 mg/kg </w:t>
      </w:r>
      <w:r w:rsidR="00E25904" w:rsidRPr="004008FE">
        <w:rPr>
          <w:szCs w:val="22"/>
          <w:lang w:eastAsia="el-GR"/>
        </w:rPr>
        <w:t>(</w:t>
      </w:r>
      <w:r w:rsidRPr="004008FE">
        <w:rPr>
          <w:szCs w:val="22"/>
          <w:lang w:eastAsia="el-GR"/>
        </w:rPr>
        <w:t>βάρους</w:t>
      </w:r>
      <w:r w:rsidR="00FC1681" w:rsidRPr="004008FE">
        <w:rPr>
          <w:szCs w:val="22"/>
          <w:lang w:eastAsia="el-GR"/>
        </w:rPr>
        <w:t xml:space="preserve"> </w:t>
      </w:r>
      <w:r w:rsidRPr="004008FE">
        <w:rPr>
          <w:szCs w:val="22"/>
          <w:lang w:eastAsia="el-GR"/>
        </w:rPr>
        <w:t>σώματος</w:t>
      </w:r>
      <w:r w:rsidR="00E25904" w:rsidRPr="004008FE">
        <w:rPr>
          <w:szCs w:val="22"/>
          <w:lang w:eastAsia="el-GR"/>
        </w:rPr>
        <w:t>)</w:t>
      </w:r>
      <w:r w:rsidRPr="004008FE">
        <w:rPr>
          <w:szCs w:val="22"/>
          <w:lang w:eastAsia="el-GR"/>
        </w:rPr>
        <w:t xml:space="preserve"> παρέχει περίπου 9 min επιπρόσθετου κλινικά δραστικού νευρομυϊκού</w:t>
      </w:r>
      <w:r w:rsidR="00FC1681" w:rsidRPr="004008FE">
        <w:rPr>
          <w:szCs w:val="22"/>
          <w:lang w:eastAsia="el-GR"/>
        </w:rPr>
        <w:t xml:space="preserve"> </w:t>
      </w:r>
      <w:r w:rsidRPr="004008FE">
        <w:rPr>
          <w:szCs w:val="22"/>
          <w:lang w:eastAsia="el-GR"/>
        </w:rPr>
        <w:t>αποκλεισμού κατά τη διάρκεια αναισθησίας με αλοθάνιο. Διαδοχικές δόσεις</w:t>
      </w:r>
      <w:r w:rsidR="00FC1681" w:rsidRPr="004008FE">
        <w:rPr>
          <w:szCs w:val="22"/>
          <w:lang w:eastAsia="el-GR"/>
        </w:rPr>
        <w:t xml:space="preserve"> </w:t>
      </w:r>
      <w:r w:rsidRPr="004008FE">
        <w:rPr>
          <w:szCs w:val="22"/>
          <w:lang w:eastAsia="el-GR"/>
        </w:rPr>
        <w:t>συντηρήσεως δεν έχουν σαν</w:t>
      </w:r>
      <w:r w:rsidR="00AC089B" w:rsidRPr="004008FE">
        <w:rPr>
          <w:szCs w:val="22"/>
          <w:lang w:eastAsia="el-GR"/>
        </w:rPr>
        <w:t xml:space="preserve"> αποτέλεσμα την προοδευτική παρά</w:t>
      </w:r>
      <w:r w:rsidRPr="004008FE">
        <w:rPr>
          <w:szCs w:val="22"/>
          <w:lang w:eastAsia="el-GR"/>
        </w:rPr>
        <w:t>ταση του</w:t>
      </w:r>
      <w:r w:rsidR="00FC1681" w:rsidRPr="004008FE">
        <w:rPr>
          <w:szCs w:val="22"/>
          <w:lang w:eastAsia="el-GR"/>
        </w:rPr>
        <w:t xml:space="preserve"> </w:t>
      </w:r>
      <w:r w:rsidRPr="004008FE">
        <w:rPr>
          <w:szCs w:val="22"/>
          <w:lang w:eastAsia="el-GR"/>
        </w:rPr>
        <w:t>αποτελέσματος.</w:t>
      </w:r>
    </w:p>
    <w:p w:rsidR="00EC2EF7" w:rsidRPr="004008FE" w:rsidRDefault="00EC2EF7" w:rsidP="005F10C7">
      <w:pPr>
        <w:widowControl/>
        <w:autoSpaceDE w:val="0"/>
        <w:autoSpaceDN w:val="0"/>
        <w:adjustRightInd w:val="0"/>
        <w:rPr>
          <w:szCs w:val="22"/>
          <w:lang w:eastAsia="el-GR"/>
        </w:rPr>
      </w:pPr>
    </w:p>
    <w:p w:rsidR="005F10C7" w:rsidRPr="004008FE" w:rsidRDefault="005F10C7" w:rsidP="005F10C7">
      <w:pPr>
        <w:widowControl/>
        <w:autoSpaceDE w:val="0"/>
        <w:autoSpaceDN w:val="0"/>
        <w:adjustRightInd w:val="0"/>
        <w:rPr>
          <w:szCs w:val="22"/>
          <w:lang w:eastAsia="el-GR"/>
        </w:rPr>
      </w:pPr>
      <w:r w:rsidRPr="004008FE">
        <w:rPr>
          <w:szCs w:val="22"/>
          <w:lang w:eastAsia="el-GR"/>
        </w:rPr>
        <w:t>Δεν υπάρχουν επαρκή δεδομένα ώστε να γίνει ειδ</w:t>
      </w:r>
      <w:r w:rsidR="00961F85" w:rsidRPr="004008FE">
        <w:rPr>
          <w:szCs w:val="22"/>
          <w:lang w:eastAsia="el-GR"/>
        </w:rPr>
        <w:t xml:space="preserve">ική σύσταση για δόση συντήρησης </w:t>
      </w:r>
      <w:r w:rsidRPr="004008FE">
        <w:rPr>
          <w:szCs w:val="22"/>
          <w:lang w:eastAsia="el-GR"/>
        </w:rPr>
        <w:t>σε παιδιατρικούς ασθενείς ηλικίας κάτω των 2 ετών. Πάντως πολύ περιορισμένα</w:t>
      </w:r>
      <w:r w:rsidR="00961F85" w:rsidRPr="004008FE">
        <w:rPr>
          <w:szCs w:val="22"/>
          <w:lang w:eastAsia="el-GR"/>
        </w:rPr>
        <w:t xml:space="preserve"> </w:t>
      </w:r>
      <w:r w:rsidRPr="004008FE">
        <w:rPr>
          <w:szCs w:val="22"/>
          <w:lang w:eastAsia="el-GR"/>
        </w:rPr>
        <w:t>στοιχεία από κλινικές μελέτες σε παιδιατρικούς ασθενείς ηλικίας κάτω των 2 ετών</w:t>
      </w:r>
      <w:r w:rsidR="00961F85" w:rsidRPr="004008FE">
        <w:rPr>
          <w:szCs w:val="22"/>
          <w:lang w:eastAsia="el-GR"/>
        </w:rPr>
        <w:t xml:space="preserve"> </w:t>
      </w:r>
      <w:r w:rsidRPr="004008FE">
        <w:rPr>
          <w:szCs w:val="22"/>
          <w:lang w:eastAsia="el-GR"/>
        </w:rPr>
        <w:t>υποδεικνύουν ότι δόση συντήρησης 0,03 mg/Kg μπορεί να παρατείνει κλινικά τον</w:t>
      </w:r>
      <w:r w:rsidR="00961F85" w:rsidRPr="004008FE">
        <w:rPr>
          <w:szCs w:val="22"/>
          <w:lang w:eastAsia="el-GR"/>
        </w:rPr>
        <w:t xml:space="preserve"> </w:t>
      </w:r>
      <w:r w:rsidRPr="004008FE">
        <w:rPr>
          <w:szCs w:val="22"/>
          <w:lang w:eastAsia="el-GR"/>
        </w:rPr>
        <w:t>νευρομυϊκό αποκλεισμό μέχρι 25 min κατά τη διάρκεια αναισθησίας με οπιοειδές.</w:t>
      </w:r>
    </w:p>
    <w:p w:rsidR="00EC2EF7" w:rsidRPr="004008FE" w:rsidRDefault="00EC2EF7" w:rsidP="005F10C7">
      <w:pPr>
        <w:widowControl/>
        <w:autoSpaceDE w:val="0"/>
        <w:autoSpaceDN w:val="0"/>
        <w:adjustRightInd w:val="0"/>
        <w:rPr>
          <w:szCs w:val="22"/>
          <w:lang w:eastAsia="el-GR"/>
        </w:rPr>
      </w:pPr>
    </w:p>
    <w:p w:rsidR="005F10C7" w:rsidRPr="004008FE" w:rsidRDefault="005F10C7" w:rsidP="005F10C7">
      <w:pPr>
        <w:widowControl/>
        <w:autoSpaceDE w:val="0"/>
        <w:autoSpaceDN w:val="0"/>
        <w:adjustRightInd w:val="0"/>
        <w:rPr>
          <w:szCs w:val="22"/>
          <w:lang w:eastAsia="el-GR"/>
        </w:rPr>
      </w:pPr>
      <w:r w:rsidRPr="004008FE">
        <w:rPr>
          <w:b/>
          <w:bCs/>
          <w:szCs w:val="22"/>
          <w:lang w:eastAsia="el-GR"/>
        </w:rPr>
        <w:t xml:space="preserve">Αυτόματη Ανάνηψη: </w:t>
      </w:r>
      <w:r w:rsidRPr="004008FE">
        <w:rPr>
          <w:szCs w:val="22"/>
          <w:lang w:eastAsia="el-GR"/>
        </w:rPr>
        <w:t>Από τη στιγμή που αρχί</w:t>
      </w:r>
      <w:r w:rsidR="00961F85" w:rsidRPr="004008FE">
        <w:rPr>
          <w:szCs w:val="22"/>
          <w:lang w:eastAsia="el-GR"/>
        </w:rPr>
        <w:t xml:space="preserve">ζει η ανάνηψη από το νευρομυϊκό </w:t>
      </w:r>
      <w:r w:rsidRPr="004008FE">
        <w:rPr>
          <w:szCs w:val="22"/>
          <w:lang w:eastAsia="el-GR"/>
        </w:rPr>
        <w:t xml:space="preserve">αποκλεισμό, ο ρυθμός ανάνηψης είναι ανεξάρτητος της δόσης του </w:t>
      </w:r>
      <w:r w:rsidR="00D56864" w:rsidRPr="004008FE">
        <w:rPr>
          <w:szCs w:val="22"/>
          <w:lang w:val="en-GB"/>
        </w:rPr>
        <w:t>CICATRAL</w:t>
      </w:r>
      <w:r w:rsidRPr="004008FE">
        <w:rPr>
          <w:szCs w:val="22"/>
          <w:lang w:eastAsia="el-GR"/>
        </w:rPr>
        <w:t xml:space="preserve"> που</w:t>
      </w:r>
      <w:r w:rsidR="00961F85" w:rsidRPr="004008FE">
        <w:rPr>
          <w:szCs w:val="22"/>
          <w:lang w:eastAsia="el-GR"/>
        </w:rPr>
        <w:t xml:space="preserve"> </w:t>
      </w:r>
      <w:r w:rsidRPr="004008FE">
        <w:rPr>
          <w:szCs w:val="22"/>
          <w:lang w:eastAsia="el-GR"/>
        </w:rPr>
        <w:t>χορηγήθηκε. Κατά τη διάρκεια αναισθησίας με oπιοειδές ή αλοθάνιο, οι μέσοι χρόνοι</w:t>
      </w:r>
      <w:r w:rsidR="00961F85" w:rsidRPr="004008FE">
        <w:rPr>
          <w:szCs w:val="22"/>
          <w:lang w:eastAsia="el-GR"/>
        </w:rPr>
        <w:t xml:space="preserve"> </w:t>
      </w:r>
      <w:r w:rsidRPr="004008FE">
        <w:rPr>
          <w:szCs w:val="22"/>
          <w:lang w:eastAsia="el-GR"/>
        </w:rPr>
        <w:t>ανάνηψης από 25% έως 75% και από 5% έως 95% είναι περίπου 11 min και 28 min</w:t>
      </w:r>
      <w:r w:rsidR="00961F85" w:rsidRPr="004008FE">
        <w:rPr>
          <w:szCs w:val="22"/>
          <w:lang w:eastAsia="el-GR"/>
        </w:rPr>
        <w:t xml:space="preserve"> </w:t>
      </w:r>
      <w:r w:rsidRPr="004008FE">
        <w:rPr>
          <w:szCs w:val="22"/>
          <w:lang w:eastAsia="el-GR"/>
        </w:rPr>
        <w:t>αντίστοιχα.</w:t>
      </w:r>
    </w:p>
    <w:p w:rsidR="00EC2EF7" w:rsidRPr="004008FE" w:rsidRDefault="00EC2EF7" w:rsidP="005F10C7">
      <w:pPr>
        <w:widowControl/>
        <w:autoSpaceDE w:val="0"/>
        <w:autoSpaceDN w:val="0"/>
        <w:adjustRightInd w:val="0"/>
        <w:rPr>
          <w:szCs w:val="22"/>
          <w:lang w:eastAsia="el-GR"/>
        </w:rPr>
      </w:pPr>
    </w:p>
    <w:p w:rsidR="00961F85" w:rsidRPr="004008FE" w:rsidRDefault="005F10C7" w:rsidP="00961F85">
      <w:pPr>
        <w:widowControl/>
        <w:autoSpaceDE w:val="0"/>
        <w:autoSpaceDN w:val="0"/>
        <w:adjustRightInd w:val="0"/>
        <w:rPr>
          <w:szCs w:val="22"/>
          <w:lang w:eastAsia="el-GR"/>
        </w:rPr>
      </w:pPr>
      <w:r w:rsidRPr="004008FE">
        <w:rPr>
          <w:b/>
          <w:bCs/>
          <w:szCs w:val="22"/>
          <w:lang w:eastAsia="el-GR"/>
        </w:rPr>
        <w:t xml:space="preserve">Αναστροφή: </w:t>
      </w:r>
      <w:r w:rsidRPr="004008FE">
        <w:rPr>
          <w:szCs w:val="22"/>
          <w:lang w:eastAsia="el-GR"/>
        </w:rPr>
        <w:t>Ο νευρομυϊκός αποκλεισμός που επι</w:t>
      </w:r>
      <w:r w:rsidR="00961F85" w:rsidRPr="004008FE">
        <w:rPr>
          <w:szCs w:val="22"/>
          <w:lang w:eastAsia="el-GR"/>
        </w:rPr>
        <w:t xml:space="preserve">τυγχάνεται μετά τη χορήγηση του </w:t>
      </w:r>
      <w:r w:rsidR="00F0531B" w:rsidRPr="004008FE">
        <w:rPr>
          <w:szCs w:val="22"/>
          <w:lang w:val="en-US" w:eastAsia="el-GR"/>
        </w:rPr>
        <w:t>CISATRAL</w:t>
      </w:r>
      <w:r w:rsidR="00F0531B" w:rsidRPr="004008FE" w:rsidDel="00F0531B">
        <w:rPr>
          <w:szCs w:val="22"/>
        </w:rPr>
        <w:t xml:space="preserve"> </w:t>
      </w:r>
      <w:r w:rsidR="00FC1681" w:rsidRPr="004008FE">
        <w:rPr>
          <w:szCs w:val="22"/>
          <w:lang w:eastAsia="el-GR"/>
        </w:rPr>
        <w:t xml:space="preserve"> </w:t>
      </w:r>
      <w:r w:rsidRPr="004008FE">
        <w:rPr>
          <w:szCs w:val="22"/>
          <w:lang w:eastAsia="el-GR"/>
        </w:rPr>
        <w:t>μπορεί να αναστραφεί εύκολα χορηγώντας τις καθιερωμένες δόσεις</w:t>
      </w:r>
      <w:r w:rsidR="00961F85" w:rsidRPr="004008FE">
        <w:rPr>
          <w:szCs w:val="22"/>
          <w:lang w:eastAsia="el-GR"/>
        </w:rPr>
        <w:t xml:space="preserve"> </w:t>
      </w:r>
      <w:r w:rsidRPr="004008FE">
        <w:rPr>
          <w:szCs w:val="22"/>
          <w:lang w:eastAsia="el-GR"/>
        </w:rPr>
        <w:t>αντιχολινεστερασικών παραγόντων. Οι μέσοι χρόνοι για ανάνηψη 25% έως 75% και</w:t>
      </w:r>
      <w:r w:rsidR="00961F85" w:rsidRPr="004008FE">
        <w:rPr>
          <w:szCs w:val="22"/>
          <w:lang w:eastAsia="el-GR"/>
        </w:rPr>
        <w:t xml:space="preserve"> </w:t>
      </w:r>
      <w:r w:rsidRPr="004008FE">
        <w:rPr>
          <w:szCs w:val="22"/>
          <w:lang w:eastAsia="el-GR"/>
        </w:rPr>
        <w:t xml:space="preserve">για πλήρη κλινική ανάνηψη (Τ4:Τ1 </w:t>
      </w:r>
      <w:r w:rsidR="00961F85" w:rsidRPr="004008FE">
        <w:rPr>
          <w:szCs w:val="22"/>
          <w:lang w:eastAsia="el-GR"/>
        </w:rPr>
        <w:t></w:t>
      </w:r>
    </w:p>
    <w:p w:rsidR="005F10C7" w:rsidRPr="004008FE" w:rsidRDefault="00961F85" w:rsidP="00961F85">
      <w:pPr>
        <w:widowControl/>
        <w:autoSpaceDE w:val="0"/>
        <w:autoSpaceDN w:val="0"/>
        <w:adjustRightInd w:val="0"/>
        <w:rPr>
          <w:szCs w:val="22"/>
          <w:lang w:eastAsia="el-GR"/>
        </w:rPr>
      </w:pPr>
      <w:r w:rsidRPr="004008FE">
        <w:rPr>
          <w:szCs w:val="22"/>
          <w:lang w:eastAsia="el-GR"/>
        </w:rPr>
        <w:t xml:space="preserve"> </w:t>
      </w:r>
      <w:r w:rsidR="005F10C7" w:rsidRPr="004008FE">
        <w:rPr>
          <w:szCs w:val="22"/>
          <w:lang w:eastAsia="el-GR"/>
        </w:rPr>
        <w:t>0,7) είναι περίπου 2 min και 5min αντίστοιχα, μετά</w:t>
      </w:r>
      <w:r w:rsidRPr="004008FE">
        <w:rPr>
          <w:szCs w:val="22"/>
          <w:lang w:eastAsia="el-GR"/>
        </w:rPr>
        <w:t xml:space="preserve"> </w:t>
      </w:r>
      <w:r w:rsidR="005F10C7" w:rsidRPr="004008FE">
        <w:rPr>
          <w:szCs w:val="22"/>
          <w:lang w:eastAsia="el-GR"/>
        </w:rPr>
        <w:t>την χορήγηση του αντιχολινεστερασικού με μέσο όρο 13% Τ1 ανάνηψη.</w:t>
      </w:r>
    </w:p>
    <w:p w:rsidR="005F10C7" w:rsidRPr="004008FE" w:rsidRDefault="005F10C7" w:rsidP="00060935">
      <w:pPr>
        <w:widowControl/>
        <w:autoSpaceDE w:val="0"/>
        <w:autoSpaceDN w:val="0"/>
        <w:adjustRightInd w:val="0"/>
        <w:rPr>
          <w:szCs w:val="22"/>
          <w:lang w:eastAsia="el-GR"/>
        </w:rPr>
      </w:pPr>
    </w:p>
    <w:p w:rsidR="00AC089B" w:rsidRPr="004008FE" w:rsidRDefault="00AC089B" w:rsidP="00AC089B">
      <w:pPr>
        <w:widowControl/>
        <w:autoSpaceDE w:val="0"/>
        <w:autoSpaceDN w:val="0"/>
        <w:adjustRightInd w:val="0"/>
        <w:rPr>
          <w:szCs w:val="22"/>
          <w:lang w:eastAsia="el-GR"/>
        </w:rPr>
      </w:pPr>
      <w:r w:rsidRPr="004008FE">
        <w:rPr>
          <w:b/>
          <w:bCs/>
          <w:szCs w:val="22"/>
          <w:lang w:eastAsia="el-GR"/>
        </w:rPr>
        <w:t>Χρήση υπό μορφή ενδοφλέβιας έγχυσης</w:t>
      </w:r>
    </w:p>
    <w:p w:rsidR="00060935" w:rsidRPr="004008FE" w:rsidRDefault="00060935" w:rsidP="00D53867">
      <w:pPr>
        <w:rPr>
          <w:szCs w:val="22"/>
          <w:lang w:eastAsia="el-GR"/>
        </w:rPr>
      </w:pPr>
    </w:p>
    <w:p w:rsidR="00AC089B" w:rsidRPr="004008FE" w:rsidRDefault="00AC089B" w:rsidP="00AC089B">
      <w:pPr>
        <w:widowControl/>
        <w:autoSpaceDE w:val="0"/>
        <w:autoSpaceDN w:val="0"/>
        <w:adjustRightInd w:val="0"/>
        <w:rPr>
          <w:b/>
          <w:bCs/>
          <w:szCs w:val="22"/>
          <w:lang w:eastAsia="el-GR"/>
        </w:rPr>
      </w:pPr>
      <w:r w:rsidRPr="004008FE">
        <w:rPr>
          <w:b/>
          <w:bCs/>
          <w:szCs w:val="22"/>
          <w:lang w:eastAsia="el-GR"/>
        </w:rPr>
        <w:t>Δοσολογία σε ενήλικες και παιδιά ηλικίας 2 έως 12 ετών</w:t>
      </w:r>
    </w:p>
    <w:p w:rsidR="00AC089B" w:rsidRPr="004008FE" w:rsidRDefault="00AC089B" w:rsidP="00AC089B">
      <w:pPr>
        <w:widowControl/>
        <w:autoSpaceDE w:val="0"/>
        <w:autoSpaceDN w:val="0"/>
        <w:adjustRightInd w:val="0"/>
        <w:rPr>
          <w:b/>
          <w:bCs/>
          <w:szCs w:val="22"/>
          <w:lang w:eastAsia="el-GR"/>
        </w:rPr>
      </w:pPr>
    </w:p>
    <w:p w:rsidR="00AC089B" w:rsidRPr="004008FE" w:rsidRDefault="00AC089B" w:rsidP="00AC089B">
      <w:pPr>
        <w:widowControl/>
        <w:autoSpaceDE w:val="0"/>
        <w:autoSpaceDN w:val="0"/>
        <w:adjustRightInd w:val="0"/>
        <w:rPr>
          <w:szCs w:val="22"/>
          <w:lang w:eastAsia="el-GR"/>
        </w:rPr>
      </w:pPr>
      <w:r w:rsidRPr="004008FE">
        <w:rPr>
          <w:szCs w:val="22"/>
          <w:lang w:eastAsia="el-GR"/>
        </w:rPr>
        <w:t xml:space="preserve">Η διατήρηση του νευρομυϊκού αποκλεισμού μπορεί να επιτευχθεί με ενδοφλέβια έγχυση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Μία αρχική δόση έγχυσης 3 μg/kg</w:t>
      </w:r>
      <w:r w:rsidR="0053630C" w:rsidRPr="004008FE">
        <w:rPr>
          <w:szCs w:val="22"/>
          <w:lang w:eastAsia="el-GR"/>
        </w:rPr>
        <w:t xml:space="preserve"> (βάρος σώματος)</w:t>
      </w:r>
      <w:r w:rsidRPr="004008FE">
        <w:rPr>
          <w:szCs w:val="22"/>
          <w:lang w:eastAsia="el-GR"/>
        </w:rPr>
        <w:t>/min (0,18 mg/kg/hr) προτείνεται για να αποκαταστήσει 89% με 99% Τ</w:t>
      </w:r>
      <w:r w:rsidRPr="004008FE">
        <w:rPr>
          <w:szCs w:val="22"/>
          <w:vertAlign w:val="subscript"/>
          <w:lang w:eastAsia="el-GR"/>
        </w:rPr>
        <w:t>1</w:t>
      </w:r>
      <w:r w:rsidRPr="004008FE">
        <w:rPr>
          <w:szCs w:val="22"/>
          <w:lang w:eastAsia="el-GR"/>
        </w:rPr>
        <w:t xml:space="preserve"> της μυοχάλασης μετά από ένδειξη αυτόματης ανάνηψης. Μετά την αρχική περίοδο σταθεροποίησης του νευρομυϊκού αποκλεισμού, ένας ρυθμός έγχυσης 1 έως 2 μg/kg</w:t>
      </w:r>
      <w:r w:rsidR="0053630C" w:rsidRPr="004008FE">
        <w:rPr>
          <w:szCs w:val="22"/>
          <w:lang w:eastAsia="el-GR"/>
        </w:rPr>
        <w:t>(βάρος σώματος)</w:t>
      </w:r>
      <w:r w:rsidRPr="004008FE">
        <w:rPr>
          <w:szCs w:val="22"/>
          <w:lang w:eastAsia="el-GR"/>
        </w:rPr>
        <w:t>/min (0,06 mg έως 0,12 mg/kg/hr) θα πρέπει να είναι επαρκής για να διατηρηθεί ο αποκλεισμός σε αυτή την έκταση στους περισσότερους ασθενείς.</w:t>
      </w:r>
    </w:p>
    <w:p w:rsidR="00AC089B" w:rsidRPr="004008FE" w:rsidRDefault="00AC089B" w:rsidP="00AC089B">
      <w:pPr>
        <w:widowControl/>
        <w:autoSpaceDE w:val="0"/>
        <w:autoSpaceDN w:val="0"/>
        <w:adjustRightInd w:val="0"/>
        <w:rPr>
          <w:szCs w:val="22"/>
          <w:lang w:eastAsia="el-GR"/>
        </w:rPr>
      </w:pPr>
    </w:p>
    <w:p w:rsidR="00AC089B" w:rsidRPr="004008FE" w:rsidRDefault="00AC089B" w:rsidP="00AC089B">
      <w:pPr>
        <w:widowControl/>
        <w:autoSpaceDE w:val="0"/>
        <w:autoSpaceDN w:val="0"/>
        <w:adjustRightInd w:val="0"/>
        <w:rPr>
          <w:szCs w:val="22"/>
          <w:lang w:eastAsia="el-GR"/>
        </w:rPr>
      </w:pPr>
      <w:r w:rsidRPr="004008FE">
        <w:rPr>
          <w:szCs w:val="22"/>
          <w:lang w:eastAsia="el-GR"/>
        </w:rPr>
        <w:t xml:space="preserve">Μπορεί να χρειασθεί μείωση του ρυθμού έγχυσης μέχρι και 40% όταν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χορηγείται κατά τη διάρκεια αναισθησίας με ισοφλουράνιο ή ενφλουράνιο. (βλέπε.</w:t>
      </w:r>
      <w:r w:rsidR="0053630C" w:rsidRPr="004008FE">
        <w:rPr>
          <w:szCs w:val="22"/>
          <w:lang w:eastAsia="el-GR"/>
        </w:rPr>
        <w:t xml:space="preserve"> </w:t>
      </w:r>
      <w:r w:rsidRPr="004008FE">
        <w:rPr>
          <w:szCs w:val="22"/>
          <w:lang w:eastAsia="el-GR"/>
        </w:rPr>
        <w:t>παράγραφο 4.5).</w:t>
      </w:r>
    </w:p>
    <w:p w:rsidR="00AC089B" w:rsidRPr="004008FE" w:rsidRDefault="00AC089B" w:rsidP="00AC089B">
      <w:pPr>
        <w:widowControl/>
        <w:autoSpaceDE w:val="0"/>
        <w:autoSpaceDN w:val="0"/>
        <w:adjustRightInd w:val="0"/>
        <w:rPr>
          <w:szCs w:val="22"/>
          <w:lang w:eastAsia="el-GR"/>
        </w:rPr>
      </w:pPr>
    </w:p>
    <w:p w:rsidR="00AC089B" w:rsidRPr="004008FE" w:rsidRDefault="00AC089B" w:rsidP="00AC089B">
      <w:pPr>
        <w:widowControl/>
        <w:autoSpaceDE w:val="0"/>
        <w:autoSpaceDN w:val="0"/>
        <w:adjustRightInd w:val="0"/>
        <w:rPr>
          <w:szCs w:val="22"/>
          <w:lang w:eastAsia="el-GR"/>
        </w:rPr>
      </w:pPr>
      <w:r w:rsidRPr="004008FE">
        <w:rPr>
          <w:szCs w:val="22"/>
          <w:lang w:eastAsia="el-GR"/>
        </w:rPr>
        <w:t xml:space="preserve">Ο ρυθμός έγχυσης εξαρτάται από τη συγκέντρωση του cisatracurium στο εγχυόμενο διάλυμα, τον επιθυμητό βαθμό νευρομυϊκού αποκλεισμού, και από το σωματικό βάρος του ασθενούς. Ο παρακάτω πίνακας δίνει οδηγίες για χορήγηση μη- αραιωμένου </w:t>
      </w:r>
      <w:r w:rsidR="00F0531B" w:rsidRPr="004008FE">
        <w:rPr>
          <w:szCs w:val="22"/>
          <w:lang w:val="en-US" w:eastAsia="el-GR"/>
        </w:rPr>
        <w:t>CISATRAL</w:t>
      </w:r>
      <w:r w:rsidRPr="004008FE">
        <w:rPr>
          <w:szCs w:val="22"/>
          <w:lang w:eastAsia="el-GR"/>
        </w:rPr>
        <w:t>.</w:t>
      </w:r>
    </w:p>
    <w:p w:rsidR="004556D2" w:rsidRPr="004008FE" w:rsidRDefault="004556D2" w:rsidP="00AC089B">
      <w:pPr>
        <w:widowControl/>
        <w:autoSpaceDE w:val="0"/>
        <w:autoSpaceDN w:val="0"/>
        <w:adjustRightInd w:val="0"/>
        <w:rPr>
          <w:szCs w:val="22"/>
          <w:lang w:eastAsia="el-GR"/>
        </w:rPr>
      </w:pPr>
    </w:p>
    <w:p w:rsidR="004556D2" w:rsidRPr="004008FE" w:rsidRDefault="00F57D3C" w:rsidP="004556D2">
      <w:pPr>
        <w:widowControl/>
        <w:autoSpaceDE w:val="0"/>
        <w:autoSpaceDN w:val="0"/>
        <w:adjustRightInd w:val="0"/>
        <w:rPr>
          <w:b/>
          <w:bCs/>
          <w:szCs w:val="22"/>
          <w:lang w:eastAsia="el-GR"/>
        </w:rPr>
      </w:pPr>
      <w:r w:rsidRPr="004008FE">
        <w:rPr>
          <w:b/>
          <w:bCs/>
          <w:szCs w:val="22"/>
          <w:lang w:eastAsia="el-GR"/>
        </w:rPr>
        <w:t xml:space="preserve">                    </w:t>
      </w:r>
      <w:r w:rsidR="004556D2" w:rsidRPr="004008FE">
        <w:rPr>
          <w:b/>
          <w:bCs/>
          <w:szCs w:val="22"/>
          <w:lang w:eastAsia="el-GR"/>
        </w:rPr>
        <w:t xml:space="preserve">Ρυθμός έγχυσης του ενέσιμου </w:t>
      </w:r>
      <w:r w:rsidR="00F0531B" w:rsidRPr="004008FE">
        <w:rPr>
          <w:b/>
          <w:szCs w:val="22"/>
          <w:lang w:val="en-US" w:eastAsia="el-GR"/>
        </w:rPr>
        <w:t>CISATRAL</w:t>
      </w:r>
      <w:r w:rsidR="00F0531B" w:rsidRPr="004008FE" w:rsidDel="00F0531B">
        <w:rPr>
          <w:b/>
          <w:szCs w:val="22"/>
        </w:rPr>
        <w:t xml:space="preserve"> </w:t>
      </w:r>
      <w:r w:rsidR="00F0531B" w:rsidRPr="004008FE">
        <w:rPr>
          <w:b/>
          <w:szCs w:val="22"/>
        </w:rPr>
        <w:t xml:space="preserve"> </w:t>
      </w:r>
      <w:r w:rsidR="004556D2" w:rsidRPr="004008FE">
        <w:rPr>
          <w:b/>
          <w:bCs/>
          <w:szCs w:val="22"/>
          <w:lang w:eastAsia="el-GR"/>
        </w:rPr>
        <w:t>2mg/ml</w:t>
      </w:r>
    </w:p>
    <w:p w:rsidR="00F57D3C" w:rsidRPr="004008FE" w:rsidRDefault="00F57D3C" w:rsidP="004556D2">
      <w:pPr>
        <w:widowControl/>
        <w:autoSpaceDE w:val="0"/>
        <w:autoSpaceDN w:val="0"/>
        <w:adjustRightInd w:val="0"/>
        <w:rPr>
          <w:b/>
          <w:bCs/>
          <w:szCs w:val="22"/>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35"/>
        <w:gridCol w:w="1535"/>
        <w:gridCol w:w="1535"/>
        <w:gridCol w:w="1535"/>
        <w:gridCol w:w="1535"/>
        <w:gridCol w:w="1535"/>
      </w:tblGrid>
      <w:tr w:rsidR="004556D2" w:rsidRPr="004008FE">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tcPr>
          <w:p w:rsidR="004556D2" w:rsidRPr="004008FE" w:rsidRDefault="004556D2" w:rsidP="00A358B4">
            <w:pPr>
              <w:widowControl/>
              <w:autoSpaceDE w:val="0"/>
              <w:autoSpaceDN w:val="0"/>
              <w:adjustRightInd w:val="0"/>
              <w:rPr>
                <w:szCs w:val="22"/>
                <w:lang w:eastAsia="el-GR"/>
              </w:rPr>
            </w:pPr>
            <w:r w:rsidRPr="004008FE">
              <w:rPr>
                <w:b/>
                <w:bCs/>
                <w:szCs w:val="22"/>
                <w:lang w:eastAsia="el-GR"/>
              </w:rPr>
              <w:t xml:space="preserve">Βάρος (kg) </w:t>
            </w:r>
            <w:r w:rsidRPr="004008FE">
              <w:rPr>
                <w:b/>
                <w:bCs/>
                <w:szCs w:val="22"/>
                <w:lang w:eastAsia="el-GR"/>
              </w:rPr>
              <w:lastRenderedPageBreak/>
              <w:t>Aσθενούς</w:t>
            </w:r>
          </w:p>
        </w:tc>
        <w:tc>
          <w:tcPr>
            <w:tcW w:w="3200" w:type="pct"/>
            <w:gridSpan w:val="4"/>
            <w:tcBorders>
              <w:top w:val="outset" w:sz="6" w:space="0" w:color="auto"/>
              <w:left w:val="outset" w:sz="6" w:space="0" w:color="auto"/>
              <w:bottom w:val="outset" w:sz="6" w:space="0" w:color="auto"/>
              <w:right w:val="outset" w:sz="6" w:space="0" w:color="auto"/>
            </w:tcBorders>
          </w:tcPr>
          <w:p w:rsidR="004556D2" w:rsidRPr="004008FE" w:rsidRDefault="004556D2" w:rsidP="00A358B4">
            <w:pPr>
              <w:widowControl/>
              <w:autoSpaceDE w:val="0"/>
              <w:autoSpaceDN w:val="0"/>
              <w:adjustRightInd w:val="0"/>
              <w:rPr>
                <w:szCs w:val="22"/>
                <w:lang w:eastAsia="el-GR"/>
              </w:rPr>
            </w:pPr>
            <w:r w:rsidRPr="004008FE">
              <w:rPr>
                <w:b/>
                <w:bCs/>
                <w:szCs w:val="22"/>
                <w:lang w:eastAsia="el-GR"/>
              </w:rPr>
              <w:lastRenderedPageBreak/>
              <w:t>Δόση (μg/kg/min)</w:t>
            </w:r>
          </w:p>
        </w:tc>
        <w:tc>
          <w:tcPr>
            <w:tcW w:w="800" w:type="pct"/>
            <w:vMerge w:val="restart"/>
            <w:tcBorders>
              <w:top w:val="outset" w:sz="6" w:space="0" w:color="auto"/>
              <w:left w:val="outset" w:sz="6" w:space="0" w:color="auto"/>
              <w:bottom w:val="outset" w:sz="6" w:space="0" w:color="auto"/>
              <w:right w:val="outset" w:sz="6" w:space="0" w:color="auto"/>
            </w:tcBorders>
          </w:tcPr>
          <w:p w:rsidR="004556D2" w:rsidRPr="004008FE" w:rsidRDefault="004556D2" w:rsidP="004556D2">
            <w:pPr>
              <w:widowControl/>
              <w:autoSpaceDE w:val="0"/>
              <w:autoSpaceDN w:val="0"/>
              <w:adjustRightInd w:val="0"/>
              <w:rPr>
                <w:b/>
                <w:bCs/>
                <w:szCs w:val="22"/>
                <w:lang w:eastAsia="el-GR"/>
              </w:rPr>
            </w:pPr>
            <w:r w:rsidRPr="004008FE">
              <w:rPr>
                <w:b/>
                <w:bCs/>
                <w:szCs w:val="22"/>
                <w:lang w:eastAsia="el-GR"/>
              </w:rPr>
              <w:t>Ρυθμός</w:t>
            </w:r>
          </w:p>
          <w:p w:rsidR="004556D2" w:rsidRPr="004008FE" w:rsidRDefault="004556D2" w:rsidP="00A358B4">
            <w:pPr>
              <w:widowControl/>
              <w:autoSpaceDE w:val="0"/>
              <w:autoSpaceDN w:val="0"/>
              <w:adjustRightInd w:val="0"/>
              <w:rPr>
                <w:szCs w:val="22"/>
                <w:lang w:eastAsia="el-GR"/>
              </w:rPr>
            </w:pPr>
            <w:r w:rsidRPr="004008FE">
              <w:rPr>
                <w:b/>
                <w:bCs/>
                <w:szCs w:val="22"/>
                <w:lang w:eastAsia="el-GR"/>
              </w:rPr>
              <w:lastRenderedPageBreak/>
              <w:t>Έγχυσης</w:t>
            </w:r>
          </w:p>
        </w:tc>
      </w:tr>
      <w:tr w:rsidR="004556D2" w:rsidRPr="004008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556D2" w:rsidRPr="004008FE" w:rsidRDefault="004556D2" w:rsidP="00B53FD2">
            <w:pPr>
              <w:jc w:val="both"/>
              <w:rPr>
                <w:rFonts w:eastAsia="SimSun"/>
                <w:szCs w:val="22"/>
                <w:lang w:eastAsia="zh-CN"/>
              </w:rPr>
            </w:pP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b/>
                <w:bCs/>
                <w:szCs w:val="22"/>
                <w:lang w:eastAsia="zh-CN"/>
              </w:rPr>
              <w:t>1.0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b/>
                <w:bCs/>
                <w:szCs w:val="22"/>
                <w:lang w:eastAsia="zh-CN"/>
              </w:rPr>
              <w:t>1.5</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b/>
                <w:bCs/>
                <w:szCs w:val="22"/>
                <w:lang w:eastAsia="zh-CN"/>
              </w:rPr>
              <w:t>2.0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b/>
                <w:bCs/>
                <w:szCs w:val="22"/>
                <w:lang w:eastAsia="zh-CN"/>
              </w:rPr>
              <w:t>3.0</w:t>
            </w:r>
          </w:p>
        </w:tc>
        <w:tc>
          <w:tcPr>
            <w:tcW w:w="0" w:type="auto"/>
            <w:vMerge/>
            <w:tcBorders>
              <w:top w:val="outset" w:sz="6" w:space="0" w:color="auto"/>
              <w:left w:val="outset" w:sz="6" w:space="0" w:color="auto"/>
              <w:bottom w:val="outset" w:sz="6" w:space="0" w:color="auto"/>
              <w:right w:val="outset" w:sz="6" w:space="0" w:color="auto"/>
            </w:tcBorders>
          </w:tcPr>
          <w:p w:rsidR="004556D2" w:rsidRPr="004008FE" w:rsidRDefault="004556D2" w:rsidP="00B53FD2">
            <w:pPr>
              <w:jc w:val="both"/>
              <w:rPr>
                <w:rFonts w:eastAsia="SimSun"/>
                <w:szCs w:val="22"/>
                <w:lang w:eastAsia="zh-CN"/>
              </w:rPr>
            </w:pPr>
          </w:p>
        </w:tc>
      </w:tr>
      <w:tr w:rsidR="004556D2" w:rsidRPr="004008FE">
        <w:trPr>
          <w:tblCellSpacing w:w="0" w:type="dxa"/>
        </w:trPr>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lastRenderedPageBreak/>
              <w:t>20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0.6</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0.9</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1.2</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1.8</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mL/hr</w:t>
            </w:r>
          </w:p>
        </w:tc>
      </w:tr>
      <w:tr w:rsidR="004556D2" w:rsidRPr="004008FE">
        <w:trPr>
          <w:tblCellSpacing w:w="0" w:type="dxa"/>
        </w:trPr>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70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2.1</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3.2</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4.2</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6.3</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mL/hr</w:t>
            </w:r>
          </w:p>
        </w:tc>
      </w:tr>
      <w:tr w:rsidR="004556D2" w:rsidRPr="004008FE">
        <w:trPr>
          <w:tblCellSpacing w:w="0" w:type="dxa"/>
        </w:trPr>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100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3.0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4.5</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6.0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9.0</w:t>
            </w:r>
          </w:p>
        </w:tc>
        <w:tc>
          <w:tcPr>
            <w:tcW w:w="800" w:type="pct"/>
            <w:tcBorders>
              <w:top w:val="outset" w:sz="6" w:space="0" w:color="auto"/>
              <w:left w:val="outset" w:sz="6" w:space="0" w:color="auto"/>
              <w:bottom w:val="outset" w:sz="6" w:space="0" w:color="auto"/>
              <w:right w:val="outset" w:sz="6" w:space="0" w:color="auto"/>
            </w:tcBorders>
          </w:tcPr>
          <w:p w:rsidR="004556D2" w:rsidRPr="004008FE" w:rsidRDefault="004556D2" w:rsidP="00B53FD2">
            <w:pPr>
              <w:spacing w:before="100" w:beforeAutospacing="1" w:after="75"/>
              <w:jc w:val="both"/>
              <w:rPr>
                <w:rFonts w:eastAsia="SimSun"/>
                <w:szCs w:val="22"/>
                <w:lang w:eastAsia="zh-CN"/>
              </w:rPr>
            </w:pPr>
            <w:r w:rsidRPr="004008FE">
              <w:rPr>
                <w:rFonts w:eastAsia="SimSun"/>
                <w:szCs w:val="22"/>
                <w:lang w:eastAsia="zh-CN"/>
              </w:rPr>
              <w:t>mL/hr</w:t>
            </w:r>
          </w:p>
        </w:tc>
      </w:tr>
    </w:tbl>
    <w:p w:rsidR="004556D2" w:rsidRPr="004008FE" w:rsidRDefault="004556D2" w:rsidP="004556D2">
      <w:pPr>
        <w:widowControl/>
        <w:autoSpaceDE w:val="0"/>
        <w:autoSpaceDN w:val="0"/>
        <w:adjustRightInd w:val="0"/>
        <w:rPr>
          <w:szCs w:val="22"/>
          <w:lang w:eastAsia="el-GR"/>
        </w:rPr>
      </w:pPr>
    </w:p>
    <w:p w:rsidR="00E63311" w:rsidRPr="004008FE" w:rsidRDefault="00A358B4" w:rsidP="00A358B4">
      <w:pPr>
        <w:widowControl/>
        <w:autoSpaceDE w:val="0"/>
        <w:autoSpaceDN w:val="0"/>
        <w:adjustRightInd w:val="0"/>
        <w:rPr>
          <w:szCs w:val="22"/>
          <w:lang w:eastAsia="el-GR"/>
        </w:rPr>
      </w:pPr>
      <w:r w:rsidRPr="004008FE">
        <w:rPr>
          <w:szCs w:val="22"/>
          <w:lang w:eastAsia="el-GR"/>
        </w:rPr>
        <w:t xml:space="preserve">H σταθερή και συνεχής έγχυση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δεν σχετίζεται με προοδευτική αύξηση ή μείωση του νευρομυϊκού αποκλεισμού. </w:t>
      </w:r>
    </w:p>
    <w:p w:rsidR="00E63311" w:rsidRPr="004008FE" w:rsidRDefault="00E63311" w:rsidP="00A358B4">
      <w:pPr>
        <w:widowControl/>
        <w:autoSpaceDE w:val="0"/>
        <w:autoSpaceDN w:val="0"/>
        <w:adjustRightInd w:val="0"/>
        <w:rPr>
          <w:szCs w:val="22"/>
          <w:lang w:eastAsia="el-GR"/>
        </w:rPr>
      </w:pPr>
    </w:p>
    <w:p w:rsidR="00A358B4" w:rsidRPr="004008FE" w:rsidRDefault="00A358B4" w:rsidP="00A358B4">
      <w:pPr>
        <w:widowControl/>
        <w:autoSpaceDE w:val="0"/>
        <w:autoSpaceDN w:val="0"/>
        <w:adjustRightInd w:val="0"/>
        <w:rPr>
          <w:szCs w:val="22"/>
          <w:lang w:eastAsia="el-GR"/>
        </w:rPr>
      </w:pPr>
      <w:r w:rsidRPr="004008FE">
        <w:rPr>
          <w:szCs w:val="22"/>
          <w:lang w:eastAsia="el-GR"/>
        </w:rPr>
        <w:t xml:space="preserve">Μετά τη διακοπή της έγχυσης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η αυτόματη ανάνηψη από το νευρομυϊκό αποκλεισμό γίνεται με ρυθμό παρόμοιο με εκείνο που παρατηρείται μετά τη χορήγηση μιας bolus ενδοφλέβιας ένεσης </w:t>
      </w:r>
      <w:r w:rsidR="00F0531B" w:rsidRPr="004008FE">
        <w:rPr>
          <w:szCs w:val="22"/>
          <w:lang w:val="en-US" w:eastAsia="el-GR"/>
        </w:rPr>
        <w:t>CISATRAL</w:t>
      </w:r>
      <w:r w:rsidR="00F0531B" w:rsidRPr="004008FE" w:rsidDel="00F0531B">
        <w:rPr>
          <w:szCs w:val="22"/>
        </w:rPr>
        <w:t xml:space="preserve"> </w:t>
      </w:r>
      <w:r w:rsidRPr="004008FE">
        <w:rPr>
          <w:szCs w:val="22"/>
          <w:lang w:eastAsia="el-GR"/>
        </w:rPr>
        <w:t>.</w:t>
      </w:r>
    </w:p>
    <w:p w:rsidR="00C02DCE" w:rsidRPr="004008FE" w:rsidRDefault="00C02DCE" w:rsidP="00A358B4">
      <w:pPr>
        <w:widowControl/>
        <w:autoSpaceDE w:val="0"/>
        <w:autoSpaceDN w:val="0"/>
        <w:adjustRightInd w:val="0"/>
        <w:rPr>
          <w:szCs w:val="22"/>
          <w:lang w:eastAsia="el-GR"/>
        </w:rPr>
      </w:pPr>
    </w:p>
    <w:p w:rsidR="00C02DCE" w:rsidRPr="004008FE" w:rsidRDefault="00C02DCE" w:rsidP="00C02DCE">
      <w:pPr>
        <w:widowControl/>
        <w:autoSpaceDE w:val="0"/>
        <w:autoSpaceDN w:val="0"/>
        <w:adjustRightInd w:val="0"/>
        <w:rPr>
          <w:b/>
          <w:bCs/>
          <w:szCs w:val="22"/>
          <w:lang w:eastAsia="el-GR"/>
        </w:rPr>
      </w:pPr>
      <w:r w:rsidRPr="004008FE">
        <w:rPr>
          <w:b/>
          <w:bCs/>
          <w:szCs w:val="22"/>
          <w:lang w:eastAsia="el-GR"/>
        </w:rPr>
        <w:t>Δοσολογία σε νεογνά (ηλικίας κάτω του 1 μηνός)</w:t>
      </w:r>
    </w:p>
    <w:p w:rsidR="00C02DCE" w:rsidRPr="004008FE" w:rsidRDefault="00C02DCE" w:rsidP="00C02DCE">
      <w:pPr>
        <w:widowControl/>
        <w:autoSpaceDE w:val="0"/>
        <w:autoSpaceDN w:val="0"/>
        <w:adjustRightInd w:val="0"/>
        <w:rPr>
          <w:b/>
          <w:bCs/>
          <w:szCs w:val="22"/>
          <w:lang w:eastAsia="el-GR"/>
        </w:rPr>
      </w:pPr>
    </w:p>
    <w:p w:rsidR="00C02DCE" w:rsidRPr="004008FE" w:rsidRDefault="00C02DCE" w:rsidP="00C02DCE">
      <w:pPr>
        <w:widowControl/>
        <w:autoSpaceDE w:val="0"/>
        <w:autoSpaceDN w:val="0"/>
        <w:adjustRightInd w:val="0"/>
        <w:rPr>
          <w:szCs w:val="22"/>
          <w:lang w:eastAsia="el-GR"/>
        </w:rPr>
      </w:pPr>
      <w:r w:rsidRPr="004008FE">
        <w:rPr>
          <w:szCs w:val="22"/>
          <w:lang w:eastAsia="el-GR"/>
        </w:rPr>
        <w:t xml:space="preserve">Η χορήγηση του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στα νεογνά δεν προτείνεται καθώς δεν έχει μελετηθεί σε</w:t>
      </w:r>
    </w:p>
    <w:p w:rsidR="00C02DCE" w:rsidRPr="004008FE" w:rsidRDefault="00C02DCE" w:rsidP="00C02DCE">
      <w:pPr>
        <w:widowControl/>
        <w:autoSpaceDE w:val="0"/>
        <w:autoSpaceDN w:val="0"/>
        <w:adjustRightInd w:val="0"/>
        <w:rPr>
          <w:szCs w:val="22"/>
          <w:lang w:eastAsia="el-GR"/>
        </w:rPr>
      </w:pPr>
      <w:r w:rsidRPr="004008FE">
        <w:rPr>
          <w:szCs w:val="22"/>
          <w:lang w:eastAsia="el-GR"/>
        </w:rPr>
        <w:t>αυτό τον πληθυσμό ασθενών.</w:t>
      </w:r>
    </w:p>
    <w:p w:rsidR="00C02DCE" w:rsidRPr="004008FE" w:rsidRDefault="00C02DCE" w:rsidP="00A358B4">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b/>
          <w:bCs/>
          <w:szCs w:val="22"/>
          <w:lang w:eastAsia="el-GR"/>
        </w:rPr>
      </w:pPr>
      <w:r w:rsidRPr="004008FE">
        <w:rPr>
          <w:b/>
          <w:bCs/>
          <w:szCs w:val="22"/>
          <w:lang w:eastAsia="el-GR"/>
        </w:rPr>
        <w:t>Δοσολογία σε ηλικιωμένους</w:t>
      </w:r>
    </w:p>
    <w:p w:rsidR="00B53FD2" w:rsidRPr="004008FE" w:rsidRDefault="00B53FD2" w:rsidP="00B53FD2">
      <w:pPr>
        <w:widowControl/>
        <w:autoSpaceDE w:val="0"/>
        <w:autoSpaceDN w:val="0"/>
        <w:adjustRightInd w:val="0"/>
        <w:rPr>
          <w:b/>
          <w:bCs/>
          <w:szCs w:val="22"/>
          <w:lang w:eastAsia="el-GR"/>
        </w:rPr>
      </w:pPr>
    </w:p>
    <w:p w:rsidR="00B53FD2" w:rsidRPr="004008FE" w:rsidRDefault="00B53FD2" w:rsidP="00B53FD2">
      <w:pPr>
        <w:widowControl/>
        <w:autoSpaceDE w:val="0"/>
        <w:autoSpaceDN w:val="0"/>
        <w:adjustRightInd w:val="0"/>
        <w:rPr>
          <w:szCs w:val="22"/>
          <w:lang w:eastAsia="el-GR"/>
        </w:rPr>
      </w:pPr>
      <w:r w:rsidRPr="004008FE">
        <w:rPr>
          <w:szCs w:val="22"/>
          <w:lang w:eastAsia="el-GR"/>
        </w:rPr>
        <w:t>Οι ηλικιωμένοι ασθενείς δεν χρειάζονται διαφοροποίηση στη δοσολογία. Σ΄αυτούς</w:t>
      </w:r>
      <w:r w:rsidR="0009257E" w:rsidRPr="004008FE">
        <w:rPr>
          <w:szCs w:val="22"/>
          <w:lang w:eastAsia="el-GR"/>
        </w:rPr>
        <w:t xml:space="preserve"> </w:t>
      </w:r>
      <w:r w:rsidRPr="004008FE">
        <w:rPr>
          <w:szCs w:val="22"/>
          <w:lang w:eastAsia="el-GR"/>
        </w:rPr>
        <w:t xml:space="preserve">τους ασθενείς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έχει παρόμοιο φαρμακοδυναμικό προφίλ με αυτό που έχει</w:t>
      </w:r>
      <w:r w:rsidR="0009257E" w:rsidRPr="004008FE">
        <w:rPr>
          <w:szCs w:val="22"/>
          <w:lang w:eastAsia="el-GR"/>
        </w:rPr>
        <w:t xml:space="preserve"> </w:t>
      </w:r>
      <w:r w:rsidRPr="004008FE">
        <w:rPr>
          <w:szCs w:val="22"/>
          <w:lang w:eastAsia="el-GR"/>
        </w:rPr>
        <w:t>παρατηρηθεί σε νέους ενήλικες ασθενείς, όμως όπως και με άλλους παράγοντες</w:t>
      </w:r>
      <w:r w:rsidR="0009257E" w:rsidRPr="004008FE">
        <w:rPr>
          <w:szCs w:val="22"/>
          <w:lang w:eastAsia="el-GR"/>
        </w:rPr>
        <w:t xml:space="preserve"> </w:t>
      </w:r>
      <w:r w:rsidRPr="004008FE">
        <w:rPr>
          <w:szCs w:val="22"/>
          <w:lang w:eastAsia="el-GR"/>
        </w:rPr>
        <w:t>νευρομυϊκού αποκλεισμού, μπορεί να υπάρξει ελαφρά βραδύτερη έναρξη δράσης.</w:t>
      </w:r>
    </w:p>
    <w:p w:rsidR="00B53FD2" w:rsidRPr="004008FE" w:rsidRDefault="00B53FD2" w:rsidP="00B53FD2">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b/>
          <w:bCs/>
          <w:szCs w:val="22"/>
          <w:lang w:eastAsia="el-GR"/>
        </w:rPr>
      </w:pPr>
      <w:r w:rsidRPr="004008FE">
        <w:rPr>
          <w:b/>
          <w:bCs/>
          <w:szCs w:val="22"/>
          <w:lang w:eastAsia="el-GR"/>
        </w:rPr>
        <w:t>Δοσολογία σε ασθενείς με ελαττωμένη νεφρική λειτουργία</w:t>
      </w:r>
    </w:p>
    <w:p w:rsidR="00B53FD2" w:rsidRPr="004008FE" w:rsidRDefault="00B53FD2" w:rsidP="00B53FD2">
      <w:pPr>
        <w:widowControl/>
        <w:autoSpaceDE w:val="0"/>
        <w:autoSpaceDN w:val="0"/>
        <w:adjustRightInd w:val="0"/>
        <w:rPr>
          <w:b/>
          <w:bCs/>
          <w:szCs w:val="22"/>
          <w:lang w:eastAsia="el-GR"/>
        </w:rPr>
      </w:pPr>
    </w:p>
    <w:p w:rsidR="0009257E" w:rsidRPr="004008FE" w:rsidRDefault="00B53FD2" w:rsidP="00B53FD2">
      <w:pPr>
        <w:widowControl/>
        <w:autoSpaceDE w:val="0"/>
        <w:autoSpaceDN w:val="0"/>
        <w:adjustRightInd w:val="0"/>
        <w:rPr>
          <w:szCs w:val="22"/>
          <w:lang w:eastAsia="el-GR"/>
        </w:rPr>
      </w:pPr>
      <w:r w:rsidRPr="004008FE">
        <w:rPr>
          <w:szCs w:val="22"/>
          <w:lang w:eastAsia="el-GR"/>
        </w:rPr>
        <w:t xml:space="preserve">Δεν χρειάζεται αλλαγή στη δοσολογία σε ασθενείς με νεφρική ανεπάρκεια. </w:t>
      </w:r>
    </w:p>
    <w:p w:rsidR="00741026" w:rsidRPr="004008FE" w:rsidRDefault="00741026" w:rsidP="00B53FD2">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szCs w:val="22"/>
          <w:lang w:eastAsia="el-GR"/>
        </w:rPr>
      </w:pPr>
      <w:r w:rsidRPr="004008FE">
        <w:rPr>
          <w:szCs w:val="22"/>
          <w:lang w:eastAsia="el-GR"/>
        </w:rPr>
        <w:t>Σ΄</w:t>
      </w:r>
      <w:r w:rsidR="0009257E" w:rsidRPr="004008FE">
        <w:rPr>
          <w:szCs w:val="22"/>
          <w:lang w:eastAsia="el-GR"/>
        </w:rPr>
        <w:t xml:space="preserve">αυτούς </w:t>
      </w:r>
      <w:r w:rsidRPr="004008FE">
        <w:rPr>
          <w:szCs w:val="22"/>
          <w:lang w:eastAsia="el-GR"/>
        </w:rPr>
        <w:t xml:space="preserve">τους ασθενείς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έχει παρόμοιο φαρμακοδυναμικό προφίλ με αυτό που έχει</w:t>
      </w:r>
      <w:r w:rsidR="0009257E" w:rsidRPr="004008FE">
        <w:rPr>
          <w:szCs w:val="22"/>
          <w:lang w:eastAsia="el-GR"/>
        </w:rPr>
        <w:t xml:space="preserve"> </w:t>
      </w:r>
      <w:r w:rsidRPr="004008FE">
        <w:rPr>
          <w:szCs w:val="22"/>
          <w:lang w:eastAsia="el-GR"/>
        </w:rPr>
        <w:t xml:space="preserve">παρατηρηθεί σε </w:t>
      </w:r>
      <w:r w:rsidR="00C63BE2" w:rsidRPr="004008FE">
        <w:rPr>
          <w:szCs w:val="22"/>
          <w:lang w:eastAsia="el-GR"/>
        </w:rPr>
        <w:t>ν</w:t>
      </w:r>
      <w:r w:rsidR="003376F0" w:rsidRPr="004008FE">
        <w:rPr>
          <w:szCs w:val="22"/>
          <w:lang w:eastAsia="el-GR"/>
        </w:rPr>
        <w:t>έους</w:t>
      </w:r>
      <w:r w:rsidR="00C63BE2" w:rsidRPr="004008FE">
        <w:rPr>
          <w:szCs w:val="22"/>
          <w:lang w:eastAsia="el-GR"/>
        </w:rPr>
        <w:t xml:space="preserve"> ενήλικες </w:t>
      </w:r>
      <w:r w:rsidRPr="004008FE">
        <w:rPr>
          <w:szCs w:val="22"/>
          <w:lang w:eastAsia="el-GR"/>
        </w:rPr>
        <w:t>ασθενείς με κανονική νεφρική λειτουργία, όμως μπορεί να υπάρξει</w:t>
      </w:r>
      <w:r w:rsidR="0009257E" w:rsidRPr="004008FE">
        <w:rPr>
          <w:szCs w:val="22"/>
          <w:lang w:eastAsia="el-GR"/>
        </w:rPr>
        <w:t xml:space="preserve"> </w:t>
      </w:r>
      <w:r w:rsidRPr="004008FE">
        <w:rPr>
          <w:szCs w:val="22"/>
          <w:lang w:eastAsia="el-GR"/>
        </w:rPr>
        <w:t>ελαφρά βραδύτερη έναρξη δράσης.</w:t>
      </w:r>
    </w:p>
    <w:p w:rsidR="00B53FD2" w:rsidRPr="004008FE" w:rsidRDefault="00B53FD2" w:rsidP="00B53FD2">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b/>
          <w:bCs/>
          <w:szCs w:val="22"/>
          <w:lang w:eastAsia="el-GR"/>
        </w:rPr>
      </w:pPr>
      <w:r w:rsidRPr="004008FE">
        <w:rPr>
          <w:b/>
          <w:bCs/>
          <w:szCs w:val="22"/>
          <w:lang w:eastAsia="el-GR"/>
        </w:rPr>
        <w:t>Δοσολογία σε ασθενείς με ελαττωμένη ηπατική λειτουργία</w:t>
      </w:r>
    </w:p>
    <w:p w:rsidR="00B53FD2" w:rsidRPr="004008FE" w:rsidRDefault="00B53FD2" w:rsidP="00B53FD2">
      <w:pPr>
        <w:widowControl/>
        <w:autoSpaceDE w:val="0"/>
        <w:autoSpaceDN w:val="0"/>
        <w:adjustRightInd w:val="0"/>
        <w:rPr>
          <w:b/>
          <w:bCs/>
          <w:szCs w:val="22"/>
          <w:lang w:eastAsia="el-GR"/>
        </w:rPr>
      </w:pPr>
    </w:p>
    <w:p w:rsidR="00741026" w:rsidRPr="004008FE" w:rsidRDefault="00B53FD2" w:rsidP="00B53FD2">
      <w:pPr>
        <w:widowControl/>
        <w:autoSpaceDE w:val="0"/>
        <w:autoSpaceDN w:val="0"/>
        <w:adjustRightInd w:val="0"/>
        <w:rPr>
          <w:szCs w:val="22"/>
          <w:lang w:eastAsia="el-GR"/>
        </w:rPr>
      </w:pPr>
      <w:r w:rsidRPr="004008FE">
        <w:rPr>
          <w:szCs w:val="22"/>
          <w:lang w:eastAsia="el-GR"/>
        </w:rPr>
        <w:t>Δεν χρειάζεται αλλαγή στη δοσολογία σε ασθενείς μ</w:t>
      </w:r>
      <w:r w:rsidR="0009257E" w:rsidRPr="004008FE">
        <w:rPr>
          <w:szCs w:val="22"/>
          <w:lang w:eastAsia="el-GR"/>
        </w:rPr>
        <w:t xml:space="preserve">ε τελικού σταδίου ηπατική νόσο. </w:t>
      </w:r>
    </w:p>
    <w:p w:rsidR="00C63BE2" w:rsidRPr="004008FE" w:rsidRDefault="00C63BE2" w:rsidP="00B53FD2">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szCs w:val="22"/>
          <w:lang w:eastAsia="el-GR"/>
        </w:rPr>
      </w:pPr>
      <w:r w:rsidRPr="004008FE">
        <w:rPr>
          <w:szCs w:val="22"/>
          <w:lang w:eastAsia="el-GR"/>
        </w:rPr>
        <w:t xml:space="preserve">Σ΄αυτούς τους ασθενείς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έχει παρόμοιο φαρμακοδυναμικό προφίλ με αυτό</w:t>
      </w:r>
      <w:r w:rsidR="0009257E" w:rsidRPr="004008FE">
        <w:rPr>
          <w:szCs w:val="22"/>
          <w:lang w:eastAsia="el-GR"/>
        </w:rPr>
        <w:t xml:space="preserve"> που έχει </w:t>
      </w:r>
      <w:r w:rsidRPr="004008FE">
        <w:rPr>
          <w:szCs w:val="22"/>
          <w:lang w:eastAsia="el-GR"/>
        </w:rPr>
        <w:t>παρατηρηθεί σε ασθενείς με κανονική ηπατική λειτουργία, όμως μπορεί να</w:t>
      </w:r>
      <w:r w:rsidR="0009257E" w:rsidRPr="004008FE">
        <w:rPr>
          <w:szCs w:val="22"/>
          <w:lang w:eastAsia="el-GR"/>
        </w:rPr>
        <w:t xml:space="preserve"> </w:t>
      </w:r>
      <w:r w:rsidRPr="004008FE">
        <w:rPr>
          <w:szCs w:val="22"/>
          <w:lang w:eastAsia="el-GR"/>
        </w:rPr>
        <w:t>υπάρξει ελαφρά γρηγορότερη έναρξη δράσης.</w:t>
      </w:r>
    </w:p>
    <w:p w:rsidR="00B53FD2" w:rsidRPr="004008FE" w:rsidRDefault="00B53FD2" w:rsidP="00B53FD2">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b/>
          <w:bCs/>
          <w:szCs w:val="22"/>
          <w:lang w:eastAsia="el-GR"/>
        </w:rPr>
      </w:pPr>
      <w:r w:rsidRPr="004008FE">
        <w:rPr>
          <w:b/>
          <w:bCs/>
          <w:szCs w:val="22"/>
          <w:lang w:eastAsia="el-GR"/>
        </w:rPr>
        <w:t>Δοσολογία σε ασθενείς με καρδιοαγγειακές παθήσεις</w:t>
      </w:r>
    </w:p>
    <w:p w:rsidR="00B53FD2" w:rsidRPr="004008FE" w:rsidRDefault="00B53FD2" w:rsidP="00B53FD2">
      <w:pPr>
        <w:widowControl/>
        <w:autoSpaceDE w:val="0"/>
        <w:autoSpaceDN w:val="0"/>
        <w:adjustRightInd w:val="0"/>
        <w:rPr>
          <w:b/>
          <w:bCs/>
          <w:szCs w:val="22"/>
          <w:lang w:eastAsia="el-GR"/>
        </w:rPr>
      </w:pPr>
    </w:p>
    <w:p w:rsidR="00B53FD2" w:rsidRPr="004008FE" w:rsidRDefault="00B53FD2" w:rsidP="00B53FD2">
      <w:pPr>
        <w:widowControl/>
        <w:autoSpaceDE w:val="0"/>
        <w:autoSpaceDN w:val="0"/>
        <w:adjustRightInd w:val="0"/>
        <w:rPr>
          <w:szCs w:val="22"/>
          <w:lang w:eastAsia="el-GR"/>
        </w:rPr>
      </w:pPr>
      <w:r w:rsidRPr="004008FE">
        <w:rPr>
          <w:szCs w:val="22"/>
          <w:lang w:eastAsia="el-GR"/>
        </w:rPr>
        <w:t>Όταν χορηγείται ως ταχεία ενδοφλέβια εφάπαξ δόση (διάρκειας 5 έως 10 sec) σε</w:t>
      </w:r>
      <w:r w:rsidR="0009257E" w:rsidRPr="004008FE">
        <w:rPr>
          <w:szCs w:val="22"/>
          <w:lang w:eastAsia="el-GR"/>
        </w:rPr>
        <w:t xml:space="preserve"> </w:t>
      </w:r>
      <w:r w:rsidRPr="004008FE">
        <w:rPr>
          <w:szCs w:val="22"/>
          <w:lang w:eastAsia="el-GR"/>
        </w:rPr>
        <w:t>ενήλικες ασθενείς με σοβαρή καρδιοαγγειακή νόσο (New York Heart Association</w:t>
      </w:r>
      <w:r w:rsidR="0009257E" w:rsidRPr="004008FE">
        <w:rPr>
          <w:szCs w:val="22"/>
          <w:lang w:eastAsia="el-GR"/>
        </w:rPr>
        <w:t xml:space="preserve"> </w:t>
      </w:r>
      <w:r w:rsidRPr="004008FE">
        <w:rPr>
          <w:szCs w:val="22"/>
          <w:lang w:eastAsia="el-GR"/>
        </w:rPr>
        <w:t>Class I-III), κατά τη διάρκεια εγχείρησης στεφανιαίας παράκαμψης (CABG), το</w:t>
      </w:r>
      <w:r w:rsidR="0009257E" w:rsidRPr="004008FE">
        <w:rPr>
          <w:szCs w:val="22"/>
          <w:lang w:eastAsia="el-GR"/>
        </w:rPr>
        <w:t xml:space="preserve"> </w:t>
      </w:r>
      <w:r w:rsidR="00F0531B" w:rsidRPr="004008FE">
        <w:rPr>
          <w:szCs w:val="22"/>
          <w:lang w:val="en-US" w:eastAsia="el-GR"/>
        </w:rPr>
        <w:t>CISATRAL</w:t>
      </w:r>
      <w:r w:rsidR="00F0531B" w:rsidRPr="004008FE" w:rsidDel="00F0531B">
        <w:rPr>
          <w:szCs w:val="22"/>
        </w:rPr>
        <w:t xml:space="preserve"> </w:t>
      </w:r>
      <w:r w:rsidR="0009257E" w:rsidRPr="004008FE">
        <w:rPr>
          <w:szCs w:val="22"/>
          <w:lang w:eastAsia="el-GR"/>
        </w:rPr>
        <w:t xml:space="preserve"> </w:t>
      </w:r>
      <w:r w:rsidRPr="004008FE">
        <w:rPr>
          <w:szCs w:val="22"/>
          <w:lang w:eastAsia="el-GR"/>
        </w:rPr>
        <w:t>δεν έχει συσχετισθεί με κλινικά σημαντικές καρδιοαγγειακές επιδράσεις σε</w:t>
      </w:r>
      <w:r w:rsidR="0009257E" w:rsidRPr="004008FE">
        <w:rPr>
          <w:szCs w:val="22"/>
          <w:lang w:eastAsia="el-GR"/>
        </w:rPr>
        <w:t xml:space="preserve"> </w:t>
      </w:r>
      <w:r w:rsidRPr="004008FE">
        <w:rPr>
          <w:szCs w:val="22"/>
          <w:lang w:eastAsia="el-GR"/>
        </w:rPr>
        <w:t>κάθε δόση που μελετήθηκε (έως και συμπεριλαμβανομένων των 0,4 mg/kg (8 x</w:t>
      </w:r>
      <w:r w:rsidR="0009257E" w:rsidRPr="004008FE">
        <w:rPr>
          <w:szCs w:val="22"/>
          <w:lang w:eastAsia="el-GR"/>
        </w:rPr>
        <w:t xml:space="preserve"> </w:t>
      </w:r>
      <w:r w:rsidRPr="004008FE">
        <w:rPr>
          <w:szCs w:val="22"/>
          <w:lang w:eastAsia="el-GR"/>
        </w:rPr>
        <w:t>E</w:t>
      </w:r>
      <w:r w:rsidR="00EB33AC" w:rsidRPr="004008FE">
        <w:rPr>
          <w:szCs w:val="22"/>
          <w:lang w:eastAsia="el-GR"/>
        </w:rPr>
        <w:t>D</w:t>
      </w:r>
      <w:r w:rsidR="00EB33AC" w:rsidRPr="004008FE">
        <w:rPr>
          <w:szCs w:val="22"/>
          <w:vertAlign w:val="subscript"/>
          <w:lang w:eastAsia="el-GR"/>
        </w:rPr>
        <w:t>95</w:t>
      </w:r>
      <w:r w:rsidR="00EB33AC" w:rsidRPr="004008FE">
        <w:rPr>
          <w:szCs w:val="22"/>
          <w:lang w:eastAsia="el-GR"/>
        </w:rPr>
        <w:t>). Ό</w:t>
      </w:r>
      <w:r w:rsidRPr="004008FE">
        <w:rPr>
          <w:szCs w:val="22"/>
          <w:lang w:eastAsia="el-GR"/>
        </w:rPr>
        <w:t>μως, υπάρχουν περιορισμένα δεδομένα για δόσεις μεγαλύτερες των 0,3</w:t>
      </w:r>
      <w:r w:rsidR="0009257E" w:rsidRPr="004008FE">
        <w:rPr>
          <w:szCs w:val="22"/>
          <w:lang w:eastAsia="el-GR"/>
        </w:rPr>
        <w:t xml:space="preserve"> </w:t>
      </w:r>
      <w:r w:rsidRPr="004008FE">
        <w:rPr>
          <w:szCs w:val="22"/>
          <w:lang w:eastAsia="el-GR"/>
        </w:rPr>
        <w:t>mg/kg σε αυτή την κατηγορία ασθενών.</w:t>
      </w:r>
    </w:p>
    <w:p w:rsidR="0009257E" w:rsidRPr="004008FE" w:rsidRDefault="0009257E" w:rsidP="00B53FD2">
      <w:pPr>
        <w:widowControl/>
        <w:autoSpaceDE w:val="0"/>
        <w:autoSpaceDN w:val="0"/>
        <w:adjustRightInd w:val="0"/>
        <w:rPr>
          <w:szCs w:val="22"/>
          <w:lang w:eastAsia="el-GR"/>
        </w:rPr>
      </w:pPr>
    </w:p>
    <w:p w:rsidR="00B53FD2" w:rsidRPr="004008FE" w:rsidRDefault="00B53FD2" w:rsidP="00B53FD2">
      <w:pPr>
        <w:widowControl/>
        <w:autoSpaceDE w:val="0"/>
        <w:autoSpaceDN w:val="0"/>
        <w:adjustRightInd w:val="0"/>
        <w:rPr>
          <w:szCs w:val="22"/>
          <w:lang w:eastAsia="el-GR"/>
        </w:rPr>
      </w:pPr>
      <w:r w:rsidRPr="004008FE">
        <w:rPr>
          <w:szCs w:val="22"/>
          <w:lang w:eastAsia="el-GR"/>
        </w:rPr>
        <w:t xml:space="preserve">Το </w:t>
      </w:r>
      <w:r w:rsidR="00F0531B" w:rsidRPr="004008FE">
        <w:rPr>
          <w:szCs w:val="22"/>
          <w:lang w:val="en-US" w:eastAsia="el-GR"/>
        </w:rPr>
        <w:t>CISATRAL</w:t>
      </w:r>
      <w:r w:rsidR="00F0531B" w:rsidRPr="004008FE" w:rsidDel="00F0531B">
        <w:rPr>
          <w:szCs w:val="22"/>
        </w:rPr>
        <w:t xml:space="preserve"> </w:t>
      </w:r>
      <w:r w:rsidR="0009257E" w:rsidRPr="004008FE">
        <w:rPr>
          <w:szCs w:val="22"/>
          <w:lang w:eastAsia="el-GR"/>
        </w:rPr>
        <w:t xml:space="preserve"> </w:t>
      </w:r>
      <w:r w:rsidRPr="004008FE">
        <w:rPr>
          <w:szCs w:val="22"/>
          <w:lang w:eastAsia="el-GR"/>
        </w:rPr>
        <w:t>δεν έχει μελετηθεί σε παιδιά που υποβάλλονται σε εγχείρηση καρδιάς.</w:t>
      </w:r>
    </w:p>
    <w:p w:rsidR="00A11714" w:rsidRPr="004008FE" w:rsidRDefault="00A11714" w:rsidP="00B53FD2">
      <w:pPr>
        <w:widowControl/>
        <w:autoSpaceDE w:val="0"/>
        <w:autoSpaceDN w:val="0"/>
        <w:adjustRightInd w:val="0"/>
        <w:rPr>
          <w:szCs w:val="22"/>
          <w:lang w:eastAsia="el-GR"/>
        </w:rPr>
      </w:pPr>
    </w:p>
    <w:p w:rsidR="00A11714" w:rsidRPr="004008FE" w:rsidRDefault="00A11714" w:rsidP="00A11714">
      <w:pPr>
        <w:widowControl/>
        <w:autoSpaceDE w:val="0"/>
        <w:autoSpaceDN w:val="0"/>
        <w:adjustRightInd w:val="0"/>
        <w:rPr>
          <w:szCs w:val="22"/>
          <w:lang w:eastAsia="el-GR"/>
        </w:rPr>
      </w:pPr>
      <w:r w:rsidRPr="004008FE">
        <w:rPr>
          <w:b/>
          <w:bCs/>
          <w:szCs w:val="22"/>
          <w:lang w:eastAsia="el-GR"/>
        </w:rPr>
        <w:lastRenderedPageBreak/>
        <w:t>Δοσολογία σε ασθενείς Μονάδων Εντατικής Θεραπείας (ΜΕΘ)</w:t>
      </w:r>
    </w:p>
    <w:p w:rsidR="00A11714" w:rsidRPr="004008FE" w:rsidRDefault="00A11714" w:rsidP="00B53FD2">
      <w:pPr>
        <w:widowControl/>
        <w:autoSpaceDE w:val="0"/>
        <w:autoSpaceDN w:val="0"/>
        <w:adjustRightInd w:val="0"/>
        <w:rPr>
          <w:szCs w:val="22"/>
          <w:lang w:eastAsia="el-GR"/>
        </w:rPr>
      </w:pPr>
    </w:p>
    <w:p w:rsidR="00A11714" w:rsidRPr="004008FE" w:rsidRDefault="00A11714" w:rsidP="00A11714">
      <w:pPr>
        <w:widowControl/>
        <w:autoSpaceDE w:val="0"/>
        <w:autoSpaceDN w:val="0"/>
        <w:adjustRightInd w:val="0"/>
        <w:rPr>
          <w:szCs w:val="22"/>
          <w:lang w:eastAsia="el-GR"/>
        </w:rPr>
      </w:pPr>
      <w:r w:rsidRPr="004008FE">
        <w:rPr>
          <w:szCs w:val="22"/>
          <w:lang w:eastAsia="el-GR"/>
        </w:rPr>
        <w:t xml:space="preserve">Το </w:t>
      </w:r>
      <w:r w:rsidR="00F0531B" w:rsidRPr="004008FE">
        <w:rPr>
          <w:szCs w:val="22"/>
          <w:lang w:val="en-US" w:eastAsia="el-GR"/>
        </w:rPr>
        <w:t>CISATRAL</w:t>
      </w:r>
      <w:r w:rsidR="00F25F3A" w:rsidRPr="004008FE">
        <w:rPr>
          <w:szCs w:val="22"/>
        </w:rPr>
        <w:t xml:space="preserve"> </w:t>
      </w:r>
      <w:r w:rsidRPr="004008FE">
        <w:rPr>
          <w:szCs w:val="22"/>
          <w:lang w:eastAsia="el-GR"/>
        </w:rPr>
        <w:t>μπορεί να χορηγηθεί είτε με ενδοφλέβια (bolus) ένεση είτε και με έγχυση</w:t>
      </w:r>
    </w:p>
    <w:p w:rsidR="00A11714" w:rsidRPr="004008FE" w:rsidRDefault="00A11714" w:rsidP="00A11714">
      <w:pPr>
        <w:widowControl/>
        <w:autoSpaceDE w:val="0"/>
        <w:autoSpaceDN w:val="0"/>
        <w:adjustRightInd w:val="0"/>
        <w:rPr>
          <w:szCs w:val="22"/>
          <w:lang w:eastAsia="el-GR"/>
        </w:rPr>
      </w:pPr>
      <w:r w:rsidRPr="004008FE">
        <w:rPr>
          <w:szCs w:val="22"/>
          <w:lang w:eastAsia="el-GR"/>
        </w:rPr>
        <w:t>σε ενήλικες ασθενείς στις ΜΕΘ.</w:t>
      </w:r>
    </w:p>
    <w:p w:rsidR="00A11714" w:rsidRPr="004008FE" w:rsidRDefault="00A11714" w:rsidP="00A11714">
      <w:pPr>
        <w:widowControl/>
        <w:autoSpaceDE w:val="0"/>
        <w:autoSpaceDN w:val="0"/>
        <w:adjustRightInd w:val="0"/>
        <w:rPr>
          <w:szCs w:val="22"/>
          <w:lang w:eastAsia="el-GR"/>
        </w:rPr>
      </w:pPr>
    </w:p>
    <w:p w:rsidR="00A11714" w:rsidRPr="004008FE" w:rsidRDefault="00EB33AC" w:rsidP="00A11714">
      <w:pPr>
        <w:widowControl/>
        <w:autoSpaceDE w:val="0"/>
        <w:autoSpaceDN w:val="0"/>
        <w:adjustRightInd w:val="0"/>
        <w:rPr>
          <w:szCs w:val="22"/>
          <w:lang w:eastAsia="el-GR"/>
        </w:rPr>
      </w:pPr>
      <w:r w:rsidRPr="004008FE">
        <w:rPr>
          <w:szCs w:val="22"/>
          <w:lang w:eastAsia="el-GR"/>
        </w:rPr>
        <w:t>Έ</w:t>
      </w:r>
      <w:r w:rsidR="00A11714" w:rsidRPr="004008FE">
        <w:rPr>
          <w:szCs w:val="22"/>
          <w:lang w:eastAsia="el-GR"/>
        </w:rPr>
        <w:t xml:space="preserve">νας αρχικός ρυθμός έγχυσης του </w:t>
      </w:r>
      <w:r w:rsidR="00F0531B" w:rsidRPr="004008FE">
        <w:rPr>
          <w:szCs w:val="22"/>
          <w:lang w:val="en-US" w:eastAsia="el-GR"/>
        </w:rPr>
        <w:t>CISATRAL</w:t>
      </w:r>
      <w:r w:rsidR="00F0531B" w:rsidRPr="004008FE" w:rsidDel="00F0531B">
        <w:rPr>
          <w:szCs w:val="22"/>
        </w:rPr>
        <w:t xml:space="preserve"> </w:t>
      </w:r>
      <w:r w:rsidR="00A11714" w:rsidRPr="004008FE">
        <w:rPr>
          <w:szCs w:val="22"/>
          <w:lang w:eastAsia="el-GR"/>
        </w:rPr>
        <w:t xml:space="preserve"> 3 μg/kg/min βάρους σώματος</w:t>
      </w:r>
      <w:r w:rsidR="00C13846" w:rsidRPr="004008FE">
        <w:rPr>
          <w:szCs w:val="22"/>
          <w:lang w:eastAsia="el-GR"/>
        </w:rPr>
        <w:t xml:space="preserve"> (0.18 </w:t>
      </w:r>
      <w:r w:rsidR="00A11714" w:rsidRPr="004008FE">
        <w:rPr>
          <w:szCs w:val="22"/>
          <w:lang w:eastAsia="el-GR"/>
        </w:rPr>
        <w:t>mg/kg/hr) είναι προτεινόμενος για ενήλικες ασθενείς σε ΜΕΘ. Μπορεί να υπάρχει</w:t>
      </w:r>
      <w:r w:rsidR="00C13846" w:rsidRPr="004008FE">
        <w:rPr>
          <w:szCs w:val="22"/>
          <w:lang w:eastAsia="el-GR"/>
        </w:rPr>
        <w:t xml:space="preserve"> </w:t>
      </w:r>
      <w:r w:rsidR="00A11714" w:rsidRPr="004008FE">
        <w:rPr>
          <w:szCs w:val="22"/>
          <w:lang w:eastAsia="el-GR"/>
        </w:rPr>
        <w:t>μεγάλη</w:t>
      </w:r>
      <w:r w:rsidR="00C13846" w:rsidRPr="004008FE">
        <w:rPr>
          <w:szCs w:val="22"/>
          <w:lang w:eastAsia="el-GR"/>
        </w:rPr>
        <w:t xml:space="preserve"> </w:t>
      </w:r>
      <w:r w:rsidR="00A11714" w:rsidRPr="004008FE">
        <w:rPr>
          <w:szCs w:val="22"/>
          <w:lang w:eastAsia="el-GR"/>
        </w:rPr>
        <w:t>διαφοροποίηση στη δοσολογία από ασθενή σε ασθενή στη ΜΕΘ, και μπορεί</w:t>
      </w:r>
      <w:r w:rsidR="00C13846" w:rsidRPr="004008FE">
        <w:rPr>
          <w:szCs w:val="22"/>
          <w:lang w:eastAsia="el-GR"/>
        </w:rPr>
        <w:t xml:space="preserve"> </w:t>
      </w:r>
      <w:r w:rsidR="00A11714" w:rsidRPr="004008FE">
        <w:rPr>
          <w:szCs w:val="22"/>
          <w:lang w:eastAsia="el-GR"/>
        </w:rPr>
        <w:t>η δοσολογία να αυξάνει ή να ελαττώνεται με το χρόνο. Σε κλινικές μελέτες ο μέσος</w:t>
      </w:r>
      <w:r w:rsidR="00C13846" w:rsidRPr="004008FE">
        <w:rPr>
          <w:szCs w:val="22"/>
          <w:lang w:eastAsia="el-GR"/>
        </w:rPr>
        <w:t xml:space="preserve"> </w:t>
      </w:r>
      <w:r w:rsidR="00A11714" w:rsidRPr="004008FE">
        <w:rPr>
          <w:szCs w:val="22"/>
          <w:lang w:eastAsia="el-GR"/>
        </w:rPr>
        <w:t xml:space="preserve">ρυθμός έγχυσης ήταν 3 μg/kg/min βάρους σώματος </w:t>
      </w:r>
      <w:r w:rsidR="00741026" w:rsidRPr="004008FE">
        <w:rPr>
          <w:szCs w:val="22"/>
          <w:lang w:eastAsia="el-GR"/>
        </w:rPr>
        <w:t>[</w:t>
      </w:r>
      <w:r w:rsidR="00A11714" w:rsidRPr="004008FE">
        <w:rPr>
          <w:szCs w:val="22"/>
          <w:lang w:eastAsia="el-GR"/>
        </w:rPr>
        <w:t>0,5 μg/kg</w:t>
      </w:r>
      <w:r w:rsidR="00741026" w:rsidRPr="004008FE">
        <w:rPr>
          <w:szCs w:val="22"/>
          <w:lang w:eastAsia="el-GR"/>
        </w:rPr>
        <w:t>(βάρος σώματος)</w:t>
      </w:r>
      <w:r w:rsidR="00A11714" w:rsidRPr="004008FE">
        <w:rPr>
          <w:szCs w:val="22"/>
          <w:lang w:eastAsia="el-GR"/>
        </w:rPr>
        <w:t>/min έως 10,2 μg/kg</w:t>
      </w:r>
      <w:r w:rsidR="00741026" w:rsidRPr="004008FE">
        <w:rPr>
          <w:szCs w:val="22"/>
          <w:lang w:eastAsia="el-GR"/>
        </w:rPr>
        <w:t>(βάρος σώματος)</w:t>
      </w:r>
      <w:r w:rsidR="00A11714" w:rsidRPr="004008FE">
        <w:rPr>
          <w:szCs w:val="22"/>
          <w:lang w:eastAsia="el-GR"/>
        </w:rPr>
        <w:t>/min (0,03 mg/kg /hr έως 0,6 mg/kg/hr)</w:t>
      </w:r>
      <w:r w:rsidR="00741026" w:rsidRPr="004008FE">
        <w:rPr>
          <w:szCs w:val="22"/>
          <w:lang w:eastAsia="el-GR"/>
        </w:rPr>
        <w:t>]</w:t>
      </w:r>
      <w:r w:rsidR="00A11714" w:rsidRPr="004008FE">
        <w:rPr>
          <w:szCs w:val="22"/>
          <w:lang w:eastAsia="el-GR"/>
        </w:rPr>
        <w:t>.</w:t>
      </w:r>
    </w:p>
    <w:p w:rsidR="00A11714" w:rsidRPr="004008FE" w:rsidRDefault="00A11714" w:rsidP="00A11714">
      <w:pPr>
        <w:widowControl/>
        <w:autoSpaceDE w:val="0"/>
        <w:autoSpaceDN w:val="0"/>
        <w:adjustRightInd w:val="0"/>
        <w:rPr>
          <w:szCs w:val="22"/>
          <w:lang w:eastAsia="el-GR"/>
        </w:rPr>
      </w:pPr>
    </w:p>
    <w:p w:rsidR="00A11714" w:rsidRPr="004008FE" w:rsidRDefault="00A11714" w:rsidP="00A11714">
      <w:pPr>
        <w:widowControl/>
        <w:autoSpaceDE w:val="0"/>
        <w:autoSpaceDN w:val="0"/>
        <w:adjustRightInd w:val="0"/>
        <w:rPr>
          <w:szCs w:val="22"/>
          <w:lang w:eastAsia="el-GR"/>
        </w:rPr>
      </w:pPr>
      <w:r w:rsidRPr="004008FE">
        <w:rPr>
          <w:szCs w:val="22"/>
          <w:lang w:eastAsia="el-GR"/>
        </w:rPr>
        <w:t>Η διάμεση τιμή του χρόνου για πλήρη αυτόματη ανάνηψη μετά από μακροχρόνια</w:t>
      </w:r>
      <w:r w:rsidR="00C13846" w:rsidRPr="004008FE">
        <w:rPr>
          <w:szCs w:val="22"/>
          <w:lang w:eastAsia="el-GR"/>
        </w:rPr>
        <w:t xml:space="preserve"> </w:t>
      </w:r>
      <w:r w:rsidRPr="004008FE">
        <w:rPr>
          <w:szCs w:val="22"/>
          <w:lang w:eastAsia="el-GR"/>
        </w:rPr>
        <w:t xml:space="preserve">έγχυση (έως 6 ημέρες) με </w:t>
      </w:r>
      <w:r w:rsidR="00741026" w:rsidRPr="004008FE">
        <w:rPr>
          <w:szCs w:val="22"/>
          <w:lang w:val="en-GB"/>
        </w:rPr>
        <w:t>CISATRAL</w:t>
      </w:r>
      <w:r w:rsidRPr="004008FE">
        <w:rPr>
          <w:szCs w:val="22"/>
          <w:lang w:eastAsia="el-GR"/>
        </w:rPr>
        <w:t xml:space="preserve"> σε ασθενείς των ΜΕΘ είναι περίπου 50 min.</w:t>
      </w:r>
    </w:p>
    <w:p w:rsidR="00A11714" w:rsidRPr="004008FE" w:rsidRDefault="00A11714" w:rsidP="00A11714">
      <w:pPr>
        <w:widowControl/>
        <w:autoSpaceDE w:val="0"/>
        <w:autoSpaceDN w:val="0"/>
        <w:adjustRightInd w:val="0"/>
        <w:rPr>
          <w:szCs w:val="22"/>
          <w:lang w:eastAsia="el-GR"/>
        </w:rPr>
      </w:pPr>
    </w:p>
    <w:p w:rsidR="00A11714" w:rsidRPr="004008FE" w:rsidRDefault="00A11714" w:rsidP="00A11714">
      <w:pPr>
        <w:widowControl/>
        <w:autoSpaceDE w:val="0"/>
        <w:autoSpaceDN w:val="0"/>
        <w:adjustRightInd w:val="0"/>
        <w:rPr>
          <w:szCs w:val="22"/>
          <w:lang w:eastAsia="el-GR"/>
        </w:rPr>
      </w:pPr>
      <w:r w:rsidRPr="004008FE">
        <w:rPr>
          <w:szCs w:val="22"/>
          <w:lang w:eastAsia="el-GR"/>
        </w:rPr>
        <w:t xml:space="preserve">Ο τρόπος ανάνηψης μετά την έγχυση </w:t>
      </w:r>
      <w:r w:rsidR="00741026" w:rsidRPr="004008FE">
        <w:rPr>
          <w:szCs w:val="22"/>
          <w:lang w:val="en-GB"/>
        </w:rPr>
        <w:t>CISATRAL</w:t>
      </w:r>
      <w:r w:rsidRPr="004008FE">
        <w:rPr>
          <w:szCs w:val="22"/>
          <w:lang w:eastAsia="el-GR"/>
        </w:rPr>
        <w:t xml:space="preserve"> σε ασθενείς σε ΜΕΘ είναι ανεξάρτητος</w:t>
      </w:r>
    </w:p>
    <w:p w:rsidR="00A11714" w:rsidRPr="004008FE" w:rsidRDefault="00A11714" w:rsidP="00A11714">
      <w:pPr>
        <w:widowControl/>
        <w:autoSpaceDE w:val="0"/>
        <w:autoSpaceDN w:val="0"/>
        <w:adjustRightInd w:val="0"/>
        <w:rPr>
          <w:szCs w:val="22"/>
          <w:lang w:eastAsia="el-GR"/>
        </w:rPr>
      </w:pPr>
      <w:r w:rsidRPr="004008FE">
        <w:rPr>
          <w:szCs w:val="22"/>
          <w:lang w:eastAsia="el-GR"/>
        </w:rPr>
        <w:t>της διάρκειας έγχυσης.</w:t>
      </w:r>
    </w:p>
    <w:p w:rsidR="00496809" w:rsidRPr="004008FE" w:rsidRDefault="00496809">
      <w:pPr>
        <w:rPr>
          <w:szCs w:val="22"/>
        </w:rPr>
      </w:pPr>
    </w:p>
    <w:p w:rsidR="00496809" w:rsidRPr="004008FE" w:rsidRDefault="00496809">
      <w:pPr>
        <w:rPr>
          <w:szCs w:val="22"/>
        </w:rPr>
      </w:pPr>
      <w:r w:rsidRPr="004008FE">
        <w:rPr>
          <w:b/>
          <w:szCs w:val="22"/>
        </w:rPr>
        <w:t>4.3</w:t>
      </w:r>
      <w:r w:rsidRPr="004008FE">
        <w:rPr>
          <w:b/>
          <w:szCs w:val="22"/>
        </w:rPr>
        <w:tab/>
        <w:t>Αντενδείξεις</w:t>
      </w:r>
    </w:p>
    <w:p w:rsidR="00496809" w:rsidRPr="004008FE" w:rsidRDefault="00496809">
      <w:pPr>
        <w:rPr>
          <w:szCs w:val="22"/>
        </w:rPr>
      </w:pPr>
    </w:p>
    <w:p w:rsidR="00772BB8" w:rsidRPr="004008FE" w:rsidRDefault="00772BB8" w:rsidP="00772BB8">
      <w:pPr>
        <w:widowControl/>
        <w:autoSpaceDE w:val="0"/>
        <w:autoSpaceDN w:val="0"/>
        <w:adjustRightInd w:val="0"/>
        <w:rPr>
          <w:szCs w:val="22"/>
          <w:lang w:eastAsia="el-GR"/>
        </w:rPr>
      </w:pPr>
      <w:r w:rsidRPr="004008FE">
        <w:rPr>
          <w:szCs w:val="22"/>
          <w:lang w:eastAsia="el-GR"/>
        </w:rPr>
        <w:t xml:space="preserve">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αντενδείκνυται σε ασθενείς με γνωστή υπερευαισθησία στο cisatracurium, ατρακούριο</w:t>
      </w:r>
      <w:r w:rsidR="00741026" w:rsidRPr="004008FE">
        <w:rPr>
          <w:szCs w:val="22"/>
          <w:lang w:eastAsia="el-GR"/>
        </w:rPr>
        <w:t>(</w:t>
      </w:r>
      <w:r w:rsidR="00741026" w:rsidRPr="004008FE">
        <w:rPr>
          <w:szCs w:val="22"/>
          <w:lang w:val="en-US" w:eastAsia="el-GR"/>
        </w:rPr>
        <w:t>atracurium</w:t>
      </w:r>
      <w:r w:rsidR="00741026" w:rsidRPr="004008FE">
        <w:rPr>
          <w:szCs w:val="22"/>
          <w:lang w:eastAsia="el-GR"/>
        </w:rPr>
        <w:t xml:space="preserve">) </w:t>
      </w:r>
      <w:r w:rsidRPr="004008FE">
        <w:rPr>
          <w:szCs w:val="22"/>
          <w:lang w:eastAsia="el-GR"/>
        </w:rPr>
        <w:t xml:space="preserve"> </w:t>
      </w:r>
      <w:r w:rsidR="00F25F3A" w:rsidRPr="004008FE">
        <w:rPr>
          <w:szCs w:val="22"/>
          <w:lang w:eastAsia="el-GR"/>
        </w:rPr>
        <w:t>ή</w:t>
      </w:r>
      <w:r w:rsidRPr="004008FE">
        <w:rPr>
          <w:szCs w:val="22"/>
          <w:lang w:eastAsia="el-GR"/>
        </w:rPr>
        <w:t xml:space="preserve"> </w:t>
      </w:r>
      <w:r w:rsidR="00F25F3A" w:rsidRPr="004008FE">
        <w:rPr>
          <w:szCs w:val="22"/>
          <w:lang w:eastAsia="el-GR"/>
        </w:rPr>
        <w:t>βενζοσουλφονικό οξύ</w:t>
      </w:r>
      <w:r w:rsidR="00741026" w:rsidRPr="004008FE">
        <w:rPr>
          <w:szCs w:val="22"/>
          <w:lang w:eastAsia="el-GR"/>
        </w:rPr>
        <w:t xml:space="preserve"> (</w:t>
      </w:r>
      <w:r w:rsidR="00741026" w:rsidRPr="004008FE">
        <w:rPr>
          <w:szCs w:val="22"/>
          <w:lang w:val="en-US" w:eastAsia="el-GR"/>
        </w:rPr>
        <w:t>benzenesulphonic</w:t>
      </w:r>
      <w:r w:rsidR="00741026" w:rsidRPr="004008FE">
        <w:rPr>
          <w:szCs w:val="22"/>
          <w:lang w:eastAsia="el-GR"/>
        </w:rPr>
        <w:t xml:space="preserve"> </w:t>
      </w:r>
      <w:r w:rsidR="00741026" w:rsidRPr="004008FE">
        <w:rPr>
          <w:szCs w:val="22"/>
          <w:lang w:val="en-US" w:eastAsia="el-GR"/>
        </w:rPr>
        <w:t>acid</w:t>
      </w:r>
      <w:r w:rsidR="00741026" w:rsidRPr="004008FE">
        <w:rPr>
          <w:szCs w:val="22"/>
          <w:lang w:eastAsia="el-GR"/>
        </w:rPr>
        <w:t>)</w:t>
      </w:r>
      <w:r w:rsidRPr="004008FE">
        <w:rPr>
          <w:szCs w:val="22"/>
          <w:lang w:eastAsia="el-GR"/>
        </w:rPr>
        <w:t>.</w:t>
      </w:r>
    </w:p>
    <w:p w:rsidR="00772BB8" w:rsidRPr="004008FE" w:rsidRDefault="00772BB8" w:rsidP="00772BB8">
      <w:pPr>
        <w:widowControl/>
        <w:autoSpaceDE w:val="0"/>
        <w:autoSpaceDN w:val="0"/>
        <w:adjustRightInd w:val="0"/>
        <w:rPr>
          <w:szCs w:val="22"/>
          <w:lang w:eastAsia="el-GR"/>
        </w:rPr>
      </w:pPr>
    </w:p>
    <w:p w:rsidR="00496809" w:rsidRPr="004008FE" w:rsidRDefault="00496809" w:rsidP="005D3962">
      <w:pPr>
        <w:numPr>
          <w:ilvl w:val="1"/>
          <w:numId w:val="21"/>
        </w:numPr>
        <w:rPr>
          <w:b/>
          <w:szCs w:val="22"/>
        </w:rPr>
      </w:pPr>
      <w:r w:rsidRPr="004008FE">
        <w:rPr>
          <w:b/>
          <w:szCs w:val="22"/>
        </w:rPr>
        <w:t>Ειδικές προειδοποιήσεις και προφυλάξεις κατά τη χρήση</w:t>
      </w:r>
    </w:p>
    <w:p w:rsidR="005D3962" w:rsidRPr="004008FE" w:rsidRDefault="005D3962" w:rsidP="005D3962">
      <w:pPr>
        <w:rPr>
          <w:b/>
          <w:szCs w:val="22"/>
        </w:rPr>
      </w:pPr>
    </w:p>
    <w:p w:rsidR="005D3962" w:rsidRPr="004008FE" w:rsidRDefault="005D3962" w:rsidP="005D3962">
      <w:pPr>
        <w:widowControl/>
        <w:autoSpaceDE w:val="0"/>
        <w:autoSpaceDN w:val="0"/>
        <w:adjustRightInd w:val="0"/>
        <w:rPr>
          <w:b/>
          <w:bCs/>
          <w:szCs w:val="22"/>
          <w:lang w:eastAsia="el-GR"/>
        </w:rPr>
      </w:pPr>
      <w:r w:rsidRPr="004008FE">
        <w:rPr>
          <w:b/>
          <w:bCs/>
          <w:szCs w:val="22"/>
          <w:lang w:eastAsia="el-GR"/>
        </w:rPr>
        <w:t>Ειδικά στοιχεία του προϊόντος</w:t>
      </w:r>
    </w:p>
    <w:p w:rsidR="005D3962" w:rsidRPr="004008FE" w:rsidRDefault="005D3962" w:rsidP="005D3962">
      <w:pPr>
        <w:widowControl/>
        <w:autoSpaceDE w:val="0"/>
        <w:autoSpaceDN w:val="0"/>
        <w:adjustRightInd w:val="0"/>
        <w:rPr>
          <w:b/>
          <w:bCs/>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Το cisatracurium παραλύει του</w:t>
      </w:r>
      <w:r w:rsidR="00763510" w:rsidRPr="004008FE">
        <w:rPr>
          <w:szCs w:val="22"/>
          <w:lang w:eastAsia="el-GR"/>
        </w:rPr>
        <w:t>ς</w:t>
      </w:r>
      <w:r w:rsidRPr="004008FE">
        <w:rPr>
          <w:szCs w:val="22"/>
          <w:lang w:eastAsia="el-GR"/>
        </w:rPr>
        <w:t xml:space="preserve"> αναπνευστικούς μ</w:t>
      </w:r>
      <w:r w:rsidR="00D87585" w:rsidRPr="004008FE">
        <w:rPr>
          <w:szCs w:val="22"/>
          <w:lang w:eastAsia="el-GR"/>
        </w:rPr>
        <w:t xml:space="preserve">ύες όπως και άλλους σκελετικούς </w:t>
      </w:r>
      <w:r w:rsidR="006F4843" w:rsidRPr="004008FE">
        <w:rPr>
          <w:szCs w:val="22"/>
          <w:lang w:eastAsia="el-GR"/>
        </w:rPr>
        <w:t>μύες, αλλά δεν έχει καμ</w:t>
      </w:r>
      <w:r w:rsidRPr="004008FE">
        <w:rPr>
          <w:szCs w:val="22"/>
          <w:lang w:eastAsia="el-GR"/>
        </w:rPr>
        <w:t>ία γνωστή επίδραση στο επίπεδο συνείδησης ή στον ουδό</w:t>
      </w:r>
      <w:r w:rsidR="00D87585" w:rsidRPr="004008FE">
        <w:rPr>
          <w:szCs w:val="22"/>
          <w:lang w:eastAsia="el-GR"/>
        </w:rPr>
        <w:t xml:space="preserve"> </w:t>
      </w:r>
      <w:r w:rsidRPr="004008FE">
        <w:rPr>
          <w:szCs w:val="22"/>
          <w:lang w:eastAsia="el-GR"/>
        </w:rPr>
        <w:t xml:space="preserve">του πόνου. Το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πρέπει να χορηγείται μόνο με κατάλληλη επίβλεψη από</w:t>
      </w:r>
      <w:r w:rsidR="00D87585" w:rsidRPr="004008FE">
        <w:rPr>
          <w:szCs w:val="22"/>
          <w:lang w:eastAsia="el-GR"/>
        </w:rPr>
        <w:t xml:space="preserve"> </w:t>
      </w:r>
      <w:r w:rsidRPr="004008FE">
        <w:rPr>
          <w:szCs w:val="22"/>
          <w:lang w:eastAsia="el-GR"/>
        </w:rPr>
        <w:t>αναισθησιολόγους ή άλλους κλινικούς ιατρούς, οι οποίοι γνωρίζουν τη χρήση και τη</w:t>
      </w:r>
      <w:r w:rsidR="00D87585" w:rsidRPr="004008FE">
        <w:rPr>
          <w:szCs w:val="22"/>
          <w:lang w:eastAsia="el-GR"/>
        </w:rPr>
        <w:t xml:space="preserve"> </w:t>
      </w:r>
      <w:r w:rsidRPr="004008FE">
        <w:rPr>
          <w:szCs w:val="22"/>
          <w:lang w:eastAsia="el-GR"/>
        </w:rPr>
        <w:t>δ</w:t>
      </w:r>
      <w:r w:rsidR="00D87585" w:rsidRPr="004008FE">
        <w:rPr>
          <w:szCs w:val="22"/>
          <w:lang w:eastAsia="el-GR"/>
        </w:rPr>
        <w:t xml:space="preserve">ράση των παραγόντων νευρομυϊκού </w:t>
      </w:r>
      <w:r w:rsidRPr="004008FE">
        <w:rPr>
          <w:szCs w:val="22"/>
          <w:lang w:eastAsia="el-GR"/>
        </w:rPr>
        <w:t>αποκλεισμού. Πρέπει να υπάρχουν επίσης τα</w:t>
      </w:r>
      <w:r w:rsidR="00D87585" w:rsidRPr="004008FE">
        <w:rPr>
          <w:szCs w:val="22"/>
          <w:lang w:eastAsia="el-GR"/>
        </w:rPr>
        <w:t xml:space="preserve"> </w:t>
      </w:r>
      <w:r w:rsidRPr="004008FE">
        <w:rPr>
          <w:szCs w:val="22"/>
          <w:lang w:eastAsia="el-GR"/>
        </w:rPr>
        <w:t>μέσα για διασωλήνωση της τραχείας, τεχνητή αναπνοή και κατάλληλη αρτηριακή</w:t>
      </w:r>
      <w:r w:rsidR="00D87585" w:rsidRPr="004008FE">
        <w:rPr>
          <w:szCs w:val="22"/>
          <w:lang w:eastAsia="el-GR"/>
        </w:rPr>
        <w:t xml:space="preserve"> </w:t>
      </w:r>
      <w:r w:rsidRPr="004008FE">
        <w:rPr>
          <w:szCs w:val="22"/>
          <w:lang w:eastAsia="el-GR"/>
        </w:rPr>
        <w:t>οξυγόνωση.</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 xml:space="preserve">Χρειάζεται προσοχή στη χορήγηση </w:t>
      </w:r>
      <w:r w:rsidR="00F0531B" w:rsidRPr="004008FE">
        <w:rPr>
          <w:szCs w:val="22"/>
          <w:lang w:val="en-US" w:eastAsia="el-GR"/>
        </w:rPr>
        <w:t>CISATRAL</w:t>
      </w:r>
      <w:r w:rsidR="00F0531B" w:rsidRPr="004008FE" w:rsidDel="00F0531B">
        <w:rPr>
          <w:szCs w:val="22"/>
        </w:rPr>
        <w:t xml:space="preserve"> </w:t>
      </w:r>
      <w:r w:rsidRPr="004008FE">
        <w:rPr>
          <w:szCs w:val="22"/>
          <w:lang w:eastAsia="el-GR"/>
        </w:rPr>
        <w:t xml:space="preserve"> σε ασθενείς με γνωστή υπερευαισθησία</w:t>
      </w:r>
    </w:p>
    <w:p w:rsidR="00D750D0" w:rsidRPr="004008FE" w:rsidRDefault="00D750D0" w:rsidP="00D750D0">
      <w:pPr>
        <w:widowControl/>
        <w:autoSpaceDE w:val="0"/>
        <w:autoSpaceDN w:val="0"/>
        <w:adjustRightInd w:val="0"/>
        <w:rPr>
          <w:szCs w:val="22"/>
          <w:lang w:eastAsia="el-GR"/>
        </w:rPr>
      </w:pPr>
      <w:r w:rsidRPr="004008FE">
        <w:rPr>
          <w:szCs w:val="22"/>
          <w:lang w:eastAsia="el-GR"/>
        </w:rPr>
        <w:t>σε άλλους παράγοντες, νευρομυϊκού αποκλεισμ</w:t>
      </w:r>
      <w:r w:rsidR="00D87585" w:rsidRPr="004008FE">
        <w:rPr>
          <w:szCs w:val="22"/>
          <w:lang w:eastAsia="el-GR"/>
        </w:rPr>
        <w:t xml:space="preserve">ού, επειδή έχει αναφερθεί υψηλή συχνότητα </w:t>
      </w:r>
      <w:r w:rsidRPr="004008FE">
        <w:rPr>
          <w:szCs w:val="22"/>
          <w:lang w:eastAsia="el-GR"/>
        </w:rPr>
        <w:t>διασταυρούμενης υπερευαισθησίας (μεγαλύτερη από 50%), μεταξύ των</w:t>
      </w:r>
      <w:r w:rsidR="00D87585" w:rsidRPr="004008FE">
        <w:rPr>
          <w:szCs w:val="22"/>
          <w:lang w:eastAsia="el-GR"/>
        </w:rPr>
        <w:t xml:space="preserve"> </w:t>
      </w:r>
      <w:r w:rsidRPr="004008FE">
        <w:rPr>
          <w:szCs w:val="22"/>
          <w:lang w:eastAsia="el-GR"/>
        </w:rPr>
        <w:t>παραγόντων νευρομυϊκού αποκλεισμού (βλέπε παράγραφο 4.3).</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Το cisatracurium δεν έχει σημαντικές παρασυμπα</w:t>
      </w:r>
      <w:r w:rsidR="00D87585" w:rsidRPr="004008FE">
        <w:rPr>
          <w:szCs w:val="22"/>
          <w:lang w:eastAsia="el-GR"/>
        </w:rPr>
        <w:t xml:space="preserve">θητικολυτικές ή γαγγλιοπληγικές </w:t>
      </w:r>
      <w:r w:rsidRPr="004008FE">
        <w:rPr>
          <w:szCs w:val="22"/>
          <w:lang w:eastAsia="el-GR"/>
        </w:rPr>
        <w:t xml:space="preserve">ιδιότητες. Επομένως </w:t>
      </w:r>
      <w:r w:rsidR="00797E79" w:rsidRPr="004008FE">
        <w:rPr>
          <w:szCs w:val="22"/>
          <w:lang w:eastAsia="el-GR"/>
        </w:rPr>
        <w:t xml:space="preserve">το </w:t>
      </w:r>
      <w:r w:rsidR="00797E79" w:rsidRPr="004008FE">
        <w:rPr>
          <w:szCs w:val="22"/>
          <w:lang w:val="en-US" w:eastAsia="el-GR"/>
        </w:rPr>
        <w:t>CISATRAL</w:t>
      </w:r>
      <w:r w:rsidR="00797E79" w:rsidRPr="004008FE">
        <w:rPr>
          <w:szCs w:val="22"/>
          <w:lang w:eastAsia="el-GR"/>
        </w:rPr>
        <w:t xml:space="preserve"> </w:t>
      </w:r>
      <w:r w:rsidRPr="004008FE">
        <w:rPr>
          <w:szCs w:val="22"/>
          <w:lang w:eastAsia="el-GR"/>
        </w:rPr>
        <w:t>δεν έχει κλινικά σημαντική επίδραση επί της καρδιακής</w:t>
      </w:r>
      <w:r w:rsidR="00D87585" w:rsidRPr="004008FE">
        <w:rPr>
          <w:szCs w:val="22"/>
          <w:lang w:eastAsia="el-GR"/>
        </w:rPr>
        <w:t xml:space="preserve"> </w:t>
      </w:r>
      <w:r w:rsidR="00F57898" w:rsidRPr="004008FE">
        <w:rPr>
          <w:szCs w:val="22"/>
          <w:lang w:eastAsia="el-GR"/>
        </w:rPr>
        <w:t>συχνότητα</w:t>
      </w:r>
      <w:r w:rsidRPr="004008FE">
        <w:rPr>
          <w:szCs w:val="22"/>
          <w:lang w:eastAsia="el-GR"/>
        </w:rPr>
        <w:t>ς και δεν αναμένεται να αντισταθμίσει τη βραδυκαρδία που προκαλείται</w:t>
      </w:r>
      <w:r w:rsidR="00D87585" w:rsidRPr="004008FE">
        <w:rPr>
          <w:szCs w:val="22"/>
          <w:lang w:eastAsia="el-GR"/>
        </w:rPr>
        <w:t xml:space="preserve"> </w:t>
      </w:r>
      <w:r w:rsidRPr="004008FE">
        <w:rPr>
          <w:szCs w:val="22"/>
          <w:lang w:eastAsia="el-GR"/>
        </w:rPr>
        <w:t>κατά τη διάρκεια της επέμβασης από πολλούς παράγοντες αναισθησίας ή από τη</w:t>
      </w:r>
      <w:r w:rsidR="00D87585" w:rsidRPr="004008FE">
        <w:rPr>
          <w:szCs w:val="22"/>
          <w:lang w:eastAsia="el-GR"/>
        </w:rPr>
        <w:t xml:space="preserve"> </w:t>
      </w:r>
      <w:r w:rsidRPr="004008FE">
        <w:rPr>
          <w:szCs w:val="22"/>
          <w:lang w:eastAsia="el-GR"/>
        </w:rPr>
        <w:t>διέγερση του παρασυμπαθητικού συστήματος.</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Ασθενείς με μυασθένεια gravis και άλλες μορφές νευρο</w:t>
      </w:r>
      <w:r w:rsidR="00D87585" w:rsidRPr="004008FE">
        <w:rPr>
          <w:szCs w:val="22"/>
          <w:lang w:eastAsia="el-GR"/>
        </w:rPr>
        <w:t xml:space="preserve">μυϊκών ασθενειών έχουν </w:t>
      </w:r>
      <w:r w:rsidRPr="004008FE">
        <w:rPr>
          <w:szCs w:val="22"/>
          <w:lang w:eastAsia="el-GR"/>
        </w:rPr>
        <w:t>δείξει πολύ αυξημένη ευαισθησία σε μη-αποπολωτικούς παράγοντες νευρομυϊκού</w:t>
      </w:r>
      <w:r w:rsidR="00D87585" w:rsidRPr="004008FE">
        <w:rPr>
          <w:szCs w:val="22"/>
          <w:lang w:eastAsia="el-GR"/>
        </w:rPr>
        <w:t xml:space="preserve"> </w:t>
      </w:r>
      <w:r w:rsidRPr="004008FE">
        <w:rPr>
          <w:szCs w:val="22"/>
          <w:lang w:eastAsia="el-GR"/>
        </w:rPr>
        <w:t xml:space="preserve">αποκλεισμού. Μια αρχική δόση όχι περισσότερο από 0,02 mg/kg </w:t>
      </w:r>
      <w:r w:rsidR="009712D7" w:rsidRPr="004008FE">
        <w:rPr>
          <w:szCs w:val="22"/>
          <w:lang w:val="en-US" w:eastAsia="el-GR"/>
        </w:rPr>
        <w:t>CISATRAL</w:t>
      </w:r>
      <w:r w:rsidR="009712D7" w:rsidRPr="004008FE" w:rsidDel="009712D7">
        <w:rPr>
          <w:szCs w:val="22"/>
        </w:rPr>
        <w:t xml:space="preserve"> </w:t>
      </w:r>
      <w:r w:rsidRPr="004008FE">
        <w:rPr>
          <w:szCs w:val="22"/>
          <w:lang w:eastAsia="el-GR"/>
        </w:rPr>
        <w:t>,</w:t>
      </w:r>
      <w:r w:rsidR="00D87585" w:rsidRPr="004008FE">
        <w:rPr>
          <w:szCs w:val="22"/>
          <w:lang w:eastAsia="el-GR"/>
        </w:rPr>
        <w:t xml:space="preserve"> </w:t>
      </w:r>
      <w:r w:rsidRPr="004008FE">
        <w:rPr>
          <w:szCs w:val="22"/>
          <w:lang w:eastAsia="el-GR"/>
        </w:rPr>
        <w:t>προτείνεται γι΄αυτούς τους ασθενείς.</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Σοβαρές διαταραχές της οξεοβασικής ισορροπίας ή/και των ηλεκτρολυτών του ορρού</w:t>
      </w:r>
      <w:r w:rsidR="00D87585" w:rsidRPr="004008FE">
        <w:rPr>
          <w:szCs w:val="22"/>
          <w:lang w:eastAsia="el-GR"/>
        </w:rPr>
        <w:t xml:space="preserve"> </w:t>
      </w:r>
      <w:r w:rsidRPr="004008FE">
        <w:rPr>
          <w:szCs w:val="22"/>
          <w:lang w:eastAsia="el-GR"/>
        </w:rPr>
        <w:t>μπορεί να αυξήσουν ή να μειώσουν την ευαισθησία των ασθενών σε παράγοντες</w:t>
      </w:r>
      <w:r w:rsidR="00D87585" w:rsidRPr="004008FE">
        <w:rPr>
          <w:szCs w:val="22"/>
          <w:lang w:eastAsia="el-GR"/>
        </w:rPr>
        <w:t xml:space="preserve"> </w:t>
      </w:r>
      <w:r w:rsidRPr="004008FE">
        <w:rPr>
          <w:szCs w:val="22"/>
          <w:lang w:eastAsia="el-GR"/>
        </w:rPr>
        <w:t>νευρομυϊκού αποκλεισμού.</w:t>
      </w:r>
    </w:p>
    <w:p w:rsidR="00D750D0" w:rsidRPr="004008FE" w:rsidRDefault="00D750D0" w:rsidP="00D750D0">
      <w:pPr>
        <w:widowControl/>
        <w:autoSpaceDE w:val="0"/>
        <w:autoSpaceDN w:val="0"/>
        <w:adjustRightInd w:val="0"/>
        <w:rPr>
          <w:szCs w:val="22"/>
          <w:lang w:eastAsia="el-GR"/>
        </w:rPr>
      </w:pPr>
    </w:p>
    <w:p w:rsidR="003642D0" w:rsidRPr="004008FE" w:rsidRDefault="00D750D0" w:rsidP="00D750D0">
      <w:pPr>
        <w:widowControl/>
        <w:autoSpaceDE w:val="0"/>
        <w:autoSpaceDN w:val="0"/>
        <w:adjustRightInd w:val="0"/>
        <w:rPr>
          <w:szCs w:val="22"/>
          <w:lang w:eastAsia="el-GR"/>
        </w:rPr>
      </w:pPr>
      <w:r w:rsidRPr="004008FE">
        <w:rPr>
          <w:szCs w:val="22"/>
          <w:lang w:eastAsia="el-GR"/>
        </w:rPr>
        <w:t xml:space="preserve">Δεν υπάρχουν πληροφορίες για τη χρήση του </w:t>
      </w:r>
      <w:r w:rsidR="009712D7" w:rsidRPr="004008FE">
        <w:rPr>
          <w:szCs w:val="22"/>
          <w:lang w:val="en-US" w:eastAsia="el-GR"/>
        </w:rPr>
        <w:t>CISATRAL</w:t>
      </w:r>
      <w:r w:rsidR="009712D7" w:rsidRPr="004008FE" w:rsidDel="009712D7">
        <w:rPr>
          <w:szCs w:val="22"/>
        </w:rPr>
        <w:t xml:space="preserve"> </w:t>
      </w:r>
      <w:r w:rsidR="00D87585" w:rsidRPr="004008FE">
        <w:rPr>
          <w:szCs w:val="22"/>
          <w:lang w:eastAsia="el-GR"/>
        </w:rPr>
        <w:t xml:space="preserve"> σε νεογνά ηλικίας μικρότερης </w:t>
      </w:r>
      <w:r w:rsidRPr="004008FE">
        <w:rPr>
          <w:szCs w:val="22"/>
          <w:lang w:eastAsia="el-GR"/>
        </w:rPr>
        <w:t>του 1 μηνός καθώς δεν έχει δοκιμασθεί σε αυτό τον πληθυσμό ασθενών.</w:t>
      </w:r>
      <w:r w:rsidR="00D87585" w:rsidRPr="004008FE">
        <w:rPr>
          <w:szCs w:val="22"/>
          <w:lang w:eastAsia="el-GR"/>
        </w:rPr>
        <w:t xml:space="preserve"> </w:t>
      </w:r>
    </w:p>
    <w:p w:rsidR="003642D0" w:rsidRPr="004008FE" w:rsidRDefault="003642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Το cisatracurium δεν έχει μελετηθεί σε ασθενείς με κακοήθη υπερθερμία. Μελέτες σε</w:t>
      </w:r>
      <w:r w:rsidR="00D87585" w:rsidRPr="004008FE">
        <w:rPr>
          <w:szCs w:val="22"/>
          <w:lang w:eastAsia="el-GR"/>
        </w:rPr>
        <w:t xml:space="preserve"> </w:t>
      </w:r>
      <w:r w:rsidRPr="004008FE">
        <w:rPr>
          <w:szCs w:val="22"/>
          <w:lang w:eastAsia="el-GR"/>
        </w:rPr>
        <w:t>χοίρους ευαίσθητους σε κακοήθη υπερθερμία έδειξαν ότι το cisatracurium δεν</w:t>
      </w:r>
      <w:r w:rsidR="00D87585" w:rsidRPr="004008FE">
        <w:rPr>
          <w:szCs w:val="22"/>
          <w:lang w:eastAsia="el-GR"/>
        </w:rPr>
        <w:t xml:space="preserve"> </w:t>
      </w:r>
      <w:r w:rsidRPr="004008FE">
        <w:rPr>
          <w:szCs w:val="22"/>
          <w:lang w:eastAsia="el-GR"/>
        </w:rPr>
        <w:t>πυροδοτεί αυτό το σύνδρομο.</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lastRenderedPageBreak/>
        <w:t xml:space="preserve">Δεν υπάρχουν μελέτες χορήγησης cisatracurium </w:t>
      </w:r>
      <w:r w:rsidR="00D87585" w:rsidRPr="004008FE">
        <w:rPr>
          <w:szCs w:val="22"/>
          <w:lang w:eastAsia="el-GR"/>
        </w:rPr>
        <w:t xml:space="preserve">σε ασθενείς που υποβάλλονται σε </w:t>
      </w:r>
      <w:r w:rsidRPr="004008FE">
        <w:rPr>
          <w:szCs w:val="22"/>
          <w:lang w:eastAsia="el-GR"/>
        </w:rPr>
        <w:t>εγχείρηση με προκλητή υποθερμία (25°-28°C). Όπως και με άλλους παράγοντες</w:t>
      </w:r>
      <w:r w:rsidR="00D87585" w:rsidRPr="004008FE">
        <w:rPr>
          <w:szCs w:val="22"/>
          <w:lang w:eastAsia="el-GR"/>
        </w:rPr>
        <w:t xml:space="preserve"> </w:t>
      </w:r>
      <w:r w:rsidRPr="004008FE">
        <w:rPr>
          <w:szCs w:val="22"/>
          <w:lang w:eastAsia="el-GR"/>
        </w:rPr>
        <w:t>νευρομυϊκού αποκλεισμού, ο ρυθμός έγχυσης που απαιτείται για να διατηρηθεί η</w:t>
      </w:r>
      <w:r w:rsidR="00D87585" w:rsidRPr="004008FE">
        <w:rPr>
          <w:szCs w:val="22"/>
          <w:lang w:eastAsia="el-GR"/>
        </w:rPr>
        <w:t xml:space="preserve"> </w:t>
      </w:r>
      <w:r w:rsidRPr="004008FE">
        <w:rPr>
          <w:szCs w:val="22"/>
          <w:lang w:eastAsia="el-GR"/>
        </w:rPr>
        <w:t>κατάλληλη χειρουργική χάλαση, κάτω από αυτές τις συνθήκες, μπορεί να είναι</w:t>
      </w:r>
      <w:r w:rsidR="00D87585" w:rsidRPr="004008FE">
        <w:rPr>
          <w:szCs w:val="22"/>
          <w:lang w:eastAsia="el-GR"/>
        </w:rPr>
        <w:t xml:space="preserve"> </w:t>
      </w:r>
      <w:r w:rsidRPr="004008FE">
        <w:rPr>
          <w:szCs w:val="22"/>
          <w:lang w:eastAsia="el-GR"/>
        </w:rPr>
        <w:t>σημαντικά μειωμένος.</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Το cisatracurium δεν έχει μελετηθεί σε ασθενείς</w:t>
      </w:r>
      <w:r w:rsidR="00D87585" w:rsidRPr="004008FE">
        <w:rPr>
          <w:szCs w:val="22"/>
          <w:lang w:eastAsia="el-GR"/>
        </w:rPr>
        <w:t xml:space="preserve"> με εγκαύματα. Όμως όπως και με </w:t>
      </w:r>
      <w:r w:rsidRPr="004008FE">
        <w:rPr>
          <w:szCs w:val="22"/>
          <w:lang w:eastAsia="el-GR"/>
        </w:rPr>
        <w:t>άλλους μη-αποπολωτικούς παράγοντες νευρομυϊκού αποκλεισμού, υπάρχει</w:t>
      </w:r>
      <w:r w:rsidR="00D87585" w:rsidRPr="004008FE">
        <w:rPr>
          <w:szCs w:val="22"/>
          <w:lang w:eastAsia="el-GR"/>
        </w:rPr>
        <w:t xml:space="preserve"> </w:t>
      </w:r>
      <w:r w:rsidRPr="004008FE">
        <w:rPr>
          <w:szCs w:val="22"/>
          <w:lang w:eastAsia="el-GR"/>
        </w:rPr>
        <w:t>πιθανότητα αυξημένων δοσολογικών απαιτήσεων και μειωμένης διάρκειας δράσεως</w:t>
      </w:r>
      <w:r w:rsidR="00D87585" w:rsidRPr="004008FE">
        <w:rPr>
          <w:szCs w:val="22"/>
          <w:lang w:eastAsia="el-GR"/>
        </w:rPr>
        <w:t xml:space="preserve"> </w:t>
      </w:r>
      <w:r w:rsidRPr="004008FE">
        <w:rPr>
          <w:szCs w:val="22"/>
          <w:lang w:eastAsia="el-GR"/>
        </w:rPr>
        <w:t>μετά την</w:t>
      </w:r>
      <w:r w:rsidR="00F57898" w:rsidRPr="004008FE">
        <w:rPr>
          <w:szCs w:val="22"/>
          <w:lang w:eastAsia="el-GR"/>
        </w:rPr>
        <w:t xml:space="preserve"> </w:t>
      </w:r>
      <w:r w:rsidRPr="004008FE">
        <w:rPr>
          <w:szCs w:val="22"/>
          <w:lang w:eastAsia="el-GR"/>
        </w:rPr>
        <w:t xml:space="preserve">ενδοφλέβια ένεση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σε τέτοιους ασθενείς.</w:t>
      </w:r>
    </w:p>
    <w:p w:rsidR="00D750D0" w:rsidRPr="004008FE" w:rsidRDefault="00D750D0" w:rsidP="00D750D0">
      <w:pPr>
        <w:widowControl/>
        <w:autoSpaceDE w:val="0"/>
        <w:autoSpaceDN w:val="0"/>
        <w:adjustRightInd w:val="0"/>
        <w:rPr>
          <w:szCs w:val="22"/>
          <w:lang w:eastAsia="el-GR"/>
        </w:rPr>
      </w:pPr>
    </w:p>
    <w:p w:rsidR="00D750D0" w:rsidRPr="004008FE" w:rsidRDefault="00D750D0" w:rsidP="00D750D0">
      <w:pPr>
        <w:widowControl/>
        <w:autoSpaceDE w:val="0"/>
        <w:autoSpaceDN w:val="0"/>
        <w:adjustRightInd w:val="0"/>
        <w:rPr>
          <w:szCs w:val="22"/>
          <w:lang w:eastAsia="el-GR"/>
        </w:rPr>
      </w:pPr>
      <w:r w:rsidRPr="004008FE">
        <w:rPr>
          <w:szCs w:val="22"/>
          <w:lang w:eastAsia="el-GR"/>
        </w:rPr>
        <w:t xml:space="preserve">To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είναι υπότονο και δεν πρέπει να εφαρμόζεται στη γραμμή έγχυσης με</w:t>
      </w:r>
    </w:p>
    <w:p w:rsidR="00D750D0" w:rsidRPr="004008FE" w:rsidRDefault="00D750D0" w:rsidP="00D750D0">
      <w:pPr>
        <w:widowControl/>
        <w:autoSpaceDE w:val="0"/>
        <w:autoSpaceDN w:val="0"/>
        <w:adjustRightInd w:val="0"/>
        <w:rPr>
          <w:szCs w:val="22"/>
          <w:lang w:eastAsia="el-GR"/>
        </w:rPr>
      </w:pPr>
      <w:r w:rsidRPr="004008FE">
        <w:rPr>
          <w:szCs w:val="22"/>
          <w:lang w:eastAsia="el-GR"/>
        </w:rPr>
        <w:t>μετάγγιση αίματος.</w:t>
      </w:r>
    </w:p>
    <w:p w:rsidR="005D3962" w:rsidRPr="004008FE" w:rsidRDefault="005D3962" w:rsidP="005D3962">
      <w:pPr>
        <w:widowControl/>
        <w:autoSpaceDE w:val="0"/>
        <w:autoSpaceDN w:val="0"/>
        <w:adjustRightInd w:val="0"/>
        <w:rPr>
          <w:b/>
          <w:bCs/>
          <w:szCs w:val="22"/>
          <w:lang w:eastAsia="el-GR"/>
        </w:rPr>
      </w:pPr>
    </w:p>
    <w:p w:rsidR="001934FB" w:rsidRPr="004008FE" w:rsidRDefault="001934FB" w:rsidP="001934FB">
      <w:pPr>
        <w:widowControl/>
        <w:autoSpaceDE w:val="0"/>
        <w:autoSpaceDN w:val="0"/>
        <w:adjustRightInd w:val="0"/>
        <w:rPr>
          <w:b/>
          <w:bCs/>
          <w:szCs w:val="22"/>
          <w:lang w:eastAsia="el-GR"/>
        </w:rPr>
      </w:pPr>
      <w:r w:rsidRPr="004008FE">
        <w:rPr>
          <w:b/>
          <w:bCs/>
          <w:szCs w:val="22"/>
          <w:lang w:eastAsia="el-GR"/>
        </w:rPr>
        <w:t>Σε ασθενείς Μονάδων Εντατικής Θεραπείας (ΜΕΘ)</w:t>
      </w:r>
    </w:p>
    <w:p w:rsidR="001934FB" w:rsidRPr="004008FE" w:rsidRDefault="001934FB" w:rsidP="001934FB">
      <w:pPr>
        <w:widowControl/>
        <w:autoSpaceDE w:val="0"/>
        <w:autoSpaceDN w:val="0"/>
        <w:adjustRightInd w:val="0"/>
        <w:rPr>
          <w:b/>
          <w:bCs/>
          <w:szCs w:val="22"/>
          <w:lang w:eastAsia="el-GR"/>
        </w:rPr>
      </w:pPr>
    </w:p>
    <w:p w:rsidR="00DE65A1" w:rsidRPr="004008FE" w:rsidRDefault="001934FB" w:rsidP="001934FB">
      <w:pPr>
        <w:widowControl/>
        <w:autoSpaceDE w:val="0"/>
        <w:autoSpaceDN w:val="0"/>
        <w:adjustRightInd w:val="0"/>
        <w:rPr>
          <w:szCs w:val="22"/>
          <w:lang w:eastAsia="el-GR"/>
        </w:rPr>
      </w:pPr>
      <w:r w:rsidRPr="004008FE">
        <w:rPr>
          <w:szCs w:val="22"/>
          <w:lang w:eastAsia="el-GR"/>
        </w:rPr>
        <w:t>Όταν χορηγείται σε πειραματόζωα σε υψηλές δόσεις, το λαουδανοσίνης</w:t>
      </w:r>
      <w:r w:rsidR="00741026" w:rsidRPr="004008FE">
        <w:rPr>
          <w:szCs w:val="22"/>
          <w:lang w:eastAsia="el-GR"/>
        </w:rPr>
        <w:t xml:space="preserve"> (laudanosine)</w:t>
      </w:r>
      <w:r w:rsidRPr="004008FE">
        <w:rPr>
          <w:szCs w:val="22"/>
          <w:lang w:eastAsia="el-GR"/>
        </w:rPr>
        <w:t>, ένας μεταβολίτης του cisatracurium και του ατρακούριου</w:t>
      </w:r>
      <w:r w:rsidR="00DE65A1" w:rsidRPr="004008FE">
        <w:rPr>
          <w:szCs w:val="22"/>
          <w:lang w:eastAsia="el-GR"/>
        </w:rPr>
        <w:t xml:space="preserve"> (atracurium)</w:t>
      </w:r>
      <w:r w:rsidRPr="004008FE">
        <w:rPr>
          <w:szCs w:val="22"/>
          <w:lang w:eastAsia="el-GR"/>
        </w:rPr>
        <w:t xml:space="preserve">, έχει συσχετισθεί με παροδική υπόταση και σε ορισμένα είδη, με διεγερτική εγκεφαλική δράση. Στα πλέον ευαίσθητα είδη πειραματοζώων, εμφανίσθηκαν αυτές οι επιδράσεις σε συγκεντρώσεις πλάσματος λαουδανοσίνης παρόμοιες με αυτές που παρατηρήθηκαν σε ασθενείς που νοσηλεύονταν στη ΜΕΘ μετά από παρατεταμένη έγχυση ατρακούριου. </w:t>
      </w:r>
    </w:p>
    <w:p w:rsidR="00DE65A1" w:rsidRPr="004008FE" w:rsidRDefault="00DE65A1" w:rsidP="001934FB">
      <w:pPr>
        <w:widowControl/>
        <w:autoSpaceDE w:val="0"/>
        <w:autoSpaceDN w:val="0"/>
        <w:adjustRightInd w:val="0"/>
        <w:rPr>
          <w:szCs w:val="22"/>
          <w:lang w:eastAsia="el-GR"/>
        </w:rPr>
      </w:pPr>
    </w:p>
    <w:p w:rsidR="001934FB" w:rsidRPr="004008FE" w:rsidRDefault="001934FB" w:rsidP="001934FB">
      <w:pPr>
        <w:widowControl/>
        <w:autoSpaceDE w:val="0"/>
        <w:autoSpaceDN w:val="0"/>
        <w:adjustRightInd w:val="0"/>
        <w:rPr>
          <w:szCs w:val="22"/>
          <w:lang w:eastAsia="el-GR"/>
        </w:rPr>
      </w:pPr>
      <w:r w:rsidRPr="004008FE">
        <w:rPr>
          <w:szCs w:val="22"/>
          <w:lang w:eastAsia="el-GR"/>
        </w:rPr>
        <w:t>Λόγω του μειωμένου ρυθμού έγχυσης που απαιτείται για το cisatracurium, οι συγκεντρώσεις της λαουδανοσίνης στο πλάσμα είναι περίπου το ένα τρίτο των συγκεντρώσεων που διαπιστώνονται μετά από έγχυση με ατρακούριο.</w:t>
      </w:r>
    </w:p>
    <w:p w:rsidR="001934FB" w:rsidRPr="004008FE" w:rsidRDefault="001934FB" w:rsidP="001934FB">
      <w:pPr>
        <w:widowControl/>
        <w:autoSpaceDE w:val="0"/>
        <w:autoSpaceDN w:val="0"/>
        <w:adjustRightInd w:val="0"/>
        <w:rPr>
          <w:szCs w:val="22"/>
          <w:lang w:eastAsia="el-GR"/>
        </w:rPr>
      </w:pPr>
    </w:p>
    <w:p w:rsidR="001934FB" w:rsidRPr="004008FE" w:rsidRDefault="001934FB" w:rsidP="001934FB">
      <w:pPr>
        <w:widowControl/>
        <w:autoSpaceDE w:val="0"/>
        <w:autoSpaceDN w:val="0"/>
        <w:adjustRightInd w:val="0"/>
        <w:rPr>
          <w:szCs w:val="22"/>
          <w:lang w:eastAsia="el-GR"/>
        </w:rPr>
      </w:pPr>
      <w:r w:rsidRPr="004008FE">
        <w:rPr>
          <w:szCs w:val="22"/>
          <w:lang w:eastAsia="el-GR"/>
        </w:rPr>
        <w:t>Υπάρχουν σπάνιες αναφορές επιληπτικών κρίσεων σε ασθενείς Μονάδων Εντατικής Θεραπείας που τους χορηγήθηκε ατρακούριο σε συνδυασμό με άλλα φάρμακα. Αυτοί οι ασθενείς είχαν έναν ή περισσότερους προδιαθεσικούς παράγοντες για εμφάνιση επιληπτικών κρίσεων (π.χ. κρανιοεγκεφαλική κάκωση, υποξαιμική εγκεφαλοπάθεια, εγκεφαλικό οίδημα, εγκεφαλοπάθεια από ιούς</w:t>
      </w:r>
      <w:r w:rsidR="002569F8" w:rsidRPr="004008FE">
        <w:rPr>
          <w:szCs w:val="22"/>
          <w:lang w:eastAsia="el-GR"/>
        </w:rPr>
        <w:t xml:space="preserve"> ,</w:t>
      </w:r>
      <w:r w:rsidRPr="004008FE">
        <w:rPr>
          <w:szCs w:val="22"/>
          <w:lang w:eastAsia="el-GR"/>
        </w:rPr>
        <w:t>ουραιμία). Δεν έχει αποδειχθεί αιτιολογική συσχέτιση με την λαουδανοσίνη.</w:t>
      </w:r>
    </w:p>
    <w:p w:rsidR="001934FB" w:rsidRPr="004008FE" w:rsidRDefault="001934FB" w:rsidP="005D3962">
      <w:pPr>
        <w:widowControl/>
        <w:autoSpaceDE w:val="0"/>
        <w:autoSpaceDN w:val="0"/>
        <w:adjustRightInd w:val="0"/>
        <w:rPr>
          <w:b/>
          <w:bCs/>
          <w:szCs w:val="22"/>
          <w:lang w:eastAsia="el-GR"/>
        </w:rPr>
      </w:pPr>
    </w:p>
    <w:p w:rsidR="00496809" w:rsidRPr="004008FE" w:rsidRDefault="00496809">
      <w:pPr>
        <w:rPr>
          <w:szCs w:val="22"/>
        </w:rPr>
      </w:pPr>
      <w:r w:rsidRPr="004008FE">
        <w:rPr>
          <w:b/>
          <w:szCs w:val="22"/>
        </w:rPr>
        <w:t>4.5</w:t>
      </w:r>
      <w:r w:rsidRPr="004008FE">
        <w:rPr>
          <w:b/>
          <w:szCs w:val="22"/>
        </w:rPr>
        <w:tab/>
        <w:t>Αλληλεπιδράσεις με άλλα φαρμακευτικά προϊόντα και άλλες μορφές αλληλεπίδρασης</w:t>
      </w:r>
    </w:p>
    <w:p w:rsidR="00496809" w:rsidRPr="004008FE" w:rsidRDefault="00496809">
      <w:pPr>
        <w:rPr>
          <w:szCs w:val="22"/>
        </w:rPr>
      </w:pPr>
    </w:p>
    <w:p w:rsidR="00341108" w:rsidRPr="004008FE" w:rsidRDefault="00341108" w:rsidP="00341108">
      <w:pPr>
        <w:widowControl/>
        <w:autoSpaceDE w:val="0"/>
        <w:autoSpaceDN w:val="0"/>
        <w:adjustRightInd w:val="0"/>
        <w:rPr>
          <w:szCs w:val="22"/>
          <w:lang w:eastAsia="el-GR"/>
        </w:rPr>
      </w:pPr>
      <w:r w:rsidRPr="004008FE">
        <w:rPr>
          <w:szCs w:val="22"/>
          <w:lang w:eastAsia="el-GR"/>
        </w:rPr>
        <w:t>Πολλά φάρμακα μπορούν να επηρεάσουν το μέγεθ</w:t>
      </w:r>
      <w:r w:rsidR="00724C3C" w:rsidRPr="004008FE">
        <w:rPr>
          <w:szCs w:val="22"/>
          <w:lang w:eastAsia="el-GR"/>
        </w:rPr>
        <w:t xml:space="preserve">ος ή/και τη διάρκεια της δράσης </w:t>
      </w:r>
      <w:r w:rsidRPr="004008FE">
        <w:rPr>
          <w:szCs w:val="22"/>
          <w:lang w:eastAsia="el-GR"/>
        </w:rPr>
        <w:t>των μη-αποπολωτικών παραγόντων του νευρομυικού αποκλεισμού,</w:t>
      </w:r>
      <w:r w:rsidR="00724C3C" w:rsidRPr="004008FE">
        <w:rPr>
          <w:szCs w:val="22"/>
          <w:lang w:eastAsia="el-GR"/>
        </w:rPr>
        <w:t xml:space="preserve"> </w:t>
      </w:r>
      <w:r w:rsidRPr="004008FE">
        <w:rPr>
          <w:szCs w:val="22"/>
          <w:lang w:eastAsia="el-GR"/>
        </w:rPr>
        <w:t>συμπεριλαμβανομένων των παρακάτω:</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t>Αύξηση της δράσης:</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t>Από αναισθητικούς παράγοντες όπως ενφλουράνιο</w:t>
      </w:r>
      <w:r w:rsidR="00724C3C" w:rsidRPr="004008FE">
        <w:rPr>
          <w:szCs w:val="22"/>
          <w:lang w:eastAsia="el-GR"/>
        </w:rPr>
        <w:t xml:space="preserve">, ισοφλουράνιο, αλοθάνιο (βλέπε </w:t>
      </w:r>
      <w:r w:rsidRPr="004008FE">
        <w:rPr>
          <w:szCs w:val="22"/>
          <w:lang w:eastAsia="el-GR"/>
        </w:rPr>
        <w:t>παράγραφο 4.2) και κεταμίνη, από άλλους μη-αποπολωτικούς παράγοντες</w:t>
      </w:r>
      <w:r w:rsidR="00724C3C" w:rsidRPr="004008FE">
        <w:rPr>
          <w:szCs w:val="22"/>
          <w:lang w:eastAsia="el-GR"/>
        </w:rPr>
        <w:t xml:space="preserve"> </w:t>
      </w:r>
      <w:r w:rsidRPr="004008FE">
        <w:rPr>
          <w:szCs w:val="22"/>
          <w:lang w:eastAsia="el-GR"/>
        </w:rPr>
        <w:t>νευρομυϊκού αποκλεισμού ή από άλλα φάρμακα όπως αντιβιοτικά</w:t>
      </w:r>
      <w:r w:rsidR="00724C3C" w:rsidRPr="004008FE">
        <w:rPr>
          <w:szCs w:val="22"/>
          <w:lang w:eastAsia="el-GR"/>
        </w:rPr>
        <w:t xml:space="preserve"> </w:t>
      </w:r>
      <w:r w:rsidRPr="004008FE">
        <w:rPr>
          <w:szCs w:val="22"/>
          <w:lang w:eastAsia="el-GR"/>
        </w:rPr>
        <w:t>(συμπεριλαμβανομένων των αμινογλυκοσιδών, πολυμιξίνης, σπεκτινομυκίνης,</w:t>
      </w:r>
      <w:r w:rsidR="00724C3C" w:rsidRPr="004008FE">
        <w:rPr>
          <w:szCs w:val="22"/>
          <w:lang w:eastAsia="el-GR"/>
        </w:rPr>
        <w:t xml:space="preserve"> </w:t>
      </w:r>
      <w:r w:rsidRPr="004008FE">
        <w:rPr>
          <w:szCs w:val="22"/>
          <w:lang w:eastAsia="el-GR"/>
        </w:rPr>
        <w:t>τετρακυκλινών, λινκομυκίνη και κλινδαμικίνης), αντιαρρυθμικά φάρμακα</w:t>
      </w:r>
    </w:p>
    <w:p w:rsidR="00341108" w:rsidRPr="004008FE" w:rsidRDefault="00341108" w:rsidP="00341108">
      <w:pPr>
        <w:widowControl/>
        <w:autoSpaceDE w:val="0"/>
        <w:autoSpaceDN w:val="0"/>
        <w:adjustRightInd w:val="0"/>
        <w:rPr>
          <w:szCs w:val="22"/>
          <w:lang w:eastAsia="el-GR"/>
        </w:rPr>
      </w:pPr>
      <w:r w:rsidRPr="004008FE">
        <w:rPr>
          <w:szCs w:val="22"/>
          <w:lang w:eastAsia="el-GR"/>
        </w:rPr>
        <w:t xml:space="preserve">(συμπεριλαμβανομένης της προπρανολόλης, </w:t>
      </w:r>
      <w:r w:rsidR="00724C3C" w:rsidRPr="004008FE">
        <w:rPr>
          <w:szCs w:val="22"/>
          <w:lang w:eastAsia="el-GR"/>
        </w:rPr>
        <w:t xml:space="preserve">των ανταγωνιστών ασβεστίου, της </w:t>
      </w:r>
      <w:r w:rsidRPr="004008FE">
        <w:rPr>
          <w:szCs w:val="22"/>
          <w:lang w:eastAsia="el-GR"/>
        </w:rPr>
        <w:t xml:space="preserve">λιδοκαΐνης, προκαΐναμίδης και κινιδίνης), διουρητικά (συμπεριλαμβανομένης </w:t>
      </w:r>
      <w:r w:rsidR="00724C3C" w:rsidRPr="004008FE">
        <w:rPr>
          <w:szCs w:val="22"/>
          <w:lang w:eastAsia="el-GR"/>
        </w:rPr>
        <w:t xml:space="preserve">της </w:t>
      </w:r>
      <w:r w:rsidRPr="004008FE">
        <w:rPr>
          <w:szCs w:val="22"/>
          <w:lang w:eastAsia="el-GR"/>
        </w:rPr>
        <w:t>φουροσεμίδης και πιθανώς των θειαζιδών, μαννιτόλης και ακεταζολαμίδης), άλατα</w:t>
      </w:r>
      <w:r w:rsidR="00724C3C" w:rsidRPr="004008FE">
        <w:rPr>
          <w:szCs w:val="22"/>
          <w:lang w:eastAsia="el-GR"/>
        </w:rPr>
        <w:t xml:space="preserve"> </w:t>
      </w:r>
      <w:r w:rsidRPr="004008FE">
        <w:rPr>
          <w:szCs w:val="22"/>
          <w:lang w:eastAsia="el-GR"/>
        </w:rPr>
        <w:t>μαγνησίου και λιθίου και τα γαγγλιοπληγικά (τριμεταφάνη, και εξαμεθόνιο).</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t>Μειωμένη δράση παρατηρείται μετά από προηγούμενη χρόνια χορήγηση φαινυτοΐνης</w:t>
      </w:r>
      <w:r w:rsidR="00724C3C" w:rsidRPr="004008FE">
        <w:rPr>
          <w:szCs w:val="22"/>
          <w:lang w:eastAsia="el-GR"/>
        </w:rPr>
        <w:t xml:space="preserve"> </w:t>
      </w:r>
      <w:r w:rsidRPr="004008FE">
        <w:rPr>
          <w:szCs w:val="22"/>
          <w:lang w:eastAsia="el-GR"/>
        </w:rPr>
        <w:t>ή καρβαμαζεπίνης.</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t xml:space="preserve">Προηγούμενη χορήγηση σουξαμεθονίου δεν έχει </w:t>
      </w:r>
      <w:r w:rsidR="00724C3C" w:rsidRPr="004008FE">
        <w:rPr>
          <w:szCs w:val="22"/>
          <w:lang w:eastAsia="el-GR"/>
        </w:rPr>
        <w:t xml:space="preserve">καμιά επίδραση στη διάρκεια του </w:t>
      </w:r>
      <w:r w:rsidRPr="004008FE">
        <w:rPr>
          <w:szCs w:val="22"/>
          <w:lang w:eastAsia="el-GR"/>
        </w:rPr>
        <w:t xml:space="preserve">νευρομυϊκού αποκλεισμού μετά τη λήψη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ενδοφλεβίως (bolus) ή στο ρυθμό</w:t>
      </w:r>
      <w:r w:rsidR="00724C3C" w:rsidRPr="004008FE">
        <w:rPr>
          <w:szCs w:val="22"/>
          <w:lang w:eastAsia="el-GR"/>
        </w:rPr>
        <w:t xml:space="preserve"> </w:t>
      </w:r>
      <w:r w:rsidRPr="004008FE">
        <w:rPr>
          <w:szCs w:val="22"/>
          <w:lang w:eastAsia="el-GR"/>
        </w:rPr>
        <w:t>έγχυσης.</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lastRenderedPageBreak/>
        <w:t>Χορήγηση σουξαμεθόνιου για να παραταθεί η δράση των</w:t>
      </w:r>
      <w:r w:rsidR="00724C3C" w:rsidRPr="004008FE">
        <w:rPr>
          <w:szCs w:val="22"/>
          <w:lang w:eastAsia="el-GR"/>
        </w:rPr>
        <w:t xml:space="preserve"> μη-αποπολωτικών </w:t>
      </w:r>
      <w:r w:rsidRPr="004008FE">
        <w:rPr>
          <w:szCs w:val="22"/>
          <w:lang w:eastAsia="el-GR"/>
        </w:rPr>
        <w:t>παραγόντων νευρομυϊκού αποκλεισμού μπορεί να προκαλέσει μεγάλης διάρκειας και</w:t>
      </w:r>
      <w:r w:rsidR="00724C3C" w:rsidRPr="004008FE">
        <w:rPr>
          <w:szCs w:val="22"/>
          <w:lang w:eastAsia="el-GR"/>
        </w:rPr>
        <w:t xml:space="preserve"> </w:t>
      </w:r>
      <w:r w:rsidRPr="004008FE">
        <w:rPr>
          <w:szCs w:val="22"/>
          <w:lang w:eastAsia="el-GR"/>
        </w:rPr>
        <w:t>σύνθετο αποκλεισμό, ο οποίος ενδεχομένως να είναι δύσκολο να αναστραφεί με</w:t>
      </w:r>
      <w:r w:rsidR="00724C3C" w:rsidRPr="004008FE">
        <w:rPr>
          <w:szCs w:val="22"/>
          <w:lang w:eastAsia="el-GR"/>
        </w:rPr>
        <w:t xml:space="preserve"> </w:t>
      </w:r>
      <w:r w:rsidRPr="004008FE">
        <w:rPr>
          <w:szCs w:val="22"/>
          <w:lang w:eastAsia="el-GR"/>
        </w:rPr>
        <w:t>αντιχολινεστερασικά φάρμακα.</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t>Σπάνια, ορισμένα φάρμακα μπορούν να επιδεινώσουν ή να φέρουν στην επιφάνεια</w:t>
      </w:r>
      <w:r w:rsidR="00724C3C" w:rsidRPr="004008FE">
        <w:rPr>
          <w:szCs w:val="22"/>
          <w:lang w:eastAsia="el-GR"/>
        </w:rPr>
        <w:t xml:space="preserve"> </w:t>
      </w:r>
      <w:r w:rsidRPr="004008FE">
        <w:rPr>
          <w:szCs w:val="22"/>
          <w:lang w:eastAsia="el-GR"/>
        </w:rPr>
        <w:t>λανθάνουσα μυασθένεια gravis ή να προκαλέσουν σύνδρομο μυασθένειας. Η</w:t>
      </w:r>
      <w:r w:rsidR="00724C3C" w:rsidRPr="004008FE">
        <w:rPr>
          <w:szCs w:val="22"/>
          <w:lang w:eastAsia="el-GR"/>
        </w:rPr>
        <w:t xml:space="preserve"> </w:t>
      </w:r>
      <w:r w:rsidRPr="004008FE">
        <w:rPr>
          <w:szCs w:val="22"/>
          <w:lang w:eastAsia="el-GR"/>
        </w:rPr>
        <w:t>αυξημένη ευαισθησία σε μη-αποπολωτικούς παράγοντες νευρομυϊκού αποκλεισμού</w:t>
      </w:r>
      <w:r w:rsidR="00724C3C" w:rsidRPr="004008FE">
        <w:rPr>
          <w:szCs w:val="22"/>
          <w:lang w:eastAsia="el-GR"/>
        </w:rPr>
        <w:t xml:space="preserve"> </w:t>
      </w:r>
      <w:r w:rsidR="00FB2FF2" w:rsidRPr="004008FE">
        <w:rPr>
          <w:szCs w:val="22"/>
          <w:lang w:eastAsia="el-GR"/>
        </w:rPr>
        <w:t>μπορεί να είναι επακόλουθο μια</w:t>
      </w:r>
      <w:r w:rsidRPr="004008FE">
        <w:rPr>
          <w:szCs w:val="22"/>
          <w:lang w:eastAsia="el-GR"/>
        </w:rPr>
        <w:t>ς τέτοιας εξέλιξης. Τέτοια φάρμακα είναι διάφορα</w:t>
      </w:r>
      <w:r w:rsidR="00724C3C" w:rsidRPr="004008FE">
        <w:rPr>
          <w:szCs w:val="22"/>
          <w:lang w:eastAsia="el-GR"/>
        </w:rPr>
        <w:t xml:space="preserve"> </w:t>
      </w:r>
      <w:r w:rsidRPr="004008FE">
        <w:rPr>
          <w:szCs w:val="22"/>
          <w:lang w:eastAsia="el-GR"/>
        </w:rPr>
        <w:t>αντιβιοτικά, Β-αναστολείς (προπρανολόλη, οξπρενολόλη), αντι-αρρυθμικά φάρμακα</w:t>
      </w:r>
      <w:r w:rsidR="00724C3C" w:rsidRPr="004008FE">
        <w:rPr>
          <w:szCs w:val="22"/>
          <w:lang w:eastAsia="el-GR"/>
        </w:rPr>
        <w:t xml:space="preserve"> </w:t>
      </w:r>
      <w:r w:rsidRPr="004008FE">
        <w:rPr>
          <w:szCs w:val="22"/>
          <w:lang w:eastAsia="el-GR"/>
        </w:rPr>
        <w:t>(προκαϊναμίδη, κινιδίνη), αντι-ρευματικά (χλωροκίνη, d-πενικιλλαμίνη), τριμεθαφάνη,</w:t>
      </w:r>
      <w:r w:rsidR="00724C3C" w:rsidRPr="004008FE">
        <w:rPr>
          <w:szCs w:val="22"/>
          <w:lang w:eastAsia="el-GR"/>
        </w:rPr>
        <w:t xml:space="preserve"> </w:t>
      </w:r>
      <w:r w:rsidRPr="004008FE">
        <w:rPr>
          <w:szCs w:val="22"/>
          <w:lang w:eastAsia="el-GR"/>
        </w:rPr>
        <w:t>χλωροπρομαζίνη, στεροειδή, φαινυτοΐνη και λίθιο.</w:t>
      </w:r>
    </w:p>
    <w:p w:rsidR="00341108" w:rsidRPr="004008FE" w:rsidRDefault="00341108" w:rsidP="00341108">
      <w:pPr>
        <w:widowControl/>
        <w:autoSpaceDE w:val="0"/>
        <w:autoSpaceDN w:val="0"/>
        <w:adjustRightInd w:val="0"/>
        <w:rPr>
          <w:szCs w:val="22"/>
          <w:lang w:eastAsia="el-GR"/>
        </w:rPr>
      </w:pPr>
    </w:p>
    <w:p w:rsidR="00341108" w:rsidRPr="004008FE" w:rsidRDefault="00341108" w:rsidP="00341108">
      <w:pPr>
        <w:widowControl/>
        <w:autoSpaceDE w:val="0"/>
        <w:autoSpaceDN w:val="0"/>
        <w:adjustRightInd w:val="0"/>
        <w:rPr>
          <w:szCs w:val="22"/>
          <w:lang w:eastAsia="el-GR"/>
        </w:rPr>
      </w:pPr>
      <w:r w:rsidRPr="004008FE">
        <w:rPr>
          <w:szCs w:val="22"/>
          <w:lang w:eastAsia="el-GR"/>
        </w:rPr>
        <w:t>Η θεραπεία με αντιχολινεστε</w:t>
      </w:r>
      <w:r w:rsidR="00DF42BF" w:rsidRPr="004008FE">
        <w:rPr>
          <w:szCs w:val="22"/>
          <w:lang w:eastAsia="el-GR"/>
        </w:rPr>
        <w:t>ρα</w:t>
      </w:r>
      <w:r w:rsidRPr="004008FE">
        <w:rPr>
          <w:szCs w:val="22"/>
          <w:lang w:eastAsia="el-GR"/>
        </w:rPr>
        <w:t>σ</w:t>
      </w:r>
      <w:r w:rsidR="00DF42BF" w:rsidRPr="004008FE">
        <w:rPr>
          <w:szCs w:val="22"/>
          <w:lang w:eastAsia="el-GR"/>
        </w:rPr>
        <w:t>ικά</w:t>
      </w:r>
      <w:r w:rsidRPr="004008FE">
        <w:rPr>
          <w:szCs w:val="22"/>
          <w:lang w:eastAsia="el-GR"/>
        </w:rPr>
        <w:t>, που χρησιμοποιούνται συχνά για την</w:t>
      </w:r>
      <w:r w:rsidR="00724C3C" w:rsidRPr="004008FE">
        <w:rPr>
          <w:szCs w:val="22"/>
          <w:lang w:eastAsia="el-GR"/>
        </w:rPr>
        <w:t xml:space="preserve"> </w:t>
      </w:r>
      <w:r w:rsidRPr="004008FE">
        <w:rPr>
          <w:szCs w:val="22"/>
          <w:lang w:eastAsia="el-GR"/>
        </w:rPr>
        <w:t>αντιμετώπιση της νόσου του Alzheimer, π.χ δομεπεζίλη, μπορεί να μειώσει τη</w:t>
      </w:r>
      <w:r w:rsidR="00724C3C" w:rsidRPr="004008FE">
        <w:rPr>
          <w:szCs w:val="22"/>
          <w:lang w:eastAsia="el-GR"/>
        </w:rPr>
        <w:t xml:space="preserve"> </w:t>
      </w:r>
      <w:r w:rsidR="00DF42BF" w:rsidRPr="004008FE">
        <w:rPr>
          <w:szCs w:val="22"/>
          <w:lang w:eastAsia="el-GR"/>
        </w:rPr>
        <w:t>διάρκεια και να ελ</w:t>
      </w:r>
      <w:r w:rsidRPr="004008FE">
        <w:rPr>
          <w:szCs w:val="22"/>
          <w:lang w:eastAsia="el-GR"/>
        </w:rPr>
        <w:t>ατ</w:t>
      </w:r>
      <w:r w:rsidR="00DF42BF" w:rsidRPr="004008FE">
        <w:rPr>
          <w:szCs w:val="22"/>
          <w:lang w:eastAsia="el-GR"/>
        </w:rPr>
        <w:t>τ</w:t>
      </w:r>
      <w:r w:rsidRPr="004008FE">
        <w:rPr>
          <w:szCs w:val="22"/>
          <w:lang w:eastAsia="el-GR"/>
        </w:rPr>
        <w:t>ώσει το μέγεθος του νευρομυϊκού αποκλεισμού με το</w:t>
      </w:r>
      <w:r w:rsidR="00724C3C" w:rsidRPr="004008FE">
        <w:rPr>
          <w:szCs w:val="22"/>
          <w:lang w:eastAsia="el-GR"/>
        </w:rPr>
        <w:t xml:space="preserve"> </w:t>
      </w:r>
      <w:r w:rsidRPr="004008FE">
        <w:rPr>
          <w:szCs w:val="22"/>
          <w:lang w:eastAsia="el-GR"/>
        </w:rPr>
        <w:t>cisatracuirium.</w:t>
      </w:r>
    </w:p>
    <w:p w:rsidR="00496809" w:rsidRPr="004008FE" w:rsidRDefault="00496809">
      <w:pPr>
        <w:rPr>
          <w:szCs w:val="22"/>
        </w:rPr>
      </w:pPr>
    </w:p>
    <w:p w:rsidR="00496809" w:rsidRPr="004008FE" w:rsidRDefault="005E2EA5" w:rsidP="005E2EA5">
      <w:pPr>
        <w:ind w:left="60"/>
        <w:rPr>
          <w:b/>
          <w:szCs w:val="22"/>
        </w:rPr>
      </w:pPr>
      <w:r w:rsidRPr="004008FE">
        <w:rPr>
          <w:b/>
          <w:noProof/>
          <w:szCs w:val="22"/>
        </w:rPr>
        <w:t>4.6</w:t>
      </w:r>
      <w:r w:rsidRPr="004008FE">
        <w:rPr>
          <w:b/>
          <w:noProof/>
          <w:szCs w:val="22"/>
        </w:rPr>
        <w:tab/>
      </w:r>
      <w:r w:rsidR="00056716" w:rsidRPr="004008FE">
        <w:rPr>
          <w:b/>
          <w:noProof/>
          <w:szCs w:val="22"/>
        </w:rPr>
        <w:t>Γονιμότητα, κ</w:t>
      </w:r>
      <w:r w:rsidR="00496809" w:rsidRPr="004008FE">
        <w:rPr>
          <w:b/>
          <w:szCs w:val="22"/>
        </w:rPr>
        <w:t>ύηση και γαλουχία</w:t>
      </w:r>
    </w:p>
    <w:p w:rsidR="006F1E23" w:rsidRPr="004008FE" w:rsidRDefault="006F1E23" w:rsidP="006F1E23">
      <w:pPr>
        <w:rPr>
          <w:b/>
          <w:szCs w:val="22"/>
        </w:rPr>
      </w:pPr>
    </w:p>
    <w:p w:rsidR="00DB2B7C" w:rsidRPr="004008FE" w:rsidRDefault="006F1E23" w:rsidP="006F1E23">
      <w:pPr>
        <w:widowControl/>
        <w:autoSpaceDE w:val="0"/>
        <w:autoSpaceDN w:val="0"/>
        <w:adjustRightInd w:val="0"/>
        <w:rPr>
          <w:szCs w:val="22"/>
          <w:lang w:eastAsia="el-GR"/>
        </w:rPr>
      </w:pPr>
      <w:r w:rsidRPr="004008FE">
        <w:rPr>
          <w:szCs w:val="22"/>
          <w:lang w:eastAsia="el-GR"/>
        </w:rPr>
        <w:t xml:space="preserve">Δεν υπάρχουν επαρκή στοιχεία για τη χρήση του </w:t>
      </w:r>
      <w:r w:rsidR="003376F0" w:rsidRPr="004008FE">
        <w:rPr>
          <w:szCs w:val="22"/>
          <w:lang w:val="en-US"/>
        </w:rPr>
        <w:t>cicatracurium</w:t>
      </w:r>
      <w:r w:rsidRPr="004008FE">
        <w:rPr>
          <w:szCs w:val="22"/>
          <w:lang w:eastAsia="el-GR"/>
        </w:rPr>
        <w:t xml:space="preserve"> σε έγκυες γυναίκες. Οι μελέτες σε</w:t>
      </w:r>
      <w:r w:rsidR="0026712D" w:rsidRPr="004008FE">
        <w:rPr>
          <w:szCs w:val="22"/>
          <w:lang w:eastAsia="el-GR"/>
        </w:rPr>
        <w:t xml:space="preserve"> πειραματόζωα είναι ανεπαρκείς ό</w:t>
      </w:r>
      <w:r w:rsidRPr="004008FE">
        <w:rPr>
          <w:szCs w:val="22"/>
          <w:lang w:eastAsia="el-GR"/>
        </w:rPr>
        <w:t>σον αφορά τις δράσεις κατά τη διάρκεια της εγκυμοσύνης, την εμβρυική ανάπτυξη, την μεταγεννητική ανάπτυξη (βλέπε παράγραφο 5.3). Ο δυνητικός κίνδυνος για τους ανθρώπους είναι άγνωστος.</w:t>
      </w:r>
    </w:p>
    <w:p w:rsidR="00DB2B7C" w:rsidRPr="004008FE" w:rsidRDefault="00DB2B7C" w:rsidP="006F1E23">
      <w:pPr>
        <w:widowControl/>
        <w:autoSpaceDE w:val="0"/>
        <w:autoSpaceDN w:val="0"/>
        <w:adjustRightInd w:val="0"/>
        <w:rPr>
          <w:szCs w:val="22"/>
          <w:lang w:eastAsia="el-GR"/>
        </w:rPr>
      </w:pPr>
    </w:p>
    <w:p w:rsidR="00DB2B7C" w:rsidRPr="004008FE" w:rsidRDefault="006F1E23" w:rsidP="006F1E23">
      <w:pPr>
        <w:widowControl/>
        <w:autoSpaceDE w:val="0"/>
        <w:autoSpaceDN w:val="0"/>
        <w:adjustRightInd w:val="0"/>
        <w:rPr>
          <w:szCs w:val="22"/>
          <w:lang w:eastAsia="el-GR"/>
        </w:rPr>
      </w:pPr>
      <w:r w:rsidRPr="004008FE">
        <w:rPr>
          <w:szCs w:val="22"/>
          <w:lang w:eastAsia="el-GR"/>
        </w:rPr>
        <w:t xml:space="preserve">Το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δεν πρέπει να χορηγείται κατά τη διάρκεια της εγκυμοσύνης.</w:t>
      </w:r>
    </w:p>
    <w:p w:rsidR="00DB2B7C" w:rsidRPr="004008FE" w:rsidRDefault="00DB2B7C" w:rsidP="006F1E23">
      <w:pPr>
        <w:widowControl/>
        <w:autoSpaceDE w:val="0"/>
        <w:autoSpaceDN w:val="0"/>
        <w:adjustRightInd w:val="0"/>
        <w:rPr>
          <w:szCs w:val="22"/>
          <w:lang w:eastAsia="el-GR"/>
        </w:rPr>
      </w:pPr>
    </w:p>
    <w:p w:rsidR="006F1E23" w:rsidRPr="004008FE" w:rsidRDefault="006F1E23" w:rsidP="006F1E23">
      <w:pPr>
        <w:widowControl/>
        <w:autoSpaceDE w:val="0"/>
        <w:autoSpaceDN w:val="0"/>
        <w:adjustRightInd w:val="0"/>
        <w:rPr>
          <w:szCs w:val="22"/>
          <w:lang w:eastAsia="el-GR"/>
        </w:rPr>
      </w:pPr>
      <w:r w:rsidRPr="004008FE">
        <w:rPr>
          <w:szCs w:val="22"/>
          <w:lang w:eastAsia="el-GR"/>
        </w:rPr>
        <w:t>Δεν είναι γνωστό αν το cisatracurium ή οι μεταβολίτες του απεκ</w:t>
      </w:r>
      <w:r w:rsidR="00C63D7B" w:rsidRPr="004008FE">
        <w:rPr>
          <w:szCs w:val="22"/>
          <w:lang w:eastAsia="el-GR"/>
        </w:rPr>
        <w:t>κ</w:t>
      </w:r>
      <w:r w:rsidRPr="004008FE">
        <w:rPr>
          <w:szCs w:val="22"/>
          <w:lang w:eastAsia="el-GR"/>
        </w:rPr>
        <w:t>ρίνονται στο ανθρώπινο γάλα.</w:t>
      </w:r>
    </w:p>
    <w:p w:rsidR="006F1E23" w:rsidRPr="004008FE" w:rsidRDefault="006F1E23" w:rsidP="006F1E23">
      <w:pPr>
        <w:rPr>
          <w:szCs w:val="22"/>
        </w:rPr>
      </w:pPr>
    </w:p>
    <w:p w:rsidR="00496809" w:rsidRPr="004008FE" w:rsidRDefault="00496809">
      <w:pPr>
        <w:rPr>
          <w:szCs w:val="22"/>
        </w:rPr>
      </w:pPr>
      <w:r w:rsidRPr="004008FE">
        <w:rPr>
          <w:b/>
          <w:szCs w:val="22"/>
        </w:rPr>
        <w:t>4.7</w:t>
      </w:r>
      <w:r w:rsidRPr="004008FE">
        <w:rPr>
          <w:b/>
          <w:szCs w:val="22"/>
        </w:rPr>
        <w:tab/>
        <w:t>Επιδράσεις στην ικανότητα οδήγησης και χειρισμού μηχανών</w:t>
      </w:r>
    </w:p>
    <w:p w:rsidR="00496809" w:rsidRPr="004008FE" w:rsidRDefault="00496809">
      <w:pPr>
        <w:rPr>
          <w:szCs w:val="22"/>
        </w:rPr>
      </w:pPr>
    </w:p>
    <w:p w:rsidR="00C379A8" w:rsidRPr="004008FE" w:rsidRDefault="00C379A8" w:rsidP="00C379A8">
      <w:pPr>
        <w:widowControl/>
        <w:autoSpaceDE w:val="0"/>
        <w:autoSpaceDN w:val="0"/>
        <w:adjustRightInd w:val="0"/>
        <w:rPr>
          <w:szCs w:val="22"/>
          <w:lang w:eastAsia="el-GR"/>
        </w:rPr>
      </w:pPr>
      <w:r w:rsidRPr="004008FE">
        <w:rPr>
          <w:szCs w:val="22"/>
          <w:lang w:eastAsia="el-GR"/>
        </w:rPr>
        <w:t xml:space="preserve">Η προφύλαξη αυτή δεν έχει σχέση με τη χρήση του </w:t>
      </w:r>
      <w:r w:rsidR="003376F0" w:rsidRPr="004008FE">
        <w:rPr>
          <w:szCs w:val="22"/>
          <w:lang w:val="en-GB"/>
        </w:rPr>
        <w:t>c</w:t>
      </w:r>
      <w:r w:rsidRPr="004008FE">
        <w:rPr>
          <w:szCs w:val="22"/>
          <w:lang w:val="en-GB"/>
        </w:rPr>
        <w:t>isatracurium</w:t>
      </w:r>
      <w:r w:rsidRPr="004008FE">
        <w:rPr>
          <w:szCs w:val="22"/>
          <w:lang w:eastAsia="el-GR"/>
        </w:rPr>
        <w:t xml:space="preserve">. Το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θα χορηγείται πάντα σε συνδυασμό με γενική αναισθησία και επομένως, ισχύουν οι συνήθεις προφυλάξεις που έχουν σχέση με την επιτέλεση έργου μετά τη γενική αναισθησία.</w:t>
      </w:r>
    </w:p>
    <w:p w:rsidR="00496809" w:rsidRPr="004008FE" w:rsidRDefault="00496809">
      <w:pPr>
        <w:rPr>
          <w:szCs w:val="22"/>
        </w:rPr>
      </w:pPr>
    </w:p>
    <w:p w:rsidR="00496809" w:rsidRPr="004008FE" w:rsidRDefault="00496809" w:rsidP="00172799">
      <w:pPr>
        <w:numPr>
          <w:ilvl w:val="1"/>
          <w:numId w:val="22"/>
        </w:numPr>
        <w:rPr>
          <w:b/>
          <w:szCs w:val="22"/>
        </w:rPr>
      </w:pPr>
      <w:r w:rsidRPr="004008FE">
        <w:rPr>
          <w:b/>
          <w:szCs w:val="22"/>
        </w:rPr>
        <w:t>Ανεπιθύμητες ενέργειες</w:t>
      </w:r>
    </w:p>
    <w:p w:rsidR="00172799" w:rsidRPr="004008FE" w:rsidRDefault="00172799" w:rsidP="00172799">
      <w:pPr>
        <w:rPr>
          <w:b/>
          <w:szCs w:val="22"/>
        </w:rPr>
      </w:pPr>
    </w:p>
    <w:p w:rsidR="00172799" w:rsidRPr="004008FE" w:rsidRDefault="00172799" w:rsidP="00172799">
      <w:pPr>
        <w:widowControl/>
        <w:autoSpaceDE w:val="0"/>
        <w:autoSpaceDN w:val="0"/>
        <w:adjustRightInd w:val="0"/>
        <w:rPr>
          <w:szCs w:val="22"/>
          <w:lang w:eastAsia="el-GR"/>
        </w:rPr>
      </w:pPr>
      <w:r w:rsidRPr="004008FE">
        <w:rPr>
          <w:szCs w:val="22"/>
          <w:lang w:eastAsia="el-GR"/>
        </w:rPr>
        <w:t>Συγκεντρωμένα στοιχεία από εσωτερικές κλινικές μελέτες χρησιμοποιήθηκαν για τον υπολογισμό της συχνότητας των πολύ συχνών έως των όχι συχνών ανεπιθύμητων αντιδράσεων.</w:t>
      </w:r>
    </w:p>
    <w:p w:rsidR="00172799" w:rsidRPr="004008FE" w:rsidRDefault="00172799" w:rsidP="00172799">
      <w:pPr>
        <w:widowControl/>
        <w:autoSpaceDE w:val="0"/>
        <w:autoSpaceDN w:val="0"/>
        <w:adjustRightInd w:val="0"/>
        <w:rPr>
          <w:szCs w:val="22"/>
          <w:lang w:eastAsia="el-GR"/>
        </w:rPr>
      </w:pPr>
    </w:p>
    <w:p w:rsidR="00172799" w:rsidRPr="004008FE" w:rsidRDefault="00172799" w:rsidP="00172799">
      <w:pPr>
        <w:widowControl/>
        <w:autoSpaceDE w:val="0"/>
        <w:autoSpaceDN w:val="0"/>
        <w:adjustRightInd w:val="0"/>
        <w:rPr>
          <w:szCs w:val="22"/>
          <w:lang w:eastAsia="el-GR"/>
        </w:rPr>
      </w:pPr>
      <w:r w:rsidRPr="004008FE">
        <w:rPr>
          <w:szCs w:val="22"/>
          <w:lang w:eastAsia="el-GR"/>
        </w:rPr>
        <w:t>Η ακόλουθη συνθήκη έχει χρησιμοποιηθεί για την κατάταξη των συχνοτήτων: πολύ συχνές ≥ 1/10, συχνές ≥ 1/100 και &lt;1/10, όχι συχνές ≥ 1/1000 και &lt;1/100, σπάνιες ≥ 1/10,000 και &lt;1/1000, πολύ σπάνιες &lt; 1/10,000.</w:t>
      </w:r>
    </w:p>
    <w:p w:rsidR="008919A5" w:rsidRPr="004008FE" w:rsidRDefault="008919A5" w:rsidP="00172799">
      <w:pPr>
        <w:widowControl/>
        <w:autoSpaceDE w:val="0"/>
        <w:autoSpaceDN w:val="0"/>
        <w:adjustRightInd w:val="0"/>
        <w:rPr>
          <w:szCs w:val="22"/>
          <w:lang w:eastAsia="el-GR"/>
        </w:rPr>
      </w:pPr>
    </w:p>
    <w:p w:rsidR="008919A5" w:rsidRPr="004008FE" w:rsidRDefault="008919A5" w:rsidP="008919A5">
      <w:pPr>
        <w:widowControl/>
        <w:autoSpaceDE w:val="0"/>
        <w:autoSpaceDN w:val="0"/>
        <w:adjustRightInd w:val="0"/>
        <w:rPr>
          <w:szCs w:val="22"/>
          <w:lang w:eastAsia="el-GR"/>
        </w:rPr>
      </w:pPr>
      <w:r w:rsidRPr="004008FE">
        <w:rPr>
          <w:szCs w:val="22"/>
          <w:lang w:eastAsia="el-GR"/>
        </w:rPr>
        <w:t>Στοιχεία από κλινικές μελέτες</w:t>
      </w:r>
    </w:p>
    <w:p w:rsidR="008919A5" w:rsidRPr="004008FE" w:rsidRDefault="008919A5" w:rsidP="008919A5">
      <w:pPr>
        <w:widowControl/>
        <w:autoSpaceDE w:val="0"/>
        <w:autoSpaceDN w:val="0"/>
        <w:adjustRightInd w:val="0"/>
        <w:rPr>
          <w:szCs w:val="22"/>
          <w:lang w:eastAsia="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734"/>
        <w:gridCol w:w="3069"/>
        <w:gridCol w:w="4407"/>
      </w:tblGrid>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b/>
                <w:szCs w:val="22"/>
                <w:lang w:eastAsia="el-GR"/>
              </w:rPr>
            </w:pPr>
            <w:r w:rsidRPr="004008FE">
              <w:rPr>
                <w:b/>
                <w:iCs/>
                <w:szCs w:val="22"/>
                <w:lang w:eastAsia="el-GR"/>
              </w:rPr>
              <w:t>Καρδιακές διαταραχές</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r w:rsidRPr="004008FE">
              <w:rPr>
                <w:rFonts w:eastAsia="SimSun"/>
                <w:szCs w:val="22"/>
                <w:lang w:eastAsia="zh-CN"/>
              </w:rPr>
              <w:t> </w:t>
            </w: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Συχνές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Βραδυκαρδία</w:t>
            </w:r>
          </w:p>
        </w:tc>
      </w:tr>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b/>
                <w:szCs w:val="22"/>
                <w:lang w:eastAsia="el-GR"/>
              </w:rPr>
            </w:pPr>
            <w:r w:rsidRPr="004008FE">
              <w:rPr>
                <w:b/>
                <w:iCs/>
                <w:szCs w:val="22"/>
                <w:lang w:eastAsia="el-GR"/>
              </w:rPr>
              <w:t>Αγγειακές διαταραχές</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r w:rsidRPr="004008FE">
              <w:rPr>
                <w:rFonts w:eastAsia="SimSun"/>
                <w:szCs w:val="22"/>
                <w:lang w:eastAsia="zh-CN"/>
              </w:rPr>
              <w:t> </w:t>
            </w: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Συχνές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Υπόταση</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r w:rsidRPr="004008FE">
              <w:rPr>
                <w:rFonts w:eastAsia="SimSun"/>
                <w:szCs w:val="22"/>
                <w:lang w:eastAsia="zh-CN"/>
              </w:rPr>
              <w:t> </w:t>
            </w: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Όχι συχνές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Ερυθρότητα του δέρματος</w:t>
            </w:r>
          </w:p>
        </w:tc>
      </w:tr>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b/>
                <w:szCs w:val="22"/>
                <w:lang w:eastAsia="el-GR"/>
              </w:rPr>
            </w:pPr>
            <w:r w:rsidRPr="004008FE">
              <w:rPr>
                <w:b/>
                <w:iCs/>
                <w:szCs w:val="22"/>
                <w:lang w:eastAsia="el-GR"/>
              </w:rPr>
              <w:t>Διαταραχές του αναπνευστικού συστήμα</w:t>
            </w:r>
            <w:r w:rsidR="00CB6944" w:rsidRPr="004008FE">
              <w:rPr>
                <w:b/>
                <w:iCs/>
                <w:szCs w:val="22"/>
                <w:lang w:eastAsia="el-GR"/>
              </w:rPr>
              <w:t>τος, του θώρακα και του μεσοθωράκι</w:t>
            </w:r>
            <w:r w:rsidRPr="004008FE">
              <w:rPr>
                <w:b/>
                <w:iCs/>
                <w:szCs w:val="22"/>
                <w:lang w:eastAsia="el-GR"/>
              </w:rPr>
              <w:t>ου</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r w:rsidRPr="004008FE">
              <w:rPr>
                <w:rFonts w:eastAsia="SimSun"/>
                <w:szCs w:val="22"/>
                <w:lang w:val="en-GB" w:eastAsia="zh-CN"/>
              </w:rPr>
              <w:t> </w:t>
            </w: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Όχι συχνές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905AD4" w:rsidP="00905AD4">
            <w:pPr>
              <w:widowControl/>
              <w:autoSpaceDE w:val="0"/>
              <w:autoSpaceDN w:val="0"/>
              <w:adjustRightInd w:val="0"/>
              <w:rPr>
                <w:szCs w:val="22"/>
                <w:lang w:eastAsia="el-GR"/>
              </w:rPr>
            </w:pPr>
            <w:r w:rsidRPr="004008FE">
              <w:rPr>
                <w:szCs w:val="22"/>
                <w:lang w:eastAsia="el-GR"/>
              </w:rPr>
              <w:t>Βρογχόσπασμος</w:t>
            </w:r>
          </w:p>
        </w:tc>
      </w:tr>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8919A5" w:rsidRPr="004008FE" w:rsidRDefault="00905AD4" w:rsidP="00905AD4">
            <w:pPr>
              <w:widowControl/>
              <w:autoSpaceDE w:val="0"/>
              <w:autoSpaceDN w:val="0"/>
              <w:adjustRightInd w:val="0"/>
              <w:rPr>
                <w:b/>
                <w:szCs w:val="22"/>
                <w:lang w:eastAsia="el-GR"/>
              </w:rPr>
            </w:pPr>
            <w:r w:rsidRPr="004008FE">
              <w:rPr>
                <w:b/>
                <w:iCs/>
                <w:szCs w:val="22"/>
                <w:lang w:eastAsia="el-GR"/>
              </w:rPr>
              <w:t>Διαταραχές του δέρματος και του υποδόριου ιστού</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r w:rsidRPr="004008FE">
              <w:rPr>
                <w:rFonts w:eastAsia="SimSun"/>
                <w:szCs w:val="22"/>
                <w:lang w:val="en-GB" w:eastAsia="zh-CN"/>
              </w:rPr>
              <w:lastRenderedPageBreak/>
              <w:t> </w:t>
            </w: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8919A5" w:rsidP="008919A5">
            <w:pPr>
              <w:widowControl/>
              <w:autoSpaceDE w:val="0"/>
              <w:autoSpaceDN w:val="0"/>
              <w:adjustRightInd w:val="0"/>
              <w:rPr>
                <w:szCs w:val="22"/>
                <w:lang w:eastAsia="el-GR"/>
              </w:rPr>
            </w:pPr>
            <w:r w:rsidRPr="004008FE">
              <w:rPr>
                <w:szCs w:val="22"/>
                <w:lang w:eastAsia="el-GR"/>
              </w:rPr>
              <w:t>Όχι συχνές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905AD4" w:rsidP="00905AD4">
            <w:pPr>
              <w:widowControl/>
              <w:autoSpaceDE w:val="0"/>
              <w:autoSpaceDN w:val="0"/>
              <w:adjustRightInd w:val="0"/>
              <w:rPr>
                <w:szCs w:val="22"/>
                <w:lang w:eastAsia="el-GR"/>
              </w:rPr>
            </w:pPr>
            <w:r w:rsidRPr="004008FE">
              <w:rPr>
                <w:szCs w:val="22"/>
                <w:lang w:eastAsia="el-GR"/>
              </w:rPr>
              <w:t>Εξάνθημα</w:t>
            </w:r>
          </w:p>
        </w:tc>
      </w:tr>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8919A5" w:rsidRPr="004008FE" w:rsidRDefault="00905AD4" w:rsidP="00905AD4">
            <w:pPr>
              <w:widowControl/>
              <w:autoSpaceDE w:val="0"/>
              <w:autoSpaceDN w:val="0"/>
              <w:adjustRightInd w:val="0"/>
              <w:rPr>
                <w:b/>
                <w:szCs w:val="22"/>
                <w:lang w:eastAsia="el-GR"/>
              </w:rPr>
            </w:pPr>
            <w:r w:rsidRPr="004008FE">
              <w:rPr>
                <w:b/>
                <w:iCs/>
                <w:szCs w:val="22"/>
                <w:lang w:eastAsia="el-GR"/>
              </w:rPr>
              <w:t>Διαταραχές του ανοσοποιητικού συστήματος</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r w:rsidRPr="004008FE">
              <w:rPr>
                <w:rFonts w:eastAsia="SimSun"/>
                <w:szCs w:val="22"/>
                <w:lang w:eastAsia="zh-CN"/>
              </w:rPr>
              <w:t> </w:t>
            </w: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905AD4" w:rsidP="00905AD4">
            <w:pPr>
              <w:widowControl/>
              <w:autoSpaceDE w:val="0"/>
              <w:autoSpaceDN w:val="0"/>
              <w:adjustRightInd w:val="0"/>
              <w:rPr>
                <w:szCs w:val="22"/>
                <w:lang w:eastAsia="el-GR"/>
              </w:rPr>
            </w:pPr>
            <w:r w:rsidRPr="004008FE">
              <w:rPr>
                <w:szCs w:val="22"/>
                <w:lang w:eastAsia="el-GR"/>
              </w:rPr>
              <w:t>Πολύ σπάνιες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905AD4" w:rsidP="00905AD4">
            <w:pPr>
              <w:widowControl/>
              <w:autoSpaceDE w:val="0"/>
              <w:autoSpaceDN w:val="0"/>
              <w:adjustRightInd w:val="0"/>
              <w:rPr>
                <w:szCs w:val="22"/>
                <w:lang w:eastAsia="el-GR"/>
              </w:rPr>
            </w:pPr>
            <w:r w:rsidRPr="004008FE">
              <w:rPr>
                <w:szCs w:val="22"/>
                <w:lang w:eastAsia="el-GR"/>
              </w:rPr>
              <w:t>Αναφυλακτική αντίδραση</w:t>
            </w:r>
          </w:p>
        </w:tc>
      </w:tr>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F84102" w:rsidRPr="004008FE" w:rsidRDefault="00F84102" w:rsidP="00F84102">
            <w:pPr>
              <w:widowControl/>
              <w:autoSpaceDE w:val="0"/>
              <w:autoSpaceDN w:val="0"/>
              <w:adjustRightInd w:val="0"/>
              <w:rPr>
                <w:b/>
                <w:szCs w:val="22"/>
                <w:lang w:eastAsia="el-GR"/>
              </w:rPr>
            </w:pPr>
            <w:r w:rsidRPr="004008FE">
              <w:rPr>
                <w:b/>
                <w:szCs w:val="22"/>
                <w:lang w:eastAsia="el-GR"/>
              </w:rPr>
              <w:t xml:space="preserve">Οι αναφυλακτικές αντιδράσεις ποικίλου βαθμού και βαρύτητας έχουν παρατηρηθεί </w:t>
            </w:r>
            <w:r w:rsidR="00CB6944" w:rsidRPr="004008FE">
              <w:rPr>
                <w:b/>
                <w:szCs w:val="22"/>
                <w:lang w:eastAsia="el-GR"/>
              </w:rPr>
              <w:t>μετά τη χορήγηση νευρομυϊ</w:t>
            </w:r>
            <w:r w:rsidRPr="004008FE">
              <w:rPr>
                <w:b/>
                <w:szCs w:val="22"/>
                <w:lang w:eastAsia="el-GR"/>
              </w:rPr>
              <w:t xml:space="preserve">κών αποκλειστών. </w:t>
            </w:r>
          </w:p>
          <w:p w:rsidR="00F84102" w:rsidRPr="004008FE" w:rsidRDefault="00F84102" w:rsidP="00F84102">
            <w:pPr>
              <w:widowControl/>
              <w:autoSpaceDE w:val="0"/>
              <w:autoSpaceDN w:val="0"/>
              <w:adjustRightInd w:val="0"/>
              <w:rPr>
                <w:b/>
                <w:szCs w:val="22"/>
                <w:lang w:eastAsia="el-GR"/>
              </w:rPr>
            </w:pPr>
          </w:p>
          <w:p w:rsidR="008919A5" w:rsidRPr="004008FE" w:rsidRDefault="00F84102" w:rsidP="00F84102">
            <w:pPr>
              <w:widowControl/>
              <w:autoSpaceDE w:val="0"/>
              <w:autoSpaceDN w:val="0"/>
              <w:adjustRightInd w:val="0"/>
              <w:rPr>
                <w:b/>
                <w:szCs w:val="22"/>
                <w:lang w:eastAsia="el-GR"/>
              </w:rPr>
            </w:pPr>
            <w:r w:rsidRPr="004008FE">
              <w:rPr>
                <w:b/>
                <w:szCs w:val="22"/>
                <w:lang w:eastAsia="el-GR"/>
              </w:rPr>
              <w:t xml:space="preserve">Πολύ σπάνια, σοβαρές αναφυλακτικές αντιδράσεις έχουν αναφερθεί σε ασθενείς που έλαβαν </w:t>
            </w:r>
            <w:r w:rsidR="003376F0" w:rsidRPr="004008FE">
              <w:rPr>
                <w:b/>
                <w:szCs w:val="22"/>
                <w:lang w:val="en-GB"/>
              </w:rPr>
              <w:t>cisatracurium</w:t>
            </w:r>
            <w:r w:rsidR="003376F0" w:rsidRPr="004008FE">
              <w:rPr>
                <w:b/>
                <w:szCs w:val="22"/>
                <w:lang w:eastAsia="el-GR"/>
              </w:rPr>
              <w:t xml:space="preserve"> </w:t>
            </w:r>
            <w:r w:rsidRPr="004008FE">
              <w:rPr>
                <w:b/>
                <w:szCs w:val="22"/>
                <w:lang w:eastAsia="el-GR"/>
              </w:rPr>
              <w:t>σε συνδυασμό με ένα ή περισσότερους αναισθητικούς παράγοντες.</w:t>
            </w:r>
          </w:p>
        </w:tc>
      </w:tr>
      <w:tr w:rsidR="008919A5" w:rsidRPr="004008FE">
        <w:trPr>
          <w:tblCellSpacing w:w="0" w:type="dxa"/>
        </w:trPr>
        <w:tc>
          <w:tcPr>
            <w:tcW w:w="8456" w:type="dxa"/>
            <w:gridSpan w:val="3"/>
            <w:tcBorders>
              <w:top w:val="outset" w:sz="6" w:space="0" w:color="auto"/>
              <w:left w:val="outset" w:sz="6" w:space="0" w:color="auto"/>
              <w:bottom w:val="outset" w:sz="6" w:space="0" w:color="auto"/>
              <w:right w:val="outset" w:sz="6" w:space="0" w:color="auto"/>
            </w:tcBorders>
          </w:tcPr>
          <w:p w:rsidR="008919A5" w:rsidRPr="004008FE" w:rsidRDefault="00B4296A" w:rsidP="00B4296A">
            <w:pPr>
              <w:widowControl/>
              <w:autoSpaceDE w:val="0"/>
              <w:autoSpaceDN w:val="0"/>
              <w:adjustRightInd w:val="0"/>
              <w:rPr>
                <w:b/>
                <w:szCs w:val="22"/>
                <w:lang w:eastAsia="el-GR"/>
              </w:rPr>
            </w:pPr>
            <w:r w:rsidRPr="004008FE">
              <w:rPr>
                <w:b/>
                <w:iCs/>
                <w:szCs w:val="22"/>
                <w:lang w:eastAsia="el-GR"/>
              </w:rPr>
              <w:t>Διαταραχές του μυοσκελετικού συστήματος και του συνδετικού ιστού</w:t>
            </w:r>
          </w:p>
        </w:tc>
      </w:tr>
      <w:tr w:rsidR="008919A5" w:rsidRPr="004008FE">
        <w:trPr>
          <w:tblCellSpacing w:w="0" w:type="dxa"/>
        </w:trPr>
        <w:tc>
          <w:tcPr>
            <w:tcW w:w="1592" w:type="dxa"/>
            <w:tcBorders>
              <w:top w:val="outset" w:sz="6" w:space="0" w:color="auto"/>
              <w:left w:val="outset" w:sz="6" w:space="0" w:color="auto"/>
              <w:bottom w:val="outset" w:sz="6" w:space="0" w:color="auto"/>
              <w:right w:val="outset" w:sz="6" w:space="0" w:color="auto"/>
            </w:tcBorders>
          </w:tcPr>
          <w:p w:rsidR="008919A5" w:rsidRPr="004008FE" w:rsidRDefault="008919A5" w:rsidP="00E55495">
            <w:pPr>
              <w:jc w:val="both"/>
              <w:rPr>
                <w:rFonts w:eastAsia="SimSun"/>
                <w:szCs w:val="22"/>
                <w:lang w:eastAsia="zh-CN"/>
              </w:rPr>
            </w:pPr>
          </w:p>
        </w:tc>
        <w:tc>
          <w:tcPr>
            <w:tcW w:w="2818" w:type="dxa"/>
            <w:tcBorders>
              <w:top w:val="outset" w:sz="6" w:space="0" w:color="auto"/>
              <w:left w:val="outset" w:sz="6" w:space="0" w:color="auto"/>
              <w:bottom w:val="outset" w:sz="6" w:space="0" w:color="auto"/>
              <w:right w:val="outset" w:sz="6" w:space="0" w:color="auto"/>
            </w:tcBorders>
          </w:tcPr>
          <w:p w:rsidR="008919A5" w:rsidRPr="004008FE" w:rsidRDefault="00B4296A" w:rsidP="00B4296A">
            <w:pPr>
              <w:widowControl/>
              <w:autoSpaceDE w:val="0"/>
              <w:autoSpaceDN w:val="0"/>
              <w:adjustRightInd w:val="0"/>
              <w:rPr>
                <w:szCs w:val="22"/>
                <w:lang w:eastAsia="el-GR"/>
              </w:rPr>
            </w:pPr>
            <w:r w:rsidRPr="004008FE">
              <w:rPr>
                <w:szCs w:val="22"/>
                <w:lang w:eastAsia="el-GR"/>
              </w:rPr>
              <w:t>Πολύ σπάνιες</w:t>
            </w:r>
          </w:p>
        </w:tc>
        <w:tc>
          <w:tcPr>
            <w:tcW w:w="4046" w:type="dxa"/>
            <w:tcBorders>
              <w:top w:val="outset" w:sz="6" w:space="0" w:color="auto"/>
              <w:left w:val="outset" w:sz="6" w:space="0" w:color="auto"/>
              <w:bottom w:val="outset" w:sz="6" w:space="0" w:color="auto"/>
              <w:right w:val="outset" w:sz="6" w:space="0" w:color="auto"/>
            </w:tcBorders>
          </w:tcPr>
          <w:p w:rsidR="008919A5" w:rsidRPr="004008FE" w:rsidRDefault="00D17318" w:rsidP="00B4296A">
            <w:pPr>
              <w:widowControl/>
              <w:autoSpaceDE w:val="0"/>
              <w:autoSpaceDN w:val="0"/>
              <w:adjustRightInd w:val="0"/>
              <w:rPr>
                <w:szCs w:val="22"/>
                <w:lang w:eastAsia="el-GR"/>
              </w:rPr>
            </w:pPr>
            <w:r w:rsidRPr="004008FE">
              <w:rPr>
                <w:szCs w:val="22"/>
                <w:lang w:eastAsia="el-GR"/>
              </w:rPr>
              <w:t>Μυοπάθεια, μυϊ</w:t>
            </w:r>
            <w:r w:rsidR="00B4296A" w:rsidRPr="004008FE">
              <w:rPr>
                <w:szCs w:val="22"/>
                <w:lang w:eastAsia="el-GR"/>
              </w:rPr>
              <w:t>κή αδυναμία</w:t>
            </w:r>
          </w:p>
        </w:tc>
      </w:tr>
    </w:tbl>
    <w:p w:rsidR="008919A5" w:rsidRPr="004008FE" w:rsidRDefault="008919A5" w:rsidP="008919A5">
      <w:pPr>
        <w:widowControl/>
        <w:autoSpaceDE w:val="0"/>
        <w:autoSpaceDN w:val="0"/>
        <w:adjustRightInd w:val="0"/>
        <w:rPr>
          <w:szCs w:val="22"/>
          <w:lang w:eastAsia="el-GR"/>
        </w:rPr>
      </w:pPr>
    </w:p>
    <w:p w:rsidR="00F121DA" w:rsidRPr="004008FE" w:rsidRDefault="00DB24B0" w:rsidP="00F121DA">
      <w:pPr>
        <w:widowControl/>
        <w:autoSpaceDE w:val="0"/>
        <w:autoSpaceDN w:val="0"/>
        <w:adjustRightInd w:val="0"/>
        <w:rPr>
          <w:szCs w:val="22"/>
          <w:lang w:eastAsia="el-GR"/>
        </w:rPr>
      </w:pPr>
      <w:r w:rsidRPr="004008FE">
        <w:rPr>
          <w:szCs w:val="22"/>
          <w:lang w:eastAsia="el-GR"/>
        </w:rPr>
        <w:t>Υπάρχουν κάποιες αναφορές μυϊ</w:t>
      </w:r>
      <w:r w:rsidR="00F121DA" w:rsidRPr="004008FE">
        <w:rPr>
          <w:szCs w:val="22"/>
          <w:lang w:eastAsia="el-GR"/>
        </w:rPr>
        <w:t xml:space="preserve">κής αδυναμίας και/ή μυοπάθειας μετά από </w:t>
      </w:r>
      <w:r w:rsidR="0067063C" w:rsidRPr="004008FE">
        <w:rPr>
          <w:szCs w:val="22"/>
          <w:lang w:eastAsia="el-GR"/>
        </w:rPr>
        <w:t>παρατεταμένη χρήση μυοχαλ</w:t>
      </w:r>
      <w:r w:rsidR="00F121DA" w:rsidRPr="004008FE">
        <w:rPr>
          <w:szCs w:val="22"/>
          <w:lang w:eastAsia="el-GR"/>
        </w:rPr>
        <w:t xml:space="preserve">αρωτικών σε βαρειά άρρωστους ασθενείς σε ΜΕΘ. Οι περισσότεροι ασθενείς ελάμβαναν ταυτόχρονα και κορτικοστεροειδή. Αυτές οι καταστάσεις δεν έχουν αναφερθεί συχνά με το </w:t>
      </w:r>
      <w:r w:rsidR="00F121DA" w:rsidRPr="004008FE">
        <w:rPr>
          <w:szCs w:val="22"/>
          <w:lang w:val="en-GB"/>
        </w:rPr>
        <w:t>C</w:t>
      </w:r>
      <w:r w:rsidR="00D56864" w:rsidRPr="004008FE">
        <w:rPr>
          <w:szCs w:val="22"/>
          <w:lang w:val="en-GB"/>
        </w:rPr>
        <w:t>ICATRAL</w:t>
      </w:r>
      <w:r w:rsidR="00F121DA" w:rsidRPr="004008FE">
        <w:rPr>
          <w:szCs w:val="22"/>
          <w:lang w:eastAsia="el-GR"/>
        </w:rPr>
        <w:t xml:space="preserve"> και η αιτιολογική συσχέτιση δεν έχει τεκμηριωθεί.</w:t>
      </w:r>
    </w:p>
    <w:p w:rsidR="00172799" w:rsidRPr="004008FE" w:rsidRDefault="00172799" w:rsidP="00172799">
      <w:pPr>
        <w:rPr>
          <w:szCs w:val="22"/>
        </w:rPr>
      </w:pPr>
    </w:p>
    <w:p w:rsidR="00496809" w:rsidRPr="004008FE" w:rsidRDefault="00496809" w:rsidP="00646B7A">
      <w:pPr>
        <w:numPr>
          <w:ilvl w:val="1"/>
          <w:numId w:val="22"/>
        </w:numPr>
        <w:rPr>
          <w:b/>
          <w:szCs w:val="22"/>
        </w:rPr>
      </w:pPr>
      <w:r w:rsidRPr="004008FE">
        <w:rPr>
          <w:b/>
          <w:szCs w:val="22"/>
        </w:rPr>
        <w:t>Υπερδοσολογία</w:t>
      </w:r>
    </w:p>
    <w:p w:rsidR="00646B7A" w:rsidRPr="004008FE" w:rsidRDefault="00646B7A" w:rsidP="00646B7A">
      <w:pPr>
        <w:rPr>
          <w:b/>
          <w:szCs w:val="22"/>
        </w:rPr>
      </w:pPr>
    </w:p>
    <w:p w:rsidR="00646B7A" w:rsidRPr="004008FE" w:rsidRDefault="00646B7A" w:rsidP="00646B7A">
      <w:pPr>
        <w:widowControl/>
        <w:autoSpaceDE w:val="0"/>
        <w:autoSpaceDN w:val="0"/>
        <w:adjustRightInd w:val="0"/>
        <w:rPr>
          <w:iCs/>
          <w:szCs w:val="22"/>
          <w:lang w:eastAsia="el-GR"/>
        </w:rPr>
      </w:pPr>
      <w:r w:rsidRPr="004008FE">
        <w:rPr>
          <w:iCs/>
          <w:szCs w:val="22"/>
          <w:lang w:eastAsia="el-GR"/>
        </w:rPr>
        <w:t>Συμπτώματα και κλινικά σημεία</w:t>
      </w:r>
    </w:p>
    <w:p w:rsidR="00646B7A" w:rsidRPr="004008FE" w:rsidRDefault="00646B7A" w:rsidP="00646B7A">
      <w:pPr>
        <w:widowControl/>
        <w:autoSpaceDE w:val="0"/>
        <w:autoSpaceDN w:val="0"/>
        <w:adjustRightInd w:val="0"/>
        <w:rPr>
          <w:szCs w:val="22"/>
          <w:lang w:eastAsia="el-GR"/>
        </w:rPr>
      </w:pPr>
    </w:p>
    <w:p w:rsidR="00646B7A" w:rsidRPr="004008FE" w:rsidRDefault="00646B7A" w:rsidP="00646B7A">
      <w:pPr>
        <w:widowControl/>
        <w:autoSpaceDE w:val="0"/>
        <w:autoSpaceDN w:val="0"/>
        <w:adjustRightInd w:val="0"/>
        <w:rPr>
          <w:szCs w:val="22"/>
          <w:lang w:eastAsia="el-GR"/>
        </w:rPr>
      </w:pPr>
      <w:r w:rsidRPr="004008FE">
        <w:rPr>
          <w:szCs w:val="22"/>
          <w:lang w:eastAsia="el-GR"/>
        </w:rPr>
        <w:t>Παρατεταμένη μυϊκή παράλυση και οι συνέπειές της είναι τα αναμενόμενα κλινικά</w:t>
      </w:r>
      <w:r w:rsidR="00C13778" w:rsidRPr="004008FE">
        <w:rPr>
          <w:szCs w:val="22"/>
          <w:lang w:eastAsia="el-GR"/>
        </w:rPr>
        <w:t xml:space="preserve"> </w:t>
      </w:r>
      <w:r w:rsidRPr="004008FE">
        <w:rPr>
          <w:szCs w:val="22"/>
          <w:lang w:eastAsia="el-GR"/>
        </w:rPr>
        <w:t xml:space="preserve">σημεία υπερδοσολογίας του </w:t>
      </w:r>
      <w:r w:rsidR="009712D7" w:rsidRPr="004008FE">
        <w:rPr>
          <w:szCs w:val="22"/>
          <w:lang w:val="en-US" w:eastAsia="el-GR"/>
        </w:rPr>
        <w:t>CISATRAL</w:t>
      </w:r>
      <w:r w:rsidR="009712D7" w:rsidRPr="004008FE" w:rsidDel="009712D7">
        <w:rPr>
          <w:szCs w:val="22"/>
        </w:rPr>
        <w:t xml:space="preserve"> </w:t>
      </w:r>
      <w:r w:rsidRPr="004008FE">
        <w:rPr>
          <w:szCs w:val="22"/>
          <w:lang w:eastAsia="el-GR"/>
        </w:rPr>
        <w:t>.</w:t>
      </w:r>
    </w:p>
    <w:p w:rsidR="00646B7A" w:rsidRPr="004008FE" w:rsidRDefault="00646B7A" w:rsidP="00646B7A">
      <w:pPr>
        <w:rPr>
          <w:szCs w:val="22"/>
        </w:rPr>
      </w:pPr>
    </w:p>
    <w:p w:rsidR="00D27577" w:rsidRPr="004008FE" w:rsidRDefault="00D27577" w:rsidP="00D27577">
      <w:pPr>
        <w:widowControl/>
        <w:autoSpaceDE w:val="0"/>
        <w:autoSpaceDN w:val="0"/>
        <w:adjustRightInd w:val="0"/>
        <w:rPr>
          <w:b/>
          <w:szCs w:val="22"/>
          <w:lang w:eastAsia="el-GR"/>
        </w:rPr>
      </w:pPr>
      <w:r w:rsidRPr="004008FE">
        <w:rPr>
          <w:b/>
          <w:iCs/>
          <w:szCs w:val="22"/>
          <w:lang w:eastAsia="el-GR"/>
        </w:rPr>
        <w:t>Αντιμετώπιση</w:t>
      </w:r>
    </w:p>
    <w:p w:rsidR="00496809" w:rsidRPr="004008FE" w:rsidRDefault="00496809">
      <w:pPr>
        <w:rPr>
          <w:szCs w:val="22"/>
        </w:rPr>
      </w:pPr>
    </w:p>
    <w:p w:rsidR="00056716" w:rsidRPr="004008FE" w:rsidRDefault="00D27577" w:rsidP="00044E72">
      <w:pPr>
        <w:widowControl/>
        <w:autoSpaceDE w:val="0"/>
        <w:autoSpaceDN w:val="0"/>
        <w:adjustRightInd w:val="0"/>
        <w:rPr>
          <w:szCs w:val="22"/>
          <w:lang w:eastAsia="el-GR"/>
        </w:rPr>
      </w:pPr>
      <w:r w:rsidRPr="004008FE">
        <w:rPr>
          <w:szCs w:val="22"/>
          <w:lang w:eastAsia="el-GR"/>
        </w:rPr>
        <w:t xml:space="preserve">Είναι ουσιώδες να διατηρηθεί ο αερισμός των πνευμόνων και η οξυγόνωση του αρτηριακού αίματος μέχρι να επανέλθει η αυτόματη αναπνευστική λειτουργία σε ικανοποιητικά επίπεδα. Θα απαιτηθεί πλήρης καταστολή, επειδή το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δεν επηρεάζει το επίπεδο συνειδήσεως. Η ανάνηψη μπορεί να επιταχυνθεί με τη </w:t>
      </w:r>
      <w:r w:rsidR="00C13778" w:rsidRPr="004008FE">
        <w:rPr>
          <w:szCs w:val="22"/>
          <w:lang w:eastAsia="el-GR"/>
        </w:rPr>
        <w:t>χορήγηση αντι</w:t>
      </w:r>
      <w:r w:rsidRPr="004008FE">
        <w:rPr>
          <w:szCs w:val="22"/>
          <w:lang w:eastAsia="el-GR"/>
        </w:rPr>
        <w:t>χολινεστερασικών ουσιών, όταν υπάρξουν ενδείξεις αυτόματης ανάνηψης.</w:t>
      </w:r>
    </w:p>
    <w:p w:rsidR="00496809" w:rsidRPr="004008FE" w:rsidRDefault="00496809">
      <w:pPr>
        <w:rPr>
          <w:szCs w:val="22"/>
        </w:rPr>
      </w:pPr>
    </w:p>
    <w:p w:rsidR="00496809" w:rsidRPr="004008FE" w:rsidRDefault="00496809">
      <w:pPr>
        <w:rPr>
          <w:szCs w:val="22"/>
        </w:rPr>
      </w:pPr>
    </w:p>
    <w:p w:rsidR="00496809" w:rsidRPr="004008FE" w:rsidRDefault="00496809">
      <w:pPr>
        <w:rPr>
          <w:szCs w:val="22"/>
        </w:rPr>
      </w:pPr>
      <w:r w:rsidRPr="004008FE">
        <w:rPr>
          <w:b/>
          <w:szCs w:val="22"/>
        </w:rPr>
        <w:t>5.</w:t>
      </w:r>
      <w:r w:rsidRPr="004008FE">
        <w:rPr>
          <w:b/>
          <w:szCs w:val="22"/>
        </w:rPr>
        <w:tab/>
        <w:t>ΦΑΡΜΑΚΟΛΟΓΙΚΕΣ ΙΔΙΟΤΗΤΕΣ</w:t>
      </w:r>
    </w:p>
    <w:p w:rsidR="00496809" w:rsidRPr="004008FE" w:rsidRDefault="00496809">
      <w:pPr>
        <w:rPr>
          <w:szCs w:val="22"/>
        </w:rPr>
      </w:pPr>
    </w:p>
    <w:p w:rsidR="00496809" w:rsidRPr="004008FE" w:rsidRDefault="00496809">
      <w:pPr>
        <w:rPr>
          <w:szCs w:val="22"/>
        </w:rPr>
      </w:pPr>
      <w:r w:rsidRPr="004008FE">
        <w:rPr>
          <w:b/>
          <w:szCs w:val="22"/>
        </w:rPr>
        <w:t>5.1</w:t>
      </w:r>
      <w:r w:rsidRPr="004008FE">
        <w:rPr>
          <w:b/>
          <w:szCs w:val="22"/>
        </w:rPr>
        <w:tab/>
        <w:t>Φαρμακοδυναμικές ιδιότητες</w:t>
      </w:r>
    </w:p>
    <w:p w:rsidR="00496809" w:rsidRPr="004008FE" w:rsidRDefault="00496809">
      <w:pPr>
        <w:rPr>
          <w:szCs w:val="22"/>
        </w:rPr>
      </w:pPr>
    </w:p>
    <w:p w:rsidR="00044E72" w:rsidRPr="004008FE" w:rsidRDefault="00044E72" w:rsidP="00044E72">
      <w:pPr>
        <w:widowControl/>
        <w:autoSpaceDE w:val="0"/>
        <w:autoSpaceDN w:val="0"/>
        <w:adjustRightInd w:val="0"/>
        <w:rPr>
          <w:szCs w:val="22"/>
          <w:lang w:eastAsia="el-GR"/>
        </w:rPr>
      </w:pPr>
      <w:r w:rsidRPr="004008FE">
        <w:rPr>
          <w:szCs w:val="22"/>
          <w:lang w:eastAsia="el-GR"/>
        </w:rPr>
        <w:t>Το cisatracuriu</w:t>
      </w:r>
      <w:r w:rsidR="0075018D" w:rsidRPr="004008FE">
        <w:rPr>
          <w:szCs w:val="22"/>
          <w:lang w:eastAsia="el-GR"/>
        </w:rPr>
        <w:t>m είναι ένας παράγοντας νευρομυϊ</w:t>
      </w:r>
      <w:r w:rsidRPr="004008FE">
        <w:rPr>
          <w:szCs w:val="22"/>
          <w:lang w:eastAsia="el-GR"/>
        </w:rPr>
        <w:t>κού αποκλεισμού, κωδικός ΑΤC: Μ03Α C11.</w:t>
      </w:r>
    </w:p>
    <w:p w:rsidR="00044E72" w:rsidRPr="004008FE" w:rsidRDefault="00044E72" w:rsidP="00044E72">
      <w:pPr>
        <w:widowControl/>
        <w:autoSpaceDE w:val="0"/>
        <w:autoSpaceDN w:val="0"/>
        <w:adjustRightInd w:val="0"/>
        <w:rPr>
          <w:szCs w:val="22"/>
          <w:lang w:eastAsia="el-GR"/>
        </w:rPr>
      </w:pPr>
    </w:p>
    <w:p w:rsidR="00044E72" w:rsidRPr="004008FE" w:rsidRDefault="00044E72" w:rsidP="00044E72">
      <w:pPr>
        <w:widowControl/>
        <w:autoSpaceDE w:val="0"/>
        <w:autoSpaceDN w:val="0"/>
        <w:adjustRightInd w:val="0"/>
        <w:rPr>
          <w:szCs w:val="22"/>
          <w:lang w:eastAsia="el-GR"/>
        </w:rPr>
      </w:pPr>
      <w:r w:rsidRPr="004008FE">
        <w:rPr>
          <w:szCs w:val="22"/>
          <w:lang w:eastAsia="el-GR"/>
        </w:rPr>
        <w:t>Το cisatracurium είναι ένας μέσης διάρκειας δράσης, μη-αποπολωτικός, βενζυλισοκινολινικός μυοχαλαρωτικός παράγοντας των σκελετικών μυών.</w:t>
      </w:r>
    </w:p>
    <w:p w:rsidR="00044E72" w:rsidRPr="004008FE" w:rsidRDefault="00044E72" w:rsidP="00044E72">
      <w:pPr>
        <w:widowControl/>
        <w:autoSpaceDE w:val="0"/>
        <w:autoSpaceDN w:val="0"/>
        <w:adjustRightInd w:val="0"/>
        <w:rPr>
          <w:szCs w:val="22"/>
          <w:lang w:eastAsia="el-GR"/>
        </w:rPr>
      </w:pPr>
    </w:p>
    <w:p w:rsidR="00044E72" w:rsidRPr="004008FE" w:rsidRDefault="00044E72" w:rsidP="00044E72">
      <w:pPr>
        <w:widowControl/>
        <w:autoSpaceDE w:val="0"/>
        <w:autoSpaceDN w:val="0"/>
        <w:adjustRightInd w:val="0"/>
        <w:rPr>
          <w:szCs w:val="22"/>
          <w:lang w:eastAsia="el-GR"/>
        </w:rPr>
      </w:pPr>
      <w:r w:rsidRPr="004008FE">
        <w:rPr>
          <w:szCs w:val="22"/>
          <w:lang w:eastAsia="el-GR"/>
        </w:rPr>
        <w:t xml:space="preserve">Κλινικές μελέτες σε ανθρώπους έδειξαν ότι το </w:t>
      </w:r>
      <w:r w:rsidR="003376F0" w:rsidRPr="004008FE">
        <w:rPr>
          <w:szCs w:val="22"/>
          <w:lang w:val="en-GB"/>
        </w:rPr>
        <w:t>c</w:t>
      </w:r>
      <w:r w:rsidRPr="004008FE">
        <w:rPr>
          <w:szCs w:val="22"/>
          <w:lang w:val="en-GB"/>
        </w:rPr>
        <w:t>isatracurium</w:t>
      </w:r>
      <w:r w:rsidRPr="004008FE">
        <w:rPr>
          <w:szCs w:val="22"/>
        </w:rPr>
        <w:t xml:space="preserve"> </w:t>
      </w:r>
      <w:r w:rsidRPr="004008FE">
        <w:rPr>
          <w:szCs w:val="22"/>
          <w:lang w:eastAsia="el-GR"/>
        </w:rPr>
        <w:t>δεν συσχετίζεται με δοσοεξαρτώμενη απελευθέρωση ισταμίνης ακόμα και σε δόσεις μέχρι και 8 Χ ED</w:t>
      </w:r>
      <w:r w:rsidRPr="004008FE">
        <w:rPr>
          <w:szCs w:val="22"/>
          <w:vertAlign w:val="subscript"/>
          <w:lang w:eastAsia="el-GR"/>
        </w:rPr>
        <w:t>95</w:t>
      </w:r>
      <w:r w:rsidRPr="004008FE">
        <w:rPr>
          <w:szCs w:val="22"/>
          <w:lang w:eastAsia="el-GR"/>
        </w:rPr>
        <w:t>.</w:t>
      </w:r>
    </w:p>
    <w:p w:rsidR="00044E72" w:rsidRPr="004008FE" w:rsidRDefault="00044E72" w:rsidP="00044E72">
      <w:pPr>
        <w:widowControl/>
        <w:autoSpaceDE w:val="0"/>
        <w:autoSpaceDN w:val="0"/>
        <w:adjustRightInd w:val="0"/>
        <w:rPr>
          <w:szCs w:val="22"/>
          <w:lang w:eastAsia="el-GR"/>
        </w:rPr>
      </w:pPr>
    </w:p>
    <w:p w:rsidR="00044E72" w:rsidRPr="004008FE" w:rsidRDefault="00044E72" w:rsidP="00044E72">
      <w:pPr>
        <w:widowControl/>
        <w:autoSpaceDE w:val="0"/>
        <w:autoSpaceDN w:val="0"/>
        <w:adjustRightInd w:val="0"/>
        <w:rPr>
          <w:b/>
          <w:bCs/>
          <w:szCs w:val="22"/>
          <w:lang w:eastAsia="el-GR"/>
        </w:rPr>
      </w:pPr>
      <w:r w:rsidRPr="004008FE">
        <w:rPr>
          <w:b/>
          <w:bCs/>
          <w:szCs w:val="22"/>
          <w:lang w:eastAsia="el-GR"/>
        </w:rPr>
        <w:t>Τρόπος Δράσης</w:t>
      </w:r>
    </w:p>
    <w:p w:rsidR="00044E72" w:rsidRPr="004008FE" w:rsidRDefault="00044E72" w:rsidP="00044E72">
      <w:pPr>
        <w:widowControl/>
        <w:autoSpaceDE w:val="0"/>
        <w:autoSpaceDN w:val="0"/>
        <w:adjustRightInd w:val="0"/>
        <w:rPr>
          <w:b/>
          <w:bCs/>
          <w:szCs w:val="22"/>
          <w:lang w:eastAsia="el-GR"/>
        </w:rPr>
      </w:pPr>
    </w:p>
    <w:p w:rsidR="00044E72" w:rsidRPr="004008FE" w:rsidRDefault="00044E72" w:rsidP="00044E72">
      <w:pPr>
        <w:widowControl/>
        <w:autoSpaceDE w:val="0"/>
        <w:autoSpaceDN w:val="0"/>
        <w:adjustRightInd w:val="0"/>
        <w:rPr>
          <w:szCs w:val="22"/>
          <w:lang w:eastAsia="el-GR"/>
        </w:rPr>
      </w:pPr>
      <w:r w:rsidRPr="004008FE">
        <w:rPr>
          <w:szCs w:val="22"/>
          <w:lang w:eastAsia="el-GR"/>
        </w:rPr>
        <w:t xml:space="preserve">Το cisatracurium συνδέεται με χολινεργικούς υποδοχείς στη νευρομυϊκή σύναψη και ανταγωνίζεται τη δράση της ακετυλοχολίνης, με αποτέλεσμα να εμποδίζει ανταγωνιστικά τη μετάδοση του νευρομυϊκού ερεθίσματος. Αυτή η δράση μπορεί </w:t>
      </w:r>
      <w:r w:rsidR="009A4876" w:rsidRPr="004008FE">
        <w:rPr>
          <w:szCs w:val="22"/>
          <w:lang w:eastAsia="el-GR"/>
        </w:rPr>
        <w:t>εύκολα να αναστραφεί με αντι</w:t>
      </w:r>
      <w:r w:rsidRPr="004008FE">
        <w:rPr>
          <w:szCs w:val="22"/>
          <w:lang w:eastAsia="el-GR"/>
        </w:rPr>
        <w:t>χολινεστερασικά φάρμακα όπως η νεοστιγμίνη ή το εδροφόνιο.</w:t>
      </w:r>
    </w:p>
    <w:p w:rsidR="00044E72" w:rsidRPr="004008FE" w:rsidRDefault="00044E72" w:rsidP="00044E72">
      <w:pPr>
        <w:widowControl/>
        <w:autoSpaceDE w:val="0"/>
        <w:autoSpaceDN w:val="0"/>
        <w:adjustRightInd w:val="0"/>
        <w:rPr>
          <w:szCs w:val="22"/>
          <w:lang w:eastAsia="el-GR"/>
        </w:rPr>
      </w:pPr>
    </w:p>
    <w:p w:rsidR="00044E72" w:rsidRPr="004008FE" w:rsidRDefault="00044E72" w:rsidP="00044E72">
      <w:pPr>
        <w:widowControl/>
        <w:autoSpaceDE w:val="0"/>
        <w:autoSpaceDN w:val="0"/>
        <w:adjustRightInd w:val="0"/>
        <w:rPr>
          <w:szCs w:val="22"/>
          <w:lang w:eastAsia="el-GR"/>
        </w:rPr>
      </w:pPr>
      <w:r w:rsidRPr="004008FE">
        <w:rPr>
          <w:szCs w:val="22"/>
          <w:lang w:eastAsia="el-GR"/>
        </w:rPr>
        <w:lastRenderedPageBreak/>
        <w:t>Το ED</w:t>
      </w:r>
      <w:r w:rsidRPr="004008FE">
        <w:rPr>
          <w:szCs w:val="22"/>
          <w:vertAlign w:val="subscript"/>
          <w:lang w:eastAsia="el-GR"/>
        </w:rPr>
        <w:t>95</w:t>
      </w:r>
      <w:r w:rsidRPr="004008FE">
        <w:rPr>
          <w:szCs w:val="22"/>
          <w:lang w:eastAsia="el-GR"/>
        </w:rPr>
        <w:t xml:space="preserve"> (δόση που απαιτείται για να προκληθεί καταστολή κατά 95% της απάντησης </w:t>
      </w:r>
      <w:r w:rsidR="009A4876" w:rsidRPr="004008FE">
        <w:rPr>
          <w:szCs w:val="22"/>
          <w:lang w:eastAsia="el-GR"/>
        </w:rPr>
        <w:t xml:space="preserve">του </w:t>
      </w:r>
      <w:r w:rsidRPr="004008FE">
        <w:rPr>
          <w:szCs w:val="22"/>
          <w:lang w:eastAsia="el-GR"/>
        </w:rPr>
        <w:t>προσαγωγού μυός του αντίχειρα μετά από ερεθισμό του ωλενίου νεύρου) του cisatracurium υπολογίζεται σε 0,05 mg/kg βάρους σώματος κατά τη διάρκεια αναισθησίας με οπιοειδή (θειοπεντόνη, φαιντανύλη, μιδαζολάμη).</w:t>
      </w:r>
    </w:p>
    <w:p w:rsidR="00044E72" w:rsidRPr="004008FE" w:rsidRDefault="00044E72" w:rsidP="00044E72">
      <w:pPr>
        <w:widowControl/>
        <w:autoSpaceDE w:val="0"/>
        <w:autoSpaceDN w:val="0"/>
        <w:adjustRightInd w:val="0"/>
        <w:rPr>
          <w:szCs w:val="22"/>
          <w:lang w:eastAsia="el-GR"/>
        </w:rPr>
      </w:pPr>
    </w:p>
    <w:p w:rsidR="00044E72" w:rsidRPr="004008FE" w:rsidRDefault="00044E72" w:rsidP="00044E72">
      <w:pPr>
        <w:widowControl/>
        <w:autoSpaceDE w:val="0"/>
        <w:autoSpaceDN w:val="0"/>
        <w:adjustRightInd w:val="0"/>
        <w:rPr>
          <w:szCs w:val="22"/>
          <w:lang w:eastAsia="el-GR"/>
        </w:rPr>
      </w:pPr>
      <w:r w:rsidRPr="004008FE">
        <w:rPr>
          <w:szCs w:val="22"/>
          <w:lang w:eastAsia="el-GR"/>
        </w:rPr>
        <w:t>Το ED</w:t>
      </w:r>
      <w:r w:rsidRPr="004008FE">
        <w:rPr>
          <w:szCs w:val="22"/>
          <w:vertAlign w:val="subscript"/>
          <w:lang w:eastAsia="el-GR"/>
        </w:rPr>
        <w:t>95</w:t>
      </w:r>
      <w:r w:rsidRPr="004008FE">
        <w:rPr>
          <w:szCs w:val="22"/>
          <w:lang w:eastAsia="el-GR"/>
        </w:rPr>
        <w:t xml:space="preserve"> του cisatracurium σε παιδιά κατά τη διάρκεια αναισθησίας με αλοθάνιο είναι 0,04 mg/kg.</w:t>
      </w:r>
    </w:p>
    <w:p w:rsidR="00496809" w:rsidRPr="004008FE" w:rsidRDefault="00496809">
      <w:pPr>
        <w:rPr>
          <w:szCs w:val="22"/>
        </w:rPr>
      </w:pPr>
    </w:p>
    <w:p w:rsidR="00496809" w:rsidRPr="004008FE" w:rsidRDefault="00496809" w:rsidP="006D7A02">
      <w:pPr>
        <w:numPr>
          <w:ilvl w:val="1"/>
          <w:numId w:val="23"/>
        </w:numPr>
        <w:rPr>
          <w:b/>
          <w:szCs w:val="22"/>
        </w:rPr>
      </w:pPr>
      <w:r w:rsidRPr="004008FE">
        <w:rPr>
          <w:b/>
          <w:szCs w:val="22"/>
        </w:rPr>
        <w:t>Φαρμακοκινητικές ιδιότητες</w:t>
      </w:r>
    </w:p>
    <w:p w:rsidR="006D7A02" w:rsidRPr="004008FE" w:rsidRDefault="006D7A02" w:rsidP="006D7A02">
      <w:pPr>
        <w:rPr>
          <w:b/>
          <w:szCs w:val="22"/>
        </w:rPr>
      </w:pPr>
    </w:p>
    <w:p w:rsidR="006D7A02" w:rsidRPr="004008FE" w:rsidRDefault="006D7A02" w:rsidP="006D7A02">
      <w:pPr>
        <w:widowControl/>
        <w:autoSpaceDE w:val="0"/>
        <w:autoSpaceDN w:val="0"/>
        <w:adjustRightInd w:val="0"/>
        <w:rPr>
          <w:szCs w:val="22"/>
          <w:lang w:eastAsia="el-GR"/>
        </w:rPr>
      </w:pPr>
      <w:r w:rsidRPr="004008FE">
        <w:rPr>
          <w:szCs w:val="22"/>
          <w:lang w:eastAsia="el-GR"/>
        </w:rPr>
        <w:t>Το cisatracurium διασπάται στον οργανισμό σε συνθήκες φυσιολογικού pH και θερμοκρασίας με αποικοδόμηση κατά Hofmann (μια χημική διαδικασία) και παράγει λα</w:t>
      </w:r>
      <w:r w:rsidR="00280EA2" w:rsidRPr="004008FE">
        <w:rPr>
          <w:szCs w:val="22"/>
          <w:lang w:eastAsia="el-GR"/>
        </w:rPr>
        <w:t>ο</w:t>
      </w:r>
      <w:r w:rsidRPr="004008FE">
        <w:rPr>
          <w:szCs w:val="22"/>
          <w:lang w:eastAsia="el-GR"/>
        </w:rPr>
        <w:t xml:space="preserve">υδανοσίνη και τον μονοτεταρτοταγή ακρυλικό μεταβολίτη. Ο μονοτετραδικός ακρυλικός μεταβολίτης υδρολύεται από μη-ειδικές εστεράσες του πλάσματος και παράγει τον μονοτεταρτοταγή αλκοολικό μεταβολίτη. Η απέκκριση του cisatracurium είναι κατά μεγάλο μέρος ανεξάρτητη από τα όργανα του οργανισμού, αλλά το ήπαρ και οι νεφροί είναι οι βασικές οδοί απέκκρισης των μεταβολιτών του. </w:t>
      </w:r>
    </w:p>
    <w:p w:rsidR="006D7A02" w:rsidRPr="004008FE" w:rsidRDefault="006D7A02" w:rsidP="006D7A02">
      <w:pPr>
        <w:widowControl/>
        <w:autoSpaceDE w:val="0"/>
        <w:autoSpaceDN w:val="0"/>
        <w:adjustRightInd w:val="0"/>
        <w:rPr>
          <w:szCs w:val="22"/>
          <w:lang w:eastAsia="el-GR"/>
        </w:rPr>
      </w:pPr>
    </w:p>
    <w:p w:rsidR="006D7A02" w:rsidRPr="004008FE" w:rsidRDefault="006D7A02" w:rsidP="006D7A02">
      <w:pPr>
        <w:widowControl/>
        <w:autoSpaceDE w:val="0"/>
        <w:autoSpaceDN w:val="0"/>
        <w:adjustRightInd w:val="0"/>
        <w:rPr>
          <w:szCs w:val="22"/>
          <w:lang w:eastAsia="el-GR"/>
        </w:rPr>
      </w:pPr>
      <w:r w:rsidRPr="004008FE">
        <w:rPr>
          <w:szCs w:val="22"/>
          <w:lang w:eastAsia="el-GR"/>
        </w:rPr>
        <w:t>Αυτοί οι μεταβολίτες δεν έχουν δράση νευρομυϊκού αποκλεισμού.</w:t>
      </w:r>
    </w:p>
    <w:p w:rsidR="00D00C67" w:rsidRPr="004008FE" w:rsidRDefault="00D00C67" w:rsidP="006D7A02">
      <w:pPr>
        <w:widowControl/>
        <w:autoSpaceDE w:val="0"/>
        <w:autoSpaceDN w:val="0"/>
        <w:adjustRightInd w:val="0"/>
        <w:rPr>
          <w:szCs w:val="22"/>
          <w:lang w:eastAsia="el-GR"/>
        </w:rPr>
      </w:pPr>
    </w:p>
    <w:p w:rsidR="00D00C67" w:rsidRPr="004008FE" w:rsidRDefault="00D00C67" w:rsidP="00D00C67">
      <w:pPr>
        <w:widowControl/>
        <w:autoSpaceDE w:val="0"/>
        <w:autoSpaceDN w:val="0"/>
        <w:adjustRightInd w:val="0"/>
        <w:rPr>
          <w:b/>
          <w:bCs/>
          <w:szCs w:val="22"/>
          <w:lang w:eastAsia="el-GR"/>
        </w:rPr>
      </w:pPr>
      <w:r w:rsidRPr="004008FE">
        <w:rPr>
          <w:b/>
          <w:bCs/>
          <w:szCs w:val="22"/>
          <w:lang w:eastAsia="el-GR"/>
        </w:rPr>
        <w:t>Φαρμακοκινητική σε ενήλικες ασθενείς</w:t>
      </w:r>
    </w:p>
    <w:p w:rsidR="00D00C67" w:rsidRPr="004008FE" w:rsidRDefault="00D00C67" w:rsidP="00D00C67">
      <w:pPr>
        <w:widowControl/>
        <w:autoSpaceDE w:val="0"/>
        <w:autoSpaceDN w:val="0"/>
        <w:adjustRightInd w:val="0"/>
        <w:rPr>
          <w:b/>
          <w:bCs/>
          <w:szCs w:val="22"/>
          <w:lang w:eastAsia="el-GR"/>
        </w:rPr>
      </w:pPr>
    </w:p>
    <w:p w:rsidR="00D00C67" w:rsidRPr="004008FE" w:rsidRDefault="00D00C67" w:rsidP="00D00C67">
      <w:pPr>
        <w:widowControl/>
        <w:autoSpaceDE w:val="0"/>
        <w:autoSpaceDN w:val="0"/>
        <w:adjustRightInd w:val="0"/>
        <w:rPr>
          <w:szCs w:val="22"/>
          <w:lang w:eastAsia="el-GR"/>
        </w:rPr>
      </w:pPr>
      <w:r w:rsidRPr="004008FE">
        <w:rPr>
          <w:szCs w:val="22"/>
          <w:lang w:eastAsia="el-GR"/>
        </w:rPr>
        <w:t>Η μη διαμερισματική φαρμακοκινητική του cisatracurium είναι ανεξάρτητη της δόσης</w:t>
      </w:r>
      <w:r w:rsidR="00E86D00" w:rsidRPr="004008FE">
        <w:rPr>
          <w:szCs w:val="22"/>
          <w:lang w:eastAsia="el-GR"/>
        </w:rPr>
        <w:t xml:space="preserve"> </w:t>
      </w:r>
      <w:r w:rsidRPr="004008FE">
        <w:rPr>
          <w:szCs w:val="22"/>
          <w:lang w:eastAsia="el-GR"/>
        </w:rPr>
        <w:t>στο εύρος το οποίο μελετήθηκε (0,1 έως 0,2 mg/kg, δηλαδή 2 με 4 x ED95).</w:t>
      </w:r>
    </w:p>
    <w:p w:rsidR="00D00C67" w:rsidRPr="004008FE" w:rsidRDefault="00D00C67" w:rsidP="00D00C67">
      <w:pPr>
        <w:widowControl/>
        <w:autoSpaceDE w:val="0"/>
        <w:autoSpaceDN w:val="0"/>
        <w:adjustRightInd w:val="0"/>
        <w:rPr>
          <w:szCs w:val="22"/>
          <w:lang w:eastAsia="el-GR"/>
        </w:rPr>
      </w:pPr>
    </w:p>
    <w:p w:rsidR="00D00C67" w:rsidRPr="004008FE" w:rsidRDefault="00D00C67" w:rsidP="00D00C67">
      <w:pPr>
        <w:widowControl/>
        <w:autoSpaceDE w:val="0"/>
        <w:autoSpaceDN w:val="0"/>
        <w:adjustRightInd w:val="0"/>
        <w:rPr>
          <w:szCs w:val="22"/>
          <w:lang w:eastAsia="el-GR"/>
        </w:rPr>
      </w:pPr>
      <w:r w:rsidRPr="004008FE">
        <w:rPr>
          <w:szCs w:val="22"/>
          <w:lang w:eastAsia="el-GR"/>
        </w:rPr>
        <w:t>Φαρμακοκινητικά μοντέλα πληθυσμών επιβεβ</w:t>
      </w:r>
      <w:r w:rsidR="00E86D00" w:rsidRPr="004008FE">
        <w:rPr>
          <w:szCs w:val="22"/>
          <w:lang w:eastAsia="el-GR"/>
        </w:rPr>
        <w:t xml:space="preserve">αιώνουν και επεκτείνουν αυτά τα </w:t>
      </w:r>
      <w:r w:rsidRPr="004008FE">
        <w:rPr>
          <w:szCs w:val="22"/>
          <w:lang w:eastAsia="el-GR"/>
        </w:rPr>
        <w:t>ευρήματα μέχρι δόσης 0,4 mg/kg (8 x ED95). Φαρμακοκινητικές παράμετροι μετά από</w:t>
      </w:r>
      <w:r w:rsidR="00E86D00" w:rsidRPr="004008FE">
        <w:rPr>
          <w:szCs w:val="22"/>
          <w:lang w:eastAsia="el-GR"/>
        </w:rPr>
        <w:t xml:space="preserve"> </w:t>
      </w:r>
      <w:r w:rsidRPr="004008FE">
        <w:rPr>
          <w:szCs w:val="22"/>
          <w:lang w:eastAsia="el-GR"/>
        </w:rPr>
        <w:t xml:space="preserve">δόσεις </w:t>
      </w:r>
      <w:r w:rsidR="003376F0" w:rsidRPr="004008FE">
        <w:rPr>
          <w:szCs w:val="22"/>
          <w:lang w:val="en-GB"/>
        </w:rPr>
        <w:t>CICATRAL</w:t>
      </w:r>
      <w:r w:rsidRPr="004008FE">
        <w:rPr>
          <w:szCs w:val="22"/>
          <w:lang w:eastAsia="el-GR"/>
        </w:rPr>
        <w:t xml:space="preserve"> από 0,1 και 0,2mg/kg που χορηγήθηκαν σε υγιείς ενήλικες</w:t>
      </w:r>
      <w:r w:rsidR="00E86D00" w:rsidRPr="004008FE">
        <w:rPr>
          <w:szCs w:val="22"/>
          <w:lang w:eastAsia="el-GR"/>
        </w:rPr>
        <w:t xml:space="preserve"> </w:t>
      </w:r>
      <w:r w:rsidRPr="004008FE">
        <w:rPr>
          <w:szCs w:val="22"/>
          <w:lang w:eastAsia="el-GR"/>
        </w:rPr>
        <w:t>χειρουργικούς ασθενείς περιλαμβάνονται στον πιο κάτω πίνακα.</w:t>
      </w:r>
    </w:p>
    <w:p w:rsidR="00D00C67" w:rsidRPr="004008FE" w:rsidRDefault="00D00C67" w:rsidP="00D00C67">
      <w:pPr>
        <w:widowControl/>
        <w:autoSpaceDE w:val="0"/>
        <w:autoSpaceDN w:val="0"/>
        <w:adjustRightInd w:val="0"/>
        <w:rPr>
          <w:szCs w:val="22"/>
          <w:lang w:eastAsia="el-GR"/>
        </w:rPr>
      </w:pPr>
    </w:p>
    <w:tbl>
      <w:tblPr>
        <w:tblW w:w="4959" w:type="pct"/>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529"/>
        <w:gridCol w:w="4605"/>
      </w:tblGrid>
      <w:tr w:rsidR="00D00C67" w:rsidRPr="004008FE">
        <w:trPr>
          <w:tblCellSpacing w:w="0" w:type="dxa"/>
        </w:trPr>
        <w:tc>
          <w:tcPr>
            <w:tcW w:w="2479" w:type="pct"/>
            <w:tcBorders>
              <w:top w:val="outset" w:sz="6" w:space="0" w:color="auto"/>
              <w:left w:val="outset" w:sz="6" w:space="0" w:color="auto"/>
              <w:bottom w:val="outset" w:sz="6" w:space="0" w:color="auto"/>
              <w:right w:val="outset" w:sz="6" w:space="0" w:color="auto"/>
            </w:tcBorders>
          </w:tcPr>
          <w:p w:rsidR="00D00C67" w:rsidRPr="004008FE" w:rsidRDefault="00D00C67" w:rsidP="00D00C67">
            <w:pPr>
              <w:widowControl/>
              <w:autoSpaceDE w:val="0"/>
              <w:autoSpaceDN w:val="0"/>
              <w:adjustRightInd w:val="0"/>
              <w:rPr>
                <w:szCs w:val="22"/>
                <w:lang w:eastAsia="el-GR"/>
              </w:rPr>
            </w:pPr>
            <w:r w:rsidRPr="004008FE">
              <w:rPr>
                <w:b/>
                <w:bCs/>
                <w:szCs w:val="22"/>
                <w:lang w:eastAsia="el-GR"/>
              </w:rPr>
              <w:t>Παράμετροι</w:t>
            </w:r>
          </w:p>
        </w:tc>
        <w:tc>
          <w:tcPr>
            <w:tcW w:w="2521" w:type="pct"/>
            <w:tcBorders>
              <w:top w:val="outset" w:sz="6" w:space="0" w:color="auto"/>
              <w:left w:val="outset" w:sz="6" w:space="0" w:color="auto"/>
              <w:bottom w:val="outset" w:sz="6" w:space="0" w:color="auto"/>
              <w:right w:val="outset" w:sz="6" w:space="0" w:color="auto"/>
            </w:tcBorders>
          </w:tcPr>
          <w:p w:rsidR="00D00C67" w:rsidRPr="004008FE" w:rsidRDefault="00D00C67" w:rsidP="00D00C67">
            <w:pPr>
              <w:widowControl/>
              <w:autoSpaceDE w:val="0"/>
              <w:autoSpaceDN w:val="0"/>
              <w:adjustRightInd w:val="0"/>
              <w:rPr>
                <w:szCs w:val="22"/>
                <w:lang w:eastAsia="el-GR"/>
              </w:rPr>
            </w:pPr>
            <w:r w:rsidRPr="004008FE">
              <w:rPr>
                <w:b/>
                <w:bCs/>
                <w:szCs w:val="22"/>
                <w:lang w:eastAsia="el-GR"/>
              </w:rPr>
              <w:t>Εύρος μέσων τιμών</w:t>
            </w:r>
          </w:p>
        </w:tc>
      </w:tr>
      <w:tr w:rsidR="00D00C67" w:rsidRPr="004008FE">
        <w:trPr>
          <w:tblCellSpacing w:w="0" w:type="dxa"/>
        </w:trPr>
        <w:tc>
          <w:tcPr>
            <w:tcW w:w="2479" w:type="pct"/>
            <w:tcBorders>
              <w:top w:val="outset" w:sz="6" w:space="0" w:color="auto"/>
              <w:left w:val="outset" w:sz="6" w:space="0" w:color="auto"/>
              <w:bottom w:val="outset" w:sz="6" w:space="0" w:color="auto"/>
              <w:right w:val="outset" w:sz="6" w:space="0" w:color="auto"/>
            </w:tcBorders>
          </w:tcPr>
          <w:p w:rsidR="00D00C67" w:rsidRPr="004008FE" w:rsidRDefault="00D00C67" w:rsidP="00D00C67">
            <w:pPr>
              <w:widowControl/>
              <w:autoSpaceDE w:val="0"/>
              <w:autoSpaceDN w:val="0"/>
              <w:adjustRightInd w:val="0"/>
              <w:rPr>
                <w:szCs w:val="22"/>
                <w:lang w:eastAsia="el-GR"/>
              </w:rPr>
            </w:pPr>
            <w:r w:rsidRPr="004008FE">
              <w:rPr>
                <w:szCs w:val="22"/>
                <w:lang w:eastAsia="el-GR"/>
              </w:rPr>
              <w:t>Κάθαρση</w:t>
            </w:r>
          </w:p>
        </w:tc>
        <w:tc>
          <w:tcPr>
            <w:tcW w:w="2521" w:type="pct"/>
            <w:tcBorders>
              <w:top w:val="outset" w:sz="6" w:space="0" w:color="auto"/>
              <w:left w:val="outset" w:sz="6" w:space="0" w:color="auto"/>
              <w:bottom w:val="outset" w:sz="6" w:space="0" w:color="auto"/>
              <w:right w:val="outset" w:sz="6" w:space="0" w:color="auto"/>
            </w:tcBorders>
          </w:tcPr>
          <w:p w:rsidR="00D00C67" w:rsidRPr="004008FE" w:rsidRDefault="00E7627C" w:rsidP="00E55495">
            <w:pPr>
              <w:spacing w:before="100" w:beforeAutospacing="1" w:after="75"/>
              <w:jc w:val="both"/>
              <w:rPr>
                <w:rFonts w:eastAsia="SimSun"/>
                <w:szCs w:val="22"/>
                <w:lang w:eastAsia="zh-CN"/>
              </w:rPr>
            </w:pPr>
            <w:r w:rsidRPr="004008FE">
              <w:rPr>
                <w:rFonts w:eastAsia="SimSun"/>
                <w:szCs w:val="22"/>
                <w:lang w:eastAsia="zh-CN"/>
              </w:rPr>
              <w:t>4.7 έως</w:t>
            </w:r>
            <w:r w:rsidR="00B71329" w:rsidRPr="004008FE">
              <w:rPr>
                <w:rFonts w:eastAsia="SimSun"/>
                <w:szCs w:val="22"/>
                <w:lang w:eastAsia="zh-CN"/>
              </w:rPr>
              <w:t xml:space="preserve"> 5.7 m</w:t>
            </w:r>
            <w:r w:rsidR="00B71329" w:rsidRPr="004008FE">
              <w:rPr>
                <w:rFonts w:eastAsia="SimSun"/>
                <w:szCs w:val="22"/>
                <w:lang w:val="en-US" w:eastAsia="zh-CN"/>
              </w:rPr>
              <w:t>l</w:t>
            </w:r>
            <w:r w:rsidR="00D00C67" w:rsidRPr="004008FE">
              <w:rPr>
                <w:rFonts w:eastAsia="SimSun"/>
                <w:szCs w:val="22"/>
                <w:lang w:eastAsia="zh-CN"/>
              </w:rPr>
              <w:t>/min/kg</w:t>
            </w:r>
          </w:p>
        </w:tc>
      </w:tr>
      <w:tr w:rsidR="00D00C67" w:rsidRPr="004008FE">
        <w:trPr>
          <w:tblCellSpacing w:w="0" w:type="dxa"/>
        </w:trPr>
        <w:tc>
          <w:tcPr>
            <w:tcW w:w="2479" w:type="pct"/>
            <w:tcBorders>
              <w:top w:val="outset" w:sz="6" w:space="0" w:color="auto"/>
              <w:left w:val="outset" w:sz="6" w:space="0" w:color="auto"/>
              <w:bottom w:val="outset" w:sz="6" w:space="0" w:color="auto"/>
              <w:right w:val="outset" w:sz="6" w:space="0" w:color="auto"/>
            </w:tcBorders>
          </w:tcPr>
          <w:p w:rsidR="00D00C67" w:rsidRPr="004008FE" w:rsidRDefault="00D00C67" w:rsidP="00D00C67">
            <w:pPr>
              <w:widowControl/>
              <w:autoSpaceDE w:val="0"/>
              <w:autoSpaceDN w:val="0"/>
              <w:adjustRightInd w:val="0"/>
              <w:rPr>
                <w:szCs w:val="22"/>
                <w:lang w:eastAsia="el-GR"/>
              </w:rPr>
            </w:pPr>
            <w:r w:rsidRPr="004008FE">
              <w:rPr>
                <w:szCs w:val="22"/>
                <w:lang w:eastAsia="el-GR"/>
              </w:rPr>
              <w:t>Όγκος κατανομής σε σταθεροποιημένη κατάσταση</w:t>
            </w:r>
          </w:p>
        </w:tc>
        <w:tc>
          <w:tcPr>
            <w:tcW w:w="2521" w:type="pct"/>
            <w:tcBorders>
              <w:top w:val="outset" w:sz="6" w:space="0" w:color="auto"/>
              <w:left w:val="outset" w:sz="6" w:space="0" w:color="auto"/>
              <w:bottom w:val="outset" w:sz="6" w:space="0" w:color="auto"/>
              <w:right w:val="outset" w:sz="6" w:space="0" w:color="auto"/>
            </w:tcBorders>
          </w:tcPr>
          <w:p w:rsidR="00D00C67" w:rsidRPr="004008FE" w:rsidRDefault="00D00C67" w:rsidP="00E55495">
            <w:pPr>
              <w:spacing w:before="100" w:beforeAutospacing="1" w:after="75"/>
              <w:jc w:val="both"/>
              <w:rPr>
                <w:rFonts w:eastAsia="SimSun"/>
                <w:szCs w:val="22"/>
                <w:lang w:eastAsia="zh-CN"/>
              </w:rPr>
            </w:pPr>
            <w:r w:rsidRPr="004008FE">
              <w:rPr>
                <w:rFonts w:eastAsia="SimSun"/>
                <w:szCs w:val="22"/>
                <w:lang w:eastAsia="zh-CN"/>
              </w:rPr>
              <w:t xml:space="preserve">121 </w:t>
            </w:r>
            <w:r w:rsidR="00E7627C" w:rsidRPr="004008FE">
              <w:rPr>
                <w:rFonts w:eastAsia="SimSun"/>
                <w:szCs w:val="22"/>
                <w:lang w:eastAsia="zh-CN"/>
              </w:rPr>
              <w:t>έως</w:t>
            </w:r>
            <w:r w:rsidRPr="004008FE">
              <w:rPr>
                <w:rFonts w:eastAsia="SimSun"/>
                <w:szCs w:val="22"/>
                <w:lang w:eastAsia="zh-CN"/>
              </w:rPr>
              <w:t xml:space="preserve"> 161 </w:t>
            </w:r>
            <w:r w:rsidR="00B71329" w:rsidRPr="004008FE">
              <w:rPr>
                <w:rFonts w:eastAsia="SimSun"/>
                <w:szCs w:val="22"/>
                <w:lang w:eastAsia="zh-CN"/>
              </w:rPr>
              <w:t>m</w:t>
            </w:r>
            <w:r w:rsidR="00B71329" w:rsidRPr="004008FE">
              <w:rPr>
                <w:rFonts w:eastAsia="SimSun"/>
                <w:szCs w:val="22"/>
                <w:lang w:val="en-US" w:eastAsia="zh-CN"/>
              </w:rPr>
              <w:t>l</w:t>
            </w:r>
            <w:r w:rsidRPr="004008FE">
              <w:rPr>
                <w:rFonts w:eastAsia="SimSun"/>
                <w:szCs w:val="22"/>
                <w:lang w:eastAsia="zh-CN"/>
              </w:rPr>
              <w:t>/kg</w:t>
            </w:r>
          </w:p>
        </w:tc>
      </w:tr>
      <w:tr w:rsidR="00D00C67" w:rsidRPr="004008FE">
        <w:trPr>
          <w:tblCellSpacing w:w="0" w:type="dxa"/>
        </w:trPr>
        <w:tc>
          <w:tcPr>
            <w:tcW w:w="2479" w:type="pct"/>
            <w:tcBorders>
              <w:top w:val="outset" w:sz="6" w:space="0" w:color="auto"/>
              <w:left w:val="outset" w:sz="6" w:space="0" w:color="auto"/>
              <w:bottom w:val="outset" w:sz="6" w:space="0" w:color="auto"/>
              <w:right w:val="outset" w:sz="6" w:space="0" w:color="auto"/>
            </w:tcBorders>
          </w:tcPr>
          <w:p w:rsidR="00D00C67" w:rsidRPr="004008FE" w:rsidRDefault="00D00C67" w:rsidP="00D00C67">
            <w:pPr>
              <w:widowControl/>
              <w:autoSpaceDE w:val="0"/>
              <w:autoSpaceDN w:val="0"/>
              <w:adjustRightInd w:val="0"/>
              <w:rPr>
                <w:szCs w:val="22"/>
                <w:lang w:eastAsia="el-GR"/>
              </w:rPr>
            </w:pPr>
            <w:r w:rsidRPr="004008FE">
              <w:rPr>
                <w:szCs w:val="22"/>
                <w:lang w:eastAsia="el-GR"/>
              </w:rPr>
              <w:t>Χρόνος ημίσειας ζωής</w:t>
            </w:r>
          </w:p>
        </w:tc>
        <w:tc>
          <w:tcPr>
            <w:tcW w:w="2521" w:type="pct"/>
            <w:tcBorders>
              <w:top w:val="outset" w:sz="6" w:space="0" w:color="auto"/>
              <w:left w:val="outset" w:sz="6" w:space="0" w:color="auto"/>
              <w:bottom w:val="outset" w:sz="6" w:space="0" w:color="auto"/>
              <w:right w:val="outset" w:sz="6" w:space="0" w:color="auto"/>
            </w:tcBorders>
          </w:tcPr>
          <w:p w:rsidR="00D00C67" w:rsidRPr="004008FE" w:rsidRDefault="00D00C67" w:rsidP="00E55495">
            <w:pPr>
              <w:spacing w:before="100" w:beforeAutospacing="1" w:after="75"/>
              <w:jc w:val="both"/>
              <w:rPr>
                <w:rFonts w:eastAsia="SimSun"/>
                <w:szCs w:val="22"/>
                <w:lang w:eastAsia="zh-CN"/>
              </w:rPr>
            </w:pPr>
            <w:r w:rsidRPr="004008FE">
              <w:rPr>
                <w:rFonts w:eastAsia="SimSun"/>
                <w:szCs w:val="22"/>
                <w:lang w:eastAsia="zh-CN"/>
              </w:rPr>
              <w:t xml:space="preserve">22 </w:t>
            </w:r>
            <w:r w:rsidR="00E7627C" w:rsidRPr="004008FE">
              <w:rPr>
                <w:rFonts w:eastAsia="SimSun"/>
                <w:szCs w:val="22"/>
                <w:lang w:eastAsia="zh-CN"/>
              </w:rPr>
              <w:t>έως</w:t>
            </w:r>
            <w:r w:rsidRPr="004008FE">
              <w:rPr>
                <w:rFonts w:eastAsia="SimSun"/>
                <w:szCs w:val="22"/>
                <w:lang w:eastAsia="zh-CN"/>
              </w:rPr>
              <w:t xml:space="preserve"> 29 min</w:t>
            </w:r>
          </w:p>
        </w:tc>
      </w:tr>
    </w:tbl>
    <w:p w:rsidR="00D00C67" w:rsidRPr="004008FE" w:rsidRDefault="00D00C67" w:rsidP="00D00C67">
      <w:pPr>
        <w:widowControl/>
        <w:autoSpaceDE w:val="0"/>
        <w:autoSpaceDN w:val="0"/>
        <w:adjustRightInd w:val="0"/>
        <w:rPr>
          <w:szCs w:val="22"/>
          <w:lang w:eastAsia="el-GR"/>
        </w:rPr>
      </w:pPr>
    </w:p>
    <w:p w:rsidR="00E86D00" w:rsidRPr="004008FE" w:rsidRDefault="00E86D00" w:rsidP="00E86D00">
      <w:pPr>
        <w:widowControl/>
        <w:autoSpaceDE w:val="0"/>
        <w:autoSpaceDN w:val="0"/>
        <w:adjustRightInd w:val="0"/>
        <w:rPr>
          <w:b/>
          <w:bCs/>
          <w:szCs w:val="22"/>
          <w:lang w:eastAsia="el-GR"/>
        </w:rPr>
      </w:pPr>
      <w:r w:rsidRPr="004008FE">
        <w:rPr>
          <w:b/>
          <w:bCs/>
          <w:szCs w:val="22"/>
          <w:lang w:eastAsia="el-GR"/>
        </w:rPr>
        <w:t>Φαρμακοκινητική σε ηλικιωμένους ασθενείς</w:t>
      </w:r>
    </w:p>
    <w:p w:rsidR="00E86D00" w:rsidRPr="004008FE" w:rsidRDefault="00E86D00" w:rsidP="00E86D00">
      <w:pPr>
        <w:widowControl/>
        <w:autoSpaceDE w:val="0"/>
        <w:autoSpaceDN w:val="0"/>
        <w:adjustRightInd w:val="0"/>
        <w:rPr>
          <w:b/>
          <w:bCs/>
          <w:szCs w:val="22"/>
          <w:lang w:eastAsia="el-GR"/>
        </w:rPr>
      </w:pPr>
    </w:p>
    <w:p w:rsidR="00E86D00" w:rsidRPr="004008FE" w:rsidRDefault="00E86D00" w:rsidP="00E86D00">
      <w:pPr>
        <w:widowControl/>
        <w:autoSpaceDE w:val="0"/>
        <w:autoSpaceDN w:val="0"/>
        <w:adjustRightInd w:val="0"/>
        <w:rPr>
          <w:szCs w:val="22"/>
          <w:lang w:eastAsia="el-GR"/>
        </w:rPr>
      </w:pPr>
      <w:r w:rsidRPr="004008FE">
        <w:rPr>
          <w:szCs w:val="22"/>
          <w:lang w:eastAsia="el-GR"/>
        </w:rPr>
        <w:t>Δεν υπάρχουν κλινικά σημαντικές διαφορές στη φαρμακοκινητική του cisatracurium μεταξύ των ηλικιωμένων και νέων ενήλικων ασθενών. Ο</w:t>
      </w:r>
      <w:r w:rsidR="00942F9B" w:rsidRPr="004008FE">
        <w:rPr>
          <w:szCs w:val="22"/>
          <w:lang w:eastAsia="el-GR"/>
        </w:rPr>
        <w:t xml:space="preserve"> τρόπος</w:t>
      </w:r>
      <w:r w:rsidR="0015069B" w:rsidRPr="004008FE">
        <w:rPr>
          <w:szCs w:val="22"/>
          <w:lang w:eastAsia="el-GR"/>
        </w:rPr>
        <w:t xml:space="preserve"> </w:t>
      </w:r>
      <w:r w:rsidRPr="004008FE">
        <w:rPr>
          <w:szCs w:val="22"/>
          <w:lang w:eastAsia="el-GR"/>
        </w:rPr>
        <w:t>ανάνηψης επίσης δεν μεταβάλλεται.</w:t>
      </w:r>
    </w:p>
    <w:p w:rsidR="00727EA0" w:rsidRPr="004008FE" w:rsidRDefault="00727EA0" w:rsidP="00E86D00">
      <w:pPr>
        <w:widowControl/>
        <w:autoSpaceDE w:val="0"/>
        <w:autoSpaceDN w:val="0"/>
        <w:adjustRightInd w:val="0"/>
        <w:rPr>
          <w:szCs w:val="22"/>
          <w:lang w:eastAsia="el-GR"/>
        </w:rPr>
      </w:pPr>
    </w:p>
    <w:p w:rsidR="00522FF3" w:rsidRPr="004008FE" w:rsidRDefault="00522FF3" w:rsidP="00522FF3">
      <w:pPr>
        <w:widowControl/>
        <w:autoSpaceDE w:val="0"/>
        <w:autoSpaceDN w:val="0"/>
        <w:adjustRightInd w:val="0"/>
        <w:rPr>
          <w:b/>
          <w:bCs/>
          <w:szCs w:val="22"/>
          <w:lang w:eastAsia="el-GR"/>
        </w:rPr>
      </w:pPr>
      <w:r w:rsidRPr="004008FE">
        <w:rPr>
          <w:b/>
          <w:bCs/>
          <w:szCs w:val="22"/>
          <w:lang w:eastAsia="el-GR"/>
        </w:rPr>
        <w:t xml:space="preserve">Φαρμακοκινητική σε ασθενείς με </w:t>
      </w:r>
      <w:r w:rsidR="00764535" w:rsidRPr="004008FE">
        <w:rPr>
          <w:b/>
          <w:bCs/>
          <w:szCs w:val="22"/>
          <w:lang w:eastAsia="el-GR"/>
        </w:rPr>
        <w:t xml:space="preserve">ελαττωμένη </w:t>
      </w:r>
      <w:r w:rsidRPr="004008FE">
        <w:rPr>
          <w:b/>
          <w:bCs/>
          <w:szCs w:val="22"/>
          <w:lang w:eastAsia="el-GR"/>
        </w:rPr>
        <w:t>νεφρική/ηπατική ανεπάρκεια</w:t>
      </w:r>
    </w:p>
    <w:p w:rsidR="00522FF3" w:rsidRPr="004008FE" w:rsidRDefault="00522FF3" w:rsidP="00522FF3">
      <w:pPr>
        <w:widowControl/>
        <w:autoSpaceDE w:val="0"/>
        <w:autoSpaceDN w:val="0"/>
        <w:adjustRightInd w:val="0"/>
        <w:rPr>
          <w:b/>
          <w:bCs/>
          <w:szCs w:val="22"/>
          <w:lang w:eastAsia="el-GR"/>
        </w:rPr>
      </w:pPr>
    </w:p>
    <w:p w:rsidR="00522FF3" w:rsidRPr="004008FE" w:rsidRDefault="00522FF3" w:rsidP="00522FF3">
      <w:pPr>
        <w:widowControl/>
        <w:autoSpaceDE w:val="0"/>
        <w:autoSpaceDN w:val="0"/>
        <w:adjustRightInd w:val="0"/>
        <w:rPr>
          <w:szCs w:val="22"/>
          <w:lang w:eastAsia="el-GR"/>
        </w:rPr>
      </w:pPr>
      <w:r w:rsidRPr="004008FE">
        <w:rPr>
          <w:szCs w:val="22"/>
          <w:lang w:eastAsia="el-GR"/>
        </w:rPr>
        <w:t>Δεν υπάρχουν κλινικά σημαντικές διαφορές στη φαρμακοκινητική του cisatracurium μεταξύ ασθενών με τελικού σταδίου νεφρική ανεπάρκεια ή τελικού σταδίου ηπατική νόσο και υγιών ενηλίκων ασθενών.</w:t>
      </w:r>
      <w:r w:rsidR="0021650C" w:rsidRPr="004008FE">
        <w:rPr>
          <w:szCs w:val="22"/>
          <w:lang w:eastAsia="el-GR"/>
        </w:rPr>
        <w:t xml:space="preserve"> O τρόπος ανάνηψης είναι ο ίδιος.</w:t>
      </w:r>
      <w:r w:rsidRPr="004008FE">
        <w:rPr>
          <w:szCs w:val="22"/>
          <w:lang w:eastAsia="el-GR"/>
        </w:rPr>
        <w:t>.</w:t>
      </w:r>
    </w:p>
    <w:p w:rsidR="00522FF3" w:rsidRPr="004008FE" w:rsidRDefault="00522FF3" w:rsidP="00727EA0">
      <w:pPr>
        <w:widowControl/>
        <w:autoSpaceDE w:val="0"/>
        <w:autoSpaceDN w:val="0"/>
        <w:adjustRightInd w:val="0"/>
        <w:rPr>
          <w:b/>
          <w:bCs/>
          <w:szCs w:val="22"/>
          <w:lang w:eastAsia="el-GR"/>
        </w:rPr>
      </w:pPr>
    </w:p>
    <w:p w:rsidR="00727EA0" w:rsidRPr="004008FE" w:rsidRDefault="00727EA0" w:rsidP="00727EA0">
      <w:pPr>
        <w:widowControl/>
        <w:autoSpaceDE w:val="0"/>
        <w:autoSpaceDN w:val="0"/>
        <w:adjustRightInd w:val="0"/>
        <w:rPr>
          <w:b/>
          <w:bCs/>
          <w:szCs w:val="22"/>
          <w:lang w:eastAsia="el-GR"/>
        </w:rPr>
      </w:pPr>
      <w:r w:rsidRPr="004008FE">
        <w:rPr>
          <w:b/>
          <w:bCs/>
          <w:szCs w:val="22"/>
          <w:lang w:eastAsia="el-GR"/>
        </w:rPr>
        <w:t>Φαρμακοκινητική κατά τη διάρκεια έγχυσης</w:t>
      </w:r>
    </w:p>
    <w:p w:rsidR="00727EA0" w:rsidRPr="004008FE" w:rsidRDefault="00727EA0" w:rsidP="00727EA0">
      <w:pPr>
        <w:widowControl/>
        <w:autoSpaceDE w:val="0"/>
        <w:autoSpaceDN w:val="0"/>
        <w:adjustRightInd w:val="0"/>
        <w:rPr>
          <w:b/>
          <w:bCs/>
          <w:szCs w:val="22"/>
          <w:lang w:eastAsia="el-GR"/>
        </w:rPr>
      </w:pPr>
    </w:p>
    <w:p w:rsidR="00727EA0" w:rsidRPr="004008FE" w:rsidRDefault="00727EA0" w:rsidP="00727EA0">
      <w:pPr>
        <w:widowControl/>
        <w:autoSpaceDE w:val="0"/>
        <w:autoSpaceDN w:val="0"/>
        <w:adjustRightInd w:val="0"/>
        <w:rPr>
          <w:szCs w:val="22"/>
          <w:lang w:eastAsia="el-GR"/>
        </w:rPr>
      </w:pPr>
      <w:r w:rsidRPr="004008FE">
        <w:rPr>
          <w:szCs w:val="22"/>
          <w:lang w:eastAsia="el-GR"/>
        </w:rPr>
        <w:t xml:space="preserve">Η φαρμακοκινητική του cisatracurium μετά από έγχυση </w:t>
      </w:r>
      <w:bookmarkStart w:id="0" w:name="OLE_LINK1"/>
      <w:bookmarkStart w:id="1" w:name="OLE_LINK2"/>
      <w:r w:rsidR="009712D7" w:rsidRPr="004008FE">
        <w:rPr>
          <w:szCs w:val="22"/>
          <w:lang w:eastAsia="el-GR"/>
        </w:rPr>
        <w:t xml:space="preserve"> </w:t>
      </w:r>
      <w:r w:rsidR="009712D7" w:rsidRPr="004008FE">
        <w:rPr>
          <w:szCs w:val="22"/>
          <w:lang w:val="en-US" w:eastAsia="el-GR"/>
        </w:rPr>
        <w:t>CISATRAL</w:t>
      </w:r>
      <w:r w:rsidR="009712D7" w:rsidRPr="004008FE" w:rsidDel="009712D7">
        <w:rPr>
          <w:szCs w:val="22"/>
        </w:rPr>
        <w:t xml:space="preserve"> </w:t>
      </w:r>
      <w:bookmarkEnd w:id="0"/>
      <w:bookmarkEnd w:id="1"/>
      <w:r w:rsidRPr="004008FE">
        <w:rPr>
          <w:szCs w:val="22"/>
          <w:lang w:eastAsia="el-GR"/>
        </w:rPr>
        <w:t xml:space="preserve"> είναι παρόμοια με αυτή μετά από απλή ενδοφλέβια ένεση (bolus). Το προφίλ ανάνηψης μετά από έγχυση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είναι ανεξάρτητο της</w:t>
      </w:r>
      <w:r w:rsidR="00F64336" w:rsidRPr="004008FE">
        <w:rPr>
          <w:szCs w:val="22"/>
          <w:lang w:eastAsia="el-GR"/>
        </w:rPr>
        <w:t xml:space="preserve"> διάρκειας έγχυσης και παρόμοιο</w:t>
      </w:r>
      <w:r w:rsidRPr="004008FE">
        <w:rPr>
          <w:szCs w:val="22"/>
          <w:lang w:eastAsia="el-GR"/>
        </w:rPr>
        <w:t xml:space="preserve"> με εκείνο μετά από απλή ενδοφλέβια ένεση (bolus).</w:t>
      </w:r>
    </w:p>
    <w:p w:rsidR="009610AE" w:rsidRPr="004008FE" w:rsidRDefault="009610AE" w:rsidP="00727EA0">
      <w:pPr>
        <w:widowControl/>
        <w:autoSpaceDE w:val="0"/>
        <w:autoSpaceDN w:val="0"/>
        <w:adjustRightInd w:val="0"/>
        <w:rPr>
          <w:szCs w:val="22"/>
          <w:lang w:eastAsia="el-GR"/>
        </w:rPr>
      </w:pPr>
    </w:p>
    <w:p w:rsidR="009610AE" w:rsidRPr="004008FE" w:rsidRDefault="009610AE" w:rsidP="009610AE">
      <w:pPr>
        <w:widowControl/>
        <w:autoSpaceDE w:val="0"/>
        <w:autoSpaceDN w:val="0"/>
        <w:adjustRightInd w:val="0"/>
        <w:rPr>
          <w:b/>
          <w:bCs/>
          <w:szCs w:val="22"/>
          <w:lang w:eastAsia="el-GR"/>
        </w:rPr>
      </w:pPr>
      <w:r w:rsidRPr="004008FE">
        <w:rPr>
          <w:b/>
          <w:bCs/>
          <w:szCs w:val="22"/>
          <w:lang w:eastAsia="el-GR"/>
        </w:rPr>
        <w:t>Φαρμακοκινητική σε ασθενείς Μονάδων Εντατικής Θεραπείας</w:t>
      </w:r>
    </w:p>
    <w:p w:rsidR="009610AE" w:rsidRPr="004008FE" w:rsidRDefault="009610AE" w:rsidP="009610AE">
      <w:pPr>
        <w:widowControl/>
        <w:autoSpaceDE w:val="0"/>
        <w:autoSpaceDN w:val="0"/>
        <w:adjustRightInd w:val="0"/>
        <w:rPr>
          <w:b/>
          <w:bCs/>
          <w:szCs w:val="22"/>
          <w:lang w:eastAsia="el-GR"/>
        </w:rPr>
      </w:pPr>
    </w:p>
    <w:p w:rsidR="009610AE" w:rsidRPr="004008FE" w:rsidRDefault="009610AE" w:rsidP="009610AE">
      <w:pPr>
        <w:widowControl/>
        <w:autoSpaceDE w:val="0"/>
        <w:autoSpaceDN w:val="0"/>
        <w:adjustRightInd w:val="0"/>
        <w:rPr>
          <w:szCs w:val="22"/>
          <w:lang w:eastAsia="el-GR"/>
        </w:rPr>
      </w:pPr>
      <w:r w:rsidRPr="004008FE">
        <w:rPr>
          <w:szCs w:val="22"/>
          <w:lang w:eastAsia="el-GR"/>
        </w:rPr>
        <w:t xml:space="preserve">Η φαρμακοκινητική του cisatracurium σε ασθενείς των ΜΕΘ στους οποίους χορηγείται υπό τύπο έγχυσης για μεγάλο χρονικό διάστημα είναι παρόμοια με εκείνη των υγιών ενηλίκων που χειρουργούνται, και στους οποίους χορηγείται με έγχυση ή απλή ενδοφλέβια ένεση (bolus). Το προφίλ ανάνηψης μετά από έγχυση </w:t>
      </w:r>
      <w:r w:rsidR="004569E4" w:rsidRPr="004008FE">
        <w:rPr>
          <w:szCs w:val="22"/>
          <w:lang w:val="en-US"/>
        </w:rPr>
        <w:t>c</w:t>
      </w:r>
      <w:r w:rsidRPr="004008FE">
        <w:rPr>
          <w:szCs w:val="22"/>
          <w:lang w:val="en-GB"/>
        </w:rPr>
        <w:t>isatracurium</w:t>
      </w:r>
      <w:r w:rsidRPr="004008FE">
        <w:rPr>
          <w:szCs w:val="22"/>
        </w:rPr>
        <w:t xml:space="preserve"> </w:t>
      </w:r>
      <w:r w:rsidRPr="004008FE">
        <w:rPr>
          <w:szCs w:val="22"/>
          <w:lang w:eastAsia="el-GR"/>
        </w:rPr>
        <w:t xml:space="preserve">σε ασθενείς στις ΜΕΘ είναι ανεξάρτητο από τη διάρκεια της έγχυσης. </w:t>
      </w:r>
    </w:p>
    <w:p w:rsidR="009610AE" w:rsidRPr="004008FE" w:rsidRDefault="009610AE" w:rsidP="009610AE">
      <w:pPr>
        <w:widowControl/>
        <w:autoSpaceDE w:val="0"/>
        <w:autoSpaceDN w:val="0"/>
        <w:adjustRightInd w:val="0"/>
        <w:rPr>
          <w:szCs w:val="22"/>
          <w:lang w:eastAsia="el-GR"/>
        </w:rPr>
      </w:pPr>
    </w:p>
    <w:p w:rsidR="009610AE" w:rsidRPr="004008FE" w:rsidRDefault="009610AE" w:rsidP="009610AE">
      <w:pPr>
        <w:widowControl/>
        <w:autoSpaceDE w:val="0"/>
        <w:autoSpaceDN w:val="0"/>
        <w:adjustRightInd w:val="0"/>
        <w:rPr>
          <w:szCs w:val="22"/>
          <w:lang w:eastAsia="el-GR"/>
        </w:rPr>
      </w:pPr>
      <w:r w:rsidRPr="004008FE">
        <w:rPr>
          <w:szCs w:val="22"/>
          <w:lang w:eastAsia="el-GR"/>
        </w:rPr>
        <w:t>Οι συγκεντρώσεις των μεταβολιτών είναι υψηλότερες σε ασθενείς των Μονάδων Εντατικής Θεραπείας με νεφρική και/ή ηπατική ανεπάρκεια (βλέπε παράγραφο 4.4). Αυτοί οι μεταβολίτες δεν επιδρούν στο νευρομυϊκό αποκλεισμό.</w:t>
      </w:r>
    </w:p>
    <w:p w:rsidR="00195F59" w:rsidRPr="004008FE" w:rsidRDefault="00195F59">
      <w:pPr>
        <w:rPr>
          <w:szCs w:val="22"/>
          <w:lang w:eastAsia="el-GR"/>
        </w:rPr>
      </w:pPr>
    </w:p>
    <w:p w:rsidR="00496809" w:rsidRPr="004008FE" w:rsidRDefault="00496809" w:rsidP="00A31D07">
      <w:pPr>
        <w:numPr>
          <w:ilvl w:val="1"/>
          <w:numId w:val="23"/>
        </w:numPr>
        <w:rPr>
          <w:b/>
          <w:szCs w:val="22"/>
        </w:rPr>
      </w:pPr>
      <w:r w:rsidRPr="004008FE">
        <w:rPr>
          <w:b/>
          <w:szCs w:val="22"/>
        </w:rPr>
        <w:t>Προκλινικά δεδομένα για την ασφάλεια</w:t>
      </w:r>
    </w:p>
    <w:p w:rsidR="00A31D07" w:rsidRPr="004008FE" w:rsidRDefault="00A31D07" w:rsidP="00A31D07">
      <w:pPr>
        <w:rPr>
          <w:b/>
          <w:szCs w:val="22"/>
        </w:rPr>
      </w:pPr>
    </w:p>
    <w:p w:rsidR="00A31D07" w:rsidRPr="004008FE" w:rsidRDefault="00A31D07" w:rsidP="00A31D07">
      <w:pPr>
        <w:widowControl/>
        <w:autoSpaceDE w:val="0"/>
        <w:autoSpaceDN w:val="0"/>
        <w:adjustRightInd w:val="0"/>
        <w:rPr>
          <w:b/>
          <w:bCs/>
          <w:szCs w:val="22"/>
          <w:lang w:eastAsia="el-GR"/>
        </w:rPr>
      </w:pPr>
      <w:r w:rsidRPr="004008FE">
        <w:rPr>
          <w:b/>
          <w:bCs/>
          <w:szCs w:val="22"/>
          <w:lang w:eastAsia="el-GR"/>
        </w:rPr>
        <w:t>Oξεία Τοξικότητα</w:t>
      </w:r>
    </w:p>
    <w:p w:rsidR="00A31D07" w:rsidRPr="004008FE" w:rsidRDefault="00A31D07" w:rsidP="00A31D07">
      <w:pPr>
        <w:widowControl/>
        <w:autoSpaceDE w:val="0"/>
        <w:autoSpaceDN w:val="0"/>
        <w:adjustRightInd w:val="0"/>
        <w:rPr>
          <w:szCs w:val="22"/>
          <w:lang w:eastAsia="el-GR"/>
        </w:rPr>
      </w:pPr>
    </w:p>
    <w:p w:rsidR="00A31D07" w:rsidRPr="004008FE" w:rsidRDefault="00A31D07" w:rsidP="00A31D07">
      <w:pPr>
        <w:widowControl/>
        <w:autoSpaceDE w:val="0"/>
        <w:autoSpaceDN w:val="0"/>
        <w:adjustRightInd w:val="0"/>
        <w:rPr>
          <w:szCs w:val="22"/>
          <w:lang w:eastAsia="el-GR"/>
        </w:rPr>
      </w:pPr>
      <w:r w:rsidRPr="004008FE">
        <w:rPr>
          <w:szCs w:val="22"/>
          <w:lang w:eastAsia="el-GR"/>
        </w:rPr>
        <w:t>Oυσιαστικές μελέτες οξείας τοξικότητας με cisatracurium δεν μπορούσαν να γίνουν.</w:t>
      </w:r>
    </w:p>
    <w:p w:rsidR="00A31D07" w:rsidRPr="004008FE" w:rsidRDefault="00A31D07" w:rsidP="00A31D07">
      <w:pPr>
        <w:widowControl/>
        <w:autoSpaceDE w:val="0"/>
        <w:autoSpaceDN w:val="0"/>
        <w:adjustRightInd w:val="0"/>
        <w:rPr>
          <w:szCs w:val="22"/>
          <w:lang w:eastAsia="el-GR"/>
        </w:rPr>
      </w:pPr>
    </w:p>
    <w:p w:rsidR="00A31D07" w:rsidRPr="004008FE" w:rsidRDefault="00A31D07" w:rsidP="00A31D07">
      <w:pPr>
        <w:widowControl/>
        <w:autoSpaceDE w:val="0"/>
        <w:autoSpaceDN w:val="0"/>
        <w:adjustRightInd w:val="0"/>
        <w:rPr>
          <w:szCs w:val="22"/>
          <w:lang w:eastAsia="el-GR"/>
        </w:rPr>
      </w:pPr>
      <w:r w:rsidRPr="004008FE">
        <w:rPr>
          <w:szCs w:val="22"/>
          <w:lang w:eastAsia="el-GR"/>
        </w:rPr>
        <w:t>Για συμπτώματα τοξικότητας βλέπε &lt;&lt;Υπερδοσολογία&gt;&gt;.</w:t>
      </w:r>
    </w:p>
    <w:p w:rsidR="00A31D07" w:rsidRPr="004008FE" w:rsidRDefault="00A31D07" w:rsidP="00A31D07">
      <w:pPr>
        <w:rPr>
          <w:szCs w:val="22"/>
        </w:rPr>
      </w:pPr>
    </w:p>
    <w:p w:rsidR="00A31D07" w:rsidRPr="004008FE" w:rsidRDefault="00A31D07" w:rsidP="00A31D07">
      <w:pPr>
        <w:widowControl/>
        <w:autoSpaceDE w:val="0"/>
        <w:autoSpaceDN w:val="0"/>
        <w:adjustRightInd w:val="0"/>
        <w:rPr>
          <w:bCs/>
          <w:szCs w:val="22"/>
          <w:lang w:eastAsia="el-GR"/>
        </w:rPr>
      </w:pPr>
      <w:r w:rsidRPr="004008FE">
        <w:rPr>
          <w:bCs/>
          <w:szCs w:val="22"/>
          <w:lang w:eastAsia="el-GR"/>
        </w:rPr>
        <w:t>Υποξεία Τοξικότητα</w:t>
      </w:r>
    </w:p>
    <w:p w:rsidR="00A31D07" w:rsidRPr="004008FE" w:rsidRDefault="00A31D07" w:rsidP="00A31D07">
      <w:pPr>
        <w:widowControl/>
        <w:autoSpaceDE w:val="0"/>
        <w:autoSpaceDN w:val="0"/>
        <w:adjustRightInd w:val="0"/>
        <w:rPr>
          <w:bCs/>
          <w:szCs w:val="22"/>
          <w:lang w:eastAsia="el-GR"/>
        </w:rPr>
      </w:pPr>
    </w:p>
    <w:p w:rsidR="00A31D07" w:rsidRPr="004008FE" w:rsidRDefault="00A31D07" w:rsidP="00A31D07">
      <w:pPr>
        <w:widowControl/>
        <w:autoSpaceDE w:val="0"/>
        <w:autoSpaceDN w:val="0"/>
        <w:adjustRightInd w:val="0"/>
        <w:rPr>
          <w:szCs w:val="22"/>
          <w:lang w:eastAsia="el-GR"/>
        </w:rPr>
      </w:pPr>
      <w:r w:rsidRPr="004008FE">
        <w:rPr>
          <w:szCs w:val="22"/>
          <w:lang w:eastAsia="el-GR"/>
        </w:rPr>
        <w:t>Μελέτες με επαναλαμβανόμενη χορήγηση για τρεις εβδομάδες σε σκυλιά και πιθήκους δεν έδειξαν κάποια σύνθετα σημεία ειδικής τοξικότητας.</w:t>
      </w:r>
    </w:p>
    <w:p w:rsidR="00A31D07" w:rsidRPr="004008FE" w:rsidRDefault="00A31D07" w:rsidP="00A31D07">
      <w:pPr>
        <w:widowControl/>
        <w:autoSpaceDE w:val="0"/>
        <w:autoSpaceDN w:val="0"/>
        <w:adjustRightInd w:val="0"/>
        <w:rPr>
          <w:szCs w:val="22"/>
          <w:lang w:eastAsia="el-GR"/>
        </w:rPr>
      </w:pPr>
    </w:p>
    <w:p w:rsidR="00A31D07" w:rsidRPr="004008FE" w:rsidRDefault="00A31D07" w:rsidP="00A31D07">
      <w:pPr>
        <w:widowControl/>
        <w:autoSpaceDE w:val="0"/>
        <w:autoSpaceDN w:val="0"/>
        <w:adjustRightInd w:val="0"/>
        <w:rPr>
          <w:bCs/>
          <w:szCs w:val="22"/>
          <w:lang w:eastAsia="el-GR"/>
        </w:rPr>
      </w:pPr>
      <w:r w:rsidRPr="004008FE">
        <w:rPr>
          <w:bCs/>
          <w:szCs w:val="22"/>
          <w:lang w:eastAsia="el-GR"/>
        </w:rPr>
        <w:t>Μεταλλαξιογένεση</w:t>
      </w:r>
    </w:p>
    <w:p w:rsidR="00A31D07" w:rsidRPr="004008FE" w:rsidRDefault="00A31D07" w:rsidP="00A31D07">
      <w:pPr>
        <w:widowControl/>
        <w:autoSpaceDE w:val="0"/>
        <w:autoSpaceDN w:val="0"/>
        <w:adjustRightInd w:val="0"/>
        <w:rPr>
          <w:bCs/>
          <w:szCs w:val="22"/>
          <w:lang w:eastAsia="el-GR"/>
        </w:rPr>
      </w:pPr>
    </w:p>
    <w:p w:rsidR="00A31D07" w:rsidRPr="004008FE" w:rsidRDefault="00A31D07" w:rsidP="00A31D07">
      <w:pPr>
        <w:widowControl/>
        <w:autoSpaceDE w:val="0"/>
        <w:autoSpaceDN w:val="0"/>
        <w:adjustRightInd w:val="0"/>
        <w:rPr>
          <w:szCs w:val="22"/>
          <w:lang w:eastAsia="el-GR"/>
        </w:rPr>
      </w:pPr>
      <w:r w:rsidRPr="004008FE">
        <w:rPr>
          <w:szCs w:val="22"/>
          <w:lang w:eastAsia="el-GR"/>
        </w:rPr>
        <w:t>Το cisatracurium δεν προκαλούσε μεταλλαξιογένεση σε μικρόβια in vitro μέχρι και συγκεντρώσεων 5000 μg/τριβλίο.</w:t>
      </w:r>
    </w:p>
    <w:p w:rsidR="00A31D07" w:rsidRPr="004008FE" w:rsidRDefault="00A31D07" w:rsidP="00A31D07">
      <w:pPr>
        <w:widowControl/>
        <w:autoSpaceDE w:val="0"/>
        <w:autoSpaceDN w:val="0"/>
        <w:adjustRightInd w:val="0"/>
        <w:rPr>
          <w:szCs w:val="22"/>
          <w:lang w:eastAsia="el-GR"/>
        </w:rPr>
      </w:pPr>
    </w:p>
    <w:p w:rsidR="00A31D07" w:rsidRPr="004008FE" w:rsidRDefault="00A31D07" w:rsidP="00A31D07">
      <w:pPr>
        <w:widowControl/>
        <w:autoSpaceDE w:val="0"/>
        <w:autoSpaceDN w:val="0"/>
        <w:adjustRightInd w:val="0"/>
        <w:rPr>
          <w:szCs w:val="22"/>
          <w:lang w:eastAsia="el-GR"/>
        </w:rPr>
      </w:pPr>
      <w:r w:rsidRPr="004008FE">
        <w:rPr>
          <w:szCs w:val="22"/>
          <w:lang w:eastAsia="el-GR"/>
        </w:rPr>
        <w:t>Σε μία κυτταρογενετική μελέτη in vivo σε επίμυες, δεν παρατηρήθησαν σημαντικές χρωμοσωμικές ανωμαλίες σε δόσεις υποδόριες (S.C.) μέχρι και 4 mg/kg.</w:t>
      </w:r>
    </w:p>
    <w:p w:rsidR="00A31D07" w:rsidRPr="004008FE" w:rsidRDefault="00A31D07" w:rsidP="00A31D07">
      <w:pPr>
        <w:widowControl/>
        <w:autoSpaceDE w:val="0"/>
        <w:autoSpaceDN w:val="0"/>
        <w:adjustRightInd w:val="0"/>
        <w:rPr>
          <w:szCs w:val="22"/>
          <w:lang w:eastAsia="el-GR"/>
        </w:rPr>
      </w:pPr>
    </w:p>
    <w:p w:rsidR="00A31D07" w:rsidRPr="004008FE" w:rsidRDefault="00E74764" w:rsidP="00A31D07">
      <w:pPr>
        <w:widowControl/>
        <w:autoSpaceDE w:val="0"/>
        <w:autoSpaceDN w:val="0"/>
        <w:adjustRightInd w:val="0"/>
        <w:rPr>
          <w:szCs w:val="22"/>
          <w:lang w:eastAsia="el-GR"/>
        </w:rPr>
      </w:pPr>
      <w:r w:rsidRPr="004008FE">
        <w:rPr>
          <w:szCs w:val="22"/>
          <w:lang w:eastAsia="el-GR"/>
        </w:rPr>
        <w:t>To cisatracurium ήταν μεταλλαξι</w:t>
      </w:r>
      <w:r w:rsidR="00A31D07" w:rsidRPr="004008FE">
        <w:rPr>
          <w:szCs w:val="22"/>
          <w:lang w:eastAsia="el-GR"/>
        </w:rPr>
        <w:t>ογόνο σε in vitro δοκιμασία μεταλλαξιογένεσης με κύτταρα λεμφώματος επίμυων, σε συγκεντρώσεις 40 μg/ml και πάνω.</w:t>
      </w:r>
    </w:p>
    <w:p w:rsidR="00A31D07" w:rsidRPr="004008FE" w:rsidRDefault="00A31D07" w:rsidP="00A31D07">
      <w:pPr>
        <w:widowControl/>
        <w:autoSpaceDE w:val="0"/>
        <w:autoSpaceDN w:val="0"/>
        <w:adjustRightInd w:val="0"/>
        <w:rPr>
          <w:szCs w:val="22"/>
          <w:lang w:eastAsia="el-GR"/>
        </w:rPr>
      </w:pPr>
    </w:p>
    <w:p w:rsidR="00A31D07" w:rsidRPr="004008FE" w:rsidRDefault="00A31D07" w:rsidP="00A31D07">
      <w:pPr>
        <w:widowControl/>
        <w:autoSpaceDE w:val="0"/>
        <w:autoSpaceDN w:val="0"/>
        <w:adjustRightInd w:val="0"/>
        <w:rPr>
          <w:szCs w:val="22"/>
          <w:lang w:eastAsia="el-GR"/>
        </w:rPr>
      </w:pPr>
      <w:r w:rsidRPr="004008FE">
        <w:rPr>
          <w:szCs w:val="22"/>
          <w:lang w:eastAsia="el-GR"/>
        </w:rPr>
        <w:t>Μία μοναδική θετική μεταλλαξιογόνος αντίδραση ενός φαρμάκου, το οποίο δεν δίδεται συχνά και / ή για μικρό χρονικό διάστημα, έχει αμφισβητούμενη κλινική συσχέτιση.</w:t>
      </w:r>
    </w:p>
    <w:p w:rsidR="00A31D07" w:rsidRPr="004008FE" w:rsidRDefault="00A31D07" w:rsidP="00A31D07">
      <w:pPr>
        <w:widowControl/>
        <w:autoSpaceDE w:val="0"/>
        <w:autoSpaceDN w:val="0"/>
        <w:adjustRightInd w:val="0"/>
        <w:rPr>
          <w:szCs w:val="22"/>
          <w:lang w:eastAsia="el-GR"/>
        </w:rPr>
      </w:pPr>
    </w:p>
    <w:p w:rsidR="00A31D07" w:rsidRPr="004008FE" w:rsidRDefault="00A31D07" w:rsidP="00A31D07">
      <w:pPr>
        <w:widowControl/>
        <w:autoSpaceDE w:val="0"/>
        <w:autoSpaceDN w:val="0"/>
        <w:adjustRightInd w:val="0"/>
        <w:rPr>
          <w:b/>
          <w:bCs/>
          <w:szCs w:val="22"/>
          <w:lang w:eastAsia="el-GR"/>
        </w:rPr>
      </w:pPr>
      <w:r w:rsidRPr="004008FE">
        <w:rPr>
          <w:b/>
          <w:bCs/>
          <w:szCs w:val="22"/>
          <w:lang w:eastAsia="el-GR"/>
        </w:rPr>
        <w:t>Καρκινογένεση</w:t>
      </w:r>
    </w:p>
    <w:p w:rsidR="00A31D07" w:rsidRPr="004008FE" w:rsidRDefault="00A31D07" w:rsidP="00A31D07">
      <w:pPr>
        <w:widowControl/>
        <w:autoSpaceDE w:val="0"/>
        <w:autoSpaceDN w:val="0"/>
        <w:adjustRightInd w:val="0"/>
        <w:rPr>
          <w:bCs/>
          <w:szCs w:val="22"/>
          <w:lang w:eastAsia="el-GR"/>
        </w:rPr>
      </w:pPr>
    </w:p>
    <w:p w:rsidR="003F0B59" w:rsidRPr="004008FE" w:rsidRDefault="003F0B59" w:rsidP="003F0B59">
      <w:pPr>
        <w:widowControl/>
        <w:autoSpaceDE w:val="0"/>
        <w:autoSpaceDN w:val="0"/>
        <w:adjustRightInd w:val="0"/>
        <w:rPr>
          <w:szCs w:val="22"/>
          <w:lang w:eastAsia="el-GR"/>
        </w:rPr>
      </w:pPr>
      <w:r w:rsidRPr="004008FE">
        <w:rPr>
          <w:szCs w:val="22"/>
          <w:lang w:eastAsia="el-GR"/>
        </w:rPr>
        <w:t>Δεν έχουν γίνει μελέτες καρκινογένεσης.</w:t>
      </w:r>
    </w:p>
    <w:p w:rsidR="003F0B59" w:rsidRPr="004008FE" w:rsidRDefault="003F0B59" w:rsidP="003F0B59">
      <w:pPr>
        <w:widowControl/>
        <w:autoSpaceDE w:val="0"/>
        <w:autoSpaceDN w:val="0"/>
        <w:adjustRightInd w:val="0"/>
        <w:rPr>
          <w:szCs w:val="22"/>
          <w:lang w:eastAsia="el-GR"/>
        </w:rPr>
      </w:pPr>
    </w:p>
    <w:p w:rsidR="003F0B59" w:rsidRPr="004008FE" w:rsidRDefault="003F0B59" w:rsidP="003F0B59">
      <w:pPr>
        <w:widowControl/>
        <w:autoSpaceDE w:val="0"/>
        <w:autoSpaceDN w:val="0"/>
        <w:adjustRightInd w:val="0"/>
        <w:rPr>
          <w:b/>
          <w:bCs/>
          <w:szCs w:val="22"/>
          <w:lang w:eastAsia="el-GR"/>
        </w:rPr>
      </w:pPr>
      <w:r w:rsidRPr="004008FE">
        <w:rPr>
          <w:b/>
          <w:bCs/>
          <w:szCs w:val="22"/>
          <w:lang w:eastAsia="el-GR"/>
        </w:rPr>
        <w:t>Τοξικότητα κατά την αναπαραγωγή</w:t>
      </w:r>
    </w:p>
    <w:p w:rsidR="003F0B59" w:rsidRPr="004008FE" w:rsidRDefault="003F0B59" w:rsidP="003F0B59">
      <w:pPr>
        <w:widowControl/>
        <w:autoSpaceDE w:val="0"/>
        <w:autoSpaceDN w:val="0"/>
        <w:adjustRightInd w:val="0"/>
        <w:rPr>
          <w:b/>
          <w:bCs/>
          <w:szCs w:val="22"/>
          <w:lang w:eastAsia="el-GR"/>
        </w:rPr>
      </w:pPr>
    </w:p>
    <w:p w:rsidR="003F0B59" w:rsidRPr="004008FE" w:rsidRDefault="003F0B59" w:rsidP="003F0B59">
      <w:pPr>
        <w:widowControl/>
        <w:autoSpaceDE w:val="0"/>
        <w:autoSpaceDN w:val="0"/>
        <w:adjustRightInd w:val="0"/>
        <w:rPr>
          <w:szCs w:val="22"/>
          <w:lang w:eastAsia="el-GR"/>
        </w:rPr>
      </w:pPr>
      <w:r w:rsidRPr="004008FE">
        <w:rPr>
          <w:szCs w:val="22"/>
          <w:lang w:eastAsia="el-GR"/>
        </w:rPr>
        <w:t>Δεν πραγματοποιήθηκαν μελέτες γονιμότητας. Αναπαραγωγικές μελέτες σε αρουραίους δεν κατέδειξαν ανεπιθύμητες ενέργειες του cisatracurium στην εμβρυϊκή ανάπτυξη.</w:t>
      </w:r>
    </w:p>
    <w:p w:rsidR="003F0B59" w:rsidRPr="004008FE" w:rsidRDefault="003F0B59" w:rsidP="003F0B59">
      <w:pPr>
        <w:widowControl/>
        <w:autoSpaceDE w:val="0"/>
        <w:autoSpaceDN w:val="0"/>
        <w:adjustRightInd w:val="0"/>
        <w:rPr>
          <w:szCs w:val="22"/>
          <w:lang w:eastAsia="el-GR"/>
        </w:rPr>
      </w:pPr>
    </w:p>
    <w:p w:rsidR="003F0B59" w:rsidRPr="004008FE" w:rsidRDefault="003F0B59" w:rsidP="003F0B59">
      <w:pPr>
        <w:widowControl/>
        <w:autoSpaceDE w:val="0"/>
        <w:autoSpaceDN w:val="0"/>
        <w:adjustRightInd w:val="0"/>
        <w:rPr>
          <w:b/>
          <w:bCs/>
          <w:szCs w:val="22"/>
          <w:lang w:eastAsia="el-GR"/>
        </w:rPr>
      </w:pPr>
      <w:r w:rsidRPr="004008FE">
        <w:rPr>
          <w:b/>
          <w:bCs/>
          <w:szCs w:val="22"/>
          <w:lang w:eastAsia="el-GR"/>
        </w:rPr>
        <w:t>Τοπική ανεκτικότητα</w:t>
      </w:r>
    </w:p>
    <w:p w:rsidR="003F0B59" w:rsidRPr="004008FE" w:rsidRDefault="003F0B59" w:rsidP="003F0B59">
      <w:pPr>
        <w:widowControl/>
        <w:autoSpaceDE w:val="0"/>
        <w:autoSpaceDN w:val="0"/>
        <w:adjustRightInd w:val="0"/>
        <w:rPr>
          <w:b/>
          <w:bCs/>
          <w:szCs w:val="22"/>
          <w:lang w:eastAsia="el-GR"/>
        </w:rPr>
      </w:pPr>
    </w:p>
    <w:p w:rsidR="003F0B59" w:rsidRPr="004008FE" w:rsidRDefault="003F0B59" w:rsidP="003F0B59">
      <w:pPr>
        <w:widowControl/>
        <w:autoSpaceDE w:val="0"/>
        <w:autoSpaceDN w:val="0"/>
        <w:adjustRightInd w:val="0"/>
        <w:rPr>
          <w:szCs w:val="22"/>
          <w:lang w:eastAsia="el-GR"/>
        </w:rPr>
      </w:pPr>
      <w:r w:rsidRPr="004008FE">
        <w:rPr>
          <w:szCs w:val="22"/>
          <w:lang w:eastAsia="el-GR"/>
        </w:rPr>
        <w:t xml:space="preserve">Το αποτέλεσμα μίας ενδοαρτηριακής μελέτης σε κουνέλια έδειξε ότι το ενέσιμο </w:t>
      </w:r>
      <w:r w:rsidR="004569E4" w:rsidRPr="004008FE">
        <w:rPr>
          <w:szCs w:val="22"/>
          <w:lang w:val="en-GB"/>
        </w:rPr>
        <w:t>cisatracurium</w:t>
      </w:r>
      <w:r w:rsidR="004569E4" w:rsidRPr="004008FE">
        <w:rPr>
          <w:szCs w:val="22"/>
        </w:rPr>
        <w:t xml:space="preserve"> </w:t>
      </w:r>
      <w:r w:rsidRPr="004008FE">
        <w:rPr>
          <w:szCs w:val="22"/>
          <w:lang w:eastAsia="el-GR"/>
        </w:rPr>
        <w:t>είναι καλά ανεκτό και δεν παρατηρήθηκαν κάποιες αλλαγές οφειλόμενες στο φάρμακο.</w:t>
      </w:r>
    </w:p>
    <w:p w:rsidR="003F0B59" w:rsidRPr="004008FE" w:rsidRDefault="003F0B59" w:rsidP="003F0B59">
      <w:pPr>
        <w:widowControl/>
        <w:autoSpaceDE w:val="0"/>
        <w:autoSpaceDN w:val="0"/>
        <w:adjustRightInd w:val="0"/>
        <w:rPr>
          <w:szCs w:val="22"/>
          <w:lang w:eastAsia="el-GR"/>
        </w:rPr>
      </w:pPr>
    </w:p>
    <w:p w:rsidR="00496809" w:rsidRPr="004008FE" w:rsidRDefault="00496809">
      <w:pPr>
        <w:rPr>
          <w:szCs w:val="22"/>
        </w:rPr>
      </w:pPr>
    </w:p>
    <w:p w:rsidR="00496809" w:rsidRPr="004008FE" w:rsidRDefault="00496809">
      <w:pPr>
        <w:rPr>
          <w:szCs w:val="22"/>
        </w:rPr>
      </w:pPr>
      <w:r w:rsidRPr="004008FE">
        <w:rPr>
          <w:b/>
          <w:szCs w:val="22"/>
        </w:rPr>
        <w:t>6.</w:t>
      </w:r>
      <w:r w:rsidRPr="004008FE">
        <w:rPr>
          <w:b/>
          <w:szCs w:val="22"/>
        </w:rPr>
        <w:tab/>
        <w:t>ΦΑΡΜΑΚΕΥΤΙΚΕΣ ΠΛΗΡΟΦΟΡΙΕΣ</w:t>
      </w:r>
    </w:p>
    <w:p w:rsidR="00496809" w:rsidRPr="004008FE" w:rsidRDefault="00496809">
      <w:pPr>
        <w:pStyle w:val="a3"/>
        <w:tabs>
          <w:tab w:val="clear" w:pos="4153"/>
          <w:tab w:val="clear" w:pos="8306"/>
        </w:tabs>
        <w:rPr>
          <w:szCs w:val="22"/>
        </w:rPr>
      </w:pPr>
    </w:p>
    <w:p w:rsidR="00496809" w:rsidRPr="004008FE" w:rsidRDefault="00496809" w:rsidP="00AE7BFD">
      <w:pPr>
        <w:numPr>
          <w:ilvl w:val="1"/>
          <w:numId w:val="24"/>
        </w:numPr>
        <w:rPr>
          <w:b/>
          <w:szCs w:val="22"/>
        </w:rPr>
      </w:pPr>
      <w:r w:rsidRPr="004008FE">
        <w:rPr>
          <w:b/>
          <w:szCs w:val="22"/>
        </w:rPr>
        <w:t>Κατάλογος εκδόχων</w:t>
      </w:r>
    </w:p>
    <w:p w:rsidR="00AE7BFD" w:rsidRPr="004008FE" w:rsidRDefault="00AE7BFD" w:rsidP="00AE7BFD">
      <w:pPr>
        <w:rPr>
          <w:b/>
          <w:szCs w:val="22"/>
        </w:rPr>
      </w:pPr>
    </w:p>
    <w:p w:rsidR="00AE7BFD" w:rsidRPr="004008FE" w:rsidRDefault="00AE7BFD" w:rsidP="00AE7BFD">
      <w:pPr>
        <w:widowControl/>
        <w:autoSpaceDE w:val="0"/>
        <w:autoSpaceDN w:val="0"/>
        <w:adjustRightInd w:val="0"/>
        <w:rPr>
          <w:szCs w:val="22"/>
          <w:lang w:eastAsia="el-GR"/>
        </w:rPr>
      </w:pPr>
      <w:r w:rsidRPr="004008FE">
        <w:rPr>
          <w:szCs w:val="22"/>
          <w:lang w:eastAsia="el-GR"/>
        </w:rPr>
        <w:t xml:space="preserve">Διάλυμα </w:t>
      </w:r>
      <w:r w:rsidR="0015069B" w:rsidRPr="004008FE">
        <w:rPr>
          <w:szCs w:val="22"/>
          <w:lang w:eastAsia="el-GR"/>
        </w:rPr>
        <w:t xml:space="preserve">βενζοσουλφονικού </w:t>
      </w:r>
      <w:r w:rsidRPr="004008FE">
        <w:rPr>
          <w:szCs w:val="22"/>
          <w:lang w:eastAsia="el-GR"/>
        </w:rPr>
        <w:t xml:space="preserve">οξέος 32% w/v (για ρύθμιση </w:t>
      </w:r>
      <w:r w:rsidRPr="004008FE">
        <w:rPr>
          <w:szCs w:val="22"/>
          <w:lang w:val="en-US" w:eastAsia="el-GR"/>
        </w:rPr>
        <w:t>pH</w:t>
      </w:r>
      <w:r w:rsidRPr="004008FE">
        <w:rPr>
          <w:szCs w:val="22"/>
          <w:lang w:eastAsia="el-GR"/>
        </w:rPr>
        <w:t>)</w:t>
      </w:r>
    </w:p>
    <w:p w:rsidR="00AE7BFD" w:rsidRPr="004008FE" w:rsidRDefault="0015069B" w:rsidP="00AE7BFD">
      <w:pPr>
        <w:widowControl/>
        <w:autoSpaceDE w:val="0"/>
        <w:autoSpaceDN w:val="0"/>
        <w:adjustRightInd w:val="0"/>
        <w:rPr>
          <w:szCs w:val="22"/>
          <w:lang w:eastAsia="el-GR"/>
        </w:rPr>
      </w:pPr>
      <w:r w:rsidRPr="004008FE">
        <w:rPr>
          <w:szCs w:val="22"/>
          <w:lang w:eastAsia="el-GR"/>
        </w:rPr>
        <w:t>Υδωρ για ενέσιμα</w:t>
      </w:r>
      <w:r w:rsidR="00AE7BFD" w:rsidRPr="004008FE">
        <w:rPr>
          <w:szCs w:val="22"/>
          <w:lang w:eastAsia="el-GR"/>
        </w:rPr>
        <w:t>.</w:t>
      </w:r>
    </w:p>
    <w:p w:rsidR="00AE7BFD" w:rsidRPr="004008FE" w:rsidRDefault="00AE7BFD" w:rsidP="00AE7BFD">
      <w:pPr>
        <w:rPr>
          <w:szCs w:val="22"/>
        </w:rPr>
      </w:pPr>
    </w:p>
    <w:p w:rsidR="00AE7BFD" w:rsidRPr="004008FE" w:rsidRDefault="00AE7BFD">
      <w:pPr>
        <w:rPr>
          <w:szCs w:val="22"/>
        </w:rPr>
      </w:pPr>
    </w:p>
    <w:p w:rsidR="00496809" w:rsidRPr="004008FE" w:rsidRDefault="00496809" w:rsidP="00AE7BFD">
      <w:pPr>
        <w:numPr>
          <w:ilvl w:val="1"/>
          <w:numId w:val="24"/>
        </w:numPr>
        <w:rPr>
          <w:b/>
          <w:szCs w:val="22"/>
        </w:rPr>
      </w:pPr>
      <w:r w:rsidRPr="004008FE">
        <w:rPr>
          <w:b/>
          <w:szCs w:val="22"/>
        </w:rPr>
        <w:t>Ασυμβατότητες</w:t>
      </w:r>
    </w:p>
    <w:p w:rsidR="00AE7BFD" w:rsidRPr="004008FE" w:rsidRDefault="00AE7BFD" w:rsidP="00AE7BFD">
      <w:pPr>
        <w:rPr>
          <w:b/>
          <w:szCs w:val="22"/>
        </w:rPr>
      </w:pPr>
    </w:p>
    <w:p w:rsidR="00AE7BFD" w:rsidRPr="004008FE" w:rsidRDefault="00AE7BFD" w:rsidP="00AE7BFD">
      <w:pPr>
        <w:rPr>
          <w:szCs w:val="22"/>
        </w:rPr>
      </w:pPr>
      <w:r w:rsidRPr="004008FE">
        <w:rPr>
          <w:szCs w:val="22"/>
        </w:rPr>
        <w:t>Αυτό το φαρμακευτικό προϊόν δε πρέπει να αναμιγνύεται με άλλα φαρμακευτικά προϊόντα εκτός αυτών</w:t>
      </w:r>
      <w:r w:rsidR="00B13D99" w:rsidRPr="004008FE">
        <w:rPr>
          <w:szCs w:val="22"/>
        </w:rPr>
        <w:t xml:space="preserve"> που αναφέρονται στο λήμμα 6.6.</w:t>
      </w:r>
    </w:p>
    <w:p w:rsidR="00AE7BFD" w:rsidRPr="004008FE" w:rsidRDefault="00AE7BFD" w:rsidP="00AE7BFD">
      <w:pPr>
        <w:rPr>
          <w:szCs w:val="22"/>
        </w:rPr>
      </w:pPr>
    </w:p>
    <w:p w:rsidR="00AE7BFD" w:rsidRPr="004008FE" w:rsidRDefault="00AE7BFD" w:rsidP="00AE7BFD">
      <w:pPr>
        <w:widowControl/>
        <w:autoSpaceDE w:val="0"/>
        <w:autoSpaceDN w:val="0"/>
        <w:adjustRightInd w:val="0"/>
        <w:rPr>
          <w:szCs w:val="22"/>
          <w:lang w:eastAsia="el-GR"/>
        </w:rPr>
      </w:pPr>
      <w:r w:rsidRPr="004008FE">
        <w:rPr>
          <w:szCs w:val="22"/>
          <w:lang w:eastAsia="el-GR"/>
        </w:rPr>
        <w:t xml:space="preserve">Επειδή το </w:t>
      </w:r>
      <w:r w:rsidR="0048469D" w:rsidRPr="004008FE">
        <w:rPr>
          <w:szCs w:val="22"/>
          <w:lang w:val="en-US" w:eastAsia="el-GR"/>
        </w:rPr>
        <w:t>CISATRAL</w:t>
      </w:r>
      <w:r w:rsidR="0048469D" w:rsidRPr="004008FE" w:rsidDel="0048469D">
        <w:rPr>
          <w:szCs w:val="22"/>
        </w:rPr>
        <w:t xml:space="preserve"> </w:t>
      </w:r>
      <w:r w:rsidRPr="004008FE">
        <w:rPr>
          <w:szCs w:val="22"/>
          <w:lang w:eastAsia="el-GR"/>
        </w:rPr>
        <w:t xml:space="preserve"> είναι σταθερό μόνο σε</w:t>
      </w:r>
      <w:r w:rsidR="004306EE" w:rsidRPr="004008FE">
        <w:rPr>
          <w:szCs w:val="22"/>
          <w:lang w:eastAsia="el-GR"/>
        </w:rPr>
        <w:t xml:space="preserve"> όξινα διαλύματα, δεν πρέπει να </w:t>
      </w:r>
      <w:r w:rsidRPr="004008FE">
        <w:rPr>
          <w:szCs w:val="22"/>
          <w:lang w:eastAsia="el-GR"/>
        </w:rPr>
        <w:t xml:space="preserve">αναμιγνύεται στην ίδια σύριγγα ή να χορηγείται ταυτόχρονα δια μέσου της ίδιας βελόνας με αλκαλικά διαλύματα π.χ. νατριούχου θειοπεντόνης. Δεν είναι συμβατό με </w:t>
      </w:r>
      <w:r w:rsidRPr="004008FE">
        <w:rPr>
          <w:szCs w:val="22"/>
          <w:lang w:val="en-US" w:eastAsia="el-GR"/>
        </w:rPr>
        <w:t>k</w:t>
      </w:r>
      <w:r w:rsidRPr="004008FE">
        <w:rPr>
          <w:szCs w:val="22"/>
          <w:lang w:eastAsia="el-GR"/>
        </w:rPr>
        <w:t>etorolac trometamol ή ενέσιμο γαλάκτωμα προποφόλης.</w:t>
      </w:r>
    </w:p>
    <w:p w:rsidR="00496809" w:rsidRPr="004008FE" w:rsidRDefault="00496809" w:rsidP="005E2EA5">
      <w:pPr>
        <w:rPr>
          <w:szCs w:val="22"/>
        </w:rPr>
      </w:pPr>
    </w:p>
    <w:p w:rsidR="00496809" w:rsidRPr="004008FE" w:rsidRDefault="00496809" w:rsidP="005E2EA5">
      <w:pPr>
        <w:numPr>
          <w:ilvl w:val="1"/>
          <w:numId w:val="24"/>
        </w:numPr>
        <w:rPr>
          <w:b/>
          <w:szCs w:val="22"/>
        </w:rPr>
      </w:pPr>
      <w:r w:rsidRPr="004008FE">
        <w:rPr>
          <w:b/>
          <w:szCs w:val="22"/>
        </w:rPr>
        <w:t>Διάρκεια ζωής</w:t>
      </w:r>
    </w:p>
    <w:p w:rsidR="004306EE" w:rsidRPr="004008FE" w:rsidRDefault="004306EE" w:rsidP="005E2EA5">
      <w:pPr>
        <w:rPr>
          <w:b/>
          <w:szCs w:val="22"/>
        </w:rPr>
      </w:pPr>
    </w:p>
    <w:p w:rsidR="004306EE" w:rsidRPr="004008FE" w:rsidRDefault="004306EE" w:rsidP="005E2EA5">
      <w:pPr>
        <w:widowControl/>
        <w:autoSpaceDE w:val="0"/>
        <w:autoSpaceDN w:val="0"/>
        <w:adjustRightInd w:val="0"/>
        <w:rPr>
          <w:szCs w:val="22"/>
          <w:lang w:eastAsia="el-GR"/>
        </w:rPr>
      </w:pPr>
      <w:r w:rsidRPr="004008FE">
        <w:rPr>
          <w:szCs w:val="22"/>
          <w:lang w:eastAsia="el-GR"/>
        </w:rPr>
        <w:t>Διάρκεια ζωής πριν από διάλυση: 2 χρόνια.</w:t>
      </w:r>
    </w:p>
    <w:p w:rsidR="004306EE" w:rsidRPr="004008FE" w:rsidRDefault="004306EE" w:rsidP="005E2EA5">
      <w:pPr>
        <w:widowControl/>
        <w:autoSpaceDE w:val="0"/>
        <w:autoSpaceDN w:val="0"/>
        <w:adjustRightInd w:val="0"/>
        <w:rPr>
          <w:szCs w:val="22"/>
          <w:lang w:eastAsia="el-GR"/>
        </w:rPr>
      </w:pPr>
    </w:p>
    <w:p w:rsidR="004306EE" w:rsidRPr="004008FE" w:rsidRDefault="004306EE" w:rsidP="005E2EA5">
      <w:pPr>
        <w:widowControl/>
        <w:autoSpaceDE w:val="0"/>
        <w:autoSpaceDN w:val="0"/>
        <w:adjustRightInd w:val="0"/>
        <w:rPr>
          <w:szCs w:val="22"/>
          <w:lang w:eastAsia="el-GR"/>
        </w:rPr>
      </w:pPr>
      <w:r w:rsidRPr="004008FE">
        <w:rPr>
          <w:szCs w:val="22"/>
          <w:lang w:eastAsia="el-GR"/>
        </w:rPr>
        <w:t>Χημική και φυσική σταθερότητα κατά τη χρήση</w:t>
      </w:r>
      <w:r w:rsidR="0053783E" w:rsidRPr="004008FE">
        <w:rPr>
          <w:szCs w:val="22"/>
          <w:lang w:eastAsia="el-GR"/>
        </w:rPr>
        <w:t xml:space="preserve"> έχει δειχθεί για τουλάχιστον 24</w:t>
      </w:r>
      <w:r w:rsidRPr="004008FE">
        <w:rPr>
          <w:szCs w:val="22"/>
          <w:lang w:eastAsia="el-GR"/>
        </w:rPr>
        <w:t xml:space="preserve"> ώρες σε 5°C και 25°C (βλέπε παράγραφο 6.6).</w:t>
      </w:r>
    </w:p>
    <w:p w:rsidR="004306EE" w:rsidRPr="004008FE" w:rsidRDefault="004306EE" w:rsidP="005E2EA5">
      <w:pPr>
        <w:widowControl/>
        <w:autoSpaceDE w:val="0"/>
        <w:autoSpaceDN w:val="0"/>
        <w:adjustRightInd w:val="0"/>
        <w:rPr>
          <w:szCs w:val="22"/>
          <w:lang w:eastAsia="el-GR"/>
        </w:rPr>
      </w:pPr>
    </w:p>
    <w:p w:rsidR="004306EE" w:rsidRPr="004008FE" w:rsidRDefault="004306EE" w:rsidP="005E2EA5">
      <w:pPr>
        <w:widowControl/>
        <w:autoSpaceDE w:val="0"/>
        <w:autoSpaceDN w:val="0"/>
        <w:adjustRightInd w:val="0"/>
        <w:rPr>
          <w:szCs w:val="22"/>
          <w:lang w:eastAsia="el-GR"/>
        </w:rPr>
      </w:pPr>
      <w:r w:rsidRPr="004008FE">
        <w:rPr>
          <w:szCs w:val="22"/>
          <w:lang w:eastAsia="el-GR"/>
        </w:rPr>
        <w:t xml:space="preserve">Από μικροβιολογικής άποψης, το προϊόν πρέπει να χρησιμοποιηθεί αμέσως. Εάν δεν χρησιμοποιηθεί αμέσως οι χρόνοι και οι συνθήκες φύλαξης πριν από τη χρήση είναι ευθύνη αυτού που το χρησιμοποιεί και κανονικά δεν πρέπει να είναι μεγαλύτεροι από 24 ώρες σε 2 έως 8°C, εκτός αν η ανασύσταση έγινε σε ελεγχόμενες και </w:t>
      </w:r>
      <w:r w:rsidR="0021650C" w:rsidRPr="004008FE">
        <w:rPr>
          <w:szCs w:val="22"/>
          <w:lang w:eastAsia="el-GR"/>
        </w:rPr>
        <w:t xml:space="preserve">τεκμηριωμένα </w:t>
      </w:r>
      <w:r w:rsidRPr="004008FE">
        <w:rPr>
          <w:szCs w:val="22"/>
          <w:lang w:eastAsia="el-GR"/>
        </w:rPr>
        <w:t>άσηπτες καταστάσεις.</w:t>
      </w:r>
    </w:p>
    <w:p w:rsidR="00496809" w:rsidRPr="004008FE" w:rsidRDefault="00496809" w:rsidP="005E2EA5">
      <w:pPr>
        <w:rPr>
          <w:szCs w:val="22"/>
        </w:rPr>
      </w:pPr>
    </w:p>
    <w:p w:rsidR="00496809" w:rsidRPr="004008FE" w:rsidRDefault="00496809" w:rsidP="005E2EA5">
      <w:pPr>
        <w:numPr>
          <w:ilvl w:val="1"/>
          <w:numId w:val="24"/>
        </w:numPr>
        <w:rPr>
          <w:b/>
          <w:szCs w:val="22"/>
        </w:rPr>
      </w:pPr>
      <w:r w:rsidRPr="004008FE">
        <w:rPr>
          <w:b/>
          <w:szCs w:val="22"/>
        </w:rPr>
        <w:t>Ιδιαίτερες προφυλάξεις κατά την φύλαξη του προϊόντος</w:t>
      </w:r>
    </w:p>
    <w:p w:rsidR="00083E65" w:rsidRPr="004008FE" w:rsidRDefault="00083E65" w:rsidP="005E2EA5">
      <w:pPr>
        <w:rPr>
          <w:b/>
          <w:szCs w:val="22"/>
        </w:rPr>
      </w:pPr>
    </w:p>
    <w:p w:rsidR="00083E65" w:rsidRPr="004008FE" w:rsidRDefault="00083E65" w:rsidP="005E2EA5">
      <w:pPr>
        <w:widowControl/>
        <w:autoSpaceDE w:val="0"/>
        <w:autoSpaceDN w:val="0"/>
        <w:adjustRightInd w:val="0"/>
        <w:rPr>
          <w:szCs w:val="22"/>
          <w:lang w:eastAsia="el-GR"/>
        </w:rPr>
      </w:pPr>
      <w:r w:rsidRPr="004008FE">
        <w:rPr>
          <w:szCs w:val="22"/>
          <w:lang w:eastAsia="el-GR"/>
        </w:rPr>
        <w:t>Φυλάσ</w:t>
      </w:r>
      <w:r w:rsidR="00F80F92" w:rsidRPr="004008FE">
        <w:rPr>
          <w:szCs w:val="22"/>
          <w:lang w:eastAsia="el-GR"/>
        </w:rPr>
        <w:t>σ</w:t>
      </w:r>
      <w:r w:rsidRPr="004008FE">
        <w:rPr>
          <w:szCs w:val="22"/>
          <w:lang w:eastAsia="el-GR"/>
        </w:rPr>
        <w:t>ετ</w:t>
      </w:r>
      <w:r w:rsidR="00F65DCF">
        <w:rPr>
          <w:szCs w:val="22"/>
          <w:lang w:eastAsia="el-GR"/>
        </w:rPr>
        <w:t>ε</w:t>
      </w:r>
      <w:r w:rsidRPr="004008FE">
        <w:rPr>
          <w:szCs w:val="22"/>
          <w:lang w:eastAsia="el-GR"/>
        </w:rPr>
        <w:t xml:space="preserve"> σ</w:t>
      </w:r>
      <w:r w:rsidR="00F65DCF">
        <w:rPr>
          <w:szCs w:val="22"/>
          <w:lang w:eastAsia="el-GR"/>
        </w:rPr>
        <w:t>ε</w:t>
      </w:r>
      <w:r w:rsidRPr="004008FE">
        <w:rPr>
          <w:szCs w:val="22"/>
          <w:lang w:eastAsia="el-GR"/>
        </w:rPr>
        <w:t xml:space="preserve"> ψυγείο (2-8</w:t>
      </w:r>
      <w:r w:rsidR="0021650C" w:rsidRPr="004008FE">
        <w:rPr>
          <w:szCs w:val="22"/>
          <w:vertAlign w:val="superscript"/>
          <w:lang w:eastAsia="el-GR"/>
        </w:rPr>
        <w:t>ο</w:t>
      </w:r>
      <w:r w:rsidRPr="004008FE">
        <w:rPr>
          <w:szCs w:val="22"/>
          <w:lang w:eastAsia="el-GR"/>
        </w:rPr>
        <w:t>C). Μην καταψύχετε.</w:t>
      </w:r>
    </w:p>
    <w:p w:rsidR="00083E65" w:rsidRPr="004008FE" w:rsidRDefault="00083E65" w:rsidP="005E2EA5">
      <w:pPr>
        <w:widowControl/>
        <w:autoSpaceDE w:val="0"/>
        <w:autoSpaceDN w:val="0"/>
        <w:adjustRightInd w:val="0"/>
        <w:rPr>
          <w:szCs w:val="22"/>
          <w:lang w:eastAsia="el-GR"/>
        </w:rPr>
      </w:pPr>
      <w:r w:rsidRPr="004008FE">
        <w:rPr>
          <w:szCs w:val="22"/>
          <w:lang w:eastAsia="el-GR"/>
        </w:rPr>
        <w:t xml:space="preserve">Η φύσιγγα φυλάσσεται στο εξωτερικό κουτί για να προστατεύεται από το </w:t>
      </w:r>
      <w:r w:rsidR="0021650C" w:rsidRPr="004008FE">
        <w:rPr>
          <w:szCs w:val="22"/>
          <w:lang w:eastAsia="el-GR"/>
        </w:rPr>
        <w:t>φως</w:t>
      </w:r>
      <w:r w:rsidRPr="004008FE">
        <w:rPr>
          <w:szCs w:val="22"/>
          <w:lang w:eastAsia="el-GR"/>
        </w:rPr>
        <w:t>.</w:t>
      </w:r>
    </w:p>
    <w:p w:rsidR="00BB2199" w:rsidRPr="00F65DCF" w:rsidRDefault="00496809" w:rsidP="005E2EA5">
      <w:pPr>
        <w:jc w:val="both"/>
        <w:rPr>
          <w:noProof/>
          <w:szCs w:val="22"/>
        </w:rPr>
      </w:pPr>
      <w:r w:rsidRPr="004008FE">
        <w:rPr>
          <w:noProof/>
          <w:szCs w:val="22"/>
        </w:rPr>
        <w:t xml:space="preserve">Για τις συνθήκες διατήρησης </w:t>
      </w:r>
      <w:r w:rsidR="00F57B4C" w:rsidRPr="004008FE">
        <w:rPr>
          <w:noProof/>
          <w:szCs w:val="22"/>
        </w:rPr>
        <w:t>μετά την</w:t>
      </w:r>
      <w:r w:rsidR="00BB2199" w:rsidRPr="004008FE">
        <w:rPr>
          <w:noProof/>
          <w:szCs w:val="22"/>
        </w:rPr>
        <w:t xml:space="preserve"> </w:t>
      </w:r>
      <w:r w:rsidR="00F57B4C" w:rsidRPr="004008FE">
        <w:rPr>
          <w:noProof/>
          <w:szCs w:val="22"/>
        </w:rPr>
        <w:t>αραίωση</w:t>
      </w:r>
      <w:r w:rsidR="00BB2199" w:rsidRPr="004008FE">
        <w:rPr>
          <w:noProof/>
          <w:szCs w:val="22"/>
        </w:rPr>
        <w:t xml:space="preserve"> </w:t>
      </w:r>
      <w:r w:rsidRPr="004008FE">
        <w:rPr>
          <w:noProof/>
          <w:szCs w:val="22"/>
        </w:rPr>
        <w:t>του φαρμακευτικ</w:t>
      </w:r>
      <w:r w:rsidR="00BB2199" w:rsidRPr="004008FE">
        <w:rPr>
          <w:noProof/>
          <w:szCs w:val="22"/>
        </w:rPr>
        <w:t>ού προϊόντος βλ</w:t>
      </w:r>
      <w:r w:rsidR="004569E4" w:rsidRPr="004008FE">
        <w:rPr>
          <w:noProof/>
          <w:szCs w:val="22"/>
        </w:rPr>
        <w:t>έπε</w:t>
      </w:r>
      <w:r w:rsidR="00BB2199" w:rsidRPr="004008FE">
        <w:rPr>
          <w:noProof/>
          <w:szCs w:val="22"/>
        </w:rPr>
        <w:t xml:space="preserve"> παράγραφο 6.3.</w:t>
      </w:r>
    </w:p>
    <w:p w:rsidR="005E2EA5" w:rsidRPr="00F65DCF" w:rsidRDefault="005E2EA5" w:rsidP="005E2EA5">
      <w:pPr>
        <w:jc w:val="both"/>
        <w:rPr>
          <w:noProof/>
          <w:szCs w:val="22"/>
        </w:rPr>
      </w:pPr>
    </w:p>
    <w:p w:rsidR="0085086B" w:rsidRPr="004008FE" w:rsidRDefault="00496809" w:rsidP="005E2EA5">
      <w:pPr>
        <w:numPr>
          <w:ilvl w:val="1"/>
          <w:numId w:val="24"/>
        </w:numPr>
        <w:jc w:val="both"/>
        <w:rPr>
          <w:b/>
          <w:szCs w:val="22"/>
        </w:rPr>
      </w:pPr>
      <w:r w:rsidRPr="004008FE">
        <w:rPr>
          <w:b/>
          <w:szCs w:val="22"/>
        </w:rPr>
        <w:t>Φύση και συστατικά του περιέκτη</w:t>
      </w:r>
    </w:p>
    <w:p w:rsidR="005E2EA5" w:rsidRPr="004008FE" w:rsidRDefault="005E2EA5" w:rsidP="005E2EA5">
      <w:pPr>
        <w:jc w:val="both"/>
        <w:rPr>
          <w:b/>
          <w:szCs w:val="22"/>
        </w:rPr>
      </w:pPr>
    </w:p>
    <w:p w:rsidR="0085086B" w:rsidRPr="004008FE" w:rsidRDefault="0085086B" w:rsidP="005E2EA5">
      <w:pPr>
        <w:widowControl/>
        <w:autoSpaceDE w:val="0"/>
        <w:autoSpaceDN w:val="0"/>
        <w:adjustRightInd w:val="0"/>
        <w:rPr>
          <w:szCs w:val="22"/>
          <w:lang w:eastAsia="el-GR"/>
        </w:rPr>
      </w:pPr>
      <w:r w:rsidRPr="004008FE">
        <w:rPr>
          <w:rFonts w:eastAsia="SimSun"/>
          <w:szCs w:val="22"/>
          <w:lang w:eastAsia="zh-CN"/>
        </w:rPr>
        <w:t>10</w:t>
      </w:r>
      <w:r w:rsidR="0004331E" w:rsidRPr="004008FE">
        <w:rPr>
          <w:rFonts w:eastAsia="SimSun"/>
          <w:szCs w:val="22"/>
          <w:lang w:eastAsia="zh-CN"/>
        </w:rPr>
        <w:t xml:space="preserve"> </w:t>
      </w:r>
      <w:r w:rsidRPr="004008FE">
        <w:rPr>
          <w:szCs w:val="22"/>
          <w:lang w:eastAsia="el-GR"/>
        </w:rPr>
        <w:t xml:space="preserve">ml σε </w:t>
      </w:r>
      <w:r w:rsidR="00CB2527" w:rsidRPr="004008FE">
        <w:rPr>
          <w:szCs w:val="22"/>
          <w:lang w:eastAsia="el-GR"/>
        </w:rPr>
        <w:t xml:space="preserve">φύσιγγα από </w:t>
      </w:r>
      <w:r w:rsidR="00D90797" w:rsidRPr="004008FE">
        <w:rPr>
          <w:szCs w:val="22"/>
          <w:lang w:eastAsia="el-GR"/>
        </w:rPr>
        <w:t>διαυγές, ουδέτερο, τύπου Ι γυαλί</w:t>
      </w:r>
      <w:r w:rsidRPr="004008FE">
        <w:rPr>
          <w:szCs w:val="22"/>
          <w:lang w:eastAsia="el-GR"/>
        </w:rPr>
        <w:t>: συσκευασία 5 φυσίγγων.</w:t>
      </w:r>
    </w:p>
    <w:p w:rsidR="0085086B" w:rsidRPr="004008FE" w:rsidRDefault="0085086B" w:rsidP="005E2EA5">
      <w:pPr>
        <w:widowControl/>
        <w:autoSpaceDE w:val="0"/>
        <w:autoSpaceDN w:val="0"/>
        <w:adjustRightInd w:val="0"/>
        <w:rPr>
          <w:szCs w:val="22"/>
          <w:lang w:eastAsia="el-GR"/>
        </w:rPr>
      </w:pPr>
      <w:r w:rsidRPr="004008FE">
        <w:rPr>
          <w:rFonts w:eastAsia="SimSun"/>
          <w:szCs w:val="22"/>
          <w:lang w:eastAsia="zh-CN"/>
        </w:rPr>
        <w:t>10</w:t>
      </w:r>
      <w:r w:rsidRPr="004008FE">
        <w:rPr>
          <w:szCs w:val="22"/>
          <w:lang w:eastAsia="el-GR"/>
        </w:rPr>
        <w:t xml:space="preserve"> ml σε </w:t>
      </w:r>
      <w:r w:rsidR="00D90797" w:rsidRPr="004008FE">
        <w:rPr>
          <w:szCs w:val="22"/>
          <w:lang w:eastAsia="el-GR"/>
        </w:rPr>
        <w:t>φύσιγγα από διαυγές, ουδέτερο, τύπου Ι γυαλί:</w:t>
      </w:r>
      <w:r w:rsidRPr="004008FE">
        <w:rPr>
          <w:szCs w:val="22"/>
          <w:lang w:eastAsia="el-GR"/>
        </w:rPr>
        <w:t xml:space="preserve"> συσκευασία 1 φύσιγγας.</w:t>
      </w:r>
    </w:p>
    <w:p w:rsidR="0085086B" w:rsidRPr="004008FE" w:rsidRDefault="0085086B" w:rsidP="005E2EA5">
      <w:pPr>
        <w:widowControl/>
        <w:autoSpaceDE w:val="0"/>
        <w:autoSpaceDN w:val="0"/>
        <w:adjustRightInd w:val="0"/>
        <w:rPr>
          <w:szCs w:val="22"/>
          <w:lang w:eastAsia="el-GR"/>
        </w:rPr>
      </w:pPr>
      <w:r w:rsidRPr="004008FE">
        <w:rPr>
          <w:rFonts w:eastAsia="SimSun"/>
          <w:szCs w:val="22"/>
          <w:lang w:eastAsia="zh-CN"/>
        </w:rPr>
        <w:t xml:space="preserve">5 </w:t>
      </w:r>
      <w:r w:rsidRPr="004008FE">
        <w:rPr>
          <w:szCs w:val="22"/>
          <w:lang w:eastAsia="el-GR"/>
        </w:rPr>
        <w:t xml:space="preserve">ml σε </w:t>
      </w:r>
      <w:r w:rsidR="00D90797" w:rsidRPr="004008FE">
        <w:rPr>
          <w:szCs w:val="22"/>
          <w:lang w:eastAsia="el-GR"/>
        </w:rPr>
        <w:t xml:space="preserve">φύσιγγα από διαυγές, ουδέτερο, τύπου Ι γυαλί: </w:t>
      </w:r>
      <w:r w:rsidRPr="004008FE">
        <w:rPr>
          <w:szCs w:val="22"/>
          <w:lang w:eastAsia="el-GR"/>
        </w:rPr>
        <w:t>κουτί 5 φυσίγγων.</w:t>
      </w:r>
    </w:p>
    <w:p w:rsidR="0085086B" w:rsidRPr="004008FE" w:rsidRDefault="0085086B" w:rsidP="005E2EA5">
      <w:pPr>
        <w:widowControl/>
        <w:autoSpaceDE w:val="0"/>
        <w:autoSpaceDN w:val="0"/>
        <w:adjustRightInd w:val="0"/>
        <w:rPr>
          <w:szCs w:val="22"/>
          <w:lang w:eastAsia="el-GR"/>
        </w:rPr>
      </w:pPr>
      <w:r w:rsidRPr="004008FE">
        <w:rPr>
          <w:szCs w:val="22"/>
          <w:lang w:eastAsia="el-GR"/>
        </w:rPr>
        <w:t xml:space="preserve">5 ml σε </w:t>
      </w:r>
      <w:r w:rsidR="00D90797" w:rsidRPr="004008FE">
        <w:rPr>
          <w:szCs w:val="22"/>
          <w:lang w:eastAsia="el-GR"/>
        </w:rPr>
        <w:t>φύσιγγα από διαυγές, ουδέτερο, τύπου Ι γυαλί:</w:t>
      </w:r>
      <w:r w:rsidRPr="004008FE">
        <w:rPr>
          <w:szCs w:val="22"/>
          <w:lang w:eastAsia="el-GR"/>
        </w:rPr>
        <w:t xml:space="preserve"> κουτί 1 φύσιγγας.</w:t>
      </w:r>
    </w:p>
    <w:p w:rsidR="0085086B" w:rsidRPr="004008FE" w:rsidRDefault="0085086B" w:rsidP="005E2EA5">
      <w:pPr>
        <w:widowControl/>
        <w:autoSpaceDE w:val="0"/>
        <w:autoSpaceDN w:val="0"/>
        <w:adjustRightInd w:val="0"/>
        <w:rPr>
          <w:szCs w:val="22"/>
          <w:lang w:eastAsia="el-GR"/>
        </w:rPr>
      </w:pPr>
      <w:r w:rsidRPr="004008FE">
        <w:rPr>
          <w:szCs w:val="22"/>
          <w:lang w:eastAsia="el-GR"/>
        </w:rPr>
        <w:t xml:space="preserve">2.5 </w:t>
      </w:r>
      <w:r w:rsidRPr="004008FE">
        <w:rPr>
          <w:szCs w:val="22"/>
          <w:lang w:val="en-US" w:eastAsia="el-GR"/>
        </w:rPr>
        <w:t>ml</w:t>
      </w:r>
      <w:r w:rsidRPr="004008FE">
        <w:rPr>
          <w:szCs w:val="22"/>
          <w:lang w:eastAsia="el-GR"/>
        </w:rPr>
        <w:t xml:space="preserve"> σε </w:t>
      </w:r>
      <w:r w:rsidR="00D90797" w:rsidRPr="004008FE">
        <w:rPr>
          <w:szCs w:val="22"/>
          <w:lang w:eastAsia="el-GR"/>
        </w:rPr>
        <w:t>φύσιγγα από διαυγές, ουδέτερο, τύπου Ι γυαλί:</w:t>
      </w:r>
      <w:r w:rsidRPr="004008FE">
        <w:rPr>
          <w:szCs w:val="22"/>
          <w:lang w:eastAsia="el-GR"/>
        </w:rPr>
        <w:t xml:space="preserve"> κουτί 5 φυσίγγων.</w:t>
      </w:r>
    </w:p>
    <w:p w:rsidR="0085086B" w:rsidRPr="004008FE" w:rsidRDefault="0085086B" w:rsidP="005E2EA5">
      <w:pPr>
        <w:widowControl/>
        <w:autoSpaceDE w:val="0"/>
        <w:autoSpaceDN w:val="0"/>
        <w:adjustRightInd w:val="0"/>
        <w:rPr>
          <w:szCs w:val="22"/>
          <w:lang w:eastAsia="el-GR"/>
        </w:rPr>
      </w:pPr>
      <w:r w:rsidRPr="004008FE">
        <w:rPr>
          <w:szCs w:val="22"/>
          <w:lang w:eastAsia="el-GR"/>
        </w:rPr>
        <w:t xml:space="preserve">2.5 </w:t>
      </w:r>
      <w:r w:rsidRPr="004008FE">
        <w:rPr>
          <w:szCs w:val="22"/>
          <w:lang w:val="en-US" w:eastAsia="el-GR"/>
        </w:rPr>
        <w:t>ml</w:t>
      </w:r>
      <w:r w:rsidRPr="004008FE">
        <w:rPr>
          <w:szCs w:val="22"/>
          <w:lang w:eastAsia="el-GR"/>
        </w:rPr>
        <w:t xml:space="preserve"> σε </w:t>
      </w:r>
      <w:r w:rsidR="00D90797" w:rsidRPr="004008FE">
        <w:rPr>
          <w:szCs w:val="22"/>
          <w:lang w:eastAsia="el-GR"/>
        </w:rPr>
        <w:t>φύσιγγα από διαυγές, ουδέτερο, τύπου Ι γυαλί:</w:t>
      </w:r>
      <w:r w:rsidRPr="004008FE">
        <w:rPr>
          <w:szCs w:val="22"/>
          <w:lang w:eastAsia="el-GR"/>
        </w:rPr>
        <w:t xml:space="preserve"> κουτί 1 φύσιγγας.</w:t>
      </w:r>
    </w:p>
    <w:p w:rsidR="0085086B" w:rsidRPr="004008FE" w:rsidRDefault="0085086B" w:rsidP="005E2EA5">
      <w:pPr>
        <w:widowControl/>
        <w:autoSpaceDE w:val="0"/>
        <w:autoSpaceDN w:val="0"/>
        <w:adjustRightInd w:val="0"/>
        <w:rPr>
          <w:szCs w:val="22"/>
          <w:lang w:eastAsia="el-GR"/>
        </w:rPr>
      </w:pPr>
    </w:p>
    <w:p w:rsidR="00496809" w:rsidRPr="004008FE" w:rsidRDefault="00496809" w:rsidP="005E2EA5">
      <w:pPr>
        <w:widowControl/>
        <w:autoSpaceDE w:val="0"/>
        <w:autoSpaceDN w:val="0"/>
        <w:adjustRightInd w:val="0"/>
        <w:rPr>
          <w:szCs w:val="22"/>
          <w:lang w:eastAsia="el-GR"/>
        </w:rPr>
      </w:pPr>
      <w:r w:rsidRPr="004008FE">
        <w:rPr>
          <w:szCs w:val="22"/>
        </w:rPr>
        <w:t>Μπορεί να μη κ</w:t>
      </w:r>
      <w:r w:rsidR="0085086B" w:rsidRPr="004008FE">
        <w:rPr>
          <w:szCs w:val="22"/>
        </w:rPr>
        <w:t>υκλοφορούν όλες οι συσκευασίες.</w:t>
      </w:r>
    </w:p>
    <w:p w:rsidR="00496809" w:rsidRPr="004008FE" w:rsidRDefault="00496809" w:rsidP="005E2EA5">
      <w:pPr>
        <w:rPr>
          <w:szCs w:val="22"/>
        </w:rPr>
      </w:pPr>
    </w:p>
    <w:p w:rsidR="00496809" w:rsidRPr="004008FE" w:rsidRDefault="00496809" w:rsidP="0004331E">
      <w:pPr>
        <w:numPr>
          <w:ilvl w:val="1"/>
          <w:numId w:val="24"/>
        </w:numPr>
        <w:rPr>
          <w:b/>
          <w:noProof/>
          <w:szCs w:val="22"/>
        </w:rPr>
      </w:pPr>
      <w:r w:rsidRPr="004008FE">
        <w:rPr>
          <w:b/>
          <w:noProof/>
          <w:szCs w:val="22"/>
        </w:rPr>
        <w:t>Ιδι</w:t>
      </w:r>
      <w:r w:rsidR="0004331E" w:rsidRPr="004008FE">
        <w:rPr>
          <w:b/>
          <w:noProof/>
          <w:szCs w:val="22"/>
        </w:rPr>
        <w:t xml:space="preserve">αίτερες προφυλάξεις απόρριψης </w:t>
      </w:r>
      <w:r w:rsidRPr="004008FE">
        <w:rPr>
          <w:b/>
          <w:noProof/>
          <w:szCs w:val="22"/>
        </w:rPr>
        <w:t>και άλλος χειρισμός</w:t>
      </w:r>
    </w:p>
    <w:p w:rsidR="0004331E" w:rsidRPr="004008FE" w:rsidRDefault="0004331E" w:rsidP="0004331E">
      <w:pPr>
        <w:rPr>
          <w:b/>
          <w:noProof/>
          <w:szCs w:val="22"/>
        </w:rPr>
      </w:pPr>
    </w:p>
    <w:p w:rsidR="0004331E" w:rsidRPr="004008FE" w:rsidRDefault="0000058D" w:rsidP="0004331E">
      <w:pPr>
        <w:widowControl/>
        <w:autoSpaceDE w:val="0"/>
        <w:autoSpaceDN w:val="0"/>
        <w:adjustRightInd w:val="0"/>
        <w:rPr>
          <w:szCs w:val="22"/>
          <w:lang w:eastAsia="el-GR"/>
        </w:rPr>
      </w:pPr>
      <w:r w:rsidRPr="004008FE">
        <w:rPr>
          <w:szCs w:val="22"/>
          <w:lang w:eastAsia="el-GR"/>
        </w:rPr>
        <w:t>Αυτό το προϊ</w:t>
      </w:r>
      <w:r w:rsidR="0004331E" w:rsidRPr="004008FE">
        <w:rPr>
          <w:szCs w:val="22"/>
          <w:lang w:eastAsia="el-GR"/>
        </w:rPr>
        <w:t>όν είναι μόνο για μία χρήση. Να χρησιμοποιούνται μόνο διαυγή και σχεδόν άχρωμα έως ελαφρά κίτρινα/πρασινοκίτρινα κεχρωσμένα διαλύματα. Το προϊόν πρέπει να ελέγχεται οπτικά πριν από τη χρήση και αν παρατηρηθεί μεταβολή στην εμφάνιση του ή αν η σ</w:t>
      </w:r>
      <w:r w:rsidRPr="004008FE">
        <w:rPr>
          <w:szCs w:val="22"/>
          <w:lang w:eastAsia="el-GR"/>
        </w:rPr>
        <w:t>υσκευασία είναι φθαρμένη το προϊ</w:t>
      </w:r>
      <w:r w:rsidR="0004331E" w:rsidRPr="004008FE">
        <w:rPr>
          <w:szCs w:val="22"/>
          <w:lang w:eastAsia="el-GR"/>
        </w:rPr>
        <w:t>όν πρέπει να απορρίπτεται.</w:t>
      </w:r>
    </w:p>
    <w:p w:rsidR="0004331E" w:rsidRPr="004008FE" w:rsidRDefault="0004331E" w:rsidP="0004331E">
      <w:pPr>
        <w:widowControl/>
        <w:autoSpaceDE w:val="0"/>
        <w:autoSpaceDN w:val="0"/>
        <w:adjustRightInd w:val="0"/>
        <w:rPr>
          <w:szCs w:val="22"/>
          <w:lang w:eastAsia="el-GR"/>
        </w:rPr>
      </w:pPr>
    </w:p>
    <w:p w:rsidR="0004331E" w:rsidRPr="004008FE" w:rsidRDefault="0004331E" w:rsidP="0004331E">
      <w:pPr>
        <w:widowControl/>
        <w:autoSpaceDE w:val="0"/>
        <w:autoSpaceDN w:val="0"/>
        <w:adjustRightInd w:val="0"/>
        <w:rPr>
          <w:szCs w:val="22"/>
          <w:lang w:eastAsia="el-GR"/>
        </w:rPr>
      </w:pPr>
      <w:r w:rsidRPr="004008FE">
        <w:rPr>
          <w:szCs w:val="22"/>
          <w:lang w:eastAsia="el-GR"/>
        </w:rPr>
        <w:t xml:space="preserve">Το αραιωμένο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είναι φυσικά και χημικά σταθερό για τουλάχιστον 24 ώρες σε 5°C και 25°C σε συγκεντρώσεις μεταξύ 0,1 και </w:t>
      </w:r>
      <w:r w:rsidR="00C02F17" w:rsidRPr="004008FE">
        <w:rPr>
          <w:szCs w:val="22"/>
          <w:lang w:eastAsia="el-GR"/>
        </w:rPr>
        <w:t>1mg</w:t>
      </w:r>
      <w:r w:rsidRPr="004008FE">
        <w:rPr>
          <w:szCs w:val="22"/>
          <w:lang w:eastAsia="el-GR"/>
        </w:rPr>
        <w:t xml:space="preserve">/ml στα παρακάτω υγρά έγχυσης, σε </w:t>
      </w:r>
      <w:r w:rsidR="00C02F17" w:rsidRPr="004008FE">
        <w:rPr>
          <w:szCs w:val="22"/>
          <w:lang w:eastAsia="el-GR"/>
        </w:rPr>
        <w:t xml:space="preserve">περιέκτες </w:t>
      </w:r>
      <w:r w:rsidRPr="004008FE">
        <w:rPr>
          <w:szCs w:val="22"/>
          <w:lang w:eastAsia="el-GR"/>
        </w:rPr>
        <w:t>πολυπροπυλενίου.</w:t>
      </w:r>
    </w:p>
    <w:p w:rsidR="0004331E" w:rsidRPr="004008FE" w:rsidRDefault="0004331E" w:rsidP="0004331E">
      <w:pPr>
        <w:widowControl/>
        <w:autoSpaceDE w:val="0"/>
        <w:autoSpaceDN w:val="0"/>
        <w:adjustRightInd w:val="0"/>
        <w:rPr>
          <w:szCs w:val="22"/>
          <w:lang w:eastAsia="el-GR"/>
        </w:rPr>
      </w:pPr>
    </w:p>
    <w:p w:rsidR="0004331E" w:rsidRPr="004008FE" w:rsidRDefault="0004331E" w:rsidP="0004331E">
      <w:pPr>
        <w:widowControl/>
        <w:autoSpaceDE w:val="0"/>
        <w:autoSpaceDN w:val="0"/>
        <w:adjustRightInd w:val="0"/>
        <w:rPr>
          <w:szCs w:val="22"/>
          <w:lang w:eastAsia="el-GR"/>
        </w:rPr>
      </w:pPr>
      <w:r w:rsidRPr="004008FE">
        <w:rPr>
          <w:szCs w:val="22"/>
          <w:lang w:eastAsia="el-GR"/>
        </w:rPr>
        <w:t xml:space="preserve">Διαλύματα </w:t>
      </w:r>
      <w:r w:rsidR="004569E4" w:rsidRPr="004008FE">
        <w:rPr>
          <w:szCs w:val="22"/>
          <w:lang w:eastAsia="el-GR"/>
        </w:rPr>
        <w:t>χλ</w:t>
      </w:r>
      <w:r w:rsidRPr="004008FE">
        <w:rPr>
          <w:szCs w:val="22"/>
          <w:lang w:eastAsia="el-GR"/>
        </w:rPr>
        <w:t xml:space="preserve">ωριούχου </w:t>
      </w:r>
      <w:r w:rsidR="004569E4" w:rsidRPr="004008FE">
        <w:rPr>
          <w:szCs w:val="22"/>
          <w:lang w:eastAsia="el-GR"/>
        </w:rPr>
        <w:t>ν</w:t>
      </w:r>
      <w:r w:rsidRPr="004008FE">
        <w:rPr>
          <w:szCs w:val="22"/>
          <w:lang w:eastAsia="el-GR"/>
        </w:rPr>
        <w:t>ατρίου (0,9% w/v) για ενδοφλέβια έγχυση.</w:t>
      </w:r>
    </w:p>
    <w:p w:rsidR="0004331E" w:rsidRPr="004008FE" w:rsidRDefault="0004331E" w:rsidP="0004331E">
      <w:pPr>
        <w:widowControl/>
        <w:autoSpaceDE w:val="0"/>
        <w:autoSpaceDN w:val="0"/>
        <w:adjustRightInd w:val="0"/>
        <w:rPr>
          <w:szCs w:val="22"/>
          <w:lang w:eastAsia="el-GR"/>
        </w:rPr>
      </w:pPr>
      <w:r w:rsidRPr="004008FE">
        <w:rPr>
          <w:szCs w:val="22"/>
          <w:lang w:eastAsia="el-GR"/>
        </w:rPr>
        <w:lastRenderedPageBreak/>
        <w:t>Διάλυμα γλυκόζης (5% w/v) για ενδοφλέβια έγχυση.</w:t>
      </w:r>
    </w:p>
    <w:p w:rsidR="0004331E" w:rsidRPr="004008FE" w:rsidRDefault="0004331E" w:rsidP="0004331E">
      <w:pPr>
        <w:widowControl/>
        <w:autoSpaceDE w:val="0"/>
        <w:autoSpaceDN w:val="0"/>
        <w:adjustRightInd w:val="0"/>
        <w:rPr>
          <w:szCs w:val="22"/>
          <w:lang w:eastAsia="el-GR"/>
        </w:rPr>
      </w:pPr>
      <w:r w:rsidRPr="004008FE">
        <w:rPr>
          <w:szCs w:val="22"/>
          <w:lang w:eastAsia="el-GR"/>
        </w:rPr>
        <w:t xml:space="preserve">Διάλυμα </w:t>
      </w:r>
      <w:r w:rsidR="004569E4" w:rsidRPr="004008FE">
        <w:rPr>
          <w:szCs w:val="22"/>
          <w:lang w:eastAsia="el-GR"/>
        </w:rPr>
        <w:t>χ</w:t>
      </w:r>
      <w:r w:rsidRPr="004008FE">
        <w:rPr>
          <w:szCs w:val="22"/>
          <w:lang w:eastAsia="el-GR"/>
        </w:rPr>
        <w:t xml:space="preserve">λωριούχου </w:t>
      </w:r>
      <w:r w:rsidR="004569E4" w:rsidRPr="004008FE">
        <w:rPr>
          <w:szCs w:val="22"/>
          <w:lang w:eastAsia="el-GR"/>
        </w:rPr>
        <w:t>ν</w:t>
      </w:r>
      <w:r w:rsidRPr="004008FE">
        <w:rPr>
          <w:szCs w:val="22"/>
          <w:lang w:eastAsia="el-GR"/>
        </w:rPr>
        <w:t xml:space="preserve">ατρίου (0,18% w/v) και </w:t>
      </w:r>
      <w:r w:rsidR="004569E4" w:rsidRPr="004008FE">
        <w:rPr>
          <w:szCs w:val="22"/>
          <w:lang w:eastAsia="el-GR"/>
        </w:rPr>
        <w:t>γ</w:t>
      </w:r>
      <w:r w:rsidRPr="004008FE">
        <w:rPr>
          <w:szCs w:val="22"/>
          <w:lang w:eastAsia="el-GR"/>
        </w:rPr>
        <w:t>λυκόζης (4% w/v ) για ενδοφλέβια</w:t>
      </w:r>
    </w:p>
    <w:p w:rsidR="0004331E" w:rsidRPr="004008FE" w:rsidRDefault="0004331E" w:rsidP="0004331E">
      <w:pPr>
        <w:widowControl/>
        <w:autoSpaceDE w:val="0"/>
        <w:autoSpaceDN w:val="0"/>
        <w:adjustRightInd w:val="0"/>
        <w:rPr>
          <w:szCs w:val="22"/>
          <w:lang w:eastAsia="el-GR"/>
        </w:rPr>
      </w:pPr>
      <w:r w:rsidRPr="004008FE">
        <w:rPr>
          <w:szCs w:val="22"/>
          <w:lang w:eastAsia="el-GR"/>
        </w:rPr>
        <w:t>έγχυση.</w:t>
      </w:r>
    </w:p>
    <w:p w:rsidR="0004331E" w:rsidRPr="004008FE" w:rsidRDefault="0004331E" w:rsidP="0004331E">
      <w:pPr>
        <w:widowControl/>
        <w:autoSpaceDE w:val="0"/>
        <w:autoSpaceDN w:val="0"/>
        <w:adjustRightInd w:val="0"/>
        <w:rPr>
          <w:szCs w:val="22"/>
          <w:lang w:eastAsia="el-GR"/>
        </w:rPr>
      </w:pPr>
      <w:r w:rsidRPr="004008FE">
        <w:rPr>
          <w:szCs w:val="22"/>
          <w:lang w:eastAsia="el-GR"/>
        </w:rPr>
        <w:t xml:space="preserve">Διάλυμα </w:t>
      </w:r>
      <w:r w:rsidR="004569E4" w:rsidRPr="004008FE">
        <w:rPr>
          <w:szCs w:val="22"/>
          <w:lang w:eastAsia="el-GR"/>
        </w:rPr>
        <w:t>χ</w:t>
      </w:r>
      <w:r w:rsidRPr="004008FE">
        <w:rPr>
          <w:szCs w:val="22"/>
          <w:lang w:eastAsia="el-GR"/>
        </w:rPr>
        <w:t xml:space="preserve">λωριούχου </w:t>
      </w:r>
      <w:r w:rsidR="004569E4" w:rsidRPr="004008FE">
        <w:rPr>
          <w:szCs w:val="22"/>
          <w:lang w:eastAsia="el-GR"/>
        </w:rPr>
        <w:t>ν</w:t>
      </w:r>
      <w:r w:rsidRPr="004008FE">
        <w:rPr>
          <w:szCs w:val="22"/>
          <w:lang w:eastAsia="el-GR"/>
        </w:rPr>
        <w:t xml:space="preserve">ατρίου (0,45% w/v) και </w:t>
      </w:r>
      <w:r w:rsidR="004569E4" w:rsidRPr="004008FE">
        <w:rPr>
          <w:szCs w:val="22"/>
          <w:lang w:eastAsia="el-GR"/>
        </w:rPr>
        <w:t>γ</w:t>
      </w:r>
      <w:r w:rsidRPr="004008FE">
        <w:rPr>
          <w:szCs w:val="22"/>
          <w:lang w:eastAsia="el-GR"/>
        </w:rPr>
        <w:t>λυκόζης (2,5% w/v ) για ενδοφλέβια</w:t>
      </w:r>
    </w:p>
    <w:p w:rsidR="0004331E" w:rsidRPr="004008FE" w:rsidRDefault="0004331E" w:rsidP="0004331E">
      <w:pPr>
        <w:widowControl/>
        <w:autoSpaceDE w:val="0"/>
        <w:autoSpaceDN w:val="0"/>
        <w:adjustRightInd w:val="0"/>
        <w:rPr>
          <w:szCs w:val="22"/>
          <w:lang w:eastAsia="el-GR"/>
        </w:rPr>
      </w:pPr>
      <w:r w:rsidRPr="004008FE">
        <w:rPr>
          <w:szCs w:val="22"/>
          <w:lang w:eastAsia="el-GR"/>
        </w:rPr>
        <w:t>έγχυση.</w:t>
      </w:r>
    </w:p>
    <w:p w:rsidR="0004331E" w:rsidRPr="004008FE" w:rsidRDefault="0004331E" w:rsidP="0004331E">
      <w:pPr>
        <w:rPr>
          <w:szCs w:val="22"/>
        </w:rPr>
      </w:pPr>
    </w:p>
    <w:p w:rsidR="0004331E" w:rsidRPr="004008FE" w:rsidRDefault="0004331E" w:rsidP="0004331E">
      <w:pPr>
        <w:widowControl/>
        <w:autoSpaceDE w:val="0"/>
        <w:autoSpaceDN w:val="0"/>
        <w:adjustRightInd w:val="0"/>
        <w:rPr>
          <w:szCs w:val="22"/>
          <w:lang w:eastAsia="el-GR"/>
        </w:rPr>
      </w:pPr>
      <w:r w:rsidRPr="004008FE">
        <w:rPr>
          <w:szCs w:val="22"/>
          <w:lang w:eastAsia="el-GR"/>
        </w:rPr>
        <w:t>Επειδή το προϊόν δεν περιέχει αντιμικροβιακό συντηρητικό, η αραίωση πρέπει να γίνεται αμέσως πριν τη χρήση ή αν δεν γίνει αυτό πρέπει να αποθηκευθεί ακολουθώντας τις οδηγίες της παραγράφου 6.3.</w:t>
      </w:r>
    </w:p>
    <w:p w:rsidR="00DF111E" w:rsidRPr="004008FE" w:rsidRDefault="00DF111E" w:rsidP="0004331E">
      <w:pPr>
        <w:widowControl/>
        <w:autoSpaceDE w:val="0"/>
        <w:autoSpaceDN w:val="0"/>
        <w:adjustRightInd w:val="0"/>
        <w:rPr>
          <w:szCs w:val="22"/>
          <w:lang w:eastAsia="el-GR"/>
        </w:rPr>
      </w:pPr>
    </w:p>
    <w:p w:rsidR="00DF111E" w:rsidRPr="004008FE" w:rsidRDefault="00E85A4D" w:rsidP="0004331E">
      <w:pPr>
        <w:widowControl/>
        <w:autoSpaceDE w:val="0"/>
        <w:autoSpaceDN w:val="0"/>
        <w:adjustRightInd w:val="0"/>
        <w:rPr>
          <w:szCs w:val="22"/>
          <w:lang w:eastAsia="el-GR"/>
        </w:rPr>
      </w:pPr>
      <w:r w:rsidRPr="004008FE">
        <w:rPr>
          <w:szCs w:val="22"/>
          <w:lang w:eastAsia="el-GR"/>
        </w:rPr>
        <w:t xml:space="preserve">Το </w:t>
      </w:r>
      <w:r w:rsidR="009712D7" w:rsidRPr="004008FE">
        <w:rPr>
          <w:szCs w:val="22"/>
          <w:lang w:val="en-US" w:eastAsia="el-GR"/>
        </w:rPr>
        <w:t>CISATRAL</w:t>
      </w:r>
      <w:r w:rsidRPr="004008FE">
        <w:rPr>
          <w:szCs w:val="22"/>
          <w:lang w:eastAsia="el-GR"/>
        </w:rPr>
        <w:t xml:space="preserve"> μπορεί να συγχορηγηθεί ενδοφλεβίως ταυτόχρονα μέσω ενός διχαλωτού σωλήνα έγχυσης χωρίς κανένα πρόβλημα σταθερότητας με τα εξής άλλα φάρμακα που χορηγούνται ευρέως κατά τη διάρκεια εγχειρήσεως: κιτρική φαιντανόλη</w:t>
      </w:r>
      <w:r w:rsidR="00C02F17" w:rsidRPr="004008FE">
        <w:rPr>
          <w:szCs w:val="22"/>
          <w:lang w:eastAsia="el-GR"/>
        </w:rPr>
        <w:t xml:space="preserve"> και</w:t>
      </w:r>
      <w:r w:rsidRPr="004008FE">
        <w:rPr>
          <w:szCs w:val="22"/>
          <w:lang w:eastAsia="el-GR"/>
        </w:rPr>
        <w:t xml:space="preserve"> μιδαζολάμη υδροχλωρική. Αν χρειασθεί να χορηγηθούν άλλα φάρμακα μέσω της ίδιας βελόνας ή ενδοφλέβιας γραμμής, όπως και το</w:t>
      </w:r>
      <w:r w:rsidR="00A7504A" w:rsidRPr="004008FE">
        <w:rPr>
          <w:szCs w:val="22"/>
          <w:lang w:eastAsia="el-GR"/>
        </w:rPr>
        <w:t>υ</w:t>
      </w:r>
      <w:r w:rsidRPr="004008FE">
        <w:rPr>
          <w:szCs w:val="22"/>
          <w:lang w:eastAsia="el-GR"/>
        </w:rPr>
        <w:t xml:space="preserve"> </w:t>
      </w:r>
      <w:r w:rsidR="009712D7" w:rsidRPr="004008FE">
        <w:rPr>
          <w:szCs w:val="22"/>
          <w:lang w:val="en-US" w:eastAsia="el-GR"/>
        </w:rPr>
        <w:t>CISATRAL</w:t>
      </w:r>
      <w:r w:rsidR="009712D7" w:rsidRPr="004008FE" w:rsidDel="009712D7">
        <w:rPr>
          <w:szCs w:val="22"/>
        </w:rPr>
        <w:t xml:space="preserve"> </w:t>
      </w:r>
      <w:r w:rsidRPr="004008FE">
        <w:rPr>
          <w:szCs w:val="22"/>
          <w:lang w:eastAsia="el-GR"/>
        </w:rPr>
        <w:t xml:space="preserve"> συνιστάται όπως κάθε φάρμακο να χορηγείται με έκπλυση ικανοποιητικού όγκου ενός κατάλληλου διαλύματος για ενδοφλέβια χρήση, όπως το </w:t>
      </w:r>
      <w:r w:rsidR="004569E4" w:rsidRPr="004008FE">
        <w:rPr>
          <w:szCs w:val="22"/>
          <w:lang w:eastAsia="el-GR"/>
        </w:rPr>
        <w:t>δ</w:t>
      </w:r>
      <w:r w:rsidRPr="004008FE">
        <w:rPr>
          <w:szCs w:val="22"/>
          <w:lang w:eastAsia="el-GR"/>
        </w:rPr>
        <w:t xml:space="preserve">ιάλυμα </w:t>
      </w:r>
      <w:r w:rsidR="004569E4" w:rsidRPr="004008FE">
        <w:rPr>
          <w:szCs w:val="22"/>
          <w:lang w:eastAsia="el-GR"/>
        </w:rPr>
        <w:t>χ</w:t>
      </w:r>
      <w:r w:rsidRPr="004008FE">
        <w:rPr>
          <w:szCs w:val="22"/>
          <w:lang w:eastAsia="el-GR"/>
        </w:rPr>
        <w:t xml:space="preserve">λωριούχου </w:t>
      </w:r>
      <w:r w:rsidR="004569E4" w:rsidRPr="004008FE">
        <w:rPr>
          <w:szCs w:val="22"/>
          <w:lang w:eastAsia="el-GR"/>
        </w:rPr>
        <w:t>ν</w:t>
      </w:r>
      <w:r w:rsidRPr="004008FE">
        <w:rPr>
          <w:szCs w:val="22"/>
          <w:lang w:eastAsia="el-GR"/>
        </w:rPr>
        <w:t>ατρίου (0,9% w/v ) για ενδοφλέβια έγχυση.</w:t>
      </w:r>
    </w:p>
    <w:p w:rsidR="0004331E" w:rsidRPr="004008FE" w:rsidRDefault="0004331E" w:rsidP="0004331E">
      <w:pPr>
        <w:rPr>
          <w:szCs w:val="22"/>
        </w:rPr>
      </w:pPr>
    </w:p>
    <w:p w:rsidR="00DF111E" w:rsidRPr="004008FE" w:rsidRDefault="00DF111E" w:rsidP="00DF111E">
      <w:pPr>
        <w:widowControl/>
        <w:autoSpaceDE w:val="0"/>
        <w:autoSpaceDN w:val="0"/>
        <w:adjustRightInd w:val="0"/>
        <w:rPr>
          <w:szCs w:val="22"/>
          <w:lang w:eastAsia="el-GR"/>
        </w:rPr>
      </w:pPr>
      <w:r w:rsidRPr="004008FE">
        <w:rPr>
          <w:szCs w:val="22"/>
          <w:lang w:eastAsia="el-GR"/>
        </w:rPr>
        <w:t xml:space="preserve">Όπως και για άλλα φάρμακα που χορηγούνται ενδοφλεβίως, όταν επιλεχθεί μια μικρή φλέβα για να ενεθεί το </w:t>
      </w:r>
      <w:r w:rsidR="004569E4" w:rsidRPr="004008FE">
        <w:rPr>
          <w:szCs w:val="22"/>
          <w:lang w:val="en-US"/>
        </w:rPr>
        <w:t>CISATRAL</w:t>
      </w:r>
      <w:r w:rsidRPr="004008FE">
        <w:rPr>
          <w:szCs w:val="22"/>
          <w:lang w:eastAsia="el-GR"/>
        </w:rPr>
        <w:t>, θα πρέπει το φάρμακο να εκπλυθεί διά μέσου της φλέβας με ένα κατάλληλο ενδοφλέβιο υγρό, όπως το διάλυμα χλωριούχου νατρίου (0,9% w/v)</w:t>
      </w:r>
      <w:r w:rsidR="00C971C1" w:rsidRPr="004008FE">
        <w:rPr>
          <w:szCs w:val="22"/>
          <w:lang w:eastAsia="el-GR"/>
        </w:rPr>
        <w:t xml:space="preserve"> </w:t>
      </w:r>
      <w:r w:rsidRPr="004008FE">
        <w:rPr>
          <w:szCs w:val="22"/>
          <w:lang w:eastAsia="el-GR"/>
        </w:rPr>
        <w:t>για ενδοφλέβια έγχυση.</w:t>
      </w:r>
    </w:p>
    <w:p w:rsidR="0076405E" w:rsidRPr="004008FE" w:rsidRDefault="0076405E" w:rsidP="0004331E">
      <w:pPr>
        <w:rPr>
          <w:szCs w:val="22"/>
        </w:rPr>
      </w:pPr>
    </w:p>
    <w:p w:rsidR="009B4C5B" w:rsidRPr="004008FE" w:rsidRDefault="009B4C5B" w:rsidP="009B4C5B">
      <w:pPr>
        <w:widowControl/>
        <w:autoSpaceDE w:val="0"/>
        <w:autoSpaceDN w:val="0"/>
        <w:adjustRightInd w:val="0"/>
        <w:rPr>
          <w:b/>
          <w:bCs/>
          <w:szCs w:val="22"/>
          <w:lang w:eastAsia="el-GR"/>
        </w:rPr>
      </w:pPr>
      <w:r w:rsidRPr="004008FE">
        <w:rPr>
          <w:b/>
          <w:bCs/>
          <w:szCs w:val="22"/>
          <w:lang w:eastAsia="el-GR"/>
        </w:rPr>
        <w:t>Οδηγίες για το άνοιγμα της φύσιγγας</w:t>
      </w:r>
    </w:p>
    <w:p w:rsidR="009B4C5B" w:rsidRPr="004008FE" w:rsidRDefault="009B4C5B" w:rsidP="009B4C5B">
      <w:pPr>
        <w:widowControl/>
        <w:autoSpaceDE w:val="0"/>
        <w:autoSpaceDN w:val="0"/>
        <w:adjustRightInd w:val="0"/>
        <w:rPr>
          <w:b/>
          <w:bCs/>
          <w:szCs w:val="22"/>
          <w:lang w:eastAsia="el-GR"/>
        </w:rPr>
      </w:pPr>
    </w:p>
    <w:p w:rsidR="009B4C5B" w:rsidRPr="004008FE" w:rsidRDefault="009B4C5B" w:rsidP="009B4C5B">
      <w:pPr>
        <w:widowControl/>
        <w:autoSpaceDE w:val="0"/>
        <w:autoSpaceDN w:val="0"/>
        <w:adjustRightInd w:val="0"/>
        <w:rPr>
          <w:szCs w:val="22"/>
          <w:lang w:eastAsia="el-GR"/>
        </w:rPr>
      </w:pPr>
      <w:r w:rsidRPr="004008FE">
        <w:rPr>
          <w:szCs w:val="22"/>
          <w:lang w:eastAsia="el-GR"/>
        </w:rPr>
        <w:t>Οι φύσιγγες είναι εξοπλισμένες με το σύστημα ανο</w:t>
      </w:r>
      <w:r w:rsidR="0060632B" w:rsidRPr="004008FE">
        <w:rPr>
          <w:szCs w:val="22"/>
          <w:lang w:eastAsia="el-GR"/>
        </w:rPr>
        <w:t xml:space="preserve">ίγματος OPC (One Point Cut) και </w:t>
      </w:r>
      <w:r w:rsidRPr="004008FE">
        <w:rPr>
          <w:szCs w:val="22"/>
          <w:lang w:eastAsia="el-GR"/>
        </w:rPr>
        <w:t>πρέπει να ανοιχθούν ακολουθώντας τις παρακάτω οδηγίες.</w:t>
      </w:r>
    </w:p>
    <w:p w:rsidR="009B4C5B" w:rsidRPr="004008FE" w:rsidRDefault="009B4C5B" w:rsidP="009B4C5B">
      <w:pPr>
        <w:widowControl/>
        <w:autoSpaceDE w:val="0"/>
        <w:autoSpaceDN w:val="0"/>
        <w:adjustRightInd w:val="0"/>
        <w:rPr>
          <w:szCs w:val="22"/>
          <w:lang w:eastAsia="el-GR"/>
        </w:rPr>
      </w:pPr>
      <w:r w:rsidRPr="004008FE">
        <w:rPr>
          <w:szCs w:val="22"/>
          <w:lang w:eastAsia="el-GR"/>
        </w:rPr>
        <w:t>- Κρατήστε με το χέρι το κάτω μέρος της φύσιγγας, όπως φαίνεται στην εικόνα 1.</w:t>
      </w:r>
    </w:p>
    <w:p w:rsidR="009B4C5B" w:rsidRPr="004008FE" w:rsidRDefault="009B4C5B" w:rsidP="009B4C5B">
      <w:pPr>
        <w:widowControl/>
        <w:autoSpaceDE w:val="0"/>
        <w:autoSpaceDN w:val="0"/>
        <w:adjustRightInd w:val="0"/>
        <w:rPr>
          <w:szCs w:val="22"/>
          <w:lang w:eastAsia="el-GR"/>
        </w:rPr>
      </w:pPr>
      <w:r w:rsidRPr="004008FE">
        <w:rPr>
          <w:szCs w:val="22"/>
          <w:lang w:eastAsia="el-GR"/>
        </w:rPr>
        <w:t>- Τοποθετείστε το άλλο χέρι στο πάνω μέρος της φύσιγγας, θέτοντας τον αντίχειρα</w:t>
      </w:r>
      <w:r w:rsidR="0060632B" w:rsidRPr="004008FE">
        <w:rPr>
          <w:szCs w:val="22"/>
          <w:lang w:eastAsia="el-GR"/>
        </w:rPr>
        <w:t xml:space="preserve"> </w:t>
      </w:r>
      <w:r w:rsidRPr="004008FE">
        <w:rPr>
          <w:szCs w:val="22"/>
          <w:lang w:eastAsia="el-GR"/>
        </w:rPr>
        <w:t>μπροστά από το έγχρωμο σημείο και πιέστε όπως φαίνεται στην εικόνα 2.</w:t>
      </w:r>
    </w:p>
    <w:p w:rsidR="009B4C5B" w:rsidRPr="004008FE" w:rsidRDefault="009B4C5B" w:rsidP="009B4C5B">
      <w:pPr>
        <w:widowControl/>
        <w:autoSpaceDE w:val="0"/>
        <w:autoSpaceDN w:val="0"/>
        <w:adjustRightInd w:val="0"/>
        <w:rPr>
          <w:szCs w:val="22"/>
          <w:lang w:eastAsia="el-GR"/>
        </w:rPr>
      </w:pPr>
    </w:p>
    <w:p w:rsidR="009B4C5B" w:rsidRPr="004008FE" w:rsidRDefault="009B4C5B" w:rsidP="009B4C5B">
      <w:pPr>
        <w:widowControl/>
        <w:autoSpaceDE w:val="0"/>
        <w:autoSpaceDN w:val="0"/>
        <w:adjustRightInd w:val="0"/>
        <w:rPr>
          <w:szCs w:val="22"/>
          <w:lang w:eastAsia="el-GR"/>
        </w:rPr>
      </w:pPr>
      <w:r w:rsidRPr="004008FE">
        <w:rPr>
          <w:szCs w:val="22"/>
          <w:lang w:eastAsia="el-GR"/>
        </w:rPr>
        <w:t>Εικόνα 1</w:t>
      </w:r>
      <w:r w:rsidRPr="004008FE">
        <w:rPr>
          <w:szCs w:val="22"/>
        </w:rPr>
        <w:t xml:space="preserve"> </w:t>
      </w:r>
    </w:p>
    <w:tbl>
      <w:tblPr>
        <w:tblW w:w="5000" w:type="pct"/>
        <w:tblCellSpacing w:w="0" w:type="dxa"/>
        <w:tblCellMar>
          <w:top w:w="60" w:type="dxa"/>
          <w:left w:w="60" w:type="dxa"/>
          <w:bottom w:w="60" w:type="dxa"/>
          <w:right w:w="60" w:type="dxa"/>
        </w:tblCellMar>
        <w:tblLook w:val="0000"/>
      </w:tblPr>
      <w:tblGrid>
        <w:gridCol w:w="3675"/>
        <w:gridCol w:w="5505"/>
      </w:tblGrid>
      <w:tr w:rsidR="009B4C5B" w:rsidRPr="004008FE">
        <w:trPr>
          <w:gridAfter w:val="1"/>
          <w:tblCellSpacing w:w="0" w:type="dxa"/>
        </w:trPr>
        <w:tc>
          <w:tcPr>
            <w:tcW w:w="3675" w:type="dxa"/>
          </w:tcPr>
          <w:p w:rsidR="009B4C5B" w:rsidRPr="004008FE" w:rsidRDefault="009B4C5B" w:rsidP="00E55495">
            <w:pPr>
              <w:jc w:val="both"/>
              <w:rPr>
                <w:szCs w:val="22"/>
                <w:lang w:val="en-GB"/>
              </w:rPr>
            </w:pPr>
            <w:r w:rsidRPr="004008FE">
              <w:rPr>
                <w:szCs w:val="22"/>
                <w:lang w:val="en-GB"/>
              </w:rPr>
              <w:t> </w:t>
            </w:r>
          </w:p>
        </w:tc>
      </w:tr>
      <w:tr w:rsidR="009B4C5B" w:rsidRPr="004008FE">
        <w:trPr>
          <w:tblCellSpacing w:w="0" w:type="dxa"/>
        </w:trPr>
        <w:tc>
          <w:tcPr>
            <w:tcW w:w="0" w:type="auto"/>
          </w:tcPr>
          <w:p w:rsidR="009B4C5B" w:rsidRPr="004008FE" w:rsidRDefault="009B4C5B" w:rsidP="00E55495">
            <w:pPr>
              <w:jc w:val="both"/>
              <w:rPr>
                <w:szCs w:val="22"/>
                <w:lang w:val="en-GB"/>
              </w:rPr>
            </w:pPr>
            <w:r w:rsidRPr="004008FE">
              <w:rPr>
                <w:szCs w:val="22"/>
                <w:lang w:val="en-GB"/>
              </w:rPr>
              <w:t> </w:t>
            </w:r>
          </w:p>
        </w:tc>
        <w:tc>
          <w:tcPr>
            <w:tcW w:w="0" w:type="auto"/>
          </w:tcPr>
          <w:p w:rsidR="009B4C5B" w:rsidRPr="004008FE" w:rsidRDefault="009B5A9D" w:rsidP="00E55495">
            <w:pPr>
              <w:jc w:val="both"/>
              <w:rPr>
                <w:szCs w:val="22"/>
              </w:rPr>
            </w:pPr>
            <w:r>
              <w:rPr>
                <w:noProof/>
                <w:szCs w:val="22"/>
                <w:lang w:eastAsia="el-GR"/>
              </w:rPr>
              <w:drawing>
                <wp:inline distT="0" distB="0" distL="0" distR="0">
                  <wp:extent cx="1028700" cy="1744980"/>
                  <wp:effectExtent l="19050" t="0" r="0" b="0"/>
                  <wp:docPr id="1" name="Εικόνα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cstate="print"/>
                          <a:srcRect/>
                          <a:stretch>
                            <a:fillRect/>
                          </a:stretch>
                        </pic:blipFill>
                        <pic:spPr bwMode="auto">
                          <a:xfrm>
                            <a:off x="0" y="0"/>
                            <a:ext cx="1028700" cy="1744980"/>
                          </a:xfrm>
                          <a:prstGeom prst="rect">
                            <a:avLst/>
                          </a:prstGeom>
                          <a:noFill/>
                          <a:ln w="9525">
                            <a:noFill/>
                            <a:miter lim="800000"/>
                            <a:headEnd/>
                            <a:tailEnd/>
                          </a:ln>
                        </pic:spPr>
                      </pic:pic>
                    </a:graphicData>
                  </a:graphic>
                </wp:inline>
              </w:drawing>
            </w:r>
            <w:r w:rsidR="009B4C5B" w:rsidRPr="004008FE">
              <w:rPr>
                <w:szCs w:val="22"/>
              </w:rPr>
              <w:t> </w:t>
            </w:r>
          </w:p>
        </w:tc>
      </w:tr>
    </w:tbl>
    <w:p w:rsidR="009B4C5B" w:rsidRPr="004008FE" w:rsidRDefault="009B4C5B" w:rsidP="009B4C5B">
      <w:pPr>
        <w:widowControl/>
        <w:autoSpaceDE w:val="0"/>
        <w:autoSpaceDN w:val="0"/>
        <w:adjustRightInd w:val="0"/>
        <w:rPr>
          <w:b/>
          <w:bCs/>
          <w:szCs w:val="22"/>
          <w:lang w:eastAsia="el-GR"/>
        </w:rPr>
      </w:pPr>
    </w:p>
    <w:p w:rsidR="009B4C5B" w:rsidRPr="004008FE" w:rsidRDefault="009B4C5B" w:rsidP="009B4C5B">
      <w:pPr>
        <w:widowControl/>
        <w:autoSpaceDE w:val="0"/>
        <w:autoSpaceDN w:val="0"/>
        <w:adjustRightInd w:val="0"/>
        <w:rPr>
          <w:szCs w:val="22"/>
        </w:rPr>
      </w:pPr>
      <w:r w:rsidRPr="004008FE">
        <w:rPr>
          <w:szCs w:val="22"/>
        </w:rPr>
        <w:t>Εικόνα 2</w:t>
      </w:r>
    </w:p>
    <w:tbl>
      <w:tblPr>
        <w:tblW w:w="5000" w:type="pct"/>
        <w:tblCellSpacing w:w="0" w:type="dxa"/>
        <w:tblCellMar>
          <w:top w:w="60" w:type="dxa"/>
          <w:left w:w="60" w:type="dxa"/>
          <w:bottom w:w="60" w:type="dxa"/>
          <w:right w:w="60" w:type="dxa"/>
        </w:tblCellMar>
        <w:tblLook w:val="0000"/>
      </w:tblPr>
      <w:tblGrid>
        <w:gridCol w:w="1950"/>
        <w:gridCol w:w="7230"/>
      </w:tblGrid>
      <w:tr w:rsidR="009B4C5B" w:rsidRPr="004008FE">
        <w:trPr>
          <w:gridAfter w:val="1"/>
          <w:tblCellSpacing w:w="0" w:type="dxa"/>
        </w:trPr>
        <w:tc>
          <w:tcPr>
            <w:tcW w:w="1950" w:type="dxa"/>
          </w:tcPr>
          <w:p w:rsidR="009B4C5B" w:rsidRPr="004008FE" w:rsidRDefault="009B4C5B" w:rsidP="00E55495">
            <w:pPr>
              <w:jc w:val="both"/>
              <w:rPr>
                <w:szCs w:val="22"/>
              </w:rPr>
            </w:pPr>
            <w:r w:rsidRPr="004008FE">
              <w:rPr>
                <w:szCs w:val="22"/>
              </w:rPr>
              <w:t> </w:t>
            </w:r>
          </w:p>
        </w:tc>
      </w:tr>
      <w:tr w:rsidR="009B4C5B" w:rsidRPr="004008FE">
        <w:trPr>
          <w:tblCellSpacing w:w="0" w:type="dxa"/>
        </w:trPr>
        <w:tc>
          <w:tcPr>
            <w:tcW w:w="0" w:type="auto"/>
          </w:tcPr>
          <w:p w:rsidR="009B4C5B" w:rsidRPr="004008FE" w:rsidRDefault="009B4C5B" w:rsidP="00E55495">
            <w:pPr>
              <w:jc w:val="both"/>
              <w:rPr>
                <w:szCs w:val="22"/>
              </w:rPr>
            </w:pPr>
            <w:r w:rsidRPr="004008FE">
              <w:rPr>
                <w:szCs w:val="22"/>
              </w:rPr>
              <w:lastRenderedPageBreak/>
              <w:t> </w:t>
            </w:r>
          </w:p>
        </w:tc>
        <w:tc>
          <w:tcPr>
            <w:tcW w:w="0" w:type="auto"/>
          </w:tcPr>
          <w:p w:rsidR="009B4C5B" w:rsidRPr="004008FE" w:rsidRDefault="009B5A9D" w:rsidP="00E55495">
            <w:pPr>
              <w:jc w:val="both"/>
              <w:rPr>
                <w:szCs w:val="22"/>
              </w:rPr>
            </w:pPr>
            <w:r>
              <w:rPr>
                <w:noProof/>
                <w:szCs w:val="22"/>
                <w:lang w:eastAsia="el-GR"/>
              </w:rPr>
              <w:drawing>
                <wp:inline distT="0" distB="0" distL="0" distR="0">
                  <wp:extent cx="1318260" cy="1744980"/>
                  <wp:effectExtent l="19050" t="0" r="0" b="0"/>
                  <wp:docPr id="2" name="Εικόνα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8" cstate="print"/>
                          <a:srcRect/>
                          <a:stretch>
                            <a:fillRect/>
                          </a:stretch>
                        </pic:blipFill>
                        <pic:spPr bwMode="auto">
                          <a:xfrm>
                            <a:off x="0" y="0"/>
                            <a:ext cx="1318260" cy="1744980"/>
                          </a:xfrm>
                          <a:prstGeom prst="rect">
                            <a:avLst/>
                          </a:prstGeom>
                          <a:noFill/>
                          <a:ln w="9525">
                            <a:noFill/>
                            <a:miter lim="800000"/>
                            <a:headEnd/>
                            <a:tailEnd/>
                          </a:ln>
                        </pic:spPr>
                      </pic:pic>
                    </a:graphicData>
                  </a:graphic>
                </wp:inline>
              </w:drawing>
            </w:r>
          </w:p>
        </w:tc>
      </w:tr>
    </w:tbl>
    <w:p w:rsidR="009B4C5B" w:rsidRPr="004008FE" w:rsidRDefault="009B4C5B" w:rsidP="009B4C5B">
      <w:pPr>
        <w:widowControl/>
        <w:autoSpaceDE w:val="0"/>
        <w:autoSpaceDN w:val="0"/>
        <w:adjustRightInd w:val="0"/>
        <w:rPr>
          <w:b/>
          <w:bCs/>
          <w:szCs w:val="22"/>
          <w:lang w:eastAsia="el-GR"/>
        </w:rPr>
      </w:pPr>
    </w:p>
    <w:p w:rsidR="007F0DD3" w:rsidRPr="004008FE" w:rsidRDefault="007F0DD3">
      <w:pPr>
        <w:rPr>
          <w:szCs w:val="22"/>
        </w:rPr>
      </w:pPr>
    </w:p>
    <w:p w:rsidR="00496809" w:rsidRPr="004008FE" w:rsidRDefault="005E2EA5" w:rsidP="005E2EA5">
      <w:pPr>
        <w:rPr>
          <w:b/>
          <w:szCs w:val="22"/>
        </w:rPr>
      </w:pPr>
      <w:r w:rsidRPr="004008FE">
        <w:rPr>
          <w:b/>
          <w:szCs w:val="22"/>
        </w:rPr>
        <w:t>7.</w:t>
      </w:r>
      <w:r w:rsidRPr="004008FE">
        <w:rPr>
          <w:b/>
          <w:szCs w:val="22"/>
        </w:rPr>
        <w:tab/>
      </w:r>
      <w:r w:rsidR="00496809" w:rsidRPr="004008FE">
        <w:rPr>
          <w:b/>
          <w:szCs w:val="22"/>
        </w:rPr>
        <w:t>ΚΑΤΟΧΟΣ ΤΗΣ ΑΔΕΙΑΣ ΚΥΚΛΟΦΟΡΙΑΣ</w:t>
      </w:r>
    </w:p>
    <w:p w:rsidR="00B6741D" w:rsidRPr="004008FE" w:rsidRDefault="00B6741D" w:rsidP="00B6741D">
      <w:pPr>
        <w:rPr>
          <w:b/>
          <w:szCs w:val="22"/>
        </w:rPr>
      </w:pPr>
    </w:p>
    <w:p w:rsidR="008601AD" w:rsidRPr="004008FE" w:rsidRDefault="008601AD" w:rsidP="008601AD">
      <w:pPr>
        <w:jc w:val="both"/>
        <w:rPr>
          <w:szCs w:val="22"/>
        </w:rPr>
      </w:pPr>
      <w:r w:rsidRPr="004008FE">
        <w:rPr>
          <w:szCs w:val="22"/>
        </w:rPr>
        <w:t xml:space="preserve">DEMO ΑΒΕΕ </w:t>
      </w:r>
    </w:p>
    <w:p w:rsidR="008601AD" w:rsidRPr="004008FE" w:rsidRDefault="008601AD" w:rsidP="008601AD">
      <w:pPr>
        <w:jc w:val="both"/>
        <w:rPr>
          <w:szCs w:val="22"/>
        </w:rPr>
      </w:pPr>
      <w:r w:rsidRPr="004008FE">
        <w:rPr>
          <w:szCs w:val="22"/>
        </w:rPr>
        <w:t>21ο χλμ Εθνικής Οδού Αθηνών-Λαμίας</w:t>
      </w:r>
    </w:p>
    <w:p w:rsidR="008601AD" w:rsidRPr="004008FE" w:rsidRDefault="008601AD" w:rsidP="008601AD">
      <w:pPr>
        <w:jc w:val="both"/>
        <w:rPr>
          <w:szCs w:val="22"/>
        </w:rPr>
      </w:pPr>
      <w:r w:rsidRPr="004008FE">
        <w:rPr>
          <w:szCs w:val="22"/>
        </w:rPr>
        <w:t>14568 Κρυονέρι, Αθήνα</w:t>
      </w:r>
    </w:p>
    <w:p w:rsidR="00B6741D" w:rsidRPr="004008FE" w:rsidRDefault="008601AD" w:rsidP="00B6741D">
      <w:pPr>
        <w:rPr>
          <w:szCs w:val="22"/>
        </w:rPr>
      </w:pPr>
      <w:r w:rsidRPr="004008FE">
        <w:rPr>
          <w:szCs w:val="22"/>
        </w:rPr>
        <w:t>Τηλ: 210 8161802, Fax: 210 8161587</w:t>
      </w:r>
    </w:p>
    <w:p w:rsidR="00496809" w:rsidRPr="004008FE" w:rsidRDefault="00496809">
      <w:pPr>
        <w:rPr>
          <w:szCs w:val="22"/>
        </w:rPr>
      </w:pPr>
    </w:p>
    <w:p w:rsidR="00496809" w:rsidRPr="004008FE" w:rsidRDefault="00496809">
      <w:pPr>
        <w:rPr>
          <w:szCs w:val="22"/>
        </w:rPr>
      </w:pPr>
      <w:r w:rsidRPr="004008FE">
        <w:rPr>
          <w:b/>
          <w:szCs w:val="22"/>
        </w:rPr>
        <w:t>8.</w:t>
      </w:r>
      <w:r w:rsidRPr="004008FE">
        <w:rPr>
          <w:b/>
          <w:szCs w:val="22"/>
        </w:rPr>
        <w:tab/>
        <w:t>ΑΡΙΘΜΟΣ(ΟΙ) ΑΔΕΙΑΣ ΚΥΚΛΟΦΟΡΙΑΣ</w:t>
      </w:r>
    </w:p>
    <w:p w:rsidR="00496809" w:rsidRPr="004008FE" w:rsidRDefault="00496809">
      <w:pPr>
        <w:rPr>
          <w:szCs w:val="22"/>
        </w:rPr>
      </w:pPr>
    </w:p>
    <w:p w:rsidR="00496809" w:rsidRPr="004008FE" w:rsidRDefault="00496809">
      <w:pPr>
        <w:rPr>
          <w:i/>
          <w:iCs/>
          <w:szCs w:val="22"/>
        </w:rPr>
      </w:pPr>
      <w:r w:rsidRPr="004008FE">
        <w:rPr>
          <w:i/>
          <w:szCs w:val="22"/>
        </w:rPr>
        <w:t>&lt;[Να συμπληρωθεί σε εθνικό επίπεδο]&gt;</w:t>
      </w:r>
    </w:p>
    <w:p w:rsidR="00496809" w:rsidRPr="004008FE" w:rsidRDefault="00496809">
      <w:pPr>
        <w:rPr>
          <w:szCs w:val="22"/>
        </w:rPr>
      </w:pPr>
    </w:p>
    <w:p w:rsidR="00496809" w:rsidRPr="004008FE" w:rsidRDefault="00496809">
      <w:pPr>
        <w:rPr>
          <w:szCs w:val="22"/>
        </w:rPr>
      </w:pPr>
    </w:p>
    <w:p w:rsidR="00496809" w:rsidRPr="004008FE" w:rsidRDefault="00496809">
      <w:pPr>
        <w:rPr>
          <w:szCs w:val="22"/>
        </w:rPr>
      </w:pPr>
      <w:r w:rsidRPr="004008FE">
        <w:rPr>
          <w:b/>
          <w:szCs w:val="22"/>
        </w:rPr>
        <w:t>9.</w:t>
      </w:r>
      <w:r w:rsidRPr="004008FE">
        <w:rPr>
          <w:b/>
          <w:szCs w:val="22"/>
        </w:rPr>
        <w:tab/>
        <w:t>ΗΜΕΡΟΜΗΝΙΑ ΠΡΩΤΗΣ ΕΓΚΡΙΣΗΣ / ΑΝΑΝΕΩΣΗΣ ΤΗΣ ΑΔΕΙΑΣ</w:t>
      </w:r>
    </w:p>
    <w:p w:rsidR="00496809" w:rsidRPr="004008FE" w:rsidRDefault="00496809">
      <w:pPr>
        <w:rPr>
          <w:szCs w:val="22"/>
        </w:rPr>
      </w:pPr>
    </w:p>
    <w:p w:rsidR="00496809" w:rsidRPr="00D01690" w:rsidRDefault="00B549A0" w:rsidP="00542F6D">
      <w:pPr>
        <w:rPr>
          <w:noProof/>
          <w:szCs w:val="22"/>
        </w:rPr>
      </w:pPr>
      <w:r w:rsidRPr="004008FE">
        <w:rPr>
          <w:noProof/>
          <w:szCs w:val="22"/>
        </w:rPr>
        <w:t>Ημερομηνία πρώτης έγκρισης:</w:t>
      </w:r>
      <w:r w:rsidR="008601AD" w:rsidRPr="004008FE">
        <w:rPr>
          <w:noProof/>
          <w:szCs w:val="22"/>
        </w:rPr>
        <w:t xml:space="preserve">  03/06/2013</w:t>
      </w:r>
    </w:p>
    <w:sectPr w:rsidR="00496809" w:rsidRPr="00D01690">
      <w:headerReference w:type="even" r:id="rId9"/>
      <w:headerReference w:type="default" r:id="rId10"/>
      <w:footerReference w:type="even" r:id="rId11"/>
      <w:footerReference w:type="default" r:id="rId12"/>
      <w:headerReference w:type="first" r:id="rId13"/>
      <w:footerReference w:type="first" r:id="rId14"/>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D5" w:rsidRDefault="000D46D5">
      <w:r>
        <w:separator/>
      </w:r>
    </w:p>
  </w:endnote>
  <w:endnote w:type="continuationSeparator" w:id="0">
    <w:p w:rsidR="000D46D5" w:rsidRDefault="000D4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A1"/>
    <w:family w:val="auto"/>
    <w:notTrueType/>
    <w:pitch w:val="default"/>
    <w:sig w:usb0="00000081" w:usb1="08070000" w:usb2="00000010" w:usb3="00000000" w:csb0="00020008"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F1" w:rsidRDefault="00D848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F1" w:rsidRDefault="00D848F1">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9B5A9D">
      <w:rPr>
        <w:rFonts w:ascii="Arial" w:hAnsi="Arial" w:cs="Arial"/>
        <w:noProof/>
        <w:sz w:val="16"/>
        <w:lang w:val="fr-FR"/>
      </w:rPr>
      <w:t>15</w:t>
    </w:r>
    <w:r>
      <w:rPr>
        <w:rFonts w:ascii="Arial" w:hAnsi="Arial" w:cs="Arial"/>
        <w:sz w:val="16"/>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F1" w:rsidRDefault="00D848F1">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9B5A9D">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D5" w:rsidRDefault="000D46D5">
      <w:r>
        <w:separator/>
      </w:r>
    </w:p>
  </w:footnote>
  <w:footnote w:type="continuationSeparator" w:id="0">
    <w:p w:rsidR="000D46D5" w:rsidRDefault="000D4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F1" w:rsidRDefault="00D848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F1" w:rsidRDefault="00D848F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F1" w:rsidRDefault="00D848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D5A2E"/>
    <w:multiLevelType w:val="hybridMultilevel"/>
    <w:tmpl w:val="147A03F8"/>
    <w:lvl w:ilvl="0" w:tplc="04080001">
      <w:start w:val="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740FB0"/>
    <w:multiLevelType w:val="hybridMultilevel"/>
    <w:tmpl w:val="46E0871E"/>
    <w:lvl w:ilvl="0" w:tplc="70583E58">
      <w:start w:val="1"/>
      <w:numFmt w:val="bullet"/>
      <w:lvlText w:val="-"/>
      <w:lvlJc w:val="left"/>
      <w:pPr>
        <w:tabs>
          <w:tab w:val="num" w:pos="720"/>
        </w:tabs>
        <w:ind w:left="720" w:hanging="360"/>
      </w:pPr>
      <w:rPr>
        <w:rFonts w:ascii="ArialMT" w:eastAsia="Times New Roman" w:hAnsi="ArialMT" w:cs="ArialM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7DC7E74"/>
    <w:multiLevelType w:val="multilevel"/>
    <w:tmpl w:val="034E0D0C"/>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6">
    <w:nsid w:val="1EA37FC5"/>
    <w:multiLevelType w:val="singleLevel"/>
    <w:tmpl w:val="FFFFFFFF"/>
    <w:lvl w:ilvl="0">
      <w:start w:val="1"/>
      <w:numFmt w:val="bullet"/>
      <w:lvlText w:val="-"/>
      <w:legacy w:legacy="1" w:legacySpace="0" w:legacyIndent="360"/>
      <w:lvlJc w:val="left"/>
      <w:pPr>
        <w:ind w:left="1800" w:hanging="360"/>
      </w:pPr>
    </w:lvl>
  </w:abstractNum>
  <w:abstractNum w:abstractNumId="7">
    <w:nsid w:val="21445408"/>
    <w:multiLevelType w:val="multilevel"/>
    <w:tmpl w:val="3D4A9EA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247E1F"/>
    <w:multiLevelType w:val="hybridMultilevel"/>
    <w:tmpl w:val="FE6C1DA2"/>
    <w:lvl w:ilvl="0" w:tplc="5C74664C">
      <w:start w:val="5"/>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A810019"/>
    <w:multiLevelType w:val="singleLevel"/>
    <w:tmpl w:val="FFFFFFFF"/>
    <w:lvl w:ilvl="0">
      <w:start w:val="1"/>
      <w:numFmt w:val="bullet"/>
      <w:lvlText w:val="-"/>
      <w:legacy w:legacy="1" w:legacySpace="0" w:legacyIndent="360"/>
      <w:lvlJc w:val="left"/>
      <w:pPr>
        <w:ind w:left="1800" w:hanging="360"/>
      </w:pPr>
    </w:lvl>
  </w:abstractNum>
  <w:abstractNum w:abstractNumId="14">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C6D3C4B"/>
    <w:multiLevelType w:val="hybridMultilevel"/>
    <w:tmpl w:val="4690540C"/>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214228C"/>
    <w:multiLevelType w:val="multilevel"/>
    <w:tmpl w:val="2EE0B73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32F03ED"/>
    <w:multiLevelType w:val="hybridMultilevel"/>
    <w:tmpl w:val="3D4A9EAA"/>
    <w:lvl w:ilvl="0" w:tplc="88861536">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60C4365"/>
    <w:multiLevelType w:val="singleLevel"/>
    <w:tmpl w:val="FFFFFFFF"/>
    <w:lvl w:ilvl="0">
      <w:start w:val="1"/>
      <w:numFmt w:val="bullet"/>
      <w:lvlText w:val="-"/>
      <w:legacy w:legacy="1" w:legacySpace="0" w:legacyIndent="360"/>
      <w:lvlJc w:val="left"/>
      <w:pPr>
        <w:ind w:left="1800" w:hanging="360"/>
      </w:pPr>
    </w:lvl>
  </w:abstractNum>
  <w:abstractNum w:abstractNumId="19">
    <w:nsid w:val="5A581DEC"/>
    <w:multiLevelType w:val="hybridMultilevel"/>
    <w:tmpl w:val="2698194A"/>
    <w:lvl w:ilvl="0" w:tplc="5F3AA5F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B104138"/>
    <w:multiLevelType w:val="hybridMultilevel"/>
    <w:tmpl w:val="892A74B0"/>
    <w:lvl w:ilvl="0" w:tplc="5F3AA5F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2">
    <w:nsid w:val="5F2D11CF"/>
    <w:multiLevelType w:val="hybridMultilevel"/>
    <w:tmpl w:val="DE2E11DA"/>
    <w:lvl w:ilvl="0" w:tplc="5F3AA5F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3F87137"/>
    <w:multiLevelType w:val="hybridMultilevel"/>
    <w:tmpl w:val="3190CCB4"/>
    <w:lvl w:ilvl="0" w:tplc="5F3AA5F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51345A1"/>
    <w:multiLevelType w:val="multilevel"/>
    <w:tmpl w:val="E2CAF5A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5BB05AA"/>
    <w:multiLevelType w:val="multilevel"/>
    <w:tmpl w:val="E632BCC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BE32E6B"/>
    <w:multiLevelType w:val="hybridMultilevel"/>
    <w:tmpl w:val="73A04316"/>
    <w:lvl w:ilvl="0" w:tplc="B0FE793C">
      <w:start w:val="7"/>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0">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FC32C7E"/>
    <w:multiLevelType w:val="hybridMultilevel"/>
    <w:tmpl w:val="57360CD4"/>
    <w:lvl w:ilvl="0" w:tplc="5F3AA5F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9"/>
  </w:num>
  <w:num w:numId="6">
    <w:abstractNumId w:val="28"/>
  </w:num>
  <w:num w:numId="7">
    <w:abstractNumId w:val="9"/>
  </w:num>
  <w:num w:numId="8">
    <w:abstractNumId w:val="18"/>
  </w:num>
  <w:num w:numId="9">
    <w:abstractNumId w:val="13"/>
  </w:num>
  <w:num w:numId="10">
    <w:abstractNumId w:val="6"/>
  </w:num>
  <w:num w:numId="11">
    <w:abstractNumId w:val="26"/>
  </w:num>
  <w:num w:numId="12">
    <w:abstractNumId w:val="2"/>
  </w:num>
  <w:num w:numId="13">
    <w:abstractNumId w:val="14"/>
  </w:num>
  <w:num w:numId="14">
    <w:abstractNumId w:val="32"/>
  </w:num>
  <w:num w:numId="15">
    <w:abstractNumId w:val="8"/>
  </w:num>
  <w:num w:numId="16">
    <w:abstractNumId w:val="10"/>
  </w:num>
  <w:num w:numId="17">
    <w:abstractNumId w:val="30"/>
  </w:num>
  <w:num w:numId="18">
    <w:abstractNumId w:val="12"/>
  </w:num>
  <w:num w:numId="19">
    <w:abstractNumId w:val="31"/>
  </w:num>
  <w:num w:numId="20">
    <w:abstractNumId w:val="1"/>
  </w:num>
  <w:num w:numId="21">
    <w:abstractNumId w:val="5"/>
  </w:num>
  <w:num w:numId="22">
    <w:abstractNumId w:val="16"/>
  </w:num>
  <w:num w:numId="23">
    <w:abstractNumId w:val="24"/>
  </w:num>
  <w:num w:numId="24">
    <w:abstractNumId w:val="25"/>
  </w:num>
  <w:num w:numId="25">
    <w:abstractNumId w:val="27"/>
  </w:num>
  <w:num w:numId="26">
    <w:abstractNumId w:val="15"/>
  </w:num>
  <w:num w:numId="27">
    <w:abstractNumId w:val="22"/>
  </w:num>
  <w:num w:numId="28">
    <w:abstractNumId w:val="17"/>
  </w:num>
  <w:num w:numId="29">
    <w:abstractNumId w:val="3"/>
  </w:num>
  <w:num w:numId="30">
    <w:abstractNumId w:val="11"/>
  </w:num>
  <w:num w:numId="31">
    <w:abstractNumId w:val="7"/>
  </w:num>
  <w:num w:numId="32">
    <w:abstractNumId w:val="23"/>
  </w:num>
  <w:num w:numId="33">
    <w:abstractNumId w:val="19"/>
  </w:num>
  <w:num w:numId="34">
    <w:abstractNumId w:val="2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058D"/>
    <w:rsid w:val="00006290"/>
    <w:rsid w:val="0000665F"/>
    <w:rsid w:val="000101D2"/>
    <w:rsid w:val="000125B7"/>
    <w:rsid w:val="00013910"/>
    <w:rsid w:val="000170C7"/>
    <w:rsid w:val="000273CD"/>
    <w:rsid w:val="00031D1A"/>
    <w:rsid w:val="000403BC"/>
    <w:rsid w:val="00041E7F"/>
    <w:rsid w:val="0004331E"/>
    <w:rsid w:val="00044E72"/>
    <w:rsid w:val="00056716"/>
    <w:rsid w:val="00060935"/>
    <w:rsid w:val="00076ECE"/>
    <w:rsid w:val="00083E65"/>
    <w:rsid w:val="00090EE8"/>
    <w:rsid w:val="0009257E"/>
    <w:rsid w:val="0009263E"/>
    <w:rsid w:val="00094D6B"/>
    <w:rsid w:val="000A0D16"/>
    <w:rsid w:val="000A4FFD"/>
    <w:rsid w:val="000B4164"/>
    <w:rsid w:val="000B4A3F"/>
    <w:rsid w:val="000D46D5"/>
    <w:rsid w:val="000E21DA"/>
    <w:rsid w:val="000F3AE1"/>
    <w:rsid w:val="0010327A"/>
    <w:rsid w:val="00104BF9"/>
    <w:rsid w:val="001056BE"/>
    <w:rsid w:val="00106529"/>
    <w:rsid w:val="00110DE4"/>
    <w:rsid w:val="00125B4C"/>
    <w:rsid w:val="001330D4"/>
    <w:rsid w:val="0015069B"/>
    <w:rsid w:val="00154E4A"/>
    <w:rsid w:val="00162EC2"/>
    <w:rsid w:val="001634EF"/>
    <w:rsid w:val="00172799"/>
    <w:rsid w:val="00180525"/>
    <w:rsid w:val="0018145D"/>
    <w:rsid w:val="00187407"/>
    <w:rsid w:val="001934FB"/>
    <w:rsid w:val="00195F59"/>
    <w:rsid w:val="00195F86"/>
    <w:rsid w:val="001A3BD3"/>
    <w:rsid w:val="001B192B"/>
    <w:rsid w:val="001C35DF"/>
    <w:rsid w:val="001C38E8"/>
    <w:rsid w:val="001C7288"/>
    <w:rsid w:val="001D6ADC"/>
    <w:rsid w:val="001E1C62"/>
    <w:rsid w:val="001E35E0"/>
    <w:rsid w:val="00201357"/>
    <w:rsid w:val="00202F11"/>
    <w:rsid w:val="0021612F"/>
    <w:rsid w:val="0021650C"/>
    <w:rsid w:val="0023054A"/>
    <w:rsid w:val="002334D0"/>
    <w:rsid w:val="002443A1"/>
    <w:rsid w:val="00244A39"/>
    <w:rsid w:val="002569F8"/>
    <w:rsid w:val="0026712D"/>
    <w:rsid w:val="00271694"/>
    <w:rsid w:val="00273FEA"/>
    <w:rsid w:val="00277CB6"/>
    <w:rsid w:val="00280AF5"/>
    <w:rsid w:val="00280EA2"/>
    <w:rsid w:val="00281F09"/>
    <w:rsid w:val="002916E3"/>
    <w:rsid w:val="002A71B9"/>
    <w:rsid w:val="002B4519"/>
    <w:rsid w:val="002C7789"/>
    <w:rsid w:val="002D4D99"/>
    <w:rsid w:val="002E2354"/>
    <w:rsid w:val="002E530D"/>
    <w:rsid w:val="002F6FF3"/>
    <w:rsid w:val="00306C97"/>
    <w:rsid w:val="00315025"/>
    <w:rsid w:val="00316D8A"/>
    <w:rsid w:val="003274F6"/>
    <w:rsid w:val="00330DCD"/>
    <w:rsid w:val="0033518F"/>
    <w:rsid w:val="003376F0"/>
    <w:rsid w:val="00341108"/>
    <w:rsid w:val="003521A1"/>
    <w:rsid w:val="003642D0"/>
    <w:rsid w:val="003808CD"/>
    <w:rsid w:val="00385CA1"/>
    <w:rsid w:val="00395B54"/>
    <w:rsid w:val="003B01A6"/>
    <w:rsid w:val="003B4BF5"/>
    <w:rsid w:val="003C0467"/>
    <w:rsid w:val="003C2892"/>
    <w:rsid w:val="003D0FFB"/>
    <w:rsid w:val="003D2D2B"/>
    <w:rsid w:val="003D725B"/>
    <w:rsid w:val="003E2AE9"/>
    <w:rsid w:val="003F0B59"/>
    <w:rsid w:val="003F7235"/>
    <w:rsid w:val="004008FE"/>
    <w:rsid w:val="00416CA1"/>
    <w:rsid w:val="00423B7D"/>
    <w:rsid w:val="004306EE"/>
    <w:rsid w:val="0045257F"/>
    <w:rsid w:val="004556D2"/>
    <w:rsid w:val="004569E4"/>
    <w:rsid w:val="00464262"/>
    <w:rsid w:val="0047347A"/>
    <w:rsid w:val="00474A45"/>
    <w:rsid w:val="004843F1"/>
    <w:rsid w:val="004845F1"/>
    <w:rsid w:val="0048469D"/>
    <w:rsid w:val="00485503"/>
    <w:rsid w:val="00490CFF"/>
    <w:rsid w:val="004959B9"/>
    <w:rsid w:val="00496809"/>
    <w:rsid w:val="004969C1"/>
    <w:rsid w:val="00496F53"/>
    <w:rsid w:val="004B22CF"/>
    <w:rsid w:val="004B25F3"/>
    <w:rsid w:val="004C3CED"/>
    <w:rsid w:val="004C5922"/>
    <w:rsid w:val="004C6D3B"/>
    <w:rsid w:val="004D26EE"/>
    <w:rsid w:val="004D411C"/>
    <w:rsid w:val="004D6F7C"/>
    <w:rsid w:val="004E1B68"/>
    <w:rsid w:val="004E7B36"/>
    <w:rsid w:val="004F4B10"/>
    <w:rsid w:val="005120E6"/>
    <w:rsid w:val="005129F8"/>
    <w:rsid w:val="00513C39"/>
    <w:rsid w:val="00513E32"/>
    <w:rsid w:val="00522FF3"/>
    <w:rsid w:val="00525C0B"/>
    <w:rsid w:val="00532084"/>
    <w:rsid w:val="0053630C"/>
    <w:rsid w:val="0053783E"/>
    <w:rsid w:val="005414C1"/>
    <w:rsid w:val="00542F6D"/>
    <w:rsid w:val="00544D4B"/>
    <w:rsid w:val="005461EF"/>
    <w:rsid w:val="005627D7"/>
    <w:rsid w:val="00573DB0"/>
    <w:rsid w:val="0058543F"/>
    <w:rsid w:val="00585BE2"/>
    <w:rsid w:val="00591468"/>
    <w:rsid w:val="005B0D38"/>
    <w:rsid w:val="005B5AA7"/>
    <w:rsid w:val="005B5CDD"/>
    <w:rsid w:val="005C5540"/>
    <w:rsid w:val="005D1AC7"/>
    <w:rsid w:val="005D38CA"/>
    <w:rsid w:val="005D3962"/>
    <w:rsid w:val="005D5488"/>
    <w:rsid w:val="005E19B2"/>
    <w:rsid w:val="005E2EA5"/>
    <w:rsid w:val="005F10C7"/>
    <w:rsid w:val="005F52EA"/>
    <w:rsid w:val="005F724C"/>
    <w:rsid w:val="006052A1"/>
    <w:rsid w:val="0060632B"/>
    <w:rsid w:val="00620E3C"/>
    <w:rsid w:val="00646B7A"/>
    <w:rsid w:val="00650705"/>
    <w:rsid w:val="00655350"/>
    <w:rsid w:val="0067063C"/>
    <w:rsid w:val="006920E0"/>
    <w:rsid w:val="006A4F76"/>
    <w:rsid w:val="006B4052"/>
    <w:rsid w:val="006B7487"/>
    <w:rsid w:val="006D3646"/>
    <w:rsid w:val="006D499E"/>
    <w:rsid w:val="006D7A02"/>
    <w:rsid w:val="006E2F26"/>
    <w:rsid w:val="006E4268"/>
    <w:rsid w:val="006F1E23"/>
    <w:rsid w:val="006F4843"/>
    <w:rsid w:val="00714C8C"/>
    <w:rsid w:val="00724C3C"/>
    <w:rsid w:val="00724E09"/>
    <w:rsid w:val="00727EA0"/>
    <w:rsid w:val="00734076"/>
    <w:rsid w:val="00735F2F"/>
    <w:rsid w:val="00741026"/>
    <w:rsid w:val="00743553"/>
    <w:rsid w:val="0075018D"/>
    <w:rsid w:val="00754CB7"/>
    <w:rsid w:val="0076194A"/>
    <w:rsid w:val="00763510"/>
    <w:rsid w:val="0076405E"/>
    <w:rsid w:val="00764535"/>
    <w:rsid w:val="00772BB8"/>
    <w:rsid w:val="007745E6"/>
    <w:rsid w:val="00784B74"/>
    <w:rsid w:val="00786D07"/>
    <w:rsid w:val="00790B66"/>
    <w:rsid w:val="00794E81"/>
    <w:rsid w:val="00796298"/>
    <w:rsid w:val="00796930"/>
    <w:rsid w:val="00797379"/>
    <w:rsid w:val="00797E79"/>
    <w:rsid w:val="007A4F97"/>
    <w:rsid w:val="007A58D6"/>
    <w:rsid w:val="007A6460"/>
    <w:rsid w:val="007A6584"/>
    <w:rsid w:val="007B5024"/>
    <w:rsid w:val="007D71D3"/>
    <w:rsid w:val="007F0DD3"/>
    <w:rsid w:val="007F5C1E"/>
    <w:rsid w:val="007F77AC"/>
    <w:rsid w:val="00803C43"/>
    <w:rsid w:val="0081175E"/>
    <w:rsid w:val="0083401D"/>
    <w:rsid w:val="00840C4D"/>
    <w:rsid w:val="0084400C"/>
    <w:rsid w:val="00844386"/>
    <w:rsid w:val="00844769"/>
    <w:rsid w:val="00844F56"/>
    <w:rsid w:val="0085086B"/>
    <w:rsid w:val="008536DE"/>
    <w:rsid w:val="008601AD"/>
    <w:rsid w:val="00860F13"/>
    <w:rsid w:val="00861159"/>
    <w:rsid w:val="00877539"/>
    <w:rsid w:val="008777F0"/>
    <w:rsid w:val="00880639"/>
    <w:rsid w:val="0088261F"/>
    <w:rsid w:val="00882B1F"/>
    <w:rsid w:val="008919A5"/>
    <w:rsid w:val="00896638"/>
    <w:rsid w:val="008A15AF"/>
    <w:rsid w:val="008B49E1"/>
    <w:rsid w:val="008B5076"/>
    <w:rsid w:val="008C3686"/>
    <w:rsid w:val="008D4C58"/>
    <w:rsid w:val="00905AD4"/>
    <w:rsid w:val="00914C40"/>
    <w:rsid w:val="0091793C"/>
    <w:rsid w:val="00920548"/>
    <w:rsid w:val="00922B22"/>
    <w:rsid w:val="009254F5"/>
    <w:rsid w:val="009417E7"/>
    <w:rsid w:val="00942F9B"/>
    <w:rsid w:val="00960CE2"/>
    <w:rsid w:val="009610AE"/>
    <w:rsid w:val="00961626"/>
    <w:rsid w:val="00961F85"/>
    <w:rsid w:val="00963DA4"/>
    <w:rsid w:val="009640E4"/>
    <w:rsid w:val="009705DD"/>
    <w:rsid w:val="009712D7"/>
    <w:rsid w:val="00971701"/>
    <w:rsid w:val="0097294D"/>
    <w:rsid w:val="0097462F"/>
    <w:rsid w:val="00990D42"/>
    <w:rsid w:val="00995A43"/>
    <w:rsid w:val="009A4876"/>
    <w:rsid w:val="009A5015"/>
    <w:rsid w:val="009B2C4F"/>
    <w:rsid w:val="009B2EDA"/>
    <w:rsid w:val="009B4C5B"/>
    <w:rsid w:val="009B5A9D"/>
    <w:rsid w:val="009C3CFC"/>
    <w:rsid w:val="009D3014"/>
    <w:rsid w:val="009D39BF"/>
    <w:rsid w:val="009E01B5"/>
    <w:rsid w:val="009E24DF"/>
    <w:rsid w:val="009E308C"/>
    <w:rsid w:val="009E3E1C"/>
    <w:rsid w:val="009E7EBA"/>
    <w:rsid w:val="009F3AFA"/>
    <w:rsid w:val="009F438D"/>
    <w:rsid w:val="009F60F4"/>
    <w:rsid w:val="00A00757"/>
    <w:rsid w:val="00A056A7"/>
    <w:rsid w:val="00A11714"/>
    <w:rsid w:val="00A13E64"/>
    <w:rsid w:val="00A31D07"/>
    <w:rsid w:val="00A358B4"/>
    <w:rsid w:val="00A40F56"/>
    <w:rsid w:val="00A41CFD"/>
    <w:rsid w:val="00A45E23"/>
    <w:rsid w:val="00A50ADF"/>
    <w:rsid w:val="00A51371"/>
    <w:rsid w:val="00A53D42"/>
    <w:rsid w:val="00A6287C"/>
    <w:rsid w:val="00A63E50"/>
    <w:rsid w:val="00A641E6"/>
    <w:rsid w:val="00A650E2"/>
    <w:rsid w:val="00A712E2"/>
    <w:rsid w:val="00A73605"/>
    <w:rsid w:val="00A7504A"/>
    <w:rsid w:val="00A90569"/>
    <w:rsid w:val="00A91B8C"/>
    <w:rsid w:val="00AA4517"/>
    <w:rsid w:val="00AB1D2B"/>
    <w:rsid w:val="00AB23BA"/>
    <w:rsid w:val="00AC089B"/>
    <w:rsid w:val="00AC21EF"/>
    <w:rsid w:val="00AD0E9A"/>
    <w:rsid w:val="00AE7BFD"/>
    <w:rsid w:val="00AF1044"/>
    <w:rsid w:val="00AF2DBF"/>
    <w:rsid w:val="00AF310E"/>
    <w:rsid w:val="00AF56E9"/>
    <w:rsid w:val="00B13D99"/>
    <w:rsid w:val="00B1517B"/>
    <w:rsid w:val="00B2136D"/>
    <w:rsid w:val="00B25955"/>
    <w:rsid w:val="00B4296A"/>
    <w:rsid w:val="00B42ECF"/>
    <w:rsid w:val="00B51432"/>
    <w:rsid w:val="00B53FD2"/>
    <w:rsid w:val="00B549A0"/>
    <w:rsid w:val="00B6741D"/>
    <w:rsid w:val="00B70180"/>
    <w:rsid w:val="00B71329"/>
    <w:rsid w:val="00B71AEF"/>
    <w:rsid w:val="00B73B03"/>
    <w:rsid w:val="00B73BB9"/>
    <w:rsid w:val="00B80BEC"/>
    <w:rsid w:val="00B8359D"/>
    <w:rsid w:val="00B84E28"/>
    <w:rsid w:val="00BB2199"/>
    <w:rsid w:val="00BB3C2A"/>
    <w:rsid w:val="00BB3DA5"/>
    <w:rsid w:val="00BC0489"/>
    <w:rsid w:val="00BE3B8B"/>
    <w:rsid w:val="00BF12F3"/>
    <w:rsid w:val="00C0040C"/>
    <w:rsid w:val="00C01213"/>
    <w:rsid w:val="00C02DCE"/>
    <w:rsid w:val="00C02F17"/>
    <w:rsid w:val="00C07410"/>
    <w:rsid w:val="00C123BB"/>
    <w:rsid w:val="00C13778"/>
    <w:rsid w:val="00C13846"/>
    <w:rsid w:val="00C379A8"/>
    <w:rsid w:val="00C573C6"/>
    <w:rsid w:val="00C5753D"/>
    <w:rsid w:val="00C627F4"/>
    <w:rsid w:val="00C63BE2"/>
    <w:rsid w:val="00C63D7B"/>
    <w:rsid w:val="00C656EC"/>
    <w:rsid w:val="00C7253D"/>
    <w:rsid w:val="00C77BA0"/>
    <w:rsid w:val="00C8175C"/>
    <w:rsid w:val="00C95834"/>
    <w:rsid w:val="00C95ADA"/>
    <w:rsid w:val="00C971C1"/>
    <w:rsid w:val="00CB0C89"/>
    <w:rsid w:val="00CB2527"/>
    <w:rsid w:val="00CB3E94"/>
    <w:rsid w:val="00CB6944"/>
    <w:rsid w:val="00CC474D"/>
    <w:rsid w:val="00CD0093"/>
    <w:rsid w:val="00CD0BF9"/>
    <w:rsid w:val="00CE08BC"/>
    <w:rsid w:val="00CE3701"/>
    <w:rsid w:val="00CE6EBB"/>
    <w:rsid w:val="00CF4947"/>
    <w:rsid w:val="00CF5BFD"/>
    <w:rsid w:val="00D00C67"/>
    <w:rsid w:val="00D01690"/>
    <w:rsid w:val="00D17318"/>
    <w:rsid w:val="00D238B5"/>
    <w:rsid w:val="00D27577"/>
    <w:rsid w:val="00D404C7"/>
    <w:rsid w:val="00D407B1"/>
    <w:rsid w:val="00D44F11"/>
    <w:rsid w:val="00D453FD"/>
    <w:rsid w:val="00D53867"/>
    <w:rsid w:val="00D56864"/>
    <w:rsid w:val="00D56E07"/>
    <w:rsid w:val="00D57B2C"/>
    <w:rsid w:val="00D625C8"/>
    <w:rsid w:val="00D64BE0"/>
    <w:rsid w:val="00D74D2B"/>
    <w:rsid w:val="00D750D0"/>
    <w:rsid w:val="00D80706"/>
    <w:rsid w:val="00D823ED"/>
    <w:rsid w:val="00D848F1"/>
    <w:rsid w:val="00D87119"/>
    <w:rsid w:val="00D87585"/>
    <w:rsid w:val="00D90797"/>
    <w:rsid w:val="00D92B6C"/>
    <w:rsid w:val="00D93C90"/>
    <w:rsid w:val="00DA3506"/>
    <w:rsid w:val="00DB126E"/>
    <w:rsid w:val="00DB24B0"/>
    <w:rsid w:val="00DB2B7C"/>
    <w:rsid w:val="00DB7B0F"/>
    <w:rsid w:val="00DC43EE"/>
    <w:rsid w:val="00DC763C"/>
    <w:rsid w:val="00DE300B"/>
    <w:rsid w:val="00DE65A1"/>
    <w:rsid w:val="00DE78EA"/>
    <w:rsid w:val="00DF111E"/>
    <w:rsid w:val="00DF3BFB"/>
    <w:rsid w:val="00DF42BF"/>
    <w:rsid w:val="00DF6342"/>
    <w:rsid w:val="00DF701B"/>
    <w:rsid w:val="00E11C7C"/>
    <w:rsid w:val="00E22EB4"/>
    <w:rsid w:val="00E23273"/>
    <w:rsid w:val="00E24E34"/>
    <w:rsid w:val="00E25904"/>
    <w:rsid w:val="00E311DD"/>
    <w:rsid w:val="00E31307"/>
    <w:rsid w:val="00E4246F"/>
    <w:rsid w:val="00E55495"/>
    <w:rsid w:val="00E56EA0"/>
    <w:rsid w:val="00E6178C"/>
    <w:rsid w:val="00E63311"/>
    <w:rsid w:val="00E63F46"/>
    <w:rsid w:val="00E6414F"/>
    <w:rsid w:val="00E67824"/>
    <w:rsid w:val="00E721B5"/>
    <w:rsid w:val="00E74764"/>
    <w:rsid w:val="00E748F4"/>
    <w:rsid w:val="00E7627C"/>
    <w:rsid w:val="00E83E9E"/>
    <w:rsid w:val="00E85A4D"/>
    <w:rsid w:val="00E8618B"/>
    <w:rsid w:val="00E86D00"/>
    <w:rsid w:val="00EA1091"/>
    <w:rsid w:val="00EA3683"/>
    <w:rsid w:val="00EA60C0"/>
    <w:rsid w:val="00EA7A4A"/>
    <w:rsid w:val="00EB0BF8"/>
    <w:rsid w:val="00EB33AC"/>
    <w:rsid w:val="00EC2EF7"/>
    <w:rsid w:val="00EC6634"/>
    <w:rsid w:val="00ED1BE9"/>
    <w:rsid w:val="00ED6457"/>
    <w:rsid w:val="00EE108E"/>
    <w:rsid w:val="00EE1DB6"/>
    <w:rsid w:val="00EE3A79"/>
    <w:rsid w:val="00EE6065"/>
    <w:rsid w:val="00EF4A51"/>
    <w:rsid w:val="00F02D6C"/>
    <w:rsid w:val="00F0531B"/>
    <w:rsid w:val="00F07E3A"/>
    <w:rsid w:val="00F11D8E"/>
    <w:rsid w:val="00F121DA"/>
    <w:rsid w:val="00F127ED"/>
    <w:rsid w:val="00F17452"/>
    <w:rsid w:val="00F2372E"/>
    <w:rsid w:val="00F25F3A"/>
    <w:rsid w:val="00F35723"/>
    <w:rsid w:val="00F4449D"/>
    <w:rsid w:val="00F4553E"/>
    <w:rsid w:val="00F57898"/>
    <w:rsid w:val="00F57B4C"/>
    <w:rsid w:val="00F57D3C"/>
    <w:rsid w:val="00F64336"/>
    <w:rsid w:val="00F65DCF"/>
    <w:rsid w:val="00F672C2"/>
    <w:rsid w:val="00F716ED"/>
    <w:rsid w:val="00F77E0F"/>
    <w:rsid w:val="00F80F92"/>
    <w:rsid w:val="00F84102"/>
    <w:rsid w:val="00F87B93"/>
    <w:rsid w:val="00F93153"/>
    <w:rsid w:val="00F97E53"/>
    <w:rsid w:val="00FA06D0"/>
    <w:rsid w:val="00FB2FF2"/>
    <w:rsid w:val="00FC122E"/>
    <w:rsid w:val="00FC1681"/>
    <w:rsid w:val="00FD1F6F"/>
    <w:rsid w:val="00FE5B0A"/>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character" w:styleId="a8">
    <w:name w:val="annotation reference"/>
    <w:semiHidden/>
    <w:rsid w:val="00CB2527"/>
    <w:rPr>
      <w:sz w:val="16"/>
      <w:szCs w:val="16"/>
    </w:rPr>
  </w:style>
  <w:style w:type="paragraph" w:styleId="a9">
    <w:name w:val="annotation text"/>
    <w:basedOn w:val="a"/>
    <w:semiHidden/>
    <w:rsid w:val="00CB2527"/>
    <w:rPr>
      <w:sz w:val="20"/>
    </w:rPr>
  </w:style>
  <w:style w:type="paragraph" w:styleId="aa">
    <w:name w:val="annotation subject"/>
    <w:basedOn w:val="a9"/>
    <w:next w:val="a9"/>
    <w:semiHidden/>
    <w:rsid w:val="00CB2527"/>
    <w:rPr>
      <w:b/>
      <w:bCs/>
    </w:rPr>
  </w:style>
  <w:style w:type="paragraph" w:customStyle="1" w:styleId="Default">
    <w:name w:val="Default"/>
    <w:rsid w:val="00754CB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45266813">
      <w:bodyDiv w:val="1"/>
      <w:marLeft w:val="0"/>
      <w:marRight w:val="0"/>
      <w:marTop w:val="0"/>
      <w:marBottom w:val="0"/>
      <w:divBdr>
        <w:top w:val="none" w:sz="0" w:space="0" w:color="auto"/>
        <w:left w:val="none" w:sz="0" w:space="0" w:color="auto"/>
        <w:bottom w:val="none" w:sz="0" w:space="0" w:color="auto"/>
        <w:right w:val="none" w:sz="0" w:space="0" w:color="auto"/>
      </w:divBdr>
      <w:divsChild>
        <w:div w:id="377432456">
          <w:marLeft w:val="0"/>
          <w:marRight w:val="0"/>
          <w:marTop w:val="0"/>
          <w:marBottom w:val="0"/>
          <w:divBdr>
            <w:top w:val="none" w:sz="0" w:space="0" w:color="auto"/>
            <w:left w:val="none" w:sz="0" w:space="0" w:color="auto"/>
            <w:bottom w:val="none" w:sz="0" w:space="0" w:color="auto"/>
            <w:right w:val="none" w:sz="0" w:space="0" w:color="auto"/>
          </w:divBdr>
          <w:divsChild>
            <w:div w:id="86854078">
              <w:marLeft w:val="0"/>
              <w:marRight w:val="0"/>
              <w:marTop w:val="0"/>
              <w:marBottom w:val="0"/>
              <w:divBdr>
                <w:top w:val="none" w:sz="0" w:space="0" w:color="auto"/>
                <w:left w:val="none" w:sz="0" w:space="0" w:color="auto"/>
                <w:bottom w:val="none" w:sz="0" w:space="0" w:color="auto"/>
                <w:right w:val="none" w:sz="0" w:space="0" w:color="auto"/>
              </w:divBdr>
              <w:divsChild>
                <w:div w:id="113645236">
                  <w:marLeft w:val="0"/>
                  <w:marRight w:val="0"/>
                  <w:marTop w:val="0"/>
                  <w:marBottom w:val="0"/>
                  <w:divBdr>
                    <w:top w:val="none" w:sz="0" w:space="0" w:color="auto"/>
                    <w:left w:val="none" w:sz="0" w:space="0" w:color="auto"/>
                    <w:bottom w:val="none" w:sz="0" w:space="0" w:color="auto"/>
                    <w:right w:val="none" w:sz="0" w:space="0" w:color="auto"/>
                  </w:divBdr>
                  <w:divsChild>
                    <w:div w:id="1723603276">
                      <w:marLeft w:val="0"/>
                      <w:marRight w:val="0"/>
                      <w:marTop w:val="0"/>
                      <w:marBottom w:val="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667290931">
                              <w:marLeft w:val="0"/>
                              <w:marRight w:val="0"/>
                              <w:marTop w:val="0"/>
                              <w:marBottom w:val="0"/>
                              <w:divBdr>
                                <w:top w:val="none" w:sz="0" w:space="0" w:color="auto"/>
                                <w:left w:val="none" w:sz="0" w:space="0" w:color="auto"/>
                                <w:bottom w:val="none" w:sz="0" w:space="0" w:color="auto"/>
                                <w:right w:val="none" w:sz="0" w:space="0" w:color="auto"/>
                              </w:divBdr>
                              <w:divsChild>
                                <w:div w:id="889221055">
                                  <w:marLeft w:val="0"/>
                                  <w:marRight w:val="0"/>
                                  <w:marTop w:val="0"/>
                                  <w:marBottom w:val="0"/>
                                  <w:divBdr>
                                    <w:top w:val="none" w:sz="0" w:space="0" w:color="auto"/>
                                    <w:left w:val="none" w:sz="0" w:space="0" w:color="auto"/>
                                    <w:bottom w:val="none" w:sz="0" w:space="0" w:color="auto"/>
                                    <w:right w:val="none" w:sz="0" w:space="0" w:color="auto"/>
                                  </w:divBdr>
                                  <w:divsChild>
                                    <w:div w:id="396366710">
                                      <w:marLeft w:val="0"/>
                                      <w:marRight w:val="0"/>
                                      <w:marTop w:val="0"/>
                                      <w:marBottom w:val="0"/>
                                      <w:divBdr>
                                        <w:top w:val="none" w:sz="0" w:space="0" w:color="auto"/>
                                        <w:left w:val="none" w:sz="0" w:space="0" w:color="auto"/>
                                        <w:bottom w:val="none" w:sz="0" w:space="0" w:color="auto"/>
                                        <w:right w:val="none" w:sz="0" w:space="0" w:color="auto"/>
                                      </w:divBdr>
                                      <w:divsChild>
                                        <w:div w:id="98111550">
                                          <w:marLeft w:val="0"/>
                                          <w:marRight w:val="0"/>
                                          <w:marTop w:val="0"/>
                                          <w:marBottom w:val="0"/>
                                          <w:divBdr>
                                            <w:top w:val="none" w:sz="0" w:space="0" w:color="auto"/>
                                            <w:left w:val="none" w:sz="0" w:space="0" w:color="auto"/>
                                            <w:bottom w:val="none" w:sz="0" w:space="0" w:color="auto"/>
                                            <w:right w:val="none" w:sz="0" w:space="0" w:color="auto"/>
                                          </w:divBdr>
                                          <w:divsChild>
                                            <w:div w:id="784735741">
                                              <w:marLeft w:val="0"/>
                                              <w:marRight w:val="0"/>
                                              <w:marTop w:val="0"/>
                                              <w:marBottom w:val="0"/>
                                              <w:divBdr>
                                                <w:top w:val="single" w:sz="6" w:space="0" w:color="F5F5F5"/>
                                                <w:left w:val="single" w:sz="6" w:space="0" w:color="F5F5F5"/>
                                                <w:bottom w:val="single" w:sz="6" w:space="0" w:color="F5F5F5"/>
                                                <w:right w:val="single" w:sz="6" w:space="0" w:color="F5F5F5"/>
                                              </w:divBdr>
                                              <w:divsChild>
                                                <w:div w:id="878709025">
                                                  <w:marLeft w:val="0"/>
                                                  <w:marRight w:val="0"/>
                                                  <w:marTop w:val="0"/>
                                                  <w:marBottom w:val="0"/>
                                                  <w:divBdr>
                                                    <w:top w:val="none" w:sz="0" w:space="0" w:color="auto"/>
                                                    <w:left w:val="none" w:sz="0" w:space="0" w:color="auto"/>
                                                    <w:bottom w:val="none" w:sz="0" w:space="0" w:color="auto"/>
                                                    <w:right w:val="none" w:sz="0" w:space="0" w:color="auto"/>
                                                  </w:divBdr>
                                                  <w:divsChild>
                                                    <w:div w:id="1694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4985</Words>
  <Characters>26923</Characters>
  <Application>Microsoft Office Word</Application>
  <DocSecurity>0</DocSecurity>
  <Lines>224</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user146</cp:lastModifiedBy>
  <cp:revision>2</cp:revision>
  <cp:lastPrinted>2014-03-27T07:04:00Z</cp:lastPrinted>
  <dcterms:created xsi:type="dcterms:W3CDTF">2014-03-27T07:04:00Z</dcterms:created>
  <dcterms:modified xsi:type="dcterms:W3CDTF">2014-03-27T07:04:00Z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