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bookmarkStart w:id="0" w:name="_GoBack"/>
      <w:bookmarkEnd w:id="0"/>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b/>
          <w:noProof/>
          <w:sz w:val="24"/>
          <w:szCs w:val="20"/>
        </w:rPr>
      </w:pPr>
    </w:p>
    <w:p w:rsidR="003A44E4" w:rsidRPr="00E230C5" w:rsidRDefault="003A44E4" w:rsidP="003A44E4">
      <w:pPr>
        <w:widowControl w:val="0"/>
        <w:spacing w:after="0" w:line="240" w:lineRule="auto"/>
        <w:jc w:val="center"/>
        <w:rPr>
          <w:rFonts w:ascii="Times New Roman" w:eastAsia="Times New Roman" w:hAnsi="Times New Roman" w:cs="Times New Roman"/>
          <w:sz w:val="24"/>
          <w:szCs w:val="20"/>
        </w:rPr>
      </w:pPr>
      <w:r w:rsidRPr="00E230C5">
        <w:rPr>
          <w:rFonts w:ascii="Times New Roman" w:eastAsia="Times New Roman" w:hAnsi="Times New Roman" w:cs="Times New Roman"/>
          <w:b/>
          <w:noProof/>
          <w:sz w:val="24"/>
          <w:szCs w:val="20"/>
        </w:rPr>
        <w:t>ΠΕΡΙΛΗΨΗ ΤΩΝ ΧΑΡΑΚΤΗΡΙΣΤΙΚΩΝ ΤΟΥ ΠΡΟΪΟΝΤΟΣ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411" w:rsidRPr="00E230C5" w:rsidRDefault="00AB1411"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AB1411" w:rsidRPr="00E230C5" w:rsidRDefault="00AB1411"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lastRenderedPageBreak/>
        <w:t xml:space="preserve">1. ΟΝΟΜΑΣΙΑ ΤΟΥ ΦΑΡΜΑΚΕΥΤΙΚΟΥ ΠΡΟΪΟΝΤΟΣ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6 </w:t>
      </w:r>
      <w:r w:rsidRPr="00E230C5">
        <w:rPr>
          <w:rFonts w:ascii="Times New Roman" w:eastAsia="Times New Roman" w:hAnsi="Times New Roman" w:cs="Times New Roman"/>
          <w:color w:val="000000"/>
          <w:sz w:val="24"/>
          <w:szCs w:val="24"/>
          <w:lang w:val="en-US"/>
        </w:rPr>
        <w:t>mg</w:t>
      </w:r>
      <w:r w:rsidR="00C94470">
        <w:rPr>
          <w:rFonts w:ascii="Times New Roman" w:eastAsia="Times New Roman" w:hAnsi="Times New Roman" w:cs="Times New Roman"/>
          <w:color w:val="000000"/>
          <w:sz w:val="24"/>
          <w:szCs w:val="24"/>
        </w:rPr>
        <w:t>/6</w:t>
      </w:r>
      <w:r w:rsidR="00C94470">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 xml:space="preserve"> πυκνό διάλυμα για παρασκευή διαλύματος προς έγχυση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2. ΠΟΙΟΤΙΚΗ ΚΑΙ ΠΟΣΟΤΙΚΗ ΣΥΝΘΕΣΗ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Ένα φιαλίδιο με 6 </w:t>
      </w:r>
      <w:r w:rsidRPr="00E230C5">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 xml:space="preserve"> πυκνού διαλύματος για παρασκευή διαλύματος προς έγχυση περιέχει 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ιβανδρονικού οξέος (ως 6,75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μονοϋδρικ</w:t>
      </w:r>
      <w:r w:rsidR="0062559E">
        <w:rPr>
          <w:rFonts w:ascii="Times New Roman" w:eastAsia="Times New Roman" w:hAnsi="Times New Roman" w:cs="Times New Roman"/>
          <w:color w:val="000000"/>
          <w:sz w:val="24"/>
          <w:szCs w:val="24"/>
        </w:rPr>
        <w:t>ό</w:t>
      </w:r>
      <w:r w:rsidRPr="00E230C5">
        <w:rPr>
          <w:rFonts w:ascii="Times New Roman" w:eastAsia="Times New Roman" w:hAnsi="Times New Roman" w:cs="Times New Roman"/>
          <w:color w:val="000000"/>
          <w:sz w:val="24"/>
          <w:szCs w:val="24"/>
        </w:rPr>
        <w:t xml:space="preserve">, μονονατριούχο άλας ιβανδρονικού οξέος).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45F0">
        <w:rPr>
          <w:rFonts w:ascii="Times New Roman" w:eastAsia="Times New Roman" w:hAnsi="Times New Roman" w:cs="Times New Roman"/>
          <w:color w:val="000000"/>
          <w:sz w:val="24"/>
          <w:szCs w:val="24"/>
          <w:u w:val="single"/>
        </w:rPr>
        <w:t>Έκδοχα</w:t>
      </w:r>
      <w:r w:rsidR="00A807CF" w:rsidRPr="009F45F0">
        <w:rPr>
          <w:rFonts w:ascii="Times New Roman" w:eastAsia="Times New Roman" w:hAnsi="Times New Roman" w:cs="Times New Roman"/>
          <w:color w:val="000000"/>
          <w:sz w:val="24"/>
          <w:szCs w:val="24"/>
          <w:u w:val="single"/>
        </w:rPr>
        <w:t xml:space="preserve"> με γνωστή δράση</w:t>
      </w:r>
      <w:r w:rsidRPr="00E230C5">
        <w:rPr>
          <w:rFonts w:ascii="Times New Roman" w:eastAsia="Times New Roman" w:hAnsi="Times New Roman" w:cs="Times New Roman"/>
          <w:color w:val="000000"/>
          <w:sz w:val="24"/>
          <w:szCs w:val="24"/>
        </w:rPr>
        <w:t xml:space="preserve">: Νάτριο (λιγότερο από 1 </w:t>
      </w:r>
      <w:r w:rsidRPr="00E230C5">
        <w:rPr>
          <w:rFonts w:ascii="Times New Roman" w:eastAsia="Times New Roman" w:hAnsi="Times New Roman" w:cs="Times New Roman"/>
          <w:color w:val="000000"/>
          <w:sz w:val="24"/>
          <w:szCs w:val="24"/>
          <w:lang w:val="en-US"/>
        </w:rPr>
        <w:t>mmol</w:t>
      </w:r>
      <w:r w:rsidRPr="00E230C5">
        <w:rPr>
          <w:rFonts w:ascii="Times New Roman" w:eastAsia="Times New Roman" w:hAnsi="Times New Roman" w:cs="Times New Roman"/>
          <w:color w:val="000000"/>
          <w:sz w:val="24"/>
          <w:szCs w:val="24"/>
        </w:rPr>
        <w:t xml:space="preserve"> ανά δόση).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τον πλήρη κατάλογο των εκδόχων, βλ. παράγραφο 6.1.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3. ΦΑΡΜΑΚΟΤΕΧΝΙΚΗ ΜΟΡΦΗ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Πυκνό διάλυμα για παρασκευή διαλύματος προς έγχυση.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Διαυγές, άχρωμο, διάλυμα.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4. ΚΛΙΝΙΚΕΣ ΠΛΗΡΟΦΟΡΙΕΣ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4.1 Θεραπευτικές ενδείξεις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Το </w:t>
      </w:r>
      <w:r w:rsidRPr="00E230C5">
        <w:rPr>
          <w:rFonts w:ascii="Times New Roman" w:eastAsia="Times New Roman" w:hAnsi="Times New Roman" w:cs="Times New Roman"/>
          <w:color w:val="000000"/>
          <w:sz w:val="24"/>
          <w:szCs w:val="24"/>
          <w:lang w:val="en-US"/>
        </w:rPr>
        <w:t>IBONDEM</w:t>
      </w:r>
      <w:r w:rsidRPr="00E230C5" w:rsidDel="00F26DFF">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ενδείκνυται </w:t>
      </w:r>
      <w:r w:rsidR="00A807CF" w:rsidRPr="002D0B77">
        <w:rPr>
          <w:rFonts w:ascii="Times New Roman" w:eastAsia="Times New Roman" w:hAnsi="Times New Roman" w:cs="Times New Roman"/>
          <w:color w:val="000000"/>
          <w:sz w:val="24"/>
          <w:szCs w:val="24"/>
        </w:rPr>
        <w:t>για χρήση</w:t>
      </w:r>
      <w:r w:rsidR="00A807CF"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σε ενήλικες για</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1D2DD0"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την πρόληψη σκελετικών συμβαμάτων (παθολογικών καταγμάτων, οστικών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επιπλοκών που απαιτούν ακτινοθεραπεία ή χειρουργική επέμβαση) σε ασθενείς με καρκίνο μαστού και οστικές μεταστάσεις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τη θεραπεία της υπερασβεστιαιμίας που οφείλεται σε νεοπλασία με ή χωρίς μεταστάσεις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4.2 Δοσολογία και τρόπος χορήγησης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D7051E" w:rsidRPr="00E230C5" w:rsidRDefault="00D7051E" w:rsidP="00D7051E">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Οι ασθενείς </w:t>
      </w:r>
      <w:r w:rsidR="005F4990">
        <w:rPr>
          <w:rFonts w:ascii="Times New Roman" w:eastAsia="Times New Roman" w:hAnsi="Times New Roman" w:cs="Times New Roman"/>
          <w:color w:val="000000"/>
          <w:sz w:val="24"/>
          <w:szCs w:val="24"/>
        </w:rPr>
        <w:t xml:space="preserve">που βρίσκονται </w:t>
      </w:r>
      <w:r w:rsidRPr="00E230C5">
        <w:rPr>
          <w:rFonts w:ascii="Times New Roman" w:eastAsia="Times New Roman" w:hAnsi="Times New Roman" w:cs="Times New Roman"/>
          <w:color w:val="000000"/>
          <w:sz w:val="24"/>
          <w:szCs w:val="24"/>
        </w:rPr>
        <w:t>υπό θεραπεία με IBONDEM θα πρέπει να λάβουν το φύλλο οδηγιών για το χρήστη και την κάρτα υπενθύμισης ασθενούς.</w:t>
      </w:r>
    </w:p>
    <w:p w:rsidR="00D7051E" w:rsidRPr="00E230C5" w:rsidRDefault="00D7051E" w:rsidP="00D7051E">
      <w:pPr>
        <w:autoSpaceDE w:val="0"/>
        <w:autoSpaceDN w:val="0"/>
        <w:adjustRightInd w:val="0"/>
        <w:spacing w:after="0" w:line="240" w:lineRule="auto"/>
        <w:rPr>
          <w:rFonts w:ascii="Times New Roman" w:hAnsi="Times New Roman" w:cs="Times New Roman"/>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έναρξη της αγωγής με </w:t>
      </w:r>
      <w:r w:rsidRPr="00E230C5">
        <w:rPr>
          <w:rFonts w:ascii="Times New Roman" w:eastAsia="Times New Roman" w:hAnsi="Times New Roman" w:cs="Times New Roman"/>
          <w:color w:val="000000"/>
          <w:sz w:val="24"/>
          <w:szCs w:val="24"/>
          <w:lang w:val="en-US"/>
        </w:rPr>
        <w:t>IBONDEM</w:t>
      </w:r>
      <w:r w:rsidRPr="00E230C5" w:rsidDel="00F26DFF">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πρέπει να πραγματοποιείται μόνον από ιατρούς </w:t>
      </w:r>
      <w:r w:rsidR="005F4990">
        <w:rPr>
          <w:rFonts w:ascii="Times New Roman" w:eastAsia="Times New Roman" w:hAnsi="Times New Roman" w:cs="Times New Roman"/>
          <w:color w:val="000000"/>
          <w:sz w:val="24"/>
          <w:szCs w:val="24"/>
        </w:rPr>
        <w:t>με εμπειρία</w:t>
      </w:r>
      <w:r w:rsidR="005F4990"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στην αντιμετώπιση του καρκίνου.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u w:val="single"/>
        </w:rPr>
        <w:t xml:space="preserve">Δοσολογία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 xml:space="preserve">Πρόληψη σκελετικών συμβαμάτων σε ασθενείς με καρκίνο μαστού και οστικές μεταστάσεις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συνιστώμενη δόση για την πρόληψη σκελετικών συμβαμάτων σε ασθενείς με καρκίνο μαστού και οστικές μεταστάσεις είναι 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με ενδοφλέβια έγχυση, </w:t>
      </w:r>
      <w:r w:rsidRPr="00E230C5">
        <w:rPr>
          <w:rFonts w:ascii="Times New Roman" w:eastAsia="Times New Roman" w:hAnsi="Times New Roman" w:cs="Times New Roman"/>
          <w:color w:val="000000"/>
          <w:sz w:val="24"/>
          <w:szCs w:val="24"/>
        </w:rPr>
        <w:lastRenderedPageBreak/>
        <w:t xml:space="preserve">χορηγούμενα κάθε 3-4 εβδομάδες. Η δόση πρέπει να χορηγείται με έγχυση σε </w:t>
      </w:r>
      <w:r w:rsidR="005F4990">
        <w:rPr>
          <w:rFonts w:ascii="Times New Roman" w:eastAsia="Times New Roman" w:hAnsi="Times New Roman" w:cs="Times New Roman"/>
          <w:color w:val="000000"/>
          <w:sz w:val="24"/>
          <w:szCs w:val="24"/>
        </w:rPr>
        <w:t>διάρκειας</w:t>
      </w:r>
      <w:r w:rsidR="005F4990"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τουλάχιστον 15 λεπτών. </w:t>
      </w:r>
    </w:p>
    <w:p w:rsidR="00D7051E" w:rsidRPr="00E230C5" w:rsidRDefault="00D7051E"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Χρόνος έγχυσης μειωμένης διάρκειας (π.χ. 15 λεπτά) θα πρέπει να χρησιμοποιείται μόνο σε ασθενείς με φυσιολογική νεφρική λειτουργία ή με ήπια νεφρική δυσλειτουργία. Δεν υπάρχουν διαθέσιμα δεδομένα που να </w:t>
      </w:r>
      <w:r w:rsidR="00705380">
        <w:rPr>
          <w:rFonts w:ascii="Times New Roman" w:eastAsia="Times New Roman" w:hAnsi="Times New Roman" w:cs="Times New Roman"/>
          <w:sz w:val="24"/>
          <w:szCs w:val="24"/>
        </w:rPr>
        <w:t xml:space="preserve">υποστηρίζουν τον </w:t>
      </w:r>
      <w:r w:rsidRPr="00E230C5">
        <w:rPr>
          <w:rFonts w:ascii="Times New Roman" w:eastAsia="Times New Roman" w:hAnsi="Times New Roman" w:cs="Times New Roman"/>
          <w:sz w:val="24"/>
          <w:szCs w:val="24"/>
        </w:rPr>
        <w:t xml:space="preserve">χρόνο έγχυσης μειωμένης διάρκειας σε ασθενείς με κάθαρση κρεατινίνης κάτω από 50 </w:t>
      </w:r>
      <w:r w:rsidRPr="00E230C5">
        <w:rPr>
          <w:rFonts w:ascii="Times New Roman" w:eastAsia="Times New Roman" w:hAnsi="Times New Roman" w:cs="Times New Roman"/>
          <w:sz w:val="24"/>
          <w:szCs w:val="24"/>
          <w:lang w:val="en-US"/>
        </w:rPr>
        <w:t>ml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min</w:t>
      </w:r>
      <w:r w:rsidRPr="00E230C5">
        <w:rPr>
          <w:rFonts w:ascii="Times New Roman" w:eastAsia="Times New Roman" w:hAnsi="Times New Roman" w:cs="Times New Roman"/>
          <w:sz w:val="24"/>
          <w:szCs w:val="24"/>
        </w:rPr>
        <w:t xml:space="preserve">. Οι συνταγογράφοι θα πρέπει να συμβουλεύονται την παράγραφο </w:t>
      </w:r>
      <w:r w:rsidRPr="00E230C5">
        <w:rPr>
          <w:rFonts w:ascii="Times New Roman" w:eastAsia="Times New Roman" w:hAnsi="Times New Roman" w:cs="Times New Roman"/>
          <w:i/>
          <w:iCs/>
          <w:sz w:val="24"/>
          <w:szCs w:val="24"/>
        </w:rPr>
        <w:t xml:space="preserve">Ασθενείς με νεφρική δυσλειτουργία </w:t>
      </w:r>
      <w:r w:rsidRPr="00E230C5">
        <w:rPr>
          <w:rFonts w:ascii="Times New Roman" w:eastAsia="Times New Roman" w:hAnsi="Times New Roman" w:cs="Times New Roman"/>
          <w:sz w:val="24"/>
          <w:szCs w:val="24"/>
        </w:rPr>
        <w:t>(βλ. παράγραφος 4.2) για συστάσεις σχετικά με τη δοσολογία και τη χορήγηση σε αυτή την ομάδα των ασθενών.</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u w:val="single"/>
        </w:rPr>
      </w:pPr>
      <w:r w:rsidRPr="00E230C5">
        <w:rPr>
          <w:rFonts w:ascii="Times New Roman" w:eastAsia="Times New Roman" w:hAnsi="Times New Roman" w:cs="Times New Roman"/>
          <w:i/>
          <w:iCs/>
          <w:color w:val="000000"/>
          <w:sz w:val="24"/>
          <w:szCs w:val="24"/>
          <w:u w:val="single"/>
        </w:rPr>
        <w:t xml:space="preserve">Θεραπεία της υπερασβεστιαιμίας που οφείλεται σε νεοπλασία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Πριν από τη θεραπεία με </w:t>
      </w:r>
      <w:r w:rsidRPr="00E230C5">
        <w:rPr>
          <w:rFonts w:ascii="Times New Roman" w:eastAsia="Times New Roman" w:hAnsi="Times New Roman" w:cs="Times New Roman"/>
          <w:sz w:val="24"/>
          <w:szCs w:val="24"/>
          <w:lang w:val="en-US"/>
        </w:rPr>
        <w:t>IBONDEM</w:t>
      </w:r>
      <w:r w:rsidRPr="00E230C5">
        <w:rPr>
          <w:rFonts w:ascii="Times New Roman" w:eastAsia="Times New Roman" w:hAnsi="Times New Roman" w:cs="Times New Roman"/>
          <w:sz w:val="24"/>
          <w:szCs w:val="24"/>
        </w:rPr>
        <w:t xml:space="preserve">, ο ασθενής </w:t>
      </w:r>
      <w:r w:rsidR="005F4990">
        <w:rPr>
          <w:rFonts w:ascii="Times New Roman" w:eastAsia="Times New Roman" w:hAnsi="Times New Roman" w:cs="Times New Roman"/>
          <w:sz w:val="24"/>
          <w:szCs w:val="24"/>
        </w:rPr>
        <w:t xml:space="preserve">θα </w:t>
      </w:r>
      <w:r w:rsidRPr="00E230C5">
        <w:rPr>
          <w:rFonts w:ascii="Times New Roman" w:eastAsia="Times New Roman" w:hAnsi="Times New Roman" w:cs="Times New Roman"/>
          <w:sz w:val="24"/>
          <w:szCs w:val="24"/>
        </w:rPr>
        <w:t xml:space="preserve">πρέπει να έχει </w:t>
      </w:r>
      <w:r w:rsidR="00705380">
        <w:rPr>
          <w:rFonts w:ascii="Times New Roman" w:eastAsia="Times New Roman" w:hAnsi="Times New Roman" w:cs="Times New Roman"/>
          <w:sz w:val="24"/>
          <w:szCs w:val="24"/>
        </w:rPr>
        <w:t xml:space="preserve">ενυδατωθεί </w:t>
      </w:r>
      <w:r w:rsidRPr="00E230C5">
        <w:rPr>
          <w:rFonts w:ascii="Times New Roman" w:eastAsia="Times New Roman" w:hAnsi="Times New Roman" w:cs="Times New Roman"/>
          <w:sz w:val="24"/>
          <w:szCs w:val="24"/>
        </w:rPr>
        <w:t xml:space="preserve">επαρκώς με διάλυμα χλωριούχου νατρίου 9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ml</w:t>
      </w:r>
      <w:r w:rsidRPr="00E230C5">
        <w:rPr>
          <w:rFonts w:ascii="Times New Roman" w:eastAsia="Times New Roman" w:hAnsi="Times New Roman" w:cs="Times New Roman"/>
          <w:sz w:val="24"/>
          <w:szCs w:val="24"/>
        </w:rPr>
        <w:t xml:space="preserve"> (0,9%). Πρέπει να εξετάζεται η βαρύτητα της υπερασβεστιαιμίας καθώς επίσης και το είδος της νεοπλασίας. Γενικώς, απαιτούνται χαμηλότερες δόσεις για τους ασθενείς με </w:t>
      </w:r>
      <w:r w:rsidR="00705380" w:rsidRPr="00705380">
        <w:rPr>
          <w:rFonts w:ascii="Times New Roman" w:eastAsia="Times New Roman" w:hAnsi="Times New Roman" w:cs="Times New Roman"/>
          <w:sz w:val="24"/>
          <w:szCs w:val="24"/>
        </w:rPr>
        <w:t xml:space="preserve">οστεολυτικού τύπου </w:t>
      </w:r>
      <w:r w:rsidRPr="00E61E11">
        <w:rPr>
          <w:rFonts w:ascii="Times New Roman" w:eastAsia="Times New Roman" w:hAnsi="Times New Roman" w:cs="Times New Roman"/>
          <w:sz w:val="24"/>
          <w:szCs w:val="24"/>
        </w:rPr>
        <w:t>μεταστάσεις</w:t>
      </w:r>
      <w:r w:rsidRPr="00E230C5">
        <w:rPr>
          <w:rFonts w:ascii="Times New Roman" w:eastAsia="Times New Roman" w:hAnsi="Times New Roman" w:cs="Times New Roman"/>
          <w:sz w:val="24"/>
          <w:szCs w:val="24"/>
        </w:rPr>
        <w:t xml:space="preserve">συγκριτικά με τους ασθενείς με υπερασβεστιαιμία χυμικού </w:t>
      </w:r>
      <w:r w:rsidR="00705380">
        <w:rPr>
          <w:rFonts w:ascii="Times New Roman" w:eastAsia="Times New Roman" w:hAnsi="Times New Roman" w:cs="Times New Roman"/>
          <w:sz w:val="24"/>
          <w:szCs w:val="24"/>
        </w:rPr>
        <w:t>τύπου</w:t>
      </w:r>
      <w:r w:rsidRPr="00E230C5">
        <w:rPr>
          <w:rFonts w:ascii="Times New Roman" w:eastAsia="Times New Roman" w:hAnsi="Times New Roman" w:cs="Times New Roman"/>
          <w:sz w:val="24"/>
          <w:szCs w:val="24"/>
        </w:rPr>
        <w:t xml:space="preserve">. Στους περισσότερους ασθενείς με σοβαρή υπερασβεστιαιμία (ασβέστιο ορού διορθωμένο ως προς τη λευκωματίνη* ≥3 </w:t>
      </w:r>
      <w:r w:rsidRPr="00E230C5">
        <w:rPr>
          <w:rFonts w:ascii="Times New Roman" w:eastAsia="Times New Roman" w:hAnsi="Times New Roman" w:cs="Times New Roman"/>
          <w:sz w:val="24"/>
          <w:szCs w:val="24"/>
          <w:lang w:val="en-US"/>
        </w:rPr>
        <w:t>mmol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 xml:space="preserve"> ή ≥12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dl</w:t>
      </w:r>
      <w:r w:rsidRPr="00E230C5">
        <w:rPr>
          <w:rFonts w:ascii="Times New Roman" w:eastAsia="Times New Roman" w:hAnsi="Times New Roman" w:cs="Times New Roman"/>
          <w:sz w:val="24"/>
          <w:szCs w:val="24"/>
        </w:rPr>
        <w:t xml:space="preserve">) </w:t>
      </w:r>
      <w:r w:rsidR="00705380">
        <w:rPr>
          <w:rFonts w:ascii="Times New Roman" w:eastAsia="Times New Roman" w:hAnsi="Times New Roman" w:cs="Times New Roman"/>
          <w:sz w:val="24"/>
          <w:szCs w:val="24"/>
        </w:rPr>
        <w:t xml:space="preserve">η δόση των </w:t>
      </w:r>
      <w:r w:rsidRPr="00E230C5">
        <w:rPr>
          <w:rFonts w:ascii="Times New Roman" w:eastAsia="Times New Roman" w:hAnsi="Times New Roman" w:cs="Times New Roman"/>
          <w:sz w:val="24"/>
          <w:szCs w:val="24"/>
        </w:rPr>
        <w:t xml:space="preserve">4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είναι επαρκής </w:t>
      </w:r>
      <w:r w:rsidR="00705380">
        <w:rPr>
          <w:rFonts w:ascii="Times New Roman" w:eastAsia="Times New Roman" w:hAnsi="Times New Roman" w:cs="Times New Roman"/>
          <w:sz w:val="24"/>
          <w:szCs w:val="24"/>
        </w:rPr>
        <w:t xml:space="preserve">ως </w:t>
      </w:r>
      <w:r w:rsidRPr="00E230C5">
        <w:rPr>
          <w:rFonts w:ascii="Times New Roman" w:eastAsia="Times New Roman" w:hAnsi="Times New Roman" w:cs="Times New Roman"/>
          <w:sz w:val="24"/>
          <w:szCs w:val="24"/>
        </w:rPr>
        <w:t xml:space="preserve">εφάπαξ δόση. Σε ασθενείς με μέτριου βαθμού υπερασβεστιαιμία (ασβέστιο ορού διορθωμένο ως προς τη λευκωματίνη &lt;3 </w:t>
      </w:r>
      <w:r w:rsidRPr="00E230C5">
        <w:rPr>
          <w:rFonts w:ascii="Times New Roman" w:eastAsia="Times New Roman" w:hAnsi="Times New Roman" w:cs="Times New Roman"/>
          <w:sz w:val="24"/>
          <w:szCs w:val="24"/>
          <w:lang w:val="en-US"/>
        </w:rPr>
        <w:t>mmol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 xml:space="preserve"> ή &lt;12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dl</w:t>
      </w:r>
      <w:r w:rsidRPr="00E230C5">
        <w:rPr>
          <w:rFonts w:ascii="Times New Roman" w:eastAsia="Times New Roman" w:hAnsi="Times New Roman" w:cs="Times New Roman"/>
          <w:sz w:val="24"/>
          <w:szCs w:val="24"/>
        </w:rPr>
        <w:t xml:space="preserve">), τα 2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w:t>
      </w:r>
      <w:r w:rsidR="00705380" w:rsidRPr="00705380">
        <w:rPr>
          <w:rFonts w:ascii="Times New Roman" w:eastAsia="Times New Roman" w:hAnsi="Times New Roman" w:cs="Times New Roman"/>
          <w:sz w:val="24"/>
          <w:szCs w:val="24"/>
        </w:rPr>
        <w:t xml:space="preserve">θεωρούνται </w:t>
      </w:r>
      <w:r w:rsidRPr="00E230C5">
        <w:rPr>
          <w:rFonts w:ascii="Times New Roman" w:eastAsia="Times New Roman" w:hAnsi="Times New Roman" w:cs="Times New Roman"/>
          <w:sz w:val="24"/>
          <w:szCs w:val="24"/>
        </w:rPr>
        <w:t xml:space="preserve">αποτελεσματική δόση. Η υψηλότερη δόση που χορηγήθηκε κατά τις κλινικές δοκιμές ήταν 6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αν και η δόση αυτή δεν προσθέτει κανένα επιπλέον όφελος όσον αφορά στην αποτελεσματικότητα.</w:t>
      </w:r>
    </w:p>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spacing w:after="0" w:line="240" w:lineRule="auto"/>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*Σημειώστε ότι οι συγκεντρώσεις του ασβεστίου του ορού, διορθωμένο ως προς τη λευκωματίνη, υπολογίζονται ως εξής:</w:t>
      </w:r>
    </w:p>
    <w:p w:rsidR="003A44E4" w:rsidRPr="00E230C5" w:rsidRDefault="003A44E4" w:rsidP="003A44E4">
      <w:pPr>
        <w:spacing w:after="0" w:line="240" w:lineRule="auto"/>
        <w:rPr>
          <w:rFonts w:ascii="Times New Roman" w:eastAsia="Times New Roman" w:hAnsi="Times New Roman" w:cs="Times New Roman"/>
          <w:sz w:val="24"/>
          <w:szCs w:val="24"/>
        </w:rPr>
      </w:pPr>
    </w:p>
    <w:tbl>
      <w:tblPr>
        <w:tblW w:w="8928" w:type="dxa"/>
        <w:tblBorders>
          <w:top w:val="nil"/>
          <w:left w:val="nil"/>
          <w:bottom w:val="nil"/>
          <w:right w:val="nil"/>
        </w:tblBorders>
        <w:tblLayout w:type="fixed"/>
        <w:tblLook w:val="0000" w:firstRow="0" w:lastRow="0" w:firstColumn="0" w:lastColumn="0" w:noHBand="0" w:noVBand="0"/>
      </w:tblPr>
      <w:tblGrid>
        <w:gridCol w:w="4019"/>
        <w:gridCol w:w="532"/>
        <w:gridCol w:w="4377"/>
      </w:tblGrid>
      <w:tr w:rsidR="003A44E4" w:rsidRPr="00E230C5" w:rsidTr="004B3B0A">
        <w:trPr>
          <w:trHeight w:val="246"/>
        </w:trPr>
        <w:tc>
          <w:tcPr>
            <w:tcW w:w="4019"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Ασβέστιο ορού, διορθωμένο ως προς τη λευκωματίνη (</w:t>
            </w:r>
            <w:r w:rsidRPr="00E230C5">
              <w:rPr>
                <w:rFonts w:ascii="Times New Roman" w:eastAsia="Times New Roman" w:hAnsi="Times New Roman" w:cs="Times New Roman"/>
                <w:color w:val="000000"/>
                <w:sz w:val="24"/>
                <w:szCs w:val="24"/>
                <w:lang w:val="en-US"/>
              </w:rPr>
              <w:t>mmol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w:t>
            </w:r>
          </w:p>
        </w:tc>
        <w:tc>
          <w:tcPr>
            <w:tcW w:w="532" w:type="dxa"/>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 xml:space="preserve">= </w:t>
            </w:r>
          </w:p>
        </w:tc>
        <w:tc>
          <w:tcPr>
            <w:tcW w:w="4377"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ασβέστιο ορού (</w:t>
            </w:r>
            <w:r w:rsidRPr="00E230C5">
              <w:rPr>
                <w:rFonts w:ascii="Times New Roman" w:eastAsia="Times New Roman" w:hAnsi="Times New Roman" w:cs="Times New Roman"/>
                <w:color w:val="000000"/>
                <w:sz w:val="24"/>
                <w:szCs w:val="24"/>
                <w:lang w:val="en-US"/>
              </w:rPr>
              <w:t>mmol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 [0,02 </w:t>
            </w:r>
            <w:r w:rsidRPr="00E230C5">
              <w:rPr>
                <w:rFonts w:ascii="Times New Roman" w:eastAsia="Times New Roman" w:hAnsi="Times New Roman" w:cs="Times New Roman"/>
                <w:color w:val="000000"/>
                <w:sz w:val="24"/>
                <w:szCs w:val="24"/>
                <w:lang w:val="en-US"/>
              </w:rPr>
              <w:t>x</w:t>
            </w:r>
            <w:r w:rsidRPr="00E230C5">
              <w:rPr>
                <w:rFonts w:ascii="Times New Roman" w:eastAsia="Times New Roman" w:hAnsi="Times New Roman" w:cs="Times New Roman"/>
                <w:color w:val="000000"/>
                <w:sz w:val="24"/>
                <w:szCs w:val="24"/>
              </w:rPr>
              <w:t xml:space="preserve"> λευκωματίνη (</w:t>
            </w:r>
            <w:r w:rsidRPr="00E230C5">
              <w:rPr>
                <w:rFonts w:ascii="Times New Roman" w:eastAsia="Times New Roman" w:hAnsi="Times New Roman" w:cs="Times New Roman"/>
                <w:color w:val="000000"/>
                <w:sz w:val="24"/>
                <w:szCs w:val="24"/>
                <w:lang w:val="en-US"/>
              </w:rPr>
              <w:t>g</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+ 0,8 </w:t>
            </w:r>
          </w:p>
        </w:tc>
      </w:tr>
      <w:tr w:rsidR="003A44E4" w:rsidRPr="00E230C5" w:rsidTr="004B3B0A">
        <w:trPr>
          <w:trHeight w:val="133"/>
        </w:trPr>
        <w:tc>
          <w:tcPr>
            <w:tcW w:w="8928" w:type="dxa"/>
            <w:gridSpan w:val="3"/>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color w:val="000000"/>
                <w:sz w:val="24"/>
                <w:szCs w:val="24"/>
              </w:rPr>
            </w:pPr>
            <w:r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b/>
                <w:color w:val="000000"/>
                <w:sz w:val="24"/>
                <w:szCs w:val="24"/>
              </w:rPr>
              <w:t xml:space="preserve">Ή </w:t>
            </w:r>
          </w:p>
        </w:tc>
      </w:tr>
      <w:tr w:rsidR="003A44E4" w:rsidRPr="00E230C5" w:rsidTr="004B3B0A">
        <w:trPr>
          <w:trHeight w:val="246"/>
        </w:trPr>
        <w:tc>
          <w:tcPr>
            <w:tcW w:w="4019"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lang w:val="en-US"/>
              </w:rPr>
              <w:t>A</w:t>
            </w:r>
            <w:r w:rsidRPr="00E230C5">
              <w:rPr>
                <w:rFonts w:ascii="Times New Roman" w:eastAsia="Times New Roman" w:hAnsi="Times New Roman" w:cs="Times New Roman"/>
                <w:color w:val="000000"/>
                <w:sz w:val="24"/>
                <w:szCs w:val="24"/>
              </w:rPr>
              <w:t>σβέστιο ορού, διορθωμένο ως προς τη λευκωματίνη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dl</w:t>
            </w:r>
            <w:r w:rsidRPr="00E230C5">
              <w:rPr>
                <w:rFonts w:ascii="Times New Roman" w:eastAsia="Times New Roman" w:hAnsi="Times New Roman" w:cs="Times New Roman"/>
                <w:color w:val="000000"/>
                <w:sz w:val="24"/>
                <w:szCs w:val="24"/>
              </w:rPr>
              <w:t xml:space="preserve">) </w:t>
            </w:r>
          </w:p>
        </w:tc>
        <w:tc>
          <w:tcPr>
            <w:tcW w:w="532" w:type="dxa"/>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 xml:space="preserve">= </w:t>
            </w:r>
          </w:p>
        </w:tc>
        <w:tc>
          <w:tcPr>
            <w:tcW w:w="4377"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ασβέστιο ορού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dl</w:t>
            </w:r>
            <w:r w:rsidRPr="00E230C5">
              <w:rPr>
                <w:rFonts w:ascii="Times New Roman" w:eastAsia="Times New Roman" w:hAnsi="Times New Roman" w:cs="Times New Roman"/>
                <w:color w:val="000000"/>
                <w:sz w:val="24"/>
                <w:szCs w:val="24"/>
              </w:rPr>
              <w:t xml:space="preserve">) + 0,8 </w:t>
            </w:r>
            <w:r w:rsidRPr="00E230C5">
              <w:rPr>
                <w:rFonts w:ascii="Times New Roman" w:eastAsia="Times New Roman" w:hAnsi="Times New Roman" w:cs="Times New Roman"/>
                <w:color w:val="000000"/>
                <w:sz w:val="24"/>
                <w:szCs w:val="24"/>
                <w:lang w:val="en-US"/>
              </w:rPr>
              <w:t>x</w:t>
            </w:r>
            <w:r w:rsidRPr="00E230C5">
              <w:rPr>
                <w:rFonts w:ascii="Times New Roman" w:eastAsia="Times New Roman" w:hAnsi="Times New Roman" w:cs="Times New Roman"/>
                <w:color w:val="000000"/>
                <w:sz w:val="24"/>
                <w:szCs w:val="24"/>
              </w:rPr>
              <w:t xml:space="preserve"> [4-λευκωματίνη (</w:t>
            </w:r>
            <w:r w:rsidRPr="00E230C5">
              <w:rPr>
                <w:rFonts w:ascii="Times New Roman" w:eastAsia="Times New Roman" w:hAnsi="Times New Roman" w:cs="Times New Roman"/>
                <w:color w:val="000000"/>
                <w:sz w:val="24"/>
                <w:szCs w:val="24"/>
                <w:lang w:val="en-US"/>
              </w:rPr>
              <w:t>g</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dl</w:t>
            </w:r>
            <w:r w:rsidRPr="00E230C5">
              <w:rPr>
                <w:rFonts w:ascii="Times New Roman" w:eastAsia="Times New Roman" w:hAnsi="Times New Roman" w:cs="Times New Roman"/>
                <w:color w:val="000000"/>
                <w:sz w:val="24"/>
                <w:szCs w:val="24"/>
              </w:rPr>
              <w:t xml:space="preserve">)] </w:t>
            </w:r>
          </w:p>
        </w:tc>
      </w:tr>
      <w:tr w:rsidR="003A44E4" w:rsidRPr="00E230C5" w:rsidTr="004B3B0A">
        <w:trPr>
          <w:trHeight w:val="246"/>
        </w:trPr>
        <w:tc>
          <w:tcPr>
            <w:tcW w:w="8928" w:type="dxa"/>
            <w:gridSpan w:val="3"/>
          </w:tcPr>
          <w:p w:rsidR="009F6F82" w:rsidRPr="00E230C5" w:rsidRDefault="009F6F82"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τη μετατροπή της τιμής του διορθωμένου ως προς τη λευκωματίνη ασβεστίου του ορού από </w:t>
            </w:r>
            <w:r w:rsidRPr="00E230C5">
              <w:rPr>
                <w:rFonts w:ascii="Times New Roman" w:eastAsia="Times New Roman" w:hAnsi="Times New Roman" w:cs="Times New Roman"/>
                <w:color w:val="000000"/>
                <w:sz w:val="24"/>
                <w:szCs w:val="24"/>
                <w:lang w:val="en-US"/>
              </w:rPr>
              <w:t>mmol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σε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dl</w:t>
            </w:r>
            <w:r w:rsidRPr="00E230C5">
              <w:rPr>
                <w:rFonts w:ascii="Times New Roman" w:eastAsia="Times New Roman" w:hAnsi="Times New Roman" w:cs="Times New Roman"/>
                <w:color w:val="000000"/>
                <w:sz w:val="24"/>
                <w:szCs w:val="24"/>
              </w:rPr>
              <w:t xml:space="preserve">, πολλαπλασιάζουμε με το 4. </w:t>
            </w:r>
          </w:p>
        </w:tc>
      </w:tr>
    </w:tbl>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Στις περισσότερες περιπτώσεις τα αυξημένα επίπεδα ασβεστίου του ορού μπορούν να </w:t>
      </w:r>
      <w:r w:rsidR="00705380" w:rsidRPr="00705380">
        <w:rPr>
          <w:rFonts w:ascii="Times New Roman" w:eastAsia="Times New Roman" w:hAnsi="Times New Roman" w:cs="Times New Roman"/>
          <w:sz w:val="24"/>
          <w:szCs w:val="24"/>
        </w:rPr>
        <w:t>πέσουν</w:t>
      </w:r>
      <w:r w:rsidRPr="00E230C5">
        <w:rPr>
          <w:rFonts w:ascii="Times New Roman" w:eastAsia="Times New Roman" w:hAnsi="Times New Roman" w:cs="Times New Roman"/>
          <w:sz w:val="24"/>
          <w:szCs w:val="24"/>
        </w:rPr>
        <w:t xml:space="preserve"> στα φυσιολογικά επίπεδα μέσα σε 7 ημέρες. Ο διάμεσος χρόνος υποτροπής (επιστροφή του διορθωμένου ως προς τη λευκωματίνη ασβεστίου ορού σε επίπεδα άνω των 3 </w:t>
      </w:r>
      <w:r w:rsidRPr="00E230C5">
        <w:rPr>
          <w:rFonts w:ascii="Times New Roman" w:eastAsia="Times New Roman" w:hAnsi="Times New Roman" w:cs="Times New Roman"/>
          <w:sz w:val="24"/>
          <w:szCs w:val="24"/>
          <w:lang w:val="en-US"/>
        </w:rPr>
        <w:t>mmol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 xml:space="preserve">) ήταν 18-19 ημέρες για τις δόσεις των 2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και 4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Ο διάμεσος χρόνος υποτροπής για τη δόση των 6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ήταν 26 ημέρες.</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705380"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705380">
        <w:rPr>
          <w:rFonts w:ascii="Times New Roman" w:eastAsia="Times New Roman" w:hAnsi="Times New Roman" w:cs="Times New Roman"/>
          <w:color w:val="000000"/>
          <w:sz w:val="24"/>
          <w:szCs w:val="24"/>
        </w:rPr>
        <w:t xml:space="preserve">Περιορισμένος </w:t>
      </w:r>
      <w:r w:rsidR="003A44E4" w:rsidRPr="00E230C5">
        <w:rPr>
          <w:rFonts w:ascii="Times New Roman" w:eastAsia="Times New Roman" w:hAnsi="Times New Roman" w:cs="Times New Roman"/>
          <w:color w:val="000000"/>
          <w:sz w:val="24"/>
          <w:szCs w:val="24"/>
        </w:rPr>
        <w:t xml:space="preserve">αριθμός ασθενών (50 ασθενείς) </w:t>
      </w:r>
      <w:r w:rsidRPr="00705380">
        <w:rPr>
          <w:rFonts w:ascii="Times New Roman" w:eastAsia="Times New Roman" w:hAnsi="Times New Roman" w:cs="Times New Roman"/>
          <w:color w:val="000000"/>
          <w:sz w:val="24"/>
          <w:szCs w:val="24"/>
        </w:rPr>
        <w:t xml:space="preserve">έλαβε </w:t>
      </w:r>
      <w:r w:rsidR="003A44E4" w:rsidRPr="00E230C5">
        <w:rPr>
          <w:rFonts w:ascii="Times New Roman" w:eastAsia="Times New Roman" w:hAnsi="Times New Roman" w:cs="Times New Roman"/>
          <w:color w:val="000000"/>
          <w:sz w:val="24"/>
          <w:szCs w:val="24"/>
        </w:rPr>
        <w:t xml:space="preserve">μία δεύτερη έγχυση για την υπερασβεστιαιμία. </w:t>
      </w:r>
      <w:r w:rsidRPr="00705380">
        <w:rPr>
          <w:rFonts w:ascii="Times New Roman" w:eastAsia="Times New Roman" w:hAnsi="Times New Roman" w:cs="Times New Roman"/>
          <w:color w:val="000000"/>
          <w:sz w:val="24"/>
          <w:szCs w:val="24"/>
        </w:rPr>
        <w:t>Επανάληψη</w:t>
      </w:r>
      <w:r w:rsidRPr="00705380" w:rsidDel="00705380">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της θεραπείας μπορεί να εξετασθεί σε περίπτωση υποτροπιάζουσας υπερασβεστιαιμίας ή ανεπαρκούς αποτελεσματικότητας.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Το πυκνό διάλυμα IBONDEM για την παρασκευή διαλύματος προς έγχυση πρέπει να χορηγείται ως ενδοφλέβια έγχυση για διάστημα 2 ωρών.</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u w:val="single"/>
        </w:rPr>
      </w:pPr>
      <w:r w:rsidRPr="00E230C5">
        <w:rPr>
          <w:rFonts w:ascii="Times New Roman" w:eastAsia="Times New Roman" w:hAnsi="Times New Roman" w:cs="Times New Roman"/>
          <w:i/>
          <w:iCs/>
          <w:color w:val="000000"/>
          <w:sz w:val="24"/>
          <w:szCs w:val="24"/>
          <w:u w:val="single"/>
        </w:rPr>
        <w:t>Ειδικοί πληθυσμοί</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Ασθενείς με ηπατική δυσλειτουργία </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Δεν απαιτείται προσαρμογή της δόσης (βλ. παράγραφο 5.2).</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Ασθενείς με νεφρική δυσλειτουργία </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Για τους ασθενείς με ήπια νεφρική δυσλειτουργία (</w:t>
      </w:r>
      <w:r w:rsidRPr="00E230C5">
        <w:rPr>
          <w:rFonts w:ascii="Times New Roman" w:eastAsia="Times New Roman" w:hAnsi="Times New Roman" w:cs="Times New Roman"/>
          <w:sz w:val="24"/>
          <w:szCs w:val="24"/>
          <w:lang w:val="en-US"/>
        </w:rPr>
        <w:t>CLcr</w:t>
      </w:r>
      <w:r w:rsidRPr="00E230C5">
        <w:rPr>
          <w:rFonts w:ascii="Times New Roman" w:eastAsia="Times New Roman" w:hAnsi="Times New Roman" w:cs="Times New Roman"/>
          <w:sz w:val="24"/>
          <w:szCs w:val="24"/>
        </w:rPr>
        <w:t xml:space="preserve"> ≥50 και &lt;80 </w:t>
      </w:r>
      <w:r w:rsidRPr="00E230C5">
        <w:rPr>
          <w:rFonts w:ascii="Times New Roman" w:eastAsia="Times New Roman" w:hAnsi="Times New Roman" w:cs="Times New Roman"/>
          <w:sz w:val="24"/>
          <w:szCs w:val="24"/>
          <w:lang w:val="en-US"/>
        </w:rPr>
        <w:t>m</w:t>
      </w:r>
      <w:r w:rsidR="009330C2"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min</w:t>
      </w:r>
      <w:r w:rsidRPr="00E230C5">
        <w:rPr>
          <w:rFonts w:ascii="Times New Roman" w:eastAsia="Times New Roman" w:hAnsi="Times New Roman" w:cs="Times New Roman"/>
          <w:sz w:val="24"/>
          <w:szCs w:val="24"/>
        </w:rPr>
        <w:t xml:space="preserve">) δεν απαιτείται προσαρμογή της δόσης. Για τους ασθενείς </w:t>
      </w:r>
      <w:r w:rsidR="00705380" w:rsidRPr="00705380">
        <w:rPr>
          <w:rFonts w:ascii="Times New Roman" w:eastAsia="Times New Roman" w:hAnsi="Times New Roman" w:cs="Times New Roman"/>
          <w:sz w:val="24"/>
          <w:szCs w:val="24"/>
        </w:rPr>
        <w:t xml:space="preserve">με καρκίνο </w:t>
      </w:r>
      <w:r w:rsidR="0054734D">
        <w:rPr>
          <w:rFonts w:ascii="Times New Roman" w:eastAsia="Times New Roman" w:hAnsi="Times New Roman" w:cs="Times New Roman"/>
          <w:sz w:val="24"/>
          <w:szCs w:val="24"/>
        </w:rPr>
        <w:t xml:space="preserve">του </w:t>
      </w:r>
      <w:r w:rsidR="00705380" w:rsidRPr="00705380">
        <w:rPr>
          <w:rFonts w:ascii="Times New Roman" w:eastAsia="Times New Roman" w:hAnsi="Times New Roman" w:cs="Times New Roman"/>
          <w:sz w:val="24"/>
          <w:szCs w:val="24"/>
        </w:rPr>
        <w:t xml:space="preserve">μαστού και οστικές μεταστάσεις </w:t>
      </w:r>
      <w:r w:rsidRPr="00E230C5">
        <w:rPr>
          <w:rFonts w:ascii="Times New Roman" w:eastAsia="Times New Roman" w:hAnsi="Times New Roman" w:cs="Times New Roman"/>
          <w:sz w:val="24"/>
          <w:szCs w:val="24"/>
        </w:rPr>
        <w:t>με μέτρια νεφρική δυσλειτουργία (</w:t>
      </w:r>
      <w:r w:rsidRPr="00E230C5">
        <w:rPr>
          <w:rFonts w:ascii="Times New Roman" w:eastAsia="Times New Roman" w:hAnsi="Times New Roman" w:cs="Times New Roman"/>
          <w:sz w:val="24"/>
          <w:szCs w:val="24"/>
          <w:lang w:val="en-US"/>
        </w:rPr>
        <w:t>CLcr</w:t>
      </w:r>
      <w:r w:rsidRPr="00E230C5">
        <w:rPr>
          <w:rFonts w:ascii="Times New Roman" w:eastAsia="Times New Roman" w:hAnsi="Times New Roman" w:cs="Times New Roman"/>
          <w:sz w:val="24"/>
          <w:szCs w:val="24"/>
        </w:rPr>
        <w:t xml:space="preserve"> ≥30 και &lt;50 </w:t>
      </w:r>
      <w:r w:rsidRPr="00E230C5">
        <w:rPr>
          <w:rFonts w:ascii="Times New Roman" w:eastAsia="Times New Roman" w:hAnsi="Times New Roman" w:cs="Times New Roman"/>
          <w:sz w:val="24"/>
          <w:szCs w:val="24"/>
          <w:lang w:val="en-US"/>
        </w:rPr>
        <w:t>m</w:t>
      </w:r>
      <w:r w:rsidR="009330C2"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min</w:t>
      </w:r>
      <w:r w:rsidRPr="00E230C5">
        <w:rPr>
          <w:rFonts w:ascii="Times New Roman" w:eastAsia="Times New Roman" w:hAnsi="Times New Roman" w:cs="Times New Roman"/>
          <w:sz w:val="24"/>
          <w:szCs w:val="24"/>
        </w:rPr>
        <w:t>) ή σοβαρή νεφρική δυσλειτουργία (</w:t>
      </w:r>
      <w:r w:rsidRPr="00E230C5">
        <w:rPr>
          <w:rFonts w:ascii="Times New Roman" w:eastAsia="Times New Roman" w:hAnsi="Times New Roman" w:cs="Times New Roman"/>
          <w:sz w:val="24"/>
          <w:szCs w:val="24"/>
          <w:lang w:val="en-US"/>
        </w:rPr>
        <w:t>CLcr</w:t>
      </w:r>
      <w:r w:rsidRPr="00E230C5">
        <w:rPr>
          <w:rFonts w:ascii="Times New Roman" w:eastAsia="Times New Roman" w:hAnsi="Times New Roman" w:cs="Times New Roman"/>
          <w:sz w:val="24"/>
          <w:szCs w:val="24"/>
        </w:rPr>
        <w:t xml:space="preserve"> &lt;30 </w:t>
      </w:r>
      <w:r w:rsidRPr="00E230C5">
        <w:rPr>
          <w:rFonts w:ascii="Times New Roman" w:eastAsia="Times New Roman" w:hAnsi="Times New Roman" w:cs="Times New Roman"/>
          <w:sz w:val="24"/>
          <w:szCs w:val="24"/>
          <w:lang w:val="en-US"/>
        </w:rPr>
        <w:t>m</w:t>
      </w:r>
      <w:r w:rsidR="009330C2"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min</w:t>
      </w:r>
      <w:r w:rsidRPr="00E230C5">
        <w:rPr>
          <w:rFonts w:ascii="Times New Roman" w:eastAsia="Times New Roman" w:hAnsi="Times New Roman" w:cs="Times New Roman"/>
          <w:sz w:val="24"/>
          <w:szCs w:val="24"/>
        </w:rPr>
        <w:t>), οι οποίοι υποβάλλονται σε θεραπεία για την πρόληψη σκελετικών συμβαμάτων, θα πρέπει να ακολουθούνται οι παρακάτω δοσολογικές συστάσεις (βλ. παράγραφο 5.2):</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rPr>
          <w:rFonts w:ascii="Times New Roman" w:eastAsia="Times New Roman" w:hAnsi="Times New Roman" w:cs="Times New Roman"/>
          <w:sz w:val="6"/>
          <w:szCs w:val="6"/>
        </w:rPr>
      </w:pPr>
    </w:p>
    <w:tbl>
      <w:tblPr>
        <w:tblpPr w:leftFromText="180" w:rightFromText="180" w:vertAnchor="text" w:horzAnchor="margin" w:tblpY="-22"/>
        <w:tblW w:w="8773" w:type="dxa"/>
        <w:tblBorders>
          <w:top w:val="nil"/>
          <w:left w:val="nil"/>
          <w:bottom w:val="nil"/>
          <w:right w:val="nil"/>
        </w:tblBorders>
        <w:tblLayout w:type="fixed"/>
        <w:tblLook w:val="0000" w:firstRow="0" w:lastRow="0" w:firstColumn="0" w:lastColumn="0" w:noHBand="0" w:noVBand="0"/>
      </w:tblPr>
      <w:tblGrid>
        <w:gridCol w:w="2093"/>
        <w:gridCol w:w="3969"/>
        <w:gridCol w:w="2711"/>
      </w:tblGrid>
      <w:tr w:rsidR="003A44E4" w:rsidRPr="00E230C5" w:rsidTr="003A095E">
        <w:trPr>
          <w:trHeight w:val="270"/>
        </w:trPr>
        <w:tc>
          <w:tcPr>
            <w:tcW w:w="2093" w:type="dxa"/>
            <w:tcBorders>
              <w:top w:val="single" w:sz="8" w:space="0" w:color="000000"/>
              <w:bottom w:val="single" w:sz="8" w:space="0" w:color="000000"/>
            </w:tcBorders>
          </w:tcPr>
          <w:p w:rsidR="0034632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lang w:val="en-US"/>
              </w:rPr>
              <w:t xml:space="preserve">Κάθαρση κρεατινίνης </w:t>
            </w: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 xml:space="preserve">(ml/min) </w:t>
            </w:r>
          </w:p>
        </w:tc>
        <w:tc>
          <w:tcPr>
            <w:tcW w:w="3969" w:type="dxa"/>
            <w:tcBorders>
              <w:top w:val="single" w:sz="8" w:space="0" w:color="000000"/>
              <w:bottom w:val="single" w:sz="8" w:space="0" w:color="000000"/>
            </w:tcBorders>
          </w:tcPr>
          <w:p w:rsidR="003A44E4" w:rsidRPr="00E230C5" w:rsidRDefault="003A44E4" w:rsidP="0034632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Δοσολογία</w:t>
            </w:r>
          </w:p>
        </w:tc>
        <w:tc>
          <w:tcPr>
            <w:tcW w:w="2711" w:type="dxa"/>
            <w:tcBorders>
              <w:top w:val="single" w:sz="8" w:space="0" w:color="000000"/>
              <w:bottom w:val="single" w:sz="8" w:space="0" w:color="000000"/>
            </w:tcBorders>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lang w:val="en-US"/>
              </w:rPr>
              <w:t>Όγκος έγχυσης</w:t>
            </w:r>
            <w:r w:rsidR="00346324" w:rsidRPr="00E230C5">
              <w:rPr>
                <w:rFonts w:ascii="Times New Roman" w:eastAsia="Times New Roman" w:hAnsi="Times New Roman" w:cs="Times New Roman"/>
                <w:color w:val="000000"/>
                <w:sz w:val="24"/>
                <w:szCs w:val="24"/>
              </w:rPr>
              <w:t xml:space="preserve"> </w:t>
            </w:r>
            <w:r w:rsidR="00346324" w:rsidRPr="00E230C5">
              <w:rPr>
                <w:rFonts w:ascii="Times New Roman" w:eastAsia="Times New Roman" w:hAnsi="Times New Roman" w:cs="Times New Roman"/>
                <w:color w:val="000000"/>
                <w:sz w:val="24"/>
                <w:szCs w:val="24"/>
                <w:vertAlign w:val="superscript"/>
              </w:rPr>
              <w:t>1</w:t>
            </w:r>
            <w:r w:rsidRPr="00E230C5">
              <w:rPr>
                <w:rFonts w:ascii="Times New Roman" w:eastAsia="Times New Roman" w:hAnsi="Times New Roman" w:cs="Times New Roman"/>
                <w:color w:val="000000"/>
                <w:sz w:val="24"/>
                <w:szCs w:val="24"/>
              </w:rPr>
              <w:t xml:space="preserve"> </w:t>
            </w:r>
            <w:r w:rsidR="00346324" w:rsidRPr="00E230C5">
              <w:rPr>
                <w:rFonts w:ascii="Times New Roman" w:eastAsia="Times New Roman" w:hAnsi="Times New Roman" w:cs="Times New Roman"/>
                <w:color w:val="000000"/>
                <w:sz w:val="24"/>
                <w:szCs w:val="24"/>
              </w:rPr>
              <w:t xml:space="preserve">και Χρόνος </w:t>
            </w:r>
            <w:r w:rsidR="00346324" w:rsidRPr="00E230C5">
              <w:rPr>
                <w:rFonts w:ascii="Times New Roman" w:eastAsia="Times New Roman" w:hAnsi="Times New Roman" w:cs="Times New Roman"/>
                <w:color w:val="000000"/>
                <w:sz w:val="24"/>
                <w:szCs w:val="24"/>
                <w:vertAlign w:val="superscript"/>
              </w:rPr>
              <w:t>2</w:t>
            </w:r>
            <w:r w:rsidR="00346324" w:rsidRPr="00E230C5">
              <w:rPr>
                <w:rFonts w:ascii="Times New Roman" w:eastAsia="Times New Roman" w:hAnsi="Times New Roman" w:cs="Times New Roman"/>
                <w:color w:val="000000"/>
                <w:position w:val="8"/>
                <w:sz w:val="24"/>
                <w:szCs w:val="24"/>
              </w:rPr>
              <w:t xml:space="preserve"> </w:t>
            </w:r>
          </w:p>
        </w:tc>
      </w:tr>
      <w:tr w:rsidR="003A44E4" w:rsidRPr="00E230C5" w:rsidTr="003A095E">
        <w:trPr>
          <w:trHeight w:val="144"/>
        </w:trPr>
        <w:tc>
          <w:tcPr>
            <w:tcW w:w="2093" w:type="dxa"/>
          </w:tcPr>
          <w:p w:rsidR="00346324" w:rsidRPr="00E230C5" w:rsidRDefault="0034632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 xml:space="preserve">≥ 50 CLcr&lt;80 </w:t>
            </w:r>
          </w:p>
        </w:tc>
        <w:tc>
          <w:tcPr>
            <w:tcW w:w="3969" w:type="dxa"/>
          </w:tcPr>
          <w:p w:rsidR="00346324" w:rsidRPr="00E230C5" w:rsidRDefault="003A44E4" w:rsidP="0034632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w:t>
            </w:r>
            <w:r w:rsidR="00346324" w:rsidRPr="00E230C5">
              <w:rPr>
                <w:rFonts w:ascii="Times New Roman" w:hAnsi="Times New Roman" w:cs="Times New Roman"/>
              </w:rPr>
              <w:t xml:space="preserve"> </w:t>
            </w:r>
            <w:r w:rsidR="00346324" w:rsidRPr="00E230C5">
              <w:rPr>
                <w:rFonts w:ascii="Times New Roman" w:eastAsia="Times New Roman" w:hAnsi="Times New Roman" w:cs="Times New Roman"/>
                <w:color w:val="000000"/>
                <w:sz w:val="24"/>
                <w:szCs w:val="24"/>
              </w:rPr>
              <w:t xml:space="preserve">(6 </w:t>
            </w:r>
            <w:r w:rsidR="006154C1">
              <w:rPr>
                <w:rFonts w:ascii="Times New Roman" w:eastAsia="Times New Roman" w:hAnsi="Times New Roman" w:cs="Times New Roman"/>
                <w:color w:val="000000"/>
                <w:sz w:val="24"/>
                <w:szCs w:val="24"/>
                <w:lang w:val="en-US"/>
              </w:rPr>
              <w:t>m</w:t>
            </w:r>
            <w:r w:rsidR="0054734D">
              <w:rPr>
                <w:rFonts w:ascii="Times New Roman" w:eastAsia="Times New Roman" w:hAnsi="Times New Roman" w:cs="Times New Roman"/>
                <w:color w:val="000000"/>
                <w:sz w:val="24"/>
                <w:szCs w:val="24"/>
                <w:lang w:val="en-US"/>
              </w:rPr>
              <w:t>l</w:t>
            </w:r>
            <w:r w:rsidR="00346324" w:rsidRPr="00E230C5">
              <w:rPr>
                <w:rFonts w:ascii="Times New Roman" w:eastAsia="Times New Roman" w:hAnsi="Times New Roman" w:cs="Times New Roman"/>
                <w:color w:val="000000"/>
                <w:sz w:val="24"/>
                <w:szCs w:val="24"/>
              </w:rPr>
              <w:t xml:space="preserve"> πυκνού διαλύματος</w:t>
            </w:r>
          </w:p>
          <w:p w:rsidR="00346324" w:rsidRPr="00E230C5" w:rsidRDefault="00346324" w:rsidP="0034632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για παρασκευή διαλύματος προς</w:t>
            </w:r>
          </w:p>
          <w:p w:rsidR="003A44E4" w:rsidRPr="00E230C5" w:rsidRDefault="00346324" w:rsidP="0034632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έγχυση)</w:t>
            </w:r>
          </w:p>
        </w:tc>
        <w:tc>
          <w:tcPr>
            <w:tcW w:w="2711" w:type="dxa"/>
          </w:tcPr>
          <w:p w:rsidR="00346324" w:rsidRPr="00E230C5" w:rsidRDefault="0034632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lang w:val="en-US"/>
              </w:rPr>
              <w:t xml:space="preserve">100 ml </w:t>
            </w:r>
            <w:r w:rsidR="00346324" w:rsidRPr="00E230C5">
              <w:rPr>
                <w:rFonts w:ascii="Times New Roman" w:eastAsia="Times New Roman" w:hAnsi="Times New Roman" w:cs="Times New Roman"/>
                <w:color w:val="000000"/>
                <w:sz w:val="24"/>
                <w:szCs w:val="24"/>
              </w:rPr>
              <w:t>για 15 λεπτά</w:t>
            </w:r>
          </w:p>
        </w:tc>
      </w:tr>
      <w:tr w:rsidR="003A44E4" w:rsidRPr="00E230C5" w:rsidTr="003A095E">
        <w:trPr>
          <w:trHeight w:val="144"/>
        </w:trPr>
        <w:tc>
          <w:tcPr>
            <w:tcW w:w="2093" w:type="dxa"/>
          </w:tcPr>
          <w:p w:rsidR="003A44E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 xml:space="preserve">≥30 CLcr &lt; 50 </w:t>
            </w:r>
          </w:p>
        </w:tc>
        <w:tc>
          <w:tcPr>
            <w:tcW w:w="3969" w:type="dxa"/>
          </w:tcPr>
          <w:p w:rsidR="0034632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4 </w:t>
            </w:r>
            <w:r w:rsidR="003A44E4" w:rsidRPr="00E230C5">
              <w:rPr>
                <w:rFonts w:ascii="Times New Roman" w:eastAsia="Times New Roman" w:hAnsi="Times New Roman" w:cs="Times New Roman"/>
                <w:color w:val="000000"/>
                <w:sz w:val="24"/>
                <w:szCs w:val="24"/>
                <w:lang w:val="en-US"/>
              </w:rPr>
              <w:t>mg</w:t>
            </w:r>
            <w:r w:rsidR="003A44E4" w:rsidRPr="00E230C5">
              <w:rPr>
                <w:rFonts w:ascii="Times New Roman" w:eastAsia="Times New Roman" w:hAnsi="Times New Roman" w:cs="Times New Roman"/>
                <w:color w:val="000000"/>
                <w:sz w:val="24"/>
                <w:szCs w:val="24"/>
              </w:rPr>
              <w:t xml:space="preserve"> </w:t>
            </w:r>
            <w:r w:rsidRPr="00E230C5">
              <w:rPr>
                <w:rFonts w:ascii="Times New Roman" w:hAnsi="Times New Roman" w:cs="Times New Roman"/>
              </w:rPr>
              <w:t xml:space="preserve"> </w:t>
            </w:r>
            <w:r w:rsidRPr="00E230C5">
              <w:rPr>
                <w:rFonts w:ascii="Times New Roman" w:eastAsia="Times New Roman" w:hAnsi="Times New Roman" w:cs="Times New Roman"/>
                <w:color w:val="000000"/>
                <w:sz w:val="24"/>
                <w:szCs w:val="24"/>
              </w:rPr>
              <w:t xml:space="preserve">(4 </w:t>
            </w:r>
            <w:r w:rsidR="006154C1">
              <w:rPr>
                <w:rFonts w:ascii="Times New Roman" w:eastAsia="Times New Roman" w:hAnsi="Times New Roman" w:cs="Times New Roman"/>
                <w:color w:val="000000"/>
                <w:sz w:val="24"/>
                <w:szCs w:val="24"/>
                <w:lang w:val="en-US"/>
              </w:rPr>
              <w:t>m</w:t>
            </w:r>
            <w:r w:rsidR="0054734D">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πυκνού διαλύματος</w:t>
            </w:r>
          </w:p>
          <w:p w:rsidR="0034632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για παρασκευή διαλύματος προς</w:t>
            </w:r>
          </w:p>
          <w:p w:rsidR="003A44E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lang w:val="en-US"/>
              </w:rPr>
              <w:t>έγχυση)</w:t>
            </w:r>
          </w:p>
        </w:tc>
        <w:tc>
          <w:tcPr>
            <w:tcW w:w="2711" w:type="dxa"/>
          </w:tcPr>
          <w:p w:rsidR="00346324" w:rsidRPr="00E230C5" w:rsidRDefault="0034632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500 ml</w:t>
            </w:r>
            <w:r w:rsidR="00346324" w:rsidRPr="00E230C5">
              <w:rPr>
                <w:rFonts w:ascii="Times New Roman" w:eastAsia="Times New Roman" w:hAnsi="Times New Roman" w:cs="Times New Roman"/>
                <w:color w:val="000000"/>
                <w:sz w:val="24"/>
                <w:szCs w:val="24"/>
              </w:rPr>
              <w:t xml:space="preserve"> για 1 ώρα</w:t>
            </w:r>
            <w:r w:rsidRPr="00E230C5">
              <w:rPr>
                <w:rFonts w:ascii="Times New Roman" w:eastAsia="Times New Roman" w:hAnsi="Times New Roman" w:cs="Times New Roman"/>
                <w:color w:val="000000"/>
                <w:sz w:val="24"/>
                <w:szCs w:val="24"/>
                <w:lang w:val="en-US"/>
              </w:rPr>
              <w:t xml:space="preserve"> </w:t>
            </w:r>
          </w:p>
        </w:tc>
      </w:tr>
      <w:tr w:rsidR="003A44E4" w:rsidRPr="00E230C5" w:rsidTr="003A095E">
        <w:trPr>
          <w:trHeight w:val="144"/>
        </w:trPr>
        <w:tc>
          <w:tcPr>
            <w:tcW w:w="2093" w:type="dxa"/>
            <w:tcBorders>
              <w:bottom w:val="single" w:sz="8" w:space="0" w:color="000000"/>
            </w:tcBorders>
          </w:tcPr>
          <w:p w:rsidR="003A44E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 xml:space="preserve">&lt; 30 </w:t>
            </w:r>
          </w:p>
        </w:tc>
        <w:tc>
          <w:tcPr>
            <w:tcW w:w="3969" w:type="dxa"/>
            <w:tcBorders>
              <w:bottom w:val="single" w:sz="8" w:space="0" w:color="000000"/>
            </w:tcBorders>
          </w:tcPr>
          <w:p w:rsidR="0034632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2 </w:t>
            </w:r>
            <w:r w:rsidR="003A44E4" w:rsidRPr="00E230C5">
              <w:rPr>
                <w:rFonts w:ascii="Times New Roman" w:eastAsia="Times New Roman" w:hAnsi="Times New Roman" w:cs="Times New Roman"/>
                <w:color w:val="000000"/>
                <w:sz w:val="24"/>
                <w:szCs w:val="24"/>
                <w:lang w:val="en-US"/>
              </w:rPr>
              <w:t>mg</w:t>
            </w:r>
            <w:r w:rsidR="003A44E4" w:rsidRPr="00E230C5">
              <w:rPr>
                <w:rFonts w:ascii="Times New Roman" w:eastAsia="Times New Roman" w:hAnsi="Times New Roman" w:cs="Times New Roman"/>
                <w:color w:val="000000"/>
                <w:sz w:val="24"/>
                <w:szCs w:val="24"/>
              </w:rPr>
              <w:t xml:space="preserve"> </w:t>
            </w:r>
            <w:r w:rsidRPr="00E230C5">
              <w:rPr>
                <w:rFonts w:ascii="Times New Roman" w:hAnsi="Times New Roman" w:cs="Times New Roman"/>
              </w:rPr>
              <w:t xml:space="preserve"> </w:t>
            </w:r>
            <w:r w:rsidRPr="00E230C5">
              <w:rPr>
                <w:rFonts w:ascii="Times New Roman" w:eastAsia="Times New Roman" w:hAnsi="Times New Roman" w:cs="Times New Roman"/>
                <w:color w:val="000000"/>
                <w:sz w:val="24"/>
                <w:szCs w:val="24"/>
              </w:rPr>
              <w:t xml:space="preserve">(2 </w:t>
            </w:r>
            <w:r w:rsidR="006154C1">
              <w:rPr>
                <w:rFonts w:ascii="Times New Roman" w:eastAsia="Times New Roman" w:hAnsi="Times New Roman" w:cs="Times New Roman"/>
                <w:color w:val="000000"/>
                <w:sz w:val="24"/>
                <w:szCs w:val="24"/>
                <w:lang w:val="en-US"/>
              </w:rPr>
              <w:t>m</w:t>
            </w:r>
            <w:r w:rsidR="0054734D">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πυκνού διαλύματος</w:t>
            </w:r>
          </w:p>
          <w:p w:rsidR="0034632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για παρασκευή διαλύματος προς</w:t>
            </w:r>
          </w:p>
          <w:p w:rsidR="003A44E4" w:rsidRPr="00E230C5" w:rsidRDefault="00346324" w:rsidP="00346324">
            <w:pPr>
              <w:autoSpaceDE w:val="0"/>
              <w:autoSpaceDN w:val="0"/>
              <w:adjustRightInd w:val="0"/>
              <w:spacing w:after="0" w:line="240" w:lineRule="auto"/>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lang w:val="en-US"/>
              </w:rPr>
              <w:t>έγχυση)</w:t>
            </w:r>
          </w:p>
        </w:tc>
        <w:tc>
          <w:tcPr>
            <w:tcW w:w="2711" w:type="dxa"/>
            <w:tcBorders>
              <w:bottom w:val="single" w:sz="8" w:space="0" w:color="000000"/>
            </w:tcBorders>
          </w:tcPr>
          <w:p w:rsidR="00346324" w:rsidRPr="00E230C5" w:rsidRDefault="0034632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sz w:val="24"/>
                <w:szCs w:val="24"/>
                <w:lang w:val="en-US"/>
              </w:rPr>
            </w:pPr>
            <w:r w:rsidRPr="00E230C5">
              <w:rPr>
                <w:rFonts w:ascii="Times New Roman" w:eastAsia="Times New Roman" w:hAnsi="Times New Roman" w:cs="Times New Roman"/>
                <w:color w:val="000000"/>
                <w:sz w:val="24"/>
                <w:szCs w:val="24"/>
                <w:lang w:val="en-US"/>
              </w:rPr>
              <w:t>500 ml</w:t>
            </w:r>
            <w:r w:rsidR="00346324" w:rsidRPr="00E230C5">
              <w:rPr>
                <w:rFonts w:ascii="Times New Roman" w:eastAsia="Times New Roman" w:hAnsi="Times New Roman" w:cs="Times New Roman"/>
                <w:color w:val="000000"/>
                <w:sz w:val="24"/>
                <w:szCs w:val="24"/>
              </w:rPr>
              <w:t xml:space="preserve"> για 1 ώρα</w:t>
            </w:r>
            <w:r w:rsidRPr="00E230C5">
              <w:rPr>
                <w:rFonts w:ascii="Times New Roman" w:eastAsia="Times New Roman" w:hAnsi="Times New Roman" w:cs="Times New Roman"/>
                <w:color w:val="000000"/>
                <w:sz w:val="24"/>
                <w:szCs w:val="24"/>
                <w:lang w:val="en-US"/>
              </w:rPr>
              <w:t xml:space="preserve"> </w:t>
            </w:r>
          </w:p>
        </w:tc>
      </w:tr>
    </w:tbl>
    <w:p w:rsidR="003A44E4" w:rsidRPr="00E230C5" w:rsidRDefault="00346324" w:rsidP="003A44E4">
      <w:pPr>
        <w:spacing w:after="0" w:line="240" w:lineRule="auto"/>
        <w:rPr>
          <w:rFonts w:ascii="Times New Roman" w:eastAsia="Times New Roman" w:hAnsi="Times New Roman" w:cs="Times New Roman"/>
        </w:rPr>
      </w:pPr>
      <w:r w:rsidRPr="00E230C5">
        <w:rPr>
          <w:rFonts w:ascii="Times New Roman" w:eastAsia="Times New Roman" w:hAnsi="Times New Roman" w:cs="Times New Roman"/>
          <w:position w:val="8"/>
          <w:vertAlign w:val="superscript"/>
        </w:rPr>
        <w:t>1</w:t>
      </w:r>
      <w:r w:rsidR="003A44E4" w:rsidRPr="00E230C5">
        <w:rPr>
          <w:rFonts w:ascii="Times New Roman" w:eastAsia="Times New Roman" w:hAnsi="Times New Roman" w:cs="Times New Roman"/>
          <w:position w:val="8"/>
          <w:vertAlign w:val="superscript"/>
        </w:rPr>
        <w:t xml:space="preserve"> </w:t>
      </w:r>
      <w:r w:rsidR="003A44E4" w:rsidRPr="00E230C5">
        <w:rPr>
          <w:rFonts w:ascii="Times New Roman" w:eastAsia="Times New Roman" w:hAnsi="Times New Roman" w:cs="Times New Roman"/>
        </w:rPr>
        <w:t>διάλυμα χλωριούχου νατρίου 0,9% ή διάλυμα γλυκόζης 5%</w:t>
      </w:r>
    </w:p>
    <w:p w:rsidR="003A44E4" w:rsidRPr="00E230C5" w:rsidRDefault="00346324" w:rsidP="003A44E4">
      <w:pPr>
        <w:spacing w:after="0" w:line="240" w:lineRule="auto"/>
        <w:rPr>
          <w:rFonts w:ascii="Times New Roman" w:hAnsi="Times New Roman" w:cs="Times New Roman"/>
          <w:sz w:val="20"/>
          <w:szCs w:val="20"/>
        </w:rPr>
      </w:pPr>
      <w:r w:rsidRPr="00E230C5">
        <w:rPr>
          <w:rFonts w:ascii="Times New Roman" w:hAnsi="Times New Roman" w:cs="Times New Roman"/>
          <w:szCs w:val="20"/>
          <w:vertAlign w:val="superscript"/>
        </w:rPr>
        <w:t>2</w:t>
      </w:r>
      <w:r w:rsidRPr="00E230C5">
        <w:rPr>
          <w:rFonts w:ascii="Times New Roman" w:hAnsi="Times New Roman" w:cs="Times New Roman"/>
          <w:sz w:val="13"/>
          <w:szCs w:val="13"/>
        </w:rPr>
        <w:t xml:space="preserve"> </w:t>
      </w:r>
      <w:r w:rsidRPr="00E230C5">
        <w:rPr>
          <w:rFonts w:ascii="Times New Roman" w:hAnsi="Times New Roman" w:cs="Times New Roman"/>
          <w:szCs w:val="20"/>
        </w:rPr>
        <w:t>Χορήγηση κάθε 3 με 4 εβδομάδες</w:t>
      </w:r>
    </w:p>
    <w:p w:rsidR="00346324" w:rsidRPr="00E230C5" w:rsidRDefault="00346324" w:rsidP="003A44E4">
      <w:pPr>
        <w:spacing w:after="0" w:line="240" w:lineRule="auto"/>
        <w:rPr>
          <w:rFonts w:ascii="Times New Roman" w:eastAsia="Times New Roman" w:hAnsi="Times New Roman" w:cs="Times New Roman"/>
          <w:sz w:val="24"/>
          <w:szCs w:val="24"/>
        </w:rPr>
      </w:pPr>
    </w:p>
    <w:p w:rsidR="003A44E4" w:rsidRPr="00E230C5" w:rsidRDefault="003A44E4" w:rsidP="003A44E4">
      <w:pPr>
        <w:spacing w:after="0" w:line="240" w:lineRule="auto"/>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Ο χρόνος έγχυσης διάρκειας 15 λεπτών δεν έχει μελετηθεί σε </w:t>
      </w:r>
      <w:r w:rsidR="00705380" w:rsidRPr="00705380">
        <w:rPr>
          <w:rFonts w:ascii="Times New Roman" w:eastAsia="Times New Roman" w:hAnsi="Times New Roman" w:cs="Times New Roman"/>
          <w:sz w:val="24"/>
          <w:szCs w:val="24"/>
        </w:rPr>
        <w:t>ογκολογικούς</w:t>
      </w:r>
      <w:r w:rsidR="00725C8B">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 xml:space="preserve">ασθενείς με κάθαρση κρεατινίνης </w:t>
      </w:r>
      <w:r w:rsidRPr="00E230C5">
        <w:rPr>
          <w:rFonts w:ascii="Times New Roman" w:eastAsia="Times New Roman" w:hAnsi="Times New Roman" w:cs="Times New Roman"/>
          <w:sz w:val="24"/>
          <w:szCs w:val="24"/>
          <w:lang w:val="en-US"/>
        </w:rPr>
        <w:t>CLcr</w:t>
      </w:r>
      <w:r w:rsidRPr="00E230C5">
        <w:rPr>
          <w:rFonts w:ascii="Times New Roman" w:eastAsia="Times New Roman" w:hAnsi="Times New Roman" w:cs="Times New Roman"/>
          <w:sz w:val="24"/>
          <w:szCs w:val="24"/>
        </w:rPr>
        <w:t xml:space="preserve">&lt;50 </w:t>
      </w:r>
      <w:r w:rsidRPr="00E230C5">
        <w:rPr>
          <w:rFonts w:ascii="Times New Roman" w:eastAsia="Times New Roman" w:hAnsi="Times New Roman" w:cs="Times New Roman"/>
          <w:sz w:val="24"/>
          <w:szCs w:val="24"/>
          <w:lang w:val="en-US"/>
        </w:rPr>
        <w:t>ml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min</w:t>
      </w:r>
      <w:r w:rsidRPr="00E230C5">
        <w:rPr>
          <w:rFonts w:ascii="Times New Roman" w:eastAsia="Times New Roman" w:hAnsi="Times New Roman" w:cs="Times New Roman"/>
          <w:sz w:val="24"/>
          <w:szCs w:val="24"/>
        </w:rPr>
        <w:t>.</w:t>
      </w:r>
    </w:p>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Ηλικιωμένος πληθυσμός (&gt;65 ετών)</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απαιτείται προσαρμογή της δόσης (βλ. παράγραφο 5.2).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Παιδιατρικός πληθυσμός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ασφάλεια και η αποτελεσματικότητα του </w:t>
      </w:r>
      <w:r w:rsidR="00346324" w:rsidRPr="00E230C5">
        <w:rPr>
          <w:rFonts w:ascii="Times New Roman" w:eastAsia="Times New Roman" w:hAnsi="Times New Roman" w:cs="Times New Roman"/>
          <w:color w:val="000000"/>
          <w:sz w:val="24"/>
          <w:szCs w:val="24"/>
        </w:rPr>
        <w:t>IBONDEM</w:t>
      </w:r>
      <w:r w:rsidR="00346324" w:rsidRPr="00E230C5" w:rsidDel="00346324">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σε παιδιά και εφήβους κάτω από την ηλικία των 18 ετών δεν έχει τεκμηριωθεί. Δεν υπάρχουν διαθέσιμα δεδομένα (βλ. παράγραφο 5.1 και παράγραφο 5.2).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u w:val="single"/>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u w:val="single"/>
        </w:rPr>
        <w:t xml:space="preserve">Τρόπος χορήγησης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ενδοφλέβια χορήγηση.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Το περιεχόμενο του φιαλιδίου πρέπει να χρησιμοποιείται ως ακολούθως:</w:t>
      </w:r>
    </w:p>
    <w:p w:rsidR="001D2DD0"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ab/>
        <w:t xml:space="preserve">Πρόληψη σκελετικών συμβαμάτων - προστίθεται σε 100 ml ισότονου </w:t>
      </w:r>
    </w:p>
    <w:p w:rsidR="001D2DD0" w:rsidRPr="00E230C5" w:rsidRDefault="001D2DD0"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διαλύματος χλωριούχου νατρίου ή 100 ml διαλύματος δεξτρόζης 5% και </w:t>
      </w:r>
    </w:p>
    <w:p w:rsidR="001D2DD0" w:rsidRPr="00E230C5" w:rsidRDefault="001D2DD0"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χορηγείται με έγχυση σε διάστημα τουλάχιστον 15 λεπτών. Βλέπε επίσης </w:t>
      </w:r>
    </w:p>
    <w:p w:rsidR="001E23CF" w:rsidRPr="00E230C5" w:rsidRDefault="001D2DD0"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την </w:t>
      </w:r>
      <w:r w:rsidR="003A44E4" w:rsidRPr="00E230C5">
        <w:rPr>
          <w:rFonts w:ascii="Times New Roman" w:eastAsia="Times New Roman" w:hAnsi="Times New Roman" w:cs="Times New Roman"/>
          <w:color w:val="000000"/>
          <w:sz w:val="24"/>
          <w:szCs w:val="24"/>
        </w:rPr>
        <w:t>παράγραφο</w:t>
      </w:r>
      <w:r w:rsidR="000A7D89"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της δοσολογίας </w:t>
      </w:r>
      <w:r w:rsidR="0054734D">
        <w:rPr>
          <w:rFonts w:ascii="Times New Roman" w:eastAsia="Times New Roman" w:hAnsi="Times New Roman" w:cs="Times New Roman"/>
          <w:color w:val="000000"/>
          <w:sz w:val="24"/>
          <w:szCs w:val="24"/>
        </w:rPr>
        <w:t>πιο πάνω</w:t>
      </w:r>
      <w:r w:rsidR="0054734D"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για τους ασθενείς με νεφρική</w:t>
      </w:r>
      <w:r w:rsidRPr="00E230C5">
        <w:rPr>
          <w:rFonts w:ascii="Times New Roman" w:eastAsia="Times New Roman" w:hAnsi="Times New Roman" w:cs="Times New Roman"/>
          <w:color w:val="000000"/>
          <w:sz w:val="24"/>
          <w:szCs w:val="24"/>
        </w:rPr>
        <w:t xml:space="preserve"> </w:t>
      </w:r>
    </w:p>
    <w:p w:rsidR="003A44E4" w:rsidRPr="00E230C5" w:rsidRDefault="001E23CF"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δυσλειτουργία.</w:t>
      </w:r>
    </w:p>
    <w:p w:rsidR="001D2DD0"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ab/>
        <w:t xml:space="preserve">Θεραπεία υπερασβεστιαιμίας που οφείλεται σε όγκο - προστίθεται σε 500 ml </w:t>
      </w:r>
    </w:p>
    <w:p w:rsidR="001D2DD0" w:rsidRPr="00E230C5" w:rsidRDefault="001D2DD0"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             </w:t>
      </w:r>
      <w:r w:rsidR="003A44E4" w:rsidRPr="00E230C5">
        <w:rPr>
          <w:rFonts w:ascii="Times New Roman" w:eastAsia="Times New Roman" w:hAnsi="Times New Roman" w:cs="Times New Roman"/>
          <w:color w:val="000000"/>
          <w:sz w:val="24"/>
          <w:szCs w:val="24"/>
        </w:rPr>
        <w:t xml:space="preserve">ισότονου διαλύματος χλωριούχου νατρίου ή 500 ml διαλύματος δεξτρόζης </w:t>
      </w:r>
    </w:p>
    <w:p w:rsidR="003A44E4" w:rsidRPr="00E230C5" w:rsidRDefault="001D2DD0"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5% και χορηγείται με έγχυση σε διάστημα 2 ωρών</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w:t>
      </w:r>
      <w:r w:rsidR="00725C8B">
        <w:rPr>
          <w:rFonts w:ascii="Times New Roman" w:eastAsia="Times New Roman" w:hAnsi="Times New Roman" w:cs="Times New Roman"/>
          <w:color w:val="000000"/>
          <w:sz w:val="24"/>
          <w:szCs w:val="24"/>
        </w:rPr>
        <w:t xml:space="preserve">μια </w:t>
      </w:r>
      <w:r w:rsidRPr="00E230C5">
        <w:rPr>
          <w:rFonts w:ascii="Times New Roman" w:eastAsia="Times New Roman" w:hAnsi="Times New Roman" w:cs="Times New Roman"/>
          <w:color w:val="000000"/>
          <w:sz w:val="24"/>
          <w:szCs w:val="24"/>
        </w:rPr>
        <w:t xml:space="preserve">χρήση μόνο. Πρέπει να χρησιμοποιούνται μόνο διαυγή διαλύματα, ελεύθερα σωματιδίων. Το </w:t>
      </w: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πυκνό διάλυμα για παρασκευή διαλύματος προς έγχυση πρέπει να χορηγείται ως ενδοφλέβια έγχυση. Πρέπει να δίδεται προσοχή ώστε να μη χορηγείται το </w:t>
      </w:r>
      <w:r w:rsidRPr="00E230C5">
        <w:rPr>
          <w:rFonts w:ascii="Times New Roman" w:eastAsia="Times New Roman" w:hAnsi="Times New Roman" w:cs="Times New Roman"/>
          <w:color w:val="000000"/>
          <w:sz w:val="24"/>
          <w:szCs w:val="24"/>
          <w:lang w:val="en-US"/>
        </w:rPr>
        <w:t>IBONDEM</w:t>
      </w:r>
      <w:r w:rsidRPr="00E230C5" w:rsidDel="00F26DFF">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πυκνό διάλυμα για παρασκευή διαλύματος προς έγχυση </w:t>
      </w:r>
      <w:r w:rsidR="00725C8B" w:rsidRPr="00725C8B">
        <w:rPr>
          <w:rFonts w:ascii="Times New Roman" w:eastAsia="Times New Roman" w:hAnsi="Times New Roman" w:cs="Times New Roman"/>
          <w:color w:val="000000"/>
          <w:sz w:val="24"/>
          <w:szCs w:val="24"/>
        </w:rPr>
        <w:t>ενδοαρτηριακά</w:t>
      </w:r>
      <w:r w:rsidR="00725C8B" w:rsidRPr="00725C8B" w:rsidDel="00725C8B">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ή </w:t>
      </w:r>
      <w:r w:rsidR="00725C8B" w:rsidRPr="00725C8B">
        <w:rPr>
          <w:rFonts w:ascii="Times New Roman" w:eastAsia="Times New Roman" w:hAnsi="Times New Roman" w:cs="Times New Roman"/>
          <w:color w:val="000000"/>
          <w:sz w:val="24"/>
          <w:szCs w:val="24"/>
        </w:rPr>
        <w:t>παραφλεβικά</w:t>
      </w:r>
      <w:r w:rsidR="00DF2A46"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καθώς αυτό μπορεί να </w:t>
      </w:r>
      <w:r w:rsidR="00DF2A46" w:rsidRPr="00E230C5">
        <w:rPr>
          <w:rFonts w:ascii="Times New Roman" w:eastAsia="Times New Roman" w:hAnsi="Times New Roman" w:cs="Times New Roman"/>
          <w:color w:val="000000"/>
          <w:sz w:val="24"/>
          <w:szCs w:val="24"/>
        </w:rPr>
        <w:t xml:space="preserve">οδηγήσει σε καταστροφή των </w:t>
      </w:r>
      <w:r w:rsidRPr="00E230C5">
        <w:rPr>
          <w:rFonts w:ascii="Times New Roman" w:eastAsia="Times New Roman" w:hAnsi="Times New Roman" w:cs="Times New Roman"/>
          <w:color w:val="000000"/>
          <w:sz w:val="24"/>
          <w:szCs w:val="24"/>
        </w:rPr>
        <w:t>ιστ</w:t>
      </w:r>
      <w:r w:rsidR="000A01D5">
        <w:rPr>
          <w:rFonts w:ascii="Times New Roman" w:eastAsia="Times New Roman" w:hAnsi="Times New Roman" w:cs="Times New Roman"/>
          <w:color w:val="000000"/>
          <w:sz w:val="24"/>
          <w:szCs w:val="24"/>
        </w:rPr>
        <w:t>ών</w:t>
      </w:r>
      <w:r w:rsidRPr="00E230C5">
        <w:rPr>
          <w:rFonts w:ascii="Times New Roman" w:eastAsia="Times New Roman" w:hAnsi="Times New Roman" w:cs="Times New Roman"/>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4.3 Αντενδείξεις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Υπερευαισθησία στη δραστική ουσία ή σε κάποιο από τα έκδοχα που αναφέρονται στην παράγραφο 6.1</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10"/>
          <w:szCs w:val="10"/>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Υπασβεστιαιμία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4.4 Ειδικές προειδοποιήσεις και προφυλάξεις κατά τη χρήση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iCs/>
          <w:color w:val="000000"/>
          <w:sz w:val="24"/>
          <w:szCs w:val="24"/>
          <w:u w:val="single"/>
        </w:rPr>
        <w:t xml:space="preserve">Ασθενείς με διαταραχές των οστών και του μεταβολισμού των ανόργανων στοιχείων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υπασβεστιαιμία και οι άλλες διαταραχές των οστών και του μεταβολισμού των ανόργανων στοιχείων πρέπει να αντιμετωπίζονται αποτελεσματικά πριν την έναρξη της θεραπείας της μεταστατικής οστικής νόσου με </w:t>
      </w: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Η επαρκής πρόσληψη ασβεστίου και βιταμίνης </w:t>
      </w:r>
      <w:r w:rsidRPr="00E230C5">
        <w:rPr>
          <w:rFonts w:ascii="Times New Roman" w:eastAsia="Times New Roman" w:hAnsi="Times New Roman" w:cs="Times New Roman"/>
          <w:sz w:val="24"/>
          <w:szCs w:val="24"/>
          <w:lang w:val="en-US"/>
        </w:rPr>
        <w:t>D</w:t>
      </w:r>
      <w:r w:rsidRPr="00E230C5">
        <w:rPr>
          <w:rFonts w:ascii="Times New Roman" w:eastAsia="Times New Roman" w:hAnsi="Times New Roman" w:cs="Times New Roman"/>
          <w:sz w:val="24"/>
          <w:szCs w:val="24"/>
        </w:rPr>
        <w:t xml:space="preserve"> είναι σημαντική για όλες τις ασθενείς. Οι ασθενείς πρέπει να λαμβάνουν συμπληρωματικά ασβέστιο και/ή βιταμίνη </w:t>
      </w:r>
      <w:r w:rsidRPr="00E230C5">
        <w:rPr>
          <w:rFonts w:ascii="Times New Roman" w:eastAsia="Times New Roman" w:hAnsi="Times New Roman" w:cs="Times New Roman"/>
          <w:sz w:val="24"/>
          <w:szCs w:val="24"/>
          <w:lang w:val="en-US"/>
        </w:rPr>
        <w:t>D</w:t>
      </w:r>
      <w:r w:rsidRPr="00E230C5">
        <w:rPr>
          <w:rFonts w:ascii="Times New Roman" w:eastAsia="Times New Roman" w:hAnsi="Times New Roman" w:cs="Times New Roman"/>
          <w:sz w:val="24"/>
          <w:szCs w:val="24"/>
        </w:rPr>
        <w:t xml:space="preserve"> εάν η πρόσληψη μέσω της τροφής είναι ανεπαρκής.</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r w:rsidRPr="00E230C5">
        <w:rPr>
          <w:rFonts w:ascii="Times New Roman" w:eastAsia="Times New Roman" w:hAnsi="Times New Roman" w:cs="Times New Roman"/>
          <w:i/>
          <w:iCs/>
          <w:color w:val="000000"/>
          <w:sz w:val="24"/>
          <w:szCs w:val="24"/>
        </w:rPr>
        <w:t>Αναφυλακτική αντίδραση/καταπληξία</w:t>
      </w:r>
    </w:p>
    <w:p w:rsidR="00DF2A46"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rPr>
      </w:pPr>
      <w:r w:rsidRPr="00E230C5">
        <w:rPr>
          <w:rFonts w:ascii="Times New Roman" w:eastAsia="Times New Roman" w:hAnsi="Times New Roman" w:cs="Times New Roman"/>
          <w:iCs/>
          <w:color w:val="000000"/>
          <w:sz w:val="24"/>
          <w:szCs w:val="24"/>
        </w:rPr>
        <w:t>Περιπτώσεις αναφυλακτικής αντίδρασης/καταπληξίας, συμπεριλαμβανομένων θανατηφόρων</w:t>
      </w:r>
      <w:r w:rsidR="00DF2A46" w:rsidRPr="00E230C5">
        <w:rPr>
          <w:rFonts w:ascii="Times New Roman" w:eastAsia="Times New Roman" w:hAnsi="Times New Roman" w:cs="Times New Roman"/>
          <w:iCs/>
          <w:color w:val="000000"/>
          <w:sz w:val="24"/>
          <w:szCs w:val="24"/>
        </w:rPr>
        <w:t xml:space="preserve"> </w:t>
      </w:r>
      <w:r w:rsidR="00725C8B" w:rsidRPr="00725C8B">
        <w:rPr>
          <w:rFonts w:ascii="Times New Roman" w:eastAsia="Times New Roman" w:hAnsi="Times New Roman" w:cs="Times New Roman"/>
          <w:iCs/>
          <w:color w:val="000000"/>
          <w:sz w:val="24"/>
          <w:szCs w:val="24"/>
        </w:rPr>
        <w:t>περιστατικών</w:t>
      </w:r>
      <w:r w:rsidRPr="00E230C5">
        <w:rPr>
          <w:rFonts w:ascii="Times New Roman" w:eastAsia="Times New Roman" w:hAnsi="Times New Roman" w:cs="Times New Roman"/>
          <w:iCs/>
          <w:color w:val="000000"/>
          <w:sz w:val="24"/>
          <w:szCs w:val="24"/>
        </w:rPr>
        <w:t xml:space="preserve">, έχουν αναφερθεί σε ασθενείς </w:t>
      </w:r>
      <w:r w:rsidR="00725C8B" w:rsidRPr="00725C8B">
        <w:rPr>
          <w:rFonts w:ascii="Times New Roman" w:eastAsia="Times New Roman" w:hAnsi="Times New Roman" w:cs="Times New Roman"/>
          <w:iCs/>
          <w:color w:val="000000"/>
          <w:sz w:val="24"/>
          <w:szCs w:val="24"/>
        </w:rPr>
        <w:t xml:space="preserve">που βρίσκονται </w:t>
      </w:r>
      <w:r w:rsidRPr="00E230C5">
        <w:rPr>
          <w:rFonts w:ascii="Times New Roman" w:eastAsia="Times New Roman" w:hAnsi="Times New Roman" w:cs="Times New Roman"/>
          <w:iCs/>
          <w:color w:val="000000"/>
          <w:sz w:val="24"/>
          <w:szCs w:val="24"/>
        </w:rPr>
        <w:t xml:space="preserve">υπό θεραπεία με IV ιβανδρονικό οξύ.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rPr>
      </w:pPr>
      <w:r w:rsidRPr="00E230C5">
        <w:rPr>
          <w:rFonts w:ascii="Times New Roman" w:eastAsia="Times New Roman" w:hAnsi="Times New Roman" w:cs="Times New Roman"/>
          <w:iCs/>
          <w:color w:val="000000"/>
          <w:sz w:val="24"/>
          <w:szCs w:val="24"/>
        </w:rPr>
        <w:t xml:space="preserve">Κατάλληλη ιατρική υποστήριξη και μέτρα παρακολούθησης πρέπει να είναι άμεσα διαθέσιμα όταν χορηγείται ενδοφλέβια </w:t>
      </w:r>
      <w:r w:rsidR="00725C8B" w:rsidRPr="00725C8B">
        <w:rPr>
          <w:rFonts w:ascii="Times New Roman" w:eastAsia="Times New Roman" w:hAnsi="Times New Roman" w:cs="Times New Roman"/>
          <w:iCs/>
          <w:color w:val="000000"/>
          <w:sz w:val="24"/>
          <w:szCs w:val="24"/>
        </w:rPr>
        <w:t>έγχυση</w:t>
      </w:r>
      <w:r w:rsidRPr="00E230C5">
        <w:rPr>
          <w:rFonts w:ascii="Times New Roman" w:eastAsia="Times New Roman" w:hAnsi="Times New Roman" w:cs="Times New Roman"/>
          <w:iCs/>
          <w:color w:val="000000"/>
          <w:sz w:val="24"/>
          <w:szCs w:val="24"/>
        </w:rPr>
        <w:t xml:space="preserve"> IBONDEM. Εάν συμβεί αναφυλακτική ή </w:t>
      </w:r>
      <w:r w:rsidR="00725C8B">
        <w:rPr>
          <w:rFonts w:ascii="Times New Roman" w:eastAsia="Times New Roman" w:hAnsi="Times New Roman" w:cs="Times New Roman"/>
          <w:iCs/>
          <w:color w:val="000000"/>
          <w:sz w:val="24"/>
          <w:szCs w:val="24"/>
        </w:rPr>
        <w:t xml:space="preserve">άλλη σοβαρή αντίδραση </w:t>
      </w:r>
      <w:r w:rsidRPr="00E230C5">
        <w:rPr>
          <w:rFonts w:ascii="Times New Roman" w:eastAsia="Times New Roman" w:hAnsi="Times New Roman" w:cs="Times New Roman"/>
          <w:iCs/>
          <w:color w:val="000000"/>
          <w:sz w:val="24"/>
          <w:szCs w:val="24"/>
        </w:rPr>
        <w:t>υπερευαισθησίας/</w:t>
      </w:r>
      <w:r w:rsidR="00725C8B">
        <w:rPr>
          <w:rFonts w:ascii="Times New Roman" w:eastAsia="Times New Roman" w:hAnsi="Times New Roman" w:cs="Times New Roman"/>
          <w:iCs/>
          <w:color w:val="000000"/>
          <w:sz w:val="24"/>
          <w:szCs w:val="24"/>
        </w:rPr>
        <w:t xml:space="preserve">αλλεργική αντίδραση </w:t>
      </w:r>
      <w:r w:rsidRPr="00E230C5">
        <w:rPr>
          <w:rFonts w:ascii="Times New Roman" w:eastAsia="Times New Roman" w:hAnsi="Times New Roman" w:cs="Times New Roman"/>
          <w:iCs/>
          <w:color w:val="000000"/>
          <w:sz w:val="24"/>
          <w:szCs w:val="24"/>
        </w:rPr>
        <w:t xml:space="preserve">, πρέπει να διακοπεί αμέσως η </w:t>
      </w:r>
      <w:r w:rsidR="00725C8B" w:rsidRPr="00725C8B">
        <w:rPr>
          <w:rFonts w:ascii="Times New Roman" w:eastAsia="Times New Roman" w:hAnsi="Times New Roman" w:cs="Times New Roman"/>
          <w:iCs/>
          <w:color w:val="000000"/>
          <w:sz w:val="24"/>
          <w:szCs w:val="24"/>
        </w:rPr>
        <w:t>έγχυση</w:t>
      </w:r>
      <w:r w:rsidRPr="00E230C5">
        <w:rPr>
          <w:rFonts w:ascii="Times New Roman" w:eastAsia="Times New Roman" w:hAnsi="Times New Roman" w:cs="Times New Roman"/>
          <w:iCs/>
          <w:color w:val="000000"/>
          <w:sz w:val="24"/>
          <w:szCs w:val="24"/>
        </w:rPr>
        <w:t xml:space="preserve"> και να ξεκινήσει κατάλληλη θεραπεία.</w:t>
      </w:r>
    </w:p>
    <w:p w:rsidR="00F806DA" w:rsidRPr="00E230C5" w:rsidRDefault="00F806DA" w:rsidP="003A44E4">
      <w:pPr>
        <w:autoSpaceDE w:val="0"/>
        <w:autoSpaceDN w:val="0"/>
        <w:adjustRightInd w:val="0"/>
        <w:spacing w:after="0" w:line="240" w:lineRule="auto"/>
        <w:jc w:val="both"/>
        <w:rPr>
          <w:rFonts w:ascii="Times New Roman" w:eastAsia="Times New Roman" w:hAnsi="Times New Roman" w:cs="Times New Roman"/>
          <w:iCs/>
          <w:color w:val="000000"/>
          <w:sz w:val="24"/>
          <w:szCs w:val="24"/>
          <w:u w:val="single"/>
        </w:rPr>
      </w:pPr>
    </w:p>
    <w:p w:rsidR="003A44E4" w:rsidRPr="00E230C5" w:rsidRDefault="003A44E4" w:rsidP="00322193">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iCs/>
          <w:color w:val="000000"/>
          <w:sz w:val="24"/>
          <w:szCs w:val="24"/>
          <w:u w:val="single"/>
        </w:rPr>
        <w:t xml:space="preserve">Οστεονέκρωση της γνάθου </w:t>
      </w:r>
    </w:p>
    <w:p w:rsidR="00E34701" w:rsidRPr="00E230C5" w:rsidRDefault="003A44E4" w:rsidP="009F45F0">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Έχει αναφερθεί </w:t>
      </w:r>
      <w:r w:rsidR="00E34701" w:rsidRPr="00E230C5">
        <w:rPr>
          <w:rFonts w:ascii="Times New Roman" w:eastAsia="Times New Roman" w:hAnsi="Times New Roman" w:cs="Times New Roman"/>
          <w:color w:val="000000"/>
          <w:sz w:val="24"/>
          <w:szCs w:val="24"/>
        </w:rPr>
        <w:t xml:space="preserve">πολύ σπάνια </w:t>
      </w:r>
      <w:r w:rsidRPr="00E230C5">
        <w:rPr>
          <w:rFonts w:ascii="Times New Roman" w:eastAsia="Times New Roman" w:hAnsi="Times New Roman" w:cs="Times New Roman"/>
          <w:color w:val="000000"/>
          <w:sz w:val="24"/>
          <w:szCs w:val="24"/>
        </w:rPr>
        <w:t>οστεονέκρωση της γνάθου</w:t>
      </w:r>
      <w:r w:rsidR="00E34701" w:rsidRPr="00E230C5">
        <w:rPr>
          <w:rFonts w:ascii="Times New Roman" w:hAnsi="Times New Roman" w:cs="Times New Roman"/>
        </w:rPr>
        <w:t xml:space="preserve"> μετά την κυκλοφορία σε ασθενείς που λάμβαναν </w:t>
      </w:r>
      <w:r w:rsidR="00E34701" w:rsidRPr="00E230C5">
        <w:rPr>
          <w:rFonts w:ascii="Times New Roman" w:eastAsia="Times New Roman" w:hAnsi="Times New Roman" w:cs="Times New Roman"/>
          <w:iCs/>
          <w:color w:val="000000"/>
          <w:sz w:val="24"/>
          <w:szCs w:val="24"/>
        </w:rPr>
        <w:t>IBONDEM</w:t>
      </w:r>
      <w:r w:rsidR="00E34701" w:rsidRPr="00E230C5">
        <w:rPr>
          <w:rFonts w:ascii="Times New Roman" w:hAnsi="Times New Roman" w:cs="Times New Roman"/>
        </w:rPr>
        <w:t xml:space="preserve"> για ογκολογικές ενδείξεις (βλέπε παράγραφο 4.8).</w:t>
      </w:r>
      <w:r w:rsidR="00E34701" w:rsidRPr="00E230C5" w:rsidDel="00E34701">
        <w:rPr>
          <w:rFonts w:ascii="Times New Roman" w:eastAsia="Times New Roman" w:hAnsi="Times New Roman" w:cs="Times New Roman"/>
          <w:color w:val="000000"/>
          <w:sz w:val="24"/>
          <w:szCs w:val="24"/>
        </w:rPr>
        <w:t xml:space="preserve"> </w:t>
      </w:r>
    </w:p>
    <w:p w:rsidR="003A44E4" w:rsidRPr="00E230C5" w:rsidRDefault="003A44E4" w:rsidP="009F45F0">
      <w:pPr>
        <w:autoSpaceDE w:val="0"/>
        <w:autoSpaceDN w:val="0"/>
        <w:adjustRightInd w:val="0"/>
        <w:spacing w:after="0" w:line="240" w:lineRule="auto"/>
        <w:jc w:val="both"/>
        <w:rPr>
          <w:rFonts w:ascii="Times New Roman" w:hAnsi="Times New Roman" w:cs="Times New Roman"/>
        </w:rPr>
      </w:pPr>
    </w:p>
    <w:p w:rsidR="003A44E4" w:rsidRPr="00E230C5" w:rsidRDefault="00E34701" w:rsidP="009F45F0">
      <w:p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 xml:space="preserve">Η έναρξη της θεραπείας ή </w:t>
      </w:r>
      <w:r w:rsidR="00B47B5B">
        <w:rPr>
          <w:rFonts w:ascii="Times New Roman" w:hAnsi="Times New Roman" w:cs="Times New Roman"/>
        </w:rPr>
        <w:t>ενός νέου κύκλου</w:t>
      </w:r>
      <w:r w:rsidRPr="00E230C5">
        <w:rPr>
          <w:rFonts w:ascii="Times New Roman" w:hAnsi="Times New Roman" w:cs="Times New Roman"/>
        </w:rPr>
        <w:t xml:space="preserve"> θεραπείας θα πρέπει να καθυστερήσει σε ασθενείς με μη επουλωμένες βλάβες των μαλακών μορίων </w:t>
      </w:r>
      <w:r w:rsidR="00B47B5B">
        <w:rPr>
          <w:rFonts w:ascii="Times New Roman" w:hAnsi="Times New Roman" w:cs="Times New Roman"/>
        </w:rPr>
        <w:t>του στόματος</w:t>
      </w:r>
      <w:r w:rsidRPr="00E230C5">
        <w:rPr>
          <w:rFonts w:ascii="Times New Roman" w:hAnsi="Times New Roman" w:cs="Times New Roman"/>
        </w:rPr>
        <w:t>.</w:t>
      </w:r>
    </w:p>
    <w:p w:rsidR="00E34701" w:rsidRPr="00E230C5" w:rsidRDefault="00E34701" w:rsidP="009F45F0">
      <w:pPr>
        <w:autoSpaceDE w:val="0"/>
        <w:autoSpaceDN w:val="0"/>
        <w:adjustRightInd w:val="0"/>
        <w:spacing w:after="0" w:line="240" w:lineRule="auto"/>
        <w:jc w:val="both"/>
        <w:rPr>
          <w:rFonts w:ascii="Times New Roman" w:hAnsi="Times New Roman" w:cs="Times New Roman"/>
        </w:rPr>
      </w:pPr>
    </w:p>
    <w:p w:rsidR="003A44E4" w:rsidRPr="00E230C5" w:rsidRDefault="00E34701" w:rsidP="003221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Συνίσταται </w:t>
      </w:r>
      <w:r w:rsidR="003A44E4" w:rsidRPr="00E230C5">
        <w:rPr>
          <w:rFonts w:ascii="Times New Roman" w:eastAsia="Times New Roman" w:hAnsi="Times New Roman" w:cs="Times New Roman"/>
          <w:color w:val="000000"/>
          <w:sz w:val="24"/>
          <w:szCs w:val="24"/>
        </w:rPr>
        <w:t xml:space="preserve">μία </w:t>
      </w:r>
      <w:r w:rsidR="00B47B5B">
        <w:rPr>
          <w:rFonts w:ascii="Times New Roman" w:eastAsia="Times New Roman" w:hAnsi="Times New Roman" w:cs="Times New Roman"/>
          <w:color w:val="000000"/>
          <w:sz w:val="24"/>
          <w:szCs w:val="24"/>
        </w:rPr>
        <w:t xml:space="preserve">προληπτική </w:t>
      </w:r>
      <w:r w:rsidRPr="00E230C5">
        <w:rPr>
          <w:rFonts w:ascii="Times New Roman" w:eastAsia="Times New Roman" w:hAnsi="Times New Roman" w:cs="Times New Roman"/>
          <w:color w:val="000000"/>
          <w:sz w:val="24"/>
          <w:szCs w:val="24"/>
        </w:rPr>
        <w:t xml:space="preserve">οδοντιατρική </w:t>
      </w:r>
      <w:r w:rsidR="003A44E4" w:rsidRPr="00E230C5">
        <w:rPr>
          <w:rFonts w:ascii="Times New Roman" w:eastAsia="Times New Roman" w:hAnsi="Times New Roman" w:cs="Times New Roman"/>
          <w:color w:val="000000"/>
          <w:sz w:val="24"/>
          <w:szCs w:val="24"/>
        </w:rPr>
        <w:t xml:space="preserve">εξέταση </w:t>
      </w:r>
      <w:r w:rsidR="00B47B5B">
        <w:rPr>
          <w:rFonts w:ascii="Times New Roman" w:eastAsia="Times New Roman" w:hAnsi="Times New Roman" w:cs="Times New Roman"/>
          <w:color w:val="000000"/>
          <w:sz w:val="24"/>
          <w:szCs w:val="24"/>
        </w:rPr>
        <w:t xml:space="preserve">και </w:t>
      </w:r>
      <w:r w:rsidRPr="00E230C5">
        <w:rPr>
          <w:rFonts w:ascii="Times New Roman" w:eastAsia="Times New Roman" w:hAnsi="Times New Roman" w:cs="Times New Roman"/>
          <w:color w:val="000000"/>
          <w:sz w:val="24"/>
          <w:szCs w:val="24"/>
        </w:rPr>
        <w:t xml:space="preserve">μία ατομική αξιολόγηση </w:t>
      </w:r>
      <w:r w:rsidR="003559FB">
        <w:rPr>
          <w:rFonts w:ascii="Times New Roman" w:eastAsia="Times New Roman" w:hAnsi="Times New Roman" w:cs="Times New Roman"/>
          <w:color w:val="000000"/>
          <w:sz w:val="24"/>
          <w:szCs w:val="24"/>
        </w:rPr>
        <w:t xml:space="preserve">της σχέσης </w:t>
      </w:r>
      <w:r w:rsidRPr="00E230C5">
        <w:rPr>
          <w:rFonts w:ascii="Times New Roman" w:eastAsia="Times New Roman" w:hAnsi="Times New Roman" w:cs="Times New Roman"/>
          <w:color w:val="000000"/>
          <w:sz w:val="24"/>
          <w:szCs w:val="24"/>
        </w:rPr>
        <w:t>οφέλους-</w:t>
      </w:r>
      <w:r w:rsidR="003A44E4" w:rsidRPr="00E230C5">
        <w:rPr>
          <w:rFonts w:ascii="Times New Roman" w:eastAsia="Times New Roman" w:hAnsi="Times New Roman" w:cs="Times New Roman"/>
          <w:color w:val="000000"/>
          <w:sz w:val="24"/>
          <w:szCs w:val="24"/>
        </w:rPr>
        <w:t xml:space="preserve">κινδύνου </w:t>
      </w:r>
      <w:r w:rsidRPr="00E230C5">
        <w:rPr>
          <w:rFonts w:ascii="Times New Roman" w:eastAsia="Times New Roman" w:hAnsi="Times New Roman" w:cs="Times New Roman"/>
          <w:color w:val="000000"/>
          <w:sz w:val="24"/>
          <w:szCs w:val="24"/>
        </w:rPr>
        <w:t>πριν τη θεραπεία με IBONDEM σε ασθενείς με συνυπάρχοντες παράγοντες κινδύνου.</w:t>
      </w:r>
    </w:p>
    <w:p w:rsidR="00C121DC" w:rsidRPr="00E230C5" w:rsidRDefault="00C121DC">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C121DC" w:rsidRPr="00E230C5" w:rsidRDefault="00C121DC" w:rsidP="009F45F0">
      <w:p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Οι ακόλουθοι παράγοντες κινδύνου θα πρέπει να λ</w:t>
      </w:r>
      <w:r w:rsidR="00C01BC7">
        <w:rPr>
          <w:rFonts w:ascii="Times New Roman" w:hAnsi="Times New Roman" w:cs="Times New Roman"/>
        </w:rPr>
        <w:t>αμβάνονται</w:t>
      </w:r>
      <w:r w:rsidRPr="00E230C5">
        <w:rPr>
          <w:rFonts w:ascii="Times New Roman" w:hAnsi="Times New Roman" w:cs="Times New Roman"/>
        </w:rPr>
        <w:t xml:space="preserve"> </w:t>
      </w:r>
      <w:r w:rsidR="001E2B3B" w:rsidRPr="00E230C5">
        <w:rPr>
          <w:rFonts w:ascii="Times New Roman" w:hAnsi="Times New Roman" w:cs="Times New Roman"/>
        </w:rPr>
        <w:t>υπόψη</w:t>
      </w:r>
      <w:r w:rsidRPr="00E230C5">
        <w:rPr>
          <w:rFonts w:ascii="Times New Roman" w:hAnsi="Times New Roman" w:cs="Times New Roman"/>
        </w:rPr>
        <w:t xml:space="preserve"> όταν εκτιμάται ο κίνδυνος</w:t>
      </w:r>
      <w:r w:rsidR="00C01BC7">
        <w:rPr>
          <w:rFonts w:ascii="Times New Roman" w:hAnsi="Times New Roman" w:cs="Times New Roman"/>
        </w:rPr>
        <w:t xml:space="preserve"> </w:t>
      </w:r>
      <w:r w:rsidR="00641C55">
        <w:rPr>
          <w:rFonts w:ascii="Times New Roman" w:hAnsi="Times New Roman" w:cs="Times New Roman"/>
        </w:rPr>
        <w:t>για τον</w:t>
      </w:r>
    </w:p>
    <w:p w:rsidR="00C121DC" w:rsidRPr="00E230C5" w:rsidRDefault="00C121DC" w:rsidP="009F45F0">
      <w:p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ασθεν</w:t>
      </w:r>
      <w:r w:rsidR="00641C55">
        <w:rPr>
          <w:rFonts w:ascii="Times New Roman" w:hAnsi="Times New Roman" w:cs="Times New Roman"/>
        </w:rPr>
        <w:t>ή</w:t>
      </w:r>
      <w:r w:rsidRPr="00E230C5">
        <w:rPr>
          <w:rFonts w:ascii="Times New Roman" w:hAnsi="Times New Roman" w:cs="Times New Roman"/>
        </w:rPr>
        <w:t xml:space="preserve"> να αναπτύξει οστεονέκρωση της γνάθου:</w:t>
      </w:r>
    </w:p>
    <w:p w:rsidR="00C121DC" w:rsidRPr="00E230C5" w:rsidRDefault="00C01BC7" w:rsidP="009F45F0">
      <w:pPr>
        <w:pStyle w:val="a5"/>
        <w:numPr>
          <w:ilvl w:val="0"/>
          <w:numId w:val="4"/>
        </w:num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lastRenderedPageBreak/>
        <w:t>Η δ</w:t>
      </w:r>
      <w:r w:rsidR="00C121DC" w:rsidRPr="00E230C5">
        <w:rPr>
          <w:rFonts w:ascii="Times New Roman" w:hAnsi="Times New Roman" w:cs="Times New Roman"/>
        </w:rPr>
        <w:t xml:space="preserve">ραστικότητα </w:t>
      </w:r>
      <w:r>
        <w:rPr>
          <w:rFonts w:ascii="Times New Roman" w:hAnsi="Times New Roman" w:cs="Times New Roman"/>
        </w:rPr>
        <w:t xml:space="preserve">του </w:t>
      </w:r>
      <w:r w:rsidR="00C121DC" w:rsidRPr="00E230C5">
        <w:rPr>
          <w:rFonts w:ascii="Times New Roman" w:hAnsi="Times New Roman" w:cs="Times New Roman"/>
        </w:rPr>
        <w:t xml:space="preserve">φαρμακευτικού προϊόντος </w:t>
      </w:r>
      <w:r w:rsidR="00641C55">
        <w:rPr>
          <w:rFonts w:ascii="Times New Roman" w:hAnsi="Times New Roman" w:cs="Times New Roman"/>
        </w:rPr>
        <w:t>που</w:t>
      </w:r>
      <w:r w:rsidR="00C121DC" w:rsidRPr="00E230C5">
        <w:rPr>
          <w:rFonts w:ascii="Times New Roman" w:hAnsi="Times New Roman" w:cs="Times New Roman"/>
        </w:rPr>
        <w:t xml:space="preserve"> αναστέλλει την απορρόφηση του οστού</w:t>
      </w:r>
    </w:p>
    <w:p w:rsidR="00C121DC" w:rsidRPr="00E230C5" w:rsidRDefault="001949CD" w:rsidP="009F45F0">
      <w:p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 xml:space="preserve">     </w:t>
      </w:r>
      <w:r w:rsidR="00C121DC" w:rsidRPr="00E230C5">
        <w:rPr>
          <w:rFonts w:ascii="Times New Roman" w:hAnsi="Times New Roman" w:cs="Times New Roman"/>
        </w:rPr>
        <w:t xml:space="preserve">(υψηλότερος κίνδυνος </w:t>
      </w:r>
      <w:r w:rsidR="00E56122">
        <w:rPr>
          <w:rFonts w:ascii="Times New Roman" w:hAnsi="Times New Roman" w:cs="Times New Roman"/>
        </w:rPr>
        <w:t xml:space="preserve">με </w:t>
      </w:r>
      <w:r w:rsidR="001E2B3B">
        <w:rPr>
          <w:rFonts w:ascii="Times New Roman" w:hAnsi="Times New Roman" w:cs="Times New Roman"/>
        </w:rPr>
        <w:t xml:space="preserve">τις </w:t>
      </w:r>
      <w:r w:rsidR="00E56122">
        <w:rPr>
          <w:rFonts w:ascii="Times New Roman" w:hAnsi="Times New Roman" w:cs="Times New Roman"/>
        </w:rPr>
        <w:t>υψηλής δραστκότητας ουσίες</w:t>
      </w:r>
      <w:r w:rsidR="00C121DC" w:rsidRPr="00E230C5">
        <w:rPr>
          <w:rFonts w:ascii="Times New Roman" w:hAnsi="Times New Roman" w:cs="Times New Roman"/>
        </w:rPr>
        <w:t>), οδός χορήγησης (υψηλότερος</w:t>
      </w:r>
    </w:p>
    <w:p w:rsidR="00C121DC" w:rsidRPr="00E230C5" w:rsidRDefault="00C121DC" w:rsidP="009F45F0">
      <w:pPr>
        <w:pStyle w:val="a5"/>
        <w:autoSpaceDE w:val="0"/>
        <w:autoSpaceDN w:val="0"/>
        <w:adjustRightInd w:val="0"/>
        <w:spacing w:after="0" w:line="240" w:lineRule="auto"/>
        <w:ind w:left="360"/>
        <w:jc w:val="both"/>
        <w:rPr>
          <w:rFonts w:ascii="Times New Roman" w:hAnsi="Times New Roman" w:cs="Times New Roman"/>
        </w:rPr>
      </w:pPr>
      <w:r w:rsidRPr="00E230C5">
        <w:rPr>
          <w:rFonts w:ascii="Times New Roman" w:hAnsi="Times New Roman" w:cs="Times New Roman"/>
        </w:rPr>
        <w:t xml:space="preserve">κίνδυνος </w:t>
      </w:r>
      <w:r w:rsidR="00C01BC7">
        <w:rPr>
          <w:rFonts w:ascii="Times New Roman" w:hAnsi="Times New Roman" w:cs="Times New Roman"/>
        </w:rPr>
        <w:t>με τη</w:t>
      </w:r>
      <w:r w:rsidR="00641C55">
        <w:rPr>
          <w:rFonts w:ascii="Times New Roman" w:hAnsi="Times New Roman" w:cs="Times New Roman"/>
        </w:rPr>
        <w:t>ν</w:t>
      </w:r>
      <w:r w:rsidRPr="00E230C5">
        <w:rPr>
          <w:rFonts w:ascii="Times New Roman" w:hAnsi="Times New Roman" w:cs="Times New Roman"/>
        </w:rPr>
        <w:t xml:space="preserve"> παρεντερική χορήγηση) και αθροιστική δόση της θεραπείας </w:t>
      </w:r>
      <w:r w:rsidR="00C01BC7">
        <w:rPr>
          <w:rFonts w:ascii="Times New Roman" w:hAnsi="Times New Roman" w:cs="Times New Roman"/>
        </w:rPr>
        <w:t xml:space="preserve"> </w:t>
      </w:r>
      <w:r w:rsidR="001E2B3B">
        <w:rPr>
          <w:rFonts w:ascii="Times New Roman" w:hAnsi="Times New Roman" w:cs="Times New Roman"/>
        </w:rPr>
        <w:t>για</w:t>
      </w:r>
      <w:r w:rsidRPr="00E230C5">
        <w:rPr>
          <w:rFonts w:ascii="Times New Roman" w:hAnsi="Times New Roman" w:cs="Times New Roman"/>
        </w:rPr>
        <w:t xml:space="preserve"> την</w:t>
      </w:r>
      <w:r w:rsidR="001E2B3B">
        <w:rPr>
          <w:rFonts w:ascii="Times New Roman" w:hAnsi="Times New Roman" w:cs="Times New Roman"/>
        </w:rPr>
        <w:t xml:space="preserve"> οστική</w:t>
      </w:r>
      <w:r w:rsidR="00E56122">
        <w:rPr>
          <w:rFonts w:ascii="Times New Roman" w:hAnsi="Times New Roman" w:cs="Times New Roman"/>
        </w:rPr>
        <w:t xml:space="preserve"> </w:t>
      </w:r>
      <w:r w:rsidRPr="00E230C5">
        <w:rPr>
          <w:rFonts w:ascii="Times New Roman" w:hAnsi="Times New Roman" w:cs="Times New Roman"/>
        </w:rPr>
        <w:t>απορρόφηση</w:t>
      </w:r>
      <w:r w:rsidR="001949CD" w:rsidRPr="00E230C5">
        <w:rPr>
          <w:rFonts w:ascii="Times New Roman" w:hAnsi="Times New Roman" w:cs="Times New Roman"/>
        </w:rPr>
        <w:t xml:space="preserve"> </w:t>
      </w:r>
    </w:p>
    <w:p w:rsidR="00C121DC" w:rsidRPr="00E230C5" w:rsidRDefault="00C121DC" w:rsidP="009F45F0">
      <w:pPr>
        <w:pStyle w:val="a5"/>
        <w:numPr>
          <w:ilvl w:val="0"/>
          <w:numId w:val="6"/>
        </w:num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Καρκίνος, καταστάσεις συνοσηρότητας (π.χ. αναιμία, διαταραχές της πηκτικότητας, λοίμωξη),</w:t>
      </w:r>
      <w:r w:rsidR="001949CD" w:rsidRPr="00E230C5">
        <w:rPr>
          <w:rFonts w:ascii="Times New Roman" w:hAnsi="Times New Roman" w:cs="Times New Roman"/>
        </w:rPr>
        <w:t xml:space="preserve"> </w:t>
      </w:r>
      <w:r w:rsidRPr="00E230C5">
        <w:rPr>
          <w:rFonts w:ascii="Times New Roman" w:hAnsi="Times New Roman" w:cs="Times New Roman"/>
        </w:rPr>
        <w:t>κάπνισμα</w:t>
      </w:r>
    </w:p>
    <w:p w:rsidR="00C121DC" w:rsidRPr="00E230C5" w:rsidRDefault="00C121DC" w:rsidP="009F45F0">
      <w:pPr>
        <w:pStyle w:val="a5"/>
        <w:numPr>
          <w:ilvl w:val="0"/>
          <w:numId w:val="6"/>
        </w:num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Ταυτόχρονες θεραπείες: κορτικοστεροειδή, χημειοθεραπεία, αναστολείς αγγειογένεσης,</w:t>
      </w:r>
    </w:p>
    <w:p w:rsidR="00C121DC" w:rsidRPr="00E230C5" w:rsidRDefault="00C121DC" w:rsidP="009F45F0">
      <w:pPr>
        <w:pStyle w:val="a5"/>
        <w:autoSpaceDE w:val="0"/>
        <w:autoSpaceDN w:val="0"/>
        <w:adjustRightInd w:val="0"/>
        <w:spacing w:after="0" w:line="240" w:lineRule="auto"/>
        <w:ind w:left="360"/>
        <w:jc w:val="both"/>
        <w:rPr>
          <w:rFonts w:ascii="Times New Roman" w:hAnsi="Times New Roman" w:cs="Times New Roman"/>
        </w:rPr>
      </w:pPr>
      <w:r w:rsidRPr="00E230C5">
        <w:rPr>
          <w:rFonts w:ascii="Times New Roman" w:hAnsi="Times New Roman" w:cs="Times New Roman"/>
        </w:rPr>
        <w:t xml:space="preserve">ακτινοθεραπεία </w:t>
      </w:r>
      <w:r w:rsidR="00E56122" w:rsidRPr="009F45F0">
        <w:rPr>
          <w:rFonts w:ascii="Times New Roman" w:hAnsi="Times New Roman" w:cs="Times New Roman"/>
        </w:rPr>
        <w:t>κεφαλής – τραχήλου</w:t>
      </w:r>
      <w:r w:rsidR="00E56122">
        <w:rPr>
          <w:rFonts w:ascii="Times New Roman" w:hAnsi="Times New Roman" w:cs="Times New Roman"/>
        </w:rPr>
        <w:t>.</w:t>
      </w:r>
    </w:p>
    <w:p w:rsidR="003A44E4" w:rsidRPr="00E230C5" w:rsidRDefault="00C121DC" w:rsidP="009F45F0">
      <w:pPr>
        <w:pStyle w:val="a5"/>
        <w:numPr>
          <w:ilvl w:val="0"/>
          <w:numId w:val="6"/>
        </w:num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 xml:space="preserve">Ανεπαρκής στοματική </w:t>
      </w:r>
      <w:r w:rsidR="00CF7D3B" w:rsidRPr="00E230C5">
        <w:rPr>
          <w:rFonts w:ascii="Times New Roman" w:hAnsi="Times New Roman" w:cs="Times New Roman"/>
        </w:rPr>
        <w:t>υγιεινή</w:t>
      </w:r>
      <w:r w:rsidRPr="00E230C5">
        <w:rPr>
          <w:rFonts w:ascii="Times New Roman" w:hAnsi="Times New Roman" w:cs="Times New Roman"/>
        </w:rPr>
        <w:t>, περιοδοντική νόσος, ανεπαρκώς τοποθετημένη οδοντοστοιχία,</w:t>
      </w:r>
      <w:r w:rsidR="001949CD" w:rsidRPr="00E230C5">
        <w:rPr>
          <w:rFonts w:ascii="Times New Roman" w:hAnsi="Times New Roman" w:cs="Times New Roman"/>
        </w:rPr>
        <w:t xml:space="preserve"> </w:t>
      </w:r>
      <w:r w:rsidRPr="00E230C5">
        <w:rPr>
          <w:rFonts w:ascii="Times New Roman" w:hAnsi="Times New Roman" w:cs="Times New Roman"/>
        </w:rPr>
        <w:t>ιστορικό οδοντικής νόσου, επεμβατικές οδοντιατρικές διαδικασίες π.χ. εξαγωγή δοντιού</w:t>
      </w:r>
    </w:p>
    <w:p w:rsidR="001949CD" w:rsidRPr="00E230C5" w:rsidRDefault="001949CD" w:rsidP="001949CD">
      <w:pPr>
        <w:pStyle w:val="a5"/>
        <w:autoSpaceDE w:val="0"/>
        <w:autoSpaceDN w:val="0"/>
        <w:adjustRightInd w:val="0"/>
        <w:spacing w:after="0" w:line="240" w:lineRule="auto"/>
        <w:ind w:left="360"/>
        <w:rPr>
          <w:rFonts w:ascii="Times New Roman" w:hAnsi="Times New Roman" w:cs="Times New Roman"/>
        </w:rPr>
      </w:pPr>
    </w:p>
    <w:p w:rsidR="001949CD" w:rsidRPr="00E230C5" w:rsidRDefault="001949CD" w:rsidP="009F45F0">
      <w:pPr>
        <w:autoSpaceDE w:val="0"/>
        <w:autoSpaceDN w:val="0"/>
        <w:adjustRightInd w:val="0"/>
        <w:spacing w:after="0" w:line="240" w:lineRule="auto"/>
        <w:jc w:val="both"/>
        <w:rPr>
          <w:rFonts w:ascii="Times New Roman" w:hAnsi="Times New Roman" w:cs="Times New Roman"/>
        </w:rPr>
      </w:pPr>
      <w:r w:rsidRPr="00E230C5">
        <w:rPr>
          <w:rFonts w:ascii="Times New Roman" w:hAnsi="Times New Roman" w:cs="Times New Roman"/>
        </w:rPr>
        <w:t>Όλοι οι ασθενείς θα πρέπει να προτρέπονται να διατηρούν καλή στοματική υγ</w:t>
      </w:r>
      <w:r w:rsidR="003539AC">
        <w:rPr>
          <w:rFonts w:ascii="Times New Roman" w:hAnsi="Times New Roman" w:cs="Times New Roman"/>
        </w:rPr>
        <w:t>ι</w:t>
      </w:r>
      <w:r w:rsidRPr="00E230C5">
        <w:rPr>
          <w:rFonts w:ascii="Times New Roman" w:hAnsi="Times New Roman" w:cs="Times New Roman"/>
        </w:rPr>
        <w:t xml:space="preserve">εινή, να </w:t>
      </w:r>
      <w:r w:rsidR="00641C55">
        <w:rPr>
          <w:rFonts w:ascii="Times New Roman" w:hAnsi="Times New Roman" w:cs="Times New Roman"/>
        </w:rPr>
        <w:t>υπόκεινται σε</w:t>
      </w:r>
      <w:r w:rsidR="003539AC">
        <w:rPr>
          <w:rFonts w:ascii="Times New Roman" w:hAnsi="Times New Roman" w:cs="Times New Roman"/>
        </w:rPr>
        <w:t xml:space="preserve"> </w:t>
      </w:r>
      <w:r w:rsidRPr="00E230C5">
        <w:rPr>
          <w:rFonts w:ascii="Times New Roman" w:hAnsi="Times New Roman" w:cs="Times New Roman"/>
        </w:rPr>
        <w:t xml:space="preserve">τακτικούς οδοντιατρικούς ελέγχους και να αναφέρουν αμέσως οποιαδήποτε στοματικά συμπτώματα όπως οδοντική κινητικότητα, πόνο ή πρήξιμο, ή μη επούλωση των ελκών ή </w:t>
      </w:r>
      <w:r w:rsidR="00641C55">
        <w:rPr>
          <w:rFonts w:ascii="Times New Roman" w:hAnsi="Times New Roman" w:cs="Times New Roman"/>
        </w:rPr>
        <w:t>εκκρίσεις</w:t>
      </w:r>
      <w:r w:rsidRPr="00E230C5">
        <w:rPr>
          <w:rFonts w:ascii="Times New Roman" w:hAnsi="Times New Roman" w:cs="Times New Roman"/>
        </w:rPr>
        <w:t xml:space="preserve"> κατά τη διάρκεια της θεραπείας με </w:t>
      </w:r>
      <w:r w:rsidRPr="00E230C5">
        <w:rPr>
          <w:rFonts w:ascii="Times New Roman" w:eastAsia="Times New Roman" w:hAnsi="Times New Roman" w:cs="Times New Roman"/>
          <w:color w:val="000000"/>
          <w:sz w:val="24"/>
          <w:szCs w:val="24"/>
        </w:rPr>
        <w:t>IBONDEM</w:t>
      </w:r>
      <w:r w:rsidRPr="00E230C5">
        <w:rPr>
          <w:rFonts w:ascii="Times New Roman" w:hAnsi="Times New Roman" w:cs="Times New Roman"/>
        </w:rPr>
        <w:t xml:space="preserve">. Κατά τη διάρκεια της θεραπείας, επεμβατικές οδοντιατρικές διαδικασίες θα πρέπει να γίνονται μόνο μετά από προσεκτική </w:t>
      </w:r>
      <w:r w:rsidR="00641C55">
        <w:rPr>
          <w:rFonts w:ascii="Times New Roman" w:hAnsi="Times New Roman" w:cs="Times New Roman"/>
        </w:rPr>
        <w:t>αξιολόγηση</w:t>
      </w:r>
      <w:r w:rsidRPr="00E230C5">
        <w:rPr>
          <w:rFonts w:ascii="Times New Roman" w:hAnsi="Times New Roman" w:cs="Times New Roman"/>
        </w:rPr>
        <w:t xml:space="preserve"> και θα πρέπει να αποφεύγονται πολύ κοντά στη χορήγηση του </w:t>
      </w:r>
      <w:r w:rsidRPr="00E230C5">
        <w:rPr>
          <w:rFonts w:ascii="Times New Roman" w:eastAsia="Times New Roman" w:hAnsi="Times New Roman" w:cs="Times New Roman"/>
          <w:color w:val="000000"/>
          <w:sz w:val="24"/>
          <w:szCs w:val="24"/>
        </w:rPr>
        <w:t>IBONDEM</w:t>
      </w:r>
      <w:r w:rsidRPr="00E230C5">
        <w:rPr>
          <w:rFonts w:ascii="Times New Roman" w:hAnsi="Times New Roman" w:cs="Times New Roman"/>
        </w:rPr>
        <w:t>.</w:t>
      </w:r>
    </w:p>
    <w:p w:rsidR="001949CD" w:rsidRPr="00E230C5" w:rsidRDefault="001949CD" w:rsidP="009F45F0">
      <w:pPr>
        <w:autoSpaceDE w:val="0"/>
        <w:autoSpaceDN w:val="0"/>
        <w:adjustRightInd w:val="0"/>
        <w:spacing w:after="0" w:line="240" w:lineRule="auto"/>
        <w:jc w:val="both"/>
        <w:rPr>
          <w:rFonts w:ascii="Times New Roman" w:hAnsi="Times New Roman" w:cs="Times New Roman"/>
        </w:rPr>
      </w:pPr>
    </w:p>
    <w:p w:rsidR="001949CD" w:rsidRPr="00E230C5" w:rsidRDefault="001949CD" w:rsidP="00322193">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hAnsi="Times New Roman" w:cs="Times New Roman"/>
        </w:rPr>
        <w:t xml:space="preserve">Το πλάνο διαχείρισης ασθενών οι οποίοι αναπτύσσουν οστεονέκρωση της γνάθου θα πρέπει να γίνεται σε στενή συνεργασία μεταξύ του θεράποντος γιατρού και του οδοντιάτρου ή του </w:t>
      </w:r>
      <w:r w:rsidR="00641C55">
        <w:rPr>
          <w:rFonts w:ascii="Times New Roman" w:hAnsi="Times New Roman" w:cs="Times New Roman"/>
        </w:rPr>
        <w:t>γναθο</w:t>
      </w:r>
      <w:r w:rsidRPr="00E230C5">
        <w:rPr>
          <w:rFonts w:ascii="Times New Roman" w:hAnsi="Times New Roman" w:cs="Times New Roman"/>
        </w:rPr>
        <w:t xml:space="preserve">χειρουργού με ειδίκευση στην οστεονέκρωση της γνάθου. Προσωρινή διακοπή της θεραπείας με </w:t>
      </w:r>
      <w:r w:rsidRPr="00E230C5">
        <w:rPr>
          <w:rFonts w:ascii="Times New Roman" w:eastAsia="Times New Roman" w:hAnsi="Times New Roman" w:cs="Times New Roman"/>
          <w:color w:val="000000"/>
          <w:sz w:val="24"/>
          <w:szCs w:val="24"/>
        </w:rPr>
        <w:t>IBONDEM</w:t>
      </w:r>
      <w:r w:rsidRPr="00E230C5">
        <w:rPr>
          <w:rFonts w:ascii="Times New Roman" w:hAnsi="Times New Roman" w:cs="Times New Roman"/>
        </w:rPr>
        <w:t xml:space="preserve"> θα πρέπει να εξετάζεται μέχρι την υποχώρηση της κατάστασης και μέχρι οι </w:t>
      </w:r>
      <w:r w:rsidR="00051D8F">
        <w:rPr>
          <w:rFonts w:ascii="Times New Roman" w:hAnsi="Times New Roman" w:cs="Times New Roman"/>
        </w:rPr>
        <w:t xml:space="preserve"> </w:t>
      </w:r>
      <w:r w:rsidRPr="00E230C5">
        <w:rPr>
          <w:rFonts w:ascii="Times New Roman" w:hAnsi="Times New Roman" w:cs="Times New Roman"/>
        </w:rPr>
        <w:t xml:space="preserve">παράγοντες κινδύνου </w:t>
      </w:r>
      <w:r w:rsidR="00051D8F">
        <w:rPr>
          <w:rFonts w:ascii="Times New Roman" w:hAnsi="Times New Roman" w:cs="Times New Roman"/>
        </w:rPr>
        <w:t>που συμβάλλουν σε αυτ</w:t>
      </w:r>
      <w:r w:rsidR="00322193">
        <w:rPr>
          <w:rFonts w:ascii="Times New Roman" w:hAnsi="Times New Roman" w:cs="Times New Roman"/>
        </w:rPr>
        <w:t>ή</w:t>
      </w:r>
      <w:r w:rsidR="00051D8F">
        <w:rPr>
          <w:rFonts w:ascii="Times New Roman" w:hAnsi="Times New Roman" w:cs="Times New Roman"/>
        </w:rPr>
        <w:t xml:space="preserve"> </w:t>
      </w:r>
      <w:r w:rsidRPr="00E230C5">
        <w:rPr>
          <w:rFonts w:ascii="Times New Roman" w:hAnsi="Times New Roman" w:cs="Times New Roman"/>
        </w:rPr>
        <w:t xml:space="preserve">να μετριασθούν, </w:t>
      </w:r>
      <w:r w:rsidR="00051D8F">
        <w:rPr>
          <w:rFonts w:ascii="Times New Roman" w:hAnsi="Times New Roman" w:cs="Times New Roman"/>
        </w:rPr>
        <w:t>όσο</w:t>
      </w:r>
      <w:r w:rsidRPr="00E230C5">
        <w:rPr>
          <w:rFonts w:ascii="Times New Roman" w:hAnsi="Times New Roman" w:cs="Times New Roman"/>
        </w:rPr>
        <w:t xml:space="preserve"> είναι δυνατόν.</w:t>
      </w:r>
      <w:r w:rsidRPr="00E230C5" w:rsidDel="001949CD">
        <w:rPr>
          <w:rFonts w:ascii="Times New Roman" w:eastAsia="Times New Roman" w:hAnsi="Times New Roman" w:cs="Times New Roman"/>
          <w:color w:val="000000"/>
          <w:sz w:val="24"/>
          <w:szCs w:val="24"/>
        </w:rPr>
        <w:t xml:space="preserve"> </w:t>
      </w:r>
    </w:p>
    <w:p w:rsidR="00E34701" w:rsidRPr="00E230C5" w:rsidRDefault="00E34701" w:rsidP="004B546A">
      <w:pPr>
        <w:autoSpaceDE w:val="0"/>
        <w:autoSpaceDN w:val="0"/>
        <w:adjustRightInd w:val="0"/>
        <w:spacing w:after="0" w:line="240" w:lineRule="auto"/>
        <w:jc w:val="both"/>
        <w:rPr>
          <w:rFonts w:ascii="Times New Roman" w:eastAsia="Times New Roman" w:hAnsi="Times New Roman" w:cs="Times New Roman"/>
          <w:iCs/>
          <w:color w:val="000000"/>
          <w:sz w:val="24"/>
          <w:szCs w:val="24"/>
          <w:u w:val="single"/>
        </w:rPr>
      </w:pPr>
    </w:p>
    <w:p w:rsidR="004B546A" w:rsidRPr="00E230C5" w:rsidRDefault="004B546A" w:rsidP="004B546A">
      <w:pPr>
        <w:autoSpaceDE w:val="0"/>
        <w:autoSpaceDN w:val="0"/>
        <w:adjustRightInd w:val="0"/>
        <w:spacing w:after="0" w:line="240" w:lineRule="auto"/>
        <w:jc w:val="both"/>
        <w:rPr>
          <w:rFonts w:ascii="Times New Roman" w:eastAsia="Times New Roman" w:hAnsi="Times New Roman" w:cs="Times New Roman"/>
          <w:iCs/>
          <w:color w:val="000000"/>
          <w:sz w:val="24"/>
          <w:szCs w:val="24"/>
          <w:u w:val="single"/>
        </w:rPr>
      </w:pPr>
      <w:r w:rsidRPr="00E230C5">
        <w:rPr>
          <w:rFonts w:ascii="Times New Roman" w:eastAsia="Times New Roman" w:hAnsi="Times New Roman" w:cs="Times New Roman"/>
          <w:iCs/>
          <w:color w:val="000000"/>
          <w:sz w:val="24"/>
          <w:szCs w:val="24"/>
          <w:u w:val="single"/>
        </w:rPr>
        <w:t xml:space="preserve">Οστεονέκρωση του </w:t>
      </w:r>
      <w:r w:rsidR="00051D8F">
        <w:rPr>
          <w:rFonts w:ascii="Times New Roman" w:eastAsia="Times New Roman" w:hAnsi="Times New Roman" w:cs="Times New Roman"/>
          <w:iCs/>
          <w:color w:val="000000"/>
          <w:sz w:val="24"/>
          <w:szCs w:val="24"/>
          <w:u w:val="single"/>
        </w:rPr>
        <w:t>έ</w:t>
      </w:r>
      <w:r w:rsidRPr="00E230C5">
        <w:rPr>
          <w:rFonts w:ascii="Times New Roman" w:eastAsia="Times New Roman" w:hAnsi="Times New Roman" w:cs="Times New Roman"/>
          <w:iCs/>
          <w:color w:val="000000"/>
          <w:sz w:val="24"/>
          <w:szCs w:val="24"/>
          <w:u w:val="single"/>
        </w:rPr>
        <w:t>ξω ακουστικού πόρου</w:t>
      </w:r>
    </w:p>
    <w:p w:rsidR="004B546A" w:rsidRPr="00E230C5" w:rsidRDefault="00051D8F" w:rsidP="009F45F0">
      <w:pPr>
        <w:autoSpaceDE w:val="0"/>
        <w:autoSpaceDN w:val="0"/>
        <w:adjustRightInd w:val="0"/>
        <w:spacing w:after="0" w:line="240" w:lineRule="auto"/>
        <w:jc w:val="both"/>
        <w:rPr>
          <w:rFonts w:ascii="Times New Roman" w:hAnsi="Times New Roman" w:cs="Times New Roman"/>
        </w:rPr>
      </w:pPr>
      <w:r>
        <w:rPr>
          <w:rFonts w:ascii="Times New Roman" w:eastAsia="Times New Roman" w:hAnsi="Times New Roman" w:cs="Times New Roman"/>
          <w:iCs/>
          <w:color w:val="000000"/>
          <w:sz w:val="24"/>
          <w:szCs w:val="24"/>
        </w:rPr>
        <w:t>Ό</w:t>
      </w:r>
      <w:r w:rsidR="004B546A" w:rsidRPr="00E230C5">
        <w:rPr>
          <w:rFonts w:ascii="Times New Roman" w:eastAsia="Times New Roman" w:hAnsi="Times New Roman" w:cs="Times New Roman"/>
          <w:iCs/>
          <w:color w:val="000000"/>
          <w:sz w:val="24"/>
          <w:szCs w:val="24"/>
        </w:rPr>
        <w:t xml:space="preserve">στεονέκρωση του </w:t>
      </w:r>
      <w:r>
        <w:rPr>
          <w:rFonts w:ascii="Times New Roman" w:eastAsia="Times New Roman" w:hAnsi="Times New Roman" w:cs="Times New Roman"/>
          <w:iCs/>
          <w:color w:val="000000"/>
          <w:sz w:val="24"/>
          <w:szCs w:val="24"/>
        </w:rPr>
        <w:t>έ</w:t>
      </w:r>
      <w:r w:rsidR="004B546A" w:rsidRPr="00E230C5">
        <w:rPr>
          <w:rFonts w:ascii="Times New Roman" w:eastAsia="Times New Roman" w:hAnsi="Times New Roman" w:cs="Times New Roman"/>
          <w:iCs/>
          <w:color w:val="000000"/>
          <w:sz w:val="24"/>
          <w:szCs w:val="24"/>
        </w:rPr>
        <w:t>ξω</w:t>
      </w:r>
      <w:r w:rsidR="008529B8">
        <w:rPr>
          <w:rFonts w:ascii="Times New Roman" w:eastAsia="Times New Roman" w:hAnsi="Times New Roman" w:cs="Times New Roman"/>
          <w:iCs/>
          <w:color w:val="000000"/>
          <w:sz w:val="24"/>
          <w:szCs w:val="24"/>
        </w:rPr>
        <w:t xml:space="preserve"> </w:t>
      </w:r>
      <w:r w:rsidR="004B546A" w:rsidRPr="00E230C5">
        <w:rPr>
          <w:rFonts w:ascii="Times New Roman" w:eastAsia="Times New Roman" w:hAnsi="Times New Roman" w:cs="Times New Roman"/>
          <w:iCs/>
          <w:color w:val="000000"/>
          <w:sz w:val="24"/>
          <w:szCs w:val="24"/>
        </w:rPr>
        <w:t xml:space="preserve">ακουστικού πόρου </w:t>
      </w:r>
      <w:r w:rsidR="001949CD" w:rsidRPr="00E230C5">
        <w:rPr>
          <w:rFonts w:ascii="Times New Roman" w:eastAsia="Times New Roman" w:hAnsi="Times New Roman" w:cs="Times New Roman"/>
          <w:iCs/>
          <w:color w:val="000000"/>
          <w:sz w:val="24"/>
          <w:szCs w:val="24"/>
        </w:rPr>
        <w:t xml:space="preserve">έχει </w:t>
      </w:r>
      <w:r w:rsidR="004B546A" w:rsidRPr="00E230C5">
        <w:rPr>
          <w:rFonts w:ascii="Times New Roman" w:eastAsia="Times New Roman" w:hAnsi="Times New Roman" w:cs="Times New Roman"/>
          <w:iCs/>
          <w:color w:val="000000"/>
          <w:sz w:val="24"/>
          <w:szCs w:val="24"/>
        </w:rPr>
        <w:t>αναφ</w:t>
      </w:r>
      <w:r w:rsidR="001949CD" w:rsidRPr="00E230C5">
        <w:rPr>
          <w:rFonts w:ascii="Times New Roman" w:eastAsia="Times New Roman" w:hAnsi="Times New Roman" w:cs="Times New Roman"/>
          <w:iCs/>
          <w:color w:val="000000"/>
          <w:sz w:val="24"/>
          <w:szCs w:val="24"/>
        </w:rPr>
        <w:t>ε</w:t>
      </w:r>
      <w:r w:rsidR="004B546A" w:rsidRPr="00E230C5">
        <w:rPr>
          <w:rFonts w:ascii="Times New Roman" w:eastAsia="Times New Roman" w:hAnsi="Times New Roman" w:cs="Times New Roman"/>
          <w:iCs/>
          <w:color w:val="000000"/>
          <w:sz w:val="24"/>
          <w:szCs w:val="24"/>
        </w:rPr>
        <w:t>ρθ</w:t>
      </w:r>
      <w:r w:rsidR="001949CD" w:rsidRPr="00E230C5">
        <w:rPr>
          <w:rFonts w:ascii="Times New Roman" w:eastAsia="Times New Roman" w:hAnsi="Times New Roman" w:cs="Times New Roman"/>
          <w:iCs/>
          <w:color w:val="000000"/>
          <w:sz w:val="24"/>
          <w:szCs w:val="24"/>
        </w:rPr>
        <w:t>εί</w:t>
      </w:r>
      <w:r w:rsidR="004B546A" w:rsidRPr="00E230C5">
        <w:rPr>
          <w:rFonts w:ascii="Times New Roman" w:eastAsia="Times New Roman" w:hAnsi="Times New Roman" w:cs="Times New Roman"/>
          <w:iCs/>
          <w:color w:val="000000"/>
          <w:sz w:val="24"/>
          <w:szCs w:val="24"/>
        </w:rPr>
        <w:t xml:space="preserve"> με διφωσφονικ</w:t>
      </w:r>
      <w:r w:rsidR="001949CD" w:rsidRPr="00E230C5">
        <w:rPr>
          <w:rFonts w:ascii="Times New Roman" w:eastAsia="Times New Roman" w:hAnsi="Times New Roman" w:cs="Times New Roman"/>
          <w:iCs/>
          <w:color w:val="000000"/>
          <w:sz w:val="24"/>
          <w:szCs w:val="24"/>
        </w:rPr>
        <w:t>ά,</w:t>
      </w:r>
      <w:r w:rsidR="004B546A" w:rsidRPr="00E230C5">
        <w:rPr>
          <w:rFonts w:ascii="Times New Roman" w:eastAsia="Times New Roman" w:hAnsi="Times New Roman" w:cs="Times New Roman"/>
          <w:iCs/>
          <w:color w:val="000000"/>
          <w:sz w:val="24"/>
          <w:szCs w:val="24"/>
        </w:rPr>
        <w:t xml:space="preserve"> </w:t>
      </w:r>
      <w:r>
        <w:rPr>
          <w:rFonts w:ascii="Times New Roman" w:eastAsia="Times New Roman" w:hAnsi="Times New Roman" w:cs="Times New Roman"/>
          <w:iCs/>
          <w:color w:val="000000"/>
          <w:sz w:val="24"/>
          <w:szCs w:val="24"/>
        </w:rPr>
        <w:t>και έχει συσχετισθεί κυρίως</w:t>
      </w:r>
      <w:r w:rsidR="001949CD" w:rsidRPr="00E230C5">
        <w:rPr>
          <w:rFonts w:ascii="Times New Roman" w:eastAsia="Times New Roman" w:hAnsi="Times New Roman" w:cs="Times New Roman"/>
          <w:iCs/>
          <w:color w:val="000000"/>
          <w:sz w:val="24"/>
          <w:szCs w:val="24"/>
        </w:rPr>
        <w:t xml:space="preserve"> με </w:t>
      </w:r>
      <w:r w:rsidR="00322193">
        <w:rPr>
          <w:rFonts w:ascii="Times New Roman" w:eastAsia="Times New Roman" w:hAnsi="Times New Roman" w:cs="Times New Roman"/>
          <w:iCs/>
          <w:color w:val="000000"/>
          <w:sz w:val="24"/>
          <w:szCs w:val="24"/>
        </w:rPr>
        <w:t xml:space="preserve">τη </w:t>
      </w:r>
      <w:r w:rsidR="004B546A" w:rsidRPr="00E230C5">
        <w:rPr>
          <w:rFonts w:ascii="Times New Roman" w:eastAsia="Times New Roman" w:hAnsi="Times New Roman" w:cs="Times New Roman"/>
          <w:iCs/>
          <w:color w:val="000000"/>
          <w:sz w:val="24"/>
          <w:szCs w:val="24"/>
        </w:rPr>
        <w:t xml:space="preserve">μακροχρόνια θεραπεία. Στους </w:t>
      </w:r>
      <w:r w:rsidR="00322193">
        <w:rPr>
          <w:rFonts w:ascii="Times New Roman" w:eastAsia="Times New Roman" w:hAnsi="Times New Roman" w:cs="Times New Roman"/>
          <w:iCs/>
          <w:color w:val="000000"/>
          <w:sz w:val="24"/>
          <w:szCs w:val="24"/>
        </w:rPr>
        <w:t>πιθανούς</w:t>
      </w:r>
      <w:r w:rsidR="004B546A" w:rsidRPr="00E230C5">
        <w:rPr>
          <w:rFonts w:ascii="Times New Roman" w:eastAsia="Times New Roman" w:hAnsi="Times New Roman" w:cs="Times New Roman"/>
          <w:iCs/>
          <w:color w:val="000000"/>
          <w:sz w:val="24"/>
          <w:szCs w:val="24"/>
        </w:rPr>
        <w:t xml:space="preserve"> παράγοντες κινδύνου </w:t>
      </w:r>
      <w:r w:rsidR="001949CD" w:rsidRPr="00E230C5">
        <w:rPr>
          <w:rFonts w:ascii="Times New Roman" w:eastAsia="Times New Roman" w:hAnsi="Times New Roman" w:cs="Times New Roman"/>
          <w:iCs/>
          <w:color w:val="000000"/>
          <w:sz w:val="24"/>
          <w:szCs w:val="24"/>
        </w:rPr>
        <w:t xml:space="preserve">για </w:t>
      </w:r>
      <w:r w:rsidR="004B546A" w:rsidRPr="00E230C5">
        <w:rPr>
          <w:rFonts w:ascii="Times New Roman" w:eastAsia="Times New Roman" w:hAnsi="Times New Roman" w:cs="Times New Roman"/>
          <w:iCs/>
          <w:color w:val="000000"/>
          <w:sz w:val="24"/>
          <w:szCs w:val="24"/>
        </w:rPr>
        <w:t xml:space="preserve">οστεονέκρωση του </w:t>
      </w:r>
      <w:r w:rsidR="008529B8">
        <w:rPr>
          <w:rFonts w:ascii="Times New Roman" w:eastAsia="Times New Roman" w:hAnsi="Times New Roman" w:cs="Times New Roman"/>
          <w:iCs/>
          <w:color w:val="000000"/>
          <w:sz w:val="24"/>
          <w:szCs w:val="24"/>
        </w:rPr>
        <w:t>έξω</w:t>
      </w:r>
      <w:r w:rsidR="004B546A" w:rsidRPr="00E230C5">
        <w:rPr>
          <w:rFonts w:ascii="Times New Roman" w:eastAsia="Times New Roman" w:hAnsi="Times New Roman" w:cs="Times New Roman"/>
          <w:iCs/>
          <w:color w:val="000000"/>
          <w:sz w:val="24"/>
          <w:szCs w:val="24"/>
        </w:rPr>
        <w:t xml:space="preserve"> ακουστικού πόρου </w:t>
      </w:r>
      <w:r w:rsidR="00322193">
        <w:rPr>
          <w:rFonts w:ascii="Times New Roman" w:eastAsia="Times New Roman" w:hAnsi="Times New Roman" w:cs="Times New Roman"/>
          <w:iCs/>
          <w:color w:val="000000"/>
          <w:sz w:val="24"/>
          <w:szCs w:val="24"/>
        </w:rPr>
        <w:t>συμπεριλαμβάνονται</w:t>
      </w:r>
      <w:r w:rsidR="004B546A" w:rsidRPr="00E230C5">
        <w:rPr>
          <w:rFonts w:ascii="Times New Roman" w:eastAsia="Times New Roman" w:hAnsi="Times New Roman" w:cs="Times New Roman"/>
          <w:iCs/>
          <w:color w:val="000000"/>
          <w:sz w:val="24"/>
          <w:szCs w:val="24"/>
        </w:rPr>
        <w:t xml:space="preserve"> η χρήση στεροειδών και η χημειοθεραπεία και</w:t>
      </w:r>
      <w:r w:rsidR="001949CD" w:rsidRPr="00E230C5">
        <w:rPr>
          <w:rFonts w:ascii="Times New Roman" w:eastAsia="Times New Roman" w:hAnsi="Times New Roman" w:cs="Times New Roman"/>
          <w:iCs/>
          <w:color w:val="000000"/>
          <w:sz w:val="24"/>
          <w:szCs w:val="24"/>
        </w:rPr>
        <w:t>/ή</w:t>
      </w:r>
      <w:r w:rsidR="004B546A" w:rsidRPr="00E230C5">
        <w:rPr>
          <w:rFonts w:ascii="Times New Roman" w:eastAsia="Times New Roman" w:hAnsi="Times New Roman" w:cs="Times New Roman"/>
          <w:iCs/>
          <w:color w:val="000000"/>
          <w:sz w:val="24"/>
          <w:szCs w:val="24"/>
        </w:rPr>
        <w:t xml:space="preserve"> </w:t>
      </w:r>
      <w:r w:rsidR="00322193">
        <w:rPr>
          <w:rFonts w:ascii="Times New Roman" w:eastAsia="Times New Roman" w:hAnsi="Times New Roman" w:cs="Times New Roman"/>
          <w:iCs/>
          <w:color w:val="000000"/>
          <w:sz w:val="24"/>
          <w:szCs w:val="24"/>
        </w:rPr>
        <w:t>τοπικοί</w:t>
      </w:r>
      <w:r w:rsidR="004B546A" w:rsidRPr="00E230C5">
        <w:rPr>
          <w:rFonts w:ascii="Times New Roman" w:eastAsia="Times New Roman" w:hAnsi="Times New Roman" w:cs="Times New Roman"/>
          <w:iCs/>
          <w:color w:val="000000"/>
          <w:sz w:val="24"/>
          <w:szCs w:val="24"/>
        </w:rPr>
        <w:t xml:space="preserve"> παράγοντες κινδύνου </w:t>
      </w:r>
      <w:r w:rsidR="00832B1E" w:rsidRPr="00E230C5">
        <w:rPr>
          <w:rFonts w:ascii="Times New Roman" w:eastAsia="Times New Roman" w:hAnsi="Times New Roman" w:cs="Times New Roman"/>
          <w:iCs/>
          <w:color w:val="000000"/>
          <w:sz w:val="24"/>
          <w:szCs w:val="24"/>
        </w:rPr>
        <w:t xml:space="preserve">όπως </w:t>
      </w:r>
      <w:r w:rsidR="00322193">
        <w:rPr>
          <w:rFonts w:ascii="Times New Roman" w:eastAsia="Times New Roman" w:hAnsi="Times New Roman" w:cs="Times New Roman"/>
          <w:iCs/>
          <w:color w:val="000000"/>
          <w:sz w:val="24"/>
          <w:szCs w:val="24"/>
        </w:rPr>
        <w:t xml:space="preserve">η </w:t>
      </w:r>
      <w:r w:rsidR="004B546A" w:rsidRPr="00E230C5">
        <w:rPr>
          <w:rFonts w:ascii="Times New Roman" w:eastAsia="Times New Roman" w:hAnsi="Times New Roman" w:cs="Times New Roman"/>
          <w:iCs/>
          <w:color w:val="000000"/>
          <w:sz w:val="24"/>
          <w:szCs w:val="24"/>
        </w:rPr>
        <w:t xml:space="preserve">λοίμωξη ή </w:t>
      </w:r>
      <w:r w:rsidR="00322193">
        <w:rPr>
          <w:rFonts w:ascii="Times New Roman" w:eastAsia="Times New Roman" w:hAnsi="Times New Roman" w:cs="Times New Roman"/>
          <w:iCs/>
          <w:color w:val="000000"/>
          <w:sz w:val="24"/>
          <w:szCs w:val="24"/>
        </w:rPr>
        <w:t>ο τραυματισμός</w:t>
      </w:r>
      <w:r w:rsidR="004B546A" w:rsidRPr="00E230C5">
        <w:rPr>
          <w:rFonts w:ascii="Times New Roman" w:eastAsia="Times New Roman" w:hAnsi="Times New Roman" w:cs="Times New Roman"/>
          <w:iCs/>
          <w:color w:val="000000"/>
          <w:sz w:val="24"/>
          <w:szCs w:val="24"/>
        </w:rPr>
        <w:t xml:space="preserve">. </w:t>
      </w:r>
      <w:r w:rsidR="001949CD" w:rsidRPr="00E230C5">
        <w:rPr>
          <w:rFonts w:ascii="Times New Roman" w:hAnsi="Times New Roman" w:cs="Times New Roman"/>
        </w:rPr>
        <w:t xml:space="preserve">Η πιθανότητα οστεονέκρωσης του </w:t>
      </w:r>
      <w:r w:rsidR="008529B8">
        <w:rPr>
          <w:rFonts w:ascii="Times New Roman" w:hAnsi="Times New Roman" w:cs="Times New Roman"/>
        </w:rPr>
        <w:t>έξω</w:t>
      </w:r>
      <w:r w:rsidR="001949CD" w:rsidRPr="00E230C5">
        <w:rPr>
          <w:rFonts w:ascii="Times New Roman" w:hAnsi="Times New Roman" w:cs="Times New Roman"/>
        </w:rPr>
        <w:t xml:space="preserve"> ακουστικού πόρου θα πρέπει να εξετάζεται</w:t>
      </w:r>
      <w:r w:rsidR="001949CD" w:rsidRPr="00E230C5">
        <w:rPr>
          <w:rFonts w:ascii="Times New Roman" w:eastAsia="Times New Roman" w:hAnsi="Times New Roman" w:cs="Times New Roman"/>
          <w:iCs/>
          <w:color w:val="000000"/>
          <w:sz w:val="24"/>
          <w:szCs w:val="24"/>
        </w:rPr>
        <w:t xml:space="preserve"> σ</w:t>
      </w:r>
      <w:r w:rsidR="004B546A" w:rsidRPr="00E230C5">
        <w:rPr>
          <w:rFonts w:ascii="Times New Roman" w:eastAsia="Times New Roman" w:hAnsi="Times New Roman" w:cs="Times New Roman"/>
          <w:iCs/>
          <w:color w:val="000000"/>
          <w:sz w:val="24"/>
          <w:szCs w:val="24"/>
        </w:rPr>
        <w:t xml:space="preserve">ε ασθενείς που λαμβάνουν διφωσφονικά </w:t>
      </w:r>
      <w:r w:rsidR="00322193">
        <w:rPr>
          <w:rFonts w:ascii="Times New Roman" w:eastAsia="Times New Roman" w:hAnsi="Times New Roman" w:cs="Times New Roman"/>
          <w:iCs/>
          <w:color w:val="000000"/>
          <w:sz w:val="24"/>
          <w:szCs w:val="24"/>
        </w:rPr>
        <w:t xml:space="preserve">και </w:t>
      </w:r>
      <w:r w:rsidR="001949CD" w:rsidRPr="00E230C5">
        <w:rPr>
          <w:rFonts w:ascii="Times New Roman" w:eastAsia="Times New Roman" w:hAnsi="Times New Roman" w:cs="Times New Roman"/>
          <w:iCs/>
          <w:color w:val="000000"/>
          <w:sz w:val="24"/>
          <w:szCs w:val="24"/>
        </w:rPr>
        <w:t xml:space="preserve">οι οποίοι εμφανίζουν </w:t>
      </w:r>
      <w:r w:rsidR="004B546A" w:rsidRPr="00E230C5">
        <w:rPr>
          <w:rFonts w:ascii="Times New Roman" w:eastAsia="Times New Roman" w:hAnsi="Times New Roman" w:cs="Times New Roman"/>
          <w:iCs/>
          <w:color w:val="000000"/>
          <w:sz w:val="24"/>
          <w:szCs w:val="24"/>
        </w:rPr>
        <w:t xml:space="preserve">συμπτώματα </w:t>
      </w:r>
      <w:r w:rsidR="00832B1E" w:rsidRPr="00E230C5">
        <w:rPr>
          <w:rFonts w:ascii="Times New Roman" w:eastAsia="Times New Roman" w:hAnsi="Times New Roman" w:cs="Times New Roman"/>
          <w:iCs/>
          <w:color w:val="000000"/>
          <w:sz w:val="24"/>
          <w:szCs w:val="24"/>
        </w:rPr>
        <w:t xml:space="preserve">των ώτων συμπεριλαμβανομένων </w:t>
      </w:r>
      <w:r w:rsidR="004B546A" w:rsidRPr="00E230C5">
        <w:rPr>
          <w:rFonts w:ascii="Times New Roman" w:eastAsia="Times New Roman" w:hAnsi="Times New Roman" w:cs="Times New Roman"/>
          <w:iCs/>
          <w:color w:val="000000"/>
          <w:sz w:val="24"/>
          <w:szCs w:val="24"/>
        </w:rPr>
        <w:t>χρόνι</w:t>
      </w:r>
      <w:r w:rsidR="00832B1E" w:rsidRPr="00E230C5">
        <w:rPr>
          <w:rFonts w:ascii="Times New Roman" w:eastAsia="Times New Roman" w:hAnsi="Times New Roman" w:cs="Times New Roman"/>
          <w:iCs/>
          <w:color w:val="000000"/>
          <w:sz w:val="24"/>
          <w:szCs w:val="24"/>
        </w:rPr>
        <w:t>ων</w:t>
      </w:r>
      <w:r w:rsidR="004B546A" w:rsidRPr="00E230C5">
        <w:rPr>
          <w:rFonts w:ascii="Times New Roman" w:eastAsia="Times New Roman" w:hAnsi="Times New Roman" w:cs="Times New Roman"/>
          <w:iCs/>
          <w:color w:val="000000"/>
          <w:sz w:val="24"/>
          <w:szCs w:val="24"/>
        </w:rPr>
        <w:t xml:space="preserve"> λοιμώξε</w:t>
      </w:r>
      <w:r w:rsidR="00832B1E" w:rsidRPr="00E230C5">
        <w:rPr>
          <w:rFonts w:ascii="Times New Roman" w:eastAsia="Times New Roman" w:hAnsi="Times New Roman" w:cs="Times New Roman"/>
          <w:iCs/>
          <w:color w:val="000000"/>
          <w:sz w:val="24"/>
          <w:szCs w:val="24"/>
        </w:rPr>
        <w:t>ων</w:t>
      </w:r>
      <w:r w:rsidR="004B546A" w:rsidRPr="00E230C5">
        <w:rPr>
          <w:rFonts w:ascii="Times New Roman" w:eastAsia="Times New Roman" w:hAnsi="Times New Roman" w:cs="Times New Roman"/>
          <w:iCs/>
          <w:color w:val="000000"/>
          <w:sz w:val="24"/>
          <w:szCs w:val="24"/>
        </w:rPr>
        <w:t xml:space="preserve"> του </w:t>
      </w:r>
      <w:r w:rsidR="00832B1E" w:rsidRPr="00E230C5">
        <w:rPr>
          <w:rFonts w:ascii="Times New Roman" w:eastAsia="Times New Roman" w:hAnsi="Times New Roman" w:cs="Times New Roman"/>
          <w:iCs/>
          <w:color w:val="000000"/>
          <w:sz w:val="24"/>
          <w:szCs w:val="24"/>
        </w:rPr>
        <w:t>ωτός</w:t>
      </w:r>
      <w:r w:rsidR="004B546A" w:rsidRPr="00E230C5">
        <w:rPr>
          <w:rFonts w:ascii="Times New Roman" w:eastAsia="Times New Roman" w:hAnsi="Times New Roman" w:cs="Times New Roman"/>
          <w:iCs/>
          <w:color w:val="000000"/>
          <w:sz w:val="24"/>
          <w:szCs w:val="24"/>
        </w:rPr>
        <w:t>.</w:t>
      </w:r>
    </w:p>
    <w:p w:rsidR="004B546A" w:rsidRPr="00E230C5" w:rsidRDefault="004B546A"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Cs/>
          <w:color w:val="000000"/>
          <w:sz w:val="24"/>
          <w:szCs w:val="24"/>
          <w:u w:val="single"/>
        </w:rPr>
      </w:pPr>
      <w:r w:rsidRPr="00E230C5">
        <w:rPr>
          <w:rFonts w:ascii="Times New Roman" w:eastAsia="Times New Roman" w:hAnsi="Times New Roman" w:cs="Times New Roman"/>
          <w:iCs/>
          <w:color w:val="000000"/>
          <w:sz w:val="24"/>
          <w:szCs w:val="24"/>
          <w:u w:val="single"/>
        </w:rPr>
        <w:t xml:space="preserve">Άτυπα κατάγματα του μηριαίου οστού </w:t>
      </w:r>
    </w:p>
    <w:p w:rsidR="00832B1E"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Άτυπα υποτροχαντήρια κατάγματα και κατάγματα της διάφυσης του μηριαίου έχουν αναφερθεί με θεραπεία με διφωσφονικά, κυρίως σε ασθενείς που λαμβάνουν μακροχρόνια θεραπεία για την οστεοπόρωση. Αυτά τα εγκάρσια ή μικρά λοξά κατάγματα μπορούν να συμβούν οπουδήποτε κατά μήκος του μηριαίου οστού, από ακριβώς κάτω από τον ελάσσονα τροχαντήρα μέχρι και ακριβώς επάνω από το υπερκονδύλιο κύρτωμα. </w:t>
      </w:r>
      <w:r w:rsidR="00725C8B" w:rsidRPr="00725C8B">
        <w:rPr>
          <w:rFonts w:ascii="Times New Roman" w:eastAsia="Times New Roman" w:hAnsi="Times New Roman" w:cs="Times New Roman"/>
          <w:color w:val="000000"/>
          <w:sz w:val="24"/>
          <w:szCs w:val="24"/>
        </w:rPr>
        <w:t xml:space="preserve">Τα </w:t>
      </w:r>
      <w:r w:rsidRPr="00E230C5">
        <w:rPr>
          <w:rFonts w:ascii="Times New Roman" w:eastAsia="Times New Roman" w:hAnsi="Times New Roman" w:cs="Times New Roman"/>
          <w:color w:val="000000"/>
          <w:sz w:val="24"/>
          <w:szCs w:val="24"/>
        </w:rPr>
        <w:t xml:space="preserve">κατάγματα </w:t>
      </w:r>
      <w:r w:rsidR="00725C8B" w:rsidRPr="00725C8B">
        <w:rPr>
          <w:rFonts w:ascii="Times New Roman" w:eastAsia="Times New Roman" w:hAnsi="Times New Roman" w:cs="Times New Roman"/>
          <w:color w:val="000000"/>
          <w:sz w:val="24"/>
          <w:szCs w:val="24"/>
        </w:rPr>
        <w:t xml:space="preserve">αυτά </w:t>
      </w:r>
      <w:r w:rsidRPr="00E230C5">
        <w:rPr>
          <w:rFonts w:ascii="Times New Roman" w:eastAsia="Times New Roman" w:hAnsi="Times New Roman" w:cs="Times New Roman"/>
          <w:color w:val="000000"/>
          <w:sz w:val="24"/>
          <w:szCs w:val="24"/>
        </w:rPr>
        <w:t xml:space="preserve">συμβαίνουν μετά από μικρό ή καθόλου τραυματισμό και μερικοί ασθενείς </w:t>
      </w:r>
      <w:r w:rsidR="003D510C">
        <w:rPr>
          <w:rFonts w:ascii="Times New Roman" w:eastAsia="Times New Roman" w:hAnsi="Times New Roman" w:cs="Times New Roman"/>
          <w:color w:val="000000"/>
          <w:sz w:val="24"/>
          <w:szCs w:val="24"/>
        </w:rPr>
        <w:t>νιώθουν</w:t>
      </w:r>
      <w:r w:rsidR="003D510C"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πόνο στο μηρό ή στη βουβωνική χώρα, που συχνά </w:t>
      </w:r>
      <w:r w:rsidR="00725C8B" w:rsidRPr="00725C8B">
        <w:rPr>
          <w:rFonts w:ascii="Times New Roman" w:eastAsia="Times New Roman" w:hAnsi="Times New Roman" w:cs="Times New Roman"/>
          <w:color w:val="000000"/>
          <w:sz w:val="24"/>
          <w:szCs w:val="24"/>
        </w:rPr>
        <w:t xml:space="preserve">συνδέεται </w:t>
      </w:r>
      <w:r w:rsidRPr="00E230C5">
        <w:rPr>
          <w:rFonts w:ascii="Times New Roman" w:eastAsia="Times New Roman" w:hAnsi="Times New Roman" w:cs="Times New Roman"/>
          <w:color w:val="000000"/>
          <w:sz w:val="24"/>
          <w:szCs w:val="24"/>
        </w:rPr>
        <w:t xml:space="preserve">με </w:t>
      </w:r>
      <w:r w:rsidR="003D510C">
        <w:rPr>
          <w:rFonts w:ascii="Times New Roman" w:eastAsia="Times New Roman" w:hAnsi="Times New Roman" w:cs="Times New Roman"/>
          <w:color w:val="000000"/>
          <w:sz w:val="24"/>
          <w:szCs w:val="24"/>
        </w:rPr>
        <w:t xml:space="preserve">τα </w:t>
      </w:r>
      <w:r w:rsidRPr="00E230C5">
        <w:rPr>
          <w:rFonts w:ascii="Times New Roman" w:eastAsia="Times New Roman" w:hAnsi="Times New Roman" w:cs="Times New Roman"/>
          <w:color w:val="000000"/>
          <w:sz w:val="24"/>
          <w:szCs w:val="24"/>
        </w:rPr>
        <w:t xml:space="preserve">απεικονιστικά ευρήματα των καταγμάτων κόπωσης, εβδομάδες ή και μήνες πριν παρουσιάσουν πλήρες κάταγμα μηριαίου. Τα κατάγματα είναι συχνά αμφοτερόπλευρα, ως εκ τούτου το αντίπλευρο μηριαίο οστούν πρέπει να εξεταστεί σε ασθενείς που έλαβαν διφωσφωνικά και που έχουν υποστεί κάταγμα του μηριαίου άξονα. Πτωχή επούλωση των καταγμάτων αυτών έχει επίσης αναφερθεί. </w:t>
      </w:r>
    </w:p>
    <w:p w:rsidR="00832B1E" w:rsidRPr="00E230C5" w:rsidRDefault="00832B1E"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832B1E"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Η διακοπή </w:t>
      </w:r>
      <w:r w:rsidR="00832B1E" w:rsidRPr="00E230C5">
        <w:rPr>
          <w:rFonts w:ascii="Times New Roman" w:eastAsia="Times New Roman" w:hAnsi="Times New Roman" w:cs="Times New Roman"/>
          <w:color w:val="000000"/>
          <w:sz w:val="24"/>
          <w:szCs w:val="24"/>
        </w:rPr>
        <w:t xml:space="preserve">της θεραπείας με </w:t>
      </w:r>
      <w:r w:rsidRPr="00E230C5">
        <w:rPr>
          <w:rFonts w:ascii="Times New Roman" w:eastAsia="Times New Roman" w:hAnsi="Times New Roman" w:cs="Times New Roman"/>
          <w:color w:val="000000"/>
          <w:sz w:val="24"/>
          <w:szCs w:val="24"/>
        </w:rPr>
        <w:t>διφωσφονικ</w:t>
      </w:r>
      <w:r w:rsidR="00832B1E" w:rsidRPr="00E230C5">
        <w:rPr>
          <w:rFonts w:ascii="Times New Roman" w:eastAsia="Times New Roman" w:hAnsi="Times New Roman" w:cs="Times New Roman"/>
          <w:color w:val="000000"/>
          <w:sz w:val="24"/>
          <w:szCs w:val="24"/>
        </w:rPr>
        <w:t>ά</w:t>
      </w:r>
      <w:r w:rsidRPr="00E230C5">
        <w:rPr>
          <w:rFonts w:ascii="Times New Roman" w:eastAsia="Times New Roman" w:hAnsi="Times New Roman" w:cs="Times New Roman"/>
          <w:color w:val="000000"/>
          <w:sz w:val="24"/>
          <w:szCs w:val="24"/>
        </w:rPr>
        <w:t xml:space="preserve"> σε ασθενείς </w:t>
      </w:r>
      <w:r w:rsidR="00A52350" w:rsidRPr="00A52350">
        <w:rPr>
          <w:rFonts w:ascii="Times New Roman" w:eastAsia="Times New Roman" w:hAnsi="Times New Roman" w:cs="Times New Roman"/>
          <w:color w:val="000000"/>
          <w:sz w:val="24"/>
          <w:szCs w:val="24"/>
        </w:rPr>
        <w:t xml:space="preserve">στους οποίους </w:t>
      </w:r>
      <w:r w:rsidRPr="00E230C5">
        <w:rPr>
          <w:rFonts w:ascii="Times New Roman" w:eastAsia="Times New Roman" w:hAnsi="Times New Roman" w:cs="Times New Roman"/>
          <w:color w:val="000000"/>
          <w:sz w:val="24"/>
          <w:szCs w:val="24"/>
        </w:rPr>
        <w:t xml:space="preserve">υπάρχει υποψία ότι έχουν </w:t>
      </w:r>
      <w:r w:rsidR="00A52350" w:rsidRPr="00A52350">
        <w:rPr>
          <w:rFonts w:ascii="Times New Roman" w:eastAsia="Times New Roman" w:hAnsi="Times New Roman" w:cs="Times New Roman"/>
          <w:color w:val="000000"/>
          <w:sz w:val="24"/>
          <w:szCs w:val="24"/>
        </w:rPr>
        <w:t xml:space="preserve">κάποιο </w:t>
      </w:r>
      <w:r w:rsidRPr="00E230C5">
        <w:rPr>
          <w:rFonts w:ascii="Times New Roman" w:eastAsia="Times New Roman" w:hAnsi="Times New Roman" w:cs="Times New Roman"/>
          <w:color w:val="000000"/>
          <w:sz w:val="24"/>
          <w:szCs w:val="24"/>
        </w:rPr>
        <w:t xml:space="preserve">άτυπο κάταγμα μηριαίου θα πρέπει να εκτιμηθεί εν αναμονή της αξιολόγησης του ασθενούς, με βάση την εξατομικευμένη αξιολόγηση του </w:t>
      </w:r>
      <w:r w:rsidR="00A52350" w:rsidRPr="00A52350">
        <w:rPr>
          <w:rFonts w:ascii="Times New Roman" w:eastAsia="Times New Roman" w:hAnsi="Times New Roman" w:cs="Times New Roman"/>
          <w:color w:val="000000"/>
          <w:sz w:val="24"/>
          <w:szCs w:val="24"/>
        </w:rPr>
        <w:t>κινδύνου/</w:t>
      </w:r>
      <w:r w:rsidRPr="00E230C5">
        <w:rPr>
          <w:rFonts w:ascii="Times New Roman" w:eastAsia="Times New Roman" w:hAnsi="Times New Roman" w:cs="Times New Roman"/>
          <w:color w:val="000000"/>
          <w:sz w:val="24"/>
          <w:szCs w:val="24"/>
        </w:rPr>
        <w:t xml:space="preserve"> οφέλους.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Κατά τη διάρκεια της θεραπείας με διφωσφονικά οι ασθενείς πρέπει να </w:t>
      </w:r>
      <w:r w:rsidR="00E1557B">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ευαισθητοποιούνται ώστε να αναφέρουν οποιοδήποτε πόνο στο μηρό, στο ισχίο ή στη βουβωνική χώρα και κάθε ασθενής που παρουσιάζει αυτά τα συμπτώματα πρέπει να αξιολογείται για ατελές κάταγμα του μηριαίου.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iCs/>
          <w:color w:val="000000"/>
          <w:sz w:val="24"/>
          <w:szCs w:val="24"/>
          <w:u w:val="single"/>
        </w:rPr>
        <w:t xml:space="preserve">Ασθενείς με νεφρική δυσλειτουργία </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Οι κλινικές μελέτες δεν έδειξαν οποιαδήποτε ένδειξη επιδείνωσης της νεφρικής λειτουργίας με </w:t>
      </w:r>
      <w:r w:rsidR="00A52350" w:rsidRPr="00A52350">
        <w:rPr>
          <w:rFonts w:ascii="Times New Roman" w:eastAsia="Times New Roman" w:hAnsi="Times New Roman" w:cs="Times New Roman"/>
          <w:sz w:val="24"/>
          <w:szCs w:val="24"/>
        </w:rPr>
        <w:t xml:space="preserve">τη </w:t>
      </w:r>
      <w:r w:rsidRPr="00E230C5">
        <w:rPr>
          <w:rFonts w:ascii="Times New Roman" w:eastAsia="Times New Roman" w:hAnsi="Times New Roman" w:cs="Times New Roman"/>
          <w:sz w:val="24"/>
          <w:szCs w:val="24"/>
        </w:rPr>
        <w:t xml:space="preserve">μακροχρόνια θεραπεία με </w:t>
      </w:r>
      <w:r w:rsidR="004B546A" w:rsidRPr="00E230C5">
        <w:rPr>
          <w:rFonts w:ascii="Times New Roman" w:eastAsia="Times New Roman" w:hAnsi="Times New Roman" w:cs="Times New Roman"/>
          <w:sz w:val="24"/>
          <w:szCs w:val="24"/>
        </w:rPr>
        <w:t>ιβανδρονικό οξύ</w:t>
      </w:r>
      <w:r w:rsidRPr="00E230C5">
        <w:rPr>
          <w:rFonts w:ascii="Times New Roman" w:eastAsia="Times New Roman" w:hAnsi="Times New Roman" w:cs="Times New Roman"/>
          <w:sz w:val="24"/>
          <w:szCs w:val="24"/>
        </w:rPr>
        <w:t xml:space="preserve">. Ωστόσο, σε ασθενείς στους οποίους χορηγείται το </w:t>
      </w:r>
      <w:r w:rsidRPr="00E230C5">
        <w:rPr>
          <w:rFonts w:ascii="Times New Roman" w:eastAsia="Times New Roman" w:hAnsi="Times New Roman" w:cs="Times New Roman"/>
          <w:sz w:val="24"/>
          <w:szCs w:val="24"/>
          <w:lang w:val="en-US"/>
        </w:rPr>
        <w:t>IBONDEM</w:t>
      </w:r>
      <w:r w:rsidRPr="00E230C5">
        <w:rPr>
          <w:rFonts w:ascii="Times New Roman" w:eastAsia="Times New Roman" w:hAnsi="Times New Roman" w:cs="Times New Roman"/>
          <w:sz w:val="24"/>
          <w:szCs w:val="24"/>
        </w:rPr>
        <w:t xml:space="preserve">, συνιστάται </w:t>
      </w:r>
      <w:r w:rsidR="00A52350" w:rsidRPr="00A52350">
        <w:rPr>
          <w:rFonts w:ascii="Times New Roman" w:eastAsia="Times New Roman" w:hAnsi="Times New Roman" w:cs="Times New Roman"/>
          <w:sz w:val="24"/>
          <w:szCs w:val="24"/>
        </w:rPr>
        <w:t>να</w:t>
      </w:r>
      <w:r w:rsidRPr="00E230C5">
        <w:rPr>
          <w:rFonts w:ascii="Times New Roman" w:eastAsia="Times New Roman" w:hAnsi="Times New Roman" w:cs="Times New Roman"/>
          <w:sz w:val="24"/>
          <w:szCs w:val="24"/>
        </w:rPr>
        <w:t xml:space="preserve"> παρακολουθούνται, σύμφωνα με την εξατομικευμένη κλινική αξιολόγηση, η νεφρική λειτουργία, το ασβέστιο, τα φωσφορικά και το μαγνήσιο του ορού (βλ. παράγραφο 4.2).</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iCs/>
          <w:color w:val="000000"/>
          <w:sz w:val="24"/>
          <w:szCs w:val="24"/>
          <w:u w:val="single"/>
        </w:rPr>
        <w:t xml:space="preserve">Ασθενείς με ηπατική δυσλειτουργία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Λόγω έλλειψης κλινικών δεδομένων, δεν μπορούν να δοθούν συστάσεις για τη δόση </w:t>
      </w:r>
      <w:r w:rsidR="00A52350" w:rsidRPr="00A52350">
        <w:rPr>
          <w:rFonts w:ascii="Times New Roman" w:eastAsia="Times New Roman" w:hAnsi="Times New Roman" w:cs="Times New Roman"/>
          <w:color w:val="000000"/>
          <w:sz w:val="24"/>
          <w:szCs w:val="24"/>
        </w:rPr>
        <w:t>σε</w:t>
      </w:r>
      <w:r w:rsidRPr="00E230C5">
        <w:rPr>
          <w:rFonts w:ascii="Times New Roman" w:eastAsia="Times New Roman" w:hAnsi="Times New Roman" w:cs="Times New Roman"/>
          <w:color w:val="000000"/>
          <w:sz w:val="24"/>
          <w:szCs w:val="24"/>
        </w:rPr>
        <w:t xml:space="preserve"> ασθενείς με σοβαρή ηπατική ανεπάρκεια (βλ. παράγραφο 4.2).</w:t>
      </w:r>
    </w:p>
    <w:p w:rsidR="00664F68" w:rsidRPr="00E230C5" w:rsidRDefault="00664F68"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iCs/>
          <w:color w:val="000000"/>
          <w:sz w:val="24"/>
          <w:szCs w:val="24"/>
          <w:u w:val="single"/>
        </w:rPr>
        <w:t xml:space="preserve">Ασθενείς με καρδιακή ανεπάρκεια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υπερφόρτωση με υγρά πρέπει να αποφεύγεται σε ασθενείς με κίνδυνο καρδιακής ανεπάρκειας.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color w:val="000000"/>
          <w:sz w:val="24"/>
          <w:szCs w:val="24"/>
          <w:u w:val="single"/>
        </w:rPr>
        <w:t>Ασθενείς με γνωστή υπερευαισθησία σε άλλα διφωσφονικά</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Προσοχή πρέπει να δίδεται σε ασθενείς με γνωστή υπερευαισθησία σε άλλα διφωσφονικά.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color w:val="000000"/>
          <w:sz w:val="24"/>
          <w:szCs w:val="24"/>
          <w:u w:val="single"/>
        </w:rPr>
        <w:t>Έκδοχα με γνωστή δράση</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Το </w:t>
      </w: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δεν περιέχει πρακτικά νάτριο.</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4.5 Αλληλεπιδράσεις με άλλα φαρμακευτικά προϊόντα και άλλες μορφές αλληλεπίδρασης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Οι μεταβολικές αλληλεπιδράσεις δεν θεωρούνται πιθανές καθώς το ιβανδρονικό οξύ δεν αναστέλλει τα μείζονα ηπατικά ισοένζυμα του </w:t>
      </w:r>
      <w:r w:rsidRPr="00E230C5">
        <w:rPr>
          <w:rFonts w:ascii="Times New Roman" w:eastAsia="Times New Roman" w:hAnsi="Times New Roman" w:cs="Times New Roman"/>
          <w:color w:val="000000"/>
          <w:sz w:val="24"/>
          <w:szCs w:val="24"/>
          <w:lang w:val="en-US"/>
        </w:rPr>
        <w:t>P</w:t>
      </w:r>
      <w:r w:rsidRPr="00E230C5">
        <w:rPr>
          <w:rFonts w:ascii="Times New Roman" w:eastAsia="Times New Roman" w:hAnsi="Times New Roman" w:cs="Times New Roman"/>
          <w:color w:val="000000"/>
          <w:sz w:val="24"/>
          <w:szCs w:val="24"/>
        </w:rPr>
        <w:t xml:space="preserve">450 </w:t>
      </w:r>
      <w:r w:rsidR="00A52350">
        <w:rPr>
          <w:rFonts w:ascii="Times New Roman" w:eastAsia="Times New Roman" w:hAnsi="Times New Roman" w:cs="Times New Roman"/>
          <w:color w:val="000000"/>
          <w:sz w:val="24"/>
          <w:szCs w:val="24"/>
        </w:rPr>
        <w:t xml:space="preserve">στον άνθρωπο </w:t>
      </w:r>
      <w:r w:rsidRPr="00E230C5">
        <w:rPr>
          <w:rFonts w:ascii="Times New Roman" w:eastAsia="Times New Roman" w:hAnsi="Times New Roman" w:cs="Times New Roman"/>
          <w:color w:val="000000"/>
          <w:sz w:val="24"/>
          <w:szCs w:val="24"/>
        </w:rPr>
        <w:t xml:space="preserve">και έχει δείξει να μην επάγει το σύστημα του ηπατικού κυτοχρώματος </w:t>
      </w:r>
      <w:r w:rsidRPr="00E230C5">
        <w:rPr>
          <w:rFonts w:ascii="Times New Roman" w:eastAsia="Times New Roman" w:hAnsi="Times New Roman" w:cs="Times New Roman"/>
          <w:color w:val="000000"/>
          <w:sz w:val="24"/>
          <w:szCs w:val="24"/>
          <w:lang w:val="en-US"/>
        </w:rPr>
        <w:t>P</w:t>
      </w:r>
      <w:r w:rsidRPr="00E230C5">
        <w:rPr>
          <w:rFonts w:ascii="Times New Roman" w:eastAsia="Times New Roman" w:hAnsi="Times New Roman" w:cs="Times New Roman"/>
          <w:color w:val="000000"/>
          <w:sz w:val="24"/>
          <w:szCs w:val="24"/>
        </w:rPr>
        <w:t>450 σε επίμυες (βλέπε παράγραφο 5.2). Το ιβανδρονικό οξύ αποβάλλεται αποκλειστικά μέσω των νεφρών και δεν υφίσταται βιομετατροπή.</w:t>
      </w:r>
    </w:p>
    <w:p w:rsidR="00664F68" w:rsidRPr="00E230C5" w:rsidRDefault="00664F68"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Συνιστάται προσοχή κατά τη </w:t>
      </w:r>
      <w:r w:rsidR="00A52350">
        <w:rPr>
          <w:rFonts w:ascii="Times New Roman" w:eastAsia="Times New Roman" w:hAnsi="Times New Roman" w:cs="Times New Roman"/>
          <w:sz w:val="24"/>
          <w:szCs w:val="24"/>
        </w:rPr>
        <w:t>συγ</w:t>
      </w:r>
      <w:r w:rsidRPr="00E230C5">
        <w:rPr>
          <w:rFonts w:ascii="Times New Roman" w:eastAsia="Times New Roman" w:hAnsi="Times New Roman" w:cs="Times New Roman"/>
          <w:sz w:val="24"/>
          <w:szCs w:val="24"/>
        </w:rPr>
        <w:t xml:space="preserve">χορήγηση διφωσφονικών με αμινογλυκοσίδες, καθώς και οι δύο ουσίες μπορούν να ελαττώσουν τα επίπεδα του ασβεστίου του ορού </w:t>
      </w:r>
      <w:r w:rsidR="00A52350" w:rsidRPr="00A52350">
        <w:rPr>
          <w:rFonts w:ascii="Times New Roman" w:eastAsia="Times New Roman" w:hAnsi="Times New Roman" w:cs="Times New Roman"/>
          <w:sz w:val="24"/>
          <w:szCs w:val="24"/>
        </w:rPr>
        <w:t xml:space="preserve">όταν χορηγούνται </w:t>
      </w:r>
      <w:r w:rsidRPr="00E230C5">
        <w:rPr>
          <w:rFonts w:ascii="Times New Roman" w:eastAsia="Times New Roman" w:hAnsi="Times New Roman" w:cs="Times New Roman"/>
          <w:sz w:val="24"/>
          <w:szCs w:val="24"/>
        </w:rPr>
        <w:t>για παρατεταμένα διαστήματα. Επίσης, πρέπει να δίδεται προσοχή σε πιθανή παρουσία ταυτόχρονης υπομαγνησιαιμίας.</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4.6 Γονιμότητα, κύηση και γαλουχία</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Κύηση </w:t>
      </w:r>
    </w:p>
    <w:p w:rsidR="00A52350" w:rsidRDefault="00A52350"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Δεν υπάρχουν επαρκή στοιχεία </w:t>
      </w:r>
      <w:r w:rsidR="00A52350" w:rsidRPr="00A52350">
        <w:rPr>
          <w:rFonts w:ascii="Times New Roman" w:eastAsia="Times New Roman" w:hAnsi="Times New Roman" w:cs="Times New Roman"/>
          <w:color w:val="000000"/>
          <w:sz w:val="24"/>
          <w:szCs w:val="24"/>
        </w:rPr>
        <w:t>για</w:t>
      </w:r>
      <w:r w:rsidR="00A52350" w:rsidRPr="00A52350" w:rsidDel="00A52350">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τη χρήση του ιβανδρονικού οξέος σε έγκυες γυναίκες. Μελέτες σε επίμυες κατέδειξαν τοξικότητα στην αναπαραγωγική ικανότητα (βλ. παράγραφο 5.3). Ο ενδεχόμενος κίνδυνος για τον άνθρωπο είναι άγνωστος. Ως εκ τούτου, το </w:t>
      </w: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δεν πρέπει να χρησιμοποιείται κατά την κύηση.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Γαλουχία </w:t>
      </w:r>
    </w:p>
    <w:p w:rsidR="00A52350" w:rsidRDefault="00A52350"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είναι γνωστό εάν το ιβανδρονικό οξύ απεκκρίνεται στο ανθρώπινο γάλα. Μελέτες, μετά από ενδοφλέβια χορήγηση σε θηλάζοντες επίμυες, κατέδειξαν παρουσία χαμηλών επιπέδων ιβανδρονικού οξέος στο γάλα. Το </w:t>
      </w:r>
      <w:r w:rsidRPr="00E230C5">
        <w:rPr>
          <w:rFonts w:ascii="Times New Roman" w:eastAsia="Times New Roman" w:hAnsi="Times New Roman" w:cs="Times New Roman"/>
          <w:color w:val="000000"/>
          <w:sz w:val="24"/>
          <w:szCs w:val="24"/>
          <w:lang w:val="en-US"/>
        </w:rPr>
        <w:t>IBONDEM</w:t>
      </w:r>
      <w:r w:rsidRPr="00E230C5">
        <w:rPr>
          <w:rFonts w:ascii="Times New Roman" w:eastAsia="Times New Roman" w:hAnsi="Times New Roman" w:cs="Times New Roman"/>
          <w:color w:val="000000"/>
          <w:sz w:val="24"/>
          <w:szCs w:val="24"/>
        </w:rPr>
        <w:t xml:space="preserve"> δεν πρέπει να χρησιμοποιείται κατά το θηλασμό.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Γονιμότητα </w:t>
      </w:r>
    </w:p>
    <w:p w:rsidR="00A52350" w:rsidRDefault="00A52350"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Δεν υπάρχουν δεδομένα για την επίδραση του ιβανδρονικού οξέος</w:t>
      </w:r>
      <w:r w:rsidR="00A52350">
        <w:rPr>
          <w:rFonts w:ascii="Times New Roman" w:eastAsia="Times New Roman" w:hAnsi="Times New Roman" w:cs="Times New Roman"/>
          <w:color w:val="000000"/>
          <w:sz w:val="24"/>
          <w:szCs w:val="24"/>
        </w:rPr>
        <w:t xml:space="preserve"> στον άνθρωπο</w:t>
      </w:r>
      <w:r w:rsidRPr="00E230C5">
        <w:rPr>
          <w:rFonts w:ascii="Times New Roman" w:eastAsia="Times New Roman" w:hAnsi="Times New Roman" w:cs="Times New Roman"/>
          <w:color w:val="000000"/>
          <w:sz w:val="24"/>
          <w:szCs w:val="24"/>
        </w:rPr>
        <w:t>. Σε αναπαραγωγικές μελέτες σε αρουραίους</w:t>
      </w:r>
      <w:r w:rsidR="00A52350">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w:t>
      </w:r>
      <w:r w:rsidR="00A52350">
        <w:rPr>
          <w:rFonts w:ascii="Times New Roman" w:eastAsia="Times New Roman" w:hAnsi="Times New Roman" w:cs="Times New Roman"/>
          <w:color w:val="000000"/>
          <w:sz w:val="24"/>
          <w:szCs w:val="24"/>
        </w:rPr>
        <w:t xml:space="preserve">η </w:t>
      </w:r>
      <w:r w:rsidRPr="00E230C5">
        <w:rPr>
          <w:rFonts w:ascii="Times New Roman" w:eastAsia="Times New Roman" w:hAnsi="Times New Roman" w:cs="Times New Roman"/>
          <w:color w:val="000000"/>
          <w:sz w:val="24"/>
          <w:szCs w:val="24"/>
        </w:rPr>
        <w:t xml:space="preserve">από του στόματος χορήγηση </w:t>
      </w:r>
      <w:r w:rsidR="00A52350" w:rsidRPr="00A52350">
        <w:rPr>
          <w:rFonts w:ascii="Times New Roman" w:eastAsia="Times New Roman" w:hAnsi="Times New Roman" w:cs="Times New Roman"/>
          <w:color w:val="000000"/>
          <w:sz w:val="24"/>
          <w:szCs w:val="24"/>
        </w:rPr>
        <w:t>ιβανδρονικού</w:t>
      </w:r>
      <w:r w:rsidR="00A52350" w:rsidRPr="00A52350" w:rsidDel="00A52350">
        <w:rPr>
          <w:rFonts w:ascii="Times New Roman" w:eastAsia="Times New Roman" w:hAnsi="Times New Roman" w:cs="Times New Roman"/>
          <w:color w:val="000000"/>
          <w:sz w:val="24"/>
          <w:szCs w:val="24"/>
        </w:rPr>
        <w:t xml:space="preserve"> </w:t>
      </w:r>
      <w:r w:rsidR="00A52350">
        <w:rPr>
          <w:rFonts w:ascii="Times New Roman" w:eastAsia="Times New Roman" w:hAnsi="Times New Roman" w:cs="Times New Roman"/>
          <w:color w:val="000000"/>
          <w:sz w:val="24"/>
          <w:szCs w:val="24"/>
        </w:rPr>
        <w:t xml:space="preserve">οξέος </w:t>
      </w:r>
      <w:r w:rsidRPr="00E230C5">
        <w:rPr>
          <w:rFonts w:ascii="Times New Roman" w:eastAsia="Times New Roman" w:hAnsi="Times New Roman" w:cs="Times New Roman"/>
          <w:color w:val="000000"/>
          <w:sz w:val="24"/>
          <w:szCs w:val="24"/>
        </w:rPr>
        <w:t>μείωσε την γονιμότητα. Σε μελέτες με αρουραίους</w:t>
      </w:r>
      <w:r w:rsidR="00A52350">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w:t>
      </w:r>
      <w:r w:rsidR="003D510C">
        <w:rPr>
          <w:rFonts w:ascii="Times New Roman" w:eastAsia="Times New Roman" w:hAnsi="Times New Roman" w:cs="Times New Roman"/>
          <w:color w:val="000000"/>
          <w:sz w:val="24"/>
          <w:szCs w:val="24"/>
        </w:rPr>
        <w:t>μετά απο</w:t>
      </w:r>
      <w:r w:rsidRPr="00E230C5">
        <w:rPr>
          <w:rFonts w:ascii="Times New Roman" w:eastAsia="Times New Roman" w:hAnsi="Times New Roman" w:cs="Times New Roman"/>
          <w:color w:val="000000"/>
          <w:sz w:val="24"/>
          <w:szCs w:val="24"/>
        </w:rPr>
        <w:t xml:space="preserve">ενδοφλέβια χορήγηση, το ιβανδρονικό οξύ μείωσε τη γονιμότητα σε υψηλές ημερήσιες δόσεις.(βλ. παράγραφο 5.3).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4.7 Επιδράσεις στην ικανότητα οδήγησης και χειρισμού μηχαν</w:t>
      </w:r>
      <w:r w:rsidR="00247B23" w:rsidRPr="002D0B77">
        <w:rPr>
          <w:rFonts w:ascii="Times New Roman" w:eastAsia="Times New Roman" w:hAnsi="Times New Roman" w:cs="Times New Roman"/>
          <w:b/>
          <w:bCs/>
          <w:color w:val="000000"/>
          <w:sz w:val="24"/>
          <w:szCs w:val="24"/>
        </w:rPr>
        <w:t>ημάτων</w:t>
      </w:r>
      <w:r w:rsidRPr="00E230C5">
        <w:rPr>
          <w:rFonts w:ascii="Times New Roman" w:eastAsia="Times New Roman" w:hAnsi="Times New Roman" w:cs="Times New Roman"/>
          <w:b/>
          <w:bCs/>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Με βάση το φαρμακοδυναμικό</w:t>
      </w:r>
      <w:r w:rsidR="00A52350">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φαρμακοκινητικό προφίλ και τις αναφερθείσες ανεπιθύμητες ενέργειες αναμένεται ότι το IBONDEM </w:t>
      </w:r>
      <w:r w:rsidR="00247B23" w:rsidRPr="002D0B77">
        <w:rPr>
          <w:rFonts w:ascii="Times New Roman" w:eastAsia="Times New Roman" w:hAnsi="Times New Roman" w:cs="Times New Roman"/>
          <w:color w:val="000000"/>
          <w:sz w:val="24"/>
          <w:szCs w:val="24"/>
        </w:rPr>
        <w:t xml:space="preserve">δεν </w:t>
      </w:r>
      <w:r w:rsidRPr="002D0B77">
        <w:rPr>
          <w:rFonts w:ascii="Times New Roman" w:eastAsia="Times New Roman" w:hAnsi="Times New Roman" w:cs="Times New Roman"/>
          <w:color w:val="000000"/>
          <w:sz w:val="24"/>
          <w:szCs w:val="24"/>
        </w:rPr>
        <w:t xml:space="preserve">έχει </w:t>
      </w:r>
      <w:r w:rsidR="00247B23" w:rsidRPr="002D0B77">
        <w:rPr>
          <w:rFonts w:ascii="Times New Roman" w:eastAsia="Times New Roman" w:hAnsi="Times New Roman" w:cs="Times New Roman"/>
          <w:color w:val="000000"/>
          <w:sz w:val="24"/>
          <w:szCs w:val="24"/>
        </w:rPr>
        <w:t xml:space="preserve">καμία ή έχει ασήμαντη </w:t>
      </w:r>
      <w:r w:rsidRPr="002D0B77">
        <w:rPr>
          <w:rFonts w:ascii="Times New Roman" w:eastAsia="Times New Roman" w:hAnsi="Times New Roman" w:cs="Times New Roman"/>
          <w:color w:val="000000"/>
          <w:sz w:val="24"/>
          <w:szCs w:val="24"/>
        </w:rPr>
        <w:t>επίδραση στην ικανότητα οδήγησης και χειρισμού μηχαν</w:t>
      </w:r>
      <w:r w:rsidR="00247B23" w:rsidRPr="002D0B77">
        <w:rPr>
          <w:rFonts w:ascii="Times New Roman" w:eastAsia="Times New Roman" w:hAnsi="Times New Roman" w:cs="Times New Roman"/>
          <w:color w:val="000000"/>
          <w:sz w:val="24"/>
          <w:szCs w:val="24"/>
        </w:rPr>
        <w:t>ημάτων</w:t>
      </w:r>
      <w:r w:rsidRPr="002D0B77">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4.8 Ανεπιθύμητες ενέργειες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color w:val="000000"/>
          <w:sz w:val="24"/>
          <w:szCs w:val="24"/>
          <w:u w:val="single"/>
        </w:rPr>
        <w:t>Περίληψη του προφίλ ασφαλείας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Οι πιο σοβαρές ανεπιθύμητες</w:t>
      </w:r>
      <w:r w:rsidR="000A01D5">
        <w:rPr>
          <w:rFonts w:ascii="Times New Roman" w:eastAsia="Times New Roman" w:hAnsi="Times New Roman" w:cs="Times New Roman"/>
          <w:color w:val="000000"/>
          <w:sz w:val="24"/>
          <w:szCs w:val="24"/>
        </w:rPr>
        <w:t xml:space="preserve"> αντιδράσεις </w:t>
      </w:r>
      <w:r w:rsidR="00230D27" w:rsidRPr="00E230C5">
        <w:rPr>
          <w:rFonts w:ascii="Times New Roman" w:eastAsia="Times New Roman" w:hAnsi="Times New Roman" w:cs="Times New Roman"/>
          <w:color w:val="000000"/>
          <w:sz w:val="24"/>
          <w:szCs w:val="24"/>
        </w:rPr>
        <w:t xml:space="preserve">που αναφέρθηκαν </w:t>
      </w:r>
      <w:r w:rsidRPr="00E230C5">
        <w:rPr>
          <w:rFonts w:ascii="Times New Roman" w:eastAsia="Times New Roman" w:hAnsi="Times New Roman" w:cs="Times New Roman"/>
          <w:color w:val="000000"/>
          <w:sz w:val="24"/>
          <w:szCs w:val="24"/>
        </w:rPr>
        <w:t>είναι αναφυλακτική αντίδραση/</w:t>
      </w:r>
      <w:r w:rsidR="00230D27" w:rsidRPr="00E230C5">
        <w:rPr>
          <w:rFonts w:ascii="Times New Roman" w:eastAsia="Times New Roman" w:hAnsi="Times New Roman" w:cs="Times New Roman"/>
          <w:color w:val="000000"/>
          <w:sz w:val="24"/>
          <w:szCs w:val="24"/>
        </w:rPr>
        <w:t>καταπληξία</w:t>
      </w:r>
      <w:r w:rsidRPr="00E230C5">
        <w:rPr>
          <w:rFonts w:ascii="Times New Roman" w:eastAsia="Times New Roman" w:hAnsi="Times New Roman" w:cs="Times New Roman"/>
          <w:color w:val="000000"/>
          <w:sz w:val="24"/>
          <w:szCs w:val="24"/>
        </w:rPr>
        <w:t>, άτυπα κατάγματα του μηριαίου οστού, οστεονέκρωση της γνάθου</w:t>
      </w:r>
      <w:r w:rsidR="00230D27"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και οφθαλμική φλεγμονή (βλ</w:t>
      </w:r>
      <w:r w:rsidR="000A01D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παράγραφο </w:t>
      </w:r>
      <w:r w:rsidR="00230D27"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Περιγραφή επιλεγμένων ανεπιθύμητων </w:t>
      </w:r>
      <w:r w:rsidR="00230D27" w:rsidRPr="00E230C5">
        <w:rPr>
          <w:rFonts w:ascii="Times New Roman" w:eastAsia="Times New Roman" w:hAnsi="Times New Roman" w:cs="Times New Roman"/>
          <w:color w:val="000000"/>
          <w:sz w:val="24"/>
          <w:szCs w:val="24"/>
        </w:rPr>
        <w:t>αντιδράσεων</w:t>
      </w:r>
      <w:r w:rsidRPr="00E230C5">
        <w:rPr>
          <w:rFonts w:ascii="Times New Roman" w:eastAsia="Times New Roman" w:hAnsi="Times New Roman" w:cs="Times New Roman"/>
          <w:color w:val="000000"/>
          <w:sz w:val="24"/>
          <w:szCs w:val="24"/>
        </w:rPr>
        <w:t>» και παράγραφο 4.4).</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θεραπεία της υπερασβεστιαιμίας που προκαλείται από όγκο συνδέεται συχνότερα με αύξηση της θερμοκρασίας </w:t>
      </w:r>
      <w:r w:rsidR="00A52350">
        <w:rPr>
          <w:rFonts w:ascii="Times New Roman" w:eastAsia="Times New Roman" w:hAnsi="Times New Roman" w:cs="Times New Roman"/>
          <w:color w:val="000000"/>
          <w:sz w:val="24"/>
          <w:szCs w:val="24"/>
        </w:rPr>
        <w:t xml:space="preserve">του </w:t>
      </w:r>
      <w:r w:rsidRPr="00E230C5">
        <w:rPr>
          <w:rFonts w:ascii="Times New Roman" w:eastAsia="Times New Roman" w:hAnsi="Times New Roman" w:cs="Times New Roman"/>
          <w:color w:val="000000"/>
          <w:sz w:val="24"/>
          <w:szCs w:val="24"/>
        </w:rPr>
        <w:t xml:space="preserve">σώματος. Λιγότερο συχνά </w:t>
      </w:r>
      <w:r w:rsidR="00A52350" w:rsidRPr="00A52350">
        <w:rPr>
          <w:rFonts w:ascii="Times New Roman" w:eastAsia="Times New Roman" w:hAnsi="Times New Roman" w:cs="Times New Roman"/>
          <w:color w:val="000000"/>
          <w:sz w:val="24"/>
          <w:szCs w:val="24"/>
        </w:rPr>
        <w:t>αναφέρθηκε</w:t>
      </w:r>
      <w:r w:rsidRPr="00E230C5">
        <w:rPr>
          <w:rFonts w:ascii="Times New Roman" w:eastAsia="Times New Roman" w:hAnsi="Times New Roman" w:cs="Times New Roman"/>
          <w:color w:val="000000"/>
          <w:sz w:val="24"/>
          <w:szCs w:val="24"/>
        </w:rPr>
        <w:t xml:space="preserve"> μείωση του ασβεστίου </w:t>
      </w:r>
      <w:r w:rsidR="00A52350" w:rsidRPr="00A52350">
        <w:rPr>
          <w:rFonts w:ascii="Times New Roman" w:eastAsia="Times New Roman" w:hAnsi="Times New Roman" w:cs="Times New Roman"/>
          <w:color w:val="000000"/>
          <w:sz w:val="24"/>
          <w:szCs w:val="24"/>
        </w:rPr>
        <w:t xml:space="preserve">του </w:t>
      </w:r>
      <w:r w:rsidRPr="00E230C5">
        <w:rPr>
          <w:rFonts w:ascii="Times New Roman" w:eastAsia="Times New Roman" w:hAnsi="Times New Roman" w:cs="Times New Roman"/>
          <w:color w:val="000000"/>
          <w:sz w:val="24"/>
          <w:szCs w:val="24"/>
        </w:rPr>
        <w:t xml:space="preserve">ορού κάτω </w:t>
      </w:r>
      <w:r w:rsidR="00A52350">
        <w:rPr>
          <w:rFonts w:ascii="Times New Roman" w:eastAsia="Times New Roman" w:hAnsi="Times New Roman" w:cs="Times New Roman"/>
          <w:color w:val="000000"/>
          <w:sz w:val="24"/>
          <w:szCs w:val="24"/>
        </w:rPr>
        <w:t xml:space="preserve">από </w:t>
      </w:r>
      <w:r w:rsidRPr="00E230C5">
        <w:rPr>
          <w:rFonts w:ascii="Times New Roman" w:eastAsia="Times New Roman" w:hAnsi="Times New Roman" w:cs="Times New Roman"/>
          <w:color w:val="000000"/>
          <w:sz w:val="24"/>
          <w:szCs w:val="24"/>
        </w:rPr>
        <w:t xml:space="preserve">το </w:t>
      </w:r>
      <w:r w:rsidR="00A52350" w:rsidRPr="00A52350">
        <w:rPr>
          <w:rFonts w:ascii="Times New Roman" w:eastAsia="Times New Roman" w:hAnsi="Times New Roman" w:cs="Times New Roman"/>
          <w:color w:val="000000"/>
          <w:sz w:val="24"/>
          <w:szCs w:val="24"/>
        </w:rPr>
        <w:t>φυσιολογικό</w:t>
      </w:r>
      <w:r w:rsidRPr="00E230C5">
        <w:rPr>
          <w:rFonts w:ascii="Times New Roman" w:eastAsia="Times New Roman" w:hAnsi="Times New Roman" w:cs="Times New Roman"/>
          <w:color w:val="000000"/>
          <w:sz w:val="24"/>
          <w:szCs w:val="24"/>
        </w:rPr>
        <w:t xml:space="preserve"> εύρος τιμών (υπασβεσταιμία). Στις περισσότερες περιπτώσεις δεν </w:t>
      </w:r>
      <w:r w:rsidR="00A52350" w:rsidRPr="00A52350">
        <w:rPr>
          <w:rFonts w:ascii="Times New Roman" w:eastAsia="Times New Roman" w:hAnsi="Times New Roman" w:cs="Times New Roman"/>
          <w:color w:val="000000"/>
          <w:sz w:val="24"/>
          <w:szCs w:val="24"/>
        </w:rPr>
        <w:t xml:space="preserve">απαιτήθηκε </w:t>
      </w:r>
      <w:r w:rsidRPr="00E230C5">
        <w:rPr>
          <w:rFonts w:ascii="Times New Roman" w:eastAsia="Times New Roman" w:hAnsi="Times New Roman" w:cs="Times New Roman"/>
          <w:color w:val="000000"/>
          <w:sz w:val="24"/>
          <w:szCs w:val="24"/>
        </w:rPr>
        <w:t xml:space="preserve"> συγκεκριμένη θεραπεία και τα συμπτώματα υποχωρούσαν μετά από μερικές ώρες/ημέρες.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Κατά την πρόληψη σκελετικών συμβαμάτων σε ασθενείς με καρκίνο του μαστού και οστικές μεταστάσεις, η θεραπεία συνδέεται συχνότερα με εξασθένιση ακολουθούμενη από αύξηση της θερμοκρασίας </w:t>
      </w:r>
      <w:r w:rsidR="00A52350">
        <w:rPr>
          <w:rFonts w:ascii="Times New Roman" w:eastAsia="Times New Roman" w:hAnsi="Times New Roman" w:cs="Times New Roman"/>
          <w:color w:val="000000"/>
          <w:sz w:val="24"/>
          <w:szCs w:val="24"/>
        </w:rPr>
        <w:t xml:space="preserve">του </w:t>
      </w:r>
      <w:r w:rsidRPr="00E230C5">
        <w:rPr>
          <w:rFonts w:ascii="Times New Roman" w:eastAsia="Times New Roman" w:hAnsi="Times New Roman" w:cs="Times New Roman"/>
          <w:color w:val="000000"/>
          <w:sz w:val="24"/>
          <w:szCs w:val="24"/>
        </w:rPr>
        <w:t>σώματος και κεφαλαλγία.</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F645EE"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F645EE">
        <w:rPr>
          <w:rFonts w:ascii="Times New Roman" w:eastAsia="Times New Roman" w:hAnsi="Times New Roman" w:cs="Times New Roman"/>
          <w:color w:val="000000"/>
          <w:sz w:val="24"/>
          <w:szCs w:val="24"/>
          <w:u w:val="single"/>
        </w:rPr>
        <w:t>Συνοπτικός πίνακας ανεπιθύμητων ενεργειών</w:t>
      </w:r>
      <w:r w:rsidRPr="00F645EE" w:rsidDel="00F645EE">
        <w:rPr>
          <w:rFonts w:ascii="Times New Roman" w:eastAsia="Times New Roman" w:hAnsi="Times New Roman" w:cs="Times New Roman"/>
          <w:color w:val="000000"/>
          <w:sz w:val="24"/>
          <w:szCs w:val="24"/>
          <w:u w:val="single"/>
        </w:rPr>
        <w:t xml:space="preserve"> </w:t>
      </w:r>
      <w:r w:rsidR="003A44E4" w:rsidRPr="00E230C5">
        <w:rPr>
          <w:rFonts w:ascii="Times New Roman" w:eastAsia="Times New Roman" w:hAnsi="Times New Roman" w:cs="Times New Roman"/>
          <w:color w:val="000000"/>
          <w:sz w:val="24"/>
          <w:szCs w:val="24"/>
        </w:rPr>
        <w:t xml:space="preserve">Ο Πίνακας 1 παραθέτει τις ανεπιθύμητες ενέργειες του φαρμάκου </w:t>
      </w:r>
      <w:r w:rsidR="00A52350" w:rsidRPr="00A52350">
        <w:rPr>
          <w:rFonts w:ascii="Times New Roman" w:eastAsia="Times New Roman" w:hAnsi="Times New Roman" w:cs="Times New Roman"/>
          <w:color w:val="000000"/>
          <w:sz w:val="24"/>
          <w:szCs w:val="24"/>
        </w:rPr>
        <w:t>που προέρχ</w:t>
      </w:r>
      <w:r>
        <w:rPr>
          <w:rFonts w:ascii="Times New Roman" w:eastAsia="Times New Roman" w:hAnsi="Times New Roman" w:cs="Times New Roman"/>
          <w:color w:val="000000"/>
          <w:sz w:val="24"/>
          <w:szCs w:val="24"/>
        </w:rPr>
        <w:t>ον</w:t>
      </w:r>
      <w:r w:rsidR="00A52350" w:rsidRPr="00A52350">
        <w:rPr>
          <w:rFonts w:ascii="Times New Roman" w:eastAsia="Times New Roman" w:hAnsi="Times New Roman" w:cs="Times New Roman"/>
          <w:color w:val="000000"/>
          <w:sz w:val="24"/>
          <w:szCs w:val="24"/>
        </w:rPr>
        <w:t xml:space="preserve">ται </w:t>
      </w:r>
      <w:r w:rsidR="003A44E4" w:rsidRPr="00E230C5">
        <w:rPr>
          <w:rFonts w:ascii="Times New Roman" w:eastAsia="Times New Roman" w:hAnsi="Times New Roman" w:cs="Times New Roman"/>
          <w:color w:val="000000"/>
          <w:sz w:val="24"/>
          <w:szCs w:val="24"/>
        </w:rPr>
        <w:t xml:space="preserve">από πιλοτικές μελέτες Φάσης ΙΙΙ (Θεραπεία υπερασβεστιαιμίας που οφείλεται σε όγκο: 311 ασθενείς υπό θεραπεία με </w:t>
      </w:r>
      <w:r w:rsidR="004B546A" w:rsidRPr="00E230C5">
        <w:rPr>
          <w:rFonts w:ascii="Times New Roman" w:hAnsi="Times New Roman" w:cs="Times New Roman"/>
        </w:rPr>
        <w:t xml:space="preserve"> </w:t>
      </w:r>
      <w:r w:rsidR="004B546A" w:rsidRPr="002D0B77">
        <w:rPr>
          <w:rFonts w:ascii="Times New Roman" w:eastAsia="Times New Roman" w:hAnsi="Times New Roman" w:cs="Times New Roman"/>
          <w:color w:val="000000"/>
          <w:sz w:val="24"/>
          <w:szCs w:val="24"/>
        </w:rPr>
        <w:t>ιβανδρονικό οξύ</w:t>
      </w:r>
      <w:r w:rsidR="004B546A"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2 mg ή 4 mg</w:t>
      </w:r>
      <w:r w:rsidR="00A52350">
        <w:rPr>
          <w:rFonts w:ascii="Times New Roman" w:eastAsia="Times New Roman" w:hAnsi="Times New Roman" w:cs="Times New Roman"/>
          <w:color w:val="000000"/>
          <w:sz w:val="24"/>
          <w:szCs w:val="24"/>
        </w:rPr>
        <w:t>.</w:t>
      </w:r>
      <w:r w:rsidR="003A44E4" w:rsidRPr="00E230C5">
        <w:rPr>
          <w:rFonts w:ascii="Times New Roman" w:eastAsia="Times New Roman" w:hAnsi="Times New Roman" w:cs="Times New Roman"/>
          <w:color w:val="000000"/>
          <w:sz w:val="24"/>
          <w:szCs w:val="24"/>
        </w:rPr>
        <w:t xml:space="preserve"> Πρόληψη σκελετικών συμβαμάτων σε ασθενείς με καρκίνο του μαστού και οστικές μεταστάσεις: 152 ασθενείς υπό θεραπεία με </w:t>
      </w:r>
      <w:r w:rsidR="000712D9" w:rsidRPr="002D0B77">
        <w:rPr>
          <w:rFonts w:ascii="Times New Roman" w:eastAsia="Times New Roman" w:hAnsi="Times New Roman" w:cs="Times New Roman"/>
          <w:color w:val="000000"/>
          <w:sz w:val="24"/>
          <w:szCs w:val="24"/>
        </w:rPr>
        <w:t>ιβανδρονικό οξύ</w:t>
      </w:r>
      <w:r w:rsidR="000712D9"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rPr>
        <w:t xml:space="preserve"> 6 mg), και από την εμπειρία μετά την κυκλοφορία</w:t>
      </w:r>
      <w:r w:rsidR="00A52350" w:rsidRPr="00A52350">
        <w:t xml:space="preserve"> </w:t>
      </w:r>
      <w:r w:rsidR="00A52350" w:rsidRPr="00A52350">
        <w:rPr>
          <w:rFonts w:ascii="Times New Roman" w:eastAsia="Times New Roman" w:hAnsi="Times New Roman" w:cs="Times New Roman"/>
          <w:color w:val="000000"/>
          <w:sz w:val="24"/>
          <w:szCs w:val="24"/>
        </w:rPr>
        <w:t>του φαρμάκου</w:t>
      </w:r>
      <w:r w:rsidR="003A44E4" w:rsidRPr="00E230C5">
        <w:rPr>
          <w:rFonts w:ascii="Times New Roman" w:eastAsia="Times New Roman" w:hAnsi="Times New Roman" w:cs="Times New Roman"/>
          <w:color w:val="000000"/>
          <w:sz w:val="24"/>
          <w:szCs w:val="24"/>
        </w:rPr>
        <w:t>.</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Οι ανεπιθύμητες ενέργειες </w:t>
      </w:r>
      <w:r w:rsidR="00230D27" w:rsidRPr="00E230C5">
        <w:rPr>
          <w:rFonts w:ascii="Times New Roman" w:eastAsia="Times New Roman" w:hAnsi="Times New Roman" w:cs="Times New Roman"/>
          <w:color w:val="000000"/>
          <w:sz w:val="24"/>
          <w:szCs w:val="24"/>
        </w:rPr>
        <w:t xml:space="preserve">ταξινομούνται </w:t>
      </w:r>
      <w:r w:rsidRPr="00E230C5">
        <w:rPr>
          <w:rFonts w:ascii="Times New Roman" w:eastAsia="Times New Roman" w:hAnsi="Times New Roman" w:cs="Times New Roman"/>
          <w:color w:val="000000"/>
          <w:sz w:val="24"/>
          <w:szCs w:val="24"/>
        </w:rPr>
        <w:t>σύμφωνα με</w:t>
      </w:r>
      <w:r w:rsidR="00230D27" w:rsidRPr="00E230C5">
        <w:rPr>
          <w:rFonts w:ascii="Times New Roman" w:eastAsia="Times New Roman" w:hAnsi="Times New Roman" w:cs="Times New Roman"/>
          <w:color w:val="000000"/>
          <w:sz w:val="24"/>
          <w:szCs w:val="24"/>
        </w:rPr>
        <w:t xml:space="preserve"> την κατηγορ</w:t>
      </w:r>
      <w:r w:rsidR="00F93830">
        <w:rPr>
          <w:rFonts w:ascii="Times New Roman" w:eastAsia="Times New Roman" w:hAnsi="Times New Roman" w:cs="Times New Roman"/>
          <w:color w:val="000000"/>
          <w:sz w:val="24"/>
          <w:szCs w:val="24"/>
        </w:rPr>
        <w:t>ιοποίηση του</w:t>
      </w:r>
      <w:r w:rsidR="00230D27" w:rsidRPr="00E230C5">
        <w:rPr>
          <w:rFonts w:ascii="Times New Roman" w:eastAsia="Times New Roman" w:hAnsi="Times New Roman" w:cs="Times New Roman"/>
          <w:color w:val="000000"/>
          <w:sz w:val="24"/>
          <w:szCs w:val="24"/>
        </w:rPr>
        <w:t xml:space="preserve"> οργανικού συστήματος </w:t>
      </w:r>
      <w:r w:rsidRPr="00E230C5">
        <w:rPr>
          <w:rFonts w:ascii="Times New Roman" w:eastAsia="Times New Roman" w:hAnsi="Times New Roman" w:cs="Times New Roman"/>
          <w:color w:val="000000"/>
          <w:sz w:val="24"/>
          <w:szCs w:val="24"/>
        </w:rPr>
        <w:t xml:space="preserve">MedDRA και </w:t>
      </w:r>
      <w:r w:rsidR="00F645EE">
        <w:rPr>
          <w:rFonts w:ascii="Times New Roman" w:eastAsia="Times New Roman" w:hAnsi="Times New Roman" w:cs="Times New Roman"/>
          <w:color w:val="000000"/>
          <w:sz w:val="24"/>
          <w:szCs w:val="24"/>
        </w:rPr>
        <w:t xml:space="preserve">κατά </w:t>
      </w:r>
      <w:r w:rsidRPr="00E230C5">
        <w:rPr>
          <w:rFonts w:ascii="Times New Roman" w:eastAsia="Times New Roman" w:hAnsi="Times New Roman" w:cs="Times New Roman"/>
          <w:color w:val="000000"/>
          <w:sz w:val="24"/>
          <w:szCs w:val="24"/>
        </w:rPr>
        <w:t>κατηγορία συχνότητας</w:t>
      </w:r>
      <w:r w:rsidR="00230D27" w:rsidRPr="00E230C5">
        <w:rPr>
          <w:rFonts w:ascii="Times New Roman" w:eastAsia="Times New Roman" w:hAnsi="Times New Roman" w:cs="Times New Roman"/>
          <w:color w:val="000000"/>
          <w:sz w:val="24"/>
          <w:szCs w:val="24"/>
        </w:rPr>
        <w:t xml:space="preserve"> εμφάνισης</w:t>
      </w:r>
      <w:r w:rsidRPr="00E230C5">
        <w:rPr>
          <w:rFonts w:ascii="Times New Roman" w:eastAsia="Times New Roman" w:hAnsi="Times New Roman" w:cs="Times New Roman"/>
          <w:color w:val="000000"/>
          <w:sz w:val="24"/>
          <w:szCs w:val="24"/>
        </w:rPr>
        <w:t xml:space="preserve">. Οι κατηγορίες συχνότητας </w:t>
      </w:r>
      <w:r w:rsidR="00F645EE">
        <w:rPr>
          <w:rFonts w:ascii="Times New Roman" w:eastAsia="Times New Roman" w:hAnsi="Times New Roman" w:cs="Times New Roman"/>
          <w:color w:val="000000"/>
          <w:sz w:val="24"/>
          <w:szCs w:val="24"/>
        </w:rPr>
        <w:t xml:space="preserve">εμφάνισης </w:t>
      </w:r>
      <w:r w:rsidR="00230D27" w:rsidRPr="00E230C5">
        <w:rPr>
          <w:rFonts w:ascii="Times New Roman" w:eastAsia="Times New Roman" w:hAnsi="Times New Roman" w:cs="Times New Roman"/>
          <w:color w:val="000000"/>
          <w:sz w:val="24"/>
          <w:szCs w:val="24"/>
        </w:rPr>
        <w:t>ορίζο</w:t>
      </w:r>
      <w:r w:rsidR="005A38FB">
        <w:rPr>
          <w:rFonts w:ascii="Times New Roman" w:eastAsia="Times New Roman" w:hAnsi="Times New Roman" w:cs="Times New Roman"/>
          <w:color w:val="000000"/>
          <w:sz w:val="24"/>
          <w:szCs w:val="24"/>
        </w:rPr>
        <w:t>νται ως ακολούθως</w:t>
      </w:r>
      <w:r w:rsidRPr="00E230C5">
        <w:rPr>
          <w:rFonts w:ascii="Times New Roman" w:eastAsia="Times New Roman" w:hAnsi="Times New Roman" w:cs="Times New Roman"/>
          <w:color w:val="000000"/>
          <w:sz w:val="24"/>
          <w:szCs w:val="24"/>
        </w:rPr>
        <w:t xml:space="preserve">: πολύ συχνές (≥ 1/10), συχνές (≥ 1/100 </w:t>
      </w:r>
      <w:r w:rsidR="000A01D5">
        <w:rPr>
          <w:rFonts w:ascii="Times New Roman" w:eastAsia="Times New Roman" w:hAnsi="Times New Roman" w:cs="Times New Roman"/>
          <w:color w:val="000000"/>
          <w:sz w:val="24"/>
          <w:szCs w:val="24"/>
        </w:rPr>
        <w:t>έως</w:t>
      </w:r>
      <w:r w:rsidRPr="00E230C5">
        <w:rPr>
          <w:rFonts w:ascii="Times New Roman" w:eastAsia="Times New Roman" w:hAnsi="Times New Roman" w:cs="Times New Roman"/>
          <w:color w:val="000000"/>
          <w:sz w:val="24"/>
          <w:szCs w:val="24"/>
        </w:rPr>
        <w:t xml:space="preserve"> &lt;1/10), όχι συχνές (≥ 1/1.000 </w:t>
      </w:r>
      <w:r w:rsidR="005A38FB">
        <w:rPr>
          <w:rFonts w:ascii="Times New Roman" w:eastAsia="Times New Roman" w:hAnsi="Times New Roman" w:cs="Times New Roman"/>
          <w:color w:val="000000"/>
          <w:sz w:val="24"/>
          <w:szCs w:val="24"/>
        </w:rPr>
        <w:t>έως</w:t>
      </w:r>
      <w:r w:rsidRPr="00E230C5">
        <w:rPr>
          <w:rFonts w:ascii="Times New Roman" w:eastAsia="Times New Roman" w:hAnsi="Times New Roman" w:cs="Times New Roman"/>
          <w:color w:val="000000"/>
          <w:sz w:val="24"/>
          <w:szCs w:val="24"/>
        </w:rPr>
        <w:t xml:space="preserve"> &lt;</w:t>
      </w:r>
      <w:r w:rsidR="00003A4E" w:rsidRPr="00003A4E">
        <w:rPr>
          <w:rFonts w:ascii="Times New Roman" w:eastAsia="Times New Roman" w:hAnsi="Times New Roman" w:cs="Times New Roman"/>
          <w:color w:val="000000"/>
          <w:sz w:val="24"/>
          <w:szCs w:val="24"/>
        </w:rPr>
        <w:t>1</w:t>
      </w:r>
      <w:r w:rsidRPr="00E230C5">
        <w:rPr>
          <w:rFonts w:ascii="Times New Roman" w:eastAsia="Times New Roman" w:hAnsi="Times New Roman" w:cs="Times New Roman"/>
          <w:color w:val="000000"/>
          <w:sz w:val="24"/>
          <w:szCs w:val="24"/>
        </w:rPr>
        <w:t xml:space="preserve">/100), σπάνιες (≥ 1/10.000 </w:t>
      </w:r>
      <w:r w:rsidR="005A38FB">
        <w:rPr>
          <w:rFonts w:ascii="Times New Roman" w:eastAsia="Times New Roman" w:hAnsi="Times New Roman" w:cs="Times New Roman"/>
          <w:color w:val="000000"/>
          <w:sz w:val="24"/>
          <w:szCs w:val="24"/>
        </w:rPr>
        <w:t>έως</w:t>
      </w:r>
      <w:r w:rsidRPr="00E230C5">
        <w:rPr>
          <w:rFonts w:ascii="Times New Roman" w:eastAsia="Times New Roman" w:hAnsi="Times New Roman" w:cs="Times New Roman"/>
          <w:color w:val="000000"/>
          <w:sz w:val="24"/>
          <w:szCs w:val="24"/>
        </w:rPr>
        <w:t xml:space="preserve"> &lt; 1/1.000)</w:t>
      </w:r>
      <w:r w:rsidR="005A38FB">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πολύ σπάνιες (&lt;1/10.000)</w:t>
      </w:r>
      <w:r w:rsidR="005A38FB">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rPr>
        <w:t xml:space="preserve"> </w:t>
      </w:r>
      <w:r w:rsidR="00B23822">
        <w:rPr>
          <w:rFonts w:ascii="Times New Roman" w:eastAsia="Times New Roman" w:hAnsi="Times New Roman" w:cs="Times New Roman"/>
          <w:color w:val="000000"/>
          <w:sz w:val="24"/>
          <w:szCs w:val="24"/>
        </w:rPr>
        <w:t xml:space="preserve">και </w:t>
      </w:r>
      <w:r w:rsidRPr="00E230C5">
        <w:rPr>
          <w:rFonts w:ascii="Times New Roman" w:eastAsia="Times New Roman" w:hAnsi="Times New Roman" w:cs="Times New Roman"/>
          <w:color w:val="000000"/>
          <w:sz w:val="24"/>
          <w:szCs w:val="24"/>
        </w:rPr>
        <w:t>μη γνωστές (δεν μπορούν να εκτιμηθούν με βάση τα διαθέσιμα δεδομένα). Εντός κάθε κατηγορίας συχνότητας εμφάνισης, οι ανεπιθύμητες ενέργειες παρατίθενται κατά φθίνουσα σειρά σοβαρότητας.</w:t>
      </w:r>
    </w:p>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b/>
          <w:bCs/>
          <w:sz w:val="24"/>
          <w:szCs w:val="24"/>
        </w:rPr>
      </w:pPr>
      <w:r w:rsidRPr="00E230C5">
        <w:rPr>
          <w:rFonts w:ascii="Times New Roman" w:eastAsia="Times New Roman" w:hAnsi="Times New Roman" w:cs="Times New Roman"/>
          <w:b/>
          <w:bCs/>
          <w:sz w:val="24"/>
          <w:szCs w:val="24"/>
        </w:rPr>
        <w:t xml:space="preserve">Πίνακας 1 Ανεπιθύμητες ενέργειες που αναφέρθηκαν για την </w:t>
      </w:r>
      <w:r w:rsidR="00B23822">
        <w:rPr>
          <w:rFonts w:ascii="Times New Roman" w:eastAsia="Times New Roman" w:hAnsi="Times New Roman" w:cs="Times New Roman"/>
          <w:b/>
          <w:bCs/>
          <w:sz w:val="24"/>
          <w:szCs w:val="24"/>
        </w:rPr>
        <w:t>ε</w:t>
      </w:r>
      <w:r w:rsidRPr="00E230C5">
        <w:rPr>
          <w:rFonts w:ascii="Times New Roman" w:eastAsia="Times New Roman" w:hAnsi="Times New Roman" w:cs="Times New Roman"/>
          <w:b/>
          <w:bCs/>
          <w:sz w:val="24"/>
          <w:szCs w:val="24"/>
        </w:rPr>
        <w:t xml:space="preserve">νδοφλέβια </w:t>
      </w:r>
      <w:r w:rsidR="00B23822">
        <w:rPr>
          <w:rFonts w:ascii="Times New Roman" w:eastAsia="Times New Roman" w:hAnsi="Times New Roman" w:cs="Times New Roman"/>
          <w:b/>
          <w:bCs/>
          <w:sz w:val="24"/>
          <w:szCs w:val="24"/>
        </w:rPr>
        <w:t>χ</w:t>
      </w:r>
      <w:r w:rsidRPr="00E230C5">
        <w:rPr>
          <w:rFonts w:ascii="Times New Roman" w:eastAsia="Times New Roman" w:hAnsi="Times New Roman" w:cs="Times New Roman"/>
          <w:b/>
          <w:bCs/>
          <w:sz w:val="24"/>
          <w:szCs w:val="24"/>
        </w:rPr>
        <w:t xml:space="preserve">ορήγηση του </w:t>
      </w:r>
      <w:r w:rsidR="000712D9" w:rsidRPr="002D0B77">
        <w:rPr>
          <w:rFonts w:ascii="Times New Roman" w:eastAsia="Times New Roman" w:hAnsi="Times New Roman" w:cs="Times New Roman"/>
          <w:b/>
          <w:bCs/>
          <w:sz w:val="24"/>
          <w:szCs w:val="24"/>
        </w:rPr>
        <w:t>ιβανδρονικού οξεός</w:t>
      </w:r>
      <w:r w:rsidR="000712D9" w:rsidRPr="00E230C5">
        <w:rPr>
          <w:rFonts w:ascii="Times New Roman" w:eastAsia="Times New Roman" w:hAnsi="Times New Roman" w:cs="Times New Roman"/>
          <w:b/>
          <w:bCs/>
          <w:sz w:val="24"/>
          <w:szCs w:val="24"/>
        </w:rPr>
        <w:t xml:space="preserve"> </w:t>
      </w:r>
      <w:r w:rsidRPr="00E230C5">
        <w:rPr>
          <w:rFonts w:ascii="Times New Roman" w:eastAsia="Times New Roman" w:hAnsi="Times New Roman" w:cs="Times New Roman"/>
          <w:b/>
          <w:bCs/>
          <w:sz w:val="24"/>
          <w:szCs w:val="24"/>
        </w:rPr>
        <w:t xml:space="preserve">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rPr>
      </w:pPr>
    </w:p>
    <w:tbl>
      <w:tblPr>
        <w:tblW w:w="836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276"/>
        <w:gridCol w:w="1843"/>
        <w:gridCol w:w="992"/>
        <w:gridCol w:w="1417"/>
        <w:gridCol w:w="993"/>
      </w:tblGrid>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lang w:val="en-US"/>
              </w:rPr>
            </w:pPr>
            <w:r w:rsidRPr="00E230C5">
              <w:rPr>
                <w:rFonts w:ascii="Times New Roman" w:eastAsia="Times New Roman" w:hAnsi="Times New Roman" w:cs="Times New Roman"/>
                <w:b/>
                <w:bCs/>
                <w:color w:val="000000"/>
                <w:lang w:val="en-US"/>
              </w:rPr>
              <w:t>Κατηγορία/</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Οργανικό Σύστημα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Συχνές </w:t>
            </w: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Όχι συχνές </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Σπάνιες </w:t>
            </w: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Πολύ σπάνιες </w:t>
            </w: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Μη γνωστές</w:t>
            </w: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Λοιμώξεις και παρασιτώσεις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Λοίμωξη </w:t>
            </w: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Κυστίτιδα, κολπίτιδα, καντιντίαση του στόματος </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Νεοπλάσματα καλοήθη, κακοήθη και μη καθορισμένα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Καλόηθες νεόπλασμα δέρματος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αιμοποιητικού και του λεμφικού συστήματος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Αναιμία, δυσκρασία του αίματος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Διαταραχές του</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ανοσοποιητικού</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συστήματος</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GB"/>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Υπερευαι</w:t>
            </w:r>
            <w:r w:rsidR="007449CD" w:rsidRPr="00E230C5">
              <w:rPr>
                <w:rFonts w:ascii="Times New Roman" w:eastAsia="Times New Roman" w:hAnsi="Times New Roman" w:cs="Times New Roman"/>
                <w:bCs/>
                <w:sz w:val="24"/>
                <w:szCs w:val="24"/>
              </w:rPr>
              <w:t>-</w:t>
            </w:r>
            <w:r w:rsidRPr="00E230C5">
              <w:rPr>
                <w:rFonts w:ascii="Times New Roman" w:eastAsia="Times New Roman" w:hAnsi="Times New Roman" w:cs="Times New Roman"/>
                <w:bCs/>
                <w:sz w:val="24"/>
                <w:szCs w:val="24"/>
              </w:rPr>
              <w:t>σθησία</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w:t>
            </w:r>
          </w:p>
          <w:p w:rsidR="003A44E4" w:rsidRPr="00E230C5" w:rsidRDefault="007449CD"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Β</w:t>
            </w:r>
            <w:r w:rsidR="003A44E4" w:rsidRPr="00E230C5">
              <w:rPr>
                <w:rFonts w:ascii="Times New Roman" w:eastAsia="Times New Roman" w:hAnsi="Times New Roman" w:cs="Times New Roman"/>
                <w:bCs/>
                <w:sz w:val="24"/>
                <w:szCs w:val="24"/>
              </w:rPr>
              <w:t>ρογχόσπα</w:t>
            </w:r>
            <w:r w:rsidRPr="00E230C5">
              <w:rPr>
                <w:rFonts w:ascii="Times New Roman" w:eastAsia="Times New Roman" w:hAnsi="Times New Roman" w:cs="Times New Roman"/>
                <w:bCs/>
                <w:sz w:val="24"/>
                <w:szCs w:val="24"/>
              </w:rPr>
              <w:t>-</w:t>
            </w:r>
            <w:r w:rsidR="003A44E4" w:rsidRPr="00E230C5">
              <w:rPr>
                <w:rFonts w:ascii="Times New Roman" w:eastAsia="Times New Roman" w:hAnsi="Times New Roman" w:cs="Times New Roman"/>
                <w:bCs/>
                <w:sz w:val="24"/>
                <w:szCs w:val="24"/>
              </w:rPr>
              <w:t>σμος</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 , αγγειοοίδη</w:t>
            </w:r>
            <w:r w:rsidR="007449CD" w:rsidRPr="00E230C5">
              <w:rPr>
                <w:rFonts w:ascii="Times New Roman" w:eastAsia="Times New Roman" w:hAnsi="Times New Roman" w:cs="Times New Roman"/>
                <w:bCs/>
                <w:sz w:val="24"/>
                <w:szCs w:val="24"/>
              </w:rPr>
              <w:t>-</w:t>
            </w:r>
            <w:r w:rsidRPr="00E230C5">
              <w:rPr>
                <w:rFonts w:ascii="Times New Roman" w:eastAsia="Times New Roman" w:hAnsi="Times New Roman" w:cs="Times New Roman"/>
                <w:bCs/>
                <w:sz w:val="24"/>
                <w:szCs w:val="24"/>
              </w:rPr>
              <w:t>μα</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 αναφυλα</w:t>
            </w:r>
            <w:r w:rsidR="007449CD" w:rsidRPr="00E230C5">
              <w:rPr>
                <w:rFonts w:ascii="Times New Roman" w:eastAsia="Times New Roman" w:hAnsi="Times New Roman" w:cs="Times New Roman"/>
                <w:bCs/>
                <w:sz w:val="24"/>
                <w:szCs w:val="24"/>
              </w:rPr>
              <w:t>-</w:t>
            </w:r>
            <w:r w:rsidRPr="00E230C5">
              <w:rPr>
                <w:rFonts w:ascii="Times New Roman" w:eastAsia="Times New Roman" w:hAnsi="Times New Roman" w:cs="Times New Roman"/>
                <w:bCs/>
                <w:sz w:val="24"/>
                <w:szCs w:val="24"/>
              </w:rPr>
              <w:t>κτική</w:t>
            </w:r>
          </w:p>
          <w:p w:rsidR="007449CD"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αντίδραση/</w:t>
            </w:r>
          </w:p>
          <w:p w:rsidR="003A44E4" w:rsidRPr="00E230C5" w:rsidRDefault="007449CD"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κατα</w:t>
            </w:r>
            <w:r w:rsidR="003A44E4" w:rsidRPr="00E230C5">
              <w:rPr>
                <w:rFonts w:ascii="Times New Roman" w:eastAsia="Times New Roman" w:hAnsi="Times New Roman" w:cs="Times New Roman"/>
                <w:bCs/>
                <w:sz w:val="24"/>
                <w:szCs w:val="24"/>
                <w:lang w:val="en-GB"/>
              </w:rPr>
              <w:t>πληξία †**</w:t>
            </w: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highlight w:val="yellow"/>
              </w:rPr>
            </w:pPr>
            <w:r w:rsidRPr="00E230C5">
              <w:rPr>
                <w:rFonts w:ascii="Times New Roman" w:eastAsia="Times New Roman" w:hAnsi="Times New Roman" w:cs="Times New Roman"/>
                <w:bCs/>
                <w:sz w:val="24"/>
                <w:szCs w:val="24"/>
              </w:rPr>
              <w:t>Παρό</w:t>
            </w:r>
            <w:r w:rsidR="007449CD" w:rsidRPr="00E230C5">
              <w:rPr>
                <w:rFonts w:ascii="Times New Roman" w:eastAsia="Times New Roman" w:hAnsi="Times New Roman" w:cs="Times New Roman"/>
                <w:bCs/>
                <w:sz w:val="24"/>
                <w:szCs w:val="24"/>
              </w:rPr>
              <w:t>-</w:t>
            </w:r>
            <w:r w:rsidRPr="00E230C5">
              <w:rPr>
                <w:rFonts w:ascii="Times New Roman" w:eastAsia="Times New Roman" w:hAnsi="Times New Roman" w:cs="Times New Roman"/>
                <w:bCs/>
                <w:sz w:val="24"/>
                <w:szCs w:val="24"/>
              </w:rPr>
              <w:t>ξυνση άσθμα</w:t>
            </w:r>
            <w:r w:rsidR="007449CD" w:rsidRPr="00E230C5">
              <w:rPr>
                <w:rFonts w:ascii="Times New Roman" w:eastAsia="Times New Roman" w:hAnsi="Times New Roman" w:cs="Times New Roman"/>
                <w:bCs/>
                <w:sz w:val="24"/>
                <w:szCs w:val="24"/>
              </w:rPr>
              <w:t>-</w:t>
            </w:r>
            <w:r w:rsidRPr="00E230C5">
              <w:rPr>
                <w:rFonts w:ascii="Times New Roman" w:eastAsia="Times New Roman" w:hAnsi="Times New Roman" w:cs="Times New Roman"/>
                <w:bCs/>
                <w:sz w:val="24"/>
                <w:szCs w:val="24"/>
              </w:rPr>
              <w:t>τος</w:t>
            </w: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Διαταραχές του ενδοκρινικού συστήματος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Διαταρα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χή των παραθυ</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 xml:space="preserve">ρεοειδών αδένων </w:t>
            </w: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μεταβολισμού και της θρέψης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Υπασβε</w:t>
            </w:r>
            <w:r w:rsidR="007449CD" w:rsidRPr="00E230C5">
              <w:rPr>
                <w:rFonts w:ascii="Times New Roman" w:eastAsia="Times New Roman" w:hAnsi="Times New Roman" w:cs="Times New Roman"/>
                <w:bCs/>
                <w:sz w:val="24"/>
                <w:szCs w:val="24"/>
              </w:rPr>
              <w:t>-σται</w:t>
            </w:r>
            <w:r w:rsidRPr="00E230C5">
              <w:rPr>
                <w:rFonts w:ascii="Times New Roman" w:eastAsia="Times New Roman" w:hAnsi="Times New Roman" w:cs="Times New Roman"/>
                <w:bCs/>
                <w:sz w:val="24"/>
                <w:szCs w:val="24"/>
              </w:rPr>
              <w:t>μία**</w:t>
            </w:r>
          </w:p>
        </w:tc>
        <w:tc>
          <w:tcPr>
            <w:tcW w:w="1843" w:type="dxa"/>
            <w:shd w:val="clear" w:color="auto" w:fill="auto"/>
          </w:tcPr>
          <w:p w:rsidR="003A44E4" w:rsidRPr="00B23822" w:rsidRDefault="003A44E4" w:rsidP="00B23822">
            <w:pPr>
              <w:autoSpaceDE w:val="0"/>
              <w:autoSpaceDN w:val="0"/>
              <w:adjustRightInd w:val="0"/>
              <w:spacing w:after="0" w:line="240" w:lineRule="auto"/>
              <w:ind w:right="-264"/>
              <w:rPr>
                <w:rFonts w:ascii="Times New Roman" w:eastAsia="Times New Roman" w:hAnsi="Times New Roman" w:cs="Times New Roman"/>
                <w:sz w:val="24"/>
                <w:szCs w:val="24"/>
              </w:rPr>
            </w:pPr>
            <w:r w:rsidRPr="00E230C5">
              <w:rPr>
                <w:rFonts w:ascii="Times New Roman" w:eastAsia="Times New Roman" w:hAnsi="Times New Roman" w:cs="Times New Roman"/>
                <w:color w:val="000000"/>
                <w:lang w:val="en-US"/>
              </w:rPr>
              <w:t xml:space="preserve"> </w:t>
            </w:r>
            <w:r w:rsidR="00B23822" w:rsidRPr="00B23822">
              <w:rPr>
                <w:rFonts w:ascii="Times New Roman" w:eastAsia="Times New Roman" w:hAnsi="Times New Roman" w:cs="Times New Roman"/>
                <w:sz w:val="24"/>
                <w:szCs w:val="24"/>
              </w:rPr>
              <w:t>Υποφωσφαταιμία</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Ψυχιατρικές διαταραχές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Διαταραχή </w:t>
            </w:r>
            <w:r w:rsidR="00B23822">
              <w:rPr>
                <w:rFonts w:ascii="Times New Roman" w:eastAsia="Times New Roman" w:hAnsi="Times New Roman" w:cs="Times New Roman"/>
                <w:color w:val="000000"/>
              </w:rPr>
              <w:t xml:space="preserve">του </w:t>
            </w:r>
            <w:r w:rsidRPr="00E230C5">
              <w:rPr>
                <w:rFonts w:ascii="Times New Roman" w:eastAsia="Times New Roman" w:hAnsi="Times New Roman" w:cs="Times New Roman"/>
                <w:color w:val="000000"/>
              </w:rPr>
              <w:t xml:space="preserve">ύπνου, άγχος, συναισθηματική </w:t>
            </w:r>
            <w:r w:rsidRPr="00E230C5">
              <w:rPr>
                <w:rFonts w:ascii="Times New Roman" w:eastAsia="Times New Roman" w:hAnsi="Times New Roman" w:cs="Times New Roman"/>
                <w:color w:val="000000"/>
              </w:rPr>
              <w:lastRenderedPageBreak/>
              <w:t xml:space="preserve">αστάθεια </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lastRenderedPageBreak/>
              <w:t xml:space="preserve">Διαταραχές του νευρικού συστήματος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Κεφαλα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λγία, ζάλη, δυσγευ</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σία (αλλοίω</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 xml:space="preserve">ση </w:t>
            </w:r>
            <w:r w:rsidR="00BD6086">
              <w:rPr>
                <w:rFonts w:ascii="Times New Roman" w:eastAsia="Times New Roman" w:hAnsi="Times New Roman" w:cs="Times New Roman"/>
                <w:color w:val="000000"/>
              </w:rPr>
              <w:t xml:space="preserve">της </w:t>
            </w:r>
            <w:r w:rsidRPr="00E230C5">
              <w:rPr>
                <w:rFonts w:ascii="Times New Roman" w:eastAsia="Times New Roman" w:hAnsi="Times New Roman" w:cs="Times New Roman"/>
                <w:color w:val="000000"/>
              </w:rPr>
              <w:t xml:space="preserve">γεύσης) </w:t>
            </w:r>
          </w:p>
        </w:tc>
        <w:tc>
          <w:tcPr>
            <w:tcW w:w="1843" w:type="dxa"/>
            <w:shd w:val="clear" w:color="auto" w:fill="auto"/>
          </w:tcPr>
          <w:p w:rsidR="003A44E4" w:rsidRPr="00E230C5" w:rsidRDefault="00B23822" w:rsidP="003A44E4">
            <w:pPr>
              <w:autoSpaceDE w:val="0"/>
              <w:autoSpaceDN w:val="0"/>
              <w:adjustRightInd w:val="0"/>
              <w:spacing w:after="0" w:line="240" w:lineRule="auto"/>
              <w:rPr>
                <w:rFonts w:ascii="Times New Roman" w:eastAsia="Times New Roman" w:hAnsi="Times New Roman" w:cs="Times New Roman"/>
                <w:color w:val="000000"/>
              </w:rPr>
            </w:pPr>
            <w:r w:rsidRPr="00B23822">
              <w:rPr>
                <w:rFonts w:ascii="Times New Roman" w:eastAsia="Times New Roman" w:hAnsi="Times New Roman" w:cs="Times New Roman"/>
                <w:color w:val="000000"/>
              </w:rPr>
              <w:t>Αγγειοεγκεφαλικές διαταραχές</w:t>
            </w:r>
            <w:r w:rsidR="003A44E4" w:rsidRPr="00E230C5">
              <w:rPr>
                <w:rFonts w:ascii="Times New Roman" w:eastAsia="Times New Roman" w:hAnsi="Times New Roman" w:cs="Times New Roman"/>
                <w:color w:val="000000"/>
              </w:rPr>
              <w:t xml:space="preserve">, </w:t>
            </w:r>
            <w:r w:rsidRPr="00B23822">
              <w:rPr>
                <w:rFonts w:ascii="Times New Roman" w:eastAsia="Times New Roman" w:hAnsi="Times New Roman" w:cs="Times New Roman"/>
                <w:color w:val="000000"/>
              </w:rPr>
              <w:t>βλάβη νευρικής ρίζας</w:t>
            </w:r>
            <w:r w:rsidR="003A44E4" w:rsidRPr="00E230C5">
              <w:rPr>
                <w:rFonts w:ascii="Times New Roman" w:eastAsia="Times New Roman" w:hAnsi="Times New Roman" w:cs="Times New Roman"/>
                <w:color w:val="000000"/>
              </w:rPr>
              <w:t>, αμνησία, ημικρανία, νευραλγία, υπερτονία, υπεραισθησία, περιστοματική</w:t>
            </w:r>
            <w:r>
              <w:t xml:space="preserve"> </w:t>
            </w:r>
            <w:r w:rsidRPr="00B23822">
              <w:rPr>
                <w:rFonts w:ascii="Times New Roman" w:eastAsia="Times New Roman" w:hAnsi="Times New Roman" w:cs="Times New Roman"/>
                <w:color w:val="000000"/>
              </w:rPr>
              <w:t>παραισθησία</w:t>
            </w:r>
            <w:r w:rsidR="003A44E4" w:rsidRPr="00E230C5">
              <w:rPr>
                <w:rFonts w:ascii="Times New Roman" w:eastAsia="Times New Roman" w:hAnsi="Times New Roman" w:cs="Times New Roman"/>
                <w:color w:val="000000"/>
              </w:rPr>
              <w:t xml:space="preserve">, παροσμία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s-ES"/>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s-ES"/>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s-ES"/>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Οφθαλμικές διαταραχές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Καταρ</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lang w:val="en-US"/>
              </w:rPr>
              <w:t xml:space="preserve">ράκτης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0"/>
                <w:szCs w:val="20"/>
                <w:lang w:val="en-US"/>
              </w:rPr>
            </w:pPr>
            <w:r w:rsidRPr="00E230C5">
              <w:rPr>
                <w:rFonts w:ascii="Times New Roman" w:eastAsia="Times New Roman" w:hAnsi="Times New Roman" w:cs="Times New Roman"/>
                <w:color w:val="000000"/>
                <w:lang w:val="en-US"/>
              </w:rPr>
              <w:t xml:space="preserve">Φλεγμονή </w:t>
            </w:r>
            <w:r w:rsidR="00B23822">
              <w:rPr>
                <w:rFonts w:ascii="Times New Roman" w:eastAsia="Times New Roman" w:hAnsi="Times New Roman" w:cs="Times New Roman"/>
                <w:color w:val="000000"/>
              </w:rPr>
              <w:t xml:space="preserve">των </w:t>
            </w:r>
            <w:r w:rsidRPr="00E230C5">
              <w:rPr>
                <w:rFonts w:ascii="Times New Roman" w:eastAsia="Times New Roman" w:hAnsi="Times New Roman" w:cs="Times New Roman"/>
                <w:color w:val="000000"/>
                <w:lang w:val="en-US"/>
              </w:rPr>
              <w:t>οφθαλμών</w:t>
            </w:r>
            <w:r w:rsidRPr="00E230C5">
              <w:rPr>
                <w:rFonts w:ascii="Times New Roman" w:eastAsia="Times New Roman" w:hAnsi="Times New Roman" w:cs="Times New Roman"/>
                <w:color w:val="000000"/>
                <w:sz w:val="20"/>
                <w:szCs w:val="20"/>
                <w:lang w:val="en-US"/>
              </w:rPr>
              <w:t xml:space="preserve">†**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ωτός και του λαβυρίνθου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Κώφωση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lang w:val="en-US"/>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Καρδιακές διαταραχές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Σκελικός αποκλει</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lang w:val="en-US"/>
              </w:rPr>
              <w:t xml:space="preserve">σμός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sz w:val="24"/>
                <w:szCs w:val="24"/>
                <w:lang w:val="en-US"/>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Ισχαιμία του μυοκαρδίου, </w:t>
            </w:r>
            <w:r w:rsidR="00B23822" w:rsidRPr="00B23822">
              <w:rPr>
                <w:rFonts w:ascii="Times New Roman" w:eastAsia="Times New Roman" w:hAnsi="Times New Roman" w:cs="Times New Roman"/>
                <w:color w:val="000000"/>
              </w:rPr>
              <w:t>καρδιαγγειακές</w:t>
            </w:r>
            <w:r w:rsidRPr="00E230C5">
              <w:rPr>
                <w:rFonts w:ascii="Times New Roman" w:eastAsia="Times New Roman" w:hAnsi="Times New Roman" w:cs="Times New Roman"/>
                <w:color w:val="000000"/>
              </w:rPr>
              <w:t xml:space="preserve"> </w:t>
            </w:r>
            <w:r w:rsidR="00B23822" w:rsidRPr="00B23822">
              <w:rPr>
                <w:rFonts w:ascii="Times New Roman" w:eastAsia="Times New Roman" w:hAnsi="Times New Roman" w:cs="Times New Roman"/>
                <w:color w:val="000000"/>
              </w:rPr>
              <w:t>διαταραχές</w:t>
            </w:r>
            <w:r w:rsidRPr="00E230C5">
              <w:rPr>
                <w:rFonts w:ascii="Times New Roman" w:eastAsia="Times New Roman" w:hAnsi="Times New Roman" w:cs="Times New Roman"/>
                <w:color w:val="000000"/>
              </w:rPr>
              <w:t xml:space="preserve">, αίσθημα παλμών </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7449CD" w:rsidRPr="00E230C5" w:rsidTr="002D0B77">
        <w:tc>
          <w:tcPr>
            <w:tcW w:w="1843" w:type="dxa"/>
            <w:shd w:val="clear" w:color="auto" w:fill="auto"/>
          </w:tcPr>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Διαταραχές του</w:t>
            </w:r>
          </w:p>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αναπνευστικού</w:t>
            </w:r>
          </w:p>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b/>
                <w:bCs/>
                <w:color w:val="000000"/>
              </w:rPr>
            </w:pPr>
            <w:r w:rsidRPr="00E230C5">
              <w:rPr>
                <w:rFonts w:ascii="Times New Roman" w:eastAsia="Times New Roman" w:hAnsi="Times New Roman" w:cs="Times New Roman"/>
                <w:b/>
                <w:bCs/>
                <w:color w:val="000000"/>
              </w:rPr>
              <w:t>συστήματος, του θώρακα</w:t>
            </w:r>
          </w:p>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b/>
                <w:bCs/>
                <w:color w:val="000000"/>
                <w:lang w:val="en-US"/>
              </w:rPr>
            </w:pPr>
            <w:r w:rsidRPr="00E230C5">
              <w:rPr>
                <w:rFonts w:ascii="Times New Roman" w:eastAsia="Times New Roman" w:hAnsi="Times New Roman" w:cs="Times New Roman"/>
                <w:b/>
                <w:bCs/>
                <w:color w:val="000000"/>
                <w:lang w:val="en-US"/>
              </w:rPr>
              <w:t>και του μεσοθωράκιου</w:t>
            </w:r>
          </w:p>
        </w:tc>
        <w:tc>
          <w:tcPr>
            <w:tcW w:w="1276" w:type="dxa"/>
            <w:shd w:val="clear" w:color="auto" w:fill="auto"/>
          </w:tcPr>
          <w:p w:rsidR="007449CD" w:rsidRPr="00E230C5" w:rsidRDefault="007449CD"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Φαρυγγί</w:t>
            </w:r>
            <w:r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lang w:val="en-US"/>
              </w:rPr>
              <w:t>τιδα</w:t>
            </w:r>
          </w:p>
        </w:tc>
        <w:tc>
          <w:tcPr>
            <w:tcW w:w="1843" w:type="dxa"/>
            <w:shd w:val="clear" w:color="auto" w:fill="auto"/>
          </w:tcPr>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Πνευμονικό</w:t>
            </w:r>
          </w:p>
          <w:p w:rsidR="007449CD" w:rsidRPr="00E230C5" w:rsidRDefault="007449CD" w:rsidP="007449CD">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οίδημα, συριγμός</w:t>
            </w:r>
          </w:p>
        </w:tc>
        <w:tc>
          <w:tcPr>
            <w:tcW w:w="992" w:type="dxa"/>
            <w:shd w:val="clear" w:color="auto" w:fill="auto"/>
          </w:tcPr>
          <w:p w:rsidR="007449CD" w:rsidRPr="00E230C5" w:rsidRDefault="007449CD"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7449CD" w:rsidRPr="00E230C5" w:rsidRDefault="007449CD"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7449CD" w:rsidRPr="00E230C5" w:rsidRDefault="007449CD"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Διαταραχές του γαστρεντερικού συστήματος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Διάρροια, έμετος, δυσπεψία, γαστρε</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 xml:space="preserve">ντερικός πόνος, </w:t>
            </w:r>
          </w:p>
          <w:p w:rsidR="003A44E4" w:rsidRPr="00E230C5" w:rsidRDefault="00B23822" w:rsidP="003A44E4">
            <w:pPr>
              <w:autoSpaceDE w:val="0"/>
              <w:autoSpaceDN w:val="0"/>
              <w:adjustRightInd w:val="0"/>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Δ</w:t>
            </w:r>
            <w:r w:rsidR="003A44E4" w:rsidRPr="00E230C5">
              <w:rPr>
                <w:rFonts w:ascii="Times New Roman" w:eastAsia="Times New Roman" w:hAnsi="Times New Roman" w:cs="Times New Roman"/>
                <w:color w:val="000000"/>
              </w:rPr>
              <w:t>ιαταρα</w:t>
            </w:r>
            <w:r w:rsidR="007449CD" w:rsidRPr="00E230C5">
              <w:rPr>
                <w:rFonts w:ascii="Times New Roman" w:eastAsia="Times New Roman" w:hAnsi="Times New Roman" w:cs="Times New Roman"/>
                <w:color w:val="000000"/>
              </w:rPr>
              <w:t>-</w:t>
            </w:r>
            <w:r w:rsidR="003A44E4" w:rsidRPr="00E230C5">
              <w:rPr>
                <w:rFonts w:ascii="Times New Roman" w:eastAsia="Times New Roman" w:hAnsi="Times New Roman" w:cs="Times New Roman"/>
                <w:color w:val="000000"/>
              </w:rPr>
              <w:t>χές</w:t>
            </w:r>
            <w:r>
              <w:t xml:space="preserve"> </w:t>
            </w:r>
            <w:r w:rsidRPr="00B23822">
              <w:rPr>
                <w:rFonts w:ascii="Times New Roman" w:eastAsia="Times New Roman" w:hAnsi="Times New Roman" w:cs="Times New Roman"/>
                <w:color w:val="000000"/>
              </w:rPr>
              <w:t>των οδόντων</w:t>
            </w:r>
          </w:p>
        </w:tc>
        <w:tc>
          <w:tcPr>
            <w:tcW w:w="1843" w:type="dxa"/>
            <w:shd w:val="clear" w:color="auto" w:fill="auto"/>
          </w:tcPr>
          <w:p w:rsidR="003A44E4" w:rsidRPr="00E230C5" w:rsidRDefault="007449CD"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Γαστρεντερίτιδα, </w:t>
            </w:r>
            <w:r w:rsidR="003A44E4" w:rsidRPr="00E230C5">
              <w:rPr>
                <w:rFonts w:ascii="Times New Roman" w:eastAsia="Times New Roman" w:hAnsi="Times New Roman" w:cs="Times New Roman"/>
                <w:color w:val="000000"/>
              </w:rPr>
              <w:t xml:space="preserve">γαστρίτιδα, εξέλκωση του στόματος, δυσφαγία, χειλίτιδα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ήπατος και των χοληφόρων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Χολολιθίαση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δέρματος και του υποδόριου ιστού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Διαταρα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 xml:space="preserve">χή του δέρματος, εκχύμωση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Εξάνθημα, αλωπεκία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7449CD" w:rsidRPr="00E230C5" w:rsidRDefault="007449CD" w:rsidP="007449CD">
            <w:pPr>
              <w:autoSpaceDE w:val="0"/>
              <w:autoSpaceDN w:val="0"/>
              <w:adjustRightInd w:val="0"/>
              <w:spacing w:after="0" w:line="240" w:lineRule="auto"/>
              <w:rPr>
                <w:rFonts w:ascii="Times New Roman" w:hAnsi="Times New Roman" w:cs="Times New Roman"/>
              </w:rPr>
            </w:pPr>
            <w:r w:rsidRPr="00E230C5">
              <w:rPr>
                <w:rFonts w:ascii="Times New Roman" w:hAnsi="Times New Roman" w:cs="Times New Roman"/>
              </w:rPr>
              <w:t>Σύνδρομο</w:t>
            </w:r>
          </w:p>
          <w:p w:rsidR="007449CD" w:rsidRPr="00E230C5" w:rsidRDefault="007449CD" w:rsidP="007449CD">
            <w:pPr>
              <w:autoSpaceDE w:val="0"/>
              <w:autoSpaceDN w:val="0"/>
              <w:adjustRightInd w:val="0"/>
              <w:spacing w:after="0" w:line="240" w:lineRule="auto"/>
              <w:rPr>
                <w:rFonts w:ascii="Times New Roman" w:hAnsi="Times New Roman" w:cs="Times New Roman"/>
              </w:rPr>
            </w:pPr>
            <w:r w:rsidRPr="00E230C5">
              <w:rPr>
                <w:rFonts w:ascii="Times New Roman" w:hAnsi="Times New Roman" w:cs="Times New Roman"/>
              </w:rPr>
              <w:t>Stevens-Johnson</w:t>
            </w:r>
          </w:p>
          <w:p w:rsidR="007449CD" w:rsidRPr="00E230C5" w:rsidRDefault="007449CD" w:rsidP="007449CD">
            <w:pPr>
              <w:autoSpaceDE w:val="0"/>
              <w:autoSpaceDN w:val="0"/>
              <w:adjustRightInd w:val="0"/>
              <w:spacing w:after="0" w:line="240" w:lineRule="auto"/>
              <w:rPr>
                <w:rFonts w:ascii="Times New Roman" w:hAnsi="Times New Roman" w:cs="Times New Roman"/>
              </w:rPr>
            </w:pPr>
            <w:r w:rsidRPr="00E230C5">
              <w:rPr>
                <w:rFonts w:ascii="Times New Roman" w:hAnsi="Times New Roman" w:cs="Times New Roman"/>
              </w:rPr>
              <w:t>†, Πολύμορφο</w:t>
            </w:r>
          </w:p>
          <w:p w:rsidR="007449CD" w:rsidRPr="00E230C5" w:rsidRDefault="007449CD" w:rsidP="007449CD">
            <w:pPr>
              <w:autoSpaceDE w:val="0"/>
              <w:autoSpaceDN w:val="0"/>
              <w:adjustRightInd w:val="0"/>
              <w:spacing w:after="0" w:line="240" w:lineRule="auto"/>
              <w:rPr>
                <w:rFonts w:ascii="Times New Roman" w:hAnsi="Times New Roman" w:cs="Times New Roman"/>
              </w:rPr>
            </w:pPr>
            <w:r w:rsidRPr="00E230C5">
              <w:rPr>
                <w:rFonts w:ascii="Times New Roman" w:hAnsi="Times New Roman" w:cs="Times New Roman"/>
              </w:rPr>
              <w:t>ερύθημα†,</w:t>
            </w:r>
          </w:p>
          <w:p w:rsidR="007449CD" w:rsidRPr="00E230C5" w:rsidRDefault="007449CD" w:rsidP="007449CD">
            <w:pPr>
              <w:autoSpaceDE w:val="0"/>
              <w:autoSpaceDN w:val="0"/>
              <w:adjustRightInd w:val="0"/>
              <w:spacing w:after="0" w:line="240" w:lineRule="auto"/>
              <w:rPr>
                <w:rFonts w:ascii="Times New Roman" w:hAnsi="Times New Roman" w:cs="Times New Roman"/>
              </w:rPr>
            </w:pPr>
            <w:r w:rsidRPr="00E230C5">
              <w:rPr>
                <w:rFonts w:ascii="Times New Roman" w:hAnsi="Times New Roman" w:cs="Times New Roman"/>
              </w:rPr>
              <w:t>Δερματίτιδα</w:t>
            </w:r>
          </w:p>
          <w:p w:rsidR="003A44E4" w:rsidRPr="00E230C5" w:rsidRDefault="00BD6086" w:rsidP="007449CD">
            <w:pPr>
              <w:autoSpaceDE w:val="0"/>
              <w:autoSpaceDN w:val="0"/>
              <w:adjustRightInd w:val="0"/>
              <w:spacing w:after="0" w:line="240" w:lineRule="auto"/>
              <w:rPr>
                <w:rFonts w:ascii="Times New Roman" w:eastAsia="Times New Roman" w:hAnsi="Times New Roman" w:cs="Times New Roman"/>
                <w:b/>
                <w:bCs/>
                <w:sz w:val="24"/>
                <w:szCs w:val="24"/>
              </w:rPr>
            </w:pPr>
            <w:r>
              <w:rPr>
                <w:rFonts w:ascii="Times New Roman" w:hAnsi="Times New Roman" w:cs="Times New Roman"/>
              </w:rPr>
              <w:t>π</w:t>
            </w:r>
            <w:r w:rsidR="007449CD" w:rsidRPr="00E230C5">
              <w:rPr>
                <w:rFonts w:ascii="Times New Roman" w:hAnsi="Times New Roman" w:cs="Times New Roman"/>
              </w:rPr>
              <w:t>ομφολυγώ-δης†</w:t>
            </w: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lastRenderedPageBreak/>
              <w:t xml:space="preserve">Διαταραχές του μυοσκελετικού συστήματος και του συνδετικού ιστού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Οστεοα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ρθρίτιδα, μυαλγία, αρθρα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λγία, αρθροπά</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θεια</w:t>
            </w:r>
            <w:r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rPr>
              <w:t>, οστικός</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πόνος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Άτυπα υποτροχα</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ντήρια κατάγματα και κατάγματα της διάφυσης του μηριαίου</w:t>
            </w:r>
            <w:r w:rsidRPr="00E230C5">
              <w:rPr>
                <w:rFonts w:ascii="Times New Roman" w:eastAsia="Times New Roman" w:hAnsi="Times New Roman" w:cs="Times New Roman"/>
                <w:color w:val="000000"/>
                <w:sz w:val="20"/>
                <w:szCs w:val="20"/>
              </w:rPr>
              <w:t xml:space="preserve">† </w:t>
            </w: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Οστεονέκρωση της γνάθου </w:t>
            </w:r>
          </w:p>
          <w:p w:rsidR="000712D9"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0"/>
                <w:szCs w:val="20"/>
              </w:rPr>
            </w:pPr>
            <w:r w:rsidRPr="00E230C5">
              <w:rPr>
                <w:rFonts w:ascii="Times New Roman" w:eastAsia="Times New Roman" w:hAnsi="Times New Roman" w:cs="Times New Roman"/>
                <w:color w:val="000000"/>
                <w:sz w:val="20"/>
                <w:szCs w:val="20"/>
              </w:rPr>
              <w:t xml:space="preserve">†** </w:t>
            </w:r>
          </w:p>
          <w:p w:rsidR="000712D9" w:rsidRPr="009F45F0" w:rsidRDefault="000712D9" w:rsidP="00993B4D">
            <w:pPr>
              <w:autoSpaceDE w:val="0"/>
              <w:autoSpaceDN w:val="0"/>
              <w:adjustRightInd w:val="0"/>
              <w:spacing w:after="0" w:line="240" w:lineRule="auto"/>
              <w:rPr>
                <w:rFonts w:ascii="Times New Roman" w:eastAsia="Times New Roman" w:hAnsi="Times New Roman" w:cs="Times New Roman"/>
                <w:iCs/>
                <w:color w:val="000000"/>
                <w:sz w:val="24"/>
                <w:szCs w:val="24"/>
              </w:rPr>
            </w:pPr>
            <w:r w:rsidRPr="00B23822">
              <w:rPr>
                <w:rFonts w:ascii="Times New Roman" w:eastAsia="Times New Roman" w:hAnsi="Times New Roman" w:cs="Times New Roman"/>
                <w:iCs/>
                <w:color w:val="000000"/>
                <w:sz w:val="24"/>
                <w:szCs w:val="24"/>
              </w:rPr>
              <w:t>Οστεονέ</w:t>
            </w:r>
            <w:r w:rsidR="007449CD" w:rsidRPr="00B23822">
              <w:rPr>
                <w:rFonts w:ascii="Times New Roman" w:eastAsia="Times New Roman" w:hAnsi="Times New Roman" w:cs="Times New Roman"/>
                <w:iCs/>
                <w:color w:val="000000"/>
                <w:sz w:val="24"/>
                <w:szCs w:val="24"/>
              </w:rPr>
              <w:t>-</w:t>
            </w:r>
            <w:r w:rsidRPr="00B23822">
              <w:rPr>
                <w:rFonts w:ascii="Times New Roman" w:eastAsia="Times New Roman" w:hAnsi="Times New Roman" w:cs="Times New Roman"/>
                <w:iCs/>
                <w:color w:val="000000"/>
                <w:sz w:val="24"/>
                <w:szCs w:val="24"/>
              </w:rPr>
              <w:t xml:space="preserve">κρωση του </w:t>
            </w:r>
            <w:r w:rsidR="00993B4D">
              <w:rPr>
                <w:rFonts w:ascii="Times New Roman" w:eastAsia="Times New Roman" w:hAnsi="Times New Roman" w:cs="Times New Roman"/>
                <w:iCs/>
                <w:color w:val="000000"/>
                <w:sz w:val="24"/>
                <w:szCs w:val="24"/>
              </w:rPr>
              <w:t xml:space="preserve">έξω </w:t>
            </w:r>
            <w:r w:rsidRPr="00B23822">
              <w:rPr>
                <w:rFonts w:ascii="Times New Roman" w:eastAsia="Times New Roman" w:hAnsi="Times New Roman" w:cs="Times New Roman"/>
                <w:iCs/>
                <w:color w:val="000000"/>
                <w:sz w:val="24"/>
                <w:szCs w:val="24"/>
              </w:rPr>
              <w:t xml:space="preserve">ακουστικού πόρου (ανεπιθύμητη </w:t>
            </w:r>
            <w:r w:rsidR="007449CD" w:rsidRPr="00E230C5">
              <w:rPr>
                <w:rFonts w:ascii="Times New Roman" w:eastAsia="Times New Roman" w:hAnsi="Times New Roman" w:cs="Times New Roman"/>
                <w:iCs/>
                <w:color w:val="000000"/>
                <w:sz w:val="24"/>
                <w:szCs w:val="24"/>
              </w:rPr>
              <w:t>αντίδραση</w:t>
            </w:r>
            <w:r w:rsidRPr="009F45F0">
              <w:rPr>
                <w:rFonts w:ascii="Times New Roman" w:eastAsia="Times New Roman" w:hAnsi="Times New Roman" w:cs="Times New Roman"/>
                <w:iCs/>
                <w:color w:val="000000"/>
                <w:sz w:val="24"/>
                <w:szCs w:val="24"/>
              </w:rPr>
              <w:t xml:space="preserve"> </w:t>
            </w:r>
            <w:r w:rsidR="007449CD" w:rsidRPr="00E230C5">
              <w:rPr>
                <w:rFonts w:ascii="Times New Roman" w:eastAsia="Times New Roman" w:hAnsi="Times New Roman" w:cs="Times New Roman"/>
                <w:iCs/>
                <w:color w:val="000000"/>
                <w:sz w:val="24"/>
                <w:szCs w:val="24"/>
              </w:rPr>
              <w:t xml:space="preserve">της τάξης </w:t>
            </w:r>
            <w:r w:rsidRPr="00E230C5">
              <w:rPr>
                <w:rFonts w:ascii="Times New Roman" w:eastAsia="Times New Roman" w:hAnsi="Times New Roman" w:cs="Times New Roman"/>
                <w:iCs/>
                <w:color w:val="000000"/>
                <w:sz w:val="24"/>
                <w:szCs w:val="24"/>
              </w:rPr>
              <w:t>των διφωσφονι</w:t>
            </w:r>
            <w:r w:rsidR="007449CD" w:rsidRPr="00E230C5">
              <w:rPr>
                <w:rFonts w:ascii="Times New Roman" w:eastAsia="Times New Roman" w:hAnsi="Times New Roman" w:cs="Times New Roman"/>
                <w:iCs/>
                <w:color w:val="000000"/>
                <w:sz w:val="24"/>
                <w:szCs w:val="24"/>
              </w:rPr>
              <w:t>-</w:t>
            </w:r>
            <w:r w:rsidRPr="009F45F0">
              <w:rPr>
                <w:rFonts w:ascii="Times New Roman" w:eastAsia="Times New Roman" w:hAnsi="Times New Roman" w:cs="Times New Roman"/>
                <w:iCs/>
                <w:color w:val="000000"/>
                <w:sz w:val="24"/>
                <w:szCs w:val="24"/>
              </w:rPr>
              <w:t>κών)</w:t>
            </w: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των νεφρών και των ουροφόρων οδών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2D0B77">
              <w:rPr>
                <w:rFonts w:ascii="Times New Roman" w:eastAsia="Times New Roman" w:hAnsi="Times New Roman" w:cs="Times New Roman"/>
                <w:color w:val="000000"/>
              </w:rPr>
              <w:t xml:space="preserve">Κατακράτηση ούρων, κύστη </w:t>
            </w:r>
            <w:r w:rsidR="007449CD" w:rsidRPr="00E230C5">
              <w:rPr>
                <w:rFonts w:ascii="Times New Roman" w:eastAsia="Times New Roman" w:hAnsi="Times New Roman" w:cs="Times New Roman"/>
                <w:color w:val="000000"/>
              </w:rPr>
              <w:t xml:space="preserve">των </w:t>
            </w:r>
            <w:r w:rsidRPr="00E230C5">
              <w:rPr>
                <w:rFonts w:ascii="Times New Roman" w:eastAsia="Times New Roman" w:hAnsi="Times New Roman" w:cs="Times New Roman"/>
                <w:color w:val="000000"/>
              </w:rPr>
              <w:t>νεφρ</w:t>
            </w:r>
            <w:r w:rsidR="007449CD" w:rsidRPr="00E230C5">
              <w:rPr>
                <w:rFonts w:ascii="Times New Roman" w:eastAsia="Times New Roman" w:hAnsi="Times New Roman" w:cs="Times New Roman"/>
                <w:color w:val="000000"/>
              </w:rPr>
              <w:t>ών</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Διαταραχές του αναπαραγωγικού συστήματος και του μαστού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Άλγος πυέλου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Γενικές διαταραχές και καταστάσεις της οδού χορήγησης </w:t>
            </w: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Πυρεξία,</w:t>
            </w:r>
          </w:p>
          <w:p w:rsidR="003A44E4" w:rsidRPr="00E230C5" w:rsidRDefault="007449CD"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Γ</w:t>
            </w:r>
            <w:r w:rsidR="003A44E4" w:rsidRPr="00E230C5">
              <w:rPr>
                <w:rFonts w:ascii="Times New Roman" w:eastAsia="Times New Roman" w:hAnsi="Times New Roman" w:cs="Times New Roman"/>
                <w:color w:val="000000"/>
              </w:rPr>
              <w:t>ριππώ</w:t>
            </w:r>
            <w:r w:rsidRPr="00E230C5">
              <w:rPr>
                <w:rFonts w:ascii="Times New Roman" w:eastAsia="Times New Roman" w:hAnsi="Times New Roman" w:cs="Times New Roman"/>
                <w:color w:val="000000"/>
              </w:rPr>
              <w:t>-</w:t>
            </w:r>
            <w:r w:rsidR="003A44E4" w:rsidRPr="00E230C5">
              <w:rPr>
                <w:rFonts w:ascii="Times New Roman" w:eastAsia="Times New Roman" w:hAnsi="Times New Roman" w:cs="Times New Roman"/>
                <w:color w:val="000000"/>
              </w:rPr>
              <w:t xml:space="preserve">δης συνδρομή**, </w:t>
            </w:r>
            <w:r w:rsidR="00B23822" w:rsidRPr="00B23822">
              <w:rPr>
                <w:rFonts w:ascii="Times New Roman" w:eastAsia="Times New Roman" w:hAnsi="Times New Roman" w:cs="Times New Roman"/>
                <w:color w:val="000000"/>
              </w:rPr>
              <w:t xml:space="preserve">περιφερικό </w:t>
            </w:r>
            <w:r w:rsidR="003A44E4" w:rsidRPr="00E230C5">
              <w:rPr>
                <w:rFonts w:ascii="Times New Roman" w:eastAsia="Times New Roman" w:hAnsi="Times New Roman" w:cs="Times New Roman"/>
                <w:color w:val="000000"/>
              </w:rPr>
              <w:t>οίδημα, εξασθέ</w:t>
            </w:r>
            <w:r w:rsidRPr="00E230C5">
              <w:rPr>
                <w:rFonts w:ascii="Times New Roman" w:eastAsia="Times New Roman" w:hAnsi="Times New Roman" w:cs="Times New Roman"/>
                <w:color w:val="000000"/>
              </w:rPr>
              <w:t>-</w:t>
            </w:r>
            <w:r w:rsidR="003A44E4" w:rsidRPr="00E230C5">
              <w:rPr>
                <w:rFonts w:ascii="Times New Roman" w:eastAsia="Times New Roman" w:hAnsi="Times New Roman" w:cs="Times New Roman"/>
                <w:color w:val="000000"/>
              </w:rPr>
              <w:t xml:space="preserve">νηση, δίψα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Υποθερμία </w:t>
            </w: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b/>
                <w:bCs/>
                <w:color w:val="000000"/>
                <w:lang w:val="en-US"/>
              </w:rPr>
              <w:t xml:space="preserve">Παρακλινικές εξετάσεις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Gamma</w:t>
            </w:r>
            <w:r w:rsidRPr="00E230C5" w:rsidDel="005555BA">
              <w:rPr>
                <w:rFonts w:ascii="Times New Roman" w:eastAsia="Times New Roman" w:hAnsi="Times New Roman" w:cs="Times New Roman"/>
                <w:color w:val="000000"/>
              </w:rPr>
              <w:t xml:space="preserve"> </w:t>
            </w:r>
            <w:r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lang w:val="en-US"/>
              </w:rPr>
              <w:t>GT</w:t>
            </w:r>
            <w:r w:rsidRPr="00E230C5">
              <w:rPr>
                <w:rFonts w:ascii="Times New Roman" w:eastAsia="Times New Roman" w:hAnsi="Times New Roman" w:cs="Times New Roman"/>
                <w:color w:val="000000"/>
              </w:rPr>
              <w:t xml:space="preserve"> αυξημένη, κρεατινί</w:t>
            </w:r>
            <w:r w:rsidR="007449CD"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rPr>
              <w:t xml:space="preserve">νη αυξημένη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Αύξηση αλκαλικής φωσφατάσης αίματος, απώλεια βάρους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r w:rsidR="003A44E4" w:rsidRPr="00E230C5" w:rsidTr="002D0B77">
        <w:tc>
          <w:tcPr>
            <w:tcW w:w="1843"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b/>
                <w:bCs/>
                <w:color w:val="000000"/>
              </w:rPr>
              <w:t xml:space="preserve">Κακώσεις, δηλητηριάσεις και επιπλοκές θεραπευτικών χειρισμών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rPr>
            </w:pPr>
          </w:p>
        </w:tc>
        <w:tc>
          <w:tcPr>
            <w:tcW w:w="1276"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1843" w:type="dxa"/>
            <w:shd w:val="clear" w:color="auto" w:fill="auto"/>
          </w:tcPr>
          <w:p w:rsidR="003A44E4" w:rsidRPr="002D0B77"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2D0B77">
              <w:rPr>
                <w:rFonts w:ascii="Times New Roman" w:eastAsia="Times New Roman" w:hAnsi="Times New Roman" w:cs="Times New Roman"/>
                <w:color w:val="000000"/>
              </w:rPr>
              <w:t xml:space="preserve">Κάκωση, άλγος </w:t>
            </w:r>
            <w:r w:rsidR="00B23822">
              <w:rPr>
                <w:rFonts w:ascii="Times New Roman" w:eastAsia="Times New Roman" w:hAnsi="Times New Roman" w:cs="Times New Roman"/>
                <w:color w:val="000000"/>
              </w:rPr>
              <w:t xml:space="preserve">στη </w:t>
            </w:r>
            <w:r w:rsidRPr="002D0B77">
              <w:rPr>
                <w:rFonts w:ascii="Times New Roman" w:eastAsia="Times New Roman" w:hAnsi="Times New Roman" w:cs="Times New Roman"/>
                <w:color w:val="000000"/>
              </w:rPr>
              <w:t xml:space="preserve">θέση </w:t>
            </w:r>
            <w:r w:rsidR="00B23822">
              <w:rPr>
                <w:rFonts w:ascii="Times New Roman" w:eastAsia="Times New Roman" w:hAnsi="Times New Roman" w:cs="Times New Roman"/>
                <w:color w:val="000000"/>
              </w:rPr>
              <w:t xml:space="preserve">της </w:t>
            </w:r>
            <w:r w:rsidRPr="002D0B77">
              <w:rPr>
                <w:rFonts w:ascii="Times New Roman" w:eastAsia="Times New Roman" w:hAnsi="Times New Roman" w:cs="Times New Roman"/>
                <w:color w:val="000000"/>
              </w:rPr>
              <w:t xml:space="preserve">ένεσης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p>
        </w:tc>
        <w:tc>
          <w:tcPr>
            <w:tcW w:w="992"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1417"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c>
          <w:tcPr>
            <w:tcW w:w="993" w:type="dxa"/>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sz w:val="24"/>
                <w:szCs w:val="24"/>
              </w:rPr>
            </w:pPr>
          </w:p>
        </w:tc>
      </w:tr>
    </w:tbl>
    <w:p w:rsidR="003A44E4" w:rsidRPr="002D0B77" w:rsidRDefault="003A44E4" w:rsidP="003A44E4">
      <w:pPr>
        <w:autoSpaceDE w:val="0"/>
        <w:autoSpaceDN w:val="0"/>
        <w:adjustRightInd w:val="0"/>
        <w:spacing w:after="0" w:line="240" w:lineRule="auto"/>
        <w:rPr>
          <w:rFonts w:ascii="Times New Roman" w:eastAsia="Times New Roman" w:hAnsi="Times New Roman" w:cs="Times New Roman"/>
          <w:i/>
          <w:iCs/>
          <w:color w:val="000000"/>
          <w:sz w:val="6"/>
          <w:szCs w:val="6"/>
          <w:u w:val="single"/>
        </w:rPr>
      </w:pPr>
    </w:p>
    <w:p w:rsidR="003A44E4" w:rsidRPr="002D0B77"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2D0B77">
        <w:rPr>
          <w:rFonts w:ascii="Times New Roman" w:eastAsia="Times New Roman" w:hAnsi="Times New Roman" w:cs="Times New Roman"/>
          <w:color w:val="000000"/>
        </w:rPr>
        <w:t xml:space="preserve">**Βλ. περαιτέρω πληροφορίες παρακάτω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u w:val="single"/>
        </w:rPr>
      </w:pPr>
      <w:r w:rsidRPr="00E230C5">
        <w:rPr>
          <w:rFonts w:ascii="Times New Roman" w:eastAsia="Times New Roman" w:hAnsi="Times New Roman" w:cs="Times New Roman"/>
          <w:color w:val="000000"/>
        </w:rPr>
        <w:t>†Προσδιορίστηκαν κατά την εμπειρία μετά την κυκλοφορία.</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Cs/>
          <w:color w:val="000000"/>
          <w:sz w:val="24"/>
          <w:szCs w:val="24"/>
          <w:u w:val="single"/>
        </w:rPr>
      </w:pPr>
      <w:r w:rsidRPr="00E230C5">
        <w:rPr>
          <w:rFonts w:ascii="Times New Roman" w:eastAsia="Times New Roman" w:hAnsi="Times New Roman" w:cs="Times New Roman"/>
          <w:iCs/>
          <w:color w:val="000000"/>
          <w:sz w:val="24"/>
          <w:szCs w:val="24"/>
          <w:u w:val="single"/>
        </w:rPr>
        <w:t>Περιγραφή επιλεγμένων ανεπιθύμητων ενεργειών</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i/>
          <w:iCs/>
          <w:color w:val="000000"/>
          <w:sz w:val="24"/>
          <w:szCs w:val="24"/>
          <w:u w:val="single"/>
        </w:rPr>
      </w:pPr>
      <w:r w:rsidRPr="00E230C5">
        <w:rPr>
          <w:rFonts w:ascii="Times New Roman" w:eastAsia="Times New Roman" w:hAnsi="Times New Roman" w:cs="Times New Roman"/>
          <w:i/>
          <w:iCs/>
          <w:color w:val="000000"/>
          <w:sz w:val="24"/>
          <w:szCs w:val="24"/>
          <w:u w:val="single"/>
        </w:rPr>
        <w:t>Υπασβεστιαιμία</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μειωμένη απέκκριση του ασβεστίου από τους νεφρούς μπορεί να συνοδεύεται από μείωση των επιπέδων των φωσφορικών στον ορό, η οποία δεν απαιτεί τη λήψη </w:t>
      </w:r>
      <w:r w:rsidRPr="00E230C5">
        <w:rPr>
          <w:rFonts w:ascii="Times New Roman" w:eastAsia="Times New Roman" w:hAnsi="Times New Roman" w:cs="Times New Roman"/>
          <w:color w:val="000000"/>
          <w:sz w:val="24"/>
          <w:szCs w:val="24"/>
        </w:rPr>
        <w:lastRenderedPageBreak/>
        <w:t xml:space="preserve">θεραπευτικών μέτρων. Τα επίπεδα του ασβεστίου στον ορό μπορεί να μειωθούν σε τιμές υπασβεστιαιμίας.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 xml:space="preserve">Γριππώδης συνδρομή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Έχει παρατηρηθεί γριππώδες σύνδρομο που περιλαμβάνει πυρετό, ρίγη, πόνους ομοιάζοντες με οστικούς και/ή μυικούς. Στα περισσότερα περιστατικά δεν απαιτήθηκε ειδική θεραπεία και τα συμπτώματα υποχώρησαν μετά από μερικές ώρες/ημέρες.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u w:val="single"/>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 xml:space="preserve">Οστεονέκρωση της γνάθου </w:t>
      </w:r>
    </w:p>
    <w:p w:rsidR="003A44E4" w:rsidRPr="00E230C5" w:rsidRDefault="00937E88" w:rsidP="00937E88">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Περιπτώσεις ο</w:t>
      </w:r>
      <w:r w:rsidR="003A44E4" w:rsidRPr="00E230C5">
        <w:rPr>
          <w:rFonts w:ascii="Times New Roman" w:eastAsia="Times New Roman" w:hAnsi="Times New Roman" w:cs="Times New Roman"/>
          <w:sz w:val="24"/>
          <w:szCs w:val="24"/>
        </w:rPr>
        <w:t>στεονέκρωση</w:t>
      </w:r>
      <w:r w:rsidRPr="00E230C5">
        <w:rPr>
          <w:rFonts w:ascii="Times New Roman" w:eastAsia="Times New Roman" w:hAnsi="Times New Roman" w:cs="Times New Roman"/>
          <w:sz w:val="24"/>
          <w:szCs w:val="24"/>
        </w:rPr>
        <w:t>ς</w:t>
      </w:r>
      <w:r w:rsidR="003A44E4" w:rsidRPr="00E230C5">
        <w:rPr>
          <w:rFonts w:ascii="Times New Roman" w:eastAsia="Times New Roman" w:hAnsi="Times New Roman" w:cs="Times New Roman"/>
          <w:sz w:val="24"/>
          <w:szCs w:val="24"/>
        </w:rPr>
        <w:t xml:space="preserve"> της γνάθου έχ</w:t>
      </w:r>
      <w:r w:rsidRPr="00E230C5">
        <w:rPr>
          <w:rFonts w:ascii="Times New Roman" w:eastAsia="Times New Roman" w:hAnsi="Times New Roman" w:cs="Times New Roman"/>
          <w:sz w:val="24"/>
          <w:szCs w:val="24"/>
        </w:rPr>
        <w:t>ουν</w:t>
      </w:r>
      <w:r w:rsidR="003A44E4" w:rsidRPr="00E230C5">
        <w:rPr>
          <w:rFonts w:ascii="Times New Roman" w:eastAsia="Times New Roman" w:hAnsi="Times New Roman" w:cs="Times New Roman"/>
          <w:sz w:val="24"/>
          <w:szCs w:val="24"/>
        </w:rPr>
        <w:t xml:space="preserve"> αναφερθεί</w:t>
      </w:r>
      <w:r w:rsidRPr="00E230C5">
        <w:rPr>
          <w:rFonts w:ascii="Times New Roman" w:eastAsia="Times New Roman" w:hAnsi="Times New Roman" w:cs="Times New Roman"/>
          <w:sz w:val="24"/>
          <w:szCs w:val="24"/>
        </w:rPr>
        <w:t>,</w:t>
      </w:r>
      <w:r w:rsidR="003A44E4" w:rsidRPr="00E230C5">
        <w:rPr>
          <w:rFonts w:ascii="Times New Roman" w:eastAsia="Times New Roman" w:hAnsi="Times New Roman" w:cs="Times New Roman"/>
          <w:sz w:val="24"/>
          <w:szCs w:val="24"/>
        </w:rPr>
        <w:t xml:space="preserve"> </w:t>
      </w:r>
      <w:r w:rsidR="00BD6086" w:rsidRPr="00E230C5">
        <w:rPr>
          <w:rFonts w:ascii="Times New Roman" w:eastAsia="Times New Roman" w:hAnsi="Times New Roman" w:cs="Times New Roman"/>
          <w:sz w:val="24"/>
          <w:szCs w:val="24"/>
        </w:rPr>
        <w:t>κυρίως</w:t>
      </w:r>
      <w:r w:rsidRPr="00E230C5">
        <w:rPr>
          <w:rFonts w:ascii="Times New Roman" w:eastAsia="Times New Roman" w:hAnsi="Times New Roman" w:cs="Times New Roman"/>
          <w:sz w:val="24"/>
          <w:szCs w:val="24"/>
        </w:rPr>
        <w:t xml:space="preserve"> </w:t>
      </w:r>
      <w:r w:rsidR="003A44E4" w:rsidRPr="00E230C5">
        <w:rPr>
          <w:rFonts w:ascii="Times New Roman" w:eastAsia="Times New Roman" w:hAnsi="Times New Roman" w:cs="Times New Roman"/>
          <w:sz w:val="24"/>
          <w:szCs w:val="24"/>
        </w:rPr>
        <w:t xml:space="preserve">σε </w:t>
      </w:r>
      <w:r w:rsidR="0063699C">
        <w:rPr>
          <w:rFonts w:ascii="Times New Roman" w:eastAsia="Times New Roman" w:hAnsi="Times New Roman" w:cs="Times New Roman"/>
          <w:sz w:val="24"/>
          <w:szCs w:val="24"/>
        </w:rPr>
        <w:t xml:space="preserve">ογκολογικούς </w:t>
      </w:r>
      <w:r w:rsidR="003A44E4" w:rsidRPr="00E230C5">
        <w:rPr>
          <w:rFonts w:ascii="Times New Roman" w:eastAsia="Times New Roman" w:hAnsi="Times New Roman" w:cs="Times New Roman"/>
          <w:sz w:val="24"/>
          <w:szCs w:val="24"/>
        </w:rPr>
        <w:t xml:space="preserve">ασθενείς </w:t>
      </w:r>
      <w:r w:rsidR="0063699C">
        <w:rPr>
          <w:rFonts w:ascii="Times New Roman" w:eastAsia="Times New Roman" w:hAnsi="Times New Roman" w:cs="Times New Roman"/>
          <w:sz w:val="24"/>
          <w:szCs w:val="24"/>
        </w:rPr>
        <w:t xml:space="preserve">που βρίσκονται </w:t>
      </w:r>
      <w:r w:rsidRPr="00E230C5">
        <w:rPr>
          <w:rFonts w:ascii="Times New Roman" w:eastAsia="Times New Roman" w:hAnsi="Times New Roman" w:cs="Times New Roman"/>
          <w:sz w:val="24"/>
          <w:szCs w:val="24"/>
        </w:rPr>
        <w:t xml:space="preserve">υπό </w:t>
      </w:r>
      <w:r w:rsidR="003A44E4" w:rsidRPr="00E230C5">
        <w:rPr>
          <w:rFonts w:ascii="Times New Roman" w:eastAsia="Times New Roman" w:hAnsi="Times New Roman" w:cs="Times New Roman"/>
          <w:sz w:val="24"/>
          <w:szCs w:val="24"/>
        </w:rPr>
        <w:t>θεραπεία με</w:t>
      </w:r>
      <w:r w:rsidRPr="00E230C5">
        <w:rPr>
          <w:rFonts w:ascii="Times New Roman" w:eastAsia="Times New Roman" w:hAnsi="Times New Roman" w:cs="Times New Roman"/>
          <w:sz w:val="24"/>
          <w:szCs w:val="24"/>
        </w:rPr>
        <w:t xml:space="preserve"> φαρμακευτικά προϊόντα</w:t>
      </w:r>
      <w:r w:rsidR="00A37D29">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rPr>
        <w:t xml:space="preserve"> </w:t>
      </w:r>
      <w:r w:rsidR="00A37D29" w:rsidRPr="00E230C5">
        <w:rPr>
          <w:rFonts w:ascii="Times New Roman" w:eastAsia="Times New Roman" w:hAnsi="Times New Roman" w:cs="Times New Roman"/>
          <w:sz w:val="24"/>
          <w:szCs w:val="24"/>
        </w:rPr>
        <w:t xml:space="preserve">όπως </w:t>
      </w:r>
      <w:r w:rsidR="00A37D29">
        <w:rPr>
          <w:rFonts w:ascii="Times New Roman" w:eastAsia="Times New Roman" w:hAnsi="Times New Roman" w:cs="Times New Roman"/>
          <w:sz w:val="24"/>
          <w:szCs w:val="24"/>
        </w:rPr>
        <w:t xml:space="preserve">το </w:t>
      </w:r>
      <w:r w:rsidR="00A37D29" w:rsidRPr="00E230C5">
        <w:rPr>
          <w:rFonts w:ascii="Times New Roman" w:eastAsia="Times New Roman" w:hAnsi="Times New Roman" w:cs="Times New Roman"/>
          <w:sz w:val="24"/>
          <w:szCs w:val="24"/>
        </w:rPr>
        <w:t>ιβανδρ</w:t>
      </w:r>
      <w:r w:rsidR="00A37D29">
        <w:rPr>
          <w:rFonts w:ascii="Times New Roman" w:eastAsia="Times New Roman" w:hAnsi="Times New Roman" w:cs="Times New Roman"/>
          <w:sz w:val="24"/>
          <w:szCs w:val="24"/>
        </w:rPr>
        <w:t>ονικό οξύ,</w:t>
      </w:r>
      <w:r w:rsidR="00A37D29" w:rsidRPr="00E230C5">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τα οποία αναστέλλουν την απορρόφηση του οστού</w:t>
      </w:r>
      <w:r w:rsidR="00A37D29">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rPr>
        <w:t xml:space="preserve"> </w:t>
      </w:r>
      <w:r w:rsidR="00BD6086">
        <w:rPr>
          <w:rFonts w:ascii="Times New Roman" w:eastAsia="Times New Roman" w:hAnsi="Times New Roman" w:cs="Times New Roman"/>
          <w:sz w:val="24"/>
          <w:szCs w:val="24"/>
        </w:rPr>
        <w:t>(βλέπε παράγραφο 4.4)</w:t>
      </w:r>
      <w:r w:rsidR="003A44E4" w:rsidRPr="00E230C5">
        <w:rPr>
          <w:rFonts w:ascii="Times New Roman" w:eastAsia="Times New Roman" w:hAnsi="Times New Roman" w:cs="Times New Roman"/>
          <w:sz w:val="24"/>
          <w:szCs w:val="24"/>
        </w:rPr>
        <w:t xml:space="preserve">. </w:t>
      </w:r>
      <w:r w:rsidR="00761C98">
        <w:rPr>
          <w:rFonts w:ascii="Times New Roman" w:eastAsia="Times New Roman" w:hAnsi="Times New Roman" w:cs="Times New Roman"/>
          <w:sz w:val="24"/>
          <w:szCs w:val="24"/>
        </w:rPr>
        <w:t>Έ</w:t>
      </w:r>
      <w:r w:rsidR="00761C98" w:rsidRPr="00E230C5">
        <w:rPr>
          <w:rFonts w:ascii="Times New Roman" w:eastAsia="Times New Roman" w:hAnsi="Times New Roman" w:cs="Times New Roman"/>
          <w:sz w:val="24"/>
          <w:szCs w:val="24"/>
        </w:rPr>
        <w:t xml:space="preserve">χουν αναφερθεί </w:t>
      </w:r>
      <w:r w:rsidR="00761C98">
        <w:rPr>
          <w:rFonts w:ascii="Times New Roman" w:eastAsia="Times New Roman" w:hAnsi="Times New Roman" w:cs="Times New Roman"/>
          <w:sz w:val="24"/>
          <w:szCs w:val="24"/>
        </w:rPr>
        <w:t>π</w:t>
      </w:r>
      <w:r w:rsidRPr="00E230C5">
        <w:rPr>
          <w:rFonts w:ascii="Times New Roman" w:eastAsia="Times New Roman" w:hAnsi="Times New Roman" w:cs="Times New Roman"/>
          <w:sz w:val="24"/>
          <w:szCs w:val="24"/>
        </w:rPr>
        <w:t xml:space="preserve">εριπτώσεις οστεονέκρωσης της γνάθου </w:t>
      </w:r>
      <w:r w:rsidR="00A37D29">
        <w:rPr>
          <w:rFonts w:ascii="Times New Roman" w:eastAsia="Times New Roman" w:hAnsi="Times New Roman" w:cs="Times New Roman"/>
          <w:sz w:val="24"/>
          <w:szCs w:val="24"/>
        </w:rPr>
        <w:t>με</w:t>
      </w:r>
      <w:r w:rsidR="00A37D29" w:rsidRPr="00E230C5">
        <w:rPr>
          <w:rFonts w:ascii="Times New Roman" w:eastAsia="Times New Roman" w:hAnsi="Times New Roman" w:cs="Times New Roman"/>
          <w:sz w:val="24"/>
          <w:szCs w:val="24"/>
        </w:rPr>
        <w:t xml:space="preserve"> το ιβανδρονικό οξύ</w:t>
      </w:r>
      <w:r w:rsidR="00A37D29" w:rsidRPr="00E230C5" w:rsidDel="00761C98">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μετά την κυκλοφορία</w:t>
      </w:r>
      <w:r w:rsidR="00761C98">
        <w:rPr>
          <w:rFonts w:ascii="Times New Roman" w:eastAsia="Times New Roman" w:hAnsi="Times New Roman" w:cs="Times New Roman"/>
          <w:sz w:val="24"/>
          <w:szCs w:val="24"/>
        </w:rPr>
        <w:t xml:space="preserve"> του</w:t>
      </w:r>
      <w:r w:rsidRPr="00E230C5">
        <w:rPr>
          <w:rFonts w:ascii="Times New Roman" w:eastAsia="Times New Roman" w:hAnsi="Times New Roman" w:cs="Times New Roman"/>
          <w:sz w:val="24"/>
          <w:szCs w:val="24"/>
        </w:rPr>
        <w:t xml:space="preserve">. </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 xml:space="preserve">Οφθαλμική φλεγμονή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Περιστατικά οφθαλμικής φλεγμονής, όπως ραγοειδίτιδα, επισκληρίτιδα και σκληρίτιδα έχουν αναφερθεί με </w:t>
      </w:r>
      <w:r w:rsidR="00B23822">
        <w:rPr>
          <w:rFonts w:ascii="Times New Roman" w:eastAsia="Times New Roman" w:hAnsi="Times New Roman" w:cs="Times New Roman"/>
          <w:color w:val="000000"/>
          <w:sz w:val="24"/>
          <w:szCs w:val="24"/>
        </w:rPr>
        <w:t xml:space="preserve">τη χρήση </w:t>
      </w:r>
      <w:r w:rsidRPr="00E230C5">
        <w:rPr>
          <w:rFonts w:ascii="Times New Roman" w:eastAsia="Times New Roman" w:hAnsi="Times New Roman" w:cs="Times New Roman"/>
          <w:color w:val="000000"/>
          <w:sz w:val="24"/>
          <w:szCs w:val="24"/>
        </w:rPr>
        <w:t>διφωσφονικ</w:t>
      </w:r>
      <w:r w:rsidR="00B23822">
        <w:rPr>
          <w:rFonts w:ascii="Times New Roman" w:eastAsia="Times New Roman" w:hAnsi="Times New Roman" w:cs="Times New Roman"/>
          <w:color w:val="000000"/>
          <w:sz w:val="24"/>
          <w:szCs w:val="24"/>
        </w:rPr>
        <w:t>ών</w:t>
      </w:r>
      <w:r w:rsidRPr="00E230C5">
        <w:rPr>
          <w:rFonts w:ascii="Times New Roman" w:eastAsia="Times New Roman" w:hAnsi="Times New Roman" w:cs="Times New Roman"/>
          <w:color w:val="000000"/>
          <w:sz w:val="24"/>
          <w:szCs w:val="24"/>
        </w:rPr>
        <w:t xml:space="preserve">, συμπεριλαμβανομένου του ιβανδρονικού οξέος. Σε ορισμένες περιπτώσεις, τα συμβάντα αυτά δεν υποχώρησαν μέχρι τη διακοπή των διφωσφονικών.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9F45F0" w:rsidRDefault="003A44E4" w:rsidP="003A44E4">
      <w:pPr>
        <w:autoSpaceDE w:val="0"/>
        <w:autoSpaceDN w:val="0"/>
        <w:adjustRightInd w:val="0"/>
        <w:spacing w:after="0" w:line="240" w:lineRule="auto"/>
        <w:jc w:val="both"/>
        <w:rPr>
          <w:rFonts w:ascii="Times New Roman" w:eastAsia="Times New Roman" w:hAnsi="Times New Roman" w:cs="Times New Roman"/>
          <w:i/>
          <w:color w:val="000000"/>
          <w:sz w:val="24"/>
          <w:szCs w:val="24"/>
          <w:u w:val="single"/>
        </w:rPr>
      </w:pPr>
      <w:r w:rsidRPr="009F45F0">
        <w:rPr>
          <w:rFonts w:ascii="Times New Roman" w:eastAsia="Times New Roman" w:hAnsi="Times New Roman" w:cs="Times New Roman"/>
          <w:i/>
          <w:color w:val="000000"/>
          <w:sz w:val="24"/>
          <w:szCs w:val="24"/>
          <w:u w:val="single"/>
        </w:rPr>
        <w:t>Αναφυλακτική αντίδραση/καταπληξία</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Περιπτώσεις αναφυλακτικής αντίδρασης/καταπληξίας, συμπεριλαμβανομένων θανατηφόρων </w:t>
      </w:r>
      <w:r w:rsidR="00B23822" w:rsidRPr="00B23822">
        <w:rPr>
          <w:rFonts w:ascii="Times New Roman" w:eastAsia="Times New Roman" w:hAnsi="Times New Roman" w:cs="Times New Roman"/>
          <w:color w:val="000000"/>
          <w:sz w:val="24"/>
          <w:szCs w:val="24"/>
        </w:rPr>
        <w:t>περιστατικών</w:t>
      </w:r>
      <w:r w:rsidRPr="00E230C5">
        <w:rPr>
          <w:rFonts w:ascii="Times New Roman" w:eastAsia="Times New Roman" w:hAnsi="Times New Roman" w:cs="Times New Roman"/>
          <w:color w:val="000000"/>
          <w:sz w:val="24"/>
          <w:szCs w:val="24"/>
        </w:rPr>
        <w:t xml:space="preserve">, έχουν αναφερθεί σε ασθενείς </w:t>
      </w:r>
      <w:r w:rsidR="00B23822" w:rsidRPr="00B23822">
        <w:rPr>
          <w:rFonts w:ascii="Times New Roman" w:eastAsia="Times New Roman" w:hAnsi="Times New Roman" w:cs="Times New Roman"/>
          <w:color w:val="000000"/>
          <w:sz w:val="24"/>
          <w:szCs w:val="24"/>
        </w:rPr>
        <w:t xml:space="preserve">που βρίσκονται </w:t>
      </w:r>
      <w:r w:rsidRPr="00E230C5">
        <w:rPr>
          <w:rFonts w:ascii="Times New Roman" w:eastAsia="Times New Roman" w:hAnsi="Times New Roman" w:cs="Times New Roman"/>
          <w:color w:val="000000"/>
          <w:sz w:val="24"/>
          <w:szCs w:val="24"/>
        </w:rPr>
        <w:t xml:space="preserve">υπό θεραπεία με ιβανδρονικό οξύ </w:t>
      </w:r>
      <w:r w:rsidR="00B23822" w:rsidRPr="00B23822">
        <w:rPr>
          <w:rFonts w:ascii="Times New Roman" w:eastAsia="Times New Roman" w:hAnsi="Times New Roman" w:cs="Times New Roman"/>
          <w:color w:val="000000"/>
          <w:sz w:val="24"/>
          <w:szCs w:val="24"/>
        </w:rPr>
        <w:t>όταν αυτό</w:t>
      </w:r>
      <w:r w:rsidRPr="00E230C5">
        <w:rPr>
          <w:rFonts w:ascii="Times New Roman" w:eastAsia="Times New Roman" w:hAnsi="Times New Roman" w:cs="Times New Roman"/>
          <w:color w:val="000000"/>
          <w:sz w:val="24"/>
          <w:szCs w:val="24"/>
        </w:rPr>
        <w:t xml:space="preserve"> χορηγείται ενδοφλεβίως.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u w:val="single"/>
        </w:rPr>
      </w:pPr>
      <w:r w:rsidRPr="00E230C5">
        <w:rPr>
          <w:rFonts w:ascii="Times New Roman" w:eastAsia="Times New Roman" w:hAnsi="Times New Roman" w:cs="Times New Roman"/>
          <w:color w:val="000000"/>
          <w:sz w:val="24"/>
          <w:szCs w:val="24"/>
          <w:u w:val="single"/>
        </w:rPr>
        <w:t>Αναφορά πιθανολογούμενων ανεπιθύμητων ενεργειών</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w:t>
      </w:r>
      <w:r w:rsidR="00247B23" w:rsidRPr="002D0B77">
        <w:rPr>
          <w:rFonts w:ascii="Times New Roman" w:eastAsia="Times New Roman" w:hAnsi="Times New Roman" w:cs="Times New Roman"/>
          <w:color w:val="000000"/>
          <w:sz w:val="24"/>
          <w:szCs w:val="24"/>
        </w:rPr>
        <w:t xml:space="preserve">υγείας </w:t>
      </w:r>
      <w:r w:rsidRPr="00E230C5">
        <w:rPr>
          <w:rFonts w:ascii="Times New Roman" w:eastAsia="Times New Roman" w:hAnsi="Times New Roman" w:cs="Times New Roman"/>
          <w:color w:val="000000"/>
          <w:sz w:val="24"/>
          <w:szCs w:val="24"/>
        </w:rPr>
        <w:t>να αναφέρουν οποιεσδήποτε πιθανολογούμενες ανεπιθύμητες ενέργειες μέσω του Εθνικ</w:t>
      </w:r>
      <w:r w:rsidR="00BF46F1" w:rsidRPr="00E230C5">
        <w:rPr>
          <w:rFonts w:ascii="Times New Roman" w:eastAsia="Times New Roman" w:hAnsi="Times New Roman" w:cs="Times New Roman"/>
          <w:color w:val="000000"/>
          <w:sz w:val="24"/>
          <w:szCs w:val="24"/>
        </w:rPr>
        <w:t>ού</w:t>
      </w:r>
      <w:r w:rsidRPr="00E230C5">
        <w:rPr>
          <w:rFonts w:ascii="Times New Roman" w:eastAsia="Times New Roman" w:hAnsi="Times New Roman" w:cs="Times New Roman"/>
          <w:color w:val="000000"/>
          <w:sz w:val="24"/>
          <w:szCs w:val="24"/>
        </w:rPr>
        <w:t xml:space="preserve"> Οργανισμ</w:t>
      </w:r>
      <w:r w:rsidR="00BF46F1" w:rsidRPr="00E230C5">
        <w:rPr>
          <w:rFonts w:ascii="Times New Roman" w:eastAsia="Times New Roman" w:hAnsi="Times New Roman" w:cs="Times New Roman"/>
          <w:color w:val="000000"/>
          <w:sz w:val="24"/>
          <w:szCs w:val="24"/>
        </w:rPr>
        <w:t>ού</w:t>
      </w:r>
      <w:r w:rsidRPr="00E230C5">
        <w:rPr>
          <w:rFonts w:ascii="Times New Roman" w:eastAsia="Times New Roman" w:hAnsi="Times New Roman" w:cs="Times New Roman"/>
          <w:color w:val="000000"/>
          <w:sz w:val="24"/>
          <w:szCs w:val="24"/>
        </w:rPr>
        <w:t xml:space="preserve"> Φαρμάκων, Μεσογείων 284 ΤΚ 15562 Χολαργός, Αθήνα, Τηλ: + 30 21 32040380/337, Φαξ: + 30 21 06549585, Ιστότοπος: </w:t>
      </w:r>
      <w:hyperlink r:id="rId7" w:history="1">
        <w:r w:rsidRPr="00E230C5">
          <w:rPr>
            <w:rFonts w:ascii="Times New Roman" w:eastAsia="Times New Roman" w:hAnsi="Times New Roman" w:cs="Times New Roman"/>
            <w:color w:val="0000FF"/>
            <w:sz w:val="24"/>
            <w:szCs w:val="24"/>
            <w:u w:val="single"/>
          </w:rPr>
          <w:t>http://www.eof.gr</w:t>
        </w:r>
      </w:hyperlink>
      <w:r w:rsidRPr="00E230C5">
        <w:rPr>
          <w:rFonts w:ascii="Times New Roman" w:eastAsia="Times New Roman" w:hAnsi="Times New Roman" w:cs="Times New Roman"/>
          <w:color w:val="000000"/>
          <w:sz w:val="24"/>
          <w:szCs w:val="24"/>
        </w:rPr>
        <w:t>.</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4.9 Υπερδοσολογία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10"/>
          <w:szCs w:val="10"/>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Μέχρι σήμερα δεν υπάρχει εμπειρία </w:t>
      </w:r>
      <w:r w:rsidR="00C25F91">
        <w:rPr>
          <w:rFonts w:ascii="Times New Roman" w:eastAsia="Times New Roman" w:hAnsi="Times New Roman" w:cs="Times New Roman"/>
          <w:color w:val="000000"/>
          <w:sz w:val="24"/>
          <w:szCs w:val="24"/>
        </w:rPr>
        <w:t xml:space="preserve">από </w:t>
      </w:r>
      <w:r w:rsidRPr="00E230C5">
        <w:rPr>
          <w:rFonts w:ascii="Times New Roman" w:eastAsia="Times New Roman" w:hAnsi="Times New Roman" w:cs="Times New Roman"/>
          <w:color w:val="000000"/>
          <w:sz w:val="24"/>
          <w:szCs w:val="24"/>
        </w:rPr>
        <w:t xml:space="preserve">οξεία δηλητηρίαση με </w:t>
      </w:r>
      <w:r w:rsidR="00FD3512" w:rsidRPr="00E230C5">
        <w:rPr>
          <w:rFonts w:ascii="Times New Roman" w:eastAsia="Times New Roman" w:hAnsi="Times New Roman" w:cs="Times New Roman"/>
          <w:color w:val="000000"/>
          <w:sz w:val="24"/>
          <w:szCs w:val="24"/>
        </w:rPr>
        <w:t xml:space="preserve">IBONDEM </w:t>
      </w:r>
      <w:r w:rsidRPr="00E230C5">
        <w:rPr>
          <w:rFonts w:ascii="Times New Roman" w:eastAsia="Times New Roman" w:hAnsi="Times New Roman" w:cs="Times New Roman"/>
          <w:color w:val="000000"/>
          <w:sz w:val="24"/>
          <w:szCs w:val="24"/>
        </w:rPr>
        <w:t xml:space="preserve">πυκνό διάλυμα για παρασκευή διαλύματος προς έγχυση. Δεδομένου ότι σε προκλινικές μελέτες με υψηλές δόσεις, αμφότεροι οι νεφροί και το ήπαρ αποτελούσαν όργανα-στόχους της τοξικότητας, πρέπει να παρακολουθείται η νεφρική και η ηπατική λειτουργία. Η κλινικώς </w:t>
      </w:r>
      <w:r w:rsidRPr="00665A91">
        <w:rPr>
          <w:rFonts w:ascii="Times New Roman" w:eastAsia="Times New Roman" w:hAnsi="Times New Roman" w:cs="Times New Roman"/>
          <w:color w:val="000000"/>
          <w:sz w:val="24"/>
          <w:szCs w:val="24"/>
        </w:rPr>
        <w:t>σημαντική</w:t>
      </w:r>
      <w:r w:rsidRPr="00E230C5">
        <w:rPr>
          <w:rFonts w:ascii="Times New Roman" w:eastAsia="Times New Roman" w:hAnsi="Times New Roman" w:cs="Times New Roman"/>
          <w:color w:val="000000"/>
          <w:sz w:val="24"/>
          <w:szCs w:val="24"/>
        </w:rPr>
        <w:t xml:space="preserve"> υπασβεστιαιμία πρέπει να διορθώνεται με ενδοφλέβια χορήγηση γλυκονικού ασβεστίου.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5. ΦΑΡΜΑΚΟΛΟΓΙΚΕΣ ΙΔΙΟΤΗΤΕΣ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5.1 Φαρμακοδυναμικές ιδιότητες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Φαρμακοθεραπευτική κατηγορία: Φαρμακευτικά προϊόντα για τη θεραπεία παθήσεων των οστών, διφωσφονικό, κωδικός </w:t>
      </w:r>
      <w:r w:rsidRPr="00E230C5">
        <w:rPr>
          <w:rFonts w:ascii="Times New Roman" w:eastAsia="Times New Roman" w:hAnsi="Times New Roman" w:cs="Times New Roman"/>
          <w:color w:val="000000"/>
          <w:sz w:val="24"/>
          <w:szCs w:val="24"/>
          <w:lang w:val="en-US"/>
        </w:rPr>
        <w:t>ATC</w:t>
      </w:r>
      <w:r w:rsidRPr="00E230C5">
        <w:rPr>
          <w:rFonts w:ascii="Times New Roman" w:eastAsia="Times New Roman" w:hAnsi="Times New Roman" w:cs="Times New Roman"/>
          <w:color w:val="000000"/>
          <w:sz w:val="24"/>
          <w:szCs w:val="24"/>
        </w:rPr>
        <w:t xml:space="preserve">: Μ05Β Α 06.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Το ιβανδρονικό οξύ ανήκει στην ομάδα των διφωσφονικών ενώσεων, οι οποίες δρουν ειδικά στα οστά. Η εκλεκτική δράση τους στον οστίτη ιστό βασίζεται στην υψηλή συγγένεια των διφωσφονικών προς τα ανόργανα άλατα των οστών. Τα διφωσφονικά δρουν αναστέλλοντας την οστεοκλαστική δραστηριότητα, αν και ο ακριβής μηχανισμός δράσης τους δεν είναι ακόμη σαφής.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roofErr w:type="gramStart"/>
      <w:r w:rsidRPr="00E230C5">
        <w:rPr>
          <w:rFonts w:ascii="Times New Roman" w:eastAsia="Times New Roman" w:hAnsi="Times New Roman" w:cs="Times New Roman"/>
          <w:i/>
          <w:iCs/>
          <w:color w:val="000000"/>
          <w:sz w:val="24"/>
          <w:szCs w:val="24"/>
          <w:lang w:val="en-US"/>
        </w:rPr>
        <w:t>In</w:t>
      </w:r>
      <w:r w:rsidRPr="00E230C5">
        <w:rPr>
          <w:rFonts w:ascii="Times New Roman" w:eastAsia="Times New Roman" w:hAnsi="Times New Roman" w:cs="Times New Roman"/>
          <w:i/>
          <w:iCs/>
          <w:color w:val="000000"/>
          <w:sz w:val="24"/>
          <w:szCs w:val="24"/>
        </w:rPr>
        <w:t xml:space="preserve"> </w:t>
      </w:r>
      <w:r w:rsidRPr="00E230C5">
        <w:rPr>
          <w:rFonts w:ascii="Times New Roman" w:eastAsia="Times New Roman" w:hAnsi="Times New Roman" w:cs="Times New Roman"/>
          <w:i/>
          <w:iCs/>
          <w:color w:val="000000"/>
          <w:sz w:val="24"/>
          <w:szCs w:val="24"/>
          <w:lang w:val="en-US"/>
        </w:rPr>
        <w:t>vivo</w:t>
      </w:r>
      <w:r w:rsidRPr="00E230C5">
        <w:rPr>
          <w:rFonts w:ascii="Times New Roman" w:eastAsia="Times New Roman" w:hAnsi="Times New Roman" w:cs="Times New Roman"/>
          <w:i/>
          <w:iCs/>
          <w:color w:val="000000"/>
          <w:sz w:val="24"/>
          <w:szCs w:val="24"/>
        </w:rPr>
        <w:t xml:space="preserve">, </w:t>
      </w:r>
      <w:r w:rsidRPr="00E230C5">
        <w:rPr>
          <w:rFonts w:ascii="Times New Roman" w:eastAsia="Times New Roman" w:hAnsi="Times New Roman" w:cs="Times New Roman"/>
          <w:color w:val="000000"/>
          <w:sz w:val="24"/>
          <w:szCs w:val="24"/>
        </w:rPr>
        <w:t>το ιβανδρονικό οξύ προλαμβάνει την πειραματικά προκαλούμενη καταστροφή των οστών από τη</w:t>
      </w:r>
      <w:r w:rsidR="00C46657">
        <w:rPr>
          <w:rFonts w:ascii="Times New Roman" w:eastAsia="Times New Roman" w:hAnsi="Times New Roman" w:cs="Times New Roman"/>
          <w:color w:val="000000"/>
          <w:sz w:val="24"/>
          <w:szCs w:val="24"/>
        </w:rPr>
        <w:t>ν</w:t>
      </w:r>
      <w:r w:rsidRPr="00E230C5">
        <w:rPr>
          <w:rFonts w:ascii="Times New Roman" w:eastAsia="Times New Roman" w:hAnsi="Times New Roman" w:cs="Times New Roman"/>
          <w:color w:val="000000"/>
          <w:sz w:val="24"/>
          <w:szCs w:val="24"/>
        </w:rPr>
        <w:t xml:space="preserve"> </w:t>
      </w:r>
      <w:r w:rsidR="00C25F91" w:rsidRPr="00C25F91">
        <w:rPr>
          <w:rFonts w:ascii="Times New Roman" w:eastAsia="Times New Roman" w:hAnsi="Times New Roman" w:cs="Times New Roman"/>
          <w:color w:val="000000"/>
          <w:sz w:val="24"/>
          <w:szCs w:val="24"/>
        </w:rPr>
        <w:t>καταστολή</w:t>
      </w:r>
      <w:r w:rsidRPr="00E230C5">
        <w:rPr>
          <w:rFonts w:ascii="Times New Roman" w:eastAsia="Times New Roman" w:hAnsi="Times New Roman" w:cs="Times New Roman"/>
          <w:color w:val="000000"/>
          <w:sz w:val="24"/>
          <w:szCs w:val="24"/>
        </w:rPr>
        <w:t xml:space="preserve"> της λειτουργίας των γονάδων, τα ρετινοειδή, τους όγκους ή </w:t>
      </w:r>
      <w:r w:rsidR="00C25F91" w:rsidRPr="00C25F91">
        <w:rPr>
          <w:rFonts w:ascii="Times New Roman" w:eastAsia="Times New Roman" w:hAnsi="Times New Roman" w:cs="Times New Roman"/>
          <w:color w:val="000000"/>
          <w:sz w:val="24"/>
          <w:szCs w:val="24"/>
        </w:rPr>
        <w:t>τους καρκινικούς παράγοντες</w:t>
      </w:r>
      <w:r w:rsidRPr="00E230C5">
        <w:rPr>
          <w:rFonts w:ascii="Times New Roman" w:eastAsia="Times New Roman" w:hAnsi="Times New Roman" w:cs="Times New Roman"/>
          <w:color w:val="000000"/>
          <w:sz w:val="24"/>
          <w:szCs w:val="24"/>
        </w:rPr>
        <w:t>.</w:t>
      </w:r>
      <w:proofErr w:type="gramEnd"/>
      <w:r w:rsidRPr="00E230C5">
        <w:rPr>
          <w:rFonts w:ascii="Times New Roman" w:eastAsia="Times New Roman" w:hAnsi="Times New Roman" w:cs="Times New Roman"/>
          <w:color w:val="000000"/>
          <w:sz w:val="24"/>
          <w:szCs w:val="24"/>
        </w:rPr>
        <w:t xml:space="preserve"> Η αναστολή της ενδογενούς οστικής απορρόφησης έχει επίσης τεκμηριωθεί μέσω μελετών </w:t>
      </w:r>
      <w:r w:rsidR="00C25F91" w:rsidRPr="00C25F91">
        <w:rPr>
          <w:rFonts w:ascii="Times New Roman" w:eastAsia="Times New Roman" w:hAnsi="Times New Roman" w:cs="Times New Roman"/>
          <w:color w:val="000000"/>
          <w:sz w:val="24"/>
          <w:szCs w:val="24"/>
        </w:rPr>
        <w:t xml:space="preserve">κινητικής </w:t>
      </w:r>
      <w:r w:rsidRPr="00E230C5">
        <w:rPr>
          <w:rFonts w:ascii="Times New Roman" w:eastAsia="Times New Roman" w:hAnsi="Times New Roman" w:cs="Times New Roman"/>
          <w:color w:val="000000"/>
          <w:sz w:val="24"/>
          <w:szCs w:val="24"/>
        </w:rPr>
        <w:t xml:space="preserve">με </w:t>
      </w:r>
      <w:r w:rsidRPr="00E230C5">
        <w:rPr>
          <w:rFonts w:ascii="Times New Roman" w:eastAsia="Times New Roman" w:hAnsi="Times New Roman" w:cs="Times New Roman"/>
          <w:color w:val="000000"/>
          <w:sz w:val="24"/>
          <w:szCs w:val="24"/>
          <w:vertAlign w:val="superscript"/>
        </w:rPr>
        <w:t>45</w:t>
      </w:r>
      <w:r w:rsidRPr="00E230C5">
        <w:rPr>
          <w:rFonts w:ascii="Times New Roman" w:eastAsia="Times New Roman" w:hAnsi="Times New Roman" w:cs="Times New Roman"/>
          <w:color w:val="000000"/>
          <w:sz w:val="24"/>
          <w:szCs w:val="24"/>
        </w:rPr>
        <w:t xml:space="preserve">Ca και με την απελευθέρωση ραδιενεργού τετρακυκλίνης, </w:t>
      </w:r>
      <w:r w:rsidR="00C25F91" w:rsidRPr="00C25F91">
        <w:rPr>
          <w:rFonts w:ascii="Times New Roman" w:eastAsia="Times New Roman" w:hAnsi="Times New Roman" w:cs="Times New Roman"/>
          <w:color w:val="000000"/>
          <w:sz w:val="24"/>
          <w:szCs w:val="24"/>
        </w:rPr>
        <w:t>η οποία έχει ενσωματωθεί</w:t>
      </w:r>
      <w:r w:rsidRPr="00E230C5">
        <w:rPr>
          <w:rFonts w:ascii="Times New Roman" w:eastAsia="Times New Roman" w:hAnsi="Times New Roman" w:cs="Times New Roman"/>
          <w:color w:val="000000"/>
          <w:sz w:val="24"/>
          <w:szCs w:val="24"/>
        </w:rPr>
        <w:t xml:space="preserve"> προηγουμένως στο σκελετό.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Σε δόσεις σημαντικά υψηλότερες από τις φαρμακολογικά δραστικές, το ιβανδρονικό οξύ δεν είχε καμία επίδραση στην εναπόθεση ασβεστίου στα οστά.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οστική απορρόφηση που οφείλεται σε κακοήθη νόσο χαρακτηρίζεται από υπερβολική οστική απορρόφηση που δεν αντιρροπείται από τον αντίστοιχο σχηματισμό οστών. Το ιβανδρονικό οξύ αναστέλλει εκλεκτικά την οστεοκλαστική δραστηριότητα, περιορίζοντας την οστική απορρόφηση και περιορίζοντας κατ’αυτόν τον τρόπο τις επιπλοκές της κακοήθους νόσου από το σκελετό.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Κλινικές μελέτες στη θεραπεία της υπερασβεστιαιμίας που οφείλεται σε νεοπλασία</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Κλινικές μελέτες </w:t>
      </w:r>
      <w:r w:rsidR="00C25F91" w:rsidRPr="00C25F91">
        <w:rPr>
          <w:rFonts w:ascii="Times New Roman" w:eastAsia="Times New Roman" w:hAnsi="Times New Roman" w:cs="Times New Roman"/>
          <w:sz w:val="24"/>
          <w:szCs w:val="24"/>
        </w:rPr>
        <w:t>για την</w:t>
      </w:r>
      <w:r w:rsidRPr="00E230C5">
        <w:rPr>
          <w:rFonts w:ascii="Times New Roman" w:eastAsia="Times New Roman" w:hAnsi="Times New Roman" w:cs="Times New Roman"/>
          <w:sz w:val="24"/>
          <w:szCs w:val="24"/>
        </w:rPr>
        <w:t xml:space="preserve"> υπερασβεστιαιμία </w:t>
      </w:r>
      <w:r w:rsidR="00C25F91" w:rsidRPr="00C25F91">
        <w:rPr>
          <w:rFonts w:ascii="Times New Roman" w:eastAsia="Times New Roman" w:hAnsi="Times New Roman" w:cs="Times New Roman"/>
          <w:sz w:val="24"/>
          <w:szCs w:val="24"/>
        </w:rPr>
        <w:t>που οφείλεται σε</w:t>
      </w:r>
      <w:r w:rsidRPr="00E230C5">
        <w:rPr>
          <w:rFonts w:ascii="Times New Roman" w:eastAsia="Times New Roman" w:hAnsi="Times New Roman" w:cs="Times New Roman"/>
          <w:sz w:val="24"/>
          <w:szCs w:val="24"/>
        </w:rPr>
        <w:t xml:space="preserve"> κακοήθεια κατέδειξαν ότι η ανασταλτική </w:t>
      </w:r>
      <w:r w:rsidR="00C25F91" w:rsidRPr="00C25F91">
        <w:rPr>
          <w:rFonts w:ascii="Times New Roman" w:eastAsia="Times New Roman" w:hAnsi="Times New Roman" w:cs="Times New Roman"/>
          <w:sz w:val="24"/>
          <w:szCs w:val="24"/>
        </w:rPr>
        <w:t>δράση</w:t>
      </w:r>
      <w:r w:rsidRPr="00E230C5">
        <w:rPr>
          <w:rFonts w:ascii="Times New Roman" w:eastAsia="Times New Roman" w:hAnsi="Times New Roman" w:cs="Times New Roman"/>
          <w:sz w:val="24"/>
          <w:szCs w:val="24"/>
        </w:rPr>
        <w:t xml:space="preserve"> του ιβανδρονικού οξέος στην οστεόλυση </w:t>
      </w:r>
      <w:r w:rsidR="00C25F91" w:rsidRPr="00C25F91">
        <w:rPr>
          <w:rFonts w:ascii="Times New Roman" w:eastAsia="Times New Roman" w:hAnsi="Times New Roman" w:cs="Times New Roman"/>
          <w:sz w:val="24"/>
          <w:szCs w:val="24"/>
        </w:rPr>
        <w:t>από</w:t>
      </w:r>
      <w:r w:rsidRPr="00E230C5">
        <w:rPr>
          <w:rFonts w:ascii="Times New Roman" w:eastAsia="Times New Roman" w:hAnsi="Times New Roman" w:cs="Times New Roman"/>
          <w:sz w:val="24"/>
          <w:szCs w:val="24"/>
        </w:rPr>
        <w:t xml:space="preserve"> νεοπλασία και ιδιαίτερα στην υπερασβεστιαιμία </w:t>
      </w:r>
      <w:r w:rsidR="00C25F91">
        <w:rPr>
          <w:rFonts w:ascii="Times New Roman" w:eastAsia="Times New Roman" w:hAnsi="Times New Roman" w:cs="Times New Roman"/>
          <w:sz w:val="24"/>
          <w:szCs w:val="24"/>
        </w:rPr>
        <w:t xml:space="preserve">από </w:t>
      </w:r>
      <w:r w:rsidRPr="00E230C5">
        <w:rPr>
          <w:rFonts w:ascii="Times New Roman" w:eastAsia="Times New Roman" w:hAnsi="Times New Roman" w:cs="Times New Roman"/>
          <w:sz w:val="24"/>
          <w:szCs w:val="24"/>
        </w:rPr>
        <w:t>νεοπλασία, χαρακτηρίζεται από την ελάττωση του ασβεστίου του ορού καθώς και της νεφρικής αποβολής ασβεστίου.</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Σε ασθενείς με τιμή διορθωμένου ως προς τη λευκωματίνη ασβεστίου ορού ≥3,0 </w:t>
      </w:r>
      <w:r w:rsidRPr="00E230C5">
        <w:rPr>
          <w:rFonts w:ascii="Times New Roman" w:eastAsia="Times New Roman" w:hAnsi="Times New Roman" w:cs="Times New Roman"/>
          <w:sz w:val="24"/>
          <w:szCs w:val="24"/>
          <w:lang w:val="en-US"/>
        </w:rPr>
        <w:t>mmol</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l</w:t>
      </w:r>
      <w:r w:rsidRPr="00E230C5">
        <w:rPr>
          <w:rFonts w:ascii="Times New Roman" w:eastAsia="Times New Roman" w:hAnsi="Times New Roman" w:cs="Times New Roman"/>
          <w:sz w:val="24"/>
          <w:szCs w:val="24"/>
        </w:rPr>
        <w:t xml:space="preserve"> πριν την έναρξη της θεραπείας και μετά από επαρκή ενυδάτωσή τους, έχουν παρατηρηθεί σε κλινικές δοκιμές με τα συνιστώμενα θεραπευτικά δοσολογικά </w:t>
      </w:r>
      <w:r w:rsidR="00732BC2">
        <w:rPr>
          <w:rFonts w:ascii="Times New Roman" w:eastAsia="Times New Roman" w:hAnsi="Times New Roman" w:cs="Times New Roman"/>
          <w:sz w:val="24"/>
          <w:szCs w:val="24"/>
        </w:rPr>
        <w:t>σχήματα</w:t>
      </w:r>
      <w:r w:rsidRPr="00E230C5">
        <w:rPr>
          <w:rFonts w:ascii="Times New Roman" w:eastAsia="Times New Roman" w:hAnsi="Times New Roman" w:cs="Times New Roman"/>
          <w:sz w:val="24"/>
          <w:szCs w:val="24"/>
        </w:rPr>
        <w:t>, οι ακόλουθοι βαθμοί ανταπόκρισης με τα αντίστοιχα διαστήματα εμπιστοσύνης:</w:t>
      </w:r>
    </w:p>
    <w:p w:rsidR="003A44E4" w:rsidRPr="00E230C5" w:rsidRDefault="003A44E4" w:rsidP="003A44E4">
      <w:pPr>
        <w:spacing w:after="0" w:line="240" w:lineRule="auto"/>
        <w:jc w:val="both"/>
        <w:rPr>
          <w:rFonts w:ascii="Times New Roman" w:eastAsia="Times New Roman" w:hAnsi="Times New Roman" w:cs="Times New Roman"/>
          <w:sz w:val="24"/>
          <w:szCs w:val="24"/>
        </w:rPr>
      </w:pPr>
    </w:p>
    <w:tbl>
      <w:tblPr>
        <w:tblW w:w="0" w:type="auto"/>
        <w:tblLayout w:type="fixed"/>
        <w:tblCellMar>
          <w:left w:w="40" w:type="dxa"/>
          <w:right w:w="40" w:type="dxa"/>
        </w:tblCellMar>
        <w:tblLook w:val="0000" w:firstRow="0" w:lastRow="0" w:firstColumn="0" w:lastColumn="0" w:noHBand="0" w:noVBand="0"/>
      </w:tblPr>
      <w:tblGrid>
        <w:gridCol w:w="3620"/>
        <w:gridCol w:w="2227"/>
        <w:gridCol w:w="1776"/>
      </w:tblGrid>
      <w:tr w:rsidR="003A44E4" w:rsidRPr="00E230C5" w:rsidTr="004B3B0A">
        <w:tc>
          <w:tcPr>
            <w:tcW w:w="3620"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50" w:lineRule="exact"/>
              <w:ind w:right="-3"/>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Δόση ιβανδρονικού οξέος</w:t>
            </w:r>
          </w:p>
        </w:tc>
        <w:tc>
          <w:tcPr>
            <w:tcW w:w="2227"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54" w:lineRule="exact"/>
              <w:ind w:right="-3"/>
              <w:rPr>
                <w:rFonts w:ascii="Times New Roman" w:eastAsia="Times New Roman" w:hAnsi="Times New Roman" w:cs="Times New Roman"/>
              </w:rPr>
            </w:pPr>
            <w:r w:rsidRPr="00E230C5">
              <w:rPr>
                <w:rFonts w:ascii="Times New Roman" w:eastAsia="Times New Roman" w:hAnsi="Times New Roman" w:cs="Times New Roman"/>
              </w:rPr>
              <w:t>% Ασθενείς με ανταπόκριση</w:t>
            </w:r>
          </w:p>
        </w:tc>
        <w:tc>
          <w:tcPr>
            <w:tcW w:w="1776"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54" w:lineRule="exact"/>
              <w:ind w:right="-3"/>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90% διάστημα Εμπιστοσύνης</w:t>
            </w:r>
          </w:p>
        </w:tc>
      </w:tr>
      <w:tr w:rsidR="003A44E4" w:rsidRPr="00E230C5" w:rsidTr="004B3B0A">
        <w:tc>
          <w:tcPr>
            <w:tcW w:w="3620"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val="en-US" w:eastAsia="el-GR"/>
              </w:rPr>
            </w:pPr>
            <w:r w:rsidRPr="00E230C5">
              <w:rPr>
                <w:rFonts w:ascii="Times New Roman" w:eastAsia="Times New Roman" w:hAnsi="Times New Roman" w:cs="Times New Roman"/>
                <w:lang w:eastAsia="el-GR"/>
              </w:rPr>
              <w:t xml:space="preserve">2 </w:t>
            </w:r>
            <w:r w:rsidRPr="00E230C5">
              <w:rPr>
                <w:rFonts w:ascii="Times New Roman" w:eastAsia="Times New Roman" w:hAnsi="Times New Roman" w:cs="Times New Roman"/>
                <w:lang w:val="en-US" w:eastAsia="el-GR"/>
              </w:rPr>
              <w:t>mg</w:t>
            </w:r>
          </w:p>
        </w:tc>
        <w:tc>
          <w:tcPr>
            <w:tcW w:w="2227"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54</w:t>
            </w:r>
          </w:p>
        </w:tc>
        <w:tc>
          <w:tcPr>
            <w:tcW w:w="1776"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44-63</w:t>
            </w:r>
          </w:p>
        </w:tc>
      </w:tr>
      <w:tr w:rsidR="003A44E4" w:rsidRPr="00E230C5" w:rsidTr="004B3B0A">
        <w:tc>
          <w:tcPr>
            <w:tcW w:w="3620"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val="en-US" w:eastAsia="el-GR"/>
              </w:rPr>
            </w:pPr>
            <w:r w:rsidRPr="00E230C5">
              <w:rPr>
                <w:rFonts w:ascii="Times New Roman" w:eastAsia="Times New Roman" w:hAnsi="Times New Roman" w:cs="Times New Roman"/>
                <w:lang w:eastAsia="el-GR"/>
              </w:rPr>
              <w:t xml:space="preserve">4 </w:t>
            </w:r>
            <w:r w:rsidRPr="00E230C5">
              <w:rPr>
                <w:rFonts w:ascii="Times New Roman" w:eastAsia="Times New Roman" w:hAnsi="Times New Roman" w:cs="Times New Roman"/>
                <w:lang w:val="en-US" w:eastAsia="el-GR"/>
              </w:rPr>
              <w:t>mg</w:t>
            </w:r>
          </w:p>
        </w:tc>
        <w:tc>
          <w:tcPr>
            <w:tcW w:w="2227"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76</w:t>
            </w:r>
          </w:p>
        </w:tc>
        <w:tc>
          <w:tcPr>
            <w:tcW w:w="1776"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62-86</w:t>
            </w:r>
          </w:p>
        </w:tc>
      </w:tr>
      <w:tr w:rsidR="003A44E4" w:rsidRPr="00E230C5" w:rsidTr="004B3B0A">
        <w:tc>
          <w:tcPr>
            <w:tcW w:w="3620"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val="en-US" w:eastAsia="el-GR"/>
              </w:rPr>
            </w:pPr>
            <w:r w:rsidRPr="00E230C5">
              <w:rPr>
                <w:rFonts w:ascii="Times New Roman" w:eastAsia="Times New Roman" w:hAnsi="Times New Roman" w:cs="Times New Roman"/>
                <w:lang w:eastAsia="el-GR"/>
              </w:rPr>
              <w:t xml:space="preserve">6 </w:t>
            </w:r>
            <w:r w:rsidRPr="00E230C5">
              <w:rPr>
                <w:rFonts w:ascii="Times New Roman" w:eastAsia="Times New Roman" w:hAnsi="Times New Roman" w:cs="Times New Roman"/>
                <w:lang w:val="en-US" w:eastAsia="el-GR"/>
              </w:rPr>
              <w:t>mg</w:t>
            </w:r>
          </w:p>
        </w:tc>
        <w:tc>
          <w:tcPr>
            <w:tcW w:w="2227"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jc w:val="center"/>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78</w:t>
            </w:r>
          </w:p>
        </w:tc>
        <w:tc>
          <w:tcPr>
            <w:tcW w:w="1776" w:type="dxa"/>
            <w:tcBorders>
              <w:top w:val="single" w:sz="6" w:space="0" w:color="auto"/>
              <w:left w:val="single" w:sz="6" w:space="0" w:color="auto"/>
              <w:bottom w:val="single" w:sz="6" w:space="0" w:color="auto"/>
              <w:right w:val="single" w:sz="6" w:space="0" w:color="auto"/>
            </w:tcBorders>
          </w:tcPr>
          <w:p w:rsidR="003A44E4" w:rsidRPr="00E230C5" w:rsidRDefault="003A44E4" w:rsidP="003A44E4">
            <w:pPr>
              <w:autoSpaceDE w:val="0"/>
              <w:autoSpaceDN w:val="0"/>
              <w:adjustRightInd w:val="0"/>
              <w:spacing w:after="0" w:line="240" w:lineRule="auto"/>
              <w:ind w:right="-3"/>
              <w:rPr>
                <w:rFonts w:ascii="Times New Roman" w:eastAsia="Times New Roman" w:hAnsi="Times New Roman" w:cs="Times New Roman"/>
                <w:lang w:eastAsia="el-GR"/>
              </w:rPr>
            </w:pPr>
            <w:r w:rsidRPr="00E230C5">
              <w:rPr>
                <w:rFonts w:ascii="Times New Roman" w:eastAsia="Times New Roman" w:hAnsi="Times New Roman" w:cs="Times New Roman"/>
                <w:lang w:eastAsia="el-GR"/>
              </w:rPr>
              <w:t>64-88</w:t>
            </w:r>
          </w:p>
        </w:tc>
      </w:tr>
    </w:tbl>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τους ασθενείς αυτούς και με τις ως άνω δόσεις, ο διάμεσος χρόνος για την επίτευξη φυσιολογικών τιμών ασβεστίου ήταν 4 έως 7 ημέρες. Ο διάμεσος χρόνος έως την υποτροπή (επιστροφή του διορθωμένου ως προς τη λευκωματίνη ασβεστίου ορού σε επίπεδα άνω των 3,0 </w:t>
      </w:r>
      <w:r w:rsidRPr="00E230C5">
        <w:rPr>
          <w:rFonts w:ascii="Times New Roman" w:eastAsia="Times New Roman" w:hAnsi="Times New Roman" w:cs="Times New Roman"/>
          <w:color w:val="000000"/>
          <w:sz w:val="24"/>
          <w:szCs w:val="24"/>
          <w:lang w:val="en-US"/>
        </w:rPr>
        <w:t>mmol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ήταν 18 έως 26 ημέρες.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u w:val="single"/>
        </w:rPr>
        <w:t xml:space="preserve">Κλινικές μελέτες στην πρόληψη σκελετικών συμβαμάτων σε ασθενείς με καρκίνο μαστού και οστικές μεταστάσεις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Οι κλινικές μελέτες σε ασθενείς με καρκίνο </w:t>
      </w:r>
      <w:r w:rsidR="00732BC2">
        <w:rPr>
          <w:rFonts w:ascii="Times New Roman" w:eastAsia="Times New Roman" w:hAnsi="Times New Roman" w:cs="Times New Roman"/>
          <w:color w:val="000000"/>
          <w:sz w:val="24"/>
          <w:szCs w:val="24"/>
        </w:rPr>
        <w:t xml:space="preserve">του </w:t>
      </w:r>
      <w:r w:rsidRPr="00E230C5">
        <w:rPr>
          <w:rFonts w:ascii="Times New Roman" w:eastAsia="Times New Roman" w:hAnsi="Times New Roman" w:cs="Times New Roman"/>
          <w:color w:val="000000"/>
          <w:sz w:val="24"/>
          <w:szCs w:val="24"/>
        </w:rPr>
        <w:t xml:space="preserve">μαστού και οστικές μεταστάσεις κατέδειξαν την ύπαρξη δοσοεξαρτώμενης ανασταλτικής δράσης επί της οστεόλυσης, η οποία εκφράζεται </w:t>
      </w:r>
      <w:r w:rsidR="00732BC2">
        <w:rPr>
          <w:rFonts w:ascii="Times New Roman" w:eastAsia="Times New Roman" w:hAnsi="Times New Roman" w:cs="Times New Roman"/>
          <w:color w:val="000000"/>
          <w:sz w:val="24"/>
          <w:szCs w:val="24"/>
        </w:rPr>
        <w:t>με</w:t>
      </w:r>
      <w:r w:rsidR="00732BC2"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δείκτες οστικής απορρόφησης </w:t>
      </w:r>
      <w:r w:rsidR="00C25F91" w:rsidRPr="00C25F91">
        <w:rPr>
          <w:rFonts w:ascii="Times New Roman" w:eastAsia="Times New Roman" w:hAnsi="Times New Roman" w:cs="Times New Roman"/>
          <w:color w:val="000000"/>
          <w:sz w:val="24"/>
          <w:szCs w:val="24"/>
        </w:rPr>
        <w:t xml:space="preserve">καθώς </w:t>
      </w:r>
      <w:r w:rsidRPr="00E230C5">
        <w:rPr>
          <w:rFonts w:ascii="Times New Roman" w:eastAsia="Times New Roman" w:hAnsi="Times New Roman" w:cs="Times New Roman"/>
          <w:color w:val="000000"/>
          <w:sz w:val="24"/>
          <w:szCs w:val="24"/>
        </w:rPr>
        <w:t xml:space="preserve">και </w:t>
      </w:r>
      <w:r w:rsidR="00C25F91" w:rsidRPr="00C25F91">
        <w:rPr>
          <w:rFonts w:ascii="Times New Roman" w:eastAsia="Times New Roman" w:hAnsi="Times New Roman" w:cs="Times New Roman"/>
          <w:color w:val="000000"/>
          <w:sz w:val="24"/>
          <w:szCs w:val="24"/>
        </w:rPr>
        <w:t>την ύπαρξη</w:t>
      </w:r>
      <w:r w:rsidRPr="00E230C5">
        <w:rPr>
          <w:rFonts w:ascii="Times New Roman" w:eastAsia="Times New Roman" w:hAnsi="Times New Roman" w:cs="Times New Roman"/>
          <w:color w:val="000000"/>
          <w:sz w:val="24"/>
          <w:szCs w:val="24"/>
        </w:rPr>
        <w:t xml:space="preserve"> δοσοεξαρτώμενης δράσης </w:t>
      </w:r>
      <w:r w:rsidR="00C25F91" w:rsidRPr="00C25F91">
        <w:rPr>
          <w:rFonts w:ascii="Times New Roman" w:eastAsia="Times New Roman" w:hAnsi="Times New Roman" w:cs="Times New Roman"/>
          <w:color w:val="000000"/>
          <w:sz w:val="24"/>
          <w:szCs w:val="24"/>
        </w:rPr>
        <w:t>όσο</w:t>
      </w:r>
      <w:r w:rsidR="00732BC2">
        <w:rPr>
          <w:rFonts w:ascii="Times New Roman" w:eastAsia="Times New Roman" w:hAnsi="Times New Roman" w:cs="Times New Roman"/>
          <w:color w:val="000000"/>
          <w:sz w:val="24"/>
          <w:szCs w:val="24"/>
        </w:rPr>
        <w:t>ν</w:t>
      </w:r>
      <w:r w:rsidR="00C25F91" w:rsidRPr="00C25F91">
        <w:rPr>
          <w:rFonts w:ascii="Times New Roman" w:eastAsia="Times New Roman" w:hAnsi="Times New Roman" w:cs="Times New Roman"/>
          <w:color w:val="000000"/>
          <w:sz w:val="24"/>
          <w:szCs w:val="24"/>
        </w:rPr>
        <w:t xml:space="preserve"> αφορά τα</w:t>
      </w:r>
      <w:r w:rsidRPr="00E230C5">
        <w:rPr>
          <w:rFonts w:ascii="Times New Roman" w:eastAsia="Times New Roman" w:hAnsi="Times New Roman" w:cs="Times New Roman"/>
          <w:color w:val="000000"/>
          <w:sz w:val="24"/>
          <w:szCs w:val="24"/>
        </w:rPr>
        <w:t xml:space="preserve"> σκελετικά συμβάματα.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πρόληψη σκελετικών συμβαμάτων σε ασθενείς με καρκίνο </w:t>
      </w:r>
      <w:r w:rsidR="00732BC2">
        <w:rPr>
          <w:rFonts w:ascii="Times New Roman" w:eastAsia="Times New Roman" w:hAnsi="Times New Roman" w:cs="Times New Roman"/>
          <w:color w:val="000000"/>
          <w:sz w:val="24"/>
          <w:szCs w:val="24"/>
        </w:rPr>
        <w:t xml:space="preserve">του </w:t>
      </w:r>
      <w:r w:rsidRPr="00E230C5">
        <w:rPr>
          <w:rFonts w:ascii="Times New Roman" w:eastAsia="Times New Roman" w:hAnsi="Times New Roman" w:cs="Times New Roman"/>
          <w:color w:val="000000"/>
          <w:sz w:val="24"/>
          <w:szCs w:val="24"/>
        </w:rPr>
        <w:t xml:space="preserve">μαστού και οστικές μεταστάσεις, με </w:t>
      </w:r>
      <w:r w:rsidR="001D65F0" w:rsidRPr="002D0B77">
        <w:rPr>
          <w:rFonts w:ascii="Times New Roman" w:eastAsia="Times New Roman" w:hAnsi="Times New Roman" w:cs="Times New Roman"/>
          <w:bCs/>
          <w:color w:val="000000"/>
          <w:sz w:val="24"/>
          <w:szCs w:val="24"/>
        </w:rPr>
        <w:t>ιβανδρονικό οξύ</w:t>
      </w:r>
      <w:r w:rsidR="001D65F0" w:rsidRPr="00E230C5">
        <w:rPr>
          <w:rFonts w:ascii="Times New Roman" w:eastAsia="Times New Roman" w:hAnsi="Times New Roman" w:cs="Times New Roman"/>
          <w:bCs/>
          <w:color w:val="000000"/>
          <w:sz w:val="24"/>
          <w:szCs w:val="24"/>
        </w:rPr>
        <w:t xml:space="preserve"> </w:t>
      </w:r>
      <w:r w:rsidRPr="00E230C5">
        <w:rPr>
          <w:rFonts w:ascii="Times New Roman" w:eastAsia="Times New Roman" w:hAnsi="Times New Roman" w:cs="Times New Roman"/>
          <w:color w:val="000000"/>
          <w:sz w:val="24"/>
          <w:szCs w:val="24"/>
        </w:rPr>
        <w:t xml:space="preserve"> 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w:t>
      </w:r>
      <w:r w:rsidR="00C25F91" w:rsidRPr="00C25F91">
        <w:rPr>
          <w:rFonts w:ascii="Times New Roman" w:eastAsia="Times New Roman" w:hAnsi="Times New Roman" w:cs="Times New Roman"/>
          <w:color w:val="000000"/>
          <w:sz w:val="24"/>
          <w:szCs w:val="24"/>
        </w:rPr>
        <w:t xml:space="preserve">χορηγούμενο </w:t>
      </w:r>
      <w:r w:rsidRPr="00E230C5">
        <w:rPr>
          <w:rFonts w:ascii="Times New Roman" w:eastAsia="Times New Roman" w:hAnsi="Times New Roman" w:cs="Times New Roman"/>
          <w:color w:val="000000"/>
          <w:sz w:val="24"/>
          <w:szCs w:val="24"/>
        </w:rPr>
        <w:t xml:space="preserve">ενδοφλεβίως, αξιολογήθηκε σε μία τυχαιοποιημένη, ελεγχόμενη με εικονικό φάρμακο, </w:t>
      </w:r>
      <w:r w:rsidR="00C25F91" w:rsidRPr="00C25F91">
        <w:rPr>
          <w:rFonts w:ascii="Times New Roman" w:eastAsia="Times New Roman" w:hAnsi="Times New Roman" w:cs="Times New Roman"/>
          <w:color w:val="000000"/>
          <w:sz w:val="24"/>
          <w:szCs w:val="24"/>
        </w:rPr>
        <w:t xml:space="preserve">κλινική </w:t>
      </w:r>
      <w:r w:rsidRPr="00E230C5">
        <w:rPr>
          <w:rFonts w:ascii="Times New Roman" w:eastAsia="Times New Roman" w:hAnsi="Times New Roman" w:cs="Times New Roman"/>
          <w:color w:val="000000"/>
          <w:sz w:val="24"/>
          <w:szCs w:val="24"/>
        </w:rPr>
        <w:t xml:space="preserve">δοκιμή φάσης </w:t>
      </w:r>
      <w:r w:rsidRPr="00E230C5">
        <w:rPr>
          <w:rFonts w:ascii="Times New Roman" w:eastAsia="Times New Roman" w:hAnsi="Times New Roman" w:cs="Times New Roman"/>
          <w:color w:val="000000"/>
          <w:sz w:val="24"/>
          <w:szCs w:val="24"/>
          <w:lang w:val="en-US"/>
        </w:rPr>
        <w:t>III</w:t>
      </w:r>
      <w:r w:rsidRPr="00E230C5">
        <w:rPr>
          <w:rFonts w:ascii="Times New Roman" w:eastAsia="Times New Roman" w:hAnsi="Times New Roman" w:cs="Times New Roman"/>
          <w:color w:val="000000"/>
          <w:sz w:val="24"/>
          <w:szCs w:val="24"/>
        </w:rPr>
        <w:t xml:space="preserve"> διάρκεια</w:t>
      </w:r>
      <w:r w:rsidR="00BD6086">
        <w:rPr>
          <w:rFonts w:ascii="Times New Roman" w:eastAsia="Times New Roman" w:hAnsi="Times New Roman" w:cs="Times New Roman"/>
          <w:color w:val="000000"/>
          <w:sz w:val="24"/>
          <w:szCs w:val="24"/>
        </w:rPr>
        <w:t>ς</w:t>
      </w:r>
      <w:r w:rsidRPr="00E230C5">
        <w:rPr>
          <w:rFonts w:ascii="Times New Roman" w:eastAsia="Times New Roman" w:hAnsi="Times New Roman" w:cs="Times New Roman"/>
          <w:color w:val="000000"/>
          <w:sz w:val="24"/>
          <w:szCs w:val="24"/>
        </w:rPr>
        <w:t xml:space="preserve"> 96 εβδομάδων. Οι γυναίκες ασθενείς με καρκίνο μαστού και ακτινολογικώς επιβεβαιωμένες οστικές μεταστάσεις τυχαιοποιήθηκαν ώστε να λάβουν εικονικό φάρμακο (158 ασθενείς) ή 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w:t>
      </w:r>
      <w:r w:rsidR="001D65F0" w:rsidRPr="002D0B77">
        <w:rPr>
          <w:rFonts w:ascii="Times New Roman" w:eastAsia="Times New Roman" w:hAnsi="Times New Roman" w:cs="Times New Roman"/>
          <w:bCs/>
          <w:color w:val="000000"/>
          <w:sz w:val="24"/>
          <w:szCs w:val="24"/>
        </w:rPr>
        <w:t>ιβανδρονικό οξύ</w:t>
      </w:r>
      <w:r w:rsidR="001D65F0" w:rsidRPr="00E230C5">
        <w:rPr>
          <w:rFonts w:ascii="Times New Roman" w:eastAsia="Times New Roman" w:hAnsi="Times New Roman" w:cs="Times New Roman"/>
          <w:bCs/>
          <w:color w:val="000000"/>
          <w:sz w:val="24"/>
          <w:szCs w:val="24"/>
        </w:rPr>
        <w:t xml:space="preserve"> </w:t>
      </w:r>
      <w:r w:rsidRPr="00E230C5">
        <w:rPr>
          <w:rFonts w:ascii="Times New Roman" w:eastAsia="Times New Roman" w:hAnsi="Times New Roman" w:cs="Times New Roman"/>
          <w:color w:val="000000"/>
          <w:sz w:val="24"/>
          <w:szCs w:val="24"/>
        </w:rPr>
        <w:t xml:space="preserve"> (154 ασθενείς). Τα αποτελέσματα από τη δοκιμή αυτή συνοψίζονται παρακάτω.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Κύρι</w:t>
      </w:r>
      <w:r w:rsidR="00BD6086">
        <w:rPr>
          <w:rFonts w:ascii="Times New Roman" w:eastAsia="Times New Roman" w:hAnsi="Times New Roman" w:cs="Times New Roman"/>
          <w:i/>
          <w:iCs/>
          <w:color w:val="000000"/>
          <w:sz w:val="24"/>
          <w:szCs w:val="24"/>
        </w:rPr>
        <w:t>α</w:t>
      </w:r>
      <w:r w:rsidRPr="00E230C5">
        <w:rPr>
          <w:rFonts w:ascii="Times New Roman" w:eastAsia="Times New Roman" w:hAnsi="Times New Roman" w:cs="Times New Roman"/>
          <w:i/>
          <w:iCs/>
          <w:color w:val="000000"/>
          <w:sz w:val="24"/>
          <w:szCs w:val="24"/>
        </w:rPr>
        <w:t xml:space="preserve"> </w:t>
      </w:r>
      <w:r w:rsidR="00BD6086" w:rsidRPr="00BD6086">
        <w:rPr>
          <w:rFonts w:ascii="Times New Roman" w:eastAsia="Times New Roman" w:hAnsi="Times New Roman" w:cs="Times New Roman"/>
          <w:i/>
          <w:iCs/>
          <w:color w:val="000000"/>
          <w:sz w:val="24"/>
          <w:szCs w:val="24"/>
        </w:rPr>
        <w:t xml:space="preserve">καταληκτικά </w:t>
      </w:r>
      <w:r w:rsidR="00BD6086">
        <w:rPr>
          <w:rFonts w:ascii="Times New Roman" w:eastAsia="Times New Roman" w:hAnsi="Times New Roman" w:cs="Times New Roman"/>
          <w:i/>
          <w:iCs/>
          <w:color w:val="000000"/>
          <w:sz w:val="24"/>
          <w:szCs w:val="24"/>
        </w:rPr>
        <w:t xml:space="preserve">στοιχεία </w:t>
      </w:r>
      <w:r w:rsidRPr="00E230C5">
        <w:rPr>
          <w:rFonts w:ascii="Times New Roman" w:eastAsia="Times New Roman" w:hAnsi="Times New Roman" w:cs="Times New Roman"/>
          <w:i/>
          <w:iCs/>
          <w:color w:val="000000"/>
          <w:sz w:val="24"/>
          <w:szCs w:val="24"/>
        </w:rPr>
        <w:t xml:space="preserve">αποτελεσματικότητας </w:t>
      </w:r>
    </w:p>
    <w:p w:rsidR="003A44E4" w:rsidRPr="00E230C5" w:rsidRDefault="007B2CCA"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Το</w:t>
      </w:r>
      <w:r w:rsidR="003A44E4" w:rsidRPr="00E230C5">
        <w:rPr>
          <w:rFonts w:ascii="Times New Roman" w:eastAsia="Times New Roman" w:hAnsi="Times New Roman" w:cs="Times New Roman"/>
          <w:color w:val="000000"/>
          <w:sz w:val="24"/>
          <w:szCs w:val="24"/>
        </w:rPr>
        <w:t xml:space="preserve"> κύριο </w:t>
      </w:r>
      <w:r w:rsidR="007E17A6" w:rsidRPr="00E230C5">
        <w:rPr>
          <w:rFonts w:ascii="Times New Roman" w:eastAsia="Times New Roman" w:hAnsi="Times New Roman" w:cs="Times New Roman"/>
          <w:color w:val="000000"/>
          <w:sz w:val="24"/>
          <w:szCs w:val="24"/>
        </w:rPr>
        <w:t>κατα</w:t>
      </w:r>
      <w:r w:rsidRPr="00E230C5">
        <w:rPr>
          <w:rFonts w:ascii="Times New Roman" w:eastAsia="Times New Roman" w:hAnsi="Times New Roman" w:cs="Times New Roman"/>
          <w:color w:val="000000"/>
          <w:sz w:val="24"/>
          <w:szCs w:val="24"/>
        </w:rPr>
        <w:t xml:space="preserve">ληκτικό σημείο </w:t>
      </w:r>
      <w:r w:rsidR="003A44E4" w:rsidRPr="00E230C5">
        <w:rPr>
          <w:rFonts w:ascii="Times New Roman" w:eastAsia="Times New Roman" w:hAnsi="Times New Roman" w:cs="Times New Roman"/>
          <w:color w:val="000000"/>
          <w:sz w:val="24"/>
          <w:szCs w:val="24"/>
        </w:rPr>
        <w:t>της δοκιμής ήταν ο δείκτης σκελετικής νοσηρότητας εντός μίας περιόδου (</w:t>
      </w:r>
      <w:r w:rsidR="003A44E4" w:rsidRPr="00E230C5">
        <w:rPr>
          <w:rFonts w:ascii="Times New Roman" w:eastAsia="Times New Roman" w:hAnsi="Times New Roman" w:cs="Times New Roman"/>
          <w:color w:val="000000"/>
          <w:sz w:val="24"/>
          <w:szCs w:val="24"/>
          <w:lang w:val="en-US"/>
        </w:rPr>
        <w:t>skeletal</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morbidity</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period</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rate</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SMPR</w:t>
      </w:r>
      <w:r w:rsidR="003A44E4" w:rsidRPr="00E230C5">
        <w:rPr>
          <w:rFonts w:ascii="Times New Roman" w:eastAsia="Times New Roman" w:hAnsi="Times New Roman" w:cs="Times New Roman"/>
          <w:color w:val="000000"/>
          <w:sz w:val="24"/>
          <w:szCs w:val="24"/>
        </w:rPr>
        <w:t xml:space="preserve">). Αυτός ήταν ένα σύνθετο </w:t>
      </w:r>
      <w:r w:rsidR="00BD6086">
        <w:rPr>
          <w:rFonts w:ascii="Times New Roman" w:eastAsia="Times New Roman" w:hAnsi="Times New Roman" w:cs="Times New Roman"/>
          <w:color w:val="000000"/>
          <w:sz w:val="24"/>
          <w:szCs w:val="24"/>
        </w:rPr>
        <w:t xml:space="preserve">κύριο </w:t>
      </w:r>
      <w:r w:rsidR="007E17A6" w:rsidRPr="00E230C5">
        <w:rPr>
          <w:rFonts w:ascii="Times New Roman" w:eastAsia="Times New Roman" w:hAnsi="Times New Roman" w:cs="Times New Roman"/>
          <w:color w:val="000000"/>
          <w:sz w:val="24"/>
          <w:szCs w:val="24"/>
        </w:rPr>
        <w:t>κατα</w:t>
      </w:r>
      <w:r w:rsidR="00DE5FAB" w:rsidRPr="00E230C5">
        <w:rPr>
          <w:rFonts w:ascii="Times New Roman" w:eastAsia="Times New Roman" w:hAnsi="Times New Roman" w:cs="Times New Roman"/>
          <w:color w:val="000000"/>
          <w:sz w:val="24"/>
          <w:szCs w:val="24"/>
        </w:rPr>
        <w:t xml:space="preserve">ληκτικό σημείο </w:t>
      </w:r>
      <w:r w:rsidR="003A44E4" w:rsidRPr="00E230C5">
        <w:rPr>
          <w:rFonts w:ascii="Times New Roman" w:eastAsia="Times New Roman" w:hAnsi="Times New Roman" w:cs="Times New Roman"/>
          <w:color w:val="000000"/>
          <w:sz w:val="24"/>
          <w:szCs w:val="24"/>
        </w:rPr>
        <w:t>που απαρτίζετο από τα ακόλουθα, σχετιζόμενα με το σκελετό, συμβάματα (</w:t>
      </w:r>
      <w:r w:rsidR="003A44E4" w:rsidRPr="00E230C5">
        <w:rPr>
          <w:rFonts w:ascii="Times New Roman" w:eastAsia="Times New Roman" w:hAnsi="Times New Roman" w:cs="Times New Roman"/>
          <w:color w:val="000000"/>
          <w:sz w:val="24"/>
          <w:szCs w:val="24"/>
          <w:lang w:val="en-US"/>
        </w:rPr>
        <w:t>skeletal</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related</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events</w:t>
      </w:r>
      <w:r w:rsidR="003A44E4" w:rsidRPr="00E230C5">
        <w:rPr>
          <w:rFonts w:ascii="Times New Roman" w:eastAsia="Times New Roman" w:hAnsi="Times New Roman" w:cs="Times New Roman"/>
          <w:color w:val="000000"/>
          <w:sz w:val="24"/>
          <w:szCs w:val="24"/>
        </w:rPr>
        <w:t xml:space="preserve">, </w:t>
      </w:r>
      <w:r w:rsidR="003A44E4" w:rsidRPr="00E230C5">
        <w:rPr>
          <w:rFonts w:ascii="Times New Roman" w:eastAsia="Times New Roman" w:hAnsi="Times New Roman" w:cs="Times New Roman"/>
          <w:color w:val="000000"/>
          <w:sz w:val="24"/>
          <w:szCs w:val="24"/>
          <w:lang w:val="en-US"/>
        </w:rPr>
        <w:t>SREs</w:t>
      </w:r>
      <w:r w:rsidR="003A44E4" w:rsidRPr="00E230C5">
        <w:rPr>
          <w:rFonts w:ascii="Times New Roman" w:eastAsia="Times New Roman" w:hAnsi="Times New Roman" w:cs="Times New Roman"/>
          <w:color w:val="000000"/>
          <w:sz w:val="24"/>
          <w:szCs w:val="24"/>
        </w:rPr>
        <w:t xml:space="preserve">) ως επί μέρους στόχους: </w:t>
      </w:r>
    </w:p>
    <w:p w:rsidR="00DE5FAB" w:rsidRPr="00E230C5" w:rsidRDefault="00DE5FAB"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ακτινοθεραπεία σε οστό για τη θεραπεία καταγμάτων/επαπειλούμενων καταγμάτων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χειρουργική επέμβαση σε οστό για τη θεραπεία καταγμάτων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κατάγματα σπονδυλικής στήλης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 κατάγματα εκτός σπονδυλικής στήλης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Η ανάλυση του </w:t>
      </w:r>
      <w:r w:rsidRPr="00E230C5">
        <w:rPr>
          <w:rFonts w:ascii="Times New Roman" w:eastAsia="Times New Roman" w:hAnsi="Times New Roman" w:cs="Times New Roman"/>
          <w:sz w:val="24"/>
          <w:szCs w:val="24"/>
          <w:lang w:val="en-US"/>
        </w:rPr>
        <w:t>SMPR</w:t>
      </w:r>
      <w:r w:rsidRPr="00E230C5">
        <w:rPr>
          <w:rFonts w:ascii="Times New Roman" w:eastAsia="Times New Roman" w:hAnsi="Times New Roman" w:cs="Times New Roman"/>
          <w:sz w:val="24"/>
          <w:szCs w:val="24"/>
        </w:rPr>
        <w:t xml:space="preserve"> ήταν προσαρμοσμένη ως προς το χρόνο και θεωρήθηκε ότι ένα ή περισσότερα συμβάματα που παρατηρούνταν σε μία περίοδο 12 εβδομάδων θα μπορούσαν, δυνητικά, να σχετίζονται</w:t>
      </w:r>
      <w:r w:rsidR="00C25F91" w:rsidRPr="00C25F91">
        <w:t xml:space="preserve"> </w:t>
      </w:r>
      <w:r w:rsidR="00C25F91" w:rsidRPr="00C25F91">
        <w:rPr>
          <w:rFonts w:ascii="Times New Roman" w:eastAsia="Times New Roman" w:hAnsi="Times New Roman" w:cs="Times New Roman"/>
          <w:sz w:val="24"/>
          <w:szCs w:val="24"/>
        </w:rPr>
        <w:t>μεταξύ τους</w:t>
      </w:r>
      <w:r w:rsidRPr="00E230C5">
        <w:rPr>
          <w:rFonts w:ascii="Times New Roman" w:eastAsia="Times New Roman" w:hAnsi="Times New Roman" w:cs="Times New Roman"/>
          <w:sz w:val="24"/>
          <w:szCs w:val="24"/>
        </w:rPr>
        <w:t xml:space="preserve">. Ως εκ τούτου, για τους σκοπούς της ανάλυσης, τα πολλαπλά συμβάματα </w:t>
      </w:r>
      <w:r w:rsidR="00C25F91" w:rsidRPr="00C25F91">
        <w:rPr>
          <w:rFonts w:ascii="Times New Roman" w:eastAsia="Times New Roman" w:hAnsi="Times New Roman" w:cs="Times New Roman"/>
          <w:sz w:val="24"/>
          <w:szCs w:val="24"/>
        </w:rPr>
        <w:t>καταμετρήθηκαν</w:t>
      </w:r>
      <w:r w:rsidRPr="00E230C5">
        <w:rPr>
          <w:rFonts w:ascii="Times New Roman" w:eastAsia="Times New Roman" w:hAnsi="Times New Roman" w:cs="Times New Roman"/>
          <w:sz w:val="24"/>
          <w:szCs w:val="24"/>
        </w:rPr>
        <w:t xml:space="preserve"> μόνο μία φορά. Τα στοιχεία από τη μελέτη αυτή κατέδειξαν σημαντικό πλεονέκτημα για το</w:t>
      </w:r>
      <w:r w:rsidRPr="00E230C5">
        <w:rPr>
          <w:rFonts w:ascii="Times New Roman" w:eastAsia="Times New Roman" w:hAnsi="Times New Roman" w:cs="Times New Roman"/>
          <w:b/>
          <w:bCs/>
          <w:sz w:val="24"/>
          <w:szCs w:val="24"/>
        </w:rPr>
        <w:t xml:space="preserve"> </w:t>
      </w:r>
      <w:r w:rsidR="001D65F0" w:rsidRPr="002D0B77">
        <w:rPr>
          <w:rFonts w:ascii="Times New Roman" w:eastAsia="Times New Roman" w:hAnsi="Times New Roman" w:cs="Times New Roman"/>
          <w:bCs/>
          <w:sz w:val="24"/>
          <w:szCs w:val="24"/>
        </w:rPr>
        <w:t>ιβανδρονικό οξύ</w:t>
      </w:r>
      <w:r w:rsidR="001D65F0" w:rsidRPr="00E230C5">
        <w:rPr>
          <w:rFonts w:ascii="Times New Roman" w:eastAsia="Times New Roman" w:hAnsi="Times New Roman" w:cs="Times New Roman"/>
          <w:bCs/>
          <w:sz w:val="24"/>
          <w:szCs w:val="24"/>
        </w:rPr>
        <w:t xml:space="preserve"> </w:t>
      </w:r>
      <w:r w:rsidRPr="00E230C5">
        <w:rPr>
          <w:rFonts w:ascii="Times New Roman" w:eastAsia="Times New Roman" w:hAnsi="Times New Roman" w:cs="Times New Roman"/>
          <w:sz w:val="24"/>
          <w:szCs w:val="24"/>
        </w:rPr>
        <w:t xml:space="preserve"> 6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w:t>
      </w:r>
      <w:r w:rsidR="00C25F91" w:rsidRPr="00C25F91">
        <w:rPr>
          <w:rFonts w:ascii="Times New Roman" w:eastAsia="Times New Roman" w:hAnsi="Times New Roman" w:cs="Times New Roman"/>
          <w:sz w:val="24"/>
          <w:szCs w:val="24"/>
        </w:rPr>
        <w:t xml:space="preserve">χορηγούμενο </w:t>
      </w:r>
      <w:r w:rsidRPr="00E230C5">
        <w:rPr>
          <w:rFonts w:ascii="Times New Roman" w:eastAsia="Times New Roman" w:hAnsi="Times New Roman" w:cs="Times New Roman"/>
          <w:sz w:val="24"/>
          <w:szCs w:val="24"/>
        </w:rPr>
        <w:t xml:space="preserve">ενδοφλεβίως έναντι του εικονικού φαρμάκου, όσον αφορά στη μείωση των </w:t>
      </w:r>
      <w:r w:rsidRPr="00E230C5">
        <w:rPr>
          <w:rFonts w:ascii="Times New Roman" w:eastAsia="Times New Roman" w:hAnsi="Times New Roman" w:cs="Times New Roman"/>
          <w:sz w:val="24"/>
          <w:szCs w:val="24"/>
          <w:lang w:val="en-US"/>
        </w:rPr>
        <w:t>SREs</w:t>
      </w:r>
      <w:r w:rsidRPr="00E230C5">
        <w:rPr>
          <w:rFonts w:ascii="Times New Roman" w:eastAsia="Times New Roman" w:hAnsi="Times New Roman" w:cs="Times New Roman"/>
          <w:sz w:val="24"/>
          <w:szCs w:val="24"/>
        </w:rPr>
        <w:t xml:space="preserve"> μετρηθέντων με τον προσαρμοσμένο ως προς το χρόνο </w:t>
      </w:r>
      <w:r w:rsidRPr="00E230C5">
        <w:rPr>
          <w:rFonts w:ascii="Times New Roman" w:eastAsia="Times New Roman" w:hAnsi="Times New Roman" w:cs="Times New Roman"/>
          <w:sz w:val="24"/>
          <w:szCs w:val="24"/>
          <w:lang w:val="en-US"/>
        </w:rPr>
        <w:t>SMPR</w:t>
      </w:r>
      <w:r w:rsidRPr="00E230C5">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lang w:val="en-US"/>
        </w:rPr>
        <w:t>p</w:t>
      </w:r>
      <w:r w:rsidRPr="00E230C5">
        <w:rPr>
          <w:rFonts w:ascii="Times New Roman" w:eastAsia="Times New Roman" w:hAnsi="Times New Roman" w:cs="Times New Roman"/>
          <w:sz w:val="24"/>
          <w:szCs w:val="24"/>
        </w:rPr>
        <w:t xml:space="preserve">=0,004). Ο αριθμός των </w:t>
      </w:r>
      <w:r w:rsidRPr="00E230C5">
        <w:rPr>
          <w:rFonts w:ascii="Times New Roman" w:eastAsia="Times New Roman" w:hAnsi="Times New Roman" w:cs="Times New Roman"/>
          <w:sz w:val="24"/>
          <w:szCs w:val="24"/>
          <w:lang w:val="en-US"/>
        </w:rPr>
        <w:t>SREs</w:t>
      </w:r>
      <w:r w:rsidRPr="00E230C5">
        <w:rPr>
          <w:rFonts w:ascii="Times New Roman" w:eastAsia="Times New Roman" w:hAnsi="Times New Roman" w:cs="Times New Roman"/>
          <w:sz w:val="24"/>
          <w:szCs w:val="24"/>
        </w:rPr>
        <w:t xml:space="preserve"> μειώθηκε επίσης σημαντικά με το </w:t>
      </w:r>
      <w:r w:rsidR="001D65F0" w:rsidRPr="002D0B77">
        <w:rPr>
          <w:rFonts w:ascii="Times New Roman" w:eastAsia="Times New Roman" w:hAnsi="Times New Roman" w:cs="Times New Roman"/>
          <w:sz w:val="24"/>
          <w:szCs w:val="24"/>
        </w:rPr>
        <w:t>ιβανδρονικό οξύ</w:t>
      </w:r>
      <w:r w:rsidR="001D65F0" w:rsidRPr="00E230C5">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 xml:space="preserve"> 6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 xml:space="preserve"> και παρατηρήθηκε μείωση 40 % στον κίνδυνο για κάποιο </w:t>
      </w:r>
      <w:r w:rsidRPr="00E230C5">
        <w:rPr>
          <w:rFonts w:ascii="Times New Roman" w:eastAsia="Times New Roman" w:hAnsi="Times New Roman" w:cs="Times New Roman"/>
          <w:sz w:val="24"/>
          <w:szCs w:val="24"/>
          <w:lang w:val="en-US"/>
        </w:rPr>
        <w:t>SRE</w:t>
      </w:r>
      <w:r w:rsidRPr="00E230C5">
        <w:rPr>
          <w:rFonts w:ascii="Times New Roman" w:eastAsia="Times New Roman" w:hAnsi="Times New Roman" w:cs="Times New Roman"/>
          <w:sz w:val="24"/>
          <w:szCs w:val="24"/>
        </w:rPr>
        <w:t xml:space="preserve"> έναντι του εικονικού φαρμάκου (σχετικός κίνδυνος 0,6, </w:t>
      </w:r>
      <w:r w:rsidRPr="00E230C5">
        <w:rPr>
          <w:rFonts w:ascii="Times New Roman" w:eastAsia="Times New Roman" w:hAnsi="Times New Roman" w:cs="Times New Roman"/>
          <w:sz w:val="24"/>
          <w:szCs w:val="24"/>
          <w:lang w:val="en-US"/>
        </w:rPr>
        <w:t>p</w:t>
      </w:r>
      <w:r w:rsidRPr="00E230C5">
        <w:rPr>
          <w:rFonts w:ascii="Times New Roman" w:eastAsia="Times New Roman" w:hAnsi="Times New Roman" w:cs="Times New Roman"/>
          <w:sz w:val="24"/>
          <w:szCs w:val="24"/>
        </w:rPr>
        <w:t xml:space="preserve"> = 0,003). Τα στοιχεία αποτελεσματικότητας συνοψίζονται στον Πίνακα 2.</w:t>
      </w:r>
    </w:p>
    <w:p w:rsidR="003A44E4" w:rsidRPr="00E230C5" w:rsidRDefault="003A44E4" w:rsidP="003A44E4">
      <w:pPr>
        <w:spacing w:after="0" w:line="240" w:lineRule="auto"/>
        <w:rPr>
          <w:rFonts w:ascii="Times New Roman" w:eastAsia="Times New Roman" w:hAnsi="Times New Roman" w:cs="Times New Roman"/>
          <w:sz w:val="24"/>
          <w:szCs w:val="24"/>
        </w:rPr>
      </w:pPr>
    </w:p>
    <w:p w:rsidR="007E17A6" w:rsidRPr="00E230C5" w:rsidRDefault="003A44E4" w:rsidP="003A44E4">
      <w:pPr>
        <w:spacing w:after="0" w:line="240" w:lineRule="auto"/>
        <w:jc w:val="both"/>
        <w:rPr>
          <w:rFonts w:ascii="Times New Roman" w:eastAsia="Times New Roman" w:hAnsi="Times New Roman" w:cs="Times New Roman"/>
          <w:b/>
          <w:bCs/>
          <w:sz w:val="24"/>
          <w:szCs w:val="24"/>
        </w:rPr>
      </w:pPr>
      <w:r w:rsidRPr="00E230C5">
        <w:rPr>
          <w:rFonts w:ascii="Times New Roman" w:eastAsia="Times New Roman" w:hAnsi="Times New Roman" w:cs="Times New Roman"/>
          <w:b/>
          <w:bCs/>
          <w:sz w:val="24"/>
          <w:szCs w:val="24"/>
        </w:rPr>
        <w:t xml:space="preserve">Πίνακας 2 </w:t>
      </w:r>
      <w:r w:rsidR="007E17A6" w:rsidRPr="00E230C5">
        <w:rPr>
          <w:rFonts w:ascii="Times New Roman" w:eastAsia="Times New Roman" w:hAnsi="Times New Roman" w:cs="Times New Roman"/>
          <w:b/>
          <w:bCs/>
          <w:sz w:val="24"/>
          <w:szCs w:val="24"/>
        </w:rPr>
        <w:t xml:space="preserve">        </w:t>
      </w:r>
      <w:r w:rsidRPr="00E230C5">
        <w:rPr>
          <w:rFonts w:ascii="Times New Roman" w:eastAsia="Times New Roman" w:hAnsi="Times New Roman" w:cs="Times New Roman"/>
          <w:b/>
          <w:bCs/>
          <w:sz w:val="24"/>
          <w:szCs w:val="24"/>
        </w:rPr>
        <w:t xml:space="preserve">Στοιχεία αποτελεσματικότητας (Ασθενείς με Καρκίνο Μαστού με </w:t>
      </w:r>
    </w:p>
    <w:p w:rsidR="003A44E4" w:rsidRPr="00E230C5" w:rsidRDefault="007E17A6"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b/>
          <w:bCs/>
          <w:sz w:val="24"/>
          <w:szCs w:val="24"/>
        </w:rPr>
        <w:t xml:space="preserve">                          </w:t>
      </w:r>
      <w:r w:rsidR="003A44E4" w:rsidRPr="00E230C5">
        <w:rPr>
          <w:rFonts w:ascii="Times New Roman" w:eastAsia="Times New Roman" w:hAnsi="Times New Roman" w:cs="Times New Roman"/>
          <w:b/>
          <w:bCs/>
          <w:sz w:val="24"/>
          <w:szCs w:val="24"/>
        </w:rPr>
        <w:t>Μεταστατική Οστική Νόσο)</w:t>
      </w:r>
    </w:p>
    <w:p w:rsidR="003A44E4" w:rsidRPr="00E230C5" w:rsidRDefault="003A44E4" w:rsidP="003A44E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6"/>
        <w:gridCol w:w="2120"/>
        <w:gridCol w:w="2143"/>
        <w:gridCol w:w="2113"/>
      </w:tblGrid>
      <w:tr w:rsidR="003A44E4" w:rsidRPr="00E230C5" w:rsidTr="004B3B0A">
        <w:tc>
          <w:tcPr>
            <w:tcW w:w="2214" w:type="dxa"/>
            <w:vMerge w:val="restart"/>
            <w:shd w:val="clear" w:color="auto" w:fill="auto"/>
          </w:tcPr>
          <w:p w:rsidR="003A44E4" w:rsidRPr="00E230C5" w:rsidRDefault="003A44E4" w:rsidP="003A44E4">
            <w:pPr>
              <w:spacing w:after="0" w:line="240" w:lineRule="auto"/>
              <w:rPr>
                <w:rFonts w:ascii="Times New Roman" w:eastAsia="Times New Roman" w:hAnsi="Times New Roman" w:cs="Times New Roman"/>
              </w:rPr>
            </w:pPr>
          </w:p>
        </w:tc>
        <w:tc>
          <w:tcPr>
            <w:tcW w:w="6642" w:type="dxa"/>
            <w:gridSpan w:val="3"/>
            <w:shd w:val="clear" w:color="auto" w:fill="auto"/>
          </w:tcPr>
          <w:p w:rsidR="007E17A6"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Όλα τα σχετιζόμενα με το σκελετό συμβάματα </w:t>
            </w: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rPr>
            </w:pPr>
            <w:r w:rsidRPr="00E230C5">
              <w:rPr>
                <w:rFonts w:ascii="Times New Roman" w:eastAsia="Times New Roman" w:hAnsi="Times New Roman" w:cs="Times New Roman"/>
                <w:color w:val="000000"/>
              </w:rPr>
              <w:t>(</w:t>
            </w:r>
            <w:r w:rsidRPr="00E230C5">
              <w:rPr>
                <w:rFonts w:ascii="Times New Roman" w:eastAsia="Times New Roman" w:hAnsi="Times New Roman" w:cs="Times New Roman"/>
                <w:color w:val="000000"/>
                <w:lang w:val="en-US"/>
              </w:rPr>
              <w:t>SREs</w:t>
            </w:r>
            <w:r w:rsidRPr="00E230C5">
              <w:rPr>
                <w:rFonts w:ascii="Times New Roman" w:eastAsia="Times New Roman" w:hAnsi="Times New Roman" w:cs="Times New Roman"/>
                <w:color w:val="000000"/>
              </w:rPr>
              <w:t>)</w:t>
            </w:r>
          </w:p>
          <w:p w:rsidR="003A44E4" w:rsidRPr="00E230C5" w:rsidRDefault="003A44E4" w:rsidP="003A44E4">
            <w:pPr>
              <w:spacing w:after="0" w:line="240" w:lineRule="auto"/>
              <w:jc w:val="center"/>
              <w:rPr>
                <w:rFonts w:ascii="Times New Roman" w:eastAsia="Times New Roman" w:hAnsi="Times New Roman" w:cs="Times New Roman"/>
              </w:rPr>
            </w:pPr>
          </w:p>
        </w:tc>
      </w:tr>
      <w:tr w:rsidR="003A44E4" w:rsidRPr="00E230C5" w:rsidTr="004B3B0A">
        <w:tc>
          <w:tcPr>
            <w:tcW w:w="2214" w:type="dxa"/>
            <w:vMerge/>
            <w:shd w:val="clear" w:color="auto" w:fill="auto"/>
          </w:tcPr>
          <w:p w:rsidR="003A44E4" w:rsidRPr="00E230C5" w:rsidRDefault="003A44E4" w:rsidP="003A44E4">
            <w:pPr>
              <w:spacing w:after="0" w:line="240" w:lineRule="auto"/>
              <w:rPr>
                <w:rFonts w:ascii="Times New Roman" w:eastAsia="Times New Roman" w:hAnsi="Times New Roman" w:cs="Times New Roman"/>
              </w:rPr>
            </w:pPr>
          </w:p>
        </w:tc>
        <w:tc>
          <w:tcPr>
            <w:tcW w:w="2214" w:type="dxa"/>
            <w:shd w:val="clear" w:color="auto" w:fill="auto"/>
          </w:tcPr>
          <w:p w:rsidR="007E17A6"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rPr>
            </w:pPr>
            <w:r w:rsidRPr="00E230C5">
              <w:rPr>
                <w:rFonts w:ascii="Times New Roman" w:eastAsia="Times New Roman" w:hAnsi="Times New Roman" w:cs="Times New Roman"/>
                <w:color w:val="000000"/>
                <w:lang w:val="en-US"/>
              </w:rPr>
              <w:t xml:space="preserve">Εικονικό </w:t>
            </w: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φάρμακο </w:t>
            </w: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n=158 </w:t>
            </w:r>
          </w:p>
        </w:tc>
        <w:tc>
          <w:tcPr>
            <w:tcW w:w="2214" w:type="dxa"/>
            <w:shd w:val="clear" w:color="auto" w:fill="auto"/>
          </w:tcPr>
          <w:p w:rsidR="003A44E4" w:rsidRPr="00E230C5" w:rsidRDefault="001D65F0"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2D0B77">
              <w:rPr>
                <w:rFonts w:ascii="Times New Roman" w:eastAsia="Times New Roman" w:hAnsi="Times New Roman" w:cs="Times New Roman"/>
                <w:color w:val="000000"/>
              </w:rPr>
              <w:t>Ι</w:t>
            </w:r>
            <w:r w:rsidRPr="002D0B77">
              <w:rPr>
                <w:rFonts w:ascii="Times New Roman" w:eastAsia="Times New Roman" w:hAnsi="Times New Roman" w:cs="Times New Roman"/>
                <w:color w:val="000000"/>
                <w:lang w:val="en-US"/>
              </w:rPr>
              <w:t>βανδρονικό οξύ</w:t>
            </w:r>
            <w:r w:rsidRPr="00E230C5">
              <w:rPr>
                <w:rFonts w:ascii="Times New Roman" w:eastAsia="Times New Roman" w:hAnsi="Times New Roman" w:cs="Times New Roman"/>
                <w:color w:val="000000"/>
                <w:lang w:val="en-US"/>
              </w:rPr>
              <w:t xml:space="preserve"> </w:t>
            </w:r>
            <w:r w:rsidR="003A44E4" w:rsidRPr="00E230C5">
              <w:rPr>
                <w:rFonts w:ascii="Times New Roman" w:eastAsia="Times New Roman" w:hAnsi="Times New Roman" w:cs="Times New Roman"/>
                <w:color w:val="000000"/>
                <w:lang w:val="en-US"/>
              </w:rPr>
              <w:t xml:space="preserve">6 mg </w:t>
            </w:r>
          </w:p>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n=154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p-τιμή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SMPR (ανά ασθενή-έτος)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1,48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1,19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p=0,004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Αριθμός συμβαμάτων (ανά ασθενή)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3,64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2,65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p=0,025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Σχετικός κίνδυνος </w:t>
            </w:r>
            <w:r w:rsidRPr="00E230C5">
              <w:rPr>
                <w:rFonts w:ascii="Times New Roman" w:eastAsia="Times New Roman" w:hAnsi="Times New Roman" w:cs="Times New Roman"/>
                <w:color w:val="000000"/>
                <w:lang w:val="en-US"/>
              </w:rPr>
              <w:lastRenderedPageBreak/>
              <w:t xml:space="preserve">SRE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lastRenderedPageBreak/>
              <w:t xml:space="preserve">-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0,60 </w:t>
            </w:r>
          </w:p>
        </w:tc>
        <w:tc>
          <w:tcPr>
            <w:tcW w:w="2214" w:type="dxa"/>
            <w:shd w:val="clear" w:color="auto" w:fill="auto"/>
          </w:tcPr>
          <w:p w:rsidR="003A44E4" w:rsidRPr="00E230C5" w:rsidRDefault="003A44E4" w:rsidP="003A44E4">
            <w:pPr>
              <w:autoSpaceDE w:val="0"/>
              <w:autoSpaceDN w:val="0"/>
              <w:adjustRightInd w:val="0"/>
              <w:spacing w:after="0" w:line="240" w:lineRule="auto"/>
              <w:jc w:val="center"/>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p=0,003 </w:t>
            </w:r>
          </w:p>
        </w:tc>
      </w:tr>
    </w:tbl>
    <w:p w:rsidR="003A44E4" w:rsidRPr="00E230C5" w:rsidRDefault="003A44E4" w:rsidP="003A44E4">
      <w:pPr>
        <w:spacing w:after="0" w:line="240" w:lineRule="auto"/>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Δευτερεύοντ</w:t>
      </w:r>
      <w:r w:rsidR="007E17A6" w:rsidRPr="00E230C5">
        <w:rPr>
          <w:rFonts w:ascii="Times New Roman" w:eastAsia="Times New Roman" w:hAnsi="Times New Roman" w:cs="Times New Roman"/>
          <w:i/>
          <w:iCs/>
          <w:color w:val="000000"/>
          <w:sz w:val="24"/>
          <w:szCs w:val="24"/>
        </w:rPr>
        <w:t>α</w:t>
      </w:r>
      <w:r w:rsidRPr="00E230C5">
        <w:rPr>
          <w:rFonts w:ascii="Times New Roman" w:eastAsia="Times New Roman" w:hAnsi="Times New Roman" w:cs="Times New Roman"/>
          <w:i/>
          <w:iCs/>
          <w:color w:val="000000"/>
          <w:sz w:val="24"/>
          <w:szCs w:val="24"/>
        </w:rPr>
        <w:t xml:space="preserve"> </w:t>
      </w:r>
      <w:r w:rsidR="007E17A6" w:rsidRPr="00E230C5">
        <w:rPr>
          <w:rFonts w:ascii="Times New Roman" w:eastAsia="Times New Roman" w:hAnsi="Times New Roman" w:cs="Times New Roman"/>
          <w:i/>
          <w:iCs/>
          <w:color w:val="000000"/>
          <w:sz w:val="24"/>
          <w:szCs w:val="24"/>
        </w:rPr>
        <w:t xml:space="preserve">καταληκτικά σημεία </w:t>
      </w:r>
      <w:r w:rsidRPr="00E230C5">
        <w:rPr>
          <w:rFonts w:ascii="Times New Roman" w:eastAsia="Times New Roman" w:hAnsi="Times New Roman" w:cs="Times New Roman"/>
          <w:i/>
          <w:iCs/>
          <w:color w:val="000000"/>
          <w:sz w:val="24"/>
          <w:szCs w:val="24"/>
        </w:rPr>
        <w:t xml:space="preserve"> αποτελεσματικότητας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color w:val="000000"/>
          <w:sz w:val="24"/>
          <w:szCs w:val="24"/>
        </w:rPr>
        <w:t xml:space="preserve">Κατεδείχθη στατιστικώς σημαντική βελτίωση όσον αφορά στη βαθμολογία οστικού πόνου για το </w:t>
      </w:r>
      <w:r w:rsidR="00D60E72" w:rsidRPr="002D0B77">
        <w:rPr>
          <w:rFonts w:ascii="Times New Roman" w:eastAsia="Times New Roman" w:hAnsi="Times New Roman" w:cs="Times New Roman"/>
          <w:color w:val="000000"/>
          <w:sz w:val="24"/>
          <w:szCs w:val="24"/>
        </w:rPr>
        <w:t>ιβανδρονικό οξύ</w:t>
      </w:r>
      <w:r w:rsidR="00D60E72"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χορηγούμενου ενδοφλεβίως συγκριτικά με το εικονικό φάρμακο. Η μείωση του πόνου </w:t>
      </w:r>
      <w:r w:rsidR="007E17A6" w:rsidRPr="00E230C5">
        <w:rPr>
          <w:rFonts w:ascii="Times New Roman" w:eastAsia="Times New Roman" w:hAnsi="Times New Roman" w:cs="Times New Roman"/>
          <w:color w:val="000000"/>
          <w:sz w:val="24"/>
          <w:szCs w:val="24"/>
        </w:rPr>
        <w:t xml:space="preserve">ήταν σταθερά κάτω από </w:t>
      </w:r>
      <w:r w:rsidRPr="00E230C5">
        <w:rPr>
          <w:rFonts w:ascii="Times New Roman" w:eastAsia="Times New Roman" w:hAnsi="Times New Roman" w:cs="Times New Roman"/>
          <w:color w:val="000000"/>
          <w:sz w:val="24"/>
          <w:szCs w:val="24"/>
        </w:rPr>
        <w:t xml:space="preserve">τις τιμές πριν την έναρξη της θεραπείας καθόλη τη διάρκεια της μελέτης και συνοδευόταν από σημαντικά μειωμένη χρήση αναλγητικών. Η επιδείνωση της Ποιότητας Ζωής ήταν σημαντικά μικρότερη στους ασθενείς </w:t>
      </w:r>
      <w:r w:rsidR="00F43C5F">
        <w:rPr>
          <w:rFonts w:ascii="Times New Roman" w:eastAsia="Times New Roman" w:hAnsi="Times New Roman" w:cs="Times New Roman"/>
          <w:color w:val="000000"/>
          <w:sz w:val="24"/>
          <w:szCs w:val="24"/>
        </w:rPr>
        <w:t xml:space="preserve">που ήταν σε θεραπεία με </w:t>
      </w:r>
      <w:r w:rsidRPr="00E230C5">
        <w:rPr>
          <w:rFonts w:ascii="Times New Roman" w:eastAsia="Times New Roman" w:hAnsi="Times New Roman" w:cs="Times New Roman"/>
          <w:color w:val="000000"/>
          <w:sz w:val="24"/>
          <w:szCs w:val="24"/>
        </w:rPr>
        <w:t xml:space="preserve">υπό </w:t>
      </w:r>
      <w:r w:rsidR="002236CA" w:rsidRPr="002D0B77">
        <w:rPr>
          <w:rFonts w:ascii="Times New Roman" w:eastAsia="Times New Roman" w:hAnsi="Times New Roman" w:cs="Times New Roman"/>
          <w:color w:val="000000"/>
          <w:sz w:val="24"/>
          <w:szCs w:val="24"/>
        </w:rPr>
        <w:t>ιβανδρονικό οξύ</w:t>
      </w:r>
      <w:r w:rsidR="002236CA"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συγκριτικά με το εικονικό φάρμακο. Στον Πίνακα 3 παρουσιάζεται περίληψη, υπό μορφή πίνακα, αυτών των δευτερευόντων στοιχείων αποτελεσματικότητας. </w:t>
      </w:r>
    </w:p>
    <w:p w:rsidR="003A44E4" w:rsidRPr="00E230C5" w:rsidRDefault="003A44E4" w:rsidP="003A44E4">
      <w:pPr>
        <w:spacing w:after="0" w:line="240" w:lineRule="auto"/>
        <w:rPr>
          <w:rFonts w:ascii="Times New Roman" w:eastAsia="Times New Roman" w:hAnsi="Times New Roman" w:cs="Times New Roman"/>
          <w:b/>
          <w:bCs/>
          <w:sz w:val="24"/>
          <w:szCs w:val="24"/>
        </w:rPr>
      </w:pPr>
    </w:p>
    <w:p w:rsidR="007E17A6" w:rsidRPr="00E230C5" w:rsidRDefault="003A44E4" w:rsidP="003A44E4">
      <w:pPr>
        <w:spacing w:after="0" w:line="240" w:lineRule="auto"/>
        <w:jc w:val="both"/>
        <w:rPr>
          <w:rFonts w:ascii="Times New Roman" w:eastAsia="Times New Roman" w:hAnsi="Times New Roman" w:cs="Times New Roman"/>
          <w:b/>
          <w:bCs/>
          <w:sz w:val="24"/>
          <w:szCs w:val="24"/>
        </w:rPr>
      </w:pPr>
      <w:r w:rsidRPr="00E230C5">
        <w:rPr>
          <w:rFonts w:ascii="Times New Roman" w:eastAsia="Times New Roman" w:hAnsi="Times New Roman" w:cs="Times New Roman"/>
          <w:b/>
          <w:bCs/>
          <w:sz w:val="24"/>
          <w:szCs w:val="24"/>
        </w:rPr>
        <w:t xml:space="preserve">Πίνακας 3  Δευτερεύοντα στοιχεία αποτελεσματικότητας (ασθενείς με καρκίνο </w:t>
      </w:r>
    </w:p>
    <w:p w:rsidR="003A44E4" w:rsidRPr="00E230C5" w:rsidRDefault="007E17A6" w:rsidP="003A44E4">
      <w:pPr>
        <w:spacing w:after="0" w:line="240" w:lineRule="auto"/>
        <w:jc w:val="both"/>
        <w:rPr>
          <w:rFonts w:ascii="Times New Roman" w:eastAsia="Times New Roman" w:hAnsi="Times New Roman" w:cs="Times New Roman"/>
          <w:b/>
          <w:sz w:val="24"/>
          <w:szCs w:val="24"/>
        </w:rPr>
      </w:pPr>
      <w:r w:rsidRPr="00E230C5">
        <w:rPr>
          <w:rFonts w:ascii="Times New Roman" w:eastAsia="Times New Roman" w:hAnsi="Times New Roman" w:cs="Times New Roman"/>
          <w:b/>
          <w:bCs/>
          <w:sz w:val="24"/>
          <w:szCs w:val="24"/>
        </w:rPr>
        <w:t xml:space="preserve">                    </w:t>
      </w:r>
      <w:r w:rsidR="003A44E4" w:rsidRPr="00E230C5">
        <w:rPr>
          <w:rFonts w:ascii="Times New Roman" w:eastAsia="Times New Roman" w:hAnsi="Times New Roman" w:cs="Times New Roman"/>
          <w:b/>
          <w:bCs/>
          <w:sz w:val="24"/>
          <w:szCs w:val="24"/>
        </w:rPr>
        <w:t>μαστού με μεταστατική οστική νόσο)</w:t>
      </w:r>
    </w:p>
    <w:p w:rsidR="003A44E4" w:rsidRPr="00E230C5" w:rsidRDefault="003A44E4" w:rsidP="003A44E4">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4"/>
        <w:gridCol w:w="2117"/>
        <w:gridCol w:w="2141"/>
        <w:gridCol w:w="2110"/>
      </w:tblGrid>
      <w:tr w:rsidR="003A44E4" w:rsidRPr="00E230C5" w:rsidTr="004B3B0A">
        <w:tc>
          <w:tcPr>
            <w:tcW w:w="2214" w:type="dxa"/>
            <w:shd w:val="clear" w:color="auto" w:fill="auto"/>
          </w:tcPr>
          <w:p w:rsidR="003A44E4" w:rsidRPr="00E230C5" w:rsidRDefault="003A44E4" w:rsidP="003A44E4">
            <w:pPr>
              <w:spacing w:after="0" w:line="240" w:lineRule="auto"/>
              <w:rPr>
                <w:rFonts w:ascii="Times New Roman" w:eastAsia="Times New Roman" w:hAnsi="Times New Roman" w:cs="Times New Roman"/>
                <w:sz w:val="24"/>
                <w:szCs w:val="24"/>
              </w:rPr>
            </w:pPr>
          </w:p>
        </w:tc>
        <w:tc>
          <w:tcPr>
            <w:tcW w:w="2214" w:type="dxa"/>
            <w:shd w:val="clear" w:color="auto" w:fill="auto"/>
          </w:tcPr>
          <w:p w:rsidR="007E17A6"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lang w:val="en-US"/>
              </w:rPr>
              <w:t xml:space="preserve">Εικονικό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φάρμακο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n=158 </w:t>
            </w:r>
          </w:p>
        </w:tc>
        <w:tc>
          <w:tcPr>
            <w:tcW w:w="2214" w:type="dxa"/>
            <w:shd w:val="clear" w:color="auto" w:fill="auto"/>
          </w:tcPr>
          <w:p w:rsidR="003A44E4" w:rsidRPr="00E230C5" w:rsidRDefault="00453B12" w:rsidP="003A44E4">
            <w:pPr>
              <w:autoSpaceDE w:val="0"/>
              <w:autoSpaceDN w:val="0"/>
              <w:adjustRightInd w:val="0"/>
              <w:spacing w:after="0" w:line="240" w:lineRule="auto"/>
              <w:rPr>
                <w:rFonts w:ascii="Times New Roman" w:eastAsia="Times New Roman" w:hAnsi="Times New Roman" w:cs="Times New Roman"/>
                <w:color w:val="000000"/>
                <w:lang w:val="en-US"/>
              </w:rPr>
            </w:pPr>
            <w:r w:rsidRPr="002D0B77">
              <w:rPr>
                <w:rFonts w:ascii="Times New Roman" w:eastAsia="Times New Roman" w:hAnsi="Times New Roman" w:cs="Times New Roman"/>
                <w:color w:val="000000"/>
                <w:lang w:val="en-US"/>
              </w:rPr>
              <w:t>Ι</w:t>
            </w:r>
            <w:r w:rsidR="003F270E" w:rsidRPr="002D0B77">
              <w:rPr>
                <w:rFonts w:ascii="Times New Roman" w:eastAsia="Times New Roman" w:hAnsi="Times New Roman" w:cs="Times New Roman"/>
                <w:color w:val="000000"/>
                <w:lang w:val="en-US"/>
              </w:rPr>
              <w:t>βανδρονικό οξύ</w:t>
            </w:r>
            <w:r w:rsidR="003F270E" w:rsidRPr="00E230C5">
              <w:rPr>
                <w:rFonts w:ascii="Times New Roman" w:eastAsia="Times New Roman" w:hAnsi="Times New Roman" w:cs="Times New Roman"/>
                <w:color w:val="000000"/>
              </w:rPr>
              <w:t xml:space="preserve">  </w:t>
            </w:r>
            <w:r w:rsidR="003A44E4" w:rsidRPr="00E230C5">
              <w:rPr>
                <w:rFonts w:ascii="Times New Roman" w:eastAsia="Times New Roman" w:hAnsi="Times New Roman" w:cs="Times New Roman"/>
                <w:color w:val="000000"/>
                <w:lang w:val="en-US"/>
              </w:rPr>
              <w:t xml:space="preserve">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6 mg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n=154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p-τιμή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Οστικός πόνος*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0,21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-0,28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p&lt;0,001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Χρήση αναλγητικών*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0,90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0,51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p=0,083 </w:t>
            </w:r>
          </w:p>
        </w:tc>
      </w:tr>
      <w:tr w:rsidR="003A44E4" w:rsidRPr="00E230C5" w:rsidTr="004B3B0A">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Ποιότητα ζωής *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-45,4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-10,3 </w:t>
            </w:r>
          </w:p>
        </w:tc>
        <w:tc>
          <w:tcPr>
            <w:tcW w:w="2214" w:type="dxa"/>
            <w:shd w:val="clear" w:color="auto" w:fill="auto"/>
          </w:tcPr>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lang w:val="en-US"/>
              </w:rPr>
            </w:pPr>
            <w:r w:rsidRPr="00E230C5">
              <w:rPr>
                <w:rFonts w:ascii="Times New Roman" w:eastAsia="Times New Roman" w:hAnsi="Times New Roman" w:cs="Times New Roman"/>
                <w:color w:val="000000"/>
                <w:lang w:val="en-US"/>
              </w:rPr>
              <w:t xml:space="preserve">p=0,004 </w:t>
            </w:r>
          </w:p>
        </w:tc>
      </w:tr>
    </w:tbl>
    <w:p w:rsidR="003A44E4" w:rsidRPr="00E230C5" w:rsidRDefault="003A44E4" w:rsidP="003A44E4">
      <w:pPr>
        <w:spacing w:after="0" w:line="240" w:lineRule="auto"/>
        <w:rPr>
          <w:rFonts w:ascii="Times New Roman" w:eastAsia="Times New Roman" w:hAnsi="Times New Roman" w:cs="Times New Roman"/>
          <w:sz w:val="6"/>
          <w:szCs w:val="6"/>
          <w:lang w:val="en-US"/>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rPr>
      </w:pPr>
      <w:r w:rsidRPr="00E230C5">
        <w:rPr>
          <w:rFonts w:ascii="Times New Roman" w:eastAsia="Times New Roman" w:hAnsi="Times New Roman" w:cs="Times New Roman"/>
          <w:color w:val="000000"/>
        </w:rPr>
        <w:t xml:space="preserve">* Μέση μεταβολή από την τιμή πριν την έναρξη της αγωγής έως την τελευταία αξιολόγηση.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Σε ασθενείς </w:t>
      </w:r>
      <w:r w:rsidR="00F43C5F">
        <w:rPr>
          <w:rFonts w:ascii="Times New Roman" w:eastAsia="Times New Roman" w:hAnsi="Times New Roman" w:cs="Times New Roman"/>
          <w:color w:val="000000"/>
          <w:sz w:val="24"/>
          <w:szCs w:val="24"/>
        </w:rPr>
        <w:t xml:space="preserve">σε θεραπεία </w:t>
      </w:r>
      <w:r w:rsidRPr="00E230C5">
        <w:rPr>
          <w:rFonts w:ascii="Times New Roman" w:eastAsia="Times New Roman" w:hAnsi="Times New Roman" w:cs="Times New Roman"/>
          <w:color w:val="000000"/>
          <w:sz w:val="24"/>
          <w:szCs w:val="24"/>
        </w:rPr>
        <w:t xml:space="preserve">υπό </w:t>
      </w:r>
      <w:r w:rsidR="009D204B" w:rsidRPr="002D0B77">
        <w:rPr>
          <w:rFonts w:ascii="Times New Roman" w:eastAsia="Times New Roman" w:hAnsi="Times New Roman" w:cs="Times New Roman"/>
          <w:color w:val="000000"/>
          <w:sz w:val="24"/>
          <w:szCs w:val="24"/>
        </w:rPr>
        <w:t>ιβανδρονικό οξύ</w:t>
      </w:r>
      <w:r w:rsidRPr="00E230C5">
        <w:rPr>
          <w:rFonts w:ascii="Times New Roman" w:eastAsia="Times New Roman" w:hAnsi="Times New Roman" w:cs="Times New Roman"/>
          <w:color w:val="000000"/>
          <w:sz w:val="24"/>
          <w:szCs w:val="24"/>
        </w:rPr>
        <w:t xml:space="preserve">, υπήρξε σημαντική μείωση των δεικτών οστικής απορρόφησης στα ούρα (πυριδινολίνη και δεοξυπυριδινολίνη), η οποία ήταν στατιστικώς σημαντική συγκριτικά με το εικονικό φάρμακο.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Σε μία μελέτη σε 130 ασθενείς με μεταστατικό καρκίνο του μαστού συγκρίθηκε η ασφάλεια του </w:t>
      </w:r>
      <w:r w:rsidR="009D204B" w:rsidRPr="002D0B77">
        <w:rPr>
          <w:rFonts w:ascii="Times New Roman" w:eastAsia="Times New Roman" w:hAnsi="Times New Roman" w:cs="Times New Roman"/>
          <w:sz w:val="24"/>
          <w:szCs w:val="24"/>
        </w:rPr>
        <w:t>ιβανδρονικού οξέος</w:t>
      </w:r>
      <w:r w:rsidR="009D204B" w:rsidRPr="00E230C5">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 xml:space="preserve"> χορηγούμενου με έγχυση διάρκειας 1 ώρας ή 15 λεπτών. Δεν παρατηρήθηκε διαφορά στους δείκτες της νεφρικής λειτουργίας. Το συνολικό προφίλ των ανεπιθύμητων ενεργειών του ιβανδρονικού οξέος μετά την έγχυση διάρκειας 15 λεπτών ήταν σύμφωνο </w:t>
      </w:r>
      <w:r w:rsidR="00C25F91" w:rsidRPr="00C25F91">
        <w:rPr>
          <w:rFonts w:ascii="Times New Roman" w:eastAsia="Times New Roman" w:hAnsi="Times New Roman" w:cs="Times New Roman"/>
          <w:sz w:val="24"/>
          <w:szCs w:val="24"/>
        </w:rPr>
        <w:t xml:space="preserve">με το </w:t>
      </w:r>
      <w:r w:rsidRPr="00E230C5">
        <w:rPr>
          <w:rFonts w:ascii="Times New Roman" w:eastAsia="Times New Roman" w:hAnsi="Times New Roman" w:cs="Times New Roman"/>
          <w:sz w:val="24"/>
          <w:szCs w:val="24"/>
        </w:rPr>
        <w:t xml:space="preserve">προφίλ ασφάλειας </w:t>
      </w:r>
      <w:r w:rsidR="00C25F91" w:rsidRPr="00C25F91">
        <w:rPr>
          <w:rFonts w:ascii="Times New Roman" w:eastAsia="Times New Roman" w:hAnsi="Times New Roman" w:cs="Times New Roman"/>
          <w:sz w:val="24"/>
          <w:szCs w:val="24"/>
        </w:rPr>
        <w:t>που είναι γνωστό για εγχύσεις</w:t>
      </w:r>
      <w:r w:rsidRPr="00E230C5">
        <w:rPr>
          <w:rFonts w:ascii="Times New Roman" w:eastAsia="Times New Roman" w:hAnsi="Times New Roman" w:cs="Times New Roman"/>
          <w:sz w:val="24"/>
          <w:szCs w:val="24"/>
        </w:rPr>
        <w:t xml:space="preserve"> μεγαλύτερης διάρκειας και δεν προέκυψαν νέα θέματα ασφάλειας σχετικά με τη</w:t>
      </w:r>
      <w:r w:rsidR="00C25F91">
        <w:rPr>
          <w:rFonts w:ascii="Times New Roman" w:eastAsia="Times New Roman" w:hAnsi="Times New Roman" w:cs="Times New Roman"/>
          <w:sz w:val="24"/>
          <w:szCs w:val="24"/>
        </w:rPr>
        <w:t>ν</w:t>
      </w:r>
      <w:r w:rsidRPr="00E230C5">
        <w:rPr>
          <w:rFonts w:ascii="Times New Roman" w:eastAsia="Times New Roman" w:hAnsi="Times New Roman" w:cs="Times New Roman"/>
          <w:sz w:val="24"/>
          <w:szCs w:val="24"/>
        </w:rPr>
        <w:t xml:space="preserve"> έγχυση διάρκειας 15 λεπτών.</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Χρόνος έγχυσης διάρκειας 15 λεπτών δεν έχει μελετηθεί σε καρκινοπαθείς ασθενείς με κάθαρση κρεατινίνης </w:t>
      </w:r>
      <w:r w:rsidRPr="00E230C5">
        <w:rPr>
          <w:rFonts w:ascii="Times New Roman" w:eastAsia="Times New Roman" w:hAnsi="Times New Roman" w:cs="Times New Roman"/>
          <w:color w:val="000000"/>
          <w:sz w:val="24"/>
          <w:szCs w:val="24"/>
          <w:lang w:val="en-US"/>
        </w:rPr>
        <w:t>CLcr</w:t>
      </w:r>
      <w:r w:rsidRPr="00E230C5">
        <w:rPr>
          <w:rFonts w:ascii="Times New Roman" w:eastAsia="Times New Roman" w:hAnsi="Times New Roman" w:cs="Times New Roman"/>
          <w:color w:val="000000"/>
          <w:sz w:val="24"/>
          <w:szCs w:val="24"/>
        </w:rPr>
        <w:t xml:space="preserve"> &lt;50 </w:t>
      </w:r>
      <w:r w:rsidRPr="00E230C5">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min</w:t>
      </w:r>
      <w:r w:rsidRPr="00E230C5">
        <w:rPr>
          <w:rFonts w:ascii="Times New Roman" w:eastAsia="Times New Roman" w:hAnsi="Times New Roman" w:cs="Times New Roman"/>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45F0">
        <w:rPr>
          <w:rFonts w:ascii="Times New Roman" w:eastAsia="Times New Roman" w:hAnsi="Times New Roman" w:cs="Times New Roman"/>
          <w:iCs/>
          <w:color w:val="000000"/>
          <w:sz w:val="24"/>
          <w:szCs w:val="24"/>
        </w:rPr>
        <w:t>Παιδιατρικός πληθυσμός (βλ. παράγραφο 4.2 και παράγραφο 5.2)</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Η ασφάλεια και αποτελεσματικότητα του</w:t>
      </w:r>
      <w:r w:rsidR="00EC73DB" w:rsidRPr="00EC73DB">
        <w:rPr>
          <w:rFonts w:ascii="Times New Roman" w:eastAsia="Times New Roman" w:hAnsi="Times New Roman" w:cs="Times New Roman"/>
          <w:color w:val="000000"/>
          <w:sz w:val="24"/>
          <w:szCs w:val="24"/>
        </w:rPr>
        <w:t xml:space="preserve"> </w:t>
      </w:r>
      <w:r w:rsidR="00EC73DB">
        <w:rPr>
          <w:rFonts w:ascii="Times New Roman" w:eastAsia="Times New Roman" w:hAnsi="Times New Roman" w:cs="Times New Roman"/>
          <w:color w:val="000000"/>
          <w:sz w:val="24"/>
          <w:szCs w:val="24"/>
          <w:lang w:val="en-US"/>
        </w:rPr>
        <w:t>IBONDEM</w:t>
      </w:r>
      <w:r w:rsidR="00EC73DB" w:rsidRPr="00EC73DB">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σε παιδιά και εφήβους κάτω από την ηλικία των 18 ετών δεν έχει τεκμηριωθεί. Δεν υπάρχουν διαθέσιμα δεδομένα.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5.2 Φαρμακοκινητικές ιδιότητες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Μετά από χορήγηση 2, 4, και 6 </w:t>
      </w:r>
      <w:r w:rsidRPr="00E230C5">
        <w:rPr>
          <w:rFonts w:ascii="Times New Roman" w:eastAsia="Times New Roman" w:hAnsi="Times New Roman" w:cs="Times New Roman"/>
          <w:color w:val="000000"/>
          <w:sz w:val="24"/>
          <w:szCs w:val="24"/>
          <w:lang w:val="en-US"/>
        </w:rPr>
        <w:t>mg</w:t>
      </w:r>
      <w:r w:rsidRPr="00E230C5">
        <w:rPr>
          <w:rFonts w:ascii="Times New Roman" w:eastAsia="Times New Roman" w:hAnsi="Times New Roman" w:cs="Times New Roman"/>
          <w:color w:val="000000"/>
          <w:sz w:val="24"/>
          <w:szCs w:val="24"/>
        </w:rPr>
        <w:t xml:space="preserve"> ιβανδρονικού οξέος με έγχυση επί 2 ώρες, οι φαρμακοκινητικές παράμετροι του ιβανδρονικού οξέος είναι δοσοεξαρτώμενες.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45F0">
        <w:rPr>
          <w:rFonts w:ascii="Times New Roman" w:eastAsia="Times New Roman" w:hAnsi="Times New Roman" w:cs="Times New Roman"/>
          <w:iCs/>
          <w:color w:val="000000"/>
          <w:sz w:val="24"/>
          <w:szCs w:val="24"/>
        </w:rPr>
        <w:t xml:space="preserve">Κατανομή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Μετά την αρχική συστηματική έκθεση, το ιβανδρονικό οξύ συνδέεται ταχέως με τα οστά ή απεκκρίνεται στα ούρα. Στους ανθρώπους, ο φαινομενικός τελικός όγκος </w:t>
      </w:r>
      <w:r w:rsidRPr="00E230C5">
        <w:rPr>
          <w:rFonts w:ascii="Times New Roman" w:eastAsia="Times New Roman" w:hAnsi="Times New Roman" w:cs="Times New Roman"/>
          <w:color w:val="000000"/>
          <w:sz w:val="24"/>
          <w:szCs w:val="24"/>
        </w:rPr>
        <w:lastRenderedPageBreak/>
        <w:t xml:space="preserve">κατανομής είναι τουλάχιστον 90 </w:t>
      </w:r>
      <w:r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 και </w:t>
      </w:r>
      <w:r w:rsidR="00C25F91" w:rsidRPr="00C25F91">
        <w:rPr>
          <w:rFonts w:ascii="Times New Roman" w:eastAsia="Times New Roman" w:hAnsi="Times New Roman" w:cs="Times New Roman"/>
          <w:color w:val="000000"/>
          <w:sz w:val="24"/>
          <w:szCs w:val="24"/>
        </w:rPr>
        <w:t xml:space="preserve">το ποσοστό </w:t>
      </w:r>
      <w:r w:rsidRPr="00E230C5">
        <w:rPr>
          <w:rFonts w:ascii="Times New Roman" w:eastAsia="Times New Roman" w:hAnsi="Times New Roman" w:cs="Times New Roman"/>
          <w:color w:val="000000"/>
          <w:sz w:val="24"/>
          <w:szCs w:val="24"/>
        </w:rPr>
        <w:t xml:space="preserve">της δόσης που φθάνει στα οστά υπολογίζεται σε 40-50% της δόσης που ευρίσκεται στην κυκλοφορία. Η σύνδεση με τις πρωτεΐνες του ανθρώπινου πλάσματος είναι 87% περίπου στις θεραπευτικές συγκεντρώσεις και έτσι η αλληλεπίδραση </w:t>
      </w:r>
      <w:r w:rsidR="00341A7F" w:rsidRPr="00E230C5">
        <w:rPr>
          <w:rFonts w:ascii="Times New Roman" w:eastAsia="Times New Roman" w:hAnsi="Times New Roman" w:cs="Times New Roman"/>
          <w:color w:val="000000"/>
          <w:sz w:val="24"/>
          <w:szCs w:val="24"/>
        </w:rPr>
        <w:t xml:space="preserve">με άλλα φαρμακευτικά προϊόντα </w:t>
      </w:r>
      <w:r w:rsidRPr="00E230C5">
        <w:rPr>
          <w:rFonts w:ascii="Times New Roman" w:eastAsia="Times New Roman" w:hAnsi="Times New Roman" w:cs="Times New Roman"/>
          <w:color w:val="000000"/>
          <w:sz w:val="24"/>
          <w:szCs w:val="24"/>
        </w:rPr>
        <w:t xml:space="preserve">λόγω εκτόπισης θεωρείται απίθανη.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45F0">
        <w:rPr>
          <w:rFonts w:ascii="Times New Roman" w:eastAsia="Times New Roman" w:hAnsi="Times New Roman" w:cs="Times New Roman"/>
          <w:iCs/>
          <w:color w:val="000000"/>
          <w:sz w:val="24"/>
          <w:szCs w:val="24"/>
        </w:rPr>
        <w:t>Βιομετα</w:t>
      </w:r>
      <w:r w:rsidR="00247B23" w:rsidRPr="002D0B77">
        <w:rPr>
          <w:rFonts w:ascii="Times New Roman" w:eastAsia="Times New Roman" w:hAnsi="Times New Roman" w:cs="Times New Roman"/>
          <w:iCs/>
          <w:color w:val="000000"/>
          <w:sz w:val="24"/>
          <w:szCs w:val="24"/>
        </w:rPr>
        <w:t>σχηματισμό</w:t>
      </w:r>
      <w:r w:rsidR="00247B23" w:rsidRPr="00E230C5">
        <w:rPr>
          <w:rFonts w:ascii="Times New Roman" w:eastAsia="Times New Roman" w:hAnsi="Times New Roman" w:cs="Times New Roman"/>
          <w:iCs/>
          <w:color w:val="000000"/>
          <w:sz w:val="24"/>
          <w:szCs w:val="24"/>
        </w:rPr>
        <w:t>ς</w:t>
      </w:r>
      <w:r w:rsidRPr="009F45F0">
        <w:rPr>
          <w:rFonts w:ascii="Times New Roman" w:eastAsia="Times New Roman" w:hAnsi="Times New Roman" w:cs="Times New Roman"/>
          <w:iCs/>
          <w:color w:val="000000"/>
          <w:sz w:val="24"/>
          <w:szCs w:val="24"/>
        </w:rPr>
        <w:t xml:space="preserve">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υπάρχουν ενδείξεις μεταβολισμού του ιβανδρονικού οξέος σε πειραματόζωα ή σε ανθρώπους.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9F45F0">
        <w:rPr>
          <w:rFonts w:ascii="Times New Roman" w:eastAsia="Times New Roman" w:hAnsi="Times New Roman" w:cs="Times New Roman"/>
          <w:iCs/>
          <w:color w:val="000000"/>
          <w:sz w:val="24"/>
          <w:szCs w:val="24"/>
        </w:rPr>
        <w:t xml:space="preserve">Αποβολή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Το εύρος των παρατηρούμενων φαινομενικών χρόνων ημίσειας ζωής είναι μεγάλο και εξαρτάται από τη δόση και την ευαισθησία της μεθόδου προσδιορισμού, αλλά ο φαινομενικός τελικός χρόνος ημίσειας ζωής κυμαίνεται γενικώς μεταξύ 10-60 ωρών. Ωστόσο, τα αρχικά επίπεδα στο πλάσμα μειώνονται ταχέως, φθάνοντας το 10% των μέγιστων τιμών εντός 3 και 8 ωρών μετά την ενδοφλέβια ή την από στόματος χορήγηση αντίστοιχα. Δεν παρατηρήθηκε συστηματική συσσώρευση κατά την ενδοφλέβια χορήγηση ιβανδρονικού οξέος μία φορά κάθε 4 εβδομάδες επί 48 εβδομάδες σε ασθενείς με μεταστατική οστική νόσο.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ολική κάθαρση του ιβανδρονικού οξέος είναι χαμηλή, με μέσες τιμές κυμαινόμενες μεταξύ 84-160 </w:t>
      </w:r>
      <w:r w:rsidRPr="00E230C5">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min</w:t>
      </w:r>
      <w:r w:rsidRPr="00E230C5">
        <w:rPr>
          <w:rFonts w:ascii="Times New Roman" w:eastAsia="Times New Roman" w:hAnsi="Times New Roman" w:cs="Times New Roman"/>
          <w:color w:val="000000"/>
          <w:sz w:val="24"/>
          <w:szCs w:val="24"/>
        </w:rPr>
        <w:t xml:space="preserve">. Η νεφρική κάθαρση (περίπου 60 </w:t>
      </w:r>
      <w:r w:rsidRPr="00E230C5">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min</w:t>
      </w:r>
      <w:r w:rsidRPr="00E230C5">
        <w:rPr>
          <w:rFonts w:ascii="Times New Roman" w:eastAsia="Times New Roman" w:hAnsi="Times New Roman" w:cs="Times New Roman"/>
          <w:color w:val="000000"/>
          <w:sz w:val="24"/>
          <w:szCs w:val="24"/>
        </w:rPr>
        <w:t xml:space="preserve"> σε υγιείς μετεμμηνοπαυσιακές γυναίκες) αντιστοιχεί σε 50-60% της ολικής κάθαρσης και σχετίζεται με την κάθαρση κρεατινίνης. Η διαφορά μεταξύ φαινομενικής ολικής και νεφρικής κάθαρσης θεωρείται ότι αντιπροσωπεύει την απορρόφηση από τα οστά.</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οδός απέκκρισης από τους νεφρούς δεν φαίνεται να περιλαμβάνει γνωστά οξεϊκά ή βασικά συστήματα μεταφοράς τα οποία συμμετέχουν στην απέκκριση άλλων δραστικών ουσιών. Επιπλέον, το ιβανδρονικό οξύ δεν αναστέλλει τα μείζονα ηπατικά ισοένζυμα Ρ450 </w:t>
      </w:r>
      <w:r w:rsidR="00F43C5F" w:rsidRPr="00E230C5">
        <w:rPr>
          <w:rFonts w:ascii="Times New Roman" w:eastAsia="Times New Roman" w:hAnsi="Times New Roman" w:cs="Times New Roman"/>
          <w:color w:val="000000"/>
          <w:sz w:val="24"/>
          <w:szCs w:val="24"/>
        </w:rPr>
        <w:t>στο</w:t>
      </w:r>
      <w:r w:rsidR="00F43C5F">
        <w:rPr>
          <w:rFonts w:ascii="Times New Roman" w:eastAsia="Times New Roman" w:hAnsi="Times New Roman" w:cs="Times New Roman"/>
          <w:color w:val="000000"/>
          <w:sz w:val="24"/>
          <w:szCs w:val="24"/>
        </w:rPr>
        <w:t>ν</w:t>
      </w:r>
      <w:r w:rsidR="00F43C5F" w:rsidRPr="00E230C5">
        <w:rPr>
          <w:rFonts w:ascii="Times New Roman" w:eastAsia="Times New Roman" w:hAnsi="Times New Roman" w:cs="Times New Roman"/>
          <w:color w:val="000000"/>
          <w:sz w:val="24"/>
          <w:szCs w:val="24"/>
        </w:rPr>
        <w:t xml:space="preserve"> </w:t>
      </w:r>
      <w:r w:rsidR="00F43C5F">
        <w:rPr>
          <w:rFonts w:ascii="Times New Roman" w:eastAsia="Times New Roman" w:hAnsi="Times New Roman" w:cs="Times New Roman"/>
          <w:color w:val="000000"/>
          <w:sz w:val="24"/>
          <w:szCs w:val="24"/>
        </w:rPr>
        <w:t>άνθρωπο</w:t>
      </w:r>
      <w:r w:rsidR="00F43C5F"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και δεν επάγει το σύστημα του ηπατικού κυτοχρώματος Ρ450 στους επίμυες.</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iCs/>
          <w:color w:val="000000"/>
          <w:sz w:val="24"/>
          <w:szCs w:val="24"/>
          <w:u w:val="single"/>
        </w:rPr>
      </w:pPr>
      <w:r w:rsidRPr="00E230C5">
        <w:rPr>
          <w:rFonts w:ascii="Times New Roman" w:eastAsia="Times New Roman" w:hAnsi="Times New Roman" w:cs="Times New Roman"/>
          <w:i/>
          <w:iCs/>
          <w:color w:val="000000"/>
          <w:sz w:val="24"/>
          <w:szCs w:val="24"/>
          <w:u w:val="single"/>
        </w:rPr>
        <w:t xml:space="preserve">Φαρμακοκινητικές ιδιότητες σε ειδικούς πληθυσμούς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Φύλο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Η βιοδιαθεσιμότητα και οι φαρμακοκινητικές ιδιότητες του ιβανδρονικού οξέος είναι παρόμοιες σε άνδρες και γυναίκες.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Φυλή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Όσον αφορά στην κατανομή του ιβανδρονικού οξέος, δεν υπάρχουν ενδείξεις κλινικώς σημαντικών διαφορών μεταξύ Ασιατών και Καυκάσιων. Τα διαθέσιμα στοιχεία για ασθενείς Αφρικανικής καταγωγής είναι λίγα.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Ασθενείς με νεφρική δυσλειτουργία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Η έκθεση των ασθενών με διάφορους βαθμούς νεφρικής δυσλειτουργίας στο ιβανδρονικό οξύ σχετίζεται με την κάθαρση της κρεατινίνης (</w:t>
      </w:r>
      <w:r w:rsidRPr="00E230C5">
        <w:rPr>
          <w:rFonts w:ascii="Times New Roman" w:eastAsia="Times New Roman" w:hAnsi="Times New Roman" w:cs="Times New Roman"/>
          <w:color w:val="000000"/>
          <w:sz w:val="24"/>
          <w:szCs w:val="24"/>
          <w:lang w:val="en-US"/>
        </w:rPr>
        <w:t>CLcr</w:t>
      </w:r>
      <w:r w:rsidRPr="00E230C5">
        <w:rPr>
          <w:rFonts w:ascii="Times New Roman" w:eastAsia="Times New Roman" w:hAnsi="Times New Roman" w:cs="Times New Roman"/>
          <w:color w:val="000000"/>
          <w:sz w:val="24"/>
          <w:szCs w:val="24"/>
        </w:rPr>
        <w:t xml:space="preserve">). Σε άτομα με σοβαρή νεφρική δυσλειτουργία (μέση εκτιμηθείσα </w:t>
      </w:r>
      <w:r w:rsidRPr="00E230C5">
        <w:rPr>
          <w:rFonts w:ascii="Times New Roman" w:eastAsia="Times New Roman" w:hAnsi="Times New Roman" w:cs="Times New Roman"/>
          <w:color w:val="000000"/>
          <w:sz w:val="24"/>
          <w:szCs w:val="24"/>
          <w:lang w:val="en-US"/>
        </w:rPr>
        <w:t>CLcr</w:t>
      </w:r>
      <w:r w:rsidRPr="00E230C5">
        <w:rPr>
          <w:rFonts w:ascii="Times New Roman" w:eastAsia="Times New Roman" w:hAnsi="Times New Roman" w:cs="Times New Roman"/>
          <w:color w:val="000000"/>
          <w:sz w:val="24"/>
          <w:szCs w:val="24"/>
        </w:rPr>
        <w:t xml:space="preserve">= 21,2 </w:t>
      </w:r>
      <w:r w:rsidRPr="00E230C5">
        <w:rPr>
          <w:rFonts w:ascii="Times New Roman" w:eastAsia="Times New Roman" w:hAnsi="Times New Roman" w:cs="Times New Roman"/>
          <w:color w:val="000000"/>
          <w:sz w:val="24"/>
          <w:szCs w:val="24"/>
          <w:lang w:val="en-US"/>
        </w:rPr>
        <w:t>m</w:t>
      </w:r>
      <w:r w:rsidR="009330C2" w:rsidRPr="00E230C5">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w:t>
      </w:r>
      <w:r w:rsidRPr="00E230C5">
        <w:rPr>
          <w:rFonts w:ascii="Times New Roman" w:eastAsia="Times New Roman" w:hAnsi="Times New Roman" w:cs="Times New Roman"/>
          <w:color w:val="000000"/>
          <w:sz w:val="24"/>
          <w:szCs w:val="24"/>
          <w:lang w:val="en-US"/>
        </w:rPr>
        <w:t>min</w:t>
      </w:r>
      <w:r w:rsidRPr="00E230C5">
        <w:rPr>
          <w:rFonts w:ascii="Times New Roman" w:eastAsia="Times New Roman" w:hAnsi="Times New Roman" w:cs="Times New Roman"/>
          <w:color w:val="000000"/>
          <w:sz w:val="24"/>
          <w:szCs w:val="24"/>
        </w:rPr>
        <w:t>), η μέση διορθωμένη ως προς τη δόση AUC</w:t>
      </w:r>
      <w:r w:rsidRPr="00E230C5">
        <w:rPr>
          <w:rFonts w:ascii="Times New Roman" w:eastAsia="Times New Roman" w:hAnsi="Times New Roman" w:cs="Times New Roman"/>
          <w:color w:val="000000"/>
          <w:sz w:val="24"/>
          <w:szCs w:val="24"/>
          <w:vertAlign w:val="subscript"/>
        </w:rPr>
        <w:t>0-24h</w:t>
      </w:r>
      <w:r w:rsidRPr="00E230C5">
        <w:rPr>
          <w:rFonts w:ascii="Times New Roman" w:eastAsia="Times New Roman" w:hAnsi="Times New Roman" w:cs="Times New Roman"/>
          <w:color w:val="000000"/>
          <w:sz w:val="24"/>
          <w:szCs w:val="24"/>
        </w:rPr>
        <w:t xml:space="preserve"> αυξήθηκε κατά 110 % συγκριτικά με υγιείς εθελοντές. Στην κλινική φαρμακολογική μελέτη WP18551, μετά την εφάπαξ ενδοφλέβια χορήγηση 6 mg (έγχυση 15 λεπτών), η μέση ΑUC</w:t>
      </w:r>
      <w:r w:rsidRPr="00E230C5">
        <w:rPr>
          <w:rFonts w:ascii="Times New Roman" w:eastAsia="Times New Roman" w:hAnsi="Times New Roman" w:cs="Times New Roman"/>
          <w:color w:val="000000"/>
          <w:sz w:val="24"/>
          <w:szCs w:val="24"/>
          <w:vertAlign w:val="subscript"/>
        </w:rPr>
        <w:t xml:space="preserve">0-24 </w:t>
      </w:r>
      <w:r w:rsidRPr="00E230C5">
        <w:rPr>
          <w:rFonts w:ascii="Times New Roman" w:eastAsia="Times New Roman" w:hAnsi="Times New Roman" w:cs="Times New Roman"/>
          <w:color w:val="000000"/>
          <w:sz w:val="24"/>
          <w:szCs w:val="24"/>
        </w:rPr>
        <w:t xml:space="preserve">αυξήθηκε κατά 14% </w:t>
      </w:r>
      <w:r w:rsidRPr="00E230C5">
        <w:rPr>
          <w:rFonts w:ascii="Times New Roman" w:eastAsia="Times New Roman" w:hAnsi="Times New Roman" w:cs="Times New Roman"/>
          <w:color w:val="000000"/>
          <w:sz w:val="24"/>
          <w:szCs w:val="24"/>
        </w:rPr>
        <w:lastRenderedPageBreak/>
        <w:t xml:space="preserve">και 86% αντίστοιχα, σε άτομα με ήπια (μέση εκτιμηθείσα CLcr=68,1 ml/min) και μέτρια (μέση εκτιμηθείσα CLcr=41,2 ml/min) νεφρική δυσλειτουργία συγκρινόμενη με υγιείς εθελοντές (μέση εκτιμηθείσα CLcr=120 ml/min). Η μέση Cmax δεν αυξήθηκε σε ασθενείς με ήπια νεφρική δυσλειτουργία και αυξήθηκε κατά 12% σε ασθενείς με μετρίου βαθμού νεφρική δυσλειτουργία. Για τους ασθενείς με ήπια νεφρική δυσλειτουργία (CLcr ≥50 και &lt;80 ml/min) δεν απαιτείται προσαρμογή της δόσης. Για τους ασθενείς </w:t>
      </w:r>
      <w:r w:rsidR="00C25F91" w:rsidRPr="00C25F91">
        <w:rPr>
          <w:rFonts w:ascii="Times New Roman" w:eastAsia="Times New Roman" w:hAnsi="Times New Roman" w:cs="Times New Roman"/>
          <w:color w:val="000000"/>
          <w:sz w:val="24"/>
          <w:szCs w:val="24"/>
        </w:rPr>
        <w:t xml:space="preserve">με καρκίνο </w:t>
      </w:r>
      <w:r w:rsidR="00F43C5F">
        <w:rPr>
          <w:rFonts w:ascii="Times New Roman" w:eastAsia="Times New Roman" w:hAnsi="Times New Roman" w:cs="Times New Roman"/>
          <w:color w:val="000000"/>
          <w:sz w:val="24"/>
          <w:szCs w:val="24"/>
        </w:rPr>
        <w:t xml:space="preserve">του </w:t>
      </w:r>
      <w:r w:rsidR="00C25F91" w:rsidRPr="00C25F91">
        <w:rPr>
          <w:rFonts w:ascii="Times New Roman" w:eastAsia="Times New Roman" w:hAnsi="Times New Roman" w:cs="Times New Roman"/>
          <w:color w:val="000000"/>
          <w:sz w:val="24"/>
          <w:szCs w:val="24"/>
        </w:rPr>
        <w:t xml:space="preserve">μαστού και οστικές μεταστάσεις </w:t>
      </w:r>
      <w:r w:rsidRPr="00E230C5">
        <w:rPr>
          <w:rFonts w:ascii="Times New Roman" w:eastAsia="Times New Roman" w:hAnsi="Times New Roman" w:cs="Times New Roman"/>
          <w:color w:val="000000"/>
          <w:sz w:val="24"/>
          <w:szCs w:val="24"/>
        </w:rPr>
        <w:t>με μετρίου βαθμού νεφρική δυσλειτουργία (CLcr ≥30 και &lt;50 m</w:t>
      </w:r>
      <w:r w:rsidR="009330C2">
        <w:rPr>
          <w:rFonts w:ascii="Times New Roman" w:eastAsia="Times New Roman" w:hAnsi="Times New Roman" w:cs="Times New Roman"/>
          <w:color w:val="000000"/>
          <w:sz w:val="24"/>
          <w:szCs w:val="24"/>
          <w:lang w:val="en-US"/>
        </w:rPr>
        <w:t>l</w:t>
      </w:r>
      <w:r w:rsidRPr="00E230C5">
        <w:rPr>
          <w:rFonts w:ascii="Times New Roman" w:eastAsia="Times New Roman" w:hAnsi="Times New Roman" w:cs="Times New Roman"/>
          <w:color w:val="000000"/>
          <w:sz w:val="24"/>
          <w:szCs w:val="24"/>
        </w:rPr>
        <w:t xml:space="preserve">/min) ή σοβαρή νεφρική δυσλειτουργία (CLcr &lt;30 ml/min), οι οποίοι υποβάλλονται σε θεραπεία για την πρόληψη σκελετικών συμβαμάτων, συνιστάται προσαρμογή της δόσης (βλ. παράγραφο 4.2).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i/>
          <w:color w:val="000000"/>
          <w:sz w:val="24"/>
          <w:szCs w:val="24"/>
        </w:rPr>
      </w:pPr>
      <w:r w:rsidRPr="00E230C5">
        <w:rPr>
          <w:rFonts w:ascii="Times New Roman" w:eastAsia="Times New Roman" w:hAnsi="Times New Roman" w:cs="Times New Roman"/>
          <w:i/>
          <w:color w:val="000000"/>
          <w:sz w:val="24"/>
          <w:szCs w:val="24"/>
        </w:rPr>
        <w:t xml:space="preserve">Ασθενείς με ηπατική δυσλειτουργία </w:t>
      </w:r>
      <w:r w:rsidRPr="009F45F0">
        <w:rPr>
          <w:rFonts w:ascii="Times New Roman" w:eastAsia="Times New Roman" w:hAnsi="Times New Roman" w:cs="Times New Roman"/>
          <w:color w:val="000000"/>
          <w:sz w:val="24"/>
          <w:szCs w:val="24"/>
        </w:rPr>
        <w:t>(βλ.παράγραφο 4.2)</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υπάρχουν φαρμακοκινητικά δεδομένα για το ιβανδρονικό οξύ σε ασθενείς με ηπατική δυσλειτουργία. Το ήπαρ δεν διαδραματίζει σημαντικό ρόλο στην κάθαρση του ιβανδρονικού οξέος δεδομένου ότι δε μεταβολίζεται, αλλά απομακρύνεται μέσω νεφρικής απέκκρισης και απορρόφησης από τα οστά. Ως εκ τούτου, δεν απαιτείται προσαρμογή της δόσης σε ασθενείς με ηπατική δυσλειτουργία. Περαιτέρω, δεδομένου ότι στις θεραπευτικές συγκεντρώσεις, η σύνδεση με τις πρωτεΐνες είναι 87% περίπου, η πρόκληση κλινικώς σημαντικών αυξήσεων των ελεύθερων συγκεντρώσεων στο πλάσμα εξαιτίας της υποπρωτεϊναιμίας της σοβαρής ηπατικής δυσλειτουργίας, δε θεωρείται πιθανή.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Ηλικιωμένοι </w:t>
      </w:r>
      <w:r w:rsidRPr="009F45F0">
        <w:rPr>
          <w:rFonts w:ascii="Times New Roman" w:eastAsia="Times New Roman" w:hAnsi="Times New Roman" w:cs="Times New Roman"/>
          <w:iCs/>
          <w:color w:val="000000"/>
          <w:sz w:val="24"/>
          <w:szCs w:val="24"/>
        </w:rPr>
        <w:t>(βλ.παράγραφο 4.2)</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Σε μία ανάλυση πολλαπλών μεταβλητών, η ηλικία δε βρέθηκε να αποτελεί ανεξάρτητο παράγοντα για οποιαδήποτε από τις φαρμακοκινητικές παραμέτρους που μελετήθηκαν. Ο μόνος παράγοντας που πρέπει να λαμβάνεται υπόψη είναι η έκπτωση της νεφρικής λειτουργίας με την πάροδο της ηλικίας (βλ. παράγραφο για τη νεφρική δυσλειτουργία).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Παιδιατρικός </w:t>
      </w:r>
      <w:r w:rsidRPr="009F45F0">
        <w:rPr>
          <w:rFonts w:ascii="Times New Roman" w:eastAsia="Times New Roman" w:hAnsi="Times New Roman" w:cs="Times New Roman"/>
          <w:iCs/>
          <w:color w:val="000000"/>
          <w:sz w:val="24"/>
          <w:szCs w:val="24"/>
        </w:rPr>
        <w:t>πληθυσμός (βλ.παράγραφο 4.2 και παράγραφο 5.1)</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υπάρχουν δεδομένα για τη χρήση του </w:t>
      </w:r>
      <w:r w:rsidR="00E511A3" w:rsidRPr="002D0B77">
        <w:rPr>
          <w:rFonts w:ascii="Times New Roman" w:eastAsia="Times New Roman" w:hAnsi="Times New Roman" w:cs="Times New Roman"/>
          <w:color w:val="000000"/>
          <w:sz w:val="24"/>
          <w:szCs w:val="24"/>
        </w:rPr>
        <w:t>ιβανδρονικού οξέος</w:t>
      </w:r>
      <w:r w:rsidR="00E511A3" w:rsidRPr="00E230C5">
        <w:rPr>
          <w:rFonts w:ascii="Times New Roman" w:eastAsia="Times New Roman" w:hAnsi="Times New Roman" w:cs="Times New Roman"/>
          <w:color w:val="000000"/>
          <w:sz w:val="24"/>
          <w:szCs w:val="24"/>
        </w:rPr>
        <w:t xml:space="preserve"> </w:t>
      </w:r>
      <w:r w:rsidRPr="00E230C5">
        <w:rPr>
          <w:rFonts w:ascii="Times New Roman" w:eastAsia="Times New Roman" w:hAnsi="Times New Roman" w:cs="Times New Roman"/>
          <w:color w:val="000000"/>
          <w:sz w:val="24"/>
          <w:szCs w:val="24"/>
        </w:rPr>
        <w:t xml:space="preserve"> σε ασθενείς κάτω των 18 ετών.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5.3 Προκλινικά δεδομένα για την ασφάλεια </w:t>
      </w:r>
    </w:p>
    <w:p w:rsidR="003A44E4" w:rsidRPr="00E230C5" w:rsidRDefault="003A44E4" w:rsidP="003A44E4">
      <w:pPr>
        <w:autoSpaceDE w:val="0"/>
        <w:autoSpaceDN w:val="0"/>
        <w:adjustRightInd w:val="0"/>
        <w:spacing w:after="0" w:line="240" w:lineRule="auto"/>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Επιπτώσεις σε μη κλινικές μελέτες παρατηρήθηκαν μόνο σε έκθεση στο φάρμακο που θεωρήθηκε ότι ήταν αρκετά πάνω από το ανώτατο όριο έκθεσης του ανθρώπου, παρουσιάζοντας μικρή σχέση με την κλινική χρήση. Όπως με άλλα διφωσφονικά, ο νεφρός ταυτοποιήθηκε ως το κύριο όργανο-στόχος της συστηματικής τοξικότητας.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Μεταλλαξιογόνος δράση/Καρκινογόνος δράση: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παρατηρήθηκε ένδειξη καρκινογόνου δράσης. Οι δοκιμασίες γονιδιοτοξικότητας δεν απεκάλυψαν ενδείξεις επιδράσεων επί της γενετικής δραστικότητας για το ιβανδρονικό οξύ.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i/>
          <w:iCs/>
          <w:color w:val="000000"/>
          <w:sz w:val="24"/>
          <w:szCs w:val="24"/>
        </w:rPr>
        <w:t xml:space="preserve">Τοξικότητα στην αναπαραγωγή: </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Δεν παρατηρήθηκαν ενδείξεις άμεσης τοξικής ή τερατογόνου δράσης του ιβανδρονικού οξέος στο έμβρυο, σε επίμυες και κουνέλια </w:t>
      </w:r>
      <w:r w:rsidR="00F43C5F">
        <w:rPr>
          <w:rFonts w:ascii="Times New Roman" w:eastAsia="Times New Roman" w:hAnsi="Times New Roman" w:cs="Times New Roman"/>
          <w:sz w:val="24"/>
          <w:szCs w:val="24"/>
        </w:rPr>
        <w:t>όταν</w:t>
      </w:r>
      <w:r w:rsidR="00F43C5F" w:rsidRPr="00E230C5">
        <w:rPr>
          <w:rFonts w:ascii="Times New Roman" w:eastAsia="Times New Roman" w:hAnsi="Times New Roman" w:cs="Times New Roman"/>
          <w:sz w:val="24"/>
          <w:szCs w:val="24"/>
        </w:rPr>
        <w:t xml:space="preserve"> </w:t>
      </w:r>
      <w:r w:rsidRPr="00E230C5">
        <w:rPr>
          <w:rFonts w:ascii="Times New Roman" w:eastAsia="Times New Roman" w:hAnsi="Times New Roman" w:cs="Times New Roman"/>
          <w:sz w:val="24"/>
          <w:szCs w:val="24"/>
        </w:rPr>
        <w:t xml:space="preserve">τους </w:t>
      </w:r>
      <w:r w:rsidR="00C25F91" w:rsidRPr="00C25F91">
        <w:rPr>
          <w:rFonts w:ascii="Times New Roman" w:eastAsia="Times New Roman" w:hAnsi="Times New Roman" w:cs="Times New Roman"/>
          <w:sz w:val="24"/>
          <w:szCs w:val="24"/>
        </w:rPr>
        <w:t>χορηγήθηκε η ουσία</w:t>
      </w:r>
      <w:r w:rsidRPr="00E230C5">
        <w:rPr>
          <w:rFonts w:ascii="Times New Roman" w:eastAsia="Times New Roman" w:hAnsi="Times New Roman" w:cs="Times New Roman"/>
          <w:sz w:val="24"/>
          <w:szCs w:val="24"/>
        </w:rPr>
        <w:t xml:space="preserve"> ενδοφλεβίως. Σε μελέτες </w:t>
      </w:r>
      <w:r w:rsidR="00F43C5F">
        <w:rPr>
          <w:rFonts w:ascii="Times New Roman" w:eastAsia="Times New Roman" w:hAnsi="Times New Roman" w:cs="Times New Roman"/>
          <w:sz w:val="24"/>
          <w:szCs w:val="24"/>
        </w:rPr>
        <w:t xml:space="preserve">αναπαραγωγής </w:t>
      </w:r>
      <w:r w:rsidRPr="00E230C5">
        <w:rPr>
          <w:rFonts w:ascii="Times New Roman" w:eastAsia="Times New Roman" w:hAnsi="Times New Roman" w:cs="Times New Roman"/>
          <w:sz w:val="24"/>
          <w:szCs w:val="24"/>
        </w:rPr>
        <w:t xml:space="preserve">σε αρουραίους με από του στόματος </w:t>
      </w:r>
      <w:r w:rsidRPr="00E230C5">
        <w:rPr>
          <w:rFonts w:ascii="Times New Roman" w:eastAsia="Times New Roman" w:hAnsi="Times New Roman" w:cs="Times New Roman"/>
          <w:sz w:val="24"/>
          <w:szCs w:val="24"/>
        </w:rPr>
        <w:lastRenderedPageBreak/>
        <w:t xml:space="preserve">χορήγηση η επίδραση στη γονιμότητα αφορούσε αυξημένες προεμφυτευτικές απώλειες σε επίπεδα δόσεων του 1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kg</w:t>
      </w:r>
      <w:r w:rsidRPr="00E230C5">
        <w:rPr>
          <w:rFonts w:ascii="Times New Roman" w:eastAsia="Times New Roman" w:hAnsi="Times New Roman" w:cs="Times New Roman"/>
          <w:sz w:val="24"/>
          <w:szCs w:val="24"/>
        </w:rPr>
        <w:t>/ημερησίως και μεγαλύτερα. Σε μελέτες</w:t>
      </w:r>
      <w:r w:rsidR="00313A27" w:rsidRPr="00313A27">
        <w:t xml:space="preserve"> </w:t>
      </w:r>
      <w:r w:rsidR="00313A27" w:rsidRPr="00313A27">
        <w:rPr>
          <w:rFonts w:ascii="Times New Roman" w:eastAsia="Times New Roman" w:hAnsi="Times New Roman" w:cs="Times New Roman"/>
          <w:sz w:val="24"/>
          <w:szCs w:val="24"/>
        </w:rPr>
        <w:t>αναπαραγωγής</w:t>
      </w:r>
      <w:r w:rsidRPr="00E230C5">
        <w:rPr>
          <w:rFonts w:ascii="Times New Roman" w:eastAsia="Times New Roman" w:hAnsi="Times New Roman" w:cs="Times New Roman"/>
          <w:sz w:val="24"/>
          <w:szCs w:val="24"/>
        </w:rPr>
        <w:t xml:space="preserve"> σε αρουραίους με ενδοφλέβια χορήγηση, το ιβανδρονικό οξύ μείωσε την ποσότητα του σπέρματος σε δόσεις 0,3 και 1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kg</w:t>
      </w:r>
      <w:r w:rsidRPr="00E230C5">
        <w:rPr>
          <w:rFonts w:ascii="Times New Roman" w:eastAsia="Times New Roman" w:hAnsi="Times New Roman" w:cs="Times New Roman"/>
          <w:sz w:val="24"/>
          <w:szCs w:val="24"/>
        </w:rPr>
        <w:t xml:space="preserve">/ημερησίως και μείωσε τη γονιμότητα σε αρσενικούς σε δόση 1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kg</w:t>
      </w:r>
      <w:r w:rsidRPr="00E230C5">
        <w:rPr>
          <w:rFonts w:ascii="Times New Roman" w:eastAsia="Times New Roman" w:hAnsi="Times New Roman" w:cs="Times New Roman"/>
          <w:sz w:val="24"/>
          <w:szCs w:val="24"/>
        </w:rPr>
        <w:t xml:space="preserve">/ημερησίως και σε θηλυκούς σε δόση 1,2 </w:t>
      </w:r>
      <w:r w:rsidRPr="00E230C5">
        <w:rPr>
          <w:rFonts w:ascii="Times New Roman" w:eastAsia="Times New Roman" w:hAnsi="Times New Roman" w:cs="Times New Roman"/>
          <w:sz w:val="24"/>
          <w:szCs w:val="24"/>
          <w:lang w:val="en-US"/>
        </w:rPr>
        <w:t>mg</w:t>
      </w:r>
      <w:r w:rsidRPr="00E230C5">
        <w:rPr>
          <w:rFonts w:ascii="Times New Roman" w:eastAsia="Times New Roman" w:hAnsi="Times New Roman" w:cs="Times New Roman"/>
          <w:sz w:val="24"/>
          <w:szCs w:val="24"/>
        </w:rPr>
        <w:t>/</w:t>
      </w:r>
      <w:r w:rsidRPr="00E230C5">
        <w:rPr>
          <w:rFonts w:ascii="Times New Roman" w:eastAsia="Times New Roman" w:hAnsi="Times New Roman" w:cs="Times New Roman"/>
          <w:sz w:val="24"/>
          <w:szCs w:val="24"/>
          <w:lang w:val="en-US"/>
        </w:rPr>
        <w:t>kg</w:t>
      </w:r>
      <w:r w:rsidRPr="00E230C5">
        <w:rPr>
          <w:rFonts w:ascii="Times New Roman" w:eastAsia="Times New Roman" w:hAnsi="Times New Roman" w:cs="Times New Roman"/>
          <w:sz w:val="24"/>
          <w:szCs w:val="24"/>
        </w:rPr>
        <w:t>/ημερησίως. Σε μελέτες αναπαραγωγικής τοξικότητας στον επίμυ, οι ανεπιθύμητες ενέργειες του ιβανδρονικού οξέος ήταν εκείνες που αναμένονται για αυτήν την κατηγορία φαρμακευτικών προϊόντων (διφωσφονικά). Σ’ αυτές περιλαμβάνονται μείωση των θέσεων εμφύτευσης, παρεμπόδιση του φυσιολογικού τοκετού (δυστοκία), αυξημένος αριθμός μεταβολών των σπλάγχνων (</w:t>
      </w:r>
      <w:r w:rsidR="00313A27" w:rsidRPr="00313A27">
        <w:rPr>
          <w:rFonts w:ascii="Times New Roman" w:eastAsia="Times New Roman" w:hAnsi="Times New Roman" w:cs="Times New Roman"/>
          <w:sz w:val="24"/>
          <w:szCs w:val="24"/>
        </w:rPr>
        <w:t>σύνδρομο πυελο-ουρητηρικής συμβολής</w:t>
      </w:r>
      <w:r w:rsidRPr="00E230C5">
        <w:rPr>
          <w:rFonts w:ascii="Times New Roman" w:eastAsia="Times New Roman" w:hAnsi="Times New Roman" w:cs="Times New Roman"/>
          <w:sz w:val="24"/>
          <w:szCs w:val="24"/>
        </w:rPr>
        <w:t>) και ανωμαλίες των οδόντων στην πρώτη γενιά (</w:t>
      </w:r>
      <w:r w:rsidRPr="00E230C5">
        <w:rPr>
          <w:rFonts w:ascii="Times New Roman" w:eastAsia="Times New Roman" w:hAnsi="Times New Roman" w:cs="Times New Roman"/>
          <w:sz w:val="24"/>
          <w:szCs w:val="24"/>
          <w:lang w:val="en-US"/>
        </w:rPr>
        <w:t>F</w:t>
      </w:r>
      <w:r w:rsidRPr="00E230C5">
        <w:rPr>
          <w:rFonts w:ascii="Times New Roman" w:eastAsia="Times New Roman" w:hAnsi="Times New Roman" w:cs="Times New Roman"/>
          <w:position w:val="-8"/>
          <w:sz w:val="24"/>
          <w:szCs w:val="24"/>
        </w:rPr>
        <w:t>1</w:t>
      </w:r>
      <w:r w:rsidRPr="00E230C5">
        <w:rPr>
          <w:rFonts w:ascii="Times New Roman" w:eastAsia="Times New Roman" w:hAnsi="Times New Roman" w:cs="Times New Roman"/>
          <w:position w:val="-8"/>
          <w:sz w:val="24"/>
          <w:szCs w:val="24"/>
          <w:vertAlign w:val="subscript"/>
        </w:rPr>
        <w:t xml:space="preserve"> </w:t>
      </w:r>
      <w:r w:rsidRPr="00E230C5">
        <w:rPr>
          <w:rFonts w:ascii="Times New Roman" w:eastAsia="Times New Roman" w:hAnsi="Times New Roman" w:cs="Times New Roman"/>
          <w:sz w:val="24"/>
          <w:szCs w:val="24"/>
        </w:rPr>
        <w:t>) επίμυων.</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 ΦΑΡΜΑΚΕΥΤΙΚΕΣ ΠΛΗΡΟΦΟΡΙΕΣ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6.1 Κατάλογος εκδόχων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Χλωριούχο νάτριο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Οξικό οξύ  (</w:t>
      </w:r>
      <w:r w:rsidRPr="00E230C5">
        <w:rPr>
          <w:rFonts w:ascii="Times New Roman" w:eastAsia="Times New Roman" w:hAnsi="Times New Roman" w:cs="Times New Roman"/>
          <w:color w:val="000000"/>
          <w:sz w:val="24"/>
          <w:szCs w:val="24"/>
          <w:lang w:val="en-US"/>
        </w:rPr>
        <w:t>E</w:t>
      </w:r>
      <w:r w:rsidRPr="00E230C5">
        <w:rPr>
          <w:rFonts w:ascii="Times New Roman" w:eastAsia="Times New Roman" w:hAnsi="Times New Roman" w:cs="Times New Roman"/>
          <w:color w:val="000000"/>
          <w:sz w:val="24"/>
          <w:szCs w:val="24"/>
        </w:rPr>
        <w:t>260)</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Οξικό νάτριο (</w:t>
      </w:r>
      <w:r w:rsidRPr="00E230C5">
        <w:rPr>
          <w:rFonts w:ascii="Times New Roman" w:eastAsia="Times New Roman" w:hAnsi="Times New Roman" w:cs="Times New Roman"/>
          <w:color w:val="000000"/>
          <w:sz w:val="24"/>
          <w:szCs w:val="24"/>
          <w:lang w:val="en-US"/>
        </w:rPr>
        <w:t>E</w:t>
      </w:r>
      <w:r w:rsidRPr="00E230C5">
        <w:rPr>
          <w:rFonts w:ascii="Times New Roman" w:eastAsia="Times New Roman" w:hAnsi="Times New Roman" w:cs="Times New Roman"/>
          <w:color w:val="000000"/>
          <w:sz w:val="24"/>
          <w:szCs w:val="24"/>
        </w:rPr>
        <w:t>262)</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Ύδωρ για ενέσιμα</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6.2 Ασυμβατότητες </w:t>
      </w:r>
    </w:p>
    <w:p w:rsidR="003A44E4" w:rsidRPr="005139CB" w:rsidRDefault="003A44E4" w:rsidP="003A44E4">
      <w:pPr>
        <w:autoSpaceDE w:val="0"/>
        <w:autoSpaceDN w:val="0"/>
        <w:adjustRightInd w:val="0"/>
        <w:spacing w:after="0" w:line="240" w:lineRule="auto"/>
        <w:jc w:val="both"/>
        <w:rPr>
          <w:rFonts w:ascii="Times New Roman" w:eastAsia="Times New Roman" w:hAnsi="Times New Roman" w:cs="Times New Roman"/>
          <w:color w:val="000000"/>
          <w:szCs w:val="10"/>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Για να αποφευχθούν πιθανές ασυμβατότητες, το IBONDEM πυκνό διάλυμα για παρασκευή διαλύματος προς έγχυση πρέπει να αραιώνεται μόνο με ισότονο διάλυμα χλωριούχου νατρίου ή διάλυμα γλυκόζης 5%.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Το IBONDEM δε πρέπει να αναμιγνύεται με διαλύματα που περιέχουν ασβέστιο.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6.3 Διάρκεια ζωής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2  χρόνια.</w:t>
      </w:r>
    </w:p>
    <w:p w:rsidR="003A44E4" w:rsidRPr="00E230C5" w:rsidRDefault="003A44E4" w:rsidP="003A44E4">
      <w:pPr>
        <w:spacing w:after="0" w:line="240" w:lineRule="auto"/>
        <w:jc w:val="both"/>
        <w:rPr>
          <w:rFonts w:ascii="Times New Roman" w:eastAsia="TimesNewRomanPSMT"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Η χημική και φυσική σταθερότητα κατά τη χρήση έχει αποδειχθεί για 24 ώρες υπό συνθήκες ψύξης και στους 25</w:t>
      </w:r>
      <w:r w:rsidRPr="00E230C5">
        <w:rPr>
          <w:rFonts w:ascii="Times New Roman" w:eastAsia="Times New Roman" w:hAnsi="Times New Roman" w:cs="Times New Roman"/>
          <w:color w:val="000000"/>
          <w:sz w:val="24"/>
          <w:szCs w:val="24"/>
          <w:vertAlign w:val="superscript"/>
        </w:rPr>
        <w:t>o</w:t>
      </w:r>
      <w:r w:rsidRPr="00E230C5">
        <w:rPr>
          <w:rFonts w:ascii="Times New Roman" w:eastAsia="Times New Roman" w:hAnsi="Times New Roman" w:cs="Times New Roman"/>
          <w:color w:val="000000"/>
          <w:sz w:val="24"/>
          <w:szCs w:val="24"/>
        </w:rPr>
        <w:t xml:space="preserve">C όταν το προϊόν αραιωθεί σε 0,9% χλωριούχο νάτριο ή σε 5% γλυκόζη σε συγκέντρωση 0,012mg/ml.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Μετά την ανασύσταση: Από μικροβιολογική άποψη, το προϊόν πρέπει να χρησιμοποιείται αμέσως. Εάν δε χρησιμοποιηθεί αμέσως, οι χρόνοι αποθήκευσης κατά τη χρήση και οι συνθήκες φύλαξης πριν από τη χρήση αποτελούν ευθύνη του χρήστη και κανονικά δεν πρέπει να υπερβαίνουν τις 24 ώρες στους 2 °C - 8 </w:t>
      </w:r>
      <w:r w:rsidRPr="00E230C5">
        <w:rPr>
          <w:rFonts w:ascii="Times New Roman" w:eastAsia="Times New Roman" w:hAnsi="Times New Roman" w:cs="Times New Roman"/>
          <w:color w:val="000000"/>
          <w:sz w:val="24"/>
          <w:szCs w:val="24"/>
          <w:vertAlign w:val="superscript"/>
        </w:rPr>
        <w:t>o</w:t>
      </w:r>
      <w:r w:rsidRPr="00E230C5">
        <w:rPr>
          <w:rFonts w:ascii="Times New Roman" w:eastAsia="Times New Roman" w:hAnsi="Times New Roman" w:cs="Times New Roman"/>
          <w:color w:val="000000"/>
          <w:sz w:val="24"/>
          <w:szCs w:val="24"/>
        </w:rPr>
        <w:t>C.</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6.4 Ιδιαίτερες προφυλάξεις κατά την φύλαξη του προϊόντος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Δεν υπάρχουν ειδικές οδηγίες διατήρησης πριν την ανασύσταση.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6.5 Φύση και συστατικά του περιέκτη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10"/>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lastRenderedPageBreak/>
        <w:t xml:space="preserve">Το IBONDEM διατίθεται σε κουτιά που περιέχουν 1, 5 και 10 φιαλίδια (τύπου Ι γυάλινο φιαλίδιο των 6 </w:t>
      </w:r>
      <w:r w:rsidRPr="00E230C5">
        <w:rPr>
          <w:rFonts w:ascii="Times New Roman" w:eastAsia="Times New Roman" w:hAnsi="Times New Roman" w:cs="Times New Roman"/>
          <w:color w:val="000000"/>
          <w:sz w:val="24"/>
          <w:szCs w:val="24"/>
          <w:lang w:val="en-US"/>
        </w:rPr>
        <w:t>ml</w:t>
      </w:r>
      <w:r w:rsidRPr="00E230C5">
        <w:rPr>
          <w:rFonts w:ascii="Times New Roman" w:eastAsia="Times New Roman" w:hAnsi="Times New Roman" w:cs="Times New Roman"/>
          <w:color w:val="000000"/>
          <w:sz w:val="24"/>
          <w:szCs w:val="24"/>
        </w:rPr>
        <w:t xml:space="preserve">). Τα φιαλίδια κλείνουν με ελαστικά πώματα που ανταποκρίνονται στην Ευρ.Φαρμ. Μπορεί να μη κυκλοφορούν όλες οι συσκευασίες.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6.6 Ιδιαίτερες προφυλάξεις απόρριψης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 xml:space="preserve">Κάθε </w:t>
      </w:r>
      <w:r w:rsidR="006B65B7" w:rsidRPr="00E230C5">
        <w:rPr>
          <w:rFonts w:ascii="Times New Roman" w:eastAsia="Times New Roman" w:hAnsi="Times New Roman" w:cs="Times New Roman"/>
          <w:color w:val="000000"/>
          <w:sz w:val="24"/>
          <w:szCs w:val="24"/>
        </w:rPr>
        <w:t>αχρησιμοποίητο</w:t>
      </w:r>
      <w:r w:rsidR="0003169B" w:rsidRPr="00E230C5">
        <w:rPr>
          <w:rFonts w:ascii="Times New Roman" w:eastAsia="Times New Roman" w:hAnsi="Times New Roman" w:cs="Times New Roman"/>
          <w:color w:val="000000"/>
          <w:sz w:val="24"/>
          <w:szCs w:val="24"/>
        </w:rPr>
        <w:t xml:space="preserve"> φαρμακευτικό </w:t>
      </w:r>
      <w:r w:rsidRPr="00E230C5">
        <w:rPr>
          <w:rFonts w:ascii="Times New Roman" w:eastAsia="Times New Roman" w:hAnsi="Times New Roman" w:cs="Times New Roman"/>
          <w:color w:val="000000"/>
          <w:sz w:val="24"/>
          <w:szCs w:val="24"/>
        </w:rPr>
        <w:t xml:space="preserve">προϊόν ή </w:t>
      </w:r>
      <w:r w:rsidR="00C25F91" w:rsidRPr="00C25F91">
        <w:rPr>
          <w:rFonts w:ascii="Times New Roman" w:eastAsia="Times New Roman" w:hAnsi="Times New Roman" w:cs="Times New Roman"/>
          <w:color w:val="000000"/>
          <w:sz w:val="24"/>
          <w:szCs w:val="24"/>
        </w:rPr>
        <w:t xml:space="preserve">τυχόν </w:t>
      </w:r>
      <w:r w:rsidRPr="00E230C5">
        <w:rPr>
          <w:rFonts w:ascii="Times New Roman" w:eastAsia="Times New Roman" w:hAnsi="Times New Roman" w:cs="Times New Roman"/>
          <w:color w:val="000000"/>
          <w:sz w:val="24"/>
          <w:szCs w:val="24"/>
        </w:rPr>
        <w:t>υπόλειμμα πρέπει να απορρ</w:t>
      </w:r>
      <w:r w:rsidR="0003169B" w:rsidRPr="00E230C5">
        <w:rPr>
          <w:rFonts w:ascii="Times New Roman" w:eastAsia="Times New Roman" w:hAnsi="Times New Roman" w:cs="Times New Roman"/>
          <w:color w:val="000000"/>
          <w:sz w:val="24"/>
          <w:szCs w:val="24"/>
        </w:rPr>
        <w:t>ίπτεται</w:t>
      </w:r>
      <w:r w:rsidRPr="00E230C5">
        <w:rPr>
          <w:rFonts w:ascii="Times New Roman" w:eastAsia="Times New Roman" w:hAnsi="Times New Roman" w:cs="Times New Roman"/>
          <w:color w:val="000000"/>
          <w:sz w:val="24"/>
          <w:szCs w:val="24"/>
        </w:rPr>
        <w:t xml:space="preserve"> σύμφωνα με τις κατά τόπους ισχύουσες σχετικές διατάξεις. Η αποδέσμευση φαρμακευτικών ουσιών στο περιβάλλον θα πρέπει να ελαχιστοποιηθεί.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Για μία μόνο χρήση.</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7. ΚΑΤΟΧΟΣ ΤΗΣ ΑΔΕΙΑΣ ΚΥΚΛΟΦΟΡΙΑΣ </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lang w:val="en-US"/>
        </w:rPr>
        <w:t>DEMO</w:t>
      </w:r>
      <w:r w:rsidRPr="00E230C5">
        <w:rPr>
          <w:rFonts w:ascii="Times New Roman" w:eastAsia="Times New Roman" w:hAnsi="Times New Roman" w:cs="Times New Roman"/>
          <w:sz w:val="24"/>
          <w:szCs w:val="24"/>
        </w:rPr>
        <w:t xml:space="preserve"> ΑΒΕΕ </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21</w:t>
      </w:r>
      <w:r w:rsidRPr="002D0B77">
        <w:rPr>
          <w:rFonts w:ascii="Times New Roman" w:eastAsia="Times New Roman" w:hAnsi="Times New Roman" w:cs="Times New Roman"/>
          <w:sz w:val="24"/>
          <w:szCs w:val="24"/>
          <w:vertAlign w:val="superscript"/>
        </w:rPr>
        <w:t>ο</w:t>
      </w:r>
      <w:r w:rsidRPr="00E230C5">
        <w:rPr>
          <w:rFonts w:ascii="Times New Roman" w:eastAsia="Times New Roman" w:hAnsi="Times New Roman" w:cs="Times New Roman"/>
          <w:sz w:val="24"/>
          <w:szCs w:val="24"/>
        </w:rPr>
        <w:t xml:space="preserve"> χλμ Εθνικής Οδού Αθηνών-Λαμίας</w:t>
      </w:r>
    </w:p>
    <w:p w:rsidR="003A44E4" w:rsidRPr="00C94470"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14568 Κρυονέρι, </w:t>
      </w:r>
      <w:r w:rsidR="00C94470">
        <w:rPr>
          <w:rFonts w:ascii="Times New Roman" w:eastAsia="Times New Roman" w:hAnsi="Times New Roman" w:cs="Times New Roman"/>
          <w:sz w:val="24"/>
          <w:szCs w:val="24"/>
        </w:rPr>
        <w:t>Αττικής</w:t>
      </w:r>
    </w:p>
    <w:p w:rsidR="003A44E4" w:rsidRPr="00E230C5" w:rsidRDefault="003A44E4" w:rsidP="003A44E4">
      <w:pPr>
        <w:spacing w:after="0" w:line="240" w:lineRule="auto"/>
        <w:jc w:val="both"/>
        <w:rPr>
          <w:rFonts w:ascii="Times New Roman" w:eastAsia="Times New Roman" w:hAnsi="Times New Roman" w:cs="Times New Roman"/>
          <w:sz w:val="24"/>
          <w:szCs w:val="24"/>
        </w:rPr>
      </w:pPr>
      <w:r w:rsidRPr="00E230C5">
        <w:rPr>
          <w:rFonts w:ascii="Times New Roman" w:eastAsia="Times New Roman" w:hAnsi="Times New Roman" w:cs="Times New Roman"/>
          <w:sz w:val="24"/>
          <w:szCs w:val="24"/>
        </w:rPr>
        <w:t xml:space="preserve">Τηλ: 210 8161802, </w:t>
      </w:r>
      <w:r w:rsidRPr="00E230C5">
        <w:rPr>
          <w:rFonts w:ascii="Times New Roman" w:eastAsia="Times New Roman" w:hAnsi="Times New Roman" w:cs="Times New Roman"/>
          <w:sz w:val="24"/>
          <w:szCs w:val="24"/>
          <w:lang w:val="en-US"/>
        </w:rPr>
        <w:t>Fax</w:t>
      </w:r>
      <w:r w:rsidRPr="00E230C5">
        <w:rPr>
          <w:rFonts w:ascii="Times New Roman" w:eastAsia="Times New Roman" w:hAnsi="Times New Roman" w:cs="Times New Roman"/>
          <w:sz w:val="24"/>
          <w:szCs w:val="24"/>
        </w:rPr>
        <w:t>: 210 8161587</w:t>
      </w: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spacing w:after="0" w:line="240" w:lineRule="auto"/>
        <w:jc w:val="both"/>
        <w:rPr>
          <w:rFonts w:ascii="Times New Roman" w:eastAsia="Times New Roman" w:hAnsi="Times New Roman" w:cs="Times New Roman"/>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r w:rsidRPr="00E230C5">
        <w:rPr>
          <w:rFonts w:ascii="Times New Roman" w:eastAsia="Times New Roman" w:hAnsi="Times New Roman" w:cs="Times New Roman"/>
          <w:b/>
          <w:bCs/>
          <w:color w:val="000000"/>
          <w:sz w:val="24"/>
          <w:szCs w:val="24"/>
        </w:rPr>
        <w:t xml:space="preserve">8. ΑΡΙΘΜΟΣ(ΟΙ) ΑΔΕΙΑΣ ΚΥΚΛΟΦΟΡΙΑΣ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color w:val="000000"/>
          <w:sz w:val="24"/>
          <w:szCs w:val="24"/>
        </w:rPr>
        <w:t>50302/11-6-2014</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9. ΗΜΕΡΟΜΗΝΙΑ ΠΡΩΤΗΣ ΕΓΚΡΙΣΗΣ / ΑΝΑΝΕΩΣΗΣ ΤΗΣ ΑΔΕΙΑΣ </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03169B" w:rsidP="003A44E4">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E230C5">
        <w:rPr>
          <w:rFonts w:ascii="Times New Roman" w:eastAsia="Times New Roman" w:hAnsi="Times New Roman" w:cs="Times New Roman"/>
          <w:bCs/>
          <w:color w:val="000000"/>
          <w:sz w:val="24"/>
          <w:szCs w:val="24"/>
        </w:rPr>
        <w:t xml:space="preserve">Ημερομηνία τελευταίας αναθεώρησης: </w:t>
      </w:r>
      <w:r w:rsidR="003A44E4" w:rsidRPr="00E230C5">
        <w:rPr>
          <w:rFonts w:ascii="Times New Roman" w:eastAsia="Times New Roman" w:hAnsi="Times New Roman" w:cs="Times New Roman"/>
          <w:bCs/>
          <w:color w:val="000000"/>
          <w:sz w:val="24"/>
          <w:szCs w:val="24"/>
        </w:rPr>
        <w:t>11-6-2014</w:t>
      </w: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b/>
          <w:bCs/>
          <w:color w:val="000000"/>
          <w:sz w:val="24"/>
          <w:szCs w:val="24"/>
        </w:rPr>
      </w:pPr>
    </w:p>
    <w:p w:rsidR="003A44E4" w:rsidRPr="00E230C5" w:rsidRDefault="003A44E4" w:rsidP="003A44E4">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E230C5">
        <w:rPr>
          <w:rFonts w:ascii="Times New Roman" w:eastAsia="Times New Roman" w:hAnsi="Times New Roman" w:cs="Times New Roman"/>
          <w:b/>
          <w:bCs/>
          <w:color w:val="000000"/>
          <w:sz w:val="24"/>
          <w:szCs w:val="24"/>
        </w:rPr>
        <w:t xml:space="preserve">10. ΗΜΕΡΟΜΗΝΙΑ ΑΝΑΘΕΩΡΗΣΗΣ ΤΟΥ ΚΕΙΜΕΝΟΥ </w:t>
      </w:r>
    </w:p>
    <w:p w:rsidR="003A44E4" w:rsidRPr="00E230C5" w:rsidRDefault="003A44E4" w:rsidP="003A44E4">
      <w:pPr>
        <w:spacing w:after="0" w:line="240" w:lineRule="auto"/>
        <w:jc w:val="both"/>
        <w:rPr>
          <w:rFonts w:ascii="Times New Roman" w:eastAsia="Times New Roman" w:hAnsi="Times New Roman" w:cs="Times New Roman"/>
          <w:bCs/>
          <w:sz w:val="24"/>
          <w:szCs w:val="24"/>
        </w:rPr>
      </w:pPr>
    </w:p>
    <w:p w:rsidR="003A44E4" w:rsidRPr="00151BA2" w:rsidRDefault="00E511A3" w:rsidP="00151BA2">
      <w:pPr>
        <w:spacing w:after="0" w:line="240" w:lineRule="auto"/>
        <w:jc w:val="both"/>
        <w:rPr>
          <w:rFonts w:ascii="Times New Roman" w:eastAsia="Times New Roman" w:hAnsi="Times New Roman" w:cs="Times New Roman"/>
          <w:bCs/>
          <w:sz w:val="24"/>
          <w:szCs w:val="24"/>
        </w:rPr>
      </w:pPr>
      <w:r w:rsidRPr="00E230C5">
        <w:rPr>
          <w:rFonts w:ascii="Times New Roman" w:eastAsia="Times New Roman" w:hAnsi="Times New Roman" w:cs="Times New Roman"/>
          <w:bCs/>
          <w:sz w:val="24"/>
          <w:szCs w:val="24"/>
        </w:rPr>
        <w:t xml:space="preserve"> </w:t>
      </w:r>
      <w:r w:rsidR="00A557D3" w:rsidRPr="009F45F0">
        <w:rPr>
          <w:rFonts w:ascii="Times New Roman" w:eastAsia="Times New Roman" w:hAnsi="Times New Roman" w:cs="Times New Roman"/>
          <w:bCs/>
          <w:sz w:val="24"/>
          <w:szCs w:val="24"/>
          <w:lang w:val="en-US"/>
        </w:rPr>
        <w:t>1</w:t>
      </w:r>
      <w:r w:rsidR="00DD6643" w:rsidRPr="009F45F0">
        <w:rPr>
          <w:rFonts w:ascii="Times New Roman" w:eastAsia="Times New Roman" w:hAnsi="Times New Roman" w:cs="Times New Roman"/>
          <w:bCs/>
          <w:sz w:val="24"/>
          <w:szCs w:val="24"/>
          <w:lang w:val="en-US"/>
        </w:rPr>
        <w:t>1</w:t>
      </w:r>
      <w:r w:rsidRPr="00E230C5">
        <w:rPr>
          <w:rFonts w:ascii="Times New Roman" w:eastAsia="Times New Roman" w:hAnsi="Times New Roman" w:cs="Times New Roman"/>
          <w:bCs/>
          <w:sz w:val="24"/>
          <w:szCs w:val="24"/>
        </w:rPr>
        <w:t>/2016</w:t>
      </w:r>
    </w:p>
    <w:p w:rsidR="00243289" w:rsidRPr="00E230C5" w:rsidRDefault="00243289">
      <w:pPr>
        <w:rPr>
          <w:rFonts w:ascii="Times New Roman" w:hAnsi="Times New Roman" w:cs="Times New Roman"/>
        </w:rPr>
      </w:pPr>
    </w:p>
    <w:sectPr w:rsidR="00243289" w:rsidRPr="00E230C5">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B1E05"/>
    <w:multiLevelType w:val="hybridMultilevel"/>
    <w:tmpl w:val="9CEA41BE"/>
    <w:lvl w:ilvl="0" w:tplc="C7280494">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
    <w:nsid w:val="0E6D2B49"/>
    <w:multiLevelType w:val="hybridMultilevel"/>
    <w:tmpl w:val="9D44B354"/>
    <w:lvl w:ilvl="0" w:tplc="04080001">
      <w:start w:val="1"/>
      <w:numFmt w:val="bullet"/>
      <w:lvlText w:val=""/>
      <w:lvlJc w:val="left"/>
      <w:pPr>
        <w:tabs>
          <w:tab w:val="num" w:pos="360"/>
        </w:tabs>
        <w:ind w:left="360" w:hanging="360"/>
      </w:pPr>
      <w:rPr>
        <w:rFonts w:ascii="Symbol" w:hAnsi="Symbol" w:hint="default"/>
      </w:rPr>
    </w:lvl>
    <w:lvl w:ilvl="1" w:tplc="04080003" w:tentative="1">
      <w:start w:val="1"/>
      <w:numFmt w:val="bullet"/>
      <w:lvlText w:val="o"/>
      <w:lvlJc w:val="left"/>
      <w:pPr>
        <w:tabs>
          <w:tab w:val="num" w:pos="1014"/>
        </w:tabs>
        <w:ind w:left="1014" w:hanging="360"/>
      </w:pPr>
      <w:rPr>
        <w:rFonts w:ascii="Courier New" w:hAnsi="Courier New" w:cs="Courier New" w:hint="default"/>
      </w:rPr>
    </w:lvl>
    <w:lvl w:ilvl="2" w:tplc="04080005" w:tentative="1">
      <w:start w:val="1"/>
      <w:numFmt w:val="bullet"/>
      <w:lvlText w:val=""/>
      <w:lvlJc w:val="left"/>
      <w:pPr>
        <w:tabs>
          <w:tab w:val="num" w:pos="1734"/>
        </w:tabs>
        <w:ind w:left="1734" w:hanging="360"/>
      </w:pPr>
      <w:rPr>
        <w:rFonts w:ascii="Wingdings" w:hAnsi="Wingdings" w:hint="default"/>
      </w:rPr>
    </w:lvl>
    <w:lvl w:ilvl="3" w:tplc="04080001" w:tentative="1">
      <w:start w:val="1"/>
      <w:numFmt w:val="bullet"/>
      <w:lvlText w:val=""/>
      <w:lvlJc w:val="left"/>
      <w:pPr>
        <w:tabs>
          <w:tab w:val="num" w:pos="2454"/>
        </w:tabs>
        <w:ind w:left="2454" w:hanging="360"/>
      </w:pPr>
      <w:rPr>
        <w:rFonts w:ascii="Symbol" w:hAnsi="Symbol" w:hint="default"/>
      </w:rPr>
    </w:lvl>
    <w:lvl w:ilvl="4" w:tplc="04080003" w:tentative="1">
      <w:start w:val="1"/>
      <w:numFmt w:val="bullet"/>
      <w:lvlText w:val="o"/>
      <w:lvlJc w:val="left"/>
      <w:pPr>
        <w:tabs>
          <w:tab w:val="num" w:pos="3174"/>
        </w:tabs>
        <w:ind w:left="3174" w:hanging="360"/>
      </w:pPr>
      <w:rPr>
        <w:rFonts w:ascii="Courier New" w:hAnsi="Courier New" w:cs="Courier New" w:hint="default"/>
      </w:rPr>
    </w:lvl>
    <w:lvl w:ilvl="5" w:tplc="04080005" w:tentative="1">
      <w:start w:val="1"/>
      <w:numFmt w:val="bullet"/>
      <w:lvlText w:val=""/>
      <w:lvlJc w:val="left"/>
      <w:pPr>
        <w:tabs>
          <w:tab w:val="num" w:pos="3894"/>
        </w:tabs>
        <w:ind w:left="3894" w:hanging="360"/>
      </w:pPr>
      <w:rPr>
        <w:rFonts w:ascii="Wingdings" w:hAnsi="Wingdings" w:hint="default"/>
      </w:rPr>
    </w:lvl>
    <w:lvl w:ilvl="6" w:tplc="04080001" w:tentative="1">
      <w:start w:val="1"/>
      <w:numFmt w:val="bullet"/>
      <w:lvlText w:val=""/>
      <w:lvlJc w:val="left"/>
      <w:pPr>
        <w:tabs>
          <w:tab w:val="num" w:pos="4614"/>
        </w:tabs>
        <w:ind w:left="4614" w:hanging="360"/>
      </w:pPr>
      <w:rPr>
        <w:rFonts w:ascii="Symbol" w:hAnsi="Symbol" w:hint="default"/>
      </w:rPr>
    </w:lvl>
    <w:lvl w:ilvl="7" w:tplc="04080003" w:tentative="1">
      <w:start w:val="1"/>
      <w:numFmt w:val="bullet"/>
      <w:lvlText w:val="o"/>
      <w:lvlJc w:val="left"/>
      <w:pPr>
        <w:tabs>
          <w:tab w:val="num" w:pos="5334"/>
        </w:tabs>
        <w:ind w:left="5334" w:hanging="360"/>
      </w:pPr>
      <w:rPr>
        <w:rFonts w:ascii="Courier New" w:hAnsi="Courier New" w:cs="Courier New" w:hint="default"/>
      </w:rPr>
    </w:lvl>
    <w:lvl w:ilvl="8" w:tplc="04080005" w:tentative="1">
      <w:start w:val="1"/>
      <w:numFmt w:val="bullet"/>
      <w:lvlText w:val=""/>
      <w:lvlJc w:val="left"/>
      <w:pPr>
        <w:tabs>
          <w:tab w:val="num" w:pos="6054"/>
        </w:tabs>
        <w:ind w:left="6054" w:hanging="360"/>
      </w:pPr>
      <w:rPr>
        <w:rFonts w:ascii="Wingdings" w:hAnsi="Wingdings" w:hint="default"/>
      </w:rPr>
    </w:lvl>
  </w:abstractNum>
  <w:abstractNum w:abstractNumId="2">
    <w:nsid w:val="0EDE120B"/>
    <w:multiLevelType w:val="hybridMultilevel"/>
    <w:tmpl w:val="8DAC80E2"/>
    <w:lvl w:ilvl="0" w:tplc="98E4E7F0">
      <w:numFmt w:val="bullet"/>
      <w:lvlText w:val="-"/>
      <w:lvlJc w:val="left"/>
      <w:pPr>
        <w:ind w:left="720" w:hanging="360"/>
      </w:pPr>
      <w:rPr>
        <w:rFonts w:ascii="Times New Roman" w:eastAsiaTheme="minorHAnsi" w:hAnsi="Times New Roman"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nsid w:val="12190993"/>
    <w:multiLevelType w:val="hybridMultilevel"/>
    <w:tmpl w:val="BC56E96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47A84862"/>
    <w:multiLevelType w:val="hybridMultilevel"/>
    <w:tmpl w:val="5700EDBA"/>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4A630AAF"/>
    <w:multiLevelType w:val="hybridMultilevel"/>
    <w:tmpl w:val="0D3ACEE8"/>
    <w:lvl w:ilvl="0" w:tplc="C7280494">
      <w:numFmt w:val="bullet"/>
      <w:lvlText w:val="-"/>
      <w:lvlJc w:val="left"/>
      <w:pPr>
        <w:ind w:left="360" w:hanging="360"/>
      </w:pPr>
      <w:rPr>
        <w:rFonts w:ascii="Times New Roman" w:eastAsia="Times New Roman" w:hAnsi="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num w:numId="1">
    <w:abstractNumId w:val="1"/>
  </w:num>
  <w:num w:numId="2">
    <w:abstractNumId w:val="4"/>
  </w:num>
  <w:num w:numId="3">
    <w:abstractNumId w:val="3"/>
  </w:num>
  <w:num w:numId="4">
    <w:abstractNumId w:val="5"/>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4892"/>
    <w:rsid w:val="00003A4E"/>
    <w:rsid w:val="0003169B"/>
    <w:rsid w:val="00037377"/>
    <w:rsid w:val="00037CBD"/>
    <w:rsid w:val="00051D8F"/>
    <w:rsid w:val="000704DB"/>
    <w:rsid w:val="000712D9"/>
    <w:rsid w:val="000A01D5"/>
    <w:rsid w:val="000A7D89"/>
    <w:rsid w:val="0013376B"/>
    <w:rsid w:val="00151BA2"/>
    <w:rsid w:val="001949CD"/>
    <w:rsid w:val="001C79DC"/>
    <w:rsid w:val="001D2DD0"/>
    <w:rsid w:val="001D65F0"/>
    <w:rsid w:val="001E23CF"/>
    <w:rsid w:val="001E2B3B"/>
    <w:rsid w:val="00207A01"/>
    <w:rsid w:val="002236CA"/>
    <w:rsid w:val="00230D27"/>
    <w:rsid w:val="00243289"/>
    <w:rsid w:val="00247B23"/>
    <w:rsid w:val="002D0B77"/>
    <w:rsid w:val="002D3E34"/>
    <w:rsid w:val="002E3B3E"/>
    <w:rsid w:val="00305A37"/>
    <w:rsid w:val="00313A27"/>
    <w:rsid w:val="00315099"/>
    <w:rsid w:val="00322193"/>
    <w:rsid w:val="00341A7F"/>
    <w:rsid w:val="00346324"/>
    <w:rsid w:val="003539AC"/>
    <w:rsid w:val="003559FB"/>
    <w:rsid w:val="003732BD"/>
    <w:rsid w:val="0039244C"/>
    <w:rsid w:val="0039353E"/>
    <w:rsid w:val="00397F82"/>
    <w:rsid w:val="003A095E"/>
    <w:rsid w:val="003A3AEE"/>
    <w:rsid w:val="003A44E4"/>
    <w:rsid w:val="003D510C"/>
    <w:rsid w:val="003F270E"/>
    <w:rsid w:val="00415B75"/>
    <w:rsid w:val="00453B12"/>
    <w:rsid w:val="00486A1B"/>
    <w:rsid w:val="004B3B0A"/>
    <w:rsid w:val="004B546A"/>
    <w:rsid w:val="005139CB"/>
    <w:rsid w:val="00524892"/>
    <w:rsid w:val="00543827"/>
    <w:rsid w:val="0054734D"/>
    <w:rsid w:val="005711E7"/>
    <w:rsid w:val="005771FE"/>
    <w:rsid w:val="005A38FB"/>
    <w:rsid w:val="005F4990"/>
    <w:rsid w:val="00602EEA"/>
    <w:rsid w:val="00605551"/>
    <w:rsid w:val="006154C1"/>
    <w:rsid w:val="0062559E"/>
    <w:rsid w:val="006360D7"/>
    <w:rsid w:val="0063699C"/>
    <w:rsid w:val="00641C55"/>
    <w:rsid w:val="00664F68"/>
    <w:rsid w:val="00665A91"/>
    <w:rsid w:val="006A7CCB"/>
    <w:rsid w:val="006B65B7"/>
    <w:rsid w:val="006C3663"/>
    <w:rsid w:val="006E7070"/>
    <w:rsid w:val="00705380"/>
    <w:rsid w:val="00725C8B"/>
    <w:rsid w:val="00732BC2"/>
    <w:rsid w:val="007449CD"/>
    <w:rsid w:val="00761C98"/>
    <w:rsid w:val="007730DC"/>
    <w:rsid w:val="007A2D9A"/>
    <w:rsid w:val="007B2CCA"/>
    <w:rsid w:val="007E17A6"/>
    <w:rsid w:val="00820C97"/>
    <w:rsid w:val="00832B1E"/>
    <w:rsid w:val="008529B8"/>
    <w:rsid w:val="008D51D8"/>
    <w:rsid w:val="008F29C8"/>
    <w:rsid w:val="009118D8"/>
    <w:rsid w:val="009330C2"/>
    <w:rsid w:val="00937E88"/>
    <w:rsid w:val="009669ED"/>
    <w:rsid w:val="00993B4D"/>
    <w:rsid w:val="009B33BF"/>
    <w:rsid w:val="009D204B"/>
    <w:rsid w:val="009F45F0"/>
    <w:rsid w:val="009F6F82"/>
    <w:rsid w:val="00A37D29"/>
    <w:rsid w:val="00A44909"/>
    <w:rsid w:val="00A52350"/>
    <w:rsid w:val="00A557D3"/>
    <w:rsid w:val="00A641E1"/>
    <w:rsid w:val="00A7640C"/>
    <w:rsid w:val="00A807CF"/>
    <w:rsid w:val="00A86D03"/>
    <w:rsid w:val="00A871CD"/>
    <w:rsid w:val="00AB1411"/>
    <w:rsid w:val="00AD29B7"/>
    <w:rsid w:val="00B23822"/>
    <w:rsid w:val="00B47B5B"/>
    <w:rsid w:val="00B62E16"/>
    <w:rsid w:val="00BA06E0"/>
    <w:rsid w:val="00BD6086"/>
    <w:rsid w:val="00BF46F1"/>
    <w:rsid w:val="00C01BC7"/>
    <w:rsid w:val="00C121DC"/>
    <w:rsid w:val="00C158C0"/>
    <w:rsid w:val="00C25F91"/>
    <w:rsid w:val="00C321F2"/>
    <w:rsid w:val="00C46657"/>
    <w:rsid w:val="00C94470"/>
    <w:rsid w:val="00CF7D3B"/>
    <w:rsid w:val="00D23E9F"/>
    <w:rsid w:val="00D436EF"/>
    <w:rsid w:val="00D60E72"/>
    <w:rsid w:val="00D7051E"/>
    <w:rsid w:val="00DD6643"/>
    <w:rsid w:val="00DE5FAB"/>
    <w:rsid w:val="00DF2A46"/>
    <w:rsid w:val="00E131A9"/>
    <w:rsid w:val="00E1557B"/>
    <w:rsid w:val="00E230C5"/>
    <w:rsid w:val="00E3417A"/>
    <w:rsid w:val="00E34701"/>
    <w:rsid w:val="00E511A3"/>
    <w:rsid w:val="00E56122"/>
    <w:rsid w:val="00E56FAB"/>
    <w:rsid w:val="00E61E11"/>
    <w:rsid w:val="00E72F7B"/>
    <w:rsid w:val="00E87154"/>
    <w:rsid w:val="00EC73DB"/>
    <w:rsid w:val="00EF052D"/>
    <w:rsid w:val="00F43C5F"/>
    <w:rsid w:val="00F447AD"/>
    <w:rsid w:val="00F56591"/>
    <w:rsid w:val="00F645EE"/>
    <w:rsid w:val="00F65368"/>
    <w:rsid w:val="00F806DA"/>
    <w:rsid w:val="00F93830"/>
    <w:rsid w:val="00FB385F"/>
    <w:rsid w:val="00FD1FBB"/>
    <w:rsid w:val="00FD3512"/>
    <w:rsid w:val="00FE2AC5"/>
    <w:rsid w:val="00FF47DA"/>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semiHidden/>
    <w:rsid w:val="003A44E4"/>
  </w:style>
  <w:style w:type="paragraph" w:customStyle="1" w:styleId="Default">
    <w:name w:val="Default"/>
    <w:rsid w:val="003A44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3">
    <w:name w:val="Table Grid"/>
    <w:basedOn w:val="a1"/>
    <w:rsid w:val="003A44E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rsid w:val="003A44E4"/>
    <w:pPr>
      <w:spacing w:after="0" w:line="240" w:lineRule="auto"/>
    </w:pPr>
    <w:rPr>
      <w:rFonts w:ascii="Tahoma" w:eastAsia="Times New Roman" w:hAnsi="Tahoma" w:cs="Tahoma"/>
      <w:sz w:val="16"/>
      <w:szCs w:val="16"/>
      <w:lang w:val="en-US"/>
    </w:rPr>
  </w:style>
  <w:style w:type="character" w:customStyle="1" w:styleId="Char">
    <w:name w:val="Κείμενο πλαισίου Char"/>
    <w:basedOn w:val="a0"/>
    <w:link w:val="a4"/>
    <w:semiHidden/>
    <w:rsid w:val="003A44E4"/>
    <w:rPr>
      <w:rFonts w:ascii="Tahoma" w:eastAsia="Times New Roman" w:hAnsi="Tahoma" w:cs="Tahoma"/>
      <w:sz w:val="16"/>
      <w:szCs w:val="16"/>
      <w:lang w:val="en-US"/>
    </w:rPr>
  </w:style>
  <w:style w:type="character" w:styleId="-">
    <w:name w:val="Hyperlink"/>
    <w:rsid w:val="003A44E4"/>
    <w:rPr>
      <w:color w:val="0000FF"/>
      <w:u w:val="single"/>
    </w:rPr>
  </w:style>
  <w:style w:type="paragraph" w:styleId="a5">
    <w:name w:val="List Paragraph"/>
    <w:basedOn w:val="a"/>
    <w:uiPriority w:val="34"/>
    <w:qFormat/>
    <w:rsid w:val="00C121DC"/>
    <w:pPr>
      <w:ind w:left="720"/>
      <w:contextualSpacing/>
    </w:pPr>
  </w:style>
  <w:style w:type="character" w:styleId="a6">
    <w:name w:val="annotation reference"/>
    <w:basedOn w:val="a0"/>
    <w:uiPriority w:val="99"/>
    <w:semiHidden/>
    <w:unhideWhenUsed/>
    <w:rsid w:val="0013376B"/>
    <w:rPr>
      <w:sz w:val="16"/>
      <w:szCs w:val="16"/>
    </w:rPr>
  </w:style>
  <w:style w:type="paragraph" w:styleId="a7">
    <w:name w:val="annotation text"/>
    <w:basedOn w:val="a"/>
    <w:link w:val="Char0"/>
    <w:uiPriority w:val="99"/>
    <w:semiHidden/>
    <w:unhideWhenUsed/>
    <w:rsid w:val="0013376B"/>
    <w:pPr>
      <w:spacing w:line="240" w:lineRule="auto"/>
    </w:pPr>
    <w:rPr>
      <w:sz w:val="20"/>
      <w:szCs w:val="20"/>
    </w:rPr>
  </w:style>
  <w:style w:type="character" w:customStyle="1" w:styleId="Char0">
    <w:name w:val="Κείμενο σχολίου Char"/>
    <w:basedOn w:val="a0"/>
    <w:link w:val="a7"/>
    <w:uiPriority w:val="99"/>
    <w:semiHidden/>
    <w:rsid w:val="0013376B"/>
    <w:rPr>
      <w:sz w:val="20"/>
      <w:szCs w:val="20"/>
    </w:rPr>
  </w:style>
  <w:style w:type="paragraph" w:styleId="a8">
    <w:name w:val="annotation subject"/>
    <w:basedOn w:val="a7"/>
    <w:next w:val="a7"/>
    <w:link w:val="Char1"/>
    <w:uiPriority w:val="99"/>
    <w:semiHidden/>
    <w:unhideWhenUsed/>
    <w:rsid w:val="0013376B"/>
    <w:rPr>
      <w:b/>
      <w:bCs/>
    </w:rPr>
  </w:style>
  <w:style w:type="character" w:customStyle="1" w:styleId="Char1">
    <w:name w:val="Θέμα σχολίου Char"/>
    <w:basedOn w:val="Char0"/>
    <w:link w:val="a8"/>
    <w:uiPriority w:val="99"/>
    <w:semiHidden/>
    <w:rsid w:val="0013376B"/>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NoList1">
    <w:name w:val="No List1"/>
    <w:next w:val="a2"/>
    <w:semiHidden/>
    <w:rsid w:val="003A44E4"/>
  </w:style>
  <w:style w:type="paragraph" w:customStyle="1" w:styleId="Default">
    <w:name w:val="Default"/>
    <w:rsid w:val="003A44E4"/>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table" w:styleId="a3">
    <w:name w:val="Table Grid"/>
    <w:basedOn w:val="a1"/>
    <w:rsid w:val="003A44E4"/>
    <w:pPr>
      <w:spacing w:after="0" w:line="240" w:lineRule="auto"/>
    </w:pPr>
    <w:rPr>
      <w:rFonts w:ascii="Times New Roman" w:eastAsia="Times New Roman" w:hAnsi="Times New Roman" w:cs="Times New Roman"/>
      <w:sz w:val="20"/>
      <w:szCs w:val="20"/>
      <w:lang w:eastAsia="el-G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Char"/>
    <w:semiHidden/>
    <w:rsid w:val="003A44E4"/>
    <w:pPr>
      <w:spacing w:after="0" w:line="240" w:lineRule="auto"/>
    </w:pPr>
    <w:rPr>
      <w:rFonts w:ascii="Tahoma" w:eastAsia="Times New Roman" w:hAnsi="Tahoma" w:cs="Tahoma"/>
      <w:sz w:val="16"/>
      <w:szCs w:val="16"/>
      <w:lang w:val="en-US"/>
    </w:rPr>
  </w:style>
  <w:style w:type="character" w:customStyle="1" w:styleId="Char">
    <w:name w:val="Κείμενο πλαισίου Char"/>
    <w:basedOn w:val="a0"/>
    <w:link w:val="a4"/>
    <w:semiHidden/>
    <w:rsid w:val="003A44E4"/>
    <w:rPr>
      <w:rFonts w:ascii="Tahoma" w:eastAsia="Times New Roman" w:hAnsi="Tahoma" w:cs="Tahoma"/>
      <w:sz w:val="16"/>
      <w:szCs w:val="16"/>
      <w:lang w:val="en-US"/>
    </w:rPr>
  </w:style>
  <w:style w:type="character" w:styleId="-">
    <w:name w:val="Hyperlink"/>
    <w:rsid w:val="003A44E4"/>
    <w:rPr>
      <w:color w:val="0000FF"/>
      <w:u w:val="single"/>
    </w:rPr>
  </w:style>
  <w:style w:type="paragraph" w:styleId="a5">
    <w:name w:val="List Paragraph"/>
    <w:basedOn w:val="a"/>
    <w:uiPriority w:val="34"/>
    <w:qFormat/>
    <w:rsid w:val="00C121DC"/>
    <w:pPr>
      <w:ind w:left="720"/>
      <w:contextualSpacing/>
    </w:pPr>
  </w:style>
  <w:style w:type="character" w:styleId="a6">
    <w:name w:val="annotation reference"/>
    <w:basedOn w:val="a0"/>
    <w:uiPriority w:val="99"/>
    <w:semiHidden/>
    <w:unhideWhenUsed/>
    <w:rsid w:val="0013376B"/>
    <w:rPr>
      <w:sz w:val="16"/>
      <w:szCs w:val="16"/>
    </w:rPr>
  </w:style>
  <w:style w:type="paragraph" w:styleId="a7">
    <w:name w:val="annotation text"/>
    <w:basedOn w:val="a"/>
    <w:link w:val="Char0"/>
    <w:uiPriority w:val="99"/>
    <w:semiHidden/>
    <w:unhideWhenUsed/>
    <w:rsid w:val="0013376B"/>
    <w:pPr>
      <w:spacing w:line="240" w:lineRule="auto"/>
    </w:pPr>
    <w:rPr>
      <w:sz w:val="20"/>
      <w:szCs w:val="20"/>
    </w:rPr>
  </w:style>
  <w:style w:type="character" w:customStyle="1" w:styleId="Char0">
    <w:name w:val="Κείμενο σχολίου Char"/>
    <w:basedOn w:val="a0"/>
    <w:link w:val="a7"/>
    <w:uiPriority w:val="99"/>
    <w:semiHidden/>
    <w:rsid w:val="0013376B"/>
    <w:rPr>
      <w:sz w:val="20"/>
      <w:szCs w:val="20"/>
    </w:rPr>
  </w:style>
  <w:style w:type="paragraph" w:styleId="a8">
    <w:name w:val="annotation subject"/>
    <w:basedOn w:val="a7"/>
    <w:next w:val="a7"/>
    <w:link w:val="Char1"/>
    <w:uiPriority w:val="99"/>
    <w:semiHidden/>
    <w:unhideWhenUsed/>
    <w:rsid w:val="0013376B"/>
    <w:rPr>
      <w:b/>
      <w:bCs/>
    </w:rPr>
  </w:style>
  <w:style w:type="character" w:customStyle="1" w:styleId="Char1">
    <w:name w:val="Θέμα σχολίου Char"/>
    <w:basedOn w:val="Char0"/>
    <w:link w:val="a8"/>
    <w:uiPriority w:val="99"/>
    <w:semiHidden/>
    <w:rsid w:val="001337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of.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8DD8-4905-4C5A-8134-D2A3E96864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6018</Words>
  <Characters>32499</Characters>
  <Application>Microsoft Office Word</Application>
  <DocSecurity>0</DocSecurity>
  <Lines>270</Lines>
  <Paragraphs>76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38441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 Efstathia</dc:creator>
  <cp:lastModifiedBy>ΜΑΥΡΗΣ ΚΩΝΣΤΑΝΤΙΝΟΣ</cp:lastModifiedBy>
  <cp:revision>2</cp:revision>
  <cp:lastPrinted>2018-07-09T08:39:00Z</cp:lastPrinted>
  <dcterms:created xsi:type="dcterms:W3CDTF">2018-07-09T08:40:00Z</dcterms:created>
  <dcterms:modified xsi:type="dcterms:W3CDTF">2018-07-09T08:40:00Z</dcterms:modified>
</cp:coreProperties>
</file>