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A84" w:rsidRPr="00AB6031" w:rsidRDefault="00C80A84" w:rsidP="00AB6031">
      <w:pPr>
        <w:spacing w:after="0" w:line="240" w:lineRule="auto"/>
        <w:jc w:val="center"/>
        <w:rPr>
          <w:rFonts w:ascii="Times New Roman" w:hAnsi="Times New Roman"/>
          <w:b/>
          <w:noProof/>
          <w:lang w:val="el-GR"/>
        </w:rPr>
      </w:pPr>
      <w:r w:rsidRPr="00C80A84">
        <w:rPr>
          <w:rFonts w:ascii="Times New Roman" w:eastAsia="Times New Roman" w:hAnsi="Times New Roman"/>
          <w:b/>
          <w:bCs/>
          <w:lang w:val="el-GR"/>
        </w:rPr>
        <w:t>ΠΕΡΙΛΗΨΗ ΤΩΝ ΧΑΡΑΚΤΗΡΙΣΤΙΚΩΝ ΤΟΥ ΠΡΟΪΟΝΤΟΣ</w:t>
      </w:r>
    </w:p>
    <w:p w:rsidR="00C80A84" w:rsidRPr="00AB6031" w:rsidRDefault="00C80A84" w:rsidP="00C80A84">
      <w:pPr>
        <w:autoSpaceDE w:val="0"/>
        <w:autoSpaceDN w:val="0"/>
        <w:adjustRightInd w:val="0"/>
        <w:spacing w:after="0" w:line="240" w:lineRule="auto"/>
        <w:rPr>
          <w:rFonts w:ascii="Times New Roman" w:hAnsi="Times New Roman"/>
          <w:b/>
          <w:bCs/>
          <w:color w:val="000000"/>
        </w:rPr>
      </w:pPr>
    </w:p>
    <w:p w:rsidR="00C80A84" w:rsidRPr="00AB6031" w:rsidRDefault="00C80A84" w:rsidP="00C80A84">
      <w:pPr>
        <w:numPr>
          <w:ilvl w:val="0"/>
          <w:numId w:val="8"/>
        </w:numPr>
        <w:autoSpaceDE w:val="0"/>
        <w:autoSpaceDN w:val="0"/>
        <w:adjustRightInd w:val="0"/>
        <w:spacing w:after="0" w:line="240" w:lineRule="auto"/>
        <w:ind w:hanging="644"/>
        <w:rPr>
          <w:rFonts w:ascii="Times New Roman" w:hAnsi="Times New Roman"/>
          <w:b/>
          <w:bCs/>
          <w:color w:val="000000"/>
          <w:lang w:val="el-GR"/>
        </w:rPr>
      </w:pPr>
      <w:r w:rsidRPr="00C80A84">
        <w:rPr>
          <w:rFonts w:ascii="Times New Roman" w:hAnsi="Times New Roman"/>
          <w:b/>
          <w:bCs/>
          <w:color w:val="000000"/>
          <w:lang w:val="el-GR"/>
        </w:rPr>
        <w:t>ONOMAΣIA TOY ΦAPMAKEYTIKOY ΠPOΪONTOΣ</w:t>
      </w:r>
    </w:p>
    <w:p w:rsidR="00C80A84" w:rsidRPr="00C80A84" w:rsidRDefault="00C80A84" w:rsidP="00C80A84">
      <w:pPr>
        <w:autoSpaceDE w:val="0"/>
        <w:autoSpaceDN w:val="0"/>
        <w:adjustRightInd w:val="0"/>
        <w:spacing w:after="0" w:line="240" w:lineRule="auto"/>
        <w:rPr>
          <w:rFonts w:ascii="Times New Roman" w:hAnsi="Times New Roman"/>
          <w:color w:val="000000"/>
          <w:lang w:val="el-GR"/>
        </w:rPr>
      </w:pPr>
      <w:proofErr w:type="spellStart"/>
      <w:r w:rsidRPr="00C80A84">
        <w:rPr>
          <w:rFonts w:ascii="Times New Roman" w:hAnsi="Times New Roman"/>
          <w:color w:val="000000"/>
        </w:rPr>
        <w:t>Pantoprazole</w:t>
      </w:r>
      <w:proofErr w:type="spellEnd"/>
      <w:r w:rsidR="00C41C4C" w:rsidRPr="00C41C4C">
        <w:rPr>
          <w:rFonts w:ascii="Times New Roman" w:hAnsi="Times New Roman"/>
          <w:color w:val="000000"/>
          <w:lang w:val="el-GR"/>
        </w:rPr>
        <w:t>/</w:t>
      </w:r>
      <w:r w:rsidRPr="00C80A84">
        <w:rPr>
          <w:rFonts w:ascii="Times New Roman" w:hAnsi="Times New Roman"/>
          <w:color w:val="000000"/>
        </w:rPr>
        <w:t>TAD</w:t>
      </w:r>
      <w:r w:rsidR="005D7808">
        <w:rPr>
          <w:rFonts w:ascii="Times New Roman" w:hAnsi="Times New Roman"/>
          <w:color w:val="000000"/>
          <w:lang w:val="el-GR"/>
        </w:rPr>
        <w:t xml:space="preserve"> 4</w:t>
      </w:r>
      <w:r w:rsidRPr="00C80A84">
        <w:rPr>
          <w:rFonts w:ascii="Times New Roman" w:hAnsi="Times New Roman"/>
          <w:color w:val="000000"/>
          <w:lang w:val="el-GR"/>
        </w:rPr>
        <w:t xml:space="preserve">0 </w:t>
      </w:r>
      <w:r w:rsidRPr="00C80A84">
        <w:rPr>
          <w:rFonts w:ascii="Times New Roman" w:hAnsi="Times New Roman"/>
          <w:color w:val="000000"/>
        </w:rPr>
        <w:t>mg</w:t>
      </w:r>
      <w:r w:rsidRPr="00C80A84">
        <w:rPr>
          <w:rFonts w:ascii="Times New Roman" w:hAnsi="Times New Roman"/>
          <w:color w:val="000000"/>
          <w:lang w:val="el-GR"/>
        </w:rPr>
        <w:t xml:space="preserve"> γαστροανθεκτικά δισκία</w:t>
      </w:r>
    </w:p>
    <w:p w:rsidR="00C80A84" w:rsidRPr="00AB6031" w:rsidRDefault="00C80A84" w:rsidP="00C80A84">
      <w:pPr>
        <w:autoSpaceDE w:val="0"/>
        <w:autoSpaceDN w:val="0"/>
        <w:adjustRightInd w:val="0"/>
        <w:spacing w:after="0" w:line="240" w:lineRule="auto"/>
        <w:rPr>
          <w:rFonts w:ascii="Times New Roman" w:hAnsi="Times New Roman"/>
          <w:b/>
          <w:bCs/>
          <w:color w:val="000000"/>
        </w:rPr>
      </w:pPr>
    </w:p>
    <w:p w:rsidR="00C80A84" w:rsidRPr="00AB6031" w:rsidRDefault="00C80A84" w:rsidP="00C80A84">
      <w:pPr>
        <w:numPr>
          <w:ilvl w:val="0"/>
          <w:numId w:val="8"/>
        </w:numPr>
        <w:autoSpaceDE w:val="0"/>
        <w:autoSpaceDN w:val="0"/>
        <w:adjustRightInd w:val="0"/>
        <w:spacing w:after="0" w:line="240" w:lineRule="auto"/>
        <w:ind w:hanging="644"/>
        <w:rPr>
          <w:rFonts w:ascii="Times New Roman" w:hAnsi="Times New Roman"/>
          <w:b/>
          <w:bCs/>
          <w:color w:val="000000"/>
          <w:lang w:val="el-GR"/>
        </w:rPr>
      </w:pPr>
      <w:r w:rsidRPr="00C80A84">
        <w:rPr>
          <w:rFonts w:ascii="Times New Roman" w:hAnsi="Times New Roman"/>
          <w:b/>
          <w:bCs/>
          <w:color w:val="000000"/>
          <w:lang w:val="el-GR"/>
        </w:rPr>
        <w:t>ΠOIOTIKH KAI ΠOΣOTIKH ΣYNΘEΣH</w:t>
      </w:r>
    </w:p>
    <w:p w:rsidR="00C80A84" w:rsidRPr="00AB6031" w:rsidRDefault="00C80A84" w:rsidP="00C80A84">
      <w:pPr>
        <w:autoSpaceDE w:val="0"/>
        <w:autoSpaceDN w:val="0"/>
        <w:adjustRightInd w:val="0"/>
        <w:spacing w:after="0" w:line="240" w:lineRule="auto"/>
        <w:rPr>
          <w:rFonts w:ascii="Times New Roman" w:hAnsi="Times New Roman"/>
          <w:color w:val="000000"/>
          <w:u w:val="single"/>
          <w:lang w:val="el-GR"/>
        </w:rPr>
      </w:pPr>
      <w:r w:rsidRPr="00C80A84">
        <w:rPr>
          <w:rFonts w:ascii="Times New Roman" w:hAnsi="Times New Roman"/>
          <w:color w:val="000000"/>
          <w:lang w:val="el-GR"/>
        </w:rPr>
        <w:t>Κάθε</w:t>
      </w:r>
      <w:r w:rsidRPr="00AB6031">
        <w:rPr>
          <w:rFonts w:ascii="Times New Roman" w:hAnsi="Times New Roman"/>
          <w:color w:val="000000"/>
          <w:lang w:val="el-GR"/>
        </w:rPr>
        <w:t xml:space="preserve"> </w:t>
      </w:r>
      <w:r w:rsidRPr="00C80A84">
        <w:rPr>
          <w:rFonts w:ascii="Times New Roman" w:hAnsi="Times New Roman"/>
          <w:color w:val="000000"/>
          <w:lang w:val="el-GR"/>
        </w:rPr>
        <w:t>γαστροανθεκτικό</w:t>
      </w:r>
      <w:r w:rsidRPr="00AB6031">
        <w:rPr>
          <w:rFonts w:ascii="Times New Roman" w:hAnsi="Times New Roman"/>
          <w:color w:val="000000"/>
          <w:lang w:val="el-GR"/>
        </w:rPr>
        <w:t xml:space="preserve"> </w:t>
      </w:r>
      <w:r w:rsidRPr="00C80A84">
        <w:rPr>
          <w:rFonts w:ascii="Times New Roman" w:hAnsi="Times New Roman"/>
          <w:color w:val="000000"/>
          <w:lang w:val="el-GR"/>
        </w:rPr>
        <w:t>δισκίο</w:t>
      </w:r>
      <w:r w:rsidRPr="00AB6031">
        <w:rPr>
          <w:rFonts w:ascii="Times New Roman" w:hAnsi="Times New Roman"/>
          <w:color w:val="000000"/>
          <w:lang w:val="el-GR"/>
        </w:rPr>
        <w:t xml:space="preserve"> </w:t>
      </w:r>
      <w:r w:rsidRPr="00C80A84">
        <w:rPr>
          <w:rFonts w:ascii="Times New Roman" w:hAnsi="Times New Roman"/>
          <w:color w:val="000000"/>
          <w:lang w:val="el-GR"/>
        </w:rPr>
        <w:t>περιέχει</w:t>
      </w:r>
      <w:r w:rsidR="005D7808" w:rsidRPr="00AB6031">
        <w:rPr>
          <w:rFonts w:ascii="Times New Roman" w:hAnsi="Times New Roman"/>
          <w:color w:val="000000"/>
          <w:lang w:val="el-GR"/>
        </w:rPr>
        <w:t xml:space="preserve"> 4</w:t>
      </w:r>
      <w:r w:rsidRPr="00AB6031">
        <w:rPr>
          <w:rFonts w:ascii="Times New Roman" w:hAnsi="Times New Roman"/>
          <w:color w:val="000000"/>
          <w:lang w:val="el-GR"/>
        </w:rPr>
        <w:t xml:space="preserve">0 </w:t>
      </w:r>
      <w:r w:rsidRPr="00C80A84">
        <w:rPr>
          <w:rFonts w:ascii="Times New Roman" w:hAnsi="Times New Roman"/>
          <w:color w:val="000000"/>
        </w:rPr>
        <w:t>mg</w:t>
      </w:r>
      <w:r w:rsidRPr="00AB6031">
        <w:rPr>
          <w:rFonts w:ascii="Times New Roman" w:hAnsi="Times New Roman"/>
          <w:color w:val="000000"/>
          <w:lang w:val="el-GR"/>
        </w:rPr>
        <w:t xml:space="preserve"> </w:t>
      </w:r>
      <w:r w:rsidRPr="00C80A84">
        <w:rPr>
          <w:rFonts w:ascii="Times New Roman" w:hAnsi="Times New Roman"/>
          <w:color w:val="000000"/>
          <w:lang w:val="el-GR"/>
        </w:rPr>
        <w:t>παντοπραζόλης</w:t>
      </w:r>
      <w:r w:rsidRPr="00AB6031">
        <w:rPr>
          <w:rFonts w:ascii="Times New Roman" w:hAnsi="Times New Roman"/>
          <w:color w:val="000000"/>
          <w:lang w:val="el-GR"/>
        </w:rPr>
        <w:t xml:space="preserve"> (</w:t>
      </w:r>
      <w:r w:rsidRPr="00C80A84">
        <w:rPr>
          <w:rFonts w:ascii="Times New Roman" w:hAnsi="Times New Roman"/>
          <w:color w:val="000000"/>
          <w:lang w:val="el-GR"/>
        </w:rPr>
        <w:t>ως</w:t>
      </w:r>
      <w:r w:rsidRPr="00AB6031">
        <w:rPr>
          <w:rFonts w:ascii="Times New Roman" w:hAnsi="Times New Roman"/>
          <w:color w:val="000000"/>
          <w:lang w:val="el-GR"/>
        </w:rPr>
        <w:t xml:space="preserve"> </w:t>
      </w:r>
      <w:proofErr w:type="spellStart"/>
      <w:r w:rsidRPr="00C80A84">
        <w:rPr>
          <w:rFonts w:ascii="Times New Roman" w:hAnsi="Times New Roman"/>
          <w:color w:val="000000"/>
        </w:rPr>
        <w:t>pantoprazole</w:t>
      </w:r>
      <w:proofErr w:type="spellEnd"/>
      <w:r w:rsidRPr="00AB6031">
        <w:rPr>
          <w:rFonts w:ascii="Times New Roman" w:hAnsi="Times New Roman"/>
          <w:color w:val="000000"/>
          <w:lang w:val="el-GR"/>
        </w:rPr>
        <w:t xml:space="preserve"> </w:t>
      </w:r>
      <w:r w:rsidRPr="00C80A84">
        <w:rPr>
          <w:rFonts w:ascii="Times New Roman" w:hAnsi="Times New Roman"/>
          <w:color w:val="000000"/>
        </w:rPr>
        <w:t>sodium</w:t>
      </w:r>
      <w:r w:rsidRPr="00AB6031">
        <w:rPr>
          <w:rFonts w:ascii="Times New Roman" w:hAnsi="Times New Roman"/>
          <w:color w:val="000000"/>
          <w:lang w:val="el-GR"/>
        </w:rPr>
        <w:t xml:space="preserve"> </w:t>
      </w:r>
      <w:proofErr w:type="spellStart"/>
      <w:r w:rsidRPr="00C80A84">
        <w:rPr>
          <w:rFonts w:ascii="Times New Roman" w:hAnsi="Times New Roman"/>
          <w:color w:val="000000"/>
        </w:rPr>
        <w:t>sesquihydrate</w:t>
      </w:r>
      <w:proofErr w:type="spellEnd"/>
      <w:r w:rsidRPr="00AB6031">
        <w:rPr>
          <w:rFonts w:ascii="Times New Roman" w:hAnsi="Times New Roman"/>
          <w:color w:val="000000"/>
          <w:lang w:val="el-GR"/>
        </w:rPr>
        <w:t>).</w:t>
      </w:r>
    </w:p>
    <w:p w:rsidR="00C80A84" w:rsidRPr="002A11C9" w:rsidRDefault="00C80A84" w:rsidP="00C80A84">
      <w:pPr>
        <w:autoSpaceDE w:val="0"/>
        <w:autoSpaceDN w:val="0"/>
        <w:adjustRightInd w:val="0"/>
        <w:spacing w:after="0" w:line="240" w:lineRule="auto"/>
        <w:rPr>
          <w:rFonts w:ascii="Times New Roman" w:hAnsi="Times New Roman"/>
          <w:color w:val="000000"/>
          <w:lang w:val="el-GR"/>
        </w:rPr>
      </w:pPr>
      <w:r w:rsidRPr="00C80A84">
        <w:rPr>
          <w:rFonts w:ascii="Times New Roman" w:hAnsi="Times New Roman"/>
          <w:color w:val="000000"/>
          <w:lang w:val="el-GR"/>
        </w:rPr>
        <w:t>Έκδοχο</w:t>
      </w:r>
      <w:r w:rsidRPr="002A11C9">
        <w:rPr>
          <w:rFonts w:ascii="Times New Roman" w:hAnsi="Times New Roman"/>
          <w:color w:val="000000"/>
          <w:lang w:val="el-GR"/>
        </w:rPr>
        <w:t>:</w:t>
      </w:r>
    </w:p>
    <w:p w:rsidR="00C80A84" w:rsidRPr="002A11C9" w:rsidRDefault="00C80A84" w:rsidP="00C80A84">
      <w:pPr>
        <w:autoSpaceDE w:val="0"/>
        <w:autoSpaceDN w:val="0"/>
        <w:adjustRightInd w:val="0"/>
        <w:spacing w:after="0" w:line="240" w:lineRule="auto"/>
        <w:rPr>
          <w:rFonts w:ascii="Times New Roman" w:hAnsi="Times New Roman"/>
          <w:color w:val="000000"/>
          <w:lang w:val="el-GR"/>
        </w:rPr>
      </w:pPr>
      <w:r w:rsidRPr="00C80A84">
        <w:rPr>
          <w:rFonts w:ascii="Times New Roman" w:hAnsi="Times New Roman"/>
          <w:color w:val="000000"/>
          <w:lang w:val="el-GR"/>
        </w:rPr>
        <w:t>Κάθε</w:t>
      </w:r>
      <w:r w:rsidRPr="002A11C9">
        <w:rPr>
          <w:rFonts w:ascii="Times New Roman" w:hAnsi="Times New Roman"/>
          <w:color w:val="000000"/>
          <w:lang w:val="el-GR"/>
        </w:rPr>
        <w:t xml:space="preserve"> </w:t>
      </w:r>
      <w:r w:rsidRPr="00C80A84">
        <w:rPr>
          <w:rFonts w:ascii="Times New Roman" w:hAnsi="Times New Roman"/>
          <w:color w:val="000000"/>
          <w:lang w:val="el-GR"/>
        </w:rPr>
        <w:t>γαστροανθεκτικό</w:t>
      </w:r>
      <w:r w:rsidRPr="002A11C9">
        <w:rPr>
          <w:rFonts w:ascii="Times New Roman" w:hAnsi="Times New Roman"/>
          <w:color w:val="000000"/>
          <w:lang w:val="el-GR"/>
        </w:rPr>
        <w:t xml:space="preserve"> </w:t>
      </w:r>
      <w:r w:rsidRPr="00C80A84">
        <w:rPr>
          <w:rFonts w:ascii="Times New Roman" w:hAnsi="Times New Roman"/>
          <w:color w:val="000000"/>
          <w:lang w:val="el-GR"/>
        </w:rPr>
        <w:t>δισκίο</w:t>
      </w:r>
      <w:r w:rsidR="00C41C4C" w:rsidRPr="002A11C9">
        <w:rPr>
          <w:rFonts w:ascii="Times New Roman" w:hAnsi="Times New Roman"/>
          <w:color w:val="000000"/>
          <w:lang w:val="el-GR"/>
        </w:rPr>
        <w:t xml:space="preserve"> </w:t>
      </w:r>
      <w:r w:rsidR="00C41C4C">
        <w:rPr>
          <w:rFonts w:ascii="Times New Roman" w:hAnsi="Times New Roman"/>
          <w:color w:val="000000"/>
        </w:rPr>
        <w:t>Pantoprazole</w:t>
      </w:r>
      <w:r w:rsidR="00C41C4C" w:rsidRPr="002A11C9">
        <w:rPr>
          <w:rFonts w:ascii="Times New Roman" w:hAnsi="Times New Roman"/>
          <w:color w:val="000000"/>
          <w:lang w:val="el-GR"/>
        </w:rPr>
        <w:t>/</w:t>
      </w:r>
      <w:r w:rsidR="00C13C97">
        <w:rPr>
          <w:rFonts w:ascii="Times New Roman" w:hAnsi="Times New Roman"/>
          <w:color w:val="000000"/>
        </w:rPr>
        <w:t>TAD</w:t>
      </w:r>
      <w:r w:rsidR="00C13C97" w:rsidRPr="002A11C9">
        <w:rPr>
          <w:rFonts w:ascii="Times New Roman" w:hAnsi="Times New Roman"/>
          <w:color w:val="000000"/>
          <w:lang w:val="el-GR"/>
        </w:rPr>
        <w:t xml:space="preserve"> 4</w:t>
      </w:r>
      <w:r w:rsidRPr="002A11C9">
        <w:rPr>
          <w:rFonts w:ascii="Times New Roman" w:hAnsi="Times New Roman"/>
          <w:color w:val="000000"/>
          <w:lang w:val="el-GR"/>
        </w:rPr>
        <w:t xml:space="preserve">0 </w:t>
      </w:r>
      <w:r w:rsidRPr="00C80A84">
        <w:rPr>
          <w:rFonts w:ascii="Times New Roman" w:hAnsi="Times New Roman"/>
          <w:color w:val="000000"/>
        </w:rPr>
        <w:t>mg</w:t>
      </w:r>
      <w:r w:rsidRPr="002A11C9">
        <w:rPr>
          <w:rFonts w:ascii="Times New Roman" w:hAnsi="Times New Roman"/>
          <w:color w:val="000000"/>
          <w:lang w:val="el-GR"/>
        </w:rPr>
        <w:t xml:space="preserve"> </w:t>
      </w:r>
      <w:r w:rsidRPr="00C80A84">
        <w:rPr>
          <w:rFonts w:ascii="Times New Roman" w:hAnsi="Times New Roman"/>
          <w:color w:val="000000"/>
          <w:lang w:val="el-GR"/>
        </w:rPr>
        <w:t>περιέχει</w:t>
      </w:r>
      <w:r w:rsidR="00C13C97" w:rsidRPr="002A11C9">
        <w:rPr>
          <w:rFonts w:ascii="Times New Roman" w:hAnsi="Times New Roman"/>
          <w:color w:val="000000"/>
          <w:lang w:val="el-GR"/>
        </w:rPr>
        <w:t xml:space="preserve"> 36</w:t>
      </w:r>
      <w:r w:rsidRPr="002A11C9">
        <w:rPr>
          <w:rFonts w:ascii="Times New Roman" w:hAnsi="Times New Roman"/>
          <w:color w:val="000000"/>
          <w:lang w:val="el-GR"/>
        </w:rPr>
        <w:t xml:space="preserve"> </w:t>
      </w:r>
      <w:r w:rsidRPr="00C80A84">
        <w:rPr>
          <w:rFonts w:ascii="Times New Roman" w:hAnsi="Times New Roman"/>
          <w:color w:val="000000"/>
        </w:rPr>
        <w:t>mg</w:t>
      </w:r>
      <w:r w:rsidRPr="002A11C9">
        <w:rPr>
          <w:rFonts w:ascii="Times New Roman" w:hAnsi="Times New Roman"/>
          <w:color w:val="000000"/>
          <w:lang w:val="el-GR"/>
        </w:rPr>
        <w:t xml:space="preserve"> </w:t>
      </w:r>
      <w:r w:rsidRPr="00C80A84">
        <w:rPr>
          <w:rFonts w:ascii="Times New Roman" w:hAnsi="Times New Roman"/>
          <w:color w:val="000000"/>
          <w:lang w:val="el-GR"/>
        </w:rPr>
        <w:t>σορβιτόλης</w:t>
      </w:r>
      <w:r w:rsidRPr="002A11C9">
        <w:rPr>
          <w:rFonts w:ascii="Times New Roman" w:hAnsi="Times New Roman"/>
          <w:color w:val="000000"/>
          <w:lang w:val="el-GR"/>
        </w:rPr>
        <w:t>.</w:t>
      </w:r>
    </w:p>
    <w:p w:rsidR="00C80A84" w:rsidRPr="00C80A84" w:rsidRDefault="00C80A84" w:rsidP="00C80A84">
      <w:pPr>
        <w:autoSpaceDE w:val="0"/>
        <w:autoSpaceDN w:val="0"/>
        <w:adjustRightInd w:val="0"/>
        <w:spacing w:after="0" w:line="240" w:lineRule="auto"/>
        <w:rPr>
          <w:rFonts w:ascii="Times New Roman" w:hAnsi="Times New Roman"/>
          <w:color w:val="000000"/>
          <w:lang w:val="el-GR"/>
        </w:rPr>
      </w:pPr>
      <w:r w:rsidRPr="00C80A84">
        <w:rPr>
          <w:rFonts w:ascii="Times New Roman" w:hAnsi="Times New Roman"/>
          <w:color w:val="000000"/>
          <w:lang w:val="el-GR"/>
        </w:rPr>
        <w:t>Για τον πλήρη κατάλογο των εκδόχων, βλ. παράγραφο 6.1.</w:t>
      </w:r>
    </w:p>
    <w:p w:rsidR="00C80A84" w:rsidRPr="002A11C9" w:rsidRDefault="00C80A84" w:rsidP="00C80A84">
      <w:pPr>
        <w:autoSpaceDE w:val="0"/>
        <w:autoSpaceDN w:val="0"/>
        <w:adjustRightInd w:val="0"/>
        <w:spacing w:after="0" w:line="240" w:lineRule="auto"/>
        <w:rPr>
          <w:rFonts w:ascii="Times New Roman" w:hAnsi="Times New Roman"/>
          <w:b/>
          <w:bCs/>
          <w:color w:val="000000"/>
          <w:lang w:val="el-GR"/>
        </w:rPr>
      </w:pPr>
    </w:p>
    <w:p w:rsidR="00C80A84" w:rsidRPr="00AB6031" w:rsidRDefault="00C80A84" w:rsidP="00C80A84">
      <w:pPr>
        <w:numPr>
          <w:ilvl w:val="0"/>
          <w:numId w:val="8"/>
        </w:numPr>
        <w:tabs>
          <w:tab w:val="num" w:pos="1004"/>
        </w:tabs>
        <w:autoSpaceDE w:val="0"/>
        <w:autoSpaceDN w:val="0"/>
        <w:adjustRightInd w:val="0"/>
        <w:spacing w:after="0" w:line="240" w:lineRule="auto"/>
        <w:ind w:left="540" w:hanging="540"/>
        <w:rPr>
          <w:rFonts w:ascii="Times New Roman" w:hAnsi="Times New Roman"/>
          <w:b/>
          <w:bCs/>
          <w:color w:val="000000"/>
          <w:lang w:val="el-GR"/>
        </w:rPr>
      </w:pPr>
      <w:r w:rsidRPr="00C80A84">
        <w:rPr>
          <w:rFonts w:ascii="Times New Roman" w:hAnsi="Times New Roman"/>
          <w:b/>
          <w:bCs/>
          <w:color w:val="000000"/>
          <w:lang w:val="el-GR"/>
        </w:rPr>
        <w:t>ΦΑΡΜΑΚΟΤΕΧΝΙΚΗ MOPΦΗ</w:t>
      </w:r>
    </w:p>
    <w:p w:rsidR="00C80A84" w:rsidRPr="00AB6031" w:rsidRDefault="00C80A84" w:rsidP="00C80A84">
      <w:pPr>
        <w:autoSpaceDE w:val="0"/>
        <w:autoSpaceDN w:val="0"/>
        <w:adjustRightInd w:val="0"/>
        <w:spacing w:after="0" w:line="240" w:lineRule="auto"/>
        <w:rPr>
          <w:rFonts w:ascii="Times New Roman" w:hAnsi="Times New Roman"/>
          <w:color w:val="000000"/>
        </w:rPr>
      </w:pPr>
      <w:r w:rsidRPr="00C80A84">
        <w:rPr>
          <w:rFonts w:ascii="Times New Roman" w:hAnsi="Times New Roman"/>
          <w:color w:val="000000"/>
          <w:lang w:val="el-GR"/>
        </w:rPr>
        <w:t>Γαστροανθεκτικό δισκίο.</w:t>
      </w:r>
    </w:p>
    <w:p w:rsidR="00C80A84" w:rsidRPr="00C80A84" w:rsidRDefault="00C80A84" w:rsidP="00C80A84">
      <w:pPr>
        <w:autoSpaceDE w:val="0"/>
        <w:autoSpaceDN w:val="0"/>
        <w:adjustRightInd w:val="0"/>
        <w:spacing w:after="0" w:line="240" w:lineRule="auto"/>
        <w:rPr>
          <w:rFonts w:ascii="Times New Roman" w:hAnsi="Times New Roman"/>
          <w:color w:val="000000"/>
          <w:lang w:val="el-GR"/>
        </w:rPr>
      </w:pPr>
      <w:r w:rsidRPr="00C80A84">
        <w:rPr>
          <w:rFonts w:ascii="Times New Roman" w:hAnsi="Times New Roman"/>
          <w:color w:val="000000"/>
          <w:lang w:val="el-GR"/>
        </w:rPr>
        <w:t>Ανοιχτό καφεκίτρινο, ωοειδές, ελαφρώς αμφίκυρτο δισκίο.</w:t>
      </w:r>
    </w:p>
    <w:p w:rsidR="00C80A84" w:rsidRPr="002A11C9" w:rsidRDefault="00C80A84" w:rsidP="00C80A84">
      <w:pPr>
        <w:autoSpaceDE w:val="0"/>
        <w:autoSpaceDN w:val="0"/>
        <w:adjustRightInd w:val="0"/>
        <w:spacing w:after="0" w:line="240" w:lineRule="auto"/>
        <w:rPr>
          <w:rFonts w:ascii="Times New Roman" w:hAnsi="Times New Roman"/>
          <w:b/>
          <w:bCs/>
          <w:color w:val="000000"/>
          <w:lang w:val="el-GR"/>
        </w:rPr>
      </w:pPr>
    </w:p>
    <w:p w:rsidR="00C80A84" w:rsidRPr="00AB6031" w:rsidRDefault="00C80A84" w:rsidP="00C80A84">
      <w:pPr>
        <w:numPr>
          <w:ilvl w:val="0"/>
          <w:numId w:val="8"/>
        </w:numPr>
        <w:tabs>
          <w:tab w:val="num" w:pos="1004"/>
        </w:tabs>
        <w:autoSpaceDE w:val="0"/>
        <w:autoSpaceDN w:val="0"/>
        <w:adjustRightInd w:val="0"/>
        <w:spacing w:after="0" w:line="240" w:lineRule="auto"/>
        <w:ind w:left="540" w:hanging="540"/>
        <w:rPr>
          <w:rFonts w:ascii="Times New Roman" w:hAnsi="Times New Roman"/>
          <w:b/>
          <w:bCs/>
          <w:color w:val="000000"/>
          <w:lang w:val="el-GR"/>
        </w:rPr>
      </w:pPr>
      <w:r w:rsidRPr="00C80A84">
        <w:rPr>
          <w:rFonts w:ascii="Times New Roman" w:hAnsi="Times New Roman"/>
          <w:b/>
          <w:bCs/>
          <w:color w:val="000000"/>
          <w:lang w:val="el-GR"/>
        </w:rPr>
        <w:t>KΛINIKΕΣ ΠΛΗΡΟΦΟΡΙΕΣ</w:t>
      </w:r>
    </w:p>
    <w:p w:rsidR="00C80A84" w:rsidRPr="00AB6031" w:rsidRDefault="00C80A84" w:rsidP="00C80A84">
      <w:pPr>
        <w:numPr>
          <w:ilvl w:val="1"/>
          <w:numId w:val="8"/>
        </w:numPr>
        <w:autoSpaceDE w:val="0"/>
        <w:autoSpaceDN w:val="0"/>
        <w:adjustRightInd w:val="0"/>
        <w:spacing w:after="0" w:line="240" w:lineRule="auto"/>
        <w:ind w:hanging="644"/>
        <w:rPr>
          <w:rFonts w:ascii="Times New Roman" w:hAnsi="Times New Roman"/>
          <w:b/>
          <w:bCs/>
          <w:color w:val="000000"/>
          <w:lang w:val="el-GR"/>
        </w:rPr>
      </w:pPr>
      <w:r w:rsidRPr="00C80A84">
        <w:rPr>
          <w:rFonts w:ascii="Times New Roman" w:hAnsi="Times New Roman"/>
          <w:b/>
          <w:bCs/>
          <w:color w:val="000000"/>
          <w:lang w:val="el-GR"/>
        </w:rPr>
        <w:t>Θεραπευτικές ενδείξεις</w:t>
      </w:r>
    </w:p>
    <w:p w:rsidR="00C80A84" w:rsidRPr="00C80A84" w:rsidRDefault="00C80A84" w:rsidP="00C80A84">
      <w:pPr>
        <w:autoSpaceDE w:val="0"/>
        <w:autoSpaceDN w:val="0"/>
        <w:adjustRightInd w:val="0"/>
        <w:spacing w:after="0" w:line="240" w:lineRule="auto"/>
        <w:rPr>
          <w:rFonts w:ascii="Times New Roman" w:hAnsi="Times New Roman"/>
          <w:i/>
          <w:iCs/>
          <w:color w:val="000000"/>
          <w:lang w:val="el-GR"/>
        </w:rPr>
      </w:pPr>
      <w:r w:rsidRPr="00C80A84">
        <w:rPr>
          <w:rFonts w:ascii="Times New Roman" w:hAnsi="Times New Roman"/>
          <w:i/>
          <w:iCs/>
          <w:color w:val="000000"/>
          <w:lang w:val="el-GR"/>
        </w:rPr>
        <w:t>Ενήλικες και έφηβοι ηλικίας 12 ετών και άνω</w:t>
      </w:r>
    </w:p>
    <w:p w:rsidR="00C80A84" w:rsidRPr="00C80A84" w:rsidRDefault="00C13C97" w:rsidP="00C13C97">
      <w:pPr>
        <w:autoSpaceDE w:val="0"/>
        <w:autoSpaceDN w:val="0"/>
        <w:adjustRightInd w:val="0"/>
        <w:spacing w:after="0" w:line="240" w:lineRule="auto"/>
        <w:rPr>
          <w:rFonts w:ascii="Times New Roman" w:hAnsi="Times New Roman"/>
          <w:bCs/>
          <w:color w:val="000000"/>
          <w:lang w:val="el-GR"/>
        </w:rPr>
      </w:pPr>
      <w:r>
        <w:rPr>
          <w:rFonts w:ascii="Times New Roman" w:hAnsi="Times New Roman"/>
          <w:bCs/>
          <w:color w:val="000000"/>
          <w:lang w:val="el-GR"/>
        </w:rPr>
        <w:t>-</w:t>
      </w:r>
      <w:r>
        <w:rPr>
          <w:rFonts w:ascii="Times New Roman" w:hAnsi="Times New Roman"/>
          <w:bCs/>
          <w:color w:val="000000"/>
          <w:lang w:val="el-GR"/>
        </w:rPr>
        <w:tab/>
        <w:t>Οισοφαγίτιδα</w:t>
      </w:r>
      <w:r w:rsidR="00C80A84" w:rsidRPr="00C80A84">
        <w:rPr>
          <w:rFonts w:ascii="Times New Roman" w:hAnsi="Times New Roman"/>
          <w:bCs/>
          <w:color w:val="000000"/>
          <w:lang w:val="el-GR"/>
        </w:rPr>
        <w:t xml:space="preserve"> από παλινδρόμηση.</w:t>
      </w:r>
    </w:p>
    <w:p w:rsidR="00C80A84" w:rsidRPr="00C80A84" w:rsidRDefault="00C80A84" w:rsidP="00C80A84">
      <w:pPr>
        <w:autoSpaceDE w:val="0"/>
        <w:autoSpaceDN w:val="0"/>
        <w:adjustRightInd w:val="0"/>
        <w:spacing w:after="0" w:line="240" w:lineRule="auto"/>
        <w:rPr>
          <w:rFonts w:ascii="Times New Roman" w:hAnsi="Times New Roman"/>
          <w:bCs/>
          <w:color w:val="000000"/>
          <w:lang w:val="el-GR"/>
        </w:rPr>
      </w:pPr>
    </w:p>
    <w:p w:rsidR="00C80A84" w:rsidRDefault="00C80A84" w:rsidP="00C80A84">
      <w:pPr>
        <w:autoSpaceDE w:val="0"/>
        <w:autoSpaceDN w:val="0"/>
        <w:adjustRightInd w:val="0"/>
        <w:spacing w:after="0" w:line="240" w:lineRule="auto"/>
        <w:rPr>
          <w:rFonts w:ascii="Times New Roman" w:hAnsi="Times New Roman"/>
          <w:bCs/>
          <w:i/>
          <w:iCs/>
          <w:color w:val="000000"/>
          <w:lang w:val="el-GR"/>
        </w:rPr>
      </w:pPr>
      <w:r w:rsidRPr="00C80A84">
        <w:rPr>
          <w:rFonts w:ascii="Times New Roman" w:hAnsi="Times New Roman"/>
          <w:bCs/>
          <w:i/>
          <w:iCs/>
          <w:color w:val="000000"/>
          <w:lang w:val="el-GR"/>
        </w:rPr>
        <w:t>Ενήλικες</w:t>
      </w:r>
    </w:p>
    <w:p w:rsidR="00C13C97" w:rsidRDefault="00C13C97" w:rsidP="001631FD">
      <w:pPr>
        <w:numPr>
          <w:ilvl w:val="0"/>
          <w:numId w:val="7"/>
        </w:numPr>
        <w:autoSpaceDE w:val="0"/>
        <w:autoSpaceDN w:val="0"/>
        <w:adjustRightInd w:val="0"/>
        <w:spacing w:after="0" w:line="240" w:lineRule="auto"/>
        <w:ind w:hanging="720"/>
        <w:rPr>
          <w:rFonts w:ascii="Times New Roman" w:hAnsi="Times New Roman"/>
          <w:i/>
          <w:color w:val="000000"/>
          <w:lang w:val="el-GR"/>
        </w:rPr>
      </w:pPr>
      <w:r>
        <w:rPr>
          <w:rFonts w:ascii="Times New Roman" w:hAnsi="Times New Roman"/>
          <w:color w:val="000000"/>
          <w:lang w:val="el-GR"/>
        </w:rPr>
        <w:t>Ε</w:t>
      </w:r>
      <w:r w:rsidRPr="00C13C97">
        <w:rPr>
          <w:rFonts w:ascii="Times New Roman" w:hAnsi="Times New Roman"/>
          <w:color w:val="000000"/>
          <w:lang w:val="el-GR"/>
        </w:rPr>
        <w:t xml:space="preserve">κρίζωση του </w:t>
      </w:r>
      <w:r w:rsidRPr="00C13C97">
        <w:rPr>
          <w:rFonts w:ascii="Times New Roman" w:hAnsi="Times New Roman"/>
          <w:i/>
          <w:color w:val="000000"/>
          <w:lang w:val="el-GR"/>
        </w:rPr>
        <w:t xml:space="preserve">Ελικοβακτηριδίου του πυλωρού </w:t>
      </w:r>
      <w:r w:rsidRPr="00C13C97">
        <w:rPr>
          <w:rFonts w:ascii="Times New Roman" w:hAnsi="Times New Roman"/>
          <w:color w:val="000000"/>
          <w:lang w:val="el-GR"/>
        </w:rPr>
        <w:t>σε συνδυασμό με το κατάλληλο θεραπε</w:t>
      </w:r>
      <w:r>
        <w:rPr>
          <w:rFonts w:ascii="Times New Roman" w:hAnsi="Times New Roman"/>
          <w:color w:val="000000"/>
          <w:lang w:val="el-GR"/>
        </w:rPr>
        <w:t xml:space="preserve">υτικό σχήμα αντιβιοτικών σε ασθενείς με έλκος που σχετίζεται με το </w:t>
      </w:r>
      <w:r w:rsidRPr="00C13C97">
        <w:rPr>
          <w:rFonts w:ascii="Times New Roman" w:hAnsi="Times New Roman"/>
          <w:i/>
          <w:color w:val="000000"/>
          <w:lang w:val="el-GR"/>
        </w:rPr>
        <w:t>Ελικοβακτηριδίου του πυλωρού</w:t>
      </w:r>
    </w:p>
    <w:p w:rsidR="00C13C97" w:rsidRPr="00C13C97" w:rsidRDefault="00C13C97" w:rsidP="001631FD">
      <w:pPr>
        <w:numPr>
          <w:ilvl w:val="0"/>
          <w:numId w:val="7"/>
        </w:numPr>
        <w:autoSpaceDE w:val="0"/>
        <w:autoSpaceDN w:val="0"/>
        <w:adjustRightInd w:val="0"/>
        <w:spacing w:after="0" w:line="240" w:lineRule="auto"/>
        <w:ind w:hanging="720"/>
        <w:rPr>
          <w:rFonts w:ascii="Times New Roman" w:hAnsi="Times New Roman"/>
          <w:color w:val="000000"/>
          <w:lang w:val="el-GR"/>
        </w:rPr>
      </w:pPr>
      <w:r>
        <w:rPr>
          <w:rFonts w:ascii="Times New Roman" w:hAnsi="Times New Roman"/>
          <w:bCs/>
          <w:color w:val="000000"/>
          <w:lang w:val="el-GR"/>
        </w:rPr>
        <w:t>Γαστρικά και δωδεκαδακτυλικά</w:t>
      </w:r>
      <w:r w:rsidRPr="00C80A84">
        <w:rPr>
          <w:rFonts w:ascii="Times New Roman" w:hAnsi="Times New Roman"/>
          <w:bCs/>
          <w:color w:val="000000"/>
          <w:lang w:val="el-GR"/>
        </w:rPr>
        <w:t xml:space="preserve"> </w:t>
      </w:r>
      <w:r>
        <w:rPr>
          <w:rFonts w:ascii="Times New Roman" w:hAnsi="Times New Roman"/>
          <w:bCs/>
          <w:color w:val="000000"/>
          <w:lang w:val="el-GR"/>
        </w:rPr>
        <w:t>έλκη</w:t>
      </w:r>
    </w:p>
    <w:p w:rsidR="00C13C97" w:rsidRPr="00C13C97" w:rsidRDefault="00C13C97" w:rsidP="001631FD">
      <w:pPr>
        <w:numPr>
          <w:ilvl w:val="0"/>
          <w:numId w:val="7"/>
        </w:numPr>
        <w:autoSpaceDE w:val="0"/>
        <w:autoSpaceDN w:val="0"/>
        <w:adjustRightInd w:val="0"/>
        <w:spacing w:after="0" w:line="240" w:lineRule="auto"/>
        <w:ind w:hanging="720"/>
        <w:rPr>
          <w:rFonts w:ascii="Times New Roman" w:hAnsi="Times New Roman"/>
          <w:color w:val="000000"/>
          <w:lang w:val="el-GR"/>
        </w:rPr>
      </w:pPr>
      <w:r w:rsidRPr="00C13C97">
        <w:rPr>
          <w:rFonts w:ascii="Times New Roman" w:hAnsi="Times New Roman"/>
          <w:color w:val="000000"/>
          <w:lang w:val="el-GR"/>
        </w:rPr>
        <w:t>Σ</w:t>
      </w:r>
      <w:r>
        <w:rPr>
          <w:rFonts w:ascii="Times New Roman" w:hAnsi="Times New Roman"/>
          <w:color w:val="000000"/>
          <w:lang w:val="el-GR"/>
        </w:rPr>
        <w:t>ύνδρομο</w:t>
      </w:r>
      <w:r w:rsidRPr="00C13C97">
        <w:rPr>
          <w:rFonts w:ascii="Times New Roman" w:hAnsi="Times New Roman"/>
          <w:color w:val="000000"/>
          <w:lang w:val="el-GR"/>
        </w:rPr>
        <w:t xml:space="preserve"> </w:t>
      </w:r>
      <w:proofErr w:type="spellStart"/>
      <w:r w:rsidRPr="00C13C97">
        <w:rPr>
          <w:rFonts w:ascii="Times New Roman" w:hAnsi="Times New Roman"/>
          <w:color w:val="000000"/>
        </w:rPr>
        <w:t>Zollinger</w:t>
      </w:r>
      <w:proofErr w:type="spellEnd"/>
      <w:r w:rsidRPr="00C13C97">
        <w:rPr>
          <w:rFonts w:ascii="Times New Roman" w:hAnsi="Times New Roman"/>
          <w:color w:val="000000"/>
          <w:lang w:val="el-GR"/>
        </w:rPr>
        <w:t xml:space="preserve"> </w:t>
      </w:r>
      <w:r w:rsidRPr="00C13C97">
        <w:rPr>
          <w:rFonts w:ascii="Times New Roman" w:hAnsi="Times New Roman"/>
          <w:color w:val="000000"/>
        </w:rPr>
        <w:t>Ellison</w:t>
      </w:r>
      <w:r>
        <w:rPr>
          <w:rFonts w:ascii="Times New Roman" w:hAnsi="Times New Roman"/>
          <w:color w:val="000000"/>
          <w:lang w:val="el-GR"/>
        </w:rPr>
        <w:t xml:space="preserve"> και άλλες </w:t>
      </w:r>
      <w:r w:rsidR="006E5228">
        <w:rPr>
          <w:rFonts w:ascii="Times New Roman" w:hAnsi="Times New Roman"/>
          <w:color w:val="000000"/>
          <w:lang w:val="el-GR"/>
        </w:rPr>
        <w:t xml:space="preserve">παθολογικές </w:t>
      </w:r>
      <w:r>
        <w:rPr>
          <w:rFonts w:ascii="Times New Roman" w:hAnsi="Times New Roman"/>
          <w:color w:val="000000"/>
          <w:lang w:val="el-GR"/>
        </w:rPr>
        <w:t xml:space="preserve">υπερεκκριτικές </w:t>
      </w:r>
      <w:r w:rsidR="006E5228">
        <w:rPr>
          <w:rFonts w:ascii="Times New Roman" w:hAnsi="Times New Roman"/>
          <w:color w:val="000000"/>
          <w:lang w:val="el-GR"/>
        </w:rPr>
        <w:t>καταστάσεις</w:t>
      </w:r>
      <w:r>
        <w:rPr>
          <w:rFonts w:ascii="Times New Roman" w:hAnsi="Times New Roman"/>
          <w:color w:val="000000"/>
          <w:lang w:val="el-GR"/>
        </w:rPr>
        <w:t>.</w:t>
      </w:r>
    </w:p>
    <w:p w:rsidR="00C80A84" w:rsidRPr="00C80A84" w:rsidRDefault="00C80A84" w:rsidP="00C80A84">
      <w:pPr>
        <w:autoSpaceDE w:val="0"/>
        <w:autoSpaceDN w:val="0"/>
        <w:adjustRightInd w:val="0"/>
        <w:spacing w:after="0" w:line="240" w:lineRule="auto"/>
        <w:rPr>
          <w:rFonts w:ascii="Times New Roman" w:hAnsi="Times New Roman"/>
          <w:bCs/>
          <w:color w:val="000000"/>
          <w:lang w:val="el-GR"/>
        </w:rPr>
      </w:pPr>
    </w:p>
    <w:p w:rsidR="00C80A84" w:rsidRPr="002A11C9" w:rsidRDefault="00D75C11" w:rsidP="00C80A84">
      <w:pPr>
        <w:autoSpaceDE w:val="0"/>
        <w:autoSpaceDN w:val="0"/>
        <w:adjustRightInd w:val="0"/>
        <w:spacing w:after="0" w:line="240" w:lineRule="auto"/>
        <w:rPr>
          <w:rFonts w:ascii="Times New Roman" w:hAnsi="Times New Roman"/>
          <w:b/>
          <w:bCs/>
          <w:color w:val="000000"/>
          <w:lang w:val="el-GR"/>
        </w:rPr>
      </w:pPr>
      <w:r>
        <w:rPr>
          <w:rFonts w:ascii="Times New Roman" w:hAnsi="Times New Roman"/>
          <w:b/>
          <w:bCs/>
          <w:color w:val="000000"/>
          <w:lang w:val="el-GR"/>
        </w:rPr>
        <w:t>4.2</w:t>
      </w:r>
      <w:r>
        <w:rPr>
          <w:rFonts w:ascii="Times New Roman" w:hAnsi="Times New Roman"/>
          <w:b/>
          <w:bCs/>
          <w:color w:val="000000"/>
          <w:lang w:val="el-GR"/>
        </w:rPr>
        <w:tab/>
      </w:r>
      <w:r w:rsidR="00C80A84" w:rsidRPr="00C80A84">
        <w:rPr>
          <w:rFonts w:ascii="Times New Roman" w:hAnsi="Times New Roman"/>
          <w:b/>
          <w:bCs/>
          <w:color w:val="000000"/>
          <w:lang w:val="el-GR"/>
        </w:rPr>
        <w:t>Δοσολογία και τρόπος χορήγησης</w:t>
      </w:r>
    </w:p>
    <w:p w:rsidR="00C80A84" w:rsidRPr="00C80A84" w:rsidRDefault="00C80A84" w:rsidP="00C80A84">
      <w:pPr>
        <w:autoSpaceDE w:val="0"/>
        <w:autoSpaceDN w:val="0"/>
        <w:adjustRightInd w:val="0"/>
        <w:spacing w:after="0" w:line="240" w:lineRule="auto"/>
        <w:rPr>
          <w:rFonts w:ascii="Times New Roman" w:hAnsi="Times New Roman"/>
          <w:bCs/>
          <w:color w:val="000000"/>
          <w:lang w:val="el-GR"/>
        </w:rPr>
      </w:pPr>
      <w:r w:rsidRPr="00C80A84">
        <w:rPr>
          <w:rFonts w:ascii="Times New Roman" w:hAnsi="Times New Roman"/>
          <w:bCs/>
          <w:color w:val="000000"/>
          <w:lang w:val="el-GR"/>
        </w:rPr>
        <w:t>Τα δισκία δεν πρέπει να μασώνται ή να θρυμματίζονται, και πρέπει να καταπίνονται ολόκληρα 1 ώρα προ του γεύματος με νερό.</w:t>
      </w:r>
    </w:p>
    <w:p w:rsidR="00C80A84" w:rsidRPr="00C80A84" w:rsidRDefault="00C80A84" w:rsidP="00C80A84">
      <w:pPr>
        <w:autoSpaceDE w:val="0"/>
        <w:autoSpaceDN w:val="0"/>
        <w:adjustRightInd w:val="0"/>
        <w:spacing w:after="0" w:line="240" w:lineRule="auto"/>
        <w:rPr>
          <w:rFonts w:ascii="Times New Roman" w:hAnsi="Times New Roman"/>
          <w:bCs/>
          <w:color w:val="000000"/>
          <w:lang w:val="el-GR"/>
        </w:rPr>
      </w:pPr>
    </w:p>
    <w:p w:rsidR="00C80A84" w:rsidRPr="00C80A84" w:rsidRDefault="00C80A84" w:rsidP="00C80A84">
      <w:pPr>
        <w:autoSpaceDE w:val="0"/>
        <w:autoSpaceDN w:val="0"/>
        <w:adjustRightInd w:val="0"/>
        <w:spacing w:after="0" w:line="240" w:lineRule="auto"/>
        <w:rPr>
          <w:rFonts w:ascii="Times New Roman" w:hAnsi="Times New Roman"/>
          <w:b/>
          <w:bCs/>
          <w:i/>
          <w:iCs/>
          <w:color w:val="000000"/>
          <w:u w:val="single"/>
          <w:lang w:val="el-GR"/>
        </w:rPr>
      </w:pPr>
      <w:r w:rsidRPr="00C80A84">
        <w:rPr>
          <w:rFonts w:ascii="Times New Roman" w:hAnsi="Times New Roman"/>
          <w:b/>
          <w:bCs/>
          <w:i/>
          <w:iCs/>
          <w:color w:val="000000"/>
          <w:u w:val="single"/>
          <w:lang w:val="el-GR"/>
        </w:rPr>
        <w:t>Συνιστώμενη δόση</w:t>
      </w:r>
    </w:p>
    <w:p w:rsidR="00C80A84" w:rsidRPr="00C80A84" w:rsidRDefault="00C80A84" w:rsidP="00C80A84">
      <w:pPr>
        <w:autoSpaceDE w:val="0"/>
        <w:autoSpaceDN w:val="0"/>
        <w:adjustRightInd w:val="0"/>
        <w:spacing w:after="0" w:line="240" w:lineRule="auto"/>
        <w:rPr>
          <w:rFonts w:ascii="Times New Roman" w:hAnsi="Times New Roman"/>
          <w:b/>
          <w:bCs/>
          <w:color w:val="000000"/>
          <w:lang w:val="el-GR"/>
        </w:rPr>
      </w:pPr>
    </w:p>
    <w:p w:rsidR="00C80A84" w:rsidRPr="00C80A84" w:rsidRDefault="00C80A84" w:rsidP="00C80A84">
      <w:pPr>
        <w:spacing w:after="0" w:line="240" w:lineRule="auto"/>
        <w:rPr>
          <w:rFonts w:ascii="Times New Roman" w:eastAsia="Times New Roman" w:hAnsi="Times New Roman"/>
          <w:b/>
          <w:i/>
          <w:iCs/>
          <w:color w:val="000000"/>
          <w:lang w:val="el-GR" w:eastAsia="el-GR"/>
        </w:rPr>
      </w:pPr>
      <w:r w:rsidRPr="00C80A84">
        <w:rPr>
          <w:rFonts w:ascii="Times New Roman" w:eastAsia="Times New Roman" w:hAnsi="Times New Roman"/>
          <w:b/>
          <w:i/>
          <w:iCs/>
          <w:color w:val="000000"/>
          <w:lang w:val="el-GR" w:eastAsia="el-GR"/>
        </w:rPr>
        <w:t>Ενήλικες και έφηβοι ηλικίας 12 ετών και άνω</w:t>
      </w:r>
    </w:p>
    <w:p w:rsidR="00C80A84" w:rsidRPr="00C80A84" w:rsidRDefault="00C13C97" w:rsidP="00C80A84">
      <w:pPr>
        <w:autoSpaceDE w:val="0"/>
        <w:autoSpaceDN w:val="0"/>
        <w:adjustRightInd w:val="0"/>
        <w:spacing w:after="0" w:line="240" w:lineRule="auto"/>
        <w:rPr>
          <w:rFonts w:ascii="Times New Roman" w:hAnsi="Times New Roman"/>
          <w:bCs/>
          <w:color w:val="000000"/>
          <w:u w:val="single"/>
          <w:lang w:val="el-GR"/>
        </w:rPr>
      </w:pPr>
      <w:r>
        <w:rPr>
          <w:rFonts w:ascii="Times New Roman" w:hAnsi="Times New Roman"/>
          <w:bCs/>
          <w:color w:val="000000"/>
          <w:u w:val="single"/>
          <w:lang w:val="el-GR"/>
        </w:rPr>
        <w:t>Οισοφαγίτιδα</w:t>
      </w:r>
      <w:r w:rsidR="00C80A84" w:rsidRPr="00C80A84">
        <w:rPr>
          <w:rFonts w:ascii="Times New Roman" w:hAnsi="Times New Roman"/>
          <w:bCs/>
          <w:color w:val="000000"/>
          <w:u w:val="single"/>
          <w:lang w:val="el-GR"/>
        </w:rPr>
        <w:t xml:space="preserve"> από παλινδρόμηση</w:t>
      </w:r>
    </w:p>
    <w:p w:rsidR="00C80A84" w:rsidRPr="00C80A84" w:rsidRDefault="00C13C97" w:rsidP="00C13C97">
      <w:pPr>
        <w:spacing w:after="0" w:line="240" w:lineRule="auto"/>
        <w:rPr>
          <w:rFonts w:ascii="Times New Roman" w:eastAsia="Times New Roman" w:hAnsi="Times New Roman"/>
          <w:color w:val="000000"/>
          <w:lang w:val="el-GR" w:eastAsia="el-GR"/>
        </w:rPr>
      </w:pPr>
      <w:r>
        <w:rPr>
          <w:rFonts w:ascii="Times New Roman" w:eastAsia="Times New Roman" w:hAnsi="Times New Roman"/>
          <w:color w:val="000000"/>
          <w:lang w:val="el-GR" w:eastAsia="el-GR"/>
        </w:rPr>
        <w:t>Ένα δισκίο</w:t>
      </w:r>
      <w:r w:rsidR="00C80A84" w:rsidRPr="00C80A84">
        <w:rPr>
          <w:rFonts w:ascii="Times New Roman" w:hAnsi="Times New Roman"/>
          <w:color w:val="000000"/>
          <w:lang w:val="el-GR"/>
        </w:rPr>
        <w:t xml:space="preserve"> </w:t>
      </w:r>
      <w:r w:rsidR="00C80A84" w:rsidRPr="00C80A84">
        <w:rPr>
          <w:rFonts w:ascii="Times New Roman" w:hAnsi="Times New Roman"/>
          <w:color w:val="000000"/>
        </w:rPr>
        <w:t>Pantoprazole</w:t>
      </w:r>
      <w:r w:rsidR="00C41C4C" w:rsidRPr="00C41C4C">
        <w:rPr>
          <w:rFonts w:ascii="Times New Roman" w:hAnsi="Times New Roman"/>
          <w:color w:val="000000"/>
          <w:lang w:val="el-GR"/>
        </w:rPr>
        <w:t>/</w:t>
      </w:r>
      <w:r w:rsidR="00C80A84" w:rsidRPr="00C80A84">
        <w:rPr>
          <w:rFonts w:ascii="Times New Roman" w:hAnsi="Times New Roman"/>
          <w:color w:val="000000"/>
        </w:rPr>
        <w:t>TAD</w:t>
      </w:r>
      <w:r>
        <w:rPr>
          <w:rFonts w:ascii="Times New Roman" w:hAnsi="Times New Roman"/>
          <w:color w:val="000000"/>
          <w:lang w:val="el-GR"/>
        </w:rPr>
        <w:t xml:space="preserve"> </w:t>
      </w:r>
      <w:r w:rsidR="00C80A84" w:rsidRPr="00C80A84">
        <w:rPr>
          <w:rFonts w:ascii="Times New Roman" w:hAnsi="Times New Roman"/>
          <w:color w:val="000000"/>
          <w:lang w:val="el-GR"/>
        </w:rPr>
        <w:t>την ημέρα</w:t>
      </w:r>
      <w:r>
        <w:rPr>
          <w:rFonts w:ascii="Times New Roman" w:hAnsi="Times New Roman"/>
          <w:color w:val="000000"/>
          <w:lang w:val="el-GR"/>
        </w:rPr>
        <w:t xml:space="preserve">. Σε μεμονωμένες περιπτώσεις η δόση μπορεί να διπλασιαστεί (αύξηση σε 2 δισκία </w:t>
      </w:r>
      <w:r w:rsidRPr="00C80A84">
        <w:rPr>
          <w:rFonts w:ascii="Times New Roman" w:hAnsi="Times New Roman"/>
          <w:color w:val="000000"/>
        </w:rPr>
        <w:t>Pantoprazole</w:t>
      </w:r>
      <w:r w:rsidR="00C41C4C" w:rsidRPr="00C41C4C">
        <w:rPr>
          <w:rFonts w:ascii="Times New Roman" w:hAnsi="Times New Roman"/>
          <w:color w:val="000000"/>
          <w:lang w:val="el-GR"/>
        </w:rPr>
        <w:t>/</w:t>
      </w:r>
      <w:r w:rsidRPr="00C80A84">
        <w:rPr>
          <w:rFonts w:ascii="Times New Roman" w:hAnsi="Times New Roman"/>
          <w:color w:val="000000"/>
        </w:rPr>
        <w:t>TAD</w:t>
      </w:r>
      <w:r>
        <w:rPr>
          <w:rFonts w:ascii="Times New Roman" w:hAnsi="Times New Roman"/>
          <w:color w:val="000000"/>
          <w:lang w:val="el-GR"/>
        </w:rPr>
        <w:t xml:space="preserve"> </w:t>
      </w:r>
      <w:r w:rsidRPr="00C80A84">
        <w:rPr>
          <w:rFonts w:ascii="Times New Roman" w:hAnsi="Times New Roman"/>
          <w:color w:val="000000"/>
          <w:lang w:val="el-GR"/>
        </w:rPr>
        <w:t>την ημέρα</w:t>
      </w:r>
      <w:r>
        <w:rPr>
          <w:rFonts w:ascii="Times New Roman" w:hAnsi="Times New Roman"/>
          <w:color w:val="000000"/>
          <w:lang w:val="el-GR"/>
        </w:rPr>
        <w:t>) ειδικά όταν δεν έχει υπάρξει ανταπόκριση σε άλλη θεραπεία. Απαιτείται συνήθως μία περίοδος 4 εβδομάδων για τη θεραπεία της οισοφαγίτιδας από παλινδρόμηση. Εάν αυτό δεν είναι αρκετό, η επούλωση θα επιτευχθεί συνήθως εντός 4 επιπλέον εβδομάδων.</w:t>
      </w:r>
      <w:r w:rsidR="00C80A84" w:rsidRPr="00C80A84">
        <w:rPr>
          <w:rFonts w:ascii="Times New Roman" w:hAnsi="Times New Roman"/>
          <w:color w:val="000000"/>
          <w:lang w:val="el-GR"/>
        </w:rPr>
        <w:t xml:space="preserve"> </w:t>
      </w:r>
    </w:p>
    <w:p w:rsidR="00C80A84" w:rsidRPr="00C80A84" w:rsidRDefault="00C80A84" w:rsidP="00C80A84">
      <w:pPr>
        <w:spacing w:after="0" w:line="240" w:lineRule="auto"/>
        <w:ind w:firstLine="720"/>
        <w:rPr>
          <w:rFonts w:ascii="Times New Roman" w:eastAsia="Times New Roman" w:hAnsi="Times New Roman"/>
          <w:color w:val="000000"/>
          <w:lang w:val="el-GR" w:eastAsia="el-GR"/>
        </w:rPr>
      </w:pPr>
    </w:p>
    <w:p w:rsidR="00950C28" w:rsidRPr="002A11C9" w:rsidRDefault="00C80A84" w:rsidP="00C80A84">
      <w:pPr>
        <w:spacing w:after="0" w:line="240" w:lineRule="auto"/>
        <w:rPr>
          <w:rFonts w:ascii="Times New Roman" w:eastAsia="Times New Roman" w:hAnsi="Times New Roman"/>
          <w:b/>
          <w:i/>
          <w:iCs/>
          <w:color w:val="000000"/>
          <w:lang w:val="el-GR" w:eastAsia="el-GR"/>
        </w:rPr>
      </w:pPr>
      <w:r w:rsidRPr="00C80A84">
        <w:rPr>
          <w:rFonts w:ascii="Times New Roman" w:eastAsia="Times New Roman" w:hAnsi="Times New Roman"/>
          <w:b/>
          <w:i/>
          <w:iCs/>
          <w:color w:val="000000"/>
          <w:lang w:val="el-GR" w:eastAsia="el-GR"/>
        </w:rPr>
        <w:t>Ενήλικες</w:t>
      </w:r>
    </w:p>
    <w:p w:rsidR="00C80A84" w:rsidRPr="00950C28" w:rsidRDefault="00950C28" w:rsidP="00C80A84">
      <w:pPr>
        <w:spacing w:after="0" w:line="240" w:lineRule="auto"/>
        <w:rPr>
          <w:rFonts w:ascii="Times New Roman" w:hAnsi="Times New Roman"/>
          <w:color w:val="000000"/>
          <w:u w:val="single"/>
          <w:lang w:val="el-GR"/>
        </w:rPr>
      </w:pPr>
      <w:r w:rsidRPr="00950C28">
        <w:rPr>
          <w:rFonts w:ascii="Times New Roman" w:hAnsi="Times New Roman"/>
          <w:color w:val="000000"/>
          <w:u w:val="single"/>
          <w:lang w:val="el-GR"/>
        </w:rPr>
        <w:t xml:space="preserve">Εκρίζωση του </w:t>
      </w:r>
      <w:r w:rsidRPr="00950C28">
        <w:rPr>
          <w:rFonts w:ascii="Times New Roman" w:hAnsi="Times New Roman"/>
          <w:i/>
          <w:color w:val="000000"/>
          <w:u w:val="single"/>
          <w:lang w:val="el-GR"/>
        </w:rPr>
        <w:t xml:space="preserve">Ελικοβακτηριδίου του πυλωρού </w:t>
      </w:r>
      <w:r w:rsidRPr="00950C28">
        <w:rPr>
          <w:rFonts w:ascii="Times New Roman" w:hAnsi="Times New Roman"/>
          <w:color w:val="000000"/>
          <w:u w:val="single"/>
          <w:lang w:val="el-GR"/>
        </w:rPr>
        <w:t>σε συνδυασμό με δύο κατάλληλα αντιβιοτικά</w:t>
      </w:r>
    </w:p>
    <w:p w:rsidR="00950C28" w:rsidRPr="00950C28" w:rsidRDefault="00950C28" w:rsidP="005E3AE6">
      <w:pPr>
        <w:spacing w:after="0" w:line="240" w:lineRule="auto"/>
        <w:rPr>
          <w:rFonts w:ascii="Times New Roman" w:eastAsia="Times New Roman" w:hAnsi="Times New Roman"/>
          <w:iCs/>
          <w:color w:val="000000"/>
          <w:lang w:val="el-GR" w:eastAsia="el-GR"/>
        </w:rPr>
      </w:pPr>
      <w:r>
        <w:rPr>
          <w:rFonts w:ascii="Times New Roman" w:eastAsia="Times New Roman" w:hAnsi="Times New Roman"/>
          <w:color w:val="000000"/>
          <w:lang w:val="el-GR" w:eastAsia="el-GR"/>
        </w:rPr>
        <w:t>Σε ασθενείς με γαστρικά και δωδεκαδακτυλικά έλκη</w:t>
      </w:r>
      <w:r w:rsidR="006E5228">
        <w:rPr>
          <w:rFonts w:ascii="Times New Roman" w:eastAsia="Times New Roman" w:hAnsi="Times New Roman"/>
          <w:color w:val="000000"/>
          <w:lang w:val="el-GR" w:eastAsia="el-GR"/>
        </w:rPr>
        <w:t>, που είναι</w:t>
      </w:r>
      <w:r>
        <w:rPr>
          <w:rFonts w:ascii="Times New Roman" w:eastAsia="Times New Roman" w:hAnsi="Times New Roman"/>
          <w:color w:val="000000"/>
          <w:lang w:val="el-GR" w:eastAsia="el-GR"/>
        </w:rPr>
        <w:t xml:space="preserve"> θετικ</w:t>
      </w:r>
      <w:r w:rsidR="006E5228">
        <w:rPr>
          <w:rFonts w:ascii="Times New Roman" w:eastAsia="Times New Roman" w:hAnsi="Times New Roman"/>
          <w:color w:val="000000"/>
          <w:lang w:val="el-GR" w:eastAsia="el-GR"/>
        </w:rPr>
        <w:t>οί</w:t>
      </w:r>
      <w:r>
        <w:rPr>
          <w:rFonts w:ascii="Times New Roman" w:eastAsia="Times New Roman" w:hAnsi="Times New Roman"/>
          <w:color w:val="000000"/>
          <w:lang w:val="el-GR" w:eastAsia="el-GR"/>
        </w:rPr>
        <w:t xml:space="preserve"> στο </w:t>
      </w:r>
      <w:r w:rsidR="005E3AE6">
        <w:rPr>
          <w:rFonts w:ascii="Times New Roman" w:hAnsi="Times New Roman"/>
          <w:i/>
          <w:color w:val="000000"/>
          <w:lang w:val="el-GR"/>
        </w:rPr>
        <w:t>Ελικοβακτηρίδι</w:t>
      </w:r>
      <w:r w:rsidRPr="00950C28">
        <w:rPr>
          <w:rFonts w:ascii="Times New Roman" w:hAnsi="Times New Roman"/>
          <w:i/>
          <w:color w:val="000000"/>
          <w:lang w:val="el-GR"/>
        </w:rPr>
        <w:t>ο του πυλωρού</w:t>
      </w:r>
      <w:r>
        <w:rPr>
          <w:rFonts w:ascii="Times New Roman" w:hAnsi="Times New Roman"/>
          <w:i/>
          <w:color w:val="000000"/>
          <w:lang w:val="el-GR"/>
        </w:rPr>
        <w:t xml:space="preserve">, </w:t>
      </w:r>
      <w:r>
        <w:rPr>
          <w:rFonts w:ascii="Times New Roman" w:hAnsi="Times New Roman"/>
          <w:iCs/>
          <w:color w:val="000000"/>
          <w:lang w:val="el-GR"/>
        </w:rPr>
        <w:t>πρέπει να επιτευχθεί εκρίζωση του βακτηρί</w:t>
      </w:r>
      <w:r w:rsidR="006E5228">
        <w:rPr>
          <w:rFonts w:ascii="Times New Roman" w:hAnsi="Times New Roman"/>
          <w:iCs/>
          <w:color w:val="000000"/>
          <w:lang w:val="el-GR"/>
        </w:rPr>
        <w:t>ο</w:t>
      </w:r>
      <w:r w:rsidR="00C41C4C">
        <w:rPr>
          <w:rFonts w:ascii="Times New Roman" w:hAnsi="Times New Roman"/>
          <w:iCs/>
          <w:color w:val="000000"/>
          <w:lang w:val="el-GR"/>
        </w:rPr>
        <w:t>υ</w:t>
      </w:r>
      <w:r>
        <w:rPr>
          <w:rFonts w:ascii="Times New Roman" w:hAnsi="Times New Roman"/>
          <w:iCs/>
          <w:color w:val="000000"/>
          <w:lang w:val="el-GR"/>
        </w:rPr>
        <w:t xml:space="preserve"> με </w:t>
      </w:r>
      <w:r w:rsidR="006E5228">
        <w:rPr>
          <w:rFonts w:ascii="Times New Roman" w:hAnsi="Times New Roman"/>
          <w:iCs/>
          <w:color w:val="000000"/>
          <w:lang w:val="el-GR"/>
        </w:rPr>
        <w:t>μια θεραπεία συνδυασμού</w:t>
      </w:r>
      <w:r>
        <w:rPr>
          <w:rFonts w:ascii="Times New Roman" w:hAnsi="Times New Roman"/>
          <w:iCs/>
          <w:color w:val="000000"/>
          <w:lang w:val="el-GR"/>
        </w:rPr>
        <w:t>. Πρέπε</w:t>
      </w:r>
      <w:r w:rsidR="006E5228">
        <w:rPr>
          <w:rFonts w:ascii="Times New Roman" w:hAnsi="Times New Roman"/>
          <w:iCs/>
          <w:color w:val="000000"/>
          <w:lang w:val="el-GR"/>
        </w:rPr>
        <w:t>ι</w:t>
      </w:r>
      <w:r>
        <w:rPr>
          <w:rFonts w:ascii="Times New Roman" w:hAnsi="Times New Roman"/>
          <w:iCs/>
          <w:color w:val="000000"/>
          <w:lang w:val="el-GR"/>
        </w:rPr>
        <w:t xml:space="preserve"> να λαμβάνονται υπόψη οι επίσημες τοπικές οδηγίες (π.χ. εθνικές συστάσεις) σχετικά με τη βακτηριακή αν</w:t>
      </w:r>
      <w:r w:rsidR="006E5228">
        <w:rPr>
          <w:rFonts w:ascii="Times New Roman" w:hAnsi="Times New Roman"/>
          <w:iCs/>
          <w:color w:val="000000"/>
          <w:lang w:val="el-GR"/>
        </w:rPr>
        <w:t>τοχή</w:t>
      </w:r>
      <w:r>
        <w:rPr>
          <w:rFonts w:ascii="Times New Roman" w:hAnsi="Times New Roman"/>
          <w:iCs/>
          <w:color w:val="000000"/>
          <w:lang w:val="el-GR"/>
        </w:rPr>
        <w:t xml:space="preserve"> και την κατάλληλη χρήση και συνταγογράφηση των αντιβακτηριακών παραγόντων. Ανάλογα με το </w:t>
      </w:r>
      <w:r w:rsidR="006E5228">
        <w:rPr>
          <w:rFonts w:ascii="Times New Roman" w:hAnsi="Times New Roman"/>
          <w:iCs/>
          <w:color w:val="000000"/>
          <w:lang w:val="el-GR"/>
        </w:rPr>
        <w:t>προφίλ αντοχής</w:t>
      </w:r>
      <w:r>
        <w:rPr>
          <w:rFonts w:ascii="Times New Roman" w:hAnsi="Times New Roman"/>
          <w:iCs/>
          <w:color w:val="000000"/>
          <w:lang w:val="el-GR"/>
        </w:rPr>
        <w:t xml:space="preserve">, </w:t>
      </w:r>
      <w:r w:rsidR="006E5228">
        <w:rPr>
          <w:rFonts w:ascii="Times New Roman" w:hAnsi="Times New Roman"/>
          <w:iCs/>
          <w:color w:val="000000"/>
          <w:lang w:val="el-GR"/>
        </w:rPr>
        <w:t xml:space="preserve">μπορούν να συσταθούν </w:t>
      </w:r>
      <w:r>
        <w:rPr>
          <w:rFonts w:ascii="Times New Roman" w:hAnsi="Times New Roman"/>
          <w:iCs/>
          <w:color w:val="000000"/>
          <w:lang w:val="el-GR"/>
        </w:rPr>
        <w:t xml:space="preserve">οι ακόλουθοι συνδυασμοί για την εκρίζωση του </w:t>
      </w:r>
      <w:r w:rsidRPr="00950C28">
        <w:rPr>
          <w:rFonts w:ascii="Times New Roman" w:hAnsi="Times New Roman"/>
          <w:i/>
          <w:color w:val="000000"/>
          <w:lang w:val="el-GR"/>
        </w:rPr>
        <w:t xml:space="preserve">Ελικοβακτηριδίου του πυλωρού: </w:t>
      </w:r>
    </w:p>
    <w:p w:rsidR="00950C28" w:rsidRDefault="00950C28" w:rsidP="00C80A84">
      <w:pPr>
        <w:spacing w:after="0" w:line="240" w:lineRule="auto"/>
        <w:rPr>
          <w:rFonts w:ascii="Times New Roman" w:eastAsia="Times New Roman" w:hAnsi="Times New Roman"/>
          <w:i/>
          <w:iCs/>
          <w:color w:val="000000"/>
          <w:u w:val="single"/>
          <w:lang w:val="el-GR" w:eastAsia="el-GR"/>
        </w:rPr>
      </w:pPr>
    </w:p>
    <w:p w:rsidR="00950C28" w:rsidRPr="00950C28" w:rsidRDefault="00950C28" w:rsidP="00C80A84">
      <w:pPr>
        <w:spacing w:after="0" w:line="240" w:lineRule="auto"/>
        <w:rPr>
          <w:rFonts w:ascii="Times New Roman" w:hAnsi="Times New Roman"/>
          <w:color w:val="000000"/>
          <w:lang w:val="el-GR"/>
        </w:rPr>
      </w:pPr>
      <w:r w:rsidRPr="00950C28">
        <w:rPr>
          <w:rFonts w:ascii="Times New Roman" w:eastAsia="Times New Roman" w:hAnsi="Times New Roman"/>
          <w:color w:val="000000"/>
          <w:lang w:val="el-GR" w:eastAsia="el-GR"/>
        </w:rPr>
        <w:t xml:space="preserve">α) </w:t>
      </w:r>
      <w:r w:rsidRPr="00950C28">
        <w:rPr>
          <w:rFonts w:ascii="Times New Roman" w:eastAsia="Times New Roman" w:hAnsi="Times New Roman"/>
          <w:color w:val="000000"/>
          <w:lang w:val="el-GR" w:eastAsia="el-GR"/>
        </w:rPr>
        <w:tab/>
        <w:t xml:space="preserve">δύο φορές ημερησίως ένα δισκίο </w:t>
      </w:r>
      <w:r w:rsidRPr="00950C28">
        <w:rPr>
          <w:rFonts w:ascii="Times New Roman" w:hAnsi="Times New Roman"/>
          <w:color w:val="000000"/>
        </w:rPr>
        <w:t>Pantoprazole</w:t>
      </w:r>
      <w:r w:rsidR="00C41C4C">
        <w:rPr>
          <w:rFonts w:ascii="Times New Roman" w:hAnsi="Times New Roman"/>
          <w:color w:val="000000"/>
          <w:lang w:val="el-GR"/>
        </w:rPr>
        <w:t>/</w:t>
      </w:r>
      <w:r w:rsidRPr="00950C28">
        <w:rPr>
          <w:rFonts w:ascii="Times New Roman" w:hAnsi="Times New Roman"/>
          <w:color w:val="000000"/>
        </w:rPr>
        <w:t>TAD</w:t>
      </w:r>
    </w:p>
    <w:p w:rsidR="00950C28" w:rsidRDefault="00950C28" w:rsidP="00C80A84">
      <w:pPr>
        <w:spacing w:after="0" w:line="240" w:lineRule="auto"/>
        <w:rPr>
          <w:rFonts w:ascii="Times New Roman" w:eastAsia="Times New Roman" w:hAnsi="Times New Roman"/>
          <w:color w:val="000000"/>
          <w:lang w:val="el-GR" w:eastAsia="el-GR"/>
        </w:rPr>
      </w:pPr>
      <w:r w:rsidRPr="00950C28">
        <w:rPr>
          <w:rFonts w:ascii="Times New Roman" w:eastAsia="Times New Roman" w:hAnsi="Times New Roman"/>
          <w:i/>
          <w:iCs/>
          <w:color w:val="000000"/>
          <w:lang w:val="el-GR" w:eastAsia="el-GR"/>
        </w:rPr>
        <w:tab/>
      </w:r>
      <w:r>
        <w:rPr>
          <w:rFonts w:ascii="Times New Roman" w:eastAsia="Times New Roman" w:hAnsi="Times New Roman"/>
          <w:color w:val="000000"/>
          <w:lang w:val="el-GR" w:eastAsia="el-GR"/>
        </w:rPr>
        <w:t xml:space="preserve">+ </w:t>
      </w:r>
      <w:r w:rsidRPr="00950C28">
        <w:rPr>
          <w:rFonts w:ascii="Times New Roman" w:eastAsia="Times New Roman" w:hAnsi="Times New Roman"/>
          <w:color w:val="000000"/>
          <w:lang w:val="el-GR" w:eastAsia="el-GR"/>
        </w:rPr>
        <w:t>δύο φορές ημερησίως</w:t>
      </w:r>
      <w:r>
        <w:rPr>
          <w:rFonts w:ascii="Times New Roman" w:eastAsia="Times New Roman" w:hAnsi="Times New Roman"/>
          <w:color w:val="000000"/>
          <w:lang w:val="el-GR" w:eastAsia="el-GR"/>
        </w:rPr>
        <w:t xml:space="preserve"> 1000 </w:t>
      </w:r>
      <w:r>
        <w:rPr>
          <w:rFonts w:ascii="Times New Roman" w:eastAsia="Times New Roman" w:hAnsi="Times New Roman"/>
          <w:color w:val="000000"/>
          <w:lang w:eastAsia="el-GR"/>
        </w:rPr>
        <w:t>mg</w:t>
      </w:r>
      <w:r w:rsidRPr="002A11C9">
        <w:rPr>
          <w:rFonts w:ascii="Times New Roman" w:eastAsia="Times New Roman" w:hAnsi="Times New Roman"/>
          <w:color w:val="000000"/>
          <w:lang w:val="el-GR" w:eastAsia="el-GR"/>
        </w:rPr>
        <w:t xml:space="preserve"> </w:t>
      </w:r>
      <w:r>
        <w:rPr>
          <w:rFonts w:ascii="Times New Roman" w:eastAsia="Times New Roman" w:hAnsi="Times New Roman"/>
          <w:color w:val="000000"/>
          <w:lang w:val="el-GR" w:eastAsia="el-GR"/>
        </w:rPr>
        <w:t>αμοξικιλλίνης</w:t>
      </w:r>
    </w:p>
    <w:p w:rsidR="00950C28" w:rsidRDefault="00950C28" w:rsidP="00950C28">
      <w:pPr>
        <w:spacing w:after="0" w:line="240" w:lineRule="auto"/>
        <w:rPr>
          <w:rFonts w:ascii="Times New Roman" w:eastAsia="Times New Roman" w:hAnsi="Times New Roman"/>
          <w:color w:val="000000"/>
          <w:lang w:val="el-GR" w:eastAsia="el-GR"/>
        </w:rPr>
      </w:pPr>
      <w:r>
        <w:rPr>
          <w:rFonts w:ascii="Times New Roman" w:eastAsia="Times New Roman" w:hAnsi="Times New Roman"/>
          <w:color w:val="000000"/>
          <w:lang w:val="el-GR" w:eastAsia="el-GR"/>
        </w:rPr>
        <w:tab/>
        <w:t xml:space="preserve">+ </w:t>
      </w:r>
      <w:r w:rsidRPr="00950C28">
        <w:rPr>
          <w:rFonts w:ascii="Times New Roman" w:eastAsia="Times New Roman" w:hAnsi="Times New Roman"/>
          <w:color w:val="000000"/>
          <w:lang w:val="el-GR" w:eastAsia="el-GR"/>
        </w:rPr>
        <w:t>δύο φορές ημερησίως</w:t>
      </w:r>
      <w:r>
        <w:rPr>
          <w:rFonts w:ascii="Times New Roman" w:eastAsia="Times New Roman" w:hAnsi="Times New Roman"/>
          <w:color w:val="000000"/>
          <w:lang w:val="el-GR" w:eastAsia="el-GR"/>
        </w:rPr>
        <w:t xml:space="preserve"> 500 </w:t>
      </w:r>
      <w:r>
        <w:rPr>
          <w:rFonts w:ascii="Times New Roman" w:eastAsia="Times New Roman" w:hAnsi="Times New Roman"/>
          <w:color w:val="000000"/>
          <w:lang w:eastAsia="el-GR"/>
        </w:rPr>
        <w:t>mg</w:t>
      </w:r>
      <w:r w:rsidRPr="00950C28">
        <w:rPr>
          <w:rFonts w:ascii="Times New Roman" w:eastAsia="Times New Roman" w:hAnsi="Times New Roman"/>
          <w:color w:val="000000"/>
          <w:lang w:val="el-GR" w:eastAsia="el-GR"/>
        </w:rPr>
        <w:t xml:space="preserve"> </w:t>
      </w:r>
      <w:r>
        <w:rPr>
          <w:rFonts w:ascii="Times New Roman" w:eastAsia="Times New Roman" w:hAnsi="Times New Roman"/>
          <w:color w:val="000000"/>
          <w:lang w:val="el-GR" w:eastAsia="el-GR"/>
        </w:rPr>
        <w:t>κλαριθρομυκίνης</w:t>
      </w:r>
    </w:p>
    <w:p w:rsidR="00950C28" w:rsidRDefault="00950C28" w:rsidP="00C80A84">
      <w:pPr>
        <w:spacing w:after="0" w:line="240" w:lineRule="auto"/>
        <w:rPr>
          <w:rFonts w:ascii="Times New Roman" w:eastAsia="Times New Roman" w:hAnsi="Times New Roman"/>
          <w:color w:val="000000"/>
          <w:lang w:val="el-GR" w:eastAsia="el-GR"/>
        </w:rPr>
      </w:pPr>
    </w:p>
    <w:p w:rsidR="00950C28" w:rsidRPr="00950C28" w:rsidRDefault="00950C28" w:rsidP="00950C28">
      <w:pPr>
        <w:spacing w:after="0" w:line="240" w:lineRule="auto"/>
        <w:rPr>
          <w:rFonts w:ascii="Times New Roman" w:hAnsi="Times New Roman"/>
          <w:color w:val="000000"/>
          <w:lang w:val="el-GR"/>
        </w:rPr>
      </w:pPr>
      <w:r>
        <w:rPr>
          <w:rFonts w:ascii="Times New Roman" w:eastAsia="Times New Roman" w:hAnsi="Times New Roman"/>
          <w:color w:val="000000"/>
          <w:lang w:val="el-GR" w:eastAsia="el-GR"/>
        </w:rPr>
        <w:t>β</w:t>
      </w:r>
      <w:r w:rsidRPr="00950C28">
        <w:rPr>
          <w:rFonts w:ascii="Times New Roman" w:eastAsia="Times New Roman" w:hAnsi="Times New Roman"/>
          <w:color w:val="000000"/>
          <w:lang w:val="el-GR" w:eastAsia="el-GR"/>
        </w:rPr>
        <w:t xml:space="preserve">) </w:t>
      </w:r>
      <w:r w:rsidRPr="00950C28">
        <w:rPr>
          <w:rFonts w:ascii="Times New Roman" w:eastAsia="Times New Roman" w:hAnsi="Times New Roman"/>
          <w:color w:val="000000"/>
          <w:lang w:val="el-GR" w:eastAsia="el-GR"/>
        </w:rPr>
        <w:tab/>
        <w:t xml:space="preserve">δύο φορές ημερησίως ένα δισκίο </w:t>
      </w:r>
      <w:r w:rsidRPr="00950C28">
        <w:rPr>
          <w:rFonts w:ascii="Times New Roman" w:hAnsi="Times New Roman"/>
          <w:color w:val="000000"/>
        </w:rPr>
        <w:t>Pantoprazole</w:t>
      </w:r>
      <w:r w:rsidR="0076537B">
        <w:rPr>
          <w:rFonts w:ascii="Times New Roman" w:hAnsi="Times New Roman"/>
          <w:color w:val="000000"/>
          <w:lang w:val="el-GR"/>
        </w:rPr>
        <w:t>/</w:t>
      </w:r>
      <w:r w:rsidRPr="00950C28">
        <w:rPr>
          <w:rFonts w:ascii="Times New Roman" w:hAnsi="Times New Roman"/>
          <w:color w:val="000000"/>
        </w:rPr>
        <w:t>TAD</w:t>
      </w:r>
    </w:p>
    <w:p w:rsidR="00950C28" w:rsidRPr="00950C28" w:rsidRDefault="00950C28" w:rsidP="00950C28">
      <w:pPr>
        <w:spacing w:after="0" w:line="240" w:lineRule="auto"/>
        <w:rPr>
          <w:rFonts w:ascii="Times New Roman" w:eastAsia="Times New Roman" w:hAnsi="Times New Roman"/>
          <w:color w:val="000000"/>
          <w:lang w:val="el-GR" w:eastAsia="el-GR"/>
        </w:rPr>
      </w:pPr>
      <w:r w:rsidRPr="00950C28">
        <w:rPr>
          <w:rFonts w:ascii="Times New Roman" w:eastAsia="Times New Roman" w:hAnsi="Times New Roman"/>
          <w:i/>
          <w:iCs/>
          <w:color w:val="000000"/>
          <w:lang w:val="el-GR" w:eastAsia="el-GR"/>
        </w:rPr>
        <w:tab/>
      </w:r>
      <w:r>
        <w:rPr>
          <w:rFonts w:ascii="Times New Roman" w:eastAsia="Times New Roman" w:hAnsi="Times New Roman"/>
          <w:color w:val="000000"/>
          <w:lang w:val="el-GR" w:eastAsia="el-GR"/>
        </w:rPr>
        <w:t xml:space="preserve">+ </w:t>
      </w:r>
      <w:r w:rsidRPr="00950C28">
        <w:rPr>
          <w:rFonts w:ascii="Times New Roman" w:eastAsia="Times New Roman" w:hAnsi="Times New Roman"/>
          <w:color w:val="000000"/>
          <w:lang w:val="el-GR" w:eastAsia="el-GR"/>
        </w:rPr>
        <w:t>δύο φορές ημερησίως</w:t>
      </w:r>
      <w:r>
        <w:rPr>
          <w:rFonts w:ascii="Times New Roman" w:eastAsia="Times New Roman" w:hAnsi="Times New Roman"/>
          <w:color w:val="000000"/>
          <w:lang w:val="el-GR" w:eastAsia="el-GR"/>
        </w:rPr>
        <w:t xml:space="preserve"> 400 – 500 </w:t>
      </w:r>
      <w:r>
        <w:rPr>
          <w:rFonts w:ascii="Times New Roman" w:eastAsia="Times New Roman" w:hAnsi="Times New Roman"/>
          <w:color w:val="000000"/>
          <w:lang w:eastAsia="el-GR"/>
        </w:rPr>
        <w:t>mg</w:t>
      </w:r>
      <w:r w:rsidRPr="00950C28">
        <w:rPr>
          <w:rFonts w:ascii="Times New Roman" w:eastAsia="Times New Roman" w:hAnsi="Times New Roman"/>
          <w:color w:val="000000"/>
          <w:lang w:val="el-GR" w:eastAsia="el-GR"/>
        </w:rPr>
        <w:t xml:space="preserve"> </w:t>
      </w:r>
      <w:r>
        <w:rPr>
          <w:rFonts w:ascii="Times New Roman" w:eastAsia="Times New Roman" w:hAnsi="Times New Roman"/>
          <w:color w:val="000000"/>
          <w:lang w:val="el-GR" w:eastAsia="el-GR"/>
        </w:rPr>
        <w:t xml:space="preserve">μετρονιδαζόλης (ή 500 </w:t>
      </w:r>
      <w:r>
        <w:rPr>
          <w:rFonts w:ascii="Times New Roman" w:eastAsia="Times New Roman" w:hAnsi="Times New Roman"/>
          <w:color w:val="000000"/>
          <w:lang w:eastAsia="el-GR"/>
        </w:rPr>
        <w:t>mg</w:t>
      </w:r>
      <w:r>
        <w:rPr>
          <w:rFonts w:ascii="Times New Roman" w:eastAsia="Times New Roman" w:hAnsi="Times New Roman"/>
          <w:color w:val="000000"/>
          <w:lang w:val="el-GR" w:eastAsia="el-GR"/>
        </w:rPr>
        <w:t xml:space="preserve"> τινιδαζόλης)</w:t>
      </w:r>
    </w:p>
    <w:p w:rsidR="00950C28" w:rsidRDefault="00950C28" w:rsidP="00950C28">
      <w:pPr>
        <w:spacing w:after="0" w:line="240" w:lineRule="auto"/>
        <w:rPr>
          <w:rFonts w:ascii="Times New Roman" w:eastAsia="Times New Roman" w:hAnsi="Times New Roman"/>
          <w:color w:val="000000"/>
          <w:lang w:val="el-GR" w:eastAsia="el-GR"/>
        </w:rPr>
      </w:pPr>
      <w:r>
        <w:rPr>
          <w:rFonts w:ascii="Times New Roman" w:eastAsia="Times New Roman" w:hAnsi="Times New Roman"/>
          <w:color w:val="000000"/>
          <w:lang w:val="el-GR" w:eastAsia="el-GR"/>
        </w:rPr>
        <w:tab/>
        <w:t xml:space="preserve">+ </w:t>
      </w:r>
      <w:r w:rsidRPr="00950C28">
        <w:rPr>
          <w:rFonts w:ascii="Times New Roman" w:eastAsia="Times New Roman" w:hAnsi="Times New Roman"/>
          <w:color w:val="000000"/>
          <w:lang w:val="el-GR" w:eastAsia="el-GR"/>
        </w:rPr>
        <w:t>δύο φορές ημερησίως</w:t>
      </w:r>
      <w:r>
        <w:rPr>
          <w:rFonts w:ascii="Times New Roman" w:eastAsia="Times New Roman" w:hAnsi="Times New Roman"/>
          <w:color w:val="000000"/>
          <w:lang w:val="el-GR" w:eastAsia="el-GR"/>
        </w:rPr>
        <w:t xml:space="preserve"> 250 - 500 </w:t>
      </w:r>
      <w:r>
        <w:rPr>
          <w:rFonts w:ascii="Times New Roman" w:eastAsia="Times New Roman" w:hAnsi="Times New Roman"/>
          <w:color w:val="000000"/>
          <w:lang w:eastAsia="el-GR"/>
        </w:rPr>
        <w:t>mg</w:t>
      </w:r>
      <w:r w:rsidRPr="00950C28">
        <w:rPr>
          <w:rFonts w:ascii="Times New Roman" w:eastAsia="Times New Roman" w:hAnsi="Times New Roman"/>
          <w:color w:val="000000"/>
          <w:lang w:val="el-GR" w:eastAsia="el-GR"/>
        </w:rPr>
        <w:t xml:space="preserve"> </w:t>
      </w:r>
      <w:r>
        <w:rPr>
          <w:rFonts w:ascii="Times New Roman" w:eastAsia="Times New Roman" w:hAnsi="Times New Roman"/>
          <w:color w:val="000000"/>
          <w:lang w:val="el-GR" w:eastAsia="el-GR"/>
        </w:rPr>
        <w:t>κλαριθρομυκίνης</w:t>
      </w:r>
    </w:p>
    <w:p w:rsidR="00950C28" w:rsidRDefault="00950C28" w:rsidP="00950C28">
      <w:pPr>
        <w:spacing w:after="0" w:line="240" w:lineRule="auto"/>
        <w:rPr>
          <w:rFonts w:ascii="Times New Roman" w:eastAsia="Times New Roman" w:hAnsi="Times New Roman"/>
          <w:color w:val="000000"/>
          <w:lang w:val="el-GR" w:eastAsia="el-GR"/>
        </w:rPr>
      </w:pPr>
    </w:p>
    <w:p w:rsidR="00950C28" w:rsidRPr="00950C28" w:rsidRDefault="00950C28" w:rsidP="00950C28">
      <w:pPr>
        <w:spacing w:after="0" w:line="240" w:lineRule="auto"/>
        <w:rPr>
          <w:rFonts w:ascii="Times New Roman" w:hAnsi="Times New Roman"/>
          <w:color w:val="000000"/>
          <w:lang w:val="el-GR"/>
        </w:rPr>
      </w:pPr>
      <w:r>
        <w:rPr>
          <w:rFonts w:ascii="Times New Roman" w:eastAsia="Times New Roman" w:hAnsi="Times New Roman"/>
          <w:color w:val="000000"/>
          <w:lang w:val="el-GR" w:eastAsia="el-GR"/>
        </w:rPr>
        <w:t>γ</w:t>
      </w:r>
      <w:r w:rsidRPr="00950C28">
        <w:rPr>
          <w:rFonts w:ascii="Times New Roman" w:eastAsia="Times New Roman" w:hAnsi="Times New Roman"/>
          <w:color w:val="000000"/>
          <w:lang w:val="el-GR" w:eastAsia="el-GR"/>
        </w:rPr>
        <w:t xml:space="preserve">) </w:t>
      </w:r>
      <w:r w:rsidRPr="00950C28">
        <w:rPr>
          <w:rFonts w:ascii="Times New Roman" w:eastAsia="Times New Roman" w:hAnsi="Times New Roman"/>
          <w:color w:val="000000"/>
          <w:lang w:val="el-GR" w:eastAsia="el-GR"/>
        </w:rPr>
        <w:tab/>
        <w:t xml:space="preserve">δύο φορές ημερησίως ένα δισκίο </w:t>
      </w:r>
      <w:r w:rsidRPr="00950C28">
        <w:rPr>
          <w:rFonts w:ascii="Times New Roman" w:hAnsi="Times New Roman"/>
          <w:color w:val="000000"/>
        </w:rPr>
        <w:t>Pantoprazole</w:t>
      </w:r>
      <w:r w:rsidR="0076537B">
        <w:rPr>
          <w:rFonts w:ascii="Times New Roman" w:hAnsi="Times New Roman"/>
          <w:color w:val="000000"/>
          <w:lang w:val="el-GR"/>
        </w:rPr>
        <w:t>/</w:t>
      </w:r>
      <w:r w:rsidRPr="00950C28">
        <w:rPr>
          <w:rFonts w:ascii="Times New Roman" w:hAnsi="Times New Roman"/>
          <w:color w:val="000000"/>
        </w:rPr>
        <w:t>TAD</w:t>
      </w:r>
    </w:p>
    <w:p w:rsidR="00950C28" w:rsidRDefault="00950C28" w:rsidP="00950C28">
      <w:pPr>
        <w:spacing w:after="0" w:line="240" w:lineRule="auto"/>
        <w:rPr>
          <w:rFonts w:ascii="Times New Roman" w:eastAsia="Times New Roman" w:hAnsi="Times New Roman"/>
          <w:color w:val="000000"/>
          <w:lang w:val="el-GR" w:eastAsia="el-GR"/>
        </w:rPr>
      </w:pPr>
      <w:r w:rsidRPr="00950C28">
        <w:rPr>
          <w:rFonts w:ascii="Times New Roman" w:eastAsia="Times New Roman" w:hAnsi="Times New Roman"/>
          <w:i/>
          <w:iCs/>
          <w:color w:val="000000"/>
          <w:lang w:val="el-GR" w:eastAsia="el-GR"/>
        </w:rPr>
        <w:tab/>
      </w:r>
      <w:r>
        <w:rPr>
          <w:rFonts w:ascii="Times New Roman" w:eastAsia="Times New Roman" w:hAnsi="Times New Roman"/>
          <w:color w:val="000000"/>
          <w:lang w:val="el-GR" w:eastAsia="el-GR"/>
        </w:rPr>
        <w:t xml:space="preserve">+ </w:t>
      </w:r>
      <w:r w:rsidRPr="00950C28">
        <w:rPr>
          <w:rFonts w:ascii="Times New Roman" w:eastAsia="Times New Roman" w:hAnsi="Times New Roman"/>
          <w:color w:val="000000"/>
          <w:lang w:val="el-GR" w:eastAsia="el-GR"/>
        </w:rPr>
        <w:t>δύο φορές ημερησίως</w:t>
      </w:r>
      <w:r>
        <w:rPr>
          <w:rFonts w:ascii="Times New Roman" w:eastAsia="Times New Roman" w:hAnsi="Times New Roman"/>
          <w:color w:val="000000"/>
          <w:lang w:val="el-GR" w:eastAsia="el-GR"/>
        </w:rPr>
        <w:t xml:space="preserve"> 1000 </w:t>
      </w:r>
      <w:r>
        <w:rPr>
          <w:rFonts w:ascii="Times New Roman" w:eastAsia="Times New Roman" w:hAnsi="Times New Roman"/>
          <w:color w:val="000000"/>
          <w:lang w:eastAsia="el-GR"/>
        </w:rPr>
        <w:t>mg</w:t>
      </w:r>
      <w:r w:rsidRPr="00950C28">
        <w:rPr>
          <w:rFonts w:ascii="Times New Roman" w:eastAsia="Times New Roman" w:hAnsi="Times New Roman"/>
          <w:color w:val="000000"/>
          <w:lang w:val="el-GR" w:eastAsia="el-GR"/>
        </w:rPr>
        <w:t xml:space="preserve"> </w:t>
      </w:r>
      <w:r>
        <w:rPr>
          <w:rFonts w:ascii="Times New Roman" w:eastAsia="Times New Roman" w:hAnsi="Times New Roman"/>
          <w:color w:val="000000"/>
          <w:lang w:val="el-GR" w:eastAsia="el-GR"/>
        </w:rPr>
        <w:t>αμοξικιλλίνης</w:t>
      </w:r>
    </w:p>
    <w:p w:rsidR="00950C28" w:rsidRDefault="00950C28" w:rsidP="00950C28">
      <w:pPr>
        <w:spacing w:after="0" w:line="240" w:lineRule="auto"/>
        <w:rPr>
          <w:rFonts w:ascii="Times New Roman" w:eastAsia="Times New Roman" w:hAnsi="Times New Roman"/>
          <w:color w:val="000000"/>
          <w:lang w:val="el-GR" w:eastAsia="el-GR"/>
        </w:rPr>
      </w:pPr>
      <w:r>
        <w:rPr>
          <w:rFonts w:ascii="Times New Roman" w:eastAsia="Times New Roman" w:hAnsi="Times New Roman"/>
          <w:color w:val="000000"/>
          <w:lang w:val="el-GR" w:eastAsia="el-GR"/>
        </w:rPr>
        <w:tab/>
        <w:t xml:space="preserve">+ </w:t>
      </w:r>
      <w:r w:rsidRPr="00950C28">
        <w:rPr>
          <w:rFonts w:ascii="Times New Roman" w:eastAsia="Times New Roman" w:hAnsi="Times New Roman"/>
          <w:color w:val="000000"/>
          <w:lang w:val="el-GR" w:eastAsia="el-GR"/>
        </w:rPr>
        <w:t>δύο φορές ημερησίως</w:t>
      </w:r>
      <w:r>
        <w:rPr>
          <w:rFonts w:ascii="Times New Roman" w:eastAsia="Times New Roman" w:hAnsi="Times New Roman"/>
          <w:color w:val="000000"/>
          <w:lang w:val="el-GR" w:eastAsia="el-GR"/>
        </w:rPr>
        <w:t xml:space="preserve"> 400 – 500 </w:t>
      </w:r>
      <w:r>
        <w:rPr>
          <w:rFonts w:ascii="Times New Roman" w:eastAsia="Times New Roman" w:hAnsi="Times New Roman"/>
          <w:color w:val="000000"/>
          <w:lang w:eastAsia="el-GR"/>
        </w:rPr>
        <w:t>mg</w:t>
      </w:r>
      <w:r w:rsidRPr="00950C28">
        <w:rPr>
          <w:rFonts w:ascii="Times New Roman" w:eastAsia="Times New Roman" w:hAnsi="Times New Roman"/>
          <w:color w:val="000000"/>
          <w:lang w:val="el-GR" w:eastAsia="el-GR"/>
        </w:rPr>
        <w:t xml:space="preserve"> </w:t>
      </w:r>
      <w:r>
        <w:rPr>
          <w:rFonts w:ascii="Times New Roman" w:eastAsia="Times New Roman" w:hAnsi="Times New Roman"/>
          <w:color w:val="000000"/>
          <w:lang w:val="el-GR" w:eastAsia="el-GR"/>
        </w:rPr>
        <w:t xml:space="preserve">μετρονιδαζόλης (ή 500 </w:t>
      </w:r>
      <w:r>
        <w:rPr>
          <w:rFonts w:ascii="Times New Roman" w:eastAsia="Times New Roman" w:hAnsi="Times New Roman"/>
          <w:color w:val="000000"/>
          <w:lang w:eastAsia="el-GR"/>
        </w:rPr>
        <w:t>mg</w:t>
      </w:r>
      <w:r>
        <w:rPr>
          <w:rFonts w:ascii="Times New Roman" w:eastAsia="Times New Roman" w:hAnsi="Times New Roman"/>
          <w:color w:val="000000"/>
          <w:lang w:val="el-GR" w:eastAsia="el-GR"/>
        </w:rPr>
        <w:t xml:space="preserve"> τινιδαζόλης)</w:t>
      </w:r>
    </w:p>
    <w:p w:rsidR="00950C28" w:rsidRDefault="00950C28" w:rsidP="00950C28">
      <w:pPr>
        <w:spacing w:after="0" w:line="240" w:lineRule="auto"/>
        <w:rPr>
          <w:rFonts w:ascii="Times New Roman" w:eastAsia="Times New Roman" w:hAnsi="Times New Roman"/>
          <w:color w:val="000000"/>
          <w:lang w:val="el-GR" w:eastAsia="el-GR"/>
        </w:rPr>
      </w:pPr>
    </w:p>
    <w:p w:rsidR="00B96C76" w:rsidRPr="00AB6031" w:rsidRDefault="005E7D9A" w:rsidP="00C80A84">
      <w:pPr>
        <w:spacing w:after="0" w:line="240" w:lineRule="auto"/>
        <w:rPr>
          <w:rFonts w:ascii="Times New Roman" w:hAnsi="Times New Roman"/>
          <w:color w:val="000000"/>
          <w:lang w:val="el-GR"/>
        </w:rPr>
      </w:pPr>
      <w:r>
        <w:rPr>
          <w:rFonts w:ascii="Times New Roman" w:eastAsia="Times New Roman" w:hAnsi="Times New Roman"/>
          <w:color w:val="000000"/>
          <w:lang w:val="el-GR" w:eastAsia="el-GR"/>
        </w:rPr>
        <w:t>Στη συνδυασμένη θερα</w:t>
      </w:r>
      <w:r w:rsidR="001246FD">
        <w:rPr>
          <w:rFonts w:ascii="Times New Roman" w:eastAsia="Times New Roman" w:hAnsi="Times New Roman"/>
          <w:color w:val="000000"/>
          <w:lang w:val="el-GR" w:eastAsia="el-GR"/>
        </w:rPr>
        <w:t xml:space="preserve">πεία για την εκρίζωση της λοίμωξης από το </w:t>
      </w:r>
      <w:r w:rsidR="005E3AE6">
        <w:rPr>
          <w:rFonts w:ascii="Times New Roman" w:hAnsi="Times New Roman"/>
          <w:i/>
          <w:color w:val="000000"/>
          <w:lang w:val="el-GR"/>
        </w:rPr>
        <w:t>Ελικοβακτηρίδι</w:t>
      </w:r>
      <w:r w:rsidR="001246FD" w:rsidRPr="00950C28">
        <w:rPr>
          <w:rFonts w:ascii="Times New Roman" w:hAnsi="Times New Roman"/>
          <w:i/>
          <w:color w:val="000000"/>
          <w:lang w:val="el-GR"/>
        </w:rPr>
        <w:t>ο του πυλωρού</w:t>
      </w:r>
      <w:r w:rsidR="001246FD">
        <w:rPr>
          <w:rFonts w:ascii="Times New Roman" w:hAnsi="Times New Roman"/>
          <w:i/>
          <w:color w:val="000000"/>
          <w:lang w:val="el-GR"/>
        </w:rPr>
        <w:t xml:space="preserve">, </w:t>
      </w:r>
      <w:r w:rsidR="00B96C76">
        <w:rPr>
          <w:rFonts w:ascii="Times New Roman" w:hAnsi="Times New Roman"/>
          <w:iCs/>
          <w:color w:val="000000"/>
          <w:lang w:val="el-GR"/>
        </w:rPr>
        <w:t xml:space="preserve">το δεύτερο δισκίο </w:t>
      </w:r>
      <w:r w:rsidR="00B96C76" w:rsidRPr="00950C28">
        <w:rPr>
          <w:rFonts w:ascii="Times New Roman" w:hAnsi="Times New Roman"/>
          <w:color w:val="000000"/>
        </w:rPr>
        <w:t>Pantoprazole</w:t>
      </w:r>
      <w:r w:rsidR="0076537B">
        <w:rPr>
          <w:rFonts w:ascii="Times New Roman" w:hAnsi="Times New Roman"/>
          <w:color w:val="000000"/>
          <w:lang w:val="el-GR"/>
        </w:rPr>
        <w:t>/</w:t>
      </w:r>
      <w:r w:rsidR="00B96C76" w:rsidRPr="00950C28">
        <w:rPr>
          <w:rFonts w:ascii="Times New Roman" w:hAnsi="Times New Roman"/>
          <w:color w:val="000000"/>
        </w:rPr>
        <w:t>TAD</w:t>
      </w:r>
      <w:r w:rsidR="00B96C76">
        <w:rPr>
          <w:rFonts w:ascii="Times New Roman" w:hAnsi="Times New Roman"/>
          <w:color w:val="000000"/>
          <w:lang w:val="el-GR"/>
        </w:rPr>
        <w:t xml:space="preserve"> πρέπει να λαμβάνεται 1 ώρα πριν το βραδυνό γεύμα. Η συνδυασμένη θεραπεία εφαρμόζεται για 7 ημέρες </w:t>
      </w:r>
      <w:r w:rsidR="006E5228">
        <w:rPr>
          <w:rFonts w:ascii="Times New Roman" w:hAnsi="Times New Roman"/>
          <w:color w:val="000000"/>
          <w:lang w:val="el-GR"/>
        </w:rPr>
        <w:t>συνήθως κ</w:t>
      </w:r>
      <w:r w:rsidR="00B96C76">
        <w:rPr>
          <w:rFonts w:ascii="Times New Roman" w:hAnsi="Times New Roman"/>
          <w:color w:val="000000"/>
          <w:lang w:val="el-GR"/>
        </w:rPr>
        <w:t xml:space="preserve">αι μπορεί να παραταθεί για επιπλέον 7 ημέρες με συνολική διάρκεια έως και δύο εβδομάδες. Εάν, προκειμένου να διασφαλιστεί η επούλωση των ελκών, ενδείκνυται περαιτέρω θεραπεία με παντοπραζόλη, πρέπει να λαμβάνονται υπόψη οι δοσολογικές συστάσεις για τα δωδεδακτυλικά και τα γαστρικά έλκη. </w:t>
      </w:r>
    </w:p>
    <w:p w:rsidR="00B96C76" w:rsidRDefault="00B96C76" w:rsidP="005E3AE6">
      <w:pPr>
        <w:spacing w:after="0" w:line="240" w:lineRule="auto"/>
        <w:rPr>
          <w:rFonts w:ascii="Times New Roman" w:hAnsi="Times New Roman"/>
          <w:color w:val="000000"/>
          <w:lang w:val="el-GR"/>
        </w:rPr>
      </w:pPr>
      <w:r>
        <w:rPr>
          <w:rFonts w:ascii="Times New Roman" w:hAnsi="Times New Roman"/>
          <w:color w:val="000000"/>
          <w:lang w:val="el-GR"/>
        </w:rPr>
        <w:t>Εάν δεν υπάρχει η επιλογή της θεραπείας</w:t>
      </w:r>
      <w:r w:rsidR="006E5228">
        <w:rPr>
          <w:rFonts w:ascii="Times New Roman" w:hAnsi="Times New Roman"/>
          <w:color w:val="000000"/>
          <w:lang w:val="el-GR"/>
        </w:rPr>
        <w:t xml:space="preserve"> συνδυασμού</w:t>
      </w:r>
      <w:r>
        <w:rPr>
          <w:rFonts w:ascii="Times New Roman" w:hAnsi="Times New Roman"/>
          <w:color w:val="000000"/>
          <w:lang w:val="el-GR"/>
        </w:rPr>
        <w:t xml:space="preserve">, π.χ. εάν ο ασθενής έχει διαγνωσθεί αρνητικός στο </w:t>
      </w:r>
      <w:r w:rsidRPr="00950C28">
        <w:rPr>
          <w:rFonts w:ascii="Times New Roman" w:hAnsi="Times New Roman"/>
          <w:i/>
          <w:color w:val="000000"/>
          <w:lang w:val="el-GR"/>
        </w:rPr>
        <w:t>Ελικοβακτηρ</w:t>
      </w:r>
      <w:r w:rsidR="005E3AE6">
        <w:rPr>
          <w:rFonts w:ascii="Times New Roman" w:hAnsi="Times New Roman"/>
          <w:i/>
          <w:color w:val="000000"/>
          <w:lang w:val="el-GR"/>
        </w:rPr>
        <w:t>ίδι</w:t>
      </w:r>
      <w:r w:rsidRPr="00950C28">
        <w:rPr>
          <w:rFonts w:ascii="Times New Roman" w:hAnsi="Times New Roman"/>
          <w:i/>
          <w:color w:val="000000"/>
          <w:lang w:val="el-GR"/>
        </w:rPr>
        <w:t>ο του πυλωρού</w:t>
      </w:r>
      <w:r>
        <w:rPr>
          <w:rFonts w:ascii="Times New Roman" w:hAnsi="Times New Roman"/>
          <w:i/>
          <w:color w:val="000000"/>
          <w:lang w:val="el-GR"/>
        </w:rPr>
        <w:t xml:space="preserve">, </w:t>
      </w:r>
      <w:r>
        <w:rPr>
          <w:rFonts w:ascii="Times New Roman" w:hAnsi="Times New Roman"/>
          <w:iCs/>
          <w:color w:val="000000"/>
          <w:lang w:val="el-GR"/>
        </w:rPr>
        <w:t xml:space="preserve">οι ακόλουθες δοσολογικές οδηγίες ισχύουν για το </w:t>
      </w:r>
      <w:r w:rsidRPr="00950C28">
        <w:rPr>
          <w:rFonts w:ascii="Times New Roman" w:hAnsi="Times New Roman"/>
          <w:color w:val="000000"/>
        </w:rPr>
        <w:t>Pantoprazole</w:t>
      </w:r>
      <w:r w:rsidRPr="00950C28">
        <w:rPr>
          <w:rFonts w:ascii="Times New Roman" w:hAnsi="Times New Roman"/>
          <w:color w:val="000000"/>
          <w:lang w:val="el-GR"/>
        </w:rPr>
        <w:t xml:space="preserve"> </w:t>
      </w:r>
      <w:r w:rsidR="0076537B">
        <w:rPr>
          <w:rFonts w:ascii="Times New Roman" w:hAnsi="Times New Roman"/>
          <w:color w:val="000000"/>
          <w:lang w:val="el-GR"/>
        </w:rPr>
        <w:t>/</w:t>
      </w:r>
      <w:r w:rsidRPr="00950C28">
        <w:rPr>
          <w:rFonts w:ascii="Times New Roman" w:hAnsi="Times New Roman"/>
          <w:color w:val="000000"/>
        </w:rPr>
        <w:t>TAD</w:t>
      </w:r>
      <w:r>
        <w:rPr>
          <w:rFonts w:ascii="Times New Roman" w:hAnsi="Times New Roman"/>
          <w:color w:val="000000"/>
          <w:lang w:val="el-GR"/>
        </w:rPr>
        <w:t xml:space="preserve"> ως μονοθεραπεία:</w:t>
      </w:r>
    </w:p>
    <w:p w:rsidR="00B96C76" w:rsidRDefault="00B96C76" w:rsidP="00B96C76">
      <w:pPr>
        <w:spacing w:after="0" w:line="240" w:lineRule="auto"/>
        <w:rPr>
          <w:rFonts w:ascii="Times New Roman" w:hAnsi="Times New Roman"/>
          <w:color w:val="000000"/>
          <w:lang w:val="el-GR"/>
        </w:rPr>
      </w:pPr>
    </w:p>
    <w:p w:rsidR="00B96C76" w:rsidRDefault="00B96C76" w:rsidP="00B96C76">
      <w:pPr>
        <w:spacing w:after="0" w:line="240" w:lineRule="auto"/>
        <w:rPr>
          <w:rFonts w:ascii="Times New Roman" w:hAnsi="Times New Roman"/>
          <w:color w:val="000000"/>
          <w:u w:val="single"/>
          <w:lang w:val="el-GR"/>
        </w:rPr>
      </w:pPr>
      <w:r w:rsidRPr="00B96C76">
        <w:rPr>
          <w:rFonts w:ascii="Times New Roman" w:hAnsi="Times New Roman"/>
          <w:color w:val="000000"/>
          <w:u w:val="single"/>
          <w:lang w:val="el-GR"/>
        </w:rPr>
        <w:t>Θεραπεία του γαστρικού έλκους</w:t>
      </w:r>
    </w:p>
    <w:p w:rsidR="00B96C76" w:rsidRDefault="00B96C76" w:rsidP="00B96C76">
      <w:pPr>
        <w:spacing w:after="0" w:line="240" w:lineRule="auto"/>
        <w:rPr>
          <w:rFonts w:ascii="Times New Roman" w:hAnsi="Times New Roman"/>
          <w:color w:val="000000"/>
          <w:lang w:val="el-GR"/>
        </w:rPr>
      </w:pPr>
      <w:r>
        <w:rPr>
          <w:rFonts w:ascii="Times New Roman" w:eastAsia="Times New Roman" w:hAnsi="Times New Roman"/>
          <w:color w:val="000000"/>
          <w:lang w:val="el-GR" w:eastAsia="el-GR"/>
        </w:rPr>
        <w:t>Ένα δισκίο</w:t>
      </w:r>
      <w:r w:rsidRPr="00C80A84">
        <w:rPr>
          <w:rFonts w:ascii="Times New Roman" w:hAnsi="Times New Roman"/>
          <w:color w:val="000000"/>
          <w:lang w:val="el-GR"/>
        </w:rPr>
        <w:t xml:space="preserve"> </w:t>
      </w:r>
      <w:r w:rsidRPr="00C80A84">
        <w:rPr>
          <w:rFonts w:ascii="Times New Roman" w:hAnsi="Times New Roman"/>
          <w:color w:val="000000"/>
        </w:rPr>
        <w:t>Pantoprazole</w:t>
      </w:r>
      <w:r w:rsidRPr="00C80A84">
        <w:rPr>
          <w:rFonts w:ascii="Times New Roman" w:hAnsi="Times New Roman"/>
          <w:color w:val="000000"/>
          <w:lang w:val="el-GR"/>
        </w:rPr>
        <w:t xml:space="preserve"> </w:t>
      </w:r>
      <w:r w:rsidR="0076537B">
        <w:rPr>
          <w:rFonts w:ascii="Times New Roman" w:hAnsi="Times New Roman"/>
          <w:color w:val="000000"/>
          <w:lang w:val="el-GR"/>
        </w:rPr>
        <w:t>/</w:t>
      </w:r>
      <w:r w:rsidRPr="00C80A84">
        <w:rPr>
          <w:rFonts w:ascii="Times New Roman" w:hAnsi="Times New Roman"/>
          <w:color w:val="000000"/>
        </w:rPr>
        <w:t>TAD</w:t>
      </w:r>
      <w:r>
        <w:rPr>
          <w:rFonts w:ascii="Times New Roman" w:hAnsi="Times New Roman"/>
          <w:color w:val="000000"/>
          <w:lang w:val="el-GR"/>
        </w:rPr>
        <w:t xml:space="preserve"> </w:t>
      </w:r>
      <w:r w:rsidRPr="00C80A84">
        <w:rPr>
          <w:rFonts w:ascii="Times New Roman" w:hAnsi="Times New Roman"/>
          <w:color w:val="000000"/>
          <w:lang w:val="el-GR"/>
        </w:rPr>
        <w:t>την ημέρα</w:t>
      </w:r>
      <w:r>
        <w:rPr>
          <w:rFonts w:ascii="Times New Roman" w:hAnsi="Times New Roman"/>
          <w:color w:val="000000"/>
          <w:lang w:val="el-GR"/>
        </w:rPr>
        <w:t xml:space="preserve">. Σε μεμονωμένες περιπτώσεις η δόση μπορεί να διπλασιαστεί (αύξηση σε 2 δισκία </w:t>
      </w:r>
      <w:r w:rsidRPr="00C80A84">
        <w:rPr>
          <w:rFonts w:ascii="Times New Roman" w:hAnsi="Times New Roman"/>
          <w:color w:val="000000"/>
        </w:rPr>
        <w:t>Pantoprazole</w:t>
      </w:r>
      <w:r w:rsidR="0076537B">
        <w:rPr>
          <w:rFonts w:ascii="Times New Roman" w:hAnsi="Times New Roman"/>
          <w:color w:val="000000"/>
          <w:lang w:val="el-GR"/>
        </w:rPr>
        <w:t>/</w:t>
      </w:r>
      <w:r w:rsidRPr="00C80A84">
        <w:rPr>
          <w:rFonts w:ascii="Times New Roman" w:hAnsi="Times New Roman"/>
          <w:color w:val="000000"/>
          <w:lang w:val="el-GR"/>
        </w:rPr>
        <w:t xml:space="preserve"> </w:t>
      </w:r>
      <w:r w:rsidRPr="00C80A84">
        <w:rPr>
          <w:rFonts w:ascii="Times New Roman" w:hAnsi="Times New Roman"/>
          <w:color w:val="000000"/>
        </w:rPr>
        <w:t>TAD</w:t>
      </w:r>
      <w:r>
        <w:rPr>
          <w:rFonts w:ascii="Times New Roman" w:hAnsi="Times New Roman"/>
          <w:color w:val="000000"/>
          <w:lang w:val="el-GR"/>
        </w:rPr>
        <w:t xml:space="preserve"> </w:t>
      </w:r>
      <w:r w:rsidRPr="00C80A84">
        <w:rPr>
          <w:rFonts w:ascii="Times New Roman" w:hAnsi="Times New Roman"/>
          <w:color w:val="000000"/>
          <w:lang w:val="el-GR"/>
        </w:rPr>
        <w:t>την ημέρα</w:t>
      </w:r>
      <w:r>
        <w:rPr>
          <w:rFonts w:ascii="Times New Roman" w:hAnsi="Times New Roman"/>
          <w:color w:val="000000"/>
          <w:lang w:val="el-GR"/>
        </w:rPr>
        <w:t>) ειδικά όταν δεν έχει υπάρξει ανταπόκριση σε άλλη θεραπεία. Απαιτείται συνήθως μία περίοδος 4 εβδομάδων για τη θεραπεία των γαστρικών ελκών. Εάν αυτό δεν είναι αρκετό, η επούλωση θα επιτευχθεί συνήθως εντός 4 επιπλέον εβδομάδων.</w:t>
      </w:r>
      <w:r w:rsidRPr="00C80A84">
        <w:rPr>
          <w:rFonts w:ascii="Times New Roman" w:hAnsi="Times New Roman"/>
          <w:color w:val="000000"/>
          <w:lang w:val="el-GR"/>
        </w:rPr>
        <w:t xml:space="preserve"> </w:t>
      </w:r>
    </w:p>
    <w:p w:rsidR="00B96C76" w:rsidRDefault="00B96C76" w:rsidP="00B96C76">
      <w:pPr>
        <w:spacing w:after="0" w:line="240" w:lineRule="auto"/>
        <w:rPr>
          <w:rFonts w:ascii="Times New Roman" w:hAnsi="Times New Roman"/>
          <w:color w:val="000000"/>
          <w:lang w:val="el-GR"/>
        </w:rPr>
      </w:pPr>
    </w:p>
    <w:p w:rsidR="00B96C76" w:rsidRDefault="00B96C76" w:rsidP="00B96C76">
      <w:pPr>
        <w:spacing w:after="0" w:line="240" w:lineRule="auto"/>
        <w:rPr>
          <w:rFonts w:ascii="Times New Roman" w:hAnsi="Times New Roman"/>
          <w:color w:val="000000"/>
          <w:u w:val="single"/>
          <w:lang w:val="el-GR"/>
        </w:rPr>
      </w:pPr>
      <w:r w:rsidRPr="00B96C76">
        <w:rPr>
          <w:rFonts w:ascii="Times New Roman" w:hAnsi="Times New Roman"/>
          <w:color w:val="000000"/>
          <w:u w:val="single"/>
          <w:lang w:val="el-GR"/>
        </w:rPr>
        <w:t xml:space="preserve">Θεραπεία </w:t>
      </w:r>
      <w:r>
        <w:rPr>
          <w:rFonts w:ascii="Times New Roman" w:hAnsi="Times New Roman"/>
          <w:color w:val="000000"/>
          <w:u w:val="single"/>
          <w:lang w:val="el-GR"/>
        </w:rPr>
        <w:t>του δωδεκαδακτυλικού</w:t>
      </w:r>
      <w:r w:rsidRPr="00B96C76">
        <w:rPr>
          <w:rFonts w:ascii="Times New Roman" w:hAnsi="Times New Roman"/>
          <w:color w:val="000000"/>
          <w:u w:val="single"/>
          <w:lang w:val="el-GR"/>
        </w:rPr>
        <w:t xml:space="preserve"> έλκους</w:t>
      </w:r>
    </w:p>
    <w:p w:rsidR="00B96C76" w:rsidRDefault="00B96C76" w:rsidP="00B96C76">
      <w:pPr>
        <w:spacing w:after="0" w:line="240" w:lineRule="auto"/>
        <w:rPr>
          <w:rFonts w:ascii="Times New Roman" w:hAnsi="Times New Roman"/>
          <w:color w:val="000000"/>
          <w:lang w:val="el-GR"/>
        </w:rPr>
      </w:pPr>
      <w:r>
        <w:rPr>
          <w:rFonts w:ascii="Times New Roman" w:eastAsia="Times New Roman" w:hAnsi="Times New Roman"/>
          <w:color w:val="000000"/>
          <w:lang w:val="el-GR" w:eastAsia="el-GR"/>
        </w:rPr>
        <w:t>Ένα δισκίο</w:t>
      </w:r>
      <w:r w:rsidRPr="00C80A84">
        <w:rPr>
          <w:rFonts w:ascii="Times New Roman" w:hAnsi="Times New Roman"/>
          <w:color w:val="000000"/>
          <w:lang w:val="el-GR"/>
        </w:rPr>
        <w:t xml:space="preserve"> </w:t>
      </w:r>
      <w:r w:rsidRPr="00C80A84">
        <w:rPr>
          <w:rFonts w:ascii="Times New Roman" w:hAnsi="Times New Roman"/>
          <w:color w:val="000000"/>
        </w:rPr>
        <w:t>Pantoprazole</w:t>
      </w:r>
      <w:r w:rsidRPr="00C80A84">
        <w:rPr>
          <w:rFonts w:ascii="Times New Roman" w:hAnsi="Times New Roman"/>
          <w:color w:val="000000"/>
          <w:lang w:val="el-GR"/>
        </w:rPr>
        <w:t xml:space="preserve"> </w:t>
      </w:r>
      <w:r w:rsidR="0076537B">
        <w:rPr>
          <w:rFonts w:ascii="Times New Roman" w:hAnsi="Times New Roman"/>
          <w:color w:val="000000"/>
          <w:lang w:val="el-GR"/>
        </w:rPr>
        <w:t>/</w:t>
      </w:r>
      <w:r w:rsidRPr="00C80A84">
        <w:rPr>
          <w:rFonts w:ascii="Times New Roman" w:hAnsi="Times New Roman"/>
          <w:color w:val="000000"/>
        </w:rPr>
        <w:t>TAD</w:t>
      </w:r>
      <w:r>
        <w:rPr>
          <w:rFonts w:ascii="Times New Roman" w:hAnsi="Times New Roman"/>
          <w:color w:val="000000"/>
          <w:lang w:val="el-GR"/>
        </w:rPr>
        <w:t xml:space="preserve"> </w:t>
      </w:r>
      <w:r w:rsidRPr="00C80A84">
        <w:rPr>
          <w:rFonts w:ascii="Times New Roman" w:hAnsi="Times New Roman"/>
          <w:color w:val="000000"/>
          <w:lang w:val="el-GR"/>
        </w:rPr>
        <w:t>την ημέρα</w:t>
      </w:r>
      <w:r>
        <w:rPr>
          <w:rFonts w:ascii="Times New Roman" w:hAnsi="Times New Roman"/>
          <w:color w:val="000000"/>
          <w:lang w:val="el-GR"/>
        </w:rPr>
        <w:t xml:space="preserve">. Σε μεμονωμένες περιπτώσεις η δόση μπορεί να διπλασιαστεί (αύξηση σε 2 δισκία </w:t>
      </w:r>
      <w:r w:rsidRPr="00C80A84">
        <w:rPr>
          <w:rFonts w:ascii="Times New Roman" w:hAnsi="Times New Roman"/>
          <w:color w:val="000000"/>
        </w:rPr>
        <w:t>Pantoprazole</w:t>
      </w:r>
      <w:r w:rsidRPr="00C80A84">
        <w:rPr>
          <w:rFonts w:ascii="Times New Roman" w:hAnsi="Times New Roman"/>
          <w:color w:val="000000"/>
          <w:lang w:val="el-GR"/>
        </w:rPr>
        <w:t xml:space="preserve"> </w:t>
      </w:r>
      <w:r w:rsidR="0076537B">
        <w:rPr>
          <w:rFonts w:ascii="Times New Roman" w:hAnsi="Times New Roman"/>
          <w:color w:val="000000"/>
          <w:lang w:val="el-GR"/>
        </w:rPr>
        <w:t>/</w:t>
      </w:r>
      <w:r w:rsidRPr="00C80A84">
        <w:rPr>
          <w:rFonts w:ascii="Times New Roman" w:hAnsi="Times New Roman"/>
          <w:color w:val="000000"/>
        </w:rPr>
        <w:t>TAD</w:t>
      </w:r>
      <w:r>
        <w:rPr>
          <w:rFonts w:ascii="Times New Roman" w:hAnsi="Times New Roman"/>
          <w:color w:val="000000"/>
          <w:lang w:val="el-GR"/>
        </w:rPr>
        <w:t xml:space="preserve"> </w:t>
      </w:r>
      <w:r w:rsidRPr="00C80A84">
        <w:rPr>
          <w:rFonts w:ascii="Times New Roman" w:hAnsi="Times New Roman"/>
          <w:color w:val="000000"/>
          <w:lang w:val="el-GR"/>
        </w:rPr>
        <w:t>την ημέρα</w:t>
      </w:r>
      <w:r>
        <w:rPr>
          <w:rFonts w:ascii="Times New Roman" w:hAnsi="Times New Roman"/>
          <w:color w:val="000000"/>
          <w:lang w:val="el-GR"/>
        </w:rPr>
        <w:t xml:space="preserve">) ειδικά όταν δεν έχει υπάρξει ανταπόκριση σε άλλη θεραπεία. Ένα δωδεκαδακτυλικό έλκος γενικά επουλώνεται εντός 2 εβδομάδων. Εάν η περίοδος των 2 εβδομάδων δεν είναι αρκετή, η επούλωση </w:t>
      </w:r>
      <w:r w:rsidR="008E5FD1">
        <w:rPr>
          <w:rFonts w:ascii="Times New Roman" w:hAnsi="Times New Roman"/>
          <w:color w:val="000000"/>
          <w:lang w:val="el-GR"/>
        </w:rPr>
        <w:t>θα επιτευχθεί σε όλες σχεδόν τις περιπτώσεις εντός 2</w:t>
      </w:r>
      <w:r>
        <w:rPr>
          <w:rFonts w:ascii="Times New Roman" w:hAnsi="Times New Roman"/>
          <w:color w:val="000000"/>
          <w:lang w:val="el-GR"/>
        </w:rPr>
        <w:t xml:space="preserve"> επιπλέον εβδομάδων.</w:t>
      </w:r>
      <w:r w:rsidRPr="00C80A84">
        <w:rPr>
          <w:rFonts w:ascii="Times New Roman" w:hAnsi="Times New Roman"/>
          <w:color w:val="000000"/>
          <w:lang w:val="el-GR"/>
        </w:rPr>
        <w:t xml:space="preserve"> </w:t>
      </w:r>
    </w:p>
    <w:p w:rsidR="00B96C76" w:rsidRDefault="00B96C76" w:rsidP="00B96C76">
      <w:pPr>
        <w:spacing w:after="0" w:line="240" w:lineRule="auto"/>
        <w:rPr>
          <w:rFonts w:ascii="Times New Roman" w:eastAsia="Times New Roman" w:hAnsi="Times New Roman"/>
          <w:color w:val="000000"/>
          <w:lang w:val="el-GR" w:eastAsia="el-GR"/>
        </w:rPr>
      </w:pPr>
    </w:p>
    <w:p w:rsidR="00D75C11" w:rsidRPr="00D75C11" w:rsidRDefault="00D75C11" w:rsidP="00B96C76">
      <w:pPr>
        <w:spacing w:after="0" w:line="240" w:lineRule="auto"/>
        <w:rPr>
          <w:rFonts w:ascii="Times New Roman" w:hAnsi="Times New Roman"/>
          <w:color w:val="000000"/>
          <w:u w:val="single"/>
          <w:lang w:val="el-GR"/>
        </w:rPr>
      </w:pPr>
      <w:r w:rsidRPr="00D75C11">
        <w:rPr>
          <w:rFonts w:ascii="Times New Roman" w:hAnsi="Times New Roman"/>
          <w:color w:val="000000"/>
          <w:u w:val="single"/>
          <w:lang w:val="el-GR"/>
        </w:rPr>
        <w:t xml:space="preserve">Σύνδρομο </w:t>
      </w:r>
      <w:proofErr w:type="spellStart"/>
      <w:r w:rsidRPr="00D75C11">
        <w:rPr>
          <w:rFonts w:ascii="Times New Roman" w:hAnsi="Times New Roman"/>
          <w:color w:val="000000"/>
          <w:u w:val="single"/>
        </w:rPr>
        <w:t>Zollinger</w:t>
      </w:r>
      <w:proofErr w:type="spellEnd"/>
      <w:r w:rsidRPr="00D75C11">
        <w:rPr>
          <w:rFonts w:ascii="Times New Roman" w:hAnsi="Times New Roman"/>
          <w:color w:val="000000"/>
          <w:u w:val="single"/>
          <w:lang w:val="el-GR"/>
        </w:rPr>
        <w:t xml:space="preserve"> </w:t>
      </w:r>
      <w:r w:rsidRPr="00D75C11">
        <w:rPr>
          <w:rFonts w:ascii="Times New Roman" w:hAnsi="Times New Roman"/>
          <w:color w:val="000000"/>
          <w:u w:val="single"/>
        </w:rPr>
        <w:t>Ellison</w:t>
      </w:r>
      <w:r w:rsidRPr="00D75C11">
        <w:rPr>
          <w:rFonts w:ascii="Times New Roman" w:hAnsi="Times New Roman"/>
          <w:color w:val="000000"/>
          <w:u w:val="single"/>
          <w:lang w:val="el-GR"/>
        </w:rPr>
        <w:t xml:space="preserve"> και άλλες παθολογικές υπερεκκριτικές καταστάσεις</w:t>
      </w:r>
    </w:p>
    <w:p w:rsidR="00D75C11" w:rsidRDefault="00D75C11" w:rsidP="00B96C76">
      <w:pPr>
        <w:spacing w:after="0" w:line="240" w:lineRule="auto"/>
        <w:rPr>
          <w:rFonts w:ascii="Times New Roman" w:hAnsi="Times New Roman"/>
          <w:color w:val="000000"/>
          <w:lang w:val="el-GR"/>
        </w:rPr>
      </w:pPr>
      <w:r>
        <w:rPr>
          <w:rFonts w:ascii="Times New Roman" w:eastAsia="Times New Roman" w:hAnsi="Times New Roman"/>
          <w:color w:val="000000"/>
          <w:lang w:val="el-GR" w:eastAsia="el-GR"/>
        </w:rPr>
        <w:t xml:space="preserve">Για τη μακροχρόνια αντιμετώπιση του Συνδρόμου </w:t>
      </w:r>
      <w:proofErr w:type="spellStart"/>
      <w:r w:rsidRPr="00D75C11">
        <w:rPr>
          <w:rFonts w:ascii="Times New Roman" w:hAnsi="Times New Roman"/>
          <w:color w:val="000000"/>
        </w:rPr>
        <w:t>Zollinger</w:t>
      </w:r>
      <w:proofErr w:type="spellEnd"/>
      <w:r w:rsidRPr="00D75C11">
        <w:rPr>
          <w:rFonts w:ascii="Times New Roman" w:hAnsi="Times New Roman"/>
          <w:color w:val="000000"/>
          <w:lang w:val="el-GR"/>
        </w:rPr>
        <w:t xml:space="preserve"> </w:t>
      </w:r>
      <w:r w:rsidRPr="00D75C11">
        <w:rPr>
          <w:rFonts w:ascii="Times New Roman" w:hAnsi="Times New Roman"/>
          <w:color w:val="000000"/>
        </w:rPr>
        <w:t>Ellison</w:t>
      </w:r>
      <w:r>
        <w:rPr>
          <w:rFonts w:ascii="Times New Roman" w:hAnsi="Times New Roman"/>
          <w:color w:val="000000"/>
          <w:lang w:val="el-GR"/>
        </w:rPr>
        <w:t xml:space="preserve"> και άλλων παθολογικών υπερεκκριτικών καταστάσεων οι ασθενείς πρέπει να ξεκινούν τη θεραπεία τους με μία ημερήσια δόση των 80 </w:t>
      </w:r>
      <w:r>
        <w:rPr>
          <w:rFonts w:ascii="Times New Roman" w:hAnsi="Times New Roman"/>
          <w:color w:val="000000"/>
        </w:rPr>
        <w:t>mg</w:t>
      </w:r>
      <w:r>
        <w:rPr>
          <w:rFonts w:ascii="Times New Roman" w:hAnsi="Times New Roman"/>
          <w:color w:val="000000"/>
          <w:lang w:val="el-GR"/>
        </w:rPr>
        <w:t xml:space="preserve"> (2 δισκία </w:t>
      </w:r>
      <w:r w:rsidRPr="00C80A84">
        <w:rPr>
          <w:rFonts w:ascii="Times New Roman" w:hAnsi="Times New Roman"/>
          <w:color w:val="000000"/>
        </w:rPr>
        <w:t>Pantoprazole</w:t>
      </w:r>
      <w:r w:rsidRPr="00C80A84">
        <w:rPr>
          <w:rFonts w:ascii="Times New Roman" w:hAnsi="Times New Roman"/>
          <w:color w:val="000000"/>
          <w:lang w:val="el-GR"/>
        </w:rPr>
        <w:t xml:space="preserve"> </w:t>
      </w:r>
      <w:r w:rsidR="0076537B">
        <w:rPr>
          <w:rFonts w:ascii="Times New Roman" w:hAnsi="Times New Roman"/>
          <w:color w:val="000000"/>
          <w:lang w:val="el-GR"/>
        </w:rPr>
        <w:t>/</w:t>
      </w:r>
      <w:r w:rsidRPr="00C80A84">
        <w:rPr>
          <w:rFonts w:ascii="Times New Roman" w:hAnsi="Times New Roman"/>
          <w:color w:val="000000"/>
        </w:rPr>
        <w:t>TAD</w:t>
      </w:r>
      <w:r>
        <w:rPr>
          <w:rFonts w:ascii="Times New Roman" w:hAnsi="Times New Roman"/>
          <w:color w:val="000000"/>
          <w:lang w:val="el-GR"/>
        </w:rPr>
        <w:t xml:space="preserve"> 40 </w:t>
      </w:r>
      <w:r>
        <w:rPr>
          <w:rFonts w:ascii="Times New Roman" w:hAnsi="Times New Roman"/>
          <w:color w:val="000000"/>
        </w:rPr>
        <w:t>mg</w:t>
      </w:r>
      <w:r w:rsidRPr="00D75C11">
        <w:rPr>
          <w:rFonts w:ascii="Times New Roman" w:hAnsi="Times New Roman"/>
          <w:color w:val="000000"/>
          <w:lang w:val="el-GR"/>
        </w:rPr>
        <w:t>)</w:t>
      </w:r>
      <w:r>
        <w:rPr>
          <w:rFonts w:ascii="Times New Roman" w:hAnsi="Times New Roman"/>
          <w:color w:val="000000"/>
          <w:lang w:val="el-GR"/>
        </w:rPr>
        <w:t>. Στη συνέχεια, η δόση μπορεί να τιτλοποιηθεί προς τα πάνω ή προς τα κάτω όπως απαιτείται χρησιμοποιώντας τις μετρήσεις της έκκρισης γ</w:t>
      </w:r>
      <w:r w:rsidR="006E5228">
        <w:rPr>
          <w:rFonts w:ascii="Times New Roman" w:hAnsi="Times New Roman"/>
          <w:color w:val="000000"/>
          <w:lang w:val="el-GR"/>
        </w:rPr>
        <w:t>αστρικού οξέος για καθοδήγηση. Σ</w:t>
      </w:r>
      <w:r>
        <w:rPr>
          <w:rFonts w:ascii="Times New Roman" w:hAnsi="Times New Roman"/>
          <w:color w:val="000000"/>
          <w:lang w:val="el-GR"/>
        </w:rPr>
        <w:t xml:space="preserve">ε δόσεις άνω των </w:t>
      </w:r>
      <w:r w:rsidRPr="00D75C11">
        <w:rPr>
          <w:rFonts w:ascii="Times New Roman" w:hAnsi="Times New Roman"/>
          <w:color w:val="000000"/>
          <w:lang w:val="el-GR"/>
        </w:rPr>
        <w:t xml:space="preserve">80 </w:t>
      </w:r>
      <w:r>
        <w:rPr>
          <w:rFonts w:ascii="Times New Roman" w:hAnsi="Times New Roman"/>
          <w:color w:val="000000"/>
        </w:rPr>
        <w:t>mg</w:t>
      </w:r>
      <w:r w:rsidRPr="00D75C11">
        <w:rPr>
          <w:rFonts w:ascii="Times New Roman" w:hAnsi="Times New Roman"/>
          <w:color w:val="000000"/>
          <w:lang w:val="el-GR"/>
        </w:rPr>
        <w:t xml:space="preserve"> </w:t>
      </w:r>
      <w:r>
        <w:rPr>
          <w:rFonts w:ascii="Times New Roman" w:hAnsi="Times New Roman"/>
          <w:color w:val="000000"/>
          <w:lang w:val="el-GR"/>
        </w:rPr>
        <w:t>ημερησίως, η δόση πρέ</w:t>
      </w:r>
      <w:r w:rsidR="006E5228">
        <w:rPr>
          <w:rFonts w:ascii="Times New Roman" w:hAnsi="Times New Roman"/>
          <w:color w:val="000000"/>
          <w:lang w:val="el-GR"/>
        </w:rPr>
        <w:t>πε</w:t>
      </w:r>
      <w:r>
        <w:rPr>
          <w:rFonts w:ascii="Times New Roman" w:hAnsi="Times New Roman"/>
          <w:color w:val="000000"/>
          <w:lang w:val="el-GR"/>
        </w:rPr>
        <w:t>ι να διαιρείται και να χορηγείται δύο φορές την ημέρα. Μία προσωρινή αύξηση της δόσ</w:t>
      </w:r>
      <w:r w:rsidR="006E5228">
        <w:rPr>
          <w:rFonts w:ascii="Times New Roman" w:hAnsi="Times New Roman"/>
          <w:color w:val="000000"/>
          <w:lang w:val="el-GR"/>
        </w:rPr>
        <w:t>ης</w:t>
      </w:r>
      <w:r>
        <w:rPr>
          <w:rFonts w:ascii="Times New Roman" w:hAnsi="Times New Roman"/>
          <w:color w:val="000000"/>
          <w:lang w:val="el-GR"/>
        </w:rPr>
        <w:t xml:space="preserve"> άνω των 160 </w:t>
      </w:r>
      <w:r>
        <w:rPr>
          <w:rFonts w:ascii="Times New Roman" w:hAnsi="Times New Roman"/>
          <w:color w:val="000000"/>
        </w:rPr>
        <w:t>mg</w:t>
      </w:r>
      <w:r w:rsidR="006E5228">
        <w:rPr>
          <w:rFonts w:ascii="Times New Roman" w:hAnsi="Times New Roman"/>
          <w:color w:val="000000"/>
          <w:lang w:val="el-GR"/>
        </w:rPr>
        <w:t xml:space="preserve"> παντροπραζόλης είναι δυνατή</w:t>
      </w:r>
      <w:r>
        <w:rPr>
          <w:rFonts w:ascii="Times New Roman" w:hAnsi="Times New Roman"/>
          <w:color w:val="000000"/>
          <w:lang w:val="el-GR"/>
        </w:rPr>
        <w:t>, αλλά δεν πρέπει να εφαρμόζεται για μεγαλύτερο διάστημα από αυτό που απαιτείται για τον επαρκή έλεγχο του οξέος.</w:t>
      </w:r>
    </w:p>
    <w:p w:rsidR="00D75C11" w:rsidRDefault="00D75C11" w:rsidP="00B96C76">
      <w:pPr>
        <w:spacing w:after="0" w:line="240" w:lineRule="auto"/>
        <w:rPr>
          <w:rFonts w:ascii="Times New Roman" w:hAnsi="Times New Roman"/>
          <w:color w:val="000000"/>
          <w:lang w:val="el-GR"/>
        </w:rPr>
      </w:pPr>
      <w:r>
        <w:rPr>
          <w:rFonts w:ascii="Times New Roman" w:hAnsi="Times New Roman"/>
          <w:color w:val="000000"/>
          <w:lang w:val="el-GR"/>
        </w:rPr>
        <w:t xml:space="preserve">Η διάρκεια </w:t>
      </w:r>
      <w:r w:rsidR="006E5228">
        <w:rPr>
          <w:rFonts w:ascii="Times New Roman" w:hAnsi="Times New Roman"/>
          <w:color w:val="000000"/>
          <w:lang w:val="el-GR"/>
        </w:rPr>
        <w:t xml:space="preserve">της </w:t>
      </w:r>
      <w:r>
        <w:rPr>
          <w:rFonts w:ascii="Times New Roman" w:hAnsi="Times New Roman"/>
          <w:color w:val="000000"/>
          <w:lang w:val="el-GR"/>
        </w:rPr>
        <w:t xml:space="preserve">θεραπείας του </w:t>
      </w:r>
      <w:r>
        <w:rPr>
          <w:rFonts w:ascii="Times New Roman" w:eastAsia="Times New Roman" w:hAnsi="Times New Roman"/>
          <w:color w:val="000000"/>
          <w:lang w:val="el-GR" w:eastAsia="el-GR"/>
        </w:rPr>
        <w:t xml:space="preserve">Συνδρόμου </w:t>
      </w:r>
      <w:proofErr w:type="spellStart"/>
      <w:r w:rsidRPr="00D75C11">
        <w:rPr>
          <w:rFonts w:ascii="Times New Roman" w:hAnsi="Times New Roman"/>
          <w:color w:val="000000"/>
        </w:rPr>
        <w:t>Zollinger</w:t>
      </w:r>
      <w:proofErr w:type="spellEnd"/>
      <w:r w:rsidRPr="00D75C11">
        <w:rPr>
          <w:rFonts w:ascii="Times New Roman" w:hAnsi="Times New Roman"/>
          <w:color w:val="000000"/>
          <w:lang w:val="el-GR"/>
        </w:rPr>
        <w:t xml:space="preserve"> </w:t>
      </w:r>
      <w:r w:rsidRPr="00D75C11">
        <w:rPr>
          <w:rFonts w:ascii="Times New Roman" w:hAnsi="Times New Roman"/>
          <w:color w:val="000000"/>
        </w:rPr>
        <w:t>Ellison</w:t>
      </w:r>
      <w:r>
        <w:rPr>
          <w:rFonts w:ascii="Times New Roman" w:hAnsi="Times New Roman"/>
          <w:color w:val="000000"/>
          <w:lang w:val="el-GR"/>
        </w:rPr>
        <w:t xml:space="preserve"> και άλλων παθολογικών υπερεκκριτικών καταστάσεων δεν </w:t>
      </w:r>
      <w:r w:rsidR="006E5228">
        <w:rPr>
          <w:rFonts w:ascii="Times New Roman" w:hAnsi="Times New Roman"/>
          <w:color w:val="000000"/>
          <w:lang w:val="el-GR"/>
        </w:rPr>
        <w:t xml:space="preserve">περιορίζεται </w:t>
      </w:r>
      <w:r>
        <w:rPr>
          <w:rFonts w:ascii="Times New Roman" w:hAnsi="Times New Roman"/>
          <w:color w:val="000000"/>
          <w:lang w:val="el-GR"/>
        </w:rPr>
        <w:t>και πρέπει να προσαρμόζεται ανάλογα με τις κλινικές ανάγκες.</w:t>
      </w:r>
    </w:p>
    <w:p w:rsidR="00D75C11" w:rsidRPr="00D75C11" w:rsidRDefault="00D75C11" w:rsidP="00B96C76">
      <w:pPr>
        <w:spacing w:after="0" w:line="240" w:lineRule="auto"/>
        <w:rPr>
          <w:rFonts w:ascii="Times New Roman" w:eastAsia="Times New Roman" w:hAnsi="Times New Roman"/>
          <w:color w:val="000000"/>
          <w:lang w:val="el-GR" w:eastAsia="el-GR"/>
        </w:rPr>
      </w:pPr>
    </w:p>
    <w:p w:rsidR="00C80A84" w:rsidRPr="00C80A84" w:rsidRDefault="00C80A84" w:rsidP="00C80A84">
      <w:pPr>
        <w:spacing w:after="0" w:line="240" w:lineRule="auto"/>
        <w:rPr>
          <w:rFonts w:ascii="Times New Roman" w:eastAsia="Times New Roman" w:hAnsi="Times New Roman"/>
          <w:i/>
          <w:iCs/>
          <w:color w:val="000000"/>
          <w:u w:val="single"/>
          <w:lang w:val="el-GR" w:eastAsia="el-GR"/>
        </w:rPr>
      </w:pPr>
      <w:r w:rsidRPr="00C80A84">
        <w:rPr>
          <w:rFonts w:ascii="Times New Roman" w:eastAsia="Times New Roman" w:hAnsi="Times New Roman"/>
          <w:i/>
          <w:iCs/>
          <w:color w:val="000000"/>
          <w:u w:val="single"/>
          <w:lang w:val="el-GR" w:eastAsia="el-GR"/>
        </w:rPr>
        <w:t>Ειδικοί πληθυσμοί</w:t>
      </w:r>
    </w:p>
    <w:p w:rsidR="00C80A84" w:rsidRPr="00C80A84" w:rsidRDefault="00C80A84" w:rsidP="00C80A84">
      <w:pPr>
        <w:spacing w:after="0" w:line="240" w:lineRule="auto"/>
        <w:rPr>
          <w:rFonts w:ascii="Times New Roman" w:eastAsia="Times New Roman" w:hAnsi="Times New Roman"/>
          <w:b/>
          <w:bCs/>
          <w:color w:val="000000"/>
          <w:lang w:val="el-GR" w:eastAsia="el-GR"/>
        </w:rPr>
      </w:pPr>
    </w:p>
    <w:p w:rsidR="00C80A84" w:rsidRPr="00C80A84" w:rsidRDefault="00C80A84" w:rsidP="00C80A84">
      <w:pPr>
        <w:spacing w:after="0" w:line="240" w:lineRule="auto"/>
        <w:rPr>
          <w:rFonts w:ascii="Times New Roman" w:eastAsia="Times New Roman" w:hAnsi="Times New Roman"/>
          <w:i/>
          <w:iCs/>
          <w:color w:val="000000"/>
          <w:lang w:val="el-GR" w:eastAsia="el-GR"/>
        </w:rPr>
      </w:pPr>
      <w:r w:rsidRPr="00C80A84">
        <w:rPr>
          <w:rFonts w:ascii="Times New Roman" w:eastAsia="Times New Roman" w:hAnsi="Times New Roman"/>
          <w:i/>
          <w:iCs/>
          <w:color w:val="000000"/>
          <w:lang w:val="el-GR" w:eastAsia="el-GR"/>
        </w:rPr>
        <w:t>Παιδιά ηλικίας κάτω των 12 ετών</w:t>
      </w:r>
    </w:p>
    <w:p w:rsidR="00C80A84" w:rsidRPr="00C80A84" w:rsidRDefault="00C80A84" w:rsidP="00C80A84">
      <w:pPr>
        <w:spacing w:after="0" w:line="240" w:lineRule="auto"/>
        <w:rPr>
          <w:rFonts w:ascii="Times New Roman" w:eastAsia="Times New Roman" w:hAnsi="Times New Roman"/>
          <w:color w:val="000000"/>
          <w:lang w:val="el-GR" w:eastAsia="el-GR"/>
        </w:rPr>
      </w:pPr>
      <w:proofErr w:type="gramStart"/>
      <w:r w:rsidRPr="00C80A84">
        <w:rPr>
          <w:rFonts w:ascii="Times New Roman" w:eastAsia="Times New Roman" w:hAnsi="Times New Roman"/>
          <w:color w:val="000000"/>
          <w:lang w:eastAsia="el-GR"/>
        </w:rPr>
        <w:t>To</w:t>
      </w:r>
      <w:r w:rsidRPr="00C80A84">
        <w:rPr>
          <w:rFonts w:ascii="Times New Roman" w:eastAsia="Times New Roman" w:hAnsi="Times New Roman"/>
          <w:color w:val="000000"/>
          <w:lang w:val="el-GR" w:eastAsia="el-GR"/>
        </w:rPr>
        <w:t xml:space="preserve"> </w:t>
      </w:r>
      <w:r w:rsidRPr="00C80A84">
        <w:rPr>
          <w:rFonts w:ascii="Times New Roman" w:hAnsi="Times New Roman"/>
          <w:color w:val="000000"/>
        </w:rPr>
        <w:t>Pantoprazole</w:t>
      </w:r>
      <w:r w:rsidRPr="00C80A84">
        <w:rPr>
          <w:rFonts w:ascii="Times New Roman" w:hAnsi="Times New Roman"/>
          <w:color w:val="000000"/>
          <w:lang w:val="el-GR"/>
        </w:rPr>
        <w:t xml:space="preserve"> </w:t>
      </w:r>
      <w:r w:rsidR="0076537B">
        <w:rPr>
          <w:rFonts w:ascii="Times New Roman" w:hAnsi="Times New Roman"/>
          <w:color w:val="000000"/>
          <w:lang w:val="el-GR"/>
        </w:rPr>
        <w:t>/</w:t>
      </w:r>
      <w:r w:rsidRPr="00C80A84">
        <w:rPr>
          <w:rFonts w:ascii="Times New Roman" w:hAnsi="Times New Roman"/>
          <w:color w:val="000000"/>
        </w:rPr>
        <w:t>TAD</w:t>
      </w:r>
      <w:r w:rsidRPr="00C80A84">
        <w:rPr>
          <w:rFonts w:ascii="Times New Roman" w:hAnsi="Times New Roman"/>
          <w:color w:val="000000"/>
          <w:lang w:val="el-GR"/>
        </w:rPr>
        <w:t xml:space="preserve"> δε συνιστάται για χρήση σε παιδιά ηλικίας κάτω των 12 ετών, λόγω </w:t>
      </w:r>
      <w:r w:rsidR="006E5228">
        <w:rPr>
          <w:rFonts w:ascii="Times New Roman" w:hAnsi="Times New Roman"/>
          <w:color w:val="000000"/>
          <w:lang w:val="el-GR"/>
        </w:rPr>
        <w:t xml:space="preserve">των </w:t>
      </w:r>
      <w:r w:rsidRPr="00C80A84">
        <w:rPr>
          <w:rFonts w:ascii="Times New Roman" w:hAnsi="Times New Roman"/>
          <w:color w:val="000000"/>
          <w:lang w:val="el-GR"/>
        </w:rPr>
        <w:t>περιορισμένων δεδομένων για την ασφάλεια και την αποτελεσματικότητα σε αυτή την ηλικιακή ομάδα.</w:t>
      </w:r>
      <w:proofErr w:type="gramEnd"/>
    </w:p>
    <w:p w:rsidR="00C80A84" w:rsidRPr="00C80A84" w:rsidRDefault="00C80A84" w:rsidP="00C80A84">
      <w:pPr>
        <w:spacing w:after="0" w:line="240" w:lineRule="auto"/>
        <w:rPr>
          <w:rFonts w:ascii="Times New Roman" w:eastAsia="Times New Roman" w:hAnsi="Times New Roman"/>
          <w:color w:val="000000"/>
          <w:lang w:val="el-GR" w:eastAsia="el-GR"/>
        </w:rPr>
      </w:pPr>
    </w:p>
    <w:p w:rsidR="00C80A84" w:rsidRPr="00C80A84" w:rsidRDefault="00C80A84" w:rsidP="00C80A84">
      <w:pPr>
        <w:spacing w:after="0" w:line="240" w:lineRule="auto"/>
        <w:rPr>
          <w:rFonts w:ascii="Times New Roman" w:eastAsia="Times New Roman" w:hAnsi="Times New Roman"/>
          <w:i/>
          <w:iCs/>
          <w:color w:val="000000"/>
          <w:lang w:val="el-GR" w:eastAsia="el-GR"/>
        </w:rPr>
      </w:pPr>
      <w:r w:rsidRPr="00C80A84">
        <w:rPr>
          <w:rFonts w:ascii="Times New Roman" w:eastAsia="Times New Roman" w:hAnsi="Times New Roman"/>
          <w:i/>
          <w:iCs/>
          <w:color w:val="000000"/>
          <w:lang w:val="el-GR" w:eastAsia="el-GR"/>
        </w:rPr>
        <w:t>Ηπατική δυσλειτουργία</w:t>
      </w:r>
    </w:p>
    <w:p w:rsidR="00C80A84" w:rsidRPr="004C4B1E" w:rsidRDefault="00C80A84" w:rsidP="00C80A84">
      <w:pPr>
        <w:spacing w:after="0" w:line="240" w:lineRule="auto"/>
        <w:rPr>
          <w:rFonts w:ascii="Times New Roman" w:eastAsia="Times New Roman" w:hAnsi="Times New Roman"/>
          <w:iCs/>
          <w:color w:val="000000"/>
          <w:lang w:val="el-GR" w:eastAsia="el-GR"/>
        </w:rPr>
      </w:pPr>
      <w:r w:rsidRPr="00C80A84">
        <w:rPr>
          <w:rFonts w:ascii="Times New Roman" w:eastAsia="Times New Roman" w:hAnsi="Times New Roman"/>
          <w:color w:val="000000"/>
          <w:lang w:val="el-GR" w:eastAsia="el-GR"/>
        </w:rPr>
        <w:t xml:space="preserve">Η ημερήσια δόση των 20 </w:t>
      </w:r>
      <w:r w:rsidRPr="00C80A84">
        <w:rPr>
          <w:rFonts w:ascii="Times New Roman" w:eastAsia="Times New Roman" w:hAnsi="Times New Roman"/>
          <w:color w:val="000000"/>
          <w:lang w:eastAsia="el-GR"/>
        </w:rPr>
        <w:t>mg</w:t>
      </w:r>
      <w:r w:rsidRPr="00C80A84">
        <w:rPr>
          <w:rFonts w:ascii="Times New Roman" w:eastAsia="Times New Roman" w:hAnsi="Times New Roman"/>
          <w:color w:val="000000"/>
          <w:lang w:val="el-GR" w:eastAsia="el-GR"/>
        </w:rPr>
        <w:t xml:space="preserve"> παντοπραζόλης</w:t>
      </w:r>
      <w:r w:rsidR="005E3AE6">
        <w:rPr>
          <w:rFonts w:ascii="Times New Roman" w:eastAsia="Times New Roman" w:hAnsi="Times New Roman"/>
          <w:color w:val="000000"/>
          <w:lang w:val="el-GR" w:eastAsia="el-GR"/>
        </w:rPr>
        <w:t xml:space="preserve"> (1 δισκίο των </w:t>
      </w:r>
      <w:r w:rsidR="005E3AE6" w:rsidRPr="00C80A84">
        <w:rPr>
          <w:rFonts w:ascii="Times New Roman" w:eastAsia="Times New Roman" w:hAnsi="Times New Roman"/>
          <w:color w:val="000000"/>
          <w:lang w:val="el-GR" w:eastAsia="el-GR"/>
        </w:rPr>
        <w:t xml:space="preserve">20 </w:t>
      </w:r>
      <w:r w:rsidR="005E3AE6" w:rsidRPr="00C80A84">
        <w:rPr>
          <w:rFonts w:ascii="Times New Roman" w:eastAsia="Times New Roman" w:hAnsi="Times New Roman"/>
          <w:color w:val="000000"/>
          <w:lang w:eastAsia="el-GR"/>
        </w:rPr>
        <w:t>mg</w:t>
      </w:r>
      <w:r w:rsidR="005E3AE6" w:rsidRPr="00C80A84">
        <w:rPr>
          <w:rFonts w:ascii="Times New Roman" w:eastAsia="Times New Roman" w:hAnsi="Times New Roman"/>
          <w:color w:val="000000"/>
          <w:lang w:val="el-GR" w:eastAsia="el-GR"/>
        </w:rPr>
        <w:t xml:space="preserve"> παντοπραζόλης</w:t>
      </w:r>
      <w:r w:rsidR="005E3AE6">
        <w:rPr>
          <w:rFonts w:ascii="Times New Roman" w:eastAsia="Times New Roman" w:hAnsi="Times New Roman"/>
          <w:color w:val="000000"/>
          <w:lang w:val="el-GR" w:eastAsia="el-GR"/>
        </w:rPr>
        <w:t>)</w:t>
      </w:r>
      <w:r w:rsidRPr="00C80A84">
        <w:rPr>
          <w:rFonts w:ascii="Times New Roman" w:eastAsia="Times New Roman" w:hAnsi="Times New Roman"/>
          <w:color w:val="000000"/>
          <w:lang w:val="el-GR" w:eastAsia="el-GR"/>
        </w:rPr>
        <w:t xml:space="preserve"> δεν πρέπει να υπερβαίνεται σε ασθενείς με σοβαρή ηπατική δ</w:t>
      </w:r>
      <w:r w:rsidR="005E3AE6">
        <w:rPr>
          <w:rFonts w:ascii="Times New Roman" w:eastAsia="Times New Roman" w:hAnsi="Times New Roman"/>
          <w:color w:val="000000"/>
          <w:lang w:val="el-GR" w:eastAsia="el-GR"/>
        </w:rPr>
        <w:t>υσλειτουργία</w:t>
      </w:r>
      <w:r w:rsidRPr="00C80A84">
        <w:rPr>
          <w:rFonts w:ascii="Times New Roman" w:eastAsia="Times New Roman" w:hAnsi="Times New Roman"/>
          <w:color w:val="000000"/>
          <w:lang w:val="el-GR" w:eastAsia="el-GR"/>
        </w:rPr>
        <w:t>.</w:t>
      </w:r>
      <w:r w:rsidR="005E3AE6">
        <w:rPr>
          <w:rFonts w:ascii="Times New Roman" w:eastAsia="Times New Roman" w:hAnsi="Times New Roman"/>
          <w:color w:val="000000"/>
          <w:lang w:val="el-GR" w:eastAsia="el-GR"/>
        </w:rPr>
        <w:t xml:space="preserve"> </w:t>
      </w:r>
      <w:proofErr w:type="gramStart"/>
      <w:r w:rsidR="005E3AE6" w:rsidRPr="00C80A84">
        <w:rPr>
          <w:rFonts w:ascii="Times New Roman" w:eastAsia="Times New Roman" w:hAnsi="Times New Roman"/>
          <w:color w:val="000000"/>
          <w:lang w:eastAsia="el-GR"/>
        </w:rPr>
        <w:t>To</w:t>
      </w:r>
      <w:r w:rsidR="005E3AE6" w:rsidRPr="00C80A84">
        <w:rPr>
          <w:rFonts w:ascii="Times New Roman" w:eastAsia="Times New Roman" w:hAnsi="Times New Roman"/>
          <w:color w:val="000000"/>
          <w:lang w:val="el-GR" w:eastAsia="el-GR"/>
        </w:rPr>
        <w:t xml:space="preserve"> </w:t>
      </w:r>
      <w:r w:rsidR="005E3AE6" w:rsidRPr="00C80A84">
        <w:rPr>
          <w:rFonts w:ascii="Times New Roman" w:hAnsi="Times New Roman"/>
          <w:color w:val="000000"/>
        </w:rPr>
        <w:t>Pantoprazole</w:t>
      </w:r>
      <w:r w:rsidR="0076537B">
        <w:rPr>
          <w:rFonts w:ascii="Times New Roman" w:hAnsi="Times New Roman"/>
          <w:color w:val="000000"/>
          <w:lang w:val="el-GR"/>
        </w:rPr>
        <w:t>/</w:t>
      </w:r>
      <w:r w:rsidR="005E3AE6" w:rsidRPr="00C80A84">
        <w:rPr>
          <w:rFonts w:ascii="Times New Roman" w:hAnsi="Times New Roman"/>
          <w:color w:val="000000"/>
          <w:lang w:val="el-GR"/>
        </w:rPr>
        <w:t xml:space="preserve"> </w:t>
      </w:r>
      <w:r w:rsidR="005E3AE6" w:rsidRPr="00C80A84">
        <w:rPr>
          <w:rFonts w:ascii="Times New Roman" w:hAnsi="Times New Roman"/>
          <w:color w:val="000000"/>
        </w:rPr>
        <w:t>TAD</w:t>
      </w:r>
      <w:r w:rsidR="005E3AE6">
        <w:rPr>
          <w:rFonts w:ascii="Times New Roman" w:hAnsi="Times New Roman"/>
          <w:color w:val="000000"/>
          <w:lang w:val="el-GR"/>
        </w:rPr>
        <w:t xml:space="preserve"> δεν πρέπει να χρησιμοποιείται σε θεραπεία συνδυασμού για την εκρίζωση του </w:t>
      </w:r>
      <w:r w:rsidR="005E3AE6" w:rsidRPr="00950C28">
        <w:rPr>
          <w:rFonts w:ascii="Times New Roman" w:hAnsi="Times New Roman"/>
          <w:i/>
          <w:color w:val="000000"/>
          <w:lang w:val="el-GR"/>
        </w:rPr>
        <w:t>Ελικοβακτηριδίο</w:t>
      </w:r>
      <w:r w:rsidR="005E3AE6">
        <w:rPr>
          <w:rFonts w:ascii="Times New Roman" w:hAnsi="Times New Roman"/>
          <w:i/>
          <w:color w:val="000000"/>
          <w:lang w:val="el-GR"/>
        </w:rPr>
        <w:t>υ</w:t>
      </w:r>
      <w:r w:rsidR="005E3AE6" w:rsidRPr="00950C28">
        <w:rPr>
          <w:rFonts w:ascii="Times New Roman" w:hAnsi="Times New Roman"/>
          <w:i/>
          <w:color w:val="000000"/>
          <w:lang w:val="el-GR"/>
        </w:rPr>
        <w:t xml:space="preserve"> του πυλωρού</w:t>
      </w:r>
      <w:r w:rsidR="004C4B1E">
        <w:rPr>
          <w:rFonts w:ascii="Times New Roman" w:hAnsi="Times New Roman"/>
          <w:i/>
          <w:color w:val="000000"/>
          <w:lang w:val="el-GR"/>
        </w:rPr>
        <w:t xml:space="preserve"> </w:t>
      </w:r>
      <w:r w:rsidR="004C4B1E">
        <w:rPr>
          <w:rFonts w:ascii="Times New Roman" w:hAnsi="Times New Roman"/>
          <w:iCs/>
          <w:color w:val="000000"/>
          <w:lang w:val="el-GR"/>
        </w:rPr>
        <w:t>σε ασθενείς με μέτρια έως σοβαρ</w:t>
      </w:r>
      <w:r w:rsidR="006E5228">
        <w:rPr>
          <w:rFonts w:ascii="Times New Roman" w:hAnsi="Times New Roman"/>
          <w:iCs/>
          <w:color w:val="000000"/>
          <w:lang w:val="el-GR"/>
        </w:rPr>
        <w:t>ή</w:t>
      </w:r>
      <w:r w:rsidR="004C4B1E">
        <w:rPr>
          <w:rFonts w:ascii="Times New Roman" w:hAnsi="Times New Roman"/>
          <w:iCs/>
          <w:color w:val="000000"/>
          <w:lang w:val="el-GR"/>
        </w:rPr>
        <w:t xml:space="preserve"> ηπατική δυσλειτουργία καθώς μέχρι σήμερα δεν υπάρχουν διαθέσιμα δεδομένα για την αποτελεσματικότητα και την ασφάλεια του </w:t>
      </w:r>
      <w:r w:rsidR="004C4B1E" w:rsidRPr="00C80A84">
        <w:rPr>
          <w:rFonts w:ascii="Times New Roman" w:hAnsi="Times New Roman"/>
          <w:color w:val="000000"/>
        </w:rPr>
        <w:t>Pantoprazole</w:t>
      </w:r>
      <w:r w:rsidR="004C4B1E" w:rsidRPr="00C80A84">
        <w:rPr>
          <w:rFonts w:ascii="Times New Roman" w:hAnsi="Times New Roman"/>
          <w:color w:val="000000"/>
          <w:lang w:val="el-GR"/>
        </w:rPr>
        <w:t xml:space="preserve"> </w:t>
      </w:r>
      <w:r w:rsidR="0076537B">
        <w:rPr>
          <w:rFonts w:ascii="Times New Roman" w:hAnsi="Times New Roman"/>
          <w:color w:val="000000"/>
          <w:lang w:val="el-GR"/>
        </w:rPr>
        <w:t>/</w:t>
      </w:r>
      <w:r w:rsidR="004C4B1E" w:rsidRPr="00C80A84">
        <w:rPr>
          <w:rFonts w:ascii="Times New Roman" w:hAnsi="Times New Roman"/>
          <w:color w:val="000000"/>
        </w:rPr>
        <w:t>TAD</w:t>
      </w:r>
      <w:r w:rsidR="004C4B1E">
        <w:rPr>
          <w:rFonts w:ascii="Times New Roman" w:hAnsi="Times New Roman"/>
          <w:color w:val="000000"/>
          <w:lang w:val="el-GR"/>
        </w:rPr>
        <w:t xml:space="preserve"> σε θεραπεία συνδυασμού γι’ αυτούς τους ασθενείς (βλ. παράγραφο 4.4).</w:t>
      </w:r>
      <w:proofErr w:type="gramEnd"/>
    </w:p>
    <w:p w:rsidR="00C80A84" w:rsidRPr="00723096" w:rsidRDefault="00C80A84" w:rsidP="00C80A84">
      <w:pPr>
        <w:spacing w:after="0" w:line="240" w:lineRule="auto"/>
        <w:rPr>
          <w:rFonts w:ascii="Times New Roman" w:eastAsia="Times New Roman" w:hAnsi="Times New Roman"/>
          <w:color w:val="000000"/>
          <w:lang w:val="el-GR" w:eastAsia="el-GR"/>
        </w:rPr>
      </w:pPr>
    </w:p>
    <w:p w:rsidR="00AB6031" w:rsidRPr="00723096" w:rsidRDefault="00AB6031" w:rsidP="00C80A84">
      <w:pPr>
        <w:spacing w:after="0" w:line="240" w:lineRule="auto"/>
        <w:rPr>
          <w:rFonts w:ascii="Times New Roman" w:eastAsia="Times New Roman" w:hAnsi="Times New Roman"/>
          <w:color w:val="000000"/>
          <w:lang w:val="el-GR" w:eastAsia="el-GR"/>
        </w:rPr>
      </w:pPr>
    </w:p>
    <w:p w:rsidR="00C80A84" w:rsidRPr="00C80A84" w:rsidRDefault="00C80A84" w:rsidP="00C80A84">
      <w:pPr>
        <w:spacing w:after="0" w:line="240" w:lineRule="auto"/>
        <w:rPr>
          <w:rFonts w:ascii="Times New Roman" w:eastAsia="Times New Roman" w:hAnsi="Times New Roman"/>
          <w:i/>
          <w:iCs/>
          <w:color w:val="000000"/>
          <w:lang w:val="el-GR" w:eastAsia="el-GR"/>
        </w:rPr>
      </w:pPr>
      <w:r w:rsidRPr="00C80A84">
        <w:rPr>
          <w:rFonts w:ascii="Times New Roman" w:eastAsia="Times New Roman" w:hAnsi="Times New Roman"/>
          <w:i/>
          <w:iCs/>
          <w:color w:val="000000"/>
          <w:lang w:val="el-GR" w:eastAsia="el-GR"/>
        </w:rPr>
        <w:lastRenderedPageBreak/>
        <w:t>Νεφρική δυσλειτουργία</w:t>
      </w:r>
    </w:p>
    <w:p w:rsidR="00C80A84" w:rsidRPr="00C80A84" w:rsidRDefault="00C80A84" w:rsidP="004C4B1E">
      <w:pPr>
        <w:spacing w:after="0" w:line="240" w:lineRule="auto"/>
        <w:rPr>
          <w:rFonts w:ascii="Times New Roman" w:eastAsia="Times New Roman" w:hAnsi="Times New Roman"/>
          <w:color w:val="000000"/>
          <w:lang w:val="el-GR" w:eastAsia="el-GR"/>
        </w:rPr>
      </w:pPr>
      <w:r w:rsidRPr="00C80A84">
        <w:rPr>
          <w:rFonts w:ascii="Times New Roman" w:eastAsia="Times New Roman" w:hAnsi="Times New Roman"/>
          <w:color w:val="000000"/>
          <w:lang w:val="el-GR" w:eastAsia="el-GR"/>
        </w:rPr>
        <w:t xml:space="preserve">Δεν απαιτείται προσαρμογή της δόσης σε ασθενείς με νεφρική δυσλειτουργία. </w:t>
      </w:r>
      <w:proofErr w:type="gramStart"/>
      <w:r w:rsidR="004C4B1E" w:rsidRPr="00C80A84">
        <w:rPr>
          <w:rFonts w:ascii="Times New Roman" w:eastAsia="Times New Roman" w:hAnsi="Times New Roman"/>
          <w:color w:val="000000"/>
          <w:lang w:eastAsia="el-GR"/>
        </w:rPr>
        <w:t>To</w:t>
      </w:r>
      <w:r w:rsidR="004C4B1E" w:rsidRPr="00C80A84">
        <w:rPr>
          <w:rFonts w:ascii="Times New Roman" w:eastAsia="Times New Roman" w:hAnsi="Times New Roman"/>
          <w:color w:val="000000"/>
          <w:lang w:val="el-GR" w:eastAsia="el-GR"/>
        </w:rPr>
        <w:t xml:space="preserve"> </w:t>
      </w:r>
      <w:r w:rsidR="004C4B1E" w:rsidRPr="00C80A84">
        <w:rPr>
          <w:rFonts w:ascii="Times New Roman" w:hAnsi="Times New Roman"/>
          <w:color w:val="000000"/>
        </w:rPr>
        <w:t>Pantoprazole</w:t>
      </w:r>
      <w:r w:rsidR="0076537B">
        <w:rPr>
          <w:rFonts w:ascii="Times New Roman" w:hAnsi="Times New Roman"/>
          <w:color w:val="000000"/>
          <w:lang w:val="el-GR"/>
        </w:rPr>
        <w:t>/</w:t>
      </w:r>
      <w:r w:rsidR="004C4B1E" w:rsidRPr="00C80A84">
        <w:rPr>
          <w:rFonts w:ascii="Times New Roman" w:hAnsi="Times New Roman"/>
          <w:color w:val="000000"/>
          <w:lang w:val="el-GR"/>
        </w:rPr>
        <w:t xml:space="preserve"> </w:t>
      </w:r>
      <w:r w:rsidR="004C4B1E" w:rsidRPr="00C80A84">
        <w:rPr>
          <w:rFonts w:ascii="Times New Roman" w:hAnsi="Times New Roman"/>
          <w:color w:val="000000"/>
        </w:rPr>
        <w:t>TAD</w:t>
      </w:r>
      <w:r w:rsidR="004C4B1E">
        <w:rPr>
          <w:rFonts w:ascii="Times New Roman" w:hAnsi="Times New Roman"/>
          <w:color w:val="000000"/>
          <w:lang w:val="el-GR"/>
        </w:rPr>
        <w:t xml:space="preserve"> δεν πρέπει να χρησιμοποιείται σε θεραπεία συνδυασμού για την εκρίζωση του </w:t>
      </w:r>
      <w:r w:rsidR="004C4B1E" w:rsidRPr="00950C28">
        <w:rPr>
          <w:rFonts w:ascii="Times New Roman" w:hAnsi="Times New Roman"/>
          <w:i/>
          <w:color w:val="000000"/>
          <w:lang w:val="el-GR"/>
        </w:rPr>
        <w:t>Ελικοβακτηριδίο</w:t>
      </w:r>
      <w:r w:rsidR="004C4B1E">
        <w:rPr>
          <w:rFonts w:ascii="Times New Roman" w:hAnsi="Times New Roman"/>
          <w:i/>
          <w:color w:val="000000"/>
          <w:lang w:val="el-GR"/>
        </w:rPr>
        <w:t>υ</w:t>
      </w:r>
      <w:r w:rsidR="004C4B1E" w:rsidRPr="00950C28">
        <w:rPr>
          <w:rFonts w:ascii="Times New Roman" w:hAnsi="Times New Roman"/>
          <w:i/>
          <w:color w:val="000000"/>
          <w:lang w:val="el-GR"/>
        </w:rPr>
        <w:t xml:space="preserve"> του πυλωρού</w:t>
      </w:r>
      <w:r w:rsidR="004C4B1E">
        <w:rPr>
          <w:rFonts w:ascii="Times New Roman" w:hAnsi="Times New Roman"/>
          <w:i/>
          <w:color w:val="000000"/>
          <w:lang w:val="el-GR"/>
        </w:rPr>
        <w:t xml:space="preserve"> </w:t>
      </w:r>
      <w:r w:rsidR="004C4B1E">
        <w:rPr>
          <w:rFonts w:ascii="Times New Roman" w:hAnsi="Times New Roman"/>
          <w:iCs/>
          <w:color w:val="000000"/>
          <w:lang w:val="el-GR"/>
        </w:rPr>
        <w:t xml:space="preserve">σε ασθενείς με νεφρική δυσλειτουργία καθώς μέχρι σήμερα δεν υπάρχουν διαθέσιμα δεδομένα για την αποτελεσματικότητα και την ασφάλεια του </w:t>
      </w:r>
      <w:r w:rsidR="004C4B1E" w:rsidRPr="00C80A84">
        <w:rPr>
          <w:rFonts w:ascii="Times New Roman" w:hAnsi="Times New Roman"/>
          <w:color w:val="000000"/>
        </w:rPr>
        <w:t>Pantoprazole</w:t>
      </w:r>
      <w:r w:rsidR="004C4B1E" w:rsidRPr="00C80A84">
        <w:rPr>
          <w:rFonts w:ascii="Times New Roman" w:hAnsi="Times New Roman"/>
          <w:color w:val="000000"/>
          <w:lang w:val="el-GR"/>
        </w:rPr>
        <w:t xml:space="preserve"> </w:t>
      </w:r>
      <w:r w:rsidR="0076537B">
        <w:rPr>
          <w:rFonts w:ascii="Times New Roman" w:hAnsi="Times New Roman"/>
          <w:color w:val="000000"/>
          <w:lang w:val="el-GR"/>
        </w:rPr>
        <w:t>/</w:t>
      </w:r>
      <w:r w:rsidR="004C4B1E" w:rsidRPr="00C80A84">
        <w:rPr>
          <w:rFonts w:ascii="Times New Roman" w:hAnsi="Times New Roman"/>
          <w:color w:val="000000"/>
        </w:rPr>
        <w:t>TAD</w:t>
      </w:r>
      <w:r w:rsidR="004C4B1E">
        <w:rPr>
          <w:rFonts w:ascii="Times New Roman" w:hAnsi="Times New Roman"/>
          <w:color w:val="000000"/>
          <w:lang w:val="el-GR"/>
        </w:rPr>
        <w:t xml:space="preserve"> σε θεραπεία συνδυασμού γι’ αυτούς τους ασθενείς.</w:t>
      </w:r>
      <w:proofErr w:type="gramEnd"/>
    </w:p>
    <w:p w:rsidR="00C80A84" w:rsidRPr="00C80A84" w:rsidRDefault="00C80A84" w:rsidP="00C80A84">
      <w:pPr>
        <w:spacing w:after="0" w:line="240" w:lineRule="auto"/>
        <w:rPr>
          <w:rFonts w:ascii="Times New Roman" w:eastAsia="Times New Roman" w:hAnsi="Times New Roman"/>
          <w:color w:val="000000"/>
          <w:lang w:val="el-GR" w:eastAsia="el-GR"/>
        </w:rPr>
      </w:pPr>
    </w:p>
    <w:p w:rsidR="00C80A84" w:rsidRPr="00C80A84" w:rsidRDefault="00C80A84" w:rsidP="00C80A84">
      <w:pPr>
        <w:spacing w:after="0" w:line="240" w:lineRule="auto"/>
        <w:rPr>
          <w:rFonts w:ascii="Times New Roman" w:eastAsia="Times New Roman" w:hAnsi="Times New Roman"/>
          <w:i/>
          <w:iCs/>
          <w:color w:val="000000"/>
          <w:lang w:val="el-GR" w:eastAsia="el-GR"/>
        </w:rPr>
      </w:pPr>
      <w:r w:rsidRPr="00C80A84">
        <w:rPr>
          <w:rFonts w:ascii="Times New Roman" w:eastAsia="Times New Roman" w:hAnsi="Times New Roman"/>
          <w:i/>
          <w:iCs/>
          <w:color w:val="000000"/>
          <w:lang w:val="el-GR" w:eastAsia="el-GR"/>
        </w:rPr>
        <w:t>Ηλικιωμένοι</w:t>
      </w:r>
    </w:p>
    <w:p w:rsidR="00C80A84" w:rsidRPr="00C80A84" w:rsidRDefault="00C80A84" w:rsidP="00C80A84">
      <w:pPr>
        <w:spacing w:after="0" w:line="240" w:lineRule="auto"/>
        <w:rPr>
          <w:rFonts w:ascii="Times New Roman" w:eastAsia="Times New Roman" w:hAnsi="Times New Roman"/>
          <w:color w:val="000000"/>
          <w:lang w:val="el-GR" w:eastAsia="el-GR"/>
        </w:rPr>
      </w:pPr>
      <w:r w:rsidRPr="00C80A84">
        <w:rPr>
          <w:rFonts w:ascii="Times New Roman" w:eastAsia="Times New Roman" w:hAnsi="Times New Roman"/>
          <w:color w:val="000000"/>
          <w:lang w:val="el-GR" w:eastAsia="el-GR"/>
        </w:rPr>
        <w:t>Δεν απαιτείται προσαρμογή της δόσης σε ηλικιωμένους ασθενείς.</w:t>
      </w:r>
    </w:p>
    <w:p w:rsidR="00C80A84" w:rsidRPr="00C80A84" w:rsidRDefault="00C80A84" w:rsidP="00C80A84">
      <w:pPr>
        <w:autoSpaceDE w:val="0"/>
        <w:autoSpaceDN w:val="0"/>
        <w:adjustRightInd w:val="0"/>
        <w:spacing w:after="0" w:line="240" w:lineRule="auto"/>
        <w:rPr>
          <w:rFonts w:ascii="Times New Roman" w:hAnsi="Times New Roman"/>
          <w:b/>
          <w:bCs/>
          <w:color w:val="000000"/>
          <w:lang w:val="el-GR"/>
        </w:rPr>
      </w:pPr>
    </w:p>
    <w:p w:rsidR="00C80A84" w:rsidRPr="002A11C9" w:rsidRDefault="004C4B1E" w:rsidP="00C80A84">
      <w:pPr>
        <w:autoSpaceDE w:val="0"/>
        <w:autoSpaceDN w:val="0"/>
        <w:adjustRightInd w:val="0"/>
        <w:spacing w:after="0" w:line="240" w:lineRule="auto"/>
        <w:rPr>
          <w:rFonts w:ascii="Times New Roman" w:hAnsi="Times New Roman"/>
          <w:b/>
          <w:bCs/>
          <w:color w:val="000000"/>
          <w:lang w:val="el-GR"/>
        </w:rPr>
      </w:pPr>
      <w:r>
        <w:rPr>
          <w:rFonts w:ascii="Times New Roman" w:hAnsi="Times New Roman"/>
          <w:b/>
          <w:bCs/>
          <w:color w:val="000000"/>
          <w:lang w:val="el-GR"/>
        </w:rPr>
        <w:t xml:space="preserve">4.3       </w:t>
      </w:r>
      <w:r w:rsidR="00C80A84" w:rsidRPr="00C80A84">
        <w:rPr>
          <w:rFonts w:ascii="Times New Roman" w:hAnsi="Times New Roman"/>
          <w:b/>
          <w:bCs/>
          <w:color w:val="000000"/>
          <w:lang w:val="el-GR"/>
        </w:rPr>
        <w:t>Αντενδείξεις</w:t>
      </w:r>
    </w:p>
    <w:p w:rsidR="00C80A84" w:rsidRPr="00C80A84" w:rsidRDefault="00C80A84" w:rsidP="00C80A84">
      <w:pPr>
        <w:spacing w:after="0" w:line="240" w:lineRule="auto"/>
        <w:rPr>
          <w:rFonts w:ascii="Times New Roman" w:eastAsia="Times New Roman" w:hAnsi="Times New Roman"/>
          <w:color w:val="000000"/>
          <w:lang w:val="el-GR" w:eastAsia="el-GR"/>
        </w:rPr>
      </w:pPr>
      <w:r w:rsidRPr="00C80A84">
        <w:rPr>
          <w:rFonts w:ascii="Times New Roman" w:eastAsia="Times New Roman" w:hAnsi="Times New Roman"/>
          <w:color w:val="000000"/>
          <w:lang w:val="el-GR" w:eastAsia="el-GR"/>
        </w:rPr>
        <w:t>Υπερευαισθησία στη δραστική ουσία, σε υποκατεστημένες βενζιμιδαζόλες, στη σορβι</w:t>
      </w:r>
      <w:r w:rsidR="004C4B1E">
        <w:rPr>
          <w:rFonts w:ascii="Times New Roman" w:eastAsia="Times New Roman" w:hAnsi="Times New Roman"/>
          <w:color w:val="000000"/>
          <w:lang w:val="el-GR" w:eastAsia="el-GR"/>
        </w:rPr>
        <w:t>τόλη ή σε κάποιο από τα έκδοχα ή στους παράγοντες συνδυασμού.</w:t>
      </w:r>
    </w:p>
    <w:p w:rsidR="00C80A84" w:rsidRPr="00C80A84" w:rsidRDefault="00C80A84" w:rsidP="00C80A84">
      <w:pPr>
        <w:spacing w:after="0" w:line="240" w:lineRule="auto"/>
        <w:ind w:left="540"/>
        <w:rPr>
          <w:rFonts w:ascii="Times New Roman" w:eastAsia="Times New Roman" w:hAnsi="Times New Roman"/>
          <w:color w:val="000000"/>
          <w:lang w:val="el-GR" w:eastAsia="el-GR"/>
        </w:rPr>
      </w:pPr>
    </w:p>
    <w:p w:rsidR="00C80A84" w:rsidRPr="00AB6031" w:rsidRDefault="00C80A84" w:rsidP="00C80A84">
      <w:pPr>
        <w:numPr>
          <w:ilvl w:val="1"/>
          <w:numId w:val="9"/>
        </w:numPr>
        <w:autoSpaceDE w:val="0"/>
        <w:autoSpaceDN w:val="0"/>
        <w:adjustRightInd w:val="0"/>
        <w:spacing w:after="0" w:line="240" w:lineRule="auto"/>
        <w:ind w:hanging="644"/>
        <w:rPr>
          <w:rFonts w:ascii="Times New Roman" w:hAnsi="Times New Roman"/>
          <w:b/>
          <w:bCs/>
          <w:color w:val="000000"/>
          <w:lang w:val="el-GR"/>
        </w:rPr>
      </w:pPr>
      <w:r w:rsidRPr="00C80A84">
        <w:rPr>
          <w:rFonts w:ascii="Times New Roman" w:hAnsi="Times New Roman"/>
          <w:b/>
          <w:bCs/>
          <w:color w:val="000000"/>
          <w:lang w:val="el-GR"/>
        </w:rPr>
        <w:t>Ειδικές προειδοποιήσεις και προφυλάξεις κατά τη χρήση</w:t>
      </w:r>
    </w:p>
    <w:p w:rsidR="00C80A84" w:rsidRPr="00C80A84" w:rsidRDefault="00C80A84" w:rsidP="00C80A84">
      <w:pPr>
        <w:spacing w:after="0" w:line="240" w:lineRule="auto"/>
        <w:rPr>
          <w:rFonts w:ascii="Times New Roman" w:eastAsia="Times New Roman" w:hAnsi="Times New Roman"/>
          <w:i/>
          <w:iCs/>
          <w:color w:val="000000"/>
          <w:lang w:val="el-GR" w:eastAsia="el-GR"/>
        </w:rPr>
      </w:pPr>
      <w:r w:rsidRPr="00C80A84">
        <w:rPr>
          <w:rFonts w:ascii="Times New Roman" w:eastAsia="Times New Roman" w:hAnsi="Times New Roman"/>
          <w:i/>
          <w:iCs/>
          <w:color w:val="000000"/>
          <w:lang w:val="el-GR" w:eastAsia="el-GR"/>
        </w:rPr>
        <w:t>Ηπατική δυσλειτουργία</w:t>
      </w:r>
    </w:p>
    <w:p w:rsidR="00C80A84" w:rsidRPr="00C80A84" w:rsidRDefault="00C80A84" w:rsidP="00C80A84">
      <w:pPr>
        <w:autoSpaceDE w:val="0"/>
        <w:autoSpaceDN w:val="0"/>
        <w:adjustRightInd w:val="0"/>
        <w:spacing w:after="0" w:line="240" w:lineRule="auto"/>
        <w:rPr>
          <w:rFonts w:ascii="Times New Roman" w:hAnsi="Times New Roman"/>
          <w:color w:val="000000"/>
          <w:lang w:val="el-GR"/>
        </w:rPr>
      </w:pPr>
      <w:r w:rsidRPr="00C80A84">
        <w:rPr>
          <w:rFonts w:ascii="Times New Roman" w:hAnsi="Times New Roman"/>
          <w:color w:val="000000"/>
          <w:lang w:val="el-GR"/>
        </w:rPr>
        <w:t>Σε ασθενείς με σοβαρή ηπατική δυσλειτουργία πρέπει να παρακολουθούνται τακτικά τα ηπατικά ένζυμα κατά τη διάρκεια της θεραπείας με παντοπραζόλη, ιδιαίτερα σε μακροχρόνια χρήση. Σε περίπτωση αύξησης των ηπατικών ενζύμων η θεραπεία πρέπει να διακοπεί (βλ. παράγραφο 4.2).</w:t>
      </w:r>
    </w:p>
    <w:p w:rsidR="00C80A84" w:rsidRPr="00C80A84" w:rsidRDefault="00C80A84" w:rsidP="00C80A84">
      <w:pPr>
        <w:autoSpaceDE w:val="0"/>
        <w:autoSpaceDN w:val="0"/>
        <w:adjustRightInd w:val="0"/>
        <w:spacing w:after="0" w:line="240" w:lineRule="auto"/>
        <w:rPr>
          <w:rFonts w:ascii="Times New Roman" w:hAnsi="Times New Roman"/>
          <w:color w:val="000000"/>
          <w:lang w:val="el-GR"/>
        </w:rPr>
      </w:pPr>
    </w:p>
    <w:p w:rsidR="00C80A84" w:rsidRPr="006E5228" w:rsidRDefault="00677A77" w:rsidP="00C80A84">
      <w:pPr>
        <w:spacing w:after="0" w:line="240" w:lineRule="auto"/>
        <w:rPr>
          <w:rFonts w:ascii="Times New Roman" w:hAnsi="Times New Roman"/>
          <w:bCs/>
          <w:i/>
          <w:color w:val="000000"/>
          <w:lang w:val="el-GR"/>
        </w:rPr>
      </w:pPr>
      <w:r w:rsidRPr="006E5228">
        <w:rPr>
          <w:rFonts w:ascii="Times New Roman" w:hAnsi="Times New Roman"/>
          <w:bCs/>
          <w:i/>
          <w:color w:val="000000"/>
          <w:lang w:val="el-GR"/>
        </w:rPr>
        <w:t>Θεραπεία συνδυασμού</w:t>
      </w:r>
    </w:p>
    <w:p w:rsidR="00677A77" w:rsidRDefault="00677A77" w:rsidP="00C80A84">
      <w:pPr>
        <w:spacing w:after="0" w:line="240" w:lineRule="auto"/>
        <w:rPr>
          <w:rFonts w:ascii="Times New Roman" w:hAnsi="Times New Roman"/>
          <w:bCs/>
          <w:color w:val="000000"/>
          <w:lang w:val="el-GR"/>
        </w:rPr>
      </w:pPr>
      <w:r>
        <w:rPr>
          <w:rFonts w:ascii="Times New Roman" w:hAnsi="Times New Roman"/>
          <w:bCs/>
          <w:color w:val="000000"/>
          <w:lang w:val="el-GR"/>
        </w:rPr>
        <w:t>Σε περίπτωση θεραπ</w:t>
      </w:r>
      <w:r w:rsidR="006E5228">
        <w:rPr>
          <w:rFonts w:ascii="Times New Roman" w:hAnsi="Times New Roman"/>
          <w:bCs/>
          <w:color w:val="000000"/>
          <w:lang w:val="el-GR"/>
        </w:rPr>
        <w:t>είας σ</w:t>
      </w:r>
      <w:r>
        <w:rPr>
          <w:rFonts w:ascii="Times New Roman" w:hAnsi="Times New Roman"/>
          <w:bCs/>
          <w:color w:val="000000"/>
          <w:lang w:val="el-GR"/>
        </w:rPr>
        <w:t xml:space="preserve">υνδυασμού, πρέπει να </w:t>
      </w:r>
      <w:r w:rsidR="006E5228">
        <w:rPr>
          <w:rFonts w:ascii="Times New Roman" w:hAnsi="Times New Roman"/>
          <w:bCs/>
          <w:color w:val="000000"/>
          <w:lang w:val="el-GR"/>
        </w:rPr>
        <w:t>λαμβάνονται υπόψη</w:t>
      </w:r>
      <w:r>
        <w:rPr>
          <w:rFonts w:ascii="Times New Roman" w:hAnsi="Times New Roman"/>
          <w:bCs/>
          <w:color w:val="000000"/>
          <w:lang w:val="el-GR"/>
        </w:rPr>
        <w:t xml:space="preserve"> οι περιλήψεις των χαρακτηριστικών του προϊόντος των αντίστοιχων φαρμακευτικών προϊόντων.</w:t>
      </w:r>
    </w:p>
    <w:p w:rsidR="00677A77" w:rsidRPr="00C80A84" w:rsidRDefault="00677A77" w:rsidP="00C80A84">
      <w:pPr>
        <w:spacing w:after="0" w:line="240" w:lineRule="auto"/>
        <w:rPr>
          <w:rFonts w:ascii="Times New Roman" w:hAnsi="Times New Roman"/>
          <w:bCs/>
          <w:color w:val="000000"/>
          <w:lang w:val="el-GR"/>
        </w:rPr>
      </w:pPr>
    </w:p>
    <w:p w:rsidR="00C80A84" w:rsidRPr="00C80A84" w:rsidRDefault="00C80A84" w:rsidP="00C80A84">
      <w:pPr>
        <w:spacing w:after="0" w:line="240" w:lineRule="auto"/>
        <w:rPr>
          <w:rFonts w:ascii="Times New Roman" w:hAnsi="Times New Roman"/>
          <w:bCs/>
          <w:i/>
          <w:iCs/>
          <w:color w:val="000000"/>
          <w:lang w:val="el-GR"/>
        </w:rPr>
      </w:pPr>
      <w:r w:rsidRPr="00C80A84">
        <w:rPr>
          <w:rFonts w:ascii="Times New Roman" w:eastAsia="Times New Roman" w:hAnsi="Times New Roman"/>
          <w:i/>
          <w:iCs/>
          <w:color w:val="000000"/>
          <w:lang w:val="el-GR" w:eastAsia="el-GR"/>
        </w:rPr>
        <w:t>Παρουσία ανησυχητικών συμπτωμάτων</w:t>
      </w:r>
    </w:p>
    <w:p w:rsidR="00C80A84" w:rsidRPr="00C80A84" w:rsidRDefault="00C80A84" w:rsidP="00C80A84">
      <w:pPr>
        <w:spacing w:after="0" w:line="240" w:lineRule="auto"/>
        <w:rPr>
          <w:rFonts w:ascii="Times New Roman" w:eastAsia="Times New Roman" w:hAnsi="Times New Roman"/>
          <w:color w:val="000000"/>
          <w:lang w:val="el-GR" w:eastAsia="el-GR"/>
        </w:rPr>
      </w:pPr>
      <w:r w:rsidRPr="00C80A84">
        <w:rPr>
          <w:rFonts w:ascii="Times New Roman" w:eastAsia="Times New Roman" w:hAnsi="Times New Roman"/>
          <w:color w:val="000000"/>
          <w:lang w:val="el-GR" w:eastAsia="el-GR"/>
        </w:rPr>
        <w:t>Παρουσία ανησυχητικών συμπτωμάτων (π.χ. σημαντική μη επιδιωκόμενη απώλεια βάρους, επαναλαμβανόμενοι έμετοι, δυσφαγία, αιματέμεση, αναιμία ή μέλαινα) και σε περίπτωση υποψίας ή παρουσίας γαστρικού έλκους, πρέπει πρώτα να αποκλείεται η ύπαρξη κακοήθειας, καθώς η θεραπεία με</w:t>
      </w:r>
      <w:r w:rsidRPr="00C80A84">
        <w:rPr>
          <w:rFonts w:ascii="Times New Roman" w:eastAsia="Times New Roman" w:hAnsi="Times New Roman"/>
          <w:b/>
          <w:bCs/>
          <w:color w:val="000000"/>
          <w:lang w:val="el-GR" w:eastAsia="el-GR"/>
        </w:rPr>
        <w:t xml:space="preserve"> </w:t>
      </w:r>
      <w:r w:rsidRPr="00C80A84">
        <w:rPr>
          <w:rFonts w:ascii="Times New Roman" w:eastAsia="Times New Roman" w:hAnsi="Times New Roman"/>
          <w:bCs/>
          <w:color w:val="000000"/>
          <w:lang w:val="el-GR" w:eastAsia="el-GR"/>
        </w:rPr>
        <w:t>παντοπραζόλη</w:t>
      </w:r>
      <w:r w:rsidRPr="00C80A84">
        <w:rPr>
          <w:rFonts w:ascii="Times New Roman" w:eastAsia="Times New Roman" w:hAnsi="Times New Roman"/>
          <w:b/>
          <w:bCs/>
          <w:color w:val="000000"/>
          <w:lang w:val="el-GR" w:eastAsia="el-GR"/>
        </w:rPr>
        <w:t xml:space="preserve"> </w:t>
      </w:r>
      <w:r w:rsidRPr="00C80A84">
        <w:rPr>
          <w:rFonts w:ascii="Times New Roman" w:eastAsia="Times New Roman" w:hAnsi="Times New Roman"/>
          <w:color w:val="000000"/>
          <w:lang w:val="el-GR" w:eastAsia="el-GR"/>
        </w:rPr>
        <w:t>μπορεί να ανακουφίσει από τα συμπτώματα και να καθυστερήσει τη διάγνωση.</w:t>
      </w:r>
    </w:p>
    <w:p w:rsidR="00C80A84" w:rsidRPr="00C80A84" w:rsidRDefault="00C80A84" w:rsidP="00C80A84">
      <w:pPr>
        <w:spacing w:after="0" w:line="240" w:lineRule="auto"/>
        <w:rPr>
          <w:rFonts w:ascii="Times New Roman" w:eastAsia="Times New Roman" w:hAnsi="Times New Roman"/>
          <w:color w:val="000000"/>
          <w:lang w:val="el-GR" w:eastAsia="el-GR"/>
        </w:rPr>
      </w:pPr>
    </w:p>
    <w:p w:rsidR="00C80A84" w:rsidRPr="00C80A84" w:rsidRDefault="00C80A84" w:rsidP="00C80A84">
      <w:pPr>
        <w:spacing w:after="0" w:line="240" w:lineRule="auto"/>
        <w:rPr>
          <w:rFonts w:ascii="Times New Roman" w:eastAsia="Times New Roman" w:hAnsi="Times New Roman"/>
          <w:color w:val="000000"/>
          <w:lang w:val="el-GR" w:eastAsia="el-GR"/>
        </w:rPr>
      </w:pPr>
      <w:r w:rsidRPr="00C80A84">
        <w:rPr>
          <w:rFonts w:ascii="Times New Roman" w:eastAsia="Times New Roman" w:hAnsi="Times New Roman"/>
          <w:color w:val="000000"/>
          <w:lang w:val="el-GR" w:eastAsia="el-GR"/>
        </w:rPr>
        <w:t xml:space="preserve">Να εξετάζεται το ενδεχόμενο περαιτέρω </w:t>
      </w:r>
      <w:r w:rsidR="006E5228">
        <w:rPr>
          <w:rFonts w:ascii="Times New Roman" w:eastAsia="Times New Roman" w:hAnsi="Times New Roman"/>
          <w:color w:val="000000"/>
          <w:lang w:val="el-GR" w:eastAsia="el-GR"/>
        </w:rPr>
        <w:t>διερεύνησης</w:t>
      </w:r>
      <w:r w:rsidRPr="00C80A84">
        <w:rPr>
          <w:rFonts w:ascii="Times New Roman" w:eastAsia="Times New Roman" w:hAnsi="Times New Roman"/>
          <w:color w:val="000000"/>
          <w:lang w:val="el-GR" w:eastAsia="el-GR"/>
        </w:rPr>
        <w:t xml:space="preserve"> εάν τα συμπτώματα επιμένουν παρά την επαρκή θεραπεία.</w:t>
      </w:r>
    </w:p>
    <w:p w:rsidR="00C80A84" w:rsidRPr="00C80A84" w:rsidRDefault="00C80A84" w:rsidP="00C80A84">
      <w:pPr>
        <w:spacing w:after="0" w:line="240" w:lineRule="auto"/>
        <w:rPr>
          <w:rFonts w:ascii="Times New Roman" w:eastAsia="Times New Roman" w:hAnsi="Times New Roman"/>
          <w:color w:val="000000"/>
          <w:lang w:val="el-GR" w:eastAsia="el-GR"/>
        </w:rPr>
      </w:pPr>
    </w:p>
    <w:p w:rsidR="006E5228" w:rsidRPr="00C80A84" w:rsidRDefault="006E5228" w:rsidP="006E5228">
      <w:pPr>
        <w:autoSpaceDE w:val="0"/>
        <w:autoSpaceDN w:val="0"/>
        <w:adjustRightInd w:val="0"/>
        <w:spacing w:after="0" w:line="240" w:lineRule="auto"/>
        <w:rPr>
          <w:rFonts w:ascii="Times New Roman" w:hAnsi="Times New Roman"/>
          <w:i/>
          <w:iCs/>
          <w:color w:val="000000"/>
          <w:lang w:val="el-GR"/>
        </w:rPr>
      </w:pPr>
      <w:r w:rsidRPr="00C80A84">
        <w:rPr>
          <w:rFonts w:ascii="Times New Roman" w:hAnsi="Times New Roman"/>
          <w:i/>
          <w:iCs/>
          <w:color w:val="000000"/>
          <w:lang w:val="el-GR"/>
        </w:rPr>
        <w:t>Συγχορήγηση με αταζαναβίρη</w:t>
      </w:r>
    </w:p>
    <w:p w:rsidR="006E5228" w:rsidRPr="00C80A84" w:rsidRDefault="006E5228" w:rsidP="006E5228">
      <w:pPr>
        <w:autoSpaceDE w:val="0"/>
        <w:autoSpaceDN w:val="0"/>
        <w:adjustRightInd w:val="0"/>
        <w:spacing w:after="0" w:line="240" w:lineRule="auto"/>
        <w:rPr>
          <w:rFonts w:ascii="Times New Roman" w:hAnsi="Times New Roman"/>
          <w:color w:val="000000"/>
          <w:lang w:val="el-GR"/>
        </w:rPr>
      </w:pPr>
      <w:r w:rsidRPr="00C80A84">
        <w:rPr>
          <w:rFonts w:ascii="Times New Roman" w:hAnsi="Times New Roman"/>
          <w:color w:val="000000"/>
          <w:lang w:val="el-GR"/>
        </w:rPr>
        <w:t xml:space="preserve">Η συγχορήγηση αταζαναβίρης με αναστολείς της αντλίας πρωτονίων δε συνιστάται (βλ. παράγραφο 4.5). Εάν ο συνδυασμός αταζαναβίρης με έναν αναστολέα της αντλίας πρωτονίων κρίνεται αναπόφευκτος, συνιστάται στενή κλινική παρακολούθηση (π.χ. </w:t>
      </w:r>
      <w:r>
        <w:rPr>
          <w:rFonts w:ascii="Times New Roman" w:hAnsi="Times New Roman"/>
          <w:color w:val="000000"/>
          <w:lang w:val="el-GR"/>
        </w:rPr>
        <w:t xml:space="preserve">ιικό </w:t>
      </w:r>
      <w:r w:rsidRPr="00C80A84">
        <w:rPr>
          <w:rFonts w:ascii="Times New Roman" w:hAnsi="Times New Roman"/>
          <w:color w:val="000000"/>
          <w:lang w:val="el-GR"/>
        </w:rPr>
        <w:t xml:space="preserve">φορτίο) σε συνδυασμό με μία αύξηση της </w:t>
      </w:r>
      <w:r>
        <w:rPr>
          <w:rFonts w:ascii="Times New Roman" w:hAnsi="Times New Roman"/>
          <w:color w:val="000000"/>
          <w:lang w:val="el-GR"/>
        </w:rPr>
        <w:t xml:space="preserve">δόσης της </w:t>
      </w:r>
      <w:r w:rsidRPr="00C80A84">
        <w:rPr>
          <w:rFonts w:ascii="Times New Roman" w:hAnsi="Times New Roman"/>
          <w:color w:val="000000"/>
          <w:lang w:val="el-GR"/>
        </w:rPr>
        <w:t xml:space="preserve">αταζαναβίρης σε 400 </w:t>
      </w:r>
      <w:r w:rsidRPr="00C80A84">
        <w:rPr>
          <w:rFonts w:ascii="Times New Roman" w:hAnsi="Times New Roman"/>
          <w:color w:val="000000"/>
        </w:rPr>
        <w:t>mg</w:t>
      </w:r>
      <w:r w:rsidRPr="00C80A84">
        <w:rPr>
          <w:rFonts w:ascii="Times New Roman" w:hAnsi="Times New Roman"/>
          <w:color w:val="000000"/>
          <w:lang w:val="el-GR"/>
        </w:rPr>
        <w:t xml:space="preserve"> με 100 </w:t>
      </w:r>
      <w:r w:rsidRPr="00C80A84">
        <w:rPr>
          <w:rFonts w:ascii="Times New Roman" w:hAnsi="Times New Roman"/>
          <w:color w:val="000000"/>
        </w:rPr>
        <w:t>mg</w:t>
      </w:r>
      <w:r w:rsidRPr="00C80A84">
        <w:rPr>
          <w:rFonts w:ascii="Times New Roman" w:hAnsi="Times New Roman"/>
          <w:color w:val="000000"/>
          <w:lang w:val="el-GR"/>
        </w:rPr>
        <w:t xml:space="preserve"> ριτοναβίρης. Η δόση των 20 </w:t>
      </w:r>
      <w:r w:rsidRPr="00C80A84">
        <w:rPr>
          <w:rFonts w:ascii="Times New Roman" w:hAnsi="Times New Roman"/>
          <w:color w:val="000000"/>
        </w:rPr>
        <w:t>mg</w:t>
      </w:r>
      <w:r w:rsidRPr="00C80A84">
        <w:rPr>
          <w:rFonts w:ascii="Times New Roman" w:hAnsi="Times New Roman"/>
          <w:color w:val="000000"/>
          <w:lang w:val="el-GR"/>
        </w:rPr>
        <w:t xml:space="preserve"> παντοπραζόλης την ημέρα  δεν πρέπει να υπερβαίνεται.</w:t>
      </w:r>
    </w:p>
    <w:p w:rsidR="00C80A84" w:rsidRPr="00C80A84" w:rsidRDefault="00C80A84" w:rsidP="00C80A84">
      <w:pPr>
        <w:spacing w:after="0" w:line="240" w:lineRule="auto"/>
        <w:rPr>
          <w:rFonts w:ascii="Times New Roman" w:eastAsia="Times New Roman" w:hAnsi="Times New Roman"/>
          <w:color w:val="000000"/>
          <w:lang w:val="el-GR" w:eastAsia="el-GR"/>
        </w:rPr>
      </w:pPr>
    </w:p>
    <w:p w:rsidR="00C80A84" w:rsidRPr="00C80A84" w:rsidRDefault="00C80A84" w:rsidP="00C80A84">
      <w:pPr>
        <w:spacing w:after="0" w:line="240" w:lineRule="auto"/>
        <w:rPr>
          <w:rFonts w:ascii="Times New Roman" w:eastAsia="Times New Roman" w:hAnsi="Times New Roman"/>
          <w:i/>
          <w:iCs/>
          <w:color w:val="000000"/>
          <w:lang w:val="el-GR" w:eastAsia="el-GR"/>
        </w:rPr>
      </w:pPr>
      <w:r w:rsidRPr="00C80A84">
        <w:rPr>
          <w:rFonts w:ascii="Times New Roman" w:eastAsia="Times New Roman" w:hAnsi="Times New Roman"/>
          <w:i/>
          <w:iCs/>
          <w:color w:val="000000"/>
          <w:lang w:val="el-GR" w:eastAsia="el-GR"/>
        </w:rPr>
        <w:t>Επ</w:t>
      </w:r>
      <w:r w:rsidR="00005978">
        <w:rPr>
          <w:rFonts w:ascii="Times New Roman" w:eastAsia="Times New Roman" w:hAnsi="Times New Roman"/>
          <w:i/>
          <w:iCs/>
          <w:color w:val="000000"/>
          <w:lang w:val="el-GR" w:eastAsia="el-GR"/>
        </w:rPr>
        <w:t>ί</w:t>
      </w:r>
      <w:r w:rsidRPr="00C80A84">
        <w:rPr>
          <w:rFonts w:ascii="Times New Roman" w:eastAsia="Times New Roman" w:hAnsi="Times New Roman"/>
          <w:i/>
          <w:iCs/>
          <w:color w:val="000000"/>
          <w:lang w:val="el-GR" w:eastAsia="el-GR"/>
        </w:rPr>
        <w:t>δραση στην απορρόφηση της βιταμίνης Β12</w:t>
      </w:r>
    </w:p>
    <w:p w:rsidR="00005978" w:rsidRPr="00C80A84" w:rsidRDefault="00677A77" w:rsidP="00005978">
      <w:pPr>
        <w:spacing w:after="0" w:line="240" w:lineRule="auto"/>
        <w:rPr>
          <w:rFonts w:ascii="Times New Roman" w:eastAsia="Times New Roman" w:hAnsi="Times New Roman"/>
          <w:color w:val="000000"/>
          <w:lang w:val="el-GR" w:eastAsia="el-GR"/>
        </w:rPr>
      </w:pPr>
      <w:r w:rsidRPr="00677A77">
        <w:rPr>
          <w:rFonts w:ascii="Times New Roman" w:eastAsia="Times New Roman" w:hAnsi="Times New Roman"/>
          <w:color w:val="000000"/>
          <w:lang w:val="el-GR" w:eastAsia="el-GR"/>
        </w:rPr>
        <w:t xml:space="preserve">Σε ασθενείς με σύνδρομο </w:t>
      </w:r>
      <w:proofErr w:type="spellStart"/>
      <w:r w:rsidRPr="00677A77">
        <w:rPr>
          <w:rFonts w:ascii="Times New Roman" w:hAnsi="Times New Roman"/>
        </w:rPr>
        <w:t>Zollinger</w:t>
      </w:r>
      <w:proofErr w:type="spellEnd"/>
      <w:r w:rsidRPr="00677A77">
        <w:rPr>
          <w:rFonts w:ascii="Times New Roman" w:hAnsi="Times New Roman"/>
          <w:lang w:val="el-GR"/>
        </w:rPr>
        <w:t>-</w:t>
      </w:r>
      <w:r w:rsidRPr="00677A77">
        <w:rPr>
          <w:rFonts w:ascii="Times New Roman" w:hAnsi="Times New Roman"/>
        </w:rPr>
        <w:t>Ellison</w:t>
      </w:r>
      <w:r w:rsidRPr="00677A77">
        <w:rPr>
          <w:rFonts w:ascii="Times New Roman" w:hAnsi="Times New Roman"/>
          <w:lang w:val="el-GR"/>
        </w:rPr>
        <w:t xml:space="preserve"> και άλλες παθολογικές υπερεκκριτικ</w:t>
      </w:r>
      <w:r w:rsidR="00005978">
        <w:rPr>
          <w:rFonts w:ascii="Times New Roman" w:hAnsi="Times New Roman"/>
          <w:lang w:val="el-GR"/>
        </w:rPr>
        <w:t>έ</w:t>
      </w:r>
      <w:r w:rsidRPr="00677A77">
        <w:rPr>
          <w:rFonts w:ascii="Times New Roman" w:hAnsi="Times New Roman"/>
          <w:lang w:val="el-GR"/>
        </w:rPr>
        <w:t>ς καταστάσεις που απαιτούν μακροχρόνια θεραπεία, η</w:t>
      </w:r>
      <w:r w:rsidR="00C80A84" w:rsidRPr="00677A77">
        <w:rPr>
          <w:rFonts w:ascii="Times New Roman" w:eastAsia="Times New Roman" w:hAnsi="Times New Roman"/>
          <w:color w:val="000000"/>
          <w:lang w:val="el-GR" w:eastAsia="el-GR"/>
        </w:rPr>
        <w:t xml:space="preserve"> παντοπραζόλη, όπως όλα τα φάρμακα που αναστέλλουν την έκκριση οξέος, μπορεί να μειώσει την απορρόφηση της βιταμίνης </w:t>
      </w:r>
      <w:r w:rsidR="00005978">
        <w:rPr>
          <w:rFonts w:ascii="Times New Roman" w:eastAsia="Times New Roman" w:hAnsi="Times New Roman"/>
          <w:color w:val="000000"/>
          <w:lang w:val="el-GR" w:eastAsia="el-GR"/>
        </w:rPr>
        <w:t>Β</w:t>
      </w:r>
      <w:r w:rsidR="00C80A84" w:rsidRPr="00677A77">
        <w:rPr>
          <w:rFonts w:ascii="Times New Roman" w:eastAsia="Times New Roman" w:hAnsi="Times New Roman"/>
          <w:color w:val="000000"/>
          <w:lang w:val="el-GR" w:eastAsia="el-GR"/>
        </w:rPr>
        <w:t>12 (κυανοκοβαλαμίνη) λόγω υπο- ή</w:t>
      </w:r>
      <w:r w:rsidR="00C80A84" w:rsidRPr="00C80A84">
        <w:rPr>
          <w:rFonts w:ascii="Times New Roman" w:eastAsia="Times New Roman" w:hAnsi="Times New Roman"/>
          <w:color w:val="000000"/>
          <w:lang w:val="el-GR" w:eastAsia="el-GR"/>
        </w:rPr>
        <w:t xml:space="preserve"> αχλωρυδρίας. </w:t>
      </w:r>
      <w:r w:rsidR="00005978" w:rsidRPr="00C80A84">
        <w:rPr>
          <w:rFonts w:ascii="Times New Roman" w:eastAsia="Times New Roman" w:hAnsi="Times New Roman"/>
          <w:color w:val="000000"/>
          <w:lang w:val="el-GR" w:eastAsia="el-GR"/>
        </w:rPr>
        <w:t xml:space="preserve">Αυτό πρέπει να </w:t>
      </w:r>
      <w:r w:rsidR="00005978">
        <w:rPr>
          <w:rFonts w:ascii="Times New Roman" w:eastAsia="Times New Roman" w:hAnsi="Times New Roman"/>
          <w:color w:val="000000"/>
          <w:lang w:val="el-GR" w:eastAsia="el-GR"/>
        </w:rPr>
        <w:t>λαμβάνεται υπόψη</w:t>
      </w:r>
      <w:r w:rsidR="00005978" w:rsidRPr="00C80A84">
        <w:rPr>
          <w:rFonts w:ascii="Times New Roman" w:eastAsia="Times New Roman" w:hAnsi="Times New Roman"/>
          <w:color w:val="000000"/>
          <w:lang w:val="el-GR" w:eastAsia="el-GR"/>
        </w:rPr>
        <w:t xml:space="preserve"> σε ασθενείς με μειωμένη ικανότητα του οργανισμού </w:t>
      </w:r>
      <w:r w:rsidR="00005978">
        <w:rPr>
          <w:rFonts w:ascii="Times New Roman" w:eastAsia="Times New Roman" w:hAnsi="Times New Roman"/>
          <w:color w:val="000000"/>
          <w:lang w:val="el-GR" w:eastAsia="el-GR"/>
        </w:rPr>
        <w:t xml:space="preserve">για αποθήκευση βιταμίνης Β12 </w:t>
      </w:r>
      <w:r w:rsidR="00005978" w:rsidRPr="00C80A84">
        <w:rPr>
          <w:rFonts w:ascii="Times New Roman" w:eastAsia="Times New Roman" w:hAnsi="Times New Roman"/>
          <w:color w:val="000000"/>
          <w:lang w:val="el-GR" w:eastAsia="el-GR"/>
        </w:rPr>
        <w:t xml:space="preserve">ή παράγοντες κινδύνου για μειωμένη απορρόφηση βιταμίνης </w:t>
      </w:r>
      <w:r w:rsidR="00005978">
        <w:rPr>
          <w:rFonts w:ascii="Times New Roman" w:eastAsia="Times New Roman" w:hAnsi="Times New Roman"/>
          <w:color w:val="000000"/>
          <w:lang w:val="el-GR" w:eastAsia="el-GR"/>
        </w:rPr>
        <w:t>Β</w:t>
      </w:r>
      <w:r w:rsidR="00005978" w:rsidRPr="00C80A84">
        <w:rPr>
          <w:rFonts w:ascii="Times New Roman" w:eastAsia="Times New Roman" w:hAnsi="Times New Roman"/>
          <w:color w:val="000000"/>
          <w:lang w:val="el-GR" w:eastAsia="el-GR"/>
        </w:rPr>
        <w:t>12 σε μακροχρόνια θεραπεία ή εάν παρατηρηθούν ανάλογα κλινικά συμπτώματα.</w:t>
      </w:r>
    </w:p>
    <w:p w:rsidR="00C80A84" w:rsidRPr="00C80A84" w:rsidRDefault="00C80A84" w:rsidP="00C80A84">
      <w:pPr>
        <w:spacing w:after="0" w:line="240" w:lineRule="auto"/>
        <w:rPr>
          <w:rFonts w:ascii="Times New Roman" w:eastAsia="Times New Roman" w:hAnsi="Times New Roman"/>
          <w:color w:val="000000"/>
          <w:lang w:val="el-GR" w:eastAsia="el-GR"/>
        </w:rPr>
      </w:pPr>
    </w:p>
    <w:p w:rsidR="00005978" w:rsidRPr="00C80A84" w:rsidRDefault="00005978" w:rsidP="00005978">
      <w:pPr>
        <w:spacing w:after="0" w:line="240" w:lineRule="auto"/>
        <w:rPr>
          <w:rFonts w:ascii="Times New Roman" w:eastAsia="Times New Roman" w:hAnsi="Times New Roman"/>
          <w:i/>
          <w:iCs/>
          <w:color w:val="000000"/>
          <w:lang w:val="el-GR" w:eastAsia="el-GR"/>
        </w:rPr>
      </w:pPr>
      <w:r w:rsidRPr="00C80A84">
        <w:rPr>
          <w:rFonts w:ascii="Times New Roman" w:eastAsia="Times New Roman" w:hAnsi="Times New Roman"/>
          <w:i/>
          <w:iCs/>
          <w:color w:val="000000"/>
          <w:lang w:val="el-GR" w:eastAsia="el-GR"/>
        </w:rPr>
        <w:t>Μακροχρόνια θεραπεία</w:t>
      </w:r>
    </w:p>
    <w:p w:rsidR="00005978" w:rsidRPr="00C80A84" w:rsidRDefault="00005978" w:rsidP="00005978">
      <w:pPr>
        <w:spacing w:after="0" w:line="240" w:lineRule="auto"/>
        <w:rPr>
          <w:rFonts w:ascii="Times New Roman" w:eastAsia="Times New Roman" w:hAnsi="Times New Roman"/>
          <w:color w:val="000000"/>
          <w:lang w:val="el-GR" w:eastAsia="el-GR"/>
        </w:rPr>
      </w:pPr>
      <w:r w:rsidRPr="00C80A84">
        <w:rPr>
          <w:rFonts w:ascii="Times New Roman" w:eastAsia="Times New Roman" w:hAnsi="Times New Roman"/>
          <w:color w:val="000000"/>
          <w:lang w:val="el-GR" w:eastAsia="el-GR"/>
        </w:rPr>
        <w:t>Σε μακροχρόνια θεραπεία, ειδικά αν υπερβαίνει η περίοδος θεραπείας τον 1 χρόνο, οι ασθενείς πρέπει να παρ</w:t>
      </w:r>
      <w:r>
        <w:rPr>
          <w:rFonts w:ascii="Times New Roman" w:eastAsia="Times New Roman" w:hAnsi="Times New Roman"/>
          <w:color w:val="000000"/>
          <w:lang w:val="el-GR" w:eastAsia="el-GR"/>
        </w:rPr>
        <w:t>αμένουν υπό τακτική παρακολούθηση</w:t>
      </w:r>
      <w:r w:rsidRPr="00C80A84">
        <w:rPr>
          <w:rFonts w:ascii="Times New Roman" w:eastAsia="Times New Roman" w:hAnsi="Times New Roman"/>
          <w:color w:val="000000"/>
          <w:lang w:val="el-GR" w:eastAsia="el-GR"/>
        </w:rPr>
        <w:t>.</w:t>
      </w:r>
    </w:p>
    <w:p w:rsidR="00C80A84" w:rsidRPr="00C80A84" w:rsidRDefault="00C80A84" w:rsidP="00C80A84">
      <w:pPr>
        <w:spacing w:after="0" w:line="240" w:lineRule="auto"/>
        <w:rPr>
          <w:rFonts w:ascii="Times New Roman" w:eastAsia="Times New Roman" w:hAnsi="Times New Roman"/>
          <w:color w:val="000000"/>
          <w:lang w:val="el-GR" w:eastAsia="el-GR"/>
        </w:rPr>
      </w:pPr>
    </w:p>
    <w:p w:rsidR="00005978" w:rsidRPr="00C80A84" w:rsidRDefault="00005978" w:rsidP="00005978">
      <w:pPr>
        <w:autoSpaceDE w:val="0"/>
        <w:autoSpaceDN w:val="0"/>
        <w:adjustRightInd w:val="0"/>
        <w:spacing w:after="0" w:line="240" w:lineRule="auto"/>
        <w:rPr>
          <w:rFonts w:ascii="Times New Roman" w:hAnsi="Times New Roman"/>
          <w:i/>
          <w:iCs/>
          <w:color w:val="000000"/>
          <w:lang w:val="el-GR"/>
        </w:rPr>
      </w:pPr>
      <w:r w:rsidRPr="00C80A84">
        <w:rPr>
          <w:rFonts w:ascii="Times New Roman" w:hAnsi="Times New Roman"/>
          <w:i/>
          <w:iCs/>
          <w:color w:val="000000"/>
          <w:lang w:val="el-GR"/>
        </w:rPr>
        <w:t>Γαστρεντερικές λοιμώξεις που προκαλούνται από βακτήρια</w:t>
      </w:r>
    </w:p>
    <w:p w:rsidR="00005978" w:rsidRPr="00C80A84" w:rsidRDefault="00005978" w:rsidP="00005978">
      <w:pPr>
        <w:autoSpaceDE w:val="0"/>
        <w:autoSpaceDN w:val="0"/>
        <w:adjustRightInd w:val="0"/>
        <w:spacing w:after="0" w:line="240" w:lineRule="auto"/>
        <w:rPr>
          <w:rFonts w:ascii="Times New Roman" w:hAnsi="Times New Roman"/>
          <w:color w:val="000000"/>
          <w:lang w:val="el-GR"/>
        </w:rPr>
      </w:pPr>
      <w:r w:rsidRPr="00C80A84">
        <w:rPr>
          <w:rFonts w:ascii="Times New Roman" w:hAnsi="Times New Roman"/>
          <w:color w:val="000000"/>
          <w:lang w:val="el-GR"/>
        </w:rPr>
        <w:t xml:space="preserve">Η παντροπραζόλη, όπως όλοι οι αναστολείς της αντλίας πρωτονίων, μπορεί να </w:t>
      </w:r>
      <w:r>
        <w:rPr>
          <w:rFonts w:ascii="Times New Roman" w:hAnsi="Times New Roman"/>
          <w:color w:val="000000"/>
          <w:lang w:val="el-GR"/>
        </w:rPr>
        <w:t xml:space="preserve">αναμένεται ότι θα </w:t>
      </w:r>
      <w:r w:rsidRPr="00C80A84">
        <w:rPr>
          <w:rFonts w:ascii="Times New Roman" w:hAnsi="Times New Roman"/>
          <w:color w:val="000000"/>
          <w:lang w:val="el-GR"/>
        </w:rPr>
        <w:t>οδηγήσει σε αύξηση του αριθμού των βακτηρίων που φυσιολογικά υπ</w:t>
      </w:r>
      <w:r>
        <w:rPr>
          <w:rFonts w:ascii="Times New Roman" w:hAnsi="Times New Roman"/>
          <w:color w:val="000000"/>
          <w:lang w:val="el-GR"/>
        </w:rPr>
        <w:t>ά</w:t>
      </w:r>
      <w:r w:rsidRPr="00C80A84">
        <w:rPr>
          <w:rFonts w:ascii="Times New Roman" w:hAnsi="Times New Roman"/>
          <w:color w:val="000000"/>
          <w:lang w:val="el-GR"/>
        </w:rPr>
        <w:t xml:space="preserve">ρχουν στον ανώτερο γαστρεντερικό σωλήνα. Η θεραπεία με </w:t>
      </w:r>
      <w:r w:rsidRPr="00C80A84">
        <w:rPr>
          <w:rFonts w:ascii="Times New Roman" w:hAnsi="Times New Roman"/>
          <w:color w:val="000000"/>
        </w:rPr>
        <w:t>Pantoprazole</w:t>
      </w:r>
      <w:r w:rsidRPr="00C80A84">
        <w:rPr>
          <w:rFonts w:ascii="Times New Roman" w:hAnsi="Times New Roman"/>
          <w:color w:val="000000"/>
          <w:lang w:val="el-GR"/>
        </w:rPr>
        <w:t xml:space="preserve"> </w:t>
      </w:r>
      <w:r w:rsidR="0064759B">
        <w:rPr>
          <w:rFonts w:ascii="Times New Roman" w:hAnsi="Times New Roman"/>
          <w:color w:val="000000"/>
          <w:lang w:val="el-GR"/>
        </w:rPr>
        <w:t>/</w:t>
      </w:r>
      <w:r w:rsidRPr="00C80A84">
        <w:rPr>
          <w:rFonts w:ascii="Times New Roman" w:hAnsi="Times New Roman"/>
          <w:color w:val="000000"/>
        </w:rPr>
        <w:t>TAD</w:t>
      </w:r>
      <w:r w:rsidRPr="00C80A84">
        <w:rPr>
          <w:rFonts w:ascii="Times New Roman" w:hAnsi="Times New Roman"/>
          <w:color w:val="000000"/>
          <w:lang w:val="el-GR"/>
        </w:rPr>
        <w:t xml:space="preserve"> είναι πιθανόν να οδηγήσει σε μικρή </w:t>
      </w:r>
      <w:r w:rsidRPr="00C80A84">
        <w:rPr>
          <w:rFonts w:ascii="Times New Roman" w:hAnsi="Times New Roman"/>
          <w:color w:val="000000"/>
          <w:lang w:val="el-GR"/>
        </w:rPr>
        <w:lastRenderedPageBreak/>
        <w:t xml:space="preserve">αύξηση του κινδύνου γαστρεντερικών λοιμώξεων που προκαλούνται από βακτήρια, όπως </w:t>
      </w:r>
      <w:r w:rsidRPr="00C80A84">
        <w:rPr>
          <w:rFonts w:ascii="Times New Roman" w:hAnsi="Times New Roman"/>
          <w:i/>
          <w:color w:val="000000"/>
        </w:rPr>
        <w:t>Salmonella</w:t>
      </w:r>
      <w:r w:rsidRPr="00C80A84">
        <w:rPr>
          <w:rFonts w:ascii="Times New Roman" w:hAnsi="Times New Roman"/>
          <w:color w:val="000000"/>
          <w:lang w:val="el-GR"/>
        </w:rPr>
        <w:t xml:space="preserve"> και </w:t>
      </w:r>
      <w:r w:rsidRPr="00C80A84">
        <w:rPr>
          <w:rFonts w:ascii="Times New Roman" w:hAnsi="Times New Roman"/>
          <w:i/>
          <w:color w:val="000000"/>
        </w:rPr>
        <w:t>Campylobacter</w:t>
      </w:r>
      <w:r w:rsidRPr="00C80A84">
        <w:rPr>
          <w:rFonts w:ascii="Times New Roman" w:hAnsi="Times New Roman"/>
          <w:color w:val="000000"/>
          <w:lang w:val="el-GR"/>
        </w:rPr>
        <w:t>.</w:t>
      </w:r>
    </w:p>
    <w:p w:rsidR="00C80A84" w:rsidRPr="00C80A84" w:rsidRDefault="00C80A84" w:rsidP="00C80A84">
      <w:pPr>
        <w:autoSpaceDE w:val="0"/>
        <w:autoSpaceDN w:val="0"/>
        <w:adjustRightInd w:val="0"/>
        <w:spacing w:after="0" w:line="240" w:lineRule="auto"/>
        <w:rPr>
          <w:rFonts w:ascii="Times New Roman" w:hAnsi="Times New Roman"/>
          <w:color w:val="000000"/>
          <w:lang w:val="el-GR"/>
        </w:rPr>
      </w:pPr>
    </w:p>
    <w:p w:rsidR="00005978" w:rsidRPr="00C80A84" w:rsidRDefault="00005978" w:rsidP="00005978">
      <w:pPr>
        <w:spacing w:after="0" w:line="240" w:lineRule="auto"/>
        <w:rPr>
          <w:rFonts w:ascii="Times New Roman" w:hAnsi="Times New Roman"/>
          <w:i/>
          <w:color w:val="000000"/>
          <w:lang w:val="el-GR"/>
        </w:rPr>
      </w:pPr>
      <w:r w:rsidRPr="00C80A84">
        <w:rPr>
          <w:rFonts w:ascii="Times New Roman" w:hAnsi="Times New Roman"/>
          <w:i/>
          <w:color w:val="000000"/>
          <w:lang w:val="el-GR"/>
        </w:rPr>
        <w:t>Σορβιτόλη</w:t>
      </w:r>
    </w:p>
    <w:p w:rsidR="00005978" w:rsidRPr="00C80A84" w:rsidRDefault="00005978" w:rsidP="00005978">
      <w:pPr>
        <w:spacing w:after="0" w:line="240" w:lineRule="auto"/>
        <w:rPr>
          <w:rFonts w:ascii="Times New Roman" w:eastAsia="Times New Roman" w:hAnsi="Times New Roman"/>
          <w:color w:val="000000"/>
          <w:lang w:val="el-GR" w:eastAsia="el-GR"/>
        </w:rPr>
      </w:pPr>
      <w:r w:rsidRPr="00C80A84">
        <w:rPr>
          <w:rFonts w:ascii="Times New Roman" w:eastAsia="Times New Roman" w:hAnsi="Times New Roman"/>
          <w:color w:val="000000"/>
          <w:lang w:val="el-GR" w:eastAsia="el-GR"/>
        </w:rPr>
        <w:t xml:space="preserve">Το </w:t>
      </w:r>
      <w:r w:rsidRPr="00C80A84">
        <w:rPr>
          <w:rFonts w:ascii="Times New Roman" w:hAnsi="Times New Roman"/>
          <w:color w:val="000000"/>
        </w:rPr>
        <w:t>Pantoprazole</w:t>
      </w:r>
      <w:r w:rsidRPr="00C80A84">
        <w:rPr>
          <w:rFonts w:ascii="Times New Roman" w:hAnsi="Times New Roman"/>
          <w:color w:val="000000"/>
          <w:lang w:val="el-GR"/>
        </w:rPr>
        <w:t xml:space="preserve"> </w:t>
      </w:r>
      <w:r w:rsidR="0064759B">
        <w:rPr>
          <w:rFonts w:ascii="Times New Roman" w:hAnsi="Times New Roman"/>
          <w:color w:val="000000"/>
          <w:lang w:val="el-GR"/>
        </w:rPr>
        <w:t>/</w:t>
      </w:r>
      <w:r w:rsidRPr="00C80A84">
        <w:rPr>
          <w:rFonts w:ascii="Times New Roman" w:hAnsi="Times New Roman"/>
          <w:color w:val="000000"/>
        </w:rPr>
        <w:t>TAD</w:t>
      </w:r>
      <w:r w:rsidRPr="00C80A84">
        <w:rPr>
          <w:rFonts w:ascii="Times New Roman" w:hAnsi="Times New Roman"/>
          <w:color w:val="000000"/>
          <w:lang w:val="el-GR"/>
        </w:rPr>
        <w:t xml:space="preserve"> περιέχει σορβιτόλη. </w:t>
      </w:r>
      <w:r w:rsidRPr="00C80A84">
        <w:rPr>
          <w:rFonts w:ascii="Times New Roman" w:eastAsia="Times New Roman" w:hAnsi="Times New Roman"/>
          <w:color w:val="000000"/>
          <w:lang w:val="el-GR" w:eastAsia="el-GR"/>
        </w:rPr>
        <w:t>Ασθενείς με σπάνια κληρονομικά προβλήματα δυσανεξίας στη φρουκτόζη δεν πρέπει να λαμβάνουν αυτό το φάρμακο.</w:t>
      </w:r>
    </w:p>
    <w:p w:rsidR="00C80A84" w:rsidRPr="00C80A84" w:rsidRDefault="00C80A84" w:rsidP="00C80A84">
      <w:pPr>
        <w:autoSpaceDE w:val="0"/>
        <w:autoSpaceDN w:val="0"/>
        <w:adjustRightInd w:val="0"/>
        <w:spacing w:after="0" w:line="240" w:lineRule="auto"/>
        <w:rPr>
          <w:rFonts w:ascii="Times New Roman" w:hAnsi="Times New Roman"/>
          <w:color w:val="000000"/>
          <w:lang w:val="el-GR"/>
        </w:rPr>
      </w:pPr>
    </w:p>
    <w:p w:rsidR="00C80A84" w:rsidRPr="00AB6031" w:rsidRDefault="00C80A84" w:rsidP="00C80A84">
      <w:pPr>
        <w:numPr>
          <w:ilvl w:val="1"/>
          <w:numId w:val="9"/>
        </w:numPr>
        <w:autoSpaceDE w:val="0"/>
        <w:autoSpaceDN w:val="0"/>
        <w:adjustRightInd w:val="0"/>
        <w:spacing w:after="0" w:line="240" w:lineRule="auto"/>
        <w:ind w:left="540" w:hanging="540"/>
        <w:rPr>
          <w:rFonts w:ascii="Times New Roman" w:eastAsia="Times New Roman" w:hAnsi="Times New Roman"/>
          <w:b/>
          <w:bCs/>
          <w:lang w:val="el-GR"/>
        </w:rPr>
      </w:pPr>
      <w:r w:rsidRPr="00C80A84">
        <w:rPr>
          <w:rFonts w:ascii="Times New Roman" w:eastAsia="Times New Roman" w:hAnsi="Times New Roman"/>
          <w:b/>
          <w:bCs/>
        </w:rPr>
        <w:t>A</w:t>
      </w:r>
      <w:r w:rsidRPr="00C80A84">
        <w:rPr>
          <w:rFonts w:ascii="Times New Roman" w:eastAsia="Times New Roman" w:hAnsi="Times New Roman"/>
          <w:b/>
          <w:bCs/>
          <w:lang w:val="el-GR"/>
        </w:rPr>
        <w:t>λληλεπιδράσεις με άλλα φαρμακευτικά προϊόντα και άλλες μορφές αλληλεπίδρασης</w:t>
      </w:r>
    </w:p>
    <w:p w:rsidR="00005978" w:rsidRPr="00C80A84" w:rsidRDefault="00005978" w:rsidP="00005978">
      <w:pPr>
        <w:spacing w:after="0" w:line="240" w:lineRule="auto"/>
        <w:rPr>
          <w:rFonts w:ascii="Times New Roman" w:eastAsia="Times New Roman" w:hAnsi="Times New Roman"/>
          <w:bCs/>
          <w:i/>
          <w:color w:val="000000"/>
          <w:u w:val="single"/>
          <w:lang w:val="el-GR" w:eastAsia="el-GR"/>
        </w:rPr>
      </w:pPr>
      <w:r w:rsidRPr="00C80A84">
        <w:rPr>
          <w:rFonts w:ascii="Times New Roman" w:eastAsia="Times New Roman" w:hAnsi="Times New Roman"/>
          <w:bCs/>
          <w:i/>
          <w:color w:val="000000"/>
          <w:u w:val="single"/>
          <w:lang w:val="el-GR" w:eastAsia="el-GR"/>
        </w:rPr>
        <w:t>Επιδράσεις της παντοπραζόλης στην απορρόφηση άλλων φαρμακευτικών προϊόντων</w:t>
      </w:r>
    </w:p>
    <w:p w:rsidR="00005978" w:rsidRPr="00C80A84" w:rsidRDefault="00005978" w:rsidP="00005978">
      <w:pPr>
        <w:spacing w:after="0" w:line="240" w:lineRule="auto"/>
        <w:rPr>
          <w:rFonts w:ascii="Times New Roman" w:eastAsia="Times New Roman" w:hAnsi="Times New Roman"/>
          <w:color w:val="000000"/>
          <w:lang w:val="el-GR" w:eastAsia="el-GR"/>
        </w:rPr>
      </w:pPr>
      <w:r w:rsidRPr="00C80A84">
        <w:rPr>
          <w:rFonts w:ascii="Times New Roman" w:eastAsia="Times New Roman" w:hAnsi="Times New Roman"/>
          <w:iCs/>
          <w:color w:val="000000"/>
          <w:lang w:val="el-GR" w:eastAsia="el-GR"/>
        </w:rPr>
        <w:t>Εξαιτίας της έντονης και μακράς διαρκείας αναστολής της έκκρισης γαστρικού οξέος, η παντοπραζόλη μπορεί να μειώσει την απορρόφηση φαρμάκων</w:t>
      </w:r>
      <w:r>
        <w:rPr>
          <w:rFonts w:ascii="Times New Roman" w:eastAsia="Times New Roman" w:hAnsi="Times New Roman"/>
          <w:iCs/>
          <w:color w:val="000000"/>
          <w:lang w:val="el-GR" w:eastAsia="el-GR"/>
        </w:rPr>
        <w:t xml:space="preserve">, των οποίων </w:t>
      </w:r>
      <w:r w:rsidRPr="00C80A84">
        <w:rPr>
          <w:rFonts w:ascii="Times New Roman" w:eastAsia="Times New Roman" w:hAnsi="Times New Roman"/>
          <w:iCs/>
          <w:color w:val="000000"/>
          <w:lang w:val="el-GR" w:eastAsia="el-GR"/>
        </w:rPr>
        <w:t>η βιοδιαθεσιμότητ</w:t>
      </w:r>
      <w:r>
        <w:rPr>
          <w:rFonts w:ascii="Times New Roman" w:eastAsia="Times New Roman" w:hAnsi="Times New Roman"/>
          <w:iCs/>
          <w:color w:val="000000"/>
          <w:lang w:val="el-GR" w:eastAsia="el-GR"/>
        </w:rPr>
        <w:t>α</w:t>
      </w:r>
      <w:r w:rsidRPr="00C80A84">
        <w:rPr>
          <w:rFonts w:ascii="Times New Roman" w:eastAsia="Times New Roman" w:hAnsi="Times New Roman"/>
          <w:iCs/>
          <w:color w:val="000000"/>
          <w:lang w:val="el-GR" w:eastAsia="el-GR"/>
        </w:rPr>
        <w:t xml:space="preserve"> εξαρτάται από το γαστρικό </w:t>
      </w:r>
      <w:r w:rsidRPr="00C80A84">
        <w:rPr>
          <w:rFonts w:ascii="Times New Roman" w:eastAsia="Times New Roman" w:hAnsi="Times New Roman"/>
          <w:iCs/>
          <w:color w:val="000000"/>
          <w:lang w:eastAsia="el-GR"/>
        </w:rPr>
        <w:t>pH</w:t>
      </w:r>
      <w:r w:rsidRPr="00C80A84">
        <w:rPr>
          <w:rFonts w:ascii="Times New Roman" w:eastAsia="Times New Roman" w:hAnsi="Times New Roman"/>
          <w:iCs/>
          <w:color w:val="000000"/>
          <w:lang w:val="el-GR" w:eastAsia="el-GR"/>
        </w:rPr>
        <w:t>, π.χ. κάποια αντιμυκητιασικά της ομάδας των αζολών όπως η κ</w:t>
      </w:r>
      <w:r w:rsidRPr="00C80A84">
        <w:rPr>
          <w:rFonts w:ascii="Times New Roman" w:eastAsia="Times New Roman" w:hAnsi="Times New Roman"/>
          <w:color w:val="000000"/>
          <w:lang w:val="el-GR" w:eastAsia="el-GR"/>
        </w:rPr>
        <w:t>ετοκοναζόλη, η ιτρακοναζόλη, η ποσακοναζόλη και άλλα φάρμακα όπως η ερλοτινίμπη.</w:t>
      </w:r>
    </w:p>
    <w:p w:rsidR="00005978" w:rsidRPr="00C80A84" w:rsidRDefault="00005978" w:rsidP="00005978">
      <w:pPr>
        <w:spacing w:after="0" w:line="240" w:lineRule="auto"/>
        <w:rPr>
          <w:rFonts w:ascii="Times New Roman" w:eastAsia="Times New Roman" w:hAnsi="Times New Roman"/>
          <w:color w:val="000000"/>
          <w:lang w:val="el-GR" w:eastAsia="el-GR"/>
        </w:rPr>
      </w:pPr>
    </w:p>
    <w:p w:rsidR="00005978" w:rsidRPr="00C80A84" w:rsidRDefault="00005978" w:rsidP="00005978">
      <w:pPr>
        <w:spacing w:after="0" w:line="240" w:lineRule="auto"/>
        <w:rPr>
          <w:rFonts w:ascii="Times New Roman" w:eastAsia="Times New Roman" w:hAnsi="Times New Roman"/>
          <w:i/>
          <w:iCs/>
          <w:color w:val="000000"/>
          <w:lang w:val="el-GR" w:eastAsia="el-GR"/>
        </w:rPr>
      </w:pPr>
      <w:r w:rsidRPr="00C80A84">
        <w:rPr>
          <w:rFonts w:ascii="Times New Roman" w:eastAsia="Times New Roman" w:hAnsi="Times New Roman"/>
          <w:i/>
          <w:iCs/>
          <w:color w:val="000000"/>
          <w:lang w:val="el-GR" w:eastAsia="el-GR"/>
        </w:rPr>
        <w:t xml:space="preserve">Φάρμακα για τον </w:t>
      </w:r>
      <w:r w:rsidRPr="00C80A84">
        <w:rPr>
          <w:rFonts w:ascii="Times New Roman" w:eastAsia="Times New Roman" w:hAnsi="Times New Roman"/>
          <w:i/>
          <w:iCs/>
          <w:color w:val="000000"/>
          <w:lang w:eastAsia="el-GR"/>
        </w:rPr>
        <w:t>HIV</w:t>
      </w:r>
      <w:r w:rsidRPr="00C80A84">
        <w:rPr>
          <w:rFonts w:ascii="Times New Roman" w:eastAsia="Times New Roman" w:hAnsi="Times New Roman"/>
          <w:i/>
          <w:iCs/>
          <w:color w:val="000000"/>
          <w:lang w:val="el-GR" w:eastAsia="el-GR"/>
        </w:rPr>
        <w:t xml:space="preserve"> (αταζαναβίρη)</w:t>
      </w:r>
    </w:p>
    <w:p w:rsidR="00005978" w:rsidRPr="00C80A84" w:rsidRDefault="00005978" w:rsidP="00005978">
      <w:pPr>
        <w:spacing w:after="0" w:line="240" w:lineRule="auto"/>
        <w:rPr>
          <w:rFonts w:ascii="Times New Roman" w:eastAsia="Times New Roman" w:hAnsi="Times New Roman"/>
          <w:color w:val="000000"/>
          <w:lang w:val="el-GR" w:eastAsia="el-GR"/>
        </w:rPr>
      </w:pPr>
      <w:r w:rsidRPr="00C80A84">
        <w:rPr>
          <w:rFonts w:ascii="Times New Roman" w:eastAsia="Times New Roman" w:hAnsi="Times New Roman"/>
          <w:color w:val="000000"/>
          <w:lang w:val="el-GR" w:eastAsia="el-GR"/>
        </w:rPr>
        <w:t xml:space="preserve">Η συγχορήγηση αταζαναβίρης και άλλων φαρμάκων για τον </w:t>
      </w:r>
      <w:r w:rsidRPr="00C80A84">
        <w:rPr>
          <w:rFonts w:ascii="Times New Roman" w:eastAsia="Times New Roman" w:hAnsi="Times New Roman"/>
          <w:color w:val="000000"/>
          <w:lang w:eastAsia="el-GR"/>
        </w:rPr>
        <w:t>HIV</w:t>
      </w:r>
      <w:r w:rsidRPr="00C80A84">
        <w:rPr>
          <w:rFonts w:ascii="Times New Roman" w:eastAsia="Times New Roman" w:hAnsi="Times New Roman"/>
          <w:color w:val="000000"/>
          <w:lang w:val="el-GR" w:eastAsia="el-GR"/>
        </w:rPr>
        <w:t xml:space="preserve">, των οποίων η απορρόφηση εξαρτάται από το </w:t>
      </w:r>
      <w:r w:rsidRPr="00C80A84">
        <w:rPr>
          <w:rFonts w:ascii="Times New Roman" w:eastAsia="Times New Roman" w:hAnsi="Times New Roman"/>
          <w:color w:val="000000"/>
          <w:lang w:eastAsia="el-GR"/>
        </w:rPr>
        <w:t>pH</w:t>
      </w:r>
      <w:r>
        <w:rPr>
          <w:rFonts w:ascii="Times New Roman" w:eastAsia="Times New Roman" w:hAnsi="Times New Roman"/>
          <w:color w:val="000000"/>
          <w:lang w:val="el-GR" w:eastAsia="el-GR"/>
        </w:rPr>
        <w:t>,</w:t>
      </w:r>
      <w:r w:rsidRPr="00C80A84">
        <w:rPr>
          <w:rFonts w:ascii="Times New Roman" w:eastAsia="Times New Roman" w:hAnsi="Times New Roman"/>
          <w:color w:val="000000"/>
          <w:lang w:val="el-GR" w:eastAsia="el-GR"/>
        </w:rPr>
        <w:t xml:space="preserve"> με αναστολείς της αντλίας πρωτονίων μπορεί να οδηγήσει σε σημαντική μείωση της βιοδιαθεσιμότητας αυτών των φαρμάκων για το </w:t>
      </w:r>
      <w:r w:rsidRPr="00C80A84">
        <w:rPr>
          <w:rFonts w:ascii="Times New Roman" w:eastAsia="Times New Roman" w:hAnsi="Times New Roman"/>
          <w:color w:val="000000"/>
          <w:lang w:eastAsia="el-GR"/>
        </w:rPr>
        <w:t>HIV</w:t>
      </w:r>
      <w:r w:rsidRPr="00C80A84">
        <w:rPr>
          <w:rFonts w:ascii="Times New Roman" w:eastAsia="Times New Roman" w:hAnsi="Times New Roman"/>
          <w:color w:val="000000"/>
          <w:lang w:val="el-GR" w:eastAsia="el-GR"/>
        </w:rPr>
        <w:t xml:space="preserve"> και μπορεί να επιδράσει στην αποτελεσματικότητα αυτών των φαρμάκων. Συνεπώς, η συγχορήγηση αναστολέων της αντλίας πρωτονίων με αταζαναβίρη δε συνιστάται (βλ. παράγραφο 4.4).</w:t>
      </w:r>
    </w:p>
    <w:p w:rsidR="00005978" w:rsidRPr="00C80A84" w:rsidRDefault="00005978" w:rsidP="00005978">
      <w:pPr>
        <w:spacing w:after="0" w:line="240" w:lineRule="auto"/>
        <w:rPr>
          <w:rFonts w:ascii="Times New Roman" w:eastAsia="Times New Roman" w:hAnsi="Times New Roman"/>
          <w:color w:val="000000"/>
          <w:lang w:val="el-GR" w:eastAsia="el-GR"/>
        </w:rPr>
      </w:pPr>
    </w:p>
    <w:p w:rsidR="00005978" w:rsidRPr="00C80A84" w:rsidRDefault="00005978" w:rsidP="00005978">
      <w:pPr>
        <w:spacing w:after="0" w:line="240" w:lineRule="auto"/>
        <w:rPr>
          <w:rFonts w:ascii="Times New Roman" w:eastAsia="Times New Roman" w:hAnsi="Times New Roman"/>
          <w:i/>
          <w:iCs/>
          <w:color w:val="000000"/>
          <w:lang w:val="el-GR" w:eastAsia="el-GR"/>
        </w:rPr>
      </w:pPr>
      <w:r w:rsidRPr="00C80A84">
        <w:rPr>
          <w:rFonts w:ascii="Times New Roman" w:eastAsia="Times New Roman" w:hAnsi="Times New Roman"/>
          <w:i/>
          <w:iCs/>
          <w:color w:val="000000"/>
          <w:lang w:val="el-GR" w:eastAsia="el-GR"/>
        </w:rPr>
        <w:t>Κουμαρινικά αντιπηκτικά (φαινπροκουμόνη ή βαρφαρίνη)</w:t>
      </w:r>
    </w:p>
    <w:p w:rsidR="00005978" w:rsidRPr="00C80A84" w:rsidRDefault="00005978" w:rsidP="00005978">
      <w:pPr>
        <w:pStyle w:val="Default"/>
        <w:rPr>
          <w:rFonts w:ascii="Times New Roman" w:eastAsia="SimSun" w:hAnsi="Times New Roman" w:cs="Times New Roman"/>
          <w:sz w:val="22"/>
          <w:szCs w:val="22"/>
          <w:lang w:eastAsia="zh-CN"/>
        </w:rPr>
      </w:pPr>
      <w:r w:rsidRPr="00C80A84">
        <w:rPr>
          <w:rFonts w:ascii="Times New Roman" w:eastAsia="Times New Roman" w:hAnsi="Times New Roman" w:cs="Times New Roman"/>
          <w:sz w:val="22"/>
          <w:szCs w:val="22"/>
        </w:rPr>
        <w:t>Παρόλο που δεν έχει παρατηρηθεί καμία αλληλεπίδραση κατά την ταυτόχρονη χορήγηση φαινπροκουμόνης ή βαρφαρίνης σε κλινικές φαρμακοκινητικ</w:t>
      </w:r>
      <w:r>
        <w:rPr>
          <w:rFonts w:ascii="Times New Roman" w:eastAsia="Times New Roman" w:hAnsi="Times New Roman" w:cs="Times New Roman"/>
          <w:sz w:val="22"/>
          <w:szCs w:val="22"/>
        </w:rPr>
        <w:t xml:space="preserve">ές </w:t>
      </w:r>
      <w:r w:rsidRPr="00C80A84">
        <w:rPr>
          <w:rFonts w:ascii="Times New Roman" w:eastAsia="Times New Roman" w:hAnsi="Times New Roman" w:cs="Times New Roman"/>
          <w:sz w:val="22"/>
          <w:szCs w:val="22"/>
        </w:rPr>
        <w:t xml:space="preserve">μελέτες, </w:t>
      </w:r>
      <w:r w:rsidRPr="00C80A84">
        <w:rPr>
          <w:rFonts w:ascii="Times New Roman" w:eastAsia="SimSun" w:hAnsi="Times New Roman" w:cs="Times New Roman"/>
          <w:sz w:val="22"/>
          <w:szCs w:val="22"/>
          <w:lang w:eastAsia="zh-CN"/>
        </w:rPr>
        <w:t>έχουν αναφερθεί λίγα μεμονωμένα περιστατικά μεταβολών της τιμής τ</w:t>
      </w:r>
      <w:r>
        <w:rPr>
          <w:rFonts w:ascii="Times New Roman" w:eastAsia="SimSun" w:hAnsi="Times New Roman" w:cs="Times New Roman"/>
          <w:sz w:val="22"/>
          <w:szCs w:val="22"/>
          <w:lang w:eastAsia="zh-CN"/>
        </w:rPr>
        <w:t xml:space="preserve">ου </w:t>
      </w:r>
      <w:r w:rsidRPr="00C80A84">
        <w:rPr>
          <w:rFonts w:ascii="Times New Roman" w:eastAsia="SimSun" w:hAnsi="Times New Roman" w:cs="Times New Roman"/>
          <w:sz w:val="22"/>
          <w:szCs w:val="22"/>
          <w:lang w:eastAsia="zh-CN"/>
        </w:rPr>
        <w:t>INR</w:t>
      </w:r>
      <w:r>
        <w:rPr>
          <w:rFonts w:ascii="Times New Roman" w:eastAsia="SimSun" w:hAnsi="Times New Roman" w:cs="Times New Roman"/>
          <w:sz w:val="22"/>
          <w:szCs w:val="22"/>
          <w:lang w:eastAsia="zh-CN"/>
        </w:rPr>
        <w:t xml:space="preserve"> (δ</w:t>
      </w:r>
      <w:r w:rsidRPr="00C80A84">
        <w:rPr>
          <w:rFonts w:ascii="Times New Roman" w:eastAsia="SimSun" w:hAnsi="Times New Roman" w:cs="Times New Roman"/>
          <w:sz w:val="22"/>
          <w:szCs w:val="22"/>
          <w:lang w:eastAsia="zh-CN"/>
        </w:rPr>
        <w:t>ιεθν</w:t>
      </w:r>
      <w:r>
        <w:rPr>
          <w:rFonts w:ascii="Times New Roman" w:eastAsia="SimSun" w:hAnsi="Times New Roman" w:cs="Times New Roman"/>
          <w:sz w:val="22"/>
          <w:szCs w:val="22"/>
          <w:lang w:eastAsia="zh-CN"/>
        </w:rPr>
        <w:t>ής</w:t>
      </w:r>
      <w:r w:rsidRPr="00C80A84">
        <w:rPr>
          <w:rFonts w:ascii="Times New Roman" w:eastAsia="SimSun" w:hAnsi="Times New Roman" w:cs="Times New Roman"/>
          <w:sz w:val="22"/>
          <w:szCs w:val="22"/>
          <w:lang w:eastAsia="zh-CN"/>
        </w:rPr>
        <w:t xml:space="preserve"> </w:t>
      </w:r>
      <w:r>
        <w:rPr>
          <w:rFonts w:ascii="Times New Roman" w:eastAsia="SimSun" w:hAnsi="Times New Roman" w:cs="Times New Roman"/>
          <w:sz w:val="22"/>
          <w:szCs w:val="22"/>
          <w:lang w:eastAsia="zh-CN"/>
        </w:rPr>
        <w:t>ο</w:t>
      </w:r>
      <w:r w:rsidRPr="00C80A84">
        <w:rPr>
          <w:rFonts w:ascii="Times New Roman" w:eastAsia="SimSun" w:hAnsi="Times New Roman" w:cs="Times New Roman"/>
          <w:sz w:val="22"/>
          <w:szCs w:val="22"/>
          <w:lang w:eastAsia="zh-CN"/>
        </w:rPr>
        <w:t>μαλοποιημένη</w:t>
      </w:r>
      <w:r>
        <w:rPr>
          <w:rFonts w:ascii="Times New Roman" w:eastAsia="SimSun" w:hAnsi="Times New Roman" w:cs="Times New Roman"/>
          <w:sz w:val="22"/>
          <w:szCs w:val="22"/>
          <w:lang w:eastAsia="zh-CN"/>
        </w:rPr>
        <w:t xml:space="preserve"> σ</w:t>
      </w:r>
      <w:r w:rsidRPr="00C80A84">
        <w:rPr>
          <w:rFonts w:ascii="Times New Roman" w:eastAsia="SimSun" w:hAnsi="Times New Roman" w:cs="Times New Roman"/>
          <w:sz w:val="22"/>
          <w:szCs w:val="22"/>
          <w:lang w:eastAsia="zh-CN"/>
        </w:rPr>
        <w:t>χέση) κατά τη διάρκεια ταυτόχρονης θεραπείας, στην περίοδο μετά την κυκλοφορία του φαρμάκου. Συνεπώς, σε ασθενείς που υποβάλλονται σε θεραπε</w:t>
      </w:r>
      <w:r>
        <w:rPr>
          <w:rFonts w:ascii="Times New Roman" w:eastAsia="SimSun" w:hAnsi="Times New Roman" w:cs="Times New Roman"/>
          <w:sz w:val="22"/>
          <w:szCs w:val="22"/>
          <w:lang w:eastAsia="zh-CN"/>
        </w:rPr>
        <w:t>ία</w:t>
      </w:r>
      <w:r w:rsidRPr="00C80A84">
        <w:rPr>
          <w:rFonts w:ascii="Times New Roman" w:eastAsia="SimSun" w:hAnsi="Times New Roman" w:cs="Times New Roman"/>
          <w:sz w:val="22"/>
          <w:szCs w:val="22"/>
          <w:lang w:eastAsia="zh-CN"/>
        </w:rPr>
        <w:t xml:space="preserve"> με κουμαρινικά αντιπηκτικά (π.χ. φαινπροκουμόνη ή βαρφαρίνη), η παρακολούθηση χρόνου προθρομβίνης/INR συνιστάται μετά την έναρξη, λήξη ή κατά τη διάρκεια μη τακτικής λήψης παντοπραζόλης. </w:t>
      </w:r>
    </w:p>
    <w:p w:rsidR="00005978" w:rsidRPr="00C80A84" w:rsidRDefault="00005978" w:rsidP="00005978">
      <w:pPr>
        <w:pStyle w:val="Default"/>
        <w:rPr>
          <w:rFonts w:ascii="Times New Roman" w:eastAsia="SimSun" w:hAnsi="Times New Roman" w:cs="Times New Roman"/>
          <w:sz w:val="22"/>
          <w:szCs w:val="22"/>
          <w:lang w:eastAsia="zh-CN"/>
        </w:rPr>
      </w:pPr>
    </w:p>
    <w:p w:rsidR="00005978" w:rsidRPr="00C80A84" w:rsidRDefault="00005978" w:rsidP="00005978">
      <w:pPr>
        <w:spacing w:after="0" w:line="240" w:lineRule="auto"/>
        <w:rPr>
          <w:rFonts w:ascii="Times New Roman" w:eastAsia="Times New Roman" w:hAnsi="Times New Roman"/>
          <w:i/>
          <w:iCs/>
          <w:color w:val="000000"/>
          <w:lang w:val="el-GR" w:eastAsia="el-GR"/>
        </w:rPr>
      </w:pPr>
      <w:r w:rsidRPr="00C80A84">
        <w:rPr>
          <w:rFonts w:ascii="Times New Roman" w:eastAsia="Times New Roman" w:hAnsi="Times New Roman"/>
          <w:i/>
          <w:iCs/>
          <w:color w:val="000000"/>
          <w:lang w:val="el-GR" w:eastAsia="el-GR"/>
        </w:rPr>
        <w:t>Άλλες μελέτες αλληλεπίδρασης</w:t>
      </w:r>
    </w:p>
    <w:p w:rsidR="00005978" w:rsidRPr="00AB6031" w:rsidRDefault="00005978" w:rsidP="00005978">
      <w:pPr>
        <w:autoSpaceDE w:val="0"/>
        <w:autoSpaceDN w:val="0"/>
        <w:adjustRightInd w:val="0"/>
        <w:spacing w:after="0" w:line="240" w:lineRule="auto"/>
        <w:rPr>
          <w:rFonts w:ascii="Times New Roman" w:hAnsi="Times New Roman"/>
          <w:lang w:val="el-GR"/>
        </w:rPr>
      </w:pPr>
      <w:r w:rsidRPr="00C80A84">
        <w:rPr>
          <w:rFonts w:ascii="Times New Roman" w:eastAsia="SimSun" w:hAnsi="Times New Roman"/>
          <w:color w:val="000000"/>
          <w:lang w:val="el-GR" w:eastAsia="zh-CN"/>
        </w:rPr>
        <w:t xml:space="preserve">Η παντοπραζόλη μεταβολίζεται στο ήπαρ μέσω του ενζυμικού συστήματος του κυτοχρώματος P450. </w:t>
      </w:r>
      <w:r>
        <w:rPr>
          <w:rFonts w:ascii="Times New Roman" w:eastAsia="SimSun" w:hAnsi="Times New Roman"/>
          <w:color w:val="000000"/>
          <w:lang w:val="el-GR" w:eastAsia="zh-CN"/>
        </w:rPr>
        <w:t xml:space="preserve">Η </w:t>
      </w:r>
      <w:r w:rsidRPr="00C80A84">
        <w:rPr>
          <w:rFonts w:ascii="Times New Roman" w:eastAsia="SimSun" w:hAnsi="Times New Roman"/>
          <w:color w:val="000000"/>
          <w:lang w:val="el-GR" w:eastAsia="zh-CN"/>
        </w:rPr>
        <w:t>κύρι</w:t>
      </w:r>
      <w:r>
        <w:rPr>
          <w:rFonts w:ascii="Times New Roman" w:eastAsia="SimSun" w:hAnsi="Times New Roman"/>
          <w:color w:val="000000"/>
          <w:lang w:val="el-GR" w:eastAsia="zh-CN"/>
        </w:rPr>
        <w:t>α</w:t>
      </w:r>
      <w:r w:rsidRPr="00C80A84">
        <w:rPr>
          <w:rFonts w:ascii="Times New Roman" w:eastAsia="SimSun" w:hAnsi="Times New Roman"/>
          <w:color w:val="000000"/>
          <w:lang w:val="el-GR" w:eastAsia="zh-CN"/>
        </w:rPr>
        <w:t xml:space="preserve"> μεταβολικ</w:t>
      </w:r>
      <w:r>
        <w:rPr>
          <w:rFonts w:ascii="Times New Roman" w:eastAsia="SimSun" w:hAnsi="Times New Roman"/>
          <w:color w:val="000000"/>
          <w:lang w:val="el-GR" w:eastAsia="zh-CN"/>
        </w:rPr>
        <w:t>ή οδός</w:t>
      </w:r>
      <w:r w:rsidRPr="00C80A84">
        <w:rPr>
          <w:rFonts w:ascii="Times New Roman" w:eastAsia="SimSun" w:hAnsi="Times New Roman"/>
          <w:color w:val="000000"/>
          <w:lang w:val="el-GR" w:eastAsia="zh-CN"/>
        </w:rPr>
        <w:t xml:space="preserve"> είναι η απομεθυλίωση από το</w:t>
      </w:r>
      <w:r w:rsidRPr="00C80A84">
        <w:rPr>
          <w:rFonts w:ascii="Times New Roman" w:eastAsia="Times New Roman" w:hAnsi="Times New Roman"/>
          <w:color w:val="000000"/>
          <w:lang w:val="el-GR" w:eastAsia="el-GR"/>
        </w:rPr>
        <w:t xml:space="preserve"> ενζυμικό σύστημα </w:t>
      </w:r>
      <w:r w:rsidRPr="00C80A84">
        <w:rPr>
          <w:rFonts w:ascii="Times New Roman" w:eastAsia="Times New Roman" w:hAnsi="Times New Roman"/>
          <w:color w:val="000000"/>
          <w:lang w:eastAsia="el-GR"/>
        </w:rPr>
        <w:t>CYP</w:t>
      </w:r>
      <w:r w:rsidRPr="00C80A84">
        <w:rPr>
          <w:rFonts w:ascii="Times New Roman" w:eastAsia="Times New Roman" w:hAnsi="Times New Roman"/>
          <w:color w:val="000000"/>
          <w:lang w:val="el-GR" w:eastAsia="el-GR"/>
        </w:rPr>
        <w:t>2</w:t>
      </w:r>
      <w:r w:rsidRPr="00C80A84">
        <w:rPr>
          <w:rFonts w:ascii="Times New Roman" w:eastAsia="Times New Roman" w:hAnsi="Times New Roman"/>
          <w:color w:val="000000"/>
          <w:lang w:eastAsia="el-GR"/>
        </w:rPr>
        <w:t>C</w:t>
      </w:r>
      <w:r w:rsidRPr="00C80A84">
        <w:rPr>
          <w:rFonts w:ascii="Times New Roman" w:eastAsia="Times New Roman" w:hAnsi="Times New Roman"/>
          <w:color w:val="000000"/>
          <w:lang w:val="el-GR" w:eastAsia="el-GR"/>
        </w:rPr>
        <w:t>19 και άλλ</w:t>
      </w:r>
      <w:r>
        <w:rPr>
          <w:rFonts w:ascii="Times New Roman" w:eastAsia="Times New Roman" w:hAnsi="Times New Roman"/>
          <w:color w:val="000000"/>
          <w:lang w:val="el-GR" w:eastAsia="el-GR"/>
        </w:rPr>
        <w:t>ες</w:t>
      </w:r>
      <w:r w:rsidRPr="00C80A84">
        <w:rPr>
          <w:rFonts w:ascii="Times New Roman" w:eastAsia="Times New Roman" w:hAnsi="Times New Roman"/>
          <w:color w:val="000000"/>
          <w:lang w:val="el-GR" w:eastAsia="el-GR"/>
        </w:rPr>
        <w:t xml:space="preserve"> μεταβολικ</w:t>
      </w:r>
      <w:r>
        <w:rPr>
          <w:rFonts w:ascii="Times New Roman" w:eastAsia="Times New Roman" w:hAnsi="Times New Roman"/>
          <w:color w:val="000000"/>
          <w:lang w:val="el-GR" w:eastAsia="el-GR"/>
        </w:rPr>
        <w:t>ές οδοί</w:t>
      </w:r>
      <w:r w:rsidRPr="00C80A84">
        <w:rPr>
          <w:rFonts w:ascii="Times New Roman" w:eastAsia="Times New Roman" w:hAnsi="Times New Roman"/>
          <w:color w:val="000000"/>
          <w:lang w:val="el-GR" w:eastAsia="el-GR"/>
        </w:rPr>
        <w:t xml:space="preserve"> περιλαμβάνουν οξείδωση από το σύστημα </w:t>
      </w:r>
      <w:r w:rsidRPr="00C80A84">
        <w:rPr>
          <w:rFonts w:ascii="Times New Roman" w:hAnsi="Times New Roman"/>
        </w:rPr>
        <w:t>CYP</w:t>
      </w:r>
      <w:r w:rsidRPr="00C80A84">
        <w:rPr>
          <w:rFonts w:ascii="Times New Roman" w:hAnsi="Times New Roman"/>
          <w:lang w:val="el-GR"/>
        </w:rPr>
        <w:t>3</w:t>
      </w:r>
      <w:r w:rsidRPr="00C80A84">
        <w:rPr>
          <w:rFonts w:ascii="Times New Roman" w:hAnsi="Times New Roman"/>
        </w:rPr>
        <w:t>A</w:t>
      </w:r>
      <w:r w:rsidRPr="00C80A84">
        <w:rPr>
          <w:rFonts w:ascii="Times New Roman" w:hAnsi="Times New Roman"/>
          <w:lang w:val="el-GR"/>
        </w:rPr>
        <w:t>4.</w:t>
      </w:r>
    </w:p>
    <w:p w:rsidR="00005978" w:rsidRPr="00AB6031" w:rsidRDefault="00005978" w:rsidP="00005978">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 xml:space="preserve">Μελέτες αλληλεπίδρασης με φάρμακα που </w:t>
      </w:r>
      <w:r>
        <w:rPr>
          <w:rFonts w:ascii="Times New Roman" w:eastAsia="SimSun" w:hAnsi="Times New Roman"/>
          <w:color w:val="000000"/>
          <w:lang w:val="el-GR" w:eastAsia="zh-CN"/>
        </w:rPr>
        <w:t xml:space="preserve">επίσης </w:t>
      </w:r>
      <w:r w:rsidRPr="00C80A84">
        <w:rPr>
          <w:rFonts w:ascii="Times New Roman" w:eastAsia="SimSun" w:hAnsi="Times New Roman"/>
          <w:color w:val="000000"/>
          <w:lang w:val="el-GR" w:eastAsia="zh-CN"/>
        </w:rPr>
        <w:t xml:space="preserve">μεταβολίζονται </w:t>
      </w:r>
      <w:r>
        <w:rPr>
          <w:rFonts w:ascii="Times New Roman" w:eastAsia="SimSun" w:hAnsi="Times New Roman"/>
          <w:color w:val="000000"/>
          <w:lang w:val="el-GR" w:eastAsia="zh-CN"/>
        </w:rPr>
        <w:t>με αυτές τις οδούς</w:t>
      </w:r>
      <w:r w:rsidRPr="00C80A84">
        <w:rPr>
          <w:rFonts w:ascii="Times New Roman" w:eastAsia="SimSun" w:hAnsi="Times New Roman"/>
          <w:color w:val="000000"/>
          <w:lang w:val="el-GR" w:eastAsia="zh-CN"/>
        </w:rPr>
        <w:t>, όπως η καρβαμαζεπίνη, η διαζεπάμη, η γλιβενκλαμίδη, η νιφεδιπίνη και ένα από του στόματος αντισυλληπτικό που περιέχει λεβονοργεστρέλη και αιθινυλοιστραδιόλη δεν έδειξαν κλινικώς σημαντικές αλληλεπιδράσεις.</w:t>
      </w:r>
    </w:p>
    <w:p w:rsidR="00005978" w:rsidRPr="00AB6031" w:rsidRDefault="00005978" w:rsidP="00005978">
      <w:pPr>
        <w:spacing w:after="0" w:line="240" w:lineRule="auto"/>
        <w:rPr>
          <w:rFonts w:ascii="Times New Roman" w:eastAsia="Times New Roman" w:hAnsi="Times New Roman"/>
          <w:color w:val="000000"/>
          <w:lang w:val="el-GR" w:eastAsia="el-GR"/>
        </w:rPr>
      </w:pPr>
      <w:r w:rsidRPr="00C80A84">
        <w:rPr>
          <w:rFonts w:ascii="Times New Roman" w:eastAsia="SimSun" w:hAnsi="Times New Roman"/>
          <w:color w:val="000000"/>
          <w:lang w:val="el-GR" w:eastAsia="zh-CN"/>
        </w:rPr>
        <w:t xml:space="preserve">Τα αποτελέσματα από ένα φάσμα μελετών αλληλεπίδρασης καταδεικνύουν ότι η </w:t>
      </w:r>
      <w:proofErr w:type="spellStart"/>
      <w:r w:rsidRPr="00C80A84">
        <w:rPr>
          <w:rFonts w:ascii="Times New Roman" w:eastAsia="SimSun" w:hAnsi="Times New Roman"/>
          <w:color w:val="000000"/>
          <w:lang w:val="el-GR" w:eastAsia="zh-CN"/>
        </w:rPr>
        <w:t>η</w:t>
      </w:r>
      <w:proofErr w:type="spellEnd"/>
      <w:r w:rsidRPr="00C80A84">
        <w:rPr>
          <w:rFonts w:ascii="Times New Roman" w:eastAsia="SimSun" w:hAnsi="Times New Roman"/>
          <w:color w:val="000000"/>
          <w:lang w:val="el-GR" w:eastAsia="zh-CN"/>
        </w:rPr>
        <w:t xml:space="preserve"> παντοπραζόλη δεν επιδρά στο μεταβολισμό δραστικών ουσιών που μεταβολίζονται από το σύστημα </w:t>
      </w:r>
      <w:r w:rsidRPr="00C80A84">
        <w:rPr>
          <w:rFonts w:ascii="Times New Roman" w:hAnsi="Times New Roman"/>
        </w:rPr>
        <w:t>CYP</w:t>
      </w:r>
      <w:r w:rsidRPr="00C80A84">
        <w:rPr>
          <w:rFonts w:ascii="Times New Roman" w:hAnsi="Times New Roman"/>
          <w:lang w:val="el-GR"/>
        </w:rPr>
        <w:t>1</w:t>
      </w:r>
      <w:r w:rsidRPr="00C80A84">
        <w:rPr>
          <w:rFonts w:ascii="Times New Roman" w:hAnsi="Times New Roman"/>
        </w:rPr>
        <w:t>A</w:t>
      </w:r>
      <w:r w:rsidRPr="00C80A84">
        <w:rPr>
          <w:rFonts w:ascii="Times New Roman" w:hAnsi="Times New Roman"/>
          <w:lang w:val="el-GR"/>
        </w:rPr>
        <w:t xml:space="preserve">2 (όπως η </w:t>
      </w:r>
      <w:r w:rsidRPr="00C80A84">
        <w:rPr>
          <w:rFonts w:ascii="Times New Roman" w:eastAsia="SimSun" w:hAnsi="Times New Roman"/>
          <w:color w:val="000000"/>
          <w:lang w:val="el-GR" w:eastAsia="zh-CN"/>
        </w:rPr>
        <w:t xml:space="preserve">καφεΐνη και η θεοφυλλίνη), το </w:t>
      </w:r>
      <w:r w:rsidRPr="00C80A84">
        <w:rPr>
          <w:rFonts w:ascii="Times New Roman" w:hAnsi="Times New Roman"/>
        </w:rPr>
        <w:t>CYP</w:t>
      </w:r>
      <w:r w:rsidRPr="00C80A84">
        <w:rPr>
          <w:rFonts w:ascii="Times New Roman" w:hAnsi="Times New Roman"/>
          <w:lang w:val="el-GR"/>
        </w:rPr>
        <w:t>2</w:t>
      </w:r>
      <w:r w:rsidRPr="00C80A84">
        <w:rPr>
          <w:rFonts w:ascii="Times New Roman" w:hAnsi="Times New Roman"/>
        </w:rPr>
        <w:t>C</w:t>
      </w:r>
      <w:r w:rsidRPr="00C80A84">
        <w:rPr>
          <w:rFonts w:ascii="Times New Roman" w:hAnsi="Times New Roman"/>
          <w:lang w:val="el-GR"/>
        </w:rPr>
        <w:t xml:space="preserve">9 (όπως η </w:t>
      </w:r>
      <w:r w:rsidRPr="00C80A84">
        <w:rPr>
          <w:rFonts w:ascii="Times New Roman" w:eastAsia="SimSun" w:hAnsi="Times New Roman"/>
          <w:color w:val="000000"/>
          <w:lang w:val="el-GR" w:eastAsia="zh-CN"/>
        </w:rPr>
        <w:t xml:space="preserve">πιροξικάμη, η δικλοφενάκη, η ναπροξένη), το </w:t>
      </w:r>
      <w:r w:rsidRPr="00C80A84">
        <w:rPr>
          <w:rFonts w:ascii="Times New Roman" w:hAnsi="Times New Roman"/>
        </w:rPr>
        <w:t>CYP</w:t>
      </w:r>
      <w:r w:rsidRPr="00C80A84">
        <w:rPr>
          <w:rFonts w:ascii="Times New Roman" w:hAnsi="Times New Roman"/>
          <w:lang w:val="el-GR"/>
        </w:rPr>
        <w:t>2</w:t>
      </w:r>
      <w:r w:rsidRPr="00C80A84">
        <w:rPr>
          <w:rFonts w:ascii="Times New Roman" w:hAnsi="Times New Roman"/>
        </w:rPr>
        <w:t>D</w:t>
      </w:r>
      <w:r w:rsidRPr="00C80A84">
        <w:rPr>
          <w:rFonts w:ascii="Times New Roman" w:hAnsi="Times New Roman"/>
          <w:lang w:val="el-GR"/>
        </w:rPr>
        <w:t xml:space="preserve">6 (όπως η </w:t>
      </w:r>
      <w:r w:rsidRPr="00C80A84">
        <w:rPr>
          <w:rFonts w:ascii="Times New Roman" w:eastAsia="SimSun" w:hAnsi="Times New Roman"/>
          <w:color w:val="000000"/>
          <w:lang w:val="el-GR" w:eastAsia="zh-CN"/>
        </w:rPr>
        <w:t xml:space="preserve">μετοπρολόλη), το </w:t>
      </w:r>
      <w:r w:rsidRPr="00C80A84">
        <w:rPr>
          <w:rFonts w:ascii="Times New Roman" w:hAnsi="Times New Roman"/>
        </w:rPr>
        <w:t>CYP</w:t>
      </w:r>
      <w:r w:rsidRPr="00C80A84">
        <w:rPr>
          <w:rFonts w:ascii="Times New Roman" w:hAnsi="Times New Roman"/>
          <w:lang w:val="el-GR"/>
        </w:rPr>
        <w:t>2</w:t>
      </w:r>
      <w:r w:rsidRPr="00C80A84">
        <w:rPr>
          <w:rFonts w:ascii="Times New Roman" w:hAnsi="Times New Roman"/>
        </w:rPr>
        <w:t>E</w:t>
      </w:r>
      <w:r w:rsidRPr="00C80A84">
        <w:rPr>
          <w:rFonts w:ascii="Times New Roman" w:hAnsi="Times New Roman"/>
          <w:lang w:val="el-GR"/>
        </w:rPr>
        <w:t xml:space="preserve">1 (όπως η </w:t>
      </w:r>
      <w:r w:rsidRPr="00C80A84">
        <w:rPr>
          <w:rFonts w:ascii="Times New Roman" w:eastAsia="SimSun" w:hAnsi="Times New Roman"/>
          <w:color w:val="000000"/>
          <w:lang w:val="el-GR" w:eastAsia="zh-CN"/>
        </w:rPr>
        <w:t xml:space="preserve">αιθανόλη) ή δεν εμπλέκεται στην απορρόφηση της διγοξίνης που σχετίζεται με την </w:t>
      </w:r>
      <w:r w:rsidRPr="00C80A84">
        <w:rPr>
          <w:rFonts w:ascii="Times New Roman" w:eastAsia="SimSun" w:hAnsi="Times New Roman"/>
          <w:color w:val="000000"/>
          <w:lang w:eastAsia="zh-CN"/>
        </w:rPr>
        <w:t>p</w:t>
      </w:r>
      <w:r w:rsidRPr="00C80A84">
        <w:rPr>
          <w:rFonts w:ascii="Times New Roman" w:eastAsia="SimSun" w:hAnsi="Times New Roman"/>
          <w:color w:val="000000"/>
          <w:lang w:val="el-GR" w:eastAsia="zh-CN"/>
        </w:rPr>
        <w:t>-γλυκοπρωτεΐνη.</w:t>
      </w:r>
    </w:p>
    <w:p w:rsidR="00005978" w:rsidRPr="00AB6031" w:rsidRDefault="00005978" w:rsidP="00005978">
      <w:pPr>
        <w:autoSpaceDE w:val="0"/>
        <w:autoSpaceDN w:val="0"/>
        <w:adjustRightInd w:val="0"/>
        <w:spacing w:after="0" w:line="240" w:lineRule="auto"/>
        <w:rPr>
          <w:rFonts w:ascii="Times New Roman" w:eastAsia="Times New Roman" w:hAnsi="Times New Roman"/>
          <w:lang w:val="el-GR"/>
        </w:rPr>
      </w:pPr>
      <w:r w:rsidRPr="00C80A84">
        <w:rPr>
          <w:rFonts w:ascii="Times New Roman" w:eastAsia="Times New Roman" w:hAnsi="Times New Roman"/>
          <w:lang w:val="el-GR"/>
        </w:rPr>
        <w:t>Δεν υπήρξαν αλληλεπιδράσεις με ταυτόχρονα χορηγούμενα αντιόξινα.</w:t>
      </w:r>
    </w:p>
    <w:p w:rsidR="00005978" w:rsidRPr="00C80A84" w:rsidRDefault="00005978" w:rsidP="00005978">
      <w:pPr>
        <w:autoSpaceDE w:val="0"/>
        <w:autoSpaceDN w:val="0"/>
        <w:adjustRightInd w:val="0"/>
        <w:spacing w:after="0" w:line="240" w:lineRule="auto"/>
        <w:rPr>
          <w:rFonts w:ascii="Times New Roman" w:eastAsia="Times New Roman" w:hAnsi="Times New Roman"/>
          <w:lang w:val="el-GR"/>
        </w:rPr>
      </w:pPr>
      <w:r w:rsidRPr="00C80A84">
        <w:rPr>
          <w:rFonts w:ascii="Times New Roman" w:eastAsia="Times New Roman" w:hAnsi="Times New Roman"/>
          <w:lang w:val="el-GR"/>
        </w:rPr>
        <w:t>Έχουν επίσης διεξαχθεί μελέτες αλληλεπίδρασης με χορήγηση παντοπραζόλης με τα αντίστοιχα αντιβιοτικά (κλαριθρομυκίνη, μετρονιδαζόλη, αμοξικιλλίνη). Δεν βρέθηκε καμία κλινικ</w:t>
      </w:r>
      <w:r>
        <w:rPr>
          <w:rFonts w:ascii="Times New Roman" w:eastAsia="Times New Roman" w:hAnsi="Times New Roman"/>
          <w:lang w:val="el-GR"/>
        </w:rPr>
        <w:t>ά</w:t>
      </w:r>
      <w:r w:rsidRPr="00C80A84">
        <w:rPr>
          <w:rFonts w:ascii="Times New Roman" w:eastAsia="Times New Roman" w:hAnsi="Times New Roman"/>
          <w:lang w:val="el-GR"/>
        </w:rPr>
        <w:t xml:space="preserve"> σχετική αλληλεπίδραση. </w:t>
      </w:r>
    </w:p>
    <w:p w:rsidR="00C80A84" w:rsidRPr="00C80A84" w:rsidRDefault="00C80A84" w:rsidP="00C80A84">
      <w:pPr>
        <w:autoSpaceDE w:val="0"/>
        <w:autoSpaceDN w:val="0"/>
        <w:adjustRightInd w:val="0"/>
        <w:spacing w:after="0" w:line="240" w:lineRule="auto"/>
        <w:rPr>
          <w:rFonts w:ascii="Times New Roman" w:eastAsia="Times New Roman" w:hAnsi="Times New Roman"/>
          <w:lang w:val="el-GR"/>
        </w:rPr>
      </w:pPr>
    </w:p>
    <w:p w:rsidR="00C80A84" w:rsidRPr="00AB6031" w:rsidRDefault="00C80A84" w:rsidP="00AB6031">
      <w:pPr>
        <w:numPr>
          <w:ilvl w:val="1"/>
          <w:numId w:val="9"/>
        </w:numPr>
        <w:autoSpaceDE w:val="0"/>
        <w:autoSpaceDN w:val="0"/>
        <w:adjustRightInd w:val="0"/>
        <w:spacing w:after="0" w:line="240" w:lineRule="auto"/>
        <w:ind w:left="540" w:hanging="540"/>
        <w:rPr>
          <w:rFonts w:ascii="Times New Roman" w:hAnsi="Times New Roman"/>
          <w:b/>
          <w:bCs/>
          <w:color w:val="000000"/>
          <w:lang w:val="el-GR"/>
        </w:rPr>
      </w:pPr>
      <w:r w:rsidRPr="00C80A84">
        <w:rPr>
          <w:rFonts w:ascii="Times New Roman" w:hAnsi="Times New Roman"/>
          <w:b/>
          <w:bCs/>
          <w:color w:val="000000"/>
          <w:lang w:val="el-GR"/>
        </w:rPr>
        <w:t>Kύηση και γαλουχία</w:t>
      </w:r>
    </w:p>
    <w:p w:rsidR="00C80A84" w:rsidRPr="00C80A84" w:rsidRDefault="00C80A84" w:rsidP="00C80A84">
      <w:pPr>
        <w:autoSpaceDE w:val="0"/>
        <w:autoSpaceDN w:val="0"/>
        <w:adjustRightInd w:val="0"/>
        <w:spacing w:after="0" w:line="240" w:lineRule="auto"/>
        <w:rPr>
          <w:rFonts w:ascii="Times New Roman" w:eastAsia="SimSun" w:hAnsi="Times New Roman"/>
          <w:i/>
          <w:iCs/>
          <w:color w:val="000000"/>
          <w:u w:val="single"/>
          <w:lang w:val="el-GR" w:eastAsia="zh-CN"/>
        </w:rPr>
      </w:pPr>
      <w:r w:rsidRPr="00C80A84">
        <w:rPr>
          <w:rFonts w:ascii="Times New Roman" w:eastAsia="SimSun" w:hAnsi="Times New Roman"/>
          <w:i/>
          <w:iCs/>
          <w:color w:val="000000"/>
          <w:u w:val="single"/>
          <w:lang w:val="el-GR" w:eastAsia="zh-CN"/>
        </w:rPr>
        <w:t xml:space="preserve">Kύηση </w:t>
      </w:r>
    </w:p>
    <w:p w:rsidR="00005978" w:rsidRPr="00C80A84" w:rsidRDefault="00005978" w:rsidP="00005978">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 xml:space="preserve">Δεν υπάρχουν επαρκή στοιχεία από τη χρήση της παντοπραζόλης σε </w:t>
      </w:r>
      <w:r>
        <w:rPr>
          <w:rFonts w:ascii="Times New Roman" w:eastAsia="SimSun" w:hAnsi="Times New Roman"/>
          <w:color w:val="000000"/>
          <w:lang w:val="el-GR" w:eastAsia="zh-CN"/>
        </w:rPr>
        <w:t>έγκυες</w:t>
      </w:r>
      <w:r w:rsidRPr="00C80A84">
        <w:rPr>
          <w:rFonts w:ascii="Times New Roman" w:eastAsia="SimSun" w:hAnsi="Times New Roman"/>
          <w:color w:val="000000"/>
          <w:lang w:val="el-GR" w:eastAsia="zh-CN"/>
        </w:rPr>
        <w:t xml:space="preserve"> γυναίκες. Μελέτες σε ζώα κατέδειξαν τοξικότητα στην αναπαραγωγική ικανότητα</w:t>
      </w:r>
      <w:r>
        <w:rPr>
          <w:rFonts w:ascii="Times New Roman" w:eastAsia="SimSun" w:hAnsi="Times New Roman"/>
          <w:color w:val="000000"/>
          <w:lang w:val="el-GR" w:eastAsia="zh-CN"/>
        </w:rPr>
        <w:t xml:space="preserve"> </w:t>
      </w:r>
      <w:r w:rsidRPr="00C80A84">
        <w:rPr>
          <w:rFonts w:ascii="Times New Roman" w:eastAsia="SimSun" w:hAnsi="Times New Roman"/>
          <w:color w:val="000000"/>
          <w:lang w:val="el-GR" w:eastAsia="zh-CN"/>
        </w:rPr>
        <w:t xml:space="preserve">(βλ. παράγραφο 5.3). Ο ενδεχόμενος κίνδυνος για τον άνθρωπο δεν είναι γνωστός. Το </w:t>
      </w:r>
      <w:r w:rsidRPr="00C80A84">
        <w:rPr>
          <w:rFonts w:ascii="Times New Roman" w:eastAsia="SimSun" w:hAnsi="Times New Roman"/>
          <w:color w:val="000000"/>
          <w:lang w:eastAsia="zh-CN"/>
        </w:rPr>
        <w:t>Pantoprazole</w:t>
      </w:r>
      <w:r w:rsidR="0064759B">
        <w:rPr>
          <w:rFonts w:ascii="Times New Roman" w:eastAsia="SimSun" w:hAnsi="Times New Roman"/>
          <w:color w:val="000000"/>
          <w:lang w:val="el-GR" w:eastAsia="zh-CN"/>
        </w:rPr>
        <w:t>/</w:t>
      </w:r>
      <w:r w:rsidRPr="00C80A84">
        <w:rPr>
          <w:rFonts w:ascii="Times New Roman" w:eastAsia="SimSun" w:hAnsi="Times New Roman"/>
          <w:color w:val="000000"/>
          <w:lang w:val="el-GR" w:eastAsia="zh-CN"/>
        </w:rPr>
        <w:t xml:space="preserve"> </w:t>
      </w:r>
      <w:r w:rsidRPr="00C80A84">
        <w:rPr>
          <w:rFonts w:ascii="Times New Roman" w:eastAsia="SimSun" w:hAnsi="Times New Roman"/>
          <w:color w:val="000000"/>
          <w:lang w:eastAsia="zh-CN"/>
        </w:rPr>
        <w:t>TAD</w:t>
      </w:r>
      <w:r w:rsidRPr="00C80A84">
        <w:rPr>
          <w:rFonts w:ascii="Times New Roman" w:eastAsia="SimSun" w:hAnsi="Times New Roman"/>
          <w:color w:val="000000"/>
          <w:lang w:val="el-GR" w:eastAsia="zh-CN"/>
        </w:rPr>
        <w:t xml:space="preserve"> δεν πρέπει να χρησιμοποιείται κατά τη διάρκεια της εγκυμοσύνης εκτός και εάν κρίνεται σαφώς απαραίτητο.</w:t>
      </w:r>
    </w:p>
    <w:p w:rsidR="00C80A84" w:rsidRPr="002A11C9" w:rsidRDefault="00C80A84" w:rsidP="00C80A84">
      <w:pPr>
        <w:autoSpaceDE w:val="0"/>
        <w:autoSpaceDN w:val="0"/>
        <w:adjustRightInd w:val="0"/>
        <w:spacing w:after="0" w:line="240" w:lineRule="auto"/>
        <w:rPr>
          <w:rFonts w:ascii="Times New Roman" w:eastAsia="SimSun" w:hAnsi="Times New Roman"/>
          <w:color w:val="000000"/>
          <w:lang w:val="el-GR" w:eastAsia="zh-CN"/>
        </w:rPr>
      </w:pPr>
    </w:p>
    <w:p w:rsidR="00AB6031" w:rsidRPr="002A11C9" w:rsidRDefault="00AB6031" w:rsidP="00C80A84">
      <w:pPr>
        <w:autoSpaceDE w:val="0"/>
        <w:autoSpaceDN w:val="0"/>
        <w:adjustRightInd w:val="0"/>
        <w:spacing w:after="0" w:line="240" w:lineRule="auto"/>
        <w:rPr>
          <w:rFonts w:ascii="Times New Roman" w:eastAsia="SimSun" w:hAnsi="Times New Roman"/>
          <w:color w:val="000000"/>
          <w:lang w:val="el-GR" w:eastAsia="zh-CN"/>
        </w:rPr>
      </w:pPr>
    </w:p>
    <w:p w:rsidR="00AB6031" w:rsidRPr="002A11C9" w:rsidRDefault="00AB6031" w:rsidP="00C80A84">
      <w:pPr>
        <w:autoSpaceDE w:val="0"/>
        <w:autoSpaceDN w:val="0"/>
        <w:adjustRightInd w:val="0"/>
        <w:spacing w:after="0" w:line="240" w:lineRule="auto"/>
        <w:rPr>
          <w:rFonts w:ascii="Times New Roman" w:eastAsia="SimSun" w:hAnsi="Times New Roman"/>
          <w:color w:val="000000"/>
          <w:lang w:val="el-GR" w:eastAsia="zh-CN"/>
        </w:rPr>
      </w:pPr>
    </w:p>
    <w:p w:rsidR="00C80A84" w:rsidRPr="00C80A84" w:rsidRDefault="00C80A84" w:rsidP="00C80A84">
      <w:pPr>
        <w:autoSpaceDE w:val="0"/>
        <w:autoSpaceDN w:val="0"/>
        <w:adjustRightInd w:val="0"/>
        <w:spacing w:after="0" w:line="240" w:lineRule="auto"/>
        <w:rPr>
          <w:rFonts w:ascii="Times New Roman" w:eastAsia="SimSun" w:hAnsi="Times New Roman"/>
          <w:i/>
          <w:iCs/>
          <w:color w:val="000000"/>
          <w:u w:val="single"/>
          <w:lang w:val="el-GR" w:eastAsia="zh-CN"/>
        </w:rPr>
      </w:pPr>
      <w:r w:rsidRPr="00C80A84">
        <w:rPr>
          <w:rFonts w:ascii="Times New Roman" w:eastAsia="SimSun" w:hAnsi="Times New Roman"/>
          <w:i/>
          <w:iCs/>
          <w:color w:val="000000"/>
          <w:u w:val="single"/>
          <w:lang w:val="el-GR" w:eastAsia="zh-CN"/>
        </w:rPr>
        <w:lastRenderedPageBreak/>
        <w:t>Γαλουχία</w:t>
      </w:r>
    </w:p>
    <w:p w:rsidR="00C80A84" w:rsidRPr="00C80A84" w:rsidRDefault="00C80A84" w:rsidP="00C80A84">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 xml:space="preserve">Μελέτες σε ζώα έχουν δείξει απέκκριση της παντοπραζόλης στο μητρικό γάλα. Έχει αναφερθεί απέκκριση στο μητρικό γάλα στον άνθρωπο. Συνεπως η απόφαση για τη συνέχιση/διακοπή του θηλασμού ή τη συνέχιση/διακοπή της θεραπείας με </w:t>
      </w:r>
      <w:r w:rsidRPr="00C80A84">
        <w:rPr>
          <w:rFonts w:ascii="Times New Roman" w:eastAsia="SimSun" w:hAnsi="Times New Roman"/>
          <w:color w:val="000000"/>
          <w:lang w:eastAsia="zh-CN"/>
        </w:rPr>
        <w:t>Pantoprazole</w:t>
      </w:r>
      <w:r w:rsidRPr="00C80A84">
        <w:rPr>
          <w:rFonts w:ascii="Times New Roman" w:eastAsia="SimSun" w:hAnsi="Times New Roman"/>
          <w:color w:val="000000"/>
          <w:lang w:val="el-GR" w:eastAsia="zh-CN"/>
        </w:rPr>
        <w:t xml:space="preserve"> </w:t>
      </w:r>
      <w:r w:rsidR="0064759B">
        <w:rPr>
          <w:rFonts w:ascii="Times New Roman" w:eastAsia="SimSun" w:hAnsi="Times New Roman"/>
          <w:color w:val="000000"/>
          <w:lang w:val="el-GR" w:eastAsia="zh-CN"/>
        </w:rPr>
        <w:t>/</w:t>
      </w:r>
      <w:r w:rsidRPr="00C80A84">
        <w:rPr>
          <w:rFonts w:ascii="Times New Roman" w:eastAsia="SimSun" w:hAnsi="Times New Roman"/>
          <w:color w:val="000000"/>
          <w:lang w:eastAsia="zh-CN"/>
        </w:rPr>
        <w:t>TAD</w:t>
      </w:r>
      <w:r w:rsidRPr="00C80A84">
        <w:rPr>
          <w:rFonts w:ascii="Times New Roman" w:eastAsia="SimSun" w:hAnsi="Times New Roman"/>
          <w:color w:val="000000"/>
          <w:lang w:val="el-GR" w:eastAsia="zh-CN"/>
        </w:rPr>
        <w:t xml:space="preserve"> πρέπει να λαμβάνεται συνυπολογίζοντας το όφελος του θηλασμού για το παιδί και το όφελος της θεραπείας με </w:t>
      </w:r>
      <w:r w:rsidRPr="00C80A84">
        <w:rPr>
          <w:rFonts w:ascii="Times New Roman" w:eastAsia="SimSun" w:hAnsi="Times New Roman"/>
          <w:color w:val="000000"/>
          <w:lang w:eastAsia="zh-CN"/>
        </w:rPr>
        <w:t>Pantoprazole</w:t>
      </w:r>
      <w:r w:rsidRPr="00C80A84">
        <w:rPr>
          <w:rFonts w:ascii="Times New Roman" w:eastAsia="SimSun" w:hAnsi="Times New Roman"/>
          <w:color w:val="000000"/>
          <w:lang w:val="el-GR" w:eastAsia="zh-CN"/>
        </w:rPr>
        <w:t xml:space="preserve"> </w:t>
      </w:r>
      <w:r w:rsidR="0064759B">
        <w:rPr>
          <w:rFonts w:ascii="Times New Roman" w:eastAsia="SimSun" w:hAnsi="Times New Roman"/>
          <w:color w:val="000000"/>
          <w:lang w:val="el-GR" w:eastAsia="zh-CN"/>
        </w:rPr>
        <w:t>/</w:t>
      </w:r>
      <w:r w:rsidRPr="00C80A84">
        <w:rPr>
          <w:rFonts w:ascii="Times New Roman" w:eastAsia="SimSun" w:hAnsi="Times New Roman"/>
          <w:color w:val="000000"/>
          <w:lang w:eastAsia="zh-CN"/>
        </w:rPr>
        <w:t>TAD</w:t>
      </w:r>
      <w:r w:rsidRPr="00C80A84">
        <w:rPr>
          <w:rFonts w:ascii="Times New Roman" w:eastAsia="SimSun" w:hAnsi="Times New Roman"/>
          <w:color w:val="000000"/>
          <w:lang w:val="el-GR" w:eastAsia="zh-CN"/>
        </w:rPr>
        <w:t xml:space="preserve"> για τις γυναίκες.</w:t>
      </w:r>
    </w:p>
    <w:p w:rsidR="00C80A84" w:rsidRPr="00C80A84" w:rsidRDefault="00C80A84" w:rsidP="00C80A84">
      <w:pPr>
        <w:autoSpaceDE w:val="0"/>
        <w:autoSpaceDN w:val="0"/>
        <w:adjustRightInd w:val="0"/>
        <w:spacing w:after="0" w:line="240" w:lineRule="auto"/>
        <w:rPr>
          <w:rFonts w:ascii="Times New Roman" w:hAnsi="Times New Roman"/>
          <w:color w:val="000000"/>
          <w:lang w:val="el-GR"/>
        </w:rPr>
      </w:pPr>
    </w:p>
    <w:p w:rsidR="00C80A84" w:rsidRPr="00AB6031" w:rsidRDefault="00C80A84" w:rsidP="00C80A84">
      <w:pPr>
        <w:numPr>
          <w:ilvl w:val="1"/>
          <w:numId w:val="9"/>
        </w:numPr>
        <w:autoSpaceDE w:val="0"/>
        <w:autoSpaceDN w:val="0"/>
        <w:adjustRightInd w:val="0"/>
        <w:spacing w:after="0" w:line="240" w:lineRule="auto"/>
        <w:ind w:left="540" w:hanging="540"/>
        <w:rPr>
          <w:rFonts w:ascii="Times New Roman" w:hAnsi="Times New Roman"/>
          <w:b/>
          <w:bCs/>
          <w:color w:val="000000"/>
          <w:lang w:val="el-GR"/>
        </w:rPr>
      </w:pPr>
      <w:r w:rsidRPr="00C80A84">
        <w:rPr>
          <w:rFonts w:ascii="Times New Roman" w:hAnsi="Times New Roman"/>
          <w:b/>
          <w:bCs/>
          <w:color w:val="000000"/>
          <w:lang w:val="el-GR"/>
        </w:rPr>
        <w:t>Επιδράσεις στην ικανότητα οδήγησης και χειρισμού μηχανών</w:t>
      </w:r>
    </w:p>
    <w:p w:rsidR="00C80A84" w:rsidRPr="00C80A84" w:rsidRDefault="00C80A84" w:rsidP="00C80A84">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 xml:space="preserve">Ανεπιθύμητες ενέργειες όπως ζάλη και οπτικές διαταραχές μπορεί να εμφανισθούν (βλ. παράγραφο 4.8). Εάν υπάρξει επίδραση, οι ασθενείς δεν πρέπει να οδηγούν ή να χειρίζονται μηχανές. </w:t>
      </w:r>
    </w:p>
    <w:p w:rsidR="00C80A84" w:rsidRPr="00C80A84" w:rsidRDefault="00C80A84" w:rsidP="00C80A84">
      <w:pPr>
        <w:autoSpaceDE w:val="0"/>
        <w:autoSpaceDN w:val="0"/>
        <w:adjustRightInd w:val="0"/>
        <w:spacing w:after="0" w:line="240" w:lineRule="auto"/>
        <w:rPr>
          <w:rFonts w:ascii="Times New Roman" w:hAnsi="Times New Roman"/>
          <w:b/>
          <w:bCs/>
          <w:color w:val="000000"/>
          <w:lang w:val="el-GR"/>
        </w:rPr>
      </w:pPr>
    </w:p>
    <w:p w:rsidR="00C80A84" w:rsidRPr="00AB6031" w:rsidRDefault="00C80A84" w:rsidP="00C80A84">
      <w:pPr>
        <w:numPr>
          <w:ilvl w:val="1"/>
          <w:numId w:val="9"/>
        </w:numPr>
        <w:autoSpaceDE w:val="0"/>
        <w:autoSpaceDN w:val="0"/>
        <w:adjustRightInd w:val="0"/>
        <w:spacing w:after="0" w:line="240" w:lineRule="auto"/>
        <w:ind w:hanging="644"/>
        <w:rPr>
          <w:rFonts w:ascii="Times New Roman" w:hAnsi="Times New Roman"/>
          <w:b/>
          <w:bCs/>
          <w:color w:val="000000"/>
          <w:lang w:val="el-GR"/>
        </w:rPr>
      </w:pPr>
      <w:r w:rsidRPr="00C80A84">
        <w:rPr>
          <w:rFonts w:ascii="Times New Roman" w:hAnsi="Times New Roman"/>
          <w:b/>
          <w:bCs/>
          <w:color w:val="000000"/>
          <w:lang w:val="el-GR"/>
        </w:rPr>
        <w:t>Aνεπιθύμητες ενέργειες</w:t>
      </w:r>
    </w:p>
    <w:p w:rsidR="00C80A84" w:rsidRPr="00AB6031" w:rsidRDefault="00C80A84" w:rsidP="00C80A84">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Περίπου το 5% των ασθενών μπορεί να αναμένεται να εμφανίσει ανεπιθύμητες ενέργειες από το φάρμακο. Οι πιο συχνά αναφερόμενες ανεπιθύμητες ενέργειες από το φάρμακο είναι διάρροια και κεφαλαλγία, που και οι δύο εμφανίζονται σε περίπου 1% των ασθενών.</w:t>
      </w:r>
    </w:p>
    <w:p w:rsidR="00C80A84" w:rsidRPr="00AB6031" w:rsidRDefault="00C80A84" w:rsidP="00C80A84">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 xml:space="preserve">Ο παρακάτω πίνακας περιλαμβάνει τις ανεπιθύμητες ενέργειες που αναφέρθηκαν με την παντοπραζόλη, οι οποίες κατατάσσονται σύμφωνα με την ακόλουθη ταξινόμηση ως προς τη συχνότητα: </w:t>
      </w:r>
    </w:p>
    <w:p w:rsidR="00C80A84" w:rsidRPr="00C80A84" w:rsidRDefault="00C80A84" w:rsidP="00C80A84">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 xml:space="preserve">Πολύ συχνές (≥1/10), συχνές (≥1/100 έως &lt;1/10), όχι συχνές (≥1/1.000 έως &lt;1/100), σπάνιες </w:t>
      </w:r>
    </w:p>
    <w:p w:rsidR="00C80A84" w:rsidRPr="00C80A84" w:rsidRDefault="00C80A84" w:rsidP="00C80A84">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 xml:space="preserve">(≥1/10.000 έως &lt;1/1.000), πολύ σπάνιες (&lt;1/10.000), μη γνωστές (δεν μπορούν να εκτιμηθούν με βάση τα διαθέσιμα δεδομένα). </w:t>
      </w:r>
    </w:p>
    <w:p w:rsidR="00C80A84" w:rsidRPr="00C80A84" w:rsidRDefault="00C80A84" w:rsidP="00C80A84">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Για όλες τις ανεπιθύμητες ενέργειες που αναφέρθηκαν μετά την κυκλοφορία του φαρμάκου, δεν είναι δυνατό να εφαρμοστεί η Συχνότητα των Ανεπιθύμητων Ενεργειών και για το λόγο αυτό αναφέρονται με «μη γνωστή» συχνότητα.</w:t>
      </w:r>
    </w:p>
    <w:p w:rsidR="00C80A84" w:rsidRPr="00C80A84" w:rsidRDefault="00C80A84" w:rsidP="00C80A84">
      <w:pPr>
        <w:autoSpaceDE w:val="0"/>
        <w:autoSpaceDN w:val="0"/>
        <w:adjustRightInd w:val="0"/>
        <w:spacing w:after="0" w:line="240" w:lineRule="auto"/>
        <w:rPr>
          <w:rFonts w:ascii="Times New Roman" w:eastAsia="SimSun" w:hAnsi="Times New Roman"/>
          <w:color w:val="000000"/>
          <w:lang w:val="el-GR" w:eastAsia="zh-CN"/>
        </w:rPr>
      </w:pPr>
    </w:p>
    <w:p w:rsidR="00C80A84" w:rsidRPr="00C80A84" w:rsidRDefault="00C80A84" w:rsidP="00C80A84">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 xml:space="preserve">Εντός κάθε κατηγορίας συχνότητας εμφάνισης, οι ανεπιθύμητες ενέργειες παρουσιάζονται κατά φθίνουσα σειρά σοβαρότητας. </w:t>
      </w:r>
    </w:p>
    <w:p w:rsidR="00C80A84" w:rsidRPr="00C80A84" w:rsidRDefault="00C80A84" w:rsidP="00C80A84">
      <w:pPr>
        <w:autoSpaceDE w:val="0"/>
        <w:autoSpaceDN w:val="0"/>
        <w:adjustRightInd w:val="0"/>
        <w:spacing w:after="0" w:line="240" w:lineRule="auto"/>
        <w:rPr>
          <w:rFonts w:ascii="Times New Roman" w:eastAsia="SimSun" w:hAnsi="Times New Roman"/>
          <w:lang w:val="el-GR" w:eastAsia="zh-CN"/>
        </w:rPr>
      </w:pPr>
    </w:p>
    <w:tbl>
      <w:tblPr>
        <w:tblW w:w="101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781"/>
        <w:gridCol w:w="2339"/>
        <w:gridCol w:w="10"/>
        <w:gridCol w:w="2177"/>
        <w:gridCol w:w="2027"/>
      </w:tblGrid>
      <w:tr w:rsidR="00C80A84" w:rsidRPr="00C80A84">
        <w:trPr>
          <w:trHeight w:val="1850"/>
        </w:trPr>
        <w:tc>
          <w:tcPr>
            <w:tcW w:w="1800" w:type="dxa"/>
          </w:tcPr>
          <w:p w:rsidR="00C80A84" w:rsidRPr="00C80A84" w:rsidRDefault="00A66021" w:rsidP="00844520">
            <w:pPr>
              <w:autoSpaceDE w:val="0"/>
              <w:autoSpaceDN w:val="0"/>
              <w:adjustRightInd w:val="0"/>
              <w:spacing w:after="0" w:line="240" w:lineRule="auto"/>
              <w:jc w:val="right"/>
              <w:rPr>
                <w:rFonts w:ascii="Times New Roman" w:eastAsia="SimSun" w:hAnsi="Times New Roman"/>
                <w:color w:val="000000"/>
                <w:lang w:val="el-GR" w:eastAsia="zh-CN"/>
              </w:rPr>
            </w:pPr>
            <w:r w:rsidRPr="00A66021">
              <w:rPr>
                <w:rFonts w:ascii="Times New Roman" w:eastAsia="SimSun" w:hAnsi="Times New Roman"/>
                <w:b/>
                <w:bCs/>
                <w:noProof/>
                <w:color w:val="000000"/>
                <w:lang w:val="el-GR" w:eastAsia="zh-CN"/>
              </w:rPr>
              <w:pict>
                <v:line id="_x0000_s1032" style="position:absolute;left:0;text-align:left;z-index:251657728" from="-7.35pt,0" to="84.6pt,91.5pt"/>
              </w:pict>
            </w:r>
            <w:r w:rsidR="00C80A84" w:rsidRPr="00C80A84">
              <w:rPr>
                <w:rFonts w:ascii="Times New Roman" w:eastAsia="SimSun" w:hAnsi="Times New Roman"/>
                <w:b/>
                <w:bCs/>
                <w:color w:val="000000"/>
                <w:lang w:val="el-GR" w:eastAsia="zh-CN"/>
              </w:rPr>
              <w:t xml:space="preserve">Συχνότητα </w:t>
            </w:r>
          </w:p>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p>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p>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p>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b/>
                <w:bCs/>
                <w:color w:val="000000"/>
                <w:lang w:val="el-GR" w:eastAsia="zh-CN"/>
              </w:rPr>
              <w:t>Κατηγορία Οργάνου Συστήματος</w:t>
            </w:r>
          </w:p>
        </w:tc>
        <w:tc>
          <w:tcPr>
            <w:tcW w:w="1781"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b/>
                <w:bCs/>
                <w:color w:val="000000"/>
                <w:lang w:val="el-GR" w:eastAsia="zh-CN"/>
              </w:rPr>
              <w:t xml:space="preserve">Όχι συχνές </w:t>
            </w:r>
          </w:p>
        </w:tc>
        <w:tc>
          <w:tcPr>
            <w:tcW w:w="2339"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b/>
                <w:bCs/>
                <w:color w:val="000000"/>
                <w:lang w:val="el-GR" w:eastAsia="zh-CN"/>
              </w:rPr>
              <w:t xml:space="preserve">Σπάνιες </w:t>
            </w:r>
          </w:p>
        </w:tc>
        <w:tc>
          <w:tcPr>
            <w:tcW w:w="2187" w:type="dxa"/>
            <w:gridSpan w:val="2"/>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b/>
                <w:bCs/>
                <w:color w:val="000000"/>
                <w:lang w:val="el-GR" w:eastAsia="zh-CN"/>
              </w:rPr>
              <w:t xml:space="preserve">Πολύ σπάνιες </w:t>
            </w:r>
          </w:p>
        </w:tc>
        <w:tc>
          <w:tcPr>
            <w:tcW w:w="2027"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b/>
                <w:bCs/>
                <w:color w:val="000000"/>
                <w:lang w:val="el-GR" w:eastAsia="zh-CN"/>
              </w:rPr>
              <w:t xml:space="preserve">Μη γνωστές </w:t>
            </w:r>
          </w:p>
        </w:tc>
      </w:tr>
      <w:tr w:rsidR="00C80A84" w:rsidRPr="00C80A84">
        <w:trPr>
          <w:trHeight w:val="1068"/>
        </w:trPr>
        <w:tc>
          <w:tcPr>
            <w:tcW w:w="1800"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Διαταραχές του αιμοποιητικού και του λεμφικού συστήματος</w:t>
            </w:r>
          </w:p>
        </w:tc>
        <w:tc>
          <w:tcPr>
            <w:tcW w:w="1781"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p>
        </w:tc>
        <w:tc>
          <w:tcPr>
            <w:tcW w:w="2339"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p>
        </w:tc>
        <w:tc>
          <w:tcPr>
            <w:tcW w:w="2187" w:type="dxa"/>
            <w:gridSpan w:val="2"/>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 xml:space="preserve">Θρομβοπενία, Λευκοπενία </w:t>
            </w:r>
          </w:p>
        </w:tc>
        <w:tc>
          <w:tcPr>
            <w:tcW w:w="2027"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p>
        </w:tc>
      </w:tr>
      <w:tr w:rsidR="00C80A84" w:rsidRPr="002A11C9">
        <w:trPr>
          <w:trHeight w:val="1068"/>
        </w:trPr>
        <w:tc>
          <w:tcPr>
            <w:tcW w:w="1800"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Διαταραχές του ανοσοποιητικού συστήματος</w:t>
            </w:r>
          </w:p>
        </w:tc>
        <w:tc>
          <w:tcPr>
            <w:tcW w:w="1781"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p>
        </w:tc>
        <w:tc>
          <w:tcPr>
            <w:tcW w:w="2339"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Υπερευαισθησία (συμπεριλαμβανομένων αναφυλακτικών αντιδράσεων και αναφυλακτική καταπληξία)</w:t>
            </w:r>
          </w:p>
        </w:tc>
        <w:tc>
          <w:tcPr>
            <w:tcW w:w="2187" w:type="dxa"/>
            <w:gridSpan w:val="2"/>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p>
        </w:tc>
        <w:tc>
          <w:tcPr>
            <w:tcW w:w="2027"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p>
        </w:tc>
      </w:tr>
      <w:tr w:rsidR="00C80A84" w:rsidRPr="00C80A84">
        <w:trPr>
          <w:trHeight w:val="1586"/>
        </w:trPr>
        <w:tc>
          <w:tcPr>
            <w:tcW w:w="1800"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Διαταραχές του μεταβολισμού και της θρέψης</w:t>
            </w:r>
          </w:p>
        </w:tc>
        <w:tc>
          <w:tcPr>
            <w:tcW w:w="1781"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p>
        </w:tc>
        <w:tc>
          <w:tcPr>
            <w:tcW w:w="2339"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Υπερλιπιδαιμίες και αυξήσεις λιπιδίων (τριγλυκεριδίων, χοληστερόλης), Μεταβολές σωματικού βάρους</w:t>
            </w:r>
          </w:p>
        </w:tc>
        <w:tc>
          <w:tcPr>
            <w:tcW w:w="2187" w:type="dxa"/>
            <w:gridSpan w:val="2"/>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p>
        </w:tc>
        <w:tc>
          <w:tcPr>
            <w:tcW w:w="2027"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Υπονατριαιμία</w:t>
            </w:r>
          </w:p>
        </w:tc>
      </w:tr>
      <w:tr w:rsidR="00C80A84" w:rsidRPr="002A11C9">
        <w:trPr>
          <w:trHeight w:val="1068"/>
        </w:trPr>
        <w:tc>
          <w:tcPr>
            <w:tcW w:w="1800"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Ψυχιατρικές διαταραχές</w:t>
            </w:r>
          </w:p>
        </w:tc>
        <w:tc>
          <w:tcPr>
            <w:tcW w:w="1781"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Διαταραχές ύπνου</w:t>
            </w:r>
          </w:p>
        </w:tc>
        <w:tc>
          <w:tcPr>
            <w:tcW w:w="2339"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Κατάθλιψη (και όλες οι καταστάσεις επιδείνωσης)</w:t>
            </w:r>
          </w:p>
        </w:tc>
        <w:tc>
          <w:tcPr>
            <w:tcW w:w="2187" w:type="dxa"/>
            <w:gridSpan w:val="2"/>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Αποπροσανατολισμός (και όλες οι καταστάσεις επιδείνωσης)</w:t>
            </w:r>
          </w:p>
        </w:tc>
        <w:tc>
          <w:tcPr>
            <w:tcW w:w="2027"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 xml:space="preserve">Παραισθήσεις, Σύγχυση (ειδικά σε ασθενείς με προδιαθεση, καθώς και επιδείνωση </w:t>
            </w:r>
            <w:r w:rsidRPr="00C80A84">
              <w:rPr>
                <w:rFonts w:ascii="Times New Roman" w:eastAsia="SimSun" w:hAnsi="Times New Roman"/>
                <w:color w:val="000000"/>
                <w:lang w:val="el-GR" w:eastAsia="zh-CN"/>
              </w:rPr>
              <w:lastRenderedPageBreak/>
              <w:t>αυτών των συμπτωμάτων σε περίπτωση που προϋπάρχουν)</w:t>
            </w:r>
          </w:p>
        </w:tc>
      </w:tr>
      <w:tr w:rsidR="00C80A84" w:rsidRPr="00C80A84">
        <w:trPr>
          <w:trHeight w:val="809"/>
        </w:trPr>
        <w:tc>
          <w:tcPr>
            <w:tcW w:w="1800"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lastRenderedPageBreak/>
              <w:t>Διαταραχές του νευρικού συστήματος</w:t>
            </w:r>
          </w:p>
        </w:tc>
        <w:tc>
          <w:tcPr>
            <w:tcW w:w="1781"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Κεφαλαλγία, ζάλη</w:t>
            </w:r>
          </w:p>
        </w:tc>
        <w:tc>
          <w:tcPr>
            <w:tcW w:w="2339"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p>
        </w:tc>
        <w:tc>
          <w:tcPr>
            <w:tcW w:w="2187" w:type="dxa"/>
            <w:gridSpan w:val="2"/>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p>
        </w:tc>
        <w:tc>
          <w:tcPr>
            <w:tcW w:w="2027"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p>
        </w:tc>
      </w:tr>
      <w:tr w:rsidR="00C80A84" w:rsidRPr="00C80A84">
        <w:trPr>
          <w:trHeight w:val="549"/>
        </w:trPr>
        <w:tc>
          <w:tcPr>
            <w:tcW w:w="1800"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Οφθαλμικές διαταραχές</w:t>
            </w:r>
          </w:p>
        </w:tc>
        <w:tc>
          <w:tcPr>
            <w:tcW w:w="1781"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p>
        </w:tc>
        <w:tc>
          <w:tcPr>
            <w:tcW w:w="2339"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Διαταραχές όρασης/ θαμπή όραση</w:t>
            </w:r>
          </w:p>
        </w:tc>
        <w:tc>
          <w:tcPr>
            <w:tcW w:w="2187" w:type="dxa"/>
            <w:gridSpan w:val="2"/>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p>
        </w:tc>
        <w:tc>
          <w:tcPr>
            <w:tcW w:w="2027"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p>
        </w:tc>
      </w:tr>
      <w:tr w:rsidR="00C80A84" w:rsidRPr="002A11C9">
        <w:trPr>
          <w:trHeight w:val="2364"/>
        </w:trPr>
        <w:tc>
          <w:tcPr>
            <w:tcW w:w="1800"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Διαταραχές του γαστρεντερικού συστήματος</w:t>
            </w:r>
          </w:p>
        </w:tc>
        <w:tc>
          <w:tcPr>
            <w:tcW w:w="1781"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 xml:space="preserve">Διάρροια, </w:t>
            </w:r>
          </w:p>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Ναυτία / έμετος, Διάταση της κοιλίας και μετεωρισμός, Δυσκοιλιότητα, Ξηροστομία, Κοιλιακό άλγος και δυσφορία</w:t>
            </w:r>
          </w:p>
        </w:tc>
        <w:tc>
          <w:tcPr>
            <w:tcW w:w="2339"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p>
        </w:tc>
        <w:tc>
          <w:tcPr>
            <w:tcW w:w="2187" w:type="dxa"/>
            <w:gridSpan w:val="2"/>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p>
        </w:tc>
        <w:tc>
          <w:tcPr>
            <w:tcW w:w="2027"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p>
        </w:tc>
      </w:tr>
      <w:tr w:rsidR="00C80A84" w:rsidRPr="002A11C9">
        <w:trPr>
          <w:trHeight w:val="1214"/>
        </w:trPr>
        <w:tc>
          <w:tcPr>
            <w:tcW w:w="1800"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Διαταραχές του ήπατος και των χοληφόρων</w:t>
            </w:r>
          </w:p>
        </w:tc>
        <w:tc>
          <w:tcPr>
            <w:tcW w:w="1781"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Ηπατικά ένζυμα αυξημένα (τρανσαμινάσες, γ-</w:t>
            </w:r>
            <w:r w:rsidRPr="00C80A84">
              <w:rPr>
                <w:rFonts w:ascii="Times New Roman" w:eastAsia="SimSun" w:hAnsi="Times New Roman"/>
                <w:color w:val="000000"/>
                <w:lang w:eastAsia="zh-CN"/>
              </w:rPr>
              <w:t>GT</w:t>
            </w:r>
            <w:r w:rsidRPr="00C80A84">
              <w:rPr>
                <w:rFonts w:ascii="Times New Roman" w:eastAsia="SimSun" w:hAnsi="Times New Roman"/>
                <w:color w:val="000000"/>
                <w:lang w:val="el-GR" w:eastAsia="zh-CN"/>
              </w:rPr>
              <w:t>)</w:t>
            </w:r>
          </w:p>
        </w:tc>
        <w:tc>
          <w:tcPr>
            <w:tcW w:w="2339"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Χολερυθρίνη αυξημένη</w:t>
            </w:r>
          </w:p>
        </w:tc>
        <w:tc>
          <w:tcPr>
            <w:tcW w:w="2187" w:type="dxa"/>
            <w:gridSpan w:val="2"/>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p>
        </w:tc>
        <w:tc>
          <w:tcPr>
            <w:tcW w:w="2027"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Ηπατοκυτταρική βλάβη, Ίκτερος, Ηπατοκυτταρική ανεπάρκεια</w:t>
            </w:r>
          </w:p>
        </w:tc>
      </w:tr>
      <w:tr w:rsidR="00C80A84" w:rsidRPr="002A11C9">
        <w:trPr>
          <w:trHeight w:val="1358"/>
        </w:trPr>
        <w:tc>
          <w:tcPr>
            <w:tcW w:w="1800"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Διαταραχές του δέρματος και του υποδόριου ιστού</w:t>
            </w:r>
          </w:p>
        </w:tc>
        <w:tc>
          <w:tcPr>
            <w:tcW w:w="1781"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Εξάνθημα, Κνησμός</w:t>
            </w:r>
          </w:p>
        </w:tc>
        <w:tc>
          <w:tcPr>
            <w:tcW w:w="2349" w:type="dxa"/>
            <w:gridSpan w:val="2"/>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Κνίδωση, Αγγειοοίδημα</w:t>
            </w:r>
          </w:p>
        </w:tc>
        <w:tc>
          <w:tcPr>
            <w:tcW w:w="2177"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p>
        </w:tc>
        <w:tc>
          <w:tcPr>
            <w:tcW w:w="2027"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ΣύνδρομοStevens-Johnson, σύνδρομο Lyell, Πολύμορφο ερύθημα, Φωτοευαισθησία</w:t>
            </w:r>
          </w:p>
        </w:tc>
      </w:tr>
      <w:tr w:rsidR="00C80A84" w:rsidRPr="00C80A84">
        <w:trPr>
          <w:trHeight w:val="1327"/>
        </w:trPr>
        <w:tc>
          <w:tcPr>
            <w:tcW w:w="1800"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Διαταραχές του μυοσκελετικού συστήματος και του συνδετικού ιστού</w:t>
            </w:r>
          </w:p>
        </w:tc>
        <w:tc>
          <w:tcPr>
            <w:tcW w:w="1781"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p>
        </w:tc>
        <w:tc>
          <w:tcPr>
            <w:tcW w:w="2339"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Αρθραλγία, Μυαλγία</w:t>
            </w:r>
          </w:p>
        </w:tc>
        <w:tc>
          <w:tcPr>
            <w:tcW w:w="2187" w:type="dxa"/>
            <w:gridSpan w:val="2"/>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p>
        </w:tc>
        <w:tc>
          <w:tcPr>
            <w:tcW w:w="2027"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p>
        </w:tc>
      </w:tr>
      <w:tr w:rsidR="00C80A84" w:rsidRPr="00C80A84">
        <w:trPr>
          <w:trHeight w:val="809"/>
        </w:trPr>
        <w:tc>
          <w:tcPr>
            <w:tcW w:w="1800"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Διαταραχές των νεφρών και των ουροφόρων οδών</w:t>
            </w:r>
          </w:p>
        </w:tc>
        <w:tc>
          <w:tcPr>
            <w:tcW w:w="1781"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p>
        </w:tc>
        <w:tc>
          <w:tcPr>
            <w:tcW w:w="2339"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p>
        </w:tc>
        <w:tc>
          <w:tcPr>
            <w:tcW w:w="2187" w:type="dxa"/>
            <w:gridSpan w:val="2"/>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p>
        </w:tc>
        <w:tc>
          <w:tcPr>
            <w:tcW w:w="2027"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Διάμεση νεφρίτιδα</w:t>
            </w:r>
          </w:p>
        </w:tc>
      </w:tr>
      <w:tr w:rsidR="00C80A84" w:rsidRPr="00C80A84">
        <w:trPr>
          <w:trHeight w:val="809"/>
        </w:trPr>
        <w:tc>
          <w:tcPr>
            <w:tcW w:w="1800" w:type="dxa"/>
          </w:tcPr>
          <w:p w:rsidR="00C80A84" w:rsidRPr="00C80A84" w:rsidRDefault="00C80A84" w:rsidP="00844520">
            <w:pPr>
              <w:spacing w:after="0" w:line="240" w:lineRule="auto"/>
              <w:rPr>
                <w:rFonts w:ascii="Times New Roman" w:hAnsi="Times New Roman"/>
                <w:lang w:val="el-GR" w:eastAsia="zh-CN"/>
              </w:rPr>
            </w:pPr>
            <w:r w:rsidRPr="00C80A84">
              <w:rPr>
                <w:rFonts w:ascii="Times New Roman" w:hAnsi="Times New Roman"/>
                <w:lang w:val="el-GR" w:eastAsia="zh-CN"/>
              </w:rPr>
              <w:t>Διαταραχές του αναπαραγωγικού συστήματος και του μαστού</w:t>
            </w:r>
          </w:p>
        </w:tc>
        <w:tc>
          <w:tcPr>
            <w:tcW w:w="1781"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p>
        </w:tc>
        <w:tc>
          <w:tcPr>
            <w:tcW w:w="2339"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Γυναικομαστία</w:t>
            </w:r>
          </w:p>
        </w:tc>
        <w:tc>
          <w:tcPr>
            <w:tcW w:w="2187" w:type="dxa"/>
            <w:gridSpan w:val="2"/>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p>
        </w:tc>
        <w:tc>
          <w:tcPr>
            <w:tcW w:w="2027"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p>
        </w:tc>
      </w:tr>
      <w:tr w:rsidR="00C80A84" w:rsidRPr="002A11C9">
        <w:trPr>
          <w:trHeight w:val="809"/>
        </w:trPr>
        <w:tc>
          <w:tcPr>
            <w:tcW w:w="1800" w:type="dxa"/>
          </w:tcPr>
          <w:p w:rsidR="00C80A84" w:rsidRPr="00C80A84" w:rsidRDefault="00C80A84" w:rsidP="00844520">
            <w:pPr>
              <w:spacing w:after="0" w:line="240" w:lineRule="auto"/>
              <w:rPr>
                <w:rFonts w:ascii="Times New Roman" w:hAnsi="Times New Roman"/>
                <w:lang w:val="el-GR" w:eastAsia="zh-CN"/>
              </w:rPr>
            </w:pPr>
            <w:r w:rsidRPr="00C80A84">
              <w:rPr>
                <w:rFonts w:ascii="Times New Roman" w:hAnsi="Times New Roman"/>
                <w:lang w:val="el-GR" w:eastAsia="zh-CN"/>
              </w:rPr>
              <w:t>Γενικές διαταραχές και καταστάσεις της οδού χορήγησης</w:t>
            </w:r>
          </w:p>
        </w:tc>
        <w:tc>
          <w:tcPr>
            <w:tcW w:w="1781"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Εξασθένιση, κόπωση και αίσθημα κακουχίας</w:t>
            </w:r>
          </w:p>
        </w:tc>
        <w:tc>
          <w:tcPr>
            <w:tcW w:w="2339"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Θερμοκρασία σώματος αυξημένη, Περιφερικό οίδημα</w:t>
            </w:r>
          </w:p>
        </w:tc>
        <w:tc>
          <w:tcPr>
            <w:tcW w:w="2187" w:type="dxa"/>
            <w:gridSpan w:val="2"/>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p>
        </w:tc>
        <w:tc>
          <w:tcPr>
            <w:tcW w:w="2027" w:type="dxa"/>
          </w:tcPr>
          <w:p w:rsidR="00C80A84" w:rsidRPr="00C80A84" w:rsidRDefault="00C80A84" w:rsidP="00844520">
            <w:pPr>
              <w:autoSpaceDE w:val="0"/>
              <w:autoSpaceDN w:val="0"/>
              <w:adjustRightInd w:val="0"/>
              <w:spacing w:after="0" w:line="240" w:lineRule="auto"/>
              <w:rPr>
                <w:rFonts w:ascii="Times New Roman" w:eastAsia="SimSun" w:hAnsi="Times New Roman"/>
                <w:color w:val="000000"/>
                <w:lang w:val="el-GR" w:eastAsia="zh-CN"/>
              </w:rPr>
            </w:pPr>
          </w:p>
        </w:tc>
      </w:tr>
    </w:tbl>
    <w:p w:rsidR="00C80A84" w:rsidRPr="00C80A84" w:rsidRDefault="00C80A84" w:rsidP="00C80A84">
      <w:pPr>
        <w:autoSpaceDE w:val="0"/>
        <w:autoSpaceDN w:val="0"/>
        <w:adjustRightInd w:val="0"/>
        <w:spacing w:after="0" w:line="240" w:lineRule="auto"/>
        <w:rPr>
          <w:rFonts w:ascii="Times New Roman" w:eastAsia="TimesNewRoman" w:hAnsi="Times New Roman"/>
          <w:lang w:val="el-GR" w:eastAsia="zh-CN"/>
        </w:rPr>
      </w:pPr>
    </w:p>
    <w:p w:rsidR="00C80A84" w:rsidRPr="002A11C9" w:rsidRDefault="00C80A84" w:rsidP="00C80A84">
      <w:pPr>
        <w:autoSpaceDE w:val="0"/>
        <w:autoSpaceDN w:val="0"/>
        <w:adjustRightInd w:val="0"/>
        <w:spacing w:after="0" w:line="240" w:lineRule="auto"/>
        <w:rPr>
          <w:rFonts w:ascii="Times New Roman" w:hAnsi="Times New Roman"/>
          <w:b/>
          <w:bCs/>
          <w:color w:val="000000"/>
          <w:lang w:val="el-GR"/>
        </w:rPr>
      </w:pPr>
      <w:r w:rsidRPr="00C80A84">
        <w:rPr>
          <w:rFonts w:ascii="Times New Roman" w:hAnsi="Times New Roman"/>
          <w:b/>
          <w:bCs/>
          <w:color w:val="000000"/>
          <w:lang w:val="el-GR"/>
        </w:rPr>
        <w:t xml:space="preserve">4.9 </w:t>
      </w:r>
      <w:r w:rsidRPr="00C80A84">
        <w:rPr>
          <w:rFonts w:ascii="Times New Roman" w:hAnsi="Times New Roman"/>
          <w:b/>
          <w:bCs/>
          <w:color w:val="000000"/>
          <w:lang w:val="sl-SI"/>
        </w:rPr>
        <w:tab/>
      </w:r>
      <w:r w:rsidRPr="00C80A84">
        <w:rPr>
          <w:rFonts w:ascii="Times New Roman" w:hAnsi="Times New Roman"/>
          <w:b/>
          <w:bCs/>
          <w:color w:val="000000"/>
          <w:lang w:val="el-GR"/>
        </w:rPr>
        <w:t>Υπερδοσολογία</w:t>
      </w:r>
    </w:p>
    <w:p w:rsidR="00005978" w:rsidRPr="00C80A84" w:rsidRDefault="00005978" w:rsidP="00005978">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 xml:space="preserve">Δεν υπάρχουν γνωστά συμπτώματα υπερδοσολογίας στον άνθρωπο. </w:t>
      </w:r>
    </w:p>
    <w:p w:rsidR="00005978" w:rsidRPr="00C80A84" w:rsidRDefault="00005978" w:rsidP="00005978">
      <w:pPr>
        <w:autoSpaceDE w:val="0"/>
        <w:autoSpaceDN w:val="0"/>
        <w:adjustRightInd w:val="0"/>
        <w:spacing w:after="0" w:line="240" w:lineRule="auto"/>
        <w:rPr>
          <w:rFonts w:ascii="Times New Roman" w:eastAsia="SimSun" w:hAnsi="Times New Roman"/>
          <w:color w:val="000000"/>
          <w:lang w:val="el-GR" w:eastAsia="zh-CN"/>
        </w:rPr>
      </w:pPr>
      <w:r>
        <w:rPr>
          <w:rFonts w:ascii="Times New Roman" w:eastAsia="SimSun" w:hAnsi="Times New Roman"/>
          <w:color w:val="000000"/>
          <w:lang w:val="el-GR" w:eastAsia="zh-CN"/>
        </w:rPr>
        <w:t>Η σ</w:t>
      </w:r>
      <w:r w:rsidRPr="00C80A84">
        <w:rPr>
          <w:rFonts w:ascii="Times New Roman" w:eastAsia="SimSun" w:hAnsi="Times New Roman"/>
          <w:color w:val="000000"/>
          <w:lang w:val="el-GR" w:eastAsia="zh-CN"/>
        </w:rPr>
        <w:t xml:space="preserve">υστηματική έκθεση με δόσεις έως 240 mg χορηγούμενες ενδοφλεβίως </w:t>
      </w:r>
      <w:r>
        <w:rPr>
          <w:rFonts w:ascii="Times New Roman" w:eastAsia="SimSun" w:hAnsi="Times New Roman"/>
          <w:color w:val="000000"/>
          <w:lang w:val="el-GR" w:eastAsia="zh-CN"/>
        </w:rPr>
        <w:t xml:space="preserve">σε διάστημα </w:t>
      </w:r>
      <w:r w:rsidRPr="00C80A84">
        <w:rPr>
          <w:rFonts w:ascii="Times New Roman" w:eastAsia="SimSun" w:hAnsi="Times New Roman"/>
          <w:color w:val="000000"/>
          <w:lang w:val="el-GR" w:eastAsia="zh-CN"/>
        </w:rPr>
        <w:t>2 λεπτ</w:t>
      </w:r>
      <w:r>
        <w:rPr>
          <w:rFonts w:ascii="Times New Roman" w:eastAsia="SimSun" w:hAnsi="Times New Roman"/>
          <w:color w:val="000000"/>
          <w:lang w:val="el-GR" w:eastAsia="zh-CN"/>
        </w:rPr>
        <w:t>ών</w:t>
      </w:r>
      <w:r w:rsidRPr="00C80A84">
        <w:rPr>
          <w:rFonts w:ascii="Times New Roman" w:eastAsia="SimSun" w:hAnsi="Times New Roman"/>
          <w:color w:val="000000"/>
          <w:lang w:val="el-GR" w:eastAsia="zh-CN"/>
        </w:rPr>
        <w:t xml:space="preserve"> ήταν καλά ανεκτ</w:t>
      </w:r>
      <w:r>
        <w:rPr>
          <w:rFonts w:ascii="Times New Roman" w:eastAsia="SimSun" w:hAnsi="Times New Roman"/>
          <w:color w:val="000000"/>
          <w:lang w:val="el-GR" w:eastAsia="zh-CN"/>
        </w:rPr>
        <w:t>ή</w:t>
      </w:r>
      <w:r w:rsidRPr="00C80A84">
        <w:rPr>
          <w:rFonts w:ascii="Times New Roman" w:eastAsia="SimSun" w:hAnsi="Times New Roman"/>
          <w:color w:val="000000"/>
          <w:lang w:val="el-GR" w:eastAsia="zh-CN"/>
        </w:rPr>
        <w:t xml:space="preserve">. </w:t>
      </w:r>
    </w:p>
    <w:p w:rsidR="00005978" w:rsidRPr="00AB6031" w:rsidRDefault="00005978" w:rsidP="00005978">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 xml:space="preserve">Καθώς η παντοπραζόλη παρουσιάζει υψηλό βαθμό πρωτεΐνικής σύνδεσης, δεν είναι εύκολα διυλίσιμη. </w:t>
      </w:r>
    </w:p>
    <w:p w:rsidR="00005978" w:rsidRPr="00C80A84" w:rsidRDefault="00005978" w:rsidP="00005978">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 xml:space="preserve">Στην περίπτωση υπερδοσολογίας με κλινικά σημεία δηλητηρίασης, εκτός από συμπτωματική και υποστηρικτική θεραπεία, δεν μπορούν να γίνουν ειδικές θεραπευτικές συστάσεις. </w:t>
      </w:r>
    </w:p>
    <w:p w:rsidR="00C80A84" w:rsidRPr="00C80A84" w:rsidRDefault="00C80A84" w:rsidP="00C80A84">
      <w:pPr>
        <w:autoSpaceDE w:val="0"/>
        <w:autoSpaceDN w:val="0"/>
        <w:adjustRightInd w:val="0"/>
        <w:spacing w:after="0" w:line="240" w:lineRule="auto"/>
        <w:rPr>
          <w:rFonts w:ascii="Times New Roman" w:hAnsi="Times New Roman"/>
          <w:b/>
          <w:bCs/>
          <w:color w:val="000000"/>
          <w:lang w:val="el-GR"/>
        </w:rPr>
      </w:pPr>
    </w:p>
    <w:p w:rsidR="00C80A84" w:rsidRPr="00C80A84" w:rsidRDefault="00C80A84" w:rsidP="00C80A84">
      <w:pPr>
        <w:autoSpaceDE w:val="0"/>
        <w:autoSpaceDN w:val="0"/>
        <w:adjustRightInd w:val="0"/>
        <w:spacing w:after="0" w:line="240" w:lineRule="auto"/>
        <w:rPr>
          <w:rFonts w:ascii="Times New Roman" w:hAnsi="Times New Roman"/>
          <w:b/>
          <w:bCs/>
          <w:color w:val="000000"/>
          <w:lang w:val="el-GR"/>
        </w:rPr>
      </w:pPr>
    </w:p>
    <w:p w:rsidR="00C80A84" w:rsidRPr="00C80A84" w:rsidRDefault="00C80A84" w:rsidP="00C80A84">
      <w:pPr>
        <w:autoSpaceDE w:val="0"/>
        <w:autoSpaceDN w:val="0"/>
        <w:adjustRightInd w:val="0"/>
        <w:spacing w:after="0" w:line="240" w:lineRule="auto"/>
        <w:rPr>
          <w:rFonts w:ascii="Times New Roman" w:hAnsi="Times New Roman"/>
          <w:b/>
          <w:bCs/>
          <w:color w:val="000000"/>
          <w:lang w:val="el-GR"/>
        </w:rPr>
      </w:pPr>
      <w:r w:rsidRPr="00C80A84">
        <w:rPr>
          <w:rFonts w:ascii="Times New Roman" w:hAnsi="Times New Roman"/>
          <w:b/>
          <w:bCs/>
          <w:color w:val="000000"/>
          <w:lang w:val="el-GR"/>
        </w:rPr>
        <w:lastRenderedPageBreak/>
        <w:t xml:space="preserve">5. </w:t>
      </w:r>
      <w:r w:rsidRPr="00C80A84">
        <w:rPr>
          <w:rFonts w:ascii="Times New Roman" w:hAnsi="Times New Roman"/>
          <w:b/>
          <w:bCs/>
          <w:color w:val="000000"/>
          <w:lang w:val="sl-SI"/>
        </w:rPr>
        <w:tab/>
      </w:r>
      <w:r w:rsidRPr="00C80A84">
        <w:rPr>
          <w:rFonts w:ascii="Times New Roman" w:hAnsi="Times New Roman"/>
          <w:b/>
          <w:bCs/>
          <w:color w:val="000000"/>
          <w:lang w:val="el-GR"/>
        </w:rPr>
        <w:t>ΦAPMAKOΛOΓIKEΣ IΔIOTHTEΣ</w:t>
      </w:r>
    </w:p>
    <w:p w:rsidR="00C80A84" w:rsidRPr="00C80A84" w:rsidRDefault="00C80A84" w:rsidP="00C80A84">
      <w:pPr>
        <w:autoSpaceDE w:val="0"/>
        <w:autoSpaceDN w:val="0"/>
        <w:adjustRightInd w:val="0"/>
        <w:spacing w:after="0" w:line="240" w:lineRule="auto"/>
        <w:rPr>
          <w:rFonts w:ascii="Times New Roman" w:hAnsi="Times New Roman"/>
          <w:b/>
          <w:bCs/>
          <w:color w:val="000000"/>
          <w:lang w:val="el-GR"/>
        </w:rPr>
      </w:pPr>
    </w:p>
    <w:p w:rsidR="00C80A84" w:rsidRPr="002A11C9" w:rsidRDefault="00C80A84" w:rsidP="00C80A84">
      <w:pPr>
        <w:autoSpaceDE w:val="0"/>
        <w:autoSpaceDN w:val="0"/>
        <w:adjustRightInd w:val="0"/>
        <w:spacing w:after="0" w:line="240" w:lineRule="auto"/>
        <w:rPr>
          <w:rFonts w:ascii="Times New Roman" w:hAnsi="Times New Roman"/>
          <w:b/>
          <w:bCs/>
          <w:color w:val="000000"/>
          <w:lang w:val="el-GR"/>
        </w:rPr>
      </w:pPr>
      <w:r w:rsidRPr="00C80A84">
        <w:rPr>
          <w:rFonts w:ascii="Times New Roman" w:hAnsi="Times New Roman"/>
          <w:b/>
          <w:bCs/>
          <w:color w:val="000000"/>
          <w:lang w:val="el-GR"/>
        </w:rPr>
        <w:t xml:space="preserve">5.1 </w:t>
      </w:r>
      <w:r w:rsidRPr="00C80A84">
        <w:rPr>
          <w:rFonts w:ascii="Times New Roman" w:hAnsi="Times New Roman"/>
          <w:b/>
          <w:bCs/>
          <w:color w:val="000000"/>
          <w:lang w:val="sl-SI"/>
        </w:rPr>
        <w:tab/>
      </w:r>
      <w:r w:rsidRPr="00C80A84">
        <w:rPr>
          <w:rFonts w:ascii="Times New Roman" w:hAnsi="Times New Roman"/>
          <w:b/>
          <w:bCs/>
          <w:color w:val="000000"/>
          <w:lang w:val="el-GR"/>
        </w:rPr>
        <w:t>Φαρμακοδυναμικές ιδιότητες</w:t>
      </w:r>
    </w:p>
    <w:p w:rsidR="00C80A84" w:rsidRPr="00C80A84" w:rsidRDefault="00C80A84" w:rsidP="00C80A84">
      <w:pPr>
        <w:pStyle w:val="ad"/>
        <w:spacing w:after="0" w:line="240" w:lineRule="auto"/>
        <w:jc w:val="both"/>
        <w:rPr>
          <w:rFonts w:ascii="Times New Roman" w:hAnsi="Times New Roman"/>
          <w:color w:val="000000"/>
          <w:lang w:val="el-GR"/>
        </w:rPr>
      </w:pPr>
      <w:r w:rsidRPr="00C80A84">
        <w:rPr>
          <w:rFonts w:ascii="Times New Roman" w:hAnsi="Times New Roman"/>
          <w:color w:val="000000"/>
          <w:lang w:val="el-GR"/>
        </w:rPr>
        <w:t>Φαρμακοθεραπευτική κατηγορία: αναστολείς της αντλίας πρωτονίων</w:t>
      </w:r>
    </w:p>
    <w:p w:rsidR="00C80A84" w:rsidRPr="00C80A84" w:rsidRDefault="00C80A84" w:rsidP="00C80A84">
      <w:pPr>
        <w:pStyle w:val="ad"/>
        <w:spacing w:after="0" w:line="240" w:lineRule="auto"/>
        <w:jc w:val="both"/>
        <w:rPr>
          <w:rFonts w:ascii="Times New Roman" w:hAnsi="Times New Roman"/>
          <w:color w:val="000000"/>
          <w:lang w:val="el-GR"/>
        </w:rPr>
      </w:pPr>
      <w:r w:rsidRPr="00C80A84">
        <w:rPr>
          <w:rFonts w:ascii="Times New Roman" w:hAnsi="Times New Roman"/>
          <w:color w:val="000000"/>
          <w:lang w:val="el-GR"/>
        </w:rPr>
        <w:t xml:space="preserve">Κωδικός </w:t>
      </w:r>
      <w:r w:rsidRPr="00C80A84">
        <w:rPr>
          <w:rFonts w:ascii="Times New Roman" w:hAnsi="Times New Roman"/>
          <w:color w:val="000000"/>
        </w:rPr>
        <w:t>ATC</w:t>
      </w:r>
      <w:r w:rsidRPr="00C80A84">
        <w:rPr>
          <w:rFonts w:ascii="Times New Roman" w:hAnsi="Times New Roman"/>
          <w:color w:val="000000"/>
          <w:lang w:val="el-GR"/>
        </w:rPr>
        <w:t>: Α02Β</w:t>
      </w:r>
      <w:r w:rsidRPr="00C80A84">
        <w:rPr>
          <w:rFonts w:ascii="Times New Roman" w:hAnsi="Times New Roman"/>
          <w:color w:val="000000"/>
        </w:rPr>
        <w:t>C</w:t>
      </w:r>
      <w:r w:rsidRPr="00C80A84">
        <w:rPr>
          <w:rFonts w:ascii="Times New Roman" w:hAnsi="Times New Roman"/>
          <w:color w:val="000000"/>
          <w:lang w:val="el-GR"/>
        </w:rPr>
        <w:t xml:space="preserve">02 </w:t>
      </w:r>
    </w:p>
    <w:p w:rsidR="00C80A84" w:rsidRPr="00C80A84" w:rsidRDefault="00C80A84" w:rsidP="00C80A84">
      <w:pPr>
        <w:pStyle w:val="ad"/>
        <w:spacing w:after="0" w:line="240" w:lineRule="auto"/>
        <w:jc w:val="both"/>
        <w:rPr>
          <w:rFonts w:ascii="Times New Roman" w:hAnsi="Times New Roman"/>
          <w:color w:val="000000"/>
          <w:lang w:val="el-GR"/>
        </w:rPr>
      </w:pPr>
    </w:p>
    <w:p w:rsidR="00C80A84" w:rsidRPr="00C80A84" w:rsidRDefault="00C80A84" w:rsidP="00C80A84">
      <w:pPr>
        <w:autoSpaceDE w:val="0"/>
        <w:autoSpaceDN w:val="0"/>
        <w:adjustRightInd w:val="0"/>
        <w:spacing w:after="0" w:line="240" w:lineRule="auto"/>
        <w:rPr>
          <w:rFonts w:ascii="Times New Roman" w:eastAsia="SimSun" w:hAnsi="Times New Roman"/>
          <w:i/>
          <w:iCs/>
          <w:color w:val="000000"/>
          <w:u w:val="single"/>
          <w:lang w:val="el-GR" w:eastAsia="zh-CN"/>
        </w:rPr>
      </w:pPr>
      <w:r w:rsidRPr="00C80A84">
        <w:rPr>
          <w:rFonts w:ascii="Times New Roman" w:eastAsia="SimSun" w:hAnsi="Times New Roman"/>
          <w:i/>
          <w:iCs/>
          <w:color w:val="000000"/>
          <w:u w:val="single"/>
          <w:lang w:val="el-GR" w:eastAsia="zh-CN"/>
        </w:rPr>
        <w:t xml:space="preserve">Μηχανισμός δράσης </w:t>
      </w:r>
    </w:p>
    <w:p w:rsidR="00C80A84" w:rsidRPr="00AB6031" w:rsidRDefault="00C80A84" w:rsidP="00C80A84">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 xml:space="preserve">Η παντοπραζόλη είναι μία υποκατεστημένη βενζιμιδαζόλη η οποία αναστέλλει την έκκριση υδροχλωρικού οξέος στο στομάχι με ειδικό αποκλεισμό των αντλιών πρωτονίων των τοιχωματικών κυττάρων. </w:t>
      </w:r>
    </w:p>
    <w:p w:rsidR="00C80A84" w:rsidRPr="00AB6031" w:rsidRDefault="00C80A84" w:rsidP="00C80A84">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Η παντοπραζόλη μετατρέπεται στην ενεργό της μορφή στο όξινο περιβάλλον των τοιχωματικών κυττάρων, όπου αναστέλλει το ένζυμο H+, K+-ATPάση, δηλαδή το τελικό στάδιο παραγωγής υδροχλωρικού οξέος στο στομάχι. Η αναστολή είναι δοσοεξαρτώμενη και επηρεάζει και τη βασική έκκριση οξέος και την έκκριση οξέος μετά από διέγερση. Στους περισσότερους ασθενείς, απαλλαγή από τα συμπτώματα επιτυγχάνεται εντός 2 εβδομάδων. Όπως και με άλλους αναστολείς της αντλίας πρωτονίων και αναστολείς των υποδοχέων Η</w:t>
      </w:r>
      <w:r w:rsidRPr="00C80A84">
        <w:rPr>
          <w:rFonts w:ascii="Times New Roman" w:eastAsia="SimSun" w:hAnsi="Times New Roman"/>
          <w:color w:val="000000"/>
          <w:vertAlign w:val="subscript"/>
          <w:lang w:val="el-GR" w:eastAsia="zh-CN"/>
        </w:rPr>
        <w:t>2</w:t>
      </w:r>
      <w:r w:rsidRPr="00C80A84">
        <w:rPr>
          <w:rFonts w:ascii="Times New Roman" w:eastAsia="SimSun" w:hAnsi="Times New Roman"/>
          <w:color w:val="000000"/>
          <w:lang w:val="el-GR" w:eastAsia="zh-CN"/>
        </w:rPr>
        <w:t xml:space="preserve">, η θεραπεία με παντοπραζόλη μειώνει την οξύτητα του στομάχου και ως εκ τούτου αυξάνει τη γαστρίνη, σε αναλογία με τη μείωση της οξύτητας. Η αύξηση της γαστρίνης είναι αναστρέψιμη. Επειδή η παντοπραζόλη </w:t>
      </w:r>
      <w:r w:rsidR="00005978">
        <w:rPr>
          <w:rFonts w:ascii="Times New Roman" w:eastAsia="SimSun" w:hAnsi="Times New Roman"/>
          <w:color w:val="000000"/>
          <w:lang w:val="el-GR" w:eastAsia="zh-CN"/>
        </w:rPr>
        <w:t>συνδέεται</w:t>
      </w:r>
      <w:r w:rsidRPr="00C80A84">
        <w:rPr>
          <w:rFonts w:ascii="Times New Roman" w:eastAsia="SimSun" w:hAnsi="Times New Roman"/>
          <w:color w:val="000000"/>
          <w:lang w:val="el-GR" w:eastAsia="zh-CN"/>
        </w:rPr>
        <w:t xml:space="preserve"> με το ένζυμο μακράν του επιπέδου του υποδοχέα, μπορεί να αναστείλει την έκκριση υδροχλωρικού οξέος ανεξάρτητα από τη διέγερση από άλλες ουσίες (ακετυλοχολίνη, ισταμίνη, γαστρίνη). Η δράση είναι η ίδια αν η δραστική ουσία χορηγείται από το στόμα ή ενδοφλεβίως. </w:t>
      </w:r>
    </w:p>
    <w:p w:rsidR="00C80A84" w:rsidRPr="00AB6031" w:rsidRDefault="00C80A84" w:rsidP="00C80A84">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 xml:space="preserve">Οι τιμές γαστρίνης σε κατάσταση νηστείας αυξάνονται υπό την επίδραση της παντοπραζόλης. Σε βραχυχρόνια χρήση, στις περισσότερες περιπτώσεις δεν υπερβαίνουν το ανώτερο φυσιολογικό όριο. Kατά τη διάρκεια μακροχρόνιας θεραπείας, τα επίπεδα γαστρίνης διπλασιάζονται στις περισσότερες περιπτώσεις. Ωστόσο, υπερβολική αύξηση συμβαίνει μόνο σε μεμονωμένες περιπτώσεις. Ως αποτέλεσμα, παρατηρείται ήπια έως μέτρια αύξηση του αριθμού των ειδικών ενδοκρινικών (ΕCL) κυττάρων στο στομάχι, στη μειοψηφία των περιπτώσεων, κατά τη διάρκεια μακροχρόνιας θεραπείας (απλή έως αδενωματώδης υπερπλασία). Ωστόσο, σύμφωνα με τις μελέτες που έχουν διεξαχθεί μέχρι σήμερα, ο σχηματισμός καρκινοειδών προδρόμων (άτυπη υπερπλασία) ή γαστρικών καρκινοειδών όπως βρέθηκαν σε πειράματα σε ζώα (βλ. παράγραφο 5.3) δεν έχει παρατηρηθεί σε ανθρώπους. </w:t>
      </w:r>
    </w:p>
    <w:p w:rsidR="00C80A84" w:rsidRPr="00C80A84" w:rsidRDefault="00C80A84" w:rsidP="00C80A84">
      <w:pPr>
        <w:autoSpaceDE w:val="0"/>
        <w:autoSpaceDN w:val="0"/>
        <w:adjustRightInd w:val="0"/>
        <w:spacing w:after="0" w:line="240" w:lineRule="auto"/>
        <w:rPr>
          <w:rFonts w:ascii="Times New Roman" w:hAnsi="Times New Roman"/>
          <w:color w:val="000000"/>
          <w:lang w:val="el-GR"/>
        </w:rPr>
      </w:pPr>
      <w:r w:rsidRPr="00C80A84">
        <w:rPr>
          <w:rFonts w:ascii="Times New Roman" w:hAnsi="Times New Roman"/>
          <w:color w:val="000000"/>
          <w:lang w:val="el-GR"/>
        </w:rPr>
        <w:t>Δεν μπορεί να αποκλειστεί τελείως επίδραση της μακροχρόνιας θεραπείας με παντοπραζόλη που υπερβαίνει τον ένα χρόνο στις ενδοκρινικές παραμέτρους του θυρεοειδή, σύμφωνα με τα αποτελέσματα από μελέτες σε ζώα.</w:t>
      </w:r>
    </w:p>
    <w:p w:rsidR="00C80A84" w:rsidRPr="00C80A84" w:rsidRDefault="00C80A84" w:rsidP="00C80A84">
      <w:pPr>
        <w:autoSpaceDE w:val="0"/>
        <w:autoSpaceDN w:val="0"/>
        <w:adjustRightInd w:val="0"/>
        <w:spacing w:after="0" w:line="240" w:lineRule="auto"/>
        <w:rPr>
          <w:rFonts w:ascii="Times New Roman" w:hAnsi="Times New Roman"/>
          <w:color w:val="000000"/>
          <w:lang w:val="el-GR"/>
        </w:rPr>
      </w:pPr>
    </w:p>
    <w:p w:rsidR="00C80A84" w:rsidRPr="002A11C9" w:rsidRDefault="00C80A84" w:rsidP="00C80A84">
      <w:pPr>
        <w:autoSpaceDE w:val="0"/>
        <w:autoSpaceDN w:val="0"/>
        <w:adjustRightInd w:val="0"/>
        <w:spacing w:after="0" w:line="240" w:lineRule="auto"/>
        <w:rPr>
          <w:rFonts w:ascii="Times New Roman" w:hAnsi="Times New Roman"/>
          <w:b/>
          <w:bCs/>
          <w:color w:val="000000"/>
          <w:lang w:val="el-GR"/>
        </w:rPr>
      </w:pPr>
      <w:r w:rsidRPr="00C80A84">
        <w:rPr>
          <w:rFonts w:ascii="Times New Roman" w:hAnsi="Times New Roman"/>
          <w:b/>
          <w:bCs/>
          <w:color w:val="000000"/>
          <w:lang w:val="el-GR"/>
        </w:rPr>
        <w:t>5.2</w:t>
      </w:r>
      <w:r w:rsidRPr="00C80A84">
        <w:rPr>
          <w:rFonts w:ascii="Times New Roman" w:hAnsi="Times New Roman"/>
          <w:b/>
          <w:bCs/>
          <w:color w:val="000000"/>
          <w:lang w:val="el-GR"/>
        </w:rPr>
        <w:tab/>
        <w:t>Φαρμακοκινητικές ιδιότητες</w:t>
      </w:r>
    </w:p>
    <w:p w:rsidR="00C80A84" w:rsidRPr="00C80A84" w:rsidRDefault="00C80A84" w:rsidP="00C80A84">
      <w:pPr>
        <w:autoSpaceDE w:val="0"/>
        <w:autoSpaceDN w:val="0"/>
        <w:adjustRightInd w:val="0"/>
        <w:spacing w:after="0" w:line="240" w:lineRule="auto"/>
        <w:rPr>
          <w:rFonts w:ascii="Times New Roman" w:eastAsia="SimSun" w:hAnsi="Times New Roman"/>
          <w:i/>
          <w:iCs/>
          <w:color w:val="000000"/>
          <w:u w:val="single"/>
          <w:lang w:val="el-GR" w:eastAsia="zh-CN"/>
        </w:rPr>
      </w:pPr>
      <w:r w:rsidRPr="00C80A84">
        <w:rPr>
          <w:rFonts w:ascii="Times New Roman" w:eastAsia="SimSun" w:hAnsi="Times New Roman"/>
          <w:i/>
          <w:iCs/>
          <w:color w:val="000000"/>
          <w:u w:val="single"/>
          <w:lang w:val="el-GR" w:eastAsia="zh-CN"/>
        </w:rPr>
        <w:t xml:space="preserve">Απορρόφηση </w:t>
      </w:r>
    </w:p>
    <w:p w:rsidR="00C80A84" w:rsidRPr="00C80A84" w:rsidRDefault="00C80A84" w:rsidP="00C80A84">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Η παντοπραζόλη απορροφάται ταχέως και η μέγιστη συγκέντρωση στο πλάσμα επιτυγχάνεται μετά από μί</w:t>
      </w:r>
      <w:r w:rsidR="00CD15E6">
        <w:rPr>
          <w:rFonts w:ascii="Times New Roman" w:eastAsia="SimSun" w:hAnsi="Times New Roman"/>
          <w:color w:val="000000"/>
          <w:lang w:val="el-GR" w:eastAsia="zh-CN"/>
        </w:rPr>
        <w:t>α εφάπαξ από του στόματος δόση 4</w:t>
      </w:r>
      <w:r w:rsidRPr="00C80A84">
        <w:rPr>
          <w:rFonts w:ascii="Times New Roman" w:eastAsia="SimSun" w:hAnsi="Times New Roman"/>
          <w:color w:val="000000"/>
          <w:lang w:val="el-GR" w:eastAsia="zh-CN"/>
        </w:rPr>
        <w:t xml:space="preserve">0 </w:t>
      </w:r>
      <w:r w:rsidRPr="00C80A84">
        <w:rPr>
          <w:rFonts w:ascii="Times New Roman" w:eastAsia="SimSun" w:hAnsi="Times New Roman"/>
          <w:color w:val="000000"/>
          <w:lang w:eastAsia="zh-CN"/>
        </w:rPr>
        <w:t>mg</w:t>
      </w:r>
      <w:r w:rsidR="00CD15E6">
        <w:rPr>
          <w:rFonts w:ascii="Times New Roman" w:eastAsia="SimSun" w:hAnsi="Times New Roman"/>
          <w:color w:val="000000"/>
          <w:lang w:val="el-GR" w:eastAsia="zh-CN"/>
        </w:rPr>
        <w:t xml:space="preserve">. Κατά μέσο όρο, σε περίπου </w:t>
      </w:r>
      <w:r w:rsidRPr="00C80A84">
        <w:rPr>
          <w:rFonts w:ascii="Times New Roman" w:eastAsia="SimSun" w:hAnsi="Times New Roman"/>
          <w:color w:val="000000"/>
          <w:lang w:val="el-GR" w:eastAsia="zh-CN"/>
        </w:rPr>
        <w:t xml:space="preserve">2,5 ώρες μετά τη χορήγηση επιτυγχάνονται οι μέγιστες συγκεντρώσεις </w:t>
      </w:r>
      <w:r w:rsidR="00CD15E6">
        <w:rPr>
          <w:rFonts w:ascii="Times New Roman" w:eastAsia="SimSun" w:hAnsi="Times New Roman"/>
          <w:color w:val="000000"/>
          <w:lang w:val="el-GR" w:eastAsia="zh-CN"/>
        </w:rPr>
        <w:t>στον ορό που είναι περίπου 2-3</w:t>
      </w:r>
      <w:r w:rsidRPr="00C80A84">
        <w:rPr>
          <w:rFonts w:ascii="Times New Roman" w:eastAsia="SimSun" w:hAnsi="Times New Roman"/>
          <w:color w:val="000000"/>
          <w:lang w:val="el-GR" w:eastAsia="zh-CN"/>
        </w:rPr>
        <w:t xml:space="preserve"> μg/ml και αυτές οι τιμές παραμένουν σταθερές μετά </w:t>
      </w:r>
      <w:r w:rsidR="00005978">
        <w:rPr>
          <w:rFonts w:ascii="Times New Roman" w:eastAsia="SimSun" w:hAnsi="Times New Roman"/>
          <w:color w:val="000000"/>
          <w:lang w:val="el-GR" w:eastAsia="zh-CN"/>
        </w:rPr>
        <w:t xml:space="preserve">από </w:t>
      </w:r>
      <w:r w:rsidRPr="00C80A84">
        <w:rPr>
          <w:rFonts w:ascii="Times New Roman" w:eastAsia="SimSun" w:hAnsi="Times New Roman"/>
          <w:color w:val="000000"/>
          <w:lang w:val="el-GR" w:eastAsia="zh-CN"/>
        </w:rPr>
        <w:t xml:space="preserve">πολλαπλή χορήγηση. Η φαρμακοκινητική δε διαφέρει μετά από εφάπαξ ή επαναλαμβανόμενη χορήγηση. Στο εύρος των δόσεων από 10 έως 80 </w:t>
      </w:r>
      <w:r w:rsidRPr="00C80A84">
        <w:rPr>
          <w:rFonts w:ascii="Times New Roman" w:eastAsia="SimSun" w:hAnsi="Times New Roman"/>
          <w:color w:val="000000"/>
          <w:lang w:eastAsia="zh-CN"/>
        </w:rPr>
        <w:t>mg</w:t>
      </w:r>
      <w:r w:rsidRPr="00C80A84">
        <w:rPr>
          <w:rFonts w:ascii="Times New Roman" w:eastAsia="SimSun" w:hAnsi="Times New Roman"/>
          <w:color w:val="000000"/>
          <w:lang w:val="el-GR" w:eastAsia="zh-CN"/>
        </w:rPr>
        <w:t xml:space="preserve">, η κινητική της παντοπραζόλης στο πλάσμα είναι γραμμική μετά και από του στόματος και μετά από ενδοφλέβια χορήγηση. </w:t>
      </w:r>
    </w:p>
    <w:p w:rsidR="00C80A84" w:rsidRPr="00C80A84" w:rsidRDefault="00C80A84" w:rsidP="00C80A84">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 xml:space="preserve">Η απόλυτη βιοδιαθεσιμότητα από το δισκίο βρέθηκε να είναι περίπου 77%. Η ταυτόχρονη λήψη τροφής δεν είχε επίδραση στην ΑUC, </w:t>
      </w:r>
      <w:r w:rsidR="00005978">
        <w:rPr>
          <w:rFonts w:ascii="Times New Roman" w:eastAsia="SimSun" w:hAnsi="Times New Roman"/>
          <w:color w:val="000000"/>
          <w:lang w:val="el-GR" w:eastAsia="zh-CN"/>
        </w:rPr>
        <w:t>σ</w:t>
      </w:r>
      <w:r w:rsidRPr="00C80A84">
        <w:rPr>
          <w:rFonts w:ascii="Times New Roman" w:eastAsia="SimSun" w:hAnsi="Times New Roman"/>
          <w:color w:val="000000"/>
          <w:lang w:val="el-GR" w:eastAsia="zh-CN"/>
        </w:rPr>
        <w:t xml:space="preserve">τη μέγιστη συγκέντρωση στον ορό και συνεπώς στη βιοδιαθεσιμότητα. Μόνο η μεταβλητότητα του λανθάνοντος χρόνου θα αυξηθεί με την ταυτόχρονη λήψη τροφής. </w:t>
      </w:r>
    </w:p>
    <w:p w:rsidR="00C80A84" w:rsidRPr="00C80A84" w:rsidRDefault="00C80A84" w:rsidP="00C80A84">
      <w:pPr>
        <w:autoSpaceDE w:val="0"/>
        <w:autoSpaceDN w:val="0"/>
        <w:adjustRightInd w:val="0"/>
        <w:spacing w:after="0" w:line="240" w:lineRule="auto"/>
        <w:rPr>
          <w:rFonts w:ascii="Times New Roman" w:eastAsia="SimSun" w:hAnsi="Times New Roman"/>
          <w:color w:val="000000"/>
          <w:lang w:val="el-GR" w:eastAsia="zh-CN"/>
        </w:rPr>
      </w:pPr>
    </w:p>
    <w:p w:rsidR="00C80A84" w:rsidRPr="00C80A84" w:rsidRDefault="00C80A84" w:rsidP="00C80A84">
      <w:pPr>
        <w:autoSpaceDE w:val="0"/>
        <w:autoSpaceDN w:val="0"/>
        <w:adjustRightInd w:val="0"/>
        <w:spacing w:after="0" w:line="240" w:lineRule="auto"/>
        <w:rPr>
          <w:rFonts w:ascii="Times New Roman" w:eastAsia="SimSun" w:hAnsi="Times New Roman"/>
          <w:i/>
          <w:iCs/>
          <w:color w:val="000000"/>
          <w:u w:val="single"/>
          <w:lang w:val="el-GR" w:eastAsia="zh-CN"/>
        </w:rPr>
      </w:pPr>
      <w:r w:rsidRPr="00C80A84">
        <w:rPr>
          <w:rFonts w:ascii="Times New Roman" w:eastAsia="SimSun" w:hAnsi="Times New Roman"/>
          <w:i/>
          <w:iCs/>
          <w:color w:val="000000"/>
          <w:u w:val="single"/>
          <w:lang w:val="el-GR" w:eastAsia="zh-CN"/>
        </w:rPr>
        <w:t xml:space="preserve">Κατανομή </w:t>
      </w:r>
    </w:p>
    <w:p w:rsidR="00C80A84" w:rsidRPr="00C80A84" w:rsidRDefault="00C80A84" w:rsidP="00C80A84">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Η σύνδεση της παντοπραζόλης με τις πρωτεΐνες ορού είναι περίπου 98%. Ο όγκος κατανομής είναι περίπου 0,15 l/kg.</w:t>
      </w:r>
    </w:p>
    <w:p w:rsidR="00C80A84" w:rsidRPr="00C80A84" w:rsidRDefault="00C80A84" w:rsidP="00C80A84">
      <w:pPr>
        <w:autoSpaceDE w:val="0"/>
        <w:autoSpaceDN w:val="0"/>
        <w:adjustRightInd w:val="0"/>
        <w:spacing w:after="0" w:line="240" w:lineRule="auto"/>
        <w:rPr>
          <w:rFonts w:ascii="Times New Roman" w:eastAsia="SimSun" w:hAnsi="Times New Roman"/>
          <w:color w:val="000000"/>
          <w:lang w:val="el-GR" w:eastAsia="zh-CN"/>
        </w:rPr>
      </w:pPr>
    </w:p>
    <w:p w:rsidR="00C80A84" w:rsidRPr="00C80A84" w:rsidRDefault="00C80A84" w:rsidP="00C80A84">
      <w:pPr>
        <w:autoSpaceDE w:val="0"/>
        <w:autoSpaceDN w:val="0"/>
        <w:adjustRightInd w:val="0"/>
        <w:spacing w:after="0" w:line="240" w:lineRule="auto"/>
        <w:rPr>
          <w:rFonts w:ascii="Times New Roman" w:eastAsia="SimSun" w:hAnsi="Times New Roman"/>
          <w:i/>
          <w:iCs/>
          <w:color w:val="000000"/>
          <w:u w:val="single"/>
          <w:lang w:val="el-GR" w:eastAsia="zh-CN"/>
        </w:rPr>
      </w:pPr>
      <w:r w:rsidRPr="00C80A84">
        <w:rPr>
          <w:rFonts w:ascii="Times New Roman" w:eastAsia="SimSun" w:hAnsi="Times New Roman"/>
          <w:i/>
          <w:iCs/>
          <w:color w:val="000000"/>
          <w:u w:val="single"/>
          <w:lang w:val="el-GR" w:eastAsia="zh-CN"/>
        </w:rPr>
        <w:t xml:space="preserve">Απέκκριση </w:t>
      </w:r>
    </w:p>
    <w:p w:rsidR="00005978" w:rsidRPr="00C80A84" w:rsidRDefault="00005978" w:rsidP="00005978">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 xml:space="preserve">Η παντοπραζόλη μεταβολίζεται σχεδόν αποκλειστικά στο ήπαρ. </w:t>
      </w:r>
      <w:r>
        <w:rPr>
          <w:rFonts w:ascii="Times New Roman" w:eastAsia="SimSun" w:hAnsi="Times New Roman"/>
          <w:color w:val="000000"/>
          <w:lang w:val="el-GR" w:eastAsia="zh-CN"/>
        </w:rPr>
        <w:t xml:space="preserve">Η </w:t>
      </w:r>
      <w:r w:rsidRPr="00C80A84">
        <w:rPr>
          <w:rFonts w:ascii="Times New Roman" w:eastAsia="SimSun" w:hAnsi="Times New Roman"/>
          <w:color w:val="000000"/>
          <w:lang w:val="el-GR" w:eastAsia="zh-CN"/>
        </w:rPr>
        <w:t>κύρι</w:t>
      </w:r>
      <w:r>
        <w:rPr>
          <w:rFonts w:ascii="Times New Roman" w:eastAsia="SimSun" w:hAnsi="Times New Roman"/>
          <w:color w:val="000000"/>
          <w:lang w:val="el-GR" w:eastAsia="zh-CN"/>
        </w:rPr>
        <w:t>α</w:t>
      </w:r>
      <w:r w:rsidRPr="00C80A84">
        <w:rPr>
          <w:rFonts w:ascii="Times New Roman" w:eastAsia="SimSun" w:hAnsi="Times New Roman"/>
          <w:color w:val="000000"/>
          <w:lang w:val="el-GR" w:eastAsia="zh-CN"/>
        </w:rPr>
        <w:t xml:space="preserve"> μεταβολικ</w:t>
      </w:r>
      <w:r>
        <w:rPr>
          <w:rFonts w:ascii="Times New Roman" w:eastAsia="SimSun" w:hAnsi="Times New Roman"/>
          <w:color w:val="000000"/>
          <w:lang w:val="el-GR" w:eastAsia="zh-CN"/>
        </w:rPr>
        <w:t>ή οδός</w:t>
      </w:r>
      <w:r w:rsidRPr="00C80A84">
        <w:rPr>
          <w:rFonts w:ascii="Times New Roman" w:eastAsia="SimSun" w:hAnsi="Times New Roman"/>
          <w:color w:val="000000"/>
          <w:lang w:val="el-GR" w:eastAsia="zh-CN"/>
        </w:rPr>
        <w:t xml:space="preserve"> είναι η απομεθυλίωση από το ενζυμικό σύστημα </w:t>
      </w:r>
      <w:r w:rsidRPr="00C80A84">
        <w:rPr>
          <w:rFonts w:ascii="Times New Roman" w:hAnsi="Times New Roman"/>
        </w:rPr>
        <w:t>CYP</w:t>
      </w:r>
      <w:r w:rsidRPr="00C80A84">
        <w:rPr>
          <w:rFonts w:ascii="Times New Roman" w:hAnsi="Times New Roman"/>
          <w:lang w:val="el-GR"/>
        </w:rPr>
        <w:t>2</w:t>
      </w:r>
      <w:r w:rsidRPr="00C80A84">
        <w:rPr>
          <w:rFonts w:ascii="Times New Roman" w:hAnsi="Times New Roman"/>
        </w:rPr>
        <w:t>C</w:t>
      </w:r>
      <w:r w:rsidRPr="00C80A84">
        <w:rPr>
          <w:rFonts w:ascii="Times New Roman" w:hAnsi="Times New Roman"/>
          <w:lang w:val="el-GR"/>
        </w:rPr>
        <w:t>19</w:t>
      </w:r>
      <w:r w:rsidRPr="00C80A84">
        <w:rPr>
          <w:rFonts w:ascii="Times New Roman" w:eastAsia="SimSun" w:hAnsi="Times New Roman"/>
          <w:color w:val="000000"/>
          <w:lang w:val="el-GR" w:eastAsia="zh-CN"/>
        </w:rPr>
        <w:t xml:space="preserve"> με επακόλουθη σύζευξη με θειικό, άλλ</w:t>
      </w:r>
      <w:r>
        <w:rPr>
          <w:rFonts w:ascii="Times New Roman" w:eastAsia="SimSun" w:hAnsi="Times New Roman"/>
          <w:color w:val="000000"/>
          <w:lang w:val="el-GR" w:eastAsia="zh-CN"/>
        </w:rPr>
        <w:t>ες</w:t>
      </w:r>
      <w:r w:rsidRPr="00C80A84">
        <w:rPr>
          <w:rFonts w:ascii="Times New Roman" w:eastAsia="SimSun" w:hAnsi="Times New Roman"/>
          <w:color w:val="000000"/>
          <w:lang w:val="el-GR" w:eastAsia="zh-CN"/>
        </w:rPr>
        <w:t xml:space="preserve"> μεταβολικ</w:t>
      </w:r>
      <w:r>
        <w:rPr>
          <w:rFonts w:ascii="Times New Roman" w:eastAsia="SimSun" w:hAnsi="Times New Roman"/>
          <w:color w:val="000000"/>
          <w:lang w:val="el-GR" w:eastAsia="zh-CN"/>
        </w:rPr>
        <w:t>ές οδοί</w:t>
      </w:r>
      <w:r w:rsidRPr="00C80A84">
        <w:rPr>
          <w:rFonts w:ascii="Times New Roman" w:eastAsia="SimSun" w:hAnsi="Times New Roman"/>
          <w:color w:val="000000"/>
          <w:lang w:val="el-GR" w:eastAsia="zh-CN"/>
        </w:rPr>
        <w:t xml:space="preserve"> περιλαμβάνουν οξείδωση από το σύστημα </w:t>
      </w:r>
      <w:r w:rsidRPr="00C80A84">
        <w:rPr>
          <w:rFonts w:ascii="Times New Roman" w:eastAsia="SimSun" w:hAnsi="Times New Roman"/>
          <w:color w:val="000000"/>
          <w:lang w:eastAsia="zh-CN"/>
        </w:rPr>
        <w:t>CYP</w:t>
      </w:r>
      <w:r w:rsidRPr="00C80A84">
        <w:rPr>
          <w:rFonts w:ascii="Times New Roman" w:eastAsia="SimSun" w:hAnsi="Times New Roman"/>
          <w:color w:val="000000"/>
          <w:lang w:val="el-GR" w:eastAsia="zh-CN"/>
        </w:rPr>
        <w:t>3</w:t>
      </w:r>
      <w:r w:rsidRPr="00C80A84">
        <w:rPr>
          <w:rFonts w:ascii="Times New Roman" w:eastAsia="SimSun" w:hAnsi="Times New Roman"/>
          <w:color w:val="000000"/>
          <w:lang w:eastAsia="zh-CN"/>
        </w:rPr>
        <w:t>A</w:t>
      </w:r>
      <w:r w:rsidRPr="00C80A84">
        <w:rPr>
          <w:rFonts w:ascii="Times New Roman" w:eastAsia="SimSun" w:hAnsi="Times New Roman"/>
          <w:color w:val="000000"/>
          <w:lang w:val="el-GR" w:eastAsia="zh-CN"/>
        </w:rPr>
        <w:t xml:space="preserve">4. Ο τελικός χρόνος ημιζωής είναι περίπου 1 ώρα και η κάθαρση είναι περίπου 0,1 l/ώρα/kg. Υπήρξαν λίγες περιπτώσεις ατόμων με </w:t>
      </w:r>
      <w:r w:rsidRPr="00C80A84">
        <w:rPr>
          <w:rFonts w:ascii="Times New Roman" w:eastAsia="SimSun" w:hAnsi="Times New Roman"/>
          <w:color w:val="000000"/>
          <w:lang w:val="el-GR" w:eastAsia="zh-CN"/>
        </w:rPr>
        <w:lastRenderedPageBreak/>
        <w:t xml:space="preserve">καθυστερημένη απομάκρυνση. Λόγω της ειδικής σύνδεσης της παντοπραζόλης με τις αντλίες πρωτονίων του τοιχωματικού κυττάρου, ο χρόνος ημιζωής της απομάκρυνσης δεν συσχετίζεται με την πολύ μεγαλύτερη διάρκεια δράσης (αναστολή της έκκρισης οξέος). </w:t>
      </w:r>
    </w:p>
    <w:p w:rsidR="00005978" w:rsidRPr="00C80A84" w:rsidRDefault="00005978" w:rsidP="00005978">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 xml:space="preserve">Η νεφρική απομάκρυνση αντιπροσωπεύει την κύρια οδό απέκκρισης (περίπου 80%) για τους μεταβολίτες της παντοπραζόλης, ενώ το υπόλοιπο αποβάλλεται με τα κόπρανα. Ο κύριος μεταβολίτης και στον ορό και στα ούρα είναι η απομεθυλιωμένη παντοπραζόλη, η οποία συζεύγνυται με θειικό ιόν. Ο χρόνος ημιζωής του κύριου μεταβολίτη (περίπου 1,5 ώρα) δεν είναι πολύ μεγαλύτερος από αυτόν της παντοπραζόλης. </w:t>
      </w:r>
    </w:p>
    <w:p w:rsidR="00C80A84" w:rsidRPr="00C80A84" w:rsidRDefault="00C80A84" w:rsidP="00C80A84">
      <w:pPr>
        <w:autoSpaceDE w:val="0"/>
        <w:autoSpaceDN w:val="0"/>
        <w:adjustRightInd w:val="0"/>
        <w:spacing w:after="0" w:line="240" w:lineRule="auto"/>
        <w:rPr>
          <w:rFonts w:ascii="Times New Roman" w:eastAsia="SimSun" w:hAnsi="Times New Roman"/>
          <w:i/>
          <w:iCs/>
          <w:color w:val="000000"/>
          <w:u w:val="single"/>
          <w:lang w:val="el-GR" w:eastAsia="zh-CN"/>
        </w:rPr>
      </w:pPr>
    </w:p>
    <w:p w:rsidR="00C80A84" w:rsidRPr="00C80A84" w:rsidRDefault="00C80A84" w:rsidP="00C80A84">
      <w:pPr>
        <w:autoSpaceDE w:val="0"/>
        <w:autoSpaceDN w:val="0"/>
        <w:adjustRightInd w:val="0"/>
        <w:spacing w:after="0" w:line="240" w:lineRule="auto"/>
        <w:rPr>
          <w:rFonts w:ascii="Times New Roman" w:eastAsia="SimSun" w:hAnsi="Times New Roman"/>
          <w:i/>
          <w:iCs/>
          <w:color w:val="000000"/>
          <w:lang w:val="el-GR" w:eastAsia="zh-CN"/>
        </w:rPr>
      </w:pPr>
      <w:r w:rsidRPr="00C80A84">
        <w:rPr>
          <w:rFonts w:ascii="Times New Roman" w:eastAsia="SimSun" w:hAnsi="Times New Roman"/>
          <w:i/>
          <w:iCs/>
          <w:color w:val="000000"/>
          <w:lang w:val="el-GR" w:eastAsia="zh-CN"/>
        </w:rPr>
        <w:t>Χαρακτηριστικά σε ασθενείς/σε ειδικούς πληθυσμούς ατόμων</w:t>
      </w:r>
    </w:p>
    <w:p w:rsidR="00C80A84" w:rsidRPr="00AB6031" w:rsidRDefault="00C80A84" w:rsidP="00C80A84">
      <w:pPr>
        <w:autoSpaceDE w:val="0"/>
        <w:autoSpaceDN w:val="0"/>
        <w:adjustRightInd w:val="0"/>
        <w:spacing w:after="0" w:line="240" w:lineRule="auto"/>
        <w:rPr>
          <w:rFonts w:ascii="Times New Roman" w:hAnsi="Times New Roman"/>
          <w:lang w:val="el-GR"/>
        </w:rPr>
      </w:pPr>
      <w:r w:rsidRPr="00C80A84">
        <w:rPr>
          <w:rFonts w:ascii="Times New Roman" w:eastAsia="SimSun" w:hAnsi="Times New Roman"/>
          <w:color w:val="000000"/>
          <w:lang w:val="el-GR" w:eastAsia="zh-CN"/>
        </w:rPr>
        <w:t xml:space="preserve">Περίπου το 3% του Ευρωπαϊκού πληθυσμού έχει έλλειψη λειτουργικού ενζύμου </w:t>
      </w:r>
      <w:r w:rsidRPr="00C80A84">
        <w:rPr>
          <w:rFonts w:ascii="Times New Roman" w:hAnsi="Times New Roman"/>
        </w:rPr>
        <w:t>CYP</w:t>
      </w:r>
      <w:r w:rsidRPr="00C80A84">
        <w:rPr>
          <w:rFonts w:ascii="Times New Roman" w:hAnsi="Times New Roman"/>
          <w:lang w:val="el-GR"/>
        </w:rPr>
        <w:t>2</w:t>
      </w:r>
      <w:r w:rsidRPr="00C80A84">
        <w:rPr>
          <w:rFonts w:ascii="Times New Roman" w:hAnsi="Times New Roman"/>
        </w:rPr>
        <w:t>C</w:t>
      </w:r>
      <w:r w:rsidRPr="00C80A84">
        <w:rPr>
          <w:rFonts w:ascii="Times New Roman" w:hAnsi="Times New Roman"/>
          <w:lang w:val="el-GR"/>
        </w:rPr>
        <w:t xml:space="preserve">19 και ονομάζονται άτομα με πτωχό μεταβολισμό. Στα άτομα αυτά ο μεταβολισμός της παντοπραζόλης πιθανώς πραγματοποιείται κυρίως από το </w:t>
      </w:r>
      <w:r w:rsidRPr="00C80A84">
        <w:rPr>
          <w:rFonts w:ascii="Times New Roman" w:hAnsi="Times New Roman"/>
        </w:rPr>
        <w:t>CYP</w:t>
      </w:r>
      <w:r w:rsidRPr="00C80A84">
        <w:rPr>
          <w:rFonts w:ascii="Times New Roman" w:hAnsi="Times New Roman"/>
          <w:lang w:val="el-GR"/>
        </w:rPr>
        <w:t>3</w:t>
      </w:r>
      <w:r w:rsidRPr="00C80A84">
        <w:rPr>
          <w:rFonts w:ascii="Times New Roman" w:hAnsi="Times New Roman"/>
        </w:rPr>
        <w:t>A</w:t>
      </w:r>
      <w:r w:rsidRPr="00C80A84">
        <w:rPr>
          <w:rFonts w:ascii="Times New Roman" w:hAnsi="Times New Roman"/>
          <w:lang w:val="el-GR"/>
        </w:rPr>
        <w:t xml:space="preserve">4. Μετά από μία εφάπαξ χορήγηση 40 </w:t>
      </w:r>
      <w:r w:rsidRPr="00C80A84">
        <w:rPr>
          <w:rFonts w:ascii="Times New Roman" w:hAnsi="Times New Roman"/>
        </w:rPr>
        <w:t>mg</w:t>
      </w:r>
      <w:r w:rsidRPr="00C80A84">
        <w:rPr>
          <w:rFonts w:ascii="Times New Roman" w:hAnsi="Times New Roman"/>
          <w:lang w:val="el-GR"/>
        </w:rPr>
        <w:t xml:space="preserve"> παντροπραζόλης, η διάμεση περιοχή κάτω από την κα</w:t>
      </w:r>
      <w:r w:rsidR="00F05919">
        <w:rPr>
          <w:rFonts w:ascii="Times New Roman" w:hAnsi="Times New Roman"/>
          <w:lang w:val="el-GR"/>
        </w:rPr>
        <w:t>μπύλη της συγκέντρωσης πλάσματος</w:t>
      </w:r>
      <w:r w:rsidRPr="00C80A84">
        <w:rPr>
          <w:rFonts w:ascii="Times New Roman" w:hAnsi="Times New Roman"/>
          <w:lang w:val="el-GR"/>
        </w:rPr>
        <w:t xml:space="preserve">-χρόνου ήταν περίπου 6 φορές υψηλότερη στα άτομα με πτωχό μεταβολισμό από ότι στα άτομο που έχουν λειτουργικό ένζυμο </w:t>
      </w:r>
      <w:r w:rsidRPr="00C80A84">
        <w:rPr>
          <w:rFonts w:ascii="Times New Roman" w:hAnsi="Times New Roman"/>
        </w:rPr>
        <w:t>CYP</w:t>
      </w:r>
      <w:r w:rsidRPr="00C80A84">
        <w:rPr>
          <w:rFonts w:ascii="Times New Roman" w:hAnsi="Times New Roman"/>
          <w:lang w:val="el-GR"/>
        </w:rPr>
        <w:t>2</w:t>
      </w:r>
      <w:r w:rsidRPr="00C80A84">
        <w:rPr>
          <w:rFonts w:ascii="Times New Roman" w:hAnsi="Times New Roman"/>
        </w:rPr>
        <w:t>C</w:t>
      </w:r>
      <w:r w:rsidRPr="00C80A84">
        <w:rPr>
          <w:rFonts w:ascii="Times New Roman" w:hAnsi="Times New Roman"/>
          <w:lang w:val="el-GR"/>
        </w:rPr>
        <w:t>19 (άτομα με εκτεταμένο μεταβολισμό). Η διάμεση μέγιστη συγκέντρωση πλάσματος αυξήθηκε κατά περίπου 60%. Τα ευρήματα αυτά δεν έχουν καμία επίδραση στη δοσολογία της παντοπραζόλης.</w:t>
      </w:r>
    </w:p>
    <w:p w:rsidR="00005978" w:rsidRPr="00C80A84" w:rsidRDefault="00005978" w:rsidP="00005978">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 xml:space="preserve">Δε συνιστάται μείωση της δόσης όταν η παντοπραζόλη χορηγείται σε ασθενείς με </w:t>
      </w:r>
      <w:r>
        <w:rPr>
          <w:rFonts w:ascii="Times New Roman" w:eastAsia="SimSun" w:hAnsi="Times New Roman"/>
          <w:color w:val="000000"/>
          <w:lang w:val="el-GR" w:eastAsia="zh-CN"/>
        </w:rPr>
        <w:t xml:space="preserve">διαταραγμένη </w:t>
      </w:r>
      <w:r w:rsidRPr="00C80A84">
        <w:rPr>
          <w:rFonts w:ascii="Times New Roman" w:eastAsia="SimSun" w:hAnsi="Times New Roman"/>
          <w:color w:val="000000"/>
          <w:lang w:val="el-GR" w:eastAsia="zh-CN"/>
        </w:rPr>
        <w:t xml:space="preserve">νεφρική λειτουργία (περιλαμβανομένων των ασθενών που υποβάλλονται σε αιμοκάθαρση). Όπως και σε υγιή άτομα, ο χρόνος ημιζωής της παντοπραζόλης είναι βραχύς. Μόνο πολύ μικρές ποσότητες παντοπραζόλης απομακρύνονται. Παρόλο που ο κύριος μεταβολίτης έχει </w:t>
      </w:r>
      <w:r>
        <w:rPr>
          <w:rFonts w:ascii="Times New Roman" w:eastAsia="SimSun" w:hAnsi="Times New Roman"/>
          <w:color w:val="000000"/>
          <w:lang w:val="el-GR" w:eastAsia="zh-CN"/>
        </w:rPr>
        <w:t xml:space="preserve">μετρίως παρατεταμένο </w:t>
      </w:r>
      <w:r w:rsidRPr="00C80A84">
        <w:rPr>
          <w:rFonts w:ascii="Times New Roman" w:eastAsia="SimSun" w:hAnsi="Times New Roman"/>
          <w:color w:val="000000"/>
          <w:lang w:val="el-GR" w:eastAsia="zh-CN"/>
        </w:rPr>
        <w:t xml:space="preserve">χρόνο ημιζωής (2-3 ώρες), η αποβολή εξακολουθεί να είναι ταχεία και έτσι δεν επέρχεται συσσώρευση. </w:t>
      </w:r>
    </w:p>
    <w:p w:rsidR="00005978" w:rsidRPr="00AB6031" w:rsidRDefault="00005978" w:rsidP="00005978">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Παρόλο που σε ασθενείς με κίρρωση του ήπατος (κατηγορίες Α</w:t>
      </w:r>
      <w:r>
        <w:rPr>
          <w:rFonts w:ascii="Times New Roman" w:eastAsia="SimSun" w:hAnsi="Times New Roman"/>
          <w:color w:val="000000"/>
          <w:lang w:val="el-GR" w:eastAsia="zh-CN"/>
        </w:rPr>
        <w:t xml:space="preserve"> και</w:t>
      </w:r>
      <w:r w:rsidRPr="00C80A84">
        <w:rPr>
          <w:rFonts w:ascii="Times New Roman" w:eastAsia="SimSun" w:hAnsi="Times New Roman"/>
          <w:color w:val="000000"/>
          <w:lang w:val="el-GR" w:eastAsia="zh-CN"/>
        </w:rPr>
        <w:t xml:space="preserve"> Β κατά Child-Pugh) οι τιμές του χρόνου ημιζωής αυξήθηκαν μεταξύ 3 και 6 ωρών και οι τιμές της AUC αυξήθηκαν κατά ένα συντελεστή 3-5, η μέγιστη συγκέντρωση ορού αυξήθηκε μόνο ελαφρώς κατά ένα συντελεστή 1,3 σε σύγκριση με τα υγιή άτομα. </w:t>
      </w:r>
    </w:p>
    <w:p w:rsidR="00005978" w:rsidRPr="00C80A84" w:rsidRDefault="00005978" w:rsidP="00005978">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 xml:space="preserve">Μία μικρή αύξηση της AUC και της Cmax σε ηλικιωμένους εθελοντές σε σύγκριση με νεότερα άτομα επίσης δεν ήταν κλινικώς σχετική. </w:t>
      </w:r>
    </w:p>
    <w:p w:rsidR="00C80A84" w:rsidRPr="00C80A84" w:rsidRDefault="00C80A84" w:rsidP="00C80A84">
      <w:pPr>
        <w:autoSpaceDE w:val="0"/>
        <w:autoSpaceDN w:val="0"/>
        <w:adjustRightInd w:val="0"/>
        <w:spacing w:after="0" w:line="240" w:lineRule="auto"/>
        <w:rPr>
          <w:rFonts w:ascii="Times New Roman" w:eastAsia="SimSun" w:hAnsi="Times New Roman"/>
          <w:color w:val="000000"/>
          <w:lang w:val="el-GR" w:eastAsia="zh-CN"/>
        </w:rPr>
      </w:pPr>
    </w:p>
    <w:p w:rsidR="00C80A84" w:rsidRPr="00C80A84" w:rsidRDefault="00C80A84" w:rsidP="00C80A84">
      <w:pPr>
        <w:autoSpaceDE w:val="0"/>
        <w:autoSpaceDN w:val="0"/>
        <w:adjustRightInd w:val="0"/>
        <w:spacing w:after="0" w:line="240" w:lineRule="auto"/>
        <w:rPr>
          <w:rFonts w:ascii="Times New Roman" w:eastAsia="SimSun" w:hAnsi="Times New Roman"/>
          <w:i/>
          <w:iCs/>
          <w:color w:val="000000"/>
          <w:lang w:val="el-GR" w:eastAsia="zh-CN"/>
        </w:rPr>
      </w:pPr>
      <w:r w:rsidRPr="00C80A84">
        <w:rPr>
          <w:rFonts w:ascii="Times New Roman" w:eastAsia="SimSun" w:hAnsi="Times New Roman"/>
          <w:i/>
          <w:iCs/>
          <w:color w:val="000000"/>
          <w:lang w:val="el-GR" w:eastAsia="zh-CN"/>
        </w:rPr>
        <w:t>Παιδιά</w:t>
      </w:r>
    </w:p>
    <w:p w:rsidR="00C80A84" w:rsidRPr="00C80A84" w:rsidRDefault="00C80A84" w:rsidP="00C80A84">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 xml:space="preserve">Μετά από χορήγηση εφάπαξ από του στόματος δόσεων 20 ή 40 </w:t>
      </w:r>
      <w:r w:rsidRPr="00C80A84">
        <w:rPr>
          <w:rFonts w:ascii="Times New Roman" w:eastAsia="SimSun" w:hAnsi="Times New Roman"/>
          <w:color w:val="000000"/>
          <w:lang w:eastAsia="zh-CN"/>
        </w:rPr>
        <w:t>mg</w:t>
      </w:r>
      <w:r w:rsidRPr="00C80A84">
        <w:rPr>
          <w:rFonts w:ascii="Times New Roman" w:eastAsia="SimSun" w:hAnsi="Times New Roman"/>
          <w:color w:val="000000"/>
          <w:lang w:val="el-GR" w:eastAsia="zh-CN"/>
        </w:rPr>
        <w:t xml:space="preserve"> παντοπραζόλης σε παιδιά ηλικίας 5-16 ετών η </w:t>
      </w:r>
      <w:r w:rsidRPr="00C80A84">
        <w:rPr>
          <w:rFonts w:ascii="Times New Roman" w:eastAsia="SimSun" w:hAnsi="Times New Roman"/>
          <w:color w:val="000000"/>
          <w:lang w:eastAsia="zh-CN"/>
        </w:rPr>
        <w:t>AUC</w:t>
      </w:r>
      <w:r w:rsidRPr="00C80A84">
        <w:rPr>
          <w:rFonts w:ascii="Times New Roman" w:eastAsia="SimSun" w:hAnsi="Times New Roman"/>
          <w:color w:val="000000"/>
          <w:lang w:val="el-GR" w:eastAsia="zh-CN"/>
        </w:rPr>
        <w:t xml:space="preserve"> και η </w:t>
      </w:r>
      <w:proofErr w:type="spellStart"/>
      <w:r w:rsidRPr="00C80A84">
        <w:rPr>
          <w:rFonts w:ascii="Times New Roman" w:eastAsia="SimSun" w:hAnsi="Times New Roman"/>
          <w:color w:val="000000"/>
          <w:lang w:eastAsia="zh-CN"/>
        </w:rPr>
        <w:t>Cmax</w:t>
      </w:r>
      <w:proofErr w:type="spellEnd"/>
      <w:r w:rsidRPr="00C80A84">
        <w:rPr>
          <w:rFonts w:ascii="Times New Roman" w:eastAsia="SimSun" w:hAnsi="Times New Roman"/>
          <w:color w:val="000000"/>
          <w:lang w:val="el-GR" w:eastAsia="zh-CN"/>
        </w:rPr>
        <w:t xml:space="preserve"> ήταν εντός του εύρους των αντίστοιχων τιμών για τους ενήλικες.</w:t>
      </w:r>
    </w:p>
    <w:p w:rsidR="00C80A84" w:rsidRPr="00C80A84" w:rsidRDefault="00C80A84" w:rsidP="00C80A84">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 xml:space="preserve">Μετά από χορήγηση εφάπαξ ενδοφλέβιων δόσεων 0,8 ή 1,6 </w:t>
      </w:r>
      <w:r w:rsidRPr="00C80A84">
        <w:rPr>
          <w:rFonts w:ascii="Times New Roman" w:eastAsia="SimSun" w:hAnsi="Times New Roman"/>
          <w:color w:val="000000"/>
          <w:lang w:eastAsia="zh-CN"/>
        </w:rPr>
        <w:t>mg</w:t>
      </w:r>
      <w:r w:rsidRPr="00C80A84">
        <w:rPr>
          <w:rFonts w:ascii="Times New Roman" w:eastAsia="SimSun" w:hAnsi="Times New Roman"/>
          <w:color w:val="000000"/>
          <w:lang w:val="el-GR" w:eastAsia="zh-CN"/>
        </w:rPr>
        <w:t>/</w:t>
      </w:r>
      <w:r w:rsidRPr="00C80A84">
        <w:rPr>
          <w:rFonts w:ascii="Times New Roman" w:eastAsia="SimSun" w:hAnsi="Times New Roman"/>
          <w:color w:val="000000"/>
          <w:lang w:eastAsia="zh-CN"/>
        </w:rPr>
        <w:t>kg</w:t>
      </w:r>
      <w:r w:rsidRPr="00C80A84">
        <w:rPr>
          <w:rFonts w:ascii="Times New Roman" w:eastAsia="SimSun" w:hAnsi="Times New Roman"/>
          <w:color w:val="000000"/>
          <w:lang w:val="el-GR" w:eastAsia="zh-CN"/>
        </w:rPr>
        <w:t xml:space="preserve"> παντοπραζόλης σε παιδιά ηλικίας 2-16 ετών δεν υπήρχε σημαντική συσχέτιση μεταξύ της κάθαρσης της παντοπραζόλης και της ηλικίας ή του σωματικού βάρους. Η </w:t>
      </w:r>
      <w:r w:rsidRPr="00C80A84">
        <w:rPr>
          <w:rFonts w:ascii="Times New Roman" w:eastAsia="SimSun" w:hAnsi="Times New Roman"/>
          <w:color w:val="000000"/>
          <w:lang w:eastAsia="zh-CN"/>
        </w:rPr>
        <w:t>AUC</w:t>
      </w:r>
      <w:r w:rsidRPr="00C80A84">
        <w:rPr>
          <w:rFonts w:ascii="Times New Roman" w:eastAsia="SimSun" w:hAnsi="Times New Roman"/>
          <w:color w:val="000000"/>
          <w:lang w:val="el-GR" w:eastAsia="zh-CN"/>
        </w:rPr>
        <w:t xml:space="preserve"> και ο όγκος κατανομής ήταν σε συμφωνία με τα δεδομένα από τους ενήλικες.</w:t>
      </w:r>
    </w:p>
    <w:p w:rsidR="00C80A84" w:rsidRPr="00C80A84" w:rsidRDefault="00C80A84" w:rsidP="00C80A84">
      <w:pPr>
        <w:autoSpaceDE w:val="0"/>
        <w:autoSpaceDN w:val="0"/>
        <w:adjustRightInd w:val="0"/>
        <w:spacing w:after="0" w:line="240" w:lineRule="auto"/>
        <w:rPr>
          <w:rFonts w:ascii="Times New Roman" w:eastAsia="SimSun" w:hAnsi="Times New Roman"/>
          <w:color w:val="000000"/>
          <w:lang w:val="el-GR" w:eastAsia="zh-CN"/>
        </w:rPr>
      </w:pPr>
    </w:p>
    <w:p w:rsidR="00C80A84" w:rsidRPr="00AB6031" w:rsidRDefault="00436F3F" w:rsidP="00AB6031">
      <w:pPr>
        <w:autoSpaceDE w:val="0"/>
        <w:autoSpaceDN w:val="0"/>
        <w:adjustRightInd w:val="0"/>
        <w:spacing w:after="0" w:line="240" w:lineRule="auto"/>
        <w:rPr>
          <w:rFonts w:ascii="Times New Roman" w:hAnsi="Times New Roman"/>
          <w:b/>
          <w:bCs/>
          <w:color w:val="000000"/>
          <w:lang w:val="el-GR"/>
        </w:rPr>
      </w:pPr>
      <w:r>
        <w:rPr>
          <w:rFonts w:ascii="Times New Roman" w:hAnsi="Times New Roman"/>
          <w:b/>
          <w:bCs/>
          <w:color w:val="000000"/>
          <w:lang w:val="el-GR"/>
        </w:rPr>
        <w:t>5.3</w:t>
      </w:r>
      <w:r w:rsidR="00C80A84" w:rsidRPr="00C80A84">
        <w:rPr>
          <w:rFonts w:ascii="Times New Roman" w:hAnsi="Times New Roman"/>
          <w:b/>
          <w:bCs/>
          <w:color w:val="000000"/>
          <w:lang w:val="el-GR"/>
        </w:rPr>
        <w:t xml:space="preserve">       Προκλινικά δεδομένα για την ασφάλεια</w:t>
      </w:r>
    </w:p>
    <w:p w:rsidR="00C80A84" w:rsidRPr="00AB6031" w:rsidRDefault="00C80A84" w:rsidP="00C80A84">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 xml:space="preserve">Προκλινικά δεδομένα δεν αποκαλύπτουν ιδιαίτερο κίνδυνο για τον άνθρωπο με βάση τις συμβατικές μελέτες φαρμακολογικής ασφάλειας, τοξικότητας επαναλαμβανόμενων δόσεων και γονοτοξικότητας. </w:t>
      </w:r>
    </w:p>
    <w:p w:rsidR="00C80A84" w:rsidRPr="00AB6031" w:rsidRDefault="00C80A84" w:rsidP="00C80A84">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 xml:space="preserve">Στις διετείς μελέτες καρκινογένεσης σε αρουραίους, βρέθηκαν νευροενδοκρινικά νεοπλάσματα. Επιπροσθέτως, σε μία μελέτη βρέθηκαν πλακώδη θηλώματα στο πρόσθιο μέρος του στομάχου αρουραίων. Ο μηχανισμός που οδηγεί στο σχηματισμό γαστρικών καρκινοειδών από υποκατεστημένες βενζιμιδαζόλες έχει ερευνηθεί προσεκτικά και επιτρέπει το συμπέρασμα ότι είναι δευτερογενής αντίδραση στη μεγάλη άνοδο των επιπέδων γαστρίνης του ορού που εμφανίζεται στον αρουραίο κατά τη διάρκεια χρόνιας θεραπείας με υψηλή δόση. Στις διετείς μελέτες σε τρωκτικά, αυξημένος αριθμός ηπατικών όγκων παρατηρήθηκε σε αρουραίους (μόνο σε μία μελέτη με αρουραίους) και σε θηλυκά ποντίκια και ερμηνεύθηκε ότι οφειλόταν στον υψηλό βαθμό μεταβολισμού της παντοπραζόλης στο ήπαρ. </w:t>
      </w:r>
    </w:p>
    <w:p w:rsidR="00C80A84" w:rsidRPr="00C80A84" w:rsidRDefault="00C80A84" w:rsidP="00C80A84">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 xml:space="preserve">Μικρή αύξηση των νεοπλασματικών αλλοιώσεων του θυρεοειδούς παρατηρήθηκε στην ομάδα των αρουραίων που ελάμβαναν την υψηλότερη δόση (200 mg/kg), σε μία διετή μελέτη. Η ύπαρξη αυτών των νεοπλασμάτων συσχετίζεται με τις μεταβολές που προκλήθηκαν από την παντοπραζόλη στη διάσπαση της θυροξίνης στο ήπαρ του αρουραίου. Επειδή η θεραπευτική δόση στον άνθρωπο είναι χαμηλή, δεν αναμένονται ανεπιθύμητες ενέργειες στο θυρεοειδή αδένα. </w:t>
      </w:r>
    </w:p>
    <w:p w:rsidR="00C80A84" w:rsidRPr="00C80A84" w:rsidRDefault="00C80A84" w:rsidP="00C80A84">
      <w:pPr>
        <w:autoSpaceDE w:val="0"/>
        <w:autoSpaceDN w:val="0"/>
        <w:adjustRightInd w:val="0"/>
        <w:spacing w:after="0" w:line="240" w:lineRule="auto"/>
        <w:rPr>
          <w:rFonts w:ascii="Times New Roman" w:eastAsia="SimSun" w:hAnsi="Times New Roman"/>
          <w:color w:val="000000"/>
          <w:lang w:val="el-GR" w:eastAsia="zh-CN"/>
        </w:rPr>
      </w:pPr>
    </w:p>
    <w:p w:rsidR="00C80A84" w:rsidRPr="00C80A84" w:rsidRDefault="00C80A84" w:rsidP="00C80A84">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lastRenderedPageBreak/>
        <w:t xml:space="preserve">Σε μελέτες αναπαραγωγής σε ζώα, παρατηρήθηκαν σημεία ήπιας εμβρυοτοξικότητας σε δόσεις άνω των 5 mg/kg. Έρευνες δεν έδειξαν μειωμένη γονιμότητα ή τερατογόνες </w:t>
      </w:r>
      <w:r w:rsidR="00005978">
        <w:rPr>
          <w:rFonts w:ascii="Times New Roman" w:eastAsia="SimSun" w:hAnsi="Times New Roman"/>
          <w:color w:val="000000"/>
          <w:lang w:val="el-GR" w:eastAsia="zh-CN"/>
        </w:rPr>
        <w:t>επιδράσεις</w:t>
      </w:r>
      <w:r w:rsidRPr="00C80A84">
        <w:rPr>
          <w:rFonts w:ascii="Times New Roman" w:eastAsia="SimSun" w:hAnsi="Times New Roman"/>
          <w:color w:val="000000"/>
          <w:lang w:val="el-GR" w:eastAsia="zh-CN"/>
        </w:rPr>
        <w:t xml:space="preserve">. </w:t>
      </w:r>
    </w:p>
    <w:p w:rsidR="00C80A84" w:rsidRPr="00C80A84" w:rsidRDefault="00C80A84" w:rsidP="00C80A84">
      <w:pPr>
        <w:autoSpaceDE w:val="0"/>
        <w:autoSpaceDN w:val="0"/>
        <w:adjustRightInd w:val="0"/>
        <w:spacing w:after="0" w:line="240" w:lineRule="auto"/>
        <w:rPr>
          <w:rFonts w:ascii="Times New Roman" w:hAnsi="Times New Roman"/>
          <w:color w:val="000000"/>
          <w:lang w:val="el-GR"/>
        </w:rPr>
      </w:pPr>
      <w:r w:rsidRPr="00C80A84">
        <w:rPr>
          <w:rFonts w:ascii="Times New Roman" w:eastAsia="SimSun" w:hAnsi="Times New Roman"/>
          <w:color w:val="000000"/>
          <w:lang w:val="el-GR" w:eastAsia="zh-CN"/>
        </w:rPr>
        <w:t xml:space="preserve">Διερευνήθηκε η διαπερατότητα του πλακούντα στον αρουραίο και βρέθηκε ότι αυξάνεται σε προχωρημένη κύηση. Ως αποτέλεσμα, η συγκέντρωση της παντοπραζόλης στο έμβρυο αυξάνεται λίγο πριν τον τοκετό. </w:t>
      </w:r>
    </w:p>
    <w:p w:rsidR="00C80A84" w:rsidRPr="00C80A84" w:rsidRDefault="00C80A84" w:rsidP="00C80A84">
      <w:pPr>
        <w:autoSpaceDE w:val="0"/>
        <w:autoSpaceDN w:val="0"/>
        <w:adjustRightInd w:val="0"/>
        <w:spacing w:after="0" w:line="240" w:lineRule="auto"/>
        <w:rPr>
          <w:rFonts w:ascii="Times New Roman" w:hAnsi="Times New Roman"/>
          <w:color w:val="000000"/>
          <w:lang w:val="el-GR"/>
        </w:rPr>
      </w:pPr>
    </w:p>
    <w:p w:rsidR="00C80A84" w:rsidRPr="00C80A84" w:rsidRDefault="00C80A84" w:rsidP="00C80A84">
      <w:pPr>
        <w:autoSpaceDE w:val="0"/>
        <w:autoSpaceDN w:val="0"/>
        <w:adjustRightInd w:val="0"/>
        <w:spacing w:after="0" w:line="240" w:lineRule="auto"/>
        <w:rPr>
          <w:rFonts w:ascii="Times New Roman" w:hAnsi="Times New Roman"/>
          <w:color w:val="000000"/>
          <w:lang w:val="el-GR"/>
        </w:rPr>
      </w:pPr>
    </w:p>
    <w:p w:rsidR="00C80A84" w:rsidRPr="00C80A84" w:rsidRDefault="00A72F4F" w:rsidP="00A72F4F">
      <w:pPr>
        <w:autoSpaceDE w:val="0"/>
        <w:autoSpaceDN w:val="0"/>
        <w:adjustRightInd w:val="0"/>
        <w:spacing w:after="0" w:line="240" w:lineRule="auto"/>
        <w:rPr>
          <w:rFonts w:ascii="Times New Roman" w:hAnsi="Times New Roman"/>
          <w:b/>
          <w:bCs/>
          <w:color w:val="000000"/>
          <w:lang w:val="el-GR"/>
        </w:rPr>
      </w:pPr>
      <w:r>
        <w:rPr>
          <w:rFonts w:ascii="Times New Roman" w:hAnsi="Times New Roman"/>
          <w:b/>
          <w:bCs/>
          <w:color w:val="000000"/>
          <w:lang w:val="el-GR"/>
        </w:rPr>
        <w:t xml:space="preserve">6        </w:t>
      </w:r>
      <w:r w:rsidR="00C80A84" w:rsidRPr="00C80A84">
        <w:rPr>
          <w:rFonts w:ascii="Times New Roman" w:hAnsi="Times New Roman"/>
          <w:b/>
          <w:bCs/>
          <w:color w:val="000000"/>
          <w:lang w:val="el-GR"/>
        </w:rPr>
        <w:t>ΦAPMAKEYTIKEΣ ΠΛΗΡΟΦΟΡΙΕΣ</w:t>
      </w:r>
    </w:p>
    <w:p w:rsidR="00C80A84" w:rsidRPr="00C80A84" w:rsidRDefault="00C80A84" w:rsidP="00C80A84">
      <w:pPr>
        <w:autoSpaceDE w:val="0"/>
        <w:autoSpaceDN w:val="0"/>
        <w:adjustRightInd w:val="0"/>
        <w:spacing w:after="0" w:line="240" w:lineRule="auto"/>
        <w:rPr>
          <w:rFonts w:ascii="Times New Roman" w:hAnsi="Times New Roman"/>
          <w:b/>
          <w:bCs/>
          <w:color w:val="000000"/>
          <w:lang w:val="el-GR"/>
        </w:rPr>
      </w:pPr>
    </w:p>
    <w:p w:rsidR="00C80A84" w:rsidRPr="002A11C9" w:rsidRDefault="00A72F4F" w:rsidP="00AB6031">
      <w:pPr>
        <w:autoSpaceDE w:val="0"/>
        <w:autoSpaceDN w:val="0"/>
        <w:adjustRightInd w:val="0"/>
        <w:spacing w:after="0" w:line="240" w:lineRule="auto"/>
        <w:ind w:left="180" w:hanging="180"/>
        <w:rPr>
          <w:rFonts w:ascii="Times New Roman" w:hAnsi="Times New Roman"/>
          <w:b/>
          <w:bCs/>
          <w:color w:val="000000"/>
          <w:lang w:val="el-GR"/>
        </w:rPr>
      </w:pPr>
      <w:r>
        <w:rPr>
          <w:rFonts w:ascii="Times New Roman" w:hAnsi="Times New Roman"/>
          <w:b/>
          <w:bCs/>
          <w:color w:val="000000"/>
          <w:lang w:val="el-GR"/>
        </w:rPr>
        <w:t xml:space="preserve">6.1     </w:t>
      </w:r>
      <w:r w:rsidR="00C80A84" w:rsidRPr="00C80A84">
        <w:rPr>
          <w:rFonts w:ascii="Times New Roman" w:hAnsi="Times New Roman"/>
          <w:b/>
          <w:bCs/>
          <w:color w:val="000000"/>
          <w:lang w:val="el-GR"/>
        </w:rPr>
        <w:t>Kατάλογος εκδόχων</w:t>
      </w:r>
    </w:p>
    <w:p w:rsidR="00C80A84" w:rsidRPr="00C80A84" w:rsidRDefault="00C80A84" w:rsidP="00C80A84">
      <w:pPr>
        <w:autoSpaceDE w:val="0"/>
        <w:autoSpaceDN w:val="0"/>
        <w:adjustRightInd w:val="0"/>
        <w:spacing w:after="0" w:line="240" w:lineRule="auto"/>
        <w:rPr>
          <w:rFonts w:ascii="Times New Roman" w:eastAsia="TimesNewRoman" w:hAnsi="Times New Roman"/>
          <w:i/>
          <w:iCs/>
          <w:lang w:val="el-GR"/>
        </w:rPr>
      </w:pPr>
      <w:r w:rsidRPr="00C80A84">
        <w:rPr>
          <w:rFonts w:ascii="Times New Roman" w:eastAsia="TimesNewRoman" w:hAnsi="Times New Roman"/>
          <w:i/>
          <w:iCs/>
          <w:lang w:val="el-GR"/>
        </w:rPr>
        <w:t>Πυρήνας δισκίου:</w:t>
      </w:r>
    </w:p>
    <w:p w:rsidR="00C80A84" w:rsidRPr="00C80A84" w:rsidRDefault="00C80A84" w:rsidP="00C80A84">
      <w:pPr>
        <w:autoSpaceDE w:val="0"/>
        <w:autoSpaceDN w:val="0"/>
        <w:adjustRightInd w:val="0"/>
        <w:spacing w:after="0" w:line="240" w:lineRule="auto"/>
        <w:rPr>
          <w:rFonts w:ascii="Times New Roman" w:hAnsi="Times New Roman"/>
          <w:bCs/>
          <w:color w:val="000000"/>
          <w:lang w:val="el-GR"/>
        </w:rPr>
      </w:pPr>
      <w:r w:rsidRPr="00C80A84">
        <w:rPr>
          <w:rFonts w:ascii="Times New Roman" w:hAnsi="Times New Roman"/>
          <w:bCs/>
          <w:color w:val="000000"/>
          <w:lang w:val="el-GR"/>
        </w:rPr>
        <w:t>Μαννιτόλη</w:t>
      </w:r>
    </w:p>
    <w:p w:rsidR="00C80A84" w:rsidRPr="00C80A84" w:rsidRDefault="00C80A84" w:rsidP="00C80A84">
      <w:pPr>
        <w:autoSpaceDE w:val="0"/>
        <w:autoSpaceDN w:val="0"/>
        <w:adjustRightInd w:val="0"/>
        <w:spacing w:after="0" w:line="240" w:lineRule="auto"/>
        <w:rPr>
          <w:rFonts w:ascii="Times New Roman" w:hAnsi="Times New Roman"/>
          <w:bCs/>
          <w:color w:val="000000"/>
          <w:lang w:val="el-GR"/>
        </w:rPr>
      </w:pPr>
      <w:r w:rsidRPr="00C80A84">
        <w:rPr>
          <w:rFonts w:ascii="Times New Roman" w:hAnsi="Times New Roman"/>
          <w:bCs/>
          <w:color w:val="000000"/>
          <w:lang w:val="el-GR"/>
        </w:rPr>
        <w:t>Κροσποβιδόνη (τύπου Β)</w:t>
      </w:r>
    </w:p>
    <w:p w:rsidR="00C80A84" w:rsidRPr="00C80A84" w:rsidRDefault="00C80A84" w:rsidP="00C80A84">
      <w:pPr>
        <w:autoSpaceDE w:val="0"/>
        <w:autoSpaceDN w:val="0"/>
        <w:adjustRightInd w:val="0"/>
        <w:spacing w:after="0" w:line="240" w:lineRule="auto"/>
        <w:rPr>
          <w:rFonts w:ascii="Times New Roman" w:hAnsi="Times New Roman"/>
          <w:bCs/>
          <w:color w:val="000000"/>
          <w:lang w:val="el-GR"/>
        </w:rPr>
      </w:pPr>
      <w:r w:rsidRPr="00C80A84">
        <w:rPr>
          <w:rFonts w:ascii="Times New Roman" w:hAnsi="Times New Roman"/>
          <w:bCs/>
          <w:color w:val="000000"/>
          <w:lang w:val="el-GR"/>
        </w:rPr>
        <w:t>Ανθρακικό νάτριο, άνυδρο</w:t>
      </w:r>
    </w:p>
    <w:p w:rsidR="00C80A84" w:rsidRPr="00C80A84" w:rsidRDefault="00C80A84" w:rsidP="00C80A84">
      <w:pPr>
        <w:autoSpaceDE w:val="0"/>
        <w:autoSpaceDN w:val="0"/>
        <w:adjustRightInd w:val="0"/>
        <w:spacing w:after="0" w:line="240" w:lineRule="auto"/>
        <w:rPr>
          <w:rFonts w:ascii="Times New Roman" w:hAnsi="Times New Roman"/>
          <w:bCs/>
          <w:color w:val="000000"/>
          <w:lang w:val="el-GR"/>
        </w:rPr>
      </w:pPr>
      <w:r w:rsidRPr="00C80A84">
        <w:rPr>
          <w:rFonts w:ascii="Times New Roman" w:hAnsi="Times New Roman"/>
          <w:bCs/>
          <w:color w:val="000000"/>
          <w:lang w:val="el-GR"/>
        </w:rPr>
        <w:t>Σορβιτόλη (Ε420)</w:t>
      </w:r>
    </w:p>
    <w:p w:rsidR="00C80A84" w:rsidRPr="00C80A84" w:rsidRDefault="00C80A84" w:rsidP="00C80A84">
      <w:pPr>
        <w:autoSpaceDE w:val="0"/>
        <w:autoSpaceDN w:val="0"/>
        <w:adjustRightInd w:val="0"/>
        <w:spacing w:after="0" w:line="240" w:lineRule="auto"/>
        <w:rPr>
          <w:rFonts w:ascii="Times New Roman" w:hAnsi="Times New Roman"/>
          <w:bCs/>
          <w:color w:val="000000"/>
          <w:lang w:val="el-GR"/>
        </w:rPr>
      </w:pPr>
      <w:r w:rsidRPr="00C80A84">
        <w:rPr>
          <w:rFonts w:ascii="Times New Roman" w:hAnsi="Times New Roman"/>
          <w:bCs/>
          <w:color w:val="000000"/>
          <w:lang w:val="el-GR"/>
        </w:rPr>
        <w:t>Στεατικό ασβέστιο</w:t>
      </w:r>
    </w:p>
    <w:p w:rsidR="00C80A84" w:rsidRPr="00C80A84" w:rsidRDefault="00C80A84" w:rsidP="00C80A84">
      <w:pPr>
        <w:autoSpaceDE w:val="0"/>
        <w:autoSpaceDN w:val="0"/>
        <w:adjustRightInd w:val="0"/>
        <w:spacing w:after="0" w:line="240" w:lineRule="auto"/>
        <w:rPr>
          <w:rFonts w:ascii="Times New Roman" w:hAnsi="Times New Roman"/>
          <w:bCs/>
          <w:color w:val="000000"/>
          <w:lang w:val="el-GR"/>
        </w:rPr>
      </w:pPr>
    </w:p>
    <w:p w:rsidR="00C80A84" w:rsidRPr="00C80A84" w:rsidRDefault="00C80A84" w:rsidP="00C80A84">
      <w:pPr>
        <w:autoSpaceDE w:val="0"/>
        <w:autoSpaceDN w:val="0"/>
        <w:adjustRightInd w:val="0"/>
        <w:spacing w:after="0" w:line="240" w:lineRule="auto"/>
        <w:rPr>
          <w:rFonts w:ascii="Times New Roman" w:hAnsi="Times New Roman"/>
          <w:bCs/>
          <w:i/>
          <w:iCs/>
          <w:color w:val="000000"/>
          <w:lang w:val="el-GR"/>
        </w:rPr>
      </w:pPr>
      <w:r w:rsidRPr="00C80A84">
        <w:rPr>
          <w:rFonts w:ascii="Times New Roman" w:hAnsi="Times New Roman"/>
          <w:bCs/>
          <w:i/>
          <w:iCs/>
          <w:color w:val="000000"/>
          <w:lang w:val="el-GR"/>
        </w:rPr>
        <w:t>Επικάλυψη:</w:t>
      </w:r>
    </w:p>
    <w:p w:rsidR="00C80A84" w:rsidRPr="00C80A84" w:rsidRDefault="00C80A84" w:rsidP="00C80A84">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 xml:space="preserve">Υπρομελλόζη </w:t>
      </w:r>
    </w:p>
    <w:p w:rsidR="00C80A84" w:rsidRPr="00C80A84" w:rsidRDefault="00C80A84" w:rsidP="00C80A84">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 xml:space="preserve">Ποβιδόνη K25 </w:t>
      </w:r>
    </w:p>
    <w:p w:rsidR="00C80A84" w:rsidRPr="00C80A84" w:rsidRDefault="00C80A84" w:rsidP="00C80A84">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 xml:space="preserve">Τιτανίου διοξείδιο (E171) </w:t>
      </w:r>
    </w:p>
    <w:p w:rsidR="00C80A84" w:rsidRPr="00C80A84" w:rsidRDefault="00C80A84" w:rsidP="00C80A84">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 xml:space="preserve">Σιδήρου οξείδιο, κίτρινο (E172) </w:t>
      </w:r>
    </w:p>
    <w:p w:rsidR="00C80A84" w:rsidRPr="00C80A84" w:rsidRDefault="00C80A84" w:rsidP="00C80A84">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 xml:space="preserve">Προπυλενογλυκόλη </w:t>
      </w:r>
    </w:p>
    <w:p w:rsidR="00C80A84" w:rsidRPr="00C80A84" w:rsidRDefault="00C80A84" w:rsidP="00C80A84">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 xml:space="preserve">Συμπολυμερές μεθακρυλικού οξέος-αιθυλεστέρα ακρυλικού </w:t>
      </w:r>
    </w:p>
    <w:p w:rsidR="00C80A84" w:rsidRPr="00C80A84" w:rsidRDefault="00C80A84" w:rsidP="00C80A84">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 xml:space="preserve">Νάτριο λαουρυλοθειικό </w:t>
      </w:r>
    </w:p>
    <w:p w:rsidR="00C80A84" w:rsidRPr="00C80A84" w:rsidRDefault="00C80A84" w:rsidP="00C80A84">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 xml:space="preserve">Πολυσορβικό 80 </w:t>
      </w:r>
    </w:p>
    <w:p w:rsidR="00C80A84" w:rsidRPr="00C80A84" w:rsidRDefault="00C80A84" w:rsidP="00C80A84">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Πολυαιθυλενογλυκόλη 6000</w:t>
      </w:r>
    </w:p>
    <w:p w:rsidR="00C80A84" w:rsidRPr="00C80A84" w:rsidRDefault="00C80A84" w:rsidP="00C80A84">
      <w:pPr>
        <w:autoSpaceDE w:val="0"/>
        <w:autoSpaceDN w:val="0"/>
        <w:adjustRightInd w:val="0"/>
        <w:spacing w:after="0" w:line="240" w:lineRule="auto"/>
        <w:rPr>
          <w:rFonts w:ascii="Times New Roman" w:eastAsia="SimSun" w:hAnsi="Times New Roman"/>
          <w:color w:val="000000"/>
          <w:lang w:val="el-GR" w:eastAsia="zh-CN"/>
        </w:rPr>
      </w:pPr>
      <w:r w:rsidRPr="00C80A84">
        <w:rPr>
          <w:rFonts w:ascii="Times New Roman" w:eastAsia="SimSun" w:hAnsi="Times New Roman"/>
          <w:color w:val="000000"/>
          <w:lang w:val="el-GR" w:eastAsia="zh-CN"/>
        </w:rPr>
        <w:t>Τάλκης</w:t>
      </w:r>
    </w:p>
    <w:p w:rsidR="00C80A84" w:rsidRPr="00C80A84" w:rsidRDefault="00C80A84" w:rsidP="00C80A84">
      <w:pPr>
        <w:autoSpaceDE w:val="0"/>
        <w:autoSpaceDN w:val="0"/>
        <w:adjustRightInd w:val="0"/>
        <w:spacing w:after="0" w:line="240" w:lineRule="auto"/>
        <w:rPr>
          <w:rFonts w:ascii="Times New Roman" w:hAnsi="Times New Roman"/>
          <w:bCs/>
          <w:color w:val="000000"/>
        </w:rPr>
      </w:pPr>
    </w:p>
    <w:p w:rsidR="00C80A84" w:rsidRPr="00AB6031" w:rsidRDefault="00C80A84" w:rsidP="00C80A84">
      <w:pPr>
        <w:numPr>
          <w:ilvl w:val="1"/>
          <w:numId w:val="10"/>
        </w:numPr>
        <w:autoSpaceDE w:val="0"/>
        <w:autoSpaceDN w:val="0"/>
        <w:adjustRightInd w:val="0"/>
        <w:spacing w:after="0" w:line="240" w:lineRule="auto"/>
        <w:ind w:hanging="540"/>
        <w:rPr>
          <w:rFonts w:ascii="Times New Roman" w:eastAsia="TimesNewRoman" w:hAnsi="Times New Roman"/>
          <w:b/>
          <w:bCs/>
          <w:lang w:val="el-GR"/>
        </w:rPr>
      </w:pPr>
      <w:r w:rsidRPr="00C80A84">
        <w:rPr>
          <w:rFonts w:ascii="Times New Roman" w:eastAsia="TimesNewRoman" w:hAnsi="Times New Roman"/>
          <w:b/>
          <w:bCs/>
          <w:lang w:val="el-GR"/>
        </w:rPr>
        <w:t>Ασυμβατότητες</w:t>
      </w:r>
    </w:p>
    <w:p w:rsidR="00C80A84" w:rsidRPr="00C80A84" w:rsidRDefault="00C80A84" w:rsidP="00C80A84">
      <w:pPr>
        <w:autoSpaceDE w:val="0"/>
        <w:autoSpaceDN w:val="0"/>
        <w:adjustRightInd w:val="0"/>
        <w:spacing w:after="0" w:line="240" w:lineRule="auto"/>
        <w:rPr>
          <w:rFonts w:ascii="Times New Roman" w:eastAsia="TimesNewRoman" w:hAnsi="Times New Roman"/>
          <w:bCs/>
          <w:lang w:val="el-GR"/>
        </w:rPr>
      </w:pPr>
      <w:r w:rsidRPr="00C80A84">
        <w:rPr>
          <w:rFonts w:ascii="Times New Roman" w:eastAsia="TimesNewRoman" w:hAnsi="Times New Roman"/>
          <w:bCs/>
          <w:lang w:val="el-GR"/>
        </w:rPr>
        <w:t>Δεν εφαρμόζεται.</w:t>
      </w:r>
    </w:p>
    <w:p w:rsidR="00C80A84" w:rsidRPr="00C80A84" w:rsidRDefault="00C80A84" w:rsidP="00C80A84">
      <w:pPr>
        <w:autoSpaceDE w:val="0"/>
        <w:autoSpaceDN w:val="0"/>
        <w:adjustRightInd w:val="0"/>
        <w:spacing w:after="0" w:line="240" w:lineRule="auto"/>
        <w:rPr>
          <w:rFonts w:ascii="Times New Roman" w:eastAsia="TimesNewRoman" w:hAnsi="Times New Roman"/>
          <w:bCs/>
          <w:lang w:val="el-GR"/>
        </w:rPr>
      </w:pPr>
    </w:p>
    <w:p w:rsidR="00C80A84" w:rsidRPr="00AB6031" w:rsidRDefault="00C80A84" w:rsidP="00AB6031">
      <w:pPr>
        <w:numPr>
          <w:ilvl w:val="1"/>
          <w:numId w:val="10"/>
        </w:numPr>
        <w:autoSpaceDE w:val="0"/>
        <w:autoSpaceDN w:val="0"/>
        <w:adjustRightInd w:val="0"/>
        <w:spacing w:after="0" w:line="240" w:lineRule="auto"/>
        <w:ind w:hanging="540"/>
        <w:rPr>
          <w:rFonts w:ascii="Times New Roman" w:eastAsia="TimesNewRoman" w:hAnsi="Times New Roman"/>
          <w:b/>
          <w:bCs/>
          <w:lang w:val="el-GR"/>
        </w:rPr>
      </w:pPr>
      <w:r w:rsidRPr="00C80A84">
        <w:rPr>
          <w:rFonts w:ascii="Times New Roman" w:eastAsia="TimesNewRoman" w:hAnsi="Times New Roman"/>
          <w:b/>
          <w:bCs/>
          <w:lang w:val="el-GR"/>
        </w:rPr>
        <w:t>Διάρκεια ζωής</w:t>
      </w:r>
    </w:p>
    <w:p w:rsidR="00C80A84" w:rsidRDefault="00C80A84" w:rsidP="00C80A84">
      <w:pPr>
        <w:tabs>
          <w:tab w:val="left" w:pos="0"/>
        </w:tabs>
        <w:spacing w:after="0" w:line="240" w:lineRule="auto"/>
        <w:rPr>
          <w:rFonts w:ascii="Times New Roman" w:hAnsi="Times New Roman"/>
        </w:rPr>
      </w:pPr>
      <w:r w:rsidRPr="00C80A84">
        <w:rPr>
          <w:rFonts w:ascii="Times New Roman" w:hAnsi="Times New Roman"/>
          <w:lang w:val="el-GR"/>
        </w:rPr>
        <w:t>3 χρόνια.</w:t>
      </w:r>
    </w:p>
    <w:p w:rsidR="00967646" w:rsidRPr="00967646" w:rsidRDefault="00967646" w:rsidP="00C80A84">
      <w:pPr>
        <w:tabs>
          <w:tab w:val="left" w:pos="0"/>
        </w:tabs>
        <w:spacing w:after="0" w:line="240" w:lineRule="auto"/>
        <w:rPr>
          <w:rFonts w:ascii="Times New Roman" w:hAnsi="Times New Roman"/>
        </w:rPr>
      </w:pPr>
    </w:p>
    <w:p w:rsidR="00C80A84" w:rsidRPr="00967646" w:rsidRDefault="00967646" w:rsidP="00967646">
      <w:pPr>
        <w:autoSpaceDE w:val="0"/>
        <w:autoSpaceDN w:val="0"/>
        <w:adjustRightInd w:val="0"/>
        <w:spacing w:after="0" w:line="240" w:lineRule="auto"/>
        <w:rPr>
          <w:rFonts w:ascii="Times New Roman" w:eastAsia="TimesNewRoman" w:hAnsi="Times New Roman"/>
          <w:bCs/>
          <w:u w:val="single"/>
          <w:lang w:val="el-GR"/>
        </w:rPr>
      </w:pPr>
      <w:r>
        <w:rPr>
          <w:rFonts w:ascii="Times New Roman" w:eastAsia="TimesNewRoman" w:hAnsi="Times New Roman"/>
          <w:bCs/>
          <w:u w:val="single"/>
          <w:lang w:val="el-GR"/>
        </w:rPr>
        <w:t>Περιέκτης δισκίων</w:t>
      </w:r>
      <w:r w:rsidRPr="00967646">
        <w:rPr>
          <w:rFonts w:ascii="Times New Roman" w:eastAsia="TimesNewRoman" w:hAnsi="Times New Roman"/>
          <w:bCs/>
          <w:u w:val="single"/>
          <w:lang w:val="el-GR"/>
        </w:rPr>
        <w:t xml:space="preserve"> από υψηλής πυκνότητας πολυαιθυλένιο (HDPE):</w:t>
      </w:r>
    </w:p>
    <w:p w:rsidR="00967646" w:rsidRPr="00967646" w:rsidRDefault="00967646" w:rsidP="00967646">
      <w:pPr>
        <w:autoSpaceDE w:val="0"/>
        <w:autoSpaceDN w:val="0"/>
        <w:adjustRightInd w:val="0"/>
        <w:spacing w:after="0" w:line="240" w:lineRule="auto"/>
        <w:rPr>
          <w:rFonts w:ascii="Times New Roman" w:eastAsia="TimesNewRoman" w:hAnsi="Times New Roman"/>
          <w:bCs/>
          <w:lang w:val="el-GR"/>
        </w:rPr>
      </w:pPr>
      <w:r>
        <w:rPr>
          <w:rFonts w:ascii="Times New Roman" w:eastAsia="TimesNewRoman" w:hAnsi="Times New Roman"/>
          <w:bCs/>
          <w:lang w:val="el-GR"/>
        </w:rPr>
        <w:t>Η διάρκεια ζωής μετά το πρώτο άνοιγμα είναι 3 μήνες</w:t>
      </w:r>
    </w:p>
    <w:p w:rsidR="00C80A84" w:rsidRPr="00C80A84" w:rsidRDefault="00C80A84" w:rsidP="00C80A84">
      <w:pPr>
        <w:tabs>
          <w:tab w:val="left" w:pos="0"/>
        </w:tabs>
        <w:spacing w:after="0" w:line="240" w:lineRule="auto"/>
        <w:rPr>
          <w:rFonts w:ascii="Times New Roman" w:hAnsi="Times New Roman"/>
          <w:highlight w:val="lightGray"/>
          <w:lang w:val="el-GR"/>
        </w:rPr>
      </w:pPr>
    </w:p>
    <w:p w:rsidR="00967646" w:rsidRPr="00AB6031" w:rsidRDefault="00C80A84" w:rsidP="00AB6031">
      <w:pPr>
        <w:numPr>
          <w:ilvl w:val="1"/>
          <w:numId w:val="10"/>
        </w:numPr>
        <w:autoSpaceDE w:val="0"/>
        <w:autoSpaceDN w:val="0"/>
        <w:adjustRightInd w:val="0"/>
        <w:spacing w:after="0" w:line="240" w:lineRule="auto"/>
        <w:ind w:hanging="540"/>
        <w:rPr>
          <w:rFonts w:ascii="Times New Roman" w:eastAsia="TimesNewRoman" w:hAnsi="Times New Roman"/>
          <w:b/>
          <w:bCs/>
          <w:lang w:val="el-GR"/>
        </w:rPr>
      </w:pPr>
      <w:r w:rsidRPr="00C80A84">
        <w:rPr>
          <w:rFonts w:ascii="Times New Roman" w:eastAsia="TimesNewRoman" w:hAnsi="Times New Roman"/>
          <w:b/>
          <w:bCs/>
          <w:lang w:val="el-GR"/>
        </w:rPr>
        <w:t>Ιδιαίτερες προφυλάξεις κατά την φύλαξη του προϊόντος</w:t>
      </w:r>
    </w:p>
    <w:p w:rsidR="00C80A84" w:rsidRPr="00D015F7" w:rsidRDefault="00967646" w:rsidP="00967646">
      <w:pPr>
        <w:tabs>
          <w:tab w:val="left" w:pos="0"/>
        </w:tabs>
        <w:spacing w:after="0" w:line="240" w:lineRule="auto"/>
        <w:rPr>
          <w:rFonts w:ascii="Times New Roman" w:hAnsi="Times New Roman"/>
          <w:lang w:val="el-GR"/>
        </w:rPr>
      </w:pPr>
      <w:r w:rsidRPr="00C80A84">
        <w:rPr>
          <w:rFonts w:ascii="Times New Roman" w:eastAsia="TimesNewRoman" w:hAnsi="Times New Roman"/>
          <w:lang w:val="el-GR"/>
        </w:rPr>
        <w:t>Συσκευασί</w:t>
      </w:r>
      <w:r>
        <w:rPr>
          <w:rFonts w:ascii="Times New Roman" w:eastAsia="TimesNewRoman" w:hAnsi="Times New Roman"/>
          <w:lang w:val="el-GR"/>
        </w:rPr>
        <w:t>α</w:t>
      </w:r>
      <w:r w:rsidRPr="00C80A84">
        <w:rPr>
          <w:rFonts w:ascii="Times New Roman" w:eastAsia="TimesNewRoman" w:hAnsi="Times New Roman"/>
          <w:lang w:val="el-GR"/>
        </w:rPr>
        <w:t xml:space="preserve"> κυψέλης (</w:t>
      </w:r>
      <w:r w:rsidRPr="00C80A84">
        <w:rPr>
          <w:rFonts w:ascii="Times New Roman" w:eastAsia="TimesNewRoman" w:hAnsi="Times New Roman"/>
        </w:rPr>
        <w:t>blister</w:t>
      </w:r>
      <w:r w:rsidRPr="00C80A84">
        <w:rPr>
          <w:rFonts w:ascii="Times New Roman" w:eastAsia="TimesNewRoman" w:hAnsi="Times New Roman"/>
          <w:lang w:val="el-GR"/>
        </w:rPr>
        <w:t>)</w:t>
      </w:r>
      <w:r w:rsidRPr="00967646">
        <w:rPr>
          <w:rFonts w:ascii="Times New Roman" w:eastAsia="TimesNewRoman" w:hAnsi="Times New Roman"/>
          <w:lang w:val="el-GR"/>
        </w:rPr>
        <w:t>:</w:t>
      </w:r>
      <w:r w:rsidR="00D015F7">
        <w:rPr>
          <w:rFonts w:ascii="Times New Roman" w:eastAsia="TimesNewRoman" w:hAnsi="Times New Roman"/>
          <w:lang w:val="el-GR"/>
        </w:rPr>
        <w:t xml:space="preserve"> </w:t>
      </w:r>
      <w:r w:rsidR="00100DD6">
        <w:rPr>
          <w:rFonts w:ascii="Times New Roman" w:hAnsi="Times New Roman"/>
          <w:iCs/>
          <w:lang w:val="el-GR"/>
        </w:rPr>
        <w:t>Φυλάσσετε</w:t>
      </w:r>
      <w:r w:rsidR="00C80A84" w:rsidRPr="00D015F7">
        <w:rPr>
          <w:rFonts w:ascii="Times New Roman" w:hAnsi="Times New Roman"/>
          <w:iCs/>
          <w:lang w:val="el-GR"/>
        </w:rPr>
        <w:t xml:space="preserve"> στην αρχική συσκευασία για να προστατεύεται από την</w:t>
      </w:r>
      <w:r w:rsidRPr="00D015F7">
        <w:rPr>
          <w:rFonts w:ascii="Times New Roman" w:hAnsi="Times New Roman"/>
          <w:lang w:val="el-GR"/>
        </w:rPr>
        <w:t xml:space="preserve"> </w:t>
      </w:r>
      <w:r w:rsidR="00C80A84" w:rsidRPr="00D015F7">
        <w:rPr>
          <w:rFonts w:ascii="Times New Roman" w:hAnsi="Times New Roman"/>
          <w:lang w:val="el-GR"/>
        </w:rPr>
        <w:t>υγρασία.</w:t>
      </w:r>
    </w:p>
    <w:p w:rsidR="00967646" w:rsidRPr="00967646" w:rsidRDefault="00967646" w:rsidP="00967646">
      <w:pPr>
        <w:tabs>
          <w:tab w:val="left" w:pos="0"/>
        </w:tabs>
        <w:spacing w:after="0" w:line="240" w:lineRule="auto"/>
        <w:rPr>
          <w:rFonts w:ascii="Times New Roman" w:hAnsi="Times New Roman"/>
          <w:lang w:val="el-GR"/>
        </w:rPr>
      </w:pPr>
      <w:r w:rsidRPr="00D015F7">
        <w:rPr>
          <w:rFonts w:ascii="Times New Roman" w:hAnsi="Times New Roman"/>
          <w:lang w:val="el-GR"/>
        </w:rPr>
        <w:t>Περιέκτης:</w:t>
      </w:r>
      <w:r w:rsidR="00D015F7">
        <w:rPr>
          <w:rFonts w:ascii="Times New Roman" w:hAnsi="Times New Roman"/>
          <w:lang w:val="el-GR"/>
        </w:rPr>
        <w:t xml:space="preserve"> Διατηρείτε</w:t>
      </w:r>
      <w:r w:rsidRPr="00D015F7">
        <w:rPr>
          <w:rFonts w:ascii="Times New Roman" w:hAnsi="Times New Roman"/>
          <w:lang w:val="el-GR"/>
        </w:rPr>
        <w:t xml:space="preserve"> </w:t>
      </w:r>
      <w:r w:rsidR="00D015F7">
        <w:rPr>
          <w:rFonts w:ascii="Times New Roman" w:hAnsi="Times New Roman"/>
          <w:lang w:val="el-GR"/>
        </w:rPr>
        <w:t>τ</w:t>
      </w:r>
      <w:r w:rsidRPr="00D015F7">
        <w:rPr>
          <w:rFonts w:ascii="Times New Roman" w:hAnsi="Times New Roman"/>
          <w:lang w:val="el-GR"/>
        </w:rPr>
        <w:t>ο</w:t>
      </w:r>
      <w:r w:rsidR="00D015F7">
        <w:rPr>
          <w:rFonts w:ascii="Times New Roman" w:hAnsi="Times New Roman"/>
          <w:lang w:val="el-GR"/>
        </w:rPr>
        <w:t>ν περιέκτη καλά κλεισμένο</w:t>
      </w:r>
      <w:r w:rsidRPr="00D015F7">
        <w:rPr>
          <w:rFonts w:ascii="Times New Roman" w:hAnsi="Times New Roman"/>
          <w:lang w:val="el-GR"/>
        </w:rPr>
        <w:t xml:space="preserve"> για προστασία από την υγρασία.</w:t>
      </w:r>
    </w:p>
    <w:p w:rsidR="000F04ED" w:rsidRPr="002A11C9" w:rsidRDefault="000F04ED" w:rsidP="00AB6031">
      <w:pPr>
        <w:tabs>
          <w:tab w:val="left" w:pos="600"/>
        </w:tabs>
        <w:spacing w:after="0" w:line="240" w:lineRule="auto"/>
        <w:rPr>
          <w:rFonts w:ascii="Times New Roman" w:hAnsi="Times New Roman"/>
          <w:lang w:val="el-GR"/>
        </w:rPr>
      </w:pPr>
    </w:p>
    <w:p w:rsidR="00C80A84" w:rsidRPr="00AB6031" w:rsidRDefault="00C80A84" w:rsidP="00AB6031">
      <w:pPr>
        <w:numPr>
          <w:ilvl w:val="1"/>
          <w:numId w:val="10"/>
        </w:numPr>
        <w:autoSpaceDE w:val="0"/>
        <w:autoSpaceDN w:val="0"/>
        <w:adjustRightInd w:val="0"/>
        <w:spacing w:after="0" w:line="240" w:lineRule="auto"/>
        <w:ind w:hanging="540"/>
        <w:rPr>
          <w:rFonts w:ascii="Times New Roman" w:eastAsia="TimesNewRoman" w:hAnsi="Times New Roman"/>
          <w:b/>
          <w:bCs/>
          <w:lang w:val="el-GR"/>
        </w:rPr>
      </w:pPr>
      <w:r w:rsidRPr="00C80A84">
        <w:rPr>
          <w:rFonts w:ascii="Times New Roman" w:eastAsia="TimesNewRoman" w:hAnsi="Times New Roman"/>
          <w:b/>
          <w:bCs/>
          <w:lang w:val="el-GR"/>
        </w:rPr>
        <w:t>Φύση και συστατικά του περιέκτη</w:t>
      </w:r>
    </w:p>
    <w:p w:rsidR="00C80A84" w:rsidRPr="00C80A84" w:rsidRDefault="00C80A84" w:rsidP="00C80A84">
      <w:pPr>
        <w:autoSpaceDE w:val="0"/>
        <w:autoSpaceDN w:val="0"/>
        <w:adjustRightInd w:val="0"/>
        <w:spacing w:after="0" w:line="240" w:lineRule="auto"/>
        <w:rPr>
          <w:rFonts w:ascii="Times New Roman" w:hAnsi="Times New Roman"/>
          <w:color w:val="000000"/>
          <w:lang w:val="el-GR"/>
        </w:rPr>
      </w:pPr>
      <w:r w:rsidRPr="00C80A84">
        <w:rPr>
          <w:rFonts w:ascii="Times New Roman" w:eastAsia="TimesNewRoman" w:hAnsi="Times New Roman"/>
          <w:lang w:val="el-GR"/>
        </w:rPr>
        <w:t>Συσκευασίες κυψέλης (</w:t>
      </w:r>
      <w:r w:rsidRPr="00C80A84">
        <w:rPr>
          <w:rFonts w:ascii="Times New Roman" w:eastAsia="TimesNewRoman" w:hAnsi="Times New Roman"/>
        </w:rPr>
        <w:t>blister</w:t>
      </w:r>
      <w:r w:rsidRPr="00C80A84">
        <w:rPr>
          <w:rFonts w:ascii="Times New Roman" w:eastAsia="TimesNewRoman" w:hAnsi="Times New Roman"/>
          <w:lang w:val="el-GR"/>
        </w:rPr>
        <w:t xml:space="preserve">) </w:t>
      </w:r>
      <w:r w:rsidRPr="00C80A84">
        <w:rPr>
          <w:rFonts w:ascii="Times New Roman" w:hAnsi="Times New Roman"/>
          <w:color w:val="000000"/>
          <w:lang w:val="el-GR"/>
        </w:rPr>
        <w:t>(</w:t>
      </w:r>
      <w:r w:rsidRPr="00C80A84">
        <w:rPr>
          <w:rFonts w:ascii="Times New Roman" w:hAnsi="Times New Roman"/>
          <w:color w:val="000000"/>
        </w:rPr>
        <w:t>OPA</w:t>
      </w:r>
      <w:r w:rsidRPr="00C80A84">
        <w:rPr>
          <w:rFonts w:ascii="Times New Roman" w:hAnsi="Times New Roman"/>
          <w:color w:val="000000"/>
          <w:lang w:val="el-GR"/>
        </w:rPr>
        <w:t>/Αλουμίνιο/</w:t>
      </w:r>
      <w:r w:rsidRPr="00C80A84">
        <w:rPr>
          <w:rFonts w:ascii="Times New Roman" w:hAnsi="Times New Roman"/>
          <w:color w:val="000000"/>
        </w:rPr>
        <w:t>PVC</w:t>
      </w:r>
      <w:r w:rsidRPr="00C80A84">
        <w:rPr>
          <w:rFonts w:ascii="Times New Roman" w:hAnsi="Times New Roman"/>
          <w:color w:val="000000"/>
          <w:lang w:val="el-GR"/>
        </w:rPr>
        <w:t xml:space="preserve"> μεμβράνη και φύλλο αλουμινίου) σε χάρτινο κουτί.</w:t>
      </w:r>
    </w:p>
    <w:p w:rsidR="00D015F7" w:rsidRPr="00AB6031" w:rsidRDefault="00C80A84" w:rsidP="001B0EFE">
      <w:pPr>
        <w:autoSpaceDE w:val="0"/>
        <w:autoSpaceDN w:val="0"/>
        <w:adjustRightInd w:val="0"/>
        <w:spacing w:after="0" w:line="240" w:lineRule="auto"/>
        <w:rPr>
          <w:rFonts w:ascii="Times New Roman" w:eastAsia="TimesNewRoman" w:hAnsi="Times New Roman"/>
          <w:lang w:val="el-GR"/>
        </w:rPr>
      </w:pPr>
      <w:r w:rsidRPr="00D015F7">
        <w:rPr>
          <w:rFonts w:ascii="Times New Roman" w:hAnsi="Times New Roman"/>
          <w:color w:val="000000"/>
          <w:lang w:val="el-GR"/>
        </w:rPr>
        <w:t>Συσκευασίες των</w:t>
      </w:r>
      <w:r w:rsidR="00967646" w:rsidRPr="00D015F7">
        <w:rPr>
          <w:rFonts w:ascii="Times New Roman" w:hAnsi="Times New Roman"/>
          <w:color w:val="000000"/>
          <w:lang w:val="el-GR"/>
        </w:rPr>
        <w:t xml:space="preserve"> 7, 10, 14, 15, 28, 30, 56, 60, 84, 100, 100</w:t>
      </w:r>
      <w:r w:rsidR="00967646" w:rsidRPr="00D015F7">
        <w:rPr>
          <w:rFonts w:ascii="Times New Roman" w:hAnsi="Times New Roman"/>
          <w:color w:val="000000"/>
        </w:rPr>
        <w:t>x</w:t>
      </w:r>
      <w:r w:rsidR="00967646" w:rsidRPr="00D015F7">
        <w:rPr>
          <w:rFonts w:ascii="Times New Roman" w:hAnsi="Times New Roman"/>
          <w:color w:val="000000"/>
          <w:lang w:val="el-GR"/>
        </w:rPr>
        <w:t xml:space="preserve">1, 112 ή 140 </w:t>
      </w:r>
      <w:r w:rsidRPr="00D015F7">
        <w:rPr>
          <w:rFonts w:ascii="Times New Roman" w:eastAsia="TimesNewRoman" w:hAnsi="Times New Roman"/>
          <w:lang w:val="el-GR"/>
        </w:rPr>
        <w:t>γαστροανθεκτικών δισκίων.</w:t>
      </w:r>
    </w:p>
    <w:p w:rsidR="001B0EFE" w:rsidRPr="00C80A84" w:rsidRDefault="007552EB" w:rsidP="001B0EFE">
      <w:pPr>
        <w:autoSpaceDE w:val="0"/>
        <w:autoSpaceDN w:val="0"/>
        <w:adjustRightInd w:val="0"/>
        <w:spacing w:after="0" w:line="240" w:lineRule="auto"/>
        <w:rPr>
          <w:rFonts w:ascii="Times New Roman" w:eastAsia="TimesNewRoman" w:hAnsi="Times New Roman"/>
          <w:lang w:val="el-GR"/>
        </w:rPr>
      </w:pPr>
      <w:r w:rsidRPr="00D015F7">
        <w:rPr>
          <w:rFonts w:ascii="Times New Roman" w:eastAsia="TimesNewRoman" w:hAnsi="Times New Roman"/>
          <w:lang w:val="el-GR"/>
        </w:rPr>
        <w:t xml:space="preserve">Περιέκτης από υψηλής πυκνότητας πολυαιθυλένιο (HDPE) </w:t>
      </w:r>
      <w:r w:rsidR="001B0EFE" w:rsidRPr="00D015F7">
        <w:rPr>
          <w:rFonts w:ascii="Times New Roman" w:hAnsi="Times New Roman"/>
          <w:sz w:val="24"/>
          <w:szCs w:val="24"/>
          <w:lang w:val="el-GR"/>
        </w:rPr>
        <w:t xml:space="preserve">με βιδωτό πώμα από πολυπροπυλένιο </w:t>
      </w:r>
      <w:r w:rsidR="001B0EFE" w:rsidRPr="00D015F7">
        <w:rPr>
          <w:rFonts w:ascii="Times New Roman" w:eastAsia="TimesNewRoman" w:hAnsi="Times New Roman"/>
          <w:lang w:val="el-GR"/>
        </w:rPr>
        <w:t xml:space="preserve">(PP) </w:t>
      </w:r>
      <w:r w:rsidR="001B0EFE" w:rsidRPr="00D015F7">
        <w:rPr>
          <w:rFonts w:ascii="Times New Roman" w:hAnsi="Times New Roman"/>
          <w:sz w:val="24"/>
          <w:szCs w:val="24"/>
          <w:lang w:val="el-GR"/>
        </w:rPr>
        <w:t>με ασφάλεια κατά του ανοίγματος και εφοδιασμένο με αποξηραντικό γέλης πυριτίου.</w:t>
      </w:r>
    </w:p>
    <w:p w:rsidR="00D015F7" w:rsidRPr="002A11C9" w:rsidRDefault="00D015F7" w:rsidP="00C80A84">
      <w:pPr>
        <w:spacing w:after="0" w:line="240" w:lineRule="auto"/>
        <w:rPr>
          <w:rFonts w:ascii="Times New Roman" w:hAnsi="Times New Roman"/>
          <w:lang w:val="el-GR"/>
        </w:rPr>
      </w:pPr>
      <w:r>
        <w:rPr>
          <w:rFonts w:ascii="Times New Roman" w:hAnsi="Times New Roman"/>
          <w:lang w:val="el-GR"/>
        </w:rPr>
        <w:t>Συσκευασία των 250 γαστροανθεκτικών δισκίων.</w:t>
      </w:r>
    </w:p>
    <w:p w:rsidR="00D015F7" w:rsidRDefault="00D015F7" w:rsidP="00C80A84">
      <w:pPr>
        <w:spacing w:after="0" w:line="240" w:lineRule="auto"/>
        <w:rPr>
          <w:rFonts w:ascii="Times New Roman" w:hAnsi="Times New Roman"/>
          <w:lang w:val="el-GR"/>
        </w:rPr>
      </w:pPr>
      <w:r>
        <w:rPr>
          <w:rFonts w:ascii="Times New Roman" w:hAnsi="Times New Roman"/>
          <w:lang w:val="el-GR"/>
        </w:rPr>
        <w:t>Μπορεί να μην κυκλοφορούν όλες οι συσκευασίες.</w:t>
      </w:r>
    </w:p>
    <w:p w:rsidR="00D015F7" w:rsidRDefault="00D015F7" w:rsidP="00C80A84">
      <w:pPr>
        <w:spacing w:after="0" w:line="240" w:lineRule="auto"/>
        <w:rPr>
          <w:rFonts w:ascii="Times New Roman" w:hAnsi="Times New Roman"/>
          <w:lang w:val="el-GR"/>
        </w:rPr>
      </w:pPr>
      <w:r>
        <w:rPr>
          <w:rFonts w:ascii="Times New Roman" w:hAnsi="Times New Roman"/>
          <w:lang w:val="el-GR"/>
        </w:rPr>
        <w:t>Μόνο η συσκευασία των 28 γαστροανθεκτικών δισκίων προορίζεται για την Ελληνική αγορά.</w:t>
      </w:r>
    </w:p>
    <w:p w:rsidR="00D015F7" w:rsidRPr="00C80A84" w:rsidRDefault="00D015F7" w:rsidP="00C80A84">
      <w:pPr>
        <w:spacing w:after="0" w:line="240" w:lineRule="auto"/>
        <w:rPr>
          <w:rFonts w:ascii="Times New Roman" w:hAnsi="Times New Roman"/>
          <w:lang w:val="el-GR"/>
        </w:rPr>
      </w:pPr>
    </w:p>
    <w:p w:rsidR="00C80A84" w:rsidRPr="00AB6031" w:rsidRDefault="00C80A84" w:rsidP="00C80A84">
      <w:pPr>
        <w:numPr>
          <w:ilvl w:val="1"/>
          <w:numId w:val="10"/>
        </w:numPr>
        <w:autoSpaceDE w:val="0"/>
        <w:autoSpaceDN w:val="0"/>
        <w:adjustRightInd w:val="0"/>
        <w:spacing w:after="0" w:line="240" w:lineRule="auto"/>
        <w:ind w:hanging="540"/>
        <w:rPr>
          <w:rFonts w:ascii="Times New Roman" w:eastAsia="TimesNewRoman" w:hAnsi="Times New Roman"/>
          <w:b/>
          <w:bCs/>
          <w:lang w:val="el-GR"/>
        </w:rPr>
      </w:pPr>
      <w:r w:rsidRPr="00C80A84">
        <w:rPr>
          <w:rFonts w:ascii="Times New Roman" w:eastAsia="TimesNewRoman" w:hAnsi="Times New Roman"/>
          <w:b/>
          <w:bCs/>
          <w:lang w:val="el-GR"/>
        </w:rPr>
        <w:t>Ιδιαίτερες προφυλάξεις απόρριψης και άλλος χειρισμός</w:t>
      </w:r>
    </w:p>
    <w:p w:rsidR="00C80A84" w:rsidRPr="00C80A84" w:rsidRDefault="00C80A84" w:rsidP="00C80A84">
      <w:pPr>
        <w:autoSpaceDE w:val="0"/>
        <w:autoSpaceDN w:val="0"/>
        <w:adjustRightInd w:val="0"/>
        <w:spacing w:after="0" w:line="240" w:lineRule="auto"/>
        <w:rPr>
          <w:rFonts w:ascii="Times New Roman" w:eastAsia="TimesNewRoman" w:hAnsi="Times New Roman"/>
          <w:lang w:val="el-GR"/>
        </w:rPr>
      </w:pPr>
      <w:r w:rsidRPr="00C80A84">
        <w:rPr>
          <w:rFonts w:ascii="Times New Roman" w:hAnsi="Times New Roman"/>
          <w:lang w:val="el-GR"/>
        </w:rPr>
        <w:t>Καμία ειδική υποχρέωση.</w:t>
      </w:r>
    </w:p>
    <w:p w:rsidR="00C80A84" w:rsidRPr="00C80A84" w:rsidRDefault="00C80A84" w:rsidP="00C80A84">
      <w:pPr>
        <w:autoSpaceDE w:val="0"/>
        <w:autoSpaceDN w:val="0"/>
        <w:adjustRightInd w:val="0"/>
        <w:spacing w:after="0" w:line="240" w:lineRule="auto"/>
        <w:rPr>
          <w:rFonts w:ascii="Times New Roman" w:eastAsia="TimesNewRoman" w:hAnsi="Times New Roman"/>
          <w:lang w:val="el-GR"/>
        </w:rPr>
      </w:pPr>
      <w:r w:rsidRPr="00C80A84">
        <w:rPr>
          <w:rFonts w:ascii="Times New Roman" w:eastAsia="TimesNewRoman" w:hAnsi="Times New Roman"/>
          <w:lang w:val="el-GR"/>
        </w:rPr>
        <w:t>Κάθε μη χρησιμοποιηθέν προϊόν ή υπόλειμμα πρέπει να απορριφθεί σύμφωνα με τις κατά τόπους οδηγίες.</w:t>
      </w:r>
    </w:p>
    <w:p w:rsidR="00C80A84" w:rsidRPr="00C80A84" w:rsidRDefault="00C80A84" w:rsidP="00C80A84">
      <w:pPr>
        <w:autoSpaceDE w:val="0"/>
        <w:autoSpaceDN w:val="0"/>
        <w:adjustRightInd w:val="0"/>
        <w:spacing w:after="0" w:line="240" w:lineRule="auto"/>
        <w:rPr>
          <w:rFonts w:ascii="Times New Roman" w:eastAsia="TimesNewRoman" w:hAnsi="Times New Roman"/>
          <w:lang w:val="el-GR"/>
        </w:rPr>
      </w:pPr>
    </w:p>
    <w:p w:rsidR="00C80A84" w:rsidRPr="00C80A84" w:rsidRDefault="00C80A84" w:rsidP="00C80A84">
      <w:pPr>
        <w:autoSpaceDE w:val="0"/>
        <w:autoSpaceDN w:val="0"/>
        <w:adjustRightInd w:val="0"/>
        <w:spacing w:after="0" w:line="240" w:lineRule="auto"/>
        <w:rPr>
          <w:rFonts w:ascii="Times New Roman" w:eastAsia="TimesNewRoman" w:hAnsi="Times New Roman"/>
          <w:lang w:val="el-GR"/>
        </w:rPr>
      </w:pPr>
    </w:p>
    <w:p w:rsidR="00C80A84" w:rsidRPr="00AB6031" w:rsidRDefault="00C80A84" w:rsidP="00C80A84">
      <w:pPr>
        <w:numPr>
          <w:ilvl w:val="0"/>
          <w:numId w:val="10"/>
        </w:numPr>
        <w:autoSpaceDE w:val="0"/>
        <w:autoSpaceDN w:val="0"/>
        <w:adjustRightInd w:val="0"/>
        <w:spacing w:after="0" w:line="240" w:lineRule="auto"/>
        <w:rPr>
          <w:rFonts w:ascii="Times New Roman" w:eastAsia="TimesNewRoman" w:hAnsi="Times New Roman"/>
          <w:b/>
          <w:bCs/>
          <w:lang w:val="el-GR"/>
        </w:rPr>
      </w:pPr>
      <w:r w:rsidRPr="00C80A84">
        <w:rPr>
          <w:rFonts w:ascii="Times New Roman" w:eastAsia="TimesNewRoman" w:hAnsi="Times New Roman"/>
          <w:b/>
          <w:bCs/>
          <w:lang w:val="el-GR"/>
        </w:rPr>
        <w:t>ΚΑΤΟΧΟΣ ΤΗΣ ΑΔΕΙΑΣ ΚΥΚΛΟΦΟΡΙΑΣ</w:t>
      </w:r>
    </w:p>
    <w:p w:rsidR="00C80A84" w:rsidRPr="002A11C9" w:rsidRDefault="00C80A84" w:rsidP="00C80A84">
      <w:pPr>
        <w:widowControl w:val="0"/>
        <w:spacing w:after="0" w:line="240" w:lineRule="auto"/>
        <w:rPr>
          <w:rFonts w:ascii="Times New Roman" w:hAnsi="Times New Roman"/>
        </w:rPr>
      </w:pPr>
      <w:r w:rsidRPr="002A11C9">
        <w:rPr>
          <w:rFonts w:ascii="Times New Roman" w:hAnsi="Times New Roman"/>
        </w:rPr>
        <w:t>TAD Pharma GmbH</w:t>
      </w:r>
    </w:p>
    <w:p w:rsidR="00C80A84" w:rsidRPr="00C80A84" w:rsidRDefault="00C80A84" w:rsidP="00C80A84">
      <w:pPr>
        <w:widowControl w:val="0"/>
        <w:spacing w:after="0" w:line="240" w:lineRule="auto"/>
        <w:rPr>
          <w:rFonts w:ascii="Times New Roman" w:hAnsi="Times New Roman"/>
          <w:lang w:val="el-GR"/>
        </w:rPr>
      </w:pPr>
      <w:r w:rsidRPr="002A11C9">
        <w:rPr>
          <w:rFonts w:ascii="Times New Roman" w:hAnsi="Times New Roman"/>
        </w:rPr>
        <w:t xml:space="preserve">Heinz-Lohmann-Str. </w:t>
      </w:r>
      <w:r w:rsidRPr="00C80A84">
        <w:rPr>
          <w:rFonts w:ascii="Times New Roman" w:hAnsi="Times New Roman"/>
          <w:lang w:val="el-GR"/>
        </w:rPr>
        <w:t>5</w:t>
      </w:r>
    </w:p>
    <w:p w:rsidR="00C80A84" w:rsidRPr="00C80A84" w:rsidRDefault="00C80A84" w:rsidP="00C80A84">
      <w:pPr>
        <w:widowControl w:val="0"/>
        <w:spacing w:after="0" w:line="240" w:lineRule="auto"/>
        <w:rPr>
          <w:rFonts w:ascii="Times New Roman" w:hAnsi="Times New Roman"/>
          <w:lang w:val="el-GR"/>
        </w:rPr>
      </w:pPr>
      <w:r w:rsidRPr="00C80A84">
        <w:rPr>
          <w:rFonts w:ascii="Times New Roman" w:hAnsi="Times New Roman"/>
          <w:lang w:val="el-GR"/>
        </w:rPr>
        <w:t>27472 Cuxhaven</w:t>
      </w:r>
    </w:p>
    <w:p w:rsidR="00C80A84" w:rsidRPr="00C80A84" w:rsidRDefault="00C80A84" w:rsidP="00C80A84">
      <w:pPr>
        <w:widowControl w:val="0"/>
        <w:spacing w:after="0" w:line="240" w:lineRule="auto"/>
        <w:rPr>
          <w:rFonts w:ascii="Times New Roman" w:hAnsi="Times New Roman"/>
          <w:lang w:val="el-GR"/>
        </w:rPr>
      </w:pPr>
      <w:r w:rsidRPr="00C80A84">
        <w:rPr>
          <w:rFonts w:ascii="Times New Roman" w:hAnsi="Times New Roman"/>
          <w:lang w:val="el-GR"/>
        </w:rPr>
        <w:t>Γερμανία</w:t>
      </w:r>
    </w:p>
    <w:p w:rsidR="00C80A84" w:rsidRPr="00C80A84" w:rsidRDefault="00C80A84" w:rsidP="00C80A84">
      <w:pPr>
        <w:autoSpaceDE w:val="0"/>
        <w:autoSpaceDN w:val="0"/>
        <w:adjustRightInd w:val="0"/>
        <w:spacing w:after="0" w:line="240" w:lineRule="auto"/>
        <w:rPr>
          <w:rFonts w:ascii="Times New Roman" w:eastAsia="TimesNewRoman" w:hAnsi="Times New Roman"/>
          <w:b/>
          <w:bCs/>
          <w:lang w:val="el-GR"/>
        </w:rPr>
      </w:pPr>
    </w:p>
    <w:p w:rsidR="00C80A84" w:rsidRPr="00C80A84" w:rsidRDefault="00C80A84" w:rsidP="00C80A84">
      <w:pPr>
        <w:autoSpaceDE w:val="0"/>
        <w:autoSpaceDN w:val="0"/>
        <w:adjustRightInd w:val="0"/>
        <w:spacing w:after="0" w:line="240" w:lineRule="auto"/>
        <w:rPr>
          <w:rFonts w:ascii="Times New Roman" w:eastAsia="TimesNewRoman" w:hAnsi="Times New Roman"/>
          <w:b/>
          <w:bCs/>
          <w:lang w:val="el-GR"/>
        </w:rPr>
      </w:pPr>
    </w:p>
    <w:p w:rsidR="00C80A84" w:rsidRPr="00C80A84" w:rsidRDefault="00C80A84" w:rsidP="001631FD">
      <w:pPr>
        <w:numPr>
          <w:ilvl w:val="0"/>
          <w:numId w:val="10"/>
        </w:numPr>
        <w:autoSpaceDE w:val="0"/>
        <w:autoSpaceDN w:val="0"/>
        <w:adjustRightInd w:val="0"/>
        <w:spacing w:after="0" w:line="240" w:lineRule="auto"/>
        <w:ind w:left="540" w:hanging="540"/>
        <w:rPr>
          <w:rFonts w:ascii="Times New Roman" w:eastAsia="TimesNewRoman" w:hAnsi="Times New Roman"/>
          <w:b/>
          <w:bCs/>
          <w:lang w:val="el-GR"/>
        </w:rPr>
      </w:pPr>
      <w:r w:rsidRPr="00C80A84">
        <w:rPr>
          <w:rFonts w:ascii="Times New Roman" w:eastAsia="TimesNewRoman" w:hAnsi="Times New Roman"/>
          <w:b/>
          <w:bCs/>
          <w:lang w:val="el-GR"/>
        </w:rPr>
        <w:t>ΑΡΙΘΜΟΣ(ΟΙ) ΑΔΕΙΑΣ ΚΥΚΛΟΦΟΡΙΑΣ</w:t>
      </w:r>
    </w:p>
    <w:p w:rsidR="00C80A84" w:rsidRPr="00C80A84" w:rsidRDefault="00C80A84" w:rsidP="00C80A84">
      <w:pPr>
        <w:autoSpaceDE w:val="0"/>
        <w:autoSpaceDN w:val="0"/>
        <w:adjustRightInd w:val="0"/>
        <w:spacing w:after="0" w:line="240" w:lineRule="auto"/>
        <w:rPr>
          <w:rFonts w:ascii="Times New Roman" w:eastAsia="TimesNewRoman" w:hAnsi="Times New Roman"/>
          <w:b/>
          <w:bCs/>
          <w:lang w:val="el-GR"/>
        </w:rPr>
      </w:pPr>
    </w:p>
    <w:p w:rsidR="00C80A84" w:rsidRPr="00C80A84" w:rsidRDefault="00C80A84" w:rsidP="00C80A84">
      <w:pPr>
        <w:autoSpaceDE w:val="0"/>
        <w:autoSpaceDN w:val="0"/>
        <w:adjustRightInd w:val="0"/>
        <w:spacing w:after="0" w:line="240" w:lineRule="auto"/>
        <w:rPr>
          <w:rFonts w:ascii="Times New Roman" w:eastAsia="TimesNewRoman" w:hAnsi="Times New Roman"/>
          <w:b/>
          <w:bCs/>
          <w:lang w:val="el-GR"/>
        </w:rPr>
      </w:pPr>
    </w:p>
    <w:p w:rsidR="00C80A84" w:rsidRPr="00C80A84" w:rsidRDefault="00C80A84" w:rsidP="001631FD">
      <w:pPr>
        <w:numPr>
          <w:ilvl w:val="0"/>
          <w:numId w:val="10"/>
        </w:numPr>
        <w:autoSpaceDE w:val="0"/>
        <w:autoSpaceDN w:val="0"/>
        <w:adjustRightInd w:val="0"/>
        <w:spacing w:after="0" w:line="240" w:lineRule="auto"/>
        <w:ind w:left="540" w:hanging="540"/>
        <w:rPr>
          <w:rFonts w:ascii="Times New Roman" w:eastAsia="TimesNewRoman" w:hAnsi="Times New Roman"/>
          <w:b/>
          <w:bCs/>
          <w:lang w:val="el-GR"/>
        </w:rPr>
      </w:pPr>
      <w:r w:rsidRPr="00C80A84">
        <w:rPr>
          <w:rFonts w:ascii="Times New Roman" w:eastAsia="TimesNewRoman" w:hAnsi="Times New Roman"/>
          <w:b/>
          <w:bCs/>
          <w:lang w:val="el-GR"/>
        </w:rPr>
        <w:t>ΗΜΕΡΟΜΗΝΙΑ ΠΡΩΤΗΣ ΕΓΚΡΙΣΗΣ / ΑΝΑΝΕΩΣΗΣ ΤΗΣ ΑΔΕΙΑΣ</w:t>
      </w:r>
    </w:p>
    <w:p w:rsidR="00C80A84" w:rsidRPr="00C80A84" w:rsidRDefault="00C80A84" w:rsidP="00C80A84">
      <w:pPr>
        <w:autoSpaceDE w:val="0"/>
        <w:autoSpaceDN w:val="0"/>
        <w:adjustRightInd w:val="0"/>
        <w:spacing w:after="0" w:line="240" w:lineRule="auto"/>
        <w:rPr>
          <w:rFonts w:ascii="Times New Roman" w:eastAsia="TimesNewRoman" w:hAnsi="Times New Roman"/>
          <w:lang w:val="el-GR"/>
        </w:rPr>
      </w:pPr>
    </w:p>
    <w:p w:rsidR="00C80A84" w:rsidRPr="00C80A84" w:rsidRDefault="00C80A84" w:rsidP="00C80A84">
      <w:pPr>
        <w:autoSpaceDE w:val="0"/>
        <w:autoSpaceDN w:val="0"/>
        <w:adjustRightInd w:val="0"/>
        <w:spacing w:after="0" w:line="240" w:lineRule="auto"/>
        <w:rPr>
          <w:rFonts w:ascii="Times New Roman" w:eastAsia="TimesNewRoman" w:hAnsi="Times New Roman"/>
          <w:lang w:val="el-GR"/>
        </w:rPr>
      </w:pPr>
    </w:p>
    <w:p w:rsidR="00C80A84" w:rsidRPr="00C80A84" w:rsidRDefault="00C80A84" w:rsidP="001631FD">
      <w:pPr>
        <w:numPr>
          <w:ilvl w:val="0"/>
          <w:numId w:val="10"/>
        </w:numPr>
        <w:autoSpaceDE w:val="0"/>
        <w:autoSpaceDN w:val="0"/>
        <w:adjustRightInd w:val="0"/>
        <w:spacing w:after="0" w:line="240" w:lineRule="auto"/>
        <w:ind w:left="540" w:hanging="540"/>
        <w:rPr>
          <w:rFonts w:ascii="Times New Roman" w:eastAsia="TimesNewRoman" w:hAnsi="Times New Roman"/>
          <w:b/>
          <w:bCs/>
          <w:lang w:val="el-GR"/>
        </w:rPr>
      </w:pPr>
      <w:r w:rsidRPr="00C80A84">
        <w:rPr>
          <w:rFonts w:ascii="Times New Roman" w:eastAsia="TimesNewRoman" w:hAnsi="Times New Roman"/>
          <w:b/>
          <w:bCs/>
          <w:lang w:val="el-GR"/>
        </w:rPr>
        <w:t>ΗΜΕΡΟΜΗΝΙΑ ΑΝΑΘΕΩΡΗΣΗΣ ΤΟΥ ΚΕΙΜΕΝΟΥ</w:t>
      </w:r>
    </w:p>
    <w:p w:rsidR="00C80A84" w:rsidRPr="00C80A84" w:rsidRDefault="00C80A84" w:rsidP="00C80A84">
      <w:pPr>
        <w:autoSpaceDE w:val="0"/>
        <w:autoSpaceDN w:val="0"/>
        <w:adjustRightInd w:val="0"/>
        <w:spacing w:after="0" w:line="240" w:lineRule="auto"/>
        <w:rPr>
          <w:rFonts w:ascii="Times New Roman" w:eastAsia="TimesNewRoman" w:hAnsi="Times New Roman"/>
          <w:lang w:val="el-GR"/>
        </w:rPr>
      </w:pPr>
    </w:p>
    <w:p w:rsidR="00C80A84" w:rsidRPr="00C80A84" w:rsidRDefault="00C80A84" w:rsidP="00C80A84">
      <w:pPr>
        <w:autoSpaceDE w:val="0"/>
        <w:autoSpaceDN w:val="0"/>
        <w:adjustRightInd w:val="0"/>
        <w:spacing w:after="0" w:line="240" w:lineRule="auto"/>
        <w:rPr>
          <w:rFonts w:ascii="Times New Roman" w:hAnsi="Times New Roman"/>
          <w:b/>
          <w:bCs/>
          <w:color w:val="000000"/>
          <w:lang w:val="el-GR"/>
        </w:rPr>
      </w:pPr>
    </w:p>
    <w:p w:rsidR="00400918" w:rsidRDefault="00400918" w:rsidP="00C80A84">
      <w:pPr>
        <w:autoSpaceDE w:val="0"/>
        <w:autoSpaceDN w:val="0"/>
        <w:adjustRightInd w:val="0"/>
        <w:spacing w:after="0" w:line="240" w:lineRule="auto"/>
        <w:rPr>
          <w:rFonts w:ascii="Times New Roman" w:hAnsi="Times New Roman"/>
          <w:b/>
          <w:bCs/>
          <w:color w:val="000000"/>
        </w:rPr>
      </w:pPr>
    </w:p>
    <w:p w:rsidR="00FF5BE9" w:rsidRDefault="00FF5BE9" w:rsidP="00C80A84">
      <w:pPr>
        <w:autoSpaceDE w:val="0"/>
        <w:autoSpaceDN w:val="0"/>
        <w:adjustRightInd w:val="0"/>
        <w:spacing w:after="0" w:line="240" w:lineRule="auto"/>
        <w:rPr>
          <w:rFonts w:ascii="Times New Roman" w:hAnsi="Times New Roman"/>
          <w:b/>
          <w:bCs/>
          <w:color w:val="000000"/>
        </w:rPr>
      </w:pPr>
    </w:p>
    <w:p w:rsidR="00FF5BE9" w:rsidRDefault="00FF5BE9" w:rsidP="00C80A84">
      <w:pPr>
        <w:autoSpaceDE w:val="0"/>
        <w:autoSpaceDN w:val="0"/>
        <w:adjustRightInd w:val="0"/>
        <w:spacing w:after="0" w:line="240" w:lineRule="auto"/>
        <w:rPr>
          <w:rFonts w:ascii="Times New Roman" w:hAnsi="Times New Roman"/>
          <w:b/>
          <w:bCs/>
          <w:color w:val="000000"/>
        </w:rPr>
      </w:pPr>
    </w:p>
    <w:p w:rsidR="00FF5BE9" w:rsidRDefault="00FF5BE9" w:rsidP="00C80A84">
      <w:pPr>
        <w:autoSpaceDE w:val="0"/>
        <w:autoSpaceDN w:val="0"/>
        <w:adjustRightInd w:val="0"/>
        <w:spacing w:after="0" w:line="240" w:lineRule="auto"/>
        <w:rPr>
          <w:rFonts w:ascii="Times New Roman" w:hAnsi="Times New Roman"/>
          <w:b/>
          <w:bCs/>
          <w:color w:val="000000"/>
        </w:rPr>
      </w:pPr>
    </w:p>
    <w:p w:rsidR="00FF5BE9" w:rsidRDefault="00FF5BE9" w:rsidP="00C80A84">
      <w:pPr>
        <w:autoSpaceDE w:val="0"/>
        <w:autoSpaceDN w:val="0"/>
        <w:adjustRightInd w:val="0"/>
        <w:spacing w:after="0" w:line="240" w:lineRule="auto"/>
        <w:rPr>
          <w:rFonts w:ascii="Times New Roman" w:hAnsi="Times New Roman"/>
          <w:b/>
          <w:bCs/>
          <w:color w:val="000000"/>
        </w:rPr>
      </w:pPr>
    </w:p>
    <w:p w:rsidR="00FF5BE9" w:rsidRDefault="00FF5BE9" w:rsidP="00C80A84">
      <w:pPr>
        <w:autoSpaceDE w:val="0"/>
        <w:autoSpaceDN w:val="0"/>
        <w:adjustRightInd w:val="0"/>
        <w:spacing w:after="0" w:line="240" w:lineRule="auto"/>
        <w:rPr>
          <w:rFonts w:ascii="Times New Roman" w:hAnsi="Times New Roman"/>
          <w:b/>
          <w:bCs/>
          <w:color w:val="000000"/>
        </w:rPr>
      </w:pPr>
    </w:p>
    <w:p w:rsidR="00FF5BE9" w:rsidRDefault="00FF5BE9" w:rsidP="00C80A84">
      <w:pPr>
        <w:autoSpaceDE w:val="0"/>
        <w:autoSpaceDN w:val="0"/>
        <w:adjustRightInd w:val="0"/>
        <w:spacing w:after="0" w:line="240" w:lineRule="auto"/>
        <w:rPr>
          <w:rFonts w:ascii="Times New Roman" w:hAnsi="Times New Roman"/>
          <w:b/>
          <w:bCs/>
          <w:color w:val="000000"/>
        </w:rPr>
      </w:pPr>
    </w:p>
    <w:p w:rsidR="00FF5BE9" w:rsidRDefault="00FF5BE9" w:rsidP="00C80A84">
      <w:pPr>
        <w:autoSpaceDE w:val="0"/>
        <w:autoSpaceDN w:val="0"/>
        <w:adjustRightInd w:val="0"/>
        <w:spacing w:after="0" w:line="240" w:lineRule="auto"/>
        <w:rPr>
          <w:rFonts w:ascii="Times New Roman" w:hAnsi="Times New Roman"/>
          <w:b/>
          <w:bCs/>
          <w:color w:val="000000"/>
        </w:rPr>
      </w:pPr>
    </w:p>
    <w:p w:rsidR="00FF5BE9" w:rsidRDefault="00FF5BE9" w:rsidP="00C80A84">
      <w:pPr>
        <w:autoSpaceDE w:val="0"/>
        <w:autoSpaceDN w:val="0"/>
        <w:adjustRightInd w:val="0"/>
        <w:spacing w:after="0" w:line="240" w:lineRule="auto"/>
        <w:rPr>
          <w:rFonts w:ascii="Times New Roman" w:hAnsi="Times New Roman"/>
          <w:b/>
          <w:bCs/>
          <w:color w:val="000000"/>
        </w:rPr>
      </w:pPr>
    </w:p>
    <w:p w:rsidR="00FF5BE9" w:rsidRDefault="00FF5BE9" w:rsidP="00C80A84">
      <w:pPr>
        <w:autoSpaceDE w:val="0"/>
        <w:autoSpaceDN w:val="0"/>
        <w:adjustRightInd w:val="0"/>
        <w:spacing w:after="0" w:line="240" w:lineRule="auto"/>
        <w:rPr>
          <w:rFonts w:ascii="Times New Roman" w:hAnsi="Times New Roman"/>
          <w:b/>
          <w:bCs/>
          <w:color w:val="000000"/>
        </w:rPr>
      </w:pPr>
    </w:p>
    <w:p w:rsidR="00FF5BE9" w:rsidRDefault="00FF5BE9" w:rsidP="00C80A84">
      <w:pPr>
        <w:autoSpaceDE w:val="0"/>
        <w:autoSpaceDN w:val="0"/>
        <w:adjustRightInd w:val="0"/>
        <w:spacing w:after="0" w:line="240" w:lineRule="auto"/>
        <w:rPr>
          <w:rFonts w:ascii="Times New Roman" w:hAnsi="Times New Roman"/>
          <w:b/>
          <w:bCs/>
          <w:color w:val="000000"/>
        </w:rPr>
      </w:pPr>
    </w:p>
    <w:p w:rsidR="00FF5BE9" w:rsidRDefault="00FF5BE9" w:rsidP="00C80A84">
      <w:pPr>
        <w:autoSpaceDE w:val="0"/>
        <w:autoSpaceDN w:val="0"/>
        <w:adjustRightInd w:val="0"/>
        <w:spacing w:after="0" w:line="240" w:lineRule="auto"/>
        <w:rPr>
          <w:rFonts w:ascii="Times New Roman" w:hAnsi="Times New Roman"/>
          <w:b/>
          <w:bCs/>
          <w:color w:val="000000"/>
        </w:rPr>
      </w:pPr>
    </w:p>
    <w:p w:rsidR="00FF5BE9" w:rsidRDefault="00FF5BE9" w:rsidP="00C80A84">
      <w:pPr>
        <w:autoSpaceDE w:val="0"/>
        <w:autoSpaceDN w:val="0"/>
        <w:adjustRightInd w:val="0"/>
        <w:spacing w:after="0" w:line="240" w:lineRule="auto"/>
        <w:rPr>
          <w:rFonts w:ascii="Times New Roman" w:hAnsi="Times New Roman"/>
          <w:b/>
          <w:bCs/>
          <w:color w:val="000000"/>
        </w:rPr>
      </w:pPr>
    </w:p>
    <w:p w:rsidR="00FF5BE9" w:rsidRDefault="00FF5BE9" w:rsidP="00C80A84">
      <w:pPr>
        <w:autoSpaceDE w:val="0"/>
        <w:autoSpaceDN w:val="0"/>
        <w:adjustRightInd w:val="0"/>
        <w:spacing w:after="0" w:line="240" w:lineRule="auto"/>
        <w:rPr>
          <w:rFonts w:ascii="Times New Roman" w:hAnsi="Times New Roman"/>
          <w:b/>
          <w:bCs/>
          <w:color w:val="000000"/>
        </w:rPr>
      </w:pPr>
    </w:p>
    <w:p w:rsidR="00FF5BE9" w:rsidRDefault="00FF5BE9" w:rsidP="00C80A84">
      <w:pPr>
        <w:autoSpaceDE w:val="0"/>
        <w:autoSpaceDN w:val="0"/>
        <w:adjustRightInd w:val="0"/>
        <w:spacing w:after="0" w:line="240" w:lineRule="auto"/>
        <w:rPr>
          <w:rFonts w:ascii="Times New Roman" w:hAnsi="Times New Roman"/>
          <w:b/>
          <w:bCs/>
          <w:color w:val="000000"/>
        </w:rPr>
      </w:pPr>
    </w:p>
    <w:p w:rsidR="00FF5BE9" w:rsidRDefault="00FF5BE9" w:rsidP="00C80A84">
      <w:pPr>
        <w:autoSpaceDE w:val="0"/>
        <w:autoSpaceDN w:val="0"/>
        <w:adjustRightInd w:val="0"/>
        <w:spacing w:after="0" w:line="240" w:lineRule="auto"/>
        <w:rPr>
          <w:rFonts w:ascii="Times New Roman" w:hAnsi="Times New Roman"/>
          <w:b/>
          <w:bCs/>
          <w:color w:val="000000"/>
        </w:rPr>
      </w:pPr>
    </w:p>
    <w:p w:rsidR="00FF5BE9" w:rsidRDefault="00FF5BE9" w:rsidP="00C80A84">
      <w:pPr>
        <w:autoSpaceDE w:val="0"/>
        <w:autoSpaceDN w:val="0"/>
        <w:adjustRightInd w:val="0"/>
        <w:spacing w:after="0" w:line="240" w:lineRule="auto"/>
        <w:rPr>
          <w:rFonts w:ascii="Times New Roman" w:hAnsi="Times New Roman"/>
          <w:b/>
          <w:bCs/>
          <w:color w:val="000000"/>
        </w:rPr>
      </w:pPr>
    </w:p>
    <w:p w:rsidR="00FF5BE9" w:rsidRDefault="00FF5BE9" w:rsidP="00C80A84">
      <w:pPr>
        <w:autoSpaceDE w:val="0"/>
        <w:autoSpaceDN w:val="0"/>
        <w:adjustRightInd w:val="0"/>
        <w:spacing w:after="0" w:line="240" w:lineRule="auto"/>
        <w:rPr>
          <w:rFonts w:ascii="Times New Roman" w:hAnsi="Times New Roman"/>
          <w:b/>
          <w:bCs/>
          <w:color w:val="000000"/>
        </w:rPr>
      </w:pPr>
    </w:p>
    <w:p w:rsidR="00FF5BE9" w:rsidRDefault="00FF5BE9" w:rsidP="00C80A84">
      <w:pPr>
        <w:autoSpaceDE w:val="0"/>
        <w:autoSpaceDN w:val="0"/>
        <w:adjustRightInd w:val="0"/>
        <w:spacing w:after="0" w:line="240" w:lineRule="auto"/>
        <w:rPr>
          <w:rFonts w:ascii="Times New Roman" w:hAnsi="Times New Roman"/>
          <w:b/>
          <w:bCs/>
          <w:color w:val="000000"/>
        </w:rPr>
      </w:pPr>
    </w:p>
    <w:p w:rsidR="00FF5BE9" w:rsidRDefault="00FF5BE9" w:rsidP="00C80A84">
      <w:pPr>
        <w:autoSpaceDE w:val="0"/>
        <w:autoSpaceDN w:val="0"/>
        <w:adjustRightInd w:val="0"/>
        <w:spacing w:after="0" w:line="240" w:lineRule="auto"/>
        <w:rPr>
          <w:rFonts w:ascii="Times New Roman" w:hAnsi="Times New Roman"/>
          <w:b/>
          <w:bCs/>
          <w:color w:val="000000"/>
        </w:rPr>
      </w:pPr>
    </w:p>
    <w:p w:rsidR="00FF5BE9" w:rsidRDefault="00FF5BE9" w:rsidP="00C80A84">
      <w:pPr>
        <w:autoSpaceDE w:val="0"/>
        <w:autoSpaceDN w:val="0"/>
        <w:adjustRightInd w:val="0"/>
        <w:spacing w:after="0" w:line="240" w:lineRule="auto"/>
        <w:rPr>
          <w:rFonts w:ascii="Times New Roman" w:hAnsi="Times New Roman"/>
          <w:b/>
          <w:bCs/>
          <w:color w:val="000000"/>
        </w:rPr>
      </w:pPr>
    </w:p>
    <w:p w:rsidR="00FF5BE9" w:rsidRDefault="00FF5BE9" w:rsidP="00C80A84">
      <w:pPr>
        <w:autoSpaceDE w:val="0"/>
        <w:autoSpaceDN w:val="0"/>
        <w:adjustRightInd w:val="0"/>
        <w:spacing w:after="0" w:line="240" w:lineRule="auto"/>
        <w:rPr>
          <w:rFonts w:ascii="Times New Roman" w:hAnsi="Times New Roman"/>
          <w:b/>
          <w:bCs/>
          <w:color w:val="000000"/>
        </w:rPr>
      </w:pPr>
    </w:p>
    <w:p w:rsidR="00FF5BE9" w:rsidRDefault="00FF5BE9" w:rsidP="00C80A84">
      <w:pPr>
        <w:autoSpaceDE w:val="0"/>
        <w:autoSpaceDN w:val="0"/>
        <w:adjustRightInd w:val="0"/>
        <w:spacing w:after="0" w:line="240" w:lineRule="auto"/>
        <w:rPr>
          <w:rFonts w:ascii="Times New Roman" w:hAnsi="Times New Roman"/>
          <w:b/>
          <w:bCs/>
          <w:color w:val="000000"/>
        </w:rPr>
      </w:pPr>
    </w:p>
    <w:p w:rsidR="00FF5BE9" w:rsidRDefault="00FF5BE9" w:rsidP="00C80A84">
      <w:pPr>
        <w:autoSpaceDE w:val="0"/>
        <w:autoSpaceDN w:val="0"/>
        <w:adjustRightInd w:val="0"/>
        <w:spacing w:after="0" w:line="240" w:lineRule="auto"/>
        <w:rPr>
          <w:rFonts w:ascii="Times New Roman" w:hAnsi="Times New Roman"/>
          <w:b/>
          <w:bCs/>
          <w:color w:val="000000"/>
        </w:rPr>
      </w:pPr>
    </w:p>
    <w:p w:rsidR="00FF5BE9" w:rsidRDefault="00FF5BE9" w:rsidP="00C80A84">
      <w:pPr>
        <w:autoSpaceDE w:val="0"/>
        <w:autoSpaceDN w:val="0"/>
        <w:adjustRightInd w:val="0"/>
        <w:spacing w:after="0" w:line="240" w:lineRule="auto"/>
        <w:rPr>
          <w:rFonts w:ascii="Times New Roman" w:hAnsi="Times New Roman"/>
          <w:b/>
          <w:bCs/>
          <w:color w:val="000000"/>
        </w:rPr>
      </w:pPr>
    </w:p>
    <w:p w:rsidR="00FF5BE9" w:rsidRDefault="00FF5BE9" w:rsidP="00C80A84">
      <w:pPr>
        <w:autoSpaceDE w:val="0"/>
        <w:autoSpaceDN w:val="0"/>
        <w:adjustRightInd w:val="0"/>
        <w:spacing w:after="0" w:line="240" w:lineRule="auto"/>
        <w:rPr>
          <w:rFonts w:ascii="Times New Roman" w:hAnsi="Times New Roman"/>
          <w:b/>
          <w:bCs/>
          <w:color w:val="000000"/>
        </w:rPr>
      </w:pPr>
    </w:p>
    <w:p w:rsidR="00FF5BE9" w:rsidRDefault="00FF5BE9" w:rsidP="00C80A84">
      <w:pPr>
        <w:autoSpaceDE w:val="0"/>
        <w:autoSpaceDN w:val="0"/>
        <w:adjustRightInd w:val="0"/>
        <w:spacing w:after="0" w:line="240" w:lineRule="auto"/>
        <w:rPr>
          <w:rFonts w:ascii="Times New Roman" w:hAnsi="Times New Roman"/>
          <w:b/>
          <w:bCs/>
          <w:color w:val="000000"/>
        </w:rPr>
      </w:pPr>
    </w:p>
    <w:p w:rsidR="00FF5BE9" w:rsidRDefault="00FF5BE9" w:rsidP="00C80A84">
      <w:pPr>
        <w:autoSpaceDE w:val="0"/>
        <w:autoSpaceDN w:val="0"/>
        <w:adjustRightInd w:val="0"/>
        <w:spacing w:after="0" w:line="240" w:lineRule="auto"/>
        <w:rPr>
          <w:rFonts w:ascii="Times New Roman" w:hAnsi="Times New Roman"/>
          <w:b/>
          <w:bCs/>
          <w:color w:val="000000"/>
        </w:rPr>
      </w:pPr>
    </w:p>
    <w:p w:rsidR="00FF5BE9" w:rsidRDefault="00FF5BE9" w:rsidP="00C80A84">
      <w:pPr>
        <w:autoSpaceDE w:val="0"/>
        <w:autoSpaceDN w:val="0"/>
        <w:adjustRightInd w:val="0"/>
        <w:spacing w:after="0" w:line="240" w:lineRule="auto"/>
        <w:rPr>
          <w:rFonts w:ascii="Times New Roman" w:hAnsi="Times New Roman"/>
          <w:b/>
          <w:bCs/>
          <w:color w:val="000000"/>
        </w:rPr>
      </w:pPr>
    </w:p>
    <w:p w:rsidR="00FF5BE9" w:rsidRDefault="00FF5BE9" w:rsidP="00C80A84">
      <w:pPr>
        <w:autoSpaceDE w:val="0"/>
        <w:autoSpaceDN w:val="0"/>
        <w:adjustRightInd w:val="0"/>
        <w:spacing w:after="0" w:line="240" w:lineRule="auto"/>
        <w:rPr>
          <w:rFonts w:ascii="Times New Roman" w:hAnsi="Times New Roman"/>
          <w:b/>
          <w:bCs/>
          <w:color w:val="000000"/>
        </w:rPr>
      </w:pPr>
    </w:p>
    <w:p w:rsidR="00FF5BE9" w:rsidRDefault="00FF5BE9" w:rsidP="00C80A84">
      <w:pPr>
        <w:autoSpaceDE w:val="0"/>
        <w:autoSpaceDN w:val="0"/>
        <w:adjustRightInd w:val="0"/>
        <w:spacing w:after="0" w:line="240" w:lineRule="auto"/>
        <w:rPr>
          <w:rFonts w:ascii="Times New Roman" w:hAnsi="Times New Roman"/>
          <w:b/>
          <w:bCs/>
          <w:color w:val="000000"/>
        </w:rPr>
      </w:pPr>
    </w:p>
    <w:p w:rsidR="00FF5BE9" w:rsidRDefault="00FF5BE9" w:rsidP="00C80A84">
      <w:pPr>
        <w:autoSpaceDE w:val="0"/>
        <w:autoSpaceDN w:val="0"/>
        <w:adjustRightInd w:val="0"/>
        <w:spacing w:after="0" w:line="240" w:lineRule="auto"/>
        <w:rPr>
          <w:rFonts w:ascii="Times New Roman" w:hAnsi="Times New Roman"/>
          <w:b/>
          <w:bCs/>
          <w:color w:val="000000"/>
        </w:rPr>
      </w:pPr>
    </w:p>
    <w:p w:rsidR="00FF5BE9" w:rsidRDefault="00FF5BE9" w:rsidP="00C80A84">
      <w:pPr>
        <w:autoSpaceDE w:val="0"/>
        <w:autoSpaceDN w:val="0"/>
        <w:adjustRightInd w:val="0"/>
        <w:spacing w:after="0" w:line="240" w:lineRule="auto"/>
        <w:rPr>
          <w:rFonts w:ascii="Times New Roman" w:hAnsi="Times New Roman"/>
          <w:b/>
          <w:bCs/>
          <w:color w:val="000000"/>
        </w:rPr>
      </w:pPr>
    </w:p>
    <w:p w:rsidR="00FF5BE9" w:rsidRDefault="00FF5BE9" w:rsidP="00C80A84">
      <w:pPr>
        <w:autoSpaceDE w:val="0"/>
        <w:autoSpaceDN w:val="0"/>
        <w:adjustRightInd w:val="0"/>
        <w:spacing w:after="0" w:line="240" w:lineRule="auto"/>
        <w:rPr>
          <w:rFonts w:ascii="Times New Roman" w:hAnsi="Times New Roman"/>
          <w:b/>
          <w:bCs/>
          <w:color w:val="000000"/>
        </w:rPr>
      </w:pPr>
    </w:p>
    <w:p w:rsidR="00FF5BE9" w:rsidRDefault="00FF5BE9" w:rsidP="00C80A84">
      <w:pPr>
        <w:autoSpaceDE w:val="0"/>
        <w:autoSpaceDN w:val="0"/>
        <w:adjustRightInd w:val="0"/>
        <w:spacing w:after="0" w:line="240" w:lineRule="auto"/>
        <w:rPr>
          <w:rFonts w:ascii="Times New Roman" w:hAnsi="Times New Roman"/>
          <w:b/>
          <w:bCs/>
          <w:color w:val="000000"/>
        </w:rPr>
      </w:pPr>
    </w:p>
    <w:p w:rsidR="00FF5BE9" w:rsidRDefault="00FF5BE9" w:rsidP="00C80A84">
      <w:pPr>
        <w:autoSpaceDE w:val="0"/>
        <w:autoSpaceDN w:val="0"/>
        <w:adjustRightInd w:val="0"/>
        <w:spacing w:after="0" w:line="240" w:lineRule="auto"/>
        <w:rPr>
          <w:rFonts w:ascii="Times New Roman" w:hAnsi="Times New Roman"/>
          <w:b/>
          <w:bCs/>
          <w:color w:val="000000"/>
        </w:rPr>
      </w:pPr>
    </w:p>
    <w:p w:rsidR="00FF5BE9" w:rsidRDefault="00FF5BE9" w:rsidP="00C80A84">
      <w:pPr>
        <w:autoSpaceDE w:val="0"/>
        <w:autoSpaceDN w:val="0"/>
        <w:adjustRightInd w:val="0"/>
        <w:spacing w:after="0" w:line="240" w:lineRule="auto"/>
        <w:rPr>
          <w:rFonts w:ascii="Times New Roman" w:hAnsi="Times New Roman"/>
          <w:b/>
          <w:bCs/>
          <w:color w:val="000000"/>
        </w:rPr>
      </w:pPr>
    </w:p>
    <w:p w:rsidR="00FF5BE9" w:rsidRDefault="00FF5BE9" w:rsidP="00C80A84">
      <w:pPr>
        <w:autoSpaceDE w:val="0"/>
        <w:autoSpaceDN w:val="0"/>
        <w:adjustRightInd w:val="0"/>
        <w:spacing w:after="0" w:line="240" w:lineRule="auto"/>
        <w:rPr>
          <w:rFonts w:ascii="Times New Roman" w:hAnsi="Times New Roman"/>
          <w:b/>
          <w:bCs/>
          <w:color w:val="000000"/>
        </w:rPr>
      </w:pPr>
    </w:p>
    <w:p w:rsidR="00FF5BE9" w:rsidRPr="00755EC9" w:rsidRDefault="00FF5BE9" w:rsidP="00FF5BE9">
      <w:pPr>
        <w:spacing w:after="0" w:line="240" w:lineRule="auto"/>
        <w:rPr>
          <w:rFonts w:ascii="Times New Roman" w:hAnsi="Times New Roman"/>
          <w:noProof/>
        </w:rPr>
      </w:pPr>
    </w:p>
    <w:sectPr w:rsidR="00FF5BE9" w:rsidRPr="00755EC9" w:rsidSect="00D45F8C">
      <w:footerReference w:type="even" r:id="rId7"/>
      <w:pgSz w:w="11907" w:h="16840" w:code="9"/>
      <w:pgMar w:top="1134" w:right="1418" w:bottom="1134" w:left="1418" w:header="102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972" w:rsidRDefault="00F06972">
      <w:pPr>
        <w:spacing w:after="0" w:line="240" w:lineRule="auto"/>
      </w:pPr>
      <w:r>
        <w:separator/>
      </w:r>
    </w:p>
  </w:endnote>
  <w:endnote w:type="continuationSeparator" w:id="0">
    <w:p w:rsidR="00F06972" w:rsidRDefault="00F069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6E1" w:rsidRDefault="00A66021" w:rsidP="00BF5CC5">
    <w:pPr>
      <w:pStyle w:val="a6"/>
      <w:framePr w:wrap="around" w:vAnchor="text" w:hAnchor="margin" w:xAlign="right" w:y="1"/>
      <w:rPr>
        <w:rStyle w:val="a7"/>
      </w:rPr>
    </w:pPr>
    <w:r>
      <w:rPr>
        <w:rStyle w:val="a7"/>
      </w:rPr>
      <w:fldChar w:fldCharType="begin"/>
    </w:r>
    <w:r w:rsidR="001F26E1">
      <w:rPr>
        <w:rStyle w:val="a7"/>
      </w:rPr>
      <w:instrText xml:space="preserve">PAGE  </w:instrText>
    </w:r>
    <w:r>
      <w:rPr>
        <w:rStyle w:val="a7"/>
      </w:rPr>
      <w:fldChar w:fldCharType="end"/>
    </w:r>
  </w:p>
  <w:p w:rsidR="001F26E1" w:rsidRDefault="001F26E1" w:rsidP="00BF5CC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972" w:rsidRDefault="00F06972">
      <w:pPr>
        <w:spacing w:after="0" w:line="240" w:lineRule="auto"/>
      </w:pPr>
      <w:r>
        <w:separator/>
      </w:r>
    </w:p>
  </w:footnote>
  <w:footnote w:type="continuationSeparator" w:id="0">
    <w:p w:rsidR="00F06972" w:rsidRDefault="00F069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52B4"/>
    <w:multiLevelType w:val="multilevel"/>
    <w:tmpl w:val="0212C79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7914E1A"/>
    <w:multiLevelType w:val="multilevel"/>
    <w:tmpl w:val="D98A4466"/>
    <w:lvl w:ilvl="0">
      <w:start w:val="1"/>
      <w:numFmt w:val="decimal"/>
      <w:lvlText w:val="%1."/>
      <w:lvlJc w:val="left"/>
      <w:pPr>
        <w:tabs>
          <w:tab w:val="num" w:pos="1004"/>
        </w:tabs>
        <w:ind w:left="1004" w:hanging="720"/>
      </w:pPr>
      <w:rPr>
        <w:rFonts w:hint="default"/>
      </w:rPr>
    </w:lvl>
    <w:lvl w:ilvl="1">
      <w:start w:val="2"/>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1980"/>
        </w:tabs>
        <w:ind w:left="1980" w:hanging="1440"/>
      </w:pPr>
      <w:rPr>
        <w:rFonts w:hint="default"/>
      </w:rPr>
    </w:lvl>
  </w:abstractNum>
  <w:abstractNum w:abstractNumId="2">
    <w:nsid w:val="2C3414B4"/>
    <w:multiLevelType w:val="multilevel"/>
    <w:tmpl w:val="FF9CA5C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
    <w:nsid w:val="42C00E50"/>
    <w:multiLevelType w:val="multilevel"/>
    <w:tmpl w:val="8BE20602"/>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1724"/>
        </w:tabs>
        <w:ind w:left="1724" w:hanging="1440"/>
      </w:pPr>
      <w:rPr>
        <w:rFonts w:hint="default"/>
      </w:rPr>
    </w:lvl>
  </w:abstractNum>
  <w:abstractNum w:abstractNumId="4">
    <w:nsid w:val="4C7323BE"/>
    <w:multiLevelType w:val="multilevel"/>
    <w:tmpl w:val="D300399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50C30E93"/>
    <w:multiLevelType w:val="multilevel"/>
    <w:tmpl w:val="9C8074D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55B373FF"/>
    <w:multiLevelType w:val="multilevel"/>
    <w:tmpl w:val="954298B6"/>
    <w:lvl w:ilvl="0">
      <w:start w:val="6"/>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66EE733B"/>
    <w:multiLevelType w:val="multilevel"/>
    <w:tmpl w:val="DB22422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8">
    <w:nsid w:val="6D035D0A"/>
    <w:multiLevelType w:val="multilevel"/>
    <w:tmpl w:val="05DC45E8"/>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6D7E37AB"/>
    <w:multiLevelType w:val="hybridMultilevel"/>
    <w:tmpl w:val="273213F2"/>
    <w:lvl w:ilvl="0" w:tplc="812A92D2">
      <w:start w:val="3"/>
      <w:numFmt w:val="bullet"/>
      <w:lvlText w:val="-"/>
      <w:lvlJc w:val="left"/>
      <w:pPr>
        <w:tabs>
          <w:tab w:val="num" w:pos="720"/>
        </w:tabs>
        <w:ind w:left="720" w:hanging="360"/>
      </w:pPr>
      <w:rPr>
        <w:rFonts w:ascii="Times New Roman" w:eastAsia="Calibri"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0"/>
  </w:num>
  <w:num w:numId="4">
    <w:abstractNumId w:val="1"/>
  </w:num>
  <w:num w:numId="5">
    <w:abstractNumId w:val="5"/>
  </w:num>
  <w:num w:numId="6">
    <w:abstractNumId w:val="4"/>
  </w:num>
  <w:num w:numId="7">
    <w:abstractNumId w:val="9"/>
  </w:num>
  <w:num w:numId="8">
    <w:abstractNumId w:val="3"/>
  </w:num>
  <w:num w:numId="9">
    <w:abstractNumId w:val="7"/>
  </w:num>
  <w:num w:numId="10">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footnotePr>
    <w:footnote w:id="-1"/>
    <w:footnote w:id="0"/>
  </w:footnotePr>
  <w:endnotePr>
    <w:endnote w:id="-1"/>
    <w:endnote w:id="0"/>
  </w:endnotePr>
  <w:compat/>
  <w:rsids>
    <w:rsidRoot w:val="00D9787A"/>
    <w:rsid w:val="00001FA6"/>
    <w:rsid w:val="00004387"/>
    <w:rsid w:val="00005978"/>
    <w:rsid w:val="000101E5"/>
    <w:rsid w:val="00010A03"/>
    <w:rsid w:val="00010DCB"/>
    <w:rsid w:val="000116B6"/>
    <w:rsid w:val="000133DA"/>
    <w:rsid w:val="0001426B"/>
    <w:rsid w:val="00015E33"/>
    <w:rsid w:val="00016065"/>
    <w:rsid w:val="00016ECC"/>
    <w:rsid w:val="00017F69"/>
    <w:rsid w:val="00023775"/>
    <w:rsid w:val="00027A43"/>
    <w:rsid w:val="00027C09"/>
    <w:rsid w:val="00031F2B"/>
    <w:rsid w:val="00035922"/>
    <w:rsid w:val="00042250"/>
    <w:rsid w:val="00043793"/>
    <w:rsid w:val="00047085"/>
    <w:rsid w:val="00047ED5"/>
    <w:rsid w:val="000504AF"/>
    <w:rsid w:val="000550F2"/>
    <w:rsid w:val="00060790"/>
    <w:rsid w:val="00062AE6"/>
    <w:rsid w:val="0006399B"/>
    <w:rsid w:val="000654DA"/>
    <w:rsid w:val="00065E75"/>
    <w:rsid w:val="000663E7"/>
    <w:rsid w:val="00067AEC"/>
    <w:rsid w:val="00070761"/>
    <w:rsid w:val="000734B8"/>
    <w:rsid w:val="000749BB"/>
    <w:rsid w:val="00074A1B"/>
    <w:rsid w:val="0008015F"/>
    <w:rsid w:val="00083B89"/>
    <w:rsid w:val="00086505"/>
    <w:rsid w:val="00086BE6"/>
    <w:rsid w:val="00087748"/>
    <w:rsid w:val="000955D7"/>
    <w:rsid w:val="000A3CAB"/>
    <w:rsid w:val="000A4584"/>
    <w:rsid w:val="000A468A"/>
    <w:rsid w:val="000A4697"/>
    <w:rsid w:val="000A58F2"/>
    <w:rsid w:val="000A77B9"/>
    <w:rsid w:val="000B222C"/>
    <w:rsid w:val="000B28E4"/>
    <w:rsid w:val="000B4851"/>
    <w:rsid w:val="000C10F3"/>
    <w:rsid w:val="000C264F"/>
    <w:rsid w:val="000C29F7"/>
    <w:rsid w:val="000C320C"/>
    <w:rsid w:val="000C4C1E"/>
    <w:rsid w:val="000D13C9"/>
    <w:rsid w:val="000D37E6"/>
    <w:rsid w:val="000D5329"/>
    <w:rsid w:val="000D5BDC"/>
    <w:rsid w:val="000D5D04"/>
    <w:rsid w:val="000D75AB"/>
    <w:rsid w:val="000E46F6"/>
    <w:rsid w:val="000F04ED"/>
    <w:rsid w:val="00100818"/>
    <w:rsid w:val="00100DD6"/>
    <w:rsid w:val="001039E3"/>
    <w:rsid w:val="0010534A"/>
    <w:rsid w:val="00105CD4"/>
    <w:rsid w:val="001105C7"/>
    <w:rsid w:val="001120C2"/>
    <w:rsid w:val="00112120"/>
    <w:rsid w:val="001145C9"/>
    <w:rsid w:val="00115AD8"/>
    <w:rsid w:val="00120CFD"/>
    <w:rsid w:val="00122BFC"/>
    <w:rsid w:val="0012330C"/>
    <w:rsid w:val="001246FD"/>
    <w:rsid w:val="0012474A"/>
    <w:rsid w:val="0012499D"/>
    <w:rsid w:val="00124EC9"/>
    <w:rsid w:val="00126D92"/>
    <w:rsid w:val="001273D6"/>
    <w:rsid w:val="00127FC0"/>
    <w:rsid w:val="0013528D"/>
    <w:rsid w:val="00144D25"/>
    <w:rsid w:val="00146556"/>
    <w:rsid w:val="00154280"/>
    <w:rsid w:val="001545C0"/>
    <w:rsid w:val="00156456"/>
    <w:rsid w:val="001565AD"/>
    <w:rsid w:val="001579E5"/>
    <w:rsid w:val="00157D40"/>
    <w:rsid w:val="00162B70"/>
    <w:rsid w:val="00163025"/>
    <w:rsid w:val="001631FD"/>
    <w:rsid w:val="001641C8"/>
    <w:rsid w:val="0016683C"/>
    <w:rsid w:val="00174A66"/>
    <w:rsid w:val="0017668B"/>
    <w:rsid w:val="001769CB"/>
    <w:rsid w:val="00177DC2"/>
    <w:rsid w:val="001817D9"/>
    <w:rsid w:val="00181832"/>
    <w:rsid w:val="00182CE2"/>
    <w:rsid w:val="001873A1"/>
    <w:rsid w:val="001912C2"/>
    <w:rsid w:val="00193228"/>
    <w:rsid w:val="001952EE"/>
    <w:rsid w:val="00197326"/>
    <w:rsid w:val="001A0BFB"/>
    <w:rsid w:val="001A2838"/>
    <w:rsid w:val="001A5566"/>
    <w:rsid w:val="001A5ADE"/>
    <w:rsid w:val="001A7122"/>
    <w:rsid w:val="001B0EFE"/>
    <w:rsid w:val="001B10AA"/>
    <w:rsid w:val="001B4503"/>
    <w:rsid w:val="001B484A"/>
    <w:rsid w:val="001B5265"/>
    <w:rsid w:val="001C31E6"/>
    <w:rsid w:val="001C6FD7"/>
    <w:rsid w:val="001D34CE"/>
    <w:rsid w:val="001D3ACD"/>
    <w:rsid w:val="001D4F92"/>
    <w:rsid w:val="001E4222"/>
    <w:rsid w:val="001E510B"/>
    <w:rsid w:val="001F26E1"/>
    <w:rsid w:val="001F3745"/>
    <w:rsid w:val="001F571A"/>
    <w:rsid w:val="0020081C"/>
    <w:rsid w:val="00201847"/>
    <w:rsid w:val="00204506"/>
    <w:rsid w:val="0021065E"/>
    <w:rsid w:val="00212D23"/>
    <w:rsid w:val="00217930"/>
    <w:rsid w:val="00217AA3"/>
    <w:rsid w:val="00220DC4"/>
    <w:rsid w:val="00222885"/>
    <w:rsid w:val="00223C0E"/>
    <w:rsid w:val="002242B0"/>
    <w:rsid w:val="0022521D"/>
    <w:rsid w:val="00225E86"/>
    <w:rsid w:val="0023398B"/>
    <w:rsid w:val="00234D5B"/>
    <w:rsid w:val="002427E7"/>
    <w:rsid w:val="0024582F"/>
    <w:rsid w:val="00245A04"/>
    <w:rsid w:val="00246276"/>
    <w:rsid w:val="00254397"/>
    <w:rsid w:val="00255E7F"/>
    <w:rsid w:val="00256375"/>
    <w:rsid w:val="0026416D"/>
    <w:rsid w:val="00270C0D"/>
    <w:rsid w:val="00271387"/>
    <w:rsid w:val="0027178A"/>
    <w:rsid w:val="00272E0B"/>
    <w:rsid w:val="0027567C"/>
    <w:rsid w:val="002813A3"/>
    <w:rsid w:val="00283497"/>
    <w:rsid w:val="00283CAF"/>
    <w:rsid w:val="0028651A"/>
    <w:rsid w:val="00292041"/>
    <w:rsid w:val="002976A0"/>
    <w:rsid w:val="002A0161"/>
    <w:rsid w:val="002A11C9"/>
    <w:rsid w:val="002A2BE9"/>
    <w:rsid w:val="002A3A83"/>
    <w:rsid w:val="002A5711"/>
    <w:rsid w:val="002A5B6D"/>
    <w:rsid w:val="002A7EFA"/>
    <w:rsid w:val="002B4B20"/>
    <w:rsid w:val="002B77FD"/>
    <w:rsid w:val="002C1D62"/>
    <w:rsid w:val="002C2914"/>
    <w:rsid w:val="002C3EFB"/>
    <w:rsid w:val="002C52AB"/>
    <w:rsid w:val="002D23A7"/>
    <w:rsid w:val="002D33C0"/>
    <w:rsid w:val="002D7EB3"/>
    <w:rsid w:val="002E0FB7"/>
    <w:rsid w:val="002E1F12"/>
    <w:rsid w:val="002E2B62"/>
    <w:rsid w:val="002E62D8"/>
    <w:rsid w:val="002E7328"/>
    <w:rsid w:val="002E7AE0"/>
    <w:rsid w:val="002F1A7F"/>
    <w:rsid w:val="002F2461"/>
    <w:rsid w:val="002F2886"/>
    <w:rsid w:val="002F2EAD"/>
    <w:rsid w:val="002F3E1F"/>
    <w:rsid w:val="003035AE"/>
    <w:rsid w:val="00305690"/>
    <w:rsid w:val="00315792"/>
    <w:rsid w:val="00320485"/>
    <w:rsid w:val="00321F6A"/>
    <w:rsid w:val="0032222B"/>
    <w:rsid w:val="003323CD"/>
    <w:rsid w:val="0033355F"/>
    <w:rsid w:val="003358E5"/>
    <w:rsid w:val="00335A63"/>
    <w:rsid w:val="00347AC9"/>
    <w:rsid w:val="00350BD2"/>
    <w:rsid w:val="00350F36"/>
    <w:rsid w:val="00355FA6"/>
    <w:rsid w:val="00357DDF"/>
    <w:rsid w:val="00360F61"/>
    <w:rsid w:val="00361403"/>
    <w:rsid w:val="003711A1"/>
    <w:rsid w:val="00372CBA"/>
    <w:rsid w:val="003758CD"/>
    <w:rsid w:val="00375CB1"/>
    <w:rsid w:val="0038199B"/>
    <w:rsid w:val="003824D2"/>
    <w:rsid w:val="00383396"/>
    <w:rsid w:val="00383830"/>
    <w:rsid w:val="00386E74"/>
    <w:rsid w:val="00386F16"/>
    <w:rsid w:val="00391559"/>
    <w:rsid w:val="00395614"/>
    <w:rsid w:val="003A1112"/>
    <w:rsid w:val="003A454C"/>
    <w:rsid w:val="003A4EC8"/>
    <w:rsid w:val="003B2B36"/>
    <w:rsid w:val="003B437C"/>
    <w:rsid w:val="003C079F"/>
    <w:rsid w:val="003C6E05"/>
    <w:rsid w:val="003D2883"/>
    <w:rsid w:val="003D5269"/>
    <w:rsid w:val="003E048D"/>
    <w:rsid w:val="003E0C09"/>
    <w:rsid w:val="003E21A5"/>
    <w:rsid w:val="003E3887"/>
    <w:rsid w:val="003E3ECF"/>
    <w:rsid w:val="003F26E0"/>
    <w:rsid w:val="003F411F"/>
    <w:rsid w:val="003F5C83"/>
    <w:rsid w:val="003F61DF"/>
    <w:rsid w:val="003F6F53"/>
    <w:rsid w:val="004005B5"/>
    <w:rsid w:val="00400918"/>
    <w:rsid w:val="0040372F"/>
    <w:rsid w:val="0041200D"/>
    <w:rsid w:val="0041356C"/>
    <w:rsid w:val="00416982"/>
    <w:rsid w:val="00417690"/>
    <w:rsid w:val="004200E8"/>
    <w:rsid w:val="0042166A"/>
    <w:rsid w:val="004222D9"/>
    <w:rsid w:val="004260F3"/>
    <w:rsid w:val="00430080"/>
    <w:rsid w:val="004329E0"/>
    <w:rsid w:val="004351FD"/>
    <w:rsid w:val="0043640A"/>
    <w:rsid w:val="00436F3F"/>
    <w:rsid w:val="004412ED"/>
    <w:rsid w:val="004433EC"/>
    <w:rsid w:val="0044397B"/>
    <w:rsid w:val="00445166"/>
    <w:rsid w:val="0045232A"/>
    <w:rsid w:val="00453E7C"/>
    <w:rsid w:val="00456116"/>
    <w:rsid w:val="00457B31"/>
    <w:rsid w:val="00460C0F"/>
    <w:rsid w:val="00462347"/>
    <w:rsid w:val="0046541C"/>
    <w:rsid w:val="00466BE1"/>
    <w:rsid w:val="00467384"/>
    <w:rsid w:val="00467EE6"/>
    <w:rsid w:val="004715EC"/>
    <w:rsid w:val="00473985"/>
    <w:rsid w:val="004823A5"/>
    <w:rsid w:val="0048325F"/>
    <w:rsid w:val="00484BBC"/>
    <w:rsid w:val="004856CC"/>
    <w:rsid w:val="004868B8"/>
    <w:rsid w:val="00492ED5"/>
    <w:rsid w:val="00494793"/>
    <w:rsid w:val="00494BCB"/>
    <w:rsid w:val="004A0E0D"/>
    <w:rsid w:val="004A11C2"/>
    <w:rsid w:val="004A1E62"/>
    <w:rsid w:val="004A406D"/>
    <w:rsid w:val="004A4383"/>
    <w:rsid w:val="004A4C70"/>
    <w:rsid w:val="004A6D56"/>
    <w:rsid w:val="004B3A94"/>
    <w:rsid w:val="004C01F2"/>
    <w:rsid w:val="004C3BC0"/>
    <w:rsid w:val="004C4B1E"/>
    <w:rsid w:val="004C6E00"/>
    <w:rsid w:val="004C773C"/>
    <w:rsid w:val="004D1AB8"/>
    <w:rsid w:val="004D22A3"/>
    <w:rsid w:val="004D3EFA"/>
    <w:rsid w:val="004E4785"/>
    <w:rsid w:val="004E4C29"/>
    <w:rsid w:val="004E5868"/>
    <w:rsid w:val="004E58CF"/>
    <w:rsid w:val="004E5B45"/>
    <w:rsid w:val="004E5D45"/>
    <w:rsid w:val="004E7A94"/>
    <w:rsid w:val="004E7E07"/>
    <w:rsid w:val="004F1428"/>
    <w:rsid w:val="004F4358"/>
    <w:rsid w:val="004F64BD"/>
    <w:rsid w:val="004F689F"/>
    <w:rsid w:val="004F7973"/>
    <w:rsid w:val="00505EE1"/>
    <w:rsid w:val="00506C43"/>
    <w:rsid w:val="00507BE7"/>
    <w:rsid w:val="00511409"/>
    <w:rsid w:val="005146D5"/>
    <w:rsid w:val="0051638D"/>
    <w:rsid w:val="00517FA9"/>
    <w:rsid w:val="00521FFF"/>
    <w:rsid w:val="00523CBD"/>
    <w:rsid w:val="005255CB"/>
    <w:rsid w:val="00525B76"/>
    <w:rsid w:val="005270C0"/>
    <w:rsid w:val="00532B32"/>
    <w:rsid w:val="00543F6F"/>
    <w:rsid w:val="00547BFD"/>
    <w:rsid w:val="00547F92"/>
    <w:rsid w:val="005551B7"/>
    <w:rsid w:val="00555C10"/>
    <w:rsid w:val="00560A37"/>
    <w:rsid w:val="00563127"/>
    <w:rsid w:val="00563C83"/>
    <w:rsid w:val="00574EF0"/>
    <w:rsid w:val="00575310"/>
    <w:rsid w:val="005773B7"/>
    <w:rsid w:val="0058191B"/>
    <w:rsid w:val="00582147"/>
    <w:rsid w:val="00584AE4"/>
    <w:rsid w:val="005854FE"/>
    <w:rsid w:val="00587FC8"/>
    <w:rsid w:val="00592F2D"/>
    <w:rsid w:val="00593EBB"/>
    <w:rsid w:val="00595305"/>
    <w:rsid w:val="0059574B"/>
    <w:rsid w:val="005A0C10"/>
    <w:rsid w:val="005A788A"/>
    <w:rsid w:val="005B599C"/>
    <w:rsid w:val="005B7446"/>
    <w:rsid w:val="005C47CD"/>
    <w:rsid w:val="005C546D"/>
    <w:rsid w:val="005C759D"/>
    <w:rsid w:val="005C7C2B"/>
    <w:rsid w:val="005D32A4"/>
    <w:rsid w:val="005D5D4A"/>
    <w:rsid w:val="005D7808"/>
    <w:rsid w:val="005E0788"/>
    <w:rsid w:val="005E1A35"/>
    <w:rsid w:val="005E3AE6"/>
    <w:rsid w:val="005E5146"/>
    <w:rsid w:val="005E5386"/>
    <w:rsid w:val="005E71E6"/>
    <w:rsid w:val="005E7283"/>
    <w:rsid w:val="005E72A1"/>
    <w:rsid w:val="005E7D9A"/>
    <w:rsid w:val="005F0292"/>
    <w:rsid w:val="005F0F6C"/>
    <w:rsid w:val="005F340B"/>
    <w:rsid w:val="005F5481"/>
    <w:rsid w:val="005F5593"/>
    <w:rsid w:val="005F5ADF"/>
    <w:rsid w:val="005F5CE2"/>
    <w:rsid w:val="00602A5E"/>
    <w:rsid w:val="00606687"/>
    <w:rsid w:val="0061231B"/>
    <w:rsid w:val="00612662"/>
    <w:rsid w:val="00612684"/>
    <w:rsid w:val="00613705"/>
    <w:rsid w:val="00614635"/>
    <w:rsid w:val="00615F29"/>
    <w:rsid w:val="00616FDE"/>
    <w:rsid w:val="006212EF"/>
    <w:rsid w:val="00623678"/>
    <w:rsid w:val="00631543"/>
    <w:rsid w:val="00631937"/>
    <w:rsid w:val="00634585"/>
    <w:rsid w:val="0064053E"/>
    <w:rsid w:val="0064759B"/>
    <w:rsid w:val="00651167"/>
    <w:rsid w:val="0065133D"/>
    <w:rsid w:val="00653123"/>
    <w:rsid w:val="00654B3D"/>
    <w:rsid w:val="006550DC"/>
    <w:rsid w:val="00656F0B"/>
    <w:rsid w:val="006575F3"/>
    <w:rsid w:val="00660C83"/>
    <w:rsid w:val="00663656"/>
    <w:rsid w:val="00663F11"/>
    <w:rsid w:val="00667FAC"/>
    <w:rsid w:val="00672E6F"/>
    <w:rsid w:val="006743D1"/>
    <w:rsid w:val="006745C2"/>
    <w:rsid w:val="0067498C"/>
    <w:rsid w:val="00675A27"/>
    <w:rsid w:val="00676C2C"/>
    <w:rsid w:val="00677A77"/>
    <w:rsid w:val="0068169C"/>
    <w:rsid w:val="00682E07"/>
    <w:rsid w:val="00683541"/>
    <w:rsid w:val="00683A37"/>
    <w:rsid w:val="00684B36"/>
    <w:rsid w:val="00694E0A"/>
    <w:rsid w:val="00697BC6"/>
    <w:rsid w:val="006A30E7"/>
    <w:rsid w:val="006A556E"/>
    <w:rsid w:val="006A6099"/>
    <w:rsid w:val="006B45DB"/>
    <w:rsid w:val="006B4FF1"/>
    <w:rsid w:val="006B55FE"/>
    <w:rsid w:val="006B5C17"/>
    <w:rsid w:val="006B7343"/>
    <w:rsid w:val="006C1BED"/>
    <w:rsid w:val="006C4E12"/>
    <w:rsid w:val="006C7485"/>
    <w:rsid w:val="006C7CDC"/>
    <w:rsid w:val="006D22B8"/>
    <w:rsid w:val="006D2E9D"/>
    <w:rsid w:val="006D6885"/>
    <w:rsid w:val="006E0FFC"/>
    <w:rsid w:val="006E5228"/>
    <w:rsid w:val="006E545E"/>
    <w:rsid w:val="006E5925"/>
    <w:rsid w:val="006E6774"/>
    <w:rsid w:val="006F08A5"/>
    <w:rsid w:val="006F4367"/>
    <w:rsid w:val="006F4EA8"/>
    <w:rsid w:val="006F5A6D"/>
    <w:rsid w:val="006F5DF0"/>
    <w:rsid w:val="00701A15"/>
    <w:rsid w:val="00705DF6"/>
    <w:rsid w:val="00707E22"/>
    <w:rsid w:val="0071059F"/>
    <w:rsid w:val="0071252C"/>
    <w:rsid w:val="00712BA1"/>
    <w:rsid w:val="00714260"/>
    <w:rsid w:val="00717753"/>
    <w:rsid w:val="007205D6"/>
    <w:rsid w:val="00723061"/>
    <w:rsid w:val="00723096"/>
    <w:rsid w:val="007237AC"/>
    <w:rsid w:val="00723CA7"/>
    <w:rsid w:val="00727EAF"/>
    <w:rsid w:val="0073275F"/>
    <w:rsid w:val="007345CF"/>
    <w:rsid w:val="007352CD"/>
    <w:rsid w:val="00735A5D"/>
    <w:rsid w:val="00746782"/>
    <w:rsid w:val="00752E0C"/>
    <w:rsid w:val="00753F5F"/>
    <w:rsid w:val="007552EB"/>
    <w:rsid w:val="00756DAD"/>
    <w:rsid w:val="0075783C"/>
    <w:rsid w:val="00757B32"/>
    <w:rsid w:val="007638A3"/>
    <w:rsid w:val="00763DCF"/>
    <w:rsid w:val="00763E38"/>
    <w:rsid w:val="0076537B"/>
    <w:rsid w:val="00767047"/>
    <w:rsid w:val="0077085E"/>
    <w:rsid w:val="00771624"/>
    <w:rsid w:val="0077496A"/>
    <w:rsid w:val="0077699D"/>
    <w:rsid w:val="00781468"/>
    <w:rsid w:val="00781D73"/>
    <w:rsid w:val="00782B17"/>
    <w:rsid w:val="007877CE"/>
    <w:rsid w:val="007932FF"/>
    <w:rsid w:val="00797641"/>
    <w:rsid w:val="007A54F7"/>
    <w:rsid w:val="007B2ABF"/>
    <w:rsid w:val="007B4636"/>
    <w:rsid w:val="007C0460"/>
    <w:rsid w:val="007C1A00"/>
    <w:rsid w:val="007C6537"/>
    <w:rsid w:val="007D0159"/>
    <w:rsid w:val="007D2538"/>
    <w:rsid w:val="007D4A02"/>
    <w:rsid w:val="007D5356"/>
    <w:rsid w:val="007E2056"/>
    <w:rsid w:val="007E2FE7"/>
    <w:rsid w:val="007E60FE"/>
    <w:rsid w:val="007E6E7D"/>
    <w:rsid w:val="007F0A92"/>
    <w:rsid w:val="007F47F0"/>
    <w:rsid w:val="007F73E5"/>
    <w:rsid w:val="008005D8"/>
    <w:rsid w:val="008036AB"/>
    <w:rsid w:val="00803844"/>
    <w:rsid w:val="00804971"/>
    <w:rsid w:val="00804B8B"/>
    <w:rsid w:val="00805EC4"/>
    <w:rsid w:val="00805ECD"/>
    <w:rsid w:val="00807B68"/>
    <w:rsid w:val="008125B1"/>
    <w:rsid w:val="0081357E"/>
    <w:rsid w:val="00813A17"/>
    <w:rsid w:val="00815670"/>
    <w:rsid w:val="00816C5A"/>
    <w:rsid w:val="00816EDF"/>
    <w:rsid w:val="0082098B"/>
    <w:rsid w:val="008216D2"/>
    <w:rsid w:val="008222CE"/>
    <w:rsid w:val="008232D6"/>
    <w:rsid w:val="008242C6"/>
    <w:rsid w:val="00825C6B"/>
    <w:rsid w:val="00826D6B"/>
    <w:rsid w:val="00834227"/>
    <w:rsid w:val="0084029B"/>
    <w:rsid w:val="0084072B"/>
    <w:rsid w:val="00842B51"/>
    <w:rsid w:val="00844520"/>
    <w:rsid w:val="0084455C"/>
    <w:rsid w:val="00844DDF"/>
    <w:rsid w:val="00852CF3"/>
    <w:rsid w:val="00854013"/>
    <w:rsid w:val="008579C3"/>
    <w:rsid w:val="00863B55"/>
    <w:rsid w:val="00864EAD"/>
    <w:rsid w:val="00870BF9"/>
    <w:rsid w:val="008732D5"/>
    <w:rsid w:val="00880D86"/>
    <w:rsid w:val="008844B4"/>
    <w:rsid w:val="008851A6"/>
    <w:rsid w:val="00885DC6"/>
    <w:rsid w:val="00886605"/>
    <w:rsid w:val="008874A2"/>
    <w:rsid w:val="0089511C"/>
    <w:rsid w:val="008962E7"/>
    <w:rsid w:val="008964FF"/>
    <w:rsid w:val="008974FC"/>
    <w:rsid w:val="008A0583"/>
    <w:rsid w:val="008A124C"/>
    <w:rsid w:val="008A5A55"/>
    <w:rsid w:val="008A6F3E"/>
    <w:rsid w:val="008A74F6"/>
    <w:rsid w:val="008A7D8D"/>
    <w:rsid w:val="008B1488"/>
    <w:rsid w:val="008B4F4E"/>
    <w:rsid w:val="008B61E5"/>
    <w:rsid w:val="008C2A21"/>
    <w:rsid w:val="008C2EA7"/>
    <w:rsid w:val="008C3C89"/>
    <w:rsid w:val="008C66A1"/>
    <w:rsid w:val="008D0391"/>
    <w:rsid w:val="008D171E"/>
    <w:rsid w:val="008D7DC6"/>
    <w:rsid w:val="008E2464"/>
    <w:rsid w:val="008E449F"/>
    <w:rsid w:val="008E4F18"/>
    <w:rsid w:val="008E5FD1"/>
    <w:rsid w:val="008E753F"/>
    <w:rsid w:val="008F071E"/>
    <w:rsid w:val="008F5969"/>
    <w:rsid w:val="00902EA8"/>
    <w:rsid w:val="0090352B"/>
    <w:rsid w:val="009072BC"/>
    <w:rsid w:val="00915AE0"/>
    <w:rsid w:val="009221A3"/>
    <w:rsid w:val="00924316"/>
    <w:rsid w:val="00924721"/>
    <w:rsid w:val="0092577E"/>
    <w:rsid w:val="00931F73"/>
    <w:rsid w:val="00934349"/>
    <w:rsid w:val="00935361"/>
    <w:rsid w:val="00936C47"/>
    <w:rsid w:val="0093787A"/>
    <w:rsid w:val="00940211"/>
    <w:rsid w:val="00940796"/>
    <w:rsid w:val="00941D19"/>
    <w:rsid w:val="00942C58"/>
    <w:rsid w:val="00945498"/>
    <w:rsid w:val="009471BA"/>
    <w:rsid w:val="00947408"/>
    <w:rsid w:val="00950C28"/>
    <w:rsid w:val="00951D7F"/>
    <w:rsid w:val="009529C5"/>
    <w:rsid w:val="009569C8"/>
    <w:rsid w:val="00956CE4"/>
    <w:rsid w:val="009631A0"/>
    <w:rsid w:val="009634EE"/>
    <w:rsid w:val="0096381D"/>
    <w:rsid w:val="009656F3"/>
    <w:rsid w:val="00966372"/>
    <w:rsid w:val="00967646"/>
    <w:rsid w:val="00972D45"/>
    <w:rsid w:val="00974B5E"/>
    <w:rsid w:val="00974B97"/>
    <w:rsid w:val="00977D1F"/>
    <w:rsid w:val="0098264B"/>
    <w:rsid w:val="00986B0B"/>
    <w:rsid w:val="00990082"/>
    <w:rsid w:val="009906B3"/>
    <w:rsid w:val="00990857"/>
    <w:rsid w:val="00991512"/>
    <w:rsid w:val="00991C7B"/>
    <w:rsid w:val="009934A0"/>
    <w:rsid w:val="00996FC8"/>
    <w:rsid w:val="009A053A"/>
    <w:rsid w:val="009A39CF"/>
    <w:rsid w:val="009A601E"/>
    <w:rsid w:val="009B1BBF"/>
    <w:rsid w:val="009C31E6"/>
    <w:rsid w:val="009C3700"/>
    <w:rsid w:val="009C463B"/>
    <w:rsid w:val="009C4ACA"/>
    <w:rsid w:val="009D13B5"/>
    <w:rsid w:val="009D15F9"/>
    <w:rsid w:val="009D1FA5"/>
    <w:rsid w:val="009D3792"/>
    <w:rsid w:val="009D5C2C"/>
    <w:rsid w:val="009E0E8B"/>
    <w:rsid w:val="009E1DC7"/>
    <w:rsid w:val="009E368E"/>
    <w:rsid w:val="009E4C68"/>
    <w:rsid w:val="009E526B"/>
    <w:rsid w:val="009E779D"/>
    <w:rsid w:val="009E7C49"/>
    <w:rsid w:val="009F064E"/>
    <w:rsid w:val="009F22FD"/>
    <w:rsid w:val="009F3165"/>
    <w:rsid w:val="009F35C9"/>
    <w:rsid w:val="009F6DB0"/>
    <w:rsid w:val="00A0118C"/>
    <w:rsid w:val="00A04B74"/>
    <w:rsid w:val="00A07414"/>
    <w:rsid w:val="00A11DB4"/>
    <w:rsid w:val="00A14561"/>
    <w:rsid w:val="00A2442B"/>
    <w:rsid w:val="00A257D3"/>
    <w:rsid w:val="00A25AA0"/>
    <w:rsid w:val="00A25FC1"/>
    <w:rsid w:val="00A27AAC"/>
    <w:rsid w:val="00A311FB"/>
    <w:rsid w:val="00A368F8"/>
    <w:rsid w:val="00A37407"/>
    <w:rsid w:val="00A4092A"/>
    <w:rsid w:val="00A41DC8"/>
    <w:rsid w:val="00A426B2"/>
    <w:rsid w:val="00A42832"/>
    <w:rsid w:val="00A42AB2"/>
    <w:rsid w:val="00A44BB1"/>
    <w:rsid w:val="00A44C90"/>
    <w:rsid w:val="00A45968"/>
    <w:rsid w:val="00A4690A"/>
    <w:rsid w:val="00A46D28"/>
    <w:rsid w:val="00A5022C"/>
    <w:rsid w:val="00A50F4B"/>
    <w:rsid w:val="00A511C3"/>
    <w:rsid w:val="00A573E9"/>
    <w:rsid w:val="00A57F72"/>
    <w:rsid w:val="00A60DD8"/>
    <w:rsid w:val="00A64502"/>
    <w:rsid w:val="00A66021"/>
    <w:rsid w:val="00A701BC"/>
    <w:rsid w:val="00A71B8F"/>
    <w:rsid w:val="00A72F4F"/>
    <w:rsid w:val="00A730EC"/>
    <w:rsid w:val="00A73866"/>
    <w:rsid w:val="00A7465D"/>
    <w:rsid w:val="00A766E4"/>
    <w:rsid w:val="00A76DA2"/>
    <w:rsid w:val="00A77F01"/>
    <w:rsid w:val="00A838C0"/>
    <w:rsid w:val="00A86103"/>
    <w:rsid w:val="00A865F7"/>
    <w:rsid w:val="00A9193D"/>
    <w:rsid w:val="00A9444D"/>
    <w:rsid w:val="00A944D1"/>
    <w:rsid w:val="00A94A36"/>
    <w:rsid w:val="00A94F71"/>
    <w:rsid w:val="00A951F5"/>
    <w:rsid w:val="00A95DA3"/>
    <w:rsid w:val="00A97349"/>
    <w:rsid w:val="00AA2252"/>
    <w:rsid w:val="00AA6ECB"/>
    <w:rsid w:val="00AA6F88"/>
    <w:rsid w:val="00AB6031"/>
    <w:rsid w:val="00AB6E16"/>
    <w:rsid w:val="00AB7E41"/>
    <w:rsid w:val="00AC01A6"/>
    <w:rsid w:val="00AC0BEE"/>
    <w:rsid w:val="00AC1C90"/>
    <w:rsid w:val="00AC1F50"/>
    <w:rsid w:val="00AC564B"/>
    <w:rsid w:val="00AC5D0D"/>
    <w:rsid w:val="00AC7E3D"/>
    <w:rsid w:val="00AD0055"/>
    <w:rsid w:val="00AD041A"/>
    <w:rsid w:val="00AD0BF8"/>
    <w:rsid w:val="00AD39D0"/>
    <w:rsid w:val="00AD4D5B"/>
    <w:rsid w:val="00AE2DF8"/>
    <w:rsid w:val="00AE3606"/>
    <w:rsid w:val="00AE3C12"/>
    <w:rsid w:val="00AE544A"/>
    <w:rsid w:val="00AE663E"/>
    <w:rsid w:val="00AE66CA"/>
    <w:rsid w:val="00AF024D"/>
    <w:rsid w:val="00AF2085"/>
    <w:rsid w:val="00AF6DE7"/>
    <w:rsid w:val="00B014C3"/>
    <w:rsid w:val="00B0410B"/>
    <w:rsid w:val="00B052C0"/>
    <w:rsid w:val="00B05531"/>
    <w:rsid w:val="00B065D1"/>
    <w:rsid w:val="00B06DB3"/>
    <w:rsid w:val="00B07A01"/>
    <w:rsid w:val="00B1728E"/>
    <w:rsid w:val="00B17E41"/>
    <w:rsid w:val="00B17F5E"/>
    <w:rsid w:val="00B23858"/>
    <w:rsid w:val="00B27090"/>
    <w:rsid w:val="00B367B9"/>
    <w:rsid w:val="00B41160"/>
    <w:rsid w:val="00B41C05"/>
    <w:rsid w:val="00B46965"/>
    <w:rsid w:val="00B56FE9"/>
    <w:rsid w:val="00B61EE2"/>
    <w:rsid w:val="00B656DF"/>
    <w:rsid w:val="00B711A0"/>
    <w:rsid w:val="00B73B06"/>
    <w:rsid w:val="00B756D2"/>
    <w:rsid w:val="00B826EC"/>
    <w:rsid w:val="00B83283"/>
    <w:rsid w:val="00B920EB"/>
    <w:rsid w:val="00B92D92"/>
    <w:rsid w:val="00B96C76"/>
    <w:rsid w:val="00B975EE"/>
    <w:rsid w:val="00B97B2D"/>
    <w:rsid w:val="00BA0A37"/>
    <w:rsid w:val="00BA1668"/>
    <w:rsid w:val="00BA1EA5"/>
    <w:rsid w:val="00BA2304"/>
    <w:rsid w:val="00BA28FB"/>
    <w:rsid w:val="00BB2A5C"/>
    <w:rsid w:val="00BB50F3"/>
    <w:rsid w:val="00BB7C04"/>
    <w:rsid w:val="00BC36C8"/>
    <w:rsid w:val="00BC3CCD"/>
    <w:rsid w:val="00BC72A8"/>
    <w:rsid w:val="00BC7E24"/>
    <w:rsid w:val="00BD02D0"/>
    <w:rsid w:val="00BD1730"/>
    <w:rsid w:val="00BD29F3"/>
    <w:rsid w:val="00BD40FE"/>
    <w:rsid w:val="00BE0279"/>
    <w:rsid w:val="00BE07FD"/>
    <w:rsid w:val="00BE2C6F"/>
    <w:rsid w:val="00BE30C2"/>
    <w:rsid w:val="00BE40D6"/>
    <w:rsid w:val="00BE6706"/>
    <w:rsid w:val="00BE7969"/>
    <w:rsid w:val="00BF38AC"/>
    <w:rsid w:val="00BF5CC5"/>
    <w:rsid w:val="00C01F6E"/>
    <w:rsid w:val="00C05B5D"/>
    <w:rsid w:val="00C07F17"/>
    <w:rsid w:val="00C129E0"/>
    <w:rsid w:val="00C13C97"/>
    <w:rsid w:val="00C14523"/>
    <w:rsid w:val="00C155BF"/>
    <w:rsid w:val="00C2058A"/>
    <w:rsid w:val="00C20F9D"/>
    <w:rsid w:val="00C37C4C"/>
    <w:rsid w:val="00C41C4C"/>
    <w:rsid w:val="00C47E16"/>
    <w:rsid w:val="00C51447"/>
    <w:rsid w:val="00C52838"/>
    <w:rsid w:val="00C530F4"/>
    <w:rsid w:val="00C53241"/>
    <w:rsid w:val="00C5472A"/>
    <w:rsid w:val="00C62321"/>
    <w:rsid w:val="00C63324"/>
    <w:rsid w:val="00C65BDE"/>
    <w:rsid w:val="00C743BE"/>
    <w:rsid w:val="00C75552"/>
    <w:rsid w:val="00C76FE3"/>
    <w:rsid w:val="00C8049A"/>
    <w:rsid w:val="00C80A84"/>
    <w:rsid w:val="00C81F4B"/>
    <w:rsid w:val="00C85C15"/>
    <w:rsid w:val="00C87658"/>
    <w:rsid w:val="00C90E35"/>
    <w:rsid w:val="00C92512"/>
    <w:rsid w:val="00C948A9"/>
    <w:rsid w:val="00C96E30"/>
    <w:rsid w:val="00C97D99"/>
    <w:rsid w:val="00CA0D76"/>
    <w:rsid w:val="00CB133E"/>
    <w:rsid w:val="00CB51CE"/>
    <w:rsid w:val="00CB5823"/>
    <w:rsid w:val="00CB71A5"/>
    <w:rsid w:val="00CC4FC7"/>
    <w:rsid w:val="00CC5B71"/>
    <w:rsid w:val="00CC7D01"/>
    <w:rsid w:val="00CD15E6"/>
    <w:rsid w:val="00CD1E10"/>
    <w:rsid w:val="00CD51A6"/>
    <w:rsid w:val="00CD6EA3"/>
    <w:rsid w:val="00CD7707"/>
    <w:rsid w:val="00CE259E"/>
    <w:rsid w:val="00CE2BE3"/>
    <w:rsid w:val="00CE335C"/>
    <w:rsid w:val="00CE519C"/>
    <w:rsid w:val="00CE6374"/>
    <w:rsid w:val="00CF0028"/>
    <w:rsid w:val="00CF213F"/>
    <w:rsid w:val="00CF4292"/>
    <w:rsid w:val="00CF6703"/>
    <w:rsid w:val="00D00190"/>
    <w:rsid w:val="00D015F7"/>
    <w:rsid w:val="00D037E2"/>
    <w:rsid w:val="00D04557"/>
    <w:rsid w:val="00D064EA"/>
    <w:rsid w:val="00D07292"/>
    <w:rsid w:val="00D10439"/>
    <w:rsid w:val="00D12623"/>
    <w:rsid w:val="00D156B7"/>
    <w:rsid w:val="00D22D40"/>
    <w:rsid w:val="00D23359"/>
    <w:rsid w:val="00D25751"/>
    <w:rsid w:val="00D32192"/>
    <w:rsid w:val="00D36FB2"/>
    <w:rsid w:val="00D41520"/>
    <w:rsid w:val="00D4320B"/>
    <w:rsid w:val="00D43647"/>
    <w:rsid w:val="00D44C85"/>
    <w:rsid w:val="00D45F8C"/>
    <w:rsid w:val="00D471C0"/>
    <w:rsid w:val="00D513AC"/>
    <w:rsid w:val="00D521CF"/>
    <w:rsid w:val="00D56BD9"/>
    <w:rsid w:val="00D57C86"/>
    <w:rsid w:val="00D57FCD"/>
    <w:rsid w:val="00D613D9"/>
    <w:rsid w:val="00D61796"/>
    <w:rsid w:val="00D62CF1"/>
    <w:rsid w:val="00D6340F"/>
    <w:rsid w:val="00D649AE"/>
    <w:rsid w:val="00D660E7"/>
    <w:rsid w:val="00D66BC8"/>
    <w:rsid w:val="00D71D83"/>
    <w:rsid w:val="00D75903"/>
    <w:rsid w:val="00D75C11"/>
    <w:rsid w:val="00D76DC8"/>
    <w:rsid w:val="00D805F3"/>
    <w:rsid w:val="00D818D6"/>
    <w:rsid w:val="00D81B35"/>
    <w:rsid w:val="00D82C9E"/>
    <w:rsid w:val="00D83BA2"/>
    <w:rsid w:val="00D83F17"/>
    <w:rsid w:val="00D8404E"/>
    <w:rsid w:val="00D865D7"/>
    <w:rsid w:val="00D879A7"/>
    <w:rsid w:val="00D87BAF"/>
    <w:rsid w:val="00D919A2"/>
    <w:rsid w:val="00D9389F"/>
    <w:rsid w:val="00D94D29"/>
    <w:rsid w:val="00D9787A"/>
    <w:rsid w:val="00D97900"/>
    <w:rsid w:val="00DA04B9"/>
    <w:rsid w:val="00DA1756"/>
    <w:rsid w:val="00DA49D7"/>
    <w:rsid w:val="00DA5683"/>
    <w:rsid w:val="00DA58A1"/>
    <w:rsid w:val="00DA7C4C"/>
    <w:rsid w:val="00DB016A"/>
    <w:rsid w:val="00DB0B11"/>
    <w:rsid w:val="00DB3462"/>
    <w:rsid w:val="00DB3EF5"/>
    <w:rsid w:val="00DB3F08"/>
    <w:rsid w:val="00DB7471"/>
    <w:rsid w:val="00DC0B9B"/>
    <w:rsid w:val="00DC4342"/>
    <w:rsid w:val="00DC63CD"/>
    <w:rsid w:val="00DC76C7"/>
    <w:rsid w:val="00DD5479"/>
    <w:rsid w:val="00DD567A"/>
    <w:rsid w:val="00DD6015"/>
    <w:rsid w:val="00DD7116"/>
    <w:rsid w:val="00DD71C1"/>
    <w:rsid w:val="00DD7FFD"/>
    <w:rsid w:val="00DE1346"/>
    <w:rsid w:val="00DF5DED"/>
    <w:rsid w:val="00DF66B7"/>
    <w:rsid w:val="00E0521C"/>
    <w:rsid w:val="00E05EB4"/>
    <w:rsid w:val="00E062E6"/>
    <w:rsid w:val="00E12A9F"/>
    <w:rsid w:val="00E1427B"/>
    <w:rsid w:val="00E1449D"/>
    <w:rsid w:val="00E25F88"/>
    <w:rsid w:val="00E264D5"/>
    <w:rsid w:val="00E26E31"/>
    <w:rsid w:val="00E2760D"/>
    <w:rsid w:val="00E304D9"/>
    <w:rsid w:val="00E30BCA"/>
    <w:rsid w:val="00E369E4"/>
    <w:rsid w:val="00E36AD0"/>
    <w:rsid w:val="00E414E5"/>
    <w:rsid w:val="00E44D46"/>
    <w:rsid w:val="00E46BF7"/>
    <w:rsid w:val="00E50E30"/>
    <w:rsid w:val="00E50F33"/>
    <w:rsid w:val="00E5106A"/>
    <w:rsid w:val="00E56A8F"/>
    <w:rsid w:val="00E56B12"/>
    <w:rsid w:val="00E57B78"/>
    <w:rsid w:val="00E634E7"/>
    <w:rsid w:val="00E64A82"/>
    <w:rsid w:val="00E672A0"/>
    <w:rsid w:val="00E6751B"/>
    <w:rsid w:val="00E71661"/>
    <w:rsid w:val="00E80DC5"/>
    <w:rsid w:val="00E9096F"/>
    <w:rsid w:val="00E944E4"/>
    <w:rsid w:val="00E95602"/>
    <w:rsid w:val="00EA0627"/>
    <w:rsid w:val="00EA2AD0"/>
    <w:rsid w:val="00EA5627"/>
    <w:rsid w:val="00EA61EE"/>
    <w:rsid w:val="00EA775A"/>
    <w:rsid w:val="00EA7965"/>
    <w:rsid w:val="00EB0741"/>
    <w:rsid w:val="00EB099B"/>
    <w:rsid w:val="00EB594C"/>
    <w:rsid w:val="00EC1BE7"/>
    <w:rsid w:val="00EC22F0"/>
    <w:rsid w:val="00EC33A1"/>
    <w:rsid w:val="00ED42BC"/>
    <w:rsid w:val="00EE2BC2"/>
    <w:rsid w:val="00EE3BB6"/>
    <w:rsid w:val="00EE5689"/>
    <w:rsid w:val="00EE77F0"/>
    <w:rsid w:val="00EF0ABC"/>
    <w:rsid w:val="00EF33F8"/>
    <w:rsid w:val="00EF4633"/>
    <w:rsid w:val="00EF74BF"/>
    <w:rsid w:val="00EF7551"/>
    <w:rsid w:val="00F041A1"/>
    <w:rsid w:val="00F05919"/>
    <w:rsid w:val="00F06972"/>
    <w:rsid w:val="00F21284"/>
    <w:rsid w:val="00F2147D"/>
    <w:rsid w:val="00F25575"/>
    <w:rsid w:val="00F26974"/>
    <w:rsid w:val="00F26C9B"/>
    <w:rsid w:val="00F30425"/>
    <w:rsid w:val="00F33BEF"/>
    <w:rsid w:val="00F34EA8"/>
    <w:rsid w:val="00F36BF4"/>
    <w:rsid w:val="00F37AAE"/>
    <w:rsid w:val="00F4027A"/>
    <w:rsid w:val="00F41329"/>
    <w:rsid w:val="00F419FF"/>
    <w:rsid w:val="00F43326"/>
    <w:rsid w:val="00F43471"/>
    <w:rsid w:val="00F434D6"/>
    <w:rsid w:val="00F44F3F"/>
    <w:rsid w:val="00F53EF7"/>
    <w:rsid w:val="00F55DEA"/>
    <w:rsid w:val="00F579DC"/>
    <w:rsid w:val="00F57BC6"/>
    <w:rsid w:val="00F6507E"/>
    <w:rsid w:val="00F70A51"/>
    <w:rsid w:val="00F72204"/>
    <w:rsid w:val="00F76652"/>
    <w:rsid w:val="00F76D1D"/>
    <w:rsid w:val="00F81622"/>
    <w:rsid w:val="00F84189"/>
    <w:rsid w:val="00F8735D"/>
    <w:rsid w:val="00F924A1"/>
    <w:rsid w:val="00F94697"/>
    <w:rsid w:val="00F94786"/>
    <w:rsid w:val="00F95CDD"/>
    <w:rsid w:val="00FA39D8"/>
    <w:rsid w:val="00FA46BE"/>
    <w:rsid w:val="00FA4BDD"/>
    <w:rsid w:val="00FB136B"/>
    <w:rsid w:val="00FB20A8"/>
    <w:rsid w:val="00FB2A81"/>
    <w:rsid w:val="00FB363D"/>
    <w:rsid w:val="00FB3A10"/>
    <w:rsid w:val="00FB488C"/>
    <w:rsid w:val="00FB5D71"/>
    <w:rsid w:val="00FC05DB"/>
    <w:rsid w:val="00FC07E4"/>
    <w:rsid w:val="00FC1AE8"/>
    <w:rsid w:val="00FC4276"/>
    <w:rsid w:val="00FD066B"/>
    <w:rsid w:val="00FD0CB6"/>
    <w:rsid w:val="00FD2199"/>
    <w:rsid w:val="00FD2D9A"/>
    <w:rsid w:val="00FE0279"/>
    <w:rsid w:val="00FE0297"/>
    <w:rsid w:val="00FE034E"/>
    <w:rsid w:val="00FE1268"/>
    <w:rsid w:val="00FE22A9"/>
    <w:rsid w:val="00FE2454"/>
    <w:rsid w:val="00FE306A"/>
    <w:rsid w:val="00FE3B92"/>
    <w:rsid w:val="00FE5201"/>
    <w:rsid w:val="00FE6AF8"/>
    <w:rsid w:val="00FE6DD4"/>
    <w:rsid w:val="00FE792B"/>
    <w:rsid w:val="00FF0A78"/>
    <w:rsid w:val="00FF2325"/>
    <w:rsid w:val="00FF410D"/>
    <w:rsid w:val="00FF5BE9"/>
    <w:rsid w:val="00FF6E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DD6"/>
    <w:pPr>
      <w:spacing w:after="200" w:line="276" w:lineRule="auto"/>
    </w:pPr>
    <w:rPr>
      <w:sz w:val="22"/>
      <w:szCs w:val="22"/>
      <w:lang w:val="en-US" w:eastAsia="en-US"/>
    </w:rPr>
  </w:style>
  <w:style w:type="paragraph" w:styleId="1">
    <w:name w:val="heading 1"/>
    <w:basedOn w:val="a"/>
    <w:next w:val="a"/>
    <w:qFormat/>
    <w:rsid w:val="00E0521C"/>
    <w:pPr>
      <w:keepNext/>
      <w:spacing w:before="240" w:after="60"/>
      <w:outlineLvl w:val="0"/>
    </w:pPr>
    <w:rPr>
      <w:rFonts w:ascii="Arial" w:hAnsi="Arial" w:cs="Arial"/>
      <w:b/>
      <w:bCs/>
      <w:kern w:val="32"/>
      <w:sz w:val="32"/>
      <w:szCs w:val="32"/>
    </w:rPr>
  </w:style>
  <w:style w:type="paragraph" w:styleId="5">
    <w:name w:val="heading 5"/>
    <w:basedOn w:val="a"/>
    <w:next w:val="a"/>
    <w:qFormat/>
    <w:rsid w:val="00825C6B"/>
    <w:pPr>
      <w:keepNext/>
      <w:spacing w:after="0" w:line="360" w:lineRule="auto"/>
      <w:jc w:val="both"/>
      <w:outlineLvl w:val="4"/>
    </w:pPr>
    <w:rPr>
      <w:rFonts w:ascii="Arial" w:eastAsia="Times New Roman" w:hAnsi="Arial"/>
      <w:i/>
      <w:sz w:val="24"/>
      <w:szCs w:val="20"/>
      <w:u w:val="single"/>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354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TEMEASMCAChar">
    <w:name w:val="BT EMEA_SMCA Char"/>
    <w:basedOn w:val="a"/>
    <w:link w:val="BTEMEASMCACharChar"/>
    <w:autoRedefine/>
    <w:rsid w:val="00CE6374"/>
    <w:pPr>
      <w:spacing w:after="0" w:line="240" w:lineRule="auto"/>
    </w:pPr>
    <w:rPr>
      <w:rFonts w:ascii="Arial Narrow" w:hAnsi="Arial Narrow"/>
      <w:sz w:val="24"/>
      <w:szCs w:val="24"/>
      <w:lang w:val="lt-LT"/>
    </w:rPr>
  </w:style>
  <w:style w:type="character" w:customStyle="1" w:styleId="BTEMEASMCACharChar">
    <w:name w:val="BT EMEA_SMCA Char Char"/>
    <w:link w:val="BTEMEASMCAChar"/>
    <w:rsid w:val="00CE6374"/>
    <w:rPr>
      <w:rFonts w:ascii="Arial Narrow" w:eastAsia="Calibri" w:hAnsi="Arial Narrow"/>
      <w:sz w:val="24"/>
      <w:szCs w:val="24"/>
      <w:lang w:val="lt-LT" w:eastAsia="en-US" w:bidi="ar-SA"/>
    </w:rPr>
  </w:style>
  <w:style w:type="character" w:styleId="a4">
    <w:name w:val="Strong"/>
    <w:qFormat/>
    <w:rsid w:val="0098264B"/>
    <w:rPr>
      <w:b/>
      <w:bCs/>
    </w:rPr>
  </w:style>
  <w:style w:type="paragraph" w:styleId="a5">
    <w:name w:val="header"/>
    <w:basedOn w:val="a"/>
    <w:rsid w:val="00BF5CC5"/>
    <w:pPr>
      <w:tabs>
        <w:tab w:val="center" w:pos="4320"/>
        <w:tab w:val="right" w:pos="8640"/>
      </w:tabs>
      <w:spacing w:after="0" w:line="240" w:lineRule="auto"/>
    </w:pPr>
    <w:rPr>
      <w:rFonts w:ascii="Times New Roman" w:eastAsia="Times New Roman" w:hAnsi="Times New Roman"/>
      <w:sz w:val="24"/>
      <w:szCs w:val="20"/>
      <w:lang w:val="sl-SI" w:eastAsia="sl-SI"/>
    </w:rPr>
  </w:style>
  <w:style w:type="paragraph" w:styleId="a6">
    <w:name w:val="footer"/>
    <w:basedOn w:val="a"/>
    <w:rsid w:val="00BF5CC5"/>
    <w:pPr>
      <w:tabs>
        <w:tab w:val="center" w:pos="4320"/>
        <w:tab w:val="right" w:pos="8640"/>
      </w:tabs>
      <w:spacing w:after="0" w:line="240" w:lineRule="auto"/>
    </w:pPr>
    <w:rPr>
      <w:rFonts w:ascii="Times New Roman" w:eastAsia="Times New Roman" w:hAnsi="Times New Roman"/>
      <w:sz w:val="24"/>
      <w:szCs w:val="20"/>
      <w:lang w:val="sl-SI" w:eastAsia="sl-SI"/>
    </w:rPr>
  </w:style>
  <w:style w:type="character" w:styleId="a7">
    <w:name w:val="page number"/>
    <w:basedOn w:val="a0"/>
    <w:rsid w:val="00BF5CC5"/>
  </w:style>
  <w:style w:type="paragraph" w:styleId="a8">
    <w:name w:val="Balloon Text"/>
    <w:basedOn w:val="a"/>
    <w:link w:val="Char"/>
    <w:uiPriority w:val="99"/>
    <w:semiHidden/>
    <w:unhideWhenUsed/>
    <w:rsid w:val="00047085"/>
    <w:pPr>
      <w:spacing w:after="0" w:line="240" w:lineRule="auto"/>
    </w:pPr>
    <w:rPr>
      <w:rFonts w:ascii="Tahoma" w:hAnsi="Tahoma"/>
      <w:sz w:val="16"/>
      <w:szCs w:val="16"/>
    </w:rPr>
  </w:style>
  <w:style w:type="character" w:customStyle="1" w:styleId="Char">
    <w:name w:val="Κείμενο πλαισίου Char"/>
    <w:link w:val="a8"/>
    <w:uiPriority w:val="99"/>
    <w:semiHidden/>
    <w:rsid w:val="00047085"/>
    <w:rPr>
      <w:rFonts w:ascii="Tahoma" w:hAnsi="Tahoma" w:cs="Tahoma"/>
      <w:sz w:val="16"/>
      <w:szCs w:val="16"/>
    </w:rPr>
  </w:style>
  <w:style w:type="character" w:styleId="a9">
    <w:name w:val="annotation reference"/>
    <w:uiPriority w:val="99"/>
    <w:semiHidden/>
    <w:unhideWhenUsed/>
    <w:rsid w:val="00047085"/>
    <w:rPr>
      <w:sz w:val="16"/>
      <w:szCs w:val="16"/>
    </w:rPr>
  </w:style>
  <w:style w:type="paragraph" w:styleId="aa">
    <w:name w:val="annotation text"/>
    <w:basedOn w:val="a"/>
    <w:link w:val="Char0"/>
    <w:uiPriority w:val="99"/>
    <w:semiHidden/>
    <w:unhideWhenUsed/>
    <w:rsid w:val="00047085"/>
    <w:rPr>
      <w:sz w:val="20"/>
      <w:szCs w:val="20"/>
    </w:rPr>
  </w:style>
  <w:style w:type="character" w:customStyle="1" w:styleId="Char0">
    <w:name w:val="Κείμενο σχολίου Char"/>
    <w:basedOn w:val="a0"/>
    <w:link w:val="aa"/>
    <w:uiPriority w:val="99"/>
    <w:semiHidden/>
    <w:rsid w:val="00047085"/>
  </w:style>
  <w:style w:type="paragraph" w:styleId="ab">
    <w:name w:val="annotation subject"/>
    <w:basedOn w:val="aa"/>
    <w:next w:val="aa"/>
    <w:link w:val="Char1"/>
    <w:uiPriority w:val="99"/>
    <w:semiHidden/>
    <w:unhideWhenUsed/>
    <w:rsid w:val="00047085"/>
    <w:rPr>
      <w:b/>
      <w:bCs/>
    </w:rPr>
  </w:style>
  <w:style w:type="character" w:customStyle="1" w:styleId="Char1">
    <w:name w:val="Θέμα σχολίου Char"/>
    <w:link w:val="ab"/>
    <w:uiPriority w:val="99"/>
    <w:semiHidden/>
    <w:rsid w:val="00047085"/>
    <w:rPr>
      <w:b/>
      <w:bCs/>
    </w:rPr>
  </w:style>
  <w:style w:type="paragraph" w:styleId="3">
    <w:name w:val="Body Text 3"/>
    <w:basedOn w:val="a"/>
    <w:rsid w:val="00825C6B"/>
    <w:pPr>
      <w:spacing w:after="0" w:line="360" w:lineRule="auto"/>
      <w:jc w:val="both"/>
    </w:pPr>
    <w:rPr>
      <w:rFonts w:ascii="Arial" w:eastAsia="Times New Roman" w:hAnsi="Arial"/>
      <w:sz w:val="24"/>
      <w:szCs w:val="20"/>
      <w:lang w:val="el-GR"/>
    </w:rPr>
  </w:style>
  <w:style w:type="character" w:styleId="ac">
    <w:name w:val="Emphasis"/>
    <w:qFormat/>
    <w:rsid w:val="004C01F2"/>
    <w:rPr>
      <w:i/>
      <w:iCs/>
    </w:rPr>
  </w:style>
  <w:style w:type="paragraph" w:customStyle="1" w:styleId="MGGTextLeft">
    <w:name w:val="MGG Text Left"/>
    <w:basedOn w:val="ad"/>
    <w:rsid w:val="007237AC"/>
    <w:pPr>
      <w:spacing w:after="0" w:line="240" w:lineRule="auto"/>
    </w:pPr>
    <w:rPr>
      <w:rFonts w:ascii="Times New Roman" w:eastAsia="Times New Roman" w:hAnsi="Times New Roman"/>
      <w:sz w:val="24"/>
      <w:szCs w:val="24"/>
      <w:lang w:val="en-GB"/>
    </w:rPr>
  </w:style>
  <w:style w:type="paragraph" w:styleId="ad">
    <w:name w:val="Body Text"/>
    <w:basedOn w:val="a"/>
    <w:rsid w:val="007237AC"/>
    <w:pPr>
      <w:spacing w:after="120"/>
    </w:pPr>
  </w:style>
  <w:style w:type="paragraph" w:customStyle="1" w:styleId="Heading51">
    <w:name w:val="Heading 51"/>
    <w:basedOn w:val="a"/>
    <w:next w:val="a"/>
    <w:uiPriority w:val="99"/>
    <w:rsid w:val="00521FFF"/>
    <w:pPr>
      <w:autoSpaceDE w:val="0"/>
      <w:autoSpaceDN w:val="0"/>
      <w:adjustRightInd w:val="0"/>
      <w:spacing w:after="0" w:line="240" w:lineRule="auto"/>
    </w:pPr>
    <w:rPr>
      <w:rFonts w:ascii="Arial" w:hAnsi="Arial" w:cs="Arial"/>
      <w:sz w:val="24"/>
      <w:szCs w:val="24"/>
      <w:lang w:val="el-GR" w:eastAsia="el-GR"/>
    </w:rPr>
  </w:style>
  <w:style w:type="paragraph" w:customStyle="1" w:styleId="Heading21">
    <w:name w:val="Heading 21"/>
    <w:basedOn w:val="a"/>
    <w:next w:val="a"/>
    <w:uiPriority w:val="99"/>
    <w:rsid w:val="006B5C17"/>
    <w:pPr>
      <w:autoSpaceDE w:val="0"/>
      <w:autoSpaceDN w:val="0"/>
      <w:adjustRightInd w:val="0"/>
      <w:spacing w:after="0" w:line="240" w:lineRule="auto"/>
    </w:pPr>
    <w:rPr>
      <w:rFonts w:ascii="Arial" w:hAnsi="Arial" w:cs="Arial"/>
      <w:sz w:val="24"/>
      <w:szCs w:val="24"/>
      <w:lang w:val="el-GR" w:eastAsia="el-GR"/>
    </w:rPr>
  </w:style>
  <w:style w:type="paragraph" w:customStyle="1" w:styleId="Heading11">
    <w:name w:val="Heading 11"/>
    <w:basedOn w:val="a"/>
    <w:next w:val="a"/>
    <w:uiPriority w:val="99"/>
    <w:rsid w:val="0023398B"/>
    <w:pPr>
      <w:autoSpaceDE w:val="0"/>
      <w:autoSpaceDN w:val="0"/>
      <w:adjustRightInd w:val="0"/>
      <w:spacing w:after="0" w:line="240" w:lineRule="auto"/>
    </w:pPr>
    <w:rPr>
      <w:rFonts w:ascii="Arial" w:hAnsi="Arial" w:cs="Arial"/>
      <w:sz w:val="24"/>
      <w:szCs w:val="24"/>
      <w:lang w:val="el-GR" w:eastAsia="el-GR"/>
    </w:rPr>
  </w:style>
  <w:style w:type="paragraph" w:customStyle="1" w:styleId="Heading91">
    <w:name w:val="Heading 91"/>
    <w:basedOn w:val="a"/>
    <w:next w:val="a"/>
    <w:uiPriority w:val="99"/>
    <w:rsid w:val="00CA0D76"/>
    <w:pPr>
      <w:autoSpaceDE w:val="0"/>
      <w:autoSpaceDN w:val="0"/>
      <w:adjustRightInd w:val="0"/>
      <w:spacing w:after="0" w:line="240" w:lineRule="auto"/>
    </w:pPr>
    <w:rPr>
      <w:rFonts w:ascii="Arial" w:hAnsi="Arial" w:cs="Arial"/>
      <w:sz w:val="24"/>
      <w:szCs w:val="24"/>
      <w:lang w:val="el-GR" w:eastAsia="el-GR"/>
    </w:rPr>
  </w:style>
  <w:style w:type="paragraph" w:customStyle="1" w:styleId="Default">
    <w:name w:val="Default"/>
    <w:rsid w:val="00B73B06"/>
    <w:pPr>
      <w:autoSpaceDE w:val="0"/>
      <w:autoSpaceDN w:val="0"/>
      <w:adjustRightInd w:val="0"/>
    </w:pPr>
    <w:rPr>
      <w:rFonts w:ascii="Arial" w:hAnsi="Arial" w:cs="Arial"/>
      <w:color w:val="000000"/>
      <w:sz w:val="24"/>
      <w:szCs w:val="24"/>
    </w:rPr>
  </w:style>
  <w:style w:type="paragraph" w:customStyle="1" w:styleId="Heading81">
    <w:name w:val="Heading 81"/>
    <w:basedOn w:val="Default"/>
    <w:next w:val="Default"/>
    <w:uiPriority w:val="99"/>
    <w:rsid w:val="00B73B06"/>
    <w:rPr>
      <w:color w:val="auto"/>
    </w:rPr>
  </w:style>
  <w:style w:type="paragraph" w:styleId="ae">
    <w:name w:val="List Paragraph"/>
    <w:basedOn w:val="a"/>
    <w:uiPriority w:val="34"/>
    <w:qFormat/>
    <w:rsid w:val="00B73B06"/>
    <w:pPr>
      <w:ind w:left="720"/>
    </w:pPr>
  </w:style>
  <w:style w:type="paragraph" w:styleId="2">
    <w:name w:val="Body Text 2"/>
    <w:basedOn w:val="a"/>
    <w:link w:val="2Char"/>
    <w:rsid w:val="00FF5BE9"/>
    <w:pPr>
      <w:spacing w:after="120" w:line="480" w:lineRule="auto"/>
    </w:pPr>
  </w:style>
  <w:style w:type="character" w:customStyle="1" w:styleId="2Char">
    <w:name w:val="Σώμα κείμενου 2 Char"/>
    <w:link w:val="2"/>
    <w:rsid w:val="00FF5BE9"/>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614606627">
      <w:bodyDiv w:val="1"/>
      <w:marLeft w:val="0"/>
      <w:marRight w:val="0"/>
      <w:marTop w:val="0"/>
      <w:marBottom w:val="0"/>
      <w:divBdr>
        <w:top w:val="none" w:sz="0" w:space="0" w:color="auto"/>
        <w:left w:val="none" w:sz="0" w:space="0" w:color="auto"/>
        <w:bottom w:val="none" w:sz="0" w:space="0" w:color="auto"/>
        <w:right w:val="none" w:sz="0" w:space="0" w:color="auto"/>
      </w:divBdr>
    </w:div>
    <w:div w:id="932780310">
      <w:bodyDiv w:val="1"/>
      <w:marLeft w:val="0"/>
      <w:marRight w:val="0"/>
      <w:marTop w:val="0"/>
      <w:marBottom w:val="0"/>
      <w:divBdr>
        <w:top w:val="none" w:sz="0" w:space="0" w:color="auto"/>
        <w:left w:val="none" w:sz="0" w:space="0" w:color="auto"/>
        <w:bottom w:val="none" w:sz="0" w:space="0" w:color="auto"/>
        <w:right w:val="none" w:sz="0" w:space="0" w:color="auto"/>
      </w:divBdr>
    </w:div>
    <w:div w:id="1336179090">
      <w:bodyDiv w:val="1"/>
      <w:marLeft w:val="0"/>
      <w:marRight w:val="0"/>
      <w:marTop w:val="0"/>
      <w:marBottom w:val="0"/>
      <w:divBdr>
        <w:top w:val="none" w:sz="0" w:space="0" w:color="auto"/>
        <w:left w:val="none" w:sz="0" w:space="0" w:color="auto"/>
        <w:bottom w:val="none" w:sz="0" w:space="0" w:color="auto"/>
        <w:right w:val="none" w:sz="0" w:space="0" w:color="auto"/>
      </w:divBdr>
    </w:div>
    <w:div w:id="1443954897">
      <w:bodyDiv w:val="1"/>
      <w:marLeft w:val="0"/>
      <w:marRight w:val="0"/>
      <w:marTop w:val="0"/>
      <w:marBottom w:val="0"/>
      <w:divBdr>
        <w:top w:val="none" w:sz="0" w:space="0" w:color="auto"/>
        <w:left w:val="none" w:sz="0" w:space="0" w:color="auto"/>
        <w:bottom w:val="none" w:sz="0" w:space="0" w:color="auto"/>
        <w:right w:val="none" w:sz="0" w:space="0" w:color="auto"/>
      </w:divBdr>
    </w:div>
    <w:div w:id="1501893547">
      <w:bodyDiv w:val="1"/>
      <w:marLeft w:val="0"/>
      <w:marRight w:val="0"/>
      <w:marTop w:val="0"/>
      <w:marBottom w:val="0"/>
      <w:divBdr>
        <w:top w:val="none" w:sz="0" w:space="0" w:color="auto"/>
        <w:left w:val="none" w:sz="0" w:space="0" w:color="auto"/>
        <w:bottom w:val="none" w:sz="0" w:space="0" w:color="auto"/>
        <w:right w:val="none" w:sz="0" w:space="0" w:color="auto"/>
      </w:divBdr>
    </w:div>
    <w:div w:id="1893421137">
      <w:bodyDiv w:val="1"/>
      <w:marLeft w:val="0"/>
      <w:marRight w:val="0"/>
      <w:marTop w:val="0"/>
      <w:marBottom w:val="0"/>
      <w:divBdr>
        <w:top w:val="none" w:sz="0" w:space="0" w:color="auto"/>
        <w:left w:val="none" w:sz="0" w:space="0" w:color="auto"/>
        <w:bottom w:val="none" w:sz="0" w:space="0" w:color="auto"/>
        <w:right w:val="none" w:sz="0" w:space="0" w:color="auto"/>
      </w:divBdr>
    </w:div>
    <w:div w:id="1916931984">
      <w:bodyDiv w:val="1"/>
      <w:marLeft w:val="0"/>
      <w:marRight w:val="0"/>
      <w:marTop w:val="0"/>
      <w:marBottom w:val="0"/>
      <w:divBdr>
        <w:top w:val="none" w:sz="0" w:space="0" w:color="auto"/>
        <w:left w:val="none" w:sz="0" w:space="0" w:color="auto"/>
        <w:bottom w:val="none" w:sz="0" w:space="0" w:color="auto"/>
        <w:right w:val="none" w:sz="0" w:space="0" w:color="auto"/>
      </w:divBdr>
    </w:div>
    <w:div w:id="1974092977">
      <w:bodyDiv w:val="1"/>
      <w:marLeft w:val="0"/>
      <w:marRight w:val="0"/>
      <w:marTop w:val="0"/>
      <w:marBottom w:val="0"/>
      <w:divBdr>
        <w:top w:val="none" w:sz="0" w:space="0" w:color="auto"/>
        <w:left w:val="none" w:sz="0" w:space="0" w:color="auto"/>
        <w:bottom w:val="none" w:sz="0" w:space="0" w:color="auto"/>
        <w:right w:val="none" w:sz="0" w:space="0" w:color="auto"/>
      </w:divBdr>
      <w:divsChild>
        <w:div w:id="1583372417">
          <w:marLeft w:val="0"/>
          <w:marRight w:val="0"/>
          <w:marTop w:val="0"/>
          <w:marBottom w:val="0"/>
          <w:divBdr>
            <w:top w:val="single" w:sz="12" w:space="1" w:color="auto"/>
            <w:left w:val="single" w:sz="12" w:space="4" w:color="auto"/>
            <w:bottom w:val="single" w:sz="12" w:space="1" w:color="auto"/>
            <w:right w:val="single" w:sz="12"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4126</Words>
  <Characters>22282</Characters>
  <Application>Microsoft Office Word</Application>
  <DocSecurity>0</DocSecurity>
  <Lines>185</Lines>
  <Paragraphs>52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ΠΕΡΙΛΗΨΗ ΤΩΝ ΧΑΡΑΚΤΗΡΙΣΤΙΚΩΝ ΤΟΥ ΠΡΟΪΟΝΤΟΣ</vt:lpstr>
      <vt:lpstr>ΠΕΡΙΛΗΨΗ ΤΩΝ ΧΑΡΑΚΤΗΡΙΣΤΙΚΩΝ ΤΟΥ ΠΡΟΪΟΝΤΟΣ</vt:lpstr>
    </vt:vector>
  </TitlesOfParts>
  <Company>Hewlett-Packard Company</Company>
  <LinksUpToDate>false</LinksUpToDate>
  <CharactersWithSpaces>26356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dc:title>
  <dc:creator>Βασίλης Σιδερής</dc:creator>
  <cp:lastModifiedBy>user146</cp:lastModifiedBy>
  <cp:revision>7</cp:revision>
  <cp:lastPrinted>2010-06-25T04:39:00Z</cp:lastPrinted>
  <dcterms:created xsi:type="dcterms:W3CDTF">2013-07-04T07:09:00Z</dcterms:created>
  <dcterms:modified xsi:type="dcterms:W3CDTF">2013-07-19T07:00:00Z</dcterms:modified>
</cp:coreProperties>
</file>